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theme/themeOverride1.xml" ContentType="application/vnd.openxmlformats-officedocument.themeOverride+xml"/>
  <Override PartName="/word/charts/chart2.xml" ContentType="application/vnd.openxmlformats-officedocument.drawingml.chart+xml"/>
  <Override PartName="/word/theme/themeOverride2.xml" ContentType="application/vnd.openxmlformats-officedocument.themeOverride+xml"/>
  <Override PartName="/word/charts/chart3.xml" ContentType="application/vnd.openxmlformats-officedocument.drawingml.chart+xml"/>
  <Override PartName="/word/theme/themeOverride3.xml" ContentType="application/vnd.openxmlformats-officedocument.themeOverride+xml"/>
  <Override PartName="/word/charts/chart4.xml" ContentType="application/vnd.openxmlformats-officedocument.drawingml.chart+xml"/>
  <Override PartName="/word/theme/themeOverride4.xml" ContentType="application/vnd.openxmlformats-officedocument.themeOverride+xml"/>
  <Override PartName="/word/charts/chart5.xml" ContentType="application/vnd.openxmlformats-officedocument.drawingml.chart+xml"/>
  <Override PartName="/word/theme/themeOverride5.xml" ContentType="application/vnd.openxmlformats-officedocument.themeOverride+xml"/>
  <Override PartName="/word/charts/chart6.xml" ContentType="application/vnd.openxmlformats-officedocument.drawingml.chart+xml"/>
  <Override PartName="/word/theme/themeOverride6.xml" ContentType="application/vnd.openxmlformats-officedocument.themeOverride+xml"/>
  <Override PartName="/word/charts/chart7.xml" ContentType="application/vnd.openxmlformats-officedocument.drawingml.chart+xml"/>
  <Override PartName="/word/theme/themeOverride7.xml" ContentType="application/vnd.openxmlformats-officedocument.themeOverride+xml"/>
  <Override PartName="/word/charts/chart8.xml" ContentType="application/vnd.openxmlformats-officedocument.drawingml.chart+xml"/>
  <Override PartName="/word/theme/themeOverride8.xml" ContentType="application/vnd.openxmlformats-officedocument.themeOverride+xml"/>
  <Override PartName="/word/charts/chart9.xml" ContentType="application/vnd.openxmlformats-officedocument.drawingml.chart+xml"/>
  <Override PartName="/word/theme/themeOverride9.xml" ContentType="application/vnd.openxmlformats-officedocument.themeOverride+xml"/>
  <Override PartName="/word/charts/chart10.xml" ContentType="application/vnd.openxmlformats-officedocument.drawingml.chart+xml"/>
  <Override PartName="/word/charts/chart11.xml" ContentType="application/vnd.openxmlformats-officedocument.drawingml.chart+xml"/>
  <Override PartName="/word/theme/themeOverride10.xml" ContentType="application/vnd.openxmlformats-officedocument.themeOverride+xml"/>
  <Override PartName="/word/charts/chart12.xml" ContentType="application/vnd.openxmlformats-officedocument.drawingml.chart+xml"/>
  <Override PartName="/word/theme/themeOverride11.xml" ContentType="application/vnd.openxmlformats-officedocument.themeOverride+xml"/>
  <Override PartName="/word/charts/chart13.xml" ContentType="application/vnd.openxmlformats-officedocument.drawingml.chart+xml"/>
  <Override PartName="/word/theme/themeOverride12.xml" ContentType="application/vnd.openxmlformats-officedocument.themeOverride+xml"/>
  <Override PartName="/word/charts/chart14.xml" ContentType="application/vnd.openxmlformats-officedocument.drawingml.chart+xml"/>
  <Override PartName="/word/theme/themeOverride13.xml" ContentType="application/vnd.openxmlformats-officedocument.themeOverride+xml"/>
  <Override PartName="/word/charts/chart15.xml" ContentType="application/vnd.openxmlformats-officedocument.drawingml.chart+xml"/>
  <Override PartName="/word/theme/themeOverride14.xml" ContentType="application/vnd.openxmlformats-officedocument.themeOverride+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416B1" w:rsidRPr="00587FAE" w:rsidRDefault="002416B1" w:rsidP="00507035">
      <w:pPr>
        <w:pStyle w:val="Hlavika"/>
        <w:tabs>
          <w:tab w:val="clear" w:pos="9072"/>
        </w:tabs>
        <w:spacing w:before="120" w:after="120"/>
        <w:rPr>
          <w:rFonts w:ascii="Arial" w:hAnsi="Arial"/>
          <w:b/>
          <w:smallCaps/>
          <w14:shadow w14:blurRad="50800" w14:dist="38100" w14:dir="2700000" w14:sx="100000" w14:sy="100000" w14:kx="0" w14:ky="0" w14:algn="tl">
            <w14:srgbClr w14:val="000000">
              <w14:alpha w14:val="60000"/>
            </w14:srgbClr>
          </w14:shadow>
        </w:rPr>
      </w:pPr>
    </w:p>
    <w:p w:rsidR="002416B1" w:rsidRPr="00587FAE" w:rsidRDefault="00587FAE" w:rsidP="00507035">
      <w:pPr>
        <w:pStyle w:val="Hlavika"/>
        <w:tabs>
          <w:tab w:val="clear" w:pos="9072"/>
        </w:tabs>
        <w:spacing w:before="120" w:after="120"/>
        <w:rPr>
          <w:rFonts w:ascii="Arial" w:hAnsi="Arial"/>
          <w:b/>
          <w:smallCaps/>
          <w14:shadow w14:blurRad="50800" w14:dist="38100" w14:dir="2700000" w14:sx="100000" w14:sy="100000" w14:kx="0" w14:ky="0" w14:algn="tl">
            <w14:srgbClr w14:val="000000">
              <w14:alpha w14:val="60000"/>
            </w14:srgbClr>
          </w14:shadow>
        </w:rPr>
      </w:pPr>
      <w:r>
        <w:rPr>
          <w:noProof/>
        </w:rPr>
        <w:drawing>
          <wp:anchor distT="0" distB="0" distL="114300" distR="114300" simplePos="0" relativeHeight="251660288" behindDoc="1" locked="0" layoutInCell="1" allowOverlap="0" wp14:anchorId="121E3079" wp14:editId="2B363C85">
            <wp:simplePos x="0" y="0"/>
            <wp:positionH relativeFrom="column">
              <wp:posOffset>-57150</wp:posOffset>
            </wp:positionH>
            <wp:positionV relativeFrom="paragraph">
              <wp:posOffset>-1905</wp:posOffset>
            </wp:positionV>
            <wp:extent cx="795655" cy="1021715"/>
            <wp:effectExtent l="0" t="0" r="4445" b="6985"/>
            <wp:wrapNone/>
            <wp:docPr id="26" name="Obrázo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95655" cy="1021715"/>
                    </a:xfrm>
                    <a:prstGeom prst="rect">
                      <a:avLst/>
                    </a:prstGeom>
                    <a:noFill/>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56192" behindDoc="0" locked="0" layoutInCell="1" allowOverlap="1" wp14:anchorId="5ABC7462" wp14:editId="0AC9CB0A">
                <wp:simplePos x="0" y="0"/>
                <wp:positionH relativeFrom="column">
                  <wp:posOffset>4559300</wp:posOffset>
                </wp:positionH>
                <wp:positionV relativeFrom="paragraph">
                  <wp:posOffset>-1905</wp:posOffset>
                </wp:positionV>
                <wp:extent cx="1543685" cy="1156970"/>
                <wp:effectExtent l="0" t="0" r="4445" b="3175"/>
                <wp:wrapNone/>
                <wp:docPr id="2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43685" cy="115697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E61207" w:rsidRDefault="00E61207">
                            <w:r>
                              <w:rPr>
                                <w:rFonts w:ascii="Arial" w:hAnsi="Arial"/>
                                <w:b/>
                                <w:smallCaps/>
                                <w:noProof/>
                              </w:rPr>
                              <w:drawing>
                                <wp:inline distT="0" distB="0" distL="0" distR="0" wp14:anchorId="342C3C7B" wp14:editId="2019149A">
                                  <wp:extent cx="1359535" cy="1065530"/>
                                  <wp:effectExtent l="0" t="0" r="0" b="1270"/>
                                  <wp:docPr id="2" name="Obrázo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359535" cy="1065530"/>
                                          </a:xfrm>
                                          <a:prstGeom prst="rect">
                                            <a:avLst/>
                                          </a:prstGeom>
                                          <a:noFill/>
                                          <a:ln>
                                            <a:noFill/>
                                          </a:ln>
                                        </pic:spPr>
                                      </pic:pic>
                                    </a:graphicData>
                                  </a:graphic>
                                </wp:inline>
                              </w:drawing>
                            </w:r>
                          </w:p>
                        </w:txbxContent>
                      </wps:txbx>
                      <wps:bodyPr rot="0" vert="horz" wrap="non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margin-left:359pt;margin-top:-.15pt;width:121.55pt;height:91.1pt;z-index:251656192;visibility:visible;mso-wrap-style:non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ufSPgAIAAA8FAAAOAAAAZHJzL2Uyb0RvYy54bWysVGtv2yAU/T5p/wHxPfVjThpbcao+5mlS&#10;95Da/QACOEbDgIDG7qb+911wkmbdJk3T/MEGczmce8+5rC7GXqIdt05oVePsLMWIK6qZUNsaf7lv&#10;ZkuMnCeKEakVr/Ejd/hi/frVajAVz3WnJeMWAYhy1WBq3HlvqiRxtOM9cWfacAWLrbY98TC124RZ&#10;MgB6L5M8TRfJoC0zVlPuHPy9mRbxOuK3Laf+U9s67pGsMXDz8W3jexPeyXpFqq0lphN0T4P8A4ue&#10;CAWHHqFuiCfowYpfoHpBrXa69WdU94luW0F5zAGyydIX2dx1xPCYCxTHmWOZ3P+DpR93ny0SrMb5&#10;HCNFetDono8eXekR5aE8g3EVRN0ZiPMj/AaZY6rO3Gr61SGlrzuitvzSWj10nDCgl4WdycnWCccF&#10;kM3wQTM4hjx4HYHG1vahdlANBOgg0+NRmkCFhiPnxZvFEihSWMuy+aI8j+IlpDpsN9b5d1z3KAxq&#10;bEH7CE92t84HOqQ6hITTnJaCNULKOLHbzbW0aEfAJ018YgYvwqQKwUqHbRPi9AdYwhlhLfCNun8v&#10;s7xIr/Jy1iyW57OiKeYz4LycpVl5VS7SoixumqdAMCuqTjDG1a1Q/ODBrPg7jffdMLknuhANNS7n&#10;oGbM649JpvH5XZK98NCSUvQ1Xh6DSBWUfasYpE0qT4ScxsnP9GOVoQaHb6xK9EGQfjKBHzcjoARz&#10;bDR7BEdYDXqB7HCPwKDT9htGA/RkjRVcGhjJ9wo8VWZFEVo4Tor5eQ4Te7qyOV0higJQjT1G0/Da&#10;T23/YKzYdnDOwcWX4MNGRIc8c9q7F7ouprK/IUJbn85j1PM9tv4BAAD//wMAUEsDBBQABgAIAAAA&#10;IQCf0DZT3gAAAAkBAAAPAAAAZHJzL2Rvd25yZXYueG1sTI/BTsMwEETvSPyDtUjcWsdUtGmIUwEF&#10;7hRoxc2Jt3ZEvI5ipw1/jznBcTSjmTflZnIdO+EQWk8SxDwDhtR43ZKR8P72PMuBhahIq84TSvjG&#10;AJvq8qJUhfZnesXTLhqWSigUSoKNsS84D41Fp8Lc90jJO/rBqZjkYLge1DmVu47fZNmSO9VSWrCq&#10;x0eLzddudBJu7WH6/Fhsn8amXvXH1rxsH8xeyuur6f4OWMQp/oXhFz+hQ5WYaj+SDqyTsBJ5+hIl&#10;zBbAkr9eCgGsTsFcrIFXJf//oPoBAAD//wMAUEsBAi0AFAAGAAgAAAAhALaDOJL+AAAA4QEAABMA&#10;AAAAAAAAAAAAAAAAAAAAAFtDb250ZW50X1R5cGVzXS54bWxQSwECLQAUAAYACAAAACEAOP0h/9YA&#10;AACUAQAACwAAAAAAAAAAAAAAAAAvAQAAX3JlbHMvLnJlbHNQSwECLQAUAAYACAAAACEAsbn0j4AC&#10;AAAPBQAADgAAAAAAAAAAAAAAAAAuAgAAZHJzL2Uyb0RvYy54bWxQSwECLQAUAAYACAAAACEAn9A2&#10;U94AAAAJAQAADwAAAAAAAAAAAAAAAADaBAAAZHJzL2Rvd25yZXYueG1sUEsFBgAAAAAEAAQA8wAA&#10;AOUFAAAAAA==&#10;" stroked="f">
                <v:textbox style="mso-fit-shape-to-text:t">
                  <w:txbxContent>
                    <w:p w:rsidR="00E61207" w:rsidRDefault="00E61207">
                      <w:r>
                        <w:rPr>
                          <w:rFonts w:ascii="Arial" w:hAnsi="Arial"/>
                          <w:b/>
                          <w:smallCaps/>
                          <w:noProof/>
                        </w:rPr>
                        <w:drawing>
                          <wp:inline distT="0" distB="0" distL="0" distR="0" wp14:anchorId="342C3C7B" wp14:editId="2019149A">
                            <wp:extent cx="1359535" cy="1065530"/>
                            <wp:effectExtent l="0" t="0" r="0" b="1270"/>
                            <wp:docPr id="2" name="Obrázo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359535" cy="1065530"/>
                                    </a:xfrm>
                                    <a:prstGeom prst="rect">
                                      <a:avLst/>
                                    </a:prstGeom>
                                    <a:noFill/>
                                    <a:ln>
                                      <a:noFill/>
                                    </a:ln>
                                  </pic:spPr>
                                </pic:pic>
                              </a:graphicData>
                            </a:graphic>
                          </wp:inline>
                        </w:drawing>
                      </w:r>
                    </w:p>
                  </w:txbxContent>
                </v:textbox>
              </v:shape>
            </w:pict>
          </mc:Fallback>
        </mc:AlternateContent>
      </w:r>
      <w:r>
        <w:rPr>
          <w:noProof/>
        </w:rPr>
        <mc:AlternateContent>
          <mc:Choice Requires="wps">
            <w:drawing>
              <wp:anchor distT="0" distB="0" distL="114300" distR="114300" simplePos="0" relativeHeight="251655168" behindDoc="0" locked="0" layoutInCell="1" allowOverlap="1" wp14:anchorId="7A7F06A3" wp14:editId="762E8A68">
                <wp:simplePos x="0" y="0"/>
                <wp:positionH relativeFrom="column">
                  <wp:posOffset>984885</wp:posOffset>
                </wp:positionH>
                <wp:positionV relativeFrom="paragraph">
                  <wp:posOffset>121920</wp:posOffset>
                </wp:positionV>
                <wp:extent cx="3525520" cy="1018540"/>
                <wp:effectExtent l="3810" t="0" r="4445" b="2540"/>
                <wp:wrapNone/>
                <wp:docPr id="24" name="Blok textu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25520" cy="10185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E61207" w:rsidRPr="00587FAE" w:rsidRDefault="00E61207" w:rsidP="0073168E">
                            <w:pPr>
                              <w:pStyle w:val="Hlavika"/>
                              <w:tabs>
                                <w:tab w:val="clear" w:pos="9072"/>
                              </w:tabs>
                              <w:jc w:val="center"/>
                              <w:rPr>
                                <w:rFonts w:ascii="Arial" w:hAnsi="Arial"/>
                                <w:b/>
                                <w:smallCaps/>
                                <w14:shadow w14:blurRad="50800" w14:dist="38100" w14:dir="2700000" w14:sx="100000" w14:sy="100000" w14:kx="0" w14:ky="0" w14:algn="tl">
                                  <w14:srgbClr w14:val="000000">
                                    <w14:alpha w14:val="60000"/>
                                  </w14:srgbClr>
                                </w14:shadow>
                              </w:rPr>
                            </w:pPr>
                            <w:r w:rsidRPr="00587FAE">
                              <w:rPr>
                                <w:rFonts w:ascii="Arial" w:hAnsi="Arial"/>
                                <w:b/>
                                <w:smallCaps/>
                                <w14:shadow w14:blurRad="50800" w14:dist="38100" w14:dir="2700000" w14:sx="100000" w14:sy="100000" w14:kx="0" w14:ky="0" w14:algn="tl">
                                  <w14:srgbClr w14:val="000000">
                                    <w14:alpha w14:val="60000"/>
                                  </w14:srgbClr>
                                </w14:shadow>
                              </w:rPr>
                              <w:t>MINISTERSTVO ŽIVOTNÉHO PROSTREDIA</w:t>
                            </w:r>
                          </w:p>
                          <w:p w:rsidR="00E61207" w:rsidRPr="00587FAE" w:rsidRDefault="00E61207" w:rsidP="0073168E">
                            <w:pPr>
                              <w:pStyle w:val="Hlavika"/>
                              <w:tabs>
                                <w:tab w:val="left" w:pos="3345"/>
                                <w:tab w:val="center" w:pos="7371"/>
                              </w:tabs>
                              <w:jc w:val="center"/>
                              <w:rPr>
                                <w:rFonts w:ascii="Arial" w:hAnsi="Arial"/>
                                <w:b/>
                                <w:smallCaps/>
                                <w14:shadow w14:blurRad="50800" w14:dist="38100" w14:dir="2700000" w14:sx="100000" w14:sy="100000" w14:kx="0" w14:ky="0" w14:algn="tl">
                                  <w14:srgbClr w14:val="000000">
                                    <w14:alpha w14:val="60000"/>
                                  </w14:srgbClr>
                                </w14:shadow>
                              </w:rPr>
                            </w:pPr>
                            <w:r w:rsidRPr="00587FAE">
                              <w:rPr>
                                <w:rFonts w:ascii="Arial" w:hAnsi="Arial"/>
                                <w:b/>
                                <w:smallCaps/>
                                <w14:shadow w14:blurRad="50800" w14:dist="38100" w14:dir="2700000" w14:sx="100000" w14:sy="100000" w14:kx="0" w14:ky="0" w14:algn="tl">
                                  <w14:srgbClr w14:val="000000">
                                    <w14:alpha w14:val="60000"/>
                                  </w14:srgbClr>
                                </w14:shadow>
                              </w:rPr>
                              <w:t>SLOVENSKEJ REPUBLIKY</w:t>
                            </w:r>
                          </w:p>
                          <w:p w:rsidR="00E61207" w:rsidRPr="00587FAE" w:rsidRDefault="00E61207" w:rsidP="0073168E">
                            <w:pPr>
                              <w:pStyle w:val="Hlavika"/>
                              <w:jc w:val="center"/>
                              <w:rPr>
                                <w:rFonts w:ascii="Arial" w:hAnsi="Arial"/>
                                <w:b/>
                                <w:sz w:val="22"/>
                                <w:szCs w:val="22"/>
                                <w14:shadow w14:blurRad="50800" w14:dist="38100" w14:dir="2700000" w14:sx="100000" w14:sy="100000" w14:kx="0" w14:ky="0" w14:algn="tl">
                                  <w14:srgbClr w14:val="000000">
                                    <w14:alpha w14:val="60000"/>
                                  </w14:srgbClr>
                                </w14:shadow>
                              </w:rPr>
                            </w:pPr>
                            <w:r w:rsidRPr="00587FAE">
                              <w:rPr>
                                <w:rFonts w:ascii="Arial" w:hAnsi="Arial"/>
                                <w:b/>
                                <w:sz w:val="22"/>
                                <w:szCs w:val="22"/>
                                <w14:shadow w14:blurRad="50800" w14:dist="38100" w14:dir="2700000" w14:sx="100000" w14:sy="100000" w14:kx="0" w14:ky="0" w14:algn="tl">
                                  <w14:srgbClr w14:val="000000">
                                    <w14:alpha w14:val="60000"/>
                                  </w14:srgbClr>
                                </w14:shadow>
                              </w:rPr>
                              <w:t>riadiaci orgán</w:t>
                            </w:r>
                          </w:p>
                          <w:p w:rsidR="00E61207" w:rsidRPr="00587FAE" w:rsidRDefault="00E61207" w:rsidP="0073168E">
                            <w:pPr>
                              <w:spacing w:line="360" w:lineRule="auto"/>
                              <w:jc w:val="center"/>
                              <w:rPr>
                                <w:rFonts w:ascii="Arial" w:hAnsi="Arial" w:cs="Arial"/>
                                <w:b/>
                                <w:sz w:val="22"/>
                                <w:szCs w:val="22"/>
                                <w14:shadow w14:blurRad="50800" w14:dist="38100" w14:dir="2700000" w14:sx="100000" w14:sy="100000" w14:kx="0" w14:ky="0" w14:algn="tl">
                                  <w14:srgbClr w14:val="000000">
                                    <w14:alpha w14:val="60000"/>
                                  </w14:srgbClr>
                                </w14:shadow>
                              </w:rPr>
                            </w:pPr>
                            <w:r w:rsidRPr="00587FAE">
                              <w:rPr>
                                <w:rFonts w:ascii="Arial" w:hAnsi="Arial"/>
                                <w:b/>
                                <w:sz w:val="22"/>
                                <w:szCs w:val="22"/>
                                <w14:shadow w14:blurRad="50800" w14:dist="38100" w14:dir="2700000" w14:sx="100000" w14:sy="100000" w14:kx="0" w14:ky="0" w14:algn="tl">
                                  <w14:srgbClr w14:val="000000">
                                    <w14:alpha w14:val="60000"/>
                                  </w14:srgbClr>
                                </w14:shadow>
                              </w:rPr>
                              <w:t>pre Operačný program Životné prostredie</w:t>
                            </w:r>
                          </w:p>
                          <w:p w:rsidR="00E61207" w:rsidRDefault="00E61207"/>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Blok textu 2" o:spid="_x0000_s1027" type="#_x0000_t202" style="position:absolute;margin-left:77.55pt;margin-top:9.6pt;width:277.6pt;height:80.2pt;z-index:251655168;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gIBxhwIAABoFAAAOAAAAZHJzL2Uyb0RvYy54bWysVG1v2yAQ/j5p/wHxPfXLnDa26lRNO0+T&#10;uhep2w8ggGNUDAxI7G7af9+BkzTrNmma5g8YuOPh7p7nuLwae4l23DqhVY2zsxQjrqhmQm1q/PlT&#10;M1tg5DxRjEiteI0fucNXy5cvLgdT8Vx3WjJuEYAoVw2mxp33pkoSRzveE3emDVdgbLXtiYel3STM&#10;kgHQe5nkaXqeDNoyYzXlzsHu7WTEy4jftpz6D23ruEeyxhCbj6ON4zqMyfKSVBtLTCfoPgzyD1H0&#10;RCi49Ah1SzxBWyt+geoFtdrp1p9R3Se6bQXlMQfIJkufZXPfEcNjLlAcZ45lcv8Plr7ffbRIsBrn&#10;BUaK9MDRSuoH5PnotygPBRqMq8Dv3oCnH1d6BKJjss7cafrgkNI3HVEbfm2tHjpOGASYhZPJydEJ&#10;xwWQ9fBOM7iIbL2OQGNr+1A9qAcCdCDq8UgOxIEobL6a5/N5DiYKtizNFvMi0peQ6nDcWOffcN2j&#10;MKmxBfYjPNndOR/CIdXBJdzmtBSsEVLGhd2sb6RFOwJKaeIXM3jmJlVwVjocmxCnHYgS7gi2EG9k&#10;/luZ5UW6ystZc764mBVNMZ+VF+lilmblqjxPi7K4bb6HALOi6gRjXN0JxQ8qzIq/Y3nfD5N+og7R&#10;UOMSqjVx9Mck0/j9LsleeGhKKfoaL45OpArMvlYM0iaVJ0JO8+Tn8GOVoQaHf6xK1EGgfhKBH9dj&#10;1FwUSdDIWrNHEIbVQBtQDA8KTDptv2I0QHPW2H3ZEssxkm8ViKvMCiAf+bgo5hdBFvbUsj61EEUB&#10;qsYeo2l646cXYGus2HRw00HO1yDIRkSpPEW1lzE0YMxp/1iEDj9dR6+nJ235AwAA//8DAFBLAwQU&#10;AAYACAAAACEAM9hHoN4AAAAKAQAADwAAAGRycy9kb3ducmV2LnhtbEyPzU7DMBCE70i8g7VI3KiT&#10;orQ0xKkqKi4ckChIcHTjTRzhP9luGt6e5URvO7uj2W+a7WwNmzCm0TsB5aIAhq7zanSDgI/357sH&#10;YClLp6TxDgX8YIJte33VyFr5s3vD6ZAHRiEu1VKAzjnUnKdOo5Vp4QM6uvU+WplJxoGrKM8Ubg1f&#10;FsWKWzk6+qBlwCeN3ffhZAV8Wj2qfXz96pWZ9i/9rgpzDELc3sy7R2AZ5/xvhj98QoeWmI7+5FRi&#10;hnRVlWSlYbMERoZ1WdwDO9JivVkBbxt+WaH9BQAA//8DAFBLAQItABQABgAIAAAAIQC2gziS/gAA&#10;AOEBAAATAAAAAAAAAAAAAAAAAAAAAABbQ29udGVudF9UeXBlc10ueG1sUEsBAi0AFAAGAAgAAAAh&#10;ADj9If/WAAAAlAEAAAsAAAAAAAAAAAAAAAAALwEAAF9yZWxzLy5yZWxzUEsBAi0AFAAGAAgAAAAh&#10;AAqAgHGHAgAAGgUAAA4AAAAAAAAAAAAAAAAALgIAAGRycy9lMm9Eb2MueG1sUEsBAi0AFAAGAAgA&#10;AAAhADPYR6DeAAAACgEAAA8AAAAAAAAAAAAAAAAA4QQAAGRycy9kb3ducmV2LnhtbFBLBQYAAAAA&#10;BAAEAPMAAADsBQAAAAA=&#10;" stroked="f">
                <v:textbox style="mso-fit-shape-to-text:t">
                  <w:txbxContent>
                    <w:p w:rsidR="00E61207" w:rsidRPr="00587FAE" w:rsidRDefault="00E61207" w:rsidP="0073168E">
                      <w:pPr>
                        <w:pStyle w:val="Hlavika"/>
                        <w:tabs>
                          <w:tab w:val="clear" w:pos="9072"/>
                        </w:tabs>
                        <w:jc w:val="center"/>
                        <w:rPr>
                          <w:rFonts w:ascii="Arial" w:hAnsi="Arial"/>
                          <w:b/>
                          <w:smallCaps/>
                          <w14:shadow w14:blurRad="50800" w14:dist="38100" w14:dir="2700000" w14:sx="100000" w14:sy="100000" w14:kx="0" w14:ky="0" w14:algn="tl">
                            <w14:srgbClr w14:val="000000">
                              <w14:alpha w14:val="60000"/>
                            </w14:srgbClr>
                          </w14:shadow>
                        </w:rPr>
                      </w:pPr>
                      <w:r w:rsidRPr="00587FAE">
                        <w:rPr>
                          <w:rFonts w:ascii="Arial" w:hAnsi="Arial"/>
                          <w:b/>
                          <w:smallCaps/>
                          <w14:shadow w14:blurRad="50800" w14:dist="38100" w14:dir="2700000" w14:sx="100000" w14:sy="100000" w14:kx="0" w14:ky="0" w14:algn="tl">
                            <w14:srgbClr w14:val="000000">
                              <w14:alpha w14:val="60000"/>
                            </w14:srgbClr>
                          </w14:shadow>
                        </w:rPr>
                        <w:t>MINISTERSTVO ŽIVOTNÉHO PROSTREDIA</w:t>
                      </w:r>
                    </w:p>
                    <w:p w:rsidR="00E61207" w:rsidRPr="00587FAE" w:rsidRDefault="00E61207" w:rsidP="0073168E">
                      <w:pPr>
                        <w:pStyle w:val="Hlavika"/>
                        <w:tabs>
                          <w:tab w:val="left" w:pos="3345"/>
                          <w:tab w:val="center" w:pos="7371"/>
                        </w:tabs>
                        <w:jc w:val="center"/>
                        <w:rPr>
                          <w:rFonts w:ascii="Arial" w:hAnsi="Arial"/>
                          <w:b/>
                          <w:smallCaps/>
                          <w14:shadow w14:blurRad="50800" w14:dist="38100" w14:dir="2700000" w14:sx="100000" w14:sy="100000" w14:kx="0" w14:ky="0" w14:algn="tl">
                            <w14:srgbClr w14:val="000000">
                              <w14:alpha w14:val="60000"/>
                            </w14:srgbClr>
                          </w14:shadow>
                        </w:rPr>
                      </w:pPr>
                      <w:r w:rsidRPr="00587FAE">
                        <w:rPr>
                          <w:rFonts w:ascii="Arial" w:hAnsi="Arial"/>
                          <w:b/>
                          <w:smallCaps/>
                          <w14:shadow w14:blurRad="50800" w14:dist="38100" w14:dir="2700000" w14:sx="100000" w14:sy="100000" w14:kx="0" w14:ky="0" w14:algn="tl">
                            <w14:srgbClr w14:val="000000">
                              <w14:alpha w14:val="60000"/>
                            </w14:srgbClr>
                          </w14:shadow>
                        </w:rPr>
                        <w:t>SLOVENSKEJ REPUBLIKY</w:t>
                      </w:r>
                    </w:p>
                    <w:p w:rsidR="00E61207" w:rsidRPr="00587FAE" w:rsidRDefault="00E61207" w:rsidP="0073168E">
                      <w:pPr>
                        <w:pStyle w:val="Hlavika"/>
                        <w:jc w:val="center"/>
                        <w:rPr>
                          <w:rFonts w:ascii="Arial" w:hAnsi="Arial"/>
                          <w:b/>
                          <w:sz w:val="22"/>
                          <w:szCs w:val="22"/>
                          <w14:shadow w14:blurRad="50800" w14:dist="38100" w14:dir="2700000" w14:sx="100000" w14:sy="100000" w14:kx="0" w14:ky="0" w14:algn="tl">
                            <w14:srgbClr w14:val="000000">
                              <w14:alpha w14:val="60000"/>
                            </w14:srgbClr>
                          </w14:shadow>
                        </w:rPr>
                      </w:pPr>
                      <w:r w:rsidRPr="00587FAE">
                        <w:rPr>
                          <w:rFonts w:ascii="Arial" w:hAnsi="Arial"/>
                          <w:b/>
                          <w:sz w:val="22"/>
                          <w:szCs w:val="22"/>
                          <w14:shadow w14:blurRad="50800" w14:dist="38100" w14:dir="2700000" w14:sx="100000" w14:sy="100000" w14:kx="0" w14:ky="0" w14:algn="tl">
                            <w14:srgbClr w14:val="000000">
                              <w14:alpha w14:val="60000"/>
                            </w14:srgbClr>
                          </w14:shadow>
                        </w:rPr>
                        <w:t>riadiaci orgán</w:t>
                      </w:r>
                    </w:p>
                    <w:p w:rsidR="00E61207" w:rsidRPr="00587FAE" w:rsidRDefault="00E61207" w:rsidP="0073168E">
                      <w:pPr>
                        <w:spacing w:line="360" w:lineRule="auto"/>
                        <w:jc w:val="center"/>
                        <w:rPr>
                          <w:rFonts w:ascii="Arial" w:hAnsi="Arial" w:cs="Arial"/>
                          <w:b/>
                          <w:sz w:val="22"/>
                          <w:szCs w:val="22"/>
                          <w14:shadow w14:blurRad="50800" w14:dist="38100" w14:dir="2700000" w14:sx="100000" w14:sy="100000" w14:kx="0" w14:ky="0" w14:algn="tl">
                            <w14:srgbClr w14:val="000000">
                              <w14:alpha w14:val="60000"/>
                            </w14:srgbClr>
                          </w14:shadow>
                        </w:rPr>
                      </w:pPr>
                      <w:r w:rsidRPr="00587FAE">
                        <w:rPr>
                          <w:rFonts w:ascii="Arial" w:hAnsi="Arial"/>
                          <w:b/>
                          <w:sz w:val="22"/>
                          <w:szCs w:val="22"/>
                          <w14:shadow w14:blurRad="50800" w14:dist="38100" w14:dir="2700000" w14:sx="100000" w14:sy="100000" w14:kx="0" w14:ky="0" w14:algn="tl">
                            <w14:srgbClr w14:val="000000">
                              <w14:alpha w14:val="60000"/>
                            </w14:srgbClr>
                          </w14:shadow>
                        </w:rPr>
                        <w:t>pre Operačný program Životné prostredie</w:t>
                      </w:r>
                    </w:p>
                    <w:p w:rsidR="00E61207" w:rsidRDefault="00E61207"/>
                  </w:txbxContent>
                </v:textbox>
              </v:shape>
            </w:pict>
          </mc:Fallback>
        </mc:AlternateContent>
      </w:r>
    </w:p>
    <w:p w:rsidR="002416B1" w:rsidRPr="00587FAE" w:rsidRDefault="00587FAE" w:rsidP="00507035">
      <w:pPr>
        <w:pStyle w:val="Hlavika"/>
        <w:tabs>
          <w:tab w:val="clear" w:pos="4536"/>
          <w:tab w:val="clear" w:pos="9072"/>
        </w:tabs>
        <w:spacing w:before="120" w:after="120"/>
        <w:jc w:val="right"/>
        <w:rPr>
          <w:rFonts w:ascii="Arial" w:hAnsi="Arial"/>
          <w:b/>
          <w:sz w:val="22"/>
          <w:szCs w:val="22"/>
          <w14:shadow w14:blurRad="50800" w14:dist="38100" w14:dir="2700000" w14:sx="100000" w14:sy="100000" w14:kx="0" w14:ky="0" w14:algn="tl">
            <w14:srgbClr w14:val="000000">
              <w14:alpha w14:val="60000"/>
            </w14:srgbClr>
          </w14:shadow>
        </w:rPr>
      </w:pPr>
      <w:r>
        <w:rPr>
          <w:noProof/>
        </w:rPr>
        <w:drawing>
          <wp:anchor distT="0" distB="0" distL="114300" distR="114300" simplePos="0" relativeHeight="251659264" behindDoc="1" locked="0" layoutInCell="1" allowOverlap="1" wp14:anchorId="7280A6E6" wp14:editId="4C8FADC8">
            <wp:simplePos x="0" y="0"/>
            <wp:positionH relativeFrom="column">
              <wp:posOffset>4686300</wp:posOffset>
            </wp:positionH>
            <wp:positionV relativeFrom="paragraph">
              <wp:posOffset>-114300</wp:posOffset>
            </wp:positionV>
            <wp:extent cx="1194435" cy="803910"/>
            <wp:effectExtent l="0" t="0" r="5715" b="0"/>
            <wp:wrapNone/>
            <wp:docPr id="23" name="Obrázo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194435" cy="803910"/>
                    </a:xfrm>
                    <a:prstGeom prst="rect">
                      <a:avLst/>
                    </a:prstGeom>
                    <a:noFill/>
                  </pic:spPr>
                </pic:pic>
              </a:graphicData>
            </a:graphic>
            <wp14:sizeRelH relativeFrom="page">
              <wp14:pctWidth>0</wp14:pctWidth>
            </wp14:sizeRelH>
            <wp14:sizeRelV relativeFrom="page">
              <wp14:pctHeight>0</wp14:pctHeight>
            </wp14:sizeRelV>
          </wp:anchor>
        </w:drawing>
      </w:r>
      <w:r w:rsidR="002416B1" w:rsidRPr="00587FAE">
        <w:rPr>
          <w:rFonts w:ascii="Arial" w:hAnsi="Arial" w:cs="Arial"/>
          <w:sz w:val="22"/>
          <w:szCs w:val="22"/>
          <w14:shadow w14:blurRad="50800" w14:dist="38100" w14:dir="2700000" w14:sx="100000" w14:sy="100000" w14:kx="0" w14:ky="0" w14:algn="tl">
            <w14:srgbClr w14:val="000000">
              <w14:alpha w14:val="60000"/>
            </w14:srgbClr>
          </w14:shadow>
        </w:rPr>
        <w:t xml:space="preserve"> </w:t>
      </w:r>
    </w:p>
    <w:p w:rsidR="002416B1" w:rsidRPr="00587FAE" w:rsidRDefault="002416B1" w:rsidP="00507035">
      <w:pPr>
        <w:spacing w:before="120" w:after="120" w:line="360" w:lineRule="auto"/>
        <w:jc w:val="center"/>
        <w:rPr>
          <w:rFonts w:ascii="Arial" w:hAnsi="Arial" w:cs="Arial"/>
          <w:sz w:val="22"/>
          <w:szCs w:val="22"/>
          <w14:shadow w14:blurRad="50800" w14:dist="38100" w14:dir="2700000" w14:sx="100000" w14:sy="100000" w14:kx="0" w14:ky="0" w14:algn="tl">
            <w14:srgbClr w14:val="000000">
              <w14:alpha w14:val="60000"/>
            </w14:srgbClr>
          </w14:shadow>
        </w:rPr>
      </w:pPr>
    </w:p>
    <w:p w:rsidR="002416B1" w:rsidRPr="00587FAE" w:rsidRDefault="002416B1" w:rsidP="00507035">
      <w:pPr>
        <w:spacing w:before="120" w:after="120" w:line="360" w:lineRule="auto"/>
        <w:jc w:val="both"/>
        <w:rPr>
          <w:rFonts w:ascii="Arial" w:hAnsi="Arial" w:cs="Arial"/>
          <w:b/>
          <w:sz w:val="22"/>
          <w:szCs w:val="22"/>
          <w14:shadow w14:blurRad="50800" w14:dist="38100" w14:dir="2700000" w14:sx="100000" w14:sy="100000" w14:kx="0" w14:ky="0" w14:algn="tl">
            <w14:srgbClr w14:val="000000">
              <w14:alpha w14:val="60000"/>
            </w14:srgbClr>
          </w14:shadow>
        </w:rPr>
      </w:pPr>
    </w:p>
    <w:p w:rsidR="002416B1" w:rsidRPr="00587FAE" w:rsidRDefault="002416B1" w:rsidP="00507035">
      <w:pPr>
        <w:spacing w:before="120" w:after="120" w:line="360" w:lineRule="auto"/>
        <w:jc w:val="both"/>
        <w:rPr>
          <w:rFonts w:ascii="Arial" w:hAnsi="Arial" w:cs="Arial"/>
          <w:b/>
          <w:sz w:val="22"/>
          <w:szCs w:val="22"/>
          <w14:shadow w14:blurRad="50800" w14:dist="38100" w14:dir="2700000" w14:sx="100000" w14:sy="100000" w14:kx="0" w14:ky="0" w14:algn="tl">
            <w14:srgbClr w14:val="000000">
              <w14:alpha w14:val="60000"/>
            </w14:srgbClr>
          </w14:shadow>
        </w:rPr>
      </w:pPr>
    </w:p>
    <w:p w:rsidR="00A322EA" w:rsidRPr="00587FAE" w:rsidRDefault="00A322EA" w:rsidP="00507035">
      <w:pPr>
        <w:spacing w:before="120" w:after="120" w:line="360" w:lineRule="auto"/>
        <w:jc w:val="both"/>
        <w:rPr>
          <w:rFonts w:ascii="Arial" w:hAnsi="Arial" w:cs="Arial"/>
          <w:b/>
          <w:sz w:val="22"/>
          <w:szCs w:val="22"/>
          <w14:shadow w14:blurRad="50800" w14:dist="38100" w14:dir="2700000" w14:sx="100000" w14:sy="100000" w14:kx="0" w14:ky="0" w14:algn="tl">
            <w14:srgbClr w14:val="000000">
              <w14:alpha w14:val="60000"/>
            </w14:srgbClr>
          </w14:shadow>
        </w:rPr>
      </w:pPr>
    </w:p>
    <w:p w:rsidR="00A322EA" w:rsidRPr="00587FAE" w:rsidRDefault="00A322EA" w:rsidP="00507035">
      <w:pPr>
        <w:spacing w:before="120" w:after="120" w:line="360" w:lineRule="auto"/>
        <w:jc w:val="both"/>
        <w:rPr>
          <w:rFonts w:ascii="Arial" w:hAnsi="Arial" w:cs="Arial"/>
          <w:b/>
          <w:sz w:val="22"/>
          <w:szCs w:val="22"/>
          <w14:shadow w14:blurRad="50800" w14:dist="38100" w14:dir="2700000" w14:sx="100000" w14:sy="100000" w14:kx="0" w14:ky="0" w14:algn="tl">
            <w14:srgbClr w14:val="000000">
              <w14:alpha w14:val="60000"/>
            </w14:srgbClr>
          </w14:shadow>
        </w:rPr>
      </w:pPr>
    </w:p>
    <w:p w:rsidR="00A322EA" w:rsidRPr="00587FAE" w:rsidRDefault="00A322EA" w:rsidP="00507035">
      <w:pPr>
        <w:spacing w:before="120" w:after="120" w:line="360" w:lineRule="auto"/>
        <w:jc w:val="both"/>
        <w:rPr>
          <w:rFonts w:ascii="Arial" w:hAnsi="Arial" w:cs="Arial"/>
          <w:b/>
          <w:sz w:val="22"/>
          <w:szCs w:val="22"/>
          <w14:shadow w14:blurRad="50800" w14:dist="38100" w14:dir="2700000" w14:sx="100000" w14:sy="100000" w14:kx="0" w14:ky="0" w14:algn="tl">
            <w14:srgbClr w14:val="000000">
              <w14:alpha w14:val="60000"/>
            </w14:srgbClr>
          </w14:shadow>
        </w:rPr>
      </w:pPr>
    </w:p>
    <w:p w:rsidR="002416B1" w:rsidRPr="00587FAE" w:rsidRDefault="002416B1" w:rsidP="00507035">
      <w:pPr>
        <w:spacing w:before="120" w:after="120" w:line="360" w:lineRule="auto"/>
        <w:jc w:val="both"/>
        <w:rPr>
          <w:rFonts w:ascii="Arial" w:hAnsi="Arial" w:cs="Arial"/>
          <w:b/>
          <w:sz w:val="22"/>
          <w:szCs w:val="22"/>
          <w14:shadow w14:blurRad="50800" w14:dist="38100" w14:dir="2700000" w14:sx="100000" w14:sy="100000" w14:kx="0" w14:ky="0" w14:algn="tl">
            <w14:srgbClr w14:val="000000">
              <w14:alpha w14:val="60000"/>
            </w14:srgbClr>
          </w14:shadow>
        </w:rPr>
      </w:pPr>
    </w:p>
    <w:p w:rsidR="002416B1" w:rsidRPr="00587FAE" w:rsidRDefault="002416B1" w:rsidP="00507035">
      <w:pPr>
        <w:spacing w:before="120" w:after="120" w:line="360" w:lineRule="auto"/>
        <w:jc w:val="center"/>
        <w:rPr>
          <w:rFonts w:ascii="Arial" w:hAnsi="Arial" w:cs="Arial"/>
          <w:b/>
          <w:sz w:val="32"/>
          <w:szCs w:val="32"/>
          <w14:shadow w14:blurRad="50800" w14:dist="38100" w14:dir="2700000" w14:sx="100000" w14:sy="100000" w14:kx="0" w14:ky="0" w14:algn="tl">
            <w14:srgbClr w14:val="000000">
              <w14:alpha w14:val="60000"/>
            </w14:srgbClr>
          </w14:shadow>
        </w:rPr>
      </w:pPr>
      <w:r w:rsidRPr="00587FAE">
        <w:rPr>
          <w:rFonts w:ascii="Arial" w:hAnsi="Arial" w:cs="Arial"/>
          <w:b/>
          <w:sz w:val="32"/>
          <w:szCs w:val="32"/>
          <w14:shadow w14:blurRad="50800" w14:dist="38100" w14:dir="2700000" w14:sx="100000" w14:sy="100000" w14:kx="0" w14:ky="0" w14:algn="tl">
            <w14:srgbClr w14:val="000000">
              <w14:alpha w14:val="60000"/>
            </w14:srgbClr>
          </w14:shadow>
        </w:rPr>
        <w:t>Výročná správa o vykonávaní</w:t>
      </w:r>
    </w:p>
    <w:p w:rsidR="002416B1" w:rsidRPr="00587FAE" w:rsidRDefault="002416B1" w:rsidP="00507035">
      <w:pPr>
        <w:spacing w:before="120" w:after="120" w:line="360" w:lineRule="auto"/>
        <w:jc w:val="center"/>
        <w:rPr>
          <w:rFonts w:ascii="Arial" w:hAnsi="Arial" w:cs="Arial"/>
          <w:b/>
          <w:sz w:val="32"/>
          <w:szCs w:val="32"/>
          <w14:shadow w14:blurRad="50800" w14:dist="38100" w14:dir="2700000" w14:sx="100000" w14:sy="100000" w14:kx="0" w14:ky="0" w14:algn="tl">
            <w14:srgbClr w14:val="000000">
              <w14:alpha w14:val="60000"/>
            </w14:srgbClr>
          </w14:shadow>
        </w:rPr>
      </w:pPr>
      <w:r w:rsidRPr="00587FAE">
        <w:rPr>
          <w:rFonts w:ascii="Arial" w:hAnsi="Arial" w:cs="Arial"/>
          <w:b/>
          <w:sz w:val="32"/>
          <w:szCs w:val="32"/>
          <w14:shadow w14:blurRad="50800" w14:dist="38100" w14:dir="2700000" w14:sx="100000" w14:sy="100000" w14:kx="0" w14:ky="0" w14:algn="tl">
            <w14:srgbClr w14:val="000000">
              <w14:alpha w14:val="60000"/>
            </w14:srgbClr>
          </w14:shadow>
        </w:rPr>
        <w:t>Operačného programu Životné prostredie</w:t>
      </w:r>
    </w:p>
    <w:p w:rsidR="002416B1" w:rsidRPr="00587FAE" w:rsidRDefault="002416B1" w:rsidP="00507035">
      <w:pPr>
        <w:spacing w:before="120" w:after="120" w:line="360" w:lineRule="auto"/>
        <w:jc w:val="center"/>
        <w:rPr>
          <w:rFonts w:ascii="Arial" w:hAnsi="Arial" w:cs="Arial"/>
          <w:b/>
          <w:sz w:val="32"/>
          <w:szCs w:val="32"/>
          <w14:shadow w14:blurRad="50800" w14:dist="38100" w14:dir="2700000" w14:sx="100000" w14:sy="100000" w14:kx="0" w14:ky="0" w14:algn="tl">
            <w14:srgbClr w14:val="000000">
              <w14:alpha w14:val="60000"/>
            </w14:srgbClr>
          </w14:shadow>
        </w:rPr>
      </w:pPr>
      <w:r w:rsidRPr="00587FAE">
        <w:rPr>
          <w:rFonts w:ascii="Arial" w:hAnsi="Arial" w:cs="Arial"/>
          <w:b/>
          <w:sz w:val="32"/>
          <w:szCs w:val="32"/>
          <w14:shadow w14:blurRad="50800" w14:dist="38100" w14:dir="2700000" w14:sx="100000" w14:sy="100000" w14:kx="0" w14:ky="0" w14:algn="tl">
            <w14:srgbClr w14:val="000000">
              <w14:alpha w14:val="60000"/>
            </w14:srgbClr>
          </w14:shadow>
        </w:rPr>
        <w:t>za rok 201</w:t>
      </w:r>
      <w:r w:rsidR="00886CDF" w:rsidRPr="00587FAE">
        <w:rPr>
          <w:rFonts w:ascii="Arial" w:hAnsi="Arial" w:cs="Arial"/>
          <w:b/>
          <w:sz w:val="32"/>
          <w:szCs w:val="32"/>
          <w14:shadow w14:blurRad="50800" w14:dist="38100" w14:dir="2700000" w14:sx="100000" w14:sy="100000" w14:kx="0" w14:ky="0" w14:algn="tl">
            <w14:srgbClr w14:val="000000">
              <w14:alpha w14:val="60000"/>
            </w14:srgbClr>
          </w14:shadow>
        </w:rPr>
        <w:t>2</w:t>
      </w:r>
    </w:p>
    <w:p w:rsidR="002416B1" w:rsidRPr="00587FAE" w:rsidRDefault="002416B1" w:rsidP="00507035">
      <w:pPr>
        <w:spacing w:before="120" w:after="120" w:line="360" w:lineRule="auto"/>
        <w:jc w:val="center"/>
        <w:rPr>
          <w:rFonts w:ascii="Arial" w:hAnsi="Arial" w:cs="Arial"/>
          <w:i/>
          <w:sz w:val="28"/>
          <w:szCs w:val="28"/>
          <w14:shadow w14:blurRad="50800" w14:dist="38100" w14:dir="2700000" w14:sx="100000" w14:sy="100000" w14:kx="0" w14:ky="0" w14:algn="tl">
            <w14:srgbClr w14:val="000000">
              <w14:alpha w14:val="60000"/>
            </w14:srgbClr>
          </w14:shadow>
        </w:rPr>
      </w:pPr>
    </w:p>
    <w:p w:rsidR="002416B1" w:rsidRPr="00587FAE" w:rsidRDefault="002416B1" w:rsidP="00507035">
      <w:pPr>
        <w:spacing w:before="120" w:after="120" w:line="360" w:lineRule="auto"/>
        <w:jc w:val="both"/>
        <w:rPr>
          <w:rFonts w:ascii="Arial" w:hAnsi="Arial" w:cs="Arial"/>
          <w:b/>
          <w:sz w:val="22"/>
          <w:szCs w:val="22"/>
          <w14:shadow w14:blurRad="50800" w14:dist="38100" w14:dir="2700000" w14:sx="100000" w14:sy="100000" w14:kx="0" w14:ky="0" w14:algn="tl">
            <w14:srgbClr w14:val="000000">
              <w14:alpha w14:val="60000"/>
            </w14:srgbClr>
          </w14:shadow>
        </w:rPr>
      </w:pPr>
    </w:p>
    <w:p w:rsidR="002416B1" w:rsidRPr="00587FAE" w:rsidRDefault="002416B1" w:rsidP="00507035">
      <w:pPr>
        <w:spacing w:before="120" w:after="120" w:line="360" w:lineRule="auto"/>
        <w:jc w:val="both"/>
        <w:rPr>
          <w:rFonts w:ascii="Arial" w:hAnsi="Arial" w:cs="Arial"/>
          <w:b/>
          <w:sz w:val="22"/>
          <w:szCs w:val="22"/>
          <w14:shadow w14:blurRad="50800" w14:dist="38100" w14:dir="2700000" w14:sx="100000" w14:sy="100000" w14:kx="0" w14:ky="0" w14:algn="tl">
            <w14:srgbClr w14:val="000000">
              <w14:alpha w14:val="60000"/>
            </w14:srgbClr>
          </w14:shadow>
        </w:rPr>
      </w:pPr>
    </w:p>
    <w:p w:rsidR="002416B1" w:rsidRPr="00587FAE" w:rsidRDefault="002416B1" w:rsidP="00507035">
      <w:pPr>
        <w:spacing w:before="120" w:after="120" w:line="360" w:lineRule="auto"/>
        <w:rPr>
          <w:rFonts w:ascii="Arial" w:hAnsi="Arial"/>
          <w:sz w:val="22"/>
          <w:szCs w:val="22"/>
          <w14:shadow w14:blurRad="50800" w14:dist="38100" w14:dir="2700000" w14:sx="100000" w14:sy="100000" w14:kx="0" w14:ky="0" w14:algn="tl">
            <w14:srgbClr w14:val="000000">
              <w14:alpha w14:val="60000"/>
            </w14:srgbClr>
          </w14:shadow>
        </w:rPr>
      </w:pPr>
    </w:p>
    <w:p w:rsidR="002416B1" w:rsidRPr="00587FAE" w:rsidRDefault="00587FAE" w:rsidP="00507035">
      <w:pPr>
        <w:spacing w:before="120" w:after="120" w:line="360" w:lineRule="auto"/>
        <w:jc w:val="center"/>
        <w:rPr>
          <w:rFonts w:ascii="Arial" w:hAnsi="Arial" w:cs="Arial"/>
          <w:b/>
          <w:sz w:val="22"/>
          <w:szCs w:val="22"/>
          <w:highlight w:val="yellow"/>
          <w14:shadow w14:blurRad="50800" w14:dist="38100" w14:dir="2700000" w14:sx="100000" w14:sy="100000" w14:kx="0" w14:ky="0" w14:algn="tl">
            <w14:srgbClr w14:val="000000">
              <w14:alpha w14:val="60000"/>
            </w14:srgbClr>
          </w14:shadow>
        </w:rPr>
      </w:pPr>
      <w:r>
        <w:rPr>
          <w:rFonts w:ascii="Arial" w:hAnsi="Arial"/>
          <w:noProof/>
          <w:sz w:val="22"/>
          <w:szCs w:val="22"/>
        </w:rPr>
        <w:drawing>
          <wp:inline distT="0" distB="0" distL="0" distR="0" wp14:anchorId="3F0A9E9C" wp14:editId="15738F0E">
            <wp:extent cx="1438910" cy="962025"/>
            <wp:effectExtent l="0" t="0" r="8890" b="9525"/>
            <wp:docPr id="3" name="Obrázo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438910" cy="962025"/>
                    </a:xfrm>
                    <a:prstGeom prst="rect">
                      <a:avLst/>
                    </a:prstGeom>
                    <a:noFill/>
                    <a:ln>
                      <a:noFill/>
                    </a:ln>
                  </pic:spPr>
                </pic:pic>
              </a:graphicData>
            </a:graphic>
          </wp:inline>
        </w:drawing>
      </w:r>
    </w:p>
    <w:p w:rsidR="002416B1" w:rsidRPr="00587FAE" w:rsidRDefault="002416B1" w:rsidP="00507035">
      <w:pPr>
        <w:spacing w:before="120" w:after="120" w:line="360" w:lineRule="auto"/>
        <w:jc w:val="center"/>
        <w:rPr>
          <w:rFonts w:ascii="Arial" w:hAnsi="Arial" w:cs="Arial"/>
          <w:b/>
          <w:highlight w:val="yellow"/>
          <w14:shadow w14:blurRad="50800" w14:dist="38100" w14:dir="2700000" w14:sx="100000" w14:sy="100000" w14:kx="0" w14:ky="0" w14:algn="tl">
            <w14:srgbClr w14:val="000000">
              <w14:alpha w14:val="60000"/>
            </w14:srgbClr>
          </w14:shadow>
        </w:rPr>
      </w:pPr>
    </w:p>
    <w:p w:rsidR="002416B1" w:rsidRPr="00587FAE" w:rsidRDefault="002416B1" w:rsidP="00507035">
      <w:pPr>
        <w:spacing w:before="120" w:after="120" w:line="360" w:lineRule="auto"/>
        <w:jc w:val="center"/>
        <w:rPr>
          <w:rFonts w:ascii="Arial" w:hAnsi="Arial" w:cs="Arial"/>
          <w:b/>
          <w:highlight w:val="yellow"/>
          <w14:shadow w14:blurRad="50800" w14:dist="38100" w14:dir="2700000" w14:sx="100000" w14:sy="100000" w14:kx="0" w14:ky="0" w14:algn="tl">
            <w14:srgbClr w14:val="000000">
              <w14:alpha w14:val="60000"/>
            </w14:srgbClr>
          </w14:shadow>
        </w:rPr>
      </w:pPr>
    </w:p>
    <w:p w:rsidR="002416B1" w:rsidRPr="00587FAE" w:rsidRDefault="00886CDF" w:rsidP="00507035">
      <w:pPr>
        <w:spacing w:before="120" w:after="120" w:line="360" w:lineRule="auto"/>
        <w:jc w:val="center"/>
        <w:rPr>
          <w:rFonts w:ascii="Arial" w:hAnsi="Arial" w:cs="Arial"/>
          <w:b/>
          <w:highlight w:val="yellow"/>
          <w14:shadow w14:blurRad="50800" w14:dist="38100" w14:dir="2700000" w14:sx="100000" w14:sy="100000" w14:kx="0" w14:ky="0" w14:algn="tl">
            <w14:srgbClr w14:val="000000">
              <w14:alpha w14:val="60000"/>
            </w14:srgbClr>
          </w14:shadow>
        </w:rPr>
      </w:pPr>
      <w:r w:rsidRPr="00587FAE">
        <w:rPr>
          <w:rFonts w:ascii="Arial" w:hAnsi="Arial" w:cs="Arial"/>
          <w:b/>
          <w14:shadow w14:blurRad="50800" w14:dist="38100" w14:dir="2700000" w14:sx="100000" w14:sy="100000" w14:kx="0" w14:ky="0" w14:algn="tl">
            <w14:srgbClr w14:val="000000">
              <w14:alpha w14:val="60000"/>
            </w14:srgbClr>
          </w14:shadow>
        </w:rPr>
        <w:t xml:space="preserve">február </w:t>
      </w:r>
      <w:r w:rsidR="002416B1" w:rsidRPr="00587FAE">
        <w:rPr>
          <w:rFonts w:ascii="Arial" w:hAnsi="Arial" w:cs="Arial"/>
          <w:b/>
          <w14:shadow w14:blurRad="50800" w14:dist="38100" w14:dir="2700000" w14:sx="100000" w14:sy="100000" w14:kx="0" w14:ky="0" w14:algn="tl">
            <w14:srgbClr w14:val="000000">
              <w14:alpha w14:val="60000"/>
            </w14:srgbClr>
          </w14:shadow>
        </w:rPr>
        <w:t>201</w:t>
      </w:r>
      <w:r w:rsidRPr="00587FAE">
        <w:rPr>
          <w:rFonts w:ascii="Arial" w:hAnsi="Arial" w:cs="Arial"/>
          <w:b/>
          <w14:shadow w14:blurRad="50800" w14:dist="38100" w14:dir="2700000" w14:sx="100000" w14:sy="100000" w14:kx="0" w14:ky="0" w14:algn="tl">
            <w14:srgbClr w14:val="000000">
              <w14:alpha w14:val="60000"/>
            </w14:srgbClr>
          </w14:shadow>
        </w:rPr>
        <w:t>3</w:t>
      </w:r>
    </w:p>
    <w:p w:rsidR="002416B1" w:rsidRPr="00587FAE" w:rsidRDefault="002416B1" w:rsidP="00507035">
      <w:pPr>
        <w:spacing w:before="120" w:after="120" w:line="360" w:lineRule="auto"/>
        <w:jc w:val="both"/>
        <w:rPr>
          <w:rFonts w:ascii="Arial" w:hAnsi="Arial" w:cs="Arial"/>
          <w:b/>
          <w:sz w:val="22"/>
          <w:szCs w:val="22"/>
          <w:highlight w:val="yellow"/>
          <w14:shadow w14:blurRad="50800" w14:dist="38100" w14:dir="2700000" w14:sx="100000" w14:sy="100000" w14:kx="0" w14:ky="0" w14:algn="tl">
            <w14:srgbClr w14:val="000000">
              <w14:alpha w14:val="60000"/>
            </w14:srgbClr>
          </w14:shadow>
        </w:rPr>
      </w:pPr>
    </w:p>
    <w:p w:rsidR="002416B1" w:rsidRPr="004B33AE" w:rsidRDefault="002416B1" w:rsidP="00507035">
      <w:pPr>
        <w:spacing w:before="120" w:after="120"/>
        <w:rPr>
          <w:rFonts w:ascii="Arial" w:hAnsi="Arial" w:cs="Arial"/>
          <w:b/>
        </w:rPr>
      </w:pPr>
      <w:r w:rsidRPr="004B33AE">
        <w:rPr>
          <w:rFonts w:ascii="Arial" w:hAnsi="Arial" w:cs="Arial"/>
          <w:b/>
        </w:rPr>
        <w:lastRenderedPageBreak/>
        <w:t>OBSAH</w:t>
      </w:r>
    </w:p>
    <w:p w:rsidR="002416B1" w:rsidRPr="00B57F3C" w:rsidRDefault="002416B1" w:rsidP="00507035">
      <w:pPr>
        <w:pStyle w:val="Obsah1"/>
        <w:spacing w:before="120" w:after="120"/>
        <w:rPr>
          <w:szCs w:val="22"/>
        </w:rPr>
      </w:pPr>
      <w:r w:rsidRPr="00587FAE">
        <w:rPr>
          <w:caps/>
          <w:highlight w:val="yellow"/>
          <w14:shadow w14:blurRad="50800" w14:dist="38100" w14:dir="2700000" w14:sx="100000" w14:sy="100000" w14:kx="0" w14:ky="0" w14:algn="tl">
            <w14:srgbClr w14:val="000000">
              <w14:alpha w14:val="60000"/>
            </w14:srgbClr>
          </w14:shadow>
        </w:rPr>
        <w:fldChar w:fldCharType="begin"/>
      </w:r>
      <w:r w:rsidRPr="00587FAE">
        <w:rPr>
          <w:caps/>
          <w:highlight w:val="yellow"/>
          <w14:shadow w14:blurRad="50800" w14:dist="38100" w14:dir="2700000" w14:sx="100000" w14:sy="100000" w14:kx="0" w14:ky="0" w14:algn="tl">
            <w14:srgbClr w14:val="000000">
              <w14:alpha w14:val="60000"/>
            </w14:srgbClr>
          </w14:shadow>
        </w:rPr>
        <w:instrText xml:space="preserve"> TOC \o "1-3" \h \z \u </w:instrText>
      </w:r>
      <w:r w:rsidRPr="00587FAE">
        <w:rPr>
          <w:caps/>
          <w:highlight w:val="yellow"/>
          <w14:shadow w14:blurRad="50800" w14:dist="38100" w14:dir="2700000" w14:sx="100000" w14:sy="100000" w14:kx="0" w14:ky="0" w14:algn="tl">
            <w14:srgbClr w14:val="000000">
              <w14:alpha w14:val="60000"/>
            </w14:srgbClr>
          </w14:shadow>
        </w:rPr>
        <w:fldChar w:fldCharType="separate"/>
      </w:r>
      <w:hyperlink w:anchor="_Toc319573299" w:history="1">
        <w:r w:rsidRPr="00481BE6">
          <w:rPr>
            <w:rStyle w:val="Hypertextovprepojenie"/>
          </w:rPr>
          <w:t>1.</w:t>
        </w:r>
        <w:r w:rsidRPr="00B57F3C">
          <w:rPr>
            <w:szCs w:val="22"/>
          </w:rPr>
          <w:tab/>
        </w:r>
        <w:r w:rsidRPr="00481BE6">
          <w:rPr>
            <w:rStyle w:val="Hypertextovprepojenie"/>
          </w:rPr>
          <w:t>IDENTIFIKÁCIA</w:t>
        </w:r>
        <w:r w:rsidRPr="00481BE6">
          <w:rPr>
            <w:webHidden/>
          </w:rPr>
          <w:tab/>
        </w:r>
        <w:r w:rsidRPr="00481BE6">
          <w:rPr>
            <w:webHidden/>
          </w:rPr>
          <w:fldChar w:fldCharType="begin"/>
        </w:r>
        <w:r w:rsidRPr="00481BE6">
          <w:rPr>
            <w:webHidden/>
          </w:rPr>
          <w:instrText xml:space="preserve"> PAGEREF _Toc319573299 \h </w:instrText>
        </w:r>
        <w:r w:rsidRPr="00481BE6">
          <w:rPr>
            <w:webHidden/>
          </w:rPr>
        </w:r>
        <w:r w:rsidRPr="00481BE6">
          <w:rPr>
            <w:webHidden/>
          </w:rPr>
          <w:fldChar w:fldCharType="separate"/>
        </w:r>
        <w:r w:rsidR="009714AD">
          <w:rPr>
            <w:webHidden/>
          </w:rPr>
          <w:t>4</w:t>
        </w:r>
        <w:r w:rsidRPr="00481BE6">
          <w:rPr>
            <w:webHidden/>
          </w:rPr>
          <w:fldChar w:fldCharType="end"/>
        </w:r>
      </w:hyperlink>
    </w:p>
    <w:p w:rsidR="002416B1" w:rsidRPr="00B57F3C" w:rsidRDefault="009714AD" w:rsidP="00507035">
      <w:pPr>
        <w:pStyle w:val="Obsah1"/>
        <w:spacing w:before="120" w:after="120"/>
        <w:rPr>
          <w:szCs w:val="22"/>
        </w:rPr>
      </w:pPr>
      <w:hyperlink w:anchor="_Toc319573300" w:history="1">
        <w:r w:rsidR="002416B1" w:rsidRPr="00481BE6">
          <w:rPr>
            <w:rStyle w:val="Hypertextovprepojenie"/>
          </w:rPr>
          <w:t>2. PREHĽAD REALIZÁCIE OPERAČNÉHO PROGRAMU ŽIVOTNÉ PROSTREDIE</w:t>
        </w:r>
        <w:r w:rsidR="002416B1" w:rsidRPr="00481BE6">
          <w:rPr>
            <w:webHidden/>
          </w:rPr>
          <w:tab/>
        </w:r>
        <w:r w:rsidR="002416B1" w:rsidRPr="00481BE6">
          <w:rPr>
            <w:webHidden/>
          </w:rPr>
          <w:fldChar w:fldCharType="begin"/>
        </w:r>
        <w:r w:rsidR="002416B1" w:rsidRPr="00481BE6">
          <w:rPr>
            <w:webHidden/>
          </w:rPr>
          <w:instrText xml:space="preserve"> PAGEREF _Toc319573300 \h </w:instrText>
        </w:r>
        <w:r w:rsidR="002416B1" w:rsidRPr="00481BE6">
          <w:rPr>
            <w:webHidden/>
          </w:rPr>
        </w:r>
        <w:r w:rsidR="002416B1" w:rsidRPr="00481BE6">
          <w:rPr>
            <w:webHidden/>
          </w:rPr>
          <w:fldChar w:fldCharType="separate"/>
        </w:r>
        <w:r>
          <w:rPr>
            <w:webHidden/>
          </w:rPr>
          <w:t>5</w:t>
        </w:r>
        <w:r w:rsidR="002416B1" w:rsidRPr="00481BE6">
          <w:rPr>
            <w:webHidden/>
          </w:rPr>
          <w:fldChar w:fldCharType="end"/>
        </w:r>
      </w:hyperlink>
    </w:p>
    <w:p w:rsidR="002416B1" w:rsidRPr="00B57F3C" w:rsidRDefault="009714AD" w:rsidP="00507035">
      <w:pPr>
        <w:pStyle w:val="Obsah2"/>
        <w:tabs>
          <w:tab w:val="right" w:leader="dot" w:pos="9060"/>
        </w:tabs>
        <w:spacing w:before="120" w:after="120"/>
        <w:rPr>
          <w:rFonts w:ascii="Arial" w:hAnsi="Arial" w:cs="Arial"/>
          <w:b w:val="0"/>
          <w:bCs w:val="0"/>
          <w:noProof/>
          <w:sz w:val="22"/>
          <w:szCs w:val="22"/>
        </w:rPr>
      </w:pPr>
      <w:hyperlink w:anchor="_Toc319573301" w:history="1">
        <w:r w:rsidR="002416B1" w:rsidRPr="00481BE6">
          <w:rPr>
            <w:rStyle w:val="Hypertextovprepojenie"/>
            <w:rFonts w:ascii="Arial" w:hAnsi="Arial" w:cs="Arial"/>
            <w:noProof/>
          </w:rPr>
          <w:t>2.1 Dosiahnutý výsledok a analýza dosiahnutého pokroku</w:t>
        </w:r>
        <w:r w:rsidR="002416B1" w:rsidRPr="00481BE6">
          <w:rPr>
            <w:rFonts w:ascii="Arial" w:hAnsi="Arial" w:cs="Arial"/>
            <w:noProof/>
            <w:webHidden/>
          </w:rPr>
          <w:tab/>
        </w:r>
        <w:r w:rsidR="002416B1" w:rsidRPr="00481BE6">
          <w:rPr>
            <w:rFonts w:ascii="Arial" w:hAnsi="Arial" w:cs="Arial"/>
            <w:noProof/>
            <w:webHidden/>
          </w:rPr>
          <w:fldChar w:fldCharType="begin"/>
        </w:r>
        <w:r w:rsidR="002416B1" w:rsidRPr="00481BE6">
          <w:rPr>
            <w:rFonts w:ascii="Arial" w:hAnsi="Arial" w:cs="Arial"/>
            <w:noProof/>
            <w:webHidden/>
          </w:rPr>
          <w:instrText xml:space="preserve"> PAGEREF _Toc319573301 \h </w:instrText>
        </w:r>
        <w:r w:rsidR="002416B1" w:rsidRPr="00481BE6">
          <w:rPr>
            <w:rFonts w:ascii="Arial" w:hAnsi="Arial" w:cs="Arial"/>
            <w:noProof/>
            <w:webHidden/>
          </w:rPr>
        </w:r>
        <w:r w:rsidR="002416B1" w:rsidRPr="00481BE6">
          <w:rPr>
            <w:rFonts w:ascii="Arial" w:hAnsi="Arial" w:cs="Arial"/>
            <w:noProof/>
            <w:webHidden/>
          </w:rPr>
          <w:fldChar w:fldCharType="separate"/>
        </w:r>
        <w:r>
          <w:rPr>
            <w:rFonts w:ascii="Arial" w:hAnsi="Arial" w:cs="Arial"/>
            <w:noProof/>
            <w:webHidden/>
          </w:rPr>
          <w:t>5</w:t>
        </w:r>
        <w:r w:rsidR="002416B1" w:rsidRPr="00481BE6">
          <w:rPr>
            <w:rFonts w:ascii="Arial" w:hAnsi="Arial" w:cs="Arial"/>
            <w:noProof/>
            <w:webHidden/>
          </w:rPr>
          <w:fldChar w:fldCharType="end"/>
        </w:r>
      </w:hyperlink>
    </w:p>
    <w:p w:rsidR="002416B1" w:rsidRPr="00B57F3C" w:rsidRDefault="009714AD" w:rsidP="00507035">
      <w:pPr>
        <w:pStyle w:val="Obsah3"/>
        <w:spacing w:before="120" w:after="120"/>
        <w:rPr>
          <w:rFonts w:ascii="Arial" w:hAnsi="Arial" w:cs="Arial"/>
          <w:noProof/>
          <w:sz w:val="22"/>
          <w:szCs w:val="22"/>
        </w:rPr>
      </w:pPr>
      <w:hyperlink w:anchor="_Toc319573302" w:history="1">
        <w:r w:rsidR="002416B1" w:rsidRPr="00481BE6">
          <w:rPr>
            <w:rStyle w:val="Hypertextovprepojenie"/>
            <w:rFonts w:ascii="Arial" w:hAnsi="Arial" w:cs="Arial"/>
            <w:noProof/>
          </w:rPr>
          <w:t>2.1.1 Stav fyzického pokroku operačného programu</w:t>
        </w:r>
        <w:r w:rsidR="002416B1" w:rsidRPr="00481BE6">
          <w:rPr>
            <w:rFonts w:ascii="Arial" w:hAnsi="Arial" w:cs="Arial"/>
            <w:noProof/>
            <w:webHidden/>
          </w:rPr>
          <w:tab/>
        </w:r>
        <w:r w:rsidR="007B0880">
          <w:rPr>
            <w:rFonts w:ascii="Arial" w:hAnsi="Arial" w:cs="Arial"/>
            <w:noProof/>
            <w:webHidden/>
          </w:rPr>
          <w:t>...</w:t>
        </w:r>
        <w:r w:rsidR="002416B1" w:rsidRPr="00481BE6">
          <w:rPr>
            <w:rFonts w:ascii="Arial" w:hAnsi="Arial" w:cs="Arial"/>
            <w:noProof/>
            <w:webHidden/>
          </w:rPr>
          <w:fldChar w:fldCharType="begin"/>
        </w:r>
        <w:r w:rsidR="002416B1" w:rsidRPr="00481BE6">
          <w:rPr>
            <w:rFonts w:ascii="Arial" w:hAnsi="Arial" w:cs="Arial"/>
            <w:noProof/>
            <w:webHidden/>
          </w:rPr>
          <w:instrText xml:space="preserve"> PAGEREF _Toc319573302 \h </w:instrText>
        </w:r>
        <w:r w:rsidR="002416B1" w:rsidRPr="00481BE6">
          <w:rPr>
            <w:rFonts w:ascii="Arial" w:hAnsi="Arial" w:cs="Arial"/>
            <w:noProof/>
            <w:webHidden/>
          </w:rPr>
        </w:r>
        <w:r w:rsidR="002416B1" w:rsidRPr="00481BE6">
          <w:rPr>
            <w:rFonts w:ascii="Arial" w:hAnsi="Arial" w:cs="Arial"/>
            <w:noProof/>
            <w:webHidden/>
          </w:rPr>
          <w:fldChar w:fldCharType="separate"/>
        </w:r>
        <w:r>
          <w:rPr>
            <w:rFonts w:ascii="Arial" w:hAnsi="Arial" w:cs="Arial"/>
            <w:noProof/>
            <w:webHidden/>
          </w:rPr>
          <w:t>12</w:t>
        </w:r>
        <w:r w:rsidR="002416B1" w:rsidRPr="00481BE6">
          <w:rPr>
            <w:rFonts w:ascii="Arial" w:hAnsi="Arial" w:cs="Arial"/>
            <w:noProof/>
            <w:webHidden/>
          </w:rPr>
          <w:fldChar w:fldCharType="end"/>
        </w:r>
      </w:hyperlink>
    </w:p>
    <w:p w:rsidR="002416B1" w:rsidRPr="00B57F3C" w:rsidRDefault="009714AD" w:rsidP="00507035">
      <w:pPr>
        <w:pStyle w:val="Obsah3"/>
        <w:spacing w:before="120" w:after="120"/>
        <w:rPr>
          <w:rFonts w:ascii="Arial" w:hAnsi="Arial" w:cs="Arial"/>
          <w:noProof/>
          <w:sz w:val="22"/>
          <w:szCs w:val="22"/>
        </w:rPr>
      </w:pPr>
      <w:hyperlink w:anchor="_Toc319573303" w:history="1">
        <w:r w:rsidR="002416B1" w:rsidRPr="00481BE6">
          <w:rPr>
            <w:rStyle w:val="Hypertextovprepojenie"/>
            <w:rFonts w:ascii="Arial" w:hAnsi="Arial" w:cs="Arial"/>
            <w:noProof/>
          </w:rPr>
          <w:t>2.1.2 Finančná implementácia programu</w:t>
        </w:r>
        <w:r w:rsidR="002416B1" w:rsidRPr="00481BE6">
          <w:rPr>
            <w:rFonts w:ascii="Arial" w:hAnsi="Arial" w:cs="Arial"/>
            <w:noProof/>
            <w:webHidden/>
          </w:rPr>
          <w:tab/>
        </w:r>
        <w:r w:rsidR="002416B1" w:rsidRPr="00481BE6">
          <w:rPr>
            <w:rFonts w:ascii="Arial" w:hAnsi="Arial" w:cs="Arial"/>
            <w:noProof/>
            <w:webHidden/>
          </w:rPr>
          <w:fldChar w:fldCharType="begin"/>
        </w:r>
        <w:r w:rsidR="002416B1" w:rsidRPr="00481BE6">
          <w:rPr>
            <w:rFonts w:ascii="Arial" w:hAnsi="Arial" w:cs="Arial"/>
            <w:noProof/>
            <w:webHidden/>
          </w:rPr>
          <w:instrText xml:space="preserve"> PAGEREF _Toc319573303 \h </w:instrText>
        </w:r>
        <w:r w:rsidR="002416B1" w:rsidRPr="00481BE6">
          <w:rPr>
            <w:rFonts w:ascii="Arial" w:hAnsi="Arial" w:cs="Arial"/>
            <w:noProof/>
            <w:webHidden/>
          </w:rPr>
        </w:r>
        <w:r w:rsidR="002416B1" w:rsidRPr="00481BE6">
          <w:rPr>
            <w:rFonts w:ascii="Arial" w:hAnsi="Arial" w:cs="Arial"/>
            <w:noProof/>
            <w:webHidden/>
          </w:rPr>
          <w:fldChar w:fldCharType="separate"/>
        </w:r>
        <w:r>
          <w:rPr>
            <w:rFonts w:ascii="Arial" w:hAnsi="Arial" w:cs="Arial"/>
            <w:noProof/>
            <w:webHidden/>
          </w:rPr>
          <w:t>31</w:t>
        </w:r>
        <w:r w:rsidR="002416B1" w:rsidRPr="00481BE6">
          <w:rPr>
            <w:rFonts w:ascii="Arial" w:hAnsi="Arial" w:cs="Arial"/>
            <w:noProof/>
            <w:webHidden/>
          </w:rPr>
          <w:fldChar w:fldCharType="end"/>
        </w:r>
      </w:hyperlink>
    </w:p>
    <w:p w:rsidR="002416B1" w:rsidRPr="00B57F3C" w:rsidRDefault="009714AD" w:rsidP="00507035">
      <w:pPr>
        <w:pStyle w:val="Obsah3"/>
        <w:spacing w:before="120" w:after="120"/>
        <w:rPr>
          <w:rFonts w:ascii="Arial" w:hAnsi="Arial" w:cs="Arial"/>
          <w:noProof/>
          <w:sz w:val="22"/>
          <w:szCs w:val="22"/>
        </w:rPr>
      </w:pPr>
      <w:hyperlink w:anchor="_Toc319573304" w:history="1">
        <w:r w:rsidR="002416B1" w:rsidRPr="00481BE6">
          <w:rPr>
            <w:rStyle w:val="Hypertextovprepojenie"/>
            <w:rFonts w:ascii="Arial" w:hAnsi="Arial" w:cs="Arial"/>
            <w:noProof/>
          </w:rPr>
          <w:t>2.1.3 Implementácia štrukturálny</w:t>
        </w:r>
        <w:r w:rsidR="002416B1" w:rsidRPr="00481BE6">
          <w:rPr>
            <w:rStyle w:val="Hypertextovprepojenie"/>
            <w:rFonts w:ascii="Arial" w:hAnsi="Arial" w:cs="Arial"/>
            <w:noProof/>
          </w:rPr>
          <w:t>c</w:t>
        </w:r>
        <w:r w:rsidR="002416B1" w:rsidRPr="00481BE6">
          <w:rPr>
            <w:rStyle w:val="Hypertextovprepojenie"/>
            <w:rFonts w:ascii="Arial" w:hAnsi="Arial" w:cs="Arial"/>
            <w:noProof/>
          </w:rPr>
          <w:t>h fondov a Kohézneho fondu z regionálneho aspektu</w:t>
        </w:r>
        <w:r w:rsidR="002416B1" w:rsidRPr="00481BE6">
          <w:rPr>
            <w:rFonts w:ascii="Arial" w:hAnsi="Arial" w:cs="Arial"/>
            <w:noProof/>
            <w:webHidden/>
          </w:rPr>
          <w:tab/>
        </w:r>
        <w:r w:rsidR="002416B1" w:rsidRPr="00481BE6">
          <w:rPr>
            <w:rFonts w:ascii="Arial" w:hAnsi="Arial" w:cs="Arial"/>
            <w:noProof/>
            <w:webHidden/>
          </w:rPr>
          <w:fldChar w:fldCharType="begin"/>
        </w:r>
        <w:r w:rsidR="002416B1" w:rsidRPr="00481BE6">
          <w:rPr>
            <w:rFonts w:ascii="Arial" w:hAnsi="Arial" w:cs="Arial"/>
            <w:noProof/>
            <w:webHidden/>
          </w:rPr>
          <w:instrText xml:space="preserve"> PAGEREF _Toc319573304 \h </w:instrText>
        </w:r>
        <w:r w:rsidR="002416B1" w:rsidRPr="00481BE6">
          <w:rPr>
            <w:rFonts w:ascii="Arial" w:hAnsi="Arial" w:cs="Arial"/>
            <w:noProof/>
            <w:webHidden/>
          </w:rPr>
        </w:r>
        <w:r w:rsidR="002416B1" w:rsidRPr="00481BE6">
          <w:rPr>
            <w:rFonts w:ascii="Arial" w:hAnsi="Arial" w:cs="Arial"/>
            <w:noProof/>
            <w:webHidden/>
          </w:rPr>
          <w:fldChar w:fldCharType="separate"/>
        </w:r>
        <w:r>
          <w:rPr>
            <w:rFonts w:ascii="Arial" w:hAnsi="Arial" w:cs="Arial"/>
            <w:noProof/>
            <w:webHidden/>
          </w:rPr>
          <w:t>39</w:t>
        </w:r>
        <w:r w:rsidR="002416B1" w:rsidRPr="00481BE6">
          <w:rPr>
            <w:rFonts w:ascii="Arial" w:hAnsi="Arial" w:cs="Arial"/>
            <w:noProof/>
            <w:webHidden/>
          </w:rPr>
          <w:fldChar w:fldCharType="end"/>
        </w:r>
      </w:hyperlink>
    </w:p>
    <w:p w:rsidR="002416B1" w:rsidRPr="00B57F3C" w:rsidRDefault="009714AD" w:rsidP="00507035">
      <w:pPr>
        <w:pStyle w:val="Obsah3"/>
        <w:spacing w:before="120" w:after="120"/>
        <w:rPr>
          <w:rFonts w:ascii="Arial" w:hAnsi="Arial" w:cs="Arial"/>
          <w:noProof/>
          <w:sz w:val="22"/>
          <w:szCs w:val="22"/>
        </w:rPr>
      </w:pPr>
      <w:hyperlink w:anchor="_Toc319573305" w:history="1">
        <w:r w:rsidR="002416B1" w:rsidRPr="00481BE6">
          <w:rPr>
            <w:rStyle w:val="Hypertextovprepojenie"/>
            <w:rFonts w:ascii="Arial" w:hAnsi="Arial" w:cs="Arial"/>
            <w:noProof/>
          </w:rPr>
          <w:t>2.1.4 Finančná kontrola a audit</w:t>
        </w:r>
        <w:r w:rsidR="002416B1" w:rsidRPr="00481BE6">
          <w:rPr>
            <w:rFonts w:ascii="Arial" w:hAnsi="Arial" w:cs="Arial"/>
            <w:noProof/>
            <w:webHidden/>
          </w:rPr>
          <w:tab/>
        </w:r>
        <w:r w:rsidR="002416B1" w:rsidRPr="00481BE6">
          <w:rPr>
            <w:rFonts w:ascii="Arial" w:hAnsi="Arial" w:cs="Arial"/>
            <w:noProof/>
            <w:webHidden/>
          </w:rPr>
          <w:fldChar w:fldCharType="begin"/>
        </w:r>
        <w:r w:rsidR="002416B1" w:rsidRPr="00481BE6">
          <w:rPr>
            <w:rFonts w:ascii="Arial" w:hAnsi="Arial" w:cs="Arial"/>
            <w:noProof/>
            <w:webHidden/>
          </w:rPr>
          <w:instrText xml:space="preserve"> PAGEREF _Toc319573305 \h </w:instrText>
        </w:r>
        <w:r w:rsidR="002416B1" w:rsidRPr="00481BE6">
          <w:rPr>
            <w:rFonts w:ascii="Arial" w:hAnsi="Arial" w:cs="Arial"/>
            <w:noProof/>
            <w:webHidden/>
          </w:rPr>
        </w:r>
        <w:r w:rsidR="002416B1" w:rsidRPr="00481BE6">
          <w:rPr>
            <w:rFonts w:ascii="Arial" w:hAnsi="Arial" w:cs="Arial"/>
            <w:noProof/>
            <w:webHidden/>
          </w:rPr>
          <w:fldChar w:fldCharType="separate"/>
        </w:r>
        <w:r>
          <w:rPr>
            <w:rFonts w:ascii="Arial" w:hAnsi="Arial" w:cs="Arial"/>
            <w:noProof/>
            <w:webHidden/>
          </w:rPr>
          <w:t>50</w:t>
        </w:r>
        <w:r w:rsidR="002416B1" w:rsidRPr="00481BE6">
          <w:rPr>
            <w:rFonts w:ascii="Arial" w:hAnsi="Arial" w:cs="Arial"/>
            <w:noProof/>
            <w:webHidden/>
          </w:rPr>
          <w:fldChar w:fldCharType="end"/>
        </w:r>
      </w:hyperlink>
    </w:p>
    <w:p w:rsidR="002416B1" w:rsidRPr="00B57F3C" w:rsidRDefault="009714AD" w:rsidP="00507035">
      <w:pPr>
        <w:pStyle w:val="Obsah3"/>
        <w:spacing w:before="120" w:after="120"/>
        <w:rPr>
          <w:rFonts w:ascii="Arial" w:hAnsi="Arial" w:cs="Arial"/>
          <w:noProof/>
          <w:sz w:val="22"/>
          <w:szCs w:val="22"/>
        </w:rPr>
      </w:pPr>
      <w:hyperlink w:anchor="_Toc319573306" w:history="1">
        <w:r w:rsidR="002416B1" w:rsidRPr="00481BE6">
          <w:rPr>
            <w:rStyle w:val="Hypertextovprepojenie"/>
            <w:rFonts w:ascii="Arial" w:hAnsi="Arial" w:cs="Arial"/>
            <w:noProof/>
          </w:rPr>
          <w:t>2.1.5 Využívanie fondov podľa kategórií</w:t>
        </w:r>
        <w:r w:rsidR="002416B1" w:rsidRPr="00481BE6">
          <w:rPr>
            <w:rFonts w:ascii="Arial" w:hAnsi="Arial" w:cs="Arial"/>
            <w:noProof/>
            <w:webHidden/>
          </w:rPr>
          <w:tab/>
        </w:r>
        <w:r w:rsidR="002416B1" w:rsidRPr="00481BE6">
          <w:rPr>
            <w:rFonts w:ascii="Arial" w:hAnsi="Arial" w:cs="Arial"/>
            <w:noProof/>
            <w:webHidden/>
          </w:rPr>
          <w:fldChar w:fldCharType="begin"/>
        </w:r>
        <w:r w:rsidR="002416B1" w:rsidRPr="00481BE6">
          <w:rPr>
            <w:rFonts w:ascii="Arial" w:hAnsi="Arial" w:cs="Arial"/>
            <w:noProof/>
            <w:webHidden/>
          </w:rPr>
          <w:instrText xml:space="preserve"> PAGEREF _Toc319573306 \h </w:instrText>
        </w:r>
        <w:r w:rsidR="002416B1" w:rsidRPr="00481BE6">
          <w:rPr>
            <w:rFonts w:ascii="Arial" w:hAnsi="Arial" w:cs="Arial"/>
            <w:noProof/>
            <w:webHidden/>
          </w:rPr>
        </w:r>
        <w:r w:rsidR="002416B1" w:rsidRPr="00481BE6">
          <w:rPr>
            <w:rFonts w:ascii="Arial" w:hAnsi="Arial" w:cs="Arial"/>
            <w:noProof/>
            <w:webHidden/>
          </w:rPr>
          <w:fldChar w:fldCharType="separate"/>
        </w:r>
        <w:r>
          <w:rPr>
            <w:rFonts w:ascii="Arial" w:hAnsi="Arial" w:cs="Arial"/>
            <w:noProof/>
            <w:webHidden/>
          </w:rPr>
          <w:t>54</w:t>
        </w:r>
        <w:r w:rsidR="002416B1" w:rsidRPr="00481BE6">
          <w:rPr>
            <w:rFonts w:ascii="Arial" w:hAnsi="Arial" w:cs="Arial"/>
            <w:noProof/>
            <w:webHidden/>
          </w:rPr>
          <w:fldChar w:fldCharType="end"/>
        </w:r>
      </w:hyperlink>
    </w:p>
    <w:p w:rsidR="002416B1" w:rsidRPr="00B57F3C" w:rsidRDefault="009714AD" w:rsidP="00507035">
      <w:pPr>
        <w:pStyle w:val="Obsah3"/>
        <w:spacing w:before="120" w:after="120"/>
        <w:rPr>
          <w:rFonts w:ascii="Arial" w:hAnsi="Arial" w:cs="Arial"/>
          <w:noProof/>
          <w:sz w:val="22"/>
          <w:szCs w:val="22"/>
        </w:rPr>
      </w:pPr>
      <w:hyperlink w:anchor="_Toc319573307" w:history="1">
        <w:r w:rsidR="002416B1" w:rsidRPr="00481BE6">
          <w:rPr>
            <w:rStyle w:val="Hypertextovprepojenie"/>
            <w:rFonts w:ascii="Arial" w:hAnsi="Arial" w:cs="Arial"/>
            <w:noProof/>
          </w:rPr>
          <w:t>2.1.6 Príspevok k Lisabonskému procesu</w:t>
        </w:r>
        <w:r w:rsidR="002416B1" w:rsidRPr="00481BE6">
          <w:rPr>
            <w:rFonts w:ascii="Arial" w:hAnsi="Arial" w:cs="Arial"/>
            <w:noProof/>
            <w:webHidden/>
          </w:rPr>
          <w:tab/>
        </w:r>
        <w:r w:rsidR="002416B1" w:rsidRPr="00481BE6">
          <w:rPr>
            <w:rFonts w:ascii="Arial" w:hAnsi="Arial" w:cs="Arial"/>
            <w:noProof/>
            <w:webHidden/>
          </w:rPr>
          <w:fldChar w:fldCharType="begin"/>
        </w:r>
        <w:r w:rsidR="002416B1" w:rsidRPr="00481BE6">
          <w:rPr>
            <w:rFonts w:ascii="Arial" w:hAnsi="Arial" w:cs="Arial"/>
            <w:noProof/>
            <w:webHidden/>
          </w:rPr>
          <w:instrText xml:space="preserve"> PAGEREF _Toc319573307 \h </w:instrText>
        </w:r>
        <w:r w:rsidR="002416B1" w:rsidRPr="00481BE6">
          <w:rPr>
            <w:rFonts w:ascii="Arial" w:hAnsi="Arial" w:cs="Arial"/>
            <w:noProof/>
            <w:webHidden/>
          </w:rPr>
        </w:r>
        <w:r w:rsidR="002416B1" w:rsidRPr="00481BE6">
          <w:rPr>
            <w:rFonts w:ascii="Arial" w:hAnsi="Arial" w:cs="Arial"/>
            <w:noProof/>
            <w:webHidden/>
          </w:rPr>
          <w:fldChar w:fldCharType="separate"/>
        </w:r>
        <w:r>
          <w:rPr>
            <w:rFonts w:ascii="Arial" w:hAnsi="Arial" w:cs="Arial"/>
            <w:noProof/>
            <w:webHidden/>
          </w:rPr>
          <w:t>55</w:t>
        </w:r>
        <w:r w:rsidR="002416B1" w:rsidRPr="00481BE6">
          <w:rPr>
            <w:rFonts w:ascii="Arial" w:hAnsi="Arial" w:cs="Arial"/>
            <w:noProof/>
            <w:webHidden/>
          </w:rPr>
          <w:fldChar w:fldCharType="end"/>
        </w:r>
      </w:hyperlink>
    </w:p>
    <w:p w:rsidR="002416B1" w:rsidRPr="00B57F3C" w:rsidRDefault="009714AD" w:rsidP="00507035">
      <w:pPr>
        <w:pStyle w:val="Obsah3"/>
        <w:spacing w:before="120" w:after="120"/>
        <w:rPr>
          <w:rFonts w:ascii="Arial" w:hAnsi="Arial" w:cs="Arial"/>
          <w:noProof/>
          <w:sz w:val="22"/>
          <w:szCs w:val="22"/>
        </w:rPr>
      </w:pPr>
      <w:hyperlink w:anchor="_Toc319573308" w:history="1">
        <w:r w:rsidR="002416B1" w:rsidRPr="00481BE6">
          <w:rPr>
            <w:rStyle w:val="Hypertextovprepojenie"/>
            <w:rFonts w:ascii="Arial" w:hAnsi="Arial" w:cs="Arial"/>
            <w:noProof/>
          </w:rPr>
          <w:t>2.1.7 Opis partnerských dohôd</w:t>
        </w:r>
        <w:r w:rsidR="002416B1" w:rsidRPr="00481BE6">
          <w:rPr>
            <w:rFonts w:ascii="Arial" w:hAnsi="Arial" w:cs="Arial"/>
            <w:noProof/>
            <w:webHidden/>
          </w:rPr>
          <w:tab/>
        </w:r>
        <w:r w:rsidR="002416B1" w:rsidRPr="00481BE6">
          <w:rPr>
            <w:rFonts w:ascii="Arial" w:hAnsi="Arial" w:cs="Arial"/>
            <w:noProof/>
            <w:webHidden/>
          </w:rPr>
          <w:fldChar w:fldCharType="begin"/>
        </w:r>
        <w:r w:rsidR="002416B1" w:rsidRPr="00481BE6">
          <w:rPr>
            <w:rFonts w:ascii="Arial" w:hAnsi="Arial" w:cs="Arial"/>
            <w:noProof/>
            <w:webHidden/>
          </w:rPr>
          <w:instrText xml:space="preserve"> PAGEREF _Toc319573308 \h </w:instrText>
        </w:r>
        <w:r w:rsidR="002416B1" w:rsidRPr="00481BE6">
          <w:rPr>
            <w:rFonts w:ascii="Arial" w:hAnsi="Arial" w:cs="Arial"/>
            <w:noProof/>
            <w:webHidden/>
          </w:rPr>
        </w:r>
        <w:r w:rsidR="002416B1" w:rsidRPr="00481BE6">
          <w:rPr>
            <w:rFonts w:ascii="Arial" w:hAnsi="Arial" w:cs="Arial"/>
            <w:noProof/>
            <w:webHidden/>
          </w:rPr>
          <w:fldChar w:fldCharType="separate"/>
        </w:r>
        <w:r>
          <w:rPr>
            <w:rFonts w:ascii="Arial" w:hAnsi="Arial" w:cs="Arial"/>
            <w:noProof/>
            <w:webHidden/>
          </w:rPr>
          <w:t>63</w:t>
        </w:r>
        <w:r w:rsidR="002416B1" w:rsidRPr="00481BE6">
          <w:rPr>
            <w:rFonts w:ascii="Arial" w:hAnsi="Arial" w:cs="Arial"/>
            <w:noProof/>
            <w:webHidden/>
          </w:rPr>
          <w:fldChar w:fldCharType="end"/>
        </w:r>
      </w:hyperlink>
    </w:p>
    <w:p w:rsidR="002416B1" w:rsidRPr="00B57F3C" w:rsidRDefault="009714AD" w:rsidP="00507035">
      <w:pPr>
        <w:pStyle w:val="Obsah2"/>
        <w:tabs>
          <w:tab w:val="right" w:leader="dot" w:pos="9060"/>
        </w:tabs>
        <w:spacing w:before="120" w:after="120"/>
        <w:rPr>
          <w:rFonts w:ascii="Arial" w:hAnsi="Arial" w:cs="Arial"/>
          <w:b w:val="0"/>
          <w:bCs w:val="0"/>
          <w:noProof/>
          <w:sz w:val="22"/>
          <w:szCs w:val="22"/>
        </w:rPr>
      </w:pPr>
      <w:hyperlink w:anchor="_Toc319573309" w:history="1">
        <w:r w:rsidR="002416B1" w:rsidRPr="00481BE6">
          <w:rPr>
            <w:rStyle w:val="Hypertextovprepojenie"/>
            <w:rFonts w:ascii="Arial" w:hAnsi="Arial" w:cs="Arial"/>
            <w:noProof/>
          </w:rPr>
          <w:t>2.2 Informácie o súlade s právnymi predpismi Spoločenstva</w:t>
        </w:r>
        <w:r w:rsidR="002416B1" w:rsidRPr="00481BE6">
          <w:rPr>
            <w:rFonts w:ascii="Arial" w:hAnsi="Arial" w:cs="Arial"/>
            <w:noProof/>
            <w:webHidden/>
          </w:rPr>
          <w:tab/>
        </w:r>
        <w:r w:rsidR="002416B1" w:rsidRPr="00481BE6">
          <w:rPr>
            <w:rFonts w:ascii="Arial" w:hAnsi="Arial" w:cs="Arial"/>
            <w:noProof/>
            <w:webHidden/>
          </w:rPr>
          <w:fldChar w:fldCharType="begin"/>
        </w:r>
        <w:r w:rsidR="002416B1" w:rsidRPr="00481BE6">
          <w:rPr>
            <w:rFonts w:ascii="Arial" w:hAnsi="Arial" w:cs="Arial"/>
            <w:noProof/>
            <w:webHidden/>
          </w:rPr>
          <w:instrText xml:space="preserve"> PAGEREF _Toc319573309 \h </w:instrText>
        </w:r>
        <w:r w:rsidR="002416B1" w:rsidRPr="00481BE6">
          <w:rPr>
            <w:rFonts w:ascii="Arial" w:hAnsi="Arial" w:cs="Arial"/>
            <w:noProof/>
            <w:webHidden/>
          </w:rPr>
        </w:r>
        <w:r w:rsidR="002416B1" w:rsidRPr="00481BE6">
          <w:rPr>
            <w:rFonts w:ascii="Arial" w:hAnsi="Arial" w:cs="Arial"/>
            <w:noProof/>
            <w:webHidden/>
          </w:rPr>
          <w:fldChar w:fldCharType="separate"/>
        </w:r>
        <w:r>
          <w:rPr>
            <w:rFonts w:ascii="Arial" w:hAnsi="Arial" w:cs="Arial"/>
            <w:noProof/>
            <w:webHidden/>
          </w:rPr>
          <w:t>63</w:t>
        </w:r>
        <w:r w:rsidR="002416B1" w:rsidRPr="00481BE6">
          <w:rPr>
            <w:rFonts w:ascii="Arial" w:hAnsi="Arial" w:cs="Arial"/>
            <w:noProof/>
            <w:webHidden/>
          </w:rPr>
          <w:fldChar w:fldCharType="end"/>
        </w:r>
      </w:hyperlink>
    </w:p>
    <w:p w:rsidR="002416B1" w:rsidRPr="00B57F3C" w:rsidRDefault="009714AD" w:rsidP="00507035">
      <w:pPr>
        <w:pStyle w:val="Obsah2"/>
        <w:tabs>
          <w:tab w:val="left" w:pos="480"/>
          <w:tab w:val="right" w:leader="dot" w:pos="9060"/>
        </w:tabs>
        <w:spacing w:before="120" w:after="120"/>
        <w:rPr>
          <w:rFonts w:ascii="Arial" w:hAnsi="Arial" w:cs="Arial"/>
          <w:b w:val="0"/>
          <w:bCs w:val="0"/>
          <w:noProof/>
          <w:sz w:val="22"/>
          <w:szCs w:val="22"/>
        </w:rPr>
      </w:pPr>
      <w:hyperlink w:anchor="_Toc319573310" w:history="1">
        <w:r w:rsidR="002416B1" w:rsidRPr="00481BE6">
          <w:rPr>
            <w:rStyle w:val="Hypertextovprepojenie"/>
            <w:rFonts w:ascii="Arial" w:hAnsi="Arial" w:cs="Arial"/>
            <w:noProof/>
          </w:rPr>
          <w:t>2.3</w:t>
        </w:r>
        <w:r w:rsidR="00236377">
          <w:rPr>
            <w:rFonts w:ascii="Arial" w:hAnsi="Arial" w:cs="Arial"/>
            <w:b w:val="0"/>
            <w:bCs w:val="0"/>
            <w:noProof/>
            <w:sz w:val="22"/>
            <w:szCs w:val="22"/>
          </w:rPr>
          <w:t xml:space="preserve"> </w:t>
        </w:r>
        <w:r w:rsidR="002416B1" w:rsidRPr="00481BE6">
          <w:rPr>
            <w:rStyle w:val="Hypertextovprepojenie"/>
            <w:rFonts w:ascii="Arial" w:hAnsi="Arial" w:cs="Arial"/>
            <w:noProof/>
          </w:rPr>
          <w:t>Závažné problémy, ktoré sa vyskytli a opatrenia prijaté na ich odstránenie</w:t>
        </w:r>
        <w:r w:rsidR="002416B1" w:rsidRPr="00481BE6">
          <w:rPr>
            <w:rFonts w:ascii="Arial" w:hAnsi="Arial" w:cs="Arial"/>
            <w:noProof/>
            <w:webHidden/>
          </w:rPr>
          <w:tab/>
        </w:r>
        <w:r w:rsidR="002416B1" w:rsidRPr="00481BE6">
          <w:rPr>
            <w:rFonts w:ascii="Arial" w:hAnsi="Arial" w:cs="Arial"/>
            <w:noProof/>
            <w:webHidden/>
          </w:rPr>
          <w:fldChar w:fldCharType="begin"/>
        </w:r>
        <w:r w:rsidR="002416B1" w:rsidRPr="00481BE6">
          <w:rPr>
            <w:rFonts w:ascii="Arial" w:hAnsi="Arial" w:cs="Arial"/>
            <w:noProof/>
            <w:webHidden/>
          </w:rPr>
          <w:instrText xml:space="preserve"> PAGEREF _Toc319573310 \h </w:instrText>
        </w:r>
        <w:r w:rsidR="002416B1" w:rsidRPr="00481BE6">
          <w:rPr>
            <w:rFonts w:ascii="Arial" w:hAnsi="Arial" w:cs="Arial"/>
            <w:noProof/>
            <w:webHidden/>
          </w:rPr>
        </w:r>
        <w:r w:rsidR="002416B1" w:rsidRPr="00481BE6">
          <w:rPr>
            <w:rFonts w:ascii="Arial" w:hAnsi="Arial" w:cs="Arial"/>
            <w:noProof/>
            <w:webHidden/>
          </w:rPr>
          <w:fldChar w:fldCharType="separate"/>
        </w:r>
        <w:r>
          <w:rPr>
            <w:rFonts w:ascii="Arial" w:hAnsi="Arial" w:cs="Arial"/>
            <w:noProof/>
            <w:webHidden/>
          </w:rPr>
          <w:t>64</w:t>
        </w:r>
        <w:r w:rsidR="002416B1" w:rsidRPr="00481BE6">
          <w:rPr>
            <w:rFonts w:ascii="Arial" w:hAnsi="Arial" w:cs="Arial"/>
            <w:noProof/>
            <w:webHidden/>
          </w:rPr>
          <w:fldChar w:fldCharType="end"/>
        </w:r>
      </w:hyperlink>
    </w:p>
    <w:p w:rsidR="002416B1" w:rsidRPr="00B57F3C" w:rsidRDefault="009714AD" w:rsidP="00507035">
      <w:pPr>
        <w:pStyle w:val="Obsah2"/>
        <w:tabs>
          <w:tab w:val="right" w:leader="dot" w:pos="9060"/>
        </w:tabs>
        <w:spacing w:before="120" w:after="120"/>
        <w:rPr>
          <w:rFonts w:ascii="Arial" w:hAnsi="Arial" w:cs="Arial"/>
          <w:b w:val="0"/>
          <w:bCs w:val="0"/>
          <w:noProof/>
          <w:sz w:val="22"/>
          <w:szCs w:val="22"/>
        </w:rPr>
      </w:pPr>
      <w:hyperlink w:anchor="_Toc319573311" w:history="1">
        <w:r w:rsidR="002416B1" w:rsidRPr="00481BE6">
          <w:rPr>
            <w:rStyle w:val="Hypertextovprepojenie"/>
            <w:rFonts w:ascii="Arial" w:hAnsi="Arial" w:cs="Arial"/>
            <w:noProof/>
          </w:rPr>
          <w:t>2.4 Zmeny v kontexte realizácie OP ŽP</w:t>
        </w:r>
        <w:r w:rsidR="002416B1" w:rsidRPr="00481BE6">
          <w:rPr>
            <w:rFonts w:ascii="Arial" w:hAnsi="Arial" w:cs="Arial"/>
            <w:noProof/>
            <w:webHidden/>
          </w:rPr>
          <w:tab/>
        </w:r>
        <w:r w:rsidR="002416B1" w:rsidRPr="00481BE6">
          <w:rPr>
            <w:rFonts w:ascii="Arial" w:hAnsi="Arial" w:cs="Arial"/>
            <w:noProof/>
            <w:webHidden/>
          </w:rPr>
          <w:fldChar w:fldCharType="begin"/>
        </w:r>
        <w:r w:rsidR="002416B1" w:rsidRPr="00481BE6">
          <w:rPr>
            <w:rFonts w:ascii="Arial" w:hAnsi="Arial" w:cs="Arial"/>
            <w:noProof/>
            <w:webHidden/>
          </w:rPr>
          <w:instrText xml:space="preserve"> PAGEREF _Toc319573311 \h </w:instrText>
        </w:r>
        <w:r w:rsidR="002416B1" w:rsidRPr="00481BE6">
          <w:rPr>
            <w:rFonts w:ascii="Arial" w:hAnsi="Arial" w:cs="Arial"/>
            <w:noProof/>
            <w:webHidden/>
          </w:rPr>
        </w:r>
        <w:r w:rsidR="002416B1" w:rsidRPr="00481BE6">
          <w:rPr>
            <w:rFonts w:ascii="Arial" w:hAnsi="Arial" w:cs="Arial"/>
            <w:noProof/>
            <w:webHidden/>
          </w:rPr>
          <w:fldChar w:fldCharType="separate"/>
        </w:r>
        <w:r>
          <w:rPr>
            <w:rFonts w:ascii="Arial" w:hAnsi="Arial" w:cs="Arial"/>
            <w:noProof/>
            <w:webHidden/>
          </w:rPr>
          <w:t>68</w:t>
        </w:r>
        <w:r w:rsidR="002416B1" w:rsidRPr="00481BE6">
          <w:rPr>
            <w:rFonts w:ascii="Arial" w:hAnsi="Arial" w:cs="Arial"/>
            <w:noProof/>
            <w:webHidden/>
          </w:rPr>
          <w:fldChar w:fldCharType="end"/>
        </w:r>
      </w:hyperlink>
    </w:p>
    <w:p w:rsidR="002416B1" w:rsidRPr="00B57F3C" w:rsidRDefault="009714AD" w:rsidP="00507035">
      <w:pPr>
        <w:pStyle w:val="Obsah2"/>
        <w:tabs>
          <w:tab w:val="right" w:leader="dot" w:pos="9060"/>
        </w:tabs>
        <w:spacing w:before="120" w:after="120"/>
        <w:rPr>
          <w:rFonts w:ascii="Arial" w:hAnsi="Arial" w:cs="Arial"/>
          <w:b w:val="0"/>
          <w:bCs w:val="0"/>
          <w:noProof/>
          <w:sz w:val="22"/>
          <w:szCs w:val="22"/>
        </w:rPr>
      </w:pPr>
      <w:hyperlink w:anchor="_Toc319573312" w:history="1">
        <w:r w:rsidR="002416B1" w:rsidRPr="00481BE6">
          <w:rPr>
            <w:rStyle w:val="Hypertextovprepojenie"/>
            <w:rFonts w:ascii="Arial" w:hAnsi="Arial" w:cs="Arial"/>
            <w:noProof/>
          </w:rPr>
          <w:t>2.5 Podstatné zmeny podľa článku 57 nariadenia (ES) č. 1083/2006</w:t>
        </w:r>
        <w:r w:rsidR="002416B1" w:rsidRPr="00481BE6">
          <w:rPr>
            <w:rFonts w:ascii="Arial" w:hAnsi="Arial" w:cs="Arial"/>
            <w:noProof/>
            <w:webHidden/>
          </w:rPr>
          <w:tab/>
        </w:r>
        <w:r w:rsidR="002416B1" w:rsidRPr="00481BE6">
          <w:rPr>
            <w:rFonts w:ascii="Arial" w:hAnsi="Arial" w:cs="Arial"/>
            <w:noProof/>
            <w:webHidden/>
          </w:rPr>
          <w:fldChar w:fldCharType="begin"/>
        </w:r>
        <w:r w:rsidR="002416B1" w:rsidRPr="00481BE6">
          <w:rPr>
            <w:rFonts w:ascii="Arial" w:hAnsi="Arial" w:cs="Arial"/>
            <w:noProof/>
            <w:webHidden/>
          </w:rPr>
          <w:instrText xml:space="preserve"> PAGEREF _Toc319573312 \h </w:instrText>
        </w:r>
        <w:r w:rsidR="002416B1" w:rsidRPr="00481BE6">
          <w:rPr>
            <w:rFonts w:ascii="Arial" w:hAnsi="Arial" w:cs="Arial"/>
            <w:noProof/>
            <w:webHidden/>
          </w:rPr>
        </w:r>
        <w:r w:rsidR="002416B1" w:rsidRPr="00481BE6">
          <w:rPr>
            <w:rFonts w:ascii="Arial" w:hAnsi="Arial" w:cs="Arial"/>
            <w:noProof/>
            <w:webHidden/>
          </w:rPr>
          <w:fldChar w:fldCharType="separate"/>
        </w:r>
        <w:r>
          <w:rPr>
            <w:rFonts w:ascii="Arial" w:hAnsi="Arial" w:cs="Arial"/>
            <w:noProof/>
            <w:webHidden/>
          </w:rPr>
          <w:t>70</w:t>
        </w:r>
        <w:r w:rsidR="002416B1" w:rsidRPr="00481BE6">
          <w:rPr>
            <w:rFonts w:ascii="Arial" w:hAnsi="Arial" w:cs="Arial"/>
            <w:noProof/>
            <w:webHidden/>
          </w:rPr>
          <w:fldChar w:fldCharType="end"/>
        </w:r>
      </w:hyperlink>
    </w:p>
    <w:p w:rsidR="002416B1" w:rsidRPr="00B57F3C" w:rsidRDefault="009714AD" w:rsidP="00507035">
      <w:pPr>
        <w:pStyle w:val="Obsah2"/>
        <w:tabs>
          <w:tab w:val="right" w:leader="dot" w:pos="9060"/>
        </w:tabs>
        <w:spacing w:before="120" w:after="120"/>
        <w:rPr>
          <w:rFonts w:ascii="Arial" w:hAnsi="Arial" w:cs="Arial"/>
          <w:b w:val="0"/>
          <w:bCs w:val="0"/>
          <w:noProof/>
          <w:sz w:val="22"/>
          <w:szCs w:val="22"/>
        </w:rPr>
      </w:pPr>
      <w:hyperlink w:anchor="_Toc319573313" w:history="1">
        <w:r w:rsidR="002416B1" w:rsidRPr="00481BE6">
          <w:rPr>
            <w:rStyle w:val="Hypertextovprepojenie"/>
            <w:rFonts w:ascii="Arial" w:hAnsi="Arial" w:cs="Arial"/>
            <w:noProof/>
          </w:rPr>
          <w:t>2.6 Doplnkovosť s inými nástrojmi</w:t>
        </w:r>
        <w:r w:rsidR="002416B1" w:rsidRPr="00481BE6">
          <w:rPr>
            <w:rFonts w:ascii="Arial" w:hAnsi="Arial" w:cs="Arial"/>
            <w:noProof/>
            <w:webHidden/>
          </w:rPr>
          <w:tab/>
        </w:r>
        <w:r w:rsidR="002416B1" w:rsidRPr="00481BE6">
          <w:rPr>
            <w:rFonts w:ascii="Arial" w:hAnsi="Arial" w:cs="Arial"/>
            <w:noProof/>
            <w:webHidden/>
          </w:rPr>
          <w:fldChar w:fldCharType="begin"/>
        </w:r>
        <w:r w:rsidR="002416B1" w:rsidRPr="00481BE6">
          <w:rPr>
            <w:rFonts w:ascii="Arial" w:hAnsi="Arial" w:cs="Arial"/>
            <w:noProof/>
            <w:webHidden/>
          </w:rPr>
          <w:instrText xml:space="preserve"> PAGEREF _Toc319573313 \h </w:instrText>
        </w:r>
        <w:r w:rsidR="002416B1" w:rsidRPr="00481BE6">
          <w:rPr>
            <w:rFonts w:ascii="Arial" w:hAnsi="Arial" w:cs="Arial"/>
            <w:noProof/>
            <w:webHidden/>
          </w:rPr>
        </w:r>
        <w:r w:rsidR="002416B1" w:rsidRPr="00481BE6">
          <w:rPr>
            <w:rFonts w:ascii="Arial" w:hAnsi="Arial" w:cs="Arial"/>
            <w:noProof/>
            <w:webHidden/>
          </w:rPr>
          <w:fldChar w:fldCharType="separate"/>
        </w:r>
        <w:r>
          <w:rPr>
            <w:rFonts w:ascii="Arial" w:hAnsi="Arial" w:cs="Arial"/>
            <w:noProof/>
            <w:webHidden/>
          </w:rPr>
          <w:t>70</w:t>
        </w:r>
        <w:r w:rsidR="002416B1" w:rsidRPr="00481BE6">
          <w:rPr>
            <w:rFonts w:ascii="Arial" w:hAnsi="Arial" w:cs="Arial"/>
            <w:noProof/>
            <w:webHidden/>
          </w:rPr>
          <w:fldChar w:fldCharType="end"/>
        </w:r>
      </w:hyperlink>
    </w:p>
    <w:p w:rsidR="002416B1" w:rsidRPr="00B57F3C" w:rsidRDefault="009714AD" w:rsidP="00507035">
      <w:pPr>
        <w:pStyle w:val="Obsah2"/>
        <w:tabs>
          <w:tab w:val="right" w:leader="dot" w:pos="9060"/>
        </w:tabs>
        <w:spacing w:before="120" w:after="120"/>
        <w:rPr>
          <w:rFonts w:ascii="Arial" w:hAnsi="Arial" w:cs="Arial"/>
          <w:b w:val="0"/>
          <w:bCs w:val="0"/>
          <w:noProof/>
          <w:sz w:val="22"/>
          <w:szCs w:val="22"/>
        </w:rPr>
      </w:pPr>
      <w:hyperlink w:anchor="_Toc319573314" w:history="1">
        <w:r w:rsidR="002416B1" w:rsidRPr="00481BE6">
          <w:rPr>
            <w:rStyle w:val="Hypertextovprepojenie"/>
            <w:rFonts w:ascii="Arial" w:hAnsi="Arial" w:cs="Arial"/>
            <w:noProof/>
          </w:rPr>
          <w:t>2.7 Monitorovanie a hodnotenie</w:t>
        </w:r>
        <w:r w:rsidR="002416B1" w:rsidRPr="00481BE6">
          <w:rPr>
            <w:rFonts w:ascii="Arial" w:hAnsi="Arial" w:cs="Arial"/>
            <w:noProof/>
            <w:webHidden/>
          </w:rPr>
          <w:tab/>
        </w:r>
        <w:r w:rsidR="002416B1" w:rsidRPr="00481BE6">
          <w:rPr>
            <w:rFonts w:ascii="Arial" w:hAnsi="Arial" w:cs="Arial"/>
            <w:noProof/>
            <w:webHidden/>
          </w:rPr>
          <w:fldChar w:fldCharType="begin"/>
        </w:r>
        <w:r w:rsidR="002416B1" w:rsidRPr="00481BE6">
          <w:rPr>
            <w:rFonts w:ascii="Arial" w:hAnsi="Arial" w:cs="Arial"/>
            <w:noProof/>
            <w:webHidden/>
          </w:rPr>
          <w:instrText xml:space="preserve"> PAGEREF _Toc319573314 \h </w:instrText>
        </w:r>
        <w:r w:rsidR="002416B1" w:rsidRPr="00481BE6">
          <w:rPr>
            <w:rFonts w:ascii="Arial" w:hAnsi="Arial" w:cs="Arial"/>
            <w:noProof/>
            <w:webHidden/>
          </w:rPr>
        </w:r>
        <w:r w:rsidR="002416B1" w:rsidRPr="00481BE6">
          <w:rPr>
            <w:rFonts w:ascii="Arial" w:hAnsi="Arial" w:cs="Arial"/>
            <w:noProof/>
            <w:webHidden/>
          </w:rPr>
          <w:fldChar w:fldCharType="separate"/>
        </w:r>
        <w:r>
          <w:rPr>
            <w:rFonts w:ascii="Arial" w:hAnsi="Arial" w:cs="Arial"/>
            <w:noProof/>
            <w:webHidden/>
          </w:rPr>
          <w:t>89</w:t>
        </w:r>
        <w:r w:rsidR="002416B1" w:rsidRPr="00481BE6">
          <w:rPr>
            <w:rFonts w:ascii="Arial" w:hAnsi="Arial" w:cs="Arial"/>
            <w:noProof/>
            <w:webHidden/>
          </w:rPr>
          <w:fldChar w:fldCharType="end"/>
        </w:r>
      </w:hyperlink>
    </w:p>
    <w:p w:rsidR="002416B1" w:rsidRPr="00B57F3C" w:rsidRDefault="009714AD" w:rsidP="00507035">
      <w:pPr>
        <w:pStyle w:val="Obsah3"/>
        <w:spacing w:before="120" w:after="120"/>
        <w:rPr>
          <w:rFonts w:ascii="Arial" w:hAnsi="Arial" w:cs="Arial"/>
          <w:noProof/>
          <w:sz w:val="22"/>
          <w:szCs w:val="22"/>
        </w:rPr>
      </w:pPr>
      <w:hyperlink w:anchor="_Toc319573315" w:history="1">
        <w:r w:rsidR="002416B1" w:rsidRPr="00481BE6">
          <w:rPr>
            <w:rStyle w:val="Hypertextovprepojenie"/>
            <w:rFonts w:ascii="Arial" w:hAnsi="Arial" w:cs="Arial"/>
            <w:noProof/>
          </w:rPr>
          <w:t>2.7.1 Monitorovanie</w:t>
        </w:r>
        <w:r w:rsidR="002416B1" w:rsidRPr="00481BE6">
          <w:rPr>
            <w:rFonts w:ascii="Arial" w:hAnsi="Arial" w:cs="Arial"/>
            <w:noProof/>
            <w:webHidden/>
          </w:rPr>
          <w:tab/>
        </w:r>
        <w:r w:rsidR="002416B1" w:rsidRPr="00481BE6">
          <w:rPr>
            <w:rFonts w:ascii="Arial" w:hAnsi="Arial" w:cs="Arial"/>
            <w:noProof/>
            <w:webHidden/>
          </w:rPr>
          <w:fldChar w:fldCharType="begin"/>
        </w:r>
        <w:r w:rsidR="002416B1" w:rsidRPr="00481BE6">
          <w:rPr>
            <w:rFonts w:ascii="Arial" w:hAnsi="Arial" w:cs="Arial"/>
            <w:noProof/>
            <w:webHidden/>
          </w:rPr>
          <w:instrText xml:space="preserve"> PAGEREF _Toc319573315 \h </w:instrText>
        </w:r>
        <w:r w:rsidR="002416B1" w:rsidRPr="00481BE6">
          <w:rPr>
            <w:rFonts w:ascii="Arial" w:hAnsi="Arial" w:cs="Arial"/>
            <w:noProof/>
            <w:webHidden/>
          </w:rPr>
        </w:r>
        <w:r w:rsidR="002416B1" w:rsidRPr="00481BE6">
          <w:rPr>
            <w:rFonts w:ascii="Arial" w:hAnsi="Arial" w:cs="Arial"/>
            <w:noProof/>
            <w:webHidden/>
          </w:rPr>
          <w:fldChar w:fldCharType="separate"/>
        </w:r>
        <w:r>
          <w:rPr>
            <w:rFonts w:ascii="Arial" w:hAnsi="Arial" w:cs="Arial"/>
            <w:noProof/>
            <w:webHidden/>
          </w:rPr>
          <w:t>89</w:t>
        </w:r>
        <w:r w:rsidR="002416B1" w:rsidRPr="00481BE6">
          <w:rPr>
            <w:rFonts w:ascii="Arial" w:hAnsi="Arial" w:cs="Arial"/>
            <w:noProof/>
            <w:webHidden/>
          </w:rPr>
          <w:fldChar w:fldCharType="end"/>
        </w:r>
      </w:hyperlink>
    </w:p>
    <w:p w:rsidR="002416B1" w:rsidRPr="00B57F3C" w:rsidRDefault="009714AD" w:rsidP="00507035">
      <w:pPr>
        <w:pStyle w:val="Obsah3"/>
        <w:spacing w:before="120" w:after="120"/>
        <w:rPr>
          <w:rFonts w:ascii="Arial" w:hAnsi="Arial" w:cs="Arial"/>
          <w:noProof/>
          <w:sz w:val="22"/>
          <w:szCs w:val="22"/>
        </w:rPr>
      </w:pPr>
      <w:hyperlink w:anchor="_Toc319573316" w:history="1">
        <w:r w:rsidR="002416B1" w:rsidRPr="00481BE6">
          <w:rPr>
            <w:rStyle w:val="Hypertextovprepojenie"/>
            <w:rFonts w:ascii="Arial" w:hAnsi="Arial" w:cs="Arial"/>
            <w:noProof/>
          </w:rPr>
          <w:t>2.7.2 Hodnotenie</w:t>
        </w:r>
        <w:r w:rsidR="002416B1" w:rsidRPr="00481BE6">
          <w:rPr>
            <w:rFonts w:ascii="Arial" w:hAnsi="Arial" w:cs="Arial"/>
            <w:noProof/>
            <w:webHidden/>
          </w:rPr>
          <w:tab/>
        </w:r>
        <w:r w:rsidR="002416B1" w:rsidRPr="00481BE6">
          <w:rPr>
            <w:rFonts w:ascii="Arial" w:hAnsi="Arial" w:cs="Arial"/>
            <w:noProof/>
            <w:webHidden/>
          </w:rPr>
          <w:fldChar w:fldCharType="begin"/>
        </w:r>
        <w:r w:rsidR="002416B1" w:rsidRPr="00481BE6">
          <w:rPr>
            <w:rFonts w:ascii="Arial" w:hAnsi="Arial" w:cs="Arial"/>
            <w:noProof/>
            <w:webHidden/>
          </w:rPr>
          <w:instrText xml:space="preserve"> PAGEREF _Toc319573316 \h </w:instrText>
        </w:r>
        <w:r w:rsidR="002416B1" w:rsidRPr="00481BE6">
          <w:rPr>
            <w:rFonts w:ascii="Arial" w:hAnsi="Arial" w:cs="Arial"/>
            <w:noProof/>
            <w:webHidden/>
          </w:rPr>
        </w:r>
        <w:r w:rsidR="002416B1" w:rsidRPr="00481BE6">
          <w:rPr>
            <w:rFonts w:ascii="Arial" w:hAnsi="Arial" w:cs="Arial"/>
            <w:noProof/>
            <w:webHidden/>
          </w:rPr>
          <w:fldChar w:fldCharType="separate"/>
        </w:r>
        <w:r>
          <w:rPr>
            <w:rFonts w:ascii="Arial" w:hAnsi="Arial" w:cs="Arial"/>
            <w:noProof/>
            <w:webHidden/>
          </w:rPr>
          <w:t>105</w:t>
        </w:r>
        <w:r w:rsidR="002416B1" w:rsidRPr="00481BE6">
          <w:rPr>
            <w:rFonts w:ascii="Arial" w:hAnsi="Arial" w:cs="Arial"/>
            <w:noProof/>
            <w:webHidden/>
          </w:rPr>
          <w:fldChar w:fldCharType="end"/>
        </w:r>
      </w:hyperlink>
    </w:p>
    <w:p w:rsidR="002416B1" w:rsidRPr="00B57F3C" w:rsidRDefault="009714AD" w:rsidP="00507035">
      <w:pPr>
        <w:pStyle w:val="Obsah2"/>
        <w:tabs>
          <w:tab w:val="right" w:leader="dot" w:pos="9060"/>
        </w:tabs>
        <w:spacing w:before="120" w:after="120"/>
        <w:rPr>
          <w:rFonts w:ascii="Arial" w:hAnsi="Arial" w:cs="Arial"/>
          <w:b w:val="0"/>
          <w:bCs w:val="0"/>
          <w:noProof/>
          <w:sz w:val="22"/>
          <w:szCs w:val="22"/>
        </w:rPr>
      </w:pPr>
      <w:hyperlink w:anchor="_Toc319573317" w:history="1">
        <w:r w:rsidR="002416B1" w:rsidRPr="00481BE6">
          <w:rPr>
            <w:rStyle w:val="Hypertextovprepojenie"/>
            <w:rFonts w:ascii="Arial" w:hAnsi="Arial" w:cs="Arial"/>
            <w:noProof/>
          </w:rPr>
          <w:t>2.8 Národná výkonnostná rezerva</w:t>
        </w:r>
        <w:r w:rsidR="002416B1" w:rsidRPr="00481BE6">
          <w:rPr>
            <w:rFonts w:ascii="Arial" w:hAnsi="Arial" w:cs="Arial"/>
            <w:noProof/>
            <w:webHidden/>
          </w:rPr>
          <w:tab/>
        </w:r>
        <w:r w:rsidR="002416B1" w:rsidRPr="00481BE6">
          <w:rPr>
            <w:rFonts w:ascii="Arial" w:hAnsi="Arial" w:cs="Arial"/>
            <w:noProof/>
            <w:webHidden/>
          </w:rPr>
          <w:fldChar w:fldCharType="begin"/>
        </w:r>
        <w:r w:rsidR="002416B1" w:rsidRPr="00481BE6">
          <w:rPr>
            <w:rFonts w:ascii="Arial" w:hAnsi="Arial" w:cs="Arial"/>
            <w:noProof/>
            <w:webHidden/>
          </w:rPr>
          <w:instrText xml:space="preserve"> PAGEREF _Toc319573317 \h </w:instrText>
        </w:r>
        <w:r w:rsidR="002416B1" w:rsidRPr="00481BE6">
          <w:rPr>
            <w:rFonts w:ascii="Arial" w:hAnsi="Arial" w:cs="Arial"/>
            <w:noProof/>
            <w:webHidden/>
          </w:rPr>
        </w:r>
        <w:r w:rsidR="002416B1" w:rsidRPr="00481BE6">
          <w:rPr>
            <w:rFonts w:ascii="Arial" w:hAnsi="Arial" w:cs="Arial"/>
            <w:noProof/>
            <w:webHidden/>
          </w:rPr>
          <w:fldChar w:fldCharType="separate"/>
        </w:r>
        <w:r>
          <w:rPr>
            <w:rFonts w:ascii="Arial" w:hAnsi="Arial" w:cs="Arial"/>
            <w:noProof/>
            <w:webHidden/>
          </w:rPr>
          <w:t>109</w:t>
        </w:r>
        <w:r w:rsidR="002416B1" w:rsidRPr="00481BE6">
          <w:rPr>
            <w:rFonts w:ascii="Arial" w:hAnsi="Arial" w:cs="Arial"/>
            <w:noProof/>
            <w:webHidden/>
          </w:rPr>
          <w:fldChar w:fldCharType="end"/>
        </w:r>
      </w:hyperlink>
    </w:p>
    <w:p w:rsidR="002416B1" w:rsidRPr="00B57F3C" w:rsidRDefault="009714AD" w:rsidP="00507035">
      <w:pPr>
        <w:pStyle w:val="Obsah2"/>
        <w:tabs>
          <w:tab w:val="right" w:leader="dot" w:pos="9060"/>
        </w:tabs>
        <w:spacing w:before="120" w:after="120"/>
        <w:rPr>
          <w:rFonts w:ascii="Arial" w:hAnsi="Arial" w:cs="Arial"/>
          <w:b w:val="0"/>
          <w:bCs w:val="0"/>
          <w:noProof/>
          <w:sz w:val="22"/>
          <w:szCs w:val="22"/>
        </w:rPr>
      </w:pPr>
      <w:hyperlink w:anchor="_Toc319573318" w:history="1">
        <w:r w:rsidR="002416B1" w:rsidRPr="00481BE6">
          <w:rPr>
            <w:rStyle w:val="Hypertextovprepojenie"/>
            <w:rFonts w:ascii="Arial" w:hAnsi="Arial" w:cs="Arial"/>
            <w:noProof/>
          </w:rPr>
          <w:t>2.9 Administratívne kapacity</w:t>
        </w:r>
        <w:r w:rsidR="002416B1" w:rsidRPr="00481BE6">
          <w:rPr>
            <w:rFonts w:ascii="Arial" w:hAnsi="Arial" w:cs="Arial"/>
            <w:noProof/>
            <w:webHidden/>
          </w:rPr>
          <w:tab/>
        </w:r>
        <w:r w:rsidR="002416B1" w:rsidRPr="00481BE6">
          <w:rPr>
            <w:rFonts w:ascii="Arial" w:hAnsi="Arial" w:cs="Arial"/>
            <w:noProof/>
            <w:webHidden/>
          </w:rPr>
          <w:fldChar w:fldCharType="begin"/>
        </w:r>
        <w:r w:rsidR="002416B1" w:rsidRPr="00481BE6">
          <w:rPr>
            <w:rFonts w:ascii="Arial" w:hAnsi="Arial" w:cs="Arial"/>
            <w:noProof/>
            <w:webHidden/>
          </w:rPr>
          <w:instrText xml:space="preserve"> PAGEREF _Toc319573318 \h </w:instrText>
        </w:r>
        <w:r w:rsidR="002416B1" w:rsidRPr="00481BE6">
          <w:rPr>
            <w:rFonts w:ascii="Arial" w:hAnsi="Arial" w:cs="Arial"/>
            <w:noProof/>
            <w:webHidden/>
          </w:rPr>
        </w:r>
        <w:r w:rsidR="002416B1" w:rsidRPr="00481BE6">
          <w:rPr>
            <w:rFonts w:ascii="Arial" w:hAnsi="Arial" w:cs="Arial"/>
            <w:noProof/>
            <w:webHidden/>
          </w:rPr>
          <w:fldChar w:fldCharType="separate"/>
        </w:r>
        <w:r>
          <w:rPr>
            <w:rFonts w:ascii="Arial" w:hAnsi="Arial" w:cs="Arial"/>
            <w:noProof/>
            <w:webHidden/>
          </w:rPr>
          <w:t>109</w:t>
        </w:r>
        <w:r w:rsidR="002416B1" w:rsidRPr="00481BE6">
          <w:rPr>
            <w:rFonts w:ascii="Arial" w:hAnsi="Arial" w:cs="Arial"/>
            <w:noProof/>
            <w:webHidden/>
          </w:rPr>
          <w:fldChar w:fldCharType="end"/>
        </w:r>
      </w:hyperlink>
    </w:p>
    <w:p w:rsidR="002416B1" w:rsidRPr="00B57F3C" w:rsidRDefault="009714AD" w:rsidP="00507035">
      <w:pPr>
        <w:pStyle w:val="Obsah1"/>
        <w:spacing w:before="120" w:after="120"/>
        <w:rPr>
          <w:szCs w:val="22"/>
        </w:rPr>
      </w:pPr>
      <w:hyperlink w:anchor="_Toc319573319" w:history="1">
        <w:r w:rsidR="002416B1" w:rsidRPr="00481BE6">
          <w:rPr>
            <w:rStyle w:val="Hypertextovprepojenie"/>
          </w:rPr>
          <w:t>3. Realizácia podľa prioritných osí</w:t>
        </w:r>
        <w:r w:rsidR="002416B1" w:rsidRPr="00481BE6">
          <w:rPr>
            <w:webHidden/>
          </w:rPr>
          <w:tab/>
        </w:r>
        <w:r w:rsidR="002416B1" w:rsidRPr="00481BE6">
          <w:rPr>
            <w:webHidden/>
          </w:rPr>
          <w:fldChar w:fldCharType="begin"/>
        </w:r>
        <w:r w:rsidR="002416B1" w:rsidRPr="00481BE6">
          <w:rPr>
            <w:webHidden/>
          </w:rPr>
          <w:instrText xml:space="preserve"> PAGEREF _Toc319573319 \h </w:instrText>
        </w:r>
        <w:r w:rsidR="002416B1" w:rsidRPr="00481BE6">
          <w:rPr>
            <w:webHidden/>
          </w:rPr>
        </w:r>
        <w:r w:rsidR="002416B1" w:rsidRPr="00481BE6">
          <w:rPr>
            <w:webHidden/>
          </w:rPr>
          <w:fldChar w:fldCharType="separate"/>
        </w:r>
        <w:r>
          <w:rPr>
            <w:webHidden/>
          </w:rPr>
          <w:t>113</w:t>
        </w:r>
        <w:r w:rsidR="002416B1" w:rsidRPr="00481BE6">
          <w:rPr>
            <w:webHidden/>
          </w:rPr>
          <w:fldChar w:fldCharType="end"/>
        </w:r>
      </w:hyperlink>
    </w:p>
    <w:p w:rsidR="002416B1" w:rsidRPr="00B57F3C" w:rsidRDefault="009714AD" w:rsidP="00507035">
      <w:pPr>
        <w:pStyle w:val="Obsah2"/>
        <w:tabs>
          <w:tab w:val="right" w:leader="dot" w:pos="9060"/>
        </w:tabs>
        <w:spacing w:before="120" w:after="120"/>
        <w:rPr>
          <w:rFonts w:ascii="Arial" w:hAnsi="Arial" w:cs="Arial"/>
          <w:b w:val="0"/>
          <w:bCs w:val="0"/>
          <w:noProof/>
          <w:sz w:val="22"/>
          <w:szCs w:val="22"/>
        </w:rPr>
      </w:pPr>
      <w:hyperlink w:anchor="_Toc319573320" w:history="1">
        <w:r w:rsidR="002416B1" w:rsidRPr="00481BE6">
          <w:rPr>
            <w:rStyle w:val="Hypertextovprepojenie"/>
            <w:rFonts w:ascii="Arial" w:hAnsi="Arial" w:cs="Arial"/>
            <w:noProof/>
          </w:rPr>
          <w:t>3.1. Prioritná os 1 Integrovaná ochrana a racionálne využívanie vôd</w:t>
        </w:r>
        <w:r w:rsidR="002416B1" w:rsidRPr="00481BE6">
          <w:rPr>
            <w:rFonts w:ascii="Arial" w:hAnsi="Arial" w:cs="Arial"/>
            <w:noProof/>
            <w:webHidden/>
          </w:rPr>
          <w:tab/>
        </w:r>
        <w:r w:rsidR="002416B1" w:rsidRPr="00481BE6">
          <w:rPr>
            <w:rFonts w:ascii="Arial" w:hAnsi="Arial" w:cs="Arial"/>
            <w:noProof/>
            <w:webHidden/>
          </w:rPr>
          <w:fldChar w:fldCharType="begin"/>
        </w:r>
        <w:r w:rsidR="002416B1" w:rsidRPr="00481BE6">
          <w:rPr>
            <w:rFonts w:ascii="Arial" w:hAnsi="Arial" w:cs="Arial"/>
            <w:noProof/>
            <w:webHidden/>
          </w:rPr>
          <w:instrText xml:space="preserve"> PAGEREF _Toc319573320 \h </w:instrText>
        </w:r>
        <w:r w:rsidR="002416B1" w:rsidRPr="00481BE6">
          <w:rPr>
            <w:rFonts w:ascii="Arial" w:hAnsi="Arial" w:cs="Arial"/>
            <w:noProof/>
            <w:webHidden/>
          </w:rPr>
        </w:r>
        <w:r w:rsidR="002416B1" w:rsidRPr="00481BE6">
          <w:rPr>
            <w:rFonts w:ascii="Arial" w:hAnsi="Arial" w:cs="Arial"/>
            <w:noProof/>
            <w:webHidden/>
          </w:rPr>
          <w:fldChar w:fldCharType="separate"/>
        </w:r>
        <w:r>
          <w:rPr>
            <w:rFonts w:ascii="Arial" w:hAnsi="Arial" w:cs="Arial"/>
            <w:noProof/>
            <w:webHidden/>
          </w:rPr>
          <w:t>114</w:t>
        </w:r>
        <w:r w:rsidR="002416B1" w:rsidRPr="00481BE6">
          <w:rPr>
            <w:rFonts w:ascii="Arial" w:hAnsi="Arial" w:cs="Arial"/>
            <w:noProof/>
            <w:webHidden/>
          </w:rPr>
          <w:fldChar w:fldCharType="end"/>
        </w:r>
      </w:hyperlink>
    </w:p>
    <w:p w:rsidR="002416B1" w:rsidRPr="00B57F3C" w:rsidRDefault="009714AD" w:rsidP="00507035">
      <w:pPr>
        <w:pStyle w:val="Obsah3"/>
        <w:spacing w:before="120" w:after="120"/>
        <w:rPr>
          <w:rFonts w:ascii="Arial" w:hAnsi="Arial" w:cs="Arial"/>
          <w:noProof/>
          <w:sz w:val="22"/>
          <w:szCs w:val="22"/>
        </w:rPr>
      </w:pPr>
      <w:hyperlink w:anchor="_Toc319573321" w:history="1">
        <w:r w:rsidR="002416B1" w:rsidRPr="00481BE6">
          <w:rPr>
            <w:rStyle w:val="Hypertextovprepojenie"/>
            <w:rFonts w:ascii="Arial" w:hAnsi="Arial" w:cs="Arial"/>
            <w:noProof/>
          </w:rPr>
          <w:t>3.1.1 Dosiahnutie cieľov a analýza dosiahnutého pokroku</w:t>
        </w:r>
        <w:r w:rsidR="002416B1" w:rsidRPr="00481BE6">
          <w:rPr>
            <w:rFonts w:ascii="Arial" w:hAnsi="Arial" w:cs="Arial"/>
            <w:noProof/>
            <w:webHidden/>
          </w:rPr>
          <w:tab/>
        </w:r>
        <w:r w:rsidR="002416B1" w:rsidRPr="00481BE6">
          <w:rPr>
            <w:rFonts w:ascii="Arial" w:hAnsi="Arial" w:cs="Arial"/>
            <w:noProof/>
            <w:webHidden/>
          </w:rPr>
          <w:fldChar w:fldCharType="begin"/>
        </w:r>
        <w:r w:rsidR="002416B1" w:rsidRPr="00481BE6">
          <w:rPr>
            <w:rFonts w:ascii="Arial" w:hAnsi="Arial" w:cs="Arial"/>
            <w:noProof/>
            <w:webHidden/>
          </w:rPr>
          <w:instrText xml:space="preserve"> PAGEREF _Toc319573321 \h </w:instrText>
        </w:r>
        <w:r w:rsidR="002416B1" w:rsidRPr="00481BE6">
          <w:rPr>
            <w:rFonts w:ascii="Arial" w:hAnsi="Arial" w:cs="Arial"/>
            <w:noProof/>
            <w:webHidden/>
          </w:rPr>
        </w:r>
        <w:r w:rsidR="002416B1" w:rsidRPr="00481BE6">
          <w:rPr>
            <w:rFonts w:ascii="Arial" w:hAnsi="Arial" w:cs="Arial"/>
            <w:noProof/>
            <w:webHidden/>
          </w:rPr>
          <w:fldChar w:fldCharType="separate"/>
        </w:r>
        <w:r>
          <w:rPr>
            <w:rFonts w:ascii="Arial" w:hAnsi="Arial" w:cs="Arial"/>
            <w:noProof/>
            <w:webHidden/>
          </w:rPr>
          <w:t>114</w:t>
        </w:r>
        <w:r w:rsidR="002416B1" w:rsidRPr="00481BE6">
          <w:rPr>
            <w:rFonts w:ascii="Arial" w:hAnsi="Arial" w:cs="Arial"/>
            <w:noProof/>
            <w:webHidden/>
          </w:rPr>
          <w:fldChar w:fldCharType="end"/>
        </w:r>
      </w:hyperlink>
    </w:p>
    <w:p w:rsidR="002416B1" w:rsidRPr="00B57F3C" w:rsidRDefault="009714AD" w:rsidP="00507035">
      <w:pPr>
        <w:pStyle w:val="Obsah3"/>
        <w:spacing w:before="120" w:after="120"/>
        <w:rPr>
          <w:rFonts w:ascii="Arial" w:hAnsi="Arial" w:cs="Arial"/>
          <w:noProof/>
          <w:sz w:val="22"/>
          <w:szCs w:val="22"/>
        </w:rPr>
      </w:pPr>
      <w:hyperlink w:anchor="_Toc319573322" w:history="1">
        <w:r w:rsidR="002416B1" w:rsidRPr="00481BE6">
          <w:rPr>
            <w:rStyle w:val="Hypertextovprepojenie"/>
            <w:rFonts w:ascii="Arial" w:hAnsi="Arial" w:cs="Arial"/>
            <w:noProof/>
          </w:rPr>
          <w:t>3.1.2 Závažné problémy, ktoré sa vyskytli a opatrenia prijaté na ich prekonanie</w:t>
        </w:r>
        <w:r w:rsidR="002416B1" w:rsidRPr="00481BE6">
          <w:rPr>
            <w:rFonts w:ascii="Arial" w:hAnsi="Arial" w:cs="Arial"/>
            <w:noProof/>
            <w:webHidden/>
          </w:rPr>
          <w:tab/>
        </w:r>
        <w:r w:rsidR="002416B1" w:rsidRPr="00481BE6">
          <w:rPr>
            <w:rFonts w:ascii="Arial" w:hAnsi="Arial" w:cs="Arial"/>
            <w:noProof/>
            <w:webHidden/>
          </w:rPr>
          <w:fldChar w:fldCharType="begin"/>
        </w:r>
        <w:r w:rsidR="002416B1" w:rsidRPr="00481BE6">
          <w:rPr>
            <w:rFonts w:ascii="Arial" w:hAnsi="Arial" w:cs="Arial"/>
            <w:noProof/>
            <w:webHidden/>
          </w:rPr>
          <w:instrText xml:space="preserve"> PAGEREF _Toc319573322 \h </w:instrText>
        </w:r>
        <w:r w:rsidR="002416B1" w:rsidRPr="00481BE6">
          <w:rPr>
            <w:rFonts w:ascii="Arial" w:hAnsi="Arial" w:cs="Arial"/>
            <w:noProof/>
            <w:webHidden/>
          </w:rPr>
        </w:r>
        <w:r w:rsidR="002416B1" w:rsidRPr="00481BE6">
          <w:rPr>
            <w:rFonts w:ascii="Arial" w:hAnsi="Arial" w:cs="Arial"/>
            <w:noProof/>
            <w:webHidden/>
          </w:rPr>
          <w:fldChar w:fldCharType="separate"/>
        </w:r>
        <w:r>
          <w:rPr>
            <w:rFonts w:ascii="Arial" w:hAnsi="Arial" w:cs="Arial"/>
            <w:noProof/>
            <w:webHidden/>
          </w:rPr>
          <w:t>119</w:t>
        </w:r>
        <w:r w:rsidR="002416B1" w:rsidRPr="00481BE6">
          <w:rPr>
            <w:rFonts w:ascii="Arial" w:hAnsi="Arial" w:cs="Arial"/>
            <w:noProof/>
            <w:webHidden/>
          </w:rPr>
          <w:fldChar w:fldCharType="end"/>
        </w:r>
      </w:hyperlink>
    </w:p>
    <w:p w:rsidR="002416B1" w:rsidRPr="00B57F3C" w:rsidRDefault="009714AD" w:rsidP="00507035">
      <w:pPr>
        <w:pStyle w:val="Obsah2"/>
        <w:tabs>
          <w:tab w:val="right" w:leader="dot" w:pos="9060"/>
        </w:tabs>
        <w:spacing w:before="120" w:after="120"/>
        <w:rPr>
          <w:rFonts w:ascii="Arial" w:hAnsi="Arial" w:cs="Arial"/>
          <w:b w:val="0"/>
          <w:bCs w:val="0"/>
          <w:noProof/>
          <w:sz w:val="22"/>
          <w:szCs w:val="22"/>
        </w:rPr>
      </w:pPr>
      <w:hyperlink w:anchor="_Toc319573323" w:history="1">
        <w:r w:rsidR="002416B1" w:rsidRPr="00481BE6">
          <w:rPr>
            <w:rStyle w:val="Hypertextovprepojenie"/>
            <w:rFonts w:ascii="Arial" w:hAnsi="Arial" w:cs="Arial"/>
            <w:noProof/>
          </w:rPr>
          <w:t>3.2. Prioritná os 2 Ochrana pred povodňami</w:t>
        </w:r>
        <w:r w:rsidR="002416B1" w:rsidRPr="00481BE6">
          <w:rPr>
            <w:rFonts w:ascii="Arial" w:hAnsi="Arial" w:cs="Arial"/>
            <w:noProof/>
            <w:webHidden/>
          </w:rPr>
          <w:tab/>
        </w:r>
        <w:r w:rsidR="002416B1" w:rsidRPr="00481BE6">
          <w:rPr>
            <w:rFonts w:ascii="Arial" w:hAnsi="Arial" w:cs="Arial"/>
            <w:noProof/>
            <w:webHidden/>
          </w:rPr>
          <w:fldChar w:fldCharType="begin"/>
        </w:r>
        <w:r w:rsidR="002416B1" w:rsidRPr="00481BE6">
          <w:rPr>
            <w:rFonts w:ascii="Arial" w:hAnsi="Arial" w:cs="Arial"/>
            <w:noProof/>
            <w:webHidden/>
          </w:rPr>
          <w:instrText xml:space="preserve"> PAGEREF _Toc319573323 \h </w:instrText>
        </w:r>
        <w:r w:rsidR="002416B1" w:rsidRPr="00481BE6">
          <w:rPr>
            <w:rFonts w:ascii="Arial" w:hAnsi="Arial" w:cs="Arial"/>
            <w:noProof/>
            <w:webHidden/>
          </w:rPr>
        </w:r>
        <w:r w:rsidR="002416B1" w:rsidRPr="00481BE6">
          <w:rPr>
            <w:rFonts w:ascii="Arial" w:hAnsi="Arial" w:cs="Arial"/>
            <w:noProof/>
            <w:webHidden/>
          </w:rPr>
          <w:fldChar w:fldCharType="separate"/>
        </w:r>
        <w:r>
          <w:rPr>
            <w:rFonts w:ascii="Arial" w:hAnsi="Arial" w:cs="Arial"/>
            <w:noProof/>
            <w:webHidden/>
          </w:rPr>
          <w:t>124</w:t>
        </w:r>
        <w:r w:rsidR="002416B1" w:rsidRPr="00481BE6">
          <w:rPr>
            <w:rFonts w:ascii="Arial" w:hAnsi="Arial" w:cs="Arial"/>
            <w:noProof/>
            <w:webHidden/>
          </w:rPr>
          <w:fldChar w:fldCharType="end"/>
        </w:r>
      </w:hyperlink>
    </w:p>
    <w:p w:rsidR="002416B1" w:rsidRPr="00B57F3C" w:rsidRDefault="009714AD" w:rsidP="00507035">
      <w:pPr>
        <w:pStyle w:val="Obsah3"/>
        <w:spacing w:before="120" w:after="120"/>
        <w:rPr>
          <w:rFonts w:ascii="Arial" w:hAnsi="Arial" w:cs="Arial"/>
          <w:noProof/>
          <w:sz w:val="22"/>
          <w:szCs w:val="22"/>
        </w:rPr>
      </w:pPr>
      <w:hyperlink w:anchor="_Toc319573324" w:history="1">
        <w:r w:rsidR="002416B1" w:rsidRPr="00481BE6">
          <w:rPr>
            <w:rStyle w:val="Hypertextovprepojenie"/>
            <w:rFonts w:ascii="Arial" w:hAnsi="Arial" w:cs="Arial"/>
            <w:noProof/>
          </w:rPr>
          <w:t>3.2.1 Dosiahnutie cieľov a analýza dosiahnutého pokroku</w:t>
        </w:r>
        <w:r w:rsidR="002416B1" w:rsidRPr="00481BE6">
          <w:rPr>
            <w:rFonts w:ascii="Arial" w:hAnsi="Arial" w:cs="Arial"/>
            <w:noProof/>
            <w:webHidden/>
          </w:rPr>
          <w:tab/>
        </w:r>
        <w:r w:rsidR="002416B1" w:rsidRPr="00481BE6">
          <w:rPr>
            <w:rFonts w:ascii="Arial" w:hAnsi="Arial" w:cs="Arial"/>
            <w:noProof/>
            <w:webHidden/>
          </w:rPr>
          <w:fldChar w:fldCharType="begin"/>
        </w:r>
        <w:r w:rsidR="002416B1" w:rsidRPr="00481BE6">
          <w:rPr>
            <w:rFonts w:ascii="Arial" w:hAnsi="Arial" w:cs="Arial"/>
            <w:noProof/>
            <w:webHidden/>
          </w:rPr>
          <w:instrText xml:space="preserve"> PAGEREF _Toc319573324 \h </w:instrText>
        </w:r>
        <w:r w:rsidR="002416B1" w:rsidRPr="00481BE6">
          <w:rPr>
            <w:rFonts w:ascii="Arial" w:hAnsi="Arial" w:cs="Arial"/>
            <w:noProof/>
            <w:webHidden/>
          </w:rPr>
        </w:r>
        <w:r w:rsidR="002416B1" w:rsidRPr="00481BE6">
          <w:rPr>
            <w:rFonts w:ascii="Arial" w:hAnsi="Arial" w:cs="Arial"/>
            <w:noProof/>
            <w:webHidden/>
          </w:rPr>
          <w:fldChar w:fldCharType="separate"/>
        </w:r>
        <w:r>
          <w:rPr>
            <w:rFonts w:ascii="Arial" w:hAnsi="Arial" w:cs="Arial"/>
            <w:noProof/>
            <w:webHidden/>
          </w:rPr>
          <w:t>124</w:t>
        </w:r>
        <w:r w:rsidR="002416B1" w:rsidRPr="00481BE6">
          <w:rPr>
            <w:rFonts w:ascii="Arial" w:hAnsi="Arial" w:cs="Arial"/>
            <w:noProof/>
            <w:webHidden/>
          </w:rPr>
          <w:fldChar w:fldCharType="end"/>
        </w:r>
      </w:hyperlink>
    </w:p>
    <w:p w:rsidR="002416B1" w:rsidRPr="00B57F3C" w:rsidRDefault="009714AD" w:rsidP="00507035">
      <w:pPr>
        <w:pStyle w:val="Obsah3"/>
        <w:spacing w:before="120" w:after="120"/>
        <w:rPr>
          <w:rFonts w:ascii="Arial" w:hAnsi="Arial" w:cs="Arial"/>
          <w:noProof/>
          <w:sz w:val="22"/>
          <w:szCs w:val="22"/>
        </w:rPr>
      </w:pPr>
      <w:hyperlink w:anchor="_Toc319573325" w:history="1">
        <w:r w:rsidR="002416B1" w:rsidRPr="00481BE6">
          <w:rPr>
            <w:rStyle w:val="Hypertextovprepojenie"/>
            <w:rFonts w:ascii="Arial" w:hAnsi="Arial" w:cs="Arial"/>
            <w:noProof/>
          </w:rPr>
          <w:t>3.2.2 Závažné problémy, ktoré sa vyskytli a opatrenia prijaté na ich prekonanie</w:t>
        </w:r>
        <w:r w:rsidR="002416B1" w:rsidRPr="00481BE6">
          <w:rPr>
            <w:rFonts w:ascii="Arial" w:hAnsi="Arial" w:cs="Arial"/>
            <w:noProof/>
            <w:webHidden/>
          </w:rPr>
          <w:tab/>
        </w:r>
        <w:r w:rsidR="002416B1" w:rsidRPr="00481BE6">
          <w:rPr>
            <w:rFonts w:ascii="Arial" w:hAnsi="Arial" w:cs="Arial"/>
            <w:noProof/>
            <w:webHidden/>
          </w:rPr>
          <w:fldChar w:fldCharType="begin"/>
        </w:r>
        <w:r w:rsidR="002416B1" w:rsidRPr="00481BE6">
          <w:rPr>
            <w:rFonts w:ascii="Arial" w:hAnsi="Arial" w:cs="Arial"/>
            <w:noProof/>
            <w:webHidden/>
          </w:rPr>
          <w:instrText xml:space="preserve"> PAGEREF _Toc319573325 \h </w:instrText>
        </w:r>
        <w:r w:rsidR="002416B1" w:rsidRPr="00481BE6">
          <w:rPr>
            <w:rFonts w:ascii="Arial" w:hAnsi="Arial" w:cs="Arial"/>
            <w:noProof/>
            <w:webHidden/>
          </w:rPr>
        </w:r>
        <w:r w:rsidR="002416B1" w:rsidRPr="00481BE6">
          <w:rPr>
            <w:rFonts w:ascii="Arial" w:hAnsi="Arial" w:cs="Arial"/>
            <w:noProof/>
            <w:webHidden/>
          </w:rPr>
          <w:fldChar w:fldCharType="separate"/>
        </w:r>
        <w:r>
          <w:rPr>
            <w:rFonts w:ascii="Arial" w:hAnsi="Arial" w:cs="Arial"/>
            <w:noProof/>
            <w:webHidden/>
          </w:rPr>
          <w:t>128</w:t>
        </w:r>
        <w:r w:rsidR="002416B1" w:rsidRPr="00481BE6">
          <w:rPr>
            <w:rFonts w:ascii="Arial" w:hAnsi="Arial" w:cs="Arial"/>
            <w:noProof/>
            <w:webHidden/>
          </w:rPr>
          <w:fldChar w:fldCharType="end"/>
        </w:r>
      </w:hyperlink>
    </w:p>
    <w:p w:rsidR="002416B1" w:rsidRPr="00B57F3C" w:rsidRDefault="009714AD" w:rsidP="00507035">
      <w:pPr>
        <w:pStyle w:val="Obsah2"/>
        <w:tabs>
          <w:tab w:val="right" w:leader="dot" w:pos="9060"/>
        </w:tabs>
        <w:spacing w:before="120" w:after="120"/>
        <w:rPr>
          <w:rFonts w:ascii="Arial" w:hAnsi="Arial" w:cs="Arial"/>
          <w:b w:val="0"/>
          <w:bCs w:val="0"/>
          <w:noProof/>
          <w:sz w:val="22"/>
          <w:szCs w:val="22"/>
        </w:rPr>
      </w:pPr>
      <w:hyperlink w:anchor="_Toc319573326" w:history="1">
        <w:r w:rsidR="002416B1" w:rsidRPr="00481BE6">
          <w:rPr>
            <w:rStyle w:val="Hypertextovprepojenie"/>
            <w:rFonts w:ascii="Arial" w:hAnsi="Arial" w:cs="Arial"/>
            <w:noProof/>
          </w:rPr>
          <w:t>3.3. Prioritná os 3 Ochrana ovzdušia a minimalizácia nepriaznivých vplyvov zmeny klímy</w:t>
        </w:r>
        <w:r w:rsidR="002416B1" w:rsidRPr="00481BE6">
          <w:rPr>
            <w:rFonts w:ascii="Arial" w:hAnsi="Arial" w:cs="Arial"/>
            <w:noProof/>
            <w:webHidden/>
          </w:rPr>
          <w:tab/>
        </w:r>
        <w:r w:rsidR="002416B1" w:rsidRPr="00481BE6">
          <w:rPr>
            <w:rFonts w:ascii="Arial" w:hAnsi="Arial" w:cs="Arial"/>
            <w:noProof/>
            <w:webHidden/>
          </w:rPr>
          <w:fldChar w:fldCharType="begin"/>
        </w:r>
        <w:r w:rsidR="002416B1" w:rsidRPr="00481BE6">
          <w:rPr>
            <w:rFonts w:ascii="Arial" w:hAnsi="Arial" w:cs="Arial"/>
            <w:noProof/>
            <w:webHidden/>
          </w:rPr>
          <w:instrText xml:space="preserve"> PAGEREF _Toc319573326 \h </w:instrText>
        </w:r>
        <w:r w:rsidR="002416B1" w:rsidRPr="00481BE6">
          <w:rPr>
            <w:rFonts w:ascii="Arial" w:hAnsi="Arial" w:cs="Arial"/>
            <w:noProof/>
            <w:webHidden/>
          </w:rPr>
        </w:r>
        <w:r w:rsidR="002416B1" w:rsidRPr="00481BE6">
          <w:rPr>
            <w:rFonts w:ascii="Arial" w:hAnsi="Arial" w:cs="Arial"/>
            <w:noProof/>
            <w:webHidden/>
          </w:rPr>
          <w:fldChar w:fldCharType="separate"/>
        </w:r>
        <w:r>
          <w:rPr>
            <w:rFonts w:ascii="Arial" w:hAnsi="Arial" w:cs="Arial"/>
            <w:noProof/>
            <w:webHidden/>
          </w:rPr>
          <w:t>130</w:t>
        </w:r>
        <w:r w:rsidR="002416B1" w:rsidRPr="00481BE6">
          <w:rPr>
            <w:rFonts w:ascii="Arial" w:hAnsi="Arial" w:cs="Arial"/>
            <w:noProof/>
            <w:webHidden/>
          </w:rPr>
          <w:fldChar w:fldCharType="end"/>
        </w:r>
      </w:hyperlink>
    </w:p>
    <w:p w:rsidR="002416B1" w:rsidRPr="00B57F3C" w:rsidRDefault="009714AD" w:rsidP="00507035">
      <w:pPr>
        <w:pStyle w:val="Obsah3"/>
        <w:spacing w:before="120" w:after="120"/>
        <w:rPr>
          <w:rFonts w:ascii="Arial" w:hAnsi="Arial" w:cs="Arial"/>
          <w:noProof/>
          <w:sz w:val="22"/>
          <w:szCs w:val="22"/>
        </w:rPr>
      </w:pPr>
      <w:hyperlink w:anchor="_Toc319573327" w:history="1">
        <w:r w:rsidR="002416B1" w:rsidRPr="00481BE6">
          <w:rPr>
            <w:rStyle w:val="Hypertextovprepojenie"/>
            <w:rFonts w:ascii="Arial" w:hAnsi="Arial" w:cs="Arial"/>
            <w:noProof/>
          </w:rPr>
          <w:t>3.3.1 Dosiahnutie cieľov a analýza dosiahnutého pokroku</w:t>
        </w:r>
        <w:r w:rsidR="002416B1" w:rsidRPr="00481BE6">
          <w:rPr>
            <w:rFonts w:ascii="Arial" w:hAnsi="Arial" w:cs="Arial"/>
            <w:noProof/>
            <w:webHidden/>
          </w:rPr>
          <w:tab/>
        </w:r>
        <w:r w:rsidR="002416B1" w:rsidRPr="00481BE6">
          <w:rPr>
            <w:rFonts w:ascii="Arial" w:hAnsi="Arial" w:cs="Arial"/>
            <w:noProof/>
            <w:webHidden/>
          </w:rPr>
          <w:fldChar w:fldCharType="begin"/>
        </w:r>
        <w:r w:rsidR="002416B1" w:rsidRPr="00481BE6">
          <w:rPr>
            <w:rFonts w:ascii="Arial" w:hAnsi="Arial" w:cs="Arial"/>
            <w:noProof/>
            <w:webHidden/>
          </w:rPr>
          <w:instrText xml:space="preserve"> PAGEREF _Toc319573327 \h </w:instrText>
        </w:r>
        <w:r w:rsidR="002416B1" w:rsidRPr="00481BE6">
          <w:rPr>
            <w:rFonts w:ascii="Arial" w:hAnsi="Arial" w:cs="Arial"/>
            <w:noProof/>
            <w:webHidden/>
          </w:rPr>
        </w:r>
        <w:r w:rsidR="002416B1" w:rsidRPr="00481BE6">
          <w:rPr>
            <w:rFonts w:ascii="Arial" w:hAnsi="Arial" w:cs="Arial"/>
            <w:noProof/>
            <w:webHidden/>
          </w:rPr>
          <w:fldChar w:fldCharType="separate"/>
        </w:r>
        <w:r>
          <w:rPr>
            <w:rFonts w:ascii="Arial" w:hAnsi="Arial" w:cs="Arial"/>
            <w:noProof/>
            <w:webHidden/>
          </w:rPr>
          <w:t>130</w:t>
        </w:r>
        <w:r w:rsidR="002416B1" w:rsidRPr="00481BE6">
          <w:rPr>
            <w:rFonts w:ascii="Arial" w:hAnsi="Arial" w:cs="Arial"/>
            <w:noProof/>
            <w:webHidden/>
          </w:rPr>
          <w:fldChar w:fldCharType="end"/>
        </w:r>
      </w:hyperlink>
    </w:p>
    <w:p w:rsidR="002416B1" w:rsidRPr="00B57F3C" w:rsidRDefault="009714AD" w:rsidP="00507035">
      <w:pPr>
        <w:pStyle w:val="Obsah3"/>
        <w:spacing w:before="120" w:after="120"/>
        <w:rPr>
          <w:rFonts w:ascii="Arial" w:hAnsi="Arial" w:cs="Arial"/>
          <w:noProof/>
          <w:sz w:val="22"/>
          <w:szCs w:val="22"/>
        </w:rPr>
      </w:pPr>
      <w:hyperlink w:anchor="_Toc319573328" w:history="1">
        <w:r w:rsidR="002416B1" w:rsidRPr="00481BE6">
          <w:rPr>
            <w:rStyle w:val="Hypertextovprepojenie"/>
            <w:rFonts w:ascii="Arial" w:hAnsi="Arial" w:cs="Arial"/>
            <w:noProof/>
          </w:rPr>
          <w:t>3.3.2 Závažné problémy, ktoré sa vyskytli a opatrenia prijaté na ich prekonanie</w:t>
        </w:r>
        <w:r w:rsidR="002416B1" w:rsidRPr="00481BE6">
          <w:rPr>
            <w:rFonts w:ascii="Arial" w:hAnsi="Arial" w:cs="Arial"/>
            <w:noProof/>
            <w:webHidden/>
          </w:rPr>
          <w:tab/>
        </w:r>
        <w:r w:rsidR="002416B1" w:rsidRPr="00481BE6">
          <w:rPr>
            <w:rFonts w:ascii="Arial" w:hAnsi="Arial" w:cs="Arial"/>
            <w:noProof/>
            <w:webHidden/>
          </w:rPr>
          <w:fldChar w:fldCharType="begin"/>
        </w:r>
        <w:r w:rsidR="002416B1" w:rsidRPr="00481BE6">
          <w:rPr>
            <w:rFonts w:ascii="Arial" w:hAnsi="Arial" w:cs="Arial"/>
            <w:noProof/>
            <w:webHidden/>
          </w:rPr>
          <w:instrText xml:space="preserve"> PAGEREF _Toc319573328 \h </w:instrText>
        </w:r>
        <w:r w:rsidR="002416B1" w:rsidRPr="00481BE6">
          <w:rPr>
            <w:rFonts w:ascii="Arial" w:hAnsi="Arial" w:cs="Arial"/>
            <w:noProof/>
            <w:webHidden/>
          </w:rPr>
        </w:r>
        <w:r w:rsidR="002416B1" w:rsidRPr="00481BE6">
          <w:rPr>
            <w:rFonts w:ascii="Arial" w:hAnsi="Arial" w:cs="Arial"/>
            <w:noProof/>
            <w:webHidden/>
          </w:rPr>
          <w:fldChar w:fldCharType="separate"/>
        </w:r>
        <w:r>
          <w:rPr>
            <w:rFonts w:ascii="Arial" w:hAnsi="Arial" w:cs="Arial"/>
            <w:noProof/>
            <w:webHidden/>
          </w:rPr>
          <w:t>135</w:t>
        </w:r>
        <w:r w:rsidR="002416B1" w:rsidRPr="00481BE6">
          <w:rPr>
            <w:rFonts w:ascii="Arial" w:hAnsi="Arial" w:cs="Arial"/>
            <w:noProof/>
            <w:webHidden/>
          </w:rPr>
          <w:fldChar w:fldCharType="end"/>
        </w:r>
      </w:hyperlink>
    </w:p>
    <w:p w:rsidR="002416B1" w:rsidRPr="00B57F3C" w:rsidRDefault="009714AD" w:rsidP="00507035">
      <w:pPr>
        <w:pStyle w:val="Obsah2"/>
        <w:tabs>
          <w:tab w:val="right" w:leader="dot" w:pos="9060"/>
        </w:tabs>
        <w:spacing w:before="120" w:after="120"/>
        <w:rPr>
          <w:rFonts w:ascii="Arial" w:hAnsi="Arial" w:cs="Arial"/>
          <w:b w:val="0"/>
          <w:bCs w:val="0"/>
          <w:noProof/>
          <w:sz w:val="22"/>
          <w:szCs w:val="22"/>
        </w:rPr>
      </w:pPr>
      <w:hyperlink w:anchor="_Toc319573329" w:history="1">
        <w:r w:rsidR="002416B1" w:rsidRPr="00481BE6">
          <w:rPr>
            <w:rStyle w:val="Hypertextovprepojenie"/>
            <w:rFonts w:ascii="Arial" w:hAnsi="Arial" w:cs="Arial"/>
            <w:noProof/>
          </w:rPr>
          <w:t>3.4. Prioritná os 4 Odpadové hospodárstvo</w:t>
        </w:r>
        <w:r w:rsidR="002416B1" w:rsidRPr="00481BE6">
          <w:rPr>
            <w:rFonts w:ascii="Arial" w:hAnsi="Arial" w:cs="Arial"/>
            <w:noProof/>
            <w:webHidden/>
          </w:rPr>
          <w:tab/>
        </w:r>
        <w:r w:rsidR="002416B1" w:rsidRPr="00481BE6">
          <w:rPr>
            <w:rFonts w:ascii="Arial" w:hAnsi="Arial" w:cs="Arial"/>
            <w:noProof/>
            <w:webHidden/>
          </w:rPr>
          <w:fldChar w:fldCharType="begin"/>
        </w:r>
        <w:r w:rsidR="002416B1" w:rsidRPr="00481BE6">
          <w:rPr>
            <w:rFonts w:ascii="Arial" w:hAnsi="Arial" w:cs="Arial"/>
            <w:noProof/>
            <w:webHidden/>
          </w:rPr>
          <w:instrText xml:space="preserve"> PAGEREF _Toc319573329 \h </w:instrText>
        </w:r>
        <w:r w:rsidR="002416B1" w:rsidRPr="00481BE6">
          <w:rPr>
            <w:rFonts w:ascii="Arial" w:hAnsi="Arial" w:cs="Arial"/>
            <w:noProof/>
            <w:webHidden/>
          </w:rPr>
        </w:r>
        <w:r w:rsidR="002416B1" w:rsidRPr="00481BE6">
          <w:rPr>
            <w:rFonts w:ascii="Arial" w:hAnsi="Arial" w:cs="Arial"/>
            <w:noProof/>
            <w:webHidden/>
          </w:rPr>
          <w:fldChar w:fldCharType="separate"/>
        </w:r>
        <w:r>
          <w:rPr>
            <w:rFonts w:ascii="Arial" w:hAnsi="Arial" w:cs="Arial"/>
            <w:noProof/>
            <w:webHidden/>
          </w:rPr>
          <w:t>139</w:t>
        </w:r>
        <w:r w:rsidR="002416B1" w:rsidRPr="00481BE6">
          <w:rPr>
            <w:rFonts w:ascii="Arial" w:hAnsi="Arial" w:cs="Arial"/>
            <w:noProof/>
            <w:webHidden/>
          </w:rPr>
          <w:fldChar w:fldCharType="end"/>
        </w:r>
      </w:hyperlink>
    </w:p>
    <w:p w:rsidR="002416B1" w:rsidRPr="00B57F3C" w:rsidRDefault="009714AD" w:rsidP="00507035">
      <w:pPr>
        <w:pStyle w:val="Obsah3"/>
        <w:spacing w:before="120" w:after="120"/>
        <w:rPr>
          <w:rFonts w:ascii="Arial" w:hAnsi="Arial" w:cs="Arial"/>
          <w:noProof/>
          <w:sz w:val="22"/>
          <w:szCs w:val="22"/>
        </w:rPr>
      </w:pPr>
      <w:hyperlink w:anchor="_Toc319573330" w:history="1">
        <w:r w:rsidR="002416B1" w:rsidRPr="00481BE6">
          <w:rPr>
            <w:rStyle w:val="Hypertextovprepojenie"/>
            <w:rFonts w:ascii="Arial" w:hAnsi="Arial" w:cs="Arial"/>
            <w:noProof/>
          </w:rPr>
          <w:t>3.4.1 Dosiahnutie cieľov a analýza dosiahnutého pokroku</w:t>
        </w:r>
        <w:r w:rsidR="002416B1" w:rsidRPr="00481BE6">
          <w:rPr>
            <w:rFonts w:ascii="Arial" w:hAnsi="Arial" w:cs="Arial"/>
            <w:noProof/>
            <w:webHidden/>
          </w:rPr>
          <w:tab/>
        </w:r>
        <w:r w:rsidR="002416B1" w:rsidRPr="00481BE6">
          <w:rPr>
            <w:rFonts w:ascii="Arial" w:hAnsi="Arial" w:cs="Arial"/>
            <w:noProof/>
            <w:webHidden/>
          </w:rPr>
          <w:fldChar w:fldCharType="begin"/>
        </w:r>
        <w:r w:rsidR="002416B1" w:rsidRPr="00481BE6">
          <w:rPr>
            <w:rFonts w:ascii="Arial" w:hAnsi="Arial" w:cs="Arial"/>
            <w:noProof/>
            <w:webHidden/>
          </w:rPr>
          <w:instrText xml:space="preserve"> PAGEREF _Toc319573330 \h </w:instrText>
        </w:r>
        <w:r w:rsidR="002416B1" w:rsidRPr="00481BE6">
          <w:rPr>
            <w:rFonts w:ascii="Arial" w:hAnsi="Arial" w:cs="Arial"/>
            <w:noProof/>
            <w:webHidden/>
          </w:rPr>
        </w:r>
        <w:r w:rsidR="002416B1" w:rsidRPr="00481BE6">
          <w:rPr>
            <w:rFonts w:ascii="Arial" w:hAnsi="Arial" w:cs="Arial"/>
            <w:noProof/>
            <w:webHidden/>
          </w:rPr>
          <w:fldChar w:fldCharType="separate"/>
        </w:r>
        <w:r>
          <w:rPr>
            <w:rFonts w:ascii="Arial" w:hAnsi="Arial" w:cs="Arial"/>
            <w:noProof/>
            <w:webHidden/>
          </w:rPr>
          <w:t>139</w:t>
        </w:r>
        <w:r w:rsidR="002416B1" w:rsidRPr="00481BE6">
          <w:rPr>
            <w:rFonts w:ascii="Arial" w:hAnsi="Arial" w:cs="Arial"/>
            <w:noProof/>
            <w:webHidden/>
          </w:rPr>
          <w:fldChar w:fldCharType="end"/>
        </w:r>
      </w:hyperlink>
    </w:p>
    <w:p w:rsidR="002416B1" w:rsidRPr="00B57F3C" w:rsidRDefault="009714AD" w:rsidP="00507035">
      <w:pPr>
        <w:pStyle w:val="Obsah3"/>
        <w:spacing w:before="120" w:after="120"/>
        <w:rPr>
          <w:rFonts w:ascii="Arial" w:hAnsi="Arial" w:cs="Arial"/>
          <w:noProof/>
          <w:sz w:val="22"/>
          <w:szCs w:val="22"/>
        </w:rPr>
      </w:pPr>
      <w:hyperlink w:anchor="_Toc319573331" w:history="1">
        <w:r w:rsidR="002416B1" w:rsidRPr="00481BE6">
          <w:rPr>
            <w:rStyle w:val="Hypertextovprepojenie"/>
            <w:rFonts w:ascii="Arial" w:hAnsi="Arial" w:cs="Arial"/>
            <w:noProof/>
          </w:rPr>
          <w:t>3.4.2 Závažné problémy, ktoré sa vyskytli a opatrenia prijaté na ich prekonanie</w:t>
        </w:r>
        <w:r w:rsidR="002416B1" w:rsidRPr="00481BE6">
          <w:rPr>
            <w:rFonts w:ascii="Arial" w:hAnsi="Arial" w:cs="Arial"/>
            <w:noProof/>
            <w:webHidden/>
          </w:rPr>
          <w:tab/>
        </w:r>
        <w:r w:rsidR="002416B1" w:rsidRPr="00481BE6">
          <w:rPr>
            <w:rFonts w:ascii="Arial" w:hAnsi="Arial" w:cs="Arial"/>
            <w:noProof/>
            <w:webHidden/>
          </w:rPr>
          <w:fldChar w:fldCharType="begin"/>
        </w:r>
        <w:r w:rsidR="002416B1" w:rsidRPr="00481BE6">
          <w:rPr>
            <w:rFonts w:ascii="Arial" w:hAnsi="Arial" w:cs="Arial"/>
            <w:noProof/>
            <w:webHidden/>
          </w:rPr>
          <w:instrText xml:space="preserve"> PAGEREF _Toc319573331 \h </w:instrText>
        </w:r>
        <w:r w:rsidR="002416B1" w:rsidRPr="00481BE6">
          <w:rPr>
            <w:rFonts w:ascii="Arial" w:hAnsi="Arial" w:cs="Arial"/>
            <w:noProof/>
            <w:webHidden/>
          </w:rPr>
        </w:r>
        <w:r w:rsidR="002416B1" w:rsidRPr="00481BE6">
          <w:rPr>
            <w:rFonts w:ascii="Arial" w:hAnsi="Arial" w:cs="Arial"/>
            <w:noProof/>
            <w:webHidden/>
          </w:rPr>
          <w:fldChar w:fldCharType="separate"/>
        </w:r>
        <w:r>
          <w:rPr>
            <w:rFonts w:ascii="Arial" w:hAnsi="Arial" w:cs="Arial"/>
            <w:noProof/>
            <w:webHidden/>
          </w:rPr>
          <w:t>143</w:t>
        </w:r>
        <w:r w:rsidR="002416B1" w:rsidRPr="00481BE6">
          <w:rPr>
            <w:rFonts w:ascii="Arial" w:hAnsi="Arial" w:cs="Arial"/>
            <w:noProof/>
            <w:webHidden/>
          </w:rPr>
          <w:fldChar w:fldCharType="end"/>
        </w:r>
      </w:hyperlink>
    </w:p>
    <w:p w:rsidR="002416B1" w:rsidRPr="00B57F3C" w:rsidRDefault="009714AD" w:rsidP="00507035">
      <w:pPr>
        <w:pStyle w:val="Obsah2"/>
        <w:tabs>
          <w:tab w:val="right" w:leader="dot" w:pos="9060"/>
        </w:tabs>
        <w:spacing w:before="120" w:after="120"/>
        <w:rPr>
          <w:rFonts w:ascii="Arial" w:hAnsi="Arial" w:cs="Arial"/>
          <w:b w:val="0"/>
          <w:bCs w:val="0"/>
          <w:noProof/>
          <w:sz w:val="22"/>
          <w:szCs w:val="22"/>
        </w:rPr>
      </w:pPr>
      <w:hyperlink w:anchor="_Toc319573332" w:history="1">
        <w:r w:rsidR="002416B1" w:rsidRPr="00481BE6">
          <w:rPr>
            <w:rStyle w:val="Hypertextovprepojenie"/>
            <w:rFonts w:ascii="Arial" w:hAnsi="Arial" w:cs="Arial"/>
            <w:noProof/>
          </w:rPr>
          <w:t>3.5. Prioritná os 5 Ochrana a regenerácia prírodného prostredia a krajiny</w:t>
        </w:r>
        <w:r w:rsidR="002416B1" w:rsidRPr="00481BE6">
          <w:rPr>
            <w:rFonts w:ascii="Arial" w:hAnsi="Arial" w:cs="Arial"/>
            <w:noProof/>
            <w:webHidden/>
          </w:rPr>
          <w:tab/>
        </w:r>
        <w:r w:rsidR="002416B1" w:rsidRPr="00481BE6">
          <w:rPr>
            <w:rFonts w:ascii="Arial" w:hAnsi="Arial" w:cs="Arial"/>
            <w:noProof/>
            <w:webHidden/>
          </w:rPr>
          <w:fldChar w:fldCharType="begin"/>
        </w:r>
        <w:r w:rsidR="002416B1" w:rsidRPr="00481BE6">
          <w:rPr>
            <w:rFonts w:ascii="Arial" w:hAnsi="Arial" w:cs="Arial"/>
            <w:noProof/>
            <w:webHidden/>
          </w:rPr>
          <w:instrText xml:space="preserve"> PAGEREF _Toc319573332 \h </w:instrText>
        </w:r>
        <w:r w:rsidR="002416B1" w:rsidRPr="00481BE6">
          <w:rPr>
            <w:rFonts w:ascii="Arial" w:hAnsi="Arial" w:cs="Arial"/>
            <w:noProof/>
            <w:webHidden/>
          </w:rPr>
        </w:r>
        <w:r w:rsidR="002416B1" w:rsidRPr="00481BE6">
          <w:rPr>
            <w:rFonts w:ascii="Arial" w:hAnsi="Arial" w:cs="Arial"/>
            <w:noProof/>
            <w:webHidden/>
          </w:rPr>
          <w:fldChar w:fldCharType="separate"/>
        </w:r>
        <w:r>
          <w:rPr>
            <w:rFonts w:ascii="Arial" w:hAnsi="Arial" w:cs="Arial"/>
            <w:noProof/>
            <w:webHidden/>
          </w:rPr>
          <w:t>149</w:t>
        </w:r>
        <w:r w:rsidR="002416B1" w:rsidRPr="00481BE6">
          <w:rPr>
            <w:rFonts w:ascii="Arial" w:hAnsi="Arial" w:cs="Arial"/>
            <w:noProof/>
            <w:webHidden/>
          </w:rPr>
          <w:fldChar w:fldCharType="end"/>
        </w:r>
      </w:hyperlink>
    </w:p>
    <w:p w:rsidR="002416B1" w:rsidRPr="00B57F3C" w:rsidRDefault="009714AD" w:rsidP="00507035">
      <w:pPr>
        <w:pStyle w:val="Obsah3"/>
        <w:spacing w:before="120" w:after="120"/>
        <w:rPr>
          <w:rFonts w:ascii="Arial" w:hAnsi="Arial" w:cs="Arial"/>
          <w:noProof/>
          <w:sz w:val="22"/>
          <w:szCs w:val="22"/>
        </w:rPr>
      </w:pPr>
      <w:hyperlink w:anchor="_Toc319573333" w:history="1">
        <w:r w:rsidR="002416B1" w:rsidRPr="00481BE6">
          <w:rPr>
            <w:rStyle w:val="Hypertextovprepojenie"/>
            <w:rFonts w:ascii="Arial" w:hAnsi="Arial" w:cs="Arial"/>
            <w:noProof/>
          </w:rPr>
          <w:t>3.5.1 Dosiahnutie cieľov a analýza dosiahnutého pokroku</w:t>
        </w:r>
        <w:r w:rsidR="002416B1" w:rsidRPr="00481BE6">
          <w:rPr>
            <w:rFonts w:ascii="Arial" w:hAnsi="Arial" w:cs="Arial"/>
            <w:noProof/>
            <w:webHidden/>
          </w:rPr>
          <w:tab/>
        </w:r>
        <w:r w:rsidR="002416B1" w:rsidRPr="00481BE6">
          <w:rPr>
            <w:rFonts w:ascii="Arial" w:hAnsi="Arial" w:cs="Arial"/>
            <w:noProof/>
            <w:webHidden/>
          </w:rPr>
          <w:fldChar w:fldCharType="begin"/>
        </w:r>
        <w:r w:rsidR="002416B1" w:rsidRPr="00481BE6">
          <w:rPr>
            <w:rFonts w:ascii="Arial" w:hAnsi="Arial" w:cs="Arial"/>
            <w:noProof/>
            <w:webHidden/>
          </w:rPr>
          <w:instrText xml:space="preserve"> PAGEREF _Toc319573333 \h </w:instrText>
        </w:r>
        <w:r w:rsidR="002416B1" w:rsidRPr="00481BE6">
          <w:rPr>
            <w:rFonts w:ascii="Arial" w:hAnsi="Arial" w:cs="Arial"/>
            <w:noProof/>
            <w:webHidden/>
          </w:rPr>
        </w:r>
        <w:r w:rsidR="002416B1" w:rsidRPr="00481BE6">
          <w:rPr>
            <w:rFonts w:ascii="Arial" w:hAnsi="Arial" w:cs="Arial"/>
            <w:noProof/>
            <w:webHidden/>
          </w:rPr>
          <w:fldChar w:fldCharType="separate"/>
        </w:r>
        <w:r>
          <w:rPr>
            <w:rFonts w:ascii="Arial" w:hAnsi="Arial" w:cs="Arial"/>
            <w:noProof/>
            <w:webHidden/>
          </w:rPr>
          <w:t>150</w:t>
        </w:r>
        <w:r w:rsidR="002416B1" w:rsidRPr="00481BE6">
          <w:rPr>
            <w:rFonts w:ascii="Arial" w:hAnsi="Arial" w:cs="Arial"/>
            <w:noProof/>
            <w:webHidden/>
          </w:rPr>
          <w:fldChar w:fldCharType="end"/>
        </w:r>
      </w:hyperlink>
    </w:p>
    <w:p w:rsidR="002416B1" w:rsidRPr="00B57F3C" w:rsidRDefault="009714AD" w:rsidP="00507035">
      <w:pPr>
        <w:pStyle w:val="Obsah3"/>
        <w:spacing w:before="120" w:after="120"/>
        <w:rPr>
          <w:rFonts w:ascii="Arial" w:hAnsi="Arial" w:cs="Arial"/>
          <w:noProof/>
          <w:sz w:val="22"/>
          <w:szCs w:val="22"/>
        </w:rPr>
      </w:pPr>
      <w:hyperlink w:anchor="_Toc319573334" w:history="1">
        <w:r w:rsidR="002416B1" w:rsidRPr="00481BE6">
          <w:rPr>
            <w:rStyle w:val="Hypertextovprepojenie"/>
            <w:rFonts w:ascii="Arial" w:hAnsi="Arial" w:cs="Arial"/>
            <w:noProof/>
          </w:rPr>
          <w:t>3.5.2 Závažné problémy, ktoré sa vyskytli a opatrenia prijaté na ich prekonanie</w:t>
        </w:r>
        <w:r w:rsidR="002416B1" w:rsidRPr="00481BE6">
          <w:rPr>
            <w:rFonts w:ascii="Arial" w:hAnsi="Arial" w:cs="Arial"/>
            <w:noProof/>
            <w:webHidden/>
          </w:rPr>
          <w:tab/>
        </w:r>
        <w:r w:rsidR="002416B1" w:rsidRPr="00481BE6">
          <w:rPr>
            <w:rFonts w:ascii="Arial" w:hAnsi="Arial" w:cs="Arial"/>
            <w:noProof/>
            <w:webHidden/>
          </w:rPr>
          <w:fldChar w:fldCharType="begin"/>
        </w:r>
        <w:r w:rsidR="002416B1" w:rsidRPr="00481BE6">
          <w:rPr>
            <w:rFonts w:ascii="Arial" w:hAnsi="Arial" w:cs="Arial"/>
            <w:noProof/>
            <w:webHidden/>
          </w:rPr>
          <w:instrText xml:space="preserve"> PAGEREF _Toc319573334 \h </w:instrText>
        </w:r>
        <w:r w:rsidR="002416B1" w:rsidRPr="00481BE6">
          <w:rPr>
            <w:rFonts w:ascii="Arial" w:hAnsi="Arial" w:cs="Arial"/>
            <w:noProof/>
            <w:webHidden/>
          </w:rPr>
        </w:r>
        <w:r w:rsidR="002416B1" w:rsidRPr="00481BE6">
          <w:rPr>
            <w:rFonts w:ascii="Arial" w:hAnsi="Arial" w:cs="Arial"/>
            <w:noProof/>
            <w:webHidden/>
          </w:rPr>
          <w:fldChar w:fldCharType="separate"/>
        </w:r>
        <w:r>
          <w:rPr>
            <w:rFonts w:ascii="Arial" w:hAnsi="Arial" w:cs="Arial"/>
            <w:noProof/>
            <w:webHidden/>
          </w:rPr>
          <w:t>153</w:t>
        </w:r>
        <w:r w:rsidR="002416B1" w:rsidRPr="00481BE6">
          <w:rPr>
            <w:rFonts w:ascii="Arial" w:hAnsi="Arial" w:cs="Arial"/>
            <w:noProof/>
            <w:webHidden/>
          </w:rPr>
          <w:fldChar w:fldCharType="end"/>
        </w:r>
      </w:hyperlink>
    </w:p>
    <w:p w:rsidR="002416B1" w:rsidRPr="00B57F3C" w:rsidRDefault="009714AD" w:rsidP="00507035">
      <w:pPr>
        <w:pStyle w:val="Obsah2"/>
        <w:tabs>
          <w:tab w:val="right" w:leader="dot" w:pos="9060"/>
        </w:tabs>
        <w:spacing w:before="120" w:after="120"/>
        <w:rPr>
          <w:rFonts w:ascii="Arial" w:hAnsi="Arial" w:cs="Arial"/>
          <w:b w:val="0"/>
          <w:bCs w:val="0"/>
          <w:noProof/>
          <w:sz w:val="22"/>
          <w:szCs w:val="22"/>
        </w:rPr>
      </w:pPr>
      <w:hyperlink w:anchor="_Toc319573335" w:history="1">
        <w:r w:rsidR="002416B1" w:rsidRPr="00481BE6">
          <w:rPr>
            <w:rStyle w:val="Hypertextovprepojenie"/>
            <w:rFonts w:ascii="Arial" w:hAnsi="Arial" w:cs="Arial"/>
            <w:noProof/>
          </w:rPr>
          <w:t>3.6. Prioritná os 6 Technická pomoc</w:t>
        </w:r>
        <w:r w:rsidR="002416B1" w:rsidRPr="00481BE6">
          <w:rPr>
            <w:rFonts w:ascii="Arial" w:hAnsi="Arial" w:cs="Arial"/>
            <w:noProof/>
            <w:webHidden/>
          </w:rPr>
          <w:tab/>
        </w:r>
        <w:r w:rsidR="002416B1" w:rsidRPr="00481BE6">
          <w:rPr>
            <w:rFonts w:ascii="Arial" w:hAnsi="Arial" w:cs="Arial"/>
            <w:noProof/>
            <w:webHidden/>
          </w:rPr>
          <w:fldChar w:fldCharType="begin"/>
        </w:r>
        <w:r w:rsidR="002416B1" w:rsidRPr="00481BE6">
          <w:rPr>
            <w:rFonts w:ascii="Arial" w:hAnsi="Arial" w:cs="Arial"/>
            <w:noProof/>
            <w:webHidden/>
          </w:rPr>
          <w:instrText xml:space="preserve"> PAGEREF _Toc319573335 \h </w:instrText>
        </w:r>
        <w:r w:rsidR="002416B1" w:rsidRPr="00481BE6">
          <w:rPr>
            <w:rFonts w:ascii="Arial" w:hAnsi="Arial" w:cs="Arial"/>
            <w:noProof/>
            <w:webHidden/>
          </w:rPr>
        </w:r>
        <w:r w:rsidR="002416B1" w:rsidRPr="00481BE6">
          <w:rPr>
            <w:rFonts w:ascii="Arial" w:hAnsi="Arial" w:cs="Arial"/>
            <w:noProof/>
            <w:webHidden/>
          </w:rPr>
          <w:fldChar w:fldCharType="separate"/>
        </w:r>
        <w:r>
          <w:rPr>
            <w:rFonts w:ascii="Arial" w:hAnsi="Arial" w:cs="Arial"/>
            <w:noProof/>
            <w:webHidden/>
          </w:rPr>
          <w:t>158</w:t>
        </w:r>
        <w:r w:rsidR="002416B1" w:rsidRPr="00481BE6">
          <w:rPr>
            <w:rFonts w:ascii="Arial" w:hAnsi="Arial" w:cs="Arial"/>
            <w:noProof/>
            <w:webHidden/>
          </w:rPr>
          <w:fldChar w:fldCharType="end"/>
        </w:r>
      </w:hyperlink>
    </w:p>
    <w:p w:rsidR="002416B1" w:rsidRPr="00B57F3C" w:rsidRDefault="009714AD" w:rsidP="00507035">
      <w:pPr>
        <w:pStyle w:val="Obsah3"/>
        <w:spacing w:before="120" w:after="120"/>
        <w:rPr>
          <w:rFonts w:ascii="Arial" w:hAnsi="Arial" w:cs="Arial"/>
          <w:noProof/>
          <w:sz w:val="22"/>
          <w:szCs w:val="22"/>
        </w:rPr>
      </w:pPr>
      <w:hyperlink w:anchor="_Toc319573336" w:history="1">
        <w:r w:rsidR="002416B1" w:rsidRPr="00481BE6">
          <w:rPr>
            <w:rStyle w:val="Hypertextovprepojenie"/>
            <w:rFonts w:ascii="Arial" w:hAnsi="Arial" w:cs="Arial"/>
            <w:noProof/>
          </w:rPr>
          <w:t>3.6.1 Dosiahnutie cieľov a analýza dosiahnutého pokroku</w:t>
        </w:r>
        <w:r w:rsidR="002416B1" w:rsidRPr="00481BE6">
          <w:rPr>
            <w:rFonts w:ascii="Arial" w:hAnsi="Arial" w:cs="Arial"/>
            <w:noProof/>
            <w:webHidden/>
          </w:rPr>
          <w:tab/>
        </w:r>
        <w:r w:rsidR="002416B1" w:rsidRPr="00481BE6">
          <w:rPr>
            <w:rFonts w:ascii="Arial" w:hAnsi="Arial" w:cs="Arial"/>
            <w:noProof/>
            <w:webHidden/>
          </w:rPr>
          <w:fldChar w:fldCharType="begin"/>
        </w:r>
        <w:r w:rsidR="002416B1" w:rsidRPr="00481BE6">
          <w:rPr>
            <w:rFonts w:ascii="Arial" w:hAnsi="Arial" w:cs="Arial"/>
            <w:noProof/>
            <w:webHidden/>
          </w:rPr>
          <w:instrText xml:space="preserve"> PAGEREF _Toc319573336 \h </w:instrText>
        </w:r>
        <w:r w:rsidR="002416B1" w:rsidRPr="00481BE6">
          <w:rPr>
            <w:rFonts w:ascii="Arial" w:hAnsi="Arial" w:cs="Arial"/>
            <w:noProof/>
            <w:webHidden/>
          </w:rPr>
        </w:r>
        <w:r w:rsidR="002416B1" w:rsidRPr="00481BE6">
          <w:rPr>
            <w:rFonts w:ascii="Arial" w:hAnsi="Arial" w:cs="Arial"/>
            <w:noProof/>
            <w:webHidden/>
          </w:rPr>
          <w:fldChar w:fldCharType="separate"/>
        </w:r>
        <w:r>
          <w:rPr>
            <w:rFonts w:ascii="Arial" w:hAnsi="Arial" w:cs="Arial"/>
            <w:noProof/>
            <w:webHidden/>
          </w:rPr>
          <w:t>158</w:t>
        </w:r>
        <w:r w:rsidR="002416B1" w:rsidRPr="00481BE6">
          <w:rPr>
            <w:rFonts w:ascii="Arial" w:hAnsi="Arial" w:cs="Arial"/>
            <w:noProof/>
            <w:webHidden/>
          </w:rPr>
          <w:fldChar w:fldCharType="end"/>
        </w:r>
      </w:hyperlink>
    </w:p>
    <w:p w:rsidR="002416B1" w:rsidRPr="00B57F3C" w:rsidRDefault="009714AD" w:rsidP="00507035">
      <w:pPr>
        <w:pStyle w:val="Obsah3"/>
        <w:spacing w:before="120" w:after="120"/>
        <w:rPr>
          <w:rFonts w:ascii="Arial" w:hAnsi="Arial" w:cs="Arial"/>
          <w:noProof/>
          <w:sz w:val="22"/>
          <w:szCs w:val="22"/>
        </w:rPr>
      </w:pPr>
      <w:hyperlink w:anchor="_Toc319573337" w:history="1">
        <w:r w:rsidR="002416B1" w:rsidRPr="00481BE6">
          <w:rPr>
            <w:rStyle w:val="Hypertextovprepojenie"/>
            <w:rFonts w:ascii="Arial" w:hAnsi="Arial" w:cs="Arial"/>
            <w:noProof/>
          </w:rPr>
          <w:t>3.6.2 Závažné problémy, ktoré sa vyskytli a opatrenia prijaté na ich prekonanie</w:t>
        </w:r>
        <w:r w:rsidR="002416B1" w:rsidRPr="00481BE6">
          <w:rPr>
            <w:rFonts w:ascii="Arial" w:hAnsi="Arial" w:cs="Arial"/>
            <w:noProof/>
            <w:webHidden/>
          </w:rPr>
          <w:tab/>
        </w:r>
        <w:r w:rsidR="002416B1" w:rsidRPr="00481BE6">
          <w:rPr>
            <w:rFonts w:ascii="Arial" w:hAnsi="Arial" w:cs="Arial"/>
            <w:noProof/>
            <w:webHidden/>
          </w:rPr>
          <w:fldChar w:fldCharType="begin"/>
        </w:r>
        <w:r w:rsidR="002416B1" w:rsidRPr="00481BE6">
          <w:rPr>
            <w:rFonts w:ascii="Arial" w:hAnsi="Arial" w:cs="Arial"/>
            <w:noProof/>
            <w:webHidden/>
          </w:rPr>
          <w:instrText xml:space="preserve"> PAGEREF _Toc319573337 \h </w:instrText>
        </w:r>
        <w:r w:rsidR="002416B1" w:rsidRPr="00481BE6">
          <w:rPr>
            <w:rFonts w:ascii="Arial" w:hAnsi="Arial" w:cs="Arial"/>
            <w:noProof/>
            <w:webHidden/>
          </w:rPr>
        </w:r>
        <w:r w:rsidR="002416B1" w:rsidRPr="00481BE6">
          <w:rPr>
            <w:rFonts w:ascii="Arial" w:hAnsi="Arial" w:cs="Arial"/>
            <w:noProof/>
            <w:webHidden/>
          </w:rPr>
          <w:fldChar w:fldCharType="separate"/>
        </w:r>
        <w:r>
          <w:rPr>
            <w:rFonts w:ascii="Arial" w:hAnsi="Arial" w:cs="Arial"/>
            <w:noProof/>
            <w:webHidden/>
          </w:rPr>
          <w:t>161</w:t>
        </w:r>
        <w:r w:rsidR="002416B1" w:rsidRPr="00481BE6">
          <w:rPr>
            <w:rFonts w:ascii="Arial" w:hAnsi="Arial" w:cs="Arial"/>
            <w:noProof/>
            <w:webHidden/>
          </w:rPr>
          <w:fldChar w:fldCharType="end"/>
        </w:r>
      </w:hyperlink>
    </w:p>
    <w:p w:rsidR="002416B1" w:rsidRPr="00B57F3C" w:rsidRDefault="009714AD" w:rsidP="00507035">
      <w:pPr>
        <w:pStyle w:val="Obsah2"/>
        <w:tabs>
          <w:tab w:val="right" w:leader="dot" w:pos="9060"/>
        </w:tabs>
        <w:spacing w:before="120" w:after="120"/>
        <w:rPr>
          <w:rFonts w:ascii="Arial" w:hAnsi="Arial" w:cs="Arial"/>
          <w:b w:val="0"/>
          <w:bCs w:val="0"/>
          <w:noProof/>
          <w:sz w:val="22"/>
          <w:szCs w:val="22"/>
        </w:rPr>
      </w:pPr>
      <w:hyperlink w:anchor="_Toc319573338" w:history="1">
        <w:r w:rsidR="002416B1" w:rsidRPr="00481BE6">
          <w:rPr>
            <w:rStyle w:val="Hypertextovprepojenie"/>
            <w:rFonts w:ascii="Arial" w:hAnsi="Arial" w:cs="Arial"/>
            <w:noProof/>
          </w:rPr>
          <w:t>3.7. Prioritná os 7 Budovanie povodňového varovného a predpovedného systému</w:t>
        </w:r>
        <w:r w:rsidR="002416B1" w:rsidRPr="00481BE6">
          <w:rPr>
            <w:rFonts w:ascii="Arial" w:hAnsi="Arial" w:cs="Arial"/>
            <w:noProof/>
            <w:webHidden/>
          </w:rPr>
          <w:tab/>
        </w:r>
        <w:r w:rsidR="002416B1" w:rsidRPr="00481BE6">
          <w:rPr>
            <w:rFonts w:ascii="Arial" w:hAnsi="Arial" w:cs="Arial"/>
            <w:noProof/>
            <w:webHidden/>
          </w:rPr>
          <w:fldChar w:fldCharType="begin"/>
        </w:r>
        <w:r w:rsidR="002416B1" w:rsidRPr="00481BE6">
          <w:rPr>
            <w:rFonts w:ascii="Arial" w:hAnsi="Arial" w:cs="Arial"/>
            <w:noProof/>
            <w:webHidden/>
          </w:rPr>
          <w:instrText xml:space="preserve"> PAGEREF _Toc319573338 \h </w:instrText>
        </w:r>
        <w:r w:rsidR="002416B1" w:rsidRPr="00481BE6">
          <w:rPr>
            <w:rFonts w:ascii="Arial" w:hAnsi="Arial" w:cs="Arial"/>
            <w:noProof/>
            <w:webHidden/>
          </w:rPr>
        </w:r>
        <w:r w:rsidR="002416B1" w:rsidRPr="00481BE6">
          <w:rPr>
            <w:rFonts w:ascii="Arial" w:hAnsi="Arial" w:cs="Arial"/>
            <w:noProof/>
            <w:webHidden/>
          </w:rPr>
          <w:fldChar w:fldCharType="separate"/>
        </w:r>
        <w:r>
          <w:rPr>
            <w:rFonts w:ascii="Arial" w:hAnsi="Arial" w:cs="Arial"/>
            <w:noProof/>
            <w:webHidden/>
          </w:rPr>
          <w:t>161</w:t>
        </w:r>
        <w:r w:rsidR="002416B1" w:rsidRPr="00481BE6">
          <w:rPr>
            <w:rFonts w:ascii="Arial" w:hAnsi="Arial" w:cs="Arial"/>
            <w:noProof/>
            <w:webHidden/>
          </w:rPr>
          <w:fldChar w:fldCharType="end"/>
        </w:r>
      </w:hyperlink>
    </w:p>
    <w:p w:rsidR="002416B1" w:rsidRPr="00B57F3C" w:rsidRDefault="009714AD" w:rsidP="00507035">
      <w:pPr>
        <w:pStyle w:val="Obsah3"/>
        <w:spacing w:before="120" w:after="120"/>
        <w:rPr>
          <w:rFonts w:ascii="Arial" w:hAnsi="Arial" w:cs="Arial"/>
          <w:noProof/>
          <w:sz w:val="22"/>
          <w:szCs w:val="22"/>
        </w:rPr>
      </w:pPr>
      <w:hyperlink w:anchor="_Toc319573339" w:history="1">
        <w:r w:rsidR="002416B1" w:rsidRPr="00481BE6">
          <w:rPr>
            <w:rStyle w:val="Hypertextovprepojenie"/>
            <w:rFonts w:ascii="Arial" w:hAnsi="Arial" w:cs="Arial"/>
            <w:noProof/>
          </w:rPr>
          <w:t>3.7.1 Dosiahnutie cieľov a analýza dosiahnutého pokroku</w:t>
        </w:r>
        <w:r w:rsidR="002416B1" w:rsidRPr="00481BE6">
          <w:rPr>
            <w:rFonts w:ascii="Arial" w:hAnsi="Arial" w:cs="Arial"/>
            <w:noProof/>
            <w:webHidden/>
          </w:rPr>
          <w:tab/>
        </w:r>
        <w:r w:rsidR="002416B1" w:rsidRPr="00481BE6">
          <w:rPr>
            <w:rFonts w:ascii="Arial" w:hAnsi="Arial" w:cs="Arial"/>
            <w:noProof/>
            <w:webHidden/>
          </w:rPr>
          <w:fldChar w:fldCharType="begin"/>
        </w:r>
        <w:r w:rsidR="002416B1" w:rsidRPr="00481BE6">
          <w:rPr>
            <w:rFonts w:ascii="Arial" w:hAnsi="Arial" w:cs="Arial"/>
            <w:noProof/>
            <w:webHidden/>
          </w:rPr>
          <w:instrText xml:space="preserve"> PAGEREF _Toc319573339 \h </w:instrText>
        </w:r>
        <w:r w:rsidR="002416B1" w:rsidRPr="00481BE6">
          <w:rPr>
            <w:rFonts w:ascii="Arial" w:hAnsi="Arial" w:cs="Arial"/>
            <w:noProof/>
            <w:webHidden/>
          </w:rPr>
        </w:r>
        <w:r w:rsidR="002416B1" w:rsidRPr="00481BE6">
          <w:rPr>
            <w:rFonts w:ascii="Arial" w:hAnsi="Arial" w:cs="Arial"/>
            <w:noProof/>
            <w:webHidden/>
          </w:rPr>
          <w:fldChar w:fldCharType="separate"/>
        </w:r>
        <w:r>
          <w:rPr>
            <w:rFonts w:ascii="Arial" w:hAnsi="Arial" w:cs="Arial"/>
            <w:noProof/>
            <w:webHidden/>
          </w:rPr>
          <w:t>165</w:t>
        </w:r>
        <w:r w:rsidR="002416B1" w:rsidRPr="00481BE6">
          <w:rPr>
            <w:rFonts w:ascii="Arial" w:hAnsi="Arial" w:cs="Arial"/>
            <w:noProof/>
            <w:webHidden/>
          </w:rPr>
          <w:fldChar w:fldCharType="end"/>
        </w:r>
      </w:hyperlink>
    </w:p>
    <w:p w:rsidR="002416B1" w:rsidRPr="00B57F3C" w:rsidRDefault="009714AD" w:rsidP="00507035">
      <w:pPr>
        <w:pStyle w:val="Obsah1"/>
        <w:spacing w:before="120" w:after="120"/>
        <w:rPr>
          <w:szCs w:val="22"/>
        </w:rPr>
      </w:pPr>
      <w:hyperlink w:anchor="_Toc319573340" w:history="1">
        <w:r w:rsidR="002416B1" w:rsidRPr="00481BE6">
          <w:rPr>
            <w:rStyle w:val="Hypertextovprepojenie"/>
          </w:rPr>
          <w:t>4. Horizontálne priority</w:t>
        </w:r>
        <w:r w:rsidR="002416B1" w:rsidRPr="00481BE6">
          <w:rPr>
            <w:webHidden/>
          </w:rPr>
          <w:tab/>
        </w:r>
        <w:r w:rsidR="002416B1" w:rsidRPr="00481BE6">
          <w:rPr>
            <w:webHidden/>
          </w:rPr>
          <w:fldChar w:fldCharType="begin"/>
        </w:r>
        <w:r w:rsidR="002416B1" w:rsidRPr="00481BE6">
          <w:rPr>
            <w:webHidden/>
          </w:rPr>
          <w:instrText xml:space="preserve"> PAGEREF _Toc319573340 \h </w:instrText>
        </w:r>
        <w:r w:rsidR="002416B1" w:rsidRPr="00481BE6">
          <w:rPr>
            <w:webHidden/>
          </w:rPr>
        </w:r>
        <w:r w:rsidR="002416B1" w:rsidRPr="00481BE6">
          <w:rPr>
            <w:webHidden/>
          </w:rPr>
          <w:fldChar w:fldCharType="separate"/>
        </w:r>
        <w:r>
          <w:rPr>
            <w:webHidden/>
          </w:rPr>
          <w:t>167</w:t>
        </w:r>
        <w:r w:rsidR="002416B1" w:rsidRPr="00481BE6">
          <w:rPr>
            <w:webHidden/>
          </w:rPr>
          <w:fldChar w:fldCharType="end"/>
        </w:r>
      </w:hyperlink>
    </w:p>
    <w:p w:rsidR="002416B1" w:rsidRPr="00B57F3C" w:rsidRDefault="009714AD" w:rsidP="00507035">
      <w:pPr>
        <w:pStyle w:val="Obsah2"/>
        <w:tabs>
          <w:tab w:val="right" w:leader="dot" w:pos="9060"/>
        </w:tabs>
        <w:spacing w:before="120" w:after="120"/>
        <w:rPr>
          <w:rFonts w:ascii="Arial" w:hAnsi="Arial" w:cs="Arial"/>
          <w:b w:val="0"/>
          <w:bCs w:val="0"/>
          <w:noProof/>
          <w:sz w:val="22"/>
          <w:szCs w:val="22"/>
        </w:rPr>
      </w:pPr>
      <w:hyperlink w:anchor="_Toc319573341" w:history="1">
        <w:r w:rsidR="002416B1" w:rsidRPr="00481BE6">
          <w:rPr>
            <w:rStyle w:val="Hypertextovprepojenie"/>
            <w:rFonts w:ascii="Arial" w:hAnsi="Arial" w:cs="Arial"/>
            <w:noProof/>
          </w:rPr>
          <w:t>4.1 Horizontálna priorita Informačná spoločnosť</w:t>
        </w:r>
        <w:r w:rsidR="002416B1" w:rsidRPr="00481BE6">
          <w:rPr>
            <w:rFonts w:ascii="Arial" w:hAnsi="Arial" w:cs="Arial"/>
            <w:noProof/>
            <w:webHidden/>
          </w:rPr>
          <w:tab/>
        </w:r>
        <w:r w:rsidR="002416B1" w:rsidRPr="00481BE6">
          <w:rPr>
            <w:rFonts w:ascii="Arial" w:hAnsi="Arial" w:cs="Arial"/>
            <w:noProof/>
            <w:webHidden/>
          </w:rPr>
          <w:fldChar w:fldCharType="begin"/>
        </w:r>
        <w:r w:rsidR="002416B1" w:rsidRPr="00481BE6">
          <w:rPr>
            <w:rFonts w:ascii="Arial" w:hAnsi="Arial" w:cs="Arial"/>
            <w:noProof/>
            <w:webHidden/>
          </w:rPr>
          <w:instrText xml:space="preserve"> PAGEREF _Toc319573341 \h </w:instrText>
        </w:r>
        <w:r w:rsidR="002416B1" w:rsidRPr="00481BE6">
          <w:rPr>
            <w:rFonts w:ascii="Arial" w:hAnsi="Arial" w:cs="Arial"/>
            <w:noProof/>
            <w:webHidden/>
          </w:rPr>
        </w:r>
        <w:r w:rsidR="002416B1" w:rsidRPr="00481BE6">
          <w:rPr>
            <w:rFonts w:ascii="Arial" w:hAnsi="Arial" w:cs="Arial"/>
            <w:noProof/>
            <w:webHidden/>
          </w:rPr>
          <w:fldChar w:fldCharType="separate"/>
        </w:r>
        <w:r>
          <w:rPr>
            <w:rFonts w:ascii="Arial" w:hAnsi="Arial" w:cs="Arial"/>
            <w:noProof/>
            <w:webHidden/>
          </w:rPr>
          <w:t>167</w:t>
        </w:r>
        <w:r w:rsidR="002416B1" w:rsidRPr="00481BE6">
          <w:rPr>
            <w:rFonts w:ascii="Arial" w:hAnsi="Arial" w:cs="Arial"/>
            <w:noProof/>
            <w:webHidden/>
          </w:rPr>
          <w:fldChar w:fldCharType="end"/>
        </w:r>
      </w:hyperlink>
    </w:p>
    <w:p w:rsidR="002416B1" w:rsidRPr="00B57F3C" w:rsidRDefault="009714AD" w:rsidP="00507035">
      <w:pPr>
        <w:pStyle w:val="Obsah2"/>
        <w:tabs>
          <w:tab w:val="right" w:leader="dot" w:pos="9060"/>
        </w:tabs>
        <w:spacing w:before="120" w:after="120"/>
        <w:rPr>
          <w:rFonts w:ascii="Arial" w:hAnsi="Arial" w:cs="Arial"/>
          <w:b w:val="0"/>
          <w:bCs w:val="0"/>
          <w:noProof/>
          <w:sz w:val="22"/>
          <w:szCs w:val="22"/>
        </w:rPr>
      </w:pPr>
      <w:hyperlink w:anchor="_Toc319573342" w:history="1">
        <w:r w:rsidR="002416B1" w:rsidRPr="00481BE6">
          <w:rPr>
            <w:rStyle w:val="Hypertextovprepojenie"/>
            <w:rFonts w:ascii="Arial" w:hAnsi="Arial" w:cs="Arial"/>
            <w:noProof/>
          </w:rPr>
          <w:t>4.2 Horizontálna priorita Marginalizované rómske komunity</w:t>
        </w:r>
        <w:r w:rsidR="002416B1" w:rsidRPr="00481BE6">
          <w:rPr>
            <w:rFonts w:ascii="Arial" w:hAnsi="Arial" w:cs="Arial"/>
            <w:noProof/>
            <w:webHidden/>
          </w:rPr>
          <w:tab/>
        </w:r>
        <w:r w:rsidR="002416B1" w:rsidRPr="00481BE6">
          <w:rPr>
            <w:rFonts w:ascii="Arial" w:hAnsi="Arial" w:cs="Arial"/>
            <w:noProof/>
            <w:webHidden/>
          </w:rPr>
          <w:fldChar w:fldCharType="begin"/>
        </w:r>
        <w:r w:rsidR="002416B1" w:rsidRPr="00481BE6">
          <w:rPr>
            <w:rFonts w:ascii="Arial" w:hAnsi="Arial" w:cs="Arial"/>
            <w:noProof/>
            <w:webHidden/>
          </w:rPr>
          <w:instrText xml:space="preserve"> PAGEREF _Toc319573342 \h </w:instrText>
        </w:r>
        <w:r w:rsidR="002416B1" w:rsidRPr="00481BE6">
          <w:rPr>
            <w:rFonts w:ascii="Arial" w:hAnsi="Arial" w:cs="Arial"/>
            <w:noProof/>
            <w:webHidden/>
          </w:rPr>
        </w:r>
        <w:r w:rsidR="002416B1" w:rsidRPr="00481BE6">
          <w:rPr>
            <w:rFonts w:ascii="Arial" w:hAnsi="Arial" w:cs="Arial"/>
            <w:noProof/>
            <w:webHidden/>
          </w:rPr>
          <w:fldChar w:fldCharType="separate"/>
        </w:r>
        <w:r>
          <w:rPr>
            <w:rFonts w:ascii="Arial" w:hAnsi="Arial" w:cs="Arial"/>
            <w:noProof/>
            <w:webHidden/>
          </w:rPr>
          <w:t>174</w:t>
        </w:r>
        <w:r w:rsidR="002416B1" w:rsidRPr="00481BE6">
          <w:rPr>
            <w:rFonts w:ascii="Arial" w:hAnsi="Arial" w:cs="Arial"/>
            <w:noProof/>
            <w:webHidden/>
          </w:rPr>
          <w:fldChar w:fldCharType="end"/>
        </w:r>
      </w:hyperlink>
    </w:p>
    <w:p w:rsidR="002416B1" w:rsidRPr="00B57F3C" w:rsidRDefault="009714AD" w:rsidP="00507035">
      <w:pPr>
        <w:pStyle w:val="Obsah2"/>
        <w:tabs>
          <w:tab w:val="right" w:leader="dot" w:pos="9060"/>
        </w:tabs>
        <w:spacing w:before="120" w:after="120"/>
        <w:rPr>
          <w:rFonts w:ascii="Arial" w:hAnsi="Arial" w:cs="Arial"/>
          <w:b w:val="0"/>
          <w:bCs w:val="0"/>
          <w:noProof/>
          <w:sz w:val="22"/>
          <w:szCs w:val="22"/>
        </w:rPr>
      </w:pPr>
      <w:hyperlink w:anchor="_Toc319573343" w:history="1">
        <w:r w:rsidR="002416B1" w:rsidRPr="00481BE6">
          <w:rPr>
            <w:rStyle w:val="Hypertextovprepojenie"/>
            <w:rFonts w:ascii="Arial" w:hAnsi="Arial" w:cs="Arial"/>
            <w:noProof/>
          </w:rPr>
          <w:t>4.3 Horizontálna priorita Rovnosť príležitostí</w:t>
        </w:r>
        <w:r w:rsidR="002416B1" w:rsidRPr="00481BE6">
          <w:rPr>
            <w:rFonts w:ascii="Arial" w:hAnsi="Arial" w:cs="Arial"/>
            <w:noProof/>
            <w:webHidden/>
          </w:rPr>
          <w:tab/>
        </w:r>
        <w:r w:rsidR="002416B1" w:rsidRPr="00481BE6">
          <w:rPr>
            <w:rFonts w:ascii="Arial" w:hAnsi="Arial" w:cs="Arial"/>
            <w:noProof/>
            <w:webHidden/>
          </w:rPr>
          <w:fldChar w:fldCharType="begin"/>
        </w:r>
        <w:r w:rsidR="002416B1" w:rsidRPr="00481BE6">
          <w:rPr>
            <w:rFonts w:ascii="Arial" w:hAnsi="Arial" w:cs="Arial"/>
            <w:noProof/>
            <w:webHidden/>
          </w:rPr>
          <w:instrText xml:space="preserve"> PAGEREF _Toc319573343 \h </w:instrText>
        </w:r>
        <w:r w:rsidR="002416B1" w:rsidRPr="00481BE6">
          <w:rPr>
            <w:rFonts w:ascii="Arial" w:hAnsi="Arial" w:cs="Arial"/>
            <w:noProof/>
            <w:webHidden/>
          </w:rPr>
        </w:r>
        <w:r w:rsidR="002416B1" w:rsidRPr="00481BE6">
          <w:rPr>
            <w:rFonts w:ascii="Arial" w:hAnsi="Arial" w:cs="Arial"/>
            <w:noProof/>
            <w:webHidden/>
          </w:rPr>
          <w:fldChar w:fldCharType="separate"/>
        </w:r>
        <w:r>
          <w:rPr>
            <w:rFonts w:ascii="Arial" w:hAnsi="Arial" w:cs="Arial"/>
            <w:noProof/>
            <w:webHidden/>
          </w:rPr>
          <w:t>182</w:t>
        </w:r>
        <w:r w:rsidR="002416B1" w:rsidRPr="00481BE6">
          <w:rPr>
            <w:rFonts w:ascii="Arial" w:hAnsi="Arial" w:cs="Arial"/>
            <w:noProof/>
            <w:webHidden/>
          </w:rPr>
          <w:fldChar w:fldCharType="end"/>
        </w:r>
      </w:hyperlink>
    </w:p>
    <w:p w:rsidR="002416B1" w:rsidRPr="00B57F3C" w:rsidRDefault="009714AD" w:rsidP="00507035">
      <w:pPr>
        <w:pStyle w:val="Obsah2"/>
        <w:tabs>
          <w:tab w:val="right" w:leader="dot" w:pos="9060"/>
        </w:tabs>
        <w:spacing w:before="120" w:after="120"/>
        <w:rPr>
          <w:rFonts w:ascii="Arial" w:hAnsi="Arial" w:cs="Arial"/>
          <w:b w:val="0"/>
          <w:bCs w:val="0"/>
          <w:noProof/>
          <w:sz w:val="22"/>
          <w:szCs w:val="22"/>
        </w:rPr>
      </w:pPr>
      <w:hyperlink w:anchor="_Toc319573344" w:history="1">
        <w:r w:rsidR="002416B1" w:rsidRPr="00481BE6">
          <w:rPr>
            <w:rStyle w:val="Hypertextovprepojenie"/>
            <w:rFonts w:ascii="Arial" w:hAnsi="Arial" w:cs="Arial"/>
            <w:noProof/>
          </w:rPr>
          <w:t>4.4 Horizontálna priorita Trvalo udržateľný rozvoj</w:t>
        </w:r>
        <w:r w:rsidR="002416B1" w:rsidRPr="00481BE6">
          <w:rPr>
            <w:rFonts w:ascii="Arial" w:hAnsi="Arial" w:cs="Arial"/>
            <w:noProof/>
            <w:webHidden/>
          </w:rPr>
          <w:tab/>
        </w:r>
        <w:r w:rsidR="002416B1" w:rsidRPr="00481BE6">
          <w:rPr>
            <w:rFonts w:ascii="Arial" w:hAnsi="Arial" w:cs="Arial"/>
            <w:noProof/>
            <w:webHidden/>
          </w:rPr>
          <w:fldChar w:fldCharType="begin"/>
        </w:r>
        <w:r w:rsidR="002416B1" w:rsidRPr="00481BE6">
          <w:rPr>
            <w:rFonts w:ascii="Arial" w:hAnsi="Arial" w:cs="Arial"/>
            <w:noProof/>
            <w:webHidden/>
          </w:rPr>
          <w:instrText xml:space="preserve"> PAGEREF _Toc319573344 \h </w:instrText>
        </w:r>
        <w:r w:rsidR="002416B1" w:rsidRPr="00481BE6">
          <w:rPr>
            <w:rFonts w:ascii="Arial" w:hAnsi="Arial" w:cs="Arial"/>
            <w:noProof/>
            <w:webHidden/>
          </w:rPr>
        </w:r>
        <w:r w:rsidR="002416B1" w:rsidRPr="00481BE6">
          <w:rPr>
            <w:rFonts w:ascii="Arial" w:hAnsi="Arial" w:cs="Arial"/>
            <w:noProof/>
            <w:webHidden/>
          </w:rPr>
          <w:fldChar w:fldCharType="separate"/>
        </w:r>
        <w:r>
          <w:rPr>
            <w:rFonts w:ascii="Arial" w:hAnsi="Arial" w:cs="Arial"/>
            <w:noProof/>
            <w:webHidden/>
          </w:rPr>
          <w:t>187</w:t>
        </w:r>
        <w:r w:rsidR="002416B1" w:rsidRPr="00481BE6">
          <w:rPr>
            <w:rFonts w:ascii="Arial" w:hAnsi="Arial" w:cs="Arial"/>
            <w:noProof/>
            <w:webHidden/>
          </w:rPr>
          <w:fldChar w:fldCharType="end"/>
        </w:r>
      </w:hyperlink>
    </w:p>
    <w:p w:rsidR="002416B1" w:rsidRPr="00B57F3C" w:rsidRDefault="009714AD" w:rsidP="00507035">
      <w:pPr>
        <w:pStyle w:val="Obsah1"/>
        <w:spacing w:before="120" w:after="120"/>
        <w:rPr>
          <w:szCs w:val="22"/>
        </w:rPr>
      </w:pPr>
      <w:hyperlink w:anchor="_Toc319573345" w:history="1">
        <w:r w:rsidR="002416B1" w:rsidRPr="00481BE6">
          <w:rPr>
            <w:rStyle w:val="Hypertextovprepojenie"/>
          </w:rPr>
          <w:t>5. Veľké projekty</w:t>
        </w:r>
        <w:r w:rsidR="002416B1" w:rsidRPr="00481BE6">
          <w:rPr>
            <w:webHidden/>
          </w:rPr>
          <w:tab/>
        </w:r>
        <w:r w:rsidR="002416B1" w:rsidRPr="00481BE6">
          <w:rPr>
            <w:webHidden/>
          </w:rPr>
          <w:fldChar w:fldCharType="begin"/>
        </w:r>
        <w:r w:rsidR="002416B1" w:rsidRPr="00481BE6">
          <w:rPr>
            <w:webHidden/>
          </w:rPr>
          <w:instrText xml:space="preserve"> PAGEREF _Toc319573345 \h </w:instrText>
        </w:r>
        <w:r w:rsidR="002416B1" w:rsidRPr="00481BE6">
          <w:rPr>
            <w:webHidden/>
          </w:rPr>
        </w:r>
        <w:r w:rsidR="002416B1" w:rsidRPr="00481BE6">
          <w:rPr>
            <w:webHidden/>
          </w:rPr>
          <w:fldChar w:fldCharType="separate"/>
        </w:r>
        <w:r>
          <w:rPr>
            <w:webHidden/>
          </w:rPr>
          <w:t>200</w:t>
        </w:r>
        <w:r w:rsidR="002416B1" w:rsidRPr="00481BE6">
          <w:rPr>
            <w:webHidden/>
          </w:rPr>
          <w:fldChar w:fldCharType="end"/>
        </w:r>
      </w:hyperlink>
    </w:p>
    <w:p w:rsidR="002416B1" w:rsidRPr="00B57F3C" w:rsidRDefault="009714AD" w:rsidP="00507035">
      <w:pPr>
        <w:pStyle w:val="Obsah2"/>
        <w:tabs>
          <w:tab w:val="right" w:leader="dot" w:pos="9060"/>
        </w:tabs>
        <w:spacing w:before="120" w:after="120"/>
        <w:rPr>
          <w:rFonts w:ascii="Arial" w:hAnsi="Arial" w:cs="Arial"/>
          <w:b w:val="0"/>
          <w:bCs w:val="0"/>
          <w:noProof/>
          <w:sz w:val="22"/>
          <w:szCs w:val="22"/>
        </w:rPr>
      </w:pPr>
      <w:hyperlink w:anchor="_Toc319573346" w:history="1">
        <w:r w:rsidR="002416B1" w:rsidRPr="00481BE6">
          <w:rPr>
            <w:rStyle w:val="Hypertextovprepojenie"/>
            <w:rFonts w:ascii="Arial" w:hAnsi="Arial" w:cs="Arial"/>
            <w:noProof/>
          </w:rPr>
          <w:t>5.1 Environmentálne projekty s celkovými investičnými nákladmi prevyšujúcimi, alebo rovnajúcimi sa 25 miliónov EUR, alebo s nižšími až rovnajúcimi sa 50 miliónov EUR</w:t>
        </w:r>
        <w:r w:rsidR="002416B1" w:rsidRPr="00481BE6">
          <w:rPr>
            <w:rFonts w:ascii="Arial" w:hAnsi="Arial" w:cs="Arial"/>
            <w:noProof/>
            <w:webHidden/>
          </w:rPr>
          <w:tab/>
        </w:r>
        <w:r w:rsidR="002416B1" w:rsidRPr="00481BE6">
          <w:rPr>
            <w:rFonts w:ascii="Arial" w:hAnsi="Arial" w:cs="Arial"/>
            <w:noProof/>
            <w:webHidden/>
          </w:rPr>
          <w:fldChar w:fldCharType="begin"/>
        </w:r>
        <w:r w:rsidR="002416B1" w:rsidRPr="00481BE6">
          <w:rPr>
            <w:rFonts w:ascii="Arial" w:hAnsi="Arial" w:cs="Arial"/>
            <w:noProof/>
            <w:webHidden/>
          </w:rPr>
          <w:instrText xml:space="preserve"> PAGEREF _Toc319573346 \h </w:instrText>
        </w:r>
        <w:r w:rsidR="002416B1" w:rsidRPr="00481BE6">
          <w:rPr>
            <w:rFonts w:ascii="Arial" w:hAnsi="Arial" w:cs="Arial"/>
            <w:noProof/>
            <w:webHidden/>
          </w:rPr>
        </w:r>
        <w:r w:rsidR="002416B1" w:rsidRPr="00481BE6">
          <w:rPr>
            <w:rFonts w:ascii="Arial" w:hAnsi="Arial" w:cs="Arial"/>
            <w:noProof/>
            <w:webHidden/>
          </w:rPr>
          <w:fldChar w:fldCharType="separate"/>
        </w:r>
        <w:r>
          <w:rPr>
            <w:rFonts w:ascii="Arial" w:hAnsi="Arial" w:cs="Arial"/>
            <w:noProof/>
            <w:webHidden/>
          </w:rPr>
          <w:t>203</w:t>
        </w:r>
        <w:r w:rsidR="002416B1" w:rsidRPr="00481BE6">
          <w:rPr>
            <w:rFonts w:ascii="Arial" w:hAnsi="Arial" w:cs="Arial"/>
            <w:noProof/>
            <w:webHidden/>
          </w:rPr>
          <w:fldChar w:fldCharType="end"/>
        </w:r>
      </w:hyperlink>
    </w:p>
    <w:p w:rsidR="002416B1" w:rsidRPr="00B57F3C" w:rsidRDefault="009714AD" w:rsidP="00507035">
      <w:pPr>
        <w:pStyle w:val="Obsah1"/>
        <w:spacing w:before="120" w:after="120"/>
        <w:rPr>
          <w:szCs w:val="22"/>
        </w:rPr>
      </w:pPr>
      <w:hyperlink w:anchor="_Toc319573347" w:history="1">
        <w:r w:rsidR="002416B1" w:rsidRPr="00481BE6">
          <w:rPr>
            <w:rStyle w:val="Hypertextovprepojenie"/>
          </w:rPr>
          <w:t>6. Technická pomoc</w:t>
        </w:r>
        <w:r w:rsidR="002416B1" w:rsidRPr="00481BE6">
          <w:rPr>
            <w:webHidden/>
          </w:rPr>
          <w:tab/>
        </w:r>
        <w:r w:rsidR="002416B1" w:rsidRPr="00481BE6">
          <w:rPr>
            <w:webHidden/>
          </w:rPr>
          <w:fldChar w:fldCharType="begin"/>
        </w:r>
        <w:r w:rsidR="002416B1" w:rsidRPr="00481BE6">
          <w:rPr>
            <w:webHidden/>
          </w:rPr>
          <w:instrText xml:space="preserve"> PAGEREF _Toc319573347 \h </w:instrText>
        </w:r>
        <w:r w:rsidR="002416B1" w:rsidRPr="00481BE6">
          <w:rPr>
            <w:webHidden/>
          </w:rPr>
        </w:r>
        <w:r w:rsidR="002416B1" w:rsidRPr="00481BE6">
          <w:rPr>
            <w:webHidden/>
          </w:rPr>
          <w:fldChar w:fldCharType="separate"/>
        </w:r>
        <w:r>
          <w:rPr>
            <w:webHidden/>
          </w:rPr>
          <w:t>205</w:t>
        </w:r>
        <w:r w:rsidR="002416B1" w:rsidRPr="00481BE6">
          <w:rPr>
            <w:webHidden/>
          </w:rPr>
          <w:fldChar w:fldCharType="end"/>
        </w:r>
      </w:hyperlink>
    </w:p>
    <w:p w:rsidR="002416B1" w:rsidRPr="00B57F3C" w:rsidRDefault="009714AD" w:rsidP="00507035">
      <w:pPr>
        <w:pStyle w:val="Obsah1"/>
        <w:spacing w:before="120" w:after="120"/>
        <w:rPr>
          <w:szCs w:val="22"/>
        </w:rPr>
      </w:pPr>
      <w:hyperlink w:anchor="_Toc319573348" w:history="1">
        <w:r w:rsidR="002416B1" w:rsidRPr="00481BE6">
          <w:rPr>
            <w:rStyle w:val="Hypertextovprepojenie"/>
          </w:rPr>
          <w:t>7. Informovanosť a publicita</w:t>
        </w:r>
        <w:r w:rsidR="002416B1" w:rsidRPr="00481BE6">
          <w:rPr>
            <w:webHidden/>
          </w:rPr>
          <w:tab/>
        </w:r>
        <w:r w:rsidR="002416B1" w:rsidRPr="00481BE6">
          <w:rPr>
            <w:webHidden/>
          </w:rPr>
          <w:fldChar w:fldCharType="begin"/>
        </w:r>
        <w:r w:rsidR="002416B1" w:rsidRPr="00481BE6">
          <w:rPr>
            <w:webHidden/>
          </w:rPr>
          <w:instrText xml:space="preserve"> PAGEREF _Toc319573348 \h </w:instrText>
        </w:r>
        <w:r w:rsidR="002416B1" w:rsidRPr="00481BE6">
          <w:rPr>
            <w:webHidden/>
          </w:rPr>
        </w:r>
        <w:r w:rsidR="002416B1" w:rsidRPr="00481BE6">
          <w:rPr>
            <w:webHidden/>
          </w:rPr>
          <w:fldChar w:fldCharType="separate"/>
        </w:r>
        <w:r>
          <w:rPr>
            <w:webHidden/>
          </w:rPr>
          <w:t>206</w:t>
        </w:r>
        <w:r w:rsidR="002416B1" w:rsidRPr="00481BE6">
          <w:rPr>
            <w:webHidden/>
          </w:rPr>
          <w:fldChar w:fldCharType="end"/>
        </w:r>
      </w:hyperlink>
    </w:p>
    <w:p w:rsidR="002416B1" w:rsidRPr="00B57F3C" w:rsidRDefault="009714AD" w:rsidP="00507035">
      <w:pPr>
        <w:pStyle w:val="Obsah1"/>
        <w:spacing w:before="120" w:after="120"/>
        <w:rPr>
          <w:szCs w:val="22"/>
        </w:rPr>
      </w:pPr>
      <w:hyperlink w:anchor="_Toc319573349" w:history="1">
        <w:r w:rsidR="002416B1" w:rsidRPr="00481BE6">
          <w:rPr>
            <w:rStyle w:val="Hypertextovprepojenie"/>
          </w:rPr>
          <w:t>8. Zoznam použitých skratiek</w:t>
        </w:r>
        <w:r w:rsidR="002416B1" w:rsidRPr="00481BE6">
          <w:rPr>
            <w:webHidden/>
          </w:rPr>
          <w:tab/>
        </w:r>
        <w:r w:rsidR="002416B1" w:rsidRPr="00481BE6">
          <w:rPr>
            <w:webHidden/>
          </w:rPr>
          <w:fldChar w:fldCharType="begin"/>
        </w:r>
        <w:r w:rsidR="002416B1" w:rsidRPr="00481BE6">
          <w:rPr>
            <w:webHidden/>
          </w:rPr>
          <w:instrText xml:space="preserve"> PAGEREF _Toc319573349 \h </w:instrText>
        </w:r>
        <w:r w:rsidR="002416B1" w:rsidRPr="00481BE6">
          <w:rPr>
            <w:webHidden/>
          </w:rPr>
        </w:r>
        <w:r w:rsidR="002416B1" w:rsidRPr="00481BE6">
          <w:rPr>
            <w:webHidden/>
          </w:rPr>
          <w:fldChar w:fldCharType="separate"/>
        </w:r>
        <w:r>
          <w:rPr>
            <w:webHidden/>
          </w:rPr>
          <w:t>226</w:t>
        </w:r>
        <w:r w:rsidR="002416B1" w:rsidRPr="00481BE6">
          <w:rPr>
            <w:webHidden/>
          </w:rPr>
          <w:fldChar w:fldCharType="end"/>
        </w:r>
      </w:hyperlink>
    </w:p>
    <w:p w:rsidR="002416B1" w:rsidRPr="00B57F3C" w:rsidRDefault="009714AD" w:rsidP="00507035">
      <w:pPr>
        <w:pStyle w:val="Obsah1"/>
        <w:spacing w:before="120" w:after="120"/>
        <w:rPr>
          <w:szCs w:val="22"/>
        </w:rPr>
      </w:pPr>
      <w:hyperlink w:anchor="_Toc319573350" w:history="1">
        <w:r w:rsidR="002416B1" w:rsidRPr="00481BE6">
          <w:rPr>
            <w:rStyle w:val="Hypertextovprepojenie"/>
          </w:rPr>
          <w:t>9. Prílohy</w:t>
        </w:r>
        <w:r w:rsidR="002416B1" w:rsidRPr="00481BE6">
          <w:rPr>
            <w:webHidden/>
          </w:rPr>
          <w:tab/>
        </w:r>
        <w:r w:rsidR="002416B1" w:rsidRPr="00481BE6">
          <w:rPr>
            <w:webHidden/>
          </w:rPr>
          <w:fldChar w:fldCharType="begin"/>
        </w:r>
        <w:r w:rsidR="002416B1" w:rsidRPr="00481BE6">
          <w:rPr>
            <w:webHidden/>
          </w:rPr>
          <w:instrText xml:space="preserve"> PAGEREF _Toc319573350 \h </w:instrText>
        </w:r>
        <w:r w:rsidR="002416B1" w:rsidRPr="00481BE6">
          <w:rPr>
            <w:webHidden/>
          </w:rPr>
        </w:r>
        <w:r w:rsidR="002416B1" w:rsidRPr="00481BE6">
          <w:rPr>
            <w:webHidden/>
          </w:rPr>
          <w:fldChar w:fldCharType="separate"/>
        </w:r>
        <w:r>
          <w:rPr>
            <w:webHidden/>
          </w:rPr>
          <w:t>229</w:t>
        </w:r>
        <w:r w:rsidR="002416B1" w:rsidRPr="00481BE6">
          <w:rPr>
            <w:webHidden/>
          </w:rPr>
          <w:fldChar w:fldCharType="end"/>
        </w:r>
      </w:hyperlink>
    </w:p>
    <w:p w:rsidR="002416B1" w:rsidRPr="008001BF" w:rsidRDefault="002416B1" w:rsidP="00507035">
      <w:pPr>
        <w:spacing w:before="120" w:after="120"/>
        <w:rPr>
          <w:rFonts w:ascii="Arial" w:hAnsi="Arial" w:cs="Arial"/>
          <w:highlight w:val="yellow"/>
        </w:rPr>
      </w:pPr>
      <w:r w:rsidRPr="00587FAE">
        <w:rPr>
          <w:caps/>
          <w:highlight w:val="yellow"/>
          <w14:shadow w14:blurRad="50800" w14:dist="38100" w14:dir="2700000" w14:sx="100000" w14:sy="100000" w14:kx="0" w14:ky="0" w14:algn="tl">
            <w14:srgbClr w14:val="000000">
              <w14:alpha w14:val="60000"/>
            </w14:srgbClr>
          </w14:shadow>
        </w:rPr>
        <w:fldChar w:fldCharType="end"/>
      </w:r>
    </w:p>
    <w:p w:rsidR="005C2AAE" w:rsidRDefault="005C2AAE">
      <w:pPr>
        <w:rPr>
          <w:rFonts w:ascii="Arial" w:hAnsi="Arial" w:cs="Arial"/>
          <w:highlight w:val="yellow"/>
        </w:rPr>
      </w:pPr>
      <w:r>
        <w:rPr>
          <w:rFonts w:ascii="Arial" w:hAnsi="Arial" w:cs="Arial"/>
          <w:highlight w:val="yellow"/>
        </w:rPr>
        <w:br w:type="page"/>
      </w:r>
    </w:p>
    <w:p w:rsidR="002416B1" w:rsidRPr="004B33AE" w:rsidRDefault="002416B1" w:rsidP="001540E7">
      <w:pPr>
        <w:pStyle w:val="Nadpis1"/>
        <w:numPr>
          <w:ilvl w:val="0"/>
          <w:numId w:val="5"/>
        </w:numPr>
        <w:spacing w:before="120" w:after="120" w:line="360" w:lineRule="auto"/>
      </w:pPr>
      <w:bookmarkStart w:id="0" w:name="_Toc319573299"/>
      <w:r w:rsidRPr="004B33AE">
        <w:t>IDENTIFIKÁCIA</w:t>
      </w:r>
      <w:bookmarkEnd w:id="0"/>
    </w:p>
    <w:p w:rsidR="002416B1" w:rsidRPr="004B33AE" w:rsidRDefault="002416B1" w:rsidP="00507035">
      <w:pPr>
        <w:spacing w:before="120" w:after="120"/>
        <w:rPr>
          <w:rFonts w:ascii="Arial" w:hAnsi="Arial"/>
        </w:rPr>
      </w:pPr>
    </w:p>
    <w:p w:rsidR="002416B1" w:rsidRPr="004B33AE" w:rsidRDefault="002416B1" w:rsidP="00507035">
      <w:pPr>
        <w:spacing w:before="120" w:after="120" w:line="360" w:lineRule="auto"/>
        <w:rPr>
          <w:rFonts w:ascii="Arial" w:hAnsi="Arial" w:cs="Arial"/>
          <w:sz w:val="22"/>
          <w:szCs w:val="22"/>
        </w:rPr>
      </w:pPr>
      <w:r w:rsidRPr="004B33AE">
        <w:rPr>
          <w:rFonts w:ascii="Arial" w:hAnsi="Arial" w:cs="Arial"/>
          <w:sz w:val="22"/>
          <w:szCs w:val="22"/>
        </w:rPr>
        <w:t xml:space="preserve"> </w:t>
      </w:r>
      <w:r w:rsidRPr="004B33AE">
        <w:rPr>
          <w:rFonts w:ascii="Arial" w:hAnsi="Arial" w:cs="Arial"/>
          <w:sz w:val="20"/>
          <w:szCs w:val="20"/>
        </w:rPr>
        <w:t xml:space="preserve">Tab. č. 1: Identifikácia </w:t>
      </w:r>
    </w:p>
    <w:tbl>
      <w:tblPr>
        <w:tblW w:w="0" w:type="auto"/>
        <w:jc w:val="center"/>
        <w:tblInd w:w="-1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tblCellMar>
        <w:tblLook w:val="01E0" w:firstRow="1" w:lastRow="1" w:firstColumn="1" w:lastColumn="1" w:noHBand="0" w:noVBand="0"/>
      </w:tblPr>
      <w:tblGrid>
        <w:gridCol w:w="2422"/>
        <w:gridCol w:w="6481"/>
      </w:tblGrid>
      <w:tr w:rsidR="002416B1" w:rsidRPr="006A2BF3" w:rsidTr="00EA4C77">
        <w:trPr>
          <w:trHeight w:val="346"/>
          <w:jc w:val="center"/>
        </w:trPr>
        <w:tc>
          <w:tcPr>
            <w:tcW w:w="2422" w:type="dxa"/>
            <w:vMerge w:val="restart"/>
            <w:shd w:val="clear" w:color="auto" w:fill="D6E3BC"/>
            <w:vAlign w:val="center"/>
          </w:tcPr>
          <w:p w:rsidR="002416B1" w:rsidRPr="004B33AE" w:rsidRDefault="002416B1" w:rsidP="00507035">
            <w:pPr>
              <w:autoSpaceDE w:val="0"/>
              <w:autoSpaceDN w:val="0"/>
              <w:adjustRightInd w:val="0"/>
              <w:jc w:val="center"/>
              <w:rPr>
                <w:rFonts w:ascii="Arial" w:hAnsi="Arial" w:cs="Arial"/>
                <w:sz w:val="22"/>
                <w:szCs w:val="22"/>
              </w:rPr>
            </w:pPr>
          </w:p>
          <w:p w:rsidR="002416B1" w:rsidRPr="004B33AE" w:rsidRDefault="002416B1" w:rsidP="00507035">
            <w:pPr>
              <w:autoSpaceDE w:val="0"/>
              <w:autoSpaceDN w:val="0"/>
              <w:adjustRightInd w:val="0"/>
              <w:jc w:val="center"/>
              <w:rPr>
                <w:rFonts w:ascii="Arial" w:hAnsi="Arial" w:cs="Arial"/>
                <w:sz w:val="20"/>
                <w:szCs w:val="20"/>
              </w:rPr>
            </w:pPr>
            <w:r w:rsidRPr="004B33AE">
              <w:rPr>
                <w:rFonts w:ascii="Arial" w:hAnsi="Arial" w:cs="Arial"/>
                <w:sz w:val="20"/>
                <w:szCs w:val="20"/>
              </w:rPr>
              <w:t>OPERAČNÝ PROGRAM</w:t>
            </w:r>
          </w:p>
          <w:p w:rsidR="002416B1" w:rsidRPr="004B33AE" w:rsidRDefault="002416B1" w:rsidP="00507035">
            <w:pPr>
              <w:autoSpaceDE w:val="0"/>
              <w:autoSpaceDN w:val="0"/>
              <w:adjustRightInd w:val="0"/>
              <w:jc w:val="center"/>
              <w:rPr>
                <w:rFonts w:ascii="Arial" w:hAnsi="Arial" w:cs="Arial"/>
                <w:b/>
                <w:sz w:val="22"/>
                <w:szCs w:val="22"/>
              </w:rPr>
            </w:pPr>
          </w:p>
        </w:tc>
        <w:tc>
          <w:tcPr>
            <w:tcW w:w="6481" w:type="dxa"/>
            <w:vAlign w:val="center"/>
          </w:tcPr>
          <w:p w:rsidR="002416B1" w:rsidRPr="004B33AE" w:rsidRDefault="002416B1" w:rsidP="00507035">
            <w:pPr>
              <w:autoSpaceDE w:val="0"/>
              <w:autoSpaceDN w:val="0"/>
              <w:adjustRightInd w:val="0"/>
              <w:rPr>
                <w:rFonts w:ascii="Arial" w:hAnsi="Arial" w:cs="Arial"/>
                <w:sz w:val="20"/>
                <w:szCs w:val="20"/>
              </w:rPr>
            </w:pPr>
            <w:r w:rsidRPr="004B33AE">
              <w:rPr>
                <w:rFonts w:ascii="Arial" w:hAnsi="Arial" w:cs="Arial"/>
                <w:i/>
                <w:sz w:val="20"/>
                <w:szCs w:val="20"/>
              </w:rPr>
              <w:t xml:space="preserve">Príslušný cieľ: </w:t>
            </w:r>
            <w:r w:rsidRPr="004B33AE">
              <w:rPr>
                <w:rFonts w:ascii="Arial" w:hAnsi="Arial" w:cs="Arial"/>
                <w:sz w:val="20"/>
                <w:szCs w:val="20"/>
              </w:rPr>
              <w:t>Konvergencia</w:t>
            </w:r>
          </w:p>
        </w:tc>
      </w:tr>
      <w:tr w:rsidR="002416B1" w:rsidRPr="006A2BF3" w:rsidTr="00EA4C77">
        <w:trPr>
          <w:trHeight w:val="1655"/>
          <w:jc w:val="center"/>
        </w:trPr>
        <w:tc>
          <w:tcPr>
            <w:tcW w:w="2422" w:type="dxa"/>
            <w:vMerge/>
            <w:shd w:val="clear" w:color="auto" w:fill="D6E3BC"/>
            <w:vAlign w:val="center"/>
          </w:tcPr>
          <w:p w:rsidR="002416B1" w:rsidRPr="006A2BF3" w:rsidRDefault="002416B1" w:rsidP="00507035">
            <w:pPr>
              <w:autoSpaceDE w:val="0"/>
              <w:autoSpaceDN w:val="0"/>
              <w:adjustRightInd w:val="0"/>
              <w:rPr>
                <w:rFonts w:ascii="Arial" w:hAnsi="Arial" w:cs="Arial"/>
                <w:sz w:val="22"/>
                <w:szCs w:val="22"/>
              </w:rPr>
            </w:pPr>
          </w:p>
        </w:tc>
        <w:tc>
          <w:tcPr>
            <w:tcW w:w="6481" w:type="dxa"/>
            <w:vAlign w:val="center"/>
          </w:tcPr>
          <w:p w:rsidR="002416B1" w:rsidRPr="006A2BF3" w:rsidRDefault="002416B1" w:rsidP="00507035">
            <w:pPr>
              <w:autoSpaceDE w:val="0"/>
              <w:autoSpaceDN w:val="0"/>
              <w:adjustRightInd w:val="0"/>
              <w:rPr>
                <w:rFonts w:ascii="Arial" w:hAnsi="Arial" w:cs="Arial"/>
                <w:i/>
                <w:sz w:val="20"/>
                <w:szCs w:val="20"/>
              </w:rPr>
            </w:pPr>
            <w:r w:rsidRPr="006A2BF3">
              <w:rPr>
                <w:rFonts w:ascii="Arial" w:hAnsi="Arial" w:cs="Arial"/>
                <w:i/>
                <w:sz w:val="20"/>
                <w:szCs w:val="20"/>
              </w:rPr>
              <w:t xml:space="preserve">Príslušná oprávnená oblasť: </w:t>
            </w:r>
          </w:p>
          <w:p w:rsidR="002416B1" w:rsidRPr="006A2BF3" w:rsidRDefault="002416B1" w:rsidP="00507035">
            <w:pPr>
              <w:autoSpaceDE w:val="0"/>
              <w:autoSpaceDN w:val="0"/>
              <w:adjustRightInd w:val="0"/>
              <w:rPr>
                <w:rFonts w:ascii="Arial" w:hAnsi="Arial" w:cs="Arial"/>
                <w:sz w:val="20"/>
                <w:szCs w:val="20"/>
              </w:rPr>
            </w:pPr>
            <w:r w:rsidRPr="006A2BF3">
              <w:rPr>
                <w:rFonts w:ascii="Arial" w:hAnsi="Arial" w:cs="Arial"/>
                <w:sz w:val="20"/>
                <w:szCs w:val="20"/>
              </w:rPr>
              <w:t>Pre Kohézny fond (ďalej len „KF“):</w:t>
            </w:r>
            <w:r w:rsidRPr="006A2BF3">
              <w:rPr>
                <w:rFonts w:ascii="Arial" w:hAnsi="Arial" w:cs="Arial"/>
                <w:sz w:val="20"/>
                <w:szCs w:val="20"/>
              </w:rPr>
              <w:tab/>
            </w:r>
          </w:p>
          <w:p w:rsidR="002416B1" w:rsidRPr="006A2BF3" w:rsidRDefault="002416B1" w:rsidP="00507035">
            <w:pPr>
              <w:autoSpaceDE w:val="0"/>
              <w:autoSpaceDN w:val="0"/>
              <w:adjustRightInd w:val="0"/>
              <w:rPr>
                <w:rFonts w:ascii="Arial" w:hAnsi="Arial" w:cs="Arial"/>
                <w:sz w:val="20"/>
                <w:szCs w:val="20"/>
              </w:rPr>
            </w:pPr>
            <w:r w:rsidRPr="006A2BF3">
              <w:rPr>
                <w:rFonts w:ascii="Arial" w:hAnsi="Arial" w:cs="Arial"/>
                <w:sz w:val="20"/>
                <w:szCs w:val="20"/>
              </w:rPr>
              <w:t xml:space="preserve">                         NUTS I – Slovensko </w:t>
            </w:r>
          </w:p>
          <w:p w:rsidR="002416B1" w:rsidRPr="006A2BF3" w:rsidRDefault="002416B1" w:rsidP="00507035">
            <w:pPr>
              <w:autoSpaceDE w:val="0"/>
              <w:autoSpaceDN w:val="0"/>
              <w:adjustRightInd w:val="0"/>
              <w:ind w:left="48"/>
              <w:rPr>
                <w:rFonts w:ascii="Arial" w:hAnsi="Arial" w:cs="Arial"/>
                <w:sz w:val="20"/>
                <w:szCs w:val="20"/>
              </w:rPr>
            </w:pPr>
            <w:r w:rsidRPr="006A2BF3">
              <w:rPr>
                <w:rFonts w:ascii="Arial" w:hAnsi="Arial" w:cs="Arial"/>
                <w:sz w:val="20"/>
                <w:szCs w:val="20"/>
              </w:rPr>
              <w:t>Pre Európsky fond regionálneho rozvoja (ďalej len „ERDF“):</w:t>
            </w:r>
          </w:p>
          <w:p w:rsidR="002416B1" w:rsidRPr="006A2BF3" w:rsidRDefault="002416B1" w:rsidP="00507035">
            <w:pPr>
              <w:autoSpaceDE w:val="0"/>
              <w:autoSpaceDN w:val="0"/>
              <w:adjustRightInd w:val="0"/>
              <w:ind w:left="48"/>
              <w:rPr>
                <w:rFonts w:ascii="Arial" w:hAnsi="Arial" w:cs="Arial"/>
                <w:sz w:val="20"/>
                <w:szCs w:val="20"/>
              </w:rPr>
            </w:pPr>
            <w:r w:rsidRPr="006A2BF3">
              <w:rPr>
                <w:rFonts w:ascii="Arial" w:hAnsi="Arial" w:cs="Arial"/>
                <w:sz w:val="20"/>
                <w:szCs w:val="20"/>
              </w:rPr>
              <w:t xml:space="preserve">                        NUTS II - Západné Slovensko</w:t>
            </w:r>
          </w:p>
          <w:p w:rsidR="002416B1" w:rsidRPr="006A2BF3" w:rsidRDefault="002416B1" w:rsidP="00507035">
            <w:pPr>
              <w:autoSpaceDE w:val="0"/>
              <w:autoSpaceDN w:val="0"/>
              <w:adjustRightInd w:val="0"/>
              <w:rPr>
                <w:rFonts w:ascii="Arial" w:hAnsi="Arial" w:cs="Arial"/>
                <w:sz w:val="20"/>
                <w:szCs w:val="20"/>
              </w:rPr>
            </w:pPr>
            <w:r w:rsidRPr="006A2BF3">
              <w:rPr>
                <w:rFonts w:ascii="Arial" w:hAnsi="Arial" w:cs="Arial"/>
                <w:sz w:val="20"/>
                <w:szCs w:val="20"/>
              </w:rPr>
              <w:tab/>
            </w:r>
            <w:r w:rsidRPr="006A2BF3">
              <w:rPr>
                <w:rFonts w:ascii="Arial" w:hAnsi="Arial" w:cs="Arial"/>
                <w:sz w:val="20"/>
                <w:szCs w:val="20"/>
              </w:rPr>
              <w:tab/>
            </w:r>
            <w:r w:rsidRPr="006A2BF3">
              <w:rPr>
                <w:rFonts w:ascii="Arial" w:hAnsi="Arial" w:cs="Arial"/>
                <w:sz w:val="20"/>
                <w:szCs w:val="20"/>
              </w:rPr>
              <w:tab/>
              <w:t xml:space="preserve">                         NUTS II - Stredné Slovensko </w:t>
            </w:r>
          </w:p>
          <w:p w:rsidR="002416B1" w:rsidRPr="006A2BF3" w:rsidRDefault="002416B1" w:rsidP="00507035">
            <w:pPr>
              <w:autoSpaceDE w:val="0"/>
              <w:autoSpaceDN w:val="0"/>
              <w:adjustRightInd w:val="0"/>
              <w:rPr>
                <w:rFonts w:ascii="Arial" w:hAnsi="Arial" w:cs="Arial"/>
                <w:sz w:val="20"/>
                <w:szCs w:val="20"/>
              </w:rPr>
            </w:pPr>
            <w:r w:rsidRPr="006A2BF3">
              <w:rPr>
                <w:rFonts w:ascii="Arial" w:hAnsi="Arial" w:cs="Arial"/>
                <w:sz w:val="20"/>
                <w:szCs w:val="20"/>
              </w:rPr>
              <w:tab/>
            </w:r>
            <w:r w:rsidRPr="006A2BF3">
              <w:rPr>
                <w:rFonts w:ascii="Arial" w:hAnsi="Arial" w:cs="Arial"/>
                <w:sz w:val="20"/>
                <w:szCs w:val="20"/>
              </w:rPr>
              <w:tab/>
            </w:r>
            <w:r w:rsidRPr="006A2BF3">
              <w:rPr>
                <w:rFonts w:ascii="Arial" w:hAnsi="Arial" w:cs="Arial"/>
                <w:sz w:val="20"/>
                <w:szCs w:val="20"/>
              </w:rPr>
              <w:tab/>
              <w:t xml:space="preserve">                         NUTS II - Východné Slovensko</w:t>
            </w:r>
          </w:p>
        </w:tc>
      </w:tr>
      <w:tr w:rsidR="002416B1" w:rsidRPr="006A2BF3" w:rsidTr="00EA4C77">
        <w:trPr>
          <w:trHeight w:val="390"/>
          <w:jc w:val="center"/>
        </w:trPr>
        <w:tc>
          <w:tcPr>
            <w:tcW w:w="2422" w:type="dxa"/>
            <w:vMerge/>
            <w:shd w:val="clear" w:color="auto" w:fill="D6E3BC"/>
            <w:vAlign w:val="center"/>
          </w:tcPr>
          <w:p w:rsidR="002416B1" w:rsidRPr="006A2BF3" w:rsidRDefault="002416B1" w:rsidP="00507035">
            <w:pPr>
              <w:autoSpaceDE w:val="0"/>
              <w:autoSpaceDN w:val="0"/>
              <w:adjustRightInd w:val="0"/>
              <w:rPr>
                <w:rFonts w:ascii="Arial" w:hAnsi="Arial" w:cs="Arial"/>
                <w:sz w:val="22"/>
                <w:szCs w:val="22"/>
              </w:rPr>
            </w:pPr>
          </w:p>
        </w:tc>
        <w:tc>
          <w:tcPr>
            <w:tcW w:w="6481" w:type="dxa"/>
            <w:vAlign w:val="center"/>
          </w:tcPr>
          <w:p w:rsidR="002416B1" w:rsidRPr="006A2BF3" w:rsidRDefault="002416B1" w:rsidP="00507035">
            <w:pPr>
              <w:autoSpaceDE w:val="0"/>
              <w:autoSpaceDN w:val="0"/>
              <w:adjustRightInd w:val="0"/>
              <w:rPr>
                <w:rFonts w:ascii="Arial" w:hAnsi="Arial" w:cs="Arial"/>
                <w:sz w:val="20"/>
                <w:szCs w:val="20"/>
              </w:rPr>
            </w:pPr>
            <w:r w:rsidRPr="006A2BF3">
              <w:rPr>
                <w:rFonts w:ascii="Arial" w:hAnsi="Arial" w:cs="Arial"/>
                <w:i/>
                <w:sz w:val="20"/>
                <w:szCs w:val="20"/>
              </w:rPr>
              <w:t xml:space="preserve">Programové obdobie: </w:t>
            </w:r>
            <w:r w:rsidRPr="006A2BF3">
              <w:rPr>
                <w:rFonts w:ascii="Arial" w:hAnsi="Arial" w:cs="Arial"/>
                <w:sz w:val="20"/>
                <w:szCs w:val="20"/>
              </w:rPr>
              <w:t>2007 – 2013</w:t>
            </w:r>
          </w:p>
        </w:tc>
      </w:tr>
      <w:tr w:rsidR="002416B1" w:rsidRPr="006A2BF3" w:rsidTr="00EA4C77">
        <w:trPr>
          <w:trHeight w:val="393"/>
          <w:jc w:val="center"/>
        </w:trPr>
        <w:tc>
          <w:tcPr>
            <w:tcW w:w="2422" w:type="dxa"/>
            <w:vMerge/>
            <w:shd w:val="clear" w:color="auto" w:fill="D6E3BC"/>
            <w:vAlign w:val="center"/>
          </w:tcPr>
          <w:p w:rsidR="002416B1" w:rsidRPr="006A2BF3" w:rsidRDefault="002416B1" w:rsidP="00507035">
            <w:pPr>
              <w:autoSpaceDE w:val="0"/>
              <w:autoSpaceDN w:val="0"/>
              <w:adjustRightInd w:val="0"/>
              <w:rPr>
                <w:rFonts w:ascii="Arial" w:hAnsi="Arial" w:cs="Arial"/>
                <w:sz w:val="22"/>
                <w:szCs w:val="22"/>
              </w:rPr>
            </w:pPr>
          </w:p>
        </w:tc>
        <w:tc>
          <w:tcPr>
            <w:tcW w:w="6481" w:type="dxa"/>
            <w:vAlign w:val="center"/>
          </w:tcPr>
          <w:p w:rsidR="002416B1" w:rsidRPr="006A2BF3" w:rsidRDefault="002416B1" w:rsidP="00507035">
            <w:pPr>
              <w:autoSpaceDE w:val="0"/>
              <w:autoSpaceDN w:val="0"/>
              <w:adjustRightInd w:val="0"/>
              <w:rPr>
                <w:rFonts w:ascii="Arial" w:hAnsi="Arial" w:cs="Arial"/>
                <w:sz w:val="20"/>
                <w:szCs w:val="20"/>
              </w:rPr>
            </w:pPr>
            <w:r w:rsidRPr="006A2BF3">
              <w:rPr>
                <w:rFonts w:ascii="Arial" w:hAnsi="Arial" w:cs="Arial"/>
                <w:i/>
                <w:sz w:val="20"/>
                <w:szCs w:val="20"/>
              </w:rPr>
              <w:t xml:space="preserve">Číslo operačného programu (číslo CCI): </w:t>
            </w:r>
            <w:r w:rsidRPr="006A2BF3">
              <w:rPr>
                <w:rFonts w:ascii="Arial" w:hAnsi="Arial" w:cs="Arial"/>
                <w:sz w:val="20"/>
                <w:szCs w:val="20"/>
              </w:rPr>
              <w:t>2007SK161PO002</w:t>
            </w:r>
          </w:p>
        </w:tc>
      </w:tr>
      <w:tr w:rsidR="002416B1" w:rsidRPr="006A2BF3" w:rsidTr="00EA4C77">
        <w:trPr>
          <w:trHeight w:val="387"/>
          <w:jc w:val="center"/>
        </w:trPr>
        <w:tc>
          <w:tcPr>
            <w:tcW w:w="2422" w:type="dxa"/>
            <w:vMerge/>
            <w:shd w:val="clear" w:color="auto" w:fill="D6E3BC"/>
            <w:vAlign w:val="center"/>
          </w:tcPr>
          <w:p w:rsidR="002416B1" w:rsidRPr="006A2BF3" w:rsidRDefault="002416B1" w:rsidP="00507035">
            <w:pPr>
              <w:autoSpaceDE w:val="0"/>
              <w:autoSpaceDN w:val="0"/>
              <w:adjustRightInd w:val="0"/>
              <w:rPr>
                <w:rFonts w:ascii="Arial" w:hAnsi="Arial" w:cs="Arial"/>
                <w:sz w:val="22"/>
                <w:szCs w:val="22"/>
              </w:rPr>
            </w:pPr>
          </w:p>
        </w:tc>
        <w:tc>
          <w:tcPr>
            <w:tcW w:w="6481" w:type="dxa"/>
            <w:vAlign w:val="center"/>
          </w:tcPr>
          <w:p w:rsidR="002416B1" w:rsidRPr="006A2BF3" w:rsidRDefault="002416B1" w:rsidP="00507035">
            <w:pPr>
              <w:autoSpaceDE w:val="0"/>
              <w:autoSpaceDN w:val="0"/>
              <w:adjustRightInd w:val="0"/>
              <w:rPr>
                <w:rFonts w:ascii="Arial" w:hAnsi="Arial" w:cs="Arial"/>
                <w:sz w:val="20"/>
                <w:szCs w:val="20"/>
              </w:rPr>
            </w:pPr>
            <w:r w:rsidRPr="006A2BF3">
              <w:rPr>
                <w:rFonts w:ascii="Arial" w:hAnsi="Arial" w:cs="Arial"/>
                <w:i/>
                <w:sz w:val="20"/>
                <w:szCs w:val="20"/>
              </w:rPr>
              <w:t xml:space="preserve">Názov operačného programu: </w:t>
            </w:r>
            <w:r w:rsidRPr="006A2BF3">
              <w:rPr>
                <w:rFonts w:ascii="Arial" w:hAnsi="Arial" w:cs="Arial"/>
                <w:sz w:val="20"/>
                <w:szCs w:val="20"/>
              </w:rPr>
              <w:t>Operačný program Životné prostredie</w:t>
            </w:r>
          </w:p>
        </w:tc>
      </w:tr>
      <w:tr w:rsidR="002416B1" w:rsidRPr="006A2BF3" w:rsidTr="00EA4C77">
        <w:trPr>
          <w:trHeight w:val="394"/>
          <w:jc w:val="center"/>
        </w:trPr>
        <w:tc>
          <w:tcPr>
            <w:tcW w:w="2422" w:type="dxa"/>
            <w:vMerge w:val="restart"/>
            <w:shd w:val="clear" w:color="auto" w:fill="D6E3BC"/>
            <w:vAlign w:val="center"/>
          </w:tcPr>
          <w:p w:rsidR="002416B1" w:rsidRPr="006A2BF3" w:rsidRDefault="002416B1" w:rsidP="00507035">
            <w:pPr>
              <w:autoSpaceDE w:val="0"/>
              <w:autoSpaceDN w:val="0"/>
              <w:adjustRightInd w:val="0"/>
              <w:jc w:val="center"/>
              <w:rPr>
                <w:rFonts w:ascii="Arial" w:hAnsi="Arial" w:cs="Arial"/>
                <w:sz w:val="20"/>
                <w:szCs w:val="20"/>
              </w:rPr>
            </w:pPr>
            <w:r w:rsidRPr="006A2BF3">
              <w:rPr>
                <w:rFonts w:ascii="Arial" w:hAnsi="Arial" w:cs="Arial"/>
                <w:sz w:val="20"/>
                <w:szCs w:val="20"/>
              </w:rPr>
              <w:t xml:space="preserve">VÝROČNÁ SPRÁVA </w:t>
            </w:r>
            <w:r w:rsidRPr="006A2BF3">
              <w:rPr>
                <w:rFonts w:ascii="Arial" w:hAnsi="Arial" w:cs="Arial"/>
                <w:caps/>
                <w:sz w:val="20"/>
                <w:szCs w:val="20"/>
              </w:rPr>
              <w:t>o vykonávaní</w:t>
            </w:r>
            <w:r w:rsidRPr="006A2BF3">
              <w:rPr>
                <w:rFonts w:ascii="Arial" w:hAnsi="Arial" w:cs="Arial"/>
                <w:sz w:val="20"/>
                <w:szCs w:val="20"/>
              </w:rPr>
              <w:t xml:space="preserve"> OPERAČNÉHO PROGRAMU</w:t>
            </w:r>
          </w:p>
        </w:tc>
        <w:tc>
          <w:tcPr>
            <w:tcW w:w="6481" w:type="dxa"/>
            <w:vAlign w:val="center"/>
          </w:tcPr>
          <w:p w:rsidR="002416B1" w:rsidRPr="006A2BF3" w:rsidRDefault="002416B1" w:rsidP="00507035">
            <w:pPr>
              <w:autoSpaceDE w:val="0"/>
              <w:autoSpaceDN w:val="0"/>
              <w:adjustRightInd w:val="0"/>
              <w:rPr>
                <w:rFonts w:ascii="Arial" w:hAnsi="Arial" w:cs="Arial"/>
                <w:sz w:val="20"/>
                <w:szCs w:val="20"/>
              </w:rPr>
            </w:pPr>
            <w:r w:rsidRPr="006A2BF3">
              <w:rPr>
                <w:rFonts w:ascii="Arial" w:hAnsi="Arial" w:cs="Arial"/>
                <w:i/>
                <w:sz w:val="20"/>
                <w:szCs w:val="20"/>
              </w:rPr>
              <w:t xml:space="preserve">Vykazovaný rok: </w:t>
            </w:r>
            <w:r w:rsidRPr="006A2BF3">
              <w:rPr>
                <w:rFonts w:ascii="Arial" w:hAnsi="Arial" w:cs="Arial"/>
                <w:sz w:val="20"/>
                <w:szCs w:val="20"/>
              </w:rPr>
              <w:t>201</w:t>
            </w:r>
            <w:r w:rsidR="00886CDF">
              <w:rPr>
                <w:rFonts w:ascii="Arial" w:hAnsi="Arial" w:cs="Arial"/>
                <w:sz w:val="20"/>
                <w:szCs w:val="20"/>
              </w:rPr>
              <w:t>2</w:t>
            </w:r>
          </w:p>
        </w:tc>
      </w:tr>
      <w:tr w:rsidR="002416B1" w:rsidRPr="006A2BF3" w:rsidTr="00EA4C77">
        <w:trPr>
          <w:trHeight w:val="20"/>
          <w:jc w:val="center"/>
        </w:trPr>
        <w:tc>
          <w:tcPr>
            <w:tcW w:w="2422" w:type="dxa"/>
            <w:vMerge/>
            <w:shd w:val="clear" w:color="auto" w:fill="D6E3BC"/>
            <w:vAlign w:val="center"/>
          </w:tcPr>
          <w:p w:rsidR="002416B1" w:rsidRPr="006A2BF3" w:rsidRDefault="002416B1" w:rsidP="00507035">
            <w:pPr>
              <w:autoSpaceDE w:val="0"/>
              <w:autoSpaceDN w:val="0"/>
              <w:adjustRightInd w:val="0"/>
              <w:rPr>
                <w:rFonts w:ascii="Arial" w:hAnsi="Arial" w:cs="Arial"/>
                <w:sz w:val="22"/>
                <w:szCs w:val="22"/>
              </w:rPr>
            </w:pPr>
          </w:p>
        </w:tc>
        <w:tc>
          <w:tcPr>
            <w:tcW w:w="6481" w:type="dxa"/>
            <w:vAlign w:val="center"/>
          </w:tcPr>
          <w:p w:rsidR="002416B1" w:rsidRPr="006A2BF3" w:rsidRDefault="002416B1" w:rsidP="00507035">
            <w:pPr>
              <w:rPr>
                <w:rFonts w:ascii="Arial" w:hAnsi="Arial" w:cs="Arial"/>
                <w:i/>
                <w:sz w:val="20"/>
                <w:szCs w:val="20"/>
              </w:rPr>
            </w:pPr>
            <w:r w:rsidRPr="006A2BF3">
              <w:rPr>
                <w:rFonts w:ascii="Arial" w:hAnsi="Arial" w:cs="Arial"/>
                <w:i/>
                <w:sz w:val="20"/>
                <w:szCs w:val="20"/>
              </w:rPr>
              <w:t xml:space="preserve">Dátum schválenia výročnej správy monitorovacím výborom: </w:t>
            </w:r>
          </w:p>
          <w:p w:rsidR="002416B1" w:rsidRPr="006A2BF3" w:rsidRDefault="002416B1" w:rsidP="00507035">
            <w:pPr>
              <w:rPr>
                <w:rFonts w:ascii="Arial" w:hAnsi="Arial" w:cs="Arial"/>
                <w:sz w:val="20"/>
                <w:szCs w:val="20"/>
              </w:rPr>
            </w:pPr>
          </w:p>
        </w:tc>
      </w:tr>
    </w:tbl>
    <w:p w:rsidR="002416B1" w:rsidRPr="006A2BF3" w:rsidRDefault="002416B1" w:rsidP="00507035">
      <w:pPr>
        <w:spacing w:before="120" w:after="120" w:line="360" w:lineRule="auto"/>
        <w:jc w:val="both"/>
        <w:rPr>
          <w:rFonts w:ascii="Arial" w:hAnsi="Arial" w:cs="Arial"/>
          <w:sz w:val="20"/>
          <w:szCs w:val="20"/>
        </w:rPr>
      </w:pPr>
      <w:r w:rsidRPr="002A382D">
        <w:rPr>
          <w:rFonts w:ascii="Arial" w:hAnsi="Arial" w:cs="Arial"/>
          <w:sz w:val="20"/>
          <w:szCs w:val="20"/>
        </w:rPr>
        <w:t>Európska komisia schválila Operačný program Životné prostredie (ďalej len „OP ŽP“) Rozhodnutím Komisie K(2007)5500 z 08.11.2007. .</w:t>
      </w:r>
      <w:r w:rsidR="002A382D" w:rsidRPr="002A382D">
        <w:rPr>
          <w:rFonts w:ascii="Arial" w:hAnsi="Arial" w:cs="Arial"/>
          <w:sz w:val="20"/>
          <w:szCs w:val="20"/>
        </w:rPr>
        <w:t>Revízia OP ŽP na verziu 2.0 bola schválená Rozhodnutím Komisie K(2010)2270 a </w:t>
      </w:r>
      <w:r w:rsidR="002A382D" w:rsidRPr="00F223E8">
        <w:rPr>
          <w:rFonts w:ascii="Arial" w:hAnsi="Arial" w:cs="Arial"/>
          <w:sz w:val="20"/>
          <w:szCs w:val="20"/>
        </w:rPr>
        <w:t>doposiaľ p</w:t>
      </w:r>
      <w:r w:rsidR="002A382D" w:rsidRPr="002A382D">
        <w:rPr>
          <w:rFonts w:ascii="Arial" w:hAnsi="Arial" w:cs="Arial"/>
          <w:sz w:val="20"/>
          <w:szCs w:val="20"/>
        </w:rPr>
        <w:t>osledná revízia OP ŽP (verzia 3.0) bola schválená Rozhodnutím Komisie K(2011) 3978 z 09.06.2011.</w:t>
      </w:r>
      <w:r w:rsidRPr="006A2BF3">
        <w:rPr>
          <w:rFonts w:ascii="Arial" w:hAnsi="Arial" w:cs="Arial"/>
          <w:sz w:val="20"/>
          <w:szCs w:val="20"/>
          <w:u w:val="single"/>
        </w:rPr>
        <w:t>Globálnym cieľom OP ŽP</w:t>
      </w:r>
      <w:r w:rsidRPr="006A2BF3">
        <w:rPr>
          <w:rFonts w:ascii="Arial" w:hAnsi="Arial" w:cs="Arial"/>
          <w:sz w:val="20"/>
          <w:szCs w:val="20"/>
        </w:rPr>
        <w:t xml:space="preserve"> je zlepšenie stavu životného prostredia a racionálneho využívania zdrojov prostredníctvom dobudovania a skvalitnenia environmentálnej infraštruktúry SR v zmysle predpisov EÚ a SR a posilnenie efektívnosti environmentálnej zložky trvalo udržateľného rozvoja. Globálny cieľ OP ŽP je napĺňaný prostredníctvom špecifických cieľov, ktorým zodpovedajú jednotlivé prioritné osi.</w:t>
      </w:r>
    </w:p>
    <w:p w:rsidR="002416B1" w:rsidRPr="006A2BF3" w:rsidRDefault="002416B1" w:rsidP="00507035">
      <w:pPr>
        <w:spacing w:before="120" w:after="120" w:line="360" w:lineRule="auto"/>
        <w:jc w:val="both"/>
        <w:rPr>
          <w:rFonts w:ascii="Arial" w:hAnsi="Arial" w:cs="Arial"/>
          <w:sz w:val="20"/>
          <w:szCs w:val="20"/>
        </w:rPr>
      </w:pPr>
      <w:r w:rsidRPr="006A2BF3">
        <w:rPr>
          <w:rFonts w:ascii="Arial" w:hAnsi="Arial" w:cs="Arial"/>
          <w:sz w:val="20"/>
          <w:szCs w:val="20"/>
        </w:rPr>
        <w:t>Tab. č. 2: Prioritné osi OP ŽP</w:t>
      </w:r>
    </w:p>
    <w:tbl>
      <w:tblPr>
        <w:tblW w:w="8963" w:type="dxa"/>
        <w:jc w:val="center"/>
        <w:tblInd w:w="2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059"/>
        <w:gridCol w:w="1904"/>
      </w:tblGrid>
      <w:tr w:rsidR="002416B1" w:rsidRPr="006A2BF3" w:rsidTr="00EA4C77">
        <w:trPr>
          <w:trHeight w:val="20"/>
          <w:jc w:val="center"/>
        </w:trPr>
        <w:tc>
          <w:tcPr>
            <w:tcW w:w="7059" w:type="dxa"/>
            <w:shd w:val="clear" w:color="auto" w:fill="D6E3BC"/>
            <w:vAlign w:val="center"/>
          </w:tcPr>
          <w:p w:rsidR="002416B1" w:rsidRPr="006A2BF3" w:rsidRDefault="002416B1" w:rsidP="00507035">
            <w:pPr>
              <w:rPr>
                <w:rFonts w:ascii="Arial" w:hAnsi="Arial" w:cs="Arial"/>
                <w:sz w:val="20"/>
                <w:szCs w:val="20"/>
              </w:rPr>
            </w:pPr>
            <w:r w:rsidRPr="006A2BF3">
              <w:rPr>
                <w:rFonts w:ascii="Arial" w:hAnsi="Arial" w:cs="Arial"/>
                <w:b/>
                <w:sz w:val="20"/>
                <w:szCs w:val="20"/>
              </w:rPr>
              <w:t>Názov prioritnej osi OP ŽP</w:t>
            </w:r>
          </w:p>
        </w:tc>
        <w:tc>
          <w:tcPr>
            <w:tcW w:w="1904" w:type="dxa"/>
            <w:shd w:val="clear" w:color="auto" w:fill="D6E3BC"/>
            <w:vAlign w:val="center"/>
          </w:tcPr>
          <w:p w:rsidR="002416B1" w:rsidRPr="006A2BF3" w:rsidRDefault="002416B1" w:rsidP="00507035">
            <w:pPr>
              <w:jc w:val="center"/>
              <w:rPr>
                <w:rFonts w:ascii="Arial" w:hAnsi="Arial" w:cs="Arial"/>
                <w:b/>
                <w:sz w:val="20"/>
                <w:szCs w:val="20"/>
              </w:rPr>
            </w:pPr>
            <w:r w:rsidRPr="006A2BF3">
              <w:rPr>
                <w:rFonts w:ascii="Arial" w:hAnsi="Arial" w:cs="Arial"/>
                <w:b/>
                <w:sz w:val="20"/>
                <w:szCs w:val="20"/>
              </w:rPr>
              <w:t>Zdroj financovania</w:t>
            </w:r>
          </w:p>
        </w:tc>
      </w:tr>
      <w:tr w:rsidR="002416B1" w:rsidRPr="006A2BF3" w:rsidTr="00EA4C77">
        <w:trPr>
          <w:trHeight w:val="336"/>
          <w:jc w:val="center"/>
        </w:trPr>
        <w:tc>
          <w:tcPr>
            <w:tcW w:w="7059" w:type="dxa"/>
            <w:shd w:val="clear" w:color="auto" w:fill="EAF1DD"/>
            <w:vAlign w:val="center"/>
          </w:tcPr>
          <w:p w:rsidR="002416B1" w:rsidRPr="006A2BF3" w:rsidRDefault="002416B1" w:rsidP="00507035">
            <w:pPr>
              <w:tabs>
                <w:tab w:val="num" w:pos="0"/>
              </w:tabs>
              <w:rPr>
                <w:rFonts w:ascii="Arial" w:hAnsi="Arial" w:cs="Arial"/>
                <w:sz w:val="20"/>
                <w:szCs w:val="20"/>
              </w:rPr>
            </w:pPr>
            <w:r w:rsidRPr="006A2BF3">
              <w:rPr>
                <w:rFonts w:ascii="Arial" w:hAnsi="Arial" w:cs="Arial"/>
                <w:sz w:val="20"/>
                <w:szCs w:val="20"/>
              </w:rPr>
              <w:t xml:space="preserve">Prioritná os 1 Integrovaná ochrana a racionálne využívanie vôd </w:t>
            </w:r>
          </w:p>
        </w:tc>
        <w:tc>
          <w:tcPr>
            <w:tcW w:w="1904" w:type="dxa"/>
            <w:vAlign w:val="center"/>
          </w:tcPr>
          <w:p w:rsidR="002416B1" w:rsidRPr="006A2BF3" w:rsidRDefault="002416B1" w:rsidP="00507035">
            <w:pPr>
              <w:jc w:val="center"/>
              <w:rPr>
                <w:rFonts w:ascii="Arial" w:hAnsi="Arial" w:cs="Arial"/>
                <w:sz w:val="20"/>
                <w:szCs w:val="20"/>
              </w:rPr>
            </w:pPr>
            <w:r w:rsidRPr="006A2BF3">
              <w:rPr>
                <w:rFonts w:ascii="Arial" w:hAnsi="Arial" w:cs="Arial"/>
                <w:sz w:val="20"/>
                <w:szCs w:val="20"/>
              </w:rPr>
              <w:t>KF</w:t>
            </w:r>
          </w:p>
        </w:tc>
      </w:tr>
      <w:tr w:rsidR="002416B1" w:rsidRPr="006A2BF3" w:rsidTr="00EA4C77">
        <w:trPr>
          <w:trHeight w:val="269"/>
          <w:jc w:val="center"/>
        </w:trPr>
        <w:tc>
          <w:tcPr>
            <w:tcW w:w="7059" w:type="dxa"/>
            <w:shd w:val="clear" w:color="auto" w:fill="EAF1DD"/>
            <w:vAlign w:val="center"/>
          </w:tcPr>
          <w:p w:rsidR="002416B1" w:rsidRPr="006A2BF3" w:rsidRDefault="002416B1" w:rsidP="00507035">
            <w:pPr>
              <w:tabs>
                <w:tab w:val="num" w:pos="0"/>
              </w:tabs>
              <w:rPr>
                <w:rFonts w:ascii="Arial" w:hAnsi="Arial" w:cs="Arial"/>
                <w:sz w:val="20"/>
                <w:szCs w:val="20"/>
              </w:rPr>
            </w:pPr>
            <w:r w:rsidRPr="006A2BF3">
              <w:rPr>
                <w:rFonts w:ascii="Arial" w:hAnsi="Arial" w:cs="Arial"/>
                <w:sz w:val="20"/>
                <w:szCs w:val="20"/>
              </w:rPr>
              <w:t>Prioritná os 2 Ochrana pred povodňami</w:t>
            </w:r>
          </w:p>
        </w:tc>
        <w:tc>
          <w:tcPr>
            <w:tcW w:w="1904" w:type="dxa"/>
            <w:vAlign w:val="center"/>
          </w:tcPr>
          <w:p w:rsidR="002416B1" w:rsidRPr="006A2BF3" w:rsidRDefault="002416B1" w:rsidP="00507035">
            <w:pPr>
              <w:jc w:val="center"/>
              <w:rPr>
                <w:rFonts w:ascii="Arial" w:hAnsi="Arial" w:cs="Arial"/>
                <w:sz w:val="20"/>
                <w:szCs w:val="20"/>
              </w:rPr>
            </w:pPr>
            <w:r w:rsidRPr="006A2BF3">
              <w:rPr>
                <w:rFonts w:ascii="Arial" w:hAnsi="Arial" w:cs="Arial"/>
                <w:sz w:val="20"/>
                <w:szCs w:val="20"/>
              </w:rPr>
              <w:t>KF</w:t>
            </w:r>
          </w:p>
        </w:tc>
      </w:tr>
      <w:tr w:rsidR="002416B1" w:rsidRPr="006A2BF3" w:rsidTr="00EA4C77">
        <w:trPr>
          <w:trHeight w:val="572"/>
          <w:jc w:val="center"/>
        </w:trPr>
        <w:tc>
          <w:tcPr>
            <w:tcW w:w="7059" w:type="dxa"/>
            <w:shd w:val="clear" w:color="auto" w:fill="EAF1DD"/>
            <w:vAlign w:val="center"/>
          </w:tcPr>
          <w:p w:rsidR="002416B1" w:rsidRPr="006A2BF3" w:rsidRDefault="002416B1" w:rsidP="00507035">
            <w:pPr>
              <w:tabs>
                <w:tab w:val="num" w:pos="0"/>
              </w:tabs>
              <w:rPr>
                <w:rFonts w:ascii="Arial" w:hAnsi="Arial" w:cs="Arial"/>
                <w:sz w:val="20"/>
                <w:szCs w:val="20"/>
              </w:rPr>
            </w:pPr>
            <w:r w:rsidRPr="006A2BF3">
              <w:rPr>
                <w:rFonts w:ascii="Arial" w:hAnsi="Arial" w:cs="Arial"/>
                <w:sz w:val="20"/>
                <w:szCs w:val="20"/>
              </w:rPr>
              <w:t xml:space="preserve">Prioritná os 3 </w:t>
            </w:r>
            <w:r w:rsidRPr="006A2BF3">
              <w:rPr>
                <w:rFonts w:ascii="Arial" w:hAnsi="Arial" w:cs="Arial"/>
                <w:bCs/>
                <w:sz w:val="20"/>
                <w:szCs w:val="20"/>
              </w:rPr>
              <w:t>Ochrana ovzdušia a minimalizácia nepriaznivých vplyvov</w:t>
            </w:r>
            <w:r>
              <w:rPr>
                <w:rFonts w:ascii="Arial" w:hAnsi="Arial" w:cs="Arial"/>
                <w:bCs/>
                <w:sz w:val="20"/>
                <w:szCs w:val="20"/>
              </w:rPr>
              <w:t xml:space="preserve"> </w:t>
            </w:r>
            <w:r w:rsidRPr="006A2BF3">
              <w:rPr>
                <w:rFonts w:ascii="Arial" w:hAnsi="Arial" w:cs="Arial"/>
                <w:bCs/>
                <w:sz w:val="20"/>
                <w:szCs w:val="20"/>
              </w:rPr>
              <w:t xml:space="preserve">zmeny klímy </w:t>
            </w:r>
          </w:p>
        </w:tc>
        <w:tc>
          <w:tcPr>
            <w:tcW w:w="1904" w:type="dxa"/>
            <w:vAlign w:val="center"/>
          </w:tcPr>
          <w:p w:rsidR="002416B1" w:rsidRPr="006A2BF3" w:rsidRDefault="002416B1" w:rsidP="00507035">
            <w:pPr>
              <w:jc w:val="center"/>
              <w:rPr>
                <w:rFonts w:ascii="Arial" w:hAnsi="Arial" w:cs="Arial"/>
                <w:sz w:val="20"/>
                <w:szCs w:val="20"/>
              </w:rPr>
            </w:pPr>
            <w:r w:rsidRPr="006A2BF3">
              <w:rPr>
                <w:rFonts w:ascii="Arial" w:hAnsi="Arial" w:cs="Arial"/>
                <w:sz w:val="20"/>
                <w:szCs w:val="20"/>
              </w:rPr>
              <w:t>ERDF</w:t>
            </w:r>
          </w:p>
        </w:tc>
      </w:tr>
      <w:tr w:rsidR="002416B1" w:rsidRPr="006A2BF3" w:rsidTr="00EA4C77">
        <w:trPr>
          <w:trHeight w:val="268"/>
          <w:jc w:val="center"/>
        </w:trPr>
        <w:tc>
          <w:tcPr>
            <w:tcW w:w="7059" w:type="dxa"/>
            <w:shd w:val="clear" w:color="auto" w:fill="EAF1DD"/>
            <w:vAlign w:val="center"/>
          </w:tcPr>
          <w:p w:rsidR="002416B1" w:rsidRPr="006A2BF3" w:rsidRDefault="002416B1" w:rsidP="00507035">
            <w:pPr>
              <w:tabs>
                <w:tab w:val="num" w:pos="0"/>
              </w:tabs>
              <w:rPr>
                <w:rFonts w:ascii="Arial" w:hAnsi="Arial" w:cs="Arial"/>
                <w:sz w:val="20"/>
                <w:szCs w:val="20"/>
              </w:rPr>
            </w:pPr>
            <w:r w:rsidRPr="006A2BF3">
              <w:rPr>
                <w:rFonts w:ascii="Arial" w:hAnsi="Arial" w:cs="Arial"/>
                <w:sz w:val="20"/>
                <w:szCs w:val="20"/>
              </w:rPr>
              <w:t xml:space="preserve">Prioritná os 4 </w:t>
            </w:r>
            <w:r w:rsidRPr="006A2BF3">
              <w:rPr>
                <w:rFonts w:ascii="Arial" w:hAnsi="Arial" w:cs="Arial"/>
                <w:bCs/>
                <w:sz w:val="20"/>
                <w:szCs w:val="20"/>
              </w:rPr>
              <w:t>Odpadové hospodárstvo</w:t>
            </w:r>
          </w:p>
        </w:tc>
        <w:tc>
          <w:tcPr>
            <w:tcW w:w="1904" w:type="dxa"/>
            <w:vAlign w:val="center"/>
          </w:tcPr>
          <w:p w:rsidR="002416B1" w:rsidRPr="006A2BF3" w:rsidRDefault="002416B1" w:rsidP="00507035">
            <w:pPr>
              <w:jc w:val="center"/>
              <w:rPr>
                <w:rFonts w:ascii="Arial" w:hAnsi="Arial" w:cs="Arial"/>
                <w:sz w:val="20"/>
                <w:szCs w:val="20"/>
              </w:rPr>
            </w:pPr>
            <w:r w:rsidRPr="006A2BF3">
              <w:rPr>
                <w:rFonts w:ascii="Arial" w:hAnsi="Arial" w:cs="Arial"/>
                <w:sz w:val="20"/>
                <w:szCs w:val="20"/>
              </w:rPr>
              <w:t>KF</w:t>
            </w:r>
          </w:p>
        </w:tc>
      </w:tr>
      <w:tr w:rsidR="002416B1" w:rsidRPr="006A2BF3" w:rsidTr="00EA4C77">
        <w:trPr>
          <w:trHeight w:val="271"/>
          <w:jc w:val="center"/>
        </w:trPr>
        <w:tc>
          <w:tcPr>
            <w:tcW w:w="7059" w:type="dxa"/>
            <w:shd w:val="clear" w:color="auto" w:fill="EAF1DD"/>
            <w:vAlign w:val="center"/>
          </w:tcPr>
          <w:p w:rsidR="002416B1" w:rsidRPr="006A2BF3" w:rsidRDefault="002416B1" w:rsidP="00507035">
            <w:pPr>
              <w:tabs>
                <w:tab w:val="num" w:pos="0"/>
              </w:tabs>
              <w:rPr>
                <w:rFonts w:ascii="Arial" w:hAnsi="Arial" w:cs="Arial"/>
                <w:sz w:val="20"/>
                <w:szCs w:val="20"/>
              </w:rPr>
            </w:pPr>
            <w:r w:rsidRPr="006A2BF3">
              <w:rPr>
                <w:rFonts w:ascii="Arial" w:hAnsi="Arial" w:cs="Arial"/>
                <w:sz w:val="20"/>
                <w:szCs w:val="20"/>
              </w:rPr>
              <w:t xml:space="preserve">Prioritná os </w:t>
            </w:r>
            <w:bookmarkStart w:id="1" w:name="OLE_LINK3"/>
            <w:bookmarkStart w:id="2" w:name="OLE_LINK4"/>
            <w:r w:rsidRPr="006A2BF3">
              <w:rPr>
                <w:rFonts w:ascii="Arial" w:hAnsi="Arial" w:cs="Arial"/>
                <w:sz w:val="20"/>
                <w:szCs w:val="20"/>
              </w:rPr>
              <w:t xml:space="preserve">5 </w:t>
            </w:r>
            <w:r w:rsidRPr="006A2BF3">
              <w:rPr>
                <w:rFonts w:ascii="Arial" w:hAnsi="Arial" w:cs="Arial"/>
                <w:bCs/>
                <w:sz w:val="20"/>
                <w:szCs w:val="20"/>
              </w:rPr>
              <w:t>Ochrana a regenerácia prírodného prostredia a krajiny</w:t>
            </w:r>
            <w:bookmarkEnd w:id="1"/>
            <w:bookmarkEnd w:id="2"/>
          </w:p>
        </w:tc>
        <w:tc>
          <w:tcPr>
            <w:tcW w:w="1904" w:type="dxa"/>
            <w:vAlign w:val="center"/>
          </w:tcPr>
          <w:p w:rsidR="002416B1" w:rsidRPr="006A2BF3" w:rsidRDefault="002416B1" w:rsidP="00507035">
            <w:pPr>
              <w:jc w:val="center"/>
              <w:rPr>
                <w:rFonts w:ascii="Arial" w:hAnsi="Arial" w:cs="Arial"/>
                <w:sz w:val="20"/>
                <w:szCs w:val="20"/>
              </w:rPr>
            </w:pPr>
            <w:r w:rsidRPr="006A2BF3">
              <w:rPr>
                <w:rFonts w:ascii="Arial" w:hAnsi="Arial" w:cs="Arial"/>
                <w:sz w:val="20"/>
                <w:szCs w:val="20"/>
              </w:rPr>
              <w:t>ERDF</w:t>
            </w:r>
          </w:p>
        </w:tc>
      </w:tr>
      <w:tr w:rsidR="002416B1" w:rsidRPr="006A2BF3" w:rsidTr="00EA4C77">
        <w:trPr>
          <w:trHeight w:val="276"/>
          <w:jc w:val="center"/>
        </w:trPr>
        <w:tc>
          <w:tcPr>
            <w:tcW w:w="7059" w:type="dxa"/>
            <w:shd w:val="clear" w:color="auto" w:fill="EAF1DD"/>
            <w:vAlign w:val="center"/>
          </w:tcPr>
          <w:p w:rsidR="002416B1" w:rsidRPr="006A2BF3" w:rsidRDefault="002416B1" w:rsidP="00507035">
            <w:pPr>
              <w:tabs>
                <w:tab w:val="num" w:pos="0"/>
              </w:tabs>
              <w:rPr>
                <w:rFonts w:ascii="Arial" w:hAnsi="Arial" w:cs="Arial"/>
                <w:sz w:val="20"/>
                <w:szCs w:val="20"/>
              </w:rPr>
            </w:pPr>
            <w:r w:rsidRPr="006A2BF3">
              <w:rPr>
                <w:rFonts w:ascii="Arial" w:hAnsi="Arial" w:cs="Arial"/>
                <w:sz w:val="20"/>
                <w:szCs w:val="20"/>
              </w:rPr>
              <w:t xml:space="preserve">Prioritná os 6 </w:t>
            </w:r>
            <w:r w:rsidRPr="006A2BF3">
              <w:rPr>
                <w:rFonts w:ascii="Arial" w:hAnsi="Arial" w:cs="Arial"/>
                <w:bCs/>
                <w:sz w:val="20"/>
                <w:szCs w:val="20"/>
              </w:rPr>
              <w:t xml:space="preserve">Technická pomoc </w:t>
            </w:r>
          </w:p>
        </w:tc>
        <w:tc>
          <w:tcPr>
            <w:tcW w:w="1904" w:type="dxa"/>
            <w:vAlign w:val="center"/>
          </w:tcPr>
          <w:p w:rsidR="002416B1" w:rsidRPr="006A2BF3" w:rsidRDefault="002416B1" w:rsidP="00507035">
            <w:pPr>
              <w:jc w:val="center"/>
              <w:rPr>
                <w:rFonts w:ascii="Arial" w:hAnsi="Arial" w:cs="Arial"/>
                <w:sz w:val="20"/>
                <w:szCs w:val="20"/>
              </w:rPr>
            </w:pPr>
            <w:r w:rsidRPr="006A2BF3">
              <w:rPr>
                <w:rFonts w:ascii="Arial" w:hAnsi="Arial" w:cs="Arial"/>
                <w:sz w:val="20"/>
                <w:szCs w:val="20"/>
              </w:rPr>
              <w:t>KF</w:t>
            </w:r>
          </w:p>
        </w:tc>
      </w:tr>
      <w:tr w:rsidR="002416B1" w:rsidRPr="006A2BF3" w:rsidTr="00EA4C77">
        <w:trPr>
          <w:trHeight w:val="279"/>
          <w:jc w:val="center"/>
        </w:trPr>
        <w:tc>
          <w:tcPr>
            <w:tcW w:w="7059" w:type="dxa"/>
            <w:shd w:val="clear" w:color="auto" w:fill="EAF1DD"/>
            <w:vAlign w:val="center"/>
          </w:tcPr>
          <w:p w:rsidR="002416B1" w:rsidRPr="006A2BF3" w:rsidRDefault="002416B1" w:rsidP="00507035">
            <w:pPr>
              <w:tabs>
                <w:tab w:val="num" w:pos="0"/>
              </w:tabs>
              <w:rPr>
                <w:rFonts w:ascii="Arial" w:hAnsi="Arial" w:cs="Arial"/>
                <w:sz w:val="20"/>
                <w:szCs w:val="20"/>
              </w:rPr>
            </w:pPr>
            <w:r>
              <w:rPr>
                <w:rFonts w:ascii="Arial" w:hAnsi="Arial" w:cs="Arial"/>
                <w:sz w:val="20"/>
                <w:szCs w:val="20"/>
              </w:rPr>
              <w:t xml:space="preserve">Prioritná os 7 Budovanie </w:t>
            </w:r>
            <w:r w:rsidRPr="00EA4C77">
              <w:rPr>
                <w:rFonts w:ascii="Arial" w:hAnsi="Arial" w:cs="Arial"/>
                <w:sz w:val="20"/>
                <w:szCs w:val="20"/>
              </w:rPr>
              <w:t>povodňového varovného a predpovedného systému</w:t>
            </w:r>
          </w:p>
        </w:tc>
        <w:tc>
          <w:tcPr>
            <w:tcW w:w="1904" w:type="dxa"/>
            <w:vAlign w:val="center"/>
          </w:tcPr>
          <w:p w:rsidR="002416B1" w:rsidRPr="006A2BF3" w:rsidRDefault="002416B1" w:rsidP="00507035">
            <w:pPr>
              <w:jc w:val="center"/>
              <w:rPr>
                <w:rFonts w:ascii="Arial" w:hAnsi="Arial" w:cs="Arial"/>
                <w:sz w:val="20"/>
                <w:szCs w:val="20"/>
              </w:rPr>
            </w:pPr>
            <w:r>
              <w:rPr>
                <w:rFonts w:ascii="Arial" w:hAnsi="Arial" w:cs="Arial"/>
                <w:sz w:val="20"/>
                <w:szCs w:val="20"/>
              </w:rPr>
              <w:t>ERDF</w:t>
            </w:r>
          </w:p>
        </w:tc>
      </w:tr>
    </w:tbl>
    <w:p w:rsidR="002416B1" w:rsidRPr="006A2BF3" w:rsidRDefault="002416B1" w:rsidP="00507035">
      <w:pPr>
        <w:pStyle w:val="Nadpis1"/>
        <w:spacing w:before="120" w:after="120" w:line="360" w:lineRule="auto"/>
      </w:pPr>
      <w:bookmarkStart w:id="3" w:name="_2.1_Strategické_dokumenty"/>
      <w:bookmarkStart w:id="4" w:name="_2.2_Prioritné_osi"/>
      <w:bookmarkStart w:id="5" w:name="_3._PREHĽAD_REALIZÁCIE"/>
      <w:bookmarkStart w:id="6" w:name="_Toc319573300"/>
      <w:bookmarkEnd w:id="3"/>
      <w:bookmarkEnd w:id="4"/>
      <w:bookmarkEnd w:id="5"/>
      <w:r w:rsidRPr="006A2BF3">
        <w:t>2. PREHĽAD REALIZÁCIE OPERAČNÉHO PROGRAMU ŽIVOTNÉ PROSTREDIE</w:t>
      </w:r>
      <w:bookmarkEnd w:id="6"/>
    </w:p>
    <w:p w:rsidR="002416B1" w:rsidRDefault="002416B1" w:rsidP="00507035">
      <w:pPr>
        <w:pStyle w:val="Nadpis2"/>
        <w:spacing w:before="120" w:after="120" w:line="360" w:lineRule="auto"/>
      </w:pPr>
      <w:bookmarkStart w:id="7" w:name="_3.1_Pokrok_v"/>
      <w:bookmarkStart w:id="8" w:name="_3.1.1_Administratívne_kapacity"/>
      <w:bookmarkStart w:id="9" w:name="_Toc319573301"/>
      <w:bookmarkStart w:id="10" w:name="OLE_LINK18"/>
      <w:bookmarkEnd w:id="7"/>
      <w:bookmarkEnd w:id="8"/>
      <w:r w:rsidRPr="006A2BF3">
        <w:t>2.1 Dosiahnutý výsledok a analýza dosiahnutého pokroku</w:t>
      </w:r>
      <w:bookmarkEnd w:id="9"/>
    </w:p>
    <w:p w:rsidR="00CE2CDF" w:rsidRPr="006A78D8" w:rsidRDefault="00CE2CDF" w:rsidP="00507035">
      <w:pPr>
        <w:spacing w:before="120" w:after="120" w:line="360" w:lineRule="auto"/>
        <w:jc w:val="both"/>
        <w:rPr>
          <w:rFonts w:ascii="Arial" w:hAnsi="Arial" w:cs="Arial"/>
          <w:b/>
          <w:sz w:val="20"/>
          <w:szCs w:val="20"/>
          <w:lang w:eastAsia="en-US"/>
        </w:rPr>
      </w:pPr>
      <w:r w:rsidRPr="005A07B2">
        <w:rPr>
          <w:rFonts w:ascii="Arial" w:hAnsi="Arial" w:cs="Arial"/>
          <w:b/>
          <w:sz w:val="20"/>
          <w:szCs w:val="20"/>
          <w:lang w:eastAsia="en-US"/>
        </w:rPr>
        <w:t>Stav implementácie</w:t>
      </w:r>
      <w:r w:rsidR="00CC2917">
        <w:rPr>
          <w:rFonts w:ascii="Arial" w:hAnsi="Arial" w:cs="Arial"/>
          <w:b/>
          <w:sz w:val="20"/>
          <w:szCs w:val="20"/>
          <w:lang w:eastAsia="en-US"/>
        </w:rPr>
        <w:t xml:space="preserve"> (zazmluvnenia a čerpania) v rámci</w:t>
      </w:r>
      <w:r w:rsidRPr="005A07B2">
        <w:rPr>
          <w:rFonts w:ascii="Arial" w:hAnsi="Arial" w:cs="Arial"/>
          <w:b/>
          <w:sz w:val="20"/>
          <w:szCs w:val="20"/>
          <w:lang w:eastAsia="en-US"/>
        </w:rPr>
        <w:t xml:space="preserve"> OP ŽP</w:t>
      </w:r>
    </w:p>
    <w:p w:rsidR="00557374" w:rsidRPr="00177451" w:rsidRDefault="00557374" w:rsidP="00557374">
      <w:pPr>
        <w:spacing w:before="120" w:after="120" w:line="360" w:lineRule="auto"/>
        <w:jc w:val="both"/>
        <w:rPr>
          <w:rFonts w:ascii="Arial" w:hAnsi="Arial" w:cs="Arial"/>
          <w:sz w:val="20"/>
          <w:szCs w:val="20"/>
          <w:lang w:eastAsia="en-US"/>
        </w:rPr>
      </w:pPr>
      <w:r w:rsidRPr="00177451">
        <w:rPr>
          <w:rFonts w:ascii="Arial" w:hAnsi="Arial" w:cs="Arial"/>
          <w:sz w:val="20"/>
          <w:szCs w:val="20"/>
          <w:lang w:eastAsia="en-US"/>
        </w:rPr>
        <w:t xml:space="preserve">Plnením globálneho cieľa OP ŽP sa zvyšuje atraktivita územia SR a jej regiónov, skvalitňujú sa podmienky pre život obyvateľstva, posilňuje sa otvorený charakter spoločnosti z jej sociálno-priestorového hľadiska a  vytvárajú sa predpoklady pre jej trvalo udržateľný rozvoj. Globálny cieľ však nie jej napĺňaný prostredníctvom jedného na neho viazaného merateľného ukazovateľa, ale jeho plnenie je premietnuté do merateľných ukazovateľov 7 prioritných osí. </w:t>
      </w:r>
    </w:p>
    <w:p w:rsidR="00557374" w:rsidRPr="00177451" w:rsidRDefault="00557374" w:rsidP="00557374">
      <w:pPr>
        <w:spacing w:before="120" w:after="120" w:line="360" w:lineRule="auto"/>
        <w:jc w:val="both"/>
        <w:rPr>
          <w:rFonts w:ascii="Arial" w:hAnsi="Arial" w:cs="Arial"/>
          <w:sz w:val="20"/>
          <w:szCs w:val="20"/>
          <w:lang w:eastAsia="en-US"/>
        </w:rPr>
      </w:pPr>
      <w:r w:rsidRPr="00177451">
        <w:rPr>
          <w:rFonts w:ascii="Arial" w:hAnsi="Arial" w:cs="Arial"/>
          <w:sz w:val="20"/>
          <w:szCs w:val="20"/>
          <w:lang w:eastAsia="en-US"/>
        </w:rPr>
        <w:t xml:space="preserve">Celkový prínos OP ŽP je teda vyjadrený prostredníctvom globálneho cieľa, cieľov </w:t>
      </w:r>
      <w:r w:rsidRPr="00177451">
        <w:rPr>
          <w:rFonts w:ascii="Arial" w:hAnsi="Arial" w:cs="Arial"/>
          <w:sz w:val="20"/>
          <w:szCs w:val="20"/>
          <w:lang w:eastAsia="en-US"/>
        </w:rPr>
        <w:br/>
        <w:t>na úrovni prioritných osí a špecifických cieľov, podpory kvality životného prostredia v rámci OP ŽP a cieľov vyjadrených prostredníctvom merateľných ukazovateľov.</w:t>
      </w:r>
      <w:r>
        <w:rPr>
          <w:rFonts w:ascii="Arial" w:hAnsi="Arial" w:cs="Arial"/>
          <w:sz w:val="20"/>
          <w:szCs w:val="20"/>
          <w:lang w:eastAsia="en-US"/>
        </w:rPr>
        <w:t xml:space="preserve"> Príspevok jednotlivých prioritných osí k napĺňaniu cieľov</w:t>
      </w:r>
      <w:r w:rsidRPr="00177451">
        <w:rPr>
          <w:rFonts w:ascii="Arial" w:hAnsi="Arial" w:cs="Arial"/>
          <w:sz w:val="20"/>
          <w:szCs w:val="20"/>
          <w:lang w:eastAsia="en-US"/>
        </w:rPr>
        <w:t xml:space="preserve"> </w:t>
      </w:r>
      <w:r>
        <w:rPr>
          <w:rFonts w:ascii="Arial" w:hAnsi="Arial" w:cs="Arial"/>
          <w:sz w:val="20"/>
          <w:szCs w:val="20"/>
          <w:lang w:eastAsia="en-US"/>
        </w:rPr>
        <w:t>zlepšenia</w:t>
      </w:r>
      <w:r w:rsidRPr="00177451">
        <w:rPr>
          <w:rFonts w:ascii="Arial" w:hAnsi="Arial" w:cs="Arial"/>
          <w:sz w:val="20"/>
          <w:szCs w:val="20"/>
          <w:lang w:eastAsia="en-US"/>
        </w:rPr>
        <w:t xml:space="preserve"> stavu životného prostredia</w:t>
      </w:r>
      <w:r>
        <w:rPr>
          <w:rFonts w:ascii="Arial" w:hAnsi="Arial" w:cs="Arial"/>
          <w:sz w:val="20"/>
          <w:szCs w:val="20"/>
          <w:lang w:eastAsia="en-US"/>
        </w:rPr>
        <w:t xml:space="preserve"> je podrobne analyzovaný v rámci kapitoly č. 3 tejto správy.</w:t>
      </w:r>
    </w:p>
    <w:p w:rsidR="00557374" w:rsidRPr="00177451" w:rsidRDefault="00557374" w:rsidP="00557374">
      <w:pPr>
        <w:spacing w:before="120" w:after="120" w:line="360" w:lineRule="auto"/>
        <w:jc w:val="both"/>
        <w:rPr>
          <w:rFonts w:ascii="Arial" w:hAnsi="Arial" w:cs="Arial"/>
          <w:sz w:val="20"/>
          <w:szCs w:val="20"/>
          <w:lang w:eastAsia="en-US"/>
        </w:rPr>
      </w:pPr>
      <w:r w:rsidRPr="00177451">
        <w:rPr>
          <w:rFonts w:ascii="Arial" w:hAnsi="Arial" w:cs="Arial"/>
          <w:sz w:val="20"/>
          <w:szCs w:val="20"/>
          <w:lang w:eastAsia="en-US"/>
        </w:rPr>
        <w:t>Z hľadiska zabezpečenia efektívnosti environmentálnej zložky posilnenia TUR, aktivity podporované v rámci OP ŽP prispievajú</w:t>
      </w:r>
      <w:r>
        <w:rPr>
          <w:rFonts w:ascii="Arial" w:hAnsi="Arial" w:cs="Arial"/>
          <w:sz w:val="20"/>
          <w:szCs w:val="20"/>
          <w:lang w:eastAsia="en-US"/>
        </w:rPr>
        <w:t xml:space="preserve"> </w:t>
      </w:r>
      <w:r w:rsidRPr="00177451">
        <w:rPr>
          <w:rFonts w:ascii="Arial" w:hAnsi="Arial" w:cs="Arial"/>
          <w:sz w:val="20"/>
          <w:szCs w:val="20"/>
          <w:lang w:eastAsia="en-US"/>
        </w:rPr>
        <w:t xml:space="preserve">k realizácii témy:  </w:t>
      </w:r>
    </w:p>
    <w:p w:rsidR="00557374" w:rsidRPr="00E57A5C" w:rsidRDefault="00557374" w:rsidP="00E57A5C">
      <w:pPr>
        <w:pStyle w:val="Odsekzoznamu"/>
        <w:numPr>
          <w:ilvl w:val="0"/>
          <w:numId w:val="124"/>
        </w:numPr>
        <w:spacing w:before="120" w:after="120" w:line="360" w:lineRule="auto"/>
        <w:ind w:left="714" w:hanging="357"/>
        <w:contextualSpacing w:val="0"/>
        <w:jc w:val="both"/>
        <w:rPr>
          <w:rFonts w:ascii="Arial" w:hAnsi="Arial" w:cs="Arial"/>
          <w:sz w:val="20"/>
          <w:szCs w:val="20"/>
        </w:rPr>
      </w:pPr>
      <w:r w:rsidRPr="00E57A5C">
        <w:rPr>
          <w:rFonts w:ascii="Arial" w:hAnsi="Arial" w:cs="Arial"/>
          <w:sz w:val="20"/>
          <w:szCs w:val="20"/>
        </w:rPr>
        <w:t>zmena klímy a čistá energia (PO 3)</w:t>
      </w:r>
    </w:p>
    <w:p w:rsidR="00557374" w:rsidRPr="00E57A5C" w:rsidRDefault="00557374" w:rsidP="00E57A5C">
      <w:pPr>
        <w:pStyle w:val="Odsekzoznamu"/>
        <w:numPr>
          <w:ilvl w:val="0"/>
          <w:numId w:val="124"/>
        </w:numPr>
        <w:spacing w:before="120" w:after="120" w:line="360" w:lineRule="auto"/>
        <w:ind w:left="714" w:hanging="357"/>
        <w:contextualSpacing w:val="0"/>
        <w:jc w:val="both"/>
        <w:rPr>
          <w:rFonts w:ascii="Arial" w:hAnsi="Arial" w:cs="Arial"/>
          <w:sz w:val="20"/>
          <w:szCs w:val="20"/>
        </w:rPr>
      </w:pPr>
      <w:r w:rsidRPr="00E57A5C">
        <w:rPr>
          <w:rFonts w:ascii="Arial" w:hAnsi="Arial" w:cs="Arial"/>
          <w:sz w:val="20"/>
          <w:szCs w:val="20"/>
        </w:rPr>
        <w:t>energetická efektívnosť (PO 1, 3, 4 a 5)</w:t>
      </w:r>
    </w:p>
    <w:p w:rsidR="00557374" w:rsidRPr="00E57A5C" w:rsidRDefault="00557374" w:rsidP="00E57A5C">
      <w:pPr>
        <w:pStyle w:val="Odsekzoznamu"/>
        <w:numPr>
          <w:ilvl w:val="0"/>
          <w:numId w:val="124"/>
        </w:numPr>
        <w:spacing w:before="120" w:after="120" w:line="360" w:lineRule="auto"/>
        <w:ind w:left="714" w:hanging="357"/>
        <w:contextualSpacing w:val="0"/>
        <w:jc w:val="both"/>
        <w:rPr>
          <w:rFonts w:ascii="Arial" w:hAnsi="Arial" w:cs="Arial"/>
          <w:sz w:val="20"/>
          <w:szCs w:val="20"/>
        </w:rPr>
      </w:pPr>
      <w:r w:rsidRPr="00E57A5C">
        <w:rPr>
          <w:rFonts w:ascii="Arial" w:hAnsi="Arial" w:cs="Arial"/>
          <w:sz w:val="20"/>
          <w:szCs w:val="20"/>
        </w:rPr>
        <w:t>trvalo udržateľná doprava (PO 3)</w:t>
      </w:r>
    </w:p>
    <w:p w:rsidR="00557374" w:rsidRPr="00E57A5C" w:rsidRDefault="00557374" w:rsidP="00E57A5C">
      <w:pPr>
        <w:pStyle w:val="Odsekzoznamu"/>
        <w:numPr>
          <w:ilvl w:val="0"/>
          <w:numId w:val="124"/>
        </w:numPr>
        <w:spacing w:before="120" w:after="120" w:line="360" w:lineRule="auto"/>
        <w:ind w:left="714" w:hanging="357"/>
        <w:contextualSpacing w:val="0"/>
        <w:jc w:val="both"/>
        <w:rPr>
          <w:rFonts w:ascii="Arial" w:hAnsi="Arial" w:cs="Arial"/>
          <w:sz w:val="20"/>
          <w:szCs w:val="20"/>
        </w:rPr>
      </w:pPr>
      <w:r w:rsidRPr="00E57A5C">
        <w:rPr>
          <w:rFonts w:ascii="Arial" w:hAnsi="Arial" w:cs="Arial"/>
          <w:sz w:val="20"/>
          <w:szCs w:val="20"/>
        </w:rPr>
        <w:t>trvalo udržateľná spotreba a výroba (PO 4)</w:t>
      </w:r>
    </w:p>
    <w:p w:rsidR="00557374" w:rsidRPr="00E57A5C" w:rsidRDefault="00557374" w:rsidP="00E57A5C">
      <w:pPr>
        <w:pStyle w:val="Odsekzoznamu"/>
        <w:numPr>
          <w:ilvl w:val="0"/>
          <w:numId w:val="124"/>
        </w:numPr>
        <w:spacing w:before="120" w:after="120" w:line="360" w:lineRule="auto"/>
        <w:ind w:left="714" w:hanging="357"/>
        <w:contextualSpacing w:val="0"/>
        <w:jc w:val="both"/>
        <w:rPr>
          <w:rFonts w:ascii="Arial" w:hAnsi="Arial" w:cs="Arial"/>
          <w:sz w:val="20"/>
          <w:szCs w:val="20"/>
        </w:rPr>
      </w:pPr>
      <w:r w:rsidRPr="00E57A5C">
        <w:rPr>
          <w:rFonts w:ascii="Arial" w:hAnsi="Arial" w:cs="Arial"/>
          <w:sz w:val="20"/>
          <w:szCs w:val="20"/>
        </w:rPr>
        <w:t>zachovanie prírodných zdrojov a hospodárenie s nimi (PO 5)</w:t>
      </w:r>
    </w:p>
    <w:p w:rsidR="00557374" w:rsidRPr="00E57A5C" w:rsidRDefault="00557374" w:rsidP="00E57A5C">
      <w:pPr>
        <w:pStyle w:val="Odsekzoznamu"/>
        <w:numPr>
          <w:ilvl w:val="0"/>
          <w:numId w:val="124"/>
        </w:numPr>
        <w:spacing w:before="120" w:after="120" w:line="360" w:lineRule="auto"/>
        <w:ind w:left="714" w:hanging="357"/>
        <w:contextualSpacing w:val="0"/>
        <w:jc w:val="both"/>
        <w:rPr>
          <w:rFonts w:ascii="Arial" w:hAnsi="Arial" w:cs="Arial"/>
          <w:sz w:val="20"/>
          <w:szCs w:val="20"/>
        </w:rPr>
      </w:pPr>
      <w:r w:rsidRPr="00E57A5C">
        <w:rPr>
          <w:rFonts w:ascii="Arial" w:hAnsi="Arial" w:cs="Arial"/>
          <w:sz w:val="20"/>
          <w:szCs w:val="20"/>
        </w:rPr>
        <w:t>verejné zdravie (PO 1, 2).</w:t>
      </w:r>
    </w:p>
    <w:p w:rsidR="00557374" w:rsidRDefault="00557374" w:rsidP="00E57A5C">
      <w:pPr>
        <w:spacing w:line="360" w:lineRule="auto"/>
        <w:rPr>
          <w:b/>
          <w:szCs w:val="26"/>
          <w:lang w:eastAsia="cs-CZ"/>
        </w:rPr>
      </w:pPr>
    </w:p>
    <w:p w:rsidR="002416B1" w:rsidRDefault="00A46446" w:rsidP="00507035">
      <w:pPr>
        <w:spacing w:before="120" w:after="120" w:line="360" w:lineRule="auto"/>
        <w:jc w:val="both"/>
        <w:rPr>
          <w:rFonts w:ascii="Arial" w:hAnsi="Arial" w:cs="Arial"/>
          <w:sz w:val="20"/>
          <w:szCs w:val="20"/>
          <w:lang w:eastAsia="en-US"/>
        </w:rPr>
      </w:pPr>
      <w:r w:rsidRPr="00A46446">
        <w:rPr>
          <w:rFonts w:ascii="Arial" w:hAnsi="Arial" w:cs="Arial"/>
          <w:sz w:val="20"/>
          <w:szCs w:val="20"/>
          <w:lang w:eastAsia="en-US"/>
        </w:rPr>
        <w:t xml:space="preserve">Stav kontrahovania v podmienkach OP ŽP možno charakterizovať ako kontinuálne rastúci od roku 2008, pričom dosahuje priemernú úroveň kontrahovania v rámci Národného strategického referenčného rámca SR na programové obdobie 2007 – 2013. Aktuálny stav kontrahovania </w:t>
      </w:r>
      <w:r>
        <w:rPr>
          <w:rFonts w:ascii="Arial" w:hAnsi="Arial" w:cs="Arial"/>
          <w:sz w:val="20"/>
          <w:szCs w:val="20"/>
          <w:lang w:eastAsia="en-US"/>
        </w:rPr>
        <w:t>k 31. </w:t>
      </w:r>
      <w:r w:rsidRPr="00A46446">
        <w:rPr>
          <w:rFonts w:ascii="Arial" w:hAnsi="Arial" w:cs="Arial"/>
          <w:sz w:val="20"/>
          <w:szCs w:val="20"/>
          <w:lang w:eastAsia="en-US"/>
        </w:rPr>
        <w:t>12.</w:t>
      </w:r>
      <w:r>
        <w:t> </w:t>
      </w:r>
      <w:r w:rsidRPr="00A46446">
        <w:rPr>
          <w:rFonts w:ascii="Arial" w:hAnsi="Arial" w:cs="Arial"/>
          <w:sz w:val="20"/>
          <w:szCs w:val="20"/>
          <w:lang w:eastAsia="en-US"/>
        </w:rPr>
        <w:t>2012 predstavuje 78,50% z alokácie OP ŽP</w:t>
      </w:r>
      <w:r>
        <w:rPr>
          <w:rFonts w:ascii="Arial" w:hAnsi="Arial" w:cs="Arial"/>
          <w:sz w:val="20"/>
          <w:szCs w:val="20"/>
          <w:lang w:eastAsia="en-US"/>
        </w:rPr>
        <w:t>.</w:t>
      </w:r>
      <w:r w:rsidR="002416B1">
        <w:rPr>
          <w:rFonts w:ascii="Arial" w:hAnsi="Arial" w:cs="Arial"/>
          <w:sz w:val="20"/>
          <w:szCs w:val="20"/>
          <w:lang w:eastAsia="en-US"/>
        </w:rPr>
        <w:t xml:space="preserve"> </w:t>
      </w:r>
    </w:p>
    <w:p w:rsidR="00BB10F1" w:rsidRDefault="00BB10F1" w:rsidP="00507035">
      <w:pPr>
        <w:spacing w:before="120" w:after="120" w:line="360" w:lineRule="auto"/>
        <w:jc w:val="both"/>
        <w:rPr>
          <w:rFonts w:ascii="Arial" w:hAnsi="Arial" w:cs="Arial"/>
          <w:sz w:val="20"/>
          <w:szCs w:val="20"/>
          <w:lang w:eastAsia="en-US"/>
        </w:rPr>
      </w:pPr>
      <w:r>
        <w:rPr>
          <w:rFonts w:ascii="Arial" w:hAnsi="Arial" w:cs="Arial"/>
          <w:sz w:val="20"/>
          <w:szCs w:val="20"/>
          <w:lang w:eastAsia="en-US"/>
        </w:rPr>
        <w:t>Tab. č. 3: Porovnanie zazmluvnenia alokácie v roku 201</w:t>
      </w:r>
      <w:r w:rsidR="00472156">
        <w:rPr>
          <w:rFonts w:ascii="Arial" w:hAnsi="Arial" w:cs="Arial"/>
          <w:sz w:val="20"/>
          <w:szCs w:val="20"/>
          <w:lang w:eastAsia="en-US"/>
        </w:rPr>
        <w:t>2</w:t>
      </w:r>
      <w:r>
        <w:rPr>
          <w:rFonts w:ascii="Arial" w:hAnsi="Arial" w:cs="Arial"/>
          <w:sz w:val="20"/>
          <w:szCs w:val="20"/>
          <w:lang w:eastAsia="en-US"/>
        </w:rPr>
        <w:t xml:space="preserve"> s rokom 201</w:t>
      </w:r>
      <w:r w:rsidR="00472156">
        <w:rPr>
          <w:rFonts w:ascii="Arial" w:hAnsi="Arial" w:cs="Arial"/>
          <w:sz w:val="20"/>
          <w:szCs w:val="20"/>
          <w:lang w:eastAsia="en-US"/>
        </w:rPr>
        <w:t>1</w:t>
      </w:r>
    </w:p>
    <w:tbl>
      <w:tblPr>
        <w:tblW w:w="969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199"/>
        <w:gridCol w:w="1101"/>
        <w:gridCol w:w="1054"/>
        <w:gridCol w:w="1059"/>
        <w:gridCol w:w="1074"/>
        <w:gridCol w:w="1121"/>
        <w:gridCol w:w="1094"/>
        <w:gridCol w:w="738"/>
        <w:gridCol w:w="1251"/>
      </w:tblGrid>
      <w:tr w:rsidR="008E35B6" w:rsidRPr="003A5E95" w:rsidTr="008E35B6">
        <w:trPr>
          <w:trHeight w:val="300"/>
          <w:jc w:val="center"/>
        </w:trPr>
        <w:tc>
          <w:tcPr>
            <w:tcW w:w="1199" w:type="dxa"/>
            <w:shd w:val="clear" w:color="000000" w:fill="D6E3BC"/>
            <w:noWrap/>
            <w:vAlign w:val="center"/>
            <w:hideMark/>
          </w:tcPr>
          <w:p w:rsidR="00BB10F1" w:rsidRPr="003A5E95" w:rsidRDefault="00BB10F1" w:rsidP="00507035">
            <w:pPr>
              <w:jc w:val="center"/>
              <w:rPr>
                <w:rFonts w:ascii="Arial" w:hAnsi="Arial" w:cs="Arial"/>
                <w:b/>
                <w:bCs/>
                <w:color w:val="000000"/>
                <w:sz w:val="16"/>
                <w:szCs w:val="16"/>
              </w:rPr>
            </w:pPr>
            <w:r w:rsidRPr="003A5E95">
              <w:rPr>
                <w:rFonts w:ascii="Arial" w:hAnsi="Arial" w:cs="Arial"/>
                <w:b/>
                <w:bCs/>
                <w:color w:val="000000"/>
                <w:sz w:val="16"/>
                <w:szCs w:val="16"/>
              </w:rPr>
              <w:t> </w:t>
            </w:r>
          </w:p>
        </w:tc>
        <w:tc>
          <w:tcPr>
            <w:tcW w:w="1101" w:type="dxa"/>
            <w:shd w:val="clear" w:color="000000" w:fill="D6E3BC"/>
            <w:noWrap/>
            <w:vAlign w:val="center"/>
            <w:hideMark/>
          </w:tcPr>
          <w:p w:rsidR="00BB10F1" w:rsidRPr="003A5E95" w:rsidRDefault="00BB10F1" w:rsidP="00507035">
            <w:pPr>
              <w:jc w:val="center"/>
              <w:rPr>
                <w:rFonts w:ascii="Arial" w:hAnsi="Arial" w:cs="Arial"/>
                <w:b/>
                <w:bCs/>
                <w:color w:val="000000"/>
                <w:sz w:val="16"/>
                <w:szCs w:val="16"/>
              </w:rPr>
            </w:pPr>
            <w:r w:rsidRPr="003A5E95">
              <w:rPr>
                <w:rFonts w:ascii="Arial" w:hAnsi="Arial" w:cs="Arial"/>
                <w:b/>
                <w:bCs/>
                <w:color w:val="000000"/>
                <w:sz w:val="16"/>
                <w:szCs w:val="16"/>
              </w:rPr>
              <w:t>PO1</w:t>
            </w:r>
          </w:p>
        </w:tc>
        <w:tc>
          <w:tcPr>
            <w:tcW w:w="1054" w:type="dxa"/>
            <w:shd w:val="clear" w:color="000000" w:fill="D6E3BC"/>
            <w:noWrap/>
            <w:vAlign w:val="center"/>
            <w:hideMark/>
          </w:tcPr>
          <w:p w:rsidR="00BB10F1" w:rsidRPr="003A5E95" w:rsidRDefault="00BB10F1" w:rsidP="00507035">
            <w:pPr>
              <w:jc w:val="center"/>
              <w:rPr>
                <w:rFonts w:ascii="Arial" w:hAnsi="Arial" w:cs="Arial"/>
                <w:b/>
                <w:bCs/>
                <w:color w:val="000000"/>
                <w:sz w:val="16"/>
                <w:szCs w:val="16"/>
              </w:rPr>
            </w:pPr>
            <w:r w:rsidRPr="003A5E95">
              <w:rPr>
                <w:rFonts w:ascii="Arial" w:hAnsi="Arial" w:cs="Arial"/>
                <w:b/>
                <w:bCs/>
                <w:color w:val="000000"/>
                <w:sz w:val="16"/>
                <w:szCs w:val="16"/>
              </w:rPr>
              <w:t>PO2</w:t>
            </w:r>
          </w:p>
        </w:tc>
        <w:tc>
          <w:tcPr>
            <w:tcW w:w="1059" w:type="dxa"/>
            <w:shd w:val="clear" w:color="000000" w:fill="D6E3BC"/>
            <w:noWrap/>
            <w:vAlign w:val="center"/>
            <w:hideMark/>
          </w:tcPr>
          <w:p w:rsidR="00BB10F1" w:rsidRPr="003A5E95" w:rsidRDefault="00BB10F1" w:rsidP="00507035">
            <w:pPr>
              <w:jc w:val="center"/>
              <w:rPr>
                <w:rFonts w:ascii="Arial" w:hAnsi="Arial" w:cs="Arial"/>
                <w:b/>
                <w:bCs/>
                <w:color w:val="000000"/>
                <w:sz w:val="16"/>
                <w:szCs w:val="16"/>
              </w:rPr>
            </w:pPr>
            <w:r w:rsidRPr="003A5E95">
              <w:rPr>
                <w:rFonts w:ascii="Arial" w:hAnsi="Arial" w:cs="Arial"/>
                <w:b/>
                <w:bCs/>
                <w:color w:val="000000"/>
                <w:sz w:val="16"/>
                <w:szCs w:val="16"/>
              </w:rPr>
              <w:t>PO3</w:t>
            </w:r>
          </w:p>
        </w:tc>
        <w:tc>
          <w:tcPr>
            <w:tcW w:w="1074" w:type="dxa"/>
            <w:shd w:val="clear" w:color="000000" w:fill="D6E3BC"/>
            <w:noWrap/>
            <w:vAlign w:val="center"/>
            <w:hideMark/>
          </w:tcPr>
          <w:p w:rsidR="00BB10F1" w:rsidRPr="003A5E95" w:rsidRDefault="00BB10F1" w:rsidP="00507035">
            <w:pPr>
              <w:jc w:val="center"/>
              <w:rPr>
                <w:rFonts w:ascii="Arial" w:hAnsi="Arial" w:cs="Arial"/>
                <w:b/>
                <w:bCs/>
                <w:color w:val="000000"/>
                <w:sz w:val="16"/>
                <w:szCs w:val="16"/>
              </w:rPr>
            </w:pPr>
            <w:r w:rsidRPr="003A5E95">
              <w:rPr>
                <w:rFonts w:ascii="Arial" w:hAnsi="Arial" w:cs="Arial"/>
                <w:b/>
                <w:bCs/>
                <w:color w:val="000000"/>
                <w:sz w:val="16"/>
                <w:szCs w:val="16"/>
              </w:rPr>
              <w:t>PO4</w:t>
            </w:r>
          </w:p>
        </w:tc>
        <w:tc>
          <w:tcPr>
            <w:tcW w:w="1121" w:type="dxa"/>
            <w:shd w:val="clear" w:color="000000" w:fill="D6E3BC"/>
            <w:noWrap/>
            <w:vAlign w:val="center"/>
            <w:hideMark/>
          </w:tcPr>
          <w:p w:rsidR="00BB10F1" w:rsidRPr="003A5E95" w:rsidRDefault="00BB10F1" w:rsidP="00507035">
            <w:pPr>
              <w:jc w:val="center"/>
              <w:rPr>
                <w:rFonts w:ascii="Arial" w:hAnsi="Arial" w:cs="Arial"/>
                <w:b/>
                <w:bCs/>
                <w:color w:val="000000"/>
                <w:sz w:val="16"/>
                <w:szCs w:val="16"/>
              </w:rPr>
            </w:pPr>
            <w:r w:rsidRPr="003A5E95">
              <w:rPr>
                <w:rFonts w:ascii="Arial" w:hAnsi="Arial" w:cs="Arial"/>
                <w:b/>
                <w:bCs/>
                <w:color w:val="000000"/>
                <w:sz w:val="16"/>
                <w:szCs w:val="16"/>
              </w:rPr>
              <w:t>PO5</w:t>
            </w:r>
          </w:p>
        </w:tc>
        <w:tc>
          <w:tcPr>
            <w:tcW w:w="1094" w:type="dxa"/>
            <w:shd w:val="clear" w:color="000000" w:fill="D6E3BC"/>
            <w:noWrap/>
            <w:vAlign w:val="center"/>
            <w:hideMark/>
          </w:tcPr>
          <w:p w:rsidR="00BB10F1" w:rsidRPr="003A5E95" w:rsidRDefault="00BB10F1" w:rsidP="00507035">
            <w:pPr>
              <w:jc w:val="center"/>
              <w:rPr>
                <w:rFonts w:ascii="Arial" w:hAnsi="Arial" w:cs="Arial"/>
                <w:b/>
                <w:bCs/>
                <w:color w:val="000000"/>
                <w:sz w:val="16"/>
                <w:szCs w:val="16"/>
              </w:rPr>
            </w:pPr>
            <w:r w:rsidRPr="003A5E95">
              <w:rPr>
                <w:rFonts w:ascii="Arial" w:hAnsi="Arial" w:cs="Arial"/>
                <w:b/>
                <w:bCs/>
                <w:color w:val="000000"/>
                <w:sz w:val="16"/>
                <w:szCs w:val="16"/>
              </w:rPr>
              <w:t>PO6</w:t>
            </w:r>
          </w:p>
        </w:tc>
        <w:tc>
          <w:tcPr>
            <w:tcW w:w="738" w:type="dxa"/>
            <w:shd w:val="clear" w:color="000000" w:fill="D6E3BC"/>
            <w:noWrap/>
            <w:vAlign w:val="center"/>
            <w:hideMark/>
          </w:tcPr>
          <w:p w:rsidR="00BB10F1" w:rsidRPr="003A5E95" w:rsidRDefault="00BB10F1" w:rsidP="00507035">
            <w:pPr>
              <w:jc w:val="center"/>
              <w:rPr>
                <w:rFonts w:ascii="Arial" w:hAnsi="Arial" w:cs="Arial"/>
                <w:b/>
                <w:bCs/>
                <w:color w:val="000000"/>
                <w:sz w:val="16"/>
                <w:szCs w:val="16"/>
              </w:rPr>
            </w:pPr>
            <w:r w:rsidRPr="003A5E95">
              <w:rPr>
                <w:rFonts w:ascii="Arial" w:hAnsi="Arial" w:cs="Arial"/>
                <w:b/>
                <w:bCs/>
                <w:color w:val="000000"/>
                <w:sz w:val="16"/>
                <w:szCs w:val="16"/>
              </w:rPr>
              <w:t>PO7</w:t>
            </w:r>
          </w:p>
        </w:tc>
        <w:tc>
          <w:tcPr>
            <w:tcW w:w="1251" w:type="dxa"/>
            <w:shd w:val="clear" w:color="000000" w:fill="D6E3BC"/>
            <w:noWrap/>
            <w:vAlign w:val="center"/>
            <w:hideMark/>
          </w:tcPr>
          <w:p w:rsidR="00BB10F1" w:rsidRPr="003A5E95" w:rsidRDefault="00BB10F1" w:rsidP="00507035">
            <w:pPr>
              <w:jc w:val="center"/>
              <w:rPr>
                <w:rFonts w:ascii="Arial" w:hAnsi="Arial" w:cs="Arial"/>
                <w:b/>
                <w:bCs/>
                <w:color w:val="000000"/>
                <w:sz w:val="16"/>
                <w:szCs w:val="16"/>
              </w:rPr>
            </w:pPr>
            <w:r w:rsidRPr="003A5E95">
              <w:rPr>
                <w:rFonts w:ascii="Arial" w:hAnsi="Arial" w:cs="Arial"/>
                <w:b/>
                <w:bCs/>
                <w:color w:val="000000"/>
                <w:sz w:val="16"/>
                <w:szCs w:val="16"/>
              </w:rPr>
              <w:t>Spolu</w:t>
            </w:r>
          </w:p>
        </w:tc>
      </w:tr>
      <w:tr w:rsidR="008E35B6" w:rsidRPr="003A5E95" w:rsidTr="008E35B6">
        <w:trPr>
          <w:trHeight w:val="325"/>
          <w:jc w:val="center"/>
        </w:trPr>
        <w:tc>
          <w:tcPr>
            <w:tcW w:w="1199" w:type="dxa"/>
            <w:shd w:val="clear" w:color="auto" w:fill="EAF1DD"/>
            <w:noWrap/>
            <w:vAlign w:val="center"/>
            <w:hideMark/>
          </w:tcPr>
          <w:p w:rsidR="008E35B6" w:rsidRPr="003A5E95" w:rsidRDefault="008E35B6" w:rsidP="00507035">
            <w:pPr>
              <w:jc w:val="center"/>
              <w:rPr>
                <w:rFonts w:ascii="Arial" w:hAnsi="Arial" w:cs="Arial"/>
                <w:b/>
                <w:bCs/>
                <w:color w:val="000000"/>
                <w:sz w:val="16"/>
                <w:szCs w:val="16"/>
              </w:rPr>
            </w:pPr>
            <w:r w:rsidRPr="003A5E95">
              <w:rPr>
                <w:rFonts w:ascii="Arial" w:hAnsi="Arial" w:cs="Arial"/>
                <w:b/>
                <w:bCs/>
                <w:color w:val="000000"/>
                <w:sz w:val="16"/>
                <w:szCs w:val="16"/>
              </w:rPr>
              <w:t>201</w:t>
            </w:r>
            <w:r>
              <w:rPr>
                <w:rFonts w:ascii="Arial" w:hAnsi="Arial" w:cs="Arial"/>
                <w:b/>
                <w:bCs/>
                <w:color w:val="000000"/>
                <w:sz w:val="16"/>
                <w:szCs w:val="16"/>
              </w:rPr>
              <w:t>1</w:t>
            </w:r>
          </w:p>
        </w:tc>
        <w:tc>
          <w:tcPr>
            <w:tcW w:w="1101" w:type="dxa"/>
            <w:noWrap/>
            <w:vAlign w:val="center"/>
            <w:hideMark/>
          </w:tcPr>
          <w:p w:rsidR="008E35B6" w:rsidRPr="003A5E95" w:rsidRDefault="008E35B6" w:rsidP="00507035">
            <w:pPr>
              <w:jc w:val="center"/>
              <w:rPr>
                <w:rFonts w:ascii="Arial" w:hAnsi="Arial" w:cs="Arial"/>
                <w:color w:val="000000"/>
                <w:sz w:val="16"/>
                <w:szCs w:val="16"/>
              </w:rPr>
            </w:pPr>
            <w:r>
              <w:rPr>
                <w:rFonts w:ascii="Arial" w:hAnsi="Arial" w:cs="Arial"/>
                <w:color w:val="000000"/>
                <w:sz w:val="16"/>
                <w:szCs w:val="16"/>
              </w:rPr>
              <w:t>605 159 566</w:t>
            </w:r>
          </w:p>
        </w:tc>
        <w:tc>
          <w:tcPr>
            <w:tcW w:w="1054" w:type="dxa"/>
            <w:noWrap/>
            <w:vAlign w:val="center"/>
            <w:hideMark/>
          </w:tcPr>
          <w:p w:rsidR="008E35B6" w:rsidRPr="003A5E95" w:rsidRDefault="008E35B6" w:rsidP="00507035">
            <w:pPr>
              <w:jc w:val="center"/>
              <w:rPr>
                <w:rFonts w:ascii="Arial" w:hAnsi="Arial" w:cs="Arial"/>
                <w:color w:val="000000"/>
                <w:sz w:val="16"/>
                <w:szCs w:val="16"/>
              </w:rPr>
            </w:pPr>
            <w:r>
              <w:rPr>
                <w:rFonts w:ascii="Arial" w:hAnsi="Arial" w:cs="Arial"/>
                <w:color w:val="000000"/>
                <w:sz w:val="16"/>
                <w:szCs w:val="16"/>
              </w:rPr>
              <w:t>87 439 132</w:t>
            </w:r>
          </w:p>
        </w:tc>
        <w:tc>
          <w:tcPr>
            <w:tcW w:w="1059" w:type="dxa"/>
            <w:noWrap/>
            <w:vAlign w:val="center"/>
            <w:hideMark/>
          </w:tcPr>
          <w:p w:rsidR="008E35B6" w:rsidRPr="003A5E95" w:rsidRDefault="008E35B6" w:rsidP="00507035">
            <w:pPr>
              <w:jc w:val="center"/>
              <w:rPr>
                <w:rFonts w:ascii="Arial" w:hAnsi="Arial" w:cs="Arial"/>
                <w:color w:val="000000"/>
                <w:sz w:val="16"/>
                <w:szCs w:val="16"/>
              </w:rPr>
            </w:pPr>
            <w:r>
              <w:rPr>
                <w:rFonts w:ascii="Arial" w:hAnsi="Arial" w:cs="Arial"/>
                <w:color w:val="000000"/>
                <w:sz w:val="16"/>
                <w:szCs w:val="16"/>
              </w:rPr>
              <w:t>143 829 599</w:t>
            </w:r>
          </w:p>
        </w:tc>
        <w:tc>
          <w:tcPr>
            <w:tcW w:w="1074" w:type="dxa"/>
            <w:noWrap/>
            <w:vAlign w:val="center"/>
            <w:hideMark/>
          </w:tcPr>
          <w:p w:rsidR="008E35B6" w:rsidRPr="003A5E95" w:rsidRDefault="008E35B6" w:rsidP="00507035">
            <w:pPr>
              <w:jc w:val="center"/>
              <w:rPr>
                <w:rFonts w:ascii="Arial" w:hAnsi="Arial" w:cs="Arial"/>
                <w:color w:val="000000"/>
                <w:sz w:val="16"/>
                <w:szCs w:val="16"/>
              </w:rPr>
            </w:pPr>
            <w:r>
              <w:rPr>
                <w:rFonts w:ascii="Arial" w:hAnsi="Arial" w:cs="Arial"/>
                <w:color w:val="000000"/>
                <w:sz w:val="16"/>
                <w:szCs w:val="16"/>
              </w:rPr>
              <w:t>309 378 267</w:t>
            </w:r>
          </w:p>
        </w:tc>
        <w:tc>
          <w:tcPr>
            <w:tcW w:w="1121" w:type="dxa"/>
            <w:noWrap/>
            <w:vAlign w:val="center"/>
            <w:hideMark/>
          </w:tcPr>
          <w:p w:rsidR="008E35B6" w:rsidRPr="003A5E95" w:rsidRDefault="008E35B6" w:rsidP="00507035">
            <w:pPr>
              <w:jc w:val="center"/>
              <w:rPr>
                <w:rFonts w:ascii="Arial" w:hAnsi="Arial" w:cs="Arial"/>
                <w:color w:val="000000"/>
                <w:sz w:val="16"/>
                <w:szCs w:val="16"/>
              </w:rPr>
            </w:pPr>
            <w:r>
              <w:rPr>
                <w:rFonts w:ascii="Arial" w:hAnsi="Arial" w:cs="Arial"/>
                <w:color w:val="000000"/>
                <w:sz w:val="16"/>
                <w:szCs w:val="16"/>
              </w:rPr>
              <w:t>45 388 312</w:t>
            </w:r>
          </w:p>
        </w:tc>
        <w:tc>
          <w:tcPr>
            <w:tcW w:w="1094" w:type="dxa"/>
            <w:noWrap/>
            <w:vAlign w:val="center"/>
            <w:hideMark/>
          </w:tcPr>
          <w:p w:rsidR="008E35B6" w:rsidRPr="003A5E95" w:rsidRDefault="008E35B6" w:rsidP="00507035">
            <w:pPr>
              <w:jc w:val="center"/>
              <w:rPr>
                <w:rFonts w:ascii="Arial" w:hAnsi="Arial" w:cs="Arial"/>
                <w:color w:val="000000"/>
                <w:sz w:val="16"/>
                <w:szCs w:val="16"/>
              </w:rPr>
            </w:pPr>
            <w:r>
              <w:rPr>
                <w:rFonts w:ascii="Arial" w:hAnsi="Arial" w:cs="Arial"/>
                <w:color w:val="000000"/>
                <w:sz w:val="16"/>
                <w:szCs w:val="16"/>
              </w:rPr>
              <w:t>31 940 656</w:t>
            </w:r>
          </w:p>
        </w:tc>
        <w:tc>
          <w:tcPr>
            <w:tcW w:w="738" w:type="dxa"/>
            <w:noWrap/>
            <w:vAlign w:val="center"/>
            <w:hideMark/>
          </w:tcPr>
          <w:p w:rsidR="008E35B6" w:rsidRPr="003A5E95" w:rsidRDefault="008E35B6" w:rsidP="00507035">
            <w:pPr>
              <w:jc w:val="center"/>
              <w:rPr>
                <w:rFonts w:ascii="Arial" w:hAnsi="Arial" w:cs="Arial"/>
                <w:color w:val="000000"/>
                <w:sz w:val="16"/>
                <w:szCs w:val="16"/>
              </w:rPr>
            </w:pPr>
            <w:r>
              <w:rPr>
                <w:rFonts w:ascii="Arial" w:hAnsi="Arial" w:cs="Arial"/>
                <w:color w:val="000000"/>
                <w:sz w:val="16"/>
                <w:szCs w:val="16"/>
              </w:rPr>
              <w:t>0</w:t>
            </w:r>
          </w:p>
        </w:tc>
        <w:tc>
          <w:tcPr>
            <w:tcW w:w="1251" w:type="dxa"/>
            <w:shd w:val="clear" w:color="auto" w:fill="EAF1DD"/>
            <w:noWrap/>
            <w:vAlign w:val="center"/>
            <w:hideMark/>
          </w:tcPr>
          <w:p w:rsidR="008E35B6" w:rsidRPr="003A5E95" w:rsidRDefault="008E35B6" w:rsidP="00507035">
            <w:pPr>
              <w:jc w:val="center"/>
              <w:rPr>
                <w:rFonts w:ascii="Arial" w:hAnsi="Arial" w:cs="Arial"/>
                <w:b/>
                <w:bCs/>
                <w:color w:val="000000"/>
                <w:sz w:val="16"/>
                <w:szCs w:val="16"/>
              </w:rPr>
            </w:pPr>
            <w:r>
              <w:rPr>
                <w:rFonts w:ascii="Arial" w:hAnsi="Arial" w:cs="Arial"/>
                <w:b/>
                <w:bCs/>
                <w:color w:val="000000"/>
                <w:sz w:val="16"/>
                <w:szCs w:val="16"/>
              </w:rPr>
              <w:t>1 223 135 531</w:t>
            </w:r>
          </w:p>
        </w:tc>
      </w:tr>
      <w:tr w:rsidR="008E35B6" w:rsidRPr="003A5E95" w:rsidTr="008E35B6">
        <w:trPr>
          <w:trHeight w:val="270"/>
          <w:jc w:val="center"/>
        </w:trPr>
        <w:tc>
          <w:tcPr>
            <w:tcW w:w="1199" w:type="dxa"/>
            <w:shd w:val="clear" w:color="auto" w:fill="EAF1DD"/>
            <w:noWrap/>
            <w:vAlign w:val="center"/>
            <w:hideMark/>
          </w:tcPr>
          <w:p w:rsidR="008E35B6" w:rsidRPr="003A5E95" w:rsidRDefault="008E35B6" w:rsidP="00507035">
            <w:pPr>
              <w:jc w:val="center"/>
              <w:rPr>
                <w:rFonts w:ascii="Arial" w:hAnsi="Arial" w:cs="Arial"/>
                <w:b/>
                <w:bCs/>
                <w:color w:val="000000"/>
                <w:sz w:val="16"/>
                <w:szCs w:val="16"/>
              </w:rPr>
            </w:pPr>
            <w:r w:rsidRPr="003A5E95">
              <w:rPr>
                <w:rFonts w:ascii="Arial" w:hAnsi="Arial" w:cs="Arial"/>
                <w:b/>
                <w:bCs/>
                <w:color w:val="000000"/>
                <w:sz w:val="16"/>
                <w:szCs w:val="16"/>
              </w:rPr>
              <w:t>201</w:t>
            </w:r>
            <w:r>
              <w:rPr>
                <w:rFonts w:ascii="Arial" w:hAnsi="Arial" w:cs="Arial"/>
                <w:b/>
                <w:bCs/>
                <w:color w:val="000000"/>
                <w:sz w:val="16"/>
                <w:szCs w:val="16"/>
              </w:rPr>
              <w:t>2</w:t>
            </w:r>
          </w:p>
        </w:tc>
        <w:tc>
          <w:tcPr>
            <w:tcW w:w="1101" w:type="dxa"/>
            <w:noWrap/>
            <w:vAlign w:val="center"/>
            <w:hideMark/>
          </w:tcPr>
          <w:p w:rsidR="008E35B6" w:rsidRPr="003A5E95" w:rsidRDefault="008E35B6" w:rsidP="00507035">
            <w:pPr>
              <w:jc w:val="center"/>
              <w:rPr>
                <w:rFonts w:ascii="Arial" w:hAnsi="Arial" w:cs="Arial"/>
                <w:color w:val="000000"/>
                <w:sz w:val="16"/>
                <w:szCs w:val="16"/>
              </w:rPr>
            </w:pPr>
            <w:r>
              <w:rPr>
                <w:rFonts w:ascii="Arial" w:hAnsi="Arial" w:cs="Arial"/>
                <w:color w:val="000000"/>
                <w:sz w:val="16"/>
                <w:szCs w:val="16"/>
              </w:rPr>
              <w:t>762 514 495</w:t>
            </w:r>
          </w:p>
        </w:tc>
        <w:tc>
          <w:tcPr>
            <w:tcW w:w="1054" w:type="dxa"/>
            <w:noWrap/>
            <w:vAlign w:val="center"/>
            <w:hideMark/>
          </w:tcPr>
          <w:p w:rsidR="008E35B6" w:rsidRPr="003A5E95" w:rsidRDefault="008E35B6" w:rsidP="00507035">
            <w:pPr>
              <w:jc w:val="center"/>
              <w:rPr>
                <w:rFonts w:ascii="Arial" w:hAnsi="Arial" w:cs="Arial"/>
                <w:color w:val="000000"/>
                <w:sz w:val="16"/>
                <w:szCs w:val="16"/>
              </w:rPr>
            </w:pPr>
            <w:r>
              <w:rPr>
                <w:rFonts w:ascii="Arial" w:hAnsi="Arial" w:cs="Arial"/>
                <w:color w:val="000000"/>
                <w:sz w:val="16"/>
                <w:szCs w:val="16"/>
              </w:rPr>
              <w:t>87 041 531</w:t>
            </w:r>
          </w:p>
        </w:tc>
        <w:tc>
          <w:tcPr>
            <w:tcW w:w="1059" w:type="dxa"/>
            <w:noWrap/>
            <w:vAlign w:val="center"/>
            <w:hideMark/>
          </w:tcPr>
          <w:p w:rsidR="008E35B6" w:rsidRPr="003A5E95" w:rsidRDefault="008E35B6" w:rsidP="00507035">
            <w:pPr>
              <w:jc w:val="center"/>
              <w:rPr>
                <w:rFonts w:ascii="Arial" w:hAnsi="Arial" w:cs="Arial"/>
                <w:color w:val="000000"/>
                <w:sz w:val="16"/>
                <w:szCs w:val="16"/>
              </w:rPr>
            </w:pPr>
            <w:r>
              <w:rPr>
                <w:rFonts w:ascii="Arial" w:hAnsi="Arial" w:cs="Arial"/>
                <w:color w:val="000000"/>
                <w:sz w:val="16"/>
                <w:szCs w:val="16"/>
              </w:rPr>
              <w:t>143 250 532</w:t>
            </w:r>
          </w:p>
        </w:tc>
        <w:tc>
          <w:tcPr>
            <w:tcW w:w="1074" w:type="dxa"/>
            <w:noWrap/>
            <w:vAlign w:val="center"/>
            <w:hideMark/>
          </w:tcPr>
          <w:p w:rsidR="008E35B6" w:rsidRPr="003A5E95" w:rsidRDefault="008E35B6" w:rsidP="00507035">
            <w:pPr>
              <w:jc w:val="center"/>
              <w:rPr>
                <w:rFonts w:ascii="Arial" w:hAnsi="Arial" w:cs="Arial"/>
                <w:color w:val="000000"/>
                <w:sz w:val="16"/>
                <w:szCs w:val="16"/>
              </w:rPr>
            </w:pPr>
            <w:r>
              <w:rPr>
                <w:rFonts w:ascii="Arial" w:hAnsi="Arial" w:cs="Arial"/>
                <w:color w:val="000000"/>
                <w:sz w:val="16"/>
                <w:szCs w:val="16"/>
              </w:rPr>
              <w:t>312 665 897</w:t>
            </w:r>
          </w:p>
        </w:tc>
        <w:tc>
          <w:tcPr>
            <w:tcW w:w="1121" w:type="dxa"/>
            <w:noWrap/>
            <w:vAlign w:val="center"/>
            <w:hideMark/>
          </w:tcPr>
          <w:p w:rsidR="008E35B6" w:rsidRPr="003A5E95" w:rsidRDefault="008E35B6" w:rsidP="00507035">
            <w:pPr>
              <w:jc w:val="center"/>
              <w:rPr>
                <w:rFonts w:ascii="Arial" w:hAnsi="Arial" w:cs="Arial"/>
                <w:color w:val="000000"/>
                <w:sz w:val="16"/>
                <w:szCs w:val="16"/>
              </w:rPr>
            </w:pPr>
            <w:r>
              <w:rPr>
                <w:rFonts w:ascii="Arial" w:hAnsi="Arial" w:cs="Arial"/>
                <w:color w:val="000000"/>
                <w:sz w:val="16"/>
                <w:szCs w:val="16"/>
              </w:rPr>
              <w:t>42 789 587</w:t>
            </w:r>
          </w:p>
        </w:tc>
        <w:tc>
          <w:tcPr>
            <w:tcW w:w="1094" w:type="dxa"/>
            <w:noWrap/>
            <w:vAlign w:val="center"/>
            <w:hideMark/>
          </w:tcPr>
          <w:p w:rsidR="008E35B6" w:rsidRPr="003A5E95" w:rsidRDefault="008E35B6" w:rsidP="00507035">
            <w:pPr>
              <w:jc w:val="center"/>
              <w:rPr>
                <w:rFonts w:ascii="Arial" w:hAnsi="Arial" w:cs="Arial"/>
                <w:color w:val="000000"/>
                <w:sz w:val="16"/>
                <w:szCs w:val="16"/>
              </w:rPr>
            </w:pPr>
            <w:r>
              <w:rPr>
                <w:rFonts w:ascii="Arial" w:hAnsi="Arial" w:cs="Arial"/>
                <w:color w:val="000000"/>
                <w:sz w:val="16"/>
                <w:szCs w:val="16"/>
              </w:rPr>
              <w:t>41 681 946</w:t>
            </w:r>
          </w:p>
        </w:tc>
        <w:tc>
          <w:tcPr>
            <w:tcW w:w="738" w:type="dxa"/>
            <w:noWrap/>
            <w:vAlign w:val="center"/>
            <w:hideMark/>
          </w:tcPr>
          <w:p w:rsidR="008E35B6" w:rsidRPr="003A5E95" w:rsidRDefault="008E35B6" w:rsidP="00507035">
            <w:pPr>
              <w:jc w:val="center"/>
              <w:rPr>
                <w:rFonts w:ascii="Arial" w:hAnsi="Arial" w:cs="Arial"/>
                <w:color w:val="000000"/>
                <w:sz w:val="16"/>
                <w:szCs w:val="16"/>
              </w:rPr>
            </w:pPr>
            <w:r>
              <w:rPr>
                <w:rFonts w:ascii="Arial" w:hAnsi="Arial" w:cs="Arial"/>
                <w:color w:val="000000"/>
                <w:sz w:val="16"/>
                <w:szCs w:val="16"/>
              </w:rPr>
              <w:t>0</w:t>
            </w:r>
          </w:p>
        </w:tc>
        <w:tc>
          <w:tcPr>
            <w:tcW w:w="1251" w:type="dxa"/>
            <w:shd w:val="clear" w:color="auto" w:fill="EAF1DD"/>
            <w:noWrap/>
            <w:vAlign w:val="center"/>
            <w:hideMark/>
          </w:tcPr>
          <w:p w:rsidR="008E35B6" w:rsidRPr="003A5E95" w:rsidRDefault="008E35B6" w:rsidP="00507035">
            <w:pPr>
              <w:jc w:val="center"/>
              <w:rPr>
                <w:rFonts w:ascii="Arial" w:hAnsi="Arial" w:cs="Arial"/>
                <w:b/>
                <w:bCs/>
                <w:color w:val="000000"/>
                <w:sz w:val="16"/>
                <w:szCs w:val="16"/>
              </w:rPr>
            </w:pPr>
            <w:r>
              <w:rPr>
                <w:rFonts w:ascii="Arial" w:hAnsi="Arial" w:cs="Arial"/>
                <w:b/>
                <w:bCs/>
                <w:color w:val="000000"/>
                <w:sz w:val="16"/>
                <w:szCs w:val="16"/>
              </w:rPr>
              <w:t>1 389 943 988</w:t>
            </w:r>
          </w:p>
        </w:tc>
      </w:tr>
      <w:tr w:rsidR="008E35B6" w:rsidRPr="003A5E95" w:rsidTr="008E35B6">
        <w:trPr>
          <w:trHeight w:val="358"/>
          <w:jc w:val="center"/>
        </w:trPr>
        <w:tc>
          <w:tcPr>
            <w:tcW w:w="1199" w:type="dxa"/>
            <w:shd w:val="clear" w:color="auto" w:fill="EAF1DD"/>
            <w:noWrap/>
            <w:vAlign w:val="center"/>
            <w:hideMark/>
          </w:tcPr>
          <w:p w:rsidR="008E35B6" w:rsidRPr="003A5E95" w:rsidRDefault="008E35B6" w:rsidP="00507035">
            <w:pPr>
              <w:jc w:val="center"/>
              <w:rPr>
                <w:rFonts w:ascii="Arial" w:hAnsi="Arial" w:cs="Arial"/>
                <w:b/>
                <w:bCs/>
                <w:color w:val="000000"/>
                <w:sz w:val="16"/>
                <w:szCs w:val="16"/>
              </w:rPr>
            </w:pPr>
            <w:r w:rsidRPr="003A5E95">
              <w:rPr>
                <w:rFonts w:ascii="Arial" w:hAnsi="Arial" w:cs="Arial"/>
                <w:b/>
                <w:bCs/>
                <w:color w:val="000000"/>
                <w:sz w:val="16"/>
                <w:szCs w:val="16"/>
              </w:rPr>
              <w:t>Nárast/Pokles</w:t>
            </w:r>
          </w:p>
        </w:tc>
        <w:tc>
          <w:tcPr>
            <w:tcW w:w="1101" w:type="dxa"/>
            <w:noWrap/>
            <w:vAlign w:val="center"/>
            <w:hideMark/>
          </w:tcPr>
          <w:p w:rsidR="008E35B6" w:rsidRPr="003A5E95" w:rsidRDefault="008E35B6" w:rsidP="00507035">
            <w:pPr>
              <w:jc w:val="center"/>
              <w:rPr>
                <w:rFonts w:ascii="Arial" w:hAnsi="Arial" w:cs="Arial"/>
                <w:color w:val="000000"/>
                <w:sz w:val="16"/>
                <w:szCs w:val="16"/>
              </w:rPr>
            </w:pPr>
            <w:r>
              <w:rPr>
                <w:rFonts w:ascii="Arial" w:hAnsi="Arial" w:cs="Arial"/>
                <w:color w:val="000000"/>
                <w:sz w:val="16"/>
                <w:szCs w:val="16"/>
              </w:rPr>
              <w:t>157 354 930</w:t>
            </w:r>
          </w:p>
        </w:tc>
        <w:tc>
          <w:tcPr>
            <w:tcW w:w="1054" w:type="dxa"/>
            <w:noWrap/>
            <w:vAlign w:val="center"/>
            <w:hideMark/>
          </w:tcPr>
          <w:p w:rsidR="008E35B6" w:rsidRPr="003A5E95" w:rsidRDefault="008E35B6" w:rsidP="00507035">
            <w:pPr>
              <w:jc w:val="center"/>
              <w:rPr>
                <w:rFonts w:ascii="Arial" w:hAnsi="Arial" w:cs="Arial"/>
                <w:color w:val="000000"/>
                <w:sz w:val="16"/>
                <w:szCs w:val="16"/>
              </w:rPr>
            </w:pPr>
            <w:r>
              <w:rPr>
                <w:rFonts w:ascii="Arial" w:hAnsi="Arial" w:cs="Arial"/>
                <w:color w:val="000000"/>
                <w:sz w:val="16"/>
                <w:szCs w:val="16"/>
              </w:rPr>
              <w:t>-397 601</w:t>
            </w:r>
          </w:p>
        </w:tc>
        <w:tc>
          <w:tcPr>
            <w:tcW w:w="1059" w:type="dxa"/>
            <w:noWrap/>
            <w:vAlign w:val="center"/>
            <w:hideMark/>
          </w:tcPr>
          <w:p w:rsidR="008E35B6" w:rsidRPr="003A5E95" w:rsidRDefault="008E35B6" w:rsidP="00507035">
            <w:pPr>
              <w:jc w:val="center"/>
              <w:rPr>
                <w:rFonts w:ascii="Arial" w:hAnsi="Arial" w:cs="Arial"/>
                <w:color w:val="000000"/>
                <w:sz w:val="16"/>
                <w:szCs w:val="16"/>
              </w:rPr>
            </w:pPr>
            <w:r>
              <w:rPr>
                <w:rFonts w:ascii="Arial" w:hAnsi="Arial" w:cs="Arial"/>
                <w:color w:val="000000"/>
                <w:sz w:val="16"/>
                <w:szCs w:val="16"/>
              </w:rPr>
              <w:t>-579 067</w:t>
            </w:r>
          </w:p>
        </w:tc>
        <w:tc>
          <w:tcPr>
            <w:tcW w:w="1074" w:type="dxa"/>
            <w:noWrap/>
            <w:vAlign w:val="center"/>
            <w:hideMark/>
          </w:tcPr>
          <w:p w:rsidR="008E35B6" w:rsidRPr="003A5E95" w:rsidRDefault="008E35B6" w:rsidP="00507035">
            <w:pPr>
              <w:jc w:val="center"/>
              <w:rPr>
                <w:rFonts w:ascii="Arial" w:hAnsi="Arial" w:cs="Arial"/>
                <w:color w:val="000000"/>
                <w:sz w:val="16"/>
                <w:szCs w:val="16"/>
              </w:rPr>
            </w:pPr>
            <w:r>
              <w:rPr>
                <w:rFonts w:ascii="Arial" w:hAnsi="Arial" w:cs="Arial"/>
                <w:color w:val="000000"/>
                <w:sz w:val="16"/>
                <w:szCs w:val="16"/>
              </w:rPr>
              <w:t>3 287 630</w:t>
            </w:r>
          </w:p>
        </w:tc>
        <w:tc>
          <w:tcPr>
            <w:tcW w:w="1121" w:type="dxa"/>
            <w:noWrap/>
            <w:vAlign w:val="center"/>
            <w:hideMark/>
          </w:tcPr>
          <w:p w:rsidR="008E35B6" w:rsidRPr="003A5E95" w:rsidRDefault="008E35B6" w:rsidP="00507035">
            <w:pPr>
              <w:jc w:val="center"/>
              <w:rPr>
                <w:rFonts w:ascii="Arial" w:hAnsi="Arial" w:cs="Arial"/>
                <w:sz w:val="16"/>
                <w:szCs w:val="16"/>
              </w:rPr>
            </w:pPr>
            <w:r>
              <w:rPr>
                <w:rFonts w:ascii="Arial" w:hAnsi="Arial" w:cs="Arial"/>
                <w:color w:val="000000"/>
                <w:sz w:val="16"/>
                <w:szCs w:val="16"/>
              </w:rPr>
              <w:t>-2 598 725</w:t>
            </w:r>
          </w:p>
        </w:tc>
        <w:tc>
          <w:tcPr>
            <w:tcW w:w="1094" w:type="dxa"/>
            <w:noWrap/>
            <w:vAlign w:val="center"/>
            <w:hideMark/>
          </w:tcPr>
          <w:p w:rsidR="008E35B6" w:rsidRPr="003A5E95" w:rsidRDefault="008E35B6" w:rsidP="00507035">
            <w:pPr>
              <w:jc w:val="center"/>
              <w:rPr>
                <w:rFonts w:ascii="Arial" w:hAnsi="Arial" w:cs="Arial"/>
                <w:color w:val="000000"/>
                <w:sz w:val="16"/>
                <w:szCs w:val="16"/>
              </w:rPr>
            </w:pPr>
            <w:r>
              <w:rPr>
                <w:rFonts w:ascii="Arial" w:hAnsi="Arial" w:cs="Arial"/>
                <w:color w:val="000000"/>
                <w:sz w:val="16"/>
                <w:szCs w:val="16"/>
              </w:rPr>
              <w:t>9 741 290</w:t>
            </w:r>
          </w:p>
        </w:tc>
        <w:tc>
          <w:tcPr>
            <w:tcW w:w="738" w:type="dxa"/>
            <w:noWrap/>
            <w:vAlign w:val="center"/>
            <w:hideMark/>
          </w:tcPr>
          <w:p w:rsidR="008E35B6" w:rsidRPr="003A5E95" w:rsidRDefault="008E35B6" w:rsidP="00507035">
            <w:pPr>
              <w:jc w:val="center"/>
              <w:rPr>
                <w:rFonts w:ascii="Arial" w:hAnsi="Arial" w:cs="Arial"/>
                <w:color w:val="000000"/>
                <w:sz w:val="16"/>
                <w:szCs w:val="16"/>
              </w:rPr>
            </w:pPr>
            <w:r>
              <w:rPr>
                <w:rFonts w:ascii="Arial" w:hAnsi="Arial" w:cs="Arial"/>
                <w:color w:val="000000"/>
                <w:sz w:val="16"/>
                <w:szCs w:val="16"/>
              </w:rPr>
              <w:t>0</w:t>
            </w:r>
          </w:p>
        </w:tc>
        <w:tc>
          <w:tcPr>
            <w:tcW w:w="1251" w:type="dxa"/>
            <w:shd w:val="clear" w:color="auto" w:fill="EAF1DD"/>
            <w:noWrap/>
            <w:vAlign w:val="center"/>
            <w:hideMark/>
          </w:tcPr>
          <w:p w:rsidR="008E35B6" w:rsidRPr="003A5E95" w:rsidRDefault="008E35B6" w:rsidP="00507035">
            <w:pPr>
              <w:jc w:val="center"/>
              <w:rPr>
                <w:rFonts w:ascii="Arial" w:hAnsi="Arial" w:cs="Arial"/>
                <w:b/>
                <w:bCs/>
                <w:color w:val="000000"/>
                <w:sz w:val="16"/>
                <w:szCs w:val="16"/>
              </w:rPr>
            </w:pPr>
            <w:r>
              <w:rPr>
                <w:rFonts w:ascii="Arial" w:hAnsi="Arial" w:cs="Arial"/>
                <w:b/>
                <w:bCs/>
                <w:color w:val="000000"/>
                <w:sz w:val="16"/>
                <w:szCs w:val="16"/>
              </w:rPr>
              <w:t>166 808 457</w:t>
            </w:r>
          </w:p>
        </w:tc>
      </w:tr>
      <w:tr w:rsidR="008E35B6" w:rsidRPr="003A5E95" w:rsidTr="008E35B6">
        <w:trPr>
          <w:trHeight w:val="324"/>
          <w:jc w:val="center"/>
        </w:trPr>
        <w:tc>
          <w:tcPr>
            <w:tcW w:w="1199" w:type="dxa"/>
            <w:shd w:val="clear" w:color="auto" w:fill="EAF1DD"/>
            <w:noWrap/>
            <w:vAlign w:val="center"/>
            <w:hideMark/>
          </w:tcPr>
          <w:p w:rsidR="008E35B6" w:rsidRPr="003A5E95" w:rsidRDefault="008E35B6" w:rsidP="00507035">
            <w:pPr>
              <w:jc w:val="center"/>
              <w:rPr>
                <w:rFonts w:ascii="Arial" w:hAnsi="Arial" w:cs="Arial"/>
                <w:b/>
                <w:bCs/>
                <w:color w:val="000000"/>
                <w:sz w:val="16"/>
                <w:szCs w:val="16"/>
              </w:rPr>
            </w:pPr>
            <w:r w:rsidRPr="003A5E95">
              <w:rPr>
                <w:rFonts w:ascii="Arial" w:hAnsi="Arial" w:cs="Arial"/>
                <w:b/>
                <w:bCs/>
                <w:color w:val="000000"/>
                <w:sz w:val="16"/>
                <w:szCs w:val="16"/>
              </w:rPr>
              <w:t>% vyjadrenie</w:t>
            </w:r>
          </w:p>
        </w:tc>
        <w:tc>
          <w:tcPr>
            <w:tcW w:w="1101" w:type="dxa"/>
            <w:shd w:val="clear" w:color="000000" w:fill="EAF1DD"/>
            <w:noWrap/>
            <w:vAlign w:val="center"/>
            <w:hideMark/>
          </w:tcPr>
          <w:p w:rsidR="008E35B6" w:rsidRPr="003A5E95" w:rsidRDefault="008E35B6" w:rsidP="00507035">
            <w:pPr>
              <w:jc w:val="center"/>
              <w:rPr>
                <w:rFonts w:ascii="Arial" w:hAnsi="Arial" w:cs="Arial"/>
                <w:b/>
                <w:color w:val="000000"/>
                <w:sz w:val="16"/>
                <w:szCs w:val="16"/>
              </w:rPr>
            </w:pPr>
            <w:r>
              <w:rPr>
                <w:rFonts w:ascii="Arial" w:hAnsi="Arial" w:cs="Arial"/>
                <w:b/>
                <w:bCs/>
                <w:color w:val="000000"/>
                <w:sz w:val="16"/>
                <w:szCs w:val="16"/>
              </w:rPr>
              <w:t>26,00%</w:t>
            </w:r>
          </w:p>
        </w:tc>
        <w:tc>
          <w:tcPr>
            <w:tcW w:w="1054" w:type="dxa"/>
            <w:shd w:val="clear" w:color="000000" w:fill="EAF1DD"/>
            <w:noWrap/>
            <w:vAlign w:val="center"/>
            <w:hideMark/>
          </w:tcPr>
          <w:p w:rsidR="008E35B6" w:rsidRPr="003A5E95" w:rsidRDefault="008E35B6" w:rsidP="00507035">
            <w:pPr>
              <w:jc w:val="center"/>
              <w:rPr>
                <w:rFonts w:ascii="Arial" w:hAnsi="Arial" w:cs="Arial"/>
                <w:b/>
                <w:color w:val="000000"/>
                <w:sz w:val="16"/>
                <w:szCs w:val="16"/>
              </w:rPr>
            </w:pPr>
            <w:r>
              <w:rPr>
                <w:rFonts w:ascii="Arial" w:hAnsi="Arial" w:cs="Arial"/>
                <w:b/>
                <w:bCs/>
                <w:color w:val="000000"/>
                <w:sz w:val="16"/>
                <w:szCs w:val="16"/>
              </w:rPr>
              <w:t>-0,45%</w:t>
            </w:r>
          </w:p>
        </w:tc>
        <w:tc>
          <w:tcPr>
            <w:tcW w:w="1059" w:type="dxa"/>
            <w:shd w:val="clear" w:color="000000" w:fill="EAF1DD"/>
            <w:noWrap/>
            <w:vAlign w:val="center"/>
            <w:hideMark/>
          </w:tcPr>
          <w:p w:rsidR="008E35B6" w:rsidRPr="003A5E95" w:rsidRDefault="008E35B6" w:rsidP="00507035">
            <w:pPr>
              <w:jc w:val="center"/>
              <w:rPr>
                <w:rFonts w:ascii="Arial" w:hAnsi="Arial" w:cs="Arial"/>
                <w:b/>
                <w:color w:val="000000"/>
                <w:sz w:val="16"/>
                <w:szCs w:val="16"/>
              </w:rPr>
            </w:pPr>
            <w:r>
              <w:rPr>
                <w:rFonts w:ascii="Arial" w:hAnsi="Arial" w:cs="Arial"/>
                <w:b/>
                <w:bCs/>
                <w:color w:val="000000"/>
                <w:sz w:val="16"/>
                <w:szCs w:val="16"/>
              </w:rPr>
              <w:t>-0,40%</w:t>
            </w:r>
          </w:p>
        </w:tc>
        <w:tc>
          <w:tcPr>
            <w:tcW w:w="1074" w:type="dxa"/>
            <w:shd w:val="clear" w:color="000000" w:fill="EAF1DD"/>
            <w:noWrap/>
            <w:vAlign w:val="center"/>
            <w:hideMark/>
          </w:tcPr>
          <w:p w:rsidR="008E35B6" w:rsidRPr="003A5E95" w:rsidRDefault="008E35B6" w:rsidP="00507035">
            <w:pPr>
              <w:jc w:val="center"/>
              <w:rPr>
                <w:rFonts w:ascii="Arial" w:hAnsi="Arial" w:cs="Arial"/>
                <w:b/>
                <w:color w:val="000000"/>
                <w:sz w:val="16"/>
                <w:szCs w:val="16"/>
              </w:rPr>
            </w:pPr>
            <w:r>
              <w:rPr>
                <w:rFonts w:ascii="Arial" w:hAnsi="Arial" w:cs="Arial"/>
                <w:b/>
                <w:bCs/>
                <w:color w:val="000000"/>
                <w:sz w:val="16"/>
                <w:szCs w:val="16"/>
              </w:rPr>
              <w:t>1,06%</w:t>
            </w:r>
          </w:p>
        </w:tc>
        <w:tc>
          <w:tcPr>
            <w:tcW w:w="1121" w:type="dxa"/>
            <w:shd w:val="clear" w:color="000000" w:fill="EAF1DD"/>
            <w:noWrap/>
            <w:vAlign w:val="center"/>
            <w:hideMark/>
          </w:tcPr>
          <w:p w:rsidR="008E35B6" w:rsidRPr="003A5E95" w:rsidRDefault="008E35B6" w:rsidP="00507035">
            <w:pPr>
              <w:jc w:val="center"/>
              <w:rPr>
                <w:rFonts w:ascii="Arial" w:hAnsi="Arial" w:cs="Arial"/>
                <w:b/>
                <w:sz w:val="16"/>
                <w:szCs w:val="16"/>
              </w:rPr>
            </w:pPr>
            <w:r>
              <w:rPr>
                <w:rFonts w:ascii="Arial" w:hAnsi="Arial" w:cs="Arial"/>
                <w:b/>
                <w:bCs/>
                <w:color w:val="000000"/>
                <w:sz w:val="16"/>
                <w:szCs w:val="16"/>
              </w:rPr>
              <w:t>-5,73%</w:t>
            </w:r>
          </w:p>
        </w:tc>
        <w:tc>
          <w:tcPr>
            <w:tcW w:w="1094" w:type="dxa"/>
            <w:shd w:val="clear" w:color="000000" w:fill="EAF1DD"/>
            <w:noWrap/>
            <w:vAlign w:val="center"/>
            <w:hideMark/>
          </w:tcPr>
          <w:p w:rsidR="008E35B6" w:rsidRPr="003A5E95" w:rsidRDefault="008E35B6" w:rsidP="00507035">
            <w:pPr>
              <w:jc w:val="center"/>
              <w:rPr>
                <w:rFonts w:ascii="Arial" w:hAnsi="Arial" w:cs="Arial"/>
                <w:b/>
                <w:color w:val="000000"/>
                <w:sz w:val="16"/>
                <w:szCs w:val="16"/>
              </w:rPr>
            </w:pPr>
            <w:r>
              <w:rPr>
                <w:rFonts w:ascii="Arial" w:hAnsi="Arial" w:cs="Arial"/>
                <w:b/>
                <w:bCs/>
                <w:color w:val="000000"/>
                <w:sz w:val="16"/>
                <w:szCs w:val="16"/>
              </w:rPr>
              <w:t>30,50%</w:t>
            </w:r>
          </w:p>
        </w:tc>
        <w:tc>
          <w:tcPr>
            <w:tcW w:w="738" w:type="dxa"/>
            <w:shd w:val="clear" w:color="000000" w:fill="EAF1DD"/>
            <w:noWrap/>
            <w:vAlign w:val="center"/>
            <w:hideMark/>
          </w:tcPr>
          <w:p w:rsidR="008E35B6" w:rsidRPr="003A5E95" w:rsidRDefault="008E35B6" w:rsidP="00507035">
            <w:pPr>
              <w:jc w:val="center"/>
              <w:rPr>
                <w:rFonts w:ascii="Arial" w:hAnsi="Arial" w:cs="Arial"/>
                <w:b/>
                <w:color w:val="000000"/>
                <w:sz w:val="16"/>
                <w:szCs w:val="16"/>
              </w:rPr>
            </w:pPr>
            <w:r>
              <w:rPr>
                <w:rFonts w:ascii="Arial" w:hAnsi="Arial" w:cs="Arial"/>
                <w:b/>
                <w:bCs/>
                <w:color w:val="000000"/>
                <w:sz w:val="16"/>
                <w:szCs w:val="16"/>
              </w:rPr>
              <w:t>0,00%</w:t>
            </w:r>
          </w:p>
        </w:tc>
        <w:tc>
          <w:tcPr>
            <w:tcW w:w="1251" w:type="dxa"/>
            <w:shd w:val="clear" w:color="000000" w:fill="EAF1DD"/>
            <w:noWrap/>
            <w:vAlign w:val="center"/>
            <w:hideMark/>
          </w:tcPr>
          <w:p w:rsidR="008E35B6" w:rsidRPr="003A5E95" w:rsidRDefault="008E35B6" w:rsidP="00507035">
            <w:pPr>
              <w:jc w:val="center"/>
              <w:rPr>
                <w:rFonts w:ascii="Arial" w:hAnsi="Arial" w:cs="Arial"/>
                <w:b/>
                <w:bCs/>
                <w:color w:val="000000"/>
                <w:sz w:val="16"/>
                <w:szCs w:val="16"/>
              </w:rPr>
            </w:pPr>
            <w:r>
              <w:rPr>
                <w:rFonts w:ascii="Arial" w:hAnsi="Arial" w:cs="Arial"/>
                <w:b/>
                <w:bCs/>
                <w:color w:val="000000"/>
                <w:sz w:val="16"/>
                <w:szCs w:val="16"/>
              </w:rPr>
              <w:t>13,64%</w:t>
            </w:r>
          </w:p>
        </w:tc>
      </w:tr>
    </w:tbl>
    <w:p w:rsidR="00BB10F1" w:rsidRDefault="00BB10F1" w:rsidP="00507035">
      <w:pPr>
        <w:spacing w:before="120" w:after="120" w:line="360" w:lineRule="auto"/>
        <w:jc w:val="both"/>
        <w:rPr>
          <w:rFonts w:ascii="Arial" w:hAnsi="Arial" w:cs="Arial"/>
          <w:sz w:val="20"/>
          <w:szCs w:val="20"/>
          <w:lang w:eastAsia="en-US"/>
        </w:rPr>
      </w:pPr>
      <w:r w:rsidRPr="003A5E95">
        <w:rPr>
          <w:rFonts w:ascii="Arial" w:hAnsi="Arial" w:cs="Arial"/>
          <w:sz w:val="18"/>
          <w:szCs w:val="18"/>
          <w:lang w:eastAsia="en-US"/>
        </w:rPr>
        <w:t>Zdroj: RO</w:t>
      </w:r>
    </w:p>
    <w:p w:rsidR="00F223E8" w:rsidRDefault="002240B0" w:rsidP="00507035">
      <w:pPr>
        <w:spacing w:before="120" w:after="120" w:line="360" w:lineRule="auto"/>
        <w:jc w:val="both"/>
        <w:rPr>
          <w:rFonts w:ascii="Arial" w:hAnsi="Arial" w:cs="Arial"/>
          <w:sz w:val="20"/>
          <w:szCs w:val="20"/>
          <w:lang w:eastAsia="en-US"/>
        </w:rPr>
      </w:pPr>
      <w:r>
        <w:rPr>
          <w:rFonts w:ascii="Arial" w:hAnsi="Arial" w:cs="Arial"/>
          <w:sz w:val="20"/>
          <w:szCs w:val="20"/>
          <w:lang w:eastAsia="en-US"/>
        </w:rPr>
        <w:tab/>
      </w:r>
      <w:r w:rsidR="002416B1">
        <w:rPr>
          <w:rFonts w:ascii="Tw Cen MT" w:hAnsi="Tw Cen MT"/>
          <w:i/>
          <w:sz w:val="18"/>
          <w:szCs w:val="18"/>
          <w:lang w:eastAsia="en-US"/>
        </w:rPr>
        <w:tab/>
      </w:r>
      <w:r w:rsidR="002416B1">
        <w:rPr>
          <w:rFonts w:ascii="Tw Cen MT" w:hAnsi="Tw Cen MT"/>
          <w:i/>
          <w:sz w:val="18"/>
          <w:szCs w:val="18"/>
          <w:lang w:eastAsia="en-US"/>
        </w:rPr>
        <w:tab/>
      </w:r>
      <w:r w:rsidR="00F223E8">
        <w:rPr>
          <w:rFonts w:ascii="Arial" w:hAnsi="Arial" w:cs="Arial"/>
          <w:sz w:val="20"/>
          <w:szCs w:val="20"/>
          <w:lang w:eastAsia="en-US"/>
        </w:rPr>
        <w:t xml:space="preserve">Najvýraznejší pokrok v zazmluvnení (pokiaľ neberieme do úvahy PO 6) dosiahla v roku 2012 PO 1. Uvedená skutočnosť vyplýva predovšetkým zo zazmluvnenia veľkých projektov schválených EK </w:t>
      </w:r>
      <w:r w:rsidR="002F1249">
        <w:rPr>
          <w:rFonts w:ascii="Arial" w:hAnsi="Arial" w:cs="Arial"/>
          <w:sz w:val="20"/>
          <w:szCs w:val="20"/>
          <w:lang w:eastAsia="en-US"/>
        </w:rPr>
        <w:t>(viď kapitola č. 5 Veľké projekty) a zazmluvnenia projektov,</w:t>
      </w:r>
      <w:r w:rsidR="0065606B">
        <w:rPr>
          <w:rFonts w:ascii="Arial" w:hAnsi="Arial" w:cs="Arial"/>
          <w:sz w:val="20"/>
          <w:szCs w:val="20"/>
          <w:lang w:eastAsia="en-US"/>
        </w:rPr>
        <w:t xml:space="preserve"> na ktoré bola </w:t>
      </w:r>
      <w:r w:rsidR="002F1249">
        <w:rPr>
          <w:rFonts w:ascii="Arial" w:hAnsi="Arial" w:cs="Arial"/>
          <w:sz w:val="20"/>
          <w:szCs w:val="20"/>
          <w:lang w:eastAsia="en-US"/>
        </w:rPr>
        <w:t>výzva vyhlásená ešte v roku 2011</w:t>
      </w:r>
      <w:r w:rsidR="00563CA2">
        <w:rPr>
          <w:rFonts w:ascii="Arial" w:hAnsi="Arial" w:cs="Arial"/>
          <w:sz w:val="20"/>
          <w:szCs w:val="20"/>
          <w:lang w:eastAsia="en-US"/>
        </w:rPr>
        <w:t xml:space="preserve">, pričom </w:t>
      </w:r>
      <w:r w:rsidR="002F1249">
        <w:rPr>
          <w:rFonts w:ascii="Arial" w:hAnsi="Arial" w:cs="Arial"/>
          <w:sz w:val="20"/>
          <w:szCs w:val="20"/>
          <w:lang w:eastAsia="en-US"/>
        </w:rPr>
        <w:t>k zazmluvneniu došlo až v</w:t>
      </w:r>
      <w:r w:rsidR="00372447">
        <w:rPr>
          <w:rFonts w:ascii="Arial" w:hAnsi="Arial" w:cs="Arial"/>
          <w:sz w:val="20"/>
          <w:szCs w:val="20"/>
          <w:lang w:eastAsia="en-US"/>
        </w:rPr>
        <w:t xml:space="preserve"> priebehu </w:t>
      </w:r>
      <w:r w:rsidR="002F1249">
        <w:rPr>
          <w:rFonts w:ascii="Arial" w:hAnsi="Arial" w:cs="Arial"/>
          <w:sz w:val="20"/>
          <w:szCs w:val="20"/>
          <w:lang w:eastAsia="en-US"/>
        </w:rPr>
        <w:t xml:space="preserve">roku 2012. </w:t>
      </w:r>
      <w:r w:rsidR="00563CA2">
        <w:rPr>
          <w:rFonts w:ascii="Arial" w:hAnsi="Arial" w:cs="Arial"/>
          <w:sz w:val="20"/>
          <w:szCs w:val="20"/>
          <w:lang w:eastAsia="en-US"/>
        </w:rPr>
        <w:t xml:space="preserve">Mierny nárast zazmluvňovania v rámci </w:t>
      </w:r>
      <w:r w:rsidR="00372447">
        <w:rPr>
          <w:rFonts w:ascii="Arial" w:hAnsi="Arial" w:cs="Arial"/>
          <w:sz w:val="20"/>
          <w:szCs w:val="20"/>
          <w:lang w:eastAsia="en-US"/>
        </w:rPr>
        <w:t xml:space="preserve">nastal v rámci PO 4, </w:t>
      </w:r>
      <w:r w:rsidR="00563CA2">
        <w:rPr>
          <w:rFonts w:ascii="Arial" w:hAnsi="Arial" w:cs="Arial"/>
          <w:sz w:val="20"/>
          <w:szCs w:val="20"/>
          <w:lang w:eastAsia="en-US"/>
        </w:rPr>
        <w:t>ktorý vyplýval z charakteru výziev a schválených projektov (viď kapitola č. 3.4)</w:t>
      </w:r>
      <w:r w:rsidR="00372447">
        <w:rPr>
          <w:rFonts w:ascii="Arial" w:hAnsi="Arial" w:cs="Arial"/>
          <w:sz w:val="20"/>
          <w:szCs w:val="20"/>
          <w:lang w:eastAsia="en-US"/>
        </w:rPr>
        <w:t>.</w:t>
      </w:r>
    </w:p>
    <w:p w:rsidR="0065606B" w:rsidRDefault="0065606B" w:rsidP="00507035">
      <w:pPr>
        <w:spacing w:before="120" w:after="120" w:line="360" w:lineRule="auto"/>
        <w:jc w:val="both"/>
        <w:rPr>
          <w:rFonts w:ascii="Arial" w:hAnsi="Arial" w:cs="Arial"/>
          <w:sz w:val="20"/>
          <w:szCs w:val="20"/>
          <w:lang w:eastAsia="en-US"/>
        </w:rPr>
      </w:pPr>
      <w:r>
        <w:rPr>
          <w:rFonts w:ascii="Arial" w:hAnsi="Arial" w:cs="Arial"/>
          <w:sz w:val="20"/>
          <w:szCs w:val="20"/>
          <w:lang w:eastAsia="en-US"/>
        </w:rPr>
        <w:t>Pokles v úrovni zazmluvňovania v rámci PO 2 bol spôsobený tým, že v rámci vyhlásenej výzvy č.</w:t>
      </w:r>
      <w:r w:rsidR="00372447">
        <w:rPr>
          <w:rFonts w:ascii="Arial" w:hAnsi="Arial" w:cs="Arial"/>
          <w:sz w:val="20"/>
          <w:szCs w:val="20"/>
          <w:lang w:eastAsia="en-US"/>
        </w:rPr>
        <w:t> </w:t>
      </w:r>
      <w:r>
        <w:rPr>
          <w:rFonts w:ascii="Arial" w:hAnsi="Arial" w:cs="Arial"/>
          <w:sz w:val="20"/>
          <w:szCs w:val="20"/>
          <w:lang w:eastAsia="en-US"/>
        </w:rPr>
        <w:t>OPŽP-PO2-11-1 nebola predložená žiadna žiadosť o NFP, pokles v rámci PO 3 bol spôsobený tým, že nebola vyhlásená žiadna výzva na predkladanie žiadostí o</w:t>
      </w:r>
      <w:r w:rsidR="00A07417">
        <w:rPr>
          <w:rFonts w:ascii="Arial" w:hAnsi="Arial" w:cs="Arial"/>
          <w:sz w:val="20"/>
          <w:szCs w:val="20"/>
          <w:lang w:eastAsia="en-US"/>
        </w:rPr>
        <w:t xml:space="preserve"> </w:t>
      </w:r>
      <w:r>
        <w:rPr>
          <w:rFonts w:ascii="Arial" w:hAnsi="Arial" w:cs="Arial"/>
          <w:sz w:val="20"/>
          <w:szCs w:val="20"/>
          <w:lang w:eastAsia="en-US"/>
        </w:rPr>
        <w:t>NFP a v rámci PO 5 bol pokles spôsobený tým, že výzva na predkladanie žiadostí o NFP OPŽP-PO5-12-1 bola vyhlásená až v novembri 2012 a ku konca roka 2012 nebola uzatvorená (uzatvorená bola 04.03.2013).</w:t>
      </w:r>
    </w:p>
    <w:p w:rsidR="00172EE5" w:rsidRDefault="003F43DE" w:rsidP="00507035">
      <w:pPr>
        <w:spacing w:before="120" w:after="120" w:line="360" w:lineRule="auto"/>
        <w:jc w:val="both"/>
        <w:rPr>
          <w:rFonts w:ascii="Arial" w:hAnsi="Arial" w:cs="Arial"/>
          <w:sz w:val="20"/>
          <w:szCs w:val="20"/>
          <w:lang w:eastAsia="en-US"/>
        </w:rPr>
      </w:pPr>
      <w:r w:rsidRPr="002E0775">
        <w:rPr>
          <w:rFonts w:ascii="Arial" w:hAnsi="Arial" w:cs="Arial"/>
          <w:sz w:val="20"/>
          <w:szCs w:val="20"/>
          <w:lang w:eastAsia="en-US"/>
        </w:rPr>
        <w:t xml:space="preserve">V rámci </w:t>
      </w:r>
      <w:r w:rsidR="00563CA2">
        <w:rPr>
          <w:rFonts w:ascii="Arial" w:hAnsi="Arial" w:cs="Arial"/>
          <w:sz w:val="20"/>
          <w:szCs w:val="20"/>
          <w:lang w:eastAsia="en-US"/>
        </w:rPr>
        <w:t>PO</w:t>
      </w:r>
      <w:r w:rsidRPr="000F6DDB">
        <w:rPr>
          <w:rFonts w:ascii="Arial" w:hAnsi="Arial" w:cs="Arial"/>
          <w:sz w:val="20"/>
          <w:szCs w:val="20"/>
          <w:lang w:eastAsia="en-US"/>
        </w:rPr>
        <w:t xml:space="preserve"> 7</w:t>
      </w:r>
      <w:r w:rsidRPr="002E0775">
        <w:rPr>
          <w:rFonts w:ascii="Arial" w:hAnsi="Arial" w:cs="Arial"/>
          <w:sz w:val="20"/>
          <w:szCs w:val="20"/>
          <w:lang w:eastAsia="en-US"/>
        </w:rPr>
        <w:t>, ktorá</w:t>
      </w:r>
      <w:r w:rsidRPr="000F6DDB">
        <w:rPr>
          <w:rFonts w:ascii="Arial" w:hAnsi="Arial" w:cs="Arial"/>
          <w:sz w:val="20"/>
          <w:szCs w:val="20"/>
          <w:lang w:eastAsia="en-US"/>
        </w:rPr>
        <w:t xml:space="preserve"> </w:t>
      </w:r>
      <w:r w:rsidRPr="002E0775">
        <w:rPr>
          <w:rFonts w:ascii="Arial" w:hAnsi="Arial" w:cs="Arial"/>
          <w:sz w:val="20"/>
          <w:szCs w:val="20"/>
          <w:lang w:eastAsia="en-US"/>
        </w:rPr>
        <w:t xml:space="preserve">bola </w:t>
      </w:r>
      <w:r>
        <w:rPr>
          <w:rFonts w:ascii="Arial" w:hAnsi="Arial" w:cs="Arial"/>
          <w:sz w:val="20"/>
          <w:szCs w:val="20"/>
          <w:lang w:eastAsia="en-US"/>
        </w:rPr>
        <w:t>doplnená do OP ŽP</w:t>
      </w:r>
      <w:r w:rsidRPr="002E0775">
        <w:rPr>
          <w:rFonts w:ascii="Arial" w:hAnsi="Arial" w:cs="Arial"/>
          <w:sz w:val="20"/>
          <w:szCs w:val="20"/>
          <w:lang w:eastAsia="en-US"/>
        </w:rPr>
        <w:t xml:space="preserve"> na základe </w:t>
      </w:r>
      <w:r w:rsidRPr="00F3278B">
        <w:rPr>
          <w:rFonts w:ascii="Arial" w:hAnsi="Arial" w:cs="Arial"/>
          <w:sz w:val="20"/>
          <w:szCs w:val="20"/>
          <w:lang w:eastAsia="en-US"/>
        </w:rPr>
        <w:t>rev</w:t>
      </w:r>
      <w:r w:rsidRPr="00AB56DC">
        <w:rPr>
          <w:rFonts w:ascii="Arial" w:hAnsi="Arial" w:cs="Arial"/>
          <w:sz w:val="20"/>
          <w:szCs w:val="20"/>
          <w:lang w:eastAsia="en-US"/>
        </w:rPr>
        <w:t xml:space="preserve">ízie Operačného programu </w:t>
      </w:r>
      <w:r w:rsidR="00563CA2">
        <w:rPr>
          <w:rFonts w:ascii="Arial" w:hAnsi="Arial" w:cs="Arial"/>
          <w:sz w:val="20"/>
          <w:szCs w:val="20"/>
          <w:lang w:eastAsia="en-US"/>
        </w:rPr>
        <w:t xml:space="preserve">na </w:t>
      </w:r>
      <w:r w:rsidRPr="00AB56DC">
        <w:rPr>
          <w:rFonts w:ascii="Arial" w:hAnsi="Arial" w:cs="Arial"/>
          <w:sz w:val="20"/>
          <w:szCs w:val="20"/>
          <w:lang w:eastAsia="en-US"/>
        </w:rPr>
        <w:t>verzi</w:t>
      </w:r>
      <w:r w:rsidR="00563CA2">
        <w:rPr>
          <w:rFonts w:ascii="Arial" w:hAnsi="Arial" w:cs="Arial"/>
          <w:sz w:val="20"/>
          <w:szCs w:val="20"/>
          <w:lang w:eastAsia="en-US"/>
        </w:rPr>
        <w:t>u</w:t>
      </w:r>
      <w:r w:rsidRPr="00AB56DC">
        <w:rPr>
          <w:rFonts w:ascii="Arial" w:hAnsi="Arial" w:cs="Arial"/>
          <w:sz w:val="20"/>
          <w:szCs w:val="20"/>
          <w:lang w:eastAsia="en-US"/>
        </w:rPr>
        <w:t xml:space="preserve"> 3.0 schválenej EK v priebehu roku 2011</w:t>
      </w:r>
      <w:r w:rsidRPr="002E0775">
        <w:rPr>
          <w:rFonts w:ascii="Arial" w:hAnsi="Arial" w:cs="Arial"/>
          <w:sz w:val="20"/>
          <w:szCs w:val="20"/>
          <w:lang w:eastAsia="en-US"/>
        </w:rPr>
        <w:t xml:space="preserve">, bola v roku 2012 vyhlásená </w:t>
      </w:r>
      <w:r w:rsidR="00563CA2">
        <w:rPr>
          <w:rFonts w:ascii="Arial" w:hAnsi="Arial" w:cs="Arial"/>
          <w:sz w:val="20"/>
          <w:szCs w:val="20"/>
          <w:lang w:eastAsia="en-US"/>
        </w:rPr>
        <w:t xml:space="preserve">jedna </w:t>
      </w:r>
      <w:r w:rsidRPr="002E0775">
        <w:rPr>
          <w:rFonts w:ascii="Arial" w:hAnsi="Arial" w:cs="Arial"/>
          <w:sz w:val="20"/>
          <w:szCs w:val="20"/>
          <w:lang w:eastAsia="en-US"/>
        </w:rPr>
        <w:t xml:space="preserve">výzva </w:t>
      </w:r>
      <w:r w:rsidR="00563CA2">
        <w:rPr>
          <w:rFonts w:ascii="Arial" w:hAnsi="Arial" w:cs="Arial"/>
          <w:sz w:val="20"/>
          <w:szCs w:val="20"/>
          <w:lang w:eastAsia="en-US"/>
        </w:rPr>
        <w:t>OPŽP-PO7-12-1, ktorej uzatvorenie je plánované k júnu 2013.</w:t>
      </w:r>
    </w:p>
    <w:p w:rsidR="008A3777" w:rsidRDefault="001C321D" w:rsidP="001C321D">
      <w:pPr>
        <w:spacing w:before="120" w:after="120" w:line="360" w:lineRule="auto"/>
        <w:jc w:val="both"/>
        <w:rPr>
          <w:rFonts w:ascii="Arial" w:hAnsi="Arial" w:cs="Arial"/>
          <w:b/>
          <w:bCs/>
          <w:sz w:val="20"/>
          <w:szCs w:val="20"/>
          <w:u w:val="single"/>
        </w:rPr>
      </w:pPr>
      <w:r w:rsidRPr="008A3777">
        <w:rPr>
          <w:rFonts w:ascii="Arial" w:hAnsi="Arial" w:cs="Arial"/>
          <w:b/>
          <w:bCs/>
          <w:sz w:val="20"/>
          <w:szCs w:val="20"/>
          <w:u w:val="single"/>
        </w:rPr>
        <w:t xml:space="preserve">Vyhodnotenie stavu čerpania </w:t>
      </w:r>
      <w:r w:rsidR="008A3777">
        <w:rPr>
          <w:rFonts w:ascii="Arial" w:hAnsi="Arial" w:cs="Arial"/>
          <w:b/>
          <w:bCs/>
          <w:sz w:val="20"/>
          <w:szCs w:val="20"/>
          <w:u w:val="single"/>
        </w:rPr>
        <w:t>OP ŽP</w:t>
      </w:r>
    </w:p>
    <w:p w:rsidR="008A3777" w:rsidRDefault="001C321D" w:rsidP="001C321D">
      <w:pPr>
        <w:spacing w:before="120" w:after="120" w:line="360" w:lineRule="auto"/>
        <w:jc w:val="both"/>
        <w:rPr>
          <w:rFonts w:ascii="Arial" w:hAnsi="Arial" w:cs="Arial"/>
          <w:sz w:val="20"/>
          <w:szCs w:val="20"/>
        </w:rPr>
      </w:pPr>
      <w:r w:rsidRPr="008A3777">
        <w:rPr>
          <w:rFonts w:ascii="Arial" w:hAnsi="Arial" w:cs="Arial"/>
          <w:sz w:val="20"/>
          <w:szCs w:val="20"/>
        </w:rPr>
        <w:t xml:space="preserve">K 31.12.2012 </w:t>
      </w:r>
      <w:r w:rsidR="008A3777">
        <w:rPr>
          <w:rFonts w:ascii="Arial" w:hAnsi="Arial" w:cs="Arial"/>
          <w:sz w:val="20"/>
          <w:szCs w:val="20"/>
        </w:rPr>
        <w:t>bolo</w:t>
      </w:r>
      <w:r w:rsidR="008A3777" w:rsidRPr="008A3777">
        <w:rPr>
          <w:rFonts w:ascii="Arial" w:hAnsi="Arial" w:cs="Arial"/>
          <w:sz w:val="20"/>
          <w:szCs w:val="20"/>
        </w:rPr>
        <w:t xml:space="preserve"> </w:t>
      </w:r>
      <w:r w:rsidRPr="008A3777">
        <w:rPr>
          <w:rFonts w:ascii="Arial" w:hAnsi="Arial" w:cs="Arial"/>
          <w:sz w:val="20"/>
          <w:szCs w:val="20"/>
        </w:rPr>
        <w:t>čerpani</w:t>
      </w:r>
      <w:r w:rsidR="008A3777">
        <w:rPr>
          <w:rFonts w:ascii="Arial" w:hAnsi="Arial" w:cs="Arial"/>
          <w:sz w:val="20"/>
          <w:szCs w:val="20"/>
        </w:rPr>
        <w:t>e</w:t>
      </w:r>
      <w:r w:rsidRPr="008A3777">
        <w:rPr>
          <w:rFonts w:ascii="Arial" w:hAnsi="Arial" w:cs="Arial"/>
          <w:sz w:val="20"/>
          <w:szCs w:val="20"/>
        </w:rPr>
        <w:t xml:space="preserve"> prostriedkov z fondov EÚ a štátneho rozpočtu vo výške 679 875 485,89</w:t>
      </w:r>
      <w:r w:rsidR="00A46446">
        <w:rPr>
          <w:rFonts w:ascii="Arial" w:hAnsi="Arial" w:cs="Arial"/>
          <w:sz w:val="20"/>
          <w:szCs w:val="20"/>
        </w:rPr>
        <w:t> </w:t>
      </w:r>
      <w:r w:rsidRPr="008A3777">
        <w:rPr>
          <w:rFonts w:ascii="Arial" w:hAnsi="Arial" w:cs="Arial"/>
          <w:sz w:val="20"/>
          <w:szCs w:val="20"/>
        </w:rPr>
        <w:t>EUR</w:t>
      </w:r>
      <w:r w:rsidR="008001F1">
        <w:rPr>
          <w:rFonts w:ascii="Arial" w:hAnsi="Arial" w:cs="Arial"/>
          <w:sz w:val="20"/>
          <w:szCs w:val="20"/>
        </w:rPr>
        <w:t>,</w:t>
      </w:r>
      <w:r w:rsidRPr="008A3777">
        <w:rPr>
          <w:rFonts w:ascii="Arial" w:hAnsi="Arial" w:cs="Arial"/>
          <w:sz w:val="20"/>
          <w:szCs w:val="20"/>
        </w:rPr>
        <w:t xml:space="preserve"> z toho 593 523 022,36 EUR z fondov EÚ a 86 352 463,53 EUR zo štátneho rozpočtu, čo predstavuje 31,75 % z alokácie na programové obdobie</w:t>
      </w:r>
      <w:r w:rsidR="008001F1">
        <w:rPr>
          <w:rFonts w:ascii="Arial" w:hAnsi="Arial" w:cs="Arial"/>
          <w:sz w:val="20"/>
          <w:szCs w:val="20"/>
        </w:rPr>
        <w:t xml:space="preserve"> </w:t>
      </w:r>
      <w:r w:rsidR="008001F1" w:rsidRPr="008A3777">
        <w:rPr>
          <w:rFonts w:ascii="Arial" w:hAnsi="Arial" w:cs="Arial"/>
          <w:sz w:val="20"/>
          <w:szCs w:val="20"/>
        </w:rPr>
        <w:t>(v zmysle ITMS)</w:t>
      </w:r>
      <w:r w:rsidR="008001F1">
        <w:rPr>
          <w:rFonts w:ascii="Arial" w:hAnsi="Arial" w:cs="Arial"/>
          <w:sz w:val="20"/>
          <w:szCs w:val="20"/>
        </w:rPr>
        <w:t xml:space="preserve"> a samotné čerpanie na úroveň prioritných osi je uvedené v nasledovnej tabuľke.</w:t>
      </w:r>
    </w:p>
    <w:p w:rsidR="001C321D" w:rsidRPr="008A3777" w:rsidRDefault="008F1D60" w:rsidP="008F1D60">
      <w:pPr>
        <w:spacing w:before="120" w:after="120" w:line="360" w:lineRule="auto"/>
        <w:ind w:left="1" w:firstLine="2"/>
        <w:jc w:val="both"/>
        <w:rPr>
          <w:rFonts w:ascii="Arial" w:hAnsi="Arial" w:cs="Arial"/>
          <w:sz w:val="20"/>
          <w:szCs w:val="20"/>
        </w:rPr>
      </w:pPr>
      <w:r>
        <w:rPr>
          <w:rFonts w:ascii="Arial" w:hAnsi="Arial" w:cs="Arial"/>
          <w:sz w:val="20"/>
          <w:szCs w:val="20"/>
        </w:rPr>
        <w:tab/>
      </w:r>
      <w:r>
        <w:rPr>
          <w:rFonts w:ascii="Arial" w:hAnsi="Arial" w:cs="Arial"/>
          <w:sz w:val="20"/>
          <w:szCs w:val="20"/>
        </w:rPr>
        <w:tab/>
        <w:t xml:space="preserve">                     </w:t>
      </w:r>
      <w:r w:rsidR="001C321D" w:rsidRPr="008A3777">
        <w:rPr>
          <w:rFonts w:ascii="Arial" w:hAnsi="Arial" w:cs="Arial"/>
          <w:sz w:val="20"/>
          <w:szCs w:val="20"/>
        </w:rPr>
        <w:t>Tab</w:t>
      </w:r>
      <w:r w:rsidR="00FC6CAD">
        <w:rPr>
          <w:rFonts w:ascii="Arial" w:hAnsi="Arial" w:cs="Arial"/>
          <w:sz w:val="20"/>
          <w:szCs w:val="20"/>
        </w:rPr>
        <w:t>.</w:t>
      </w:r>
      <w:r w:rsidR="001C321D" w:rsidRPr="008A3777">
        <w:rPr>
          <w:rFonts w:ascii="Arial" w:hAnsi="Arial" w:cs="Arial"/>
          <w:sz w:val="20"/>
          <w:szCs w:val="20"/>
        </w:rPr>
        <w:t xml:space="preserve"> č. 4: Čerpanie v rámci prioritných osí k 31.12.2012 podľa ITMS</w:t>
      </w:r>
    </w:p>
    <w:tbl>
      <w:tblPr>
        <w:tblW w:w="6660" w:type="dxa"/>
        <w:tblInd w:w="1207" w:type="dxa"/>
        <w:tblCellMar>
          <w:left w:w="70" w:type="dxa"/>
          <w:right w:w="70" w:type="dxa"/>
        </w:tblCellMar>
        <w:tblLook w:val="04A0" w:firstRow="1" w:lastRow="0" w:firstColumn="1" w:lastColumn="0" w:noHBand="0" w:noVBand="1"/>
      </w:tblPr>
      <w:tblGrid>
        <w:gridCol w:w="1640"/>
        <w:gridCol w:w="1640"/>
        <w:gridCol w:w="1560"/>
        <w:gridCol w:w="1820"/>
      </w:tblGrid>
      <w:tr w:rsidR="008A3777" w:rsidRPr="008A3777" w:rsidTr="008F1D60">
        <w:trPr>
          <w:trHeight w:val="327"/>
        </w:trPr>
        <w:tc>
          <w:tcPr>
            <w:tcW w:w="1640" w:type="dxa"/>
            <w:vMerge w:val="restart"/>
            <w:tcBorders>
              <w:top w:val="single" w:sz="8" w:space="0" w:color="auto"/>
              <w:left w:val="single" w:sz="8" w:space="0" w:color="auto"/>
              <w:bottom w:val="single" w:sz="4" w:space="0" w:color="auto"/>
              <w:right w:val="single" w:sz="4" w:space="0" w:color="auto"/>
            </w:tcBorders>
            <w:shd w:val="clear" w:color="auto" w:fill="D6E3BC"/>
            <w:vAlign w:val="center"/>
            <w:hideMark/>
          </w:tcPr>
          <w:p w:rsidR="001C321D" w:rsidRPr="008A3777" w:rsidRDefault="001C321D" w:rsidP="001C321D">
            <w:pPr>
              <w:jc w:val="center"/>
              <w:rPr>
                <w:rFonts w:ascii="Arial" w:hAnsi="Arial" w:cs="Arial"/>
                <w:b/>
                <w:bCs/>
                <w:sz w:val="18"/>
                <w:szCs w:val="18"/>
              </w:rPr>
            </w:pPr>
            <w:r w:rsidRPr="008A3777">
              <w:rPr>
                <w:rFonts w:ascii="Arial" w:hAnsi="Arial" w:cs="Arial"/>
                <w:b/>
                <w:bCs/>
                <w:sz w:val="18"/>
                <w:szCs w:val="18"/>
              </w:rPr>
              <w:t>Prioritná os</w:t>
            </w:r>
          </w:p>
        </w:tc>
        <w:tc>
          <w:tcPr>
            <w:tcW w:w="1640" w:type="dxa"/>
            <w:vMerge w:val="restart"/>
            <w:tcBorders>
              <w:top w:val="single" w:sz="8" w:space="0" w:color="auto"/>
              <w:left w:val="single" w:sz="4" w:space="0" w:color="auto"/>
              <w:bottom w:val="single" w:sz="4" w:space="0" w:color="000000"/>
              <w:right w:val="single" w:sz="4" w:space="0" w:color="auto"/>
            </w:tcBorders>
            <w:shd w:val="clear" w:color="auto" w:fill="D6E3BC"/>
            <w:vAlign w:val="center"/>
            <w:hideMark/>
          </w:tcPr>
          <w:p w:rsidR="001C321D" w:rsidRPr="008A3777" w:rsidRDefault="001C321D" w:rsidP="001C321D">
            <w:pPr>
              <w:jc w:val="center"/>
              <w:rPr>
                <w:rFonts w:ascii="Arial" w:hAnsi="Arial" w:cs="Arial"/>
                <w:b/>
                <w:bCs/>
                <w:sz w:val="18"/>
                <w:szCs w:val="18"/>
              </w:rPr>
            </w:pPr>
            <w:r w:rsidRPr="008A3777">
              <w:rPr>
                <w:rFonts w:ascii="Arial" w:hAnsi="Arial" w:cs="Arial"/>
                <w:b/>
                <w:bCs/>
                <w:sz w:val="18"/>
                <w:szCs w:val="18"/>
              </w:rPr>
              <w:t xml:space="preserve">Alokácia na prioritnú os </w:t>
            </w:r>
          </w:p>
          <w:p w:rsidR="001C321D" w:rsidRPr="008A3777" w:rsidRDefault="001C321D" w:rsidP="001C321D">
            <w:pPr>
              <w:jc w:val="center"/>
              <w:rPr>
                <w:rFonts w:ascii="Arial" w:hAnsi="Arial" w:cs="Arial"/>
                <w:b/>
                <w:bCs/>
                <w:sz w:val="18"/>
                <w:szCs w:val="18"/>
              </w:rPr>
            </w:pPr>
            <w:r w:rsidRPr="008A3777">
              <w:rPr>
                <w:rFonts w:ascii="Arial" w:hAnsi="Arial" w:cs="Arial"/>
                <w:bCs/>
                <w:sz w:val="16"/>
                <w:szCs w:val="16"/>
              </w:rPr>
              <w:t>(EÚ+ národné verejne zdroje)</w:t>
            </w:r>
          </w:p>
        </w:tc>
        <w:tc>
          <w:tcPr>
            <w:tcW w:w="3380" w:type="dxa"/>
            <w:gridSpan w:val="2"/>
            <w:vMerge w:val="restart"/>
            <w:tcBorders>
              <w:top w:val="single" w:sz="8" w:space="0" w:color="auto"/>
              <w:left w:val="single" w:sz="4" w:space="0" w:color="auto"/>
              <w:bottom w:val="single" w:sz="4" w:space="0" w:color="000000"/>
              <w:right w:val="single" w:sz="4" w:space="0" w:color="000000"/>
            </w:tcBorders>
            <w:shd w:val="clear" w:color="auto" w:fill="D6E3BC"/>
            <w:vAlign w:val="center"/>
            <w:hideMark/>
          </w:tcPr>
          <w:p w:rsidR="001C321D" w:rsidRPr="008A3777" w:rsidRDefault="001C321D" w:rsidP="001C321D">
            <w:pPr>
              <w:jc w:val="center"/>
              <w:rPr>
                <w:rFonts w:ascii="Arial" w:hAnsi="Arial" w:cs="Arial"/>
                <w:b/>
                <w:bCs/>
                <w:sz w:val="18"/>
                <w:szCs w:val="18"/>
              </w:rPr>
            </w:pPr>
            <w:r w:rsidRPr="008A3777">
              <w:rPr>
                <w:rFonts w:ascii="Arial" w:hAnsi="Arial" w:cs="Arial"/>
                <w:b/>
                <w:bCs/>
                <w:sz w:val="18"/>
                <w:szCs w:val="18"/>
              </w:rPr>
              <w:t>Výška čerpaných prostriedkov zo ŠF/KF a ŠR</w:t>
            </w:r>
          </w:p>
        </w:tc>
      </w:tr>
      <w:tr w:rsidR="008A3777" w:rsidRPr="008A3777" w:rsidTr="008F1D60">
        <w:trPr>
          <w:trHeight w:val="447"/>
        </w:trPr>
        <w:tc>
          <w:tcPr>
            <w:tcW w:w="1640" w:type="dxa"/>
            <w:vMerge/>
            <w:tcBorders>
              <w:top w:val="single" w:sz="8" w:space="0" w:color="auto"/>
              <w:left w:val="single" w:sz="8" w:space="0" w:color="auto"/>
              <w:bottom w:val="single" w:sz="4" w:space="0" w:color="auto"/>
              <w:right w:val="single" w:sz="4" w:space="0" w:color="auto"/>
            </w:tcBorders>
            <w:shd w:val="clear" w:color="auto" w:fill="D6E3BC"/>
            <w:vAlign w:val="center"/>
            <w:hideMark/>
          </w:tcPr>
          <w:p w:rsidR="001C321D" w:rsidRPr="008A3777" w:rsidRDefault="001C321D" w:rsidP="001C321D">
            <w:pPr>
              <w:rPr>
                <w:rFonts w:ascii="Arial" w:hAnsi="Arial" w:cs="Arial"/>
                <w:b/>
                <w:bCs/>
                <w:sz w:val="18"/>
                <w:szCs w:val="18"/>
              </w:rPr>
            </w:pPr>
          </w:p>
        </w:tc>
        <w:tc>
          <w:tcPr>
            <w:tcW w:w="1640" w:type="dxa"/>
            <w:vMerge/>
            <w:tcBorders>
              <w:top w:val="single" w:sz="8" w:space="0" w:color="auto"/>
              <w:left w:val="single" w:sz="4" w:space="0" w:color="auto"/>
              <w:bottom w:val="single" w:sz="4" w:space="0" w:color="000000"/>
              <w:right w:val="single" w:sz="4" w:space="0" w:color="auto"/>
            </w:tcBorders>
            <w:shd w:val="clear" w:color="auto" w:fill="D6E3BC"/>
            <w:vAlign w:val="center"/>
            <w:hideMark/>
          </w:tcPr>
          <w:p w:rsidR="001C321D" w:rsidRPr="008A3777" w:rsidRDefault="001C321D" w:rsidP="001C321D">
            <w:pPr>
              <w:rPr>
                <w:rFonts w:ascii="Arial" w:hAnsi="Arial" w:cs="Arial"/>
                <w:b/>
                <w:bCs/>
                <w:sz w:val="18"/>
                <w:szCs w:val="18"/>
              </w:rPr>
            </w:pPr>
          </w:p>
        </w:tc>
        <w:tc>
          <w:tcPr>
            <w:tcW w:w="3380" w:type="dxa"/>
            <w:gridSpan w:val="2"/>
            <w:vMerge/>
            <w:tcBorders>
              <w:top w:val="single" w:sz="8" w:space="0" w:color="auto"/>
              <w:left w:val="single" w:sz="4" w:space="0" w:color="auto"/>
              <w:bottom w:val="single" w:sz="4" w:space="0" w:color="000000"/>
              <w:right w:val="single" w:sz="4" w:space="0" w:color="000000"/>
            </w:tcBorders>
            <w:shd w:val="clear" w:color="auto" w:fill="D6E3BC"/>
            <w:vAlign w:val="center"/>
            <w:hideMark/>
          </w:tcPr>
          <w:p w:rsidR="001C321D" w:rsidRPr="008A3777" w:rsidRDefault="001C321D" w:rsidP="001C321D">
            <w:pPr>
              <w:rPr>
                <w:rFonts w:ascii="Arial" w:hAnsi="Arial" w:cs="Arial"/>
                <w:b/>
                <w:bCs/>
                <w:sz w:val="18"/>
                <w:szCs w:val="18"/>
              </w:rPr>
            </w:pPr>
          </w:p>
        </w:tc>
      </w:tr>
      <w:tr w:rsidR="008A3777" w:rsidRPr="008A3777" w:rsidTr="008F1D60">
        <w:trPr>
          <w:trHeight w:val="540"/>
        </w:trPr>
        <w:tc>
          <w:tcPr>
            <w:tcW w:w="1640" w:type="dxa"/>
            <w:vMerge/>
            <w:tcBorders>
              <w:top w:val="single" w:sz="8" w:space="0" w:color="auto"/>
              <w:left w:val="single" w:sz="8" w:space="0" w:color="auto"/>
              <w:bottom w:val="single" w:sz="4" w:space="0" w:color="auto"/>
              <w:right w:val="single" w:sz="4" w:space="0" w:color="auto"/>
            </w:tcBorders>
            <w:shd w:val="clear" w:color="auto" w:fill="D6E3BC"/>
            <w:vAlign w:val="center"/>
            <w:hideMark/>
          </w:tcPr>
          <w:p w:rsidR="001C321D" w:rsidRPr="008A3777" w:rsidRDefault="001C321D" w:rsidP="001C321D">
            <w:pPr>
              <w:rPr>
                <w:rFonts w:ascii="Arial" w:hAnsi="Arial" w:cs="Arial"/>
                <w:b/>
                <w:bCs/>
                <w:sz w:val="18"/>
                <w:szCs w:val="18"/>
              </w:rPr>
            </w:pPr>
          </w:p>
        </w:tc>
        <w:tc>
          <w:tcPr>
            <w:tcW w:w="1640" w:type="dxa"/>
            <w:tcBorders>
              <w:top w:val="nil"/>
              <w:left w:val="nil"/>
              <w:bottom w:val="single" w:sz="4" w:space="0" w:color="auto"/>
              <w:right w:val="single" w:sz="4" w:space="0" w:color="auto"/>
            </w:tcBorders>
            <w:shd w:val="clear" w:color="auto" w:fill="D6E3BC"/>
            <w:vAlign w:val="center"/>
            <w:hideMark/>
          </w:tcPr>
          <w:p w:rsidR="001C321D" w:rsidRPr="008A3777" w:rsidRDefault="001C321D" w:rsidP="001C321D">
            <w:pPr>
              <w:jc w:val="center"/>
              <w:rPr>
                <w:rFonts w:ascii="Arial" w:hAnsi="Arial" w:cs="Arial"/>
                <w:b/>
                <w:bCs/>
                <w:sz w:val="18"/>
                <w:szCs w:val="18"/>
              </w:rPr>
            </w:pPr>
            <w:r w:rsidRPr="008A3777">
              <w:rPr>
                <w:rFonts w:ascii="Arial" w:hAnsi="Arial" w:cs="Arial"/>
                <w:b/>
                <w:bCs/>
                <w:sz w:val="18"/>
                <w:szCs w:val="18"/>
              </w:rPr>
              <w:t>€</w:t>
            </w:r>
          </w:p>
        </w:tc>
        <w:tc>
          <w:tcPr>
            <w:tcW w:w="1560" w:type="dxa"/>
            <w:tcBorders>
              <w:top w:val="nil"/>
              <w:left w:val="nil"/>
              <w:bottom w:val="single" w:sz="4" w:space="0" w:color="auto"/>
              <w:right w:val="single" w:sz="4" w:space="0" w:color="auto"/>
            </w:tcBorders>
            <w:shd w:val="clear" w:color="auto" w:fill="D6E3BC"/>
            <w:vAlign w:val="center"/>
            <w:hideMark/>
          </w:tcPr>
          <w:p w:rsidR="001C321D" w:rsidRPr="008A3777" w:rsidRDefault="001C321D" w:rsidP="001C321D">
            <w:pPr>
              <w:jc w:val="center"/>
              <w:rPr>
                <w:rFonts w:ascii="Arial" w:hAnsi="Arial" w:cs="Arial"/>
                <w:b/>
                <w:bCs/>
                <w:sz w:val="18"/>
                <w:szCs w:val="18"/>
              </w:rPr>
            </w:pPr>
            <w:r w:rsidRPr="008A3777">
              <w:rPr>
                <w:rFonts w:ascii="Arial" w:hAnsi="Arial" w:cs="Arial"/>
                <w:b/>
                <w:bCs/>
                <w:sz w:val="18"/>
                <w:szCs w:val="18"/>
              </w:rPr>
              <w:t>€</w:t>
            </w:r>
          </w:p>
        </w:tc>
        <w:tc>
          <w:tcPr>
            <w:tcW w:w="1820" w:type="dxa"/>
            <w:tcBorders>
              <w:top w:val="nil"/>
              <w:left w:val="nil"/>
              <w:bottom w:val="single" w:sz="4" w:space="0" w:color="auto"/>
              <w:right w:val="single" w:sz="4" w:space="0" w:color="auto"/>
            </w:tcBorders>
            <w:shd w:val="clear" w:color="auto" w:fill="D6E3BC"/>
            <w:vAlign w:val="center"/>
            <w:hideMark/>
          </w:tcPr>
          <w:p w:rsidR="001C321D" w:rsidRPr="008A3777" w:rsidRDefault="001C321D" w:rsidP="001C321D">
            <w:pPr>
              <w:jc w:val="center"/>
              <w:rPr>
                <w:rFonts w:ascii="Arial" w:hAnsi="Arial" w:cs="Arial"/>
                <w:b/>
                <w:bCs/>
                <w:sz w:val="18"/>
                <w:szCs w:val="18"/>
              </w:rPr>
            </w:pPr>
            <w:r w:rsidRPr="008A3777">
              <w:rPr>
                <w:rFonts w:ascii="Arial" w:hAnsi="Arial" w:cs="Arial"/>
                <w:b/>
                <w:bCs/>
                <w:sz w:val="18"/>
                <w:szCs w:val="18"/>
              </w:rPr>
              <w:t>% z čerpania v rámci prioritnej osi</w:t>
            </w:r>
          </w:p>
        </w:tc>
      </w:tr>
      <w:tr w:rsidR="008A3777" w:rsidRPr="008A3777" w:rsidTr="008F1D60">
        <w:trPr>
          <w:trHeight w:val="259"/>
        </w:trPr>
        <w:tc>
          <w:tcPr>
            <w:tcW w:w="1640" w:type="dxa"/>
            <w:tcBorders>
              <w:top w:val="nil"/>
              <w:left w:val="single" w:sz="4" w:space="0" w:color="auto"/>
              <w:bottom w:val="single" w:sz="4" w:space="0" w:color="auto"/>
              <w:right w:val="single" w:sz="4" w:space="0" w:color="auto"/>
            </w:tcBorders>
            <w:shd w:val="clear" w:color="auto" w:fill="auto"/>
            <w:vAlign w:val="center"/>
            <w:hideMark/>
          </w:tcPr>
          <w:p w:rsidR="001C321D" w:rsidRPr="008A3777" w:rsidRDefault="001C321D" w:rsidP="001C321D">
            <w:pPr>
              <w:jc w:val="center"/>
              <w:rPr>
                <w:rFonts w:ascii="Arial" w:hAnsi="Arial" w:cs="Arial"/>
                <w:sz w:val="18"/>
                <w:szCs w:val="18"/>
              </w:rPr>
            </w:pPr>
            <w:r w:rsidRPr="008A3777">
              <w:rPr>
                <w:rFonts w:ascii="Arial" w:hAnsi="Arial" w:cs="Arial"/>
                <w:sz w:val="18"/>
                <w:szCs w:val="18"/>
              </w:rPr>
              <w:t>Prioritná os 1</w:t>
            </w:r>
          </w:p>
        </w:tc>
        <w:tc>
          <w:tcPr>
            <w:tcW w:w="1640" w:type="dxa"/>
            <w:tcBorders>
              <w:top w:val="nil"/>
              <w:left w:val="nil"/>
              <w:bottom w:val="single" w:sz="4" w:space="0" w:color="auto"/>
              <w:right w:val="single" w:sz="4" w:space="0" w:color="auto"/>
            </w:tcBorders>
            <w:shd w:val="clear" w:color="auto" w:fill="auto"/>
            <w:vAlign w:val="center"/>
            <w:hideMark/>
          </w:tcPr>
          <w:p w:rsidR="001C321D" w:rsidRPr="008A3777" w:rsidRDefault="001C321D" w:rsidP="001C321D">
            <w:pPr>
              <w:jc w:val="center"/>
              <w:rPr>
                <w:rFonts w:ascii="Arial" w:hAnsi="Arial" w:cs="Arial"/>
                <w:sz w:val="18"/>
                <w:szCs w:val="18"/>
              </w:rPr>
            </w:pPr>
            <w:r w:rsidRPr="008A3777">
              <w:rPr>
                <w:rFonts w:ascii="Arial" w:hAnsi="Arial" w:cs="Arial"/>
                <w:sz w:val="18"/>
                <w:szCs w:val="18"/>
              </w:rPr>
              <w:t>1 077 227 136</w:t>
            </w:r>
          </w:p>
        </w:tc>
        <w:tc>
          <w:tcPr>
            <w:tcW w:w="1560" w:type="dxa"/>
            <w:tcBorders>
              <w:top w:val="nil"/>
              <w:left w:val="nil"/>
              <w:bottom w:val="single" w:sz="4" w:space="0" w:color="auto"/>
              <w:right w:val="single" w:sz="4" w:space="0" w:color="auto"/>
            </w:tcBorders>
            <w:shd w:val="clear" w:color="auto" w:fill="auto"/>
            <w:vAlign w:val="center"/>
            <w:hideMark/>
          </w:tcPr>
          <w:p w:rsidR="001C321D" w:rsidRPr="008A3777" w:rsidRDefault="001C321D" w:rsidP="001C321D">
            <w:pPr>
              <w:jc w:val="right"/>
              <w:rPr>
                <w:rFonts w:ascii="Arial" w:hAnsi="Arial" w:cs="Arial"/>
                <w:sz w:val="18"/>
                <w:szCs w:val="18"/>
              </w:rPr>
            </w:pPr>
            <w:r w:rsidRPr="008A3777">
              <w:rPr>
                <w:rFonts w:ascii="Arial" w:hAnsi="Arial" w:cs="Arial"/>
                <w:sz w:val="18"/>
                <w:szCs w:val="18"/>
              </w:rPr>
              <w:t>275 243 103,58</w:t>
            </w:r>
          </w:p>
        </w:tc>
        <w:tc>
          <w:tcPr>
            <w:tcW w:w="1820" w:type="dxa"/>
            <w:tcBorders>
              <w:top w:val="nil"/>
              <w:left w:val="nil"/>
              <w:bottom w:val="single" w:sz="4" w:space="0" w:color="auto"/>
              <w:right w:val="single" w:sz="4" w:space="0" w:color="auto"/>
            </w:tcBorders>
            <w:shd w:val="clear" w:color="auto" w:fill="auto"/>
            <w:vAlign w:val="center"/>
            <w:hideMark/>
          </w:tcPr>
          <w:p w:rsidR="001C321D" w:rsidRPr="008A3777" w:rsidRDefault="001C321D" w:rsidP="001C321D">
            <w:pPr>
              <w:jc w:val="center"/>
              <w:rPr>
                <w:rFonts w:ascii="Arial" w:hAnsi="Arial" w:cs="Arial"/>
                <w:sz w:val="18"/>
                <w:szCs w:val="18"/>
              </w:rPr>
            </w:pPr>
            <w:r w:rsidRPr="008A3777">
              <w:rPr>
                <w:rFonts w:ascii="Arial" w:hAnsi="Arial" w:cs="Arial"/>
                <w:sz w:val="18"/>
                <w:szCs w:val="18"/>
              </w:rPr>
              <w:t>25,55%</w:t>
            </w:r>
          </w:p>
        </w:tc>
      </w:tr>
      <w:tr w:rsidR="008A3777" w:rsidRPr="008A3777" w:rsidTr="008F1D60">
        <w:trPr>
          <w:trHeight w:val="259"/>
        </w:trPr>
        <w:tc>
          <w:tcPr>
            <w:tcW w:w="1640" w:type="dxa"/>
            <w:tcBorders>
              <w:top w:val="nil"/>
              <w:left w:val="single" w:sz="4" w:space="0" w:color="auto"/>
              <w:bottom w:val="single" w:sz="4" w:space="0" w:color="auto"/>
              <w:right w:val="single" w:sz="4" w:space="0" w:color="auto"/>
            </w:tcBorders>
            <w:shd w:val="clear" w:color="auto" w:fill="auto"/>
            <w:vAlign w:val="center"/>
            <w:hideMark/>
          </w:tcPr>
          <w:p w:rsidR="001C321D" w:rsidRPr="008A3777" w:rsidRDefault="001C321D" w:rsidP="001C321D">
            <w:pPr>
              <w:jc w:val="center"/>
              <w:rPr>
                <w:rFonts w:ascii="Arial" w:hAnsi="Arial" w:cs="Arial"/>
                <w:sz w:val="18"/>
                <w:szCs w:val="18"/>
              </w:rPr>
            </w:pPr>
            <w:r w:rsidRPr="008A3777">
              <w:rPr>
                <w:rFonts w:ascii="Arial" w:hAnsi="Arial" w:cs="Arial"/>
                <w:sz w:val="18"/>
                <w:szCs w:val="18"/>
              </w:rPr>
              <w:t>Prioritná os 2</w:t>
            </w:r>
          </w:p>
        </w:tc>
        <w:tc>
          <w:tcPr>
            <w:tcW w:w="1640" w:type="dxa"/>
            <w:tcBorders>
              <w:top w:val="nil"/>
              <w:left w:val="nil"/>
              <w:bottom w:val="single" w:sz="4" w:space="0" w:color="auto"/>
              <w:right w:val="single" w:sz="4" w:space="0" w:color="auto"/>
            </w:tcBorders>
            <w:shd w:val="clear" w:color="auto" w:fill="auto"/>
            <w:vAlign w:val="center"/>
            <w:hideMark/>
          </w:tcPr>
          <w:p w:rsidR="001C321D" w:rsidRPr="008A3777" w:rsidRDefault="001C321D" w:rsidP="001C321D">
            <w:pPr>
              <w:jc w:val="center"/>
              <w:rPr>
                <w:rFonts w:ascii="Arial" w:hAnsi="Arial" w:cs="Arial"/>
                <w:sz w:val="18"/>
                <w:szCs w:val="18"/>
              </w:rPr>
            </w:pPr>
            <w:r w:rsidRPr="008A3777">
              <w:rPr>
                <w:rFonts w:ascii="Arial" w:hAnsi="Arial" w:cs="Arial"/>
                <w:sz w:val="18"/>
                <w:szCs w:val="18"/>
              </w:rPr>
              <w:t>141 176 471</w:t>
            </w:r>
          </w:p>
        </w:tc>
        <w:tc>
          <w:tcPr>
            <w:tcW w:w="1560" w:type="dxa"/>
            <w:tcBorders>
              <w:top w:val="nil"/>
              <w:left w:val="nil"/>
              <w:bottom w:val="single" w:sz="4" w:space="0" w:color="auto"/>
              <w:right w:val="single" w:sz="4" w:space="0" w:color="auto"/>
            </w:tcBorders>
            <w:shd w:val="clear" w:color="auto" w:fill="auto"/>
            <w:vAlign w:val="center"/>
            <w:hideMark/>
          </w:tcPr>
          <w:p w:rsidR="001C321D" w:rsidRPr="008A3777" w:rsidRDefault="001C321D" w:rsidP="001C321D">
            <w:pPr>
              <w:jc w:val="right"/>
              <w:rPr>
                <w:rFonts w:ascii="Arial" w:hAnsi="Arial" w:cs="Arial"/>
                <w:sz w:val="18"/>
                <w:szCs w:val="18"/>
              </w:rPr>
            </w:pPr>
            <w:r w:rsidRPr="008A3777">
              <w:rPr>
                <w:rFonts w:ascii="Arial" w:hAnsi="Arial" w:cs="Arial"/>
                <w:sz w:val="18"/>
                <w:szCs w:val="18"/>
              </w:rPr>
              <w:t>33 942 088,43</w:t>
            </w:r>
          </w:p>
        </w:tc>
        <w:tc>
          <w:tcPr>
            <w:tcW w:w="1820" w:type="dxa"/>
            <w:tcBorders>
              <w:top w:val="nil"/>
              <w:left w:val="nil"/>
              <w:bottom w:val="single" w:sz="4" w:space="0" w:color="auto"/>
              <w:right w:val="single" w:sz="4" w:space="0" w:color="auto"/>
            </w:tcBorders>
            <w:shd w:val="clear" w:color="auto" w:fill="auto"/>
            <w:vAlign w:val="center"/>
            <w:hideMark/>
          </w:tcPr>
          <w:p w:rsidR="001C321D" w:rsidRPr="008A3777" w:rsidRDefault="001C321D" w:rsidP="001C321D">
            <w:pPr>
              <w:jc w:val="center"/>
              <w:rPr>
                <w:rFonts w:ascii="Arial" w:hAnsi="Arial" w:cs="Arial"/>
                <w:sz w:val="18"/>
                <w:szCs w:val="18"/>
              </w:rPr>
            </w:pPr>
            <w:r w:rsidRPr="008A3777">
              <w:rPr>
                <w:rFonts w:ascii="Arial" w:hAnsi="Arial" w:cs="Arial"/>
                <w:sz w:val="18"/>
                <w:szCs w:val="18"/>
              </w:rPr>
              <w:t>24,04%</w:t>
            </w:r>
          </w:p>
        </w:tc>
      </w:tr>
      <w:tr w:rsidR="008A3777" w:rsidRPr="008A3777" w:rsidTr="008F1D60">
        <w:trPr>
          <w:trHeight w:val="259"/>
        </w:trPr>
        <w:tc>
          <w:tcPr>
            <w:tcW w:w="1640" w:type="dxa"/>
            <w:tcBorders>
              <w:top w:val="nil"/>
              <w:left w:val="single" w:sz="4" w:space="0" w:color="auto"/>
              <w:bottom w:val="single" w:sz="4" w:space="0" w:color="auto"/>
              <w:right w:val="single" w:sz="4" w:space="0" w:color="auto"/>
            </w:tcBorders>
            <w:shd w:val="clear" w:color="auto" w:fill="auto"/>
            <w:vAlign w:val="center"/>
            <w:hideMark/>
          </w:tcPr>
          <w:p w:rsidR="001C321D" w:rsidRPr="008A3777" w:rsidRDefault="001C321D" w:rsidP="001C321D">
            <w:pPr>
              <w:jc w:val="center"/>
              <w:rPr>
                <w:rFonts w:ascii="Arial" w:hAnsi="Arial" w:cs="Arial"/>
                <w:sz w:val="18"/>
                <w:szCs w:val="18"/>
              </w:rPr>
            </w:pPr>
            <w:r w:rsidRPr="008A3777">
              <w:rPr>
                <w:rFonts w:ascii="Arial" w:hAnsi="Arial" w:cs="Arial"/>
                <w:sz w:val="18"/>
                <w:szCs w:val="18"/>
              </w:rPr>
              <w:t>Prioritná os 3</w:t>
            </w:r>
          </w:p>
        </w:tc>
        <w:tc>
          <w:tcPr>
            <w:tcW w:w="1640" w:type="dxa"/>
            <w:tcBorders>
              <w:top w:val="nil"/>
              <w:left w:val="nil"/>
              <w:bottom w:val="single" w:sz="4" w:space="0" w:color="auto"/>
              <w:right w:val="single" w:sz="4" w:space="0" w:color="auto"/>
            </w:tcBorders>
            <w:shd w:val="clear" w:color="auto" w:fill="auto"/>
            <w:vAlign w:val="center"/>
            <w:hideMark/>
          </w:tcPr>
          <w:p w:rsidR="001C321D" w:rsidRPr="008A3777" w:rsidRDefault="001C321D" w:rsidP="001C321D">
            <w:pPr>
              <w:jc w:val="center"/>
              <w:rPr>
                <w:rFonts w:ascii="Arial" w:hAnsi="Arial" w:cs="Arial"/>
                <w:sz w:val="18"/>
                <w:szCs w:val="18"/>
              </w:rPr>
            </w:pPr>
            <w:r w:rsidRPr="008A3777">
              <w:rPr>
                <w:rFonts w:ascii="Arial" w:hAnsi="Arial" w:cs="Arial"/>
                <w:sz w:val="18"/>
                <w:szCs w:val="18"/>
              </w:rPr>
              <w:t>211 764 706</w:t>
            </w:r>
          </w:p>
        </w:tc>
        <w:tc>
          <w:tcPr>
            <w:tcW w:w="1560" w:type="dxa"/>
            <w:tcBorders>
              <w:top w:val="nil"/>
              <w:left w:val="nil"/>
              <w:bottom w:val="single" w:sz="4" w:space="0" w:color="auto"/>
              <w:right w:val="single" w:sz="4" w:space="0" w:color="auto"/>
            </w:tcBorders>
            <w:shd w:val="clear" w:color="auto" w:fill="auto"/>
            <w:vAlign w:val="center"/>
            <w:hideMark/>
          </w:tcPr>
          <w:p w:rsidR="001C321D" w:rsidRPr="008A3777" w:rsidRDefault="001C321D" w:rsidP="001C321D">
            <w:pPr>
              <w:jc w:val="right"/>
              <w:rPr>
                <w:rFonts w:ascii="Arial" w:hAnsi="Arial" w:cs="Arial"/>
                <w:sz w:val="18"/>
                <w:szCs w:val="18"/>
              </w:rPr>
            </w:pPr>
            <w:r w:rsidRPr="008A3777">
              <w:rPr>
                <w:rFonts w:ascii="Arial" w:hAnsi="Arial" w:cs="Arial"/>
                <w:sz w:val="18"/>
                <w:szCs w:val="18"/>
              </w:rPr>
              <w:t>136 637 000,34</w:t>
            </w:r>
          </w:p>
        </w:tc>
        <w:tc>
          <w:tcPr>
            <w:tcW w:w="1820" w:type="dxa"/>
            <w:tcBorders>
              <w:top w:val="nil"/>
              <w:left w:val="nil"/>
              <w:bottom w:val="single" w:sz="4" w:space="0" w:color="auto"/>
              <w:right w:val="single" w:sz="4" w:space="0" w:color="auto"/>
            </w:tcBorders>
            <w:shd w:val="clear" w:color="auto" w:fill="auto"/>
            <w:vAlign w:val="center"/>
            <w:hideMark/>
          </w:tcPr>
          <w:p w:rsidR="001C321D" w:rsidRPr="008A3777" w:rsidRDefault="001C321D" w:rsidP="001C321D">
            <w:pPr>
              <w:jc w:val="center"/>
              <w:rPr>
                <w:rFonts w:ascii="Arial" w:hAnsi="Arial" w:cs="Arial"/>
                <w:sz w:val="18"/>
                <w:szCs w:val="18"/>
              </w:rPr>
            </w:pPr>
            <w:r w:rsidRPr="008A3777">
              <w:rPr>
                <w:rFonts w:ascii="Arial" w:hAnsi="Arial" w:cs="Arial"/>
                <w:sz w:val="18"/>
                <w:szCs w:val="18"/>
              </w:rPr>
              <w:t>64,52%</w:t>
            </w:r>
          </w:p>
        </w:tc>
      </w:tr>
      <w:tr w:rsidR="008A3777" w:rsidRPr="008A3777" w:rsidTr="008F1D60">
        <w:trPr>
          <w:trHeight w:val="259"/>
        </w:trPr>
        <w:tc>
          <w:tcPr>
            <w:tcW w:w="1640" w:type="dxa"/>
            <w:tcBorders>
              <w:top w:val="nil"/>
              <w:left w:val="single" w:sz="4" w:space="0" w:color="auto"/>
              <w:bottom w:val="single" w:sz="4" w:space="0" w:color="auto"/>
              <w:right w:val="single" w:sz="4" w:space="0" w:color="auto"/>
            </w:tcBorders>
            <w:shd w:val="clear" w:color="auto" w:fill="auto"/>
            <w:vAlign w:val="center"/>
            <w:hideMark/>
          </w:tcPr>
          <w:p w:rsidR="001C321D" w:rsidRPr="008A3777" w:rsidRDefault="001C321D" w:rsidP="001C321D">
            <w:pPr>
              <w:jc w:val="center"/>
              <w:rPr>
                <w:rFonts w:ascii="Arial" w:hAnsi="Arial" w:cs="Arial"/>
                <w:sz w:val="18"/>
                <w:szCs w:val="18"/>
              </w:rPr>
            </w:pPr>
            <w:r w:rsidRPr="008A3777">
              <w:rPr>
                <w:rFonts w:ascii="Arial" w:hAnsi="Arial" w:cs="Arial"/>
                <w:sz w:val="18"/>
                <w:szCs w:val="18"/>
              </w:rPr>
              <w:t>Prioritná os 4</w:t>
            </w:r>
          </w:p>
        </w:tc>
        <w:tc>
          <w:tcPr>
            <w:tcW w:w="1640" w:type="dxa"/>
            <w:tcBorders>
              <w:top w:val="nil"/>
              <w:left w:val="nil"/>
              <w:bottom w:val="single" w:sz="4" w:space="0" w:color="auto"/>
              <w:right w:val="single" w:sz="4" w:space="0" w:color="auto"/>
            </w:tcBorders>
            <w:shd w:val="clear" w:color="auto" w:fill="auto"/>
            <w:vAlign w:val="center"/>
            <w:hideMark/>
          </w:tcPr>
          <w:p w:rsidR="001C321D" w:rsidRPr="008A3777" w:rsidRDefault="001C321D" w:rsidP="001C321D">
            <w:pPr>
              <w:jc w:val="center"/>
              <w:rPr>
                <w:rFonts w:ascii="Arial" w:hAnsi="Arial" w:cs="Arial"/>
                <w:sz w:val="18"/>
                <w:szCs w:val="18"/>
              </w:rPr>
            </w:pPr>
            <w:r w:rsidRPr="008A3777">
              <w:rPr>
                <w:rFonts w:ascii="Arial" w:hAnsi="Arial" w:cs="Arial"/>
                <w:sz w:val="18"/>
                <w:szCs w:val="18"/>
              </w:rPr>
              <w:t>570 588 235</w:t>
            </w:r>
          </w:p>
        </w:tc>
        <w:tc>
          <w:tcPr>
            <w:tcW w:w="1560" w:type="dxa"/>
            <w:tcBorders>
              <w:top w:val="nil"/>
              <w:left w:val="nil"/>
              <w:bottom w:val="single" w:sz="4" w:space="0" w:color="auto"/>
              <w:right w:val="single" w:sz="4" w:space="0" w:color="auto"/>
            </w:tcBorders>
            <w:shd w:val="clear" w:color="auto" w:fill="auto"/>
            <w:vAlign w:val="center"/>
            <w:hideMark/>
          </w:tcPr>
          <w:p w:rsidR="001C321D" w:rsidRPr="008A3777" w:rsidRDefault="001C321D" w:rsidP="001C321D">
            <w:pPr>
              <w:jc w:val="right"/>
              <w:rPr>
                <w:rFonts w:ascii="Arial" w:hAnsi="Arial" w:cs="Arial"/>
                <w:sz w:val="18"/>
                <w:szCs w:val="18"/>
              </w:rPr>
            </w:pPr>
            <w:r w:rsidRPr="008A3777">
              <w:rPr>
                <w:rFonts w:ascii="Arial" w:hAnsi="Arial" w:cs="Arial"/>
                <w:sz w:val="18"/>
                <w:szCs w:val="18"/>
              </w:rPr>
              <w:t>205 057 098,20</w:t>
            </w:r>
          </w:p>
        </w:tc>
        <w:tc>
          <w:tcPr>
            <w:tcW w:w="1820" w:type="dxa"/>
            <w:tcBorders>
              <w:top w:val="nil"/>
              <w:left w:val="nil"/>
              <w:bottom w:val="single" w:sz="4" w:space="0" w:color="auto"/>
              <w:right w:val="single" w:sz="4" w:space="0" w:color="auto"/>
            </w:tcBorders>
            <w:shd w:val="clear" w:color="auto" w:fill="auto"/>
            <w:vAlign w:val="center"/>
            <w:hideMark/>
          </w:tcPr>
          <w:p w:rsidR="001C321D" w:rsidRPr="008A3777" w:rsidRDefault="001C321D" w:rsidP="001C321D">
            <w:pPr>
              <w:jc w:val="center"/>
              <w:rPr>
                <w:rFonts w:ascii="Arial" w:hAnsi="Arial" w:cs="Arial"/>
                <w:sz w:val="18"/>
                <w:szCs w:val="18"/>
              </w:rPr>
            </w:pPr>
            <w:r w:rsidRPr="008A3777">
              <w:rPr>
                <w:rFonts w:ascii="Arial" w:hAnsi="Arial" w:cs="Arial"/>
                <w:sz w:val="18"/>
                <w:szCs w:val="18"/>
              </w:rPr>
              <w:t>35,94%</w:t>
            </w:r>
          </w:p>
        </w:tc>
      </w:tr>
      <w:tr w:rsidR="008A3777" w:rsidRPr="008A3777" w:rsidTr="008F1D60">
        <w:trPr>
          <w:trHeight w:val="259"/>
        </w:trPr>
        <w:tc>
          <w:tcPr>
            <w:tcW w:w="1640" w:type="dxa"/>
            <w:tcBorders>
              <w:top w:val="nil"/>
              <w:left w:val="single" w:sz="4" w:space="0" w:color="auto"/>
              <w:bottom w:val="single" w:sz="4" w:space="0" w:color="auto"/>
              <w:right w:val="single" w:sz="4" w:space="0" w:color="auto"/>
            </w:tcBorders>
            <w:shd w:val="clear" w:color="auto" w:fill="auto"/>
            <w:vAlign w:val="center"/>
            <w:hideMark/>
          </w:tcPr>
          <w:p w:rsidR="001C321D" w:rsidRPr="008A3777" w:rsidRDefault="001C321D" w:rsidP="001C321D">
            <w:pPr>
              <w:jc w:val="center"/>
              <w:rPr>
                <w:rFonts w:ascii="Arial" w:hAnsi="Arial" w:cs="Arial"/>
                <w:sz w:val="18"/>
                <w:szCs w:val="18"/>
              </w:rPr>
            </w:pPr>
            <w:r w:rsidRPr="008A3777">
              <w:rPr>
                <w:rFonts w:ascii="Arial" w:hAnsi="Arial" w:cs="Arial"/>
                <w:sz w:val="18"/>
                <w:szCs w:val="18"/>
              </w:rPr>
              <w:t>Prioritná os 5</w:t>
            </w:r>
          </w:p>
        </w:tc>
        <w:tc>
          <w:tcPr>
            <w:tcW w:w="1640" w:type="dxa"/>
            <w:tcBorders>
              <w:top w:val="nil"/>
              <w:left w:val="nil"/>
              <w:bottom w:val="single" w:sz="4" w:space="0" w:color="auto"/>
              <w:right w:val="single" w:sz="4" w:space="0" w:color="auto"/>
            </w:tcBorders>
            <w:shd w:val="clear" w:color="auto" w:fill="auto"/>
            <w:vAlign w:val="center"/>
            <w:hideMark/>
          </w:tcPr>
          <w:p w:rsidR="001C321D" w:rsidRPr="008A3777" w:rsidRDefault="001C321D" w:rsidP="001C321D">
            <w:pPr>
              <w:jc w:val="center"/>
              <w:rPr>
                <w:rFonts w:ascii="Arial" w:hAnsi="Arial" w:cs="Arial"/>
                <w:sz w:val="18"/>
                <w:szCs w:val="18"/>
              </w:rPr>
            </w:pPr>
            <w:r w:rsidRPr="008A3777">
              <w:rPr>
                <w:rFonts w:ascii="Arial" w:hAnsi="Arial" w:cs="Arial"/>
                <w:sz w:val="18"/>
                <w:szCs w:val="18"/>
              </w:rPr>
              <w:t>59 714 041</w:t>
            </w:r>
          </w:p>
        </w:tc>
        <w:tc>
          <w:tcPr>
            <w:tcW w:w="1560" w:type="dxa"/>
            <w:tcBorders>
              <w:top w:val="nil"/>
              <w:left w:val="nil"/>
              <w:bottom w:val="single" w:sz="4" w:space="0" w:color="auto"/>
              <w:right w:val="single" w:sz="4" w:space="0" w:color="auto"/>
            </w:tcBorders>
            <w:shd w:val="clear" w:color="auto" w:fill="auto"/>
            <w:vAlign w:val="center"/>
            <w:hideMark/>
          </w:tcPr>
          <w:p w:rsidR="001C321D" w:rsidRPr="008A3777" w:rsidRDefault="001C321D" w:rsidP="001C321D">
            <w:pPr>
              <w:jc w:val="right"/>
              <w:rPr>
                <w:rFonts w:ascii="Arial" w:hAnsi="Arial" w:cs="Arial"/>
                <w:sz w:val="18"/>
                <w:szCs w:val="18"/>
              </w:rPr>
            </w:pPr>
            <w:r w:rsidRPr="008A3777">
              <w:rPr>
                <w:rFonts w:ascii="Arial" w:hAnsi="Arial" w:cs="Arial"/>
                <w:sz w:val="18"/>
                <w:szCs w:val="18"/>
              </w:rPr>
              <w:t>12 691 413,07</w:t>
            </w:r>
          </w:p>
        </w:tc>
        <w:tc>
          <w:tcPr>
            <w:tcW w:w="1820" w:type="dxa"/>
            <w:tcBorders>
              <w:top w:val="nil"/>
              <w:left w:val="nil"/>
              <w:bottom w:val="single" w:sz="4" w:space="0" w:color="auto"/>
              <w:right w:val="single" w:sz="4" w:space="0" w:color="auto"/>
            </w:tcBorders>
            <w:shd w:val="clear" w:color="auto" w:fill="auto"/>
            <w:vAlign w:val="center"/>
            <w:hideMark/>
          </w:tcPr>
          <w:p w:rsidR="001C321D" w:rsidRPr="008A3777" w:rsidRDefault="001C321D" w:rsidP="001C321D">
            <w:pPr>
              <w:jc w:val="center"/>
              <w:rPr>
                <w:rFonts w:ascii="Arial" w:hAnsi="Arial" w:cs="Arial"/>
                <w:sz w:val="18"/>
                <w:szCs w:val="18"/>
              </w:rPr>
            </w:pPr>
            <w:r w:rsidRPr="008A3777">
              <w:rPr>
                <w:rFonts w:ascii="Arial" w:hAnsi="Arial" w:cs="Arial"/>
                <w:sz w:val="18"/>
                <w:szCs w:val="18"/>
              </w:rPr>
              <w:t>21,25%</w:t>
            </w:r>
          </w:p>
        </w:tc>
      </w:tr>
      <w:tr w:rsidR="008A3777" w:rsidRPr="008A3777" w:rsidTr="008F1D60">
        <w:trPr>
          <w:trHeight w:val="259"/>
        </w:trPr>
        <w:tc>
          <w:tcPr>
            <w:tcW w:w="1640" w:type="dxa"/>
            <w:tcBorders>
              <w:top w:val="nil"/>
              <w:left w:val="single" w:sz="4" w:space="0" w:color="auto"/>
              <w:bottom w:val="single" w:sz="4" w:space="0" w:color="auto"/>
              <w:right w:val="single" w:sz="4" w:space="0" w:color="auto"/>
            </w:tcBorders>
            <w:shd w:val="clear" w:color="auto" w:fill="auto"/>
            <w:vAlign w:val="center"/>
            <w:hideMark/>
          </w:tcPr>
          <w:p w:rsidR="001C321D" w:rsidRPr="008A3777" w:rsidRDefault="001C321D" w:rsidP="001C321D">
            <w:pPr>
              <w:jc w:val="center"/>
              <w:rPr>
                <w:rFonts w:ascii="Arial" w:hAnsi="Arial" w:cs="Arial"/>
                <w:sz w:val="18"/>
                <w:szCs w:val="18"/>
              </w:rPr>
            </w:pPr>
            <w:r w:rsidRPr="008A3777">
              <w:rPr>
                <w:rFonts w:ascii="Arial" w:hAnsi="Arial" w:cs="Arial"/>
                <w:sz w:val="18"/>
                <w:szCs w:val="18"/>
              </w:rPr>
              <w:t>Prioritná os 6</w:t>
            </w:r>
          </w:p>
        </w:tc>
        <w:tc>
          <w:tcPr>
            <w:tcW w:w="1640" w:type="dxa"/>
            <w:tcBorders>
              <w:top w:val="nil"/>
              <w:left w:val="nil"/>
              <w:bottom w:val="single" w:sz="4" w:space="0" w:color="auto"/>
              <w:right w:val="single" w:sz="4" w:space="0" w:color="auto"/>
            </w:tcBorders>
            <w:shd w:val="clear" w:color="auto" w:fill="auto"/>
            <w:vAlign w:val="center"/>
            <w:hideMark/>
          </w:tcPr>
          <w:p w:rsidR="001C321D" w:rsidRPr="008A3777" w:rsidRDefault="001C321D" w:rsidP="001C321D">
            <w:pPr>
              <w:jc w:val="center"/>
              <w:rPr>
                <w:rFonts w:ascii="Arial" w:hAnsi="Arial" w:cs="Arial"/>
                <w:sz w:val="18"/>
                <w:szCs w:val="18"/>
              </w:rPr>
            </w:pPr>
            <w:r w:rsidRPr="008A3777">
              <w:rPr>
                <w:rFonts w:ascii="Arial" w:hAnsi="Arial" w:cs="Arial"/>
                <w:sz w:val="18"/>
                <w:szCs w:val="18"/>
              </w:rPr>
              <w:t>57 176 470</w:t>
            </w:r>
          </w:p>
        </w:tc>
        <w:tc>
          <w:tcPr>
            <w:tcW w:w="1560" w:type="dxa"/>
            <w:tcBorders>
              <w:top w:val="nil"/>
              <w:left w:val="nil"/>
              <w:bottom w:val="single" w:sz="4" w:space="0" w:color="auto"/>
              <w:right w:val="single" w:sz="4" w:space="0" w:color="auto"/>
            </w:tcBorders>
            <w:shd w:val="clear" w:color="auto" w:fill="auto"/>
            <w:vAlign w:val="center"/>
            <w:hideMark/>
          </w:tcPr>
          <w:p w:rsidR="001C321D" w:rsidRPr="008A3777" w:rsidRDefault="001C321D" w:rsidP="001C321D">
            <w:pPr>
              <w:jc w:val="right"/>
              <w:rPr>
                <w:rFonts w:ascii="Arial" w:hAnsi="Arial" w:cs="Arial"/>
                <w:sz w:val="18"/>
                <w:szCs w:val="18"/>
              </w:rPr>
            </w:pPr>
            <w:r w:rsidRPr="008A3777">
              <w:rPr>
                <w:rFonts w:ascii="Arial" w:hAnsi="Arial" w:cs="Arial"/>
                <w:sz w:val="18"/>
                <w:szCs w:val="18"/>
              </w:rPr>
              <w:t>16 304 782,27</w:t>
            </w:r>
          </w:p>
        </w:tc>
        <w:tc>
          <w:tcPr>
            <w:tcW w:w="1820" w:type="dxa"/>
            <w:tcBorders>
              <w:top w:val="nil"/>
              <w:left w:val="nil"/>
              <w:bottom w:val="single" w:sz="4" w:space="0" w:color="auto"/>
              <w:right w:val="single" w:sz="4" w:space="0" w:color="auto"/>
            </w:tcBorders>
            <w:shd w:val="clear" w:color="auto" w:fill="auto"/>
            <w:vAlign w:val="center"/>
            <w:hideMark/>
          </w:tcPr>
          <w:p w:rsidR="001C321D" w:rsidRPr="008A3777" w:rsidRDefault="001C321D" w:rsidP="001C321D">
            <w:pPr>
              <w:jc w:val="center"/>
              <w:rPr>
                <w:rFonts w:ascii="Arial" w:hAnsi="Arial" w:cs="Arial"/>
                <w:sz w:val="18"/>
                <w:szCs w:val="18"/>
              </w:rPr>
            </w:pPr>
            <w:r w:rsidRPr="008A3777">
              <w:rPr>
                <w:rFonts w:ascii="Arial" w:hAnsi="Arial" w:cs="Arial"/>
                <w:sz w:val="18"/>
                <w:szCs w:val="18"/>
              </w:rPr>
              <w:t>28,52%</w:t>
            </w:r>
          </w:p>
        </w:tc>
      </w:tr>
      <w:tr w:rsidR="008A3777" w:rsidRPr="008A3777" w:rsidTr="008F1D60">
        <w:trPr>
          <w:trHeight w:val="259"/>
        </w:trPr>
        <w:tc>
          <w:tcPr>
            <w:tcW w:w="1640" w:type="dxa"/>
            <w:tcBorders>
              <w:top w:val="nil"/>
              <w:left w:val="single" w:sz="4" w:space="0" w:color="auto"/>
              <w:bottom w:val="single" w:sz="8" w:space="0" w:color="auto"/>
              <w:right w:val="single" w:sz="4" w:space="0" w:color="auto"/>
            </w:tcBorders>
            <w:shd w:val="clear" w:color="auto" w:fill="auto"/>
            <w:vAlign w:val="center"/>
            <w:hideMark/>
          </w:tcPr>
          <w:p w:rsidR="001C321D" w:rsidRPr="008A3777" w:rsidRDefault="001C321D" w:rsidP="001C321D">
            <w:pPr>
              <w:jc w:val="center"/>
              <w:rPr>
                <w:rFonts w:ascii="Arial" w:hAnsi="Arial" w:cs="Arial"/>
                <w:sz w:val="18"/>
                <w:szCs w:val="18"/>
              </w:rPr>
            </w:pPr>
            <w:r w:rsidRPr="008A3777">
              <w:rPr>
                <w:rFonts w:ascii="Arial" w:hAnsi="Arial" w:cs="Arial"/>
                <w:sz w:val="18"/>
                <w:szCs w:val="18"/>
              </w:rPr>
              <w:t>Prioritná os 7</w:t>
            </w:r>
          </w:p>
        </w:tc>
        <w:tc>
          <w:tcPr>
            <w:tcW w:w="1640" w:type="dxa"/>
            <w:tcBorders>
              <w:top w:val="nil"/>
              <w:left w:val="nil"/>
              <w:bottom w:val="single" w:sz="8" w:space="0" w:color="auto"/>
              <w:right w:val="single" w:sz="4" w:space="0" w:color="auto"/>
            </w:tcBorders>
            <w:shd w:val="clear" w:color="auto" w:fill="auto"/>
            <w:vAlign w:val="center"/>
            <w:hideMark/>
          </w:tcPr>
          <w:p w:rsidR="001C321D" w:rsidRPr="008A3777" w:rsidRDefault="001C321D" w:rsidP="001C321D">
            <w:pPr>
              <w:jc w:val="center"/>
              <w:rPr>
                <w:rFonts w:ascii="Arial" w:hAnsi="Arial" w:cs="Arial"/>
                <w:sz w:val="18"/>
                <w:szCs w:val="18"/>
              </w:rPr>
            </w:pPr>
            <w:r w:rsidRPr="008A3777">
              <w:rPr>
                <w:rFonts w:ascii="Arial" w:hAnsi="Arial" w:cs="Arial"/>
                <w:sz w:val="18"/>
                <w:szCs w:val="18"/>
              </w:rPr>
              <w:t>23 529 412</w:t>
            </w:r>
          </w:p>
        </w:tc>
        <w:tc>
          <w:tcPr>
            <w:tcW w:w="1560" w:type="dxa"/>
            <w:tcBorders>
              <w:top w:val="nil"/>
              <w:left w:val="nil"/>
              <w:bottom w:val="single" w:sz="8" w:space="0" w:color="auto"/>
              <w:right w:val="single" w:sz="4" w:space="0" w:color="auto"/>
            </w:tcBorders>
            <w:shd w:val="clear" w:color="auto" w:fill="auto"/>
            <w:vAlign w:val="center"/>
            <w:hideMark/>
          </w:tcPr>
          <w:p w:rsidR="001C321D" w:rsidRPr="008A3777" w:rsidRDefault="001C321D" w:rsidP="001C321D">
            <w:pPr>
              <w:jc w:val="right"/>
              <w:rPr>
                <w:rFonts w:ascii="Arial" w:hAnsi="Arial" w:cs="Arial"/>
                <w:sz w:val="18"/>
                <w:szCs w:val="18"/>
              </w:rPr>
            </w:pPr>
            <w:r w:rsidRPr="008A3777">
              <w:rPr>
                <w:rFonts w:ascii="Arial" w:hAnsi="Arial" w:cs="Arial"/>
                <w:sz w:val="18"/>
                <w:szCs w:val="18"/>
              </w:rPr>
              <w:t>0,00</w:t>
            </w:r>
          </w:p>
        </w:tc>
        <w:tc>
          <w:tcPr>
            <w:tcW w:w="1820" w:type="dxa"/>
            <w:tcBorders>
              <w:top w:val="nil"/>
              <w:left w:val="nil"/>
              <w:bottom w:val="single" w:sz="8" w:space="0" w:color="auto"/>
              <w:right w:val="single" w:sz="4" w:space="0" w:color="auto"/>
            </w:tcBorders>
            <w:shd w:val="clear" w:color="auto" w:fill="auto"/>
            <w:vAlign w:val="center"/>
            <w:hideMark/>
          </w:tcPr>
          <w:p w:rsidR="001C321D" w:rsidRPr="008A3777" w:rsidRDefault="001C321D" w:rsidP="001C321D">
            <w:pPr>
              <w:jc w:val="center"/>
              <w:rPr>
                <w:rFonts w:ascii="Arial" w:hAnsi="Arial" w:cs="Arial"/>
                <w:sz w:val="18"/>
                <w:szCs w:val="18"/>
              </w:rPr>
            </w:pPr>
            <w:r w:rsidRPr="008A3777">
              <w:rPr>
                <w:rFonts w:ascii="Arial" w:hAnsi="Arial" w:cs="Arial"/>
                <w:sz w:val="18"/>
                <w:szCs w:val="18"/>
              </w:rPr>
              <w:t>0,00%</w:t>
            </w:r>
          </w:p>
        </w:tc>
      </w:tr>
      <w:tr w:rsidR="008A3777" w:rsidRPr="008A3777" w:rsidTr="008F1D60">
        <w:trPr>
          <w:trHeight w:val="270"/>
        </w:trPr>
        <w:tc>
          <w:tcPr>
            <w:tcW w:w="1640" w:type="dxa"/>
            <w:tcBorders>
              <w:top w:val="single" w:sz="8" w:space="0" w:color="auto"/>
              <w:left w:val="single" w:sz="8" w:space="0" w:color="auto"/>
              <w:bottom w:val="single" w:sz="8" w:space="0" w:color="auto"/>
              <w:right w:val="single" w:sz="8" w:space="0" w:color="auto"/>
            </w:tcBorders>
            <w:shd w:val="clear" w:color="auto" w:fill="EAF1DD"/>
            <w:noWrap/>
            <w:vAlign w:val="center"/>
            <w:hideMark/>
          </w:tcPr>
          <w:p w:rsidR="001C321D" w:rsidRPr="008A3777" w:rsidRDefault="001C321D" w:rsidP="001C321D">
            <w:pPr>
              <w:jc w:val="center"/>
              <w:rPr>
                <w:rFonts w:ascii="Arial" w:hAnsi="Arial" w:cs="Arial"/>
                <w:b/>
                <w:bCs/>
                <w:sz w:val="18"/>
                <w:szCs w:val="18"/>
              </w:rPr>
            </w:pPr>
            <w:r w:rsidRPr="008A3777">
              <w:rPr>
                <w:rFonts w:ascii="Arial" w:hAnsi="Arial" w:cs="Arial"/>
                <w:b/>
                <w:bCs/>
                <w:sz w:val="18"/>
                <w:szCs w:val="18"/>
              </w:rPr>
              <w:t>Celkom</w:t>
            </w:r>
          </w:p>
        </w:tc>
        <w:tc>
          <w:tcPr>
            <w:tcW w:w="1640" w:type="dxa"/>
            <w:tcBorders>
              <w:top w:val="single" w:sz="8" w:space="0" w:color="auto"/>
              <w:left w:val="nil"/>
              <w:bottom w:val="single" w:sz="8" w:space="0" w:color="auto"/>
              <w:right w:val="single" w:sz="8" w:space="0" w:color="auto"/>
            </w:tcBorders>
            <w:shd w:val="clear" w:color="auto" w:fill="EAF1DD"/>
            <w:noWrap/>
            <w:vAlign w:val="center"/>
            <w:hideMark/>
          </w:tcPr>
          <w:p w:rsidR="001C321D" w:rsidRPr="008A3777" w:rsidRDefault="001C321D" w:rsidP="001C321D">
            <w:pPr>
              <w:jc w:val="center"/>
              <w:rPr>
                <w:rFonts w:ascii="Arial" w:hAnsi="Arial" w:cs="Arial"/>
                <w:b/>
                <w:bCs/>
                <w:sz w:val="18"/>
                <w:szCs w:val="18"/>
              </w:rPr>
            </w:pPr>
            <w:r w:rsidRPr="008A3777">
              <w:rPr>
                <w:rFonts w:ascii="Arial" w:hAnsi="Arial" w:cs="Arial"/>
                <w:b/>
                <w:bCs/>
                <w:sz w:val="18"/>
                <w:szCs w:val="18"/>
              </w:rPr>
              <w:t>2 141 176 471</w:t>
            </w:r>
          </w:p>
        </w:tc>
        <w:tc>
          <w:tcPr>
            <w:tcW w:w="1560" w:type="dxa"/>
            <w:tcBorders>
              <w:top w:val="single" w:sz="8" w:space="0" w:color="auto"/>
              <w:left w:val="nil"/>
              <w:bottom w:val="single" w:sz="8" w:space="0" w:color="auto"/>
              <w:right w:val="single" w:sz="8" w:space="0" w:color="auto"/>
            </w:tcBorders>
            <w:shd w:val="clear" w:color="auto" w:fill="EAF1DD"/>
            <w:noWrap/>
            <w:vAlign w:val="center"/>
            <w:hideMark/>
          </w:tcPr>
          <w:p w:rsidR="001C321D" w:rsidRPr="008A3777" w:rsidRDefault="001C321D" w:rsidP="001C321D">
            <w:pPr>
              <w:jc w:val="right"/>
              <w:rPr>
                <w:rFonts w:ascii="Arial" w:hAnsi="Arial" w:cs="Arial"/>
                <w:b/>
                <w:bCs/>
                <w:sz w:val="18"/>
                <w:szCs w:val="18"/>
              </w:rPr>
            </w:pPr>
            <w:r w:rsidRPr="008A3777">
              <w:rPr>
                <w:rFonts w:ascii="Arial" w:hAnsi="Arial" w:cs="Arial"/>
                <w:b/>
                <w:bCs/>
                <w:sz w:val="18"/>
                <w:szCs w:val="18"/>
              </w:rPr>
              <w:t>679 875 485,89</w:t>
            </w:r>
          </w:p>
        </w:tc>
        <w:tc>
          <w:tcPr>
            <w:tcW w:w="1820" w:type="dxa"/>
            <w:tcBorders>
              <w:top w:val="single" w:sz="8" w:space="0" w:color="auto"/>
              <w:left w:val="nil"/>
              <w:bottom w:val="single" w:sz="8" w:space="0" w:color="auto"/>
              <w:right w:val="single" w:sz="8" w:space="0" w:color="auto"/>
            </w:tcBorders>
            <w:shd w:val="clear" w:color="auto" w:fill="EAF1DD"/>
            <w:vAlign w:val="center"/>
            <w:hideMark/>
          </w:tcPr>
          <w:p w:rsidR="001C321D" w:rsidRPr="008A3777" w:rsidRDefault="001C321D" w:rsidP="001C321D">
            <w:pPr>
              <w:jc w:val="center"/>
              <w:rPr>
                <w:rFonts w:ascii="Arial" w:hAnsi="Arial" w:cs="Arial"/>
                <w:b/>
                <w:bCs/>
                <w:sz w:val="18"/>
                <w:szCs w:val="18"/>
              </w:rPr>
            </w:pPr>
            <w:r w:rsidRPr="008A3777">
              <w:rPr>
                <w:rFonts w:ascii="Arial" w:hAnsi="Arial" w:cs="Arial"/>
                <w:b/>
                <w:bCs/>
                <w:sz w:val="18"/>
                <w:szCs w:val="18"/>
              </w:rPr>
              <w:t>31,75%</w:t>
            </w:r>
          </w:p>
        </w:tc>
      </w:tr>
    </w:tbl>
    <w:p w:rsidR="001C321D" w:rsidRPr="008A3777" w:rsidRDefault="008F1D60" w:rsidP="008F1D60">
      <w:pPr>
        <w:spacing w:line="360" w:lineRule="auto"/>
        <w:ind w:left="1" w:firstLine="2"/>
        <w:jc w:val="both"/>
        <w:rPr>
          <w:rFonts w:ascii="Arial" w:hAnsi="Arial" w:cs="Arial"/>
          <w:sz w:val="18"/>
          <w:szCs w:val="18"/>
        </w:rPr>
      </w:pPr>
      <w:r>
        <w:rPr>
          <w:rFonts w:ascii="Arial" w:hAnsi="Arial" w:cs="Arial"/>
          <w:sz w:val="18"/>
          <w:szCs w:val="18"/>
        </w:rPr>
        <w:t xml:space="preserve"> </w:t>
      </w:r>
      <w:r>
        <w:rPr>
          <w:rFonts w:ascii="Arial" w:hAnsi="Arial" w:cs="Arial"/>
          <w:sz w:val="18"/>
          <w:szCs w:val="18"/>
        </w:rPr>
        <w:tab/>
      </w:r>
      <w:r>
        <w:rPr>
          <w:rFonts w:ascii="Arial" w:hAnsi="Arial" w:cs="Arial"/>
          <w:sz w:val="18"/>
          <w:szCs w:val="18"/>
        </w:rPr>
        <w:tab/>
        <w:t xml:space="preserve">                     </w:t>
      </w:r>
      <w:r w:rsidR="001C321D" w:rsidRPr="008A3777">
        <w:rPr>
          <w:rFonts w:ascii="Arial" w:hAnsi="Arial" w:cs="Arial"/>
          <w:sz w:val="18"/>
          <w:szCs w:val="18"/>
        </w:rPr>
        <w:t>Zdroj: RO</w:t>
      </w:r>
    </w:p>
    <w:p w:rsidR="008A3777" w:rsidRPr="00172EE5" w:rsidRDefault="008A3777" w:rsidP="008A3777">
      <w:pPr>
        <w:autoSpaceDE w:val="0"/>
        <w:autoSpaceDN w:val="0"/>
        <w:adjustRightInd w:val="0"/>
        <w:spacing w:before="120" w:after="120" w:line="360" w:lineRule="auto"/>
        <w:jc w:val="both"/>
        <w:rPr>
          <w:rFonts w:ascii="Arial" w:hAnsi="Arial" w:cs="Arial"/>
          <w:sz w:val="20"/>
          <w:szCs w:val="20"/>
          <w:lang w:eastAsia="en-US"/>
        </w:rPr>
      </w:pPr>
      <w:r w:rsidRPr="00172EE5">
        <w:rPr>
          <w:rFonts w:ascii="Arial" w:hAnsi="Arial" w:cs="Arial"/>
          <w:sz w:val="20"/>
          <w:szCs w:val="20"/>
          <w:lang w:eastAsia="en-US"/>
        </w:rPr>
        <w:t>Úroveň čerpania sa dlhodobo pohyb</w:t>
      </w:r>
      <w:r>
        <w:rPr>
          <w:rFonts w:ascii="Arial" w:hAnsi="Arial" w:cs="Arial"/>
          <w:sz w:val="20"/>
          <w:szCs w:val="20"/>
          <w:lang w:eastAsia="en-US"/>
        </w:rPr>
        <w:t xml:space="preserve">ovala </w:t>
      </w:r>
      <w:r w:rsidRPr="00172EE5">
        <w:rPr>
          <w:rFonts w:ascii="Arial" w:hAnsi="Arial" w:cs="Arial"/>
          <w:sz w:val="20"/>
          <w:szCs w:val="20"/>
          <w:lang w:eastAsia="en-US"/>
        </w:rPr>
        <w:t>pod priemernou úrovňou čerpania v rámci NSRR. Dôvodmi tohto stavu z dlhodobého hľadiska sú predovšetkým nasledovné skutočnosti:</w:t>
      </w:r>
    </w:p>
    <w:p w:rsidR="001C321D" w:rsidRPr="008A3777" w:rsidRDefault="001C321D" w:rsidP="001540E7">
      <w:pPr>
        <w:numPr>
          <w:ilvl w:val="0"/>
          <w:numId w:val="15"/>
        </w:numPr>
        <w:spacing w:before="120" w:after="120" w:line="360" w:lineRule="auto"/>
        <w:ind w:left="1066" w:hanging="357"/>
        <w:jc w:val="both"/>
        <w:rPr>
          <w:rFonts w:ascii="Arial" w:hAnsi="Arial" w:cs="Arial"/>
          <w:sz w:val="20"/>
          <w:szCs w:val="20"/>
        </w:rPr>
      </w:pPr>
      <w:r w:rsidRPr="008A3777">
        <w:rPr>
          <w:rFonts w:ascii="Arial" w:hAnsi="Arial" w:cs="Arial"/>
          <w:sz w:val="20"/>
          <w:szCs w:val="20"/>
        </w:rPr>
        <w:t>charakter projektov podporovaných v rámci OP ŽP – investičné projekty v oblasti environmentálnej infraštruktúry, ktoré svojimi parametrami a náročnosťou realizácie neumožňujú rýchle čerpanie v prvých fázach realizácie, ale rovnomerné čerpanie prostriedkov počas celej doby oprávnenosti, resp. v prípade investične náročnejších projektov až v druhej polovici obdobia implementácie projektu</w:t>
      </w:r>
    </w:p>
    <w:p w:rsidR="001C321D" w:rsidRPr="008A3777" w:rsidRDefault="001C321D" w:rsidP="001540E7">
      <w:pPr>
        <w:numPr>
          <w:ilvl w:val="0"/>
          <w:numId w:val="15"/>
        </w:numPr>
        <w:spacing w:before="120" w:after="120" w:line="360" w:lineRule="auto"/>
        <w:ind w:left="1066" w:hanging="357"/>
        <w:jc w:val="both"/>
        <w:rPr>
          <w:rFonts w:ascii="Arial" w:hAnsi="Arial" w:cs="Arial"/>
          <w:sz w:val="20"/>
          <w:szCs w:val="20"/>
        </w:rPr>
      </w:pPr>
      <w:r w:rsidRPr="008A3777">
        <w:rPr>
          <w:rFonts w:ascii="Arial" w:hAnsi="Arial" w:cs="Arial"/>
          <w:sz w:val="20"/>
          <w:szCs w:val="20"/>
        </w:rPr>
        <w:t>problémy v procese implementácie projektov, a to v oblasti verejného obstarávania, v súvislosti so žiadosťami prijímateľov o zmenu projektov (časový harmonogram, finančný plán, technické riešenie) v priebehu ich implementácie, čo predlžuje realizáciu projektov a nedostatky v žiadostiach o platbu predkladaných prijímateľmi, čo vedie k potrebe ich dopĺňania, resp. zamietnutiu niektorých z nich;</w:t>
      </w:r>
    </w:p>
    <w:p w:rsidR="001C321D" w:rsidRPr="008A3777" w:rsidRDefault="001C321D" w:rsidP="001540E7">
      <w:pPr>
        <w:pStyle w:val="Odsekzoznamu"/>
        <w:numPr>
          <w:ilvl w:val="0"/>
          <w:numId w:val="15"/>
        </w:numPr>
        <w:tabs>
          <w:tab w:val="left" w:pos="284"/>
        </w:tabs>
        <w:spacing w:before="120" w:after="0" w:line="360" w:lineRule="auto"/>
        <w:ind w:left="1066" w:hanging="357"/>
        <w:contextualSpacing w:val="0"/>
        <w:jc w:val="both"/>
        <w:rPr>
          <w:rFonts w:ascii="Arial" w:hAnsi="Arial" w:cs="Arial"/>
          <w:sz w:val="20"/>
          <w:szCs w:val="20"/>
        </w:rPr>
      </w:pPr>
      <w:r w:rsidRPr="008A3777">
        <w:rPr>
          <w:rFonts w:ascii="Arial" w:hAnsi="Arial" w:cs="Arial"/>
          <w:sz w:val="20"/>
          <w:szCs w:val="20"/>
        </w:rPr>
        <w:t>prerušenie lehoty pre platby na OP ŽP v zmysle článku 91 nariadenia Rady (ES) č. 1083/2006 (ďalej len „všeobecné nariadenie“) a následné uplatnenie postupu na pozastavenia platieb pre OP ŽP v zmysle článku 92 všeobecného nariadenia</w:t>
      </w:r>
      <w:r w:rsidRPr="008A3777">
        <w:rPr>
          <w:rFonts w:ascii="Arial" w:hAnsi="Arial" w:cs="Arial"/>
          <w:i/>
          <w:sz w:val="20"/>
          <w:szCs w:val="20"/>
        </w:rPr>
        <w:t xml:space="preserve"> – </w:t>
      </w:r>
      <w:r w:rsidRPr="008A3777">
        <w:rPr>
          <w:rFonts w:ascii="Arial" w:hAnsi="Arial" w:cs="Arial"/>
          <w:sz w:val="20"/>
          <w:szCs w:val="20"/>
        </w:rPr>
        <w:t>uvedené malo za následok, že od momentu prerušenia lehoty pre platby (oznámené listom EK z 15.7.2011) neboli niektoré z plánovaných výziev vyhlásené, keďže existovalo riziko spochybnenia spoľahlivosti niektorého z prvkov systému riadenia a kontroly OP ŽP. Zároveň od tohto momentu neboli na EK predkladané žiadosti o platbu na výdavky projektov implementovaných v rámci OP ŽP</w:t>
      </w:r>
      <w:r w:rsidR="008A3777">
        <w:rPr>
          <w:rFonts w:ascii="Arial" w:hAnsi="Arial" w:cs="Arial"/>
          <w:sz w:val="20"/>
          <w:szCs w:val="20"/>
        </w:rPr>
        <w:t xml:space="preserve"> (podrobnejšie </w:t>
      </w:r>
      <w:r w:rsidR="008001F1">
        <w:rPr>
          <w:rFonts w:ascii="Arial" w:hAnsi="Arial" w:cs="Arial"/>
          <w:sz w:val="20"/>
          <w:szCs w:val="20"/>
        </w:rPr>
        <w:t xml:space="preserve">uvedené </w:t>
      </w:r>
      <w:r w:rsidR="008A3777">
        <w:rPr>
          <w:rFonts w:ascii="Arial" w:hAnsi="Arial" w:cs="Arial"/>
          <w:sz w:val="20"/>
          <w:szCs w:val="20"/>
        </w:rPr>
        <w:t>v kapitole 2.3 tejto správy)</w:t>
      </w:r>
      <w:r w:rsidRPr="008A3777">
        <w:rPr>
          <w:rFonts w:ascii="Arial" w:hAnsi="Arial" w:cs="Arial"/>
          <w:sz w:val="20"/>
          <w:szCs w:val="20"/>
        </w:rPr>
        <w:t>.</w:t>
      </w:r>
    </w:p>
    <w:p w:rsidR="001C321D" w:rsidRPr="008A3777" w:rsidRDefault="001C321D" w:rsidP="001540E7">
      <w:pPr>
        <w:pStyle w:val="Odsekzoznamu"/>
        <w:numPr>
          <w:ilvl w:val="0"/>
          <w:numId w:val="15"/>
        </w:numPr>
        <w:tabs>
          <w:tab w:val="left" w:pos="284"/>
        </w:tabs>
        <w:spacing w:before="120" w:after="0" w:line="360" w:lineRule="auto"/>
        <w:ind w:left="1066" w:hanging="357"/>
        <w:contextualSpacing w:val="0"/>
        <w:jc w:val="both"/>
        <w:rPr>
          <w:rFonts w:ascii="Arial" w:hAnsi="Arial" w:cs="Arial"/>
          <w:sz w:val="20"/>
          <w:szCs w:val="20"/>
        </w:rPr>
      </w:pPr>
      <w:r w:rsidRPr="008A3777">
        <w:rPr>
          <w:rFonts w:ascii="Arial" w:hAnsi="Arial" w:cs="Arial"/>
          <w:sz w:val="20"/>
          <w:szCs w:val="20"/>
        </w:rPr>
        <w:tab/>
        <w:t xml:space="preserve">meškanie v rámci prípravy veľkých projektov zo strany prijímateľov a ich schvaľovania zo strany EK – vzhľadom k významnému finančnému objemu veľkých projektov má meškanie v procese ich prípravy a schvaľovania negatívny dopad aj na úroveň čerpania prostriedkov v rámci OP ŽP; </w:t>
      </w:r>
    </w:p>
    <w:p w:rsidR="001C321D" w:rsidRPr="008A3777" w:rsidRDefault="001C321D" w:rsidP="001540E7">
      <w:pPr>
        <w:pStyle w:val="Odsekzoznamu"/>
        <w:numPr>
          <w:ilvl w:val="0"/>
          <w:numId w:val="15"/>
        </w:numPr>
        <w:tabs>
          <w:tab w:val="left" w:pos="284"/>
        </w:tabs>
        <w:spacing w:before="120" w:after="0" w:line="360" w:lineRule="auto"/>
        <w:ind w:left="1066" w:hanging="357"/>
        <w:contextualSpacing w:val="0"/>
        <w:jc w:val="both"/>
        <w:rPr>
          <w:rFonts w:ascii="Arial" w:hAnsi="Arial" w:cs="Arial"/>
          <w:sz w:val="20"/>
          <w:szCs w:val="20"/>
        </w:rPr>
      </w:pPr>
      <w:r w:rsidRPr="008A3777">
        <w:rPr>
          <w:rFonts w:ascii="Arial" w:hAnsi="Arial" w:cs="Arial"/>
          <w:sz w:val="20"/>
          <w:szCs w:val="20"/>
        </w:rPr>
        <w:t xml:space="preserve">nedostatočná kvalita dokumentov predkladaných prijímateľmi - napriek oprávnenosti výdavkov na riadenie projektu, realizácii viacerých odborných školení a možnosti konzultácie predkladaných dokumentov prijímatelia predkladajú opakovane nekvalitné výstupy, najmä žiadosti o platbu, ktorým následne projektoví manažéri RO venujú neprimerane veľa času, resp. čo v mnohých prípadoch vedie k vráteniu žiadosti o platbu na doplnenie prijímateľovi alebo k neuznaniu výdavkov deklarovaných v žiadostiach o platbu. </w:t>
      </w:r>
    </w:p>
    <w:p w:rsidR="008001F1" w:rsidRDefault="001C321D" w:rsidP="001540E7">
      <w:pPr>
        <w:pStyle w:val="Odsekzoznamu"/>
        <w:numPr>
          <w:ilvl w:val="0"/>
          <w:numId w:val="15"/>
        </w:numPr>
        <w:tabs>
          <w:tab w:val="left" w:pos="284"/>
        </w:tabs>
        <w:spacing w:before="120" w:after="0" w:line="360" w:lineRule="auto"/>
        <w:ind w:left="1066" w:hanging="357"/>
        <w:contextualSpacing w:val="0"/>
        <w:jc w:val="both"/>
        <w:rPr>
          <w:rFonts w:ascii="Arial" w:hAnsi="Arial" w:cs="Arial"/>
          <w:sz w:val="20"/>
          <w:szCs w:val="20"/>
        </w:rPr>
      </w:pPr>
      <w:r w:rsidRPr="008A3777">
        <w:rPr>
          <w:rFonts w:ascii="Arial" w:hAnsi="Arial" w:cs="Arial"/>
          <w:sz w:val="20"/>
          <w:szCs w:val="20"/>
        </w:rPr>
        <w:t>znížená disponibilita finančných prostriedkov prijímateľov na spolufinancovanie ich projektov - jedným z negatívnych dôsledkov ekonomickej krízy posledných rokov bola aj znížená schopnosť prijímateľov využívajúcich systém refundácie výdavkov zabezpečiť spolufinancovanie ich projektov v implementačnej fáze projektu. Rozšírením možnosti využívania systému predfinancovania a zálohových platieb v roku 2010 prostredníctvom zmeny Systému finančného riadenia ŠF a KF na programové obdobie 2007 - 2013 bol tento problém z veľkej miery eliminovaný;</w:t>
      </w:r>
    </w:p>
    <w:p w:rsidR="008001F1" w:rsidRDefault="001C321D" w:rsidP="001540E7">
      <w:pPr>
        <w:pStyle w:val="Odsekzoznamu"/>
        <w:numPr>
          <w:ilvl w:val="0"/>
          <w:numId w:val="15"/>
        </w:numPr>
        <w:tabs>
          <w:tab w:val="left" w:pos="284"/>
        </w:tabs>
        <w:spacing w:before="120" w:after="0" w:line="360" w:lineRule="auto"/>
        <w:ind w:left="1066" w:hanging="357"/>
        <w:contextualSpacing w:val="0"/>
        <w:jc w:val="both"/>
        <w:rPr>
          <w:rFonts w:ascii="Arial" w:hAnsi="Arial" w:cs="Arial"/>
          <w:sz w:val="20"/>
          <w:szCs w:val="20"/>
        </w:rPr>
      </w:pPr>
      <w:r w:rsidRPr="008001F1">
        <w:rPr>
          <w:rFonts w:ascii="Arial" w:hAnsi="Arial" w:cs="Arial"/>
          <w:sz w:val="20"/>
          <w:szCs w:val="20"/>
        </w:rPr>
        <w:t xml:space="preserve">proces (dvojnásobnej) delimitácie RO pre OP ŽP – organizačné zmeny vykonané v súvislosti so zrušením s opätovným vznikom MŽP SR v roku 2010 si vyžiadali prerušenie a dočasné pozastavenie všetkých finančných transakcií v rámci OP ŽP (dvakrát v priebehu roka 2010, a to vždy na obdobie cca 8 týždňov). V období od mája 2010 do februára 2011 teda nebolo možné v rámci OP ŽP vyplácať jednotlivé žiadosti o platbu približne štyri mesiace, čo malo negatívny vplyv na rýchlosť čerpania finančných prostriedkov. Nepriaznivý dopad na úroveň čerpania bol znásobený tým, že k nemu došlo v období hlavnej stavebnej sezóny (jar - jeseň), ktoré je v prípade investičných infraštrukturálnych projektov kľúčové na realizáciu stavebných prác. V tejto súvislosti došlo k značným zmenám aj vo vzťahu k časovým harmonogramom realizácie aktivít jednotlivých projektov a tým k potrebe vytvárania dodatkov k jednotlivým zmluvám o poskytnutí NFP. </w:t>
      </w:r>
    </w:p>
    <w:p w:rsidR="008A3777" w:rsidRPr="008001F1" w:rsidRDefault="008A3777" w:rsidP="008001F1">
      <w:pPr>
        <w:tabs>
          <w:tab w:val="left" w:pos="284"/>
        </w:tabs>
        <w:spacing w:before="120" w:line="360" w:lineRule="auto"/>
        <w:jc w:val="both"/>
        <w:rPr>
          <w:rFonts w:ascii="Arial" w:hAnsi="Arial" w:cs="Arial"/>
          <w:sz w:val="20"/>
          <w:szCs w:val="20"/>
        </w:rPr>
      </w:pPr>
      <w:r w:rsidRPr="008001F1">
        <w:rPr>
          <w:rFonts w:ascii="Arial" w:hAnsi="Arial" w:cs="Arial"/>
          <w:sz w:val="20"/>
          <w:szCs w:val="20"/>
        </w:rPr>
        <w:t>V nadväznosti na vyššie uvedené problémové oblasti prijal RO nasledovné opatrenia za účelom zvýšenie úrovne čerpania:</w:t>
      </w:r>
    </w:p>
    <w:p w:rsidR="000E46B3" w:rsidRDefault="008001F1" w:rsidP="001540E7">
      <w:pPr>
        <w:pStyle w:val="Odsekzoznamu"/>
        <w:numPr>
          <w:ilvl w:val="0"/>
          <w:numId w:val="15"/>
        </w:numPr>
        <w:tabs>
          <w:tab w:val="left" w:pos="284"/>
        </w:tabs>
        <w:spacing w:before="120" w:after="0" w:line="360" w:lineRule="auto"/>
        <w:ind w:left="1066" w:hanging="357"/>
        <w:contextualSpacing w:val="0"/>
        <w:jc w:val="both"/>
        <w:rPr>
          <w:rFonts w:ascii="Arial" w:hAnsi="Arial" w:cs="Arial"/>
          <w:sz w:val="20"/>
          <w:szCs w:val="20"/>
        </w:rPr>
      </w:pPr>
      <w:r>
        <w:rPr>
          <w:rFonts w:ascii="Arial" w:hAnsi="Arial" w:cs="Arial"/>
          <w:sz w:val="20"/>
          <w:szCs w:val="20"/>
        </w:rPr>
        <w:t>z</w:t>
      </w:r>
      <w:r w:rsidR="000E46B3">
        <w:rPr>
          <w:rFonts w:ascii="Arial" w:hAnsi="Arial" w:cs="Arial"/>
          <w:sz w:val="20"/>
          <w:szCs w:val="20"/>
        </w:rPr>
        <w:t xml:space="preserve">aktualizoval </w:t>
      </w:r>
      <w:r w:rsidR="001C321D" w:rsidRPr="000E46B3">
        <w:rPr>
          <w:rFonts w:ascii="Arial" w:hAnsi="Arial" w:cs="Arial"/>
          <w:sz w:val="20"/>
          <w:szCs w:val="20"/>
        </w:rPr>
        <w:t xml:space="preserve"> Príručk</w:t>
      </w:r>
      <w:r w:rsidR="000E46B3">
        <w:rPr>
          <w:rFonts w:ascii="Arial" w:hAnsi="Arial" w:cs="Arial"/>
          <w:sz w:val="20"/>
          <w:szCs w:val="20"/>
        </w:rPr>
        <w:t>u</w:t>
      </w:r>
      <w:r w:rsidR="001C321D" w:rsidRPr="000E46B3">
        <w:rPr>
          <w:rFonts w:ascii="Arial" w:hAnsi="Arial" w:cs="Arial"/>
          <w:sz w:val="20"/>
          <w:szCs w:val="20"/>
        </w:rPr>
        <w:t xml:space="preserve"> pre prijímateľa pre projekty spolufinancované z ERDF/KF, ktorá predstavuje metodický dokument, napomáhajúci prijímateľovi pri implementácii projektu </w:t>
      </w:r>
      <w:r w:rsidR="000E46B3">
        <w:rPr>
          <w:rFonts w:ascii="Arial" w:hAnsi="Arial" w:cs="Arial"/>
          <w:sz w:val="20"/>
          <w:szCs w:val="20"/>
        </w:rPr>
        <w:t>a</w:t>
      </w:r>
      <w:r w:rsidR="001C321D" w:rsidRPr="000E46B3">
        <w:rPr>
          <w:rFonts w:ascii="Arial" w:hAnsi="Arial" w:cs="Arial"/>
          <w:sz w:val="20"/>
          <w:szCs w:val="20"/>
        </w:rPr>
        <w:t xml:space="preserve"> dopl</w:t>
      </w:r>
      <w:r w:rsidR="000E46B3">
        <w:rPr>
          <w:rFonts w:ascii="Arial" w:hAnsi="Arial" w:cs="Arial"/>
          <w:sz w:val="20"/>
          <w:szCs w:val="20"/>
        </w:rPr>
        <w:t xml:space="preserve">nil </w:t>
      </w:r>
      <w:r w:rsidR="001C321D" w:rsidRPr="000E46B3">
        <w:rPr>
          <w:rFonts w:ascii="Arial" w:hAnsi="Arial" w:cs="Arial"/>
          <w:sz w:val="20"/>
          <w:szCs w:val="20"/>
        </w:rPr>
        <w:t xml:space="preserve"> vysvetľujúce informácie  k zlepšeniu vzájomnej spolupráce všetkých strán zapoj</w:t>
      </w:r>
      <w:r w:rsidR="00DF4CD4">
        <w:rPr>
          <w:rFonts w:ascii="Arial" w:hAnsi="Arial" w:cs="Arial"/>
          <w:sz w:val="20"/>
          <w:szCs w:val="20"/>
        </w:rPr>
        <w:t>ených do implementácie projektu</w:t>
      </w:r>
      <w:r w:rsidR="001C321D" w:rsidRPr="000E46B3">
        <w:rPr>
          <w:rFonts w:ascii="Arial" w:hAnsi="Arial" w:cs="Arial"/>
          <w:sz w:val="20"/>
          <w:szCs w:val="20"/>
        </w:rPr>
        <w:t>;</w:t>
      </w:r>
      <w:r w:rsidR="007E5895">
        <w:rPr>
          <w:rFonts w:ascii="Arial" w:hAnsi="Arial" w:cs="Arial"/>
          <w:sz w:val="20"/>
          <w:szCs w:val="20"/>
        </w:rPr>
        <w:t xml:space="preserve"> </w:t>
      </w:r>
    </w:p>
    <w:p w:rsidR="007E5895" w:rsidRPr="00BA7B62" w:rsidRDefault="007E5895" w:rsidP="001540E7">
      <w:pPr>
        <w:pStyle w:val="Odsekzoznamu"/>
        <w:numPr>
          <w:ilvl w:val="0"/>
          <w:numId w:val="15"/>
        </w:numPr>
        <w:tabs>
          <w:tab w:val="left" w:pos="284"/>
        </w:tabs>
        <w:spacing w:before="120" w:after="0" w:line="360" w:lineRule="auto"/>
        <w:ind w:left="1066" w:hanging="357"/>
        <w:contextualSpacing w:val="0"/>
        <w:jc w:val="both"/>
        <w:rPr>
          <w:rFonts w:ascii="Arial" w:hAnsi="Arial" w:cs="Arial"/>
          <w:sz w:val="20"/>
          <w:szCs w:val="20"/>
        </w:rPr>
      </w:pPr>
      <w:r w:rsidRPr="003534C5">
        <w:rPr>
          <w:rFonts w:ascii="Arial" w:hAnsi="Arial" w:cs="Arial"/>
          <w:bCs/>
          <w:sz w:val="20"/>
          <w:szCs w:val="20"/>
        </w:rPr>
        <w:t xml:space="preserve">v rámci procesu administratívnej kontroly </w:t>
      </w:r>
      <w:r w:rsidRPr="003534C5">
        <w:rPr>
          <w:rFonts w:ascii="Arial" w:hAnsi="Arial" w:cs="Arial"/>
          <w:sz w:val="20"/>
          <w:szCs w:val="20"/>
        </w:rPr>
        <w:t>žiadostí o platbu</w:t>
      </w:r>
      <w:r w:rsidRPr="003534C5">
        <w:rPr>
          <w:rFonts w:ascii="Arial" w:hAnsi="Arial" w:cs="Arial"/>
          <w:bCs/>
          <w:sz w:val="20"/>
          <w:szCs w:val="20"/>
        </w:rPr>
        <w:t xml:space="preserve"> bola venovaná zvýšená pozornosť sledovaniu lehôt stanovených v</w:t>
      </w:r>
      <w:r>
        <w:rPr>
          <w:rFonts w:ascii="Arial" w:hAnsi="Arial" w:cs="Arial"/>
          <w:bCs/>
          <w:sz w:val="20"/>
          <w:szCs w:val="20"/>
        </w:rPr>
        <w:t> riadiacej dokumentácii (</w:t>
      </w:r>
      <w:r w:rsidRPr="003534C5">
        <w:rPr>
          <w:rFonts w:ascii="Arial" w:hAnsi="Arial" w:cs="Arial"/>
          <w:bCs/>
          <w:sz w:val="20"/>
          <w:szCs w:val="20"/>
        </w:rPr>
        <w:t>S</w:t>
      </w:r>
      <w:r>
        <w:rPr>
          <w:rFonts w:ascii="Arial" w:hAnsi="Arial" w:cs="Arial"/>
          <w:bCs/>
          <w:sz w:val="20"/>
          <w:szCs w:val="20"/>
        </w:rPr>
        <w:t xml:space="preserve">ystém finančného riadenia </w:t>
      </w:r>
      <w:r w:rsidRPr="003534C5">
        <w:rPr>
          <w:rFonts w:ascii="Arial" w:hAnsi="Arial" w:cs="Arial"/>
          <w:bCs/>
          <w:sz w:val="20"/>
          <w:szCs w:val="20"/>
        </w:rPr>
        <w:t xml:space="preserve"> resp. v</w:t>
      </w:r>
      <w:r>
        <w:rPr>
          <w:rFonts w:ascii="Arial" w:hAnsi="Arial" w:cs="Arial"/>
          <w:bCs/>
          <w:sz w:val="20"/>
          <w:szCs w:val="20"/>
        </w:rPr>
        <w:t> </w:t>
      </w:r>
      <w:r w:rsidRPr="003534C5">
        <w:rPr>
          <w:rFonts w:ascii="Arial" w:hAnsi="Arial" w:cs="Arial"/>
          <w:bCs/>
          <w:sz w:val="20"/>
          <w:szCs w:val="20"/>
        </w:rPr>
        <w:t>I</w:t>
      </w:r>
      <w:r>
        <w:rPr>
          <w:rFonts w:ascii="Arial" w:hAnsi="Arial" w:cs="Arial"/>
          <w:bCs/>
          <w:sz w:val="20"/>
          <w:szCs w:val="20"/>
        </w:rPr>
        <w:t>nterný manuál)</w:t>
      </w:r>
      <w:r w:rsidRPr="003534C5">
        <w:rPr>
          <w:rFonts w:ascii="Arial" w:hAnsi="Arial" w:cs="Arial"/>
          <w:bCs/>
          <w:sz w:val="20"/>
          <w:szCs w:val="20"/>
        </w:rPr>
        <w:t xml:space="preserve"> a zároveň znížením administratívnej náročnosti pri predkladaní ŽoP zo strany Prijímateľa boli vytvorené predpoklady vedúce k skráteniu lehoty na  administratívnu kontrolu ŽoP</w:t>
      </w:r>
      <w:r>
        <w:rPr>
          <w:rFonts w:ascii="Arial" w:hAnsi="Arial" w:cs="Arial"/>
          <w:bCs/>
          <w:sz w:val="20"/>
          <w:szCs w:val="20"/>
        </w:rPr>
        <w:t>;</w:t>
      </w:r>
    </w:p>
    <w:p w:rsidR="000E46B3" w:rsidRPr="00BA7B62" w:rsidRDefault="001C321D" w:rsidP="001540E7">
      <w:pPr>
        <w:pStyle w:val="Odsekzoznamu"/>
        <w:numPr>
          <w:ilvl w:val="0"/>
          <w:numId w:val="15"/>
        </w:numPr>
        <w:tabs>
          <w:tab w:val="left" w:pos="284"/>
        </w:tabs>
        <w:spacing w:before="120" w:after="0" w:line="360" w:lineRule="auto"/>
        <w:ind w:left="1066" w:hanging="357"/>
        <w:contextualSpacing w:val="0"/>
        <w:jc w:val="both"/>
        <w:rPr>
          <w:rFonts w:ascii="Arial" w:hAnsi="Arial" w:cs="Arial"/>
          <w:sz w:val="20"/>
          <w:szCs w:val="20"/>
        </w:rPr>
      </w:pPr>
      <w:r w:rsidRPr="000E46B3">
        <w:rPr>
          <w:rFonts w:ascii="Arial" w:hAnsi="Arial" w:cs="Arial"/>
          <w:sz w:val="20"/>
          <w:szCs w:val="20"/>
        </w:rPr>
        <w:t>platobná jednotka v spolupráci s</w:t>
      </w:r>
      <w:r w:rsidR="008001F1">
        <w:rPr>
          <w:rFonts w:ascii="Arial" w:hAnsi="Arial" w:cs="Arial"/>
          <w:sz w:val="20"/>
          <w:szCs w:val="20"/>
        </w:rPr>
        <w:t> RO</w:t>
      </w:r>
      <w:r w:rsidRPr="000E46B3">
        <w:rPr>
          <w:rFonts w:ascii="Arial" w:hAnsi="Arial" w:cs="Arial"/>
          <w:sz w:val="20"/>
          <w:szCs w:val="20"/>
        </w:rPr>
        <w:t xml:space="preserve"> s</w:t>
      </w:r>
      <w:r w:rsidR="008001F1">
        <w:rPr>
          <w:rFonts w:ascii="Arial" w:hAnsi="Arial" w:cs="Arial"/>
          <w:sz w:val="20"/>
          <w:szCs w:val="20"/>
        </w:rPr>
        <w:t> </w:t>
      </w:r>
      <w:r w:rsidRPr="000E46B3">
        <w:rPr>
          <w:rFonts w:ascii="Arial" w:hAnsi="Arial" w:cs="Arial"/>
          <w:sz w:val="20"/>
          <w:szCs w:val="20"/>
        </w:rPr>
        <w:t>cieľom zrýchlenia čerpania a</w:t>
      </w:r>
      <w:r w:rsidR="008001F1">
        <w:rPr>
          <w:rFonts w:ascii="Arial" w:hAnsi="Arial" w:cs="Arial"/>
          <w:sz w:val="20"/>
          <w:szCs w:val="20"/>
        </w:rPr>
        <w:t> </w:t>
      </w:r>
      <w:r w:rsidRPr="000E46B3">
        <w:rPr>
          <w:rFonts w:ascii="Arial" w:hAnsi="Arial" w:cs="Arial"/>
          <w:sz w:val="20"/>
          <w:szCs w:val="20"/>
        </w:rPr>
        <w:t>v</w:t>
      </w:r>
      <w:r w:rsidR="008001F1">
        <w:rPr>
          <w:rFonts w:ascii="Arial" w:hAnsi="Arial" w:cs="Arial"/>
          <w:sz w:val="20"/>
          <w:szCs w:val="20"/>
        </w:rPr>
        <w:t> </w:t>
      </w:r>
      <w:r w:rsidRPr="000E46B3">
        <w:rPr>
          <w:rFonts w:ascii="Arial" w:hAnsi="Arial" w:cs="Arial"/>
          <w:sz w:val="20"/>
          <w:szCs w:val="20"/>
        </w:rPr>
        <w:t>nadväznosti na UV SR č. 323/2011, úloha B.3 prehodnotila dokumentáciu postupujúcu z</w:t>
      </w:r>
      <w:r w:rsidR="008001F1">
        <w:rPr>
          <w:rFonts w:ascii="Arial" w:hAnsi="Arial" w:cs="Arial"/>
          <w:sz w:val="20"/>
          <w:szCs w:val="20"/>
        </w:rPr>
        <w:t> </w:t>
      </w:r>
      <w:r w:rsidRPr="000E46B3">
        <w:rPr>
          <w:rFonts w:ascii="Arial" w:hAnsi="Arial" w:cs="Arial"/>
          <w:sz w:val="20"/>
          <w:szCs w:val="20"/>
        </w:rPr>
        <w:t>riadiaceho orgánu platobnej jednotke s</w:t>
      </w:r>
      <w:r w:rsidR="008001F1">
        <w:rPr>
          <w:rFonts w:ascii="Arial" w:hAnsi="Arial" w:cs="Arial"/>
          <w:sz w:val="20"/>
          <w:szCs w:val="20"/>
        </w:rPr>
        <w:t> </w:t>
      </w:r>
      <w:r w:rsidRPr="000E46B3">
        <w:rPr>
          <w:rFonts w:ascii="Arial" w:hAnsi="Arial" w:cs="Arial"/>
          <w:sz w:val="20"/>
          <w:szCs w:val="20"/>
        </w:rPr>
        <w:t>cieľom zníženia jej objemu a</w:t>
      </w:r>
      <w:r w:rsidR="008001F1">
        <w:rPr>
          <w:rFonts w:ascii="Arial" w:hAnsi="Arial" w:cs="Arial"/>
          <w:sz w:val="20"/>
          <w:szCs w:val="20"/>
        </w:rPr>
        <w:t> </w:t>
      </w:r>
      <w:r w:rsidRPr="000E46B3">
        <w:rPr>
          <w:rFonts w:ascii="Arial" w:hAnsi="Arial" w:cs="Arial"/>
          <w:sz w:val="20"/>
          <w:szCs w:val="20"/>
        </w:rPr>
        <w:t>pristúpila k</w:t>
      </w:r>
      <w:r w:rsidR="008001F1">
        <w:rPr>
          <w:rFonts w:ascii="Arial" w:hAnsi="Arial" w:cs="Arial"/>
          <w:sz w:val="20"/>
          <w:szCs w:val="20"/>
        </w:rPr>
        <w:t> </w:t>
      </w:r>
      <w:r w:rsidRPr="000E46B3">
        <w:rPr>
          <w:rFonts w:ascii="Arial" w:hAnsi="Arial" w:cs="Arial"/>
          <w:sz w:val="20"/>
          <w:szCs w:val="20"/>
        </w:rPr>
        <w:t>obmedzeniu objemu predkladanej dokumentácie len na žiadosť o</w:t>
      </w:r>
      <w:r w:rsidR="008001F1">
        <w:rPr>
          <w:rFonts w:ascii="Arial" w:hAnsi="Arial" w:cs="Arial"/>
          <w:sz w:val="20"/>
          <w:szCs w:val="20"/>
        </w:rPr>
        <w:t> </w:t>
      </w:r>
      <w:r w:rsidRPr="000E46B3">
        <w:rPr>
          <w:rFonts w:ascii="Arial" w:hAnsi="Arial" w:cs="Arial"/>
          <w:sz w:val="20"/>
          <w:szCs w:val="20"/>
        </w:rPr>
        <w:t>platbu bez podpornej dokumentácie uvedenej v</w:t>
      </w:r>
      <w:r w:rsidR="008001F1">
        <w:rPr>
          <w:rFonts w:ascii="Arial" w:hAnsi="Arial" w:cs="Arial"/>
          <w:sz w:val="20"/>
          <w:szCs w:val="20"/>
        </w:rPr>
        <w:t> </w:t>
      </w:r>
      <w:r w:rsidRPr="000E46B3">
        <w:rPr>
          <w:rFonts w:ascii="Arial" w:hAnsi="Arial" w:cs="Arial"/>
          <w:sz w:val="20"/>
          <w:szCs w:val="20"/>
        </w:rPr>
        <w:t>časti Zoznam všeobecných príloh a</w:t>
      </w:r>
      <w:r w:rsidR="008001F1">
        <w:rPr>
          <w:rFonts w:ascii="Arial" w:hAnsi="Arial" w:cs="Arial"/>
          <w:sz w:val="20"/>
          <w:szCs w:val="20"/>
        </w:rPr>
        <w:t> </w:t>
      </w:r>
      <w:r w:rsidRPr="000E46B3">
        <w:rPr>
          <w:rFonts w:ascii="Arial" w:hAnsi="Arial" w:cs="Arial"/>
          <w:sz w:val="20"/>
          <w:szCs w:val="20"/>
        </w:rPr>
        <w:t>záznam z</w:t>
      </w:r>
      <w:r w:rsidR="008001F1">
        <w:rPr>
          <w:rFonts w:ascii="Arial" w:hAnsi="Arial" w:cs="Arial"/>
          <w:sz w:val="20"/>
          <w:szCs w:val="20"/>
        </w:rPr>
        <w:t> </w:t>
      </w:r>
      <w:r w:rsidRPr="000E46B3">
        <w:rPr>
          <w:rFonts w:ascii="Arial" w:hAnsi="Arial" w:cs="Arial"/>
          <w:sz w:val="20"/>
          <w:szCs w:val="20"/>
        </w:rPr>
        <w:t>administratívnej kontroly žiadosti o</w:t>
      </w:r>
      <w:r w:rsidR="008001F1">
        <w:rPr>
          <w:rFonts w:ascii="Arial" w:hAnsi="Arial" w:cs="Arial"/>
          <w:sz w:val="20"/>
          <w:szCs w:val="20"/>
        </w:rPr>
        <w:t> </w:t>
      </w:r>
      <w:r w:rsidRPr="000E46B3">
        <w:rPr>
          <w:rFonts w:ascii="Arial" w:hAnsi="Arial" w:cs="Arial"/>
          <w:sz w:val="20"/>
          <w:szCs w:val="20"/>
        </w:rPr>
        <w:t>platbu. Uvedená zmena nadobudla účinnosť od 10.10.2011</w:t>
      </w:r>
      <w:r w:rsidR="000E46B3">
        <w:rPr>
          <w:rFonts w:ascii="Arial" w:hAnsi="Arial" w:cs="Arial"/>
          <w:sz w:val="20"/>
          <w:szCs w:val="20"/>
        </w:rPr>
        <w:t>;</w:t>
      </w:r>
    </w:p>
    <w:p w:rsidR="000E46B3" w:rsidRPr="00BA7B62" w:rsidRDefault="001C321D" w:rsidP="001540E7">
      <w:pPr>
        <w:pStyle w:val="Odsekzoznamu"/>
        <w:numPr>
          <w:ilvl w:val="0"/>
          <w:numId w:val="15"/>
        </w:numPr>
        <w:tabs>
          <w:tab w:val="left" w:pos="284"/>
        </w:tabs>
        <w:spacing w:before="120" w:after="0" w:line="360" w:lineRule="auto"/>
        <w:ind w:left="1066" w:hanging="357"/>
        <w:contextualSpacing w:val="0"/>
        <w:jc w:val="both"/>
        <w:rPr>
          <w:rFonts w:ascii="Arial" w:hAnsi="Arial" w:cs="Arial"/>
          <w:sz w:val="20"/>
          <w:szCs w:val="20"/>
        </w:rPr>
      </w:pPr>
      <w:r w:rsidRPr="000E46B3">
        <w:rPr>
          <w:rFonts w:ascii="Arial" w:hAnsi="Arial" w:cs="Arial"/>
          <w:sz w:val="20"/>
          <w:szCs w:val="20"/>
        </w:rPr>
        <w:t>zníž</w:t>
      </w:r>
      <w:r w:rsidR="000E46B3">
        <w:rPr>
          <w:rFonts w:ascii="Arial" w:hAnsi="Arial" w:cs="Arial"/>
          <w:sz w:val="20"/>
          <w:szCs w:val="20"/>
        </w:rPr>
        <w:t xml:space="preserve">il </w:t>
      </w:r>
      <w:r w:rsidRPr="000E46B3">
        <w:rPr>
          <w:rFonts w:ascii="Arial" w:hAnsi="Arial" w:cs="Arial"/>
          <w:sz w:val="20"/>
          <w:szCs w:val="20"/>
        </w:rPr>
        <w:t xml:space="preserve"> administratívn</w:t>
      </w:r>
      <w:r w:rsidR="000E46B3">
        <w:rPr>
          <w:rFonts w:ascii="Arial" w:hAnsi="Arial" w:cs="Arial"/>
          <w:sz w:val="20"/>
          <w:szCs w:val="20"/>
        </w:rPr>
        <w:t>u</w:t>
      </w:r>
      <w:r w:rsidRPr="000E46B3">
        <w:rPr>
          <w:rFonts w:ascii="Arial" w:hAnsi="Arial" w:cs="Arial"/>
          <w:sz w:val="20"/>
          <w:szCs w:val="20"/>
        </w:rPr>
        <w:t xml:space="preserve"> náročnos</w:t>
      </w:r>
      <w:r w:rsidR="008001F1">
        <w:rPr>
          <w:rFonts w:ascii="Arial" w:hAnsi="Arial" w:cs="Arial"/>
          <w:sz w:val="20"/>
          <w:szCs w:val="20"/>
        </w:rPr>
        <w:t>ť</w:t>
      </w:r>
      <w:r w:rsidRPr="000E46B3">
        <w:rPr>
          <w:rFonts w:ascii="Arial" w:hAnsi="Arial" w:cs="Arial"/>
          <w:sz w:val="20"/>
          <w:szCs w:val="20"/>
        </w:rPr>
        <w:t xml:space="preserve"> prípravy projektov;</w:t>
      </w:r>
    </w:p>
    <w:p w:rsidR="008001F1" w:rsidRPr="007E5895" w:rsidRDefault="001C321D" w:rsidP="007E5895">
      <w:pPr>
        <w:pStyle w:val="Odsekzoznamu"/>
        <w:numPr>
          <w:ilvl w:val="0"/>
          <w:numId w:val="15"/>
        </w:numPr>
        <w:tabs>
          <w:tab w:val="left" w:pos="284"/>
        </w:tabs>
        <w:spacing w:before="120" w:after="0" w:line="360" w:lineRule="auto"/>
        <w:ind w:left="1066" w:hanging="357"/>
        <w:contextualSpacing w:val="0"/>
        <w:jc w:val="both"/>
        <w:rPr>
          <w:rFonts w:ascii="Arial" w:hAnsi="Arial" w:cs="Arial"/>
          <w:sz w:val="20"/>
          <w:szCs w:val="20"/>
        </w:rPr>
      </w:pPr>
      <w:r w:rsidRPr="007E5895">
        <w:rPr>
          <w:rFonts w:ascii="Arial" w:hAnsi="Arial" w:cs="Arial"/>
          <w:sz w:val="20"/>
          <w:szCs w:val="20"/>
        </w:rPr>
        <w:t>zníž</w:t>
      </w:r>
      <w:r w:rsidR="000E46B3" w:rsidRPr="007E5895">
        <w:rPr>
          <w:rFonts w:ascii="Arial" w:hAnsi="Arial" w:cs="Arial"/>
          <w:sz w:val="20"/>
          <w:szCs w:val="20"/>
        </w:rPr>
        <w:t xml:space="preserve">il </w:t>
      </w:r>
      <w:r w:rsidRPr="007E5895">
        <w:rPr>
          <w:rFonts w:ascii="Arial" w:hAnsi="Arial" w:cs="Arial"/>
          <w:sz w:val="20"/>
          <w:szCs w:val="20"/>
        </w:rPr>
        <w:t xml:space="preserve"> administratívn</w:t>
      </w:r>
      <w:r w:rsidR="000E46B3" w:rsidRPr="007E5895">
        <w:rPr>
          <w:rFonts w:ascii="Arial" w:hAnsi="Arial" w:cs="Arial"/>
          <w:sz w:val="20"/>
          <w:szCs w:val="20"/>
        </w:rPr>
        <w:t>u</w:t>
      </w:r>
      <w:r w:rsidRPr="007E5895">
        <w:rPr>
          <w:rFonts w:ascii="Arial" w:hAnsi="Arial" w:cs="Arial"/>
          <w:sz w:val="20"/>
          <w:szCs w:val="20"/>
        </w:rPr>
        <w:t xml:space="preserve"> záťaž prijímateľov </w:t>
      </w:r>
      <w:r w:rsidR="000E46B3" w:rsidRPr="00DA65D4">
        <w:rPr>
          <w:rFonts w:ascii="Arial" w:hAnsi="Arial" w:cs="Arial"/>
          <w:sz w:val="20"/>
          <w:szCs w:val="20"/>
        </w:rPr>
        <w:t>počas realizačnej fázy projektu</w:t>
      </w:r>
      <w:r w:rsidR="007E5895" w:rsidRPr="007E5895">
        <w:rPr>
          <w:rFonts w:ascii="Arial" w:hAnsi="Arial" w:cs="Arial"/>
          <w:sz w:val="20"/>
          <w:szCs w:val="20"/>
        </w:rPr>
        <w:t xml:space="preserve"> tým, že v rámci aktualizácie Príručky pre prijímateľa (verzia. 2.1 zo dňa 10.10.2011 – dopad najmä v roku 2012) upravil rozsah a počet dokumentácie predkladanej zo strany prijímateľa v rámci žiadosti o platbu. Oproti pôvodne požadovaným dvom vyhotovenia kompletnej žiadosti o platbu sa od účinnosti uvedenej verzie príručky požadujú dva originály formulára žiadosti o platbu s prílohou Zoznam deklarovaných výdavkov. Všetky ostatné doklady a dokumenty k žiadosti o platbu, napr. účtovné, daňové doklady a ostatnú podpornú dokumentáciu, predkladá prijímateľ v jednom originálnom vyhotovení, resp. overenej kópii</w:t>
      </w:r>
      <w:r w:rsidR="000E46B3" w:rsidRPr="007E5895">
        <w:rPr>
          <w:rFonts w:ascii="Arial" w:hAnsi="Arial" w:cs="Arial"/>
          <w:sz w:val="20"/>
          <w:szCs w:val="20"/>
        </w:rPr>
        <w:t xml:space="preserve">; </w:t>
      </w:r>
    </w:p>
    <w:p w:rsidR="001C321D" w:rsidRPr="00BA7B62" w:rsidRDefault="001C321D" w:rsidP="001540E7">
      <w:pPr>
        <w:pStyle w:val="Odsekzoznamu"/>
        <w:numPr>
          <w:ilvl w:val="0"/>
          <w:numId w:val="15"/>
        </w:numPr>
        <w:tabs>
          <w:tab w:val="left" w:pos="284"/>
        </w:tabs>
        <w:spacing w:before="120" w:after="0" w:line="360" w:lineRule="auto"/>
        <w:ind w:left="1066" w:hanging="357"/>
        <w:contextualSpacing w:val="0"/>
        <w:jc w:val="both"/>
        <w:rPr>
          <w:rFonts w:ascii="Arial" w:hAnsi="Arial" w:cs="Arial"/>
          <w:sz w:val="20"/>
          <w:szCs w:val="20"/>
        </w:rPr>
      </w:pPr>
      <w:r w:rsidRPr="00BA7B62">
        <w:rPr>
          <w:rFonts w:ascii="Arial" w:hAnsi="Arial" w:cs="Arial"/>
          <w:sz w:val="20"/>
          <w:szCs w:val="20"/>
        </w:rPr>
        <w:t>RO po</w:t>
      </w:r>
      <w:r w:rsidRPr="000E46B3">
        <w:rPr>
          <w:rFonts w:ascii="Arial" w:hAnsi="Arial" w:cs="Arial"/>
          <w:sz w:val="20"/>
          <w:szCs w:val="20"/>
        </w:rPr>
        <w:t>silnil informačné a komunikačné nástroje (školenia, konzultácie, zverejnené informácie a pod.) v oblasti projektového a finančného riadenia s cieľom zníženia rizika pochybení prijímateľov v súvislosti s plnením príslušných povinností prijímateľov vyplývajúcich zo zmluvy o poskytnutí NFP a výkonom procesu verejného obstarávania.  RO zverejnil na svojom webovom sídle najčastejšie nedostatky prijímateľov v oblasti finančného riadenia projektov, zverejnil informácie o najčastejších chybách a nedostatkoch pri výkone procesu VO, zvere</w:t>
      </w:r>
      <w:r w:rsidR="008001F1">
        <w:rPr>
          <w:rFonts w:ascii="Arial" w:hAnsi="Arial" w:cs="Arial"/>
          <w:sz w:val="20"/>
          <w:szCs w:val="20"/>
        </w:rPr>
        <w:t>j</w:t>
      </w:r>
      <w:r w:rsidRPr="000E46B3">
        <w:rPr>
          <w:rFonts w:ascii="Arial" w:hAnsi="Arial" w:cs="Arial"/>
          <w:sz w:val="20"/>
          <w:szCs w:val="20"/>
        </w:rPr>
        <w:t>nil informácie o rozhodnutiach ÚVO vydaných v súvislosti s kontrolou projektov OP ŽP, pri ktorých boli zistené nedostatky v procese VO (vrátane aplikovaných fin. korekcií) a pod.</w:t>
      </w:r>
    </w:p>
    <w:p w:rsidR="00172EE5" w:rsidRPr="008001F1" w:rsidRDefault="008001F1" w:rsidP="008001F1">
      <w:pPr>
        <w:spacing w:before="120" w:after="120" w:line="360" w:lineRule="auto"/>
        <w:jc w:val="both"/>
        <w:rPr>
          <w:rFonts w:ascii="Arial" w:hAnsi="Arial" w:cs="Arial"/>
          <w:sz w:val="20"/>
          <w:szCs w:val="20"/>
        </w:rPr>
      </w:pPr>
      <w:r>
        <w:rPr>
          <w:rFonts w:ascii="Arial" w:hAnsi="Arial" w:cs="Arial"/>
          <w:sz w:val="20"/>
          <w:szCs w:val="20"/>
        </w:rPr>
        <w:t>V druhej polovici roka 2012 došlo</w:t>
      </w:r>
      <w:r w:rsidR="00172EE5" w:rsidRPr="008001F1">
        <w:rPr>
          <w:rFonts w:ascii="Arial" w:hAnsi="Arial" w:cs="Arial"/>
          <w:sz w:val="20"/>
          <w:szCs w:val="20"/>
        </w:rPr>
        <w:t xml:space="preserve"> k akcelerácii čerpania finančných prostriedkov OP ŽP, čo sa však v reálnom vyjadrení neodzrkadlilo na stave čerpania v plnej miere, a to z dôvodu potreby zohľadnenia nezrovnalostí v súvislosti s aplikáciou časti plošnej</w:t>
      </w:r>
      <w:r w:rsidR="00372447" w:rsidRPr="008001F1">
        <w:rPr>
          <w:rFonts w:ascii="Arial" w:hAnsi="Arial" w:cs="Arial"/>
          <w:sz w:val="20"/>
          <w:szCs w:val="20"/>
        </w:rPr>
        <w:t xml:space="preserve"> finančnej korekcie vo výške 7,</w:t>
      </w:r>
      <w:r w:rsidR="00172EE5" w:rsidRPr="008001F1">
        <w:rPr>
          <w:rFonts w:ascii="Arial" w:hAnsi="Arial" w:cs="Arial"/>
          <w:sz w:val="20"/>
          <w:szCs w:val="20"/>
        </w:rPr>
        <w:t>3</w:t>
      </w:r>
      <w:r w:rsidR="00372447" w:rsidRPr="008001F1">
        <w:rPr>
          <w:rFonts w:ascii="Arial" w:hAnsi="Arial" w:cs="Arial"/>
          <w:sz w:val="20"/>
          <w:szCs w:val="20"/>
        </w:rPr>
        <w:t xml:space="preserve">0 </w:t>
      </w:r>
      <w:r w:rsidR="00172EE5" w:rsidRPr="008001F1">
        <w:rPr>
          <w:rFonts w:ascii="Arial" w:hAnsi="Arial" w:cs="Arial"/>
          <w:sz w:val="20"/>
          <w:szCs w:val="20"/>
        </w:rPr>
        <w:t>%, ktorá sa uplatňuje voči OP ŽP v dôsledku pochybení identifikovaných v oblasti kontroly verejného obstarávania.</w:t>
      </w:r>
    </w:p>
    <w:p w:rsidR="007E5895" w:rsidRDefault="00372447" w:rsidP="00593253">
      <w:pPr>
        <w:spacing w:before="120" w:after="120" w:line="360" w:lineRule="auto"/>
        <w:jc w:val="both"/>
        <w:rPr>
          <w:rFonts w:ascii="Arial" w:hAnsi="Arial" w:cs="Arial"/>
          <w:sz w:val="20"/>
          <w:szCs w:val="20"/>
          <w:lang w:eastAsia="en-US"/>
        </w:rPr>
      </w:pPr>
      <w:r>
        <w:rPr>
          <w:rFonts w:ascii="Arial" w:hAnsi="Arial" w:cs="Arial"/>
          <w:sz w:val="20"/>
          <w:szCs w:val="20"/>
          <w:lang w:eastAsia="en-US"/>
        </w:rPr>
        <w:t xml:space="preserve">V súvislosti s neuspokojivým čerpaním bol v podmienkach OP ŽP k 31.08.2012 zavedený akčný plán </w:t>
      </w:r>
      <w:r w:rsidR="00CC2917">
        <w:rPr>
          <w:rFonts w:ascii="Arial" w:hAnsi="Arial" w:cs="Arial"/>
          <w:sz w:val="20"/>
          <w:szCs w:val="20"/>
          <w:lang w:eastAsia="en-US"/>
        </w:rPr>
        <w:t xml:space="preserve">na </w:t>
      </w:r>
      <w:r>
        <w:rPr>
          <w:rFonts w:ascii="Arial" w:hAnsi="Arial" w:cs="Arial"/>
          <w:sz w:val="20"/>
          <w:szCs w:val="20"/>
          <w:lang w:eastAsia="en-US"/>
        </w:rPr>
        <w:t>zrýchlenie čerpania a implementácie operačného programu, o ktorom je podrobnejšie uvedené v kapitole 2.3 tejto správy.</w:t>
      </w:r>
      <w:r w:rsidR="008001F1">
        <w:rPr>
          <w:rFonts w:ascii="Arial" w:hAnsi="Arial" w:cs="Arial"/>
          <w:sz w:val="20"/>
          <w:szCs w:val="20"/>
          <w:lang w:eastAsia="en-US"/>
        </w:rPr>
        <w:t xml:space="preserve"> Predmetný akčný plán bol vyhodnocovaný na dvojmesačnej báze a bol zasielaný na vyjadrenie CKO, CO a na vedomie OA. Zároveň uvedený akčný plán bol </w:t>
      </w:r>
      <w:r w:rsidR="00BA7B62">
        <w:rPr>
          <w:rFonts w:ascii="Arial" w:hAnsi="Arial" w:cs="Arial"/>
          <w:sz w:val="20"/>
          <w:szCs w:val="20"/>
          <w:lang w:eastAsia="en-US"/>
        </w:rPr>
        <w:t xml:space="preserve">elektronicky </w:t>
      </w:r>
      <w:r w:rsidR="008001F1">
        <w:rPr>
          <w:rFonts w:ascii="Arial" w:hAnsi="Arial" w:cs="Arial"/>
          <w:sz w:val="20"/>
          <w:szCs w:val="20"/>
          <w:lang w:eastAsia="en-US"/>
        </w:rPr>
        <w:t>zaslaný aj EK.</w:t>
      </w:r>
    </w:p>
    <w:p w:rsidR="00584D3E" w:rsidRPr="00965203" w:rsidRDefault="00584D3E" w:rsidP="00584D3E">
      <w:pPr>
        <w:jc w:val="both"/>
      </w:pPr>
    </w:p>
    <w:p w:rsidR="00602CA2" w:rsidRDefault="005A0013" w:rsidP="00584D3E">
      <w:pPr>
        <w:jc w:val="both"/>
        <w:rPr>
          <w:rFonts w:ascii="Arial" w:hAnsi="Arial" w:cs="Arial"/>
          <w:b/>
          <w:sz w:val="20"/>
          <w:szCs w:val="20"/>
        </w:rPr>
      </w:pPr>
      <w:r w:rsidRPr="006A78D8">
        <w:rPr>
          <w:rFonts w:ascii="Arial" w:hAnsi="Arial" w:cs="Arial"/>
          <w:b/>
          <w:sz w:val="20"/>
          <w:szCs w:val="20"/>
        </w:rPr>
        <w:t xml:space="preserve">Revízia OP </w:t>
      </w:r>
      <w:r w:rsidRPr="00B41543">
        <w:rPr>
          <w:rFonts w:ascii="Arial" w:hAnsi="Arial" w:cs="Arial"/>
          <w:b/>
          <w:sz w:val="20"/>
          <w:szCs w:val="20"/>
        </w:rPr>
        <w:t>ŽP</w:t>
      </w:r>
    </w:p>
    <w:p w:rsidR="0078685A" w:rsidRDefault="0078685A" w:rsidP="00507035">
      <w:pPr>
        <w:spacing w:before="120" w:after="120" w:line="360" w:lineRule="auto"/>
        <w:jc w:val="both"/>
        <w:rPr>
          <w:rFonts w:ascii="Arial" w:hAnsi="Arial" w:cs="Arial"/>
          <w:sz w:val="20"/>
          <w:szCs w:val="20"/>
        </w:rPr>
      </w:pPr>
      <w:r>
        <w:rPr>
          <w:rFonts w:ascii="Arial" w:hAnsi="Arial" w:cs="Arial"/>
          <w:sz w:val="20"/>
          <w:szCs w:val="20"/>
        </w:rPr>
        <w:t xml:space="preserve">S cieľom posúdenia aktuálneho stavu implementácie OP ŽP bolo RO </w:t>
      </w:r>
      <w:r w:rsidR="00661A64">
        <w:rPr>
          <w:rFonts w:ascii="Arial" w:hAnsi="Arial" w:cs="Arial"/>
          <w:sz w:val="20"/>
          <w:szCs w:val="20"/>
        </w:rPr>
        <w:t>20.12.2012</w:t>
      </w:r>
      <w:r>
        <w:rPr>
          <w:rFonts w:ascii="Arial" w:hAnsi="Arial" w:cs="Arial"/>
          <w:sz w:val="20"/>
          <w:szCs w:val="20"/>
        </w:rPr>
        <w:t xml:space="preserve"> vykonané operatívne interné hodnotenie OP ŽP. Zo záverov uvedeného hodnotenia vyplýva potreba vykonania revízie OP ŽP.  Hlavnými cieľmi revízie boli</w:t>
      </w:r>
      <w:r w:rsidR="004F1AAA">
        <w:rPr>
          <w:rFonts w:ascii="Arial" w:hAnsi="Arial" w:cs="Arial"/>
          <w:sz w:val="20"/>
          <w:szCs w:val="20"/>
        </w:rPr>
        <w:t>:</w:t>
      </w:r>
    </w:p>
    <w:p w:rsidR="004F1AAA" w:rsidRPr="004F1AAA" w:rsidRDefault="004F1AAA" w:rsidP="001540E7">
      <w:pPr>
        <w:pStyle w:val="Odsekzoznamu"/>
        <w:numPr>
          <w:ilvl w:val="0"/>
          <w:numId w:val="65"/>
        </w:numPr>
        <w:spacing w:before="120" w:after="120" w:line="360" w:lineRule="auto"/>
        <w:jc w:val="both"/>
        <w:rPr>
          <w:rFonts w:ascii="Arial" w:hAnsi="Arial" w:cs="Arial"/>
          <w:bCs/>
          <w:sz w:val="20"/>
          <w:szCs w:val="20"/>
        </w:rPr>
      </w:pPr>
      <w:r w:rsidRPr="004F1AAA">
        <w:rPr>
          <w:rFonts w:ascii="Arial" w:hAnsi="Arial" w:cs="Arial"/>
          <w:bCs/>
          <w:sz w:val="20"/>
          <w:szCs w:val="20"/>
        </w:rPr>
        <w:t>predísť možnému nedočerpaniu zdrojov v rámci operačného cieľa 4.4 Riešenie problematiky environmentálnych záťaží vrátane jej odstraňovania v rámci prioritnej osi 4 Odpadové hospodárstvo</w:t>
      </w:r>
    </w:p>
    <w:p w:rsidR="004F1AAA" w:rsidRPr="004F1AAA" w:rsidRDefault="004F1AAA" w:rsidP="001540E7">
      <w:pPr>
        <w:pStyle w:val="Odsekzoznamu"/>
        <w:numPr>
          <w:ilvl w:val="0"/>
          <w:numId w:val="65"/>
        </w:numPr>
        <w:spacing w:before="120" w:after="120" w:line="360" w:lineRule="auto"/>
        <w:jc w:val="both"/>
        <w:rPr>
          <w:rFonts w:ascii="Arial" w:hAnsi="Arial" w:cs="Arial"/>
          <w:sz w:val="20"/>
          <w:szCs w:val="20"/>
        </w:rPr>
      </w:pPr>
      <w:r w:rsidRPr="00E36E12">
        <w:rPr>
          <w:rFonts w:ascii="Arial" w:hAnsi="Arial" w:cs="Arial"/>
          <w:bCs/>
          <w:sz w:val="20"/>
          <w:szCs w:val="20"/>
        </w:rPr>
        <w:t>z</w:t>
      </w:r>
      <w:r>
        <w:rPr>
          <w:rFonts w:ascii="Arial" w:hAnsi="Arial" w:cs="Arial"/>
          <w:bCs/>
          <w:sz w:val="20"/>
          <w:szCs w:val="20"/>
        </w:rPr>
        <w:t>níženie</w:t>
      </w:r>
      <w:r w:rsidRPr="00E36E12">
        <w:rPr>
          <w:rFonts w:ascii="Arial" w:hAnsi="Arial" w:cs="Arial"/>
          <w:bCs/>
          <w:sz w:val="20"/>
          <w:szCs w:val="20"/>
        </w:rPr>
        <w:t xml:space="preserve"> deficit</w:t>
      </w:r>
      <w:r>
        <w:rPr>
          <w:rFonts w:ascii="Arial" w:hAnsi="Arial" w:cs="Arial"/>
          <w:bCs/>
          <w:sz w:val="20"/>
          <w:szCs w:val="20"/>
        </w:rPr>
        <w:t>u</w:t>
      </w:r>
      <w:r w:rsidRPr="00E36E12">
        <w:rPr>
          <w:rFonts w:ascii="Arial" w:hAnsi="Arial" w:cs="Arial"/>
          <w:bCs/>
          <w:sz w:val="20"/>
          <w:szCs w:val="20"/>
        </w:rPr>
        <w:t xml:space="preserve"> disponibilných verejných zdrojov na plnenie záväzkov SR v oblasti odvádzania a čistenia komunálnych odpadových vôd vyplývajúcich zo Zmluvy o pristúpení k</w:t>
      </w:r>
      <w:r>
        <w:rPr>
          <w:rFonts w:ascii="Arial" w:hAnsi="Arial" w:cs="Arial"/>
          <w:bCs/>
          <w:sz w:val="20"/>
          <w:szCs w:val="20"/>
        </w:rPr>
        <w:t> </w:t>
      </w:r>
      <w:r w:rsidRPr="00E36E12">
        <w:rPr>
          <w:rFonts w:ascii="Arial" w:hAnsi="Arial" w:cs="Arial"/>
          <w:bCs/>
          <w:sz w:val="20"/>
          <w:szCs w:val="20"/>
        </w:rPr>
        <w:t>EÚ</w:t>
      </w:r>
      <w:r>
        <w:rPr>
          <w:rFonts w:ascii="Arial" w:hAnsi="Arial" w:cs="Arial"/>
          <w:bCs/>
          <w:sz w:val="20"/>
          <w:szCs w:val="20"/>
        </w:rPr>
        <w:t>,</w:t>
      </w:r>
      <w:r w:rsidRPr="00E36E12">
        <w:rPr>
          <w:rFonts w:ascii="Arial" w:hAnsi="Arial" w:cs="Arial"/>
          <w:bCs/>
          <w:sz w:val="20"/>
          <w:szCs w:val="20"/>
        </w:rPr>
        <w:t xml:space="preserve"> zmierniť možné negatívne dopady finančných sankcií zo strany EÚ voči SR za prípadné nesplnenie uvedených záväzkov</w:t>
      </w:r>
      <w:r>
        <w:rPr>
          <w:rFonts w:ascii="Arial" w:hAnsi="Arial" w:cs="Arial"/>
          <w:bCs/>
          <w:sz w:val="20"/>
          <w:szCs w:val="20"/>
        </w:rPr>
        <w:t>.</w:t>
      </w:r>
    </w:p>
    <w:p w:rsidR="003F43DE" w:rsidRDefault="004F1AAA" w:rsidP="00507035">
      <w:pPr>
        <w:spacing w:before="120" w:after="120" w:line="360" w:lineRule="auto"/>
        <w:jc w:val="both"/>
        <w:rPr>
          <w:rFonts w:ascii="Arial" w:hAnsi="Arial" w:cs="Arial"/>
          <w:bCs/>
          <w:sz w:val="20"/>
          <w:szCs w:val="20"/>
        </w:rPr>
      </w:pPr>
      <w:r>
        <w:rPr>
          <w:rFonts w:ascii="Arial" w:hAnsi="Arial" w:cs="Arial"/>
          <w:bCs/>
          <w:sz w:val="20"/>
          <w:szCs w:val="20"/>
        </w:rPr>
        <w:t>D</w:t>
      </w:r>
      <w:r w:rsidR="003E1507" w:rsidRPr="0039268C">
        <w:rPr>
          <w:rFonts w:ascii="Arial" w:hAnsi="Arial" w:cs="Arial"/>
          <w:bCs/>
          <w:sz w:val="20"/>
          <w:szCs w:val="20"/>
        </w:rPr>
        <w:t>o revidovaného znenia OP ŽP</w:t>
      </w:r>
      <w:r>
        <w:rPr>
          <w:rFonts w:ascii="Arial" w:hAnsi="Arial" w:cs="Arial"/>
          <w:bCs/>
          <w:sz w:val="20"/>
          <w:szCs w:val="20"/>
        </w:rPr>
        <w:t xml:space="preserve"> boli zároveň zapracované</w:t>
      </w:r>
      <w:r w:rsidR="003E1507" w:rsidRPr="0039268C">
        <w:rPr>
          <w:rFonts w:ascii="Arial" w:hAnsi="Arial" w:cs="Arial"/>
          <w:bCs/>
          <w:sz w:val="20"/>
          <w:szCs w:val="20"/>
        </w:rPr>
        <w:t xml:space="preserve"> zmeny, ktoré už boli s</w:t>
      </w:r>
      <w:r w:rsidR="003E1507">
        <w:rPr>
          <w:rFonts w:ascii="Arial" w:hAnsi="Arial" w:cs="Arial"/>
          <w:bCs/>
          <w:sz w:val="20"/>
          <w:szCs w:val="20"/>
        </w:rPr>
        <w:t xml:space="preserve">chválené Monitorovacím výborom </w:t>
      </w:r>
      <w:r w:rsidR="003E1507" w:rsidRPr="0039268C">
        <w:rPr>
          <w:rFonts w:ascii="Arial" w:hAnsi="Arial" w:cs="Arial"/>
          <w:bCs/>
          <w:sz w:val="20"/>
          <w:szCs w:val="20"/>
        </w:rPr>
        <w:t>pre OP ŽP</w:t>
      </w:r>
      <w:r w:rsidR="003E1507">
        <w:rPr>
          <w:rFonts w:ascii="Arial" w:hAnsi="Arial" w:cs="Arial"/>
          <w:bCs/>
          <w:sz w:val="20"/>
          <w:szCs w:val="20"/>
        </w:rPr>
        <w:t xml:space="preserve"> </w:t>
      </w:r>
      <w:r w:rsidR="003E1507" w:rsidRPr="003E1507">
        <w:rPr>
          <w:rFonts w:ascii="Arial" w:hAnsi="Arial" w:cs="Arial"/>
          <w:bCs/>
          <w:sz w:val="20"/>
          <w:szCs w:val="20"/>
        </w:rPr>
        <w:t xml:space="preserve">v období od ostatnej revízie OP ŽP, avšak vzhľadom na ich charakter (tzv. </w:t>
      </w:r>
      <w:r w:rsidR="003F43DE">
        <w:rPr>
          <w:rFonts w:ascii="Arial" w:hAnsi="Arial" w:cs="Arial"/>
          <w:bCs/>
          <w:sz w:val="20"/>
          <w:szCs w:val="20"/>
        </w:rPr>
        <w:t xml:space="preserve"> </w:t>
      </w:r>
      <w:r w:rsidR="003E1507" w:rsidRPr="003E1507">
        <w:rPr>
          <w:rFonts w:ascii="Arial" w:hAnsi="Arial" w:cs="Arial"/>
          <w:bCs/>
          <w:sz w:val="20"/>
          <w:szCs w:val="20"/>
        </w:rPr>
        <w:t xml:space="preserve">neurgentné zmeny) si </w:t>
      </w:r>
      <w:r w:rsidR="003F43DE">
        <w:rPr>
          <w:rFonts w:ascii="Arial" w:hAnsi="Arial" w:cs="Arial"/>
          <w:bCs/>
          <w:sz w:val="20"/>
          <w:szCs w:val="20"/>
        </w:rPr>
        <w:t xml:space="preserve">v zmysle Metodického pokynu CKO č. 10 k revízii </w:t>
      </w:r>
      <w:r w:rsidR="003F43DE" w:rsidRPr="003E1507">
        <w:rPr>
          <w:rFonts w:ascii="Arial" w:hAnsi="Arial" w:cs="Arial"/>
          <w:bCs/>
          <w:sz w:val="20"/>
          <w:szCs w:val="20"/>
        </w:rPr>
        <w:t xml:space="preserve"> </w:t>
      </w:r>
      <w:r w:rsidR="003F43DE">
        <w:rPr>
          <w:rFonts w:ascii="Arial" w:hAnsi="Arial" w:cs="Arial"/>
          <w:bCs/>
          <w:sz w:val="20"/>
          <w:szCs w:val="20"/>
        </w:rPr>
        <w:t xml:space="preserve">OP </w:t>
      </w:r>
      <w:r w:rsidR="003F43DE" w:rsidRPr="003E1507">
        <w:rPr>
          <w:rFonts w:ascii="Arial" w:hAnsi="Arial" w:cs="Arial"/>
          <w:bCs/>
          <w:sz w:val="20"/>
          <w:szCs w:val="20"/>
        </w:rPr>
        <w:t xml:space="preserve">nevyžadovali </w:t>
      </w:r>
      <w:r w:rsidR="003F43DE">
        <w:rPr>
          <w:rFonts w:ascii="Arial" w:hAnsi="Arial" w:cs="Arial"/>
          <w:bCs/>
          <w:sz w:val="20"/>
          <w:szCs w:val="20"/>
        </w:rPr>
        <w:t xml:space="preserve">bezodkladné </w:t>
      </w:r>
      <w:r w:rsidR="003F43DE" w:rsidRPr="003E1507">
        <w:rPr>
          <w:rFonts w:ascii="Arial" w:hAnsi="Arial" w:cs="Arial"/>
          <w:bCs/>
          <w:sz w:val="20"/>
          <w:szCs w:val="20"/>
        </w:rPr>
        <w:t>predloženie návrhu revízie OP ŽP Európskej komisii</w:t>
      </w:r>
      <w:r w:rsidR="003F43DE">
        <w:rPr>
          <w:rFonts w:ascii="Arial" w:hAnsi="Arial" w:cs="Arial"/>
          <w:bCs/>
          <w:sz w:val="20"/>
          <w:szCs w:val="20"/>
        </w:rPr>
        <w:t>.</w:t>
      </w:r>
      <w:r>
        <w:rPr>
          <w:rFonts w:ascii="Arial" w:hAnsi="Arial" w:cs="Arial"/>
          <w:bCs/>
          <w:sz w:val="20"/>
          <w:szCs w:val="20"/>
        </w:rPr>
        <w:t xml:space="preserve"> Návrh revízie OP ŽP na verziu 4.0 bol predložený EK na schválenie dňa 20.12.2012.</w:t>
      </w:r>
    </w:p>
    <w:p w:rsidR="000E60DE" w:rsidRPr="006A78D8" w:rsidRDefault="000E60DE" w:rsidP="00507035">
      <w:pPr>
        <w:spacing w:before="120" w:after="120" w:line="360" w:lineRule="auto"/>
        <w:jc w:val="both"/>
        <w:rPr>
          <w:rFonts w:ascii="Arial" w:hAnsi="Arial" w:cs="Arial"/>
          <w:b/>
          <w:sz w:val="20"/>
          <w:szCs w:val="20"/>
        </w:rPr>
      </w:pPr>
      <w:r w:rsidRPr="004F7053">
        <w:rPr>
          <w:rFonts w:ascii="Arial" w:hAnsi="Arial" w:cs="Arial"/>
          <w:b/>
          <w:sz w:val="20"/>
          <w:szCs w:val="20"/>
        </w:rPr>
        <w:t>Plán hodnotení OP ŽP</w:t>
      </w:r>
    </w:p>
    <w:p w:rsidR="00562487" w:rsidRDefault="000801F3" w:rsidP="00562487">
      <w:pPr>
        <w:spacing w:before="120" w:after="120" w:line="360" w:lineRule="auto"/>
        <w:jc w:val="both"/>
        <w:rPr>
          <w:rFonts w:ascii="Arial" w:hAnsi="Arial" w:cs="Arial"/>
          <w:sz w:val="20"/>
          <w:szCs w:val="20"/>
        </w:rPr>
      </w:pPr>
      <w:r>
        <w:rPr>
          <w:rFonts w:ascii="Arial" w:hAnsi="Arial" w:cs="Arial"/>
          <w:sz w:val="20"/>
          <w:szCs w:val="20"/>
        </w:rPr>
        <w:t xml:space="preserve">V oblasti hodnotenia OP ŽP nedošlo v priebehu roka 2012 k obstaraniu spracovateľa externých hodnotení, preto bolo nutné vykonať aktualizáciu prílohy č. 3 Plánu hodnotení OP ŽP </w:t>
      </w:r>
      <w:r w:rsidRPr="00493014">
        <w:rPr>
          <w:rFonts w:ascii="Arial" w:hAnsi="Arial" w:cs="Arial"/>
          <w:sz w:val="20"/>
          <w:szCs w:val="20"/>
        </w:rPr>
        <w:t>na programové obdobie 2007 – 2013 – verzia 2.1: „Indikatívny plán hodnotiacich aktivít v rámci procesu hodnotenia Operačného programu Životné prostredie“</w:t>
      </w:r>
      <w:r>
        <w:rPr>
          <w:rFonts w:ascii="Arial" w:hAnsi="Arial" w:cs="Arial"/>
          <w:sz w:val="20"/>
          <w:szCs w:val="20"/>
        </w:rPr>
        <w:t>. RO opakovane upozorňoval na potrebu vykonania uvedeného VO, ale napriek tomu sa v priebehu roka 2012 nepodarilo zrealizovať.</w:t>
      </w:r>
      <w:r w:rsidR="00562487">
        <w:rPr>
          <w:rFonts w:ascii="Arial" w:hAnsi="Arial" w:cs="Arial"/>
          <w:sz w:val="20"/>
          <w:szCs w:val="20"/>
        </w:rPr>
        <w:t xml:space="preserve"> Samotný proces výkonu verejných obstarávaní, nespadá do pôsobnosti RO, ale je zabezpečovaný pre MŽP SR centrálne odborom verejného obstarávania a prevádzky. </w:t>
      </w:r>
    </w:p>
    <w:p w:rsidR="00562487" w:rsidRPr="00493014" w:rsidRDefault="00562487" w:rsidP="00562487">
      <w:pPr>
        <w:spacing w:before="120" w:after="120" w:line="360" w:lineRule="auto"/>
        <w:jc w:val="both"/>
        <w:rPr>
          <w:rFonts w:ascii="Arial" w:hAnsi="Arial" w:cs="Arial"/>
          <w:sz w:val="20"/>
          <w:szCs w:val="20"/>
        </w:rPr>
      </w:pPr>
      <w:r>
        <w:rPr>
          <w:rFonts w:ascii="Arial" w:hAnsi="Arial" w:cs="Arial"/>
          <w:sz w:val="20"/>
          <w:szCs w:val="20"/>
        </w:rPr>
        <w:t xml:space="preserve">V pláne hodnotení OP ŽP na rok </w:t>
      </w:r>
      <w:r w:rsidRPr="00493014">
        <w:rPr>
          <w:rFonts w:ascii="Arial" w:hAnsi="Arial" w:cs="Arial"/>
          <w:sz w:val="20"/>
          <w:szCs w:val="20"/>
        </w:rPr>
        <w:t>2012 bola identifikovaná možná potreba vykonania operatívneho hodnotenia celého OP ŽP, ako aj operatívneho hodnotenia v prípade návrhu revízie OP ŽP. Tieto typy hodnotení boli zahrnuté do Plánu hodnotení OP ŽP na rok 2012.</w:t>
      </w:r>
    </w:p>
    <w:p w:rsidR="00562487" w:rsidRDefault="00562487" w:rsidP="00562487">
      <w:pPr>
        <w:spacing w:before="120" w:after="120" w:line="360" w:lineRule="auto"/>
        <w:jc w:val="both"/>
        <w:rPr>
          <w:rFonts w:ascii="Arial" w:hAnsi="Arial" w:cs="Arial"/>
          <w:sz w:val="20"/>
          <w:szCs w:val="20"/>
        </w:rPr>
      </w:pPr>
      <w:r>
        <w:rPr>
          <w:rFonts w:ascii="Arial" w:hAnsi="Arial" w:cs="Arial"/>
          <w:sz w:val="20"/>
          <w:szCs w:val="20"/>
        </w:rPr>
        <w:t>Zrealizované interné o</w:t>
      </w:r>
      <w:r w:rsidRPr="00493014">
        <w:rPr>
          <w:rFonts w:ascii="Arial" w:hAnsi="Arial" w:cs="Arial"/>
          <w:sz w:val="20"/>
          <w:szCs w:val="20"/>
        </w:rPr>
        <w:t xml:space="preserve">peratívne hodnotenie </w:t>
      </w:r>
      <w:r>
        <w:rPr>
          <w:rFonts w:ascii="Arial" w:hAnsi="Arial" w:cs="Arial"/>
          <w:sz w:val="20"/>
          <w:szCs w:val="20"/>
        </w:rPr>
        <w:t>OP ŽP</w:t>
      </w:r>
      <w:r w:rsidRPr="00493014">
        <w:rPr>
          <w:rFonts w:ascii="Arial" w:hAnsi="Arial" w:cs="Arial"/>
          <w:sz w:val="20"/>
          <w:szCs w:val="20"/>
        </w:rPr>
        <w:t xml:space="preserve"> obsahovo pokrylo predmety oboch identifikovaných možných operatívnych hodnotení, t.j. okrem hodnotenia celého OP ŽP sa zameriava aj na potrebu revízie OP ŽP a jeho výsledky sa stali podkladom pre návrh revízie OP ŽP, ktorý bol predložený EK dňa 20.12.2012.</w:t>
      </w:r>
    </w:p>
    <w:p w:rsidR="00593253" w:rsidRDefault="00593253">
      <w:pPr>
        <w:rPr>
          <w:rFonts w:ascii="Arial" w:hAnsi="Arial" w:cs="Arial"/>
          <w:b/>
          <w:sz w:val="20"/>
          <w:szCs w:val="20"/>
          <w:highlight w:val="yellow"/>
        </w:rPr>
      </w:pPr>
    </w:p>
    <w:p w:rsidR="00602FD8" w:rsidRPr="008001F1" w:rsidRDefault="00EE7291" w:rsidP="00507035">
      <w:pPr>
        <w:spacing w:before="120" w:after="120" w:line="360" w:lineRule="auto"/>
        <w:jc w:val="both"/>
        <w:rPr>
          <w:rFonts w:ascii="Arial" w:hAnsi="Arial" w:cs="Arial"/>
          <w:b/>
          <w:sz w:val="20"/>
          <w:szCs w:val="20"/>
        </w:rPr>
      </w:pPr>
      <w:r w:rsidRPr="008001F1">
        <w:rPr>
          <w:rFonts w:ascii="Arial" w:hAnsi="Arial" w:cs="Arial"/>
          <w:b/>
          <w:sz w:val="20"/>
          <w:szCs w:val="20"/>
        </w:rPr>
        <w:t>O</w:t>
      </w:r>
      <w:r w:rsidR="00602FD8" w:rsidRPr="008001F1">
        <w:rPr>
          <w:rFonts w:ascii="Arial" w:hAnsi="Arial" w:cs="Arial"/>
          <w:b/>
          <w:sz w:val="20"/>
          <w:szCs w:val="20"/>
        </w:rPr>
        <w:t>patrenia na posilnenie plnenia cieľov OP ŽP</w:t>
      </w:r>
      <w:r w:rsidRPr="008001F1">
        <w:rPr>
          <w:rFonts w:ascii="Arial" w:hAnsi="Arial" w:cs="Arial"/>
          <w:b/>
          <w:sz w:val="20"/>
          <w:szCs w:val="20"/>
        </w:rPr>
        <w:t>, analýzy</w:t>
      </w:r>
      <w:r w:rsidR="0098654D" w:rsidRPr="008001F1">
        <w:rPr>
          <w:rFonts w:ascii="Arial" w:hAnsi="Arial" w:cs="Arial"/>
          <w:b/>
          <w:sz w:val="20"/>
          <w:szCs w:val="20"/>
        </w:rPr>
        <w:t>.</w:t>
      </w:r>
    </w:p>
    <w:p w:rsidR="00562487" w:rsidRPr="008001F1" w:rsidRDefault="00562487" w:rsidP="00507035">
      <w:pPr>
        <w:spacing w:before="120" w:after="120" w:line="360" w:lineRule="auto"/>
        <w:jc w:val="both"/>
        <w:rPr>
          <w:rFonts w:ascii="Arial" w:hAnsi="Arial" w:cs="Arial"/>
          <w:sz w:val="20"/>
          <w:szCs w:val="20"/>
        </w:rPr>
      </w:pPr>
      <w:r w:rsidRPr="008001F1">
        <w:rPr>
          <w:rFonts w:ascii="Arial" w:hAnsi="Arial" w:cs="Arial"/>
          <w:sz w:val="20"/>
          <w:szCs w:val="20"/>
        </w:rPr>
        <w:t xml:space="preserve">V rámci opatrení na zabezpečenie plynulej a efektívnej implementácie OP ŽP smerujúcej k napĺňaniu jeho cieľov </w:t>
      </w:r>
      <w:r w:rsidR="004B38FF" w:rsidRPr="008001F1">
        <w:rPr>
          <w:rFonts w:ascii="Arial" w:hAnsi="Arial" w:cs="Arial"/>
          <w:sz w:val="20"/>
          <w:szCs w:val="20"/>
        </w:rPr>
        <w:t>RO prijal nasledovné opatrenia:</w:t>
      </w:r>
    </w:p>
    <w:p w:rsidR="00602FD8" w:rsidRPr="008001F1" w:rsidRDefault="00602FD8" w:rsidP="00507035">
      <w:pPr>
        <w:spacing w:before="120" w:after="120" w:line="360" w:lineRule="auto"/>
        <w:jc w:val="both"/>
        <w:rPr>
          <w:rFonts w:ascii="Arial" w:hAnsi="Arial" w:cs="Arial"/>
          <w:sz w:val="20"/>
          <w:szCs w:val="20"/>
        </w:rPr>
      </w:pPr>
      <w:r w:rsidRPr="008001F1">
        <w:rPr>
          <w:rFonts w:ascii="Arial" w:hAnsi="Arial" w:cs="Arial"/>
          <w:sz w:val="20"/>
          <w:szCs w:val="20"/>
        </w:rPr>
        <w:t>- posilnenie významu monitorovania ako informačného zdroja, resp. podnetu pre vykonávanie analýz a</w:t>
      </w:r>
      <w:r w:rsidR="004B38FF" w:rsidRPr="008001F1">
        <w:rPr>
          <w:rFonts w:ascii="Arial" w:hAnsi="Arial" w:cs="Arial"/>
          <w:sz w:val="20"/>
          <w:szCs w:val="20"/>
        </w:rPr>
        <w:t> </w:t>
      </w:r>
      <w:r w:rsidRPr="008001F1">
        <w:rPr>
          <w:rFonts w:ascii="Arial" w:hAnsi="Arial" w:cs="Arial"/>
          <w:sz w:val="20"/>
          <w:szCs w:val="20"/>
        </w:rPr>
        <w:t>hodnotení</w:t>
      </w:r>
      <w:r w:rsidR="004B38FF" w:rsidRPr="008001F1">
        <w:rPr>
          <w:rFonts w:ascii="Arial" w:hAnsi="Arial" w:cs="Arial"/>
          <w:sz w:val="20"/>
          <w:szCs w:val="20"/>
        </w:rPr>
        <w:t xml:space="preserve"> - </w:t>
      </w:r>
      <w:r w:rsidRPr="008001F1">
        <w:rPr>
          <w:rFonts w:ascii="Arial" w:hAnsi="Arial" w:cs="Arial"/>
          <w:sz w:val="20"/>
          <w:szCs w:val="20"/>
        </w:rPr>
        <w:t>pravidelné monitorovanie fyzickej realizácie OP ŽP a dosahovaných hodnôt ukazovateľov, pravidelné monitorovanie finančnej implementácie OP ŽP</w:t>
      </w:r>
      <w:r w:rsidR="003F522D" w:rsidRPr="008001F1">
        <w:rPr>
          <w:rFonts w:ascii="Arial" w:hAnsi="Arial" w:cs="Arial"/>
          <w:sz w:val="20"/>
          <w:szCs w:val="20"/>
        </w:rPr>
        <w:t>;</w:t>
      </w:r>
    </w:p>
    <w:p w:rsidR="00602FD8" w:rsidRPr="008001F1" w:rsidRDefault="00602FD8" w:rsidP="004B38FF">
      <w:pPr>
        <w:spacing w:before="120" w:after="120" w:line="360" w:lineRule="auto"/>
        <w:jc w:val="both"/>
        <w:rPr>
          <w:rFonts w:ascii="Arial" w:hAnsi="Arial" w:cs="Arial"/>
          <w:sz w:val="20"/>
          <w:szCs w:val="20"/>
        </w:rPr>
      </w:pPr>
      <w:r w:rsidRPr="008001F1">
        <w:rPr>
          <w:rFonts w:ascii="Arial" w:hAnsi="Arial" w:cs="Arial"/>
          <w:sz w:val="20"/>
          <w:szCs w:val="20"/>
        </w:rPr>
        <w:t>- vykonávanie analýz/hodnotení</w:t>
      </w:r>
      <w:r w:rsidR="004B38FF" w:rsidRPr="008001F1">
        <w:rPr>
          <w:rFonts w:ascii="Arial" w:hAnsi="Arial" w:cs="Arial"/>
          <w:sz w:val="20"/>
          <w:szCs w:val="20"/>
        </w:rPr>
        <w:t xml:space="preserve"> zameraných na</w:t>
      </w:r>
      <w:r w:rsidRPr="008001F1">
        <w:rPr>
          <w:rFonts w:ascii="Arial" w:hAnsi="Arial" w:cs="Arial"/>
          <w:sz w:val="20"/>
          <w:szCs w:val="20"/>
        </w:rPr>
        <w:t xml:space="preserve"> posúdenie aktuálneho stavu implementácie OP ŽP, vrátane prípadných realizačných ťažkostí, s cieľom zabezpečiť vykonanie prípadných zmien stratégie a/alebo finančného plánu OP ŽP alebo úprav riadiacej dokumentácie</w:t>
      </w:r>
      <w:r w:rsidR="003F522D" w:rsidRPr="008001F1">
        <w:rPr>
          <w:rFonts w:ascii="Arial" w:hAnsi="Arial" w:cs="Arial"/>
          <w:sz w:val="20"/>
          <w:szCs w:val="20"/>
        </w:rPr>
        <w:t>.</w:t>
      </w:r>
    </w:p>
    <w:p w:rsidR="004B38FF" w:rsidRDefault="008B0526" w:rsidP="00507035">
      <w:pPr>
        <w:spacing w:before="120" w:after="120" w:line="360" w:lineRule="auto"/>
        <w:jc w:val="both"/>
        <w:rPr>
          <w:rFonts w:ascii="Arial" w:hAnsi="Arial" w:cs="Arial"/>
          <w:sz w:val="20"/>
          <w:szCs w:val="20"/>
        </w:rPr>
      </w:pPr>
      <w:r w:rsidRPr="008001F1">
        <w:rPr>
          <w:rFonts w:ascii="Arial" w:hAnsi="Arial" w:cs="Arial"/>
          <w:sz w:val="20"/>
          <w:szCs w:val="20"/>
        </w:rPr>
        <w:t>RO spolupracoval s CKO a RO pre OP Doprava pri príprave Analýzy stavu prípravy</w:t>
      </w:r>
      <w:r w:rsidRPr="00D068A6">
        <w:rPr>
          <w:rFonts w:ascii="Arial" w:hAnsi="Arial" w:cs="Arial"/>
          <w:sz w:val="20"/>
          <w:szCs w:val="20"/>
        </w:rPr>
        <w:t xml:space="preserve"> a implementácie veľkých projektov v Slovenskej republike</w:t>
      </w:r>
      <w:r>
        <w:rPr>
          <w:rFonts w:ascii="Arial" w:hAnsi="Arial" w:cs="Arial"/>
          <w:sz w:val="20"/>
          <w:szCs w:val="20"/>
        </w:rPr>
        <w:t xml:space="preserve">, ktorá </w:t>
      </w:r>
      <w:r w:rsidRPr="00D068A6">
        <w:rPr>
          <w:rFonts w:ascii="Arial" w:hAnsi="Arial" w:cs="Arial"/>
          <w:sz w:val="20"/>
          <w:szCs w:val="20"/>
        </w:rPr>
        <w:t>predstavuje sumárnu informáciu o problematických oblastiach v procese prípravy a implementácie veľkých projektov a definuje možné riešenia na zlepšenie súčasného stavu v oblasti veľkých projektov.</w:t>
      </w:r>
      <w:r>
        <w:rPr>
          <w:rFonts w:ascii="Arial" w:hAnsi="Arial" w:cs="Arial"/>
          <w:sz w:val="20"/>
          <w:szCs w:val="20"/>
        </w:rPr>
        <w:t xml:space="preserve"> </w:t>
      </w:r>
    </w:p>
    <w:p w:rsidR="00776802" w:rsidRPr="006A78D8" w:rsidRDefault="00776802" w:rsidP="00507035">
      <w:pPr>
        <w:spacing w:before="120" w:after="120" w:line="360" w:lineRule="auto"/>
        <w:jc w:val="both"/>
        <w:rPr>
          <w:rFonts w:ascii="Arial" w:hAnsi="Arial" w:cs="Arial"/>
          <w:b/>
          <w:sz w:val="20"/>
          <w:szCs w:val="20"/>
        </w:rPr>
      </w:pPr>
      <w:r w:rsidRPr="00493171">
        <w:rPr>
          <w:rFonts w:ascii="Arial" w:hAnsi="Arial" w:cs="Arial"/>
          <w:b/>
          <w:sz w:val="20"/>
          <w:szCs w:val="20"/>
        </w:rPr>
        <w:t>Informačné a komunikačné aktivity</w:t>
      </w:r>
    </w:p>
    <w:p w:rsidR="002416B1" w:rsidRDefault="002416B1" w:rsidP="00507035">
      <w:pPr>
        <w:spacing w:before="120" w:after="120" w:line="360" w:lineRule="auto"/>
        <w:jc w:val="both"/>
        <w:rPr>
          <w:rFonts w:ascii="Arial" w:hAnsi="Arial" w:cs="Arial"/>
          <w:sz w:val="20"/>
          <w:szCs w:val="20"/>
        </w:rPr>
      </w:pPr>
      <w:r w:rsidRPr="00D21AD3">
        <w:rPr>
          <w:rFonts w:ascii="Arial" w:hAnsi="Arial" w:cs="Arial"/>
          <w:sz w:val="20"/>
          <w:szCs w:val="20"/>
        </w:rPr>
        <w:t xml:space="preserve">Aktivity súvisiace s informačnými a komunikačnými aktivitami sú zabezpečované </w:t>
      </w:r>
      <w:r w:rsidR="00F97F9A">
        <w:rPr>
          <w:rFonts w:ascii="Arial" w:hAnsi="Arial" w:cs="Arial"/>
          <w:sz w:val="20"/>
          <w:szCs w:val="20"/>
        </w:rPr>
        <w:t xml:space="preserve">na národnej úrovni RO  a na regionálnej úrovni </w:t>
      </w:r>
      <w:r w:rsidRPr="00D21AD3">
        <w:rPr>
          <w:rFonts w:ascii="Arial" w:hAnsi="Arial" w:cs="Arial"/>
          <w:sz w:val="20"/>
          <w:szCs w:val="20"/>
        </w:rPr>
        <w:t xml:space="preserve">Regionálnymi environmentálnymi poradenskými a informačnými strediskami (ďalej len </w:t>
      </w:r>
      <w:r>
        <w:rPr>
          <w:rFonts w:ascii="Arial" w:hAnsi="Arial" w:cs="Arial"/>
          <w:sz w:val="20"/>
          <w:szCs w:val="20"/>
        </w:rPr>
        <w:t>„</w:t>
      </w:r>
      <w:r w:rsidRPr="00D21AD3">
        <w:rPr>
          <w:rFonts w:ascii="Arial" w:hAnsi="Arial" w:cs="Arial"/>
          <w:sz w:val="20"/>
          <w:szCs w:val="20"/>
        </w:rPr>
        <w:t>REPIS</w:t>
      </w:r>
      <w:r>
        <w:rPr>
          <w:rFonts w:ascii="Arial" w:hAnsi="Arial" w:cs="Arial"/>
          <w:sz w:val="20"/>
          <w:szCs w:val="20"/>
        </w:rPr>
        <w:t>“</w:t>
      </w:r>
      <w:r w:rsidRPr="00D21AD3">
        <w:rPr>
          <w:rFonts w:ascii="Arial" w:hAnsi="Arial" w:cs="Arial"/>
          <w:sz w:val="20"/>
          <w:szCs w:val="20"/>
        </w:rPr>
        <w:t>)</w:t>
      </w:r>
      <w:r w:rsidR="00F97F9A">
        <w:rPr>
          <w:rFonts w:ascii="Arial" w:hAnsi="Arial" w:cs="Arial"/>
          <w:sz w:val="20"/>
          <w:szCs w:val="20"/>
        </w:rPr>
        <w:t>.</w:t>
      </w:r>
      <w:r>
        <w:rPr>
          <w:rFonts w:ascii="Arial" w:hAnsi="Arial" w:cs="Arial"/>
          <w:sz w:val="20"/>
          <w:szCs w:val="20"/>
        </w:rPr>
        <w:t xml:space="preserve"> </w:t>
      </w:r>
      <w:r w:rsidRPr="00D21AD3">
        <w:rPr>
          <w:rFonts w:ascii="Arial" w:hAnsi="Arial" w:cs="Arial"/>
          <w:sz w:val="20"/>
          <w:szCs w:val="20"/>
        </w:rPr>
        <w:t xml:space="preserve"> RO </w:t>
      </w:r>
      <w:r w:rsidR="00F97F9A">
        <w:rPr>
          <w:rFonts w:ascii="Arial" w:hAnsi="Arial" w:cs="Arial"/>
          <w:sz w:val="20"/>
          <w:szCs w:val="20"/>
        </w:rPr>
        <w:t xml:space="preserve"> </w:t>
      </w:r>
      <w:r w:rsidRPr="00D21AD3">
        <w:rPr>
          <w:rFonts w:ascii="Arial" w:hAnsi="Arial" w:cs="Arial"/>
          <w:sz w:val="20"/>
          <w:szCs w:val="20"/>
        </w:rPr>
        <w:t>aj naďalej aktívne komunikuje s prijímateľmi, či už na osobnej, písomnej alebo telefonickej báze.</w:t>
      </w:r>
      <w:r>
        <w:rPr>
          <w:rFonts w:ascii="Arial" w:hAnsi="Arial" w:cs="Arial"/>
          <w:sz w:val="20"/>
          <w:szCs w:val="20"/>
        </w:rPr>
        <w:t xml:space="preserve"> </w:t>
      </w:r>
      <w:r w:rsidRPr="00D21AD3">
        <w:rPr>
          <w:rFonts w:ascii="Arial" w:hAnsi="Arial" w:cs="Arial"/>
          <w:sz w:val="20"/>
          <w:szCs w:val="20"/>
        </w:rPr>
        <w:t>RO  aktívne využíva aj svoj</w:t>
      </w:r>
      <w:r w:rsidR="00C21A5E">
        <w:rPr>
          <w:rFonts w:ascii="Arial" w:hAnsi="Arial" w:cs="Arial"/>
          <w:sz w:val="20"/>
          <w:szCs w:val="20"/>
        </w:rPr>
        <w:t>e</w:t>
      </w:r>
      <w:r w:rsidRPr="00D21AD3">
        <w:rPr>
          <w:rFonts w:ascii="Arial" w:hAnsi="Arial" w:cs="Arial"/>
          <w:sz w:val="20"/>
          <w:szCs w:val="20"/>
        </w:rPr>
        <w:t xml:space="preserve"> web</w:t>
      </w:r>
      <w:r w:rsidR="00C21A5E">
        <w:rPr>
          <w:rFonts w:ascii="Arial" w:hAnsi="Arial" w:cs="Arial"/>
          <w:sz w:val="20"/>
          <w:szCs w:val="20"/>
        </w:rPr>
        <w:t>ové sídlo</w:t>
      </w:r>
      <w:r w:rsidRPr="00D21AD3">
        <w:rPr>
          <w:rFonts w:ascii="Arial" w:hAnsi="Arial" w:cs="Arial"/>
          <w:sz w:val="20"/>
          <w:szCs w:val="20"/>
        </w:rPr>
        <w:t xml:space="preserve"> </w:t>
      </w:r>
      <w:hyperlink r:id="rId14" w:history="1">
        <w:r w:rsidRPr="00D21AD3">
          <w:rPr>
            <w:rStyle w:val="Hypertextovprepojenie"/>
            <w:rFonts w:ascii="Arial" w:hAnsi="Arial" w:cs="Arial"/>
            <w:sz w:val="20"/>
            <w:szCs w:val="20"/>
          </w:rPr>
          <w:t>www.opzp.sk</w:t>
        </w:r>
      </w:hyperlink>
      <w:r w:rsidRPr="00D21AD3">
        <w:rPr>
          <w:rFonts w:ascii="Arial" w:hAnsi="Arial" w:cs="Arial"/>
          <w:sz w:val="20"/>
          <w:szCs w:val="20"/>
        </w:rPr>
        <w:t>, kde sú pravidelne zverejňované všetky informácie súvisiace s vyhlasovaním výziev, inštrukcií k vypracovaniu žiadostí, často kladených otázok a všetkých prípadných zmien a aktualizácií.</w:t>
      </w:r>
    </w:p>
    <w:p w:rsidR="002C2E66" w:rsidRPr="001C0B0B" w:rsidRDefault="002C2E66" w:rsidP="00507035">
      <w:pPr>
        <w:spacing w:before="120" w:after="120" w:line="360" w:lineRule="auto"/>
        <w:jc w:val="both"/>
        <w:rPr>
          <w:rFonts w:ascii="Arial" w:hAnsi="Arial" w:cs="Arial"/>
          <w:sz w:val="20"/>
          <w:szCs w:val="20"/>
        </w:rPr>
      </w:pPr>
      <w:r w:rsidRPr="002C2E66">
        <w:rPr>
          <w:rFonts w:ascii="Arial" w:hAnsi="Arial" w:cs="Arial"/>
          <w:sz w:val="20"/>
          <w:szCs w:val="20"/>
        </w:rPr>
        <w:t xml:space="preserve">V zmysle </w:t>
      </w:r>
      <w:r>
        <w:rPr>
          <w:rFonts w:ascii="Arial" w:hAnsi="Arial" w:cs="Arial"/>
          <w:sz w:val="20"/>
          <w:szCs w:val="20"/>
        </w:rPr>
        <w:t>Komunikačného plánu</w:t>
      </w:r>
      <w:r w:rsidRPr="002C2E66">
        <w:rPr>
          <w:rFonts w:ascii="Arial" w:hAnsi="Arial" w:cs="Arial"/>
          <w:sz w:val="20"/>
          <w:szCs w:val="20"/>
        </w:rPr>
        <w:t xml:space="preserve"> OP ŽP </w:t>
      </w:r>
      <w:r w:rsidR="00F97F9A">
        <w:rPr>
          <w:rFonts w:ascii="Arial" w:hAnsi="Arial" w:cs="Arial"/>
          <w:sz w:val="20"/>
          <w:szCs w:val="20"/>
        </w:rPr>
        <w:t xml:space="preserve">bol </w:t>
      </w:r>
      <w:r w:rsidRPr="002C2E66">
        <w:rPr>
          <w:rFonts w:ascii="Arial" w:hAnsi="Arial" w:cs="Arial"/>
          <w:sz w:val="20"/>
          <w:szCs w:val="20"/>
        </w:rPr>
        <w:t>vypracovaný Ročný operatívny plán pre KoP OP ŽP na r</w:t>
      </w:r>
      <w:r>
        <w:rPr>
          <w:rFonts w:ascii="Arial" w:hAnsi="Arial" w:cs="Arial"/>
          <w:sz w:val="20"/>
          <w:szCs w:val="20"/>
        </w:rPr>
        <w:t>ok 201</w:t>
      </w:r>
      <w:r w:rsidR="00F97F9A">
        <w:rPr>
          <w:rFonts w:ascii="Arial" w:hAnsi="Arial" w:cs="Arial"/>
          <w:sz w:val="20"/>
          <w:szCs w:val="20"/>
        </w:rPr>
        <w:t>2, ktorý</w:t>
      </w:r>
      <w:r>
        <w:rPr>
          <w:rFonts w:ascii="Arial" w:hAnsi="Arial" w:cs="Arial"/>
          <w:sz w:val="20"/>
          <w:szCs w:val="20"/>
        </w:rPr>
        <w:t xml:space="preserve"> </w:t>
      </w:r>
      <w:r w:rsidRPr="002C2E66">
        <w:rPr>
          <w:rFonts w:ascii="Arial" w:hAnsi="Arial" w:cs="Arial"/>
          <w:sz w:val="20"/>
          <w:szCs w:val="20"/>
        </w:rPr>
        <w:t>nadväz</w:t>
      </w:r>
      <w:r w:rsidR="00F97F9A">
        <w:rPr>
          <w:rFonts w:ascii="Arial" w:hAnsi="Arial" w:cs="Arial"/>
          <w:sz w:val="20"/>
          <w:szCs w:val="20"/>
        </w:rPr>
        <w:t>oval</w:t>
      </w:r>
      <w:r w:rsidRPr="002C2E66">
        <w:rPr>
          <w:rFonts w:ascii="Arial" w:hAnsi="Arial" w:cs="Arial"/>
          <w:sz w:val="20"/>
          <w:szCs w:val="20"/>
        </w:rPr>
        <w:t xml:space="preserve"> na aktivity z predchádzajúcich rokov a súčasne vyjadroval potreby informovanosti a publicity na rok 201</w:t>
      </w:r>
      <w:r w:rsidR="00F97F9A">
        <w:rPr>
          <w:rFonts w:ascii="Arial" w:hAnsi="Arial" w:cs="Arial"/>
          <w:sz w:val="20"/>
          <w:szCs w:val="20"/>
        </w:rPr>
        <w:t>2</w:t>
      </w:r>
      <w:r w:rsidRPr="002C2E66">
        <w:rPr>
          <w:rFonts w:ascii="Arial" w:hAnsi="Arial" w:cs="Arial"/>
          <w:sz w:val="20"/>
          <w:szCs w:val="20"/>
        </w:rPr>
        <w:t>. Na základe neho RO  realizoval viacero informačno-</w:t>
      </w:r>
      <w:r w:rsidRPr="001C0B0B">
        <w:rPr>
          <w:rFonts w:ascii="Arial" w:hAnsi="Arial" w:cs="Arial"/>
          <w:sz w:val="20"/>
          <w:szCs w:val="20"/>
        </w:rPr>
        <w:t xml:space="preserve">komunikačných aktivít, ktoré vychádzali z vytvoreného Corporate Design manuálu. </w:t>
      </w:r>
    </w:p>
    <w:p w:rsidR="002C2E66" w:rsidRPr="00493171" w:rsidRDefault="001C0B0B" w:rsidP="00507035">
      <w:pPr>
        <w:spacing w:before="120" w:after="120" w:line="360" w:lineRule="auto"/>
        <w:jc w:val="both"/>
        <w:rPr>
          <w:rFonts w:ascii="Arial" w:hAnsi="Arial" w:cs="Arial"/>
          <w:sz w:val="20"/>
          <w:szCs w:val="20"/>
        </w:rPr>
      </w:pPr>
      <w:r w:rsidRPr="008F13A8">
        <w:rPr>
          <w:rFonts w:ascii="Arial" w:hAnsi="Arial" w:cs="Arial"/>
          <w:sz w:val="20"/>
          <w:szCs w:val="20"/>
        </w:rPr>
        <w:t>V roku 2012 RO  pokračoval v komunikačnej stratégii nastavenej v KoP OP</w:t>
      </w:r>
      <w:r w:rsidR="008F13A8">
        <w:rPr>
          <w:rFonts w:ascii="Arial" w:hAnsi="Arial" w:cs="Arial"/>
          <w:sz w:val="20"/>
          <w:szCs w:val="20"/>
        </w:rPr>
        <w:t xml:space="preserve"> </w:t>
      </w:r>
      <w:r w:rsidRPr="008F13A8">
        <w:rPr>
          <w:rFonts w:ascii="Arial" w:hAnsi="Arial" w:cs="Arial"/>
          <w:sz w:val="20"/>
          <w:szCs w:val="20"/>
        </w:rPr>
        <w:t xml:space="preserve">ŽP pre </w:t>
      </w:r>
      <w:r w:rsidR="008F13A8">
        <w:rPr>
          <w:rFonts w:ascii="Arial" w:hAnsi="Arial" w:cs="Arial"/>
          <w:sz w:val="20"/>
          <w:szCs w:val="20"/>
        </w:rPr>
        <w:t>programové obdobie</w:t>
      </w:r>
      <w:r w:rsidRPr="008F13A8">
        <w:rPr>
          <w:rFonts w:ascii="Arial" w:hAnsi="Arial" w:cs="Arial"/>
          <w:sz w:val="20"/>
          <w:szCs w:val="20"/>
        </w:rPr>
        <w:t xml:space="preserve"> 2007</w:t>
      </w:r>
      <w:r w:rsidR="008F13A8">
        <w:rPr>
          <w:rFonts w:ascii="Arial" w:hAnsi="Arial" w:cs="Arial"/>
          <w:sz w:val="20"/>
          <w:szCs w:val="20"/>
        </w:rPr>
        <w:t xml:space="preserve"> </w:t>
      </w:r>
      <w:r w:rsidRPr="008F13A8">
        <w:rPr>
          <w:rFonts w:ascii="Arial" w:hAnsi="Arial" w:cs="Arial"/>
          <w:sz w:val="20"/>
          <w:szCs w:val="20"/>
        </w:rPr>
        <w:t>-</w:t>
      </w:r>
      <w:r w:rsidR="008F13A8">
        <w:rPr>
          <w:rFonts w:ascii="Arial" w:hAnsi="Arial" w:cs="Arial"/>
          <w:sz w:val="20"/>
          <w:szCs w:val="20"/>
        </w:rPr>
        <w:t xml:space="preserve"> </w:t>
      </w:r>
      <w:r w:rsidRPr="008F13A8">
        <w:rPr>
          <w:rFonts w:ascii="Arial" w:hAnsi="Arial" w:cs="Arial"/>
          <w:sz w:val="20"/>
          <w:szCs w:val="20"/>
        </w:rPr>
        <w:t>2013 a realizovanej v rokoch 2007</w:t>
      </w:r>
      <w:r w:rsidR="008F13A8">
        <w:rPr>
          <w:rFonts w:ascii="Arial" w:hAnsi="Arial" w:cs="Arial"/>
          <w:sz w:val="20"/>
          <w:szCs w:val="20"/>
        </w:rPr>
        <w:t xml:space="preserve"> </w:t>
      </w:r>
      <w:r w:rsidRPr="008F13A8">
        <w:rPr>
          <w:rFonts w:ascii="Arial" w:hAnsi="Arial" w:cs="Arial"/>
          <w:sz w:val="20"/>
          <w:szCs w:val="20"/>
        </w:rPr>
        <w:t>-</w:t>
      </w:r>
      <w:r w:rsidR="008F13A8">
        <w:rPr>
          <w:rFonts w:ascii="Arial" w:hAnsi="Arial" w:cs="Arial"/>
          <w:sz w:val="20"/>
          <w:szCs w:val="20"/>
        </w:rPr>
        <w:t xml:space="preserve"> </w:t>
      </w:r>
      <w:r w:rsidRPr="008F13A8">
        <w:rPr>
          <w:rFonts w:ascii="Arial" w:hAnsi="Arial" w:cs="Arial"/>
          <w:sz w:val="20"/>
          <w:szCs w:val="20"/>
        </w:rPr>
        <w:t>2011.  Hlavným zámerom bolo naďalej realizovať také komunikačné aktivity a nástroje komunikácie, ktoré smerujú k zvyšovaniu informovanosti a povedomia o pomoci EÚ a SR poskytovanej zo ŠF a KF prostredníctvom OP</w:t>
      </w:r>
      <w:r w:rsidR="008F13A8">
        <w:rPr>
          <w:rFonts w:ascii="Arial" w:hAnsi="Arial" w:cs="Arial"/>
          <w:sz w:val="20"/>
          <w:szCs w:val="20"/>
        </w:rPr>
        <w:t xml:space="preserve"> </w:t>
      </w:r>
      <w:r w:rsidRPr="008F13A8">
        <w:rPr>
          <w:rFonts w:ascii="Arial" w:hAnsi="Arial" w:cs="Arial"/>
          <w:sz w:val="20"/>
          <w:szCs w:val="20"/>
        </w:rPr>
        <w:t>ŽP a tým k zabezpečovaniu transparentnosti pre všetky cieľové skupiny.</w:t>
      </w:r>
      <w:r>
        <w:rPr>
          <w:rFonts w:ascii="Arial" w:hAnsi="Arial" w:cs="Arial"/>
          <w:sz w:val="20"/>
          <w:szCs w:val="20"/>
        </w:rPr>
        <w:t xml:space="preserve"> </w:t>
      </w:r>
      <w:r w:rsidRPr="008F13A8">
        <w:rPr>
          <w:rFonts w:ascii="Arial" w:hAnsi="Arial" w:cs="Arial"/>
          <w:color w:val="000000"/>
          <w:sz w:val="20"/>
          <w:szCs w:val="20"/>
        </w:rPr>
        <w:t>Rok 2012 rozvíja</w:t>
      </w:r>
      <w:r>
        <w:rPr>
          <w:rFonts w:ascii="Arial" w:hAnsi="Arial" w:cs="Arial"/>
          <w:color w:val="000000"/>
          <w:sz w:val="20"/>
          <w:szCs w:val="20"/>
        </w:rPr>
        <w:t>l</w:t>
      </w:r>
      <w:r w:rsidRPr="008F13A8">
        <w:rPr>
          <w:rFonts w:ascii="Arial" w:hAnsi="Arial" w:cs="Arial"/>
          <w:color w:val="000000"/>
          <w:sz w:val="20"/>
          <w:szCs w:val="20"/>
        </w:rPr>
        <w:t xml:space="preserve"> možnosti poukázať na príklady úspešne zrealizovaných, príp. realizujúcich sa projektov, čo sa RO </w:t>
      </w:r>
      <w:r>
        <w:rPr>
          <w:rFonts w:ascii="Arial" w:hAnsi="Arial" w:cs="Arial"/>
          <w:color w:val="000000"/>
          <w:sz w:val="20"/>
          <w:szCs w:val="20"/>
        </w:rPr>
        <w:t>snažil</w:t>
      </w:r>
      <w:r w:rsidRPr="008F13A8">
        <w:rPr>
          <w:rFonts w:ascii="Arial" w:hAnsi="Arial" w:cs="Arial"/>
          <w:color w:val="000000"/>
          <w:sz w:val="20"/>
          <w:szCs w:val="20"/>
        </w:rPr>
        <w:t xml:space="preserve"> využiť najmä prostredníctvom zverejňovania takýchto informácií a výsledkov podpory na </w:t>
      </w:r>
      <w:r w:rsidR="002B3B2D">
        <w:rPr>
          <w:rFonts w:ascii="Arial" w:hAnsi="Arial" w:cs="Arial"/>
          <w:color w:val="000000"/>
          <w:sz w:val="20"/>
          <w:szCs w:val="20"/>
        </w:rPr>
        <w:t>webovom sídle</w:t>
      </w:r>
      <w:r w:rsidRPr="008F13A8">
        <w:rPr>
          <w:rFonts w:ascii="Arial" w:hAnsi="Arial" w:cs="Arial"/>
          <w:color w:val="000000"/>
          <w:sz w:val="20"/>
          <w:szCs w:val="20"/>
        </w:rPr>
        <w:t xml:space="preserve"> </w:t>
      </w:r>
      <w:hyperlink r:id="rId15" w:history="1">
        <w:r w:rsidRPr="008F13A8">
          <w:rPr>
            <w:rStyle w:val="Hypertextovprepojenie"/>
            <w:rFonts w:ascii="Arial" w:hAnsi="Arial" w:cs="Arial"/>
            <w:sz w:val="20"/>
            <w:szCs w:val="20"/>
          </w:rPr>
          <w:t>www.opzp.sk</w:t>
        </w:r>
      </w:hyperlink>
      <w:r w:rsidRPr="008F13A8">
        <w:rPr>
          <w:rFonts w:ascii="Arial" w:hAnsi="Arial" w:cs="Arial"/>
          <w:color w:val="000000"/>
          <w:sz w:val="20"/>
          <w:szCs w:val="20"/>
        </w:rPr>
        <w:t xml:space="preserve"> a prostredníctvom ďalších komunikačných nástrojov, ku ktorým patria aj informačné články vo štvrťročníku Eurokompas – v spravodaji o štrukturálnych fondoch, ktorý v spolupráci s riadiacimi orgánmi vydáva Centrálny koordinačný orgán.</w:t>
      </w:r>
    </w:p>
    <w:p w:rsidR="00507035" w:rsidRDefault="00507035">
      <w:pPr>
        <w:rPr>
          <w:rFonts w:ascii="Arial" w:hAnsi="Arial" w:cs="Arial"/>
          <w:b/>
          <w:sz w:val="20"/>
          <w:szCs w:val="20"/>
        </w:rPr>
      </w:pPr>
    </w:p>
    <w:p w:rsidR="008B0526" w:rsidRPr="00493171" w:rsidRDefault="008B0526" w:rsidP="00507035">
      <w:pPr>
        <w:spacing w:before="120" w:after="120" w:line="360" w:lineRule="auto"/>
        <w:jc w:val="both"/>
        <w:rPr>
          <w:rFonts w:ascii="Arial" w:hAnsi="Arial" w:cs="Arial"/>
          <w:b/>
          <w:sz w:val="20"/>
          <w:szCs w:val="20"/>
        </w:rPr>
      </w:pPr>
      <w:r w:rsidRPr="00493171">
        <w:rPr>
          <w:rFonts w:ascii="Arial" w:hAnsi="Arial" w:cs="Arial"/>
          <w:b/>
          <w:sz w:val="20"/>
          <w:szCs w:val="20"/>
        </w:rPr>
        <w:t>Činnosť Monitorovacieho výboru pre OP ŽP</w:t>
      </w:r>
      <w:r w:rsidR="005C652C" w:rsidRPr="00493171">
        <w:rPr>
          <w:rFonts w:ascii="Arial" w:hAnsi="Arial" w:cs="Arial"/>
          <w:b/>
          <w:sz w:val="20"/>
          <w:szCs w:val="20"/>
        </w:rPr>
        <w:t xml:space="preserve"> </w:t>
      </w:r>
    </w:p>
    <w:p w:rsidR="004B38FF" w:rsidRDefault="00DF7365" w:rsidP="00507035">
      <w:pPr>
        <w:spacing w:before="120" w:after="120" w:line="360" w:lineRule="auto"/>
        <w:jc w:val="both"/>
        <w:rPr>
          <w:rFonts w:ascii="Arial" w:hAnsi="Arial" w:cs="Arial"/>
          <w:sz w:val="20"/>
          <w:szCs w:val="20"/>
        </w:rPr>
      </w:pPr>
      <w:r w:rsidRPr="008F13A8">
        <w:rPr>
          <w:rFonts w:ascii="Arial" w:hAnsi="Arial" w:cs="Arial"/>
          <w:sz w:val="20"/>
          <w:szCs w:val="20"/>
        </w:rPr>
        <w:t>V roku 2012 sa</w:t>
      </w:r>
      <w:r w:rsidR="004B38FF">
        <w:rPr>
          <w:rFonts w:ascii="Arial" w:hAnsi="Arial" w:cs="Arial"/>
          <w:sz w:val="20"/>
          <w:szCs w:val="20"/>
        </w:rPr>
        <w:t xml:space="preserve"> uskutočnili dve zasadnutia MV pre OP ŽP a to: </w:t>
      </w:r>
    </w:p>
    <w:p w:rsidR="00DF7365" w:rsidRPr="008001F1" w:rsidRDefault="00DF7365" w:rsidP="001540E7">
      <w:pPr>
        <w:pStyle w:val="Odsekzoznamu"/>
        <w:numPr>
          <w:ilvl w:val="0"/>
          <w:numId w:val="65"/>
        </w:numPr>
        <w:spacing w:before="120" w:after="120" w:line="360" w:lineRule="auto"/>
        <w:ind w:left="567" w:hanging="207"/>
        <w:jc w:val="both"/>
        <w:rPr>
          <w:rFonts w:ascii="Arial" w:hAnsi="Arial" w:cs="Arial"/>
          <w:sz w:val="20"/>
          <w:szCs w:val="20"/>
        </w:rPr>
      </w:pPr>
      <w:r w:rsidRPr="004B38FF">
        <w:rPr>
          <w:rFonts w:ascii="Arial" w:hAnsi="Arial" w:cs="Arial"/>
          <w:sz w:val="20"/>
          <w:szCs w:val="20"/>
        </w:rPr>
        <w:t xml:space="preserve"> dňa 14.06.2012 </w:t>
      </w:r>
      <w:r w:rsidR="004B38FF">
        <w:rPr>
          <w:rFonts w:ascii="Arial" w:hAnsi="Arial" w:cs="Arial"/>
          <w:sz w:val="20"/>
          <w:szCs w:val="20"/>
        </w:rPr>
        <w:t>sa ko</w:t>
      </w:r>
      <w:r w:rsidR="004B38FF" w:rsidRPr="004B38FF">
        <w:rPr>
          <w:rFonts w:ascii="Arial" w:hAnsi="Arial" w:cs="Arial"/>
          <w:sz w:val="20"/>
          <w:szCs w:val="20"/>
        </w:rPr>
        <w:t xml:space="preserve">nalo </w:t>
      </w:r>
      <w:r w:rsidRPr="004B38FF">
        <w:rPr>
          <w:rFonts w:ascii="Arial" w:hAnsi="Arial" w:cs="Arial"/>
          <w:sz w:val="20"/>
          <w:szCs w:val="20"/>
        </w:rPr>
        <w:t xml:space="preserve">deviate zasadnutie Monitorovacieho výboru pre OP ŽP, na ktorom bol uznesením č. 9 schválený Návrh úprav štatútu Monitorovacieho výboru, Návrh úprav Programového manuálu Operačného programu Životné prostredie, Návrh zmeny výberových kritérií žiadostí o nenávratný finančný príspevok v rámci Operačného programu Životné prostredie a Návrh výročnej správy o vykonávaní </w:t>
      </w:r>
      <w:r w:rsidR="002B3B2D" w:rsidRPr="004B38FF">
        <w:rPr>
          <w:rFonts w:ascii="Arial" w:hAnsi="Arial" w:cs="Arial"/>
          <w:sz w:val="20"/>
          <w:szCs w:val="20"/>
        </w:rPr>
        <w:t>OP ŽP</w:t>
      </w:r>
      <w:r w:rsidRPr="004B38FF">
        <w:rPr>
          <w:rFonts w:ascii="Arial" w:hAnsi="Arial" w:cs="Arial"/>
          <w:sz w:val="20"/>
          <w:szCs w:val="20"/>
        </w:rPr>
        <w:t xml:space="preserve"> za rok 2011. Zároveň Monitorovací výbor pre OP ŽP zrušil úlohy C.1., C.2. a C.3. uznesenia č. 8 zo dňa 28.06.2011</w:t>
      </w:r>
      <w:r w:rsidR="004B38FF">
        <w:rPr>
          <w:rFonts w:ascii="Arial" w:hAnsi="Arial" w:cs="Arial"/>
          <w:sz w:val="20"/>
          <w:szCs w:val="20"/>
        </w:rPr>
        <w:t>;</w:t>
      </w:r>
      <w:r w:rsidR="00A86BB8">
        <w:rPr>
          <w:rFonts w:ascii="Arial" w:hAnsi="Arial" w:cs="Arial"/>
          <w:sz w:val="20"/>
          <w:szCs w:val="20"/>
        </w:rPr>
        <w:t xml:space="preserve"> </w:t>
      </w:r>
      <w:r w:rsidR="004B38FF">
        <w:rPr>
          <w:rFonts w:ascii="Arial" w:hAnsi="Arial" w:cs="Arial"/>
          <w:sz w:val="20"/>
          <w:szCs w:val="20"/>
        </w:rPr>
        <w:t>d</w:t>
      </w:r>
      <w:r w:rsidRPr="004B38FF">
        <w:rPr>
          <w:rFonts w:ascii="Arial" w:hAnsi="Arial" w:cs="Arial"/>
          <w:sz w:val="20"/>
          <w:szCs w:val="20"/>
        </w:rPr>
        <w:t xml:space="preserve">ňa 18.12.2012 </w:t>
      </w:r>
      <w:r w:rsidR="004B38FF">
        <w:rPr>
          <w:rFonts w:ascii="Arial" w:hAnsi="Arial" w:cs="Arial"/>
          <w:sz w:val="20"/>
          <w:szCs w:val="20"/>
        </w:rPr>
        <w:t xml:space="preserve">sa </w:t>
      </w:r>
      <w:r w:rsidRPr="004B38FF">
        <w:rPr>
          <w:rFonts w:ascii="Arial" w:hAnsi="Arial" w:cs="Arial"/>
          <w:sz w:val="20"/>
          <w:szCs w:val="20"/>
        </w:rPr>
        <w:t xml:space="preserve">uskutočnilo aj ďalšie, desiate zasadnutie Monitorovacieho výboru pre OP ŽP, na ktorom bol schválený Návrh revízie OP ŽP na verziu 4.0 a Návrh zmeny hodnotiacich a </w:t>
      </w:r>
      <w:r w:rsidRPr="008001F1">
        <w:rPr>
          <w:rFonts w:ascii="Arial" w:hAnsi="Arial" w:cs="Arial"/>
          <w:sz w:val="20"/>
          <w:szCs w:val="20"/>
        </w:rPr>
        <w:t>výberových kritérií žiadostí o nenávratný finančný príspevok v rámci OP ŽP.</w:t>
      </w:r>
    </w:p>
    <w:p w:rsidR="004B38FF" w:rsidRPr="008001F1" w:rsidRDefault="00DF7365" w:rsidP="00507035">
      <w:pPr>
        <w:spacing w:before="120" w:after="120" w:line="360" w:lineRule="auto"/>
        <w:jc w:val="both"/>
        <w:rPr>
          <w:rFonts w:ascii="Arial" w:hAnsi="Arial" w:cs="Arial"/>
          <w:sz w:val="20"/>
          <w:szCs w:val="20"/>
        </w:rPr>
      </w:pPr>
      <w:r w:rsidRPr="008001F1">
        <w:rPr>
          <w:rFonts w:ascii="Arial" w:hAnsi="Arial" w:cs="Arial"/>
          <w:sz w:val="20"/>
          <w:szCs w:val="20"/>
        </w:rPr>
        <w:t>V sledovanom období sa uskutočnilo päť hlasovaní písomnou procedúrou, v rámci ktorých bol</w:t>
      </w:r>
      <w:r w:rsidR="004B38FF" w:rsidRPr="008001F1">
        <w:rPr>
          <w:rFonts w:ascii="Arial" w:hAnsi="Arial" w:cs="Arial"/>
          <w:sz w:val="20"/>
          <w:szCs w:val="20"/>
        </w:rPr>
        <w:t>i formou písomného postupu prijaté nasledovné rozhodnutia:</w:t>
      </w:r>
    </w:p>
    <w:p w:rsidR="004B38FF" w:rsidRDefault="00DF7365" w:rsidP="001540E7">
      <w:pPr>
        <w:pStyle w:val="Odsekzoznamu"/>
        <w:numPr>
          <w:ilvl w:val="0"/>
          <w:numId w:val="65"/>
        </w:numPr>
        <w:spacing w:before="120" w:after="120" w:line="360" w:lineRule="auto"/>
        <w:jc w:val="both"/>
        <w:rPr>
          <w:rFonts w:ascii="Arial" w:hAnsi="Arial" w:cs="Arial"/>
          <w:sz w:val="20"/>
          <w:szCs w:val="20"/>
        </w:rPr>
      </w:pPr>
      <w:r w:rsidRPr="008001F1">
        <w:rPr>
          <w:rFonts w:ascii="Arial" w:hAnsi="Arial" w:cs="Arial"/>
          <w:sz w:val="20"/>
          <w:szCs w:val="20"/>
        </w:rPr>
        <w:t>dňa 10.01.2012 schválený Návrh aktualizácie</w:t>
      </w:r>
      <w:r w:rsidRPr="004B38FF">
        <w:rPr>
          <w:rFonts w:ascii="Arial" w:hAnsi="Arial" w:cs="Arial"/>
          <w:sz w:val="20"/>
          <w:szCs w:val="20"/>
        </w:rPr>
        <w:t xml:space="preserve"> Prílohy č. 3 Plánu hodnotení OP ŽP na programové obdobie 2007 - 2013, verzia 2.1, Indikatívny plán hodnotiacich aktivít v rámci procesu hodnotenia OP ŽP, </w:t>
      </w:r>
    </w:p>
    <w:p w:rsidR="004B38FF" w:rsidRDefault="00DF7365" w:rsidP="001540E7">
      <w:pPr>
        <w:pStyle w:val="Odsekzoznamu"/>
        <w:numPr>
          <w:ilvl w:val="0"/>
          <w:numId w:val="65"/>
        </w:numPr>
        <w:spacing w:before="120" w:after="120" w:line="360" w:lineRule="auto"/>
        <w:jc w:val="both"/>
        <w:rPr>
          <w:rFonts w:ascii="Arial" w:hAnsi="Arial" w:cs="Arial"/>
          <w:sz w:val="20"/>
          <w:szCs w:val="20"/>
        </w:rPr>
      </w:pPr>
      <w:r w:rsidRPr="004B38FF">
        <w:rPr>
          <w:rFonts w:ascii="Arial" w:hAnsi="Arial" w:cs="Arial"/>
          <w:sz w:val="20"/>
          <w:szCs w:val="20"/>
        </w:rPr>
        <w:t>dňa 25.04.2012 bol schválený Návrh úpravy indikatívneho rozdelenia príspevku z fondov na prioritné témy 51 a 54  v rámci prioritnej osi 5 Ochrana a regenerácia prírodného prostredia a krajiny a  úpravy indikatívneho rozdelenia príspevku z fondov do kategórií podľa formy finančného príspevku v rámci prioritnej osi 3 Ochrana ovzdušia a minimalizácia nepriaznivých vplyvov zmeny klímy a z toho vyplývajúcich zmien OP ŽP a Programového manuálu OP ŽP</w:t>
      </w:r>
    </w:p>
    <w:p w:rsidR="004B38FF" w:rsidRDefault="004B38FF" w:rsidP="001540E7">
      <w:pPr>
        <w:pStyle w:val="Odsekzoznamu"/>
        <w:numPr>
          <w:ilvl w:val="0"/>
          <w:numId w:val="65"/>
        </w:numPr>
        <w:spacing w:before="120" w:after="120" w:line="360" w:lineRule="auto"/>
        <w:jc w:val="both"/>
        <w:rPr>
          <w:rFonts w:ascii="Arial" w:hAnsi="Arial" w:cs="Arial"/>
          <w:sz w:val="20"/>
          <w:szCs w:val="20"/>
        </w:rPr>
      </w:pPr>
      <w:r>
        <w:rPr>
          <w:rFonts w:ascii="Arial" w:hAnsi="Arial" w:cs="Arial"/>
          <w:sz w:val="20"/>
          <w:szCs w:val="20"/>
        </w:rPr>
        <w:t>d</w:t>
      </w:r>
      <w:r w:rsidR="00DF7365" w:rsidRPr="004B38FF">
        <w:rPr>
          <w:rFonts w:ascii="Arial" w:hAnsi="Arial" w:cs="Arial"/>
          <w:sz w:val="20"/>
          <w:szCs w:val="20"/>
        </w:rPr>
        <w:t xml:space="preserve">ňa 12.07.2012 bol schválený Návrh úpravy čl. 7 ods. 3 rokovacieho poriadku Monitorovacieho výboru pre OP ŽP, </w:t>
      </w:r>
    </w:p>
    <w:p w:rsidR="004B38FF" w:rsidRDefault="00DF7365" w:rsidP="001540E7">
      <w:pPr>
        <w:pStyle w:val="Odsekzoznamu"/>
        <w:numPr>
          <w:ilvl w:val="0"/>
          <w:numId w:val="65"/>
        </w:numPr>
        <w:spacing w:before="120" w:after="120" w:line="360" w:lineRule="auto"/>
        <w:jc w:val="both"/>
        <w:rPr>
          <w:rFonts w:ascii="Arial" w:hAnsi="Arial" w:cs="Arial"/>
          <w:sz w:val="20"/>
          <w:szCs w:val="20"/>
        </w:rPr>
      </w:pPr>
      <w:r w:rsidRPr="004B38FF">
        <w:rPr>
          <w:rFonts w:ascii="Arial" w:hAnsi="Arial" w:cs="Arial"/>
          <w:sz w:val="20"/>
          <w:szCs w:val="20"/>
        </w:rPr>
        <w:t>dňa 12.09.2012 bol schválený Návrh doplnenia hlavných (</w:t>
      </w:r>
      <w:r w:rsidR="008F2A89" w:rsidRPr="004B38FF">
        <w:rPr>
          <w:rFonts w:ascii="Arial" w:hAnsi="Arial" w:cs="Arial"/>
          <w:sz w:val="20"/>
          <w:szCs w:val="20"/>
        </w:rPr>
        <w:t>CORE</w:t>
      </w:r>
      <w:r w:rsidRPr="004B38FF">
        <w:rPr>
          <w:rFonts w:ascii="Arial" w:hAnsi="Arial" w:cs="Arial"/>
          <w:sz w:val="20"/>
          <w:szCs w:val="20"/>
        </w:rPr>
        <w:t xml:space="preserve">) ukazovateľov OP ŽP a </w:t>
      </w:r>
    </w:p>
    <w:p w:rsidR="008B0526" w:rsidRPr="004B38FF" w:rsidRDefault="00DF7365" w:rsidP="001540E7">
      <w:pPr>
        <w:pStyle w:val="Odsekzoznamu"/>
        <w:numPr>
          <w:ilvl w:val="0"/>
          <w:numId w:val="65"/>
        </w:numPr>
        <w:spacing w:before="120" w:after="120" w:line="360" w:lineRule="auto"/>
        <w:jc w:val="both"/>
        <w:rPr>
          <w:rFonts w:ascii="Arial" w:hAnsi="Arial" w:cs="Arial"/>
          <w:sz w:val="20"/>
          <w:szCs w:val="20"/>
        </w:rPr>
      </w:pPr>
      <w:r w:rsidRPr="004B38FF">
        <w:rPr>
          <w:rFonts w:ascii="Arial" w:hAnsi="Arial" w:cs="Arial"/>
          <w:sz w:val="20"/>
          <w:szCs w:val="20"/>
        </w:rPr>
        <w:t>dňa 26.11.2012 bol schválený Návrh zmien Programového manuálu Operačného programu Životné prostredie.</w:t>
      </w:r>
      <w:r w:rsidR="001A73B0" w:rsidRPr="004B38FF">
        <w:rPr>
          <w:rFonts w:ascii="Arial" w:hAnsi="Arial" w:cs="Arial"/>
          <w:sz w:val="20"/>
          <w:szCs w:val="20"/>
        </w:rPr>
        <w:t xml:space="preserve"> </w:t>
      </w:r>
    </w:p>
    <w:p w:rsidR="002E06CC" w:rsidRPr="006A78D8" w:rsidRDefault="002E06CC" w:rsidP="00507035">
      <w:pPr>
        <w:spacing w:before="120" w:after="120" w:line="360" w:lineRule="auto"/>
        <w:jc w:val="both"/>
        <w:rPr>
          <w:rFonts w:ascii="Arial" w:hAnsi="Arial" w:cs="Arial"/>
          <w:b/>
          <w:sz w:val="20"/>
          <w:szCs w:val="20"/>
        </w:rPr>
      </w:pPr>
      <w:r w:rsidRPr="006A78D8">
        <w:rPr>
          <w:rFonts w:ascii="Arial" w:hAnsi="Arial" w:cs="Arial"/>
          <w:b/>
          <w:sz w:val="20"/>
          <w:szCs w:val="20"/>
        </w:rPr>
        <w:t>Administratívne kapacity</w:t>
      </w:r>
    </w:p>
    <w:p w:rsidR="002416B1" w:rsidRDefault="002416B1" w:rsidP="00507035">
      <w:pPr>
        <w:spacing w:before="120" w:after="120" w:line="360" w:lineRule="auto"/>
        <w:jc w:val="both"/>
        <w:rPr>
          <w:rFonts w:ascii="Arial" w:hAnsi="Arial" w:cs="Arial"/>
          <w:sz w:val="20"/>
          <w:szCs w:val="20"/>
        </w:rPr>
      </w:pPr>
      <w:r w:rsidRPr="00894F85">
        <w:rPr>
          <w:rFonts w:ascii="Arial" w:hAnsi="Arial" w:cs="Arial"/>
          <w:sz w:val="20"/>
          <w:szCs w:val="20"/>
        </w:rPr>
        <w:t xml:space="preserve">RO  </w:t>
      </w:r>
      <w:r w:rsidR="002E06CC">
        <w:rPr>
          <w:rFonts w:ascii="Arial" w:hAnsi="Arial" w:cs="Arial"/>
          <w:sz w:val="20"/>
          <w:szCs w:val="20"/>
        </w:rPr>
        <w:t>taktiež v roku 201</w:t>
      </w:r>
      <w:r w:rsidR="005D473B">
        <w:rPr>
          <w:rFonts w:ascii="Arial" w:hAnsi="Arial" w:cs="Arial"/>
          <w:sz w:val="20"/>
          <w:szCs w:val="20"/>
        </w:rPr>
        <w:t>2</w:t>
      </w:r>
      <w:r w:rsidR="002E06CC">
        <w:rPr>
          <w:rFonts w:ascii="Arial" w:hAnsi="Arial" w:cs="Arial"/>
          <w:sz w:val="20"/>
          <w:szCs w:val="20"/>
        </w:rPr>
        <w:t xml:space="preserve"> </w:t>
      </w:r>
      <w:r w:rsidRPr="00894F85">
        <w:rPr>
          <w:rFonts w:ascii="Arial" w:hAnsi="Arial" w:cs="Arial"/>
          <w:sz w:val="20"/>
          <w:szCs w:val="20"/>
        </w:rPr>
        <w:t>pravidelne zasiela</w:t>
      </w:r>
      <w:r w:rsidR="002E06CC">
        <w:rPr>
          <w:rFonts w:ascii="Arial" w:hAnsi="Arial" w:cs="Arial"/>
          <w:sz w:val="20"/>
          <w:szCs w:val="20"/>
        </w:rPr>
        <w:t>l</w:t>
      </w:r>
      <w:r w:rsidRPr="00894F85">
        <w:rPr>
          <w:rFonts w:ascii="Arial" w:hAnsi="Arial" w:cs="Arial"/>
          <w:sz w:val="20"/>
          <w:szCs w:val="20"/>
        </w:rPr>
        <w:t xml:space="preserve"> </w:t>
      </w:r>
      <w:r>
        <w:rPr>
          <w:rFonts w:ascii="Arial" w:hAnsi="Arial" w:cs="Arial"/>
          <w:sz w:val="20"/>
          <w:szCs w:val="20"/>
        </w:rPr>
        <w:t xml:space="preserve">CKO </w:t>
      </w:r>
      <w:r w:rsidRPr="00894F85">
        <w:rPr>
          <w:rFonts w:ascii="Arial" w:hAnsi="Arial" w:cs="Arial"/>
          <w:sz w:val="20"/>
          <w:szCs w:val="20"/>
        </w:rPr>
        <w:t xml:space="preserve">aktuálne informácie o aktuálnom počte administratívnych kapacít, informácie o stave a naplnenosti administratívnych kapacít definovaných na základe uznesenia vlády SR č. 396/2007 </w:t>
      </w:r>
      <w:r w:rsidR="005D473B" w:rsidRPr="005D473B">
        <w:rPr>
          <w:rFonts w:ascii="Arial" w:hAnsi="Arial" w:cs="Arial"/>
          <w:sz w:val="20"/>
          <w:szCs w:val="20"/>
        </w:rPr>
        <w:t xml:space="preserve">ako aj Metodického pokynu CKO č. 14 k sledovaniu údajov o administratívnych kapacitách subjektov zapojených do implementácie, certifikácie a vládneho auditu ŠF a KF v programovom období 2007-2013 </w:t>
      </w:r>
      <w:r w:rsidRPr="00894F85">
        <w:rPr>
          <w:rFonts w:ascii="Arial" w:hAnsi="Arial" w:cs="Arial"/>
          <w:sz w:val="20"/>
          <w:szCs w:val="20"/>
        </w:rPr>
        <w:t>a taktiež údaje o ďalších oprávnených zamestnancoch zapojených do implementácie OP, ktorých mzdy a platy sú spolufinancované z technickej pomoci. V časti zameranej na identifikáciu rizík RO zasiela informácie o rizikách identifikovaných v súčasnosti alebo možných v budúcnosti spolu s návrhmi ich možného riešenia.</w:t>
      </w:r>
    </w:p>
    <w:p w:rsidR="00602CA2" w:rsidRDefault="002416B1" w:rsidP="00507035">
      <w:pPr>
        <w:spacing w:before="120" w:after="120" w:line="360" w:lineRule="auto"/>
        <w:jc w:val="both"/>
        <w:rPr>
          <w:rFonts w:ascii="Arial" w:hAnsi="Arial" w:cs="Arial"/>
          <w:sz w:val="20"/>
          <w:szCs w:val="20"/>
        </w:rPr>
      </w:pPr>
      <w:r>
        <w:rPr>
          <w:rFonts w:ascii="Arial" w:hAnsi="Arial" w:cs="Arial"/>
          <w:sz w:val="20"/>
          <w:szCs w:val="20"/>
        </w:rPr>
        <w:t xml:space="preserve">Vyššie uvedené </w:t>
      </w:r>
      <w:r w:rsidR="004B38FF">
        <w:rPr>
          <w:rFonts w:ascii="Arial" w:hAnsi="Arial" w:cs="Arial"/>
          <w:sz w:val="20"/>
          <w:szCs w:val="20"/>
        </w:rPr>
        <w:t xml:space="preserve">oblasti </w:t>
      </w:r>
      <w:r>
        <w:rPr>
          <w:rFonts w:ascii="Arial" w:hAnsi="Arial" w:cs="Arial"/>
          <w:sz w:val="20"/>
          <w:szCs w:val="20"/>
        </w:rPr>
        <w:t xml:space="preserve">sú podrobnejšie </w:t>
      </w:r>
      <w:r w:rsidR="004B38FF">
        <w:rPr>
          <w:rFonts w:ascii="Arial" w:hAnsi="Arial" w:cs="Arial"/>
          <w:sz w:val="20"/>
          <w:szCs w:val="20"/>
        </w:rPr>
        <w:t xml:space="preserve">analyzované </w:t>
      </w:r>
      <w:r>
        <w:rPr>
          <w:rFonts w:ascii="Arial" w:hAnsi="Arial" w:cs="Arial"/>
          <w:sz w:val="20"/>
          <w:szCs w:val="20"/>
        </w:rPr>
        <w:t>v relevantných kapitolách výročnej správy, ku ktorým tematicky prislúchajú.</w:t>
      </w:r>
      <w:bookmarkStart w:id="11" w:name="_Toc319573302"/>
    </w:p>
    <w:p w:rsidR="007A359B" w:rsidRDefault="007A359B" w:rsidP="00507035">
      <w:pPr>
        <w:spacing w:before="120" w:after="120" w:line="360" w:lineRule="auto"/>
        <w:jc w:val="both"/>
        <w:rPr>
          <w:rFonts w:ascii="Arial" w:hAnsi="Arial" w:cs="Arial"/>
          <w:sz w:val="20"/>
          <w:szCs w:val="20"/>
        </w:rPr>
      </w:pPr>
    </w:p>
    <w:p w:rsidR="002416B1" w:rsidRPr="004B33AE" w:rsidRDefault="002416B1" w:rsidP="00507035">
      <w:pPr>
        <w:pStyle w:val="Nadpis3"/>
        <w:spacing w:before="120" w:after="120"/>
      </w:pPr>
      <w:r w:rsidRPr="004B33AE">
        <w:t>2.1.1 Stav fyzického pokroku operačného programu</w:t>
      </w:r>
      <w:bookmarkEnd w:id="10"/>
      <w:bookmarkEnd w:id="11"/>
    </w:p>
    <w:p w:rsidR="002416B1" w:rsidRPr="00A322EA" w:rsidRDefault="002416B1" w:rsidP="00507035">
      <w:pPr>
        <w:spacing w:before="120" w:after="120" w:line="360" w:lineRule="auto"/>
        <w:jc w:val="both"/>
        <w:rPr>
          <w:rFonts w:ascii="Arial" w:hAnsi="Arial" w:cs="Arial"/>
          <w:b/>
          <w:bCs/>
          <w:sz w:val="20"/>
          <w:szCs w:val="20"/>
        </w:rPr>
      </w:pPr>
      <w:bookmarkStart w:id="12" w:name="OLE_LINK2"/>
      <w:bookmarkStart w:id="13" w:name="OLE_LINK21"/>
      <w:r w:rsidRPr="00A322EA">
        <w:rPr>
          <w:rFonts w:ascii="Arial" w:hAnsi="Arial" w:cs="Arial"/>
          <w:b/>
          <w:bCs/>
          <w:sz w:val="20"/>
          <w:szCs w:val="20"/>
        </w:rPr>
        <w:t>Výzvy v</w:t>
      </w:r>
      <w:r w:rsidRPr="00276947">
        <w:rPr>
          <w:rFonts w:ascii="Arial" w:hAnsi="Arial" w:cs="Arial"/>
          <w:b/>
          <w:bCs/>
          <w:sz w:val="20"/>
          <w:szCs w:val="20"/>
        </w:rPr>
        <w:t> </w:t>
      </w:r>
      <w:r w:rsidRPr="00A322EA">
        <w:rPr>
          <w:rFonts w:ascii="Arial" w:hAnsi="Arial" w:cs="Arial"/>
          <w:b/>
          <w:bCs/>
          <w:sz w:val="20"/>
          <w:szCs w:val="20"/>
        </w:rPr>
        <w:t>sledovanom období</w:t>
      </w:r>
    </w:p>
    <w:p w:rsidR="002416B1" w:rsidRPr="004B33AE" w:rsidRDefault="003F43DE" w:rsidP="00507035">
      <w:pPr>
        <w:spacing w:before="120" w:after="120" w:line="360" w:lineRule="auto"/>
        <w:jc w:val="both"/>
        <w:rPr>
          <w:rFonts w:ascii="Arial" w:hAnsi="Arial" w:cs="Arial"/>
          <w:bCs/>
          <w:sz w:val="20"/>
          <w:szCs w:val="20"/>
        </w:rPr>
      </w:pPr>
      <w:r w:rsidRPr="004B33AE">
        <w:rPr>
          <w:rFonts w:ascii="Arial" w:hAnsi="Arial" w:cs="Arial"/>
          <w:bCs/>
          <w:sz w:val="20"/>
          <w:szCs w:val="20"/>
        </w:rPr>
        <w:t>V priebehu roka 201</w:t>
      </w:r>
      <w:r>
        <w:rPr>
          <w:rFonts w:ascii="Arial" w:hAnsi="Arial" w:cs="Arial"/>
          <w:bCs/>
          <w:sz w:val="20"/>
          <w:szCs w:val="20"/>
        </w:rPr>
        <w:t>2</w:t>
      </w:r>
      <w:r w:rsidRPr="004B33AE">
        <w:rPr>
          <w:rFonts w:ascii="Arial" w:hAnsi="Arial" w:cs="Arial"/>
          <w:bCs/>
          <w:sz w:val="20"/>
          <w:szCs w:val="20"/>
        </w:rPr>
        <w:t xml:space="preserve"> vyhlásil </w:t>
      </w:r>
      <w:r w:rsidR="003B4ED3">
        <w:rPr>
          <w:rFonts w:ascii="Arial" w:hAnsi="Arial" w:cs="Arial"/>
          <w:bCs/>
          <w:sz w:val="20"/>
          <w:szCs w:val="20"/>
        </w:rPr>
        <w:t xml:space="preserve">RO </w:t>
      </w:r>
      <w:r w:rsidRPr="004B33AE">
        <w:rPr>
          <w:rFonts w:ascii="Arial" w:hAnsi="Arial" w:cs="Arial"/>
          <w:bCs/>
          <w:sz w:val="20"/>
          <w:szCs w:val="20"/>
        </w:rPr>
        <w:t xml:space="preserve">celkovo </w:t>
      </w:r>
      <w:r>
        <w:rPr>
          <w:rFonts w:ascii="Arial" w:hAnsi="Arial" w:cs="Arial"/>
          <w:bCs/>
          <w:sz w:val="20"/>
          <w:szCs w:val="20"/>
        </w:rPr>
        <w:t>5</w:t>
      </w:r>
      <w:r w:rsidRPr="004B33AE">
        <w:rPr>
          <w:rFonts w:ascii="Arial" w:hAnsi="Arial" w:cs="Arial"/>
          <w:bCs/>
          <w:sz w:val="20"/>
          <w:szCs w:val="20"/>
        </w:rPr>
        <w:t xml:space="preserve"> výziev na predkladanie žiadostí o nenávratný finančný príspevok (ďalej len „žiadostí o NFP“) v celkovej </w:t>
      </w:r>
      <w:r>
        <w:rPr>
          <w:rFonts w:ascii="Arial" w:hAnsi="Arial" w:cs="Arial"/>
          <w:bCs/>
          <w:sz w:val="20"/>
          <w:szCs w:val="20"/>
        </w:rPr>
        <w:t>sume</w:t>
      </w:r>
      <w:r w:rsidRPr="004B33AE">
        <w:rPr>
          <w:rFonts w:ascii="Arial" w:hAnsi="Arial" w:cs="Arial"/>
          <w:bCs/>
          <w:sz w:val="20"/>
          <w:szCs w:val="20"/>
        </w:rPr>
        <w:t xml:space="preserve"> </w:t>
      </w:r>
      <w:r>
        <w:rPr>
          <w:rFonts w:ascii="Arial" w:hAnsi="Arial" w:cs="Arial"/>
          <w:bCs/>
          <w:sz w:val="20"/>
          <w:szCs w:val="20"/>
        </w:rPr>
        <w:t>110 406 141</w:t>
      </w:r>
      <w:r w:rsidRPr="004B33AE">
        <w:rPr>
          <w:rFonts w:ascii="Arial" w:hAnsi="Arial" w:cs="Arial"/>
          <w:bCs/>
          <w:sz w:val="20"/>
          <w:szCs w:val="20"/>
        </w:rPr>
        <w:t xml:space="preserve"> EUR</w:t>
      </w:r>
      <w:r>
        <w:rPr>
          <w:rFonts w:ascii="Arial" w:hAnsi="Arial" w:cs="Arial"/>
          <w:bCs/>
          <w:sz w:val="20"/>
          <w:szCs w:val="20"/>
        </w:rPr>
        <w:t xml:space="preserve"> (zdroje EÚ a ŠR). Bližšie informácie o počte vyhlásených výziev a ich finančnej alokácii v členení podľa jednotlivých prioritných osiach sú uvedené v </w:t>
      </w:r>
      <w:r w:rsidRPr="004B33AE">
        <w:rPr>
          <w:rFonts w:ascii="Arial" w:hAnsi="Arial" w:cs="Arial"/>
          <w:bCs/>
          <w:sz w:val="20"/>
          <w:szCs w:val="20"/>
        </w:rPr>
        <w:t>nasled</w:t>
      </w:r>
      <w:r>
        <w:rPr>
          <w:rFonts w:ascii="Arial" w:hAnsi="Arial" w:cs="Arial"/>
          <w:bCs/>
          <w:sz w:val="20"/>
          <w:szCs w:val="20"/>
        </w:rPr>
        <w:t>ujúcej</w:t>
      </w:r>
      <w:r w:rsidRPr="004B33AE">
        <w:rPr>
          <w:rFonts w:ascii="Arial" w:hAnsi="Arial" w:cs="Arial"/>
          <w:bCs/>
          <w:sz w:val="20"/>
          <w:szCs w:val="20"/>
        </w:rPr>
        <w:t xml:space="preserve"> tabuľk</w:t>
      </w:r>
      <w:r>
        <w:rPr>
          <w:rFonts w:ascii="Arial" w:hAnsi="Arial" w:cs="Arial"/>
          <w:bCs/>
          <w:sz w:val="20"/>
          <w:szCs w:val="20"/>
        </w:rPr>
        <w:t>e</w:t>
      </w:r>
      <w:r w:rsidR="003B4ED3">
        <w:rPr>
          <w:rFonts w:ascii="Arial" w:hAnsi="Arial" w:cs="Arial"/>
          <w:bCs/>
          <w:sz w:val="20"/>
          <w:szCs w:val="20"/>
        </w:rPr>
        <w:t>.</w:t>
      </w:r>
    </w:p>
    <w:p w:rsidR="002416B1" w:rsidRPr="004B33AE" w:rsidRDefault="002416B1" w:rsidP="00507035">
      <w:pPr>
        <w:spacing w:before="120" w:after="120" w:line="360" w:lineRule="auto"/>
        <w:jc w:val="both"/>
        <w:rPr>
          <w:rFonts w:ascii="Arial" w:hAnsi="Arial" w:cs="Arial"/>
          <w:sz w:val="20"/>
          <w:szCs w:val="20"/>
        </w:rPr>
      </w:pPr>
      <w:r w:rsidRPr="00C34E91">
        <w:rPr>
          <w:rFonts w:ascii="Arial" w:hAnsi="Arial" w:cs="Arial"/>
          <w:sz w:val="20"/>
          <w:szCs w:val="20"/>
        </w:rPr>
        <w:t xml:space="preserve">Tab. č. </w:t>
      </w:r>
      <w:r w:rsidR="00165CA5">
        <w:rPr>
          <w:rFonts w:ascii="Arial" w:hAnsi="Arial" w:cs="Arial"/>
          <w:sz w:val="20"/>
          <w:szCs w:val="20"/>
        </w:rPr>
        <w:t>5</w:t>
      </w:r>
      <w:r w:rsidRPr="00C34E91">
        <w:rPr>
          <w:rFonts w:ascii="Arial" w:hAnsi="Arial" w:cs="Arial"/>
          <w:sz w:val="20"/>
          <w:szCs w:val="20"/>
        </w:rPr>
        <w:t xml:space="preserve">: Prehľad </w:t>
      </w:r>
      <w:r w:rsidR="00AD1BF2">
        <w:rPr>
          <w:rFonts w:ascii="Arial" w:hAnsi="Arial" w:cs="Arial"/>
          <w:sz w:val="20"/>
          <w:szCs w:val="20"/>
        </w:rPr>
        <w:t xml:space="preserve">výziev a písomných vyzvaní od </w:t>
      </w:r>
      <w:r w:rsidRPr="00C34E91">
        <w:rPr>
          <w:rFonts w:ascii="Arial" w:hAnsi="Arial" w:cs="Arial"/>
          <w:sz w:val="20"/>
          <w:szCs w:val="20"/>
        </w:rPr>
        <w:t xml:space="preserve"> 01.01.201</w:t>
      </w:r>
      <w:r w:rsidR="004B0F2B" w:rsidRPr="00C34E91">
        <w:rPr>
          <w:rFonts w:ascii="Arial" w:hAnsi="Arial" w:cs="Arial"/>
          <w:sz w:val="20"/>
          <w:szCs w:val="20"/>
        </w:rPr>
        <w:t>2</w:t>
      </w:r>
      <w:r w:rsidR="00AD1BF2">
        <w:rPr>
          <w:rFonts w:ascii="Arial" w:hAnsi="Arial" w:cs="Arial"/>
          <w:sz w:val="20"/>
          <w:szCs w:val="20"/>
        </w:rPr>
        <w:t xml:space="preserve"> do </w:t>
      </w:r>
      <w:r w:rsidRPr="00C34E91">
        <w:rPr>
          <w:rFonts w:ascii="Arial" w:hAnsi="Arial" w:cs="Arial"/>
          <w:sz w:val="20"/>
          <w:szCs w:val="20"/>
        </w:rPr>
        <w:t>31.12.201</w:t>
      </w:r>
      <w:r w:rsidR="004B0F2B" w:rsidRPr="00C34E91">
        <w:rPr>
          <w:rFonts w:ascii="Arial" w:hAnsi="Arial" w:cs="Arial"/>
          <w:sz w:val="20"/>
          <w:szCs w:val="20"/>
        </w:rPr>
        <w:t>2</w:t>
      </w:r>
    </w:p>
    <w:tbl>
      <w:tblPr>
        <w:tblW w:w="4955" w:type="pct"/>
        <w:tblCellMar>
          <w:left w:w="70" w:type="dxa"/>
          <w:right w:w="70" w:type="dxa"/>
        </w:tblCellMar>
        <w:tblLook w:val="04A0" w:firstRow="1" w:lastRow="0" w:firstColumn="1" w:lastColumn="0" w:noHBand="0" w:noVBand="1"/>
      </w:tblPr>
      <w:tblGrid>
        <w:gridCol w:w="5710"/>
        <w:gridCol w:w="1022"/>
        <w:gridCol w:w="2395"/>
      </w:tblGrid>
      <w:tr w:rsidR="002D0009" w:rsidTr="002D0009">
        <w:trPr>
          <w:trHeight w:val="207"/>
        </w:trPr>
        <w:tc>
          <w:tcPr>
            <w:tcW w:w="3128" w:type="pct"/>
            <w:vMerge w:val="restart"/>
            <w:tcBorders>
              <w:top w:val="single" w:sz="8" w:space="0" w:color="auto"/>
              <w:left w:val="single" w:sz="8" w:space="0" w:color="auto"/>
              <w:bottom w:val="single" w:sz="8" w:space="0" w:color="000000"/>
              <w:right w:val="single" w:sz="8" w:space="0" w:color="auto"/>
            </w:tcBorders>
            <w:shd w:val="clear" w:color="000000" w:fill="C2D69B"/>
            <w:vAlign w:val="center"/>
            <w:hideMark/>
          </w:tcPr>
          <w:p w:rsidR="002D0009" w:rsidRDefault="002D0009">
            <w:pPr>
              <w:jc w:val="center"/>
              <w:rPr>
                <w:rFonts w:ascii="Arial" w:hAnsi="Arial" w:cs="Arial"/>
                <w:b/>
                <w:bCs/>
                <w:color w:val="000000"/>
                <w:sz w:val="18"/>
                <w:szCs w:val="18"/>
              </w:rPr>
            </w:pPr>
            <w:r>
              <w:rPr>
                <w:rFonts w:ascii="Arial" w:hAnsi="Arial" w:cs="Arial"/>
                <w:b/>
                <w:bCs/>
                <w:color w:val="000000"/>
                <w:sz w:val="18"/>
                <w:szCs w:val="18"/>
              </w:rPr>
              <w:t>Prioritná os</w:t>
            </w:r>
          </w:p>
        </w:tc>
        <w:tc>
          <w:tcPr>
            <w:tcW w:w="560" w:type="pct"/>
            <w:vMerge w:val="restart"/>
            <w:tcBorders>
              <w:top w:val="single" w:sz="8" w:space="0" w:color="auto"/>
              <w:left w:val="single" w:sz="8" w:space="0" w:color="auto"/>
              <w:bottom w:val="single" w:sz="8" w:space="0" w:color="000000"/>
              <w:right w:val="single" w:sz="8" w:space="0" w:color="auto"/>
            </w:tcBorders>
            <w:shd w:val="clear" w:color="000000" w:fill="C2D69B"/>
            <w:vAlign w:val="center"/>
            <w:hideMark/>
          </w:tcPr>
          <w:p w:rsidR="002D0009" w:rsidRDefault="002D0009">
            <w:pPr>
              <w:jc w:val="center"/>
              <w:rPr>
                <w:rFonts w:ascii="Arial" w:hAnsi="Arial" w:cs="Arial"/>
                <w:b/>
                <w:bCs/>
                <w:color w:val="000000"/>
                <w:sz w:val="18"/>
                <w:szCs w:val="18"/>
              </w:rPr>
            </w:pPr>
            <w:r>
              <w:rPr>
                <w:rFonts w:ascii="Arial" w:hAnsi="Arial" w:cs="Arial"/>
                <w:b/>
                <w:bCs/>
                <w:color w:val="000000"/>
                <w:sz w:val="18"/>
                <w:szCs w:val="18"/>
              </w:rPr>
              <w:t>Počet výziev</w:t>
            </w:r>
          </w:p>
        </w:tc>
        <w:tc>
          <w:tcPr>
            <w:tcW w:w="1312" w:type="pct"/>
            <w:vMerge w:val="restart"/>
            <w:tcBorders>
              <w:top w:val="single" w:sz="8" w:space="0" w:color="auto"/>
              <w:left w:val="single" w:sz="8" w:space="0" w:color="auto"/>
              <w:bottom w:val="single" w:sz="8" w:space="0" w:color="000000"/>
              <w:right w:val="single" w:sz="8" w:space="0" w:color="auto"/>
            </w:tcBorders>
            <w:shd w:val="clear" w:color="000000" w:fill="C2D69B"/>
            <w:vAlign w:val="center"/>
            <w:hideMark/>
          </w:tcPr>
          <w:p w:rsidR="002D0009" w:rsidRDefault="002D0009">
            <w:pPr>
              <w:jc w:val="center"/>
              <w:rPr>
                <w:rFonts w:ascii="Arial" w:hAnsi="Arial" w:cs="Arial"/>
                <w:b/>
                <w:bCs/>
                <w:color w:val="000000"/>
                <w:sz w:val="18"/>
                <w:szCs w:val="18"/>
              </w:rPr>
            </w:pPr>
            <w:r>
              <w:rPr>
                <w:rFonts w:ascii="Arial" w:hAnsi="Arial" w:cs="Arial"/>
                <w:b/>
                <w:bCs/>
                <w:color w:val="000000"/>
                <w:sz w:val="18"/>
                <w:szCs w:val="18"/>
              </w:rPr>
              <w:t>Alokácia FP na výzvu (NFP) v €</w:t>
            </w:r>
          </w:p>
        </w:tc>
      </w:tr>
      <w:tr w:rsidR="002D0009" w:rsidTr="002D0009">
        <w:trPr>
          <w:trHeight w:val="207"/>
        </w:trPr>
        <w:tc>
          <w:tcPr>
            <w:tcW w:w="3128" w:type="pct"/>
            <w:vMerge/>
            <w:tcBorders>
              <w:top w:val="single" w:sz="8" w:space="0" w:color="auto"/>
              <w:left w:val="single" w:sz="8" w:space="0" w:color="auto"/>
              <w:bottom w:val="single" w:sz="8" w:space="0" w:color="000000"/>
              <w:right w:val="single" w:sz="8" w:space="0" w:color="auto"/>
            </w:tcBorders>
            <w:vAlign w:val="center"/>
            <w:hideMark/>
          </w:tcPr>
          <w:p w:rsidR="002D0009" w:rsidRDefault="002D0009">
            <w:pPr>
              <w:rPr>
                <w:rFonts w:ascii="Arial" w:hAnsi="Arial" w:cs="Arial"/>
                <w:b/>
                <w:bCs/>
                <w:color w:val="000000"/>
                <w:sz w:val="18"/>
                <w:szCs w:val="18"/>
              </w:rPr>
            </w:pPr>
          </w:p>
        </w:tc>
        <w:tc>
          <w:tcPr>
            <w:tcW w:w="560" w:type="pct"/>
            <w:vMerge/>
            <w:tcBorders>
              <w:top w:val="single" w:sz="8" w:space="0" w:color="auto"/>
              <w:left w:val="single" w:sz="8" w:space="0" w:color="auto"/>
              <w:bottom w:val="single" w:sz="8" w:space="0" w:color="000000"/>
              <w:right w:val="single" w:sz="8" w:space="0" w:color="auto"/>
            </w:tcBorders>
            <w:vAlign w:val="center"/>
            <w:hideMark/>
          </w:tcPr>
          <w:p w:rsidR="002D0009" w:rsidRDefault="002D0009">
            <w:pPr>
              <w:rPr>
                <w:rFonts w:ascii="Arial" w:hAnsi="Arial" w:cs="Arial"/>
                <w:b/>
                <w:bCs/>
                <w:color w:val="000000"/>
                <w:sz w:val="18"/>
                <w:szCs w:val="18"/>
              </w:rPr>
            </w:pPr>
          </w:p>
        </w:tc>
        <w:tc>
          <w:tcPr>
            <w:tcW w:w="1312" w:type="pct"/>
            <w:vMerge/>
            <w:tcBorders>
              <w:top w:val="single" w:sz="8" w:space="0" w:color="auto"/>
              <w:left w:val="single" w:sz="8" w:space="0" w:color="auto"/>
              <w:bottom w:val="single" w:sz="8" w:space="0" w:color="000000"/>
              <w:right w:val="single" w:sz="8" w:space="0" w:color="auto"/>
            </w:tcBorders>
            <w:vAlign w:val="center"/>
            <w:hideMark/>
          </w:tcPr>
          <w:p w:rsidR="002D0009" w:rsidRDefault="002D0009">
            <w:pPr>
              <w:rPr>
                <w:rFonts w:ascii="Arial" w:hAnsi="Arial" w:cs="Arial"/>
                <w:b/>
                <w:bCs/>
                <w:color w:val="000000"/>
                <w:sz w:val="18"/>
                <w:szCs w:val="18"/>
              </w:rPr>
            </w:pPr>
          </w:p>
        </w:tc>
      </w:tr>
      <w:tr w:rsidR="002D0009" w:rsidTr="002D0009">
        <w:trPr>
          <w:trHeight w:val="207"/>
        </w:trPr>
        <w:tc>
          <w:tcPr>
            <w:tcW w:w="3128" w:type="pct"/>
            <w:vMerge/>
            <w:tcBorders>
              <w:top w:val="single" w:sz="8" w:space="0" w:color="auto"/>
              <w:left w:val="single" w:sz="8" w:space="0" w:color="auto"/>
              <w:bottom w:val="single" w:sz="8" w:space="0" w:color="000000"/>
              <w:right w:val="single" w:sz="8" w:space="0" w:color="auto"/>
            </w:tcBorders>
            <w:vAlign w:val="center"/>
            <w:hideMark/>
          </w:tcPr>
          <w:p w:rsidR="002D0009" w:rsidRDefault="002D0009">
            <w:pPr>
              <w:rPr>
                <w:rFonts w:ascii="Arial" w:hAnsi="Arial" w:cs="Arial"/>
                <w:b/>
                <w:bCs/>
                <w:color w:val="000000"/>
                <w:sz w:val="18"/>
                <w:szCs w:val="18"/>
              </w:rPr>
            </w:pPr>
          </w:p>
        </w:tc>
        <w:tc>
          <w:tcPr>
            <w:tcW w:w="560" w:type="pct"/>
            <w:vMerge/>
            <w:tcBorders>
              <w:top w:val="single" w:sz="8" w:space="0" w:color="auto"/>
              <w:left w:val="single" w:sz="8" w:space="0" w:color="auto"/>
              <w:bottom w:val="single" w:sz="8" w:space="0" w:color="000000"/>
              <w:right w:val="single" w:sz="8" w:space="0" w:color="auto"/>
            </w:tcBorders>
            <w:vAlign w:val="center"/>
            <w:hideMark/>
          </w:tcPr>
          <w:p w:rsidR="002D0009" w:rsidRDefault="002D0009">
            <w:pPr>
              <w:rPr>
                <w:rFonts w:ascii="Arial" w:hAnsi="Arial" w:cs="Arial"/>
                <w:b/>
                <w:bCs/>
                <w:color w:val="000000"/>
                <w:sz w:val="18"/>
                <w:szCs w:val="18"/>
              </w:rPr>
            </w:pPr>
          </w:p>
        </w:tc>
        <w:tc>
          <w:tcPr>
            <w:tcW w:w="1312" w:type="pct"/>
            <w:vMerge/>
            <w:tcBorders>
              <w:top w:val="single" w:sz="8" w:space="0" w:color="auto"/>
              <w:left w:val="single" w:sz="8" w:space="0" w:color="auto"/>
              <w:bottom w:val="single" w:sz="8" w:space="0" w:color="000000"/>
              <w:right w:val="single" w:sz="8" w:space="0" w:color="auto"/>
            </w:tcBorders>
            <w:vAlign w:val="center"/>
            <w:hideMark/>
          </w:tcPr>
          <w:p w:rsidR="002D0009" w:rsidRDefault="002D0009">
            <w:pPr>
              <w:rPr>
                <w:rFonts w:ascii="Arial" w:hAnsi="Arial" w:cs="Arial"/>
                <w:b/>
                <w:bCs/>
                <w:color w:val="000000"/>
                <w:sz w:val="18"/>
                <w:szCs w:val="18"/>
              </w:rPr>
            </w:pPr>
          </w:p>
        </w:tc>
      </w:tr>
      <w:tr w:rsidR="002D0009" w:rsidTr="002D0009">
        <w:trPr>
          <w:trHeight w:val="353"/>
        </w:trPr>
        <w:tc>
          <w:tcPr>
            <w:tcW w:w="3128" w:type="pct"/>
            <w:tcBorders>
              <w:top w:val="nil"/>
              <w:left w:val="single" w:sz="8" w:space="0" w:color="auto"/>
              <w:bottom w:val="single" w:sz="8" w:space="0" w:color="auto"/>
              <w:right w:val="single" w:sz="8" w:space="0" w:color="auto"/>
            </w:tcBorders>
            <w:shd w:val="clear" w:color="auto" w:fill="auto"/>
            <w:vAlign w:val="center"/>
            <w:hideMark/>
          </w:tcPr>
          <w:p w:rsidR="002D0009" w:rsidRDefault="002D0009">
            <w:pPr>
              <w:rPr>
                <w:rFonts w:ascii="Arial" w:hAnsi="Arial" w:cs="Arial"/>
                <w:color w:val="000000"/>
                <w:sz w:val="18"/>
                <w:szCs w:val="18"/>
              </w:rPr>
            </w:pPr>
            <w:r>
              <w:rPr>
                <w:rFonts w:ascii="Arial" w:hAnsi="Arial" w:cs="Arial"/>
                <w:color w:val="000000"/>
                <w:sz w:val="18"/>
                <w:szCs w:val="18"/>
              </w:rPr>
              <w:t>1 Integrovaná ochrana a racionálne využívanie vôd</w:t>
            </w:r>
          </w:p>
        </w:tc>
        <w:tc>
          <w:tcPr>
            <w:tcW w:w="560" w:type="pct"/>
            <w:tcBorders>
              <w:top w:val="nil"/>
              <w:left w:val="nil"/>
              <w:bottom w:val="single" w:sz="8" w:space="0" w:color="auto"/>
              <w:right w:val="single" w:sz="8" w:space="0" w:color="auto"/>
            </w:tcBorders>
            <w:shd w:val="clear" w:color="auto" w:fill="auto"/>
            <w:noWrap/>
            <w:vAlign w:val="center"/>
            <w:hideMark/>
          </w:tcPr>
          <w:p w:rsidR="002D0009" w:rsidRDefault="002D0009">
            <w:pPr>
              <w:jc w:val="center"/>
              <w:rPr>
                <w:rFonts w:ascii="Arial" w:hAnsi="Arial" w:cs="Arial"/>
                <w:color w:val="000000"/>
                <w:sz w:val="18"/>
                <w:szCs w:val="18"/>
              </w:rPr>
            </w:pPr>
            <w:r>
              <w:rPr>
                <w:rFonts w:ascii="Arial" w:hAnsi="Arial" w:cs="Arial"/>
                <w:color w:val="000000"/>
                <w:sz w:val="18"/>
                <w:szCs w:val="18"/>
              </w:rPr>
              <w:t>1</w:t>
            </w:r>
          </w:p>
        </w:tc>
        <w:tc>
          <w:tcPr>
            <w:tcW w:w="1312" w:type="pct"/>
            <w:tcBorders>
              <w:top w:val="nil"/>
              <w:left w:val="nil"/>
              <w:bottom w:val="single" w:sz="8" w:space="0" w:color="auto"/>
              <w:right w:val="single" w:sz="8" w:space="0" w:color="auto"/>
            </w:tcBorders>
            <w:shd w:val="clear" w:color="auto" w:fill="auto"/>
            <w:noWrap/>
            <w:vAlign w:val="center"/>
            <w:hideMark/>
          </w:tcPr>
          <w:p w:rsidR="002D0009" w:rsidRDefault="002D0009">
            <w:pPr>
              <w:jc w:val="center"/>
              <w:rPr>
                <w:rFonts w:ascii="Arial" w:hAnsi="Arial" w:cs="Arial"/>
                <w:color w:val="000000"/>
                <w:sz w:val="18"/>
                <w:szCs w:val="18"/>
              </w:rPr>
            </w:pPr>
            <w:r>
              <w:rPr>
                <w:rFonts w:ascii="Arial" w:hAnsi="Arial" w:cs="Arial"/>
                <w:color w:val="000000"/>
                <w:sz w:val="18"/>
                <w:szCs w:val="18"/>
              </w:rPr>
              <w:t>13 370 000</w:t>
            </w:r>
          </w:p>
        </w:tc>
      </w:tr>
      <w:tr w:rsidR="002D0009" w:rsidTr="002D0009">
        <w:trPr>
          <w:trHeight w:val="179"/>
        </w:trPr>
        <w:tc>
          <w:tcPr>
            <w:tcW w:w="3128" w:type="pct"/>
            <w:tcBorders>
              <w:top w:val="nil"/>
              <w:left w:val="single" w:sz="8" w:space="0" w:color="auto"/>
              <w:bottom w:val="single" w:sz="8" w:space="0" w:color="auto"/>
              <w:right w:val="single" w:sz="8" w:space="0" w:color="auto"/>
            </w:tcBorders>
            <w:shd w:val="clear" w:color="auto" w:fill="auto"/>
            <w:vAlign w:val="center"/>
            <w:hideMark/>
          </w:tcPr>
          <w:p w:rsidR="002D0009" w:rsidRDefault="002D0009">
            <w:pPr>
              <w:rPr>
                <w:rFonts w:ascii="Arial" w:hAnsi="Arial" w:cs="Arial"/>
                <w:color w:val="000000"/>
                <w:sz w:val="18"/>
                <w:szCs w:val="18"/>
              </w:rPr>
            </w:pPr>
            <w:r>
              <w:rPr>
                <w:rFonts w:ascii="Arial" w:hAnsi="Arial" w:cs="Arial"/>
                <w:color w:val="000000"/>
                <w:sz w:val="18"/>
                <w:szCs w:val="18"/>
              </w:rPr>
              <w:t>2 Ochrana pred povodňami</w:t>
            </w:r>
          </w:p>
        </w:tc>
        <w:tc>
          <w:tcPr>
            <w:tcW w:w="560" w:type="pct"/>
            <w:tcBorders>
              <w:top w:val="nil"/>
              <w:left w:val="nil"/>
              <w:bottom w:val="single" w:sz="8" w:space="0" w:color="auto"/>
              <w:right w:val="single" w:sz="8" w:space="0" w:color="auto"/>
            </w:tcBorders>
            <w:shd w:val="clear" w:color="auto" w:fill="auto"/>
            <w:noWrap/>
            <w:vAlign w:val="center"/>
            <w:hideMark/>
          </w:tcPr>
          <w:p w:rsidR="002D0009" w:rsidRDefault="002D0009">
            <w:pPr>
              <w:jc w:val="center"/>
              <w:rPr>
                <w:rFonts w:ascii="Arial" w:hAnsi="Arial" w:cs="Arial"/>
                <w:color w:val="000000"/>
                <w:sz w:val="18"/>
                <w:szCs w:val="18"/>
              </w:rPr>
            </w:pPr>
            <w:r>
              <w:rPr>
                <w:rFonts w:ascii="Arial" w:hAnsi="Arial" w:cs="Arial"/>
                <w:color w:val="000000"/>
                <w:sz w:val="18"/>
                <w:szCs w:val="18"/>
              </w:rPr>
              <w:t>0</w:t>
            </w:r>
          </w:p>
        </w:tc>
        <w:tc>
          <w:tcPr>
            <w:tcW w:w="1312" w:type="pct"/>
            <w:tcBorders>
              <w:top w:val="nil"/>
              <w:left w:val="nil"/>
              <w:bottom w:val="single" w:sz="8" w:space="0" w:color="auto"/>
              <w:right w:val="single" w:sz="8" w:space="0" w:color="auto"/>
            </w:tcBorders>
            <w:shd w:val="clear" w:color="auto" w:fill="auto"/>
            <w:noWrap/>
            <w:vAlign w:val="center"/>
            <w:hideMark/>
          </w:tcPr>
          <w:p w:rsidR="002D0009" w:rsidRDefault="002D0009">
            <w:pPr>
              <w:jc w:val="center"/>
              <w:rPr>
                <w:rFonts w:ascii="Arial" w:hAnsi="Arial" w:cs="Arial"/>
                <w:color w:val="000000"/>
                <w:sz w:val="18"/>
                <w:szCs w:val="18"/>
              </w:rPr>
            </w:pPr>
            <w:r>
              <w:rPr>
                <w:rFonts w:ascii="Arial" w:hAnsi="Arial" w:cs="Arial"/>
                <w:color w:val="000000"/>
                <w:sz w:val="18"/>
                <w:szCs w:val="18"/>
              </w:rPr>
              <w:t>0</w:t>
            </w:r>
          </w:p>
        </w:tc>
      </w:tr>
      <w:tr w:rsidR="002D0009" w:rsidTr="002D0009">
        <w:trPr>
          <w:trHeight w:val="442"/>
        </w:trPr>
        <w:tc>
          <w:tcPr>
            <w:tcW w:w="3128" w:type="pct"/>
            <w:tcBorders>
              <w:top w:val="nil"/>
              <w:left w:val="single" w:sz="8" w:space="0" w:color="auto"/>
              <w:bottom w:val="single" w:sz="8" w:space="0" w:color="auto"/>
              <w:right w:val="single" w:sz="8" w:space="0" w:color="auto"/>
            </w:tcBorders>
            <w:shd w:val="clear" w:color="auto" w:fill="auto"/>
            <w:vAlign w:val="center"/>
            <w:hideMark/>
          </w:tcPr>
          <w:p w:rsidR="002D0009" w:rsidRDefault="002D0009">
            <w:pPr>
              <w:rPr>
                <w:rFonts w:ascii="Arial" w:hAnsi="Arial" w:cs="Arial"/>
                <w:color w:val="000000"/>
                <w:sz w:val="18"/>
                <w:szCs w:val="18"/>
              </w:rPr>
            </w:pPr>
            <w:r>
              <w:rPr>
                <w:rFonts w:ascii="Arial" w:hAnsi="Arial" w:cs="Arial"/>
                <w:color w:val="000000"/>
                <w:sz w:val="18"/>
                <w:szCs w:val="18"/>
              </w:rPr>
              <w:t>3 Ochrana ovzdušia a minimalizácia nepriaznivých vplyvov zmeny klímy</w:t>
            </w:r>
          </w:p>
        </w:tc>
        <w:tc>
          <w:tcPr>
            <w:tcW w:w="560" w:type="pct"/>
            <w:tcBorders>
              <w:top w:val="nil"/>
              <w:left w:val="nil"/>
              <w:bottom w:val="single" w:sz="8" w:space="0" w:color="auto"/>
              <w:right w:val="single" w:sz="8" w:space="0" w:color="auto"/>
            </w:tcBorders>
            <w:shd w:val="clear" w:color="auto" w:fill="auto"/>
            <w:noWrap/>
            <w:vAlign w:val="center"/>
            <w:hideMark/>
          </w:tcPr>
          <w:p w:rsidR="002D0009" w:rsidRDefault="002D0009">
            <w:pPr>
              <w:jc w:val="center"/>
              <w:rPr>
                <w:rFonts w:ascii="Arial" w:hAnsi="Arial" w:cs="Arial"/>
                <w:color w:val="000000"/>
                <w:sz w:val="18"/>
                <w:szCs w:val="18"/>
              </w:rPr>
            </w:pPr>
            <w:r>
              <w:rPr>
                <w:rFonts w:ascii="Arial" w:hAnsi="Arial" w:cs="Arial"/>
                <w:color w:val="000000"/>
                <w:sz w:val="18"/>
                <w:szCs w:val="18"/>
              </w:rPr>
              <w:t>0</w:t>
            </w:r>
          </w:p>
        </w:tc>
        <w:tc>
          <w:tcPr>
            <w:tcW w:w="1312" w:type="pct"/>
            <w:tcBorders>
              <w:top w:val="nil"/>
              <w:left w:val="nil"/>
              <w:bottom w:val="single" w:sz="8" w:space="0" w:color="auto"/>
              <w:right w:val="single" w:sz="8" w:space="0" w:color="auto"/>
            </w:tcBorders>
            <w:shd w:val="clear" w:color="auto" w:fill="auto"/>
            <w:noWrap/>
            <w:vAlign w:val="center"/>
            <w:hideMark/>
          </w:tcPr>
          <w:p w:rsidR="002D0009" w:rsidRDefault="002D0009">
            <w:pPr>
              <w:jc w:val="center"/>
              <w:rPr>
                <w:rFonts w:ascii="Arial" w:hAnsi="Arial" w:cs="Arial"/>
                <w:color w:val="000000"/>
                <w:sz w:val="18"/>
                <w:szCs w:val="18"/>
              </w:rPr>
            </w:pPr>
            <w:r>
              <w:rPr>
                <w:rFonts w:ascii="Arial" w:hAnsi="Arial" w:cs="Arial"/>
                <w:color w:val="000000"/>
                <w:sz w:val="18"/>
                <w:szCs w:val="18"/>
              </w:rPr>
              <w:t>0</w:t>
            </w:r>
          </w:p>
        </w:tc>
      </w:tr>
      <w:tr w:rsidR="002D0009" w:rsidTr="002D0009">
        <w:trPr>
          <w:trHeight w:val="179"/>
        </w:trPr>
        <w:tc>
          <w:tcPr>
            <w:tcW w:w="3128" w:type="pct"/>
            <w:tcBorders>
              <w:top w:val="nil"/>
              <w:left w:val="single" w:sz="8" w:space="0" w:color="auto"/>
              <w:bottom w:val="single" w:sz="8" w:space="0" w:color="auto"/>
              <w:right w:val="single" w:sz="8" w:space="0" w:color="auto"/>
            </w:tcBorders>
            <w:shd w:val="clear" w:color="auto" w:fill="auto"/>
            <w:vAlign w:val="center"/>
            <w:hideMark/>
          </w:tcPr>
          <w:p w:rsidR="002D0009" w:rsidRDefault="002D0009">
            <w:pPr>
              <w:rPr>
                <w:rFonts w:ascii="Arial" w:hAnsi="Arial" w:cs="Arial"/>
                <w:color w:val="000000"/>
                <w:sz w:val="18"/>
                <w:szCs w:val="18"/>
              </w:rPr>
            </w:pPr>
            <w:r>
              <w:rPr>
                <w:rFonts w:ascii="Arial" w:hAnsi="Arial" w:cs="Arial"/>
                <w:color w:val="000000"/>
                <w:sz w:val="18"/>
                <w:szCs w:val="18"/>
              </w:rPr>
              <w:t>4 Odpadové hospodárstvo</w:t>
            </w:r>
          </w:p>
        </w:tc>
        <w:tc>
          <w:tcPr>
            <w:tcW w:w="560" w:type="pct"/>
            <w:tcBorders>
              <w:top w:val="nil"/>
              <w:left w:val="nil"/>
              <w:bottom w:val="single" w:sz="8" w:space="0" w:color="auto"/>
              <w:right w:val="single" w:sz="8" w:space="0" w:color="auto"/>
            </w:tcBorders>
            <w:shd w:val="clear" w:color="auto" w:fill="auto"/>
            <w:noWrap/>
            <w:vAlign w:val="center"/>
            <w:hideMark/>
          </w:tcPr>
          <w:p w:rsidR="002D0009" w:rsidRDefault="002D0009">
            <w:pPr>
              <w:jc w:val="center"/>
              <w:rPr>
                <w:rFonts w:ascii="Arial" w:hAnsi="Arial" w:cs="Arial"/>
                <w:color w:val="000000"/>
                <w:sz w:val="18"/>
                <w:szCs w:val="18"/>
              </w:rPr>
            </w:pPr>
            <w:r>
              <w:rPr>
                <w:rFonts w:ascii="Arial" w:hAnsi="Arial" w:cs="Arial"/>
                <w:color w:val="000000"/>
                <w:sz w:val="18"/>
                <w:szCs w:val="18"/>
              </w:rPr>
              <w:t>1</w:t>
            </w:r>
          </w:p>
        </w:tc>
        <w:tc>
          <w:tcPr>
            <w:tcW w:w="1312" w:type="pct"/>
            <w:tcBorders>
              <w:top w:val="nil"/>
              <w:left w:val="nil"/>
              <w:bottom w:val="single" w:sz="8" w:space="0" w:color="auto"/>
              <w:right w:val="single" w:sz="8" w:space="0" w:color="auto"/>
            </w:tcBorders>
            <w:shd w:val="clear" w:color="auto" w:fill="auto"/>
            <w:noWrap/>
            <w:vAlign w:val="center"/>
            <w:hideMark/>
          </w:tcPr>
          <w:p w:rsidR="002D0009" w:rsidRDefault="002D0009">
            <w:pPr>
              <w:jc w:val="center"/>
              <w:rPr>
                <w:rFonts w:ascii="Arial" w:hAnsi="Arial" w:cs="Arial"/>
                <w:color w:val="000000"/>
                <w:sz w:val="18"/>
                <w:szCs w:val="18"/>
              </w:rPr>
            </w:pPr>
            <w:r>
              <w:rPr>
                <w:rFonts w:ascii="Arial" w:hAnsi="Arial" w:cs="Arial"/>
                <w:color w:val="000000"/>
                <w:sz w:val="18"/>
                <w:szCs w:val="18"/>
              </w:rPr>
              <w:t>48 000 000</w:t>
            </w:r>
          </w:p>
        </w:tc>
      </w:tr>
      <w:tr w:rsidR="002D0009" w:rsidTr="002D0009">
        <w:trPr>
          <w:trHeight w:val="353"/>
        </w:trPr>
        <w:tc>
          <w:tcPr>
            <w:tcW w:w="3128" w:type="pct"/>
            <w:tcBorders>
              <w:top w:val="nil"/>
              <w:left w:val="single" w:sz="8" w:space="0" w:color="auto"/>
              <w:bottom w:val="single" w:sz="8" w:space="0" w:color="auto"/>
              <w:right w:val="single" w:sz="8" w:space="0" w:color="auto"/>
            </w:tcBorders>
            <w:shd w:val="clear" w:color="auto" w:fill="auto"/>
            <w:vAlign w:val="center"/>
            <w:hideMark/>
          </w:tcPr>
          <w:p w:rsidR="002D0009" w:rsidRDefault="002D0009">
            <w:pPr>
              <w:rPr>
                <w:rFonts w:ascii="Arial" w:hAnsi="Arial" w:cs="Arial"/>
                <w:color w:val="000000"/>
                <w:sz w:val="18"/>
                <w:szCs w:val="18"/>
              </w:rPr>
            </w:pPr>
            <w:r>
              <w:rPr>
                <w:rFonts w:ascii="Arial" w:hAnsi="Arial" w:cs="Arial"/>
                <w:color w:val="000000"/>
                <w:sz w:val="18"/>
                <w:szCs w:val="18"/>
              </w:rPr>
              <w:t>5 Ochrana a regenerácia prírodného prostredia a krajiny</w:t>
            </w:r>
          </w:p>
        </w:tc>
        <w:tc>
          <w:tcPr>
            <w:tcW w:w="560" w:type="pct"/>
            <w:tcBorders>
              <w:top w:val="nil"/>
              <w:left w:val="nil"/>
              <w:bottom w:val="single" w:sz="8" w:space="0" w:color="auto"/>
              <w:right w:val="single" w:sz="8" w:space="0" w:color="auto"/>
            </w:tcBorders>
            <w:shd w:val="clear" w:color="auto" w:fill="auto"/>
            <w:noWrap/>
            <w:vAlign w:val="center"/>
            <w:hideMark/>
          </w:tcPr>
          <w:p w:rsidR="002D0009" w:rsidRDefault="002D0009">
            <w:pPr>
              <w:jc w:val="center"/>
              <w:rPr>
                <w:rFonts w:ascii="Arial" w:hAnsi="Arial" w:cs="Arial"/>
                <w:color w:val="000000"/>
                <w:sz w:val="18"/>
                <w:szCs w:val="18"/>
              </w:rPr>
            </w:pPr>
            <w:r>
              <w:rPr>
                <w:rFonts w:ascii="Arial" w:hAnsi="Arial" w:cs="Arial"/>
                <w:color w:val="000000"/>
                <w:sz w:val="18"/>
                <w:szCs w:val="18"/>
              </w:rPr>
              <w:t>1</w:t>
            </w:r>
          </w:p>
        </w:tc>
        <w:tc>
          <w:tcPr>
            <w:tcW w:w="1312" w:type="pct"/>
            <w:tcBorders>
              <w:top w:val="nil"/>
              <w:left w:val="nil"/>
              <w:bottom w:val="single" w:sz="8" w:space="0" w:color="auto"/>
              <w:right w:val="single" w:sz="8" w:space="0" w:color="auto"/>
            </w:tcBorders>
            <w:shd w:val="clear" w:color="auto" w:fill="auto"/>
            <w:noWrap/>
            <w:vAlign w:val="center"/>
            <w:hideMark/>
          </w:tcPr>
          <w:p w:rsidR="002D0009" w:rsidRDefault="002D0009">
            <w:pPr>
              <w:jc w:val="center"/>
              <w:rPr>
                <w:rFonts w:ascii="Arial" w:hAnsi="Arial" w:cs="Arial"/>
                <w:color w:val="000000"/>
                <w:sz w:val="18"/>
                <w:szCs w:val="18"/>
              </w:rPr>
            </w:pPr>
            <w:r>
              <w:rPr>
                <w:rFonts w:ascii="Arial" w:hAnsi="Arial" w:cs="Arial"/>
                <w:color w:val="000000"/>
                <w:sz w:val="18"/>
                <w:szCs w:val="18"/>
              </w:rPr>
              <w:t>10 166 729</w:t>
            </w:r>
          </w:p>
        </w:tc>
      </w:tr>
      <w:tr w:rsidR="002D0009" w:rsidTr="002D0009">
        <w:trPr>
          <w:trHeight w:val="135"/>
        </w:trPr>
        <w:tc>
          <w:tcPr>
            <w:tcW w:w="3128" w:type="pct"/>
            <w:tcBorders>
              <w:top w:val="nil"/>
              <w:left w:val="single" w:sz="8" w:space="0" w:color="auto"/>
              <w:bottom w:val="single" w:sz="8" w:space="0" w:color="auto"/>
              <w:right w:val="single" w:sz="8" w:space="0" w:color="auto"/>
            </w:tcBorders>
            <w:shd w:val="clear" w:color="auto" w:fill="auto"/>
            <w:vAlign w:val="center"/>
            <w:hideMark/>
          </w:tcPr>
          <w:p w:rsidR="002D0009" w:rsidRDefault="002D0009">
            <w:pPr>
              <w:rPr>
                <w:rFonts w:ascii="Arial" w:hAnsi="Arial" w:cs="Arial"/>
                <w:color w:val="000000"/>
                <w:sz w:val="18"/>
                <w:szCs w:val="18"/>
              </w:rPr>
            </w:pPr>
            <w:r>
              <w:rPr>
                <w:rFonts w:ascii="Arial" w:hAnsi="Arial" w:cs="Arial"/>
                <w:color w:val="000000"/>
                <w:sz w:val="18"/>
                <w:szCs w:val="18"/>
              </w:rPr>
              <w:t>6 Technická pomoc</w:t>
            </w:r>
          </w:p>
        </w:tc>
        <w:tc>
          <w:tcPr>
            <w:tcW w:w="560" w:type="pct"/>
            <w:tcBorders>
              <w:top w:val="nil"/>
              <w:left w:val="nil"/>
              <w:bottom w:val="single" w:sz="8" w:space="0" w:color="auto"/>
              <w:right w:val="single" w:sz="8" w:space="0" w:color="auto"/>
            </w:tcBorders>
            <w:shd w:val="clear" w:color="auto" w:fill="auto"/>
            <w:noWrap/>
            <w:vAlign w:val="center"/>
            <w:hideMark/>
          </w:tcPr>
          <w:p w:rsidR="002D0009" w:rsidRDefault="002D0009">
            <w:pPr>
              <w:jc w:val="center"/>
              <w:rPr>
                <w:rFonts w:ascii="Arial" w:hAnsi="Arial" w:cs="Arial"/>
                <w:color w:val="000000"/>
                <w:sz w:val="18"/>
                <w:szCs w:val="18"/>
              </w:rPr>
            </w:pPr>
            <w:r>
              <w:rPr>
                <w:rFonts w:ascii="Arial" w:hAnsi="Arial" w:cs="Arial"/>
                <w:color w:val="000000"/>
                <w:sz w:val="18"/>
                <w:szCs w:val="18"/>
              </w:rPr>
              <w:t>1</w:t>
            </w:r>
          </w:p>
        </w:tc>
        <w:tc>
          <w:tcPr>
            <w:tcW w:w="1312" w:type="pct"/>
            <w:tcBorders>
              <w:top w:val="nil"/>
              <w:left w:val="nil"/>
              <w:bottom w:val="single" w:sz="8" w:space="0" w:color="auto"/>
              <w:right w:val="single" w:sz="8" w:space="0" w:color="auto"/>
            </w:tcBorders>
            <w:shd w:val="clear" w:color="auto" w:fill="auto"/>
            <w:noWrap/>
            <w:vAlign w:val="center"/>
            <w:hideMark/>
          </w:tcPr>
          <w:p w:rsidR="002D0009" w:rsidRDefault="002D0009">
            <w:pPr>
              <w:jc w:val="center"/>
              <w:rPr>
                <w:rFonts w:ascii="Arial" w:hAnsi="Arial" w:cs="Arial"/>
                <w:color w:val="000000"/>
                <w:sz w:val="18"/>
                <w:szCs w:val="18"/>
              </w:rPr>
            </w:pPr>
            <w:r>
              <w:rPr>
                <w:rFonts w:ascii="Arial" w:hAnsi="Arial" w:cs="Arial"/>
                <w:color w:val="000000"/>
                <w:sz w:val="18"/>
                <w:szCs w:val="18"/>
              </w:rPr>
              <w:t>15 340 000</w:t>
            </w:r>
          </w:p>
        </w:tc>
      </w:tr>
      <w:tr w:rsidR="002D0009" w:rsidTr="002D0009">
        <w:trPr>
          <w:trHeight w:val="442"/>
        </w:trPr>
        <w:tc>
          <w:tcPr>
            <w:tcW w:w="3128" w:type="pct"/>
            <w:tcBorders>
              <w:top w:val="nil"/>
              <w:left w:val="single" w:sz="8" w:space="0" w:color="auto"/>
              <w:bottom w:val="single" w:sz="8" w:space="0" w:color="auto"/>
              <w:right w:val="single" w:sz="8" w:space="0" w:color="auto"/>
            </w:tcBorders>
            <w:shd w:val="clear" w:color="auto" w:fill="auto"/>
            <w:vAlign w:val="center"/>
            <w:hideMark/>
          </w:tcPr>
          <w:p w:rsidR="002D0009" w:rsidRDefault="002D0009">
            <w:pPr>
              <w:rPr>
                <w:rFonts w:ascii="Arial" w:hAnsi="Arial" w:cs="Arial"/>
                <w:color w:val="000000"/>
                <w:sz w:val="18"/>
                <w:szCs w:val="18"/>
              </w:rPr>
            </w:pPr>
            <w:r>
              <w:rPr>
                <w:rFonts w:ascii="Arial" w:hAnsi="Arial" w:cs="Arial"/>
                <w:color w:val="000000"/>
                <w:sz w:val="18"/>
                <w:szCs w:val="18"/>
              </w:rPr>
              <w:t>7 Budovanie povodňového varovného a predpovedného systému</w:t>
            </w:r>
          </w:p>
        </w:tc>
        <w:tc>
          <w:tcPr>
            <w:tcW w:w="560" w:type="pct"/>
            <w:tcBorders>
              <w:top w:val="nil"/>
              <w:left w:val="nil"/>
              <w:bottom w:val="single" w:sz="8" w:space="0" w:color="auto"/>
              <w:right w:val="single" w:sz="8" w:space="0" w:color="auto"/>
            </w:tcBorders>
            <w:shd w:val="clear" w:color="auto" w:fill="auto"/>
            <w:noWrap/>
            <w:vAlign w:val="center"/>
            <w:hideMark/>
          </w:tcPr>
          <w:p w:rsidR="002D0009" w:rsidRDefault="002D0009">
            <w:pPr>
              <w:jc w:val="center"/>
              <w:rPr>
                <w:rFonts w:ascii="Arial" w:hAnsi="Arial" w:cs="Arial"/>
                <w:color w:val="000000"/>
                <w:sz w:val="18"/>
                <w:szCs w:val="18"/>
              </w:rPr>
            </w:pPr>
            <w:r>
              <w:rPr>
                <w:rFonts w:ascii="Arial" w:hAnsi="Arial" w:cs="Arial"/>
                <w:color w:val="000000"/>
                <w:sz w:val="18"/>
                <w:szCs w:val="18"/>
              </w:rPr>
              <w:t>1</w:t>
            </w:r>
          </w:p>
        </w:tc>
        <w:tc>
          <w:tcPr>
            <w:tcW w:w="1312" w:type="pct"/>
            <w:tcBorders>
              <w:top w:val="nil"/>
              <w:left w:val="nil"/>
              <w:bottom w:val="single" w:sz="8" w:space="0" w:color="auto"/>
              <w:right w:val="single" w:sz="8" w:space="0" w:color="auto"/>
            </w:tcBorders>
            <w:shd w:val="clear" w:color="auto" w:fill="auto"/>
            <w:noWrap/>
            <w:vAlign w:val="center"/>
            <w:hideMark/>
          </w:tcPr>
          <w:p w:rsidR="002D0009" w:rsidRDefault="002D0009">
            <w:pPr>
              <w:jc w:val="center"/>
              <w:rPr>
                <w:rFonts w:ascii="Arial" w:hAnsi="Arial" w:cs="Arial"/>
                <w:color w:val="000000"/>
                <w:sz w:val="18"/>
                <w:szCs w:val="18"/>
              </w:rPr>
            </w:pPr>
            <w:r>
              <w:rPr>
                <w:rFonts w:ascii="Arial" w:hAnsi="Arial" w:cs="Arial"/>
                <w:color w:val="000000"/>
                <w:sz w:val="18"/>
                <w:szCs w:val="18"/>
              </w:rPr>
              <w:t>23 529 412</w:t>
            </w:r>
          </w:p>
        </w:tc>
      </w:tr>
      <w:tr w:rsidR="002D0009" w:rsidTr="002D0009">
        <w:trPr>
          <w:trHeight w:val="58"/>
        </w:trPr>
        <w:tc>
          <w:tcPr>
            <w:tcW w:w="3128" w:type="pct"/>
            <w:tcBorders>
              <w:top w:val="nil"/>
              <w:left w:val="single" w:sz="8" w:space="0" w:color="auto"/>
              <w:bottom w:val="single" w:sz="8" w:space="0" w:color="auto"/>
              <w:right w:val="single" w:sz="8" w:space="0" w:color="auto"/>
            </w:tcBorders>
            <w:shd w:val="clear" w:color="000000" w:fill="EAF1DD"/>
            <w:vAlign w:val="center"/>
            <w:hideMark/>
          </w:tcPr>
          <w:p w:rsidR="002D0009" w:rsidRDefault="002D0009">
            <w:pPr>
              <w:rPr>
                <w:rFonts w:ascii="Arial" w:hAnsi="Arial" w:cs="Arial"/>
                <w:b/>
                <w:bCs/>
                <w:color w:val="000000"/>
                <w:sz w:val="18"/>
                <w:szCs w:val="18"/>
              </w:rPr>
            </w:pPr>
            <w:r>
              <w:rPr>
                <w:rFonts w:ascii="Arial" w:hAnsi="Arial" w:cs="Arial"/>
                <w:b/>
                <w:bCs/>
                <w:color w:val="000000"/>
                <w:sz w:val="18"/>
                <w:szCs w:val="18"/>
              </w:rPr>
              <w:t>Celkom</w:t>
            </w:r>
          </w:p>
        </w:tc>
        <w:tc>
          <w:tcPr>
            <w:tcW w:w="560" w:type="pct"/>
            <w:tcBorders>
              <w:top w:val="nil"/>
              <w:left w:val="nil"/>
              <w:bottom w:val="single" w:sz="8" w:space="0" w:color="auto"/>
              <w:right w:val="single" w:sz="8" w:space="0" w:color="auto"/>
            </w:tcBorders>
            <w:shd w:val="clear" w:color="000000" w:fill="EAF1DD"/>
            <w:noWrap/>
            <w:vAlign w:val="center"/>
            <w:hideMark/>
          </w:tcPr>
          <w:p w:rsidR="002D0009" w:rsidRDefault="002D0009">
            <w:pPr>
              <w:jc w:val="center"/>
              <w:rPr>
                <w:rFonts w:ascii="Arial" w:hAnsi="Arial" w:cs="Arial"/>
                <w:b/>
                <w:bCs/>
                <w:color w:val="000000"/>
                <w:sz w:val="18"/>
                <w:szCs w:val="18"/>
              </w:rPr>
            </w:pPr>
            <w:r>
              <w:rPr>
                <w:rFonts w:ascii="Arial" w:hAnsi="Arial" w:cs="Arial"/>
                <w:b/>
                <w:bCs/>
                <w:color w:val="000000"/>
                <w:sz w:val="18"/>
                <w:szCs w:val="18"/>
              </w:rPr>
              <w:t>5</w:t>
            </w:r>
          </w:p>
        </w:tc>
        <w:tc>
          <w:tcPr>
            <w:tcW w:w="1312" w:type="pct"/>
            <w:tcBorders>
              <w:top w:val="nil"/>
              <w:left w:val="nil"/>
              <w:bottom w:val="single" w:sz="8" w:space="0" w:color="auto"/>
              <w:right w:val="single" w:sz="8" w:space="0" w:color="auto"/>
            </w:tcBorders>
            <w:shd w:val="clear" w:color="000000" w:fill="EAF1DD"/>
            <w:noWrap/>
            <w:vAlign w:val="center"/>
            <w:hideMark/>
          </w:tcPr>
          <w:p w:rsidR="002D0009" w:rsidRDefault="002D0009">
            <w:pPr>
              <w:jc w:val="center"/>
              <w:rPr>
                <w:rFonts w:ascii="Arial" w:hAnsi="Arial" w:cs="Arial"/>
                <w:b/>
                <w:bCs/>
                <w:color w:val="000000"/>
                <w:sz w:val="18"/>
                <w:szCs w:val="18"/>
              </w:rPr>
            </w:pPr>
            <w:r>
              <w:rPr>
                <w:rFonts w:ascii="Arial" w:hAnsi="Arial" w:cs="Arial"/>
                <w:b/>
                <w:bCs/>
                <w:color w:val="000000"/>
                <w:sz w:val="18"/>
                <w:szCs w:val="18"/>
              </w:rPr>
              <w:t>110 406 141</w:t>
            </w:r>
          </w:p>
        </w:tc>
      </w:tr>
    </w:tbl>
    <w:p w:rsidR="002416B1" w:rsidRPr="006A2BF3" w:rsidRDefault="002416B1" w:rsidP="00507035">
      <w:pPr>
        <w:spacing w:line="360" w:lineRule="auto"/>
        <w:rPr>
          <w:rFonts w:ascii="Arial" w:hAnsi="Arial" w:cs="Arial"/>
          <w:sz w:val="18"/>
          <w:szCs w:val="18"/>
        </w:rPr>
      </w:pPr>
      <w:r w:rsidRPr="006A2BF3">
        <w:rPr>
          <w:rFonts w:ascii="Arial" w:hAnsi="Arial" w:cs="Arial"/>
          <w:sz w:val="18"/>
          <w:szCs w:val="18"/>
        </w:rPr>
        <w:t>Zdroj:</w:t>
      </w:r>
      <w:r w:rsidR="00AD1BF2">
        <w:rPr>
          <w:rFonts w:ascii="Arial" w:hAnsi="Arial" w:cs="Arial"/>
          <w:sz w:val="18"/>
          <w:szCs w:val="18"/>
        </w:rPr>
        <w:t xml:space="preserve"> RO</w:t>
      </w:r>
    </w:p>
    <w:p w:rsidR="002D0009" w:rsidRDefault="002D0009" w:rsidP="00593253">
      <w:pPr>
        <w:spacing w:line="360" w:lineRule="auto"/>
        <w:jc w:val="both"/>
        <w:rPr>
          <w:rFonts w:ascii="Arial" w:hAnsi="Arial" w:cs="Arial"/>
          <w:sz w:val="20"/>
          <w:szCs w:val="20"/>
          <w:u w:val="single"/>
        </w:rPr>
      </w:pPr>
    </w:p>
    <w:p w:rsidR="003F43DE" w:rsidRPr="00593253" w:rsidRDefault="003F43DE" w:rsidP="00593253">
      <w:pPr>
        <w:spacing w:line="360" w:lineRule="auto"/>
        <w:jc w:val="both"/>
        <w:rPr>
          <w:rFonts w:ascii="Arial" w:hAnsi="Arial" w:cs="Arial"/>
          <w:sz w:val="20"/>
          <w:szCs w:val="20"/>
        </w:rPr>
      </w:pPr>
      <w:r w:rsidRPr="00167286">
        <w:rPr>
          <w:rFonts w:ascii="Arial" w:hAnsi="Arial" w:cs="Arial"/>
          <w:sz w:val="20"/>
          <w:szCs w:val="20"/>
          <w:u w:val="single"/>
        </w:rPr>
        <w:t>V rámci prioritnej osi 1 Integrovaná ochrana a racionálne využívanie vôd</w:t>
      </w:r>
      <w:r w:rsidRPr="00167286">
        <w:rPr>
          <w:rFonts w:ascii="Arial" w:hAnsi="Arial" w:cs="Arial"/>
          <w:sz w:val="20"/>
          <w:szCs w:val="20"/>
        </w:rPr>
        <w:t xml:space="preserve"> bola dňa 14.</w:t>
      </w:r>
      <w:r w:rsidRPr="002C5C9F">
        <w:rPr>
          <w:rFonts w:ascii="Arial" w:hAnsi="Arial" w:cs="Arial"/>
          <w:sz w:val="20"/>
          <w:szCs w:val="20"/>
        </w:rPr>
        <w:t xml:space="preserve">02.2012 </w:t>
      </w:r>
      <w:r w:rsidRPr="00593253">
        <w:rPr>
          <w:rFonts w:ascii="Arial" w:hAnsi="Arial" w:cs="Arial"/>
          <w:sz w:val="20"/>
          <w:szCs w:val="20"/>
        </w:rPr>
        <w:t>vyhlásená výzva s kódom OPŽP-PO1-12-1 pre operačný cieľ 1.3 (monitoring vôd) s alokáciou 13</w:t>
      </w:r>
      <w:r w:rsidR="00E45F18" w:rsidRPr="00593253">
        <w:rPr>
          <w:rFonts w:ascii="Arial" w:hAnsi="Arial" w:cs="Arial"/>
          <w:sz w:val="20"/>
          <w:szCs w:val="20"/>
        </w:rPr>
        <w:t> </w:t>
      </w:r>
      <w:r w:rsidRPr="00593253">
        <w:rPr>
          <w:rFonts w:ascii="Arial" w:hAnsi="Arial" w:cs="Arial"/>
          <w:sz w:val="20"/>
          <w:szCs w:val="20"/>
        </w:rPr>
        <w:t>370</w:t>
      </w:r>
      <w:r w:rsidR="00E45F18" w:rsidRPr="00593253">
        <w:rPr>
          <w:rFonts w:ascii="Arial" w:hAnsi="Arial" w:cs="Arial"/>
          <w:sz w:val="20"/>
          <w:szCs w:val="20"/>
        </w:rPr>
        <w:t> </w:t>
      </w:r>
      <w:r w:rsidRPr="00593253">
        <w:rPr>
          <w:rFonts w:ascii="Arial" w:hAnsi="Arial" w:cs="Arial"/>
          <w:sz w:val="20"/>
          <w:szCs w:val="20"/>
        </w:rPr>
        <w:t xml:space="preserve">000 EUR (zdroje EÚ a ŠR), s dátumom uzavretia výzvy dňa 16.07.2012. </w:t>
      </w:r>
      <w:r w:rsidR="00E45F18" w:rsidRPr="00593253">
        <w:rPr>
          <w:rFonts w:ascii="Arial" w:hAnsi="Arial" w:cs="Arial"/>
          <w:sz w:val="20"/>
          <w:szCs w:val="20"/>
        </w:rPr>
        <w:t>RO</w:t>
      </w:r>
      <w:r w:rsidRPr="00593253">
        <w:rPr>
          <w:rFonts w:ascii="Arial" w:hAnsi="Arial" w:cs="Arial"/>
          <w:sz w:val="20"/>
          <w:szCs w:val="20"/>
        </w:rPr>
        <w:t xml:space="preserve"> dňa 16.05.2012 vydalo Usmernenie č. 1 k tejto výzve, ktorým došlo k</w:t>
      </w:r>
      <w:r w:rsidRPr="00167286">
        <w:rPr>
          <w:rFonts w:ascii="Arial" w:hAnsi="Arial" w:cs="Arial"/>
          <w:sz w:val="20"/>
          <w:szCs w:val="20"/>
        </w:rPr>
        <w:t xml:space="preserve"> –pozastaveniu a predĺžen</w:t>
      </w:r>
      <w:r w:rsidR="00280D4A" w:rsidRPr="00167286">
        <w:rPr>
          <w:rFonts w:ascii="Arial" w:hAnsi="Arial" w:cs="Arial"/>
          <w:sz w:val="20"/>
          <w:szCs w:val="20"/>
        </w:rPr>
        <w:t>i</w:t>
      </w:r>
      <w:r w:rsidRPr="00167286">
        <w:rPr>
          <w:rFonts w:ascii="Arial" w:hAnsi="Arial" w:cs="Arial"/>
          <w:sz w:val="20"/>
          <w:szCs w:val="20"/>
        </w:rPr>
        <w:t>u výzvy v súvislosti s</w:t>
      </w:r>
      <w:r w:rsidRPr="002C5C9F">
        <w:rPr>
          <w:rFonts w:ascii="Arial" w:hAnsi="Arial" w:cs="Arial"/>
          <w:sz w:val="20"/>
          <w:szCs w:val="20"/>
        </w:rPr>
        <w:t xml:space="preserve"> opravou textu výzvy </w:t>
      </w:r>
      <w:r w:rsidR="00280D4A" w:rsidRPr="00593253">
        <w:rPr>
          <w:rFonts w:ascii="Arial" w:hAnsi="Arial" w:cs="Arial"/>
          <w:sz w:val="20"/>
          <w:szCs w:val="20"/>
        </w:rPr>
        <w:t xml:space="preserve">a </w:t>
      </w:r>
      <w:r w:rsidRPr="00593253">
        <w:rPr>
          <w:rFonts w:ascii="Arial" w:hAnsi="Arial" w:cs="Arial"/>
          <w:sz w:val="20"/>
          <w:szCs w:val="20"/>
        </w:rPr>
        <w:t>v nadväznosti na úpravu znenia vysvetliviek k povinnej prílohe č.</w:t>
      </w:r>
      <w:r w:rsidR="00E45F18" w:rsidRPr="00593253">
        <w:rPr>
          <w:rFonts w:ascii="Arial" w:hAnsi="Arial" w:cs="Arial"/>
          <w:sz w:val="20"/>
          <w:szCs w:val="20"/>
        </w:rPr>
        <w:t> </w:t>
      </w:r>
      <w:r w:rsidRPr="00593253">
        <w:rPr>
          <w:rFonts w:ascii="Arial" w:hAnsi="Arial" w:cs="Arial"/>
          <w:sz w:val="20"/>
          <w:szCs w:val="20"/>
        </w:rPr>
        <w:t>21 žiadosti o NFP a úpravy znenia definície oprávnených výdavkov. Uvedeným Usmernením č. 1 sa zmenil</w:t>
      </w:r>
      <w:r w:rsidRPr="00593253">
        <w:rPr>
          <w:rFonts w:ascii="Arial" w:hAnsi="Arial" w:cs="Arial"/>
          <w:bCs/>
          <w:sz w:val="20"/>
          <w:szCs w:val="20"/>
        </w:rPr>
        <w:t xml:space="preserve"> termín uzavretia výzvy z 18.05.2012 na 29.06.2012, </w:t>
      </w:r>
      <w:r w:rsidRPr="00593253">
        <w:rPr>
          <w:rFonts w:ascii="Arial" w:hAnsi="Arial" w:cs="Arial"/>
          <w:sz w:val="20"/>
          <w:szCs w:val="20"/>
        </w:rPr>
        <w:t>Príručka pre žiadateľa ako aj dokument Definícia oprávnených výdavkov.</w:t>
      </w:r>
    </w:p>
    <w:p w:rsidR="003F43DE" w:rsidRDefault="003F43DE" w:rsidP="00507035">
      <w:pPr>
        <w:spacing w:before="120" w:after="120" w:line="360" w:lineRule="auto"/>
        <w:jc w:val="both"/>
        <w:rPr>
          <w:rFonts w:ascii="Arial" w:hAnsi="Arial" w:cs="Arial"/>
          <w:bCs/>
          <w:sz w:val="20"/>
          <w:szCs w:val="20"/>
        </w:rPr>
      </w:pPr>
      <w:r>
        <w:rPr>
          <w:rFonts w:ascii="Arial" w:hAnsi="Arial" w:cs="Arial"/>
          <w:sz w:val="20"/>
          <w:szCs w:val="20"/>
        </w:rPr>
        <w:t xml:space="preserve">Na základe </w:t>
      </w:r>
      <w:r w:rsidR="007A359B" w:rsidRPr="007A359B">
        <w:rPr>
          <w:rFonts w:ascii="Arial" w:hAnsi="Arial" w:cs="Arial"/>
          <w:sz w:val="20"/>
          <w:szCs w:val="20"/>
        </w:rPr>
        <w:t xml:space="preserve">Usmernenia č. 2 zo </w:t>
      </w:r>
      <w:r w:rsidR="007A359B" w:rsidRPr="00493E3D">
        <w:rPr>
          <w:rFonts w:ascii="Arial" w:hAnsi="Arial" w:cs="Arial"/>
          <w:sz w:val="20"/>
          <w:szCs w:val="20"/>
        </w:rPr>
        <w:t xml:space="preserve">dňa </w:t>
      </w:r>
      <w:r w:rsidR="007A359B" w:rsidRPr="002E0775">
        <w:rPr>
          <w:rFonts w:ascii="Arial" w:hAnsi="Arial" w:cs="Arial"/>
          <w:bCs/>
          <w:sz w:val="20"/>
          <w:szCs w:val="20"/>
        </w:rPr>
        <w:t>28.</w:t>
      </w:r>
      <w:r w:rsidR="007A359B">
        <w:rPr>
          <w:rFonts w:ascii="Arial" w:hAnsi="Arial" w:cs="Arial"/>
          <w:bCs/>
          <w:sz w:val="20"/>
          <w:szCs w:val="20"/>
        </w:rPr>
        <w:t>06.</w:t>
      </w:r>
      <w:r w:rsidR="007A359B" w:rsidRPr="002E0775">
        <w:rPr>
          <w:rFonts w:ascii="Arial" w:hAnsi="Arial" w:cs="Arial"/>
          <w:bCs/>
          <w:sz w:val="20"/>
          <w:szCs w:val="20"/>
        </w:rPr>
        <w:t>2012</w:t>
      </w:r>
      <w:r w:rsidR="007A359B">
        <w:rPr>
          <w:rFonts w:ascii="Arial" w:hAnsi="Arial" w:cs="Arial"/>
          <w:bCs/>
          <w:sz w:val="20"/>
          <w:szCs w:val="20"/>
        </w:rPr>
        <w:t xml:space="preserve"> došlo k</w:t>
      </w:r>
      <w:r w:rsidR="007A359B" w:rsidRPr="007A359B">
        <w:rPr>
          <w:rFonts w:ascii="Arial" w:hAnsi="Arial" w:cs="Arial"/>
          <w:sz w:val="20"/>
          <w:szCs w:val="20"/>
        </w:rPr>
        <w:t xml:space="preserve"> pozastaveniu a predĺženiu predmetnej výzvy v súvislosti s opravou textu výzvy</w:t>
      </w:r>
      <w:r w:rsidR="007A359B">
        <w:rPr>
          <w:rFonts w:ascii="Arial" w:hAnsi="Arial" w:cs="Arial"/>
          <w:sz w:val="20"/>
          <w:szCs w:val="20"/>
        </w:rPr>
        <w:t>,</w:t>
      </w:r>
      <w:r w:rsidR="007A359B" w:rsidRPr="007A359B">
        <w:rPr>
          <w:rFonts w:ascii="Arial" w:hAnsi="Arial" w:cs="Arial"/>
          <w:sz w:val="20"/>
          <w:szCs w:val="20"/>
        </w:rPr>
        <w:t xml:space="preserve"> ako aj </w:t>
      </w:r>
      <w:r w:rsidRPr="00493E3D">
        <w:rPr>
          <w:rFonts w:ascii="Arial" w:hAnsi="Arial" w:cs="Arial"/>
          <w:sz w:val="20"/>
          <w:szCs w:val="20"/>
        </w:rPr>
        <w:t xml:space="preserve"> úprav</w:t>
      </w:r>
      <w:r>
        <w:rPr>
          <w:rFonts w:ascii="Arial" w:hAnsi="Arial" w:cs="Arial"/>
          <w:sz w:val="20"/>
          <w:szCs w:val="20"/>
        </w:rPr>
        <w:t>o</w:t>
      </w:r>
      <w:r w:rsidRPr="00493E3D">
        <w:rPr>
          <w:rFonts w:ascii="Arial" w:hAnsi="Arial" w:cs="Arial"/>
          <w:sz w:val="20"/>
          <w:szCs w:val="20"/>
        </w:rPr>
        <w:t xml:space="preserve">u znenia </w:t>
      </w:r>
      <w:r>
        <w:rPr>
          <w:rFonts w:ascii="Arial" w:hAnsi="Arial" w:cs="Arial"/>
          <w:sz w:val="20"/>
          <w:szCs w:val="20"/>
        </w:rPr>
        <w:t>ďalšíc</w:t>
      </w:r>
      <w:r w:rsidRPr="00493E3D">
        <w:rPr>
          <w:rFonts w:ascii="Arial" w:hAnsi="Arial" w:cs="Arial"/>
          <w:sz w:val="20"/>
          <w:szCs w:val="20"/>
        </w:rPr>
        <w:t>h dokumentov</w:t>
      </w:r>
      <w:r>
        <w:rPr>
          <w:rFonts w:ascii="Arial" w:hAnsi="Arial" w:cs="Arial"/>
          <w:sz w:val="20"/>
          <w:szCs w:val="20"/>
        </w:rPr>
        <w:t xml:space="preserve">  (Ďalšie podmienky poskytnutia pomoci, Príručka pre žiadateľa, Definícia oprávnených výdavkov)</w:t>
      </w:r>
      <w:r w:rsidR="00E45F18">
        <w:rPr>
          <w:rFonts w:ascii="Arial" w:hAnsi="Arial" w:cs="Arial"/>
          <w:sz w:val="20"/>
          <w:szCs w:val="20"/>
        </w:rPr>
        <w:t>.</w:t>
      </w:r>
      <w:r>
        <w:rPr>
          <w:rFonts w:ascii="Arial" w:hAnsi="Arial" w:cs="Arial"/>
          <w:sz w:val="20"/>
          <w:szCs w:val="20"/>
        </w:rPr>
        <w:t xml:space="preserve"> Zároveň bolo upravené poradie povinných príloh a </w:t>
      </w:r>
      <w:r w:rsidRPr="009C5BF0">
        <w:rPr>
          <w:rFonts w:ascii="Arial" w:hAnsi="Arial" w:cs="Arial"/>
          <w:sz w:val="20"/>
          <w:szCs w:val="20"/>
        </w:rPr>
        <w:t>elektronick</w:t>
      </w:r>
      <w:r w:rsidR="00E45F18">
        <w:rPr>
          <w:rFonts w:ascii="Arial" w:hAnsi="Arial" w:cs="Arial"/>
          <w:sz w:val="20"/>
          <w:szCs w:val="20"/>
        </w:rPr>
        <w:t>ý</w:t>
      </w:r>
      <w:r w:rsidRPr="009C5BF0">
        <w:rPr>
          <w:rFonts w:ascii="Arial" w:hAnsi="Arial" w:cs="Arial"/>
          <w:sz w:val="20"/>
          <w:szCs w:val="20"/>
        </w:rPr>
        <w:t xml:space="preserve"> vzor tabuľky ukazovateľov hodnotenia finančnej situácie žiadateľa ako podprílohy k prílohe č. 2 Finančná analýza</w:t>
      </w:r>
      <w:r w:rsidRPr="00493E3D">
        <w:rPr>
          <w:rFonts w:ascii="Arial" w:hAnsi="Arial" w:cs="Arial"/>
          <w:sz w:val="20"/>
          <w:szCs w:val="20"/>
        </w:rPr>
        <w:t xml:space="preserve">. </w:t>
      </w:r>
      <w:r w:rsidRPr="002E0775">
        <w:rPr>
          <w:rFonts w:ascii="Arial" w:hAnsi="Arial" w:cs="Arial"/>
          <w:bCs/>
          <w:sz w:val="20"/>
          <w:szCs w:val="20"/>
        </w:rPr>
        <w:t>Termín uzavretia výzvy sa usmernením zmenil z 29.</w:t>
      </w:r>
      <w:r>
        <w:rPr>
          <w:rFonts w:ascii="Arial" w:hAnsi="Arial" w:cs="Arial"/>
          <w:bCs/>
          <w:sz w:val="20"/>
          <w:szCs w:val="20"/>
        </w:rPr>
        <w:t>06.</w:t>
      </w:r>
      <w:r w:rsidRPr="002E0775">
        <w:rPr>
          <w:rFonts w:ascii="Arial" w:hAnsi="Arial" w:cs="Arial"/>
          <w:bCs/>
          <w:sz w:val="20"/>
          <w:szCs w:val="20"/>
        </w:rPr>
        <w:t>2012 na 16.</w:t>
      </w:r>
      <w:r>
        <w:rPr>
          <w:rFonts w:ascii="Arial" w:hAnsi="Arial" w:cs="Arial"/>
          <w:bCs/>
          <w:sz w:val="20"/>
          <w:szCs w:val="20"/>
        </w:rPr>
        <w:t>07.</w:t>
      </w:r>
      <w:r w:rsidRPr="002E0775">
        <w:rPr>
          <w:rFonts w:ascii="Arial" w:hAnsi="Arial" w:cs="Arial"/>
          <w:bCs/>
          <w:sz w:val="20"/>
          <w:szCs w:val="20"/>
        </w:rPr>
        <w:t>2012.</w:t>
      </w:r>
    </w:p>
    <w:p w:rsidR="003F43DE" w:rsidRDefault="003F43DE" w:rsidP="00507035">
      <w:pPr>
        <w:spacing w:before="120" w:after="120" w:line="360" w:lineRule="auto"/>
        <w:jc w:val="both"/>
        <w:rPr>
          <w:rFonts w:ascii="Arial" w:hAnsi="Arial" w:cs="Arial"/>
          <w:bCs/>
          <w:sz w:val="20"/>
          <w:szCs w:val="20"/>
        </w:rPr>
      </w:pPr>
      <w:r>
        <w:rPr>
          <w:rFonts w:ascii="Arial" w:hAnsi="Arial" w:cs="Arial"/>
          <w:bCs/>
          <w:sz w:val="20"/>
          <w:szCs w:val="20"/>
        </w:rPr>
        <w:t xml:space="preserve">V rámci tejto výzvy boli prijaté štyri žiadosti o NFP, ktoré boli následne aj schválené vo výške 13 133 304 EUR </w:t>
      </w:r>
      <w:r w:rsidRPr="00C03EF2">
        <w:rPr>
          <w:rFonts w:ascii="Arial" w:hAnsi="Arial" w:cs="Arial"/>
          <w:bCs/>
          <w:sz w:val="20"/>
          <w:szCs w:val="20"/>
        </w:rPr>
        <w:t>(</w:t>
      </w:r>
      <w:r w:rsidRPr="00E45F18">
        <w:rPr>
          <w:rFonts w:ascii="Arial" w:hAnsi="Arial" w:cs="Arial"/>
          <w:bCs/>
          <w:sz w:val="20"/>
          <w:szCs w:val="20"/>
        </w:rPr>
        <w:t xml:space="preserve">zdroje EÚ </w:t>
      </w:r>
      <w:r w:rsidR="002C0797" w:rsidRPr="00C03EF2">
        <w:rPr>
          <w:rFonts w:ascii="Arial" w:hAnsi="Arial" w:cs="Arial"/>
          <w:bCs/>
          <w:sz w:val="20"/>
          <w:szCs w:val="20"/>
        </w:rPr>
        <w:t>11 163 308,51</w:t>
      </w:r>
      <w:r w:rsidR="002C0797" w:rsidRPr="002C0797">
        <w:rPr>
          <w:rFonts w:ascii="Arial" w:hAnsi="Arial" w:cs="Arial"/>
          <w:bCs/>
          <w:sz w:val="20"/>
          <w:szCs w:val="20"/>
        </w:rPr>
        <w:t xml:space="preserve"> € </w:t>
      </w:r>
      <w:r w:rsidRPr="00E45F18">
        <w:rPr>
          <w:rFonts w:ascii="Arial" w:hAnsi="Arial" w:cs="Arial"/>
          <w:bCs/>
          <w:sz w:val="20"/>
          <w:szCs w:val="20"/>
        </w:rPr>
        <w:t>a ŠR</w:t>
      </w:r>
      <w:r w:rsidR="002C0797" w:rsidRPr="00C03EF2">
        <w:rPr>
          <w:rFonts w:ascii="Arial" w:hAnsi="Arial" w:cs="Arial"/>
          <w:bCs/>
          <w:sz w:val="20"/>
          <w:szCs w:val="20"/>
        </w:rPr>
        <w:t>1 969 995,62</w:t>
      </w:r>
      <w:r w:rsidR="002C0797" w:rsidRPr="002C0797">
        <w:rPr>
          <w:rFonts w:ascii="Arial" w:hAnsi="Arial" w:cs="Arial"/>
          <w:bCs/>
          <w:sz w:val="20"/>
          <w:szCs w:val="20"/>
        </w:rPr>
        <w:t xml:space="preserve"> €</w:t>
      </w:r>
      <w:r w:rsidRPr="00E45F18">
        <w:rPr>
          <w:rFonts w:ascii="Arial" w:hAnsi="Arial" w:cs="Arial"/>
          <w:bCs/>
          <w:sz w:val="20"/>
          <w:szCs w:val="20"/>
        </w:rPr>
        <w:t>).</w:t>
      </w:r>
    </w:p>
    <w:p w:rsidR="00BD71F8" w:rsidRDefault="000A63E6" w:rsidP="00617FE5">
      <w:pPr>
        <w:spacing w:before="120" w:after="120" w:line="360" w:lineRule="auto"/>
        <w:jc w:val="both"/>
        <w:rPr>
          <w:rFonts w:ascii="Arial" w:hAnsi="Arial" w:cs="Arial"/>
          <w:bCs/>
          <w:sz w:val="20"/>
          <w:szCs w:val="20"/>
          <w:u w:val="single"/>
        </w:rPr>
      </w:pPr>
      <w:r w:rsidRPr="00617FE5">
        <w:rPr>
          <w:rFonts w:ascii="Arial" w:hAnsi="Arial" w:cs="Arial"/>
          <w:bCs/>
          <w:sz w:val="20"/>
          <w:szCs w:val="20"/>
          <w:u w:val="single"/>
        </w:rPr>
        <w:t>V rámci prioritnej osi 3 Ochrana ovzdušia a minimalizácia nepriaznivých vplyvov na zmeny klímy</w:t>
      </w:r>
      <w:r w:rsidRPr="00254254">
        <w:rPr>
          <w:rFonts w:ascii="Arial" w:hAnsi="Arial" w:cs="Arial"/>
          <w:bCs/>
          <w:sz w:val="20"/>
          <w:szCs w:val="20"/>
          <w:u w:val="single"/>
        </w:rPr>
        <w:t xml:space="preserve"> bol</w:t>
      </w:r>
      <w:r w:rsidR="00BD71F8" w:rsidRPr="00254254">
        <w:rPr>
          <w:rFonts w:ascii="Arial" w:hAnsi="Arial" w:cs="Arial"/>
          <w:bCs/>
          <w:sz w:val="20"/>
          <w:szCs w:val="20"/>
          <w:u w:val="single"/>
        </w:rPr>
        <w:t>o</w:t>
      </w:r>
      <w:r w:rsidRPr="005D4E54">
        <w:rPr>
          <w:rFonts w:ascii="Arial" w:hAnsi="Arial" w:cs="Arial"/>
          <w:bCs/>
          <w:sz w:val="20"/>
          <w:szCs w:val="20"/>
          <w:u w:val="single"/>
        </w:rPr>
        <w:t xml:space="preserve"> v</w:t>
      </w:r>
      <w:r w:rsidR="00BD71F8" w:rsidRPr="00961A0E">
        <w:rPr>
          <w:rFonts w:ascii="Arial" w:hAnsi="Arial" w:cs="Arial"/>
          <w:bCs/>
          <w:sz w:val="20"/>
          <w:szCs w:val="20"/>
          <w:u w:val="single"/>
        </w:rPr>
        <w:t> </w:t>
      </w:r>
      <w:r w:rsidRPr="007E5895">
        <w:rPr>
          <w:rFonts w:ascii="Arial" w:hAnsi="Arial" w:cs="Arial"/>
          <w:bCs/>
          <w:sz w:val="20"/>
          <w:szCs w:val="20"/>
          <w:u w:val="single"/>
        </w:rPr>
        <w:t>zmysle</w:t>
      </w:r>
      <w:r w:rsidR="00BD71F8" w:rsidRPr="007E5895">
        <w:rPr>
          <w:rFonts w:ascii="Arial" w:hAnsi="Arial" w:cs="Arial"/>
          <w:bCs/>
          <w:sz w:val="20"/>
          <w:szCs w:val="20"/>
          <w:u w:val="single"/>
        </w:rPr>
        <w:t xml:space="preserve"> aktualizácie č. 1 Harmonogramu výziev na predkladanie žiadostí o NFP z fondov EÚ pros</w:t>
      </w:r>
      <w:r w:rsidR="00BD71F8" w:rsidRPr="00DA65D4">
        <w:rPr>
          <w:rFonts w:ascii="Arial" w:hAnsi="Arial" w:cs="Arial"/>
          <w:bCs/>
          <w:sz w:val="20"/>
          <w:szCs w:val="20"/>
          <w:u w:val="single"/>
        </w:rPr>
        <w:t>t</w:t>
      </w:r>
      <w:r w:rsidR="00BD71F8" w:rsidRPr="00617FE5">
        <w:rPr>
          <w:rFonts w:ascii="Arial" w:hAnsi="Arial" w:cs="Arial"/>
          <w:bCs/>
          <w:sz w:val="20"/>
          <w:szCs w:val="20"/>
          <w:u w:val="single"/>
        </w:rPr>
        <w:t>redníctvom OP ŽP pre rok 2012 plánované vyhlásenie výziev v rámci operačných cieľom 3.1</w:t>
      </w:r>
      <w:r w:rsidR="00A07417">
        <w:rPr>
          <w:rFonts w:ascii="Arial" w:hAnsi="Arial" w:cs="Arial"/>
          <w:bCs/>
          <w:sz w:val="20"/>
          <w:szCs w:val="20"/>
          <w:u w:val="single"/>
        </w:rPr>
        <w:t xml:space="preserve"> Ochrana ovzdušia</w:t>
      </w:r>
      <w:r w:rsidR="00BD71F8" w:rsidRPr="00617FE5">
        <w:rPr>
          <w:rFonts w:ascii="Arial" w:hAnsi="Arial" w:cs="Arial"/>
          <w:bCs/>
          <w:sz w:val="20"/>
          <w:szCs w:val="20"/>
          <w:u w:val="single"/>
        </w:rPr>
        <w:t xml:space="preserve"> a 3.2</w:t>
      </w:r>
      <w:r w:rsidR="00A07417">
        <w:rPr>
          <w:rFonts w:ascii="Arial" w:hAnsi="Arial" w:cs="Arial"/>
          <w:bCs/>
          <w:sz w:val="20"/>
          <w:szCs w:val="20"/>
          <w:u w:val="single"/>
        </w:rPr>
        <w:t xml:space="preserve"> </w:t>
      </w:r>
      <w:r w:rsidR="00A07417" w:rsidRPr="00A07417">
        <w:rPr>
          <w:rFonts w:ascii="Arial" w:hAnsi="Arial" w:cs="Arial"/>
          <w:bCs/>
          <w:sz w:val="20"/>
          <w:szCs w:val="20"/>
          <w:u w:val="single"/>
        </w:rPr>
        <w:t>Minimalizácia nepriaznivých vplyvov zmeny klímy vrátane podpory obnoviteľných zdrojov energie</w:t>
      </w:r>
      <w:r w:rsidR="00A07417">
        <w:rPr>
          <w:rFonts w:ascii="Arial" w:hAnsi="Arial" w:cs="Arial"/>
          <w:bCs/>
          <w:sz w:val="20"/>
          <w:szCs w:val="20"/>
          <w:u w:val="single"/>
        </w:rPr>
        <w:t>.</w:t>
      </w:r>
      <w:r w:rsidR="00BD71F8" w:rsidRPr="00617FE5">
        <w:rPr>
          <w:rFonts w:ascii="Arial" w:hAnsi="Arial" w:cs="Arial"/>
          <w:bCs/>
          <w:sz w:val="20"/>
          <w:szCs w:val="20"/>
          <w:u w:val="single"/>
        </w:rPr>
        <w:t xml:space="preserve"> Posun v termíne vyhlásenia výziev </w:t>
      </w:r>
      <w:r w:rsidR="00A07417">
        <w:rPr>
          <w:rFonts w:ascii="Arial" w:hAnsi="Arial" w:cs="Arial"/>
          <w:bCs/>
          <w:sz w:val="20"/>
          <w:szCs w:val="20"/>
          <w:u w:val="single"/>
        </w:rPr>
        <w:t>vzhľadom k</w:t>
      </w:r>
      <w:r w:rsidR="00BD71F8" w:rsidRPr="00617FE5">
        <w:rPr>
          <w:rFonts w:ascii="Arial" w:hAnsi="Arial" w:cs="Arial"/>
          <w:bCs/>
          <w:sz w:val="20"/>
          <w:szCs w:val="20"/>
          <w:u w:val="single"/>
        </w:rPr>
        <w:t xml:space="preserve"> indikatívnemu harmonogramu výziev bol spôsobený potrebou vypracovania dodatkov k schémam štátnej pomoci, ktoré sa uplatňujú v rámci uvedených výziev. Táto skutočnosť ovplyvnila aj prípravu ďalších plánovaných výziev v rámci ostatných prioritných osí.</w:t>
      </w:r>
    </w:p>
    <w:p w:rsidR="005D4E54" w:rsidRPr="005D4E54" w:rsidRDefault="005D4E54" w:rsidP="00617FE5">
      <w:pPr>
        <w:spacing w:before="120" w:after="120" w:line="360" w:lineRule="auto"/>
        <w:jc w:val="both"/>
        <w:rPr>
          <w:rFonts w:ascii="Arial" w:hAnsi="Arial" w:cs="Arial"/>
          <w:bCs/>
          <w:sz w:val="20"/>
          <w:szCs w:val="20"/>
          <w:u w:val="single"/>
        </w:rPr>
      </w:pPr>
    </w:p>
    <w:p w:rsidR="003F43DE" w:rsidRPr="007D4E6F" w:rsidRDefault="003F43DE" w:rsidP="00507035">
      <w:pPr>
        <w:spacing w:before="120" w:after="120" w:line="360" w:lineRule="auto"/>
        <w:jc w:val="both"/>
        <w:rPr>
          <w:rFonts w:ascii="Arial" w:hAnsi="Arial" w:cs="Arial"/>
          <w:sz w:val="20"/>
          <w:szCs w:val="20"/>
        </w:rPr>
      </w:pPr>
      <w:r w:rsidRPr="002E0775">
        <w:rPr>
          <w:rFonts w:ascii="Arial" w:hAnsi="Arial" w:cs="Arial"/>
          <w:bCs/>
          <w:sz w:val="20"/>
          <w:szCs w:val="20"/>
          <w:u w:val="single"/>
        </w:rPr>
        <w:t xml:space="preserve">V rámci prioritnej osi 4 Odpadové hospodárstvo </w:t>
      </w:r>
      <w:r>
        <w:rPr>
          <w:rFonts w:ascii="Arial" w:hAnsi="Arial" w:cs="Arial"/>
          <w:bCs/>
          <w:sz w:val="20"/>
          <w:szCs w:val="20"/>
        </w:rPr>
        <w:t>bola dňa 30.11.2012 vyhlásená výzva na predkladanie žiadostí o NFP pre Operačný cieľ 4.4 (environmentálne záťaže) s alokáciou vo výške 48 000 000 EUR (zdroje EÚ a ŠR), s termínom uzavretia 04.03.2013.</w:t>
      </w:r>
    </w:p>
    <w:p w:rsidR="003F43DE" w:rsidRPr="007D4E6F" w:rsidRDefault="003F43DE" w:rsidP="00507035">
      <w:pPr>
        <w:spacing w:before="120" w:after="120" w:line="360" w:lineRule="auto"/>
        <w:jc w:val="both"/>
        <w:rPr>
          <w:rFonts w:ascii="Arial" w:hAnsi="Arial" w:cs="Arial"/>
          <w:sz w:val="20"/>
          <w:szCs w:val="20"/>
        </w:rPr>
      </w:pPr>
      <w:r w:rsidRPr="002E0775">
        <w:rPr>
          <w:rFonts w:ascii="Arial" w:hAnsi="Arial" w:cs="Arial"/>
          <w:sz w:val="20"/>
          <w:szCs w:val="20"/>
          <w:u w:val="single"/>
        </w:rPr>
        <w:t>V rámci prioritnej osi 5 Ochrana a regenerácia prírodného prostredia a</w:t>
      </w:r>
      <w:r>
        <w:rPr>
          <w:rFonts w:ascii="Arial" w:hAnsi="Arial" w:cs="Arial"/>
          <w:sz w:val="20"/>
          <w:szCs w:val="20"/>
          <w:u w:val="single"/>
        </w:rPr>
        <w:t> </w:t>
      </w:r>
      <w:r w:rsidRPr="002E0775">
        <w:rPr>
          <w:rFonts w:ascii="Arial" w:hAnsi="Arial" w:cs="Arial"/>
          <w:sz w:val="20"/>
          <w:szCs w:val="20"/>
          <w:u w:val="single"/>
        </w:rPr>
        <w:t>krajiny</w:t>
      </w:r>
      <w:r>
        <w:rPr>
          <w:rFonts w:ascii="Arial" w:hAnsi="Arial" w:cs="Arial"/>
          <w:sz w:val="20"/>
          <w:szCs w:val="20"/>
          <w:u w:val="single"/>
        </w:rPr>
        <w:t xml:space="preserve"> </w:t>
      </w:r>
      <w:r>
        <w:rPr>
          <w:rFonts w:ascii="Arial" w:hAnsi="Arial" w:cs="Arial"/>
          <w:sz w:val="20"/>
          <w:szCs w:val="20"/>
        </w:rPr>
        <w:t xml:space="preserve">bola dňa 30.11.2012 vyhlásená výzva na podporu aktivít operačného cieľa 5.1 (programy starostlivosti, programy záchrany druhov) vo výške </w:t>
      </w:r>
      <w:r w:rsidRPr="00DF00A4">
        <w:rPr>
          <w:rFonts w:ascii="Arial" w:hAnsi="Arial" w:cs="Arial"/>
          <w:sz w:val="20"/>
          <w:szCs w:val="20"/>
        </w:rPr>
        <w:t>10 166</w:t>
      </w:r>
      <w:r>
        <w:rPr>
          <w:rFonts w:ascii="Arial" w:hAnsi="Arial" w:cs="Arial"/>
          <w:sz w:val="20"/>
          <w:szCs w:val="20"/>
        </w:rPr>
        <w:t> </w:t>
      </w:r>
      <w:r w:rsidRPr="00DF00A4">
        <w:rPr>
          <w:rFonts w:ascii="Arial" w:hAnsi="Arial" w:cs="Arial"/>
          <w:sz w:val="20"/>
          <w:szCs w:val="20"/>
        </w:rPr>
        <w:t>729</w:t>
      </w:r>
      <w:r>
        <w:rPr>
          <w:rFonts w:ascii="Arial" w:hAnsi="Arial" w:cs="Arial"/>
          <w:sz w:val="20"/>
          <w:szCs w:val="20"/>
        </w:rPr>
        <w:t xml:space="preserve"> EUR (zdroje EÚ a ŠR), s termínom uzavretia 04.03.2013.</w:t>
      </w:r>
    </w:p>
    <w:p w:rsidR="003F43DE" w:rsidRDefault="003F43DE" w:rsidP="00507035">
      <w:pPr>
        <w:autoSpaceDE w:val="0"/>
        <w:autoSpaceDN w:val="0"/>
        <w:adjustRightInd w:val="0"/>
        <w:spacing w:before="120" w:after="120" w:line="360" w:lineRule="auto"/>
        <w:jc w:val="both"/>
        <w:rPr>
          <w:rFonts w:ascii="Arial" w:hAnsi="Arial" w:cs="Arial"/>
          <w:bCs/>
          <w:sz w:val="20"/>
          <w:szCs w:val="20"/>
        </w:rPr>
      </w:pPr>
      <w:r w:rsidRPr="002E0775">
        <w:rPr>
          <w:rFonts w:ascii="Arial" w:hAnsi="Arial" w:cs="Arial"/>
          <w:bCs/>
          <w:sz w:val="20"/>
          <w:szCs w:val="20"/>
          <w:u w:val="single"/>
        </w:rPr>
        <w:t>V rámci prioritnej osi 6 Technická pomoc</w:t>
      </w:r>
      <w:r w:rsidRPr="004B33AE">
        <w:rPr>
          <w:rFonts w:ascii="Arial" w:hAnsi="Arial" w:cs="Arial"/>
          <w:bCs/>
          <w:sz w:val="20"/>
          <w:szCs w:val="20"/>
        </w:rPr>
        <w:t xml:space="preserve"> </w:t>
      </w:r>
      <w:r w:rsidR="003A7E8D">
        <w:rPr>
          <w:rFonts w:ascii="Arial" w:hAnsi="Arial" w:cs="Arial"/>
          <w:bCs/>
          <w:sz w:val="20"/>
          <w:szCs w:val="20"/>
        </w:rPr>
        <w:t>RO</w:t>
      </w:r>
      <w:r w:rsidRPr="004B33AE">
        <w:rPr>
          <w:rFonts w:ascii="Arial" w:hAnsi="Arial" w:cs="Arial"/>
          <w:bCs/>
          <w:sz w:val="20"/>
          <w:szCs w:val="20"/>
        </w:rPr>
        <w:t xml:space="preserve"> vydal dňa </w:t>
      </w:r>
      <w:r>
        <w:rPr>
          <w:rFonts w:ascii="Arial" w:hAnsi="Arial" w:cs="Arial"/>
          <w:bCs/>
          <w:sz w:val="20"/>
          <w:szCs w:val="20"/>
        </w:rPr>
        <w:t>10</w:t>
      </w:r>
      <w:r w:rsidRPr="004B33AE">
        <w:rPr>
          <w:rFonts w:ascii="Arial" w:hAnsi="Arial" w:cs="Arial"/>
          <w:bCs/>
          <w:sz w:val="20"/>
          <w:szCs w:val="20"/>
        </w:rPr>
        <w:t>.02.201</w:t>
      </w:r>
      <w:r>
        <w:rPr>
          <w:rFonts w:ascii="Arial" w:hAnsi="Arial" w:cs="Arial"/>
          <w:bCs/>
          <w:sz w:val="20"/>
          <w:szCs w:val="20"/>
        </w:rPr>
        <w:t>2</w:t>
      </w:r>
      <w:r w:rsidRPr="004B33AE">
        <w:rPr>
          <w:rFonts w:ascii="Arial" w:hAnsi="Arial" w:cs="Arial"/>
          <w:bCs/>
          <w:sz w:val="20"/>
          <w:szCs w:val="20"/>
        </w:rPr>
        <w:t xml:space="preserve"> písomné vyzvanie na predkladanie žiadostí o NFP OPŽP-PO6-</w:t>
      </w:r>
      <w:r>
        <w:rPr>
          <w:rFonts w:ascii="Arial" w:hAnsi="Arial" w:cs="Arial"/>
          <w:bCs/>
          <w:sz w:val="20"/>
          <w:szCs w:val="20"/>
        </w:rPr>
        <w:t>12</w:t>
      </w:r>
      <w:r w:rsidRPr="004B33AE">
        <w:rPr>
          <w:rFonts w:ascii="Arial" w:hAnsi="Arial" w:cs="Arial"/>
          <w:bCs/>
          <w:sz w:val="20"/>
          <w:szCs w:val="20"/>
        </w:rPr>
        <w:t xml:space="preserve">-1. </w:t>
      </w:r>
      <w:r w:rsidRPr="008D26E2">
        <w:rPr>
          <w:rFonts w:ascii="Arial" w:hAnsi="Arial" w:cs="Arial"/>
          <w:bCs/>
          <w:sz w:val="20"/>
          <w:szCs w:val="20"/>
        </w:rPr>
        <w:t>Indikatívna výška finančných prostriedkov</w:t>
      </w:r>
      <w:r w:rsidRPr="008D26E2">
        <w:rPr>
          <w:rFonts w:ascii="Arial" w:hAnsi="Arial" w:cs="Arial"/>
          <w:b/>
          <w:bCs/>
          <w:sz w:val="20"/>
          <w:szCs w:val="20"/>
        </w:rPr>
        <w:t xml:space="preserve"> </w:t>
      </w:r>
      <w:r w:rsidRPr="008D26E2">
        <w:rPr>
          <w:rFonts w:ascii="Arial" w:hAnsi="Arial" w:cs="Arial"/>
          <w:bCs/>
          <w:sz w:val="20"/>
          <w:szCs w:val="20"/>
        </w:rPr>
        <w:t>určených na toto písomné vyzvanie predstavovala 15 640 000 EUR. K dátumu uzavretia písomného vyzvania do 31.12.201</w:t>
      </w:r>
      <w:r w:rsidR="003A7E8D" w:rsidRPr="008D26E2">
        <w:rPr>
          <w:rFonts w:ascii="Arial" w:hAnsi="Arial" w:cs="Arial"/>
          <w:bCs/>
          <w:sz w:val="20"/>
          <w:szCs w:val="20"/>
        </w:rPr>
        <w:t>2</w:t>
      </w:r>
      <w:r w:rsidR="008D26E2" w:rsidRPr="008D26E2">
        <w:rPr>
          <w:rFonts w:ascii="Arial" w:hAnsi="Arial" w:cs="Arial"/>
          <w:bCs/>
          <w:sz w:val="20"/>
          <w:szCs w:val="20"/>
        </w:rPr>
        <w:t xml:space="preserve"> boli prijaté 2 žiadosti</w:t>
      </w:r>
      <w:r w:rsidRPr="008D26E2">
        <w:rPr>
          <w:rFonts w:ascii="Arial" w:hAnsi="Arial" w:cs="Arial"/>
          <w:bCs/>
          <w:sz w:val="20"/>
          <w:szCs w:val="20"/>
        </w:rPr>
        <w:t xml:space="preserve"> o NFP vo výške požadovaného príspevku </w:t>
      </w:r>
      <w:r w:rsidR="008D26E2" w:rsidRPr="008D26E2">
        <w:rPr>
          <w:rFonts w:ascii="Arial" w:hAnsi="Arial" w:cs="Arial"/>
          <w:bCs/>
          <w:sz w:val="20"/>
          <w:szCs w:val="20"/>
        </w:rPr>
        <w:t>4 330 000</w:t>
      </w:r>
      <w:r w:rsidRPr="008D26E2">
        <w:rPr>
          <w:rFonts w:ascii="Arial" w:hAnsi="Arial" w:cs="Arial"/>
          <w:bCs/>
          <w:sz w:val="20"/>
          <w:szCs w:val="20"/>
        </w:rPr>
        <w:t xml:space="preserve"> EUR.</w:t>
      </w:r>
    </w:p>
    <w:p w:rsidR="003F43DE" w:rsidRPr="004B33AE" w:rsidRDefault="003F43DE" w:rsidP="00507035">
      <w:pPr>
        <w:autoSpaceDE w:val="0"/>
        <w:autoSpaceDN w:val="0"/>
        <w:adjustRightInd w:val="0"/>
        <w:spacing w:before="120" w:after="120" w:line="360" w:lineRule="auto"/>
        <w:jc w:val="both"/>
        <w:rPr>
          <w:rFonts w:ascii="Arial" w:hAnsi="Arial" w:cs="Arial"/>
          <w:bCs/>
          <w:sz w:val="20"/>
          <w:szCs w:val="20"/>
        </w:rPr>
      </w:pPr>
      <w:r>
        <w:rPr>
          <w:rFonts w:ascii="Arial" w:hAnsi="Arial" w:cs="Arial"/>
          <w:bCs/>
          <w:sz w:val="20"/>
          <w:szCs w:val="20"/>
        </w:rPr>
        <w:t xml:space="preserve">Výzva na predkladanie žiadostí o NFP bola vyhlásená taktiež pre prioritnú os 7 </w:t>
      </w:r>
      <w:r w:rsidR="007A359B">
        <w:rPr>
          <w:rFonts w:ascii="Arial" w:hAnsi="Arial" w:cs="Arial"/>
          <w:bCs/>
          <w:sz w:val="20"/>
          <w:szCs w:val="20"/>
        </w:rPr>
        <w:t xml:space="preserve">Budovanie povodňového varovného a predpovedného systému </w:t>
      </w:r>
      <w:r>
        <w:rPr>
          <w:rFonts w:ascii="Arial" w:hAnsi="Arial" w:cs="Arial"/>
          <w:bCs/>
          <w:sz w:val="20"/>
          <w:szCs w:val="20"/>
        </w:rPr>
        <w:t xml:space="preserve"> dňa 31.10.2012 vo výške 23 529 412 EUR.</w:t>
      </w:r>
      <w:r w:rsidR="007A359B">
        <w:rPr>
          <w:rFonts w:ascii="Arial" w:hAnsi="Arial" w:cs="Arial"/>
          <w:bCs/>
          <w:sz w:val="20"/>
          <w:szCs w:val="20"/>
        </w:rPr>
        <w:t xml:space="preserve"> Predpokladaný termín uzavretia výzvy je 30.06.2013</w:t>
      </w:r>
    </w:p>
    <w:p w:rsidR="002416B1" w:rsidRPr="00493171" w:rsidRDefault="003F43DE" w:rsidP="00507035">
      <w:pPr>
        <w:spacing w:before="120" w:after="120" w:line="360" w:lineRule="auto"/>
        <w:jc w:val="both"/>
        <w:rPr>
          <w:rFonts w:ascii="Arial" w:hAnsi="Arial" w:cs="Arial"/>
          <w:sz w:val="20"/>
          <w:szCs w:val="20"/>
        </w:rPr>
      </w:pPr>
      <w:r w:rsidRPr="004B33AE">
        <w:rPr>
          <w:rFonts w:ascii="Arial" w:hAnsi="Arial" w:cs="Arial"/>
          <w:bCs/>
          <w:sz w:val="20"/>
          <w:szCs w:val="20"/>
        </w:rPr>
        <w:t xml:space="preserve">Celkový prehľad výziev vyhlásených </w:t>
      </w:r>
      <w:r>
        <w:rPr>
          <w:rFonts w:ascii="Arial" w:hAnsi="Arial" w:cs="Arial"/>
          <w:bCs/>
          <w:sz w:val="20"/>
          <w:szCs w:val="20"/>
        </w:rPr>
        <w:t xml:space="preserve">v rámci OP ŽP </w:t>
      </w:r>
      <w:r w:rsidRPr="004B33AE">
        <w:rPr>
          <w:rFonts w:ascii="Arial" w:hAnsi="Arial" w:cs="Arial"/>
          <w:bCs/>
          <w:sz w:val="20"/>
          <w:szCs w:val="20"/>
        </w:rPr>
        <w:t>k 31.12.201</w:t>
      </w:r>
      <w:r>
        <w:rPr>
          <w:rFonts w:ascii="Arial" w:hAnsi="Arial" w:cs="Arial"/>
          <w:bCs/>
          <w:sz w:val="20"/>
          <w:szCs w:val="20"/>
        </w:rPr>
        <w:t>2</w:t>
      </w:r>
      <w:r w:rsidRPr="004B33AE">
        <w:rPr>
          <w:rFonts w:ascii="Arial" w:hAnsi="Arial" w:cs="Arial"/>
          <w:bCs/>
          <w:sz w:val="20"/>
          <w:szCs w:val="20"/>
        </w:rPr>
        <w:t xml:space="preserve"> </w:t>
      </w:r>
      <w:r w:rsidRPr="00493171">
        <w:rPr>
          <w:rFonts w:ascii="Arial" w:hAnsi="Arial" w:cs="Arial"/>
          <w:bCs/>
          <w:sz w:val="20"/>
          <w:szCs w:val="20"/>
        </w:rPr>
        <w:t>vrátane súhrnnej informácie o konaniach o žiadostiach o NFP v prehľadnej tabuľkovej podobe je uvedený v </w:t>
      </w:r>
      <w:r w:rsidRPr="00A9375C">
        <w:rPr>
          <w:rFonts w:ascii="Arial" w:hAnsi="Arial" w:cs="Arial"/>
          <w:bCs/>
          <w:sz w:val="20"/>
          <w:szCs w:val="20"/>
        </w:rPr>
        <w:t xml:space="preserve"> </w:t>
      </w:r>
      <w:r w:rsidRPr="003A7E8D">
        <w:rPr>
          <w:rFonts w:ascii="Arial" w:hAnsi="Arial" w:cs="Arial"/>
          <w:bCs/>
          <w:sz w:val="20"/>
          <w:szCs w:val="20"/>
        </w:rPr>
        <w:t>Prílohe č. 1 správy</w:t>
      </w:r>
      <w:r w:rsidR="003A7E8D">
        <w:rPr>
          <w:rFonts w:ascii="Arial" w:hAnsi="Arial" w:cs="Arial"/>
          <w:bCs/>
          <w:sz w:val="20"/>
          <w:szCs w:val="20"/>
        </w:rPr>
        <w:t xml:space="preserve">. </w:t>
      </w:r>
      <w:bookmarkEnd w:id="12"/>
      <w:bookmarkEnd w:id="13"/>
      <w:r w:rsidR="002416B1" w:rsidRPr="00493171">
        <w:rPr>
          <w:rFonts w:ascii="Arial" w:hAnsi="Arial" w:cs="Arial"/>
          <w:bCs/>
          <w:sz w:val="20"/>
          <w:szCs w:val="20"/>
        </w:rPr>
        <w:t>.</w:t>
      </w:r>
    </w:p>
    <w:p w:rsidR="00D62AE1" w:rsidRPr="00D62AE1" w:rsidRDefault="00D62AE1" w:rsidP="00507035">
      <w:pPr>
        <w:spacing w:before="120" w:after="120" w:line="360" w:lineRule="auto"/>
        <w:jc w:val="both"/>
        <w:rPr>
          <w:rFonts w:ascii="Arial" w:hAnsi="Arial" w:cs="Arial"/>
          <w:sz w:val="20"/>
          <w:szCs w:val="20"/>
        </w:rPr>
      </w:pPr>
      <w:r w:rsidRPr="00493171">
        <w:rPr>
          <w:rFonts w:ascii="Arial" w:hAnsi="Arial" w:cs="Arial"/>
          <w:sz w:val="20"/>
          <w:szCs w:val="20"/>
        </w:rPr>
        <w:t>V roku 2012 boli v súlade so Systémom riadenia štrukturálnych fondov a Kohézneho</w:t>
      </w:r>
      <w:r w:rsidRPr="00D62AE1">
        <w:rPr>
          <w:rFonts w:ascii="Arial" w:hAnsi="Arial" w:cs="Arial"/>
          <w:sz w:val="20"/>
          <w:szCs w:val="20"/>
        </w:rPr>
        <w:t xml:space="preserve"> fondu na programové obdobie 2007-2013 </w:t>
      </w:r>
      <w:r w:rsidR="004C37E1">
        <w:rPr>
          <w:rFonts w:ascii="Arial" w:hAnsi="Arial" w:cs="Arial"/>
          <w:sz w:val="20"/>
          <w:szCs w:val="20"/>
        </w:rPr>
        <w:t xml:space="preserve"> (ďalej aj „Systém riadenia</w:t>
      </w:r>
      <w:r w:rsidR="00364176">
        <w:rPr>
          <w:rFonts w:ascii="Arial" w:hAnsi="Arial" w:cs="Arial"/>
          <w:sz w:val="20"/>
          <w:szCs w:val="20"/>
        </w:rPr>
        <w:t xml:space="preserve"> ŠF a KF</w:t>
      </w:r>
      <w:r w:rsidR="004C37E1">
        <w:rPr>
          <w:rFonts w:ascii="Arial" w:hAnsi="Arial" w:cs="Arial"/>
          <w:sz w:val="20"/>
          <w:szCs w:val="20"/>
        </w:rPr>
        <w:t xml:space="preserve">“) </w:t>
      </w:r>
      <w:r w:rsidRPr="00D62AE1">
        <w:rPr>
          <w:rFonts w:ascii="Arial" w:hAnsi="Arial" w:cs="Arial"/>
          <w:sz w:val="20"/>
          <w:szCs w:val="20"/>
        </w:rPr>
        <w:t xml:space="preserve">vypracované Správy o vyhodnotení výzvy na predkladanie žiadostí o NFP, s hlavným cieľom vyhodnotiť úspešnosť výzvy na predkladanie žiadostí o NFP a poskytnúť informácie o celom procese od vyhlásenia výzvy až po návrh na schválenie (resp. neschválenie) žiadostí  o NFP Výberovou komisiou MŽP SR pre projekty z Európskeho fondu regionálneho rozvoja a Kohézneho fondu. </w:t>
      </w:r>
    </w:p>
    <w:p w:rsidR="00D62AE1" w:rsidRPr="00D62AE1" w:rsidRDefault="00D62AE1" w:rsidP="00507035">
      <w:pPr>
        <w:spacing w:before="120" w:after="120" w:line="360" w:lineRule="auto"/>
        <w:jc w:val="both"/>
        <w:rPr>
          <w:rFonts w:ascii="Arial" w:hAnsi="Arial" w:cs="Arial"/>
          <w:sz w:val="20"/>
          <w:szCs w:val="20"/>
        </w:rPr>
      </w:pPr>
      <w:r w:rsidRPr="00D62AE1">
        <w:rPr>
          <w:rFonts w:ascii="Arial" w:hAnsi="Arial" w:cs="Arial"/>
          <w:sz w:val="20"/>
          <w:szCs w:val="20"/>
        </w:rPr>
        <w:t xml:space="preserve">Všetky správy o vyhodnotení výzvy majú jednotnú štruktúru a okrem základných informácií o výzve hodnotia najmä priebeh výzvy, informovanie o výzve, </w:t>
      </w:r>
      <w:r w:rsidR="00B2224C">
        <w:rPr>
          <w:rFonts w:ascii="Arial" w:hAnsi="Arial" w:cs="Arial"/>
          <w:sz w:val="20"/>
          <w:szCs w:val="20"/>
        </w:rPr>
        <w:t xml:space="preserve">obsahujú </w:t>
      </w:r>
      <w:r w:rsidRPr="00D62AE1">
        <w:rPr>
          <w:rFonts w:ascii="Arial" w:hAnsi="Arial" w:cs="Arial"/>
          <w:sz w:val="20"/>
          <w:szCs w:val="20"/>
        </w:rPr>
        <w:t>prehľady a sumy zaregistrovaných žiadostí o NFP a žiadostí o NFP odporučených na schválenie riadiacim orgánom</w:t>
      </w:r>
      <w:r w:rsidR="00B2224C">
        <w:rPr>
          <w:rFonts w:ascii="Arial" w:hAnsi="Arial" w:cs="Arial"/>
          <w:sz w:val="20"/>
          <w:szCs w:val="20"/>
        </w:rPr>
        <w:t xml:space="preserve"> a</w:t>
      </w:r>
      <w:r w:rsidRPr="00D62AE1">
        <w:rPr>
          <w:rFonts w:ascii="Arial" w:hAnsi="Arial" w:cs="Arial"/>
          <w:sz w:val="20"/>
          <w:szCs w:val="20"/>
        </w:rPr>
        <w:t xml:space="preserve"> </w:t>
      </w:r>
      <w:r w:rsidR="00B2224C">
        <w:rPr>
          <w:rFonts w:ascii="Arial" w:hAnsi="Arial" w:cs="Arial"/>
          <w:sz w:val="20"/>
          <w:szCs w:val="20"/>
        </w:rPr>
        <w:t xml:space="preserve">uvádzajú </w:t>
      </w:r>
      <w:r w:rsidRPr="00D62AE1">
        <w:rPr>
          <w:rFonts w:ascii="Arial" w:hAnsi="Arial" w:cs="Arial"/>
          <w:sz w:val="20"/>
          <w:szCs w:val="20"/>
        </w:rPr>
        <w:t>dôvody neschválenia žiadostí</w:t>
      </w:r>
      <w:r w:rsidR="00B2224C">
        <w:rPr>
          <w:rFonts w:ascii="Arial" w:hAnsi="Arial" w:cs="Arial"/>
          <w:sz w:val="20"/>
          <w:szCs w:val="20"/>
        </w:rPr>
        <w:t xml:space="preserve"> o NFP.</w:t>
      </w:r>
      <w:r w:rsidRPr="00D62AE1">
        <w:rPr>
          <w:rFonts w:ascii="Arial" w:hAnsi="Arial" w:cs="Arial"/>
          <w:sz w:val="20"/>
          <w:szCs w:val="20"/>
        </w:rPr>
        <w:t xml:space="preserve"> </w:t>
      </w:r>
    </w:p>
    <w:p w:rsidR="00D62AE1" w:rsidRPr="00D62AE1" w:rsidRDefault="00D62AE1" w:rsidP="00507035">
      <w:pPr>
        <w:spacing w:before="120" w:after="120" w:line="360" w:lineRule="auto"/>
        <w:jc w:val="both"/>
        <w:rPr>
          <w:rFonts w:ascii="Arial" w:hAnsi="Arial" w:cs="Arial"/>
          <w:sz w:val="20"/>
          <w:szCs w:val="20"/>
        </w:rPr>
      </w:pPr>
      <w:r w:rsidRPr="00D62AE1">
        <w:rPr>
          <w:rFonts w:ascii="Arial" w:hAnsi="Arial" w:cs="Arial"/>
          <w:sz w:val="20"/>
          <w:szCs w:val="20"/>
        </w:rPr>
        <w:t xml:space="preserve">V </w:t>
      </w:r>
      <w:r w:rsidR="00B2224C">
        <w:rPr>
          <w:rFonts w:ascii="Arial" w:hAnsi="Arial" w:cs="Arial"/>
          <w:sz w:val="20"/>
          <w:szCs w:val="20"/>
        </w:rPr>
        <w:t>predmetných správach sa uvádzajú informácie ako:</w:t>
      </w:r>
      <w:r w:rsidRPr="00D62AE1">
        <w:rPr>
          <w:rFonts w:ascii="Arial" w:hAnsi="Arial" w:cs="Arial"/>
          <w:sz w:val="20"/>
          <w:szCs w:val="20"/>
        </w:rPr>
        <w:t xml:space="preserve"> sektor žiadateľa, právna forma žiadateľa, štatistická klasifikácia ekonomických činností žiadateľa, lokalizácia projektu a geografické rozdelenie finančných prostriedkov  z pohľadu zaregistrovaných a tiež žiadostí o NFP navrhnutých na schválenie. Jednotlivé kategórie majú aj grafické vyjadrenie.</w:t>
      </w:r>
      <w:r w:rsidR="00B2224C">
        <w:rPr>
          <w:rFonts w:ascii="Arial" w:hAnsi="Arial" w:cs="Arial"/>
          <w:sz w:val="20"/>
          <w:szCs w:val="20"/>
        </w:rPr>
        <w:t xml:space="preserve"> </w:t>
      </w:r>
      <w:r w:rsidRPr="00D62AE1">
        <w:rPr>
          <w:rFonts w:ascii="Arial" w:hAnsi="Arial" w:cs="Arial"/>
          <w:sz w:val="20"/>
          <w:szCs w:val="20"/>
        </w:rPr>
        <w:t>.</w:t>
      </w:r>
    </w:p>
    <w:p w:rsidR="00D62AE1" w:rsidRPr="00D62AE1" w:rsidRDefault="00D62AE1" w:rsidP="00507035">
      <w:pPr>
        <w:spacing w:before="120" w:after="120" w:line="360" w:lineRule="auto"/>
        <w:jc w:val="both"/>
        <w:rPr>
          <w:rFonts w:ascii="Arial" w:hAnsi="Arial" w:cs="Arial"/>
          <w:sz w:val="20"/>
          <w:szCs w:val="20"/>
        </w:rPr>
      </w:pPr>
      <w:r w:rsidRPr="00D62AE1">
        <w:rPr>
          <w:rFonts w:ascii="Arial" w:hAnsi="Arial" w:cs="Arial"/>
          <w:sz w:val="20"/>
          <w:szCs w:val="20"/>
        </w:rPr>
        <w:t xml:space="preserve">Správa </w:t>
      </w:r>
      <w:r>
        <w:rPr>
          <w:rFonts w:ascii="Arial" w:hAnsi="Arial" w:cs="Arial"/>
          <w:sz w:val="20"/>
          <w:szCs w:val="20"/>
        </w:rPr>
        <w:t>o vyhodnotení výzvy</w:t>
      </w:r>
      <w:r w:rsidRPr="00D62AE1">
        <w:rPr>
          <w:rFonts w:ascii="Arial" w:hAnsi="Arial" w:cs="Arial"/>
          <w:sz w:val="20"/>
          <w:szCs w:val="20"/>
        </w:rPr>
        <w:t xml:space="preserve"> obsahuje tiež kapitolu „Nedostatky“, ktorej cieľom je identifikácia najčastejších problémov a nedostatkov v rámci procesu výberu projektov pre realizáciu OP</w:t>
      </w:r>
      <w:r w:rsidR="00B707E8">
        <w:rPr>
          <w:rFonts w:ascii="Arial" w:hAnsi="Arial" w:cs="Arial"/>
          <w:sz w:val="20"/>
          <w:szCs w:val="20"/>
        </w:rPr>
        <w:t xml:space="preserve"> </w:t>
      </w:r>
      <w:r w:rsidRPr="00D62AE1">
        <w:rPr>
          <w:rFonts w:ascii="Arial" w:hAnsi="Arial" w:cs="Arial"/>
          <w:sz w:val="20"/>
          <w:szCs w:val="20"/>
        </w:rPr>
        <w:t xml:space="preserve">ŽP, vrátane analýzy sťažností žiadateľov, týkajúcich sa poskytovania informácií o výzve, kvality pokynov a dokumentov zverejnených spolu s výzvou a procesu schvaľovania žiadostí o NFP. Kapitola obsahuje tiež návrh opatrení na predchádzanie pred opakovaním identifikovaných nedostatkov. </w:t>
      </w:r>
    </w:p>
    <w:p w:rsidR="00464527" w:rsidRDefault="00D62AE1" w:rsidP="00507035">
      <w:pPr>
        <w:spacing w:before="120" w:after="120" w:line="360" w:lineRule="auto"/>
        <w:jc w:val="both"/>
        <w:rPr>
          <w:rFonts w:ascii="Arial" w:hAnsi="Arial" w:cs="Arial"/>
          <w:sz w:val="20"/>
          <w:szCs w:val="20"/>
        </w:rPr>
      </w:pPr>
      <w:r w:rsidRPr="00D62AE1">
        <w:rPr>
          <w:rFonts w:ascii="Arial" w:hAnsi="Arial" w:cs="Arial"/>
          <w:sz w:val="20"/>
          <w:szCs w:val="20"/>
        </w:rPr>
        <w:t>Správy o vyhodnotení výzvy sú v zmysle Systému riadenia ŠF a KF na programové obdobie 2007-2013 predkladané na vedomie Monitorovaciemu výboru pre OP</w:t>
      </w:r>
      <w:r w:rsidR="00B707E8">
        <w:rPr>
          <w:rFonts w:ascii="Arial" w:hAnsi="Arial" w:cs="Arial"/>
          <w:sz w:val="20"/>
          <w:szCs w:val="20"/>
        </w:rPr>
        <w:t xml:space="preserve"> </w:t>
      </w:r>
      <w:r w:rsidRPr="00D62AE1">
        <w:rPr>
          <w:rFonts w:ascii="Arial" w:hAnsi="Arial" w:cs="Arial"/>
          <w:sz w:val="20"/>
          <w:szCs w:val="20"/>
        </w:rPr>
        <w:t>ŽP a zverejňované na webovom sídle OP</w:t>
      </w:r>
      <w:r w:rsidR="00B707E8">
        <w:rPr>
          <w:rFonts w:ascii="Arial" w:hAnsi="Arial" w:cs="Arial"/>
          <w:sz w:val="20"/>
          <w:szCs w:val="20"/>
        </w:rPr>
        <w:t xml:space="preserve"> </w:t>
      </w:r>
      <w:r w:rsidRPr="00D62AE1">
        <w:rPr>
          <w:rFonts w:ascii="Arial" w:hAnsi="Arial" w:cs="Arial"/>
          <w:sz w:val="20"/>
          <w:szCs w:val="20"/>
        </w:rPr>
        <w:t>ŽP</w:t>
      </w:r>
      <w:r w:rsidR="00B2224C">
        <w:rPr>
          <w:rFonts w:ascii="Arial" w:hAnsi="Arial" w:cs="Arial"/>
          <w:sz w:val="20"/>
          <w:szCs w:val="20"/>
        </w:rPr>
        <w:t xml:space="preserve">. </w:t>
      </w:r>
      <w:r w:rsidR="00464527" w:rsidRPr="00D62AE1">
        <w:rPr>
          <w:rFonts w:ascii="Arial" w:hAnsi="Arial" w:cs="Arial"/>
          <w:sz w:val="20"/>
          <w:szCs w:val="20"/>
        </w:rPr>
        <w:t>V priebehu roka 2012 boli vypracované  4 správy o vyhodnotení výziev</w:t>
      </w:r>
      <w:r w:rsidR="00B2224C">
        <w:rPr>
          <w:rFonts w:ascii="Arial" w:hAnsi="Arial" w:cs="Arial"/>
          <w:sz w:val="20"/>
          <w:szCs w:val="20"/>
        </w:rPr>
        <w:t xml:space="preserve">, t. j. </w:t>
      </w:r>
      <w:r w:rsidR="00464527" w:rsidRPr="00D62AE1">
        <w:rPr>
          <w:rFonts w:ascii="Arial" w:hAnsi="Arial" w:cs="Arial"/>
          <w:sz w:val="20"/>
          <w:szCs w:val="20"/>
        </w:rPr>
        <w:t xml:space="preserve">OPŽP-PO2-10-2, OPŽP-PO2-10-3, OPŽP-PO1-10-2 a OPŽP-PO4-11-2. Všetky tieto správy sú zverejnené na webovom sídle OPŽP </w:t>
      </w:r>
      <w:hyperlink r:id="rId16" w:history="1">
        <w:r w:rsidR="00464527" w:rsidRPr="00674ECD">
          <w:rPr>
            <w:rStyle w:val="Hypertextovprepojenie"/>
            <w:rFonts w:ascii="Arial" w:hAnsi="Arial" w:cs="Arial"/>
            <w:sz w:val="20"/>
            <w:szCs w:val="20"/>
          </w:rPr>
          <w:t>www.opzp.sk</w:t>
        </w:r>
      </w:hyperlink>
      <w:r w:rsidR="00464527">
        <w:rPr>
          <w:rFonts w:ascii="Arial" w:hAnsi="Arial" w:cs="Arial"/>
          <w:sz w:val="20"/>
          <w:szCs w:val="20"/>
        </w:rPr>
        <w:t xml:space="preserve"> </w:t>
      </w:r>
      <w:r w:rsidR="00464527" w:rsidRPr="00D62AE1">
        <w:rPr>
          <w:rFonts w:ascii="Arial" w:hAnsi="Arial" w:cs="Arial"/>
          <w:sz w:val="20"/>
          <w:szCs w:val="20"/>
        </w:rPr>
        <w:t xml:space="preserve"> v časti </w:t>
      </w:r>
      <w:r w:rsidR="00464527">
        <w:rPr>
          <w:rFonts w:ascii="Arial" w:hAnsi="Arial" w:cs="Arial"/>
          <w:sz w:val="20"/>
          <w:szCs w:val="20"/>
        </w:rPr>
        <w:t>„</w:t>
      </w:r>
      <w:r w:rsidR="00464527" w:rsidRPr="00D62AE1">
        <w:rPr>
          <w:rFonts w:ascii="Arial" w:hAnsi="Arial" w:cs="Arial"/>
          <w:sz w:val="20"/>
          <w:szCs w:val="20"/>
        </w:rPr>
        <w:t>Výzvy</w:t>
      </w:r>
      <w:r w:rsidR="00464527">
        <w:rPr>
          <w:rFonts w:ascii="Arial" w:hAnsi="Arial" w:cs="Arial"/>
          <w:sz w:val="20"/>
          <w:szCs w:val="20"/>
        </w:rPr>
        <w:t>“</w:t>
      </w:r>
      <w:r w:rsidR="00464527" w:rsidRPr="00D62AE1">
        <w:rPr>
          <w:rFonts w:ascii="Arial" w:hAnsi="Arial" w:cs="Arial"/>
          <w:sz w:val="20"/>
          <w:szCs w:val="20"/>
        </w:rPr>
        <w:t>.</w:t>
      </w:r>
    </w:p>
    <w:p w:rsidR="00C5733B" w:rsidRDefault="00464527" w:rsidP="00507035">
      <w:pPr>
        <w:spacing w:before="120" w:after="120" w:line="360" w:lineRule="auto"/>
        <w:jc w:val="both"/>
        <w:rPr>
          <w:rFonts w:ascii="Arial" w:hAnsi="Arial" w:cs="Arial"/>
          <w:bCs/>
          <w:sz w:val="20"/>
          <w:szCs w:val="20"/>
        </w:rPr>
      </w:pPr>
      <w:r>
        <w:rPr>
          <w:rFonts w:ascii="Arial" w:hAnsi="Arial" w:cs="Arial"/>
          <w:sz w:val="20"/>
          <w:szCs w:val="20"/>
        </w:rPr>
        <w:t>V</w:t>
      </w:r>
      <w:r w:rsidR="00C5733B" w:rsidRPr="00A11A42">
        <w:rPr>
          <w:rFonts w:ascii="Arial" w:hAnsi="Arial" w:cs="Arial"/>
          <w:sz w:val="20"/>
          <w:szCs w:val="20"/>
        </w:rPr>
        <w:t xml:space="preserve"> zmysle </w:t>
      </w:r>
      <w:r w:rsidR="00C5733B" w:rsidRPr="00B707E8">
        <w:rPr>
          <w:rFonts w:ascii="Arial" w:hAnsi="Arial" w:cs="Arial"/>
          <w:bCs/>
          <w:sz w:val="20"/>
          <w:szCs w:val="20"/>
        </w:rPr>
        <w:t xml:space="preserve">Systému riadenia ŠF a KF  (časť 5.2 Zabezpečovanie informovania a publicity na úrovni RO, bod 4., písm. d) </w:t>
      </w:r>
      <w:r w:rsidR="00C5733B" w:rsidRPr="00B707E8">
        <w:rPr>
          <w:rFonts w:ascii="Arial" w:hAnsi="Arial" w:cs="Arial"/>
          <w:bCs/>
          <w:iCs/>
          <w:sz w:val="20"/>
          <w:szCs w:val="20"/>
        </w:rPr>
        <w:t>RO je zodpovedný za</w:t>
      </w:r>
      <w:r w:rsidR="00C5733B" w:rsidRPr="00B707E8">
        <w:rPr>
          <w:rFonts w:ascii="Arial" w:hAnsi="Arial" w:cs="Arial"/>
          <w:bCs/>
          <w:sz w:val="20"/>
          <w:szCs w:val="20"/>
        </w:rPr>
        <w:t xml:space="preserve"> </w:t>
      </w:r>
      <w:r w:rsidR="00C5733B" w:rsidRPr="00B707E8">
        <w:rPr>
          <w:rFonts w:ascii="Arial" w:hAnsi="Arial" w:cs="Arial"/>
          <w:bCs/>
          <w:iCs/>
          <w:sz w:val="20"/>
          <w:szCs w:val="20"/>
        </w:rPr>
        <w:t>zverejnenie zoznamu prijímateľov v rozsahu názov prijímateľa, názov projektu a výška príspevku z verejných zdrojov pridelená na projekt prijímateľa, tak ako sú definované v čl. 7 písm. d) vykonávacieho nariadenia, pričom zverejnenie je požadované elektronickou, alebo inou formou.)</w:t>
      </w:r>
      <w:r>
        <w:rPr>
          <w:rFonts w:ascii="Arial" w:hAnsi="Arial" w:cs="Arial"/>
          <w:bCs/>
          <w:iCs/>
          <w:sz w:val="20"/>
          <w:szCs w:val="20"/>
        </w:rPr>
        <w:t>. RO zv</w:t>
      </w:r>
      <w:r w:rsidR="002C4F30">
        <w:rPr>
          <w:rFonts w:ascii="Arial" w:hAnsi="Arial" w:cs="Arial"/>
          <w:bCs/>
          <w:iCs/>
          <w:sz w:val="20"/>
          <w:szCs w:val="20"/>
        </w:rPr>
        <w:t>erejňuje zoznam prijím</w:t>
      </w:r>
      <w:r>
        <w:rPr>
          <w:rFonts w:ascii="Arial" w:hAnsi="Arial" w:cs="Arial"/>
          <w:bCs/>
          <w:iCs/>
          <w:sz w:val="20"/>
          <w:szCs w:val="20"/>
        </w:rPr>
        <w:t xml:space="preserve">ateľov na webovom sídle </w:t>
      </w:r>
      <w:hyperlink r:id="rId17" w:history="1">
        <w:r w:rsidRPr="0082535E">
          <w:rPr>
            <w:rStyle w:val="Hypertextovprepojenie"/>
            <w:rFonts w:ascii="Arial" w:hAnsi="Arial" w:cs="Arial"/>
            <w:bCs/>
            <w:iCs/>
            <w:sz w:val="20"/>
            <w:szCs w:val="20"/>
          </w:rPr>
          <w:t>www.opzp.sk</w:t>
        </w:r>
      </w:hyperlink>
      <w:r>
        <w:rPr>
          <w:rFonts w:ascii="Arial" w:hAnsi="Arial" w:cs="Arial"/>
          <w:sz w:val="20"/>
          <w:szCs w:val="20"/>
        </w:rPr>
        <w:t xml:space="preserve">  v časti </w:t>
      </w:r>
      <w:r w:rsidRPr="00C5733B">
        <w:rPr>
          <w:rFonts w:ascii="Arial" w:hAnsi="Arial" w:cs="Arial"/>
          <w:sz w:val="20"/>
          <w:szCs w:val="20"/>
        </w:rPr>
        <w:t>„</w:t>
      </w:r>
      <w:r w:rsidRPr="00BB515F">
        <w:rPr>
          <w:rFonts w:ascii="Arial" w:hAnsi="Arial" w:cs="Arial"/>
          <w:sz w:val="20"/>
          <w:szCs w:val="20"/>
        </w:rPr>
        <w:t>Projekty/Zoznamy OPŽP/Zoznam prijímateľov z OPŽP</w:t>
      </w:r>
      <w:r w:rsidRPr="00A11A42">
        <w:rPr>
          <w:rFonts w:ascii="Arial" w:hAnsi="Arial" w:cs="Arial"/>
          <w:sz w:val="20"/>
          <w:szCs w:val="20"/>
        </w:rPr>
        <w:t>“</w:t>
      </w:r>
      <w:r>
        <w:rPr>
          <w:rFonts w:ascii="Arial" w:hAnsi="Arial" w:cs="Arial"/>
          <w:sz w:val="20"/>
          <w:szCs w:val="20"/>
        </w:rPr>
        <w:t>.</w:t>
      </w:r>
      <w:r w:rsidRPr="00A11A42">
        <w:rPr>
          <w:rFonts w:ascii="Arial" w:hAnsi="Arial" w:cs="Arial"/>
          <w:sz w:val="20"/>
          <w:szCs w:val="20"/>
        </w:rPr>
        <w:t xml:space="preserve"> </w:t>
      </w:r>
      <w:r>
        <w:rPr>
          <w:rFonts w:ascii="Arial" w:hAnsi="Arial" w:cs="Arial"/>
          <w:bCs/>
          <w:iCs/>
          <w:sz w:val="20"/>
          <w:szCs w:val="20"/>
        </w:rPr>
        <w:t xml:space="preserve"> </w:t>
      </w:r>
      <w:r w:rsidR="00C5733B" w:rsidRPr="00B707E8">
        <w:rPr>
          <w:rFonts w:ascii="Arial" w:hAnsi="Arial" w:cs="Arial"/>
          <w:bCs/>
          <w:sz w:val="20"/>
          <w:szCs w:val="20"/>
        </w:rPr>
        <w:t xml:space="preserve"> </w:t>
      </w:r>
      <w:r w:rsidR="00C5733B" w:rsidRPr="00B707E8">
        <w:rPr>
          <w:rFonts w:ascii="Arial" w:hAnsi="Arial" w:cs="Arial"/>
          <w:bCs/>
          <w:i/>
          <w:sz w:val="20"/>
          <w:szCs w:val="20"/>
        </w:rPr>
        <w:t xml:space="preserve">Zoznam prijímateľov </w:t>
      </w:r>
      <w:r w:rsidR="00C5733B" w:rsidRPr="00B707E8">
        <w:rPr>
          <w:rFonts w:ascii="Arial" w:hAnsi="Arial" w:cs="Arial"/>
          <w:bCs/>
          <w:sz w:val="20"/>
          <w:szCs w:val="20"/>
        </w:rPr>
        <w:t xml:space="preserve">je taktiež centrálne zverejnený na </w:t>
      </w:r>
      <w:r w:rsidR="00B707E8">
        <w:rPr>
          <w:rFonts w:ascii="Arial" w:hAnsi="Arial" w:cs="Arial"/>
          <w:bCs/>
          <w:sz w:val="20"/>
          <w:szCs w:val="20"/>
        </w:rPr>
        <w:t>webovom sídle</w:t>
      </w:r>
      <w:r w:rsidR="00C5733B" w:rsidRPr="00B707E8">
        <w:rPr>
          <w:rFonts w:ascii="Arial" w:hAnsi="Arial" w:cs="Arial"/>
          <w:bCs/>
          <w:sz w:val="20"/>
          <w:szCs w:val="20"/>
        </w:rPr>
        <w:t xml:space="preserve"> </w:t>
      </w:r>
      <w:hyperlink r:id="rId18" w:tooltip="http://www.nsrr.sk/" w:history="1">
        <w:r w:rsidR="00C5733B" w:rsidRPr="00B707E8">
          <w:rPr>
            <w:rStyle w:val="Hypertextovprepojenie"/>
            <w:rFonts w:ascii="Arial" w:hAnsi="Arial" w:cs="Arial"/>
            <w:sz w:val="20"/>
            <w:szCs w:val="20"/>
          </w:rPr>
          <w:t>www.nsrr.sk</w:t>
        </w:r>
      </w:hyperlink>
      <w:r w:rsidR="00C5733B" w:rsidRPr="00B707E8">
        <w:rPr>
          <w:rFonts w:ascii="Arial" w:hAnsi="Arial" w:cs="Arial"/>
          <w:bCs/>
          <w:sz w:val="20"/>
          <w:szCs w:val="20"/>
        </w:rPr>
        <w:t xml:space="preserve"> v časti „</w:t>
      </w:r>
      <w:r>
        <w:rPr>
          <w:rFonts w:ascii="Arial" w:hAnsi="Arial" w:cs="Arial"/>
          <w:bCs/>
          <w:sz w:val="20"/>
          <w:szCs w:val="20"/>
        </w:rPr>
        <w:t xml:space="preserve">Čerpanie a </w:t>
      </w:r>
      <w:r w:rsidR="00C5733B" w:rsidRPr="00B707E8">
        <w:rPr>
          <w:rFonts w:ascii="Arial" w:hAnsi="Arial" w:cs="Arial"/>
          <w:bCs/>
          <w:sz w:val="20"/>
          <w:szCs w:val="20"/>
        </w:rPr>
        <w:t>Zoznam</w:t>
      </w:r>
      <w:r>
        <w:rPr>
          <w:rFonts w:ascii="Arial" w:hAnsi="Arial" w:cs="Arial"/>
          <w:bCs/>
          <w:sz w:val="20"/>
          <w:szCs w:val="20"/>
        </w:rPr>
        <w:t>y</w:t>
      </w:r>
      <w:r w:rsidR="00C5733B" w:rsidRPr="00B707E8">
        <w:rPr>
          <w:rFonts w:ascii="Arial" w:hAnsi="Arial" w:cs="Arial"/>
          <w:bCs/>
          <w:sz w:val="20"/>
          <w:szCs w:val="20"/>
        </w:rPr>
        <w:t>“ za všetky operačné programy v rámci NSRR. Zoznam je aktualizovaný v mesačných intervaloch a na základe informácií čerpaných z ITMS.</w:t>
      </w:r>
      <w:r w:rsidR="00C5733B">
        <w:rPr>
          <w:rFonts w:ascii="Arial" w:hAnsi="Arial" w:cs="Arial"/>
          <w:bCs/>
          <w:sz w:val="20"/>
          <w:szCs w:val="20"/>
        </w:rPr>
        <w:t xml:space="preserve"> </w:t>
      </w:r>
    </w:p>
    <w:p w:rsidR="0011463A" w:rsidRDefault="008A23A5" w:rsidP="00507035">
      <w:pPr>
        <w:spacing w:before="120" w:after="120" w:line="360" w:lineRule="auto"/>
        <w:jc w:val="both"/>
        <w:rPr>
          <w:rFonts w:ascii="Arial" w:hAnsi="Arial" w:cs="Arial"/>
          <w:bCs/>
          <w:sz w:val="20"/>
          <w:szCs w:val="20"/>
        </w:rPr>
      </w:pPr>
      <w:r>
        <w:rPr>
          <w:rFonts w:ascii="Arial" w:hAnsi="Arial" w:cs="Arial"/>
          <w:bCs/>
          <w:sz w:val="20"/>
          <w:szCs w:val="20"/>
        </w:rPr>
        <w:t xml:space="preserve">Na základe zákona č. 71/2012, </w:t>
      </w:r>
      <w:r w:rsidRPr="00367A47">
        <w:rPr>
          <w:rFonts w:ascii="Arial" w:hAnsi="Arial" w:cs="Arial"/>
          <w:bCs/>
          <w:sz w:val="20"/>
          <w:szCs w:val="20"/>
        </w:rPr>
        <w:t>ktor</w:t>
      </w:r>
      <w:r w:rsidRPr="00367A47">
        <w:rPr>
          <w:rFonts w:ascii="Arial" w:hAnsi="Arial" w:cs="Arial" w:hint="eastAsia"/>
          <w:bCs/>
          <w:sz w:val="20"/>
          <w:szCs w:val="20"/>
        </w:rPr>
        <w:t>ý</w:t>
      </w:r>
      <w:r w:rsidRPr="00367A47">
        <w:rPr>
          <w:rFonts w:ascii="Arial" w:hAnsi="Arial" w:cs="Arial"/>
          <w:bCs/>
          <w:sz w:val="20"/>
          <w:szCs w:val="20"/>
        </w:rPr>
        <w:t>m sa men</w:t>
      </w:r>
      <w:r w:rsidRPr="00367A47">
        <w:rPr>
          <w:rFonts w:ascii="Arial" w:hAnsi="Arial" w:cs="Arial" w:hint="eastAsia"/>
          <w:bCs/>
          <w:sz w:val="20"/>
          <w:szCs w:val="20"/>
        </w:rPr>
        <w:t>í</w:t>
      </w:r>
      <w:r w:rsidRPr="00367A47">
        <w:rPr>
          <w:rFonts w:ascii="Arial" w:hAnsi="Arial" w:cs="Arial"/>
          <w:bCs/>
          <w:sz w:val="20"/>
          <w:szCs w:val="20"/>
        </w:rPr>
        <w:t xml:space="preserve"> a dop</w:t>
      </w:r>
      <w:r w:rsidRPr="00367A47">
        <w:rPr>
          <w:rFonts w:ascii="Arial" w:hAnsi="Arial" w:cs="Arial" w:hint="eastAsia"/>
          <w:bCs/>
          <w:sz w:val="20"/>
          <w:szCs w:val="20"/>
        </w:rPr>
        <w:t>ĺň</w:t>
      </w:r>
      <w:r w:rsidRPr="00367A47">
        <w:rPr>
          <w:rFonts w:ascii="Arial" w:hAnsi="Arial" w:cs="Arial"/>
          <w:bCs/>
          <w:sz w:val="20"/>
          <w:szCs w:val="20"/>
        </w:rPr>
        <w:t>a z</w:t>
      </w:r>
      <w:r w:rsidRPr="00367A47">
        <w:rPr>
          <w:rFonts w:ascii="Arial" w:hAnsi="Arial" w:cs="Arial" w:hint="eastAsia"/>
          <w:bCs/>
          <w:sz w:val="20"/>
          <w:szCs w:val="20"/>
        </w:rPr>
        <w:t>á</w:t>
      </w:r>
      <w:r w:rsidRPr="00367A47">
        <w:rPr>
          <w:rFonts w:ascii="Arial" w:hAnsi="Arial" w:cs="Arial"/>
          <w:bCs/>
          <w:sz w:val="20"/>
          <w:szCs w:val="20"/>
        </w:rPr>
        <w:t xml:space="preserve">kon </w:t>
      </w:r>
      <w:r w:rsidRPr="00367A47">
        <w:rPr>
          <w:rFonts w:ascii="Arial" w:hAnsi="Arial" w:cs="Arial" w:hint="eastAsia"/>
          <w:bCs/>
          <w:sz w:val="20"/>
          <w:szCs w:val="20"/>
        </w:rPr>
        <w:t>č</w:t>
      </w:r>
      <w:r w:rsidRPr="00367A47">
        <w:rPr>
          <w:rFonts w:ascii="Arial" w:hAnsi="Arial" w:cs="Arial"/>
          <w:bCs/>
          <w:sz w:val="20"/>
          <w:szCs w:val="20"/>
        </w:rPr>
        <w:t>. 528/2008 Z. z. o pomoci a podpore poskytovanej z fondov Eur</w:t>
      </w:r>
      <w:r w:rsidRPr="00367A47">
        <w:rPr>
          <w:rFonts w:ascii="Arial" w:hAnsi="Arial" w:cs="Arial" w:hint="eastAsia"/>
          <w:bCs/>
          <w:sz w:val="20"/>
          <w:szCs w:val="20"/>
        </w:rPr>
        <w:t>ó</w:t>
      </w:r>
      <w:r w:rsidRPr="00367A47">
        <w:rPr>
          <w:rFonts w:ascii="Arial" w:hAnsi="Arial" w:cs="Arial"/>
          <w:bCs/>
          <w:sz w:val="20"/>
          <w:szCs w:val="20"/>
        </w:rPr>
        <w:t>pskeho spolo</w:t>
      </w:r>
      <w:r w:rsidRPr="00367A47">
        <w:rPr>
          <w:rFonts w:ascii="Arial" w:hAnsi="Arial" w:cs="Arial" w:hint="eastAsia"/>
          <w:bCs/>
          <w:sz w:val="20"/>
          <w:szCs w:val="20"/>
        </w:rPr>
        <w:t>č</w:t>
      </w:r>
      <w:r w:rsidRPr="00367A47">
        <w:rPr>
          <w:rFonts w:ascii="Arial" w:hAnsi="Arial" w:cs="Arial"/>
          <w:bCs/>
          <w:sz w:val="20"/>
          <w:szCs w:val="20"/>
        </w:rPr>
        <w:t>enstva v znen</w:t>
      </w:r>
      <w:r w:rsidRPr="00367A47">
        <w:rPr>
          <w:rFonts w:ascii="Arial" w:hAnsi="Arial" w:cs="Arial" w:hint="eastAsia"/>
          <w:bCs/>
          <w:sz w:val="20"/>
          <w:szCs w:val="20"/>
        </w:rPr>
        <w:t>í</w:t>
      </w:r>
      <w:r w:rsidRPr="00367A47">
        <w:rPr>
          <w:rFonts w:ascii="Arial" w:hAnsi="Arial" w:cs="Arial"/>
          <w:bCs/>
          <w:sz w:val="20"/>
          <w:szCs w:val="20"/>
        </w:rPr>
        <w:t xml:space="preserve"> neskor</w:t>
      </w:r>
      <w:r w:rsidRPr="00367A47">
        <w:rPr>
          <w:rFonts w:ascii="Arial" w:hAnsi="Arial" w:cs="Arial" w:hint="eastAsia"/>
          <w:bCs/>
          <w:sz w:val="20"/>
          <w:szCs w:val="20"/>
        </w:rPr>
        <w:t>ší</w:t>
      </w:r>
      <w:r w:rsidRPr="00367A47">
        <w:rPr>
          <w:rFonts w:ascii="Arial" w:hAnsi="Arial" w:cs="Arial"/>
          <w:bCs/>
          <w:sz w:val="20"/>
          <w:szCs w:val="20"/>
        </w:rPr>
        <w:t>ch predpisov</w:t>
      </w:r>
      <w:r>
        <w:rPr>
          <w:rFonts w:ascii="Arial" w:hAnsi="Arial" w:cs="Arial"/>
          <w:bCs/>
          <w:sz w:val="20"/>
          <w:szCs w:val="20"/>
        </w:rPr>
        <w:t xml:space="preserve"> sa s účinnosťou od </w:t>
      </w:r>
      <w:r w:rsidR="00FA03DD">
        <w:rPr>
          <w:rFonts w:ascii="Arial" w:hAnsi="Arial" w:cs="Arial"/>
          <w:bCs/>
          <w:sz w:val="20"/>
          <w:szCs w:val="20"/>
        </w:rPr>
        <w:t>0</w:t>
      </w:r>
      <w:r>
        <w:rPr>
          <w:rFonts w:ascii="Arial" w:hAnsi="Arial" w:cs="Arial"/>
          <w:bCs/>
          <w:sz w:val="20"/>
          <w:szCs w:val="20"/>
        </w:rPr>
        <w:t>1.</w:t>
      </w:r>
      <w:r w:rsidR="00FA03DD">
        <w:rPr>
          <w:rFonts w:ascii="Arial" w:hAnsi="Arial" w:cs="Arial"/>
          <w:bCs/>
          <w:sz w:val="20"/>
          <w:szCs w:val="20"/>
        </w:rPr>
        <w:t>0</w:t>
      </w:r>
      <w:r>
        <w:rPr>
          <w:rFonts w:ascii="Arial" w:hAnsi="Arial" w:cs="Arial"/>
          <w:bCs/>
          <w:sz w:val="20"/>
          <w:szCs w:val="20"/>
        </w:rPr>
        <w:t xml:space="preserve">3.2012 </w:t>
      </w:r>
      <w:r w:rsidR="007949A5">
        <w:rPr>
          <w:rFonts w:ascii="Arial" w:hAnsi="Arial" w:cs="Arial"/>
          <w:bCs/>
          <w:sz w:val="20"/>
          <w:szCs w:val="20"/>
        </w:rPr>
        <w:t xml:space="preserve">RO </w:t>
      </w:r>
      <w:r>
        <w:rPr>
          <w:rFonts w:ascii="Arial" w:hAnsi="Arial" w:cs="Arial"/>
          <w:bCs/>
          <w:sz w:val="20"/>
          <w:szCs w:val="20"/>
        </w:rPr>
        <w:t xml:space="preserve">rozšíril rozsah údajov, ktoré </w:t>
      </w:r>
      <w:r w:rsidR="007949A5">
        <w:rPr>
          <w:rFonts w:ascii="Arial" w:hAnsi="Arial" w:cs="Arial"/>
          <w:bCs/>
          <w:sz w:val="20"/>
          <w:szCs w:val="20"/>
        </w:rPr>
        <w:t>RO</w:t>
      </w:r>
      <w:r>
        <w:rPr>
          <w:rFonts w:ascii="Arial" w:hAnsi="Arial" w:cs="Arial"/>
          <w:bCs/>
          <w:sz w:val="20"/>
          <w:szCs w:val="20"/>
        </w:rPr>
        <w:t xml:space="preserve"> zverejňuje na svojom webovom sídle</w:t>
      </w:r>
      <w:r w:rsidR="0011463A">
        <w:rPr>
          <w:rFonts w:ascii="Arial" w:hAnsi="Arial" w:cs="Arial"/>
          <w:bCs/>
          <w:sz w:val="20"/>
          <w:szCs w:val="20"/>
        </w:rPr>
        <w:t xml:space="preserve"> </w:t>
      </w:r>
      <w:hyperlink r:id="rId19" w:history="1">
        <w:r w:rsidR="0011463A" w:rsidRPr="00E705E5">
          <w:rPr>
            <w:rStyle w:val="Hypertextovprepojenie"/>
            <w:rFonts w:ascii="Arial" w:hAnsi="Arial" w:cs="Arial"/>
            <w:bCs/>
            <w:sz w:val="20"/>
            <w:szCs w:val="20"/>
          </w:rPr>
          <w:t>http://www.opzp.sk/projekty/zoznamy-opzp/</w:t>
        </w:r>
      </w:hyperlink>
      <w:r w:rsidR="0011463A">
        <w:rPr>
          <w:rFonts w:ascii="Arial" w:hAnsi="Arial" w:cs="Arial"/>
          <w:bCs/>
          <w:sz w:val="20"/>
          <w:szCs w:val="20"/>
        </w:rPr>
        <w:t>:</w:t>
      </w:r>
    </w:p>
    <w:p w:rsidR="0011463A" w:rsidRDefault="0011463A" w:rsidP="00507035">
      <w:pPr>
        <w:spacing w:before="120" w:after="120" w:line="360" w:lineRule="auto"/>
        <w:jc w:val="both"/>
        <w:rPr>
          <w:rFonts w:ascii="Arial" w:hAnsi="Arial" w:cs="Arial"/>
          <w:bCs/>
          <w:sz w:val="20"/>
          <w:szCs w:val="20"/>
        </w:rPr>
      </w:pPr>
      <w:r>
        <w:rPr>
          <w:rFonts w:ascii="Arial" w:hAnsi="Arial" w:cs="Arial"/>
          <w:bCs/>
          <w:sz w:val="20"/>
          <w:szCs w:val="20"/>
        </w:rPr>
        <w:t xml:space="preserve">- </w:t>
      </w:r>
      <w:r w:rsidR="008A23A5">
        <w:rPr>
          <w:rFonts w:ascii="Arial" w:hAnsi="Arial" w:cs="Arial"/>
          <w:bCs/>
          <w:sz w:val="20"/>
          <w:szCs w:val="20"/>
        </w:rPr>
        <w:t xml:space="preserve">o podporených projektoch (okrem názvu prijímateľa, názvu projektu, výšky schválenej pomoci sa zverejňuje aj opis projektu, zloženie výberovej komisie, informácia o tom, v ktorých prípadoch rozhodol riadiaci orgán </w:t>
      </w:r>
      <w:r w:rsidR="008A23A5" w:rsidRPr="00367A47">
        <w:rPr>
          <w:rFonts w:ascii="Arial" w:hAnsi="Arial" w:cs="Arial"/>
          <w:bCs/>
          <w:sz w:val="20"/>
          <w:szCs w:val="20"/>
        </w:rPr>
        <w:t>o schv</w:t>
      </w:r>
      <w:r w:rsidR="008A23A5" w:rsidRPr="00367A47">
        <w:rPr>
          <w:rFonts w:ascii="Arial" w:hAnsi="Arial" w:cs="Arial" w:hint="eastAsia"/>
          <w:bCs/>
          <w:sz w:val="20"/>
          <w:szCs w:val="20"/>
        </w:rPr>
        <w:t>á</w:t>
      </w:r>
      <w:r w:rsidR="008A23A5" w:rsidRPr="00367A47">
        <w:rPr>
          <w:rFonts w:ascii="Arial" w:hAnsi="Arial" w:cs="Arial"/>
          <w:bCs/>
          <w:sz w:val="20"/>
          <w:szCs w:val="20"/>
        </w:rPr>
        <w:t>len</w:t>
      </w:r>
      <w:r w:rsidR="008A23A5" w:rsidRPr="00367A47">
        <w:rPr>
          <w:rFonts w:ascii="Arial" w:hAnsi="Arial" w:cs="Arial" w:hint="eastAsia"/>
          <w:bCs/>
          <w:sz w:val="20"/>
          <w:szCs w:val="20"/>
        </w:rPr>
        <w:t>í</w:t>
      </w:r>
      <w:r w:rsidR="008A23A5" w:rsidRPr="00367A47">
        <w:rPr>
          <w:rFonts w:ascii="Arial" w:hAnsi="Arial" w:cs="Arial"/>
          <w:bCs/>
          <w:sz w:val="20"/>
          <w:szCs w:val="20"/>
        </w:rPr>
        <w:t xml:space="preserve"> </w:t>
      </w:r>
      <w:r w:rsidR="008A23A5" w:rsidRPr="00367A47">
        <w:rPr>
          <w:rFonts w:ascii="Arial" w:hAnsi="Arial" w:cs="Arial" w:hint="eastAsia"/>
          <w:bCs/>
          <w:sz w:val="20"/>
          <w:szCs w:val="20"/>
        </w:rPr>
        <w:t>ž</w:t>
      </w:r>
      <w:r w:rsidR="008A23A5" w:rsidRPr="00367A47">
        <w:rPr>
          <w:rFonts w:ascii="Arial" w:hAnsi="Arial" w:cs="Arial"/>
          <w:bCs/>
          <w:sz w:val="20"/>
          <w:szCs w:val="20"/>
        </w:rPr>
        <w:t>iadosti inak, ako navrhla komisia zriaden</w:t>
      </w:r>
      <w:r w:rsidR="008A23A5" w:rsidRPr="00367A47">
        <w:rPr>
          <w:rFonts w:ascii="Arial" w:hAnsi="Arial" w:cs="Arial" w:hint="eastAsia"/>
          <w:bCs/>
          <w:sz w:val="20"/>
          <w:szCs w:val="20"/>
        </w:rPr>
        <w:t>á</w:t>
      </w:r>
      <w:r w:rsidR="008A23A5" w:rsidRPr="00367A47">
        <w:rPr>
          <w:rFonts w:ascii="Arial" w:hAnsi="Arial" w:cs="Arial"/>
          <w:bCs/>
          <w:sz w:val="20"/>
          <w:szCs w:val="20"/>
        </w:rPr>
        <w:t xml:space="preserve"> pre vyhodnocovanie </w:t>
      </w:r>
      <w:r w:rsidR="008A23A5" w:rsidRPr="00367A47">
        <w:rPr>
          <w:rFonts w:ascii="Arial" w:hAnsi="Arial" w:cs="Arial" w:hint="eastAsia"/>
          <w:bCs/>
          <w:sz w:val="20"/>
          <w:szCs w:val="20"/>
        </w:rPr>
        <w:t>ž</w:t>
      </w:r>
      <w:r w:rsidR="008A23A5" w:rsidRPr="00367A47">
        <w:rPr>
          <w:rFonts w:ascii="Arial" w:hAnsi="Arial" w:cs="Arial"/>
          <w:bCs/>
          <w:sz w:val="20"/>
          <w:szCs w:val="20"/>
        </w:rPr>
        <w:t>iadost</w:t>
      </w:r>
      <w:r w:rsidR="008A23A5" w:rsidRPr="00367A47">
        <w:rPr>
          <w:rFonts w:ascii="Arial" w:hAnsi="Arial" w:cs="Arial" w:hint="eastAsia"/>
          <w:bCs/>
          <w:sz w:val="20"/>
          <w:szCs w:val="20"/>
        </w:rPr>
        <w:t>í</w:t>
      </w:r>
      <w:r w:rsidR="008A23A5" w:rsidRPr="00367A47">
        <w:rPr>
          <w:rFonts w:ascii="Arial" w:hAnsi="Arial" w:cs="Arial"/>
          <w:bCs/>
          <w:sz w:val="20"/>
          <w:szCs w:val="20"/>
        </w:rPr>
        <w:t xml:space="preserve"> a zd</w:t>
      </w:r>
      <w:r w:rsidR="008A23A5" w:rsidRPr="00367A47">
        <w:rPr>
          <w:rFonts w:ascii="Arial" w:hAnsi="Arial" w:cs="Arial" w:hint="eastAsia"/>
          <w:bCs/>
          <w:sz w:val="20"/>
          <w:szCs w:val="20"/>
        </w:rPr>
        <w:t>ô</w:t>
      </w:r>
      <w:r w:rsidR="008A23A5" w:rsidRPr="00367A47">
        <w:rPr>
          <w:rFonts w:ascii="Arial" w:hAnsi="Arial" w:cs="Arial"/>
          <w:bCs/>
          <w:sz w:val="20"/>
          <w:szCs w:val="20"/>
        </w:rPr>
        <w:t>vodnenie tohto rozhodnutia)</w:t>
      </w:r>
      <w:r w:rsidR="008A23A5">
        <w:rPr>
          <w:rFonts w:ascii="Arial" w:hAnsi="Arial" w:cs="Arial"/>
          <w:bCs/>
          <w:sz w:val="20"/>
          <w:szCs w:val="20"/>
        </w:rPr>
        <w:t xml:space="preserve">. </w:t>
      </w:r>
    </w:p>
    <w:p w:rsidR="0011463A" w:rsidRDefault="0011463A" w:rsidP="00507035">
      <w:pPr>
        <w:spacing w:before="120" w:after="120" w:line="360" w:lineRule="auto"/>
        <w:jc w:val="both"/>
        <w:rPr>
          <w:rFonts w:ascii="Arial" w:hAnsi="Arial" w:cs="Arial"/>
          <w:bCs/>
          <w:sz w:val="20"/>
          <w:szCs w:val="20"/>
        </w:rPr>
      </w:pPr>
      <w:r>
        <w:rPr>
          <w:rFonts w:ascii="Arial" w:hAnsi="Arial" w:cs="Arial"/>
          <w:bCs/>
          <w:sz w:val="20"/>
          <w:szCs w:val="20"/>
        </w:rPr>
        <w:t xml:space="preserve">- </w:t>
      </w:r>
      <w:r w:rsidR="008A23A5">
        <w:rPr>
          <w:rFonts w:ascii="Arial" w:hAnsi="Arial" w:cs="Arial"/>
          <w:bCs/>
          <w:sz w:val="20"/>
          <w:szCs w:val="20"/>
        </w:rPr>
        <w:t xml:space="preserve">informácie o neschválených žiadostiach o NFP v rozsahu: </w:t>
      </w:r>
      <w:r w:rsidR="008A23A5" w:rsidRPr="00367A47">
        <w:rPr>
          <w:rFonts w:ascii="Arial" w:hAnsi="Arial" w:cs="Arial"/>
          <w:bCs/>
          <w:sz w:val="20"/>
          <w:szCs w:val="20"/>
        </w:rPr>
        <w:t>meno a priezvisko fyzickej osoby alebo obchodn</w:t>
      </w:r>
      <w:r w:rsidR="008A23A5" w:rsidRPr="00367A47">
        <w:rPr>
          <w:rFonts w:ascii="Arial" w:hAnsi="Arial" w:cs="Arial" w:hint="eastAsia"/>
          <w:bCs/>
          <w:sz w:val="20"/>
          <w:szCs w:val="20"/>
        </w:rPr>
        <w:t>é</w:t>
      </w:r>
      <w:r w:rsidR="008A23A5" w:rsidRPr="00367A47">
        <w:rPr>
          <w:rFonts w:ascii="Arial" w:hAnsi="Arial" w:cs="Arial"/>
          <w:bCs/>
          <w:sz w:val="20"/>
          <w:szCs w:val="20"/>
        </w:rPr>
        <w:t xml:space="preserve"> meno pr</w:t>
      </w:r>
      <w:r w:rsidR="008A23A5" w:rsidRPr="00367A47">
        <w:rPr>
          <w:rFonts w:ascii="Arial" w:hAnsi="Arial" w:cs="Arial" w:hint="eastAsia"/>
          <w:bCs/>
          <w:sz w:val="20"/>
          <w:szCs w:val="20"/>
        </w:rPr>
        <w:t>á</w:t>
      </w:r>
      <w:r w:rsidR="008A23A5" w:rsidRPr="00367A47">
        <w:rPr>
          <w:rFonts w:ascii="Arial" w:hAnsi="Arial" w:cs="Arial"/>
          <w:bCs/>
          <w:sz w:val="20"/>
          <w:szCs w:val="20"/>
        </w:rPr>
        <w:t>vnickej osoby, ktorej nebola schv</w:t>
      </w:r>
      <w:r w:rsidR="008A23A5" w:rsidRPr="00367A47">
        <w:rPr>
          <w:rFonts w:ascii="Arial" w:hAnsi="Arial" w:cs="Arial" w:hint="eastAsia"/>
          <w:bCs/>
          <w:sz w:val="20"/>
          <w:szCs w:val="20"/>
        </w:rPr>
        <w:t>á</w:t>
      </w:r>
      <w:r w:rsidR="008A23A5" w:rsidRPr="00367A47">
        <w:rPr>
          <w:rFonts w:ascii="Arial" w:hAnsi="Arial" w:cs="Arial"/>
          <w:bCs/>
          <w:sz w:val="20"/>
          <w:szCs w:val="20"/>
        </w:rPr>
        <w:t>len</w:t>
      </w:r>
      <w:r w:rsidR="008A23A5" w:rsidRPr="00367A47">
        <w:rPr>
          <w:rFonts w:ascii="Arial" w:hAnsi="Arial" w:cs="Arial" w:hint="eastAsia"/>
          <w:bCs/>
          <w:sz w:val="20"/>
          <w:szCs w:val="20"/>
        </w:rPr>
        <w:t>á</w:t>
      </w:r>
      <w:r w:rsidR="008A23A5" w:rsidRPr="00367A47">
        <w:rPr>
          <w:rFonts w:ascii="Arial" w:hAnsi="Arial" w:cs="Arial"/>
          <w:bCs/>
          <w:sz w:val="20"/>
          <w:szCs w:val="20"/>
        </w:rPr>
        <w:t xml:space="preserve"> pomoc a podpora s uveden</w:t>
      </w:r>
      <w:r w:rsidR="008A23A5" w:rsidRPr="00367A47">
        <w:rPr>
          <w:rFonts w:ascii="Arial" w:hAnsi="Arial" w:cs="Arial" w:hint="eastAsia"/>
          <w:bCs/>
          <w:sz w:val="20"/>
          <w:szCs w:val="20"/>
        </w:rPr>
        <w:t>í</w:t>
      </w:r>
      <w:r w:rsidR="008A23A5" w:rsidRPr="00367A47">
        <w:rPr>
          <w:rFonts w:ascii="Arial" w:hAnsi="Arial" w:cs="Arial"/>
          <w:bCs/>
          <w:sz w:val="20"/>
          <w:szCs w:val="20"/>
        </w:rPr>
        <w:t>m inform</w:t>
      </w:r>
      <w:r w:rsidR="008A23A5" w:rsidRPr="00367A47">
        <w:rPr>
          <w:rFonts w:ascii="Arial" w:hAnsi="Arial" w:cs="Arial" w:hint="eastAsia"/>
          <w:bCs/>
          <w:sz w:val="20"/>
          <w:szCs w:val="20"/>
        </w:rPr>
        <w:t>á</w:t>
      </w:r>
      <w:r w:rsidR="008A23A5" w:rsidRPr="00367A47">
        <w:rPr>
          <w:rFonts w:ascii="Arial" w:hAnsi="Arial" w:cs="Arial"/>
          <w:bCs/>
          <w:sz w:val="20"/>
          <w:szCs w:val="20"/>
        </w:rPr>
        <w:t>cie o d</w:t>
      </w:r>
      <w:r w:rsidR="008A23A5" w:rsidRPr="00367A47">
        <w:rPr>
          <w:rFonts w:ascii="Arial" w:hAnsi="Arial" w:cs="Arial" w:hint="eastAsia"/>
          <w:bCs/>
          <w:sz w:val="20"/>
          <w:szCs w:val="20"/>
        </w:rPr>
        <w:t>ô</w:t>
      </w:r>
      <w:r w:rsidR="008A23A5" w:rsidRPr="00367A47">
        <w:rPr>
          <w:rFonts w:ascii="Arial" w:hAnsi="Arial" w:cs="Arial"/>
          <w:bCs/>
          <w:sz w:val="20"/>
          <w:szCs w:val="20"/>
        </w:rPr>
        <w:t>vodoch jej neschv</w:t>
      </w:r>
      <w:r w:rsidR="008A23A5" w:rsidRPr="00367A47">
        <w:rPr>
          <w:rFonts w:ascii="Arial" w:hAnsi="Arial" w:cs="Arial" w:hint="eastAsia"/>
          <w:bCs/>
          <w:sz w:val="20"/>
          <w:szCs w:val="20"/>
        </w:rPr>
        <w:t>á</w:t>
      </w:r>
      <w:r w:rsidR="008A23A5" w:rsidRPr="00367A47">
        <w:rPr>
          <w:rFonts w:ascii="Arial" w:hAnsi="Arial" w:cs="Arial"/>
          <w:bCs/>
          <w:sz w:val="20"/>
          <w:szCs w:val="20"/>
        </w:rPr>
        <w:t>lenia, n</w:t>
      </w:r>
      <w:r w:rsidR="008A23A5" w:rsidRPr="00367A47">
        <w:rPr>
          <w:rFonts w:ascii="Arial" w:hAnsi="Arial" w:cs="Arial" w:hint="eastAsia"/>
          <w:bCs/>
          <w:sz w:val="20"/>
          <w:szCs w:val="20"/>
        </w:rPr>
        <w:t>á</w:t>
      </w:r>
      <w:r w:rsidR="008A23A5" w:rsidRPr="00367A47">
        <w:rPr>
          <w:rFonts w:ascii="Arial" w:hAnsi="Arial" w:cs="Arial"/>
          <w:bCs/>
          <w:sz w:val="20"/>
          <w:szCs w:val="20"/>
        </w:rPr>
        <w:t>zov projektu, zlo</w:t>
      </w:r>
      <w:r w:rsidR="008A23A5" w:rsidRPr="00367A47">
        <w:rPr>
          <w:rFonts w:ascii="Arial" w:hAnsi="Arial" w:cs="Arial" w:hint="eastAsia"/>
          <w:bCs/>
          <w:sz w:val="20"/>
          <w:szCs w:val="20"/>
        </w:rPr>
        <w:t>ž</w:t>
      </w:r>
      <w:r w:rsidR="008A23A5" w:rsidRPr="00367A47">
        <w:rPr>
          <w:rFonts w:ascii="Arial" w:hAnsi="Arial" w:cs="Arial"/>
          <w:bCs/>
          <w:sz w:val="20"/>
          <w:szCs w:val="20"/>
        </w:rPr>
        <w:t>enie v</w:t>
      </w:r>
      <w:r w:rsidR="008A23A5" w:rsidRPr="00367A47">
        <w:rPr>
          <w:rFonts w:ascii="Arial" w:hAnsi="Arial" w:cs="Arial" w:hint="eastAsia"/>
          <w:bCs/>
          <w:sz w:val="20"/>
          <w:szCs w:val="20"/>
        </w:rPr>
        <w:t>ý</w:t>
      </w:r>
      <w:r w:rsidR="008A23A5" w:rsidRPr="00367A47">
        <w:rPr>
          <w:rFonts w:ascii="Arial" w:hAnsi="Arial" w:cs="Arial"/>
          <w:bCs/>
          <w:sz w:val="20"/>
          <w:szCs w:val="20"/>
        </w:rPr>
        <w:t>berovej komisie, ak k vydaniu rozhodnutia o neschv</w:t>
      </w:r>
      <w:r w:rsidR="008A23A5" w:rsidRPr="00367A47">
        <w:rPr>
          <w:rFonts w:ascii="Arial" w:hAnsi="Arial" w:cs="Arial" w:hint="eastAsia"/>
          <w:bCs/>
          <w:sz w:val="20"/>
          <w:szCs w:val="20"/>
        </w:rPr>
        <w:t>á</w:t>
      </w:r>
      <w:r w:rsidR="008A23A5" w:rsidRPr="00367A47">
        <w:rPr>
          <w:rFonts w:ascii="Arial" w:hAnsi="Arial" w:cs="Arial"/>
          <w:bCs/>
          <w:sz w:val="20"/>
          <w:szCs w:val="20"/>
        </w:rPr>
        <w:t>len</w:t>
      </w:r>
      <w:r w:rsidR="008A23A5" w:rsidRPr="00367A47">
        <w:rPr>
          <w:rFonts w:ascii="Arial" w:hAnsi="Arial" w:cs="Arial" w:hint="eastAsia"/>
          <w:bCs/>
          <w:sz w:val="20"/>
          <w:szCs w:val="20"/>
        </w:rPr>
        <w:t>í</w:t>
      </w:r>
      <w:r w:rsidR="008A23A5" w:rsidRPr="00367A47">
        <w:rPr>
          <w:rFonts w:ascii="Arial" w:hAnsi="Arial" w:cs="Arial"/>
          <w:bCs/>
          <w:sz w:val="20"/>
          <w:szCs w:val="20"/>
        </w:rPr>
        <w:t xml:space="preserve"> </w:t>
      </w:r>
      <w:r w:rsidR="008A23A5" w:rsidRPr="00367A47">
        <w:rPr>
          <w:rFonts w:ascii="Arial" w:hAnsi="Arial" w:cs="Arial" w:hint="eastAsia"/>
          <w:bCs/>
          <w:sz w:val="20"/>
          <w:szCs w:val="20"/>
        </w:rPr>
        <w:t>ž</w:t>
      </w:r>
      <w:r w:rsidR="008A23A5" w:rsidRPr="00367A47">
        <w:rPr>
          <w:rFonts w:ascii="Arial" w:hAnsi="Arial" w:cs="Arial"/>
          <w:bCs/>
          <w:sz w:val="20"/>
          <w:szCs w:val="20"/>
        </w:rPr>
        <w:t>iadosti do</w:t>
      </w:r>
      <w:r w:rsidR="008A23A5" w:rsidRPr="00367A47">
        <w:rPr>
          <w:rFonts w:ascii="Arial" w:hAnsi="Arial" w:cs="Arial" w:hint="eastAsia"/>
          <w:bCs/>
          <w:sz w:val="20"/>
          <w:szCs w:val="20"/>
        </w:rPr>
        <w:t>š</w:t>
      </w:r>
      <w:r w:rsidR="008A23A5" w:rsidRPr="00367A47">
        <w:rPr>
          <w:rFonts w:ascii="Arial" w:hAnsi="Arial" w:cs="Arial"/>
          <w:bCs/>
          <w:sz w:val="20"/>
          <w:szCs w:val="20"/>
        </w:rPr>
        <w:t>lo z d</w:t>
      </w:r>
      <w:r w:rsidR="008A23A5" w:rsidRPr="00367A47">
        <w:rPr>
          <w:rFonts w:ascii="Arial" w:hAnsi="Arial" w:cs="Arial" w:hint="eastAsia"/>
          <w:bCs/>
          <w:sz w:val="20"/>
          <w:szCs w:val="20"/>
        </w:rPr>
        <w:t>ô</w:t>
      </w:r>
      <w:r w:rsidR="008A23A5" w:rsidRPr="00367A47">
        <w:rPr>
          <w:rFonts w:ascii="Arial" w:hAnsi="Arial" w:cs="Arial"/>
          <w:bCs/>
          <w:sz w:val="20"/>
          <w:szCs w:val="20"/>
        </w:rPr>
        <w:t>vodu nesplnenia v</w:t>
      </w:r>
      <w:r w:rsidR="008A23A5" w:rsidRPr="00367A47">
        <w:rPr>
          <w:rFonts w:ascii="Arial" w:hAnsi="Arial" w:cs="Arial" w:hint="eastAsia"/>
          <w:bCs/>
          <w:sz w:val="20"/>
          <w:szCs w:val="20"/>
        </w:rPr>
        <w:t>ý</w:t>
      </w:r>
      <w:r w:rsidR="008A23A5" w:rsidRPr="00367A47">
        <w:rPr>
          <w:rFonts w:ascii="Arial" w:hAnsi="Arial" w:cs="Arial"/>
          <w:bCs/>
          <w:sz w:val="20"/>
          <w:szCs w:val="20"/>
        </w:rPr>
        <w:t>berov</w:t>
      </w:r>
      <w:r w:rsidR="008A23A5" w:rsidRPr="00367A47">
        <w:rPr>
          <w:rFonts w:ascii="Arial" w:hAnsi="Arial" w:cs="Arial" w:hint="eastAsia"/>
          <w:bCs/>
          <w:sz w:val="20"/>
          <w:szCs w:val="20"/>
        </w:rPr>
        <w:t>ý</w:t>
      </w:r>
      <w:r w:rsidR="008A23A5" w:rsidRPr="00367A47">
        <w:rPr>
          <w:rFonts w:ascii="Arial" w:hAnsi="Arial" w:cs="Arial"/>
          <w:bCs/>
          <w:sz w:val="20"/>
          <w:szCs w:val="20"/>
        </w:rPr>
        <w:t>ch krit</w:t>
      </w:r>
      <w:r w:rsidR="008A23A5" w:rsidRPr="00367A47">
        <w:rPr>
          <w:rFonts w:ascii="Arial" w:hAnsi="Arial" w:cs="Arial" w:hint="eastAsia"/>
          <w:bCs/>
          <w:sz w:val="20"/>
          <w:szCs w:val="20"/>
        </w:rPr>
        <w:t>é</w:t>
      </w:r>
      <w:r w:rsidR="008A23A5" w:rsidRPr="00367A47">
        <w:rPr>
          <w:rFonts w:ascii="Arial" w:hAnsi="Arial" w:cs="Arial"/>
          <w:bCs/>
          <w:sz w:val="20"/>
          <w:szCs w:val="20"/>
        </w:rPr>
        <w:t>ri</w:t>
      </w:r>
      <w:r w:rsidR="008A23A5" w:rsidRPr="00367A47">
        <w:rPr>
          <w:rFonts w:ascii="Arial" w:hAnsi="Arial" w:cs="Arial" w:hint="eastAsia"/>
          <w:bCs/>
          <w:sz w:val="20"/>
          <w:szCs w:val="20"/>
        </w:rPr>
        <w:t>í</w:t>
      </w:r>
      <w:r w:rsidR="008A23A5" w:rsidRPr="00367A47">
        <w:rPr>
          <w:rFonts w:ascii="Arial" w:hAnsi="Arial" w:cs="Arial"/>
          <w:bCs/>
          <w:sz w:val="20"/>
          <w:szCs w:val="20"/>
        </w:rPr>
        <w:t xml:space="preserve">, </w:t>
      </w:r>
    </w:p>
    <w:p w:rsidR="002416B1" w:rsidRDefault="0011463A" w:rsidP="00507035">
      <w:pPr>
        <w:spacing w:before="120" w:after="120" w:line="360" w:lineRule="auto"/>
        <w:jc w:val="both"/>
        <w:rPr>
          <w:rFonts w:ascii="Arial" w:hAnsi="Arial" w:cs="Arial"/>
          <w:sz w:val="20"/>
          <w:szCs w:val="20"/>
        </w:rPr>
      </w:pPr>
      <w:r>
        <w:rPr>
          <w:rFonts w:ascii="Arial" w:hAnsi="Arial" w:cs="Arial"/>
          <w:bCs/>
          <w:sz w:val="20"/>
          <w:szCs w:val="20"/>
        </w:rPr>
        <w:t xml:space="preserve">- </w:t>
      </w:r>
      <w:r w:rsidR="008A23A5" w:rsidRPr="00367A47">
        <w:rPr>
          <w:rFonts w:ascii="Arial" w:hAnsi="Arial" w:cs="Arial"/>
          <w:bCs/>
          <w:sz w:val="20"/>
          <w:szCs w:val="20"/>
        </w:rPr>
        <w:t>zoznam odborn</w:t>
      </w:r>
      <w:r w:rsidR="008A23A5" w:rsidRPr="00367A47">
        <w:rPr>
          <w:rFonts w:ascii="Arial" w:hAnsi="Arial" w:cs="Arial" w:hint="eastAsia"/>
          <w:bCs/>
          <w:sz w:val="20"/>
          <w:szCs w:val="20"/>
        </w:rPr>
        <w:t>ý</w:t>
      </w:r>
      <w:r w:rsidR="008A23A5" w:rsidRPr="00367A47">
        <w:rPr>
          <w:rFonts w:ascii="Arial" w:hAnsi="Arial" w:cs="Arial"/>
          <w:bCs/>
          <w:sz w:val="20"/>
          <w:szCs w:val="20"/>
        </w:rPr>
        <w:t>ch hodnotite</w:t>
      </w:r>
      <w:r w:rsidR="008A23A5" w:rsidRPr="00367A47">
        <w:rPr>
          <w:rFonts w:ascii="Arial" w:hAnsi="Arial" w:cs="Arial" w:hint="eastAsia"/>
          <w:bCs/>
          <w:sz w:val="20"/>
          <w:szCs w:val="20"/>
        </w:rPr>
        <w:t>ľ</w:t>
      </w:r>
      <w:r w:rsidR="008A23A5" w:rsidRPr="00367A47">
        <w:rPr>
          <w:rFonts w:ascii="Arial" w:hAnsi="Arial" w:cs="Arial"/>
          <w:bCs/>
          <w:sz w:val="20"/>
          <w:szCs w:val="20"/>
        </w:rPr>
        <w:t>ov, ak k vydaniu rozhodnutia o neschv</w:t>
      </w:r>
      <w:r w:rsidR="008A23A5" w:rsidRPr="00367A47">
        <w:rPr>
          <w:rFonts w:ascii="Arial" w:hAnsi="Arial" w:cs="Arial" w:hint="eastAsia"/>
          <w:bCs/>
          <w:sz w:val="20"/>
          <w:szCs w:val="20"/>
        </w:rPr>
        <w:t>á</w:t>
      </w:r>
      <w:r w:rsidR="008A23A5" w:rsidRPr="00367A47">
        <w:rPr>
          <w:rFonts w:ascii="Arial" w:hAnsi="Arial" w:cs="Arial"/>
          <w:bCs/>
          <w:sz w:val="20"/>
          <w:szCs w:val="20"/>
        </w:rPr>
        <w:t>len</w:t>
      </w:r>
      <w:r w:rsidR="008A23A5" w:rsidRPr="00367A47">
        <w:rPr>
          <w:rFonts w:ascii="Arial" w:hAnsi="Arial" w:cs="Arial" w:hint="eastAsia"/>
          <w:bCs/>
          <w:sz w:val="20"/>
          <w:szCs w:val="20"/>
        </w:rPr>
        <w:t>í</w:t>
      </w:r>
      <w:r w:rsidR="008A23A5" w:rsidRPr="00367A47">
        <w:rPr>
          <w:rFonts w:ascii="Arial" w:hAnsi="Arial" w:cs="Arial"/>
          <w:bCs/>
          <w:sz w:val="20"/>
          <w:szCs w:val="20"/>
        </w:rPr>
        <w:t xml:space="preserve"> </w:t>
      </w:r>
      <w:r w:rsidR="008A23A5" w:rsidRPr="00367A47">
        <w:rPr>
          <w:rFonts w:ascii="Arial" w:hAnsi="Arial" w:cs="Arial" w:hint="eastAsia"/>
          <w:bCs/>
          <w:sz w:val="20"/>
          <w:szCs w:val="20"/>
        </w:rPr>
        <w:t>ž</w:t>
      </w:r>
      <w:r w:rsidR="008A23A5" w:rsidRPr="00367A47">
        <w:rPr>
          <w:rFonts w:ascii="Arial" w:hAnsi="Arial" w:cs="Arial"/>
          <w:bCs/>
          <w:sz w:val="20"/>
          <w:szCs w:val="20"/>
        </w:rPr>
        <w:t>iadosti do</w:t>
      </w:r>
      <w:r w:rsidR="008A23A5" w:rsidRPr="00367A47">
        <w:rPr>
          <w:rFonts w:ascii="Arial" w:hAnsi="Arial" w:cs="Arial" w:hint="eastAsia"/>
          <w:bCs/>
          <w:sz w:val="20"/>
          <w:szCs w:val="20"/>
        </w:rPr>
        <w:t>š</w:t>
      </w:r>
      <w:r w:rsidR="008A23A5" w:rsidRPr="00367A47">
        <w:rPr>
          <w:rFonts w:ascii="Arial" w:hAnsi="Arial" w:cs="Arial"/>
          <w:bCs/>
          <w:sz w:val="20"/>
          <w:szCs w:val="20"/>
        </w:rPr>
        <w:t>lo z d</w:t>
      </w:r>
      <w:r w:rsidR="008A23A5" w:rsidRPr="00367A47">
        <w:rPr>
          <w:rFonts w:ascii="Arial" w:hAnsi="Arial" w:cs="Arial" w:hint="eastAsia"/>
          <w:bCs/>
          <w:sz w:val="20"/>
          <w:szCs w:val="20"/>
        </w:rPr>
        <w:t>ô</w:t>
      </w:r>
      <w:r w:rsidR="008A23A5" w:rsidRPr="00367A47">
        <w:rPr>
          <w:rFonts w:ascii="Arial" w:hAnsi="Arial" w:cs="Arial"/>
          <w:bCs/>
          <w:sz w:val="20"/>
          <w:szCs w:val="20"/>
        </w:rPr>
        <w:t>vodu nesplnenia hodnotiacich krit</w:t>
      </w:r>
      <w:r w:rsidR="008A23A5" w:rsidRPr="00367A47">
        <w:rPr>
          <w:rFonts w:ascii="Arial" w:hAnsi="Arial" w:cs="Arial" w:hint="eastAsia"/>
          <w:bCs/>
          <w:sz w:val="20"/>
          <w:szCs w:val="20"/>
        </w:rPr>
        <w:t>é</w:t>
      </w:r>
      <w:r w:rsidR="008A23A5" w:rsidRPr="00367A47">
        <w:rPr>
          <w:rFonts w:ascii="Arial" w:hAnsi="Arial" w:cs="Arial"/>
          <w:bCs/>
          <w:sz w:val="20"/>
          <w:szCs w:val="20"/>
        </w:rPr>
        <w:t>ri</w:t>
      </w:r>
      <w:r w:rsidR="008A23A5" w:rsidRPr="00367A47">
        <w:rPr>
          <w:rFonts w:ascii="Arial" w:hAnsi="Arial" w:cs="Arial" w:hint="eastAsia"/>
          <w:bCs/>
          <w:sz w:val="20"/>
          <w:szCs w:val="20"/>
        </w:rPr>
        <w:t>í</w:t>
      </w:r>
      <w:r w:rsidR="008A23A5" w:rsidRPr="00367A47">
        <w:rPr>
          <w:rFonts w:ascii="Arial" w:hAnsi="Arial" w:cs="Arial"/>
          <w:bCs/>
          <w:sz w:val="20"/>
          <w:szCs w:val="20"/>
        </w:rPr>
        <w:t xml:space="preserve"> a inform</w:t>
      </w:r>
      <w:r w:rsidR="008A23A5" w:rsidRPr="00367A47">
        <w:rPr>
          <w:rFonts w:ascii="Arial" w:hAnsi="Arial" w:cs="Arial" w:hint="eastAsia"/>
          <w:bCs/>
          <w:sz w:val="20"/>
          <w:szCs w:val="20"/>
        </w:rPr>
        <w:t>á</w:t>
      </w:r>
      <w:r w:rsidR="008A23A5" w:rsidRPr="00367A47">
        <w:rPr>
          <w:rFonts w:ascii="Arial" w:hAnsi="Arial" w:cs="Arial"/>
          <w:bCs/>
          <w:sz w:val="20"/>
          <w:szCs w:val="20"/>
        </w:rPr>
        <w:t>ciu o tom, v ktor</w:t>
      </w:r>
      <w:r w:rsidR="008A23A5" w:rsidRPr="00367A47">
        <w:rPr>
          <w:rFonts w:ascii="Arial" w:hAnsi="Arial" w:cs="Arial" w:hint="eastAsia"/>
          <w:bCs/>
          <w:sz w:val="20"/>
          <w:szCs w:val="20"/>
        </w:rPr>
        <w:t>ý</w:t>
      </w:r>
      <w:r w:rsidR="008A23A5" w:rsidRPr="00367A47">
        <w:rPr>
          <w:rFonts w:ascii="Arial" w:hAnsi="Arial" w:cs="Arial"/>
          <w:bCs/>
          <w:sz w:val="20"/>
          <w:szCs w:val="20"/>
        </w:rPr>
        <w:t>ch pr</w:t>
      </w:r>
      <w:r w:rsidR="008A23A5" w:rsidRPr="00367A47">
        <w:rPr>
          <w:rFonts w:ascii="Arial" w:hAnsi="Arial" w:cs="Arial" w:hint="eastAsia"/>
          <w:bCs/>
          <w:sz w:val="20"/>
          <w:szCs w:val="20"/>
        </w:rPr>
        <w:t>í</w:t>
      </w:r>
      <w:r w:rsidR="008A23A5" w:rsidRPr="00367A47">
        <w:rPr>
          <w:rFonts w:ascii="Arial" w:hAnsi="Arial" w:cs="Arial"/>
          <w:bCs/>
          <w:sz w:val="20"/>
          <w:szCs w:val="20"/>
        </w:rPr>
        <w:t xml:space="preserve">padoch rozhodol </w:t>
      </w:r>
      <w:r>
        <w:rPr>
          <w:rFonts w:ascii="Arial" w:hAnsi="Arial" w:cs="Arial"/>
          <w:bCs/>
          <w:sz w:val="20"/>
          <w:szCs w:val="20"/>
        </w:rPr>
        <w:t>RO</w:t>
      </w:r>
      <w:r w:rsidR="008A23A5" w:rsidRPr="00367A47">
        <w:rPr>
          <w:rFonts w:ascii="Arial" w:hAnsi="Arial" w:cs="Arial"/>
          <w:bCs/>
          <w:sz w:val="20"/>
          <w:szCs w:val="20"/>
        </w:rPr>
        <w:t xml:space="preserve"> o neschv</w:t>
      </w:r>
      <w:r w:rsidR="008A23A5" w:rsidRPr="00367A47">
        <w:rPr>
          <w:rFonts w:ascii="Arial" w:hAnsi="Arial" w:cs="Arial" w:hint="eastAsia"/>
          <w:bCs/>
          <w:sz w:val="20"/>
          <w:szCs w:val="20"/>
        </w:rPr>
        <w:t>á</w:t>
      </w:r>
      <w:r w:rsidR="008A23A5" w:rsidRPr="00367A47">
        <w:rPr>
          <w:rFonts w:ascii="Arial" w:hAnsi="Arial" w:cs="Arial"/>
          <w:bCs/>
          <w:sz w:val="20"/>
          <w:szCs w:val="20"/>
        </w:rPr>
        <w:t>len</w:t>
      </w:r>
      <w:r w:rsidR="008A23A5" w:rsidRPr="00367A47">
        <w:rPr>
          <w:rFonts w:ascii="Arial" w:hAnsi="Arial" w:cs="Arial" w:hint="eastAsia"/>
          <w:bCs/>
          <w:sz w:val="20"/>
          <w:szCs w:val="20"/>
        </w:rPr>
        <w:t>í</w:t>
      </w:r>
      <w:r w:rsidR="008A23A5" w:rsidRPr="00367A47">
        <w:rPr>
          <w:rFonts w:ascii="Arial" w:hAnsi="Arial" w:cs="Arial"/>
          <w:bCs/>
          <w:sz w:val="20"/>
          <w:szCs w:val="20"/>
        </w:rPr>
        <w:t xml:space="preserve"> </w:t>
      </w:r>
      <w:r w:rsidR="008A23A5" w:rsidRPr="00367A47">
        <w:rPr>
          <w:rFonts w:ascii="Arial" w:hAnsi="Arial" w:cs="Arial" w:hint="eastAsia"/>
          <w:bCs/>
          <w:sz w:val="20"/>
          <w:szCs w:val="20"/>
        </w:rPr>
        <w:t>ž</w:t>
      </w:r>
      <w:r w:rsidR="008A23A5" w:rsidRPr="00367A47">
        <w:rPr>
          <w:rFonts w:ascii="Arial" w:hAnsi="Arial" w:cs="Arial"/>
          <w:bCs/>
          <w:sz w:val="20"/>
          <w:szCs w:val="20"/>
        </w:rPr>
        <w:t>iadosti inak, ako navrhla komisia zriaden</w:t>
      </w:r>
      <w:r w:rsidR="008A23A5" w:rsidRPr="00367A47">
        <w:rPr>
          <w:rFonts w:ascii="Arial" w:hAnsi="Arial" w:cs="Arial" w:hint="eastAsia"/>
          <w:bCs/>
          <w:sz w:val="20"/>
          <w:szCs w:val="20"/>
        </w:rPr>
        <w:t>á</w:t>
      </w:r>
      <w:r w:rsidR="008A23A5" w:rsidRPr="00367A47">
        <w:rPr>
          <w:rFonts w:ascii="Arial" w:hAnsi="Arial" w:cs="Arial"/>
          <w:bCs/>
          <w:sz w:val="20"/>
          <w:szCs w:val="20"/>
        </w:rPr>
        <w:t xml:space="preserve"> pre vyhodnocovanie </w:t>
      </w:r>
      <w:r w:rsidR="008A23A5" w:rsidRPr="00367A47">
        <w:rPr>
          <w:rFonts w:ascii="Arial" w:hAnsi="Arial" w:cs="Arial" w:hint="eastAsia"/>
          <w:bCs/>
          <w:sz w:val="20"/>
          <w:szCs w:val="20"/>
        </w:rPr>
        <w:t>ž</w:t>
      </w:r>
      <w:r w:rsidR="008A23A5" w:rsidRPr="00367A47">
        <w:rPr>
          <w:rFonts w:ascii="Arial" w:hAnsi="Arial" w:cs="Arial"/>
          <w:bCs/>
          <w:sz w:val="20"/>
          <w:szCs w:val="20"/>
        </w:rPr>
        <w:t>iadost</w:t>
      </w:r>
      <w:r w:rsidR="008A23A5" w:rsidRPr="00367A47">
        <w:rPr>
          <w:rFonts w:ascii="Arial" w:hAnsi="Arial" w:cs="Arial" w:hint="eastAsia"/>
          <w:bCs/>
          <w:sz w:val="20"/>
          <w:szCs w:val="20"/>
        </w:rPr>
        <w:t>í</w:t>
      </w:r>
      <w:r w:rsidR="008A23A5" w:rsidRPr="00367A47">
        <w:rPr>
          <w:rFonts w:ascii="Arial" w:hAnsi="Arial" w:cs="Arial"/>
          <w:bCs/>
          <w:sz w:val="20"/>
          <w:szCs w:val="20"/>
        </w:rPr>
        <w:t xml:space="preserve"> a zd</w:t>
      </w:r>
      <w:r w:rsidR="008A23A5" w:rsidRPr="00367A47">
        <w:rPr>
          <w:rFonts w:ascii="Arial" w:hAnsi="Arial" w:cs="Arial" w:hint="eastAsia"/>
          <w:bCs/>
          <w:sz w:val="20"/>
          <w:szCs w:val="20"/>
        </w:rPr>
        <w:t>ô</w:t>
      </w:r>
      <w:r w:rsidR="008A23A5" w:rsidRPr="00367A47">
        <w:rPr>
          <w:rFonts w:ascii="Arial" w:hAnsi="Arial" w:cs="Arial"/>
          <w:bCs/>
          <w:sz w:val="20"/>
          <w:szCs w:val="20"/>
        </w:rPr>
        <w:t>vodnenie tohto rozhodnutia</w:t>
      </w:r>
      <w:r w:rsidR="008A23A5">
        <w:rPr>
          <w:rFonts w:ascii="Arial" w:hAnsi="Arial" w:cs="Arial"/>
          <w:bCs/>
          <w:sz w:val="20"/>
          <w:szCs w:val="20"/>
        </w:rPr>
        <w:t xml:space="preserve">. </w:t>
      </w:r>
      <w:r>
        <w:rPr>
          <w:rFonts w:ascii="Arial" w:hAnsi="Arial" w:cs="Arial"/>
          <w:iCs/>
          <w:sz w:val="20"/>
          <w:szCs w:val="20"/>
        </w:rPr>
        <w:t xml:space="preserve">Vyššie uvedené výzvy boli vyhlásené v súlade s </w:t>
      </w:r>
      <w:r w:rsidR="003F43DE" w:rsidRPr="00A322EA">
        <w:rPr>
          <w:rFonts w:ascii="Arial" w:hAnsi="Arial" w:cs="Arial"/>
          <w:i/>
          <w:iCs/>
          <w:sz w:val="20"/>
          <w:szCs w:val="20"/>
        </w:rPr>
        <w:t>Harmonogram výziev na predkladanie žiadostí o NFP z fondov EÚ prostredníctvom OP ŽP pre rok 201</w:t>
      </w:r>
      <w:r w:rsidR="003F43DE">
        <w:rPr>
          <w:rFonts w:ascii="Arial" w:hAnsi="Arial" w:cs="Arial"/>
          <w:i/>
          <w:iCs/>
          <w:sz w:val="20"/>
          <w:szCs w:val="20"/>
        </w:rPr>
        <w:t>2</w:t>
      </w:r>
      <w:r>
        <w:rPr>
          <w:rFonts w:ascii="Arial" w:hAnsi="Arial" w:cs="Arial"/>
          <w:i/>
          <w:iCs/>
          <w:sz w:val="20"/>
          <w:szCs w:val="20"/>
        </w:rPr>
        <w:t xml:space="preserve">. </w:t>
      </w:r>
      <w:r>
        <w:rPr>
          <w:rFonts w:ascii="Arial" w:hAnsi="Arial" w:cs="Arial"/>
          <w:iCs/>
          <w:sz w:val="20"/>
          <w:szCs w:val="20"/>
        </w:rPr>
        <w:t>Uvedený harmonogram výziev bol vypracovaný v súlade so Systémom riadenia ŠF a</w:t>
      </w:r>
      <w:r w:rsidR="00FB50AA">
        <w:rPr>
          <w:rFonts w:ascii="Arial" w:hAnsi="Arial" w:cs="Arial"/>
          <w:iCs/>
          <w:sz w:val="20"/>
          <w:szCs w:val="20"/>
        </w:rPr>
        <w:t> </w:t>
      </w:r>
      <w:r>
        <w:rPr>
          <w:rFonts w:ascii="Arial" w:hAnsi="Arial" w:cs="Arial"/>
          <w:iCs/>
          <w:sz w:val="20"/>
          <w:szCs w:val="20"/>
        </w:rPr>
        <w:t>KF</w:t>
      </w:r>
      <w:r w:rsidR="00FB50AA">
        <w:rPr>
          <w:rFonts w:ascii="Arial" w:hAnsi="Arial" w:cs="Arial"/>
          <w:iCs/>
          <w:sz w:val="20"/>
          <w:szCs w:val="20"/>
        </w:rPr>
        <w:t xml:space="preserve"> </w:t>
      </w:r>
      <w:r w:rsidR="003F43DE">
        <w:rPr>
          <w:rFonts w:ascii="Arial" w:hAnsi="Arial" w:cs="Arial"/>
          <w:iCs/>
          <w:sz w:val="20"/>
          <w:szCs w:val="20"/>
        </w:rPr>
        <w:t>s cieľom</w:t>
      </w:r>
      <w:r w:rsidR="003F43DE" w:rsidRPr="006A2BF3">
        <w:rPr>
          <w:rFonts w:ascii="Arial" w:hAnsi="Arial" w:cs="Arial"/>
          <w:iCs/>
          <w:sz w:val="20"/>
          <w:szCs w:val="20"/>
        </w:rPr>
        <w:t xml:space="preserve"> oboznámiť potenciálnych žiadateľov s predpokladanými termínmi zverejnenia výziev. </w:t>
      </w:r>
      <w:r w:rsidR="003F43DE">
        <w:rPr>
          <w:rFonts w:ascii="Arial" w:hAnsi="Arial" w:cs="Arial"/>
          <w:iCs/>
          <w:sz w:val="20"/>
          <w:szCs w:val="20"/>
        </w:rPr>
        <w:t xml:space="preserve">Harmonogram výziev </w:t>
      </w:r>
      <w:r w:rsidR="00FB50AA">
        <w:rPr>
          <w:rFonts w:ascii="Arial" w:hAnsi="Arial" w:cs="Arial"/>
          <w:iCs/>
          <w:sz w:val="20"/>
          <w:szCs w:val="20"/>
        </w:rPr>
        <w:t xml:space="preserve">vrátane jeho aktualizácie je zverejňovaný na webovom sídle OP ŽP </w:t>
      </w:r>
      <w:hyperlink r:id="rId20" w:history="1">
        <w:r w:rsidR="00FB50AA" w:rsidRPr="00A322EA">
          <w:rPr>
            <w:rStyle w:val="Hypertextovprepojenie"/>
            <w:rFonts w:ascii="Arial" w:hAnsi="Arial" w:cs="Arial"/>
            <w:sz w:val="20"/>
            <w:szCs w:val="20"/>
          </w:rPr>
          <w:t>http://www.opzp.sk/vyzvy/harmonogram-vyziev/</w:t>
        </w:r>
      </w:hyperlink>
      <w:r w:rsidR="00FB50AA">
        <w:rPr>
          <w:rStyle w:val="Hypertextovprepojenie"/>
          <w:rFonts w:ascii="Arial" w:hAnsi="Arial" w:cs="Arial"/>
          <w:sz w:val="20"/>
          <w:szCs w:val="20"/>
        </w:rPr>
        <w:t xml:space="preserve">. Harmonogram </w:t>
      </w:r>
      <w:r w:rsidR="003F43DE" w:rsidRPr="006A2BF3">
        <w:rPr>
          <w:rFonts w:ascii="Arial" w:hAnsi="Arial" w:cs="Arial"/>
          <w:iCs/>
          <w:sz w:val="20"/>
          <w:szCs w:val="20"/>
        </w:rPr>
        <w:t>bol v priebehu roka 201</w:t>
      </w:r>
      <w:r w:rsidR="003F43DE">
        <w:rPr>
          <w:rFonts w:ascii="Arial" w:hAnsi="Arial" w:cs="Arial"/>
          <w:iCs/>
          <w:sz w:val="20"/>
          <w:szCs w:val="20"/>
        </w:rPr>
        <w:t>2</w:t>
      </w:r>
      <w:r w:rsidR="003F43DE" w:rsidRPr="006A2BF3">
        <w:rPr>
          <w:rFonts w:ascii="Arial" w:hAnsi="Arial" w:cs="Arial"/>
          <w:iCs/>
          <w:sz w:val="20"/>
          <w:szCs w:val="20"/>
        </w:rPr>
        <w:t xml:space="preserve"> aktualizovaný </w:t>
      </w:r>
      <w:r w:rsidR="003F43DE">
        <w:rPr>
          <w:rFonts w:ascii="Arial" w:hAnsi="Arial" w:cs="Arial"/>
          <w:iCs/>
          <w:sz w:val="20"/>
          <w:szCs w:val="20"/>
        </w:rPr>
        <w:t>jeden</w:t>
      </w:r>
      <w:r w:rsidR="003F43DE" w:rsidRPr="006A2BF3">
        <w:rPr>
          <w:rFonts w:ascii="Arial" w:hAnsi="Arial" w:cs="Arial"/>
          <w:iCs/>
          <w:sz w:val="20"/>
          <w:szCs w:val="20"/>
        </w:rPr>
        <w:t xml:space="preserve"> krát</w:t>
      </w:r>
      <w:r w:rsidR="003F43DE">
        <w:rPr>
          <w:rFonts w:ascii="Arial" w:hAnsi="Arial" w:cs="Arial"/>
          <w:iCs/>
          <w:sz w:val="20"/>
          <w:szCs w:val="20"/>
        </w:rPr>
        <w:t xml:space="preserve"> v súvislosti </w:t>
      </w:r>
      <w:r w:rsidR="003F43DE" w:rsidRPr="006A2BF3">
        <w:rPr>
          <w:rFonts w:ascii="Arial" w:hAnsi="Arial" w:cs="Arial"/>
          <w:iCs/>
          <w:sz w:val="20"/>
          <w:szCs w:val="20"/>
        </w:rPr>
        <w:t xml:space="preserve"> s úpravou alokácie na jednotlivé plánované výzvy</w:t>
      </w:r>
      <w:r w:rsidR="003F43DE">
        <w:rPr>
          <w:rFonts w:ascii="Arial" w:hAnsi="Arial" w:cs="Arial"/>
          <w:iCs/>
          <w:sz w:val="20"/>
          <w:szCs w:val="20"/>
        </w:rPr>
        <w:t xml:space="preserve"> a</w:t>
      </w:r>
      <w:r w:rsidR="003F43DE" w:rsidRPr="006A2BF3">
        <w:rPr>
          <w:rFonts w:ascii="Arial" w:hAnsi="Arial" w:cs="Arial"/>
          <w:iCs/>
          <w:sz w:val="20"/>
          <w:szCs w:val="20"/>
        </w:rPr>
        <w:t xml:space="preserve"> s posunom termínov vyhlásenia niektorých výziev</w:t>
      </w:r>
      <w:r w:rsidR="003F43DE">
        <w:rPr>
          <w:rFonts w:ascii="Arial" w:hAnsi="Arial" w:cs="Arial"/>
          <w:iCs/>
          <w:sz w:val="20"/>
          <w:szCs w:val="20"/>
        </w:rPr>
        <w:t>.</w:t>
      </w:r>
      <w:r w:rsidR="003F43DE" w:rsidRPr="006A2BF3">
        <w:rPr>
          <w:rFonts w:ascii="Arial" w:hAnsi="Arial" w:cs="Arial"/>
          <w:iCs/>
          <w:sz w:val="20"/>
          <w:szCs w:val="20"/>
        </w:rPr>
        <w:t xml:space="preserve"> </w:t>
      </w:r>
      <w:r w:rsidR="00FB50AA">
        <w:rPr>
          <w:rFonts w:ascii="Arial" w:hAnsi="Arial" w:cs="Arial"/>
          <w:sz w:val="20"/>
          <w:szCs w:val="20"/>
        </w:rPr>
        <w:t>K</w:t>
      </w:r>
      <w:r w:rsidR="003F43DE" w:rsidRPr="004B33AE">
        <w:rPr>
          <w:rFonts w:ascii="Arial" w:hAnsi="Arial" w:cs="Arial"/>
          <w:sz w:val="20"/>
          <w:szCs w:val="20"/>
        </w:rPr>
        <w:t>oncom roka 201</w:t>
      </w:r>
      <w:r w:rsidR="003F43DE">
        <w:rPr>
          <w:rFonts w:ascii="Arial" w:hAnsi="Arial" w:cs="Arial"/>
          <w:sz w:val="20"/>
          <w:szCs w:val="20"/>
        </w:rPr>
        <w:t>2</w:t>
      </w:r>
      <w:r w:rsidR="003F43DE" w:rsidRPr="004B33AE">
        <w:rPr>
          <w:rFonts w:ascii="Arial" w:hAnsi="Arial" w:cs="Arial"/>
          <w:sz w:val="20"/>
          <w:szCs w:val="20"/>
        </w:rPr>
        <w:t xml:space="preserve"> </w:t>
      </w:r>
      <w:r w:rsidR="00FB50AA">
        <w:rPr>
          <w:rFonts w:ascii="Arial" w:hAnsi="Arial" w:cs="Arial"/>
          <w:sz w:val="20"/>
          <w:szCs w:val="20"/>
        </w:rPr>
        <w:t xml:space="preserve">bol vypracovaný harmonogram výziev pre rok 2013 a </w:t>
      </w:r>
      <w:r w:rsidR="003F43DE" w:rsidRPr="004B33AE">
        <w:rPr>
          <w:rFonts w:ascii="Arial" w:hAnsi="Arial" w:cs="Arial"/>
          <w:sz w:val="20"/>
          <w:szCs w:val="20"/>
        </w:rPr>
        <w:t xml:space="preserve"> </w:t>
      </w:r>
      <w:r w:rsidR="003F43DE">
        <w:rPr>
          <w:rFonts w:ascii="Arial" w:hAnsi="Arial" w:cs="Arial"/>
          <w:sz w:val="20"/>
          <w:szCs w:val="20"/>
        </w:rPr>
        <w:t>dňa 15.12.2012</w:t>
      </w:r>
      <w:r w:rsidR="00FB50AA">
        <w:rPr>
          <w:rFonts w:ascii="Arial" w:hAnsi="Arial" w:cs="Arial"/>
          <w:sz w:val="20"/>
          <w:szCs w:val="20"/>
        </w:rPr>
        <w:t xml:space="preserve"> bol zverejnený</w:t>
      </w:r>
      <w:r w:rsidR="003F43DE">
        <w:rPr>
          <w:rFonts w:ascii="Arial" w:hAnsi="Arial" w:cs="Arial"/>
          <w:sz w:val="20"/>
          <w:szCs w:val="20"/>
        </w:rPr>
        <w:t xml:space="preserve"> </w:t>
      </w:r>
      <w:r w:rsidR="003F43DE" w:rsidRPr="004B33AE">
        <w:rPr>
          <w:rFonts w:ascii="Arial" w:hAnsi="Arial" w:cs="Arial"/>
          <w:sz w:val="20"/>
          <w:szCs w:val="20"/>
        </w:rPr>
        <w:t>na webov</w:t>
      </w:r>
      <w:r w:rsidR="003F43DE">
        <w:rPr>
          <w:rFonts w:ascii="Arial" w:hAnsi="Arial" w:cs="Arial"/>
          <w:sz w:val="20"/>
          <w:szCs w:val="20"/>
        </w:rPr>
        <w:t>om</w:t>
      </w:r>
      <w:r w:rsidR="003F43DE" w:rsidRPr="004B33AE">
        <w:rPr>
          <w:rFonts w:ascii="Arial" w:hAnsi="Arial" w:cs="Arial"/>
          <w:sz w:val="20"/>
          <w:szCs w:val="20"/>
        </w:rPr>
        <w:t xml:space="preserve"> </w:t>
      </w:r>
      <w:r w:rsidR="003F43DE">
        <w:rPr>
          <w:rFonts w:ascii="Arial" w:hAnsi="Arial" w:cs="Arial"/>
          <w:sz w:val="20"/>
          <w:szCs w:val="20"/>
        </w:rPr>
        <w:t>sídle</w:t>
      </w:r>
      <w:r w:rsidR="003F43DE" w:rsidRPr="004B33AE">
        <w:rPr>
          <w:rFonts w:ascii="Arial" w:hAnsi="Arial" w:cs="Arial"/>
          <w:sz w:val="20"/>
          <w:szCs w:val="20"/>
        </w:rPr>
        <w:t xml:space="preserve"> MŽP SR </w:t>
      </w:r>
      <w:hyperlink r:id="rId21" w:history="1">
        <w:r w:rsidR="003F43DE" w:rsidRPr="00A322EA">
          <w:rPr>
            <w:rStyle w:val="Hypertextovprepojenie"/>
            <w:rFonts w:ascii="Arial" w:hAnsi="Arial" w:cs="Arial"/>
            <w:sz w:val="20"/>
            <w:szCs w:val="20"/>
          </w:rPr>
          <w:t>http://www.opzp.sk/vyzvy/harmonogram-vyziev/</w:t>
        </w:r>
      </w:hyperlink>
      <w:r w:rsidR="003F43DE" w:rsidRPr="004B33AE">
        <w:rPr>
          <w:rFonts w:ascii="Arial" w:hAnsi="Arial" w:cs="Arial"/>
          <w:sz w:val="20"/>
          <w:szCs w:val="20"/>
        </w:rPr>
        <w:t>.</w:t>
      </w:r>
    </w:p>
    <w:p w:rsidR="002416B1" w:rsidRPr="00A322EA" w:rsidRDefault="002416B1" w:rsidP="00507035">
      <w:pPr>
        <w:spacing w:before="120" w:after="120" w:line="360" w:lineRule="auto"/>
        <w:jc w:val="both"/>
        <w:rPr>
          <w:rFonts w:ascii="Arial" w:hAnsi="Arial" w:cs="Arial"/>
          <w:b/>
          <w:sz w:val="20"/>
          <w:szCs w:val="20"/>
        </w:rPr>
      </w:pPr>
      <w:r w:rsidRPr="00A322EA">
        <w:rPr>
          <w:rFonts w:ascii="Arial" w:hAnsi="Arial" w:cs="Arial"/>
          <w:b/>
          <w:sz w:val="20"/>
          <w:szCs w:val="20"/>
        </w:rPr>
        <w:t>Sledovanie vývoja implementácie od začiatku programového obdobia</w:t>
      </w:r>
    </w:p>
    <w:p w:rsidR="002416B1" w:rsidRPr="004B33AE" w:rsidRDefault="002416B1" w:rsidP="00507035">
      <w:pPr>
        <w:spacing w:before="120" w:after="120" w:line="360" w:lineRule="auto"/>
        <w:jc w:val="both"/>
        <w:rPr>
          <w:rFonts w:ascii="Arial" w:hAnsi="Arial" w:cs="Arial"/>
          <w:sz w:val="20"/>
          <w:szCs w:val="20"/>
        </w:rPr>
      </w:pPr>
      <w:r w:rsidRPr="004B33AE">
        <w:rPr>
          <w:rFonts w:ascii="Arial" w:hAnsi="Arial" w:cs="Arial"/>
          <w:sz w:val="20"/>
          <w:szCs w:val="20"/>
        </w:rPr>
        <w:t xml:space="preserve">Tab. č. </w:t>
      </w:r>
      <w:r w:rsidR="00165CA5">
        <w:rPr>
          <w:rFonts w:ascii="Arial" w:hAnsi="Arial" w:cs="Arial"/>
          <w:sz w:val="20"/>
          <w:szCs w:val="20"/>
        </w:rPr>
        <w:t>6</w:t>
      </w:r>
      <w:r w:rsidRPr="004B33AE">
        <w:rPr>
          <w:rFonts w:ascii="Arial" w:hAnsi="Arial" w:cs="Arial"/>
          <w:sz w:val="20"/>
          <w:szCs w:val="20"/>
        </w:rPr>
        <w:t xml:space="preserve">: Sledovanie </w:t>
      </w:r>
      <w:r w:rsidR="00AD1BF2">
        <w:rPr>
          <w:rFonts w:ascii="Arial" w:hAnsi="Arial" w:cs="Arial"/>
          <w:sz w:val="20"/>
          <w:szCs w:val="20"/>
        </w:rPr>
        <w:t xml:space="preserve">pokroku v implementácii </w:t>
      </w:r>
      <w:r w:rsidRPr="004B33AE">
        <w:rPr>
          <w:rFonts w:ascii="Arial" w:hAnsi="Arial" w:cs="Arial"/>
          <w:sz w:val="20"/>
          <w:szCs w:val="20"/>
        </w:rPr>
        <w:t xml:space="preserve"> programu k 31.12.201</w:t>
      </w:r>
      <w:r w:rsidR="00B66D05">
        <w:rPr>
          <w:rFonts w:ascii="Arial" w:hAnsi="Arial" w:cs="Arial"/>
          <w:sz w:val="20"/>
          <w:szCs w:val="20"/>
        </w:rPr>
        <w:t>2</w:t>
      </w:r>
      <w:r w:rsidRPr="004B33AE">
        <w:rPr>
          <w:rStyle w:val="Odkaznapoznmkupodiarou"/>
          <w:rFonts w:ascii="Arial" w:hAnsi="Arial" w:cs="Arial"/>
          <w:sz w:val="20"/>
          <w:szCs w:val="20"/>
        </w:rPr>
        <w:footnoteReference w:id="1"/>
      </w:r>
    </w:p>
    <w:tbl>
      <w:tblPr>
        <w:tblW w:w="5000" w:type="pct"/>
        <w:tblCellMar>
          <w:left w:w="70" w:type="dxa"/>
          <w:right w:w="70" w:type="dxa"/>
        </w:tblCellMar>
        <w:tblLook w:val="04A0" w:firstRow="1" w:lastRow="0" w:firstColumn="1" w:lastColumn="0" w:noHBand="0" w:noVBand="1"/>
      </w:tblPr>
      <w:tblGrid>
        <w:gridCol w:w="2088"/>
        <w:gridCol w:w="1164"/>
        <w:gridCol w:w="1164"/>
        <w:gridCol w:w="1323"/>
        <w:gridCol w:w="1323"/>
        <w:gridCol w:w="1074"/>
        <w:gridCol w:w="1074"/>
      </w:tblGrid>
      <w:tr w:rsidR="002D0009" w:rsidTr="002D0009">
        <w:trPr>
          <w:trHeight w:val="915"/>
        </w:trPr>
        <w:tc>
          <w:tcPr>
            <w:tcW w:w="1917" w:type="pct"/>
            <w:tcBorders>
              <w:top w:val="single" w:sz="8" w:space="0" w:color="auto"/>
              <w:left w:val="single" w:sz="8" w:space="0" w:color="auto"/>
              <w:bottom w:val="single" w:sz="8" w:space="0" w:color="auto"/>
              <w:right w:val="single" w:sz="8" w:space="0" w:color="auto"/>
            </w:tcBorders>
            <w:shd w:val="clear" w:color="000000" w:fill="D6E3BC"/>
            <w:vAlign w:val="center"/>
            <w:hideMark/>
          </w:tcPr>
          <w:p w:rsidR="002D0009" w:rsidRDefault="002D0009">
            <w:pPr>
              <w:jc w:val="center"/>
              <w:rPr>
                <w:rFonts w:ascii="Arial" w:hAnsi="Arial" w:cs="Arial"/>
                <w:b/>
                <w:bCs/>
                <w:color w:val="000000"/>
                <w:sz w:val="16"/>
                <w:szCs w:val="16"/>
              </w:rPr>
            </w:pPr>
            <w:r>
              <w:rPr>
                <w:rFonts w:ascii="Arial" w:hAnsi="Arial" w:cs="Arial"/>
                <w:b/>
                <w:bCs/>
                <w:color w:val="000000"/>
                <w:sz w:val="16"/>
                <w:szCs w:val="16"/>
              </w:rPr>
              <w:t>Prioritná os</w:t>
            </w:r>
          </w:p>
        </w:tc>
        <w:tc>
          <w:tcPr>
            <w:tcW w:w="510" w:type="pct"/>
            <w:tcBorders>
              <w:top w:val="single" w:sz="8" w:space="0" w:color="auto"/>
              <w:left w:val="nil"/>
              <w:bottom w:val="single" w:sz="8" w:space="0" w:color="auto"/>
              <w:right w:val="single" w:sz="8" w:space="0" w:color="auto"/>
            </w:tcBorders>
            <w:shd w:val="clear" w:color="000000" w:fill="D6E3BC"/>
            <w:vAlign w:val="center"/>
            <w:hideMark/>
          </w:tcPr>
          <w:p w:rsidR="002D0009" w:rsidRDefault="002D0009">
            <w:pPr>
              <w:jc w:val="center"/>
              <w:rPr>
                <w:rFonts w:ascii="Arial" w:hAnsi="Arial" w:cs="Arial"/>
                <w:b/>
                <w:bCs/>
                <w:color w:val="000000"/>
                <w:sz w:val="16"/>
                <w:szCs w:val="16"/>
              </w:rPr>
            </w:pPr>
            <w:r>
              <w:rPr>
                <w:rFonts w:ascii="Arial" w:hAnsi="Arial" w:cs="Arial"/>
                <w:b/>
                <w:bCs/>
                <w:color w:val="000000"/>
                <w:sz w:val="16"/>
                <w:szCs w:val="16"/>
              </w:rPr>
              <w:t>Počet prijatých ŽoNFP</w:t>
            </w:r>
          </w:p>
        </w:tc>
        <w:tc>
          <w:tcPr>
            <w:tcW w:w="510" w:type="pct"/>
            <w:tcBorders>
              <w:top w:val="single" w:sz="8" w:space="0" w:color="auto"/>
              <w:left w:val="nil"/>
              <w:bottom w:val="single" w:sz="8" w:space="0" w:color="auto"/>
              <w:right w:val="single" w:sz="8" w:space="0" w:color="auto"/>
            </w:tcBorders>
            <w:shd w:val="clear" w:color="000000" w:fill="D6E3BC"/>
            <w:vAlign w:val="center"/>
            <w:hideMark/>
          </w:tcPr>
          <w:p w:rsidR="002D0009" w:rsidRDefault="002D0009">
            <w:pPr>
              <w:jc w:val="center"/>
              <w:rPr>
                <w:rFonts w:ascii="Arial" w:hAnsi="Arial" w:cs="Arial"/>
                <w:b/>
                <w:bCs/>
                <w:color w:val="000000"/>
                <w:sz w:val="16"/>
                <w:szCs w:val="16"/>
              </w:rPr>
            </w:pPr>
            <w:r>
              <w:rPr>
                <w:rFonts w:ascii="Arial" w:hAnsi="Arial" w:cs="Arial"/>
                <w:b/>
                <w:bCs/>
                <w:color w:val="000000"/>
                <w:sz w:val="16"/>
                <w:szCs w:val="16"/>
              </w:rPr>
              <w:t>Počet schválených ŽoNFP</w:t>
            </w:r>
          </w:p>
        </w:tc>
        <w:tc>
          <w:tcPr>
            <w:tcW w:w="510" w:type="pct"/>
            <w:tcBorders>
              <w:top w:val="single" w:sz="8" w:space="0" w:color="auto"/>
              <w:left w:val="nil"/>
              <w:bottom w:val="single" w:sz="8" w:space="0" w:color="auto"/>
              <w:right w:val="single" w:sz="8" w:space="0" w:color="auto"/>
            </w:tcBorders>
            <w:shd w:val="clear" w:color="000000" w:fill="D6E3BC"/>
            <w:vAlign w:val="center"/>
            <w:hideMark/>
          </w:tcPr>
          <w:p w:rsidR="002D0009" w:rsidRDefault="002D0009">
            <w:pPr>
              <w:jc w:val="center"/>
              <w:rPr>
                <w:rFonts w:ascii="Arial" w:hAnsi="Arial" w:cs="Arial"/>
                <w:b/>
                <w:bCs/>
                <w:color w:val="000000"/>
                <w:sz w:val="16"/>
                <w:szCs w:val="16"/>
              </w:rPr>
            </w:pPr>
            <w:r>
              <w:rPr>
                <w:rFonts w:ascii="Arial" w:hAnsi="Arial" w:cs="Arial"/>
                <w:b/>
                <w:bCs/>
                <w:color w:val="000000"/>
                <w:sz w:val="16"/>
                <w:szCs w:val="16"/>
              </w:rPr>
              <w:t>Počet zazmluvnených projektov</w:t>
            </w:r>
          </w:p>
        </w:tc>
        <w:tc>
          <w:tcPr>
            <w:tcW w:w="510" w:type="pct"/>
            <w:tcBorders>
              <w:top w:val="single" w:sz="8" w:space="0" w:color="auto"/>
              <w:left w:val="nil"/>
              <w:bottom w:val="single" w:sz="8" w:space="0" w:color="auto"/>
              <w:right w:val="single" w:sz="8" w:space="0" w:color="auto"/>
            </w:tcBorders>
            <w:shd w:val="clear" w:color="000000" w:fill="D6E3BC"/>
            <w:vAlign w:val="center"/>
            <w:hideMark/>
          </w:tcPr>
          <w:p w:rsidR="002D0009" w:rsidRDefault="002D0009">
            <w:pPr>
              <w:jc w:val="center"/>
              <w:rPr>
                <w:rFonts w:ascii="Arial" w:hAnsi="Arial" w:cs="Arial"/>
                <w:b/>
                <w:bCs/>
                <w:color w:val="000000"/>
                <w:sz w:val="16"/>
                <w:szCs w:val="16"/>
              </w:rPr>
            </w:pPr>
            <w:r>
              <w:rPr>
                <w:rFonts w:ascii="Arial" w:hAnsi="Arial" w:cs="Arial"/>
                <w:b/>
                <w:bCs/>
                <w:color w:val="000000"/>
                <w:sz w:val="16"/>
                <w:szCs w:val="16"/>
              </w:rPr>
              <w:t>Počet ukončených projektov</w:t>
            </w:r>
          </w:p>
        </w:tc>
        <w:tc>
          <w:tcPr>
            <w:tcW w:w="510" w:type="pct"/>
            <w:tcBorders>
              <w:top w:val="single" w:sz="8" w:space="0" w:color="auto"/>
              <w:left w:val="nil"/>
              <w:bottom w:val="single" w:sz="8" w:space="0" w:color="auto"/>
              <w:right w:val="single" w:sz="8" w:space="0" w:color="auto"/>
            </w:tcBorders>
            <w:shd w:val="clear" w:color="000000" w:fill="D6E3BC"/>
            <w:vAlign w:val="center"/>
            <w:hideMark/>
          </w:tcPr>
          <w:p w:rsidR="002D0009" w:rsidRDefault="002D0009">
            <w:pPr>
              <w:jc w:val="center"/>
              <w:rPr>
                <w:rFonts w:ascii="Arial" w:hAnsi="Arial" w:cs="Arial"/>
                <w:b/>
                <w:bCs/>
                <w:color w:val="000000"/>
                <w:sz w:val="16"/>
                <w:szCs w:val="16"/>
              </w:rPr>
            </w:pPr>
            <w:r>
              <w:rPr>
                <w:rFonts w:ascii="Arial" w:hAnsi="Arial" w:cs="Arial"/>
                <w:b/>
                <w:bCs/>
                <w:color w:val="000000"/>
                <w:sz w:val="16"/>
                <w:szCs w:val="16"/>
              </w:rPr>
              <w:t>Počet mimoriadne ukončených projektov</w:t>
            </w:r>
          </w:p>
        </w:tc>
        <w:tc>
          <w:tcPr>
            <w:tcW w:w="535" w:type="pct"/>
            <w:tcBorders>
              <w:top w:val="nil"/>
              <w:left w:val="nil"/>
              <w:bottom w:val="nil"/>
              <w:right w:val="nil"/>
            </w:tcBorders>
            <w:shd w:val="clear" w:color="auto" w:fill="auto"/>
            <w:noWrap/>
            <w:vAlign w:val="bottom"/>
            <w:hideMark/>
          </w:tcPr>
          <w:p w:rsidR="002D0009" w:rsidRDefault="002D0009">
            <w:pPr>
              <w:rPr>
                <w:rFonts w:ascii="Calibri" w:hAnsi="Calibri"/>
                <w:color w:val="000000"/>
                <w:sz w:val="22"/>
                <w:szCs w:val="22"/>
              </w:rPr>
            </w:pPr>
          </w:p>
        </w:tc>
      </w:tr>
      <w:tr w:rsidR="002D0009" w:rsidTr="002D0009">
        <w:trPr>
          <w:trHeight w:val="315"/>
        </w:trPr>
        <w:tc>
          <w:tcPr>
            <w:tcW w:w="1917" w:type="pct"/>
            <w:tcBorders>
              <w:top w:val="nil"/>
              <w:left w:val="single" w:sz="8" w:space="0" w:color="auto"/>
              <w:bottom w:val="single" w:sz="8" w:space="0" w:color="auto"/>
              <w:right w:val="single" w:sz="8" w:space="0" w:color="auto"/>
            </w:tcBorders>
            <w:shd w:val="clear" w:color="auto" w:fill="auto"/>
            <w:vAlign w:val="center"/>
            <w:hideMark/>
          </w:tcPr>
          <w:p w:rsidR="002D0009" w:rsidRDefault="002D0009">
            <w:pPr>
              <w:rPr>
                <w:rFonts w:ascii="Arial" w:hAnsi="Arial" w:cs="Arial"/>
                <w:color w:val="000000"/>
                <w:sz w:val="16"/>
                <w:szCs w:val="16"/>
              </w:rPr>
            </w:pPr>
            <w:r>
              <w:rPr>
                <w:rFonts w:ascii="Arial" w:hAnsi="Arial" w:cs="Arial"/>
                <w:color w:val="000000"/>
                <w:sz w:val="16"/>
                <w:szCs w:val="16"/>
              </w:rPr>
              <w:t>1 Integrovaná ochrana a racionálne využívanie vôd</w:t>
            </w:r>
          </w:p>
        </w:tc>
        <w:tc>
          <w:tcPr>
            <w:tcW w:w="510" w:type="pct"/>
            <w:tcBorders>
              <w:top w:val="nil"/>
              <w:left w:val="nil"/>
              <w:bottom w:val="single" w:sz="8" w:space="0" w:color="auto"/>
              <w:right w:val="single" w:sz="8" w:space="0" w:color="auto"/>
            </w:tcBorders>
            <w:shd w:val="clear" w:color="auto" w:fill="auto"/>
            <w:noWrap/>
            <w:vAlign w:val="center"/>
            <w:hideMark/>
          </w:tcPr>
          <w:p w:rsidR="002D0009" w:rsidRDefault="002D0009">
            <w:pPr>
              <w:jc w:val="center"/>
              <w:rPr>
                <w:rFonts w:ascii="Arial" w:hAnsi="Arial" w:cs="Arial"/>
                <w:color w:val="000000"/>
                <w:sz w:val="16"/>
                <w:szCs w:val="16"/>
              </w:rPr>
            </w:pPr>
            <w:r>
              <w:rPr>
                <w:rFonts w:ascii="Arial" w:hAnsi="Arial" w:cs="Arial"/>
                <w:color w:val="000000"/>
                <w:sz w:val="16"/>
                <w:szCs w:val="16"/>
              </w:rPr>
              <w:t>408</w:t>
            </w:r>
          </w:p>
        </w:tc>
        <w:tc>
          <w:tcPr>
            <w:tcW w:w="510" w:type="pct"/>
            <w:tcBorders>
              <w:top w:val="nil"/>
              <w:left w:val="nil"/>
              <w:bottom w:val="single" w:sz="8" w:space="0" w:color="auto"/>
              <w:right w:val="single" w:sz="8" w:space="0" w:color="auto"/>
            </w:tcBorders>
            <w:shd w:val="clear" w:color="auto" w:fill="auto"/>
            <w:noWrap/>
            <w:vAlign w:val="center"/>
            <w:hideMark/>
          </w:tcPr>
          <w:p w:rsidR="002D0009" w:rsidRDefault="002D0009">
            <w:pPr>
              <w:jc w:val="center"/>
              <w:rPr>
                <w:rFonts w:ascii="Arial" w:hAnsi="Arial" w:cs="Arial"/>
                <w:color w:val="000000"/>
                <w:sz w:val="16"/>
                <w:szCs w:val="16"/>
              </w:rPr>
            </w:pPr>
            <w:r>
              <w:rPr>
                <w:rFonts w:ascii="Arial" w:hAnsi="Arial" w:cs="Arial"/>
                <w:color w:val="000000"/>
                <w:sz w:val="16"/>
                <w:szCs w:val="16"/>
              </w:rPr>
              <w:t>161</w:t>
            </w:r>
          </w:p>
        </w:tc>
        <w:tc>
          <w:tcPr>
            <w:tcW w:w="510" w:type="pct"/>
            <w:tcBorders>
              <w:top w:val="nil"/>
              <w:left w:val="nil"/>
              <w:bottom w:val="single" w:sz="8" w:space="0" w:color="auto"/>
              <w:right w:val="single" w:sz="8" w:space="0" w:color="auto"/>
            </w:tcBorders>
            <w:shd w:val="clear" w:color="auto" w:fill="auto"/>
            <w:noWrap/>
            <w:vAlign w:val="center"/>
            <w:hideMark/>
          </w:tcPr>
          <w:p w:rsidR="002D0009" w:rsidRDefault="002D0009">
            <w:pPr>
              <w:jc w:val="center"/>
              <w:rPr>
                <w:rFonts w:ascii="Arial" w:hAnsi="Arial" w:cs="Arial"/>
                <w:color w:val="000000"/>
                <w:sz w:val="16"/>
                <w:szCs w:val="16"/>
              </w:rPr>
            </w:pPr>
            <w:r>
              <w:rPr>
                <w:rFonts w:ascii="Arial" w:hAnsi="Arial" w:cs="Arial"/>
                <w:color w:val="000000"/>
                <w:sz w:val="16"/>
                <w:szCs w:val="16"/>
              </w:rPr>
              <w:t>148</w:t>
            </w:r>
          </w:p>
        </w:tc>
        <w:tc>
          <w:tcPr>
            <w:tcW w:w="510" w:type="pct"/>
            <w:tcBorders>
              <w:top w:val="nil"/>
              <w:left w:val="nil"/>
              <w:bottom w:val="single" w:sz="8" w:space="0" w:color="auto"/>
              <w:right w:val="single" w:sz="8" w:space="0" w:color="auto"/>
            </w:tcBorders>
            <w:shd w:val="clear" w:color="auto" w:fill="auto"/>
            <w:noWrap/>
            <w:vAlign w:val="center"/>
            <w:hideMark/>
          </w:tcPr>
          <w:p w:rsidR="002D0009" w:rsidRDefault="002D0009">
            <w:pPr>
              <w:jc w:val="center"/>
              <w:rPr>
                <w:rFonts w:ascii="Arial" w:hAnsi="Arial" w:cs="Arial"/>
                <w:color w:val="000000"/>
                <w:sz w:val="16"/>
                <w:szCs w:val="16"/>
              </w:rPr>
            </w:pPr>
            <w:r>
              <w:rPr>
                <w:rFonts w:ascii="Arial" w:hAnsi="Arial" w:cs="Arial"/>
                <w:color w:val="000000"/>
                <w:sz w:val="16"/>
                <w:szCs w:val="16"/>
              </w:rPr>
              <w:t>25</w:t>
            </w:r>
          </w:p>
        </w:tc>
        <w:tc>
          <w:tcPr>
            <w:tcW w:w="510" w:type="pct"/>
            <w:tcBorders>
              <w:top w:val="nil"/>
              <w:left w:val="nil"/>
              <w:bottom w:val="single" w:sz="8" w:space="0" w:color="auto"/>
              <w:right w:val="single" w:sz="8" w:space="0" w:color="auto"/>
            </w:tcBorders>
            <w:shd w:val="clear" w:color="auto" w:fill="auto"/>
            <w:noWrap/>
            <w:vAlign w:val="center"/>
            <w:hideMark/>
          </w:tcPr>
          <w:p w:rsidR="002D0009" w:rsidRDefault="002D0009">
            <w:pPr>
              <w:jc w:val="center"/>
              <w:rPr>
                <w:rFonts w:ascii="Arial" w:hAnsi="Arial" w:cs="Arial"/>
                <w:color w:val="000000"/>
                <w:sz w:val="16"/>
                <w:szCs w:val="16"/>
              </w:rPr>
            </w:pPr>
            <w:r>
              <w:rPr>
                <w:rFonts w:ascii="Arial" w:hAnsi="Arial" w:cs="Arial"/>
                <w:color w:val="000000"/>
                <w:sz w:val="16"/>
                <w:szCs w:val="16"/>
              </w:rPr>
              <w:t>5</w:t>
            </w:r>
          </w:p>
        </w:tc>
        <w:tc>
          <w:tcPr>
            <w:tcW w:w="535" w:type="pct"/>
            <w:tcBorders>
              <w:top w:val="nil"/>
              <w:left w:val="nil"/>
              <w:bottom w:val="nil"/>
              <w:right w:val="nil"/>
            </w:tcBorders>
            <w:shd w:val="clear" w:color="auto" w:fill="auto"/>
            <w:noWrap/>
            <w:vAlign w:val="bottom"/>
            <w:hideMark/>
          </w:tcPr>
          <w:p w:rsidR="002D0009" w:rsidRDefault="002D0009">
            <w:pPr>
              <w:rPr>
                <w:rFonts w:ascii="Calibri" w:hAnsi="Calibri"/>
                <w:color w:val="000000"/>
                <w:sz w:val="22"/>
                <w:szCs w:val="22"/>
              </w:rPr>
            </w:pPr>
          </w:p>
        </w:tc>
      </w:tr>
      <w:tr w:rsidR="002D0009" w:rsidTr="002D0009">
        <w:trPr>
          <w:trHeight w:val="315"/>
        </w:trPr>
        <w:tc>
          <w:tcPr>
            <w:tcW w:w="1917" w:type="pct"/>
            <w:tcBorders>
              <w:top w:val="nil"/>
              <w:left w:val="single" w:sz="8" w:space="0" w:color="auto"/>
              <w:bottom w:val="single" w:sz="8" w:space="0" w:color="auto"/>
              <w:right w:val="single" w:sz="8" w:space="0" w:color="auto"/>
            </w:tcBorders>
            <w:shd w:val="clear" w:color="auto" w:fill="auto"/>
            <w:vAlign w:val="center"/>
            <w:hideMark/>
          </w:tcPr>
          <w:p w:rsidR="002D0009" w:rsidRDefault="002D0009">
            <w:pPr>
              <w:rPr>
                <w:rFonts w:ascii="Arial" w:hAnsi="Arial" w:cs="Arial"/>
                <w:color w:val="000000"/>
                <w:sz w:val="16"/>
                <w:szCs w:val="16"/>
              </w:rPr>
            </w:pPr>
            <w:r>
              <w:rPr>
                <w:rFonts w:ascii="Arial" w:hAnsi="Arial" w:cs="Arial"/>
                <w:color w:val="000000"/>
                <w:sz w:val="16"/>
                <w:szCs w:val="16"/>
              </w:rPr>
              <w:t>2 Ochrana pred povodňami</w:t>
            </w:r>
          </w:p>
        </w:tc>
        <w:tc>
          <w:tcPr>
            <w:tcW w:w="510" w:type="pct"/>
            <w:tcBorders>
              <w:top w:val="nil"/>
              <w:left w:val="nil"/>
              <w:bottom w:val="single" w:sz="8" w:space="0" w:color="auto"/>
              <w:right w:val="single" w:sz="8" w:space="0" w:color="auto"/>
            </w:tcBorders>
            <w:shd w:val="clear" w:color="auto" w:fill="auto"/>
            <w:noWrap/>
            <w:vAlign w:val="center"/>
            <w:hideMark/>
          </w:tcPr>
          <w:p w:rsidR="002D0009" w:rsidRDefault="002D0009">
            <w:pPr>
              <w:jc w:val="center"/>
              <w:rPr>
                <w:rFonts w:ascii="Arial" w:hAnsi="Arial" w:cs="Arial"/>
                <w:color w:val="000000"/>
                <w:sz w:val="16"/>
                <w:szCs w:val="16"/>
              </w:rPr>
            </w:pPr>
            <w:r>
              <w:rPr>
                <w:rFonts w:ascii="Arial" w:hAnsi="Arial" w:cs="Arial"/>
                <w:color w:val="000000"/>
                <w:sz w:val="16"/>
                <w:szCs w:val="16"/>
              </w:rPr>
              <w:t>391</w:t>
            </w:r>
          </w:p>
        </w:tc>
        <w:tc>
          <w:tcPr>
            <w:tcW w:w="510" w:type="pct"/>
            <w:tcBorders>
              <w:top w:val="nil"/>
              <w:left w:val="nil"/>
              <w:bottom w:val="single" w:sz="8" w:space="0" w:color="auto"/>
              <w:right w:val="single" w:sz="8" w:space="0" w:color="auto"/>
            </w:tcBorders>
            <w:shd w:val="clear" w:color="auto" w:fill="auto"/>
            <w:noWrap/>
            <w:vAlign w:val="center"/>
            <w:hideMark/>
          </w:tcPr>
          <w:p w:rsidR="002D0009" w:rsidRDefault="002D0009">
            <w:pPr>
              <w:jc w:val="center"/>
              <w:rPr>
                <w:rFonts w:ascii="Arial" w:hAnsi="Arial" w:cs="Arial"/>
                <w:color w:val="000000"/>
                <w:sz w:val="16"/>
                <w:szCs w:val="16"/>
              </w:rPr>
            </w:pPr>
            <w:r>
              <w:rPr>
                <w:rFonts w:ascii="Arial" w:hAnsi="Arial" w:cs="Arial"/>
                <w:color w:val="000000"/>
                <w:sz w:val="16"/>
                <w:szCs w:val="16"/>
              </w:rPr>
              <w:t>67</w:t>
            </w:r>
          </w:p>
        </w:tc>
        <w:tc>
          <w:tcPr>
            <w:tcW w:w="510" w:type="pct"/>
            <w:tcBorders>
              <w:top w:val="nil"/>
              <w:left w:val="nil"/>
              <w:bottom w:val="single" w:sz="8" w:space="0" w:color="auto"/>
              <w:right w:val="single" w:sz="8" w:space="0" w:color="auto"/>
            </w:tcBorders>
            <w:shd w:val="clear" w:color="auto" w:fill="auto"/>
            <w:noWrap/>
            <w:vAlign w:val="center"/>
            <w:hideMark/>
          </w:tcPr>
          <w:p w:rsidR="002D0009" w:rsidRDefault="002D0009">
            <w:pPr>
              <w:jc w:val="center"/>
              <w:rPr>
                <w:rFonts w:ascii="Arial" w:hAnsi="Arial" w:cs="Arial"/>
                <w:color w:val="000000"/>
                <w:sz w:val="16"/>
                <w:szCs w:val="16"/>
              </w:rPr>
            </w:pPr>
            <w:r>
              <w:rPr>
                <w:rFonts w:ascii="Arial" w:hAnsi="Arial" w:cs="Arial"/>
                <w:color w:val="000000"/>
                <w:sz w:val="16"/>
                <w:szCs w:val="16"/>
              </w:rPr>
              <w:t>65</w:t>
            </w:r>
          </w:p>
        </w:tc>
        <w:tc>
          <w:tcPr>
            <w:tcW w:w="510" w:type="pct"/>
            <w:tcBorders>
              <w:top w:val="nil"/>
              <w:left w:val="nil"/>
              <w:bottom w:val="single" w:sz="8" w:space="0" w:color="auto"/>
              <w:right w:val="single" w:sz="8" w:space="0" w:color="auto"/>
            </w:tcBorders>
            <w:shd w:val="clear" w:color="auto" w:fill="auto"/>
            <w:noWrap/>
            <w:vAlign w:val="center"/>
            <w:hideMark/>
          </w:tcPr>
          <w:p w:rsidR="002D0009" w:rsidRDefault="002D0009">
            <w:pPr>
              <w:jc w:val="center"/>
              <w:rPr>
                <w:rFonts w:ascii="Arial" w:hAnsi="Arial" w:cs="Arial"/>
                <w:color w:val="000000"/>
                <w:sz w:val="16"/>
                <w:szCs w:val="16"/>
              </w:rPr>
            </w:pPr>
            <w:r>
              <w:rPr>
                <w:rFonts w:ascii="Arial" w:hAnsi="Arial" w:cs="Arial"/>
                <w:color w:val="000000"/>
                <w:sz w:val="16"/>
                <w:szCs w:val="16"/>
              </w:rPr>
              <w:t>25</w:t>
            </w:r>
          </w:p>
        </w:tc>
        <w:tc>
          <w:tcPr>
            <w:tcW w:w="510" w:type="pct"/>
            <w:tcBorders>
              <w:top w:val="nil"/>
              <w:left w:val="nil"/>
              <w:bottom w:val="single" w:sz="8" w:space="0" w:color="auto"/>
              <w:right w:val="single" w:sz="8" w:space="0" w:color="auto"/>
            </w:tcBorders>
            <w:shd w:val="clear" w:color="auto" w:fill="auto"/>
            <w:noWrap/>
            <w:vAlign w:val="center"/>
            <w:hideMark/>
          </w:tcPr>
          <w:p w:rsidR="002D0009" w:rsidRDefault="002D0009">
            <w:pPr>
              <w:jc w:val="center"/>
              <w:rPr>
                <w:rFonts w:ascii="Arial" w:hAnsi="Arial" w:cs="Arial"/>
                <w:color w:val="000000"/>
                <w:sz w:val="16"/>
                <w:szCs w:val="16"/>
              </w:rPr>
            </w:pPr>
            <w:r>
              <w:rPr>
                <w:rFonts w:ascii="Arial" w:hAnsi="Arial" w:cs="Arial"/>
                <w:color w:val="000000"/>
                <w:sz w:val="16"/>
                <w:szCs w:val="16"/>
              </w:rPr>
              <w:t>2</w:t>
            </w:r>
          </w:p>
        </w:tc>
        <w:tc>
          <w:tcPr>
            <w:tcW w:w="535" w:type="pct"/>
            <w:tcBorders>
              <w:top w:val="nil"/>
              <w:left w:val="nil"/>
              <w:bottom w:val="nil"/>
              <w:right w:val="nil"/>
            </w:tcBorders>
            <w:shd w:val="clear" w:color="auto" w:fill="auto"/>
            <w:noWrap/>
            <w:vAlign w:val="bottom"/>
            <w:hideMark/>
          </w:tcPr>
          <w:p w:rsidR="002D0009" w:rsidRDefault="002D0009">
            <w:pPr>
              <w:rPr>
                <w:rFonts w:ascii="Calibri" w:hAnsi="Calibri"/>
                <w:color w:val="000000"/>
                <w:sz w:val="22"/>
                <w:szCs w:val="22"/>
              </w:rPr>
            </w:pPr>
          </w:p>
        </w:tc>
      </w:tr>
      <w:tr w:rsidR="002D0009" w:rsidTr="002D0009">
        <w:trPr>
          <w:trHeight w:val="315"/>
        </w:trPr>
        <w:tc>
          <w:tcPr>
            <w:tcW w:w="1917" w:type="pct"/>
            <w:tcBorders>
              <w:top w:val="nil"/>
              <w:left w:val="single" w:sz="8" w:space="0" w:color="auto"/>
              <w:bottom w:val="single" w:sz="8" w:space="0" w:color="auto"/>
              <w:right w:val="single" w:sz="8" w:space="0" w:color="auto"/>
            </w:tcBorders>
            <w:shd w:val="clear" w:color="auto" w:fill="auto"/>
            <w:vAlign w:val="center"/>
            <w:hideMark/>
          </w:tcPr>
          <w:p w:rsidR="002D0009" w:rsidRDefault="002D0009">
            <w:pPr>
              <w:rPr>
                <w:rFonts w:ascii="Arial" w:hAnsi="Arial" w:cs="Arial"/>
                <w:color w:val="000000"/>
                <w:sz w:val="16"/>
                <w:szCs w:val="16"/>
              </w:rPr>
            </w:pPr>
            <w:r>
              <w:rPr>
                <w:rFonts w:ascii="Arial" w:hAnsi="Arial" w:cs="Arial"/>
                <w:color w:val="000000"/>
                <w:sz w:val="16"/>
                <w:szCs w:val="16"/>
              </w:rPr>
              <w:t>3 Ochrana ovzdušia a minimalizácia nepriaznivých vplyvov zmeny klímy</w:t>
            </w:r>
          </w:p>
        </w:tc>
        <w:tc>
          <w:tcPr>
            <w:tcW w:w="510" w:type="pct"/>
            <w:tcBorders>
              <w:top w:val="nil"/>
              <w:left w:val="nil"/>
              <w:bottom w:val="single" w:sz="8" w:space="0" w:color="auto"/>
              <w:right w:val="single" w:sz="8" w:space="0" w:color="auto"/>
            </w:tcBorders>
            <w:shd w:val="clear" w:color="auto" w:fill="auto"/>
            <w:noWrap/>
            <w:vAlign w:val="center"/>
            <w:hideMark/>
          </w:tcPr>
          <w:p w:rsidR="002D0009" w:rsidRDefault="002D0009">
            <w:pPr>
              <w:jc w:val="center"/>
              <w:rPr>
                <w:rFonts w:ascii="Arial" w:hAnsi="Arial" w:cs="Arial"/>
                <w:color w:val="000000"/>
                <w:sz w:val="16"/>
                <w:szCs w:val="16"/>
              </w:rPr>
            </w:pPr>
            <w:r>
              <w:rPr>
                <w:rFonts w:ascii="Arial" w:hAnsi="Arial" w:cs="Arial"/>
                <w:color w:val="000000"/>
                <w:sz w:val="16"/>
                <w:szCs w:val="16"/>
              </w:rPr>
              <w:t>326</w:t>
            </w:r>
          </w:p>
        </w:tc>
        <w:tc>
          <w:tcPr>
            <w:tcW w:w="510" w:type="pct"/>
            <w:tcBorders>
              <w:top w:val="nil"/>
              <w:left w:val="nil"/>
              <w:bottom w:val="single" w:sz="8" w:space="0" w:color="auto"/>
              <w:right w:val="single" w:sz="8" w:space="0" w:color="auto"/>
            </w:tcBorders>
            <w:shd w:val="clear" w:color="auto" w:fill="auto"/>
            <w:noWrap/>
            <w:vAlign w:val="center"/>
            <w:hideMark/>
          </w:tcPr>
          <w:p w:rsidR="002D0009" w:rsidRDefault="002D0009">
            <w:pPr>
              <w:jc w:val="center"/>
              <w:rPr>
                <w:rFonts w:ascii="Arial" w:hAnsi="Arial" w:cs="Arial"/>
                <w:color w:val="000000"/>
                <w:sz w:val="16"/>
                <w:szCs w:val="16"/>
              </w:rPr>
            </w:pPr>
            <w:r>
              <w:rPr>
                <w:rFonts w:ascii="Arial" w:hAnsi="Arial" w:cs="Arial"/>
                <w:color w:val="000000"/>
                <w:sz w:val="16"/>
                <w:szCs w:val="16"/>
              </w:rPr>
              <w:t>109</w:t>
            </w:r>
          </w:p>
        </w:tc>
        <w:tc>
          <w:tcPr>
            <w:tcW w:w="510" w:type="pct"/>
            <w:tcBorders>
              <w:top w:val="nil"/>
              <w:left w:val="nil"/>
              <w:bottom w:val="single" w:sz="8" w:space="0" w:color="auto"/>
              <w:right w:val="single" w:sz="8" w:space="0" w:color="auto"/>
            </w:tcBorders>
            <w:shd w:val="clear" w:color="auto" w:fill="auto"/>
            <w:noWrap/>
            <w:vAlign w:val="center"/>
            <w:hideMark/>
          </w:tcPr>
          <w:p w:rsidR="002D0009" w:rsidRDefault="002D0009">
            <w:pPr>
              <w:jc w:val="center"/>
              <w:rPr>
                <w:rFonts w:ascii="Arial" w:hAnsi="Arial" w:cs="Arial"/>
                <w:color w:val="000000"/>
                <w:sz w:val="16"/>
                <w:szCs w:val="16"/>
              </w:rPr>
            </w:pPr>
            <w:r>
              <w:rPr>
                <w:rFonts w:ascii="Arial" w:hAnsi="Arial" w:cs="Arial"/>
                <w:color w:val="000000"/>
                <w:sz w:val="16"/>
                <w:szCs w:val="16"/>
              </w:rPr>
              <w:t>102</w:t>
            </w:r>
          </w:p>
        </w:tc>
        <w:tc>
          <w:tcPr>
            <w:tcW w:w="510" w:type="pct"/>
            <w:tcBorders>
              <w:top w:val="nil"/>
              <w:left w:val="nil"/>
              <w:bottom w:val="single" w:sz="8" w:space="0" w:color="auto"/>
              <w:right w:val="single" w:sz="8" w:space="0" w:color="auto"/>
            </w:tcBorders>
            <w:shd w:val="clear" w:color="auto" w:fill="auto"/>
            <w:noWrap/>
            <w:vAlign w:val="center"/>
            <w:hideMark/>
          </w:tcPr>
          <w:p w:rsidR="002D0009" w:rsidRDefault="002D0009">
            <w:pPr>
              <w:jc w:val="center"/>
              <w:rPr>
                <w:rFonts w:ascii="Arial" w:hAnsi="Arial" w:cs="Arial"/>
                <w:color w:val="000000"/>
                <w:sz w:val="16"/>
                <w:szCs w:val="16"/>
              </w:rPr>
            </w:pPr>
            <w:r>
              <w:rPr>
                <w:rFonts w:ascii="Arial" w:hAnsi="Arial" w:cs="Arial"/>
                <w:color w:val="000000"/>
                <w:sz w:val="16"/>
                <w:szCs w:val="16"/>
              </w:rPr>
              <w:t>78</w:t>
            </w:r>
          </w:p>
        </w:tc>
        <w:tc>
          <w:tcPr>
            <w:tcW w:w="510" w:type="pct"/>
            <w:tcBorders>
              <w:top w:val="nil"/>
              <w:left w:val="nil"/>
              <w:bottom w:val="single" w:sz="8" w:space="0" w:color="auto"/>
              <w:right w:val="single" w:sz="8" w:space="0" w:color="auto"/>
            </w:tcBorders>
            <w:shd w:val="clear" w:color="auto" w:fill="auto"/>
            <w:noWrap/>
            <w:vAlign w:val="center"/>
            <w:hideMark/>
          </w:tcPr>
          <w:p w:rsidR="002D0009" w:rsidRDefault="002D0009">
            <w:pPr>
              <w:jc w:val="center"/>
              <w:rPr>
                <w:rFonts w:ascii="Arial" w:hAnsi="Arial" w:cs="Arial"/>
                <w:color w:val="000000"/>
                <w:sz w:val="16"/>
                <w:szCs w:val="16"/>
              </w:rPr>
            </w:pPr>
            <w:r>
              <w:rPr>
                <w:rFonts w:ascii="Arial" w:hAnsi="Arial" w:cs="Arial"/>
                <w:color w:val="000000"/>
                <w:sz w:val="16"/>
                <w:szCs w:val="16"/>
              </w:rPr>
              <w:t>7</w:t>
            </w:r>
          </w:p>
        </w:tc>
        <w:tc>
          <w:tcPr>
            <w:tcW w:w="535" w:type="pct"/>
            <w:tcBorders>
              <w:top w:val="nil"/>
              <w:left w:val="nil"/>
              <w:bottom w:val="nil"/>
              <w:right w:val="nil"/>
            </w:tcBorders>
            <w:shd w:val="clear" w:color="auto" w:fill="auto"/>
            <w:noWrap/>
            <w:vAlign w:val="bottom"/>
            <w:hideMark/>
          </w:tcPr>
          <w:p w:rsidR="002D0009" w:rsidRDefault="002D0009">
            <w:pPr>
              <w:rPr>
                <w:rFonts w:ascii="Calibri" w:hAnsi="Calibri"/>
                <w:color w:val="000000"/>
                <w:sz w:val="22"/>
                <w:szCs w:val="22"/>
              </w:rPr>
            </w:pPr>
          </w:p>
        </w:tc>
      </w:tr>
      <w:tr w:rsidR="002D0009" w:rsidTr="002D0009">
        <w:trPr>
          <w:trHeight w:val="315"/>
        </w:trPr>
        <w:tc>
          <w:tcPr>
            <w:tcW w:w="1917" w:type="pct"/>
            <w:tcBorders>
              <w:top w:val="nil"/>
              <w:left w:val="single" w:sz="8" w:space="0" w:color="auto"/>
              <w:bottom w:val="single" w:sz="8" w:space="0" w:color="auto"/>
              <w:right w:val="single" w:sz="8" w:space="0" w:color="auto"/>
            </w:tcBorders>
            <w:shd w:val="clear" w:color="auto" w:fill="auto"/>
            <w:vAlign w:val="center"/>
            <w:hideMark/>
          </w:tcPr>
          <w:p w:rsidR="002D0009" w:rsidRDefault="002D0009">
            <w:pPr>
              <w:rPr>
                <w:rFonts w:ascii="Arial" w:hAnsi="Arial" w:cs="Arial"/>
                <w:color w:val="000000"/>
                <w:sz w:val="16"/>
                <w:szCs w:val="16"/>
              </w:rPr>
            </w:pPr>
            <w:r>
              <w:rPr>
                <w:rFonts w:ascii="Arial" w:hAnsi="Arial" w:cs="Arial"/>
                <w:color w:val="000000"/>
                <w:sz w:val="16"/>
                <w:szCs w:val="16"/>
              </w:rPr>
              <w:t>4 Odpadové hospodárstvo</w:t>
            </w:r>
          </w:p>
        </w:tc>
        <w:tc>
          <w:tcPr>
            <w:tcW w:w="510" w:type="pct"/>
            <w:tcBorders>
              <w:top w:val="nil"/>
              <w:left w:val="nil"/>
              <w:bottom w:val="single" w:sz="8" w:space="0" w:color="auto"/>
              <w:right w:val="single" w:sz="8" w:space="0" w:color="auto"/>
            </w:tcBorders>
            <w:shd w:val="clear" w:color="auto" w:fill="auto"/>
            <w:noWrap/>
            <w:vAlign w:val="center"/>
            <w:hideMark/>
          </w:tcPr>
          <w:p w:rsidR="002D0009" w:rsidRDefault="002D0009">
            <w:pPr>
              <w:jc w:val="center"/>
              <w:rPr>
                <w:rFonts w:ascii="Arial" w:hAnsi="Arial" w:cs="Arial"/>
                <w:color w:val="000000"/>
                <w:sz w:val="16"/>
                <w:szCs w:val="16"/>
              </w:rPr>
            </w:pPr>
            <w:r>
              <w:rPr>
                <w:rFonts w:ascii="Arial" w:hAnsi="Arial" w:cs="Arial"/>
                <w:color w:val="000000"/>
                <w:sz w:val="16"/>
                <w:szCs w:val="16"/>
              </w:rPr>
              <w:t>1474</w:t>
            </w:r>
          </w:p>
        </w:tc>
        <w:tc>
          <w:tcPr>
            <w:tcW w:w="510" w:type="pct"/>
            <w:tcBorders>
              <w:top w:val="nil"/>
              <w:left w:val="nil"/>
              <w:bottom w:val="single" w:sz="8" w:space="0" w:color="auto"/>
              <w:right w:val="single" w:sz="8" w:space="0" w:color="auto"/>
            </w:tcBorders>
            <w:shd w:val="clear" w:color="auto" w:fill="auto"/>
            <w:noWrap/>
            <w:vAlign w:val="center"/>
            <w:hideMark/>
          </w:tcPr>
          <w:p w:rsidR="002D0009" w:rsidRDefault="002D0009">
            <w:pPr>
              <w:jc w:val="center"/>
              <w:rPr>
                <w:rFonts w:ascii="Arial" w:hAnsi="Arial" w:cs="Arial"/>
                <w:color w:val="000000"/>
                <w:sz w:val="16"/>
                <w:szCs w:val="16"/>
              </w:rPr>
            </w:pPr>
            <w:r>
              <w:rPr>
                <w:rFonts w:ascii="Arial" w:hAnsi="Arial" w:cs="Arial"/>
                <w:color w:val="000000"/>
                <w:sz w:val="16"/>
                <w:szCs w:val="16"/>
              </w:rPr>
              <w:t>267</w:t>
            </w:r>
          </w:p>
        </w:tc>
        <w:tc>
          <w:tcPr>
            <w:tcW w:w="510" w:type="pct"/>
            <w:tcBorders>
              <w:top w:val="nil"/>
              <w:left w:val="nil"/>
              <w:bottom w:val="single" w:sz="8" w:space="0" w:color="auto"/>
              <w:right w:val="single" w:sz="8" w:space="0" w:color="auto"/>
            </w:tcBorders>
            <w:shd w:val="clear" w:color="auto" w:fill="auto"/>
            <w:noWrap/>
            <w:vAlign w:val="center"/>
            <w:hideMark/>
          </w:tcPr>
          <w:p w:rsidR="002D0009" w:rsidRDefault="002D0009">
            <w:pPr>
              <w:jc w:val="center"/>
              <w:rPr>
                <w:rFonts w:ascii="Arial" w:hAnsi="Arial" w:cs="Arial"/>
                <w:color w:val="000000"/>
                <w:sz w:val="16"/>
                <w:szCs w:val="16"/>
              </w:rPr>
            </w:pPr>
            <w:r>
              <w:rPr>
                <w:rFonts w:ascii="Arial" w:hAnsi="Arial" w:cs="Arial"/>
                <w:color w:val="000000"/>
                <w:sz w:val="16"/>
                <w:szCs w:val="16"/>
              </w:rPr>
              <w:t>215</w:t>
            </w:r>
          </w:p>
        </w:tc>
        <w:tc>
          <w:tcPr>
            <w:tcW w:w="510" w:type="pct"/>
            <w:tcBorders>
              <w:top w:val="nil"/>
              <w:left w:val="nil"/>
              <w:bottom w:val="single" w:sz="8" w:space="0" w:color="auto"/>
              <w:right w:val="single" w:sz="8" w:space="0" w:color="auto"/>
            </w:tcBorders>
            <w:shd w:val="clear" w:color="auto" w:fill="auto"/>
            <w:noWrap/>
            <w:vAlign w:val="center"/>
            <w:hideMark/>
          </w:tcPr>
          <w:p w:rsidR="002D0009" w:rsidRDefault="002D0009">
            <w:pPr>
              <w:jc w:val="center"/>
              <w:rPr>
                <w:rFonts w:ascii="Arial" w:hAnsi="Arial" w:cs="Arial"/>
                <w:color w:val="000000"/>
                <w:sz w:val="16"/>
                <w:szCs w:val="16"/>
              </w:rPr>
            </w:pPr>
            <w:r>
              <w:rPr>
                <w:rFonts w:ascii="Arial" w:hAnsi="Arial" w:cs="Arial"/>
                <w:color w:val="000000"/>
                <w:sz w:val="16"/>
                <w:szCs w:val="16"/>
              </w:rPr>
              <w:t>118</w:t>
            </w:r>
          </w:p>
        </w:tc>
        <w:tc>
          <w:tcPr>
            <w:tcW w:w="510" w:type="pct"/>
            <w:tcBorders>
              <w:top w:val="nil"/>
              <w:left w:val="nil"/>
              <w:bottom w:val="single" w:sz="8" w:space="0" w:color="auto"/>
              <w:right w:val="single" w:sz="8" w:space="0" w:color="auto"/>
            </w:tcBorders>
            <w:shd w:val="clear" w:color="auto" w:fill="auto"/>
            <w:noWrap/>
            <w:vAlign w:val="center"/>
            <w:hideMark/>
          </w:tcPr>
          <w:p w:rsidR="002D0009" w:rsidRDefault="002D0009">
            <w:pPr>
              <w:jc w:val="center"/>
              <w:rPr>
                <w:rFonts w:ascii="Arial" w:hAnsi="Arial" w:cs="Arial"/>
                <w:color w:val="000000"/>
                <w:sz w:val="16"/>
                <w:szCs w:val="16"/>
              </w:rPr>
            </w:pPr>
            <w:r>
              <w:rPr>
                <w:rFonts w:ascii="Arial" w:hAnsi="Arial" w:cs="Arial"/>
                <w:color w:val="000000"/>
                <w:sz w:val="16"/>
                <w:szCs w:val="16"/>
              </w:rPr>
              <w:t>7</w:t>
            </w:r>
          </w:p>
        </w:tc>
        <w:tc>
          <w:tcPr>
            <w:tcW w:w="535" w:type="pct"/>
            <w:tcBorders>
              <w:top w:val="nil"/>
              <w:left w:val="nil"/>
              <w:bottom w:val="nil"/>
              <w:right w:val="nil"/>
            </w:tcBorders>
            <w:shd w:val="clear" w:color="auto" w:fill="auto"/>
            <w:noWrap/>
            <w:vAlign w:val="bottom"/>
            <w:hideMark/>
          </w:tcPr>
          <w:p w:rsidR="002D0009" w:rsidRDefault="002D0009">
            <w:pPr>
              <w:rPr>
                <w:rFonts w:ascii="Calibri" w:hAnsi="Calibri"/>
                <w:color w:val="000000"/>
                <w:sz w:val="22"/>
                <w:szCs w:val="22"/>
              </w:rPr>
            </w:pPr>
          </w:p>
        </w:tc>
      </w:tr>
      <w:tr w:rsidR="002D0009" w:rsidTr="002D0009">
        <w:trPr>
          <w:trHeight w:val="315"/>
        </w:trPr>
        <w:tc>
          <w:tcPr>
            <w:tcW w:w="1917" w:type="pct"/>
            <w:tcBorders>
              <w:top w:val="nil"/>
              <w:left w:val="single" w:sz="8" w:space="0" w:color="auto"/>
              <w:bottom w:val="single" w:sz="8" w:space="0" w:color="auto"/>
              <w:right w:val="single" w:sz="8" w:space="0" w:color="auto"/>
            </w:tcBorders>
            <w:shd w:val="clear" w:color="auto" w:fill="auto"/>
            <w:vAlign w:val="center"/>
            <w:hideMark/>
          </w:tcPr>
          <w:p w:rsidR="002D0009" w:rsidRDefault="002D0009">
            <w:pPr>
              <w:rPr>
                <w:rFonts w:ascii="Arial" w:hAnsi="Arial" w:cs="Arial"/>
                <w:color w:val="000000"/>
                <w:sz w:val="16"/>
                <w:szCs w:val="16"/>
              </w:rPr>
            </w:pPr>
            <w:r>
              <w:rPr>
                <w:rFonts w:ascii="Arial" w:hAnsi="Arial" w:cs="Arial"/>
                <w:color w:val="000000"/>
                <w:sz w:val="16"/>
                <w:szCs w:val="16"/>
              </w:rPr>
              <w:t>5 Ochrana a regenerácia prírodného prostredia a krajiny</w:t>
            </w:r>
          </w:p>
        </w:tc>
        <w:tc>
          <w:tcPr>
            <w:tcW w:w="510" w:type="pct"/>
            <w:tcBorders>
              <w:top w:val="nil"/>
              <w:left w:val="nil"/>
              <w:bottom w:val="single" w:sz="8" w:space="0" w:color="auto"/>
              <w:right w:val="single" w:sz="8" w:space="0" w:color="auto"/>
            </w:tcBorders>
            <w:shd w:val="clear" w:color="auto" w:fill="auto"/>
            <w:noWrap/>
            <w:vAlign w:val="center"/>
            <w:hideMark/>
          </w:tcPr>
          <w:p w:rsidR="002D0009" w:rsidRDefault="002D0009">
            <w:pPr>
              <w:jc w:val="center"/>
              <w:rPr>
                <w:rFonts w:ascii="Arial" w:hAnsi="Arial" w:cs="Arial"/>
                <w:color w:val="000000"/>
                <w:sz w:val="16"/>
                <w:szCs w:val="16"/>
              </w:rPr>
            </w:pPr>
            <w:r>
              <w:rPr>
                <w:rFonts w:ascii="Arial" w:hAnsi="Arial" w:cs="Arial"/>
                <w:color w:val="000000"/>
                <w:sz w:val="16"/>
                <w:szCs w:val="16"/>
              </w:rPr>
              <w:t>60</w:t>
            </w:r>
          </w:p>
        </w:tc>
        <w:tc>
          <w:tcPr>
            <w:tcW w:w="510" w:type="pct"/>
            <w:tcBorders>
              <w:top w:val="nil"/>
              <w:left w:val="nil"/>
              <w:bottom w:val="single" w:sz="8" w:space="0" w:color="auto"/>
              <w:right w:val="single" w:sz="8" w:space="0" w:color="auto"/>
            </w:tcBorders>
            <w:shd w:val="clear" w:color="auto" w:fill="auto"/>
            <w:noWrap/>
            <w:vAlign w:val="center"/>
            <w:hideMark/>
          </w:tcPr>
          <w:p w:rsidR="002D0009" w:rsidRDefault="002D0009">
            <w:pPr>
              <w:jc w:val="center"/>
              <w:rPr>
                <w:rFonts w:ascii="Arial" w:hAnsi="Arial" w:cs="Arial"/>
                <w:color w:val="000000"/>
                <w:sz w:val="16"/>
                <w:szCs w:val="16"/>
              </w:rPr>
            </w:pPr>
            <w:r>
              <w:rPr>
                <w:rFonts w:ascii="Arial" w:hAnsi="Arial" w:cs="Arial"/>
                <w:color w:val="000000"/>
                <w:sz w:val="16"/>
                <w:szCs w:val="16"/>
              </w:rPr>
              <w:t>40</w:t>
            </w:r>
          </w:p>
        </w:tc>
        <w:tc>
          <w:tcPr>
            <w:tcW w:w="510" w:type="pct"/>
            <w:tcBorders>
              <w:top w:val="nil"/>
              <w:left w:val="nil"/>
              <w:bottom w:val="single" w:sz="8" w:space="0" w:color="auto"/>
              <w:right w:val="single" w:sz="8" w:space="0" w:color="auto"/>
            </w:tcBorders>
            <w:shd w:val="clear" w:color="auto" w:fill="auto"/>
            <w:noWrap/>
            <w:vAlign w:val="center"/>
            <w:hideMark/>
          </w:tcPr>
          <w:p w:rsidR="002D0009" w:rsidRDefault="002D0009">
            <w:pPr>
              <w:jc w:val="center"/>
              <w:rPr>
                <w:rFonts w:ascii="Arial" w:hAnsi="Arial" w:cs="Arial"/>
                <w:color w:val="000000"/>
                <w:sz w:val="16"/>
                <w:szCs w:val="16"/>
              </w:rPr>
            </w:pPr>
            <w:r>
              <w:rPr>
                <w:rFonts w:ascii="Arial" w:hAnsi="Arial" w:cs="Arial"/>
                <w:color w:val="000000"/>
                <w:sz w:val="16"/>
                <w:szCs w:val="16"/>
              </w:rPr>
              <w:t>36</w:t>
            </w:r>
          </w:p>
        </w:tc>
        <w:tc>
          <w:tcPr>
            <w:tcW w:w="510" w:type="pct"/>
            <w:tcBorders>
              <w:top w:val="nil"/>
              <w:left w:val="nil"/>
              <w:bottom w:val="single" w:sz="8" w:space="0" w:color="auto"/>
              <w:right w:val="single" w:sz="8" w:space="0" w:color="auto"/>
            </w:tcBorders>
            <w:shd w:val="clear" w:color="auto" w:fill="auto"/>
            <w:noWrap/>
            <w:vAlign w:val="center"/>
            <w:hideMark/>
          </w:tcPr>
          <w:p w:rsidR="002D0009" w:rsidRDefault="002D0009">
            <w:pPr>
              <w:jc w:val="center"/>
              <w:rPr>
                <w:rFonts w:ascii="Arial" w:hAnsi="Arial" w:cs="Arial"/>
                <w:color w:val="000000"/>
                <w:sz w:val="16"/>
                <w:szCs w:val="16"/>
              </w:rPr>
            </w:pPr>
            <w:r>
              <w:rPr>
                <w:rFonts w:ascii="Arial" w:hAnsi="Arial" w:cs="Arial"/>
                <w:color w:val="000000"/>
                <w:sz w:val="16"/>
                <w:szCs w:val="16"/>
              </w:rPr>
              <w:t>8</w:t>
            </w:r>
          </w:p>
        </w:tc>
        <w:tc>
          <w:tcPr>
            <w:tcW w:w="510" w:type="pct"/>
            <w:tcBorders>
              <w:top w:val="nil"/>
              <w:left w:val="nil"/>
              <w:bottom w:val="single" w:sz="8" w:space="0" w:color="auto"/>
              <w:right w:val="single" w:sz="8" w:space="0" w:color="auto"/>
            </w:tcBorders>
            <w:shd w:val="clear" w:color="auto" w:fill="auto"/>
            <w:noWrap/>
            <w:vAlign w:val="center"/>
            <w:hideMark/>
          </w:tcPr>
          <w:p w:rsidR="002D0009" w:rsidRDefault="002D0009">
            <w:pPr>
              <w:jc w:val="center"/>
              <w:rPr>
                <w:rFonts w:ascii="Arial" w:hAnsi="Arial" w:cs="Arial"/>
                <w:color w:val="000000"/>
                <w:sz w:val="16"/>
                <w:szCs w:val="16"/>
              </w:rPr>
            </w:pPr>
            <w:r>
              <w:rPr>
                <w:rFonts w:ascii="Arial" w:hAnsi="Arial" w:cs="Arial"/>
                <w:color w:val="000000"/>
                <w:sz w:val="16"/>
                <w:szCs w:val="16"/>
              </w:rPr>
              <w:t>4</w:t>
            </w:r>
          </w:p>
        </w:tc>
        <w:tc>
          <w:tcPr>
            <w:tcW w:w="535" w:type="pct"/>
            <w:tcBorders>
              <w:top w:val="nil"/>
              <w:left w:val="nil"/>
              <w:bottom w:val="nil"/>
              <w:right w:val="nil"/>
            </w:tcBorders>
            <w:shd w:val="clear" w:color="auto" w:fill="auto"/>
            <w:noWrap/>
            <w:vAlign w:val="bottom"/>
            <w:hideMark/>
          </w:tcPr>
          <w:p w:rsidR="002D0009" w:rsidRDefault="002D0009">
            <w:pPr>
              <w:rPr>
                <w:rFonts w:ascii="Calibri" w:hAnsi="Calibri"/>
                <w:color w:val="000000"/>
                <w:sz w:val="22"/>
                <w:szCs w:val="22"/>
              </w:rPr>
            </w:pPr>
          </w:p>
        </w:tc>
      </w:tr>
      <w:tr w:rsidR="002D0009" w:rsidTr="002D0009">
        <w:trPr>
          <w:trHeight w:val="315"/>
        </w:trPr>
        <w:tc>
          <w:tcPr>
            <w:tcW w:w="1917" w:type="pct"/>
            <w:tcBorders>
              <w:top w:val="nil"/>
              <w:left w:val="single" w:sz="8" w:space="0" w:color="auto"/>
              <w:bottom w:val="single" w:sz="8" w:space="0" w:color="auto"/>
              <w:right w:val="single" w:sz="8" w:space="0" w:color="auto"/>
            </w:tcBorders>
            <w:shd w:val="clear" w:color="auto" w:fill="auto"/>
            <w:vAlign w:val="center"/>
            <w:hideMark/>
          </w:tcPr>
          <w:p w:rsidR="002D0009" w:rsidRDefault="002D0009">
            <w:pPr>
              <w:rPr>
                <w:rFonts w:ascii="Arial" w:hAnsi="Arial" w:cs="Arial"/>
                <w:color w:val="000000"/>
                <w:sz w:val="16"/>
                <w:szCs w:val="16"/>
              </w:rPr>
            </w:pPr>
            <w:r>
              <w:rPr>
                <w:rFonts w:ascii="Arial" w:hAnsi="Arial" w:cs="Arial"/>
                <w:color w:val="000000"/>
                <w:sz w:val="16"/>
                <w:szCs w:val="16"/>
              </w:rPr>
              <w:t>7 Budovanie povodňového varovného a predpovedného systému</w:t>
            </w:r>
          </w:p>
        </w:tc>
        <w:tc>
          <w:tcPr>
            <w:tcW w:w="510" w:type="pct"/>
            <w:tcBorders>
              <w:top w:val="nil"/>
              <w:left w:val="nil"/>
              <w:bottom w:val="single" w:sz="8" w:space="0" w:color="auto"/>
              <w:right w:val="single" w:sz="8" w:space="0" w:color="auto"/>
            </w:tcBorders>
            <w:shd w:val="clear" w:color="auto" w:fill="auto"/>
            <w:noWrap/>
            <w:vAlign w:val="center"/>
            <w:hideMark/>
          </w:tcPr>
          <w:p w:rsidR="002D0009" w:rsidRDefault="002D0009">
            <w:pPr>
              <w:jc w:val="center"/>
              <w:rPr>
                <w:rFonts w:ascii="Arial" w:hAnsi="Arial" w:cs="Arial"/>
                <w:color w:val="000000"/>
                <w:sz w:val="16"/>
                <w:szCs w:val="16"/>
              </w:rPr>
            </w:pPr>
            <w:r>
              <w:rPr>
                <w:rFonts w:ascii="Arial" w:hAnsi="Arial" w:cs="Arial"/>
                <w:color w:val="000000"/>
                <w:sz w:val="16"/>
                <w:szCs w:val="16"/>
              </w:rPr>
              <w:t>0</w:t>
            </w:r>
          </w:p>
        </w:tc>
        <w:tc>
          <w:tcPr>
            <w:tcW w:w="510" w:type="pct"/>
            <w:tcBorders>
              <w:top w:val="nil"/>
              <w:left w:val="nil"/>
              <w:bottom w:val="single" w:sz="8" w:space="0" w:color="auto"/>
              <w:right w:val="single" w:sz="8" w:space="0" w:color="auto"/>
            </w:tcBorders>
            <w:shd w:val="clear" w:color="auto" w:fill="auto"/>
            <w:noWrap/>
            <w:vAlign w:val="center"/>
            <w:hideMark/>
          </w:tcPr>
          <w:p w:rsidR="002D0009" w:rsidRDefault="002D0009">
            <w:pPr>
              <w:jc w:val="center"/>
              <w:rPr>
                <w:rFonts w:ascii="Arial" w:hAnsi="Arial" w:cs="Arial"/>
                <w:color w:val="000000"/>
                <w:sz w:val="16"/>
                <w:szCs w:val="16"/>
              </w:rPr>
            </w:pPr>
            <w:r>
              <w:rPr>
                <w:rFonts w:ascii="Arial" w:hAnsi="Arial" w:cs="Arial"/>
                <w:color w:val="000000"/>
                <w:sz w:val="16"/>
                <w:szCs w:val="16"/>
              </w:rPr>
              <w:t>0</w:t>
            </w:r>
          </w:p>
        </w:tc>
        <w:tc>
          <w:tcPr>
            <w:tcW w:w="510" w:type="pct"/>
            <w:tcBorders>
              <w:top w:val="nil"/>
              <w:left w:val="nil"/>
              <w:bottom w:val="single" w:sz="8" w:space="0" w:color="auto"/>
              <w:right w:val="single" w:sz="8" w:space="0" w:color="auto"/>
            </w:tcBorders>
            <w:shd w:val="clear" w:color="auto" w:fill="auto"/>
            <w:noWrap/>
            <w:vAlign w:val="center"/>
            <w:hideMark/>
          </w:tcPr>
          <w:p w:rsidR="002D0009" w:rsidRDefault="002D0009">
            <w:pPr>
              <w:jc w:val="center"/>
              <w:rPr>
                <w:rFonts w:ascii="Arial" w:hAnsi="Arial" w:cs="Arial"/>
                <w:color w:val="000000"/>
                <w:sz w:val="16"/>
                <w:szCs w:val="16"/>
              </w:rPr>
            </w:pPr>
            <w:r>
              <w:rPr>
                <w:rFonts w:ascii="Arial" w:hAnsi="Arial" w:cs="Arial"/>
                <w:color w:val="000000"/>
                <w:sz w:val="16"/>
                <w:szCs w:val="16"/>
              </w:rPr>
              <w:t>0</w:t>
            </w:r>
          </w:p>
        </w:tc>
        <w:tc>
          <w:tcPr>
            <w:tcW w:w="510" w:type="pct"/>
            <w:tcBorders>
              <w:top w:val="nil"/>
              <w:left w:val="nil"/>
              <w:bottom w:val="single" w:sz="8" w:space="0" w:color="auto"/>
              <w:right w:val="single" w:sz="8" w:space="0" w:color="auto"/>
            </w:tcBorders>
            <w:shd w:val="clear" w:color="auto" w:fill="auto"/>
            <w:noWrap/>
            <w:vAlign w:val="center"/>
            <w:hideMark/>
          </w:tcPr>
          <w:p w:rsidR="002D0009" w:rsidRDefault="002D0009">
            <w:pPr>
              <w:jc w:val="center"/>
              <w:rPr>
                <w:rFonts w:ascii="Arial" w:hAnsi="Arial" w:cs="Arial"/>
                <w:color w:val="000000"/>
                <w:sz w:val="16"/>
                <w:szCs w:val="16"/>
              </w:rPr>
            </w:pPr>
            <w:r>
              <w:rPr>
                <w:rFonts w:ascii="Arial" w:hAnsi="Arial" w:cs="Arial"/>
                <w:color w:val="000000"/>
                <w:sz w:val="16"/>
                <w:szCs w:val="16"/>
              </w:rPr>
              <w:t>0</w:t>
            </w:r>
          </w:p>
        </w:tc>
        <w:tc>
          <w:tcPr>
            <w:tcW w:w="510" w:type="pct"/>
            <w:tcBorders>
              <w:top w:val="nil"/>
              <w:left w:val="nil"/>
              <w:bottom w:val="single" w:sz="8" w:space="0" w:color="auto"/>
              <w:right w:val="single" w:sz="8" w:space="0" w:color="auto"/>
            </w:tcBorders>
            <w:shd w:val="clear" w:color="auto" w:fill="auto"/>
            <w:noWrap/>
            <w:vAlign w:val="center"/>
            <w:hideMark/>
          </w:tcPr>
          <w:p w:rsidR="002D0009" w:rsidRDefault="002D0009">
            <w:pPr>
              <w:jc w:val="center"/>
              <w:rPr>
                <w:rFonts w:ascii="Arial" w:hAnsi="Arial" w:cs="Arial"/>
                <w:color w:val="000000"/>
                <w:sz w:val="16"/>
                <w:szCs w:val="16"/>
              </w:rPr>
            </w:pPr>
            <w:r>
              <w:rPr>
                <w:rFonts w:ascii="Arial" w:hAnsi="Arial" w:cs="Arial"/>
                <w:color w:val="000000"/>
                <w:sz w:val="16"/>
                <w:szCs w:val="16"/>
              </w:rPr>
              <w:t>0</w:t>
            </w:r>
          </w:p>
        </w:tc>
        <w:tc>
          <w:tcPr>
            <w:tcW w:w="535" w:type="pct"/>
            <w:tcBorders>
              <w:top w:val="nil"/>
              <w:left w:val="nil"/>
              <w:bottom w:val="nil"/>
              <w:right w:val="nil"/>
            </w:tcBorders>
            <w:shd w:val="clear" w:color="auto" w:fill="auto"/>
            <w:noWrap/>
            <w:vAlign w:val="bottom"/>
            <w:hideMark/>
          </w:tcPr>
          <w:p w:rsidR="002D0009" w:rsidRDefault="002D0009">
            <w:pPr>
              <w:rPr>
                <w:rFonts w:ascii="Calibri" w:hAnsi="Calibri"/>
                <w:color w:val="000000"/>
                <w:sz w:val="22"/>
                <w:szCs w:val="22"/>
              </w:rPr>
            </w:pPr>
          </w:p>
        </w:tc>
      </w:tr>
      <w:tr w:rsidR="002D0009" w:rsidTr="002D0009">
        <w:trPr>
          <w:trHeight w:val="315"/>
        </w:trPr>
        <w:tc>
          <w:tcPr>
            <w:tcW w:w="1917" w:type="pct"/>
            <w:tcBorders>
              <w:top w:val="nil"/>
              <w:left w:val="single" w:sz="8" w:space="0" w:color="auto"/>
              <w:bottom w:val="single" w:sz="8" w:space="0" w:color="auto"/>
              <w:right w:val="single" w:sz="8" w:space="0" w:color="auto"/>
            </w:tcBorders>
            <w:shd w:val="clear" w:color="000000" w:fill="EAF1DD"/>
            <w:vAlign w:val="center"/>
            <w:hideMark/>
          </w:tcPr>
          <w:p w:rsidR="002D0009" w:rsidRDefault="002D0009">
            <w:pPr>
              <w:rPr>
                <w:rFonts w:ascii="Arial" w:hAnsi="Arial" w:cs="Arial"/>
                <w:b/>
                <w:bCs/>
                <w:color w:val="000000"/>
                <w:sz w:val="16"/>
                <w:szCs w:val="16"/>
              </w:rPr>
            </w:pPr>
            <w:r>
              <w:rPr>
                <w:rFonts w:ascii="Arial" w:hAnsi="Arial" w:cs="Arial"/>
                <w:b/>
                <w:bCs/>
                <w:color w:val="000000"/>
                <w:sz w:val="16"/>
                <w:szCs w:val="16"/>
              </w:rPr>
              <w:t>Celkom</w:t>
            </w:r>
          </w:p>
        </w:tc>
        <w:tc>
          <w:tcPr>
            <w:tcW w:w="510" w:type="pct"/>
            <w:tcBorders>
              <w:top w:val="nil"/>
              <w:left w:val="nil"/>
              <w:bottom w:val="single" w:sz="8" w:space="0" w:color="auto"/>
              <w:right w:val="single" w:sz="8" w:space="0" w:color="auto"/>
            </w:tcBorders>
            <w:shd w:val="clear" w:color="000000" w:fill="EAF1DD"/>
            <w:noWrap/>
            <w:vAlign w:val="center"/>
            <w:hideMark/>
          </w:tcPr>
          <w:p w:rsidR="002D0009" w:rsidRDefault="002D0009">
            <w:pPr>
              <w:jc w:val="center"/>
              <w:rPr>
                <w:rFonts w:ascii="Arial" w:hAnsi="Arial" w:cs="Arial"/>
                <w:b/>
                <w:bCs/>
                <w:color w:val="000000"/>
                <w:sz w:val="16"/>
                <w:szCs w:val="16"/>
              </w:rPr>
            </w:pPr>
            <w:r>
              <w:rPr>
                <w:rFonts w:ascii="Arial" w:hAnsi="Arial" w:cs="Arial"/>
                <w:b/>
                <w:bCs/>
                <w:color w:val="000000"/>
                <w:sz w:val="16"/>
                <w:szCs w:val="16"/>
              </w:rPr>
              <w:t>2659</w:t>
            </w:r>
          </w:p>
        </w:tc>
        <w:tc>
          <w:tcPr>
            <w:tcW w:w="510" w:type="pct"/>
            <w:tcBorders>
              <w:top w:val="nil"/>
              <w:left w:val="nil"/>
              <w:bottom w:val="single" w:sz="8" w:space="0" w:color="auto"/>
              <w:right w:val="single" w:sz="8" w:space="0" w:color="auto"/>
            </w:tcBorders>
            <w:shd w:val="clear" w:color="000000" w:fill="EAF1DD"/>
            <w:noWrap/>
            <w:vAlign w:val="center"/>
            <w:hideMark/>
          </w:tcPr>
          <w:p w:rsidR="002D0009" w:rsidRDefault="002D0009">
            <w:pPr>
              <w:jc w:val="center"/>
              <w:rPr>
                <w:rFonts w:ascii="Arial" w:hAnsi="Arial" w:cs="Arial"/>
                <w:b/>
                <w:bCs/>
                <w:color w:val="000000"/>
                <w:sz w:val="16"/>
                <w:szCs w:val="16"/>
              </w:rPr>
            </w:pPr>
            <w:r>
              <w:rPr>
                <w:rFonts w:ascii="Arial" w:hAnsi="Arial" w:cs="Arial"/>
                <w:b/>
                <w:bCs/>
                <w:color w:val="000000"/>
                <w:sz w:val="16"/>
                <w:szCs w:val="16"/>
              </w:rPr>
              <w:t>644</w:t>
            </w:r>
          </w:p>
        </w:tc>
        <w:tc>
          <w:tcPr>
            <w:tcW w:w="510" w:type="pct"/>
            <w:tcBorders>
              <w:top w:val="nil"/>
              <w:left w:val="nil"/>
              <w:bottom w:val="single" w:sz="8" w:space="0" w:color="auto"/>
              <w:right w:val="single" w:sz="8" w:space="0" w:color="auto"/>
            </w:tcBorders>
            <w:shd w:val="clear" w:color="000000" w:fill="EAF1DD"/>
            <w:noWrap/>
            <w:vAlign w:val="center"/>
            <w:hideMark/>
          </w:tcPr>
          <w:p w:rsidR="002D0009" w:rsidRDefault="002D0009">
            <w:pPr>
              <w:jc w:val="center"/>
              <w:rPr>
                <w:rFonts w:ascii="Arial" w:hAnsi="Arial" w:cs="Arial"/>
                <w:b/>
                <w:bCs/>
                <w:color w:val="000000"/>
                <w:sz w:val="16"/>
                <w:szCs w:val="16"/>
              </w:rPr>
            </w:pPr>
            <w:r>
              <w:rPr>
                <w:rFonts w:ascii="Arial" w:hAnsi="Arial" w:cs="Arial"/>
                <w:b/>
                <w:bCs/>
                <w:color w:val="000000"/>
                <w:sz w:val="16"/>
                <w:szCs w:val="16"/>
              </w:rPr>
              <w:t>566</w:t>
            </w:r>
          </w:p>
        </w:tc>
        <w:tc>
          <w:tcPr>
            <w:tcW w:w="510" w:type="pct"/>
            <w:tcBorders>
              <w:top w:val="nil"/>
              <w:left w:val="nil"/>
              <w:bottom w:val="single" w:sz="8" w:space="0" w:color="auto"/>
              <w:right w:val="single" w:sz="8" w:space="0" w:color="auto"/>
            </w:tcBorders>
            <w:shd w:val="clear" w:color="000000" w:fill="EAF1DD"/>
            <w:noWrap/>
            <w:vAlign w:val="center"/>
            <w:hideMark/>
          </w:tcPr>
          <w:p w:rsidR="002D0009" w:rsidRDefault="002D0009">
            <w:pPr>
              <w:jc w:val="center"/>
              <w:rPr>
                <w:rFonts w:ascii="Arial" w:hAnsi="Arial" w:cs="Arial"/>
                <w:b/>
                <w:bCs/>
                <w:color w:val="000000"/>
                <w:sz w:val="16"/>
                <w:szCs w:val="16"/>
              </w:rPr>
            </w:pPr>
            <w:r>
              <w:rPr>
                <w:rFonts w:ascii="Arial" w:hAnsi="Arial" w:cs="Arial"/>
                <w:b/>
                <w:bCs/>
                <w:color w:val="000000"/>
                <w:sz w:val="16"/>
                <w:szCs w:val="16"/>
              </w:rPr>
              <w:t>254</w:t>
            </w:r>
          </w:p>
        </w:tc>
        <w:tc>
          <w:tcPr>
            <w:tcW w:w="510" w:type="pct"/>
            <w:tcBorders>
              <w:top w:val="nil"/>
              <w:left w:val="nil"/>
              <w:bottom w:val="single" w:sz="8" w:space="0" w:color="auto"/>
              <w:right w:val="single" w:sz="8" w:space="0" w:color="auto"/>
            </w:tcBorders>
            <w:shd w:val="clear" w:color="000000" w:fill="EAF1DD"/>
            <w:noWrap/>
            <w:vAlign w:val="center"/>
            <w:hideMark/>
          </w:tcPr>
          <w:p w:rsidR="002D0009" w:rsidRDefault="002D0009">
            <w:pPr>
              <w:jc w:val="center"/>
              <w:rPr>
                <w:rFonts w:ascii="Arial" w:hAnsi="Arial" w:cs="Arial"/>
                <w:b/>
                <w:bCs/>
                <w:color w:val="000000"/>
                <w:sz w:val="16"/>
                <w:szCs w:val="16"/>
              </w:rPr>
            </w:pPr>
            <w:r>
              <w:rPr>
                <w:rFonts w:ascii="Arial" w:hAnsi="Arial" w:cs="Arial"/>
                <w:b/>
                <w:bCs/>
                <w:color w:val="000000"/>
                <w:sz w:val="16"/>
                <w:szCs w:val="16"/>
              </w:rPr>
              <w:t>25</w:t>
            </w:r>
          </w:p>
        </w:tc>
        <w:tc>
          <w:tcPr>
            <w:tcW w:w="535" w:type="pct"/>
            <w:tcBorders>
              <w:top w:val="nil"/>
              <w:left w:val="nil"/>
              <w:bottom w:val="nil"/>
              <w:right w:val="nil"/>
            </w:tcBorders>
            <w:shd w:val="clear" w:color="auto" w:fill="auto"/>
            <w:noWrap/>
            <w:vAlign w:val="bottom"/>
            <w:hideMark/>
          </w:tcPr>
          <w:p w:rsidR="002D0009" w:rsidRDefault="002D0009">
            <w:pPr>
              <w:rPr>
                <w:rFonts w:ascii="Calibri" w:hAnsi="Calibri"/>
                <w:color w:val="000000"/>
                <w:sz w:val="22"/>
                <w:szCs w:val="22"/>
              </w:rPr>
            </w:pPr>
          </w:p>
        </w:tc>
      </w:tr>
      <w:tr w:rsidR="002D0009" w:rsidTr="003D5BD5">
        <w:trPr>
          <w:trHeight w:val="315"/>
        </w:trPr>
        <w:tc>
          <w:tcPr>
            <w:tcW w:w="1917" w:type="pct"/>
            <w:tcBorders>
              <w:top w:val="nil"/>
              <w:left w:val="single" w:sz="8" w:space="0" w:color="auto"/>
              <w:bottom w:val="single" w:sz="8" w:space="0" w:color="auto"/>
              <w:right w:val="single" w:sz="8" w:space="0" w:color="auto"/>
            </w:tcBorders>
            <w:shd w:val="clear" w:color="auto" w:fill="auto"/>
            <w:vAlign w:val="center"/>
            <w:hideMark/>
          </w:tcPr>
          <w:p w:rsidR="002D0009" w:rsidRDefault="002D0009">
            <w:pPr>
              <w:rPr>
                <w:rFonts w:ascii="Arial" w:hAnsi="Arial" w:cs="Arial"/>
                <w:color w:val="000000"/>
                <w:sz w:val="16"/>
                <w:szCs w:val="16"/>
              </w:rPr>
            </w:pPr>
            <w:r>
              <w:rPr>
                <w:rFonts w:ascii="Arial" w:hAnsi="Arial" w:cs="Arial"/>
                <w:color w:val="000000"/>
                <w:sz w:val="16"/>
                <w:szCs w:val="16"/>
              </w:rPr>
              <w:t>6 Technická pomoc</w:t>
            </w:r>
          </w:p>
        </w:tc>
        <w:tc>
          <w:tcPr>
            <w:tcW w:w="510" w:type="pct"/>
            <w:tcBorders>
              <w:top w:val="nil"/>
              <w:left w:val="nil"/>
              <w:bottom w:val="single" w:sz="8" w:space="0" w:color="auto"/>
              <w:right w:val="single" w:sz="8" w:space="0" w:color="auto"/>
            </w:tcBorders>
            <w:shd w:val="clear" w:color="auto" w:fill="auto"/>
            <w:noWrap/>
            <w:vAlign w:val="center"/>
            <w:hideMark/>
          </w:tcPr>
          <w:p w:rsidR="002D0009" w:rsidRDefault="002D0009">
            <w:pPr>
              <w:jc w:val="center"/>
              <w:rPr>
                <w:rFonts w:ascii="Arial" w:hAnsi="Arial" w:cs="Arial"/>
                <w:color w:val="000000"/>
                <w:sz w:val="16"/>
                <w:szCs w:val="16"/>
              </w:rPr>
            </w:pPr>
            <w:r>
              <w:rPr>
                <w:rFonts w:ascii="Arial" w:hAnsi="Arial" w:cs="Arial"/>
                <w:color w:val="000000"/>
                <w:sz w:val="16"/>
                <w:szCs w:val="16"/>
              </w:rPr>
              <w:t>15</w:t>
            </w:r>
          </w:p>
        </w:tc>
        <w:tc>
          <w:tcPr>
            <w:tcW w:w="510" w:type="pct"/>
            <w:tcBorders>
              <w:top w:val="nil"/>
              <w:left w:val="nil"/>
              <w:bottom w:val="single" w:sz="8" w:space="0" w:color="auto"/>
              <w:right w:val="single" w:sz="8" w:space="0" w:color="auto"/>
            </w:tcBorders>
            <w:shd w:val="clear" w:color="auto" w:fill="auto"/>
            <w:noWrap/>
            <w:vAlign w:val="center"/>
            <w:hideMark/>
          </w:tcPr>
          <w:p w:rsidR="002D0009" w:rsidRDefault="002D0009">
            <w:pPr>
              <w:jc w:val="center"/>
              <w:rPr>
                <w:rFonts w:ascii="Arial" w:hAnsi="Arial" w:cs="Arial"/>
                <w:color w:val="000000"/>
                <w:sz w:val="16"/>
                <w:szCs w:val="16"/>
              </w:rPr>
            </w:pPr>
            <w:r>
              <w:rPr>
                <w:rFonts w:ascii="Arial" w:hAnsi="Arial" w:cs="Arial"/>
                <w:color w:val="000000"/>
                <w:sz w:val="16"/>
                <w:szCs w:val="16"/>
              </w:rPr>
              <w:t>15</w:t>
            </w:r>
          </w:p>
        </w:tc>
        <w:tc>
          <w:tcPr>
            <w:tcW w:w="510" w:type="pct"/>
            <w:tcBorders>
              <w:top w:val="nil"/>
              <w:left w:val="nil"/>
              <w:bottom w:val="single" w:sz="8" w:space="0" w:color="auto"/>
              <w:right w:val="single" w:sz="8" w:space="0" w:color="auto"/>
            </w:tcBorders>
            <w:shd w:val="clear" w:color="auto" w:fill="auto"/>
            <w:noWrap/>
            <w:vAlign w:val="center"/>
            <w:hideMark/>
          </w:tcPr>
          <w:p w:rsidR="002D0009" w:rsidRDefault="002D0009">
            <w:pPr>
              <w:jc w:val="center"/>
              <w:rPr>
                <w:rFonts w:ascii="Arial" w:hAnsi="Arial" w:cs="Arial"/>
                <w:color w:val="000000"/>
                <w:sz w:val="16"/>
                <w:szCs w:val="16"/>
              </w:rPr>
            </w:pPr>
            <w:r>
              <w:rPr>
                <w:rFonts w:ascii="Arial" w:hAnsi="Arial" w:cs="Arial"/>
                <w:color w:val="000000"/>
                <w:sz w:val="16"/>
                <w:szCs w:val="16"/>
              </w:rPr>
              <w:t>15</w:t>
            </w:r>
          </w:p>
        </w:tc>
        <w:tc>
          <w:tcPr>
            <w:tcW w:w="510" w:type="pct"/>
            <w:tcBorders>
              <w:top w:val="nil"/>
              <w:left w:val="nil"/>
              <w:bottom w:val="single" w:sz="8" w:space="0" w:color="auto"/>
              <w:right w:val="single" w:sz="8" w:space="0" w:color="auto"/>
            </w:tcBorders>
            <w:shd w:val="clear" w:color="auto" w:fill="auto"/>
            <w:noWrap/>
            <w:vAlign w:val="center"/>
            <w:hideMark/>
          </w:tcPr>
          <w:p w:rsidR="002D0009" w:rsidRDefault="002D0009">
            <w:pPr>
              <w:jc w:val="center"/>
              <w:rPr>
                <w:rFonts w:ascii="Arial" w:hAnsi="Arial" w:cs="Arial"/>
                <w:color w:val="000000"/>
                <w:sz w:val="16"/>
                <w:szCs w:val="16"/>
              </w:rPr>
            </w:pPr>
            <w:r>
              <w:rPr>
                <w:rFonts w:ascii="Arial" w:hAnsi="Arial" w:cs="Arial"/>
                <w:color w:val="000000"/>
                <w:sz w:val="16"/>
                <w:szCs w:val="16"/>
              </w:rPr>
              <w:t>8</w:t>
            </w:r>
          </w:p>
        </w:tc>
        <w:tc>
          <w:tcPr>
            <w:tcW w:w="510" w:type="pct"/>
            <w:tcBorders>
              <w:top w:val="nil"/>
              <w:left w:val="nil"/>
              <w:bottom w:val="single" w:sz="8" w:space="0" w:color="auto"/>
              <w:right w:val="single" w:sz="8" w:space="0" w:color="auto"/>
            </w:tcBorders>
            <w:shd w:val="clear" w:color="auto" w:fill="auto"/>
            <w:noWrap/>
            <w:vAlign w:val="center"/>
            <w:hideMark/>
          </w:tcPr>
          <w:p w:rsidR="002D0009" w:rsidRDefault="002D0009" w:rsidP="008D10D2">
            <w:pPr>
              <w:jc w:val="center"/>
              <w:rPr>
                <w:rFonts w:ascii="Arial" w:hAnsi="Arial" w:cs="Arial"/>
                <w:color w:val="000000"/>
                <w:sz w:val="16"/>
                <w:szCs w:val="16"/>
              </w:rPr>
            </w:pPr>
            <w:r>
              <w:rPr>
                <w:rFonts w:ascii="Arial" w:hAnsi="Arial" w:cs="Arial"/>
                <w:color w:val="000000"/>
                <w:sz w:val="16"/>
                <w:szCs w:val="16"/>
              </w:rPr>
              <w:t>10</w:t>
            </w:r>
          </w:p>
        </w:tc>
        <w:tc>
          <w:tcPr>
            <w:tcW w:w="535" w:type="pct"/>
            <w:tcBorders>
              <w:top w:val="nil"/>
              <w:left w:val="nil"/>
              <w:bottom w:val="nil"/>
              <w:right w:val="nil"/>
            </w:tcBorders>
            <w:shd w:val="clear" w:color="auto" w:fill="auto"/>
            <w:noWrap/>
            <w:vAlign w:val="bottom"/>
            <w:hideMark/>
          </w:tcPr>
          <w:p w:rsidR="002D0009" w:rsidRDefault="002D0009">
            <w:pPr>
              <w:rPr>
                <w:rFonts w:ascii="Calibri" w:hAnsi="Calibri"/>
                <w:color w:val="000000"/>
                <w:sz w:val="22"/>
                <w:szCs w:val="22"/>
              </w:rPr>
            </w:pPr>
          </w:p>
        </w:tc>
      </w:tr>
      <w:tr w:rsidR="002D0009" w:rsidTr="003D5BD5">
        <w:trPr>
          <w:trHeight w:val="315"/>
        </w:trPr>
        <w:tc>
          <w:tcPr>
            <w:tcW w:w="1917" w:type="pct"/>
            <w:tcBorders>
              <w:top w:val="single" w:sz="8" w:space="0" w:color="auto"/>
              <w:left w:val="single" w:sz="8" w:space="0" w:color="auto"/>
              <w:bottom w:val="single" w:sz="4" w:space="0" w:color="auto"/>
              <w:right w:val="single" w:sz="8" w:space="0" w:color="auto"/>
            </w:tcBorders>
            <w:shd w:val="clear" w:color="000000" w:fill="EAF1DD"/>
            <w:vAlign w:val="center"/>
            <w:hideMark/>
          </w:tcPr>
          <w:p w:rsidR="002D0009" w:rsidRDefault="002D0009">
            <w:pPr>
              <w:rPr>
                <w:rFonts w:ascii="Arial" w:hAnsi="Arial" w:cs="Arial"/>
                <w:b/>
                <w:bCs/>
                <w:color w:val="000000"/>
                <w:sz w:val="16"/>
                <w:szCs w:val="16"/>
              </w:rPr>
            </w:pPr>
            <w:r>
              <w:rPr>
                <w:rFonts w:ascii="Arial" w:hAnsi="Arial" w:cs="Arial"/>
                <w:b/>
                <w:bCs/>
                <w:color w:val="000000"/>
                <w:sz w:val="16"/>
                <w:szCs w:val="16"/>
              </w:rPr>
              <w:t>Celkom</w:t>
            </w:r>
          </w:p>
        </w:tc>
        <w:tc>
          <w:tcPr>
            <w:tcW w:w="510" w:type="pct"/>
            <w:tcBorders>
              <w:top w:val="single" w:sz="8" w:space="0" w:color="auto"/>
              <w:left w:val="nil"/>
              <w:bottom w:val="single" w:sz="4" w:space="0" w:color="auto"/>
              <w:right w:val="single" w:sz="8" w:space="0" w:color="auto"/>
            </w:tcBorders>
            <w:shd w:val="clear" w:color="000000" w:fill="EAF1DD"/>
            <w:noWrap/>
            <w:vAlign w:val="center"/>
            <w:hideMark/>
          </w:tcPr>
          <w:p w:rsidR="002D0009" w:rsidRDefault="002D0009">
            <w:pPr>
              <w:jc w:val="center"/>
              <w:rPr>
                <w:rFonts w:ascii="Arial" w:hAnsi="Arial" w:cs="Arial"/>
                <w:b/>
                <w:bCs/>
                <w:color w:val="000000"/>
                <w:sz w:val="16"/>
                <w:szCs w:val="16"/>
              </w:rPr>
            </w:pPr>
            <w:r>
              <w:rPr>
                <w:rFonts w:ascii="Arial" w:hAnsi="Arial" w:cs="Arial"/>
                <w:b/>
                <w:bCs/>
                <w:color w:val="000000"/>
                <w:sz w:val="16"/>
                <w:szCs w:val="16"/>
              </w:rPr>
              <w:t>2 674</w:t>
            </w:r>
          </w:p>
        </w:tc>
        <w:tc>
          <w:tcPr>
            <w:tcW w:w="510" w:type="pct"/>
            <w:tcBorders>
              <w:top w:val="single" w:sz="8" w:space="0" w:color="auto"/>
              <w:left w:val="nil"/>
              <w:bottom w:val="single" w:sz="4" w:space="0" w:color="auto"/>
              <w:right w:val="single" w:sz="8" w:space="0" w:color="auto"/>
            </w:tcBorders>
            <w:shd w:val="clear" w:color="000000" w:fill="EAF1DD"/>
            <w:noWrap/>
            <w:vAlign w:val="center"/>
            <w:hideMark/>
          </w:tcPr>
          <w:p w:rsidR="002D0009" w:rsidRDefault="002D0009">
            <w:pPr>
              <w:jc w:val="center"/>
              <w:rPr>
                <w:rFonts w:ascii="Arial" w:hAnsi="Arial" w:cs="Arial"/>
                <w:b/>
                <w:bCs/>
                <w:color w:val="000000"/>
                <w:sz w:val="16"/>
                <w:szCs w:val="16"/>
              </w:rPr>
            </w:pPr>
            <w:r>
              <w:rPr>
                <w:rFonts w:ascii="Arial" w:hAnsi="Arial" w:cs="Arial"/>
                <w:b/>
                <w:bCs/>
                <w:color w:val="000000"/>
                <w:sz w:val="16"/>
                <w:szCs w:val="16"/>
              </w:rPr>
              <w:t>659</w:t>
            </w:r>
          </w:p>
        </w:tc>
        <w:tc>
          <w:tcPr>
            <w:tcW w:w="510" w:type="pct"/>
            <w:tcBorders>
              <w:top w:val="single" w:sz="8" w:space="0" w:color="auto"/>
              <w:left w:val="nil"/>
              <w:bottom w:val="single" w:sz="4" w:space="0" w:color="auto"/>
              <w:right w:val="single" w:sz="8" w:space="0" w:color="auto"/>
            </w:tcBorders>
            <w:shd w:val="clear" w:color="000000" w:fill="EAF1DD"/>
            <w:noWrap/>
            <w:vAlign w:val="center"/>
            <w:hideMark/>
          </w:tcPr>
          <w:p w:rsidR="002D0009" w:rsidRDefault="002D0009">
            <w:pPr>
              <w:jc w:val="center"/>
              <w:rPr>
                <w:rFonts w:ascii="Arial" w:hAnsi="Arial" w:cs="Arial"/>
                <w:b/>
                <w:bCs/>
                <w:color w:val="000000"/>
                <w:sz w:val="16"/>
                <w:szCs w:val="16"/>
              </w:rPr>
            </w:pPr>
            <w:r>
              <w:rPr>
                <w:rFonts w:ascii="Arial" w:hAnsi="Arial" w:cs="Arial"/>
                <w:b/>
                <w:bCs/>
                <w:color w:val="000000"/>
                <w:sz w:val="16"/>
                <w:szCs w:val="16"/>
              </w:rPr>
              <w:t>581</w:t>
            </w:r>
          </w:p>
        </w:tc>
        <w:tc>
          <w:tcPr>
            <w:tcW w:w="510" w:type="pct"/>
            <w:tcBorders>
              <w:top w:val="single" w:sz="8" w:space="0" w:color="auto"/>
              <w:left w:val="nil"/>
              <w:bottom w:val="single" w:sz="4" w:space="0" w:color="auto"/>
              <w:right w:val="single" w:sz="8" w:space="0" w:color="auto"/>
            </w:tcBorders>
            <w:shd w:val="clear" w:color="000000" w:fill="EAF1DD"/>
            <w:noWrap/>
            <w:vAlign w:val="center"/>
            <w:hideMark/>
          </w:tcPr>
          <w:p w:rsidR="002D0009" w:rsidRDefault="002D0009">
            <w:pPr>
              <w:jc w:val="center"/>
              <w:rPr>
                <w:rFonts w:ascii="Arial" w:hAnsi="Arial" w:cs="Arial"/>
                <w:b/>
                <w:bCs/>
                <w:color w:val="000000"/>
                <w:sz w:val="16"/>
                <w:szCs w:val="16"/>
              </w:rPr>
            </w:pPr>
            <w:r>
              <w:rPr>
                <w:rFonts w:ascii="Arial" w:hAnsi="Arial" w:cs="Arial"/>
                <w:b/>
                <w:bCs/>
                <w:color w:val="000000"/>
                <w:sz w:val="16"/>
                <w:szCs w:val="16"/>
              </w:rPr>
              <w:t>262</w:t>
            </w:r>
          </w:p>
        </w:tc>
        <w:tc>
          <w:tcPr>
            <w:tcW w:w="510" w:type="pct"/>
            <w:tcBorders>
              <w:top w:val="single" w:sz="8" w:space="0" w:color="auto"/>
              <w:left w:val="nil"/>
              <w:bottom w:val="single" w:sz="4" w:space="0" w:color="auto"/>
              <w:right w:val="single" w:sz="8" w:space="0" w:color="auto"/>
            </w:tcBorders>
            <w:shd w:val="clear" w:color="000000" w:fill="EAF1DD"/>
            <w:noWrap/>
            <w:vAlign w:val="center"/>
            <w:hideMark/>
          </w:tcPr>
          <w:p w:rsidR="002D0009" w:rsidRDefault="002D0009">
            <w:pPr>
              <w:jc w:val="center"/>
              <w:rPr>
                <w:rFonts w:ascii="Arial" w:hAnsi="Arial" w:cs="Arial"/>
                <w:b/>
                <w:bCs/>
                <w:color w:val="000000"/>
                <w:sz w:val="16"/>
                <w:szCs w:val="16"/>
              </w:rPr>
            </w:pPr>
            <w:r>
              <w:rPr>
                <w:rFonts w:ascii="Arial" w:hAnsi="Arial" w:cs="Arial"/>
                <w:b/>
                <w:bCs/>
                <w:color w:val="000000"/>
                <w:sz w:val="16"/>
                <w:szCs w:val="16"/>
              </w:rPr>
              <w:t>35</w:t>
            </w:r>
          </w:p>
        </w:tc>
        <w:tc>
          <w:tcPr>
            <w:tcW w:w="535" w:type="pct"/>
            <w:tcBorders>
              <w:top w:val="nil"/>
              <w:left w:val="nil"/>
              <w:right w:val="nil"/>
            </w:tcBorders>
            <w:shd w:val="clear" w:color="auto" w:fill="auto"/>
            <w:noWrap/>
            <w:vAlign w:val="bottom"/>
            <w:hideMark/>
          </w:tcPr>
          <w:p w:rsidR="002D0009" w:rsidRDefault="002D0009">
            <w:pPr>
              <w:rPr>
                <w:rFonts w:ascii="Calibri" w:hAnsi="Calibri"/>
                <w:color w:val="000000"/>
                <w:sz w:val="22"/>
                <w:szCs w:val="22"/>
              </w:rPr>
            </w:pPr>
          </w:p>
        </w:tc>
      </w:tr>
      <w:tr w:rsidR="002D0009" w:rsidTr="003D5BD5">
        <w:trPr>
          <w:trHeight w:val="315"/>
        </w:trPr>
        <w:tc>
          <w:tcPr>
            <w:tcW w:w="4465" w:type="pct"/>
            <w:gridSpan w:val="6"/>
            <w:tcBorders>
              <w:top w:val="single" w:sz="4" w:space="0" w:color="auto"/>
              <w:bottom w:val="single" w:sz="4" w:space="0" w:color="auto"/>
            </w:tcBorders>
            <w:shd w:val="clear" w:color="auto" w:fill="auto"/>
            <w:vAlign w:val="center"/>
            <w:hideMark/>
          </w:tcPr>
          <w:p w:rsidR="002D0009" w:rsidRDefault="002D0009">
            <w:pPr>
              <w:rPr>
                <w:rFonts w:ascii="Arial" w:hAnsi="Arial" w:cs="Arial"/>
                <w:b/>
                <w:bCs/>
                <w:i/>
                <w:iCs/>
                <w:color w:val="000000"/>
                <w:sz w:val="16"/>
                <w:szCs w:val="16"/>
              </w:rPr>
            </w:pPr>
            <w:r>
              <w:rPr>
                <w:rFonts w:ascii="Arial" w:hAnsi="Arial" w:cs="Arial"/>
                <w:b/>
                <w:bCs/>
                <w:i/>
                <w:iCs/>
                <w:color w:val="000000"/>
                <w:sz w:val="16"/>
                <w:szCs w:val="16"/>
              </w:rPr>
              <w:t>Finančné vyčíslenie ŠF/KF a ŠR v €</w:t>
            </w:r>
          </w:p>
        </w:tc>
        <w:tc>
          <w:tcPr>
            <w:tcW w:w="535" w:type="pct"/>
            <w:tcBorders>
              <w:bottom w:val="single" w:sz="4" w:space="0" w:color="auto"/>
              <w:right w:val="nil"/>
            </w:tcBorders>
            <w:shd w:val="clear" w:color="auto" w:fill="auto"/>
            <w:noWrap/>
            <w:vAlign w:val="bottom"/>
            <w:hideMark/>
          </w:tcPr>
          <w:p w:rsidR="002D0009" w:rsidRDefault="002D0009">
            <w:pPr>
              <w:rPr>
                <w:rFonts w:ascii="Calibri" w:hAnsi="Calibri"/>
                <w:color w:val="000000"/>
                <w:sz w:val="22"/>
                <w:szCs w:val="22"/>
              </w:rPr>
            </w:pPr>
          </w:p>
        </w:tc>
      </w:tr>
      <w:tr w:rsidR="002D0009" w:rsidTr="003D5BD5">
        <w:trPr>
          <w:trHeight w:val="915"/>
        </w:trPr>
        <w:tc>
          <w:tcPr>
            <w:tcW w:w="1917" w:type="pct"/>
            <w:tcBorders>
              <w:top w:val="single" w:sz="4" w:space="0" w:color="auto"/>
              <w:left w:val="single" w:sz="8" w:space="0" w:color="auto"/>
              <w:bottom w:val="single" w:sz="8" w:space="0" w:color="auto"/>
              <w:right w:val="single" w:sz="8" w:space="0" w:color="auto"/>
            </w:tcBorders>
            <w:shd w:val="clear" w:color="000000" w:fill="D6E3BC"/>
            <w:vAlign w:val="center"/>
            <w:hideMark/>
          </w:tcPr>
          <w:p w:rsidR="002D0009" w:rsidRDefault="002D0009">
            <w:pPr>
              <w:jc w:val="center"/>
              <w:rPr>
                <w:rFonts w:ascii="Arial" w:hAnsi="Arial" w:cs="Arial"/>
                <w:b/>
                <w:bCs/>
                <w:color w:val="000000"/>
                <w:sz w:val="16"/>
                <w:szCs w:val="16"/>
              </w:rPr>
            </w:pPr>
            <w:r>
              <w:rPr>
                <w:rFonts w:ascii="Arial" w:hAnsi="Arial" w:cs="Arial"/>
                <w:b/>
                <w:bCs/>
                <w:color w:val="000000"/>
                <w:sz w:val="16"/>
                <w:szCs w:val="16"/>
              </w:rPr>
              <w:t>Prioritná os</w:t>
            </w:r>
          </w:p>
        </w:tc>
        <w:tc>
          <w:tcPr>
            <w:tcW w:w="510" w:type="pct"/>
            <w:tcBorders>
              <w:top w:val="single" w:sz="4" w:space="0" w:color="auto"/>
              <w:left w:val="nil"/>
              <w:bottom w:val="single" w:sz="8" w:space="0" w:color="auto"/>
              <w:right w:val="single" w:sz="8" w:space="0" w:color="auto"/>
            </w:tcBorders>
            <w:shd w:val="clear" w:color="000000" w:fill="D6E3BC"/>
            <w:vAlign w:val="center"/>
            <w:hideMark/>
          </w:tcPr>
          <w:p w:rsidR="002D0009" w:rsidRDefault="002D0009">
            <w:pPr>
              <w:jc w:val="center"/>
              <w:rPr>
                <w:rFonts w:ascii="Arial" w:hAnsi="Arial" w:cs="Arial"/>
                <w:b/>
                <w:bCs/>
                <w:color w:val="000000"/>
                <w:sz w:val="16"/>
                <w:szCs w:val="16"/>
              </w:rPr>
            </w:pPr>
            <w:r>
              <w:rPr>
                <w:rFonts w:ascii="Arial" w:hAnsi="Arial" w:cs="Arial"/>
                <w:b/>
                <w:bCs/>
                <w:color w:val="000000"/>
                <w:sz w:val="16"/>
                <w:szCs w:val="16"/>
              </w:rPr>
              <w:t>Alokácia za zdroj EÚ+ŠR</w:t>
            </w:r>
          </w:p>
        </w:tc>
        <w:tc>
          <w:tcPr>
            <w:tcW w:w="510" w:type="pct"/>
            <w:tcBorders>
              <w:top w:val="single" w:sz="4" w:space="0" w:color="auto"/>
              <w:left w:val="nil"/>
              <w:bottom w:val="single" w:sz="8" w:space="0" w:color="auto"/>
              <w:right w:val="single" w:sz="8" w:space="0" w:color="auto"/>
            </w:tcBorders>
            <w:shd w:val="clear" w:color="000000" w:fill="D6E3BC"/>
            <w:vAlign w:val="center"/>
            <w:hideMark/>
          </w:tcPr>
          <w:p w:rsidR="002D0009" w:rsidRDefault="002D0009">
            <w:pPr>
              <w:jc w:val="center"/>
              <w:rPr>
                <w:rFonts w:ascii="Arial" w:hAnsi="Arial" w:cs="Arial"/>
                <w:b/>
                <w:bCs/>
                <w:color w:val="000000"/>
                <w:sz w:val="16"/>
                <w:szCs w:val="16"/>
              </w:rPr>
            </w:pPr>
            <w:r>
              <w:rPr>
                <w:rFonts w:ascii="Arial" w:hAnsi="Arial" w:cs="Arial"/>
                <w:b/>
                <w:bCs/>
                <w:color w:val="000000"/>
                <w:sz w:val="16"/>
                <w:szCs w:val="16"/>
              </w:rPr>
              <w:t>Výška žiadaného príspevku (NFP)</w:t>
            </w:r>
          </w:p>
        </w:tc>
        <w:tc>
          <w:tcPr>
            <w:tcW w:w="510" w:type="pct"/>
            <w:tcBorders>
              <w:top w:val="single" w:sz="4" w:space="0" w:color="auto"/>
              <w:left w:val="nil"/>
              <w:bottom w:val="single" w:sz="8" w:space="0" w:color="auto"/>
              <w:right w:val="single" w:sz="8" w:space="0" w:color="auto"/>
            </w:tcBorders>
            <w:shd w:val="clear" w:color="000000" w:fill="D6E3BC"/>
            <w:vAlign w:val="center"/>
            <w:hideMark/>
          </w:tcPr>
          <w:p w:rsidR="002D0009" w:rsidRDefault="002D0009">
            <w:pPr>
              <w:jc w:val="center"/>
              <w:rPr>
                <w:rFonts w:ascii="Arial" w:hAnsi="Arial" w:cs="Arial"/>
                <w:b/>
                <w:bCs/>
                <w:color w:val="000000"/>
                <w:sz w:val="16"/>
                <w:szCs w:val="16"/>
              </w:rPr>
            </w:pPr>
            <w:r>
              <w:rPr>
                <w:rFonts w:ascii="Arial" w:hAnsi="Arial" w:cs="Arial"/>
                <w:b/>
                <w:bCs/>
                <w:color w:val="000000"/>
                <w:sz w:val="16"/>
                <w:szCs w:val="16"/>
              </w:rPr>
              <w:t>Výška schváleného príspevku (NFP)</w:t>
            </w:r>
          </w:p>
        </w:tc>
        <w:tc>
          <w:tcPr>
            <w:tcW w:w="510" w:type="pct"/>
            <w:tcBorders>
              <w:top w:val="single" w:sz="4" w:space="0" w:color="auto"/>
              <w:left w:val="nil"/>
              <w:bottom w:val="single" w:sz="8" w:space="0" w:color="auto"/>
              <w:right w:val="single" w:sz="8" w:space="0" w:color="auto"/>
            </w:tcBorders>
            <w:shd w:val="clear" w:color="000000" w:fill="D6E3BC"/>
            <w:vAlign w:val="center"/>
            <w:hideMark/>
          </w:tcPr>
          <w:p w:rsidR="002D0009" w:rsidRDefault="002D0009">
            <w:pPr>
              <w:jc w:val="center"/>
              <w:rPr>
                <w:rFonts w:ascii="Arial" w:hAnsi="Arial" w:cs="Arial"/>
                <w:b/>
                <w:bCs/>
                <w:color w:val="000000"/>
                <w:sz w:val="16"/>
                <w:szCs w:val="16"/>
              </w:rPr>
            </w:pPr>
            <w:r>
              <w:rPr>
                <w:rFonts w:ascii="Arial" w:hAnsi="Arial" w:cs="Arial"/>
                <w:b/>
                <w:bCs/>
                <w:color w:val="000000"/>
                <w:sz w:val="16"/>
                <w:szCs w:val="16"/>
              </w:rPr>
              <w:t>Výška zazmluvnených prostriedkov (NFP)</w:t>
            </w:r>
          </w:p>
        </w:tc>
        <w:tc>
          <w:tcPr>
            <w:tcW w:w="510" w:type="pct"/>
            <w:tcBorders>
              <w:top w:val="single" w:sz="4" w:space="0" w:color="auto"/>
              <w:left w:val="nil"/>
              <w:bottom w:val="single" w:sz="8" w:space="0" w:color="auto"/>
              <w:right w:val="single" w:sz="8" w:space="0" w:color="auto"/>
            </w:tcBorders>
            <w:shd w:val="clear" w:color="000000" w:fill="D6E3BC"/>
            <w:vAlign w:val="center"/>
            <w:hideMark/>
          </w:tcPr>
          <w:p w:rsidR="002D0009" w:rsidRDefault="002D0009">
            <w:pPr>
              <w:jc w:val="center"/>
              <w:rPr>
                <w:rFonts w:ascii="Arial" w:hAnsi="Arial" w:cs="Arial"/>
                <w:b/>
                <w:bCs/>
                <w:color w:val="000000"/>
                <w:sz w:val="16"/>
                <w:szCs w:val="16"/>
              </w:rPr>
            </w:pPr>
            <w:r>
              <w:rPr>
                <w:rFonts w:ascii="Arial" w:hAnsi="Arial" w:cs="Arial"/>
                <w:b/>
                <w:bCs/>
                <w:color w:val="000000"/>
                <w:sz w:val="16"/>
                <w:szCs w:val="16"/>
              </w:rPr>
              <w:t xml:space="preserve">Výška riadne ukončených projektov </w:t>
            </w:r>
            <w:r>
              <w:rPr>
                <w:rFonts w:ascii="Arial" w:hAnsi="Arial" w:cs="Arial"/>
                <w:b/>
                <w:bCs/>
                <w:color w:val="000000"/>
                <w:sz w:val="16"/>
                <w:szCs w:val="16"/>
                <w:vertAlign w:val="superscript"/>
              </w:rPr>
              <w:t>1</w:t>
            </w:r>
          </w:p>
        </w:tc>
        <w:tc>
          <w:tcPr>
            <w:tcW w:w="535" w:type="pct"/>
            <w:tcBorders>
              <w:top w:val="single" w:sz="4" w:space="0" w:color="auto"/>
              <w:left w:val="nil"/>
              <w:bottom w:val="single" w:sz="8" w:space="0" w:color="auto"/>
              <w:right w:val="single" w:sz="8" w:space="0" w:color="auto"/>
            </w:tcBorders>
            <w:shd w:val="clear" w:color="000000" w:fill="D6E3BC"/>
            <w:vAlign w:val="center"/>
            <w:hideMark/>
          </w:tcPr>
          <w:p w:rsidR="002D0009" w:rsidRDefault="002D0009">
            <w:pPr>
              <w:jc w:val="center"/>
              <w:rPr>
                <w:rFonts w:ascii="Arial" w:hAnsi="Arial" w:cs="Arial"/>
                <w:b/>
                <w:bCs/>
                <w:color w:val="000000"/>
                <w:sz w:val="16"/>
                <w:szCs w:val="16"/>
              </w:rPr>
            </w:pPr>
            <w:r>
              <w:rPr>
                <w:rFonts w:ascii="Arial" w:hAnsi="Arial" w:cs="Arial"/>
                <w:b/>
                <w:bCs/>
                <w:color w:val="000000"/>
                <w:sz w:val="16"/>
                <w:szCs w:val="16"/>
              </w:rPr>
              <w:t>Výška mimoriadne ukončených projektov</w:t>
            </w:r>
          </w:p>
        </w:tc>
      </w:tr>
      <w:tr w:rsidR="002D0009" w:rsidTr="002D0009">
        <w:trPr>
          <w:trHeight w:val="315"/>
        </w:trPr>
        <w:tc>
          <w:tcPr>
            <w:tcW w:w="1917" w:type="pct"/>
            <w:tcBorders>
              <w:top w:val="nil"/>
              <w:left w:val="single" w:sz="8" w:space="0" w:color="auto"/>
              <w:bottom w:val="single" w:sz="8" w:space="0" w:color="auto"/>
              <w:right w:val="single" w:sz="8" w:space="0" w:color="auto"/>
            </w:tcBorders>
            <w:shd w:val="clear" w:color="auto" w:fill="auto"/>
            <w:vAlign w:val="center"/>
            <w:hideMark/>
          </w:tcPr>
          <w:p w:rsidR="002D0009" w:rsidRDefault="002D0009">
            <w:pPr>
              <w:rPr>
                <w:rFonts w:ascii="Arial" w:hAnsi="Arial" w:cs="Arial"/>
                <w:color w:val="000000"/>
                <w:sz w:val="16"/>
                <w:szCs w:val="16"/>
              </w:rPr>
            </w:pPr>
            <w:r>
              <w:rPr>
                <w:rFonts w:ascii="Arial" w:hAnsi="Arial" w:cs="Arial"/>
                <w:color w:val="000000"/>
                <w:sz w:val="16"/>
                <w:szCs w:val="16"/>
              </w:rPr>
              <w:t>1 Integrovaná ochrana a racionálne využívanie vôd</w:t>
            </w:r>
          </w:p>
        </w:tc>
        <w:tc>
          <w:tcPr>
            <w:tcW w:w="510" w:type="pct"/>
            <w:tcBorders>
              <w:top w:val="nil"/>
              <w:left w:val="nil"/>
              <w:bottom w:val="single" w:sz="8" w:space="0" w:color="auto"/>
              <w:right w:val="single" w:sz="8" w:space="0" w:color="auto"/>
            </w:tcBorders>
            <w:shd w:val="clear" w:color="auto" w:fill="auto"/>
            <w:vAlign w:val="center"/>
            <w:hideMark/>
          </w:tcPr>
          <w:p w:rsidR="002D0009" w:rsidRDefault="002D0009">
            <w:pPr>
              <w:jc w:val="right"/>
              <w:rPr>
                <w:rFonts w:ascii="Arial" w:hAnsi="Arial" w:cs="Arial"/>
                <w:color w:val="000000"/>
                <w:sz w:val="16"/>
                <w:szCs w:val="16"/>
              </w:rPr>
            </w:pPr>
            <w:r>
              <w:rPr>
                <w:rFonts w:ascii="Arial" w:hAnsi="Arial" w:cs="Arial"/>
                <w:color w:val="000000"/>
                <w:sz w:val="16"/>
                <w:szCs w:val="16"/>
              </w:rPr>
              <w:t>1 052 201 944</w:t>
            </w:r>
          </w:p>
        </w:tc>
        <w:tc>
          <w:tcPr>
            <w:tcW w:w="510" w:type="pct"/>
            <w:tcBorders>
              <w:top w:val="nil"/>
              <w:left w:val="nil"/>
              <w:bottom w:val="single" w:sz="8" w:space="0" w:color="auto"/>
              <w:right w:val="single" w:sz="8" w:space="0" w:color="auto"/>
            </w:tcBorders>
            <w:shd w:val="clear" w:color="auto" w:fill="auto"/>
            <w:noWrap/>
            <w:vAlign w:val="center"/>
            <w:hideMark/>
          </w:tcPr>
          <w:p w:rsidR="002D0009" w:rsidRDefault="002D0009">
            <w:pPr>
              <w:jc w:val="center"/>
              <w:rPr>
                <w:rFonts w:ascii="Arial" w:hAnsi="Arial" w:cs="Arial"/>
                <w:color w:val="000000"/>
                <w:sz w:val="16"/>
                <w:szCs w:val="16"/>
              </w:rPr>
            </w:pPr>
            <w:r>
              <w:rPr>
                <w:rFonts w:ascii="Arial" w:hAnsi="Arial" w:cs="Arial"/>
                <w:color w:val="000000"/>
                <w:sz w:val="16"/>
                <w:szCs w:val="16"/>
              </w:rPr>
              <w:t>2 509 427 274</w:t>
            </w:r>
          </w:p>
        </w:tc>
        <w:tc>
          <w:tcPr>
            <w:tcW w:w="510" w:type="pct"/>
            <w:tcBorders>
              <w:top w:val="nil"/>
              <w:left w:val="nil"/>
              <w:bottom w:val="single" w:sz="8" w:space="0" w:color="auto"/>
              <w:right w:val="single" w:sz="8" w:space="0" w:color="auto"/>
            </w:tcBorders>
            <w:shd w:val="clear" w:color="auto" w:fill="auto"/>
            <w:noWrap/>
            <w:vAlign w:val="center"/>
            <w:hideMark/>
          </w:tcPr>
          <w:p w:rsidR="002D0009" w:rsidRDefault="002D0009">
            <w:pPr>
              <w:jc w:val="center"/>
              <w:rPr>
                <w:rFonts w:ascii="Arial" w:hAnsi="Arial" w:cs="Arial"/>
                <w:color w:val="000000"/>
                <w:sz w:val="16"/>
                <w:szCs w:val="16"/>
              </w:rPr>
            </w:pPr>
            <w:r>
              <w:rPr>
                <w:rFonts w:ascii="Arial" w:hAnsi="Arial" w:cs="Arial"/>
                <w:color w:val="000000"/>
                <w:sz w:val="16"/>
                <w:szCs w:val="16"/>
              </w:rPr>
              <w:t>1 036 759 111</w:t>
            </w:r>
          </w:p>
        </w:tc>
        <w:tc>
          <w:tcPr>
            <w:tcW w:w="510" w:type="pct"/>
            <w:tcBorders>
              <w:top w:val="nil"/>
              <w:left w:val="nil"/>
              <w:bottom w:val="single" w:sz="8" w:space="0" w:color="auto"/>
              <w:right w:val="single" w:sz="8" w:space="0" w:color="auto"/>
            </w:tcBorders>
            <w:shd w:val="clear" w:color="auto" w:fill="auto"/>
            <w:noWrap/>
            <w:vAlign w:val="center"/>
            <w:hideMark/>
          </w:tcPr>
          <w:p w:rsidR="002D0009" w:rsidRDefault="002D0009">
            <w:pPr>
              <w:jc w:val="center"/>
              <w:rPr>
                <w:rFonts w:ascii="Arial" w:hAnsi="Arial" w:cs="Arial"/>
                <w:color w:val="000000"/>
                <w:sz w:val="16"/>
                <w:szCs w:val="16"/>
              </w:rPr>
            </w:pPr>
            <w:r>
              <w:rPr>
                <w:rFonts w:ascii="Arial" w:hAnsi="Arial" w:cs="Arial"/>
                <w:color w:val="000000"/>
                <w:sz w:val="16"/>
                <w:szCs w:val="16"/>
              </w:rPr>
              <w:t>878 717 906</w:t>
            </w:r>
          </w:p>
        </w:tc>
        <w:tc>
          <w:tcPr>
            <w:tcW w:w="510" w:type="pct"/>
            <w:tcBorders>
              <w:top w:val="nil"/>
              <w:left w:val="nil"/>
              <w:bottom w:val="single" w:sz="8" w:space="0" w:color="auto"/>
              <w:right w:val="single" w:sz="8" w:space="0" w:color="auto"/>
            </w:tcBorders>
            <w:shd w:val="clear" w:color="auto" w:fill="auto"/>
            <w:noWrap/>
            <w:vAlign w:val="center"/>
            <w:hideMark/>
          </w:tcPr>
          <w:p w:rsidR="002D0009" w:rsidRDefault="002D0009">
            <w:pPr>
              <w:jc w:val="center"/>
              <w:rPr>
                <w:rFonts w:ascii="Arial" w:hAnsi="Arial" w:cs="Arial"/>
                <w:color w:val="000000"/>
                <w:sz w:val="16"/>
                <w:szCs w:val="16"/>
              </w:rPr>
            </w:pPr>
            <w:r>
              <w:rPr>
                <w:rFonts w:ascii="Arial" w:hAnsi="Arial" w:cs="Arial"/>
                <w:color w:val="000000"/>
                <w:sz w:val="16"/>
                <w:szCs w:val="16"/>
              </w:rPr>
              <w:t>48 129 365</w:t>
            </w:r>
          </w:p>
        </w:tc>
        <w:tc>
          <w:tcPr>
            <w:tcW w:w="535" w:type="pct"/>
            <w:tcBorders>
              <w:top w:val="nil"/>
              <w:left w:val="nil"/>
              <w:bottom w:val="single" w:sz="8" w:space="0" w:color="auto"/>
              <w:right w:val="single" w:sz="8" w:space="0" w:color="auto"/>
            </w:tcBorders>
            <w:shd w:val="clear" w:color="auto" w:fill="auto"/>
            <w:noWrap/>
            <w:vAlign w:val="center"/>
            <w:hideMark/>
          </w:tcPr>
          <w:p w:rsidR="002D0009" w:rsidRDefault="002D0009">
            <w:pPr>
              <w:jc w:val="center"/>
              <w:rPr>
                <w:rFonts w:ascii="Arial" w:hAnsi="Arial" w:cs="Arial"/>
                <w:color w:val="000000"/>
                <w:sz w:val="16"/>
                <w:szCs w:val="16"/>
              </w:rPr>
            </w:pPr>
            <w:r>
              <w:rPr>
                <w:rFonts w:ascii="Arial" w:hAnsi="Arial" w:cs="Arial"/>
                <w:color w:val="000000"/>
                <w:sz w:val="16"/>
                <w:szCs w:val="16"/>
              </w:rPr>
              <w:t>18 041 097</w:t>
            </w:r>
          </w:p>
        </w:tc>
      </w:tr>
      <w:tr w:rsidR="002D0009" w:rsidTr="002D0009">
        <w:trPr>
          <w:trHeight w:val="315"/>
        </w:trPr>
        <w:tc>
          <w:tcPr>
            <w:tcW w:w="1917" w:type="pct"/>
            <w:tcBorders>
              <w:top w:val="nil"/>
              <w:left w:val="single" w:sz="8" w:space="0" w:color="auto"/>
              <w:bottom w:val="single" w:sz="8" w:space="0" w:color="auto"/>
              <w:right w:val="single" w:sz="8" w:space="0" w:color="auto"/>
            </w:tcBorders>
            <w:shd w:val="clear" w:color="auto" w:fill="auto"/>
            <w:vAlign w:val="center"/>
            <w:hideMark/>
          </w:tcPr>
          <w:p w:rsidR="002D0009" w:rsidRDefault="002D0009">
            <w:pPr>
              <w:rPr>
                <w:rFonts w:ascii="Arial" w:hAnsi="Arial" w:cs="Arial"/>
                <w:color w:val="000000"/>
                <w:sz w:val="16"/>
                <w:szCs w:val="16"/>
              </w:rPr>
            </w:pPr>
            <w:r>
              <w:rPr>
                <w:rFonts w:ascii="Arial" w:hAnsi="Arial" w:cs="Arial"/>
                <w:color w:val="000000"/>
                <w:sz w:val="16"/>
                <w:szCs w:val="16"/>
              </w:rPr>
              <w:t>2 Ochrana pred povodňami</w:t>
            </w:r>
          </w:p>
        </w:tc>
        <w:tc>
          <w:tcPr>
            <w:tcW w:w="510" w:type="pct"/>
            <w:tcBorders>
              <w:top w:val="nil"/>
              <w:left w:val="nil"/>
              <w:bottom w:val="single" w:sz="8" w:space="0" w:color="auto"/>
              <w:right w:val="single" w:sz="8" w:space="0" w:color="auto"/>
            </w:tcBorders>
            <w:shd w:val="clear" w:color="auto" w:fill="auto"/>
            <w:vAlign w:val="center"/>
            <w:hideMark/>
          </w:tcPr>
          <w:p w:rsidR="002D0009" w:rsidRDefault="002D0009">
            <w:pPr>
              <w:jc w:val="right"/>
              <w:rPr>
                <w:rFonts w:ascii="Arial" w:hAnsi="Arial" w:cs="Arial"/>
                <w:color w:val="000000"/>
                <w:sz w:val="16"/>
                <w:szCs w:val="16"/>
              </w:rPr>
            </w:pPr>
            <w:r>
              <w:rPr>
                <w:rFonts w:ascii="Arial" w:hAnsi="Arial" w:cs="Arial"/>
                <w:color w:val="000000"/>
                <w:sz w:val="16"/>
                <w:szCs w:val="16"/>
              </w:rPr>
              <w:t>139 794 118</w:t>
            </w:r>
          </w:p>
        </w:tc>
        <w:tc>
          <w:tcPr>
            <w:tcW w:w="510" w:type="pct"/>
            <w:tcBorders>
              <w:top w:val="nil"/>
              <w:left w:val="nil"/>
              <w:bottom w:val="single" w:sz="8" w:space="0" w:color="auto"/>
              <w:right w:val="single" w:sz="8" w:space="0" w:color="auto"/>
            </w:tcBorders>
            <w:shd w:val="clear" w:color="auto" w:fill="auto"/>
            <w:noWrap/>
            <w:vAlign w:val="center"/>
            <w:hideMark/>
          </w:tcPr>
          <w:p w:rsidR="002D0009" w:rsidRDefault="002D0009">
            <w:pPr>
              <w:jc w:val="center"/>
              <w:rPr>
                <w:rFonts w:ascii="Arial" w:hAnsi="Arial" w:cs="Arial"/>
                <w:color w:val="000000"/>
                <w:sz w:val="16"/>
                <w:szCs w:val="16"/>
              </w:rPr>
            </w:pPr>
            <w:r>
              <w:rPr>
                <w:rFonts w:ascii="Arial" w:hAnsi="Arial" w:cs="Arial"/>
                <w:color w:val="000000"/>
                <w:sz w:val="16"/>
                <w:szCs w:val="16"/>
              </w:rPr>
              <w:t>510 354 068</w:t>
            </w:r>
          </w:p>
        </w:tc>
        <w:tc>
          <w:tcPr>
            <w:tcW w:w="510" w:type="pct"/>
            <w:tcBorders>
              <w:top w:val="nil"/>
              <w:left w:val="nil"/>
              <w:bottom w:val="single" w:sz="8" w:space="0" w:color="auto"/>
              <w:right w:val="single" w:sz="8" w:space="0" w:color="auto"/>
            </w:tcBorders>
            <w:shd w:val="clear" w:color="auto" w:fill="auto"/>
            <w:noWrap/>
            <w:vAlign w:val="center"/>
            <w:hideMark/>
          </w:tcPr>
          <w:p w:rsidR="002D0009" w:rsidRDefault="002D0009">
            <w:pPr>
              <w:jc w:val="center"/>
              <w:rPr>
                <w:rFonts w:ascii="Arial" w:hAnsi="Arial" w:cs="Arial"/>
                <w:color w:val="000000"/>
                <w:sz w:val="16"/>
                <w:szCs w:val="16"/>
              </w:rPr>
            </w:pPr>
            <w:r>
              <w:rPr>
                <w:rFonts w:ascii="Arial" w:hAnsi="Arial" w:cs="Arial"/>
                <w:color w:val="000000"/>
                <w:sz w:val="16"/>
                <w:szCs w:val="16"/>
              </w:rPr>
              <w:t>100 692 393</w:t>
            </w:r>
          </w:p>
        </w:tc>
        <w:tc>
          <w:tcPr>
            <w:tcW w:w="510" w:type="pct"/>
            <w:tcBorders>
              <w:top w:val="nil"/>
              <w:left w:val="nil"/>
              <w:bottom w:val="single" w:sz="8" w:space="0" w:color="auto"/>
              <w:right w:val="single" w:sz="8" w:space="0" w:color="auto"/>
            </w:tcBorders>
            <w:shd w:val="clear" w:color="auto" w:fill="auto"/>
            <w:noWrap/>
            <w:vAlign w:val="center"/>
            <w:hideMark/>
          </w:tcPr>
          <w:p w:rsidR="002D0009" w:rsidRDefault="002D0009">
            <w:pPr>
              <w:jc w:val="center"/>
              <w:rPr>
                <w:rFonts w:ascii="Arial" w:hAnsi="Arial" w:cs="Arial"/>
                <w:color w:val="000000"/>
                <w:sz w:val="16"/>
                <w:szCs w:val="16"/>
              </w:rPr>
            </w:pPr>
            <w:r>
              <w:rPr>
                <w:rFonts w:ascii="Arial" w:hAnsi="Arial" w:cs="Arial"/>
                <w:color w:val="000000"/>
                <w:sz w:val="16"/>
                <w:szCs w:val="16"/>
              </w:rPr>
              <w:t>100 041 442</w:t>
            </w:r>
          </w:p>
        </w:tc>
        <w:tc>
          <w:tcPr>
            <w:tcW w:w="510" w:type="pct"/>
            <w:tcBorders>
              <w:top w:val="nil"/>
              <w:left w:val="nil"/>
              <w:bottom w:val="single" w:sz="8" w:space="0" w:color="auto"/>
              <w:right w:val="single" w:sz="8" w:space="0" w:color="auto"/>
            </w:tcBorders>
            <w:shd w:val="clear" w:color="auto" w:fill="auto"/>
            <w:noWrap/>
            <w:vAlign w:val="center"/>
            <w:hideMark/>
          </w:tcPr>
          <w:p w:rsidR="002D0009" w:rsidRDefault="002D0009">
            <w:pPr>
              <w:jc w:val="center"/>
              <w:rPr>
                <w:rFonts w:ascii="Arial" w:hAnsi="Arial" w:cs="Arial"/>
                <w:color w:val="000000"/>
                <w:sz w:val="16"/>
                <w:szCs w:val="16"/>
              </w:rPr>
            </w:pPr>
            <w:r>
              <w:rPr>
                <w:rFonts w:ascii="Arial" w:hAnsi="Arial" w:cs="Arial"/>
                <w:color w:val="000000"/>
                <w:sz w:val="16"/>
                <w:szCs w:val="16"/>
              </w:rPr>
              <w:t>17 732 727</w:t>
            </w:r>
          </w:p>
        </w:tc>
        <w:tc>
          <w:tcPr>
            <w:tcW w:w="535" w:type="pct"/>
            <w:tcBorders>
              <w:top w:val="nil"/>
              <w:left w:val="nil"/>
              <w:bottom w:val="single" w:sz="8" w:space="0" w:color="auto"/>
              <w:right w:val="single" w:sz="8" w:space="0" w:color="auto"/>
            </w:tcBorders>
            <w:shd w:val="clear" w:color="auto" w:fill="auto"/>
            <w:noWrap/>
            <w:vAlign w:val="center"/>
            <w:hideMark/>
          </w:tcPr>
          <w:p w:rsidR="002D0009" w:rsidRDefault="002D0009">
            <w:pPr>
              <w:jc w:val="center"/>
              <w:rPr>
                <w:rFonts w:ascii="Arial" w:hAnsi="Arial" w:cs="Arial"/>
                <w:color w:val="000000"/>
                <w:sz w:val="16"/>
                <w:szCs w:val="16"/>
              </w:rPr>
            </w:pPr>
            <w:r>
              <w:rPr>
                <w:rFonts w:ascii="Arial" w:hAnsi="Arial" w:cs="Arial"/>
                <w:color w:val="000000"/>
                <w:sz w:val="16"/>
                <w:szCs w:val="16"/>
              </w:rPr>
              <w:t>650 950</w:t>
            </w:r>
          </w:p>
        </w:tc>
      </w:tr>
      <w:tr w:rsidR="002D0009" w:rsidTr="002D0009">
        <w:trPr>
          <w:trHeight w:val="315"/>
        </w:trPr>
        <w:tc>
          <w:tcPr>
            <w:tcW w:w="1917" w:type="pct"/>
            <w:tcBorders>
              <w:top w:val="nil"/>
              <w:left w:val="single" w:sz="8" w:space="0" w:color="auto"/>
              <w:bottom w:val="single" w:sz="8" w:space="0" w:color="auto"/>
              <w:right w:val="single" w:sz="8" w:space="0" w:color="auto"/>
            </w:tcBorders>
            <w:shd w:val="clear" w:color="auto" w:fill="auto"/>
            <w:vAlign w:val="center"/>
            <w:hideMark/>
          </w:tcPr>
          <w:p w:rsidR="002D0009" w:rsidRDefault="002D0009">
            <w:pPr>
              <w:rPr>
                <w:rFonts w:ascii="Arial" w:hAnsi="Arial" w:cs="Arial"/>
                <w:color w:val="000000"/>
                <w:sz w:val="16"/>
                <w:szCs w:val="16"/>
              </w:rPr>
            </w:pPr>
            <w:r>
              <w:rPr>
                <w:rFonts w:ascii="Arial" w:hAnsi="Arial" w:cs="Arial"/>
                <w:color w:val="000000"/>
                <w:sz w:val="16"/>
                <w:szCs w:val="16"/>
              </w:rPr>
              <w:t>3 Ochrana ovzdušia a minimalizácia nepriaznivých vplyvov zmeny klímy</w:t>
            </w:r>
          </w:p>
        </w:tc>
        <w:tc>
          <w:tcPr>
            <w:tcW w:w="510" w:type="pct"/>
            <w:tcBorders>
              <w:top w:val="nil"/>
              <w:left w:val="nil"/>
              <w:bottom w:val="single" w:sz="8" w:space="0" w:color="auto"/>
              <w:right w:val="single" w:sz="8" w:space="0" w:color="auto"/>
            </w:tcBorders>
            <w:shd w:val="clear" w:color="auto" w:fill="auto"/>
            <w:vAlign w:val="center"/>
            <w:hideMark/>
          </w:tcPr>
          <w:p w:rsidR="002D0009" w:rsidRDefault="002D0009">
            <w:pPr>
              <w:jc w:val="right"/>
              <w:rPr>
                <w:rFonts w:ascii="Arial" w:hAnsi="Arial" w:cs="Arial"/>
                <w:color w:val="000000"/>
                <w:sz w:val="16"/>
                <w:szCs w:val="16"/>
              </w:rPr>
            </w:pPr>
            <w:r>
              <w:rPr>
                <w:rFonts w:ascii="Arial" w:hAnsi="Arial" w:cs="Arial"/>
                <w:color w:val="000000"/>
                <w:sz w:val="16"/>
                <w:szCs w:val="16"/>
              </w:rPr>
              <w:t>209 117 648</w:t>
            </w:r>
          </w:p>
        </w:tc>
        <w:tc>
          <w:tcPr>
            <w:tcW w:w="510" w:type="pct"/>
            <w:tcBorders>
              <w:top w:val="nil"/>
              <w:left w:val="nil"/>
              <w:bottom w:val="single" w:sz="8" w:space="0" w:color="auto"/>
              <w:right w:val="single" w:sz="8" w:space="0" w:color="auto"/>
            </w:tcBorders>
            <w:shd w:val="clear" w:color="auto" w:fill="auto"/>
            <w:noWrap/>
            <w:vAlign w:val="center"/>
            <w:hideMark/>
          </w:tcPr>
          <w:p w:rsidR="002D0009" w:rsidRDefault="002D0009">
            <w:pPr>
              <w:jc w:val="center"/>
              <w:rPr>
                <w:rFonts w:ascii="Arial" w:hAnsi="Arial" w:cs="Arial"/>
                <w:color w:val="000000"/>
                <w:sz w:val="16"/>
                <w:szCs w:val="16"/>
              </w:rPr>
            </w:pPr>
            <w:r>
              <w:rPr>
                <w:rFonts w:ascii="Arial" w:hAnsi="Arial" w:cs="Arial"/>
                <w:color w:val="000000"/>
                <w:sz w:val="16"/>
                <w:szCs w:val="16"/>
              </w:rPr>
              <w:t>464 739 447</w:t>
            </w:r>
          </w:p>
        </w:tc>
        <w:tc>
          <w:tcPr>
            <w:tcW w:w="510" w:type="pct"/>
            <w:tcBorders>
              <w:top w:val="nil"/>
              <w:left w:val="nil"/>
              <w:bottom w:val="single" w:sz="8" w:space="0" w:color="auto"/>
              <w:right w:val="single" w:sz="8" w:space="0" w:color="auto"/>
            </w:tcBorders>
            <w:shd w:val="clear" w:color="auto" w:fill="auto"/>
            <w:noWrap/>
            <w:vAlign w:val="center"/>
            <w:hideMark/>
          </w:tcPr>
          <w:p w:rsidR="002D0009" w:rsidRDefault="002D0009">
            <w:pPr>
              <w:jc w:val="center"/>
              <w:rPr>
                <w:rFonts w:ascii="Arial" w:hAnsi="Arial" w:cs="Arial"/>
                <w:color w:val="000000"/>
                <w:sz w:val="16"/>
                <w:szCs w:val="16"/>
              </w:rPr>
            </w:pPr>
            <w:r>
              <w:rPr>
                <w:rFonts w:ascii="Arial" w:hAnsi="Arial" w:cs="Arial"/>
                <w:color w:val="000000"/>
                <w:sz w:val="16"/>
                <w:szCs w:val="16"/>
              </w:rPr>
              <w:t>172 598 248</w:t>
            </w:r>
          </w:p>
        </w:tc>
        <w:tc>
          <w:tcPr>
            <w:tcW w:w="510" w:type="pct"/>
            <w:tcBorders>
              <w:top w:val="nil"/>
              <w:left w:val="nil"/>
              <w:bottom w:val="single" w:sz="8" w:space="0" w:color="auto"/>
              <w:right w:val="single" w:sz="8" w:space="0" w:color="auto"/>
            </w:tcBorders>
            <w:shd w:val="clear" w:color="auto" w:fill="auto"/>
            <w:noWrap/>
            <w:vAlign w:val="center"/>
            <w:hideMark/>
          </w:tcPr>
          <w:p w:rsidR="002D0009" w:rsidRDefault="002D0009">
            <w:pPr>
              <w:jc w:val="center"/>
              <w:rPr>
                <w:rFonts w:ascii="Arial" w:hAnsi="Arial" w:cs="Arial"/>
                <w:color w:val="000000"/>
                <w:sz w:val="16"/>
                <w:szCs w:val="16"/>
              </w:rPr>
            </w:pPr>
            <w:r>
              <w:rPr>
                <w:rFonts w:ascii="Arial" w:hAnsi="Arial" w:cs="Arial"/>
                <w:color w:val="000000"/>
                <w:sz w:val="16"/>
                <w:szCs w:val="16"/>
              </w:rPr>
              <w:t>163 964 811</w:t>
            </w:r>
          </w:p>
        </w:tc>
        <w:tc>
          <w:tcPr>
            <w:tcW w:w="510" w:type="pct"/>
            <w:tcBorders>
              <w:top w:val="nil"/>
              <w:left w:val="nil"/>
              <w:bottom w:val="single" w:sz="8" w:space="0" w:color="auto"/>
              <w:right w:val="single" w:sz="8" w:space="0" w:color="auto"/>
            </w:tcBorders>
            <w:shd w:val="clear" w:color="auto" w:fill="auto"/>
            <w:noWrap/>
            <w:vAlign w:val="center"/>
            <w:hideMark/>
          </w:tcPr>
          <w:p w:rsidR="002D0009" w:rsidRDefault="002D0009">
            <w:pPr>
              <w:jc w:val="center"/>
              <w:rPr>
                <w:rFonts w:ascii="Arial" w:hAnsi="Arial" w:cs="Arial"/>
                <w:color w:val="000000"/>
                <w:sz w:val="16"/>
                <w:szCs w:val="16"/>
              </w:rPr>
            </w:pPr>
            <w:r>
              <w:rPr>
                <w:rFonts w:ascii="Arial" w:hAnsi="Arial" w:cs="Arial"/>
                <w:color w:val="000000"/>
                <w:sz w:val="16"/>
                <w:szCs w:val="16"/>
              </w:rPr>
              <w:t>118 301 171</w:t>
            </w:r>
          </w:p>
        </w:tc>
        <w:tc>
          <w:tcPr>
            <w:tcW w:w="535" w:type="pct"/>
            <w:tcBorders>
              <w:top w:val="nil"/>
              <w:left w:val="nil"/>
              <w:bottom w:val="single" w:sz="8" w:space="0" w:color="auto"/>
              <w:right w:val="single" w:sz="8" w:space="0" w:color="auto"/>
            </w:tcBorders>
            <w:shd w:val="clear" w:color="auto" w:fill="auto"/>
            <w:noWrap/>
            <w:vAlign w:val="center"/>
            <w:hideMark/>
          </w:tcPr>
          <w:p w:rsidR="002D0009" w:rsidRDefault="002D0009">
            <w:pPr>
              <w:jc w:val="center"/>
              <w:rPr>
                <w:rFonts w:ascii="Arial" w:hAnsi="Arial" w:cs="Arial"/>
                <w:color w:val="000000"/>
                <w:sz w:val="16"/>
                <w:szCs w:val="16"/>
              </w:rPr>
            </w:pPr>
            <w:r>
              <w:rPr>
                <w:rFonts w:ascii="Arial" w:hAnsi="Arial" w:cs="Arial"/>
                <w:color w:val="000000"/>
                <w:sz w:val="16"/>
                <w:szCs w:val="16"/>
              </w:rPr>
              <w:t>8 567 484</w:t>
            </w:r>
          </w:p>
        </w:tc>
      </w:tr>
      <w:tr w:rsidR="002D0009" w:rsidTr="002D0009">
        <w:trPr>
          <w:trHeight w:val="315"/>
        </w:trPr>
        <w:tc>
          <w:tcPr>
            <w:tcW w:w="1917" w:type="pct"/>
            <w:tcBorders>
              <w:top w:val="nil"/>
              <w:left w:val="single" w:sz="8" w:space="0" w:color="auto"/>
              <w:bottom w:val="single" w:sz="8" w:space="0" w:color="auto"/>
              <w:right w:val="single" w:sz="8" w:space="0" w:color="auto"/>
            </w:tcBorders>
            <w:shd w:val="clear" w:color="auto" w:fill="auto"/>
            <w:vAlign w:val="center"/>
            <w:hideMark/>
          </w:tcPr>
          <w:p w:rsidR="002D0009" w:rsidRDefault="002D0009">
            <w:pPr>
              <w:rPr>
                <w:rFonts w:ascii="Arial" w:hAnsi="Arial" w:cs="Arial"/>
                <w:color w:val="000000"/>
                <w:sz w:val="16"/>
                <w:szCs w:val="16"/>
              </w:rPr>
            </w:pPr>
            <w:r>
              <w:rPr>
                <w:rFonts w:ascii="Arial" w:hAnsi="Arial" w:cs="Arial"/>
                <w:color w:val="000000"/>
                <w:sz w:val="16"/>
                <w:szCs w:val="16"/>
              </w:rPr>
              <w:t>4 Odpadové hospodárstvo</w:t>
            </w:r>
          </w:p>
        </w:tc>
        <w:tc>
          <w:tcPr>
            <w:tcW w:w="510" w:type="pct"/>
            <w:tcBorders>
              <w:top w:val="nil"/>
              <w:left w:val="nil"/>
              <w:bottom w:val="single" w:sz="8" w:space="0" w:color="auto"/>
              <w:right w:val="single" w:sz="8" w:space="0" w:color="auto"/>
            </w:tcBorders>
            <w:shd w:val="clear" w:color="auto" w:fill="auto"/>
            <w:vAlign w:val="center"/>
            <w:hideMark/>
          </w:tcPr>
          <w:p w:rsidR="002D0009" w:rsidRDefault="002D0009">
            <w:pPr>
              <w:jc w:val="right"/>
              <w:rPr>
                <w:rFonts w:ascii="Arial" w:hAnsi="Arial" w:cs="Arial"/>
                <w:color w:val="000000"/>
                <w:sz w:val="16"/>
                <w:szCs w:val="16"/>
              </w:rPr>
            </w:pPr>
            <w:r>
              <w:rPr>
                <w:rFonts w:ascii="Arial" w:hAnsi="Arial" w:cs="Arial"/>
                <w:color w:val="000000"/>
                <w:sz w:val="16"/>
                <w:szCs w:val="16"/>
              </w:rPr>
              <w:t>556 599 632</w:t>
            </w:r>
          </w:p>
        </w:tc>
        <w:tc>
          <w:tcPr>
            <w:tcW w:w="510" w:type="pct"/>
            <w:tcBorders>
              <w:top w:val="nil"/>
              <w:left w:val="nil"/>
              <w:bottom w:val="single" w:sz="8" w:space="0" w:color="auto"/>
              <w:right w:val="single" w:sz="8" w:space="0" w:color="auto"/>
            </w:tcBorders>
            <w:shd w:val="clear" w:color="auto" w:fill="auto"/>
            <w:noWrap/>
            <w:vAlign w:val="center"/>
            <w:hideMark/>
          </w:tcPr>
          <w:p w:rsidR="002D0009" w:rsidRDefault="002D0009">
            <w:pPr>
              <w:jc w:val="center"/>
              <w:rPr>
                <w:rFonts w:ascii="Arial" w:hAnsi="Arial" w:cs="Arial"/>
                <w:color w:val="000000"/>
                <w:sz w:val="16"/>
                <w:szCs w:val="16"/>
              </w:rPr>
            </w:pPr>
            <w:r>
              <w:rPr>
                <w:rFonts w:ascii="Arial" w:hAnsi="Arial" w:cs="Arial"/>
                <w:color w:val="000000"/>
                <w:sz w:val="16"/>
                <w:szCs w:val="16"/>
              </w:rPr>
              <w:t>1 744 294 202</w:t>
            </w:r>
          </w:p>
        </w:tc>
        <w:tc>
          <w:tcPr>
            <w:tcW w:w="510" w:type="pct"/>
            <w:tcBorders>
              <w:top w:val="nil"/>
              <w:left w:val="nil"/>
              <w:bottom w:val="single" w:sz="8" w:space="0" w:color="auto"/>
              <w:right w:val="single" w:sz="8" w:space="0" w:color="auto"/>
            </w:tcBorders>
            <w:shd w:val="clear" w:color="auto" w:fill="auto"/>
            <w:noWrap/>
            <w:vAlign w:val="center"/>
            <w:hideMark/>
          </w:tcPr>
          <w:p w:rsidR="002D0009" w:rsidRDefault="002D0009">
            <w:pPr>
              <w:jc w:val="center"/>
              <w:rPr>
                <w:rFonts w:ascii="Arial" w:hAnsi="Arial" w:cs="Arial"/>
                <w:color w:val="000000"/>
                <w:sz w:val="16"/>
                <w:szCs w:val="16"/>
              </w:rPr>
            </w:pPr>
            <w:r>
              <w:rPr>
                <w:rFonts w:ascii="Arial" w:hAnsi="Arial" w:cs="Arial"/>
                <w:color w:val="000000"/>
                <w:sz w:val="16"/>
                <w:szCs w:val="16"/>
              </w:rPr>
              <w:t>415 244 236</w:t>
            </w:r>
          </w:p>
        </w:tc>
        <w:tc>
          <w:tcPr>
            <w:tcW w:w="510" w:type="pct"/>
            <w:tcBorders>
              <w:top w:val="nil"/>
              <w:left w:val="nil"/>
              <w:bottom w:val="single" w:sz="8" w:space="0" w:color="auto"/>
              <w:right w:val="single" w:sz="8" w:space="0" w:color="auto"/>
            </w:tcBorders>
            <w:shd w:val="clear" w:color="auto" w:fill="auto"/>
            <w:noWrap/>
            <w:vAlign w:val="center"/>
            <w:hideMark/>
          </w:tcPr>
          <w:p w:rsidR="002D0009" w:rsidRDefault="002D0009">
            <w:pPr>
              <w:jc w:val="center"/>
              <w:rPr>
                <w:rFonts w:ascii="Arial" w:hAnsi="Arial" w:cs="Arial"/>
                <w:color w:val="000000"/>
                <w:sz w:val="16"/>
                <w:szCs w:val="16"/>
              </w:rPr>
            </w:pPr>
            <w:r>
              <w:rPr>
                <w:rFonts w:ascii="Arial" w:hAnsi="Arial" w:cs="Arial"/>
                <w:color w:val="000000"/>
                <w:sz w:val="16"/>
                <w:szCs w:val="16"/>
              </w:rPr>
              <w:t>355 177 676</w:t>
            </w:r>
          </w:p>
        </w:tc>
        <w:tc>
          <w:tcPr>
            <w:tcW w:w="510" w:type="pct"/>
            <w:tcBorders>
              <w:top w:val="nil"/>
              <w:left w:val="nil"/>
              <w:bottom w:val="single" w:sz="8" w:space="0" w:color="auto"/>
              <w:right w:val="single" w:sz="8" w:space="0" w:color="auto"/>
            </w:tcBorders>
            <w:shd w:val="clear" w:color="auto" w:fill="auto"/>
            <w:noWrap/>
            <w:vAlign w:val="center"/>
            <w:hideMark/>
          </w:tcPr>
          <w:p w:rsidR="002D0009" w:rsidRDefault="002D0009">
            <w:pPr>
              <w:jc w:val="center"/>
              <w:rPr>
                <w:rFonts w:ascii="Arial" w:hAnsi="Arial" w:cs="Arial"/>
                <w:color w:val="000000"/>
                <w:sz w:val="16"/>
                <w:szCs w:val="16"/>
              </w:rPr>
            </w:pPr>
            <w:r>
              <w:rPr>
                <w:rFonts w:ascii="Arial" w:hAnsi="Arial" w:cs="Arial"/>
                <w:color w:val="000000"/>
                <w:sz w:val="16"/>
                <w:szCs w:val="16"/>
              </w:rPr>
              <w:t>128 663 743</w:t>
            </w:r>
          </w:p>
        </w:tc>
        <w:tc>
          <w:tcPr>
            <w:tcW w:w="535" w:type="pct"/>
            <w:tcBorders>
              <w:top w:val="nil"/>
              <w:left w:val="nil"/>
              <w:bottom w:val="single" w:sz="8" w:space="0" w:color="auto"/>
              <w:right w:val="single" w:sz="8" w:space="0" w:color="auto"/>
            </w:tcBorders>
            <w:shd w:val="clear" w:color="auto" w:fill="auto"/>
            <w:noWrap/>
            <w:vAlign w:val="center"/>
            <w:hideMark/>
          </w:tcPr>
          <w:p w:rsidR="002D0009" w:rsidRDefault="002D0009">
            <w:pPr>
              <w:jc w:val="center"/>
              <w:rPr>
                <w:rFonts w:ascii="Arial" w:hAnsi="Arial" w:cs="Arial"/>
                <w:color w:val="000000"/>
                <w:sz w:val="16"/>
                <w:szCs w:val="16"/>
              </w:rPr>
            </w:pPr>
            <w:r>
              <w:rPr>
                <w:rFonts w:ascii="Arial" w:hAnsi="Arial" w:cs="Arial"/>
                <w:color w:val="000000"/>
                <w:sz w:val="16"/>
                <w:szCs w:val="16"/>
              </w:rPr>
              <w:t>12 563 753</w:t>
            </w:r>
          </w:p>
        </w:tc>
      </w:tr>
      <w:tr w:rsidR="002D0009" w:rsidTr="002D0009">
        <w:trPr>
          <w:trHeight w:val="315"/>
        </w:trPr>
        <w:tc>
          <w:tcPr>
            <w:tcW w:w="1917" w:type="pct"/>
            <w:tcBorders>
              <w:top w:val="nil"/>
              <w:left w:val="single" w:sz="8" w:space="0" w:color="auto"/>
              <w:bottom w:val="single" w:sz="8" w:space="0" w:color="auto"/>
              <w:right w:val="single" w:sz="8" w:space="0" w:color="auto"/>
            </w:tcBorders>
            <w:shd w:val="clear" w:color="auto" w:fill="auto"/>
            <w:vAlign w:val="center"/>
            <w:hideMark/>
          </w:tcPr>
          <w:p w:rsidR="002D0009" w:rsidRDefault="002D0009">
            <w:pPr>
              <w:rPr>
                <w:rFonts w:ascii="Arial" w:hAnsi="Arial" w:cs="Arial"/>
                <w:color w:val="000000"/>
                <w:sz w:val="16"/>
                <w:szCs w:val="16"/>
              </w:rPr>
            </w:pPr>
            <w:r>
              <w:rPr>
                <w:rFonts w:ascii="Arial" w:hAnsi="Arial" w:cs="Arial"/>
                <w:color w:val="000000"/>
                <w:sz w:val="16"/>
                <w:szCs w:val="16"/>
              </w:rPr>
              <w:t>5 Ochrana a regenerácia prírodného prostredia a krajiny</w:t>
            </w:r>
          </w:p>
        </w:tc>
        <w:tc>
          <w:tcPr>
            <w:tcW w:w="510" w:type="pct"/>
            <w:tcBorders>
              <w:top w:val="nil"/>
              <w:left w:val="nil"/>
              <w:bottom w:val="single" w:sz="8" w:space="0" w:color="auto"/>
              <w:right w:val="single" w:sz="8" w:space="0" w:color="auto"/>
            </w:tcBorders>
            <w:shd w:val="clear" w:color="auto" w:fill="auto"/>
            <w:vAlign w:val="center"/>
            <w:hideMark/>
          </w:tcPr>
          <w:p w:rsidR="002D0009" w:rsidRDefault="002D0009">
            <w:pPr>
              <w:jc w:val="right"/>
              <w:rPr>
                <w:rFonts w:ascii="Arial" w:hAnsi="Arial" w:cs="Arial"/>
                <w:color w:val="000000"/>
                <w:sz w:val="16"/>
                <w:szCs w:val="16"/>
              </w:rPr>
            </w:pPr>
            <w:r>
              <w:rPr>
                <w:rFonts w:ascii="Arial" w:hAnsi="Arial" w:cs="Arial"/>
                <w:color w:val="000000"/>
                <w:sz w:val="16"/>
                <w:szCs w:val="16"/>
              </w:rPr>
              <w:t>59 714 041</w:t>
            </w:r>
          </w:p>
        </w:tc>
        <w:tc>
          <w:tcPr>
            <w:tcW w:w="510" w:type="pct"/>
            <w:tcBorders>
              <w:top w:val="nil"/>
              <w:left w:val="nil"/>
              <w:bottom w:val="single" w:sz="8" w:space="0" w:color="auto"/>
              <w:right w:val="single" w:sz="8" w:space="0" w:color="auto"/>
            </w:tcBorders>
            <w:shd w:val="clear" w:color="auto" w:fill="auto"/>
            <w:noWrap/>
            <w:vAlign w:val="center"/>
            <w:hideMark/>
          </w:tcPr>
          <w:p w:rsidR="002D0009" w:rsidRDefault="002D0009">
            <w:pPr>
              <w:jc w:val="center"/>
              <w:rPr>
                <w:rFonts w:ascii="Arial" w:hAnsi="Arial" w:cs="Arial"/>
                <w:color w:val="000000"/>
                <w:sz w:val="16"/>
                <w:szCs w:val="16"/>
              </w:rPr>
            </w:pPr>
            <w:r>
              <w:rPr>
                <w:rFonts w:ascii="Arial" w:hAnsi="Arial" w:cs="Arial"/>
                <w:color w:val="000000"/>
                <w:sz w:val="16"/>
                <w:szCs w:val="16"/>
              </w:rPr>
              <w:t>76 948 755</w:t>
            </w:r>
          </w:p>
        </w:tc>
        <w:tc>
          <w:tcPr>
            <w:tcW w:w="510" w:type="pct"/>
            <w:tcBorders>
              <w:top w:val="nil"/>
              <w:left w:val="nil"/>
              <w:bottom w:val="single" w:sz="8" w:space="0" w:color="auto"/>
              <w:right w:val="single" w:sz="8" w:space="0" w:color="auto"/>
            </w:tcBorders>
            <w:shd w:val="clear" w:color="auto" w:fill="auto"/>
            <w:noWrap/>
            <w:vAlign w:val="center"/>
            <w:hideMark/>
          </w:tcPr>
          <w:p w:rsidR="002D0009" w:rsidRDefault="002D0009">
            <w:pPr>
              <w:jc w:val="center"/>
              <w:rPr>
                <w:rFonts w:ascii="Arial" w:hAnsi="Arial" w:cs="Arial"/>
                <w:color w:val="000000"/>
                <w:sz w:val="16"/>
                <w:szCs w:val="16"/>
              </w:rPr>
            </w:pPr>
            <w:r>
              <w:rPr>
                <w:rFonts w:ascii="Arial" w:hAnsi="Arial" w:cs="Arial"/>
                <w:color w:val="000000"/>
                <w:sz w:val="16"/>
                <w:szCs w:val="16"/>
              </w:rPr>
              <w:t>55 962 888</w:t>
            </w:r>
          </w:p>
        </w:tc>
        <w:tc>
          <w:tcPr>
            <w:tcW w:w="510" w:type="pct"/>
            <w:tcBorders>
              <w:top w:val="nil"/>
              <w:left w:val="nil"/>
              <w:bottom w:val="single" w:sz="8" w:space="0" w:color="auto"/>
              <w:right w:val="single" w:sz="8" w:space="0" w:color="auto"/>
            </w:tcBorders>
            <w:shd w:val="clear" w:color="auto" w:fill="auto"/>
            <w:noWrap/>
            <w:vAlign w:val="center"/>
            <w:hideMark/>
          </w:tcPr>
          <w:p w:rsidR="002D0009" w:rsidRDefault="002D0009">
            <w:pPr>
              <w:jc w:val="center"/>
              <w:rPr>
                <w:rFonts w:ascii="Arial" w:hAnsi="Arial" w:cs="Arial"/>
                <w:color w:val="000000"/>
                <w:sz w:val="16"/>
                <w:szCs w:val="16"/>
              </w:rPr>
            </w:pPr>
            <w:r>
              <w:rPr>
                <w:rFonts w:ascii="Arial" w:hAnsi="Arial" w:cs="Arial"/>
                <w:color w:val="000000"/>
                <w:sz w:val="16"/>
                <w:szCs w:val="16"/>
              </w:rPr>
              <w:t>50 340 690</w:t>
            </w:r>
          </w:p>
        </w:tc>
        <w:tc>
          <w:tcPr>
            <w:tcW w:w="510" w:type="pct"/>
            <w:tcBorders>
              <w:top w:val="nil"/>
              <w:left w:val="nil"/>
              <w:bottom w:val="single" w:sz="8" w:space="0" w:color="auto"/>
              <w:right w:val="single" w:sz="8" w:space="0" w:color="auto"/>
            </w:tcBorders>
            <w:shd w:val="clear" w:color="auto" w:fill="auto"/>
            <w:noWrap/>
            <w:vAlign w:val="center"/>
            <w:hideMark/>
          </w:tcPr>
          <w:p w:rsidR="002D0009" w:rsidRDefault="002D0009">
            <w:pPr>
              <w:jc w:val="center"/>
              <w:rPr>
                <w:rFonts w:ascii="Arial" w:hAnsi="Arial" w:cs="Arial"/>
                <w:color w:val="000000"/>
                <w:sz w:val="16"/>
                <w:szCs w:val="16"/>
              </w:rPr>
            </w:pPr>
            <w:r>
              <w:rPr>
                <w:rFonts w:ascii="Arial" w:hAnsi="Arial" w:cs="Arial"/>
                <w:color w:val="000000"/>
                <w:sz w:val="16"/>
                <w:szCs w:val="16"/>
              </w:rPr>
              <w:t>2 661 389</w:t>
            </w:r>
          </w:p>
        </w:tc>
        <w:tc>
          <w:tcPr>
            <w:tcW w:w="535" w:type="pct"/>
            <w:tcBorders>
              <w:top w:val="nil"/>
              <w:left w:val="nil"/>
              <w:bottom w:val="single" w:sz="8" w:space="0" w:color="auto"/>
              <w:right w:val="single" w:sz="8" w:space="0" w:color="auto"/>
            </w:tcBorders>
            <w:shd w:val="clear" w:color="auto" w:fill="auto"/>
            <w:noWrap/>
            <w:vAlign w:val="center"/>
            <w:hideMark/>
          </w:tcPr>
          <w:p w:rsidR="002D0009" w:rsidRDefault="002D0009">
            <w:pPr>
              <w:jc w:val="center"/>
              <w:rPr>
                <w:rFonts w:ascii="Arial" w:hAnsi="Arial" w:cs="Arial"/>
                <w:color w:val="000000"/>
                <w:sz w:val="16"/>
                <w:szCs w:val="16"/>
              </w:rPr>
            </w:pPr>
            <w:r>
              <w:rPr>
                <w:rFonts w:ascii="Arial" w:hAnsi="Arial" w:cs="Arial"/>
                <w:color w:val="000000"/>
                <w:sz w:val="16"/>
                <w:szCs w:val="16"/>
              </w:rPr>
              <w:t>5 619 640</w:t>
            </w:r>
          </w:p>
        </w:tc>
      </w:tr>
      <w:tr w:rsidR="002D0009" w:rsidTr="002D0009">
        <w:trPr>
          <w:trHeight w:val="315"/>
        </w:trPr>
        <w:tc>
          <w:tcPr>
            <w:tcW w:w="1917" w:type="pct"/>
            <w:tcBorders>
              <w:top w:val="nil"/>
              <w:left w:val="single" w:sz="8" w:space="0" w:color="auto"/>
              <w:bottom w:val="single" w:sz="8" w:space="0" w:color="auto"/>
              <w:right w:val="single" w:sz="8" w:space="0" w:color="auto"/>
            </w:tcBorders>
            <w:shd w:val="clear" w:color="auto" w:fill="auto"/>
            <w:vAlign w:val="center"/>
            <w:hideMark/>
          </w:tcPr>
          <w:p w:rsidR="002D0009" w:rsidRDefault="002D0009">
            <w:pPr>
              <w:rPr>
                <w:rFonts w:ascii="Arial" w:hAnsi="Arial" w:cs="Arial"/>
                <w:color w:val="000000"/>
                <w:sz w:val="16"/>
                <w:szCs w:val="16"/>
              </w:rPr>
            </w:pPr>
            <w:r>
              <w:rPr>
                <w:rFonts w:ascii="Arial" w:hAnsi="Arial" w:cs="Arial"/>
                <w:color w:val="000000"/>
                <w:sz w:val="16"/>
                <w:szCs w:val="16"/>
              </w:rPr>
              <w:t>7 Budovanie povodňového varovného a predpovedného systému</w:t>
            </w:r>
          </w:p>
        </w:tc>
        <w:tc>
          <w:tcPr>
            <w:tcW w:w="510" w:type="pct"/>
            <w:tcBorders>
              <w:top w:val="nil"/>
              <w:left w:val="nil"/>
              <w:bottom w:val="single" w:sz="8" w:space="0" w:color="auto"/>
              <w:right w:val="single" w:sz="8" w:space="0" w:color="auto"/>
            </w:tcBorders>
            <w:shd w:val="clear" w:color="auto" w:fill="auto"/>
            <w:vAlign w:val="center"/>
            <w:hideMark/>
          </w:tcPr>
          <w:p w:rsidR="002D0009" w:rsidRDefault="002D0009">
            <w:pPr>
              <w:jc w:val="right"/>
              <w:rPr>
                <w:rFonts w:ascii="Arial" w:hAnsi="Arial" w:cs="Arial"/>
                <w:color w:val="000000"/>
                <w:sz w:val="16"/>
                <w:szCs w:val="16"/>
              </w:rPr>
            </w:pPr>
            <w:r>
              <w:rPr>
                <w:rFonts w:ascii="Arial" w:hAnsi="Arial" w:cs="Arial"/>
                <w:color w:val="000000"/>
                <w:sz w:val="16"/>
                <w:szCs w:val="16"/>
              </w:rPr>
              <w:t>23 529 412</w:t>
            </w:r>
          </w:p>
        </w:tc>
        <w:tc>
          <w:tcPr>
            <w:tcW w:w="510" w:type="pct"/>
            <w:tcBorders>
              <w:top w:val="nil"/>
              <w:left w:val="nil"/>
              <w:bottom w:val="single" w:sz="8" w:space="0" w:color="auto"/>
              <w:right w:val="single" w:sz="8" w:space="0" w:color="auto"/>
            </w:tcBorders>
            <w:shd w:val="clear" w:color="auto" w:fill="auto"/>
            <w:noWrap/>
            <w:vAlign w:val="center"/>
            <w:hideMark/>
          </w:tcPr>
          <w:p w:rsidR="002D0009" w:rsidRDefault="002D0009">
            <w:pPr>
              <w:jc w:val="center"/>
              <w:rPr>
                <w:rFonts w:ascii="Arial" w:hAnsi="Arial" w:cs="Arial"/>
                <w:color w:val="000000"/>
                <w:sz w:val="16"/>
                <w:szCs w:val="16"/>
              </w:rPr>
            </w:pPr>
            <w:r>
              <w:rPr>
                <w:rFonts w:ascii="Arial" w:hAnsi="Arial" w:cs="Arial"/>
                <w:color w:val="000000"/>
                <w:sz w:val="16"/>
                <w:szCs w:val="16"/>
              </w:rPr>
              <w:t>0</w:t>
            </w:r>
          </w:p>
        </w:tc>
        <w:tc>
          <w:tcPr>
            <w:tcW w:w="510" w:type="pct"/>
            <w:tcBorders>
              <w:top w:val="nil"/>
              <w:left w:val="nil"/>
              <w:bottom w:val="single" w:sz="8" w:space="0" w:color="auto"/>
              <w:right w:val="single" w:sz="8" w:space="0" w:color="auto"/>
            </w:tcBorders>
            <w:shd w:val="clear" w:color="auto" w:fill="auto"/>
            <w:noWrap/>
            <w:vAlign w:val="center"/>
            <w:hideMark/>
          </w:tcPr>
          <w:p w:rsidR="002D0009" w:rsidRDefault="002D0009">
            <w:pPr>
              <w:jc w:val="center"/>
              <w:rPr>
                <w:rFonts w:ascii="Arial" w:hAnsi="Arial" w:cs="Arial"/>
                <w:color w:val="000000"/>
                <w:sz w:val="16"/>
                <w:szCs w:val="16"/>
              </w:rPr>
            </w:pPr>
            <w:r>
              <w:rPr>
                <w:rFonts w:ascii="Arial" w:hAnsi="Arial" w:cs="Arial"/>
                <w:color w:val="000000"/>
                <w:sz w:val="16"/>
                <w:szCs w:val="16"/>
              </w:rPr>
              <w:t>0</w:t>
            </w:r>
          </w:p>
        </w:tc>
        <w:tc>
          <w:tcPr>
            <w:tcW w:w="510" w:type="pct"/>
            <w:tcBorders>
              <w:top w:val="nil"/>
              <w:left w:val="nil"/>
              <w:bottom w:val="single" w:sz="8" w:space="0" w:color="auto"/>
              <w:right w:val="single" w:sz="8" w:space="0" w:color="auto"/>
            </w:tcBorders>
            <w:shd w:val="clear" w:color="auto" w:fill="auto"/>
            <w:noWrap/>
            <w:vAlign w:val="center"/>
            <w:hideMark/>
          </w:tcPr>
          <w:p w:rsidR="002D0009" w:rsidRDefault="002D0009">
            <w:pPr>
              <w:jc w:val="center"/>
              <w:rPr>
                <w:rFonts w:ascii="Arial" w:hAnsi="Arial" w:cs="Arial"/>
                <w:color w:val="000000"/>
                <w:sz w:val="16"/>
                <w:szCs w:val="16"/>
              </w:rPr>
            </w:pPr>
            <w:r>
              <w:rPr>
                <w:rFonts w:ascii="Arial" w:hAnsi="Arial" w:cs="Arial"/>
                <w:color w:val="000000"/>
                <w:sz w:val="16"/>
                <w:szCs w:val="16"/>
              </w:rPr>
              <w:t>0</w:t>
            </w:r>
          </w:p>
        </w:tc>
        <w:tc>
          <w:tcPr>
            <w:tcW w:w="510" w:type="pct"/>
            <w:tcBorders>
              <w:top w:val="nil"/>
              <w:left w:val="nil"/>
              <w:bottom w:val="single" w:sz="8" w:space="0" w:color="auto"/>
              <w:right w:val="single" w:sz="8" w:space="0" w:color="auto"/>
            </w:tcBorders>
            <w:shd w:val="clear" w:color="auto" w:fill="auto"/>
            <w:noWrap/>
            <w:vAlign w:val="center"/>
            <w:hideMark/>
          </w:tcPr>
          <w:p w:rsidR="002D0009" w:rsidRDefault="002D0009">
            <w:pPr>
              <w:jc w:val="center"/>
              <w:rPr>
                <w:rFonts w:ascii="Arial" w:hAnsi="Arial" w:cs="Arial"/>
                <w:color w:val="000000"/>
                <w:sz w:val="16"/>
                <w:szCs w:val="16"/>
              </w:rPr>
            </w:pPr>
            <w:r>
              <w:rPr>
                <w:rFonts w:ascii="Arial" w:hAnsi="Arial" w:cs="Arial"/>
                <w:color w:val="000000"/>
                <w:sz w:val="16"/>
                <w:szCs w:val="16"/>
              </w:rPr>
              <w:t>0</w:t>
            </w:r>
          </w:p>
        </w:tc>
        <w:tc>
          <w:tcPr>
            <w:tcW w:w="535" w:type="pct"/>
            <w:tcBorders>
              <w:top w:val="nil"/>
              <w:left w:val="nil"/>
              <w:bottom w:val="single" w:sz="8" w:space="0" w:color="auto"/>
              <w:right w:val="single" w:sz="8" w:space="0" w:color="auto"/>
            </w:tcBorders>
            <w:shd w:val="clear" w:color="auto" w:fill="auto"/>
            <w:noWrap/>
            <w:vAlign w:val="center"/>
            <w:hideMark/>
          </w:tcPr>
          <w:p w:rsidR="002D0009" w:rsidRDefault="002D0009">
            <w:pPr>
              <w:jc w:val="center"/>
              <w:rPr>
                <w:rFonts w:ascii="Arial" w:hAnsi="Arial" w:cs="Arial"/>
                <w:color w:val="000000"/>
                <w:sz w:val="16"/>
                <w:szCs w:val="16"/>
              </w:rPr>
            </w:pPr>
            <w:r>
              <w:rPr>
                <w:rFonts w:ascii="Arial" w:hAnsi="Arial" w:cs="Arial"/>
                <w:color w:val="000000"/>
                <w:sz w:val="16"/>
                <w:szCs w:val="16"/>
              </w:rPr>
              <w:t>0</w:t>
            </w:r>
          </w:p>
        </w:tc>
      </w:tr>
      <w:tr w:rsidR="002D0009" w:rsidTr="002D0009">
        <w:trPr>
          <w:trHeight w:val="315"/>
        </w:trPr>
        <w:tc>
          <w:tcPr>
            <w:tcW w:w="1917" w:type="pct"/>
            <w:tcBorders>
              <w:top w:val="nil"/>
              <w:left w:val="single" w:sz="8" w:space="0" w:color="auto"/>
              <w:bottom w:val="single" w:sz="8" w:space="0" w:color="auto"/>
              <w:right w:val="single" w:sz="8" w:space="0" w:color="auto"/>
            </w:tcBorders>
            <w:shd w:val="clear" w:color="000000" w:fill="EAF1DD"/>
            <w:vAlign w:val="center"/>
            <w:hideMark/>
          </w:tcPr>
          <w:p w:rsidR="002D0009" w:rsidRDefault="002D0009">
            <w:pPr>
              <w:rPr>
                <w:rFonts w:ascii="Arial" w:hAnsi="Arial" w:cs="Arial"/>
                <w:b/>
                <w:bCs/>
                <w:color w:val="000000"/>
                <w:sz w:val="16"/>
                <w:szCs w:val="16"/>
              </w:rPr>
            </w:pPr>
            <w:r>
              <w:rPr>
                <w:rFonts w:ascii="Arial" w:hAnsi="Arial" w:cs="Arial"/>
                <w:b/>
                <w:bCs/>
                <w:color w:val="000000"/>
                <w:sz w:val="16"/>
                <w:szCs w:val="16"/>
              </w:rPr>
              <w:t>Celkom</w:t>
            </w:r>
          </w:p>
        </w:tc>
        <w:tc>
          <w:tcPr>
            <w:tcW w:w="510" w:type="pct"/>
            <w:tcBorders>
              <w:top w:val="nil"/>
              <w:left w:val="nil"/>
              <w:bottom w:val="single" w:sz="8" w:space="0" w:color="auto"/>
              <w:right w:val="single" w:sz="8" w:space="0" w:color="auto"/>
            </w:tcBorders>
            <w:shd w:val="clear" w:color="000000" w:fill="EAF1DD"/>
            <w:noWrap/>
            <w:vAlign w:val="center"/>
            <w:hideMark/>
          </w:tcPr>
          <w:p w:rsidR="002D0009" w:rsidRDefault="002D0009">
            <w:pPr>
              <w:jc w:val="center"/>
              <w:rPr>
                <w:rFonts w:ascii="Arial" w:hAnsi="Arial" w:cs="Arial"/>
                <w:b/>
                <w:bCs/>
                <w:color w:val="000000"/>
                <w:sz w:val="16"/>
                <w:szCs w:val="16"/>
              </w:rPr>
            </w:pPr>
            <w:r>
              <w:rPr>
                <w:rFonts w:ascii="Arial" w:hAnsi="Arial" w:cs="Arial"/>
                <w:b/>
                <w:bCs/>
                <w:color w:val="000000"/>
                <w:sz w:val="16"/>
                <w:szCs w:val="16"/>
              </w:rPr>
              <w:t>2 040 956 795</w:t>
            </w:r>
          </w:p>
        </w:tc>
        <w:tc>
          <w:tcPr>
            <w:tcW w:w="510" w:type="pct"/>
            <w:tcBorders>
              <w:top w:val="nil"/>
              <w:left w:val="nil"/>
              <w:bottom w:val="single" w:sz="8" w:space="0" w:color="auto"/>
              <w:right w:val="single" w:sz="8" w:space="0" w:color="auto"/>
            </w:tcBorders>
            <w:shd w:val="clear" w:color="000000" w:fill="EAF1DD"/>
            <w:noWrap/>
            <w:vAlign w:val="center"/>
            <w:hideMark/>
          </w:tcPr>
          <w:p w:rsidR="002D0009" w:rsidRDefault="002D0009">
            <w:pPr>
              <w:jc w:val="center"/>
              <w:rPr>
                <w:rFonts w:ascii="Arial" w:hAnsi="Arial" w:cs="Arial"/>
                <w:b/>
                <w:bCs/>
                <w:color w:val="000000"/>
                <w:sz w:val="16"/>
                <w:szCs w:val="16"/>
              </w:rPr>
            </w:pPr>
            <w:r>
              <w:rPr>
                <w:rFonts w:ascii="Arial" w:hAnsi="Arial" w:cs="Arial"/>
                <w:b/>
                <w:bCs/>
                <w:color w:val="000000"/>
                <w:sz w:val="16"/>
                <w:szCs w:val="16"/>
              </w:rPr>
              <w:t>5 305 763 746</w:t>
            </w:r>
          </w:p>
        </w:tc>
        <w:tc>
          <w:tcPr>
            <w:tcW w:w="510" w:type="pct"/>
            <w:tcBorders>
              <w:top w:val="nil"/>
              <w:left w:val="nil"/>
              <w:bottom w:val="single" w:sz="8" w:space="0" w:color="auto"/>
              <w:right w:val="single" w:sz="8" w:space="0" w:color="auto"/>
            </w:tcBorders>
            <w:shd w:val="clear" w:color="000000" w:fill="EAF1DD"/>
            <w:noWrap/>
            <w:vAlign w:val="center"/>
            <w:hideMark/>
          </w:tcPr>
          <w:p w:rsidR="002D0009" w:rsidRDefault="002D0009">
            <w:pPr>
              <w:jc w:val="center"/>
              <w:rPr>
                <w:rFonts w:ascii="Arial" w:hAnsi="Arial" w:cs="Arial"/>
                <w:b/>
                <w:bCs/>
                <w:color w:val="000000"/>
                <w:sz w:val="16"/>
                <w:szCs w:val="16"/>
              </w:rPr>
            </w:pPr>
            <w:r>
              <w:rPr>
                <w:rFonts w:ascii="Arial" w:hAnsi="Arial" w:cs="Arial"/>
                <w:b/>
                <w:bCs/>
                <w:color w:val="000000"/>
                <w:sz w:val="16"/>
                <w:szCs w:val="16"/>
              </w:rPr>
              <w:t>1 781 256 875</w:t>
            </w:r>
          </w:p>
        </w:tc>
        <w:tc>
          <w:tcPr>
            <w:tcW w:w="510" w:type="pct"/>
            <w:tcBorders>
              <w:top w:val="nil"/>
              <w:left w:val="nil"/>
              <w:bottom w:val="single" w:sz="8" w:space="0" w:color="auto"/>
              <w:right w:val="single" w:sz="8" w:space="0" w:color="auto"/>
            </w:tcBorders>
            <w:shd w:val="clear" w:color="000000" w:fill="EAF1DD"/>
            <w:noWrap/>
            <w:vAlign w:val="center"/>
            <w:hideMark/>
          </w:tcPr>
          <w:p w:rsidR="002D0009" w:rsidRDefault="002D0009">
            <w:pPr>
              <w:jc w:val="center"/>
              <w:rPr>
                <w:rFonts w:ascii="Arial" w:hAnsi="Arial" w:cs="Arial"/>
                <w:b/>
                <w:bCs/>
                <w:color w:val="000000"/>
                <w:sz w:val="16"/>
                <w:szCs w:val="16"/>
              </w:rPr>
            </w:pPr>
            <w:r>
              <w:rPr>
                <w:rFonts w:ascii="Arial" w:hAnsi="Arial" w:cs="Arial"/>
                <w:b/>
                <w:bCs/>
                <w:color w:val="000000"/>
                <w:sz w:val="16"/>
                <w:szCs w:val="16"/>
              </w:rPr>
              <w:t>1 548 242 526</w:t>
            </w:r>
          </w:p>
        </w:tc>
        <w:tc>
          <w:tcPr>
            <w:tcW w:w="510" w:type="pct"/>
            <w:tcBorders>
              <w:top w:val="nil"/>
              <w:left w:val="nil"/>
              <w:bottom w:val="single" w:sz="8" w:space="0" w:color="auto"/>
              <w:right w:val="single" w:sz="8" w:space="0" w:color="auto"/>
            </w:tcBorders>
            <w:shd w:val="clear" w:color="000000" w:fill="EAF1DD"/>
            <w:noWrap/>
            <w:vAlign w:val="center"/>
            <w:hideMark/>
          </w:tcPr>
          <w:p w:rsidR="002D0009" w:rsidRDefault="002D0009">
            <w:pPr>
              <w:jc w:val="center"/>
              <w:rPr>
                <w:rFonts w:ascii="Arial" w:hAnsi="Arial" w:cs="Arial"/>
                <w:b/>
                <w:bCs/>
                <w:color w:val="000000"/>
                <w:sz w:val="16"/>
                <w:szCs w:val="16"/>
              </w:rPr>
            </w:pPr>
            <w:r>
              <w:rPr>
                <w:rFonts w:ascii="Arial" w:hAnsi="Arial" w:cs="Arial"/>
                <w:b/>
                <w:bCs/>
                <w:color w:val="000000"/>
                <w:sz w:val="16"/>
                <w:szCs w:val="16"/>
              </w:rPr>
              <w:t>315 488 395</w:t>
            </w:r>
          </w:p>
        </w:tc>
        <w:tc>
          <w:tcPr>
            <w:tcW w:w="535" w:type="pct"/>
            <w:tcBorders>
              <w:top w:val="nil"/>
              <w:left w:val="nil"/>
              <w:bottom w:val="single" w:sz="8" w:space="0" w:color="auto"/>
              <w:right w:val="single" w:sz="8" w:space="0" w:color="auto"/>
            </w:tcBorders>
            <w:shd w:val="clear" w:color="000000" w:fill="EAF1DD"/>
            <w:noWrap/>
            <w:vAlign w:val="center"/>
            <w:hideMark/>
          </w:tcPr>
          <w:p w:rsidR="002D0009" w:rsidRDefault="002D0009">
            <w:pPr>
              <w:jc w:val="center"/>
              <w:rPr>
                <w:rFonts w:ascii="Arial" w:hAnsi="Arial" w:cs="Arial"/>
                <w:b/>
                <w:bCs/>
                <w:color w:val="000000"/>
                <w:sz w:val="16"/>
                <w:szCs w:val="16"/>
              </w:rPr>
            </w:pPr>
            <w:r>
              <w:rPr>
                <w:rFonts w:ascii="Arial" w:hAnsi="Arial" w:cs="Arial"/>
                <w:b/>
                <w:bCs/>
                <w:color w:val="000000"/>
                <w:sz w:val="16"/>
                <w:szCs w:val="16"/>
              </w:rPr>
              <w:t>45 442 925</w:t>
            </w:r>
          </w:p>
        </w:tc>
      </w:tr>
      <w:tr w:rsidR="002D0009" w:rsidTr="002D0009">
        <w:trPr>
          <w:trHeight w:val="315"/>
        </w:trPr>
        <w:tc>
          <w:tcPr>
            <w:tcW w:w="1917" w:type="pct"/>
            <w:tcBorders>
              <w:top w:val="nil"/>
              <w:left w:val="single" w:sz="8" w:space="0" w:color="auto"/>
              <w:bottom w:val="single" w:sz="8" w:space="0" w:color="auto"/>
              <w:right w:val="single" w:sz="8" w:space="0" w:color="auto"/>
            </w:tcBorders>
            <w:shd w:val="clear" w:color="auto" w:fill="auto"/>
            <w:vAlign w:val="center"/>
            <w:hideMark/>
          </w:tcPr>
          <w:p w:rsidR="002D0009" w:rsidRDefault="002D0009">
            <w:pPr>
              <w:rPr>
                <w:rFonts w:ascii="Arial" w:hAnsi="Arial" w:cs="Arial"/>
                <w:color w:val="000000"/>
                <w:sz w:val="16"/>
                <w:szCs w:val="16"/>
              </w:rPr>
            </w:pPr>
            <w:r>
              <w:rPr>
                <w:rFonts w:ascii="Arial" w:hAnsi="Arial" w:cs="Arial"/>
                <w:color w:val="000000"/>
                <w:sz w:val="16"/>
                <w:szCs w:val="16"/>
              </w:rPr>
              <w:t>6 Technická pomoc</w:t>
            </w:r>
          </w:p>
        </w:tc>
        <w:tc>
          <w:tcPr>
            <w:tcW w:w="510" w:type="pct"/>
            <w:tcBorders>
              <w:top w:val="nil"/>
              <w:left w:val="nil"/>
              <w:bottom w:val="single" w:sz="8" w:space="0" w:color="auto"/>
              <w:right w:val="single" w:sz="8" w:space="0" w:color="auto"/>
            </w:tcBorders>
            <w:shd w:val="clear" w:color="auto" w:fill="auto"/>
            <w:vAlign w:val="center"/>
            <w:hideMark/>
          </w:tcPr>
          <w:p w:rsidR="002D0009" w:rsidRDefault="002D0009">
            <w:pPr>
              <w:jc w:val="right"/>
              <w:rPr>
                <w:rFonts w:ascii="Arial" w:hAnsi="Arial" w:cs="Arial"/>
                <w:color w:val="000000"/>
                <w:sz w:val="16"/>
                <w:szCs w:val="16"/>
              </w:rPr>
            </w:pPr>
            <w:r>
              <w:rPr>
                <w:rFonts w:ascii="Arial" w:hAnsi="Arial" w:cs="Arial"/>
                <w:color w:val="000000"/>
                <w:sz w:val="16"/>
                <w:szCs w:val="16"/>
              </w:rPr>
              <w:t>57 176 470</w:t>
            </w:r>
          </w:p>
        </w:tc>
        <w:tc>
          <w:tcPr>
            <w:tcW w:w="510" w:type="pct"/>
            <w:tcBorders>
              <w:top w:val="nil"/>
              <w:left w:val="nil"/>
              <w:bottom w:val="single" w:sz="8" w:space="0" w:color="auto"/>
              <w:right w:val="single" w:sz="8" w:space="0" w:color="auto"/>
            </w:tcBorders>
            <w:shd w:val="clear" w:color="auto" w:fill="auto"/>
            <w:noWrap/>
            <w:vAlign w:val="center"/>
            <w:hideMark/>
          </w:tcPr>
          <w:p w:rsidR="002D0009" w:rsidRDefault="002D0009">
            <w:pPr>
              <w:jc w:val="center"/>
              <w:rPr>
                <w:rFonts w:ascii="Arial" w:hAnsi="Arial" w:cs="Arial"/>
                <w:color w:val="000000"/>
                <w:sz w:val="16"/>
                <w:szCs w:val="16"/>
              </w:rPr>
            </w:pPr>
            <w:r>
              <w:rPr>
                <w:rFonts w:ascii="Arial" w:hAnsi="Arial" w:cs="Arial"/>
                <w:color w:val="000000"/>
                <w:sz w:val="16"/>
                <w:szCs w:val="16"/>
              </w:rPr>
              <w:t>49 037 583</w:t>
            </w:r>
          </w:p>
        </w:tc>
        <w:tc>
          <w:tcPr>
            <w:tcW w:w="510" w:type="pct"/>
            <w:tcBorders>
              <w:top w:val="nil"/>
              <w:left w:val="nil"/>
              <w:bottom w:val="single" w:sz="8" w:space="0" w:color="auto"/>
              <w:right w:val="single" w:sz="8" w:space="0" w:color="auto"/>
            </w:tcBorders>
            <w:shd w:val="clear" w:color="auto" w:fill="auto"/>
            <w:noWrap/>
            <w:vAlign w:val="center"/>
            <w:hideMark/>
          </w:tcPr>
          <w:p w:rsidR="002D0009" w:rsidRDefault="002D0009">
            <w:pPr>
              <w:jc w:val="center"/>
              <w:rPr>
                <w:rFonts w:ascii="Arial" w:hAnsi="Arial" w:cs="Arial"/>
                <w:color w:val="000000"/>
                <w:sz w:val="16"/>
                <w:szCs w:val="16"/>
              </w:rPr>
            </w:pPr>
            <w:r>
              <w:rPr>
                <w:rFonts w:ascii="Arial" w:hAnsi="Arial" w:cs="Arial"/>
                <w:color w:val="000000"/>
                <w:sz w:val="16"/>
                <w:szCs w:val="16"/>
              </w:rPr>
              <w:t>49 037 583</w:t>
            </w:r>
          </w:p>
        </w:tc>
        <w:tc>
          <w:tcPr>
            <w:tcW w:w="510" w:type="pct"/>
            <w:tcBorders>
              <w:top w:val="nil"/>
              <w:left w:val="nil"/>
              <w:bottom w:val="single" w:sz="8" w:space="0" w:color="auto"/>
              <w:right w:val="single" w:sz="8" w:space="0" w:color="auto"/>
            </w:tcBorders>
            <w:shd w:val="clear" w:color="auto" w:fill="auto"/>
            <w:noWrap/>
            <w:vAlign w:val="center"/>
            <w:hideMark/>
          </w:tcPr>
          <w:p w:rsidR="002D0009" w:rsidRDefault="002D0009">
            <w:pPr>
              <w:jc w:val="center"/>
              <w:rPr>
                <w:rFonts w:ascii="Arial" w:hAnsi="Arial" w:cs="Arial"/>
                <w:color w:val="000000"/>
                <w:sz w:val="16"/>
                <w:szCs w:val="16"/>
              </w:rPr>
            </w:pPr>
            <w:r>
              <w:rPr>
                <w:rFonts w:ascii="Arial" w:hAnsi="Arial" w:cs="Arial"/>
                <w:color w:val="000000"/>
                <w:sz w:val="16"/>
                <w:szCs w:val="16"/>
              </w:rPr>
              <w:t>37 707 242</w:t>
            </w:r>
          </w:p>
        </w:tc>
        <w:tc>
          <w:tcPr>
            <w:tcW w:w="510" w:type="pct"/>
            <w:tcBorders>
              <w:top w:val="nil"/>
              <w:left w:val="nil"/>
              <w:bottom w:val="single" w:sz="8" w:space="0" w:color="auto"/>
              <w:right w:val="single" w:sz="8" w:space="0" w:color="auto"/>
            </w:tcBorders>
            <w:shd w:val="clear" w:color="auto" w:fill="auto"/>
            <w:noWrap/>
            <w:vAlign w:val="center"/>
            <w:hideMark/>
          </w:tcPr>
          <w:p w:rsidR="002D0009" w:rsidRDefault="002D0009">
            <w:pPr>
              <w:jc w:val="center"/>
              <w:rPr>
                <w:rFonts w:ascii="Arial" w:hAnsi="Arial" w:cs="Arial"/>
                <w:color w:val="000000"/>
                <w:sz w:val="16"/>
                <w:szCs w:val="16"/>
              </w:rPr>
            </w:pPr>
            <w:r>
              <w:rPr>
                <w:rFonts w:ascii="Arial" w:hAnsi="Arial" w:cs="Arial"/>
                <w:color w:val="000000"/>
                <w:sz w:val="16"/>
                <w:szCs w:val="16"/>
              </w:rPr>
              <w:t>13 359 296</w:t>
            </w:r>
          </w:p>
        </w:tc>
        <w:tc>
          <w:tcPr>
            <w:tcW w:w="535" w:type="pct"/>
            <w:tcBorders>
              <w:top w:val="nil"/>
              <w:left w:val="nil"/>
              <w:bottom w:val="single" w:sz="8" w:space="0" w:color="auto"/>
              <w:right w:val="single" w:sz="8" w:space="0" w:color="auto"/>
            </w:tcBorders>
            <w:shd w:val="clear" w:color="auto" w:fill="auto"/>
            <w:noWrap/>
            <w:vAlign w:val="center"/>
            <w:hideMark/>
          </w:tcPr>
          <w:p w:rsidR="002D0009" w:rsidRDefault="002D0009">
            <w:pPr>
              <w:jc w:val="center"/>
              <w:rPr>
                <w:rFonts w:ascii="Arial" w:hAnsi="Arial" w:cs="Arial"/>
                <w:color w:val="000000"/>
                <w:sz w:val="16"/>
                <w:szCs w:val="16"/>
              </w:rPr>
            </w:pPr>
            <w:r>
              <w:rPr>
                <w:rFonts w:ascii="Arial" w:hAnsi="Arial" w:cs="Arial"/>
                <w:color w:val="000000"/>
                <w:sz w:val="16"/>
                <w:szCs w:val="16"/>
              </w:rPr>
              <w:t>11 330 342</w:t>
            </w:r>
          </w:p>
        </w:tc>
      </w:tr>
      <w:tr w:rsidR="002D0009" w:rsidTr="002D0009">
        <w:trPr>
          <w:trHeight w:val="315"/>
        </w:trPr>
        <w:tc>
          <w:tcPr>
            <w:tcW w:w="1917" w:type="pct"/>
            <w:tcBorders>
              <w:top w:val="nil"/>
              <w:left w:val="single" w:sz="8" w:space="0" w:color="auto"/>
              <w:bottom w:val="single" w:sz="8" w:space="0" w:color="auto"/>
              <w:right w:val="single" w:sz="8" w:space="0" w:color="auto"/>
            </w:tcBorders>
            <w:shd w:val="clear" w:color="000000" w:fill="EAF1DD"/>
            <w:vAlign w:val="center"/>
            <w:hideMark/>
          </w:tcPr>
          <w:p w:rsidR="002D0009" w:rsidRDefault="002D0009">
            <w:pPr>
              <w:rPr>
                <w:rFonts w:ascii="Arial" w:hAnsi="Arial" w:cs="Arial"/>
                <w:b/>
                <w:bCs/>
                <w:color w:val="000000"/>
                <w:sz w:val="16"/>
                <w:szCs w:val="16"/>
              </w:rPr>
            </w:pPr>
            <w:r>
              <w:rPr>
                <w:rFonts w:ascii="Arial" w:hAnsi="Arial" w:cs="Arial"/>
                <w:b/>
                <w:bCs/>
                <w:color w:val="000000"/>
                <w:sz w:val="16"/>
                <w:szCs w:val="16"/>
              </w:rPr>
              <w:t>Celkom</w:t>
            </w:r>
          </w:p>
        </w:tc>
        <w:tc>
          <w:tcPr>
            <w:tcW w:w="510" w:type="pct"/>
            <w:tcBorders>
              <w:top w:val="nil"/>
              <w:left w:val="nil"/>
              <w:bottom w:val="single" w:sz="8" w:space="0" w:color="auto"/>
              <w:right w:val="single" w:sz="8" w:space="0" w:color="auto"/>
            </w:tcBorders>
            <w:shd w:val="clear" w:color="000000" w:fill="EAF1DD"/>
            <w:noWrap/>
            <w:vAlign w:val="center"/>
            <w:hideMark/>
          </w:tcPr>
          <w:p w:rsidR="002D0009" w:rsidRDefault="002D0009">
            <w:pPr>
              <w:jc w:val="center"/>
              <w:rPr>
                <w:rFonts w:ascii="Arial" w:hAnsi="Arial" w:cs="Arial"/>
                <w:b/>
                <w:bCs/>
                <w:color w:val="000000"/>
                <w:sz w:val="16"/>
                <w:szCs w:val="16"/>
              </w:rPr>
            </w:pPr>
            <w:r>
              <w:rPr>
                <w:rFonts w:ascii="Arial" w:hAnsi="Arial" w:cs="Arial"/>
                <w:b/>
                <w:bCs/>
                <w:color w:val="000000"/>
                <w:sz w:val="16"/>
                <w:szCs w:val="16"/>
              </w:rPr>
              <w:t>2 098 133 265</w:t>
            </w:r>
          </w:p>
        </w:tc>
        <w:tc>
          <w:tcPr>
            <w:tcW w:w="510" w:type="pct"/>
            <w:tcBorders>
              <w:top w:val="nil"/>
              <w:left w:val="nil"/>
              <w:bottom w:val="single" w:sz="8" w:space="0" w:color="auto"/>
              <w:right w:val="single" w:sz="8" w:space="0" w:color="auto"/>
            </w:tcBorders>
            <w:shd w:val="clear" w:color="000000" w:fill="EAF1DD"/>
            <w:noWrap/>
            <w:vAlign w:val="center"/>
            <w:hideMark/>
          </w:tcPr>
          <w:p w:rsidR="002D0009" w:rsidRDefault="002D0009">
            <w:pPr>
              <w:jc w:val="center"/>
              <w:rPr>
                <w:rFonts w:ascii="Arial" w:hAnsi="Arial" w:cs="Arial"/>
                <w:b/>
                <w:bCs/>
                <w:color w:val="000000"/>
                <w:sz w:val="16"/>
                <w:szCs w:val="16"/>
              </w:rPr>
            </w:pPr>
            <w:r>
              <w:rPr>
                <w:rFonts w:ascii="Arial" w:hAnsi="Arial" w:cs="Arial"/>
                <w:b/>
                <w:bCs/>
                <w:color w:val="000000"/>
                <w:sz w:val="16"/>
                <w:szCs w:val="16"/>
              </w:rPr>
              <w:t>5 354 801 329</w:t>
            </w:r>
          </w:p>
        </w:tc>
        <w:tc>
          <w:tcPr>
            <w:tcW w:w="510" w:type="pct"/>
            <w:tcBorders>
              <w:top w:val="nil"/>
              <w:left w:val="nil"/>
              <w:bottom w:val="single" w:sz="8" w:space="0" w:color="auto"/>
              <w:right w:val="single" w:sz="8" w:space="0" w:color="auto"/>
            </w:tcBorders>
            <w:shd w:val="clear" w:color="000000" w:fill="EAF1DD"/>
            <w:noWrap/>
            <w:vAlign w:val="center"/>
            <w:hideMark/>
          </w:tcPr>
          <w:p w:rsidR="002D0009" w:rsidRDefault="002D0009">
            <w:pPr>
              <w:jc w:val="center"/>
              <w:rPr>
                <w:rFonts w:ascii="Arial" w:hAnsi="Arial" w:cs="Arial"/>
                <w:b/>
                <w:bCs/>
                <w:color w:val="000000"/>
                <w:sz w:val="16"/>
                <w:szCs w:val="16"/>
              </w:rPr>
            </w:pPr>
            <w:r>
              <w:rPr>
                <w:rFonts w:ascii="Arial" w:hAnsi="Arial" w:cs="Arial"/>
                <w:b/>
                <w:bCs/>
                <w:color w:val="000000"/>
                <w:sz w:val="16"/>
                <w:szCs w:val="16"/>
              </w:rPr>
              <w:t>1 830 294 459</w:t>
            </w:r>
          </w:p>
        </w:tc>
        <w:tc>
          <w:tcPr>
            <w:tcW w:w="510" w:type="pct"/>
            <w:tcBorders>
              <w:top w:val="nil"/>
              <w:left w:val="nil"/>
              <w:bottom w:val="single" w:sz="8" w:space="0" w:color="auto"/>
              <w:right w:val="single" w:sz="8" w:space="0" w:color="auto"/>
            </w:tcBorders>
            <w:shd w:val="clear" w:color="000000" w:fill="EAF1DD"/>
            <w:noWrap/>
            <w:vAlign w:val="center"/>
            <w:hideMark/>
          </w:tcPr>
          <w:p w:rsidR="002D0009" w:rsidRDefault="002D0009">
            <w:pPr>
              <w:jc w:val="center"/>
              <w:rPr>
                <w:rFonts w:ascii="Arial" w:hAnsi="Arial" w:cs="Arial"/>
                <w:b/>
                <w:bCs/>
                <w:color w:val="000000"/>
                <w:sz w:val="16"/>
                <w:szCs w:val="16"/>
              </w:rPr>
            </w:pPr>
            <w:r>
              <w:rPr>
                <w:rFonts w:ascii="Arial" w:hAnsi="Arial" w:cs="Arial"/>
                <w:b/>
                <w:bCs/>
                <w:color w:val="000000"/>
                <w:sz w:val="16"/>
                <w:szCs w:val="16"/>
              </w:rPr>
              <w:t>1 585 949 768</w:t>
            </w:r>
          </w:p>
        </w:tc>
        <w:tc>
          <w:tcPr>
            <w:tcW w:w="510" w:type="pct"/>
            <w:tcBorders>
              <w:top w:val="nil"/>
              <w:left w:val="nil"/>
              <w:bottom w:val="single" w:sz="8" w:space="0" w:color="auto"/>
              <w:right w:val="single" w:sz="8" w:space="0" w:color="auto"/>
            </w:tcBorders>
            <w:shd w:val="clear" w:color="000000" w:fill="EAF1DD"/>
            <w:noWrap/>
            <w:vAlign w:val="center"/>
            <w:hideMark/>
          </w:tcPr>
          <w:p w:rsidR="002D0009" w:rsidRDefault="002D0009">
            <w:pPr>
              <w:jc w:val="center"/>
              <w:rPr>
                <w:rFonts w:ascii="Arial" w:hAnsi="Arial" w:cs="Arial"/>
                <w:b/>
                <w:bCs/>
                <w:color w:val="000000"/>
                <w:sz w:val="16"/>
                <w:szCs w:val="16"/>
              </w:rPr>
            </w:pPr>
            <w:r>
              <w:rPr>
                <w:rFonts w:ascii="Arial" w:hAnsi="Arial" w:cs="Arial"/>
                <w:b/>
                <w:bCs/>
                <w:color w:val="000000"/>
                <w:sz w:val="16"/>
                <w:szCs w:val="16"/>
              </w:rPr>
              <w:t>328 847 691</w:t>
            </w:r>
          </w:p>
        </w:tc>
        <w:tc>
          <w:tcPr>
            <w:tcW w:w="535" w:type="pct"/>
            <w:tcBorders>
              <w:top w:val="nil"/>
              <w:left w:val="nil"/>
              <w:bottom w:val="single" w:sz="8" w:space="0" w:color="auto"/>
              <w:right w:val="single" w:sz="8" w:space="0" w:color="auto"/>
            </w:tcBorders>
            <w:shd w:val="clear" w:color="000000" w:fill="EAF1DD"/>
            <w:noWrap/>
            <w:vAlign w:val="center"/>
            <w:hideMark/>
          </w:tcPr>
          <w:p w:rsidR="002D0009" w:rsidRDefault="002D0009">
            <w:pPr>
              <w:jc w:val="center"/>
              <w:rPr>
                <w:rFonts w:ascii="Arial" w:hAnsi="Arial" w:cs="Arial"/>
                <w:b/>
                <w:bCs/>
                <w:color w:val="000000"/>
                <w:sz w:val="16"/>
                <w:szCs w:val="16"/>
              </w:rPr>
            </w:pPr>
            <w:r>
              <w:rPr>
                <w:rFonts w:ascii="Arial" w:hAnsi="Arial" w:cs="Arial"/>
                <w:b/>
                <w:bCs/>
                <w:color w:val="000000"/>
                <w:sz w:val="16"/>
                <w:szCs w:val="16"/>
              </w:rPr>
              <w:t>56 773 267</w:t>
            </w:r>
          </w:p>
        </w:tc>
      </w:tr>
    </w:tbl>
    <w:p w:rsidR="002416B1" w:rsidRPr="006A2BF3" w:rsidRDefault="002D0009" w:rsidP="00454DC9">
      <w:pPr>
        <w:spacing w:line="360" w:lineRule="auto"/>
        <w:jc w:val="both"/>
        <w:rPr>
          <w:rFonts w:ascii="Arial" w:hAnsi="Arial" w:cs="Arial"/>
          <w:sz w:val="18"/>
          <w:szCs w:val="18"/>
        </w:rPr>
      </w:pPr>
      <w:r>
        <w:rPr>
          <w:rFonts w:ascii="Arial" w:hAnsi="Arial" w:cs="Arial"/>
          <w:sz w:val="18"/>
          <w:szCs w:val="18"/>
        </w:rPr>
        <w:t>Zdroj: RO</w:t>
      </w:r>
    </w:p>
    <w:tbl>
      <w:tblPr>
        <w:tblW w:w="9436" w:type="dxa"/>
        <w:tblInd w:w="55" w:type="dxa"/>
        <w:tblCellMar>
          <w:left w:w="70" w:type="dxa"/>
          <w:right w:w="70" w:type="dxa"/>
        </w:tblCellMar>
        <w:tblLook w:val="04A0" w:firstRow="1" w:lastRow="0" w:firstColumn="1" w:lastColumn="0" w:noHBand="0" w:noVBand="1"/>
      </w:tblPr>
      <w:tblGrid>
        <w:gridCol w:w="9436"/>
      </w:tblGrid>
      <w:tr w:rsidR="002416B1" w:rsidRPr="006A2BF3" w:rsidTr="00235D29">
        <w:trPr>
          <w:trHeight w:val="270"/>
        </w:trPr>
        <w:tc>
          <w:tcPr>
            <w:tcW w:w="9436" w:type="dxa"/>
            <w:tcBorders>
              <w:left w:val="nil"/>
              <w:bottom w:val="nil"/>
              <w:right w:val="nil"/>
            </w:tcBorders>
            <w:noWrap/>
            <w:vAlign w:val="bottom"/>
          </w:tcPr>
          <w:p w:rsidR="002416B1" w:rsidRPr="006A2BF3" w:rsidRDefault="002416B1" w:rsidP="00507035">
            <w:pPr>
              <w:rPr>
                <w:rFonts w:ascii="Arial" w:hAnsi="Arial" w:cs="Arial"/>
                <w:i/>
                <w:iCs/>
                <w:sz w:val="16"/>
                <w:szCs w:val="16"/>
              </w:rPr>
            </w:pPr>
            <w:r w:rsidRPr="006A2BF3">
              <w:rPr>
                <w:rFonts w:ascii="Arial" w:hAnsi="Arial" w:cs="Arial"/>
                <w:b/>
                <w:bCs/>
                <w:i/>
                <w:iCs/>
                <w:sz w:val="16"/>
                <w:szCs w:val="16"/>
                <w:vertAlign w:val="superscript"/>
              </w:rPr>
              <w:t>1</w:t>
            </w:r>
            <w:r w:rsidRPr="006A2BF3">
              <w:rPr>
                <w:rFonts w:ascii="Arial" w:hAnsi="Arial" w:cs="Arial"/>
                <w:i/>
                <w:iCs/>
                <w:sz w:val="16"/>
                <w:szCs w:val="16"/>
                <w:vertAlign w:val="superscript"/>
              </w:rPr>
              <w:t xml:space="preserve"> </w:t>
            </w:r>
            <w:r w:rsidRPr="006A2BF3">
              <w:rPr>
                <w:rFonts w:ascii="Arial" w:hAnsi="Arial" w:cs="Arial"/>
                <w:i/>
                <w:iCs/>
                <w:sz w:val="16"/>
                <w:szCs w:val="16"/>
              </w:rPr>
              <w:t>Objem čerpaných prostriedkov NFP</w:t>
            </w:r>
          </w:p>
        </w:tc>
      </w:tr>
      <w:tr w:rsidR="002416B1" w:rsidRPr="006A2BF3" w:rsidTr="00235D29">
        <w:trPr>
          <w:trHeight w:val="270"/>
        </w:trPr>
        <w:tc>
          <w:tcPr>
            <w:tcW w:w="9436" w:type="dxa"/>
            <w:tcBorders>
              <w:top w:val="nil"/>
              <w:left w:val="nil"/>
              <w:bottom w:val="nil"/>
              <w:right w:val="nil"/>
            </w:tcBorders>
            <w:noWrap/>
            <w:vAlign w:val="bottom"/>
          </w:tcPr>
          <w:p w:rsidR="002416B1" w:rsidRPr="006A2BF3" w:rsidRDefault="002416B1" w:rsidP="00507035">
            <w:pPr>
              <w:rPr>
                <w:rFonts w:ascii="Arial" w:hAnsi="Arial" w:cs="Arial"/>
                <w:sz w:val="16"/>
                <w:szCs w:val="16"/>
              </w:rPr>
            </w:pPr>
          </w:p>
        </w:tc>
      </w:tr>
      <w:tr w:rsidR="00E74AB0" w:rsidRPr="006A2BF3" w:rsidTr="0039268C">
        <w:trPr>
          <w:trHeight w:val="372"/>
        </w:trPr>
        <w:tc>
          <w:tcPr>
            <w:tcW w:w="9436" w:type="dxa"/>
            <w:tcBorders>
              <w:top w:val="nil"/>
              <w:left w:val="nil"/>
              <w:bottom w:val="nil"/>
              <w:right w:val="nil"/>
            </w:tcBorders>
            <w:noWrap/>
            <w:vAlign w:val="bottom"/>
          </w:tcPr>
          <w:p w:rsidR="00E74AB0" w:rsidRPr="00FA2DAA" w:rsidRDefault="00E74AB0" w:rsidP="00507035">
            <w:pPr>
              <w:rPr>
                <w:rFonts w:ascii="Arial" w:hAnsi="Arial" w:cs="Arial"/>
                <w:i/>
                <w:sz w:val="16"/>
                <w:szCs w:val="16"/>
              </w:rPr>
            </w:pPr>
          </w:p>
        </w:tc>
      </w:tr>
    </w:tbl>
    <w:p w:rsidR="00AD1BF2" w:rsidRDefault="00AD1BF2" w:rsidP="00AD1BF2">
      <w:pPr>
        <w:rPr>
          <w:rFonts w:ascii="Arial" w:hAnsi="Arial" w:cs="Arial"/>
          <w:sz w:val="20"/>
          <w:szCs w:val="20"/>
        </w:rPr>
      </w:pPr>
    </w:p>
    <w:p w:rsidR="002416B1" w:rsidRPr="00AD1BF2" w:rsidRDefault="002416B1" w:rsidP="00AD1BF2">
      <w:pPr>
        <w:spacing w:before="120" w:after="120" w:line="360" w:lineRule="auto"/>
        <w:jc w:val="both"/>
        <w:rPr>
          <w:rFonts w:ascii="Arial" w:hAnsi="Arial" w:cs="Arial"/>
          <w:sz w:val="20"/>
          <w:szCs w:val="20"/>
        </w:rPr>
      </w:pPr>
      <w:r w:rsidRPr="00C33A00">
        <w:rPr>
          <w:rFonts w:ascii="Arial" w:hAnsi="Arial" w:cs="Arial"/>
          <w:sz w:val="20"/>
          <w:szCs w:val="20"/>
        </w:rPr>
        <w:t>K 31.12.</w:t>
      </w:r>
      <w:r w:rsidR="00C3309F" w:rsidRPr="00C33A00">
        <w:rPr>
          <w:rFonts w:ascii="Arial" w:hAnsi="Arial" w:cs="Arial"/>
          <w:sz w:val="20"/>
          <w:szCs w:val="20"/>
        </w:rPr>
        <w:t xml:space="preserve">2012 </w:t>
      </w:r>
      <w:r w:rsidRPr="00C33A00">
        <w:rPr>
          <w:rFonts w:ascii="Arial" w:hAnsi="Arial" w:cs="Arial"/>
          <w:sz w:val="20"/>
          <w:szCs w:val="20"/>
        </w:rPr>
        <w:t>možno konštatovať, že z</w:t>
      </w:r>
      <w:r w:rsidR="00C33A00" w:rsidRPr="00C33A00">
        <w:rPr>
          <w:rFonts w:ascii="Arial" w:hAnsi="Arial" w:cs="Arial"/>
          <w:sz w:val="20"/>
          <w:szCs w:val="20"/>
        </w:rPr>
        <w:t> 2 674</w:t>
      </w:r>
      <w:r w:rsidR="00C3309F" w:rsidRPr="00C33A00">
        <w:rPr>
          <w:rFonts w:ascii="Arial" w:hAnsi="Arial" w:cs="Arial"/>
          <w:sz w:val="20"/>
          <w:szCs w:val="20"/>
        </w:rPr>
        <w:t xml:space="preserve"> </w:t>
      </w:r>
      <w:r w:rsidRPr="00C33A00">
        <w:rPr>
          <w:rFonts w:ascii="Arial" w:hAnsi="Arial" w:cs="Arial"/>
          <w:sz w:val="20"/>
          <w:szCs w:val="20"/>
        </w:rPr>
        <w:t xml:space="preserve">prijatých žiadostí o NFP v celkovej požadovanej sume </w:t>
      </w:r>
      <w:r w:rsidR="00C33A00" w:rsidRPr="00C33A00">
        <w:rPr>
          <w:rFonts w:ascii="Arial" w:hAnsi="Arial" w:cs="Arial"/>
          <w:sz w:val="20"/>
          <w:szCs w:val="20"/>
        </w:rPr>
        <w:t>5 354 801 329</w:t>
      </w:r>
      <w:r w:rsidRPr="00C33A00">
        <w:rPr>
          <w:rFonts w:ascii="Arial" w:hAnsi="Arial" w:cs="Arial"/>
          <w:sz w:val="20"/>
          <w:szCs w:val="20"/>
        </w:rPr>
        <w:t xml:space="preserve"> EUR bolo </w:t>
      </w:r>
      <w:r w:rsidR="00815D42" w:rsidRPr="00C33A00">
        <w:rPr>
          <w:rFonts w:ascii="Arial" w:hAnsi="Arial" w:cs="Arial"/>
          <w:sz w:val="20"/>
          <w:szCs w:val="20"/>
        </w:rPr>
        <w:t>RO</w:t>
      </w:r>
      <w:r w:rsidRPr="00C33A00">
        <w:rPr>
          <w:rFonts w:ascii="Arial" w:hAnsi="Arial" w:cs="Arial"/>
          <w:sz w:val="20"/>
          <w:szCs w:val="20"/>
        </w:rPr>
        <w:t xml:space="preserve"> schválených </w:t>
      </w:r>
      <w:r w:rsidR="00C33A00" w:rsidRPr="00C33A00">
        <w:rPr>
          <w:rFonts w:ascii="Arial" w:hAnsi="Arial" w:cs="Arial"/>
          <w:sz w:val="20"/>
          <w:szCs w:val="20"/>
        </w:rPr>
        <w:t xml:space="preserve">659 </w:t>
      </w:r>
      <w:r w:rsidRPr="00C33A00">
        <w:rPr>
          <w:rFonts w:ascii="Arial" w:hAnsi="Arial" w:cs="Arial"/>
          <w:sz w:val="20"/>
          <w:szCs w:val="20"/>
        </w:rPr>
        <w:t xml:space="preserve">žiadostí o NFP v sume schváleného NFP </w:t>
      </w:r>
      <w:r w:rsidR="00C33A00" w:rsidRPr="00C33A00">
        <w:rPr>
          <w:rFonts w:ascii="Arial" w:hAnsi="Arial" w:cs="Arial"/>
          <w:sz w:val="20"/>
          <w:szCs w:val="20"/>
        </w:rPr>
        <w:t>1 830 294 459</w:t>
      </w:r>
      <w:r w:rsidRPr="00C33A00">
        <w:rPr>
          <w:rFonts w:ascii="Arial" w:hAnsi="Arial" w:cs="Arial"/>
          <w:sz w:val="20"/>
          <w:szCs w:val="20"/>
        </w:rPr>
        <w:t xml:space="preserve"> EUR, pričom schvaľovanie žiadostí prijatých v rámci výziev koncom roka </w:t>
      </w:r>
      <w:r w:rsidR="00870B4D" w:rsidRPr="00C33A00">
        <w:rPr>
          <w:rFonts w:ascii="Arial" w:hAnsi="Arial" w:cs="Arial"/>
          <w:sz w:val="20"/>
          <w:szCs w:val="20"/>
        </w:rPr>
        <w:t xml:space="preserve">2012 </w:t>
      </w:r>
      <w:r w:rsidRPr="00C33A00">
        <w:rPr>
          <w:rFonts w:ascii="Arial" w:hAnsi="Arial" w:cs="Arial"/>
          <w:sz w:val="20"/>
          <w:szCs w:val="20"/>
        </w:rPr>
        <w:t xml:space="preserve">prebiehalo až v roku </w:t>
      </w:r>
      <w:r w:rsidR="00870B4D" w:rsidRPr="00C33A00">
        <w:rPr>
          <w:rFonts w:ascii="Arial" w:hAnsi="Arial" w:cs="Arial"/>
          <w:sz w:val="20"/>
          <w:szCs w:val="20"/>
        </w:rPr>
        <w:t>2013</w:t>
      </w:r>
      <w:r w:rsidRPr="00C33A00">
        <w:rPr>
          <w:rFonts w:ascii="Arial" w:hAnsi="Arial" w:cs="Arial"/>
          <w:sz w:val="20"/>
          <w:szCs w:val="20"/>
        </w:rPr>
        <w:t xml:space="preserve">. Ku koncu roka </w:t>
      </w:r>
      <w:r w:rsidR="00870B4D" w:rsidRPr="00C33A00">
        <w:rPr>
          <w:rFonts w:ascii="Arial" w:hAnsi="Arial" w:cs="Arial"/>
          <w:sz w:val="20"/>
          <w:szCs w:val="20"/>
        </w:rPr>
        <w:t xml:space="preserve">2012 </w:t>
      </w:r>
      <w:r w:rsidR="00281250" w:rsidRPr="00C33A00">
        <w:rPr>
          <w:rFonts w:ascii="Arial" w:hAnsi="Arial" w:cs="Arial"/>
          <w:sz w:val="20"/>
          <w:szCs w:val="20"/>
        </w:rPr>
        <w:t xml:space="preserve">bolo </w:t>
      </w:r>
      <w:r w:rsidRPr="00C33A00">
        <w:rPr>
          <w:rFonts w:ascii="Arial" w:hAnsi="Arial" w:cs="Arial"/>
          <w:sz w:val="20"/>
          <w:szCs w:val="20"/>
        </w:rPr>
        <w:t xml:space="preserve">zazmluvnených </w:t>
      </w:r>
      <w:r w:rsidR="00C33A00" w:rsidRPr="00C33A00">
        <w:rPr>
          <w:rFonts w:ascii="Arial" w:hAnsi="Arial" w:cs="Arial"/>
          <w:sz w:val="20"/>
          <w:szCs w:val="20"/>
        </w:rPr>
        <w:t>581</w:t>
      </w:r>
      <w:r w:rsidR="00870B4D" w:rsidRPr="00C33A00">
        <w:rPr>
          <w:rFonts w:ascii="Arial" w:hAnsi="Arial" w:cs="Arial"/>
          <w:sz w:val="20"/>
          <w:szCs w:val="20"/>
        </w:rPr>
        <w:t xml:space="preserve"> </w:t>
      </w:r>
      <w:r w:rsidRPr="00C33A00">
        <w:rPr>
          <w:rFonts w:ascii="Arial" w:hAnsi="Arial" w:cs="Arial"/>
          <w:sz w:val="20"/>
          <w:szCs w:val="20"/>
        </w:rPr>
        <w:t xml:space="preserve">projektov </w:t>
      </w:r>
      <w:r w:rsidR="00281250" w:rsidRPr="00C33A00">
        <w:rPr>
          <w:rFonts w:ascii="Arial" w:hAnsi="Arial" w:cs="Arial"/>
          <w:sz w:val="20"/>
          <w:szCs w:val="20"/>
        </w:rPr>
        <w:t xml:space="preserve">s NFP </w:t>
      </w:r>
      <w:r w:rsidRPr="00C33A00">
        <w:rPr>
          <w:rFonts w:ascii="Arial" w:hAnsi="Arial" w:cs="Arial"/>
          <w:sz w:val="20"/>
          <w:szCs w:val="20"/>
        </w:rPr>
        <w:t xml:space="preserve">vo výške </w:t>
      </w:r>
      <w:r w:rsidR="00C33A00" w:rsidRPr="00C33A00">
        <w:rPr>
          <w:rFonts w:ascii="Arial" w:hAnsi="Arial" w:cs="Arial"/>
          <w:sz w:val="20"/>
          <w:szCs w:val="20"/>
        </w:rPr>
        <w:t>1 585 949 768</w:t>
      </w:r>
      <w:r w:rsidR="00BA0397" w:rsidRPr="00C33A00">
        <w:rPr>
          <w:rFonts w:ascii="Arial" w:hAnsi="Arial" w:cs="Arial"/>
          <w:sz w:val="20"/>
          <w:szCs w:val="20"/>
        </w:rPr>
        <w:t xml:space="preserve"> </w:t>
      </w:r>
      <w:r w:rsidRPr="00C33A00">
        <w:rPr>
          <w:rFonts w:ascii="Arial" w:hAnsi="Arial" w:cs="Arial"/>
          <w:sz w:val="20"/>
          <w:szCs w:val="20"/>
        </w:rPr>
        <w:t>EUR</w:t>
      </w:r>
      <w:r w:rsidR="00281250" w:rsidRPr="00C33A00">
        <w:rPr>
          <w:rFonts w:ascii="Arial" w:hAnsi="Arial" w:cs="Arial"/>
          <w:sz w:val="20"/>
          <w:szCs w:val="20"/>
        </w:rPr>
        <w:t>, z toho bolo</w:t>
      </w:r>
      <w:r w:rsidRPr="00C33A00">
        <w:rPr>
          <w:rFonts w:ascii="Arial" w:hAnsi="Arial" w:cs="Arial"/>
          <w:sz w:val="20"/>
          <w:szCs w:val="20"/>
        </w:rPr>
        <w:t xml:space="preserve"> </w:t>
      </w:r>
      <w:r w:rsidR="00870B4D" w:rsidRPr="00C33A00">
        <w:rPr>
          <w:rFonts w:ascii="Arial" w:hAnsi="Arial" w:cs="Arial"/>
          <w:sz w:val="20"/>
          <w:szCs w:val="20"/>
        </w:rPr>
        <w:t xml:space="preserve">319 </w:t>
      </w:r>
      <w:r w:rsidRPr="00C33A00">
        <w:rPr>
          <w:rFonts w:ascii="Arial" w:hAnsi="Arial" w:cs="Arial"/>
          <w:sz w:val="20"/>
          <w:szCs w:val="20"/>
        </w:rPr>
        <w:t>projektov v realizácii a </w:t>
      </w:r>
      <w:r w:rsidR="00870B4D" w:rsidRPr="00C33A00">
        <w:rPr>
          <w:rFonts w:ascii="Arial" w:hAnsi="Arial" w:cs="Arial"/>
          <w:sz w:val="20"/>
          <w:szCs w:val="20"/>
        </w:rPr>
        <w:t xml:space="preserve">262 </w:t>
      </w:r>
      <w:r w:rsidRPr="00C33A00">
        <w:rPr>
          <w:rFonts w:ascii="Arial" w:hAnsi="Arial" w:cs="Arial"/>
          <w:sz w:val="20"/>
          <w:szCs w:val="20"/>
        </w:rPr>
        <w:t xml:space="preserve">projektov </w:t>
      </w:r>
      <w:r w:rsidR="00BA0397" w:rsidRPr="00C33A00">
        <w:rPr>
          <w:rFonts w:ascii="Arial" w:hAnsi="Arial" w:cs="Arial"/>
          <w:sz w:val="20"/>
          <w:szCs w:val="20"/>
        </w:rPr>
        <w:t xml:space="preserve">riadne </w:t>
      </w:r>
      <w:r w:rsidRPr="00C33A00">
        <w:rPr>
          <w:rFonts w:ascii="Arial" w:hAnsi="Arial" w:cs="Arial"/>
          <w:sz w:val="20"/>
          <w:szCs w:val="20"/>
        </w:rPr>
        <w:t>ukončených</w:t>
      </w:r>
      <w:r w:rsidR="00281250" w:rsidRPr="00C33A00">
        <w:rPr>
          <w:rFonts w:ascii="Arial" w:hAnsi="Arial" w:cs="Arial"/>
          <w:sz w:val="20"/>
          <w:szCs w:val="20"/>
        </w:rPr>
        <w:t xml:space="preserve"> projektov. Počas sledovaného obdobia bolo vyčerpaných</w:t>
      </w:r>
      <w:r w:rsidRPr="00C33A00">
        <w:rPr>
          <w:rFonts w:ascii="Arial" w:hAnsi="Arial" w:cs="Arial"/>
          <w:sz w:val="20"/>
          <w:szCs w:val="20"/>
        </w:rPr>
        <w:t xml:space="preserve"> </w:t>
      </w:r>
      <w:r w:rsidR="00870B4D" w:rsidRPr="00C33A00">
        <w:rPr>
          <w:rFonts w:ascii="Arial" w:hAnsi="Arial" w:cs="Arial"/>
          <w:sz w:val="20"/>
          <w:szCs w:val="20"/>
        </w:rPr>
        <w:t>328 847 691</w:t>
      </w:r>
      <w:r w:rsidRPr="00AD1BF2">
        <w:rPr>
          <w:rFonts w:ascii="Arial" w:hAnsi="Arial" w:cs="Arial"/>
          <w:sz w:val="20"/>
          <w:szCs w:val="20"/>
        </w:rPr>
        <w:t xml:space="preserve"> EUR.</w:t>
      </w:r>
      <w:r w:rsidR="00BA0397" w:rsidRPr="00AD1BF2">
        <w:rPr>
          <w:rFonts w:ascii="Arial" w:hAnsi="Arial" w:cs="Arial"/>
          <w:sz w:val="20"/>
          <w:szCs w:val="20"/>
        </w:rPr>
        <w:t xml:space="preserve"> </w:t>
      </w:r>
      <w:r w:rsidR="00281250" w:rsidRPr="00AD1BF2">
        <w:rPr>
          <w:rFonts w:ascii="Arial" w:hAnsi="Arial" w:cs="Arial"/>
          <w:sz w:val="20"/>
          <w:szCs w:val="20"/>
        </w:rPr>
        <w:t xml:space="preserve">V rámci OP ŽP bolo </w:t>
      </w:r>
      <w:r w:rsidR="0015229A" w:rsidRPr="00AD1BF2">
        <w:rPr>
          <w:rFonts w:ascii="Arial" w:hAnsi="Arial" w:cs="Arial"/>
          <w:sz w:val="20"/>
          <w:szCs w:val="20"/>
        </w:rPr>
        <w:t xml:space="preserve">35 </w:t>
      </w:r>
      <w:r w:rsidR="00BA0397" w:rsidRPr="00AD1BF2">
        <w:rPr>
          <w:rFonts w:ascii="Arial" w:hAnsi="Arial" w:cs="Arial"/>
          <w:sz w:val="20"/>
          <w:szCs w:val="20"/>
        </w:rPr>
        <w:t>projektov  mimoriadne ukončených, a to z</w:t>
      </w:r>
      <w:r w:rsidR="004B6E87" w:rsidRPr="00AD1BF2">
        <w:rPr>
          <w:rFonts w:ascii="Arial" w:hAnsi="Arial" w:cs="Arial"/>
          <w:sz w:val="20"/>
          <w:szCs w:val="20"/>
        </w:rPr>
        <w:t> </w:t>
      </w:r>
      <w:r w:rsidR="00BA0397" w:rsidRPr="00AD1BF2">
        <w:rPr>
          <w:rFonts w:ascii="Arial" w:hAnsi="Arial" w:cs="Arial"/>
          <w:sz w:val="20"/>
          <w:szCs w:val="20"/>
        </w:rPr>
        <w:t>dôvod</w:t>
      </w:r>
      <w:r w:rsidR="004B6E87" w:rsidRPr="00AD1BF2">
        <w:rPr>
          <w:rFonts w:ascii="Arial" w:hAnsi="Arial" w:cs="Arial"/>
          <w:sz w:val="20"/>
          <w:szCs w:val="20"/>
        </w:rPr>
        <w:t>ov odstúpenia od zmluvy</w:t>
      </w:r>
      <w:r w:rsidR="00815D42" w:rsidRPr="00AD1BF2">
        <w:rPr>
          <w:rFonts w:ascii="Arial" w:hAnsi="Arial" w:cs="Arial"/>
          <w:sz w:val="20"/>
          <w:szCs w:val="20"/>
        </w:rPr>
        <w:t xml:space="preserve"> a identifikovaných </w:t>
      </w:r>
      <w:r w:rsidR="004B6E87" w:rsidRPr="00AD1BF2">
        <w:rPr>
          <w:rFonts w:ascii="Arial" w:hAnsi="Arial" w:cs="Arial"/>
          <w:sz w:val="20"/>
          <w:szCs w:val="20"/>
        </w:rPr>
        <w:t xml:space="preserve"> nezrovnalostí</w:t>
      </w:r>
      <w:r w:rsidR="00815D42" w:rsidRPr="00AD1BF2">
        <w:rPr>
          <w:rFonts w:ascii="Arial" w:hAnsi="Arial" w:cs="Arial"/>
          <w:sz w:val="20"/>
          <w:szCs w:val="20"/>
        </w:rPr>
        <w:t>.</w:t>
      </w:r>
      <w:r w:rsidRPr="00AD1BF2">
        <w:rPr>
          <w:rFonts w:ascii="Arial" w:hAnsi="Arial" w:cs="Arial"/>
          <w:sz w:val="20"/>
          <w:szCs w:val="20"/>
        </w:rPr>
        <w:t xml:space="preserve"> </w:t>
      </w:r>
    </w:p>
    <w:p w:rsidR="002416B1" w:rsidRDefault="002416B1" w:rsidP="00507035">
      <w:pPr>
        <w:spacing w:before="120" w:after="120" w:line="360" w:lineRule="auto"/>
        <w:jc w:val="both"/>
        <w:rPr>
          <w:rFonts w:ascii="Arial" w:hAnsi="Arial" w:cs="Arial"/>
          <w:sz w:val="20"/>
          <w:szCs w:val="20"/>
        </w:rPr>
      </w:pPr>
      <w:r w:rsidRPr="00AD1BF2">
        <w:rPr>
          <w:rFonts w:ascii="Arial" w:hAnsi="Arial" w:cs="Arial"/>
          <w:sz w:val="20"/>
          <w:szCs w:val="20"/>
        </w:rPr>
        <w:t xml:space="preserve">Príklady úspešných projektov, finančne aj fyzicky ukončených, sú uvedené na </w:t>
      </w:r>
      <w:r w:rsidR="00C21A5E" w:rsidRPr="00AD1BF2">
        <w:rPr>
          <w:rFonts w:ascii="Arial" w:hAnsi="Arial" w:cs="Arial"/>
          <w:sz w:val="20"/>
          <w:szCs w:val="20"/>
        </w:rPr>
        <w:t xml:space="preserve">webovom sídle </w:t>
      </w:r>
      <w:r w:rsidRPr="00AD1BF2">
        <w:rPr>
          <w:rFonts w:ascii="Arial" w:hAnsi="Arial" w:cs="Arial"/>
          <w:sz w:val="20"/>
          <w:szCs w:val="20"/>
        </w:rPr>
        <w:t>OP ŽP</w:t>
      </w:r>
      <w:r w:rsidRPr="00AD1BF2">
        <w:rPr>
          <w:rFonts w:ascii="Arial" w:hAnsi="Arial" w:cs="Arial"/>
          <w:i/>
          <w:sz w:val="20"/>
          <w:szCs w:val="20"/>
        </w:rPr>
        <w:t>,</w:t>
      </w:r>
      <w:r w:rsidRPr="00493171">
        <w:rPr>
          <w:rFonts w:ascii="Arial" w:hAnsi="Arial" w:cs="Arial"/>
          <w:sz w:val="20"/>
          <w:szCs w:val="20"/>
        </w:rPr>
        <w:t xml:space="preserve"> </w:t>
      </w:r>
      <w:hyperlink r:id="rId22" w:history="1">
        <w:r w:rsidRPr="00A9375C">
          <w:rPr>
            <w:rStyle w:val="Hypertextovprepojenie"/>
            <w:rFonts w:ascii="Arial" w:hAnsi="Arial" w:cs="Arial"/>
            <w:sz w:val="20"/>
            <w:szCs w:val="20"/>
          </w:rPr>
          <w:t>http://www.opzp.sk/projekty/mapa-vzorovych-uspesne-realizovanych-projektov/</w:t>
        </w:r>
      </w:hyperlink>
      <w:r w:rsidR="004E3C16" w:rsidRPr="00493171">
        <w:t xml:space="preserve"> </w:t>
      </w:r>
      <w:r w:rsidR="004E3C16" w:rsidRPr="00A9375C">
        <w:rPr>
          <w:rFonts w:ascii="Arial" w:hAnsi="Arial" w:cs="Arial"/>
          <w:sz w:val="20"/>
          <w:szCs w:val="20"/>
        </w:rPr>
        <w:t>a</w:t>
      </w:r>
      <w:r w:rsidR="00AD1BF2">
        <w:rPr>
          <w:rFonts w:ascii="Arial" w:hAnsi="Arial" w:cs="Arial"/>
          <w:sz w:val="20"/>
          <w:szCs w:val="20"/>
        </w:rPr>
        <w:t xml:space="preserve"> z nich sú </w:t>
      </w:r>
      <w:r w:rsidR="004E3C16" w:rsidRPr="00A9375C">
        <w:rPr>
          <w:rFonts w:ascii="Arial" w:hAnsi="Arial" w:cs="Arial"/>
          <w:sz w:val="20"/>
          <w:szCs w:val="20"/>
        </w:rPr>
        <w:t xml:space="preserve">taktiež </w:t>
      </w:r>
      <w:r w:rsidR="00C5733B" w:rsidRPr="00A9375C">
        <w:rPr>
          <w:rFonts w:ascii="Arial" w:hAnsi="Arial" w:cs="Arial"/>
          <w:sz w:val="20"/>
          <w:szCs w:val="20"/>
        </w:rPr>
        <w:t xml:space="preserve"> niektoré</w:t>
      </w:r>
      <w:r w:rsidR="004E3C16" w:rsidRPr="007818E6">
        <w:rPr>
          <w:rFonts w:ascii="Arial" w:hAnsi="Arial" w:cs="Arial"/>
          <w:sz w:val="20"/>
          <w:szCs w:val="20"/>
        </w:rPr>
        <w:t xml:space="preserve"> súčasťou Prílohy č. 10 výročnej</w:t>
      </w:r>
      <w:r w:rsidR="004E3C16" w:rsidRPr="006A78D8">
        <w:rPr>
          <w:rFonts w:ascii="Arial" w:hAnsi="Arial" w:cs="Arial"/>
          <w:sz w:val="20"/>
          <w:szCs w:val="20"/>
        </w:rPr>
        <w:t xml:space="preserve"> správy</w:t>
      </w:r>
      <w:r w:rsidR="004E3C16">
        <w:rPr>
          <w:rFonts w:ascii="Arial" w:hAnsi="Arial" w:cs="Arial"/>
          <w:sz w:val="20"/>
          <w:szCs w:val="20"/>
        </w:rPr>
        <w:t>.</w:t>
      </w:r>
      <w:r>
        <w:rPr>
          <w:rFonts w:ascii="Arial" w:hAnsi="Arial" w:cs="Arial"/>
          <w:sz w:val="20"/>
          <w:szCs w:val="20"/>
        </w:rPr>
        <w:t xml:space="preserve"> </w:t>
      </w:r>
      <w:r w:rsidR="00815D42">
        <w:rPr>
          <w:rFonts w:ascii="Arial" w:hAnsi="Arial" w:cs="Arial"/>
          <w:sz w:val="20"/>
          <w:szCs w:val="20"/>
        </w:rPr>
        <w:t>RO</w:t>
      </w:r>
      <w:r w:rsidRPr="006A2BF3">
        <w:rPr>
          <w:rFonts w:ascii="Arial" w:hAnsi="Arial" w:cs="Arial"/>
          <w:sz w:val="20"/>
          <w:szCs w:val="20"/>
        </w:rPr>
        <w:t xml:space="preserve"> s cieľom zvýšenia transparentnosti čerpania finančných prostriedkov z</w:t>
      </w:r>
      <w:r>
        <w:rPr>
          <w:rFonts w:ascii="Arial" w:hAnsi="Arial" w:cs="Arial"/>
          <w:sz w:val="20"/>
          <w:szCs w:val="20"/>
        </w:rPr>
        <w:t> OP ŽP</w:t>
      </w:r>
      <w:r w:rsidRPr="006A2BF3">
        <w:rPr>
          <w:rFonts w:ascii="Arial" w:hAnsi="Arial" w:cs="Arial"/>
          <w:sz w:val="20"/>
          <w:szCs w:val="20"/>
        </w:rPr>
        <w:t xml:space="preserve"> pripravil pre návštevníkov portálu </w:t>
      </w:r>
      <w:r w:rsidRPr="006A2BF3">
        <w:rPr>
          <w:rFonts w:ascii="Arial" w:hAnsi="Arial" w:cs="Arial"/>
          <w:i/>
          <w:sz w:val="20"/>
          <w:szCs w:val="20"/>
        </w:rPr>
        <w:t>„Mapu vzorových úspešne realizovaných projektov podporených v rámci PO 2007 – 2013 z Operačného programu Životné prostredie“.</w:t>
      </w:r>
      <w:r>
        <w:rPr>
          <w:rFonts w:ascii="Arial" w:hAnsi="Arial" w:cs="Arial"/>
          <w:i/>
          <w:sz w:val="20"/>
          <w:szCs w:val="20"/>
        </w:rPr>
        <w:t xml:space="preserve"> </w:t>
      </w:r>
      <w:r w:rsidRPr="00B22B18">
        <w:rPr>
          <w:rFonts w:ascii="Arial" w:hAnsi="Arial" w:cs="Arial"/>
          <w:sz w:val="20"/>
          <w:szCs w:val="20"/>
        </w:rPr>
        <w:t>Mapa v interaktívnej forme informuje o vzorových úspešne realizovaných projektoch podporených z prostriedkov OP</w:t>
      </w:r>
      <w:r>
        <w:rPr>
          <w:rFonts w:ascii="Arial" w:hAnsi="Arial" w:cs="Arial"/>
          <w:sz w:val="20"/>
          <w:szCs w:val="20"/>
        </w:rPr>
        <w:t xml:space="preserve"> </w:t>
      </w:r>
      <w:r w:rsidRPr="00B22B18">
        <w:rPr>
          <w:rFonts w:ascii="Arial" w:hAnsi="Arial" w:cs="Arial"/>
          <w:sz w:val="20"/>
          <w:szCs w:val="20"/>
        </w:rPr>
        <w:t xml:space="preserve">ŽP v programovom období 2007 – 2013, ktoré boli vybrané na prezentáciu </w:t>
      </w:r>
      <w:r w:rsidR="00815D42">
        <w:rPr>
          <w:rFonts w:ascii="Arial" w:hAnsi="Arial" w:cs="Arial"/>
          <w:sz w:val="20"/>
          <w:szCs w:val="20"/>
        </w:rPr>
        <w:t>RO</w:t>
      </w:r>
      <w:r w:rsidRPr="00B22B18">
        <w:rPr>
          <w:rFonts w:ascii="Arial" w:hAnsi="Arial" w:cs="Arial"/>
          <w:sz w:val="20"/>
          <w:szCs w:val="20"/>
        </w:rPr>
        <w:t>.</w:t>
      </w:r>
      <w:r>
        <w:rPr>
          <w:rFonts w:ascii="Arial" w:hAnsi="Arial" w:cs="Arial"/>
          <w:sz w:val="20"/>
          <w:szCs w:val="20"/>
        </w:rPr>
        <w:t xml:space="preserve"> </w:t>
      </w:r>
      <w:r w:rsidRPr="00B22B18">
        <w:rPr>
          <w:rFonts w:ascii="Arial" w:hAnsi="Arial" w:cs="Arial"/>
          <w:sz w:val="20"/>
          <w:szCs w:val="20"/>
        </w:rPr>
        <w:t>Interaktívnosť spočíva v ich zobrazení podľa miesta realizácie projektu a farebnom rozdelení podľa jednotlivých prioritných osí programu s cieľom bližšieho priblíženia dosahu pomoci fondov Európskej únie na konkrétnych prijímateľov v regiónoch Slovenska.</w:t>
      </w:r>
    </w:p>
    <w:p w:rsidR="007E5895" w:rsidRDefault="007E5895">
      <w:pPr>
        <w:rPr>
          <w:rFonts w:ascii="Arial" w:hAnsi="Arial" w:cs="Arial"/>
          <w:b/>
          <w:i/>
          <w:sz w:val="20"/>
          <w:szCs w:val="20"/>
        </w:rPr>
      </w:pPr>
    </w:p>
    <w:p w:rsidR="007E5895" w:rsidRDefault="007E5895" w:rsidP="00507035">
      <w:pPr>
        <w:spacing w:before="120" w:after="120" w:line="360" w:lineRule="auto"/>
        <w:jc w:val="both"/>
        <w:rPr>
          <w:rFonts w:ascii="Arial" w:hAnsi="Arial" w:cs="Arial"/>
          <w:b/>
          <w:i/>
          <w:sz w:val="20"/>
          <w:szCs w:val="20"/>
        </w:rPr>
      </w:pPr>
    </w:p>
    <w:p w:rsidR="002416B1" w:rsidRPr="00A322EA" w:rsidRDefault="002416B1" w:rsidP="00507035">
      <w:pPr>
        <w:spacing w:before="120" w:after="120" w:line="360" w:lineRule="auto"/>
        <w:jc w:val="both"/>
        <w:rPr>
          <w:rFonts w:ascii="Arial" w:hAnsi="Arial" w:cs="Arial"/>
          <w:b/>
          <w:i/>
          <w:sz w:val="20"/>
          <w:szCs w:val="20"/>
        </w:rPr>
      </w:pPr>
      <w:r w:rsidRPr="00A2595C">
        <w:rPr>
          <w:rFonts w:ascii="Arial" w:hAnsi="Arial" w:cs="Arial"/>
          <w:b/>
          <w:i/>
          <w:sz w:val="20"/>
          <w:szCs w:val="20"/>
        </w:rPr>
        <w:t>Dôvody neschválenia a vylúčenia žiadostí o NFP v procese prebiehajúcom v roku 201</w:t>
      </w:r>
      <w:r w:rsidR="003862D6" w:rsidRPr="0039268C">
        <w:rPr>
          <w:rFonts w:ascii="Arial" w:hAnsi="Arial" w:cs="Arial"/>
          <w:b/>
          <w:i/>
          <w:sz w:val="20"/>
          <w:szCs w:val="20"/>
        </w:rPr>
        <w:t>2</w:t>
      </w:r>
      <w:r w:rsidRPr="00A2595C">
        <w:rPr>
          <w:rFonts w:ascii="Arial" w:hAnsi="Arial" w:cs="Arial"/>
          <w:b/>
          <w:i/>
          <w:sz w:val="20"/>
          <w:szCs w:val="20"/>
        </w:rPr>
        <w:t xml:space="preserve"> a vykonané opatrenia na predchádzanie pred opakovaním identifikovaných nedostatkov</w:t>
      </w:r>
    </w:p>
    <w:p w:rsidR="00A2595C" w:rsidRPr="00A2595C" w:rsidRDefault="00A2595C" w:rsidP="00507035">
      <w:pPr>
        <w:spacing w:before="120" w:after="120" w:line="360" w:lineRule="auto"/>
        <w:jc w:val="both"/>
        <w:rPr>
          <w:rFonts w:ascii="Arial" w:hAnsi="Arial" w:cs="Arial"/>
          <w:b/>
          <w:sz w:val="20"/>
          <w:szCs w:val="20"/>
          <w:u w:val="single"/>
        </w:rPr>
      </w:pPr>
      <w:r w:rsidRPr="00A2595C">
        <w:rPr>
          <w:rFonts w:ascii="Arial" w:hAnsi="Arial" w:cs="Arial"/>
          <w:b/>
          <w:sz w:val="20"/>
          <w:szCs w:val="20"/>
          <w:u w:val="single"/>
        </w:rPr>
        <w:t>Prioritná os 1</w:t>
      </w:r>
    </w:p>
    <w:p w:rsidR="00A2595C" w:rsidRPr="00A2595C" w:rsidRDefault="00A2595C" w:rsidP="00507035">
      <w:pPr>
        <w:spacing w:before="120" w:after="120" w:line="360" w:lineRule="auto"/>
        <w:jc w:val="both"/>
        <w:rPr>
          <w:rFonts w:ascii="Arial" w:hAnsi="Arial" w:cs="Arial"/>
          <w:b/>
          <w:iCs/>
          <w:sz w:val="20"/>
          <w:szCs w:val="20"/>
        </w:rPr>
      </w:pPr>
      <w:r w:rsidRPr="00A2595C">
        <w:rPr>
          <w:rFonts w:ascii="Arial" w:hAnsi="Arial" w:cs="Arial"/>
          <w:b/>
          <w:iCs/>
          <w:sz w:val="20"/>
          <w:szCs w:val="20"/>
        </w:rPr>
        <w:t xml:space="preserve">Výzva na predkladanie žiadostí o NFP s kódom </w:t>
      </w:r>
      <w:r>
        <w:rPr>
          <w:rFonts w:ascii="Arial" w:hAnsi="Arial" w:cs="Arial"/>
          <w:b/>
          <w:iCs/>
          <w:sz w:val="20"/>
          <w:szCs w:val="20"/>
        </w:rPr>
        <w:t>OPŽP-PO1-12-1</w:t>
      </w:r>
      <w:r w:rsidR="00E137F5">
        <w:rPr>
          <w:rFonts w:ascii="Arial" w:hAnsi="Arial" w:cs="Arial"/>
          <w:b/>
          <w:iCs/>
          <w:sz w:val="20"/>
          <w:szCs w:val="20"/>
        </w:rPr>
        <w:t xml:space="preserve"> (operačný cieľ 1.3)</w:t>
      </w:r>
      <w:r>
        <w:rPr>
          <w:rFonts w:ascii="Arial" w:hAnsi="Arial" w:cs="Arial"/>
          <w:b/>
          <w:iCs/>
          <w:sz w:val="20"/>
          <w:szCs w:val="20"/>
        </w:rPr>
        <w:t xml:space="preserve"> vyhlásená dňa 14.02.2012 a uzavretá dňa 16.07.</w:t>
      </w:r>
      <w:r w:rsidRPr="00A2595C">
        <w:rPr>
          <w:rFonts w:ascii="Arial" w:hAnsi="Arial" w:cs="Arial"/>
          <w:b/>
          <w:iCs/>
          <w:sz w:val="20"/>
          <w:szCs w:val="20"/>
        </w:rPr>
        <w:t>2012</w:t>
      </w:r>
    </w:p>
    <w:p w:rsidR="00A2595C" w:rsidRPr="00A2595C" w:rsidRDefault="00A2595C" w:rsidP="00507035">
      <w:pPr>
        <w:spacing w:before="120" w:after="120" w:line="360" w:lineRule="auto"/>
        <w:jc w:val="both"/>
        <w:rPr>
          <w:rFonts w:ascii="Arial" w:hAnsi="Arial" w:cs="Arial"/>
          <w:i/>
          <w:iCs/>
          <w:sz w:val="20"/>
          <w:szCs w:val="20"/>
        </w:rPr>
      </w:pPr>
      <w:r w:rsidRPr="00A2595C">
        <w:rPr>
          <w:rFonts w:ascii="Arial" w:hAnsi="Arial" w:cs="Arial"/>
          <w:i/>
          <w:iCs/>
          <w:sz w:val="20"/>
          <w:szCs w:val="20"/>
        </w:rPr>
        <w:t xml:space="preserve">Pozn.: </w:t>
      </w:r>
      <w:r w:rsidR="00E137F5">
        <w:rPr>
          <w:rFonts w:ascii="Arial" w:hAnsi="Arial" w:cs="Arial"/>
          <w:i/>
          <w:iCs/>
          <w:sz w:val="20"/>
          <w:szCs w:val="20"/>
        </w:rPr>
        <w:t xml:space="preserve">Keďže </w:t>
      </w:r>
      <w:r w:rsidRPr="00A2595C">
        <w:rPr>
          <w:rFonts w:ascii="Arial" w:hAnsi="Arial" w:cs="Arial"/>
          <w:i/>
          <w:iCs/>
          <w:sz w:val="20"/>
          <w:szCs w:val="20"/>
        </w:rPr>
        <w:t>v rámci tejto výzvy</w:t>
      </w:r>
      <w:r w:rsidRPr="00A2595C">
        <w:rPr>
          <w:rFonts w:ascii="Arial" w:hAnsi="Arial" w:cs="Arial"/>
          <w:sz w:val="20"/>
          <w:szCs w:val="20"/>
        </w:rPr>
        <w:t xml:space="preserve"> </w:t>
      </w:r>
      <w:r w:rsidRPr="00A2595C">
        <w:rPr>
          <w:rFonts w:ascii="Arial" w:hAnsi="Arial" w:cs="Arial"/>
          <w:i/>
          <w:iCs/>
          <w:sz w:val="20"/>
          <w:szCs w:val="20"/>
        </w:rPr>
        <w:t>na predkladanie žiadostí o NFP boli predložené 4 žiadosti o NFP, pričom všetky 4 žiadosti o NFP boli</w:t>
      </w:r>
      <w:r w:rsidR="00E137F5">
        <w:rPr>
          <w:rFonts w:ascii="Arial" w:hAnsi="Arial" w:cs="Arial"/>
          <w:i/>
          <w:iCs/>
          <w:sz w:val="20"/>
          <w:szCs w:val="20"/>
        </w:rPr>
        <w:t xml:space="preserve"> aj </w:t>
      </w:r>
      <w:r w:rsidRPr="00A2595C">
        <w:rPr>
          <w:rFonts w:ascii="Arial" w:hAnsi="Arial" w:cs="Arial"/>
          <w:i/>
          <w:iCs/>
          <w:sz w:val="20"/>
          <w:szCs w:val="20"/>
        </w:rPr>
        <w:t>schválené</w:t>
      </w:r>
      <w:r w:rsidR="00E137F5">
        <w:rPr>
          <w:rFonts w:ascii="Arial" w:hAnsi="Arial" w:cs="Arial"/>
          <w:i/>
          <w:iCs/>
          <w:sz w:val="20"/>
          <w:szCs w:val="20"/>
        </w:rPr>
        <w:t xml:space="preserve"> analýzu dôvodov ich neschválenia neuvádzame</w:t>
      </w:r>
      <w:r w:rsidRPr="00A2595C">
        <w:rPr>
          <w:rFonts w:ascii="Arial" w:hAnsi="Arial" w:cs="Arial"/>
          <w:i/>
          <w:iCs/>
          <w:sz w:val="20"/>
          <w:szCs w:val="20"/>
        </w:rPr>
        <w:t xml:space="preserve">. </w:t>
      </w:r>
    </w:p>
    <w:p w:rsidR="00A2595C" w:rsidRPr="00A2595C" w:rsidRDefault="00A2595C" w:rsidP="00507035">
      <w:pPr>
        <w:spacing w:before="120" w:after="120" w:line="360" w:lineRule="auto"/>
        <w:jc w:val="both"/>
        <w:rPr>
          <w:rFonts w:ascii="Arial" w:hAnsi="Arial" w:cs="Arial"/>
          <w:b/>
          <w:sz w:val="20"/>
          <w:szCs w:val="20"/>
          <w:u w:val="single"/>
        </w:rPr>
      </w:pPr>
      <w:r w:rsidRPr="00A2595C">
        <w:rPr>
          <w:rFonts w:ascii="Arial" w:hAnsi="Arial" w:cs="Arial"/>
          <w:b/>
          <w:sz w:val="20"/>
          <w:szCs w:val="20"/>
          <w:u w:val="single"/>
        </w:rPr>
        <w:t>Prioritná os 2</w:t>
      </w:r>
    </w:p>
    <w:p w:rsidR="00A2595C" w:rsidRPr="00A2595C" w:rsidRDefault="00A2595C" w:rsidP="00507035">
      <w:pPr>
        <w:spacing w:before="120" w:after="120" w:line="360" w:lineRule="auto"/>
        <w:jc w:val="both"/>
        <w:rPr>
          <w:rFonts w:ascii="Arial" w:hAnsi="Arial" w:cs="Arial"/>
          <w:b/>
          <w:iCs/>
          <w:sz w:val="20"/>
          <w:szCs w:val="20"/>
        </w:rPr>
      </w:pPr>
      <w:r w:rsidRPr="00A2595C">
        <w:rPr>
          <w:rFonts w:ascii="Arial" w:hAnsi="Arial" w:cs="Arial"/>
          <w:b/>
          <w:iCs/>
          <w:sz w:val="20"/>
          <w:szCs w:val="20"/>
        </w:rPr>
        <w:t xml:space="preserve">Výzva na predkladanie žiadostí o NFP s kódom </w:t>
      </w:r>
      <w:r>
        <w:rPr>
          <w:rFonts w:ascii="Arial" w:hAnsi="Arial" w:cs="Arial"/>
          <w:b/>
          <w:iCs/>
          <w:sz w:val="20"/>
          <w:szCs w:val="20"/>
        </w:rPr>
        <w:t>OPŽP-PO2-11-1 vyhlásená dňa 03.10.2011 a uzavretá dňa 20.01.</w:t>
      </w:r>
      <w:r w:rsidRPr="00A2595C">
        <w:rPr>
          <w:rFonts w:ascii="Arial" w:hAnsi="Arial" w:cs="Arial"/>
          <w:b/>
          <w:iCs/>
          <w:sz w:val="20"/>
          <w:szCs w:val="20"/>
        </w:rPr>
        <w:t xml:space="preserve">2012 </w:t>
      </w:r>
    </w:p>
    <w:p w:rsidR="00A2595C" w:rsidRPr="0039268C" w:rsidRDefault="00A2595C" w:rsidP="00507035">
      <w:pPr>
        <w:spacing w:before="120" w:after="120" w:line="360" w:lineRule="auto"/>
        <w:jc w:val="both"/>
        <w:rPr>
          <w:rFonts w:ascii="Arial" w:hAnsi="Arial" w:cs="Arial"/>
          <w:i/>
          <w:sz w:val="20"/>
          <w:szCs w:val="20"/>
        </w:rPr>
      </w:pPr>
      <w:r w:rsidRPr="0039268C">
        <w:rPr>
          <w:rFonts w:ascii="Arial" w:hAnsi="Arial" w:cs="Arial"/>
          <w:i/>
          <w:sz w:val="20"/>
          <w:szCs w:val="20"/>
        </w:rPr>
        <w:t>Dôvody neschválenia a vylúčenia žiadostí o NFP predložených v rámci predmetnej výzvy</w:t>
      </w:r>
      <w:r w:rsidRPr="00A2595C">
        <w:rPr>
          <w:rFonts w:ascii="Arial" w:hAnsi="Arial" w:cs="Arial"/>
          <w:sz w:val="20"/>
          <w:szCs w:val="20"/>
        </w:rPr>
        <w:t xml:space="preserve"> </w:t>
      </w:r>
      <w:r w:rsidRPr="0039268C">
        <w:rPr>
          <w:rFonts w:ascii="Arial" w:hAnsi="Arial" w:cs="Arial"/>
          <w:i/>
          <w:sz w:val="20"/>
          <w:szCs w:val="20"/>
        </w:rPr>
        <w:t xml:space="preserve">na predkladanie žiadostí o NFP </w:t>
      </w:r>
    </w:p>
    <w:p w:rsidR="00A2595C" w:rsidRPr="00A2595C" w:rsidRDefault="00A2595C" w:rsidP="001540E7">
      <w:pPr>
        <w:numPr>
          <w:ilvl w:val="0"/>
          <w:numId w:val="49"/>
        </w:numPr>
        <w:tabs>
          <w:tab w:val="clear" w:pos="1078"/>
          <w:tab w:val="left" w:pos="284"/>
        </w:tabs>
        <w:spacing w:before="120" w:after="120" w:line="360" w:lineRule="auto"/>
        <w:ind w:left="284" w:hanging="142"/>
        <w:jc w:val="both"/>
        <w:rPr>
          <w:rFonts w:ascii="Arial" w:hAnsi="Arial" w:cs="Arial"/>
          <w:sz w:val="20"/>
          <w:szCs w:val="20"/>
          <w:u w:val="single"/>
        </w:rPr>
      </w:pPr>
      <w:r w:rsidRPr="00A2595C">
        <w:rPr>
          <w:rFonts w:ascii="Arial" w:hAnsi="Arial" w:cs="Arial"/>
          <w:sz w:val="20"/>
          <w:szCs w:val="20"/>
          <w:u w:val="single"/>
        </w:rPr>
        <w:t xml:space="preserve">Žiadosti o NFP boli vylúčené z ďalšieho procesu posudzovania z dôvodu nesplnenia kritérií oprávnenosti, pričom najčastejším dôvodom bolo: </w:t>
      </w:r>
    </w:p>
    <w:p w:rsidR="00A2595C" w:rsidRPr="00A2595C" w:rsidRDefault="00A2595C" w:rsidP="001540E7">
      <w:pPr>
        <w:numPr>
          <w:ilvl w:val="0"/>
          <w:numId w:val="50"/>
        </w:numPr>
        <w:spacing w:before="120" w:after="120" w:line="360" w:lineRule="auto"/>
        <w:jc w:val="both"/>
        <w:rPr>
          <w:rFonts w:ascii="Arial" w:hAnsi="Arial" w:cs="Arial"/>
          <w:sz w:val="20"/>
          <w:szCs w:val="20"/>
          <w:u w:val="single"/>
        </w:rPr>
      </w:pPr>
      <w:r w:rsidRPr="00A2595C">
        <w:rPr>
          <w:rFonts w:ascii="Arial" w:hAnsi="Arial" w:cs="Arial"/>
          <w:sz w:val="20"/>
          <w:szCs w:val="20"/>
        </w:rPr>
        <w:t xml:space="preserve">nesplnenie podmienky oprávnenosti žiadateľa v zmysle podmienok definovaných vo výzve na predkladanie žiadostí o NFP. </w:t>
      </w:r>
    </w:p>
    <w:p w:rsidR="00A2595C" w:rsidRPr="00A2595C" w:rsidRDefault="00A2595C" w:rsidP="001540E7">
      <w:pPr>
        <w:numPr>
          <w:ilvl w:val="0"/>
          <w:numId w:val="49"/>
        </w:numPr>
        <w:tabs>
          <w:tab w:val="clear" w:pos="1078"/>
          <w:tab w:val="num" w:pos="284"/>
        </w:tabs>
        <w:spacing w:before="120" w:after="120" w:line="360" w:lineRule="auto"/>
        <w:ind w:left="284" w:hanging="142"/>
        <w:jc w:val="both"/>
        <w:rPr>
          <w:rFonts w:ascii="Arial" w:hAnsi="Arial" w:cs="Arial"/>
          <w:sz w:val="20"/>
          <w:szCs w:val="20"/>
          <w:u w:val="single"/>
        </w:rPr>
      </w:pPr>
      <w:r w:rsidRPr="00A2595C">
        <w:rPr>
          <w:rFonts w:ascii="Arial" w:hAnsi="Arial" w:cs="Arial"/>
          <w:sz w:val="20"/>
          <w:szCs w:val="20"/>
          <w:u w:val="single"/>
        </w:rPr>
        <w:t xml:space="preserve">Žiadosti o NFP boli vylúčené z ďalšieho procesu posudzovania z dôvodu nesplnenia kritérií úplnosti, pričom najčastejšími dôvodmi boli: </w:t>
      </w:r>
    </w:p>
    <w:p w:rsidR="00872B91" w:rsidRDefault="00A2595C" w:rsidP="001540E7">
      <w:pPr>
        <w:numPr>
          <w:ilvl w:val="1"/>
          <w:numId w:val="49"/>
        </w:numPr>
        <w:tabs>
          <w:tab w:val="num" w:pos="993"/>
        </w:tabs>
        <w:spacing w:before="120" w:after="120" w:line="360" w:lineRule="auto"/>
        <w:ind w:left="993" w:hanging="284"/>
        <w:jc w:val="both"/>
        <w:rPr>
          <w:rFonts w:ascii="Arial" w:hAnsi="Arial" w:cs="Arial"/>
          <w:sz w:val="20"/>
          <w:szCs w:val="20"/>
          <w:u w:val="single"/>
        </w:rPr>
      </w:pPr>
      <w:r w:rsidRPr="00872B91">
        <w:rPr>
          <w:rFonts w:ascii="Arial" w:hAnsi="Arial" w:cs="Arial"/>
          <w:sz w:val="20"/>
          <w:szCs w:val="20"/>
        </w:rPr>
        <w:t xml:space="preserve">nedoplnenie žiadnych chýbajúcich náležitostí žiadosti o NFP, na základe čoho sa žiadosti o NFP považovali za neúplné, </w:t>
      </w:r>
    </w:p>
    <w:p w:rsidR="00E137F5" w:rsidRPr="00E137F5" w:rsidRDefault="00A2595C" w:rsidP="001540E7">
      <w:pPr>
        <w:numPr>
          <w:ilvl w:val="1"/>
          <w:numId w:val="49"/>
        </w:numPr>
        <w:tabs>
          <w:tab w:val="num" w:pos="993"/>
        </w:tabs>
        <w:spacing w:before="120" w:after="120" w:line="360" w:lineRule="auto"/>
        <w:ind w:left="993" w:hanging="284"/>
        <w:jc w:val="both"/>
        <w:rPr>
          <w:rFonts w:ascii="Arial" w:hAnsi="Arial" w:cs="Arial"/>
          <w:sz w:val="20"/>
          <w:szCs w:val="20"/>
        </w:rPr>
      </w:pPr>
      <w:r w:rsidRPr="00872B91">
        <w:rPr>
          <w:rFonts w:ascii="Arial" w:hAnsi="Arial" w:cs="Arial"/>
          <w:sz w:val="20"/>
          <w:szCs w:val="20"/>
        </w:rPr>
        <w:t>nedoplnenie chýbajúcich náležitostí žiadosti o NFP v lehote stanovenej vo Výzve na doplnenie chýbajúcich náležitostí žiadosti o NFP, na základe čoho sa žiadosti o NFP považovali za neúplné</w:t>
      </w:r>
      <w:r w:rsidR="00E137F5">
        <w:rPr>
          <w:rFonts w:ascii="Arial" w:hAnsi="Arial" w:cs="Arial"/>
          <w:sz w:val="20"/>
          <w:szCs w:val="20"/>
        </w:rPr>
        <w:t>,</w:t>
      </w:r>
    </w:p>
    <w:p w:rsidR="00E137F5" w:rsidRDefault="00E137F5" w:rsidP="001540E7">
      <w:pPr>
        <w:numPr>
          <w:ilvl w:val="1"/>
          <w:numId w:val="49"/>
        </w:numPr>
        <w:tabs>
          <w:tab w:val="num" w:pos="993"/>
        </w:tabs>
        <w:spacing w:before="120" w:after="120" w:line="360" w:lineRule="auto"/>
        <w:ind w:left="709"/>
        <w:jc w:val="both"/>
        <w:rPr>
          <w:rFonts w:ascii="Arial" w:hAnsi="Arial" w:cs="Arial"/>
          <w:sz w:val="20"/>
          <w:szCs w:val="20"/>
          <w:u w:val="single"/>
        </w:rPr>
      </w:pPr>
      <w:r w:rsidRPr="00A2595C">
        <w:rPr>
          <w:rFonts w:ascii="Arial" w:hAnsi="Arial" w:cs="Arial"/>
          <w:sz w:val="20"/>
          <w:szCs w:val="20"/>
        </w:rPr>
        <w:t xml:space="preserve">nemožnosť považovať predložené dokumenty ani po doplnení za úplné, </w:t>
      </w:r>
    </w:p>
    <w:p w:rsidR="00A2595C" w:rsidRPr="00A2595C" w:rsidRDefault="00A2595C" w:rsidP="001540E7">
      <w:pPr>
        <w:numPr>
          <w:ilvl w:val="0"/>
          <w:numId w:val="49"/>
        </w:numPr>
        <w:tabs>
          <w:tab w:val="clear" w:pos="1078"/>
        </w:tabs>
        <w:spacing w:before="120" w:after="120" w:line="360" w:lineRule="auto"/>
        <w:ind w:left="284" w:hanging="142"/>
        <w:jc w:val="both"/>
        <w:rPr>
          <w:rFonts w:ascii="Arial" w:hAnsi="Arial" w:cs="Arial"/>
          <w:sz w:val="20"/>
          <w:szCs w:val="20"/>
          <w:u w:val="single"/>
        </w:rPr>
      </w:pPr>
      <w:r w:rsidRPr="00A2595C">
        <w:rPr>
          <w:rFonts w:ascii="Arial" w:hAnsi="Arial" w:cs="Arial"/>
          <w:sz w:val="20"/>
          <w:szCs w:val="20"/>
          <w:u w:val="single"/>
        </w:rPr>
        <w:t xml:space="preserve">Žiadosti o NFP boli vylúčené z ďalšieho procesu posudzovania z dôvodu nesplnenia kritérií odborného hodnotenia dôvodmi boli: </w:t>
      </w:r>
    </w:p>
    <w:p w:rsidR="00872B91" w:rsidRDefault="00A2595C" w:rsidP="001540E7">
      <w:pPr>
        <w:numPr>
          <w:ilvl w:val="1"/>
          <w:numId w:val="49"/>
        </w:numPr>
        <w:tabs>
          <w:tab w:val="clear" w:pos="1438"/>
        </w:tabs>
        <w:spacing w:before="120" w:after="120" w:line="360" w:lineRule="auto"/>
        <w:ind w:left="993" w:hanging="284"/>
        <w:jc w:val="both"/>
        <w:rPr>
          <w:rFonts w:ascii="Arial" w:hAnsi="Arial" w:cs="Arial"/>
          <w:sz w:val="20"/>
          <w:szCs w:val="20"/>
          <w:u w:val="single"/>
        </w:rPr>
      </w:pPr>
      <w:r w:rsidRPr="00A2595C">
        <w:rPr>
          <w:rFonts w:ascii="Arial" w:hAnsi="Arial" w:cs="Arial"/>
          <w:sz w:val="20"/>
          <w:szCs w:val="20"/>
        </w:rPr>
        <w:t xml:space="preserve">nedosiahnutie minimálne 50 % z maximálneho počtu bodov v každej zo skupín hodnotiacich kritérií, </w:t>
      </w:r>
    </w:p>
    <w:p w:rsidR="00A2595C" w:rsidRPr="00872B91" w:rsidRDefault="00A2595C" w:rsidP="001540E7">
      <w:pPr>
        <w:numPr>
          <w:ilvl w:val="1"/>
          <w:numId w:val="49"/>
        </w:numPr>
        <w:tabs>
          <w:tab w:val="clear" w:pos="1438"/>
        </w:tabs>
        <w:spacing w:before="120" w:after="120" w:line="360" w:lineRule="auto"/>
        <w:ind w:left="993" w:hanging="284"/>
        <w:jc w:val="both"/>
        <w:rPr>
          <w:rFonts w:ascii="Arial" w:hAnsi="Arial" w:cs="Arial"/>
          <w:sz w:val="20"/>
          <w:szCs w:val="20"/>
          <w:u w:val="single"/>
        </w:rPr>
      </w:pPr>
      <w:r w:rsidRPr="00872B91">
        <w:rPr>
          <w:rFonts w:ascii="Arial" w:hAnsi="Arial" w:cs="Arial"/>
          <w:sz w:val="20"/>
          <w:szCs w:val="20"/>
        </w:rPr>
        <w:t xml:space="preserve">nedosiahnutie minimálne 70 % z celkového maximálneho počtu bodov. </w:t>
      </w:r>
    </w:p>
    <w:p w:rsidR="00A2595C" w:rsidRPr="00A2595C" w:rsidRDefault="00A2595C" w:rsidP="00507035">
      <w:pPr>
        <w:spacing w:before="120" w:after="120" w:line="360" w:lineRule="auto"/>
        <w:jc w:val="both"/>
        <w:rPr>
          <w:rFonts w:ascii="Arial" w:hAnsi="Arial" w:cs="Arial"/>
          <w:i/>
          <w:sz w:val="20"/>
          <w:szCs w:val="20"/>
        </w:rPr>
      </w:pPr>
      <w:r w:rsidRPr="00A2595C">
        <w:rPr>
          <w:rFonts w:ascii="Arial" w:hAnsi="Arial" w:cs="Arial"/>
          <w:i/>
          <w:sz w:val="20"/>
          <w:szCs w:val="20"/>
        </w:rPr>
        <w:t>Pozn.: Keďže Výberová komisia Ministerstva životného prostredia Slovenskej republiky pre projekty z Európskeho fondu regionálneho rozvoja a </w:t>
      </w:r>
      <w:r>
        <w:rPr>
          <w:rFonts w:ascii="Arial" w:hAnsi="Arial" w:cs="Arial"/>
          <w:i/>
          <w:sz w:val="20"/>
          <w:szCs w:val="20"/>
        </w:rPr>
        <w:t>Kohézneho fondu zasadala až 30.01.</w:t>
      </w:r>
      <w:r w:rsidRPr="00A2595C">
        <w:rPr>
          <w:rFonts w:ascii="Arial" w:hAnsi="Arial" w:cs="Arial"/>
          <w:i/>
          <w:sz w:val="20"/>
          <w:szCs w:val="20"/>
        </w:rPr>
        <w:t>2013, nie sú predmetom tejto analýzy žiadosti o NFP, ktoré boli neschválené z dôvodu nesplnenia výberových kritérií.</w:t>
      </w:r>
    </w:p>
    <w:p w:rsidR="00A2595C" w:rsidRPr="00A2595C" w:rsidRDefault="00A2595C" w:rsidP="00507035">
      <w:pPr>
        <w:spacing w:before="120" w:after="120" w:line="360" w:lineRule="auto"/>
        <w:jc w:val="both"/>
        <w:rPr>
          <w:rFonts w:ascii="Arial" w:hAnsi="Arial" w:cs="Arial"/>
          <w:b/>
          <w:i/>
          <w:sz w:val="20"/>
          <w:szCs w:val="20"/>
        </w:rPr>
      </w:pPr>
      <w:r w:rsidRPr="00A2595C">
        <w:rPr>
          <w:rFonts w:ascii="Arial" w:hAnsi="Arial" w:cs="Arial"/>
          <w:b/>
          <w:i/>
          <w:sz w:val="20"/>
          <w:szCs w:val="20"/>
        </w:rPr>
        <w:t>Vykonané opatrenia na predchádzanie pred opakovaním identifikovaných nedostatkov, resp. na redukciu zamietnutých žiadostí o NFP</w:t>
      </w:r>
    </w:p>
    <w:p w:rsidR="00A2595C" w:rsidRPr="00A2595C" w:rsidRDefault="00A2595C" w:rsidP="00507035">
      <w:pPr>
        <w:spacing w:before="120" w:after="120" w:line="360" w:lineRule="auto"/>
        <w:jc w:val="both"/>
        <w:rPr>
          <w:rFonts w:ascii="Arial" w:hAnsi="Arial" w:cs="Arial"/>
          <w:sz w:val="20"/>
          <w:szCs w:val="20"/>
        </w:rPr>
      </w:pPr>
      <w:r w:rsidRPr="00A2595C">
        <w:rPr>
          <w:rFonts w:ascii="Arial" w:hAnsi="Arial" w:cs="Arial"/>
          <w:sz w:val="20"/>
          <w:szCs w:val="20"/>
        </w:rPr>
        <w:t xml:space="preserve">Na základe vyššie uvedených skutočností boli navrhnuté nasledovné opatrenia na predchádzanie pred opakovaním identifikovaných nedostatkov v rámci prioritnej osi 2: </w:t>
      </w:r>
    </w:p>
    <w:p w:rsidR="00A2595C" w:rsidRPr="00A2595C" w:rsidRDefault="00E137F5" w:rsidP="001540E7">
      <w:pPr>
        <w:numPr>
          <w:ilvl w:val="0"/>
          <w:numId w:val="66"/>
        </w:numPr>
        <w:spacing w:before="120" w:after="120" w:line="360" w:lineRule="auto"/>
        <w:jc w:val="both"/>
        <w:rPr>
          <w:rFonts w:ascii="Arial" w:hAnsi="Arial" w:cs="Arial"/>
          <w:sz w:val="20"/>
          <w:szCs w:val="20"/>
        </w:rPr>
      </w:pPr>
      <w:r>
        <w:rPr>
          <w:rFonts w:ascii="Arial" w:hAnsi="Arial" w:cs="Arial"/>
          <w:sz w:val="20"/>
          <w:szCs w:val="20"/>
        </w:rPr>
        <w:t xml:space="preserve">úprava </w:t>
      </w:r>
      <w:r w:rsidR="00A2595C" w:rsidRPr="00A2595C">
        <w:rPr>
          <w:rFonts w:ascii="Arial" w:hAnsi="Arial" w:cs="Arial"/>
          <w:sz w:val="20"/>
          <w:szCs w:val="20"/>
        </w:rPr>
        <w:t>dokumentácie zverejňovanej v rámci výziev na predkladanie žiadostí o NFP ako povinných príloh výzvy na predkladanie žiadostí o NFP (napr. Príručka pre žiadateľa vrátane príloh žiadosti o NFP),</w:t>
      </w:r>
    </w:p>
    <w:p w:rsidR="00A2595C" w:rsidRPr="00A2595C" w:rsidRDefault="00E137F5" w:rsidP="001540E7">
      <w:pPr>
        <w:numPr>
          <w:ilvl w:val="0"/>
          <w:numId w:val="66"/>
        </w:numPr>
        <w:spacing w:before="120" w:after="120" w:line="360" w:lineRule="auto"/>
        <w:jc w:val="both"/>
        <w:rPr>
          <w:rFonts w:ascii="Arial" w:hAnsi="Arial" w:cs="Arial"/>
          <w:sz w:val="20"/>
          <w:szCs w:val="20"/>
        </w:rPr>
      </w:pPr>
      <w:r>
        <w:rPr>
          <w:rFonts w:ascii="Arial" w:hAnsi="Arial" w:cs="Arial"/>
          <w:sz w:val="20"/>
          <w:szCs w:val="20"/>
        </w:rPr>
        <w:t xml:space="preserve">zintenzívnenie </w:t>
      </w:r>
      <w:r w:rsidR="00A2595C" w:rsidRPr="00A2595C">
        <w:rPr>
          <w:rFonts w:ascii="Arial" w:hAnsi="Arial" w:cs="Arial"/>
          <w:sz w:val="20"/>
          <w:szCs w:val="20"/>
        </w:rPr>
        <w:t>komunikáci</w:t>
      </w:r>
      <w:r>
        <w:rPr>
          <w:rFonts w:ascii="Arial" w:hAnsi="Arial" w:cs="Arial"/>
          <w:sz w:val="20"/>
          <w:szCs w:val="20"/>
        </w:rPr>
        <w:t>e</w:t>
      </w:r>
      <w:r w:rsidR="00A2595C" w:rsidRPr="00A2595C">
        <w:rPr>
          <w:rFonts w:ascii="Arial" w:hAnsi="Arial" w:cs="Arial"/>
          <w:sz w:val="20"/>
          <w:szCs w:val="20"/>
        </w:rPr>
        <w:t xml:space="preserve"> </w:t>
      </w:r>
      <w:r>
        <w:rPr>
          <w:rFonts w:ascii="Arial" w:hAnsi="Arial" w:cs="Arial"/>
          <w:sz w:val="20"/>
          <w:szCs w:val="20"/>
        </w:rPr>
        <w:t xml:space="preserve">ako aj usmernenie zo strany </w:t>
      </w:r>
      <w:r w:rsidR="00A2595C" w:rsidRPr="00A2595C">
        <w:rPr>
          <w:rFonts w:ascii="Arial" w:hAnsi="Arial" w:cs="Arial"/>
          <w:sz w:val="20"/>
          <w:szCs w:val="20"/>
        </w:rPr>
        <w:t xml:space="preserve"> RO ako orgánom vykonávajúcom kontrolu žiadostí o NFP a REPIS ako centrom prvého kontaktu so žiadateľmi, </w:t>
      </w:r>
    </w:p>
    <w:p w:rsidR="00A2595C" w:rsidRPr="00A2595C" w:rsidRDefault="00A2595C" w:rsidP="001540E7">
      <w:pPr>
        <w:numPr>
          <w:ilvl w:val="0"/>
          <w:numId w:val="66"/>
        </w:numPr>
        <w:spacing w:before="120" w:after="120" w:line="360" w:lineRule="auto"/>
        <w:jc w:val="both"/>
        <w:rPr>
          <w:rFonts w:ascii="Arial" w:hAnsi="Arial" w:cs="Arial"/>
          <w:sz w:val="20"/>
          <w:szCs w:val="20"/>
        </w:rPr>
      </w:pPr>
      <w:r w:rsidRPr="00A2595C">
        <w:rPr>
          <w:rFonts w:ascii="Arial" w:hAnsi="Arial" w:cs="Arial"/>
          <w:sz w:val="20"/>
          <w:szCs w:val="20"/>
        </w:rPr>
        <w:t xml:space="preserve">dôsledná analýza dôvodov neschválenia uvádzaná v rozhodnutiach o neschválení jednotlivých žiadostí o NFP. </w:t>
      </w:r>
    </w:p>
    <w:p w:rsidR="00A2595C" w:rsidRPr="00A2595C" w:rsidRDefault="00A2595C" w:rsidP="00507035">
      <w:pPr>
        <w:spacing w:before="120" w:after="120" w:line="360" w:lineRule="auto"/>
        <w:jc w:val="both"/>
        <w:rPr>
          <w:rFonts w:ascii="Arial" w:hAnsi="Arial" w:cs="Arial"/>
          <w:b/>
          <w:sz w:val="20"/>
          <w:szCs w:val="20"/>
          <w:u w:val="single"/>
        </w:rPr>
      </w:pPr>
      <w:r w:rsidRPr="00A2595C">
        <w:rPr>
          <w:rFonts w:ascii="Arial" w:hAnsi="Arial" w:cs="Arial"/>
          <w:b/>
          <w:sz w:val="20"/>
          <w:szCs w:val="20"/>
          <w:u w:val="single"/>
        </w:rPr>
        <w:t>Prioritná os 3</w:t>
      </w:r>
    </w:p>
    <w:p w:rsidR="00A2595C" w:rsidRPr="00A2595C" w:rsidRDefault="00A2595C" w:rsidP="00507035">
      <w:pPr>
        <w:spacing w:before="120" w:after="120" w:line="360" w:lineRule="auto"/>
        <w:jc w:val="both"/>
        <w:rPr>
          <w:rFonts w:ascii="Arial" w:hAnsi="Arial" w:cs="Arial"/>
          <w:iCs/>
          <w:sz w:val="20"/>
          <w:szCs w:val="20"/>
        </w:rPr>
      </w:pPr>
      <w:r w:rsidRPr="00A2595C">
        <w:rPr>
          <w:rFonts w:ascii="Arial" w:hAnsi="Arial" w:cs="Arial"/>
          <w:iCs/>
          <w:sz w:val="20"/>
          <w:szCs w:val="20"/>
        </w:rPr>
        <w:t>V rámci prioritnej osi 3 nebola v roku 2012 vyhlásená žiadna výzva na predkladanie žiadostí o NFP.</w:t>
      </w:r>
    </w:p>
    <w:p w:rsidR="00A2595C" w:rsidRPr="00A2595C" w:rsidRDefault="00A2595C" w:rsidP="00507035">
      <w:pPr>
        <w:spacing w:before="120" w:after="120" w:line="360" w:lineRule="auto"/>
        <w:jc w:val="both"/>
        <w:rPr>
          <w:rFonts w:ascii="Arial" w:hAnsi="Arial" w:cs="Arial"/>
          <w:b/>
          <w:sz w:val="20"/>
          <w:szCs w:val="20"/>
          <w:u w:val="single"/>
        </w:rPr>
      </w:pPr>
      <w:r w:rsidRPr="00A2595C">
        <w:rPr>
          <w:rFonts w:ascii="Arial" w:hAnsi="Arial" w:cs="Arial"/>
          <w:b/>
          <w:sz w:val="20"/>
          <w:szCs w:val="20"/>
          <w:u w:val="single"/>
        </w:rPr>
        <w:t>Prioritná os 4</w:t>
      </w:r>
    </w:p>
    <w:p w:rsidR="00A2595C" w:rsidRPr="00A2595C" w:rsidRDefault="00A2595C" w:rsidP="00507035">
      <w:pPr>
        <w:spacing w:before="120" w:after="120" w:line="360" w:lineRule="auto"/>
        <w:jc w:val="both"/>
        <w:rPr>
          <w:rFonts w:ascii="Arial" w:hAnsi="Arial" w:cs="Arial"/>
          <w:b/>
          <w:iCs/>
          <w:sz w:val="20"/>
          <w:szCs w:val="20"/>
        </w:rPr>
      </w:pPr>
      <w:r w:rsidRPr="00A2595C">
        <w:rPr>
          <w:rFonts w:ascii="Arial" w:hAnsi="Arial" w:cs="Arial"/>
          <w:b/>
          <w:iCs/>
          <w:sz w:val="20"/>
          <w:szCs w:val="20"/>
        </w:rPr>
        <w:t>Výzva na predkladanie žiadostí o NFP s kódom OPŽP-PO4-11-2</w:t>
      </w:r>
      <w:r w:rsidR="00167286">
        <w:rPr>
          <w:rFonts w:ascii="Arial" w:hAnsi="Arial" w:cs="Arial"/>
          <w:b/>
          <w:iCs/>
          <w:sz w:val="20"/>
          <w:szCs w:val="20"/>
        </w:rPr>
        <w:t xml:space="preserve"> (operačný cieľ 4.4)</w:t>
      </w:r>
      <w:r w:rsidRPr="00A2595C">
        <w:rPr>
          <w:rFonts w:ascii="Arial" w:hAnsi="Arial" w:cs="Arial"/>
          <w:b/>
          <w:iCs/>
          <w:sz w:val="20"/>
          <w:szCs w:val="20"/>
        </w:rPr>
        <w:t xml:space="preserve"> vyhlásená dňa 04.11.2011 a uzavretá dňa 10.02.2012</w:t>
      </w:r>
    </w:p>
    <w:p w:rsidR="00A2595C" w:rsidRPr="00A2595C" w:rsidRDefault="00A2595C" w:rsidP="00507035">
      <w:pPr>
        <w:spacing w:before="120" w:after="120" w:line="360" w:lineRule="auto"/>
        <w:jc w:val="both"/>
        <w:rPr>
          <w:rFonts w:ascii="Arial" w:hAnsi="Arial" w:cs="Arial"/>
          <w:b/>
          <w:iCs/>
          <w:sz w:val="20"/>
          <w:szCs w:val="20"/>
        </w:rPr>
      </w:pPr>
      <w:r w:rsidRPr="00A2595C">
        <w:rPr>
          <w:rFonts w:ascii="Arial" w:hAnsi="Arial" w:cs="Arial"/>
          <w:i/>
          <w:iCs/>
          <w:sz w:val="20"/>
          <w:szCs w:val="20"/>
        </w:rPr>
        <w:t xml:space="preserve">Pozn.: </w:t>
      </w:r>
      <w:r w:rsidR="00FF37AD">
        <w:rPr>
          <w:rFonts w:ascii="Arial" w:hAnsi="Arial" w:cs="Arial"/>
          <w:i/>
          <w:iCs/>
          <w:sz w:val="20"/>
          <w:szCs w:val="20"/>
        </w:rPr>
        <w:t xml:space="preserve">keďže </w:t>
      </w:r>
      <w:r w:rsidRPr="00A2595C">
        <w:rPr>
          <w:rFonts w:ascii="Arial" w:hAnsi="Arial" w:cs="Arial"/>
          <w:i/>
          <w:iCs/>
          <w:sz w:val="20"/>
          <w:szCs w:val="20"/>
        </w:rPr>
        <w:t>v rámci tejto výzvy</w:t>
      </w:r>
      <w:r w:rsidRPr="00A2595C">
        <w:rPr>
          <w:rFonts w:ascii="Arial" w:hAnsi="Arial" w:cs="Arial"/>
          <w:sz w:val="20"/>
          <w:szCs w:val="20"/>
        </w:rPr>
        <w:t xml:space="preserve"> </w:t>
      </w:r>
      <w:r w:rsidRPr="00A2595C">
        <w:rPr>
          <w:rFonts w:ascii="Arial" w:hAnsi="Arial" w:cs="Arial"/>
          <w:i/>
          <w:iCs/>
          <w:sz w:val="20"/>
          <w:szCs w:val="20"/>
        </w:rPr>
        <w:t>na predkladanie žiadostí o NFP boli predložené 3 žiadosti o NFP, pričom všetky 3 boli schválené</w:t>
      </w:r>
      <w:r w:rsidR="00FF37AD">
        <w:rPr>
          <w:rFonts w:ascii="Arial" w:hAnsi="Arial" w:cs="Arial"/>
          <w:i/>
          <w:iCs/>
          <w:sz w:val="20"/>
          <w:szCs w:val="20"/>
        </w:rPr>
        <w:t>, analýzu dôvodov neschválenia žiadostí o NFP neuvádzame</w:t>
      </w:r>
      <w:r w:rsidRPr="00A2595C">
        <w:rPr>
          <w:rFonts w:ascii="Arial" w:hAnsi="Arial" w:cs="Arial"/>
          <w:i/>
          <w:iCs/>
          <w:sz w:val="20"/>
          <w:szCs w:val="20"/>
        </w:rPr>
        <w:t>.</w:t>
      </w:r>
    </w:p>
    <w:p w:rsidR="00A2595C" w:rsidRPr="00A2595C" w:rsidRDefault="00A2595C" w:rsidP="00507035">
      <w:pPr>
        <w:spacing w:before="120" w:after="120" w:line="360" w:lineRule="auto"/>
        <w:jc w:val="both"/>
        <w:rPr>
          <w:rFonts w:ascii="Arial" w:hAnsi="Arial" w:cs="Arial"/>
          <w:b/>
          <w:iCs/>
          <w:sz w:val="20"/>
          <w:szCs w:val="20"/>
        </w:rPr>
      </w:pPr>
      <w:r w:rsidRPr="00A2595C">
        <w:rPr>
          <w:rFonts w:ascii="Arial" w:hAnsi="Arial" w:cs="Arial"/>
          <w:b/>
          <w:iCs/>
          <w:sz w:val="20"/>
          <w:szCs w:val="20"/>
        </w:rPr>
        <w:t>Výzva na predkladanie žiadostí o NFP s kódom OPŽP-PO4-11-3</w:t>
      </w:r>
      <w:r w:rsidR="00167286">
        <w:rPr>
          <w:rFonts w:ascii="Arial" w:hAnsi="Arial" w:cs="Arial"/>
          <w:b/>
          <w:iCs/>
          <w:sz w:val="20"/>
          <w:szCs w:val="20"/>
        </w:rPr>
        <w:t xml:space="preserve"> (operačný cieľ 4.1 a 4.2)</w:t>
      </w:r>
      <w:r w:rsidRPr="00A2595C">
        <w:rPr>
          <w:rFonts w:ascii="Arial" w:hAnsi="Arial" w:cs="Arial"/>
          <w:b/>
          <w:iCs/>
          <w:sz w:val="20"/>
          <w:szCs w:val="20"/>
        </w:rPr>
        <w:t xml:space="preserve"> vyhlásená dňa 20.06.2011 a uzavretá dňa 11.11.2011</w:t>
      </w:r>
    </w:p>
    <w:p w:rsidR="00A2595C" w:rsidRPr="00C84163" w:rsidRDefault="00A2595C" w:rsidP="00507035">
      <w:pPr>
        <w:spacing w:before="120" w:after="120" w:line="360" w:lineRule="auto"/>
        <w:jc w:val="both"/>
        <w:rPr>
          <w:rFonts w:ascii="Arial" w:hAnsi="Arial" w:cs="Arial"/>
          <w:i/>
          <w:sz w:val="20"/>
          <w:szCs w:val="20"/>
        </w:rPr>
      </w:pPr>
      <w:r w:rsidRPr="00C84163">
        <w:rPr>
          <w:rFonts w:ascii="Arial" w:hAnsi="Arial" w:cs="Arial"/>
          <w:i/>
          <w:sz w:val="20"/>
          <w:szCs w:val="20"/>
        </w:rPr>
        <w:t>Dôvody neschválenia a vylúčenia žiadostí o NFP predložených v rámci predmetnej výzvy</w:t>
      </w:r>
      <w:r w:rsidRPr="00A2595C">
        <w:rPr>
          <w:rFonts w:ascii="Arial" w:hAnsi="Arial" w:cs="Arial"/>
          <w:sz w:val="20"/>
          <w:szCs w:val="20"/>
        </w:rPr>
        <w:t xml:space="preserve"> </w:t>
      </w:r>
      <w:r w:rsidRPr="00C84163">
        <w:rPr>
          <w:rFonts w:ascii="Arial" w:hAnsi="Arial" w:cs="Arial"/>
          <w:i/>
          <w:sz w:val="20"/>
          <w:szCs w:val="20"/>
        </w:rPr>
        <w:t>na predkladanie žiadostí o NFP</w:t>
      </w:r>
    </w:p>
    <w:p w:rsidR="00A2595C" w:rsidRPr="00A2595C" w:rsidRDefault="00A2595C" w:rsidP="001540E7">
      <w:pPr>
        <w:numPr>
          <w:ilvl w:val="0"/>
          <w:numId w:val="49"/>
        </w:numPr>
        <w:tabs>
          <w:tab w:val="clear" w:pos="1078"/>
        </w:tabs>
        <w:spacing w:before="120" w:after="120" w:line="360" w:lineRule="auto"/>
        <w:ind w:left="284" w:hanging="284"/>
        <w:jc w:val="both"/>
        <w:rPr>
          <w:rFonts w:ascii="Arial" w:hAnsi="Arial" w:cs="Arial"/>
          <w:sz w:val="20"/>
          <w:szCs w:val="20"/>
          <w:u w:val="single"/>
        </w:rPr>
      </w:pPr>
      <w:r w:rsidRPr="00A2595C">
        <w:rPr>
          <w:rFonts w:ascii="Arial" w:hAnsi="Arial" w:cs="Arial"/>
          <w:sz w:val="20"/>
          <w:szCs w:val="20"/>
          <w:u w:val="single"/>
        </w:rPr>
        <w:t xml:space="preserve">Žiadosti o NFP boli vylúčené z ďalšieho procesu posudzovania z dôvodu nesplnenia kritérií oprávnenosti dôvodom bolo: </w:t>
      </w:r>
    </w:p>
    <w:p w:rsidR="00A2595C" w:rsidRPr="00A2595C" w:rsidRDefault="00A2595C" w:rsidP="001540E7">
      <w:pPr>
        <w:numPr>
          <w:ilvl w:val="1"/>
          <w:numId w:val="50"/>
        </w:numPr>
        <w:tabs>
          <w:tab w:val="clear" w:pos="1439"/>
          <w:tab w:val="num" w:pos="851"/>
        </w:tabs>
        <w:spacing w:before="120" w:after="120" w:line="360" w:lineRule="auto"/>
        <w:ind w:left="851" w:hanging="284"/>
        <w:jc w:val="both"/>
        <w:rPr>
          <w:rFonts w:ascii="Arial" w:hAnsi="Arial" w:cs="Arial"/>
          <w:sz w:val="20"/>
          <w:szCs w:val="20"/>
        </w:rPr>
      </w:pPr>
      <w:r w:rsidRPr="00A2595C">
        <w:rPr>
          <w:rFonts w:ascii="Arial" w:hAnsi="Arial" w:cs="Arial"/>
          <w:sz w:val="20"/>
          <w:szCs w:val="20"/>
        </w:rPr>
        <w:t>nesplnenie podmienky oprávnenosti z hľadiska záložného práva na nehnuteľnom a hnuteľnom majetku, ktorý bol predmetom projektu, ďalej nesplnenie kritérií oprávnenosti cieľa a aktivít projektu, oprávnenosti žiadateľa v zmysle podmienok definovaných vo výzve na predkladanie žiadostí o NFP a oprávnenosti v zmysle príslušnej schémy štátnej pomoci.</w:t>
      </w:r>
    </w:p>
    <w:p w:rsidR="00A2595C" w:rsidRPr="00A2595C" w:rsidRDefault="00A2595C" w:rsidP="001540E7">
      <w:pPr>
        <w:numPr>
          <w:ilvl w:val="0"/>
          <w:numId w:val="49"/>
        </w:numPr>
        <w:tabs>
          <w:tab w:val="clear" w:pos="1078"/>
        </w:tabs>
        <w:spacing w:before="120" w:after="120" w:line="360" w:lineRule="auto"/>
        <w:ind w:left="284" w:hanging="284"/>
        <w:jc w:val="both"/>
        <w:rPr>
          <w:rFonts w:ascii="Arial" w:hAnsi="Arial" w:cs="Arial"/>
          <w:sz w:val="20"/>
          <w:szCs w:val="20"/>
          <w:u w:val="single"/>
        </w:rPr>
      </w:pPr>
      <w:r w:rsidRPr="00A2595C">
        <w:rPr>
          <w:rFonts w:ascii="Arial" w:hAnsi="Arial" w:cs="Arial"/>
          <w:sz w:val="20"/>
          <w:szCs w:val="20"/>
          <w:u w:val="single"/>
        </w:rPr>
        <w:t xml:space="preserve">Žiadosti o NFP boli vylúčené z ďalšieho procesu posudzovania z dôvodu nesplnenia kritérií úplnosti, pričom najčastejšími dôvodmi boli: </w:t>
      </w:r>
    </w:p>
    <w:p w:rsidR="00872B91" w:rsidRDefault="00A2595C" w:rsidP="001540E7">
      <w:pPr>
        <w:numPr>
          <w:ilvl w:val="1"/>
          <w:numId w:val="50"/>
        </w:numPr>
        <w:tabs>
          <w:tab w:val="clear" w:pos="1439"/>
        </w:tabs>
        <w:spacing w:before="120" w:after="120" w:line="360" w:lineRule="auto"/>
        <w:ind w:left="851" w:hanging="284"/>
        <w:jc w:val="both"/>
        <w:rPr>
          <w:rFonts w:ascii="Arial" w:hAnsi="Arial" w:cs="Arial"/>
          <w:sz w:val="20"/>
          <w:szCs w:val="20"/>
        </w:rPr>
      </w:pPr>
      <w:r w:rsidRPr="00A2595C">
        <w:rPr>
          <w:rFonts w:ascii="Arial" w:hAnsi="Arial" w:cs="Arial"/>
          <w:sz w:val="20"/>
          <w:szCs w:val="20"/>
        </w:rPr>
        <w:t>nesplnenie všetkých všeobecných podmienok definovaných výzvou na predkladanie žiadostí o NFP (vrátane dokumentov, na ktoré sa výzva na predkladanie žiadostí o NFP odvoláva) a všetkých špecifických podmienok vzťahujúcich sa k príslušnej prioritnej osi/operačnému cieľu/aktivite,</w:t>
      </w:r>
    </w:p>
    <w:p w:rsidR="00872B91" w:rsidRDefault="00A2595C" w:rsidP="001540E7">
      <w:pPr>
        <w:numPr>
          <w:ilvl w:val="1"/>
          <w:numId w:val="50"/>
        </w:numPr>
        <w:tabs>
          <w:tab w:val="clear" w:pos="1439"/>
        </w:tabs>
        <w:spacing w:before="120" w:after="120" w:line="360" w:lineRule="auto"/>
        <w:ind w:left="851" w:hanging="284"/>
        <w:jc w:val="both"/>
        <w:rPr>
          <w:rFonts w:ascii="Arial" w:hAnsi="Arial" w:cs="Arial"/>
          <w:sz w:val="20"/>
          <w:szCs w:val="20"/>
        </w:rPr>
      </w:pPr>
      <w:r w:rsidRPr="00872B91">
        <w:rPr>
          <w:rFonts w:ascii="Arial" w:hAnsi="Arial" w:cs="Arial"/>
          <w:sz w:val="20"/>
          <w:szCs w:val="20"/>
        </w:rPr>
        <w:t xml:space="preserve">nedoplnenie chýbajúcich náležitostí v rôznych častiach žiadosti o NFP a jej prílohách, určených Výzvou na doplnenie chýbajúcich náležitostí žiadosti o NFP, na základe čoho sa žiadosti o NFP považovali za neúplné, </w:t>
      </w:r>
    </w:p>
    <w:p w:rsidR="00A2595C" w:rsidRPr="00872B91" w:rsidRDefault="00A2595C" w:rsidP="001540E7">
      <w:pPr>
        <w:numPr>
          <w:ilvl w:val="1"/>
          <w:numId w:val="50"/>
        </w:numPr>
        <w:tabs>
          <w:tab w:val="clear" w:pos="1439"/>
        </w:tabs>
        <w:spacing w:before="120" w:after="120" w:line="360" w:lineRule="auto"/>
        <w:ind w:left="851" w:hanging="284"/>
        <w:jc w:val="both"/>
        <w:rPr>
          <w:rFonts w:ascii="Arial" w:hAnsi="Arial" w:cs="Arial"/>
          <w:sz w:val="20"/>
          <w:szCs w:val="20"/>
        </w:rPr>
      </w:pPr>
      <w:r w:rsidRPr="00872B91">
        <w:rPr>
          <w:rFonts w:ascii="Arial" w:hAnsi="Arial" w:cs="Arial"/>
          <w:sz w:val="20"/>
          <w:szCs w:val="20"/>
        </w:rPr>
        <w:t xml:space="preserve">nedoplnenie chýbajúcich náležitostí žiadosti o NFP v lehote stanovenej vo Výzve na doplnenie chýbajúcich náležitostí žiadosti o NFP, na základe čoho sa žiadosti o NFP považovali za neúplné. </w:t>
      </w:r>
    </w:p>
    <w:p w:rsidR="00A2595C" w:rsidRPr="00A2595C" w:rsidRDefault="00A2595C" w:rsidP="001540E7">
      <w:pPr>
        <w:numPr>
          <w:ilvl w:val="0"/>
          <w:numId w:val="49"/>
        </w:numPr>
        <w:tabs>
          <w:tab w:val="clear" w:pos="1078"/>
        </w:tabs>
        <w:spacing w:before="120" w:after="120" w:line="360" w:lineRule="auto"/>
        <w:ind w:left="426" w:hanging="426"/>
        <w:jc w:val="both"/>
        <w:rPr>
          <w:rFonts w:ascii="Arial" w:hAnsi="Arial" w:cs="Arial"/>
          <w:sz w:val="20"/>
          <w:szCs w:val="20"/>
          <w:u w:val="single"/>
        </w:rPr>
      </w:pPr>
      <w:r w:rsidRPr="00A2595C">
        <w:rPr>
          <w:rFonts w:ascii="Arial" w:hAnsi="Arial" w:cs="Arial"/>
          <w:sz w:val="20"/>
          <w:szCs w:val="20"/>
          <w:u w:val="single"/>
        </w:rPr>
        <w:t xml:space="preserve">Žiadosti o NFP boli vylúčené z ďalšieho procesu posudzovania z dôvodu nesplnenia kritérií odborného hodnotenia dôvodmi boli: </w:t>
      </w:r>
    </w:p>
    <w:p w:rsidR="00872B91" w:rsidRDefault="00A2595C" w:rsidP="001540E7">
      <w:pPr>
        <w:numPr>
          <w:ilvl w:val="1"/>
          <w:numId w:val="49"/>
        </w:numPr>
        <w:tabs>
          <w:tab w:val="clear" w:pos="1438"/>
        </w:tabs>
        <w:spacing w:before="120" w:after="120" w:line="360" w:lineRule="auto"/>
        <w:ind w:left="851" w:hanging="284"/>
        <w:jc w:val="both"/>
        <w:rPr>
          <w:rFonts w:ascii="Arial" w:hAnsi="Arial" w:cs="Arial"/>
          <w:sz w:val="20"/>
          <w:szCs w:val="20"/>
        </w:rPr>
      </w:pPr>
      <w:r w:rsidRPr="00A2595C">
        <w:rPr>
          <w:rFonts w:ascii="Arial" w:hAnsi="Arial" w:cs="Arial"/>
          <w:sz w:val="20"/>
          <w:szCs w:val="20"/>
        </w:rPr>
        <w:t xml:space="preserve">nedosiahnutie minimálne 50 % z maximálneho počtu bodov v každej zo skupín hodnotiacich kritérií, </w:t>
      </w:r>
    </w:p>
    <w:p w:rsidR="00A2595C" w:rsidRPr="00872B91" w:rsidRDefault="00A2595C" w:rsidP="001540E7">
      <w:pPr>
        <w:numPr>
          <w:ilvl w:val="1"/>
          <w:numId w:val="49"/>
        </w:numPr>
        <w:tabs>
          <w:tab w:val="clear" w:pos="1438"/>
        </w:tabs>
        <w:spacing w:before="120" w:after="120" w:line="360" w:lineRule="auto"/>
        <w:ind w:left="851" w:hanging="284"/>
        <w:jc w:val="both"/>
        <w:rPr>
          <w:rFonts w:ascii="Arial" w:hAnsi="Arial" w:cs="Arial"/>
          <w:sz w:val="20"/>
          <w:szCs w:val="20"/>
        </w:rPr>
      </w:pPr>
      <w:r w:rsidRPr="00872B91">
        <w:rPr>
          <w:rFonts w:ascii="Arial" w:hAnsi="Arial" w:cs="Arial"/>
          <w:sz w:val="20"/>
          <w:szCs w:val="20"/>
        </w:rPr>
        <w:t xml:space="preserve">nedosiahnutie minimálne 70 % z celkového maximálneho počtu bodov. </w:t>
      </w:r>
    </w:p>
    <w:p w:rsidR="00A2595C" w:rsidRPr="00A2595C" w:rsidRDefault="00A2595C" w:rsidP="00507035">
      <w:pPr>
        <w:spacing w:before="120" w:after="120" w:line="360" w:lineRule="auto"/>
        <w:jc w:val="both"/>
        <w:rPr>
          <w:rFonts w:ascii="Arial" w:hAnsi="Arial" w:cs="Arial"/>
          <w:b/>
          <w:iCs/>
          <w:sz w:val="20"/>
          <w:szCs w:val="20"/>
        </w:rPr>
      </w:pPr>
      <w:r w:rsidRPr="00A2595C">
        <w:rPr>
          <w:rFonts w:ascii="Arial" w:hAnsi="Arial" w:cs="Arial"/>
          <w:b/>
          <w:iCs/>
          <w:sz w:val="20"/>
          <w:szCs w:val="20"/>
        </w:rPr>
        <w:t xml:space="preserve">Výzva na predkladanie žiadostí o NFP s kódom OPŽP-PO4-11-4-LSKxP </w:t>
      </w:r>
      <w:r w:rsidR="00167286">
        <w:rPr>
          <w:rFonts w:ascii="Arial" w:hAnsi="Arial" w:cs="Arial"/>
          <w:b/>
          <w:iCs/>
          <w:sz w:val="20"/>
          <w:szCs w:val="20"/>
        </w:rPr>
        <w:t>(operačný cieľ 4.1 a 4.2)</w:t>
      </w:r>
      <w:r w:rsidR="00167286" w:rsidRPr="00A2595C">
        <w:rPr>
          <w:rFonts w:ascii="Arial" w:hAnsi="Arial" w:cs="Arial"/>
          <w:b/>
          <w:iCs/>
          <w:sz w:val="20"/>
          <w:szCs w:val="20"/>
        </w:rPr>
        <w:t xml:space="preserve"> </w:t>
      </w:r>
      <w:r w:rsidRPr="00A2595C">
        <w:rPr>
          <w:rFonts w:ascii="Arial" w:hAnsi="Arial" w:cs="Arial"/>
          <w:b/>
          <w:iCs/>
          <w:sz w:val="20"/>
          <w:szCs w:val="20"/>
        </w:rPr>
        <w:t>vyhlásená dňa 22.12.2011 a uzavretá dňa 23.03.2012</w:t>
      </w:r>
    </w:p>
    <w:p w:rsidR="00A2595C" w:rsidRPr="00C84163" w:rsidRDefault="00A2595C" w:rsidP="00507035">
      <w:pPr>
        <w:spacing w:before="120" w:after="120" w:line="360" w:lineRule="auto"/>
        <w:jc w:val="both"/>
        <w:rPr>
          <w:rFonts w:ascii="Arial" w:hAnsi="Arial" w:cs="Arial"/>
          <w:i/>
          <w:sz w:val="20"/>
          <w:szCs w:val="20"/>
        </w:rPr>
      </w:pPr>
      <w:r w:rsidRPr="00C84163">
        <w:rPr>
          <w:rFonts w:ascii="Arial" w:hAnsi="Arial" w:cs="Arial"/>
          <w:i/>
          <w:sz w:val="20"/>
          <w:szCs w:val="20"/>
        </w:rPr>
        <w:t>Dôvody neschválenia a vylúčenia žiadostí o NFP, predložených v rámci predmetnej výzvy</w:t>
      </w:r>
      <w:r w:rsidRPr="00A2595C">
        <w:rPr>
          <w:rFonts w:ascii="Arial" w:hAnsi="Arial" w:cs="Arial"/>
          <w:sz w:val="20"/>
          <w:szCs w:val="20"/>
        </w:rPr>
        <w:t xml:space="preserve"> </w:t>
      </w:r>
      <w:r w:rsidRPr="00C84163">
        <w:rPr>
          <w:rFonts w:ascii="Arial" w:hAnsi="Arial" w:cs="Arial"/>
          <w:i/>
          <w:sz w:val="20"/>
          <w:szCs w:val="20"/>
        </w:rPr>
        <w:t>na predkladanie žiadostí o NFP</w:t>
      </w:r>
    </w:p>
    <w:p w:rsidR="00A2595C" w:rsidRPr="00A2595C" w:rsidRDefault="00A2595C" w:rsidP="001540E7">
      <w:pPr>
        <w:numPr>
          <w:ilvl w:val="0"/>
          <w:numId w:val="49"/>
        </w:numPr>
        <w:tabs>
          <w:tab w:val="clear" w:pos="1078"/>
        </w:tabs>
        <w:spacing w:before="120" w:after="120" w:line="360" w:lineRule="auto"/>
        <w:ind w:left="284" w:hanging="284"/>
        <w:jc w:val="both"/>
        <w:rPr>
          <w:rFonts w:ascii="Arial" w:hAnsi="Arial" w:cs="Arial"/>
          <w:sz w:val="20"/>
          <w:szCs w:val="20"/>
          <w:u w:val="single"/>
        </w:rPr>
      </w:pPr>
      <w:r w:rsidRPr="00A2595C">
        <w:rPr>
          <w:rFonts w:ascii="Arial" w:hAnsi="Arial" w:cs="Arial"/>
          <w:sz w:val="20"/>
          <w:szCs w:val="20"/>
          <w:u w:val="single"/>
        </w:rPr>
        <w:t xml:space="preserve">Žiadosti o NFP boli vylúčené z ďalšieho procesu posudzovania z dôvodu nesplnenia kritérií úplnosti dôvodmi boli: </w:t>
      </w:r>
    </w:p>
    <w:p w:rsidR="005751C1" w:rsidRDefault="00A2595C" w:rsidP="001540E7">
      <w:pPr>
        <w:numPr>
          <w:ilvl w:val="1"/>
          <w:numId w:val="50"/>
        </w:numPr>
        <w:tabs>
          <w:tab w:val="clear" w:pos="1439"/>
        </w:tabs>
        <w:spacing w:before="120" w:after="120" w:line="360" w:lineRule="auto"/>
        <w:ind w:left="709" w:hanging="425"/>
        <w:jc w:val="both"/>
        <w:rPr>
          <w:rFonts w:ascii="Arial" w:hAnsi="Arial" w:cs="Arial"/>
          <w:sz w:val="20"/>
          <w:szCs w:val="20"/>
        </w:rPr>
      </w:pPr>
      <w:r w:rsidRPr="00A2595C">
        <w:rPr>
          <w:rFonts w:ascii="Arial" w:hAnsi="Arial" w:cs="Arial"/>
          <w:sz w:val="20"/>
          <w:szCs w:val="20"/>
        </w:rPr>
        <w:t xml:space="preserve">nedoplnenie, resp. nesprávne doplnenie chýbajúcich náležitostí v rôznych častiach žiadosti o NFP a jej prílohách, určených Výzvou na doplnenie chýbajúcich náležitostí žiadosti o NFP, na základe čoho sa žiadosti o NFP považovali za neúplné, </w:t>
      </w:r>
    </w:p>
    <w:p w:rsidR="00A2595C" w:rsidRPr="005751C1" w:rsidRDefault="00A2595C" w:rsidP="001540E7">
      <w:pPr>
        <w:numPr>
          <w:ilvl w:val="1"/>
          <w:numId w:val="50"/>
        </w:numPr>
        <w:tabs>
          <w:tab w:val="clear" w:pos="1439"/>
        </w:tabs>
        <w:spacing w:before="120" w:after="120" w:line="360" w:lineRule="auto"/>
        <w:ind w:left="709" w:hanging="425"/>
        <w:jc w:val="both"/>
        <w:rPr>
          <w:rFonts w:ascii="Arial" w:hAnsi="Arial" w:cs="Arial"/>
          <w:sz w:val="20"/>
          <w:szCs w:val="20"/>
        </w:rPr>
      </w:pPr>
      <w:r w:rsidRPr="005751C1">
        <w:rPr>
          <w:rFonts w:ascii="Arial" w:hAnsi="Arial" w:cs="Arial"/>
          <w:sz w:val="20"/>
          <w:szCs w:val="20"/>
        </w:rPr>
        <w:t xml:space="preserve">nedoplnenie chýbajúcich náležitostí žiadosti o NFP v lehote stanovenej vo Výzve na doplnenie chýbajúcich náležitostí žiadosti o NFP, na základe čoho sa žiadosti o NFP považovali za neúplné. </w:t>
      </w:r>
    </w:p>
    <w:p w:rsidR="00A2595C" w:rsidRPr="00A2595C" w:rsidRDefault="00A2595C" w:rsidP="001540E7">
      <w:pPr>
        <w:numPr>
          <w:ilvl w:val="0"/>
          <w:numId w:val="49"/>
        </w:numPr>
        <w:tabs>
          <w:tab w:val="clear" w:pos="1078"/>
        </w:tabs>
        <w:spacing w:before="120" w:after="120" w:line="360" w:lineRule="auto"/>
        <w:ind w:left="284" w:hanging="284"/>
        <w:jc w:val="both"/>
        <w:rPr>
          <w:rFonts w:ascii="Arial" w:hAnsi="Arial" w:cs="Arial"/>
          <w:sz w:val="20"/>
          <w:szCs w:val="20"/>
          <w:u w:val="single"/>
        </w:rPr>
      </w:pPr>
      <w:r w:rsidRPr="00A2595C">
        <w:rPr>
          <w:rFonts w:ascii="Arial" w:hAnsi="Arial" w:cs="Arial"/>
          <w:sz w:val="20"/>
          <w:szCs w:val="20"/>
          <w:u w:val="single"/>
        </w:rPr>
        <w:t xml:space="preserve">Žiadosti o NFP boli vylúčené z ďalšieho procesu posudzovania z dôvodu nesplnenia kritérií odborného hodnotenia dôvodmi boli: </w:t>
      </w:r>
    </w:p>
    <w:p w:rsidR="005751C1" w:rsidRDefault="00A2595C" w:rsidP="001540E7">
      <w:pPr>
        <w:numPr>
          <w:ilvl w:val="1"/>
          <w:numId w:val="49"/>
        </w:numPr>
        <w:tabs>
          <w:tab w:val="clear" w:pos="1438"/>
        </w:tabs>
        <w:spacing w:before="120" w:after="120" w:line="360" w:lineRule="auto"/>
        <w:ind w:left="709" w:hanging="425"/>
        <w:jc w:val="both"/>
        <w:rPr>
          <w:rFonts w:ascii="Arial" w:hAnsi="Arial" w:cs="Arial"/>
          <w:sz w:val="20"/>
          <w:szCs w:val="20"/>
        </w:rPr>
      </w:pPr>
      <w:r w:rsidRPr="00A2595C">
        <w:rPr>
          <w:rFonts w:ascii="Arial" w:hAnsi="Arial" w:cs="Arial"/>
          <w:sz w:val="20"/>
          <w:szCs w:val="20"/>
        </w:rPr>
        <w:t xml:space="preserve">nedosiahnutie minimálne 50 % z maximálneho počtu bodov v každej zo skupín hodnotiacich kritérií, </w:t>
      </w:r>
    </w:p>
    <w:p w:rsidR="00A2595C" w:rsidRPr="005751C1" w:rsidRDefault="00A2595C" w:rsidP="001540E7">
      <w:pPr>
        <w:numPr>
          <w:ilvl w:val="1"/>
          <w:numId w:val="49"/>
        </w:numPr>
        <w:tabs>
          <w:tab w:val="clear" w:pos="1438"/>
        </w:tabs>
        <w:spacing w:before="120" w:after="120" w:line="360" w:lineRule="auto"/>
        <w:ind w:left="709" w:hanging="425"/>
        <w:jc w:val="both"/>
        <w:rPr>
          <w:rFonts w:ascii="Arial" w:hAnsi="Arial" w:cs="Arial"/>
          <w:sz w:val="20"/>
          <w:szCs w:val="20"/>
        </w:rPr>
      </w:pPr>
      <w:r w:rsidRPr="005751C1">
        <w:rPr>
          <w:rFonts w:ascii="Arial" w:hAnsi="Arial" w:cs="Arial"/>
          <w:sz w:val="20"/>
          <w:szCs w:val="20"/>
        </w:rPr>
        <w:t xml:space="preserve">nedosiahnutie minimálne 70 % z celkového maximálneho počtu bodov. </w:t>
      </w:r>
    </w:p>
    <w:p w:rsidR="00A2595C" w:rsidRPr="00A2595C" w:rsidRDefault="00A2595C" w:rsidP="00507035">
      <w:pPr>
        <w:spacing w:before="120" w:after="120" w:line="360" w:lineRule="auto"/>
        <w:jc w:val="both"/>
        <w:rPr>
          <w:rFonts w:ascii="Arial" w:hAnsi="Arial" w:cs="Arial"/>
          <w:b/>
          <w:iCs/>
          <w:sz w:val="20"/>
          <w:szCs w:val="20"/>
        </w:rPr>
      </w:pPr>
      <w:r w:rsidRPr="00A2595C">
        <w:rPr>
          <w:rFonts w:ascii="Arial" w:hAnsi="Arial" w:cs="Arial"/>
          <w:b/>
          <w:iCs/>
          <w:sz w:val="20"/>
          <w:szCs w:val="20"/>
        </w:rPr>
        <w:t>Výzva na predkladanie žiadostí o NFP s kódom OPŽP-PO4-11-5</w:t>
      </w:r>
      <w:r w:rsidR="00167286">
        <w:rPr>
          <w:rFonts w:ascii="Arial" w:hAnsi="Arial" w:cs="Arial"/>
          <w:b/>
          <w:iCs/>
          <w:sz w:val="20"/>
          <w:szCs w:val="20"/>
        </w:rPr>
        <w:t xml:space="preserve"> operačný cieľ (4.3)</w:t>
      </w:r>
      <w:r w:rsidR="00167286" w:rsidRPr="00A2595C">
        <w:rPr>
          <w:rFonts w:ascii="Arial" w:hAnsi="Arial" w:cs="Arial"/>
          <w:b/>
          <w:iCs/>
          <w:sz w:val="20"/>
          <w:szCs w:val="20"/>
        </w:rPr>
        <w:t xml:space="preserve"> </w:t>
      </w:r>
      <w:r w:rsidRPr="00A2595C">
        <w:rPr>
          <w:rFonts w:ascii="Arial" w:hAnsi="Arial" w:cs="Arial"/>
          <w:b/>
          <w:iCs/>
          <w:sz w:val="20"/>
          <w:szCs w:val="20"/>
        </w:rPr>
        <w:t xml:space="preserve"> vyhlásená dňa 23.12.2011 a uzavretá dňa 27.</w:t>
      </w:r>
      <w:r>
        <w:rPr>
          <w:rFonts w:ascii="Arial" w:hAnsi="Arial" w:cs="Arial"/>
          <w:b/>
          <w:iCs/>
          <w:sz w:val="20"/>
          <w:szCs w:val="20"/>
        </w:rPr>
        <w:t>0</w:t>
      </w:r>
      <w:r w:rsidRPr="00A2595C">
        <w:rPr>
          <w:rFonts w:ascii="Arial" w:hAnsi="Arial" w:cs="Arial"/>
          <w:b/>
          <w:iCs/>
          <w:sz w:val="20"/>
          <w:szCs w:val="20"/>
        </w:rPr>
        <w:t>3.</w:t>
      </w:r>
      <w:r>
        <w:rPr>
          <w:rFonts w:ascii="Arial" w:hAnsi="Arial" w:cs="Arial"/>
          <w:b/>
          <w:iCs/>
          <w:sz w:val="20"/>
          <w:szCs w:val="20"/>
        </w:rPr>
        <w:t>2</w:t>
      </w:r>
      <w:r w:rsidRPr="00A2595C">
        <w:rPr>
          <w:rFonts w:ascii="Arial" w:hAnsi="Arial" w:cs="Arial"/>
          <w:b/>
          <w:iCs/>
          <w:sz w:val="20"/>
          <w:szCs w:val="20"/>
        </w:rPr>
        <w:t>012</w:t>
      </w:r>
      <w:r w:rsidR="005751C1">
        <w:rPr>
          <w:rFonts w:ascii="Arial" w:hAnsi="Arial" w:cs="Arial"/>
          <w:b/>
          <w:iCs/>
          <w:sz w:val="20"/>
          <w:szCs w:val="20"/>
        </w:rPr>
        <w:t>.</w:t>
      </w:r>
    </w:p>
    <w:p w:rsidR="00A2595C" w:rsidRPr="0039268C" w:rsidRDefault="00A2595C" w:rsidP="00507035">
      <w:pPr>
        <w:spacing w:before="120" w:after="120" w:line="360" w:lineRule="auto"/>
        <w:jc w:val="both"/>
        <w:rPr>
          <w:rFonts w:ascii="Arial" w:hAnsi="Arial" w:cs="Arial"/>
          <w:i/>
          <w:sz w:val="20"/>
          <w:szCs w:val="20"/>
        </w:rPr>
      </w:pPr>
      <w:r w:rsidRPr="0039268C">
        <w:rPr>
          <w:rFonts w:ascii="Arial" w:hAnsi="Arial" w:cs="Arial"/>
          <w:i/>
          <w:sz w:val="20"/>
          <w:szCs w:val="20"/>
        </w:rPr>
        <w:t>Dôvody neschválenia a vylúčenia žiadostí o NFP, predložených v rámci predmetnej výzvy</w:t>
      </w:r>
      <w:r w:rsidRPr="00A2595C">
        <w:rPr>
          <w:rFonts w:ascii="Arial" w:hAnsi="Arial" w:cs="Arial"/>
          <w:sz w:val="20"/>
          <w:szCs w:val="20"/>
        </w:rPr>
        <w:t xml:space="preserve"> </w:t>
      </w:r>
      <w:r w:rsidRPr="0039268C">
        <w:rPr>
          <w:rFonts w:ascii="Arial" w:hAnsi="Arial" w:cs="Arial"/>
          <w:i/>
          <w:sz w:val="20"/>
          <w:szCs w:val="20"/>
        </w:rPr>
        <w:t>na predkladanie žiadostí o NFP</w:t>
      </w:r>
    </w:p>
    <w:p w:rsidR="00A2595C" w:rsidRPr="00A2595C" w:rsidRDefault="00A2595C" w:rsidP="001540E7">
      <w:pPr>
        <w:numPr>
          <w:ilvl w:val="0"/>
          <w:numId w:val="49"/>
        </w:numPr>
        <w:tabs>
          <w:tab w:val="clear" w:pos="1078"/>
        </w:tabs>
        <w:spacing w:before="120" w:after="120" w:line="360" w:lineRule="auto"/>
        <w:ind w:left="284" w:hanging="284"/>
        <w:jc w:val="both"/>
        <w:rPr>
          <w:rFonts w:ascii="Arial" w:hAnsi="Arial" w:cs="Arial"/>
          <w:sz w:val="20"/>
          <w:szCs w:val="20"/>
          <w:u w:val="single"/>
        </w:rPr>
      </w:pPr>
      <w:r w:rsidRPr="00A2595C">
        <w:rPr>
          <w:rFonts w:ascii="Arial" w:hAnsi="Arial" w:cs="Arial"/>
          <w:sz w:val="20"/>
          <w:szCs w:val="20"/>
          <w:u w:val="single"/>
        </w:rPr>
        <w:t xml:space="preserve">Žiadosti o NFP boli vylúčené z ďalšieho procesu posudzovania z dôvodu nesplnenia kritérií úplnosti, pričom najčastejšími dôvodmi boli: </w:t>
      </w:r>
    </w:p>
    <w:p w:rsidR="005751C1" w:rsidRDefault="00A2595C" w:rsidP="001540E7">
      <w:pPr>
        <w:numPr>
          <w:ilvl w:val="1"/>
          <w:numId w:val="50"/>
        </w:numPr>
        <w:tabs>
          <w:tab w:val="clear" w:pos="1439"/>
        </w:tabs>
        <w:spacing w:before="120" w:after="120" w:line="360" w:lineRule="auto"/>
        <w:ind w:left="851" w:hanging="284"/>
        <w:jc w:val="both"/>
        <w:rPr>
          <w:rFonts w:ascii="Arial" w:hAnsi="Arial" w:cs="Arial"/>
          <w:sz w:val="20"/>
          <w:szCs w:val="20"/>
        </w:rPr>
      </w:pPr>
      <w:r w:rsidRPr="00A2595C">
        <w:rPr>
          <w:rFonts w:ascii="Arial" w:hAnsi="Arial" w:cs="Arial"/>
          <w:sz w:val="20"/>
          <w:szCs w:val="20"/>
        </w:rPr>
        <w:t xml:space="preserve">nesplnenie všetkých všeobecných podmienok definovaných výzvou na predkladanie žiadostí o NFP (vrátane dokumentov, na ktoré sa výzva na predkladanie žiadostí o NFP odvoláva) a všetkých špecifických podmienok vzťahujúcich sa k príslušnej prioritnej osi/operačnému cieľu/aktivite; </w:t>
      </w:r>
    </w:p>
    <w:p w:rsidR="00A2595C" w:rsidRPr="005751C1" w:rsidRDefault="00A2595C" w:rsidP="001540E7">
      <w:pPr>
        <w:numPr>
          <w:ilvl w:val="1"/>
          <w:numId w:val="50"/>
        </w:numPr>
        <w:tabs>
          <w:tab w:val="clear" w:pos="1439"/>
        </w:tabs>
        <w:spacing w:before="120" w:after="120" w:line="360" w:lineRule="auto"/>
        <w:ind w:left="851" w:hanging="284"/>
        <w:jc w:val="both"/>
        <w:rPr>
          <w:rFonts w:ascii="Arial" w:hAnsi="Arial" w:cs="Arial"/>
          <w:sz w:val="20"/>
          <w:szCs w:val="20"/>
        </w:rPr>
      </w:pPr>
      <w:r w:rsidRPr="005751C1">
        <w:rPr>
          <w:rFonts w:ascii="Arial" w:hAnsi="Arial" w:cs="Arial"/>
          <w:sz w:val="20"/>
          <w:szCs w:val="20"/>
        </w:rPr>
        <w:t>nedoplnenie, resp. nesprávne doplnenie chýbajúcich náležitostí v rôznych častiach žiadosti o NFP a jej prílohách, určených Výzvou na doplnenie chýbajúcich náležitostí žiadosti o NFP, na základe čoho sa žiadosti o NFP považovali za neúplné.</w:t>
      </w:r>
    </w:p>
    <w:p w:rsidR="00A2595C" w:rsidRPr="00A2595C" w:rsidRDefault="00A2595C" w:rsidP="001540E7">
      <w:pPr>
        <w:numPr>
          <w:ilvl w:val="0"/>
          <w:numId w:val="49"/>
        </w:numPr>
        <w:tabs>
          <w:tab w:val="clear" w:pos="1078"/>
        </w:tabs>
        <w:spacing w:before="120" w:after="120" w:line="360" w:lineRule="auto"/>
        <w:ind w:left="284" w:hanging="284"/>
        <w:jc w:val="both"/>
        <w:rPr>
          <w:rFonts w:ascii="Arial" w:hAnsi="Arial" w:cs="Arial"/>
          <w:sz w:val="20"/>
          <w:szCs w:val="20"/>
          <w:u w:val="single"/>
        </w:rPr>
      </w:pPr>
      <w:r w:rsidRPr="00A2595C">
        <w:rPr>
          <w:rFonts w:ascii="Arial" w:hAnsi="Arial" w:cs="Arial"/>
          <w:sz w:val="20"/>
          <w:szCs w:val="20"/>
          <w:u w:val="single"/>
        </w:rPr>
        <w:t xml:space="preserve">Žiadosti o NFP boli vylúčené z ďalšieho procesu posudzovania z dôvodu nesplnenia kritérií odborného hodnotenia dôvodmi boli: </w:t>
      </w:r>
    </w:p>
    <w:p w:rsidR="005751C1" w:rsidRDefault="00A2595C" w:rsidP="001540E7">
      <w:pPr>
        <w:numPr>
          <w:ilvl w:val="1"/>
          <w:numId w:val="49"/>
        </w:numPr>
        <w:tabs>
          <w:tab w:val="clear" w:pos="1438"/>
        </w:tabs>
        <w:spacing w:before="120" w:after="120" w:line="360" w:lineRule="auto"/>
        <w:ind w:left="851" w:hanging="284"/>
        <w:jc w:val="both"/>
        <w:rPr>
          <w:rFonts w:ascii="Arial" w:hAnsi="Arial" w:cs="Arial"/>
          <w:sz w:val="20"/>
          <w:szCs w:val="20"/>
        </w:rPr>
      </w:pPr>
      <w:r w:rsidRPr="00A2595C">
        <w:rPr>
          <w:rFonts w:ascii="Arial" w:hAnsi="Arial" w:cs="Arial"/>
          <w:sz w:val="20"/>
          <w:szCs w:val="20"/>
        </w:rPr>
        <w:t xml:space="preserve">nedosiahnutie minimálne 50 % z maximálneho počtu bodov v každej zo skupín hodnotiacich kritérií, </w:t>
      </w:r>
    </w:p>
    <w:p w:rsidR="00A2595C" w:rsidRPr="005751C1" w:rsidRDefault="00A2595C" w:rsidP="001540E7">
      <w:pPr>
        <w:numPr>
          <w:ilvl w:val="1"/>
          <w:numId w:val="49"/>
        </w:numPr>
        <w:tabs>
          <w:tab w:val="clear" w:pos="1438"/>
        </w:tabs>
        <w:spacing w:before="120" w:after="120" w:line="360" w:lineRule="auto"/>
        <w:ind w:left="851" w:hanging="284"/>
        <w:jc w:val="both"/>
        <w:rPr>
          <w:rFonts w:ascii="Arial" w:hAnsi="Arial" w:cs="Arial"/>
          <w:sz w:val="20"/>
          <w:szCs w:val="20"/>
        </w:rPr>
      </w:pPr>
      <w:r w:rsidRPr="005751C1">
        <w:rPr>
          <w:rFonts w:ascii="Arial" w:hAnsi="Arial" w:cs="Arial"/>
          <w:sz w:val="20"/>
          <w:szCs w:val="20"/>
        </w:rPr>
        <w:t xml:space="preserve">nedosiahnutie minimálne 70 % z celkového maximálneho počtu bodov. </w:t>
      </w:r>
    </w:p>
    <w:p w:rsidR="00A2595C" w:rsidRPr="00A2595C" w:rsidRDefault="00A2595C" w:rsidP="00507035">
      <w:pPr>
        <w:spacing w:before="120" w:after="120" w:line="360" w:lineRule="auto"/>
        <w:jc w:val="both"/>
        <w:rPr>
          <w:rFonts w:ascii="Arial" w:hAnsi="Arial" w:cs="Arial"/>
          <w:b/>
          <w:i/>
          <w:sz w:val="20"/>
          <w:szCs w:val="20"/>
        </w:rPr>
      </w:pPr>
      <w:r w:rsidRPr="00A2595C">
        <w:rPr>
          <w:rFonts w:ascii="Arial" w:hAnsi="Arial" w:cs="Arial"/>
          <w:b/>
          <w:i/>
          <w:sz w:val="20"/>
          <w:szCs w:val="20"/>
        </w:rPr>
        <w:t>Vykonané opatrenia na predchádzanie pred opakovaním identifikovaných nedostatkov, resp. na redukciu zamietnutých žiadostí o NFP</w:t>
      </w:r>
    </w:p>
    <w:p w:rsidR="00A2595C" w:rsidRPr="00A2595C" w:rsidRDefault="00A2595C" w:rsidP="00507035">
      <w:pPr>
        <w:spacing w:before="120" w:after="120" w:line="360" w:lineRule="auto"/>
        <w:jc w:val="both"/>
        <w:rPr>
          <w:rFonts w:ascii="Arial" w:hAnsi="Arial" w:cs="Arial"/>
          <w:sz w:val="20"/>
          <w:szCs w:val="20"/>
        </w:rPr>
      </w:pPr>
      <w:r w:rsidRPr="00A2595C">
        <w:rPr>
          <w:rFonts w:ascii="Arial" w:hAnsi="Arial" w:cs="Arial"/>
          <w:sz w:val="20"/>
          <w:szCs w:val="20"/>
        </w:rPr>
        <w:t xml:space="preserve">Na základe vyššie uvedených skutočností boli navrhnuté nasledovné opatrenia na predchádzanie pred opakovaním identifikovaných nedostatkov v rámci prioritnej osi 4: </w:t>
      </w:r>
    </w:p>
    <w:p w:rsidR="00A2595C" w:rsidRPr="00A2595C" w:rsidRDefault="00FF37AD" w:rsidP="001540E7">
      <w:pPr>
        <w:numPr>
          <w:ilvl w:val="0"/>
          <w:numId w:val="51"/>
        </w:numPr>
        <w:spacing w:before="120" w:after="120" w:line="360" w:lineRule="auto"/>
        <w:jc w:val="both"/>
        <w:rPr>
          <w:rFonts w:ascii="Arial" w:hAnsi="Arial" w:cs="Arial"/>
          <w:sz w:val="20"/>
          <w:szCs w:val="20"/>
        </w:rPr>
      </w:pPr>
      <w:r>
        <w:rPr>
          <w:rFonts w:ascii="Arial" w:hAnsi="Arial" w:cs="Arial"/>
          <w:sz w:val="20"/>
          <w:szCs w:val="20"/>
        </w:rPr>
        <w:t>úprava</w:t>
      </w:r>
      <w:r w:rsidRPr="00A2595C">
        <w:rPr>
          <w:rFonts w:ascii="Arial" w:hAnsi="Arial" w:cs="Arial"/>
          <w:sz w:val="20"/>
          <w:szCs w:val="20"/>
        </w:rPr>
        <w:t xml:space="preserve"> </w:t>
      </w:r>
      <w:r w:rsidR="00A2595C" w:rsidRPr="00A2595C">
        <w:rPr>
          <w:rFonts w:ascii="Arial" w:hAnsi="Arial" w:cs="Arial"/>
          <w:sz w:val="20"/>
          <w:szCs w:val="20"/>
        </w:rPr>
        <w:t>dokumentácie zverejňovanej v rámci výziev na predkladanie žiadostí o NFP ako povinných príloh výzvy na predkladanie žiadostí o NFP (napr. Príručka pre žiadateľa vrátane príloh žiadosti o NFP),</w:t>
      </w:r>
    </w:p>
    <w:p w:rsidR="00A2595C" w:rsidRPr="00A2595C" w:rsidRDefault="00FF37AD" w:rsidP="001540E7">
      <w:pPr>
        <w:numPr>
          <w:ilvl w:val="0"/>
          <w:numId w:val="51"/>
        </w:numPr>
        <w:spacing w:before="120" w:after="120" w:line="360" w:lineRule="auto"/>
        <w:jc w:val="both"/>
        <w:rPr>
          <w:rFonts w:ascii="Arial" w:hAnsi="Arial" w:cs="Arial"/>
          <w:sz w:val="20"/>
          <w:szCs w:val="20"/>
        </w:rPr>
      </w:pPr>
      <w:r>
        <w:rPr>
          <w:rFonts w:ascii="Arial" w:hAnsi="Arial" w:cs="Arial"/>
          <w:sz w:val="20"/>
          <w:szCs w:val="20"/>
        </w:rPr>
        <w:t xml:space="preserve">zintenzívnenie </w:t>
      </w:r>
      <w:r w:rsidRPr="00A2595C">
        <w:rPr>
          <w:rFonts w:ascii="Arial" w:hAnsi="Arial" w:cs="Arial"/>
          <w:sz w:val="20"/>
          <w:szCs w:val="20"/>
        </w:rPr>
        <w:t>komunikáci</w:t>
      </w:r>
      <w:r>
        <w:rPr>
          <w:rFonts w:ascii="Arial" w:hAnsi="Arial" w:cs="Arial"/>
          <w:sz w:val="20"/>
          <w:szCs w:val="20"/>
        </w:rPr>
        <w:t>e</w:t>
      </w:r>
      <w:r w:rsidRPr="00A2595C">
        <w:rPr>
          <w:rFonts w:ascii="Arial" w:hAnsi="Arial" w:cs="Arial"/>
          <w:sz w:val="20"/>
          <w:szCs w:val="20"/>
        </w:rPr>
        <w:t xml:space="preserve"> </w:t>
      </w:r>
      <w:r>
        <w:rPr>
          <w:rFonts w:ascii="Arial" w:hAnsi="Arial" w:cs="Arial"/>
          <w:sz w:val="20"/>
          <w:szCs w:val="20"/>
        </w:rPr>
        <w:t xml:space="preserve">ako aj usmernenie zo strany </w:t>
      </w:r>
      <w:r w:rsidRPr="00A2595C">
        <w:rPr>
          <w:rFonts w:ascii="Arial" w:hAnsi="Arial" w:cs="Arial"/>
          <w:sz w:val="20"/>
          <w:szCs w:val="20"/>
        </w:rPr>
        <w:t xml:space="preserve"> RO ako orgánom vykonávajúcom kontrolu žiadostí o NFP a REPIS ako centrom prvého kontaktu so žiadateľmi</w:t>
      </w:r>
      <w:r w:rsidR="00A2595C" w:rsidRPr="00A2595C">
        <w:rPr>
          <w:rFonts w:ascii="Arial" w:hAnsi="Arial" w:cs="Arial"/>
          <w:sz w:val="20"/>
          <w:szCs w:val="20"/>
        </w:rPr>
        <w:t xml:space="preserve">, </w:t>
      </w:r>
    </w:p>
    <w:p w:rsidR="00727AC2" w:rsidRDefault="00A2595C" w:rsidP="001540E7">
      <w:pPr>
        <w:numPr>
          <w:ilvl w:val="0"/>
          <w:numId w:val="51"/>
        </w:numPr>
        <w:spacing w:before="120" w:after="120" w:line="360" w:lineRule="auto"/>
        <w:jc w:val="both"/>
        <w:rPr>
          <w:rFonts w:ascii="Arial" w:hAnsi="Arial" w:cs="Arial"/>
          <w:sz w:val="20"/>
          <w:szCs w:val="20"/>
        </w:rPr>
      </w:pPr>
      <w:r w:rsidRPr="00A2595C">
        <w:rPr>
          <w:rFonts w:ascii="Arial" w:hAnsi="Arial" w:cs="Arial"/>
          <w:sz w:val="20"/>
          <w:szCs w:val="20"/>
        </w:rPr>
        <w:t xml:space="preserve">dôsledná analýza dôvodov neschválenia uvádzaná v rozhodnutiach o neschválení jednotlivých žiadostí o NFP. </w:t>
      </w:r>
    </w:p>
    <w:p w:rsidR="00BA7B62" w:rsidRDefault="00BA7B62">
      <w:pPr>
        <w:rPr>
          <w:rFonts w:ascii="Arial" w:hAnsi="Arial" w:cs="Arial"/>
          <w:b/>
          <w:iCs/>
          <w:sz w:val="20"/>
          <w:szCs w:val="20"/>
        </w:rPr>
      </w:pPr>
    </w:p>
    <w:p w:rsidR="00727AC2" w:rsidRPr="00727AC2" w:rsidRDefault="00727AC2" w:rsidP="00727AC2">
      <w:pPr>
        <w:spacing w:before="120" w:after="120" w:line="360" w:lineRule="auto"/>
        <w:jc w:val="both"/>
        <w:rPr>
          <w:rFonts w:ascii="Arial" w:hAnsi="Arial" w:cs="Arial"/>
          <w:b/>
          <w:iCs/>
          <w:sz w:val="20"/>
          <w:szCs w:val="20"/>
        </w:rPr>
      </w:pPr>
      <w:r w:rsidRPr="00727AC2">
        <w:rPr>
          <w:rFonts w:ascii="Arial" w:hAnsi="Arial" w:cs="Arial"/>
          <w:b/>
          <w:iCs/>
          <w:sz w:val="20"/>
          <w:szCs w:val="20"/>
        </w:rPr>
        <w:t xml:space="preserve">Výzva na predkladanie žiadostí o NFP s kódom OPŽP-PO4-12-1 vyhlásená dňa 30.11.2012 </w:t>
      </w:r>
      <w:r w:rsidR="00DE26BA">
        <w:rPr>
          <w:rFonts w:ascii="Arial" w:hAnsi="Arial" w:cs="Arial"/>
          <w:b/>
          <w:iCs/>
          <w:sz w:val="20"/>
          <w:szCs w:val="20"/>
        </w:rPr>
        <w:t xml:space="preserve">nebola k 31.12.2012 </w:t>
      </w:r>
      <w:r w:rsidRPr="00727AC2">
        <w:rPr>
          <w:rFonts w:ascii="Arial" w:hAnsi="Arial" w:cs="Arial"/>
          <w:b/>
          <w:iCs/>
          <w:sz w:val="20"/>
          <w:szCs w:val="20"/>
        </w:rPr>
        <w:t>uzavretá.</w:t>
      </w:r>
    </w:p>
    <w:p w:rsidR="00A2595C" w:rsidRPr="00A2595C" w:rsidRDefault="00A2595C" w:rsidP="00507035">
      <w:pPr>
        <w:spacing w:before="120" w:after="120" w:line="360" w:lineRule="auto"/>
        <w:jc w:val="both"/>
        <w:rPr>
          <w:rFonts w:ascii="Arial" w:hAnsi="Arial" w:cs="Arial"/>
          <w:b/>
          <w:sz w:val="20"/>
          <w:szCs w:val="20"/>
          <w:u w:val="single"/>
        </w:rPr>
      </w:pPr>
      <w:r w:rsidRPr="00A2595C">
        <w:rPr>
          <w:rFonts w:ascii="Arial" w:hAnsi="Arial" w:cs="Arial"/>
          <w:b/>
          <w:sz w:val="20"/>
          <w:szCs w:val="20"/>
          <w:u w:val="single"/>
        </w:rPr>
        <w:t>Prioritná os 5</w:t>
      </w:r>
    </w:p>
    <w:p w:rsidR="00727AC2" w:rsidRPr="00727AC2" w:rsidRDefault="00727AC2" w:rsidP="00727AC2">
      <w:pPr>
        <w:spacing w:before="120" w:after="120" w:line="360" w:lineRule="auto"/>
        <w:jc w:val="both"/>
        <w:rPr>
          <w:rFonts w:ascii="Arial" w:hAnsi="Arial" w:cs="Arial"/>
          <w:b/>
          <w:iCs/>
          <w:sz w:val="20"/>
          <w:szCs w:val="20"/>
        </w:rPr>
      </w:pPr>
      <w:r w:rsidRPr="00727AC2">
        <w:rPr>
          <w:rFonts w:ascii="Arial" w:hAnsi="Arial" w:cs="Arial"/>
          <w:b/>
          <w:iCs/>
          <w:sz w:val="20"/>
          <w:szCs w:val="20"/>
        </w:rPr>
        <w:t>Výzva na predkladanie žiadostí o NFP s kódom OPŽP-PO</w:t>
      </w:r>
      <w:r>
        <w:rPr>
          <w:rFonts w:ascii="Arial" w:hAnsi="Arial" w:cs="Arial"/>
          <w:b/>
          <w:iCs/>
          <w:sz w:val="20"/>
          <w:szCs w:val="20"/>
        </w:rPr>
        <w:t>5</w:t>
      </w:r>
      <w:r w:rsidRPr="00727AC2">
        <w:rPr>
          <w:rFonts w:ascii="Arial" w:hAnsi="Arial" w:cs="Arial"/>
          <w:b/>
          <w:iCs/>
          <w:sz w:val="20"/>
          <w:szCs w:val="20"/>
        </w:rPr>
        <w:t>-12-1</w:t>
      </w:r>
      <w:r w:rsidR="00167286">
        <w:rPr>
          <w:rFonts w:ascii="Arial" w:hAnsi="Arial" w:cs="Arial"/>
          <w:b/>
          <w:iCs/>
          <w:sz w:val="20"/>
          <w:szCs w:val="20"/>
        </w:rPr>
        <w:t xml:space="preserve"> (operačný cieľ 5.1)</w:t>
      </w:r>
      <w:r w:rsidR="00167286" w:rsidRPr="00A2595C">
        <w:rPr>
          <w:rFonts w:ascii="Arial" w:hAnsi="Arial" w:cs="Arial"/>
          <w:b/>
          <w:iCs/>
          <w:sz w:val="20"/>
          <w:szCs w:val="20"/>
        </w:rPr>
        <w:t xml:space="preserve"> </w:t>
      </w:r>
      <w:r w:rsidRPr="00727AC2">
        <w:rPr>
          <w:rFonts w:ascii="Arial" w:hAnsi="Arial" w:cs="Arial"/>
          <w:b/>
          <w:iCs/>
          <w:sz w:val="20"/>
          <w:szCs w:val="20"/>
        </w:rPr>
        <w:t xml:space="preserve"> vyhlásená dňa 30.11.2012 nebola </w:t>
      </w:r>
      <w:r w:rsidR="00DE26BA">
        <w:rPr>
          <w:rFonts w:ascii="Arial" w:hAnsi="Arial" w:cs="Arial"/>
          <w:b/>
          <w:iCs/>
          <w:sz w:val="20"/>
          <w:szCs w:val="20"/>
        </w:rPr>
        <w:t>k 31.12.</w:t>
      </w:r>
      <w:r w:rsidRPr="00727AC2">
        <w:rPr>
          <w:rFonts w:ascii="Arial" w:hAnsi="Arial" w:cs="Arial"/>
          <w:b/>
          <w:iCs/>
          <w:sz w:val="20"/>
          <w:szCs w:val="20"/>
        </w:rPr>
        <w:t>2012 uzavretá.</w:t>
      </w:r>
    </w:p>
    <w:p w:rsidR="00A2595C" w:rsidRPr="00A2595C" w:rsidRDefault="00A2595C" w:rsidP="00507035">
      <w:pPr>
        <w:spacing w:before="120" w:after="120" w:line="360" w:lineRule="auto"/>
        <w:jc w:val="both"/>
        <w:rPr>
          <w:rFonts w:ascii="Arial" w:hAnsi="Arial" w:cs="Arial"/>
          <w:b/>
          <w:sz w:val="20"/>
          <w:szCs w:val="20"/>
          <w:u w:val="single"/>
        </w:rPr>
      </w:pPr>
      <w:r w:rsidRPr="00A2595C">
        <w:rPr>
          <w:rFonts w:ascii="Arial" w:hAnsi="Arial" w:cs="Arial"/>
          <w:b/>
          <w:sz w:val="20"/>
          <w:szCs w:val="20"/>
          <w:u w:val="single"/>
        </w:rPr>
        <w:t>Prioritná os 6</w:t>
      </w:r>
    </w:p>
    <w:p w:rsidR="00A2595C" w:rsidRPr="00A2595C" w:rsidRDefault="00A2595C" w:rsidP="00507035">
      <w:pPr>
        <w:spacing w:before="120" w:after="120" w:line="360" w:lineRule="auto"/>
        <w:jc w:val="both"/>
        <w:rPr>
          <w:rFonts w:ascii="Arial" w:hAnsi="Arial" w:cs="Arial"/>
          <w:b/>
          <w:iCs/>
          <w:sz w:val="20"/>
          <w:szCs w:val="20"/>
        </w:rPr>
      </w:pPr>
      <w:r w:rsidRPr="00A2595C">
        <w:rPr>
          <w:rFonts w:ascii="Arial" w:hAnsi="Arial" w:cs="Arial"/>
          <w:b/>
          <w:iCs/>
          <w:sz w:val="20"/>
          <w:szCs w:val="20"/>
        </w:rPr>
        <w:t>Písomné vyzvanie na predkladanie žiadostí o NFP s kódom OPŽP-PO6-12-1 vyhlásené dňa 10.</w:t>
      </w:r>
      <w:r w:rsidR="00C84163">
        <w:rPr>
          <w:rFonts w:ascii="Arial" w:hAnsi="Arial" w:cs="Arial"/>
          <w:b/>
          <w:iCs/>
          <w:sz w:val="20"/>
          <w:szCs w:val="20"/>
        </w:rPr>
        <w:t> </w:t>
      </w:r>
      <w:r w:rsidRPr="00A2595C">
        <w:rPr>
          <w:rFonts w:ascii="Arial" w:hAnsi="Arial" w:cs="Arial"/>
          <w:b/>
          <w:iCs/>
          <w:sz w:val="20"/>
          <w:szCs w:val="20"/>
        </w:rPr>
        <w:t>02. 2012 a uzavretá dňa 31.12.2012</w:t>
      </w:r>
    </w:p>
    <w:p w:rsidR="00A2595C" w:rsidRPr="00A2595C" w:rsidRDefault="00A2595C" w:rsidP="00507035">
      <w:pPr>
        <w:spacing w:before="120" w:after="120" w:line="360" w:lineRule="auto"/>
        <w:jc w:val="both"/>
        <w:rPr>
          <w:rFonts w:ascii="Arial" w:hAnsi="Arial" w:cs="Arial"/>
          <w:b/>
          <w:iCs/>
          <w:sz w:val="20"/>
          <w:szCs w:val="20"/>
        </w:rPr>
      </w:pPr>
      <w:r w:rsidRPr="00A2595C">
        <w:rPr>
          <w:rFonts w:ascii="Arial" w:hAnsi="Arial" w:cs="Arial"/>
          <w:i/>
          <w:iCs/>
          <w:sz w:val="20"/>
          <w:szCs w:val="20"/>
        </w:rPr>
        <w:t>Analýza</w:t>
      </w:r>
      <w:r w:rsidR="00C31E32">
        <w:rPr>
          <w:rFonts w:ascii="Arial" w:hAnsi="Arial" w:cs="Arial"/>
          <w:i/>
          <w:iCs/>
          <w:sz w:val="20"/>
          <w:szCs w:val="20"/>
        </w:rPr>
        <w:t xml:space="preserve"> dôvodov neschválenia žiadostí o NFP</w:t>
      </w:r>
      <w:r w:rsidRPr="00A2595C">
        <w:rPr>
          <w:rFonts w:ascii="Arial" w:hAnsi="Arial" w:cs="Arial"/>
          <w:i/>
          <w:iCs/>
          <w:sz w:val="20"/>
          <w:szCs w:val="20"/>
        </w:rPr>
        <w:t xml:space="preserve"> je </w:t>
      </w:r>
      <w:r w:rsidR="00C31E32">
        <w:rPr>
          <w:rFonts w:ascii="Arial" w:hAnsi="Arial" w:cs="Arial"/>
          <w:i/>
          <w:iCs/>
          <w:sz w:val="20"/>
          <w:szCs w:val="20"/>
        </w:rPr>
        <w:t xml:space="preserve">vo vzťahu k písomnému vyzvaniu </w:t>
      </w:r>
      <w:r w:rsidRPr="00A2595C">
        <w:rPr>
          <w:rFonts w:ascii="Arial" w:hAnsi="Arial" w:cs="Arial"/>
          <w:i/>
          <w:iCs/>
          <w:sz w:val="20"/>
          <w:szCs w:val="20"/>
        </w:rPr>
        <w:t xml:space="preserve"> nerelevantná, nakoľko v rámci tohto písomného vyzvania boli predložené 2 žiadosti o NFP, pričom schvaľovací proces prvej žiadosti o NFP, prijatej dňa 22.03.2012, bol ukončený vydaním Rozhodnutia o schválení žiadosti o NFP dňa 06.09.2012 a schvaľovací proces druhej žiadosti o NFP, prijatej</w:t>
      </w:r>
      <w:r>
        <w:rPr>
          <w:rFonts w:ascii="Arial" w:hAnsi="Arial" w:cs="Arial"/>
          <w:i/>
          <w:iCs/>
          <w:sz w:val="20"/>
          <w:szCs w:val="20"/>
        </w:rPr>
        <w:t xml:space="preserve"> dňa 20.12.</w:t>
      </w:r>
      <w:r w:rsidRPr="00A2595C">
        <w:rPr>
          <w:rFonts w:ascii="Arial" w:hAnsi="Arial" w:cs="Arial"/>
          <w:i/>
          <w:iCs/>
          <w:sz w:val="20"/>
          <w:szCs w:val="20"/>
        </w:rPr>
        <w:t>2012</w:t>
      </w:r>
      <w:r>
        <w:rPr>
          <w:rFonts w:ascii="Arial" w:hAnsi="Arial" w:cs="Arial"/>
          <w:i/>
          <w:iCs/>
          <w:sz w:val="20"/>
          <w:szCs w:val="20"/>
        </w:rPr>
        <w:t>, nebol ku dňu 31.12.</w:t>
      </w:r>
      <w:r w:rsidRPr="00A2595C">
        <w:rPr>
          <w:rFonts w:ascii="Arial" w:hAnsi="Arial" w:cs="Arial"/>
          <w:i/>
          <w:iCs/>
          <w:sz w:val="20"/>
          <w:szCs w:val="20"/>
        </w:rPr>
        <w:t>2012 ukončený.</w:t>
      </w:r>
    </w:p>
    <w:p w:rsidR="00A2595C" w:rsidRPr="00A2595C" w:rsidRDefault="00A2595C" w:rsidP="00507035">
      <w:pPr>
        <w:spacing w:before="120" w:after="120" w:line="360" w:lineRule="auto"/>
        <w:jc w:val="both"/>
        <w:rPr>
          <w:rFonts w:ascii="Arial" w:hAnsi="Arial" w:cs="Arial"/>
          <w:b/>
          <w:sz w:val="20"/>
          <w:szCs w:val="20"/>
          <w:u w:val="single"/>
        </w:rPr>
      </w:pPr>
      <w:r w:rsidRPr="00A2595C">
        <w:rPr>
          <w:rFonts w:ascii="Arial" w:hAnsi="Arial" w:cs="Arial"/>
          <w:b/>
          <w:sz w:val="20"/>
          <w:szCs w:val="20"/>
          <w:u w:val="single"/>
        </w:rPr>
        <w:t>Prioritná os 7</w:t>
      </w:r>
    </w:p>
    <w:p w:rsidR="00A2595C" w:rsidRPr="00A2595C" w:rsidRDefault="00A2595C" w:rsidP="00507035">
      <w:pPr>
        <w:spacing w:before="120" w:after="120" w:line="360" w:lineRule="auto"/>
        <w:jc w:val="both"/>
        <w:rPr>
          <w:rFonts w:ascii="Arial" w:hAnsi="Arial" w:cs="Arial"/>
          <w:sz w:val="20"/>
          <w:szCs w:val="20"/>
        </w:rPr>
      </w:pPr>
      <w:r w:rsidRPr="00A2595C">
        <w:rPr>
          <w:rFonts w:ascii="Arial" w:hAnsi="Arial" w:cs="Arial"/>
          <w:sz w:val="20"/>
          <w:szCs w:val="20"/>
        </w:rPr>
        <w:t xml:space="preserve">V rámci prioritnej osi 7 bola </w:t>
      </w:r>
      <w:r w:rsidR="003E3D98">
        <w:rPr>
          <w:rFonts w:ascii="Arial" w:hAnsi="Arial" w:cs="Arial"/>
          <w:sz w:val="20"/>
          <w:szCs w:val="20"/>
        </w:rPr>
        <w:t> dňa 31.10.</w:t>
      </w:r>
      <w:r w:rsidRPr="00A2595C">
        <w:rPr>
          <w:rFonts w:ascii="Arial" w:hAnsi="Arial" w:cs="Arial"/>
          <w:sz w:val="20"/>
          <w:szCs w:val="20"/>
        </w:rPr>
        <w:t>2012 vyhlásená výzva</w:t>
      </w:r>
      <w:r w:rsidR="003E3D98">
        <w:rPr>
          <w:rFonts w:ascii="Arial" w:hAnsi="Arial" w:cs="Arial"/>
          <w:sz w:val="20"/>
          <w:szCs w:val="20"/>
        </w:rPr>
        <w:t xml:space="preserve"> </w:t>
      </w:r>
      <w:r w:rsidR="003E3D98" w:rsidRPr="00A2595C">
        <w:rPr>
          <w:rFonts w:ascii="Arial" w:hAnsi="Arial" w:cs="Arial"/>
          <w:b/>
          <w:iCs/>
          <w:sz w:val="20"/>
          <w:szCs w:val="20"/>
        </w:rPr>
        <w:t>s kódom OPŽP-PO</w:t>
      </w:r>
      <w:r w:rsidR="003E3D98">
        <w:rPr>
          <w:rFonts w:ascii="Arial" w:hAnsi="Arial" w:cs="Arial"/>
          <w:b/>
          <w:iCs/>
          <w:sz w:val="20"/>
          <w:szCs w:val="20"/>
        </w:rPr>
        <w:t>7-12-1</w:t>
      </w:r>
      <w:r w:rsidR="003E3D98">
        <w:rPr>
          <w:rFonts w:ascii="Arial" w:hAnsi="Arial" w:cs="Arial"/>
          <w:sz w:val="20"/>
          <w:szCs w:val="20"/>
        </w:rPr>
        <w:t xml:space="preserve"> </w:t>
      </w:r>
      <w:r w:rsidRPr="00A2595C">
        <w:rPr>
          <w:rFonts w:ascii="Arial" w:hAnsi="Arial" w:cs="Arial"/>
          <w:sz w:val="20"/>
          <w:szCs w:val="20"/>
        </w:rPr>
        <w:t xml:space="preserve"> na predkladanie žiadostí o</w:t>
      </w:r>
      <w:r w:rsidR="003E3D98">
        <w:rPr>
          <w:rFonts w:ascii="Arial" w:hAnsi="Arial" w:cs="Arial"/>
          <w:sz w:val="20"/>
          <w:szCs w:val="20"/>
        </w:rPr>
        <w:t> </w:t>
      </w:r>
      <w:r w:rsidRPr="00A2595C">
        <w:rPr>
          <w:rFonts w:ascii="Arial" w:hAnsi="Arial" w:cs="Arial"/>
          <w:sz w:val="20"/>
          <w:szCs w:val="20"/>
        </w:rPr>
        <w:t>NFP</w:t>
      </w:r>
      <w:r w:rsidR="003E3D98">
        <w:rPr>
          <w:rFonts w:ascii="Arial" w:hAnsi="Arial" w:cs="Arial"/>
          <w:sz w:val="20"/>
          <w:szCs w:val="20"/>
        </w:rPr>
        <w:t>, ktorá do konca roka 2012 nebola uzavretá</w:t>
      </w:r>
      <w:r w:rsidRPr="00A2595C">
        <w:rPr>
          <w:rFonts w:ascii="Arial" w:hAnsi="Arial" w:cs="Arial"/>
          <w:sz w:val="20"/>
          <w:szCs w:val="20"/>
        </w:rPr>
        <w:t>.</w:t>
      </w:r>
    </w:p>
    <w:p w:rsidR="002416B1" w:rsidRPr="00A9375C" w:rsidRDefault="002416B1" w:rsidP="00507035">
      <w:pPr>
        <w:spacing w:before="120" w:after="120" w:line="360" w:lineRule="auto"/>
        <w:jc w:val="both"/>
        <w:rPr>
          <w:rFonts w:ascii="Arial" w:hAnsi="Arial" w:cs="Arial"/>
          <w:b/>
          <w:i/>
          <w:sz w:val="20"/>
          <w:szCs w:val="20"/>
        </w:rPr>
      </w:pPr>
      <w:r w:rsidRPr="00493171">
        <w:rPr>
          <w:rFonts w:ascii="Arial" w:hAnsi="Arial" w:cs="Arial"/>
          <w:b/>
          <w:i/>
          <w:sz w:val="20"/>
          <w:szCs w:val="20"/>
        </w:rPr>
        <w:t>Mimoriadne ukončené projekty</w:t>
      </w:r>
    </w:p>
    <w:p w:rsidR="002416B1" w:rsidRPr="00BD0D65" w:rsidRDefault="002416B1" w:rsidP="00507035">
      <w:pPr>
        <w:spacing w:before="120" w:after="120" w:line="360" w:lineRule="auto"/>
        <w:jc w:val="both"/>
        <w:rPr>
          <w:rFonts w:ascii="Arial" w:hAnsi="Arial" w:cs="Arial"/>
          <w:sz w:val="20"/>
          <w:szCs w:val="20"/>
        </w:rPr>
      </w:pPr>
      <w:r w:rsidRPr="00A9375C">
        <w:rPr>
          <w:rFonts w:ascii="Arial" w:hAnsi="Arial" w:cs="Arial"/>
          <w:sz w:val="20"/>
          <w:szCs w:val="20"/>
        </w:rPr>
        <w:t>K mimoriadnemu ukončeniu projektov</w:t>
      </w:r>
      <w:r w:rsidRPr="00BD0D65">
        <w:rPr>
          <w:rFonts w:ascii="Arial" w:hAnsi="Arial" w:cs="Arial"/>
          <w:sz w:val="20"/>
          <w:szCs w:val="20"/>
        </w:rPr>
        <w:t xml:space="preserve"> k 31.12.201</w:t>
      </w:r>
      <w:r w:rsidR="00913072">
        <w:rPr>
          <w:rFonts w:ascii="Arial" w:hAnsi="Arial" w:cs="Arial"/>
          <w:sz w:val="20"/>
          <w:szCs w:val="20"/>
        </w:rPr>
        <w:t>2</w:t>
      </w:r>
      <w:r w:rsidRPr="00BD0D65">
        <w:rPr>
          <w:rFonts w:ascii="Arial" w:hAnsi="Arial" w:cs="Arial"/>
          <w:sz w:val="20"/>
          <w:szCs w:val="20"/>
        </w:rPr>
        <w:t xml:space="preserve"> došlo v rámci </w:t>
      </w:r>
      <w:r w:rsidRPr="006A2BF3">
        <w:rPr>
          <w:rFonts w:ascii="Arial" w:hAnsi="Arial" w:cs="Arial"/>
          <w:sz w:val="20"/>
          <w:szCs w:val="20"/>
        </w:rPr>
        <w:t xml:space="preserve">všetkých </w:t>
      </w:r>
      <w:r w:rsidRPr="00BD0D65">
        <w:rPr>
          <w:rFonts w:ascii="Arial" w:hAnsi="Arial" w:cs="Arial"/>
          <w:sz w:val="20"/>
          <w:szCs w:val="20"/>
        </w:rPr>
        <w:t>prioritných osí</w:t>
      </w:r>
      <w:r>
        <w:rPr>
          <w:rFonts w:ascii="Arial" w:hAnsi="Arial" w:cs="Arial"/>
          <w:sz w:val="20"/>
          <w:szCs w:val="20"/>
        </w:rPr>
        <w:t>, ich podrobnejší opis je v kapitole 3. Realizácia podľa prioritných osí.</w:t>
      </w:r>
      <w:r w:rsidRPr="00BD0D65">
        <w:rPr>
          <w:rFonts w:ascii="Arial" w:hAnsi="Arial" w:cs="Arial"/>
          <w:sz w:val="20"/>
          <w:szCs w:val="20"/>
        </w:rPr>
        <w:t xml:space="preserve"> </w:t>
      </w:r>
    </w:p>
    <w:p w:rsidR="002416B1" w:rsidRPr="006A2BF3" w:rsidRDefault="00C31E32" w:rsidP="00507035">
      <w:pPr>
        <w:spacing w:before="120" w:after="120" w:line="360" w:lineRule="auto"/>
        <w:jc w:val="both"/>
        <w:rPr>
          <w:rFonts w:ascii="Arial" w:hAnsi="Arial" w:cs="Arial"/>
          <w:sz w:val="20"/>
          <w:szCs w:val="20"/>
          <w:highlight w:val="yellow"/>
        </w:rPr>
      </w:pPr>
      <w:r>
        <w:rPr>
          <w:rFonts w:ascii="Arial" w:hAnsi="Arial" w:cs="Arial"/>
          <w:sz w:val="20"/>
          <w:szCs w:val="20"/>
        </w:rPr>
        <w:t>Dôvodmi mimoriadneho ukončenia projektov boli predovšetkým odstúpenia od zmlúv. Išlo hlavne o</w:t>
      </w:r>
      <w:r w:rsidR="002416B1" w:rsidRPr="00BD0D65">
        <w:rPr>
          <w:rFonts w:ascii="Arial" w:hAnsi="Arial" w:cs="Arial"/>
          <w:sz w:val="20"/>
          <w:szCs w:val="20"/>
        </w:rPr>
        <w:t xml:space="preserve"> nepredvídateľné okolnosti na strane </w:t>
      </w:r>
      <w:r w:rsidR="00A407C3">
        <w:rPr>
          <w:rFonts w:ascii="Arial" w:hAnsi="Arial" w:cs="Arial"/>
          <w:sz w:val="20"/>
          <w:szCs w:val="20"/>
        </w:rPr>
        <w:t>žiadateľa</w:t>
      </w:r>
      <w:r w:rsidR="002416B1" w:rsidRPr="00BD0D65">
        <w:rPr>
          <w:rFonts w:ascii="Arial" w:hAnsi="Arial" w:cs="Arial"/>
          <w:sz w:val="20"/>
          <w:szCs w:val="20"/>
        </w:rPr>
        <w:t>, taktiež žiadateľ nepreukázal schopnosť spolufinancovania projektu</w:t>
      </w:r>
      <w:r w:rsidR="002416B1">
        <w:rPr>
          <w:rFonts w:ascii="Arial" w:hAnsi="Arial" w:cs="Arial"/>
          <w:sz w:val="20"/>
          <w:szCs w:val="20"/>
        </w:rPr>
        <w:t xml:space="preserve">, </w:t>
      </w:r>
      <w:r w:rsidR="002416B1" w:rsidRPr="00BD0D65">
        <w:rPr>
          <w:rFonts w:ascii="Arial" w:hAnsi="Arial" w:cs="Arial"/>
          <w:sz w:val="20"/>
          <w:szCs w:val="20"/>
        </w:rPr>
        <w:t>odstúpenie od zmluvy o</w:t>
      </w:r>
      <w:r w:rsidR="003E3D98">
        <w:rPr>
          <w:rFonts w:ascii="Arial" w:hAnsi="Arial" w:cs="Arial"/>
          <w:sz w:val="20"/>
          <w:szCs w:val="20"/>
        </w:rPr>
        <w:t xml:space="preserve"> poskytnutí </w:t>
      </w:r>
      <w:r w:rsidR="002416B1" w:rsidRPr="00BD0D65">
        <w:rPr>
          <w:rFonts w:ascii="Arial" w:hAnsi="Arial" w:cs="Arial"/>
          <w:sz w:val="20"/>
          <w:szCs w:val="20"/>
        </w:rPr>
        <w:t>NFP z dôvodu podstatného porušenia zmluvy</w:t>
      </w:r>
      <w:r w:rsidR="002416B1">
        <w:rPr>
          <w:rFonts w:ascii="Arial" w:hAnsi="Arial" w:cs="Arial"/>
          <w:sz w:val="20"/>
          <w:szCs w:val="20"/>
        </w:rPr>
        <w:t xml:space="preserve"> v časti verejné obstarávanie</w:t>
      </w:r>
      <w:r w:rsidR="002416B1" w:rsidRPr="00BD0D65">
        <w:rPr>
          <w:rFonts w:ascii="Arial" w:hAnsi="Arial" w:cs="Arial"/>
          <w:sz w:val="20"/>
          <w:szCs w:val="20"/>
        </w:rPr>
        <w:t xml:space="preserve"> a ukončenie dohodou o ukončení zmluvného vzťahu z dôvodu problematického zabezpečenia odborných podkladov od externých inštitúcií potrebných pre úspešnú realizáciu projektu.</w:t>
      </w:r>
    </w:p>
    <w:p w:rsidR="002416B1" w:rsidRPr="00493171" w:rsidRDefault="002416B1" w:rsidP="00507035">
      <w:pPr>
        <w:spacing w:before="120" w:after="120" w:line="360" w:lineRule="auto"/>
        <w:jc w:val="both"/>
        <w:rPr>
          <w:rFonts w:ascii="Arial" w:hAnsi="Arial" w:cs="Arial"/>
          <w:b/>
          <w:i/>
          <w:sz w:val="20"/>
          <w:szCs w:val="20"/>
        </w:rPr>
      </w:pPr>
      <w:r w:rsidRPr="00A9375C">
        <w:rPr>
          <w:rFonts w:ascii="Arial" w:hAnsi="Arial" w:cs="Arial"/>
          <w:b/>
          <w:i/>
          <w:sz w:val="20"/>
          <w:szCs w:val="20"/>
        </w:rPr>
        <w:t>Dôvody vrátenia finančných prostriedkov</w:t>
      </w:r>
      <w:r w:rsidR="001138CB" w:rsidRPr="007818E6">
        <w:rPr>
          <w:rFonts w:ascii="Arial" w:hAnsi="Arial" w:cs="Arial"/>
          <w:b/>
          <w:i/>
          <w:sz w:val="20"/>
          <w:szCs w:val="20"/>
        </w:rPr>
        <w:t xml:space="preserve"> </w:t>
      </w:r>
    </w:p>
    <w:p w:rsidR="00CC3C51" w:rsidRDefault="002416B1" w:rsidP="00507035">
      <w:pPr>
        <w:spacing w:before="120" w:after="120" w:line="360" w:lineRule="auto"/>
        <w:jc w:val="both"/>
        <w:rPr>
          <w:rFonts w:ascii="Arial" w:hAnsi="Arial" w:cs="Arial"/>
          <w:sz w:val="20"/>
          <w:szCs w:val="20"/>
        </w:rPr>
      </w:pPr>
      <w:r w:rsidRPr="00493171">
        <w:rPr>
          <w:rFonts w:ascii="Arial" w:hAnsi="Arial" w:cs="Arial"/>
          <w:sz w:val="20"/>
          <w:szCs w:val="20"/>
        </w:rPr>
        <w:t>Počas implementácie OP ŽP došlo k vráteniu finančných</w:t>
      </w:r>
      <w:r>
        <w:rPr>
          <w:rFonts w:ascii="Arial" w:hAnsi="Arial" w:cs="Arial"/>
          <w:sz w:val="20"/>
          <w:szCs w:val="20"/>
        </w:rPr>
        <w:t xml:space="preserve"> prostriedkov v</w:t>
      </w:r>
      <w:r w:rsidR="00E4005C">
        <w:rPr>
          <w:rFonts w:ascii="Arial" w:hAnsi="Arial" w:cs="Arial"/>
          <w:sz w:val="20"/>
          <w:szCs w:val="20"/>
        </w:rPr>
        <w:t> 53</w:t>
      </w:r>
      <w:r>
        <w:rPr>
          <w:rFonts w:ascii="Arial" w:hAnsi="Arial" w:cs="Arial"/>
          <w:sz w:val="20"/>
          <w:szCs w:val="20"/>
        </w:rPr>
        <w:t xml:space="preserve"> prípadoch, pričom vrátená suma predstavuje celkovo </w:t>
      </w:r>
      <w:r w:rsidR="00E4005C">
        <w:rPr>
          <w:rFonts w:ascii="Arial" w:hAnsi="Arial" w:cs="Arial"/>
          <w:sz w:val="20"/>
          <w:szCs w:val="20"/>
        </w:rPr>
        <w:t>7</w:t>
      </w:r>
      <w:r>
        <w:rPr>
          <w:rFonts w:ascii="Arial" w:hAnsi="Arial" w:cs="Arial"/>
          <w:sz w:val="20"/>
          <w:szCs w:val="20"/>
        </w:rPr>
        <w:t> </w:t>
      </w:r>
      <w:r w:rsidR="00E4005C">
        <w:rPr>
          <w:rFonts w:ascii="Arial" w:hAnsi="Arial" w:cs="Arial"/>
          <w:sz w:val="20"/>
          <w:szCs w:val="20"/>
        </w:rPr>
        <w:t xml:space="preserve">640 881,73 </w:t>
      </w:r>
      <w:r>
        <w:rPr>
          <w:rFonts w:ascii="Arial" w:hAnsi="Arial" w:cs="Arial"/>
          <w:sz w:val="20"/>
          <w:szCs w:val="20"/>
        </w:rPr>
        <w:t>EUR. Dôvody vrátenia finančných prostriedkov sú uvedené v rámci jednotlivých prioritných osí  v </w:t>
      </w:r>
      <w:r w:rsidR="00CC3C51">
        <w:rPr>
          <w:rFonts w:ascii="Arial" w:hAnsi="Arial" w:cs="Arial"/>
          <w:sz w:val="20"/>
          <w:szCs w:val="20"/>
        </w:rPr>
        <w:t xml:space="preserve">kapitole </w:t>
      </w:r>
      <w:r>
        <w:rPr>
          <w:rFonts w:ascii="Arial" w:hAnsi="Arial" w:cs="Arial"/>
          <w:sz w:val="20"/>
          <w:szCs w:val="20"/>
        </w:rPr>
        <w:t>3</w:t>
      </w:r>
      <w:r w:rsidR="00CC3C51">
        <w:rPr>
          <w:rFonts w:ascii="Arial" w:hAnsi="Arial" w:cs="Arial"/>
          <w:sz w:val="20"/>
          <w:szCs w:val="20"/>
        </w:rPr>
        <w:t xml:space="preserve"> tejto</w:t>
      </w:r>
      <w:r>
        <w:rPr>
          <w:rFonts w:ascii="Arial" w:hAnsi="Arial" w:cs="Arial"/>
          <w:sz w:val="20"/>
          <w:szCs w:val="20"/>
        </w:rPr>
        <w:t xml:space="preserve"> správy.</w:t>
      </w:r>
    </w:p>
    <w:p w:rsidR="00CC3C51" w:rsidRDefault="00CC3C51">
      <w:pPr>
        <w:rPr>
          <w:rFonts w:ascii="Arial" w:hAnsi="Arial" w:cs="Arial"/>
          <w:sz w:val="20"/>
          <w:szCs w:val="20"/>
        </w:rPr>
      </w:pPr>
    </w:p>
    <w:p w:rsidR="002416B1" w:rsidRPr="00A322EA" w:rsidRDefault="002416B1" w:rsidP="00E57A5C">
      <w:pPr>
        <w:rPr>
          <w:rFonts w:ascii="Arial" w:hAnsi="Arial" w:cs="Arial"/>
          <w:b/>
          <w:i/>
          <w:sz w:val="20"/>
          <w:szCs w:val="20"/>
        </w:rPr>
      </w:pPr>
      <w:r w:rsidRPr="00C116EB">
        <w:rPr>
          <w:rFonts w:ascii="Arial" w:hAnsi="Arial" w:cs="Arial"/>
          <w:b/>
          <w:i/>
          <w:sz w:val="20"/>
          <w:szCs w:val="20"/>
        </w:rPr>
        <w:t>Žiadosti prijímateľa o zmenu projektu</w:t>
      </w:r>
    </w:p>
    <w:p w:rsidR="002416B1" w:rsidRDefault="00CC3C51" w:rsidP="00507035">
      <w:pPr>
        <w:spacing w:before="120" w:after="120" w:line="360" w:lineRule="auto"/>
        <w:jc w:val="both"/>
        <w:rPr>
          <w:rFonts w:ascii="Arial" w:hAnsi="Arial" w:cs="Arial"/>
          <w:sz w:val="20"/>
          <w:szCs w:val="20"/>
        </w:rPr>
      </w:pPr>
      <w:r>
        <w:rPr>
          <w:rFonts w:ascii="Arial" w:hAnsi="Arial" w:cs="Arial"/>
          <w:sz w:val="20"/>
          <w:szCs w:val="20"/>
        </w:rPr>
        <w:t xml:space="preserve">Počet </w:t>
      </w:r>
      <w:r w:rsidR="002416B1" w:rsidRPr="006A2BF3">
        <w:rPr>
          <w:rFonts w:ascii="Arial" w:hAnsi="Arial" w:cs="Arial"/>
          <w:sz w:val="20"/>
          <w:szCs w:val="20"/>
        </w:rPr>
        <w:t xml:space="preserve"> projektov v rozdelení podľa prioritných osí, v rámci ktorých boli evidované žiadosti o</w:t>
      </w:r>
      <w:r w:rsidR="00C116EB">
        <w:rPr>
          <w:rFonts w:ascii="Arial" w:hAnsi="Arial" w:cs="Arial"/>
          <w:sz w:val="20"/>
          <w:szCs w:val="20"/>
        </w:rPr>
        <w:t> </w:t>
      </w:r>
      <w:r w:rsidR="002416B1" w:rsidRPr="006A2BF3">
        <w:rPr>
          <w:rFonts w:ascii="Arial" w:hAnsi="Arial" w:cs="Arial"/>
          <w:sz w:val="20"/>
          <w:szCs w:val="20"/>
        </w:rPr>
        <w:t>zmenu</w:t>
      </w:r>
      <w:r w:rsidR="00C116EB">
        <w:rPr>
          <w:rFonts w:ascii="Arial" w:hAnsi="Arial" w:cs="Arial"/>
          <w:sz w:val="20"/>
          <w:szCs w:val="20"/>
        </w:rPr>
        <w:t xml:space="preserve"> k 31.12.2012</w:t>
      </w:r>
      <w:r w:rsidR="002416B1" w:rsidRPr="006A2BF3">
        <w:rPr>
          <w:rFonts w:ascii="Arial" w:hAnsi="Arial" w:cs="Arial"/>
          <w:sz w:val="20"/>
          <w:szCs w:val="20"/>
        </w:rPr>
        <w:t xml:space="preserve">, ako aj </w:t>
      </w:r>
      <w:r>
        <w:rPr>
          <w:rFonts w:ascii="Arial" w:hAnsi="Arial" w:cs="Arial"/>
          <w:sz w:val="20"/>
          <w:szCs w:val="20"/>
        </w:rPr>
        <w:t>typ zmeny je uvedený v nasledovnej tabuľke:</w:t>
      </w:r>
    </w:p>
    <w:p w:rsidR="002416B1" w:rsidRDefault="002416B1" w:rsidP="00930222">
      <w:pPr>
        <w:spacing w:line="360" w:lineRule="auto"/>
        <w:jc w:val="both"/>
        <w:rPr>
          <w:rFonts w:ascii="Arial" w:hAnsi="Arial" w:cs="Arial"/>
          <w:sz w:val="20"/>
          <w:szCs w:val="20"/>
        </w:rPr>
      </w:pPr>
      <w:r>
        <w:rPr>
          <w:rFonts w:ascii="Arial" w:hAnsi="Arial" w:cs="Arial"/>
          <w:sz w:val="20"/>
          <w:szCs w:val="20"/>
        </w:rPr>
        <w:t xml:space="preserve">Tab. č. </w:t>
      </w:r>
      <w:r w:rsidR="00165CA5">
        <w:rPr>
          <w:rFonts w:ascii="Arial" w:hAnsi="Arial" w:cs="Arial"/>
          <w:sz w:val="20"/>
          <w:szCs w:val="20"/>
        </w:rPr>
        <w:t>7</w:t>
      </w:r>
      <w:r w:rsidR="00DF7365">
        <w:rPr>
          <w:rFonts w:ascii="Arial" w:hAnsi="Arial" w:cs="Arial"/>
          <w:sz w:val="20"/>
          <w:szCs w:val="20"/>
        </w:rPr>
        <w:t>:</w:t>
      </w:r>
      <w:r w:rsidR="00930222">
        <w:rPr>
          <w:rFonts w:ascii="Arial" w:hAnsi="Arial" w:cs="Arial"/>
          <w:sz w:val="20"/>
          <w:szCs w:val="20"/>
        </w:rPr>
        <w:t xml:space="preserve"> Prehľad o projektoch, v rámci ktorých boli evidované žiadosti o zmenu projektu</w:t>
      </w:r>
    </w:p>
    <w:tbl>
      <w:tblPr>
        <w:tblW w:w="6819" w:type="dxa"/>
        <w:tblInd w:w="55" w:type="dxa"/>
        <w:tblLayout w:type="fixed"/>
        <w:tblCellMar>
          <w:left w:w="70" w:type="dxa"/>
          <w:right w:w="70" w:type="dxa"/>
        </w:tblCellMar>
        <w:tblLook w:val="04A0" w:firstRow="1" w:lastRow="0" w:firstColumn="1" w:lastColumn="0" w:noHBand="0" w:noVBand="1"/>
      </w:tblPr>
      <w:tblGrid>
        <w:gridCol w:w="1433"/>
        <w:gridCol w:w="1276"/>
        <w:gridCol w:w="1559"/>
        <w:gridCol w:w="1134"/>
        <w:gridCol w:w="1417"/>
      </w:tblGrid>
      <w:tr w:rsidR="002416B1" w:rsidTr="00A322EA">
        <w:trPr>
          <w:trHeight w:val="1020"/>
        </w:trPr>
        <w:tc>
          <w:tcPr>
            <w:tcW w:w="1433" w:type="dxa"/>
            <w:tcBorders>
              <w:top w:val="single" w:sz="4" w:space="0" w:color="auto"/>
              <w:left w:val="single" w:sz="4" w:space="0" w:color="auto"/>
              <w:bottom w:val="single" w:sz="4" w:space="0" w:color="auto"/>
              <w:right w:val="single" w:sz="4" w:space="0" w:color="auto"/>
            </w:tcBorders>
            <w:shd w:val="clear" w:color="000000" w:fill="D6E3BC"/>
            <w:vAlign w:val="center"/>
          </w:tcPr>
          <w:p w:rsidR="002416B1" w:rsidRDefault="002416B1" w:rsidP="00507035">
            <w:pPr>
              <w:rPr>
                <w:rFonts w:ascii="Arial" w:hAnsi="Arial" w:cs="Arial"/>
                <w:b/>
                <w:bCs/>
                <w:sz w:val="20"/>
                <w:szCs w:val="20"/>
              </w:rPr>
            </w:pPr>
            <w:r>
              <w:rPr>
                <w:rFonts w:ascii="Arial" w:hAnsi="Arial" w:cs="Arial"/>
                <w:b/>
                <w:bCs/>
                <w:sz w:val="20"/>
                <w:szCs w:val="20"/>
              </w:rPr>
              <w:t>Prioritná os</w:t>
            </w:r>
          </w:p>
        </w:tc>
        <w:tc>
          <w:tcPr>
            <w:tcW w:w="1276" w:type="dxa"/>
            <w:tcBorders>
              <w:top w:val="single" w:sz="4" w:space="0" w:color="auto"/>
              <w:left w:val="nil"/>
              <w:bottom w:val="single" w:sz="4" w:space="0" w:color="auto"/>
              <w:right w:val="single" w:sz="4" w:space="0" w:color="auto"/>
            </w:tcBorders>
            <w:shd w:val="clear" w:color="000000" w:fill="D6E3BC"/>
            <w:vAlign w:val="center"/>
          </w:tcPr>
          <w:p w:rsidR="002416B1" w:rsidRDefault="002416B1" w:rsidP="00507035">
            <w:pPr>
              <w:jc w:val="center"/>
              <w:rPr>
                <w:rFonts w:ascii="Arial" w:hAnsi="Arial" w:cs="Arial"/>
                <w:b/>
                <w:bCs/>
                <w:sz w:val="20"/>
                <w:szCs w:val="20"/>
              </w:rPr>
            </w:pPr>
            <w:r>
              <w:rPr>
                <w:rFonts w:ascii="Arial" w:hAnsi="Arial" w:cs="Arial"/>
                <w:b/>
                <w:bCs/>
                <w:sz w:val="20"/>
                <w:szCs w:val="20"/>
              </w:rPr>
              <w:t>počet projektov</w:t>
            </w:r>
          </w:p>
        </w:tc>
        <w:tc>
          <w:tcPr>
            <w:tcW w:w="1559" w:type="dxa"/>
            <w:tcBorders>
              <w:top w:val="single" w:sz="4" w:space="0" w:color="auto"/>
              <w:left w:val="nil"/>
              <w:bottom w:val="single" w:sz="4" w:space="0" w:color="auto"/>
              <w:right w:val="single" w:sz="4" w:space="0" w:color="auto"/>
            </w:tcBorders>
            <w:shd w:val="clear" w:color="000000" w:fill="D6E3BC"/>
            <w:vAlign w:val="center"/>
          </w:tcPr>
          <w:p w:rsidR="002416B1" w:rsidRDefault="002416B1" w:rsidP="00507035">
            <w:pPr>
              <w:jc w:val="center"/>
              <w:rPr>
                <w:rFonts w:ascii="Arial" w:hAnsi="Arial" w:cs="Arial"/>
                <w:b/>
                <w:bCs/>
                <w:sz w:val="20"/>
                <w:szCs w:val="20"/>
              </w:rPr>
            </w:pPr>
            <w:r>
              <w:rPr>
                <w:rFonts w:ascii="Arial" w:hAnsi="Arial" w:cs="Arial"/>
                <w:b/>
                <w:bCs/>
                <w:sz w:val="20"/>
                <w:szCs w:val="20"/>
              </w:rPr>
              <w:t>počet prijatých Žiadostí o zmenu</w:t>
            </w:r>
          </w:p>
        </w:tc>
        <w:tc>
          <w:tcPr>
            <w:tcW w:w="1134" w:type="dxa"/>
            <w:tcBorders>
              <w:top w:val="single" w:sz="4" w:space="0" w:color="auto"/>
              <w:left w:val="nil"/>
              <w:bottom w:val="single" w:sz="4" w:space="0" w:color="auto"/>
              <w:right w:val="single" w:sz="4" w:space="0" w:color="auto"/>
            </w:tcBorders>
            <w:shd w:val="clear" w:color="000000" w:fill="D6E3BC"/>
            <w:vAlign w:val="center"/>
          </w:tcPr>
          <w:p w:rsidR="002416B1" w:rsidRDefault="002416B1" w:rsidP="00507035">
            <w:pPr>
              <w:jc w:val="center"/>
              <w:rPr>
                <w:rFonts w:ascii="Arial" w:hAnsi="Arial" w:cs="Arial"/>
                <w:b/>
                <w:bCs/>
                <w:sz w:val="20"/>
                <w:szCs w:val="20"/>
              </w:rPr>
            </w:pPr>
            <w:r>
              <w:rPr>
                <w:rFonts w:ascii="Arial" w:hAnsi="Arial" w:cs="Arial"/>
                <w:b/>
                <w:bCs/>
                <w:sz w:val="20"/>
                <w:szCs w:val="20"/>
              </w:rPr>
              <w:t>počet časových zmien</w:t>
            </w:r>
          </w:p>
        </w:tc>
        <w:tc>
          <w:tcPr>
            <w:tcW w:w="1417" w:type="dxa"/>
            <w:tcBorders>
              <w:top w:val="single" w:sz="4" w:space="0" w:color="auto"/>
              <w:left w:val="nil"/>
              <w:bottom w:val="single" w:sz="4" w:space="0" w:color="auto"/>
              <w:right w:val="single" w:sz="4" w:space="0" w:color="auto"/>
            </w:tcBorders>
            <w:shd w:val="clear" w:color="000000" w:fill="D6E3BC"/>
            <w:vAlign w:val="center"/>
          </w:tcPr>
          <w:p w:rsidR="002416B1" w:rsidRDefault="002416B1" w:rsidP="00507035">
            <w:pPr>
              <w:jc w:val="center"/>
              <w:rPr>
                <w:rFonts w:ascii="Arial" w:hAnsi="Arial" w:cs="Arial"/>
                <w:b/>
                <w:bCs/>
                <w:sz w:val="20"/>
                <w:szCs w:val="20"/>
              </w:rPr>
            </w:pPr>
            <w:r>
              <w:rPr>
                <w:rFonts w:ascii="Arial" w:hAnsi="Arial" w:cs="Arial"/>
                <w:b/>
                <w:bCs/>
                <w:sz w:val="20"/>
                <w:szCs w:val="20"/>
              </w:rPr>
              <w:t>počet technických zmien</w:t>
            </w:r>
          </w:p>
        </w:tc>
      </w:tr>
      <w:tr w:rsidR="00C116EB" w:rsidTr="003E3D98">
        <w:trPr>
          <w:trHeight w:val="255"/>
        </w:trPr>
        <w:tc>
          <w:tcPr>
            <w:tcW w:w="1433" w:type="dxa"/>
            <w:tcBorders>
              <w:top w:val="single" w:sz="4" w:space="0" w:color="auto"/>
              <w:left w:val="single" w:sz="4" w:space="0" w:color="auto"/>
              <w:bottom w:val="single" w:sz="4" w:space="0" w:color="auto"/>
              <w:right w:val="single" w:sz="4" w:space="0" w:color="auto"/>
            </w:tcBorders>
            <w:shd w:val="clear" w:color="auto" w:fill="EAF1DD"/>
            <w:vAlign w:val="center"/>
          </w:tcPr>
          <w:p w:rsidR="00C116EB" w:rsidRDefault="00C116EB" w:rsidP="00507035">
            <w:pPr>
              <w:jc w:val="center"/>
              <w:rPr>
                <w:rFonts w:ascii="Arial" w:hAnsi="Arial" w:cs="Arial"/>
                <w:b/>
                <w:bCs/>
                <w:sz w:val="20"/>
                <w:szCs w:val="20"/>
              </w:rPr>
            </w:pPr>
            <w:r>
              <w:rPr>
                <w:rFonts w:ascii="Arial" w:hAnsi="Arial" w:cs="Arial"/>
                <w:b/>
                <w:bCs/>
                <w:sz w:val="20"/>
                <w:szCs w:val="20"/>
              </w:rPr>
              <w:t>PO 1</w:t>
            </w:r>
          </w:p>
        </w:tc>
        <w:tc>
          <w:tcPr>
            <w:tcW w:w="1276" w:type="dxa"/>
            <w:tcBorders>
              <w:top w:val="nil"/>
              <w:left w:val="nil"/>
              <w:bottom w:val="single" w:sz="4" w:space="0" w:color="auto"/>
              <w:right w:val="single" w:sz="4" w:space="0" w:color="auto"/>
            </w:tcBorders>
          </w:tcPr>
          <w:p w:rsidR="00C116EB" w:rsidRPr="00C116EB" w:rsidRDefault="00C116EB" w:rsidP="00507035">
            <w:pPr>
              <w:jc w:val="center"/>
              <w:rPr>
                <w:rFonts w:ascii="Arial" w:hAnsi="Arial" w:cs="Arial"/>
                <w:sz w:val="20"/>
                <w:szCs w:val="20"/>
              </w:rPr>
            </w:pPr>
            <w:r w:rsidRPr="003E3D98">
              <w:rPr>
                <w:rFonts w:ascii="Arial" w:hAnsi="Arial" w:cs="Arial"/>
                <w:sz w:val="20"/>
                <w:szCs w:val="20"/>
              </w:rPr>
              <w:t>106</w:t>
            </w:r>
          </w:p>
        </w:tc>
        <w:tc>
          <w:tcPr>
            <w:tcW w:w="1559" w:type="dxa"/>
            <w:tcBorders>
              <w:top w:val="nil"/>
              <w:left w:val="nil"/>
              <w:bottom w:val="single" w:sz="4" w:space="0" w:color="auto"/>
              <w:right w:val="single" w:sz="4" w:space="0" w:color="auto"/>
            </w:tcBorders>
          </w:tcPr>
          <w:p w:rsidR="00C116EB" w:rsidRPr="00C116EB" w:rsidRDefault="00C116EB" w:rsidP="00507035">
            <w:pPr>
              <w:jc w:val="center"/>
              <w:rPr>
                <w:rFonts w:ascii="Arial" w:hAnsi="Arial" w:cs="Arial"/>
                <w:sz w:val="20"/>
                <w:szCs w:val="20"/>
              </w:rPr>
            </w:pPr>
            <w:r w:rsidRPr="003E3D98">
              <w:rPr>
                <w:rFonts w:ascii="Arial" w:hAnsi="Arial" w:cs="Arial"/>
                <w:sz w:val="20"/>
                <w:szCs w:val="20"/>
              </w:rPr>
              <w:t>165</w:t>
            </w:r>
          </w:p>
        </w:tc>
        <w:tc>
          <w:tcPr>
            <w:tcW w:w="1134" w:type="dxa"/>
            <w:tcBorders>
              <w:top w:val="nil"/>
              <w:left w:val="nil"/>
              <w:bottom w:val="single" w:sz="4" w:space="0" w:color="auto"/>
              <w:right w:val="single" w:sz="4" w:space="0" w:color="auto"/>
            </w:tcBorders>
          </w:tcPr>
          <w:p w:rsidR="00C116EB" w:rsidRPr="00C116EB" w:rsidRDefault="00C116EB" w:rsidP="00507035">
            <w:pPr>
              <w:jc w:val="center"/>
              <w:rPr>
                <w:rFonts w:ascii="Arial" w:hAnsi="Arial" w:cs="Arial"/>
                <w:sz w:val="20"/>
                <w:szCs w:val="20"/>
              </w:rPr>
            </w:pPr>
            <w:r w:rsidRPr="003E3D98">
              <w:rPr>
                <w:rFonts w:ascii="Arial" w:hAnsi="Arial" w:cs="Arial"/>
                <w:sz w:val="20"/>
                <w:szCs w:val="20"/>
              </w:rPr>
              <w:t>119</w:t>
            </w:r>
          </w:p>
        </w:tc>
        <w:tc>
          <w:tcPr>
            <w:tcW w:w="1417" w:type="dxa"/>
            <w:tcBorders>
              <w:top w:val="nil"/>
              <w:left w:val="nil"/>
              <w:bottom w:val="single" w:sz="4" w:space="0" w:color="auto"/>
              <w:right w:val="single" w:sz="4" w:space="0" w:color="auto"/>
            </w:tcBorders>
            <w:noWrap/>
          </w:tcPr>
          <w:p w:rsidR="00C116EB" w:rsidRPr="00C116EB" w:rsidRDefault="00C116EB" w:rsidP="00507035">
            <w:pPr>
              <w:jc w:val="center"/>
              <w:rPr>
                <w:rFonts w:ascii="Arial" w:hAnsi="Arial" w:cs="Arial"/>
                <w:sz w:val="20"/>
                <w:szCs w:val="20"/>
              </w:rPr>
            </w:pPr>
            <w:r w:rsidRPr="003E3D98">
              <w:rPr>
                <w:rFonts w:ascii="Arial" w:hAnsi="Arial" w:cs="Arial"/>
                <w:sz w:val="20"/>
                <w:szCs w:val="20"/>
              </w:rPr>
              <w:t>64</w:t>
            </w:r>
          </w:p>
        </w:tc>
      </w:tr>
      <w:tr w:rsidR="00C116EB" w:rsidTr="003E3D98">
        <w:trPr>
          <w:trHeight w:val="255"/>
        </w:trPr>
        <w:tc>
          <w:tcPr>
            <w:tcW w:w="1433" w:type="dxa"/>
            <w:tcBorders>
              <w:top w:val="single" w:sz="4" w:space="0" w:color="auto"/>
              <w:left w:val="single" w:sz="4" w:space="0" w:color="auto"/>
              <w:bottom w:val="single" w:sz="4" w:space="0" w:color="auto"/>
              <w:right w:val="single" w:sz="4" w:space="0" w:color="auto"/>
            </w:tcBorders>
            <w:shd w:val="clear" w:color="auto" w:fill="EAF1DD"/>
            <w:vAlign w:val="center"/>
          </w:tcPr>
          <w:p w:rsidR="00C116EB" w:rsidRDefault="00C116EB" w:rsidP="00507035">
            <w:pPr>
              <w:jc w:val="center"/>
              <w:rPr>
                <w:rFonts w:ascii="Arial" w:hAnsi="Arial" w:cs="Arial"/>
                <w:b/>
                <w:bCs/>
                <w:sz w:val="20"/>
                <w:szCs w:val="20"/>
              </w:rPr>
            </w:pPr>
            <w:r>
              <w:rPr>
                <w:rFonts w:ascii="Arial" w:hAnsi="Arial" w:cs="Arial"/>
                <w:b/>
                <w:bCs/>
                <w:sz w:val="20"/>
                <w:szCs w:val="20"/>
              </w:rPr>
              <w:t>PO 2</w:t>
            </w:r>
          </w:p>
        </w:tc>
        <w:tc>
          <w:tcPr>
            <w:tcW w:w="1276" w:type="dxa"/>
            <w:tcBorders>
              <w:top w:val="nil"/>
              <w:left w:val="nil"/>
              <w:bottom w:val="single" w:sz="4" w:space="0" w:color="auto"/>
              <w:right w:val="single" w:sz="4" w:space="0" w:color="auto"/>
            </w:tcBorders>
          </w:tcPr>
          <w:p w:rsidR="00C116EB" w:rsidRPr="00C116EB" w:rsidRDefault="00C116EB" w:rsidP="00507035">
            <w:pPr>
              <w:jc w:val="center"/>
              <w:rPr>
                <w:rFonts w:ascii="Arial" w:hAnsi="Arial" w:cs="Arial"/>
                <w:sz w:val="20"/>
                <w:szCs w:val="20"/>
              </w:rPr>
            </w:pPr>
            <w:r w:rsidRPr="003E3D98">
              <w:rPr>
                <w:rFonts w:ascii="Arial" w:hAnsi="Arial" w:cs="Arial"/>
                <w:sz w:val="20"/>
                <w:szCs w:val="20"/>
              </w:rPr>
              <w:t>46</w:t>
            </w:r>
          </w:p>
        </w:tc>
        <w:tc>
          <w:tcPr>
            <w:tcW w:w="1559" w:type="dxa"/>
            <w:tcBorders>
              <w:top w:val="nil"/>
              <w:left w:val="nil"/>
              <w:bottom w:val="single" w:sz="4" w:space="0" w:color="auto"/>
              <w:right w:val="single" w:sz="4" w:space="0" w:color="auto"/>
            </w:tcBorders>
          </w:tcPr>
          <w:p w:rsidR="00C116EB" w:rsidRPr="00C116EB" w:rsidRDefault="00C116EB" w:rsidP="00507035">
            <w:pPr>
              <w:jc w:val="center"/>
              <w:rPr>
                <w:rFonts w:ascii="Arial" w:hAnsi="Arial" w:cs="Arial"/>
                <w:sz w:val="20"/>
                <w:szCs w:val="20"/>
              </w:rPr>
            </w:pPr>
            <w:r w:rsidRPr="003E3D98">
              <w:rPr>
                <w:rFonts w:ascii="Arial" w:hAnsi="Arial" w:cs="Arial"/>
                <w:sz w:val="20"/>
                <w:szCs w:val="20"/>
              </w:rPr>
              <w:t>63</w:t>
            </w:r>
          </w:p>
        </w:tc>
        <w:tc>
          <w:tcPr>
            <w:tcW w:w="1134" w:type="dxa"/>
            <w:tcBorders>
              <w:top w:val="nil"/>
              <w:left w:val="nil"/>
              <w:bottom w:val="single" w:sz="4" w:space="0" w:color="auto"/>
              <w:right w:val="single" w:sz="4" w:space="0" w:color="auto"/>
            </w:tcBorders>
          </w:tcPr>
          <w:p w:rsidR="00C116EB" w:rsidRPr="00C116EB" w:rsidRDefault="00C116EB" w:rsidP="00507035">
            <w:pPr>
              <w:jc w:val="center"/>
              <w:rPr>
                <w:rFonts w:ascii="Arial" w:hAnsi="Arial" w:cs="Arial"/>
                <w:sz w:val="20"/>
                <w:szCs w:val="20"/>
              </w:rPr>
            </w:pPr>
            <w:r w:rsidRPr="003E3D98">
              <w:rPr>
                <w:rFonts w:ascii="Arial" w:hAnsi="Arial" w:cs="Arial"/>
                <w:sz w:val="20"/>
                <w:szCs w:val="20"/>
              </w:rPr>
              <w:t>41</w:t>
            </w:r>
          </w:p>
        </w:tc>
        <w:tc>
          <w:tcPr>
            <w:tcW w:w="1417" w:type="dxa"/>
            <w:tcBorders>
              <w:top w:val="nil"/>
              <w:left w:val="nil"/>
              <w:bottom w:val="single" w:sz="4" w:space="0" w:color="auto"/>
              <w:right w:val="single" w:sz="4" w:space="0" w:color="auto"/>
            </w:tcBorders>
            <w:noWrap/>
          </w:tcPr>
          <w:p w:rsidR="00C116EB" w:rsidRPr="00C116EB" w:rsidRDefault="00C116EB" w:rsidP="00507035">
            <w:pPr>
              <w:jc w:val="center"/>
              <w:rPr>
                <w:rFonts w:ascii="Arial" w:hAnsi="Arial" w:cs="Arial"/>
                <w:sz w:val="20"/>
                <w:szCs w:val="20"/>
              </w:rPr>
            </w:pPr>
            <w:r w:rsidRPr="003E3D98">
              <w:rPr>
                <w:rFonts w:ascii="Arial" w:hAnsi="Arial" w:cs="Arial"/>
                <w:sz w:val="20"/>
                <w:szCs w:val="20"/>
              </w:rPr>
              <w:t>22</w:t>
            </w:r>
          </w:p>
        </w:tc>
      </w:tr>
      <w:tr w:rsidR="00C116EB" w:rsidTr="003E3D98">
        <w:trPr>
          <w:trHeight w:val="255"/>
        </w:trPr>
        <w:tc>
          <w:tcPr>
            <w:tcW w:w="1433" w:type="dxa"/>
            <w:tcBorders>
              <w:top w:val="single" w:sz="4" w:space="0" w:color="auto"/>
              <w:left w:val="single" w:sz="4" w:space="0" w:color="auto"/>
              <w:bottom w:val="single" w:sz="4" w:space="0" w:color="auto"/>
              <w:right w:val="single" w:sz="4" w:space="0" w:color="auto"/>
            </w:tcBorders>
            <w:shd w:val="clear" w:color="auto" w:fill="EAF1DD"/>
            <w:vAlign w:val="center"/>
          </w:tcPr>
          <w:p w:rsidR="00C116EB" w:rsidRDefault="00C116EB" w:rsidP="00507035">
            <w:pPr>
              <w:jc w:val="center"/>
              <w:rPr>
                <w:rFonts w:ascii="Arial" w:hAnsi="Arial" w:cs="Arial"/>
                <w:b/>
                <w:bCs/>
                <w:sz w:val="20"/>
                <w:szCs w:val="20"/>
              </w:rPr>
            </w:pPr>
            <w:r>
              <w:rPr>
                <w:rFonts w:ascii="Arial" w:hAnsi="Arial" w:cs="Arial"/>
                <w:b/>
                <w:bCs/>
                <w:sz w:val="20"/>
                <w:szCs w:val="20"/>
              </w:rPr>
              <w:t>PO 3</w:t>
            </w:r>
          </w:p>
        </w:tc>
        <w:tc>
          <w:tcPr>
            <w:tcW w:w="1276" w:type="dxa"/>
            <w:tcBorders>
              <w:top w:val="nil"/>
              <w:left w:val="nil"/>
              <w:bottom w:val="single" w:sz="4" w:space="0" w:color="auto"/>
              <w:right w:val="single" w:sz="4" w:space="0" w:color="auto"/>
            </w:tcBorders>
          </w:tcPr>
          <w:p w:rsidR="00C116EB" w:rsidRPr="00C116EB" w:rsidRDefault="00C116EB" w:rsidP="00507035">
            <w:pPr>
              <w:jc w:val="center"/>
              <w:rPr>
                <w:rFonts w:ascii="Arial" w:hAnsi="Arial" w:cs="Arial"/>
                <w:sz w:val="20"/>
                <w:szCs w:val="20"/>
              </w:rPr>
            </w:pPr>
            <w:r w:rsidRPr="003E3D98">
              <w:rPr>
                <w:rFonts w:ascii="Arial" w:hAnsi="Arial" w:cs="Arial"/>
                <w:sz w:val="20"/>
                <w:szCs w:val="20"/>
              </w:rPr>
              <w:t>102</w:t>
            </w:r>
          </w:p>
        </w:tc>
        <w:tc>
          <w:tcPr>
            <w:tcW w:w="1559" w:type="dxa"/>
            <w:tcBorders>
              <w:top w:val="nil"/>
              <w:left w:val="nil"/>
              <w:bottom w:val="single" w:sz="4" w:space="0" w:color="auto"/>
              <w:right w:val="single" w:sz="4" w:space="0" w:color="auto"/>
            </w:tcBorders>
          </w:tcPr>
          <w:p w:rsidR="00C116EB" w:rsidRPr="00C116EB" w:rsidRDefault="00C116EB" w:rsidP="00507035">
            <w:pPr>
              <w:jc w:val="center"/>
              <w:rPr>
                <w:rFonts w:ascii="Arial" w:hAnsi="Arial" w:cs="Arial"/>
                <w:sz w:val="20"/>
                <w:szCs w:val="20"/>
              </w:rPr>
            </w:pPr>
            <w:r w:rsidRPr="003E3D98">
              <w:rPr>
                <w:rFonts w:ascii="Arial" w:hAnsi="Arial" w:cs="Arial"/>
                <w:sz w:val="20"/>
                <w:szCs w:val="20"/>
              </w:rPr>
              <w:t>184</w:t>
            </w:r>
          </w:p>
        </w:tc>
        <w:tc>
          <w:tcPr>
            <w:tcW w:w="1134" w:type="dxa"/>
            <w:tcBorders>
              <w:top w:val="nil"/>
              <w:left w:val="nil"/>
              <w:bottom w:val="single" w:sz="4" w:space="0" w:color="auto"/>
              <w:right w:val="single" w:sz="4" w:space="0" w:color="auto"/>
            </w:tcBorders>
          </w:tcPr>
          <w:p w:rsidR="00C116EB" w:rsidRPr="00C116EB" w:rsidRDefault="00C116EB" w:rsidP="00507035">
            <w:pPr>
              <w:jc w:val="center"/>
              <w:rPr>
                <w:rFonts w:ascii="Arial" w:hAnsi="Arial" w:cs="Arial"/>
                <w:sz w:val="20"/>
                <w:szCs w:val="20"/>
              </w:rPr>
            </w:pPr>
            <w:r w:rsidRPr="003E3D98">
              <w:rPr>
                <w:rFonts w:ascii="Arial" w:hAnsi="Arial" w:cs="Arial"/>
                <w:sz w:val="20"/>
                <w:szCs w:val="20"/>
              </w:rPr>
              <w:t>135</w:t>
            </w:r>
          </w:p>
        </w:tc>
        <w:tc>
          <w:tcPr>
            <w:tcW w:w="1417" w:type="dxa"/>
            <w:tcBorders>
              <w:top w:val="nil"/>
              <w:left w:val="nil"/>
              <w:bottom w:val="single" w:sz="4" w:space="0" w:color="auto"/>
              <w:right w:val="single" w:sz="4" w:space="0" w:color="auto"/>
            </w:tcBorders>
            <w:noWrap/>
          </w:tcPr>
          <w:p w:rsidR="00C116EB" w:rsidRPr="00C116EB" w:rsidRDefault="00C116EB" w:rsidP="00507035">
            <w:pPr>
              <w:jc w:val="center"/>
              <w:rPr>
                <w:rFonts w:ascii="Arial" w:hAnsi="Arial" w:cs="Arial"/>
                <w:sz w:val="20"/>
                <w:szCs w:val="20"/>
              </w:rPr>
            </w:pPr>
            <w:r w:rsidRPr="003E3D98">
              <w:rPr>
                <w:rFonts w:ascii="Arial" w:hAnsi="Arial" w:cs="Arial"/>
                <w:sz w:val="20"/>
                <w:szCs w:val="20"/>
              </w:rPr>
              <w:t>54</w:t>
            </w:r>
          </w:p>
        </w:tc>
      </w:tr>
      <w:tr w:rsidR="00C116EB" w:rsidTr="003E3D98">
        <w:trPr>
          <w:trHeight w:val="255"/>
        </w:trPr>
        <w:tc>
          <w:tcPr>
            <w:tcW w:w="1433" w:type="dxa"/>
            <w:tcBorders>
              <w:top w:val="single" w:sz="4" w:space="0" w:color="auto"/>
              <w:left w:val="single" w:sz="4" w:space="0" w:color="auto"/>
              <w:bottom w:val="single" w:sz="4" w:space="0" w:color="auto"/>
              <w:right w:val="single" w:sz="4" w:space="0" w:color="auto"/>
            </w:tcBorders>
            <w:shd w:val="clear" w:color="auto" w:fill="EAF1DD"/>
            <w:vAlign w:val="center"/>
          </w:tcPr>
          <w:p w:rsidR="00C116EB" w:rsidRDefault="00C116EB" w:rsidP="00507035">
            <w:pPr>
              <w:jc w:val="center"/>
              <w:rPr>
                <w:rFonts w:ascii="Arial" w:hAnsi="Arial" w:cs="Arial"/>
                <w:b/>
                <w:bCs/>
                <w:sz w:val="20"/>
                <w:szCs w:val="20"/>
              </w:rPr>
            </w:pPr>
            <w:r>
              <w:rPr>
                <w:rFonts w:ascii="Arial" w:hAnsi="Arial" w:cs="Arial"/>
                <w:b/>
                <w:bCs/>
                <w:sz w:val="20"/>
                <w:szCs w:val="20"/>
              </w:rPr>
              <w:t>PO 4</w:t>
            </w:r>
          </w:p>
        </w:tc>
        <w:tc>
          <w:tcPr>
            <w:tcW w:w="1276" w:type="dxa"/>
            <w:tcBorders>
              <w:top w:val="nil"/>
              <w:left w:val="nil"/>
              <w:bottom w:val="single" w:sz="4" w:space="0" w:color="auto"/>
              <w:right w:val="single" w:sz="4" w:space="0" w:color="auto"/>
            </w:tcBorders>
          </w:tcPr>
          <w:p w:rsidR="00C116EB" w:rsidRPr="00C116EB" w:rsidRDefault="00C116EB" w:rsidP="00507035">
            <w:pPr>
              <w:jc w:val="center"/>
              <w:rPr>
                <w:rFonts w:ascii="Arial" w:hAnsi="Arial" w:cs="Arial"/>
                <w:sz w:val="20"/>
                <w:szCs w:val="20"/>
              </w:rPr>
            </w:pPr>
            <w:r w:rsidRPr="003E3D98">
              <w:rPr>
                <w:rFonts w:ascii="Arial" w:hAnsi="Arial" w:cs="Arial"/>
                <w:sz w:val="20"/>
                <w:szCs w:val="20"/>
              </w:rPr>
              <w:t>296</w:t>
            </w:r>
          </w:p>
        </w:tc>
        <w:tc>
          <w:tcPr>
            <w:tcW w:w="1559" w:type="dxa"/>
            <w:tcBorders>
              <w:top w:val="nil"/>
              <w:left w:val="nil"/>
              <w:bottom w:val="nil"/>
              <w:right w:val="nil"/>
            </w:tcBorders>
            <w:noWrap/>
          </w:tcPr>
          <w:p w:rsidR="00C116EB" w:rsidRPr="00C116EB" w:rsidRDefault="00C116EB" w:rsidP="00507035">
            <w:pPr>
              <w:jc w:val="center"/>
              <w:rPr>
                <w:rFonts w:ascii="Arial" w:hAnsi="Arial" w:cs="Arial"/>
                <w:sz w:val="20"/>
                <w:szCs w:val="20"/>
              </w:rPr>
            </w:pPr>
            <w:r w:rsidRPr="003E3D98">
              <w:rPr>
                <w:rFonts w:ascii="Arial" w:hAnsi="Arial" w:cs="Arial"/>
                <w:sz w:val="20"/>
                <w:szCs w:val="20"/>
              </w:rPr>
              <w:t>431</w:t>
            </w:r>
          </w:p>
        </w:tc>
        <w:tc>
          <w:tcPr>
            <w:tcW w:w="1134" w:type="dxa"/>
            <w:tcBorders>
              <w:top w:val="nil"/>
              <w:left w:val="single" w:sz="4" w:space="0" w:color="auto"/>
              <w:bottom w:val="nil"/>
              <w:right w:val="single" w:sz="4" w:space="0" w:color="auto"/>
            </w:tcBorders>
            <w:noWrap/>
          </w:tcPr>
          <w:p w:rsidR="00C116EB" w:rsidRPr="00C116EB" w:rsidRDefault="00C116EB" w:rsidP="00507035">
            <w:pPr>
              <w:jc w:val="center"/>
              <w:rPr>
                <w:rFonts w:ascii="Arial" w:hAnsi="Arial" w:cs="Arial"/>
                <w:sz w:val="20"/>
                <w:szCs w:val="20"/>
              </w:rPr>
            </w:pPr>
            <w:r w:rsidRPr="003E3D98">
              <w:rPr>
                <w:rFonts w:ascii="Arial" w:hAnsi="Arial" w:cs="Arial"/>
                <w:sz w:val="20"/>
                <w:szCs w:val="20"/>
              </w:rPr>
              <w:t>287</w:t>
            </w:r>
          </w:p>
        </w:tc>
        <w:tc>
          <w:tcPr>
            <w:tcW w:w="1417" w:type="dxa"/>
            <w:tcBorders>
              <w:top w:val="nil"/>
              <w:left w:val="nil"/>
              <w:bottom w:val="nil"/>
              <w:right w:val="single" w:sz="4" w:space="0" w:color="auto"/>
            </w:tcBorders>
            <w:noWrap/>
          </w:tcPr>
          <w:p w:rsidR="00C116EB" w:rsidRPr="00C116EB" w:rsidRDefault="00C116EB" w:rsidP="00507035">
            <w:pPr>
              <w:jc w:val="center"/>
              <w:rPr>
                <w:rFonts w:ascii="Arial" w:hAnsi="Arial" w:cs="Arial"/>
                <w:sz w:val="20"/>
                <w:szCs w:val="20"/>
              </w:rPr>
            </w:pPr>
            <w:r w:rsidRPr="003E3D98">
              <w:rPr>
                <w:rFonts w:ascii="Arial" w:hAnsi="Arial" w:cs="Arial"/>
                <w:sz w:val="20"/>
                <w:szCs w:val="20"/>
              </w:rPr>
              <w:t>182</w:t>
            </w:r>
          </w:p>
        </w:tc>
      </w:tr>
      <w:tr w:rsidR="00C116EB" w:rsidTr="003E3D98">
        <w:trPr>
          <w:trHeight w:val="255"/>
        </w:trPr>
        <w:tc>
          <w:tcPr>
            <w:tcW w:w="1433" w:type="dxa"/>
            <w:tcBorders>
              <w:top w:val="single" w:sz="4" w:space="0" w:color="auto"/>
              <w:left w:val="single" w:sz="4" w:space="0" w:color="auto"/>
              <w:bottom w:val="single" w:sz="4" w:space="0" w:color="auto"/>
              <w:right w:val="single" w:sz="4" w:space="0" w:color="auto"/>
            </w:tcBorders>
            <w:shd w:val="clear" w:color="auto" w:fill="EAF1DD"/>
            <w:noWrap/>
            <w:vAlign w:val="center"/>
          </w:tcPr>
          <w:p w:rsidR="00C116EB" w:rsidRDefault="00C116EB" w:rsidP="00507035">
            <w:pPr>
              <w:jc w:val="center"/>
              <w:rPr>
                <w:rFonts w:ascii="Arial" w:hAnsi="Arial" w:cs="Arial"/>
                <w:b/>
                <w:bCs/>
                <w:sz w:val="20"/>
                <w:szCs w:val="20"/>
              </w:rPr>
            </w:pPr>
            <w:r>
              <w:rPr>
                <w:rFonts w:ascii="Arial" w:hAnsi="Arial" w:cs="Arial"/>
                <w:b/>
                <w:bCs/>
                <w:sz w:val="20"/>
                <w:szCs w:val="20"/>
              </w:rPr>
              <w:t>PO 5</w:t>
            </w:r>
          </w:p>
        </w:tc>
        <w:tc>
          <w:tcPr>
            <w:tcW w:w="1276" w:type="dxa"/>
            <w:tcBorders>
              <w:top w:val="nil"/>
              <w:left w:val="nil"/>
              <w:bottom w:val="single" w:sz="4" w:space="0" w:color="auto"/>
              <w:right w:val="single" w:sz="4" w:space="0" w:color="auto"/>
            </w:tcBorders>
            <w:noWrap/>
          </w:tcPr>
          <w:p w:rsidR="00C116EB" w:rsidRPr="00C116EB" w:rsidRDefault="00C116EB" w:rsidP="00507035">
            <w:pPr>
              <w:jc w:val="center"/>
              <w:rPr>
                <w:rFonts w:ascii="Arial" w:hAnsi="Arial" w:cs="Arial"/>
                <w:sz w:val="20"/>
                <w:szCs w:val="20"/>
              </w:rPr>
            </w:pPr>
            <w:r w:rsidRPr="003E3D98">
              <w:rPr>
                <w:rFonts w:ascii="Arial" w:hAnsi="Arial" w:cs="Arial"/>
                <w:sz w:val="20"/>
                <w:szCs w:val="20"/>
              </w:rPr>
              <w:t>33</w:t>
            </w:r>
          </w:p>
        </w:tc>
        <w:tc>
          <w:tcPr>
            <w:tcW w:w="1559" w:type="dxa"/>
            <w:tcBorders>
              <w:top w:val="single" w:sz="4" w:space="0" w:color="auto"/>
              <w:left w:val="nil"/>
              <w:bottom w:val="single" w:sz="4" w:space="0" w:color="auto"/>
              <w:right w:val="single" w:sz="4" w:space="0" w:color="auto"/>
            </w:tcBorders>
            <w:noWrap/>
          </w:tcPr>
          <w:p w:rsidR="00C116EB" w:rsidRPr="00C116EB" w:rsidRDefault="00C116EB" w:rsidP="00507035">
            <w:pPr>
              <w:jc w:val="center"/>
              <w:rPr>
                <w:rFonts w:ascii="Arial" w:hAnsi="Arial" w:cs="Arial"/>
                <w:sz w:val="20"/>
                <w:szCs w:val="20"/>
              </w:rPr>
            </w:pPr>
            <w:r w:rsidRPr="003E3D98">
              <w:rPr>
                <w:rFonts w:ascii="Arial" w:hAnsi="Arial" w:cs="Arial"/>
                <w:sz w:val="20"/>
                <w:szCs w:val="20"/>
              </w:rPr>
              <w:t>70</w:t>
            </w:r>
          </w:p>
        </w:tc>
        <w:tc>
          <w:tcPr>
            <w:tcW w:w="1134" w:type="dxa"/>
            <w:tcBorders>
              <w:top w:val="single" w:sz="4" w:space="0" w:color="auto"/>
              <w:left w:val="nil"/>
              <w:bottom w:val="single" w:sz="4" w:space="0" w:color="auto"/>
              <w:right w:val="single" w:sz="4" w:space="0" w:color="auto"/>
            </w:tcBorders>
            <w:noWrap/>
          </w:tcPr>
          <w:p w:rsidR="00C116EB" w:rsidRPr="00C116EB" w:rsidRDefault="00C116EB" w:rsidP="00507035">
            <w:pPr>
              <w:jc w:val="center"/>
              <w:rPr>
                <w:rFonts w:ascii="Arial" w:hAnsi="Arial" w:cs="Arial"/>
                <w:sz w:val="20"/>
                <w:szCs w:val="20"/>
              </w:rPr>
            </w:pPr>
            <w:r w:rsidRPr="003E3D98">
              <w:rPr>
                <w:rFonts w:ascii="Arial" w:hAnsi="Arial" w:cs="Arial"/>
                <w:sz w:val="20"/>
                <w:szCs w:val="20"/>
              </w:rPr>
              <w:t>33</w:t>
            </w:r>
          </w:p>
        </w:tc>
        <w:tc>
          <w:tcPr>
            <w:tcW w:w="1417" w:type="dxa"/>
            <w:tcBorders>
              <w:top w:val="single" w:sz="4" w:space="0" w:color="auto"/>
              <w:left w:val="nil"/>
              <w:bottom w:val="single" w:sz="4" w:space="0" w:color="auto"/>
              <w:right w:val="single" w:sz="4" w:space="0" w:color="auto"/>
            </w:tcBorders>
            <w:noWrap/>
          </w:tcPr>
          <w:p w:rsidR="00C116EB" w:rsidRPr="00C116EB" w:rsidRDefault="00C116EB" w:rsidP="00507035">
            <w:pPr>
              <w:jc w:val="center"/>
              <w:rPr>
                <w:rFonts w:ascii="Arial" w:hAnsi="Arial" w:cs="Arial"/>
                <w:sz w:val="20"/>
                <w:szCs w:val="20"/>
              </w:rPr>
            </w:pPr>
            <w:r w:rsidRPr="003E3D98">
              <w:rPr>
                <w:rFonts w:ascii="Arial" w:hAnsi="Arial" w:cs="Arial"/>
                <w:sz w:val="20"/>
                <w:szCs w:val="20"/>
              </w:rPr>
              <w:t>35</w:t>
            </w:r>
          </w:p>
        </w:tc>
      </w:tr>
      <w:tr w:rsidR="00C116EB" w:rsidTr="003E3D98">
        <w:trPr>
          <w:trHeight w:val="255"/>
        </w:trPr>
        <w:tc>
          <w:tcPr>
            <w:tcW w:w="1433" w:type="dxa"/>
            <w:tcBorders>
              <w:top w:val="single" w:sz="4" w:space="0" w:color="auto"/>
              <w:left w:val="single" w:sz="4" w:space="0" w:color="auto"/>
              <w:bottom w:val="single" w:sz="4" w:space="0" w:color="auto"/>
              <w:right w:val="single" w:sz="4" w:space="0" w:color="auto"/>
            </w:tcBorders>
            <w:shd w:val="clear" w:color="auto" w:fill="EAF1DD"/>
            <w:noWrap/>
            <w:vAlign w:val="center"/>
          </w:tcPr>
          <w:p w:rsidR="00C116EB" w:rsidRDefault="00C116EB" w:rsidP="00507035">
            <w:pPr>
              <w:jc w:val="center"/>
              <w:rPr>
                <w:rFonts w:ascii="Arial" w:hAnsi="Arial" w:cs="Arial"/>
                <w:b/>
                <w:bCs/>
                <w:sz w:val="20"/>
                <w:szCs w:val="20"/>
              </w:rPr>
            </w:pPr>
            <w:r>
              <w:rPr>
                <w:rFonts w:ascii="Arial" w:hAnsi="Arial" w:cs="Arial"/>
                <w:b/>
                <w:bCs/>
                <w:sz w:val="20"/>
                <w:szCs w:val="20"/>
              </w:rPr>
              <w:t>PO 6</w:t>
            </w:r>
          </w:p>
        </w:tc>
        <w:tc>
          <w:tcPr>
            <w:tcW w:w="1276" w:type="dxa"/>
            <w:tcBorders>
              <w:top w:val="nil"/>
              <w:left w:val="nil"/>
              <w:bottom w:val="single" w:sz="4" w:space="0" w:color="auto"/>
              <w:right w:val="single" w:sz="4" w:space="0" w:color="auto"/>
            </w:tcBorders>
            <w:noWrap/>
          </w:tcPr>
          <w:p w:rsidR="00C116EB" w:rsidRPr="00C116EB" w:rsidRDefault="00C116EB" w:rsidP="00507035">
            <w:pPr>
              <w:jc w:val="center"/>
              <w:rPr>
                <w:rFonts w:ascii="Arial" w:hAnsi="Arial" w:cs="Arial"/>
                <w:sz w:val="20"/>
                <w:szCs w:val="20"/>
              </w:rPr>
            </w:pPr>
            <w:r w:rsidRPr="003E3D98">
              <w:rPr>
                <w:rFonts w:ascii="Arial" w:hAnsi="Arial" w:cs="Arial"/>
                <w:sz w:val="20"/>
                <w:szCs w:val="20"/>
              </w:rPr>
              <w:t>11</w:t>
            </w:r>
          </w:p>
        </w:tc>
        <w:tc>
          <w:tcPr>
            <w:tcW w:w="1559" w:type="dxa"/>
            <w:tcBorders>
              <w:top w:val="nil"/>
              <w:left w:val="nil"/>
              <w:bottom w:val="single" w:sz="4" w:space="0" w:color="auto"/>
              <w:right w:val="single" w:sz="4" w:space="0" w:color="auto"/>
            </w:tcBorders>
            <w:noWrap/>
          </w:tcPr>
          <w:p w:rsidR="00C116EB" w:rsidRPr="00C116EB" w:rsidRDefault="00C116EB" w:rsidP="00507035">
            <w:pPr>
              <w:jc w:val="center"/>
              <w:rPr>
                <w:rFonts w:ascii="Arial" w:hAnsi="Arial" w:cs="Arial"/>
                <w:sz w:val="20"/>
                <w:szCs w:val="20"/>
              </w:rPr>
            </w:pPr>
            <w:r w:rsidRPr="003E3D98">
              <w:rPr>
                <w:rFonts w:ascii="Arial" w:hAnsi="Arial" w:cs="Arial"/>
                <w:sz w:val="20"/>
                <w:szCs w:val="20"/>
              </w:rPr>
              <w:t>19</w:t>
            </w:r>
          </w:p>
        </w:tc>
        <w:tc>
          <w:tcPr>
            <w:tcW w:w="1134" w:type="dxa"/>
            <w:tcBorders>
              <w:top w:val="nil"/>
              <w:left w:val="nil"/>
              <w:bottom w:val="single" w:sz="4" w:space="0" w:color="auto"/>
              <w:right w:val="single" w:sz="4" w:space="0" w:color="auto"/>
            </w:tcBorders>
            <w:noWrap/>
          </w:tcPr>
          <w:p w:rsidR="00C116EB" w:rsidRPr="00C116EB" w:rsidRDefault="00C116EB" w:rsidP="00507035">
            <w:pPr>
              <w:jc w:val="center"/>
              <w:rPr>
                <w:rFonts w:ascii="Arial" w:hAnsi="Arial" w:cs="Arial"/>
                <w:sz w:val="20"/>
                <w:szCs w:val="20"/>
              </w:rPr>
            </w:pPr>
            <w:r w:rsidRPr="003E3D98">
              <w:rPr>
                <w:rFonts w:ascii="Arial" w:hAnsi="Arial" w:cs="Arial"/>
                <w:sz w:val="20"/>
                <w:szCs w:val="20"/>
              </w:rPr>
              <w:t>9</w:t>
            </w:r>
          </w:p>
        </w:tc>
        <w:tc>
          <w:tcPr>
            <w:tcW w:w="1417" w:type="dxa"/>
            <w:tcBorders>
              <w:top w:val="nil"/>
              <w:left w:val="nil"/>
              <w:bottom w:val="single" w:sz="4" w:space="0" w:color="auto"/>
              <w:right w:val="single" w:sz="4" w:space="0" w:color="auto"/>
            </w:tcBorders>
            <w:noWrap/>
          </w:tcPr>
          <w:p w:rsidR="00C116EB" w:rsidRPr="00C116EB" w:rsidRDefault="00C116EB" w:rsidP="00507035">
            <w:pPr>
              <w:jc w:val="center"/>
              <w:rPr>
                <w:rFonts w:ascii="Arial" w:hAnsi="Arial" w:cs="Arial"/>
                <w:sz w:val="20"/>
                <w:szCs w:val="20"/>
              </w:rPr>
            </w:pPr>
            <w:r w:rsidRPr="003E3D98">
              <w:rPr>
                <w:rFonts w:ascii="Arial" w:hAnsi="Arial" w:cs="Arial"/>
                <w:sz w:val="20"/>
                <w:szCs w:val="20"/>
              </w:rPr>
              <w:t>13</w:t>
            </w:r>
          </w:p>
        </w:tc>
      </w:tr>
    </w:tbl>
    <w:p w:rsidR="002416B1" w:rsidRPr="006A2BF3" w:rsidRDefault="002416B1" w:rsidP="00507035">
      <w:pPr>
        <w:spacing w:line="360" w:lineRule="auto"/>
        <w:jc w:val="both"/>
        <w:rPr>
          <w:rFonts w:ascii="Arial" w:hAnsi="Arial" w:cs="Arial"/>
          <w:sz w:val="18"/>
          <w:szCs w:val="18"/>
        </w:rPr>
      </w:pPr>
      <w:r w:rsidRPr="006A2BF3">
        <w:rPr>
          <w:rFonts w:ascii="Arial" w:hAnsi="Arial" w:cs="Arial"/>
          <w:sz w:val="18"/>
          <w:szCs w:val="18"/>
        </w:rPr>
        <w:t>Zdroj: RO</w:t>
      </w:r>
    </w:p>
    <w:p w:rsidR="002416B1" w:rsidRPr="00330E9A" w:rsidRDefault="002416B1" w:rsidP="00507035">
      <w:pPr>
        <w:spacing w:before="120" w:after="120" w:line="360" w:lineRule="auto"/>
        <w:jc w:val="both"/>
        <w:rPr>
          <w:rFonts w:ascii="Arial" w:hAnsi="Arial" w:cs="Arial"/>
          <w:sz w:val="20"/>
          <w:szCs w:val="20"/>
        </w:rPr>
      </w:pPr>
      <w:bookmarkStart w:id="14" w:name="OLE_LINK7"/>
      <w:bookmarkStart w:id="15" w:name="OLE_LINK8"/>
      <w:r w:rsidRPr="006A2BF3">
        <w:rPr>
          <w:rFonts w:ascii="Arial" w:hAnsi="Arial" w:cs="Arial"/>
          <w:sz w:val="20"/>
          <w:szCs w:val="20"/>
        </w:rPr>
        <w:t>Zoznam</w:t>
      </w:r>
      <w:r w:rsidRPr="00330E9A">
        <w:rPr>
          <w:rFonts w:ascii="Arial" w:hAnsi="Arial" w:cs="Arial"/>
          <w:sz w:val="20"/>
          <w:szCs w:val="20"/>
        </w:rPr>
        <w:t xml:space="preserve"> schválených projektov s </w:t>
      </w:r>
      <w:r w:rsidRPr="006A2BF3">
        <w:rPr>
          <w:rFonts w:ascii="Arial" w:hAnsi="Arial" w:cs="Arial"/>
          <w:sz w:val="20"/>
          <w:szCs w:val="20"/>
        </w:rPr>
        <w:t>objemom zazmluvnených prostriedkov k 31.12.201</w:t>
      </w:r>
      <w:r w:rsidR="00091E84">
        <w:rPr>
          <w:rFonts w:ascii="Arial" w:hAnsi="Arial" w:cs="Arial"/>
          <w:sz w:val="20"/>
          <w:szCs w:val="20"/>
        </w:rPr>
        <w:t>2</w:t>
      </w:r>
      <w:r w:rsidRPr="006A2BF3">
        <w:rPr>
          <w:rFonts w:ascii="Arial" w:hAnsi="Arial" w:cs="Arial"/>
          <w:sz w:val="20"/>
          <w:szCs w:val="20"/>
        </w:rPr>
        <w:t xml:space="preserve"> </w:t>
      </w:r>
      <w:r w:rsidRPr="00493171">
        <w:rPr>
          <w:rFonts w:ascii="Arial" w:hAnsi="Arial" w:cs="Arial"/>
          <w:sz w:val="20"/>
          <w:szCs w:val="20"/>
        </w:rPr>
        <w:t xml:space="preserve">je zverejnený na </w:t>
      </w:r>
      <w:r w:rsidR="00091E84" w:rsidRPr="00A9375C">
        <w:rPr>
          <w:rFonts w:ascii="Arial" w:hAnsi="Arial" w:cs="Arial"/>
          <w:sz w:val="20"/>
          <w:szCs w:val="20"/>
        </w:rPr>
        <w:t xml:space="preserve">webovom </w:t>
      </w:r>
      <w:r w:rsidR="00602CA2" w:rsidRPr="00A9375C">
        <w:rPr>
          <w:rFonts w:ascii="Arial" w:hAnsi="Arial" w:cs="Arial"/>
          <w:sz w:val="20"/>
          <w:szCs w:val="20"/>
        </w:rPr>
        <w:t>sídle</w:t>
      </w:r>
      <w:r w:rsidRPr="007818E6">
        <w:rPr>
          <w:rFonts w:ascii="Arial" w:hAnsi="Arial" w:cs="Arial"/>
          <w:sz w:val="20"/>
          <w:szCs w:val="20"/>
        </w:rPr>
        <w:t xml:space="preserve"> </w:t>
      </w:r>
      <w:hyperlink r:id="rId23" w:history="1">
        <w:r w:rsidRPr="00A9375C">
          <w:rPr>
            <w:rStyle w:val="Hypertextovprepojenie"/>
            <w:rFonts w:ascii="Arial" w:hAnsi="Arial" w:cs="Arial"/>
            <w:sz w:val="20"/>
            <w:szCs w:val="20"/>
          </w:rPr>
          <w:t>http://www.opzp.sk/projekty/zoznam-prijimatelov/</w:t>
        </w:r>
      </w:hyperlink>
      <w:r w:rsidRPr="00493171">
        <w:rPr>
          <w:rFonts w:ascii="Arial" w:hAnsi="Arial" w:cs="Arial"/>
          <w:sz w:val="20"/>
          <w:szCs w:val="20"/>
        </w:rPr>
        <w:t xml:space="preserve"> </w:t>
      </w:r>
      <w:bookmarkEnd w:id="14"/>
      <w:bookmarkEnd w:id="15"/>
      <w:r w:rsidR="00EB591A" w:rsidRPr="00A9375C">
        <w:rPr>
          <w:rFonts w:ascii="Arial" w:hAnsi="Arial" w:cs="Arial"/>
          <w:sz w:val="20"/>
          <w:szCs w:val="20"/>
        </w:rPr>
        <w:t>a </w:t>
      </w:r>
      <w:r w:rsidR="00281250" w:rsidRPr="007818E6">
        <w:rPr>
          <w:rFonts w:ascii="Arial" w:hAnsi="Arial" w:cs="Arial"/>
          <w:sz w:val="20"/>
          <w:szCs w:val="20"/>
        </w:rPr>
        <w:t xml:space="preserve">zároveň </w:t>
      </w:r>
      <w:r w:rsidR="00EB591A" w:rsidRPr="00493171">
        <w:rPr>
          <w:rFonts w:ascii="Arial" w:hAnsi="Arial" w:cs="Arial"/>
          <w:sz w:val="20"/>
          <w:szCs w:val="20"/>
        </w:rPr>
        <w:t xml:space="preserve"> je </w:t>
      </w:r>
      <w:r w:rsidR="00281250" w:rsidRPr="00493171">
        <w:rPr>
          <w:rFonts w:ascii="Arial" w:hAnsi="Arial" w:cs="Arial"/>
          <w:sz w:val="20"/>
          <w:szCs w:val="20"/>
        </w:rPr>
        <w:t xml:space="preserve">súčasťou </w:t>
      </w:r>
      <w:r w:rsidR="00EB591A" w:rsidRPr="00493171">
        <w:rPr>
          <w:rFonts w:ascii="Arial" w:hAnsi="Arial" w:cs="Arial"/>
          <w:sz w:val="20"/>
          <w:szCs w:val="20"/>
        </w:rPr>
        <w:t>Prílohy č.</w:t>
      </w:r>
      <w:r w:rsidR="00602CA2">
        <w:rPr>
          <w:rFonts w:ascii="Arial" w:hAnsi="Arial" w:cs="Arial"/>
          <w:sz w:val="20"/>
          <w:szCs w:val="20"/>
        </w:rPr>
        <w:t> </w:t>
      </w:r>
      <w:r w:rsidR="00EB591A" w:rsidRPr="00493171">
        <w:rPr>
          <w:rFonts w:ascii="Arial" w:hAnsi="Arial" w:cs="Arial"/>
          <w:sz w:val="20"/>
          <w:szCs w:val="20"/>
        </w:rPr>
        <w:t>9 výročnej správy.</w:t>
      </w:r>
    </w:p>
    <w:p w:rsidR="00BA7B62" w:rsidRDefault="00BA7B62" w:rsidP="00CC3C51">
      <w:pPr>
        <w:rPr>
          <w:rFonts w:ascii="Arial" w:hAnsi="Arial" w:cs="Arial"/>
          <w:b/>
          <w:i/>
          <w:sz w:val="20"/>
          <w:szCs w:val="20"/>
        </w:rPr>
      </w:pPr>
    </w:p>
    <w:p w:rsidR="002416B1" w:rsidRPr="00A322EA" w:rsidRDefault="002416B1" w:rsidP="00CC3C51">
      <w:pPr>
        <w:rPr>
          <w:rFonts w:ascii="Arial" w:hAnsi="Arial" w:cs="Arial"/>
          <w:b/>
          <w:i/>
          <w:sz w:val="20"/>
          <w:szCs w:val="20"/>
        </w:rPr>
      </w:pPr>
      <w:r w:rsidRPr="001A6AE9">
        <w:rPr>
          <w:rFonts w:ascii="Arial" w:hAnsi="Arial" w:cs="Arial"/>
          <w:b/>
          <w:i/>
          <w:sz w:val="20"/>
          <w:szCs w:val="20"/>
        </w:rPr>
        <w:t>Schémy štátnej pomoc</w:t>
      </w:r>
      <w:r w:rsidR="007574A6">
        <w:rPr>
          <w:rFonts w:ascii="Arial" w:hAnsi="Arial" w:cs="Arial"/>
          <w:b/>
          <w:i/>
          <w:sz w:val="20"/>
          <w:szCs w:val="20"/>
        </w:rPr>
        <w:t>i</w:t>
      </w:r>
      <w:r w:rsidR="00507035">
        <w:rPr>
          <w:rFonts w:ascii="Arial" w:hAnsi="Arial" w:cs="Arial"/>
          <w:b/>
          <w:i/>
          <w:sz w:val="20"/>
          <w:szCs w:val="20"/>
        </w:rPr>
        <w:t>.</w:t>
      </w:r>
    </w:p>
    <w:p w:rsidR="002416B1" w:rsidRPr="006A2BF3" w:rsidRDefault="003E3D98" w:rsidP="00507035">
      <w:pPr>
        <w:spacing w:before="120" w:after="120" w:line="360" w:lineRule="auto"/>
        <w:jc w:val="both"/>
        <w:rPr>
          <w:rFonts w:ascii="Arial" w:hAnsi="Arial" w:cs="Arial"/>
          <w:sz w:val="20"/>
          <w:szCs w:val="20"/>
        </w:rPr>
      </w:pPr>
      <w:r>
        <w:rPr>
          <w:rFonts w:ascii="Arial" w:hAnsi="Arial" w:cs="Arial"/>
          <w:sz w:val="20"/>
          <w:szCs w:val="20"/>
        </w:rPr>
        <w:t>RO</w:t>
      </w:r>
      <w:r w:rsidR="002416B1" w:rsidRPr="006A2BF3">
        <w:rPr>
          <w:rFonts w:ascii="Arial" w:hAnsi="Arial" w:cs="Arial"/>
          <w:sz w:val="20"/>
          <w:szCs w:val="20"/>
        </w:rPr>
        <w:t xml:space="preserve"> uplatňoval v roku 201</w:t>
      </w:r>
      <w:r w:rsidR="00D422F3">
        <w:rPr>
          <w:rFonts w:ascii="Arial" w:hAnsi="Arial" w:cs="Arial"/>
          <w:sz w:val="20"/>
          <w:szCs w:val="20"/>
        </w:rPr>
        <w:t>2</w:t>
      </w:r>
      <w:r w:rsidR="002416B1" w:rsidRPr="006A2BF3">
        <w:rPr>
          <w:rFonts w:ascii="Arial" w:hAnsi="Arial" w:cs="Arial"/>
          <w:sz w:val="20"/>
          <w:szCs w:val="20"/>
        </w:rPr>
        <w:t xml:space="preserve"> tri platné schémy štátnej pomoci: </w:t>
      </w:r>
    </w:p>
    <w:p w:rsidR="002416B1" w:rsidRPr="006A2BF3" w:rsidRDefault="002416B1" w:rsidP="00507035">
      <w:pPr>
        <w:spacing w:before="120" w:after="120" w:line="360" w:lineRule="auto"/>
        <w:jc w:val="both"/>
        <w:rPr>
          <w:rFonts w:ascii="Arial" w:hAnsi="Arial" w:cs="Arial"/>
          <w:sz w:val="20"/>
          <w:szCs w:val="20"/>
        </w:rPr>
      </w:pPr>
      <w:r w:rsidRPr="006A2BF3">
        <w:rPr>
          <w:rFonts w:ascii="Arial" w:hAnsi="Arial" w:cs="Arial"/>
          <w:sz w:val="20"/>
          <w:szCs w:val="20"/>
        </w:rPr>
        <w:t>- Schéma štátnej pomoci pre zlepšenie a rozvoj infraštruktúry odpadového hospodárstva pre programové obdobie/roky 2007 – 2013 (regionálna pomoc), v znení jej dodatku č. 1</w:t>
      </w:r>
      <w:r w:rsidR="004B1B19">
        <w:rPr>
          <w:rFonts w:ascii="Arial" w:hAnsi="Arial" w:cs="Arial"/>
          <w:sz w:val="20"/>
          <w:szCs w:val="20"/>
        </w:rPr>
        <w:t xml:space="preserve"> a dodatku č. 2</w:t>
      </w:r>
      <w:r w:rsidRPr="006A2BF3">
        <w:rPr>
          <w:rFonts w:ascii="Arial" w:hAnsi="Arial" w:cs="Arial"/>
          <w:sz w:val="20"/>
          <w:szCs w:val="20"/>
        </w:rPr>
        <w:t xml:space="preserve"> </w:t>
      </w:r>
    </w:p>
    <w:p w:rsidR="002416B1" w:rsidRPr="006A2BF3" w:rsidRDefault="002416B1" w:rsidP="00507035">
      <w:pPr>
        <w:spacing w:before="120" w:after="120" w:line="360" w:lineRule="auto"/>
        <w:jc w:val="both"/>
        <w:rPr>
          <w:rFonts w:ascii="Arial" w:hAnsi="Arial" w:cs="Arial"/>
          <w:sz w:val="20"/>
          <w:szCs w:val="20"/>
        </w:rPr>
      </w:pPr>
      <w:r w:rsidRPr="006A2BF3">
        <w:rPr>
          <w:rFonts w:ascii="Arial" w:hAnsi="Arial" w:cs="Arial"/>
          <w:sz w:val="20"/>
          <w:szCs w:val="20"/>
        </w:rPr>
        <w:t>-</w:t>
      </w:r>
      <w:r>
        <w:rPr>
          <w:rFonts w:ascii="Arial" w:hAnsi="Arial" w:cs="Arial"/>
          <w:sz w:val="20"/>
          <w:szCs w:val="20"/>
        </w:rPr>
        <w:t xml:space="preserve"> </w:t>
      </w:r>
      <w:r w:rsidRPr="006A2BF3">
        <w:rPr>
          <w:rFonts w:ascii="Arial" w:hAnsi="Arial" w:cs="Arial"/>
          <w:sz w:val="20"/>
          <w:szCs w:val="20"/>
        </w:rPr>
        <w:t xml:space="preserve">Schéma štátnej pomoci pre zlepšenie a rozvoj infraštruktúry pre ochranu ovzdušia pre programové obdobie/roky 2007 – 2013 (regionálna pomoc), v znení jej dodatku č. 1, </w:t>
      </w:r>
    </w:p>
    <w:p w:rsidR="002416B1" w:rsidRPr="006A2BF3" w:rsidRDefault="002416B1" w:rsidP="00507035">
      <w:pPr>
        <w:spacing w:before="120" w:after="120" w:line="360" w:lineRule="auto"/>
        <w:jc w:val="both"/>
        <w:rPr>
          <w:rFonts w:ascii="Arial" w:hAnsi="Arial" w:cs="Arial"/>
          <w:sz w:val="20"/>
          <w:szCs w:val="20"/>
        </w:rPr>
      </w:pPr>
      <w:r w:rsidRPr="006A2BF3">
        <w:rPr>
          <w:rFonts w:ascii="Arial" w:hAnsi="Arial" w:cs="Arial"/>
          <w:sz w:val="20"/>
          <w:szCs w:val="20"/>
        </w:rPr>
        <w:t>-</w:t>
      </w:r>
      <w:r>
        <w:rPr>
          <w:rFonts w:ascii="Arial" w:hAnsi="Arial" w:cs="Arial"/>
          <w:sz w:val="20"/>
          <w:szCs w:val="20"/>
        </w:rPr>
        <w:t xml:space="preserve"> </w:t>
      </w:r>
      <w:r w:rsidRPr="006A2BF3">
        <w:rPr>
          <w:rFonts w:ascii="Arial" w:hAnsi="Arial" w:cs="Arial"/>
          <w:sz w:val="20"/>
          <w:szCs w:val="20"/>
        </w:rPr>
        <w:t>Schéma štátnej pomoci na ochranu životného prostredia v oblasti ochrany ovzdušia a minimalizácie nepriaznivých vplyvov zmeny klímy pre programové obdobie/roky 2007 -2013 (skupinová výnimka), ktorá bola vypracovaná na základe nariadenia Komisie (ES) č. 800/2008 zo 6. augusta 2008 o vyhlásení určitých kategórií pomoci za zlučiteľné so spoločným trhom podľa článkov 87 a 88 zmluvy (Všeobecné nariadenie o skupinových výnimkách) (Ú. v. EÚ L 214, 09.08.2008, str. 3).</w:t>
      </w:r>
    </w:p>
    <w:p w:rsidR="00706E31" w:rsidRPr="0039268C" w:rsidRDefault="00706E31" w:rsidP="00507035">
      <w:pPr>
        <w:spacing w:before="120" w:after="120" w:line="360" w:lineRule="auto"/>
        <w:jc w:val="both"/>
        <w:rPr>
          <w:rFonts w:ascii="Arial" w:hAnsi="Arial" w:cs="Arial"/>
          <w:bCs/>
          <w:sz w:val="20"/>
          <w:szCs w:val="20"/>
        </w:rPr>
      </w:pPr>
      <w:bookmarkStart w:id="16" w:name="OLE_LINK51"/>
      <w:r w:rsidRPr="0039268C">
        <w:rPr>
          <w:rFonts w:ascii="Arial" w:hAnsi="Arial" w:cs="Arial"/>
          <w:sz w:val="20"/>
          <w:szCs w:val="20"/>
        </w:rPr>
        <w:t>Celkový objem štátnej pomoci poskytnutej v rámci OP</w:t>
      </w:r>
      <w:r>
        <w:rPr>
          <w:rFonts w:ascii="Arial" w:hAnsi="Arial" w:cs="Arial"/>
          <w:sz w:val="20"/>
          <w:szCs w:val="20"/>
        </w:rPr>
        <w:t xml:space="preserve"> </w:t>
      </w:r>
      <w:r w:rsidRPr="0039268C">
        <w:rPr>
          <w:rFonts w:ascii="Arial" w:hAnsi="Arial" w:cs="Arial"/>
          <w:sz w:val="20"/>
          <w:szCs w:val="20"/>
        </w:rPr>
        <w:t xml:space="preserve">ŽP  </w:t>
      </w:r>
      <w:r>
        <w:rPr>
          <w:rFonts w:ascii="Arial" w:hAnsi="Arial" w:cs="Arial"/>
          <w:sz w:val="20"/>
          <w:szCs w:val="20"/>
        </w:rPr>
        <w:t xml:space="preserve">bol </w:t>
      </w:r>
      <w:r w:rsidRPr="0039268C">
        <w:rPr>
          <w:rFonts w:ascii="Arial" w:hAnsi="Arial" w:cs="Arial"/>
          <w:sz w:val="20"/>
          <w:szCs w:val="20"/>
        </w:rPr>
        <w:t>v roku 2012</w:t>
      </w:r>
      <w:r>
        <w:rPr>
          <w:rFonts w:ascii="Arial" w:hAnsi="Arial" w:cs="Arial"/>
          <w:sz w:val="20"/>
          <w:szCs w:val="20"/>
        </w:rPr>
        <w:t xml:space="preserve"> vo výške</w:t>
      </w:r>
      <w:r w:rsidRPr="0039268C">
        <w:rPr>
          <w:rFonts w:ascii="Arial" w:hAnsi="Arial" w:cs="Arial"/>
          <w:color w:val="FF0000"/>
          <w:sz w:val="20"/>
          <w:szCs w:val="20"/>
        </w:rPr>
        <w:t xml:space="preserve"> </w:t>
      </w:r>
      <w:r w:rsidRPr="0039268C">
        <w:rPr>
          <w:rFonts w:ascii="Arial" w:hAnsi="Arial" w:cs="Arial"/>
          <w:bCs/>
          <w:i/>
          <w:iCs/>
          <w:sz w:val="20"/>
          <w:szCs w:val="20"/>
        </w:rPr>
        <w:t>10,57 mil.</w:t>
      </w:r>
      <w:r w:rsidRPr="0039268C">
        <w:rPr>
          <w:rFonts w:ascii="Arial" w:hAnsi="Arial" w:cs="Arial"/>
          <w:bCs/>
          <w:sz w:val="20"/>
          <w:szCs w:val="20"/>
        </w:rPr>
        <w:t xml:space="preserve"> </w:t>
      </w:r>
      <w:r>
        <w:rPr>
          <w:rFonts w:ascii="Arial" w:hAnsi="Arial" w:cs="Arial"/>
          <w:bCs/>
          <w:iCs/>
          <w:sz w:val="20"/>
          <w:szCs w:val="20"/>
        </w:rPr>
        <w:t>EUR</w:t>
      </w:r>
      <w:r w:rsidRPr="0039268C">
        <w:rPr>
          <w:rFonts w:ascii="Arial" w:hAnsi="Arial" w:cs="Arial"/>
          <w:bCs/>
          <w:iCs/>
          <w:sz w:val="20"/>
          <w:szCs w:val="20"/>
        </w:rPr>
        <w:t xml:space="preserve">, z toho </w:t>
      </w:r>
      <w:r>
        <w:rPr>
          <w:rFonts w:ascii="Arial" w:hAnsi="Arial" w:cs="Arial"/>
          <w:bCs/>
          <w:iCs/>
          <w:sz w:val="20"/>
          <w:szCs w:val="20"/>
        </w:rPr>
        <w:t xml:space="preserve">zo </w:t>
      </w:r>
      <w:r w:rsidRPr="0039268C">
        <w:rPr>
          <w:rFonts w:ascii="Arial" w:hAnsi="Arial" w:cs="Arial"/>
          <w:bCs/>
          <w:iCs/>
          <w:sz w:val="20"/>
          <w:szCs w:val="20"/>
        </w:rPr>
        <w:t>zdroj</w:t>
      </w:r>
      <w:r>
        <w:rPr>
          <w:rFonts w:ascii="Arial" w:hAnsi="Arial" w:cs="Arial"/>
          <w:bCs/>
          <w:iCs/>
          <w:sz w:val="20"/>
          <w:szCs w:val="20"/>
        </w:rPr>
        <w:t>ov</w:t>
      </w:r>
      <w:r w:rsidRPr="0039268C">
        <w:rPr>
          <w:rFonts w:ascii="Arial" w:hAnsi="Arial" w:cs="Arial"/>
          <w:bCs/>
          <w:iCs/>
          <w:sz w:val="20"/>
          <w:szCs w:val="20"/>
        </w:rPr>
        <w:t xml:space="preserve"> EÚ </w:t>
      </w:r>
      <w:r w:rsidRPr="0039268C">
        <w:rPr>
          <w:rFonts w:ascii="Arial" w:hAnsi="Arial" w:cs="Arial"/>
          <w:bCs/>
          <w:iCs/>
          <w:sz w:val="20"/>
          <w:szCs w:val="20"/>
        </w:rPr>
        <w:tab/>
        <w:t>8,98</w:t>
      </w:r>
      <w:r w:rsidR="003E3D98">
        <w:rPr>
          <w:rFonts w:ascii="Arial" w:hAnsi="Arial" w:cs="Arial"/>
          <w:bCs/>
          <w:iCs/>
          <w:sz w:val="20"/>
          <w:szCs w:val="20"/>
        </w:rPr>
        <w:t xml:space="preserve"> </w:t>
      </w:r>
      <w:r w:rsidRPr="0039268C">
        <w:rPr>
          <w:rFonts w:ascii="Arial" w:hAnsi="Arial" w:cs="Arial"/>
          <w:bCs/>
          <w:iCs/>
          <w:sz w:val="20"/>
          <w:szCs w:val="20"/>
        </w:rPr>
        <w:t xml:space="preserve">mil. </w:t>
      </w:r>
      <w:r>
        <w:rPr>
          <w:rFonts w:ascii="Arial" w:hAnsi="Arial" w:cs="Arial"/>
          <w:bCs/>
          <w:iCs/>
          <w:sz w:val="20"/>
          <w:szCs w:val="20"/>
        </w:rPr>
        <w:t>EUR</w:t>
      </w:r>
      <w:r w:rsidRPr="0039268C">
        <w:rPr>
          <w:rFonts w:ascii="Arial" w:hAnsi="Arial" w:cs="Arial"/>
          <w:bCs/>
          <w:iCs/>
          <w:sz w:val="20"/>
          <w:szCs w:val="20"/>
        </w:rPr>
        <w:t xml:space="preserve"> </w:t>
      </w:r>
      <w:r>
        <w:rPr>
          <w:rFonts w:ascii="Arial" w:hAnsi="Arial" w:cs="Arial"/>
          <w:bCs/>
          <w:iCs/>
          <w:sz w:val="20"/>
          <w:szCs w:val="20"/>
        </w:rPr>
        <w:t>a</w:t>
      </w:r>
      <w:r w:rsidRPr="0039268C">
        <w:rPr>
          <w:rFonts w:ascii="Arial" w:hAnsi="Arial" w:cs="Arial"/>
          <w:bCs/>
          <w:iCs/>
          <w:sz w:val="20"/>
          <w:szCs w:val="20"/>
        </w:rPr>
        <w:t xml:space="preserve"> 1,59</w:t>
      </w:r>
      <w:r w:rsidR="003E3D98">
        <w:rPr>
          <w:rFonts w:ascii="Arial" w:hAnsi="Arial" w:cs="Arial"/>
          <w:bCs/>
          <w:iCs/>
          <w:sz w:val="20"/>
          <w:szCs w:val="20"/>
        </w:rPr>
        <w:t xml:space="preserve"> </w:t>
      </w:r>
      <w:r w:rsidRPr="0039268C">
        <w:rPr>
          <w:rFonts w:ascii="Arial" w:hAnsi="Arial" w:cs="Arial"/>
          <w:bCs/>
          <w:iCs/>
          <w:sz w:val="20"/>
          <w:szCs w:val="20"/>
        </w:rPr>
        <w:t>mil</w:t>
      </w:r>
      <w:r>
        <w:rPr>
          <w:rFonts w:ascii="Arial" w:hAnsi="Arial" w:cs="Arial"/>
          <w:bCs/>
          <w:iCs/>
          <w:sz w:val="20"/>
          <w:szCs w:val="20"/>
        </w:rPr>
        <w:t>. EUR zo štátneho rozpočtu.</w:t>
      </w:r>
      <w:r w:rsidRPr="0039268C">
        <w:rPr>
          <w:rFonts w:ascii="Arial" w:hAnsi="Arial" w:cs="Arial"/>
          <w:bCs/>
          <w:iCs/>
          <w:color w:val="FF0000"/>
          <w:sz w:val="20"/>
          <w:szCs w:val="20"/>
        </w:rPr>
        <w:t xml:space="preserve"> </w:t>
      </w:r>
    </w:p>
    <w:p w:rsidR="00706E31" w:rsidRPr="0039268C" w:rsidRDefault="00706E31" w:rsidP="00507035">
      <w:pPr>
        <w:spacing w:before="120" w:after="120" w:line="360" w:lineRule="auto"/>
        <w:jc w:val="both"/>
        <w:rPr>
          <w:rFonts w:ascii="Arial" w:hAnsi="Arial" w:cs="Arial"/>
          <w:sz w:val="20"/>
          <w:szCs w:val="20"/>
        </w:rPr>
      </w:pPr>
      <w:r w:rsidRPr="0039268C">
        <w:rPr>
          <w:rFonts w:ascii="Arial" w:hAnsi="Arial" w:cs="Arial"/>
          <w:sz w:val="20"/>
          <w:szCs w:val="20"/>
        </w:rPr>
        <w:t>Zmena celkovej výšky štátnej pomoci poskytnutej rezortom MŽP SR</w:t>
      </w:r>
      <w:r w:rsidR="00281250">
        <w:rPr>
          <w:rFonts w:ascii="Arial" w:hAnsi="Arial" w:cs="Arial"/>
          <w:sz w:val="20"/>
          <w:szCs w:val="20"/>
        </w:rPr>
        <w:t xml:space="preserve"> v rámci OP</w:t>
      </w:r>
      <w:r w:rsidR="003E3D98">
        <w:rPr>
          <w:rFonts w:ascii="Arial" w:hAnsi="Arial" w:cs="Arial"/>
          <w:sz w:val="20"/>
          <w:szCs w:val="20"/>
        </w:rPr>
        <w:t xml:space="preserve"> </w:t>
      </w:r>
      <w:r w:rsidR="00281250">
        <w:rPr>
          <w:rFonts w:ascii="Arial" w:hAnsi="Arial" w:cs="Arial"/>
          <w:sz w:val="20"/>
          <w:szCs w:val="20"/>
        </w:rPr>
        <w:t>ŽP</w:t>
      </w:r>
      <w:r w:rsidRPr="0039268C">
        <w:rPr>
          <w:rFonts w:ascii="Arial" w:hAnsi="Arial" w:cs="Arial"/>
          <w:sz w:val="20"/>
          <w:szCs w:val="20"/>
        </w:rPr>
        <w:t xml:space="preserve"> v roku 2012 v porovnaní s rokom 2011 predstavuje pokles o 74,60</w:t>
      </w:r>
      <w:r w:rsidR="003E3D98">
        <w:rPr>
          <w:rFonts w:ascii="Arial" w:hAnsi="Arial" w:cs="Arial"/>
          <w:sz w:val="20"/>
          <w:szCs w:val="20"/>
        </w:rPr>
        <w:t xml:space="preserve"> </w:t>
      </w:r>
      <w:r w:rsidRPr="0039268C">
        <w:rPr>
          <w:rFonts w:ascii="Arial" w:hAnsi="Arial" w:cs="Arial"/>
          <w:sz w:val="20"/>
          <w:szCs w:val="20"/>
        </w:rPr>
        <w:t>% čo predstavuje sumu</w:t>
      </w:r>
      <w:r w:rsidRPr="0039268C">
        <w:rPr>
          <w:rFonts w:ascii="Arial" w:hAnsi="Arial" w:cs="Arial"/>
          <w:b/>
          <w:i/>
          <w:sz w:val="20"/>
          <w:szCs w:val="20"/>
        </w:rPr>
        <w:t xml:space="preserve"> </w:t>
      </w:r>
      <w:r w:rsidRPr="0039268C">
        <w:rPr>
          <w:rFonts w:ascii="Arial" w:hAnsi="Arial" w:cs="Arial"/>
          <w:sz w:val="20"/>
          <w:szCs w:val="20"/>
        </w:rPr>
        <w:t xml:space="preserve">10,57 mil. </w:t>
      </w:r>
      <w:r w:rsidR="00AE313B">
        <w:rPr>
          <w:rFonts w:ascii="Arial" w:hAnsi="Arial" w:cs="Arial"/>
          <w:sz w:val="20"/>
          <w:szCs w:val="20"/>
        </w:rPr>
        <w:t>EUR</w:t>
      </w:r>
      <w:r w:rsidRPr="0039268C">
        <w:rPr>
          <w:rFonts w:ascii="Arial" w:hAnsi="Arial" w:cs="Arial"/>
          <w:sz w:val="20"/>
          <w:szCs w:val="20"/>
        </w:rPr>
        <w:t xml:space="preserve">. Dôvodom výrazného poklesu poskytnutej štátnej pomoci je ukončenie polovice počtu podporených projektov financovaných podľa schém štátnej pomoci. </w:t>
      </w:r>
    </w:p>
    <w:p w:rsidR="00706E31" w:rsidRPr="0039268C" w:rsidRDefault="00706E31" w:rsidP="00507035">
      <w:pPr>
        <w:spacing w:before="120" w:after="120" w:line="360" w:lineRule="auto"/>
        <w:jc w:val="both"/>
        <w:rPr>
          <w:rFonts w:ascii="Arial" w:hAnsi="Arial" w:cs="Arial"/>
          <w:sz w:val="20"/>
          <w:szCs w:val="20"/>
        </w:rPr>
      </w:pPr>
      <w:r w:rsidRPr="0039268C">
        <w:rPr>
          <w:rFonts w:ascii="Arial" w:hAnsi="Arial" w:cs="Arial"/>
          <w:sz w:val="20"/>
          <w:szCs w:val="20"/>
        </w:rPr>
        <w:t>Percentuálny podiel štátnej pomoci poskytnutej podľa schém štátnej pomoci v rámci OP</w:t>
      </w:r>
      <w:r w:rsidR="003E3D98">
        <w:rPr>
          <w:rFonts w:ascii="Arial" w:hAnsi="Arial" w:cs="Arial"/>
          <w:sz w:val="20"/>
          <w:szCs w:val="20"/>
        </w:rPr>
        <w:t xml:space="preserve"> </w:t>
      </w:r>
      <w:r w:rsidRPr="0039268C">
        <w:rPr>
          <w:rFonts w:ascii="Arial" w:hAnsi="Arial" w:cs="Arial"/>
          <w:sz w:val="20"/>
          <w:szCs w:val="20"/>
        </w:rPr>
        <w:t>ŽP z celkovej štátnej pomoci poskytnutej rezortom MŽP SR v roku 2012 predstavuje 100%.</w:t>
      </w:r>
    </w:p>
    <w:p w:rsidR="00706E31" w:rsidRPr="0039268C" w:rsidRDefault="00AE313B" w:rsidP="00507035">
      <w:pPr>
        <w:spacing w:before="120" w:after="120" w:line="360" w:lineRule="auto"/>
        <w:jc w:val="both"/>
        <w:rPr>
          <w:rFonts w:ascii="Arial" w:hAnsi="Arial" w:cs="Arial"/>
          <w:sz w:val="20"/>
          <w:szCs w:val="20"/>
        </w:rPr>
      </w:pPr>
      <w:r>
        <w:rPr>
          <w:rFonts w:ascii="Arial" w:hAnsi="Arial" w:cs="Arial"/>
          <w:sz w:val="20"/>
          <w:szCs w:val="20"/>
        </w:rPr>
        <w:t>Tab</w:t>
      </w:r>
      <w:r w:rsidR="00E57A5C">
        <w:rPr>
          <w:rFonts w:ascii="Arial" w:hAnsi="Arial" w:cs="Arial"/>
          <w:sz w:val="20"/>
          <w:szCs w:val="20"/>
        </w:rPr>
        <w:t>.</w:t>
      </w:r>
      <w:r>
        <w:rPr>
          <w:rFonts w:ascii="Arial" w:hAnsi="Arial" w:cs="Arial"/>
          <w:sz w:val="20"/>
          <w:szCs w:val="20"/>
        </w:rPr>
        <w:t xml:space="preserve"> č.</w:t>
      </w:r>
      <w:r w:rsidR="00E513D9">
        <w:rPr>
          <w:rFonts w:ascii="Arial" w:hAnsi="Arial" w:cs="Arial"/>
          <w:sz w:val="20"/>
          <w:szCs w:val="20"/>
        </w:rPr>
        <w:t xml:space="preserve"> </w:t>
      </w:r>
      <w:r w:rsidR="00165CA5">
        <w:rPr>
          <w:rFonts w:ascii="Arial" w:hAnsi="Arial" w:cs="Arial"/>
          <w:sz w:val="20"/>
          <w:szCs w:val="20"/>
        </w:rPr>
        <w:t>8</w:t>
      </w:r>
      <w:r w:rsidR="00E513D9">
        <w:rPr>
          <w:rFonts w:ascii="Arial" w:hAnsi="Arial" w:cs="Arial"/>
          <w:sz w:val="20"/>
          <w:szCs w:val="20"/>
        </w:rPr>
        <w:t xml:space="preserve">: </w:t>
      </w:r>
      <w:r w:rsidR="00DF7365">
        <w:rPr>
          <w:rFonts w:ascii="Arial" w:hAnsi="Arial" w:cs="Arial"/>
          <w:sz w:val="20"/>
          <w:szCs w:val="20"/>
        </w:rPr>
        <w:t>R</w:t>
      </w:r>
      <w:r w:rsidR="00706E31" w:rsidRPr="0039268C">
        <w:rPr>
          <w:rFonts w:ascii="Arial" w:hAnsi="Arial" w:cs="Arial"/>
          <w:sz w:val="20"/>
          <w:szCs w:val="20"/>
        </w:rPr>
        <w:t>egionálne rozdelenie celkovej poskytnutej štátnej pomoci za rok 2012 (podľa schém štátnej pomoci) na úrovni NUTS III (krajov)</w:t>
      </w:r>
    </w:p>
    <w:tbl>
      <w:tblPr>
        <w:tblW w:w="5680" w:type="dxa"/>
        <w:tblInd w:w="354" w:type="dxa"/>
        <w:tblCellMar>
          <w:left w:w="70" w:type="dxa"/>
          <w:right w:w="70" w:type="dxa"/>
        </w:tblCellMar>
        <w:tblLook w:val="04A0" w:firstRow="1" w:lastRow="0" w:firstColumn="1" w:lastColumn="0" w:noHBand="0" w:noVBand="1"/>
      </w:tblPr>
      <w:tblGrid>
        <w:gridCol w:w="2420"/>
        <w:gridCol w:w="1660"/>
        <w:gridCol w:w="1600"/>
      </w:tblGrid>
      <w:tr w:rsidR="00A06B9F" w:rsidRPr="00AE313B" w:rsidTr="00A06B9F">
        <w:trPr>
          <w:trHeight w:val="330"/>
        </w:trPr>
        <w:tc>
          <w:tcPr>
            <w:tcW w:w="2420" w:type="dxa"/>
            <w:tcBorders>
              <w:top w:val="single" w:sz="8" w:space="0" w:color="auto"/>
              <w:left w:val="single" w:sz="8" w:space="0" w:color="auto"/>
              <w:bottom w:val="single" w:sz="8" w:space="0" w:color="auto"/>
              <w:right w:val="single" w:sz="8" w:space="0" w:color="auto"/>
            </w:tcBorders>
            <w:shd w:val="clear" w:color="000000" w:fill="D6E3BC"/>
            <w:noWrap/>
            <w:vAlign w:val="center"/>
            <w:hideMark/>
          </w:tcPr>
          <w:p w:rsidR="00706E31" w:rsidRPr="0039268C" w:rsidRDefault="00706E31" w:rsidP="00507035">
            <w:pPr>
              <w:spacing w:line="360" w:lineRule="auto"/>
              <w:jc w:val="center"/>
              <w:rPr>
                <w:rFonts w:ascii="Arial" w:hAnsi="Arial" w:cs="Arial"/>
                <w:b/>
                <w:bCs/>
                <w:sz w:val="18"/>
                <w:szCs w:val="18"/>
              </w:rPr>
            </w:pPr>
            <w:r w:rsidRPr="0039268C">
              <w:rPr>
                <w:rFonts w:ascii="Arial" w:hAnsi="Arial" w:cs="Arial"/>
                <w:b/>
                <w:bCs/>
                <w:sz w:val="18"/>
                <w:szCs w:val="18"/>
              </w:rPr>
              <w:t>Kraj</w:t>
            </w:r>
          </w:p>
        </w:tc>
        <w:tc>
          <w:tcPr>
            <w:tcW w:w="1660" w:type="dxa"/>
            <w:tcBorders>
              <w:top w:val="single" w:sz="8" w:space="0" w:color="auto"/>
              <w:left w:val="nil"/>
              <w:bottom w:val="single" w:sz="8" w:space="0" w:color="auto"/>
              <w:right w:val="single" w:sz="8" w:space="0" w:color="auto"/>
            </w:tcBorders>
            <w:shd w:val="clear" w:color="000000" w:fill="D6E3BC"/>
            <w:noWrap/>
            <w:vAlign w:val="center"/>
            <w:hideMark/>
          </w:tcPr>
          <w:p w:rsidR="00706E31" w:rsidRPr="0039268C" w:rsidRDefault="00706E31" w:rsidP="00DF12B0">
            <w:pPr>
              <w:spacing w:line="360" w:lineRule="auto"/>
              <w:jc w:val="center"/>
              <w:rPr>
                <w:rFonts w:ascii="Arial" w:hAnsi="Arial" w:cs="Arial"/>
                <w:b/>
                <w:bCs/>
                <w:sz w:val="18"/>
                <w:szCs w:val="18"/>
              </w:rPr>
            </w:pPr>
            <w:r w:rsidRPr="0039268C">
              <w:rPr>
                <w:rFonts w:ascii="Arial" w:hAnsi="Arial" w:cs="Arial"/>
                <w:b/>
                <w:bCs/>
                <w:sz w:val="18"/>
                <w:szCs w:val="18"/>
              </w:rPr>
              <w:t>Objem ŠP v</w:t>
            </w:r>
            <w:r w:rsidR="00DF12B0">
              <w:rPr>
                <w:rFonts w:ascii="Arial" w:hAnsi="Arial" w:cs="Arial"/>
                <w:b/>
                <w:bCs/>
                <w:sz w:val="18"/>
                <w:szCs w:val="18"/>
              </w:rPr>
              <w:t> mil. EUR</w:t>
            </w:r>
          </w:p>
        </w:tc>
        <w:tc>
          <w:tcPr>
            <w:tcW w:w="1600" w:type="dxa"/>
            <w:tcBorders>
              <w:top w:val="single" w:sz="8" w:space="0" w:color="auto"/>
              <w:left w:val="nil"/>
              <w:bottom w:val="single" w:sz="8" w:space="0" w:color="auto"/>
              <w:right w:val="single" w:sz="8" w:space="0" w:color="auto"/>
            </w:tcBorders>
            <w:shd w:val="clear" w:color="000000" w:fill="D6E3BC"/>
            <w:noWrap/>
            <w:vAlign w:val="center"/>
            <w:hideMark/>
          </w:tcPr>
          <w:p w:rsidR="00706E31" w:rsidRPr="0039268C" w:rsidRDefault="00706E31" w:rsidP="00507035">
            <w:pPr>
              <w:spacing w:line="360" w:lineRule="auto"/>
              <w:jc w:val="center"/>
              <w:rPr>
                <w:rFonts w:ascii="Arial" w:hAnsi="Arial" w:cs="Arial"/>
                <w:b/>
                <w:bCs/>
                <w:sz w:val="18"/>
                <w:szCs w:val="18"/>
              </w:rPr>
            </w:pPr>
            <w:r w:rsidRPr="0039268C">
              <w:rPr>
                <w:rFonts w:ascii="Arial" w:hAnsi="Arial" w:cs="Arial"/>
                <w:b/>
                <w:bCs/>
                <w:sz w:val="18"/>
                <w:szCs w:val="18"/>
              </w:rPr>
              <w:t>%</w:t>
            </w:r>
          </w:p>
        </w:tc>
      </w:tr>
      <w:tr w:rsidR="00706E31" w:rsidRPr="00AE313B" w:rsidTr="0039268C">
        <w:trPr>
          <w:trHeight w:val="330"/>
        </w:trPr>
        <w:tc>
          <w:tcPr>
            <w:tcW w:w="2420" w:type="dxa"/>
            <w:tcBorders>
              <w:top w:val="nil"/>
              <w:left w:val="single" w:sz="8" w:space="0" w:color="auto"/>
              <w:bottom w:val="single" w:sz="8" w:space="0" w:color="auto"/>
              <w:right w:val="single" w:sz="8" w:space="0" w:color="auto"/>
            </w:tcBorders>
            <w:shd w:val="clear" w:color="auto" w:fill="auto"/>
            <w:vAlign w:val="center"/>
            <w:hideMark/>
          </w:tcPr>
          <w:p w:rsidR="00706E31" w:rsidRPr="0039268C" w:rsidRDefault="00706E31" w:rsidP="00507035">
            <w:pPr>
              <w:spacing w:line="360" w:lineRule="auto"/>
              <w:rPr>
                <w:rFonts w:ascii="Arial" w:hAnsi="Arial" w:cs="Arial"/>
                <w:sz w:val="18"/>
                <w:szCs w:val="18"/>
              </w:rPr>
            </w:pPr>
            <w:r w:rsidRPr="0039268C">
              <w:rPr>
                <w:rFonts w:ascii="Arial" w:hAnsi="Arial" w:cs="Arial"/>
                <w:sz w:val="18"/>
                <w:szCs w:val="18"/>
              </w:rPr>
              <w:t>Bratislavský kraj</w:t>
            </w:r>
          </w:p>
        </w:tc>
        <w:tc>
          <w:tcPr>
            <w:tcW w:w="1660" w:type="dxa"/>
            <w:tcBorders>
              <w:top w:val="nil"/>
              <w:left w:val="nil"/>
              <w:bottom w:val="single" w:sz="8" w:space="0" w:color="auto"/>
              <w:right w:val="single" w:sz="8" w:space="0" w:color="auto"/>
            </w:tcBorders>
            <w:shd w:val="clear" w:color="auto" w:fill="auto"/>
            <w:noWrap/>
            <w:vAlign w:val="center"/>
            <w:hideMark/>
          </w:tcPr>
          <w:p w:rsidR="00706E31" w:rsidRPr="0039268C" w:rsidRDefault="00706E31" w:rsidP="00507035">
            <w:pPr>
              <w:spacing w:line="360" w:lineRule="auto"/>
              <w:jc w:val="center"/>
              <w:rPr>
                <w:rFonts w:ascii="Arial" w:hAnsi="Arial" w:cs="Arial"/>
                <w:sz w:val="18"/>
                <w:szCs w:val="18"/>
              </w:rPr>
            </w:pPr>
            <w:r w:rsidRPr="0039268C">
              <w:rPr>
                <w:rFonts w:ascii="Arial" w:hAnsi="Arial" w:cs="Arial"/>
                <w:sz w:val="18"/>
                <w:szCs w:val="18"/>
              </w:rPr>
              <w:t>0,00</w:t>
            </w:r>
          </w:p>
        </w:tc>
        <w:tc>
          <w:tcPr>
            <w:tcW w:w="1600" w:type="dxa"/>
            <w:tcBorders>
              <w:top w:val="nil"/>
              <w:left w:val="nil"/>
              <w:bottom w:val="single" w:sz="8" w:space="0" w:color="auto"/>
              <w:right w:val="single" w:sz="8" w:space="0" w:color="auto"/>
            </w:tcBorders>
            <w:shd w:val="clear" w:color="auto" w:fill="auto"/>
            <w:noWrap/>
            <w:vAlign w:val="center"/>
            <w:hideMark/>
          </w:tcPr>
          <w:p w:rsidR="00706E31" w:rsidRPr="0039268C" w:rsidRDefault="00706E31" w:rsidP="00507035">
            <w:pPr>
              <w:spacing w:line="360" w:lineRule="auto"/>
              <w:jc w:val="center"/>
              <w:rPr>
                <w:rFonts w:ascii="Arial" w:hAnsi="Arial" w:cs="Arial"/>
                <w:sz w:val="18"/>
                <w:szCs w:val="18"/>
              </w:rPr>
            </w:pPr>
            <w:r w:rsidRPr="0039268C">
              <w:rPr>
                <w:rFonts w:ascii="Arial" w:hAnsi="Arial" w:cs="Arial"/>
                <w:sz w:val="18"/>
                <w:szCs w:val="18"/>
              </w:rPr>
              <w:t>0,00%</w:t>
            </w:r>
          </w:p>
        </w:tc>
      </w:tr>
      <w:tr w:rsidR="00706E31" w:rsidRPr="00AE313B" w:rsidTr="0039268C">
        <w:trPr>
          <w:trHeight w:val="330"/>
        </w:trPr>
        <w:tc>
          <w:tcPr>
            <w:tcW w:w="2420" w:type="dxa"/>
            <w:tcBorders>
              <w:top w:val="nil"/>
              <w:left w:val="single" w:sz="8" w:space="0" w:color="auto"/>
              <w:bottom w:val="single" w:sz="8" w:space="0" w:color="auto"/>
              <w:right w:val="single" w:sz="8" w:space="0" w:color="auto"/>
            </w:tcBorders>
            <w:shd w:val="clear" w:color="auto" w:fill="auto"/>
            <w:vAlign w:val="center"/>
            <w:hideMark/>
          </w:tcPr>
          <w:p w:rsidR="00706E31" w:rsidRPr="0039268C" w:rsidRDefault="00706E31" w:rsidP="00507035">
            <w:pPr>
              <w:spacing w:line="360" w:lineRule="auto"/>
              <w:rPr>
                <w:rFonts w:ascii="Arial" w:hAnsi="Arial" w:cs="Arial"/>
                <w:sz w:val="18"/>
                <w:szCs w:val="18"/>
              </w:rPr>
            </w:pPr>
            <w:r w:rsidRPr="0039268C">
              <w:rPr>
                <w:rFonts w:ascii="Arial" w:hAnsi="Arial" w:cs="Arial"/>
                <w:sz w:val="18"/>
                <w:szCs w:val="18"/>
              </w:rPr>
              <w:t>Banskobystrický kraj</w:t>
            </w:r>
          </w:p>
        </w:tc>
        <w:tc>
          <w:tcPr>
            <w:tcW w:w="1660" w:type="dxa"/>
            <w:tcBorders>
              <w:top w:val="nil"/>
              <w:left w:val="nil"/>
              <w:bottom w:val="single" w:sz="8" w:space="0" w:color="auto"/>
              <w:right w:val="single" w:sz="8" w:space="0" w:color="auto"/>
            </w:tcBorders>
            <w:shd w:val="clear" w:color="auto" w:fill="auto"/>
            <w:noWrap/>
            <w:vAlign w:val="center"/>
            <w:hideMark/>
          </w:tcPr>
          <w:p w:rsidR="00706E31" w:rsidRPr="0039268C" w:rsidRDefault="00706E31" w:rsidP="00507035">
            <w:pPr>
              <w:spacing w:line="360" w:lineRule="auto"/>
              <w:jc w:val="center"/>
              <w:rPr>
                <w:rFonts w:ascii="Arial" w:hAnsi="Arial" w:cs="Arial"/>
                <w:sz w:val="18"/>
                <w:szCs w:val="18"/>
              </w:rPr>
            </w:pPr>
            <w:r w:rsidRPr="0039268C">
              <w:rPr>
                <w:rFonts w:ascii="Arial" w:hAnsi="Arial" w:cs="Arial"/>
                <w:sz w:val="18"/>
                <w:szCs w:val="18"/>
              </w:rPr>
              <w:t>3,15</w:t>
            </w:r>
          </w:p>
        </w:tc>
        <w:tc>
          <w:tcPr>
            <w:tcW w:w="1600" w:type="dxa"/>
            <w:tcBorders>
              <w:top w:val="nil"/>
              <w:left w:val="nil"/>
              <w:bottom w:val="single" w:sz="8" w:space="0" w:color="auto"/>
              <w:right w:val="single" w:sz="8" w:space="0" w:color="auto"/>
            </w:tcBorders>
            <w:shd w:val="clear" w:color="auto" w:fill="auto"/>
            <w:noWrap/>
            <w:vAlign w:val="center"/>
            <w:hideMark/>
          </w:tcPr>
          <w:p w:rsidR="00706E31" w:rsidRPr="0039268C" w:rsidRDefault="00706E31" w:rsidP="00507035">
            <w:pPr>
              <w:spacing w:line="360" w:lineRule="auto"/>
              <w:jc w:val="center"/>
              <w:rPr>
                <w:rFonts w:ascii="Arial" w:hAnsi="Arial" w:cs="Arial"/>
                <w:sz w:val="18"/>
                <w:szCs w:val="18"/>
              </w:rPr>
            </w:pPr>
            <w:r w:rsidRPr="0039268C">
              <w:rPr>
                <w:rFonts w:ascii="Arial" w:hAnsi="Arial" w:cs="Arial"/>
                <w:sz w:val="18"/>
                <w:szCs w:val="18"/>
              </w:rPr>
              <w:t>29,80%</w:t>
            </w:r>
          </w:p>
        </w:tc>
      </w:tr>
      <w:tr w:rsidR="00706E31" w:rsidRPr="00AE313B" w:rsidTr="0039268C">
        <w:trPr>
          <w:trHeight w:val="330"/>
        </w:trPr>
        <w:tc>
          <w:tcPr>
            <w:tcW w:w="2420" w:type="dxa"/>
            <w:tcBorders>
              <w:top w:val="nil"/>
              <w:left w:val="single" w:sz="8" w:space="0" w:color="auto"/>
              <w:bottom w:val="single" w:sz="8" w:space="0" w:color="auto"/>
              <w:right w:val="single" w:sz="8" w:space="0" w:color="auto"/>
            </w:tcBorders>
            <w:shd w:val="clear" w:color="auto" w:fill="auto"/>
            <w:vAlign w:val="center"/>
            <w:hideMark/>
          </w:tcPr>
          <w:p w:rsidR="00706E31" w:rsidRPr="0039268C" w:rsidRDefault="00706E31" w:rsidP="00507035">
            <w:pPr>
              <w:spacing w:line="360" w:lineRule="auto"/>
              <w:rPr>
                <w:rFonts w:ascii="Arial" w:hAnsi="Arial" w:cs="Arial"/>
                <w:sz w:val="18"/>
                <w:szCs w:val="18"/>
              </w:rPr>
            </w:pPr>
            <w:r w:rsidRPr="0039268C">
              <w:rPr>
                <w:rFonts w:ascii="Arial" w:hAnsi="Arial" w:cs="Arial"/>
                <w:sz w:val="18"/>
                <w:szCs w:val="18"/>
              </w:rPr>
              <w:t>Košický kraj</w:t>
            </w:r>
          </w:p>
        </w:tc>
        <w:tc>
          <w:tcPr>
            <w:tcW w:w="1660" w:type="dxa"/>
            <w:tcBorders>
              <w:top w:val="nil"/>
              <w:left w:val="nil"/>
              <w:bottom w:val="single" w:sz="8" w:space="0" w:color="auto"/>
              <w:right w:val="single" w:sz="8" w:space="0" w:color="auto"/>
            </w:tcBorders>
            <w:shd w:val="clear" w:color="auto" w:fill="auto"/>
            <w:noWrap/>
            <w:vAlign w:val="center"/>
            <w:hideMark/>
          </w:tcPr>
          <w:p w:rsidR="00706E31" w:rsidRPr="0039268C" w:rsidRDefault="00706E31" w:rsidP="00507035">
            <w:pPr>
              <w:spacing w:line="360" w:lineRule="auto"/>
              <w:jc w:val="center"/>
              <w:rPr>
                <w:rFonts w:ascii="Arial" w:hAnsi="Arial" w:cs="Arial"/>
                <w:sz w:val="18"/>
                <w:szCs w:val="18"/>
              </w:rPr>
            </w:pPr>
            <w:r w:rsidRPr="0039268C">
              <w:rPr>
                <w:rFonts w:ascii="Arial" w:hAnsi="Arial" w:cs="Arial"/>
                <w:sz w:val="18"/>
                <w:szCs w:val="18"/>
              </w:rPr>
              <w:t>5,16</w:t>
            </w:r>
          </w:p>
        </w:tc>
        <w:tc>
          <w:tcPr>
            <w:tcW w:w="1600" w:type="dxa"/>
            <w:tcBorders>
              <w:top w:val="nil"/>
              <w:left w:val="nil"/>
              <w:bottom w:val="single" w:sz="8" w:space="0" w:color="auto"/>
              <w:right w:val="single" w:sz="8" w:space="0" w:color="auto"/>
            </w:tcBorders>
            <w:shd w:val="clear" w:color="auto" w:fill="auto"/>
            <w:noWrap/>
            <w:vAlign w:val="center"/>
            <w:hideMark/>
          </w:tcPr>
          <w:p w:rsidR="00706E31" w:rsidRPr="0039268C" w:rsidRDefault="00706E31" w:rsidP="00507035">
            <w:pPr>
              <w:spacing w:line="360" w:lineRule="auto"/>
              <w:jc w:val="center"/>
              <w:rPr>
                <w:rFonts w:ascii="Arial" w:hAnsi="Arial" w:cs="Arial"/>
                <w:sz w:val="18"/>
                <w:szCs w:val="18"/>
              </w:rPr>
            </w:pPr>
            <w:r w:rsidRPr="0039268C">
              <w:rPr>
                <w:rFonts w:ascii="Arial" w:hAnsi="Arial" w:cs="Arial"/>
                <w:sz w:val="18"/>
                <w:szCs w:val="18"/>
              </w:rPr>
              <w:t>48,82%</w:t>
            </w:r>
          </w:p>
        </w:tc>
      </w:tr>
      <w:tr w:rsidR="00706E31" w:rsidRPr="00AE313B" w:rsidTr="0039268C">
        <w:trPr>
          <w:trHeight w:val="330"/>
        </w:trPr>
        <w:tc>
          <w:tcPr>
            <w:tcW w:w="2420" w:type="dxa"/>
            <w:tcBorders>
              <w:top w:val="nil"/>
              <w:left w:val="single" w:sz="8" w:space="0" w:color="auto"/>
              <w:bottom w:val="single" w:sz="8" w:space="0" w:color="auto"/>
              <w:right w:val="single" w:sz="8" w:space="0" w:color="auto"/>
            </w:tcBorders>
            <w:shd w:val="clear" w:color="auto" w:fill="auto"/>
            <w:vAlign w:val="center"/>
            <w:hideMark/>
          </w:tcPr>
          <w:p w:rsidR="00706E31" w:rsidRPr="0039268C" w:rsidRDefault="00706E31" w:rsidP="00507035">
            <w:pPr>
              <w:spacing w:line="360" w:lineRule="auto"/>
              <w:rPr>
                <w:rFonts w:ascii="Arial" w:hAnsi="Arial" w:cs="Arial"/>
                <w:sz w:val="18"/>
                <w:szCs w:val="18"/>
              </w:rPr>
            </w:pPr>
            <w:r w:rsidRPr="0039268C">
              <w:rPr>
                <w:rFonts w:ascii="Arial" w:hAnsi="Arial" w:cs="Arial"/>
                <w:sz w:val="18"/>
                <w:szCs w:val="18"/>
              </w:rPr>
              <w:t>Trnavský kraj</w:t>
            </w:r>
          </w:p>
        </w:tc>
        <w:tc>
          <w:tcPr>
            <w:tcW w:w="1660" w:type="dxa"/>
            <w:tcBorders>
              <w:top w:val="nil"/>
              <w:left w:val="nil"/>
              <w:bottom w:val="single" w:sz="8" w:space="0" w:color="auto"/>
              <w:right w:val="single" w:sz="8" w:space="0" w:color="auto"/>
            </w:tcBorders>
            <w:shd w:val="clear" w:color="auto" w:fill="auto"/>
            <w:noWrap/>
            <w:vAlign w:val="center"/>
            <w:hideMark/>
          </w:tcPr>
          <w:p w:rsidR="00706E31" w:rsidRPr="0039268C" w:rsidRDefault="00706E31" w:rsidP="00507035">
            <w:pPr>
              <w:spacing w:line="360" w:lineRule="auto"/>
              <w:jc w:val="center"/>
              <w:rPr>
                <w:rFonts w:ascii="Arial" w:hAnsi="Arial" w:cs="Arial"/>
                <w:sz w:val="18"/>
                <w:szCs w:val="18"/>
              </w:rPr>
            </w:pPr>
            <w:r w:rsidRPr="0039268C">
              <w:rPr>
                <w:rFonts w:ascii="Arial" w:hAnsi="Arial" w:cs="Arial"/>
                <w:sz w:val="18"/>
                <w:szCs w:val="18"/>
              </w:rPr>
              <w:t>0,00</w:t>
            </w:r>
          </w:p>
        </w:tc>
        <w:tc>
          <w:tcPr>
            <w:tcW w:w="1600" w:type="dxa"/>
            <w:tcBorders>
              <w:top w:val="nil"/>
              <w:left w:val="nil"/>
              <w:bottom w:val="single" w:sz="8" w:space="0" w:color="auto"/>
              <w:right w:val="single" w:sz="8" w:space="0" w:color="auto"/>
            </w:tcBorders>
            <w:shd w:val="clear" w:color="auto" w:fill="auto"/>
            <w:noWrap/>
            <w:vAlign w:val="center"/>
            <w:hideMark/>
          </w:tcPr>
          <w:p w:rsidR="00706E31" w:rsidRPr="0039268C" w:rsidRDefault="00706E31" w:rsidP="00507035">
            <w:pPr>
              <w:spacing w:line="360" w:lineRule="auto"/>
              <w:jc w:val="center"/>
              <w:rPr>
                <w:rFonts w:ascii="Arial" w:hAnsi="Arial" w:cs="Arial"/>
                <w:sz w:val="18"/>
                <w:szCs w:val="18"/>
              </w:rPr>
            </w:pPr>
            <w:r w:rsidRPr="0039268C">
              <w:rPr>
                <w:rFonts w:ascii="Arial" w:hAnsi="Arial" w:cs="Arial"/>
                <w:sz w:val="18"/>
                <w:szCs w:val="18"/>
              </w:rPr>
              <w:t>0,00%</w:t>
            </w:r>
          </w:p>
        </w:tc>
      </w:tr>
      <w:tr w:rsidR="00706E31" w:rsidRPr="00AE313B" w:rsidTr="0039268C">
        <w:trPr>
          <w:trHeight w:val="330"/>
        </w:trPr>
        <w:tc>
          <w:tcPr>
            <w:tcW w:w="2420" w:type="dxa"/>
            <w:tcBorders>
              <w:top w:val="nil"/>
              <w:left w:val="single" w:sz="8" w:space="0" w:color="auto"/>
              <w:bottom w:val="single" w:sz="8" w:space="0" w:color="auto"/>
              <w:right w:val="single" w:sz="8" w:space="0" w:color="auto"/>
            </w:tcBorders>
            <w:shd w:val="clear" w:color="auto" w:fill="auto"/>
            <w:vAlign w:val="center"/>
            <w:hideMark/>
          </w:tcPr>
          <w:p w:rsidR="00706E31" w:rsidRPr="0039268C" w:rsidRDefault="00706E31" w:rsidP="00507035">
            <w:pPr>
              <w:spacing w:line="360" w:lineRule="auto"/>
              <w:rPr>
                <w:rFonts w:ascii="Arial" w:hAnsi="Arial" w:cs="Arial"/>
                <w:sz w:val="18"/>
                <w:szCs w:val="18"/>
              </w:rPr>
            </w:pPr>
            <w:r w:rsidRPr="0039268C">
              <w:rPr>
                <w:rFonts w:ascii="Arial" w:hAnsi="Arial" w:cs="Arial"/>
                <w:sz w:val="18"/>
                <w:szCs w:val="18"/>
              </w:rPr>
              <w:t>Prešovský kraj</w:t>
            </w:r>
          </w:p>
        </w:tc>
        <w:tc>
          <w:tcPr>
            <w:tcW w:w="1660" w:type="dxa"/>
            <w:tcBorders>
              <w:top w:val="nil"/>
              <w:left w:val="nil"/>
              <w:bottom w:val="single" w:sz="8" w:space="0" w:color="auto"/>
              <w:right w:val="single" w:sz="8" w:space="0" w:color="auto"/>
            </w:tcBorders>
            <w:shd w:val="clear" w:color="auto" w:fill="auto"/>
            <w:noWrap/>
            <w:vAlign w:val="center"/>
            <w:hideMark/>
          </w:tcPr>
          <w:p w:rsidR="00706E31" w:rsidRPr="0039268C" w:rsidRDefault="00706E31" w:rsidP="00507035">
            <w:pPr>
              <w:spacing w:line="360" w:lineRule="auto"/>
              <w:jc w:val="center"/>
              <w:rPr>
                <w:rFonts w:ascii="Arial" w:hAnsi="Arial" w:cs="Arial"/>
                <w:sz w:val="18"/>
                <w:szCs w:val="18"/>
              </w:rPr>
            </w:pPr>
            <w:r w:rsidRPr="0039268C">
              <w:rPr>
                <w:rFonts w:ascii="Arial" w:hAnsi="Arial" w:cs="Arial"/>
                <w:sz w:val="18"/>
                <w:szCs w:val="18"/>
              </w:rPr>
              <w:t>0,20</w:t>
            </w:r>
          </w:p>
        </w:tc>
        <w:tc>
          <w:tcPr>
            <w:tcW w:w="1600" w:type="dxa"/>
            <w:tcBorders>
              <w:top w:val="nil"/>
              <w:left w:val="nil"/>
              <w:bottom w:val="single" w:sz="8" w:space="0" w:color="auto"/>
              <w:right w:val="single" w:sz="8" w:space="0" w:color="auto"/>
            </w:tcBorders>
            <w:shd w:val="clear" w:color="auto" w:fill="auto"/>
            <w:noWrap/>
            <w:vAlign w:val="center"/>
            <w:hideMark/>
          </w:tcPr>
          <w:p w:rsidR="00706E31" w:rsidRPr="0039268C" w:rsidRDefault="00706E31" w:rsidP="00507035">
            <w:pPr>
              <w:spacing w:line="360" w:lineRule="auto"/>
              <w:jc w:val="center"/>
              <w:rPr>
                <w:rFonts w:ascii="Arial" w:hAnsi="Arial" w:cs="Arial"/>
                <w:sz w:val="18"/>
                <w:szCs w:val="18"/>
              </w:rPr>
            </w:pPr>
            <w:r w:rsidRPr="0039268C">
              <w:rPr>
                <w:rFonts w:ascii="Arial" w:hAnsi="Arial" w:cs="Arial"/>
                <w:sz w:val="18"/>
                <w:szCs w:val="18"/>
              </w:rPr>
              <w:t>1,89%</w:t>
            </w:r>
          </w:p>
        </w:tc>
      </w:tr>
      <w:tr w:rsidR="00706E31" w:rsidRPr="00AE313B" w:rsidTr="0039268C">
        <w:trPr>
          <w:trHeight w:val="330"/>
        </w:trPr>
        <w:tc>
          <w:tcPr>
            <w:tcW w:w="2420" w:type="dxa"/>
            <w:tcBorders>
              <w:top w:val="nil"/>
              <w:left w:val="single" w:sz="8" w:space="0" w:color="auto"/>
              <w:bottom w:val="single" w:sz="8" w:space="0" w:color="auto"/>
              <w:right w:val="single" w:sz="8" w:space="0" w:color="auto"/>
            </w:tcBorders>
            <w:shd w:val="clear" w:color="auto" w:fill="auto"/>
            <w:vAlign w:val="center"/>
            <w:hideMark/>
          </w:tcPr>
          <w:p w:rsidR="00706E31" w:rsidRPr="0039268C" w:rsidRDefault="00706E31" w:rsidP="00507035">
            <w:pPr>
              <w:spacing w:line="360" w:lineRule="auto"/>
              <w:rPr>
                <w:rFonts w:ascii="Arial" w:hAnsi="Arial" w:cs="Arial"/>
                <w:sz w:val="18"/>
                <w:szCs w:val="18"/>
              </w:rPr>
            </w:pPr>
            <w:r w:rsidRPr="0039268C">
              <w:rPr>
                <w:rFonts w:ascii="Arial" w:hAnsi="Arial" w:cs="Arial"/>
                <w:sz w:val="18"/>
                <w:szCs w:val="18"/>
              </w:rPr>
              <w:t>Trenčiansky kraj</w:t>
            </w:r>
          </w:p>
        </w:tc>
        <w:tc>
          <w:tcPr>
            <w:tcW w:w="1660" w:type="dxa"/>
            <w:tcBorders>
              <w:top w:val="nil"/>
              <w:left w:val="nil"/>
              <w:bottom w:val="single" w:sz="8" w:space="0" w:color="auto"/>
              <w:right w:val="single" w:sz="8" w:space="0" w:color="auto"/>
            </w:tcBorders>
            <w:shd w:val="clear" w:color="auto" w:fill="auto"/>
            <w:noWrap/>
            <w:vAlign w:val="center"/>
            <w:hideMark/>
          </w:tcPr>
          <w:p w:rsidR="00706E31" w:rsidRPr="0039268C" w:rsidRDefault="00706E31" w:rsidP="00507035">
            <w:pPr>
              <w:spacing w:line="360" w:lineRule="auto"/>
              <w:jc w:val="center"/>
              <w:rPr>
                <w:rFonts w:ascii="Arial" w:hAnsi="Arial" w:cs="Arial"/>
                <w:sz w:val="18"/>
                <w:szCs w:val="18"/>
              </w:rPr>
            </w:pPr>
            <w:r w:rsidRPr="0039268C">
              <w:rPr>
                <w:rFonts w:ascii="Arial" w:hAnsi="Arial" w:cs="Arial"/>
                <w:sz w:val="18"/>
                <w:szCs w:val="18"/>
              </w:rPr>
              <w:t>1,19</w:t>
            </w:r>
          </w:p>
        </w:tc>
        <w:tc>
          <w:tcPr>
            <w:tcW w:w="1600" w:type="dxa"/>
            <w:tcBorders>
              <w:top w:val="nil"/>
              <w:left w:val="nil"/>
              <w:bottom w:val="single" w:sz="8" w:space="0" w:color="auto"/>
              <w:right w:val="single" w:sz="8" w:space="0" w:color="auto"/>
            </w:tcBorders>
            <w:shd w:val="clear" w:color="auto" w:fill="auto"/>
            <w:noWrap/>
            <w:vAlign w:val="center"/>
            <w:hideMark/>
          </w:tcPr>
          <w:p w:rsidR="00706E31" w:rsidRPr="0039268C" w:rsidRDefault="00706E31" w:rsidP="00507035">
            <w:pPr>
              <w:spacing w:line="360" w:lineRule="auto"/>
              <w:jc w:val="center"/>
              <w:rPr>
                <w:rFonts w:ascii="Arial" w:hAnsi="Arial" w:cs="Arial"/>
                <w:sz w:val="18"/>
                <w:szCs w:val="18"/>
              </w:rPr>
            </w:pPr>
            <w:r w:rsidRPr="0039268C">
              <w:rPr>
                <w:rFonts w:ascii="Arial" w:hAnsi="Arial" w:cs="Arial"/>
                <w:sz w:val="18"/>
                <w:szCs w:val="18"/>
              </w:rPr>
              <w:t>11,26%</w:t>
            </w:r>
          </w:p>
        </w:tc>
      </w:tr>
      <w:tr w:rsidR="00706E31" w:rsidRPr="00AE313B" w:rsidTr="0039268C">
        <w:trPr>
          <w:trHeight w:val="330"/>
        </w:trPr>
        <w:tc>
          <w:tcPr>
            <w:tcW w:w="2420" w:type="dxa"/>
            <w:tcBorders>
              <w:top w:val="nil"/>
              <w:left w:val="single" w:sz="8" w:space="0" w:color="auto"/>
              <w:bottom w:val="single" w:sz="8" w:space="0" w:color="auto"/>
              <w:right w:val="single" w:sz="8" w:space="0" w:color="auto"/>
            </w:tcBorders>
            <w:shd w:val="clear" w:color="auto" w:fill="auto"/>
            <w:vAlign w:val="center"/>
            <w:hideMark/>
          </w:tcPr>
          <w:p w:rsidR="00706E31" w:rsidRPr="0039268C" w:rsidRDefault="00706E31" w:rsidP="00507035">
            <w:pPr>
              <w:spacing w:line="360" w:lineRule="auto"/>
              <w:rPr>
                <w:rFonts w:ascii="Arial" w:hAnsi="Arial" w:cs="Arial"/>
                <w:sz w:val="18"/>
                <w:szCs w:val="18"/>
              </w:rPr>
            </w:pPr>
            <w:r w:rsidRPr="0039268C">
              <w:rPr>
                <w:rFonts w:ascii="Arial" w:hAnsi="Arial" w:cs="Arial"/>
                <w:sz w:val="18"/>
                <w:szCs w:val="18"/>
              </w:rPr>
              <w:t>Žilinský kraj</w:t>
            </w:r>
          </w:p>
        </w:tc>
        <w:tc>
          <w:tcPr>
            <w:tcW w:w="1660" w:type="dxa"/>
            <w:tcBorders>
              <w:top w:val="nil"/>
              <w:left w:val="nil"/>
              <w:bottom w:val="single" w:sz="8" w:space="0" w:color="auto"/>
              <w:right w:val="single" w:sz="8" w:space="0" w:color="auto"/>
            </w:tcBorders>
            <w:shd w:val="clear" w:color="auto" w:fill="auto"/>
            <w:noWrap/>
            <w:vAlign w:val="center"/>
            <w:hideMark/>
          </w:tcPr>
          <w:p w:rsidR="00706E31" w:rsidRPr="0039268C" w:rsidRDefault="00706E31" w:rsidP="00507035">
            <w:pPr>
              <w:spacing w:line="360" w:lineRule="auto"/>
              <w:jc w:val="center"/>
              <w:rPr>
                <w:rFonts w:ascii="Arial" w:hAnsi="Arial" w:cs="Arial"/>
                <w:sz w:val="18"/>
                <w:szCs w:val="18"/>
              </w:rPr>
            </w:pPr>
            <w:r w:rsidRPr="0039268C">
              <w:rPr>
                <w:rFonts w:ascii="Arial" w:hAnsi="Arial" w:cs="Arial"/>
                <w:sz w:val="18"/>
                <w:szCs w:val="18"/>
              </w:rPr>
              <w:t>0,87</w:t>
            </w:r>
          </w:p>
        </w:tc>
        <w:tc>
          <w:tcPr>
            <w:tcW w:w="1600" w:type="dxa"/>
            <w:tcBorders>
              <w:top w:val="nil"/>
              <w:left w:val="nil"/>
              <w:bottom w:val="single" w:sz="8" w:space="0" w:color="auto"/>
              <w:right w:val="single" w:sz="8" w:space="0" w:color="auto"/>
            </w:tcBorders>
            <w:shd w:val="clear" w:color="auto" w:fill="auto"/>
            <w:noWrap/>
            <w:vAlign w:val="center"/>
            <w:hideMark/>
          </w:tcPr>
          <w:p w:rsidR="00706E31" w:rsidRPr="0039268C" w:rsidRDefault="00706E31" w:rsidP="00507035">
            <w:pPr>
              <w:spacing w:line="360" w:lineRule="auto"/>
              <w:jc w:val="center"/>
              <w:rPr>
                <w:rFonts w:ascii="Arial" w:hAnsi="Arial" w:cs="Arial"/>
                <w:sz w:val="18"/>
                <w:szCs w:val="18"/>
              </w:rPr>
            </w:pPr>
            <w:r w:rsidRPr="0039268C">
              <w:rPr>
                <w:rFonts w:ascii="Arial" w:hAnsi="Arial" w:cs="Arial"/>
                <w:sz w:val="18"/>
                <w:szCs w:val="18"/>
              </w:rPr>
              <w:t>8,23%</w:t>
            </w:r>
          </w:p>
        </w:tc>
      </w:tr>
      <w:tr w:rsidR="00A06B9F" w:rsidRPr="00AE313B" w:rsidTr="00A06B9F">
        <w:trPr>
          <w:trHeight w:val="330"/>
        </w:trPr>
        <w:tc>
          <w:tcPr>
            <w:tcW w:w="2420" w:type="dxa"/>
            <w:tcBorders>
              <w:top w:val="single" w:sz="8" w:space="0" w:color="auto"/>
              <w:left w:val="single" w:sz="8" w:space="0" w:color="auto"/>
              <w:bottom w:val="single" w:sz="8" w:space="0" w:color="auto"/>
              <w:right w:val="single" w:sz="8" w:space="0" w:color="auto"/>
            </w:tcBorders>
            <w:shd w:val="clear" w:color="000000" w:fill="EAF1DD"/>
            <w:vAlign w:val="center"/>
            <w:hideMark/>
          </w:tcPr>
          <w:p w:rsidR="00706E31" w:rsidRPr="0039268C" w:rsidRDefault="00706E31" w:rsidP="00507035">
            <w:pPr>
              <w:spacing w:line="360" w:lineRule="auto"/>
              <w:rPr>
                <w:rFonts w:ascii="Arial" w:hAnsi="Arial" w:cs="Arial"/>
                <w:b/>
                <w:bCs/>
                <w:sz w:val="18"/>
                <w:szCs w:val="18"/>
              </w:rPr>
            </w:pPr>
            <w:r w:rsidRPr="0039268C">
              <w:rPr>
                <w:rFonts w:ascii="Arial" w:hAnsi="Arial" w:cs="Arial"/>
                <w:b/>
                <w:bCs/>
                <w:sz w:val="18"/>
                <w:szCs w:val="18"/>
              </w:rPr>
              <w:t>Spolu</w:t>
            </w:r>
          </w:p>
        </w:tc>
        <w:tc>
          <w:tcPr>
            <w:tcW w:w="1660" w:type="dxa"/>
            <w:tcBorders>
              <w:top w:val="single" w:sz="8" w:space="0" w:color="auto"/>
              <w:left w:val="nil"/>
              <w:bottom w:val="single" w:sz="8" w:space="0" w:color="auto"/>
              <w:right w:val="single" w:sz="8" w:space="0" w:color="auto"/>
            </w:tcBorders>
            <w:shd w:val="clear" w:color="000000" w:fill="EAF1DD"/>
            <w:noWrap/>
            <w:vAlign w:val="center"/>
            <w:hideMark/>
          </w:tcPr>
          <w:p w:rsidR="00706E31" w:rsidRPr="0039268C" w:rsidRDefault="00706E31" w:rsidP="00507035">
            <w:pPr>
              <w:spacing w:line="360" w:lineRule="auto"/>
              <w:jc w:val="center"/>
              <w:rPr>
                <w:rFonts w:ascii="Arial" w:hAnsi="Arial" w:cs="Arial"/>
                <w:b/>
                <w:bCs/>
                <w:sz w:val="18"/>
                <w:szCs w:val="18"/>
              </w:rPr>
            </w:pPr>
            <w:r w:rsidRPr="0039268C">
              <w:rPr>
                <w:rFonts w:ascii="Arial" w:hAnsi="Arial" w:cs="Arial"/>
                <w:b/>
                <w:bCs/>
                <w:sz w:val="18"/>
                <w:szCs w:val="18"/>
              </w:rPr>
              <w:t>10,57</w:t>
            </w:r>
          </w:p>
        </w:tc>
        <w:tc>
          <w:tcPr>
            <w:tcW w:w="1600" w:type="dxa"/>
            <w:tcBorders>
              <w:top w:val="single" w:sz="8" w:space="0" w:color="auto"/>
              <w:left w:val="nil"/>
              <w:bottom w:val="single" w:sz="8" w:space="0" w:color="auto"/>
              <w:right w:val="single" w:sz="8" w:space="0" w:color="auto"/>
            </w:tcBorders>
            <w:shd w:val="clear" w:color="000000" w:fill="EAF1DD"/>
            <w:noWrap/>
            <w:vAlign w:val="center"/>
            <w:hideMark/>
          </w:tcPr>
          <w:p w:rsidR="00706E31" w:rsidRPr="0039268C" w:rsidRDefault="00706E31" w:rsidP="00507035">
            <w:pPr>
              <w:spacing w:line="360" w:lineRule="auto"/>
              <w:jc w:val="center"/>
              <w:rPr>
                <w:rFonts w:ascii="Arial" w:hAnsi="Arial" w:cs="Arial"/>
                <w:b/>
                <w:bCs/>
                <w:sz w:val="18"/>
                <w:szCs w:val="18"/>
              </w:rPr>
            </w:pPr>
            <w:r w:rsidRPr="0039268C">
              <w:rPr>
                <w:rFonts w:ascii="Arial" w:hAnsi="Arial" w:cs="Arial"/>
                <w:b/>
                <w:bCs/>
                <w:sz w:val="18"/>
                <w:szCs w:val="18"/>
              </w:rPr>
              <w:t>100,00%</w:t>
            </w:r>
          </w:p>
        </w:tc>
      </w:tr>
    </w:tbl>
    <w:p w:rsidR="00B41C71" w:rsidRPr="006A2BF3" w:rsidRDefault="00B41C71" w:rsidP="00B41C71">
      <w:pPr>
        <w:spacing w:line="360" w:lineRule="auto"/>
        <w:jc w:val="both"/>
        <w:rPr>
          <w:rFonts w:ascii="Arial" w:hAnsi="Arial" w:cs="Arial"/>
          <w:sz w:val="18"/>
          <w:szCs w:val="18"/>
        </w:rPr>
      </w:pPr>
      <w:r>
        <w:rPr>
          <w:rFonts w:ascii="Arial" w:hAnsi="Arial" w:cs="Arial"/>
          <w:sz w:val="18"/>
          <w:szCs w:val="18"/>
        </w:rPr>
        <w:t xml:space="preserve">     Zdroj: RO</w:t>
      </w:r>
    </w:p>
    <w:p w:rsidR="00507035" w:rsidRDefault="00507035">
      <w:pPr>
        <w:rPr>
          <w:rFonts w:ascii="Arial" w:hAnsi="Arial" w:cs="Arial"/>
          <w:sz w:val="20"/>
          <w:szCs w:val="20"/>
        </w:rPr>
      </w:pPr>
    </w:p>
    <w:p w:rsidR="00706E31" w:rsidRPr="0039268C" w:rsidRDefault="00AE313B" w:rsidP="00930222">
      <w:pPr>
        <w:spacing w:line="360" w:lineRule="auto"/>
        <w:jc w:val="both"/>
        <w:rPr>
          <w:rFonts w:ascii="Arial" w:hAnsi="Arial" w:cs="Arial"/>
          <w:sz w:val="20"/>
          <w:szCs w:val="20"/>
        </w:rPr>
      </w:pPr>
      <w:r>
        <w:rPr>
          <w:rFonts w:ascii="Arial" w:hAnsi="Arial" w:cs="Arial"/>
          <w:sz w:val="20"/>
          <w:szCs w:val="20"/>
        </w:rPr>
        <w:t>Tab</w:t>
      </w:r>
      <w:r w:rsidR="00E57A5C">
        <w:rPr>
          <w:rFonts w:ascii="Arial" w:hAnsi="Arial" w:cs="Arial"/>
          <w:sz w:val="20"/>
          <w:szCs w:val="20"/>
        </w:rPr>
        <w:t>.</w:t>
      </w:r>
      <w:r>
        <w:rPr>
          <w:rFonts w:ascii="Arial" w:hAnsi="Arial" w:cs="Arial"/>
          <w:sz w:val="20"/>
          <w:szCs w:val="20"/>
        </w:rPr>
        <w:t xml:space="preserve"> č</w:t>
      </w:r>
      <w:r w:rsidR="00E513D9">
        <w:rPr>
          <w:rFonts w:ascii="Arial" w:hAnsi="Arial" w:cs="Arial"/>
          <w:sz w:val="20"/>
          <w:szCs w:val="20"/>
        </w:rPr>
        <w:t xml:space="preserve">. </w:t>
      </w:r>
      <w:r w:rsidR="00165CA5">
        <w:rPr>
          <w:rFonts w:ascii="Arial" w:hAnsi="Arial" w:cs="Arial"/>
          <w:sz w:val="20"/>
          <w:szCs w:val="20"/>
        </w:rPr>
        <w:t>9</w:t>
      </w:r>
      <w:r w:rsidR="00E513D9">
        <w:rPr>
          <w:rFonts w:ascii="Arial" w:hAnsi="Arial" w:cs="Arial"/>
          <w:sz w:val="20"/>
          <w:szCs w:val="20"/>
        </w:rPr>
        <w:t xml:space="preserve">: </w:t>
      </w:r>
      <w:r w:rsidR="00706E31" w:rsidRPr="0039268C">
        <w:rPr>
          <w:rFonts w:ascii="Arial" w:hAnsi="Arial" w:cs="Arial"/>
          <w:sz w:val="20"/>
          <w:szCs w:val="20"/>
        </w:rPr>
        <w:t>Podiel štátnej pomoci poskytnutej malým podnikom na celkovej štátnej pomoci poskytnutej v roku 2012 (indikatívne):</w:t>
      </w:r>
    </w:p>
    <w:tbl>
      <w:tblPr>
        <w:tblW w:w="5160" w:type="dxa"/>
        <w:tblInd w:w="354" w:type="dxa"/>
        <w:tblCellMar>
          <w:left w:w="70" w:type="dxa"/>
          <w:right w:w="70" w:type="dxa"/>
        </w:tblCellMar>
        <w:tblLook w:val="0000" w:firstRow="0" w:lastRow="0" w:firstColumn="0" w:lastColumn="0" w:noHBand="0" w:noVBand="0"/>
      </w:tblPr>
      <w:tblGrid>
        <w:gridCol w:w="2080"/>
        <w:gridCol w:w="1620"/>
        <w:gridCol w:w="1460"/>
      </w:tblGrid>
      <w:tr w:rsidR="00A06B9F" w:rsidRPr="001A6AE9" w:rsidTr="00A06B9F">
        <w:trPr>
          <w:trHeight w:val="270"/>
        </w:trPr>
        <w:tc>
          <w:tcPr>
            <w:tcW w:w="2080" w:type="dxa"/>
            <w:tcBorders>
              <w:top w:val="single" w:sz="8" w:space="0" w:color="auto"/>
              <w:left w:val="single" w:sz="8" w:space="0" w:color="auto"/>
              <w:bottom w:val="single" w:sz="8" w:space="0" w:color="auto"/>
              <w:right w:val="single" w:sz="4" w:space="0" w:color="auto"/>
            </w:tcBorders>
            <w:shd w:val="clear" w:color="auto" w:fill="D6E3BC"/>
            <w:noWrap/>
            <w:vAlign w:val="center"/>
          </w:tcPr>
          <w:p w:rsidR="00706E31" w:rsidRPr="0039268C" w:rsidRDefault="00706E31" w:rsidP="00507035">
            <w:pPr>
              <w:spacing w:line="360" w:lineRule="auto"/>
              <w:rPr>
                <w:rFonts w:ascii="Arial" w:hAnsi="Arial" w:cs="Arial"/>
                <w:sz w:val="18"/>
                <w:szCs w:val="18"/>
              </w:rPr>
            </w:pPr>
            <w:r w:rsidRPr="0039268C">
              <w:rPr>
                <w:rFonts w:ascii="Arial" w:hAnsi="Arial" w:cs="Arial"/>
                <w:sz w:val="18"/>
                <w:szCs w:val="18"/>
              </w:rPr>
              <w:t> </w:t>
            </w:r>
          </w:p>
        </w:tc>
        <w:tc>
          <w:tcPr>
            <w:tcW w:w="1620" w:type="dxa"/>
            <w:tcBorders>
              <w:top w:val="single" w:sz="8" w:space="0" w:color="auto"/>
              <w:left w:val="nil"/>
              <w:bottom w:val="single" w:sz="8" w:space="0" w:color="auto"/>
              <w:right w:val="single" w:sz="4" w:space="0" w:color="auto"/>
            </w:tcBorders>
            <w:shd w:val="clear" w:color="auto" w:fill="D6E3BC"/>
            <w:noWrap/>
            <w:vAlign w:val="center"/>
          </w:tcPr>
          <w:p w:rsidR="00706E31" w:rsidRPr="0039268C" w:rsidRDefault="00706E31" w:rsidP="00DF12B0">
            <w:pPr>
              <w:spacing w:line="360" w:lineRule="auto"/>
              <w:jc w:val="center"/>
              <w:rPr>
                <w:rFonts w:ascii="Arial" w:hAnsi="Arial" w:cs="Arial"/>
                <w:b/>
                <w:bCs/>
                <w:sz w:val="18"/>
                <w:szCs w:val="18"/>
              </w:rPr>
            </w:pPr>
            <w:r w:rsidRPr="0039268C">
              <w:rPr>
                <w:rFonts w:ascii="Arial" w:hAnsi="Arial" w:cs="Arial"/>
                <w:b/>
                <w:bCs/>
                <w:sz w:val="18"/>
                <w:szCs w:val="18"/>
              </w:rPr>
              <w:t xml:space="preserve">Objem v mil. </w:t>
            </w:r>
            <w:r w:rsidR="00DF12B0">
              <w:rPr>
                <w:rFonts w:ascii="Arial" w:hAnsi="Arial" w:cs="Arial"/>
                <w:b/>
                <w:bCs/>
                <w:sz w:val="18"/>
                <w:szCs w:val="18"/>
              </w:rPr>
              <w:t>EUR</w:t>
            </w:r>
          </w:p>
        </w:tc>
        <w:tc>
          <w:tcPr>
            <w:tcW w:w="1460" w:type="dxa"/>
            <w:tcBorders>
              <w:top w:val="single" w:sz="8" w:space="0" w:color="auto"/>
              <w:left w:val="nil"/>
              <w:bottom w:val="single" w:sz="8" w:space="0" w:color="auto"/>
              <w:right w:val="single" w:sz="8" w:space="0" w:color="auto"/>
            </w:tcBorders>
            <w:shd w:val="clear" w:color="auto" w:fill="D6E3BC"/>
            <w:noWrap/>
            <w:vAlign w:val="center"/>
          </w:tcPr>
          <w:p w:rsidR="00706E31" w:rsidRPr="0039268C" w:rsidRDefault="00706E31" w:rsidP="00507035">
            <w:pPr>
              <w:spacing w:line="360" w:lineRule="auto"/>
              <w:jc w:val="center"/>
              <w:rPr>
                <w:rFonts w:ascii="Arial" w:hAnsi="Arial" w:cs="Arial"/>
                <w:b/>
                <w:bCs/>
                <w:sz w:val="18"/>
                <w:szCs w:val="18"/>
              </w:rPr>
            </w:pPr>
            <w:r w:rsidRPr="0039268C">
              <w:rPr>
                <w:rFonts w:ascii="Arial" w:hAnsi="Arial" w:cs="Arial"/>
                <w:b/>
                <w:bCs/>
                <w:sz w:val="18"/>
                <w:szCs w:val="18"/>
              </w:rPr>
              <w:t>%</w:t>
            </w:r>
          </w:p>
        </w:tc>
      </w:tr>
      <w:tr w:rsidR="00706E31" w:rsidRPr="001A6AE9" w:rsidTr="0039268C">
        <w:trPr>
          <w:trHeight w:val="255"/>
        </w:trPr>
        <w:tc>
          <w:tcPr>
            <w:tcW w:w="2080" w:type="dxa"/>
            <w:tcBorders>
              <w:top w:val="nil"/>
              <w:left w:val="single" w:sz="8" w:space="0" w:color="auto"/>
              <w:bottom w:val="single" w:sz="4" w:space="0" w:color="auto"/>
              <w:right w:val="single" w:sz="4" w:space="0" w:color="auto"/>
            </w:tcBorders>
            <w:shd w:val="clear" w:color="auto" w:fill="auto"/>
            <w:noWrap/>
            <w:vAlign w:val="center"/>
          </w:tcPr>
          <w:p w:rsidR="00706E31" w:rsidRPr="0039268C" w:rsidRDefault="00706E31" w:rsidP="00507035">
            <w:pPr>
              <w:spacing w:line="360" w:lineRule="auto"/>
              <w:rPr>
                <w:rFonts w:ascii="Arial" w:hAnsi="Arial" w:cs="Arial"/>
                <w:sz w:val="18"/>
                <w:szCs w:val="18"/>
              </w:rPr>
            </w:pPr>
            <w:r w:rsidRPr="0039268C">
              <w:rPr>
                <w:rFonts w:ascii="Arial" w:hAnsi="Arial" w:cs="Arial"/>
                <w:sz w:val="18"/>
                <w:szCs w:val="18"/>
              </w:rPr>
              <w:t>Malý podnik*</w:t>
            </w:r>
          </w:p>
        </w:tc>
        <w:tc>
          <w:tcPr>
            <w:tcW w:w="1620" w:type="dxa"/>
            <w:tcBorders>
              <w:top w:val="nil"/>
              <w:left w:val="nil"/>
              <w:bottom w:val="single" w:sz="4" w:space="0" w:color="auto"/>
              <w:right w:val="single" w:sz="4" w:space="0" w:color="auto"/>
            </w:tcBorders>
            <w:shd w:val="clear" w:color="auto" w:fill="auto"/>
            <w:noWrap/>
            <w:vAlign w:val="center"/>
          </w:tcPr>
          <w:p w:rsidR="00706E31" w:rsidRPr="0039268C" w:rsidRDefault="00706E31" w:rsidP="00507035">
            <w:pPr>
              <w:spacing w:line="360" w:lineRule="auto"/>
              <w:jc w:val="center"/>
              <w:rPr>
                <w:rFonts w:ascii="Arial" w:hAnsi="Arial" w:cs="Arial"/>
                <w:sz w:val="18"/>
                <w:szCs w:val="18"/>
              </w:rPr>
            </w:pPr>
            <w:r w:rsidRPr="0039268C">
              <w:rPr>
                <w:rFonts w:ascii="Arial" w:hAnsi="Arial" w:cs="Arial"/>
                <w:sz w:val="18"/>
                <w:szCs w:val="18"/>
              </w:rPr>
              <w:t>6,20</w:t>
            </w:r>
          </w:p>
        </w:tc>
        <w:tc>
          <w:tcPr>
            <w:tcW w:w="1460" w:type="dxa"/>
            <w:tcBorders>
              <w:top w:val="nil"/>
              <w:left w:val="nil"/>
              <w:bottom w:val="single" w:sz="4" w:space="0" w:color="auto"/>
              <w:right w:val="single" w:sz="8" w:space="0" w:color="auto"/>
            </w:tcBorders>
            <w:shd w:val="clear" w:color="auto" w:fill="auto"/>
            <w:noWrap/>
            <w:vAlign w:val="center"/>
          </w:tcPr>
          <w:p w:rsidR="00706E31" w:rsidRPr="0039268C" w:rsidRDefault="00706E31" w:rsidP="00507035">
            <w:pPr>
              <w:spacing w:line="360" w:lineRule="auto"/>
              <w:jc w:val="center"/>
              <w:rPr>
                <w:rFonts w:ascii="Arial" w:hAnsi="Arial" w:cs="Arial"/>
                <w:sz w:val="18"/>
                <w:szCs w:val="18"/>
              </w:rPr>
            </w:pPr>
            <w:r w:rsidRPr="0039268C">
              <w:rPr>
                <w:rFonts w:ascii="Arial" w:hAnsi="Arial" w:cs="Arial"/>
                <w:sz w:val="18"/>
                <w:szCs w:val="18"/>
              </w:rPr>
              <w:t>58,66%</w:t>
            </w:r>
          </w:p>
        </w:tc>
      </w:tr>
      <w:tr w:rsidR="00706E31" w:rsidRPr="001A6AE9" w:rsidTr="0039268C">
        <w:trPr>
          <w:trHeight w:val="255"/>
        </w:trPr>
        <w:tc>
          <w:tcPr>
            <w:tcW w:w="2080" w:type="dxa"/>
            <w:tcBorders>
              <w:top w:val="nil"/>
              <w:left w:val="single" w:sz="8" w:space="0" w:color="auto"/>
              <w:bottom w:val="single" w:sz="4" w:space="0" w:color="auto"/>
              <w:right w:val="single" w:sz="4" w:space="0" w:color="auto"/>
            </w:tcBorders>
            <w:shd w:val="clear" w:color="auto" w:fill="auto"/>
            <w:noWrap/>
            <w:vAlign w:val="center"/>
          </w:tcPr>
          <w:p w:rsidR="00706E31" w:rsidRPr="0039268C" w:rsidRDefault="00706E31" w:rsidP="00507035">
            <w:pPr>
              <w:spacing w:line="360" w:lineRule="auto"/>
              <w:rPr>
                <w:rFonts w:ascii="Arial" w:hAnsi="Arial" w:cs="Arial"/>
                <w:sz w:val="18"/>
                <w:szCs w:val="18"/>
              </w:rPr>
            </w:pPr>
            <w:r w:rsidRPr="0039268C">
              <w:rPr>
                <w:rFonts w:ascii="Arial" w:hAnsi="Arial" w:cs="Arial"/>
                <w:sz w:val="18"/>
                <w:szCs w:val="18"/>
              </w:rPr>
              <w:t>Stredný podnik</w:t>
            </w:r>
          </w:p>
        </w:tc>
        <w:tc>
          <w:tcPr>
            <w:tcW w:w="1620" w:type="dxa"/>
            <w:tcBorders>
              <w:top w:val="nil"/>
              <w:left w:val="nil"/>
              <w:bottom w:val="single" w:sz="4" w:space="0" w:color="auto"/>
              <w:right w:val="single" w:sz="4" w:space="0" w:color="auto"/>
            </w:tcBorders>
            <w:shd w:val="clear" w:color="auto" w:fill="auto"/>
            <w:noWrap/>
            <w:vAlign w:val="center"/>
          </w:tcPr>
          <w:p w:rsidR="00706E31" w:rsidRPr="0039268C" w:rsidRDefault="00706E31" w:rsidP="00507035">
            <w:pPr>
              <w:spacing w:line="360" w:lineRule="auto"/>
              <w:jc w:val="center"/>
              <w:rPr>
                <w:rFonts w:ascii="Arial" w:hAnsi="Arial" w:cs="Arial"/>
                <w:sz w:val="18"/>
                <w:szCs w:val="18"/>
              </w:rPr>
            </w:pPr>
            <w:r w:rsidRPr="0039268C">
              <w:rPr>
                <w:rFonts w:ascii="Arial" w:hAnsi="Arial" w:cs="Arial"/>
                <w:sz w:val="18"/>
                <w:szCs w:val="18"/>
              </w:rPr>
              <w:t>1,32</w:t>
            </w:r>
          </w:p>
        </w:tc>
        <w:tc>
          <w:tcPr>
            <w:tcW w:w="1460" w:type="dxa"/>
            <w:tcBorders>
              <w:top w:val="nil"/>
              <w:left w:val="nil"/>
              <w:bottom w:val="single" w:sz="4" w:space="0" w:color="auto"/>
              <w:right w:val="single" w:sz="8" w:space="0" w:color="auto"/>
            </w:tcBorders>
            <w:shd w:val="clear" w:color="auto" w:fill="auto"/>
            <w:noWrap/>
            <w:vAlign w:val="center"/>
          </w:tcPr>
          <w:p w:rsidR="00706E31" w:rsidRPr="0039268C" w:rsidRDefault="00706E31" w:rsidP="00507035">
            <w:pPr>
              <w:spacing w:line="360" w:lineRule="auto"/>
              <w:jc w:val="center"/>
              <w:rPr>
                <w:rFonts w:ascii="Arial" w:hAnsi="Arial" w:cs="Arial"/>
                <w:sz w:val="18"/>
                <w:szCs w:val="18"/>
              </w:rPr>
            </w:pPr>
            <w:r w:rsidRPr="0039268C">
              <w:rPr>
                <w:rFonts w:ascii="Arial" w:hAnsi="Arial" w:cs="Arial"/>
                <w:sz w:val="18"/>
                <w:szCs w:val="18"/>
              </w:rPr>
              <w:t>12,49%</w:t>
            </w:r>
          </w:p>
        </w:tc>
      </w:tr>
      <w:tr w:rsidR="00706E31" w:rsidRPr="001A6AE9" w:rsidTr="0039268C">
        <w:trPr>
          <w:trHeight w:val="270"/>
        </w:trPr>
        <w:tc>
          <w:tcPr>
            <w:tcW w:w="2080" w:type="dxa"/>
            <w:tcBorders>
              <w:top w:val="nil"/>
              <w:left w:val="single" w:sz="8" w:space="0" w:color="auto"/>
              <w:bottom w:val="single" w:sz="8" w:space="0" w:color="auto"/>
              <w:right w:val="single" w:sz="4" w:space="0" w:color="auto"/>
            </w:tcBorders>
            <w:shd w:val="clear" w:color="auto" w:fill="auto"/>
            <w:noWrap/>
            <w:vAlign w:val="center"/>
          </w:tcPr>
          <w:p w:rsidR="00706E31" w:rsidRPr="0039268C" w:rsidRDefault="00706E31" w:rsidP="00507035">
            <w:pPr>
              <w:spacing w:line="360" w:lineRule="auto"/>
              <w:rPr>
                <w:rFonts w:ascii="Arial" w:hAnsi="Arial" w:cs="Arial"/>
                <w:sz w:val="18"/>
                <w:szCs w:val="18"/>
              </w:rPr>
            </w:pPr>
            <w:r w:rsidRPr="0039268C">
              <w:rPr>
                <w:rFonts w:ascii="Arial" w:hAnsi="Arial" w:cs="Arial"/>
                <w:sz w:val="18"/>
                <w:szCs w:val="18"/>
              </w:rPr>
              <w:t>Veľký podnik</w:t>
            </w:r>
          </w:p>
        </w:tc>
        <w:tc>
          <w:tcPr>
            <w:tcW w:w="1620" w:type="dxa"/>
            <w:tcBorders>
              <w:top w:val="nil"/>
              <w:left w:val="nil"/>
              <w:bottom w:val="single" w:sz="8" w:space="0" w:color="auto"/>
              <w:right w:val="single" w:sz="4" w:space="0" w:color="auto"/>
            </w:tcBorders>
            <w:shd w:val="clear" w:color="auto" w:fill="auto"/>
            <w:noWrap/>
            <w:vAlign w:val="center"/>
          </w:tcPr>
          <w:p w:rsidR="00706E31" w:rsidRPr="0039268C" w:rsidRDefault="00706E31" w:rsidP="00507035">
            <w:pPr>
              <w:spacing w:line="360" w:lineRule="auto"/>
              <w:jc w:val="center"/>
              <w:rPr>
                <w:rFonts w:ascii="Arial" w:hAnsi="Arial" w:cs="Arial"/>
                <w:sz w:val="18"/>
                <w:szCs w:val="18"/>
              </w:rPr>
            </w:pPr>
            <w:r w:rsidRPr="0039268C">
              <w:rPr>
                <w:rFonts w:ascii="Arial" w:hAnsi="Arial" w:cs="Arial"/>
                <w:sz w:val="18"/>
                <w:szCs w:val="18"/>
              </w:rPr>
              <w:t>3,05</w:t>
            </w:r>
          </w:p>
        </w:tc>
        <w:tc>
          <w:tcPr>
            <w:tcW w:w="1460" w:type="dxa"/>
            <w:tcBorders>
              <w:top w:val="nil"/>
              <w:left w:val="nil"/>
              <w:bottom w:val="single" w:sz="8" w:space="0" w:color="auto"/>
              <w:right w:val="single" w:sz="8" w:space="0" w:color="auto"/>
            </w:tcBorders>
            <w:shd w:val="clear" w:color="auto" w:fill="auto"/>
            <w:noWrap/>
            <w:vAlign w:val="center"/>
          </w:tcPr>
          <w:p w:rsidR="00706E31" w:rsidRPr="0039268C" w:rsidRDefault="00706E31" w:rsidP="00507035">
            <w:pPr>
              <w:spacing w:line="360" w:lineRule="auto"/>
              <w:jc w:val="center"/>
              <w:rPr>
                <w:rFonts w:ascii="Arial" w:hAnsi="Arial" w:cs="Arial"/>
                <w:sz w:val="18"/>
                <w:szCs w:val="18"/>
              </w:rPr>
            </w:pPr>
            <w:r w:rsidRPr="0039268C">
              <w:rPr>
                <w:rFonts w:ascii="Arial" w:hAnsi="Arial" w:cs="Arial"/>
                <w:sz w:val="18"/>
                <w:szCs w:val="18"/>
              </w:rPr>
              <w:t>28,86%</w:t>
            </w:r>
          </w:p>
        </w:tc>
      </w:tr>
      <w:tr w:rsidR="00A06B9F" w:rsidRPr="001A6AE9" w:rsidTr="00A06B9F">
        <w:trPr>
          <w:trHeight w:val="270"/>
        </w:trPr>
        <w:tc>
          <w:tcPr>
            <w:tcW w:w="2080" w:type="dxa"/>
            <w:tcBorders>
              <w:top w:val="single" w:sz="8" w:space="0" w:color="auto"/>
              <w:left w:val="single" w:sz="8" w:space="0" w:color="auto"/>
              <w:bottom w:val="single" w:sz="8" w:space="0" w:color="auto"/>
              <w:right w:val="single" w:sz="4" w:space="0" w:color="auto"/>
            </w:tcBorders>
            <w:shd w:val="clear" w:color="auto" w:fill="EAF1DD"/>
            <w:noWrap/>
            <w:vAlign w:val="center"/>
          </w:tcPr>
          <w:p w:rsidR="00706E31" w:rsidRPr="0039268C" w:rsidRDefault="00706E31" w:rsidP="00507035">
            <w:pPr>
              <w:spacing w:line="360" w:lineRule="auto"/>
              <w:rPr>
                <w:rFonts w:ascii="Arial" w:hAnsi="Arial" w:cs="Arial"/>
                <w:sz w:val="18"/>
                <w:szCs w:val="18"/>
              </w:rPr>
            </w:pPr>
            <w:r w:rsidRPr="0039268C">
              <w:rPr>
                <w:rFonts w:ascii="Arial" w:hAnsi="Arial" w:cs="Arial"/>
                <w:sz w:val="18"/>
                <w:szCs w:val="18"/>
              </w:rPr>
              <w:t>Spolu</w:t>
            </w:r>
          </w:p>
        </w:tc>
        <w:tc>
          <w:tcPr>
            <w:tcW w:w="1620" w:type="dxa"/>
            <w:tcBorders>
              <w:top w:val="single" w:sz="8" w:space="0" w:color="auto"/>
              <w:left w:val="nil"/>
              <w:bottom w:val="single" w:sz="8" w:space="0" w:color="auto"/>
              <w:right w:val="single" w:sz="4" w:space="0" w:color="auto"/>
            </w:tcBorders>
            <w:shd w:val="clear" w:color="auto" w:fill="EAF1DD"/>
            <w:noWrap/>
            <w:vAlign w:val="center"/>
          </w:tcPr>
          <w:p w:rsidR="00706E31" w:rsidRPr="0039268C" w:rsidRDefault="00706E31" w:rsidP="00507035">
            <w:pPr>
              <w:spacing w:line="360" w:lineRule="auto"/>
              <w:jc w:val="center"/>
              <w:rPr>
                <w:rFonts w:ascii="Arial" w:hAnsi="Arial" w:cs="Arial"/>
                <w:b/>
                <w:bCs/>
                <w:sz w:val="18"/>
                <w:szCs w:val="18"/>
              </w:rPr>
            </w:pPr>
            <w:r w:rsidRPr="0039268C">
              <w:rPr>
                <w:rFonts w:ascii="Arial" w:hAnsi="Arial" w:cs="Arial"/>
                <w:b/>
                <w:bCs/>
                <w:sz w:val="18"/>
                <w:szCs w:val="18"/>
              </w:rPr>
              <w:t>10,57</w:t>
            </w:r>
          </w:p>
        </w:tc>
        <w:tc>
          <w:tcPr>
            <w:tcW w:w="1460" w:type="dxa"/>
            <w:tcBorders>
              <w:top w:val="single" w:sz="8" w:space="0" w:color="auto"/>
              <w:left w:val="nil"/>
              <w:bottom w:val="single" w:sz="8" w:space="0" w:color="auto"/>
              <w:right w:val="single" w:sz="8" w:space="0" w:color="auto"/>
            </w:tcBorders>
            <w:shd w:val="clear" w:color="auto" w:fill="EAF1DD"/>
            <w:noWrap/>
            <w:vAlign w:val="center"/>
          </w:tcPr>
          <w:p w:rsidR="00706E31" w:rsidRPr="0039268C" w:rsidRDefault="00706E31" w:rsidP="00507035">
            <w:pPr>
              <w:spacing w:line="360" w:lineRule="auto"/>
              <w:jc w:val="center"/>
              <w:rPr>
                <w:rFonts w:ascii="Arial" w:hAnsi="Arial" w:cs="Arial"/>
                <w:b/>
                <w:bCs/>
                <w:sz w:val="18"/>
                <w:szCs w:val="18"/>
              </w:rPr>
            </w:pPr>
            <w:r w:rsidRPr="0039268C">
              <w:rPr>
                <w:rFonts w:ascii="Arial" w:hAnsi="Arial" w:cs="Arial"/>
                <w:b/>
                <w:bCs/>
                <w:sz w:val="18"/>
                <w:szCs w:val="18"/>
              </w:rPr>
              <w:t>100,00%</w:t>
            </w:r>
          </w:p>
        </w:tc>
      </w:tr>
    </w:tbl>
    <w:p w:rsidR="00B41C71" w:rsidRPr="006A2BF3" w:rsidRDefault="00B41C71" w:rsidP="00B41C71">
      <w:pPr>
        <w:spacing w:line="360" w:lineRule="auto"/>
        <w:jc w:val="both"/>
        <w:rPr>
          <w:rFonts w:ascii="Arial" w:hAnsi="Arial" w:cs="Arial"/>
          <w:sz w:val="18"/>
          <w:szCs w:val="18"/>
        </w:rPr>
      </w:pPr>
      <w:r>
        <w:rPr>
          <w:rFonts w:ascii="Arial" w:hAnsi="Arial" w:cs="Arial"/>
          <w:sz w:val="18"/>
          <w:szCs w:val="18"/>
        </w:rPr>
        <w:t xml:space="preserve">     Zdroj: RO</w:t>
      </w:r>
    </w:p>
    <w:p w:rsidR="00706E31" w:rsidRPr="0039268C" w:rsidRDefault="00706E31" w:rsidP="00507035">
      <w:pPr>
        <w:spacing w:line="360" w:lineRule="auto"/>
        <w:ind w:left="284"/>
        <w:rPr>
          <w:rFonts w:ascii="Arial" w:hAnsi="Arial" w:cs="Arial"/>
          <w:i/>
          <w:sz w:val="18"/>
          <w:szCs w:val="18"/>
        </w:rPr>
      </w:pPr>
      <w:r w:rsidRPr="0039268C">
        <w:rPr>
          <w:rFonts w:ascii="Arial" w:hAnsi="Arial" w:cs="Arial"/>
          <w:i/>
          <w:sz w:val="18"/>
          <w:szCs w:val="18"/>
        </w:rPr>
        <w:t>*položka v sebe zahŕňa aj mikropodniky</w:t>
      </w:r>
    </w:p>
    <w:p w:rsidR="00706E31" w:rsidRPr="0039268C" w:rsidRDefault="00706E31" w:rsidP="00507035">
      <w:pPr>
        <w:spacing w:before="120" w:after="120" w:line="360" w:lineRule="auto"/>
        <w:ind w:left="1890"/>
        <w:rPr>
          <w:rFonts w:ascii="Arial" w:hAnsi="Arial" w:cs="Arial"/>
          <w:sz w:val="20"/>
          <w:szCs w:val="20"/>
        </w:rPr>
      </w:pPr>
    </w:p>
    <w:p w:rsidR="00706E31" w:rsidRPr="0039268C" w:rsidRDefault="00706E31" w:rsidP="00507035">
      <w:pPr>
        <w:spacing w:before="120" w:after="120" w:line="360" w:lineRule="auto"/>
        <w:jc w:val="both"/>
        <w:rPr>
          <w:rFonts w:ascii="Arial" w:hAnsi="Arial" w:cs="Arial"/>
          <w:sz w:val="20"/>
          <w:szCs w:val="20"/>
          <w:u w:val="single"/>
        </w:rPr>
      </w:pPr>
      <w:r w:rsidRPr="0039268C">
        <w:rPr>
          <w:rFonts w:ascii="Arial" w:hAnsi="Arial" w:cs="Arial"/>
          <w:sz w:val="20"/>
          <w:szCs w:val="20"/>
          <w:u w:val="single"/>
        </w:rPr>
        <w:t xml:space="preserve">Vyhodnotenie prínosu štátnej pomoci poskytnutej </w:t>
      </w:r>
      <w:r w:rsidR="00CC3C51">
        <w:rPr>
          <w:rFonts w:ascii="Arial" w:hAnsi="Arial" w:cs="Arial"/>
          <w:sz w:val="20"/>
          <w:szCs w:val="20"/>
          <w:u w:val="single"/>
        </w:rPr>
        <w:t>z OP ŽP</w:t>
      </w:r>
      <w:r w:rsidRPr="0039268C">
        <w:rPr>
          <w:rFonts w:ascii="Arial" w:hAnsi="Arial" w:cs="Arial"/>
          <w:sz w:val="20"/>
          <w:szCs w:val="20"/>
          <w:u w:val="single"/>
        </w:rPr>
        <w:t xml:space="preserve"> v roku 2012</w:t>
      </w:r>
    </w:p>
    <w:p w:rsidR="00706E31" w:rsidRPr="0039268C" w:rsidRDefault="001A6AE9" w:rsidP="001540E7">
      <w:pPr>
        <w:numPr>
          <w:ilvl w:val="0"/>
          <w:numId w:val="46"/>
        </w:numPr>
        <w:spacing w:before="120" w:after="120" w:line="360" w:lineRule="auto"/>
        <w:ind w:left="0" w:firstLine="357"/>
        <w:jc w:val="both"/>
        <w:rPr>
          <w:rFonts w:ascii="Arial" w:hAnsi="Arial" w:cs="Arial"/>
          <w:sz w:val="20"/>
          <w:szCs w:val="20"/>
        </w:rPr>
      </w:pPr>
      <w:r>
        <w:rPr>
          <w:rFonts w:ascii="Arial" w:hAnsi="Arial" w:cs="Arial"/>
          <w:sz w:val="20"/>
          <w:szCs w:val="20"/>
        </w:rPr>
        <w:t xml:space="preserve"> </w:t>
      </w:r>
      <w:r w:rsidR="00706E31" w:rsidRPr="0039268C">
        <w:rPr>
          <w:rFonts w:ascii="Arial" w:hAnsi="Arial" w:cs="Arial"/>
          <w:sz w:val="20"/>
          <w:szCs w:val="20"/>
        </w:rPr>
        <w:t xml:space="preserve">V rámci OP ŽP sa na úrovni projektov sleduje súbor </w:t>
      </w:r>
      <w:r w:rsidR="008A421F">
        <w:rPr>
          <w:rFonts w:ascii="Arial" w:hAnsi="Arial" w:cs="Arial"/>
          <w:sz w:val="20"/>
          <w:szCs w:val="20"/>
        </w:rPr>
        <w:t xml:space="preserve">nasledovných </w:t>
      </w:r>
      <w:r w:rsidR="00706E31" w:rsidRPr="0039268C">
        <w:rPr>
          <w:rFonts w:ascii="Arial" w:hAnsi="Arial" w:cs="Arial"/>
          <w:sz w:val="20"/>
          <w:szCs w:val="20"/>
        </w:rPr>
        <w:t>merateľných ukazovateľov v oblasti ochrany ovzdušia a odpadového hospodárstva:</w:t>
      </w:r>
    </w:p>
    <w:p w:rsidR="00706E31" w:rsidRPr="003E3D98" w:rsidRDefault="008A421F" w:rsidP="001540E7">
      <w:pPr>
        <w:numPr>
          <w:ilvl w:val="0"/>
          <w:numId w:val="47"/>
        </w:numPr>
        <w:autoSpaceDE w:val="0"/>
        <w:autoSpaceDN w:val="0"/>
        <w:adjustRightInd w:val="0"/>
        <w:spacing w:before="120" w:after="120" w:line="360" w:lineRule="auto"/>
        <w:ind w:left="714" w:hanging="357"/>
        <w:jc w:val="both"/>
        <w:rPr>
          <w:rFonts w:ascii="Arial" w:eastAsia="Calibri" w:hAnsi="Arial" w:cs="Arial"/>
          <w:color w:val="000000"/>
          <w:sz w:val="20"/>
          <w:szCs w:val="20"/>
          <w:lang w:eastAsia="en-US"/>
        </w:rPr>
      </w:pPr>
      <w:r>
        <w:rPr>
          <w:rFonts w:ascii="Arial" w:eastAsia="Calibri" w:hAnsi="Arial" w:cs="Arial"/>
          <w:color w:val="000000"/>
          <w:sz w:val="20"/>
          <w:szCs w:val="20"/>
          <w:lang w:eastAsia="en-US"/>
        </w:rPr>
        <w:t xml:space="preserve"> </w:t>
      </w:r>
      <w:r>
        <w:rPr>
          <w:rFonts w:ascii="Arial" w:eastAsia="Calibri" w:hAnsi="Arial" w:cs="Arial"/>
          <w:color w:val="000000"/>
          <w:sz w:val="20"/>
          <w:szCs w:val="20"/>
          <w:lang w:eastAsia="en-US"/>
        </w:rPr>
        <w:tab/>
      </w:r>
      <w:r w:rsidR="00706E31" w:rsidRPr="003E3D98">
        <w:rPr>
          <w:rFonts w:ascii="Arial" w:eastAsia="Calibri" w:hAnsi="Arial" w:cs="Arial"/>
          <w:color w:val="000000"/>
          <w:sz w:val="20"/>
          <w:szCs w:val="20"/>
          <w:lang w:eastAsia="en-US"/>
        </w:rPr>
        <w:t xml:space="preserve">Množstvo emisií skleníkových plynov v t/rok pred projektom/po projekte.  </w:t>
      </w:r>
    </w:p>
    <w:p w:rsidR="00706E31" w:rsidRPr="003E3D98" w:rsidRDefault="00706E31" w:rsidP="00507035">
      <w:pPr>
        <w:autoSpaceDE w:val="0"/>
        <w:autoSpaceDN w:val="0"/>
        <w:adjustRightInd w:val="0"/>
        <w:spacing w:before="120" w:after="120" w:line="360" w:lineRule="auto"/>
        <w:ind w:left="720"/>
        <w:jc w:val="both"/>
        <w:rPr>
          <w:rFonts w:ascii="Arial" w:eastAsia="Calibri" w:hAnsi="Arial" w:cs="Arial"/>
          <w:color w:val="000000"/>
          <w:sz w:val="20"/>
          <w:szCs w:val="20"/>
          <w:lang w:eastAsia="en-US"/>
        </w:rPr>
      </w:pPr>
      <w:r w:rsidRPr="003E3D98">
        <w:rPr>
          <w:rFonts w:ascii="Arial" w:eastAsia="Calibri" w:hAnsi="Arial" w:cs="Arial"/>
          <w:color w:val="000000"/>
          <w:sz w:val="20"/>
          <w:szCs w:val="20"/>
          <w:lang w:eastAsia="en-US"/>
        </w:rPr>
        <w:t xml:space="preserve">K 31.12.2012 evidujeme  realizáciou projektov pokles množstva emisií skleníkových plynov z úrovne 30 825,12 t/rok na úroveň 8 154 t/rok. </w:t>
      </w:r>
    </w:p>
    <w:p w:rsidR="00706E31" w:rsidRPr="003E3D98" w:rsidRDefault="008A421F" w:rsidP="001540E7">
      <w:pPr>
        <w:numPr>
          <w:ilvl w:val="0"/>
          <w:numId w:val="47"/>
        </w:numPr>
        <w:autoSpaceDE w:val="0"/>
        <w:autoSpaceDN w:val="0"/>
        <w:adjustRightInd w:val="0"/>
        <w:spacing w:before="120" w:after="120" w:line="360" w:lineRule="auto"/>
        <w:ind w:left="714" w:hanging="357"/>
        <w:jc w:val="both"/>
        <w:rPr>
          <w:rFonts w:ascii="Arial" w:eastAsia="Calibri" w:hAnsi="Arial" w:cs="Arial"/>
          <w:color w:val="000000"/>
          <w:sz w:val="20"/>
          <w:szCs w:val="20"/>
          <w:lang w:eastAsia="en-US"/>
        </w:rPr>
      </w:pPr>
      <w:r>
        <w:rPr>
          <w:rFonts w:ascii="Arial" w:eastAsia="Calibri" w:hAnsi="Arial" w:cs="Arial"/>
          <w:color w:val="000000"/>
          <w:sz w:val="20"/>
          <w:szCs w:val="20"/>
          <w:lang w:eastAsia="en-US"/>
        </w:rPr>
        <w:tab/>
      </w:r>
      <w:r w:rsidR="00706E31" w:rsidRPr="003E3D98">
        <w:rPr>
          <w:rFonts w:ascii="Arial" w:eastAsia="Calibri" w:hAnsi="Arial" w:cs="Arial"/>
          <w:color w:val="000000"/>
          <w:sz w:val="20"/>
          <w:szCs w:val="20"/>
          <w:lang w:eastAsia="en-US"/>
        </w:rPr>
        <w:t xml:space="preserve">Zníženie emisií znečisťujúcich látok prepočítané na referenčné tony SO2. </w:t>
      </w:r>
    </w:p>
    <w:p w:rsidR="00706E31" w:rsidRPr="003E3D98" w:rsidRDefault="00706E31" w:rsidP="00507035">
      <w:pPr>
        <w:spacing w:before="120" w:after="120" w:line="360" w:lineRule="auto"/>
        <w:ind w:left="720"/>
        <w:jc w:val="both"/>
        <w:rPr>
          <w:rFonts w:ascii="Arial" w:hAnsi="Arial" w:cs="Arial"/>
          <w:color w:val="000000"/>
          <w:sz w:val="20"/>
          <w:szCs w:val="20"/>
        </w:rPr>
      </w:pPr>
      <w:r w:rsidRPr="003E3D98">
        <w:rPr>
          <w:rFonts w:ascii="Arial" w:hAnsi="Arial" w:cs="Arial"/>
          <w:color w:val="000000"/>
          <w:sz w:val="20"/>
          <w:szCs w:val="20"/>
        </w:rPr>
        <w:t>Realizáciou projektov dôjde k zníženiu uvedených látok z úrovne 484,59 t/rok na 282,90 t/rok, čo by v konečnom dôsledku znamenalo čistejšie ovzdušie v blízkosti zdrojov znečistenia.</w:t>
      </w:r>
    </w:p>
    <w:p w:rsidR="00706E31" w:rsidRPr="003E3D98" w:rsidRDefault="008A421F" w:rsidP="001540E7">
      <w:pPr>
        <w:numPr>
          <w:ilvl w:val="0"/>
          <w:numId w:val="47"/>
        </w:numPr>
        <w:autoSpaceDE w:val="0"/>
        <w:autoSpaceDN w:val="0"/>
        <w:adjustRightInd w:val="0"/>
        <w:spacing w:before="120" w:after="120" w:line="360" w:lineRule="auto"/>
        <w:ind w:left="714" w:hanging="357"/>
        <w:jc w:val="both"/>
        <w:rPr>
          <w:rFonts w:ascii="Arial" w:eastAsia="Calibri" w:hAnsi="Arial" w:cs="Arial"/>
          <w:color w:val="000000"/>
          <w:sz w:val="20"/>
          <w:szCs w:val="20"/>
          <w:lang w:eastAsia="en-US"/>
        </w:rPr>
      </w:pPr>
      <w:r>
        <w:rPr>
          <w:rFonts w:ascii="Arial" w:eastAsia="Calibri" w:hAnsi="Arial" w:cs="Arial"/>
          <w:color w:val="000000"/>
          <w:sz w:val="20"/>
          <w:szCs w:val="20"/>
          <w:lang w:eastAsia="en-US"/>
        </w:rPr>
        <w:tab/>
      </w:r>
      <w:r w:rsidR="00706E31" w:rsidRPr="003E3D98">
        <w:rPr>
          <w:rFonts w:ascii="Arial" w:eastAsia="Calibri" w:hAnsi="Arial" w:cs="Arial"/>
          <w:color w:val="000000"/>
          <w:sz w:val="20"/>
          <w:szCs w:val="20"/>
          <w:lang w:eastAsia="en-US"/>
        </w:rPr>
        <w:t>Množstvo vyseparovaných komunálnych odpadov</w:t>
      </w:r>
      <w:r w:rsidR="003E3D98">
        <w:rPr>
          <w:rFonts w:ascii="Arial" w:eastAsia="Calibri" w:hAnsi="Arial" w:cs="Arial"/>
          <w:color w:val="000000"/>
          <w:sz w:val="20"/>
          <w:szCs w:val="20"/>
          <w:lang w:eastAsia="en-US"/>
        </w:rPr>
        <w:t>.</w:t>
      </w:r>
      <w:r w:rsidR="00706E31" w:rsidRPr="003E3D98">
        <w:rPr>
          <w:rFonts w:ascii="Arial" w:eastAsia="Calibri" w:hAnsi="Arial" w:cs="Arial"/>
          <w:color w:val="000000"/>
          <w:sz w:val="20"/>
          <w:szCs w:val="20"/>
          <w:lang w:eastAsia="en-US"/>
        </w:rPr>
        <w:t xml:space="preserve"> </w:t>
      </w:r>
    </w:p>
    <w:p w:rsidR="00706E31" w:rsidRPr="003E3D98" w:rsidRDefault="00706E31" w:rsidP="00507035">
      <w:pPr>
        <w:autoSpaceDE w:val="0"/>
        <w:autoSpaceDN w:val="0"/>
        <w:adjustRightInd w:val="0"/>
        <w:spacing w:before="120" w:after="120" w:line="360" w:lineRule="auto"/>
        <w:ind w:left="720"/>
        <w:jc w:val="both"/>
        <w:rPr>
          <w:rFonts w:ascii="Arial" w:eastAsia="Calibri" w:hAnsi="Arial" w:cs="Arial"/>
          <w:color w:val="000000"/>
          <w:sz w:val="20"/>
          <w:szCs w:val="20"/>
          <w:lang w:eastAsia="en-US"/>
        </w:rPr>
      </w:pPr>
      <w:r w:rsidRPr="003E3D98">
        <w:rPr>
          <w:rFonts w:ascii="Arial" w:eastAsia="Calibri" w:hAnsi="Arial" w:cs="Arial"/>
          <w:color w:val="000000"/>
          <w:sz w:val="20"/>
          <w:szCs w:val="20"/>
          <w:lang w:eastAsia="en-US"/>
        </w:rPr>
        <w:t>K 31.12.2012 evidujeme  realizáciou projektov dosiahnutie úrovne 4740 t/rok.</w:t>
      </w:r>
    </w:p>
    <w:p w:rsidR="00706E31" w:rsidRPr="003E3D98" w:rsidRDefault="008A421F" w:rsidP="001540E7">
      <w:pPr>
        <w:numPr>
          <w:ilvl w:val="0"/>
          <w:numId w:val="47"/>
        </w:numPr>
        <w:autoSpaceDE w:val="0"/>
        <w:autoSpaceDN w:val="0"/>
        <w:adjustRightInd w:val="0"/>
        <w:spacing w:before="120" w:after="120" w:line="360" w:lineRule="auto"/>
        <w:ind w:left="714" w:hanging="357"/>
        <w:jc w:val="both"/>
        <w:rPr>
          <w:rFonts w:ascii="Arial" w:eastAsia="Calibri" w:hAnsi="Arial" w:cs="Arial"/>
          <w:color w:val="000000"/>
          <w:sz w:val="20"/>
          <w:szCs w:val="20"/>
          <w:lang w:eastAsia="en-US"/>
        </w:rPr>
      </w:pPr>
      <w:r>
        <w:rPr>
          <w:rFonts w:ascii="Arial" w:eastAsia="Calibri" w:hAnsi="Arial" w:cs="Arial"/>
          <w:color w:val="000000"/>
          <w:sz w:val="20"/>
          <w:szCs w:val="20"/>
          <w:lang w:eastAsia="en-US"/>
        </w:rPr>
        <w:tab/>
      </w:r>
      <w:r w:rsidR="00706E31" w:rsidRPr="003E3D98">
        <w:rPr>
          <w:rFonts w:ascii="Arial" w:eastAsia="Calibri" w:hAnsi="Arial" w:cs="Arial"/>
          <w:color w:val="000000"/>
          <w:sz w:val="20"/>
          <w:szCs w:val="20"/>
          <w:lang w:eastAsia="en-US"/>
        </w:rPr>
        <w:t>Množstvo zhodnotených biologicky rozložiteľných odpadov</w:t>
      </w:r>
      <w:r w:rsidR="003E3D98">
        <w:rPr>
          <w:rFonts w:ascii="Arial" w:eastAsia="Calibri" w:hAnsi="Arial" w:cs="Arial"/>
          <w:color w:val="000000"/>
          <w:sz w:val="20"/>
          <w:szCs w:val="20"/>
          <w:lang w:eastAsia="en-US"/>
        </w:rPr>
        <w:t>.</w:t>
      </w:r>
    </w:p>
    <w:p w:rsidR="00706E31" w:rsidRPr="003E3D98" w:rsidRDefault="00706E31" w:rsidP="00507035">
      <w:pPr>
        <w:spacing w:before="120" w:after="120" w:line="360" w:lineRule="auto"/>
        <w:ind w:left="720"/>
        <w:jc w:val="both"/>
        <w:rPr>
          <w:rFonts w:ascii="Arial" w:hAnsi="Arial" w:cs="Arial"/>
          <w:sz w:val="20"/>
          <w:szCs w:val="20"/>
        </w:rPr>
      </w:pPr>
      <w:r w:rsidRPr="003E3D98">
        <w:rPr>
          <w:rFonts w:ascii="Arial" w:hAnsi="Arial" w:cs="Arial"/>
          <w:sz w:val="20"/>
          <w:szCs w:val="20"/>
        </w:rPr>
        <w:t>K 31.12.2012 evidujeme  realizáciou projektov dosiahnutie úrovne 2138 t/rok.</w:t>
      </w:r>
    </w:p>
    <w:p w:rsidR="00706E31" w:rsidRPr="003E3D98" w:rsidRDefault="008A421F" w:rsidP="001540E7">
      <w:pPr>
        <w:numPr>
          <w:ilvl w:val="0"/>
          <w:numId w:val="47"/>
        </w:numPr>
        <w:spacing w:before="120" w:after="120" w:line="360" w:lineRule="auto"/>
        <w:ind w:left="714" w:hanging="357"/>
        <w:jc w:val="both"/>
        <w:rPr>
          <w:rFonts w:ascii="Arial" w:hAnsi="Arial" w:cs="Arial"/>
          <w:sz w:val="20"/>
          <w:szCs w:val="20"/>
        </w:rPr>
      </w:pPr>
      <w:r>
        <w:rPr>
          <w:rFonts w:ascii="Arial" w:hAnsi="Arial" w:cs="Arial"/>
          <w:sz w:val="20"/>
          <w:szCs w:val="20"/>
        </w:rPr>
        <w:tab/>
      </w:r>
      <w:r w:rsidR="00706E31" w:rsidRPr="003E3D98">
        <w:rPr>
          <w:rFonts w:ascii="Arial" w:hAnsi="Arial" w:cs="Arial"/>
          <w:sz w:val="20"/>
          <w:szCs w:val="20"/>
        </w:rPr>
        <w:t>Množstvo zhodnotených plastov</w:t>
      </w:r>
      <w:r w:rsidR="003E3D98">
        <w:rPr>
          <w:rFonts w:ascii="Arial" w:hAnsi="Arial" w:cs="Arial"/>
          <w:sz w:val="20"/>
          <w:szCs w:val="20"/>
        </w:rPr>
        <w:t>.</w:t>
      </w:r>
    </w:p>
    <w:p w:rsidR="00706E31" w:rsidRPr="003E3D98" w:rsidRDefault="00706E31" w:rsidP="00507035">
      <w:pPr>
        <w:spacing w:before="120" w:after="120" w:line="360" w:lineRule="auto"/>
        <w:ind w:left="720"/>
        <w:jc w:val="both"/>
        <w:rPr>
          <w:rFonts w:ascii="Arial" w:hAnsi="Arial" w:cs="Arial"/>
          <w:sz w:val="20"/>
          <w:szCs w:val="20"/>
        </w:rPr>
      </w:pPr>
      <w:r w:rsidRPr="003E3D98">
        <w:rPr>
          <w:rFonts w:ascii="Arial" w:hAnsi="Arial" w:cs="Arial"/>
          <w:sz w:val="20"/>
          <w:szCs w:val="20"/>
        </w:rPr>
        <w:t>K 31.12.2012 evidujeme  realizáciou projektov dosiahnutie úrovne 1 036,23 t/rok.</w:t>
      </w:r>
    </w:p>
    <w:p w:rsidR="00706E31" w:rsidRPr="003E3D98" w:rsidRDefault="008A421F" w:rsidP="001540E7">
      <w:pPr>
        <w:numPr>
          <w:ilvl w:val="0"/>
          <w:numId w:val="47"/>
        </w:numPr>
        <w:autoSpaceDE w:val="0"/>
        <w:autoSpaceDN w:val="0"/>
        <w:adjustRightInd w:val="0"/>
        <w:spacing w:before="120" w:after="120" w:line="360" w:lineRule="auto"/>
        <w:ind w:left="714" w:hanging="357"/>
        <w:jc w:val="both"/>
        <w:rPr>
          <w:rFonts w:ascii="Arial" w:eastAsia="Calibri" w:hAnsi="Arial" w:cs="Arial"/>
          <w:color w:val="000000"/>
          <w:sz w:val="20"/>
          <w:szCs w:val="20"/>
          <w:lang w:eastAsia="en-US"/>
        </w:rPr>
      </w:pPr>
      <w:r>
        <w:rPr>
          <w:rFonts w:ascii="Arial" w:eastAsia="Calibri" w:hAnsi="Arial" w:cs="Arial"/>
          <w:color w:val="000000"/>
          <w:sz w:val="20"/>
          <w:szCs w:val="20"/>
          <w:lang w:eastAsia="en-US"/>
        </w:rPr>
        <w:tab/>
      </w:r>
      <w:r w:rsidR="00706E31" w:rsidRPr="003E3D98">
        <w:rPr>
          <w:rFonts w:ascii="Arial" w:eastAsia="Calibri" w:hAnsi="Arial" w:cs="Arial"/>
          <w:color w:val="000000"/>
          <w:sz w:val="20"/>
          <w:szCs w:val="20"/>
          <w:lang w:eastAsia="en-US"/>
        </w:rPr>
        <w:t>Množstvo zhodnotených prenosných batérií a</w:t>
      </w:r>
      <w:r w:rsidR="003E3D98">
        <w:rPr>
          <w:rFonts w:ascii="Arial" w:eastAsia="Calibri" w:hAnsi="Arial" w:cs="Arial"/>
          <w:color w:val="000000"/>
          <w:sz w:val="20"/>
          <w:szCs w:val="20"/>
          <w:lang w:eastAsia="en-US"/>
        </w:rPr>
        <w:t> </w:t>
      </w:r>
      <w:r w:rsidR="00706E31" w:rsidRPr="003E3D98">
        <w:rPr>
          <w:rFonts w:ascii="Arial" w:eastAsia="Calibri" w:hAnsi="Arial" w:cs="Arial"/>
          <w:color w:val="000000"/>
          <w:sz w:val="20"/>
          <w:szCs w:val="20"/>
          <w:lang w:eastAsia="en-US"/>
        </w:rPr>
        <w:t>akumulátorov</w:t>
      </w:r>
      <w:r w:rsidR="003E3D98">
        <w:rPr>
          <w:rFonts w:ascii="Arial" w:eastAsia="Calibri" w:hAnsi="Arial" w:cs="Arial"/>
          <w:color w:val="000000"/>
          <w:sz w:val="20"/>
          <w:szCs w:val="20"/>
          <w:lang w:eastAsia="en-US"/>
        </w:rPr>
        <w:t>.</w:t>
      </w:r>
      <w:r w:rsidR="00706E31" w:rsidRPr="003E3D98">
        <w:rPr>
          <w:rFonts w:ascii="Arial" w:eastAsia="Calibri" w:hAnsi="Arial" w:cs="Arial"/>
          <w:color w:val="000000"/>
          <w:sz w:val="20"/>
          <w:szCs w:val="20"/>
          <w:lang w:eastAsia="en-US"/>
        </w:rPr>
        <w:t xml:space="preserve">  </w:t>
      </w:r>
    </w:p>
    <w:p w:rsidR="00706E31" w:rsidRPr="003E3D98" w:rsidRDefault="008A421F" w:rsidP="00507035">
      <w:pPr>
        <w:autoSpaceDE w:val="0"/>
        <w:autoSpaceDN w:val="0"/>
        <w:adjustRightInd w:val="0"/>
        <w:spacing w:before="120" w:after="120" w:line="360" w:lineRule="auto"/>
        <w:ind w:left="720"/>
        <w:jc w:val="both"/>
        <w:rPr>
          <w:rFonts w:ascii="Arial" w:eastAsia="Calibri" w:hAnsi="Arial" w:cs="Arial"/>
          <w:color w:val="000000"/>
          <w:sz w:val="20"/>
          <w:szCs w:val="20"/>
          <w:lang w:eastAsia="en-US"/>
        </w:rPr>
      </w:pPr>
      <w:r>
        <w:rPr>
          <w:rFonts w:ascii="Arial" w:eastAsia="Calibri" w:hAnsi="Arial" w:cs="Arial"/>
          <w:color w:val="000000"/>
          <w:sz w:val="20"/>
          <w:szCs w:val="20"/>
          <w:lang w:eastAsia="en-US"/>
        </w:rPr>
        <w:t xml:space="preserve">K 31.12.2012 evidujeme </w:t>
      </w:r>
      <w:r w:rsidR="00706E31" w:rsidRPr="003E3D98">
        <w:rPr>
          <w:rFonts w:ascii="Arial" w:eastAsia="Calibri" w:hAnsi="Arial" w:cs="Arial"/>
          <w:color w:val="000000"/>
          <w:sz w:val="20"/>
          <w:szCs w:val="20"/>
          <w:lang w:eastAsia="en-US"/>
        </w:rPr>
        <w:t>realizáciou projektov dosiahnutie úrovne 701,28 t/rok.</w:t>
      </w:r>
    </w:p>
    <w:p w:rsidR="00706E31" w:rsidRPr="003E3D98" w:rsidRDefault="008A421F" w:rsidP="001540E7">
      <w:pPr>
        <w:numPr>
          <w:ilvl w:val="0"/>
          <w:numId w:val="47"/>
        </w:numPr>
        <w:autoSpaceDE w:val="0"/>
        <w:autoSpaceDN w:val="0"/>
        <w:adjustRightInd w:val="0"/>
        <w:spacing w:before="120" w:after="120" w:line="360" w:lineRule="auto"/>
        <w:ind w:left="714" w:hanging="357"/>
        <w:jc w:val="both"/>
        <w:rPr>
          <w:rFonts w:ascii="Arial" w:eastAsia="Calibri" w:hAnsi="Arial" w:cs="Arial"/>
          <w:color w:val="000000"/>
          <w:sz w:val="20"/>
          <w:szCs w:val="20"/>
          <w:lang w:eastAsia="en-US"/>
        </w:rPr>
      </w:pPr>
      <w:r>
        <w:rPr>
          <w:rFonts w:ascii="Arial" w:eastAsia="Calibri" w:hAnsi="Arial" w:cs="Arial"/>
          <w:color w:val="000000"/>
          <w:sz w:val="20"/>
          <w:szCs w:val="20"/>
          <w:lang w:eastAsia="en-US"/>
        </w:rPr>
        <w:tab/>
      </w:r>
      <w:r w:rsidR="00706E31" w:rsidRPr="003E3D98">
        <w:rPr>
          <w:rFonts w:ascii="Arial" w:eastAsia="Calibri" w:hAnsi="Arial" w:cs="Arial"/>
          <w:color w:val="000000"/>
          <w:sz w:val="20"/>
          <w:szCs w:val="20"/>
          <w:lang w:eastAsia="en-US"/>
        </w:rPr>
        <w:t>Množstvo zhodnotených stavebných odpadov</w:t>
      </w:r>
      <w:r w:rsidR="003E3D98">
        <w:rPr>
          <w:rFonts w:ascii="Arial" w:eastAsia="Calibri" w:hAnsi="Arial" w:cs="Arial"/>
          <w:color w:val="000000"/>
          <w:sz w:val="20"/>
          <w:szCs w:val="20"/>
          <w:lang w:eastAsia="en-US"/>
        </w:rPr>
        <w:t>.</w:t>
      </w:r>
      <w:r w:rsidR="00706E31" w:rsidRPr="003E3D98">
        <w:rPr>
          <w:rFonts w:ascii="Arial" w:eastAsia="Calibri" w:hAnsi="Arial" w:cs="Arial"/>
          <w:color w:val="000000"/>
          <w:sz w:val="20"/>
          <w:szCs w:val="20"/>
          <w:lang w:eastAsia="en-US"/>
        </w:rPr>
        <w:t xml:space="preserve"> </w:t>
      </w:r>
    </w:p>
    <w:p w:rsidR="00706E31" w:rsidRPr="003E3D98" w:rsidRDefault="00706E31" w:rsidP="00507035">
      <w:pPr>
        <w:spacing w:before="120" w:after="120" w:line="360" w:lineRule="auto"/>
        <w:ind w:left="720"/>
        <w:jc w:val="both"/>
        <w:rPr>
          <w:rFonts w:ascii="Arial" w:eastAsia="Calibri" w:hAnsi="Arial" w:cs="Arial"/>
          <w:color w:val="000000"/>
          <w:sz w:val="20"/>
          <w:szCs w:val="20"/>
          <w:lang w:eastAsia="en-US"/>
        </w:rPr>
      </w:pPr>
      <w:r w:rsidRPr="003E3D98">
        <w:rPr>
          <w:rFonts w:ascii="Arial" w:eastAsia="Calibri" w:hAnsi="Arial" w:cs="Arial"/>
          <w:color w:val="000000"/>
          <w:sz w:val="20"/>
          <w:szCs w:val="20"/>
          <w:lang w:eastAsia="en-US"/>
        </w:rPr>
        <w:t>K 31.12.2012 evidujeme  realizáciou projektov dosiahnutie úrovne 133 535,45 t/rok.</w:t>
      </w:r>
    </w:p>
    <w:p w:rsidR="00706E31" w:rsidRPr="003E3D98" w:rsidRDefault="008A421F" w:rsidP="001540E7">
      <w:pPr>
        <w:numPr>
          <w:ilvl w:val="0"/>
          <w:numId w:val="46"/>
        </w:numPr>
        <w:spacing w:before="120" w:after="120" w:line="360" w:lineRule="auto"/>
        <w:ind w:left="0" w:firstLine="360"/>
        <w:jc w:val="both"/>
        <w:rPr>
          <w:rFonts w:ascii="Arial" w:hAnsi="Arial" w:cs="Arial"/>
          <w:sz w:val="20"/>
          <w:szCs w:val="20"/>
        </w:rPr>
      </w:pPr>
      <w:r>
        <w:rPr>
          <w:rFonts w:ascii="Arial" w:hAnsi="Arial" w:cs="Arial"/>
          <w:sz w:val="20"/>
          <w:szCs w:val="20"/>
        </w:rPr>
        <w:t xml:space="preserve"> </w:t>
      </w:r>
      <w:r w:rsidR="00706E31" w:rsidRPr="003E3D98">
        <w:rPr>
          <w:rFonts w:ascii="Arial" w:hAnsi="Arial" w:cs="Arial"/>
          <w:sz w:val="20"/>
          <w:szCs w:val="20"/>
        </w:rPr>
        <w:t>Priemyselná výroba patrí k najväčším znečisťovateľom ovzdušia, respektíve k najväčším producentom odpadov. Schémy štátnej pomoci, ktoré umožňujú čerpať finančné prostriedky z fondov EÚ súkromným podnikateľom, tak predstavujú efektívny spôsob riešenia problémov nielen v oblasti ochrany životného prostredia, ale majú pozitívny efekt v tvorbe, respektíve v udržaní pracovných miest. Z celkového množstva 363 schválených projektov spadalo 51 projektov pod schémy štátnej pomoci. Do roku 2012 príspevok realizovaných projektov spadajúcich pod schémy štátnej pomoci uvádzajú nasledujúce podiely na hodnote príslušného indikátora prioritnej osi:</w:t>
      </w:r>
    </w:p>
    <w:p w:rsidR="00706E31" w:rsidRPr="003E3D98" w:rsidRDefault="00706E31" w:rsidP="00507035">
      <w:pPr>
        <w:spacing w:before="120" w:after="120" w:line="360" w:lineRule="auto"/>
        <w:jc w:val="both"/>
        <w:rPr>
          <w:rFonts w:ascii="Arial" w:hAnsi="Arial" w:cs="Arial"/>
          <w:sz w:val="20"/>
          <w:szCs w:val="20"/>
        </w:rPr>
      </w:pPr>
      <w:r w:rsidRPr="003E3D98">
        <w:rPr>
          <w:rFonts w:ascii="Arial" w:hAnsi="Arial" w:cs="Arial"/>
          <w:sz w:val="20"/>
          <w:szCs w:val="20"/>
        </w:rPr>
        <w:t>V rámci indikátora „Redukcia emisií skleníkových plynov prepočítaných na CO</w:t>
      </w:r>
      <w:r w:rsidRPr="0039268C">
        <w:rPr>
          <w:rFonts w:ascii="Arial" w:hAnsi="Arial" w:cs="Arial"/>
          <w:sz w:val="20"/>
          <w:szCs w:val="20"/>
          <w:vertAlign w:val="subscript"/>
        </w:rPr>
        <w:t>2</w:t>
      </w:r>
      <w:r w:rsidRPr="003E3D98">
        <w:rPr>
          <w:rFonts w:ascii="Arial" w:hAnsi="Arial" w:cs="Arial"/>
          <w:sz w:val="20"/>
          <w:szCs w:val="20"/>
        </w:rPr>
        <w:t xml:space="preserve"> (rozdiel medzi množstvom pred projektom a po projekte)“ predstavuje napĺňanie indikátora projektmi pod schém</w:t>
      </w:r>
      <w:r w:rsidR="008A421F">
        <w:rPr>
          <w:rFonts w:ascii="Arial" w:hAnsi="Arial" w:cs="Arial"/>
          <w:sz w:val="20"/>
          <w:szCs w:val="20"/>
        </w:rPr>
        <w:t>ou štátnej pomoci podiel – 90</w:t>
      </w:r>
      <w:r w:rsidR="003E3D98">
        <w:rPr>
          <w:rFonts w:ascii="Arial" w:hAnsi="Arial" w:cs="Arial"/>
          <w:sz w:val="20"/>
          <w:szCs w:val="20"/>
        </w:rPr>
        <w:t xml:space="preserve"> </w:t>
      </w:r>
      <w:r w:rsidR="008A421F">
        <w:rPr>
          <w:rFonts w:ascii="Arial" w:hAnsi="Arial" w:cs="Arial"/>
          <w:sz w:val="20"/>
          <w:szCs w:val="20"/>
        </w:rPr>
        <w:t xml:space="preserve">% </w:t>
      </w:r>
      <w:r w:rsidRPr="003E3D98">
        <w:rPr>
          <w:rFonts w:ascii="Arial" w:hAnsi="Arial" w:cs="Arial"/>
          <w:sz w:val="20"/>
          <w:szCs w:val="20"/>
        </w:rPr>
        <w:t>(hodnota indikátora celkovo 8 687,908, naplnenosť prostredníctvom projektmi pod schémou - 8 154 t/rok)</w:t>
      </w:r>
      <w:r w:rsidR="003E3D98">
        <w:rPr>
          <w:rFonts w:ascii="Arial" w:hAnsi="Arial" w:cs="Arial"/>
          <w:sz w:val="20"/>
          <w:szCs w:val="20"/>
        </w:rPr>
        <w:t>.</w:t>
      </w:r>
      <w:r w:rsidRPr="003E3D98">
        <w:rPr>
          <w:rFonts w:ascii="Arial" w:hAnsi="Arial" w:cs="Arial"/>
          <w:sz w:val="20"/>
          <w:szCs w:val="20"/>
        </w:rPr>
        <w:t xml:space="preserve">  </w:t>
      </w:r>
    </w:p>
    <w:p w:rsidR="00706E31" w:rsidRPr="003E3D98" w:rsidRDefault="00706E31" w:rsidP="00507035">
      <w:pPr>
        <w:spacing w:before="120" w:after="120" w:line="360" w:lineRule="auto"/>
        <w:jc w:val="both"/>
        <w:rPr>
          <w:rFonts w:ascii="Arial" w:hAnsi="Arial" w:cs="Arial"/>
          <w:sz w:val="20"/>
          <w:szCs w:val="20"/>
        </w:rPr>
      </w:pPr>
      <w:r w:rsidRPr="003E3D98">
        <w:rPr>
          <w:rFonts w:ascii="Arial" w:hAnsi="Arial" w:cs="Arial"/>
          <w:sz w:val="20"/>
          <w:szCs w:val="20"/>
        </w:rPr>
        <w:t>Pre indikátor „Množstvo vyseparovaných komunálnych odpadov“ predstavuje napĺňanie indikátora projektmi pod schémou štátnej pomoci podiel – 30</w:t>
      </w:r>
      <w:r w:rsidR="003E3D98">
        <w:rPr>
          <w:rFonts w:ascii="Arial" w:hAnsi="Arial" w:cs="Arial"/>
          <w:sz w:val="20"/>
          <w:szCs w:val="20"/>
        </w:rPr>
        <w:t xml:space="preserve"> </w:t>
      </w:r>
      <w:r w:rsidRPr="003E3D98">
        <w:rPr>
          <w:rFonts w:ascii="Arial" w:hAnsi="Arial" w:cs="Arial"/>
          <w:sz w:val="20"/>
          <w:szCs w:val="20"/>
        </w:rPr>
        <w:t>%  (hodnota indikátora celkovo 15 698,867 t/rok, naplnenosť prostredníctvom projektmi pod schémou 4740 t/rok)</w:t>
      </w:r>
      <w:r w:rsidR="003E3D98">
        <w:rPr>
          <w:rFonts w:ascii="Arial" w:hAnsi="Arial" w:cs="Arial"/>
          <w:sz w:val="20"/>
          <w:szCs w:val="20"/>
        </w:rPr>
        <w:t>.</w:t>
      </w:r>
    </w:p>
    <w:p w:rsidR="00706E31" w:rsidRPr="003E3D98" w:rsidRDefault="00706E31" w:rsidP="00507035">
      <w:pPr>
        <w:spacing w:before="120" w:after="120" w:line="360" w:lineRule="auto"/>
        <w:jc w:val="both"/>
        <w:rPr>
          <w:rFonts w:ascii="Arial" w:hAnsi="Arial" w:cs="Arial"/>
          <w:sz w:val="20"/>
          <w:szCs w:val="20"/>
        </w:rPr>
      </w:pPr>
      <w:r w:rsidRPr="003E3D98">
        <w:rPr>
          <w:rFonts w:ascii="Arial" w:hAnsi="Arial" w:cs="Arial"/>
          <w:sz w:val="20"/>
          <w:szCs w:val="20"/>
        </w:rPr>
        <w:t>Pre indikátor „Množstvo materiálovo zhodnotených odpadov (spolu za projekty)“ predstavuje napĺňanie indikátora projektmi pod schémou štátnej pomoci podiel – 80</w:t>
      </w:r>
      <w:r w:rsidR="0074232D">
        <w:rPr>
          <w:rFonts w:ascii="Arial" w:hAnsi="Arial" w:cs="Arial"/>
          <w:sz w:val="20"/>
          <w:szCs w:val="20"/>
        </w:rPr>
        <w:t xml:space="preserve"> </w:t>
      </w:r>
      <w:r w:rsidRPr="003E3D98">
        <w:rPr>
          <w:rFonts w:ascii="Arial" w:hAnsi="Arial" w:cs="Arial"/>
          <w:sz w:val="20"/>
          <w:szCs w:val="20"/>
        </w:rPr>
        <w:t>%  (hodnota indikátora celkovo 168 174,68 t/rok naplnenosť prostredníctvom projektmi pod schémou – 137 411,0 t/rok)</w:t>
      </w:r>
      <w:r w:rsidR="0074232D">
        <w:rPr>
          <w:rFonts w:ascii="Arial" w:hAnsi="Arial" w:cs="Arial"/>
          <w:sz w:val="20"/>
          <w:szCs w:val="20"/>
        </w:rPr>
        <w:t>.</w:t>
      </w:r>
    </w:p>
    <w:p w:rsidR="00706E31" w:rsidRPr="0074232D" w:rsidRDefault="00706E31" w:rsidP="00507035">
      <w:pPr>
        <w:spacing w:before="120" w:after="120" w:line="360" w:lineRule="auto"/>
        <w:jc w:val="both"/>
        <w:rPr>
          <w:rFonts w:ascii="Arial" w:hAnsi="Arial" w:cs="Arial"/>
          <w:sz w:val="20"/>
          <w:szCs w:val="20"/>
          <w:u w:val="single"/>
        </w:rPr>
      </w:pPr>
      <w:r w:rsidRPr="0074232D">
        <w:rPr>
          <w:rFonts w:ascii="Arial" w:hAnsi="Arial" w:cs="Arial"/>
          <w:sz w:val="20"/>
          <w:szCs w:val="20"/>
          <w:u w:val="single"/>
        </w:rPr>
        <w:t xml:space="preserve">Návrh opatrení na ďalší postup v oblasti štátnej pomoci </w:t>
      </w:r>
    </w:p>
    <w:p w:rsidR="00706E31" w:rsidRPr="0074232D" w:rsidRDefault="00706E31" w:rsidP="00507035">
      <w:pPr>
        <w:spacing w:before="120" w:after="120" w:line="360" w:lineRule="auto"/>
        <w:jc w:val="both"/>
        <w:rPr>
          <w:rFonts w:ascii="Arial" w:hAnsi="Arial" w:cs="Arial"/>
          <w:sz w:val="20"/>
          <w:szCs w:val="20"/>
        </w:rPr>
      </w:pPr>
      <w:r w:rsidRPr="0074232D">
        <w:rPr>
          <w:rFonts w:ascii="Arial" w:hAnsi="Arial" w:cs="Arial"/>
          <w:b/>
          <w:sz w:val="20"/>
          <w:szCs w:val="20"/>
        </w:rPr>
        <w:tab/>
      </w:r>
      <w:r w:rsidRPr="0074232D">
        <w:rPr>
          <w:rFonts w:ascii="Arial" w:hAnsi="Arial" w:cs="Arial"/>
          <w:sz w:val="20"/>
          <w:szCs w:val="20"/>
        </w:rPr>
        <w:t>V rámci OP ŽP sú súkromné podniky jedným z viacerých typov oprávnených prijímateľov v prípade prioritnej osi č. 3 Ochrana ovzdušia a minimalizácia nepriaznivých vplyvov zmeny klímy a prioritnej osi č. 4 Odpadové hospodárstvo.</w:t>
      </w:r>
    </w:p>
    <w:p w:rsidR="00706E31" w:rsidRPr="0074232D" w:rsidRDefault="00706E31" w:rsidP="00507035">
      <w:pPr>
        <w:spacing w:before="120" w:after="120" w:line="360" w:lineRule="auto"/>
        <w:jc w:val="both"/>
        <w:rPr>
          <w:rFonts w:ascii="Arial" w:hAnsi="Arial" w:cs="Arial"/>
          <w:sz w:val="20"/>
          <w:szCs w:val="20"/>
        </w:rPr>
      </w:pPr>
      <w:r w:rsidRPr="0074232D">
        <w:rPr>
          <w:rFonts w:ascii="Arial" w:hAnsi="Arial" w:cs="Arial"/>
          <w:sz w:val="20"/>
          <w:szCs w:val="20"/>
        </w:rPr>
        <w:t>OP ŽP na rozdiel  od iných operačných programov nie je primárne zameraný na podporu súkromného sektoru, ale jeho hlavným cieľom je zlepšenie stavu životného prostredia a racionálneho využívania zdrojov prostredníctvom dobudovania a skvalitnenia environmentálnej infraštruktúry v zmysle predpisov EÚ a</w:t>
      </w:r>
      <w:r w:rsidR="0074232D">
        <w:rPr>
          <w:rFonts w:ascii="Arial" w:hAnsi="Arial" w:cs="Arial"/>
          <w:sz w:val="20"/>
          <w:szCs w:val="20"/>
        </w:rPr>
        <w:t> </w:t>
      </w:r>
      <w:r w:rsidRPr="0074232D">
        <w:rPr>
          <w:rFonts w:ascii="Arial" w:hAnsi="Arial" w:cs="Arial"/>
          <w:sz w:val="20"/>
          <w:szCs w:val="20"/>
        </w:rPr>
        <w:t>SR</w:t>
      </w:r>
      <w:r w:rsidR="0074232D">
        <w:rPr>
          <w:rFonts w:ascii="Arial" w:hAnsi="Arial" w:cs="Arial"/>
          <w:sz w:val="20"/>
          <w:szCs w:val="20"/>
        </w:rPr>
        <w:t>.</w:t>
      </w:r>
      <w:r w:rsidR="00281250">
        <w:rPr>
          <w:rFonts w:ascii="Arial" w:hAnsi="Arial" w:cs="Arial"/>
          <w:sz w:val="20"/>
          <w:szCs w:val="20"/>
        </w:rPr>
        <w:t xml:space="preserve"> P</w:t>
      </w:r>
      <w:r w:rsidRPr="0074232D">
        <w:rPr>
          <w:rFonts w:ascii="Arial" w:hAnsi="Arial" w:cs="Arial"/>
          <w:sz w:val="20"/>
          <w:szCs w:val="20"/>
        </w:rPr>
        <w:t xml:space="preserve">oskytovaním pomoci z fondov EÚ v rámci OP ŽP sa sleduje predovšetkým dosahovanie environmentálnych cieľov a zlepšenie parametrov jednotlivých zložiek životného prostredia. </w:t>
      </w:r>
    </w:p>
    <w:p w:rsidR="00706E31" w:rsidRPr="0074232D" w:rsidRDefault="00706E31" w:rsidP="00507035">
      <w:pPr>
        <w:spacing w:before="120" w:after="120" w:line="360" w:lineRule="auto"/>
        <w:jc w:val="both"/>
        <w:rPr>
          <w:rFonts w:ascii="Arial" w:hAnsi="Arial" w:cs="Arial"/>
          <w:sz w:val="20"/>
          <w:szCs w:val="20"/>
        </w:rPr>
      </w:pPr>
      <w:r w:rsidRPr="0074232D">
        <w:rPr>
          <w:rFonts w:ascii="Arial" w:hAnsi="Arial" w:cs="Arial"/>
          <w:sz w:val="20"/>
          <w:szCs w:val="20"/>
        </w:rPr>
        <w:t xml:space="preserve">K 31.12.2012 </w:t>
      </w:r>
      <w:r w:rsidR="0074232D">
        <w:rPr>
          <w:rFonts w:ascii="Arial" w:hAnsi="Arial" w:cs="Arial"/>
          <w:sz w:val="20"/>
          <w:szCs w:val="20"/>
        </w:rPr>
        <w:t>RO</w:t>
      </w:r>
      <w:r w:rsidRPr="0074232D">
        <w:rPr>
          <w:rFonts w:ascii="Arial" w:hAnsi="Arial" w:cs="Arial"/>
          <w:sz w:val="20"/>
          <w:szCs w:val="20"/>
        </w:rPr>
        <w:t xml:space="preserve"> evid</w:t>
      </w:r>
      <w:r w:rsidR="0074232D">
        <w:rPr>
          <w:rFonts w:ascii="Arial" w:hAnsi="Arial" w:cs="Arial"/>
          <w:sz w:val="20"/>
          <w:szCs w:val="20"/>
        </w:rPr>
        <w:t>oval</w:t>
      </w:r>
      <w:r w:rsidRPr="0074232D">
        <w:rPr>
          <w:rFonts w:ascii="Arial" w:hAnsi="Arial" w:cs="Arial"/>
          <w:sz w:val="20"/>
          <w:szCs w:val="20"/>
        </w:rPr>
        <w:t xml:space="preserve"> celkovo 51 projektov zazmluvnených pod schémami štátnej pomoci v objeme 137,315 mil. </w:t>
      </w:r>
      <w:r w:rsidR="0074232D">
        <w:rPr>
          <w:rFonts w:ascii="Arial" w:hAnsi="Arial" w:cs="Arial"/>
          <w:sz w:val="20"/>
          <w:szCs w:val="20"/>
        </w:rPr>
        <w:t>EUR.</w:t>
      </w:r>
      <w:r w:rsidRPr="0074232D">
        <w:rPr>
          <w:rFonts w:ascii="Arial" w:hAnsi="Arial" w:cs="Arial"/>
          <w:sz w:val="20"/>
          <w:szCs w:val="20"/>
        </w:rPr>
        <w:t xml:space="preserve"> Z uvedeného počtu je 27 projektov už ukončených a v nasledujúcom roku sa predpokladá ukončenie ďalších 16 projektov. V roku 2012 bolo podporených 8 projektov pod schémami štátnej pomoci a to v objeme 17,55 mil. </w:t>
      </w:r>
      <w:r w:rsidR="0074232D">
        <w:rPr>
          <w:rFonts w:ascii="Arial" w:hAnsi="Arial" w:cs="Arial"/>
          <w:sz w:val="20"/>
          <w:szCs w:val="20"/>
        </w:rPr>
        <w:t>EUR</w:t>
      </w:r>
      <w:r w:rsidRPr="0074232D">
        <w:rPr>
          <w:rFonts w:ascii="Arial" w:hAnsi="Arial" w:cs="Arial"/>
          <w:sz w:val="20"/>
          <w:szCs w:val="20"/>
        </w:rPr>
        <w:t>.</w:t>
      </w:r>
    </w:p>
    <w:p w:rsidR="00706E31" w:rsidRPr="0074232D" w:rsidRDefault="0074232D" w:rsidP="00507035">
      <w:pPr>
        <w:autoSpaceDE w:val="0"/>
        <w:autoSpaceDN w:val="0"/>
        <w:adjustRightInd w:val="0"/>
        <w:spacing w:before="120" w:after="120" w:line="360" w:lineRule="auto"/>
        <w:jc w:val="both"/>
        <w:rPr>
          <w:rFonts w:ascii="Arial" w:hAnsi="Arial" w:cs="Arial"/>
          <w:sz w:val="20"/>
          <w:szCs w:val="20"/>
        </w:rPr>
      </w:pPr>
      <w:r>
        <w:rPr>
          <w:rFonts w:ascii="Arial" w:hAnsi="Arial" w:cs="Arial"/>
          <w:sz w:val="20"/>
          <w:szCs w:val="20"/>
        </w:rPr>
        <w:t>RO</w:t>
      </w:r>
      <w:r w:rsidR="00706E31" w:rsidRPr="0074232D">
        <w:rPr>
          <w:rFonts w:ascii="Arial" w:hAnsi="Arial" w:cs="Arial"/>
          <w:sz w:val="20"/>
          <w:szCs w:val="20"/>
        </w:rPr>
        <w:t xml:space="preserve"> v roku 2013 plánuje vyhlásiť celkovo 9 výziev na predkladanie Žiadostí o nenávratný finančný príspevok v súlade s indikatívnym harmonogramom výziev, ktorých súčasťou sú aj aktivity financované podľa schém štátnej pomoci a oprávnenými prijímateľmi sú podnikateľské subjekty.  V rámci Ochrany ovzdušia budú vyhlásené 2 výzvy a to výzva na Ochranu ovzdušia (I. skupina aktivít) v celkovej alokácii 41 162 317 EUR a výzva na Minimalizáciu nepriaznivých vplyvov zmeny klímy vrátane podpory obnoviteľných  zdrojov energie (I. skupina aktivít) v celkovej alokácii 10 280 420 EUR. V oblasti Odpadového hospodárstva bude vyhlásená výzva na Nakladanie s nebezpečnými odpadmi spôsobom priaznivým pre životné prostredie s celkovou alokáciou 7 687 470 EUR. Týmto vytvoríme priestor pre poskytovanie štátnej pomoci podnikateľským subjektom a možnosti ich rozvoja v súlade s cieľmi v oblasti ochrany životného prostredia vyplývajúcimi z legislatívy EÚ.</w:t>
      </w:r>
    </w:p>
    <w:bookmarkEnd w:id="16"/>
    <w:p w:rsidR="00454DC9" w:rsidRDefault="00454DC9" w:rsidP="00507035">
      <w:pPr>
        <w:spacing w:before="120" w:after="120" w:line="360" w:lineRule="auto"/>
        <w:rPr>
          <w:rFonts w:ascii="Arial" w:hAnsi="Arial" w:cs="Arial"/>
          <w:b/>
          <w:sz w:val="20"/>
          <w:szCs w:val="20"/>
        </w:rPr>
      </w:pPr>
    </w:p>
    <w:p w:rsidR="002416B1" w:rsidRPr="005629DA" w:rsidRDefault="002416B1" w:rsidP="00507035">
      <w:pPr>
        <w:spacing w:before="120" w:after="120" w:line="360" w:lineRule="auto"/>
        <w:rPr>
          <w:rFonts w:ascii="Arial" w:hAnsi="Arial" w:cs="Arial"/>
          <w:b/>
          <w:sz w:val="20"/>
          <w:szCs w:val="20"/>
        </w:rPr>
      </w:pPr>
      <w:r w:rsidRPr="00115076">
        <w:rPr>
          <w:rFonts w:ascii="Arial" w:hAnsi="Arial" w:cs="Arial"/>
          <w:b/>
          <w:sz w:val="20"/>
          <w:szCs w:val="20"/>
        </w:rPr>
        <w:t>Plnenie merateľných ukazovateľov</w:t>
      </w:r>
    </w:p>
    <w:p w:rsidR="002416B1" w:rsidRPr="00115076" w:rsidRDefault="002416B1" w:rsidP="00507035">
      <w:pPr>
        <w:spacing w:before="120" w:after="120" w:line="360" w:lineRule="auto"/>
        <w:jc w:val="both"/>
        <w:rPr>
          <w:rFonts w:ascii="Arial" w:hAnsi="Arial" w:cs="Arial"/>
          <w:sz w:val="20"/>
          <w:szCs w:val="20"/>
        </w:rPr>
      </w:pPr>
      <w:r w:rsidRPr="00115076">
        <w:rPr>
          <w:rFonts w:ascii="Arial" w:hAnsi="Arial" w:cs="Arial"/>
          <w:sz w:val="20"/>
          <w:szCs w:val="20"/>
        </w:rPr>
        <w:t>Merateľné ukazovatele sú jednou z metód sledovania účinnosti pomoci z fondov EÚ, ako aj dosahovania cieľov a horizontálnych priorít definovaných v operačných programoch, slúžia na zhodnotenie hospodárnosti, efektívnosti a účinnosti použitia prostriedkov alokovaných na operačný program, prioritnú os.</w:t>
      </w:r>
    </w:p>
    <w:p w:rsidR="002416B1" w:rsidRPr="00115076" w:rsidRDefault="002416B1" w:rsidP="00507035">
      <w:pPr>
        <w:spacing w:before="120" w:after="120" w:line="360" w:lineRule="auto"/>
        <w:jc w:val="both"/>
        <w:rPr>
          <w:rFonts w:ascii="Arial" w:hAnsi="Arial" w:cs="Arial"/>
          <w:sz w:val="20"/>
          <w:szCs w:val="20"/>
        </w:rPr>
      </w:pPr>
      <w:r w:rsidRPr="00115076">
        <w:rPr>
          <w:rFonts w:ascii="Arial" w:hAnsi="Arial" w:cs="Arial"/>
          <w:sz w:val="20"/>
          <w:szCs w:val="20"/>
        </w:rPr>
        <w:t>Postup pri vypracovaní žiadosti o NFP vyplnením elektronického formulára žiadosti o NFP a teda aj merateľných ukazovateľov prostredníctvom verejnej časti ITMS je popísaný v Príručke pre žiadateľa, ktorá je prílohou k aktuálnej výzve na predkladanie žiadostí o NFP a v Príručke pre užívateľov portálu ITMS (príloha Príručky pre žiadateľa).</w:t>
      </w:r>
    </w:p>
    <w:p w:rsidR="002416B1" w:rsidRPr="00115076" w:rsidRDefault="002416B1" w:rsidP="00507035">
      <w:pPr>
        <w:spacing w:before="120" w:after="120" w:line="360" w:lineRule="auto"/>
        <w:jc w:val="both"/>
        <w:rPr>
          <w:rFonts w:ascii="Arial" w:hAnsi="Arial" w:cs="Arial"/>
          <w:sz w:val="20"/>
          <w:szCs w:val="20"/>
        </w:rPr>
      </w:pPr>
      <w:r w:rsidRPr="00115076">
        <w:rPr>
          <w:rFonts w:ascii="Arial" w:hAnsi="Arial" w:cs="Arial"/>
          <w:sz w:val="20"/>
          <w:szCs w:val="20"/>
        </w:rPr>
        <w:t xml:space="preserve">Prijímateľ je povinný počas platnosti a účinnosti zmluvy </w:t>
      </w:r>
      <w:r w:rsidR="0074232D">
        <w:rPr>
          <w:rFonts w:ascii="Arial" w:hAnsi="Arial" w:cs="Arial"/>
          <w:sz w:val="20"/>
          <w:szCs w:val="20"/>
        </w:rPr>
        <w:t xml:space="preserve">o poskytnutí NFP </w:t>
      </w:r>
      <w:r w:rsidRPr="00115076">
        <w:rPr>
          <w:rFonts w:ascii="Arial" w:hAnsi="Arial" w:cs="Arial"/>
          <w:sz w:val="20"/>
          <w:szCs w:val="20"/>
        </w:rPr>
        <w:t>pravidelne predkladať poskytovateľovi</w:t>
      </w:r>
      <w:r w:rsidR="00DF12B0" w:rsidRPr="00DF12B0">
        <w:rPr>
          <w:rFonts w:ascii="Arial" w:hAnsi="Arial" w:cs="Arial"/>
          <w:sz w:val="20"/>
          <w:szCs w:val="20"/>
        </w:rPr>
        <w:t xml:space="preserve"> </w:t>
      </w:r>
      <w:r w:rsidRPr="0074232D">
        <w:rPr>
          <w:rFonts w:ascii="Arial" w:hAnsi="Arial" w:cs="Arial"/>
          <w:sz w:val="20"/>
          <w:szCs w:val="20"/>
        </w:rPr>
        <w:t>monitorovacie správy, ktoré</w:t>
      </w:r>
      <w:r w:rsidRPr="00115076">
        <w:rPr>
          <w:rFonts w:ascii="Arial" w:hAnsi="Arial" w:cs="Arial"/>
          <w:sz w:val="20"/>
          <w:szCs w:val="20"/>
        </w:rPr>
        <w:t xml:space="preserve"> sú výstupom v písomnej forme generovanej ITMS na základe údajov od prijímateľa a údajov uložených v ITMS. </w:t>
      </w:r>
    </w:p>
    <w:p w:rsidR="002416B1" w:rsidRPr="004B33AE" w:rsidRDefault="002416B1" w:rsidP="00507035">
      <w:pPr>
        <w:spacing w:before="120" w:after="120" w:line="360" w:lineRule="auto"/>
        <w:jc w:val="both"/>
        <w:rPr>
          <w:rFonts w:ascii="Arial" w:hAnsi="Arial" w:cs="Arial"/>
          <w:sz w:val="20"/>
          <w:szCs w:val="20"/>
        </w:rPr>
      </w:pPr>
      <w:r w:rsidRPr="005629DA">
        <w:rPr>
          <w:rFonts w:ascii="Arial" w:hAnsi="Arial" w:cs="Arial"/>
          <w:sz w:val="20"/>
          <w:szCs w:val="20"/>
        </w:rPr>
        <w:t xml:space="preserve">Prijímateľ v súlade so zmluvou o poskytnutí NFP predkladá priebežné monitorovacie správy počas </w:t>
      </w:r>
      <w:r w:rsidRPr="00115076">
        <w:rPr>
          <w:rFonts w:ascii="Arial" w:hAnsi="Arial" w:cs="Arial"/>
          <w:sz w:val="20"/>
          <w:szCs w:val="20"/>
        </w:rPr>
        <w:t>realizácie aktivít projektu minimálne raz za 6 mesiacov, a to do 15. dňa mesiaca nasledujúceho po sledovanom období, pričom prvým mesiacom, ktorý je predmetom priebežnej monitorovacej správy je mesiac podpisu zmluvy</w:t>
      </w:r>
      <w:r w:rsidR="0074232D">
        <w:rPr>
          <w:rFonts w:ascii="Arial" w:hAnsi="Arial" w:cs="Arial"/>
          <w:sz w:val="20"/>
          <w:szCs w:val="20"/>
        </w:rPr>
        <w:t xml:space="preserve"> o poskytnutí NFP</w:t>
      </w:r>
      <w:r w:rsidRPr="00115076">
        <w:rPr>
          <w:rFonts w:ascii="Arial" w:hAnsi="Arial" w:cs="Arial"/>
          <w:sz w:val="20"/>
          <w:szCs w:val="20"/>
        </w:rPr>
        <w:t>. Do 15 dní od ukončenia realizácie aktivít projektu prijímateľ predkladá záverečnú monitorovaciu správu, t.j. posledná priebežná a počas potrebného obdobia udržateľnosti projektu následnú monitorovaciu správu projektu.</w:t>
      </w:r>
    </w:p>
    <w:p w:rsidR="002416B1" w:rsidRDefault="002416B1" w:rsidP="00507035">
      <w:pPr>
        <w:spacing w:before="120" w:after="120" w:line="360" w:lineRule="auto"/>
        <w:jc w:val="both"/>
        <w:rPr>
          <w:rFonts w:ascii="Arial" w:hAnsi="Arial" w:cs="Arial"/>
          <w:sz w:val="20"/>
          <w:szCs w:val="20"/>
        </w:rPr>
      </w:pPr>
      <w:r w:rsidRPr="004B33AE">
        <w:rPr>
          <w:rFonts w:ascii="Arial" w:hAnsi="Arial" w:cs="Arial"/>
          <w:sz w:val="20"/>
          <w:szCs w:val="20"/>
        </w:rPr>
        <w:t xml:space="preserve">Monitorovacia správa </w:t>
      </w:r>
      <w:r w:rsidR="0074232D">
        <w:rPr>
          <w:rFonts w:ascii="Arial" w:hAnsi="Arial" w:cs="Arial"/>
          <w:sz w:val="20"/>
          <w:szCs w:val="20"/>
        </w:rPr>
        <w:t xml:space="preserve">(ďalej aj MS) </w:t>
      </w:r>
      <w:r w:rsidRPr="004B33AE">
        <w:rPr>
          <w:rFonts w:ascii="Arial" w:hAnsi="Arial" w:cs="Arial"/>
          <w:sz w:val="20"/>
          <w:szCs w:val="20"/>
        </w:rPr>
        <w:t>projektu obsahuje stav realizácie aktivít projektu, plnenie povinností stanovených RO v zmluve o</w:t>
      </w:r>
      <w:r w:rsidR="0074232D">
        <w:rPr>
          <w:rFonts w:ascii="Arial" w:hAnsi="Arial" w:cs="Arial"/>
          <w:sz w:val="20"/>
          <w:szCs w:val="20"/>
        </w:rPr>
        <w:t xml:space="preserve"> poskytnutí </w:t>
      </w:r>
      <w:r w:rsidRPr="004B33AE">
        <w:rPr>
          <w:rFonts w:ascii="Arial" w:hAnsi="Arial" w:cs="Arial"/>
          <w:sz w:val="20"/>
          <w:szCs w:val="20"/>
        </w:rPr>
        <w:t xml:space="preserve">NFP a taktiež plnenie stanovených ukazovateľov projektu za sledované obdobie. </w:t>
      </w:r>
      <w:r w:rsidRPr="006A2BF3">
        <w:rPr>
          <w:rFonts w:ascii="Arial" w:hAnsi="Arial" w:cs="Arial"/>
          <w:sz w:val="20"/>
          <w:szCs w:val="20"/>
        </w:rPr>
        <w:t>V roku 201</w:t>
      </w:r>
      <w:r w:rsidR="00A50084">
        <w:rPr>
          <w:rFonts w:ascii="Arial" w:hAnsi="Arial" w:cs="Arial"/>
          <w:sz w:val="20"/>
          <w:szCs w:val="20"/>
        </w:rPr>
        <w:t>2</w:t>
      </w:r>
      <w:r w:rsidRPr="006A2BF3">
        <w:rPr>
          <w:rFonts w:ascii="Arial" w:hAnsi="Arial" w:cs="Arial"/>
          <w:sz w:val="20"/>
          <w:szCs w:val="20"/>
        </w:rPr>
        <w:t xml:space="preserve"> RO obdržal celkovo </w:t>
      </w:r>
      <w:bookmarkStart w:id="17" w:name="OLE_LINK26"/>
      <w:bookmarkStart w:id="18" w:name="OLE_LINK27"/>
      <w:r w:rsidR="00A50084">
        <w:rPr>
          <w:rFonts w:ascii="Arial" w:hAnsi="Arial" w:cs="Arial"/>
          <w:sz w:val="20"/>
          <w:szCs w:val="20"/>
        </w:rPr>
        <w:t>916</w:t>
      </w:r>
      <w:r w:rsidR="00A50084" w:rsidRPr="006A2BF3">
        <w:rPr>
          <w:rFonts w:ascii="Arial" w:hAnsi="Arial" w:cs="Arial"/>
          <w:sz w:val="20"/>
          <w:szCs w:val="20"/>
        </w:rPr>
        <w:t xml:space="preserve"> </w:t>
      </w:r>
      <w:r w:rsidRPr="006A2BF3">
        <w:rPr>
          <w:rFonts w:ascii="Arial" w:hAnsi="Arial" w:cs="Arial"/>
          <w:sz w:val="20"/>
          <w:szCs w:val="20"/>
        </w:rPr>
        <w:t xml:space="preserve">monitorovacích správ projektov, z toho </w:t>
      </w:r>
      <w:r w:rsidR="00A50084">
        <w:rPr>
          <w:rFonts w:ascii="Arial" w:hAnsi="Arial" w:cs="Arial"/>
          <w:sz w:val="20"/>
          <w:szCs w:val="20"/>
        </w:rPr>
        <w:t>635</w:t>
      </w:r>
      <w:r w:rsidR="00A50084" w:rsidRPr="006A2BF3">
        <w:rPr>
          <w:rFonts w:ascii="Arial" w:hAnsi="Arial" w:cs="Arial"/>
          <w:sz w:val="20"/>
          <w:szCs w:val="20"/>
        </w:rPr>
        <w:t xml:space="preserve"> </w:t>
      </w:r>
      <w:r w:rsidRPr="006A2BF3">
        <w:rPr>
          <w:rFonts w:ascii="Arial" w:hAnsi="Arial" w:cs="Arial"/>
          <w:sz w:val="20"/>
          <w:szCs w:val="20"/>
        </w:rPr>
        <w:t xml:space="preserve">priebežných, </w:t>
      </w:r>
      <w:r w:rsidR="00A50084" w:rsidRPr="006A2BF3">
        <w:rPr>
          <w:rFonts w:ascii="Arial" w:hAnsi="Arial" w:cs="Arial"/>
          <w:sz w:val="20"/>
          <w:szCs w:val="20"/>
        </w:rPr>
        <w:t>1</w:t>
      </w:r>
      <w:r w:rsidR="00A50084">
        <w:rPr>
          <w:rFonts w:ascii="Arial" w:hAnsi="Arial" w:cs="Arial"/>
          <w:sz w:val="20"/>
          <w:szCs w:val="20"/>
        </w:rPr>
        <w:t>56</w:t>
      </w:r>
      <w:r w:rsidR="00A50084" w:rsidRPr="006A2BF3">
        <w:rPr>
          <w:rFonts w:ascii="Arial" w:hAnsi="Arial" w:cs="Arial"/>
          <w:sz w:val="20"/>
          <w:szCs w:val="20"/>
        </w:rPr>
        <w:t xml:space="preserve"> </w:t>
      </w:r>
      <w:r w:rsidRPr="006A2BF3">
        <w:rPr>
          <w:rFonts w:ascii="Arial" w:hAnsi="Arial" w:cs="Arial"/>
          <w:sz w:val="20"/>
          <w:szCs w:val="20"/>
        </w:rPr>
        <w:t>záverečných a </w:t>
      </w:r>
      <w:r w:rsidR="00A50084">
        <w:rPr>
          <w:rFonts w:ascii="Arial" w:hAnsi="Arial" w:cs="Arial"/>
          <w:sz w:val="20"/>
          <w:szCs w:val="20"/>
        </w:rPr>
        <w:t>125</w:t>
      </w:r>
      <w:r w:rsidR="00A50084" w:rsidRPr="006A2BF3">
        <w:rPr>
          <w:rFonts w:ascii="Arial" w:hAnsi="Arial" w:cs="Arial"/>
          <w:sz w:val="20"/>
          <w:szCs w:val="20"/>
        </w:rPr>
        <w:t xml:space="preserve"> </w:t>
      </w:r>
      <w:r w:rsidRPr="006A2BF3">
        <w:rPr>
          <w:rFonts w:ascii="Arial" w:hAnsi="Arial" w:cs="Arial"/>
          <w:sz w:val="20"/>
          <w:szCs w:val="20"/>
        </w:rPr>
        <w:t>následných</w:t>
      </w:r>
      <w:bookmarkEnd w:id="17"/>
      <w:bookmarkEnd w:id="18"/>
      <w:r w:rsidR="00A50084">
        <w:rPr>
          <w:rFonts w:ascii="Arial" w:hAnsi="Arial" w:cs="Arial"/>
          <w:sz w:val="20"/>
          <w:szCs w:val="20"/>
        </w:rPr>
        <w:t>.</w:t>
      </w:r>
    </w:p>
    <w:p w:rsidR="00507035" w:rsidRDefault="00507035">
      <w:pPr>
        <w:rPr>
          <w:rFonts w:ascii="Arial" w:hAnsi="Arial" w:cs="Arial"/>
          <w:sz w:val="20"/>
          <w:szCs w:val="20"/>
          <w:u w:val="single"/>
        </w:rPr>
      </w:pPr>
    </w:p>
    <w:p w:rsidR="00545DEC" w:rsidRPr="0074232D" w:rsidRDefault="00545DEC" w:rsidP="00507035">
      <w:pPr>
        <w:spacing w:before="120" w:after="120" w:line="360" w:lineRule="auto"/>
        <w:jc w:val="both"/>
        <w:rPr>
          <w:rFonts w:ascii="Arial" w:hAnsi="Arial" w:cs="Arial"/>
          <w:sz w:val="20"/>
          <w:szCs w:val="20"/>
          <w:u w:val="single"/>
        </w:rPr>
      </w:pPr>
      <w:r w:rsidRPr="0074232D">
        <w:rPr>
          <w:rFonts w:ascii="Arial" w:hAnsi="Arial" w:cs="Arial"/>
          <w:sz w:val="20"/>
          <w:szCs w:val="20"/>
          <w:u w:val="single"/>
        </w:rPr>
        <w:t>V rámci monitorovacích správ boli zistené nasledovné nedostatky:</w:t>
      </w:r>
    </w:p>
    <w:p w:rsidR="00545DEC" w:rsidRPr="00545DEC" w:rsidRDefault="00545DEC" w:rsidP="001540E7">
      <w:pPr>
        <w:numPr>
          <w:ilvl w:val="0"/>
          <w:numId w:val="48"/>
        </w:numPr>
        <w:spacing w:before="120" w:after="120" w:line="360" w:lineRule="auto"/>
        <w:ind w:left="0" w:firstLine="0"/>
        <w:jc w:val="both"/>
        <w:rPr>
          <w:rFonts w:ascii="Arial" w:hAnsi="Arial" w:cs="Arial"/>
          <w:sz w:val="20"/>
          <w:szCs w:val="20"/>
        </w:rPr>
      </w:pPr>
      <w:r>
        <w:rPr>
          <w:rFonts w:ascii="Arial" w:hAnsi="Arial" w:cs="Arial"/>
          <w:sz w:val="20"/>
          <w:szCs w:val="20"/>
        </w:rPr>
        <w:t xml:space="preserve"> </w:t>
      </w:r>
      <w:r w:rsidR="0074232D">
        <w:rPr>
          <w:rFonts w:ascii="Arial" w:hAnsi="Arial" w:cs="Arial"/>
          <w:sz w:val="20"/>
          <w:szCs w:val="20"/>
        </w:rPr>
        <w:t>p</w:t>
      </w:r>
      <w:r w:rsidRPr="00545DEC">
        <w:rPr>
          <w:rFonts w:ascii="Arial" w:hAnsi="Arial" w:cs="Arial"/>
          <w:sz w:val="20"/>
          <w:szCs w:val="20"/>
        </w:rPr>
        <w:t>ri predložení priebežných monitorovacích správ ide prevažne o formálne chyby vo formulároch MS;</w:t>
      </w:r>
    </w:p>
    <w:p w:rsidR="00545DEC" w:rsidRPr="00545DEC" w:rsidRDefault="00545DEC" w:rsidP="001540E7">
      <w:pPr>
        <w:numPr>
          <w:ilvl w:val="0"/>
          <w:numId w:val="48"/>
        </w:numPr>
        <w:spacing w:before="120" w:after="120" w:line="360" w:lineRule="auto"/>
        <w:ind w:left="0" w:firstLine="0"/>
        <w:jc w:val="both"/>
        <w:rPr>
          <w:rFonts w:ascii="Arial" w:hAnsi="Arial" w:cs="Arial"/>
          <w:sz w:val="20"/>
          <w:szCs w:val="20"/>
        </w:rPr>
      </w:pPr>
      <w:r>
        <w:rPr>
          <w:rFonts w:ascii="Arial" w:hAnsi="Arial" w:cs="Arial"/>
          <w:sz w:val="20"/>
          <w:szCs w:val="20"/>
        </w:rPr>
        <w:t xml:space="preserve"> </w:t>
      </w:r>
      <w:r w:rsidR="0074232D">
        <w:rPr>
          <w:rFonts w:ascii="Arial" w:hAnsi="Arial" w:cs="Arial"/>
          <w:sz w:val="20"/>
          <w:szCs w:val="20"/>
        </w:rPr>
        <w:t>p</w:t>
      </w:r>
      <w:r w:rsidRPr="00545DEC">
        <w:rPr>
          <w:rFonts w:ascii="Arial" w:hAnsi="Arial" w:cs="Arial"/>
          <w:sz w:val="20"/>
          <w:szCs w:val="20"/>
        </w:rPr>
        <w:t>ri predložení záverečných MS chýbajú kolaudačné rozhodnutia, súhlasy a pod.</w:t>
      </w:r>
      <w:r w:rsidR="0074232D">
        <w:rPr>
          <w:rFonts w:ascii="Arial" w:hAnsi="Arial" w:cs="Arial"/>
          <w:sz w:val="20"/>
          <w:szCs w:val="20"/>
        </w:rPr>
        <w:t>;</w:t>
      </w:r>
      <w:r w:rsidRPr="00545DEC">
        <w:rPr>
          <w:rFonts w:ascii="Arial" w:hAnsi="Arial" w:cs="Arial"/>
          <w:sz w:val="20"/>
          <w:szCs w:val="20"/>
        </w:rPr>
        <w:t xml:space="preserve"> </w:t>
      </w:r>
    </w:p>
    <w:p w:rsidR="00545DEC" w:rsidRPr="00545DEC" w:rsidRDefault="00545DEC" w:rsidP="001540E7">
      <w:pPr>
        <w:numPr>
          <w:ilvl w:val="0"/>
          <w:numId w:val="48"/>
        </w:numPr>
        <w:spacing w:before="120" w:after="120" w:line="360" w:lineRule="auto"/>
        <w:ind w:left="0" w:firstLine="0"/>
        <w:jc w:val="both"/>
        <w:rPr>
          <w:rFonts w:ascii="Arial" w:hAnsi="Arial" w:cs="Arial"/>
          <w:sz w:val="20"/>
          <w:szCs w:val="20"/>
        </w:rPr>
      </w:pPr>
      <w:r>
        <w:rPr>
          <w:rFonts w:ascii="Arial" w:hAnsi="Arial" w:cs="Arial"/>
          <w:sz w:val="20"/>
          <w:szCs w:val="20"/>
        </w:rPr>
        <w:t xml:space="preserve"> </w:t>
      </w:r>
      <w:r w:rsidR="0074232D">
        <w:rPr>
          <w:rFonts w:ascii="Arial" w:hAnsi="Arial" w:cs="Arial"/>
          <w:sz w:val="20"/>
          <w:szCs w:val="20"/>
        </w:rPr>
        <w:t>p</w:t>
      </w:r>
      <w:r w:rsidRPr="00545DEC">
        <w:rPr>
          <w:rFonts w:ascii="Arial" w:hAnsi="Arial" w:cs="Arial"/>
          <w:sz w:val="20"/>
          <w:szCs w:val="20"/>
        </w:rPr>
        <w:t>ri predložení následných MS chýbajú informácie o stave poistenia majetku zhodnoteného z nenávratného finančného príspevku alebo jeho časti;</w:t>
      </w:r>
    </w:p>
    <w:p w:rsidR="00545DEC" w:rsidRPr="00545DEC" w:rsidRDefault="00545DEC" w:rsidP="001540E7">
      <w:pPr>
        <w:numPr>
          <w:ilvl w:val="0"/>
          <w:numId w:val="48"/>
        </w:numPr>
        <w:spacing w:before="120" w:after="120" w:line="360" w:lineRule="auto"/>
        <w:ind w:left="0" w:firstLine="0"/>
        <w:jc w:val="both"/>
        <w:rPr>
          <w:rFonts w:ascii="Arial" w:hAnsi="Arial" w:cs="Arial"/>
          <w:sz w:val="20"/>
          <w:szCs w:val="20"/>
        </w:rPr>
      </w:pPr>
      <w:r>
        <w:rPr>
          <w:rFonts w:ascii="Arial" w:hAnsi="Arial" w:cs="Arial"/>
          <w:sz w:val="20"/>
          <w:szCs w:val="20"/>
        </w:rPr>
        <w:t xml:space="preserve"> </w:t>
      </w:r>
      <w:r w:rsidRPr="00545DEC">
        <w:rPr>
          <w:rFonts w:ascii="Arial" w:hAnsi="Arial" w:cs="Arial"/>
          <w:sz w:val="20"/>
          <w:szCs w:val="20"/>
        </w:rPr>
        <w:t>nesprávne sumy v plánoch predkladania žiadostí o platbu, vo väčšine prípadov nezapočítanie predložených a nespracovaných Ž</w:t>
      </w:r>
      <w:r>
        <w:rPr>
          <w:rFonts w:ascii="Arial" w:hAnsi="Arial" w:cs="Arial"/>
          <w:sz w:val="20"/>
          <w:szCs w:val="20"/>
        </w:rPr>
        <w:t>o</w:t>
      </w:r>
      <w:r w:rsidRPr="00545DEC">
        <w:rPr>
          <w:rFonts w:ascii="Arial" w:hAnsi="Arial" w:cs="Arial"/>
          <w:sz w:val="20"/>
          <w:szCs w:val="20"/>
        </w:rPr>
        <w:t>P, matematické chyby;</w:t>
      </w:r>
    </w:p>
    <w:p w:rsidR="00545DEC" w:rsidRPr="00545DEC" w:rsidRDefault="00545DEC" w:rsidP="001540E7">
      <w:pPr>
        <w:numPr>
          <w:ilvl w:val="0"/>
          <w:numId w:val="48"/>
        </w:numPr>
        <w:spacing w:before="120" w:after="120" w:line="360" w:lineRule="auto"/>
        <w:ind w:left="0" w:firstLine="0"/>
        <w:jc w:val="both"/>
        <w:rPr>
          <w:rFonts w:ascii="Arial" w:hAnsi="Arial" w:cs="Arial"/>
          <w:sz w:val="20"/>
          <w:szCs w:val="20"/>
        </w:rPr>
      </w:pPr>
      <w:r>
        <w:rPr>
          <w:rFonts w:ascii="Arial" w:hAnsi="Arial" w:cs="Arial"/>
          <w:sz w:val="20"/>
          <w:szCs w:val="20"/>
        </w:rPr>
        <w:t xml:space="preserve"> </w:t>
      </w:r>
      <w:r w:rsidRPr="00545DEC">
        <w:rPr>
          <w:rFonts w:ascii="Arial" w:hAnsi="Arial" w:cs="Arial"/>
          <w:sz w:val="20"/>
          <w:szCs w:val="20"/>
        </w:rPr>
        <w:t>uvádzané indikátory nie sú v súlade s indikátormi schválenými v ŽoNFP;</w:t>
      </w:r>
    </w:p>
    <w:p w:rsidR="00545DEC" w:rsidRDefault="00545DEC" w:rsidP="001540E7">
      <w:pPr>
        <w:numPr>
          <w:ilvl w:val="0"/>
          <w:numId w:val="48"/>
        </w:numPr>
        <w:spacing w:before="120" w:after="120" w:line="360" w:lineRule="auto"/>
        <w:ind w:left="0" w:firstLine="0"/>
        <w:jc w:val="both"/>
        <w:rPr>
          <w:rFonts w:ascii="Arial" w:hAnsi="Arial" w:cs="Arial"/>
          <w:sz w:val="20"/>
          <w:szCs w:val="20"/>
        </w:rPr>
      </w:pPr>
      <w:r w:rsidRPr="00545DEC">
        <w:rPr>
          <w:rFonts w:ascii="Arial" w:hAnsi="Arial" w:cs="Arial"/>
          <w:sz w:val="20"/>
          <w:szCs w:val="20"/>
        </w:rPr>
        <w:t xml:space="preserve"> nesúlad údajov uvedených v MS so skutočnosťou vyplývajúcou z iných dokumentov;</w:t>
      </w:r>
    </w:p>
    <w:p w:rsidR="00545DEC" w:rsidRPr="00545DEC" w:rsidRDefault="00545DEC" w:rsidP="001540E7">
      <w:pPr>
        <w:numPr>
          <w:ilvl w:val="0"/>
          <w:numId w:val="48"/>
        </w:numPr>
        <w:spacing w:before="120" w:after="120" w:line="360" w:lineRule="auto"/>
        <w:ind w:left="0" w:firstLine="0"/>
        <w:jc w:val="both"/>
        <w:rPr>
          <w:rFonts w:ascii="Arial" w:hAnsi="Arial" w:cs="Arial"/>
          <w:sz w:val="20"/>
          <w:szCs w:val="20"/>
        </w:rPr>
      </w:pPr>
      <w:r>
        <w:rPr>
          <w:rFonts w:ascii="Arial" w:hAnsi="Arial" w:cs="Arial"/>
          <w:sz w:val="20"/>
          <w:szCs w:val="20"/>
        </w:rPr>
        <w:t xml:space="preserve"> </w:t>
      </w:r>
      <w:r w:rsidRPr="00545DEC">
        <w:rPr>
          <w:rFonts w:ascii="Arial" w:hAnsi="Arial" w:cs="Arial"/>
          <w:sz w:val="20"/>
          <w:szCs w:val="20"/>
        </w:rPr>
        <w:t>nedostatočná identifikácia problémov, resp. nesúladu skutočného a plánovaného stavu časovej, vecnej a finančnej realizácie aktivít projektu</w:t>
      </w:r>
      <w:r w:rsidR="0074232D">
        <w:rPr>
          <w:rFonts w:ascii="Arial" w:hAnsi="Arial" w:cs="Arial"/>
          <w:sz w:val="20"/>
          <w:szCs w:val="20"/>
        </w:rPr>
        <w:t>.</w:t>
      </w:r>
    </w:p>
    <w:p w:rsidR="002416B1" w:rsidRPr="00115076" w:rsidRDefault="002416B1" w:rsidP="00507035">
      <w:pPr>
        <w:spacing w:before="120" w:after="120" w:line="360" w:lineRule="auto"/>
        <w:jc w:val="both"/>
        <w:rPr>
          <w:rFonts w:ascii="Arial" w:hAnsi="Arial" w:cs="Arial"/>
          <w:sz w:val="20"/>
          <w:szCs w:val="20"/>
        </w:rPr>
      </w:pPr>
      <w:r w:rsidRPr="00115076">
        <w:rPr>
          <w:rFonts w:ascii="Arial" w:hAnsi="Arial" w:cs="Arial"/>
          <w:sz w:val="20"/>
          <w:szCs w:val="20"/>
        </w:rPr>
        <w:t xml:space="preserve">Pri monitorovaní jednotlivých ukazovateľov RO  každomesačne agreguje dostupné výstupy z ITMS, čo umožňuje sledovať nielen dosiahnuté merané hodnoty jednotlivých merateľných ukazovateľov, ale aj východiskové a cieľové hodnoty jednotlivých ukazovateľov na úrovni projektov, ako aj plánovaných hodnôt na úrovni celého OP. Na základe týchto údajov generovaných z ITMS bolo vyhodnotené plnenie programových ukazovateľov za rok </w:t>
      </w:r>
      <w:r w:rsidR="00C441FA">
        <w:rPr>
          <w:rFonts w:ascii="Arial" w:hAnsi="Arial" w:cs="Arial"/>
          <w:sz w:val="20"/>
          <w:szCs w:val="20"/>
        </w:rPr>
        <w:t>2012</w:t>
      </w:r>
      <w:r w:rsidRPr="00115076">
        <w:rPr>
          <w:rFonts w:ascii="Arial" w:hAnsi="Arial" w:cs="Arial"/>
          <w:sz w:val="20"/>
          <w:szCs w:val="20"/>
        </w:rPr>
        <w:t xml:space="preserve"> spôsobom projekt – prioritná os – operačný program, ktoré sú súčasťou Príloh</w:t>
      </w:r>
      <w:r w:rsidRPr="005629DA">
        <w:rPr>
          <w:rFonts w:ascii="Arial" w:hAnsi="Arial" w:cs="Arial"/>
          <w:sz w:val="20"/>
          <w:szCs w:val="20"/>
        </w:rPr>
        <w:t xml:space="preserve">y č. 2. </w:t>
      </w:r>
      <w:r w:rsidR="00FE0FAD" w:rsidRPr="00115076">
        <w:rPr>
          <w:rFonts w:ascii="Arial" w:hAnsi="Arial" w:cs="Arial"/>
          <w:sz w:val="20"/>
          <w:szCs w:val="20"/>
        </w:rPr>
        <w:t xml:space="preserve">Zoznam </w:t>
      </w:r>
      <w:r w:rsidR="008F2A89">
        <w:rPr>
          <w:rFonts w:ascii="Arial" w:hAnsi="Arial" w:cs="Arial"/>
          <w:sz w:val="20"/>
          <w:szCs w:val="20"/>
        </w:rPr>
        <w:t>CORE</w:t>
      </w:r>
      <w:r w:rsidR="00FE0FAD" w:rsidRPr="00115076">
        <w:rPr>
          <w:rFonts w:ascii="Arial" w:hAnsi="Arial" w:cs="Arial"/>
          <w:sz w:val="20"/>
          <w:szCs w:val="20"/>
        </w:rPr>
        <w:t xml:space="preserve"> ukazovateľov reportovaných EK prostredníctvom SFC2007 v rámci Výročnej správy o vykonávaní OP ŽP za rok 201</w:t>
      </w:r>
      <w:r w:rsidR="00115076" w:rsidRPr="007621D2">
        <w:rPr>
          <w:rFonts w:ascii="Arial" w:hAnsi="Arial" w:cs="Arial"/>
          <w:sz w:val="20"/>
          <w:szCs w:val="20"/>
        </w:rPr>
        <w:t>2</w:t>
      </w:r>
      <w:r w:rsidR="00FE0FAD" w:rsidRPr="00115076">
        <w:rPr>
          <w:rFonts w:ascii="Arial" w:hAnsi="Arial" w:cs="Arial"/>
          <w:sz w:val="20"/>
          <w:szCs w:val="20"/>
        </w:rPr>
        <w:t xml:space="preserve"> je uvedený v Prílohe č. 11 výročnej správy.</w:t>
      </w:r>
    </w:p>
    <w:p w:rsidR="002416B1" w:rsidRPr="00115076" w:rsidRDefault="002416B1" w:rsidP="00507035">
      <w:pPr>
        <w:spacing w:before="120" w:after="120" w:line="360" w:lineRule="auto"/>
        <w:jc w:val="both"/>
        <w:rPr>
          <w:rFonts w:ascii="Arial" w:hAnsi="Arial" w:cs="Arial"/>
          <w:sz w:val="20"/>
          <w:szCs w:val="20"/>
        </w:rPr>
      </w:pPr>
      <w:r w:rsidRPr="005629DA">
        <w:rPr>
          <w:rFonts w:ascii="Arial" w:hAnsi="Arial" w:cs="Arial"/>
          <w:sz w:val="20"/>
          <w:szCs w:val="20"/>
        </w:rPr>
        <w:t xml:space="preserve">Zavedený systém monitorovania napomáha RO sledovať pokrok fyzickej implementácie </w:t>
      </w:r>
      <w:r w:rsidRPr="00115076">
        <w:rPr>
          <w:rFonts w:ascii="Arial" w:hAnsi="Arial" w:cs="Arial"/>
          <w:sz w:val="20"/>
          <w:szCs w:val="20"/>
        </w:rPr>
        <w:t>jednotlivých projektov v porovnaní s dosiahnutou úrovňou čerpania alokácie a je aj jedným z nástrojov rozhodovania pri vyhlasovaní jednotlivých výziev v nadväznosti na úroveň dosiahnutých plánovaných hodnôt merateľných ukazovateľov stanovených v OP.</w:t>
      </w:r>
    </w:p>
    <w:p w:rsidR="002416B1" w:rsidRPr="00115076" w:rsidRDefault="002416B1" w:rsidP="00507035">
      <w:pPr>
        <w:spacing w:before="120" w:after="120" w:line="360" w:lineRule="auto"/>
        <w:jc w:val="both"/>
        <w:rPr>
          <w:rFonts w:ascii="Arial" w:hAnsi="Arial" w:cs="Arial"/>
          <w:iCs/>
          <w:sz w:val="20"/>
          <w:szCs w:val="20"/>
        </w:rPr>
      </w:pPr>
      <w:r w:rsidRPr="00115076">
        <w:rPr>
          <w:rFonts w:ascii="Arial" w:hAnsi="Arial" w:cs="Arial"/>
          <w:sz w:val="20"/>
          <w:szCs w:val="20"/>
        </w:rPr>
        <w:t xml:space="preserve">Vzhľadom na skutočnosť, že hodnoty ukazovateľov dopadu </w:t>
      </w:r>
      <w:r w:rsidRPr="005629DA">
        <w:rPr>
          <w:rFonts w:ascii="Arial" w:hAnsi="Arial" w:cs="Arial"/>
          <w:iCs/>
          <w:sz w:val="20"/>
          <w:szCs w:val="20"/>
        </w:rPr>
        <w:t>na úrovni projektov sa vykazujú na základe následných monitorovacích správ, ktoré sú predkladané rok po skončení realizácie projektu, boli v Prílohe č. 2 Plnenie ukazovateľov OP ŽP doplnené deklarované cieľové hodnoty projektov v zmysle uzatvorených zmlúv o NFP k 31.12.201</w:t>
      </w:r>
      <w:r w:rsidR="00115076" w:rsidRPr="0048211E">
        <w:rPr>
          <w:rFonts w:ascii="Arial" w:hAnsi="Arial" w:cs="Arial"/>
          <w:iCs/>
          <w:sz w:val="20"/>
          <w:szCs w:val="20"/>
        </w:rPr>
        <w:t>2</w:t>
      </w:r>
      <w:r w:rsidRPr="00115076">
        <w:rPr>
          <w:rFonts w:ascii="Arial" w:hAnsi="Arial" w:cs="Arial"/>
          <w:iCs/>
          <w:sz w:val="20"/>
          <w:szCs w:val="20"/>
        </w:rPr>
        <w:t>.</w:t>
      </w:r>
      <w:r w:rsidR="00FE0FAD" w:rsidRPr="00115076">
        <w:rPr>
          <w:rFonts w:ascii="Arial" w:hAnsi="Arial" w:cs="Arial"/>
          <w:iCs/>
          <w:sz w:val="20"/>
          <w:szCs w:val="20"/>
        </w:rPr>
        <w:t xml:space="preserve"> Zoznam </w:t>
      </w:r>
      <w:r w:rsidR="008F2A89">
        <w:rPr>
          <w:rFonts w:ascii="Arial" w:hAnsi="Arial" w:cs="Arial"/>
          <w:iCs/>
          <w:sz w:val="20"/>
          <w:szCs w:val="20"/>
        </w:rPr>
        <w:t>CORE</w:t>
      </w:r>
      <w:r w:rsidR="00FE0FAD" w:rsidRPr="00115076">
        <w:rPr>
          <w:rFonts w:ascii="Arial" w:hAnsi="Arial" w:cs="Arial"/>
          <w:iCs/>
          <w:sz w:val="20"/>
          <w:szCs w:val="20"/>
        </w:rPr>
        <w:t xml:space="preserve"> ukazovateľov reportovaných EK prostredníctvom SFC2007 v rámci Výročnej správy o vykonávaní OP ŽP za rok 201</w:t>
      </w:r>
      <w:r w:rsidR="00115076" w:rsidRPr="0048211E">
        <w:rPr>
          <w:rFonts w:ascii="Arial" w:hAnsi="Arial" w:cs="Arial"/>
          <w:iCs/>
          <w:sz w:val="20"/>
          <w:szCs w:val="20"/>
        </w:rPr>
        <w:t>2</w:t>
      </w:r>
      <w:r w:rsidR="00FE0FAD" w:rsidRPr="00115076">
        <w:rPr>
          <w:rFonts w:ascii="Arial" w:hAnsi="Arial" w:cs="Arial"/>
          <w:iCs/>
          <w:sz w:val="20"/>
          <w:szCs w:val="20"/>
        </w:rPr>
        <w:t xml:space="preserve"> je uvedený v Prílohe č. 11.</w:t>
      </w:r>
    </w:p>
    <w:p w:rsidR="002416B1" w:rsidRPr="00115076" w:rsidRDefault="002416B1" w:rsidP="00507035">
      <w:pPr>
        <w:spacing w:before="120" w:after="120" w:line="360" w:lineRule="auto"/>
        <w:jc w:val="both"/>
        <w:rPr>
          <w:rFonts w:ascii="Arial" w:hAnsi="Arial" w:cs="Arial"/>
          <w:sz w:val="20"/>
          <w:szCs w:val="20"/>
        </w:rPr>
      </w:pPr>
      <w:r w:rsidRPr="005629DA">
        <w:rPr>
          <w:rFonts w:ascii="Arial" w:hAnsi="Arial" w:cs="Arial"/>
          <w:sz w:val="20"/>
          <w:szCs w:val="20"/>
        </w:rPr>
        <w:t>V rámci prioritnej osi 1 a 2 pri dostatočnej výške disponibilných prostriedkov a súčasnej úrovni dosiahnutia plánovaných hodnôt ukazovateľov berúc do úvahy úspešné vyhodnotene výzvy OPŽP-PO2-11-1 v rámci prioritnej osi 2, ako aj schválenie veľkých projekt</w:t>
      </w:r>
      <w:r w:rsidRPr="0043711C">
        <w:rPr>
          <w:rFonts w:ascii="Arial" w:hAnsi="Arial" w:cs="Arial"/>
          <w:sz w:val="20"/>
          <w:szCs w:val="20"/>
        </w:rPr>
        <w:t>ov v rámci prioritnej osi 1, dosiahnutie plánovaných hodnôt merateľných ukazovateľov na úrovni OP ŽP je reálne.</w:t>
      </w:r>
    </w:p>
    <w:p w:rsidR="002416B1" w:rsidRPr="00115076" w:rsidRDefault="002416B1" w:rsidP="00507035">
      <w:pPr>
        <w:spacing w:before="120" w:after="120" w:line="360" w:lineRule="auto"/>
        <w:jc w:val="both"/>
        <w:rPr>
          <w:rFonts w:ascii="Arial" w:hAnsi="Arial" w:cs="Arial"/>
          <w:sz w:val="20"/>
          <w:szCs w:val="20"/>
        </w:rPr>
      </w:pPr>
      <w:r w:rsidRPr="00115076">
        <w:rPr>
          <w:rFonts w:ascii="Arial" w:hAnsi="Arial" w:cs="Arial"/>
          <w:sz w:val="20"/>
          <w:szCs w:val="20"/>
        </w:rPr>
        <w:t>V rámci prioritnej osi 3 bol identifikovaný problém pri dosiahnutí hodnôt ukazovateľa „Zníženie emisií prchavých organických látok (spolu za jednotlivé projekty)“, ktorý v súčasnosti vykazuje nulovú hodnotu. Po vykonaní zmien v OP súvisiacich s implementáciou finančného mechanizmu JEREMIE (viď 2.1.2 kapitola správy, časť JEREMIE), plánuje RO využiť rezervovanú časť alokácie pre JEREMIE na vyhlásenie výzvy na operačný cieľ 3.1, čo môže napomôcť k naplneniu hodnoty daného ukazovateľa.</w:t>
      </w:r>
    </w:p>
    <w:p w:rsidR="002416B1" w:rsidRPr="00115076" w:rsidRDefault="002416B1" w:rsidP="00507035">
      <w:pPr>
        <w:spacing w:before="120" w:after="120" w:line="360" w:lineRule="auto"/>
        <w:jc w:val="both"/>
        <w:rPr>
          <w:rFonts w:ascii="Arial" w:hAnsi="Arial" w:cs="Arial"/>
          <w:sz w:val="20"/>
          <w:szCs w:val="20"/>
        </w:rPr>
      </w:pPr>
      <w:r w:rsidRPr="00115076">
        <w:rPr>
          <w:rFonts w:ascii="Arial" w:hAnsi="Arial" w:cs="Arial"/>
          <w:sz w:val="20"/>
          <w:szCs w:val="20"/>
        </w:rPr>
        <w:t>V rámci prioritnej osi 4 je predpoklad napĺňania ukazovateľov veľmi priaznivý, s výnimkou ukazovateľa súvisiaceho s realizáciou operačného cieľa 4.4, ktorý bol zapríčinený zdĺhavým legislatívnym procesom v oblasti environmentálnych záťaží. V priebehu roka 201</w:t>
      </w:r>
      <w:r w:rsidR="0043711C">
        <w:rPr>
          <w:rFonts w:ascii="Arial" w:hAnsi="Arial" w:cs="Arial"/>
          <w:sz w:val="20"/>
          <w:szCs w:val="20"/>
        </w:rPr>
        <w:t>3</w:t>
      </w:r>
      <w:r w:rsidRPr="0043711C">
        <w:rPr>
          <w:rFonts w:ascii="Arial" w:hAnsi="Arial" w:cs="Arial"/>
          <w:sz w:val="20"/>
          <w:szCs w:val="20"/>
        </w:rPr>
        <w:t xml:space="preserve"> RO plánuje orientovať výzvu práve na napĺňanie uvedeného cieľa, čím sa predpokladá dosiahnutie príslušných ukazovateľov operačného programu.</w:t>
      </w:r>
    </w:p>
    <w:p w:rsidR="002416B1" w:rsidRPr="00115076" w:rsidRDefault="002416B1" w:rsidP="00507035">
      <w:pPr>
        <w:spacing w:before="120" w:after="120" w:line="360" w:lineRule="auto"/>
        <w:jc w:val="both"/>
        <w:rPr>
          <w:rFonts w:ascii="Arial" w:hAnsi="Arial" w:cs="Arial"/>
          <w:sz w:val="20"/>
          <w:szCs w:val="20"/>
        </w:rPr>
      </w:pPr>
      <w:r w:rsidRPr="00115076">
        <w:rPr>
          <w:rFonts w:ascii="Arial" w:hAnsi="Arial" w:cs="Arial"/>
          <w:sz w:val="20"/>
          <w:szCs w:val="20"/>
        </w:rPr>
        <w:t>V rámci prioritnej osi 5 možno zaznamenať nevyhovujúci vývoj najmä v prípade operačného cieľa 5.1, kde súčasné hodnoty viacerých ukazovateľov dosahujú veľmi nízku úroveň, prípadne nulovú. Nakoľko disponibilné finančné prostriedky v rámci daného operačného cieľa sú nepostačujúce na vyhlásenie ďalšej výzvy RO, pristúpi</w:t>
      </w:r>
      <w:r w:rsidR="0043711C">
        <w:rPr>
          <w:rFonts w:ascii="Arial" w:hAnsi="Arial" w:cs="Arial"/>
          <w:sz w:val="20"/>
          <w:szCs w:val="20"/>
        </w:rPr>
        <w:t>l RO</w:t>
      </w:r>
      <w:r w:rsidRPr="0043711C">
        <w:rPr>
          <w:rFonts w:ascii="Arial" w:hAnsi="Arial" w:cs="Arial"/>
          <w:sz w:val="20"/>
          <w:szCs w:val="20"/>
        </w:rPr>
        <w:t xml:space="preserve"> k  presunu finančných prostriedkov medzi HT54 a HT51 tak, aby bolo možné vyhlásiť výzvu na operačný cieľ 5.1 a napomôcť tak zlepšiť nepriaznivý stav v danej oblasti.</w:t>
      </w:r>
    </w:p>
    <w:p w:rsidR="004742D1" w:rsidRPr="00115076" w:rsidRDefault="002416B1" w:rsidP="00507035">
      <w:pPr>
        <w:spacing w:before="120" w:after="120" w:line="360" w:lineRule="auto"/>
        <w:jc w:val="both"/>
        <w:rPr>
          <w:rFonts w:ascii="Arial" w:hAnsi="Arial" w:cs="Arial"/>
          <w:sz w:val="20"/>
          <w:szCs w:val="20"/>
        </w:rPr>
      </w:pPr>
      <w:r w:rsidRPr="00115076">
        <w:rPr>
          <w:rFonts w:ascii="Arial" w:hAnsi="Arial" w:cs="Arial"/>
          <w:sz w:val="20"/>
          <w:szCs w:val="20"/>
        </w:rPr>
        <w:t>Samotné napĺňanie plánovaných hodnôt ukazovateľov ovplyvňuje taktiež stav projektu, množstvo zazmluvnených/čerpaných prostriedkov. Nárastom čerpania oprávnených výdavkov projektov možno teda predpokladať neustále zvyšovanie hodnôt jednotlivých ukazovateľov, a tým napĺňanie relevantných cieľov prioritnej osi, čo dokazuje neustály nárast týchto hodnôt</w:t>
      </w:r>
      <w:r w:rsidR="006B05EA" w:rsidRPr="00115076">
        <w:rPr>
          <w:rFonts w:ascii="Arial" w:hAnsi="Arial" w:cs="Arial"/>
          <w:sz w:val="20"/>
          <w:szCs w:val="20"/>
        </w:rPr>
        <w:t xml:space="preserve">. </w:t>
      </w:r>
      <w:r w:rsidR="004742D1" w:rsidRPr="00115076">
        <w:rPr>
          <w:rFonts w:ascii="Arial" w:hAnsi="Arial" w:cs="Arial"/>
          <w:sz w:val="20"/>
          <w:szCs w:val="20"/>
        </w:rPr>
        <w:t>Kvalitatívna a</w:t>
      </w:r>
      <w:r w:rsidR="006B05EA" w:rsidRPr="00115076">
        <w:rPr>
          <w:rFonts w:ascii="Arial" w:hAnsi="Arial" w:cs="Arial"/>
          <w:sz w:val="20"/>
          <w:szCs w:val="20"/>
        </w:rPr>
        <w:t xml:space="preserve">nalýza plnenia ukazovateľov jednotlivých prioritných osí </w:t>
      </w:r>
      <w:r w:rsidR="004742D1" w:rsidRPr="00115076">
        <w:rPr>
          <w:rFonts w:ascii="Arial" w:hAnsi="Arial" w:cs="Arial"/>
          <w:sz w:val="20"/>
          <w:szCs w:val="20"/>
        </w:rPr>
        <w:t xml:space="preserve">vo vzťahu k finančným ukazovateľom </w:t>
      </w:r>
      <w:r w:rsidR="006B05EA" w:rsidRPr="00115076">
        <w:rPr>
          <w:rFonts w:ascii="Arial" w:hAnsi="Arial" w:cs="Arial"/>
          <w:sz w:val="20"/>
          <w:szCs w:val="20"/>
        </w:rPr>
        <w:t xml:space="preserve">a tým plnenia cieľov operačného programu je uvedená v kapitole </w:t>
      </w:r>
      <w:r w:rsidRPr="00115076">
        <w:rPr>
          <w:rFonts w:ascii="Arial" w:hAnsi="Arial" w:cs="Arial"/>
          <w:sz w:val="20"/>
          <w:szCs w:val="20"/>
        </w:rPr>
        <w:t>3 Realizácia podľa prioritných osí.</w:t>
      </w:r>
      <w:r w:rsidR="004742D1" w:rsidRPr="00115076">
        <w:rPr>
          <w:rFonts w:ascii="Arial" w:hAnsi="Arial" w:cs="Arial"/>
          <w:sz w:val="20"/>
          <w:szCs w:val="20"/>
        </w:rPr>
        <w:t xml:space="preserve"> Použitá metodika porovnáva podiel úrovne zazmluvnenia projektov voči celkovej alokácii jednotlivých prioritných osí a prioritných tém, ako aj podiel predpokladanej cieľovej hodnoty jednotlivých merateľných ukazovateľov projektov podľa prioritných osí voči plánovanej hodnote merateľných ukazovateľov navrhnutých v operačnom programe. Zároveň je pre každú prioritnú os vykonané zhodnotenie reálnosti dosiahnutia plánovanej hodnoty merateľných ukazovateľov. Taktiež je zhodnotená reálnosť vyčerpania  pridelených prostriedkov spoločenstva pre jednotlivé prioritné témy a prioritné osi.</w:t>
      </w:r>
    </w:p>
    <w:p w:rsidR="004742D1" w:rsidRPr="00115076" w:rsidRDefault="004742D1" w:rsidP="00507035">
      <w:pPr>
        <w:spacing w:before="120" w:after="120" w:line="360" w:lineRule="auto"/>
        <w:jc w:val="both"/>
        <w:rPr>
          <w:rFonts w:ascii="Arial" w:hAnsi="Arial" w:cs="Arial"/>
          <w:sz w:val="20"/>
          <w:szCs w:val="20"/>
        </w:rPr>
      </w:pPr>
      <w:r w:rsidRPr="00115076">
        <w:rPr>
          <w:rFonts w:ascii="Arial" w:hAnsi="Arial" w:cs="Arial"/>
          <w:sz w:val="20"/>
          <w:szCs w:val="20"/>
        </w:rPr>
        <w:t>Merateľnou základňou pre jednotlivé výpočty a porovnania bol zoznam projektov, pri ktorých bola podpísaná zmluva o poskytnutí NFP (zazmluvnené projekty), a to tak pri stanovení čerpania alokácie (úroveň zazmluvnenia za zdroje EÚ), ako aj pri stanovení cieľových hodnôt ukazovateľov pre jednotlivé projekty k 31. 12. 201</w:t>
      </w:r>
      <w:r w:rsidR="00115076" w:rsidRPr="0048211E">
        <w:rPr>
          <w:rFonts w:ascii="Arial" w:hAnsi="Arial" w:cs="Arial"/>
          <w:sz w:val="20"/>
          <w:szCs w:val="20"/>
        </w:rPr>
        <w:t>2</w:t>
      </w:r>
      <w:r w:rsidRPr="00115076">
        <w:rPr>
          <w:rFonts w:ascii="Arial" w:hAnsi="Arial" w:cs="Arial"/>
          <w:sz w:val="20"/>
          <w:szCs w:val="20"/>
        </w:rPr>
        <w:t xml:space="preserve"> podľa údajov z ITMS. Výška alokácie jednotlivých prioritných tém a prioritných osí je uvádzaná v súlade s výškou al</w:t>
      </w:r>
      <w:r w:rsidRPr="005629DA">
        <w:rPr>
          <w:rFonts w:ascii="Arial" w:hAnsi="Arial" w:cs="Arial"/>
          <w:sz w:val="20"/>
          <w:szCs w:val="20"/>
        </w:rPr>
        <w:t xml:space="preserve">okácie stanovenou v Programovom manuáli OP ŽP - verzia </w:t>
      </w:r>
      <w:r w:rsidR="00115076" w:rsidRPr="0048211E">
        <w:rPr>
          <w:rFonts w:ascii="Arial" w:hAnsi="Arial" w:cs="Arial"/>
          <w:sz w:val="20"/>
          <w:szCs w:val="20"/>
        </w:rPr>
        <w:t>8</w:t>
      </w:r>
      <w:r w:rsidRPr="00115076">
        <w:rPr>
          <w:rFonts w:ascii="Arial" w:hAnsi="Arial" w:cs="Arial"/>
          <w:sz w:val="20"/>
          <w:szCs w:val="20"/>
        </w:rPr>
        <w:t>.</w:t>
      </w:r>
      <w:r w:rsidR="00115076" w:rsidRPr="0048211E">
        <w:rPr>
          <w:rFonts w:ascii="Arial" w:hAnsi="Arial" w:cs="Arial"/>
          <w:sz w:val="20"/>
          <w:szCs w:val="20"/>
        </w:rPr>
        <w:t>1</w:t>
      </w:r>
      <w:r w:rsidRPr="00115076">
        <w:rPr>
          <w:rFonts w:ascii="Arial" w:hAnsi="Arial" w:cs="Arial"/>
          <w:sz w:val="20"/>
          <w:szCs w:val="20"/>
        </w:rPr>
        <w:t>.</w:t>
      </w:r>
    </w:p>
    <w:p w:rsidR="002416B1" w:rsidRPr="005629DA" w:rsidRDefault="004742D1" w:rsidP="00507035">
      <w:pPr>
        <w:spacing w:before="120" w:after="120" w:line="360" w:lineRule="auto"/>
        <w:jc w:val="both"/>
        <w:rPr>
          <w:rFonts w:ascii="Arial" w:hAnsi="Arial" w:cs="Arial"/>
          <w:sz w:val="20"/>
          <w:szCs w:val="20"/>
        </w:rPr>
      </w:pPr>
      <w:r w:rsidRPr="005629DA">
        <w:rPr>
          <w:rFonts w:ascii="Arial" w:hAnsi="Arial" w:cs="Arial"/>
          <w:sz w:val="20"/>
          <w:szCs w:val="20"/>
        </w:rPr>
        <w:t>V prípade, ak merateľný ukazovateľ v operačnom programe vykazuje východiskovú hodnotu ako nenulovú hodnotu, je v používaných tabuľkách cieľovej hodnoty vypočítaný rozdiel medzi východiskovou a plánovanou hodnotou stanovenou v operačnom programe, t.j. plánovaná hodnota zahŕňa východiskovú hodnotu (napr. počet obyvateľov pripojených k novovybudovaným rozvodom pitnej vody). Výnimku tvoria iba merateľné ukazovatele s mernou jednotkou stanovenou v %, kde plánovaná hodnota nezahŕňa východiskovú hodnotu.</w:t>
      </w:r>
    </w:p>
    <w:p w:rsidR="009166C6" w:rsidRPr="006A2BF3" w:rsidRDefault="002416B1" w:rsidP="00507035">
      <w:pPr>
        <w:spacing w:before="120" w:after="120" w:line="360" w:lineRule="auto"/>
        <w:jc w:val="both"/>
        <w:rPr>
          <w:rFonts w:ascii="Arial" w:hAnsi="Arial" w:cs="Arial"/>
          <w:iCs/>
          <w:sz w:val="20"/>
          <w:szCs w:val="20"/>
        </w:rPr>
      </w:pPr>
      <w:r w:rsidRPr="005629DA">
        <w:rPr>
          <w:rFonts w:ascii="Arial" w:hAnsi="Arial" w:cs="Arial"/>
          <w:iCs/>
          <w:sz w:val="20"/>
          <w:szCs w:val="20"/>
        </w:rPr>
        <w:t xml:space="preserve">Na základe monitorovania a analýz medzi stavom úrovne zazmluvnenia prideleného príspevku spoločenstva a reálnosťou dosiahnutia plánovaných hodnôt merateľných ukazovateľov stanovených v operačnom programe </w:t>
      </w:r>
      <w:r w:rsidR="00720F01" w:rsidRPr="005629DA">
        <w:rPr>
          <w:rFonts w:ascii="Arial" w:hAnsi="Arial" w:cs="Arial"/>
          <w:iCs/>
          <w:sz w:val="20"/>
          <w:szCs w:val="20"/>
        </w:rPr>
        <w:t xml:space="preserve">a tiež navrhovaných riešení </w:t>
      </w:r>
      <w:r w:rsidRPr="0043711C">
        <w:rPr>
          <w:rFonts w:ascii="Arial" w:hAnsi="Arial" w:cs="Arial"/>
          <w:iCs/>
          <w:sz w:val="20"/>
          <w:szCs w:val="20"/>
        </w:rPr>
        <w:t>možno predpokladať, že splnenie jednotlivých cieľov prioritných osí a dosiahnutie plánovan</w:t>
      </w:r>
      <w:r w:rsidRPr="005629DA">
        <w:rPr>
          <w:rFonts w:ascii="Arial" w:hAnsi="Arial" w:cs="Arial"/>
          <w:iCs/>
          <w:sz w:val="20"/>
          <w:szCs w:val="20"/>
        </w:rPr>
        <w:t>ých hodnôt prislúchajúcich merateľných ukazovateľov nebude ohrozené.</w:t>
      </w:r>
    </w:p>
    <w:p w:rsidR="002416B1" w:rsidRPr="004B33AE" w:rsidRDefault="002416B1" w:rsidP="00507035">
      <w:pPr>
        <w:spacing w:before="120" w:after="120" w:line="360" w:lineRule="auto"/>
        <w:rPr>
          <w:rFonts w:ascii="Arial" w:hAnsi="Arial" w:cs="Arial"/>
          <w:b/>
          <w:i/>
          <w:sz w:val="20"/>
          <w:szCs w:val="20"/>
          <w:lang w:eastAsia="cs-CZ"/>
        </w:rPr>
      </w:pPr>
      <w:r w:rsidRPr="006A2BF3">
        <w:rPr>
          <w:rFonts w:ascii="Arial" w:hAnsi="Arial" w:cs="Arial"/>
          <w:b/>
          <w:i/>
          <w:sz w:val="20"/>
          <w:szCs w:val="20"/>
          <w:lang w:eastAsia="cs-CZ"/>
        </w:rPr>
        <w:t>Rovnosť príležitostí</w:t>
      </w:r>
      <w:r w:rsidRPr="004B33AE">
        <w:rPr>
          <w:rFonts w:ascii="Arial" w:hAnsi="Arial" w:cs="Arial"/>
          <w:b/>
          <w:i/>
          <w:sz w:val="20"/>
          <w:szCs w:val="20"/>
          <w:lang w:eastAsia="cs-CZ"/>
        </w:rPr>
        <w:t xml:space="preserve"> medzi mužmi a ženami</w:t>
      </w:r>
    </w:p>
    <w:p w:rsidR="002416B1" w:rsidRPr="004B33AE" w:rsidRDefault="002416B1" w:rsidP="00507035">
      <w:pPr>
        <w:spacing w:before="120" w:after="120" w:line="360" w:lineRule="auto"/>
        <w:jc w:val="both"/>
        <w:rPr>
          <w:rFonts w:ascii="Arial" w:hAnsi="Arial" w:cs="Arial"/>
          <w:sz w:val="20"/>
          <w:szCs w:val="20"/>
          <w:lang w:eastAsia="cs-CZ"/>
        </w:rPr>
      </w:pPr>
      <w:r w:rsidRPr="004B33AE">
        <w:rPr>
          <w:rFonts w:ascii="Arial" w:hAnsi="Arial" w:cs="Arial"/>
          <w:sz w:val="20"/>
          <w:szCs w:val="20"/>
          <w:lang w:eastAsia="cs-CZ"/>
        </w:rPr>
        <w:t>OP ŽP podporuje vytváranie rovnosti príležitostí v prístupe k environmentálnej infraštruktúre ako jednému z dôležitých faktorov ovplyvňujúcich životné podmienky a životnú úroveň obyvateľstva a k priaznivému životnému prostrediu, právo na ktoré je jedným zo základných ústavných práv všetkých občanov SR bez rozdielu pohlavia.</w:t>
      </w:r>
    </w:p>
    <w:p w:rsidR="002416B1" w:rsidRPr="004B33AE" w:rsidRDefault="002416B1" w:rsidP="00507035">
      <w:pPr>
        <w:spacing w:before="120" w:after="120" w:line="360" w:lineRule="auto"/>
        <w:jc w:val="both"/>
        <w:rPr>
          <w:rFonts w:ascii="Arial" w:hAnsi="Arial" w:cs="Arial"/>
          <w:sz w:val="20"/>
          <w:szCs w:val="20"/>
          <w:lang w:eastAsia="cs-CZ"/>
        </w:rPr>
      </w:pPr>
      <w:r w:rsidRPr="004B33AE">
        <w:rPr>
          <w:rFonts w:ascii="Arial" w:hAnsi="Arial" w:cs="Arial"/>
          <w:sz w:val="20"/>
          <w:szCs w:val="20"/>
          <w:lang w:eastAsia="cs-CZ"/>
        </w:rPr>
        <w:t>V rámci OP ŽP boli z hľadiska jeho príspevku k rovnosti príležitostí medzi mužmi a ženami identifikované nasledovné ciele horizontálnej priority rovnosť príležitostí (kapitola 4.3):</w:t>
      </w:r>
    </w:p>
    <w:p w:rsidR="002416B1" w:rsidRPr="004B33AE" w:rsidRDefault="002416B1" w:rsidP="00507035">
      <w:pPr>
        <w:spacing w:before="120" w:after="120" w:line="360" w:lineRule="auto"/>
        <w:rPr>
          <w:rFonts w:ascii="Arial" w:hAnsi="Arial" w:cs="Arial"/>
          <w:sz w:val="20"/>
          <w:szCs w:val="20"/>
          <w:lang w:eastAsia="cs-CZ"/>
        </w:rPr>
      </w:pPr>
      <w:r w:rsidRPr="004B33AE">
        <w:rPr>
          <w:rFonts w:ascii="Arial" w:hAnsi="Arial" w:cs="Arial"/>
          <w:sz w:val="20"/>
          <w:szCs w:val="20"/>
          <w:lang w:eastAsia="cs-CZ"/>
        </w:rPr>
        <w:t>- zvýšenie zamestnanosti a zníženie nezamestnanosti žien na pracovnom trhu</w:t>
      </w:r>
      <w:r w:rsidR="0048211E">
        <w:rPr>
          <w:rFonts w:ascii="Arial" w:hAnsi="Arial" w:cs="Arial"/>
          <w:sz w:val="20"/>
          <w:szCs w:val="20"/>
          <w:lang w:eastAsia="cs-CZ"/>
        </w:rPr>
        <w:t>;</w:t>
      </w:r>
    </w:p>
    <w:p w:rsidR="002416B1" w:rsidRPr="004B33AE" w:rsidRDefault="002416B1" w:rsidP="00507035">
      <w:pPr>
        <w:spacing w:before="120" w:after="120" w:line="360" w:lineRule="auto"/>
        <w:rPr>
          <w:rFonts w:ascii="Arial" w:hAnsi="Arial" w:cs="Arial"/>
          <w:sz w:val="20"/>
          <w:szCs w:val="20"/>
          <w:lang w:eastAsia="cs-CZ"/>
        </w:rPr>
      </w:pPr>
      <w:r w:rsidRPr="004B33AE">
        <w:rPr>
          <w:rFonts w:ascii="Arial" w:hAnsi="Arial" w:cs="Arial"/>
          <w:sz w:val="20"/>
          <w:szCs w:val="20"/>
          <w:lang w:eastAsia="cs-CZ"/>
        </w:rPr>
        <w:t>- zníženie rozdielu v miere zamestnanosti a nezamestnanosti medzi ženami a</w:t>
      </w:r>
      <w:r w:rsidR="0048211E">
        <w:rPr>
          <w:rFonts w:ascii="Arial" w:hAnsi="Arial" w:cs="Arial"/>
          <w:sz w:val="20"/>
          <w:szCs w:val="20"/>
          <w:lang w:eastAsia="cs-CZ"/>
        </w:rPr>
        <w:t> </w:t>
      </w:r>
      <w:r w:rsidRPr="004B33AE">
        <w:rPr>
          <w:rFonts w:ascii="Arial" w:hAnsi="Arial" w:cs="Arial"/>
          <w:sz w:val="20"/>
          <w:szCs w:val="20"/>
          <w:lang w:eastAsia="cs-CZ"/>
        </w:rPr>
        <w:t>mužmi</w:t>
      </w:r>
      <w:r w:rsidR="0048211E">
        <w:rPr>
          <w:rFonts w:ascii="Arial" w:hAnsi="Arial" w:cs="Arial"/>
          <w:sz w:val="20"/>
          <w:szCs w:val="20"/>
          <w:lang w:eastAsia="cs-CZ"/>
        </w:rPr>
        <w:t>.</w:t>
      </w:r>
    </w:p>
    <w:p w:rsidR="002416B1" w:rsidRPr="004B33AE" w:rsidRDefault="008F2A89" w:rsidP="00507035">
      <w:pPr>
        <w:spacing w:before="120" w:after="120" w:line="360" w:lineRule="auto"/>
        <w:rPr>
          <w:rFonts w:ascii="Arial" w:hAnsi="Arial" w:cs="Arial"/>
          <w:b/>
          <w:i/>
          <w:sz w:val="20"/>
          <w:szCs w:val="20"/>
        </w:rPr>
      </w:pPr>
      <w:r>
        <w:rPr>
          <w:rFonts w:ascii="Arial" w:hAnsi="Arial" w:cs="Arial"/>
          <w:b/>
          <w:i/>
          <w:sz w:val="20"/>
          <w:szCs w:val="20"/>
          <w:lang w:eastAsia="cs-CZ"/>
        </w:rPr>
        <w:t>CORE</w:t>
      </w:r>
      <w:r w:rsidR="002416B1" w:rsidRPr="004B33AE">
        <w:rPr>
          <w:rFonts w:ascii="Arial" w:hAnsi="Arial" w:cs="Arial"/>
          <w:b/>
          <w:i/>
          <w:sz w:val="20"/>
          <w:szCs w:val="20"/>
          <w:lang w:eastAsia="cs-CZ"/>
        </w:rPr>
        <w:t xml:space="preserve"> ukazovatele</w:t>
      </w:r>
    </w:p>
    <w:p w:rsidR="002416B1" w:rsidRPr="004B33AE" w:rsidRDefault="002416B1" w:rsidP="00507035">
      <w:pPr>
        <w:spacing w:before="120" w:after="120" w:line="360" w:lineRule="auto"/>
        <w:jc w:val="both"/>
        <w:rPr>
          <w:rFonts w:ascii="Arial" w:hAnsi="Arial" w:cs="Arial"/>
          <w:sz w:val="20"/>
          <w:szCs w:val="20"/>
          <w:lang w:eastAsia="cs-CZ"/>
        </w:rPr>
      </w:pPr>
      <w:r w:rsidRPr="004B33AE">
        <w:rPr>
          <w:rFonts w:ascii="Arial" w:hAnsi="Arial" w:cs="Arial"/>
          <w:sz w:val="20"/>
          <w:szCs w:val="20"/>
          <w:lang w:eastAsia="cs-CZ"/>
        </w:rPr>
        <w:t>Vybrané ukazovatele, ktoré sú súčasťou programových ukazovateľov (najmä ukazovatele výstupu a výsledku OP), majú kľúčový význam pre EK a sú definované ako hlavné „</w:t>
      </w:r>
      <w:r w:rsidR="008F2A89">
        <w:rPr>
          <w:rFonts w:ascii="Arial" w:hAnsi="Arial" w:cs="Arial"/>
          <w:sz w:val="20"/>
          <w:szCs w:val="20"/>
          <w:lang w:eastAsia="cs-CZ"/>
        </w:rPr>
        <w:t>CORE</w:t>
      </w:r>
      <w:r w:rsidRPr="004B33AE">
        <w:rPr>
          <w:rFonts w:ascii="Arial" w:hAnsi="Arial" w:cs="Arial"/>
          <w:sz w:val="20"/>
          <w:szCs w:val="20"/>
          <w:lang w:eastAsia="cs-CZ"/>
        </w:rPr>
        <w:t xml:space="preserve">“ ukazovatele. Prostredníctvom týchto ukazovateľov </w:t>
      </w:r>
      <w:r w:rsidR="0048211E">
        <w:rPr>
          <w:rFonts w:ascii="Arial" w:hAnsi="Arial" w:cs="Arial"/>
          <w:sz w:val="20"/>
          <w:szCs w:val="20"/>
          <w:lang w:eastAsia="cs-CZ"/>
        </w:rPr>
        <w:t>EK</w:t>
      </w:r>
      <w:r w:rsidRPr="004B33AE">
        <w:rPr>
          <w:rFonts w:ascii="Arial" w:hAnsi="Arial" w:cs="Arial"/>
          <w:sz w:val="20"/>
          <w:szCs w:val="20"/>
          <w:lang w:eastAsia="cs-CZ"/>
        </w:rPr>
        <w:t xml:space="preserve"> vyjadruje svoje priority definované v Strategických usmerneniach spoločenstva o Kohézii. Hlavné „</w:t>
      </w:r>
      <w:r w:rsidR="008F2A89">
        <w:rPr>
          <w:rFonts w:ascii="Arial" w:hAnsi="Arial" w:cs="Arial"/>
          <w:sz w:val="20"/>
          <w:szCs w:val="20"/>
          <w:lang w:eastAsia="cs-CZ"/>
        </w:rPr>
        <w:t>CORE</w:t>
      </w:r>
      <w:r w:rsidRPr="004B33AE">
        <w:rPr>
          <w:rFonts w:ascii="Arial" w:hAnsi="Arial" w:cs="Arial"/>
          <w:sz w:val="20"/>
          <w:szCs w:val="20"/>
          <w:lang w:eastAsia="cs-CZ"/>
        </w:rPr>
        <w:t>“ ukazovatele sú pre EK kľúčové najmä z hľadiska kontroly a možnosti porovnávania údajov medzi operačnými programami (príp. prioritnými osami, opatreniami).</w:t>
      </w:r>
    </w:p>
    <w:p w:rsidR="005D2617" w:rsidRDefault="002416B1" w:rsidP="00507035">
      <w:pPr>
        <w:spacing w:before="120" w:after="120" w:line="360" w:lineRule="auto"/>
        <w:jc w:val="both"/>
        <w:rPr>
          <w:rFonts w:ascii="Arial" w:hAnsi="Arial" w:cs="Arial"/>
          <w:sz w:val="20"/>
          <w:szCs w:val="20"/>
        </w:rPr>
      </w:pPr>
      <w:r w:rsidRPr="006A2BF3">
        <w:rPr>
          <w:rFonts w:ascii="Arial" w:hAnsi="Arial" w:cs="Arial"/>
          <w:sz w:val="20"/>
          <w:szCs w:val="20"/>
        </w:rPr>
        <w:t xml:space="preserve">Plnenie </w:t>
      </w:r>
      <w:r w:rsidR="008F2A89">
        <w:rPr>
          <w:rFonts w:ascii="Arial" w:hAnsi="Arial" w:cs="Arial"/>
          <w:sz w:val="20"/>
          <w:szCs w:val="20"/>
        </w:rPr>
        <w:t>CORE</w:t>
      </w:r>
      <w:r w:rsidRPr="006A2BF3">
        <w:rPr>
          <w:rFonts w:ascii="Arial" w:hAnsi="Arial" w:cs="Arial"/>
          <w:sz w:val="20"/>
          <w:szCs w:val="20"/>
        </w:rPr>
        <w:t xml:space="preserve"> ukazovateľov v rámci jednotlivých prioritných osí je uvedené v Prílohe č. 2 a taktiež v  častiach správy Stav fyzického pokroku prioritnej osi.</w:t>
      </w:r>
      <w:r w:rsidR="00FE0FAD">
        <w:rPr>
          <w:rFonts w:ascii="Arial" w:hAnsi="Arial" w:cs="Arial"/>
          <w:sz w:val="20"/>
          <w:szCs w:val="20"/>
        </w:rPr>
        <w:t xml:space="preserve"> </w:t>
      </w:r>
    </w:p>
    <w:p w:rsidR="002416B1" w:rsidRPr="006A2BF3" w:rsidRDefault="00FE0FAD" w:rsidP="00507035">
      <w:pPr>
        <w:spacing w:before="120" w:after="120" w:line="360" w:lineRule="auto"/>
        <w:jc w:val="both"/>
        <w:rPr>
          <w:rFonts w:ascii="Arial" w:hAnsi="Arial" w:cs="Arial"/>
          <w:sz w:val="20"/>
          <w:szCs w:val="20"/>
        </w:rPr>
      </w:pPr>
      <w:r w:rsidRPr="00FE0FAD">
        <w:rPr>
          <w:rFonts w:ascii="Arial" w:hAnsi="Arial" w:cs="Arial"/>
          <w:sz w:val="20"/>
          <w:szCs w:val="20"/>
        </w:rPr>
        <w:t xml:space="preserve">Zoznam </w:t>
      </w:r>
      <w:r w:rsidR="008F2A89">
        <w:rPr>
          <w:rFonts w:ascii="Arial" w:hAnsi="Arial" w:cs="Arial"/>
          <w:sz w:val="20"/>
          <w:szCs w:val="20"/>
        </w:rPr>
        <w:t>CORE</w:t>
      </w:r>
      <w:r w:rsidRPr="00FE0FAD">
        <w:rPr>
          <w:rFonts w:ascii="Arial" w:hAnsi="Arial" w:cs="Arial"/>
          <w:sz w:val="20"/>
          <w:szCs w:val="20"/>
        </w:rPr>
        <w:t xml:space="preserve"> ukazovateľov reportovaných EK prostredníctvom SFC2007 v rámci Výročnej správy o vykonávaní OP ŽP za rok 201</w:t>
      </w:r>
      <w:r w:rsidR="00A50084">
        <w:rPr>
          <w:rFonts w:ascii="Arial" w:hAnsi="Arial" w:cs="Arial"/>
          <w:sz w:val="20"/>
          <w:szCs w:val="20"/>
        </w:rPr>
        <w:t>2</w:t>
      </w:r>
      <w:r>
        <w:rPr>
          <w:rFonts w:ascii="Arial" w:hAnsi="Arial" w:cs="Arial"/>
          <w:sz w:val="20"/>
          <w:szCs w:val="20"/>
        </w:rPr>
        <w:t xml:space="preserve"> je súčasťou Prílohy č. 11.</w:t>
      </w:r>
    </w:p>
    <w:p w:rsidR="002416B1" w:rsidRPr="00A9375C" w:rsidRDefault="002416B1" w:rsidP="00507035">
      <w:pPr>
        <w:spacing w:before="120" w:after="120" w:line="360" w:lineRule="auto"/>
        <w:rPr>
          <w:rFonts w:ascii="Arial" w:hAnsi="Arial" w:cs="Arial"/>
          <w:b/>
          <w:i/>
          <w:sz w:val="20"/>
          <w:szCs w:val="20"/>
        </w:rPr>
      </w:pPr>
      <w:r w:rsidRPr="00493171">
        <w:rPr>
          <w:rFonts w:ascii="Arial" w:hAnsi="Arial" w:cs="Arial"/>
          <w:b/>
          <w:i/>
          <w:sz w:val="20"/>
          <w:szCs w:val="20"/>
        </w:rPr>
        <w:t>Kontextové ukazovatele</w:t>
      </w:r>
    </w:p>
    <w:p w:rsidR="002416B1" w:rsidRPr="006A2BF3" w:rsidRDefault="002416B1" w:rsidP="00507035">
      <w:pPr>
        <w:autoSpaceDE w:val="0"/>
        <w:autoSpaceDN w:val="0"/>
        <w:adjustRightInd w:val="0"/>
        <w:spacing w:before="120" w:after="120" w:line="360" w:lineRule="auto"/>
        <w:jc w:val="both"/>
        <w:rPr>
          <w:rFonts w:ascii="Arial" w:hAnsi="Arial" w:cs="Arial"/>
          <w:sz w:val="20"/>
          <w:szCs w:val="20"/>
        </w:rPr>
      </w:pPr>
      <w:r w:rsidRPr="00A9375C">
        <w:rPr>
          <w:rFonts w:ascii="Arial" w:hAnsi="Arial" w:cs="Arial"/>
          <w:sz w:val="20"/>
          <w:szCs w:val="20"/>
        </w:rPr>
        <w:t>Súčasťou OP sú aj kontextové ukazovatele, ktoré predstavujú kvantifikované informácie o sociálnej, ekonomickej a</w:t>
      </w:r>
      <w:r w:rsidRPr="007818E6">
        <w:rPr>
          <w:rFonts w:ascii="Arial" w:hAnsi="Arial" w:cs="Arial"/>
          <w:sz w:val="20"/>
          <w:szCs w:val="20"/>
        </w:rPr>
        <w:t xml:space="preserve"> ekologickej situácii prostredia</w:t>
      </w:r>
      <w:r w:rsidRPr="006A2BF3">
        <w:rPr>
          <w:rFonts w:ascii="Arial" w:hAnsi="Arial" w:cs="Arial"/>
          <w:sz w:val="20"/>
          <w:szCs w:val="20"/>
        </w:rPr>
        <w:t>, v ktorom sú ciele OP realizované. Kontextové ukazovatele sú využívané najmä v procese hodnotenia OP (ex-ante, priebežné, expost) a predstavujú kvantifikované východiská pre posúdenie vplyvu očakávaných dopadov realizácie OP na sociálnu, ekonomickú a ekologickú situáciu prostredia v ktorom sa OP realizuje.</w:t>
      </w:r>
    </w:p>
    <w:p w:rsidR="002416B1" w:rsidRPr="006A2BF3" w:rsidRDefault="002416B1" w:rsidP="00507035">
      <w:pPr>
        <w:autoSpaceDE w:val="0"/>
        <w:autoSpaceDN w:val="0"/>
        <w:adjustRightInd w:val="0"/>
        <w:spacing w:before="120" w:after="120" w:line="360" w:lineRule="auto"/>
        <w:jc w:val="both"/>
        <w:rPr>
          <w:rFonts w:ascii="Arial" w:hAnsi="Arial" w:cs="Arial"/>
          <w:sz w:val="20"/>
          <w:szCs w:val="20"/>
        </w:rPr>
      </w:pPr>
      <w:r w:rsidRPr="006A2BF3">
        <w:rPr>
          <w:rFonts w:ascii="Arial" w:hAnsi="Arial" w:cs="Arial"/>
          <w:sz w:val="20"/>
          <w:szCs w:val="20"/>
        </w:rPr>
        <w:t xml:space="preserve">Tab. č. </w:t>
      </w:r>
      <w:r w:rsidR="00165CA5">
        <w:rPr>
          <w:rFonts w:ascii="Arial" w:hAnsi="Arial" w:cs="Arial"/>
          <w:sz w:val="20"/>
          <w:szCs w:val="20"/>
        </w:rPr>
        <w:t>10</w:t>
      </w:r>
      <w:r w:rsidRPr="006A2BF3">
        <w:rPr>
          <w:rFonts w:ascii="Arial" w:hAnsi="Arial" w:cs="Arial"/>
          <w:sz w:val="20"/>
          <w:szCs w:val="20"/>
        </w:rPr>
        <w:t xml:space="preserve">: Kontextové ukazovatele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512"/>
        <w:gridCol w:w="1172"/>
        <w:gridCol w:w="1662"/>
        <w:gridCol w:w="2266"/>
        <w:gridCol w:w="1674"/>
      </w:tblGrid>
      <w:tr w:rsidR="002416B1" w:rsidRPr="006A2BF3" w:rsidTr="003A5E95">
        <w:trPr>
          <w:trHeight w:val="20"/>
        </w:trPr>
        <w:tc>
          <w:tcPr>
            <w:tcW w:w="0" w:type="auto"/>
            <w:shd w:val="clear" w:color="auto" w:fill="D6E3BC"/>
            <w:vAlign w:val="center"/>
          </w:tcPr>
          <w:p w:rsidR="002416B1" w:rsidRPr="006A2BF3" w:rsidRDefault="002416B1" w:rsidP="00507035">
            <w:pPr>
              <w:rPr>
                <w:rFonts w:ascii="Arial" w:hAnsi="Arial" w:cs="Arial"/>
                <w:bCs/>
                <w:sz w:val="20"/>
                <w:szCs w:val="20"/>
              </w:rPr>
            </w:pPr>
            <w:r w:rsidRPr="006A2BF3">
              <w:rPr>
                <w:rFonts w:ascii="Arial" w:hAnsi="Arial" w:cs="Arial"/>
                <w:b/>
                <w:bCs/>
                <w:sz w:val="20"/>
                <w:szCs w:val="20"/>
              </w:rPr>
              <w:t>Názov ukazovateľa</w:t>
            </w:r>
          </w:p>
        </w:tc>
        <w:tc>
          <w:tcPr>
            <w:tcW w:w="0" w:type="auto"/>
            <w:shd w:val="clear" w:color="auto" w:fill="D6E3BC"/>
            <w:vAlign w:val="center"/>
          </w:tcPr>
          <w:p w:rsidR="002416B1" w:rsidRPr="006A2BF3" w:rsidRDefault="002416B1" w:rsidP="00507035">
            <w:pPr>
              <w:rPr>
                <w:rFonts w:ascii="Arial" w:hAnsi="Arial" w:cs="Arial"/>
                <w:b/>
                <w:bCs/>
                <w:sz w:val="20"/>
                <w:szCs w:val="20"/>
              </w:rPr>
            </w:pPr>
            <w:r w:rsidRPr="006A2BF3">
              <w:rPr>
                <w:rFonts w:ascii="Arial" w:hAnsi="Arial" w:cs="Arial"/>
                <w:b/>
                <w:bCs/>
                <w:sz w:val="20"/>
                <w:szCs w:val="20"/>
              </w:rPr>
              <w:t>Merná jednotka</w:t>
            </w:r>
          </w:p>
        </w:tc>
        <w:tc>
          <w:tcPr>
            <w:tcW w:w="0" w:type="auto"/>
            <w:gridSpan w:val="2"/>
            <w:shd w:val="clear" w:color="auto" w:fill="D6E3BC"/>
            <w:noWrap/>
            <w:vAlign w:val="center"/>
          </w:tcPr>
          <w:p w:rsidR="002416B1" w:rsidRPr="006A2BF3" w:rsidRDefault="002416B1" w:rsidP="00507035">
            <w:pPr>
              <w:jc w:val="center"/>
              <w:rPr>
                <w:rFonts w:ascii="Arial" w:hAnsi="Arial" w:cs="Arial"/>
                <w:b/>
                <w:bCs/>
                <w:sz w:val="20"/>
                <w:szCs w:val="20"/>
              </w:rPr>
            </w:pPr>
            <w:r w:rsidRPr="006A2BF3">
              <w:rPr>
                <w:rFonts w:ascii="Arial" w:hAnsi="Arial" w:cs="Arial"/>
                <w:b/>
                <w:bCs/>
                <w:sz w:val="20"/>
                <w:szCs w:val="20"/>
              </w:rPr>
              <w:t>Východisková a cieľová hodnota za SR</w:t>
            </w:r>
          </w:p>
        </w:tc>
        <w:tc>
          <w:tcPr>
            <w:tcW w:w="0" w:type="auto"/>
            <w:shd w:val="clear" w:color="auto" w:fill="D6E3BC"/>
            <w:vAlign w:val="center"/>
          </w:tcPr>
          <w:p w:rsidR="002416B1" w:rsidRPr="006A2BF3" w:rsidRDefault="002416B1" w:rsidP="00507035">
            <w:pPr>
              <w:jc w:val="center"/>
              <w:rPr>
                <w:rFonts w:ascii="Arial" w:hAnsi="Arial" w:cs="Arial"/>
                <w:b/>
                <w:bCs/>
                <w:sz w:val="20"/>
                <w:szCs w:val="20"/>
                <w:highlight w:val="yellow"/>
              </w:rPr>
            </w:pPr>
            <w:r w:rsidRPr="006A2BF3">
              <w:rPr>
                <w:rFonts w:ascii="Arial" w:hAnsi="Arial" w:cs="Arial"/>
                <w:b/>
                <w:bCs/>
                <w:sz w:val="20"/>
                <w:szCs w:val="20"/>
              </w:rPr>
              <w:t>Hodnota za SR k 31.12.2010</w:t>
            </w:r>
          </w:p>
        </w:tc>
      </w:tr>
      <w:tr w:rsidR="002416B1" w:rsidRPr="006A2BF3" w:rsidTr="003A5E95">
        <w:tblPrEx>
          <w:jc w:val="center"/>
        </w:tblPrEx>
        <w:trPr>
          <w:trHeight w:val="20"/>
          <w:jc w:val="center"/>
        </w:trPr>
        <w:tc>
          <w:tcPr>
            <w:tcW w:w="0" w:type="auto"/>
            <w:vMerge w:val="restart"/>
            <w:shd w:val="clear" w:color="auto" w:fill="EAF1DD"/>
            <w:vAlign w:val="center"/>
          </w:tcPr>
          <w:p w:rsidR="002416B1" w:rsidRPr="006A2BF3" w:rsidRDefault="002416B1" w:rsidP="00507035">
            <w:pPr>
              <w:rPr>
                <w:rFonts w:ascii="Arial" w:hAnsi="Arial" w:cs="Arial"/>
                <w:sz w:val="20"/>
                <w:szCs w:val="20"/>
              </w:rPr>
            </w:pPr>
            <w:r w:rsidRPr="006A2BF3">
              <w:rPr>
                <w:rFonts w:ascii="Arial" w:hAnsi="Arial" w:cs="Arial"/>
                <w:sz w:val="20"/>
                <w:szCs w:val="20"/>
              </w:rPr>
              <w:t>Emisie skleníkových plynov</w:t>
            </w:r>
          </w:p>
        </w:tc>
        <w:tc>
          <w:tcPr>
            <w:tcW w:w="0" w:type="auto"/>
            <w:vMerge w:val="restart"/>
            <w:vAlign w:val="center"/>
          </w:tcPr>
          <w:p w:rsidR="002416B1" w:rsidRPr="006A2BF3" w:rsidRDefault="002416B1" w:rsidP="00507035">
            <w:pPr>
              <w:jc w:val="center"/>
              <w:rPr>
                <w:rFonts w:ascii="Arial" w:hAnsi="Arial" w:cs="Arial"/>
                <w:sz w:val="20"/>
                <w:szCs w:val="20"/>
              </w:rPr>
            </w:pPr>
            <w:r w:rsidRPr="006A2BF3">
              <w:rPr>
                <w:rFonts w:ascii="Arial" w:hAnsi="Arial" w:cs="Arial"/>
                <w:sz w:val="20"/>
                <w:szCs w:val="20"/>
              </w:rPr>
              <w:t>tis. ton</w:t>
            </w:r>
            <w:r>
              <w:rPr>
                <w:rFonts w:ascii="Arial" w:hAnsi="Arial" w:cs="Arial"/>
                <w:sz w:val="20"/>
                <w:szCs w:val="20"/>
              </w:rPr>
              <w:t xml:space="preserve"> </w:t>
            </w:r>
            <w:r w:rsidRPr="006A2BF3">
              <w:rPr>
                <w:rFonts w:ascii="Arial" w:hAnsi="Arial" w:cs="Arial"/>
                <w:sz w:val="20"/>
                <w:szCs w:val="20"/>
              </w:rPr>
              <w:t>CO</w:t>
            </w:r>
            <w:r w:rsidRPr="006A2BF3">
              <w:rPr>
                <w:rFonts w:ascii="Arial" w:hAnsi="Arial" w:cs="Arial"/>
                <w:sz w:val="20"/>
                <w:szCs w:val="20"/>
                <w:vertAlign w:val="subscript"/>
              </w:rPr>
              <w:t>2</w:t>
            </w:r>
            <w:r>
              <w:rPr>
                <w:rFonts w:ascii="Arial" w:hAnsi="Arial" w:cs="Arial"/>
                <w:sz w:val="20"/>
                <w:szCs w:val="20"/>
                <w:vertAlign w:val="subscript"/>
              </w:rPr>
              <w:t xml:space="preserve"> </w:t>
            </w:r>
            <w:r w:rsidRPr="006A2BF3">
              <w:rPr>
                <w:rFonts w:ascii="Arial" w:hAnsi="Arial" w:cs="Arial"/>
                <w:sz w:val="20"/>
                <w:szCs w:val="20"/>
              </w:rPr>
              <w:t>ekv.</w:t>
            </w:r>
            <w:r w:rsidRPr="006A2BF3">
              <w:rPr>
                <w:rStyle w:val="Odkaznapoznmkupodiarou"/>
                <w:rFonts w:ascii="Arial" w:hAnsi="Arial" w:cs="Arial"/>
                <w:sz w:val="20"/>
                <w:szCs w:val="20"/>
              </w:rPr>
              <w:footnoteReference w:id="2"/>
            </w:r>
          </w:p>
        </w:tc>
        <w:tc>
          <w:tcPr>
            <w:tcW w:w="0" w:type="auto"/>
            <w:vAlign w:val="center"/>
          </w:tcPr>
          <w:p w:rsidR="002416B1" w:rsidRPr="006A2BF3" w:rsidRDefault="002416B1" w:rsidP="00507035">
            <w:pPr>
              <w:jc w:val="center"/>
              <w:rPr>
                <w:rFonts w:ascii="Arial" w:hAnsi="Arial" w:cs="Arial"/>
                <w:b/>
                <w:bCs/>
                <w:sz w:val="20"/>
                <w:szCs w:val="20"/>
              </w:rPr>
            </w:pPr>
            <w:r w:rsidRPr="006A2BF3">
              <w:rPr>
                <w:rFonts w:ascii="Arial" w:hAnsi="Arial" w:cs="Arial"/>
                <w:b/>
                <w:bCs/>
                <w:sz w:val="20"/>
                <w:szCs w:val="20"/>
              </w:rPr>
              <w:t>2004</w:t>
            </w:r>
          </w:p>
        </w:tc>
        <w:tc>
          <w:tcPr>
            <w:tcW w:w="0" w:type="auto"/>
            <w:vAlign w:val="center"/>
          </w:tcPr>
          <w:p w:rsidR="002416B1" w:rsidRPr="006A2BF3" w:rsidRDefault="002416B1" w:rsidP="00507035">
            <w:pPr>
              <w:jc w:val="center"/>
              <w:rPr>
                <w:rFonts w:ascii="Arial" w:hAnsi="Arial" w:cs="Arial"/>
                <w:sz w:val="20"/>
                <w:szCs w:val="20"/>
              </w:rPr>
            </w:pPr>
            <w:r w:rsidRPr="006A2BF3">
              <w:rPr>
                <w:rFonts w:ascii="Arial" w:hAnsi="Arial" w:cs="Arial"/>
                <w:sz w:val="20"/>
                <w:szCs w:val="20"/>
              </w:rPr>
              <w:t>51 046</w:t>
            </w:r>
          </w:p>
        </w:tc>
        <w:tc>
          <w:tcPr>
            <w:tcW w:w="0" w:type="auto"/>
            <w:vMerge w:val="restart"/>
            <w:vAlign w:val="center"/>
          </w:tcPr>
          <w:p w:rsidR="002416B1" w:rsidRPr="006A2BF3" w:rsidRDefault="00C57C34" w:rsidP="00507035">
            <w:pPr>
              <w:jc w:val="center"/>
              <w:rPr>
                <w:rFonts w:ascii="Arial" w:hAnsi="Arial" w:cs="Arial"/>
                <w:sz w:val="18"/>
                <w:szCs w:val="18"/>
              </w:rPr>
            </w:pPr>
            <w:r>
              <w:rPr>
                <w:rFonts w:ascii="Arial" w:hAnsi="Arial" w:cs="Arial"/>
                <w:sz w:val="20"/>
                <w:szCs w:val="20"/>
              </w:rPr>
              <w:t>39893,45</w:t>
            </w:r>
          </w:p>
        </w:tc>
      </w:tr>
      <w:tr w:rsidR="002416B1" w:rsidRPr="006A2BF3" w:rsidTr="003A5E95">
        <w:trPr>
          <w:trHeight w:val="20"/>
        </w:trPr>
        <w:tc>
          <w:tcPr>
            <w:tcW w:w="0" w:type="auto"/>
            <w:vMerge/>
            <w:shd w:val="clear" w:color="auto" w:fill="EAF1DD"/>
            <w:vAlign w:val="center"/>
          </w:tcPr>
          <w:p w:rsidR="002416B1" w:rsidRPr="006A2BF3" w:rsidRDefault="002416B1" w:rsidP="00507035">
            <w:pPr>
              <w:rPr>
                <w:rFonts w:ascii="Arial" w:hAnsi="Arial" w:cs="Arial"/>
                <w:sz w:val="20"/>
                <w:szCs w:val="20"/>
              </w:rPr>
            </w:pPr>
          </w:p>
        </w:tc>
        <w:tc>
          <w:tcPr>
            <w:tcW w:w="0" w:type="auto"/>
            <w:vMerge/>
            <w:vAlign w:val="center"/>
          </w:tcPr>
          <w:p w:rsidR="002416B1" w:rsidRPr="006A2BF3" w:rsidRDefault="002416B1" w:rsidP="00507035">
            <w:pPr>
              <w:jc w:val="center"/>
              <w:rPr>
                <w:rFonts w:ascii="Arial" w:hAnsi="Arial" w:cs="Arial"/>
                <w:sz w:val="20"/>
                <w:szCs w:val="20"/>
              </w:rPr>
            </w:pPr>
          </w:p>
        </w:tc>
        <w:tc>
          <w:tcPr>
            <w:tcW w:w="0" w:type="auto"/>
            <w:vAlign w:val="center"/>
          </w:tcPr>
          <w:p w:rsidR="002416B1" w:rsidRPr="006A2BF3" w:rsidRDefault="002416B1" w:rsidP="00507035">
            <w:pPr>
              <w:jc w:val="center"/>
              <w:rPr>
                <w:rFonts w:ascii="Arial" w:hAnsi="Arial" w:cs="Arial"/>
                <w:b/>
                <w:bCs/>
                <w:sz w:val="20"/>
                <w:szCs w:val="20"/>
              </w:rPr>
            </w:pPr>
            <w:r w:rsidRPr="006A2BF3">
              <w:rPr>
                <w:rFonts w:ascii="Arial" w:hAnsi="Arial" w:cs="Arial"/>
                <w:b/>
                <w:bCs/>
                <w:sz w:val="20"/>
                <w:szCs w:val="20"/>
              </w:rPr>
              <w:t>2015</w:t>
            </w:r>
          </w:p>
        </w:tc>
        <w:tc>
          <w:tcPr>
            <w:tcW w:w="0" w:type="auto"/>
            <w:vAlign w:val="center"/>
          </w:tcPr>
          <w:p w:rsidR="002416B1" w:rsidRPr="006A2BF3" w:rsidRDefault="002416B1" w:rsidP="00507035">
            <w:pPr>
              <w:jc w:val="center"/>
              <w:rPr>
                <w:rFonts w:ascii="Arial" w:hAnsi="Arial" w:cs="Arial"/>
                <w:sz w:val="20"/>
                <w:szCs w:val="20"/>
              </w:rPr>
            </w:pPr>
            <w:r w:rsidRPr="006A2BF3">
              <w:rPr>
                <w:rFonts w:ascii="Arial" w:hAnsi="Arial" w:cs="Arial"/>
                <w:sz w:val="20"/>
                <w:szCs w:val="20"/>
              </w:rPr>
              <w:t>61 902</w:t>
            </w:r>
            <w:r w:rsidRPr="006A2BF3">
              <w:rPr>
                <w:rStyle w:val="Odkaznapoznmkupodiarou"/>
                <w:rFonts w:ascii="Arial" w:hAnsi="Arial" w:cs="Arial"/>
                <w:sz w:val="20"/>
                <w:szCs w:val="20"/>
              </w:rPr>
              <w:footnoteReference w:id="3"/>
            </w:r>
          </w:p>
        </w:tc>
        <w:tc>
          <w:tcPr>
            <w:tcW w:w="0" w:type="auto"/>
            <w:vMerge/>
            <w:vAlign w:val="center"/>
          </w:tcPr>
          <w:p w:rsidR="002416B1" w:rsidRPr="006A2BF3" w:rsidRDefault="002416B1" w:rsidP="00507035">
            <w:pPr>
              <w:jc w:val="center"/>
              <w:rPr>
                <w:rFonts w:ascii="Arial" w:hAnsi="Arial" w:cs="Arial"/>
                <w:sz w:val="20"/>
                <w:szCs w:val="20"/>
              </w:rPr>
            </w:pPr>
          </w:p>
        </w:tc>
      </w:tr>
      <w:tr w:rsidR="002416B1" w:rsidRPr="006A2BF3" w:rsidTr="003A5E95">
        <w:trPr>
          <w:trHeight w:val="20"/>
        </w:trPr>
        <w:tc>
          <w:tcPr>
            <w:tcW w:w="0" w:type="auto"/>
            <w:vMerge w:val="restart"/>
            <w:shd w:val="clear" w:color="auto" w:fill="EAF1DD"/>
            <w:vAlign w:val="center"/>
          </w:tcPr>
          <w:p w:rsidR="002416B1" w:rsidRPr="006A2BF3" w:rsidRDefault="002416B1" w:rsidP="00507035">
            <w:pPr>
              <w:rPr>
                <w:rFonts w:ascii="Arial" w:hAnsi="Arial" w:cs="Arial"/>
                <w:sz w:val="20"/>
                <w:szCs w:val="20"/>
              </w:rPr>
            </w:pPr>
            <w:r w:rsidRPr="006A2BF3">
              <w:rPr>
                <w:rFonts w:ascii="Arial" w:hAnsi="Arial" w:cs="Arial"/>
                <w:sz w:val="20"/>
                <w:szCs w:val="20"/>
              </w:rPr>
              <w:t>Produkcia odpadu</w:t>
            </w:r>
          </w:p>
        </w:tc>
        <w:tc>
          <w:tcPr>
            <w:tcW w:w="0" w:type="auto"/>
            <w:vMerge w:val="restart"/>
            <w:vAlign w:val="center"/>
          </w:tcPr>
          <w:p w:rsidR="002416B1" w:rsidRPr="006A2BF3" w:rsidRDefault="002416B1" w:rsidP="00507035">
            <w:pPr>
              <w:jc w:val="center"/>
              <w:rPr>
                <w:rFonts w:ascii="Arial" w:hAnsi="Arial" w:cs="Arial"/>
                <w:sz w:val="20"/>
                <w:szCs w:val="20"/>
              </w:rPr>
            </w:pPr>
            <w:r w:rsidRPr="006A2BF3">
              <w:rPr>
                <w:rFonts w:ascii="Arial" w:hAnsi="Arial" w:cs="Arial"/>
                <w:sz w:val="20"/>
                <w:szCs w:val="20"/>
              </w:rPr>
              <w:t>mil. t</w:t>
            </w:r>
          </w:p>
        </w:tc>
        <w:tc>
          <w:tcPr>
            <w:tcW w:w="0" w:type="auto"/>
            <w:vAlign w:val="center"/>
          </w:tcPr>
          <w:p w:rsidR="002416B1" w:rsidRPr="006A2BF3" w:rsidRDefault="002416B1" w:rsidP="00507035">
            <w:pPr>
              <w:jc w:val="center"/>
              <w:rPr>
                <w:rFonts w:ascii="Arial" w:hAnsi="Arial" w:cs="Arial"/>
                <w:b/>
                <w:bCs/>
                <w:sz w:val="20"/>
                <w:szCs w:val="20"/>
              </w:rPr>
            </w:pPr>
            <w:r w:rsidRPr="006A2BF3">
              <w:rPr>
                <w:rFonts w:ascii="Arial" w:hAnsi="Arial" w:cs="Arial"/>
                <w:b/>
                <w:bCs/>
                <w:sz w:val="20"/>
                <w:szCs w:val="20"/>
              </w:rPr>
              <w:t>2004</w:t>
            </w:r>
          </w:p>
        </w:tc>
        <w:tc>
          <w:tcPr>
            <w:tcW w:w="0" w:type="auto"/>
            <w:vAlign w:val="center"/>
          </w:tcPr>
          <w:p w:rsidR="002416B1" w:rsidRPr="006A2BF3" w:rsidRDefault="002416B1" w:rsidP="00507035">
            <w:pPr>
              <w:jc w:val="center"/>
              <w:rPr>
                <w:rFonts w:ascii="Arial" w:hAnsi="Arial" w:cs="Arial"/>
                <w:sz w:val="20"/>
                <w:szCs w:val="20"/>
              </w:rPr>
            </w:pPr>
            <w:r w:rsidRPr="006A2BF3">
              <w:rPr>
                <w:rFonts w:ascii="Arial" w:hAnsi="Arial" w:cs="Arial"/>
                <w:sz w:val="20"/>
                <w:szCs w:val="20"/>
              </w:rPr>
              <w:t>10,9</w:t>
            </w:r>
          </w:p>
        </w:tc>
        <w:tc>
          <w:tcPr>
            <w:tcW w:w="0" w:type="auto"/>
            <w:vMerge w:val="restart"/>
            <w:vAlign w:val="center"/>
          </w:tcPr>
          <w:p w:rsidR="002416B1" w:rsidRPr="006A2BF3" w:rsidRDefault="002416B1" w:rsidP="00507035">
            <w:pPr>
              <w:jc w:val="center"/>
              <w:rPr>
                <w:rFonts w:ascii="Arial" w:hAnsi="Arial" w:cs="Arial"/>
                <w:sz w:val="20"/>
                <w:szCs w:val="20"/>
              </w:rPr>
            </w:pPr>
            <w:r w:rsidRPr="006A2BF3">
              <w:rPr>
                <w:rFonts w:ascii="Arial" w:hAnsi="Arial" w:cs="Arial"/>
                <w:sz w:val="20"/>
                <w:szCs w:val="20"/>
              </w:rPr>
              <w:t>10,7</w:t>
            </w:r>
          </w:p>
        </w:tc>
      </w:tr>
      <w:tr w:rsidR="002416B1" w:rsidRPr="006A2BF3" w:rsidTr="003A5E95">
        <w:trPr>
          <w:trHeight w:val="20"/>
        </w:trPr>
        <w:tc>
          <w:tcPr>
            <w:tcW w:w="0" w:type="auto"/>
            <w:vMerge/>
            <w:shd w:val="clear" w:color="auto" w:fill="EAF1DD"/>
            <w:vAlign w:val="center"/>
          </w:tcPr>
          <w:p w:rsidR="002416B1" w:rsidRPr="006A2BF3" w:rsidRDefault="002416B1" w:rsidP="00507035">
            <w:pPr>
              <w:rPr>
                <w:rFonts w:ascii="Arial" w:hAnsi="Arial" w:cs="Arial"/>
                <w:sz w:val="20"/>
                <w:szCs w:val="20"/>
              </w:rPr>
            </w:pPr>
          </w:p>
        </w:tc>
        <w:tc>
          <w:tcPr>
            <w:tcW w:w="0" w:type="auto"/>
            <w:vMerge/>
            <w:vAlign w:val="center"/>
          </w:tcPr>
          <w:p w:rsidR="002416B1" w:rsidRPr="006A2BF3" w:rsidRDefault="002416B1" w:rsidP="00507035">
            <w:pPr>
              <w:jc w:val="center"/>
              <w:rPr>
                <w:rFonts w:ascii="Arial" w:hAnsi="Arial" w:cs="Arial"/>
                <w:sz w:val="20"/>
                <w:szCs w:val="20"/>
              </w:rPr>
            </w:pPr>
          </w:p>
        </w:tc>
        <w:tc>
          <w:tcPr>
            <w:tcW w:w="0" w:type="auto"/>
            <w:vAlign w:val="center"/>
          </w:tcPr>
          <w:p w:rsidR="002416B1" w:rsidRPr="006A2BF3" w:rsidRDefault="002416B1" w:rsidP="00507035">
            <w:pPr>
              <w:jc w:val="center"/>
              <w:rPr>
                <w:rFonts w:ascii="Arial" w:hAnsi="Arial" w:cs="Arial"/>
                <w:b/>
                <w:bCs/>
                <w:sz w:val="20"/>
                <w:szCs w:val="20"/>
              </w:rPr>
            </w:pPr>
            <w:r w:rsidRPr="006A2BF3">
              <w:rPr>
                <w:rFonts w:ascii="Arial" w:hAnsi="Arial" w:cs="Arial"/>
                <w:b/>
                <w:bCs/>
                <w:sz w:val="20"/>
                <w:szCs w:val="20"/>
              </w:rPr>
              <w:t>2015</w:t>
            </w:r>
          </w:p>
        </w:tc>
        <w:tc>
          <w:tcPr>
            <w:tcW w:w="0" w:type="auto"/>
            <w:vAlign w:val="center"/>
          </w:tcPr>
          <w:p w:rsidR="002416B1" w:rsidRPr="006A2BF3" w:rsidRDefault="002416B1" w:rsidP="00507035">
            <w:pPr>
              <w:jc w:val="center"/>
              <w:rPr>
                <w:rFonts w:ascii="Arial" w:hAnsi="Arial" w:cs="Arial"/>
                <w:sz w:val="20"/>
                <w:szCs w:val="20"/>
              </w:rPr>
            </w:pPr>
            <w:r w:rsidRPr="006A2BF3">
              <w:rPr>
                <w:rFonts w:ascii="Arial" w:hAnsi="Arial" w:cs="Arial"/>
                <w:sz w:val="20"/>
                <w:szCs w:val="20"/>
              </w:rPr>
              <w:t>12,5</w:t>
            </w:r>
          </w:p>
        </w:tc>
        <w:tc>
          <w:tcPr>
            <w:tcW w:w="0" w:type="auto"/>
            <w:vMerge/>
            <w:vAlign w:val="center"/>
          </w:tcPr>
          <w:p w:rsidR="002416B1" w:rsidRPr="006A2BF3" w:rsidRDefault="002416B1" w:rsidP="00507035">
            <w:pPr>
              <w:jc w:val="center"/>
              <w:rPr>
                <w:rFonts w:ascii="Arial" w:hAnsi="Arial" w:cs="Arial"/>
                <w:sz w:val="20"/>
                <w:szCs w:val="20"/>
              </w:rPr>
            </w:pPr>
          </w:p>
        </w:tc>
      </w:tr>
      <w:tr w:rsidR="002416B1" w:rsidRPr="006A2BF3" w:rsidTr="003A5E95">
        <w:trPr>
          <w:trHeight w:val="20"/>
        </w:trPr>
        <w:tc>
          <w:tcPr>
            <w:tcW w:w="0" w:type="auto"/>
            <w:vMerge w:val="restart"/>
            <w:shd w:val="clear" w:color="auto" w:fill="EAF1DD"/>
            <w:vAlign w:val="center"/>
          </w:tcPr>
          <w:p w:rsidR="002416B1" w:rsidRPr="006A2BF3" w:rsidRDefault="002416B1" w:rsidP="00507035">
            <w:pPr>
              <w:rPr>
                <w:rFonts w:ascii="Arial" w:hAnsi="Arial" w:cs="Arial"/>
                <w:sz w:val="20"/>
                <w:szCs w:val="20"/>
              </w:rPr>
            </w:pPr>
            <w:r w:rsidRPr="006A2BF3">
              <w:rPr>
                <w:rFonts w:ascii="Arial" w:hAnsi="Arial" w:cs="Arial"/>
                <w:sz w:val="20"/>
                <w:szCs w:val="20"/>
              </w:rPr>
              <w:t>Množstvo zneškodneného odpadu</w:t>
            </w:r>
          </w:p>
        </w:tc>
        <w:tc>
          <w:tcPr>
            <w:tcW w:w="0" w:type="auto"/>
            <w:vMerge w:val="restart"/>
            <w:vAlign w:val="center"/>
          </w:tcPr>
          <w:p w:rsidR="002416B1" w:rsidRPr="006A2BF3" w:rsidRDefault="002416B1" w:rsidP="00507035">
            <w:pPr>
              <w:jc w:val="center"/>
              <w:rPr>
                <w:rFonts w:ascii="Arial" w:hAnsi="Arial" w:cs="Arial"/>
                <w:sz w:val="20"/>
                <w:szCs w:val="20"/>
              </w:rPr>
            </w:pPr>
            <w:r w:rsidRPr="006A2BF3">
              <w:rPr>
                <w:rFonts w:ascii="Arial" w:hAnsi="Arial" w:cs="Arial"/>
                <w:sz w:val="20"/>
                <w:szCs w:val="20"/>
              </w:rPr>
              <w:t>mil. t</w:t>
            </w:r>
          </w:p>
        </w:tc>
        <w:tc>
          <w:tcPr>
            <w:tcW w:w="0" w:type="auto"/>
            <w:vAlign w:val="center"/>
          </w:tcPr>
          <w:p w:rsidR="002416B1" w:rsidRPr="006A2BF3" w:rsidRDefault="002416B1" w:rsidP="00507035">
            <w:pPr>
              <w:jc w:val="center"/>
              <w:rPr>
                <w:rFonts w:ascii="Arial" w:hAnsi="Arial" w:cs="Arial"/>
                <w:b/>
                <w:bCs/>
                <w:sz w:val="20"/>
                <w:szCs w:val="20"/>
              </w:rPr>
            </w:pPr>
            <w:r w:rsidRPr="006A2BF3">
              <w:rPr>
                <w:rFonts w:ascii="Arial" w:hAnsi="Arial" w:cs="Arial"/>
                <w:b/>
                <w:bCs/>
                <w:sz w:val="20"/>
                <w:szCs w:val="20"/>
              </w:rPr>
              <w:t>2004</w:t>
            </w:r>
          </w:p>
        </w:tc>
        <w:tc>
          <w:tcPr>
            <w:tcW w:w="0" w:type="auto"/>
            <w:vAlign w:val="center"/>
          </w:tcPr>
          <w:p w:rsidR="002416B1" w:rsidRPr="006A2BF3" w:rsidRDefault="002416B1" w:rsidP="00507035">
            <w:pPr>
              <w:jc w:val="center"/>
              <w:rPr>
                <w:rFonts w:ascii="Arial" w:hAnsi="Arial" w:cs="Arial"/>
                <w:bCs/>
                <w:sz w:val="20"/>
                <w:szCs w:val="20"/>
              </w:rPr>
            </w:pPr>
            <w:r w:rsidRPr="006A2BF3">
              <w:rPr>
                <w:rFonts w:ascii="Arial" w:hAnsi="Arial" w:cs="Arial"/>
                <w:bCs/>
                <w:sz w:val="20"/>
                <w:szCs w:val="20"/>
              </w:rPr>
              <w:t>3,2</w:t>
            </w:r>
          </w:p>
        </w:tc>
        <w:tc>
          <w:tcPr>
            <w:tcW w:w="0" w:type="auto"/>
            <w:vMerge w:val="restart"/>
            <w:vAlign w:val="center"/>
          </w:tcPr>
          <w:p w:rsidR="002416B1" w:rsidRPr="004B33AE" w:rsidRDefault="002416B1" w:rsidP="00507035">
            <w:pPr>
              <w:jc w:val="center"/>
              <w:rPr>
                <w:rFonts w:ascii="Arial" w:hAnsi="Arial" w:cs="Arial"/>
                <w:bCs/>
                <w:sz w:val="20"/>
                <w:szCs w:val="20"/>
              </w:rPr>
            </w:pPr>
            <w:r w:rsidRPr="006A2BF3">
              <w:rPr>
                <w:rFonts w:ascii="Arial" w:hAnsi="Arial" w:cs="Arial"/>
                <w:bCs/>
                <w:sz w:val="20"/>
                <w:szCs w:val="20"/>
              </w:rPr>
              <w:t>4,47</w:t>
            </w:r>
          </w:p>
        </w:tc>
      </w:tr>
      <w:tr w:rsidR="002416B1" w:rsidRPr="006A2BF3" w:rsidTr="003A5E95">
        <w:trPr>
          <w:trHeight w:val="20"/>
        </w:trPr>
        <w:tc>
          <w:tcPr>
            <w:tcW w:w="0" w:type="auto"/>
            <w:vMerge/>
            <w:shd w:val="clear" w:color="auto" w:fill="EAF1DD"/>
            <w:vAlign w:val="center"/>
          </w:tcPr>
          <w:p w:rsidR="002416B1" w:rsidRPr="006A2BF3" w:rsidRDefault="002416B1" w:rsidP="00507035">
            <w:pPr>
              <w:rPr>
                <w:rFonts w:ascii="Arial" w:hAnsi="Arial" w:cs="Arial"/>
                <w:sz w:val="20"/>
                <w:szCs w:val="20"/>
              </w:rPr>
            </w:pPr>
          </w:p>
        </w:tc>
        <w:tc>
          <w:tcPr>
            <w:tcW w:w="0" w:type="auto"/>
            <w:vMerge/>
            <w:vAlign w:val="center"/>
          </w:tcPr>
          <w:p w:rsidR="002416B1" w:rsidRPr="006A2BF3" w:rsidRDefault="002416B1" w:rsidP="00507035">
            <w:pPr>
              <w:jc w:val="center"/>
              <w:rPr>
                <w:rFonts w:ascii="Arial" w:hAnsi="Arial" w:cs="Arial"/>
                <w:sz w:val="20"/>
                <w:szCs w:val="20"/>
              </w:rPr>
            </w:pPr>
          </w:p>
        </w:tc>
        <w:tc>
          <w:tcPr>
            <w:tcW w:w="0" w:type="auto"/>
            <w:vAlign w:val="center"/>
          </w:tcPr>
          <w:p w:rsidR="002416B1" w:rsidRPr="006A2BF3" w:rsidRDefault="002416B1" w:rsidP="00507035">
            <w:pPr>
              <w:jc w:val="center"/>
              <w:rPr>
                <w:rFonts w:ascii="Arial" w:hAnsi="Arial" w:cs="Arial"/>
                <w:b/>
                <w:bCs/>
                <w:sz w:val="20"/>
                <w:szCs w:val="20"/>
              </w:rPr>
            </w:pPr>
            <w:r w:rsidRPr="006A2BF3">
              <w:rPr>
                <w:rFonts w:ascii="Arial" w:hAnsi="Arial" w:cs="Arial"/>
                <w:b/>
                <w:bCs/>
                <w:sz w:val="20"/>
                <w:szCs w:val="20"/>
              </w:rPr>
              <w:t>2015</w:t>
            </w:r>
          </w:p>
        </w:tc>
        <w:tc>
          <w:tcPr>
            <w:tcW w:w="0" w:type="auto"/>
            <w:vAlign w:val="center"/>
          </w:tcPr>
          <w:p w:rsidR="002416B1" w:rsidRPr="006A2BF3" w:rsidRDefault="002416B1" w:rsidP="00507035">
            <w:pPr>
              <w:jc w:val="center"/>
              <w:rPr>
                <w:rFonts w:ascii="Arial" w:hAnsi="Arial" w:cs="Arial"/>
                <w:bCs/>
                <w:sz w:val="20"/>
                <w:szCs w:val="20"/>
              </w:rPr>
            </w:pPr>
            <w:r w:rsidRPr="006A2BF3">
              <w:rPr>
                <w:rFonts w:ascii="Arial" w:hAnsi="Arial" w:cs="Arial"/>
                <w:bCs/>
                <w:sz w:val="20"/>
                <w:szCs w:val="20"/>
              </w:rPr>
              <w:t>4,0</w:t>
            </w:r>
          </w:p>
        </w:tc>
        <w:tc>
          <w:tcPr>
            <w:tcW w:w="0" w:type="auto"/>
            <w:vMerge/>
            <w:vAlign w:val="center"/>
          </w:tcPr>
          <w:p w:rsidR="002416B1" w:rsidRPr="006A2BF3" w:rsidRDefault="002416B1" w:rsidP="00507035">
            <w:pPr>
              <w:jc w:val="center"/>
              <w:rPr>
                <w:rFonts w:ascii="Arial" w:hAnsi="Arial" w:cs="Arial"/>
                <w:bCs/>
                <w:sz w:val="20"/>
                <w:szCs w:val="20"/>
              </w:rPr>
            </w:pPr>
          </w:p>
        </w:tc>
      </w:tr>
      <w:tr w:rsidR="002416B1" w:rsidRPr="006A2BF3" w:rsidTr="003A5E95">
        <w:tblPrEx>
          <w:jc w:val="center"/>
        </w:tblPrEx>
        <w:trPr>
          <w:trHeight w:val="20"/>
          <w:jc w:val="center"/>
        </w:trPr>
        <w:tc>
          <w:tcPr>
            <w:tcW w:w="0" w:type="auto"/>
            <w:vMerge w:val="restart"/>
            <w:shd w:val="clear" w:color="auto" w:fill="EAF1DD"/>
            <w:vAlign w:val="center"/>
          </w:tcPr>
          <w:p w:rsidR="002416B1" w:rsidRPr="006A2BF3" w:rsidRDefault="002416B1" w:rsidP="00507035">
            <w:pPr>
              <w:rPr>
                <w:rFonts w:ascii="Arial" w:hAnsi="Arial" w:cs="Arial"/>
                <w:sz w:val="20"/>
                <w:szCs w:val="20"/>
              </w:rPr>
            </w:pPr>
            <w:r w:rsidRPr="006A2BF3">
              <w:rPr>
                <w:rFonts w:ascii="Arial" w:hAnsi="Arial" w:cs="Arial"/>
                <w:sz w:val="20"/>
                <w:szCs w:val="20"/>
              </w:rPr>
              <w:t>Miera zhodnocovania odpadov</w:t>
            </w:r>
          </w:p>
        </w:tc>
        <w:tc>
          <w:tcPr>
            <w:tcW w:w="0" w:type="auto"/>
            <w:vMerge w:val="restart"/>
            <w:vAlign w:val="center"/>
          </w:tcPr>
          <w:p w:rsidR="002416B1" w:rsidRPr="006A2BF3" w:rsidRDefault="002416B1" w:rsidP="00507035">
            <w:pPr>
              <w:jc w:val="center"/>
              <w:rPr>
                <w:rFonts w:ascii="Arial" w:hAnsi="Arial" w:cs="Arial"/>
                <w:sz w:val="20"/>
                <w:szCs w:val="20"/>
              </w:rPr>
            </w:pPr>
            <w:r w:rsidRPr="006A2BF3">
              <w:rPr>
                <w:rFonts w:ascii="Arial" w:hAnsi="Arial" w:cs="Arial"/>
                <w:sz w:val="20"/>
                <w:szCs w:val="20"/>
              </w:rPr>
              <w:t>%</w:t>
            </w:r>
          </w:p>
        </w:tc>
        <w:tc>
          <w:tcPr>
            <w:tcW w:w="0" w:type="auto"/>
            <w:vAlign w:val="center"/>
          </w:tcPr>
          <w:p w:rsidR="002416B1" w:rsidRPr="006A2BF3" w:rsidRDefault="002416B1" w:rsidP="00507035">
            <w:pPr>
              <w:jc w:val="center"/>
              <w:rPr>
                <w:rFonts w:ascii="Arial" w:hAnsi="Arial" w:cs="Arial"/>
                <w:b/>
                <w:bCs/>
                <w:sz w:val="20"/>
                <w:szCs w:val="20"/>
              </w:rPr>
            </w:pPr>
            <w:r w:rsidRPr="006A2BF3">
              <w:rPr>
                <w:rFonts w:ascii="Arial" w:hAnsi="Arial" w:cs="Arial"/>
                <w:b/>
                <w:bCs/>
                <w:sz w:val="20"/>
                <w:szCs w:val="20"/>
              </w:rPr>
              <w:t>2004</w:t>
            </w:r>
          </w:p>
        </w:tc>
        <w:tc>
          <w:tcPr>
            <w:tcW w:w="0" w:type="auto"/>
            <w:vAlign w:val="center"/>
          </w:tcPr>
          <w:p w:rsidR="002416B1" w:rsidRPr="006A2BF3" w:rsidRDefault="002416B1" w:rsidP="00507035">
            <w:pPr>
              <w:jc w:val="center"/>
              <w:rPr>
                <w:rFonts w:ascii="Arial" w:hAnsi="Arial" w:cs="Arial"/>
                <w:bCs/>
                <w:sz w:val="20"/>
                <w:szCs w:val="20"/>
              </w:rPr>
            </w:pPr>
            <w:r w:rsidRPr="006A2BF3">
              <w:rPr>
                <w:rFonts w:ascii="Arial" w:hAnsi="Arial" w:cs="Arial"/>
                <w:bCs/>
                <w:sz w:val="20"/>
                <w:szCs w:val="20"/>
              </w:rPr>
              <w:t>44</w:t>
            </w:r>
          </w:p>
        </w:tc>
        <w:tc>
          <w:tcPr>
            <w:tcW w:w="0" w:type="auto"/>
            <w:vMerge w:val="restart"/>
            <w:vAlign w:val="center"/>
          </w:tcPr>
          <w:p w:rsidR="002416B1" w:rsidRPr="006A2BF3" w:rsidRDefault="002416B1" w:rsidP="00507035">
            <w:pPr>
              <w:jc w:val="center"/>
              <w:rPr>
                <w:rFonts w:ascii="Arial" w:hAnsi="Arial" w:cs="Arial"/>
                <w:bCs/>
                <w:sz w:val="20"/>
                <w:szCs w:val="20"/>
                <w:vertAlign w:val="superscript"/>
              </w:rPr>
            </w:pPr>
            <w:r w:rsidRPr="006A2BF3">
              <w:rPr>
                <w:rFonts w:ascii="Arial" w:hAnsi="Arial" w:cs="Arial"/>
                <w:bCs/>
                <w:sz w:val="20"/>
                <w:szCs w:val="20"/>
              </w:rPr>
              <w:t>55</w:t>
            </w:r>
          </w:p>
        </w:tc>
      </w:tr>
      <w:tr w:rsidR="002416B1" w:rsidRPr="006A2BF3" w:rsidTr="003A5E95">
        <w:tblPrEx>
          <w:jc w:val="center"/>
        </w:tblPrEx>
        <w:trPr>
          <w:trHeight w:val="20"/>
          <w:jc w:val="center"/>
        </w:trPr>
        <w:tc>
          <w:tcPr>
            <w:tcW w:w="0" w:type="auto"/>
            <w:vMerge/>
            <w:shd w:val="clear" w:color="auto" w:fill="EAF1DD"/>
            <w:vAlign w:val="center"/>
          </w:tcPr>
          <w:p w:rsidR="002416B1" w:rsidRPr="006A2BF3" w:rsidRDefault="002416B1" w:rsidP="00507035">
            <w:pPr>
              <w:rPr>
                <w:rFonts w:ascii="Arial" w:hAnsi="Arial" w:cs="Arial"/>
                <w:sz w:val="20"/>
                <w:szCs w:val="20"/>
              </w:rPr>
            </w:pPr>
          </w:p>
        </w:tc>
        <w:tc>
          <w:tcPr>
            <w:tcW w:w="0" w:type="auto"/>
            <w:vMerge/>
            <w:vAlign w:val="center"/>
          </w:tcPr>
          <w:p w:rsidR="002416B1" w:rsidRPr="006A2BF3" w:rsidRDefault="002416B1" w:rsidP="00507035">
            <w:pPr>
              <w:jc w:val="center"/>
              <w:rPr>
                <w:rFonts w:ascii="Arial" w:hAnsi="Arial" w:cs="Arial"/>
                <w:sz w:val="20"/>
                <w:szCs w:val="20"/>
              </w:rPr>
            </w:pPr>
          </w:p>
        </w:tc>
        <w:tc>
          <w:tcPr>
            <w:tcW w:w="0" w:type="auto"/>
            <w:vAlign w:val="center"/>
          </w:tcPr>
          <w:p w:rsidR="002416B1" w:rsidRPr="006A2BF3" w:rsidRDefault="002416B1" w:rsidP="00507035">
            <w:pPr>
              <w:jc w:val="center"/>
              <w:rPr>
                <w:rFonts w:ascii="Arial" w:hAnsi="Arial" w:cs="Arial"/>
                <w:b/>
                <w:bCs/>
                <w:sz w:val="20"/>
                <w:szCs w:val="20"/>
              </w:rPr>
            </w:pPr>
            <w:r w:rsidRPr="006A2BF3">
              <w:rPr>
                <w:rFonts w:ascii="Arial" w:hAnsi="Arial" w:cs="Arial"/>
                <w:b/>
                <w:bCs/>
                <w:sz w:val="20"/>
                <w:szCs w:val="20"/>
              </w:rPr>
              <w:t>2015</w:t>
            </w:r>
          </w:p>
        </w:tc>
        <w:tc>
          <w:tcPr>
            <w:tcW w:w="0" w:type="auto"/>
            <w:vAlign w:val="center"/>
          </w:tcPr>
          <w:p w:rsidR="002416B1" w:rsidRPr="006A2BF3" w:rsidRDefault="002416B1" w:rsidP="00507035">
            <w:pPr>
              <w:jc w:val="center"/>
              <w:rPr>
                <w:rFonts w:ascii="Arial" w:hAnsi="Arial" w:cs="Arial"/>
                <w:bCs/>
                <w:sz w:val="20"/>
                <w:szCs w:val="20"/>
              </w:rPr>
            </w:pPr>
            <w:r w:rsidRPr="006A2BF3">
              <w:rPr>
                <w:rFonts w:ascii="Arial" w:hAnsi="Arial" w:cs="Arial"/>
                <w:bCs/>
                <w:sz w:val="20"/>
                <w:szCs w:val="20"/>
              </w:rPr>
              <w:t>60</w:t>
            </w:r>
          </w:p>
        </w:tc>
        <w:tc>
          <w:tcPr>
            <w:tcW w:w="0" w:type="auto"/>
            <w:vMerge/>
            <w:vAlign w:val="center"/>
          </w:tcPr>
          <w:p w:rsidR="002416B1" w:rsidRPr="006A2BF3" w:rsidRDefault="002416B1" w:rsidP="00507035">
            <w:pPr>
              <w:jc w:val="center"/>
              <w:rPr>
                <w:rFonts w:ascii="Arial" w:hAnsi="Arial" w:cs="Arial"/>
                <w:bCs/>
                <w:sz w:val="20"/>
                <w:szCs w:val="20"/>
                <w:highlight w:val="yellow"/>
              </w:rPr>
            </w:pPr>
          </w:p>
        </w:tc>
      </w:tr>
      <w:tr w:rsidR="002416B1" w:rsidRPr="006A2BF3" w:rsidTr="003A5E95">
        <w:trPr>
          <w:trHeight w:val="20"/>
        </w:trPr>
        <w:tc>
          <w:tcPr>
            <w:tcW w:w="0" w:type="auto"/>
            <w:vMerge w:val="restart"/>
            <w:shd w:val="clear" w:color="auto" w:fill="EAF1DD"/>
            <w:vAlign w:val="center"/>
          </w:tcPr>
          <w:p w:rsidR="002416B1" w:rsidRPr="006A2BF3" w:rsidRDefault="002416B1" w:rsidP="00507035">
            <w:pPr>
              <w:rPr>
                <w:rFonts w:ascii="Arial" w:hAnsi="Arial" w:cs="Arial"/>
                <w:sz w:val="20"/>
                <w:szCs w:val="20"/>
              </w:rPr>
            </w:pPr>
            <w:r w:rsidRPr="006A2BF3">
              <w:rPr>
                <w:rFonts w:ascii="Arial" w:hAnsi="Arial" w:cs="Arial"/>
                <w:sz w:val="20"/>
                <w:szCs w:val="20"/>
              </w:rPr>
              <w:t>Počet obyvateľov napojených na verejnú kanalizáciu</w:t>
            </w:r>
          </w:p>
        </w:tc>
        <w:tc>
          <w:tcPr>
            <w:tcW w:w="0" w:type="auto"/>
            <w:vMerge w:val="restart"/>
            <w:vAlign w:val="center"/>
          </w:tcPr>
          <w:p w:rsidR="002416B1" w:rsidRPr="006A2BF3" w:rsidRDefault="002416B1" w:rsidP="00507035">
            <w:pPr>
              <w:jc w:val="center"/>
              <w:rPr>
                <w:rFonts w:ascii="Arial" w:hAnsi="Arial" w:cs="Arial"/>
                <w:sz w:val="20"/>
                <w:szCs w:val="20"/>
              </w:rPr>
            </w:pPr>
            <w:r w:rsidRPr="006A2BF3">
              <w:rPr>
                <w:rFonts w:ascii="Arial" w:hAnsi="Arial" w:cs="Arial"/>
                <w:sz w:val="20"/>
                <w:szCs w:val="20"/>
              </w:rPr>
              <w:t>počet v tis.</w:t>
            </w:r>
          </w:p>
        </w:tc>
        <w:tc>
          <w:tcPr>
            <w:tcW w:w="0" w:type="auto"/>
            <w:vAlign w:val="center"/>
          </w:tcPr>
          <w:p w:rsidR="002416B1" w:rsidRPr="006A2BF3" w:rsidRDefault="002416B1" w:rsidP="00507035">
            <w:pPr>
              <w:jc w:val="center"/>
              <w:rPr>
                <w:rFonts w:ascii="Arial" w:hAnsi="Arial" w:cs="Arial"/>
                <w:b/>
                <w:bCs/>
                <w:sz w:val="20"/>
                <w:szCs w:val="20"/>
              </w:rPr>
            </w:pPr>
            <w:r w:rsidRPr="006A2BF3">
              <w:rPr>
                <w:rFonts w:ascii="Arial" w:hAnsi="Arial" w:cs="Arial"/>
                <w:b/>
                <w:bCs/>
                <w:sz w:val="20"/>
                <w:szCs w:val="20"/>
              </w:rPr>
              <w:t>2004</w:t>
            </w:r>
          </w:p>
        </w:tc>
        <w:tc>
          <w:tcPr>
            <w:tcW w:w="0" w:type="auto"/>
            <w:vAlign w:val="center"/>
          </w:tcPr>
          <w:p w:rsidR="002416B1" w:rsidRPr="006A2BF3" w:rsidRDefault="002416B1" w:rsidP="00507035">
            <w:pPr>
              <w:jc w:val="center"/>
              <w:rPr>
                <w:rFonts w:ascii="Arial" w:hAnsi="Arial" w:cs="Arial"/>
                <w:sz w:val="20"/>
                <w:szCs w:val="20"/>
              </w:rPr>
            </w:pPr>
            <w:r w:rsidRPr="006A2BF3">
              <w:rPr>
                <w:rFonts w:ascii="Arial" w:hAnsi="Arial" w:cs="Arial"/>
                <w:sz w:val="20"/>
                <w:szCs w:val="20"/>
              </w:rPr>
              <w:t>3 009</w:t>
            </w:r>
          </w:p>
        </w:tc>
        <w:tc>
          <w:tcPr>
            <w:tcW w:w="0" w:type="auto"/>
            <w:vMerge w:val="restart"/>
            <w:vAlign w:val="center"/>
          </w:tcPr>
          <w:p w:rsidR="002416B1" w:rsidRPr="006A2BF3" w:rsidRDefault="002416B1" w:rsidP="00507035">
            <w:pPr>
              <w:jc w:val="center"/>
              <w:rPr>
                <w:rFonts w:ascii="Arial" w:hAnsi="Arial" w:cs="Arial"/>
                <w:sz w:val="20"/>
                <w:szCs w:val="20"/>
              </w:rPr>
            </w:pPr>
            <w:r w:rsidRPr="006A2BF3">
              <w:rPr>
                <w:rFonts w:ascii="Arial" w:hAnsi="Arial" w:cs="Arial"/>
                <w:sz w:val="20"/>
                <w:szCs w:val="20"/>
              </w:rPr>
              <w:t>3 281,7</w:t>
            </w:r>
          </w:p>
        </w:tc>
      </w:tr>
      <w:tr w:rsidR="002416B1" w:rsidRPr="006A2BF3" w:rsidTr="003A5E95">
        <w:trPr>
          <w:trHeight w:val="20"/>
        </w:trPr>
        <w:tc>
          <w:tcPr>
            <w:tcW w:w="0" w:type="auto"/>
            <w:vMerge/>
            <w:shd w:val="clear" w:color="auto" w:fill="EAF1DD"/>
            <w:vAlign w:val="center"/>
          </w:tcPr>
          <w:p w:rsidR="002416B1" w:rsidRPr="006A2BF3" w:rsidRDefault="002416B1" w:rsidP="00507035">
            <w:pPr>
              <w:rPr>
                <w:rFonts w:ascii="Arial" w:hAnsi="Arial" w:cs="Arial"/>
                <w:sz w:val="20"/>
                <w:szCs w:val="20"/>
              </w:rPr>
            </w:pPr>
          </w:p>
        </w:tc>
        <w:tc>
          <w:tcPr>
            <w:tcW w:w="0" w:type="auto"/>
            <w:vMerge/>
            <w:vAlign w:val="center"/>
          </w:tcPr>
          <w:p w:rsidR="002416B1" w:rsidRPr="006A2BF3" w:rsidRDefault="002416B1" w:rsidP="00507035">
            <w:pPr>
              <w:jc w:val="center"/>
              <w:rPr>
                <w:rFonts w:ascii="Arial" w:hAnsi="Arial" w:cs="Arial"/>
                <w:sz w:val="20"/>
                <w:szCs w:val="20"/>
              </w:rPr>
            </w:pPr>
          </w:p>
        </w:tc>
        <w:tc>
          <w:tcPr>
            <w:tcW w:w="0" w:type="auto"/>
            <w:vAlign w:val="center"/>
          </w:tcPr>
          <w:p w:rsidR="002416B1" w:rsidRPr="006A2BF3" w:rsidRDefault="002416B1" w:rsidP="00507035">
            <w:pPr>
              <w:jc w:val="center"/>
              <w:rPr>
                <w:rFonts w:ascii="Arial" w:hAnsi="Arial" w:cs="Arial"/>
                <w:b/>
                <w:bCs/>
                <w:sz w:val="20"/>
                <w:szCs w:val="20"/>
              </w:rPr>
            </w:pPr>
            <w:r w:rsidRPr="006A2BF3">
              <w:rPr>
                <w:rFonts w:ascii="Arial" w:hAnsi="Arial" w:cs="Arial"/>
                <w:b/>
                <w:bCs/>
                <w:sz w:val="20"/>
                <w:szCs w:val="20"/>
              </w:rPr>
              <w:t>2015</w:t>
            </w:r>
          </w:p>
        </w:tc>
        <w:tc>
          <w:tcPr>
            <w:tcW w:w="0" w:type="auto"/>
            <w:vAlign w:val="center"/>
          </w:tcPr>
          <w:p w:rsidR="002416B1" w:rsidRPr="006A2BF3" w:rsidRDefault="002416B1" w:rsidP="00507035">
            <w:pPr>
              <w:jc w:val="center"/>
              <w:rPr>
                <w:rFonts w:ascii="Arial" w:hAnsi="Arial" w:cs="Arial"/>
                <w:sz w:val="20"/>
                <w:szCs w:val="20"/>
              </w:rPr>
            </w:pPr>
            <w:r w:rsidRPr="006A2BF3">
              <w:rPr>
                <w:rFonts w:ascii="Arial" w:hAnsi="Arial" w:cs="Arial"/>
                <w:sz w:val="20"/>
                <w:szCs w:val="20"/>
              </w:rPr>
              <w:t>4 400</w:t>
            </w:r>
          </w:p>
        </w:tc>
        <w:tc>
          <w:tcPr>
            <w:tcW w:w="0" w:type="auto"/>
            <w:vMerge/>
            <w:vAlign w:val="center"/>
          </w:tcPr>
          <w:p w:rsidR="002416B1" w:rsidRPr="006A2BF3" w:rsidRDefault="002416B1" w:rsidP="00507035">
            <w:pPr>
              <w:jc w:val="center"/>
              <w:rPr>
                <w:rFonts w:ascii="Arial" w:hAnsi="Arial" w:cs="Arial"/>
                <w:sz w:val="20"/>
                <w:szCs w:val="20"/>
              </w:rPr>
            </w:pPr>
          </w:p>
        </w:tc>
      </w:tr>
      <w:tr w:rsidR="002416B1" w:rsidRPr="006A2BF3" w:rsidTr="003A5E95">
        <w:trPr>
          <w:trHeight w:val="20"/>
        </w:trPr>
        <w:tc>
          <w:tcPr>
            <w:tcW w:w="0" w:type="auto"/>
            <w:vMerge w:val="restart"/>
            <w:shd w:val="clear" w:color="auto" w:fill="EAF1DD"/>
            <w:vAlign w:val="center"/>
          </w:tcPr>
          <w:p w:rsidR="002416B1" w:rsidRPr="006A2BF3" w:rsidRDefault="002416B1" w:rsidP="00507035">
            <w:pPr>
              <w:rPr>
                <w:rFonts w:ascii="Arial" w:hAnsi="Arial" w:cs="Arial"/>
                <w:sz w:val="20"/>
                <w:szCs w:val="20"/>
              </w:rPr>
            </w:pPr>
            <w:r w:rsidRPr="006A2BF3">
              <w:rPr>
                <w:rFonts w:ascii="Arial" w:hAnsi="Arial" w:cs="Arial"/>
                <w:sz w:val="20"/>
                <w:szCs w:val="20"/>
              </w:rPr>
              <w:t>Percento obyvateľov napojených na ČOV</w:t>
            </w:r>
          </w:p>
        </w:tc>
        <w:tc>
          <w:tcPr>
            <w:tcW w:w="0" w:type="auto"/>
            <w:vMerge w:val="restart"/>
            <w:vAlign w:val="center"/>
          </w:tcPr>
          <w:p w:rsidR="002416B1" w:rsidRPr="006A2BF3" w:rsidRDefault="002416B1" w:rsidP="00507035">
            <w:pPr>
              <w:jc w:val="center"/>
              <w:rPr>
                <w:rFonts w:ascii="Arial" w:hAnsi="Arial" w:cs="Arial"/>
                <w:sz w:val="20"/>
                <w:szCs w:val="20"/>
              </w:rPr>
            </w:pPr>
            <w:r w:rsidRPr="006A2BF3">
              <w:rPr>
                <w:rFonts w:ascii="Arial" w:hAnsi="Arial" w:cs="Arial"/>
                <w:sz w:val="20"/>
                <w:szCs w:val="20"/>
              </w:rPr>
              <w:t>%</w:t>
            </w:r>
          </w:p>
        </w:tc>
        <w:tc>
          <w:tcPr>
            <w:tcW w:w="0" w:type="auto"/>
            <w:vAlign w:val="center"/>
          </w:tcPr>
          <w:p w:rsidR="002416B1" w:rsidRPr="006A2BF3" w:rsidRDefault="002416B1" w:rsidP="00507035">
            <w:pPr>
              <w:jc w:val="center"/>
              <w:rPr>
                <w:rFonts w:ascii="Arial" w:hAnsi="Arial" w:cs="Arial"/>
                <w:b/>
                <w:bCs/>
                <w:sz w:val="20"/>
                <w:szCs w:val="20"/>
              </w:rPr>
            </w:pPr>
            <w:r w:rsidRPr="006A2BF3">
              <w:rPr>
                <w:rFonts w:ascii="Arial" w:hAnsi="Arial" w:cs="Arial"/>
                <w:b/>
                <w:bCs/>
                <w:sz w:val="20"/>
                <w:szCs w:val="20"/>
              </w:rPr>
              <w:t>2004</w:t>
            </w:r>
          </w:p>
        </w:tc>
        <w:tc>
          <w:tcPr>
            <w:tcW w:w="0" w:type="auto"/>
            <w:vAlign w:val="center"/>
          </w:tcPr>
          <w:p w:rsidR="002416B1" w:rsidRPr="006A2BF3" w:rsidRDefault="002416B1" w:rsidP="00507035">
            <w:pPr>
              <w:jc w:val="center"/>
              <w:rPr>
                <w:rFonts w:ascii="Arial" w:hAnsi="Arial" w:cs="Arial"/>
                <w:sz w:val="20"/>
                <w:szCs w:val="20"/>
              </w:rPr>
            </w:pPr>
            <w:r w:rsidRPr="006A2BF3">
              <w:rPr>
                <w:rFonts w:ascii="Arial" w:hAnsi="Arial" w:cs="Arial"/>
                <w:sz w:val="20"/>
                <w:szCs w:val="20"/>
              </w:rPr>
              <w:t>54,1</w:t>
            </w:r>
          </w:p>
        </w:tc>
        <w:tc>
          <w:tcPr>
            <w:tcW w:w="0" w:type="auto"/>
            <w:vMerge w:val="restart"/>
            <w:vAlign w:val="center"/>
          </w:tcPr>
          <w:p w:rsidR="002416B1" w:rsidRPr="006A2BF3" w:rsidRDefault="002416B1" w:rsidP="00507035">
            <w:pPr>
              <w:jc w:val="center"/>
              <w:rPr>
                <w:rFonts w:ascii="Arial" w:hAnsi="Arial" w:cs="Arial"/>
                <w:sz w:val="20"/>
                <w:szCs w:val="20"/>
              </w:rPr>
            </w:pPr>
            <w:r w:rsidRPr="006A2BF3">
              <w:rPr>
                <w:rFonts w:ascii="Arial" w:hAnsi="Arial" w:cs="Arial"/>
                <w:sz w:val="20"/>
                <w:szCs w:val="20"/>
              </w:rPr>
              <w:t>58,9</w:t>
            </w:r>
          </w:p>
        </w:tc>
      </w:tr>
      <w:tr w:rsidR="002416B1" w:rsidRPr="006A2BF3" w:rsidTr="003A5E95">
        <w:trPr>
          <w:trHeight w:val="20"/>
        </w:trPr>
        <w:tc>
          <w:tcPr>
            <w:tcW w:w="0" w:type="auto"/>
            <w:vMerge/>
            <w:shd w:val="clear" w:color="auto" w:fill="EAF1DD"/>
            <w:vAlign w:val="center"/>
          </w:tcPr>
          <w:p w:rsidR="002416B1" w:rsidRPr="006A2BF3" w:rsidRDefault="002416B1" w:rsidP="00507035">
            <w:pPr>
              <w:rPr>
                <w:rFonts w:ascii="Arial" w:hAnsi="Arial" w:cs="Arial"/>
                <w:sz w:val="20"/>
                <w:szCs w:val="20"/>
              </w:rPr>
            </w:pPr>
          </w:p>
        </w:tc>
        <w:tc>
          <w:tcPr>
            <w:tcW w:w="0" w:type="auto"/>
            <w:vMerge/>
            <w:vAlign w:val="center"/>
          </w:tcPr>
          <w:p w:rsidR="002416B1" w:rsidRPr="006A2BF3" w:rsidRDefault="002416B1" w:rsidP="00507035">
            <w:pPr>
              <w:jc w:val="center"/>
              <w:rPr>
                <w:rFonts w:ascii="Arial" w:hAnsi="Arial" w:cs="Arial"/>
                <w:sz w:val="20"/>
                <w:szCs w:val="20"/>
              </w:rPr>
            </w:pPr>
          </w:p>
        </w:tc>
        <w:tc>
          <w:tcPr>
            <w:tcW w:w="0" w:type="auto"/>
            <w:vAlign w:val="center"/>
          </w:tcPr>
          <w:p w:rsidR="002416B1" w:rsidRPr="006A2BF3" w:rsidRDefault="002416B1" w:rsidP="00507035">
            <w:pPr>
              <w:jc w:val="center"/>
              <w:rPr>
                <w:rFonts w:ascii="Arial" w:hAnsi="Arial" w:cs="Arial"/>
                <w:b/>
                <w:bCs/>
                <w:sz w:val="20"/>
                <w:szCs w:val="20"/>
              </w:rPr>
            </w:pPr>
            <w:r w:rsidRPr="006A2BF3">
              <w:rPr>
                <w:rFonts w:ascii="Arial" w:hAnsi="Arial" w:cs="Arial"/>
                <w:b/>
                <w:bCs/>
                <w:sz w:val="20"/>
                <w:szCs w:val="20"/>
              </w:rPr>
              <w:t>2015</w:t>
            </w:r>
          </w:p>
        </w:tc>
        <w:tc>
          <w:tcPr>
            <w:tcW w:w="0" w:type="auto"/>
            <w:vAlign w:val="center"/>
          </w:tcPr>
          <w:p w:rsidR="002416B1" w:rsidRPr="006A2BF3" w:rsidRDefault="002416B1" w:rsidP="00507035">
            <w:pPr>
              <w:jc w:val="center"/>
              <w:rPr>
                <w:rFonts w:ascii="Arial" w:hAnsi="Arial" w:cs="Arial"/>
                <w:sz w:val="20"/>
                <w:szCs w:val="20"/>
              </w:rPr>
            </w:pPr>
            <w:r w:rsidRPr="006A2BF3">
              <w:rPr>
                <w:rFonts w:ascii="Arial" w:hAnsi="Arial" w:cs="Arial"/>
                <w:sz w:val="20"/>
                <w:szCs w:val="20"/>
              </w:rPr>
              <w:t>81</w:t>
            </w:r>
          </w:p>
        </w:tc>
        <w:tc>
          <w:tcPr>
            <w:tcW w:w="0" w:type="auto"/>
            <w:vMerge/>
            <w:vAlign w:val="center"/>
          </w:tcPr>
          <w:p w:rsidR="002416B1" w:rsidRPr="006A2BF3" w:rsidRDefault="002416B1" w:rsidP="00507035">
            <w:pPr>
              <w:jc w:val="center"/>
              <w:rPr>
                <w:rFonts w:ascii="Arial" w:hAnsi="Arial" w:cs="Arial"/>
                <w:sz w:val="20"/>
                <w:szCs w:val="20"/>
              </w:rPr>
            </w:pPr>
          </w:p>
        </w:tc>
      </w:tr>
      <w:tr w:rsidR="002416B1" w:rsidRPr="006A2BF3" w:rsidTr="003A5E95">
        <w:trPr>
          <w:trHeight w:val="382"/>
        </w:trPr>
        <w:tc>
          <w:tcPr>
            <w:tcW w:w="0" w:type="auto"/>
            <w:vMerge w:val="restart"/>
            <w:shd w:val="clear" w:color="auto" w:fill="EAF1DD"/>
            <w:vAlign w:val="center"/>
          </w:tcPr>
          <w:p w:rsidR="002416B1" w:rsidRPr="006A2BF3" w:rsidRDefault="002416B1" w:rsidP="00507035">
            <w:pPr>
              <w:rPr>
                <w:rFonts w:ascii="Arial" w:hAnsi="Arial" w:cs="Arial"/>
                <w:sz w:val="20"/>
                <w:szCs w:val="20"/>
              </w:rPr>
            </w:pPr>
            <w:r w:rsidRPr="006A2BF3">
              <w:rPr>
                <w:rFonts w:ascii="Arial" w:hAnsi="Arial" w:cs="Arial"/>
                <w:sz w:val="20"/>
                <w:szCs w:val="20"/>
              </w:rPr>
              <w:t>Podiel obyvateľov zásobovaných vodou z verejných vodovodov</w:t>
            </w:r>
            <w:r>
              <w:rPr>
                <w:rFonts w:ascii="Arial" w:hAnsi="Arial" w:cs="Arial"/>
                <w:sz w:val="20"/>
                <w:szCs w:val="20"/>
              </w:rPr>
              <w:t xml:space="preserve"> </w:t>
            </w:r>
          </w:p>
        </w:tc>
        <w:tc>
          <w:tcPr>
            <w:tcW w:w="0" w:type="auto"/>
            <w:vMerge w:val="restart"/>
            <w:vAlign w:val="center"/>
          </w:tcPr>
          <w:p w:rsidR="002416B1" w:rsidRPr="006A2BF3" w:rsidRDefault="002416B1" w:rsidP="00507035">
            <w:pPr>
              <w:jc w:val="center"/>
              <w:rPr>
                <w:rFonts w:ascii="Arial" w:hAnsi="Arial" w:cs="Arial"/>
                <w:sz w:val="20"/>
                <w:szCs w:val="20"/>
              </w:rPr>
            </w:pPr>
            <w:r w:rsidRPr="006A2BF3">
              <w:rPr>
                <w:rFonts w:ascii="Arial" w:hAnsi="Arial" w:cs="Arial"/>
                <w:sz w:val="20"/>
                <w:szCs w:val="20"/>
              </w:rPr>
              <w:t>%</w:t>
            </w:r>
          </w:p>
        </w:tc>
        <w:tc>
          <w:tcPr>
            <w:tcW w:w="0" w:type="auto"/>
            <w:vAlign w:val="center"/>
          </w:tcPr>
          <w:p w:rsidR="002416B1" w:rsidRPr="006A2BF3" w:rsidRDefault="002416B1" w:rsidP="00507035">
            <w:pPr>
              <w:jc w:val="center"/>
              <w:rPr>
                <w:rFonts w:ascii="Arial" w:hAnsi="Arial" w:cs="Arial"/>
                <w:b/>
                <w:bCs/>
                <w:sz w:val="20"/>
                <w:szCs w:val="20"/>
              </w:rPr>
            </w:pPr>
            <w:r w:rsidRPr="006A2BF3">
              <w:rPr>
                <w:rFonts w:ascii="Arial" w:hAnsi="Arial" w:cs="Arial"/>
                <w:b/>
                <w:bCs/>
                <w:sz w:val="20"/>
                <w:szCs w:val="20"/>
              </w:rPr>
              <w:t>2004</w:t>
            </w:r>
          </w:p>
        </w:tc>
        <w:tc>
          <w:tcPr>
            <w:tcW w:w="0" w:type="auto"/>
            <w:vAlign w:val="center"/>
          </w:tcPr>
          <w:p w:rsidR="002416B1" w:rsidRPr="006A2BF3" w:rsidRDefault="002416B1" w:rsidP="00507035">
            <w:pPr>
              <w:jc w:val="center"/>
              <w:rPr>
                <w:rFonts w:ascii="Arial" w:hAnsi="Arial" w:cs="Arial"/>
                <w:sz w:val="20"/>
                <w:szCs w:val="20"/>
              </w:rPr>
            </w:pPr>
            <w:r w:rsidRPr="006A2BF3">
              <w:rPr>
                <w:rFonts w:ascii="Arial" w:hAnsi="Arial" w:cs="Arial"/>
                <w:sz w:val="20"/>
                <w:szCs w:val="20"/>
              </w:rPr>
              <w:t>85</w:t>
            </w:r>
          </w:p>
        </w:tc>
        <w:tc>
          <w:tcPr>
            <w:tcW w:w="0" w:type="auto"/>
            <w:vMerge w:val="restart"/>
            <w:vAlign w:val="center"/>
          </w:tcPr>
          <w:p w:rsidR="002416B1" w:rsidRPr="006A2BF3" w:rsidRDefault="002416B1" w:rsidP="00507035">
            <w:pPr>
              <w:jc w:val="center"/>
              <w:rPr>
                <w:rFonts w:ascii="Arial" w:hAnsi="Arial" w:cs="Arial"/>
                <w:sz w:val="20"/>
                <w:szCs w:val="20"/>
              </w:rPr>
            </w:pPr>
            <w:r w:rsidRPr="006A2BF3">
              <w:rPr>
                <w:rFonts w:ascii="Arial" w:hAnsi="Arial" w:cs="Arial"/>
                <w:sz w:val="20"/>
                <w:szCs w:val="20"/>
              </w:rPr>
              <w:t>86,6</w:t>
            </w:r>
          </w:p>
        </w:tc>
      </w:tr>
      <w:tr w:rsidR="002416B1" w:rsidRPr="006A2BF3" w:rsidTr="003A5E95">
        <w:tblPrEx>
          <w:jc w:val="center"/>
        </w:tblPrEx>
        <w:trPr>
          <w:trHeight w:val="20"/>
          <w:jc w:val="center"/>
        </w:trPr>
        <w:tc>
          <w:tcPr>
            <w:tcW w:w="0" w:type="auto"/>
            <w:vMerge/>
            <w:shd w:val="clear" w:color="auto" w:fill="EAF1DD"/>
            <w:vAlign w:val="center"/>
          </w:tcPr>
          <w:p w:rsidR="002416B1" w:rsidRPr="006A2BF3" w:rsidRDefault="002416B1" w:rsidP="00507035">
            <w:pPr>
              <w:rPr>
                <w:rFonts w:ascii="Arial" w:hAnsi="Arial" w:cs="Arial"/>
                <w:sz w:val="20"/>
                <w:szCs w:val="20"/>
              </w:rPr>
            </w:pPr>
          </w:p>
        </w:tc>
        <w:tc>
          <w:tcPr>
            <w:tcW w:w="0" w:type="auto"/>
            <w:vMerge/>
            <w:vAlign w:val="center"/>
          </w:tcPr>
          <w:p w:rsidR="002416B1" w:rsidRPr="006A2BF3" w:rsidRDefault="002416B1" w:rsidP="00507035">
            <w:pPr>
              <w:rPr>
                <w:rFonts w:ascii="Arial" w:hAnsi="Arial" w:cs="Arial"/>
                <w:sz w:val="20"/>
                <w:szCs w:val="20"/>
              </w:rPr>
            </w:pPr>
          </w:p>
        </w:tc>
        <w:tc>
          <w:tcPr>
            <w:tcW w:w="0" w:type="auto"/>
            <w:vAlign w:val="center"/>
          </w:tcPr>
          <w:p w:rsidR="002416B1" w:rsidRPr="006A2BF3" w:rsidRDefault="002416B1" w:rsidP="00507035">
            <w:pPr>
              <w:jc w:val="center"/>
              <w:rPr>
                <w:rFonts w:ascii="Arial" w:hAnsi="Arial" w:cs="Arial"/>
                <w:b/>
                <w:bCs/>
                <w:sz w:val="20"/>
                <w:szCs w:val="20"/>
              </w:rPr>
            </w:pPr>
            <w:r w:rsidRPr="006A2BF3">
              <w:rPr>
                <w:rFonts w:ascii="Arial" w:hAnsi="Arial" w:cs="Arial"/>
                <w:b/>
                <w:bCs/>
                <w:sz w:val="20"/>
                <w:szCs w:val="20"/>
              </w:rPr>
              <w:t>2015</w:t>
            </w:r>
          </w:p>
        </w:tc>
        <w:tc>
          <w:tcPr>
            <w:tcW w:w="0" w:type="auto"/>
            <w:vAlign w:val="center"/>
          </w:tcPr>
          <w:p w:rsidR="002416B1" w:rsidRPr="006A2BF3" w:rsidRDefault="002416B1" w:rsidP="00507035">
            <w:pPr>
              <w:jc w:val="center"/>
              <w:rPr>
                <w:rFonts w:ascii="Arial" w:hAnsi="Arial" w:cs="Arial"/>
                <w:sz w:val="20"/>
                <w:szCs w:val="20"/>
              </w:rPr>
            </w:pPr>
            <w:r w:rsidRPr="006A2BF3">
              <w:rPr>
                <w:rFonts w:ascii="Arial" w:hAnsi="Arial" w:cs="Arial"/>
                <w:sz w:val="20"/>
                <w:szCs w:val="20"/>
              </w:rPr>
              <w:t>91</w:t>
            </w:r>
          </w:p>
        </w:tc>
        <w:tc>
          <w:tcPr>
            <w:tcW w:w="0" w:type="auto"/>
            <w:vMerge/>
            <w:vAlign w:val="center"/>
          </w:tcPr>
          <w:p w:rsidR="002416B1" w:rsidRPr="006A2BF3" w:rsidRDefault="002416B1" w:rsidP="00507035">
            <w:pPr>
              <w:jc w:val="center"/>
              <w:rPr>
                <w:rFonts w:ascii="Arial" w:hAnsi="Arial" w:cs="Arial"/>
                <w:sz w:val="20"/>
                <w:szCs w:val="20"/>
              </w:rPr>
            </w:pPr>
          </w:p>
        </w:tc>
      </w:tr>
      <w:tr w:rsidR="002416B1" w:rsidRPr="006A2BF3" w:rsidTr="003A5E95">
        <w:trPr>
          <w:trHeight w:val="392"/>
        </w:trPr>
        <w:tc>
          <w:tcPr>
            <w:tcW w:w="0" w:type="auto"/>
            <w:vMerge w:val="restart"/>
            <w:shd w:val="clear" w:color="auto" w:fill="EAF1DD"/>
            <w:vAlign w:val="center"/>
          </w:tcPr>
          <w:p w:rsidR="002416B1" w:rsidRPr="006A2BF3" w:rsidRDefault="002416B1" w:rsidP="00507035">
            <w:pPr>
              <w:rPr>
                <w:rFonts w:ascii="Arial" w:hAnsi="Arial" w:cs="Arial"/>
                <w:sz w:val="20"/>
                <w:szCs w:val="20"/>
              </w:rPr>
            </w:pPr>
            <w:r w:rsidRPr="006A2BF3">
              <w:rPr>
                <w:rFonts w:ascii="Arial" w:hAnsi="Arial" w:cs="Arial"/>
                <w:sz w:val="20"/>
                <w:szCs w:val="20"/>
              </w:rPr>
              <w:t>Plocha územia so zabezpečenou protipovodňovou ochranou</w:t>
            </w:r>
          </w:p>
        </w:tc>
        <w:tc>
          <w:tcPr>
            <w:tcW w:w="0" w:type="auto"/>
            <w:vMerge w:val="restart"/>
            <w:vAlign w:val="center"/>
          </w:tcPr>
          <w:p w:rsidR="002416B1" w:rsidRPr="006A2BF3" w:rsidRDefault="002416B1" w:rsidP="00507035">
            <w:pPr>
              <w:jc w:val="center"/>
              <w:rPr>
                <w:rFonts w:ascii="Arial" w:hAnsi="Arial" w:cs="Arial"/>
                <w:sz w:val="20"/>
                <w:szCs w:val="20"/>
              </w:rPr>
            </w:pPr>
            <w:r w:rsidRPr="006A2BF3">
              <w:rPr>
                <w:rFonts w:ascii="Arial" w:hAnsi="Arial" w:cs="Arial"/>
                <w:sz w:val="20"/>
                <w:szCs w:val="20"/>
              </w:rPr>
              <w:t>km</w:t>
            </w:r>
            <w:r w:rsidRPr="006A2BF3">
              <w:rPr>
                <w:rFonts w:ascii="Arial" w:hAnsi="Arial" w:cs="Arial"/>
                <w:sz w:val="20"/>
                <w:szCs w:val="20"/>
                <w:vertAlign w:val="superscript"/>
              </w:rPr>
              <w:t>2</w:t>
            </w:r>
          </w:p>
        </w:tc>
        <w:tc>
          <w:tcPr>
            <w:tcW w:w="0" w:type="auto"/>
            <w:vAlign w:val="center"/>
          </w:tcPr>
          <w:p w:rsidR="002416B1" w:rsidRPr="006A2BF3" w:rsidRDefault="002416B1" w:rsidP="00507035">
            <w:pPr>
              <w:jc w:val="center"/>
              <w:rPr>
                <w:rFonts w:ascii="Arial" w:hAnsi="Arial" w:cs="Arial"/>
                <w:b/>
                <w:bCs/>
                <w:sz w:val="20"/>
                <w:szCs w:val="20"/>
              </w:rPr>
            </w:pPr>
            <w:r w:rsidRPr="006A2BF3">
              <w:rPr>
                <w:rFonts w:ascii="Arial" w:hAnsi="Arial" w:cs="Arial"/>
                <w:b/>
                <w:bCs/>
                <w:sz w:val="20"/>
                <w:szCs w:val="20"/>
              </w:rPr>
              <w:t>2004</w:t>
            </w:r>
          </w:p>
        </w:tc>
        <w:tc>
          <w:tcPr>
            <w:tcW w:w="0" w:type="auto"/>
            <w:vAlign w:val="center"/>
          </w:tcPr>
          <w:p w:rsidR="002416B1" w:rsidRPr="006A2BF3" w:rsidRDefault="002416B1" w:rsidP="00507035">
            <w:pPr>
              <w:jc w:val="center"/>
              <w:rPr>
                <w:rFonts w:ascii="Arial" w:hAnsi="Arial" w:cs="Arial"/>
                <w:sz w:val="20"/>
                <w:szCs w:val="20"/>
              </w:rPr>
            </w:pPr>
            <w:r w:rsidRPr="006A2BF3">
              <w:rPr>
                <w:rFonts w:ascii="Arial" w:hAnsi="Arial" w:cs="Arial"/>
                <w:sz w:val="20"/>
                <w:szCs w:val="20"/>
              </w:rPr>
              <w:t>5 800</w:t>
            </w:r>
          </w:p>
        </w:tc>
        <w:tc>
          <w:tcPr>
            <w:tcW w:w="0" w:type="auto"/>
            <w:vMerge w:val="restart"/>
            <w:vAlign w:val="center"/>
          </w:tcPr>
          <w:p w:rsidR="002416B1" w:rsidRPr="006A2BF3" w:rsidRDefault="002416B1" w:rsidP="00507035">
            <w:pPr>
              <w:jc w:val="center"/>
              <w:rPr>
                <w:rFonts w:ascii="Arial" w:hAnsi="Arial" w:cs="Arial"/>
                <w:sz w:val="20"/>
                <w:szCs w:val="20"/>
              </w:rPr>
            </w:pPr>
            <w:r w:rsidRPr="006A2BF3">
              <w:rPr>
                <w:rFonts w:ascii="Arial" w:hAnsi="Arial" w:cs="Arial"/>
                <w:sz w:val="20"/>
                <w:szCs w:val="20"/>
              </w:rPr>
              <w:t>5 895,2</w:t>
            </w:r>
          </w:p>
        </w:tc>
      </w:tr>
      <w:tr w:rsidR="002416B1" w:rsidRPr="006A2BF3" w:rsidTr="003A5E95">
        <w:trPr>
          <w:trHeight w:val="20"/>
        </w:trPr>
        <w:tc>
          <w:tcPr>
            <w:tcW w:w="0" w:type="auto"/>
            <w:vMerge/>
            <w:shd w:val="clear" w:color="auto" w:fill="EAF1DD"/>
            <w:vAlign w:val="center"/>
          </w:tcPr>
          <w:p w:rsidR="002416B1" w:rsidRPr="006A2BF3" w:rsidRDefault="002416B1" w:rsidP="00507035">
            <w:pPr>
              <w:rPr>
                <w:rFonts w:ascii="Arial" w:hAnsi="Arial" w:cs="Arial"/>
                <w:sz w:val="20"/>
                <w:szCs w:val="20"/>
              </w:rPr>
            </w:pPr>
          </w:p>
        </w:tc>
        <w:tc>
          <w:tcPr>
            <w:tcW w:w="0" w:type="auto"/>
            <w:vMerge/>
            <w:vAlign w:val="center"/>
          </w:tcPr>
          <w:p w:rsidR="002416B1" w:rsidRPr="006A2BF3" w:rsidRDefault="002416B1" w:rsidP="00507035">
            <w:pPr>
              <w:rPr>
                <w:rFonts w:ascii="Arial" w:hAnsi="Arial" w:cs="Arial"/>
                <w:sz w:val="20"/>
                <w:szCs w:val="20"/>
              </w:rPr>
            </w:pPr>
          </w:p>
        </w:tc>
        <w:tc>
          <w:tcPr>
            <w:tcW w:w="0" w:type="auto"/>
            <w:vAlign w:val="center"/>
          </w:tcPr>
          <w:p w:rsidR="002416B1" w:rsidRPr="006A2BF3" w:rsidRDefault="002416B1" w:rsidP="00507035">
            <w:pPr>
              <w:jc w:val="center"/>
              <w:rPr>
                <w:rFonts w:ascii="Arial" w:hAnsi="Arial" w:cs="Arial"/>
                <w:b/>
                <w:bCs/>
                <w:sz w:val="20"/>
                <w:szCs w:val="20"/>
              </w:rPr>
            </w:pPr>
            <w:r w:rsidRPr="006A2BF3">
              <w:rPr>
                <w:rFonts w:ascii="Arial" w:hAnsi="Arial" w:cs="Arial"/>
                <w:b/>
                <w:bCs/>
                <w:sz w:val="20"/>
                <w:szCs w:val="20"/>
              </w:rPr>
              <w:t>2015</w:t>
            </w:r>
          </w:p>
        </w:tc>
        <w:tc>
          <w:tcPr>
            <w:tcW w:w="0" w:type="auto"/>
            <w:vAlign w:val="center"/>
          </w:tcPr>
          <w:p w:rsidR="002416B1" w:rsidRPr="006A2BF3" w:rsidRDefault="002416B1" w:rsidP="00507035">
            <w:pPr>
              <w:jc w:val="center"/>
              <w:rPr>
                <w:rFonts w:ascii="Arial" w:hAnsi="Arial" w:cs="Arial"/>
                <w:sz w:val="20"/>
                <w:szCs w:val="20"/>
              </w:rPr>
            </w:pPr>
            <w:r w:rsidRPr="006A2BF3">
              <w:rPr>
                <w:rFonts w:ascii="Arial" w:hAnsi="Arial" w:cs="Arial"/>
                <w:sz w:val="20"/>
                <w:szCs w:val="20"/>
              </w:rPr>
              <w:t>5 970</w:t>
            </w:r>
          </w:p>
        </w:tc>
        <w:tc>
          <w:tcPr>
            <w:tcW w:w="0" w:type="auto"/>
            <w:vMerge/>
            <w:vAlign w:val="center"/>
          </w:tcPr>
          <w:p w:rsidR="002416B1" w:rsidRPr="006A2BF3" w:rsidRDefault="002416B1" w:rsidP="00507035">
            <w:pPr>
              <w:jc w:val="center"/>
              <w:rPr>
                <w:rFonts w:ascii="Arial" w:hAnsi="Arial" w:cs="Arial"/>
                <w:sz w:val="20"/>
                <w:szCs w:val="20"/>
              </w:rPr>
            </w:pPr>
          </w:p>
        </w:tc>
      </w:tr>
      <w:tr w:rsidR="002416B1" w:rsidRPr="006A2BF3" w:rsidTr="003A5E95">
        <w:trPr>
          <w:trHeight w:val="20"/>
        </w:trPr>
        <w:tc>
          <w:tcPr>
            <w:tcW w:w="0" w:type="auto"/>
            <w:vMerge w:val="restart"/>
            <w:shd w:val="clear" w:color="auto" w:fill="EAF1DD"/>
            <w:vAlign w:val="center"/>
          </w:tcPr>
          <w:p w:rsidR="002416B1" w:rsidRPr="006A2BF3" w:rsidRDefault="002416B1" w:rsidP="00507035">
            <w:pPr>
              <w:rPr>
                <w:rFonts w:ascii="Arial" w:hAnsi="Arial" w:cs="Arial"/>
                <w:sz w:val="20"/>
                <w:szCs w:val="20"/>
              </w:rPr>
            </w:pPr>
            <w:r w:rsidRPr="006A2BF3">
              <w:rPr>
                <w:rFonts w:ascii="Arial" w:hAnsi="Arial" w:cs="Arial"/>
                <w:sz w:val="20"/>
                <w:szCs w:val="20"/>
              </w:rPr>
              <w:t>Počet vyhlásených území Natura 2000</w:t>
            </w:r>
            <w:r w:rsidRPr="006A2BF3">
              <w:rPr>
                <w:rStyle w:val="Odkaznapoznmkupodiarou"/>
                <w:rFonts w:ascii="Arial" w:hAnsi="Arial" w:cs="Arial"/>
                <w:sz w:val="20"/>
                <w:szCs w:val="20"/>
              </w:rPr>
              <w:footnoteReference w:id="4"/>
            </w:r>
          </w:p>
        </w:tc>
        <w:tc>
          <w:tcPr>
            <w:tcW w:w="0" w:type="auto"/>
            <w:vMerge w:val="restart"/>
            <w:vAlign w:val="center"/>
          </w:tcPr>
          <w:p w:rsidR="002416B1" w:rsidRPr="006A2BF3" w:rsidRDefault="002416B1" w:rsidP="00507035">
            <w:pPr>
              <w:jc w:val="center"/>
              <w:rPr>
                <w:rFonts w:ascii="Arial" w:hAnsi="Arial" w:cs="Arial"/>
                <w:sz w:val="20"/>
                <w:szCs w:val="20"/>
              </w:rPr>
            </w:pPr>
            <w:r w:rsidRPr="006A2BF3">
              <w:rPr>
                <w:rFonts w:ascii="Arial" w:hAnsi="Arial" w:cs="Arial"/>
                <w:sz w:val="20"/>
                <w:szCs w:val="20"/>
              </w:rPr>
              <w:t>Počet</w:t>
            </w:r>
          </w:p>
        </w:tc>
        <w:tc>
          <w:tcPr>
            <w:tcW w:w="0" w:type="auto"/>
            <w:vAlign w:val="center"/>
          </w:tcPr>
          <w:p w:rsidR="002416B1" w:rsidRPr="006A2BF3" w:rsidRDefault="002416B1" w:rsidP="00507035">
            <w:pPr>
              <w:jc w:val="center"/>
              <w:rPr>
                <w:rFonts w:ascii="Arial" w:hAnsi="Arial" w:cs="Arial"/>
                <w:b/>
                <w:bCs/>
                <w:sz w:val="20"/>
                <w:szCs w:val="20"/>
              </w:rPr>
            </w:pPr>
            <w:r w:rsidRPr="006A2BF3">
              <w:rPr>
                <w:rFonts w:ascii="Arial" w:hAnsi="Arial" w:cs="Arial"/>
                <w:b/>
                <w:bCs/>
                <w:sz w:val="20"/>
                <w:szCs w:val="20"/>
              </w:rPr>
              <w:t>2004</w:t>
            </w:r>
          </w:p>
        </w:tc>
        <w:tc>
          <w:tcPr>
            <w:tcW w:w="0" w:type="auto"/>
            <w:vAlign w:val="center"/>
          </w:tcPr>
          <w:p w:rsidR="002416B1" w:rsidRPr="006A2BF3" w:rsidRDefault="002416B1" w:rsidP="00507035">
            <w:pPr>
              <w:jc w:val="center"/>
              <w:rPr>
                <w:rFonts w:ascii="Arial" w:hAnsi="Arial" w:cs="Arial"/>
                <w:sz w:val="20"/>
                <w:szCs w:val="20"/>
              </w:rPr>
            </w:pPr>
            <w:r w:rsidRPr="006A2BF3">
              <w:rPr>
                <w:rFonts w:ascii="Arial" w:hAnsi="Arial" w:cs="Arial"/>
                <w:sz w:val="20"/>
                <w:szCs w:val="20"/>
              </w:rPr>
              <w:t>0</w:t>
            </w:r>
          </w:p>
        </w:tc>
        <w:tc>
          <w:tcPr>
            <w:tcW w:w="0" w:type="auto"/>
            <w:vMerge w:val="restart"/>
            <w:vAlign w:val="center"/>
          </w:tcPr>
          <w:p w:rsidR="002416B1" w:rsidRPr="006A2BF3" w:rsidRDefault="002416B1" w:rsidP="00507035">
            <w:pPr>
              <w:jc w:val="center"/>
              <w:rPr>
                <w:rFonts w:ascii="Arial" w:hAnsi="Arial" w:cs="Arial"/>
                <w:sz w:val="20"/>
                <w:szCs w:val="20"/>
              </w:rPr>
            </w:pPr>
            <w:r w:rsidRPr="006A2BF3">
              <w:rPr>
                <w:rFonts w:ascii="Arial" w:hAnsi="Arial" w:cs="Arial"/>
                <w:sz w:val="20"/>
                <w:szCs w:val="20"/>
              </w:rPr>
              <w:t>239</w:t>
            </w:r>
          </w:p>
          <w:p w:rsidR="002416B1" w:rsidRPr="006A2BF3" w:rsidRDefault="002416B1" w:rsidP="00507035">
            <w:pPr>
              <w:jc w:val="center"/>
              <w:rPr>
                <w:rFonts w:ascii="Arial" w:hAnsi="Arial" w:cs="Arial"/>
                <w:sz w:val="18"/>
                <w:szCs w:val="18"/>
              </w:rPr>
            </w:pPr>
            <w:r w:rsidRPr="006A2BF3">
              <w:rPr>
                <w:rFonts w:ascii="Arial" w:hAnsi="Arial" w:cs="Arial"/>
                <w:sz w:val="18"/>
                <w:szCs w:val="18"/>
              </w:rPr>
              <w:t>k 31.12.2011</w:t>
            </w:r>
          </w:p>
        </w:tc>
      </w:tr>
      <w:tr w:rsidR="002416B1" w:rsidRPr="006A2BF3" w:rsidTr="003A5E95">
        <w:trPr>
          <w:trHeight w:val="20"/>
        </w:trPr>
        <w:tc>
          <w:tcPr>
            <w:tcW w:w="0" w:type="auto"/>
            <w:vMerge/>
            <w:shd w:val="clear" w:color="auto" w:fill="EAF1DD"/>
            <w:vAlign w:val="center"/>
          </w:tcPr>
          <w:p w:rsidR="002416B1" w:rsidRPr="006A2BF3" w:rsidRDefault="002416B1" w:rsidP="00507035">
            <w:pPr>
              <w:spacing w:before="120" w:after="120"/>
              <w:rPr>
                <w:rFonts w:ascii="Arial" w:hAnsi="Arial" w:cs="Arial"/>
                <w:sz w:val="20"/>
                <w:szCs w:val="20"/>
              </w:rPr>
            </w:pPr>
          </w:p>
        </w:tc>
        <w:tc>
          <w:tcPr>
            <w:tcW w:w="0" w:type="auto"/>
            <w:vMerge/>
            <w:vAlign w:val="center"/>
          </w:tcPr>
          <w:p w:rsidR="002416B1" w:rsidRPr="006A2BF3" w:rsidRDefault="002416B1" w:rsidP="00507035">
            <w:pPr>
              <w:spacing w:before="120" w:after="120"/>
              <w:rPr>
                <w:rFonts w:ascii="Arial" w:hAnsi="Arial" w:cs="Arial"/>
                <w:sz w:val="20"/>
                <w:szCs w:val="20"/>
              </w:rPr>
            </w:pPr>
          </w:p>
        </w:tc>
        <w:tc>
          <w:tcPr>
            <w:tcW w:w="0" w:type="auto"/>
            <w:vAlign w:val="center"/>
          </w:tcPr>
          <w:p w:rsidR="002416B1" w:rsidRPr="006A2BF3" w:rsidRDefault="002416B1" w:rsidP="00507035">
            <w:pPr>
              <w:spacing w:before="120" w:after="120"/>
              <w:jc w:val="center"/>
              <w:rPr>
                <w:rFonts w:ascii="Arial" w:hAnsi="Arial" w:cs="Arial"/>
                <w:b/>
                <w:bCs/>
                <w:sz w:val="20"/>
                <w:szCs w:val="20"/>
              </w:rPr>
            </w:pPr>
            <w:r w:rsidRPr="006A2BF3">
              <w:rPr>
                <w:rFonts w:ascii="Arial" w:hAnsi="Arial" w:cs="Arial"/>
                <w:b/>
                <w:bCs/>
                <w:sz w:val="20"/>
                <w:szCs w:val="20"/>
              </w:rPr>
              <w:t>2015</w:t>
            </w:r>
          </w:p>
        </w:tc>
        <w:tc>
          <w:tcPr>
            <w:tcW w:w="0" w:type="auto"/>
            <w:vAlign w:val="center"/>
          </w:tcPr>
          <w:p w:rsidR="002416B1" w:rsidRPr="006A2BF3" w:rsidRDefault="002416B1" w:rsidP="00507035">
            <w:pPr>
              <w:spacing w:before="120" w:after="120"/>
              <w:jc w:val="center"/>
              <w:rPr>
                <w:rFonts w:ascii="Arial" w:hAnsi="Arial" w:cs="Arial"/>
                <w:sz w:val="20"/>
                <w:szCs w:val="20"/>
              </w:rPr>
            </w:pPr>
            <w:r w:rsidRPr="006A2BF3">
              <w:rPr>
                <w:rFonts w:ascii="Arial" w:hAnsi="Arial" w:cs="Arial"/>
                <w:sz w:val="20"/>
                <w:szCs w:val="20"/>
              </w:rPr>
              <w:t>420</w:t>
            </w:r>
          </w:p>
        </w:tc>
        <w:tc>
          <w:tcPr>
            <w:tcW w:w="0" w:type="auto"/>
            <w:vMerge/>
            <w:vAlign w:val="center"/>
          </w:tcPr>
          <w:p w:rsidR="002416B1" w:rsidRPr="006A2BF3" w:rsidRDefault="002416B1" w:rsidP="00507035">
            <w:pPr>
              <w:spacing w:before="120" w:after="120"/>
              <w:jc w:val="center"/>
              <w:rPr>
                <w:rFonts w:ascii="Arial" w:hAnsi="Arial" w:cs="Arial"/>
                <w:sz w:val="20"/>
                <w:szCs w:val="20"/>
                <w:highlight w:val="yellow"/>
              </w:rPr>
            </w:pPr>
          </w:p>
        </w:tc>
      </w:tr>
    </w:tbl>
    <w:p w:rsidR="002416B1" w:rsidRPr="006A2BF3" w:rsidRDefault="002416B1" w:rsidP="00507035">
      <w:pPr>
        <w:autoSpaceDE w:val="0"/>
        <w:autoSpaceDN w:val="0"/>
        <w:adjustRightInd w:val="0"/>
        <w:spacing w:before="120" w:after="120" w:line="360" w:lineRule="auto"/>
        <w:jc w:val="both"/>
        <w:rPr>
          <w:rFonts w:ascii="Arial" w:hAnsi="Arial" w:cs="Arial"/>
          <w:sz w:val="18"/>
          <w:szCs w:val="18"/>
        </w:rPr>
      </w:pPr>
      <w:r w:rsidRPr="006A2BF3">
        <w:rPr>
          <w:rFonts w:ascii="Arial" w:hAnsi="Arial" w:cs="Arial"/>
          <w:b/>
          <w:sz w:val="20"/>
          <w:szCs w:val="20"/>
        </w:rPr>
        <w:tab/>
      </w:r>
      <w:r w:rsidRPr="006A2BF3">
        <w:rPr>
          <w:rFonts w:ascii="Arial" w:hAnsi="Arial" w:cs="Arial"/>
          <w:sz w:val="18"/>
          <w:szCs w:val="18"/>
        </w:rPr>
        <w:t xml:space="preserve">Zdroj: </w:t>
      </w:r>
      <w:r w:rsidR="0048211E">
        <w:rPr>
          <w:rFonts w:ascii="Arial" w:hAnsi="Arial" w:cs="Arial"/>
          <w:sz w:val="18"/>
          <w:szCs w:val="18"/>
        </w:rPr>
        <w:t>RO</w:t>
      </w:r>
    </w:p>
    <w:p w:rsidR="00F24BEC" w:rsidRDefault="002416B1" w:rsidP="00507035">
      <w:pPr>
        <w:autoSpaceDE w:val="0"/>
        <w:autoSpaceDN w:val="0"/>
        <w:adjustRightInd w:val="0"/>
        <w:spacing w:before="120" w:after="120" w:line="360" w:lineRule="auto"/>
        <w:jc w:val="both"/>
        <w:rPr>
          <w:rFonts w:ascii="Arial" w:hAnsi="Arial" w:cs="Arial"/>
          <w:sz w:val="20"/>
          <w:szCs w:val="20"/>
        </w:rPr>
      </w:pPr>
      <w:r w:rsidRPr="006A2BF3">
        <w:rPr>
          <w:rFonts w:ascii="Arial" w:hAnsi="Arial" w:cs="Arial"/>
          <w:sz w:val="20"/>
          <w:szCs w:val="20"/>
        </w:rPr>
        <w:t>Oficiálne štatistické hodnoty vyššie uvedených kontextových ukazovateľov za SR sú k dispozícii v roku n iba spätne za rok n-2.</w:t>
      </w:r>
      <w:r>
        <w:rPr>
          <w:rFonts w:ascii="Arial" w:hAnsi="Arial" w:cs="Arial"/>
          <w:sz w:val="20"/>
          <w:szCs w:val="20"/>
        </w:rPr>
        <w:t xml:space="preserve"> </w:t>
      </w:r>
      <w:r w:rsidRPr="006A2BF3">
        <w:rPr>
          <w:rFonts w:ascii="Arial" w:hAnsi="Arial" w:cs="Arial"/>
          <w:sz w:val="20"/>
          <w:szCs w:val="20"/>
        </w:rPr>
        <w:t>Z uvedených dôvodov sú v súčasnosti (v roku 2012</w:t>
      </w:r>
      <w:r w:rsidRPr="002E2A9B">
        <w:rPr>
          <w:rFonts w:ascii="Arial" w:hAnsi="Arial" w:cs="Arial"/>
          <w:sz w:val="20"/>
          <w:szCs w:val="20"/>
        </w:rPr>
        <w:t>) k dispozícii iba hodnoty daných kontextových ukazovateľov za rok 20</w:t>
      </w:r>
      <w:r w:rsidRPr="006A2BF3">
        <w:rPr>
          <w:rFonts w:ascii="Arial" w:hAnsi="Arial" w:cs="Arial"/>
          <w:sz w:val="20"/>
          <w:szCs w:val="20"/>
        </w:rPr>
        <w:t>10</w:t>
      </w:r>
      <w:r w:rsidRPr="002E2A9B">
        <w:rPr>
          <w:rFonts w:ascii="Arial" w:hAnsi="Arial" w:cs="Arial"/>
          <w:sz w:val="20"/>
          <w:szCs w:val="20"/>
        </w:rPr>
        <w:t xml:space="preserve">, t.j. </w:t>
      </w:r>
      <w:r w:rsidRPr="006A2BF3">
        <w:rPr>
          <w:rFonts w:ascii="Arial" w:hAnsi="Arial" w:cs="Arial"/>
          <w:sz w:val="20"/>
          <w:szCs w:val="20"/>
        </w:rPr>
        <w:t xml:space="preserve">niektoré </w:t>
      </w:r>
      <w:r w:rsidRPr="002E2A9B">
        <w:rPr>
          <w:rFonts w:ascii="Arial" w:hAnsi="Arial" w:cs="Arial"/>
          <w:sz w:val="20"/>
          <w:szCs w:val="20"/>
        </w:rPr>
        <w:t>hodnoty za rok 201</w:t>
      </w:r>
      <w:r w:rsidRPr="006A2BF3">
        <w:rPr>
          <w:rFonts w:ascii="Arial" w:hAnsi="Arial" w:cs="Arial"/>
          <w:sz w:val="20"/>
          <w:szCs w:val="20"/>
        </w:rPr>
        <w:t>1</w:t>
      </w:r>
      <w:r w:rsidRPr="002E2A9B">
        <w:rPr>
          <w:rFonts w:ascii="Arial" w:hAnsi="Arial" w:cs="Arial"/>
          <w:sz w:val="20"/>
          <w:szCs w:val="20"/>
        </w:rPr>
        <w:t xml:space="preserve"> nie sú k dispozícii, nakoľko sú v štádiu posudzovania. </w:t>
      </w:r>
    </w:p>
    <w:p w:rsidR="00BA7B62" w:rsidRDefault="00BA7B62">
      <w:pPr>
        <w:rPr>
          <w:rFonts w:ascii="Arial" w:hAnsi="Arial"/>
          <w:b/>
          <w:bCs/>
          <w:sz w:val="26"/>
          <w:szCs w:val="26"/>
        </w:rPr>
      </w:pPr>
      <w:bookmarkStart w:id="21" w:name="_Toc319573303"/>
      <w:r>
        <w:br w:type="page"/>
      </w:r>
    </w:p>
    <w:p w:rsidR="002416B1" w:rsidRDefault="002416B1" w:rsidP="00507035">
      <w:pPr>
        <w:pStyle w:val="Nadpis3"/>
        <w:spacing w:before="120" w:after="120"/>
      </w:pPr>
      <w:r w:rsidRPr="00D36F06">
        <w:t>2.1.2 Finančná implementácia programu</w:t>
      </w:r>
      <w:bookmarkEnd w:id="21"/>
    </w:p>
    <w:p w:rsidR="00454DC9" w:rsidRPr="00454DC9" w:rsidRDefault="00454DC9" w:rsidP="00454DC9"/>
    <w:p w:rsidR="003F446D" w:rsidRPr="0048211E" w:rsidRDefault="003F446D" w:rsidP="001540E7">
      <w:pPr>
        <w:numPr>
          <w:ilvl w:val="0"/>
          <w:numId w:val="43"/>
        </w:numPr>
        <w:spacing w:before="120" w:after="120" w:line="360" w:lineRule="auto"/>
        <w:ind w:left="714" w:hanging="357"/>
        <w:jc w:val="both"/>
        <w:rPr>
          <w:rFonts w:ascii="Arial" w:hAnsi="Arial" w:cs="Arial"/>
          <w:b/>
          <w:bCs/>
          <w:color w:val="000000"/>
          <w:sz w:val="20"/>
          <w:szCs w:val="20"/>
          <w:u w:val="single"/>
        </w:rPr>
      </w:pPr>
      <w:r w:rsidRPr="0048211E">
        <w:rPr>
          <w:rFonts w:ascii="Arial" w:hAnsi="Arial" w:cs="Arial"/>
          <w:b/>
          <w:bCs/>
          <w:color w:val="000000"/>
          <w:sz w:val="20"/>
          <w:szCs w:val="20"/>
          <w:u w:val="single"/>
        </w:rPr>
        <w:tab/>
        <w:t>Stav celkového čerpania ŠF a ŠR za rok 2012</w:t>
      </w:r>
    </w:p>
    <w:p w:rsidR="003F446D" w:rsidRPr="0048211E" w:rsidRDefault="003F446D" w:rsidP="00507035">
      <w:pPr>
        <w:spacing w:before="120" w:after="120" w:line="360" w:lineRule="auto"/>
        <w:jc w:val="both"/>
        <w:rPr>
          <w:rFonts w:ascii="Arial" w:hAnsi="Arial" w:cs="Arial"/>
          <w:sz w:val="20"/>
          <w:szCs w:val="20"/>
        </w:rPr>
      </w:pPr>
      <w:r w:rsidRPr="0048211E">
        <w:rPr>
          <w:rFonts w:ascii="Arial" w:hAnsi="Arial" w:cs="Arial"/>
          <w:sz w:val="20"/>
          <w:szCs w:val="20"/>
        </w:rPr>
        <w:t>V období od 01.01.2012 do 31.12.2012 bolo zo strany PJ na CO predložených 39 súhrnných žiadostí o</w:t>
      </w:r>
      <w:r w:rsidR="001F6B4A">
        <w:rPr>
          <w:rFonts w:ascii="Arial" w:hAnsi="Arial" w:cs="Arial"/>
          <w:sz w:val="20"/>
          <w:szCs w:val="20"/>
        </w:rPr>
        <w:t> </w:t>
      </w:r>
      <w:r w:rsidRPr="0048211E">
        <w:rPr>
          <w:rFonts w:ascii="Arial" w:hAnsi="Arial" w:cs="Arial"/>
          <w:sz w:val="20"/>
          <w:szCs w:val="20"/>
        </w:rPr>
        <w:t>platbu</w:t>
      </w:r>
      <w:r w:rsidR="001F6B4A">
        <w:rPr>
          <w:rFonts w:ascii="Arial" w:hAnsi="Arial" w:cs="Arial"/>
          <w:sz w:val="20"/>
          <w:szCs w:val="20"/>
        </w:rPr>
        <w:t xml:space="preserve"> (ďalej len „SŽP“)</w:t>
      </w:r>
      <w:r w:rsidRPr="0048211E">
        <w:rPr>
          <w:rFonts w:ascii="Arial" w:hAnsi="Arial" w:cs="Arial"/>
          <w:sz w:val="20"/>
          <w:szCs w:val="20"/>
        </w:rPr>
        <w:t xml:space="preserve"> v celkovej výške prostriedkov EÚ a ŠR na spolufinancovanie 289</w:t>
      </w:r>
      <w:r w:rsidR="007C084C">
        <w:rPr>
          <w:rFonts w:ascii="Arial" w:hAnsi="Arial" w:cs="Arial"/>
          <w:sz w:val="20"/>
          <w:szCs w:val="20"/>
        </w:rPr>
        <w:t> </w:t>
      </w:r>
      <w:r w:rsidRPr="0048211E">
        <w:rPr>
          <w:rFonts w:ascii="Arial" w:hAnsi="Arial" w:cs="Arial"/>
          <w:sz w:val="20"/>
          <w:szCs w:val="20"/>
        </w:rPr>
        <w:t>992</w:t>
      </w:r>
      <w:r w:rsidR="007C084C">
        <w:rPr>
          <w:rFonts w:ascii="Arial" w:hAnsi="Arial" w:cs="Arial"/>
          <w:sz w:val="20"/>
          <w:szCs w:val="20"/>
        </w:rPr>
        <w:t> </w:t>
      </w:r>
      <w:r w:rsidRPr="0048211E">
        <w:rPr>
          <w:rFonts w:ascii="Arial" w:hAnsi="Arial" w:cs="Arial"/>
          <w:sz w:val="20"/>
          <w:szCs w:val="20"/>
        </w:rPr>
        <w:t>997,89 EUR, z toho zo zdrojov EÚ</w:t>
      </w:r>
      <w:r w:rsidR="001F6B4A">
        <w:rPr>
          <w:rFonts w:ascii="Arial" w:hAnsi="Arial" w:cs="Arial"/>
          <w:sz w:val="20"/>
          <w:szCs w:val="20"/>
        </w:rPr>
        <w:t xml:space="preserve"> </w:t>
      </w:r>
      <w:r w:rsidRPr="0048211E">
        <w:rPr>
          <w:rFonts w:ascii="Arial" w:hAnsi="Arial" w:cs="Arial"/>
          <w:sz w:val="20"/>
          <w:szCs w:val="20"/>
        </w:rPr>
        <w:t>253 392 414,99 EUR a zo zdrojov ŠR 36</w:t>
      </w:r>
      <w:r w:rsidR="007C084C">
        <w:rPr>
          <w:rFonts w:ascii="Arial" w:hAnsi="Arial" w:cs="Arial"/>
          <w:sz w:val="20"/>
          <w:szCs w:val="20"/>
        </w:rPr>
        <w:t> </w:t>
      </w:r>
      <w:r w:rsidRPr="0048211E">
        <w:rPr>
          <w:rFonts w:ascii="Arial" w:hAnsi="Arial" w:cs="Arial"/>
          <w:sz w:val="20"/>
          <w:szCs w:val="20"/>
        </w:rPr>
        <w:t>600</w:t>
      </w:r>
      <w:r w:rsidR="007C084C">
        <w:rPr>
          <w:rFonts w:ascii="Arial" w:hAnsi="Arial" w:cs="Arial"/>
          <w:sz w:val="20"/>
          <w:szCs w:val="20"/>
        </w:rPr>
        <w:t> </w:t>
      </w:r>
      <w:r w:rsidRPr="0048211E">
        <w:rPr>
          <w:rFonts w:ascii="Arial" w:hAnsi="Arial" w:cs="Arial"/>
          <w:sz w:val="20"/>
          <w:szCs w:val="20"/>
        </w:rPr>
        <w:t>582,90</w:t>
      </w:r>
      <w:r w:rsidR="007C084C">
        <w:rPr>
          <w:rFonts w:ascii="Arial" w:hAnsi="Arial" w:cs="Arial"/>
          <w:sz w:val="20"/>
          <w:szCs w:val="20"/>
        </w:rPr>
        <w:t> </w:t>
      </w:r>
      <w:r w:rsidRPr="0048211E">
        <w:rPr>
          <w:rFonts w:ascii="Arial" w:hAnsi="Arial" w:cs="Arial"/>
          <w:sz w:val="20"/>
          <w:szCs w:val="20"/>
        </w:rPr>
        <w:t>EUR, pričom všetky SŽP boli schválené v plnej sume.</w:t>
      </w:r>
    </w:p>
    <w:p w:rsidR="003F446D" w:rsidRPr="0048211E" w:rsidRDefault="003F446D" w:rsidP="00507035">
      <w:pPr>
        <w:spacing w:before="120" w:after="120" w:line="360" w:lineRule="auto"/>
        <w:jc w:val="both"/>
        <w:rPr>
          <w:rFonts w:ascii="Arial" w:hAnsi="Arial" w:cs="Arial"/>
          <w:sz w:val="20"/>
          <w:szCs w:val="20"/>
        </w:rPr>
      </w:pPr>
      <w:r w:rsidRPr="0048211E">
        <w:rPr>
          <w:rFonts w:ascii="Arial" w:hAnsi="Arial" w:cs="Arial"/>
          <w:sz w:val="20"/>
          <w:szCs w:val="20"/>
        </w:rPr>
        <w:t>Za zdroj ERDF bolo zo strany PJ na CO predložených 18 súhrnných žiadostí o platbu v celkovej výške prostriedkov EÚ a ŠR na spolufinancovanie 52 414 960,57 EUR, z toho zo zdrojov EÚ 46</w:t>
      </w:r>
      <w:r w:rsidR="007C084C">
        <w:rPr>
          <w:rFonts w:ascii="Arial" w:hAnsi="Arial" w:cs="Arial"/>
          <w:sz w:val="20"/>
          <w:szCs w:val="20"/>
        </w:rPr>
        <w:t> </w:t>
      </w:r>
      <w:r w:rsidRPr="0048211E">
        <w:rPr>
          <w:rFonts w:ascii="Arial" w:hAnsi="Arial" w:cs="Arial"/>
          <w:sz w:val="20"/>
          <w:szCs w:val="20"/>
        </w:rPr>
        <w:t>118</w:t>
      </w:r>
      <w:r w:rsidR="007C084C">
        <w:rPr>
          <w:rFonts w:ascii="Arial" w:hAnsi="Arial" w:cs="Arial"/>
          <w:sz w:val="20"/>
          <w:szCs w:val="20"/>
        </w:rPr>
        <w:t> </w:t>
      </w:r>
      <w:r w:rsidRPr="0048211E">
        <w:rPr>
          <w:rFonts w:ascii="Arial" w:hAnsi="Arial" w:cs="Arial"/>
          <w:sz w:val="20"/>
          <w:szCs w:val="20"/>
        </w:rPr>
        <w:t>995,51 EUR a zo zdrojov ŠR 6 295 965,06 EUR, pričom všetky SŽP boli schválené v plnej sume.</w:t>
      </w:r>
    </w:p>
    <w:p w:rsidR="003F446D" w:rsidRPr="0048211E" w:rsidRDefault="003F446D" w:rsidP="00507035">
      <w:pPr>
        <w:spacing w:before="120" w:after="120" w:line="360" w:lineRule="auto"/>
        <w:jc w:val="both"/>
        <w:rPr>
          <w:rFonts w:ascii="Arial" w:hAnsi="Arial" w:cs="Arial"/>
          <w:sz w:val="20"/>
          <w:szCs w:val="20"/>
        </w:rPr>
      </w:pPr>
      <w:r w:rsidRPr="0048211E">
        <w:rPr>
          <w:rFonts w:ascii="Arial" w:hAnsi="Arial" w:cs="Arial"/>
          <w:sz w:val="20"/>
          <w:szCs w:val="20"/>
        </w:rPr>
        <w:t>Za zdroj KF bolo zo strany PJ na CO predložených 21 súhrnných žiadostí o platbu v celkovej výške prostriedkov EÚ a ŠR na spolufinancovanie 237 578 037,32 EUR, z toho zo zdrojov EÚ 207</w:t>
      </w:r>
      <w:r w:rsidR="007C084C">
        <w:rPr>
          <w:rFonts w:ascii="Arial" w:hAnsi="Arial" w:cs="Arial"/>
          <w:sz w:val="20"/>
          <w:szCs w:val="20"/>
        </w:rPr>
        <w:t> </w:t>
      </w:r>
      <w:r w:rsidRPr="0048211E">
        <w:rPr>
          <w:rFonts w:ascii="Arial" w:hAnsi="Arial" w:cs="Arial"/>
          <w:sz w:val="20"/>
          <w:szCs w:val="20"/>
        </w:rPr>
        <w:t>273</w:t>
      </w:r>
      <w:r w:rsidR="007C084C">
        <w:rPr>
          <w:rFonts w:ascii="Arial" w:hAnsi="Arial" w:cs="Arial"/>
          <w:sz w:val="20"/>
          <w:szCs w:val="20"/>
        </w:rPr>
        <w:t> </w:t>
      </w:r>
      <w:r w:rsidRPr="0048211E">
        <w:rPr>
          <w:rFonts w:ascii="Arial" w:hAnsi="Arial" w:cs="Arial"/>
          <w:sz w:val="20"/>
          <w:szCs w:val="20"/>
        </w:rPr>
        <w:t>419,48 EUR a zo zdrojov ŠR 30 304 617,84 EUR, pričom všetky SŽP boli schválené v plnej sume.</w:t>
      </w:r>
    </w:p>
    <w:p w:rsidR="003F446D" w:rsidRPr="0048211E" w:rsidRDefault="003F446D" w:rsidP="00507035">
      <w:pPr>
        <w:spacing w:before="120" w:after="120" w:line="360" w:lineRule="auto"/>
        <w:jc w:val="both"/>
        <w:rPr>
          <w:rFonts w:ascii="Arial" w:hAnsi="Arial" w:cs="Arial"/>
          <w:sz w:val="20"/>
          <w:szCs w:val="20"/>
        </w:rPr>
      </w:pPr>
      <w:r w:rsidRPr="0048211E">
        <w:rPr>
          <w:rFonts w:ascii="Arial" w:hAnsi="Arial" w:cs="Arial"/>
          <w:sz w:val="20"/>
          <w:szCs w:val="20"/>
        </w:rPr>
        <w:t>Celková suma schválených SŽP v roku 2012 predstavovala sumu za EÚ zdroje a zdroje ŠR na spolufinancovanie 289 992 997,89 EUR, z toho 253 392 414,99 EUR zo zdrojov EÚ a 36</w:t>
      </w:r>
      <w:r w:rsidR="007C084C">
        <w:rPr>
          <w:rFonts w:ascii="Arial" w:hAnsi="Arial" w:cs="Arial"/>
          <w:sz w:val="20"/>
          <w:szCs w:val="20"/>
        </w:rPr>
        <w:t> </w:t>
      </w:r>
      <w:r w:rsidRPr="0048211E">
        <w:rPr>
          <w:rFonts w:ascii="Arial" w:hAnsi="Arial" w:cs="Arial"/>
          <w:sz w:val="20"/>
          <w:szCs w:val="20"/>
        </w:rPr>
        <w:t>600</w:t>
      </w:r>
      <w:r w:rsidR="007C084C">
        <w:rPr>
          <w:rFonts w:ascii="Arial" w:hAnsi="Arial" w:cs="Arial"/>
          <w:sz w:val="20"/>
          <w:szCs w:val="20"/>
        </w:rPr>
        <w:t> </w:t>
      </w:r>
      <w:r w:rsidRPr="0048211E">
        <w:rPr>
          <w:rFonts w:ascii="Arial" w:hAnsi="Arial" w:cs="Arial"/>
          <w:sz w:val="20"/>
          <w:szCs w:val="20"/>
        </w:rPr>
        <w:t>582,90</w:t>
      </w:r>
      <w:r w:rsidR="007C084C">
        <w:rPr>
          <w:rFonts w:ascii="Arial" w:hAnsi="Arial" w:cs="Arial"/>
          <w:sz w:val="20"/>
          <w:szCs w:val="20"/>
        </w:rPr>
        <w:t> </w:t>
      </w:r>
      <w:r w:rsidRPr="0048211E">
        <w:rPr>
          <w:rFonts w:ascii="Arial" w:hAnsi="Arial" w:cs="Arial"/>
          <w:sz w:val="20"/>
          <w:szCs w:val="20"/>
        </w:rPr>
        <w:t xml:space="preserve">EUR zo zdrojov ŠR. </w:t>
      </w:r>
    </w:p>
    <w:p w:rsidR="003F446D" w:rsidRPr="0048211E" w:rsidRDefault="003F446D" w:rsidP="00507035">
      <w:pPr>
        <w:spacing w:before="120" w:after="120" w:line="360" w:lineRule="auto"/>
        <w:jc w:val="both"/>
        <w:rPr>
          <w:rFonts w:ascii="Arial" w:hAnsi="Arial" w:cs="Arial"/>
          <w:sz w:val="20"/>
          <w:szCs w:val="20"/>
        </w:rPr>
      </w:pPr>
      <w:r w:rsidRPr="0048211E">
        <w:rPr>
          <w:rFonts w:ascii="Arial" w:hAnsi="Arial" w:cs="Arial"/>
          <w:sz w:val="20"/>
          <w:szCs w:val="20"/>
        </w:rPr>
        <w:t>Celková suma schválených SŽP za ERDF v roku 2012 predstavovala sumu za EÚ zdroje a zdroje ŠR na spolufinancovanie 52 414 960,57 EUR, z toho 46 118 995,51 EUR zo zdrojov EÚ a 6</w:t>
      </w:r>
      <w:r w:rsidR="007C084C">
        <w:rPr>
          <w:rFonts w:ascii="Arial" w:hAnsi="Arial" w:cs="Arial"/>
          <w:sz w:val="20"/>
          <w:szCs w:val="20"/>
        </w:rPr>
        <w:t> </w:t>
      </w:r>
      <w:r w:rsidRPr="0048211E">
        <w:rPr>
          <w:rFonts w:ascii="Arial" w:hAnsi="Arial" w:cs="Arial"/>
          <w:sz w:val="20"/>
          <w:szCs w:val="20"/>
        </w:rPr>
        <w:t>295</w:t>
      </w:r>
      <w:r w:rsidR="007C084C">
        <w:rPr>
          <w:rFonts w:ascii="Arial" w:hAnsi="Arial" w:cs="Arial"/>
          <w:sz w:val="20"/>
          <w:szCs w:val="20"/>
        </w:rPr>
        <w:t> </w:t>
      </w:r>
      <w:r w:rsidRPr="0048211E">
        <w:rPr>
          <w:rFonts w:ascii="Arial" w:hAnsi="Arial" w:cs="Arial"/>
          <w:sz w:val="20"/>
          <w:szCs w:val="20"/>
        </w:rPr>
        <w:t>965,06</w:t>
      </w:r>
      <w:r w:rsidR="007C084C">
        <w:rPr>
          <w:rFonts w:ascii="Arial" w:hAnsi="Arial" w:cs="Arial"/>
          <w:sz w:val="20"/>
          <w:szCs w:val="20"/>
        </w:rPr>
        <w:t> </w:t>
      </w:r>
      <w:r w:rsidRPr="0048211E">
        <w:rPr>
          <w:rFonts w:ascii="Arial" w:hAnsi="Arial" w:cs="Arial"/>
          <w:sz w:val="20"/>
          <w:szCs w:val="20"/>
        </w:rPr>
        <w:t xml:space="preserve">EUR zo zdrojov ŠR. </w:t>
      </w:r>
    </w:p>
    <w:p w:rsidR="003F446D" w:rsidRDefault="003F446D" w:rsidP="00507035">
      <w:pPr>
        <w:spacing w:before="120" w:after="120" w:line="360" w:lineRule="auto"/>
        <w:jc w:val="both"/>
        <w:rPr>
          <w:rFonts w:ascii="Arial" w:hAnsi="Arial" w:cs="Arial"/>
          <w:sz w:val="20"/>
          <w:szCs w:val="20"/>
        </w:rPr>
      </w:pPr>
      <w:r w:rsidRPr="0048211E">
        <w:rPr>
          <w:rFonts w:ascii="Arial" w:hAnsi="Arial" w:cs="Arial"/>
          <w:sz w:val="20"/>
          <w:szCs w:val="20"/>
        </w:rPr>
        <w:t>Celková suma schválených SŽP za KF v roku 2012 predstavovala sumu za EÚ zdroje a zdroje ŠR na spolufinancovanie 237 578 037,32 EUR, z toho 207 273 419,48 EUR zo zdrojov EÚ a 30 304 617,84</w:t>
      </w:r>
      <w:r w:rsidR="007C084C">
        <w:rPr>
          <w:rFonts w:ascii="Arial" w:hAnsi="Arial" w:cs="Arial"/>
          <w:sz w:val="20"/>
          <w:szCs w:val="20"/>
        </w:rPr>
        <w:t> </w:t>
      </w:r>
      <w:r w:rsidRPr="0048211E">
        <w:rPr>
          <w:rFonts w:ascii="Arial" w:hAnsi="Arial" w:cs="Arial"/>
          <w:sz w:val="20"/>
          <w:szCs w:val="20"/>
        </w:rPr>
        <w:t xml:space="preserve">EUR zo zdrojov ŠR. </w:t>
      </w:r>
    </w:p>
    <w:p w:rsidR="003F446D" w:rsidRPr="007C084C" w:rsidRDefault="00036C22" w:rsidP="001540E7">
      <w:pPr>
        <w:numPr>
          <w:ilvl w:val="0"/>
          <w:numId w:val="43"/>
        </w:numPr>
        <w:spacing w:before="120" w:after="120" w:line="360" w:lineRule="auto"/>
        <w:jc w:val="both"/>
        <w:rPr>
          <w:rFonts w:ascii="Arial" w:hAnsi="Arial" w:cs="Arial"/>
          <w:b/>
          <w:sz w:val="20"/>
          <w:szCs w:val="20"/>
          <w:u w:val="single"/>
        </w:rPr>
      </w:pPr>
      <w:r>
        <w:rPr>
          <w:rFonts w:ascii="Arial" w:hAnsi="Arial" w:cs="Arial"/>
          <w:b/>
          <w:sz w:val="20"/>
          <w:szCs w:val="20"/>
          <w:u w:val="single"/>
        </w:rPr>
        <w:tab/>
      </w:r>
      <w:r w:rsidR="003F446D" w:rsidRPr="007C084C">
        <w:rPr>
          <w:rFonts w:ascii="Arial" w:hAnsi="Arial" w:cs="Arial"/>
          <w:b/>
          <w:sz w:val="20"/>
          <w:szCs w:val="20"/>
          <w:u w:val="single"/>
        </w:rPr>
        <w:t>Stav kumulatívneho čerpania ŠF a ŠR od začiatku programového obdobia</w:t>
      </w:r>
    </w:p>
    <w:p w:rsidR="003F446D" w:rsidRPr="003F446D" w:rsidRDefault="003F446D" w:rsidP="00507035">
      <w:pPr>
        <w:spacing w:before="120" w:after="120" w:line="360" w:lineRule="auto"/>
        <w:jc w:val="both"/>
        <w:rPr>
          <w:rFonts w:ascii="Arial" w:hAnsi="Arial" w:cs="Arial"/>
          <w:sz w:val="20"/>
          <w:szCs w:val="20"/>
        </w:rPr>
      </w:pPr>
      <w:r w:rsidRPr="007C084C">
        <w:rPr>
          <w:rFonts w:ascii="Arial" w:hAnsi="Arial" w:cs="Arial"/>
          <w:sz w:val="20"/>
          <w:szCs w:val="20"/>
        </w:rPr>
        <w:t>Celková suma schválených SŽP k 31.12.2012 predstavuje sumu  za EÚ zdroje a  zdroje ŠR 686 447 172,77 EUR, z toho 599 103 101,56 EUR zo zdrojov EÚ a 87 344 071,21 EUR zo zdrojov ŠR na spolufinancovanie.</w:t>
      </w:r>
    </w:p>
    <w:p w:rsidR="003F446D" w:rsidRPr="00036C22" w:rsidRDefault="003F446D" w:rsidP="00507035">
      <w:pPr>
        <w:spacing w:before="120" w:after="120" w:line="360" w:lineRule="auto"/>
        <w:jc w:val="both"/>
        <w:rPr>
          <w:rFonts w:ascii="Arial" w:hAnsi="Arial" w:cs="Arial"/>
          <w:sz w:val="20"/>
          <w:szCs w:val="20"/>
        </w:rPr>
      </w:pPr>
      <w:r w:rsidRPr="00036C22">
        <w:rPr>
          <w:rFonts w:ascii="Arial" w:hAnsi="Arial" w:cs="Arial"/>
          <w:sz w:val="20"/>
          <w:szCs w:val="20"/>
        </w:rPr>
        <w:t xml:space="preserve">Z toho za projekty ERDF </w:t>
      </w:r>
      <w:r w:rsidRPr="00036C22">
        <w:rPr>
          <w:rFonts w:ascii="Arial" w:hAnsi="Arial" w:cs="Arial"/>
          <w:bCs/>
          <w:sz w:val="20"/>
          <w:szCs w:val="20"/>
        </w:rPr>
        <w:t>sumu</w:t>
      </w:r>
      <w:r w:rsidRPr="00036C22">
        <w:rPr>
          <w:rFonts w:ascii="Arial" w:hAnsi="Arial" w:cs="Arial"/>
          <w:sz w:val="20"/>
          <w:szCs w:val="20"/>
        </w:rPr>
        <w:t xml:space="preserve"> za EÚ zdroje a  zdroje ŠR 148 756 283,74 EUR, z toho 129 945 357,29 EUR zo zdrojov ERDF a 18 810 926,45 EUR zo zdrojov ŠR na spolufinancovanie.</w:t>
      </w:r>
    </w:p>
    <w:p w:rsidR="003F446D" w:rsidRPr="003F446D" w:rsidRDefault="003F446D" w:rsidP="00507035">
      <w:pPr>
        <w:spacing w:before="120" w:after="120" w:line="360" w:lineRule="auto"/>
        <w:jc w:val="both"/>
        <w:rPr>
          <w:rFonts w:ascii="Arial" w:hAnsi="Arial" w:cs="Arial"/>
          <w:sz w:val="20"/>
          <w:szCs w:val="20"/>
        </w:rPr>
      </w:pPr>
      <w:r w:rsidRPr="0039268C">
        <w:rPr>
          <w:rFonts w:ascii="Arial" w:hAnsi="Arial" w:cs="Arial"/>
          <w:sz w:val="20"/>
          <w:szCs w:val="20"/>
        </w:rPr>
        <w:t>Za projekty KF</w:t>
      </w:r>
      <w:r w:rsidRPr="0039268C">
        <w:rPr>
          <w:rFonts w:ascii="Arial" w:hAnsi="Arial" w:cs="Arial"/>
          <w:bCs/>
          <w:sz w:val="20"/>
          <w:szCs w:val="20"/>
        </w:rPr>
        <w:t xml:space="preserve"> </w:t>
      </w:r>
      <w:r w:rsidRPr="0039268C">
        <w:rPr>
          <w:rFonts w:ascii="Arial" w:hAnsi="Arial" w:cs="Arial"/>
          <w:sz w:val="20"/>
          <w:szCs w:val="20"/>
        </w:rPr>
        <w:t xml:space="preserve">bola schválená suma </w:t>
      </w:r>
      <w:r w:rsidRPr="0039268C">
        <w:rPr>
          <w:rFonts w:ascii="Arial" w:hAnsi="Arial" w:cs="Arial"/>
          <w:bCs/>
          <w:sz w:val="20"/>
          <w:szCs w:val="20"/>
        </w:rPr>
        <w:t>za EÚ zdroje a zdroje ŠR 537 690 889,03 EUR, z toho 469 157 744,27 EUR zo zdrojov KF a 68 533 144,76 EUR zo zdrojov ŠR na spolufinancovanie.</w:t>
      </w:r>
    </w:p>
    <w:p w:rsidR="00593253" w:rsidRDefault="00593253">
      <w:pPr>
        <w:rPr>
          <w:rFonts w:ascii="Arial" w:hAnsi="Arial" w:cs="Arial"/>
          <w:b/>
          <w:bCs/>
          <w:i/>
          <w:color w:val="000000"/>
          <w:sz w:val="20"/>
          <w:szCs w:val="20"/>
        </w:rPr>
      </w:pPr>
      <w:r>
        <w:rPr>
          <w:rFonts w:ascii="Arial" w:hAnsi="Arial" w:cs="Arial"/>
          <w:b/>
          <w:bCs/>
          <w:i/>
          <w:color w:val="000000"/>
          <w:sz w:val="20"/>
          <w:szCs w:val="20"/>
        </w:rPr>
        <w:br w:type="page"/>
      </w:r>
    </w:p>
    <w:p w:rsidR="003F446D" w:rsidRPr="0039268C" w:rsidRDefault="003F446D" w:rsidP="00507035">
      <w:pPr>
        <w:spacing w:before="120" w:after="120" w:line="360" w:lineRule="auto"/>
        <w:jc w:val="both"/>
        <w:rPr>
          <w:rFonts w:ascii="Arial" w:hAnsi="Arial" w:cs="Arial"/>
          <w:b/>
          <w:bCs/>
          <w:i/>
          <w:color w:val="000000"/>
          <w:sz w:val="20"/>
          <w:szCs w:val="20"/>
        </w:rPr>
      </w:pPr>
      <w:r w:rsidRPr="0039268C">
        <w:rPr>
          <w:rFonts w:ascii="Arial" w:hAnsi="Arial" w:cs="Arial"/>
          <w:b/>
          <w:bCs/>
          <w:i/>
          <w:color w:val="000000"/>
          <w:sz w:val="20"/>
          <w:szCs w:val="20"/>
        </w:rPr>
        <w:t xml:space="preserve">Prostriedky poskytnuté prijímateľom na financovanie projektov </w:t>
      </w:r>
    </w:p>
    <w:p w:rsidR="003F446D" w:rsidRPr="007C084C" w:rsidRDefault="003F446D" w:rsidP="00507035">
      <w:pPr>
        <w:spacing w:before="120" w:after="120" w:line="360" w:lineRule="auto"/>
        <w:jc w:val="both"/>
        <w:rPr>
          <w:rFonts w:ascii="Arial" w:hAnsi="Arial" w:cs="Arial"/>
          <w:sz w:val="20"/>
          <w:szCs w:val="20"/>
        </w:rPr>
      </w:pPr>
      <w:r w:rsidRPr="007C084C">
        <w:rPr>
          <w:rFonts w:ascii="Arial" w:hAnsi="Arial" w:cs="Arial"/>
          <w:sz w:val="20"/>
          <w:szCs w:val="20"/>
        </w:rPr>
        <w:t>Na financovanie projektov sa prijímateľom okrem refundovaných prostriedkov za realizované a schválené oprávnené výdavky poskytuje aj zálohové financovanie zo zdrojov štátneho rozpočtu (t.j. zálohové platby alebo predfinancovanie). K 31.12.2012 je na úrovni prijímateľov poskytnutých a k tomuto dátumu nezúčtovaných celkom 51 553 125,20 EUR (45 263 449,97 EUR za zdroj EÚ a 6</w:t>
      </w:r>
      <w:r w:rsidR="007C084C">
        <w:rPr>
          <w:rFonts w:ascii="Arial" w:hAnsi="Arial" w:cs="Arial"/>
          <w:sz w:val="20"/>
          <w:szCs w:val="20"/>
        </w:rPr>
        <w:t> </w:t>
      </w:r>
      <w:r w:rsidRPr="007C084C">
        <w:rPr>
          <w:rFonts w:ascii="Arial" w:hAnsi="Arial" w:cs="Arial"/>
          <w:sz w:val="20"/>
          <w:szCs w:val="20"/>
        </w:rPr>
        <w:t>289</w:t>
      </w:r>
      <w:r w:rsidR="007C084C">
        <w:rPr>
          <w:rFonts w:ascii="Arial" w:hAnsi="Arial" w:cs="Arial"/>
          <w:sz w:val="20"/>
          <w:szCs w:val="20"/>
        </w:rPr>
        <w:t> </w:t>
      </w:r>
      <w:r w:rsidRPr="007C084C">
        <w:rPr>
          <w:rFonts w:ascii="Arial" w:hAnsi="Arial" w:cs="Arial"/>
          <w:sz w:val="20"/>
          <w:szCs w:val="20"/>
        </w:rPr>
        <w:t>675,23 EUR za zdroj spolufinancovania zo štátneho rozpočtu). Celkové čerpanie OP Životné prostredie k 31.12.2012 na úrovni platobnej jednotky, t.j. súčet výdavkov schválených certifikačným orgánom v súhrnných žiadostiach o platbu znížených o nezrovnalosti vykázané v žiadostiach o platbu na EK a prostriedkov poskytnutých prijímateľom, ktoré neboli k tomuto termínu zúčtované, predstavuje sumu 698 690 210,51 EUR. Z toho za zdroj EÚ sumu 610 076 937,37 EUR a za zdroj spolufinancovania zo štátneho rozpočtu sumu 88 613 273,14 EUR. Podiel celkového čerpania za zdroj EÚ na úrovni platobnej jednotky na celkovom záväzku 2007 - 2013 predstavuje za OP Životné prostredie 33,52 %.</w:t>
      </w:r>
    </w:p>
    <w:p w:rsidR="003F446D" w:rsidRPr="007C084C" w:rsidRDefault="00A85679" w:rsidP="001540E7">
      <w:pPr>
        <w:numPr>
          <w:ilvl w:val="0"/>
          <w:numId w:val="43"/>
        </w:numPr>
        <w:spacing w:before="120" w:after="120" w:line="360" w:lineRule="auto"/>
        <w:jc w:val="both"/>
        <w:rPr>
          <w:rFonts w:ascii="Arial" w:hAnsi="Arial" w:cs="Arial"/>
          <w:b/>
          <w:bCs/>
          <w:color w:val="000000"/>
          <w:sz w:val="20"/>
          <w:szCs w:val="20"/>
          <w:u w:val="single"/>
        </w:rPr>
      </w:pPr>
      <w:r>
        <w:rPr>
          <w:rFonts w:ascii="Arial" w:hAnsi="Arial" w:cs="Arial"/>
          <w:b/>
          <w:bCs/>
          <w:color w:val="000000"/>
          <w:sz w:val="20"/>
          <w:szCs w:val="20"/>
          <w:u w:val="single"/>
        </w:rPr>
        <w:tab/>
      </w:r>
      <w:r w:rsidR="003F446D" w:rsidRPr="007C084C">
        <w:rPr>
          <w:rFonts w:ascii="Arial" w:hAnsi="Arial" w:cs="Arial"/>
          <w:b/>
          <w:bCs/>
          <w:color w:val="000000"/>
          <w:sz w:val="20"/>
          <w:szCs w:val="20"/>
          <w:u w:val="single"/>
        </w:rPr>
        <w:t>Informácie týkajúce sa objemu finančných prostriedkov schválených v SŽP za zdroj pro-rata v rámci multicieľových OP</w:t>
      </w:r>
    </w:p>
    <w:p w:rsidR="003F446D" w:rsidRPr="007C084C" w:rsidRDefault="003F446D" w:rsidP="00507035">
      <w:pPr>
        <w:spacing w:before="120" w:after="120" w:line="360" w:lineRule="auto"/>
        <w:jc w:val="both"/>
        <w:rPr>
          <w:rFonts w:ascii="Arial" w:hAnsi="Arial" w:cs="Arial"/>
          <w:b/>
          <w:bCs/>
          <w:color w:val="000000"/>
          <w:sz w:val="20"/>
          <w:szCs w:val="20"/>
          <w:u w:val="single"/>
        </w:rPr>
      </w:pPr>
      <w:r w:rsidRPr="007C084C">
        <w:rPr>
          <w:rFonts w:ascii="Arial" w:hAnsi="Arial" w:cs="Arial"/>
          <w:bCs/>
          <w:color w:val="000000"/>
          <w:sz w:val="20"/>
          <w:szCs w:val="20"/>
        </w:rPr>
        <w:t>Je irelevantné pre OP ŽP.</w:t>
      </w:r>
      <w:r w:rsidRPr="007C084C">
        <w:rPr>
          <w:rFonts w:ascii="Arial" w:hAnsi="Arial" w:cs="Arial"/>
          <w:b/>
          <w:bCs/>
          <w:color w:val="000000"/>
          <w:sz w:val="20"/>
          <w:szCs w:val="20"/>
          <w:u w:val="single"/>
        </w:rPr>
        <w:t xml:space="preserve"> </w:t>
      </w:r>
    </w:p>
    <w:p w:rsidR="003F446D" w:rsidRPr="007C084C" w:rsidRDefault="00171C80" w:rsidP="001540E7">
      <w:pPr>
        <w:numPr>
          <w:ilvl w:val="0"/>
          <w:numId w:val="43"/>
        </w:numPr>
        <w:spacing w:before="120" w:after="120" w:line="360" w:lineRule="auto"/>
        <w:jc w:val="both"/>
        <w:rPr>
          <w:rFonts w:ascii="Arial" w:hAnsi="Arial" w:cs="Arial"/>
          <w:b/>
          <w:bCs/>
          <w:color w:val="000000"/>
          <w:sz w:val="20"/>
          <w:szCs w:val="20"/>
          <w:u w:val="single"/>
        </w:rPr>
      </w:pPr>
      <w:r>
        <w:rPr>
          <w:rFonts w:ascii="Arial" w:hAnsi="Arial" w:cs="Arial"/>
          <w:b/>
          <w:bCs/>
          <w:color w:val="000000"/>
          <w:sz w:val="20"/>
          <w:szCs w:val="20"/>
          <w:u w:val="single"/>
        </w:rPr>
        <w:tab/>
      </w:r>
      <w:r w:rsidR="003F446D" w:rsidRPr="007C084C">
        <w:rPr>
          <w:rFonts w:ascii="Arial" w:hAnsi="Arial" w:cs="Arial"/>
          <w:b/>
          <w:bCs/>
          <w:color w:val="000000"/>
          <w:sz w:val="20"/>
          <w:szCs w:val="20"/>
          <w:u w:val="single"/>
        </w:rPr>
        <w:t xml:space="preserve">Čerpanie záväzku EÚ, plnenie pravidla </w:t>
      </w:r>
      <w:r w:rsidR="00B430CA">
        <w:rPr>
          <w:rFonts w:ascii="Arial" w:hAnsi="Arial" w:cs="Arial"/>
          <w:b/>
          <w:bCs/>
          <w:color w:val="000000"/>
          <w:sz w:val="20"/>
          <w:szCs w:val="20"/>
          <w:u w:val="single"/>
        </w:rPr>
        <w:t>n</w:t>
      </w:r>
      <w:r w:rsidR="003F446D" w:rsidRPr="007C084C">
        <w:rPr>
          <w:rFonts w:ascii="Arial" w:hAnsi="Arial" w:cs="Arial"/>
          <w:b/>
          <w:bCs/>
          <w:color w:val="000000"/>
          <w:sz w:val="20"/>
          <w:szCs w:val="20"/>
          <w:u w:val="single"/>
        </w:rPr>
        <w:t xml:space="preserve">+3, resp. </w:t>
      </w:r>
      <w:r w:rsidR="00B430CA">
        <w:rPr>
          <w:rFonts w:ascii="Arial" w:hAnsi="Arial" w:cs="Arial"/>
          <w:b/>
          <w:bCs/>
          <w:color w:val="000000"/>
          <w:sz w:val="20"/>
          <w:szCs w:val="20"/>
          <w:u w:val="single"/>
        </w:rPr>
        <w:t>n</w:t>
      </w:r>
      <w:r w:rsidR="003F446D" w:rsidRPr="007C084C">
        <w:rPr>
          <w:rFonts w:ascii="Arial" w:hAnsi="Arial" w:cs="Arial"/>
          <w:b/>
          <w:bCs/>
          <w:color w:val="000000"/>
          <w:sz w:val="20"/>
          <w:szCs w:val="20"/>
          <w:u w:val="single"/>
        </w:rPr>
        <w:t>+2, možné riziká</w:t>
      </w:r>
    </w:p>
    <w:p w:rsidR="003F446D" w:rsidRPr="007C084C" w:rsidRDefault="003F446D" w:rsidP="00507035">
      <w:pPr>
        <w:spacing w:before="120" w:after="120" w:line="360" w:lineRule="auto"/>
        <w:jc w:val="both"/>
        <w:rPr>
          <w:rFonts w:ascii="Arial" w:hAnsi="Arial" w:cs="Arial"/>
          <w:bCs/>
          <w:sz w:val="20"/>
          <w:szCs w:val="20"/>
        </w:rPr>
      </w:pPr>
      <w:r w:rsidRPr="007C084C">
        <w:rPr>
          <w:rFonts w:ascii="Arial" w:hAnsi="Arial" w:cs="Arial"/>
          <w:sz w:val="20"/>
          <w:szCs w:val="20"/>
        </w:rPr>
        <w:t xml:space="preserve">Čerpanie prostriedkov ERDF (po zohľadnení nezrovnalostí) </w:t>
      </w:r>
      <w:r w:rsidRPr="007C084C">
        <w:rPr>
          <w:rFonts w:ascii="Arial" w:hAnsi="Arial" w:cs="Arial"/>
          <w:bCs/>
          <w:sz w:val="20"/>
          <w:szCs w:val="20"/>
        </w:rPr>
        <w:t>k 31.12.2012</w:t>
      </w:r>
      <w:r w:rsidRPr="007C084C">
        <w:rPr>
          <w:rFonts w:ascii="Arial" w:hAnsi="Arial" w:cs="Arial"/>
          <w:sz w:val="20"/>
          <w:szCs w:val="20"/>
        </w:rPr>
        <w:t xml:space="preserve"> vo výške 121 837 784,23</w:t>
      </w:r>
      <w:r w:rsidR="007C084C">
        <w:rPr>
          <w:rFonts w:ascii="Arial" w:hAnsi="Arial" w:cs="Arial"/>
          <w:sz w:val="20"/>
          <w:szCs w:val="20"/>
        </w:rPr>
        <w:t> </w:t>
      </w:r>
      <w:r w:rsidRPr="007C084C">
        <w:rPr>
          <w:rFonts w:ascii="Arial" w:hAnsi="Arial" w:cs="Arial"/>
          <w:sz w:val="20"/>
          <w:szCs w:val="20"/>
        </w:rPr>
        <w:t>EUR v zmysle pravidla n+3 voči záväzkom 2008, 2009 a 2010 predstavuje 100</w:t>
      </w:r>
      <w:r w:rsidR="00B430CA">
        <w:rPr>
          <w:rFonts w:ascii="Arial" w:hAnsi="Arial" w:cs="Arial"/>
          <w:sz w:val="20"/>
          <w:szCs w:val="20"/>
        </w:rPr>
        <w:t xml:space="preserve"> </w:t>
      </w:r>
      <w:r w:rsidRPr="007C084C">
        <w:rPr>
          <w:rFonts w:ascii="Arial" w:hAnsi="Arial" w:cs="Arial"/>
          <w:sz w:val="20"/>
          <w:szCs w:val="20"/>
        </w:rPr>
        <w:t>%, pričom sa už čerpá záväzok 2011 na úrovni 82,44 %</w:t>
      </w:r>
      <w:r w:rsidRPr="007C084C">
        <w:rPr>
          <w:rFonts w:ascii="Arial" w:hAnsi="Arial" w:cs="Arial"/>
          <w:bCs/>
          <w:sz w:val="20"/>
          <w:szCs w:val="20"/>
        </w:rPr>
        <w:t>. Podiel čerpania prostriedkov ERDF k  31.12.2012 na celkovom záväzku 2007 - 2013 za ERDF predstavuje 48,59</w:t>
      </w:r>
      <w:r w:rsidR="00B430CA">
        <w:rPr>
          <w:rFonts w:ascii="Arial" w:hAnsi="Arial" w:cs="Arial"/>
          <w:bCs/>
          <w:sz w:val="20"/>
          <w:szCs w:val="20"/>
        </w:rPr>
        <w:t xml:space="preserve"> </w:t>
      </w:r>
      <w:r w:rsidRPr="007C084C">
        <w:rPr>
          <w:rFonts w:ascii="Arial" w:hAnsi="Arial" w:cs="Arial"/>
          <w:bCs/>
          <w:sz w:val="20"/>
          <w:szCs w:val="20"/>
        </w:rPr>
        <w:t xml:space="preserve">%. </w:t>
      </w:r>
    </w:p>
    <w:p w:rsidR="003F446D" w:rsidRPr="007C084C" w:rsidRDefault="003F446D" w:rsidP="00507035">
      <w:pPr>
        <w:autoSpaceDE w:val="0"/>
        <w:autoSpaceDN w:val="0"/>
        <w:adjustRightInd w:val="0"/>
        <w:spacing w:before="120" w:after="120" w:line="360" w:lineRule="auto"/>
        <w:jc w:val="both"/>
        <w:rPr>
          <w:rFonts w:ascii="Arial" w:hAnsi="Arial" w:cs="Arial"/>
          <w:bCs/>
          <w:sz w:val="20"/>
          <w:szCs w:val="20"/>
        </w:rPr>
      </w:pPr>
      <w:r w:rsidRPr="007C084C">
        <w:rPr>
          <w:rFonts w:ascii="Arial" w:hAnsi="Arial" w:cs="Arial"/>
          <w:sz w:val="20"/>
          <w:szCs w:val="20"/>
        </w:rPr>
        <w:t xml:space="preserve">Čerpanie prostriedkov KF (po zohľadnení nezrovnalostí) </w:t>
      </w:r>
      <w:r w:rsidRPr="007C084C">
        <w:rPr>
          <w:rFonts w:ascii="Arial" w:hAnsi="Arial" w:cs="Arial"/>
          <w:bCs/>
          <w:sz w:val="20"/>
          <w:szCs w:val="20"/>
        </w:rPr>
        <w:t>k 31.12.2012</w:t>
      </w:r>
      <w:r w:rsidRPr="007C084C">
        <w:rPr>
          <w:rFonts w:ascii="Arial" w:hAnsi="Arial" w:cs="Arial"/>
          <w:sz w:val="20"/>
          <w:szCs w:val="20"/>
        </w:rPr>
        <w:t xml:space="preserve"> vo výške </w:t>
      </w:r>
      <w:r w:rsidRPr="007C084C">
        <w:rPr>
          <w:rFonts w:ascii="Arial" w:hAnsi="Arial" w:cs="Arial"/>
          <w:bCs/>
          <w:sz w:val="20"/>
          <w:szCs w:val="20"/>
        </w:rPr>
        <w:t>442 975 703,17</w:t>
      </w:r>
      <w:r w:rsidRPr="007C084C">
        <w:rPr>
          <w:rFonts w:ascii="Arial" w:hAnsi="Arial" w:cs="Arial"/>
          <w:sz w:val="20"/>
          <w:szCs w:val="20"/>
        </w:rPr>
        <w:t xml:space="preserve"> EUR v zmysle pravidla n+3 voči záväzkom 2008 a 2009 predstavuje 100</w:t>
      </w:r>
      <w:r w:rsidR="00B430CA">
        <w:rPr>
          <w:rFonts w:ascii="Arial" w:hAnsi="Arial" w:cs="Arial"/>
          <w:sz w:val="20"/>
          <w:szCs w:val="20"/>
        </w:rPr>
        <w:t xml:space="preserve"> </w:t>
      </w:r>
      <w:r w:rsidRPr="007C084C">
        <w:rPr>
          <w:rFonts w:ascii="Arial" w:hAnsi="Arial" w:cs="Arial"/>
          <w:sz w:val="20"/>
          <w:szCs w:val="20"/>
        </w:rPr>
        <w:t>%, pričom sa už čerpá záväzok 2010 na úrovni 81,65</w:t>
      </w:r>
      <w:r w:rsidR="00B430CA">
        <w:rPr>
          <w:rFonts w:ascii="Arial" w:hAnsi="Arial" w:cs="Arial"/>
          <w:sz w:val="20"/>
          <w:szCs w:val="20"/>
        </w:rPr>
        <w:t xml:space="preserve"> </w:t>
      </w:r>
      <w:r w:rsidRPr="007C084C">
        <w:rPr>
          <w:rFonts w:ascii="Arial" w:hAnsi="Arial" w:cs="Arial"/>
          <w:sz w:val="20"/>
          <w:szCs w:val="20"/>
        </w:rPr>
        <w:t>%</w:t>
      </w:r>
      <w:r w:rsidRPr="007C084C">
        <w:rPr>
          <w:rFonts w:ascii="Arial" w:hAnsi="Arial" w:cs="Arial"/>
          <w:bCs/>
          <w:sz w:val="20"/>
          <w:szCs w:val="20"/>
        </w:rPr>
        <w:t>. Podiel čerpania prostriedkov KF k  31.12.2012 na celkovom záväzku 2007 - 2013 za KF predstavuje 28,23</w:t>
      </w:r>
      <w:r w:rsidR="00B430CA">
        <w:rPr>
          <w:rFonts w:ascii="Arial" w:hAnsi="Arial" w:cs="Arial"/>
          <w:bCs/>
          <w:sz w:val="20"/>
          <w:szCs w:val="20"/>
        </w:rPr>
        <w:t xml:space="preserve"> </w:t>
      </w:r>
      <w:r w:rsidRPr="007C084C">
        <w:rPr>
          <w:rFonts w:ascii="Arial" w:hAnsi="Arial" w:cs="Arial"/>
          <w:bCs/>
          <w:sz w:val="20"/>
          <w:szCs w:val="20"/>
        </w:rPr>
        <w:t>%.</w:t>
      </w:r>
    </w:p>
    <w:p w:rsidR="003F446D" w:rsidRPr="007C084C" w:rsidRDefault="003F446D" w:rsidP="00507035">
      <w:pPr>
        <w:autoSpaceDE w:val="0"/>
        <w:autoSpaceDN w:val="0"/>
        <w:adjustRightInd w:val="0"/>
        <w:spacing w:before="120" w:after="120" w:line="360" w:lineRule="auto"/>
        <w:jc w:val="both"/>
        <w:rPr>
          <w:rFonts w:ascii="Arial" w:hAnsi="Arial" w:cs="Arial"/>
          <w:sz w:val="20"/>
          <w:szCs w:val="20"/>
        </w:rPr>
      </w:pPr>
      <w:r w:rsidRPr="007C084C">
        <w:rPr>
          <w:rFonts w:ascii="Arial" w:hAnsi="Arial" w:cs="Arial"/>
          <w:sz w:val="20"/>
          <w:szCs w:val="20"/>
        </w:rPr>
        <w:t xml:space="preserve">Celkové čerpanie prostriedkov EÚ (po zohľadnení nezrovnalostí) </w:t>
      </w:r>
      <w:r w:rsidRPr="007C084C">
        <w:rPr>
          <w:rFonts w:ascii="Arial" w:hAnsi="Arial" w:cs="Arial"/>
          <w:bCs/>
          <w:sz w:val="20"/>
          <w:szCs w:val="20"/>
        </w:rPr>
        <w:t>k  31.12.2012</w:t>
      </w:r>
      <w:r w:rsidRPr="007C084C">
        <w:rPr>
          <w:rFonts w:ascii="Arial" w:hAnsi="Arial" w:cs="Arial"/>
          <w:sz w:val="20"/>
          <w:szCs w:val="20"/>
        </w:rPr>
        <w:t xml:space="preserve"> vo výške 564 813 484,40 EUR v zmysle pravidla n+3 voči záväzkom 2008 a 2009 predstavuje 100%, pričom sa už čerpá záväzok 2010 na úrovni 83,54%</w:t>
      </w:r>
      <w:r w:rsidRPr="007C084C">
        <w:rPr>
          <w:rFonts w:ascii="Arial" w:hAnsi="Arial" w:cs="Arial"/>
          <w:bCs/>
          <w:sz w:val="20"/>
          <w:szCs w:val="20"/>
        </w:rPr>
        <w:t>. Podiel čerpania prostriedkov EÚ k  31.12.2012 na celkovom záväzku 2007 - 2013 predstavuje za OP Životné prostredie 31,03 %.</w:t>
      </w:r>
    </w:p>
    <w:p w:rsidR="003F446D" w:rsidRPr="007C084C" w:rsidRDefault="003F446D" w:rsidP="00507035">
      <w:pPr>
        <w:spacing w:before="120" w:after="120" w:line="360" w:lineRule="auto"/>
        <w:jc w:val="both"/>
        <w:rPr>
          <w:rFonts w:ascii="Arial" w:hAnsi="Arial" w:cs="Arial"/>
          <w:sz w:val="20"/>
          <w:szCs w:val="20"/>
        </w:rPr>
      </w:pPr>
      <w:r w:rsidRPr="007C084C">
        <w:rPr>
          <w:rFonts w:ascii="Arial" w:hAnsi="Arial" w:cs="Arial"/>
          <w:sz w:val="20"/>
          <w:szCs w:val="20"/>
        </w:rPr>
        <w:t xml:space="preserve">Na základe čerpania k 31.12.2012 je potrebné v zmysle pravidla n+3/n+2 do konca roka 2013 predložiť na certifikačný orgán, schváliť a deklarovať na EK v rámci žiadostí o platbu oprávnené výdavky za zdroj EÚ vo výške najmenej  304 047 063,63 EUR (7 492 946,29 EUR za ERDF a 296 554 117,34 EUR za KF). </w:t>
      </w:r>
    </w:p>
    <w:p w:rsidR="00593253" w:rsidRDefault="00593253">
      <w:pPr>
        <w:rPr>
          <w:rFonts w:ascii="Arial" w:hAnsi="Arial" w:cs="Arial"/>
          <w:b/>
          <w:bCs/>
          <w:color w:val="000000"/>
          <w:sz w:val="20"/>
          <w:szCs w:val="20"/>
          <w:u w:val="single"/>
        </w:rPr>
      </w:pPr>
      <w:r>
        <w:rPr>
          <w:rFonts w:ascii="Arial" w:hAnsi="Arial" w:cs="Arial"/>
          <w:b/>
          <w:bCs/>
          <w:color w:val="000000"/>
          <w:sz w:val="20"/>
          <w:szCs w:val="20"/>
          <w:u w:val="single"/>
        </w:rPr>
        <w:br w:type="page"/>
      </w:r>
    </w:p>
    <w:p w:rsidR="003F446D" w:rsidRPr="007C084C" w:rsidRDefault="00171C80" w:rsidP="001540E7">
      <w:pPr>
        <w:numPr>
          <w:ilvl w:val="0"/>
          <w:numId w:val="43"/>
        </w:numPr>
        <w:spacing w:before="120" w:after="120" w:line="360" w:lineRule="auto"/>
        <w:jc w:val="both"/>
        <w:rPr>
          <w:rFonts w:ascii="Arial" w:hAnsi="Arial" w:cs="Arial"/>
          <w:b/>
          <w:bCs/>
          <w:color w:val="000000"/>
          <w:sz w:val="20"/>
          <w:szCs w:val="20"/>
          <w:u w:val="single"/>
        </w:rPr>
      </w:pPr>
      <w:r>
        <w:rPr>
          <w:rFonts w:ascii="Arial" w:hAnsi="Arial" w:cs="Arial"/>
          <w:b/>
          <w:bCs/>
          <w:color w:val="000000"/>
          <w:sz w:val="20"/>
          <w:szCs w:val="20"/>
          <w:u w:val="single"/>
        </w:rPr>
        <w:tab/>
      </w:r>
      <w:r w:rsidR="003F446D" w:rsidRPr="007C084C">
        <w:rPr>
          <w:rFonts w:ascii="Arial" w:hAnsi="Arial" w:cs="Arial"/>
          <w:b/>
          <w:bCs/>
          <w:color w:val="000000"/>
          <w:sz w:val="20"/>
          <w:szCs w:val="20"/>
          <w:u w:val="single"/>
        </w:rPr>
        <w:t>Priebežné žiadosti o platbu predložené Európskej komisii</w:t>
      </w:r>
    </w:p>
    <w:p w:rsidR="003F446D" w:rsidRPr="007C084C" w:rsidRDefault="003F446D" w:rsidP="00507035">
      <w:pPr>
        <w:spacing w:before="120" w:after="120" w:line="360" w:lineRule="auto"/>
        <w:jc w:val="both"/>
        <w:rPr>
          <w:rFonts w:ascii="Arial" w:hAnsi="Arial" w:cs="Arial"/>
          <w:sz w:val="20"/>
          <w:szCs w:val="20"/>
        </w:rPr>
      </w:pPr>
      <w:r w:rsidRPr="007C084C">
        <w:rPr>
          <w:rFonts w:ascii="Arial" w:hAnsi="Arial" w:cs="Arial"/>
          <w:sz w:val="20"/>
          <w:szCs w:val="20"/>
        </w:rPr>
        <w:t xml:space="preserve">V nadväznosti na riešenie problematiky prerušenia platieb zo strany EK v zmysle článku 91 nariadenia Rady (ES) 1083/2006 (od júla 2011) a následného spustenia procedúry vedúcej k pozastaveniu platieb v súlade s článkom 92 nariadenia Rady (ES) 1083/2006 (o ktorej EK informovala listom v decembri 2011 v tzv. „pre-suspension letter“), boli prvé žiadosti o platbu na EK v roku 2012 predložené koncom augusta a to v súlade s dohodou s EK v nadväznosti na avizované spustenie platieb, o ktorom EK </w:t>
      </w:r>
      <w:r w:rsidRPr="007C084C">
        <w:rPr>
          <w:rFonts w:ascii="Arial" w:hAnsi="Arial" w:cs="Arial"/>
          <w:bCs/>
          <w:spacing w:val="-4"/>
          <w:sz w:val="20"/>
          <w:szCs w:val="20"/>
        </w:rPr>
        <w:t>oficiálne informovala listom zo dňa 28.09.2012 (č. Ares(2012)1137472).</w:t>
      </w:r>
    </w:p>
    <w:p w:rsidR="003F446D" w:rsidRPr="007C084C" w:rsidRDefault="003F446D" w:rsidP="00507035">
      <w:pPr>
        <w:spacing w:before="120" w:after="120" w:line="360" w:lineRule="auto"/>
        <w:jc w:val="both"/>
        <w:rPr>
          <w:rFonts w:ascii="Arial" w:hAnsi="Arial" w:cs="Arial"/>
          <w:sz w:val="20"/>
          <w:szCs w:val="20"/>
        </w:rPr>
      </w:pPr>
      <w:r w:rsidRPr="007C084C">
        <w:rPr>
          <w:rFonts w:ascii="Arial" w:hAnsi="Arial" w:cs="Arial"/>
          <w:sz w:val="20"/>
          <w:szCs w:val="20"/>
        </w:rPr>
        <w:t xml:space="preserve">V roku 2012 predložil certifikačný orgán 6 priebežných žiadostí o platbu za OP ŽP v celkovej výške ERDF a KF 373 373 357,72 EUR, z toho 3 žiadosti za ERDF v celkovej výške 66 226 644,39 EUR  a 3 žiadosti za KF v celkovej výške 307 146 713,33 EUR. Výdavky deklarované na EK (ERDF+KF) k 31.12.2012 v celkovej výške 540 281 223,51 EUR predstavujú 29,69 % na záväzku 2007-2013.  </w:t>
      </w:r>
    </w:p>
    <w:p w:rsidR="003F446D" w:rsidRPr="007C084C" w:rsidRDefault="003F446D" w:rsidP="00507035">
      <w:pPr>
        <w:spacing w:before="120" w:after="120" w:line="360" w:lineRule="auto"/>
        <w:jc w:val="both"/>
        <w:rPr>
          <w:rFonts w:ascii="Arial" w:hAnsi="Arial" w:cs="Arial"/>
          <w:sz w:val="20"/>
          <w:szCs w:val="20"/>
        </w:rPr>
      </w:pPr>
      <w:r w:rsidRPr="007C084C">
        <w:rPr>
          <w:rFonts w:ascii="Arial" w:hAnsi="Arial" w:cs="Arial"/>
          <w:sz w:val="20"/>
          <w:szCs w:val="20"/>
        </w:rPr>
        <w:t xml:space="preserve">Percentuálny podiel výdavkov deklarovaných v ŽoP na EK k 31.12.2012 za ERDF vo výške 112 244 997,14 EUR na upravenom záväzku 2008, 2009 a 2010 predstavuje 100%, pričom na upravenom záväzku 2011 predstavujú deklarované výdavky za ERDF 59,96%. Výdavky deklarované na EK za ERDF k 31.12.2012 predstavujú 44,76 % na záväzku 2007-2013.  </w:t>
      </w:r>
    </w:p>
    <w:p w:rsidR="003F446D" w:rsidRPr="007C084C" w:rsidRDefault="003F446D" w:rsidP="00507035">
      <w:pPr>
        <w:spacing w:before="120" w:after="120" w:line="360" w:lineRule="auto"/>
        <w:jc w:val="both"/>
        <w:rPr>
          <w:rFonts w:ascii="Arial" w:hAnsi="Arial" w:cs="Arial"/>
          <w:sz w:val="20"/>
          <w:szCs w:val="20"/>
        </w:rPr>
      </w:pPr>
      <w:r w:rsidRPr="007C084C">
        <w:rPr>
          <w:rFonts w:ascii="Arial" w:hAnsi="Arial" w:cs="Arial"/>
          <w:sz w:val="20"/>
          <w:szCs w:val="20"/>
        </w:rPr>
        <w:t>Percentuálny podiel výdavkov deklarovaných v ŽoP na EK k 31.12.2012 za KF vo výške 428 036 226,37 EUR na upravenom záväzku 2008 a 2009 predstavuje 100%, pričom na upravenom záväzku 2010 predstavujú deklarované výdavky za KF 76,57%. Výdavky deklarované na EK za KF k 31.12.2012 predstavujú 27,28% na záväzku 2007-2013.</w:t>
      </w:r>
    </w:p>
    <w:p w:rsidR="003F446D" w:rsidRPr="007C084C" w:rsidRDefault="003F446D" w:rsidP="00507035">
      <w:pPr>
        <w:spacing w:before="120" w:after="120"/>
        <w:jc w:val="both"/>
        <w:rPr>
          <w:rFonts w:ascii="Arial" w:hAnsi="Arial" w:cs="Arial"/>
          <w:sz w:val="20"/>
          <w:szCs w:val="20"/>
        </w:rPr>
      </w:pPr>
    </w:p>
    <w:p w:rsidR="003F446D" w:rsidRPr="00330C33" w:rsidRDefault="00171C80" w:rsidP="001540E7">
      <w:pPr>
        <w:numPr>
          <w:ilvl w:val="0"/>
          <w:numId w:val="43"/>
        </w:numPr>
        <w:spacing w:before="120" w:after="120" w:line="360" w:lineRule="auto"/>
        <w:jc w:val="both"/>
        <w:rPr>
          <w:rFonts w:ascii="Arial" w:hAnsi="Arial" w:cs="Arial"/>
          <w:b/>
          <w:sz w:val="20"/>
          <w:szCs w:val="20"/>
          <w:u w:val="single"/>
        </w:rPr>
      </w:pPr>
      <w:r>
        <w:rPr>
          <w:rFonts w:ascii="Arial" w:hAnsi="Arial" w:cs="Arial"/>
          <w:b/>
          <w:sz w:val="20"/>
          <w:szCs w:val="20"/>
          <w:u w:val="single"/>
        </w:rPr>
        <w:tab/>
      </w:r>
      <w:r w:rsidR="003F446D" w:rsidRPr="00330C33">
        <w:rPr>
          <w:rFonts w:ascii="Arial" w:hAnsi="Arial" w:cs="Arial"/>
          <w:b/>
          <w:sz w:val="20"/>
          <w:szCs w:val="20"/>
          <w:u w:val="single"/>
        </w:rPr>
        <w:t>Platby prijaté z Európskej komisie</w:t>
      </w:r>
    </w:p>
    <w:p w:rsidR="003F446D" w:rsidRPr="00330C33" w:rsidRDefault="003F446D" w:rsidP="00507035">
      <w:pPr>
        <w:spacing w:before="120" w:after="120" w:line="360" w:lineRule="auto"/>
        <w:jc w:val="both"/>
        <w:rPr>
          <w:rFonts w:ascii="Arial" w:hAnsi="Arial" w:cs="Arial"/>
          <w:sz w:val="20"/>
          <w:szCs w:val="20"/>
        </w:rPr>
      </w:pPr>
      <w:r w:rsidRPr="00330C33">
        <w:rPr>
          <w:rFonts w:ascii="Arial" w:hAnsi="Arial" w:cs="Arial"/>
          <w:sz w:val="20"/>
          <w:szCs w:val="20"/>
        </w:rPr>
        <w:t>V roku 2012 zaslala EK na účet CO pre OP Životné prostredie celkovo 6 priebežných platieb v celkovej výške 401 174 395,37 EUR, z toho:</w:t>
      </w:r>
    </w:p>
    <w:p w:rsidR="003F446D" w:rsidRPr="00330C33" w:rsidRDefault="003F446D" w:rsidP="00507035">
      <w:pPr>
        <w:spacing w:before="120" w:after="120" w:line="360" w:lineRule="auto"/>
        <w:jc w:val="both"/>
        <w:rPr>
          <w:rFonts w:ascii="Arial" w:hAnsi="Arial" w:cs="Arial"/>
          <w:sz w:val="20"/>
          <w:szCs w:val="20"/>
        </w:rPr>
      </w:pPr>
      <w:r w:rsidRPr="00330C33">
        <w:rPr>
          <w:rFonts w:ascii="Arial" w:hAnsi="Arial" w:cs="Arial"/>
          <w:sz w:val="20"/>
          <w:szCs w:val="20"/>
        </w:rPr>
        <w:t>- 3 priebežné platby za ERDF v celkovej výške 85 365 675,78 EUR,</w:t>
      </w:r>
    </w:p>
    <w:p w:rsidR="003F446D" w:rsidRPr="00330C33" w:rsidRDefault="003F446D" w:rsidP="00507035">
      <w:pPr>
        <w:spacing w:before="120" w:after="120" w:line="360" w:lineRule="auto"/>
        <w:jc w:val="both"/>
        <w:rPr>
          <w:rFonts w:ascii="Arial" w:hAnsi="Arial" w:cs="Arial"/>
          <w:sz w:val="20"/>
          <w:szCs w:val="20"/>
        </w:rPr>
      </w:pPr>
      <w:r w:rsidRPr="00330C33">
        <w:rPr>
          <w:rFonts w:ascii="Arial" w:hAnsi="Arial" w:cs="Arial"/>
          <w:sz w:val="20"/>
          <w:szCs w:val="20"/>
        </w:rPr>
        <w:t>- 3 priebežné platby za KF v celkovej výške 315 808 719,59 EUR.</w:t>
      </w:r>
    </w:p>
    <w:p w:rsidR="003F446D" w:rsidRPr="00330C33" w:rsidRDefault="003F446D" w:rsidP="00507035">
      <w:pPr>
        <w:spacing w:before="120" w:after="120" w:line="360" w:lineRule="auto"/>
        <w:jc w:val="both"/>
        <w:rPr>
          <w:rFonts w:ascii="Arial" w:hAnsi="Arial" w:cs="Arial"/>
          <w:bCs/>
          <w:spacing w:val="-4"/>
          <w:sz w:val="20"/>
          <w:szCs w:val="20"/>
        </w:rPr>
      </w:pPr>
      <w:r w:rsidRPr="00330C33">
        <w:rPr>
          <w:rFonts w:ascii="Arial" w:hAnsi="Arial" w:cs="Arial"/>
          <w:bCs/>
          <w:spacing w:val="-4"/>
          <w:sz w:val="20"/>
          <w:szCs w:val="20"/>
        </w:rPr>
        <w:t>V rámci vyššie uvedenej sumy sú zahrnuté aj úhrady 2 priebežných platieb</w:t>
      </w:r>
      <w:r w:rsidRPr="00330C33">
        <w:rPr>
          <w:rFonts w:ascii="Arial" w:hAnsi="Arial" w:cs="Arial"/>
          <w:sz w:val="20"/>
          <w:szCs w:val="20"/>
        </w:rPr>
        <w:t xml:space="preserve"> v celkovej výške 71 027 274,17 EUR</w:t>
      </w:r>
      <w:r w:rsidRPr="00330C33">
        <w:rPr>
          <w:rFonts w:ascii="Arial" w:hAnsi="Arial" w:cs="Arial"/>
          <w:bCs/>
          <w:spacing w:val="-4"/>
          <w:sz w:val="20"/>
          <w:szCs w:val="20"/>
        </w:rPr>
        <w:t xml:space="preserve">, o ktoré certifikačný orgán požiadal v roku 2011 a  ktoré boli zo strany EK uhradené až po obnovení schvaľovania platieb (08.10.2012). </w:t>
      </w:r>
    </w:p>
    <w:p w:rsidR="00593253" w:rsidRDefault="003F446D" w:rsidP="008001F1">
      <w:pPr>
        <w:spacing w:before="120" w:after="120" w:line="360" w:lineRule="auto"/>
        <w:jc w:val="both"/>
        <w:rPr>
          <w:rFonts w:ascii="Arial" w:hAnsi="Arial" w:cs="Arial"/>
          <w:b/>
          <w:sz w:val="20"/>
          <w:szCs w:val="20"/>
          <w:u w:val="single"/>
        </w:rPr>
      </w:pPr>
      <w:r w:rsidRPr="00330C33">
        <w:rPr>
          <w:rFonts w:ascii="Arial" w:hAnsi="Arial" w:cs="Arial"/>
          <w:sz w:val="20"/>
          <w:szCs w:val="20"/>
        </w:rPr>
        <w:t xml:space="preserve">Prehľad platieb prijatých z EK je </w:t>
      </w:r>
      <w:r w:rsidRPr="002D57B5">
        <w:rPr>
          <w:rFonts w:ascii="Arial" w:hAnsi="Arial" w:cs="Arial"/>
          <w:sz w:val="20"/>
          <w:szCs w:val="20"/>
        </w:rPr>
        <w:t>uvedený v </w:t>
      </w:r>
      <w:r w:rsidRPr="001540E7">
        <w:rPr>
          <w:rFonts w:ascii="Arial" w:hAnsi="Arial" w:cs="Arial"/>
          <w:sz w:val="20"/>
          <w:szCs w:val="20"/>
        </w:rPr>
        <w:t>Prílohe č.</w:t>
      </w:r>
      <w:r w:rsidR="002D57B5" w:rsidRPr="002D57B5">
        <w:rPr>
          <w:rFonts w:ascii="Arial" w:hAnsi="Arial" w:cs="Arial"/>
          <w:sz w:val="20"/>
          <w:szCs w:val="20"/>
        </w:rPr>
        <w:t xml:space="preserve"> 4</w:t>
      </w:r>
      <w:r w:rsidRPr="00DD6FF0">
        <w:rPr>
          <w:rFonts w:ascii="Arial" w:hAnsi="Arial" w:cs="Arial"/>
          <w:sz w:val="20"/>
          <w:szCs w:val="20"/>
        </w:rPr>
        <w:t xml:space="preserve"> .</w:t>
      </w:r>
      <w:r w:rsidR="00BD19A8">
        <w:rPr>
          <w:rFonts w:ascii="Arial" w:hAnsi="Arial" w:cs="Arial"/>
          <w:b/>
          <w:sz w:val="20"/>
          <w:szCs w:val="20"/>
          <w:u w:val="single"/>
        </w:rPr>
        <w:tab/>
      </w:r>
    </w:p>
    <w:p w:rsidR="00BA7B62" w:rsidRDefault="00BA7B62">
      <w:pPr>
        <w:rPr>
          <w:rFonts w:ascii="Arial" w:hAnsi="Arial" w:cs="Arial"/>
          <w:b/>
          <w:sz w:val="20"/>
          <w:szCs w:val="20"/>
          <w:u w:val="single"/>
        </w:rPr>
      </w:pPr>
      <w:r>
        <w:rPr>
          <w:rFonts w:ascii="Arial" w:hAnsi="Arial" w:cs="Arial"/>
          <w:b/>
          <w:sz w:val="20"/>
          <w:szCs w:val="20"/>
          <w:u w:val="single"/>
        </w:rPr>
        <w:br w:type="page"/>
      </w:r>
    </w:p>
    <w:p w:rsidR="00593253" w:rsidRDefault="00593253" w:rsidP="00593253">
      <w:pPr>
        <w:spacing w:before="120" w:after="120" w:line="360" w:lineRule="auto"/>
        <w:ind w:left="720"/>
        <w:jc w:val="both"/>
        <w:rPr>
          <w:rFonts w:ascii="Arial" w:hAnsi="Arial" w:cs="Arial"/>
          <w:b/>
          <w:sz w:val="20"/>
          <w:szCs w:val="20"/>
          <w:u w:val="single"/>
        </w:rPr>
      </w:pPr>
    </w:p>
    <w:p w:rsidR="003F446D" w:rsidRPr="00330C33" w:rsidRDefault="003F446D" w:rsidP="00593253">
      <w:pPr>
        <w:spacing w:before="120" w:after="120" w:line="360" w:lineRule="auto"/>
        <w:ind w:left="720"/>
        <w:jc w:val="both"/>
        <w:rPr>
          <w:rFonts w:ascii="Arial" w:hAnsi="Arial" w:cs="Arial"/>
          <w:b/>
          <w:sz w:val="20"/>
          <w:szCs w:val="20"/>
          <w:u w:val="single"/>
        </w:rPr>
      </w:pPr>
      <w:r w:rsidRPr="00330C33">
        <w:rPr>
          <w:rFonts w:ascii="Arial" w:hAnsi="Arial" w:cs="Arial"/>
          <w:b/>
          <w:sz w:val="20"/>
          <w:szCs w:val="20"/>
          <w:u w:val="single"/>
        </w:rPr>
        <w:t>Prehľad uhradených výdavkov</w:t>
      </w:r>
    </w:p>
    <w:p w:rsidR="003F446D" w:rsidRPr="00330C33" w:rsidRDefault="003F446D" w:rsidP="00507035">
      <w:pPr>
        <w:spacing w:before="120" w:after="120" w:line="360" w:lineRule="auto"/>
        <w:ind w:right="-238"/>
        <w:jc w:val="both"/>
        <w:rPr>
          <w:rFonts w:ascii="Arial" w:hAnsi="Arial" w:cs="Arial"/>
          <w:bCs/>
          <w:sz w:val="20"/>
          <w:szCs w:val="20"/>
        </w:rPr>
      </w:pPr>
      <w:r w:rsidRPr="00330C33">
        <w:rPr>
          <w:rFonts w:ascii="Arial" w:hAnsi="Arial" w:cs="Arial"/>
          <w:bCs/>
          <w:sz w:val="20"/>
          <w:szCs w:val="20"/>
        </w:rPr>
        <w:t xml:space="preserve">Tabuľka č. </w:t>
      </w:r>
      <w:r w:rsidR="00165CA5">
        <w:rPr>
          <w:rFonts w:ascii="Arial" w:hAnsi="Arial" w:cs="Arial"/>
          <w:bCs/>
          <w:sz w:val="20"/>
          <w:szCs w:val="20"/>
        </w:rPr>
        <w:t>11</w:t>
      </w:r>
      <w:r w:rsidR="00165CA5" w:rsidRPr="00330C33">
        <w:rPr>
          <w:rFonts w:ascii="Arial" w:hAnsi="Arial" w:cs="Arial"/>
          <w:bCs/>
          <w:sz w:val="20"/>
          <w:szCs w:val="20"/>
        </w:rPr>
        <w:t xml:space="preserve"> </w:t>
      </w:r>
      <w:r w:rsidRPr="00330C33">
        <w:rPr>
          <w:rFonts w:ascii="Arial" w:hAnsi="Arial" w:cs="Arial"/>
          <w:bCs/>
          <w:sz w:val="20"/>
          <w:szCs w:val="20"/>
        </w:rPr>
        <w:t>poskytuje prehľad výdavkov deklarovaných na EK v žiadostiach o platbu v členení podľa prioritných osí od začiatku implementácie operačného programu.</w:t>
      </w:r>
    </w:p>
    <w:p w:rsidR="003F446D" w:rsidRPr="00330C33" w:rsidRDefault="003F446D" w:rsidP="00507035">
      <w:pPr>
        <w:spacing w:before="120" w:after="120" w:line="360" w:lineRule="auto"/>
        <w:ind w:right="-238"/>
        <w:jc w:val="both"/>
        <w:rPr>
          <w:rFonts w:ascii="Arial" w:hAnsi="Arial" w:cs="Arial"/>
          <w:bCs/>
          <w:sz w:val="20"/>
          <w:szCs w:val="20"/>
        </w:rPr>
      </w:pPr>
      <w:r w:rsidRPr="00330C33">
        <w:rPr>
          <w:rFonts w:ascii="Arial" w:hAnsi="Arial" w:cs="Arial"/>
          <w:bCs/>
          <w:sz w:val="20"/>
          <w:szCs w:val="20"/>
        </w:rPr>
        <w:t>Ta</w:t>
      </w:r>
      <w:r w:rsidR="00E57A5C">
        <w:rPr>
          <w:rFonts w:ascii="Arial" w:hAnsi="Arial" w:cs="Arial"/>
          <w:bCs/>
          <w:sz w:val="20"/>
          <w:szCs w:val="20"/>
        </w:rPr>
        <w:t>b.</w:t>
      </w:r>
      <w:r w:rsidRPr="00330C33">
        <w:rPr>
          <w:rFonts w:ascii="Arial" w:hAnsi="Arial" w:cs="Arial"/>
          <w:bCs/>
          <w:sz w:val="20"/>
          <w:szCs w:val="20"/>
        </w:rPr>
        <w:t xml:space="preserve"> č. </w:t>
      </w:r>
      <w:r w:rsidR="00E513D9">
        <w:rPr>
          <w:rFonts w:ascii="Arial" w:hAnsi="Arial" w:cs="Arial"/>
          <w:bCs/>
          <w:sz w:val="20"/>
          <w:szCs w:val="20"/>
        </w:rPr>
        <w:t>11</w:t>
      </w:r>
      <w:r w:rsidRPr="00330C33">
        <w:rPr>
          <w:rFonts w:ascii="Arial" w:hAnsi="Arial" w:cs="Arial"/>
          <w:bCs/>
          <w:sz w:val="20"/>
          <w:szCs w:val="20"/>
        </w:rPr>
        <w:t>: Prehľad uhradených výdavkov k 31.12.2012</w:t>
      </w:r>
    </w:p>
    <w:tbl>
      <w:tblPr>
        <w:tblW w:w="8820" w:type="dxa"/>
        <w:tblInd w:w="55" w:type="dxa"/>
        <w:tblCellMar>
          <w:left w:w="70" w:type="dxa"/>
          <w:right w:w="70" w:type="dxa"/>
        </w:tblCellMar>
        <w:tblLook w:val="04A0" w:firstRow="1" w:lastRow="0" w:firstColumn="1" w:lastColumn="0" w:noHBand="0" w:noVBand="1"/>
      </w:tblPr>
      <w:tblGrid>
        <w:gridCol w:w="1560"/>
        <w:gridCol w:w="1720"/>
        <w:gridCol w:w="1240"/>
        <w:gridCol w:w="1480"/>
        <w:gridCol w:w="1420"/>
        <w:gridCol w:w="1400"/>
      </w:tblGrid>
      <w:tr w:rsidR="007131AA" w:rsidRPr="00BD19A8" w:rsidTr="007131AA">
        <w:trPr>
          <w:trHeight w:val="1590"/>
        </w:trPr>
        <w:tc>
          <w:tcPr>
            <w:tcW w:w="1560" w:type="dxa"/>
            <w:tcBorders>
              <w:top w:val="single" w:sz="4" w:space="0" w:color="auto"/>
              <w:left w:val="single" w:sz="4" w:space="0" w:color="auto"/>
              <w:bottom w:val="single" w:sz="4" w:space="0" w:color="auto"/>
              <w:right w:val="single" w:sz="4" w:space="0" w:color="auto"/>
            </w:tcBorders>
            <w:shd w:val="clear" w:color="000000" w:fill="D6E3BC"/>
            <w:vAlign w:val="center"/>
            <w:hideMark/>
          </w:tcPr>
          <w:p w:rsidR="003F446D" w:rsidRPr="00330C33" w:rsidRDefault="003F446D" w:rsidP="00507035">
            <w:pPr>
              <w:jc w:val="both"/>
              <w:rPr>
                <w:rFonts w:ascii="Arial" w:hAnsi="Arial" w:cs="Arial"/>
                <w:color w:val="000000"/>
                <w:sz w:val="18"/>
                <w:szCs w:val="18"/>
              </w:rPr>
            </w:pPr>
            <w:r w:rsidRPr="00330C33">
              <w:rPr>
                <w:rFonts w:ascii="Arial" w:hAnsi="Arial" w:cs="Arial"/>
                <w:color w:val="000000"/>
                <w:sz w:val="18"/>
                <w:szCs w:val="18"/>
                <w:lang w:eastAsia="cs-CZ"/>
              </w:rPr>
              <w:t> </w:t>
            </w:r>
          </w:p>
        </w:tc>
        <w:tc>
          <w:tcPr>
            <w:tcW w:w="1720" w:type="dxa"/>
            <w:tcBorders>
              <w:top w:val="single" w:sz="4" w:space="0" w:color="auto"/>
              <w:left w:val="nil"/>
              <w:bottom w:val="single" w:sz="4" w:space="0" w:color="auto"/>
              <w:right w:val="single" w:sz="4" w:space="0" w:color="auto"/>
            </w:tcBorders>
            <w:shd w:val="clear" w:color="000000" w:fill="D6E3BC"/>
            <w:vAlign w:val="center"/>
            <w:hideMark/>
          </w:tcPr>
          <w:p w:rsidR="003F446D" w:rsidRPr="00330C33" w:rsidRDefault="003F446D" w:rsidP="00507035">
            <w:pPr>
              <w:jc w:val="center"/>
              <w:rPr>
                <w:rFonts w:ascii="Arial" w:hAnsi="Arial" w:cs="Arial"/>
                <w:b/>
                <w:color w:val="000000"/>
                <w:sz w:val="18"/>
                <w:szCs w:val="18"/>
              </w:rPr>
            </w:pPr>
            <w:r w:rsidRPr="00330C33">
              <w:rPr>
                <w:rFonts w:ascii="Arial" w:hAnsi="Arial" w:cs="Arial"/>
                <w:b/>
                <w:bCs/>
                <w:color w:val="000000"/>
                <w:sz w:val="18"/>
                <w:szCs w:val="18"/>
              </w:rPr>
              <w:t>Celkové financovanie operačného programu (na úrovni EÚ a národnej úrovni)</w:t>
            </w:r>
          </w:p>
        </w:tc>
        <w:tc>
          <w:tcPr>
            <w:tcW w:w="1240" w:type="dxa"/>
            <w:tcBorders>
              <w:top w:val="single" w:sz="4" w:space="0" w:color="auto"/>
              <w:left w:val="nil"/>
              <w:bottom w:val="single" w:sz="4" w:space="0" w:color="auto"/>
              <w:right w:val="single" w:sz="4" w:space="0" w:color="auto"/>
            </w:tcBorders>
            <w:shd w:val="clear" w:color="000000" w:fill="D6E3BC"/>
            <w:vAlign w:val="center"/>
            <w:hideMark/>
          </w:tcPr>
          <w:p w:rsidR="003F446D" w:rsidRPr="00330C33" w:rsidRDefault="003F446D" w:rsidP="00507035">
            <w:pPr>
              <w:jc w:val="center"/>
              <w:rPr>
                <w:rFonts w:ascii="Arial" w:hAnsi="Arial" w:cs="Arial"/>
                <w:b/>
                <w:color w:val="000000"/>
                <w:sz w:val="18"/>
                <w:szCs w:val="18"/>
              </w:rPr>
            </w:pPr>
            <w:r w:rsidRPr="00330C33">
              <w:rPr>
                <w:rFonts w:ascii="Arial" w:hAnsi="Arial" w:cs="Arial"/>
                <w:b/>
                <w:bCs/>
                <w:color w:val="000000"/>
                <w:sz w:val="18"/>
                <w:szCs w:val="18"/>
              </w:rPr>
              <w:t>Základ pre výpočet príspevku EÚ (verejné alebo celkové zdroje)</w:t>
            </w:r>
          </w:p>
        </w:tc>
        <w:tc>
          <w:tcPr>
            <w:tcW w:w="1480" w:type="dxa"/>
            <w:tcBorders>
              <w:top w:val="single" w:sz="4" w:space="0" w:color="auto"/>
              <w:left w:val="nil"/>
              <w:bottom w:val="single" w:sz="4" w:space="0" w:color="auto"/>
              <w:right w:val="single" w:sz="4" w:space="0" w:color="auto"/>
            </w:tcBorders>
            <w:shd w:val="clear" w:color="000000" w:fill="D6E3BC"/>
            <w:vAlign w:val="center"/>
            <w:hideMark/>
          </w:tcPr>
          <w:p w:rsidR="003F446D" w:rsidRPr="00330C33" w:rsidRDefault="003F446D" w:rsidP="00507035">
            <w:pPr>
              <w:jc w:val="center"/>
              <w:rPr>
                <w:rFonts w:ascii="Arial" w:hAnsi="Arial" w:cs="Arial"/>
                <w:b/>
                <w:color w:val="000000"/>
                <w:sz w:val="18"/>
                <w:szCs w:val="18"/>
              </w:rPr>
            </w:pPr>
            <w:r w:rsidRPr="00330C33">
              <w:rPr>
                <w:rFonts w:ascii="Arial" w:hAnsi="Arial" w:cs="Arial"/>
                <w:b/>
                <w:bCs/>
                <w:color w:val="000000"/>
                <w:sz w:val="18"/>
                <w:szCs w:val="18"/>
              </w:rPr>
              <w:t>Celková suma certifikovaných oprávnených výdavkov zahrnutá do žiadostí o platbu</w:t>
            </w:r>
          </w:p>
        </w:tc>
        <w:tc>
          <w:tcPr>
            <w:tcW w:w="1420" w:type="dxa"/>
            <w:tcBorders>
              <w:top w:val="single" w:sz="4" w:space="0" w:color="auto"/>
              <w:left w:val="nil"/>
              <w:bottom w:val="single" w:sz="4" w:space="0" w:color="auto"/>
              <w:right w:val="single" w:sz="4" w:space="0" w:color="auto"/>
            </w:tcBorders>
            <w:shd w:val="clear" w:color="000000" w:fill="D6E3BC"/>
            <w:vAlign w:val="center"/>
            <w:hideMark/>
          </w:tcPr>
          <w:p w:rsidR="003F446D" w:rsidRPr="00330C33" w:rsidRDefault="003F446D" w:rsidP="00507035">
            <w:pPr>
              <w:jc w:val="center"/>
              <w:rPr>
                <w:rFonts w:ascii="Arial" w:hAnsi="Arial" w:cs="Arial"/>
                <w:b/>
                <w:color w:val="000000"/>
                <w:sz w:val="18"/>
                <w:szCs w:val="18"/>
              </w:rPr>
            </w:pPr>
            <w:r w:rsidRPr="00330C33">
              <w:rPr>
                <w:rFonts w:ascii="Arial" w:hAnsi="Arial" w:cs="Arial"/>
                <w:b/>
                <w:bCs/>
                <w:color w:val="000000"/>
                <w:sz w:val="18"/>
                <w:szCs w:val="18"/>
              </w:rPr>
              <w:t>Zodpovedajúci príspevok z verejných zdrojov</w:t>
            </w:r>
          </w:p>
        </w:tc>
        <w:tc>
          <w:tcPr>
            <w:tcW w:w="1400" w:type="dxa"/>
            <w:tcBorders>
              <w:top w:val="single" w:sz="4" w:space="0" w:color="auto"/>
              <w:left w:val="nil"/>
              <w:bottom w:val="single" w:sz="4" w:space="0" w:color="auto"/>
              <w:right w:val="single" w:sz="4" w:space="0" w:color="auto"/>
            </w:tcBorders>
            <w:shd w:val="clear" w:color="000000" w:fill="D6E3BC"/>
            <w:vAlign w:val="center"/>
            <w:hideMark/>
          </w:tcPr>
          <w:p w:rsidR="003F446D" w:rsidRPr="00330C33" w:rsidRDefault="003F446D" w:rsidP="00507035">
            <w:pPr>
              <w:jc w:val="center"/>
              <w:rPr>
                <w:rFonts w:ascii="Arial" w:hAnsi="Arial" w:cs="Arial"/>
                <w:b/>
                <w:color w:val="000000"/>
                <w:sz w:val="18"/>
                <w:szCs w:val="18"/>
              </w:rPr>
            </w:pPr>
            <w:r w:rsidRPr="00330C33">
              <w:rPr>
                <w:rFonts w:ascii="Arial" w:hAnsi="Arial" w:cs="Arial"/>
                <w:b/>
                <w:bCs/>
                <w:color w:val="000000"/>
                <w:sz w:val="18"/>
                <w:szCs w:val="18"/>
              </w:rPr>
              <w:t>Miera plnenia v %</w:t>
            </w:r>
          </w:p>
        </w:tc>
      </w:tr>
      <w:tr w:rsidR="007131AA" w:rsidRPr="00BD19A8" w:rsidTr="007131AA">
        <w:trPr>
          <w:trHeight w:val="330"/>
        </w:trPr>
        <w:tc>
          <w:tcPr>
            <w:tcW w:w="1560" w:type="dxa"/>
            <w:tcBorders>
              <w:top w:val="single" w:sz="4" w:space="0" w:color="auto"/>
              <w:left w:val="single" w:sz="4" w:space="0" w:color="auto"/>
              <w:bottom w:val="single" w:sz="4" w:space="0" w:color="auto"/>
              <w:right w:val="single" w:sz="4" w:space="0" w:color="auto"/>
            </w:tcBorders>
            <w:shd w:val="clear" w:color="000000" w:fill="EAF1DD"/>
            <w:vAlign w:val="center"/>
            <w:hideMark/>
          </w:tcPr>
          <w:p w:rsidR="003F446D" w:rsidRPr="00330C33" w:rsidRDefault="003F446D" w:rsidP="00507035">
            <w:pPr>
              <w:jc w:val="both"/>
              <w:rPr>
                <w:rFonts w:ascii="Arial" w:hAnsi="Arial" w:cs="Arial"/>
                <w:color w:val="000000"/>
                <w:sz w:val="18"/>
                <w:szCs w:val="18"/>
              </w:rPr>
            </w:pPr>
            <w:r w:rsidRPr="00330C33">
              <w:rPr>
                <w:rFonts w:ascii="Arial" w:hAnsi="Arial" w:cs="Arial"/>
                <w:color w:val="000000"/>
                <w:sz w:val="18"/>
                <w:szCs w:val="18"/>
                <w:lang w:eastAsia="cs-CZ"/>
              </w:rPr>
              <w:t> </w:t>
            </w:r>
          </w:p>
        </w:tc>
        <w:tc>
          <w:tcPr>
            <w:tcW w:w="1720" w:type="dxa"/>
            <w:tcBorders>
              <w:top w:val="single" w:sz="4" w:space="0" w:color="auto"/>
              <w:left w:val="nil"/>
              <w:bottom w:val="single" w:sz="4" w:space="0" w:color="auto"/>
              <w:right w:val="single" w:sz="4" w:space="0" w:color="auto"/>
            </w:tcBorders>
            <w:shd w:val="clear" w:color="000000" w:fill="EAF1DD"/>
            <w:vAlign w:val="center"/>
            <w:hideMark/>
          </w:tcPr>
          <w:p w:rsidR="003F446D" w:rsidRPr="00330C33" w:rsidRDefault="003F446D" w:rsidP="00507035">
            <w:pPr>
              <w:jc w:val="center"/>
              <w:rPr>
                <w:rFonts w:ascii="Arial" w:hAnsi="Arial" w:cs="Arial"/>
                <w:color w:val="000000"/>
                <w:sz w:val="18"/>
                <w:szCs w:val="18"/>
              </w:rPr>
            </w:pPr>
            <w:r w:rsidRPr="00330C33">
              <w:rPr>
                <w:rFonts w:ascii="Arial" w:hAnsi="Arial" w:cs="Arial"/>
                <w:color w:val="000000"/>
                <w:sz w:val="18"/>
                <w:szCs w:val="18"/>
                <w:lang w:eastAsia="cs-CZ"/>
              </w:rPr>
              <w:t>a</w:t>
            </w:r>
          </w:p>
        </w:tc>
        <w:tc>
          <w:tcPr>
            <w:tcW w:w="1240" w:type="dxa"/>
            <w:tcBorders>
              <w:top w:val="single" w:sz="4" w:space="0" w:color="auto"/>
              <w:left w:val="nil"/>
              <w:bottom w:val="single" w:sz="4" w:space="0" w:color="auto"/>
              <w:right w:val="single" w:sz="4" w:space="0" w:color="auto"/>
            </w:tcBorders>
            <w:shd w:val="clear" w:color="000000" w:fill="EAF1DD"/>
            <w:vAlign w:val="center"/>
            <w:hideMark/>
          </w:tcPr>
          <w:p w:rsidR="003F446D" w:rsidRPr="00330C33" w:rsidRDefault="003F446D" w:rsidP="00507035">
            <w:pPr>
              <w:jc w:val="center"/>
              <w:rPr>
                <w:rFonts w:ascii="Arial" w:hAnsi="Arial" w:cs="Arial"/>
                <w:color w:val="000000"/>
                <w:sz w:val="18"/>
                <w:szCs w:val="18"/>
              </w:rPr>
            </w:pPr>
            <w:r w:rsidRPr="00330C33">
              <w:rPr>
                <w:rFonts w:ascii="Arial" w:hAnsi="Arial" w:cs="Arial"/>
                <w:color w:val="000000"/>
                <w:sz w:val="18"/>
                <w:szCs w:val="18"/>
                <w:lang w:eastAsia="cs-CZ"/>
              </w:rPr>
              <w:t>b</w:t>
            </w:r>
          </w:p>
        </w:tc>
        <w:tc>
          <w:tcPr>
            <w:tcW w:w="1480" w:type="dxa"/>
            <w:tcBorders>
              <w:top w:val="single" w:sz="4" w:space="0" w:color="auto"/>
              <w:left w:val="nil"/>
              <w:bottom w:val="single" w:sz="4" w:space="0" w:color="auto"/>
              <w:right w:val="single" w:sz="4" w:space="0" w:color="auto"/>
            </w:tcBorders>
            <w:shd w:val="clear" w:color="000000" w:fill="EAF1DD"/>
            <w:vAlign w:val="center"/>
            <w:hideMark/>
          </w:tcPr>
          <w:p w:rsidR="003F446D" w:rsidRPr="00330C33" w:rsidRDefault="003F446D" w:rsidP="00507035">
            <w:pPr>
              <w:jc w:val="center"/>
              <w:rPr>
                <w:rFonts w:ascii="Arial" w:hAnsi="Arial" w:cs="Arial"/>
                <w:color w:val="000000"/>
                <w:sz w:val="18"/>
                <w:szCs w:val="18"/>
              </w:rPr>
            </w:pPr>
            <w:r w:rsidRPr="00330C33">
              <w:rPr>
                <w:rFonts w:ascii="Arial" w:hAnsi="Arial" w:cs="Arial"/>
                <w:color w:val="000000"/>
                <w:sz w:val="18"/>
                <w:szCs w:val="18"/>
                <w:lang w:eastAsia="cs-CZ"/>
              </w:rPr>
              <w:t>c</w:t>
            </w:r>
          </w:p>
        </w:tc>
        <w:tc>
          <w:tcPr>
            <w:tcW w:w="1420" w:type="dxa"/>
            <w:tcBorders>
              <w:top w:val="single" w:sz="4" w:space="0" w:color="auto"/>
              <w:left w:val="nil"/>
              <w:bottom w:val="single" w:sz="4" w:space="0" w:color="auto"/>
              <w:right w:val="single" w:sz="4" w:space="0" w:color="auto"/>
            </w:tcBorders>
            <w:shd w:val="clear" w:color="000000" w:fill="EAF1DD"/>
            <w:vAlign w:val="center"/>
            <w:hideMark/>
          </w:tcPr>
          <w:p w:rsidR="003F446D" w:rsidRPr="00330C33" w:rsidRDefault="003F446D" w:rsidP="00507035">
            <w:pPr>
              <w:jc w:val="center"/>
              <w:rPr>
                <w:rFonts w:ascii="Arial" w:hAnsi="Arial" w:cs="Arial"/>
                <w:color w:val="000000"/>
                <w:sz w:val="18"/>
                <w:szCs w:val="18"/>
              </w:rPr>
            </w:pPr>
            <w:r w:rsidRPr="00330C33">
              <w:rPr>
                <w:rFonts w:ascii="Arial" w:hAnsi="Arial" w:cs="Arial"/>
                <w:color w:val="000000"/>
                <w:sz w:val="18"/>
                <w:szCs w:val="18"/>
                <w:lang w:eastAsia="cs-CZ"/>
              </w:rPr>
              <w:t>d</w:t>
            </w:r>
          </w:p>
        </w:tc>
        <w:tc>
          <w:tcPr>
            <w:tcW w:w="1400" w:type="dxa"/>
            <w:tcBorders>
              <w:top w:val="single" w:sz="4" w:space="0" w:color="auto"/>
              <w:left w:val="nil"/>
              <w:bottom w:val="single" w:sz="4" w:space="0" w:color="auto"/>
              <w:right w:val="single" w:sz="4" w:space="0" w:color="auto"/>
            </w:tcBorders>
            <w:shd w:val="clear" w:color="000000" w:fill="EAF1DD"/>
            <w:vAlign w:val="center"/>
            <w:hideMark/>
          </w:tcPr>
          <w:p w:rsidR="003F446D" w:rsidRPr="00330C33" w:rsidRDefault="003F446D" w:rsidP="00507035">
            <w:pPr>
              <w:jc w:val="center"/>
              <w:rPr>
                <w:rFonts w:ascii="Arial" w:hAnsi="Arial" w:cs="Arial"/>
                <w:color w:val="000000"/>
                <w:sz w:val="18"/>
                <w:szCs w:val="18"/>
              </w:rPr>
            </w:pPr>
            <w:r w:rsidRPr="00330C33">
              <w:rPr>
                <w:rFonts w:ascii="Arial" w:hAnsi="Arial" w:cs="Arial"/>
                <w:color w:val="000000"/>
                <w:sz w:val="18"/>
                <w:szCs w:val="18"/>
                <w:lang w:eastAsia="cs-CZ"/>
              </w:rPr>
              <w:t>e = d/a</w:t>
            </w:r>
          </w:p>
        </w:tc>
      </w:tr>
      <w:tr w:rsidR="003F446D" w:rsidRPr="00BD19A8" w:rsidTr="003F446D">
        <w:trPr>
          <w:trHeight w:val="330"/>
        </w:trPr>
        <w:tc>
          <w:tcPr>
            <w:tcW w:w="1560" w:type="dxa"/>
            <w:tcBorders>
              <w:top w:val="nil"/>
              <w:left w:val="single" w:sz="4" w:space="0" w:color="auto"/>
              <w:bottom w:val="single" w:sz="4" w:space="0" w:color="auto"/>
              <w:right w:val="single" w:sz="4" w:space="0" w:color="auto"/>
            </w:tcBorders>
            <w:shd w:val="clear" w:color="auto" w:fill="auto"/>
            <w:vAlign w:val="center"/>
            <w:hideMark/>
          </w:tcPr>
          <w:p w:rsidR="003F446D" w:rsidRPr="00330C33" w:rsidRDefault="003F446D" w:rsidP="00507035">
            <w:pPr>
              <w:jc w:val="center"/>
              <w:rPr>
                <w:rFonts w:ascii="Arial" w:hAnsi="Arial" w:cs="Arial"/>
                <w:color w:val="000000"/>
                <w:sz w:val="18"/>
                <w:szCs w:val="18"/>
              </w:rPr>
            </w:pPr>
            <w:r w:rsidRPr="00330C33">
              <w:rPr>
                <w:rFonts w:ascii="Arial" w:hAnsi="Arial" w:cs="Arial"/>
                <w:color w:val="000000"/>
                <w:sz w:val="18"/>
                <w:szCs w:val="18"/>
                <w:lang w:eastAsia="cs-CZ"/>
              </w:rPr>
              <w:t>Prioritná os 1 (KF)</w:t>
            </w:r>
          </w:p>
        </w:tc>
        <w:tc>
          <w:tcPr>
            <w:tcW w:w="1720" w:type="dxa"/>
            <w:tcBorders>
              <w:top w:val="nil"/>
              <w:left w:val="nil"/>
              <w:bottom w:val="single" w:sz="4" w:space="0" w:color="auto"/>
              <w:right w:val="single" w:sz="4" w:space="0" w:color="auto"/>
            </w:tcBorders>
            <w:shd w:val="clear" w:color="auto" w:fill="auto"/>
            <w:vAlign w:val="center"/>
            <w:hideMark/>
          </w:tcPr>
          <w:p w:rsidR="003F446D" w:rsidRPr="00330C33" w:rsidRDefault="003F446D" w:rsidP="00507035">
            <w:pPr>
              <w:jc w:val="right"/>
              <w:rPr>
                <w:rFonts w:ascii="Arial" w:hAnsi="Arial" w:cs="Arial"/>
                <w:color w:val="000000"/>
                <w:sz w:val="18"/>
                <w:szCs w:val="18"/>
              </w:rPr>
            </w:pPr>
            <w:r w:rsidRPr="00330C33">
              <w:rPr>
                <w:rFonts w:ascii="Arial" w:hAnsi="Arial" w:cs="Arial"/>
                <w:color w:val="000000"/>
                <w:sz w:val="18"/>
                <w:szCs w:val="18"/>
              </w:rPr>
              <w:t>1 077 227 135,77</w:t>
            </w:r>
          </w:p>
        </w:tc>
        <w:tc>
          <w:tcPr>
            <w:tcW w:w="1240" w:type="dxa"/>
            <w:tcBorders>
              <w:top w:val="nil"/>
              <w:left w:val="nil"/>
              <w:bottom w:val="single" w:sz="4" w:space="0" w:color="auto"/>
              <w:right w:val="single" w:sz="4" w:space="0" w:color="auto"/>
            </w:tcBorders>
            <w:shd w:val="clear" w:color="auto" w:fill="auto"/>
            <w:vAlign w:val="center"/>
            <w:hideMark/>
          </w:tcPr>
          <w:p w:rsidR="003F446D" w:rsidRPr="00330C33" w:rsidRDefault="003F446D" w:rsidP="00507035">
            <w:pPr>
              <w:jc w:val="center"/>
              <w:rPr>
                <w:rFonts w:ascii="Arial" w:hAnsi="Arial" w:cs="Arial"/>
                <w:color w:val="000000"/>
                <w:sz w:val="18"/>
                <w:szCs w:val="18"/>
              </w:rPr>
            </w:pPr>
            <w:r w:rsidRPr="00330C33">
              <w:rPr>
                <w:rFonts w:ascii="Arial" w:hAnsi="Arial" w:cs="Arial"/>
                <w:color w:val="000000"/>
                <w:sz w:val="18"/>
                <w:szCs w:val="18"/>
                <w:lang w:eastAsia="cs-CZ"/>
              </w:rPr>
              <w:t>verejné zdroje</w:t>
            </w:r>
          </w:p>
        </w:tc>
        <w:tc>
          <w:tcPr>
            <w:tcW w:w="1480" w:type="dxa"/>
            <w:tcBorders>
              <w:top w:val="nil"/>
              <w:left w:val="nil"/>
              <w:bottom w:val="single" w:sz="4" w:space="0" w:color="auto"/>
              <w:right w:val="single" w:sz="4" w:space="0" w:color="auto"/>
            </w:tcBorders>
            <w:shd w:val="clear" w:color="auto" w:fill="auto"/>
            <w:vAlign w:val="center"/>
            <w:hideMark/>
          </w:tcPr>
          <w:p w:rsidR="003F446D" w:rsidRPr="00330C33" w:rsidRDefault="003F446D" w:rsidP="00507035">
            <w:pPr>
              <w:jc w:val="right"/>
              <w:rPr>
                <w:rFonts w:ascii="Arial" w:hAnsi="Arial" w:cs="Arial"/>
                <w:color w:val="000000"/>
                <w:sz w:val="18"/>
                <w:szCs w:val="18"/>
              </w:rPr>
            </w:pPr>
            <w:r w:rsidRPr="00330C33">
              <w:rPr>
                <w:rFonts w:ascii="Arial" w:hAnsi="Arial" w:cs="Arial"/>
                <w:color w:val="000000"/>
                <w:sz w:val="18"/>
                <w:szCs w:val="18"/>
              </w:rPr>
              <w:t>263 611 115,93</w:t>
            </w:r>
          </w:p>
        </w:tc>
        <w:tc>
          <w:tcPr>
            <w:tcW w:w="1420" w:type="dxa"/>
            <w:tcBorders>
              <w:top w:val="nil"/>
              <w:left w:val="nil"/>
              <w:bottom w:val="single" w:sz="4" w:space="0" w:color="auto"/>
              <w:right w:val="single" w:sz="4" w:space="0" w:color="auto"/>
            </w:tcBorders>
            <w:shd w:val="clear" w:color="auto" w:fill="auto"/>
            <w:vAlign w:val="center"/>
            <w:hideMark/>
          </w:tcPr>
          <w:p w:rsidR="003F446D" w:rsidRPr="00330C33" w:rsidRDefault="003F446D" w:rsidP="00507035">
            <w:pPr>
              <w:jc w:val="right"/>
              <w:rPr>
                <w:rFonts w:ascii="Arial" w:hAnsi="Arial" w:cs="Arial"/>
                <w:color w:val="000000"/>
                <w:sz w:val="18"/>
                <w:szCs w:val="18"/>
              </w:rPr>
            </w:pPr>
            <w:r w:rsidRPr="00330C33">
              <w:rPr>
                <w:rFonts w:ascii="Arial" w:hAnsi="Arial" w:cs="Arial"/>
                <w:color w:val="000000"/>
                <w:sz w:val="18"/>
                <w:szCs w:val="18"/>
              </w:rPr>
              <w:t>255 860 311,06</w:t>
            </w:r>
          </w:p>
        </w:tc>
        <w:tc>
          <w:tcPr>
            <w:tcW w:w="1400" w:type="dxa"/>
            <w:tcBorders>
              <w:top w:val="nil"/>
              <w:left w:val="nil"/>
              <w:bottom w:val="single" w:sz="4" w:space="0" w:color="auto"/>
              <w:right w:val="single" w:sz="4" w:space="0" w:color="auto"/>
            </w:tcBorders>
            <w:shd w:val="clear" w:color="auto" w:fill="auto"/>
            <w:vAlign w:val="center"/>
            <w:hideMark/>
          </w:tcPr>
          <w:p w:rsidR="003F446D" w:rsidRPr="00330C33" w:rsidRDefault="003F446D" w:rsidP="00507035">
            <w:pPr>
              <w:jc w:val="right"/>
              <w:rPr>
                <w:rFonts w:ascii="Arial" w:hAnsi="Arial" w:cs="Arial"/>
                <w:color w:val="000000"/>
                <w:sz w:val="18"/>
                <w:szCs w:val="18"/>
              </w:rPr>
            </w:pPr>
            <w:r w:rsidRPr="00330C33">
              <w:rPr>
                <w:rFonts w:ascii="Arial" w:hAnsi="Arial" w:cs="Arial"/>
                <w:color w:val="000000"/>
                <w:sz w:val="18"/>
                <w:szCs w:val="18"/>
              </w:rPr>
              <w:t>23,75%</w:t>
            </w:r>
          </w:p>
        </w:tc>
      </w:tr>
      <w:tr w:rsidR="003F446D" w:rsidRPr="00BD19A8" w:rsidTr="003F446D">
        <w:trPr>
          <w:trHeight w:val="330"/>
        </w:trPr>
        <w:tc>
          <w:tcPr>
            <w:tcW w:w="1560" w:type="dxa"/>
            <w:tcBorders>
              <w:top w:val="nil"/>
              <w:left w:val="single" w:sz="4" w:space="0" w:color="auto"/>
              <w:bottom w:val="single" w:sz="4" w:space="0" w:color="auto"/>
              <w:right w:val="single" w:sz="4" w:space="0" w:color="auto"/>
            </w:tcBorders>
            <w:shd w:val="clear" w:color="auto" w:fill="auto"/>
            <w:vAlign w:val="center"/>
            <w:hideMark/>
          </w:tcPr>
          <w:p w:rsidR="003F446D" w:rsidRPr="00330C33" w:rsidRDefault="003F446D" w:rsidP="00507035">
            <w:pPr>
              <w:jc w:val="center"/>
              <w:rPr>
                <w:rFonts w:ascii="Arial" w:hAnsi="Arial" w:cs="Arial"/>
                <w:color w:val="000000"/>
                <w:sz w:val="18"/>
                <w:szCs w:val="18"/>
              </w:rPr>
            </w:pPr>
            <w:r w:rsidRPr="00330C33">
              <w:rPr>
                <w:rFonts w:ascii="Arial" w:hAnsi="Arial" w:cs="Arial"/>
                <w:color w:val="000000"/>
                <w:sz w:val="18"/>
                <w:szCs w:val="18"/>
                <w:lang w:eastAsia="cs-CZ"/>
              </w:rPr>
              <w:t>Prioritná os 2 (KF)</w:t>
            </w:r>
          </w:p>
        </w:tc>
        <w:tc>
          <w:tcPr>
            <w:tcW w:w="1720" w:type="dxa"/>
            <w:tcBorders>
              <w:top w:val="nil"/>
              <w:left w:val="nil"/>
              <w:bottom w:val="single" w:sz="4" w:space="0" w:color="auto"/>
              <w:right w:val="single" w:sz="4" w:space="0" w:color="auto"/>
            </w:tcBorders>
            <w:shd w:val="clear" w:color="auto" w:fill="auto"/>
            <w:vAlign w:val="center"/>
            <w:hideMark/>
          </w:tcPr>
          <w:p w:rsidR="003F446D" w:rsidRPr="00330C33" w:rsidRDefault="003F446D" w:rsidP="00507035">
            <w:pPr>
              <w:jc w:val="right"/>
              <w:rPr>
                <w:rFonts w:ascii="Arial" w:hAnsi="Arial" w:cs="Arial"/>
                <w:color w:val="000000"/>
                <w:sz w:val="18"/>
                <w:szCs w:val="18"/>
              </w:rPr>
            </w:pPr>
            <w:r w:rsidRPr="00330C33">
              <w:rPr>
                <w:rFonts w:ascii="Arial" w:hAnsi="Arial" w:cs="Arial"/>
                <w:color w:val="000000"/>
                <w:sz w:val="18"/>
                <w:szCs w:val="18"/>
              </w:rPr>
              <w:t>141 176 470,55</w:t>
            </w:r>
          </w:p>
        </w:tc>
        <w:tc>
          <w:tcPr>
            <w:tcW w:w="1240" w:type="dxa"/>
            <w:tcBorders>
              <w:top w:val="nil"/>
              <w:left w:val="nil"/>
              <w:bottom w:val="single" w:sz="4" w:space="0" w:color="auto"/>
              <w:right w:val="single" w:sz="4" w:space="0" w:color="auto"/>
            </w:tcBorders>
            <w:shd w:val="clear" w:color="auto" w:fill="auto"/>
            <w:vAlign w:val="center"/>
            <w:hideMark/>
          </w:tcPr>
          <w:p w:rsidR="003F446D" w:rsidRPr="00330C33" w:rsidRDefault="003F446D" w:rsidP="00507035">
            <w:pPr>
              <w:jc w:val="center"/>
              <w:rPr>
                <w:rFonts w:ascii="Arial" w:hAnsi="Arial" w:cs="Arial"/>
                <w:color w:val="000000"/>
                <w:sz w:val="18"/>
                <w:szCs w:val="18"/>
              </w:rPr>
            </w:pPr>
            <w:r w:rsidRPr="00330C33">
              <w:rPr>
                <w:rFonts w:ascii="Arial" w:hAnsi="Arial" w:cs="Arial"/>
                <w:color w:val="000000"/>
                <w:sz w:val="18"/>
                <w:szCs w:val="18"/>
                <w:lang w:eastAsia="cs-CZ"/>
              </w:rPr>
              <w:t>verejné zdroje</w:t>
            </w:r>
          </w:p>
        </w:tc>
        <w:tc>
          <w:tcPr>
            <w:tcW w:w="1480" w:type="dxa"/>
            <w:tcBorders>
              <w:top w:val="nil"/>
              <w:left w:val="nil"/>
              <w:bottom w:val="single" w:sz="4" w:space="0" w:color="auto"/>
              <w:right w:val="single" w:sz="4" w:space="0" w:color="auto"/>
            </w:tcBorders>
            <w:shd w:val="clear" w:color="auto" w:fill="auto"/>
            <w:vAlign w:val="center"/>
            <w:hideMark/>
          </w:tcPr>
          <w:p w:rsidR="003F446D" w:rsidRPr="00330C33" w:rsidRDefault="003F446D" w:rsidP="00507035">
            <w:pPr>
              <w:jc w:val="right"/>
              <w:rPr>
                <w:rFonts w:ascii="Arial" w:hAnsi="Arial" w:cs="Arial"/>
                <w:color w:val="000000"/>
                <w:sz w:val="18"/>
                <w:szCs w:val="18"/>
              </w:rPr>
            </w:pPr>
            <w:r w:rsidRPr="00330C33">
              <w:rPr>
                <w:rFonts w:ascii="Arial" w:hAnsi="Arial" w:cs="Arial"/>
                <w:color w:val="000000"/>
                <w:sz w:val="18"/>
                <w:szCs w:val="18"/>
              </w:rPr>
              <w:t>32 288 555,86</w:t>
            </w:r>
          </w:p>
        </w:tc>
        <w:tc>
          <w:tcPr>
            <w:tcW w:w="1420" w:type="dxa"/>
            <w:tcBorders>
              <w:top w:val="nil"/>
              <w:left w:val="nil"/>
              <w:bottom w:val="single" w:sz="4" w:space="0" w:color="auto"/>
              <w:right w:val="single" w:sz="4" w:space="0" w:color="auto"/>
            </w:tcBorders>
            <w:shd w:val="clear" w:color="auto" w:fill="auto"/>
            <w:vAlign w:val="center"/>
            <w:hideMark/>
          </w:tcPr>
          <w:p w:rsidR="003F446D" w:rsidRPr="00330C33" w:rsidRDefault="003F446D" w:rsidP="00507035">
            <w:pPr>
              <w:jc w:val="right"/>
              <w:rPr>
                <w:rFonts w:ascii="Arial" w:hAnsi="Arial" w:cs="Arial"/>
                <w:color w:val="000000"/>
                <w:sz w:val="18"/>
                <w:szCs w:val="18"/>
              </w:rPr>
            </w:pPr>
            <w:r w:rsidRPr="00330C33">
              <w:rPr>
                <w:rFonts w:ascii="Arial" w:hAnsi="Arial" w:cs="Arial"/>
                <w:color w:val="000000"/>
                <w:sz w:val="18"/>
                <w:szCs w:val="18"/>
              </w:rPr>
              <w:t>31 600 798,74</w:t>
            </w:r>
          </w:p>
        </w:tc>
        <w:tc>
          <w:tcPr>
            <w:tcW w:w="1400" w:type="dxa"/>
            <w:tcBorders>
              <w:top w:val="nil"/>
              <w:left w:val="nil"/>
              <w:bottom w:val="single" w:sz="4" w:space="0" w:color="auto"/>
              <w:right w:val="single" w:sz="4" w:space="0" w:color="auto"/>
            </w:tcBorders>
            <w:shd w:val="clear" w:color="auto" w:fill="auto"/>
            <w:vAlign w:val="center"/>
            <w:hideMark/>
          </w:tcPr>
          <w:p w:rsidR="003F446D" w:rsidRPr="00330C33" w:rsidRDefault="003F446D" w:rsidP="00507035">
            <w:pPr>
              <w:jc w:val="right"/>
              <w:rPr>
                <w:rFonts w:ascii="Arial" w:hAnsi="Arial" w:cs="Arial"/>
                <w:color w:val="000000"/>
                <w:sz w:val="18"/>
                <w:szCs w:val="18"/>
              </w:rPr>
            </w:pPr>
            <w:r w:rsidRPr="00330C33">
              <w:rPr>
                <w:rFonts w:ascii="Arial" w:hAnsi="Arial" w:cs="Arial"/>
                <w:color w:val="000000"/>
                <w:sz w:val="18"/>
                <w:szCs w:val="18"/>
              </w:rPr>
              <w:t>22,38%</w:t>
            </w:r>
          </w:p>
        </w:tc>
      </w:tr>
      <w:tr w:rsidR="003F446D" w:rsidRPr="00BD19A8" w:rsidTr="003F446D">
        <w:trPr>
          <w:trHeight w:val="330"/>
        </w:trPr>
        <w:tc>
          <w:tcPr>
            <w:tcW w:w="1560" w:type="dxa"/>
            <w:tcBorders>
              <w:top w:val="nil"/>
              <w:left w:val="single" w:sz="4" w:space="0" w:color="auto"/>
              <w:bottom w:val="single" w:sz="4" w:space="0" w:color="auto"/>
              <w:right w:val="single" w:sz="4" w:space="0" w:color="auto"/>
            </w:tcBorders>
            <w:shd w:val="clear" w:color="auto" w:fill="auto"/>
            <w:vAlign w:val="center"/>
            <w:hideMark/>
          </w:tcPr>
          <w:p w:rsidR="003F446D" w:rsidRPr="00330C33" w:rsidRDefault="003F446D" w:rsidP="00507035">
            <w:pPr>
              <w:jc w:val="center"/>
              <w:rPr>
                <w:rFonts w:ascii="Arial" w:hAnsi="Arial" w:cs="Arial"/>
                <w:color w:val="000000"/>
                <w:sz w:val="18"/>
                <w:szCs w:val="18"/>
              </w:rPr>
            </w:pPr>
            <w:r w:rsidRPr="00330C33">
              <w:rPr>
                <w:rFonts w:ascii="Arial" w:hAnsi="Arial" w:cs="Arial"/>
                <w:color w:val="000000"/>
                <w:sz w:val="18"/>
                <w:szCs w:val="18"/>
                <w:lang w:eastAsia="cs-CZ"/>
              </w:rPr>
              <w:t>Prioritná os 3 (ERDF)</w:t>
            </w:r>
          </w:p>
        </w:tc>
        <w:tc>
          <w:tcPr>
            <w:tcW w:w="1720" w:type="dxa"/>
            <w:tcBorders>
              <w:top w:val="nil"/>
              <w:left w:val="nil"/>
              <w:bottom w:val="single" w:sz="4" w:space="0" w:color="auto"/>
              <w:right w:val="single" w:sz="4" w:space="0" w:color="auto"/>
            </w:tcBorders>
            <w:shd w:val="clear" w:color="auto" w:fill="auto"/>
            <w:vAlign w:val="center"/>
            <w:hideMark/>
          </w:tcPr>
          <w:p w:rsidR="003F446D" w:rsidRPr="00330C33" w:rsidRDefault="003F446D" w:rsidP="00507035">
            <w:pPr>
              <w:jc w:val="right"/>
              <w:rPr>
                <w:rFonts w:ascii="Arial" w:hAnsi="Arial" w:cs="Arial"/>
                <w:color w:val="000000"/>
                <w:sz w:val="18"/>
                <w:szCs w:val="18"/>
              </w:rPr>
            </w:pPr>
            <w:r w:rsidRPr="00330C33">
              <w:rPr>
                <w:rFonts w:ascii="Arial" w:hAnsi="Arial" w:cs="Arial"/>
                <w:color w:val="000000"/>
                <w:sz w:val="18"/>
                <w:szCs w:val="18"/>
              </w:rPr>
              <w:t>211 764 706,00</w:t>
            </w:r>
          </w:p>
        </w:tc>
        <w:tc>
          <w:tcPr>
            <w:tcW w:w="1240" w:type="dxa"/>
            <w:tcBorders>
              <w:top w:val="nil"/>
              <w:left w:val="nil"/>
              <w:bottom w:val="single" w:sz="4" w:space="0" w:color="auto"/>
              <w:right w:val="single" w:sz="4" w:space="0" w:color="auto"/>
            </w:tcBorders>
            <w:shd w:val="clear" w:color="auto" w:fill="auto"/>
            <w:vAlign w:val="center"/>
            <w:hideMark/>
          </w:tcPr>
          <w:p w:rsidR="003F446D" w:rsidRPr="00330C33" w:rsidRDefault="003F446D" w:rsidP="00507035">
            <w:pPr>
              <w:jc w:val="center"/>
              <w:rPr>
                <w:rFonts w:ascii="Arial" w:hAnsi="Arial" w:cs="Arial"/>
                <w:color w:val="000000"/>
                <w:sz w:val="18"/>
                <w:szCs w:val="18"/>
              </w:rPr>
            </w:pPr>
            <w:r w:rsidRPr="00330C33">
              <w:rPr>
                <w:rFonts w:ascii="Arial" w:hAnsi="Arial" w:cs="Arial"/>
                <w:color w:val="000000"/>
                <w:sz w:val="18"/>
                <w:szCs w:val="18"/>
                <w:lang w:eastAsia="cs-CZ"/>
              </w:rPr>
              <w:t>verejné zdroje</w:t>
            </w:r>
          </w:p>
        </w:tc>
        <w:tc>
          <w:tcPr>
            <w:tcW w:w="1480" w:type="dxa"/>
            <w:tcBorders>
              <w:top w:val="nil"/>
              <w:left w:val="nil"/>
              <w:bottom w:val="single" w:sz="4" w:space="0" w:color="auto"/>
              <w:right w:val="single" w:sz="4" w:space="0" w:color="auto"/>
            </w:tcBorders>
            <w:shd w:val="clear" w:color="auto" w:fill="auto"/>
            <w:vAlign w:val="center"/>
            <w:hideMark/>
          </w:tcPr>
          <w:p w:rsidR="003F446D" w:rsidRPr="00330C33" w:rsidRDefault="003F446D" w:rsidP="00507035">
            <w:pPr>
              <w:jc w:val="right"/>
              <w:rPr>
                <w:rFonts w:ascii="Arial" w:hAnsi="Arial" w:cs="Arial"/>
                <w:color w:val="000000"/>
                <w:sz w:val="18"/>
                <w:szCs w:val="18"/>
              </w:rPr>
            </w:pPr>
            <w:r w:rsidRPr="00330C33">
              <w:rPr>
                <w:rFonts w:ascii="Arial" w:hAnsi="Arial" w:cs="Arial"/>
                <w:color w:val="000000"/>
                <w:sz w:val="18"/>
                <w:szCs w:val="18"/>
              </w:rPr>
              <w:t>140 574 191,33</w:t>
            </w:r>
          </w:p>
        </w:tc>
        <w:tc>
          <w:tcPr>
            <w:tcW w:w="1420" w:type="dxa"/>
            <w:tcBorders>
              <w:top w:val="nil"/>
              <w:left w:val="nil"/>
              <w:bottom w:val="single" w:sz="4" w:space="0" w:color="auto"/>
              <w:right w:val="single" w:sz="4" w:space="0" w:color="auto"/>
            </w:tcBorders>
            <w:shd w:val="clear" w:color="auto" w:fill="auto"/>
            <w:vAlign w:val="center"/>
            <w:hideMark/>
          </w:tcPr>
          <w:p w:rsidR="003F446D" w:rsidRPr="00330C33" w:rsidRDefault="003F446D" w:rsidP="00507035">
            <w:pPr>
              <w:jc w:val="right"/>
              <w:rPr>
                <w:rFonts w:ascii="Arial" w:hAnsi="Arial" w:cs="Arial"/>
                <w:color w:val="000000"/>
                <w:sz w:val="18"/>
                <w:szCs w:val="18"/>
              </w:rPr>
            </w:pPr>
            <w:r w:rsidRPr="00330C33">
              <w:rPr>
                <w:rFonts w:ascii="Arial" w:hAnsi="Arial" w:cs="Arial"/>
                <w:color w:val="000000"/>
                <w:sz w:val="18"/>
                <w:szCs w:val="18"/>
              </w:rPr>
              <w:t>121 167 265,87</w:t>
            </w:r>
          </w:p>
        </w:tc>
        <w:tc>
          <w:tcPr>
            <w:tcW w:w="1400" w:type="dxa"/>
            <w:tcBorders>
              <w:top w:val="nil"/>
              <w:left w:val="nil"/>
              <w:bottom w:val="single" w:sz="4" w:space="0" w:color="auto"/>
              <w:right w:val="single" w:sz="4" w:space="0" w:color="auto"/>
            </w:tcBorders>
            <w:shd w:val="clear" w:color="auto" w:fill="auto"/>
            <w:vAlign w:val="center"/>
            <w:hideMark/>
          </w:tcPr>
          <w:p w:rsidR="003F446D" w:rsidRPr="00330C33" w:rsidRDefault="003F446D" w:rsidP="00507035">
            <w:pPr>
              <w:jc w:val="right"/>
              <w:rPr>
                <w:rFonts w:ascii="Arial" w:hAnsi="Arial" w:cs="Arial"/>
                <w:color w:val="000000"/>
                <w:sz w:val="18"/>
                <w:szCs w:val="18"/>
              </w:rPr>
            </w:pPr>
            <w:r w:rsidRPr="00330C33">
              <w:rPr>
                <w:rFonts w:ascii="Arial" w:hAnsi="Arial" w:cs="Arial"/>
                <w:color w:val="000000"/>
                <w:sz w:val="18"/>
                <w:szCs w:val="18"/>
              </w:rPr>
              <w:t>57,22%</w:t>
            </w:r>
          </w:p>
        </w:tc>
      </w:tr>
      <w:tr w:rsidR="003F446D" w:rsidRPr="00BD19A8" w:rsidTr="003F446D">
        <w:trPr>
          <w:trHeight w:val="330"/>
        </w:trPr>
        <w:tc>
          <w:tcPr>
            <w:tcW w:w="1560" w:type="dxa"/>
            <w:tcBorders>
              <w:top w:val="nil"/>
              <w:left w:val="single" w:sz="4" w:space="0" w:color="auto"/>
              <w:bottom w:val="single" w:sz="4" w:space="0" w:color="auto"/>
              <w:right w:val="single" w:sz="4" w:space="0" w:color="auto"/>
            </w:tcBorders>
            <w:shd w:val="clear" w:color="auto" w:fill="auto"/>
            <w:vAlign w:val="center"/>
            <w:hideMark/>
          </w:tcPr>
          <w:p w:rsidR="003F446D" w:rsidRPr="00330C33" w:rsidRDefault="003F446D" w:rsidP="00507035">
            <w:pPr>
              <w:jc w:val="center"/>
              <w:rPr>
                <w:rFonts w:ascii="Arial" w:hAnsi="Arial" w:cs="Arial"/>
                <w:color w:val="000000"/>
                <w:sz w:val="18"/>
                <w:szCs w:val="18"/>
              </w:rPr>
            </w:pPr>
            <w:r w:rsidRPr="00330C33">
              <w:rPr>
                <w:rFonts w:ascii="Arial" w:hAnsi="Arial" w:cs="Arial"/>
                <w:color w:val="000000"/>
                <w:sz w:val="18"/>
                <w:szCs w:val="18"/>
                <w:lang w:eastAsia="cs-CZ"/>
              </w:rPr>
              <w:t>Prioritná os 4 (KF)</w:t>
            </w:r>
          </w:p>
        </w:tc>
        <w:tc>
          <w:tcPr>
            <w:tcW w:w="1720" w:type="dxa"/>
            <w:tcBorders>
              <w:top w:val="nil"/>
              <w:left w:val="nil"/>
              <w:bottom w:val="single" w:sz="4" w:space="0" w:color="auto"/>
              <w:right w:val="single" w:sz="4" w:space="0" w:color="auto"/>
            </w:tcBorders>
            <w:shd w:val="clear" w:color="auto" w:fill="auto"/>
            <w:vAlign w:val="center"/>
            <w:hideMark/>
          </w:tcPr>
          <w:p w:rsidR="003F446D" w:rsidRPr="00330C33" w:rsidRDefault="003F446D" w:rsidP="00507035">
            <w:pPr>
              <w:jc w:val="right"/>
              <w:rPr>
                <w:rFonts w:ascii="Arial" w:hAnsi="Arial" w:cs="Arial"/>
                <w:color w:val="000000"/>
                <w:sz w:val="18"/>
                <w:szCs w:val="18"/>
              </w:rPr>
            </w:pPr>
            <w:r w:rsidRPr="00330C33">
              <w:rPr>
                <w:rFonts w:ascii="Arial" w:hAnsi="Arial" w:cs="Arial"/>
                <w:color w:val="000000"/>
                <w:sz w:val="18"/>
                <w:szCs w:val="18"/>
              </w:rPr>
              <w:t>570 588 235,33</w:t>
            </w:r>
          </w:p>
        </w:tc>
        <w:tc>
          <w:tcPr>
            <w:tcW w:w="1240" w:type="dxa"/>
            <w:tcBorders>
              <w:top w:val="nil"/>
              <w:left w:val="nil"/>
              <w:bottom w:val="single" w:sz="4" w:space="0" w:color="auto"/>
              <w:right w:val="single" w:sz="4" w:space="0" w:color="auto"/>
            </w:tcBorders>
            <w:shd w:val="clear" w:color="auto" w:fill="auto"/>
            <w:vAlign w:val="center"/>
            <w:hideMark/>
          </w:tcPr>
          <w:p w:rsidR="003F446D" w:rsidRPr="00330C33" w:rsidRDefault="003F446D" w:rsidP="00507035">
            <w:pPr>
              <w:jc w:val="center"/>
              <w:rPr>
                <w:rFonts w:ascii="Arial" w:hAnsi="Arial" w:cs="Arial"/>
                <w:color w:val="000000"/>
                <w:sz w:val="18"/>
                <w:szCs w:val="18"/>
              </w:rPr>
            </w:pPr>
            <w:r w:rsidRPr="00330C33">
              <w:rPr>
                <w:rFonts w:ascii="Arial" w:hAnsi="Arial" w:cs="Arial"/>
                <w:color w:val="000000"/>
                <w:sz w:val="18"/>
                <w:szCs w:val="18"/>
                <w:lang w:eastAsia="cs-CZ"/>
              </w:rPr>
              <w:t>verejné zdroje</w:t>
            </w:r>
          </w:p>
        </w:tc>
        <w:tc>
          <w:tcPr>
            <w:tcW w:w="1480" w:type="dxa"/>
            <w:tcBorders>
              <w:top w:val="nil"/>
              <w:left w:val="nil"/>
              <w:bottom w:val="single" w:sz="4" w:space="0" w:color="auto"/>
              <w:right w:val="single" w:sz="4" w:space="0" w:color="auto"/>
            </w:tcBorders>
            <w:shd w:val="clear" w:color="auto" w:fill="auto"/>
            <w:vAlign w:val="center"/>
            <w:hideMark/>
          </w:tcPr>
          <w:p w:rsidR="003F446D" w:rsidRPr="00330C33" w:rsidRDefault="003F446D" w:rsidP="00507035">
            <w:pPr>
              <w:jc w:val="right"/>
              <w:rPr>
                <w:rFonts w:ascii="Arial" w:hAnsi="Arial" w:cs="Arial"/>
                <w:color w:val="000000"/>
                <w:sz w:val="18"/>
                <w:szCs w:val="18"/>
              </w:rPr>
            </w:pPr>
            <w:r w:rsidRPr="00330C33">
              <w:rPr>
                <w:rFonts w:ascii="Arial" w:hAnsi="Arial" w:cs="Arial"/>
                <w:color w:val="000000"/>
                <w:sz w:val="18"/>
                <w:szCs w:val="18"/>
              </w:rPr>
              <w:t>217 206 319,18</w:t>
            </w:r>
          </w:p>
        </w:tc>
        <w:tc>
          <w:tcPr>
            <w:tcW w:w="1420" w:type="dxa"/>
            <w:tcBorders>
              <w:top w:val="nil"/>
              <w:left w:val="nil"/>
              <w:bottom w:val="single" w:sz="4" w:space="0" w:color="auto"/>
              <w:right w:val="single" w:sz="4" w:space="0" w:color="auto"/>
            </w:tcBorders>
            <w:shd w:val="clear" w:color="auto" w:fill="auto"/>
            <w:vAlign w:val="center"/>
            <w:hideMark/>
          </w:tcPr>
          <w:p w:rsidR="003F446D" w:rsidRPr="00330C33" w:rsidRDefault="003F446D" w:rsidP="00507035">
            <w:pPr>
              <w:jc w:val="right"/>
              <w:rPr>
                <w:rFonts w:ascii="Arial" w:hAnsi="Arial" w:cs="Arial"/>
                <w:color w:val="000000"/>
                <w:sz w:val="18"/>
                <w:szCs w:val="18"/>
              </w:rPr>
            </w:pPr>
            <w:r w:rsidRPr="00330C33">
              <w:rPr>
                <w:rFonts w:ascii="Arial" w:hAnsi="Arial" w:cs="Arial"/>
                <w:color w:val="000000"/>
                <w:sz w:val="18"/>
                <w:szCs w:val="18"/>
              </w:rPr>
              <w:t>188 618 117,07</w:t>
            </w:r>
          </w:p>
        </w:tc>
        <w:tc>
          <w:tcPr>
            <w:tcW w:w="1400" w:type="dxa"/>
            <w:tcBorders>
              <w:top w:val="nil"/>
              <w:left w:val="nil"/>
              <w:bottom w:val="single" w:sz="4" w:space="0" w:color="auto"/>
              <w:right w:val="single" w:sz="4" w:space="0" w:color="auto"/>
            </w:tcBorders>
            <w:shd w:val="clear" w:color="auto" w:fill="auto"/>
            <w:vAlign w:val="center"/>
            <w:hideMark/>
          </w:tcPr>
          <w:p w:rsidR="003F446D" w:rsidRPr="00330C33" w:rsidRDefault="003F446D" w:rsidP="00507035">
            <w:pPr>
              <w:jc w:val="right"/>
              <w:rPr>
                <w:rFonts w:ascii="Arial" w:hAnsi="Arial" w:cs="Arial"/>
                <w:color w:val="000000"/>
                <w:sz w:val="18"/>
                <w:szCs w:val="18"/>
              </w:rPr>
            </w:pPr>
            <w:r w:rsidRPr="00330C33">
              <w:rPr>
                <w:rFonts w:ascii="Arial" w:hAnsi="Arial" w:cs="Arial"/>
                <w:color w:val="000000"/>
                <w:sz w:val="18"/>
                <w:szCs w:val="18"/>
              </w:rPr>
              <w:t>33,06%</w:t>
            </w:r>
          </w:p>
        </w:tc>
      </w:tr>
      <w:tr w:rsidR="003F446D" w:rsidRPr="00BD19A8" w:rsidTr="003F446D">
        <w:trPr>
          <w:trHeight w:val="330"/>
        </w:trPr>
        <w:tc>
          <w:tcPr>
            <w:tcW w:w="1560" w:type="dxa"/>
            <w:tcBorders>
              <w:top w:val="nil"/>
              <w:left w:val="single" w:sz="4" w:space="0" w:color="auto"/>
              <w:bottom w:val="single" w:sz="4" w:space="0" w:color="auto"/>
              <w:right w:val="single" w:sz="4" w:space="0" w:color="auto"/>
            </w:tcBorders>
            <w:shd w:val="clear" w:color="auto" w:fill="auto"/>
            <w:vAlign w:val="center"/>
            <w:hideMark/>
          </w:tcPr>
          <w:p w:rsidR="003F446D" w:rsidRPr="00330C33" w:rsidRDefault="003F446D" w:rsidP="00507035">
            <w:pPr>
              <w:jc w:val="center"/>
              <w:rPr>
                <w:rFonts w:ascii="Arial" w:hAnsi="Arial" w:cs="Arial"/>
                <w:color w:val="000000"/>
                <w:sz w:val="18"/>
                <w:szCs w:val="18"/>
              </w:rPr>
            </w:pPr>
            <w:r w:rsidRPr="00330C33">
              <w:rPr>
                <w:rFonts w:ascii="Arial" w:hAnsi="Arial" w:cs="Arial"/>
                <w:color w:val="000000"/>
                <w:sz w:val="18"/>
                <w:szCs w:val="18"/>
                <w:lang w:eastAsia="cs-CZ"/>
              </w:rPr>
              <w:t>Prioritná os 5 (ERDF)</w:t>
            </w:r>
          </w:p>
        </w:tc>
        <w:tc>
          <w:tcPr>
            <w:tcW w:w="1720" w:type="dxa"/>
            <w:tcBorders>
              <w:top w:val="nil"/>
              <w:left w:val="nil"/>
              <w:bottom w:val="single" w:sz="4" w:space="0" w:color="auto"/>
              <w:right w:val="single" w:sz="4" w:space="0" w:color="auto"/>
            </w:tcBorders>
            <w:shd w:val="clear" w:color="auto" w:fill="auto"/>
            <w:vAlign w:val="center"/>
            <w:hideMark/>
          </w:tcPr>
          <w:p w:rsidR="003F446D" w:rsidRPr="00330C33" w:rsidRDefault="003F446D" w:rsidP="00507035">
            <w:pPr>
              <w:jc w:val="right"/>
              <w:rPr>
                <w:rFonts w:ascii="Arial" w:hAnsi="Arial" w:cs="Arial"/>
                <w:color w:val="000000"/>
                <w:sz w:val="18"/>
                <w:szCs w:val="18"/>
              </w:rPr>
            </w:pPr>
            <w:r w:rsidRPr="00330C33">
              <w:rPr>
                <w:rFonts w:ascii="Arial" w:hAnsi="Arial" w:cs="Arial"/>
                <w:color w:val="000000"/>
                <w:sz w:val="18"/>
                <w:szCs w:val="18"/>
              </w:rPr>
              <w:t>59 714 041,26</w:t>
            </w:r>
          </w:p>
        </w:tc>
        <w:tc>
          <w:tcPr>
            <w:tcW w:w="1240" w:type="dxa"/>
            <w:tcBorders>
              <w:top w:val="nil"/>
              <w:left w:val="nil"/>
              <w:bottom w:val="single" w:sz="4" w:space="0" w:color="auto"/>
              <w:right w:val="single" w:sz="4" w:space="0" w:color="auto"/>
            </w:tcBorders>
            <w:shd w:val="clear" w:color="auto" w:fill="auto"/>
            <w:vAlign w:val="center"/>
            <w:hideMark/>
          </w:tcPr>
          <w:p w:rsidR="003F446D" w:rsidRPr="00330C33" w:rsidRDefault="003F446D" w:rsidP="00507035">
            <w:pPr>
              <w:jc w:val="center"/>
              <w:rPr>
                <w:rFonts w:ascii="Arial" w:hAnsi="Arial" w:cs="Arial"/>
                <w:color w:val="000000"/>
                <w:sz w:val="18"/>
                <w:szCs w:val="18"/>
              </w:rPr>
            </w:pPr>
            <w:r w:rsidRPr="00330C33">
              <w:rPr>
                <w:rFonts w:ascii="Arial" w:hAnsi="Arial" w:cs="Arial"/>
                <w:color w:val="000000"/>
                <w:sz w:val="18"/>
                <w:szCs w:val="18"/>
                <w:lang w:eastAsia="cs-CZ"/>
              </w:rPr>
              <w:t>verejné zdroje</w:t>
            </w:r>
          </w:p>
        </w:tc>
        <w:tc>
          <w:tcPr>
            <w:tcW w:w="1480" w:type="dxa"/>
            <w:tcBorders>
              <w:top w:val="nil"/>
              <w:left w:val="nil"/>
              <w:bottom w:val="single" w:sz="4" w:space="0" w:color="auto"/>
              <w:right w:val="single" w:sz="4" w:space="0" w:color="auto"/>
            </w:tcBorders>
            <w:shd w:val="clear" w:color="auto" w:fill="auto"/>
            <w:vAlign w:val="center"/>
            <w:hideMark/>
          </w:tcPr>
          <w:p w:rsidR="003F446D" w:rsidRPr="00330C33" w:rsidRDefault="003F446D" w:rsidP="00507035">
            <w:pPr>
              <w:jc w:val="right"/>
              <w:rPr>
                <w:rFonts w:ascii="Arial" w:hAnsi="Arial" w:cs="Arial"/>
                <w:color w:val="000000"/>
                <w:sz w:val="18"/>
                <w:szCs w:val="18"/>
              </w:rPr>
            </w:pPr>
            <w:r w:rsidRPr="00330C33">
              <w:rPr>
                <w:rFonts w:ascii="Arial" w:hAnsi="Arial" w:cs="Arial"/>
                <w:color w:val="000000"/>
                <w:sz w:val="18"/>
                <w:szCs w:val="18"/>
              </w:rPr>
              <w:t>10 885 671,98</w:t>
            </w:r>
          </w:p>
        </w:tc>
        <w:tc>
          <w:tcPr>
            <w:tcW w:w="1420" w:type="dxa"/>
            <w:tcBorders>
              <w:top w:val="nil"/>
              <w:left w:val="nil"/>
              <w:bottom w:val="single" w:sz="4" w:space="0" w:color="auto"/>
              <w:right w:val="single" w:sz="4" w:space="0" w:color="auto"/>
            </w:tcBorders>
            <w:shd w:val="clear" w:color="auto" w:fill="auto"/>
            <w:vAlign w:val="center"/>
            <w:hideMark/>
          </w:tcPr>
          <w:p w:rsidR="003F446D" w:rsidRPr="00330C33" w:rsidRDefault="003F446D" w:rsidP="00507035">
            <w:pPr>
              <w:jc w:val="right"/>
              <w:rPr>
                <w:rFonts w:ascii="Arial" w:hAnsi="Arial" w:cs="Arial"/>
                <w:color w:val="000000"/>
                <w:sz w:val="18"/>
                <w:szCs w:val="18"/>
              </w:rPr>
            </w:pPr>
            <w:r w:rsidRPr="00330C33">
              <w:rPr>
                <w:rFonts w:ascii="Arial" w:hAnsi="Arial" w:cs="Arial"/>
                <w:color w:val="000000"/>
                <w:sz w:val="18"/>
                <w:szCs w:val="18"/>
              </w:rPr>
              <w:t>10 885 671,98</w:t>
            </w:r>
          </w:p>
        </w:tc>
        <w:tc>
          <w:tcPr>
            <w:tcW w:w="1400" w:type="dxa"/>
            <w:tcBorders>
              <w:top w:val="nil"/>
              <w:left w:val="nil"/>
              <w:bottom w:val="single" w:sz="4" w:space="0" w:color="auto"/>
              <w:right w:val="single" w:sz="4" w:space="0" w:color="auto"/>
            </w:tcBorders>
            <w:shd w:val="clear" w:color="auto" w:fill="auto"/>
            <w:vAlign w:val="center"/>
            <w:hideMark/>
          </w:tcPr>
          <w:p w:rsidR="003F446D" w:rsidRPr="00330C33" w:rsidRDefault="003F446D" w:rsidP="00507035">
            <w:pPr>
              <w:jc w:val="right"/>
              <w:rPr>
                <w:rFonts w:ascii="Arial" w:hAnsi="Arial" w:cs="Arial"/>
                <w:color w:val="000000"/>
                <w:sz w:val="18"/>
                <w:szCs w:val="18"/>
              </w:rPr>
            </w:pPr>
            <w:r w:rsidRPr="00330C33">
              <w:rPr>
                <w:rFonts w:ascii="Arial" w:hAnsi="Arial" w:cs="Arial"/>
                <w:color w:val="000000"/>
                <w:sz w:val="18"/>
                <w:szCs w:val="18"/>
              </w:rPr>
              <w:t>18,23%</w:t>
            </w:r>
          </w:p>
        </w:tc>
      </w:tr>
      <w:tr w:rsidR="003F446D" w:rsidRPr="00BD19A8" w:rsidTr="003F446D">
        <w:trPr>
          <w:trHeight w:val="330"/>
        </w:trPr>
        <w:tc>
          <w:tcPr>
            <w:tcW w:w="1560" w:type="dxa"/>
            <w:tcBorders>
              <w:top w:val="nil"/>
              <w:left w:val="single" w:sz="4" w:space="0" w:color="auto"/>
              <w:bottom w:val="single" w:sz="4" w:space="0" w:color="auto"/>
              <w:right w:val="single" w:sz="4" w:space="0" w:color="auto"/>
            </w:tcBorders>
            <w:shd w:val="clear" w:color="auto" w:fill="auto"/>
            <w:vAlign w:val="center"/>
            <w:hideMark/>
          </w:tcPr>
          <w:p w:rsidR="003F446D" w:rsidRPr="00330C33" w:rsidRDefault="003F446D" w:rsidP="00507035">
            <w:pPr>
              <w:jc w:val="center"/>
              <w:rPr>
                <w:rFonts w:ascii="Arial" w:hAnsi="Arial" w:cs="Arial"/>
                <w:color w:val="000000"/>
                <w:sz w:val="18"/>
                <w:szCs w:val="18"/>
              </w:rPr>
            </w:pPr>
            <w:r w:rsidRPr="00330C33">
              <w:rPr>
                <w:rFonts w:ascii="Arial" w:hAnsi="Arial" w:cs="Arial"/>
                <w:color w:val="000000"/>
                <w:sz w:val="18"/>
                <w:szCs w:val="18"/>
                <w:lang w:eastAsia="cs-CZ"/>
              </w:rPr>
              <w:t>Prioritná os 6 (KF)</w:t>
            </w:r>
          </w:p>
        </w:tc>
        <w:tc>
          <w:tcPr>
            <w:tcW w:w="1720" w:type="dxa"/>
            <w:tcBorders>
              <w:top w:val="nil"/>
              <w:left w:val="nil"/>
              <w:bottom w:val="single" w:sz="4" w:space="0" w:color="auto"/>
              <w:right w:val="single" w:sz="4" w:space="0" w:color="auto"/>
            </w:tcBorders>
            <w:shd w:val="clear" w:color="auto" w:fill="auto"/>
            <w:vAlign w:val="center"/>
            <w:hideMark/>
          </w:tcPr>
          <w:p w:rsidR="003F446D" w:rsidRPr="00330C33" w:rsidRDefault="003F446D" w:rsidP="00507035">
            <w:pPr>
              <w:jc w:val="right"/>
              <w:rPr>
                <w:rFonts w:ascii="Arial" w:hAnsi="Arial" w:cs="Arial"/>
                <w:color w:val="000000"/>
                <w:sz w:val="18"/>
                <w:szCs w:val="18"/>
              </w:rPr>
            </w:pPr>
            <w:r w:rsidRPr="00330C33">
              <w:rPr>
                <w:rFonts w:ascii="Arial" w:hAnsi="Arial" w:cs="Arial"/>
                <w:color w:val="000000"/>
                <w:sz w:val="18"/>
                <w:szCs w:val="18"/>
              </w:rPr>
              <w:t>57 176 470,00</w:t>
            </w:r>
          </w:p>
        </w:tc>
        <w:tc>
          <w:tcPr>
            <w:tcW w:w="1240" w:type="dxa"/>
            <w:tcBorders>
              <w:top w:val="nil"/>
              <w:left w:val="nil"/>
              <w:bottom w:val="single" w:sz="4" w:space="0" w:color="auto"/>
              <w:right w:val="single" w:sz="4" w:space="0" w:color="auto"/>
            </w:tcBorders>
            <w:shd w:val="clear" w:color="auto" w:fill="auto"/>
            <w:vAlign w:val="center"/>
            <w:hideMark/>
          </w:tcPr>
          <w:p w:rsidR="003F446D" w:rsidRPr="00330C33" w:rsidRDefault="003F446D" w:rsidP="00507035">
            <w:pPr>
              <w:jc w:val="center"/>
              <w:rPr>
                <w:rFonts w:ascii="Arial" w:hAnsi="Arial" w:cs="Arial"/>
                <w:color w:val="000000"/>
                <w:sz w:val="18"/>
                <w:szCs w:val="18"/>
              </w:rPr>
            </w:pPr>
            <w:r w:rsidRPr="00330C33">
              <w:rPr>
                <w:rFonts w:ascii="Arial" w:hAnsi="Arial" w:cs="Arial"/>
                <w:color w:val="000000"/>
                <w:sz w:val="18"/>
                <w:szCs w:val="18"/>
                <w:lang w:eastAsia="cs-CZ"/>
              </w:rPr>
              <w:t>verejné zdroje</w:t>
            </w:r>
          </w:p>
        </w:tc>
        <w:tc>
          <w:tcPr>
            <w:tcW w:w="1480" w:type="dxa"/>
            <w:tcBorders>
              <w:top w:val="nil"/>
              <w:left w:val="nil"/>
              <w:bottom w:val="single" w:sz="4" w:space="0" w:color="auto"/>
              <w:right w:val="single" w:sz="4" w:space="0" w:color="auto"/>
            </w:tcBorders>
            <w:shd w:val="clear" w:color="auto" w:fill="auto"/>
            <w:vAlign w:val="center"/>
            <w:hideMark/>
          </w:tcPr>
          <w:p w:rsidR="003F446D" w:rsidRPr="00330C33" w:rsidRDefault="003F446D" w:rsidP="00507035">
            <w:pPr>
              <w:jc w:val="right"/>
              <w:rPr>
                <w:rFonts w:ascii="Arial" w:hAnsi="Arial" w:cs="Arial"/>
                <w:color w:val="000000"/>
                <w:sz w:val="18"/>
                <w:szCs w:val="18"/>
              </w:rPr>
            </w:pPr>
            <w:r w:rsidRPr="00330C33">
              <w:rPr>
                <w:rFonts w:ascii="Arial" w:hAnsi="Arial" w:cs="Arial"/>
                <w:color w:val="000000"/>
                <w:sz w:val="18"/>
                <w:szCs w:val="18"/>
              </w:rPr>
              <w:t>27 492 804,03</w:t>
            </w:r>
          </w:p>
        </w:tc>
        <w:tc>
          <w:tcPr>
            <w:tcW w:w="1420" w:type="dxa"/>
            <w:tcBorders>
              <w:top w:val="nil"/>
              <w:left w:val="nil"/>
              <w:bottom w:val="single" w:sz="4" w:space="0" w:color="auto"/>
              <w:right w:val="single" w:sz="4" w:space="0" w:color="auto"/>
            </w:tcBorders>
            <w:shd w:val="clear" w:color="auto" w:fill="auto"/>
            <w:vAlign w:val="center"/>
            <w:hideMark/>
          </w:tcPr>
          <w:p w:rsidR="003F446D" w:rsidRPr="00330C33" w:rsidRDefault="003F446D" w:rsidP="00507035">
            <w:pPr>
              <w:jc w:val="right"/>
              <w:rPr>
                <w:rFonts w:ascii="Arial" w:hAnsi="Arial" w:cs="Arial"/>
                <w:color w:val="000000"/>
                <w:sz w:val="18"/>
                <w:szCs w:val="18"/>
              </w:rPr>
            </w:pPr>
            <w:r w:rsidRPr="00330C33">
              <w:rPr>
                <w:rFonts w:ascii="Arial" w:hAnsi="Arial" w:cs="Arial"/>
                <w:color w:val="000000"/>
                <w:sz w:val="18"/>
                <w:szCs w:val="18"/>
              </w:rPr>
              <w:t>27 492 804,03</w:t>
            </w:r>
          </w:p>
        </w:tc>
        <w:tc>
          <w:tcPr>
            <w:tcW w:w="1400" w:type="dxa"/>
            <w:tcBorders>
              <w:top w:val="nil"/>
              <w:left w:val="nil"/>
              <w:bottom w:val="single" w:sz="4" w:space="0" w:color="auto"/>
              <w:right w:val="single" w:sz="4" w:space="0" w:color="auto"/>
            </w:tcBorders>
            <w:shd w:val="clear" w:color="auto" w:fill="auto"/>
            <w:vAlign w:val="center"/>
            <w:hideMark/>
          </w:tcPr>
          <w:p w:rsidR="003F446D" w:rsidRPr="00330C33" w:rsidRDefault="003F446D" w:rsidP="00507035">
            <w:pPr>
              <w:jc w:val="right"/>
              <w:rPr>
                <w:rFonts w:ascii="Arial" w:hAnsi="Arial" w:cs="Arial"/>
                <w:color w:val="000000"/>
                <w:sz w:val="18"/>
                <w:szCs w:val="18"/>
              </w:rPr>
            </w:pPr>
            <w:r w:rsidRPr="00330C33">
              <w:rPr>
                <w:rFonts w:ascii="Arial" w:hAnsi="Arial" w:cs="Arial"/>
                <w:color w:val="000000"/>
                <w:sz w:val="18"/>
                <w:szCs w:val="18"/>
              </w:rPr>
              <w:t>48,08%</w:t>
            </w:r>
          </w:p>
        </w:tc>
      </w:tr>
      <w:tr w:rsidR="003F446D" w:rsidRPr="00BD19A8" w:rsidTr="00330C33">
        <w:trPr>
          <w:trHeight w:val="330"/>
        </w:trPr>
        <w:tc>
          <w:tcPr>
            <w:tcW w:w="1560" w:type="dxa"/>
            <w:tcBorders>
              <w:top w:val="nil"/>
              <w:left w:val="single" w:sz="4" w:space="0" w:color="auto"/>
              <w:bottom w:val="single" w:sz="4" w:space="0" w:color="auto"/>
              <w:right w:val="single" w:sz="4" w:space="0" w:color="auto"/>
            </w:tcBorders>
            <w:shd w:val="clear" w:color="auto" w:fill="auto"/>
            <w:vAlign w:val="center"/>
            <w:hideMark/>
          </w:tcPr>
          <w:p w:rsidR="003F446D" w:rsidRPr="00330C33" w:rsidRDefault="003F446D" w:rsidP="00507035">
            <w:pPr>
              <w:jc w:val="center"/>
              <w:rPr>
                <w:rFonts w:ascii="Arial" w:hAnsi="Arial" w:cs="Arial"/>
                <w:color w:val="000000"/>
                <w:sz w:val="18"/>
                <w:szCs w:val="18"/>
              </w:rPr>
            </w:pPr>
            <w:r w:rsidRPr="00330C33">
              <w:rPr>
                <w:rFonts w:ascii="Arial" w:hAnsi="Arial" w:cs="Arial"/>
                <w:color w:val="000000"/>
                <w:sz w:val="18"/>
                <w:szCs w:val="18"/>
                <w:lang w:eastAsia="cs-CZ"/>
              </w:rPr>
              <w:t>Prioritná os 7 (ERDF)</w:t>
            </w:r>
          </w:p>
        </w:tc>
        <w:tc>
          <w:tcPr>
            <w:tcW w:w="1720" w:type="dxa"/>
            <w:tcBorders>
              <w:top w:val="nil"/>
              <w:left w:val="nil"/>
              <w:bottom w:val="single" w:sz="4" w:space="0" w:color="auto"/>
              <w:right w:val="single" w:sz="4" w:space="0" w:color="auto"/>
            </w:tcBorders>
            <w:shd w:val="clear" w:color="auto" w:fill="auto"/>
            <w:vAlign w:val="center"/>
            <w:hideMark/>
          </w:tcPr>
          <w:p w:rsidR="003F446D" w:rsidRPr="00330C33" w:rsidRDefault="003F446D" w:rsidP="00507035">
            <w:pPr>
              <w:jc w:val="right"/>
              <w:rPr>
                <w:rFonts w:ascii="Arial" w:hAnsi="Arial" w:cs="Arial"/>
                <w:color w:val="000000"/>
                <w:sz w:val="18"/>
                <w:szCs w:val="18"/>
              </w:rPr>
            </w:pPr>
            <w:r w:rsidRPr="00330C33">
              <w:rPr>
                <w:rFonts w:ascii="Arial" w:hAnsi="Arial" w:cs="Arial"/>
                <w:color w:val="000000"/>
                <w:sz w:val="18"/>
                <w:szCs w:val="18"/>
              </w:rPr>
              <w:t>23 529 411,76</w:t>
            </w:r>
          </w:p>
        </w:tc>
        <w:tc>
          <w:tcPr>
            <w:tcW w:w="1240" w:type="dxa"/>
            <w:tcBorders>
              <w:top w:val="nil"/>
              <w:left w:val="nil"/>
              <w:bottom w:val="single" w:sz="4" w:space="0" w:color="auto"/>
              <w:right w:val="single" w:sz="4" w:space="0" w:color="auto"/>
            </w:tcBorders>
            <w:shd w:val="clear" w:color="auto" w:fill="auto"/>
            <w:vAlign w:val="center"/>
            <w:hideMark/>
          </w:tcPr>
          <w:p w:rsidR="003F446D" w:rsidRPr="00330C33" w:rsidRDefault="003F446D" w:rsidP="00507035">
            <w:pPr>
              <w:jc w:val="center"/>
              <w:rPr>
                <w:rFonts w:ascii="Arial" w:hAnsi="Arial" w:cs="Arial"/>
                <w:color w:val="000000"/>
                <w:sz w:val="18"/>
                <w:szCs w:val="18"/>
              </w:rPr>
            </w:pPr>
            <w:r w:rsidRPr="00330C33">
              <w:rPr>
                <w:rFonts w:ascii="Arial" w:hAnsi="Arial" w:cs="Arial"/>
                <w:color w:val="000000"/>
                <w:sz w:val="18"/>
                <w:szCs w:val="18"/>
                <w:lang w:eastAsia="cs-CZ"/>
              </w:rPr>
              <w:t>verejné zdroje</w:t>
            </w:r>
          </w:p>
        </w:tc>
        <w:tc>
          <w:tcPr>
            <w:tcW w:w="1480" w:type="dxa"/>
            <w:tcBorders>
              <w:top w:val="nil"/>
              <w:left w:val="nil"/>
              <w:bottom w:val="single" w:sz="4" w:space="0" w:color="auto"/>
              <w:right w:val="single" w:sz="4" w:space="0" w:color="auto"/>
            </w:tcBorders>
            <w:shd w:val="clear" w:color="auto" w:fill="auto"/>
            <w:vAlign w:val="center"/>
            <w:hideMark/>
          </w:tcPr>
          <w:p w:rsidR="003F446D" w:rsidRPr="00330C33" w:rsidRDefault="003F446D" w:rsidP="00507035">
            <w:pPr>
              <w:jc w:val="right"/>
              <w:rPr>
                <w:rFonts w:ascii="Arial" w:hAnsi="Arial" w:cs="Arial"/>
                <w:color w:val="000000"/>
                <w:sz w:val="18"/>
                <w:szCs w:val="18"/>
              </w:rPr>
            </w:pPr>
            <w:r w:rsidRPr="00330C33">
              <w:rPr>
                <w:rFonts w:ascii="Arial" w:hAnsi="Arial" w:cs="Arial"/>
                <w:color w:val="000000"/>
                <w:sz w:val="18"/>
                <w:szCs w:val="18"/>
              </w:rPr>
              <w:t>0,00</w:t>
            </w:r>
          </w:p>
        </w:tc>
        <w:tc>
          <w:tcPr>
            <w:tcW w:w="1420" w:type="dxa"/>
            <w:tcBorders>
              <w:top w:val="nil"/>
              <w:left w:val="nil"/>
              <w:bottom w:val="single" w:sz="4" w:space="0" w:color="auto"/>
              <w:right w:val="single" w:sz="4" w:space="0" w:color="auto"/>
            </w:tcBorders>
            <w:shd w:val="clear" w:color="auto" w:fill="auto"/>
            <w:vAlign w:val="center"/>
            <w:hideMark/>
          </w:tcPr>
          <w:p w:rsidR="003F446D" w:rsidRPr="00330C33" w:rsidRDefault="003F446D" w:rsidP="00507035">
            <w:pPr>
              <w:jc w:val="right"/>
              <w:rPr>
                <w:rFonts w:ascii="Arial" w:hAnsi="Arial" w:cs="Arial"/>
                <w:color w:val="000000"/>
                <w:sz w:val="18"/>
                <w:szCs w:val="18"/>
              </w:rPr>
            </w:pPr>
            <w:r w:rsidRPr="00330C33">
              <w:rPr>
                <w:rFonts w:ascii="Arial" w:hAnsi="Arial" w:cs="Arial"/>
                <w:color w:val="000000"/>
                <w:sz w:val="18"/>
                <w:szCs w:val="18"/>
              </w:rPr>
              <w:t>0,00</w:t>
            </w:r>
          </w:p>
        </w:tc>
        <w:tc>
          <w:tcPr>
            <w:tcW w:w="1400" w:type="dxa"/>
            <w:tcBorders>
              <w:top w:val="nil"/>
              <w:left w:val="nil"/>
              <w:bottom w:val="single" w:sz="4" w:space="0" w:color="auto"/>
              <w:right w:val="single" w:sz="4" w:space="0" w:color="auto"/>
            </w:tcBorders>
            <w:shd w:val="clear" w:color="auto" w:fill="auto"/>
            <w:vAlign w:val="center"/>
            <w:hideMark/>
          </w:tcPr>
          <w:p w:rsidR="003F446D" w:rsidRPr="00330C33" w:rsidRDefault="003F446D" w:rsidP="00507035">
            <w:pPr>
              <w:jc w:val="right"/>
              <w:rPr>
                <w:rFonts w:ascii="Arial" w:hAnsi="Arial" w:cs="Arial"/>
                <w:color w:val="000000"/>
                <w:sz w:val="18"/>
                <w:szCs w:val="18"/>
              </w:rPr>
            </w:pPr>
            <w:r w:rsidRPr="00330C33">
              <w:rPr>
                <w:rFonts w:ascii="Arial" w:hAnsi="Arial" w:cs="Arial"/>
                <w:color w:val="000000"/>
                <w:sz w:val="18"/>
                <w:szCs w:val="18"/>
              </w:rPr>
              <w:t>0,00%</w:t>
            </w:r>
          </w:p>
        </w:tc>
      </w:tr>
      <w:tr w:rsidR="007131AA" w:rsidRPr="00BD19A8" w:rsidTr="007131AA">
        <w:trPr>
          <w:trHeight w:val="330"/>
        </w:trPr>
        <w:tc>
          <w:tcPr>
            <w:tcW w:w="1560" w:type="dxa"/>
            <w:tcBorders>
              <w:top w:val="single" w:sz="4" w:space="0" w:color="auto"/>
              <w:left w:val="single" w:sz="4" w:space="0" w:color="auto"/>
              <w:bottom w:val="single" w:sz="4" w:space="0" w:color="auto"/>
              <w:right w:val="single" w:sz="4" w:space="0" w:color="auto"/>
            </w:tcBorders>
            <w:shd w:val="clear" w:color="000000" w:fill="EAF1DD"/>
            <w:vAlign w:val="center"/>
            <w:hideMark/>
          </w:tcPr>
          <w:p w:rsidR="003F446D" w:rsidRPr="00330C33" w:rsidRDefault="003F446D" w:rsidP="00507035">
            <w:pPr>
              <w:jc w:val="center"/>
              <w:rPr>
                <w:rFonts w:ascii="Arial" w:hAnsi="Arial" w:cs="Arial"/>
                <w:b/>
                <w:bCs/>
                <w:color w:val="000000"/>
                <w:sz w:val="18"/>
                <w:szCs w:val="18"/>
              </w:rPr>
            </w:pPr>
            <w:r w:rsidRPr="00330C33">
              <w:rPr>
                <w:rFonts w:ascii="Arial" w:hAnsi="Arial" w:cs="Arial"/>
                <w:b/>
                <w:bCs/>
                <w:color w:val="000000"/>
                <w:sz w:val="18"/>
                <w:szCs w:val="18"/>
                <w:lang w:eastAsia="cs-CZ"/>
              </w:rPr>
              <w:t>Celkový súčet</w:t>
            </w:r>
          </w:p>
        </w:tc>
        <w:tc>
          <w:tcPr>
            <w:tcW w:w="1720" w:type="dxa"/>
            <w:tcBorders>
              <w:top w:val="single" w:sz="4" w:space="0" w:color="auto"/>
              <w:left w:val="nil"/>
              <w:bottom w:val="single" w:sz="4" w:space="0" w:color="auto"/>
              <w:right w:val="single" w:sz="4" w:space="0" w:color="auto"/>
            </w:tcBorders>
            <w:shd w:val="clear" w:color="000000" w:fill="EAF1DD"/>
            <w:vAlign w:val="center"/>
            <w:hideMark/>
          </w:tcPr>
          <w:p w:rsidR="003F446D" w:rsidRPr="00330C33" w:rsidRDefault="003F446D" w:rsidP="00507035">
            <w:pPr>
              <w:jc w:val="right"/>
              <w:rPr>
                <w:rFonts w:ascii="Arial" w:hAnsi="Arial" w:cs="Arial"/>
                <w:b/>
                <w:bCs/>
                <w:color w:val="000000"/>
                <w:sz w:val="18"/>
                <w:szCs w:val="18"/>
              </w:rPr>
            </w:pPr>
            <w:r w:rsidRPr="00330C33">
              <w:rPr>
                <w:rFonts w:ascii="Arial" w:hAnsi="Arial" w:cs="Arial"/>
                <w:b/>
                <w:bCs/>
                <w:color w:val="000000"/>
                <w:sz w:val="18"/>
                <w:szCs w:val="18"/>
                <w:lang w:eastAsia="cs-CZ"/>
              </w:rPr>
              <w:t>2 141 176 470,67</w:t>
            </w:r>
          </w:p>
        </w:tc>
        <w:tc>
          <w:tcPr>
            <w:tcW w:w="1240" w:type="dxa"/>
            <w:tcBorders>
              <w:top w:val="single" w:sz="4" w:space="0" w:color="auto"/>
              <w:left w:val="nil"/>
              <w:bottom w:val="single" w:sz="4" w:space="0" w:color="auto"/>
              <w:right w:val="single" w:sz="4" w:space="0" w:color="auto"/>
            </w:tcBorders>
            <w:shd w:val="clear" w:color="000000" w:fill="EAF1DD"/>
            <w:vAlign w:val="center"/>
            <w:hideMark/>
          </w:tcPr>
          <w:p w:rsidR="003F446D" w:rsidRPr="00330C33" w:rsidRDefault="003F446D" w:rsidP="00507035">
            <w:pPr>
              <w:jc w:val="center"/>
              <w:rPr>
                <w:rFonts w:ascii="Arial" w:hAnsi="Arial" w:cs="Arial"/>
                <w:b/>
                <w:bCs/>
                <w:color w:val="000000"/>
                <w:sz w:val="18"/>
                <w:szCs w:val="18"/>
                <w:lang w:eastAsia="cs-CZ"/>
              </w:rPr>
            </w:pPr>
            <w:r w:rsidRPr="00330C33">
              <w:rPr>
                <w:rFonts w:ascii="Arial" w:hAnsi="Arial" w:cs="Arial"/>
                <w:b/>
                <w:bCs/>
                <w:color w:val="000000"/>
                <w:sz w:val="18"/>
                <w:szCs w:val="18"/>
                <w:lang w:eastAsia="cs-CZ"/>
              </w:rPr>
              <w:t>-</w:t>
            </w:r>
          </w:p>
        </w:tc>
        <w:tc>
          <w:tcPr>
            <w:tcW w:w="1480" w:type="dxa"/>
            <w:tcBorders>
              <w:top w:val="single" w:sz="4" w:space="0" w:color="auto"/>
              <w:left w:val="nil"/>
              <w:bottom w:val="single" w:sz="4" w:space="0" w:color="auto"/>
              <w:right w:val="single" w:sz="4" w:space="0" w:color="auto"/>
            </w:tcBorders>
            <w:shd w:val="clear" w:color="000000" w:fill="EAF1DD"/>
            <w:vAlign w:val="center"/>
            <w:hideMark/>
          </w:tcPr>
          <w:p w:rsidR="003F446D" w:rsidRPr="00330C33" w:rsidRDefault="003F446D" w:rsidP="00507035">
            <w:pPr>
              <w:jc w:val="right"/>
              <w:rPr>
                <w:rFonts w:ascii="Arial" w:hAnsi="Arial" w:cs="Arial"/>
                <w:b/>
                <w:bCs/>
                <w:color w:val="000000"/>
                <w:sz w:val="18"/>
                <w:szCs w:val="18"/>
              </w:rPr>
            </w:pPr>
            <w:r w:rsidRPr="00330C33">
              <w:rPr>
                <w:rFonts w:ascii="Arial" w:hAnsi="Arial" w:cs="Arial"/>
                <w:b/>
                <w:bCs/>
                <w:color w:val="000000"/>
                <w:sz w:val="18"/>
                <w:szCs w:val="18"/>
              </w:rPr>
              <w:t>692 058 658,31</w:t>
            </w:r>
          </w:p>
        </w:tc>
        <w:tc>
          <w:tcPr>
            <w:tcW w:w="1420" w:type="dxa"/>
            <w:tcBorders>
              <w:top w:val="single" w:sz="4" w:space="0" w:color="auto"/>
              <w:left w:val="nil"/>
              <w:bottom w:val="single" w:sz="4" w:space="0" w:color="auto"/>
              <w:right w:val="single" w:sz="4" w:space="0" w:color="auto"/>
            </w:tcBorders>
            <w:shd w:val="clear" w:color="000000" w:fill="EAF1DD"/>
            <w:vAlign w:val="center"/>
            <w:hideMark/>
          </w:tcPr>
          <w:p w:rsidR="003F446D" w:rsidRPr="00330C33" w:rsidRDefault="003F446D" w:rsidP="00507035">
            <w:pPr>
              <w:jc w:val="right"/>
              <w:rPr>
                <w:rFonts w:ascii="Arial" w:hAnsi="Arial" w:cs="Arial"/>
                <w:b/>
                <w:bCs/>
                <w:color w:val="000000"/>
                <w:sz w:val="18"/>
                <w:szCs w:val="18"/>
              </w:rPr>
            </w:pPr>
            <w:r w:rsidRPr="00330C33">
              <w:rPr>
                <w:rFonts w:ascii="Arial" w:hAnsi="Arial" w:cs="Arial"/>
                <w:b/>
                <w:bCs/>
                <w:color w:val="000000"/>
                <w:sz w:val="18"/>
                <w:szCs w:val="18"/>
              </w:rPr>
              <w:t>635 624 968,75</w:t>
            </w:r>
          </w:p>
        </w:tc>
        <w:tc>
          <w:tcPr>
            <w:tcW w:w="1400" w:type="dxa"/>
            <w:tcBorders>
              <w:top w:val="single" w:sz="4" w:space="0" w:color="auto"/>
              <w:left w:val="nil"/>
              <w:bottom w:val="single" w:sz="4" w:space="0" w:color="auto"/>
              <w:right w:val="single" w:sz="4" w:space="0" w:color="auto"/>
            </w:tcBorders>
            <w:shd w:val="clear" w:color="000000" w:fill="EAF1DD"/>
            <w:vAlign w:val="center"/>
            <w:hideMark/>
          </w:tcPr>
          <w:p w:rsidR="003F446D" w:rsidRPr="00330C33" w:rsidRDefault="003F446D" w:rsidP="00507035">
            <w:pPr>
              <w:jc w:val="right"/>
              <w:rPr>
                <w:rFonts w:ascii="Arial" w:hAnsi="Arial" w:cs="Arial"/>
                <w:b/>
                <w:bCs/>
                <w:color w:val="000000"/>
                <w:sz w:val="18"/>
                <w:szCs w:val="18"/>
              </w:rPr>
            </w:pPr>
            <w:r w:rsidRPr="00330C33">
              <w:rPr>
                <w:rFonts w:ascii="Arial" w:hAnsi="Arial" w:cs="Arial"/>
                <w:b/>
                <w:bCs/>
                <w:color w:val="000000"/>
                <w:sz w:val="18"/>
                <w:szCs w:val="18"/>
              </w:rPr>
              <w:t>29,69%</w:t>
            </w:r>
          </w:p>
        </w:tc>
      </w:tr>
    </w:tbl>
    <w:p w:rsidR="003F446D" w:rsidRPr="00330C33" w:rsidRDefault="003F446D" w:rsidP="00507035">
      <w:pPr>
        <w:jc w:val="both"/>
        <w:rPr>
          <w:rFonts w:ascii="Arial" w:hAnsi="Arial" w:cs="Arial"/>
          <w:sz w:val="20"/>
          <w:szCs w:val="20"/>
        </w:rPr>
      </w:pPr>
      <w:r w:rsidRPr="00330C33">
        <w:rPr>
          <w:rFonts w:ascii="Arial" w:hAnsi="Arial" w:cs="Arial"/>
          <w:sz w:val="20"/>
          <w:szCs w:val="20"/>
        </w:rPr>
        <w:t xml:space="preserve">Zdroj: CO </w:t>
      </w:r>
    </w:p>
    <w:p w:rsidR="007A427E" w:rsidRDefault="007A427E">
      <w:pPr>
        <w:rPr>
          <w:rFonts w:ascii="Arial" w:hAnsi="Arial" w:cs="Arial"/>
          <w:b/>
          <w:sz w:val="20"/>
          <w:szCs w:val="20"/>
          <w:u w:val="single"/>
        </w:rPr>
      </w:pPr>
    </w:p>
    <w:p w:rsidR="003F446D" w:rsidRPr="00330C33" w:rsidRDefault="00BD19A8" w:rsidP="001540E7">
      <w:pPr>
        <w:numPr>
          <w:ilvl w:val="0"/>
          <w:numId w:val="43"/>
        </w:numPr>
        <w:spacing w:before="120" w:after="120" w:line="360" w:lineRule="auto"/>
        <w:jc w:val="both"/>
        <w:rPr>
          <w:rFonts w:ascii="Arial" w:hAnsi="Arial" w:cs="Arial"/>
          <w:b/>
          <w:sz w:val="20"/>
          <w:szCs w:val="20"/>
          <w:u w:val="single"/>
        </w:rPr>
      </w:pPr>
      <w:r>
        <w:rPr>
          <w:rFonts w:ascii="Arial" w:hAnsi="Arial" w:cs="Arial"/>
          <w:b/>
          <w:sz w:val="20"/>
          <w:szCs w:val="20"/>
          <w:u w:val="single"/>
        </w:rPr>
        <w:tab/>
      </w:r>
      <w:r w:rsidR="003F446D" w:rsidRPr="00330C33">
        <w:rPr>
          <w:rFonts w:ascii="Arial" w:hAnsi="Arial" w:cs="Arial"/>
          <w:b/>
          <w:sz w:val="20"/>
          <w:szCs w:val="20"/>
          <w:u w:val="single"/>
        </w:rPr>
        <w:t>Odhady očakávaných výdavkov a informácie o ich napĺňaní vo vzťahu k žiadostiam o platbu predloženým EK</w:t>
      </w:r>
    </w:p>
    <w:p w:rsidR="003F446D" w:rsidRPr="00BD19A8" w:rsidRDefault="003F446D" w:rsidP="00507035">
      <w:pPr>
        <w:spacing w:before="120" w:after="120" w:line="360" w:lineRule="auto"/>
        <w:jc w:val="both"/>
        <w:rPr>
          <w:rFonts w:ascii="Arial" w:hAnsi="Arial" w:cs="Arial"/>
          <w:sz w:val="20"/>
          <w:szCs w:val="20"/>
        </w:rPr>
      </w:pPr>
      <w:r w:rsidRPr="00330C33">
        <w:rPr>
          <w:rFonts w:ascii="Arial" w:hAnsi="Arial" w:cs="Arial"/>
          <w:sz w:val="20"/>
          <w:szCs w:val="20"/>
        </w:rPr>
        <w:t>Odhady očakávaných výdavkov na rok 2012 zaslané na EK k 27.04.2012 za OP Životné prostredie predstavovali sumu 337 239 385,00 EUR, z toho 82 439 385,00 EUR za ERDF a 254 800 000,00 EUR za KF. Aktualizované odhady očakávaných výdavkov na rok 2012 zaslané na EK k 12.09.2012</w:t>
      </w:r>
      <w:r w:rsidRPr="00BD19A8">
        <w:rPr>
          <w:rFonts w:ascii="Arial" w:hAnsi="Arial" w:cs="Arial"/>
          <w:sz w:val="20"/>
          <w:szCs w:val="20"/>
        </w:rPr>
        <w:t xml:space="preserve"> za OP Životné prostredie predstavovali sumu 401 000 000,00 EUR, z toho 80 600 000,00 EUR za ERDF a 320 400 000,00 EUR za KF.</w:t>
      </w:r>
    </w:p>
    <w:p w:rsidR="003F446D" w:rsidRPr="00BD19A8" w:rsidRDefault="003F446D" w:rsidP="00507035">
      <w:pPr>
        <w:spacing w:before="120" w:after="120" w:line="360" w:lineRule="auto"/>
        <w:jc w:val="both"/>
        <w:rPr>
          <w:rFonts w:ascii="Arial" w:hAnsi="Arial" w:cs="Arial"/>
          <w:sz w:val="20"/>
          <w:szCs w:val="20"/>
        </w:rPr>
      </w:pPr>
      <w:r w:rsidRPr="00BD19A8">
        <w:rPr>
          <w:rFonts w:ascii="Arial" w:hAnsi="Arial" w:cs="Arial"/>
          <w:sz w:val="20"/>
          <w:szCs w:val="20"/>
        </w:rPr>
        <w:t>Odhad očakávaných výdavkov k 12.09.2012 bol zaslaním 6 priebežných platieb v roku 2012 vo výške 373 373 357,72 EUR naplnený na 93,11 %, z toho:</w:t>
      </w:r>
    </w:p>
    <w:p w:rsidR="003F446D" w:rsidRPr="00BD19A8" w:rsidRDefault="003F446D" w:rsidP="001540E7">
      <w:pPr>
        <w:numPr>
          <w:ilvl w:val="0"/>
          <w:numId w:val="44"/>
        </w:numPr>
        <w:spacing w:before="120" w:after="120"/>
        <w:ind w:left="714" w:hanging="357"/>
        <w:jc w:val="both"/>
        <w:rPr>
          <w:rFonts w:ascii="Arial" w:hAnsi="Arial" w:cs="Arial"/>
          <w:sz w:val="20"/>
          <w:szCs w:val="20"/>
        </w:rPr>
      </w:pPr>
      <w:r w:rsidRPr="00BD19A8">
        <w:rPr>
          <w:rFonts w:ascii="Arial" w:hAnsi="Arial" w:cs="Arial"/>
          <w:sz w:val="20"/>
          <w:szCs w:val="20"/>
        </w:rPr>
        <w:t>za ERDF boli predložené 3 priebežné platby vo výške 66 226 644,39 EUR s naplnením odhadov na 82,17</w:t>
      </w:r>
      <w:r w:rsidR="00330C33">
        <w:rPr>
          <w:rFonts w:ascii="Arial" w:hAnsi="Arial" w:cs="Arial"/>
          <w:sz w:val="20"/>
          <w:szCs w:val="20"/>
        </w:rPr>
        <w:t xml:space="preserve"> </w:t>
      </w:r>
      <w:r w:rsidRPr="00BD19A8">
        <w:rPr>
          <w:rFonts w:ascii="Arial" w:hAnsi="Arial" w:cs="Arial"/>
          <w:sz w:val="20"/>
          <w:szCs w:val="20"/>
        </w:rPr>
        <w:t>%,</w:t>
      </w:r>
    </w:p>
    <w:p w:rsidR="003F446D" w:rsidRPr="00BD19A8" w:rsidRDefault="003F446D" w:rsidP="001540E7">
      <w:pPr>
        <w:numPr>
          <w:ilvl w:val="0"/>
          <w:numId w:val="44"/>
        </w:numPr>
        <w:spacing w:before="120" w:after="120"/>
        <w:ind w:left="714" w:hanging="357"/>
        <w:jc w:val="both"/>
        <w:rPr>
          <w:rFonts w:ascii="Arial" w:hAnsi="Arial" w:cs="Arial"/>
          <w:sz w:val="20"/>
          <w:szCs w:val="20"/>
        </w:rPr>
      </w:pPr>
      <w:r w:rsidRPr="00BD19A8">
        <w:rPr>
          <w:rFonts w:ascii="Arial" w:hAnsi="Arial" w:cs="Arial"/>
          <w:sz w:val="20"/>
          <w:szCs w:val="20"/>
        </w:rPr>
        <w:t>za KF boli predložené 3 priebežné platby vo výške 307 146 713,33 EUR s naplnením odhadov na 95,86</w:t>
      </w:r>
      <w:r w:rsidR="00330C33">
        <w:rPr>
          <w:rFonts w:ascii="Arial" w:hAnsi="Arial" w:cs="Arial"/>
          <w:sz w:val="20"/>
          <w:szCs w:val="20"/>
        </w:rPr>
        <w:t xml:space="preserve"> </w:t>
      </w:r>
      <w:r w:rsidRPr="00BD19A8">
        <w:rPr>
          <w:rFonts w:ascii="Arial" w:hAnsi="Arial" w:cs="Arial"/>
          <w:sz w:val="20"/>
          <w:szCs w:val="20"/>
        </w:rPr>
        <w:t>%.</w:t>
      </w:r>
    </w:p>
    <w:p w:rsidR="003F446D" w:rsidRPr="00BD19A8" w:rsidRDefault="003F446D" w:rsidP="00507035">
      <w:pPr>
        <w:spacing w:before="120" w:after="120" w:line="360" w:lineRule="auto"/>
        <w:jc w:val="both"/>
        <w:rPr>
          <w:rFonts w:ascii="Arial" w:hAnsi="Arial" w:cs="Arial"/>
          <w:sz w:val="20"/>
          <w:szCs w:val="20"/>
        </w:rPr>
      </w:pPr>
      <w:r w:rsidRPr="00BD19A8">
        <w:rPr>
          <w:rFonts w:ascii="Arial" w:hAnsi="Arial" w:cs="Arial"/>
          <w:sz w:val="20"/>
          <w:szCs w:val="20"/>
        </w:rPr>
        <w:t>V prípade vyhodnotenia odhadu očakávaných výdavkov (k 12.09.2012) voči prijatým prostriedkom z EK bol prijatím 4 priebežných platieb (ŽoP na EK zaslané aj prijaté v roku 2012) vo výške 330 147 121,20 EUR na plnený na 82,33 %, z toho:</w:t>
      </w:r>
    </w:p>
    <w:p w:rsidR="003F446D" w:rsidRPr="00BD19A8" w:rsidRDefault="003F446D" w:rsidP="001540E7">
      <w:pPr>
        <w:numPr>
          <w:ilvl w:val="0"/>
          <w:numId w:val="44"/>
        </w:numPr>
        <w:spacing w:before="120" w:after="120"/>
        <w:ind w:left="714" w:hanging="357"/>
        <w:jc w:val="both"/>
        <w:rPr>
          <w:rFonts w:ascii="Arial" w:hAnsi="Arial" w:cs="Arial"/>
          <w:sz w:val="20"/>
          <w:szCs w:val="20"/>
        </w:rPr>
      </w:pPr>
      <w:r w:rsidRPr="00BD19A8">
        <w:rPr>
          <w:rFonts w:ascii="Arial" w:hAnsi="Arial" w:cs="Arial"/>
          <w:sz w:val="20"/>
          <w:szCs w:val="20"/>
        </w:rPr>
        <w:t>za ERDF boli prijaté 2 priebežné platby vo výške 63 274 086,14 € s naplnením odhadov na 78,50 %,</w:t>
      </w:r>
    </w:p>
    <w:p w:rsidR="003F446D" w:rsidRPr="00BD19A8" w:rsidRDefault="003F446D" w:rsidP="001540E7">
      <w:pPr>
        <w:numPr>
          <w:ilvl w:val="0"/>
          <w:numId w:val="44"/>
        </w:numPr>
        <w:spacing w:before="120" w:after="120"/>
        <w:ind w:left="714" w:hanging="357"/>
        <w:jc w:val="both"/>
        <w:rPr>
          <w:rFonts w:ascii="Arial" w:hAnsi="Arial" w:cs="Arial"/>
          <w:sz w:val="20"/>
          <w:szCs w:val="20"/>
        </w:rPr>
      </w:pPr>
      <w:r w:rsidRPr="00BD19A8">
        <w:rPr>
          <w:rFonts w:ascii="Arial" w:hAnsi="Arial" w:cs="Arial"/>
          <w:sz w:val="20"/>
          <w:szCs w:val="20"/>
        </w:rPr>
        <w:t>za KF boli prijaté 2 priebežné platby vo výške 266 873 035,06 € s naplnením odhadov na 83,29 %.</w:t>
      </w:r>
    </w:p>
    <w:p w:rsidR="003F446D" w:rsidRDefault="003F446D" w:rsidP="00507035">
      <w:pPr>
        <w:spacing w:before="120" w:after="120" w:line="360" w:lineRule="auto"/>
        <w:jc w:val="both"/>
        <w:rPr>
          <w:rFonts w:ascii="Arial" w:hAnsi="Arial" w:cs="Arial"/>
          <w:sz w:val="20"/>
          <w:szCs w:val="20"/>
        </w:rPr>
      </w:pPr>
      <w:r w:rsidRPr="00BD19A8">
        <w:rPr>
          <w:rFonts w:ascii="Arial" w:hAnsi="Arial" w:cs="Arial"/>
          <w:sz w:val="20"/>
          <w:szCs w:val="20"/>
        </w:rPr>
        <w:t>Odchýlka reálneho čerpania za rok 2012 od plánovaného čerpania (OOV k 12.09.2012) bola spôsobená najmä nedostatočným objemom oprávnených výdavkov predkladaných v SŽP, ktoré mohli byť zahrnuté do žiadostí o platbu na EK ako aj očisťovaním výdavkov schválených v SŽP a zaradených do žiadostí o platbu na EK o plošnú korekciu vo výške 7,3</w:t>
      </w:r>
      <w:r w:rsidR="00330C33">
        <w:rPr>
          <w:rFonts w:ascii="Arial" w:hAnsi="Arial" w:cs="Arial"/>
          <w:sz w:val="20"/>
          <w:szCs w:val="20"/>
        </w:rPr>
        <w:t>0</w:t>
      </w:r>
      <w:r w:rsidRPr="00BD19A8">
        <w:rPr>
          <w:rFonts w:ascii="Arial" w:hAnsi="Arial" w:cs="Arial"/>
          <w:sz w:val="20"/>
          <w:szCs w:val="20"/>
        </w:rPr>
        <w:t xml:space="preserve"> % a to pred ich deklarovaním na EK (t.j. v procese prípravy žiadosti o platbu na EK). </w:t>
      </w:r>
    </w:p>
    <w:p w:rsidR="00A51C6F" w:rsidRPr="001139CF" w:rsidRDefault="00A51C6F" w:rsidP="00507035">
      <w:pPr>
        <w:spacing w:line="360" w:lineRule="auto"/>
        <w:jc w:val="both"/>
        <w:rPr>
          <w:rFonts w:ascii="Arial" w:hAnsi="Arial" w:cs="Arial"/>
          <w:bCs/>
          <w:sz w:val="20"/>
          <w:szCs w:val="20"/>
        </w:rPr>
      </w:pPr>
      <w:r w:rsidRPr="001139CF">
        <w:rPr>
          <w:rFonts w:ascii="Arial" w:hAnsi="Arial" w:cs="Arial"/>
          <w:sz w:val="20"/>
          <w:szCs w:val="20"/>
        </w:rPr>
        <w:t>Tab</w:t>
      </w:r>
      <w:r w:rsidR="00E57A5C">
        <w:rPr>
          <w:rFonts w:ascii="Arial" w:hAnsi="Arial" w:cs="Arial"/>
          <w:sz w:val="20"/>
          <w:szCs w:val="20"/>
        </w:rPr>
        <w:t>.</w:t>
      </w:r>
      <w:r w:rsidRPr="001139CF">
        <w:rPr>
          <w:rFonts w:ascii="Arial" w:hAnsi="Arial" w:cs="Arial"/>
          <w:sz w:val="20"/>
          <w:szCs w:val="20"/>
        </w:rPr>
        <w:t xml:space="preserve"> č.</w:t>
      </w:r>
      <w:r>
        <w:rPr>
          <w:rFonts w:ascii="Arial" w:hAnsi="Arial" w:cs="Arial"/>
          <w:bCs/>
          <w:sz w:val="20"/>
          <w:szCs w:val="20"/>
        </w:rPr>
        <w:t xml:space="preserve"> </w:t>
      </w:r>
      <w:r w:rsidR="00B41C71">
        <w:rPr>
          <w:rFonts w:ascii="Arial" w:hAnsi="Arial" w:cs="Arial"/>
          <w:bCs/>
          <w:sz w:val="20"/>
          <w:szCs w:val="20"/>
        </w:rPr>
        <w:t>12</w:t>
      </w:r>
      <w:r>
        <w:rPr>
          <w:rFonts w:ascii="Arial" w:hAnsi="Arial" w:cs="Arial"/>
          <w:bCs/>
          <w:sz w:val="20"/>
          <w:szCs w:val="20"/>
        </w:rPr>
        <w:t>:</w:t>
      </w:r>
      <w:r w:rsidRPr="001139CF">
        <w:rPr>
          <w:rFonts w:ascii="Arial" w:hAnsi="Arial" w:cs="Arial"/>
          <w:bCs/>
          <w:sz w:val="20"/>
          <w:szCs w:val="20"/>
        </w:rPr>
        <w:t xml:space="preserve"> Porovnanie skutočného a plánovaného čerpania od 01.01.2012 do 31.12.2012– prijaté platby z EK v roku 2012</w:t>
      </w:r>
    </w:p>
    <w:tbl>
      <w:tblPr>
        <w:tblpPr w:leftFromText="141" w:rightFromText="141" w:vertAnchor="text" w:horzAnchor="margin" w:tblpY="187"/>
        <w:tblW w:w="94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59"/>
        <w:gridCol w:w="992"/>
        <w:gridCol w:w="1320"/>
        <w:gridCol w:w="1176"/>
        <w:gridCol w:w="1048"/>
        <w:gridCol w:w="1276"/>
        <w:gridCol w:w="992"/>
        <w:gridCol w:w="850"/>
        <w:gridCol w:w="851"/>
      </w:tblGrid>
      <w:tr w:rsidR="00A51C6F" w:rsidRPr="00373EB9" w:rsidTr="00A51C6F">
        <w:trPr>
          <w:trHeight w:val="634"/>
        </w:trPr>
        <w:tc>
          <w:tcPr>
            <w:tcW w:w="959" w:type="dxa"/>
            <w:vMerge w:val="restart"/>
          </w:tcPr>
          <w:p w:rsidR="00A51C6F" w:rsidRPr="001C6892" w:rsidRDefault="00A51C6F" w:rsidP="00507035">
            <w:pPr>
              <w:jc w:val="both"/>
              <w:rPr>
                <w:rFonts w:ascii="Arial" w:hAnsi="Arial" w:cs="Arial"/>
                <w:sz w:val="16"/>
                <w:szCs w:val="16"/>
              </w:rPr>
            </w:pPr>
          </w:p>
        </w:tc>
        <w:tc>
          <w:tcPr>
            <w:tcW w:w="2312" w:type="dxa"/>
            <w:gridSpan w:val="2"/>
            <w:shd w:val="clear" w:color="auto" w:fill="D6E3BC"/>
            <w:vAlign w:val="center"/>
          </w:tcPr>
          <w:p w:rsidR="00A51C6F" w:rsidRPr="001C6892" w:rsidRDefault="00A51C6F" w:rsidP="00507035">
            <w:pPr>
              <w:jc w:val="center"/>
              <w:rPr>
                <w:rFonts w:ascii="Arial" w:hAnsi="Arial" w:cs="Arial"/>
                <w:b/>
                <w:sz w:val="16"/>
                <w:szCs w:val="16"/>
              </w:rPr>
            </w:pPr>
            <w:r w:rsidRPr="001C6892">
              <w:rPr>
                <w:rFonts w:ascii="Arial" w:hAnsi="Arial" w:cs="Arial"/>
                <w:b/>
                <w:sz w:val="16"/>
                <w:szCs w:val="16"/>
              </w:rPr>
              <w:t>Plánované čerpanie oprávnených výdavkov v roku 2012 v €</w:t>
            </w:r>
          </w:p>
          <w:p w:rsidR="00A51C6F" w:rsidRPr="001C6892" w:rsidRDefault="00A51C6F" w:rsidP="00507035">
            <w:pPr>
              <w:jc w:val="center"/>
              <w:rPr>
                <w:rFonts w:ascii="Arial" w:hAnsi="Arial" w:cs="Arial"/>
                <w:b/>
                <w:sz w:val="16"/>
                <w:szCs w:val="16"/>
              </w:rPr>
            </w:pPr>
            <w:r w:rsidRPr="001C6892">
              <w:rPr>
                <w:rFonts w:ascii="Arial" w:hAnsi="Arial" w:cs="Arial"/>
                <w:b/>
                <w:sz w:val="16"/>
                <w:szCs w:val="16"/>
              </w:rPr>
              <w:t>(OOV zaslané CO na EK</w:t>
            </w:r>
          </w:p>
          <w:p w:rsidR="00A51C6F" w:rsidRPr="001C6892" w:rsidRDefault="00A51C6F" w:rsidP="00507035">
            <w:pPr>
              <w:jc w:val="center"/>
              <w:rPr>
                <w:rFonts w:ascii="Arial" w:hAnsi="Arial" w:cs="Arial"/>
                <w:b/>
                <w:sz w:val="16"/>
                <w:szCs w:val="16"/>
              </w:rPr>
            </w:pPr>
            <w:r w:rsidRPr="001C6892">
              <w:rPr>
                <w:rFonts w:ascii="Arial" w:hAnsi="Arial" w:cs="Arial"/>
                <w:b/>
                <w:sz w:val="16"/>
                <w:szCs w:val="16"/>
              </w:rPr>
              <w:t>k 27.04. 2012)</w:t>
            </w:r>
          </w:p>
        </w:tc>
        <w:tc>
          <w:tcPr>
            <w:tcW w:w="2224" w:type="dxa"/>
            <w:gridSpan w:val="2"/>
            <w:shd w:val="clear" w:color="auto" w:fill="D6E3BC"/>
            <w:vAlign w:val="center"/>
          </w:tcPr>
          <w:p w:rsidR="00A51C6F" w:rsidRPr="001C6892" w:rsidRDefault="00A51C6F" w:rsidP="00507035">
            <w:pPr>
              <w:jc w:val="center"/>
              <w:rPr>
                <w:rFonts w:ascii="Arial" w:hAnsi="Arial" w:cs="Arial"/>
                <w:b/>
                <w:sz w:val="16"/>
                <w:szCs w:val="16"/>
              </w:rPr>
            </w:pPr>
            <w:r w:rsidRPr="001C6892">
              <w:rPr>
                <w:rFonts w:ascii="Arial" w:hAnsi="Arial" w:cs="Arial"/>
                <w:b/>
                <w:sz w:val="16"/>
                <w:szCs w:val="16"/>
              </w:rPr>
              <w:t>Čerpanie oprávnených výdavkov voči EK</w:t>
            </w:r>
          </w:p>
          <w:p w:rsidR="00A51C6F" w:rsidRPr="001C6892" w:rsidRDefault="00A51C6F" w:rsidP="00507035">
            <w:pPr>
              <w:jc w:val="center"/>
              <w:rPr>
                <w:rFonts w:ascii="Arial" w:hAnsi="Arial" w:cs="Arial"/>
                <w:b/>
                <w:sz w:val="16"/>
                <w:szCs w:val="16"/>
              </w:rPr>
            </w:pPr>
            <w:r w:rsidRPr="001C6892">
              <w:rPr>
                <w:rFonts w:ascii="Arial" w:hAnsi="Arial" w:cs="Arial"/>
                <w:b/>
                <w:sz w:val="16"/>
                <w:szCs w:val="16"/>
              </w:rPr>
              <w:t>za rok 2012 v €</w:t>
            </w:r>
          </w:p>
        </w:tc>
        <w:tc>
          <w:tcPr>
            <w:tcW w:w="2268" w:type="dxa"/>
            <w:gridSpan w:val="2"/>
            <w:shd w:val="clear" w:color="auto" w:fill="D6E3BC"/>
            <w:vAlign w:val="center"/>
          </w:tcPr>
          <w:p w:rsidR="00A51C6F" w:rsidRPr="001C6892" w:rsidRDefault="00A51C6F" w:rsidP="00507035">
            <w:pPr>
              <w:jc w:val="center"/>
              <w:rPr>
                <w:rFonts w:ascii="Arial" w:hAnsi="Arial" w:cs="Arial"/>
                <w:b/>
                <w:sz w:val="16"/>
                <w:szCs w:val="16"/>
              </w:rPr>
            </w:pPr>
            <w:r w:rsidRPr="001C6892">
              <w:rPr>
                <w:rFonts w:ascii="Arial" w:hAnsi="Arial" w:cs="Arial"/>
                <w:b/>
                <w:sz w:val="16"/>
                <w:szCs w:val="16"/>
              </w:rPr>
              <w:t>Odchýlka</w:t>
            </w:r>
          </w:p>
          <w:p w:rsidR="00A51C6F" w:rsidRPr="001C6892" w:rsidRDefault="00A51C6F" w:rsidP="00507035">
            <w:pPr>
              <w:jc w:val="center"/>
              <w:rPr>
                <w:rFonts w:ascii="Arial" w:hAnsi="Arial" w:cs="Arial"/>
                <w:b/>
                <w:sz w:val="16"/>
                <w:szCs w:val="16"/>
              </w:rPr>
            </w:pPr>
            <w:r w:rsidRPr="001C6892">
              <w:rPr>
                <w:rFonts w:ascii="Arial" w:hAnsi="Arial" w:cs="Arial"/>
                <w:b/>
                <w:sz w:val="16"/>
                <w:szCs w:val="16"/>
              </w:rPr>
              <w:t>(plánované čerpanie – čerpanie</w:t>
            </w:r>
          </w:p>
          <w:p w:rsidR="00A51C6F" w:rsidRPr="001C6892" w:rsidRDefault="00A51C6F" w:rsidP="00507035">
            <w:pPr>
              <w:jc w:val="center"/>
              <w:rPr>
                <w:rFonts w:ascii="Arial" w:hAnsi="Arial" w:cs="Arial"/>
                <w:b/>
                <w:sz w:val="16"/>
                <w:szCs w:val="16"/>
              </w:rPr>
            </w:pPr>
            <w:r w:rsidRPr="001C6892">
              <w:rPr>
                <w:rFonts w:ascii="Arial" w:hAnsi="Arial" w:cs="Arial"/>
                <w:b/>
                <w:sz w:val="16"/>
                <w:szCs w:val="16"/>
              </w:rPr>
              <w:t>voči EK) v €</w:t>
            </w:r>
          </w:p>
        </w:tc>
        <w:tc>
          <w:tcPr>
            <w:tcW w:w="1701" w:type="dxa"/>
            <w:gridSpan w:val="2"/>
            <w:tcBorders>
              <w:bottom w:val="single" w:sz="4" w:space="0" w:color="auto"/>
            </w:tcBorders>
            <w:shd w:val="clear" w:color="auto" w:fill="D6E3BC"/>
            <w:vAlign w:val="center"/>
          </w:tcPr>
          <w:p w:rsidR="00A51C6F" w:rsidRPr="001C6892" w:rsidRDefault="00A51C6F" w:rsidP="00507035">
            <w:pPr>
              <w:jc w:val="center"/>
              <w:rPr>
                <w:rFonts w:ascii="Arial" w:hAnsi="Arial" w:cs="Arial"/>
                <w:b/>
                <w:sz w:val="16"/>
                <w:szCs w:val="16"/>
              </w:rPr>
            </w:pPr>
            <w:r w:rsidRPr="001C6892">
              <w:rPr>
                <w:rFonts w:ascii="Arial" w:hAnsi="Arial" w:cs="Arial"/>
                <w:b/>
                <w:sz w:val="16"/>
                <w:szCs w:val="16"/>
              </w:rPr>
              <w:t>Odchýlka</w:t>
            </w:r>
          </w:p>
          <w:p w:rsidR="00A51C6F" w:rsidRPr="001C6892" w:rsidRDefault="00A51C6F" w:rsidP="00507035">
            <w:pPr>
              <w:jc w:val="center"/>
              <w:rPr>
                <w:rFonts w:ascii="Arial" w:hAnsi="Arial" w:cs="Arial"/>
                <w:b/>
                <w:sz w:val="16"/>
                <w:szCs w:val="16"/>
              </w:rPr>
            </w:pPr>
            <w:r w:rsidRPr="001C6892">
              <w:rPr>
                <w:rFonts w:ascii="Arial" w:hAnsi="Arial" w:cs="Arial"/>
                <w:b/>
                <w:sz w:val="16"/>
                <w:szCs w:val="16"/>
              </w:rPr>
              <w:t>(naplnenie OOV)</w:t>
            </w:r>
          </w:p>
          <w:p w:rsidR="00A51C6F" w:rsidRPr="001C6892" w:rsidRDefault="00A51C6F" w:rsidP="00507035">
            <w:pPr>
              <w:jc w:val="center"/>
              <w:rPr>
                <w:rFonts w:ascii="Arial" w:hAnsi="Arial" w:cs="Arial"/>
                <w:i/>
                <w:sz w:val="16"/>
                <w:szCs w:val="16"/>
              </w:rPr>
            </w:pPr>
            <w:r w:rsidRPr="001C6892">
              <w:rPr>
                <w:rFonts w:ascii="Arial" w:hAnsi="Arial" w:cs="Arial"/>
                <w:b/>
                <w:sz w:val="16"/>
                <w:szCs w:val="16"/>
              </w:rPr>
              <w:t>v %</w:t>
            </w:r>
          </w:p>
        </w:tc>
      </w:tr>
      <w:tr w:rsidR="00A51C6F" w:rsidRPr="00373EB9" w:rsidTr="00A51C6F">
        <w:tc>
          <w:tcPr>
            <w:tcW w:w="959" w:type="dxa"/>
            <w:vMerge/>
          </w:tcPr>
          <w:p w:rsidR="00A51C6F" w:rsidRPr="001C6892" w:rsidRDefault="00A51C6F" w:rsidP="00507035">
            <w:pPr>
              <w:jc w:val="both"/>
              <w:rPr>
                <w:rFonts w:ascii="Arial" w:hAnsi="Arial" w:cs="Arial"/>
                <w:sz w:val="16"/>
                <w:szCs w:val="16"/>
              </w:rPr>
            </w:pPr>
          </w:p>
        </w:tc>
        <w:tc>
          <w:tcPr>
            <w:tcW w:w="2312" w:type="dxa"/>
            <w:gridSpan w:val="2"/>
            <w:vAlign w:val="center"/>
          </w:tcPr>
          <w:p w:rsidR="00A51C6F" w:rsidRPr="001C6892" w:rsidRDefault="00A51C6F" w:rsidP="00507035">
            <w:pPr>
              <w:jc w:val="center"/>
              <w:rPr>
                <w:rFonts w:ascii="Arial" w:hAnsi="Arial" w:cs="Arial"/>
                <w:sz w:val="16"/>
                <w:szCs w:val="16"/>
              </w:rPr>
            </w:pPr>
            <w:r w:rsidRPr="001C6892">
              <w:rPr>
                <w:rFonts w:ascii="Arial" w:hAnsi="Arial" w:cs="Arial"/>
                <w:sz w:val="16"/>
                <w:szCs w:val="16"/>
              </w:rPr>
              <w:t>EÚ zdroje</w:t>
            </w:r>
          </w:p>
        </w:tc>
        <w:tc>
          <w:tcPr>
            <w:tcW w:w="2224" w:type="dxa"/>
            <w:gridSpan w:val="2"/>
          </w:tcPr>
          <w:p w:rsidR="00A51C6F" w:rsidRPr="001C6892" w:rsidRDefault="00A51C6F" w:rsidP="00507035">
            <w:pPr>
              <w:jc w:val="center"/>
              <w:rPr>
                <w:rFonts w:ascii="Arial" w:hAnsi="Arial" w:cs="Arial"/>
                <w:sz w:val="16"/>
                <w:szCs w:val="16"/>
              </w:rPr>
            </w:pPr>
            <w:r w:rsidRPr="001C6892">
              <w:rPr>
                <w:rFonts w:ascii="Arial" w:hAnsi="Arial" w:cs="Arial"/>
                <w:sz w:val="16"/>
                <w:szCs w:val="16"/>
              </w:rPr>
              <w:t>EÚ zdroje</w:t>
            </w:r>
          </w:p>
        </w:tc>
        <w:tc>
          <w:tcPr>
            <w:tcW w:w="2268" w:type="dxa"/>
            <w:gridSpan w:val="2"/>
          </w:tcPr>
          <w:p w:rsidR="00A51C6F" w:rsidRPr="001C6892" w:rsidRDefault="00A51C6F" w:rsidP="00507035">
            <w:pPr>
              <w:jc w:val="center"/>
              <w:rPr>
                <w:rFonts w:ascii="Arial" w:hAnsi="Arial" w:cs="Arial"/>
                <w:sz w:val="16"/>
                <w:szCs w:val="16"/>
              </w:rPr>
            </w:pPr>
            <w:r w:rsidRPr="001C6892">
              <w:rPr>
                <w:rFonts w:ascii="Arial" w:hAnsi="Arial" w:cs="Arial"/>
                <w:sz w:val="16"/>
                <w:szCs w:val="16"/>
              </w:rPr>
              <w:t>EÚ zdroje</w:t>
            </w:r>
          </w:p>
        </w:tc>
        <w:tc>
          <w:tcPr>
            <w:tcW w:w="1701" w:type="dxa"/>
            <w:gridSpan w:val="2"/>
            <w:shd w:val="clear" w:color="auto" w:fill="auto"/>
          </w:tcPr>
          <w:p w:rsidR="00A51C6F" w:rsidRPr="001C6892" w:rsidRDefault="00A51C6F" w:rsidP="00507035">
            <w:pPr>
              <w:jc w:val="center"/>
              <w:rPr>
                <w:rFonts w:ascii="Arial" w:hAnsi="Arial" w:cs="Arial"/>
                <w:sz w:val="16"/>
                <w:szCs w:val="16"/>
              </w:rPr>
            </w:pPr>
            <w:r w:rsidRPr="001C6892">
              <w:rPr>
                <w:rFonts w:ascii="Arial" w:hAnsi="Arial" w:cs="Arial"/>
                <w:sz w:val="16"/>
                <w:szCs w:val="16"/>
              </w:rPr>
              <w:t>EÚ zdroje</w:t>
            </w:r>
          </w:p>
        </w:tc>
      </w:tr>
      <w:tr w:rsidR="00A51C6F" w:rsidRPr="00373EB9" w:rsidTr="00A51C6F">
        <w:tc>
          <w:tcPr>
            <w:tcW w:w="959" w:type="dxa"/>
            <w:vMerge/>
            <w:tcBorders>
              <w:bottom w:val="single" w:sz="4" w:space="0" w:color="auto"/>
            </w:tcBorders>
          </w:tcPr>
          <w:p w:rsidR="00A51C6F" w:rsidRPr="001C6892" w:rsidRDefault="00A51C6F" w:rsidP="00507035">
            <w:pPr>
              <w:jc w:val="both"/>
              <w:rPr>
                <w:rFonts w:ascii="Arial" w:hAnsi="Arial" w:cs="Arial"/>
                <w:sz w:val="16"/>
                <w:szCs w:val="16"/>
              </w:rPr>
            </w:pPr>
          </w:p>
        </w:tc>
        <w:tc>
          <w:tcPr>
            <w:tcW w:w="992" w:type="dxa"/>
            <w:tcBorders>
              <w:bottom w:val="single" w:sz="4" w:space="0" w:color="auto"/>
            </w:tcBorders>
            <w:vAlign w:val="center"/>
          </w:tcPr>
          <w:p w:rsidR="00A51C6F" w:rsidRPr="001C6892" w:rsidRDefault="00A51C6F" w:rsidP="00507035">
            <w:pPr>
              <w:jc w:val="center"/>
              <w:rPr>
                <w:rFonts w:ascii="Arial" w:hAnsi="Arial" w:cs="Arial"/>
                <w:sz w:val="16"/>
                <w:szCs w:val="16"/>
              </w:rPr>
            </w:pPr>
            <w:r w:rsidRPr="001C6892">
              <w:rPr>
                <w:rFonts w:ascii="Arial" w:hAnsi="Arial" w:cs="Arial"/>
                <w:sz w:val="16"/>
                <w:szCs w:val="16"/>
              </w:rPr>
              <w:t>ŠF</w:t>
            </w:r>
          </w:p>
        </w:tc>
        <w:tc>
          <w:tcPr>
            <w:tcW w:w="1320" w:type="dxa"/>
            <w:tcBorders>
              <w:bottom w:val="single" w:sz="4" w:space="0" w:color="auto"/>
            </w:tcBorders>
            <w:vAlign w:val="center"/>
          </w:tcPr>
          <w:p w:rsidR="00A51C6F" w:rsidRPr="001C6892" w:rsidRDefault="00A51C6F" w:rsidP="00507035">
            <w:pPr>
              <w:jc w:val="center"/>
              <w:rPr>
                <w:rFonts w:ascii="Arial" w:hAnsi="Arial" w:cs="Arial"/>
                <w:i/>
                <w:sz w:val="16"/>
                <w:szCs w:val="16"/>
              </w:rPr>
            </w:pPr>
            <w:r w:rsidRPr="001C6892">
              <w:rPr>
                <w:rFonts w:ascii="Arial" w:hAnsi="Arial" w:cs="Arial"/>
                <w:sz w:val="16"/>
                <w:szCs w:val="16"/>
              </w:rPr>
              <w:t>KF</w:t>
            </w:r>
          </w:p>
        </w:tc>
        <w:tc>
          <w:tcPr>
            <w:tcW w:w="1176" w:type="dxa"/>
            <w:tcBorders>
              <w:bottom w:val="single" w:sz="4" w:space="0" w:color="auto"/>
            </w:tcBorders>
            <w:vAlign w:val="center"/>
          </w:tcPr>
          <w:p w:rsidR="00A51C6F" w:rsidRPr="001C6892" w:rsidRDefault="00A51C6F" w:rsidP="00507035">
            <w:pPr>
              <w:tabs>
                <w:tab w:val="left" w:pos="1010"/>
              </w:tabs>
              <w:jc w:val="center"/>
              <w:rPr>
                <w:rFonts w:ascii="Arial" w:hAnsi="Arial" w:cs="Arial"/>
                <w:sz w:val="16"/>
                <w:szCs w:val="16"/>
              </w:rPr>
            </w:pPr>
            <w:r w:rsidRPr="001C6892">
              <w:rPr>
                <w:rFonts w:ascii="Arial" w:hAnsi="Arial" w:cs="Arial"/>
                <w:sz w:val="16"/>
                <w:szCs w:val="16"/>
              </w:rPr>
              <w:t>ŠF</w:t>
            </w:r>
          </w:p>
        </w:tc>
        <w:tc>
          <w:tcPr>
            <w:tcW w:w="1048" w:type="dxa"/>
            <w:tcBorders>
              <w:bottom w:val="single" w:sz="4" w:space="0" w:color="auto"/>
            </w:tcBorders>
            <w:vAlign w:val="center"/>
          </w:tcPr>
          <w:p w:rsidR="00A51C6F" w:rsidRPr="001C6892" w:rsidRDefault="00A51C6F" w:rsidP="00507035">
            <w:pPr>
              <w:jc w:val="center"/>
              <w:rPr>
                <w:rFonts w:ascii="Arial" w:hAnsi="Arial" w:cs="Arial"/>
                <w:sz w:val="16"/>
                <w:szCs w:val="16"/>
              </w:rPr>
            </w:pPr>
            <w:r w:rsidRPr="001C6892">
              <w:rPr>
                <w:rFonts w:ascii="Arial" w:hAnsi="Arial" w:cs="Arial"/>
                <w:sz w:val="16"/>
                <w:szCs w:val="16"/>
              </w:rPr>
              <w:t>KF</w:t>
            </w:r>
          </w:p>
        </w:tc>
        <w:tc>
          <w:tcPr>
            <w:tcW w:w="1276" w:type="dxa"/>
            <w:tcBorders>
              <w:bottom w:val="single" w:sz="4" w:space="0" w:color="auto"/>
            </w:tcBorders>
            <w:vAlign w:val="center"/>
          </w:tcPr>
          <w:p w:rsidR="00A51C6F" w:rsidRPr="001C6892" w:rsidRDefault="00A51C6F" w:rsidP="00507035">
            <w:pPr>
              <w:jc w:val="center"/>
              <w:rPr>
                <w:rFonts w:ascii="Arial" w:hAnsi="Arial" w:cs="Arial"/>
                <w:sz w:val="16"/>
                <w:szCs w:val="16"/>
              </w:rPr>
            </w:pPr>
            <w:r w:rsidRPr="001C6892">
              <w:rPr>
                <w:rFonts w:ascii="Arial" w:hAnsi="Arial" w:cs="Arial"/>
                <w:sz w:val="16"/>
                <w:szCs w:val="16"/>
              </w:rPr>
              <w:t>ŠF</w:t>
            </w:r>
          </w:p>
        </w:tc>
        <w:tc>
          <w:tcPr>
            <w:tcW w:w="992" w:type="dxa"/>
            <w:tcBorders>
              <w:bottom w:val="single" w:sz="4" w:space="0" w:color="auto"/>
            </w:tcBorders>
            <w:shd w:val="clear" w:color="auto" w:fill="auto"/>
            <w:vAlign w:val="center"/>
          </w:tcPr>
          <w:p w:rsidR="00A51C6F" w:rsidRPr="001C6892" w:rsidRDefault="00A51C6F" w:rsidP="00507035">
            <w:pPr>
              <w:jc w:val="center"/>
              <w:rPr>
                <w:rFonts w:ascii="Arial" w:hAnsi="Arial" w:cs="Arial"/>
                <w:i/>
                <w:sz w:val="16"/>
                <w:szCs w:val="16"/>
              </w:rPr>
            </w:pPr>
            <w:r w:rsidRPr="001C6892">
              <w:rPr>
                <w:rFonts w:ascii="Arial" w:hAnsi="Arial" w:cs="Arial"/>
                <w:sz w:val="16"/>
                <w:szCs w:val="16"/>
              </w:rPr>
              <w:t>KF</w:t>
            </w:r>
          </w:p>
        </w:tc>
        <w:tc>
          <w:tcPr>
            <w:tcW w:w="850" w:type="dxa"/>
            <w:tcBorders>
              <w:bottom w:val="single" w:sz="4" w:space="0" w:color="auto"/>
            </w:tcBorders>
            <w:vAlign w:val="center"/>
          </w:tcPr>
          <w:p w:rsidR="00A51C6F" w:rsidRPr="001C6892" w:rsidRDefault="00A51C6F" w:rsidP="00507035">
            <w:pPr>
              <w:jc w:val="center"/>
              <w:rPr>
                <w:rFonts w:ascii="Arial" w:hAnsi="Arial" w:cs="Arial"/>
                <w:sz w:val="16"/>
                <w:szCs w:val="16"/>
              </w:rPr>
            </w:pPr>
            <w:r w:rsidRPr="001C6892">
              <w:rPr>
                <w:rFonts w:ascii="Arial" w:hAnsi="Arial" w:cs="Arial"/>
                <w:sz w:val="16"/>
                <w:szCs w:val="16"/>
              </w:rPr>
              <w:t>ŠF</w:t>
            </w:r>
          </w:p>
        </w:tc>
        <w:tc>
          <w:tcPr>
            <w:tcW w:w="851" w:type="dxa"/>
            <w:tcBorders>
              <w:bottom w:val="single" w:sz="4" w:space="0" w:color="auto"/>
            </w:tcBorders>
            <w:vAlign w:val="center"/>
          </w:tcPr>
          <w:p w:rsidR="00A51C6F" w:rsidRPr="001C6892" w:rsidRDefault="00A51C6F" w:rsidP="00507035">
            <w:pPr>
              <w:jc w:val="center"/>
              <w:rPr>
                <w:rFonts w:ascii="Arial" w:hAnsi="Arial" w:cs="Arial"/>
                <w:i/>
                <w:sz w:val="16"/>
                <w:szCs w:val="16"/>
              </w:rPr>
            </w:pPr>
            <w:r w:rsidRPr="001C6892">
              <w:rPr>
                <w:rFonts w:ascii="Arial" w:hAnsi="Arial" w:cs="Arial"/>
                <w:sz w:val="16"/>
                <w:szCs w:val="16"/>
              </w:rPr>
              <w:t>KF</w:t>
            </w:r>
          </w:p>
        </w:tc>
      </w:tr>
      <w:tr w:rsidR="00A51C6F" w:rsidRPr="00373EB9" w:rsidTr="00A51C6F">
        <w:tc>
          <w:tcPr>
            <w:tcW w:w="959" w:type="dxa"/>
            <w:shd w:val="clear" w:color="auto" w:fill="EAF1DD"/>
          </w:tcPr>
          <w:p w:rsidR="00A51C6F" w:rsidRPr="001C6892" w:rsidRDefault="00A51C6F" w:rsidP="00507035">
            <w:pPr>
              <w:jc w:val="both"/>
              <w:rPr>
                <w:rFonts w:ascii="Arial" w:hAnsi="Arial" w:cs="Arial"/>
                <w:b/>
                <w:sz w:val="16"/>
                <w:szCs w:val="16"/>
              </w:rPr>
            </w:pPr>
            <w:r w:rsidRPr="001C6892">
              <w:rPr>
                <w:rFonts w:ascii="Arial" w:hAnsi="Arial" w:cs="Arial"/>
                <w:b/>
                <w:sz w:val="16"/>
                <w:szCs w:val="16"/>
              </w:rPr>
              <w:t>Spolu za program</w:t>
            </w:r>
          </w:p>
        </w:tc>
        <w:tc>
          <w:tcPr>
            <w:tcW w:w="992" w:type="dxa"/>
            <w:shd w:val="clear" w:color="auto" w:fill="EAF1DD"/>
            <w:vAlign w:val="center"/>
          </w:tcPr>
          <w:p w:rsidR="00A51C6F" w:rsidRPr="001C6892" w:rsidRDefault="00A51C6F" w:rsidP="00507035">
            <w:pPr>
              <w:jc w:val="center"/>
              <w:rPr>
                <w:rFonts w:ascii="Arial" w:hAnsi="Arial" w:cs="Arial"/>
                <w:sz w:val="16"/>
                <w:szCs w:val="16"/>
              </w:rPr>
            </w:pPr>
            <w:r w:rsidRPr="001C6892">
              <w:rPr>
                <w:rFonts w:ascii="Arial" w:hAnsi="Arial" w:cs="Arial"/>
                <w:sz w:val="16"/>
                <w:szCs w:val="16"/>
              </w:rPr>
              <w:t>82 439 385,00</w:t>
            </w:r>
          </w:p>
        </w:tc>
        <w:tc>
          <w:tcPr>
            <w:tcW w:w="1320" w:type="dxa"/>
            <w:shd w:val="clear" w:color="auto" w:fill="EAF1DD"/>
            <w:vAlign w:val="center"/>
          </w:tcPr>
          <w:p w:rsidR="00A51C6F" w:rsidRPr="001C6892" w:rsidRDefault="00A51C6F" w:rsidP="00507035">
            <w:pPr>
              <w:jc w:val="center"/>
              <w:rPr>
                <w:rFonts w:ascii="Arial" w:hAnsi="Arial" w:cs="Arial"/>
                <w:sz w:val="16"/>
                <w:szCs w:val="16"/>
              </w:rPr>
            </w:pPr>
            <w:r w:rsidRPr="001C6892">
              <w:rPr>
                <w:rFonts w:ascii="Arial" w:hAnsi="Arial" w:cs="Arial"/>
                <w:sz w:val="16"/>
                <w:szCs w:val="16"/>
              </w:rPr>
              <w:t>254 800 000,00</w:t>
            </w:r>
          </w:p>
        </w:tc>
        <w:tc>
          <w:tcPr>
            <w:tcW w:w="1176" w:type="dxa"/>
            <w:shd w:val="clear" w:color="auto" w:fill="EAF1DD"/>
            <w:vAlign w:val="center"/>
          </w:tcPr>
          <w:p w:rsidR="00A51C6F" w:rsidRPr="001C6892" w:rsidRDefault="00A51C6F" w:rsidP="00507035">
            <w:pPr>
              <w:jc w:val="center"/>
              <w:rPr>
                <w:rFonts w:ascii="Arial" w:hAnsi="Arial" w:cs="Arial"/>
                <w:sz w:val="16"/>
                <w:szCs w:val="16"/>
              </w:rPr>
            </w:pPr>
            <w:r w:rsidRPr="001C6892">
              <w:rPr>
                <w:rFonts w:ascii="Arial" w:hAnsi="Arial" w:cs="Arial"/>
                <w:sz w:val="16"/>
                <w:szCs w:val="16"/>
              </w:rPr>
              <w:t>66 226 644,39</w:t>
            </w:r>
          </w:p>
        </w:tc>
        <w:tc>
          <w:tcPr>
            <w:tcW w:w="1048" w:type="dxa"/>
            <w:shd w:val="clear" w:color="auto" w:fill="EAF1DD"/>
            <w:vAlign w:val="center"/>
          </w:tcPr>
          <w:p w:rsidR="00A51C6F" w:rsidRPr="001C6892" w:rsidRDefault="00A51C6F" w:rsidP="00507035">
            <w:pPr>
              <w:jc w:val="center"/>
              <w:rPr>
                <w:rFonts w:ascii="Arial" w:hAnsi="Arial" w:cs="Arial"/>
                <w:sz w:val="16"/>
                <w:szCs w:val="16"/>
              </w:rPr>
            </w:pPr>
            <w:r w:rsidRPr="001C6892">
              <w:rPr>
                <w:rFonts w:ascii="Arial" w:hAnsi="Arial" w:cs="Arial"/>
                <w:sz w:val="16"/>
                <w:szCs w:val="16"/>
              </w:rPr>
              <w:t>307 146 713,33</w:t>
            </w:r>
          </w:p>
        </w:tc>
        <w:tc>
          <w:tcPr>
            <w:tcW w:w="1276" w:type="dxa"/>
            <w:shd w:val="clear" w:color="auto" w:fill="EAF1DD"/>
            <w:vAlign w:val="center"/>
          </w:tcPr>
          <w:p w:rsidR="00A51C6F" w:rsidRPr="001C6892" w:rsidRDefault="00A51C6F" w:rsidP="00507035">
            <w:pPr>
              <w:jc w:val="center"/>
              <w:rPr>
                <w:rFonts w:ascii="Arial" w:hAnsi="Arial" w:cs="Arial"/>
                <w:sz w:val="16"/>
                <w:szCs w:val="16"/>
              </w:rPr>
            </w:pPr>
            <w:r w:rsidRPr="001C6892">
              <w:rPr>
                <w:rFonts w:ascii="Arial" w:hAnsi="Arial" w:cs="Arial"/>
                <w:sz w:val="16"/>
                <w:szCs w:val="16"/>
              </w:rPr>
              <w:t>16 212 740,61</w:t>
            </w:r>
          </w:p>
        </w:tc>
        <w:tc>
          <w:tcPr>
            <w:tcW w:w="992" w:type="dxa"/>
            <w:shd w:val="clear" w:color="auto" w:fill="EAF1DD"/>
            <w:vAlign w:val="center"/>
          </w:tcPr>
          <w:p w:rsidR="00A51C6F" w:rsidRPr="001C6892" w:rsidRDefault="00A51C6F" w:rsidP="00507035">
            <w:pPr>
              <w:jc w:val="center"/>
              <w:rPr>
                <w:rFonts w:ascii="Arial" w:hAnsi="Arial" w:cs="Arial"/>
                <w:sz w:val="16"/>
                <w:szCs w:val="16"/>
              </w:rPr>
            </w:pPr>
            <w:r w:rsidRPr="001C6892">
              <w:rPr>
                <w:rFonts w:ascii="Arial" w:hAnsi="Arial" w:cs="Arial"/>
                <w:sz w:val="16"/>
                <w:szCs w:val="16"/>
              </w:rPr>
              <w:t>-52 346 713,33</w:t>
            </w:r>
          </w:p>
        </w:tc>
        <w:tc>
          <w:tcPr>
            <w:tcW w:w="850" w:type="dxa"/>
            <w:shd w:val="clear" w:color="auto" w:fill="EAF1DD"/>
            <w:vAlign w:val="center"/>
          </w:tcPr>
          <w:p w:rsidR="00A51C6F" w:rsidRPr="001C6892" w:rsidRDefault="00A51C6F" w:rsidP="00507035">
            <w:pPr>
              <w:jc w:val="center"/>
              <w:rPr>
                <w:rFonts w:ascii="Arial" w:hAnsi="Arial" w:cs="Arial"/>
                <w:sz w:val="16"/>
                <w:szCs w:val="16"/>
              </w:rPr>
            </w:pPr>
            <w:r w:rsidRPr="001C6892">
              <w:rPr>
                <w:rFonts w:ascii="Arial" w:hAnsi="Arial" w:cs="Arial"/>
                <w:sz w:val="16"/>
                <w:szCs w:val="16"/>
              </w:rPr>
              <w:t>80,33%</w:t>
            </w:r>
          </w:p>
        </w:tc>
        <w:tc>
          <w:tcPr>
            <w:tcW w:w="851" w:type="dxa"/>
            <w:shd w:val="clear" w:color="auto" w:fill="EAF1DD"/>
            <w:vAlign w:val="center"/>
          </w:tcPr>
          <w:p w:rsidR="00A51C6F" w:rsidRPr="001C6892" w:rsidRDefault="00A51C6F" w:rsidP="00507035">
            <w:pPr>
              <w:jc w:val="center"/>
              <w:rPr>
                <w:rFonts w:ascii="Arial" w:hAnsi="Arial" w:cs="Arial"/>
                <w:sz w:val="16"/>
                <w:szCs w:val="16"/>
              </w:rPr>
            </w:pPr>
            <w:r w:rsidRPr="001C6892">
              <w:rPr>
                <w:rFonts w:ascii="Arial" w:hAnsi="Arial" w:cs="Arial"/>
                <w:sz w:val="16"/>
                <w:szCs w:val="16"/>
              </w:rPr>
              <w:t>120,54%</w:t>
            </w:r>
          </w:p>
        </w:tc>
      </w:tr>
    </w:tbl>
    <w:p w:rsidR="003F446D" w:rsidRPr="00330C33" w:rsidRDefault="003F446D" w:rsidP="00507035">
      <w:pPr>
        <w:spacing w:line="360" w:lineRule="auto"/>
        <w:jc w:val="both"/>
        <w:rPr>
          <w:rFonts w:ascii="Arial" w:hAnsi="Arial" w:cs="Arial"/>
          <w:sz w:val="20"/>
          <w:szCs w:val="20"/>
        </w:rPr>
      </w:pPr>
      <w:r w:rsidRPr="00330C33">
        <w:rPr>
          <w:rFonts w:ascii="Arial" w:hAnsi="Arial" w:cs="Arial"/>
          <w:sz w:val="20"/>
          <w:szCs w:val="20"/>
        </w:rPr>
        <w:t>Zdroj: CO</w:t>
      </w:r>
    </w:p>
    <w:p w:rsidR="003F446D" w:rsidRPr="00454DC9" w:rsidRDefault="003F446D" w:rsidP="00507035">
      <w:pPr>
        <w:spacing w:line="360" w:lineRule="auto"/>
        <w:jc w:val="both"/>
        <w:rPr>
          <w:rFonts w:ascii="Arial" w:hAnsi="Arial" w:cs="Arial"/>
          <w:sz w:val="18"/>
          <w:szCs w:val="20"/>
        </w:rPr>
      </w:pPr>
      <w:r w:rsidRPr="00454DC9">
        <w:rPr>
          <w:rFonts w:ascii="Arial" w:hAnsi="Arial" w:cs="Arial"/>
          <w:sz w:val="18"/>
          <w:szCs w:val="20"/>
        </w:rPr>
        <w:t>*Poznámka: čerpanie oprávnených výdavkov voči EK zahŕňa ŽoP na EK, ktoré boli zaslané a súčasne prijaté v roku 2012</w:t>
      </w:r>
    </w:p>
    <w:p w:rsidR="00B41C71" w:rsidRDefault="00B41C71" w:rsidP="00B41C71">
      <w:pPr>
        <w:spacing w:line="360" w:lineRule="auto"/>
        <w:jc w:val="both"/>
        <w:rPr>
          <w:rFonts w:ascii="Arial" w:hAnsi="Arial" w:cs="Arial"/>
          <w:bCs/>
          <w:sz w:val="20"/>
          <w:szCs w:val="20"/>
        </w:rPr>
      </w:pPr>
      <w:r w:rsidRPr="0010047F">
        <w:rPr>
          <w:rFonts w:ascii="Arial" w:hAnsi="Arial" w:cs="Arial"/>
          <w:bCs/>
          <w:sz w:val="20"/>
          <w:szCs w:val="20"/>
        </w:rPr>
        <w:t>Tab</w:t>
      </w:r>
      <w:r w:rsidR="00E57A5C">
        <w:rPr>
          <w:rFonts w:ascii="Arial" w:hAnsi="Arial" w:cs="Arial"/>
          <w:bCs/>
          <w:sz w:val="20"/>
          <w:szCs w:val="20"/>
        </w:rPr>
        <w:t>.</w:t>
      </w:r>
      <w:r w:rsidRPr="0010047F">
        <w:rPr>
          <w:rFonts w:ascii="Arial" w:hAnsi="Arial" w:cs="Arial"/>
          <w:bCs/>
          <w:sz w:val="20"/>
          <w:szCs w:val="20"/>
        </w:rPr>
        <w:t xml:space="preserve"> č. </w:t>
      </w:r>
      <w:r>
        <w:rPr>
          <w:rFonts w:ascii="Arial" w:hAnsi="Arial" w:cs="Arial"/>
          <w:bCs/>
          <w:sz w:val="20"/>
          <w:szCs w:val="20"/>
        </w:rPr>
        <w:t xml:space="preserve">13: </w:t>
      </w:r>
      <w:r w:rsidRPr="0010047F">
        <w:rPr>
          <w:rFonts w:ascii="Arial" w:hAnsi="Arial" w:cs="Arial"/>
          <w:bCs/>
          <w:sz w:val="20"/>
          <w:szCs w:val="20"/>
        </w:rPr>
        <w:t>Porovnanie skutočného a plánovaného čerpania od 01.01.2012 do 31.12.2012 – zaslané žiadosti o platbu na EK v roku 2012</w:t>
      </w:r>
    </w:p>
    <w:tbl>
      <w:tblPr>
        <w:tblpPr w:leftFromText="141" w:rightFromText="141" w:vertAnchor="text" w:horzAnchor="margin" w:tblpXSpec="center" w:tblpY="134"/>
        <w:tblW w:w="94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59"/>
        <w:gridCol w:w="1189"/>
        <w:gridCol w:w="1079"/>
        <w:gridCol w:w="1176"/>
        <w:gridCol w:w="1092"/>
        <w:gridCol w:w="1276"/>
        <w:gridCol w:w="992"/>
        <w:gridCol w:w="850"/>
        <w:gridCol w:w="851"/>
      </w:tblGrid>
      <w:tr w:rsidR="00B41C71" w:rsidRPr="00373EB9" w:rsidTr="00B41C71">
        <w:trPr>
          <w:trHeight w:val="634"/>
        </w:trPr>
        <w:tc>
          <w:tcPr>
            <w:tcW w:w="959" w:type="dxa"/>
            <w:vMerge w:val="restart"/>
          </w:tcPr>
          <w:p w:rsidR="00B41C71" w:rsidRPr="00330C33" w:rsidRDefault="00B41C71" w:rsidP="00B41C71">
            <w:pPr>
              <w:jc w:val="both"/>
              <w:rPr>
                <w:rFonts w:ascii="Arial" w:hAnsi="Arial" w:cs="Arial"/>
                <w:sz w:val="16"/>
                <w:szCs w:val="16"/>
              </w:rPr>
            </w:pPr>
          </w:p>
        </w:tc>
        <w:tc>
          <w:tcPr>
            <w:tcW w:w="2268" w:type="dxa"/>
            <w:gridSpan w:val="2"/>
            <w:shd w:val="clear" w:color="auto" w:fill="D6E3BC"/>
            <w:vAlign w:val="center"/>
          </w:tcPr>
          <w:p w:rsidR="00B41C71" w:rsidRPr="00330C33" w:rsidRDefault="00B41C71" w:rsidP="00B41C71">
            <w:pPr>
              <w:jc w:val="center"/>
              <w:rPr>
                <w:rFonts w:ascii="Arial" w:hAnsi="Arial" w:cs="Arial"/>
                <w:b/>
                <w:sz w:val="16"/>
                <w:szCs w:val="16"/>
              </w:rPr>
            </w:pPr>
            <w:r w:rsidRPr="00330C33">
              <w:rPr>
                <w:rFonts w:ascii="Arial" w:hAnsi="Arial" w:cs="Arial"/>
                <w:b/>
                <w:sz w:val="16"/>
                <w:szCs w:val="16"/>
              </w:rPr>
              <w:t>Plánované čerpanie oprávnených výdavkov v roku 2012 v €</w:t>
            </w:r>
          </w:p>
          <w:p w:rsidR="00B41C71" w:rsidRPr="00330C33" w:rsidRDefault="00B41C71" w:rsidP="00B41C71">
            <w:pPr>
              <w:jc w:val="center"/>
              <w:rPr>
                <w:rFonts w:ascii="Arial" w:hAnsi="Arial" w:cs="Arial"/>
                <w:b/>
                <w:sz w:val="16"/>
                <w:szCs w:val="16"/>
              </w:rPr>
            </w:pPr>
            <w:r w:rsidRPr="00330C33">
              <w:rPr>
                <w:rFonts w:ascii="Arial" w:hAnsi="Arial" w:cs="Arial"/>
                <w:b/>
                <w:sz w:val="16"/>
                <w:szCs w:val="16"/>
              </w:rPr>
              <w:t>(OOV zaslané CO na EK</w:t>
            </w:r>
          </w:p>
          <w:p w:rsidR="00B41C71" w:rsidRPr="00330C33" w:rsidRDefault="00B41C71" w:rsidP="00B41C71">
            <w:pPr>
              <w:jc w:val="center"/>
              <w:rPr>
                <w:rFonts w:ascii="Arial" w:hAnsi="Arial" w:cs="Arial"/>
                <w:b/>
                <w:sz w:val="16"/>
                <w:szCs w:val="16"/>
              </w:rPr>
            </w:pPr>
            <w:r w:rsidRPr="00330C33">
              <w:rPr>
                <w:rFonts w:ascii="Arial" w:hAnsi="Arial" w:cs="Arial"/>
                <w:b/>
                <w:sz w:val="16"/>
                <w:szCs w:val="16"/>
              </w:rPr>
              <w:t>k 27.04. 2012)</w:t>
            </w:r>
          </w:p>
        </w:tc>
        <w:tc>
          <w:tcPr>
            <w:tcW w:w="2268" w:type="dxa"/>
            <w:gridSpan w:val="2"/>
            <w:shd w:val="clear" w:color="auto" w:fill="D6E3BC"/>
            <w:vAlign w:val="center"/>
          </w:tcPr>
          <w:p w:rsidR="00B41C71" w:rsidRPr="00330C33" w:rsidRDefault="00B41C71" w:rsidP="00B41C71">
            <w:pPr>
              <w:jc w:val="center"/>
              <w:rPr>
                <w:rFonts w:ascii="Arial" w:hAnsi="Arial" w:cs="Arial"/>
                <w:b/>
                <w:sz w:val="16"/>
                <w:szCs w:val="16"/>
              </w:rPr>
            </w:pPr>
            <w:r w:rsidRPr="00330C33">
              <w:rPr>
                <w:rFonts w:ascii="Arial" w:hAnsi="Arial" w:cs="Arial"/>
                <w:b/>
                <w:sz w:val="16"/>
                <w:szCs w:val="16"/>
              </w:rPr>
              <w:t>Čerpanie oprávnených výdavkov voči EK</w:t>
            </w:r>
          </w:p>
          <w:p w:rsidR="00B41C71" w:rsidRPr="00330C33" w:rsidRDefault="00B41C71" w:rsidP="00B41C71">
            <w:pPr>
              <w:jc w:val="center"/>
              <w:rPr>
                <w:rFonts w:ascii="Arial" w:hAnsi="Arial" w:cs="Arial"/>
                <w:b/>
                <w:sz w:val="16"/>
                <w:szCs w:val="16"/>
              </w:rPr>
            </w:pPr>
            <w:r w:rsidRPr="00330C33">
              <w:rPr>
                <w:rFonts w:ascii="Arial" w:hAnsi="Arial" w:cs="Arial"/>
                <w:b/>
                <w:sz w:val="16"/>
                <w:szCs w:val="16"/>
              </w:rPr>
              <w:t>za rok 2012 v €*</w:t>
            </w:r>
          </w:p>
        </w:tc>
        <w:tc>
          <w:tcPr>
            <w:tcW w:w="2268" w:type="dxa"/>
            <w:gridSpan w:val="2"/>
            <w:shd w:val="clear" w:color="auto" w:fill="D6E3BC"/>
            <w:vAlign w:val="center"/>
          </w:tcPr>
          <w:p w:rsidR="00B41C71" w:rsidRPr="00330C33" w:rsidRDefault="00B41C71" w:rsidP="00B41C71">
            <w:pPr>
              <w:jc w:val="center"/>
              <w:rPr>
                <w:rFonts w:ascii="Arial" w:hAnsi="Arial" w:cs="Arial"/>
                <w:b/>
                <w:sz w:val="16"/>
                <w:szCs w:val="16"/>
              </w:rPr>
            </w:pPr>
            <w:r w:rsidRPr="00330C33">
              <w:rPr>
                <w:rFonts w:ascii="Arial" w:hAnsi="Arial" w:cs="Arial"/>
                <w:b/>
                <w:sz w:val="16"/>
                <w:szCs w:val="16"/>
              </w:rPr>
              <w:t>Odchýlka</w:t>
            </w:r>
          </w:p>
          <w:p w:rsidR="00B41C71" w:rsidRPr="00330C33" w:rsidRDefault="00B41C71" w:rsidP="00B41C71">
            <w:pPr>
              <w:jc w:val="center"/>
              <w:rPr>
                <w:rFonts w:ascii="Arial" w:hAnsi="Arial" w:cs="Arial"/>
                <w:b/>
                <w:sz w:val="16"/>
                <w:szCs w:val="16"/>
              </w:rPr>
            </w:pPr>
            <w:r w:rsidRPr="00330C33">
              <w:rPr>
                <w:rFonts w:ascii="Arial" w:hAnsi="Arial" w:cs="Arial"/>
                <w:b/>
                <w:sz w:val="16"/>
                <w:szCs w:val="16"/>
              </w:rPr>
              <w:t>(plánované čerpanie – čerpanie</w:t>
            </w:r>
          </w:p>
          <w:p w:rsidR="00B41C71" w:rsidRPr="00330C33" w:rsidRDefault="00B41C71" w:rsidP="00B41C71">
            <w:pPr>
              <w:jc w:val="center"/>
              <w:rPr>
                <w:rFonts w:ascii="Arial" w:hAnsi="Arial" w:cs="Arial"/>
                <w:b/>
                <w:sz w:val="16"/>
                <w:szCs w:val="16"/>
              </w:rPr>
            </w:pPr>
            <w:r w:rsidRPr="00330C33">
              <w:rPr>
                <w:rFonts w:ascii="Arial" w:hAnsi="Arial" w:cs="Arial"/>
                <w:b/>
                <w:sz w:val="16"/>
                <w:szCs w:val="16"/>
              </w:rPr>
              <w:t>voči EK) v €</w:t>
            </w:r>
          </w:p>
        </w:tc>
        <w:tc>
          <w:tcPr>
            <w:tcW w:w="1701" w:type="dxa"/>
            <w:gridSpan w:val="2"/>
            <w:tcBorders>
              <w:bottom w:val="single" w:sz="4" w:space="0" w:color="auto"/>
            </w:tcBorders>
            <w:shd w:val="clear" w:color="auto" w:fill="D6E3BC"/>
            <w:vAlign w:val="center"/>
          </w:tcPr>
          <w:p w:rsidR="00B41C71" w:rsidRPr="00330C33" w:rsidRDefault="00B41C71" w:rsidP="00B41C71">
            <w:pPr>
              <w:jc w:val="center"/>
              <w:rPr>
                <w:rFonts w:ascii="Arial" w:hAnsi="Arial" w:cs="Arial"/>
                <w:b/>
                <w:sz w:val="16"/>
                <w:szCs w:val="16"/>
              </w:rPr>
            </w:pPr>
            <w:r w:rsidRPr="00330C33">
              <w:rPr>
                <w:rFonts w:ascii="Arial" w:hAnsi="Arial" w:cs="Arial"/>
                <w:b/>
                <w:sz w:val="16"/>
                <w:szCs w:val="16"/>
              </w:rPr>
              <w:t>Odchýlka</w:t>
            </w:r>
          </w:p>
          <w:p w:rsidR="00B41C71" w:rsidRPr="00330C33" w:rsidRDefault="00B41C71" w:rsidP="00B41C71">
            <w:pPr>
              <w:jc w:val="center"/>
              <w:rPr>
                <w:rFonts w:ascii="Arial" w:hAnsi="Arial" w:cs="Arial"/>
                <w:b/>
                <w:sz w:val="16"/>
                <w:szCs w:val="16"/>
              </w:rPr>
            </w:pPr>
            <w:r w:rsidRPr="00330C33">
              <w:rPr>
                <w:rFonts w:ascii="Arial" w:hAnsi="Arial" w:cs="Arial"/>
                <w:b/>
                <w:sz w:val="16"/>
                <w:szCs w:val="16"/>
              </w:rPr>
              <w:t>(naplnenie OOV)</w:t>
            </w:r>
          </w:p>
          <w:p w:rsidR="00B41C71" w:rsidRPr="00330C33" w:rsidRDefault="00B41C71" w:rsidP="00B41C71">
            <w:pPr>
              <w:jc w:val="center"/>
              <w:rPr>
                <w:rFonts w:ascii="Arial" w:hAnsi="Arial" w:cs="Arial"/>
                <w:i/>
                <w:sz w:val="16"/>
                <w:szCs w:val="16"/>
              </w:rPr>
            </w:pPr>
            <w:r w:rsidRPr="00330C33">
              <w:rPr>
                <w:rFonts w:ascii="Arial" w:hAnsi="Arial" w:cs="Arial"/>
                <w:b/>
                <w:sz w:val="16"/>
                <w:szCs w:val="16"/>
              </w:rPr>
              <w:t>v %</w:t>
            </w:r>
          </w:p>
        </w:tc>
      </w:tr>
      <w:tr w:rsidR="00B41C71" w:rsidRPr="00373EB9" w:rsidTr="00B41C71">
        <w:tc>
          <w:tcPr>
            <w:tcW w:w="959" w:type="dxa"/>
            <w:vMerge/>
          </w:tcPr>
          <w:p w:rsidR="00B41C71" w:rsidRPr="0039268C" w:rsidRDefault="00B41C71" w:rsidP="00B41C71">
            <w:pPr>
              <w:jc w:val="both"/>
              <w:rPr>
                <w:rFonts w:ascii="Arial" w:hAnsi="Arial" w:cs="Arial"/>
                <w:sz w:val="16"/>
                <w:szCs w:val="16"/>
              </w:rPr>
            </w:pPr>
          </w:p>
        </w:tc>
        <w:tc>
          <w:tcPr>
            <w:tcW w:w="2268" w:type="dxa"/>
            <w:gridSpan w:val="2"/>
            <w:vAlign w:val="center"/>
          </w:tcPr>
          <w:p w:rsidR="00B41C71" w:rsidRPr="0039268C" w:rsidRDefault="00B41C71" w:rsidP="00B41C71">
            <w:pPr>
              <w:jc w:val="center"/>
              <w:rPr>
                <w:rFonts w:ascii="Arial" w:hAnsi="Arial" w:cs="Arial"/>
                <w:sz w:val="16"/>
                <w:szCs w:val="16"/>
              </w:rPr>
            </w:pPr>
            <w:r w:rsidRPr="0039268C">
              <w:rPr>
                <w:rFonts w:ascii="Arial" w:hAnsi="Arial" w:cs="Arial"/>
                <w:sz w:val="16"/>
                <w:szCs w:val="16"/>
              </w:rPr>
              <w:t>EÚ zdroje</w:t>
            </w:r>
          </w:p>
        </w:tc>
        <w:tc>
          <w:tcPr>
            <w:tcW w:w="2268" w:type="dxa"/>
            <w:gridSpan w:val="2"/>
          </w:tcPr>
          <w:p w:rsidR="00B41C71" w:rsidRPr="0039268C" w:rsidRDefault="00B41C71" w:rsidP="00B41C71">
            <w:pPr>
              <w:jc w:val="center"/>
              <w:rPr>
                <w:rFonts w:ascii="Arial" w:hAnsi="Arial" w:cs="Arial"/>
                <w:sz w:val="16"/>
                <w:szCs w:val="16"/>
              </w:rPr>
            </w:pPr>
            <w:r w:rsidRPr="0039268C">
              <w:rPr>
                <w:rFonts w:ascii="Arial" w:hAnsi="Arial" w:cs="Arial"/>
                <w:sz w:val="16"/>
                <w:szCs w:val="16"/>
              </w:rPr>
              <w:t>EÚ zdroje</w:t>
            </w:r>
          </w:p>
        </w:tc>
        <w:tc>
          <w:tcPr>
            <w:tcW w:w="2268" w:type="dxa"/>
            <w:gridSpan w:val="2"/>
          </w:tcPr>
          <w:p w:rsidR="00B41C71" w:rsidRPr="0039268C" w:rsidRDefault="00B41C71" w:rsidP="00B41C71">
            <w:pPr>
              <w:jc w:val="center"/>
              <w:rPr>
                <w:rFonts w:ascii="Arial" w:hAnsi="Arial" w:cs="Arial"/>
                <w:sz w:val="16"/>
                <w:szCs w:val="16"/>
              </w:rPr>
            </w:pPr>
            <w:r w:rsidRPr="0039268C">
              <w:rPr>
                <w:rFonts w:ascii="Arial" w:hAnsi="Arial" w:cs="Arial"/>
                <w:sz w:val="16"/>
                <w:szCs w:val="16"/>
              </w:rPr>
              <w:t>EÚ zdroje</w:t>
            </w:r>
          </w:p>
        </w:tc>
        <w:tc>
          <w:tcPr>
            <w:tcW w:w="1701" w:type="dxa"/>
            <w:gridSpan w:val="2"/>
            <w:shd w:val="clear" w:color="auto" w:fill="auto"/>
          </w:tcPr>
          <w:p w:rsidR="00B41C71" w:rsidRPr="0039268C" w:rsidRDefault="00B41C71" w:rsidP="00B41C71">
            <w:pPr>
              <w:jc w:val="center"/>
              <w:rPr>
                <w:rFonts w:ascii="Arial" w:hAnsi="Arial" w:cs="Arial"/>
                <w:sz w:val="16"/>
                <w:szCs w:val="16"/>
              </w:rPr>
            </w:pPr>
            <w:r w:rsidRPr="0039268C">
              <w:rPr>
                <w:rFonts w:ascii="Arial" w:hAnsi="Arial" w:cs="Arial"/>
                <w:sz w:val="16"/>
                <w:szCs w:val="16"/>
              </w:rPr>
              <w:t>EÚ zdroje</w:t>
            </w:r>
          </w:p>
        </w:tc>
      </w:tr>
      <w:tr w:rsidR="00B41C71" w:rsidRPr="00373EB9" w:rsidTr="00B41C71">
        <w:tc>
          <w:tcPr>
            <w:tcW w:w="959" w:type="dxa"/>
            <w:vMerge/>
            <w:tcBorders>
              <w:bottom w:val="single" w:sz="4" w:space="0" w:color="auto"/>
            </w:tcBorders>
          </w:tcPr>
          <w:p w:rsidR="00B41C71" w:rsidRPr="0039268C" w:rsidRDefault="00B41C71" w:rsidP="00B41C71">
            <w:pPr>
              <w:jc w:val="both"/>
              <w:rPr>
                <w:rFonts w:ascii="Arial" w:hAnsi="Arial" w:cs="Arial"/>
                <w:sz w:val="16"/>
                <w:szCs w:val="16"/>
              </w:rPr>
            </w:pPr>
          </w:p>
        </w:tc>
        <w:tc>
          <w:tcPr>
            <w:tcW w:w="1189" w:type="dxa"/>
            <w:tcBorders>
              <w:bottom w:val="single" w:sz="4" w:space="0" w:color="auto"/>
            </w:tcBorders>
            <w:vAlign w:val="center"/>
          </w:tcPr>
          <w:p w:rsidR="00B41C71" w:rsidRPr="0039268C" w:rsidRDefault="00B41C71" w:rsidP="00B41C71">
            <w:pPr>
              <w:jc w:val="center"/>
              <w:rPr>
                <w:rFonts w:ascii="Arial" w:hAnsi="Arial" w:cs="Arial"/>
                <w:sz w:val="16"/>
                <w:szCs w:val="16"/>
              </w:rPr>
            </w:pPr>
            <w:r w:rsidRPr="0039268C">
              <w:rPr>
                <w:rFonts w:ascii="Arial" w:hAnsi="Arial" w:cs="Arial"/>
                <w:sz w:val="16"/>
                <w:szCs w:val="16"/>
              </w:rPr>
              <w:t>ŠF</w:t>
            </w:r>
          </w:p>
        </w:tc>
        <w:tc>
          <w:tcPr>
            <w:tcW w:w="1079" w:type="dxa"/>
            <w:tcBorders>
              <w:bottom w:val="single" w:sz="4" w:space="0" w:color="auto"/>
            </w:tcBorders>
            <w:vAlign w:val="center"/>
          </w:tcPr>
          <w:p w:rsidR="00B41C71" w:rsidRPr="0039268C" w:rsidRDefault="00B41C71" w:rsidP="00B41C71">
            <w:pPr>
              <w:jc w:val="center"/>
              <w:rPr>
                <w:rFonts w:ascii="Arial" w:hAnsi="Arial" w:cs="Arial"/>
                <w:i/>
                <w:sz w:val="16"/>
                <w:szCs w:val="16"/>
              </w:rPr>
            </w:pPr>
            <w:r w:rsidRPr="0039268C">
              <w:rPr>
                <w:rFonts w:ascii="Arial" w:hAnsi="Arial" w:cs="Arial"/>
                <w:sz w:val="16"/>
                <w:szCs w:val="16"/>
              </w:rPr>
              <w:t>KF</w:t>
            </w:r>
          </w:p>
        </w:tc>
        <w:tc>
          <w:tcPr>
            <w:tcW w:w="1176" w:type="dxa"/>
            <w:tcBorders>
              <w:bottom w:val="single" w:sz="4" w:space="0" w:color="auto"/>
            </w:tcBorders>
            <w:vAlign w:val="center"/>
          </w:tcPr>
          <w:p w:rsidR="00B41C71" w:rsidRPr="0039268C" w:rsidRDefault="00B41C71" w:rsidP="00B41C71">
            <w:pPr>
              <w:tabs>
                <w:tab w:val="left" w:pos="1010"/>
              </w:tabs>
              <w:jc w:val="center"/>
              <w:rPr>
                <w:rFonts w:ascii="Arial" w:hAnsi="Arial" w:cs="Arial"/>
                <w:sz w:val="16"/>
                <w:szCs w:val="16"/>
              </w:rPr>
            </w:pPr>
            <w:r w:rsidRPr="0039268C">
              <w:rPr>
                <w:rFonts w:ascii="Arial" w:hAnsi="Arial" w:cs="Arial"/>
                <w:sz w:val="16"/>
                <w:szCs w:val="16"/>
              </w:rPr>
              <w:t>ŠF</w:t>
            </w:r>
          </w:p>
        </w:tc>
        <w:tc>
          <w:tcPr>
            <w:tcW w:w="1092" w:type="dxa"/>
            <w:tcBorders>
              <w:bottom w:val="single" w:sz="4" w:space="0" w:color="auto"/>
            </w:tcBorders>
            <w:vAlign w:val="center"/>
          </w:tcPr>
          <w:p w:rsidR="00B41C71" w:rsidRPr="0039268C" w:rsidRDefault="00B41C71" w:rsidP="00B41C71">
            <w:pPr>
              <w:jc w:val="center"/>
              <w:rPr>
                <w:rFonts w:ascii="Arial" w:hAnsi="Arial" w:cs="Arial"/>
                <w:sz w:val="16"/>
                <w:szCs w:val="16"/>
              </w:rPr>
            </w:pPr>
            <w:r w:rsidRPr="0039268C">
              <w:rPr>
                <w:rFonts w:ascii="Arial" w:hAnsi="Arial" w:cs="Arial"/>
                <w:sz w:val="16"/>
                <w:szCs w:val="16"/>
              </w:rPr>
              <w:t>KF</w:t>
            </w:r>
          </w:p>
        </w:tc>
        <w:tc>
          <w:tcPr>
            <w:tcW w:w="1276" w:type="dxa"/>
            <w:tcBorders>
              <w:bottom w:val="single" w:sz="4" w:space="0" w:color="auto"/>
            </w:tcBorders>
            <w:vAlign w:val="center"/>
          </w:tcPr>
          <w:p w:rsidR="00B41C71" w:rsidRPr="0039268C" w:rsidRDefault="00B41C71" w:rsidP="00B41C71">
            <w:pPr>
              <w:jc w:val="center"/>
              <w:rPr>
                <w:rFonts w:ascii="Arial" w:hAnsi="Arial" w:cs="Arial"/>
                <w:sz w:val="16"/>
                <w:szCs w:val="16"/>
              </w:rPr>
            </w:pPr>
            <w:r w:rsidRPr="0039268C">
              <w:rPr>
                <w:rFonts w:ascii="Arial" w:hAnsi="Arial" w:cs="Arial"/>
                <w:sz w:val="16"/>
                <w:szCs w:val="16"/>
              </w:rPr>
              <w:t>ŠF</w:t>
            </w:r>
          </w:p>
        </w:tc>
        <w:tc>
          <w:tcPr>
            <w:tcW w:w="992" w:type="dxa"/>
            <w:tcBorders>
              <w:bottom w:val="single" w:sz="4" w:space="0" w:color="auto"/>
            </w:tcBorders>
            <w:shd w:val="clear" w:color="auto" w:fill="auto"/>
            <w:vAlign w:val="center"/>
          </w:tcPr>
          <w:p w:rsidR="00B41C71" w:rsidRPr="0039268C" w:rsidRDefault="00B41C71" w:rsidP="00B41C71">
            <w:pPr>
              <w:jc w:val="center"/>
              <w:rPr>
                <w:rFonts w:ascii="Arial" w:hAnsi="Arial" w:cs="Arial"/>
                <w:i/>
                <w:sz w:val="16"/>
                <w:szCs w:val="16"/>
              </w:rPr>
            </w:pPr>
            <w:r w:rsidRPr="0039268C">
              <w:rPr>
                <w:rFonts w:ascii="Arial" w:hAnsi="Arial" w:cs="Arial"/>
                <w:sz w:val="16"/>
                <w:szCs w:val="16"/>
              </w:rPr>
              <w:t>KF</w:t>
            </w:r>
          </w:p>
        </w:tc>
        <w:tc>
          <w:tcPr>
            <w:tcW w:w="850" w:type="dxa"/>
            <w:tcBorders>
              <w:bottom w:val="single" w:sz="4" w:space="0" w:color="auto"/>
            </w:tcBorders>
            <w:vAlign w:val="center"/>
          </w:tcPr>
          <w:p w:rsidR="00B41C71" w:rsidRPr="0039268C" w:rsidRDefault="00B41C71" w:rsidP="00B41C71">
            <w:pPr>
              <w:jc w:val="center"/>
              <w:rPr>
                <w:rFonts w:ascii="Arial" w:hAnsi="Arial" w:cs="Arial"/>
                <w:sz w:val="16"/>
                <w:szCs w:val="16"/>
              </w:rPr>
            </w:pPr>
            <w:r w:rsidRPr="0039268C">
              <w:rPr>
                <w:rFonts w:ascii="Arial" w:hAnsi="Arial" w:cs="Arial"/>
                <w:sz w:val="16"/>
                <w:szCs w:val="16"/>
              </w:rPr>
              <w:t>ŠF</w:t>
            </w:r>
          </w:p>
        </w:tc>
        <w:tc>
          <w:tcPr>
            <w:tcW w:w="851" w:type="dxa"/>
            <w:tcBorders>
              <w:bottom w:val="single" w:sz="4" w:space="0" w:color="auto"/>
            </w:tcBorders>
            <w:vAlign w:val="center"/>
          </w:tcPr>
          <w:p w:rsidR="00B41C71" w:rsidRPr="0039268C" w:rsidRDefault="00B41C71" w:rsidP="00B41C71">
            <w:pPr>
              <w:jc w:val="center"/>
              <w:rPr>
                <w:rFonts w:ascii="Arial" w:hAnsi="Arial" w:cs="Arial"/>
                <w:i/>
                <w:sz w:val="16"/>
                <w:szCs w:val="16"/>
              </w:rPr>
            </w:pPr>
            <w:r w:rsidRPr="0039268C">
              <w:rPr>
                <w:rFonts w:ascii="Arial" w:hAnsi="Arial" w:cs="Arial"/>
                <w:sz w:val="16"/>
                <w:szCs w:val="16"/>
              </w:rPr>
              <w:t>KF</w:t>
            </w:r>
          </w:p>
        </w:tc>
      </w:tr>
      <w:tr w:rsidR="00B41C71" w:rsidRPr="00373EB9" w:rsidTr="00B41C71">
        <w:tc>
          <w:tcPr>
            <w:tcW w:w="959" w:type="dxa"/>
            <w:shd w:val="clear" w:color="auto" w:fill="EAF1DD"/>
          </w:tcPr>
          <w:p w:rsidR="00B41C71" w:rsidRPr="00330C33" w:rsidRDefault="00B41C71" w:rsidP="00B41C71">
            <w:pPr>
              <w:jc w:val="both"/>
              <w:rPr>
                <w:rFonts w:ascii="Arial" w:hAnsi="Arial" w:cs="Arial"/>
                <w:b/>
                <w:sz w:val="16"/>
                <w:szCs w:val="16"/>
              </w:rPr>
            </w:pPr>
            <w:r w:rsidRPr="00330C33">
              <w:rPr>
                <w:rFonts w:ascii="Arial" w:hAnsi="Arial" w:cs="Arial"/>
                <w:b/>
                <w:sz w:val="16"/>
                <w:szCs w:val="16"/>
              </w:rPr>
              <w:t>Spolu za program</w:t>
            </w:r>
          </w:p>
        </w:tc>
        <w:tc>
          <w:tcPr>
            <w:tcW w:w="1189" w:type="dxa"/>
            <w:shd w:val="clear" w:color="auto" w:fill="EAF1DD"/>
            <w:vAlign w:val="center"/>
          </w:tcPr>
          <w:p w:rsidR="00B41C71" w:rsidRPr="00330C33" w:rsidRDefault="00B41C71" w:rsidP="00B41C71">
            <w:pPr>
              <w:jc w:val="center"/>
              <w:rPr>
                <w:rFonts w:ascii="Arial" w:hAnsi="Arial" w:cs="Arial"/>
                <w:sz w:val="16"/>
                <w:szCs w:val="16"/>
              </w:rPr>
            </w:pPr>
            <w:r w:rsidRPr="00330C33">
              <w:rPr>
                <w:rFonts w:ascii="Arial" w:hAnsi="Arial" w:cs="Arial"/>
                <w:sz w:val="16"/>
                <w:szCs w:val="16"/>
              </w:rPr>
              <w:t>82 439 385,00</w:t>
            </w:r>
          </w:p>
        </w:tc>
        <w:tc>
          <w:tcPr>
            <w:tcW w:w="1079" w:type="dxa"/>
            <w:shd w:val="clear" w:color="auto" w:fill="EAF1DD"/>
            <w:vAlign w:val="center"/>
          </w:tcPr>
          <w:p w:rsidR="00B41C71" w:rsidRPr="00330C33" w:rsidRDefault="00B41C71" w:rsidP="00B41C71">
            <w:pPr>
              <w:jc w:val="center"/>
              <w:rPr>
                <w:rFonts w:ascii="Arial" w:hAnsi="Arial" w:cs="Arial"/>
                <w:sz w:val="16"/>
                <w:szCs w:val="16"/>
              </w:rPr>
            </w:pPr>
            <w:r w:rsidRPr="00330C33">
              <w:rPr>
                <w:rFonts w:ascii="Arial" w:hAnsi="Arial" w:cs="Arial"/>
                <w:sz w:val="16"/>
                <w:szCs w:val="16"/>
              </w:rPr>
              <w:t>254 800 000,00</w:t>
            </w:r>
          </w:p>
        </w:tc>
        <w:tc>
          <w:tcPr>
            <w:tcW w:w="1176" w:type="dxa"/>
            <w:shd w:val="clear" w:color="auto" w:fill="EAF1DD"/>
            <w:vAlign w:val="center"/>
          </w:tcPr>
          <w:p w:rsidR="00B41C71" w:rsidRPr="00330C33" w:rsidRDefault="00B41C71" w:rsidP="00B41C71">
            <w:pPr>
              <w:jc w:val="both"/>
              <w:rPr>
                <w:rFonts w:ascii="Arial" w:hAnsi="Arial" w:cs="Arial"/>
                <w:sz w:val="16"/>
                <w:szCs w:val="16"/>
              </w:rPr>
            </w:pPr>
            <w:r w:rsidRPr="00330C33">
              <w:rPr>
                <w:rFonts w:ascii="Arial" w:hAnsi="Arial" w:cs="Arial"/>
                <w:sz w:val="16"/>
                <w:szCs w:val="16"/>
              </w:rPr>
              <w:t>63 274 086,14</w:t>
            </w:r>
          </w:p>
        </w:tc>
        <w:tc>
          <w:tcPr>
            <w:tcW w:w="1092" w:type="dxa"/>
            <w:shd w:val="clear" w:color="auto" w:fill="EAF1DD"/>
            <w:vAlign w:val="center"/>
          </w:tcPr>
          <w:p w:rsidR="00B41C71" w:rsidRPr="00330C33" w:rsidRDefault="00B41C71" w:rsidP="00B41C71">
            <w:pPr>
              <w:jc w:val="both"/>
              <w:rPr>
                <w:rFonts w:ascii="Arial" w:hAnsi="Arial" w:cs="Arial"/>
                <w:sz w:val="16"/>
                <w:szCs w:val="16"/>
              </w:rPr>
            </w:pPr>
            <w:r w:rsidRPr="00330C33">
              <w:rPr>
                <w:rFonts w:ascii="Arial" w:hAnsi="Arial" w:cs="Arial"/>
                <w:sz w:val="16"/>
                <w:szCs w:val="16"/>
              </w:rPr>
              <w:t>266 873 035,06</w:t>
            </w:r>
          </w:p>
        </w:tc>
        <w:tc>
          <w:tcPr>
            <w:tcW w:w="1276" w:type="dxa"/>
            <w:shd w:val="clear" w:color="auto" w:fill="EAF1DD"/>
            <w:vAlign w:val="center"/>
          </w:tcPr>
          <w:p w:rsidR="00B41C71" w:rsidRPr="00330C33" w:rsidRDefault="00B41C71" w:rsidP="00B41C71">
            <w:pPr>
              <w:jc w:val="both"/>
              <w:rPr>
                <w:rFonts w:ascii="Arial" w:hAnsi="Arial" w:cs="Arial"/>
                <w:sz w:val="16"/>
                <w:szCs w:val="16"/>
              </w:rPr>
            </w:pPr>
            <w:r w:rsidRPr="00330C33">
              <w:rPr>
                <w:rFonts w:ascii="Arial" w:hAnsi="Arial" w:cs="Arial"/>
                <w:sz w:val="16"/>
                <w:szCs w:val="16"/>
              </w:rPr>
              <w:t>19 165 298,86</w:t>
            </w:r>
          </w:p>
        </w:tc>
        <w:tc>
          <w:tcPr>
            <w:tcW w:w="992" w:type="dxa"/>
            <w:shd w:val="clear" w:color="auto" w:fill="EAF1DD"/>
            <w:vAlign w:val="center"/>
          </w:tcPr>
          <w:p w:rsidR="00B41C71" w:rsidRPr="00330C33" w:rsidRDefault="00B41C71" w:rsidP="00B41C71">
            <w:pPr>
              <w:jc w:val="both"/>
              <w:rPr>
                <w:rFonts w:ascii="Arial" w:hAnsi="Arial" w:cs="Arial"/>
                <w:sz w:val="16"/>
                <w:szCs w:val="16"/>
              </w:rPr>
            </w:pPr>
            <w:r w:rsidRPr="00330C33">
              <w:rPr>
                <w:rFonts w:ascii="Arial" w:hAnsi="Arial" w:cs="Arial"/>
                <w:sz w:val="16"/>
                <w:szCs w:val="16"/>
              </w:rPr>
              <w:t>-12 073 035,06</w:t>
            </w:r>
          </w:p>
        </w:tc>
        <w:tc>
          <w:tcPr>
            <w:tcW w:w="850" w:type="dxa"/>
            <w:shd w:val="clear" w:color="auto" w:fill="EAF1DD"/>
            <w:vAlign w:val="center"/>
          </w:tcPr>
          <w:p w:rsidR="00B41C71" w:rsidRPr="00330C33" w:rsidRDefault="00B41C71" w:rsidP="00B41C71">
            <w:pPr>
              <w:jc w:val="both"/>
              <w:rPr>
                <w:rFonts w:ascii="Arial" w:hAnsi="Arial" w:cs="Arial"/>
                <w:sz w:val="16"/>
                <w:szCs w:val="16"/>
              </w:rPr>
            </w:pPr>
            <w:r w:rsidRPr="00330C33">
              <w:rPr>
                <w:rFonts w:ascii="Arial" w:hAnsi="Arial" w:cs="Arial"/>
                <w:sz w:val="16"/>
                <w:szCs w:val="16"/>
              </w:rPr>
              <w:t>76,75%</w:t>
            </w:r>
          </w:p>
        </w:tc>
        <w:tc>
          <w:tcPr>
            <w:tcW w:w="851" w:type="dxa"/>
            <w:shd w:val="clear" w:color="auto" w:fill="EAF1DD"/>
            <w:vAlign w:val="center"/>
          </w:tcPr>
          <w:p w:rsidR="00B41C71" w:rsidRPr="00330C33" w:rsidRDefault="00B41C71" w:rsidP="00B41C71">
            <w:pPr>
              <w:jc w:val="both"/>
              <w:rPr>
                <w:rFonts w:ascii="Arial" w:hAnsi="Arial" w:cs="Arial"/>
                <w:sz w:val="16"/>
                <w:szCs w:val="16"/>
              </w:rPr>
            </w:pPr>
            <w:r w:rsidRPr="00330C33">
              <w:rPr>
                <w:rFonts w:ascii="Arial" w:hAnsi="Arial" w:cs="Arial"/>
                <w:sz w:val="16"/>
                <w:szCs w:val="16"/>
              </w:rPr>
              <w:t>104,74%</w:t>
            </w:r>
          </w:p>
        </w:tc>
      </w:tr>
    </w:tbl>
    <w:p w:rsidR="00B41C71" w:rsidRDefault="00B41C71" w:rsidP="00B41C71">
      <w:pPr>
        <w:spacing w:line="360" w:lineRule="auto"/>
        <w:jc w:val="both"/>
        <w:rPr>
          <w:rFonts w:ascii="Arial" w:hAnsi="Arial" w:cs="Arial"/>
          <w:sz w:val="18"/>
          <w:szCs w:val="18"/>
        </w:rPr>
      </w:pPr>
      <w:r w:rsidRPr="00330C33">
        <w:rPr>
          <w:rFonts w:ascii="Arial" w:hAnsi="Arial" w:cs="Arial"/>
          <w:sz w:val="18"/>
          <w:szCs w:val="18"/>
        </w:rPr>
        <w:t>Zdroj: CO</w:t>
      </w:r>
    </w:p>
    <w:p w:rsidR="00B41C71" w:rsidRDefault="00B41C71" w:rsidP="00B41C71">
      <w:pPr>
        <w:rPr>
          <w:rFonts w:ascii="Arial" w:hAnsi="Arial" w:cs="Arial"/>
          <w:sz w:val="18"/>
          <w:szCs w:val="18"/>
        </w:rPr>
      </w:pPr>
    </w:p>
    <w:p w:rsidR="00507035" w:rsidRDefault="00507035">
      <w:pPr>
        <w:rPr>
          <w:rFonts w:ascii="Arial" w:hAnsi="Arial" w:cs="Arial"/>
          <w:sz w:val="20"/>
          <w:szCs w:val="20"/>
        </w:rPr>
      </w:pPr>
    </w:p>
    <w:p w:rsidR="003F446D" w:rsidRPr="00330C33" w:rsidRDefault="003F446D" w:rsidP="00507035">
      <w:pPr>
        <w:spacing w:line="360" w:lineRule="auto"/>
        <w:jc w:val="both"/>
        <w:rPr>
          <w:rFonts w:ascii="Arial" w:hAnsi="Arial" w:cs="Arial"/>
          <w:sz w:val="20"/>
          <w:szCs w:val="20"/>
        </w:rPr>
      </w:pPr>
      <w:r w:rsidRPr="00330C33">
        <w:rPr>
          <w:rFonts w:ascii="Arial" w:hAnsi="Arial" w:cs="Arial"/>
          <w:sz w:val="20"/>
          <w:szCs w:val="20"/>
        </w:rPr>
        <w:t>Tab</w:t>
      </w:r>
      <w:r w:rsidR="00E57A5C">
        <w:rPr>
          <w:rFonts w:ascii="Arial" w:hAnsi="Arial" w:cs="Arial"/>
          <w:sz w:val="20"/>
          <w:szCs w:val="20"/>
        </w:rPr>
        <w:t>.</w:t>
      </w:r>
      <w:r w:rsidRPr="00330C33">
        <w:rPr>
          <w:rFonts w:ascii="Arial" w:hAnsi="Arial" w:cs="Arial"/>
          <w:sz w:val="20"/>
          <w:szCs w:val="20"/>
        </w:rPr>
        <w:t xml:space="preserve"> č. </w:t>
      </w:r>
      <w:r w:rsidR="00B8465A">
        <w:rPr>
          <w:rFonts w:ascii="Arial" w:hAnsi="Arial" w:cs="Arial"/>
          <w:bCs/>
          <w:sz w:val="20"/>
          <w:szCs w:val="20"/>
        </w:rPr>
        <w:t>14:</w:t>
      </w:r>
      <w:r w:rsidRPr="00330C33">
        <w:rPr>
          <w:rFonts w:ascii="Arial" w:hAnsi="Arial" w:cs="Arial"/>
          <w:bCs/>
          <w:sz w:val="20"/>
          <w:szCs w:val="20"/>
        </w:rPr>
        <w:t xml:space="preserve"> Porovnanie skutočného a plánovaného čerpania od 01.01.2012 do 31.12.2012 – zaslané žiadosti o platbu na EK v roku 2012</w:t>
      </w:r>
    </w:p>
    <w:tbl>
      <w:tblPr>
        <w:tblpPr w:leftFromText="141" w:rightFromText="141" w:vertAnchor="text" w:horzAnchor="margin" w:tblpXSpec="center" w:tblpY="134"/>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59"/>
        <w:gridCol w:w="1134"/>
        <w:gridCol w:w="1134"/>
        <w:gridCol w:w="1176"/>
        <w:gridCol w:w="950"/>
        <w:gridCol w:w="1276"/>
        <w:gridCol w:w="992"/>
        <w:gridCol w:w="850"/>
        <w:gridCol w:w="851"/>
      </w:tblGrid>
      <w:tr w:rsidR="007131AA" w:rsidRPr="00373EB9" w:rsidTr="00330C33">
        <w:trPr>
          <w:trHeight w:val="634"/>
        </w:trPr>
        <w:tc>
          <w:tcPr>
            <w:tcW w:w="959" w:type="dxa"/>
            <w:vMerge w:val="restart"/>
          </w:tcPr>
          <w:p w:rsidR="003F446D" w:rsidRPr="00330C33" w:rsidRDefault="003F446D" w:rsidP="00507035">
            <w:pPr>
              <w:jc w:val="both"/>
              <w:rPr>
                <w:rFonts w:ascii="Arial" w:hAnsi="Arial" w:cs="Arial"/>
                <w:sz w:val="16"/>
                <w:szCs w:val="16"/>
              </w:rPr>
            </w:pPr>
          </w:p>
        </w:tc>
        <w:tc>
          <w:tcPr>
            <w:tcW w:w="2268" w:type="dxa"/>
            <w:gridSpan w:val="2"/>
            <w:shd w:val="clear" w:color="auto" w:fill="D6E3BC"/>
            <w:vAlign w:val="center"/>
          </w:tcPr>
          <w:p w:rsidR="003F446D" w:rsidRPr="00330C33" w:rsidRDefault="003F446D" w:rsidP="00507035">
            <w:pPr>
              <w:jc w:val="center"/>
              <w:rPr>
                <w:rFonts w:ascii="Arial" w:hAnsi="Arial" w:cs="Arial"/>
                <w:b/>
                <w:sz w:val="16"/>
                <w:szCs w:val="16"/>
              </w:rPr>
            </w:pPr>
            <w:r w:rsidRPr="00330C33">
              <w:rPr>
                <w:rFonts w:ascii="Arial" w:hAnsi="Arial" w:cs="Arial"/>
                <w:b/>
                <w:sz w:val="16"/>
                <w:szCs w:val="16"/>
              </w:rPr>
              <w:t>Plánované čerpanie oprávnených výdavkov v roku 2012 v €</w:t>
            </w:r>
          </w:p>
          <w:p w:rsidR="003F446D" w:rsidRPr="00330C33" w:rsidRDefault="003F446D" w:rsidP="00507035">
            <w:pPr>
              <w:jc w:val="center"/>
              <w:rPr>
                <w:rFonts w:ascii="Arial" w:hAnsi="Arial" w:cs="Arial"/>
                <w:b/>
                <w:sz w:val="16"/>
                <w:szCs w:val="16"/>
              </w:rPr>
            </w:pPr>
            <w:r w:rsidRPr="00330C33">
              <w:rPr>
                <w:rFonts w:ascii="Arial" w:hAnsi="Arial" w:cs="Arial"/>
                <w:b/>
                <w:sz w:val="16"/>
                <w:szCs w:val="16"/>
              </w:rPr>
              <w:t>(OOV zaslané CO na EK</w:t>
            </w:r>
          </w:p>
          <w:p w:rsidR="003F446D" w:rsidRPr="00330C33" w:rsidRDefault="003F446D" w:rsidP="00507035">
            <w:pPr>
              <w:jc w:val="center"/>
              <w:rPr>
                <w:rFonts w:ascii="Arial" w:hAnsi="Arial" w:cs="Arial"/>
                <w:b/>
                <w:sz w:val="16"/>
                <w:szCs w:val="16"/>
              </w:rPr>
            </w:pPr>
            <w:r w:rsidRPr="00330C33">
              <w:rPr>
                <w:rFonts w:ascii="Arial" w:hAnsi="Arial" w:cs="Arial"/>
                <w:b/>
                <w:sz w:val="16"/>
                <w:szCs w:val="16"/>
              </w:rPr>
              <w:t>k 12.09.2012)</w:t>
            </w:r>
          </w:p>
        </w:tc>
        <w:tc>
          <w:tcPr>
            <w:tcW w:w="2126" w:type="dxa"/>
            <w:gridSpan w:val="2"/>
            <w:shd w:val="clear" w:color="auto" w:fill="D6E3BC"/>
            <w:vAlign w:val="center"/>
          </w:tcPr>
          <w:p w:rsidR="003F446D" w:rsidRPr="00330C33" w:rsidRDefault="003F446D" w:rsidP="00507035">
            <w:pPr>
              <w:jc w:val="center"/>
              <w:rPr>
                <w:rFonts w:ascii="Arial" w:hAnsi="Arial" w:cs="Arial"/>
                <w:b/>
                <w:sz w:val="16"/>
                <w:szCs w:val="16"/>
              </w:rPr>
            </w:pPr>
            <w:r w:rsidRPr="00330C33">
              <w:rPr>
                <w:rFonts w:ascii="Arial" w:hAnsi="Arial" w:cs="Arial"/>
                <w:b/>
                <w:sz w:val="16"/>
                <w:szCs w:val="16"/>
              </w:rPr>
              <w:t>Čerpanie oprávnených výdavkov voči EK</w:t>
            </w:r>
          </w:p>
          <w:p w:rsidR="003F446D" w:rsidRPr="00330C33" w:rsidRDefault="003F446D" w:rsidP="00507035">
            <w:pPr>
              <w:jc w:val="center"/>
              <w:rPr>
                <w:rFonts w:ascii="Arial" w:hAnsi="Arial" w:cs="Arial"/>
                <w:b/>
                <w:sz w:val="16"/>
                <w:szCs w:val="16"/>
              </w:rPr>
            </w:pPr>
            <w:r w:rsidRPr="00330C33">
              <w:rPr>
                <w:rFonts w:ascii="Arial" w:hAnsi="Arial" w:cs="Arial"/>
                <w:b/>
                <w:sz w:val="16"/>
                <w:szCs w:val="16"/>
              </w:rPr>
              <w:t>za rok 2012 v €</w:t>
            </w:r>
          </w:p>
        </w:tc>
        <w:tc>
          <w:tcPr>
            <w:tcW w:w="2268" w:type="dxa"/>
            <w:gridSpan w:val="2"/>
            <w:shd w:val="clear" w:color="auto" w:fill="D6E3BC"/>
            <w:vAlign w:val="center"/>
          </w:tcPr>
          <w:p w:rsidR="003F446D" w:rsidRPr="00330C33" w:rsidRDefault="003F446D" w:rsidP="00507035">
            <w:pPr>
              <w:jc w:val="center"/>
              <w:rPr>
                <w:rFonts w:ascii="Arial" w:hAnsi="Arial" w:cs="Arial"/>
                <w:b/>
                <w:sz w:val="16"/>
                <w:szCs w:val="16"/>
              </w:rPr>
            </w:pPr>
            <w:r w:rsidRPr="00330C33">
              <w:rPr>
                <w:rFonts w:ascii="Arial" w:hAnsi="Arial" w:cs="Arial"/>
                <w:b/>
                <w:sz w:val="16"/>
                <w:szCs w:val="16"/>
              </w:rPr>
              <w:t>Odchýlka</w:t>
            </w:r>
          </w:p>
          <w:p w:rsidR="003F446D" w:rsidRPr="00330C33" w:rsidRDefault="003F446D" w:rsidP="00507035">
            <w:pPr>
              <w:jc w:val="center"/>
              <w:rPr>
                <w:rFonts w:ascii="Arial" w:hAnsi="Arial" w:cs="Arial"/>
                <w:b/>
                <w:sz w:val="16"/>
                <w:szCs w:val="16"/>
              </w:rPr>
            </w:pPr>
            <w:r w:rsidRPr="00330C33">
              <w:rPr>
                <w:rFonts w:ascii="Arial" w:hAnsi="Arial" w:cs="Arial"/>
                <w:b/>
                <w:sz w:val="16"/>
                <w:szCs w:val="16"/>
              </w:rPr>
              <w:t>(plánované čerpanie – čerpanie</w:t>
            </w:r>
          </w:p>
          <w:p w:rsidR="003F446D" w:rsidRPr="00330C33" w:rsidRDefault="003F446D" w:rsidP="00507035">
            <w:pPr>
              <w:jc w:val="center"/>
              <w:rPr>
                <w:rFonts w:ascii="Arial" w:hAnsi="Arial" w:cs="Arial"/>
                <w:b/>
                <w:sz w:val="16"/>
                <w:szCs w:val="16"/>
              </w:rPr>
            </w:pPr>
            <w:r w:rsidRPr="00330C33">
              <w:rPr>
                <w:rFonts w:ascii="Arial" w:hAnsi="Arial" w:cs="Arial"/>
                <w:b/>
                <w:sz w:val="16"/>
                <w:szCs w:val="16"/>
              </w:rPr>
              <w:t>voči EK) v €</w:t>
            </w:r>
          </w:p>
        </w:tc>
        <w:tc>
          <w:tcPr>
            <w:tcW w:w="1701" w:type="dxa"/>
            <w:gridSpan w:val="2"/>
            <w:tcBorders>
              <w:bottom w:val="single" w:sz="4" w:space="0" w:color="auto"/>
            </w:tcBorders>
            <w:shd w:val="clear" w:color="auto" w:fill="D6E3BC"/>
            <w:vAlign w:val="center"/>
          </w:tcPr>
          <w:p w:rsidR="003F446D" w:rsidRPr="00330C33" w:rsidRDefault="003F446D" w:rsidP="00507035">
            <w:pPr>
              <w:jc w:val="center"/>
              <w:rPr>
                <w:rFonts w:ascii="Arial" w:hAnsi="Arial" w:cs="Arial"/>
                <w:b/>
                <w:sz w:val="16"/>
                <w:szCs w:val="16"/>
              </w:rPr>
            </w:pPr>
            <w:r w:rsidRPr="00330C33">
              <w:rPr>
                <w:rFonts w:ascii="Arial" w:hAnsi="Arial" w:cs="Arial"/>
                <w:b/>
                <w:sz w:val="16"/>
                <w:szCs w:val="16"/>
              </w:rPr>
              <w:t>Odchýlka</w:t>
            </w:r>
          </w:p>
          <w:p w:rsidR="003F446D" w:rsidRPr="00330C33" w:rsidRDefault="003F446D" w:rsidP="00507035">
            <w:pPr>
              <w:jc w:val="center"/>
              <w:rPr>
                <w:rFonts w:ascii="Arial" w:hAnsi="Arial" w:cs="Arial"/>
                <w:b/>
                <w:sz w:val="16"/>
                <w:szCs w:val="16"/>
              </w:rPr>
            </w:pPr>
            <w:r w:rsidRPr="00330C33">
              <w:rPr>
                <w:rFonts w:ascii="Arial" w:hAnsi="Arial" w:cs="Arial"/>
                <w:b/>
                <w:sz w:val="16"/>
                <w:szCs w:val="16"/>
              </w:rPr>
              <w:t>(naplnenie OOV)</w:t>
            </w:r>
          </w:p>
          <w:p w:rsidR="003F446D" w:rsidRPr="00330C33" w:rsidRDefault="003F446D" w:rsidP="00507035">
            <w:pPr>
              <w:jc w:val="center"/>
              <w:rPr>
                <w:rFonts w:ascii="Arial" w:hAnsi="Arial" w:cs="Arial"/>
                <w:i/>
                <w:sz w:val="16"/>
                <w:szCs w:val="16"/>
              </w:rPr>
            </w:pPr>
            <w:r w:rsidRPr="00330C33">
              <w:rPr>
                <w:rFonts w:ascii="Arial" w:hAnsi="Arial" w:cs="Arial"/>
                <w:b/>
                <w:sz w:val="16"/>
                <w:szCs w:val="16"/>
              </w:rPr>
              <w:t>v %</w:t>
            </w:r>
          </w:p>
        </w:tc>
      </w:tr>
      <w:tr w:rsidR="003F446D" w:rsidRPr="00373EB9" w:rsidTr="00330C33">
        <w:tc>
          <w:tcPr>
            <w:tcW w:w="959" w:type="dxa"/>
            <w:vMerge/>
          </w:tcPr>
          <w:p w:rsidR="003F446D" w:rsidRPr="0039268C" w:rsidRDefault="003F446D" w:rsidP="00507035">
            <w:pPr>
              <w:jc w:val="both"/>
              <w:rPr>
                <w:rFonts w:ascii="Arial" w:hAnsi="Arial" w:cs="Arial"/>
                <w:sz w:val="16"/>
                <w:szCs w:val="16"/>
              </w:rPr>
            </w:pPr>
          </w:p>
        </w:tc>
        <w:tc>
          <w:tcPr>
            <w:tcW w:w="2268" w:type="dxa"/>
            <w:gridSpan w:val="2"/>
            <w:vAlign w:val="center"/>
          </w:tcPr>
          <w:p w:rsidR="003F446D" w:rsidRPr="0039268C" w:rsidRDefault="003F446D" w:rsidP="00507035">
            <w:pPr>
              <w:jc w:val="center"/>
              <w:rPr>
                <w:rFonts w:ascii="Arial" w:hAnsi="Arial" w:cs="Arial"/>
                <w:sz w:val="16"/>
                <w:szCs w:val="16"/>
              </w:rPr>
            </w:pPr>
            <w:r w:rsidRPr="0039268C">
              <w:rPr>
                <w:rFonts w:ascii="Arial" w:hAnsi="Arial" w:cs="Arial"/>
                <w:sz w:val="16"/>
                <w:szCs w:val="16"/>
              </w:rPr>
              <w:t>EÚ zdroje</w:t>
            </w:r>
          </w:p>
        </w:tc>
        <w:tc>
          <w:tcPr>
            <w:tcW w:w="2126" w:type="dxa"/>
            <w:gridSpan w:val="2"/>
          </w:tcPr>
          <w:p w:rsidR="003F446D" w:rsidRPr="0039268C" w:rsidRDefault="003F446D" w:rsidP="00507035">
            <w:pPr>
              <w:jc w:val="center"/>
              <w:rPr>
                <w:rFonts w:ascii="Arial" w:hAnsi="Arial" w:cs="Arial"/>
                <w:sz w:val="16"/>
                <w:szCs w:val="16"/>
              </w:rPr>
            </w:pPr>
            <w:r w:rsidRPr="0039268C">
              <w:rPr>
                <w:rFonts w:ascii="Arial" w:hAnsi="Arial" w:cs="Arial"/>
                <w:sz w:val="16"/>
                <w:szCs w:val="16"/>
              </w:rPr>
              <w:t>EÚ zdroje</w:t>
            </w:r>
          </w:p>
        </w:tc>
        <w:tc>
          <w:tcPr>
            <w:tcW w:w="2268" w:type="dxa"/>
            <w:gridSpan w:val="2"/>
          </w:tcPr>
          <w:p w:rsidR="003F446D" w:rsidRPr="0039268C" w:rsidRDefault="003F446D" w:rsidP="00507035">
            <w:pPr>
              <w:jc w:val="center"/>
              <w:rPr>
                <w:rFonts w:ascii="Arial" w:hAnsi="Arial" w:cs="Arial"/>
                <w:sz w:val="16"/>
                <w:szCs w:val="16"/>
              </w:rPr>
            </w:pPr>
            <w:r w:rsidRPr="0039268C">
              <w:rPr>
                <w:rFonts w:ascii="Arial" w:hAnsi="Arial" w:cs="Arial"/>
                <w:sz w:val="16"/>
                <w:szCs w:val="16"/>
              </w:rPr>
              <w:t>EÚ zdroje</w:t>
            </w:r>
          </w:p>
        </w:tc>
        <w:tc>
          <w:tcPr>
            <w:tcW w:w="1701" w:type="dxa"/>
            <w:gridSpan w:val="2"/>
            <w:shd w:val="clear" w:color="auto" w:fill="auto"/>
          </w:tcPr>
          <w:p w:rsidR="003F446D" w:rsidRPr="0039268C" w:rsidRDefault="003F446D" w:rsidP="00507035">
            <w:pPr>
              <w:jc w:val="center"/>
              <w:rPr>
                <w:rFonts w:ascii="Arial" w:hAnsi="Arial" w:cs="Arial"/>
                <w:sz w:val="16"/>
                <w:szCs w:val="16"/>
              </w:rPr>
            </w:pPr>
            <w:r w:rsidRPr="0039268C">
              <w:rPr>
                <w:rFonts w:ascii="Arial" w:hAnsi="Arial" w:cs="Arial"/>
                <w:sz w:val="16"/>
                <w:szCs w:val="16"/>
              </w:rPr>
              <w:t>EÚ zdroje</w:t>
            </w:r>
          </w:p>
        </w:tc>
      </w:tr>
      <w:tr w:rsidR="003F446D" w:rsidRPr="00373EB9" w:rsidTr="00330C33">
        <w:tc>
          <w:tcPr>
            <w:tcW w:w="959" w:type="dxa"/>
            <w:vMerge/>
            <w:tcBorders>
              <w:bottom w:val="single" w:sz="4" w:space="0" w:color="auto"/>
            </w:tcBorders>
          </w:tcPr>
          <w:p w:rsidR="003F446D" w:rsidRPr="0039268C" w:rsidRDefault="003F446D" w:rsidP="00507035">
            <w:pPr>
              <w:jc w:val="both"/>
              <w:rPr>
                <w:rFonts w:ascii="Arial" w:hAnsi="Arial" w:cs="Arial"/>
                <w:sz w:val="16"/>
                <w:szCs w:val="16"/>
              </w:rPr>
            </w:pPr>
          </w:p>
        </w:tc>
        <w:tc>
          <w:tcPr>
            <w:tcW w:w="1134" w:type="dxa"/>
            <w:tcBorders>
              <w:bottom w:val="single" w:sz="4" w:space="0" w:color="auto"/>
            </w:tcBorders>
            <w:vAlign w:val="center"/>
          </w:tcPr>
          <w:p w:rsidR="003F446D" w:rsidRPr="0039268C" w:rsidRDefault="003F446D" w:rsidP="00507035">
            <w:pPr>
              <w:jc w:val="center"/>
              <w:rPr>
                <w:rFonts w:ascii="Arial" w:hAnsi="Arial" w:cs="Arial"/>
                <w:sz w:val="16"/>
                <w:szCs w:val="16"/>
              </w:rPr>
            </w:pPr>
            <w:r w:rsidRPr="0039268C">
              <w:rPr>
                <w:rFonts w:ascii="Arial" w:hAnsi="Arial" w:cs="Arial"/>
                <w:sz w:val="16"/>
                <w:szCs w:val="16"/>
              </w:rPr>
              <w:t>ŠF</w:t>
            </w:r>
          </w:p>
        </w:tc>
        <w:tc>
          <w:tcPr>
            <w:tcW w:w="1134" w:type="dxa"/>
            <w:tcBorders>
              <w:bottom w:val="single" w:sz="4" w:space="0" w:color="auto"/>
            </w:tcBorders>
            <w:vAlign w:val="center"/>
          </w:tcPr>
          <w:p w:rsidR="003F446D" w:rsidRPr="0039268C" w:rsidRDefault="003F446D" w:rsidP="00507035">
            <w:pPr>
              <w:jc w:val="center"/>
              <w:rPr>
                <w:rFonts w:ascii="Arial" w:hAnsi="Arial" w:cs="Arial"/>
                <w:i/>
                <w:sz w:val="16"/>
                <w:szCs w:val="16"/>
              </w:rPr>
            </w:pPr>
            <w:r w:rsidRPr="0039268C">
              <w:rPr>
                <w:rFonts w:ascii="Arial" w:hAnsi="Arial" w:cs="Arial"/>
                <w:sz w:val="16"/>
                <w:szCs w:val="16"/>
              </w:rPr>
              <w:t>KF</w:t>
            </w:r>
          </w:p>
        </w:tc>
        <w:tc>
          <w:tcPr>
            <w:tcW w:w="1176" w:type="dxa"/>
            <w:tcBorders>
              <w:bottom w:val="single" w:sz="4" w:space="0" w:color="auto"/>
            </w:tcBorders>
            <w:vAlign w:val="center"/>
          </w:tcPr>
          <w:p w:rsidR="003F446D" w:rsidRPr="0039268C" w:rsidRDefault="003F446D" w:rsidP="00507035">
            <w:pPr>
              <w:tabs>
                <w:tab w:val="left" w:pos="1010"/>
              </w:tabs>
              <w:jc w:val="center"/>
              <w:rPr>
                <w:rFonts w:ascii="Arial" w:hAnsi="Arial" w:cs="Arial"/>
                <w:sz w:val="16"/>
                <w:szCs w:val="16"/>
              </w:rPr>
            </w:pPr>
            <w:r w:rsidRPr="0039268C">
              <w:rPr>
                <w:rFonts w:ascii="Arial" w:hAnsi="Arial" w:cs="Arial"/>
                <w:sz w:val="16"/>
                <w:szCs w:val="16"/>
              </w:rPr>
              <w:t>ŠF</w:t>
            </w:r>
          </w:p>
        </w:tc>
        <w:tc>
          <w:tcPr>
            <w:tcW w:w="950" w:type="dxa"/>
            <w:tcBorders>
              <w:bottom w:val="single" w:sz="4" w:space="0" w:color="auto"/>
            </w:tcBorders>
            <w:vAlign w:val="center"/>
          </w:tcPr>
          <w:p w:rsidR="003F446D" w:rsidRPr="0039268C" w:rsidRDefault="003F446D" w:rsidP="00507035">
            <w:pPr>
              <w:jc w:val="center"/>
              <w:rPr>
                <w:rFonts w:ascii="Arial" w:hAnsi="Arial" w:cs="Arial"/>
                <w:sz w:val="16"/>
                <w:szCs w:val="16"/>
              </w:rPr>
            </w:pPr>
            <w:r w:rsidRPr="0039268C">
              <w:rPr>
                <w:rFonts w:ascii="Arial" w:hAnsi="Arial" w:cs="Arial"/>
                <w:sz w:val="16"/>
                <w:szCs w:val="16"/>
              </w:rPr>
              <w:t>KF</w:t>
            </w:r>
          </w:p>
        </w:tc>
        <w:tc>
          <w:tcPr>
            <w:tcW w:w="1276" w:type="dxa"/>
            <w:tcBorders>
              <w:bottom w:val="single" w:sz="4" w:space="0" w:color="auto"/>
            </w:tcBorders>
            <w:vAlign w:val="center"/>
          </w:tcPr>
          <w:p w:rsidR="003F446D" w:rsidRPr="0039268C" w:rsidRDefault="003F446D" w:rsidP="00507035">
            <w:pPr>
              <w:jc w:val="center"/>
              <w:rPr>
                <w:rFonts w:ascii="Arial" w:hAnsi="Arial" w:cs="Arial"/>
                <w:sz w:val="16"/>
                <w:szCs w:val="16"/>
              </w:rPr>
            </w:pPr>
            <w:r w:rsidRPr="0039268C">
              <w:rPr>
                <w:rFonts w:ascii="Arial" w:hAnsi="Arial" w:cs="Arial"/>
                <w:sz w:val="16"/>
                <w:szCs w:val="16"/>
              </w:rPr>
              <w:t>ŠF</w:t>
            </w:r>
          </w:p>
        </w:tc>
        <w:tc>
          <w:tcPr>
            <w:tcW w:w="992" w:type="dxa"/>
            <w:tcBorders>
              <w:bottom w:val="single" w:sz="4" w:space="0" w:color="auto"/>
            </w:tcBorders>
            <w:shd w:val="clear" w:color="auto" w:fill="auto"/>
            <w:vAlign w:val="center"/>
          </w:tcPr>
          <w:p w:rsidR="003F446D" w:rsidRPr="0039268C" w:rsidRDefault="003F446D" w:rsidP="00507035">
            <w:pPr>
              <w:jc w:val="center"/>
              <w:rPr>
                <w:rFonts w:ascii="Arial" w:hAnsi="Arial" w:cs="Arial"/>
                <w:i/>
                <w:sz w:val="16"/>
                <w:szCs w:val="16"/>
              </w:rPr>
            </w:pPr>
            <w:r w:rsidRPr="0039268C">
              <w:rPr>
                <w:rFonts w:ascii="Arial" w:hAnsi="Arial" w:cs="Arial"/>
                <w:sz w:val="16"/>
                <w:szCs w:val="16"/>
              </w:rPr>
              <w:t>KF</w:t>
            </w:r>
          </w:p>
        </w:tc>
        <w:tc>
          <w:tcPr>
            <w:tcW w:w="850" w:type="dxa"/>
            <w:tcBorders>
              <w:bottom w:val="single" w:sz="4" w:space="0" w:color="auto"/>
            </w:tcBorders>
            <w:vAlign w:val="center"/>
          </w:tcPr>
          <w:p w:rsidR="003F446D" w:rsidRPr="0039268C" w:rsidRDefault="003F446D" w:rsidP="00507035">
            <w:pPr>
              <w:jc w:val="center"/>
              <w:rPr>
                <w:rFonts w:ascii="Arial" w:hAnsi="Arial" w:cs="Arial"/>
                <w:sz w:val="16"/>
                <w:szCs w:val="16"/>
              </w:rPr>
            </w:pPr>
            <w:r w:rsidRPr="0039268C">
              <w:rPr>
                <w:rFonts w:ascii="Arial" w:hAnsi="Arial" w:cs="Arial"/>
                <w:sz w:val="16"/>
                <w:szCs w:val="16"/>
              </w:rPr>
              <w:t>ŠF</w:t>
            </w:r>
          </w:p>
        </w:tc>
        <w:tc>
          <w:tcPr>
            <w:tcW w:w="851" w:type="dxa"/>
            <w:tcBorders>
              <w:bottom w:val="single" w:sz="4" w:space="0" w:color="auto"/>
            </w:tcBorders>
            <w:vAlign w:val="center"/>
          </w:tcPr>
          <w:p w:rsidR="003F446D" w:rsidRPr="0039268C" w:rsidRDefault="003F446D" w:rsidP="00507035">
            <w:pPr>
              <w:jc w:val="center"/>
              <w:rPr>
                <w:rFonts w:ascii="Arial" w:hAnsi="Arial" w:cs="Arial"/>
                <w:i/>
                <w:sz w:val="16"/>
                <w:szCs w:val="16"/>
              </w:rPr>
            </w:pPr>
            <w:r w:rsidRPr="0039268C">
              <w:rPr>
                <w:rFonts w:ascii="Arial" w:hAnsi="Arial" w:cs="Arial"/>
                <w:sz w:val="16"/>
                <w:szCs w:val="16"/>
              </w:rPr>
              <w:t>KF</w:t>
            </w:r>
          </w:p>
        </w:tc>
      </w:tr>
      <w:tr w:rsidR="007131AA" w:rsidRPr="00373EB9" w:rsidTr="00330C33">
        <w:tc>
          <w:tcPr>
            <w:tcW w:w="959" w:type="dxa"/>
            <w:shd w:val="clear" w:color="auto" w:fill="EAF1DD"/>
          </w:tcPr>
          <w:p w:rsidR="003F446D" w:rsidRPr="00330C33" w:rsidRDefault="003F446D" w:rsidP="00507035">
            <w:pPr>
              <w:jc w:val="both"/>
              <w:rPr>
                <w:rFonts w:ascii="Arial" w:hAnsi="Arial" w:cs="Arial"/>
                <w:b/>
                <w:sz w:val="16"/>
                <w:szCs w:val="16"/>
              </w:rPr>
            </w:pPr>
            <w:r w:rsidRPr="00330C33">
              <w:rPr>
                <w:rFonts w:ascii="Arial" w:hAnsi="Arial" w:cs="Arial"/>
                <w:b/>
                <w:sz w:val="16"/>
                <w:szCs w:val="16"/>
              </w:rPr>
              <w:t>Spolu za program</w:t>
            </w:r>
          </w:p>
        </w:tc>
        <w:tc>
          <w:tcPr>
            <w:tcW w:w="1134" w:type="dxa"/>
            <w:shd w:val="clear" w:color="auto" w:fill="EAF1DD"/>
            <w:vAlign w:val="center"/>
          </w:tcPr>
          <w:p w:rsidR="003F446D" w:rsidRPr="00330C33" w:rsidRDefault="003F446D" w:rsidP="00507035">
            <w:pPr>
              <w:jc w:val="center"/>
              <w:rPr>
                <w:rFonts w:ascii="Arial" w:hAnsi="Arial" w:cs="Arial"/>
                <w:sz w:val="16"/>
                <w:szCs w:val="16"/>
              </w:rPr>
            </w:pPr>
            <w:r w:rsidRPr="00330C33">
              <w:rPr>
                <w:rFonts w:ascii="Arial" w:hAnsi="Arial" w:cs="Arial"/>
                <w:sz w:val="16"/>
                <w:szCs w:val="16"/>
              </w:rPr>
              <w:t>80 600 000,00</w:t>
            </w:r>
          </w:p>
        </w:tc>
        <w:tc>
          <w:tcPr>
            <w:tcW w:w="1134" w:type="dxa"/>
            <w:shd w:val="clear" w:color="auto" w:fill="EAF1DD"/>
            <w:vAlign w:val="center"/>
          </w:tcPr>
          <w:p w:rsidR="003F446D" w:rsidRPr="00330C33" w:rsidRDefault="003F446D" w:rsidP="00507035">
            <w:pPr>
              <w:jc w:val="center"/>
              <w:rPr>
                <w:rFonts w:ascii="Arial" w:hAnsi="Arial" w:cs="Arial"/>
                <w:sz w:val="16"/>
                <w:szCs w:val="16"/>
              </w:rPr>
            </w:pPr>
            <w:r w:rsidRPr="00330C33">
              <w:rPr>
                <w:rFonts w:ascii="Arial" w:hAnsi="Arial" w:cs="Arial"/>
                <w:sz w:val="16"/>
                <w:szCs w:val="16"/>
              </w:rPr>
              <w:t>320 400 000,00</w:t>
            </w:r>
          </w:p>
        </w:tc>
        <w:tc>
          <w:tcPr>
            <w:tcW w:w="1176" w:type="dxa"/>
            <w:shd w:val="clear" w:color="auto" w:fill="EAF1DD"/>
            <w:vAlign w:val="center"/>
          </w:tcPr>
          <w:p w:rsidR="003F446D" w:rsidRPr="00330C33" w:rsidRDefault="003F446D" w:rsidP="00507035">
            <w:pPr>
              <w:jc w:val="center"/>
              <w:rPr>
                <w:rFonts w:ascii="Arial" w:hAnsi="Arial" w:cs="Arial"/>
                <w:sz w:val="16"/>
                <w:szCs w:val="16"/>
              </w:rPr>
            </w:pPr>
            <w:r w:rsidRPr="00330C33">
              <w:rPr>
                <w:rFonts w:ascii="Arial" w:hAnsi="Arial" w:cs="Arial"/>
                <w:sz w:val="16"/>
                <w:szCs w:val="16"/>
              </w:rPr>
              <w:t>66 226 644,39</w:t>
            </w:r>
          </w:p>
        </w:tc>
        <w:tc>
          <w:tcPr>
            <w:tcW w:w="950" w:type="dxa"/>
            <w:shd w:val="clear" w:color="auto" w:fill="EAF1DD"/>
            <w:vAlign w:val="center"/>
          </w:tcPr>
          <w:p w:rsidR="003F446D" w:rsidRPr="00330C33" w:rsidRDefault="003F446D" w:rsidP="00507035">
            <w:pPr>
              <w:jc w:val="center"/>
              <w:rPr>
                <w:rFonts w:ascii="Arial" w:hAnsi="Arial" w:cs="Arial"/>
                <w:sz w:val="16"/>
                <w:szCs w:val="16"/>
              </w:rPr>
            </w:pPr>
            <w:r w:rsidRPr="00330C33">
              <w:rPr>
                <w:rFonts w:ascii="Arial" w:hAnsi="Arial" w:cs="Arial"/>
                <w:sz w:val="16"/>
                <w:szCs w:val="16"/>
              </w:rPr>
              <w:t>307 146 713,33</w:t>
            </w:r>
          </w:p>
        </w:tc>
        <w:tc>
          <w:tcPr>
            <w:tcW w:w="1276" w:type="dxa"/>
            <w:shd w:val="clear" w:color="auto" w:fill="EAF1DD"/>
            <w:vAlign w:val="center"/>
          </w:tcPr>
          <w:p w:rsidR="003F446D" w:rsidRPr="00330C33" w:rsidRDefault="003F446D" w:rsidP="00507035">
            <w:pPr>
              <w:jc w:val="center"/>
              <w:rPr>
                <w:rFonts w:ascii="Arial" w:hAnsi="Arial" w:cs="Arial"/>
                <w:sz w:val="16"/>
                <w:szCs w:val="16"/>
              </w:rPr>
            </w:pPr>
            <w:r w:rsidRPr="00330C33">
              <w:rPr>
                <w:rFonts w:ascii="Arial" w:hAnsi="Arial" w:cs="Arial"/>
                <w:sz w:val="16"/>
                <w:szCs w:val="16"/>
              </w:rPr>
              <w:t>14 373 355,61</w:t>
            </w:r>
          </w:p>
        </w:tc>
        <w:tc>
          <w:tcPr>
            <w:tcW w:w="992" w:type="dxa"/>
            <w:shd w:val="clear" w:color="auto" w:fill="EAF1DD"/>
            <w:vAlign w:val="center"/>
          </w:tcPr>
          <w:p w:rsidR="003F446D" w:rsidRPr="00330C33" w:rsidRDefault="003F446D" w:rsidP="00507035">
            <w:pPr>
              <w:jc w:val="center"/>
              <w:rPr>
                <w:rFonts w:ascii="Arial" w:hAnsi="Arial" w:cs="Arial"/>
                <w:sz w:val="16"/>
                <w:szCs w:val="16"/>
              </w:rPr>
            </w:pPr>
            <w:r w:rsidRPr="00330C33">
              <w:rPr>
                <w:rFonts w:ascii="Arial" w:hAnsi="Arial" w:cs="Arial"/>
                <w:sz w:val="16"/>
                <w:szCs w:val="16"/>
              </w:rPr>
              <w:t>13 253 286,67</w:t>
            </w:r>
          </w:p>
        </w:tc>
        <w:tc>
          <w:tcPr>
            <w:tcW w:w="850" w:type="dxa"/>
            <w:shd w:val="clear" w:color="auto" w:fill="EAF1DD"/>
            <w:vAlign w:val="center"/>
          </w:tcPr>
          <w:p w:rsidR="003F446D" w:rsidRPr="00330C33" w:rsidRDefault="003F446D" w:rsidP="00507035">
            <w:pPr>
              <w:jc w:val="center"/>
              <w:rPr>
                <w:rFonts w:ascii="Arial" w:hAnsi="Arial" w:cs="Arial"/>
                <w:sz w:val="16"/>
                <w:szCs w:val="16"/>
              </w:rPr>
            </w:pPr>
            <w:r w:rsidRPr="00330C33">
              <w:rPr>
                <w:rFonts w:ascii="Arial" w:hAnsi="Arial" w:cs="Arial"/>
                <w:sz w:val="16"/>
                <w:szCs w:val="16"/>
              </w:rPr>
              <w:t>82,17%</w:t>
            </w:r>
          </w:p>
        </w:tc>
        <w:tc>
          <w:tcPr>
            <w:tcW w:w="851" w:type="dxa"/>
            <w:shd w:val="clear" w:color="auto" w:fill="EAF1DD"/>
            <w:vAlign w:val="center"/>
          </w:tcPr>
          <w:p w:rsidR="003F446D" w:rsidRPr="00330C33" w:rsidRDefault="003F446D" w:rsidP="00507035">
            <w:pPr>
              <w:jc w:val="center"/>
              <w:rPr>
                <w:rFonts w:ascii="Arial" w:hAnsi="Arial" w:cs="Arial"/>
                <w:sz w:val="16"/>
                <w:szCs w:val="16"/>
              </w:rPr>
            </w:pPr>
            <w:r w:rsidRPr="00330C33">
              <w:rPr>
                <w:rFonts w:ascii="Arial" w:hAnsi="Arial" w:cs="Arial"/>
                <w:sz w:val="16"/>
                <w:szCs w:val="16"/>
              </w:rPr>
              <w:t>95,86%</w:t>
            </w:r>
          </w:p>
        </w:tc>
      </w:tr>
    </w:tbl>
    <w:p w:rsidR="003F446D" w:rsidRPr="00330C33" w:rsidRDefault="003F446D" w:rsidP="00507035">
      <w:pPr>
        <w:jc w:val="both"/>
        <w:rPr>
          <w:rFonts w:ascii="Arial" w:hAnsi="Arial" w:cs="Arial"/>
          <w:sz w:val="20"/>
          <w:szCs w:val="20"/>
        </w:rPr>
      </w:pPr>
      <w:r w:rsidRPr="00330C33">
        <w:rPr>
          <w:rFonts w:ascii="Arial" w:hAnsi="Arial" w:cs="Arial"/>
          <w:sz w:val="20"/>
          <w:szCs w:val="20"/>
        </w:rPr>
        <w:t>Zdroj: CO</w:t>
      </w:r>
    </w:p>
    <w:p w:rsidR="003F446D" w:rsidRPr="00330C33" w:rsidRDefault="003F446D" w:rsidP="00507035">
      <w:pPr>
        <w:spacing w:before="120" w:after="120" w:line="360" w:lineRule="auto"/>
        <w:jc w:val="both"/>
        <w:rPr>
          <w:rFonts w:ascii="Arial" w:hAnsi="Arial" w:cs="Arial"/>
          <w:sz w:val="20"/>
          <w:szCs w:val="20"/>
        </w:rPr>
      </w:pPr>
    </w:p>
    <w:p w:rsidR="003F446D" w:rsidRPr="00330C33" w:rsidRDefault="003F446D" w:rsidP="00B02020">
      <w:pPr>
        <w:spacing w:line="360" w:lineRule="auto"/>
        <w:jc w:val="both"/>
        <w:rPr>
          <w:rFonts w:ascii="Arial" w:hAnsi="Arial" w:cs="Arial"/>
          <w:sz w:val="20"/>
          <w:szCs w:val="20"/>
        </w:rPr>
      </w:pPr>
      <w:r w:rsidRPr="00330C33">
        <w:rPr>
          <w:rFonts w:ascii="Arial" w:hAnsi="Arial" w:cs="Arial"/>
          <w:sz w:val="20"/>
          <w:szCs w:val="20"/>
        </w:rPr>
        <w:t>Tab</w:t>
      </w:r>
      <w:r w:rsidR="00E57A5C">
        <w:rPr>
          <w:rFonts w:ascii="Arial" w:hAnsi="Arial" w:cs="Arial"/>
          <w:sz w:val="20"/>
          <w:szCs w:val="20"/>
        </w:rPr>
        <w:t>.</w:t>
      </w:r>
      <w:r w:rsidRPr="00330C33">
        <w:rPr>
          <w:rFonts w:ascii="Arial" w:hAnsi="Arial" w:cs="Arial"/>
          <w:sz w:val="20"/>
          <w:szCs w:val="20"/>
        </w:rPr>
        <w:t xml:space="preserve"> č. </w:t>
      </w:r>
      <w:r w:rsidR="00B8465A">
        <w:rPr>
          <w:rFonts w:ascii="Arial" w:hAnsi="Arial" w:cs="Arial"/>
          <w:bCs/>
          <w:sz w:val="20"/>
          <w:szCs w:val="20"/>
        </w:rPr>
        <w:t>15:</w:t>
      </w:r>
      <w:r w:rsidRPr="00330C33">
        <w:rPr>
          <w:rFonts w:ascii="Arial" w:hAnsi="Arial" w:cs="Arial"/>
          <w:bCs/>
          <w:sz w:val="20"/>
          <w:szCs w:val="20"/>
        </w:rPr>
        <w:t xml:space="preserve"> Porovnanie skutočného a plánovaného čerpania od 01.01.2012 do 31.12.2012 – prijaté platby z EK v roku 2012</w:t>
      </w:r>
    </w:p>
    <w:tbl>
      <w:tblPr>
        <w:tblpPr w:leftFromText="141" w:rightFromText="141" w:vertAnchor="text" w:horzAnchor="margin" w:tblpXSpec="center" w:tblpY="134"/>
        <w:tblW w:w="9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59"/>
        <w:gridCol w:w="1134"/>
        <w:gridCol w:w="1134"/>
        <w:gridCol w:w="1176"/>
        <w:gridCol w:w="950"/>
        <w:gridCol w:w="1276"/>
        <w:gridCol w:w="850"/>
        <w:gridCol w:w="850"/>
        <w:gridCol w:w="851"/>
      </w:tblGrid>
      <w:tr w:rsidR="007131AA" w:rsidRPr="00373EB9" w:rsidTr="00330C33">
        <w:trPr>
          <w:trHeight w:val="634"/>
        </w:trPr>
        <w:tc>
          <w:tcPr>
            <w:tcW w:w="959" w:type="dxa"/>
            <w:vMerge w:val="restart"/>
          </w:tcPr>
          <w:p w:rsidR="003F446D" w:rsidRPr="00330C33" w:rsidRDefault="003F446D" w:rsidP="00B02020">
            <w:pPr>
              <w:jc w:val="both"/>
              <w:rPr>
                <w:rFonts w:ascii="Arial" w:hAnsi="Arial" w:cs="Arial"/>
                <w:sz w:val="16"/>
                <w:szCs w:val="16"/>
              </w:rPr>
            </w:pPr>
          </w:p>
        </w:tc>
        <w:tc>
          <w:tcPr>
            <w:tcW w:w="2268" w:type="dxa"/>
            <w:gridSpan w:val="2"/>
            <w:shd w:val="clear" w:color="auto" w:fill="D6E3BC"/>
            <w:vAlign w:val="center"/>
          </w:tcPr>
          <w:p w:rsidR="003F446D" w:rsidRPr="00330C33" w:rsidRDefault="003F446D" w:rsidP="00B02020">
            <w:pPr>
              <w:jc w:val="center"/>
              <w:rPr>
                <w:rFonts w:ascii="Arial" w:hAnsi="Arial" w:cs="Arial"/>
                <w:b/>
                <w:sz w:val="16"/>
                <w:szCs w:val="16"/>
              </w:rPr>
            </w:pPr>
            <w:r w:rsidRPr="00330C33">
              <w:rPr>
                <w:rFonts w:ascii="Arial" w:hAnsi="Arial" w:cs="Arial"/>
                <w:b/>
                <w:sz w:val="16"/>
                <w:szCs w:val="16"/>
              </w:rPr>
              <w:t>Plánované čerpanie oprávnených výdavkov v roku 2012 v €</w:t>
            </w:r>
          </w:p>
          <w:p w:rsidR="003F446D" w:rsidRPr="00330C33" w:rsidRDefault="003F446D" w:rsidP="00B02020">
            <w:pPr>
              <w:jc w:val="center"/>
              <w:rPr>
                <w:rFonts w:ascii="Arial" w:hAnsi="Arial" w:cs="Arial"/>
                <w:b/>
                <w:sz w:val="16"/>
                <w:szCs w:val="16"/>
              </w:rPr>
            </w:pPr>
            <w:r w:rsidRPr="00330C33">
              <w:rPr>
                <w:rFonts w:ascii="Arial" w:hAnsi="Arial" w:cs="Arial"/>
                <w:b/>
                <w:sz w:val="16"/>
                <w:szCs w:val="16"/>
              </w:rPr>
              <w:t>(OOV zaslané CO na EK</w:t>
            </w:r>
          </w:p>
          <w:p w:rsidR="003F446D" w:rsidRPr="00330C33" w:rsidRDefault="003F446D" w:rsidP="00B02020">
            <w:pPr>
              <w:jc w:val="center"/>
              <w:rPr>
                <w:rFonts w:ascii="Arial" w:hAnsi="Arial" w:cs="Arial"/>
                <w:b/>
                <w:sz w:val="16"/>
                <w:szCs w:val="16"/>
              </w:rPr>
            </w:pPr>
            <w:r w:rsidRPr="00330C33">
              <w:rPr>
                <w:rFonts w:ascii="Arial" w:hAnsi="Arial" w:cs="Arial"/>
                <w:b/>
                <w:sz w:val="16"/>
                <w:szCs w:val="16"/>
              </w:rPr>
              <w:t>k 12.09.2012)</w:t>
            </w:r>
          </w:p>
        </w:tc>
        <w:tc>
          <w:tcPr>
            <w:tcW w:w="2126" w:type="dxa"/>
            <w:gridSpan w:val="2"/>
            <w:shd w:val="clear" w:color="auto" w:fill="D6E3BC"/>
            <w:vAlign w:val="center"/>
          </w:tcPr>
          <w:p w:rsidR="003F446D" w:rsidRPr="00330C33" w:rsidRDefault="003F446D" w:rsidP="00B02020">
            <w:pPr>
              <w:jc w:val="center"/>
              <w:rPr>
                <w:rFonts w:ascii="Arial" w:hAnsi="Arial" w:cs="Arial"/>
                <w:b/>
                <w:sz w:val="16"/>
                <w:szCs w:val="16"/>
              </w:rPr>
            </w:pPr>
            <w:r w:rsidRPr="00330C33">
              <w:rPr>
                <w:rFonts w:ascii="Arial" w:hAnsi="Arial" w:cs="Arial"/>
                <w:b/>
                <w:sz w:val="16"/>
                <w:szCs w:val="16"/>
              </w:rPr>
              <w:t>Čerpanie oprávnených výdavkov voči EK</w:t>
            </w:r>
          </w:p>
          <w:p w:rsidR="003F446D" w:rsidRPr="00330C33" w:rsidRDefault="003F446D" w:rsidP="00B02020">
            <w:pPr>
              <w:jc w:val="center"/>
              <w:rPr>
                <w:rFonts w:ascii="Arial" w:hAnsi="Arial" w:cs="Arial"/>
                <w:b/>
                <w:sz w:val="16"/>
                <w:szCs w:val="16"/>
              </w:rPr>
            </w:pPr>
            <w:r w:rsidRPr="00330C33">
              <w:rPr>
                <w:rFonts w:ascii="Arial" w:hAnsi="Arial" w:cs="Arial"/>
                <w:b/>
                <w:sz w:val="16"/>
                <w:szCs w:val="16"/>
              </w:rPr>
              <w:t>za rok 2012 v €*</w:t>
            </w:r>
          </w:p>
        </w:tc>
        <w:tc>
          <w:tcPr>
            <w:tcW w:w="2126" w:type="dxa"/>
            <w:gridSpan w:val="2"/>
            <w:shd w:val="clear" w:color="auto" w:fill="D6E3BC"/>
            <w:vAlign w:val="center"/>
          </w:tcPr>
          <w:p w:rsidR="003F446D" w:rsidRPr="00330C33" w:rsidRDefault="003F446D" w:rsidP="00B02020">
            <w:pPr>
              <w:jc w:val="center"/>
              <w:rPr>
                <w:rFonts w:ascii="Arial" w:hAnsi="Arial" w:cs="Arial"/>
                <w:b/>
                <w:sz w:val="16"/>
                <w:szCs w:val="16"/>
              </w:rPr>
            </w:pPr>
            <w:r w:rsidRPr="00330C33">
              <w:rPr>
                <w:rFonts w:ascii="Arial" w:hAnsi="Arial" w:cs="Arial"/>
                <w:b/>
                <w:sz w:val="16"/>
                <w:szCs w:val="16"/>
              </w:rPr>
              <w:t>Odchýlka</w:t>
            </w:r>
          </w:p>
          <w:p w:rsidR="003F446D" w:rsidRPr="00330C33" w:rsidRDefault="003F446D" w:rsidP="00B02020">
            <w:pPr>
              <w:jc w:val="center"/>
              <w:rPr>
                <w:rFonts w:ascii="Arial" w:hAnsi="Arial" w:cs="Arial"/>
                <w:b/>
                <w:sz w:val="16"/>
                <w:szCs w:val="16"/>
              </w:rPr>
            </w:pPr>
            <w:r w:rsidRPr="00330C33">
              <w:rPr>
                <w:rFonts w:ascii="Arial" w:hAnsi="Arial" w:cs="Arial"/>
                <w:b/>
                <w:sz w:val="16"/>
                <w:szCs w:val="16"/>
              </w:rPr>
              <w:t>(plánované čerpanie – čerpanie</w:t>
            </w:r>
          </w:p>
          <w:p w:rsidR="003F446D" w:rsidRPr="00330C33" w:rsidRDefault="003F446D" w:rsidP="00B02020">
            <w:pPr>
              <w:jc w:val="center"/>
              <w:rPr>
                <w:rFonts w:ascii="Arial" w:hAnsi="Arial" w:cs="Arial"/>
                <w:b/>
                <w:sz w:val="16"/>
                <w:szCs w:val="16"/>
              </w:rPr>
            </w:pPr>
            <w:r w:rsidRPr="00330C33">
              <w:rPr>
                <w:rFonts w:ascii="Arial" w:hAnsi="Arial" w:cs="Arial"/>
                <w:b/>
                <w:sz w:val="16"/>
                <w:szCs w:val="16"/>
              </w:rPr>
              <w:t>voči EK) v €</w:t>
            </w:r>
          </w:p>
        </w:tc>
        <w:tc>
          <w:tcPr>
            <w:tcW w:w="1701" w:type="dxa"/>
            <w:gridSpan w:val="2"/>
            <w:tcBorders>
              <w:bottom w:val="single" w:sz="4" w:space="0" w:color="auto"/>
            </w:tcBorders>
            <w:shd w:val="clear" w:color="auto" w:fill="D6E3BC"/>
            <w:vAlign w:val="center"/>
          </w:tcPr>
          <w:p w:rsidR="003F446D" w:rsidRPr="00330C33" w:rsidRDefault="003F446D" w:rsidP="00B02020">
            <w:pPr>
              <w:jc w:val="center"/>
              <w:rPr>
                <w:rFonts w:ascii="Arial" w:hAnsi="Arial" w:cs="Arial"/>
                <w:b/>
                <w:sz w:val="16"/>
                <w:szCs w:val="16"/>
              </w:rPr>
            </w:pPr>
            <w:r w:rsidRPr="00330C33">
              <w:rPr>
                <w:rFonts w:ascii="Arial" w:hAnsi="Arial" w:cs="Arial"/>
                <w:b/>
                <w:sz w:val="16"/>
                <w:szCs w:val="16"/>
              </w:rPr>
              <w:t>Odchýlka</w:t>
            </w:r>
          </w:p>
          <w:p w:rsidR="003F446D" w:rsidRPr="00330C33" w:rsidRDefault="003F446D" w:rsidP="00B02020">
            <w:pPr>
              <w:jc w:val="center"/>
              <w:rPr>
                <w:rFonts w:ascii="Arial" w:hAnsi="Arial" w:cs="Arial"/>
                <w:b/>
                <w:sz w:val="16"/>
                <w:szCs w:val="16"/>
              </w:rPr>
            </w:pPr>
            <w:r w:rsidRPr="00330C33">
              <w:rPr>
                <w:rFonts w:ascii="Arial" w:hAnsi="Arial" w:cs="Arial"/>
                <w:b/>
                <w:sz w:val="16"/>
                <w:szCs w:val="16"/>
              </w:rPr>
              <w:t>(naplnenie OOV)</w:t>
            </w:r>
          </w:p>
          <w:p w:rsidR="003F446D" w:rsidRPr="00330C33" w:rsidRDefault="003F446D" w:rsidP="00B02020">
            <w:pPr>
              <w:jc w:val="center"/>
              <w:rPr>
                <w:rFonts w:ascii="Arial" w:hAnsi="Arial" w:cs="Arial"/>
                <w:i/>
                <w:sz w:val="16"/>
                <w:szCs w:val="16"/>
              </w:rPr>
            </w:pPr>
            <w:r w:rsidRPr="00330C33">
              <w:rPr>
                <w:rFonts w:ascii="Arial" w:hAnsi="Arial" w:cs="Arial"/>
                <w:b/>
                <w:sz w:val="16"/>
                <w:szCs w:val="16"/>
              </w:rPr>
              <w:t>v %</w:t>
            </w:r>
          </w:p>
        </w:tc>
      </w:tr>
      <w:tr w:rsidR="003F446D" w:rsidRPr="00373EB9" w:rsidTr="00330C33">
        <w:tc>
          <w:tcPr>
            <w:tcW w:w="959" w:type="dxa"/>
            <w:vMerge/>
          </w:tcPr>
          <w:p w:rsidR="003F446D" w:rsidRPr="0039268C" w:rsidRDefault="003F446D" w:rsidP="00B02020">
            <w:pPr>
              <w:jc w:val="both"/>
              <w:rPr>
                <w:rFonts w:ascii="Arial" w:hAnsi="Arial" w:cs="Arial"/>
                <w:sz w:val="16"/>
                <w:szCs w:val="16"/>
              </w:rPr>
            </w:pPr>
          </w:p>
        </w:tc>
        <w:tc>
          <w:tcPr>
            <w:tcW w:w="2268" w:type="dxa"/>
            <w:gridSpan w:val="2"/>
            <w:vAlign w:val="center"/>
          </w:tcPr>
          <w:p w:rsidR="003F446D" w:rsidRPr="0039268C" w:rsidRDefault="003F446D" w:rsidP="00B02020">
            <w:pPr>
              <w:jc w:val="center"/>
              <w:rPr>
                <w:rFonts w:ascii="Arial" w:hAnsi="Arial" w:cs="Arial"/>
                <w:sz w:val="16"/>
                <w:szCs w:val="16"/>
              </w:rPr>
            </w:pPr>
            <w:r w:rsidRPr="0039268C">
              <w:rPr>
                <w:rFonts w:ascii="Arial" w:hAnsi="Arial" w:cs="Arial"/>
                <w:sz w:val="16"/>
                <w:szCs w:val="16"/>
              </w:rPr>
              <w:t>EÚ zdroje</w:t>
            </w:r>
          </w:p>
        </w:tc>
        <w:tc>
          <w:tcPr>
            <w:tcW w:w="2126" w:type="dxa"/>
            <w:gridSpan w:val="2"/>
          </w:tcPr>
          <w:p w:rsidR="003F446D" w:rsidRPr="0039268C" w:rsidRDefault="003F446D" w:rsidP="00B02020">
            <w:pPr>
              <w:jc w:val="center"/>
              <w:rPr>
                <w:rFonts w:ascii="Arial" w:hAnsi="Arial" w:cs="Arial"/>
                <w:sz w:val="16"/>
                <w:szCs w:val="16"/>
              </w:rPr>
            </w:pPr>
            <w:r w:rsidRPr="0039268C">
              <w:rPr>
                <w:rFonts w:ascii="Arial" w:hAnsi="Arial" w:cs="Arial"/>
                <w:sz w:val="16"/>
                <w:szCs w:val="16"/>
              </w:rPr>
              <w:t>EÚ zdroje</w:t>
            </w:r>
          </w:p>
        </w:tc>
        <w:tc>
          <w:tcPr>
            <w:tcW w:w="2126" w:type="dxa"/>
            <w:gridSpan w:val="2"/>
          </w:tcPr>
          <w:p w:rsidR="003F446D" w:rsidRPr="0039268C" w:rsidRDefault="003F446D" w:rsidP="00B02020">
            <w:pPr>
              <w:jc w:val="center"/>
              <w:rPr>
                <w:rFonts w:ascii="Arial" w:hAnsi="Arial" w:cs="Arial"/>
                <w:sz w:val="16"/>
                <w:szCs w:val="16"/>
              </w:rPr>
            </w:pPr>
            <w:r w:rsidRPr="0039268C">
              <w:rPr>
                <w:rFonts w:ascii="Arial" w:hAnsi="Arial" w:cs="Arial"/>
                <w:sz w:val="16"/>
                <w:szCs w:val="16"/>
              </w:rPr>
              <w:t>EÚ zdroje</w:t>
            </w:r>
          </w:p>
        </w:tc>
        <w:tc>
          <w:tcPr>
            <w:tcW w:w="1701" w:type="dxa"/>
            <w:gridSpan w:val="2"/>
            <w:shd w:val="clear" w:color="auto" w:fill="auto"/>
          </w:tcPr>
          <w:p w:rsidR="003F446D" w:rsidRPr="0039268C" w:rsidRDefault="003F446D" w:rsidP="00B02020">
            <w:pPr>
              <w:jc w:val="center"/>
              <w:rPr>
                <w:rFonts w:ascii="Arial" w:hAnsi="Arial" w:cs="Arial"/>
                <w:sz w:val="16"/>
                <w:szCs w:val="16"/>
              </w:rPr>
            </w:pPr>
            <w:r w:rsidRPr="0039268C">
              <w:rPr>
                <w:rFonts w:ascii="Arial" w:hAnsi="Arial" w:cs="Arial"/>
                <w:sz w:val="16"/>
                <w:szCs w:val="16"/>
              </w:rPr>
              <w:t>EÚ zdroje</w:t>
            </w:r>
          </w:p>
        </w:tc>
      </w:tr>
      <w:tr w:rsidR="003F446D" w:rsidRPr="00373EB9" w:rsidTr="00330C33">
        <w:tc>
          <w:tcPr>
            <w:tcW w:w="959" w:type="dxa"/>
            <w:vMerge/>
            <w:tcBorders>
              <w:bottom w:val="single" w:sz="4" w:space="0" w:color="auto"/>
            </w:tcBorders>
          </w:tcPr>
          <w:p w:rsidR="003F446D" w:rsidRPr="0039268C" w:rsidRDefault="003F446D" w:rsidP="00B02020">
            <w:pPr>
              <w:jc w:val="both"/>
              <w:rPr>
                <w:rFonts w:ascii="Arial" w:hAnsi="Arial" w:cs="Arial"/>
                <w:sz w:val="16"/>
                <w:szCs w:val="16"/>
              </w:rPr>
            </w:pPr>
          </w:p>
        </w:tc>
        <w:tc>
          <w:tcPr>
            <w:tcW w:w="1134" w:type="dxa"/>
            <w:tcBorders>
              <w:bottom w:val="single" w:sz="4" w:space="0" w:color="auto"/>
            </w:tcBorders>
            <w:vAlign w:val="center"/>
          </w:tcPr>
          <w:p w:rsidR="003F446D" w:rsidRPr="0039268C" w:rsidRDefault="003F446D" w:rsidP="00B02020">
            <w:pPr>
              <w:jc w:val="center"/>
              <w:rPr>
                <w:rFonts w:ascii="Arial" w:hAnsi="Arial" w:cs="Arial"/>
                <w:sz w:val="16"/>
                <w:szCs w:val="16"/>
              </w:rPr>
            </w:pPr>
            <w:r w:rsidRPr="0039268C">
              <w:rPr>
                <w:rFonts w:ascii="Arial" w:hAnsi="Arial" w:cs="Arial"/>
                <w:sz w:val="16"/>
                <w:szCs w:val="16"/>
              </w:rPr>
              <w:t>ŠF</w:t>
            </w:r>
          </w:p>
        </w:tc>
        <w:tc>
          <w:tcPr>
            <w:tcW w:w="1134" w:type="dxa"/>
            <w:tcBorders>
              <w:bottom w:val="single" w:sz="4" w:space="0" w:color="auto"/>
            </w:tcBorders>
            <w:vAlign w:val="center"/>
          </w:tcPr>
          <w:p w:rsidR="003F446D" w:rsidRPr="0039268C" w:rsidRDefault="003F446D" w:rsidP="00B02020">
            <w:pPr>
              <w:jc w:val="center"/>
              <w:rPr>
                <w:rFonts w:ascii="Arial" w:hAnsi="Arial" w:cs="Arial"/>
                <w:i/>
                <w:sz w:val="16"/>
                <w:szCs w:val="16"/>
              </w:rPr>
            </w:pPr>
            <w:r w:rsidRPr="0039268C">
              <w:rPr>
                <w:rFonts w:ascii="Arial" w:hAnsi="Arial" w:cs="Arial"/>
                <w:sz w:val="16"/>
                <w:szCs w:val="16"/>
              </w:rPr>
              <w:t>KF</w:t>
            </w:r>
          </w:p>
        </w:tc>
        <w:tc>
          <w:tcPr>
            <w:tcW w:w="1176" w:type="dxa"/>
            <w:tcBorders>
              <w:bottom w:val="single" w:sz="4" w:space="0" w:color="auto"/>
            </w:tcBorders>
            <w:vAlign w:val="center"/>
          </w:tcPr>
          <w:p w:rsidR="003F446D" w:rsidRPr="0039268C" w:rsidRDefault="003F446D" w:rsidP="00B02020">
            <w:pPr>
              <w:tabs>
                <w:tab w:val="left" w:pos="1010"/>
              </w:tabs>
              <w:jc w:val="center"/>
              <w:rPr>
                <w:rFonts w:ascii="Arial" w:hAnsi="Arial" w:cs="Arial"/>
                <w:sz w:val="16"/>
                <w:szCs w:val="16"/>
              </w:rPr>
            </w:pPr>
            <w:r w:rsidRPr="0039268C">
              <w:rPr>
                <w:rFonts w:ascii="Arial" w:hAnsi="Arial" w:cs="Arial"/>
                <w:sz w:val="16"/>
                <w:szCs w:val="16"/>
              </w:rPr>
              <w:t>ŠF</w:t>
            </w:r>
          </w:p>
        </w:tc>
        <w:tc>
          <w:tcPr>
            <w:tcW w:w="950" w:type="dxa"/>
            <w:tcBorders>
              <w:bottom w:val="single" w:sz="4" w:space="0" w:color="auto"/>
            </w:tcBorders>
            <w:vAlign w:val="center"/>
          </w:tcPr>
          <w:p w:rsidR="003F446D" w:rsidRPr="0039268C" w:rsidRDefault="003F446D" w:rsidP="00B02020">
            <w:pPr>
              <w:jc w:val="center"/>
              <w:rPr>
                <w:rFonts w:ascii="Arial" w:hAnsi="Arial" w:cs="Arial"/>
                <w:sz w:val="16"/>
                <w:szCs w:val="16"/>
              </w:rPr>
            </w:pPr>
            <w:r w:rsidRPr="0039268C">
              <w:rPr>
                <w:rFonts w:ascii="Arial" w:hAnsi="Arial" w:cs="Arial"/>
                <w:sz w:val="16"/>
                <w:szCs w:val="16"/>
              </w:rPr>
              <w:t>KF</w:t>
            </w:r>
          </w:p>
        </w:tc>
        <w:tc>
          <w:tcPr>
            <w:tcW w:w="1276" w:type="dxa"/>
            <w:tcBorders>
              <w:bottom w:val="single" w:sz="4" w:space="0" w:color="auto"/>
            </w:tcBorders>
            <w:vAlign w:val="center"/>
          </w:tcPr>
          <w:p w:rsidR="003F446D" w:rsidRPr="0039268C" w:rsidRDefault="003F446D" w:rsidP="00B02020">
            <w:pPr>
              <w:jc w:val="center"/>
              <w:rPr>
                <w:rFonts w:ascii="Arial" w:hAnsi="Arial" w:cs="Arial"/>
                <w:sz w:val="16"/>
                <w:szCs w:val="16"/>
              </w:rPr>
            </w:pPr>
            <w:r w:rsidRPr="0039268C">
              <w:rPr>
                <w:rFonts w:ascii="Arial" w:hAnsi="Arial" w:cs="Arial"/>
                <w:sz w:val="16"/>
                <w:szCs w:val="16"/>
              </w:rPr>
              <w:t>ŠF</w:t>
            </w:r>
          </w:p>
        </w:tc>
        <w:tc>
          <w:tcPr>
            <w:tcW w:w="850" w:type="dxa"/>
            <w:tcBorders>
              <w:bottom w:val="single" w:sz="4" w:space="0" w:color="auto"/>
            </w:tcBorders>
            <w:shd w:val="clear" w:color="auto" w:fill="auto"/>
            <w:vAlign w:val="center"/>
          </w:tcPr>
          <w:p w:rsidR="003F446D" w:rsidRPr="0039268C" w:rsidRDefault="003F446D" w:rsidP="00B02020">
            <w:pPr>
              <w:jc w:val="center"/>
              <w:rPr>
                <w:rFonts w:ascii="Arial" w:hAnsi="Arial" w:cs="Arial"/>
                <w:i/>
                <w:sz w:val="16"/>
                <w:szCs w:val="16"/>
              </w:rPr>
            </w:pPr>
            <w:r w:rsidRPr="0039268C">
              <w:rPr>
                <w:rFonts w:ascii="Arial" w:hAnsi="Arial" w:cs="Arial"/>
                <w:sz w:val="16"/>
                <w:szCs w:val="16"/>
              </w:rPr>
              <w:t>KF</w:t>
            </w:r>
          </w:p>
        </w:tc>
        <w:tc>
          <w:tcPr>
            <w:tcW w:w="850" w:type="dxa"/>
            <w:tcBorders>
              <w:bottom w:val="single" w:sz="4" w:space="0" w:color="auto"/>
            </w:tcBorders>
            <w:vAlign w:val="center"/>
          </w:tcPr>
          <w:p w:rsidR="003F446D" w:rsidRPr="0039268C" w:rsidRDefault="003F446D" w:rsidP="00B02020">
            <w:pPr>
              <w:jc w:val="center"/>
              <w:rPr>
                <w:rFonts w:ascii="Arial" w:hAnsi="Arial" w:cs="Arial"/>
                <w:sz w:val="16"/>
                <w:szCs w:val="16"/>
              </w:rPr>
            </w:pPr>
            <w:r w:rsidRPr="0039268C">
              <w:rPr>
                <w:rFonts w:ascii="Arial" w:hAnsi="Arial" w:cs="Arial"/>
                <w:sz w:val="16"/>
                <w:szCs w:val="16"/>
              </w:rPr>
              <w:t>ŠF</w:t>
            </w:r>
          </w:p>
        </w:tc>
        <w:tc>
          <w:tcPr>
            <w:tcW w:w="851" w:type="dxa"/>
            <w:tcBorders>
              <w:bottom w:val="single" w:sz="4" w:space="0" w:color="auto"/>
            </w:tcBorders>
            <w:vAlign w:val="center"/>
          </w:tcPr>
          <w:p w:rsidR="003F446D" w:rsidRPr="0039268C" w:rsidRDefault="003F446D" w:rsidP="00B02020">
            <w:pPr>
              <w:jc w:val="center"/>
              <w:rPr>
                <w:rFonts w:ascii="Arial" w:hAnsi="Arial" w:cs="Arial"/>
                <w:i/>
                <w:sz w:val="16"/>
                <w:szCs w:val="16"/>
              </w:rPr>
            </w:pPr>
            <w:r w:rsidRPr="0039268C">
              <w:rPr>
                <w:rFonts w:ascii="Arial" w:hAnsi="Arial" w:cs="Arial"/>
                <w:sz w:val="16"/>
                <w:szCs w:val="16"/>
              </w:rPr>
              <w:t>KF</w:t>
            </w:r>
          </w:p>
        </w:tc>
      </w:tr>
      <w:tr w:rsidR="007131AA" w:rsidRPr="00373EB9" w:rsidTr="00330C33">
        <w:tc>
          <w:tcPr>
            <w:tcW w:w="959" w:type="dxa"/>
            <w:shd w:val="clear" w:color="auto" w:fill="EAF1DD"/>
          </w:tcPr>
          <w:p w:rsidR="003F446D" w:rsidRPr="00330C33" w:rsidRDefault="003F446D" w:rsidP="00B02020">
            <w:pPr>
              <w:jc w:val="both"/>
              <w:rPr>
                <w:rFonts w:ascii="Arial" w:hAnsi="Arial" w:cs="Arial"/>
                <w:b/>
                <w:sz w:val="16"/>
                <w:szCs w:val="16"/>
              </w:rPr>
            </w:pPr>
            <w:r w:rsidRPr="00330C33">
              <w:rPr>
                <w:rFonts w:ascii="Arial" w:hAnsi="Arial" w:cs="Arial"/>
                <w:b/>
                <w:sz w:val="16"/>
                <w:szCs w:val="16"/>
              </w:rPr>
              <w:t>Spolu za program</w:t>
            </w:r>
          </w:p>
        </w:tc>
        <w:tc>
          <w:tcPr>
            <w:tcW w:w="1134" w:type="dxa"/>
            <w:shd w:val="clear" w:color="auto" w:fill="EAF1DD"/>
            <w:vAlign w:val="center"/>
          </w:tcPr>
          <w:p w:rsidR="003F446D" w:rsidRPr="00330C33" w:rsidRDefault="003F446D" w:rsidP="00B02020">
            <w:pPr>
              <w:jc w:val="center"/>
              <w:rPr>
                <w:rFonts w:ascii="Arial" w:hAnsi="Arial" w:cs="Arial"/>
                <w:sz w:val="16"/>
                <w:szCs w:val="16"/>
              </w:rPr>
            </w:pPr>
            <w:r w:rsidRPr="00330C33">
              <w:rPr>
                <w:rFonts w:ascii="Arial" w:hAnsi="Arial" w:cs="Arial"/>
                <w:sz w:val="16"/>
                <w:szCs w:val="16"/>
              </w:rPr>
              <w:t>80 600 000,00</w:t>
            </w:r>
          </w:p>
        </w:tc>
        <w:tc>
          <w:tcPr>
            <w:tcW w:w="1134" w:type="dxa"/>
            <w:shd w:val="clear" w:color="auto" w:fill="EAF1DD"/>
            <w:vAlign w:val="center"/>
          </w:tcPr>
          <w:p w:rsidR="003F446D" w:rsidRPr="00330C33" w:rsidRDefault="003F446D" w:rsidP="00B02020">
            <w:pPr>
              <w:jc w:val="center"/>
              <w:rPr>
                <w:rFonts w:ascii="Arial" w:hAnsi="Arial" w:cs="Arial"/>
                <w:sz w:val="16"/>
                <w:szCs w:val="16"/>
              </w:rPr>
            </w:pPr>
            <w:r w:rsidRPr="00330C33">
              <w:rPr>
                <w:rFonts w:ascii="Arial" w:hAnsi="Arial" w:cs="Arial"/>
                <w:sz w:val="16"/>
                <w:szCs w:val="16"/>
              </w:rPr>
              <w:t>320 400 000,00</w:t>
            </w:r>
          </w:p>
        </w:tc>
        <w:tc>
          <w:tcPr>
            <w:tcW w:w="1176" w:type="dxa"/>
            <w:shd w:val="clear" w:color="auto" w:fill="EAF1DD"/>
            <w:vAlign w:val="center"/>
          </w:tcPr>
          <w:p w:rsidR="003F446D" w:rsidRPr="00330C33" w:rsidRDefault="003F446D" w:rsidP="00B02020">
            <w:pPr>
              <w:jc w:val="both"/>
              <w:rPr>
                <w:rFonts w:ascii="Arial" w:hAnsi="Arial" w:cs="Arial"/>
                <w:sz w:val="16"/>
                <w:szCs w:val="16"/>
              </w:rPr>
            </w:pPr>
            <w:r w:rsidRPr="00330C33">
              <w:rPr>
                <w:rFonts w:ascii="Arial" w:hAnsi="Arial" w:cs="Arial"/>
                <w:sz w:val="16"/>
                <w:szCs w:val="16"/>
              </w:rPr>
              <w:t>63 274 086,14</w:t>
            </w:r>
          </w:p>
        </w:tc>
        <w:tc>
          <w:tcPr>
            <w:tcW w:w="950" w:type="dxa"/>
            <w:shd w:val="clear" w:color="auto" w:fill="EAF1DD"/>
            <w:vAlign w:val="center"/>
          </w:tcPr>
          <w:p w:rsidR="003F446D" w:rsidRPr="00330C33" w:rsidRDefault="003F446D" w:rsidP="00B02020">
            <w:pPr>
              <w:jc w:val="both"/>
              <w:rPr>
                <w:rFonts w:ascii="Arial" w:hAnsi="Arial" w:cs="Arial"/>
                <w:sz w:val="16"/>
                <w:szCs w:val="16"/>
              </w:rPr>
            </w:pPr>
            <w:r w:rsidRPr="00330C33">
              <w:rPr>
                <w:rFonts w:ascii="Arial" w:hAnsi="Arial" w:cs="Arial"/>
                <w:sz w:val="16"/>
                <w:szCs w:val="16"/>
              </w:rPr>
              <w:t>266 873 035,06</w:t>
            </w:r>
          </w:p>
        </w:tc>
        <w:tc>
          <w:tcPr>
            <w:tcW w:w="1276" w:type="dxa"/>
            <w:shd w:val="clear" w:color="auto" w:fill="EAF1DD"/>
            <w:vAlign w:val="center"/>
          </w:tcPr>
          <w:p w:rsidR="003F446D" w:rsidRPr="00330C33" w:rsidRDefault="003F446D" w:rsidP="00B02020">
            <w:pPr>
              <w:jc w:val="center"/>
              <w:rPr>
                <w:rFonts w:ascii="Arial" w:hAnsi="Arial" w:cs="Arial"/>
                <w:color w:val="000000"/>
                <w:sz w:val="16"/>
                <w:szCs w:val="16"/>
              </w:rPr>
            </w:pPr>
            <w:r w:rsidRPr="00330C33">
              <w:rPr>
                <w:rFonts w:ascii="Arial" w:hAnsi="Arial" w:cs="Arial"/>
                <w:color w:val="000000"/>
                <w:sz w:val="16"/>
                <w:szCs w:val="16"/>
              </w:rPr>
              <w:t>17 325 913,86</w:t>
            </w:r>
          </w:p>
        </w:tc>
        <w:tc>
          <w:tcPr>
            <w:tcW w:w="850" w:type="dxa"/>
            <w:shd w:val="clear" w:color="auto" w:fill="EAF1DD"/>
            <w:vAlign w:val="center"/>
          </w:tcPr>
          <w:p w:rsidR="003F446D" w:rsidRPr="00330C33" w:rsidRDefault="003F446D" w:rsidP="00B02020">
            <w:pPr>
              <w:jc w:val="center"/>
              <w:rPr>
                <w:rFonts w:ascii="Arial" w:hAnsi="Arial" w:cs="Arial"/>
                <w:color w:val="000000"/>
                <w:sz w:val="16"/>
                <w:szCs w:val="16"/>
              </w:rPr>
            </w:pPr>
            <w:r w:rsidRPr="00330C33">
              <w:rPr>
                <w:rFonts w:ascii="Arial" w:hAnsi="Arial" w:cs="Arial"/>
                <w:color w:val="000000"/>
                <w:sz w:val="16"/>
                <w:szCs w:val="16"/>
              </w:rPr>
              <w:t>53 526 964,94</w:t>
            </w:r>
          </w:p>
        </w:tc>
        <w:tc>
          <w:tcPr>
            <w:tcW w:w="850" w:type="dxa"/>
            <w:shd w:val="clear" w:color="auto" w:fill="EAF1DD"/>
            <w:vAlign w:val="center"/>
          </w:tcPr>
          <w:p w:rsidR="003F446D" w:rsidRPr="00330C33" w:rsidRDefault="003F446D" w:rsidP="00B02020">
            <w:pPr>
              <w:jc w:val="center"/>
              <w:rPr>
                <w:rFonts w:ascii="Arial" w:hAnsi="Arial" w:cs="Arial"/>
                <w:sz w:val="16"/>
                <w:szCs w:val="16"/>
              </w:rPr>
            </w:pPr>
            <w:r w:rsidRPr="00330C33">
              <w:rPr>
                <w:rFonts w:ascii="Arial" w:hAnsi="Arial" w:cs="Arial"/>
                <w:sz w:val="16"/>
                <w:szCs w:val="16"/>
              </w:rPr>
              <w:t>78,50%</w:t>
            </w:r>
          </w:p>
        </w:tc>
        <w:tc>
          <w:tcPr>
            <w:tcW w:w="851" w:type="dxa"/>
            <w:shd w:val="clear" w:color="auto" w:fill="EAF1DD"/>
            <w:vAlign w:val="center"/>
          </w:tcPr>
          <w:p w:rsidR="003F446D" w:rsidRPr="00330C33" w:rsidRDefault="003F446D" w:rsidP="00B02020">
            <w:pPr>
              <w:jc w:val="center"/>
              <w:rPr>
                <w:rFonts w:ascii="Arial" w:hAnsi="Arial" w:cs="Arial"/>
                <w:sz w:val="16"/>
                <w:szCs w:val="16"/>
              </w:rPr>
            </w:pPr>
            <w:r w:rsidRPr="00330C33">
              <w:rPr>
                <w:rFonts w:ascii="Arial" w:hAnsi="Arial" w:cs="Arial"/>
                <w:sz w:val="16"/>
                <w:szCs w:val="16"/>
              </w:rPr>
              <w:t>83,29%</w:t>
            </w:r>
          </w:p>
        </w:tc>
      </w:tr>
    </w:tbl>
    <w:p w:rsidR="003F446D" w:rsidRPr="00330C33" w:rsidRDefault="003F446D" w:rsidP="00B02020">
      <w:pPr>
        <w:jc w:val="both"/>
        <w:rPr>
          <w:rFonts w:ascii="Arial" w:hAnsi="Arial" w:cs="Arial"/>
          <w:sz w:val="20"/>
          <w:szCs w:val="20"/>
        </w:rPr>
      </w:pPr>
      <w:r w:rsidRPr="00330C33">
        <w:rPr>
          <w:rFonts w:ascii="Arial" w:hAnsi="Arial" w:cs="Arial"/>
          <w:sz w:val="20"/>
          <w:szCs w:val="20"/>
        </w:rPr>
        <w:t>Zdroj: CO</w:t>
      </w:r>
    </w:p>
    <w:p w:rsidR="003F446D" w:rsidRPr="00330C33" w:rsidRDefault="003F446D" w:rsidP="00507035">
      <w:pPr>
        <w:spacing w:before="120" w:after="120" w:line="360" w:lineRule="auto"/>
        <w:jc w:val="both"/>
        <w:rPr>
          <w:rFonts w:ascii="Arial" w:hAnsi="Arial" w:cs="Arial"/>
          <w:sz w:val="20"/>
          <w:szCs w:val="20"/>
        </w:rPr>
      </w:pPr>
      <w:r w:rsidRPr="00330C33">
        <w:rPr>
          <w:rFonts w:ascii="Arial" w:hAnsi="Arial" w:cs="Arial"/>
          <w:sz w:val="20"/>
          <w:szCs w:val="20"/>
        </w:rPr>
        <w:t>*</w:t>
      </w:r>
      <w:r w:rsidRPr="0098654D">
        <w:rPr>
          <w:rFonts w:ascii="Arial" w:hAnsi="Arial" w:cs="Arial"/>
          <w:sz w:val="18"/>
          <w:szCs w:val="18"/>
        </w:rPr>
        <w:t>Poznámka: čerpanie oprávnených výdavkov voči EK zahŕňa ŽoP na EK, ktoré boli zaslané a súčasne prijaté v roku 2012</w:t>
      </w:r>
    </w:p>
    <w:p w:rsidR="003F446D" w:rsidRPr="00330C33" w:rsidRDefault="007243AA" w:rsidP="001540E7">
      <w:pPr>
        <w:numPr>
          <w:ilvl w:val="0"/>
          <w:numId w:val="43"/>
        </w:numPr>
        <w:spacing w:before="120" w:after="120" w:line="360" w:lineRule="auto"/>
        <w:jc w:val="both"/>
        <w:rPr>
          <w:rFonts w:ascii="Arial" w:hAnsi="Arial" w:cs="Arial"/>
          <w:b/>
          <w:sz w:val="20"/>
          <w:szCs w:val="20"/>
          <w:u w:val="single"/>
        </w:rPr>
      </w:pPr>
      <w:r>
        <w:rPr>
          <w:rFonts w:ascii="Arial" w:hAnsi="Arial" w:cs="Arial"/>
          <w:b/>
          <w:sz w:val="20"/>
          <w:szCs w:val="20"/>
          <w:u w:val="single"/>
        </w:rPr>
        <w:tab/>
      </w:r>
      <w:r w:rsidR="003F446D" w:rsidRPr="00330C33">
        <w:rPr>
          <w:rFonts w:ascii="Arial" w:hAnsi="Arial" w:cs="Arial"/>
          <w:b/>
          <w:sz w:val="20"/>
          <w:szCs w:val="20"/>
          <w:u w:val="single"/>
        </w:rPr>
        <w:t>Certifikačné overovania</w:t>
      </w:r>
    </w:p>
    <w:p w:rsidR="003F446D" w:rsidRPr="00330C33" w:rsidRDefault="003F446D" w:rsidP="00507035">
      <w:pPr>
        <w:spacing w:before="120" w:after="120" w:line="360" w:lineRule="auto"/>
        <w:jc w:val="both"/>
        <w:rPr>
          <w:rFonts w:ascii="Arial" w:hAnsi="Arial" w:cs="Arial"/>
          <w:sz w:val="20"/>
          <w:szCs w:val="20"/>
        </w:rPr>
      </w:pPr>
      <w:r w:rsidRPr="00330C33">
        <w:rPr>
          <w:rFonts w:ascii="Arial" w:hAnsi="Arial" w:cs="Arial"/>
          <w:sz w:val="20"/>
          <w:szCs w:val="20"/>
        </w:rPr>
        <w:t xml:space="preserve">V roku 2012 bolo certifikačné overovanie na RO a PJ vykonané v rámci 2 SŽP. Overovaná vzorka výdavkov predstavuje sumu 364 673,21 EUR, čo je 0,11% z objemu predložených SŽP a zároveň 6,07% z objemu overovaných SŽP. </w:t>
      </w:r>
    </w:p>
    <w:p w:rsidR="003F446D" w:rsidRPr="00330C33" w:rsidRDefault="003F446D" w:rsidP="00507035">
      <w:pPr>
        <w:tabs>
          <w:tab w:val="left" w:pos="360"/>
        </w:tabs>
        <w:autoSpaceDE w:val="0"/>
        <w:autoSpaceDN w:val="0"/>
        <w:adjustRightInd w:val="0"/>
        <w:spacing w:before="120" w:after="120" w:line="360" w:lineRule="auto"/>
        <w:jc w:val="both"/>
        <w:rPr>
          <w:rFonts w:ascii="Arial" w:hAnsi="Arial" w:cs="Arial"/>
          <w:sz w:val="20"/>
          <w:szCs w:val="20"/>
        </w:rPr>
      </w:pPr>
      <w:r w:rsidRPr="00330C33">
        <w:rPr>
          <w:rFonts w:ascii="Arial" w:hAnsi="Arial" w:cs="Arial"/>
          <w:sz w:val="20"/>
          <w:szCs w:val="20"/>
        </w:rPr>
        <w:t>Možné neoprávnené výdavky ani nezrovnalosti neboli v rámci predložených SŽP identifikované. V priebehu roka 2012 nebol z úrovne CO zaslaný podnet na výkon kontroly na Úrad pre verejné obstarávanie ani podnet na výkon vládneho auditu.</w:t>
      </w:r>
    </w:p>
    <w:p w:rsidR="003F446D" w:rsidRPr="002E3155" w:rsidRDefault="007243AA" w:rsidP="001540E7">
      <w:pPr>
        <w:numPr>
          <w:ilvl w:val="0"/>
          <w:numId w:val="43"/>
        </w:numPr>
        <w:spacing w:before="120" w:after="120" w:line="360" w:lineRule="auto"/>
        <w:jc w:val="both"/>
        <w:rPr>
          <w:rFonts w:ascii="Arial" w:hAnsi="Arial" w:cs="Arial"/>
          <w:b/>
          <w:sz w:val="20"/>
          <w:szCs w:val="20"/>
          <w:u w:val="single"/>
        </w:rPr>
      </w:pPr>
      <w:r>
        <w:rPr>
          <w:rFonts w:ascii="Arial" w:hAnsi="Arial" w:cs="Arial"/>
          <w:b/>
          <w:sz w:val="20"/>
          <w:szCs w:val="20"/>
          <w:u w:val="single"/>
        </w:rPr>
        <w:tab/>
      </w:r>
      <w:r w:rsidR="00FE4FCE" w:rsidRPr="002E3155">
        <w:rPr>
          <w:rFonts w:ascii="Arial" w:hAnsi="Arial" w:cs="Arial"/>
          <w:b/>
          <w:sz w:val="20"/>
          <w:szCs w:val="20"/>
          <w:u w:val="single"/>
        </w:rPr>
        <w:tab/>
      </w:r>
      <w:r w:rsidR="003F446D" w:rsidRPr="002E3155">
        <w:rPr>
          <w:rFonts w:ascii="Arial" w:hAnsi="Arial" w:cs="Arial"/>
          <w:b/>
          <w:sz w:val="20"/>
          <w:szCs w:val="20"/>
          <w:u w:val="single"/>
        </w:rPr>
        <w:t>Nezrovnalosti</w:t>
      </w:r>
    </w:p>
    <w:p w:rsidR="003F446D" w:rsidRPr="003F284D" w:rsidRDefault="003F446D" w:rsidP="00507035">
      <w:pPr>
        <w:spacing w:before="120" w:after="120" w:line="360" w:lineRule="auto"/>
        <w:jc w:val="both"/>
        <w:rPr>
          <w:rFonts w:ascii="Arial" w:hAnsi="Arial" w:cs="Arial"/>
          <w:sz w:val="20"/>
          <w:szCs w:val="20"/>
        </w:rPr>
      </w:pPr>
      <w:r w:rsidRPr="003F284D">
        <w:rPr>
          <w:rFonts w:ascii="Arial" w:hAnsi="Arial" w:cs="Arial"/>
          <w:sz w:val="20"/>
          <w:szCs w:val="20"/>
        </w:rPr>
        <w:t xml:space="preserve">V období od </w:t>
      </w:r>
      <w:r w:rsidR="00FE4FCE">
        <w:rPr>
          <w:rFonts w:ascii="Arial" w:hAnsi="Arial" w:cs="Arial"/>
          <w:sz w:val="20"/>
          <w:szCs w:val="20"/>
        </w:rPr>
        <w:t>0</w:t>
      </w:r>
      <w:r w:rsidRPr="003F284D">
        <w:rPr>
          <w:rFonts w:ascii="Arial" w:hAnsi="Arial" w:cs="Arial"/>
          <w:sz w:val="20"/>
          <w:szCs w:val="20"/>
        </w:rPr>
        <w:t>1.</w:t>
      </w:r>
      <w:r w:rsidR="00FE4FCE">
        <w:rPr>
          <w:rFonts w:ascii="Arial" w:hAnsi="Arial" w:cs="Arial"/>
          <w:sz w:val="20"/>
          <w:szCs w:val="20"/>
        </w:rPr>
        <w:t>0</w:t>
      </w:r>
      <w:r w:rsidRPr="003F284D">
        <w:rPr>
          <w:rFonts w:ascii="Arial" w:hAnsi="Arial" w:cs="Arial"/>
          <w:sz w:val="20"/>
          <w:szCs w:val="20"/>
        </w:rPr>
        <w:t>1.2012 do 31.12.2012 boli certifikačnému orgánu oznámené:</w:t>
      </w:r>
    </w:p>
    <w:p w:rsidR="003F446D" w:rsidRPr="003F284D" w:rsidRDefault="00FE4FCE" w:rsidP="001540E7">
      <w:pPr>
        <w:numPr>
          <w:ilvl w:val="0"/>
          <w:numId w:val="45"/>
        </w:numPr>
        <w:spacing w:before="120" w:after="120" w:line="360" w:lineRule="auto"/>
        <w:ind w:left="357" w:hanging="357"/>
        <w:jc w:val="both"/>
        <w:rPr>
          <w:rFonts w:ascii="Arial" w:hAnsi="Arial" w:cs="Arial"/>
          <w:i/>
          <w:sz w:val="20"/>
          <w:szCs w:val="20"/>
        </w:rPr>
      </w:pPr>
      <w:r w:rsidRPr="003F284D">
        <w:rPr>
          <w:rFonts w:ascii="Arial" w:hAnsi="Arial" w:cs="Arial"/>
          <w:b/>
          <w:i/>
          <w:sz w:val="20"/>
          <w:szCs w:val="20"/>
        </w:rPr>
        <w:t xml:space="preserve"> </w:t>
      </w:r>
      <w:r w:rsidR="003F446D" w:rsidRPr="003F284D">
        <w:rPr>
          <w:rFonts w:ascii="Arial" w:hAnsi="Arial" w:cs="Arial"/>
          <w:i/>
          <w:sz w:val="20"/>
          <w:szCs w:val="20"/>
        </w:rPr>
        <w:t>Nezrovnalosti s finančným dopadom na rozpočet EÚ:</w:t>
      </w:r>
    </w:p>
    <w:p w:rsidR="003F446D" w:rsidRPr="003F284D" w:rsidRDefault="003F446D" w:rsidP="00507035">
      <w:pPr>
        <w:spacing w:before="120" w:after="120" w:line="360" w:lineRule="auto"/>
        <w:jc w:val="both"/>
        <w:rPr>
          <w:rFonts w:ascii="Arial" w:hAnsi="Arial" w:cs="Arial"/>
          <w:sz w:val="20"/>
          <w:szCs w:val="20"/>
        </w:rPr>
      </w:pPr>
      <w:r w:rsidRPr="003F284D">
        <w:rPr>
          <w:rFonts w:ascii="Arial" w:hAnsi="Arial" w:cs="Arial"/>
          <w:sz w:val="20"/>
          <w:szCs w:val="20"/>
        </w:rPr>
        <w:t>V roku 2012 bolo certifikačnému orgánu oznámených 40 nezrovnalostí v celkovej výške 15</w:t>
      </w:r>
      <w:r w:rsidR="003F284D">
        <w:rPr>
          <w:rFonts w:ascii="Arial" w:hAnsi="Arial" w:cs="Arial"/>
          <w:sz w:val="20"/>
          <w:szCs w:val="20"/>
        </w:rPr>
        <w:t> </w:t>
      </w:r>
      <w:r w:rsidRPr="003F284D">
        <w:rPr>
          <w:rFonts w:ascii="Arial" w:hAnsi="Arial" w:cs="Arial"/>
          <w:sz w:val="20"/>
          <w:szCs w:val="20"/>
        </w:rPr>
        <w:t>720</w:t>
      </w:r>
      <w:r w:rsidR="003F284D">
        <w:rPr>
          <w:rFonts w:ascii="Arial" w:hAnsi="Arial" w:cs="Arial"/>
          <w:sz w:val="20"/>
          <w:szCs w:val="20"/>
        </w:rPr>
        <w:t> </w:t>
      </w:r>
      <w:r w:rsidRPr="003F284D">
        <w:rPr>
          <w:rFonts w:ascii="Arial" w:hAnsi="Arial" w:cs="Arial"/>
          <w:sz w:val="20"/>
          <w:szCs w:val="20"/>
        </w:rPr>
        <w:t>247,00 EUR. Z toho 39 nezrovnalostí bolo identifikovaných kontrolou podľa článku 13 nariadenia EK č. 1828/2006/ES a 1 nezrovnalosť bola identifikovaná podľa čl. 16 nariadenia EK č.</w:t>
      </w:r>
      <w:r w:rsidR="003F284D">
        <w:rPr>
          <w:rFonts w:ascii="Arial" w:hAnsi="Arial" w:cs="Arial"/>
          <w:sz w:val="20"/>
          <w:szCs w:val="20"/>
        </w:rPr>
        <w:t> </w:t>
      </w:r>
      <w:r w:rsidRPr="003F284D">
        <w:rPr>
          <w:rFonts w:ascii="Arial" w:hAnsi="Arial" w:cs="Arial"/>
          <w:sz w:val="20"/>
          <w:szCs w:val="20"/>
        </w:rPr>
        <w:t xml:space="preserve">1828/2006/ES. </w:t>
      </w:r>
    </w:p>
    <w:p w:rsidR="003F446D" w:rsidRPr="003F284D" w:rsidRDefault="00FE4FCE" w:rsidP="001540E7">
      <w:pPr>
        <w:numPr>
          <w:ilvl w:val="0"/>
          <w:numId w:val="45"/>
        </w:numPr>
        <w:spacing w:before="120" w:after="120" w:line="360" w:lineRule="auto"/>
        <w:jc w:val="both"/>
        <w:rPr>
          <w:rFonts w:ascii="Arial" w:hAnsi="Arial" w:cs="Arial"/>
          <w:i/>
          <w:sz w:val="20"/>
          <w:szCs w:val="20"/>
        </w:rPr>
      </w:pPr>
      <w:r>
        <w:rPr>
          <w:rFonts w:ascii="Arial" w:hAnsi="Arial" w:cs="Arial"/>
          <w:sz w:val="20"/>
          <w:szCs w:val="20"/>
        </w:rPr>
        <w:t xml:space="preserve"> </w:t>
      </w:r>
      <w:r w:rsidR="003F446D" w:rsidRPr="003F284D">
        <w:rPr>
          <w:rFonts w:ascii="Arial" w:hAnsi="Arial" w:cs="Arial"/>
          <w:i/>
          <w:sz w:val="20"/>
          <w:szCs w:val="20"/>
        </w:rPr>
        <w:t xml:space="preserve">Nezrovnalosti k programovej štruktúre/systémové nezrovnalosti: </w:t>
      </w:r>
    </w:p>
    <w:p w:rsidR="003F446D" w:rsidRPr="003F284D" w:rsidRDefault="003F446D" w:rsidP="00507035">
      <w:pPr>
        <w:spacing w:before="120" w:after="120" w:line="360" w:lineRule="auto"/>
        <w:jc w:val="both"/>
        <w:rPr>
          <w:rFonts w:ascii="Arial" w:hAnsi="Arial" w:cs="Arial"/>
          <w:sz w:val="20"/>
          <w:szCs w:val="20"/>
        </w:rPr>
      </w:pPr>
      <w:r w:rsidRPr="003F284D">
        <w:rPr>
          <w:rFonts w:ascii="Arial" w:hAnsi="Arial" w:cs="Arial"/>
          <w:sz w:val="20"/>
          <w:szCs w:val="20"/>
        </w:rPr>
        <w:t>V roku 2012 bolo certifikačnému orgánu predložených 15 systémových nezrovnalosti s finančným dopadom na rozpočet EÚ v celkovej výške 44 054 409,34 EUR. Systémové nezrovnalosti predstavujú uplatnené ex post a ex ante finančné opravy 7,3</w:t>
      </w:r>
      <w:r w:rsidR="003F284D">
        <w:rPr>
          <w:rFonts w:ascii="Arial" w:hAnsi="Arial" w:cs="Arial"/>
          <w:sz w:val="20"/>
          <w:szCs w:val="20"/>
        </w:rPr>
        <w:t>0</w:t>
      </w:r>
      <w:r w:rsidRPr="003F284D">
        <w:rPr>
          <w:rFonts w:ascii="Arial" w:hAnsi="Arial" w:cs="Arial"/>
          <w:sz w:val="20"/>
          <w:szCs w:val="20"/>
        </w:rPr>
        <w:t xml:space="preserve">% na výdavky 1919 zákaziek za nedostatočné fungovanie riadiacich a kontrolných systémov RO pre OP ŽP. </w:t>
      </w:r>
    </w:p>
    <w:p w:rsidR="003F446D" w:rsidRPr="001F6B4A" w:rsidRDefault="003F446D" w:rsidP="00B02020">
      <w:pPr>
        <w:tabs>
          <w:tab w:val="left" w:pos="567"/>
        </w:tabs>
        <w:spacing w:line="360" w:lineRule="auto"/>
        <w:ind w:left="567" w:hanging="567"/>
        <w:jc w:val="both"/>
        <w:rPr>
          <w:rFonts w:ascii="Arial" w:hAnsi="Arial" w:cs="Arial"/>
          <w:sz w:val="20"/>
          <w:szCs w:val="20"/>
        </w:rPr>
      </w:pPr>
      <w:r w:rsidRPr="003F284D">
        <w:rPr>
          <w:rFonts w:ascii="Arial" w:hAnsi="Arial" w:cs="Arial"/>
          <w:sz w:val="20"/>
          <w:szCs w:val="20"/>
        </w:rPr>
        <w:t>Ta</w:t>
      </w:r>
      <w:r w:rsidR="00E57A5C">
        <w:rPr>
          <w:rFonts w:ascii="Arial" w:hAnsi="Arial" w:cs="Arial"/>
          <w:sz w:val="20"/>
          <w:szCs w:val="20"/>
        </w:rPr>
        <w:t>b.</w:t>
      </w:r>
      <w:r w:rsidRPr="003F284D">
        <w:rPr>
          <w:rFonts w:ascii="Arial" w:hAnsi="Arial" w:cs="Arial"/>
          <w:sz w:val="20"/>
          <w:szCs w:val="20"/>
        </w:rPr>
        <w:t xml:space="preserve"> č. </w:t>
      </w:r>
      <w:r w:rsidR="00B8465A">
        <w:rPr>
          <w:rFonts w:ascii="Arial" w:hAnsi="Arial" w:cs="Arial"/>
          <w:sz w:val="20"/>
          <w:szCs w:val="20"/>
        </w:rPr>
        <w:t>16</w:t>
      </w:r>
      <w:r w:rsidRPr="003F284D">
        <w:rPr>
          <w:rFonts w:ascii="Arial" w:hAnsi="Arial" w:cs="Arial"/>
          <w:sz w:val="20"/>
          <w:szCs w:val="20"/>
        </w:rPr>
        <w:t>: Prehľad nezrovnalostí s finančným dopadom na úrovní opatrení OP</w:t>
      </w:r>
      <w:r w:rsidR="00DF6A16">
        <w:rPr>
          <w:rFonts w:ascii="Arial" w:hAnsi="Arial" w:cs="Arial"/>
          <w:sz w:val="20"/>
          <w:szCs w:val="20"/>
        </w:rPr>
        <w:t xml:space="preserve"> </w:t>
      </w:r>
      <w:r w:rsidRPr="003F284D">
        <w:rPr>
          <w:rFonts w:ascii="Arial" w:hAnsi="Arial" w:cs="Arial"/>
          <w:sz w:val="20"/>
          <w:szCs w:val="20"/>
        </w:rPr>
        <w:t>ŽP v roku 2012</w:t>
      </w:r>
    </w:p>
    <w:tbl>
      <w:tblPr>
        <w:tblW w:w="8536" w:type="dxa"/>
        <w:tblInd w:w="55" w:type="dxa"/>
        <w:tblCellMar>
          <w:left w:w="70" w:type="dxa"/>
          <w:right w:w="70" w:type="dxa"/>
        </w:tblCellMar>
        <w:tblLook w:val="04A0" w:firstRow="1" w:lastRow="0" w:firstColumn="1" w:lastColumn="0" w:noHBand="0" w:noVBand="1"/>
      </w:tblPr>
      <w:tblGrid>
        <w:gridCol w:w="2567"/>
        <w:gridCol w:w="2606"/>
        <w:gridCol w:w="1646"/>
        <w:gridCol w:w="1717"/>
      </w:tblGrid>
      <w:tr w:rsidR="003F446D" w:rsidRPr="00373EB9" w:rsidTr="007131AA">
        <w:trPr>
          <w:trHeight w:val="310"/>
        </w:trPr>
        <w:tc>
          <w:tcPr>
            <w:tcW w:w="2567" w:type="dxa"/>
            <w:vMerge w:val="restart"/>
            <w:tcBorders>
              <w:top w:val="single" w:sz="4" w:space="0" w:color="auto"/>
              <w:left w:val="single" w:sz="4" w:space="0" w:color="auto"/>
              <w:bottom w:val="single" w:sz="4" w:space="0" w:color="auto"/>
              <w:right w:val="single" w:sz="4" w:space="0" w:color="auto"/>
            </w:tcBorders>
            <w:shd w:val="clear" w:color="auto" w:fill="D6E3BC"/>
            <w:vAlign w:val="center"/>
            <w:hideMark/>
          </w:tcPr>
          <w:p w:rsidR="003F446D" w:rsidRPr="003F284D" w:rsidRDefault="003F446D" w:rsidP="00B02020">
            <w:pPr>
              <w:jc w:val="center"/>
              <w:rPr>
                <w:rFonts w:ascii="Arial" w:hAnsi="Arial" w:cs="Arial"/>
                <w:b/>
                <w:bCs/>
                <w:sz w:val="16"/>
                <w:szCs w:val="16"/>
              </w:rPr>
            </w:pPr>
            <w:r w:rsidRPr="003F284D">
              <w:rPr>
                <w:rFonts w:ascii="Arial" w:hAnsi="Arial" w:cs="Arial"/>
                <w:b/>
                <w:bCs/>
                <w:sz w:val="16"/>
                <w:szCs w:val="16"/>
              </w:rPr>
              <w:t>Opatrenie</w:t>
            </w:r>
          </w:p>
        </w:tc>
        <w:tc>
          <w:tcPr>
            <w:tcW w:w="2606" w:type="dxa"/>
            <w:vMerge w:val="restart"/>
            <w:tcBorders>
              <w:top w:val="single" w:sz="4" w:space="0" w:color="auto"/>
              <w:left w:val="single" w:sz="4" w:space="0" w:color="auto"/>
              <w:bottom w:val="single" w:sz="4" w:space="0" w:color="auto"/>
              <w:right w:val="single" w:sz="4" w:space="0" w:color="auto"/>
            </w:tcBorders>
            <w:shd w:val="clear" w:color="auto" w:fill="D6E3BC"/>
            <w:vAlign w:val="center"/>
            <w:hideMark/>
          </w:tcPr>
          <w:p w:rsidR="003F446D" w:rsidRPr="003F284D" w:rsidRDefault="003F446D" w:rsidP="00B02020">
            <w:pPr>
              <w:jc w:val="center"/>
              <w:rPr>
                <w:rFonts w:ascii="Arial" w:hAnsi="Arial" w:cs="Arial"/>
                <w:b/>
                <w:bCs/>
                <w:sz w:val="16"/>
                <w:szCs w:val="16"/>
              </w:rPr>
            </w:pPr>
            <w:r w:rsidRPr="003F284D">
              <w:rPr>
                <w:rFonts w:ascii="Arial" w:hAnsi="Arial" w:cs="Arial"/>
                <w:b/>
                <w:bCs/>
                <w:sz w:val="16"/>
                <w:szCs w:val="16"/>
              </w:rPr>
              <w:t>Nezrovnalosti s finančným dopadom počet</w:t>
            </w:r>
          </w:p>
        </w:tc>
        <w:tc>
          <w:tcPr>
            <w:tcW w:w="3363" w:type="dxa"/>
            <w:gridSpan w:val="2"/>
            <w:tcBorders>
              <w:top w:val="single" w:sz="4" w:space="0" w:color="auto"/>
              <w:left w:val="nil"/>
              <w:bottom w:val="single" w:sz="4" w:space="0" w:color="auto"/>
              <w:right w:val="single" w:sz="4" w:space="0" w:color="auto"/>
            </w:tcBorders>
            <w:shd w:val="clear" w:color="auto" w:fill="D6E3BC"/>
            <w:vAlign w:val="center"/>
            <w:hideMark/>
          </w:tcPr>
          <w:p w:rsidR="003F446D" w:rsidRPr="003F284D" w:rsidRDefault="003F446D" w:rsidP="00B02020">
            <w:pPr>
              <w:jc w:val="center"/>
              <w:rPr>
                <w:rFonts w:ascii="Arial" w:hAnsi="Arial" w:cs="Arial"/>
                <w:b/>
                <w:bCs/>
                <w:sz w:val="16"/>
                <w:szCs w:val="16"/>
              </w:rPr>
            </w:pPr>
            <w:r w:rsidRPr="003F284D">
              <w:rPr>
                <w:rFonts w:ascii="Arial" w:hAnsi="Arial" w:cs="Arial"/>
                <w:b/>
                <w:bCs/>
                <w:sz w:val="16"/>
                <w:szCs w:val="16"/>
              </w:rPr>
              <w:t>Nezrovnalosti s finančným dopadom v EUR</w:t>
            </w:r>
          </w:p>
        </w:tc>
      </w:tr>
      <w:tr w:rsidR="003F446D" w:rsidRPr="00373EB9" w:rsidTr="007131AA">
        <w:trPr>
          <w:trHeight w:val="310"/>
        </w:trPr>
        <w:tc>
          <w:tcPr>
            <w:tcW w:w="2567" w:type="dxa"/>
            <w:vMerge/>
            <w:tcBorders>
              <w:top w:val="single" w:sz="4" w:space="0" w:color="auto"/>
              <w:left w:val="single" w:sz="4" w:space="0" w:color="auto"/>
              <w:bottom w:val="single" w:sz="4" w:space="0" w:color="auto"/>
              <w:right w:val="single" w:sz="4" w:space="0" w:color="auto"/>
            </w:tcBorders>
            <w:shd w:val="clear" w:color="auto" w:fill="D6E3BC"/>
            <w:vAlign w:val="center"/>
            <w:hideMark/>
          </w:tcPr>
          <w:p w:rsidR="003F446D" w:rsidRPr="0039268C" w:rsidRDefault="003F446D" w:rsidP="00B02020">
            <w:pPr>
              <w:jc w:val="center"/>
              <w:rPr>
                <w:rFonts w:ascii="Arial" w:hAnsi="Arial" w:cs="Arial"/>
                <w:b/>
                <w:bCs/>
                <w:sz w:val="16"/>
                <w:szCs w:val="16"/>
              </w:rPr>
            </w:pPr>
          </w:p>
        </w:tc>
        <w:tc>
          <w:tcPr>
            <w:tcW w:w="2606" w:type="dxa"/>
            <w:vMerge/>
            <w:tcBorders>
              <w:top w:val="single" w:sz="4" w:space="0" w:color="auto"/>
              <w:left w:val="single" w:sz="4" w:space="0" w:color="auto"/>
              <w:bottom w:val="single" w:sz="4" w:space="0" w:color="auto"/>
              <w:right w:val="single" w:sz="4" w:space="0" w:color="auto"/>
            </w:tcBorders>
            <w:shd w:val="clear" w:color="auto" w:fill="D6E3BC"/>
            <w:vAlign w:val="center"/>
            <w:hideMark/>
          </w:tcPr>
          <w:p w:rsidR="003F446D" w:rsidRPr="0039268C" w:rsidRDefault="003F446D" w:rsidP="00B02020">
            <w:pPr>
              <w:jc w:val="both"/>
              <w:rPr>
                <w:rFonts w:ascii="Arial" w:hAnsi="Arial" w:cs="Arial"/>
                <w:b/>
                <w:bCs/>
                <w:sz w:val="16"/>
                <w:szCs w:val="16"/>
              </w:rPr>
            </w:pPr>
          </w:p>
        </w:tc>
        <w:tc>
          <w:tcPr>
            <w:tcW w:w="1646" w:type="dxa"/>
            <w:tcBorders>
              <w:top w:val="nil"/>
              <w:left w:val="nil"/>
              <w:bottom w:val="single" w:sz="4" w:space="0" w:color="auto"/>
              <w:right w:val="single" w:sz="4" w:space="0" w:color="auto"/>
            </w:tcBorders>
            <w:shd w:val="clear" w:color="auto" w:fill="D6E3BC"/>
            <w:vAlign w:val="center"/>
            <w:hideMark/>
          </w:tcPr>
          <w:p w:rsidR="003F446D" w:rsidRPr="0039268C" w:rsidRDefault="003F446D" w:rsidP="00B02020">
            <w:pPr>
              <w:jc w:val="center"/>
              <w:rPr>
                <w:rFonts w:ascii="Arial" w:hAnsi="Arial" w:cs="Arial"/>
                <w:b/>
                <w:bCs/>
                <w:sz w:val="16"/>
                <w:szCs w:val="16"/>
              </w:rPr>
            </w:pPr>
            <w:r w:rsidRPr="0039268C">
              <w:rPr>
                <w:rFonts w:ascii="Arial" w:hAnsi="Arial" w:cs="Arial"/>
                <w:b/>
                <w:bCs/>
                <w:sz w:val="16"/>
                <w:szCs w:val="16"/>
              </w:rPr>
              <w:t>Celková suma</w:t>
            </w:r>
          </w:p>
        </w:tc>
        <w:tc>
          <w:tcPr>
            <w:tcW w:w="1717" w:type="dxa"/>
            <w:tcBorders>
              <w:top w:val="nil"/>
              <w:left w:val="nil"/>
              <w:bottom w:val="single" w:sz="4" w:space="0" w:color="auto"/>
              <w:right w:val="single" w:sz="4" w:space="0" w:color="auto"/>
            </w:tcBorders>
            <w:shd w:val="clear" w:color="auto" w:fill="D6E3BC"/>
            <w:vAlign w:val="center"/>
            <w:hideMark/>
          </w:tcPr>
          <w:p w:rsidR="003F446D" w:rsidRPr="0039268C" w:rsidRDefault="003F446D" w:rsidP="00B02020">
            <w:pPr>
              <w:jc w:val="center"/>
              <w:rPr>
                <w:rFonts w:ascii="Arial" w:hAnsi="Arial" w:cs="Arial"/>
                <w:b/>
                <w:bCs/>
                <w:sz w:val="16"/>
                <w:szCs w:val="16"/>
              </w:rPr>
            </w:pPr>
            <w:r w:rsidRPr="0039268C">
              <w:rPr>
                <w:rFonts w:ascii="Arial" w:hAnsi="Arial" w:cs="Arial"/>
                <w:b/>
                <w:bCs/>
                <w:sz w:val="16"/>
                <w:szCs w:val="16"/>
              </w:rPr>
              <w:t>Suma za zdroj EÚ</w:t>
            </w:r>
          </w:p>
        </w:tc>
      </w:tr>
      <w:tr w:rsidR="003F446D" w:rsidRPr="00373EB9" w:rsidTr="003F446D">
        <w:trPr>
          <w:trHeight w:val="310"/>
        </w:trPr>
        <w:tc>
          <w:tcPr>
            <w:tcW w:w="2567" w:type="dxa"/>
            <w:tcBorders>
              <w:top w:val="nil"/>
              <w:left w:val="single" w:sz="4" w:space="0" w:color="auto"/>
              <w:bottom w:val="single" w:sz="4" w:space="0" w:color="auto"/>
              <w:right w:val="single" w:sz="4" w:space="0" w:color="auto"/>
            </w:tcBorders>
            <w:shd w:val="clear" w:color="auto" w:fill="auto"/>
            <w:vAlign w:val="center"/>
            <w:hideMark/>
          </w:tcPr>
          <w:p w:rsidR="003F446D" w:rsidRPr="003F284D" w:rsidRDefault="003F446D" w:rsidP="00B02020">
            <w:pPr>
              <w:jc w:val="center"/>
              <w:rPr>
                <w:rFonts w:ascii="Arial" w:hAnsi="Arial" w:cs="Arial"/>
                <w:sz w:val="16"/>
                <w:szCs w:val="16"/>
              </w:rPr>
            </w:pPr>
            <w:r w:rsidRPr="003F284D">
              <w:rPr>
                <w:rFonts w:ascii="Arial" w:hAnsi="Arial" w:cs="Arial"/>
                <w:sz w:val="16"/>
                <w:szCs w:val="16"/>
              </w:rPr>
              <w:t>1.1</w:t>
            </w:r>
          </w:p>
        </w:tc>
        <w:tc>
          <w:tcPr>
            <w:tcW w:w="2606" w:type="dxa"/>
            <w:tcBorders>
              <w:top w:val="nil"/>
              <w:left w:val="nil"/>
              <w:bottom w:val="single" w:sz="4" w:space="0" w:color="auto"/>
              <w:right w:val="single" w:sz="4" w:space="0" w:color="auto"/>
            </w:tcBorders>
            <w:shd w:val="clear" w:color="auto" w:fill="auto"/>
            <w:vAlign w:val="center"/>
            <w:hideMark/>
          </w:tcPr>
          <w:p w:rsidR="003F446D" w:rsidRPr="003F284D" w:rsidRDefault="003F446D" w:rsidP="00B02020">
            <w:pPr>
              <w:jc w:val="center"/>
              <w:rPr>
                <w:rFonts w:ascii="Arial" w:hAnsi="Arial" w:cs="Arial"/>
                <w:sz w:val="16"/>
                <w:szCs w:val="16"/>
              </w:rPr>
            </w:pPr>
            <w:r w:rsidRPr="003F284D">
              <w:rPr>
                <w:rFonts w:ascii="Arial" w:hAnsi="Arial" w:cs="Arial"/>
                <w:sz w:val="16"/>
                <w:szCs w:val="16"/>
              </w:rPr>
              <w:t>13</w:t>
            </w:r>
          </w:p>
        </w:tc>
        <w:tc>
          <w:tcPr>
            <w:tcW w:w="1646" w:type="dxa"/>
            <w:tcBorders>
              <w:top w:val="nil"/>
              <w:left w:val="nil"/>
              <w:bottom w:val="single" w:sz="4" w:space="0" w:color="auto"/>
              <w:right w:val="single" w:sz="4" w:space="0" w:color="auto"/>
            </w:tcBorders>
            <w:shd w:val="clear" w:color="auto" w:fill="auto"/>
            <w:vAlign w:val="center"/>
            <w:hideMark/>
          </w:tcPr>
          <w:p w:rsidR="003F446D" w:rsidRPr="003F284D" w:rsidRDefault="003F446D" w:rsidP="00B02020">
            <w:pPr>
              <w:jc w:val="right"/>
              <w:rPr>
                <w:rFonts w:ascii="Arial" w:hAnsi="Arial" w:cs="Arial"/>
                <w:sz w:val="16"/>
                <w:szCs w:val="16"/>
              </w:rPr>
            </w:pPr>
            <w:r w:rsidRPr="003F284D">
              <w:rPr>
                <w:rFonts w:ascii="Arial" w:hAnsi="Arial" w:cs="Arial"/>
                <w:sz w:val="16"/>
                <w:szCs w:val="16"/>
              </w:rPr>
              <w:t>7 306 612,63</w:t>
            </w:r>
          </w:p>
        </w:tc>
        <w:tc>
          <w:tcPr>
            <w:tcW w:w="1717" w:type="dxa"/>
            <w:tcBorders>
              <w:top w:val="nil"/>
              <w:left w:val="nil"/>
              <w:bottom w:val="single" w:sz="4" w:space="0" w:color="auto"/>
              <w:right w:val="single" w:sz="4" w:space="0" w:color="auto"/>
            </w:tcBorders>
            <w:shd w:val="clear" w:color="auto" w:fill="auto"/>
            <w:vAlign w:val="center"/>
            <w:hideMark/>
          </w:tcPr>
          <w:p w:rsidR="003F446D" w:rsidRPr="003F284D" w:rsidRDefault="003F446D" w:rsidP="00B02020">
            <w:pPr>
              <w:jc w:val="right"/>
              <w:rPr>
                <w:rFonts w:ascii="Arial" w:hAnsi="Arial" w:cs="Arial"/>
                <w:sz w:val="16"/>
                <w:szCs w:val="16"/>
              </w:rPr>
            </w:pPr>
            <w:r w:rsidRPr="003F284D">
              <w:rPr>
                <w:rFonts w:ascii="Arial" w:hAnsi="Arial" w:cs="Arial"/>
                <w:sz w:val="16"/>
                <w:szCs w:val="16"/>
              </w:rPr>
              <w:t>6 138 349,38</w:t>
            </w:r>
          </w:p>
        </w:tc>
      </w:tr>
      <w:tr w:rsidR="003F446D" w:rsidRPr="00373EB9" w:rsidTr="003F446D">
        <w:trPr>
          <w:trHeight w:val="310"/>
        </w:trPr>
        <w:tc>
          <w:tcPr>
            <w:tcW w:w="2567" w:type="dxa"/>
            <w:tcBorders>
              <w:top w:val="nil"/>
              <w:left w:val="single" w:sz="4" w:space="0" w:color="auto"/>
              <w:bottom w:val="single" w:sz="4" w:space="0" w:color="auto"/>
              <w:right w:val="single" w:sz="4" w:space="0" w:color="auto"/>
            </w:tcBorders>
            <w:shd w:val="clear" w:color="auto" w:fill="auto"/>
            <w:vAlign w:val="center"/>
            <w:hideMark/>
          </w:tcPr>
          <w:p w:rsidR="003F446D" w:rsidRPr="003F284D" w:rsidRDefault="003F446D" w:rsidP="00B02020">
            <w:pPr>
              <w:jc w:val="center"/>
              <w:rPr>
                <w:rFonts w:ascii="Arial" w:hAnsi="Arial" w:cs="Arial"/>
                <w:sz w:val="16"/>
                <w:szCs w:val="16"/>
              </w:rPr>
            </w:pPr>
            <w:r w:rsidRPr="003F284D">
              <w:rPr>
                <w:rFonts w:ascii="Arial" w:hAnsi="Arial" w:cs="Arial"/>
                <w:sz w:val="16"/>
                <w:szCs w:val="16"/>
              </w:rPr>
              <w:t>2.1</w:t>
            </w:r>
          </w:p>
        </w:tc>
        <w:tc>
          <w:tcPr>
            <w:tcW w:w="2606" w:type="dxa"/>
            <w:tcBorders>
              <w:top w:val="nil"/>
              <w:left w:val="nil"/>
              <w:bottom w:val="single" w:sz="4" w:space="0" w:color="auto"/>
              <w:right w:val="single" w:sz="4" w:space="0" w:color="auto"/>
            </w:tcBorders>
            <w:shd w:val="clear" w:color="auto" w:fill="auto"/>
            <w:vAlign w:val="center"/>
            <w:hideMark/>
          </w:tcPr>
          <w:p w:rsidR="003F446D" w:rsidRPr="003F284D" w:rsidRDefault="003F446D" w:rsidP="00B02020">
            <w:pPr>
              <w:jc w:val="center"/>
              <w:rPr>
                <w:rFonts w:ascii="Arial" w:hAnsi="Arial" w:cs="Arial"/>
                <w:sz w:val="16"/>
                <w:szCs w:val="16"/>
              </w:rPr>
            </w:pPr>
            <w:r w:rsidRPr="003F284D">
              <w:rPr>
                <w:rFonts w:ascii="Arial" w:hAnsi="Arial" w:cs="Arial"/>
                <w:sz w:val="16"/>
                <w:szCs w:val="16"/>
              </w:rPr>
              <w:t>6</w:t>
            </w:r>
          </w:p>
        </w:tc>
        <w:tc>
          <w:tcPr>
            <w:tcW w:w="1646" w:type="dxa"/>
            <w:tcBorders>
              <w:top w:val="nil"/>
              <w:left w:val="nil"/>
              <w:bottom w:val="single" w:sz="4" w:space="0" w:color="auto"/>
              <w:right w:val="single" w:sz="4" w:space="0" w:color="auto"/>
            </w:tcBorders>
            <w:shd w:val="clear" w:color="auto" w:fill="auto"/>
            <w:vAlign w:val="center"/>
            <w:hideMark/>
          </w:tcPr>
          <w:p w:rsidR="003F446D" w:rsidRPr="003F284D" w:rsidRDefault="003F446D" w:rsidP="00B02020">
            <w:pPr>
              <w:jc w:val="right"/>
              <w:rPr>
                <w:rFonts w:ascii="Arial" w:hAnsi="Arial" w:cs="Arial"/>
                <w:sz w:val="16"/>
                <w:szCs w:val="16"/>
              </w:rPr>
            </w:pPr>
            <w:r w:rsidRPr="003F284D">
              <w:rPr>
                <w:rFonts w:ascii="Arial" w:hAnsi="Arial" w:cs="Arial"/>
                <w:sz w:val="16"/>
                <w:szCs w:val="16"/>
              </w:rPr>
              <w:t>1 588 352,54</w:t>
            </w:r>
          </w:p>
        </w:tc>
        <w:tc>
          <w:tcPr>
            <w:tcW w:w="1717" w:type="dxa"/>
            <w:tcBorders>
              <w:top w:val="nil"/>
              <w:left w:val="nil"/>
              <w:bottom w:val="single" w:sz="4" w:space="0" w:color="auto"/>
              <w:right w:val="single" w:sz="4" w:space="0" w:color="auto"/>
            </w:tcBorders>
            <w:shd w:val="clear" w:color="auto" w:fill="auto"/>
            <w:vAlign w:val="center"/>
            <w:hideMark/>
          </w:tcPr>
          <w:p w:rsidR="003F446D" w:rsidRPr="003F284D" w:rsidRDefault="003F446D" w:rsidP="00B02020">
            <w:pPr>
              <w:jc w:val="right"/>
              <w:rPr>
                <w:rFonts w:ascii="Arial" w:hAnsi="Arial" w:cs="Arial"/>
                <w:sz w:val="16"/>
                <w:szCs w:val="16"/>
              </w:rPr>
            </w:pPr>
            <w:r w:rsidRPr="003F284D">
              <w:rPr>
                <w:rFonts w:ascii="Arial" w:hAnsi="Arial" w:cs="Arial"/>
                <w:sz w:val="16"/>
                <w:szCs w:val="16"/>
              </w:rPr>
              <w:t>1 288 621,97</w:t>
            </w:r>
          </w:p>
        </w:tc>
      </w:tr>
      <w:tr w:rsidR="003F446D" w:rsidRPr="00373EB9" w:rsidTr="003F446D">
        <w:trPr>
          <w:trHeight w:val="310"/>
        </w:trPr>
        <w:tc>
          <w:tcPr>
            <w:tcW w:w="2567" w:type="dxa"/>
            <w:tcBorders>
              <w:top w:val="nil"/>
              <w:left w:val="single" w:sz="4" w:space="0" w:color="auto"/>
              <w:bottom w:val="single" w:sz="4" w:space="0" w:color="auto"/>
              <w:right w:val="single" w:sz="4" w:space="0" w:color="auto"/>
            </w:tcBorders>
            <w:shd w:val="clear" w:color="auto" w:fill="auto"/>
            <w:vAlign w:val="center"/>
            <w:hideMark/>
          </w:tcPr>
          <w:p w:rsidR="003F446D" w:rsidRPr="003F284D" w:rsidRDefault="003F446D" w:rsidP="00B02020">
            <w:pPr>
              <w:jc w:val="center"/>
              <w:rPr>
                <w:rFonts w:ascii="Arial" w:hAnsi="Arial" w:cs="Arial"/>
                <w:sz w:val="16"/>
                <w:szCs w:val="16"/>
              </w:rPr>
            </w:pPr>
            <w:r w:rsidRPr="003F284D">
              <w:rPr>
                <w:rFonts w:ascii="Arial" w:hAnsi="Arial" w:cs="Arial"/>
                <w:sz w:val="16"/>
                <w:szCs w:val="16"/>
              </w:rPr>
              <w:t>3.1</w:t>
            </w:r>
          </w:p>
        </w:tc>
        <w:tc>
          <w:tcPr>
            <w:tcW w:w="2606" w:type="dxa"/>
            <w:tcBorders>
              <w:top w:val="nil"/>
              <w:left w:val="nil"/>
              <w:bottom w:val="single" w:sz="4" w:space="0" w:color="auto"/>
              <w:right w:val="single" w:sz="4" w:space="0" w:color="auto"/>
            </w:tcBorders>
            <w:shd w:val="clear" w:color="auto" w:fill="auto"/>
            <w:vAlign w:val="center"/>
            <w:hideMark/>
          </w:tcPr>
          <w:p w:rsidR="003F446D" w:rsidRPr="003F284D" w:rsidRDefault="003F446D" w:rsidP="00B02020">
            <w:pPr>
              <w:jc w:val="center"/>
              <w:rPr>
                <w:rFonts w:ascii="Arial" w:hAnsi="Arial" w:cs="Arial"/>
                <w:sz w:val="16"/>
                <w:szCs w:val="16"/>
              </w:rPr>
            </w:pPr>
            <w:r w:rsidRPr="003F284D">
              <w:rPr>
                <w:rFonts w:ascii="Arial" w:hAnsi="Arial" w:cs="Arial"/>
                <w:sz w:val="16"/>
                <w:szCs w:val="16"/>
              </w:rPr>
              <w:t>6</w:t>
            </w:r>
          </w:p>
        </w:tc>
        <w:tc>
          <w:tcPr>
            <w:tcW w:w="1646" w:type="dxa"/>
            <w:tcBorders>
              <w:top w:val="nil"/>
              <w:left w:val="nil"/>
              <w:bottom w:val="single" w:sz="4" w:space="0" w:color="auto"/>
              <w:right w:val="single" w:sz="4" w:space="0" w:color="auto"/>
            </w:tcBorders>
            <w:shd w:val="clear" w:color="auto" w:fill="auto"/>
            <w:vAlign w:val="center"/>
            <w:hideMark/>
          </w:tcPr>
          <w:p w:rsidR="003F446D" w:rsidRPr="003F284D" w:rsidRDefault="003F446D" w:rsidP="00B02020">
            <w:pPr>
              <w:jc w:val="right"/>
              <w:rPr>
                <w:rFonts w:ascii="Arial" w:hAnsi="Arial" w:cs="Arial"/>
                <w:sz w:val="16"/>
                <w:szCs w:val="16"/>
              </w:rPr>
            </w:pPr>
            <w:r w:rsidRPr="003F284D">
              <w:rPr>
                <w:rFonts w:ascii="Arial" w:hAnsi="Arial" w:cs="Arial"/>
                <w:sz w:val="16"/>
                <w:szCs w:val="16"/>
              </w:rPr>
              <w:t>1 980 472,24</w:t>
            </w:r>
          </w:p>
        </w:tc>
        <w:tc>
          <w:tcPr>
            <w:tcW w:w="1717" w:type="dxa"/>
            <w:tcBorders>
              <w:top w:val="nil"/>
              <w:left w:val="nil"/>
              <w:bottom w:val="single" w:sz="4" w:space="0" w:color="auto"/>
              <w:right w:val="single" w:sz="4" w:space="0" w:color="auto"/>
            </w:tcBorders>
            <w:shd w:val="clear" w:color="auto" w:fill="auto"/>
            <w:vAlign w:val="center"/>
            <w:hideMark/>
          </w:tcPr>
          <w:p w:rsidR="003F446D" w:rsidRPr="003F284D" w:rsidRDefault="003F446D" w:rsidP="00B02020">
            <w:pPr>
              <w:jc w:val="right"/>
              <w:rPr>
                <w:rFonts w:ascii="Arial" w:hAnsi="Arial" w:cs="Arial"/>
                <w:sz w:val="16"/>
                <w:szCs w:val="16"/>
              </w:rPr>
            </w:pPr>
            <w:r w:rsidRPr="003F284D">
              <w:rPr>
                <w:rFonts w:ascii="Arial" w:hAnsi="Arial" w:cs="Arial"/>
                <w:sz w:val="16"/>
                <w:szCs w:val="16"/>
              </w:rPr>
              <w:t>1 221 364,75</w:t>
            </w:r>
          </w:p>
        </w:tc>
      </w:tr>
      <w:tr w:rsidR="003F446D" w:rsidRPr="00373EB9" w:rsidTr="003F446D">
        <w:trPr>
          <w:trHeight w:val="310"/>
        </w:trPr>
        <w:tc>
          <w:tcPr>
            <w:tcW w:w="2567" w:type="dxa"/>
            <w:tcBorders>
              <w:top w:val="nil"/>
              <w:left w:val="single" w:sz="4" w:space="0" w:color="auto"/>
              <w:bottom w:val="single" w:sz="4" w:space="0" w:color="auto"/>
              <w:right w:val="single" w:sz="4" w:space="0" w:color="auto"/>
            </w:tcBorders>
            <w:shd w:val="clear" w:color="auto" w:fill="auto"/>
            <w:vAlign w:val="center"/>
            <w:hideMark/>
          </w:tcPr>
          <w:p w:rsidR="003F446D" w:rsidRPr="003F284D" w:rsidRDefault="003F446D" w:rsidP="00B02020">
            <w:pPr>
              <w:jc w:val="center"/>
              <w:rPr>
                <w:rFonts w:ascii="Arial" w:hAnsi="Arial" w:cs="Arial"/>
                <w:sz w:val="16"/>
                <w:szCs w:val="16"/>
              </w:rPr>
            </w:pPr>
            <w:r w:rsidRPr="003F284D">
              <w:rPr>
                <w:rFonts w:ascii="Arial" w:hAnsi="Arial" w:cs="Arial"/>
                <w:sz w:val="16"/>
                <w:szCs w:val="16"/>
              </w:rPr>
              <w:t>4.1</w:t>
            </w:r>
          </w:p>
        </w:tc>
        <w:tc>
          <w:tcPr>
            <w:tcW w:w="2606" w:type="dxa"/>
            <w:tcBorders>
              <w:top w:val="nil"/>
              <w:left w:val="nil"/>
              <w:bottom w:val="single" w:sz="4" w:space="0" w:color="auto"/>
              <w:right w:val="single" w:sz="4" w:space="0" w:color="auto"/>
            </w:tcBorders>
            <w:shd w:val="clear" w:color="auto" w:fill="auto"/>
            <w:vAlign w:val="center"/>
            <w:hideMark/>
          </w:tcPr>
          <w:p w:rsidR="003F446D" w:rsidRPr="003F284D" w:rsidRDefault="003F446D" w:rsidP="00B02020">
            <w:pPr>
              <w:jc w:val="center"/>
              <w:rPr>
                <w:rFonts w:ascii="Arial" w:hAnsi="Arial" w:cs="Arial"/>
                <w:sz w:val="16"/>
                <w:szCs w:val="16"/>
              </w:rPr>
            </w:pPr>
            <w:r w:rsidRPr="003F284D">
              <w:rPr>
                <w:rFonts w:ascii="Arial" w:hAnsi="Arial" w:cs="Arial"/>
                <w:sz w:val="16"/>
                <w:szCs w:val="16"/>
              </w:rPr>
              <w:t>14</w:t>
            </w:r>
          </w:p>
        </w:tc>
        <w:tc>
          <w:tcPr>
            <w:tcW w:w="1646" w:type="dxa"/>
            <w:tcBorders>
              <w:top w:val="nil"/>
              <w:left w:val="nil"/>
              <w:bottom w:val="single" w:sz="4" w:space="0" w:color="auto"/>
              <w:right w:val="single" w:sz="4" w:space="0" w:color="auto"/>
            </w:tcBorders>
            <w:shd w:val="clear" w:color="auto" w:fill="auto"/>
            <w:vAlign w:val="center"/>
            <w:hideMark/>
          </w:tcPr>
          <w:p w:rsidR="003F446D" w:rsidRPr="003F284D" w:rsidRDefault="003F446D" w:rsidP="00B02020">
            <w:pPr>
              <w:jc w:val="right"/>
              <w:rPr>
                <w:rFonts w:ascii="Arial" w:hAnsi="Arial" w:cs="Arial"/>
                <w:sz w:val="16"/>
                <w:szCs w:val="16"/>
              </w:rPr>
            </w:pPr>
            <w:r w:rsidRPr="003F284D">
              <w:rPr>
                <w:rFonts w:ascii="Arial" w:hAnsi="Arial" w:cs="Arial"/>
                <w:sz w:val="16"/>
                <w:szCs w:val="16"/>
              </w:rPr>
              <w:t>4 822 780,66</w:t>
            </w:r>
          </w:p>
        </w:tc>
        <w:tc>
          <w:tcPr>
            <w:tcW w:w="1717" w:type="dxa"/>
            <w:tcBorders>
              <w:top w:val="nil"/>
              <w:left w:val="nil"/>
              <w:bottom w:val="single" w:sz="4" w:space="0" w:color="auto"/>
              <w:right w:val="single" w:sz="4" w:space="0" w:color="auto"/>
            </w:tcBorders>
            <w:shd w:val="clear" w:color="auto" w:fill="auto"/>
            <w:vAlign w:val="center"/>
            <w:hideMark/>
          </w:tcPr>
          <w:p w:rsidR="003F446D" w:rsidRPr="003F284D" w:rsidRDefault="003F446D" w:rsidP="00B02020">
            <w:pPr>
              <w:jc w:val="right"/>
              <w:rPr>
                <w:rFonts w:ascii="Arial" w:hAnsi="Arial" w:cs="Arial"/>
                <w:sz w:val="16"/>
                <w:szCs w:val="16"/>
              </w:rPr>
            </w:pPr>
            <w:r w:rsidRPr="003F284D">
              <w:rPr>
                <w:rFonts w:ascii="Arial" w:hAnsi="Arial" w:cs="Arial"/>
                <w:sz w:val="16"/>
                <w:szCs w:val="16"/>
              </w:rPr>
              <w:t>3 523 218,21</w:t>
            </w:r>
          </w:p>
        </w:tc>
      </w:tr>
      <w:tr w:rsidR="003F446D" w:rsidRPr="00373EB9" w:rsidTr="003F284D">
        <w:trPr>
          <w:trHeight w:val="310"/>
        </w:trPr>
        <w:tc>
          <w:tcPr>
            <w:tcW w:w="2567" w:type="dxa"/>
            <w:tcBorders>
              <w:top w:val="nil"/>
              <w:left w:val="single" w:sz="4" w:space="0" w:color="auto"/>
              <w:bottom w:val="single" w:sz="4" w:space="0" w:color="auto"/>
              <w:right w:val="single" w:sz="4" w:space="0" w:color="auto"/>
            </w:tcBorders>
            <w:shd w:val="clear" w:color="auto" w:fill="auto"/>
            <w:vAlign w:val="center"/>
            <w:hideMark/>
          </w:tcPr>
          <w:p w:rsidR="003F446D" w:rsidRPr="003F284D" w:rsidRDefault="003F446D" w:rsidP="00B02020">
            <w:pPr>
              <w:jc w:val="center"/>
              <w:rPr>
                <w:rFonts w:ascii="Arial" w:hAnsi="Arial" w:cs="Arial"/>
                <w:sz w:val="16"/>
                <w:szCs w:val="16"/>
              </w:rPr>
            </w:pPr>
            <w:r w:rsidRPr="003F284D">
              <w:rPr>
                <w:rFonts w:ascii="Arial" w:hAnsi="Arial" w:cs="Arial"/>
                <w:sz w:val="16"/>
                <w:szCs w:val="16"/>
              </w:rPr>
              <w:t>5.1</w:t>
            </w:r>
          </w:p>
        </w:tc>
        <w:tc>
          <w:tcPr>
            <w:tcW w:w="2606" w:type="dxa"/>
            <w:tcBorders>
              <w:top w:val="nil"/>
              <w:left w:val="nil"/>
              <w:bottom w:val="single" w:sz="4" w:space="0" w:color="auto"/>
              <w:right w:val="single" w:sz="4" w:space="0" w:color="auto"/>
            </w:tcBorders>
            <w:shd w:val="clear" w:color="auto" w:fill="auto"/>
            <w:vAlign w:val="center"/>
            <w:hideMark/>
          </w:tcPr>
          <w:p w:rsidR="003F446D" w:rsidRPr="003F284D" w:rsidRDefault="003F446D" w:rsidP="00B02020">
            <w:pPr>
              <w:jc w:val="center"/>
              <w:rPr>
                <w:rFonts w:ascii="Arial" w:hAnsi="Arial" w:cs="Arial"/>
                <w:sz w:val="16"/>
                <w:szCs w:val="16"/>
              </w:rPr>
            </w:pPr>
            <w:r w:rsidRPr="003F284D">
              <w:rPr>
                <w:rFonts w:ascii="Arial" w:hAnsi="Arial" w:cs="Arial"/>
                <w:sz w:val="16"/>
                <w:szCs w:val="16"/>
              </w:rPr>
              <w:t>1</w:t>
            </w:r>
          </w:p>
        </w:tc>
        <w:tc>
          <w:tcPr>
            <w:tcW w:w="1646" w:type="dxa"/>
            <w:tcBorders>
              <w:top w:val="nil"/>
              <w:left w:val="nil"/>
              <w:bottom w:val="single" w:sz="4" w:space="0" w:color="auto"/>
              <w:right w:val="single" w:sz="4" w:space="0" w:color="auto"/>
            </w:tcBorders>
            <w:shd w:val="clear" w:color="auto" w:fill="auto"/>
            <w:vAlign w:val="center"/>
            <w:hideMark/>
          </w:tcPr>
          <w:p w:rsidR="003F446D" w:rsidRPr="003F284D" w:rsidRDefault="003F446D" w:rsidP="00B02020">
            <w:pPr>
              <w:jc w:val="right"/>
              <w:rPr>
                <w:rFonts w:ascii="Arial" w:hAnsi="Arial" w:cs="Arial"/>
                <w:sz w:val="16"/>
                <w:szCs w:val="16"/>
              </w:rPr>
            </w:pPr>
            <w:r w:rsidRPr="003F284D">
              <w:rPr>
                <w:rFonts w:ascii="Arial" w:hAnsi="Arial" w:cs="Arial"/>
                <w:sz w:val="16"/>
                <w:szCs w:val="16"/>
              </w:rPr>
              <w:t>22 028,93</w:t>
            </w:r>
          </w:p>
        </w:tc>
        <w:tc>
          <w:tcPr>
            <w:tcW w:w="1717" w:type="dxa"/>
            <w:tcBorders>
              <w:top w:val="nil"/>
              <w:left w:val="nil"/>
              <w:bottom w:val="single" w:sz="4" w:space="0" w:color="auto"/>
              <w:right w:val="single" w:sz="4" w:space="0" w:color="auto"/>
            </w:tcBorders>
            <w:shd w:val="clear" w:color="auto" w:fill="auto"/>
            <w:vAlign w:val="center"/>
            <w:hideMark/>
          </w:tcPr>
          <w:p w:rsidR="003F446D" w:rsidRPr="003F284D" w:rsidRDefault="003F446D" w:rsidP="00B02020">
            <w:pPr>
              <w:jc w:val="right"/>
              <w:rPr>
                <w:rFonts w:ascii="Arial" w:hAnsi="Arial" w:cs="Arial"/>
                <w:sz w:val="16"/>
                <w:szCs w:val="16"/>
              </w:rPr>
            </w:pPr>
            <w:r w:rsidRPr="003F284D">
              <w:rPr>
                <w:rFonts w:ascii="Arial" w:hAnsi="Arial" w:cs="Arial"/>
                <w:sz w:val="16"/>
                <w:szCs w:val="16"/>
              </w:rPr>
              <w:t>18 724,59</w:t>
            </w:r>
          </w:p>
        </w:tc>
      </w:tr>
      <w:tr w:rsidR="003F446D" w:rsidRPr="00373EB9" w:rsidTr="003F284D">
        <w:trPr>
          <w:trHeight w:val="310"/>
        </w:trPr>
        <w:tc>
          <w:tcPr>
            <w:tcW w:w="2567" w:type="dxa"/>
            <w:tcBorders>
              <w:top w:val="single" w:sz="4" w:space="0" w:color="auto"/>
              <w:left w:val="single" w:sz="4" w:space="0" w:color="auto"/>
              <w:bottom w:val="single" w:sz="4" w:space="0" w:color="auto"/>
              <w:right w:val="single" w:sz="4" w:space="0" w:color="auto"/>
            </w:tcBorders>
            <w:shd w:val="clear" w:color="000000" w:fill="EAF1DD"/>
            <w:vAlign w:val="center"/>
            <w:hideMark/>
          </w:tcPr>
          <w:p w:rsidR="003F446D" w:rsidRPr="003F284D" w:rsidRDefault="003F446D" w:rsidP="00B02020">
            <w:pPr>
              <w:jc w:val="center"/>
              <w:rPr>
                <w:rFonts w:ascii="Arial" w:hAnsi="Arial" w:cs="Arial"/>
                <w:b/>
                <w:bCs/>
                <w:sz w:val="16"/>
                <w:szCs w:val="16"/>
              </w:rPr>
            </w:pPr>
            <w:r w:rsidRPr="003F284D">
              <w:rPr>
                <w:rFonts w:ascii="Arial" w:hAnsi="Arial" w:cs="Arial"/>
                <w:b/>
                <w:bCs/>
                <w:sz w:val="16"/>
                <w:szCs w:val="16"/>
              </w:rPr>
              <w:t>Spolu individuálne N:</w:t>
            </w:r>
          </w:p>
        </w:tc>
        <w:tc>
          <w:tcPr>
            <w:tcW w:w="2606" w:type="dxa"/>
            <w:tcBorders>
              <w:top w:val="single" w:sz="4" w:space="0" w:color="auto"/>
              <w:left w:val="nil"/>
              <w:bottom w:val="single" w:sz="4" w:space="0" w:color="auto"/>
              <w:right w:val="single" w:sz="4" w:space="0" w:color="auto"/>
            </w:tcBorders>
            <w:shd w:val="clear" w:color="000000" w:fill="EAF1DD"/>
            <w:vAlign w:val="center"/>
            <w:hideMark/>
          </w:tcPr>
          <w:p w:rsidR="003F446D" w:rsidRPr="003F284D" w:rsidRDefault="003F446D" w:rsidP="00B02020">
            <w:pPr>
              <w:jc w:val="center"/>
              <w:rPr>
                <w:rFonts w:ascii="Arial" w:hAnsi="Arial" w:cs="Arial"/>
                <w:b/>
                <w:bCs/>
                <w:sz w:val="16"/>
                <w:szCs w:val="16"/>
              </w:rPr>
            </w:pPr>
            <w:r w:rsidRPr="003F284D">
              <w:rPr>
                <w:rFonts w:ascii="Arial" w:hAnsi="Arial" w:cs="Arial"/>
                <w:b/>
                <w:bCs/>
                <w:sz w:val="16"/>
                <w:szCs w:val="16"/>
              </w:rPr>
              <w:t>40</w:t>
            </w:r>
          </w:p>
        </w:tc>
        <w:tc>
          <w:tcPr>
            <w:tcW w:w="1646" w:type="dxa"/>
            <w:tcBorders>
              <w:top w:val="single" w:sz="4" w:space="0" w:color="auto"/>
              <w:left w:val="nil"/>
              <w:bottom w:val="single" w:sz="4" w:space="0" w:color="auto"/>
              <w:right w:val="single" w:sz="4" w:space="0" w:color="auto"/>
            </w:tcBorders>
            <w:shd w:val="clear" w:color="000000" w:fill="EAF1DD"/>
            <w:vAlign w:val="center"/>
            <w:hideMark/>
          </w:tcPr>
          <w:p w:rsidR="003F446D" w:rsidRPr="003F284D" w:rsidRDefault="003F446D" w:rsidP="00B02020">
            <w:pPr>
              <w:jc w:val="right"/>
              <w:rPr>
                <w:rFonts w:ascii="Arial" w:hAnsi="Arial" w:cs="Arial"/>
                <w:b/>
                <w:bCs/>
                <w:sz w:val="16"/>
                <w:szCs w:val="16"/>
              </w:rPr>
            </w:pPr>
            <w:r w:rsidRPr="003F284D">
              <w:rPr>
                <w:rFonts w:ascii="Arial" w:hAnsi="Arial" w:cs="Arial"/>
                <w:b/>
                <w:bCs/>
                <w:sz w:val="16"/>
                <w:szCs w:val="16"/>
              </w:rPr>
              <w:t>15 720 247,00</w:t>
            </w:r>
          </w:p>
        </w:tc>
        <w:tc>
          <w:tcPr>
            <w:tcW w:w="1717" w:type="dxa"/>
            <w:tcBorders>
              <w:top w:val="single" w:sz="4" w:space="0" w:color="auto"/>
              <w:left w:val="nil"/>
              <w:bottom w:val="single" w:sz="4" w:space="0" w:color="auto"/>
              <w:right w:val="single" w:sz="4" w:space="0" w:color="auto"/>
            </w:tcBorders>
            <w:shd w:val="clear" w:color="000000" w:fill="EAF1DD"/>
            <w:vAlign w:val="center"/>
            <w:hideMark/>
          </w:tcPr>
          <w:p w:rsidR="003F446D" w:rsidRPr="003F284D" w:rsidRDefault="003F446D" w:rsidP="00B02020">
            <w:pPr>
              <w:jc w:val="right"/>
              <w:rPr>
                <w:rFonts w:ascii="Arial" w:hAnsi="Arial" w:cs="Arial"/>
                <w:b/>
                <w:bCs/>
                <w:sz w:val="16"/>
                <w:szCs w:val="16"/>
              </w:rPr>
            </w:pPr>
            <w:r w:rsidRPr="003F284D">
              <w:rPr>
                <w:rFonts w:ascii="Arial" w:hAnsi="Arial" w:cs="Arial"/>
                <w:b/>
                <w:bCs/>
                <w:sz w:val="16"/>
                <w:szCs w:val="16"/>
              </w:rPr>
              <w:t>12 190 278,90</w:t>
            </w:r>
          </w:p>
        </w:tc>
      </w:tr>
      <w:tr w:rsidR="003F446D" w:rsidRPr="00373EB9" w:rsidTr="003F446D">
        <w:trPr>
          <w:trHeight w:val="310"/>
        </w:trPr>
        <w:tc>
          <w:tcPr>
            <w:tcW w:w="2567" w:type="dxa"/>
            <w:tcBorders>
              <w:top w:val="nil"/>
              <w:left w:val="single" w:sz="4" w:space="0" w:color="auto"/>
              <w:bottom w:val="single" w:sz="4" w:space="0" w:color="auto"/>
              <w:right w:val="single" w:sz="4" w:space="0" w:color="auto"/>
            </w:tcBorders>
            <w:shd w:val="clear" w:color="auto" w:fill="auto"/>
            <w:vAlign w:val="center"/>
            <w:hideMark/>
          </w:tcPr>
          <w:p w:rsidR="003F446D" w:rsidRPr="003F284D" w:rsidRDefault="003F446D" w:rsidP="00B02020">
            <w:pPr>
              <w:jc w:val="center"/>
              <w:rPr>
                <w:rFonts w:ascii="Arial" w:hAnsi="Arial" w:cs="Arial"/>
                <w:sz w:val="16"/>
                <w:szCs w:val="16"/>
              </w:rPr>
            </w:pPr>
            <w:r w:rsidRPr="003F284D">
              <w:rPr>
                <w:rFonts w:ascii="Arial" w:hAnsi="Arial" w:cs="Arial"/>
                <w:sz w:val="16"/>
                <w:szCs w:val="16"/>
              </w:rPr>
              <w:t>1.1</w:t>
            </w:r>
          </w:p>
        </w:tc>
        <w:tc>
          <w:tcPr>
            <w:tcW w:w="2606" w:type="dxa"/>
            <w:tcBorders>
              <w:top w:val="nil"/>
              <w:left w:val="nil"/>
              <w:bottom w:val="single" w:sz="4" w:space="0" w:color="auto"/>
              <w:right w:val="single" w:sz="4" w:space="0" w:color="auto"/>
            </w:tcBorders>
            <w:shd w:val="clear" w:color="auto" w:fill="auto"/>
            <w:vAlign w:val="center"/>
            <w:hideMark/>
          </w:tcPr>
          <w:p w:rsidR="003F446D" w:rsidRPr="003F284D" w:rsidRDefault="003F446D" w:rsidP="00B02020">
            <w:pPr>
              <w:jc w:val="center"/>
              <w:rPr>
                <w:rFonts w:ascii="Arial" w:hAnsi="Arial" w:cs="Arial"/>
                <w:sz w:val="16"/>
                <w:szCs w:val="16"/>
              </w:rPr>
            </w:pPr>
            <w:r w:rsidRPr="003F284D">
              <w:rPr>
                <w:rFonts w:ascii="Arial" w:hAnsi="Arial" w:cs="Arial"/>
                <w:sz w:val="16"/>
                <w:szCs w:val="16"/>
              </w:rPr>
              <w:t>3</w:t>
            </w:r>
          </w:p>
        </w:tc>
        <w:tc>
          <w:tcPr>
            <w:tcW w:w="1646" w:type="dxa"/>
            <w:tcBorders>
              <w:top w:val="nil"/>
              <w:left w:val="nil"/>
              <w:bottom w:val="single" w:sz="4" w:space="0" w:color="auto"/>
              <w:right w:val="single" w:sz="4" w:space="0" w:color="auto"/>
            </w:tcBorders>
            <w:shd w:val="clear" w:color="auto" w:fill="auto"/>
            <w:vAlign w:val="center"/>
            <w:hideMark/>
          </w:tcPr>
          <w:p w:rsidR="003F446D" w:rsidRPr="003F284D" w:rsidRDefault="003F446D" w:rsidP="00B02020">
            <w:pPr>
              <w:jc w:val="right"/>
              <w:rPr>
                <w:rFonts w:ascii="Arial" w:hAnsi="Arial" w:cs="Arial"/>
                <w:sz w:val="16"/>
                <w:szCs w:val="16"/>
              </w:rPr>
            </w:pPr>
            <w:r w:rsidRPr="003F284D">
              <w:rPr>
                <w:rFonts w:ascii="Arial" w:hAnsi="Arial" w:cs="Arial"/>
                <w:sz w:val="16"/>
                <w:szCs w:val="16"/>
              </w:rPr>
              <w:t>17 958 424,11</w:t>
            </w:r>
          </w:p>
        </w:tc>
        <w:tc>
          <w:tcPr>
            <w:tcW w:w="1717" w:type="dxa"/>
            <w:tcBorders>
              <w:top w:val="nil"/>
              <w:left w:val="nil"/>
              <w:bottom w:val="single" w:sz="4" w:space="0" w:color="auto"/>
              <w:right w:val="single" w:sz="4" w:space="0" w:color="auto"/>
            </w:tcBorders>
            <w:shd w:val="clear" w:color="auto" w:fill="auto"/>
            <w:vAlign w:val="center"/>
            <w:hideMark/>
          </w:tcPr>
          <w:p w:rsidR="003F446D" w:rsidRPr="003F284D" w:rsidRDefault="003F446D" w:rsidP="00B02020">
            <w:pPr>
              <w:jc w:val="right"/>
              <w:rPr>
                <w:rFonts w:ascii="Arial" w:hAnsi="Arial" w:cs="Arial"/>
                <w:sz w:val="16"/>
                <w:szCs w:val="16"/>
              </w:rPr>
            </w:pPr>
            <w:r w:rsidRPr="003F284D">
              <w:rPr>
                <w:rFonts w:ascii="Arial" w:hAnsi="Arial" w:cs="Arial"/>
                <w:sz w:val="16"/>
                <w:szCs w:val="16"/>
              </w:rPr>
              <w:t>14 789 596,55</w:t>
            </w:r>
          </w:p>
        </w:tc>
      </w:tr>
      <w:tr w:rsidR="003F446D" w:rsidRPr="00373EB9" w:rsidTr="003F446D">
        <w:trPr>
          <w:trHeight w:val="310"/>
        </w:trPr>
        <w:tc>
          <w:tcPr>
            <w:tcW w:w="2567" w:type="dxa"/>
            <w:tcBorders>
              <w:top w:val="nil"/>
              <w:left w:val="single" w:sz="4" w:space="0" w:color="auto"/>
              <w:bottom w:val="single" w:sz="4" w:space="0" w:color="auto"/>
              <w:right w:val="single" w:sz="4" w:space="0" w:color="auto"/>
            </w:tcBorders>
            <w:shd w:val="clear" w:color="auto" w:fill="auto"/>
            <w:vAlign w:val="center"/>
            <w:hideMark/>
          </w:tcPr>
          <w:p w:rsidR="003F446D" w:rsidRPr="003F284D" w:rsidRDefault="003F446D" w:rsidP="00B02020">
            <w:pPr>
              <w:jc w:val="center"/>
              <w:rPr>
                <w:rFonts w:ascii="Arial" w:hAnsi="Arial" w:cs="Arial"/>
                <w:sz w:val="16"/>
                <w:szCs w:val="16"/>
              </w:rPr>
            </w:pPr>
            <w:r w:rsidRPr="003F284D">
              <w:rPr>
                <w:rFonts w:ascii="Arial" w:hAnsi="Arial" w:cs="Arial"/>
                <w:sz w:val="16"/>
                <w:szCs w:val="16"/>
              </w:rPr>
              <w:t>2.1</w:t>
            </w:r>
          </w:p>
        </w:tc>
        <w:tc>
          <w:tcPr>
            <w:tcW w:w="2606" w:type="dxa"/>
            <w:tcBorders>
              <w:top w:val="nil"/>
              <w:left w:val="nil"/>
              <w:bottom w:val="single" w:sz="4" w:space="0" w:color="auto"/>
              <w:right w:val="single" w:sz="4" w:space="0" w:color="auto"/>
            </w:tcBorders>
            <w:shd w:val="clear" w:color="auto" w:fill="auto"/>
            <w:vAlign w:val="center"/>
            <w:hideMark/>
          </w:tcPr>
          <w:p w:rsidR="003F446D" w:rsidRPr="003F284D" w:rsidRDefault="003F446D" w:rsidP="00B02020">
            <w:pPr>
              <w:jc w:val="center"/>
              <w:rPr>
                <w:rFonts w:ascii="Arial" w:hAnsi="Arial" w:cs="Arial"/>
                <w:sz w:val="16"/>
                <w:szCs w:val="16"/>
              </w:rPr>
            </w:pPr>
            <w:r w:rsidRPr="003F284D">
              <w:rPr>
                <w:rFonts w:ascii="Arial" w:hAnsi="Arial" w:cs="Arial"/>
                <w:sz w:val="16"/>
                <w:szCs w:val="16"/>
              </w:rPr>
              <w:t>3</w:t>
            </w:r>
          </w:p>
        </w:tc>
        <w:tc>
          <w:tcPr>
            <w:tcW w:w="1646" w:type="dxa"/>
            <w:tcBorders>
              <w:top w:val="nil"/>
              <w:left w:val="nil"/>
              <w:bottom w:val="single" w:sz="4" w:space="0" w:color="auto"/>
              <w:right w:val="single" w:sz="4" w:space="0" w:color="auto"/>
            </w:tcBorders>
            <w:shd w:val="clear" w:color="auto" w:fill="auto"/>
            <w:vAlign w:val="center"/>
            <w:hideMark/>
          </w:tcPr>
          <w:p w:rsidR="003F446D" w:rsidRPr="003F284D" w:rsidRDefault="003F446D" w:rsidP="00B02020">
            <w:pPr>
              <w:jc w:val="right"/>
              <w:rPr>
                <w:rFonts w:ascii="Arial" w:hAnsi="Arial" w:cs="Arial"/>
                <w:sz w:val="16"/>
                <w:szCs w:val="16"/>
              </w:rPr>
            </w:pPr>
            <w:r w:rsidRPr="003F284D">
              <w:rPr>
                <w:rFonts w:ascii="Arial" w:hAnsi="Arial" w:cs="Arial"/>
                <w:sz w:val="16"/>
                <w:szCs w:val="16"/>
              </w:rPr>
              <w:t>2 206 683,48</w:t>
            </w:r>
          </w:p>
        </w:tc>
        <w:tc>
          <w:tcPr>
            <w:tcW w:w="1717" w:type="dxa"/>
            <w:tcBorders>
              <w:top w:val="nil"/>
              <w:left w:val="nil"/>
              <w:bottom w:val="single" w:sz="4" w:space="0" w:color="auto"/>
              <w:right w:val="single" w:sz="4" w:space="0" w:color="auto"/>
            </w:tcBorders>
            <w:shd w:val="clear" w:color="auto" w:fill="auto"/>
            <w:vAlign w:val="center"/>
            <w:hideMark/>
          </w:tcPr>
          <w:p w:rsidR="003F446D" w:rsidRPr="003F284D" w:rsidRDefault="003F446D" w:rsidP="00B02020">
            <w:pPr>
              <w:jc w:val="right"/>
              <w:rPr>
                <w:rFonts w:ascii="Arial" w:hAnsi="Arial" w:cs="Arial"/>
                <w:sz w:val="16"/>
                <w:szCs w:val="16"/>
              </w:rPr>
            </w:pPr>
            <w:r w:rsidRPr="003F284D">
              <w:rPr>
                <w:rFonts w:ascii="Arial" w:hAnsi="Arial" w:cs="Arial"/>
                <w:sz w:val="16"/>
                <w:szCs w:val="16"/>
              </w:rPr>
              <w:t>1 829 644,96</w:t>
            </w:r>
          </w:p>
        </w:tc>
      </w:tr>
      <w:tr w:rsidR="003F446D" w:rsidRPr="00373EB9" w:rsidTr="003F446D">
        <w:trPr>
          <w:trHeight w:val="310"/>
        </w:trPr>
        <w:tc>
          <w:tcPr>
            <w:tcW w:w="2567" w:type="dxa"/>
            <w:tcBorders>
              <w:top w:val="nil"/>
              <w:left w:val="single" w:sz="4" w:space="0" w:color="auto"/>
              <w:bottom w:val="single" w:sz="4" w:space="0" w:color="auto"/>
              <w:right w:val="single" w:sz="4" w:space="0" w:color="auto"/>
            </w:tcBorders>
            <w:shd w:val="clear" w:color="auto" w:fill="auto"/>
            <w:vAlign w:val="center"/>
            <w:hideMark/>
          </w:tcPr>
          <w:p w:rsidR="003F446D" w:rsidRPr="003F284D" w:rsidRDefault="003F446D" w:rsidP="00B02020">
            <w:pPr>
              <w:jc w:val="center"/>
              <w:rPr>
                <w:rFonts w:ascii="Arial" w:hAnsi="Arial" w:cs="Arial"/>
                <w:sz w:val="16"/>
                <w:szCs w:val="16"/>
              </w:rPr>
            </w:pPr>
            <w:r w:rsidRPr="003F284D">
              <w:rPr>
                <w:rFonts w:ascii="Arial" w:hAnsi="Arial" w:cs="Arial"/>
                <w:sz w:val="16"/>
                <w:szCs w:val="16"/>
              </w:rPr>
              <w:t>3.1</w:t>
            </w:r>
          </w:p>
        </w:tc>
        <w:tc>
          <w:tcPr>
            <w:tcW w:w="2606" w:type="dxa"/>
            <w:tcBorders>
              <w:top w:val="nil"/>
              <w:left w:val="nil"/>
              <w:bottom w:val="single" w:sz="4" w:space="0" w:color="auto"/>
              <w:right w:val="single" w:sz="4" w:space="0" w:color="auto"/>
            </w:tcBorders>
            <w:shd w:val="clear" w:color="auto" w:fill="auto"/>
            <w:vAlign w:val="center"/>
            <w:hideMark/>
          </w:tcPr>
          <w:p w:rsidR="003F446D" w:rsidRPr="003F284D" w:rsidRDefault="003F446D" w:rsidP="00B02020">
            <w:pPr>
              <w:jc w:val="center"/>
              <w:rPr>
                <w:rFonts w:ascii="Arial" w:hAnsi="Arial" w:cs="Arial"/>
                <w:sz w:val="16"/>
                <w:szCs w:val="16"/>
              </w:rPr>
            </w:pPr>
            <w:r w:rsidRPr="003F284D">
              <w:rPr>
                <w:rFonts w:ascii="Arial" w:hAnsi="Arial" w:cs="Arial"/>
                <w:sz w:val="16"/>
                <w:szCs w:val="16"/>
              </w:rPr>
              <w:t>3</w:t>
            </w:r>
          </w:p>
        </w:tc>
        <w:tc>
          <w:tcPr>
            <w:tcW w:w="1646" w:type="dxa"/>
            <w:tcBorders>
              <w:top w:val="nil"/>
              <w:left w:val="nil"/>
              <w:bottom w:val="single" w:sz="4" w:space="0" w:color="auto"/>
              <w:right w:val="single" w:sz="4" w:space="0" w:color="auto"/>
            </w:tcBorders>
            <w:shd w:val="clear" w:color="auto" w:fill="auto"/>
            <w:vAlign w:val="center"/>
            <w:hideMark/>
          </w:tcPr>
          <w:p w:rsidR="003F446D" w:rsidRPr="003F284D" w:rsidRDefault="003F446D" w:rsidP="00B02020">
            <w:pPr>
              <w:jc w:val="right"/>
              <w:rPr>
                <w:rFonts w:ascii="Arial" w:hAnsi="Arial" w:cs="Arial"/>
                <w:sz w:val="16"/>
                <w:szCs w:val="16"/>
              </w:rPr>
            </w:pPr>
            <w:r w:rsidRPr="003F284D">
              <w:rPr>
                <w:rFonts w:ascii="Arial" w:hAnsi="Arial" w:cs="Arial"/>
                <w:sz w:val="16"/>
                <w:szCs w:val="16"/>
              </w:rPr>
              <w:t>10 053 275,97</w:t>
            </w:r>
          </w:p>
        </w:tc>
        <w:tc>
          <w:tcPr>
            <w:tcW w:w="1717" w:type="dxa"/>
            <w:tcBorders>
              <w:top w:val="nil"/>
              <w:left w:val="nil"/>
              <w:bottom w:val="single" w:sz="4" w:space="0" w:color="auto"/>
              <w:right w:val="single" w:sz="4" w:space="0" w:color="auto"/>
            </w:tcBorders>
            <w:shd w:val="clear" w:color="auto" w:fill="auto"/>
            <w:vAlign w:val="center"/>
            <w:hideMark/>
          </w:tcPr>
          <w:p w:rsidR="003F446D" w:rsidRPr="003F284D" w:rsidRDefault="003F446D" w:rsidP="00B02020">
            <w:pPr>
              <w:jc w:val="right"/>
              <w:rPr>
                <w:rFonts w:ascii="Arial" w:hAnsi="Arial" w:cs="Arial"/>
                <w:sz w:val="16"/>
                <w:szCs w:val="16"/>
              </w:rPr>
            </w:pPr>
            <w:r w:rsidRPr="003F284D">
              <w:rPr>
                <w:rFonts w:ascii="Arial" w:hAnsi="Arial" w:cs="Arial"/>
                <w:sz w:val="16"/>
                <w:szCs w:val="16"/>
              </w:rPr>
              <w:t>7 246 255,70</w:t>
            </w:r>
          </w:p>
        </w:tc>
      </w:tr>
      <w:tr w:rsidR="003F446D" w:rsidRPr="00373EB9" w:rsidTr="003F446D">
        <w:trPr>
          <w:trHeight w:val="310"/>
        </w:trPr>
        <w:tc>
          <w:tcPr>
            <w:tcW w:w="2567" w:type="dxa"/>
            <w:tcBorders>
              <w:top w:val="nil"/>
              <w:left w:val="single" w:sz="4" w:space="0" w:color="auto"/>
              <w:bottom w:val="single" w:sz="4" w:space="0" w:color="auto"/>
              <w:right w:val="single" w:sz="4" w:space="0" w:color="auto"/>
            </w:tcBorders>
            <w:shd w:val="clear" w:color="auto" w:fill="auto"/>
            <w:vAlign w:val="center"/>
            <w:hideMark/>
          </w:tcPr>
          <w:p w:rsidR="003F446D" w:rsidRPr="003F284D" w:rsidRDefault="003F446D" w:rsidP="00B02020">
            <w:pPr>
              <w:jc w:val="center"/>
              <w:rPr>
                <w:rFonts w:ascii="Arial" w:hAnsi="Arial" w:cs="Arial"/>
                <w:sz w:val="16"/>
                <w:szCs w:val="16"/>
              </w:rPr>
            </w:pPr>
            <w:r w:rsidRPr="003F284D">
              <w:rPr>
                <w:rFonts w:ascii="Arial" w:hAnsi="Arial" w:cs="Arial"/>
                <w:sz w:val="16"/>
                <w:szCs w:val="16"/>
              </w:rPr>
              <w:t>4.1</w:t>
            </w:r>
          </w:p>
        </w:tc>
        <w:tc>
          <w:tcPr>
            <w:tcW w:w="2606" w:type="dxa"/>
            <w:tcBorders>
              <w:top w:val="nil"/>
              <w:left w:val="nil"/>
              <w:bottom w:val="single" w:sz="4" w:space="0" w:color="auto"/>
              <w:right w:val="single" w:sz="4" w:space="0" w:color="auto"/>
            </w:tcBorders>
            <w:shd w:val="clear" w:color="auto" w:fill="auto"/>
            <w:vAlign w:val="center"/>
            <w:hideMark/>
          </w:tcPr>
          <w:p w:rsidR="003F446D" w:rsidRPr="003F284D" w:rsidRDefault="003F446D" w:rsidP="00B02020">
            <w:pPr>
              <w:jc w:val="center"/>
              <w:rPr>
                <w:rFonts w:ascii="Arial" w:hAnsi="Arial" w:cs="Arial"/>
                <w:sz w:val="16"/>
                <w:szCs w:val="16"/>
              </w:rPr>
            </w:pPr>
            <w:r w:rsidRPr="003F284D">
              <w:rPr>
                <w:rFonts w:ascii="Arial" w:hAnsi="Arial" w:cs="Arial"/>
                <w:sz w:val="16"/>
                <w:szCs w:val="16"/>
              </w:rPr>
              <w:t>3</w:t>
            </w:r>
          </w:p>
        </w:tc>
        <w:tc>
          <w:tcPr>
            <w:tcW w:w="1646" w:type="dxa"/>
            <w:tcBorders>
              <w:top w:val="nil"/>
              <w:left w:val="nil"/>
              <w:bottom w:val="single" w:sz="4" w:space="0" w:color="auto"/>
              <w:right w:val="single" w:sz="4" w:space="0" w:color="auto"/>
            </w:tcBorders>
            <w:shd w:val="clear" w:color="auto" w:fill="auto"/>
            <w:vAlign w:val="center"/>
            <w:hideMark/>
          </w:tcPr>
          <w:p w:rsidR="003F446D" w:rsidRPr="003F284D" w:rsidRDefault="003F446D" w:rsidP="00B02020">
            <w:pPr>
              <w:jc w:val="right"/>
              <w:rPr>
                <w:rFonts w:ascii="Arial" w:hAnsi="Arial" w:cs="Arial"/>
                <w:sz w:val="16"/>
                <w:szCs w:val="16"/>
              </w:rPr>
            </w:pPr>
            <w:r w:rsidRPr="003F284D">
              <w:rPr>
                <w:rFonts w:ascii="Arial" w:hAnsi="Arial" w:cs="Arial"/>
                <w:sz w:val="16"/>
                <w:szCs w:val="16"/>
              </w:rPr>
              <w:t>13 112 891,08</w:t>
            </w:r>
          </w:p>
        </w:tc>
        <w:tc>
          <w:tcPr>
            <w:tcW w:w="1717" w:type="dxa"/>
            <w:tcBorders>
              <w:top w:val="nil"/>
              <w:left w:val="nil"/>
              <w:bottom w:val="single" w:sz="4" w:space="0" w:color="auto"/>
              <w:right w:val="single" w:sz="4" w:space="0" w:color="auto"/>
            </w:tcBorders>
            <w:shd w:val="clear" w:color="auto" w:fill="auto"/>
            <w:vAlign w:val="center"/>
            <w:hideMark/>
          </w:tcPr>
          <w:p w:rsidR="003F446D" w:rsidRPr="003F284D" w:rsidRDefault="003F446D" w:rsidP="00B02020">
            <w:pPr>
              <w:jc w:val="right"/>
              <w:rPr>
                <w:rFonts w:ascii="Arial" w:hAnsi="Arial" w:cs="Arial"/>
                <w:sz w:val="16"/>
                <w:szCs w:val="16"/>
              </w:rPr>
            </w:pPr>
            <w:r w:rsidRPr="003F284D">
              <w:rPr>
                <w:rFonts w:ascii="Arial" w:hAnsi="Arial" w:cs="Arial"/>
                <w:sz w:val="16"/>
                <w:szCs w:val="16"/>
              </w:rPr>
              <w:t>9 479 522,49</w:t>
            </w:r>
          </w:p>
        </w:tc>
      </w:tr>
      <w:tr w:rsidR="003F446D" w:rsidRPr="00373EB9" w:rsidTr="003F284D">
        <w:trPr>
          <w:trHeight w:val="310"/>
        </w:trPr>
        <w:tc>
          <w:tcPr>
            <w:tcW w:w="2567" w:type="dxa"/>
            <w:tcBorders>
              <w:top w:val="nil"/>
              <w:left w:val="single" w:sz="4" w:space="0" w:color="auto"/>
              <w:bottom w:val="single" w:sz="4" w:space="0" w:color="auto"/>
              <w:right w:val="single" w:sz="4" w:space="0" w:color="auto"/>
            </w:tcBorders>
            <w:shd w:val="clear" w:color="auto" w:fill="auto"/>
            <w:vAlign w:val="center"/>
            <w:hideMark/>
          </w:tcPr>
          <w:p w:rsidR="003F446D" w:rsidRPr="003F284D" w:rsidRDefault="003F446D" w:rsidP="00B02020">
            <w:pPr>
              <w:jc w:val="center"/>
              <w:rPr>
                <w:rFonts w:ascii="Arial" w:hAnsi="Arial" w:cs="Arial"/>
                <w:sz w:val="16"/>
                <w:szCs w:val="16"/>
              </w:rPr>
            </w:pPr>
            <w:r w:rsidRPr="003F284D">
              <w:rPr>
                <w:rFonts w:ascii="Arial" w:hAnsi="Arial" w:cs="Arial"/>
                <w:sz w:val="16"/>
                <w:szCs w:val="16"/>
              </w:rPr>
              <w:t>5.1</w:t>
            </w:r>
          </w:p>
        </w:tc>
        <w:tc>
          <w:tcPr>
            <w:tcW w:w="2606" w:type="dxa"/>
            <w:tcBorders>
              <w:top w:val="nil"/>
              <w:left w:val="nil"/>
              <w:bottom w:val="single" w:sz="4" w:space="0" w:color="auto"/>
              <w:right w:val="single" w:sz="4" w:space="0" w:color="auto"/>
            </w:tcBorders>
            <w:shd w:val="clear" w:color="auto" w:fill="auto"/>
            <w:vAlign w:val="center"/>
            <w:hideMark/>
          </w:tcPr>
          <w:p w:rsidR="003F446D" w:rsidRPr="003F284D" w:rsidRDefault="003F446D" w:rsidP="00B02020">
            <w:pPr>
              <w:jc w:val="center"/>
              <w:rPr>
                <w:rFonts w:ascii="Arial" w:hAnsi="Arial" w:cs="Arial"/>
                <w:sz w:val="16"/>
                <w:szCs w:val="16"/>
              </w:rPr>
            </w:pPr>
            <w:r w:rsidRPr="003F284D">
              <w:rPr>
                <w:rFonts w:ascii="Arial" w:hAnsi="Arial" w:cs="Arial"/>
                <w:sz w:val="16"/>
                <w:szCs w:val="16"/>
              </w:rPr>
              <w:t>3</w:t>
            </w:r>
          </w:p>
        </w:tc>
        <w:tc>
          <w:tcPr>
            <w:tcW w:w="1646" w:type="dxa"/>
            <w:tcBorders>
              <w:top w:val="nil"/>
              <w:left w:val="nil"/>
              <w:bottom w:val="single" w:sz="4" w:space="0" w:color="auto"/>
              <w:right w:val="single" w:sz="4" w:space="0" w:color="auto"/>
            </w:tcBorders>
            <w:shd w:val="clear" w:color="auto" w:fill="auto"/>
            <w:vAlign w:val="center"/>
            <w:hideMark/>
          </w:tcPr>
          <w:p w:rsidR="003F446D" w:rsidRPr="003F284D" w:rsidRDefault="003F446D" w:rsidP="00B02020">
            <w:pPr>
              <w:jc w:val="right"/>
              <w:rPr>
                <w:rFonts w:ascii="Arial" w:hAnsi="Arial" w:cs="Arial"/>
                <w:sz w:val="16"/>
                <w:szCs w:val="16"/>
              </w:rPr>
            </w:pPr>
            <w:r w:rsidRPr="003F284D">
              <w:rPr>
                <w:rFonts w:ascii="Arial" w:hAnsi="Arial" w:cs="Arial"/>
                <w:sz w:val="16"/>
                <w:szCs w:val="16"/>
              </w:rPr>
              <w:t>723 134,70</w:t>
            </w:r>
          </w:p>
        </w:tc>
        <w:tc>
          <w:tcPr>
            <w:tcW w:w="1717" w:type="dxa"/>
            <w:tcBorders>
              <w:top w:val="nil"/>
              <w:left w:val="nil"/>
              <w:bottom w:val="single" w:sz="4" w:space="0" w:color="auto"/>
              <w:right w:val="single" w:sz="4" w:space="0" w:color="auto"/>
            </w:tcBorders>
            <w:shd w:val="clear" w:color="auto" w:fill="auto"/>
            <w:vAlign w:val="center"/>
            <w:hideMark/>
          </w:tcPr>
          <w:p w:rsidR="003F446D" w:rsidRPr="003F284D" w:rsidRDefault="003F446D" w:rsidP="00B02020">
            <w:pPr>
              <w:jc w:val="right"/>
              <w:rPr>
                <w:rFonts w:ascii="Arial" w:hAnsi="Arial" w:cs="Arial"/>
                <w:sz w:val="16"/>
                <w:szCs w:val="16"/>
              </w:rPr>
            </w:pPr>
            <w:r w:rsidRPr="003F284D">
              <w:rPr>
                <w:rFonts w:ascii="Arial" w:hAnsi="Arial" w:cs="Arial"/>
                <w:sz w:val="16"/>
                <w:szCs w:val="16"/>
              </w:rPr>
              <w:t>614 664,48</w:t>
            </w:r>
          </w:p>
        </w:tc>
      </w:tr>
      <w:tr w:rsidR="003F446D" w:rsidRPr="00373EB9" w:rsidTr="003F284D">
        <w:trPr>
          <w:trHeight w:val="310"/>
        </w:trPr>
        <w:tc>
          <w:tcPr>
            <w:tcW w:w="2567" w:type="dxa"/>
            <w:tcBorders>
              <w:top w:val="single" w:sz="4" w:space="0" w:color="auto"/>
              <w:left w:val="single" w:sz="4" w:space="0" w:color="auto"/>
              <w:bottom w:val="single" w:sz="4" w:space="0" w:color="auto"/>
              <w:right w:val="single" w:sz="4" w:space="0" w:color="auto"/>
            </w:tcBorders>
            <w:shd w:val="clear" w:color="000000" w:fill="EAF1DD"/>
            <w:vAlign w:val="center"/>
            <w:hideMark/>
          </w:tcPr>
          <w:p w:rsidR="003F446D" w:rsidRPr="003F284D" w:rsidRDefault="003F446D" w:rsidP="00B02020">
            <w:pPr>
              <w:jc w:val="center"/>
              <w:rPr>
                <w:rFonts w:ascii="Arial" w:hAnsi="Arial" w:cs="Arial"/>
                <w:b/>
                <w:bCs/>
                <w:sz w:val="16"/>
                <w:szCs w:val="16"/>
              </w:rPr>
            </w:pPr>
            <w:r w:rsidRPr="003F284D">
              <w:rPr>
                <w:rFonts w:ascii="Arial" w:hAnsi="Arial" w:cs="Arial"/>
                <w:b/>
                <w:bCs/>
                <w:sz w:val="16"/>
                <w:szCs w:val="16"/>
              </w:rPr>
              <w:t>Spolu systémové N:</w:t>
            </w:r>
          </w:p>
        </w:tc>
        <w:tc>
          <w:tcPr>
            <w:tcW w:w="2606" w:type="dxa"/>
            <w:tcBorders>
              <w:top w:val="single" w:sz="4" w:space="0" w:color="auto"/>
              <w:left w:val="nil"/>
              <w:bottom w:val="single" w:sz="4" w:space="0" w:color="auto"/>
              <w:right w:val="single" w:sz="4" w:space="0" w:color="auto"/>
            </w:tcBorders>
            <w:shd w:val="clear" w:color="000000" w:fill="EAF1DD"/>
            <w:vAlign w:val="center"/>
            <w:hideMark/>
          </w:tcPr>
          <w:p w:rsidR="003F446D" w:rsidRPr="003F284D" w:rsidRDefault="003F446D" w:rsidP="00B02020">
            <w:pPr>
              <w:jc w:val="center"/>
              <w:rPr>
                <w:rFonts w:ascii="Arial" w:hAnsi="Arial" w:cs="Arial"/>
                <w:b/>
                <w:bCs/>
                <w:sz w:val="16"/>
                <w:szCs w:val="16"/>
              </w:rPr>
            </w:pPr>
            <w:r w:rsidRPr="003F284D">
              <w:rPr>
                <w:rFonts w:ascii="Arial" w:hAnsi="Arial" w:cs="Arial"/>
                <w:b/>
                <w:bCs/>
                <w:sz w:val="16"/>
                <w:szCs w:val="16"/>
              </w:rPr>
              <w:t>15</w:t>
            </w:r>
          </w:p>
        </w:tc>
        <w:tc>
          <w:tcPr>
            <w:tcW w:w="1646" w:type="dxa"/>
            <w:tcBorders>
              <w:top w:val="single" w:sz="4" w:space="0" w:color="auto"/>
              <w:left w:val="nil"/>
              <w:bottom w:val="single" w:sz="4" w:space="0" w:color="auto"/>
              <w:right w:val="single" w:sz="4" w:space="0" w:color="auto"/>
            </w:tcBorders>
            <w:shd w:val="clear" w:color="000000" w:fill="EAF1DD"/>
            <w:vAlign w:val="center"/>
            <w:hideMark/>
          </w:tcPr>
          <w:p w:rsidR="003F446D" w:rsidRPr="003F284D" w:rsidRDefault="003F446D" w:rsidP="00B02020">
            <w:pPr>
              <w:jc w:val="right"/>
              <w:rPr>
                <w:rFonts w:ascii="Arial" w:hAnsi="Arial" w:cs="Arial"/>
                <w:b/>
                <w:bCs/>
                <w:sz w:val="16"/>
                <w:szCs w:val="16"/>
              </w:rPr>
            </w:pPr>
            <w:r w:rsidRPr="003F284D">
              <w:rPr>
                <w:rFonts w:ascii="Arial" w:hAnsi="Arial" w:cs="Arial"/>
                <w:b/>
                <w:bCs/>
                <w:sz w:val="16"/>
                <w:szCs w:val="16"/>
              </w:rPr>
              <w:t>44 054 409,34</w:t>
            </w:r>
          </w:p>
        </w:tc>
        <w:tc>
          <w:tcPr>
            <w:tcW w:w="1717" w:type="dxa"/>
            <w:tcBorders>
              <w:top w:val="single" w:sz="4" w:space="0" w:color="auto"/>
              <w:left w:val="nil"/>
              <w:bottom w:val="single" w:sz="4" w:space="0" w:color="auto"/>
              <w:right w:val="single" w:sz="4" w:space="0" w:color="auto"/>
            </w:tcBorders>
            <w:shd w:val="clear" w:color="000000" w:fill="EAF1DD"/>
            <w:vAlign w:val="center"/>
            <w:hideMark/>
          </w:tcPr>
          <w:p w:rsidR="003F446D" w:rsidRPr="003F284D" w:rsidRDefault="003F446D" w:rsidP="00B02020">
            <w:pPr>
              <w:jc w:val="right"/>
              <w:rPr>
                <w:rFonts w:ascii="Arial" w:hAnsi="Arial" w:cs="Arial"/>
                <w:b/>
                <w:bCs/>
                <w:sz w:val="16"/>
                <w:szCs w:val="16"/>
              </w:rPr>
            </w:pPr>
            <w:r w:rsidRPr="003F284D">
              <w:rPr>
                <w:rFonts w:ascii="Arial" w:hAnsi="Arial" w:cs="Arial"/>
                <w:b/>
                <w:bCs/>
                <w:sz w:val="16"/>
                <w:szCs w:val="16"/>
              </w:rPr>
              <w:t>33 959 684,18</w:t>
            </w:r>
          </w:p>
        </w:tc>
      </w:tr>
    </w:tbl>
    <w:p w:rsidR="003F446D" w:rsidRPr="003F284D" w:rsidRDefault="003F446D" w:rsidP="00B02020">
      <w:pPr>
        <w:tabs>
          <w:tab w:val="left" w:pos="0"/>
        </w:tabs>
        <w:jc w:val="both"/>
        <w:rPr>
          <w:rFonts w:ascii="Arial" w:hAnsi="Arial" w:cs="Arial"/>
          <w:sz w:val="18"/>
          <w:szCs w:val="18"/>
        </w:rPr>
      </w:pPr>
      <w:r w:rsidRPr="003F284D">
        <w:rPr>
          <w:rFonts w:ascii="Arial" w:hAnsi="Arial" w:cs="Arial"/>
          <w:sz w:val="18"/>
          <w:szCs w:val="18"/>
        </w:rPr>
        <w:t>Zdroj: CO</w:t>
      </w:r>
    </w:p>
    <w:p w:rsidR="003F446D" w:rsidRDefault="003F446D" w:rsidP="00507035">
      <w:pPr>
        <w:spacing w:before="120" w:after="120"/>
        <w:ind w:left="720"/>
        <w:jc w:val="both"/>
        <w:rPr>
          <w:rFonts w:ascii="Arial" w:hAnsi="Arial" w:cs="Arial"/>
          <w:sz w:val="20"/>
          <w:szCs w:val="20"/>
        </w:rPr>
      </w:pPr>
    </w:p>
    <w:p w:rsidR="003F446D" w:rsidRDefault="003F446D" w:rsidP="001540E7">
      <w:pPr>
        <w:numPr>
          <w:ilvl w:val="0"/>
          <w:numId w:val="43"/>
        </w:numPr>
        <w:spacing w:before="120" w:after="120"/>
        <w:jc w:val="both"/>
        <w:rPr>
          <w:rFonts w:ascii="Arial" w:hAnsi="Arial" w:cs="Arial"/>
          <w:b/>
          <w:sz w:val="20"/>
          <w:szCs w:val="20"/>
          <w:u w:val="single"/>
        </w:rPr>
      </w:pPr>
      <w:r>
        <w:rPr>
          <w:rFonts w:ascii="Arial" w:hAnsi="Arial" w:cs="Arial"/>
          <w:b/>
          <w:sz w:val="20"/>
          <w:szCs w:val="20"/>
          <w:u w:val="single"/>
        </w:rPr>
        <w:tab/>
      </w:r>
      <w:r w:rsidRPr="003F284D">
        <w:rPr>
          <w:rFonts w:ascii="Arial" w:hAnsi="Arial" w:cs="Arial"/>
          <w:b/>
          <w:sz w:val="20"/>
          <w:szCs w:val="20"/>
          <w:u w:val="single"/>
        </w:rPr>
        <w:t>Finančné opravy</w:t>
      </w:r>
    </w:p>
    <w:p w:rsidR="00343D57" w:rsidRPr="00D23B17" w:rsidRDefault="00343D57" w:rsidP="00507035">
      <w:pPr>
        <w:spacing w:before="120" w:after="120" w:line="360" w:lineRule="auto"/>
        <w:jc w:val="both"/>
        <w:rPr>
          <w:rFonts w:ascii="Arial" w:hAnsi="Arial" w:cs="Arial"/>
          <w:color w:val="000000"/>
          <w:sz w:val="20"/>
          <w:szCs w:val="20"/>
        </w:rPr>
      </w:pPr>
      <w:r w:rsidRPr="00634644">
        <w:rPr>
          <w:rFonts w:ascii="Arial" w:hAnsi="Arial" w:cs="Arial"/>
          <w:color w:val="000000"/>
          <w:sz w:val="20"/>
          <w:szCs w:val="20"/>
        </w:rPr>
        <w:t xml:space="preserve">V období od 01.01.2012 do 31.12.2012 boli za OP ŽP stiahnuté sumy vo výkaze výdavkov v celkovej výške 39 952 570,07 EUR (z toho za zdroj EÚ vo výške 33 959 684,18 EUR). V sledovanom období boli tiež realizované odpočítania súm z výkazu výdavkov v celkovej výške 204 110,42 EUR (z toho za zdroj EÚ vo výške 173 493,87 </w:t>
      </w:r>
      <w:r w:rsidRPr="00B8465A">
        <w:rPr>
          <w:rFonts w:ascii="Arial" w:hAnsi="Arial" w:cs="Arial"/>
          <w:color w:val="000000"/>
          <w:sz w:val="20"/>
          <w:szCs w:val="20"/>
        </w:rPr>
        <w:t xml:space="preserve">EUR), ktoré sa realizovali až následne po ich vrátení (t.j. pripísaní na príslušný účet certifikačného orgánu). Podrobný prehľad finančných opráv za rok 2012 v členení podľa prioritných osí je uvedený v tabuľke č. </w:t>
      </w:r>
      <w:r w:rsidR="00B8465A" w:rsidRPr="00236377">
        <w:rPr>
          <w:rFonts w:ascii="Arial" w:hAnsi="Arial" w:cs="Arial"/>
          <w:color w:val="000000"/>
          <w:sz w:val="20"/>
          <w:szCs w:val="20"/>
        </w:rPr>
        <w:t>17</w:t>
      </w:r>
      <w:r w:rsidRPr="00913072">
        <w:rPr>
          <w:rFonts w:ascii="Arial" w:hAnsi="Arial" w:cs="Arial"/>
          <w:color w:val="000000"/>
          <w:sz w:val="20"/>
          <w:szCs w:val="20"/>
        </w:rPr>
        <w:t>.</w:t>
      </w:r>
    </w:p>
    <w:p w:rsidR="007E5895" w:rsidRDefault="007E5895">
      <w:r>
        <w:br w:type="page"/>
      </w:r>
    </w:p>
    <w:tbl>
      <w:tblPr>
        <w:tblW w:w="9700" w:type="dxa"/>
        <w:tblInd w:w="55" w:type="dxa"/>
        <w:tblCellMar>
          <w:left w:w="70" w:type="dxa"/>
          <w:right w:w="70" w:type="dxa"/>
        </w:tblCellMar>
        <w:tblLook w:val="04A0" w:firstRow="1" w:lastRow="0" w:firstColumn="1" w:lastColumn="0" w:noHBand="0" w:noVBand="1"/>
      </w:tblPr>
      <w:tblGrid>
        <w:gridCol w:w="1300"/>
        <w:gridCol w:w="1660"/>
        <w:gridCol w:w="1720"/>
        <w:gridCol w:w="1260"/>
        <w:gridCol w:w="1440"/>
        <w:gridCol w:w="999"/>
        <w:gridCol w:w="125"/>
        <w:gridCol w:w="1196"/>
      </w:tblGrid>
      <w:tr w:rsidR="00343D57" w:rsidRPr="00B8465A" w:rsidTr="007A427E">
        <w:trPr>
          <w:trHeight w:val="288"/>
        </w:trPr>
        <w:tc>
          <w:tcPr>
            <w:tcW w:w="7380" w:type="dxa"/>
            <w:gridSpan w:val="5"/>
            <w:tcBorders>
              <w:top w:val="nil"/>
              <w:left w:val="nil"/>
              <w:bottom w:val="nil"/>
              <w:right w:val="nil"/>
            </w:tcBorders>
            <w:shd w:val="clear" w:color="auto" w:fill="auto"/>
            <w:noWrap/>
            <w:vAlign w:val="bottom"/>
            <w:hideMark/>
          </w:tcPr>
          <w:p w:rsidR="00B02020" w:rsidRPr="003F284D" w:rsidRDefault="00343D57" w:rsidP="00454DC9">
            <w:pPr>
              <w:spacing w:before="120" w:after="120"/>
              <w:jc w:val="both"/>
              <w:rPr>
                <w:rFonts w:ascii="Arial" w:hAnsi="Arial" w:cs="Arial"/>
                <w:color w:val="000000"/>
                <w:sz w:val="18"/>
                <w:szCs w:val="18"/>
              </w:rPr>
            </w:pPr>
            <w:r w:rsidRPr="003F284D">
              <w:rPr>
                <w:rFonts w:ascii="Arial" w:hAnsi="Arial" w:cs="Arial"/>
                <w:color w:val="000000"/>
                <w:sz w:val="18"/>
                <w:szCs w:val="18"/>
              </w:rPr>
              <w:t>Tab</w:t>
            </w:r>
            <w:r w:rsidR="00E57A5C">
              <w:rPr>
                <w:rFonts w:ascii="Arial" w:hAnsi="Arial" w:cs="Arial"/>
                <w:color w:val="000000"/>
                <w:sz w:val="18"/>
                <w:szCs w:val="18"/>
              </w:rPr>
              <w:t>.</w:t>
            </w:r>
            <w:r w:rsidR="00454DC9">
              <w:rPr>
                <w:rFonts w:ascii="Arial" w:hAnsi="Arial" w:cs="Arial"/>
                <w:color w:val="000000"/>
                <w:sz w:val="18"/>
                <w:szCs w:val="18"/>
              </w:rPr>
              <w:t xml:space="preserve"> </w:t>
            </w:r>
            <w:r w:rsidRPr="003F284D">
              <w:rPr>
                <w:rFonts w:ascii="Arial" w:hAnsi="Arial" w:cs="Arial"/>
                <w:color w:val="000000"/>
                <w:sz w:val="18"/>
                <w:szCs w:val="18"/>
              </w:rPr>
              <w:t>č.</w:t>
            </w:r>
            <w:r w:rsidR="00B8465A" w:rsidRPr="00B8465A">
              <w:rPr>
                <w:rFonts w:ascii="Arial" w:hAnsi="Arial" w:cs="Arial"/>
                <w:color w:val="000000"/>
                <w:sz w:val="18"/>
                <w:szCs w:val="18"/>
              </w:rPr>
              <w:t>17</w:t>
            </w:r>
            <w:r w:rsidRPr="003F284D">
              <w:rPr>
                <w:rFonts w:ascii="Arial" w:hAnsi="Arial" w:cs="Arial"/>
                <w:color w:val="000000"/>
                <w:sz w:val="18"/>
                <w:szCs w:val="18"/>
              </w:rPr>
              <w:t>:Prehľad</w:t>
            </w:r>
            <w:r w:rsidR="00454DC9">
              <w:rPr>
                <w:rFonts w:ascii="Arial" w:hAnsi="Arial" w:cs="Arial"/>
                <w:color w:val="000000"/>
                <w:sz w:val="18"/>
                <w:szCs w:val="18"/>
              </w:rPr>
              <w:t xml:space="preserve"> </w:t>
            </w:r>
            <w:r w:rsidRPr="003F284D">
              <w:rPr>
                <w:rFonts w:ascii="Arial" w:hAnsi="Arial" w:cs="Arial"/>
                <w:color w:val="000000"/>
                <w:sz w:val="18"/>
                <w:szCs w:val="18"/>
              </w:rPr>
              <w:t>o</w:t>
            </w:r>
            <w:r w:rsidR="00454DC9">
              <w:rPr>
                <w:rFonts w:ascii="Arial" w:hAnsi="Arial" w:cs="Arial"/>
                <w:color w:val="000000"/>
                <w:sz w:val="18"/>
                <w:szCs w:val="18"/>
              </w:rPr>
              <w:t> </w:t>
            </w:r>
            <w:r w:rsidRPr="003F284D">
              <w:rPr>
                <w:rFonts w:ascii="Arial" w:hAnsi="Arial" w:cs="Arial"/>
                <w:color w:val="000000"/>
                <w:sz w:val="18"/>
                <w:szCs w:val="18"/>
              </w:rPr>
              <w:t>vykonaných</w:t>
            </w:r>
            <w:r w:rsidR="00454DC9">
              <w:rPr>
                <w:rFonts w:ascii="Arial" w:hAnsi="Arial" w:cs="Arial"/>
                <w:color w:val="000000"/>
                <w:sz w:val="18"/>
                <w:szCs w:val="18"/>
              </w:rPr>
              <w:t xml:space="preserve"> </w:t>
            </w:r>
            <w:r w:rsidRPr="003F284D">
              <w:rPr>
                <w:rFonts w:ascii="Arial" w:hAnsi="Arial" w:cs="Arial"/>
                <w:color w:val="000000"/>
                <w:sz w:val="18"/>
                <w:szCs w:val="18"/>
              </w:rPr>
              <w:t>finančn</w:t>
            </w:r>
            <w:r w:rsidR="00B02020">
              <w:rPr>
                <w:rFonts w:ascii="Arial" w:hAnsi="Arial" w:cs="Arial"/>
                <w:color w:val="000000"/>
                <w:sz w:val="18"/>
                <w:szCs w:val="18"/>
              </w:rPr>
              <w:t>ých</w:t>
            </w:r>
            <w:r w:rsidR="00454DC9">
              <w:rPr>
                <w:rFonts w:ascii="Arial" w:hAnsi="Arial" w:cs="Arial"/>
                <w:color w:val="000000"/>
                <w:sz w:val="18"/>
                <w:szCs w:val="18"/>
              </w:rPr>
              <w:t xml:space="preserve"> </w:t>
            </w:r>
            <w:r w:rsidR="00B02020">
              <w:rPr>
                <w:rFonts w:ascii="Arial" w:hAnsi="Arial" w:cs="Arial"/>
                <w:color w:val="000000"/>
                <w:sz w:val="18"/>
                <w:szCs w:val="18"/>
              </w:rPr>
              <w:t>opravách</w:t>
            </w:r>
            <w:r w:rsidR="00454DC9">
              <w:rPr>
                <w:rFonts w:ascii="Arial" w:hAnsi="Arial" w:cs="Arial"/>
                <w:color w:val="000000"/>
                <w:sz w:val="18"/>
                <w:szCs w:val="18"/>
              </w:rPr>
              <w:t xml:space="preserve"> </w:t>
            </w:r>
            <w:r w:rsidR="00B02020">
              <w:rPr>
                <w:rFonts w:ascii="Arial" w:hAnsi="Arial" w:cs="Arial"/>
                <w:color w:val="000000"/>
                <w:sz w:val="18"/>
                <w:szCs w:val="18"/>
              </w:rPr>
              <w:t>vo</w:t>
            </w:r>
            <w:r w:rsidR="00454DC9">
              <w:rPr>
                <w:rFonts w:ascii="Arial" w:hAnsi="Arial" w:cs="Arial"/>
                <w:color w:val="000000"/>
                <w:sz w:val="18"/>
                <w:szCs w:val="18"/>
              </w:rPr>
              <w:t xml:space="preserve"> </w:t>
            </w:r>
            <w:r w:rsidR="00B02020">
              <w:rPr>
                <w:rFonts w:ascii="Arial" w:hAnsi="Arial" w:cs="Arial"/>
                <w:color w:val="000000"/>
                <w:sz w:val="18"/>
                <w:szCs w:val="18"/>
              </w:rPr>
              <w:t>výkaze</w:t>
            </w:r>
            <w:r w:rsidR="00454DC9">
              <w:rPr>
                <w:rFonts w:ascii="Arial" w:hAnsi="Arial" w:cs="Arial"/>
                <w:color w:val="000000"/>
                <w:sz w:val="18"/>
                <w:szCs w:val="18"/>
              </w:rPr>
              <w:t xml:space="preserve"> </w:t>
            </w:r>
            <w:r w:rsidR="00B02020">
              <w:rPr>
                <w:rFonts w:ascii="Arial" w:hAnsi="Arial" w:cs="Arial"/>
                <w:color w:val="000000"/>
                <w:sz w:val="18"/>
                <w:szCs w:val="18"/>
              </w:rPr>
              <w:t>výdavkov</w:t>
            </w:r>
            <w:r w:rsidR="00454DC9">
              <w:rPr>
                <w:rFonts w:ascii="Arial" w:hAnsi="Arial" w:cs="Arial"/>
                <w:color w:val="000000"/>
                <w:sz w:val="18"/>
                <w:szCs w:val="18"/>
              </w:rPr>
              <w:t xml:space="preserve"> </w:t>
            </w:r>
            <w:r w:rsidRPr="003F284D">
              <w:rPr>
                <w:rFonts w:ascii="Arial" w:hAnsi="Arial" w:cs="Arial"/>
                <w:color w:val="000000"/>
                <w:sz w:val="18"/>
                <w:szCs w:val="18"/>
              </w:rPr>
              <w:t>v</w:t>
            </w:r>
            <w:r w:rsidR="00454DC9">
              <w:rPr>
                <w:rFonts w:ascii="Arial" w:hAnsi="Arial" w:cs="Arial"/>
                <w:color w:val="000000"/>
                <w:sz w:val="18"/>
                <w:szCs w:val="18"/>
              </w:rPr>
              <w:t> </w:t>
            </w:r>
            <w:r w:rsidRPr="003F284D">
              <w:rPr>
                <w:rFonts w:ascii="Arial" w:hAnsi="Arial" w:cs="Arial"/>
                <w:color w:val="000000"/>
                <w:sz w:val="18"/>
                <w:szCs w:val="18"/>
              </w:rPr>
              <w:t>roku</w:t>
            </w:r>
            <w:r w:rsidR="00454DC9">
              <w:rPr>
                <w:rFonts w:ascii="Arial" w:hAnsi="Arial" w:cs="Arial"/>
                <w:color w:val="000000"/>
                <w:sz w:val="18"/>
                <w:szCs w:val="18"/>
              </w:rPr>
              <w:t xml:space="preserve"> </w:t>
            </w:r>
            <w:r w:rsidR="00B02020">
              <w:rPr>
                <w:rFonts w:ascii="Arial" w:hAnsi="Arial" w:cs="Arial"/>
                <w:color w:val="000000"/>
                <w:sz w:val="18"/>
                <w:szCs w:val="18"/>
              </w:rPr>
              <w:t>2</w:t>
            </w:r>
            <w:r w:rsidRPr="003F284D">
              <w:rPr>
                <w:rFonts w:ascii="Arial" w:hAnsi="Arial" w:cs="Arial"/>
                <w:color w:val="000000"/>
                <w:sz w:val="18"/>
                <w:szCs w:val="18"/>
              </w:rPr>
              <w:t>012</w:t>
            </w:r>
          </w:p>
        </w:tc>
        <w:tc>
          <w:tcPr>
            <w:tcW w:w="1124" w:type="dxa"/>
            <w:gridSpan w:val="2"/>
            <w:tcBorders>
              <w:top w:val="nil"/>
              <w:left w:val="nil"/>
              <w:bottom w:val="nil"/>
              <w:right w:val="nil"/>
            </w:tcBorders>
            <w:shd w:val="clear" w:color="auto" w:fill="auto"/>
            <w:noWrap/>
            <w:vAlign w:val="bottom"/>
            <w:hideMark/>
          </w:tcPr>
          <w:p w:rsidR="00343D57" w:rsidRPr="003F284D" w:rsidRDefault="00343D57" w:rsidP="00507035">
            <w:pPr>
              <w:spacing w:before="120" w:after="120"/>
              <w:rPr>
                <w:rFonts w:ascii="Arial" w:hAnsi="Arial" w:cs="Arial"/>
                <w:color w:val="000000"/>
                <w:sz w:val="18"/>
                <w:szCs w:val="18"/>
              </w:rPr>
            </w:pPr>
          </w:p>
        </w:tc>
        <w:tc>
          <w:tcPr>
            <w:tcW w:w="1196" w:type="dxa"/>
            <w:tcBorders>
              <w:top w:val="nil"/>
              <w:left w:val="nil"/>
              <w:bottom w:val="nil"/>
              <w:right w:val="nil"/>
            </w:tcBorders>
            <w:shd w:val="clear" w:color="auto" w:fill="auto"/>
            <w:noWrap/>
            <w:vAlign w:val="bottom"/>
            <w:hideMark/>
          </w:tcPr>
          <w:p w:rsidR="00343D57" w:rsidRPr="003F284D" w:rsidRDefault="00343D57" w:rsidP="00507035">
            <w:pPr>
              <w:spacing w:before="120" w:after="120"/>
              <w:rPr>
                <w:rFonts w:ascii="Arial" w:hAnsi="Arial" w:cs="Arial"/>
                <w:color w:val="000000"/>
                <w:sz w:val="18"/>
                <w:szCs w:val="18"/>
              </w:rPr>
            </w:pPr>
          </w:p>
        </w:tc>
      </w:tr>
      <w:tr w:rsidR="00343D57" w:rsidRPr="00B8465A" w:rsidTr="007A427E">
        <w:trPr>
          <w:trHeight w:val="1200"/>
        </w:trPr>
        <w:tc>
          <w:tcPr>
            <w:tcW w:w="1300" w:type="dxa"/>
            <w:vMerge w:val="restart"/>
            <w:tcBorders>
              <w:top w:val="single" w:sz="8" w:space="0" w:color="auto"/>
              <w:left w:val="single" w:sz="8" w:space="0" w:color="auto"/>
              <w:bottom w:val="single" w:sz="4" w:space="0" w:color="auto"/>
              <w:right w:val="nil"/>
            </w:tcBorders>
            <w:shd w:val="clear" w:color="000000" w:fill="E46D0A"/>
            <w:vAlign w:val="bottom"/>
            <w:hideMark/>
          </w:tcPr>
          <w:p w:rsidR="00343D57" w:rsidRPr="003F284D" w:rsidRDefault="00343D57" w:rsidP="00B02020">
            <w:pPr>
              <w:jc w:val="center"/>
              <w:rPr>
                <w:rFonts w:ascii="Arial" w:hAnsi="Arial" w:cs="Arial"/>
                <w:color w:val="000000"/>
                <w:sz w:val="18"/>
                <w:szCs w:val="18"/>
              </w:rPr>
            </w:pPr>
            <w:r w:rsidRPr="003F284D">
              <w:rPr>
                <w:rFonts w:ascii="Arial" w:hAnsi="Arial" w:cs="Arial"/>
                <w:color w:val="000000"/>
                <w:sz w:val="18"/>
                <w:szCs w:val="18"/>
              </w:rPr>
              <w:t>Prioritná os</w:t>
            </w:r>
          </w:p>
        </w:tc>
        <w:tc>
          <w:tcPr>
            <w:tcW w:w="3380" w:type="dxa"/>
            <w:gridSpan w:val="2"/>
            <w:tcBorders>
              <w:top w:val="single" w:sz="8" w:space="0" w:color="auto"/>
              <w:left w:val="single" w:sz="8" w:space="0" w:color="auto"/>
              <w:bottom w:val="single" w:sz="4" w:space="0" w:color="auto"/>
              <w:right w:val="single" w:sz="8" w:space="0" w:color="000000"/>
            </w:tcBorders>
            <w:shd w:val="clear" w:color="000000" w:fill="E46D0A"/>
            <w:vAlign w:val="bottom"/>
            <w:hideMark/>
          </w:tcPr>
          <w:p w:rsidR="00343D57" w:rsidRPr="003F284D" w:rsidRDefault="00343D57" w:rsidP="00B02020">
            <w:pPr>
              <w:jc w:val="center"/>
              <w:rPr>
                <w:rFonts w:ascii="Arial" w:hAnsi="Arial" w:cs="Arial"/>
                <w:color w:val="000000"/>
                <w:sz w:val="18"/>
                <w:szCs w:val="18"/>
              </w:rPr>
            </w:pPr>
            <w:r w:rsidRPr="003F284D">
              <w:rPr>
                <w:rFonts w:ascii="Arial" w:hAnsi="Arial" w:cs="Arial"/>
                <w:color w:val="000000"/>
                <w:sz w:val="18"/>
                <w:szCs w:val="18"/>
              </w:rPr>
              <w:t>Stiahnuté sumy (Withdrawals) vo výkaze výdavkov v roku 2012 (v EUR)</w:t>
            </w:r>
          </w:p>
        </w:tc>
        <w:tc>
          <w:tcPr>
            <w:tcW w:w="2700" w:type="dxa"/>
            <w:gridSpan w:val="2"/>
            <w:tcBorders>
              <w:top w:val="single" w:sz="8" w:space="0" w:color="auto"/>
              <w:left w:val="nil"/>
              <w:bottom w:val="single" w:sz="4" w:space="0" w:color="auto"/>
              <w:right w:val="single" w:sz="8" w:space="0" w:color="000000"/>
            </w:tcBorders>
            <w:shd w:val="clear" w:color="000000" w:fill="E46D0A"/>
            <w:vAlign w:val="bottom"/>
            <w:hideMark/>
          </w:tcPr>
          <w:p w:rsidR="00343D57" w:rsidRPr="003F284D" w:rsidRDefault="00343D57" w:rsidP="00B02020">
            <w:pPr>
              <w:jc w:val="center"/>
              <w:rPr>
                <w:rFonts w:ascii="Arial" w:hAnsi="Arial" w:cs="Arial"/>
                <w:color w:val="000000"/>
                <w:sz w:val="18"/>
                <w:szCs w:val="18"/>
              </w:rPr>
            </w:pPr>
            <w:r w:rsidRPr="003F284D">
              <w:rPr>
                <w:rFonts w:ascii="Arial" w:hAnsi="Arial" w:cs="Arial"/>
                <w:color w:val="000000"/>
                <w:sz w:val="18"/>
                <w:szCs w:val="18"/>
              </w:rPr>
              <w:t>Odpočítané vrátené sumy (Recoveries) vo výkaze výdavkov v roku 2012 (v EUR)</w:t>
            </w:r>
          </w:p>
        </w:tc>
        <w:tc>
          <w:tcPr>
            <w:tcW w:w="2320" w:type="dxa"/>
            <w:gridSpan w:val="3"/>
            <w:tcBorders>
              <w:top w:val="single" w:sz="8" w:space="0" w:color="auto"/>
              <w:left w:val="nil"/>
              <w:bottom w:val="single" w:sz="4" w:space="0" w:color="auto"/>
              <w:right w:val="single" w:sz="8" w:space="0" w:color="000000"/>
            </w:tcBorders>
            <w:shd w:val="clear" w:color="000000" w:fill="E46D0A"/>
            <w:vAlign w:val="bottom"/>
            <w:hideMark/>
          </w:tcPr>
          <w:p w:rsidR="00343D57" w:rsidRPr="00B8465A" w:rsidRDefault="00343D57" w:rsidP="00B02020">
            <w:pPr>
              <w:jc w:val="center"/>
              <w:rPr>
                <w:rFonts w:ascii="Arial" w:hAnsi="Arial" w:cs="Arial"/>
                <w:color w:val="000000"/>
                <w:sz w:val="18"/>
                <w:szCs w:val="18"/>
              </w:rPr>
            </w:pPr>
            <w:r w:rsidRPr="003F284D">
              <w:rPr>
                <w:rFonts w:ascii="Arial" w:hAnsi="Arial" w:cs="Arial"/>
                <w:color w:val="000000"/>
                <w:sz w:val="18"/>
                <w:szCs w:val="18"/>
              </w:rPr>
              <w:t>Nevymožiteľné sumy</w:t>
            </w:r>
          </w:p>
          <w:p w:rsidR="00343D57" w:rsidRPr="003F284D" w:rsidRDefault="00343D57" w:rsidP="00B02020">
            <w:pPr>
              <w:jc w:val="center"/>
              <w:rPr>
                <w:rFonts w:ascii="Arial" w:hAnsi="Arial" w:cs="Arial"/>
                <w:color w:val="000000"/>
                <w:sz w:val="18"/>
                <w:szCs w:val="18"/>
              </w:rPr>
            </w:pPr>
            <w:r w:rsidRPr="003F284D">
              <w:rPr>
                <w:rFonts w:ascii="Arial" w:hAnsi="Arial" w:cs="Arial"/>
                <w:color w:val="000000"/>
                <w:sz w:val="18"/>
                <w:szCs w:val="18"/>
              </w:rPr>
              <w:t>(v EUR)</w:t>
            </w:r>
          </w:p>
        </w:tc>
      </w:tr>
      <w:tr w:rsidR="00343D57" w:rsidRPr="00B8465A" w:rsidTr="007A427E">
        <w:trPr>
          <w:trHeight w:val="552"/>
        </w:trPr>
        <w:tc>
          <w:tcPr>
            <w:tcW w:w="1300" w:type="dxa"/>
            <w:vMerge/>
            <w:tcBorders>
              <w:top w:val="single" w:sz="8" w:space="0" w:color="auto"/>
              <w:left w:val="single" w:sz="8" w:space="0" w:color="auto"/>
              <w:bottom w:val="single" w:sz="4" w:space="0" w:color="auto"/>
              <w:right w:val="nil"/>
            </w:tcBorders>
            <w:vAlign w:val="center"/>
            <w:hideMark/>
          </w:tcPr>
          <w:p w:rsidR="00343D57" w:rsidRPr="0039268C" w:rsidRDefault="00343D57" w:rsidP="00B02020">
            <w:pPr>
              <w:rPr>
                <w:rFonts w:ascii="Arial" w:hAnsi="Arial" w:cs="Arial"/>
                <w:color w:val="000000"/>
                <w:sz w:val="18"/>
                <w:szCs w:val="18"/>
              </w:rPr>
            </w:pPr>
          </w:p>
        </w:tc>
        <w:tc>
          <w:tcPr>
            <w:tcW w:w="1660" w:type="dxa"/>
            <w:tcBorders>
              <w:top w:val="nil"/>
              <w:left w:val="single" w:sz="8" w:space="0" w:color="auto"/>
              <w:bottom w:val="single" w:sz="4" w:space="0" w:color="auto"/>
              <w:right w:val="single" w:sz="4" w:space="0" w:color="auto"/>
            </w:tcBorders>
            <w:shd w:val="clear" w:color="000000" w:fill="FAC090"/>
            <w:vAlign w:val="bottom"/>
            <w:hideMark/>
          </w:tcPr>
          <w:p w:rsidR="00343D57" w:rsidRPr="0039268C" w:rsidRDefault="00343D57" w:rsidP="00B02020">
            <w:pPr>
              <w:jc w:val="center"/>
              <w:rPr>
                <w:rFonts w:ascii="Arial" w:hAnsi="Arial" w:cs="Arial"/>
                <w:color w:val="000000"/>
                <w:sz w:val="18"/>
                <w:szCs w:val="18"/>
              </w:rPr>
            </w:pPr>
            <w:r w:rsidRPr="0039268C">
              <w:rPr>
                <w:rFonts w:ascii="Arial" w:hAnsi="Arial" w:cs="Arial"/>
                <w:color w:val="000000"/>
                <w:sz w:val="18"/>
                <w:szCs w:val="18"/>
              </w:rPr>
              <w:t>EÚ zdroj</w:t>
            </w:r>
          </w:p>
        </w:tc>
        <w:tc>
          <w:tcPr>
            <w:tcW w:w="1720" w:type="dxa"/>
            <w:tcBorders>
              <w:top w:val="nil"/>
              <w:left w:val="nil"/>
              <w:bottom w:val="single" w:sz="4" w:space="0" w:color="auto"/>
              <w:right w:val="single" w:sz="8" w:space="0" w:color="auto"/>
            </w:tcBorders>
            <w:shd w:val="clear" w:color="000000" w:fill="FAC090"/>
            <w:vAlign w:val="bottom"/>
            <w:hideMark/>
          </w:tcPr>
          <w:p w:rsidR="00343D57" w:rsidRPr="0039268C" w:rsidRDefault="00343D57" w:rsidP="00B02020">
            <w:pPr>
              <w:jc w:val="center"/>
              <w:rPr>
                <w:rFonts w:ascii="Arial" w:hAnsi="Arial" w:cs="Arial"/>
                <w:color w:val="000000"/>
                <w:sz w:val="18"/>
                <w:szCs w:val="18"/>
              </w:rPr>
            </w:pPr>
            <w:r w:rsidRPr="0039268C">
              <w:rPr>
                <w:rFonts w:ascii="Arial" w:hAnsi="Arial" w:cs="Arial"/>
                <w:color w:val="000000"/>
                <w:sz w:val="18"/>
                <w:szCs w:val="18"/>
              </w:rPr>
              <w:t>Verejné zdroje (EU+ŠR+VVZ)</w:t>
            </w:r>
          </w:p>
        </w:tc>
        <w:tc>
          <w:tcPr>
            <w:tcW w:w="1260" w:type="dxa"/>
            <w:tcBorders>
              <w:top w:val="nil"/>
              <w:left w:val="nil"/>
              <w:bottom w:val="single" w:sz="4" w:space="0" w:color="auto"/>
              <w:right w:val="single" w:sz="4" w:space="0" w:color="auto"/>
            </w:tcBorders>
            <w:shd w:val="clear" w:color="000000" w:fill="FAC090"/>
            <w:vAlign w:val="bottom"/>
            <w:hideMark/>
          </w:tcPr>
          <w:p w:rsidR="00343D57" w:rsidRPr="0039268C" w:rsidRDefault="00343D57" w:rsidP="00B02020">
            <w:pPr>
              <w:jc w:val="center"/>
              <w:rPr>
                <w:rFonts w:ascii="Arial" w:hAnsi="Arial" w:cs="Arial"/>
                <w:color w:val="000000"/>
                <w:sz w:val="18"/>
                <w:szCs w:val="18"/>
              </w:rPr>
            </w:pPr>
            <w:r w:rsidRPr="0039268C">
              <w:rPr>
                <w:rFonts w:ascii="Arial" w:hAnsi="Arial" w:cs="Arial"/>
                <w:color w:val="000000"/>
                <w:sz w:val="18"/>
                <w:szCs w:val="18"/>
              </w:rPr>
              <w:t>EÚ zdroj</w:t>
            </w:r>
          </w:p>
        </w:tc>
        <w:tc>
          <w:tcPr>
            <w:tcW w:w="1440" w:type="dxa"/>
            <w:tcBorders>
              <w:top w:val="nil"/>
              <w:left w:val="nil"/>
              <w:bottom w:val="single" w:sz="4" w:space="0" w:color="auto"/>
              <w:right w:val="single" w:sz="8" w:space="0" w:color="auto"/>
            </w:tcBorders>
            <w:shd w:val="clear" w:color="000000" w:fill="FAC090"/>
            <w:vAlign w:val="bottom"/>
            <w:hideMark/>
          </w:tcPr>
          <w:p w:rsidR="00343D57" w:rsidRPr="0039268C" w:rsidRDefault="00343D57" w:rsidP="00B02020">
            <w:pPr>
              <w:jc w:val="center"/>
              <w:rPr>
                <w:rFonts w:ascii="Arial" w:hAnsi="Arial" w:cs="Arial"/>
                <w:color w:val="000000"/>
                <w:sz w:val="18"/>
                <w:szCs w:val="18"/>
              </w:rPr>
            </w:pPr>
            <w:r w:rsidRPr="0039268C">
              <w:rPr>
                <w:rFonts w:ascii="Arial" w:hAnsi="Arial" w:cs="Arial"/>
                <w:color w:val="000000"/>
                <w:sz w:val="18"/>
                <w:szCs w:val="18"/>
              </w:rPr>
              <w:t>Verejné zdroje (EU+ŠR+VVZ)</w:t>
            </w:r>
          </w:p>
        </w:tc>
        <w:tc>
          <w:tcPr>
            <w:tcW w:w="999" w:type="dxa"/>
            <w:tcBorders>
              <w:top w:val="nil"/>
              <w:left w:val="nil"/>
              <w:bottom w:val="single" w:sz="4" w:space="0" w:color="auto"/>
              <w:right w:val="single" w:sz="4" w:space="0" w:color="auto"/>
            </w:tcBorders>
            <w:shd w:val="clear" w:color="000000" w:fill="FAC090"/>
            <w:vAlign w:val="bottom"/>
            <w:hideMark/>
          </w:tcPr>
          <w:p w:rsidR="00343D57" w:rsidRPr="0039268C" w:rsidRDefault="00343D57" w:rsidP="00B02020">
            <w:pPr>
              <w:jc w:val="center"/>
              <w:rPr>
                <w:rFonts w:ascii="Arial" w:hAnsi="Arial" w:cs="Arial"/>
                <w:color w:val="000000"/>
                <w:sz w:val="18"/>
                <w:szCs w:val="18"/>
              </w:rPr>
            </w:pPr>
            <w:r w:rsidRPr="0039268C">
              <w:rPr>
                <w:rFonts w:ascii="Arial" w:hAnsi="Arial" w:cs="Arial"/>
                <w:color w:val="000000"/>
                <w:sz w:val="18"/>
                <w:szCs w:val="18"/>
              </w:rPr>
              <w:t>EÚ zdroj</w:t>
            </w:r>
          </w:p>
        </w:tc>
        <w:tc>
          <w:tcPr>
            <w:tcW w:w="1321" w:type="dxa"/>
            <w:gridSpan w:val="2"/>
            <w:tcBorders>
              <w:top w:val="nil"/>
              <w:left w:val="nil"/>
              <w:bottom w:val="single" w:sz="4" w:space="0" w:color="auto"/>
              <w:right w:val="single" w:sz="8" w:space="0" w:color="auto"/>
            </w:tcBorders>
            <w:shd w:val="clear" w:color="000000" w:fill="FAC090"/>
            <w:vAlign w:val="bottom"/>
            <w:hideMark/>
          </w:tcPr>
          <w:p w:rsidR="00343D57" w:rsidRPr="0039268C" w:rsidRDefault="00343D57" w:rsidP="00B02020">
            <w:pPr>
              <w:jc w:val="center"/>
              <w:rPr>
                <w:rFonts w:ascii="Arial" w:hAnsi="Arial" w:cs="Arial"/>
                <w:color w:val="000000"/>
                <w:sz w:val="18"/>
                <w:szCs w:val="18"/>
              </w:rPr>
            </w:pPr>
            <w:r w:rsidRPr="0039268C">
              <w:rPr>
                <w:rFonts w:ascii="Arial" w:hAnsi="Arial" w:cs="Arial"/>
                <w:color w:val="000000"/>
                <w:sz w:val="18"/>
                <w:szCs w:val="18"/>
              </w:rPr>
              <w:t>Verejné zdroje (EU+ŠR+VVZ)</w:t>
            </w:r>
          </w:p>
        </w:tc>
      </w:tr>
      <w:tr w:rsidR="00343D57" w:rsidRPr="00B8465A" w:rsidTr="007A427E">
        <w:trPr>
          <w:trHeight w:val="276"/>
        </w:trPr>
        <w:tc>
          <w:tcPr>
            <w:tcW w:w="1300" w:type="dxa"/>
            <w:tcBorders>
              <w:top w:val="nil"/>
              <w:left w:val="single" w:sz="8" w:space="0" w:color="auto"/>
              <w:bottom w:val="single" w:sz="4" w:space="0" w:color="auto"/>
              <w:right w:val="nil"/>
            </w:tcBorders>
            <w:shd w:val="clear" w:color="auto" w:fill="auto"/>
            <w:noWrap/>
            <w:vAlign w:val="bottom"/>
            <w:hideMark/>
          </w:tcPr>
          <w:p w:rsidR="00343D57" w:rsidRPr="003F284D" w:rsidRDefault="00343D57" w:rsidP="00B02020">
            <w:pPr>
              <w:jc w:val="center"/>
              <w:rPr>
                <w:rFonts w:ascii="Arial" w:hAnsi="Arial" w:cs="Arial"/>
                <w:b/>
                <w:bCs/>
                <w:color w:val="000000"/>
                <w:sz w:val="18"/>
                <w:szCs w:val="18"/>
              </w:rPr>
            </w:pPr>
            <w:r w:rsidRPr="003F284D">
              <w:rPr>
                <w:rFonts w:ascii="Arial" w:hAnsi="Arial" w:cs="Arial"/>
                <w:b/>
                <w:bCs/>
                <w:color w:val="000000"/>
                <w:sz w:val="18"/>
                <w:szCs w:val="18"/>
              </w:rPr>
              <w:t>1</w:t>
            </w:r>
          </w:p>
        </w:tc>
        <w:tc>
          <w:tcPr>
            <w:tcW w:w="1660" w:type="dxa"/>
            <w:tcBorders>
              <w:top w:val="nil"/>
              <w:left w:val="single" w:sz="8" w:space="0" w:color="auto"/>
              <w:bottom w:val="single" w:sz="4" w:space="0" w:color="auto"/>
              <w:right w:val="single" w:sz="4" w:space="0" w:color="auto"/>
            </w:tcBorders>
            <w:shd w:val="clear" w:color="auto" w:fill="auto"/>
            <w:noWrap/>
            <w:vAlign w:val="bottom"/>
            <w:hideMark/>
          </w:tcPr>
          <w:p w:rsidR="00343D57" w:rsidRPr="003F284D" w:rsidRDefault="00343D57" w:rsidP="00B02020">
            <w:pPr>
              <w:jc w:val="right"/>
              <w:rPr>
                <w:rFonts w:ascii="Arial" w:hAnsi="Arial" w:cs="Arial"/>
                <w:sz w:val="18"/>
                <w:szCs w:val="18"/>
              </w:rPr>
            </w:pPr>
            <w:r w:rsidRPr="003F284D">
              <w:rPr>
                <w:rFonts w:ascii="Arial" w:hAnsi="Arial" w:cs="Arial"/>
                <w:sz w:val="18"/>
                <w:szCs w:val="18"/>
              </w:rPr>
              <w:t>14 789 596,55</w:t>
            </w:r>
          </w:p>
        </w:tc>
        <w:tc>
          <w:tcPr>
            <w:tcW w:w="1720" w:type="dxa"/>
            <w:tcBorders>
              <w:top w:val="nil"/>
              <w:left w:val="nil"/>
              <w:bottom w:val="single" w:sz="4" w:space="0" w:color="auto"/>
              <w:right w:val="single" w:sz="8" w:space="0" w:color="auto"/>
            </w:tcBorders>
            <w:shd w:val="clear" w:color="auto" w:fill="auto"/>
            <w:noWrap/>
            <w:vAlign w:val="bottom"/>
            <w:hideMark/>
          </w:tcPr>
          <w:p w:rsidR="00343D57" w:rsidRPr="003F284D" w:rsidRDefault="00343D57" w:rsidP="00B02020">
            <w:pPr>
              <w:jc w:val="right"/>
              <w:rPr>
                <w:rFonts w:ascii="Arial" w:hAnsi="Arial" w:cs="Arial"/>
                <w:sz w:val="18"/>
                <w:szCs w:val="18"/>
              </w:rPr>
            </w:pPr>
            <w:r w:rsidRPr="003F284D">
              <w:rPr>
                <w:rFonts w:ascii="Arial" w:hAnsi="Arial" w:cs="Arial"/>
                <w:sz w:val="18"/>
                <w:szCs w:val="18"/>
              </w:rPr>
              <w:t>17 399 525,53</w:t>
            </w:r>
          </w:p>
        </w:tc>
        <w:tc>
          <w:tcPr>
            <w:tcW w:w="1260" w:type="dxa"/>
            <w:tcBorders>
              <w:top w:val="nil"/>
              <w:left w:val="nil"/>
              <w:bottom w:val="single" w:sz="4" w:space="0" w:color="auto"/>
              <w:right w:val="single" w:sz="4" w:space="0" w:color="auto"/>
            </w:tcBorders>
            <w:shd w:val="clear" w:color="auto" w:fill="auto"/>
            <w:noWrap/>
            <w:vAlign w:val="bottom"/>
            <w:hideMark/>
          </w:tcPr>
          <w:p w:rsidR="00343D57" w:rsidRPr="003F284D" w:rsidRDefault="00343D57" w:rsidP="00B02020">
            <w:pPr>
              <w:jc w:val="right"/>
              <w:rPr>
                <w:rFonts w:ascii="Arial" w:hAnsi="Arial" w:cs="Arial"/>
                <w:sz w:val="18"/>
                <w:szCs w:val="18"/>
              </w:rPr>
            </w:pPr>
            <w:r w:rsidRPr="003F284D">
              <w:rPr>
                <w:rFonts w:ascii="Arial" w:hAnsi="Arial" w:cs="Arial"/>
                <w:sz w:val="18"/>
                <w:szCs w:val="18"/>
              </w:rPr>
              <w:t>0,00</w:t>
            </w:r>
          </w:p>
        </w:tc>
        <w:tc>
          <w:tcPr>
            <w:tcW w:w="1440" w:type="dxa"/>
            <w:tcBorders>
              <w:top w:val="nil"/>
              <w:left w:val="nil"/>
              <w:bottom w:val="single" w:sz="4" w:space="0" w:color="auto"/>
              <w:right w:val="single" w:sz="8" w:space="0" w:color="auto"/>
            </w:tcBorders>
            <w:shd w:val="clear" w:color="auto" w:fill="auto"/>
            <w:noWrap/>
            <w:vAlign w:val="bottom"/>
            <w:hideMark/>
          </w:tcPr>
          <w:p w:rsidR="00343D57" w:rsidRPr="003F284D" w:rsidRDefault="00343D57" w:rsidP="00B02020">
            <w:pPr>
              <w:jc w:val="right"/>
              <w:rPr>
                <w:rFonts w:ascii="Arial" w:hAnsi="Arial" w:cs="Arial"/>
                <w:sz w:val="18"/>
                <w:szCs w:val="18"/>
              </w:rPr>
            </w:pPr>
            <w:r w:rsidRPr="003F284D">
              <w:rPr>
                <w:rFonts w:ascii="Arial" w:hAnsi="Arial" w:cs="Arial"/>
                <w:sz w:val="18"/>
                <w:szCs w:val="18"/>
              </w:rPr>
              <w:t>0,00</w:t>
            </w:r>
          </w:p>
        </w:tc>
        <w:tc>
          <w:tcPr>
            <w:tcW w:w="999" w:type="dxa"/>
            <w:tcBorders>
              <w:top w:val="nil"/>
              <w:left w:val="nil"/>
              <w:bottom w:val="single" w:sz="4" w:space="0" w:color="auto"/>
              <w:right w:val="single" w:sz="4" w:space="0" w:color="auto"/>
            </w:tcBorders>
            <w:shd w:val="clear" w:color="auto" w:fill="auto"/>
            <w:noWrap/>
            <w:vAlign w:val="bottom"/>
            <w:hideMark/>
          </w:tcPr>
          <w:p w:rsidR="00343D57" w:rsidRPr="003F284D" w:rsidRDefault="00343D57" w:rsidP="00B02020">
            <w:pPr>
              <w:jc w:val="right"/>
              <w:rPr>
                <w:rFonts w:ascii="Arial" w:hAnsi="Arial" w:cs="Arial"/>
                <w:sz w:val="18"/>
                <w:szCs w:val="18"/>
              </w:rPr>
            </w:pPr>
            <w:r w:rsidRPr="003F284D">
              <w:rPr>
                <w:rFonts w:ascii="Arial" w:hAnsi="Arial" w:cs="Arial"/>
                <w:sz w:val="18"/>
                <w:szCs w:val="18"/>
              </w:rPr>
              <w:t>0,00</w:t>
            </w:r>
          </w:p>
        </w:tc>
        <w:tc>
          <w:tcPr>
            <w:tcW w:w="1321" w:type="dxa"/>
            <w:gridSpan w:val="2"/>
            <w:tcBorders>
              <w:top w:val="nil"/>
              <w:left w:val="nil"/>
              <w:bottom w:val="single" w:sz="4" w:space="0" w:color="auto"/>
              <w:right w:val="single" w:sz="8" w:space="0" w:color="auto"/>
            </w:tcBorders>
            <w:shd w:val="clear" w:color="auto" w:fill="auto"/>
            <w:noWrap/>
            <w:vAlign w:val="bottom"/>
            <w:hideMark/>
          </w:tcPr>
          <w:p w:rsidR="00343D57" w:rsidRPr="003F284D" w:rsidRDefault="00343D57" w:rsidP="00B02020">
            <w:pPr>
              <w:jc w:val="right"/>
              <w:rPr>
                <w:rFonts w:ascii="Arial" w:hAnsi="Arial" w:cs="Arial"/>
                <w:sz w:val="18"/>
                <w:szCs w:val="18"/>
              </w:rPr>
            </w:pPr>
            <w:r w:rsidRPr="003F284D">
              <w:rPr>
                <w:rFonts w:ascii="Arial" w:hAnsi="Arial" w:cs="Arial"/>
                <w:sz w:val="18"/>
                <w:szCs w:val="18"/>
              </w:rPr>
              <w:t>0,00</w:t>
            </w:r>
          </w:p>
        </w:tc>
      </w:tr>
      <w:tr w:rsidR="00343D57" w:rsidRPr="00B8465A" w:rsidTr="007A427E">
        <w:trPr>
          <w:trHeight w:val="276"/>
        </w:trPr>
        <w:tc>
          <w:tcPr>
            <w:tcW w:w="1300" w:type="dxa"/>
            <w:tcBorders>
              <w:top w:val="nil"/>
              <w:left w:val="single" w:sz="8" w:space="0" w:color="auto"/>
              <w:bottom w:val="single" w:sz="4" w:space="0" w:color="auto"/>
              <w:right w:val="nil"/>
            </w:tcBorders>
            <w:shd w:val="clear" w:color="auto" w:fill="auto"/>
            <w:noWrap/>
            <w:vAlign w:val="bottom"/>
            <w:hideMark/>
          </w:tcPr>
          <w:p w:rsidR="00343D57" w:rsidRPr="003F284D" w:rsidRDefault="00343D57" w:rsidP="00B02020">
            <w:pPr>
              <w:jc w:val="center"/>
              <w:rPr>
                <w:rFonts w:ascii="Arial" w:hAnsi="Arial" w:cs="Arial"/>
                <w:b/>
                <w:bCs/>
                <w:color w:val="000000"/>
                <w:sz w:val="18"/>
                <w:szCs w:val="18"/>
              </w:rPr>
            </w:pPr>
            <w:r w:rsidRPr="003F284D">
              <w:rPr>
                <w:rFonts w:ascii="Arial" w:hAnsi="Arial" w:cs="Arial"/>
                <w:b/>
                <w:bCs/>
                <w:color w:val="000000"/>
                <w:sz w:val="18"/>
                <w:szCs w:val="18"/>
              </w:rPr>
              <w:t>2</w:t>
            </w:r>
          </w:p>
        </w:tc>
        <w:tc>
          <w:tcPr>
            <w:tcW w:w="1660" w:type="dxa"/>
            <w:tcBorders>
              <w:top w:val="nil"/>
              <w:left w:val="single" w:sz="8" w:space="0" w:color="auto"/>
              <w:bottom w:val="single" w:sz="4" w:space="0" w:color="auto"/>
              <w:right w:val="single" w:sz="4" w:space="0" w:color="auto"/>
            </w:tcBorders>
            <w:shd w:val="clear" w:color="auto" w:fill="auto"/>
            <w:noWrap/>
            <w:vAlign w:val="bottom"/>
            <w:hideMark/>
          </w:tcPr>
          <w:p w:rsidR="00343D57" w:rsidRPr="003F284D" w:rsidRDefault="00343D57" w:rsidP="00B02020">
            <w:pPr>
              <w:jc w:val="right"/>
              <w:rPr>
                <w:rFonts w:ascii="Arial" w:hAnsi="Arial" w:cs="Arial"/>
                <w:sz w:val="18"/>
                <w:szCs w:val="18"/>
              </w:rPr>
            </w:pPr>
            <w:r w:rsidRPr="003F284D">
              <w:rPr>
                <w:rFonts w:ascii="Arial" w:hAnsi="Arial" w:cs="Arial"/>
                <w:sz w:val="18"/>
                <w:szCs w:val="18"/>
              </w:rPr>
              <w:t>1 829 644,96</w:t>
            </w:r>
          </w:p>
        </w:tc>
        <w:tc>
          <w:tcPr>
            <w:tcW w:w="1720" w:type="dxa"/>
            <w:tcBorders>
              <w:top w:val="nil"/>
              <w:left w:val="nil"/>
              <w:bottom w:val="single" w:sz="4" w:space="0" w:color="auto"/>
              <w:right w:val="single" w:sz="8" w:space="0" w:color="auto"/>
            </w:tcBorders>
            <w:shd w:val="clear" w:color="auto" w:fill="auto"/>
            <w:noWrap/>
            <w:vAlign w:val="bottom"/>
            <w:hideMark/>
          </w:tcPr>
          <w:p w:rsidR="00343D57" w:rsidRPr="003F284D" w:rsidRDefault="00343D57" w:rsidP="00B02020">
            <w:pPr>
              <w:jc w:val="right"/>
              <w:rPr>
                <w:rFonts w:ascii="Arial" w:hAnsi="Arial" w:cs="Arial"/>
                <w:sz w:val="18"/>
                <w:szCs w:val="18"/>
              </w:rPr>
            </w:pPr>
            <w:r w:rsidRPr="003F284D">
              <w:rPr>
                <w:rFonts w:ascii="Arial" w:hAnsi="Arial" w:cs="Arial"/>
                <w:sz w:val="18"/>
                <w:szCs w:val="18"/>
              </w:rPr>
              <w:t>2 152 523,54</w:t>
            </w:r>
          </w:p>
        </w:tc>
        <w:tc>
          <w:tcPr>
            <w:tcW w:w="1260" w:type="dxa"/>
            <w:tcBorders>
              <w:top w:val="nil"/>
              <w:left w:val="nil"/>
              <w:bottom w:val="single" w:sz="4" w:space="0" w:color="auto"/>
              <w:right w:val="single" w:sz="4" w:space="0" w:color="auto"/>
            </w:tcBorders>
            <w:shd w:val="clear" w:color="auto" w:fill="auto"/>
            <w:noWrap/>
            <w:vAlign w:val="bottom"/>
            <w:hideMark/>
          </w:tcPr>
          <w:p w:rsidR="00343D57" w:rsidRPr="003F284D" w:rsidRDefault="00343D57" w:rsidP="00B02020">
            <w:pPr>
              <w:jc w:val="right"/>
              <w:rPr>
                <w:rFonts w:ascii="Arial" w:hAnsi="Arial" w:cs="Arial"/>
                <w:sz w:val="18"/>
                <w:szCs w:val="18"/>
              </w:rPr>
            </w:pPr>
            <w:r w:rsidRPr="003F284D">
              <w:rPr>
                <w:rFonts w:ascii="Arial" w:hAnsi="Arial" w:cs="Arial"/>
                <w:sz w:val="18"/>
                <w:szCs w:val="18"/>
              </w:rPr>
              <w:t>2 415,70</w:t>
            </w:r>
          </w:p>
        </w:tc>
        <w:tc>
          <w:tcPr>
            <w:tcW w:w="1440" w:type="dxa"/>
            <w:tcBorders>
              <w:top w:val="nil"/>
              <w:left w:val="nil"/>
              <w:bottom w:val="single" w:sz="4" w:space="0" w:color="auto"/>
              <w:right w:val="single" w:sz="8" w:space="0" w:color="auto"/>
            </w:tcBorders>
            <w:shd w:val="clear" w:color="auto" w:fill="auto"/>
            <w:noWrap/>
            <w:vAlign w:val="bottom"/>
            <w:hideMark/>
          </w:tcPr>
          <w:p w:rsidR="00343D57" w:rsidRPr="003F284D" w:rsidRDefault="00343D57" w:rsidP="00B02020">
            <w:pPr>
              <w:jc w:val="right"/>
              <w:rPr>
                <w:rFonts w:ascii="Arial" w:hAnsi="Arial" w:cs="Arial"/>
                <w:sz w:val="18"/>
                <w:szCs w:val="18"/>
              </w:rPr>
            </w:pPr>
            <w:r w:rsidRPr="003F284D">
              <w:rPr>
                <w:rFonts w:ascii="Arial" w:hAnsi="Arial" w:cs="Arial"/>
                <w:sz w:val="18"/>
                <w:szCs w:val="18"/>
              </w:rPr>
              <w:t>2 842,00</w:t>
            </w:r>
          </w:p>
        </w:tc>
        <w:tc>
          <w:tcPr>
            <w:tcW w:w="999" w:type="dxa"/>
            <w:tcBorders>
              <w:top w:val="nil"/>
              <w:left w:val="nil"/>
              <w:bottom w:val="single" w:sz="4" w:space="0" w:color="auto"/>
              <w:right w:val="single" w:sz="4" w:space="0" w:color="auto"/>
            </w:tcBorders>
            <w:shd w:val="clear" w:color="auto" w:fill="auto"/>
            <w:noWrap/>
            <w:vAlign w:val="bottom"/>
            <w:hideMark/>
          </w:tcPr>
          <w:p w:rsidR="00343D57" w:rsidRPr="003F284D" w:rsidRDefault="00343D57" w:rsidP="00B02020">
            <w:pPr>
              <w:jc w:val="right"/>
              <w:rPr>
                <w:rFonts w:ascii="Arial" w:hAnsi="Arial" w:cs="Arial"/>
                <w:sz w:val="18"/>
                <w:szCs w:val="18"/>
              </w:rPr>
            </w:pPr>
            <w:r w:rsidRPr="003F284D">
              <w:rPr>
                <w:rFonts w:ascii="Arial" w:hAnsi="Arial" w:cs="Arial"/>
                <w:sz w:val="18"/>
                <w:szCs w:val="18"/>
              </w:rPr>
              <w:t>0,00</w:t>
            </w:r>
          </w:p>
        </w:tc>
        <w:tc>
          <w:tcPr>
            <w:tcW w:w="1321" w:type="dxa"/>
            <w:gridSpan w:val="2"/>
            <w:tcBorders>
              <w:top w:val="nil"/>
              <w:left w:val="nil"/>
              <w:bottom w:val="single" w:sz="4" w:space="0" w:color="auto"/>
              <w:right w:val="single" w:sz="8" w:space="0" w:color="auto"/>
            </w:tcBorders>
            <w:shd w:val="clear" w:color="auto" w:fill="auto"/>
            <w:noWrap/>
            <w:vAlign w:val="bottom"/>
            <w:hideMark/>
          </w:tcPr>
          <w:p w:rsidR="00343D57" w:rsidRPr="003F284D" w:rsidRDefault="00343D57" w:rsidP="00B02020">
            <w:pPr>
              <w:jc w:val="right"/>
              <w:rPr>
                <w:rFonts w:ascii="Arial" w:hAnsi="Arial" w:cs="Arial"/>
                <w:sz w:val="18"/>
                <w:szCs w:val="18"/>
              </w:rPr>
            </w:pPr>
            <w:r w:rsidRPr="003F284D">
              <w:rPr>
                <w:rFonts w:ascii="Arial" w:hAnsi="Arial" w:cs="Arial"/>
                <w:sz w:val="18"/>
                <w:szCs w:val="18"/>
              </w:rPr>
              <w:t>0,00</w:t>
            </w:r>
          </w:p>
        </w:tc>
      </w:tr>
      <w:tr w:rsidR="00343D57" w:rsidRPr="00B8465A" w:rsidTr="007A427E">
        <w:trPr>
          <w:trHeight w:val="276"/>
        </w:trPr>
        <w:tc>
          <w:tcPr>
            <w:tcW w:w="1300" w:type="dxa"/>
            <w:tcBorders>
              <w:top w:val="nil"/>
              <w:left w:val="single" w:sz="8" w:space="0" w:color="auto"/>
              <w:bottom w:val="single" w:sz="4" w:space="0" w:color="auto"/>
              <w:right w:val="nil"/>
            </w:tcBorders>
            <w:shd w:val="clear" w:color="auto" w:fill="auto"/>
            <w:noWrap/>
            <w:vAlign w:val="bottom"/>
            <w:hideMark/>
          </w:tcPr>
          <w:p w:rsidR="00343D57" w:rsidRPr="003F284D" w:rsidRDefault="00343D57" w:rsidP="00B02020">
            <w:pPr>
              <w:jc w:val="center"/>
              <w:rPr>
                <w:rFonts w:ascii="Arial" w:hAnsi="Arial" w:cs="Arial"/>
                <w:b/>
                <w:bCs/>
                <w:color w:val="000000"/>
                <w:sz w:val="18"/>
                <w:szCs w:val="18"/>
              </w:rPr>
            </w:pPr>
            <w:r w:rsidRPr="003F284D">
              <w:rPr>
                <w:rFonts w:ascii="Arial" w:hAnsi="Arial" w:cs="Arial"/>
                <w:b/>
                <w:bCs/>
                <w:color w:val="000000"/>
                <w:sz w:val="18"/>
                <w:szCs w:val="18"/>
              </w:rPr>
              <w:t>3</w:t>
            </w:r>
          </w:p>
        </w:tc>
        <w:tc>
          <w:tcPr>
            <w:tcW w:w="1660" w:type="dxa"/>
            <w:tcBorders>
              <w:top w:val="nil"/>
              <w:left w:val="single" w:sz="8" w:space="0" w:color="auto"/>
              <w:bottom w:val="single" w:sz="4" w:space="0" w:color="auto"/>
              <w:right w:val="single" w:sz="4" w:space="0" w:color="auto"/>
            </w:tcBorders>
            <w:shd w:val="clear" w:color="auto" w:fill="auto"/>
            <w:noWrap/>
            <w:vAlign w:val="bottom"/>
            <w:hideMark/>
          </w:tcPr>
          <w:p w:rsidR="00343D57" w:rsidRPr="003F284D" w:rsidRDefault="00343D57" w:rsidP="00B02020">
            <w:pPr>
              <w:jc w:val="right"/>
              <w:rPr>
                <w:rFonts w:ascii="Arial" w:hAnsi="Arial" w:cs="Arial"/>
                <w:sz w:val="18"/>
                <w:szCs w:val="18"/>
              </w:rPr>
            </w:pPr>
            <w:r w:rsidRPr="003F284D">
              <w:rPr>
                <w:rFonts w:ascii="Arial" w:hAnsi="Arial" w:cs="Arial"/>
                <w:sz w:val="18"/>
                <w:szCs w:val="18"/>
              </w:rPr>
              <w:t>7 246 255,70</w:t>
            </w:r>
          </w:p>
        </w:tc>
        <w:tc>
          <w:tcPr>
            <w:tcW w:w="1720" w:type="dxa"/>
            <w:tcBorders>
              <w:top w:val="nil"/>
              <w:left w:val="nil"/>
              <w:bottom w:val="single" w:sz="4" w:space="0" w:color="auto"/>
              <w:right w:val="single" w:sz="8" w:space="0" w:color="auto"/>
            </w:tcBorders>
            <w:shd w:val="clear" w:color="auto" w:fill="auto"/>
            <w:noWrap/>
            <w:vAlign w:val="bottom"/>
            <w:hideMark/>
          </w:tcPr>
          <w:p w:rsidR="00343D57" w:rsidRPr="003F284D" w:rsidRDefault="00343D57" w:rsidP="00B02020">
            <w:pPr>
              <w:jc w:val="right"/>
              <w:rPr>
                <w:rFonts w:ascii="Arial" w:hAnsi="Arial" w:cs="Arial"/>
                <w:sz w:val="18"/>
                <w:szCs w:val="18"/>
              </w:rPr>
            </w:pPr>
            <w:r w:rsidRPr="003F284D">
              <w:rPr>
                <w:rFonts w:ascii="Arial" w:hAnsi="Arial" w:cs="Arial"/>
                <w:sz w:val="18"/>
                <w:szCs w:val="18"/>
              </w:rPr>
              <w:t>8 525 006,76</w:t>
            </w:r>
          </w:p>
        </w:tc>
        <w:tc>
          <w:tcPr>
            <w:tcW w:w="1260" w:type="dxa"/>
            <w:tcBorders>
              <w:top w:val="nil"/>
              <w:left w:val="nil"/>
              <w:bottom w:val="single" w:sz="4" w:space="0" w:color="auto"/>
              <w:right w:val="single" w:sz="4" w:space="0" w:color="auto"/>
            </w:tcBorders>
            <w:shd w:val="clear" w:color="auto" w:fill="auto"/>
            <w:noWrap/>
            <w:vAlign w:val="bottom"/>
            <w:hideMark/>
          </w:tcPr>
          <w:p w:rsidR="00343D57" w:rsidRPr="003F284D" w:rsidRDefault="00343D57" w:rsidP="00B02020">
            <w:pPr>
              <w:jc w:val="right"/>
              <w:rPr>
                <w:rFonts w:ascii="Arial" w:hAnsi="Arial" w:cs="Arial"/>
                <w:sz w:val="18"/>
                <w:szCs w:val="18"/>
              </w:rPr>
            </w:pPr>
            <w:r w:rsidRPr="003F284D">
              <w:rPr>
                <w:rFonts w:ascii="Arial" w:hAnsi="Arial" w:cs="Arial"/>
                <w:sz w:val="18"/>
                <w:szCs w:val="18"/>
              </w:rPr>
              <w:t>0,00</w:t>
            </w:r>
          </w:p>
        </w:tc>
        <w:tc>
          <w:tcPr>
            <w:tcW w:w="1440" w:type="dxa"/>
            <w:tcBorders>
              <w:top w:val="nil"/>
              <w:left w:val="nil"/>
              <w:bottom w:val="single" w:sz="4" w:space="0" w:color="auto"/>
              <w:right w:val="single" w:sz="8" w:space="0" w:color="auto"/>
            </w:tcBorders>
            <w:shd w:val="clear" w:color="auto" w:fill="auto"/>
            <w:noWrap/>
            <w:vAlign w:val="bottom"/>
            <w:hideMark/>
          </w:tcPr>
          <w:p w:rsidR="00343D57" w:rsidRPr="003F284D" w:rsidRDefault="00343D57" w:rsidP="00B02020">
            <w:pPr>
              <w:jc w:val="right"/>
              <w:rPr>
                <w:rFonts w:ascii="Arial" w:hAnsi="Arial" w:cs="Arial"/>
                <w:sz w:val="18"/>
                <w:szCs w:val="18"/>
              </w:rPr>
            </w:pPr>
            <w:r w:rsidRPr="003F284D">
              <w:rPr>
                <w:rFonts w:ascii="Arial" w:hAnsi="Arial" w:cs="Arial"/>
                <w:sz w:val="18"/>
                <w:szCs w:val="18"/>
              </w:rPr>
              <w:t>0,00</w:t>
            </w:r>
          </w:p>
        </w:tc>
        <w:tc>
          <w:tcPr>
            <w:tcW w:w="999" w:type="dxa"/>
            <w:tcBorders>
              <w:top w:val="nil"/>
              <w:left w:val="nil"/>
              <w:bottom w:val="single" w:sz="4" w:space="0" w:color="auto"/>
              <w:right w:val="single" w:sz="4" w:space="0" w:color="auto"/>
            </w:tcBorders>
            <w:shd w:val="clear" w:color="auto" w:fill="auto"/>
            <w:noWrap/>
            <w:vAlign w:val="bottom"/>
            <w:hideMark/>
          </w:tcPr>
          <w:p w:rsidR="00343D57" w:rsidRPr="003F284D" w:rsidRDefault="00343D57" w:rsidP="00B02020">
            <w:pPr>
              <w:jc w:val="right"/>
              <w:rPr>
                <w:rFonts w:ascii="Arial" w:hAnsi="Arial" w:cs="Arial"/>
                <w:sz w:val="18"/>
                <w:szCs w:val="18"/>
              </w:rPr>
            </w:pPr>
            <w:r w:rsidRPr="003F284D">
              <w:rPr>
                <w:rFonts w:ascii="Arial" w:hAnsi="Arial" w:cs="Arial"/>
                <w:sz w:val="18"/>
                <w:szCs w:val="18"/>
              </w:rPr>
              <w:t>0,00</w:t>
            </w:r>
          </w:p>
        </w:tc>
        <w:tc>
          <w:tcPr>
            <w:tcW w:w="1321" w:type="dxa"/>
            <w:gridSpan w:val="2"/>
            <w:tcBorders>
              <w:top w:val="nil"/>
              <w:left w:val="nil"/>
              <w:bottom w:val="single" w:sz="4" w:space="0" w:color="auto"/>
              <w:right w:val="single" w:sz="8" w:space="0" w:color="auto"/>
            </w:tcBorders>
            <w:shd w:val="clear" w:color="auto" w:fill="auto"/>
            <w:noWrap/>
            <w:vAlign w:val="bottom"/>
            <w:hideMark/>
          </w:tcPr>
          <w:p w:rsidR="00343D57" w:rsidRPr="003F284D" w:rsidRDefault="00343D57" w:rsidP="00B02020">
            <w:pPr>
              <w:jc w:val="right"/>
              <w:rPr>
                <w:rFonts w:ascii="Arial" w:hAnsi="Arial" w:cs="Arial"/>
                <w:sz w:val="18"/>
                <w:szCs w:val="18"/>
              </w:rPr>
            </w:pPr>
            <w:r w:rsidRPr="003F284D">
              <w:rPr>
                <w:rFonts w:ascii="Arial" w:hAnsi="Arial" w:cs="Arial"/>
                <w:sz w:val="18"/>
                <w:szCs w:val="18"/>
              </w:rPr>
              <w:t>0,00</w:t>
            </w:r>
          </w:p>
        </w:tc>
      </w:tr>
      <w:tr w:rsidR="00343D57" w:rsidRPr="00B8465A" w:rsidTr="007A427E">
        <w:trPr>
          <w:trHeight w:val="276"/>
        </w:trPr>
        <w:tc>
          <w:tcPr>
            <w:tcW w:w="1300" w:type="dxa"/>
            <w:tcBorders>
              <w:top w:val="nil"/>
              <w:left w:val="single" w:sz="8" w:space="0" w:color="auto"/>
              <w:bottom w:val="single" w:sz="4" w:space="0" w:color="auto"/>
              <w:right w:val="nil"/>
            </w:tcBorders>
            <w:shd w:val="clear" w:color="auto" w:fill="auto"/>
            <w:noWrap/>
            <w:vAlign w:val="bottom"/>
            <w:hideMark/>
          </w:tcPr>
          <w:p w:rsidR="00343D57" w:rsidRPr="003F284D" w:rsidRDefault="00343D57" w:rsidP="00B02020">
            <w:pPr>
              <w:jc w:val="center"/>
              <w:rPr>
                <w:rFonts w:ascii="Arial" w:hAnsi="Arial" w:cs="Arial"/>
                <w:b/>
                <w:bCs/>
                <w:color w:val="000000"/>
                <w:sz w:val="18"/>
                <w:szCs w:val="18"/>
              </w:rPr>
            </w:pPr>
            <w:r w:rsidRPr="003F284D">
              <w:rPr>
                <w:rFonts w:ascii="Arial" w:hAnsi="Arial" w:cs="Arial"/>
                <w:b/>
                <w:bCs/>
                <w:color w:val="000000"/>
                <w:sz w:val="18"/>
                <w:szCs w:val="18"/>
              </w:rPr>
              <w:t>4</w:t>
            </w:r>
          </w:p>
        </w:tc>
        <w:tc>
          <w:tcPr>
            <w:tcW w:w="1660" w:type="dxa"/>
            <w:tcBorders>
              <w:top w:val="nil"/>
              <w:left w:val="single" w:sz="8" w:space="0" w:color="auto"/>
              <w:bottom w:val="single" w:sz="4" w:space="0" w:color="auto"/>
              <w:right w:val="single" w:sz="4" w:space="0" w:color="auto"/>
            </w:tcBorders>
            <w:shd w:val="clear" w:color="auto" w:fill="auto"/>
            <w:noWrap/>
            <w:vAlign w:val="bottom"/>
            <w:hideMark/>
          </w:tcPr>
          <w:p w:rsidR="00343D57" w:rsidRPr="003F284D" w:rsidRDefault="00343D57" w:rsidP="00B02020">
            <w:pPr>
              <w:jc w:val="right"/>
              <w:rPr>
                <w:rFonts w:ascii="Arial" w:hAnsi="Arial" w:cs="Arial"/>
                <w:sz w:val="18"/>
                <w:szCs w:val="18"/>
              </w:rPr>
            </w:pPr>
            <w:r w:rsidRPr="003F284D">
              <w:rPr>
                <w:rFonts w:ascii="Arial" w:hAnsi="Arial" w:cs="Arial"/>
                <w:sz w:val="18"/>
                <w:szCs w:val="18"/>
              </w:rPr>
              <w:t>9 479 522,49</w:t>
            </w:r>
          </w:p>
        </w:tc>
        <w:tc>
          <w:tcPr>
            <w:tcW w:w="1720" w:type="dxa"/>
            <w:tcBorders>
              <w:top w:val="nil"/>
              <w:left w:val="nil"/>
              <w:bottom w:val="single" w:sz="4" w:space="0" w:color="auto"/>
              <w:right w:val="single" w:sz="8" w:space="0" w:color="auto"/>
            </w:tcBorders>
            <w:shd w:val="clear" w:color="auto" w:fill="auto"/>
            <w:noWrap/>
            <w:vAlign w:val="bottom"/>
            <w:hideMark/>
          </w:tcPr>
          <w:p w:rsidR="00343D57" w:rsidRPr="003F284D" w:rsidRDefault="00343D57" w:rsidP="00B02020">
            <w:pPr>
              <w:jc w:val="right"/>
              <w:rPr>
                <w:rFonts w:ascii="Arial" w:hAnsi="Arial" w:cs="Arial"/>
                <w:sz w:val="18"/>
                <w:szCs w:val="18"/>
              </w:rPr>
            </w:pPr>
            <w:r w:rsidRPr="003F284D">
              <w:rPr>
                <w:rFonts w:ascii="Arial" w:hAnsi="Arial" w:cs="Arial"/>
                <w:sz w:val="18"/>
                <w:szCs w:val="18"/>
              </w:rPr>
              <w:t>11 152 379,54</w:t>
            </w:r>
          </w:p>
        </w:tc>
        <w:tc>
          <w:tcPr>
            <w:tcW w:w="1260" w:type="dxa"/>
            <w:tcBorders>
              <w:top w:val="nil"/>
              <w:left w:val="nil"/>
              <w:bottom w:val="single" w:sz="4" w:space="0" w:color="auto"/>
              <w:right w:val="single" w:sz="4" w:space="0" w:color="auto"/>
            </w:tcBorders>
            <w:shd w:val="clear" w:color="auto" w:fill="auto"/>
            <w:noWrap/>
            <w:vAlign w:val="bottom"/>
            <w:hideMark/>
          </w:tcPr>
          <w:p w:rsidR="00343D57" w:rsidRPr="003F284D" w:rsidRDefault="00343D57" w:rsidP="00B02020">
            <w:pPr>
              <w:jc w:val="right"/>
              <w:rPr>
                <w:rFonts w:ascii="Arial" w:hAnsi="Arial" w:cs="Arial"/>
                <w:sz w:val="18"/>
                <w:szCs w:val="18"/>
              </w:rPr>
            </w:pPr>
            <w:r w:rsidRPr="003F284D">
              <w:rPr>
                <w:rFonts w:ascii="Arial" w:hAnsi="Arial" w:cs="Arial"/>
                <w:sz w:val="18"/>
                <w:szCs w:val="18"/>
              </w:rPr>
              <w:t>166 726,25</w:t>
            </w:r>
          </w:p>
        </w:tc>
        <w:tc>
          <w:tcPr>
            <w:tcW w:w="1440" w:type="dxa"/>
            <w:tcBorders>
              <w:top w:val="nil"/>
              <w:left w:val="nil"/>
              <w:bottom w:val="single" w:sz="4" w:space="0" w:color="auto"/>
              <w:right w:val="single" w:sz="8" w:space="0" w:color="auto"/>
            </w:tcBorders>
            <w:shd w:val="clear" w:color="auto" w:fill="auto"/>
            <w:noWrap/>
            <w:vAlign w:val="bottom"/>
            <w:hideMark/>
          </w:tcPr>
          <w:p w:rsidR="00343D57" w:rsidRPr="003F284D" w:rsidRDefault="00343D57" w:rsidP="00B02020">
            <w:pPr>
              <w:jc w:val="right"/>
              <w:rPr>
                <w:rFonts w:ascii="Arial" w:hAnsi="Arial" w:cs="Arial"/>
                <w:sz w:val="18"/>
                <w:szCs w:val="18"/>
              </w:rPr>
            </w:pPr>
            <w:r w:rsidRPr="003F284D">
              <w:rPr>
                <w:rFonts w:ascii="Arial" w:hAnsi="Arial" w:cs="Arial"/>
                <w:sz w:val="18"/>
                <w:szCs w:val="18"/>
              </w:rPr>
              <w:t>196 148,52</w:t>
            </w:r>
          </w:p>
        </w:tc>
        <w:tc>
          <w:tcPr>
            <w:tcW w:w="999" w:type="dxa"/>
            <w:tcBorders>
              <w:top w:val="nil"/>
              <w:left w:val="nil"/>
              <w:bottom w:val="single" w:sz="4" w:space="0" w:color="auto"/>
              <w:right w:val="single" w:sz="4" w:space="0" w:color="auto"/>
            </w:tcBorders>
            <w:shd w:val="clear" w:color="auto" w:fill="auto"/>
            <w:noWrap/>
            <w:vAlign w:val="bottom"/>
            <w:hideMark/>
          </w:tcPr>
          <w:p w:rsidR="00343D57" w:rsidRPr="003F284D" w:rsidRDefault="00343D57" w:rsidP="00B02020">
            <w:pPr>
              <w:jc w:val="right"/>
              <w:rPr>
                <w:rFonts w:ascii="Arial" w:hAnsi="Arial" w:cs="Arial"/>
                <w:sz w:val="18"/>
                <w:szCs w:val="18"/>
              </w:rPr>
            </w:pPr>
            <w:r w:rsidRPr="003F284D">
              <w:rPr>
                <w:rFonts w:ascii="Arial" w:hAnsi="Arial" w:cs="Arial"/>
                <w:sz w:val="18"/>
                <w:szCs w:val="18"/>
              </w:rPr>
              <w:t>0,00</w:t>
            </w:r>
          </w:p>
        </w:tc>
        <w:tc>
          <w:tcPr>
            <w:tcW w:w="1321" w:type="dxa"/>
            <w:gridSpan w:val="2"/>
            <w:tcBorders>
              <w:top w:val="nil"/>
              <w:left w:val="nil"/>
              <w:bottom w:val="single" w:sz="4" w:space="0" w:color="auto"/>
              <w:right w:val="single" w:sz="8" w:space="0" w:color="auto"/>
            </w:tcBorders>
            <w:shd w:val="clear" w:color="auto" w:fill="auto"/>
            <w:noWrap/>
            <w:vAlign w:val="bottom"/>
            <w:hideMark/>
          </w:tcPr>
          <w:p w:rsidR="00343D57" w:rsidRPr="003F284D" w:rsidRDefault="00343D57" w:rsidP="00B02020">
            <w:pPr>
              <w:jc w:val="right"/>
              <w:rPr>
                <w:rFonts w:ascii="Arial" w:hAnsi="Arial" w:cs="Arial"/>
                <w:sz w:val="18"/>
                <w:szCs w:val="18"/>
              </w:rPr>
            </w:pPr>
            <w:r w:rsidRPr="003F284D">
              <w:rPr>
                <w:rFonts w:ascii="Arial" w:hAnsi="Arial" w:cs="Arial"/>
                <w:sz w:val="18"/>
                <w:szCs w:val="18"/>
              </w:rPr>
              <w:t>0,00</w:t>
            </w:r>
          </w:p>
        </w:tc>
      </w:tr>
      <w:tr w:rsidR="00343D57" w:rsidRPr="00B8465A" w:rsidTr="007A427E">
        <w:trPr>
          <w:trHeight w:val="276"/>
        </w:trPr>
        <w:tc>
          <w:tcPr>
            <w:tcW w:w="1300" w:type="dxa"/>
            <w:tcBorders>
              <w:top w:val="nil"/>
              <w:left w:val="single" w:sz="8" w:space="0" w:color="auto"/>
              <w:bottom w:val="single" w:sz="4" w:space="0" w:color="auto"/>
              <w:right w:val="nil"/>
            </w:tcBorders>
            <w:shd w:val="clear" w:color="auto" w:fill="auto"/>
            <w:noWrap/>
            <w:vAlign w:val="bottom"/>
            <w:hideMark/>
          </w:tcPr>
          <w:p w:rsidR="00343D57" w:rsidRPr="003F284D" w:rsidRDefault="00343D57" w:rsidP="00B02020">
            <w:pPr>
              <w:jc w:val="center"/>
              <w:rPr>
                <w:rFonts w:ascii="Arial" w:hAnsi="Arial" w:cs="Arial"/>
                <w:b/>
                <w:bCs/>
                <w:color w:val="000000"/>
                <w:sz w:val="18"/>
                <w:szCs w:val="18"/>
              </w:rPr>
            </w:pPr>
            <w:r w:rsidRPr="003F284D">
              <w:rPr>
                <w:rFonts w:ascii="Arial" w:hAnsi="Arial" w:cs="Arial"/>
                <w:b/>
                <w:bCs/>
                <w:color w:val="000000"/>
                <w:sz w:val="18"/>
                <w:szCs w:val="18"/>
              </w:rPr>
              <w:t>5</w:t>
            </w:r>
          </w:p>
        </w:tc>
        <w:tc>
          <w:tcPr>
            <w:tcW w:w="1660" w:type="dxa"/>
            <w:tcBorders>
              <w:top w:val="nil"/>
              <w:left w:val="single" w:sz="8" w:space="0" w:color="auto"/>
              <w:bottom w:val="single" w:sz="4" w:space="0" w:color="auto"/>
              <w:right w:val="single" w:sz="4" w:space="0" w:color="auto"/>
            </w:tcBorders>
            <w:shd w:val="clear" w:color="auto" w:fill="auto"/>
            <w:noWrap/>
            <w:vAlign w:val="bottom"/>
            <w:hideMark/>
          </w:tcPr>
          <w:p w:rsidR="00343D57" w:rsidRPr="003F284D" w:rsidRDefault="00343D57" w:rsidP="00B02020">
            <w:pPr>
              <w:jc w:val="right"/>
              <w:rPr>
                <w:rFonts w:ascii="Arial" w:hAnsi="Arial" w:cs="Arial"/>
                <w:sz w:val="18"/>
                <w:szCs w:val="18"/>
              </w:rPr>
            </w:pPr>
            <w:r w:rsidRPr="003F284D">
              <w:rPr>
                <w:rFonts w:ascii="Arial" w:hAnsi="Arial" w:cs="Arial"/>
                <w:sz w:val="18"/>
                <w:szCs w:val="18"/>
              </w:rPr>
              <w:t>614 664,48</w:t>
            </w:r>
          </w:p>
        </w:tc>
        <w:tc>
          <w:tcPr>
            <w:tcW w:w="1720" w:type="dxa"/>
            <w:tcBorders>
              <w:top w:val="nil"/>
              <w:left w:val="nil"/>
              <w:bottom w:val="single" w:sz="4" w:space="0" w:color="auto"/>
              <w:right w:val="single" w:sz="8" w:space="0" w:color="auto"/>
            </w:tcBorders>
            <w:shd w:val="clear" w:color="auto" w:fill="auto"/>
            <w:noWrap/>
            <w:vAlign w:val="bottom"/>
            <w:hideMark/>
          </w:tcPr>
          <w:p w:rsidR="00343D57" w:rsidRPr="003F284D" w:rsidRDefault="00343D57" w:rsidP="00B02020">
            <w:pPr>
              <w:jc w:val="right"/>
              <w:rPr>
                <w:rFonts w:ascii="Arial" w:hAnsi="Arial" w:cs="Arial"/>
                <w:sz w:val="18"/>
                <w:szCs w:val="18"/>
              </w:rPr>
            </w:pPr>
            <w:r w:rsidRPr="003F284D">
              <w:rPr>
                <w:rFonts w:ascii="Arial" w:hAnsi="Arial" w:cs="Arial"/>
                <w:sz w:val="18"/>
                <w:szCs w:val="18"/>
              </w:rPr>
              <w:t>723 134,70</w:t>
            </w:r>
          </w:p>
        </w:tc>
        <w:tc>
          <w:tcPr>
            <w:tcW w:w="1260" w:type="dxa"/>
            <w:tcBorders>
              <w:top w:val="nil"/>
              <w:left w:val="nil"/>
              <w:bottom w:val="single" w:sz="4" w:space="0" w:color="auto"/>
              <w:right w:val="single" w:sz="4" w:space="0" w:color="auto"/>
            </w:tcBorders>
            <w:shd w:val="clear" w:color="auto" w:fill="auto"/>
            <w:noWrap/>
            <w:vAlign w:val="bottom"/>
            <w:hideMark/>
          </w:tcPr>
          <w:p w:rsidR="00343D57" w:rsidRPr="003F284D" w:rsidRDefault="00343D57" w:rsidP="00B02020">
            <w:pPr>
              <w:jc w:val="right"/>
              <w:rPr>
                <w:rFonts w:ascii="Arial" w:hAnsi="Arial" w:cs="Arial"/>
                <w:sz w:val="18"/>
                <w:szCs w:val="18"/>
              </w:rPr>
            </w:pPr>
            <w:r w:rsidRPr="003F284D">
              <w:rPr>
                <w:rFonts w:ascii="Arial" w:hAnsi="Arial" w:cs="Arial"/>
                <w:sz w:val="18"/>
                <w:szCs w:val="18"/>
              </w:rPr>
              <w:t>0,00</w:t>
            </w:r>
          </w:p>
        </w:tc>
        <w:tc>
          <w:tcPr>
            <w:tcW w:w="1440" w:type="dxa"/>
            <w:tcBorders>
              <w:top w:val="nil"/>
              <w:left w:val="nil"/>
              <w:bottom w:val="single" w:sz="4" w:space="0" w:color="auto"/>
              <w:right w:val="single" w:sz="8" w:space="0" w:color="auto"/>
            </w:tcBorders>
            <w:shd w:val="clear" w:color="auto" w:fill="auto"/>
            <w:noWrap/>
            <w:vAlign w:val="bottom"/>
            <w:hideMark/>
          </w:tcPr>
          <w:p w:rsidR="00343D57" w:rsidRPr="003F284D" w:rsidRDefault="00343D57" w:rsidP="00B02020">
            <w:pPr>
              <w:jc w:val="right"/>
              <w:rPr>
                <w:rFonts w:ascii="Arial" w:hAnsi="Arial" w:cs="Arial"/>
                <w:sz w:val="18"/>
                <w:szCs w:val="18"/>
              </w:rPr>
            </w:pPr>
            <w:r w:rsidRPr="003F284D">
              <w:rPr>
                <w:rFonts w:ascii="Arial" w:hAnsi="Arial" w:cs="Arial"/>
                <w:sz w:val="18"/>
                <w:szCs w:val="18"/>
              </w:rPr>
              <w:t>0,00</w:t>
            </w:r>
          </w:p>
        </w:tc>
        <w:tc>
          <w:tcPr>
            <w:tcW w:w="999" w:type="dxa"/>
            <w:tcBorders>
              <w:top w:val="nil"/>
              <w:left w:val="nil"/>
              <w:bottom w:val="single" w:sz="4" w:space="0" w:color="auto"/>
              <w:right w:val="single" w:sz="4" w:space="0" w:color="auto"/>
            </w:tcBorders>
            <w:shd w:val="clear" w:color="auto" w:fill="auto"/>
            <w:noWrap/>
            <w:vAlign w:val="bottom"/>
            <w:hideMark/>
          </w:tcPr>
          <w:p w:rsidR="00343D57" w:rsidRPr="003F284D" w:rsidRDefault="00343D57" w:rsidP="00B02020">
            <w:pPr>
              <w:jc w:val="right"/>
              <w:rPr>
                <w:rFonts w:ascii="Arial" w:hAnsi="Arial" w:cs="Arial"/>
                <w:sz w:val="18"/>
                <w:szCs w:val="18"/>
              </w:rPr>
            </w:pPr>
            <w:r w:rsidRPr="003F284D">
              <w:rPr>
                <w:rFonts w:ascii="Arial" w:hAnsi="Arial" w:cs="Arial"/>
                <w:sz w:val="18"/>
                <w:szCs w:val="18"/>
              </w:rPr>
              <w:t>0,00</w:t>
            </w:r>
          </w:p>
        </w:tc>
        <w:tc>
          <w:tcPr>
            <w:tcW w:w="1321" w:type="dxa"/>
            <w:gridSpan w:val="2"/>
            <w:tcBorders>
              <w:top w:val="nil"/>
              <w:left w:val="nil"/>
              <w:bottom w:val="single" w:sz="4" w:space="0" w:color="auto"/>
              <w:right w:val="single" w:sz="8" w:space="0" w:color="auto"/>
            </w:tcBorders>
            <w:shd w:val="clear" w:color="auto" w:fill="auto"/>
            <w:noWrap/>
            <w:vAlign w:val="bottom"/>
            <w:hideMark/>
          </w:tcPr>
          <w:p w:rsidR="00343D57" w:rsidRPr="003F284D" w:rsidRDefault="00343D57" w:rsidP="00B02020">
            <w:pPr>
              <w:jc w:val="right"/>
              <w:rPr>
                <w:rFonts w:ascii="Arial" w:hAnsi="Arial" w:cs="Arial"/>
                <w:sz w:val="18"/>
                <w:szCs w:val="18"/>
              </w:rPr>
            </w:pPr>
            <w:r w:rsidRPr="003F284D">
              <w:rPr>
                <w:rFonts w:ascii="Arial" w:hAnsi="Arial" w:cs="Arial"/>
                <w:sz w:val="18"/>
                <w:szCs w:val="18"/>
              </w:rPr>
              <w:t>0,00</w:t>
            </w:r>
          </w:p>
        </w:tc>
      </w:tr>
      <w:tr w:rsidR="00343D57" w:rsidRPr="00B8465A" w:rsidTr="007A427E">
        <w:trPr>
          <w:trHeight w:val="288"/>
        </w:trPr>
        <w:tc>
          <w:tcPr>
            <w:tcW w:w="1300" w:type="dxa"/>
            <w:tcBorders>
              <w:top w:val="nil"/>
              <w:left w:val="single" w:sz="8" w:space="0" w:color="auto"/>
              <w:bottom w:val="single" w:sz="4" w:space="0" w:color="auto"/>
              <w:right w:val="nil"/>
            </w:tcBorders>
            <w:shd w:val="clear" w:color="auto" w:fill="auto"/>
            <w:noWrap/>
            <w:vAlign w:val="bottom"/>
            <w:hideMark/>
          </w:tcPr>
          <w:p w:rsidR="00343D57" w:rsidRPr="003F284D" w:rsidRDefault="00343D57" w:rsidP="00B02020">
            <w:pPr>
              <w:jc w:val="center"/>
              <w:rPr>
                <w:rFonts w:ascii="Arial" w:hAnsi="Arial" w:cs="Arial"/>
                <w:b/>
                <w:bCs/>
                <w:color w:val="000000"/>
                <w:sz w:val="18"/>
                <w:szCs w:val="18"/>
              </w:rPr>
            </w:pPr>
            <w:r w:rsidRPr="003F284D">
              <w:rPr>
                <w:rFonts w:ascii="Arial" w:hAnsi="Arial" w:cs="Arial"/>
                <w:b/>
                <w:bCs/>
                <w:color w:val="000000"/>
                <w:sz w:val="18"/>
                <w:szCs w:val="18"/>
              </w:rPr>
              <w:t>6</w:t>
            </w:r>
          </w:p>
        </w:tc>
        <w:tc>
          <w:tcPr>
            <w:tcW w:w="1660" w:type="dxa"/>
            <w:tcBorders>
              <w:top w:val="nil"/>
              <w:left w:val="single" w:sz="8" w:space="0" w:color="auto"/>
              <w:bottom w:val="single" w:sz="4" w:space="0" w:color="auto"/>
              <w:right w:val="single" w:sz="4" w:space="0" w:color="auto"/>
            </w:tcBorders>
            <w:shd w:val="clear" w:color="auto" w:fill="auto"/>
            <w:noWrap/>
            <w:vAlign w:val="bottom"/>
            <w:hideMark/>
          </w:tcPr>
          <w:p w:rsidR="00343D57" w:rsidRPr="003F284D" w:rsidRDefault="00343D57" w:rsidP="00B02020">
            <w:pPr>
              <w:jc w:val="right"/>
              <w:rPr>
                <w:rFonts w:ascii="Arial" w:hAnsi="Arial" w:cs="Arial"/>
                <w:sz w:val="18"/>
                <w:szCs w:val="18"/>
              </w:rPr>
            </w:pPr>
            <w:r w:rsidRPr="003F284D">
              <w:rPr>
                <w:rFonts w:ascii="Arial" w:hAnsi="Arial" w:cs="Arial"/>
                <w:sz w:val="18"/>
                <w:szCs w:val="18"/>
              </w:rPr>
              <w:t>0,00</w:t>
            </w:r>
          </w:p>
        </w:tc>
        <w:tc>
          <w:tcPr>
            <w:tcW w:w="1720" w:type="dxa"/>
            <w:tcBorders>
              <w:top w:val="nil"/>
              <w:left w:val="nil"/>
              <w:bottom w:val="single" w:sz="4" w:space="0" w:color="auto"/>
              <w:right w:val="single" w:sz="8" w:space="0" w:color="auto"/>
            </w:tcBorders>
            <w:shd w:val="clear" w:color="auto" w:fill="auto"/>
            <w:noWrap/>
            <w:vAlign w:val="bottom"/>
            <w:hideMark/>
          </w:tcPr>
          <w:p w:rsidR="00343D57" w:rsidRPr="003F284D" w:rsidRDefault="00343D57" w:rsidP="00B02020">
            <w:pPr>
              <w:jc w:val="right"/>
              <w:rPr>
                <w:rFonts w:ascii="Arial" w:hAnsi="Arial" w:cs="Arial"/>
                <w:sz w:val="18"/>
                <w:szCs w:val="18"/>
              </w:rPr>
            </w:pPr>
            <w:r w:rsidRPr="003F284D">
              <w:rPr>
                <w:rFonts w:ascii="Arial" w:hAnsi="Arial" w:cs="Arial"/>
                <w:sz w:val="18"/>
                <w:szCs w:val="18"/>
              </w:rPr>
              <w:t>0,00</w:t>
            </w:r>
          </w:p>
        </w:tc>
        <w:tc>
          <w:tcPr>
            <w:tcW w:w="1260" w:type="dxa"/>
            <w:tcBorders>
              <w:top w:val="nil"/>
              <w:left w:val="nil"/>
              <w:bottom w:val="single" w:sz="4" w:space="0" w:color="auto"/>
              <w:right w:val="single" w:sz="4" w:space="0" w:color="auto"/>
            </w:tcBorders>
            <w:shd w:val="clear" w:color="auto" w:fill="auto"/>
            <w:noWrap/>
            <w:vAlign w:val="bottom"/>
            <w:hideMark/>
          </w:tcPr>
          <w:p w:rsidR="00343D57" w:rsidRPr="003F284D" w:rsidRDefault="00343D57" w:rsidP="00B02020">
            <w:pPr>
              <w:jc w:val="right"/>
              <w:rPr>
                <w:rFonts w:ascii="Arial" w:hAnsi="Arial" w:cs="Arial"/>
                <w:sz w:val="18"/>
                <w:szCs w:val="18"/>
              </w:rPr>
            </w:pPr>
            <w:r w:rsidRPr="003F284D">
              <w:rPr>
                <w:rFonts w:ascii="Arial" w:hAnsi="Arial" w:cs="Arial"/>
                <w:sz w:val="18"/>
                <w:szCs w:val="18"/>
              </w:rPr>
              <w:t>4 351,92</w:t>
            </w:r>
          </w:p>
        </w:tc>
        <w:tc>
          <w:tcPr>
            <w:tcW w:w="1440" w:type="dxa"/>
            <w:tcBorders>
              <w:top w:val="nil"/>
              <w:left w:val="nil"/>
              <w:bottom w:val="single" w:sz="4" w:space="0" w:color="auto"/>
              <w:right w:val="single" w:sz="8" w:space="0" w:color="auto"/>
            </w:tcBorders>
            <w:shd w:val="clear" w:color="auto" w:fill="auto"/>
            <w:noWrap/>
            <w:vAlign w:val="bottom"/>
            <w:hideMark/>
          </w:tcPr>
          <w:p w:rsidR="00343D57" w:rsidRPr="003F284D" w:rsidRDefault="00343D57" w:rsidP="00B02020">
            <w:pPr>
              <w:jc w:val="right"/>
              <w:rPr>
                <w:rFonts w:ascii="Arial" w:hAnsi="Arial" w:cs="Arial"/>
                <w:sz w:val="18"/>
                <w:szCs w:val="18"/>
              </w:rPr>
            </w:pPr>
            <w:r w:rsidRPr="003F284D">
              <w:rPr>
                <w:rFonts w:ascii="Arial" w:hAnsi="Arial" w:cs="Arial"/>
                <w:sz w:val="18"/>
                <w:szCs w:val="18"/>
              </w:rPr>
              <w:t>5 119,90</w:t>
            </w:r>
          </w:p>
        </w:tc>
        <w:tc>
          <w:tcPr>
            <w:tcW w:w="999" w:type="dxa"/>
            <w:tcBorders>
              <w:top w:val="nil"/>
              <w:left w:val="nil"/>
              <w:bottom w:val="single" w:sz="4" w:space="0" w:color="auto"/>
              <w:right w:val="single" w:sz="4" w:space="0" w:color="auto"/>
            </w:tcBorders>
            <w:shd w:val="clear" w:color="auto" w:fill="auto"/>
            <w:noWrap/>
            <w:vAlign w:val="bottom"/>
            <w:hideMark/>
          </w:tcPr>
          <w:p w:rsidR="00343D57" w:rsidRPr="003F284D" w:rsidRDefault="00343D57" w:rsidP="00B02020">
            <w:pPr>
              <w:jc w:val="right"/>
              <w:rPr>
                <w:rFonts w:ascii="Arial" w:hAnsi="Arial" w:cs="Arial"/>
                <w:sz w:val="18"/>
                <w:szCs w:val="18"/>
              </w:rPr>
            </w:pPr>
            <w:r w:rsidRPr="003F284D">
              <w:rPr>
                <w:rFonts w:ascii="Arial" w:hAnsi="Arial" w:cs="Arial"/>
                <w:sz w:val="18"/>
                <w:szCs w:val="18"/>
              </w:rPr>
              <w:t>0,00</w:t>
            </w:r>
          </w:p>
        </w:tc>
        <w:tc>
          <w:tcPr>
            <w:tcW w:w="1321" w:type="dxa"/>
            <w:gridSpan w:val="2"/>
            <w:tcBorders>
              <w:top w:val="nil"/>
              <w:left w:val="nil"/>
              <w:bottom w:val="single" w:sz="4" w:space="0" w:color="auto"/>
              <w:right w:val="single" w:sz="8" w:space="0" w:color="auto"/>
            </w:tcBorders>
            <w:shd w:val="clear" w:color="auto" w:fill="auto"/>
            <w:noWrap/>
            <w:vAlign w:val="bottom"/>
            <w:hideMark/>
          </w:tcPr>
          <w:p w:rsidR="00343D57" w:rsidRPr="003F284D" w:rsidRDefault="00343D57" w:rsidP="00B02020">
            <w:pPr>
              <w:jc w:val="right"/>
              <w:rPr>
                <w:rFonts w:ascii="Arial" w:hAnsi="Arial" w:cs="Arial"/>
                <w:sz w:val="18"/>
                <w:szCs w:val="18"/>
              </w:rPr>
            </w:pPr>
            <w:r w:rsidRPr="003F284D">
              <w:rPr>
                <w:rFonts w:ascii="Arial" w:hAnsi="Arial" w:cs="Arial"/>
                <w:sz w:val="18"/>
                <w:szCs w:val="18"/>
              </w:rPr>
              <w:t>0,00</w:t>
            </w:r>
          </w:p>
        </w:tc>
      </w:tr>
      <w:tr w:rsidR="00343D57" w:rsidRPr="00B8465A" w:rsidTr="007A427E">
        <w:trPr>
          <w:trHeight w:val="288"/>
        </w:trPr>
        <w:tc>
          <w:tcPr>
            <w:tcW w:w="1300" w:type="dxa"/>
            <w:tcBorders>
              <w:top w:val="single" w:sz="8" w:space="0" w:color="auto"/>
              <w:left w:val="single" w:sz="8" w:space="0" w:color="auto"/>
              <w:bottom w:val="single" w:sz="8" w:space="0" w:color="auto"/>
              <w:right w:val="single" w:sz="8" w:space="0" w:color="auto"/>
            </w:tcBorders>
            <w:shd w:val="clear" w:color="000000" w:fill="92D050"/>
            <w:noWrap/>
            <w:vAlign w:val="bottom"/>
            <w:hideMark/>
          </w:tcPr>
          <w:p w:rsidR="00343D57" w:rsidRPr="003F284D" w:rsidRDefault="00343D57" w:rsidP="00B02020">
            <w:pPr>
              <w:jc w:val="center"/>
              <w:rPr>
                <w:rFonts w:ascii="Arial" w:hAnsi="Arial" w:cs="Arial"/>
                <w:b/>
                <w:bCs/>
                <w:color w:val="000000"/>
                <w:sz w:val="18"/>
                <w:szCs w:val="18"/>
              </w:rPr>
            </w:pPr>
            <w:r w:rsidRPr="003F284D">
              <w:rPr>
                <w:rFonts w:ascii="Arial" w:hAnsi="Arial" w:cs="Arial"/>
                <w:b/>
                <w:bCs/>
                <w:color w:val="000000"/>
                <w:sz w:val="18"/>
                <w:szCs w:val="18"/>
              </w:rPr>
              <w:t>Spolu</w:t>
            </w:r>
          </w:p>
        </w:tc>
        <w:tc>
          <w:tcPr>
            <w:tcW w:w="1660" w:type="dxa"/>
            <w:tcBorders>
              <w:top w:val="single" w:sz="8" w:space="0" w:color="auto"/>
              <w:left w:val="nil"/>
              <w:bottom w:val="single" w:sz="8" w:space="0" w:color="auto"/>
              <w:right w:val="single" w:sz="4" w:space="0" w:color="auto"/>
            </w:tcBorders>
            <w:shd w:val="clear" w:color="000000" w:fill="92D050"/>
            <w:noWrap/>
            <w:vAlign w:val="bottom"/>
            <w:hideMark/>
          </w:tcPr>
          <w:p w:rsidR="00343D57" w:rsidRPr="003F284D" w:rsidRDefault="00343D57" w:rsidP="00B02020">
            <w:pPr>
              <w:jc w:val="right"/>
              <w:rPr>
                <w:rFonts w:ascii="Arial" w:hAnsi="Arial" w:cs="Arial"/>
                <w:b/>
                <w:bCs/>
                <w:color w:val="000000"/>
                <w:sz w:val="18"/>
                <w:szCs w:val="18"/>
              </w:rPr>
            </w:pPr>
            <w:r w:rsidRPr="003F284D">
              <w:rPr>
                <w:rFonts w:ascii="Arial" w:hAnsi="Arial" w:cs="Arial"/>
                <w:b/>
                <w:bCs/>
                <w:color w:val="000000"/>
                <w:sz w:val="18"/>
                <w:szCs w:val="18"/>
              </w:rPr>
              <w:t>33 959 684,18</w:t>
            </w:r>
          </w:p>
        </w:tc>
        <w:tc>
          <w:tcPr>
            <w:tcW w:w="1720" w:type="dxa"/>
            <w:tcBorders>
              <w:top w:val="single" w:sz="8" w:space="0" w:color="auto"/>
              <w:left w:val="nil"/>
              <w:bottom w:val="single" w:sz="8" w:space="0" w:color="auto"/>
              <w:right w:val="single" w:sz="8" w:space="0" w:color="auto"/>
            </w:tcBorders>
            <w:shd w:val="clear" w:color="000000" w:fill="92D050"/>
            <w:noWrap/>
            <w:vAlign w:val="bottom"/>
            <w:hideMark/>
          </w:tcPr>
          <w:p w:rsidR="00343D57" w:rsidRPr="003F284D" w:rsidRDefault="00343D57" w:rsidP="00B02020">
            <w:pPr>
              <w:jc w:val="right"/>
              <w:rPr>
                <w:rFonts w:ascii="Arial" w:hAnsi="Arial" w:cs="Arial"/>
                <w:b/>
                <w:bCs/>
                <w:color w:val="000000"/>
                <w:sz w:val="18"/>
                <w:szCs w:val="18"/>
              </w:rPr>
            </w:pPr>
            <w:r w:rsidRPr="003F284D">
              <w:rPr>
                <w:rFonts w:ascii="Arial" w:hAnsi="Arial" w:cs="Arial"/>
                <w:b/>
                <w:bCs/>
                <w:color w:val="000000"/>
                <w:sz w:val="18"/>
                <w:szCs w:val="18"/>
              </w:rPr>
              <w:t>39 952 570,07</w:t>
            </w:r>
          </w:p>
        </w:tc>
        <w:tc>
          <w:tcPr>
            <w:tcW w:w="1260" w:type="dxa"/>
            <w:tcBorders>
              <w:top w:val="single" w:sz="8" w:space="0" w:color="auto"/>
              <w:left w:val="nil"/>
              <w:bottom w:val="single" w:sz="8" w:space="0" w:color="auto"/>
              <w:right w:val="single" w:sz="4" w:space="0" w:color="auto"/>
            </w:tcBorders>
            <w:shd w:val="clear" w:color="000000" w:fill="92D050"/>
            <w:noWrap/>
            <w:vAlign w:val="bottom"/>
            <w:hideMark/>
          </w:tcPr>
          <w:p w:rsidR="00343D57" w:rsidRPr="003F284D" w:rsidRDefault="00343D57" w:rsidP="00B02020">
            <w:pPr>
              <w:jc w:val="right"/>
              <w:rPr>
                <w:rFonts w:ascii="Arial" w:hAnsi="Arial" w:cs="Arial"/>
                <w:b/>
                <w:bCs/>
                <w:color w:val="000000"/>
                <w:sz w:val="18"/>
                <w:szCs w:val="18"/>
              </w:rPr>
            </w:pPr>
            <w:r w:rsidRPr="003F284D">
              <w:rPr>
                <w:rFonts w:ascii="Arial" w:hAnsi="Arial" w:cs="Arial"/>
                <w:b/>
                <w:bCs/>
                <w:color w:val="000000"/>
                <w:sz w:val="18"/>
                <w:szCs w:val="18"/>
              </w:rPr>
              <w:t>173 493,87</w:t>
            </w:r>
          </w:p>
        </w:tc>
        <w:tc>
          <w:tcPr>
            <w:tcW w:w="1440" w:type="dxa"/>
            <w:tcBorders>
              <w:top w:val="single" w:sz="8" w:space="0" w:color="auto"/>
              <w:left w:val="nil"/>
              <w:bottom w:val="single" w:sz="8" w:space="0" w:color="auto"/>
              <w:right w:val="single" w:sz="8" w:space="0" w:color="auto"/>
            </w:tcBorders>
            <w:shd w:val="clear" w:color="000000" w:fill="92D050"/>
            <w:noWrap/>
            <w:vAlign w:val="bottom"/>
            <w:hideMark/>
          </w:tcPr>
          <w:p w:rsidR="00343D57" w:rsidRPr="003F284D" w:rsidRDefault="00343D57" w:rsidP="00B02020">
            <w:pPr>
              <w:jc w:val="right"/>
              <w:rPr>
                <w:rFonts w:ascii="Arial" w:hAnsi="Arial" w:cs="Arial"/>
                <w:b/>
                <w:bCs/>
                <w:color w:val="000000"/>
                <w:sz w:val="18"/>
                <w:szCs w:val="18"/>
              </w:rPr>
            </w:pPr>
            <w:r w:rsidRPr="003F284D">
              <w:rPr>
                <w:rFonts w:ascii="Arial" w:hAnsi="Arial" w:cs="Arial"/>
                <w:b/>
                <w:bCs/>
                <w:color w:val="000000"/>
                <w:sz w:val="18"/>
                <w:szCs w:val="18"/>
              </w:rPr>
              <w:t>204 110,42</w:t>
            </w:r>
          </w:p>
        </w:tc>
        <w:tc>
          <w:tcPr>
            <w:tcW w:w="999" w:type="dxa"/>
            <w:tcBorders>
              <w:top w:val="single" w:sz="8" w:space="0" w:color="auto"/>
              <w:left w:val="nil"/>
              <w:bottom w:val="single" w:sz="8" w:space="0" w:color="auto"/>
              <w:right w:val="single" w:sz="4" w:space="0" w:color="auto"/>
            </w:tcBorders>
            <w:shd w:val="clear" w:color="000000" w:fill="92D050"/>
            <w:noWrap/>
            <w:vAlign w:val="bottom"/>
            <w:hideMark/>
          </w:tcPr>
          <w:p w:rsidR="00343D57" w:rsidRPr="003F284D" w:rsidRDefault="00343D57" w:rsidP="00B02020">
            <w:pPr>
              <w:jc w:val="right"/>
              <w:rPr>
                <w:rFonts w:ascii="Arial" w:hAnsi="Arial" w:cs="Arial"/>
                <w:b/>
                <w:bCs/>
                <w:color w:val="000000"/>
                <w:sz w:val="18"/>
                <w:szCs w:val="18"/>
              </w:rPr>
            </w:pPr>
            <w:r w:rsidRPr="003F284D">
              <w:rPr>
                <w:rFonts w:ascii="Arial" w:hAnsi="Arial" w:cs="Arial"/>
                <w:b/>
                <w:bCs/>
                <w:color w:val="000000"/>
                <w:sz w:val="18"/>
                <w:szCs w:val="18"/>
              </w:rPr>
              <w:t>0,00</w:t>
            </w:r>
          </w:p>
        </w:tc>
        <w:tc>
          <w:tcPr>
            <w:tcW w:w="1321" w:type="dxa"/>
            <w:gridSpan w:val="2"/>
            <w:tcBorders>
              <w:top w:val="single" w:sz="8" w:space="0" w:color="auto"/>
              <w:left w:val="nil"/>
              <w:bottom w:val="single" w:sz="8" w:space="0" w:color="auto"/>
              <w:right w:val="single" w:sz="8" w:space="0" w:color="auto"/>
            </w:tcBorders>
            <w:shd w:val="clear" w:color="000000" w:fill="92D050"/>
            <w:noWrap/>
            <w:vAlign w:val="bottom"/>
            <w:hideMark/>
          </w:tcPr>
          <w:p w:rsidR="00343D57" w:rsidRPr="003F284D" w:rsidRDefault="00343D57" w:rsidP="00B02020">
            <w:pPr>
              <w:jc w:val="right"/>
              <w:rPr>
                <w:rFonts w:ascii="Arial" w:hAnsi="Arial" w:cs="Arial"/>
                <w:b/>
                <w:bCs/>
                <w:color w:val="000000"/>
                <w:sz w:val="18"/>
                <w:szCs w:val="18"/>
              </w:rPr>
            </w:pPr>
            <w:r w:rsidRPr="003F284D">
              <w:rPr>
                <w:rFonts w:ascii="Arial" w:hAnsi="Arial" w:cs="Arial"/>
                <w:b/>
                <w:bCs/>
                <w:color w:val="000000"/>
                <w:sz w:val="18"/>
                <w:szCs w:val="18"/>
              </w:rPr>
              <w:t>0,00</w:t>
            </w:r>
          </w:p>
        </w:tc>
      </w:tr>
      <w:tr w:rsidR="00343D57" w:rsidRPr="00343D57" w:rsidTr="007A427E">
        <w:trPr>
          <w:trHeight w:val="276"/>
        </w:trPr>
        <w:tc>
          <w:tcPr>
            <w:tcW w:w="1300" w:type="dxa"/>
            <w:tcBorders>
              <w:top w:val="nil"/>
              <w:left w:val="nil"/>
              <w:bottom w:val="nil"/>
              <w:right w:val="nil"/>
            </w:tcBorders>
            <w:shd w:val="clear" w:color="auto" w:fill="auto"/>
            <w:noWrap/>
            <w:vAlign w:val="bottom"/>
            <w:hideMark/>
          </w:tcPr>
          <w:p w:rsidR="00343D57" w:rsidRPr="003F284D" w:rsidRDefault="00343D57" w:rsidP="00507035">
            <w:pPr>
              <w:spacing w:before="120" w:after="120"/>
              <w:rPr>
                <w:rFonts w:ascii="Arial" w:hAnsi="Arial" w:cs="Arial"/>
                <w:color w:val="000000"/>
                <w:sz w:val="18"/>
                <w:szCs w:val="18"/>
              </w:rPr>
            </w:pPr>
            <w:r w:rsidRPr="003F284D">
              <w:rPr>
                <w:rFonts w:ascii="Arial" w:hAnsi="Arial" w:cs="Arial"/>
                <w:color w:val="000000"/>
                <w:sz w:val="18"/>
                <w:szCs w:val="18"/>
              </w:rPr>
              <w:t>Zdroj:</w:t>
            </w:r>
            <w:r w:rsidR="0098654D">
              <w:rPr>
                <w:rFonts w:ascii="Arial" w:hAnsi="Arial" w:cs="Arial"/>
                <w:color w:val="000000"/>
                <w:sz w:val="18"/>
                <w:szCs w:val="18"/>
              </w:rPr>
              <w:t xml:space="preserve"> </w:t>
            </w:r>
            <w:r w:rsidRPr="003F284D">
              <w:rPr>
                <w:rFonts w:ascii="Arial" w:hAnsi="Arial" w:cs="Arial"/>
                <w:color w:val="000000"/>
                <w:sz w:val="18"/>
                <w:szCs w:val="18"/>
              </w:rPr>
              <w:t>CO</w:t>
            </w:r>
          </w:p>
        </w:tc>
        <w:tc>
          <w:tcPr>
            <w:tcW w:w="1660" w:type="dxa"/>
            <w:tcBorders>
              <w:top w:val="nil"/>
              <w:left w:val="nil"/>
              <w:bottom w:val="nil"/>
              <w:right w:val="nil"/>
            </w:tcBorders>
            <w:shd w:val="clear" w:color="auto" w:fill="auto"/>
            <w:noWrap/>
            <w:vAlign w:val="bottom"/>
            <w:hideMark/>
          </w:tcPr>
          <w:p w:rsidR="00343D57" w:rsidRPr="003F284D" w:rsidRDefault="00343D57" w:rsidP="00507035">
            <w:pPr>
              <w:spacing w:before="120" w:after="120"/>
              <w:rPr>
                <w:rFonts w:ascii="Arial" w:hAnsi="Arial" w:cs="Arial"/>
                <w:color w:val="000000"/>
                <w:sz w:val="18"/>
                <w:szCs w:val="18"/>
              </w:rPr>
            </w:pPr>
          </w:p>
        </w:tc>
        <w:tc>
          <w:tcPr>
            <w:tcW w:w="1720" w:type="dxa"/>
            <w:tcBorders>
              <w:top w:val="nil"/>
              <w:left w:val="nil"/>
              <w:bottom w:val="nil"/>
              <w:right w:val="nil"/>
            </w:tcBorders>
            <w:shd w:val="clear" w:color="auto" w:fill="auto"/>
            <w:noWrap/>
            <w:vAlign w:val="bottom"/>
            <w:hideMark/>
          </w:tcPr>
          <w:p w:rsidR="00343D57" w:rsidRPr="003F284D" w:rsidRDefault="00343D57" w:rsidP="00507035">
            <w:pPr>
              <w:spacing w:before="120" w:after="120"/>
              <w:rPr>
                <w:rFonts w:ascii="Arial" w:hAnsi="Arial" w:cs="Arial"/>
                <w:color w:val="000000"/>
                <w:sz w:val="18"/>
                <w:szCs w:val="18"/>
              </w:rPr>
            </w:pPr>
          </w:p>
        </w:tc>
        <w:tc>
          <w:tcPr>
            <w:tcW w:w="1260" w:type="dxa"/>
            <w:tcBorders>
              <w:top w:val="nil"/>
              <w:left w:val="nil"/>
              <w:bottom w:val="nil"/>
              <w:right w:val="nil"/>
            </w:tcBorders>
            <w:shd w:val="clear" w:color="auto" w:fill="auto"/>
            <w:noWrap/>
            <w:vAlign w:val="bottom"/>
            <w:hideMark/>
          </w:tcPr>
          <w:p w:rsidR="00343D57" w:rsidRPr="003F284D" w:rsidRDefault="00343D57" w:rsidP="00507035">
            <w:pPr>
              <w:spacing w:before="120" w:after="120"/>
              <w:rPr>
                <w:rFonts w:ascii="Arial" w:hAnsi="Arial" w:cs="Arial"/>
                <w:color w:val="000000"/>
                <w:sz w:val="18"/>
                <w:szCs w:val="18"/>
              </w:rPr>
            </w:pPr>
          </w:p>
        </w:tc>
        <w:tc>
          <w:tcPr>
            <w:tcW w:w="1440" w:type="dxa"/>
            <w:tcBorders>
              <w:top w:val="nil"/>
              <w:left w:val="nil"/>
              <w:bottom w:val="nil"/>
              <w:right w:val="nil"/>
            </w:tcBorders>
            <w:shd w:val="clear" w:color="auto" w:fill="auto"/>
            <w:noWrap/>
            <w:vAlign w:val="bottom"/>
            <w:hideMark/>
          </w:tcPr>
          <w:p w:rsidR="00343D57" w:rsidRPr="003F284D" w:rsidRDefault="00343D57" w:rsidP="00507035">
            <w:pPr>
              <w:spacing w:before="120" w:after="120"/>
              <w:rPr>
                <w:rFonts w:ascii="Arial" w:hAnsi="Arial" w:cs="Arial"/>
                <w:color w:val="000000"/>
                <w:sz w:val="18"/>
                <w:szCs w:val="18"/>
              </w:rPr>
            </w:pPr>
          </w:p>
        </w:tc>
        <w:tc>
          <w:tcPr>
            <w:tcW w:w="999" w:type="dxa"/>
            <w:tcBorders>
              <w:top w:val="nil"/>
              <w:left w:val="nil"/>
              <w:bottom w:val="nil"/>
              <w:right w:val="nil"/>
            </w:tcBorders>
            <w:shd w:val="clear" w:color="auto" w:fill="auto"/>
            <w:noWrap/>
            <w:vAlign w:val="bottom"/>
            <w:hideMark/>
          </w:tcPr>
          <w:p w:rsidR="00343D57" w:rsidRPr="003F284D" w:rsidRDefault="00343D57" w:rsidP="00507035">
            <w:pPr>
              <w:spacing w:before="120" w:after="120"/>
              <w:rPr>
                <w:rFonts w:ascii="Arial" w:hAnsi="Arial" w:cs="Arial"/>
                <w:color w:val="000000"/>
                <w:sz w:val="18"/>
                <w:szCs w:val="18"/>
              </w:rPr>
            </w:pPr>
          </w:p>
        </w:tc>
        <w:tc>
          <w:tcPr>
            <w:tcW w:w="1321" w:type="dxa"/>
            <w:gridSpan w:val="2"/>
            <w:tcBorders>
              <w:top w:val="nil"/>
              <w:left w:val="nil"/>
              <w:bottom w:val="nil"/>
              <w:right w:val="nil"/>
            </w:tcBorders>
            <w:shd w:val="clear" w:color="auto" w:fill="auto"/>
            <w:noWrap/>
            <w:vAlign w:val="bottom"/>
            <w:hideMark/>
          </w:tcPr>
          <w:p w:rsidR="00343D57" w:rsidRPr="003F284D" w:rsidRDefault="00343D57" w:rsidP="00507035">
            <w:pPr>
              <w:spacing w:before="120" w:after="120"/>
              <w:rPr>
                <w:rFonts w:ascii="Arial" w:hAnsi="Arial" w:cs="Arial"/>
                <w:color w:val="000000"/>
                <w:sz w:val="18"/>
                <w:szCs w:val="18"/>
              </w:rPr>
            </w:pPr>
          </w:p>
        </w:tc>
      </w:tr>
      <w:tr w:rsidR="00343D57" w:rsidRPr="00343D57" w:rsidTr="007A427E">
        <w:trPr>
          <w:trHeight w:val="229"/>
        </w:trPr>
        <w:tc>
          <w:tcPr>
            <w:tcW w:w="9700" w:type="dxa"/>
            <w:gridSpan w:val="8"/>
            <w:tcBorders>
              <w:top w:val="nil"/>
              <w:left w:val="nil"/>
              <w:bottom w:val="nil"/>
              <w:right w:val="nil"/>
            </w:tcBorders>
            <w:vAlign w:val="center"/>
          </w:tcPr>
          <w:p w:rsidR="00343D57" w:rsidRPr="003F284D" w:rsidRDefault="00343D57" w:rsidP="00507035">
            <w:pPr>
              <w:spacing w:before="120" w:after="120"/>
              <w:rPr>
                <w:rFonts w:ascii="Arial" w:hAnsi="Arial" w:cs="Arial"/>
                <w:color w:val="000000"/>
                <w:sz w:val="18"/>
                <w:szCs w:val="18"/>
              </w:rPr>
            </w:pPr>
          </w:p>
        </w:tc>
      </w:tr>
    </w:tbl>
    <w:p w:rsidR="003F446D" w:rsidRPr="003F284D" w:rsidRDefault="003F446D" w:rsidP="001540E7">
      <w:pPr>
        <w:numPr>
          <w:ilvl w:val="0"/>
          <w:numId w:val="43"/>
        </w:numPr>
        <w:spacing w:before="120" w:after="120"/>
        <w:jc w:val="both"/>
        <w:rPr>
          <w:rFonts w:ascii="Arial" w:hAnsi="Arial" w:cs="Arial"/>
          <w:b/>
          <w:sz w:val="20"/>
          <w:szCs w:val="20"/>
          <w:u w:val="single"/>
        </w:rPr>
      </w:pPr>
      <w:r>
        <w:rPr>
          <w:rFonts w:ascii="Arial" w:hAnsi="Arial" w:cs="Arial"/>
          <w:b/>
          <w:sz w:val="20"/>
          <w:szCs w:val="20"/>
          <w:u w:val="single"/>
        </w:rPr>
        <w:tab/>
      </w:r>
      <w:r w:rsidRPr="003F284D">
        <w:rPr>
          <w:rFonts w:ascii="Arial" w:hAnsi="Arial" w:cs="Arial"/>
          <w:b/>
          <w:sz w:val="20"/>
          <w:szCs w:val="20"/>
          <w:u w:val="single"/>
        </w:rPr>
        <w:t>Popis využitia vrátenej alebo znovu použitej pomoci po zrušení pomoci podľa čl. 98 ods. 2 Nariadenia rady (ES) č. 1083/2006</w:t>
      </w:r>
    </w:p>
    <w:p w:rsidR="00411927" w:rsidRPr="003F284D" w:rsidRDefault="00411927" w:rsidP="00507035">
      <w:pPr>
        <w:spacing w:before="120" w:after="120" w:line="360" w:lineRule="auto"/>
        <w:jc w:val="both"/>
        <w:rPr>
          <w:rFonts w:ascii="Arial" w:hAnsi="Arial" w:cs="Arial"/>
          <w:sz w:val="20"/>
          <w:szCs w:val="20"/>
        </w:rPr>
      </w:pPr>
      <w:r w:rsidRPr="003F284D">
        <w:rPr>
          <w:rFonts w:ascii="Arial" w:hAnsi="Arial" w:cs="Arial"/>
          <w:sz w:val="20"/>
          <w:szCs w:val="20"/>
        </w:rPr>
        <w:t>Vrátené finančné prostriedky budú využité na financovanie iných oprávnených projektov, nie na operácie, ktoré boli predmetom opravy.</w:t>
      </w:r>
    </w:p>
    <w:p w:rsidR="003F446D" w:rsidRPr="003F284D" w:rsidRDefault="003F446D" w:rsidP="001540E7">
      <w:pPr>
        <w:numPr>
          <w:ilvl w:val="0"/>
          <w:numId w:val="43"/>
        </w:numPr>
        <w:spacing w:before="120" w:after="120"/>
        <w:jc w:val="both"/>
        <w:rPr>
          <w:rFonts w:ascii="Arial" w:hAnsi="Arial" w:cs="Arial"/>
          <w:b/>
          <w:sz w:val="20"/>
          <w:szCs w:val="20"/>
          <w:u w:val="single"/>
        </w:rPr>
      </w:pPr>
      <w:r>
        <w:rPr>
          <w:rFonts w:ascii="Arial" w:hAnsi="Arial" w:cs="Arial"/>
          <w:b/>
          <w:sz w:val="20"/>
          <w:szCs w:val="20"/>
          <w:u w:val="single"/>
        </w:rPr>
        <w:tab/>
      </w:r>
      <w:r w:rsidRPr="003F284D">
        <w:rPr>
          <w:rFonts w:ascii="Arial" w:hAnsi="Arial" w:cs="Arial"/>
          <w:b/>
          <w:sz w:val="20"/>
          <w:szCs w:val="20"/>
          <w:u w:val="single"/>
        </w:rPr>
        <w:t>Zoznam kontrol na mieste vykonaných RO</w:t>
      </w:r>
      <w:r w:rsidR="00493171">
        <w:rPr>
          <w:rFonts w:ascii="Arial" w:hAnsi="Arial" w:cs="Arial"/>
          <w:b/>
          <w:sz w:val="20"/>
          <w:szCs w:val="20"/>
          <w:u w:val="single"/>
        </w:rPr>
        <w:t xml:space="preserve"> </w:t>
      </w:r>
      <w:r w:rsidRPr="003F284D">
        <w:rPr>
          <w:rFonts w:ascii="Arial" w:hAnsi="Arial" w:cs="Arial"/>
          <w:b/>
          <w:sz w:val="20"/>
          <w:szCs w:val="20"/>
          <w:u w:val="single"/>
        </w:rPr>
        <w:t>v roku 2012</w:t>
      </w:r>
    </w:p>
    <w:p w:rsidR="00411927" w:rsidRPr="004B33AE" w:rsidRDefault="00411927" w:rsidP="00507035">
      <w:pPr>
        <w:spacing w:before="120" w:after="120" w:line="360" w:lineRule="auto"/>
        <w:jc w:val="both"/>
        <w:rPr>
          <w:rFonts w:ascii="Arial" w:hAnsi="Arial" w:cs="Arial"/>
          <w:sz w:val="20"/>
          <w:szCs w:val="20"/>
        </w:rPr>
      </w:pPr>
      <w:r w:rsidRPr="004B33AE">
        <w:rPr>
          <w:rFonts w:ascii="Arial" w:hAnsi="Arial" w:cs="Arial"/>
          <w:sz w:val="20"/>
          <w:szCs w:val="20"/>
        </w:rPr>
        <w:t xml:space="preserve">Súčasť finančnej kontroly projektu ako celku tvorí kontrola na mieste, ktorá sa vykonáva za účelom zabezpečenia efektívneho finančného manažmentu prostriedkov </w:t>
      </w:r>
      <w:r w:rsidRPr="006253C9">
        <w:rPr>
          <w:rFonts w:ascii="Arial" w:hAnsi="Arial" w:cs="Arial"/>
          <w:sz w:val="20"/>
          <w:szCs w:val="20"/>
        </w:rPr>
        <w:t>poskytovaných z ERDF</w:t>
      </w:r>
      <w:r w:rsidR="003F284D" w:rsidRPr="006253C9">
        <w:rPr>
          <w:rFonts w:ascii="Arial" w:hAnsi="Arial" w:cs="Arial"/>
          <w:sz w:val="20"/>
          <w:szCs w:val="20"/>
        </w:rPr>
        <w:t>/KF</w:t>
      </w:r>
      <w:r w:rsidRPr="006253C9">
        <w:rPr>
          <w:rFonts w:ascii="Arial" w:hAnsi="Arial" w:cs="Arial"/>
          <w:sz w:val="20"/>
          <w:szCs w:val="20"/>
        </w:rPr>
        <w:t xml:space="preserve"> a štátneho rozpočtu SR. Každý projekt musí byť predmetom kontroly na mieste minimálne jedenkrát počas jeho realizácie, najneskôr však pred uhradením záverečnej ŽoP. </w:t>
      </w:r>
      <w:r w:rsidRPr="001542F8">
        <w:rPr>
          <w:rFonts w:ascii="Arial" w:hAnsi="Arial" w:cs="Arial"/>
          <w:sz w:val="20"/>
          <w:szCs w:val="20"/>
        </w:rPr>
        <w:t>RO je povinný vykonať minimálne jedenkrát kontrolu na mieste aj po skončení realizácie projektu, a to najneskôr do dňa uplynutia účinnosti Zmluvy o</w:t>
      </w:r>
      <w:r w:rsidR="003F284D" w:rsidRPr="001542F8">
        <w:rPr>
          <w:rFonts w:ascii="Arial" w:hAnsi="Arial" w:cs="Arial"/>
          <w:sz w:val="20"/>
          <w:szCs w:val="20"/>
        </w:rPr>
        <w:t xml:space="preserve"> poskytnutí</w:t>
      </w:r>
      <w:r w:rsidRPr="001542F8">
        <w:rPr>
          <w:rFonts w:ascii="Arial" w:hAnsi="Arial" w:cs="Arial"/>
          <w:sz w:val="20"/>
          <w:szCs w:val="20"/>
        </w:rPr>
        <w:t> NFP.</w:t>
      </w:r>
    </w:p>
    <w:p w:rsidR="00411927" w:rsidRPr="004B33AE" w:rsidRDefault="00411927" w:rsidP="00507035">
      <w:pPr>
        <w:spacing w:before="120" w:after="120" w:line="360" w:lineRule="auto"/>
        <w:jc w:val="both"/>
        <w:rPr>
          <w:rFonts w:ascii="Arial" w:hAnsi="Arial" w:cs="Arial"/>
          <w:sz w:val="20"/>
          <w:szCs w:val="20"/>
        </w:rPr>
      </w:pPr>
      <w:r w:rsidRPr="004B33AE">
        <w:rPr>
          <w:rFonts w:ascii="Arial" w:hAnsi="Arial" w:cs="Arial"/>
          <w:sz w:val="20"/>
          <w:szCs w:val="20"/>
        </w:rPr>
        <w:t>Cieľom kontroly realizácie projektu na mieste je skontrolovať reálne (skutočné) dodanie tovarov, vykonanie prác a poskytnutie služieb deklarovaných na účtovných dokladoch a podpornej dokumentácie predložených prijímateľom spolu so žiadosťou o platbu v súlade so Zmluvou o poskytnutí NFP, resp. s dokumentmi, na ktoré sa daná zmluva o poskytnutí NFP odvoláva.</w:t>
      </w:r>
    </w:p>
    <w:p w:rsidR="00411927" w:rsidRPr="006A2BF3" w:rsidRDefault="00411927" w:rsidP="00507035">
      <w:pPr>
        <w:spacing w:before="120" w:after="120" w:line="360" w:lineRule="auto"/>
        <w:jc w:val="both"/>
        <w:rPr>
          <w:rFonts w:ascii="Arial" w:hAnsi="Arial" w:cs="Arial"/>
          <w:sz w:val="20"/>
          <w:szCs w:val="20"/>
        </w:rPr>
      </w:pPr>
      <w:r>
        <w:rPr>
          <w:rFonts w:ascii="Arial" w:hAnsi="Arial" w:cs="Arial"/>
          <w:sz w:val="20"/>
          <w:szCs w:val="20"/>
        </w:rPr>
        <w:t>V roku 2012</w:t>
      </w:r>
      <w:r w:rsidRPr="006A2BF3">
        <w:rPr>
          <w:rFonts w:ascii="Arial" w:hAnsi="Arial" w:cs="Arial"/>
          <w:sz w:val="20"/>
          <w:szCs w:val="20"/>
        </w:rPr>
        <w:t xml:space="preserve"> RO vykonal 2</w:t>
      </w:r>
      <w:r>
        <w:rPr>
          <w:rFonts w:ascii="Arial" w:hAnsi="Arial" w:cs="Arial"/>
          <w:sz w:val="20"/>
          <w:szCs w:val="20"/>
        </w:rPr>
        <w:t>15</w:t>
      </w:r>
      <w:r w:rsidRPr="006A2BF3">
        <w:rPr>
          <w:rFonts w:ascii="Arial" w:hAnsi="Arial" w:cs="Arial"/>
          <w:sz w:val="20"/>
          <w:szCs w:val="20"/>
        </w:rPr>
        <w:t xml:space="preserve"> kontrol na mieste, z toho 4</w:t>
      </w:r>
      <w:r>
        <w:rPr>
          <w:rFonts w:ascii="Arial" w:hAnsi="Arial" w:cs="Arial"/>
          <w:sz w:val="20"/>
          <w:szCs w:val="20"/>
        </w:rPr>
        <w:t>3</w:t>
      </w:r>
      <w:r w:rsidRPr="006A2BF3">
        <w:rPr>
          <w:rFonts w:ascii="Arial" w:hAnsi="Arial" w:cs="Arial"/>
          <w:sz w:val="20"/>
          <w:szCs w:val="20"/>
        </w:rPr>
        <w:t xml:space="preserve"> v rámci prioritnej osi 1, </w:t>
      </w:r>
      <w:r w:rsidR="00156337">
        <w:rPr>
          <w:rFonts w:ascii="Arial" w:hAnsi="Arial" w:cs="Arial"/>
          <w:sz w:val="20"/>
          <w:szCs w:val="20"/>
        </w:rPr>
        <w:t>10</w:t>
      </w:r>
      <w:r w:rsidRPr="006A2BF3">
        <w:rPr>
          <w:rFonts w:ascii="Arial" w:hAnsi="Arial" w:cs="Arial"/>
          <w:sz w:val="20"/>
          <w:szCs w:val="20"/>
        </w:rPr>
        <w:t xml:space="preserve"> </w:t>
      </w:r>
      <w:r w:rsidR="003F284D">
        <w:rPr>
          <w:rFonts w:ascii="Arial" w:hAnsi="Arial" w:cs="Arial"/>
          <w:sz w:val="20"/>
          <w:szCs w:val="20"/>
        </w:rPr>
        <w:t xml:space="preserve"> kontrol na mieste v rámci </w:t>
      </w:r>
      <w:r w:rsidRPr="006A2BF3">
        <w:rPr>
          <w:rFonts w:ascii="Arial" w:hAnsi="Arial" w:cs="Arial"/>
          <w:sz w:val="20"/>
          <w:szCs w:val="20"/>
        </w:rPr>
        <w:t>prioritn</w:t>
      </w:r>
      <w:r w:rsidR="003F284D">
        <w:rPr>
          <w:rFonts w:ascii="Arial" w:hAnsi="Arial" w:cs="Arial"/>
          <w:sz w:val="20"/>
          <w:szCs w:val="20"/>
        </w:rPr>
        <w:t>e</w:t>
      </w:r>
      <w:r w:rsidRPr="006A2BF3">
        <w:rPr>
          <w:rFonts w:ascii="Arial" w:hAnsi="Arial" w:cs="Arial"/>
          <w:sz w:val="20"/>
          <w:szCs w:val="20"/>
        </w:rPr>
        <w:t xml:space="preserve"> os</w:t>
      </w:r>
      <w:r w:rsidR="003F284D">
        <w:rPr>
          <w:rFonts w:ascii="Arial" w:hAnsi="Arial" w:cs="Arial"/>
          <w:sz w:val="20"/>
          <w:szCs w:val="20"/>
        </w:rPr>
        <w:t>i</w:t>
      </w:r>
      <w:r w:rsidRPr="006A2BF3">
        <w:rPr>
          <w:rFonts w:ascii="Arial" w:hAnsi="Arial" w:cs="Arial"/>
          <w:sz w:val="20"/>
          <w:szCs w:val="20"/>
        </w:rPr>
        <w:t xml:space="preserve"> 2, </w:t>
      </w:r>
      <w:r w:rsidR="00156337">
        <w:rPr>
          <w:rFonts w:ascii="Arial" w:hAnsi="Arial" w:cs="Arial"/>
          <w:sz w:val="20"/>
          <w:szCs w:val="20"/>
        </w:rPr>
        <w:t>56</w:t>
      </w:r>
      <w:r w:rsidR="003F284D">
        <w:rPr>
          <w:rFonts w:ascii="Arial" w:hAnsi="Arial" w:cs="Arial"/>
          <w:sz w:val="20"/>
          <w:szCs w:val="20"/>
        </w:rPr>
        <w:t xml:space="preserve"> kontrol na mieste v rámci</w:t>
      </w:r>
      <w:r w:rsidRPr="006A2BF3">
        <w:rPr>
          <w:rFonts w:ascii="Arial" w:hAnsi="Arial" w:cs="Arial"/>
          <w:sz w:val="20"/>
          <w:szCs w:val="20"/>
        </w:rPr>
        <w:t xml:space="preserve"> prioritn</w:t>
      </w:r>
      <w:r w:rsidR="003F284D">
        <w:rPr>
          <w:rFonts w:ascii="Arial" w:hAnsi="Arial" w:cs="Arial"/>
          <w:sz w:val="20"/>
          <w:szCs w:val="20"/>
        </w:rPr>
        <w:t xml:space="preserve">ej </w:t>
      </w:r>
      <w:r w:rsidRPr="006A2BF3">
        <w:rPr>
          <w:rFonts w:ascii="Arial" w:hAnsi="Arial" w:cs="Arial"/>
          <w:sz w:val="20"/>
          <w:szCs w:val="20"/>
        </w:rPr>
        <w:t>os</w:t>
      </w:r>
      <w:r w:rsidR="003F284D">
        <w:rPr>
          <w:rFonts w:ascii="Arial" w:hAnsi="Arial" w:cs="Arial"/>
          <w:sz w:val="20"/>
          <w:szCs w:val="20"/>
        </w:rPr>
        <w:t>i</w:t>
      </w:r>
      <w:r w:rsidRPr="006A2BF3">
        <w:rPr>
          <w:rFonts w:ascii="Arial" w:hAnsi="Arial" w:cs="Arial"/>
          <w:sz w:val="20"/>
          <w:szCs w:val="20"/>
        </w:rPr>
        <w:t xml:space="preserve"> 3, </w:t>
      </w:r>
      <w:r w:rsidR="00156337">
        <w:rPr>
          <w:rFonts w:ascii="Arial" w:hAnsi="Arial" w:cs="Arial"/>
          <w:sz w:val="20"/>
          <w:szCs w:val="20"/>
        </w:rPr>
        <w:t>97</w:t>
      </w:r>
      <w:r w:rsidR="003F284D">
        <w:rPr>
          <w:rFonts w:ascii="Arial" w:hAnsi="Arial" w:cs="Arial"/>
          <w:sz w:val="20"/>
          <w:szCs w:val="20"/>
        </w:rPr>
        <w:t xml:space="preserve"> kontrol na mieste</w:t>
      </w:r>
      <w:r w:rsidRPr="006A2BF3">
        <w:rPr>
          <w:rFonts w:ascii="Arial" w:hAnsi="Arial" w:cs="Arial"/>
          <w:sz w:val="20"/>
          <w:szCs w:val="20"/>
        </w:rPr>
        <w:t xml:space="preserve"> prioritn</w:t>
      </w:r>
      <w:r w:rsidR="003F284D">
        <w:rPr>
          <w:rFonts w:ascii="Arial" w:hAnsi="Arial" w:cs="Arial"/>
          <w:sz w:val="20"/>
          <w:szCs w:val="20"/>
        </w:rPr>
        <w:t xml:space="preserve">ej </w:t>
      </w:r>
      <w:r w:rsidRPr="006A2BF3">
        <w:rPr>
          <w:rFonts w:ascii="Arial" w:hAnsi="Arial" w:cs="Arial"/>
          <w:sz w:val="20"/>
          <w:szCs w:val="20"/>
        </w:rPr>
        <w:t>os</w:t>
      </w:r>
      <w:r w:rsidR="003F284D">
        <w:rPr>
          <w:rFonts w:ascii="Arial" w:hAnsi="Arial" w:cs="Arial"/>
          <w:sz w:val="20"/>
          <w:szCs w:val="20"/>
        </w:rPr>
        <w:t>i</w:t>
      </w:r>
      <w:r w:rsidRPr="006A2BF3">
        <w:rPr>
          <w:rFonts w:ascii="Arial" w:hAnsi="Arial" w:cs="Arial"/>
          <w:sz w:val="20"/>
          <w:szCs w:val="20"/>
        </w:rPr>
        <w:t xml:space="preserve"> 4, </w:t>
      </w:r>
      <w:r w:rsidR="00156337">
        <w:rPr>
          <w:rFonts w:ascii="Arial" w:hAnsi="Arial" w:cs="Arial"/>
          <w:sz w:val="20"/>
          <w:szCs w:val="20"/>
        </w:rPr>
        <w:t>6</w:t>
      </w:r>
      <w:r w:rsidR="003F284D">
        <w:rPr>
          <w:rFonts w:ascii="Arial" w:hAnsi="Arial" w:cs="Arial"/>
          <w:sz w:val="20"/>
          <w:szCs w:val="20"/>
        </w:rPr>
        <w:t xml:space="preserve"> kontrol na mieste</w:t>
      </w:r>
      <w:r w:rsidRPr="006A2BF3">
        <w:rPr>
          <w:rFonts w:ascii="Arial" w:hAnsi="Arial" w:cs="Arial"/>
          <w:sz w:val="20"/>
          <w:szCs w:val="20"/>
        </w:rPr>
        <w:t xml:space="preserve"> v rámci prioritnej osi 5 a </w:t>
      </w:r>
      <w:r w:rsidR="00156337">
        <w:rPr>
          <w:rFonts w:ascii="Arial" w:hAnsi="Arial" w:cs="Arial"/>
          <w:sz w:val="20"/>
          <w:szCs w:val="20"/>
        </w:rPr>
        <w:t>3</w:t>
      </w:r>
      <w:r w:rsidRPr="006A2BF3">
        <w:rPr>
          <w:rFonts w:ascii="Arial" w:hAnsi="Arial" w:cs="Arial"/>
          <w:sz w:val="20"/>
          <w:szCs w:val="20"/>
        </w:rPr>
        <w:t xml:space="preserve"> kontrol</w:t>
      </w:r>
      <w:r w:rsidR="00156337">
        <w:rPr>
          <w:rFonts w:ascii="Arial" w:hAnsi="Arial" w:cs="Arial"/>
          <w:sz w:val="20"/>
          <w:szCs w:val="20"/>
        </w:rPr>
        <w:t>y</w:t>
      </w:r>
      <w:r w:rsidRPr="006A2BF3">
        <w:rPr>
          <w:rFonts w:ascii="Arial" w:hAnsi="Arial" w:cs="Arial"/>
          <w:sz w:val="20"/>
          <w:szCs w:val="20"/>
        </w:rPr>
        <w:t xml:space="preserve"> na mieste v rámci prioritnej osi 6. </w:t>
      </w:r>
    </w:p>
    <w:p w:rsidR="003F446D" w:rsidRPr="0051732D" w:rsidRDefault="00411927" w:rsidP="00507035">
      <w:pPr>
        <w:spacing w:before="120" w:after="120" w:line="360" w:lineRule="auto"/>
        <w:jc w:val="both"/>
        <w:rPr>
          <w:rFonts w:ascii="Arial" w:hAnsi="Arial" w:cs="Arial"/>
          <w:sz w:val="20"/>
          <w:szCs w:val="20"/>
        </w:rPr>
      </w:pPr>
      <w:r w:rsidRPr="006A2BF3">
        <w:rPr>
          <w:rFonts w:ascii="Arial" w:hAnsi="Arial" w:cs="Arial"/>
          <w:sz w:val="20"/>
          <w:szCs w:val="20"/>
        </w:rPr>
        <w:t>Kompletný z</w:t>
      </w:r>
      <w:r w:rsidRPr="009B424F">
        <w:rPr>
          <w:rFonts w:ascii="Arial" w:hAnsi="Arial" w:cs="Arial"/>
          <w:sz w:val="20"/>
          <w:szCs w:val="20"/>
        </w:rPr>
        <w:t xml:space="preserve">oznam kontrol na mieste vykonaných </w:t>
      </w:r>
      <w:r w:rsidR="0051732D">
        <w:rPr>
          <w:rFonts w:ascii="Arial" w:hAnsi="Arial" w:cs="Arial"/>
          <w:sz w:val="20"/>
          <w:szCs w:val="20"/>
        </w:rPr>
        <w:t>RO</w:t>
      </w:r>
      <w:r w:rsidRPr="009B424F">
        <w:rPr>
          <w:rFonts w:ascii="Arial" w:hAnsi="Arial" w:cs="Arial"/>
          <w:sz w:val="20"/>
          <w:szCs w:val="20"/>
        </w:rPr>
        <w:t xml:space="preserve"> v r</w:t>
      </w:r>
      <w:r w:rsidR="00156337">
        <w:rPr>
          <w:rFonts w:ascii="Arial" w:hAnsi="Arial" w:cs="Arial"/>
          <w:sz w:val="20"/>
          <w:szCs w:val="20"/>
        </w:rPr>
        <w:t>oku 2012</w:t>
      </w:r>
      <w:r w:rsidRPr="009B424F">
        <w:rPr>
          <w:rFonts w:ascii="Arial" w:hAnsi="Arial" w:cs="Arial"/>
          <w:sz w:val="20"/>
          <w:szCs w:val="20"/>
        </w:rPr>
        <w:t xml:space="preserve"> spolu s</w:t>
      </w:r>
      <w:r w:rsidRPr="006A2BF3">
        <w:rPr>
          <w:rFonts w:ascii="Arial" w:hAnsi="Arial" w:cs="Arial"/>
          <w:sz w:val="20"/>
          <w:szCs w:val="20"/>
        </w:rPr>
        <w:t xml:space="preserve"> termínmi, </w:t>
      </w:r>
      <w:r w:rsidRPr="009B424F">
        <w:rPr>
          <w:rFonts w:ascii="Arial" w:hAnsi="Arial" w:cs="Arial"/>
          <w:sz w:val="20"/>
          <w:szCs w:val="20"/>
        </w:rPr>
        <w:t>prijatými opatreniami a odpočtami je uvedený v </w:t>
      </w:r>
      <w:r w:rsidRPr="003A15BA">
        <w:rPr>
          <w:rFonts w:ascii="Arial" w:hAnsi="Arial" w:cs="Arial"/>
          <w:sz w:val="20"/>
          <w:szCs w:val="20"/>
        </w:rPr>
        <w:t xml:space="preserve">Prílohe č. </w:t>
      </w:r>
      <w:r w:rsidRPr="006A2BF3">
        <w:rPr>
          <w:rFonts w:ascii="Arial" w:hAnsi="Arial" w:cs="Arial"/>
          <w:sz w:val="20"/>
          <w:szCs w:val="20"/>
        </w:rPr>
        <w:t>5 správy</w:t>
      </w:r>
      <w:r w:rsidRPr="003A15BA">
        <w:rPr>
          <w:rFonts w:ascii="Arial" w:hAnsi="Arial" w:cs="Arial"/>
          <w:sz w:val="20"/>
          <w:szCs w:val="20"/>
        </w:rPr>
        <w:t>.</w:t>
      </w:r>
    </w:p>
    <w:p w:rsidR="003F446D" w:rsidRPr="0051732D" w:rsidRDefault="003F446D" w:rsidP="00507035">
      <w:pPr>
        <w:spacing w:before="120" w:after="120"/>
        <w:jc w:val="both"/>
        <w:rPr>
          <w:rFonts w:ascii="Arial" w:hAnsi="Arial" w:cs="Arial"/>
          <w:sz w:val="20"/>
          <w:szCs w:val="20"/>
        </w:rPr>
      </w:pPr>
    </w:p>
    <w:p w:rsidR="003F446D" w:rsidRPr="0051732D" w:rsidRDefault="003F446D" w:rsidP="001540E7">
      <w:pPr>
        <w:numPr>
          <w:ilvl w:val="0"/>
          <w:numId w:val="43"/>
        </w:numPr>
        <w:spacing w:before="120" w:after="120"/>
        <w:jc w:val="both"/>
        <w:rPr>
          <w:rFonts w:ascii="Arial" w:hAnsi="Arial" w:cs="Arial"/>
          <w:b/>
          <w:sz w:val="20"/>
          <w:szCs w:val="20"/>
          <w:u w:val="single"/>
        </w:rPr>
      </w:pPr>
      <w:r>
        <w:rPr>
          <w:rFonts w:ascii="Arial" w:hAnsi="Arial" w:cs="Arial"/>
          <w:b/>
          <w:sz w:val="20"/>
          <w:szCs w:val="20"/>
          <w:u w:val="single"/>
        </w:rPr>
        <w:tab/>
      </w:r>
      <w:r w:rsidRPr="0051732D">
        <w:rPr>
          <w:rFonts w:ascii="Arial" w:hAnsi="Arial" w:cs="Arial"/>
          <w:b/>
          <w:sz w:val="20"/>
          <w:szCs w:val="20"/>
          <w:u w:val="single"/>
        </w:rPr>
        <w:t>Informácie o dodržiavaní lehôt v procesoch spracovávania ŽoP</w:t>
      </w:r>
    </w:p>
    <w:p w:rsidR="00701002" w:rsidRDefault="007E5895" w:rsidP="00507035">
      <w:pPr>
        <w:spacing w:before="120" w:after="120" w:line="360" w:lineRule="auto"/>
        <w:jc w:val="both"/>
        <w:rPr>
          <w:rFonts w:ascii="Arial" w:hAnsi="Arial" w:cs="Arial"/>
          <w:sz w:val="20"/>
          <w:szCs w:val="20"/>
        </w:rPr>
      </w:pPr>
      <w:r>
        <w:rPr>
          <w:rFonts w:ascii="Arial" w:hAnsi="Arial" w:cs="Arial"/>
          <w:sz w:val="20"/>
          <w:szCs w:val="20"/>
        </w:rPr>
        <w:t xml:space="preserve">V roku 2012 vykonal RO </w:t>
      </w:r>
      <w:r w:rsidRPr="00AE52C1">
        <w:rPr>
          <w:rFonts w:ascii="Arial" w:hAnsi="Arial" w:cs="Arial"/>
          <w:bCs/>
          <w:sz w:val="20"/>
          <w:szCs w:val="20"/>
          <w:lang w:eastAsia="en-US"/>
        </w:rPr>
        <w:t>administratívn</w:t>
      </w:r>
      <w:r>
        <w:rPr>
          <w:rFonts w:ascii="Arial" w:hAnsi="Arial" w:cs="Arial"/>
          <w:bCs/>
          <w:sz w:val="20"/>
          <w:szCs w:val="20"/>
          <w:lang w:eastAsia="en-US"/>
        </w:rPr>
        <w:t>u kontrolu na</w:t>
      </w:r>
      <w:r w:rsidRPr="00AE52C1">
        <w:rPr>
          <w:rFonts w:ascii="Arial" w:hAnsi="Arial" w:cs="Arial"/>
          <w:bCs/>
          <w:sz w:val="20"/>
          <w:szCs w:val="20"/>
          <w:lang w:eastAsia="en-US"/>
        </w:rPr>
        <w:t xml:space="preserve"> 1</w:t>
      </w:r>
      <w:r>
        <w:rPr>
          <w:rFonts w:ascii="Arial" w:hAnsi="Arial" w:cs="Arial"/>
          <w:bCs/>
          <w:sz w:val="20"/>
          <w:szCs w:val="20"/>
          <w:lang w:eastAsia="en-US"/>
        </w:rPr>
        <w:t xml:space="preserve"> </w:t>
      </w:r>
      <w:r w:rsidRPr="00AE52C1">
        <w:rPr>
          <w:rFonts w:ascii="Arial" w:hAnsi="Arial" w:cs="Arial"/>
          <w:bCs/>
          <w:sz w:val="20"/>
          <w:szCs w:val="20"/>
          <w:lang w:eastAsia="en-US"/>
        </w:rPr>
        <w:t>656 ŽoP</w:t>
      </w:r>
      <w:r>
        <w:rPr>
          <w:rFonts w:ascii="Arial" w:hAnsi="Arial" w:cs="Arial"/>
          <w:bCs/>
          <w:sz w:val="20"/>
          <w:szCs w:val="20"/>
          <w:lang w:eastAsia="en-US"/>
        </w:rPr>
        <w:t>, z</w:t>
      </w:r>
      <w:r w:rsidRPr="00AE52C1">
        <w:rPr>
          <w:rFonts w:ascii="Arial" w:hAnsi="Arial" w:cs="Arial"/>
          <w:bCs/>
          <w:sz w:val="20"/>
          <w:szCs w:val="20"/>
          <w:lang w:eastAsia="en-US"/>
        </w:rPr>
        <w:t xml:space="preserve"> toho bolo 15 ŽoP </w:t>
      </w:r>
      <w:r>
        <w:rPr>
          <w:rFonts w:ascii="Arial" w:hAnsi="Arial" w:cs="Arial"/>
          <w:bCs/>
          <w:sz w:val="20"/>
          <w:szCs w:val="20"/>
          <w:lang w:eastAsia="en-US"/>
        </w:rPr>
        <w:t xml:space="preserve">zo strany </w:t>
      </w:r>
      <w:r w:rsidRPr="00AE52C1">
        <w:rPr>
          <w:rFonts w:ascii="Arial" w:hAnsi="Arial" w:cs="Arial"/>
          <w:bCs/>
          <w:sz w:val="20"/>
          <w:szCs w:val="20"/>
          <w:lang w:eastAsia="en-US"/>
        </w:rPr>
        <w:t>RO zamietnutých</w:t>
      </w:r>
      <w:r>
        <w:rPr>
          <w:rFonts w:ascii="Arial" w:hAnsi="Arial" w:cs="Arial"/>
          <w:bCs/>
          <w:sz w:val="20"/>
          <w:szCs w:val="20"/>
          <w:lang w:eastAsia="en-US"/>
        </w:rPr>
        <w:t>.</w:t>
      </w:r>
      <w:r w:rsidRPr="0051732D">
        <w:rPr>
          <w:rFonts w:ascii="Arial" w:hAnsi="Arial" w:cs="Arial"/>
          <w:sz w:val="20"/>
          <w:szCs w:val="20"/>
        </w:rPr>
        <w:t xml:space="preserve"> </w:t>
      </w:r>
      <w:r w:rsidR="00701002" w:rsidRPr="0051732D">
        <w:rPr>
          <w:rFonts w:ascii="Arial" w:hAnsi="Arial" w:cs="Arial"/>
          <w:sz w:val="20"/>
          <w:szCs w:val="20"/>
        </w:rPr>
        <w:t xml:space="preserve">Lehoty na kontrolu ŽoP boli zo strany riadiaceho orgánu vo väčšine prípadoch dodržané, v 385 prípadoch došlo k prekročeniu lehoty na kontrolu, najdlhšie prekročenie </w:t>
      </w:r>
      <w:r>
        <w:rPr>
          <w:rFonts w:ascii="Arial" w:hAnsi="Arial" w:cs="Arial"/>
          <w:sz w:val="20"/>
          <w:szCs w:val="20"/>
        </w:rPr>
        <w:t>predstavovalo</w:t>
      </w:r>
      <w:r w:rsidR="00701002" w:rsidRPr="0051732D">
        <w:rPr>
          <w:rFonts w:ascii="Arial" w:hAnsi="Arial" w:cs="Arial"/>
          <w:sz w:val="20"/>
          <w:szCs w:val="20"/>
        </w:rPr>
        <w:t xml:space="preserve"> 257 dní. </w:t>
      </w:r>
    </w:p>
    <w:p w:rsidR="00701002" w:rsidRPr="0051732D" w:rsidRDefault="00701002" w:rsidP="00507035">
      <w:pPr>
        <w:spacing w:before="120" w:after="120" w:line="360" w:lineRule="auto"/>
        <w:jc w:val="both"/>
        <w:rPr>
          <w:rFonts w:ascii="Arial" w:hAnsi="Arial" w:cs="Arial"/>
          <w:sz w:val="20"/>
          <w:szCs w:val="20"/>
        </w:rPr>
      </w:pPr>
      <w:r w:rsidRPr="0051732D">
        <w:rPr>
          <w:rFonts w:ascii="Arial" w:hAnsi="Arial" w:cs="Arial"/>
          <w:sz w:val="20"/>
          <w:szCs w:val="20"/>
        </w:rPr>
        <w:t xml:space="preserve">Uvedená ŽoP bola administrovaná v náročnejšej časovej lehote z dôvodu výkonu spätného overenia   verejného obstarávania na danom projekte na základe požiadavky EK. </w:t>
      </w:r>
    </w:p>
    <w:p w:rsidR="003F446D" w:rsidRDefault="00701002" w:rsidP="00507035">
      <w:pPr>
        <w:spacing w:before="120" w:after="120" w:line="360" w:lineRule="auto"/>
        <w:jc w:val="both"/>
        <w:rPr>
          <w:rFonts w:ascii="Arial" w:hAnsi="Arial" w:cs="Arial"/>
          <w:sz w:val="20"/>
          <w:szCs w:val="20"/>
        </w:rPr>
      </w:pPr>
      <w:r w:rsidRPr="00701002">
        <w:rPr>
          <w:rFonts w:ascii="Arial" w:hAnsi="Arial" w:cs="Arial"/>
          <w:sz w:val="20"/>
          <w:szCs w:val="20"/>
        </w:rPr>
        <w:t>Priemerné prekročenie lehoty na kontrolu bolo 34 dní. Hlavnou príčinou zvýšenej hodnoty ukazovateľa priemerného omeškania zo všetkých omeškaní bolo v roku 2012 pozastavenie platieb prijímateľom na vybraných projektoch, na ktorých v roku 2012 prebiehalo spätné overenie verejného obstarávania na základe požiadavky EK. Ako ďalším faktorom bola zvýšená administratívna náročnosť nárokovaných výdavkov zo strany prijímateľa (za dlhšie časové obdobie realizácie projektu, zložitá podporná dokumentácia..)</w:t>
      </w:r>
    </w:p>
    <w:p w:rsidR="00B02020" w:rsidRPr="0051732D" w:rsidRDefault="00B02020" w:rsidP="00507035">
      <w:pPr>
        <w:spacing w:before="120" w:after="120" w:line="360" w:lineRule="auto"/>
        <w:jc w:val="both"/>
        <w:rPr>
          <w:rFonts w:cs="Arial"/>
          <w:sz w:val="20"/>
          <w:szCs w:val="20"/>
        </w:rPr>
      </w:pPr>
    </w:p>
    <w:p w:rsidR="002416B1" w:rsidRPr="004B33AE" w:rsidRDefault="002416B1" w:rsidP="00507035">
      <w:pPr>
        <w:pStyle w:val="Nadpis3"/>
        <w:spacing w:before="120" w:after="120"/>
      </w:pPr>
      <w:bookmarkStart w:id="22" w:name="_Toc319573304"/>
      <w:bookmarkStart w:id="23" w:name="_GoBack"/>
      <w:bookmarkEnd w:id="23"/>
      <w:r w:rsidRPr="006A2BF3">
        <w:t>2.1.3 Implementácia štrukturálnych fondov a Kohézneho fondu z regionálneho aspektu</w:t>
      </w:r>
      <w:bookmarkEnd w:id="22"/>
    </w:p>
    <w:p w:rsidR="002416B1" w:rsidRDefault="00685184" w:rsidP="00507035">
      <w:pPr>
        <w:spacing w:before="120" w:after="120" w:line="360" w:lineRule="auto"/>
        <w:jc w:val="both"/>
        <w:rPr>
          <w:rFonts w:ascii="Arial" w:hAnsi="Arial" w:cs="Arial"/>
          <w:sz w:val="20"/>
          <w:szCs w:val="20"/>
        </w:rPr>
      </w:pPr>
      <w:r>
        <w:rPr>
          <w:rFonts w:ascii="Arial" w:hAnsi="Arial" w:cs="Arial"/>
          <w:sz w:val="20"/>
          <w:szCs w:val="20"/>
        </w:rPr>
        <w:t xml:space="preserve">Jedným z východísk tvorby </w:t>
      </w:r>
      <w:r w:rsidR="002416B1" w:rsidRPr="004B33AE">
        <w:rPr>
          <w:rFonts w:ascii="Arial" w:hAnsi="Arial" w:cs="Arial"/>
          <w:sz w:val="20"/>
          <w:szCs w:val="20"/>
        </w:rPr>
        <w:t>OP ŽP bola analýza socioekonomickej situácie SR, v rámci ktorej ako jedna z dôležitých disparít bola identifikovaná nedostatočná kvalita a nedobudovanosť environmentálnej infraštruktúry. Stav environmentálnej infraštruktúry patrí k rozhodujúcim faktorom ekonomického rozvoja a konkurencieschopnosti ekonomiky, pričom OP ŽP prostredníctvom svojich prioritných osí, resp. operačných cieľov prispieva k budovaniu a modernizácii environmentálnej infraštruktúry a ochrane životného prostredia, a tým k</w:t>
      </w:r>
      <w:r w:rsidR="00957B1B">
        <w:rPr>
          <w:rFonts w:ascii="Arial" w:hAnsi="Arial" w:cs="Arial"/>
          <w:sz w:val="20"/>
          <w:szCs w:val="20"/>
        </w:rPr>
        <w:t> podpore rozvoja</w:t>
      </w:r>
      <w:r w:rsidR="002416B1" w:rsidRPr="004B33AE">
        <w:rPr>
          <w:rFonts w:ascii="Arial" w:hAnsi="Arial" w:cs="Arial"/>
          <w:sz w:val="20"/>
          <w:szCs w:val="20"/>
        </w:rPr>
        <w:t>  regi</w:t>
      </w:r>
      <w:r w:rsidR="00957B1B">
        <w:rPr>
          <w:rFonts w:ascii="Arial" w:hAnsi="Arial" w:cs="Arial"/>
          <w:sz w:val="20"/>
          <w:szCs w:val="20"/>
        </w:rPr>
        <w:t>ónov.</w:t>
      </w:r>
      <w:r w:rsidR="002416B1" w:rsidRPr="004B33AE">
        <w:rPr>
          <w:rFonts w:ascii="Arial" w:hAnsi="Arial" w:cs="Arial"/>
          <w:sz w:val="20"/>
          <w:szCs w:val="20"/>
        </w:rPr>
        <w:t xml:space="preserve"> </w:t>
      </w:r>
    </w:p>
    <w:p w:rsidR="00957B1B" w:rsidRPr="004B33AE" w:rsidRDefault="00957B1B" w:rsidP="00957B1B">
      <w:pPr>
        <w:spacing w:before="240" w:line="360" w:lineRule="auto"/>
        <w:jc w:val="both"/>
        <w:rPr>
          <w:rFonts w:ascii="Arial" w:hAnsi="Arial" w:cs="Arial"/>
          <w:sz w:val="20"/>
          <w:szCs w:val="20"/>
        </w:rPr>
      </w:pPr>
      <w:r>
        <w:rPr>
          <w:rFonts w:ascii="Arial" w:hAnsi="Arial" w:cs="Arial"/>
          <w:b/>
          <w:sz w:val="20"/>
          <w:szCs w:val="20"/>
        </w:rPr>
        <w:t>Analýza uplatňovania indikatívnych regionálnych alokácií v rámci OP ŽP</w:t>
      </w:r>
    </w:p>
    <w:p w:rsidR="002416B1" w:rsidRPr="004B33AE" w:rsidRDefault="002416B1" w:rsidP="00507035">
      <w:pPr>
        <w:spacing w:before="120" w:after="120" w:line="360" w:lineRule="auto"/>
        <w:jc w:val="both"/>
        <w:rPr>
          <w:rFonts w:ascii="Arial" w:hAnsi="Arial" w:cs="Arial"/>
          <w:sz w:val="20"/>
          <w:szCs w:val="20"/>
          <w:u w:val="single"/>
        </w:rPr>
      </w:pPr>
      <w:r w:rsidRPr="004B33AE">
        <w:rPr>
          <w:rFonts w:ascii="Arial" w:hAnsi="Arial" w:cs="Arial"/>
          <w:sz w:val="20"/>
          <w:szCs w:val="20"/>
        </w:rPr>
        <w:t>OP ŽP je z prevažnej časti (1 569 243 065 EUR) financovaný z prostriedkov Kohézneho fondu, ktorého programovanie sa uskutočňuje na úrovni NUTS I. Stratégia OP ŽP a následne aj jeho implementácia je preto v prvom rade podriadená dosiahnutiu globálneho cieľa OP ŽP na národnej úrovni, ktorým je zlepšenie stavu životného prostredia SR prostredníctvom dobudovania a skvalitnenia environmentálnej infraštruktúry SR v zmysle predpisov SR a EÚ, so zameraním najmä na splnenie záväzkov SR vyplývajúcich zo Zmluvy o pristúpení k EÚ.</w:t>
      </w:r>
      <w:r w:rsidRPr="004B33AE">
        <w:rPr>
          <w:rFonts w:ascii="Arial" w:hAnsi="Arial" w:cs="Arial"/>
          <w:sz w:val="20"/>
          <w:szCs w:val="20"/>
          <w:u w:val="single"/>
        </w:rPr>
        <w:t xml:space="preserve"> </w:t>
      </w:r>
    </w:p>
    <w:p w:rsidR="002416B1" w:rsidRPr="00957B1B" w:rsidRDefault="002416B1" w:rsidP="00507035">
      <w:pPr>
        <w:spacing w:before="120" w:after="120" w:line="360" w:lineRule="auto"/>
        <w:jc w:val="both"/>
        <w:rPr>
          <w:rFonts w:ascii="Arial" w:hAnsi="Arial" w:cs="Arial"/>
          <w:sz w:val="20"/>
          <w:szCs w:val="20"/>
        </w:rPr>
      </w:pPr>
      <w:r w:rsidRPr="00957B1B">
        <w:rPr>
          <w:rFonts w:ascii="Arial" w:hAnsi="Arial" w:cs="Arial"/>
          <w:sz w:val="20"/>
          <w:szCs w:val="20"/>
        </w:rPr>
        <w:t>Indikatívne rozdelenie alokácie na regionálnej úrovni je preto podriadené dosiahnutiu vyššie uvedeného cieľa na národnej úrovni a teda je významné v tej miere, v akej napomáha dosiahnutiu hlavného cieľa na úrovni NUTS I.</w:t>
      </w:r>
    </w:p>
    <w:p w:rsidR="00957B1B" w:rsidRPr="00B04336" w:rsidRDefault="002416B1" w:rsidP="0055230E">
      <w:pPr>
        <w:spacing w:line="360" w:lineRule="auto"/>
        <w:jc w:val="both"/>
        <w:rPr>
          <w:rFonts w:ascii="Arial" w:hAnsi="Arial" w:cs="Arial"/>
          <w:sz w:val="20"/>
          <w:szCs w:val="20"/>
        </w:rPr>
      </w:pPr>
      <w:r w:rsidRPr="0055230E">
        <w:rPr>
          <w:rFonts w:ascii="Arial" w:hAnsi="Arial" w:cs="Arial"/>
          <w:sz w:val="20"/>
          <w:szCs w:val="20"/>
        </w:rPr>
        <w:t xml:space="preserve">Indikatívne regionálne alokácie </w:t>
      </w:r>
      <w:r w:rsidR="0055230E" w:rsidRPr="0055230E">
        <w:rPr>
          <w:rFonts w:ascii="Arial" w:hAnsi="Arial" w:cs="Arial"/>
          <w:sz w:val="20"/>
          <w:szCs w:val="20"/>
        </w:rPr>
        <w:t xml:space="preserve">sú </w:t>
      </w:r>
      <w:r w:rsidRPr="0055230E">
        <w:rPr>
          <w:rFonts w:ascii="Arial" w:hAnsi="Arial" w:cs="Arial"/>
          <w:sz w:val="20"/>
          <w:szCs w:val="20"/>
        </w:rPr>
        <w:t>v rámci OP ŽP prílohou č. 15</w:t>
      </w:r>
      <w:r w:rsidR="0055230E" w:rsidRPr="0055230E">
        <w:rPr>
          <w:rFonts w:ascii="Arial" w:hAnsi="Arial" w:cs="Arial"/>
          <w:sz w:val="20"/>
          <w:szCs w:val="20"/>
        </w:rPr>
        <w:t xml:space="preserve"> </w:t>
      </w:r>
      <w:r w:rsidR="0055230E" w:rsidRPr="0055230E">
        <w:rPr>
          <w:rFonts w:ascii="Arial" w:hAnsi="Arial" w:cs="Arial"/>
          <w:bCs/>
          <w:sz w:val="20"/>
          <w:szCs w:val="20"/>
        </w:rPr>
        <w:t>Východiská a zdôvodnenie indikatívneho rozdelenia alokácií na regionálnej úrovni</w:t>
      </w:r>
      <w:r w:rsidR="0055230E" w:rsidRPr="0055230E">
        <w:rPr>
          <w:rFonts w:ascii="Arial" w:hAnsi="Arial" w:cs="Arial"/>
          <w:sz w:val="20"/>
          <w:szCs w:val="20"/>
        </w:rPr>
        <w:t xml:space="preserve">. </w:t>
      </w:r>
      <w:r w:rsidR="0055230E">
        <w:rPr>
          <w:rFonts w:ascii="Arial" w:hAnsi="Arial" w:cs="Arial"/>
          <w:sz w:val="20"/>
          <w:szCs w:val="20"/>
        </w:rPr>
        <w:t>R</w:t>
      </w:r>
      <w:r w:rsidR="00957B1B" w:rsidRPr="0055230E">
        <w:rPr>
          <w:rFonts w:ascii="Arial" w:hAnsi="Arial" w:cs="Arial"/>
          <w:sz w:val="20"/>
          <w:szCs w:val="20"/>
        </w:rPr>
        <w:t>egionálne alokácie uvedené v prílohe č. 15 OP ŽP sú zadefinované ako také, ktoré majú indikatívny, t.j. orientačný, a nie záväzný  charakter. Zadefinovanie regionálnych alokácií ako nezáväzných je jednoznačne a explicitne uvedené aj v</w:t>
      </w:r>
      <w:r w:rsidR="0055230E">
        <w:rPr>
          <w:rFonts w:ascii="Arial" w:hAnsi="Arial" w:cs="Arial"/>
          <w:sz w:val="20"/>
          <w:szCs w:val="20"/>
        </w:rPr>
        <w:t> </w:t>
      </w:r>
      <w:r w:rsidR="00957B1B" w:rsidRPr="0055230E">
        <w:rPr>
          <w:rFonts w:ascii="Arial" w:hAnsi="Arial" w:cs="Arial"/>
          <w:sz w:val="20"/>
          <w:szCs w:val="20"/>
        </w:rPr>
        <w:t>texte</w:t>
      </w:r>
      <w:r w:rsidR="0055230E">
        <w:rPr>
          <w:rFonts w:ascii="Arial" w:hAnsi="Arial" w:cs="Arial"/>
          <w:sz w:val="20"/>
          <w:szCs w:val="20"/>
        </w:rPr>
        <w:t xml:space="preserve"> </w:t>
      </w:r>
      <w:r w:rsidR="0055230E" w:rsidRPr="00B04336">
        <w:rPr>
          <w:rFonts w:ascii="Arial" w:hAnsi="Arial" w:cs="Arial"/>
          <w:sz w:val="20"/>
          <w:szCs w:val="20"/>
        </w:rPr>
        <w:t>uvedenej</w:t>
      </w:r>
      <w:r w:rsidR="00957B1B" w:rsidRPr="00B04336">
        <w:rPr>
          <w:rFonts w:ascii="Arial" w:hAnsi="Arial" w:cs="Arial"/>
          <w:sz w:val="20"/>
          <w:szCs w:val="20"/>
        </w:rPr>
        <w:t xml:space="preserve">  prílohy</w:t>
      </w:r>
      <w:r w:rsidR="0055230E" w:rsidRPr="00B04336">
        <w:rPr>
          <w:rFonts w:ascii="Arial" w:hAnsi="Arial" w:cs="Arial"/>
          <w:sz w:val="20"/>
          <w:szCs w:val="20"/>
        </w:rPr>
        <w:t xml:space="preserve">, </w:t>
      </w:r>
      <w:r w:rsidR="00957B1B" w:rsidRPr="00B04336">
        <w:rPr>
          <w:rFonts w:ascii="Arial" w:hAnsi="Arial" w:cs="Arial"/>
          <w:sz w:val="20"/>
          <w:szCs w:val="20"/>
        </w:rPr>
        <w:t xml:space="preserve"> v</w:t>
      </w:r>
      <w:r w:rsidR="0055230E" w:rsidRPr="00B04336">
        <w:rPr>
          <w:rFonts w:ascii="Arial" w:hAnsi="Arial" w:cs="Arial"/>
          <w:sz w:val="20"/>
          <w:szCs w:val="20"/>
        </w:rPr>
        <w:t> </w:t>
      </w:r>
      <w:r w:rsidR="00957B1B" w:rsidRPr="00B04336">
        <w:rPr>
          <w:rFonts w:ascii="Arial" w:hAnsi="Arial" w:cs="Arial"/>
          <w:sz w:val="20"/>
          <w:szCs w:val="20"/>
        </w:rPr>
        <w:t>úvode</w:t>
      </w:r>
      <w:r w:rsidR="0055230E" w:rsidRPr="00B04336">
        <w:rPr>
          <w:rFonts w:ascii="Arial" w:hAnsi="Arial" w:cs="Arial"/>
          <w:sz w:val="20"/>
          <w:szCs w:val="20"/>
        </w:rPr>
        <w:t xml:space="preserve"> ktorej sa  </w:t>
      </w:r>
      <w:r w:rsidR="00957B1B" w:rsidRPr="00B04336">
        <w:rPr>
          <w:rFonts w:ascii="Arial" w:hAnsi="Arial" w:cs="Arial"/>
          <w:sz w:val="20"/>
          <w:szCs w:val="20"/>
        </w:rPr>
        <w:t xml:space="preserve"> </w:t>
      </w:r>
      <w:r w:rsidR="0055230E" w:rsidRPr="00B04336">
        <w:rPr>
          <w:rFonts w:ascii="Arial" w:hAnsi="Arial" w:cs="Arial"/>
          <w:sz w:val="20"/>
          <w:szCs w:val="20"/>
        </w:rPr>
        <w:t xml:space="preserve">priamo konštatuje, že </w:t>
      </w:r>
      <w:r w:rsidR="00957B1B" w:rsidRPr="00B04336">
        <w:rPr>
          <w:rFonts w:ascii="Arial" w:hAnsi="Arial" w:cs="Arial"/>
          <w:sz w:val="20"/>
          <w:szCs w:val="20"/>
        </w:rPr>
        <w:t>: „</w:t>
      </w:r>
      <w:r w:rsidR="00957B1B" w:rsidRPr="00B04336">
        <w:rPr>
          <w:rFonts w:ascii="Arial" w:hAnsi="Arial" w:cs="Arial"/>
          <w:sz w:val="20"/>
          <w:szCs w:val="20"/>
          <w:u w:val="single"/>
        </w:rPr>
        <w:t>Percentuálne prerozdelenie finančných prostriedkov pre jednotlivé kraje</w:t>
      </w:r>
      <w:r w:rsidR="00957B1B" w:rsidRPr="00B04336">
        <w:rPr>
          <w:rFonts w:ascii="Arial" w:hAnsi="Arial" w:cs="Arial"/>
          <w:sz w:val="20"/>
          <w:szCs w:val="20"/>
        </w:rPr>
        <w:t xml:space="preserve"> (NUTS III) </w:t>
      </w:r>
      <w:r w:rsidR="00957B1B" w:rsidRPr="00B04336">
        <w:rPr>
          <w:rFonts w:ascii="Arial" w:hAnsi="Arial" w:cs="Arial"/>
          <w:sz w:val="20"/>
          <w:szCs w:val="20"/>
          <w:u w:val="single"/>
        </w:rPr>
        <w:t>je potrebné  považovať za orientačné</w:t>
      </w:r>
      <w:r w:rsidR="00957B1B" w:rsidRPr="00B04336">
        <w:rPr>
          <w:rFonts w:ascii="Arial" w:hAnsi="Arial" w:cs="Arial"/>
          <w:sz w:val="20"/>
          <w:szCs w:val="20"/>
        </w:rPr>
        <w:t>, vytvorené odborným odhadom na základe podkladov, ktoré boli k dispozícii v rámci prípravy operačného programu.</w:t>
      </w:r>
    </w:p>
    <w:p w:rsidR="00957B1B" w:rsidRPr="00B04336" w:rsidRDefault="00957B1B">
      <w:pPr>
        <w:overflowPunct w:val="0"/>
        <w:autoSpaceDE w:val="0"/>
        <w:autoSpaceDN w:val="0"/>
        <w:adjustRightInd w:val="0"/>
        <w:spacing w:line="360" w:lineRule="auto"/>
        <w:jc w:val="both"/>
        <w:textAlignment w:val="baseline"/>
        <w:rPr>
          <w:rFonts w:ascii="Arial" w:hAnsi="Arial" w:cs="Arial"/>
          <w:sz w:val="20"/>
          <w:szCs w:val="20"/>
        </w:rPr>
      </w:pPr>
      <w:r w:rsidRPr="00B04336">
        <w:rPr>
          <w:rFonts w:ascii="Arial" w:hAnsi="Arial" w:cs="Arial"/>
          <w:sz w:val="20"/>
          <w:szCs w:val="20"/>
          <w:u w:val="single"/>
        </w:rPr>
        <w:t>Reálne regionálne rozdelenie finančných alokácií v procese implementácie OP ŽP bude  ovplyvnené pripravenosťou projektov žiadateľov z jednotlivých VÚC, počtom a najmä kvalitou predložených žiadostí</w:t>
      </w:r>
      <w:r w:rsidRPr="00B04336">
        <w:rPr>
          <w:rFonts w:ascii="Arial" w:hAnsi="Arial" w:cs="Arial"/>
          <w:sz w:val="20"/>
          <w:szCs w:val="20"/>
        </w:rPr>
        <w:t xml:space="preserve">“. </w:t>
      </w:r>
    </w:p>
    <w:p w:rsidR="00074E8B" w:rsidRPr="00B04336" w:rsidRDefault="002416B1">
      <w:pPr>
        <w:spacing w:before="120" w:after="120" w:line="360" w:lineRule="auto"/>
        <w:jc w:val="both"/>
        <w:rPr>
          <w:rFonts w:ascii="Arial" w:hAnsi="Arial" w:cs="Arial"/>
          <w:sz w:val="20"/>
          <w:szCs w:val="20"/>
        </w:rPr>
      </w:pPr>
      <w:r w:rsidRPr="00B04336">
        <w:rPr>
          <w:rFonts w:ascii="Arial" w:hAnsi="Arial" w:cs="Arial"/>
          <w:sz w:val="20"/>
          <w:szCs w:val="20"/>
        </w:rPr>
        <w:t>Základným východiskom pre územný priemet poskytovania finančných prostriedkov z OP ŽP je v zmysle schváleného operačného programu geografická oprávnenosť regiónov čerpať finančné prostriedky z</w:t>
      </w:r>
      <w:r w:rsidR="0055230E" w:rsidRPr="00B04336">
        <w:rPr>
          <w:rFonts w:ascii="Arial" w:hAnsi="Arial" w:cs="Arial"/>
          <w:sz w:val="20"/>
          <w:szCs w:val="20"/>
        </w:rPr>
        <w:t xml:space="preserve"> príslušných fondov  </w:t>
      </w:r>
      <w:r w:rsidRPr="00B04336">
        <w:rPr>
          <w:rFonts w:ascii="Arial" w:hAnsi="Arial" w:cs="Arial"/>
          <w:sz w:val="20"/>
          <w:szCs w:val="20"/>
        </w:rPr>
        <w:t>EÚ</w:t>
      </w:r>
      <w:r w:rsidR="0055230E" w:rsidRPr="00B04336">
        <w:rPr>
          <w:rFonts w:ascii="Arial" w:hAnsi="Arial" w:cs="Arial"/>
          <w:sz w:val="20"/>
          <w:szCs w:val="20"/>
        </w:rPr>
        <w:t>,</w:t>
      </w:r>
      <w:r w:rsidR="00074E8B" w:rsidRPr="00B04336">
        <w:rPr>
          <w:rFonts w:ascii="Arial" w:hAnsi="Arial" w:cs="Arial"/>
          <w:sz w:val="20"/>
          <w:szCs w:val="20"/>
        </w:rPr>
        <w:t xml:space="preserve"> </w:t>
      </w:r>
      <w:r w:rsidR="0055230E" w:rsidRPr="00B04336">
        <w:rPr>
          <w:rFonts w:ascii="Arial" w:hAnsi="Arial" w:cs="Arial"/>
          <w:sz w:val="20"/>
          <w:szCs w:val="20"/>
        </w:rPr>
        <w:t>ktor</w:t>
      </w:r>
      <w:r w:rsidR="00074E8B" w:rsidRPr="00B04336">
        <w:rPr>
          <w:rFonts w:ascii="Arial" w:hAnsi="Arial" w:cs="Arial"/>
          <w:sz w:val="20"/>
          <w:szCs w:val="20"/>
        </w:rPr>
        <w:t xml:space="preserve">ými je tvorená alokácia </w:t>
      </w:r>
      <w:r w:rsidR="0055230E" w:rsidRPr="00B04336">
        <w:rPr>
          <w:rFonts w:ascii="Arial" w:hAnsi="Arial" w:cs="Arial"/>
          <w:sz w:val="20"/>
          <w:szCs w:val="20"/>
        </w:rPr>
        <w:t>OP ŽP</w:t>
      </w:r>
      <w:r w:rsidRPr="00B04336">
        <w:rPr>
          <w:rFonts w:ascii="Arial" w:hAnsi="Arial" w:cs="Arial"/>
          <w:sz w:val="20"/>
          <w:szCs w:val="20"/>
        </w:rPr>
        <w:t>.</w:t>
      </w:r>
    </w:p>
    <w:p w:rsidR="00250834" w:rsidRDefault="00250834" w:rsidP="001542F8">
      <w:pPr>
        <w:spacing w:after="120" w:line="360" w:lineRule="auto"/>
        <w:jc w:val="both"/>
        <w:rPr>
          <w:rFonts w:ascii="Arial" w:hAnsi="Arial" w:cs="Arial"/>
          <w:sz w:val="20"/>
          <w:szCs w:val="20"/>
        </w:rPr>
      </w:pPr>
      <w:r w:rsidRPr="00B04336">
        <w:rPr>
          <w:rFonts w:ascii="Arial" w:hAnsi="Arial" w:cs="Arial"/>
          <w:sz w:val="20"/>
          <w:szCs w:val="20"/>
        </w:rPr>
        <w:t>Východiská uplatnenia</w:t>
      </w:r>
      <w:r w:rsidRPr="00B04336">
        <w:rPr>
          <w:rFonts w:ascii="Arial" w:hAnsi="Arial" w:cs="Arial"/>
          <w:b/>
          <w:sz w:val="20"/>
          <w:szCs w:val="20"/>
        </w:rPr>
        <w:t xml:space="preserve"> </w:t>
      </w:r>
      <w:r w:rsidRPr="00B04336">
        <w:rPr>
          <w:rFonts w:ascii="Arial" w:hAnsi="Arial" w:cs="Arial"/>
          <w:sz w:val="20"/>
          <w:szCs w:val="20"/>
        </w:rPr>
        <w:t>regionálneho princípu v priebehu procesu programovania, ale aj samotnej implementácie OP ŽP boli v procese programovania OP ŽP nasledovné:</w:t>
      </w:r>
    </w:p>
    <w:p w:rsidR="00B04336" w:rsidRPr="00B04336" w:rsidRDefault="00B04336" w:rsidP="001542F8">
      <w:pPr>
        <w:spacing w:after="120" w:line="360" w:lineRule="auto"/>
        <w:jc w:val="both"/>
        <w:rPr>
          <w:rFonts w:ascii="Arial" w:hAnsi="Arial" w:cs="Arial"/>
          <w:sz w:val="20"/>
          <w:szCs w:val="20"/>
        </w:rPr>
      </w:pPr>
    </w:p>
    <w:p w:rsidR="00250834" w:rsidRPr="001542F8" w:rsidRDefault="00685184" w:rsidP="001542F8">
      <w:pPr>
        <w:pStyle w:val="Odsekzoznamu"/>
        <w:numPr>
          <w:ilvl w:val="0"/>
          <w:numId w:val="123"/>
        </w:numPr>
        <w:spacing w:line="360" w:lineRule="auto"/>
        <w:jc w:val="both"/>
        <w:rPr>
          <w:rFonts w:ascii="Arial" w:hAnsi="Arial" w:cs="Arial"/>
          <w:b/>
          <w:sz w:val="20"/>
          <w:szCs w:val="20"/>
        </w:rPr>
      </w:pPr>
      <w:r w:rsidRPr="001542F8">
        <w:rPr>
          <w:rFonts w:ascii="Arial" w:hAnsi="Arial" w:cs="Arial"/>
          <w:b/>
          <w:sz w:val="20"/>
          <w:szCs w:val="20"/>
        </w:rPr>
        <w:t>Legislatívne východisko</w:t>
      </w:r>
      <w:r w:rsidR="00250834" w:rsidRPr="001542F8">
        <w:rPr>
          <w:rFonts w:ascii="Arial" w:hAnsi="Arial" w:cs="Arial"/>
          <w:b/>
          <w:sz w:val="20"/>
          <w:szCs w:val="20"/>
        </w:rPr>
        <w:t xml:space="preserve">: čl. 35 ods. 1 </w:t>
      </w:r>
      <w:r w:rsidRPr="001542F8">
        <w:rPr>
          <w:rFonts w:ascii="Arial" w:hAnsi="Arial" w:cs="Arial"/>
          <w:b/>
          <w:sz w:val="20"/>
          <w:szCs w:val="20"/>
        </w:rPr>
        <w:t>všeobecného nariadenia</w:t>
      </w:r>
      <w:r w:rsidR="00250834" w:rsidRPr="001542F8">
        <w:rPr>
          <w:rFonts w:ascii="Arial" w:hAnsi="Arial" w:cs="Arial"/>
          <w:b/>
          <w:sz w:val="20"/>
          <w:szCs w:val="20"/>
        </w:rPr>
        <w:t xml:space="preserve"> - národná úroveň programovania OP ŽP </w:t>
      </w:r>
    </w:p>
    <w:p w:rsidR="00250834" w:rsidRPr="001542F8" w:rsidRDefault="00250834" w:rsidP="001542F8">
      <w:pPr>
        <w:spacing w:after="120" w:line="360" w:lineRule="auto"/>
        <w:ind w:right="-1"/>
        <w:jc w:val="both"/>
        <w:rPr>
          <w:rFonts w:ascii="Arial" w:hAnsi="Arial" w:cs="Arial"/>
          <w:bCs/>
          <w:sz w:val="20"/>
          <w:szCs w:val="20"/>
        </w:rPr>
      </w:pPr>
      <w:r w:rsidRPr="001542F8">
        <w:rPr>
          <w:rFonts w:ascii="Arial" w:hAnsi="Arial" w:cs="Arial"/>
          <w:sz w:val="20"/>
          <w:szCs w:val="20"/>
        </w:rPr>
        <w:t>V</w:t>
      </w:r>
      <w:r w:rsidR="00391CF6">
        <w:rPr>
          <w:rFonts w:ascii="Arial" w:hAnsi="Arial" w:cs="Arial"/>
          <w:sz w:val="20"/>
          <w:szCs w:val="20"/>
        </w:rPr>
        <w:t xml:space="preserve"> súvislosti s </w:t>
      </w:r>
      <w:r w:rsidRPr="001542F8">
        <w:rPr>
          <w:rFonts w:ascii="Arial" w:hAnsi="Arial" w:cs="Arial"/>
          <w:sz w:val="20"/>
          <w:szCs w:val="20"/>
        </w:rPr>
        <w:t>problematik</w:t>
      </w:r>
      <w:r w:rsidR="00391CF6">
        <w:rPr>
          <w:rFonts w:ascii="Arial" w:hAnsi="Arial" w:cs="Arial"/>
          <w:sz w:val="20"/>
          <w:szCs w:val="20"/>
        </w:rPr>
        <w:t>ou</w:t>
      </w:r>
      <w:r w:rsidRPr="001542F8">
        <w:rPr>
          <w:rFonts w:ascii="Arial" w:hAnsi="Arial" w:cs="Arial"/>
          <w:sz w:val="20"/>
          <w:szCs w:val="20"/>
        </w:rPr>
        <w:t xml:space="preserve"> regionálnych alokácií v rámci OP ŽP </w:t>
      </w:r>
      <w:r w:rsidR="00391CF6">
        <w:rPr>
          <w:rFonts w:ascii="Arial" w:hAnsi="Arial" w:cs="Arial"/>
          <w:sz w:val="20"/>
          <w:szCs w:val="20"/>
        </w:rPr>
        <w:t xml:space="preserve">je potrebné </w:t>
      </w:r>
      <w:r w:rsidRPr="001542F8">
        <w:rPr>
          <w:rFonts w:ascii="Arial" w:hAnsi="Arial" w:cs="Arial"/>
          <w:sz w:val="20"/>
          <w:szCs w:val="20"/>
        </w:rPr>
        <w:t xml:space="preserve">zdôrazniť, že </w:t>
      </w:r>
      <w:r w:rsidR="00391CF6">
        <w:rPr>
          <w:rFonts w:ascii="Arial" w:hAnsi="Arial" w:cs="Arial"/>
          <w:sz w:val="20"/>
          <w:szCs w:val="20"/>
        </w:rPr>
        <w:t xml:space="preserve">OP ŽP </w:t>
      </w:r>
      <w:r w:rsidR="00E350E0">
        <w:rPr>
          <w:rFonts w:ascii="Arial" w:hAnsi="Arial" w:cs="Arial"/>
          <w:sz w:val="20"/>
          <w:szCs w:val="20"/>
        </w:rPr>
        <w:t>ako program financovaný prevažne z KF</w:t>
      </w:r>
      <w:r w:rsidR="00391CF6">
        <w:rPr>
          <w:rFonts w:ascii="Arial" w:hAnsi="Arial" w:cs="Arial"/>
          <w:sz w:val="20"/>
          <w:szCs w:val="20"/>
          <w:lang w:eastAsia="en-US"/>
        </w:rPr>
        <w:t xml:space="preserve">, </w:t>
      </w:r>
      <w:r w:rsidRPr="00391CF6">
        <w:rPr>
          <w:rFonts w:ascii="Arial" w:hAnsi="Arial" w:cs="Arial"/>
          <w:sz w:val="20"/>
          <w:szCs w:val="20"/>
        </w:rPr>
        <w:t xml:space="preserve">je </w:t>
      </w:r>
      <w:r w:rsidRPr="001542F8">
        <w:rPr>
          <w:rFonts w:ascii="Arial" w:hAnsi="Arial" w:cs="Arial"/>
          <w:sz w:val="20"/>
          <w:szCs w:val="20"/>
          <w:u w:val="single"/>
        </w:rPr>
        <w:t>programovaný na národnej úrovni</w:t>
      </w:r>
      <w:r w:rsidRPr="001542F8">
        <w:rPr>
          <w:rFonts w:ascii="Arial" w:hAnsi="Arial" w:cs="Arial"/>
          <w:b/>
          <w:sz w:val="20"/>
          <w:szCs w:val="20"/>
          <w:u w:val="single"/>
        </w:rPr>
        <w:t>.</w:t>
      </w:r>
      <w:r w:rsidRPr="001542F8">
        <w:rPr>
          <w:rFonts w:ascii="Arial" w:hAnsi="Arial" w:cs="Arial"/>
          <w:b/>
          <w:sz w:val="20"/>
          <w:szCs w:val="20"/>
        </w:rPr>
        <w:t xml:space="preserve"> </w:t>
      </w:r>
      <w:r w:rsidRPr="001542F8">
        <w:rPr>
          <w:rFonts w:ascii="Arial" w:hAnsi="Arial" w:cs="Arial"/>
          <w:sz w:val="20"/>
          <w:szCs w:val="20"/>
        </w:rPr>
        <w:t>Skutočnosť, že relevantnou úrovňou programovania OP ŽP je národná úroveň, vyplýva priamo z čl. 35 ods. 1</w:t>
      </w:r>
      <w:r w:rsidR="00391CF6">
        <w:rPr>
          <w:rFonts w:ascii="Arial" w:hAnsi="Arial" w:cs="Arial"/>
          <w:sz w:val="20"/>
          <w:szCs w:val="20"/>
        </w:rPr>
        <w:t xml:space="preserve"> </w:t>
      </w:r>
      <w:r w:rsidRPr="001542F8">
        <w:rPr>
          <w:rFonts w:ascii="Arial" w:hAnsi="Arial" w:cs="Arial"/>
          <w:bCs/>
          <w:sz w:val="20"/>
          <w:szCs w:val="20"/>
        </w:rPr>
        <w:t>všeobecné</w:t>
      </w:r>
      <w:r w:rsidR="00391CF6">
        <w:rPr>
          <w:rFonts w:ascii="Arial" w:hAnsi="Arial" w:cs="Arial"/>
          <w:bCs/>
          <w:sz w:val="20"/>
          <w:szCs w:val="20"/>
        </w:rPr>
        <w:t>ho</w:t>
      </w:r>
      <w:r w:rsidRPr="001542F8">
        <w:rPr>
          <w:rFonts w:ascii="Arial" w:hAnsi="Arial" w:cs="Arial"/>
          <w:bCs/>
          <w:sz w:val="20"/>
          <w:szCs w:val="20"/>
        </w:rPr>
        <w:t xml:space="preserve"> nariadeni</w:t>
      </w:r>
      <w:r w:rsidR="00391CF6">
        <w:rPr>
          <w:rFonts w:ascii="Arial" w:hAnsi="Arial" w:cs="Arial"/>
          <w:bCs/>
          <w:sz w:val="20"/>
          <w:szCs w:val="20"/>
        </w:rPr>
        <w:t xml:space="preserve">a, vychádzajúc z </w:t>
      </w:r>
      <w:r w:rsidR="00391CF6">
        <w:rPr>
          <w:rFonts w:ascii="Arial" w:hAnsi="Arial" w:cs="Arial"/>
          <w:sz w:val="20"/>
          <w:szCs w:val="20"/>
        </w:rPr>
        <w:t>ktorého</w:t>
      </w:r>
      <w:r w:rsidRPr="001542F8">
        <w:rPr>
          <w:rFonts w:ascii="Arial" w:hAnsi="Arial" w:cs="Arial"/>
          <w:sz w:val="20"/>
          <w:szCs w:val="20"/>
        </w:rPr>
        <w:t xml:space="preserve"> sa priamo v úvode OP ŽP (kap. 1 Súhrnný obsah dokumentu, str. 3) uvádza, že: </w:t>
      </w:r>
      <w:r w:rsidRPr="001542F8">
        <w:rPr>
          <w:rFonts w:ascii="Arial" w:hAnsi="Arial" w:cs="Arial"/>
          <w:sz w:val="20"/>
          <w:szCs w:val="20"/>
          <w:u w:val="single"/>
        </w:rPr>
        <w:t>„V súlade s článkom 35 ods. 1 všeobecného nariadenia je OP ŽP vypracovaný na národnej úrovni“.</w:t>
      </w:r>
    </w:p>
    <w:p w:rsidR="00250834" w:rsidRPr="001542F8" w:rsidRDefault="00250834" w:rsidP="001542F8">
      <w:pPr>
        <w:spacing w:after="120" w:line="360" w:lineRule="auto"/>
        <w:ind w:right="-1"/>
        <w:jc w:val="both"/>
        <w:rPr>
          <w:rFonts w:ascii="Arial" w:hAnsi="Arial" w:cs="Arial"/>
          <w:sz w:val="20"/>
          <w:szCs w:val="20"/>
        </w:rPr>
      </w:pPr>
      <w:r w:rsidRPr="001542F8">
        <w:rPr>
          <w:rFonts w:ascii="Arial" w:hAnsi="Arial" w:cs="Arial"/>
          <w:sz w:val="20"/>
          <w:szCs w:val="20"/>
        </w:rPr>
        <w:t xml:space="preserve">Vzhľadom na </w:t>
      </w:r>
      <w:r w:rsidR="00391CF6" w:rsidRPr="006253C9">
        <w:rPr>
          <w:rFonts w:ascii="Arial" w:hAnsi="Arial" w:cs="Arial"/>
          <w:sz w:val="20"/>
          <w:szCs w:val="20"/>
        </w:rPr>
        <w:t xml:space="preserve">vyššie uvedenú </w:t>
      </w:r>
      <w:r w:rsidRPr="001542F8">
        <w:rPr>
          <w:rFonts w:ascii="Arial" w:hAnsi="Arial" w:cs="Arial"/>
          <w:sz w:val="20"/>
          <w:szCs w:val="20"/>
        </w:rPr>
        <w:t xml:space="preserve">špecifiku OP ŽP, </w:t>
      </w:r>
      <w:r w:rsidR="00E350E0" w:rsidRPr="006253C9">
        <w:rPr>
          <w:rFonts w:ascii="Arial" w:hAnsi="Arial" w:cs="Arial"/>
          <w:sz w:val="20"/>
          <w:szCs w:val="20"/>
        </w:rPr>
        <w:t xml:space="preserve">spočívajúcu v jeho financovaní z KF, </w:t>
      </w:r>
      <w:r w:rsidRPr="001542F8">
        <w:rPr>
          <w:rFonts w:ascii="Arial" w:hAnsi="Arial" w:cs="Arial"/>
          <w:sz w:val="20"/>
          <w:szCs w:val="20"/>
        </w:rPr>
        <w:t xml:space="preserve">pre </w:t>
      </w:r>
      <w:r w:rsidR="00391CF6" w:rsidRPr="006253C9">
        <w:rPr>
          <w:rFonts w:ascii="Arial" w:hAnsi="Arial" w:cs="Arial"/>
          <w:sz w:val="20"/>
          <w:szCs w:val="20"/>
        </w:rPr>
        <w:t>ktoré</w:t>
      </w:r>
      <w:r w:rsidRPr="001542F8">
        <w:rPr>
          <w:rFonts w:ascii="Arial" w:hAnsi="Arial" w:cs="Arial"/>
          <w:sz w:val="20"/>
          <w:szCs w:val="20"/>
        </w:rPr>
        <w:t>ho programovanie je relevantná národná úroveň, n</w:t>
      </w:r>
      <w:r w:rsidR="00E350E0" w:rsidRPr="006253C9">
        <w:rPr>
          <w:rFonts w:ascii="Arial" w:hAnsi="Arial" w:cs="Arial"/>
          <w:sz w:val="20"/>
          <w:szCs w:val="20"/>
        </w:rPr>
        <w:t>i</w:t>
      </w:r>
      <w:r w:rsidRPr="001542F8">
        <w:rPr>
          <w:rFonts w:ascii="Arial" w:hAnsi="Arial" w:cs="Arial"/>
          <w:sz w:val="20"/>
          <w:szCs w:val="20"/>
        </w:rPr>
        <w:t>e</w:t>
      </w:r>
      <w:r w:rsidR="00E350E0" w:rsidRPr="006253C9">
        <w:rPr>
          <w:rFonts w:ascii="Arial" w:hAnsi="Arial" w:cs="Arial"/>
          <w:sz w:val="20"/>
          <w:szCs w:val="20"/>
        </w:rPr>
        <w:t xml:space="preserve"> je aplikovanie </w:t>
      </w:r>
      <w:r w:rsidR="00E350E0" w:rsidRPr="001542F8">
        <w:rPr>
          <w:rFonts w:ascii="Arial" w:hAnsi="Arial" w:cs="Arial"/>
          <w:sz w:val="20"/>
          <w:szCs w:val="20"/>
        </w:rPr>
        <w:t xml:space="preserve">regionálneho princípu a </w:t>
      </w:r>
      <w:r w:rsidRPr="001542F8">
        <w:rPr>
          <w:rFonts w:ascii="Arial" w:hAnsi="Arial" w:cs="Arial"/>
          <w:sz w:val="20"/>
          <w:szCs w:val="20"/>
        </w:rPr>
        <w:t xml:space="preserve">požiadaviek na „dodržiavanie regionálnej alokácie“ takým </w:t>
      </w:r>
      <w:r w:rsidR="00E350E0" w:rsidRPr="006253C9">
        <w:rPr>
          <w:rFonts w:ascii="Arial" w:hAnsi="Arial" w:cs="Arial"/>
          <w:sz w:val="20"/>
          <w:szCs w:val="20"/>
        </w:rPr>
        <w:t xml:space="preserve">istým </w:t>
      </w:r>
      <w:r w:rsidRPr="001542F8">
        <w:rPr>
          <w:rFonts w:ascii="Arial" w:hAnsi="Arial" w:cs="Arial"/>
          <w:sz w:val="20"/>
          <w:szCs w:val="20"/>
        </w:rPr>
        <w:t>spôsobom, ako v prípade operačných programov financovaných z ERDF alebo ESF, opodstatnené a relevantné.</w:t>
      </w:r>
    </w:p>
    <w:p w:rsidR="00685184" w:rsidRPr="00802493" w:rsidRDefault="00685184" w:rsidP="001542F8">
      <w:pPr>
        <w:pStyle w:val="Odsekzoznamu"/>
        <w:numPr>
          <w:ilvl w:val="0"/>
          <w:numId w:val="68"/>
        </w:numPr>
        <w:spacing w:before="120" w:after="0" w:line="360" w:lineRule="auto"/>
        <w:ind w:left="284" w:hanging="284"/>
        <w:contextualSpacing w:val="0"/>
        <w:jc w:val="both"/>
        <w:rPr>
          <w:rFonts w:ascii="Arial" w:hAnsi="Arial" w:cs="Arial"/>
          <w:b/>
          <w:sz w:val="20"/>
          <w:szCs w:val="20"/>
        </w:rPr>
      </w:pPr>
      <w:r w:rsidRPr="00802493">
        <w:rPr>
          <w:rFonts w:ascii="Arial" w:hAnsi="Arial" w:cs="Arial"/>
          <w:b/>
          <w:sz w:val="20"/>
          <w:szCs w:val="20"/>
        </w:rPr>
        <w:t xml:space="preserve">Hlavný účel použitia prostriedkov OP ŽP </w:t>
      </w:r>
    </w:p>
    <w:p w:rsidR="00E350E0" w:rsidRPr="00617FE5" w:rsidRDefault="00E350E0" w:rsidP="001542F8">
      <w:pPr>
        <w:pStyle w:val="Normlnywebov"/>
        <w:spacing w:before="0" w:beforeAutospacing="0" w:after="0" w:afterAutospacing="0" w:line="360" w:lineRule="auto"/>
        <w:jc w:val="both"/>
        <w:rPr>
          <w:rFonts w:ascii="Arial" w:hAnsi="Arial" w:cs="Arial"/>
          <w:sz w:val="20"/>
          <w:szCs w:val="20"/>
          <w:lang w:val="sk-SK"/>
        </w:rPr>
      </w:pPr>
      <w:r w:rsidRPr="00617FE5">
        <w:rPr>
          <w:rFonts w:ascii="Arial" w:hAnsi="Arial" w:cs="Arial"/>
          <w:sz w:val="20"/>
          <w:szCs w:val="20"/>
          <w:lang w:val="sk-SK"/>
        </w:rPr>
        <w:t>S vyššie uvedenou skutočnosťou, t.j. že OP ŽP je financovaný prevažne z K</w:t>
      </w:r>
      <w:r w:rsidR="00802493" w:rsidRPr="00617FE5">
        <w:rPr>
          <w:rFonts w:ascii="Arial" w:hAnsi="Arial" w:cs="Arial"/>
          <w:sz w:val="20"/>
          <w:szCs w:val="20"/>
          <w:lang w:val="sk-SK"/>
        </w:rPr>
        <w:t>F</w:t>
      </w:r>
      <w:r w:rsidRPr="00617FE5">
        <w:rPr>
          <w:rFonts w:ascii="Arial" w:hAnsi="Arial" w:cs="Arial"/>
          <w:sz w:val="20"/>
          <w:szCs w:val="20"/>
          <w:lang w:val="sk-SK"/>
        </w:rPr>
        <w:t xml:space="preserve"> (z celkovej alokácie OP ŽP v sume 1 820 000 000 EUR tvoria prostriedky KF 1 569 243 065 EUR) priamo súvisí aj  hlavný účel použitia prostriedkov OP ŽP. </w:t>
      </w:r>
    </w:p>
    <w:p w:rsidR="00E350E0" w:rsidRPr="00617FE5" w:rsidRDefault="00E350E0" w:rsidP="001542F8">
      <w:pPr>
        <w:pStyle w:val="Normlnywebov"/>
        <w:spacing w:before="0" w:beforeAutospacing="0" w:after="0" w:afterAutospacing="0" w:line="360" w:lineRule="auto"/>
        <w:jc w:val="both"/>
        <w:rPr>
          <w:rFonts w:ascii="Arial" w:hAnsi="Arial" w:cs="Arial"/>
          <w:sz w:val="20"/>
          <w:szCs w:val="20"/>
          <w:lang w:val="sk-SK"/>
        </w:rPr>
      </w:pPr>
      <w:r w:rsidRPr="00617FE5">
        <w:rPr>
          <w:rFonts w:ascii="Arial" w:hAnsi="Arial" w:cs="Arial"/>
          <w:sz w:val="20"/>
          <w:szCs w:val="20"/>
          <w:lang w:val="sk-SK"/>
        </w:rPr>
        <w:t xml:space="preserve">Nariadenie Rady (ES) č. 1084/2006 z 11. júla 2006, ktorým sa zriaďuje Kohézny fond a ktorým sa zrušuje nariadenie (ES) č. 1164/94, či už v bode (3) jeho preambuly alebo v čl. 1  uvádza, že pomoc z KF sa poskytuje „na základe potrieb investícií a infraštruktúry osobitných </w:t>
      </w:r>
      <w:r w:rsidRPr="00617FE5">
        <w:rPr>
          <w:rFonts w:ascii="Arial" w:hAnsi="Arial" w:cs="Arial"/>
          <w:sz w:val="20"/>
          <w:szCs w:val="20"/>
          <w:u w:val="single"/>
          <w:lang w:val="sk-SK"/>
        </w:rPr>
        <w:t>pre každý členský štát...</w:t>
      </w:r>
      <w:r w:rsidRPr="00617FE5">
        <w:rPr>
          <w:rFonts w:ascii="Arial" w:hAnsi="Arial" w:cs="Arial"/>
          <w:sz w:val="20"/>
          <w:szCs w:val="20"/>
          <w:lang w:val="sk-SK"/>
        </w:rPr>
        <w:t xml:space="preserve"> na akcie v týchto oblastiach...b</w:t>
      </w:r>
      <w:r w:rsidRPr="00617FE5">
        <w:rPr>
          <w:rFonts w:ascii="Arial" w:hAnsi="Arial" w:cs="Arial"/>
          <w:sz w:val="20"/>
          <w:szCs w:val="20"/>
          <w:u w:val="single"/>
          <w:lang w:val="sk-SK"/>
        </w:rPr>
        <w:t xml:space="preserve">) životné prostredie v rámci priorít politiky Spoločenstva v oblasti ochrany životného prostredia podľa politiky a akčného programu v oblasti životného prostredia.“ </w:t>
      </w:r>
    </w:p>
    <w:p w:rsidR="00E350E0" w:rsidRPr="00617FE5" w:rsidRDefault="00E350E0" w:rsidP="001542F8">
      <w:pPr>
        <w:pStyle w:val="Normlnywebov"/>
        <w:spacing w:before="0" w:beforeAutospacing="0" w:after="0" w:afterAutospacing="0" w:line="360" w:lineRule="auto"/>
        <w:jc w:val="both"/>
        <w:rPr>
          <w:rFonts w:ascii="Arial" w:hAnsi="Arial" w:cs="Arial"/>
          <w:sz w:val="20"/>
          <w:szCs w:val="20"/>
          <w:lang w:val="sk-SK"/>
        </w:rPr>
      </w:pPr>
      <w:r w:rsidRPr="00617FE5">
        <w:rPr>
          <w:rFonts w:ascii="Arial" w:hAnsi="Arial" w:cs="Arial"/>
          <w:sz w:val="20"/>
          <w:szCs w:val="20"/>
          <w:lang w:val="sk-SK"/>
        </w:rPr>
        <w:t xml:space="preserve">Teda už z vymedzenia účelu KF je zrejmé, že </w:t>
      </w:r>
      <w:r w:rsidRPr="00617FE5">
        <w:rPr>
          <w:rFonts w:ascii="Arial" w:hAnsi="Arial" w:cs="Arial"/>
          <w:sz w:val="20"/>
          <w:szCs w:val="20"/>
          <w:u w:val="single"/>
          <w:lang w:val="sk-SK"/>
        </w:rPr>
        <w:t>je ním financovanie infraštruktúry na úrovni členských štátov, a to financovanie priorít Spoločenstva v oblasti ochrany životného prostredia</w:t>
      </w:r>
      <w:r w:rsidR="00802493" w:rsidRPr="00617FE5">
        <w:rPr>
          <w:rFonts w:ascii="Arial" w:hAnsi="Arial" w:cs="Arial"/>
          <w:b/>
          <w:sz w:val="20"/>
          <w:szCs w:val="20"/>
          <w:lang w:val="sk-SK"/>
        </w:rPr>
        <w:t xml:space="preserve"> </w:t>
      </w:r>
      <w:r w:rsidR="00802493" w:rsidRPr="00617FE5">
        <w:rPr>
          <w:rFonts w:ascii="Arial" w:hAnsi="Arial" w:cs="Arial"/>
          <w:sz w:val="20"/>
          <w:szCs w:val="20"/>
          <w:lang w:val="sk-SK"/>
        </w:rPr>
        <w:t xml:space="preserve">(kým vo vzťahu k ERDF </w:t>
      </w:r>
      <w:r w:rsidRPr="00617FE5">
        <w:rPr>
          <w:rFonts w:ascii="Arial" w:hAnsi="Arial" w:cs="Arial"/>
          <w:sz w:val="20"/>
          <w:szCs w:val="20"/>
          <w:lang w:val="sk-SK"/>
        </w:rPr>
        <w:t xml:space="preserve">  sa</w:t>
      </w:r>
      <w:bookmarkStart w:id="24" w:name="content"/>
      <w:r w:rsidRPr="00617FE5">
        <w:rPr>
          <w:rFonts w:ascii="Arial" w:hAnsi="Arial" w:cs="Arial"/>
          <w:bCs/>
          <w:sz w:val="20"/>
          <w:szCs w:val="20"/>
          <w:lang w:val="sk-SK"/>
        </w:rPr>
        <w:t xml:space="preserve"> v  nariadení Európskeho parlamentu a Rady (ES) č. 1080/2006  uvádza, že „</w:t>
      </w:r>
      <w:bookmarkEnd w:id="24"/>
      <w:r w:rsidRPr="00617FE5">
        <w:rPr>
          <w:rFonts w:ascii="Arial" w:hAnsi="Arial" w:cs="Arial"/>
          <w:sz w:val="20"/>
          <w:szCs w:val="20"/>
          <w:lang w:val="sk-SK"/>
        </w:rPr>
        <w:t xml:space="preserve"> je určený na to, aby pomohol odstraňovať </w:t>
      </w:r>
      <w:r w:rsidRPr="00617FE5">
        <w:rPr>
          <w:rFonts w:ascii="Arial" w:hAnsi="Arial" w:cs="Arial"/>
          <w:i/>
          <w:sz w:val="20"/>
          <w:szCs w:val="20"/>
          <w:lang w:val="sk-SK"/>
        </w:rPr>
        <w:t>najväčšie regionálne rozdiely v</w:t>
      </w:r>
      <w:r w:rsidR="00802493" w:rsidRPr="00617FE5">
        <w:rPr>
          <w:rFonts w:ascii="Arial" w:hAnsi="Arial" w:cs="Arial"/>
          <w:i/>
          <w:sz w:val="20"/>
          <w:szCs w:val="20"/>
          <w:lang w:val="sk-SK"/>
        </w:rPr>
        <w:t> </w:t>
      </w:r>
      <w:r w:rsidRPr="00617FE5">
        <w:rPr>
          <w:rFonts w:ascii="Arial" w:hAnsi="Arial" w:cs="Arial"/>
          <w:i/>
          <w:sz w:val="20"/>
          <w:szCs w:val="20"/>
          <w:lang w:val="sk-SK"/>
        </w:rPr>
        <w:t>Spoločenstve</w:t>
      </w:r>
      <w:r w:rsidR="00802493" w:rsidRPr="00617FE5">
        <w:rPr>
          <w:rFonts w:ascii="Arial" w:hAnsi="Arial" w:cs="Arial"/>
          <w:i/>
          <w:sz w:val="20"/>
          <w:szCs w:val="20"/>
          <w:lang w:val="sk-SK"/>
        </w:rPr>
        <w:t>“ a „</w:t>
      </w:r>
      <w:r w:rsidRPr="00617FE5">
        <w:rPr>
          <w:rFonts w:ascii="Arial" w:hAnsi="Arial" w:cs="Arial"/>
          <w:sz w:val="20"/>
          <w:szCs w:val="20"/>
          <w:lang w:val="sk-SK"/>
        </w:rPr>
        <w:t xml:space="preserve">prispieva k financovaniu pomoci s cieľom posilniť hospodársku a sociálnu súdržnosť vyrovnávaním </w:t>
      </w:r>
      <w:r w:rsidRPr="00617FE5">
        <w:rPr>
          <w:rFonts w:ascii="Arial" w:hAnsi="Arial" w:cs="Arial"/>
          <w:i/>
          <w:sz w:val="20"/>
          <w:szCs w:val="20"/>
          <w:lang w:val="sk-SK"/>
        </w:rPr>
        <w:t>hlavných regionálnych rozdielov</w:t>
      </w:r>
      <w:r w:rsidRPr="00617FE5">
        <w:rPr>
          <w:rFonts w:ascii="Arial" w:hAnsi="Arial" w:cs="Arial"/>
          <w:sz w:val="20"/>
          <w:szCs w:val="20"/>
          <w:lang w:val="sk-SK"/>
        </w:rPr>
        <w:t xml:space="preserve">...“ </w:t>
      </w:r>
      <w:r w:rsidR="00802493" w:rsidRPr="00617FE5">
        <w:rPr>
          <w:rFonts w:ascii="Arial" w:hAnsi="Arial" w:cs="Arial"/>
          <w:sz w:val="20"/>
          <w:szCs w:val="20"/>
          <w:lang w:val="sk-SK"/>
        </w:rPr>
        <w:t>).</w:t>
      </w:r>
      <w:r w:rsidRPr="00617FE5">
        <w:rPr>
          <w:rFonts w:ascii="Arial" w:hAnsi="Arial" w:cs="Arial"/>
          <w:sz w:val="20"/>
          <w:szCs w:val="20"/>
          <w:lang w:val="sk-SK"/>
        </w:rPr>
        <w:t xml:space="preserve"> </w:t>
      </w:r>
    </w:p>
    <w:p w:rsidR="00F1286E" w:rsidRDefault="00E350E0" w:rsidP="001542F8">
      <w:pPr>
        <w:spacing w:line="360" w:lineRule="auto"/>
        <w:ind w:right="-1"/>
        <w:jc w:val="both"/>
        <w:rPr>
          <w:rFonts w:ascii="Arial" w:hAnsi="Arial" w:cs="Arial"/>
          <w:sz w:val="20"/>
          <w:szCs w:val="20"/>
        </w:rPr>
      </w:pPr>
      <w:r w:rsidRPr="001542F8">
        <w:rPr>
          <w:rFonts w:ascii="Arial" w:hAnsi="Arial" w:cs="Arial"/>
          <w:sz w:val="20"/>
          <w:szCs w:val="20"/>
        </w:rPr>
        <w:t xml:space="preserve">V súlade s tým </w:t>
      </w:r>
      <w:r w:rsidRPr="001542F8">
        <w:rPr>
          <w:rFonts w:ascii="Arial" w:hAnsi="Arial" w:cs="Arial"/>
          <w:sz w:val="20"/>
          <w:szCs w:val="20"/>
          <w:u w:val="single"/>
        </w:rPr>
        <w:t xml:space="preserve">hlavným </w:t>
      </w:r>
      <w:r w:rsidR="00685184" w:rsidRPr="001542F8">
        <w:rPr>
          <w:rFonts w:ascii="Arial" w:hAnsi="Arial" w:cs="Arial"/>
          <w:sz w:val="20"/>
          <w:szCs w:val="20"/>
          <w:u w:val="single"/>
        </w:rPr>
        <w:t>účelom použitia prostriedkov OP ŽP</w:t>
      </w:r>
      <w:r w:rsidR="00685184" w:rsidRPr="006253C9">
        <w:rPr>
          <w:rFonts w:ascii="Arial" w:hAnsi="Arial" w:cs="Arial"/>
          <w:sz w:val="20"/>
          <w:szCs w:val="20"/>
        </w:rPr>
        <w:t xml:space="preserve">, ktorých prevažnú časť tvoria zdroje KF, </w:t>
      </w:r>
      <w:r w:rsidR="00685184" w:rsidRPr="001542F8">
        <w:rPr>
          <w:rFonts w:ascii="Arial" w:hAnsi="Arial" w:cs="Arial"/>
          <w:sz w:val="20"/>
          <w:szCs w:val="20"/>
          <w:u w:val="single"/>
        </w:rPr>
        <w:t xml:space="preserve">je podpora plnenia záväzkov SR v oblasti životného prostredia vyplývajúcich zo Zmluvy o pristúpení k EÚ, teda podpora investícií do environmentálnej infraštruktúry v celoštátnom (národnom) záujme, </w:t>
      </w:r>
      <w:r w:rsidR="00685184" w:rsidRPr="006253C9">
        <w:rPr>
          <w:rFonts w:ascii="Arial" w:hAnsi="Arial" w:cs="Arial"/>
          <w:sz w:val="20"/>
          <w:szCs w:val="20"/>
        </w:rPr>
        <w:t>a nie vyrovnáv</w:t>
      </w:r>
      <w:r w:rsidR="00685184" w:rsidRPr="001542F8">
        <w:rPr>
          <w:rFonts w:ascii="Arial" w:hAnsi="Arial" w:cs="Arial"/>
          <w:sz w:val="20"/>
          <w:szCs w:val="20"/>
        </w:rPr>
        <w:t>anie regionálnych rozdielov.  </w:t>
      </w:r>
    </w:p>
    <w:p w:rsidR="00F1286E" w:rsidRPr="00B04336" w:rsidRDefault="00F1286E">
      <w:pPr>
        <w:pStyle w:val="Odsekzoznamu"/>
        <w:numPr>
          <w:ilvl w:val="0"/>
          <w:numId w:val="68"/>
        </w:numPr>
        <w:spacing w:before="120" w:after="0" w:line="360" w:lineRule="auto"/>
        <w:ind w:left="284" w:hanging="284"/>
        <w:contextualSpacing w:val="0"/>
        <w:jc w:val="both"/>
        <w:rPr>
          <w:rFonts w:ascii="Arial" w:hAnsi="Arial" w:cs="Arial"/>
          <w:b/>
          <w:sz w:val="20"/>
          <w:szCs w:val="20"/>
        </w:rPr>
      </w:pPr>
      <w:r w:rsidRPr="00B04336">
        <w:rPr>
          <w:rFonts w:ascii="Arial" w:hAnsi="Arial" w:cs="Arial"/>
          <w:b/>
          <w:sz w:val="20"/>
          <w:szCs w:val="20"/>
        </w:rPr>
        <w:t xml:space="preserve">Špecifikum aktivít v oblasti životného prostredia, pre väčšinu z ktorých členenie podľa administratívnych hraníc nie je relevantné </w:t>
      </w:r>
    </w:p>
    <w:p w:rsidR="00F1286E" w:rsidRPr="001542F8" w:rsidRDefault="00F1286E" w:rsidP="001542F8">
      <w:pPr>
        <w:spacing w:line="360" w:lineRule="auto"/>
        <w:jc w:val="both"/>
        <w:rPr>
          <w:rFonts w:ascii="Arial" w:hAnsi="Arial" w:cs="Arial"/>
          <w:sz w:val="20"/>
          <w:szCs w:val="20"/>
        </w:rPr>
      </w:pPr>
      <w:r w:rsidRPr="001542F8">
        <w:rPr>
          <w:rFonts w:ascii="Arial" w:hAnsi="Arial" w:cs="Arial"/>
          <w:sz w:val="20"/>
          <w:szCs w:val="20"/>
          <w:u w:val="single"/>
        </w:rPr>
        <w:t>Indikatívne rozdelenie finančných alokácií na regionálnej úrovni, ktoré je súčasťou Prílohy č. 15 OP ŽP nemožno</w:t>
      </w:r>
      <w:r w:rsidRPr="001542F8">
        <w:rPr>
          <w:rFonts w:ascii="Arial" w:hAnsi="Arial" w:cs="Arial"/>
          <w:sz w:val="20"/>
          <w:szCs w:val="20"/>
        </w:rPr>
        <w:t xml:space="preserve"> </w:t>
      </w:r>
      <w:r w:rsidR="00B04336" w:rsidRPr="001542F8">
        <w:rPr>
          <w:rFonts w:ascii="Arial" w:hAnsi="Arial" w:cs="Arial"/>
          <w:sz w:val="20"/>
          <w:szCs w:val="20"/>
        </w:rPr>
        <w:t>(</w:t>
      </w:r>
      <w:r w:rsidRPr="001542F8">
        <w:rPr>
          <w:rFonts w:ascii="Arial" w:hAnsi="Arial" w:cs="Arial"/>
          <w:sz w:val="20"/>
          <w:szCs w:val="20"/>
        </w:rPr>
        <w:t>vzhľadom na skutočnosť, že OP ŽP je programový na národnej úrovni, ako aj na hlavný účel použitia prostriedkov OP ŽP</w:t>
      </w:r>
      <w:r w:rsidR="00B04336" w:rsidRPr="001542F8">
        <w:rPr>
          <w:rFonts w:ascii="Arial" w:hAnsi="Arial" w:cs="Arial"/>
          <w:sz w:val="20"/>
          <w:szCs w:val="20"/>
        </w:rPr>
        <w:t>)</w:t>
      </w:r>
      <w:r w:rsidRPr="001542F8">
        <w:rPr>
          <w:rFonts w:ascii="Arial" w:hAnsi="Arial" w:cs="Arial"/>
          <w:sz w:val="20"/>
          <w:szCs w:val="20"/>
        </w:rPr>
        <w:t xml:space="preserve"> </w:t>
      </w:r>
      <w:r w:rsidRPr="001542F8">
        <w:rPr>
          <w:rFonts w:ascii="Arial" w:hAnsi="Arial" w:cs="Arial"/>
          <w:sz w:val="20"/>
          <w:szCs w:val="20"/>
          <w:u w:val="single"/>
        </w:rPr>
        <w:t>chápať ako „plánované hodnoty“, ktoré je potrebné dosiahnuť, ale iba ako orientačný odhad, ako by sa použitie prostriedkov OP ŽP na plnenie cieľov na národnej úrovni</w:t>
      </w:r>
      <w:r w:rsidRPr="001542F8">
        <w:rPr>
          <w:rFonts w:ascii="Arial" w:hAnsi="Arial" w:cs="Arial"/>
          <w:sz w:val="20"/>
          <w:szCs w:val="20"/>
        </w:rPr>
        <w:t xml:space="preserve"> (záväzkov SR vyplývajúcich z právnych predpisov EÚ v oblasti životného prostredia) </w:t>
      </w:r>
      <w:r w:rsidRPr="001542F8">
        <w:rPr>
          <w:rFonts w:ascii="Arial" w:hAnsi="Arial" w:cs="Arial"/>
          <w:sz w:val="20"/>
          <w:szCs w:val="20"/>
          <w:u w:val="single"/>
        </w:rPr>
        <w:t>mohlo premietnuť na regionálnej úrovni</w:t>
      </w:r>
      <w:r w:rsidRPr="001542F8">
        <w:rPr>
          <w:rFonts w:ascii="Arial" w:hAnsi="Arial" w:cs="Arial"/>
          <w:sz w:val="20"/>
          <w:szCs w:val="20"/>
        </w:rPr>
        <w:t xml:space="preserve"> (NUTS II).  </w:t>
      </w:r>
    </w:p>
    <w:p w:rsidR="00F1286E" w:rsidRPr="001542F8" w:rsidRDefault="00F1286E" w:rsidP="001542F8">
      <w:pPr>
        <w:spacing w:line="360" w:lineRule="auto"/>
        <w:jc w:val="both"/>
        <w:rPr>
          <w:rFonts w:ascii="Arial" w:hAnsi="Arial" w:cs="Arial"/>
          <w:sz w:val="20"/>
          <w:szCs w:val="20"/>
        </w:rPr>
      </w:pPr>
    </w:p>
    <w:p w:rsidR="00F1286E" w:rsidRPr="001542F8" w:rsidRDefault="00F1286E" w:rsidP="001542F8">
      <w:pPr>
        <w:spacing w:line="360" w:lineRule="auto"/>
        <w:jc w:val="both"/>
        <w:rPr>
          <w:rFonts w:ascii="Arial" w:hAnsi="Arial" w:cs="Arial"/>
          <w:sz w:val="20"/>
          <w:szCs w:val="20"/>
        </w:rPr>
      </w:pPr>
      <w:r w:rsidRPr="001542F8">
        <w:rPr>
          <w:rFonts w:ascii="Arial" w:hAnsi="Arial" w:cs="Arial"/>
          <w:sz w:val="20"/>
          <w:szCs w:val="20"/>
        </w:rPr>
        <w:t xml:space="preserve">Tomu priamo zodpovedá aj skutočnosť, že v Operačnom programe Životné prostredie (kap. 4.3 </w:t>
      </w:r>
      <w:r w:rsidRPr="001542F8">
        <w:rPr>
          <w:rFonts w:ascii="Arial" w:hAnsi="Arial" w:cs="Arial"/>
          <w:kern w:val="32"/>
          <w:sz w:val="20"/>
          <w:szCs w:val="20"/>
        </w:rPr>
        <w:t>Stratégia na dosiahnutie globálneho cieľa ako výsledok tematickej a územnej koncentrácie,</w:t>
      </w:r>
      <w:r w:rsidRPr="001542F8">
        <w:rPr>
          <w:rFonts w:ascii="Arial" w:hAnsi="Arial" w:cs="Arial"/>
          <w:sz w:val="20"/>
          <w:szCs w:val="20"/>
        </w:rPr>
        <w:t xml:space="preserve"> str. 77), ktorý bol schválený Európskou komisiou, je uvedené</w:t>
      </w:r>
      <w:r w:rsidR="00B04336">
        <w:rPr>
          <w:rFonts w:ascii="Arial" w:hAnsi="Arial" w:cs="Arial"/>
          <w:sz w:val="20"/>
          <w:szCs w:val="20"/>
        </w:rPr>
        <w:t>, že</w:t>
      </w:r>
      <w:r w:rsidRPr="001542F8">
        <w:rPr>
          <w:rFonts w:ascii="Arial" w:hAnsi="Arial" w:cs="Arial"/>
          <w:sz w:val="20"/>
          <w:szCs w:val="20"/>
        </w:rPr>
        <w:t xml:space="preserve">: </w:t>
      </w:r>
      <w:r w:rsidR="00B04336">
        <w:rPr>
          <w:rFonts w:ascii="Arial" w:hAnsi="Arial" w:cs="Arial"/>
          <w:sz w:val="20"/>
          <w:szCs w:val="20"/>
        </w:rPr>
        <w:t>„</w:t>
      </w:r>
      <w:r w:rsidRPr="001542F8">
        <w:rPr>
          <w:rFonts w:ascii="Arial" w:hAnsi="Arial" w:cs="Arial"/>
          <w:sz w:val="20"/>
          <w:szCs w:val="20"/>
          <w:u w:val="single"/>
        </w:rPr>
        <w:t>Pre väčšinu aktivít v oblasti environmentálnej infraštruktúry a ochrany životného prostredia nie je členenie podľa administratívnych hraníc relevantné</w:t>
      </w:r>
      <w:r w:rsidR="00B04336">
        <w:rPr>
          <w:rFonts w:ascii="Arial" w:hAnsi="Arial" w:cs="Arial"/>
          <w:sz w:val="20"/>
          <w:szCs w:val="20"/>
          <w:u w:val="single"/>
        </w:rPr>
        <w:t xml:space="preserve">“ </w:t>
      </w:r>
      <w:r w:rsidRPr="001542F8">
        <w:rPr>
          <w:rFonts w:ascii="Arial" w:hAnsi="Arial" w:cs="Arial"/>
          <w:sz w:val="20"/>
          <w:szCs w:val="20"/>
        </w:rPr>
        <w:t xml:space="preserve"> </w:t>
      </w:r>
      <w:r w:rsidR="00B04336">
        <w:rPr>
          <w:rFonts w:ascii="Arial" w:hAnsi="Arial" w:cs="Arial"/>
          <w:sz w:val="20"/>
          <w:szCs w:val="20"/>
        </w:rPr>
        <w:t xml:space="preserve">- </w:t>
      </w:r>
      <w:r w:rsidRPr="001542F8">
        <w:rPr>
          <w:rFonts w:ascii="Arial" w:hAnsi="Arial" w:cs="Arial"/>
          <w:sz w:val="20"/>
          <w:szCs w:val="20"/>
        </w:rPr>
        <w:t>napr. aktivity v oblasti ochrany ovzdušia</w:t>
      </w:r>
      <w:r w:rsidR="00B04336">
        <w:rPr>
          <w:rFonts w:ascii="Arial" w:hAnsi="Arial" w:cs="Arial"/>
          <w:sz w:val="20"/>
          <w:szCs w:val="20"/>
        </w:rPr>
        <w:t xml:space="preserve">, kde šírenie emisií znečisťujúcich látok nie je limitované hranicou okresu čo kraja; </w:t>
      </w:r>
      <w:r w:rsidRPr="001542F8">
        <w:rPr>
          <w:rFonts w:ascii="Arial" w:hAnsi="Arial" w:cs="Arial"/>
          <w:sz w:val="20"/>
          <w:szCs w:val="20"/>
        </w:rPr>
        <w:t xml:space="preserve"> aktivity v oblasti ochrany prírody a krajiny, ktoré sú závislé od polohy chránených území; protipovodňové aktivity, ktoré  sa realizujú podľa povodí; aktivity v oblasti vodného hospodárstva, implementácia ktorých prebieha podľa </w:t>
      </w:r>
      <w:r w:rsidR="00B04336">
        <w:rPr>
          <w:rFonts w:ascii="Arial" w:hAnsi="Arial" w:cs="Arial"/>
          <w:sz w:val="20"/>
          <w:szCs w:val="20"/>
        </w:rPr>
        <w:t>aglomerácií</w:t>
      </w:r>
      <w:r w:rsidRPr="001542F8">
        <w:rPr>
          <w:rFonts w:ascii="Arial" w:hAnsi="Arial" w:cs="Arial"/>
          <w:sz w:val="20"/>
          <w:szCs w:val="20"/>
        </w:rPr>
        <w:t>.</w:t>
      </w:r>
    </w:p>
    <w:p w:rsidR="00685184" w:rsidRPr="0091560A" w:rsidRDefault="00685184" w:rsidP="00685184">
      <w:pPr>
        <w:spacing w:before="120" w:line="360" w:lineRule="auto"/>
        <w:jc w:val="both"/>
        <w:rPr>
          <w:rFonts w:ascii="Arial" w:hAnsi="Arial" w:cs="Arial"/>
          <w:sz w:val="20"/>
          <w:szCs w:val="20"/>
        </w:rPr>
      </w:pPr>
      <w:r w:rsidRPr="007B0880">
        <w:rPr>
          <w:rFonts w:ascii="Arial" w:hAnsi="Arial" w:cs="Arial"/>
          <w:sz w:val="20"/>
          <w:szCs w:val="20"/>
        </w:rPr>
        <w:t>Ďalšími aspektmi, ktoré</w:t>
      </w:r>
      <w:r w:rsidRPr="0091560A">
        <w:rPr>
          <w:rFonts w:ascii="Arial" w:hAnsi="Arial" w:cs="Arial"/>
          <w:sz w:val="20"/>
          <w:szCs w:val="20"/>
        </w:rPr>
        <w:t xml:space="preserve"> limitujú uplatnenie regionálnych alokácií založených výlučne na geografickom členení</w:t>
      </w:r>
      <w:r w:rsidR="00802493">
        <w:rPr>
          <w:rFonts w:ascii="Arial" w:hAnsi="Arial" w:cs="Arial"/>
          <w:sz w:val="20"/>
          <w:szCs w:val="20"/>
        </w:rPr>
        <w:t xml:space="preserve"> (</w:t>
      </w:r>
      <w:r w:rsidRPr="0091560A">
        <w:rPr>
          <w:rFonts w:ascii="Arial" w:hAnsi="Arial" w:cs="Arial"/>
          <w:sz w:val="20"/>
          <w:szCs w:val="20"/>
        </w:rPr>
        <w:t>ako</w:t>
      </w:r>
      <w:r w:rsidR="00802493">
        <w:rPr>
          <w:rFonts w:ascii="Arial" w:hAnsi="Arial" w:cs="Arial"/>
          <w:sz w:val="20"/>
          <w:szCs w:val="20"/>
        </w:rPr>
        <w:t xml:space="preserve"> je tomu</w:t>
      </w:r>
      <w:r w:rsidRPr="0091560A">
        <w:rPr>
          <w:rFonts w:ascii="Arial" w:hAnsi="Arial" w:cs="Arial"/>
          <w:sz w:val="20"/>
          <w:szCs w:val="20"/>
        </w:rPr>
        <w:t xml:space="preserve"> napr.</w:t>
      </w:r>
      <w:r w:rsidR="00802493">
        <w:rPr>
          <w:rFonts w:ascii="Arial" w:hAnsi="Arial" w:cs="Arial"/>
          <w:sz w:val="20"/>
          <w:szCs w:val="20"/>
        </w:rPr>
        <w:t xml:space="preserve"> v </w:t>
      </w:r>
      <w:r w:rsidRPr="0091560A">
        <w:rPr>
          <w:rFonts w:ascii="Arial" w:hAnsi="Arial" w:cs="Arial"/>
          <w:sz w:val="20"/>
          <w:szCs w:val="20"/>
        </w:rPr>
        <w:t>ROP</w:t>
      </w:r>
      <w:r w:rsidR="00802493">
        <w:rPr>
          <w:rFonts w:ascii="Arial" w:hAnsi="Arial" w:cs="Arial"/>
          <w:sz w:val="20"/>
          <w:szCs w:val="20"/>
        </w:rPr>
        <w:t>)</w:t>
      </w:r>
      <w:r w:rsidRPr="0091560A">
        <w:rPr>
          <w:rFonts w:ascii="Arial" w:hAnsi="Arial" w:cs="Arial"/>
          <w:sz w:val="20"/>
          <w:szCs w:val="20"/>
        </w:rPr>
        <w:t xml:space="preserve"> sú nasledovné:</w:t>
      </w:r>
    </w:p>
    <w:p w:rsidR="00802493" w:rsidRDefault="00685184">
      <w:pPr>
        <w:pStyle w:val="Odsekzoznamu"/>
        <w:numPr>
          <w:ilvl w:val="0"/>
          <w:numId w:val="67"/>
        </w:numPr>
        <w:spacing w:before="120" w:after="0" w:line="360" w:lineRule="auto"/>
        <w:ind w:left="284" w:hanging="284"/>
        <w:jc w:val="both"/>
        <w:rPr>
          <w:rFonts w:ascii="Arial" w:hAnsi="Arial" w:cs="Arial"/>
          <w:sz w:val="20"/>
          <w:szCs w:val="20"/>
        </w:rPr>
      </w:pPr>
      <w:r w:rsidRPr="00802493">
        <w:rPr>
          <w:rFonts w:ascii="Arial" w:hAnsi="Arial" w:cs="Arial"/>
          <w:sz w:val="20"/>
          <w:szCs w:val="20"/>
        </w:rPr>
        <w:t>Pre OP ŽP relevantné identifikované silné a slabé stránky, ako aj príležitosti a ohrozenia vyplývajúce zo SWOT analýzy majú všeobecný charakter, prejavujú sa na národnej úrovni a zároveň sú spoločné  pre všetky regióny SR na úrovni NUTS II.</w:t>
      </w:r>
      <w:r w:rsidR="00802493" w:rsidRPr="00802493">
        <w:rPr>
          <w:rFonts w:ascii="Arial" w:hAnsi="Arial" w:cs="Arial"/>
          <w:sz w:val="20"/>
          <w:szCs w:val="20"/>
        </w:rPr>
        <w:t xml:space="preserve"> </w:t>
      </w:r>
      <w:r w:rsidRPr="00802493">
        <w:rPr>
          <w:rFonts w:ascii="Arial" w:hAnsi="Arial" w:cs="Arial"/>
          <w:sz w:val="20"/>
          <w:szCs w:val="20"/>
        </w:rPr>
        <w:t xml:space="preserve"> </w:t>
      </w:r>
    </w:p>
    <w:p w:rsidR="00685184" w:rsidRPr="00802493" w:rsidRDefault="00685184">
      <w:pPr>
        <w:pStyle w:val="Odsekzoznamu"/>
        <w:numPr>
          <w:ilvl w:val="0"/>
          <w:numId w:val="67"/>
        </w:numPr>
        <w:spacing w:before="120" w:after="0" w:line="360" w:lineRule="auto"/>
        <w:ind w:left="284" w:hanging="284"/>
        <w:jc w:val="both"/>
        <w:rPr>
          <w:rFonts w:ascii="Arial" w:hAnsi="Arial" w:cs="Arial"/>
          <w:sz w:val="20"/>
          <w:szCs w:val="20"/>
        </w:rPr>
      </w:pPr>
      <w:r w:rsidRPr="00802493">
        <w:rPr>
          <w:rFonts w:ascii="Arial" w:hAnsi="Arial" w:cs="Arial"/>
          <w:sz w:val="20"/>
          <w:szCs w:val="20"/>
        </w:rPr>
        <w:t xml:space="preserve">Žiaden z partnerov RO pre OP ŽP participujúci na príprave OP ŽP nepovažoval disponibilné indikatívne alokácie za nástroj riešenia prioritne regionálnych rozdielov, ale za prostriedok, prostredníctvom ktorého bude </w:t>
      </w:r>
      <w:r w:rsidRPr="00802493">
        <w:rPr>
          <w:rFonts w:ascii="Arial" w:hAnsi="Arial" w:cs="Arial"/>
          <w:bCs/>
          <w:sz w:val="20"/>
          <w:szCs w:val="20"/>
        </w:rPr>
        <w:t xml:space="preserve">OP ŽP schopné riešiť identifikované problémy a potreby skutočných alebo potenciálnych subjektov, ktorí by mohli využívať ponúkané intervencie prostredníctvom fondov EÚ. Z hľadiska dopadu OP ŽP na plnenie cieľov fondov EÚ možno konštatovať, že vplyv intervencie v sektore podpory životného prostredia je zreteľný tak na úrovni regiónov ako aj na úrovni celého Slovenska. Ekonomický, sociálny, environmentálny rozvoj, ktorý bol dosiahnutý prostredníctvom intervencií OP ŽP, je zreteľný z objemu zazmluvnených finančných prostriedkov, množstva podporených projektov a cieľov, ktoré boli dosiahnuté na úrovni operačného programu alebo samotných projektov. </w:t>
      </w:r>
    </w:p>
    <w:p w:rsidR="00685184" w:rsidRPr="001542F8" w:rsidRDefault="00685184" w:rsidP="001540E7">
      <w:pPr>
        <w:pStyle w:val="Odsekzoznamu"/>
        <w:numPr>
          <w:ilvl w:val="0"/>
          <w:numId w:val="67"/>
        </w:numPr>
        <w:spacing w:before="120" w:after="0" w:line="360" w:lineRule="auto"/>
        <w:ind w:left="284" w:hanging="284"/>
        <w:jc w:val="both"/>
        <w:rPr>
          <w:rFonts w:ascii="Arial" w:hAnsi="Arial" w:cs="Arial"/>
          <w:sz w:val="20"/>
          <w:szCs w:val="20"/>
        </w:rPr>
      </w:pPr>
      <w:r w:rsidRPr="0091560A">
        <w:rPr>
          <w:rFonts w:ascii="Arial" w:hAnsi="Arial" w:cs="Arial"/>
          <w:sz w:val="20"/>
          <w:szCs w:val="20"/>
        </w:rPr>
        <w:t>Zmeny Prílohy č. 15 OP ŽP</w:t>
      </w:r>
      <w:r w:rsidR="00802493">
        <w:rPr>
          <w:rFonts w:ascii="Arial" w:hAnsi="Arial" w:cs="Arial"/>
          <w:sz w:val="20"/>
          <w:szCs w:val="20"/>
        </w:rPr>
        <w:t xml:space="preserve">, ku ktorým dochádzalo v rámci </w:t>
      </w:r>
      <w:r w:rsidRPr="0091560A">
        <w:rPr>
          <w:rFonts w:ascii="Arial" w:hAnsi="Arial" w:cs="Arial"/>
          <w:sz w:val="20"/>
          <w:szCs w:val="20"/>
        </w:rPr>
        <w:t xml:space="preserve">revízie OP ŽP </w:t>
      </w:r>
      <w:r w:rsidR="00802493">
        <w:rPr>
          <w:rFonts w:ascii="Arial" w:hAnsi="Arial" w:cs="Arial"/>
          <w:sz w:val="20"/>
          <w:szCs w:val="20"/>
        </w:rPr>
        <w:t xml:space="preserve">(ostatný raz v súvislosti s návrhom revízie OP ŽP </w:t>
      </w:r>
      <w:r w:rsidRPr="0091560A">
        <w:rPr>
          <w:rFonts w:ascii="Arial" w:hAnsi="Arial" w:cs="Arial"/>
          <w:sz w:val="20"/>
          <w:szCs w:val="20"/>
        </w:rPr>
        <w:t>na verziu 4.0</w:t>
      </w:r>
      <w:r w:rsidR="006D5229">
        <w:rPr>
          <w:rFonts w:ascii="Arial" w:hAnsi="Arial" w:cs="Arial"/>
          <w:sz w:val="20"/>
          <w:szCs w:val="20"/>
        </w:rPr>
        <w:t xml:space="preserve">), </w:t>
      </w:r>
      <w:r w:rsidRPr="0091560A">
        <w:rPr>
          <w:rFonts w:ascii="Arial" w:hAnsi="Arial" w:cs="Arial"/>
          <w:spacing w:val="-4"/>
          <w:sz w:val="20"/>
          <w:szCs w:val="20"/>
        </w:rPr>
        <w:t>sú</w:t>
      </w:r>
      <w:r w:rsidR="00802493">
        <w:rPr>
          <w:rFonts w:ascii="Arial" w:hAnsi="Arial" w:cs="Arial"/>
          <w:spacing w:val="-4"/>
          <w:sz w:val="20"/>
          <w:szCs w:val="20"/>
        </w:rPr>
        <w:t xml:space="preserve"> iba</w:t>
      </w:r>
      <w:r w:rsidRPr="0091560A">
        <w:rPr>
          <w:rFonts w:ascii="Arial" w:hAnsi="Arial" w:cs="Arial"/>
          <w:spacing w:val="-4"/>
          <w:sz w:val="20"/>
          <w:szCs w:val="20"/>
        </w:rPr>
        <w:t xml:space="preserve"> dôsledkom matematických prepočtov v súvislosti s navrhovaným presunom finančných prostriedkov medzi jednotlivými prioritnými témami, keď v dôsledku odlišných východiskových pomerov rozdelenia prostriedkov na jednotlivé kraje v</w:t>
      </w:r>
      <w:r w:rsidR="006D5229">
        <w:rPr>
          <w:rFonts w:ascii="Arial" w:hAnsi="Arial" w:cs="Arial"/>
          <w:spacing w:val="-4"/>
          <w:sz w:val="20"/>
          <w:szCs w:val="20"/>
        </w:rPr>
        <w:t xml:space="preserve"> rámci rôznych prioritných tém </w:t>
      </w:r>
      <w:r w:rsidRPr="0091560A">
        <w:rPr>
          <w:rFonts w:ascii="Arial" w:hAnsi="Arial" w:cs="Arial"/>
          <w:spacing w:val="-4"/>
          <w:sz w:val="20"/>
          <w:szCs w:val="20"/>
        </w:rPr>
        <w:t xml:space="preserve">dochádza pri zmene ich alokácií (v absolútnom vyjadrení) k zmene  indikatívneho rozdelenia alokácií na regionálnej úrovni.  </w:t>
      </w:r>
      <w:r w:rsidR="006D5229">
        <w:rPr>
          <w:rFonts w:ascii="Arial" w:hAnsi="Arial" w:cs="Arial"/>
          <w:spacing w:val="-4"/>
          <w:sz w:val="20"/>
          <w:szCs w:val="20"/>
        </w:rPr>
        <w:t xml:space="preserve">K zmene charakteru </w:t>
      </w:r>
      <w:r w:rsidR="006D5229" w:rsidRPr="0055230E">
        <w:rPr>
          <w:rFonts w:ascii="Arial" w:hAnsi="Arial" w:cs="Arial"/>
          <w:bCs/>
          <w:sz w:val="20"/>
          <w:szCs w:val="20"/>
        </w:rPr>
        <w:t>indikatívneho rozdelenia alokácií na regionálnej úrovni</w:t>
      </w:r>
      <w:r w:rsidR="006D5229">
        <w:rPr>
          <w:rFonts w:ascii="Arial" w:hAnsi="Arial" w:cs="Arial"/>
          <w:spacing w:val="-4"/>
          <w:sz w:val="20"/>
          <w:szCs w:val="20"/>
        </w:rPr>
        <w:t xml:space="preserve"> a jeho zdôvodnenia v rámci prílohy č. 15 však nedošlo. </w:t>
      </w:r>
    </w:p>
    <w:p w:rsidR="00B04336" w:rsidRPr="001542F8" w:rsidRDefault="00B04336" w:rsidP="001542F8">
      <w:pPr>
        <w:spacing w:before="120" w:line="360" w:lineRule="auto"/>
        <w:jc w:val="both"/>
        <w:rPr>
          <w:rFonts w:ascii="Arial" w:hAnsi="Arial" w:cs="Arial"/>
          <w:sz w:val="20"/>
          <w:szCs w:val="20"/>
        </w:rPr>
      </w:pPr>
    </w:p>
    <w:p w:rsidR="00685184" w:rsidRPr="001540E7" w:rsidRDefault="00685184" w:rsidP="00685184">
      <w:pPr>
        <w:shd w:val="clear" w:color="auto" w:fill="FFFFFF" w:themeFill="background1"/>
        <w:autoSpaceDE w:val="0"/>
        <w:autoSpaceDN w:val="0"/>
        <w:adjustRightInd w:val="0"/>
        <w:jc w:val="both"/>
        <w:outlineLvl w:val="1"/>
        <w:rPr>
          <w:rFonts w:ascii="Arial" w:hAnsi="Arial" w:cs="Arial"/>
          <w:sz w:val="20"/>
          <w:szCs w:val="20"/>
        </w:rPr>
      </w:pPr>
      <w:r w:rsidRPr="001540E7">
        <w:rPr>
          <w:rFonts w:ascii="Arial" w:hAnsi="Arial" w:cs="Arial"/>
          <w:sz w:val="20"/>
          <w:szCs w:val="20"/>
        </w:rPr>
        <w:t>Stav naplnenia indikatívnych regionálnych alokácií/ú</w:t>
      </w:r>
      <w:r w:rsidRPr="001540E7">
        <w:rPr>
          <w:rFonts w:ascii="Arial" w:hAnsi="Arial" w:cs="Arial"/>
          <w:bCs/>
          <w:sz w:val="20"/>
          <w:szCs w:val="20"/>
        </w:rPr>
        <w:t>spešnosť regiónov podľa výšky zazmluvnených finančných prostriedkov</w:t>
      </w:r>
      <w:r w:rsidRPr="001540E7">
        <w:rPr>
          <w:rFonts w:ascii="Arial" w:hAnsi="Arial" w:cs="Arial"/>
          <w:sz w:val="20"/>
          <w:szCs w:val="20"/>
        </w:rPr>
        <w:t xml:space="preserve"> OP ŽP k 31.12.2012 je nasledovná:</w:t>
      </w:r>
    </w:p>
    <w:p w:rsidR="00685184" w:rsidRDefault="00685184" w:rsidP="00685184">
      <w:pPr>
        <w:rPr>
          <w:rFonts w:ascii="Arial" w:hAnsi="Arial" w:cs="Arial"/>
          <w:b/>
          <w:bCs/>
          <w:sz w:val="20"/>
          <w:szCs w:val="20"/>
        </w:rPr>
      </w:pPr>
    </w:p>
    <w:p w:rsidR="00B41C71" w:rsidRPr="00E57A5C" w:rsidRDefault="00B41C71" w:rsidP="00685184">
      <w:pPr>
        <w:rPr>
          <w:rFonts w:ascii="Arial" w:hAnsi="Arial" w:cs="Arial"/>
          <w:bCs/>
          <w:sz w:val="20"/>
          <w:szCs w:val="20"/>
        </w:rPr>
      </w:pPr>
      <w:r w:rsidRPr="00E57A5C">
        <w:rPr>
          <w:rFonts w:ascii="Arial" w:hAnsi="Arial" w:cs="Arial"/>
          <w:bCs/>
          <w:sz w:val="20"/>
          <w:szCs w:val="20"/>
        </w:rPr>
        <w:t>Tab</w:t>
      </w:r>
      <w:r w:rsidR="00E57A5C">
        <w:rPr>
          <w:rFonts w:ascii="Arial" w:hAnsi="Arial" w:cs="Arial"/>
          <w:bCs/>
          <w:sz w:val="20"/>
          <w:szCs w:val="20"/>
        </w:rPr>
        <w:t>.</w:t>
      </w:r>
      <w:r w:rsidRPr="00E57A5C">
        <w:rPr>
          <w:rFonts w:ascii="Arial" w:hAnsi="Arial" w:cs="Arial"/>
          <w:bCs/>
          <w:sz w:val="20"/>
          <w:szCs w:val="20"/>
        </w:rPr>
        <w:t xml:space="preserve"> č. 18</w:t>
      </w:r>
    </w:p>
    <w:tbl>
      <w:tblPr>
        <w:tblpPr w:leftFromText="141" w:rightFromText="141" w:vertAnchor="text" w:horzAnchor="margin" w:tblpXSpec="center" w:tblpY="25"/>
        <w:tblW w:w="9225"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70" w:type="dxa"/>
          <w:right w:w="70" w:type="dxa"/>
        </w:tblCellMar>
        <w:tblLook w:val="04A0" w:firstRow="1" w:lastRow="0" w:firstColumn="1" w:lastColumn="0" w:noHBand="0" w:noVBand="1"/>
      </w:tblPr>
      <w:tblGrid>
        <w:gridCol w:w="791"/>
        <w:gridCol w:w="1631"/>
        <w:gridCol w:w="1456"/>
        <w:gridCol w:w="1456"/>
        <w:gridCol w:w="1298"/>
        <w:gridCol w:w="1561"/>
        <w:gridCol w:w="1196"/>
      </w:tblGrid>
      <w:tr w:rsidR="00685184" w:rsidRPr="0091560A" w:rsidTr="00685184">
        <w:trPr>
          <w:trHeight w:val="265"/>
        </w:trPr>
        <w:tc>
          <w:tcPr>
            <w:tcW w:w="9225" w:type="dxa"/>
            <w:gridSpan w:val="7"/>
            <w:shd w:val="clear" w:color="auto" w:fill="auto"/>
            <w:noWrap/>
            <w:vAlign w:val="bottom"/>
            <w:hideMark/>
          </w:tcPr>
          <w:p w:rsidR="00685184" w:rsidRPr="0091560A" w:rsidRDefault="00685184" w:rsidP="00B00BEC">
            <w:pPr>
              <w:rPr>
                <w:rFonts w:ascii="Arial" w:hAnsi="Arial" w:cs="Arial"/>
                <w:sz w:val="18"/>
                <w:szCs w:val="20"/>
              </w:rPr>
            </w:pPr>
            <w:r w:rsidRPr="0091560A">
              <w:rPr>
                <w:rFonts w:ascii="Arial" w:hAnsi="Arial" w:cs="Arial"/>
                <w:b/>
                <w:bCs/>
                <w:sz w:val="18"/>
                <w:szCs w:val="20"/>
              </w:rPr>
              <w:t>Finančná implementácia podľa NUTS II k 31. 12. 2012</w:t>
            </w:r>
          </w:p>
        </w:tc>
      </w:tr>
      <w:tr w:rsidR="00685184" w:rsidRPr="0091560A" w:rsidTr="00685184">
        <w:trPr>
          <w:trHeight w:val="261"/>
        </w:trPr>
        <w:tc>
          <w:tcPr>
            <w:tcW w:w="760" w:type="dxa"/>
            <w:vMerge w:val="restart"/>
            <w:shd w:val="clear" w:color="auto" w:fill="BFBFBF" w:themeFill="background1" w:themeFillShade="BF"/>
            <w:vAlign w:val="bottom"/>
            <w:hideMark/>
          </w:tcPr>
          <w:p w:rsidR="00685184" w:rsidRPr="0091560A" w:rsidRDefault="00685184" w:rsidP="00685184">
            <w:pPr>
              <w:jc w:val="center"/>
              <w:rPr>
                <w:rFonts w:ascii="Arial" w:hAnsi="Arial" w:cs="Arial"/>
                <w:b/>
                <w:bCs/>
                <w:sz w:val="18"/>
                <w:szCs w:val="20"/>
              </w:rPr>
            </w:pPr>
            <w:r w:rsidRPr="0091560A">
              <w:rPr>
                <w:rFonts w:ascii="Arial" w:hAnsi="Arial" w:cs="Arial"/>
                <w:b/>
                <w:bCs/>
                <w:sz w:val="18"/>
                <w:szCs w:val="20"/>
              </w:rPr>
              <w:t>PO</w:t>
            </w:r>
          </w:p>
        </w:tc>
        <w:tc>
          <w:tcPr>
            <w:tcW w:w="1563" w:type="dxa"/>
            <w:vMerge w:val="restart"/>
            <w:shd w:val="clear" w:color="auto" w:fill="BFBFBF" w:themeFill="background1" w:themeFillShade="BF"/>
            <w:vAlign w:val="bottom"/>
            <w:hideMark/>
          </w:tcPr>
          <w:p w:rsidR="00685184" w:rsidRPr="0091560A" w:rsidRDefault="00685184" w:rsidP="00685184">
            <w:pPr>
              <w:jc w:val="center"/>
              <w:rPr>
                <w:rFonts w:ascii="Arial" w:hAnsi="Arial" w:cs="Arial"/>
                <w:b/>
                <w:bCs/>
                <w:sz w:val="18"/>
                <w:szCs w:val="20"/>
              </w:rPr>
            </w:pPr>
            <w:r w:rsidRPr="0091560A">
              <w:rPr>
                <w:rFonts w:ascii="Arial" w:hAnsi="Arial" w:cs="Arial"/>
                <w:b/>
                <w:bCs/>
                <w:sz w:val="18"/>
                <w:szCs w:val="20"/>
              </w:rPr>
              <w:t>Región NUTS II</w:t>
            </w:r>
          </w:p>
        </w:tc>
        <w:tc>
          <w:tcPr>
            <w:tcW w:w="1456" w:type="dxa"/>
            <w:vMerge w:val="restart"/>
            <w:shd w:val="clear" w:color="auto" w:fill="BFBFBF" w:themeFill="background1" w:themeFillShade="BF"/>
            <w:vAlign w:val="bottom"/>
            <w:hideMark/>
          </w:tcPr>
          <w:p w:rsidR="00685184" w:rsidRPr="0091560A" w:rsidRDefault="00685184" w:rsidP="00685184">
            <w:pPr>
              <w:jc w:val="center"/>
              <w:rPr>
                <w:rFonts w:ascii="Arial" w:hAnsi="Arial" w:cs="Arial"/>
                <w:b/>
                <w:bCs/>
                <w:sz w:val="18"/>
                <w:szCs w:val="20"/>
              </w:rPr>
            </w:pPr>
            <w:r w:rsidRPr="0091560A">
              <w:rPr>
                <w:rFonts w:ascii="Arial" w:hAnsi="Arial" w:cs="Arial"/>
                <w:b/>
                <w:bCs/>
                <w:sz w:val="18"/>
                <w:szCs w:val="20"/>
              </w:rPr>
              <w:t>Indikatívne alokácie z ŠF a KF v €</w:t>
            </w:r>
          </w:p>
        </w:tc>
        <w:tc>
          <w:tcPr>
            <w:tcW w:w="1456" w:type="dxa"/>
            <w:vMerge w:val="restart"/>
            <w:shd w:val="clear" w:color="auto" w:fill="BFBFBF" w:themeFill="background1" w:themeFillShade="BF"/>
            <w:vAlign w:val="bottom"/>
            <w:hideMark/>
          </w:tcPr>
          <w:p w:rsidR="00685184" w:rsidRPr="0091560A" w:rsidRDefault="00685184" w:rsidP="00685184">
            <w:pPr>
              <w:jc w:val="center"/>
              <w:rPr>
                <w:rFonts w:ascii="Arial" w:hAnsi="Arial" w:cs="Arial"/>
                <w:b/>
                <w:bCs/>
                <w:sz w:val="18"/>
                <w:szCs w:val="20"/>
              </w:rPr>
            </w:pPr>
            <w:r w:rsidRPr="0091560A">
              <w:rPr>
                <w:rFonts w:ascii="Arial" w:hAnsi="Arial" w:cs="Arial"/>
                <w:b/>
                <w:bCs/>
                <w:sz w:val="18"/>
                <w:szCs w:val="20"/>
              </w:rPr>
              <w:t>% zazmluvnenia voči regionálnej alokácii</w:t>
            </w:r>
          </w:p>
        </w:tc>
        <w:tc>
          <w:tcPr>
            <w:tcW w:w="3989" w:type="dxa"/>
            <w:gridSpan w:val="3"/>
            <w:vMerge w:val="restart"/>
            <w:shd w:val="clear" w:color="auto" w:fill="BFBFBF" w:themeFill="background1" w:themeFillShade="BF"/>
            <w:vAlign w:val="bottom"/>
            <w:hideMark/>
          </w:tcPr>
          <w:p w:rsidR="00685184" w:rsidRPr="0091560A" w:rsidRDefault="00685184" w:rsidP="00685184">
            <w:pPr>
              <w:jc w:val="center"/>
              <w:rPr>
                <w:rFonts w:ascii="Arial" w:hAnsi="Arial" w:cs="Arial"/>
                <w:b/>
                <w:bCs/>
                <w:sz w:val="18"/>
                <w:szCs w:val="20"/>
              </w:rPr>
            </w:pPr>
            <w:r w:rsidRPr="0091560A">
              <w:rPr>
                <w:rFonts w:ascii="Arial" w:hAnsi="Arial" w:cs="Arial"/>
                <w:b/>
                <w:bCs/>
                <w:sz w:val="18"/>
                <w:szCs w:val="20"/>
              </w:rPr>
              <w:t>Výška zazmluvnených prostriedkov zo ŠF a KF</w:t>
            </w:r>
          </w:p>
        </w:tc>
      </w:tr>
      <w:tr w:rsidR="00685184" w:rsidRPr="0091560A" w:rsidTr="00685184">
        <w:trPr>
          <w:trHeight w:val="236"/>
        </w:trPr>
        <w:tc>
          <w:tcPr>
            <w:tcW w:w="760" w:type="dxa"/>
            <w:vMerge/>
            <w:vAlign w:val="center"/>
            <w:hideMark/>
          </w:tcPr>
          <w:p w:rsidR="00685184" w:rsidRPr="0091560A" w:rsidRDefault="00685184" w:rsidP="00685184">
            <w:pPr>
              <w:rPr>
                <w:rFonts w:ascii="Arial" w:hAnsi="Arial" w:cs="Arial"/>
                <w:b/>
                <w:bCs/>
                <w:sz w:val="18"/>
                <w:szCs w:val="20"/>
              </w:rPr>
            </w:pPr>
          </w:p>
        </w:tc>
        <w:tc>
          <w:tcPr>
            <w:tcW w:w="1563" w:type="dxa"/>
            <w:vMerge/>
            <w:vAlign w:val="center"/>
            <w:hideMark/>
          </w:tcPr>
          <w:p w:rsidR="00685184" w:rsidRPr="0091560A" w:rsidRDefault="00685184" w:rsidP="00685184">
            <w:pPr>
              <w:rPr>
                <w:rFonts w:ascii="Arial" w:hAnsi="Arial" w:cs="Arial"/>
                <w:b/>
                <w:bCs/>
                <w:sz w:val="18"/>
                <w:szCs w:val="20"/>
              </w:rPr>
            </w:pPr>
          </w:p>
        </w:tc>
        <w:tc>
          <w:tcPr>
            <w:tcW w:w="1456" w:type="dxa"/>
            <w:vMerge/>
            <w:vAlign w:val="center"/>
            <w:hideMark/>
          </w:tcPr>
          <w:p w:rsidR="00685184" w:rsidRPr="0091560A" w:rsidRDefault="00685184" w:rsidP="00685184">
            <w:pPr>
              <w:rPr>
                <w:rFonts w:ascii="Arial" w:hAnsi="Arial" w:cs="Arial"/>
                <w:b/>
                <w:bCs/>
                <w:sz w:val="18"/>
                <w:szCs w:val="20"/>
              </w:rPr>
            </w:pPr>
          </w:p>
        </w:tc>
        <w:tc>
          <w:tcPr>
            <w:tcW w:w="1456" w:type="dxa"/>
            <w:vMerge/>
            <w:vAlign w:val="center"/>
            <w:hideMark/>
          </w:tcPr>
          <w:p w:rsidR="00685184" w:rsidRPr="0091560A" w:rsidRDefault="00685184" w:rsidP="00685184">
            <w:pPr>
              <w:rPr>
                <w:rFonts w:ascii="Arial" w:hAnsi="Arial" w:cs="Arial"/>
                <w:b/>
                <w:bCs/>
                <w:sz w:val="18"/>
                <w:szCs w:val="20"/>
              </w:rPr>
            </w:pPr>
          </w:p>
        </w:tc>
        <w:tc>
          <w:tcPr>
            <w:tcW w:w="3989" w:type="dxa"/>
            <w:gridSpan w:val="3"/>
            <w:vMerge/>
            <w:vAlign w:val="center"/>
            <w:hideMark/>
          </w:tcPr>
          <w:p w:rsidR="00685184" w:rsidRPr="0091560A" w:rsidRDefault="00685184" w:rsidP="00685184">
            <w:pPr>
              <w:rPr>
                <w:rFonts w:ascii="Arial" w:hAnsi="Arial" w:cs="Arial"/>
                <w:b/>
                <w:bCs/>
                <w:sz w:val="18"/>
                <w:szCs w:val="20"/>
              </w:rPr>
            </w:pPr>
          </w:p>
        </w:tc>
      </w:tr>
      <w:tr w:rsidR="00685184" w:rsidRPr="0091560A" w:rsidTr="00685184">
        <w:trPr>
          <w:trHeight w:val="714"/>
        </w:trPr>
        <w:tc>
          <w:tcPr>
            <w:tcW w:w="760" w:type="dxa"/>
            <w:vMerge/>
            <w:vAlign w:val="center"/>
            <w:hideMark/>
          </w:tcPr>
          <w:p w:rsidR="00685184" w:rsidRPr="0091560A" w:rsidRDefault="00685184" w:rsidP="00685184">
            <w:pPr>
              <w:rPr>
                <w:rFonts w:ascii="Arial" w:hAnsi="Arial" w:cs="Arial"/>
                <w:b/>
                <w:bCs/>
                <w:sz w:val="18"/>
                <w:szCs w:val="20"/>
              </w:rPr>
            </w:pPr>
          </w:p>
        </w:tc>
        <w:tc>
          <w:tcPr>
            <w:tcW w:w="1563" w:type="dxa"/>
            <w:vMerge/>
            <w:vAlign w:val="center"/>
            <w:hideMark/>
          </w:tcPr>
          <w:p w:rsidR="00685184" w:rsidRPr="0091560A" w:rsidRDefault="00685184" w:rsidP="00685184">
            <w:pPr>
              <w:rPr>
                <w:rFonts w:ascii="Arial" w:hAnsi="Arial" w:cs="Arial"/>
                <w:b/>
                <w:bCs/>
                <w:sz w:val="18"/>
                <w:szCs w:val="20"/>
              </w:rPr>
            </w:pPr>
          </w:p>
        </w:tc>
        <w:tc>
          <w:tcPr>
            <w:tcW w:w="1456" w:type="dxa"/>
            <w:vMerge/>
            <w:vAlign w:val="center"/>
            <w:hideMark/>
          </w:tcPr>
          <w:p w:rsidR="00685184" w:rsidRPr="0091560A" w:rsidRDefault="00685184" w:rsidP="00685184">
            <w:pPr>
              <w:rPr>
                <w:rFonts w:ascii="Arial" w:hAnsi="Arial" w:cs="Arial"/>
                <w:b/>
                <w:bCs/>
                <w:sz w:val="18"/>
                <w:szCs w:val="20"/>
              </w:rPr>
            </w:pPr>
          </w:p>
        </w:tc>
        <w:tc>
          <w:tcPr>
            <w:tcW w:w="1456" w:type="dxa"/>
            <w:vMerge/>
            <w:vAlign w:val="center"/>
            <w:hideMark/>
          </w:tcPr>
          <w:p w:rsidR="00685184" w:rsidRPr="0091560A" w:rsidRDefault="00685184" w:rsidP="00685184">
            <w:pPr>
              <w:rPr>
                <w:rFonts w:ascii="Arial" w:hAnsi="Arial" w:cs="Arial"/>
                <w:b/>
                <w:bCs/>
                <w:sz w:val="18"/>
                <w:szCs w:val="20"/>
              </w:rPr>
            </w:pPr>
          </w:p>
        </w:tc>
        <w:tc>
          <w:tcPr>
            <w:tcW w:w="1298" w:type="dxa"/>
            <w:shd w:val="clear" w:color="auto" w:fill="BFBFBF" w:themeFill="background1" w:themeFillShade="BF"/>
            <w:vAlign w:val="bottom"/>
            <w:hideMark/>
          </w:tcPr>
          <w:p w:rsidR="00685184" w:rsidRPr="0091560A" w:rsidRDefault="00685184" w:rsidP="00685184">
            <w:pPr>
              <w:jc w:val="center"/>
              <w:rPr>
                <w:rFonts w:ascii="Arial" w:hAnsi="Arial" w:cs="Arial"/>
                <w:b/>
                <w:bCs/>
                <w:sz w:val="18"/>
                <w:szCs w:val="20"/>
              </w:rPr>
            </w:pPr>
            <w:r w:rsidRPr="0091560A">
              <w:rPr>
                <w:rFonts w:ascii="Arial" w:hAnsi="Arial" w:cs="Arial"/>
                <w:b/>
                <w:bCs/>
                <w:sz w:val="18"/>
                <w:szCs w:val="20"/>
              </w:rPr>
              <w:t>€</w:t>
            </w:r>
          </w:p>
        </w:tc>
        <w:tc>
          <w:tcPr>
            <w:tcW w:w="1495" w:type="dxa"/>
            <w:shd w:val="clear" w:color="auto" w:fill="BFBFBF" w:themeFill="background1" w:themeFillShade="BF"/>
            <w:vAlign w:val="bottom"/>
            <w:hideMark/>
          </w:tcPr>
          <w:p w:rsidR="00685184" w:rsidRPr="0091560A" w:rsidRDefault="00685184" w:rsidP="00685184">
            <w:pPr>
              <w:jc w:val="center"/>
              <w:rPr>
                <w:rFonts w:ascii="Arial" w:hAnsi="Arial" w:cs="Arial"/>
                <w:b/>
                <w:bCs/>
                <w:sz w:val="18"/>
                <w:szCs w:val="20"/>
              </w:rPr>
            </w:pPr>
            <w:r w:rsidRPr="0091560A">
              <w:rPr>
                <w:rFonts w:ascii="Arial" w:hAnsi="Arial" w:cs="Arial"/>
                <w:b/>
                <w:bCs/>
                <w:sz w:val="18"/>
                <w:szCs w:val="20"/>
              </w:rPr>
              <w:t>% zo zazmluvnenia v rámci prioritnej osi</w:t>
            </w:r>
          </w:p>
        </w:tc>
        <w:tc>
          <w:tcPr>
            <w:tcW w:w="1196" w:type="dxa"/>
            <w:shd w:val="clear" w:color="auto" w:fill="BFBFBF" w:themeFill="background1" w:themeFillShade="BF"/>
            <w:vAlign w:val="bottom"/>
            <w:hideMark/>
          </w:tcPr>
          <w:p w:rsidR="00685184" w:rsidRPr="0091560A" w:rsidRDefault="00685184" w:rsidP="00685184">
            <w:pPr>
              <w:jc w:val="center"/>
              <w:rPr>
                <w:rFonts w:ascii="Arial" w:hAnsi="Arial" w:cs="Arial"/>
                <w:b/>
                <w:bCs/>
                <w:sz w:val="18"/>
                <w:szCs w:val="20"/>
              </w:rPr>
            </w:pPr>
            <w:r w:rsidRPr="0091560A">
              <w:rPr>
                <w:rFonts w:ascii="Arial" w:hAnsi="Arial" w:cs="Arial"/>
                <w:b/>
                <w:bCs/>
                <w:sz w:val="18"/>
                <w:szCs w:val="20"/>
              </w:rPr>
              <w:t>% z alokácie na región</w:t>
            </w:r>
          </w:p>
        </w:tc>
      </w:tr>
      <w:tr w:rsidR="00685184" w:rsidRPr="0091560A" w:rsidTr="00685184">
        <w:trPr>
          <w:trHeight w:val="312"/>
        </w:trPr>
        <w:tc>
          <w:tcPr>
            <w:tcW w:w="760" w:type="dxa"/>
            <w:shd w:val="clear" w:color="auto" w:fill="BFBFBF" w:themeFill="background1" w:themeFillShade="BF"/>
            <w:vAlign w:val="bottom"/>
            <w:hideMark/>
          </w:tcPr>
          <w:p w:rsidR="00685184" w:rsidRPr="0091560A" w:rsidRDefault="00685184" w:rsidP="00685184">
            <w:pPr>
              <w:jc w:val="center"/>
              <w:rPr>
                <w:rFonts w:ascii="Arial" w:hAnsi="Arial" w:cs="Arial"/>
                <w:sz w:val="18"/>
                <w:szCs w:val="20"/>
              </w:rPr>
            </w:pPr>
            <w:r w:rsidRPr="0091560A">
              <w:rPr>
                <w:rFonts w:ascii="Arial" w:hAnsi="Arial" w:cs="Arial"/>
                <w:sz w:val="18"/>
                <w:szCs w:val="20"/>
              </w:rPr>
              <w:t>A</w:t>
            </w:r>
          </w:p>
        </w:tc>
        <w:tc>
          <w:tcPr>
            <w:tcW w:w="1563" w:type="dxa"/>
            <w:shd w:val="clear" w:color="auto" w:fill="BFBFBF" w:themeFill="background1" w:themeFillShade="BF"/>
            <w:vAlign w:val="bottom"/>
            <w:hideMark/>
          </w:tcPr>
          <w:p w:rsidR="00685184" w:rsidRPr="0091560A" w:rsidRDefault="00685184" w:rsidP="00685184">
            <w:pPr>
              <w:jc w:val="center"/>
              <w:rPr>
                <w:rFonts w:ascii="Arial" w:hAnsi="Arial" w:cs="Arial"/>
                <w:sz w:val="18"/>
                <w:szCs w:val="20"/>
              </w:rPr>
            </w:pPr>
            <w:r w:rsidRPr="0091560A">
              <w:rPr>
                <w:rFonts w:ascii="Arial" w:hAnsi="Arial" w:cs="Arial"/>
                <w:sz w:val="18"/>
                <w:szCs w:val="20"/>
              </w:rPr>
              <w:t>B</w:t>
            </w:r>
          </w:p>
        </w:tc>
        <w:tc>
          <w:tcPr>
            <w:tcW w:w="1456" w:type="dxa"/>
            <w:shd w:val="clear" w:color="auto" w:fill="BFBFBF" w:themeFill="background1" w:themeFillShade="BF"/>
            <w:vAlign w:val="bottom"/>
            <w:hideMark/>
          </w:tcPr>
          <w:p w:rsidR="00685184" w:rsidRPr="0091560A" w:rsidRDefault="00685184" w:rsidP="00685184">
            <w:pPr>
              <w:jc w:val="center"/>
              <w:rPr>
                <w:rFonts w:ascii="Arial" w:hAnsi="Arial" w:cs="Arial"/>
                <w:sz w:val="18"/>
                <w:szCs w:val="20"/>
              </w:rPr>
            </w:pPr>
            <w:r w:rsidRPr="0091560A">
              <w:rPr>
                <w:rFonts w:ascii="Arial" w:hAnsi="Arial" w:cs="Arial"/>
                <w:sz w:val="18"/>
                <w:szCs w:val="20"/>
              </w:rPr>
              <w:t>C</w:t>
            </w:r>
          </w:p>
        </w:tc>
        <w:tc>
          <w:tcPr>
            <w:tcW w:w="1456" w:type="dxa"/>
            <w:shd w:val="clear" w:color="auto" w:fill="BFBFBF" w:themeFill="background1" w:themeFillShade="BF"/>
            <w:vAlign w:val="bottom"/>
            <w:hideMark/>
          </w:tcPr>
          <w:p w:rsidR="00685184" w:rsidRPr="0091560A" w:rsidRDefault="00685184" w:rsidP="00685184">
            <w:pPr>
              <w:jc w:val="center"/>
              <w:rPr>
                <w:rFonts w:ascii="Arial" w:hAnsi="Arial" w:cs="Arial"/>
                <w:sz w:val="18"/>
                <w:szCs w:val="20"/>
              </w:rPr>
            </w:pPr>
            <w:r w:rsidRPr="0091560A">
              <w:rPr>
                <w:rFonts w:ascii="Arial" w:hAnsi="Arial" w:cs="Arial"/>
                <w:sz w:val="18"/>
                <w:szCs w:val="20"/>
              </w:rPr>
              <w:t> </w:t>
            </w:r>
          </w:p>
        </w:tc>
        <w:tc>
          <w:tcPr>
            <w:tcW w:w="1298" w:type="dxa"/>
            <w:shd w:val="clear" w:color="auto" w:fill="BFBFBF" w:themeFill="background1" w:themeFillShade="BF"/>
            <w:vAlign w:val="bottom"/>
            <w:hideMark/>
          </w:tcPr>
          <w:p w:rsidR="00685184" w:rsidRPr="0091560A" w:rsidRDefault="00685184" w:rsidP="00685184">
            <w:pPr>
              <w:jc w:val="center"/>
              <w:rPr>
                <w:rFonts w:ascii="Arial" w:hAnsi="Arial" w:cs="Arial"/>
                <w:sz w:val="18"/>
                <w:szCs w:val="20"/>
              </w:rPr>
            </w:pPr>
            <w:r w:rsidRPr="0091560A">
              <w:rPr>
                <w:rFonts w:ascii="Arial" w:hAnsi="Arial" w:cs="Arial"/>
                <w:sz w:val="18"/>
                <w:szCs w:val="20"/>
              </w:rPr>
              <w:t>D</w:t>
            </w:r>
          </w:p>
        </w:tc>
        <w:tc>
          <w:tcPr>
            <w:tcW w:w="1495" w:type="dxa"/>
            <w:shd w:val="clear" w:color="auto" w:fill="BFBFBF" w:themeFill="background1" w:themeFillShade="BF"/>
            <w:vAlign w:val="bottom"/>
            <w:hideMark/>
          </w:tcPr>
          <w:p w:rsidR="00685184" w:rsidRPr="0091560A" w:rsidRDefault="00685184" w:rsidP="00685184">
            <w:pPr>
              <w:jc w:val="center"/>
              <w:rPr>
                <w:rFonts w:ascii="Arial" w:hAnsi="Arial" w:cs="Arial"/>
                <w:sz w:val="18"/>
                <w:szCs w:val="20"/>
              </w:rPr>
            </w:pPr>
            <w:r w:rsidRPr="0091560A">
              <w:rPr>
                <w:rFonts w:ascii="Arial" w:hAnsi="Arial" w:cs="Arial"/>
                <w:sz w:val="18"/>
                <w:szCs w:val="20"/>
              </w:rPr>
              <w:t>E=D/prioritná os</w:t>
            </w:r>
          </w:p>
        </w:tc>
        <w:tc>
          <w:tcPr>
            <w:tcW w:w="1196" w:type="dxa"/>
            <w:shd w:val="clear" w:color="auto" w:fill="BFBFBF" w:themeFill="background1" w:themeFillShade="BF"/>
            <w:vAlign w:val="bottom"/>
            <w:hideMark/>
          </w:tcPr>
          <w:p w:rsidR="00685184" w:rsidRPr="0091560A" w:rsidRDefault="00685184" w:rsidP="00685184">
            <w:pPr>
              <w:jc w:val="center"/>
              <w:rPr>
                <w:rFonts w:ascii="Arial" w:hAnsi="Arial" w:cs="Arial"/>
                <w:sz w:val="18"/>
                <w:szCs w:val="20"/>
              </w:rPr>
            </w:pPr>
            <w:r w:rsidRPr="0091560A">
              <w:rPr>
                <w:rFonts w:ascii="Arial" w:hAnsi="Arial" w:cs="Arial"/>
                <w:sz w:val="18"/>
                <w:szCs w:val="20"/>
              </w:rPr>
              <w:t>F=D/C</w:t>
            </w:r>
          </w:p>
        </w:tc>
      </w:tr>
      <w:tr w:rsidR="00685184" w:rsidRPr="0091560A" w:rsidTr="00685184">
        <w:trPr>
          <w:trHeight w:val="265"/>
        </w:trPr>
        <w:tc>
          <w:tcPr>
            <w:tcW w:w="760" w:type="dxa"/>
            <w:vMerge w:val="restart"/>
            <w:shd w:val="clear" w:color="auto" w:fill="auto"/>
            <w:vAlign w:val="center"/>
            <w:hideMark/>
          </w:tcPr>
          <w:p w:rsidR="00685184" w:rsidRPr="0091560A" w:rsidRDefault="00685184" w:rsidP="00685184">
            <w:pPr>
              <w:jc w:val="center"/>
              <w:rPr>
                <w:rFonts w:ascii="Arial" w:hAnsi="Arial" w:cs="Arial"/>
                <w:sz w:val="18"/>
                <w:szCs w:val="20"/>
              </w:rPr>
            </w:pPr>
            <w:r w:rsidRPr="0091560A">
              <w:rPr>
                <w:rFonts w:ascii="Arial" w:hAnsi="Arial" w:cs="Arial"/>
                <w:sz w:val="18"/>
                <w:szCs w:val="20"/>
              </w:rPr>
              <w:t>PO 1</w:t>
            </w:r>
          </w:p>
        </w:tc>
        <w:tc>
          <w:tcPr>
            <w:tcW w:w="1563" w:type="dxa"/>
            <w:shd w:val="clear" w:color="auto" w:fill="auto"/>
            <w:vAlign w:val="center"/>
            <w:hideMark/>
          </w:tcPr>
          <w:p w:rsidR="00685184" w:rsidRPr="0091560A" w:rsidRDefault="00685184" w:rsidP="00685184">
            <w:pPr>
              <w:jc w:val="center"/>
              <w:rPr>
                <w:rFonts w:ascii="Arial" w:hAnsi="Arial" w:cs="Arial"/>
                <w:sz w:val="18"/>
                <w:szCs w:val="20"/>
              </w:rPr>
            </w:pPr>
            <w:r w:rsidRPr="0091560A">
              <w:rPr>
                <w:rFonts w:ascii="Arial" w:hAnsi="Arial" w:cs="Arial"/>
                <w:sz w:val="18"/>
                <w:szCs w:val="20"/>
              </w:rPr>
              <w:t>Bratislavský</w:t>
            </w:r>
          </w:p>
        </w:tc>
        <w:tc>
          <w:tcPr>
            <w:tcW w:w="1456" w:type="dxa"/>
            <w:shd w:val="clear" w:color="auto" w:fill="auto"/>
            <w:vAlign w:val="center"/>
            <w:hideMark/>
          </w:tcPr>
          <w:p w:rsidR="00685184" w:rsidRPr="0091560A" w:rsidRDefault="00685184" w:rsidP="00685184">
            <w:pPr>
              <w:jc w:val="center"/>
              <w:rPr>
                <w:rFonts w:ascii="Arial" w:hAnsi="Arial" w:cs="Arial"/>
                <w:sz w:val="18"/>
                <w:szCs w:val="20"/>
              </w:rPr>
            </w:pPr>
            <w:r w:rsidRPr="0091560A">
              <w:rPr>
                <w:rFonts w:ascii="Arial" w:hAnsi="Arial" w:cs="Arial"/>
                <w:sz w:val="18"/>
                <w:szCs w:val="20"/>
              </w:rPr>
              <w:t>125 625 723</w:t>
            </w:r>
          </w:p>
        </w:tc>
        <w:tc>
          <w:tcPr>
            <w:tcW w:w="1456" w:type="dxa"/>
            <w:shd w:val="clear" w:color="auto" w:fill="auto"/>
            <w:vAlign w:val="center"/>
            <w:hideMark/>
          </w:tcPr>
          <w:p w:rsidR="00685184" w:rsidRPr="0091560A" w:rsidRDefault="00685184" w:rsidP="00685184">
            <w:pPr>
              <w:jc w:val="center"/>
              <w:rPr>
                <w:rFonts w:ascii="Arial" w:hAnsi="Arial" w:cs="Arial"/>
                <w:sz w:val="18"/>
                <w:szCs w:val="20"/>
              </w:rPr>
            </w:pPr>
            <w:r w:rsidRPr="0091560A">
              <w:rPr>
                <w:rFonts w:ascii="Arial" w:hAnsi="Arial" w:cs="Arial"/>
                <w:sz w:val="18"/>
                <w:szCs w:val="20"/>
              </w:rPr>
              <w:t>47,43%</w:t>
            </w:r>
          </w:p>
        </w:tc>
        <w:tc>
          <w:tcPr>
            <w:tcW w:w="1298" w:type="dxa"/>
            <w:shd w:val="clear" w:color="auto" w:fill="auto"/>
            <w:vAlign w:val="center"/>
            <w:hideMark/>
          </w:tcPr>
          <w:p w:rsidR="00685184" w:rsidRPr="0091560A" w:rsidRDefault="00685184" w:rsidP="00685184">
            <w:pPr>
              <w:jc w:val="center"/>
              <w:rPr>
                <w:rFonts w:ascii="Arial" w:hAnsi="Arial" w:cs="Arial"/>
                <w:sz w:val="18"/>
                <w:szCs w:val="20"/>
              </w:rPr>
            </w:pPr>
            <w:r w:rsidRPr="0091560A">
              <w:rPr>
                <w:rFonts w:ascii="Arial" w:hAnsi="Arial" w:cs="Arial"/>
                <w:sz w:val="18"/>
                <w:szCs w:val="20"/>
              </w:rPr>
              <w:t>59 582 129</w:t>
            </w:r>
          </w:p>
        </w:tc>
        <w:tc>
          <w:tcPr>
            <w:tcW w:w="1495" w:type="dxa"/>
            <w:shd w:val="clear" w:color="auto" w:fill="auto"/>
            <w:vAlign w:val="center"/>
            <w:hideMark/>
          </w:tcPr>
          <w:p w:rsidR="00685184" w:rsidRPr="0091560A" w:rsidRDefault="00685184" w:rsidP="00685184">
            <w:pPr>
              <w:jc w:val="center"/>
              <w:rPr>
                <w:rFonts w:ascii="Arial" w:hAnsi="Arial" w:cs="Arial"/>
                <w:sz w:val="18"/>
                <w:szCs w:val="20"/>
              </w:rPr>
            </w:pPr>
            <w:r w:rsidRPr="0091560A">
              <w:rPr>
                <w:rFonts w:ascii="Arial" w:hAnsi="Arial" w:cs="Arial"/>
                <w:sz w:val="18"/>
                <w:szCs w:val="20"/>
              </w:rPr>
              <w:t>8,54%</w:t>
            </w:r>
          </w:p>
        </w:tc>
        <w:tc>
          <w:tcPr>
            <w:tcW w:w="1196" w:type="dxa"/>
            <w:shd w:val="clear" w:color="auto" w:fill="auto"/>
            <w:vAlign w:val="center"/>
            <w:hideMark/>
          </w:tcPr>
          <w:p w:rsidR="00685184" w:rsidRPr="0091560A" w:rsidRDefault="00685184" w:rsidP="00685184">
            <w:pPr>
              <w:jc w:val="center"/>
              <w:rPr>
                <w:rFonts w:ascii="Arial" w:hAnsi="Arial" w:cs="Arial"/>
                <w:sz w:val="18"/>
                <w:szCs w:val="20"/>
              </w:rPr>
            </w:pPr>
            <w:r w:rsidRPr="0091560A">
              <w:rPr>
                <w:rFonts w:ascii="Arial" w:hAnsi="Arial" w:cs="Arial"/>
                <w:sz w:val="18"/>
                <w:szCs w:val="20"/>
              </w:rPr>
              <w:t>47,43%</w:t>
            </w:r>
          </w:p>
        </w:tc>
      </w:tr>
      <w:tr w:rsidR="00685184" w:rsidRPr="0091560A" w:rsidTr="00685184">
        <w:trPr>
          <w:trHeight w:hRule="exact" w:val="58"/>
        </w:trPr>
        <w:tc>
          <w:tcPr>
            <w:tcW w:w="760" w:type="dxa"/>
            <w:vMerge/>
            <w:vAlign w:val="center"/>
            <w:hideMark/>
          </w:tcPr>
          <w:p w:rsidR="00685184" w:rsidRPr="0091560A" w:rsidRDefault="00685184" w:rsidP="00685184">
            <w:pPr>
              <w:rPr>
                <w:rFonts w:ascii="Arial" w:hAnsi="Arial" w:cs="Arial"/>
                <w:sz w:val="18"/>
                <w:szCs w:val="20"/>
              </w:rPr>
            </w:pPr>
          </w:p>
        </w:tc>
        <w:tc>
          <w:tcPr>
            <w:tcW w:w="1563" w:type="dxa"/>
            <w:vMerge w:val="restart"/>
            <w:shd w:val="clear" w:color="auto" w:fill="auto"/>
            <w:vAlign w:val="center"/>
            <w:hideMark/>
          </w:tcPr>
          <w:p w:rsidR="00685184" w:rsidRPr="0091560A" w:rsidRDefault="00685184" w:rsidP="00685184">
            <w:pPr>
              <w:jc w:val="center"/>
              <w:rPr>
                <w:rFonts w:ascii="Arial" w:hAnsi="Arial" w:cs="Arial"/>
                <w:sz w:val="18"/>
                <w:szCs w:val="20"/>
              </w:rPr>
            </w:pPr>
            <w:r w:rsidRPr="0091560A">
              <w:rPr>
                <w:rFonts w:ascii="Arial" w:hAnsi="Arial" w:cs="Arial"/>
                <w:sz w:val="18"/>
                <w:szCs w:val="20"/>
              </w:rPr>
              <w:t>Západoslovenský</w:t>
            </w:r>
          </w:p>
        </w:tc>
        <w:tc>
          <w:tcPr>
            <w:tcW w:w="1456" w:type="dxa"/>
            <w:vMerge w:val="restart"/>
            <w:shd w:val="clear" w:color="auto" w:fill="auto"/>
            <w:vAlign w:val="center"/>
            <w:hideMark/>
          </w:tcPr>
          <w:p w:rsidR="00685184" w:rsidRPr="0091560A" w:rsidRDefault="00685184" w:rsidP="00685184">
            <w:pPr>
              <w:jc w:val="center"/>
              <w:rPr>
                <w:rFonts w:ascii="Arial" w:hAnsi="Arial" w:cs="Arial"/>
                <w:sz w:val="18"/>
                <w:szCs w:val="20"/>
              </w:rPr>
            </w:pPr>
            <w:r w:rsidRPr="0091560A">
              <w:rPr>
                <w:rFonts w:ascii="Arial" w:hAnsi="Arial" w:cs="Arial"/>
                <w:sz w:val="18"/>
                <w:szCs w:val="20"/>
              </w:rPr>
              <w:t>399 475 072</w:t>
            </w:r>
          </w:p>
        </w:tc>
        <w:tc>
          <w:tcPr>
            <w:tcW w:w="1456" w:type="dxa"/>
            <w:vMerge w:val="restart"/>
            <w:shd w:val="clear" w:color="auto" w:fill="auto"/>
            <w:vAlign w:val="center"/>
            <w:hideMark/>
          </w:tcPr>
          <w:p w:rsidR="00685184" w:rsidRPr="0091560A" w:rsidRDefault="00685184" w:rsidP="00685184">
            <w:pPr>
              <w:jc w:val="center"/>
              <w:rPr>
                <w:rFonts w:ascii="Arial" w:hAnsi="Arial" w:cs="Arial"/>
                <w:sz w:val="18"/>
                <w:szCs w:val="20"/>
              </w:rPr>
            </w:pPr>
            <w:r w:rsidRPr="0091560A">
              <w:rPr>
                <w:rFonts w:ascii="Arial" w:hAnsi="Arial" w:cs="Arial"/>
                <w:sz w:val="18"/>
                <w:szCs w:val="20"/>
              </w:rPr>
              <w:t>63,78%</w:t>
            </w:r>
          </w:p>
        </w:tc>
        <w:tc>
          <w:tcPr>
            <w:tcW w:w="1298" w:type="dxa"/>
            <w:vMerge w:val="restart"/>
            <w:shd w:val="clear" w:color="auto" w:fill="auto"/>
            <w:vAlign w:val="center"/>
            <w:hideMark/>
          </w:tcPr>
          <w:p w:rsidR="00685184" w:rsidRPr="0091560A" w:rsidRDefault="00685184" w:rsidP="00685184">
            <w:pPr>
              <w:jc w:val="center"/>
              <w:rPr>
                <w:rFonts w:ascii="Arial" w:hAnsi="Arial" w:cs="Arial"/>
                <w:sz w:val="18"/>
                <w:szCs w:val="20"/>
              </w:rPr>
            </w:pPr>
            <w:r w:rsidRPr="0091560A">
              <w:rPr>
                <w:rFonts w:ascii="Arial" w:hAnsi="Arial" w:cs="Arial"/>
                <w:sz w:val="18"/>
                <w:szCs w:val="20"/>
              </w:rPr>
              <w:t>254 786 737</w:t>
            </w:r>
          </w:p>
        </w:tc>
        <w:tc>
          <w:tcPr>
            <w:tcW w:w="1495" w:type="dxa"/>
            <w:vMerge w:val="restart"/>
            <w:shd w:val="clear" w:color="auto" w:fill="auto"/>
            <w:vAlign w:val="center"/>
            <w:hideMark/>
          </w:tcPr>
          <w:p w:rsidR="00685184" w:rsidRPr="0091560A" w:rsidRDefault="00685184" w:rsidP="00685184">
            <w:pPr>
              <w:jc w:val="center"/>
              <w:rPr>
                <w:rFonts w:ascii="Arial" w:hAnsi="Arial" w:cs="Arial"/>
                <w:sz w:val="18"/>
                <w:szCs w:val="20"/>
              </w:rPr>
            </w:pPr>
            <w:r w:rsidRPr="0091560A">
              <w:rPr>
                <w:rFonts w:ascii="Arial" w:hAnsi="Arial" w:cs="Arial"/>
                <w:sz w:val="18"/>
                <w:szCs w:val="20"/>
              </w:rPr>
              <w:t>36,52%</w:t>
            </w:r>
          </w:p>
        </w:tc>
        <w:tc>
          <w:tcPr>
            <w:tcW w:w="1196" w:type="dxa"/>
            <w:vMerge w:val="restart"/>
            <w:shd w:val="clear" w:color="auto" w:fill="auto"/>
            <w:vAlign w:val="center"/>
            <w:hideMark/>
          </w:tcPr>
          <w:p w:rsidR="00685184" w:rsidRPr="0091560A" w:rsidRDefault="00685184" w:rsidP="00685184">
            <w:pPr>
              <w:jc w:val="center"/>
              <w:rPr>
                <w:rFonts w:ascii="Arial" w:hAnsi="Arial" w:cs="Arial"/>
                <w:sz w:val="18"/>
                <w:szCs w:val="20"/>
              </w:rPr>
            </w:pPr>
            <w:r w:rsidRPr="0091560A">
              <w:rPr>
                <w:rFonts w:ascii="Arial" w:hAnsi="Arial" w:cs="Arial"/>
                <w:sz w:val="18"/>
                <w:szCs w:val="20"/>
              </w:rPr>
              <w:t>63,78%</w:t>
            </w:r>
          </w:p>
        </w:tc>
      </w:tr>
      <w:tr w:rsidR="00685184" w:rsidRPr="0091560A" w:rsidTr="00685184">
        <w:trPr>
          <w:trHeight w:hRule="exact" w:val="116"/>
        </w:trPr>
        <w:tc>
          <w:tcPr>
            <w:tcW w:w="760" w:type="dxa"/>
            <w:vMerge/>
            <w:vAlign w:val="center"/>
            <w:hideMark/>
          </w:tcPr>
          <w:p w:rsidR="00685184" w:rsidRPr="0091560A" w:rsidRDefault="00685184" w:rsidP="00685184">
            <w:pPr>
              <w:rPr>
                <w:rFonts w:ascii="Arial" w:hAnsi="Arial" w:cs="Arial"/>
                <w:sz w:val="18"/>
                <w:szCs w:val="20"/>
              </w:rPr>
            </w:pPr>
          </w:p>
        </w:tc>
        <w:tc>
          <w:tcPr>
            <w:tcW w:w="1563" w:type="dxa"/>
            <w:vMerge/>
            <w:vAlign w:val="center"/>
            <w:hideMark/>
          </w:tcPr>
          <w:p w:rsidR="00685184" w:rsidRPr="0091560A" w:rsidRDefault="00685184" w:rsidP="00685184">
            <w:pPr>
              <w:rPr>
                <w:rFonts w:ascii="Arial" w:hAnsi="Arial" w:cs="Arial"/>
                <w:sz w:val="18"/>
                <w:szCs w:val="20"/>
              </w:rPr>
            </w:pPr>
          </w:p>
        </w:tc>
        <w:tc>
          <w:tcPr>
            <w:tcW w:w="1456" w:type="dxa"/>
            <w:vMerge/>
            <w:vAlign w:val="center"/>
            <w:hideMark/>
          </w:tcPr>
          <w:p w:rsidR="00685184" w:rsidRPr="0091560A" w:rsidRDefault="00685184" w:rsidP="00685184">
            <w:pPr>
              <w:rPr>
                <w:rFonts w:ascii="Arial" w:hAnsi="Arial" w:cs="Arial"/>
                <w:sz w:val="18"/>
                <w:szCs w:val="20"/>
              </w:rPr>
            </w:pPr>
          </w:p>
        </w:tc>
        <w:tc>
          <w:tcPr>
            <w:tcW w:w="1456" w:type="dxa"/>
            <w:vMerge/>
            <w:vAlign w:val="center"/>
            <w:hideMark/>
          </w:tcPr>
          <w:p w:rsidR="00685184" w:rsidRPr="0091560A" w:rsidRDefault="00685184" w:rsidP="00685184">
            <w:pPr>
              <w:rPr>
                <w:rFonts w:ascii="Arial" w:hAnsi="Arial" w:cs="Arial"/>
                <w:sz w:val="18"/>
                <w:szCs w:val="20"/>
              </w:rPr>
            </w:pPr>
          </w:p>
        </w:tc>
        <w:tc>
          <w:tcPr>
            <w:tcW w:w="1298" w:type="dxa"/>
            <w:vMerge/>
            <w:vAlign w:val="center"/>
            <w:hideMark/>
          </w:tcPr>
          <w:p w:rsidR="00685184" w:rsidRPr="0091560A" w:rsidRDefault="00685184" w:rsidP="00685184">
            <w:pPr>
              <w:rPr>
                <w:rFonts w:ascii="Arial" w:hAnsi="Arial" w:cs="Arial"/>
                <w:sz w:val="18"/>
                <w:szCs w:val="20"/>
              </w:rPr>
            </w:pPr>
          </w:p>
        </w:tc>
        <w:tc>
          <w:tcPr>
            <w:tcW w:w="1495" w:type="dxa"/>
            <w:vMerge/>
            <w:vAlign w:val="center"/>
            <w:hideMark/>
          </w:tcPr>
          <w:p w:rsidR="00685184" w:rsidRPr="0091560A" w:rsidRDefault="00685184" w:rsidP="00685184">
            <w:pPr>
              <w:rPr>
                <w:rFonts w:ascii="Arial" w:hAnsi="Arial" w:cs="Arial"/>
                <w:sz w:val="18"/>
                <w:szCs w:val="20"/>
              </w:rPr>
            </w:pPr>
          </w:p>
        </w:tc>
        <w:tc>
          <w:tcPr>
            <w:tcW w:w="1196" w:type="dxa"/>
            <w:vMerge/>
            <w:vAlign w:val="center"/>
            <w:hideMark/>
          </w:tcPr>
          <w:p w:rsidR="00685184" w:rsidRPr="0091560A" w:rsidRDefault="00685184" w:rsidP="00685184">
            <w:pPr>
              <w:rPr>
                <w:rFonts w:ascii="Arial" w:hAnsi="Arial" w:cs="Arial"/>
                <w:sz w:val="18"/>
                <w:szCs w:val="20"/>
              </w:rPr>
            </w:pPr>
          </w:p>
        </w:tc>
      </w:tr>
      <w:tr w:rsidR="00685184" w:rsidRPr="0091560A" w:rsidTr="00685184">
        <w:trPr>
          <w:trHeight w:hRule="exact" w:val="116"/>
        </w:trPr>
        <w:tc>
          <w:tcPr>
            <w:tcW w:w="760" w:type="dxa"/>
            <w:vMerge/>
            <w:vAlign w:val="center"/>
            <w:hideMark/>
          </w:tcPr>
          <w:p w:rsidR="00685184" w:rsidRPr="0091560A" w:rsidRDefault="00685184" w:rsidP="00685184">
            <w:pPr>
              <w:rPr>
                <w:rFonts w:ascii="Arial" w:hAnsi="Arial" w:cs="Arial"/>
                <w:sz w:val="18"/>
                <w:szCs w:val="20"/>
              </w:rPr>
            </w:pPr>
          </w:p>
        </w:tc>
        <w:tc>
          <w:tcPr>
            <w:tcW w:w="1563" w:type="dxa"/>
            <w:vMerge/>
            <w:vAlign w:val="center"/>
            <w:hideMark/>
          </w:tcPr>
          <w:p w:rsidR="00685184" w:rsidRPr="0091560A" w:rsidRDefault="00685184" w:rsidP="00685184">
            <w:pPr>
              <w:rPr>
                <w:rFonts w:ascii="Arial" w:hAnsi="Arial" w:cs="Arial"/>
                <w:sz w:val="18"/>
                <w:szCs w:val="20"/>
              </w:rPr>
            </w:pPr>
          </w:p>
        </w:tc>
        <w:tc>
          <w:tcPr>
            <w:tcW w:w="1456" w:type="dxa"/>
            <w:vMerge/>
            <w:vAlign w:val="center"/>
            <w:hideMark/>
          </w:tcPr>
          <w:p w:rsidR="00685184" w:rsidRPr="0091560A" w:rsidRDefault="00685184" w:rsidP="00685184">
            <w:pPr>
              <w:rPr>
                <w:rFonts w:ascii="Arial" w:hAnsi="Arial" w:cs="Arial"/>
                <w:sz w:val="18"/>
                <w:szCs w:val="20"/>
              </w:rPr>
            </w:pPr>
          </w:p>
        </w:tc>
        <w:tc>
          <w:tcPr>
            <w:tcW w:w="1456" w:type="dxa"/>
            <w:vMerge/>
            <w:vAlign w:val="center"/>
            <w:hideMark/>
          </w:tcPr>
          <w:p w:rsidR="00685184" w:rsidRPr="0091560A" w:rsidRDefault="00685184" w:rsidP="00685184">
            <w:pPr>
              <w:rPr>
                <w:rFonts w:ascii="Arial" w:hAnsi="Arial" w:cs="Arial"/>
                <w:sz w:val="18"/>
                <w:szCs w:val="20"/>
              </w:rPr>
            </w:pPr>
          </w:p>
        </w:tc>
        <w:tc>
          <w:tcPr>
            <w:tcW w:w="1298" w:type="dxa"/>
            <w:vMerge/>
            <w:vAlign w:val="center"/>
            <w:hideMark/>
          </w:tcPr>
          <w:p w:rsidR="00685184" w:rsidRPr="0091560A" w:rsidRDefault="00685184" w:rsidP="00685184">
            <w:pPr>
              <w:rPr>
                <w:rFonts w:ascii="Arial" w:hAnsi="Arial" w:cs="Arial"/>
                <w:sz w:val="18"/>
                <w:szCs w:val="20"/>
              </w:rPr>
            </w:pPr>
          </w:p>
        </w:tc>
        <w:tc>
          <w:tcPr>
            <w:tcW w:w="1495" w:type="dxa"/>
            <w:vMerge/>
            <w:vAlign w:val="center"/>
            <w:hideMark/>
          </w:tcPr>
          <w:p w:rsidR="00685184" w:rsidRPr="0091560A" w:rsidRDefault="00685184" w:rsidP="00685184">
            <w:pPr>
              <w:rPr>
                <w:rFonts w:ascii="Arial" w:hAnsi="Arial" w:cs="Arial"/>
                <w:sz w:val="18"/>
                <w:szCs w:val="20"/>
              </w:rPr>
            </w:pPr>
          </w:p>
        </w:tc>
        <w:tc>
          <w:tcPr>
            <w:tcW w:w="1196" w:type="dxa"/>
            <w:vMerge/>
            <w:vAlign w:val="center"/>
            <w:hideMark/>
          </w:tcPr>
          <w:p w:rsidR="00685184" w:rsidRPr="0091560A" w:rsidRDefault="00685184" w:rsidP="00685184">
            <w:pPr>
              <w:rPr>
                <w:rFonts w:ascii="Arial" w:hAnsi="Arial" w:cs="Arial"/>
                <w:sz w:val="18"/>
                <w:szCs w:val="20"/>
              </w:rPr>
            </w:pPr>
          </w:p>
        </w:tc>
      </w:tr>
      <w:tr w:rsidR="00685184" w:rsidRPr="0091560A" w:rsidTr="00685184">
        <w:trPr>
          <w:trHeight w:hRule="exact" w:val="116"/>
        </w:trPr>
        <w:tc>
          <w:tcPr>
            <w:tcW w:w="760" w:type="dxa"/>
            <w:vMerge/>
            <w:vAlign w:val="center"/>
            <w:hideMark/>
          </w:tcPr>
          <w:p w:rsidR="00685184" w:rsidRPr="0091560A" w:rsidRDefault="00685184" w:rsidP="00685184">
            <w:pPr>
              <w:rPr>
                <w:rFonts w:ascii="Arial" w:hAnsi="Arial" w:cs="Arial"/>
                <w:sz w:val="18"/>
                <w:szCs w:val="20"/>
              </w:rPr>
            </w:pPr>
          </w:p>
        </w:tc>
        <w:tc>
          <w:tcPr>
            <w:tcW w:w="1563" w:type="dxa"/>
            <w:vMerge w:val="restart"/>
            <w:shd w:val="clear" w:color="auto" w:fill="auto"/>
            <w:vAlign w:val="center"/>
            <w:hideMark/>
          </w:tcPr>
          <w:p w:rsidR="00685184" w:rsidRPr="0091560A" w:rsidRDefault="00685184" w:rsidP="00685184">
            <w:pPr>
              <w:jc w:val="center"/>
              <w:rPr>
                <w:rFonts w:ascii="Arial" w:hAnsi="Arial" w:cs="Arial"/>
                <w:sz w:val="18"/>
                <w:szCs w:val="20"/>
              </w:rPr>
            </w:pPr>
            <w:r w:rsidRPr="0091560A">
              <w:rPr>
                <w:rFonts w:ascii="Arial" w:hAnsi="Arial" w:cs="Arial"/>
                <w:sz w:val="18"/>
                <w:szCs w:val="20"/>
              </w:rPr>
              <w:t>Stredoslovenský</w:t>
            </w:r>
          </w:p>
        </w:tc>
        <w:tc>
          <w:tcPr>
            <w:tcW w:w="1456" w:type="dxa"/>
            <w:vMerge w:val="restart"/>
            <w:shd w:val="clear" w:color="auto" w:fill="auto"/>
            <w:vAlign w:val="center"/>
            <w:hideMark/>
          </w:tcPr>
          <w:p w:rsidR="00685184" w:rsidRPr="0091560A" w:rsidRDefault="00685184" w:rsidP="00685184">
            <w:pPr>
              <w:jc w:val="center"/>
              <w:rPr>
                <w:rFonts w:ascii="Arial" w:hAnsi="Arial" w:cs="Arial"/>
                <w:sz w:val="18"/>
                <w:szCs w:val="20"/>
              </w:rPr>
            </w:pPr>
            <w:r w:rsidRPr="0091560A">
              <w:rPr>
                <w:rFonts w:ascii="Arial" w:hAnsi="Arial" w:cs="Arial"/>
                <w:sz w:val="18"/>
                <w:szCs w:val="20"/>
              </w:rPr>
              <w:t>149 004 336</w:t>
            </w:r>
          </w:p>
        </w:tc>
        <w:tc>
          <w:tcPr>
            <w:tcW w:w="1456" w:type="dxa"/>
            <w:vMerge w:val="restart"/>
            <w:shd w:val="clear" w:color="auto" w:fill="auto"/>
            <w:vAlign w:val="center"/>
            <w:hideMark/>
          </w:tcPr>
          <w:p w:rsidR="00685184" w:rsidRPr="0091560A" w:rsidRDefault="00685184" w:rsidP="00685184">
            <w:pPr>
              <w:jc w:val="center"/>
              <w:rPr>
                <w:rFonts w:ascii="Arial" w:hAnsi="Arial" w:cs="Arial"/>
                <w:sz w:val="18"/>
                <w:szCs w:val="20"/>
              </w:rPr>
            </w:pPr>
            <w:r w:rsidRPr="0091560A">
              <w:rPr>
                <w:rFonts w:ascii="Arial" w:hAnsi="Arial" w:cs="Arial"/>
                <w:sz w:val="18"/>
                <w:szCs w:val="20"/>
              </w:rPr>
              <w:t>147,85%</w:t>
            </w:r>
          </w:p>
        </w:tc>
        <w:tc>
          <w:tcPr>
            <w:tcW w:w="1298" w:type="dxa"/>
            <w:vMerge w:val="restart"/>
            <w:shd w:val="clear" w:color="auto" w:fill="auto"/>
            <w:vAlign w:val="center"/>
            <w:hideMark/>
          </w:tcPr>
          <w:p w:rsidR="00685184" w:rsidRPr="0091560A" w:rsidRDefault="00685184" w:rsidP="00685184">
            <w:pPr>
              <w:jc w:val="center"/>
              <w:rPr>
                <w:rFonts w:ascii="Arial" w:hAnsi="Arial" w:cs="Arial"/>
                <w:sz w:val="18"/>
                <w:szCs w:val="20"/>
              </w:rPr>
            </w:pPr>
            <w:r w:rsidRPr="0091560A">
              <w:rPr>
                <w:rFonts w:ascii="Arial" w:hAnsi="Arial" w:cs="Arial"/>
                <w:sz w:val="18"/>
                <w:szCs w:val="20"/>
              </w:rPr>
              <w:t>220 306 868</w:t>
            </w:r>
          </w:p>
        </w:tc>
        <w:tc>
          <w:tcPr>
            <w:tcW w:w="1495" w:type="dxa"/>
            <w:vMerge w:val="restart"/>
            <w:shd w:val="clear" w:color="auto" w:fill="auto"/>
            <w:vAlign w:val="center"/>
            <w:hideMark/>
          </w:tcPr>
          <w:p w:rsidR="00685184" w:rsidRPr="0091560A" w:rsidRDefault="00685184" w:rsidP="00685184">
            <w:pPr>
              <w:jc w:val="center"/>
              <w:rPr>
                <w:rFonts w:ascii="Arial" w:hAnsi="Arial" w:cs="Arial"/>
                <w:sz w:val="18"/>
                <w:szCs w:val="20"/>
              </w:rPr>
            </w:pPr>
            <w:r w:rsidRPr="0091560A">
              <w:rPr>
                <w:rFonts w:ascii="Arial" w:hAnsi="Arial" w:cs="Arial"/>
                <w:sz w:val="18"/>
                <w:szCs w:val="20"/>
              </w:rPr>
              <w:t>31,57%</w:t>
            </w:r>
          </w:p>
        </w:tc>
        <w:tc>
          <w:tcPr>
            <w:tcW w:w="1196" w:type="dxa"/>
            <w:vMerge w:val="restart"/>
            <w:shd w:val="clear" w:color="auto" w:fill="auto"/>
            <w:vAlign w:val="center"/>
            <w:hideMark/>
          </w:tcPr>
          <w:p w:rsidR="00685184" w:rsidRPr="0091560A" w:rsidRDefault="00685184" w:rsidP="00685184">
            <w:pPr>
              <w:jc w:val="center"/>
              <w:rPr>
                <w:rFonts w:ascii="Arial" w:hAnsi="Arial" w:cs="Arial"/>
                <w:sz w:val="18"/>
                <w:szCs w:val="20"/>
              </w:rPr>
            </w:pPr>
            <w:r w:rsidRPr="0091560A">
              <w:rPr>
                <w:rFonts w:ascii="Arial" w:hAnsi="Arial" w:cs="Arial"/>
                <w:sz w:val="18"/>
                <w:szCs w:val="20"/>
              </w:rPr>
              <w:t>147,85%</w:t>
            </w:r>
          </w:p>
        </w:tc>
      </w:tr>
      <w:tr w:rsidR="00685184" w:rsidRPr="0091560A" w:rsidTr="00685184">
        <w:trPr>
          <w:trHeight w:val="207"/>
        </w:trPr>
        <w:tc>
          <w:tcPr>
            <w:tcW w:w="760" w:type="dxa"/>
            <w:vMerge/>
            <w:vAlign w:val="center"/>
            <w:hideMark/>
          </w:tcPr>
          <w:p w:rsidR="00685184" w:rsidRPr="0091560A" w:rsidRDefault="00685184" w:rsidP="00685184">
            <w:pPr>
              <w:rPr>
                <w:rFonts w:ascii="Arial" w:hAnsi="Arial" w:cs="Arial"/>
                <w:sz w:val="18"/>
                <w:szCs w:val="20"/>
              </w:rPr>
            </w:pPr>
          </w:p>
        </w:tc>
        <w:tc>
          <w:tcPr>
            <w:tcW w:w="1563" w:type="dxa"/>
            <w:vMerge/>
            <w:vAlign w:val="center"/>
            <w:hideMark/>
          </w:tcPr>
          <w:p w:rsidR="00685184" w:rsidRPr="0091560A" w:rsidRDefault="00685184" w:rsidP="00685184">
            <w:pPr>
              <w:rPr>
                <w:rFonts w:ascii="Arial" w:hAnsi="Arial" w:cs="Arial"/>
                <w:sz w:val="18"/>
                <w:szCs w:val="20"/>
              </w:rPr>
            </w:pPr>
          </w:p>
        </w:tc>
        <w:tc>
          <w:tcPr>
            <w:tcW w:w="1456" w:type="dxa"/>
            <w:vMerge/>
            <w:vAlign w:val="center"/>
            <w:hideMark/>
          </w:tcPr>
          <w:p w:rsidR="00685184" w:rsidRPr="0091560A" w:rsidRDefault="00685184" w:rsidP="00685184">
            <w:pPr>
              <w:rPr>
                <w:rFonts w:ascii="Arial" w:hAnsi="Arial" w:cs="Arial"/>
                <w:sz w:val="18"/>
                <w:szCs w:val="20"/>
              </w:rPr>
            </w:pPr>
          </w:p>
        </w:tc>
        <w:tc>
          <w:tcPr>
            <w:tcW w:w="1456" w:type="dxa"/>
            <w:vMerge/>
            <w:vAlign w:val="center"/>
            <w:hideMark/>
          </w:tcPr>
          <w:p w:rsidR="00685184" w:rsidRPr="0091560A" w:rsidRDefault="00685184" w:rsidP="00685184">
            <w:pPr>
              <w:rPr>
                <w:rFonts w:ascii="Arial" w:hAnsi="Arial" w:cs="Arial"/>
                <w:sz w:val="18"/>
                <w:szCs w:val="20"/>
              </w:rPr>
            </w:pPr>
          </w:p>
        </w:tc>
        <w:tc>
          <w:tcPr>
            <w:tcW w:w="1298" w:type="dxa"/>
            <w:vMerge/>
            <w:vAlign w:val="center"/>
            <w:hideMark/>
          </w:tcPr>
          <w:p w:rsidR="00685184" w:rsidRPr="0091560A" w:rsidRDefault="00685184" w:rsidP="00685184">
            <w:pPr>
              <w:rPr>
                <w:rFonts w:ascii="Arial" w:hAnsi="Arial" w:cs="Arial"/>
                <w:sz w:val="18"/>
                <w:szCs w:val="20"/>
              </w:rPr>
            </w:pPr>
          </w:p>
        </w:tc>
        <w:tc>
          <w:tcPr>
            <w:tcW w:w="1495" w:type="dxa"/>
            <w:vMerge/>
            <w:vAlign w:val="center"/>
            <w:hideMark/>
          </w:tcPr>
          <w:p w:rsidR="00685184" w:rsidRPr="0091560A" w:rsidRDefault="00685184" w:rsidP="00685184">
            <w:pPr>
              <w:rPr>
                <w:rFonts w:ascii="Arial" w:hAnsi="Arial" w:cs="Arial"/>
                <w:sz w:val="18"/>
                <w:szCs w:val="20"/>
              </w:rPr>
            </w:pPr>
          </w:p>
        </w:tc>
        <w:tc>
          <w:tcPr>
            <w:tcW w:w="1196" w:type="dxa"/>
            <w:vMerge/>
            <w:vAlign w:val="center"/>
            <w:hideMark/>
          </w:tcPr>
          <w:p w:rsidR="00685184" w:rsidRPr="0091560A" w:rsidRDefault="00685184" w:rsidP="00685184">
            <w:pPr>
              <w:rPr>
                <w:rFonts w:ascii="Arial" w:hAnsi="Arial" w:cs="Arial"/>
                <w:sz w:val="18"/>
                <w:szCs w:val="20"/>
              </w:rPr>
            </w:pPr>
          </w:p>
        </w:tc>
      </w:tr>
      <w:tr w:rsidR="00685184" w:rsidRPr="0091560A" w:rsidTr="00685184">
        <w:trPr>
          <w:trHeight w:hRule="exact" w:val="58"/>
        </w:trPr>
        <w:tc>
          <w:tcPr>
            <w:tcW w:w="760" w:type="dxa"/>
            <w:vMerge/>
            <w:vAlign w:val="center"/>
            <w:hideMark/>
          </w:tcPr>
          <w:p w:rsidR="00685184" w:rsidRPr="0091560A" w:rsidRDefault="00685184" w:rsidP="00685184">
            <w:pPr>
              <w:rPr>
                <w:rFonts w:ascii="Arial" w:hAnsi="Arial" w:cs="Arial"/>
                <w:sz w:val="18"/>
                <w:szCs w:val="20"/>
              </w:rPr>
            </w:pPr>
          </w:p>
        </w:tc>
        <w:tc>
          <w:tcPr>
            <w:tcW w:w="1563" w:type="dxa"/>
            <w:vMerge w:val="restart"/>
            <w:shd w:val="clear" w:color="auto" w:fill="auto"/>
            <w:vAlign w:val="center"/>
            <w:hideMark/>
          </w:tcPr>
          <w:p w:rsidR="00685184" w:rsidRPr="0091560A" w:rsidRDefault="00685184" w:rsidP="00685184">
            <w:pPr>
              <w:jc w:val="center"/>
              <w:rPr>
                <w:rFonts w:ascii="Arial" w:hAnsi="Arial" w:cs="Arial"/>
                <w:sz w:val="18"/>
                <w:szCs w:val="20"/>
              </w:rPr>
            </w:pPr>
            <w:r w:rsidRPr="0091560A">
              <w:rPr>
                <w:rFonts w:ascii="Arial" w:hAnsi="Arial" w:cs="Arial"/>
                <w:sz w:val="18"/>
                <w:szCs w:val="20"/>
              </w:rPr>
              <w:t>Východoslovenský</w:t>
            </w:r>
          </w:p>
        </w:tc>
        <w:tc>
          <w:tcPr>
            <w:tcW w:w="1456" w:type="dxa"/>
            <w:vMerge w:val="restart"/>
            <w:shd w:val="clear" w:color="auto" w:fill="auto"/>
            <w:vAlign w:val="center"/>
            <w:hideMark/>
          </w:tcPr>
          <w:p w:rsidR="00685184" w:rsidRPr="0091560A" w:rsidRDefault="00685184" w:rsidP="00685184">
            <w:pPr>
              <w:jc w:val="center"/>
              <w:rPr>
                <w:rFonts w:ascii="Arial" w:hAnsi="Arial" w:cs="Arial"/>
                <w:sz w:val="18"/>
                <w:szCs w:val="20"/>
              </w:rPr>
            </w:pPr>
            <w:r w:rsidRPr="0091560A">
              <w:rPr>
                <w:rFonts w:ascii="Arial" w:hAnsi="Arial" w:cs="Arial"/>
                <w:sz w:val="18"/>
                <w:szCs w:val="20"/>
              </w:rPr>
              <w:t>241 537 934</w:t>
            </w:r>
          </w:p>
        </w:tc>
        <w:tc>
          <w:tcPr>
            <w:tcW w:w="1456" w:type="dxa"/>
            <w:vMerge w:val="restart"/>
            <w:shd w:val="clear" w:color="auto" w:fill="auto"/>
            <w:vAlign w:val="center"/>
            <w:hideMark/>
          </w:tcPr>
          <w:p w:rsidR="00685184" w:rsidRPr="0091560A" w:rsidRDefault="00685184" w:rsidP="00685184">
            <w:pPr>
              <w:jc w:val="center"/>
              <w:rPr>
                <w:rFonts w:ascii="Arial" w:hAnsi="Arial" w:cs="Arial"/>
                <w:sz w:val="18"/>
                <w:szCs w:val="20"/>
              </w:rPr>
            </w:pPr>
            <w:r w:rsidRPr="0091560A">
              <w:rPr>
                <w:rFonts w:ascii="Arial" w:hAnsi="Arial" w:cs="Arial"/>
                <w:sz w:val="18"/>
                <w:szCs w:val="20"/>
              </w:rPr>
              <w:t>67,51%</w:t>
            </w:r>
          </w:p>
        </w:tc>
        <w:tc>
          <w:tcPr>
            <w:tcW w:w="1298" w:type="dxa"/>
            <w:vMerge w:val="restart"/>
            <w:shd w:val="clear" w:color="auto" w:fill="auto"/>
            <w:vAlign w:val="center"/>
            <w:hideMark/>
          </w:tcPr>
          <w:p w:rsidR="00685184" w:rsidRPr="0091560A" w:rsidRDefault="00685184" w:rsidP="00685184">
            <w:pPr>
              <w:jc w:val="center"/>
              <w:rPr>
                <w:rFonts w:ascii="Arial" w:hAnsi="Arial" w:cs="Arial"/>
                <w:sz w:val="18"/>
                <w:szCs w:val="20"/>
              </w:rPr>
            </w:pPr>
            <w:r w:rsidRPr="0091560A">
              <w:rPr>
                <w:rFonts w:ascii="Arial" w:hAnsi="Arial" w:cs="Arial"/>
                <w:sz w:val="18"/>
                <w:szCs w:val="20"/>
              </w:rPr>
              <w:t>163 069 374</w:t>
            </w:r>
          </w:p>
        </w:tc>
        <w:tc>
          <w:tcPr>
            <w:tcW w:w="1495" w:type="dxa"/>
            <w:vMerge w:val="restart"/>
            <w:shd w:val="clear" w:color="auto" w:fill="auto"/>
            <w:vAlign w:val="center"/>
            <w:hideMark/>
          </w:tcPr>
          <w:p w:rsidR="00685184" w:rsidRPr="0091560A" w:rsidRDefault="00685184" w:rsidP="00685184">
            <w:pPr>
              <w:jc w:val="center"/>
              <w:rPr>
                <w:rFonts w:ascii="Arial" w:hAnsi="Arial" w:cs="Arial"/>
                <w:sz w:val="18"/>
                <w:szCs w:val="20"/>
              </w:rPr>
            </w:pPr>
            <w:r w:rsidRPr="0091560A">
              <w:rPr>
                <w:rFonts w:ascii="Arial" w:hAnsi="Arial" w:cs="Arial"/>
                <w:sz w:val="18"/>
                <w:szCs w:val="20"/>
              </w:rPr>
              <w:t>23,37%</w:t>
            </w:r>
          </w:p>
        </w:tc>
        <w:tc>
          <w:tcPr>
            <w:tcW w:w="1196" w:type="dxa"/>
            <w:vMerge w:val="restart"/>
            <w:shd w:val="clear" w:color="auto" w:fill="auto"/>
            <w:vAlign w:val="center"/>
            <w:hideMark/>
          </w:tcPr>
          <w:p w:rsidR="00685184" w:rsidRPr="0091560A" w:rsidRDefault="00685184" w:rsidP="00685184">
            <w:pPr>
              <w:jc w:val="center"/>
              <w:rPr>
                <w:rFonts w:ascii="Arial" w:hAnsi="Arial" w:cs="Arial"/>
                <w:sz w:val="18"/>
                <w:szCs w:val="20"/>
              </w:rPr>
            </w:pPr>
            <w:r w:rsidRPr="0091560A">
              <w:rPr>
                <w:rFonts w:ascii="Arial" w:hAnsi="Arial" w:cs="Arial"/>
                <w:sz w:val="18"/>
                <w:szCs w:val="20"/>
              </w:rPr>
              <w:t>67,51%</w:t>
            </w:r>
          </w:p>
        </w:tc>
      </w:tr>
      <w:tr w:rsidR="00685184" w:rsidRPr="0091560A" w:rsidTr="00685184">
        <w:trPr>
          <w:trHeight w:val="265"/>
        </w:trPr>
        <w:tc>
          <w:tcPr>
            <w:tcW w:w="760" w:type="dxa"/>
            <w:vMerge/>
            <w:vAlign w:val="center"/>
            <w:hideMark/>
          </w:tcPr>
          <w:p w:rsidR="00685184" w:rsidRPr="0091560A" w:rsidRDefault="00685184" w:rsidP="00685184">
            <w:pPr>
              <w:rPr>
                <w:rFonts w:ascii="Arial" w:hAnsi="Arial" w:cs="Arial"/>
                <w:sz w:val="18"/>
                <w:szCs w:val="20"/>
              </w:rPr>
            </w:pPr>
          </w:p>
        </w:tc>
        <w:tc>
          <w:tcPr>
            <w:tcW w:w="1563" w:type="dxa"/>
            <w:vMerge/>
            <w:vAlign w:val="center"/>
            <w:hideMark/>
          </w:tcPr>
          <w:p w:rsidR="00685184" w:rsidRPr="0091560A" w:rsidRDefault="00685184" w:rsidP="00685184">
            <w:pPr>
              <w:rPr>
                <w:rFonts w:ascii="Arial" w:hAnsi="Arial" w:cs="Arial"/>
                <w:sz w:val="18"/>
                <w:szCs w:val="20"/>
              </w:rPr>
            </w:pPr>
          </w:p>
        </w:tc>
        <w:tc>
          <w:tcPr>
            <w:tcW w:w="1456" w:type="dxa"/>
            <w:vMerge/>
            <w:vAlign w:val="center"/>
            <w:hideMark/>
          </w:tcPr>
          <w:p w:rsidR="00685184" w:rsidRPr="0091560A" w:rsidRDefault="00685184" w:rsidP="00685184">
            <w:pPr>
              <w:rPr>
                <w:rFonts w:ascii="Arial" w:hAnsi="Arial" w:cs="Arial"/>
                <w:sz w:val="18"/>
                <w:szCs w:val="20"/>
              </w:rPr>
            </w:pPr>
          </w:p>
        </w:tc>
        <w:tc>
          <w:tcPr>
            <w:tcW w:w="1456" w:type="dxa"/>
            <w:vMerge/>
            <w:vAlign w:val="center"/>
            <w:hideMark/>
          </w:tcPr>
          <w:p w:rsidR="00685184" w:rsidRPr="0091560A" w:rsidRDefault="00685184" w:rsidP="00685184">
            <w:pPr>
              <w:rPr>
                <w:rFonts w:ascii="Arial" w:hAnsi="Arial" w:cs="Arial"/>
                <w:sz w:val="18"/>
                <w:szCs w:val="20"/>
              </w:rPr>
            </w:pPr>
          </w:p>
        </w:tc>
        <w:tc>
          <w:tcPr>
            <w:tcW w:w="1298" w:type="dxa"/>
            <w:vMerge/>
            <w:vAlign w:val="center"/>
            <w:hideMark/>
          </w:tcPr>
          <w:p w:rsidR="00685184" w:rsidRPr="0091560A" w:rsidRDefault="00685184" w:rsidP="00685184">
            <w:pPr>
              <w:rPr>
                <w:rFonts w:ascii="Arial" w:hAnsi="Arial" w:cs="Arial"/>
                <w:sz w:val="18"/>
                <w:szCs w:val="20"/>
              </w:rPr>
            </w:pPr>
          </w:p>
        </w:tc>
        <w:tc>
          <w:tcPr>
            <w:tcW w:w="1495" w:type="dxa"/>
            <w:vMerge/>
            <w:vAlign w:val="center"/>
            <w:hideMark/>
          </w:tcPr>
          <w:p w:rsidR="00685184" w:rsidRPr="0091560A" w:rsidRDefault="00685184" w:rsidP="00685184">
            <w:pPr>
              <w:rPr>
                <w:rFonts w:ascii="Arial" w:hAnsi="Arial" w:cs="Arial"/>
                <w:sz w:val="18"/>
                <w:szCs w:val="20"/>
              </w:rPr>
            </w:pPr>
          </w:p>
        </w:tc>
        <w:tc>
          <w:tcPr>
            <w:tcW w:w="1196" w:type="dxa"/>
            <w:vMerge/>
            <w:vAlign w:val="center"/>
            <w:hideMark/>
          </w:tcPr>
          <w:p w:rsidR="00685184" w:rsidRPr="0091560A" w:rsidRDefault="00685184" w:rsidP="00685184">
            <w:pPr>
              <w:rPr>
                <w:rFonts w:ascii="Arial" w:hAnsi="Arial" w:cs="Arial"/>
                <w:sz w:val="18"/>
                <w:szCs w:val="20"/>
              </w:rPr>
            </w:pPr>
          </w:p>
        </w:tc>
      </w:tr>
      <w:tr w:rsidR="00685184" w:rsidRPr="0091560A" w:rsidTr="00685184">
        <w:trPr>
          <w:trHeight w:val="265"/>
        </w:trPr>
        <w:tc>
          <w:tcPr>
            <w:tcW w:w="760" w:type="dxa"/>
            <w:vMerge/>
            <w:vAlign w:val="center"/>
            <w:hideMark/>
          </w:tcPr>
          <w:p w:rsidR="00685184" w:rsidRPr="0091560A" w:rsidRDefault="00685184" w:rsidP="00685184">
            <w:pPr>
              <w:rPr>
                <w:rFonts w:ascii="Arial" w:hAnsi="Arial" w:cs="Arial"/>
                <w:sz w:val="18"/>
                <w:szCs w:val="20"/>
              </w:rPr>
            </w:pPr>
          </w:p>
        </w:tc>
        <w:tc>
          <w:tcPr>
            <w:tcW w:w="1563" w:type="dxa"/>
            <w:shd w:val="clear" w:color="auto" w:fill="auto"/>
            <w:hideMark/>
          </w:tcPr>
          <w:p w:rsidR="00685184" w:rsidRPr="0091560A" w:rsidRDefault="00685184" w:rsidP="00685184">
            <w:pPr>
              <w:jc w:val="center"/>
              <w:rPr>
                <w:rFonts w:ascii="Arial" w:hAnsi="Arial" w:cs="Arial"/>
                <w:b/>
                <w:bCs/>
                <w:sz w:val="18"/>
                <w:szCs w:val="20"/>
              </w:rPr>
            </w:pPr>
          </w:p>
        </w:tc>
        <w:tc>
          <w:tcPr>
            <w:tcW w:w="1456" w:type="dxa"/>
            <w:shd w:val="clear" w:color="auto" w:fill="auto"/>
            <w:hideMark/>
          </w:tcPr>
          <w:p w:rsidR="00685184" w:rsidRPr="0091560A" w:rsidRDefault="00685184" w:rsidP="00685184">
            <w:pPr>
              <w:jc w:val="center"/>
              <w:rPr>
                <w:rFonts w:ascii="Arial" w:hAnsi="Arial" w:cs="Arial"/>
                <w:b/>
                <w:bCs/>
                <w:sz w:val="18"/>
                <w:szCs w:val="20"/>
              </w:rPr>
            </w:pPr>
            <w:r w:rsidRPr="0091560A">
              <w:rPr>
                <w:rFonts w:ascii="Arial" w:hAnsi="Arial" w:cs="Arial"/>
                <w:b/>
                <w:bCs/>
                <w:sz w:val="18"/>
                <w:szCs w:val="20"/>
              </w:rPr>
              <w:t>915 643 065</w:t>
            </w:r>
          </w:p>
        </w:tc>
        <w:tc>
          <w:tcPr>
            <w:tcW w:w="1456" w:type="dxa"/>
            <w:shd w:val="clear" w:color="000000" w:fill="BFBFBF"/>
            <w:hideMark/>
          </w:tcPr>
          <w:p w:rsidR="00685184" w:rsidRPr="0091560A" w:rsidRDefault="00685184" w:rsidP="00685184">
            <w:pPr>
              <w:jc w:val="center"/>
              <w:rPr>
                <w:rFonts w:ascii="Arial" w:hAnsi="Arial" w:cs="Arial"/>
                <w:b/>
                <w:bCs/>
                <w:sz w:val="18"/>
                <w:szCs w:val="20"/>
              </w:rPr>
            </w:pPr>
          </w:p>
        </w:tc>
        <w:tc>
          <w:tcPr>
            <w:tcW w:w="1298" w:type="dxa"/>
            <w:shd w:val="clear" w:color="auto" w:fill="auto"/>
            <w:hideMark/>
          </w:tcPr>
          <w:p w:rsidR="00685184" w:rsidRPr="0091560A" w:rsidRDefault="00685184" w:rsidP="00685184">
            <w:pPr>
              <w:jc w:val="center"/>
              <w:rPr>
                <w:rFonts w:ascii="Arial" w:hAnsi="Arial" w:cs="Arial"/>
                <w:b/>
                <w:bCs/>
                <w:sz w:val="18"/>
                <w:szCs w:val="20"/>
              </w:rPr>
            </w:pPr>
            <w:r w:rsidRPr="0091560A">
              <w:rPr>
                <w:rFonts w:ascii="Arial" w:hAnsi="Arial" w:cs="Arial"/>
                <w:b/>
                <w:bCs/>
                <w:sz w:val="18"/>
                <w:szCs w:val="20"/>
              </w:rPr>
              <w:t>697 745 107</w:t>
            </w:r>
          </w:p>
        </w:tc>
        <w:tc>
          <w:tcPr>
            <w:tcW w:w="1495" w:type="dxa"/>
            <w:shd w:val="clear" w:color="auto" w:fill="auto"/>
            <w:hideMark/>
          </w:tcPr>
          <w:p w:rsidR="00685184" w:rsidRPr="0091560A" w:rsidRDefault="00685184" w:rsidP="00685184">
            <w:pPr>
              <w:jc w:val="center"/>
              <w:rPr>
                <w:rFonts w:ascii="Arial" w:hAnsi="Arial" w:cs="Arial"/>
                <w:b/>
                <w:bCs/>
                <w:sz w:val="18"/>
                <w:szCs w:val="20"/>
              </w:rPr>
            </w:pPr>
            <w:r w:rsidRPr="0091560A">
              <w:rPr>
                <w:rFonts w:ascii="Arial" w:hAnsi="Arial" w:cs="Arial"/>
                <w:b/>
                <w:bCs/>
                <w:sz w:val="18"/>
                <w:szCs w:val="20"/>
              </w:rPr>
              <w:t>100,00%</w:t>
            </w:r>
          </w:p>
        </w:tc>
        <w:tc>
          <w:tcPr>
            <w:tcW w:w="1196" w:type="dxa"/>
            <w:shd w:val="clear" w:color="auto" w:fill="auto"/>
            <w:hideMark/>
          </w:tcPr>
          <w:p w:rsidR="00685184" w:rsidRPr="0091560A" w:rsidRDefault="00685184" w:rsidP="00685184">
            <w:pPr>
              <w:jc w:val="center"/>
              <w:rPr>
                <w:rFonts w:ascii="Arial" w:hAnsi="Arial" w:cs="Arial"/>
                <w:b/>
                <w:bCs/>
                <w:sz w:val="18"/>
                <w:szCs w:val="20"/>
              </w:rPr>
            </w:pPr>
            <w:r w:rsidRPr="0091560A">
              <w:rPr>
                <w:rFonts w:ascii="Arial" w:hAnsi="Arial" w:cs="Arial"/>
                <w:b/>
                <w:bCs/>
                <w:sz w:val="18"/>
                <w:szCs w:val="20"/>
              </w:rPr>
              <w:t>76,20%</w:t>
            </w:r>
          </w:p>
        </w:tc>
      </w:tr>
      <w:tr w:rsidR="00685184" w:rsidRPr="0091560A" w:rsidTr="00685184">
        <w:trPr>
          <w:trHeight w:val="265"/>
        </w:trPr>
        <w:tc>
          <w:tcPr>
            <w:tcW w:w="760" w:type="dxa"/>
            <w:vMerge w:val="restart"/>
            <w:shd w:val="clear" w:color="auto" w:fill="auto"/>
            <w:vAlign w:val="center"/>
            <w:hideMark/>
          </w:tcPr>
          <w:p w:rsidR="00685184" w:rsidRPr="0091560A" w:rsidRDefault="00685184" w:rsidP="00685184">
            <w:pPr>
              <w:jc w:val="center"/>
              <w:rPr>
                <w:rFonts w:ascii="Arial" w:hAnsi="Arial" w:cs="Arial"/>
                <w:sz w:val="18"/>
                <w:szCs w:val="20"/>
              </w:rPr>
            </w:pPr>
            <w:r w:rsidRPr="0091560A">
              <w:rPr>
                <w:rFonts w:ascii="Arial" w:hAnsi="Arial" w:cs="Arial"/>
                <w:sz w:val="18"/>
                <w:szCs w:val="20"/>
              </w:rPr>
              <w:t>PO 2</w:t>
            </w:r>
          </w:p>
        </w:tc>
        <w:tc>
          <w:tcPr>
            <w:tcW w:w="1563" w:type="dxa"/>
            <w:shd w:val="clear" w:color="auto" w:fill="auto"/>
            <w:vAlign w:val="center"/>
            <w:hideMark/>
          </w:tcPr>
          <w:p w:rsidR="00685184" w:rsidRPr="0091560A" w:rsidRDefault="00685184" w:rsidP="00685184">
            <w:pPr>
              <w:jc w:val="center"/>
              <w:rPr>
                <w:rFonts w:ascii="Arial" w:hAnsi="Arial" w:cs="Arial"/>
                <w:sz w:val="18"/>
                <w:szCs w:val="20"/>
              </w:rPr>
            </w:pPr>
            <w:r w:rsidRPr="0091560A">
              <w:rPr>
                <w:rFonts w:ascii="Arial" w:hAnsi="Arial" w:cs="Arial"/>
                <w:sz w:val="18"/>
                <w:szCs w:val="20"/>
              </w:rPr>
              <w:t>Bratislavský</w:t>
            </w:r>
          </w:p>
        </w:tc>
        <w:tc>
          <w:tcPr>
            <w:tcW w:w="1456" w:type="dxa"/>
            <w:shd w:val="clear" w:color="auto" w:fill="auto"/>
            <w:vAlign w:val="center"/>
            <w:hideMark/>
          </w:tcPr>
          <w:p w:rsidR="00685184" w:rsidRPr="0091560A" w:rsidRDefault="00685184" w:rsidP="00685184">
            <w:pPr>
              <w:jc w:val="center"/>
              <w:rPr>
                <w:rFonts w:ascii="Arial" w:hAnsi="Arial" w:cs="Arial"/>
                <w:sz w:val="18"/>
                <w:szCs w:val="20"/>
              </w:rPr>
            </w:pPr>
            <w:r w:rsidRPr="0091560A">
              <w:rPr>
                <w:rFonts w:ascii="Arial" w:hAnsi="Arial" w:cs="Arial"/>
                <w:sz w:val="18"/>
                <w:szCs w:val="20"/>
              </w:rPr>
              <w:t>9 600 000</w:t>
            </w:r>
          </w:p>
        </w:tc>
        <w:tc>
          <w:tcPr>
            <w:tcW w:w="1456" w:type="dxa"/>
            <w:shd w:val="clear" w:color="auto" w:fill="auto"/>
            <w:vAlign w:val="center"/>
            <w:hideMark/>
          </w:tcPr>
          <w:p w:rsidR="00685184" w:rsidRPr="0091560A" w:rsidRDefault="00685184" w:rsidP="00685184">
            <w:pPr>
              <w:jc w:val="center"/>
              <w:rPr>
                <w:rFonts w:ascii="Arial" w:hAnsi="Arial" w:cs="Arial"/>
                <w:sz w:val="18"/>
                <w:szCs w:val="20"/>
              </w:rPr>
            </w:pPr>
            <w:r w:rsidRPr="0091560A">
              <w:rPr>
                <w:rFonts w:ascii="Arial" w:hAnsi="Arial" w:cs="Arial"/>
                <w:sz w:val="18"/>
                <w:szCs w:val="20"/>
              </w:rPr>
              <w:t>24,60%</w:t>
            </w:r>
          </w:p>
        </w:tc>
        <w:tc>
          <w:tcPr>
            <w:tcW w:w="1298" w:type="dxa"/>
            <w:shd w:val="clear" w:color="auto" w:fill="auto"/>
            <w:vAlign w:val="center"/>
            <w:hideMark/>
          </w:tcPr>
          <w:p w:rsidR="00685184" w:rsidRPr="0091560A" w:rsidRDefault="00685184" w:rsidP="00685184">
            <w:pPr>
              <w:jc w:val="center"/>
              <w:rPr>
                <w:rFonts w:ascii="Arial" w:hAnsi="Arial" w:cs="Arial"/>
                <w:sz w:val="18"/>
                <w:szCs w:val="20"/>
              </w:rPr>
            </w:pPr>
            <w:r w:rsidRPr="0091560A">
              <w:rPr>
                <w:rFonts w:ascii="Arial" w:hAnsi="Arial" w:cs="Arial"/>
                <w:sz w:val="18"/>
                <w:szCs w:val="20"/>
              </w:rPr>
              <w:t>2 361 154</w:t>
            </w:r>
          </w:p>
        </w:tc>
        <w:tc>
          <w:tcPr>
            <w:tcW w:w="1495" w:type="dxa"/>
            <w:shd w:val="clear" w:color="auto" w:fill="auto"/>
            <w:vAlign w:val="center"/>
            <w:hideMark/>
          </w:tcPr>
          <w:p w:rsidR="00685184" w:rsidRPr="0091560A" w:rsidRDefault="00685184" w:rsidP="00685184">
            <w:pPr>
              <w:jc w:val="center"/>
              <w:rPr>
                <w:rFonts w:ascii="Arial" w:hAnsi="Arial" w:cs="Arial"/>
                <w:sz w:val="18"/>
                <w:szCs w:val="20"/>
              </w:rPr>
            </w:pPr>
            <w:r w:rsidRPr="0091560A">
              <w:rPr>
                <w:rFonts w:ascii="Arial" w:hAnsi="Arial" w:cs="Arial"/>
                <w:sz w:val="18"/>
                <w:szCs w:val="20"/>
              </w:rPr>
              <w:t>3,07%</w:t>
            </w:r>
          </w:p>
        </w:tc>
        <w:tc>
          <w:tcPr>
            <w:tcW w:w="1196" w:type="dxa"/>
            <w:shd w:val="clear" w:color="auto" w:fill="auto"/>
            <w:vAlign w:val="center"/>
            <w:hideMark/>
          </w:tcPr>
          <w:p w:rsidR="00685184" w:rsidRPr="0091560A" w:rsidRDefault="00685184" w:rsidP="00685184">
            <w:pPr>
              <w:jc w:val="center"/>
              <w:rPr>
                <w:rFonts w:ascii="Arial" w:hAnsi="Arial" w:cs="Arial"/>
                <w:sz w:val="18"/>
                <w:szCs w:val="20"/>
              </w:rPr>
            </w:pPr>
            <w:r w:rsidRPr="0091560A">
              <w:rPr>
                <w:rFonts w:ascii="Arial" w:hAnsi="Arial" w:cs="Arial"/>
                <w:sz w:val="18"/>
                <w:szCs w:val="20"/>
              </w:rPr>
              <w:t>24,60%</w:t>
            </w:r>
          </w:p>
        </w:tc>
      </w:tr>
      <w:tr w:rsidR="00685184" w:rsidRPr="0091560A" w:rsidTr="00685184">
        <w:trPr>
          <w:trHeight w:hRule="exact" w:val="58"/>
        </w:trPr>
        <w:tc>
          <w:tcPr>
            <w:tcW w:w="760" w:type="dxa"/>
            <w:vMerge/>
            <w:vAlign w:val="center"/>
            <w:hideMark/>
          </w:tcPr>
          <w:p w:rsidR="00685184" w:rsidRPr="0091560A" w:rsidRDefault="00685184" w:rsidP="00685184">
            <w:pPr>
              <w:rPr>
                <w:rFonts w:ascii="Arial" w:hAnsi="Arial" w:cs="Arial"/>
                <w:sz w:val="18"/>
                <w:szCs w:val="20"/>
              </w:rPr>
            </w:pPr>
          </w:p>
        </w:tc>
        <w:tc>
          <w:tcPr>
            <w:tcW w:w="1563" w:type="dxa"/>
            <w:vMerge w:val="restart"/>
            <w:shd w:val="clear" w:color="auto" w:fill="auto"/>
            <w:vAlign w:val="center"/>
            <w:hideMark/>
          </w:tcPr>
          <w:p w:rsidR="00685184" w:rsidRPr="0091560A" w:rsidRDefault="00685184" w:rsidP="00685184">
            <w:pPr>
              <w:jc w:val="center"/>
              <w:rPr>
                <w:rFonts w:ascii="Arial" w:hAnsi="Arial" w:cs="Arial"/>
                <w:sz w:val="18"/>
                <w:szCs w:val="20"/>
              </w:rPr>
            </w:pPr>
            <w:r w:rsidRPr="0091560A">
              <w:rPr>
                <w:rFonts w:ascii="Arial" w:hAnsi="Arial" w:cs="Arial"/>
                <w:sz w:val="18"/>
                <w:szCs w:val="20"/>
              </w:rPr>
              <w:t>Západoslovenský</w:t>
            </w:r>
          </w:p>
        </w:tc>
        <w:tc>
          <w:tcPr>
            <w:tcW w:w="1456" w:type="dxa"/>
            <w:vMerge w:val="restart"/>
            <w:shd w:val="clear" w:color="auto" w:fill="auto"/>
            <w:vAlign w:val="center"/>
            <w:hideMark/>
          </w:tcPr>
          <w:p w:rsidR="00685184" w:rsidRPr="0091560A" w:rsidRDefault="00685184" w:rsidP="00685184">
            <w:pPr>
              <w:jc w:val="center"/>
              <w:rPr>
                <w:rFonts w:ascii="Arial" w:hAnsi="Arial" w:cs="Arial"/>
                <w:sz w:val="18"/>
                <w:szCs w:val="20"/>
              </w:rPr>
            </w:pPr>
            <w:r w:rsidRPr="0091560A">
              <w:rPr>
                <w:rFonts w:ascii="Arial" w:hAnsi="Arial" w:cs="Arial"/>
                <w:sz w:val="18"/>
                <w:szCs w:val="20"/>
              </w:rPr>
              <w:t>28 800 000</w:t>
            </w:r>
          </w:p>
        </w:tc>
        <w:tc>
          <w:tcPr>
            <w:tcW w:w="1456" w:type="dxa"/>
            <w:vMerge w:val="restart"/>
            <w:shd w:val="clear" w:color="auto" w:fill="auto"/>
            <w:vAlign w:val="center"/>
            <w:hideMark/>
          </w:tcPr>
          <w:p w:rsidR="00685184" w:rsidRPr="0091560A" w:rsidRDefault="00685184" w:rsidP="00685184">
            <w:pPr>
              <w:jc w:val="center"/>
              <w:rPr>
                <w:rFonts w:ascii="Arial" w:hAnsi="Arial" w:cs="Arial"/>
                <w:sz w:val="18"/>
                <w:szCs w:val="20"/>
              </w:rPr>
            </w:pPr>
            <w:r w:rsidRPr="0091560A">
              <w:rPr>
                <w:rFonts w:ascii="Arial" w:hAnsi="Arial" w:cs="Arial"/>
                <w:sz w:val="18"/>
                <w:szCs w:val="20"/>
              </w:rPr>
              <w:t>87,92%</w:t>
            </w:r>
          </w:p>
        </w:tc>
        <w:tc>
          <w:tcPr>
            <w:tcW w:w="1298" w:type="dxa"/>
            <w:vMerge w:val="restart"/>
            <w:shd w:val="clear" w:color="auto" w:fill="auto"/>
            <w:vAlign w:val="center"/>
            <w:hideMark/>
          </w:tcPr>
          <w:p w:rsidR="00685184" w:rsidRPr="0091560A" w:rsidRDefault="00685184" w:rsidP="00685184">
            <w:pPr>
              <w:jc w:val="center"/>
              <w:rPr>
                <w:rFonts w:ascii="Arial" w:hAnsi="Arial" w:cs="Arial"/>
                <w:sz w:val="18"/>
                <w:szCs w:val="20"/>
              </w:rPr>
            </w:pPr>
            <w:r w:rsidRPr="0091560A">
              <w:rPr>
                <w:rFonts w:ascii="Arial" w:hAnsi="Arial" w:cs="Arial"/>
                <w:sz w:val="18"/>
                <w:szCs w:val="20"/>
              </w:rPr>
              <w:t>25 321 445</w:t>
            </w:r>
          </w:p>
        </w:tc>
        <w:tc>
          <w:tcPr>
            <w:tcW w:w="1495" w:type="dxa"/>
            <w:vMerge w:val="restart"/>
            <w:shd w:val="clear" w:color="auto" w:fill="auto"/>
            <w:vAlign w:val="center"/>
            <w:hideMark/>
          </w:tcPr>
          <w:p w:rsidR="00685184" w:rsidRPr="0091560A" w:rsidRDefault="00685184" w:rsidP="00685184">
            <w:pPr>
              <w:jc w:val="center"/>
              <w:rPr>
                <w:rFonts w:ascii="Arial" w:hAnsi="Arial" w:cs="Arial"/>
                <w:sz w:val="18"/>
                <w:szCs w:val="20"/>
              </w:rPr>
            </w:pPr>
            <w:r w:rsidRPr="0091560A">
              <w:rPr>
                <w:rFonts w:ascii="Arial" w:hAnsi="Arial" w:cs="Arial"/>
                <w:sz w:val="18"/>
                <w:szCs w:val="20"/>
              </w:rPr>
              <w:t>32,95%</w:t>
            </w:r>
          </w:p>
        </w:tc>
        <w:tc>
          <w:tcPr>
            <w:tcW w:w="1196" w:type="dxa"/>
            <w:vMerge w:val="restart"/>
            <w:shd w:val="clear" w:color="auto" w:fill="auto"/>
            <w:vAlign w:val="center"/>
            <w:hideMark/>
          </w:tcPr>
          <w:p w:rsidR="00685184" w:rsidRPr="0091560A" w:rsidRDefault="00685184" w:rsidP="00685184">
            <w:pPr>
              <w:jc w:val="center"/>
              <w:rPr>
                <w:rFonts w:ascii="Arial" w:hAnsi="Arial" w:cs="Arial"/>
                <w:sz w:val="18"/>
                <w:szCs w:val="20"/>
              </w:rPr>
            </w:pPr>
            <w:r w:rsidRPr="0091560A">
              <w:rPr>
                <w:rFonts w:ascii="Arial" w:hAnsi="Arial" w:cs="Arial"/>
                <w:sz w:val="18"/>
                <w:szCs w:val="20"/>
              </w:rPr>
              <w:t>87,92%</w:t>
            </w:r>
          </w:p>
        </w:tc>
      </w:tr>
      <w:tr w:rsidR="00685184" w:rsidRPr="0091560A" w:rsidTr="00685184">
        <w:trPr>
          <w:trHeight w:hRule="exact" w:val="116"/>
        </w:trPr>
        <w:tc>
          <w:tcPr>
            <w:tcW w:w="760" w:type="dxa"/>
            <w:vMerge/>
            <w:vAlign w:val="center"/>
            <w:hideMark/>
          </w:tcPr>
          <w:p w:rsidR="00685184" w:rsidRPr="0091560A" w:rsidRDefault="00685184" w:rsidP="00685184">
            <w:pPr>
              <w:rPr>
                <w:rFonts w:ascii="Arial" w:hAnsi="Arial" w:cs="Arial"/>
                <w:sz w:val="18"/>
                <w:szCs w:val="20"/>
              </w:rPr>
            </w:pPr>
          </w:p>
        </w:tc>
        <w:tc>
          <w:tcPr>
            <w:tcW w:w="1563" w:type="dxa"/>
            <w:vMerge/>
            <w:vAlign w:val="center"/>
            <w:hideMark/>
          </w:tcPr>
          <w:p w:rsidR="00685184" w:rsidRPr="0091560A" w:rsidRDefault="00685184" w:rsidP="00685184">
            <w:pPr>
              <w:rPr>
                <w:rFonts w:ascii="Arial" w:hAnsi="Arial" w:cs="Arial"/>
                <w:sz w:val="18"/>
                <w:szCs w:val="20"/>
              </w:rPr>
            </w:pPr>
          </w:p>
        </w:tc>
        <w:tc>
          <w:tcPr>
            <w:tcW w:w="1456" w:type="dxa"/>
            <w:vMerge/>
            <w:vAlign w:val="center"/>
            <w:hideMark/>
          </w:tcPr>
          <w:p w:rsidR="00685184" w:rsidRPr="0091560A" w:rsidRDefault="00685184" w:rsidP="00685184">
            <w:pPr>
              <w:rPr>
                <w:rFonts w:ascii="Arial" w:hAnsi="Arial" w:cs="Arial"/>
                <w:sz w:val="18"/>
                <w:szCs w:val="20"/>
              </w:rPr>
            </w:pPr>
          </w:p>
        </w:tc>
        <w:tc>
          <w:tcPr>
            <w:tcW w:w="1456" w:type="dxa"/>
            <w:vMerge/>
            <w:vAlign w:val="center"/>
            <w:hideMark/>
          </w:tcPr>
          <w:p w:rsidR="00685184" w:rsidRPr="0091560A" w:rsidRDefault="00685184" w:rsidP="00685184">
            <w:pPr>
              <w:rPr>
                <w:rFonts w:ascii="Arial" w:hAnsi="Arial" w:cs="Arial"/>
                <w:sz w:val="18"/>
                <w:szCs w:val="20"/>
              </w:rPr>
            </w:pPr>
          </w:p>
        </w:tc>
        <w:tc>
          <w:tcPr>
            <w:tcW w:w="1298" w:type="dxa"/>
            <w:vMerge/>
            <w:vAlign w:val="center"/>
            <w:hideMark/>
          </w:tcPr>
          <w:p w:rsidR="00685184" w:rsidRPr="0091560A" w:rsidRDefault="00685184" w:rsidP="00685184">
            <w:pPr>
              <w:rPr>
                <w:rFonts w:ascii="Arial" w:hAnsi="Arial" w:cs="Arial"/>
                <w:sz w:val="18"/>
                <w:szCs w:val="20"/>
              </w:rPr>
            </w:pPr>
          </w:p>
        </w:tc>
        <w:tc>
          <w:tcPr>
            <w:tcW w:w="1495" w:type="dxa"/>
            <w:vMerge/>
            <w:vAlign w:val="center"/>
            <w:hideMark/>
          </w:tcPr>
          <w:p w:rsidR="00685184" w:rsidRPr="0091560A" w:rsidRDefault="00685184" w:rsidP="00685184">
            <w:pPr>
              <w:rPr>
                <w:rFonts w:ascii="Arial" w:hAnsi="Arial" w:cs="Arial"/>
                <w:sz w:val="18"/>
                <w:szCs w:val="20"/>
              </w:rPr>
            </w:pPr>
          </w:p>
        </w:tc>
        <w:tc>
          <w:tcPr>
            <w:tcW w:w="1196" w:type="dxa"/>
            <w:vMerge/>
            <w:vAlign w:val="center"/>
            <w:hideMark/>
          </w:tcPr>
          <w:p w:rsidR="00685184" w:rsidRPr="0091560A" w:rsidRDefault="00685184" w:rsidP="00685184">
            <w:pPr>
              <w:rPr>
                <w:rFonts w:ascii="Arial" w:hAnsi="Arial" w:cs="Arial"/>
                <w:sz w:val="18"/>
                <w:szCs w:val="20"/>
              </w:rPr>
            </w:pPr>
          </w:p>
        </w:tc>
      </w:tr>
      <w:tr w:rsidR="00685184" w:rsidRPr="0091560A" w:rsidTr="00685184">
        <w:trPr>
          <w:trHeight w:hRule="exact" w:val="116"/>
        </w:trPr>
        <w:tc>
          <w:tcPr>
            <w:tcW w:w="760" w:type="dxa"/>
            <w:vMerge/>
            <w:vAlign w:val="center"/>
            <w:hideMark/>
          </w:tcPr>
          <w:p w:rsidR="00685184" w:rsidRPr="0091560A" w:rsidRDefault="00685184" w:rsidP="00685184">
            <w:pPr>
              <w:rPr>
                <w:rFonts w:ascii="Arial" w:hAnsi="Arial" w:cs="Arial"/>
                <w:sz w:val="18"/>
                <w:szCs w:val="20"/>
              </w:rPr>
            </w:pPr>
          </w:p>
        </w:tc>
        <w:tc>
          <w:tcPr>
            <w:tcW w:w="1563" w:type="dxa"/>
            <w:vMerge/>
            <w:vAlign w:val="center"/>
            <w:hideMark/>
          </w:tcPr>
          <w:p w:rsidR="00685184" w:rsidRPr="0091560A" w:rsidRDefault="00685184" w:rsidP="00685184">
            <w:pPr>
              <w:rPr>
                <w:rFonts w:ascii="Arial" w:hAnsi="Arial" w:cs="Arial"/>
                <w:sz w:val="18"/>
                <w:szCs w:val="20"/>
              </w:rPr>
            </w:pPr>
          </w:p>
        </w:tc>
        <w:tc>
          <w:tcPr>
            <w:tcW w:w="1456" w:type="dxa"/>
            <w:vMerge/>
            <w:vAlign w:val="center"/>
            <w:hideMark/>
          </w:tcPr>
          <w:p w:rsidR="00685184" w:rsidRPr="0091560A" w:rsidRDefault="00685184" w:rsidP="00685184">
            <w:pPr>
              <w:rPr>
                <w:rFonts w:ascii="Arial" w:hAnsi="Arial" w:cs="Arial"/>
                <w:sz w:val="18"/>
                <w:szCs w:val="20"/>
              </w:rPr>
            </w:pPr>
          </w:p>
        </w:tc>
        <w:tc>
          <w:tcPr>
            <w:tcW w:w="1456" w:type="dxa"/>
            <w:vMerge/>
            <w:vAlign w:val="center"/>
            <w:hideMark/>
          </w:tcPr>
          <w:p w:rsidR="00685184" w:rsidRPr="0091560A" w:rsidRDefault="00685184" w:rsidP="00685184">
            <w:pPr>
              <w:rPr>
                <w:rFonts w:ascii="Arial" w:hAnsi="Arial" w:cs="Arial"/>
                <w:sz w:val="18"/>
                <w:szCs w:val="20"/>
              </w:rPr>
            </w:pPr>
          </w:p>
        </w:tc>
        <w:tc>
          <w:tcPr>
            <w:tcW w:w="1298" w:type="dxa"/>
            <w:vMerge/>
            <w:vAlign w:val="center"/>
            <w:hideMark/>
          </w:tcPr>
          <w:p w:rsidR="00685184" w:rsidRPr="0091560A" w:rsidRDefault="00685184" w:rsidP="00685184">
            <w:pPr>
              <w:rPr>
                <w:rFonts w:ascii="Arial" w:hAnsi="Arial" w:cs="Arial"/>
                <w:sz w:val="18"/>
                <w:szCs w:val="20"/>
              </w:rPr>
            </w:pPr>
          </w:p>
        </w:tc>
        <w:tc>
          <w:tcPr>
            <w:tcW w:w="1495" w:type="dxa"/>
            <w:vMerge/>
            <w:vAlign w:val="center"/>
            <w:hideMark/>
          </w:tcPr>
          <w:p w:rsidR="00685184" w:rsidRPr="0091560A" w:rsidRDefault="00685184" w:rsidP="00685184">
            <w:pPr>
              <w:rPr>
                <w:rFonts w:ascii="Arial" w:hAnsi="Arial" w:cs="Arial"/>
                <w:sz w:val="18"/>
                <w:szCs w:val="20"/>
              </w:rPr>
            </w:pPr>
          </w:p>
        </w:tc>
        <w:tc>
          <w:tcPr>
            <w:tcW w:w="1196" w:type="dxa"/>
            <w:vMerge/>
            <w:vAlign w:val="center"/>
            <w:hideMark/>
          </w:tcPr>
          <w:p w:rsidR="00685184" w:rsidRPr="0091560A" w:rsidRDefault="00685184" w:rsidP="00685184">
            <w:pPr>
              <w:rPr>
                <w:rFonts w:ascii="Arial" w:hAnsi="Arial" w:cs="Arial"/>
                <w:sz w:val="18"/>
                <w:szCs w:val="20"/>
              </w:rPr>
            </w:pPr>
          </w:p>
        </w:tc>
      </w:tr>
      <w:tr w:rsidR="00685184" w:rsidRPr="0091560A" w:rsidTr="00685184">
        <w:trPr>
          <w:trHeight w:hRule="exact" w:val="116"/>
        </w:trPr>
        <w:tc>
          <w:tcPr>
            <w:tcW w:w="760" w:type="dxa"/>
            <w:vMerge/>
            <w:vAlign w:val="center"/>
            <w:hideMark/>
          </w:tcPr>
          <w:p w:rsidR="00685184" w:rsidRPr="0091560A" w:rsidRDefault="00685184" w:rsidP="00685184">
            <w:pPr>
              <w:rPr>
                <w:rFonts w:ascii="Arial" w:hAnsi="Arial" w:cs="Arial"/>
                <w:sz w:val="18"/>
                <w:szCs w:val="20"/>
              </w:rPr>
            </w:pPr>
          </w:p>
        </w:tc>
        <w:tc>
          <w:tcPr>
            <w:tcW w:w="1563" w:type="dxa"/>
            <w:vMerge w:val="restart"/>
            <w:shd w:val="clear" w:color="auto" w:fill="auto"/>
            <w:vAlign w:val="center"/>
            <w:hideMark/>
          </w:tcPr>
          <w:p w:rsidR="00685184" w:rsidRPr="0091560A" w:rsidRDefault="00685184" w:rsidP="00685184">
            <w:pPr>
              <w:jc w:val="center"/>
              <w:rPr>
                <w:rFonts w:ascii="Arial" w:hAnsi="Arial" w:cs="Arial"/>
                <w:sz w:val="18"/>
                <w:szCs w:val="20"/>
              </w:rPr>
            </w:pPr>
            <w:r w:rsidRPr="0091560A">
              <w:rPr>
                <w:rFonts w:ascii="Arial" w:hAnsi="Arial" w:cs="Arial"/>
                <w:sz w:val="18"/>
                <w:szCs w:val="20"/>
              </w:rPr>
              <w:t>Stredoslovenský</w:t>
            </w:r>
          </w:p>
        </w:tc>
        <w:tc>
          <w:tcPr>
            <w:tcW w:w="1456" w:type="dxa"/>
            <w:vMerge w:val="restart"/>
            <w:shd w:val="clear" w:color="auto" w:fill="auto"/>
            <w:vAlign w:val="center"/>
            <w:hideMark/>
          </w:tcPr>
          <w:p w:rsidR="00685184" w:rsidRPr="0091560A" w:rsidRDefault="00685184" w:rsidP="00685184">
            <w:pPr>
              <w:jc w:val="center"/>
              <w:rPr>
                <w:rFonts w:ascii="Arial" w:hAnsi="Arial" w:cs="Arial"/>
                <w:sz w:val="18"/>
                <w:szCs w:val="20"/>
              </w:rPr>
            </w:pPr>
            <w:r w:rsidRPr="0091560A">
              <w:rPr>
                <w:rFonts w:ascii="Arial" w:hAnsi="Arial" w:cs="Arial"/>
                <w:sz w:val="18"/>
                <w:szCs w:val="20"/>
              </w:rPr>
              <w:t>20 400 000</w:t>
            </w:r>
          </w:p>
        </w:tc>
        <w:tc>
          <w:tcPr>
            <w:tcW w:w="1456" w:type="dxa"/>
            <w:vMerge w:val="restart"/>
            <w:shd w:val="clear" w:color="auto" w:fill="auto"/>
            <w:vAlign w:val="center"/>
            <w:hideMark/>
          </w:tcPr>
          <w:p w:rsidR="00685184" w:rsidRPr="0091560A" w:rsidRDefault="00685184" w:rsidP="00685184">
            <w:pPr>
              <w:jc w:val="center"/>
              <w:rPr>
                <w:rFonts w:ascii="Arial" w:hAnsi="Arial" w:cs="Arial"/>
                <w:sz w:val="18"/>
                <w:szCs w:val="20"/>
              </w:rPr>
            </w:pPr>
            <w:r w:rsidRPr="0091560A">
              <w:rPr>
                <w:rFonts w:ascii="Arial" w:hAnsi="Arial" w:cs="Arial"/>
                <w:sz w:val="18"/>
                <w:szCs w:val="20"/>
              </w:rPr>
              <w:t>42,89%</w:t>
            </w:r>
          </w:p>
        </w:tc>
        <w:tc>
          <w:tcPr>
            <w:tcW w:w="1298" w:type="dxa"/>
            <w:vMerge w:val="restart"/>
            <w:shd w:val="clear" w:color="auto" w:fill="auto"/>
            <w:vAlign w:val="center"/>
            <w:hideMark/>
          </w:tcPr>
          <w:p w:rsidR="00685184" w:rsidRPr="0091560A" w:rsidRDefault="00685184" w:rsidP="00685184">
            <w:pPr>
              <w:jc w:val="center"/>
              <w:rPr>
                <w:rFonts w:ascii="Arial" w:hAnsi="Arial" w:cs="Arial"/>
                <w:sz w:val="18"/>
                <w:szCs w:val="20"/>
              </w:rPr>
            </w:pPr>
            <w:r w:rsidRPr="0091560A">
              <w:rPr>
                <w:rFonts w:ascii="Arial" w:hAnsi="Arial" w:cs="Arial"/>
                <w:sz w:val="18"/>
                <w:szCs w:val="20"/>
              </w:rPr>
              <w:t>8 749 608</w:t>
            </w:r>
          </w:p>
        </w:tc>
        <w:tc>
          <w:tcPr>
            <w:tcW w:w="1495" w:type="dxa"/>
            <w:vMerge w:val="restart"/>
            <w:shd w:val="clear" w:color="auto" w:fill="auto"/>
            <w:vAlign w:val="center"/>
            <w:hideMark/>
          </w:tcPr>
          <w:p w:rsidR="00685184" w:rsidRPr="0091560A" w:rsidRDefault="00685184" w:rsidP="00685184">
            <w:pPr>
              <w:jc w:val="center"/>
              <w:rPr>
                <w:rFonts w:ascii="Arial" w:hAnsi="Arial" w:cs="Arial"/>
                <w:sz w:val="18"/>
                <w:szCs w:val="20"/>
              </w:rPr>
            </w:pPr>
            <w:r w:rsidRPr="0091560A">
              <w:rPr>
                <w:rFonts w:ascii="Arial" w:hAnsi="Arial" w:cs="Arial"/>
                <w:sz w:val="18"/>
                <w:szCs w:val="20"/>
              </w:rPr>
              <w:t>11,39%</w:t>
            </w:r>
          </w:p>
        </w:tc>
        <w:tc>
          <w:tcPr>
            <w:tcW w:w="1196" w:type="dxa"/>
            <w:vMerge w:val="restart"/>
            <w:shd w:val="clear" w:color="auto" w:fill="auto"/>
            <w:vAlign w:val="center"/>
            <w:hideMark/>
          </w:tcPr>
          <w:p w:rsidR="00685184" w:rsidRPr="0091560A" w:rsidRDefault="00685184" w:rsidP="00685184">
            <w:pPr>
              <w:jc w:val="center"/>
              <w:rPr>
                <w:rFonts w:ascii="Arial" w:hAnsi="Arial" w:cs="Arial"/>
                <w:sz w:val="18"/>
                <w:szCs w:val="20"/>
              </w:rPr>
            </w:pPr>
            <w:r w:rsidRPr="0091560A">
              <w:rPr>
                <w:rFonts w:ascii="Arial" w:hAnsi="Arial" w:cs="Arial"/>
                <w:sz w:val="18"/>
                <w:szCs w:val="20"/>
              </w:rPr>
              <w:t>42,89%</w:t>
            </w:r>
          </w:p>
        </w:tc>
      </w:tr>
      <w:tr w:rsidR="00685184" w:rsidRPr="0091560A" w:rsidTr="00685184">
        <w:trPr>
          <w:trHeight w:hRule="exact" w:val="116"/>
        </w:trPr>
        <w:tc>
          <w:tcPr>
            <w:tcW w:w="760" w:type="dxa"/>
            <w:vMerge/>
            <w:vAlign w:val="center"/>
            <w:hideMark/>
          </w:tcPr>
          <w:p w:rsidR="00685184" w:rsidRPr="0091560A" w:rsidRDefault="00685184" w:rsidP="00685184">
            <w:pPr>
              <w:rPr>
                <w:rFonts w:ascii="Arial" w:hAnsi="Arial" w:cs="Arial"/>
                <w:sz w:val="18"/>
                <w:szCs w:val="20"/>
              </w:rPr>
            </w:pPr>
          </w:p>
        </w:tc>
        <w:tc>
          <w:tcPr>
            <w:tcW w:w="1563" w:type="dxa"/>
            <w:vMerge/>
            <w:vAlign w:val="center"/>
            <w:hideMark/>
          </w:tcPr>
          <w:p w:rsidR="00685184" w:rsidRPr="0091560A" w:rsidRDefault="00685184" w:rsidP="00685184">
            <w:pPr>
              <w:rPr>
                <w:rFonts w:ascii="Arial" w:hAnsi="Arial" w:cs="Arial"/>
                <w:sz w:val="18"/>
                <w:szCs w:val="20"/>
              </w:rPr>
            </w:pPr>
          </w:p>
        </w:tc>
        <w:tc>
          <w:tcPr>
            <w:tcW w:w="1456" w:type="dxa"/>
            <w:vMerge/>
            <w:vAlign w:val="center"/>
            <w:hideMark/>
          </w:tcPr>
          <w:p w:rsidR="00685184" w:rsidRPr="0091560A" w:rsidRDefault="00685184" w:rsidP="00685184">
            <w:pPr>
              <w:rPr>
                <w:rFonts w:ascii="Arial" w:hAnsi="Arial" w:cs="Arial"/>
                <w:sz w:val="18"/>
                <w:szCs w:val="20"/>
              </w:rPr>
            </w:pPr>
          </w:p>
        </w:tc>
        <w:tc>
          <w:tcPr>
            <w:tcW w:w="1456" w:type="dxa"/>
            <w:vMerge/>
            <w:vAlign w:val="center"/>
            <w:hideMark/>
          </w:tcPr>
          <w:p w:rsidR="00685184" w:rsidRPr="0091560A" w:rsidRDefault="00685184" w:rsidP="00685184">
            <w:pPr>
              <w:rPr>
                <w:rFonts w:ascii="Arial" w:hAnsi="Arial" w:cs="Arial"/>
                <w:sz w:val="18"/>
                <w:szCs w:val="20"/>
              </w:rPr>
            </w:pPr>
          </w:p>
        </w:tc>
        <w:tc>
          <w:tcPr>
            <w:tcW w:w="1298" w:type="dxa"/>
            <w:vMerge/>
            <w:vAlign w:val="center"/>
            <w:hideMark/>
          </w:tcPr>
          <w:p w:rsidR="00685184" w:rsidRPr="0091560A" w:rsidRDefault="00685184" w:rsidP="00685184">
            <w:pPr>
              <w:rPr>
                <w:rFonts w:ascii="Arial" w:hAnsi="Arial" w:cs="Arial"/>
                <w:sz w:val="18"/>
                <w:szCs w:val="20"/>
              </w:rPr>
            </w:pPr>
          </w:p>
        </w:tc>
        <w:tc>
          <w:tcPr>
            <w:tcW w:w="1495" w:type="dxa"/>
            <w:vMerge/>
            <w:vAlign w:val="center"/>
            <w:hideMark/>
          </w:tcPr>
          <w:p w:rsidR="00685184" w:rsidRPr="0091560A" w:rsidRDefault="00685184" w:rsidP="00685184">
            <w:pPr>
              <w:rPr>
                <w:rFonts w:ascii="Arial" w:hAnsi="Arial" w:cs="Arial"/>
                <w:sz w:val="18"/>
                <w:szCs w:val="20"/>
              </w:rPr>
            </w:pPr>
          </w:p>
        </w:tc>
        <w:tc>
          <w:tcPr>
            <w:tcW w:w="1196" w:type="dxa"/>
            <w:vMerge/>
            <w:vAlign w:val="center"/>
            <w:hideMark/>
          </w:tcPr>
          <w:p w:rsidR="00685184" w:rsidRPr="0091560A" w:rsidRDefault="00685184" w:rsidP="00685184">
            <w:pPr>
              <w:rPr>
                <w:rFonts w:ascii="Arial" w:hAnsi="Arial" w:cs="Arial"/>
                <w:sz w:val="18"/>
                <w:szCs w:val="20"/>
              </w:rPr>
            </w:pPr>
          </w:p>
        </w:tc>
      </w:tr>
      <w:tr w:rsidR="00685184" w:rsidRPr="0091560A" w:rsidTr="00685184">
        <w:trPr>
          <w:trHeight w:hRule="exact" w:val="58"/>
        </w:trPr>
        <w:tc>
          <w:tcPr>
            <w:tcW w:w="760" w:type="dxa"/>
            <w:vMerge/>
            <w:vAlign w:val="center"/>
            <w:hideMark/>
          </w:tcPr>
          <w:p w:rsidR="00685184" w:rsidRPr="0091560A" w:rsidRDefault="00685184" w:rsidP="00685184">
            <w:pPr>
              <w:rPr>
                <w:rFonts w:ascii="Arial" w:hAnsi="Arial" w:cs="Arial"/>
                <w:sz w:val="18"/>
                <w:szCs w:val="20"/>
              </w:rPr>
            </w:pPr>
          </w:p>
        </w:tc>
        <w:tc>
          <w:tcPr>
            <w:tcW w:w="1563" w:type="dxa"/>
            <w:vMerge w:val="restart"/>
            <w:shd w:val="clear" w:color="auto" w:fill="auto"/>
            <w:vAlign w:val="center"/>
            <w:hideMark/>
          </w:tcPr>
          <w:p w:rsidR="00685184" w:rsidRPr="0091560A" w:rsidRDefault="00685184" w:rsidP="00685184">
            <w:pPr>
              <w:jc w:val="center"/>
              <w:rPr>
                <w:rFonts w:ascii="Arial" w:hAnsi="Arial" w:cs="Arial"/>
                <w:sz w:val="18"/>
                <w:szCs w:val="20"/>
              </w:rPr>
            </w:pPr>
            <w:r w:rsidRPr="0091560A">
              <w:rPr>
                <w:rFonts w:ascii="Arial" w:hAnsi="Arial" w:cs="Arial"/>
                <w:sz w:val="18"/>
                <w:szCs w:val="20"/>
              </w:rPr>
              <w:t>Východoslovenský</w:t>
            </w:r>
          </w:p>
        </w:tc>
        <w:tc>
          <w:tcPr>
            <w:tcW w:w="1456" w:type="dxa"/>
            <w:vMerge w:val="restart"/>
            <w:shd w:val="clear" w:color="auto" w:fill="auto"/>
            <w:vAlign w:val="center"/>
            <w:hideMark/>
          </w:tcPr>
          <w:p w:rsidR="00685184" w:rsidRPr="0091560A" w:rsidRDefault="00685184" w:rsidP="00685184">
            <w:pPr>
              <w:jc w:val="center"/>
              <w:rPr>
                <w:rFonts w:ascii="Arial" w:hAnsi="Arial" w:cs="Arial"/>
                <w:sz w:val="18"/>
                <w:szCs w:val="20"/>
              </w:rPr>
            </w:pPr>
            <w:r w:rsidRPr="0091560A">
              <w:rPr>
                <w:rFonts w:ascii="Arial" w:hAnsi="Arial" w:cs="Arial"/>
                <w:sz w:val="18"/>
                <w:szCs w:val="20"/>
              </w:rPr>
              <w:t>61 200 000</w:t>
            </w:r>
          </w:p>
        </w:tc>
        <w:tc>
          <w:tcPr>
            <w:tcW w:w="1456" w:type="dxa"/>
            <w:vMerge w:val="restart"/>
            <w:shd w:val="clear" w:color="auto" w:fill="auto"/>
            <w:vAlign w:val="center"/>
            <w:hideMark/>
          </w:tcPr>
          <w:p w:rsidR="00685184" w:rsidRPr="0091560A" w:rsidRDefault="00685184" w:rsidP="00685184">
            <w:pPr>
              <w:jc w:val="center"/>
              <w:rPr>
                <w:rFonts w:ascii="Arial" w:hAnsi="Arial" w:cs="Arial"/>
                <w:sz w:val="18"/>
                <w:szCs w:val="20"/>
              </w:rPr>
            </w:pPr>
            <w:r w:rsidRPr="0091560A">
              <w:rPr>
                <w:rFonts w:ascii="Arial" w:hAnsi="Arial" w:cs="Arial"/>
                <w:sz w:val="18"/>
                <w:szCs w:val="20"/>
              </w:rPr>
              <w:t>66,04%</w:t>
            </w:r>
          </w:p>
        </w:tc>
        <w:tc>
          <w:tcPr>
            <w:tcW w:w="1298" w:type="dxa"/>
            <w:vMerge w:val="restart"/>
            <w:shd w:val="clear" w:color="auto" w:fill="auto"/>
            <w:vAlign w:val="center"/>
            <w:hideMark/>
          </w:tcPr>
          <w:p w:rsidR="00685184" w:rsidRPr="0091560A" w:rsidRDefault="00685184" w:rsidP="00685184">
            <w:pPr>
              <w:jc w:val="center"/>
              <w:rPr>
                <w:rFonts w:ascii="Arial" w:hAnsi="Arial" w:cs="Arial"/>
                <w:sz w:val="18"/>
                <w:szCs w:val="20"/>
              </w:rPr>
            </w:pPr>
            <w:r w:rsidRPr="0091560A">
              <w:rPr>
                <w:rFonts w:ascii="Arial" w:hAnsi="Arial" w:cs="Arial"/>
                <w:sz w:val="18"/>
                <w:szCs w:val="20"/>
              </w:rPr>
              <w:t>40 417 912</w:t>
            </w:r>
          </w:p>
        </w:tc>
        <w:tc>
          <w:tcPr>
            <w:tcW w:w="1495" w:type="dxa"/>
            <w:vMerge w:val="restart"/>
            <w:shd w:val="clear" w:color="auto" w:fill="auto"/>
            <w:vAlign w:val="center"/>
            <w:hideMark/>
          </w:tcPr>
          <w:p w:rsidR="00685184" w:rsidRPr="0091560A" w:rsidRDefault="00685184" w:rsidP="00685184">
            <w:pPr>
              <w:jc w:val="center"/>
              <w:rPr>
                <w:rFonts w:ascii="Arial" w:hAnsi="Arial" w:cs="Arial"/>
                <w:sz w:val="18"/>
                <w:szCs w:val="20"/>
              </w:rPr>
            </w:pPr>
            <w:r w:rsidRPr="0091560A">
              <w:rPr>
                <w:rFonts w:ascii="Arial" w:hAnsi="Arial" w:cs="Arial"/>
                <w:sz w:val="18"/>
                <w:szCs w:val="20"/>
              </w:rPr>
              <w:t>52,59%</w:t>
            </w:r>
          </w:p>
        </w:tc>
        <w:tc>
          <w:tcPr>
            <w:tcW w:w="1196" w:type="dxa"/>
            <w:vMerge w:val="restart"/>
            <w:shd w:val="clear" w:color="auto" w:fill="auto"/>
            <w:vAlign w:val="center"/>
            <w:hideMark/>
          </w:tcPr>
          <w:p w:rsidR="00685184" w:rsidRPr="0091560A" w:rsidRDefault="00685184" w:rsidP="00685184">
            <w:pPr>
              <w:jc w:val="center"/>
              <w:rPr>
                <w:rFonts w:ascii="Arial" w:hAnsi="Arial" w:cs="Arial"/>
                <w:sz w:val="18"/>
                <w:szCs w:val="20"/>
              </w:rPr>
            </w:pPr>
            <w:r w:rsidRPr="0091560A">
              <w:rPr>
                <w:rFonts w:ascii="Arial" w:hAnsi="Arial" w:cs="Arial"/>
                <w:sz w:val="18"/>
                <w:szCs w:val="20"/>
              </w:rPr>
              <w:t>66,04%</w:t>
            </w:r>
          </w:p>
        </w:tc>
      </w:tr>
      <w:tr w:rsidR="00685184" w:rsidRPr="0091560A" w:rsidTr="00685184">
        <w:trPr>
          <w:trHeight w:val="265"/>
        </w:trPr>
        <w:tc>
          <w:tcPr>
            <w:tcW w:w="760" w:type="dxa"/>
            <w:vMerge/>
            <w:vAlign w:val="center"/>
            <w:hideMark/>
          </w:tcPr>
          <w:p w:rsidR="00685184" w:rsidRPr="0091560A" w:rsidRDefault="00685184" w:rsidP="00685184">
            <w:pPr>
              <w:rPr>
                <w:rFonts w:ascii="Arial" w:hAnsi="Arial" w:cs="Arial"/>
                <w:sz w:val="18"/>
                <w:szCs w:val="20"/>
              </w:rPr>
            </w:pPr>
          </w:p>
        </w:tc>
        <w:tc>
          <w:tcPr>
            <w:tcW w:w="1563" w:type="dxa"/>
            <w:vMerge/>
            <w:vAlign w:val="center"/>
            <w:hideMark/>
          </w:tcPr>
          <w:p w:rsidR="00685184" w:rsidRPr="0091560A" w:rsidRDefault="00685184" w:rsidP="00685184">
            <w:pPr>
              <w:rPr>
                <w:rFonts w:ascii="Arial" w:hAnsi="Arial" w:cs="Arial"/>
                <w:sz w:val="18"/>
                <w:szCs w:val="20"/>
              </w:rPr>
            </w:pPr>
          </w:p>
        </w:tc>
        <w:tc>
          <w:tcPr>
            <w:tcW w:w="1456" w:type="dxa"/>
            <w:vMerge/>
            <w:vAlign w:val="center"/>
            <w:hideMark/>
          </w:tcPr>
          <w:p w:rsidR="00685184" w:rsidRPr="0091560A" w:rsidRDefault="00685184" w:rsidP="00685184">
            <w:pPr>
              <w:rPr>
                <w:rFonts w:ascii="Arial" w:hAnsi="Arial" w:cs="Arial"/>
                <w:sz w:val="18"/>
                <w:szCs w:val="20"/>
              </w:rPr>
            </w:pPr>
          </w:p>
        </w:tc>
        <w:tc>
          <w:tcPr>
            <w:tcW w:w="1456" w:type="dxa"/>
            <w:vMerge/>
            <w:vAlign w:val="center"/>
            <w:hideMark/>
          </w:tcPr>
          <w:p w:rsidR="00685184" w:rsidRPr="0091560A" w:rsidRDefault="00685184" w:rsidP="00685184">
            <w:pPr>
              <w:rPr>
                <w:rFonts w:ascii="Arial" w:hAnsi="Arial" w:cs="Arial"/>
                <w:sz w:val="18"/>
                <w:szCs w:val="20"/>
              </w:rPr>
            </w:pPr>
          </w:p>
        </w:tc>
        <w:tc>
          <w:tcPr>
            <w:tcW w:w="1298" w:type="dxa"/>
            <w:vMerge/>
            <w:vAlign w:val="center"/>
            <w:hideMark/>
          </w:tcPr>
          <w:p w:rsidR="00685184" w:rsidRPr="0091560A" w:rsidRDefault="00685184" w:rsidP="00685184">
            <w:pPr>
              <w:rPr>
                <w:rFonts w:ascii="Arial" w:hAnsi="Arial" w:cs="Arial"/>
                <w:sz w:val="18"/>
                <w:szCs w:val="20"/>
              </w:rPr>
            </w:pPr>
          </w:p>
        </w:tc>
        <w:tc>
          <w:tcPr>
            <w:tcW w:w="1495" w:type="dxa"/>
            <w:vMerge/>
            <w:vAlign w:val="center"/>
            <w:hideMark/>
          </w:tcPr>
          <w:p w:rsidR="00685184" w:rsidRPr="0091560A" w:rsidRDefault="00685184" w:rsidP="00685184">
            <w:pPr>
              <w:rPr>
                <w:rFonts w:ascii="Arial" w:hAnsi="Arial" w:cs="Arial"/>
                <w:sz w:val="18"/>
                <w:szCs w:val="20"/>
              </w:rPr>
            </w:pPr>
          </w:p>
        </w:tc>
        <w:tc>
          <w:tcPr>
            <w:tcW w:w="1196" w:type="dxa"/>
            <w:vMerge/>
            <w:vAlign w:val="center"/>
            <w:hideMark/>
          </w:tcPr>
          <w:p w:rsidR="00685184" w:rsidRPr="0091560A" w:rsidRDefault="00685184" w:rsidP="00685184">
            <w:pPr>
              <w:rPr>
                <w:rFonts w:ascii="Arial" w:hAnsi="Arial" w:cs="Arial"/>
                <w:sz w:val="18"/>
                <w:szCs w:val="20"/>
              </w:rPr>
            </w:pPr>
          </w:p>
        </w:tc>
      </w:tr>
      <w:tr w:rsidR="00685184" w:rsidRPr="0091560A" w:rsidTr="00685184">
        <w:trPr>
          <w:trHeight w:val="265"/>
        </w:trPr>
        <w:tc>
          <w:tcPr>
            <w:tcW w:w="760" w:type="dxa"/>
            <w:vMerge/>
            <w:vAlign w:val="center"/>
            <w:hideMark/>
          </w:tcPr>
          <w:p w:rsidR="00685184" w:rsidRPr="0091560A" w:rsidRDefault="00685184" w:rsidP="00685184">
            <w:pPr>
              <w:rPr>
                <w:rFonts w:ascii="Arial" w:hAnsi="Arial" w:cs="Arial"/>
                <w:sz w:val="18"/>
                <w:szCs w:val="20"/>
              </w:rPr>
            </w:pPr>
          </w:p>
        </w:tc>
        <w:tc>
          <w:tcPr>
            <w:tcW w:w="1563" w:type="dxa"/>
            <w:shd w:val="clear" w:color="auto" w:fill="auto"/>
            <w:hideMark/>
          </w:tcPr>
          <w:p w:rsidR="00685184" w:rsidRPr="0091560A" w:rsidRDefault="00685184" w:rsidP="00685184">
            <w:pPr>
              <w:rPr>
                <w:rFonts w:ascii="Arial" w:hAnsi="Arial" w:cs="Arial"/>
                <w:b/>
                <w:bCs/>
                <w:sz w:val="18"/>
                <w:szCs w:val="20"/>
              </w:rPr>
            </w:pPr>
            <w:r w:rsidRPr="0091560A">
              <w:rPr>
                <w:rFonts w:ascii="Arial" w:hAnsi="Arial" w:cs="Arial"/>
                <w:b/>
                <w:bCs/>
                <w:sz w:val="18"/>
                <w:szCs w:val="20"/>
              </w:rPr>
              <w:t> </w:t>
            </w:r>
          </w:p>
        </w:tc>
        <w:tc>
          <w:tcPr>
            <w:tcW w:w="1456" w:type="dxa"/>
            <w:shd w:val="clear" w:color="auto" w:fill="auto"/>
            <w:hideMark/>
          </w:tcPr>
          <w:p w:rsidR="00685184" w:rsidRPr="0091560A" w:rsidRDefault="00685184" w:rsidP="00685184">
            <w:pPr>
              <w:jc w:val="center"/>
              <w:rPr>
                <w:rFonts w:ascii="Arial" w:hAnsi="Arial" w:cs="Arial"/>
                <w:b/>
                <w:bCs/>
                <w:sz w:val="18"/>
                <w:szCs w:val="20"/>
              </w:rPr>
            </w:pPr>
            <w:r w:rsidRPr="0091560A">
              <w:rPr>
                <w:rFonts w:ascii="Arial" w:hAnsi="Arial" w:cs="Arial"/>
                <w:b/>
                <w:bCs/>
                <w:sz w:val="18"/>
                <w:szCs w:val="20"/>
              </w:rPr>
              <w:t>120 000 000</w:t>
            </w:r>
          </w:p>
        </w:tc>
        <w:tc>
          <w:tcPr>
            <w:tcW w:w="1456" w:type="dxa"/>
            <w:shd w:val="clear" w:color="000000" w:fill="BFBFBF"/>
            <w:hideMark/>
          </w:tcPr>
          <w:p w:rsidR="00685184" w:rsidRPr="0091560A" w:rsidRDefault="00685184" w:rsidP="00685184">
            <w:pPr>
              <w:jc w:val="center"/>
              <w:rPr>
                <w:rFonts w:ascii="Arial" w:hAnsi="Arial" w:cs="Arial"/>
                <w:b/>
                <w:bCs/>
                <w:sz w:val="18"/>
                <w:szCs w:val="20"/>
              </w:rPr>
            </w:pPr>
          </w:p>
        </w:tc>
        <w:tc>
          <w:tcPr>
            <w:tcW w:w="1298" w:type="dxa"/>
            <w:shd w:val="clear" w:color="auto" w:fill="auto"/>
            <w:hideMark/>
          </w:tcPr>
          <w:p w:rsidR="00685184" w:rsidRPr="0091560A" w:rsidRDefault="00685184" w:rsidP="00685184">
            <w:pPr>
              <w:jc w:val="center"/>
              <w:rPr>
                <w:rFonts w:ascii="Arial" w:hAnsi="Arial" w:cs="Arial"/>
                <w:b/>
                <w:bCs/>
                <w:sz w:val="18"/>
                <w:szCs w:val="20"/>
              </w:rPr>
            </w:pPr>
            <w:r w:rsidRPr="0091560A">
              <w:rPr>
                <w:rFonts w:ascii="Arial" w:hAnsi="Arial" w:cs="Arial"/>
                <w:b/>
                <w:bCs/>
                <w:sz w:val="18"/>
                <w:szCs w:val="20"/>
              </w:rPr>
              <w:t>76 850 119</w:t>
            </w:r>
          </w:p>
        </w:tc>
        <w:tc>
          <w:tcPr>
            <w:tcW w:w="1495" w:type="dxa"/>
            <w:shd w:val="clear" w:color="auto" w:fill="auto"/>
            <w:hideMark/>
          </w:tcPr>
          <w:p w:rsidR="00685184" w:rsidRPr="0091560A" w:rsidRDefault="00685184" w:rsidP="00685184">
            <w:pPr>
              <w:jc w:val="center"/>
              <w:rPr>
                <w:rFonts w:ascii="Arial" w:hAnsi="Arial" w:cs="Arial"/>
                <w:b/>
                <w:bCs/>
                <w:sz w:val="18"/>
                <w:szCs w:val="20"/>
              </w:rPr>
            </w:pPr>
            <w:r w:rsidRPr="0091560A">
              <w:rPr>
                <w:rFonts w:ascii="Arial" w:hAnsi="Arial" w:cs="Arial"/>
                <w:b/>
                <w:bCs/>
                <w:sz w:val="18"/>
                <w:szCs w:val="20"/>
              </w:rPr>
              <w:t>100,00%</w:t>
            </w:r>
          </w:p>
        </w:tc>
        <w:tc>
          <w:tcPr>
            <w:tcW w:w="1196" w:type="dxa"/>
            <w:shd w:val="clear" w:color="auto" w:fill="auto"/>
            <w:hideMark/>
          </w:tcPr>
          <w:p w:rsidR="00685184" w:rsidRPr="0091560A" w:rsidRDefault="00685184" w:rsidP="00685184">
            <w:pPr>
              <w:jc w:val="center"/>
              <w:rPr>
                <w:rFonts w:ascii="Arial" w:hAnsi="Arial" w:cs="Arial"/>
                <w:b/>
                <w:bCs/>
                <w:sz w:val="18"/>
                <w:szCs w:val="20"/>
              </w:rPr>
            </w:pPr>
            <w:r w:rsidRPr="0091560A">
              <w:rPr>
                <w:rFonts w:ascii="Arial" w:hAnsi="Arial" w:cs="Arial"/>
                <w:b/>
                <w:bCs/>
                <w:sz w:val="18"/>
                <w:szCs w:val="20"/>
              </w:rPr>
              <w:t>64,04%</w:t>
            </w:r>
          </w:p>
        </w:tc>
      </w:tr>
      <w:tr w:rsidR="00685184" w:rsidRPr="0091560A" w:rsidTr="00685184">
        <w:trPr>
          <w:trHeight w:val="265"/>
        </w:trPr>
        <w:tc>
          <w:tcPr>
            <w:tcW w:w="760" w:type="dxa"/>
            <w:vMerge w:val="restart"/>
            <w:shd w:val="clear" w:color="auto" w:fill="auto"/>
            <w:vAlign w:val="center"/>
            <w:hideMark/>
          </w:tcPr>
          <w:p w:rsidR="00685184" w:rsidRPr="0091560A" w:rsidRDefault="00685184" w:rsidP="00685184">
            <w:pPr>
              <w:jc w:val="center"/>
              <w:rPr>
                <w:rFonts w:ascii="Arial" w:hAnsi="Arial" w:cs="Arial"/>
                <w:sz w:val="18"/>
                <w:szCs w:val="20"/>
              </w:rPr>
            </w:pPr>
            <w:r w:rsidRPr="0091560A">
              <w:rPr>
                <w:rFonts w:ascii="Arial" w:hAnsi="Arial" w:cs="Arial"/>
                <w:sz w:val="18"/>
                <w:szCs w:val="20"/>
              </w:rPr>
              <w:t>PO 3</w:t>
            </w:r>
          </w:p>
        </w:tc>
        <w:tc>
          <w:tcPr>
            <w:tcW w:w="1563" w:type="dxa"/>
            <w:shd w:val="clear" w:color="auto" w:fill="auto"/>
            <w:vAlign w:val="center"/>
            <w:hideMark/>
          </w:tcPr>
          <w:p w:rsidR="00685184" w:rsidRPr="0091560A" w:rsidRDefault="00685184" w:rsidP="00685184">
            <w:pPr>
              <w:jc w:val="center"/>
              <w:rPr>
                <w:rFonts w:ascii="Arial" w:hAnsi="Arial" w:cs="Arial"/>
                <w:sz w:val="18"/>
                <w:szCs w:val="20"/>
              </w:rPr>
            </w:pPr>
            <w:r w:rsidRPr="0091560A">
              <w:rPr>
                <w:rFonts w:ascii="Arial" w:hAnsi="Arial" w:cs="Arial"/>
                <w:sz w:val="18"/>
                <w:szCs w:val="20"/>
              </w:rPr>
              <w:t>Bratislavský</w:t>
            </w:r>
          </w:p>
        </w:tc>
        <w:tc>
          <w:tcPr>
            <w:tcW w:w="1456" w:type="dxa"/>
            <w:shd w:val="clear" w:color="auto" w:fill="auto"/>
            <w:vAlign w:val="center"/>
            <w:hideMark/>
          </w:tcPr>
          <w:p w:rsidR="00685184" w:rsidRPr="0091560A" w:rsidRDefault="00685184" w:rsidP="00685184">
            <w:pPr>
              <w:jc w:val="center"/>
              <w:rPr>
                <w:rFonts w:ascii="Arial" w:hAnsi="Arial" w:cs="Arial"/>
                <w:sz w:val="18"/>
                <w:szCs w:val="20"/>
              </w:rPr>
            </w:pPr>
            <w:r w:rsidRPr="0091560A">
              <w:rPr>
                <w:rFonts w:ascii="Arial" w:hAnsi="Arial" w:cs="Arial"/>
                <w:sz w:val="18"/>
                <w:szCs w:val="20"/>
              </w:rPr>
              <w:t>0</w:t>
            </w:r>
          </w:p>
        </w:tc>
        <w:tc>
          <w:tcPr>
            <w:tcW w:w="1456" w:type="dxa"/>
            <w:shd w:val="clear" w:color="auto" w:fill="auto"/>
            <w:vAlign w:val="center"/>
            <w:hideMark/>
          </w:tcPr>
          <w:p w:rsidR="00685184" w:rsidRPr="0091560A" w:rsidRDefault="00685184" w:rsidP="00685184">
            <w:pPr>
              <w:jc w:val="center"/>
              <w:rPr>
                <w:rFonts w:ascii="Arial" w:hAnsi="Arial" w:cs="Arial"/>
                <w:sz w:val="18"/>
                <w:szCs w:val="20"/>
              </w:rPr>
            </w:pPr>
            <w:r w:rsidRPr="0091560A">
              <w:rPr>
                <w:rFonts w:ascii="Arial" w:hAnsi="Arial" w:cs="Arial"/>
                <w:sz w:val="18"/>
                <w:szCs w:val="20"/>
              </w:rPr>
              <w:t>0,00%</w:t>
            </w:r>
          </w:p>
        </w:tc>
        <w:tc>
          <w:tcPr>
            <w:tcW w:w="1298" w:type="dxa"/>
            <w:shd w:val="clear" w:color="auto" w:fill="auto"/>
            <w:vAlign w:val="center"/>
            <w:hideMark/>
          </w:tcPr>
          <w:p w:rsidR="00685184" w:rsidRPr="0091560A" w:rsidRDefault="00685184" w:rsidP="00685184">
            <w:pPr>
              <w:jc w:val="center"/>
              <w:rPr>
                <w:rFonts w:ascii="Arial" w:hAnsi="Arial" w:cs="Arial"/>
                <w:sz w:val="18"/>
                <w:szCs w:val="20"/>
              </w:rPr>
            </w:pPr>
            <w:r w:rsidRPr="0091560A">
              <w:rPr>
                <w:rFonts w:ascii="Arial" w:hAnsi="Arial" w:cs="Arial"/>
                <w:sz w:val="18"/>
                <w:szCs w:val="20"/>
              </w:rPr>
              <w:t>0</w:t>
            </w:r>
          </w:p>
        </w:tc>
        <w:tc>
          <w:tcPr>
            <w:tcW w:w="1495" w:type="dxa"/>
            <w:shd w:val="clear" w:color="auto" w:fill="auto"/>
            <w:vAlign w:val="center"/>
            <w:hideMark/>
          </w:tcPr>
          <w:p w:rsidR="00685184" w:rsidRPr="0091560A" w:rsidRDefault="00685184" w:rsidP="00685184">
            <w:pPr>
              <w:jc w:val="center"/>
              <w:rPr>
                <w:rFonts w:ascii="Arial" w:hAnsi="Arial" w:cs="Arial"/>
                <w:sz w:val="18"/>
                <w:szCs w:val="20"/>
              </w:rPr>
            </w:pPr>
            <w:r w:rsidRPr="0091560A">
              <w:rPr>
                <w:rFonts w:ascii="Arial" w:hAnsi="Arial" w:cs="Arial"/>
                <w:sz w:val="18"/>
                <w:szCs w:val="20"/>
              </w:rPr>
              <w:t>0,00%</w:t>
            </w:r>
          </w:p>
        </w:tc>
        <w:tc>
          <w:tcPr>
            <w:tcW w:w="1196" w:type="dxa"/>
            <w:shd w:val="clear" w:color="auto" w:fill="auto"/>
            <w:vAlign w:val="center"/>
            <w:hideMark/>
          </w:tcPr>
          <w:p w:rsidR="00685184" w:rsidRPr="0091560A" w:rsidRDefault="00685184" w:rsidP="00685184">
            <w:pPr>
              <w:jc w:val="center"/>
              <w:rPr>
                <w:rFonts w:ascii="Arial" w:hAnsi="Arial" w:cs="Arial"/>
                <w:sz w:val="18"/>
                <w:szCs w:val="20"/>
              </w:rPr>
            </w:pPr>
            <w:r w:rsidRPr="0091560A">
              <w:rPr>
                <w:rFonts w:ascii="Arial" w:hAnsi="Arial" w:cs="Arial"/>
                <w:sz w:val="18"/>
                <w:szCs w:val="20"/>
              </w:rPr>
              <w:t>0,00%</w:t>
            </w:r>
          </w:p>
        </w:tc>
      </w:tr>
      <w:tr w:rsidR="00685184" w:rsidRPr="0091560A" w:rsidTr="00685184">
        <w:trPr>
          <w:trHeight w:hRule="exact" w:val="58"/>
        </w:trPr>
        <w:tc>
          <w:tcPr>
            <w:tcW w:w="760" w:type="dxa"/>
            <w:vMerge/>
            <w:vAlign w:val="center"/>
            <w:hideMark/>
          </w:tcPr>
          <w:p w:rsidR="00685184" w:rsidRPr="0091560A" w:rsidRDefault="00685184" w:rsidP="00685184">
            <w:pPr>
              <w:rPr>
                <w:rFonts w:ascii="Arial" w:hAnsi="Arial" w:cs="Arial"/>
                <w:sz w:val="18"/>
                <w:szCs w:val="20"/>
              </w:rPr>
            </w:pPr>
          </w:p>
        </w:tc>
        <w:tc>
          <w:tcPr>
            <w:tcW w:w="1563" w:type="dxa"/>
            <w:vMerge w:val="restart"/>
            <w:shd w:val="clear" w:color="auto" w:fill="auto"/>
            <w:vAlign w:val="center"/>
            <w:hideMark/>
          </w:tcPr>
          <w:p w:rsidR="00685184" w:rsidRPr="0091560A" w:rsidRDefault="00685184" w:rsidP="00685184">
            <w:pPr>
              <w:jc w:val="center"/>
              <w:rPr>
                <w:rFonts w:ascii="Arial" w:hAnsi="Arial" w:cs="Arial"/>
                <w:sz w:val="18"/>
                <w:szCs w:val="20"/>
              </w:rPr>
            </w:pPr>
            <w:r w:rsidRPr="0091560A">
              <w:rPr>
                <w:rFonts w:ascii="Arial" w:hAnsi="Arial" w:cs="Arial"/>
                <w:sz w:val="18"/>
                <w:szCs w:val="20"/>
              </w:rPr>
              <w:t>Západoslovenský</w:t>
            </w:r>
          </w:p>
        </w:tc>
        <w:tc>
          <w:tcPr>
            <w:tcW w:w="1456" w:type="dxa"/>
            <w:vMerge w:val="restart"/>
            <w:shd w:val="clear" w:color="auto" w:fill="auto"/>
            <w:vAlign w:val="center"/>
            <w:hideMark/>
          </w:tcPr>
          <w:p w:rsidR="00685184" w:rsidRPr="0091560A" w:rsidRDefault="00685184" w:rsidP="00685184">
            <w:pPr>
              <w:jc w:val="center"/>
              <w:rPr>
                <w:rFonts w:ascii="Arial" w:hAnsi="Arial" w:cs="Arial"/>
                <w:sz w:val="18"/>
                <w:szCs w:val="20"/>
              </w:rPr>
            </w:pPr>
            <w:r w:rsidRPr="0091560A">
              <w:rPr>
                <w:rFonts w:ascii="Arial" w:hAnsi="Arial" w:cs="Arial"/>
                <w:sz w:val="18"/>
                <w:szCs w:val="20"/>
              </w:rPr>
              <w:t>54 000 000</w:t>
            </w:r>
          </w:p>
        </w:tc>
        <w:tc>
          <w:tcPr>
            <w:tcW w:w="1456" w:type="dxa"/>
            <w:vMerge w:val="restart"/>
            <w:shd w:val="clear" w:color="auto" w:fill="auto"/>
            <w:vAlign w:val="center"/>
            <w:hideMark/>
          </w:tcPr>
          <w:p w:rsidR="00685184" w:rsidRPr="0091560A" w:rsidRDefault="00685184" w:rsidP="00685184">
            <w:pPr>
              <w:jc w:val="center"/>
              <w:rPr>
                <w:rFonts w:ascii="Arial" w:hAnsi="Arial" w:cs="Arial"/>
                <w:sz w:val="18"/>
                <w:szCs w:val="20"/>
              </w:rPr>
            </w:pPr>
            <w:r w:rsidRPr="0091560A">
              <w:rPr>
                <w:rFonts w:ascii="Arial" w:hAnsi="Arial" w:cs="Arial"/>
                <w:sz w:val="18"/>
                <w:szCs w:val="20"/>
              </w:rPr>
              <w:t>65,69%</w:t>
            </w:r>
          </w:p>
        </w:tc>
        <w:tc>
          <w:tcPr>
            <w:tcW w:w="1298" w:type="dxa"/>
            <w:vMerge w:val="restart"/>
            <w:shd w:val="clear" w:color="auto" w:fill="auto"/>
            <w:vAlign w:val="center"/>
            <w:hideMark/>
          </w:tcPr>
          <w:p w:rsidR="00685184" w:rsidRPr="0091560A" w:rsidRDefault="00685184" w:rsidP="00685184">
            <w:pPr>
              <w:jc w:val="center"/>
              <w:rPr>
                <w:rFonts w:ascii="Arial" w:hAnsi="Arial" w:cs="Arial"/>
                <w:sz w:val="18"/>
                <w:szCs w:val="20"/>
              </w:rPr>
            </w:pPr>
            <w:r w:rsidRPr="0091560A">
              <w:rPr>
                <w:rFonts w:ascii="Arial" w:hAnsi="Arial" w:cs="Arial"/>
                <w:sz w:val="18"/>
                <w:szCs w:val="20"/>
              </w:rPr>
              <w:t>35 470 866</w:t>
            </w:r>
          </w:p>
        </w:tc>
        <w:tc>
          <w:tcPr>
            <w:tcW w:w="1495" w:type="dxa"/>
            <w:vMerge w:val="restart"/>
            <w:shd w:val="clear" w:color="auto" w:fill="auto"/>
            <w:vAlign w:val="center"/>
            <w:hideMark/>
          </w:tcPr>
          <w:p w:rsidR="00685184" w:rsidRPr="0091560A" w:rsidRDefault="00685184" w:rsidP="00685184">
            <w:pPr>
              <w:jc w:val="center"/>
              <w:rPr>
                <w:rFonts w:ascii="Arial" w:hAnsi="Arial" w:cs="Arial"/>
                <w:sz w:val="18"/>
                <w:szCs w:val="20"/>
              </w:rPr>
            </w:pPr>
            <w:r w:rsidRPr="0091560A">
              <w:rPr>
                <w:rFonts w:ascii="Arial" w:hAnsi="Arial" w:cs="Arial"/>
                <w:sz w:val="18"/>
                <w:szCs w:val="20"/>
              </w:rPr>
              <w:t>26,13%</w:t>
            </w:r>
          </w:p>
        </w:tc>
        <w:tc>
          <w:tcPr>
            <w:tcW w:w="1196" w:type="dxa"/>
            <w:vMerge w:val="restart"/>
            <w:shd w:val="clear" w:color="auto" w:fill="auto"/>
            <w:vAlign w:val="center"/>
            <w:hideMark/>
          </w:tcPr>
          <w:p w:rsidR="00685184" w:rsidRPr="0091560A" w:rsidRDefault="00685184" w:rsidP="00685184">
            <w:pPr>
              <w:jc w:val="center"/>
              <w:rPr>
                <w:rFonts w:ascii="Arial" w:hAnsi="Arial" w:cs="Arial"/>
                <w:sz w:val="18"/>
                <w:szCs w:val="20"/>
              </w:rPr>
            </w:pPr>
            <w:r w:rsidRPr="0091560A">
              <w:rPr>
                <w:rFonts w:ascii="Arial" w:hAnsi="Arial" w:cs="Arial"/>
                <w:sz w:val="18"/>
                <w:szCs w:val="20"/>
              </w:rPr>
              <w:t>65,69%</w:t>
            </w:r>
          </w:p>
        </w:tc>
      </w:tr>
      <w:tr w:rsidR="00685184" w:rsidRPr="0091560A" w:rsidTr="00685184">
        <w:trPr>
          <w:trHeight w:hRule="exact" w:val="116"/>
        </w:trPr>
        <w:tc>
          <w:tcPr>
            <w:tcW w:w="760" w:type="dxa"/>
            <w:vMerge/>
            <w:vAlign w:val="center"/>
            <w:hideMark/>
          </w:tcPr>
          <w:p w:rsidR="00685184" w:rsidRPr="0091560A" w:rsidRDefault="00685184" w:rsidP="00685184">
            <w:pPr>
              <w:rPr>
                <w:rFonts w:ascii="Arial" w:hAnsi="Arial" w:cs="Arial"/>
                <w:sz w:val="18"/>
                <w:szCs w:val="20"/>
              </w:rPr>
            </w:pPr>
          </w:p>
        </w:tc>
        <w:tc>
          <w:tcPr>
            <w:tcW w:w="1563" w:type="dxa"/>
            <w:vMerge/>
            <w:vAlign w:val="center"/>
            <w:hideMark/>
          </w:tcPr>
          <w:p w:rsidR="00685184" w:rsidRPr="0091560A" w:rsidRDefault="00685184" w:rsidP="00685184">
            <w:pPr>
              <w:rPr>
                <w:rFonts w:ascii="Arial" w:hAnsi="Arial" w:cs="Arial"/>
                <w:sz w:val="18"/>
                <w:szCs w:val="20"/>
              </w:rPr>
            </w:pPr>
          </w:p>
        </w:tc>
        <w:tc>
          <w:tcPr>
            <w:tcW w:w="1456" w:type="dxa"/>
            <w:vMerge/>
            <w:vAlign w:val="center"/>
            <w:hideMark/>
          </w:tcPr>
          <w:p w:rsidR="00685184" w:rsidRPr="0091560A" w:rsidRDefault="00685184" w:rsidP="00685184">
            <w:pPr>
              <w:rPr>
                <w:rFonts w:ascii="Arial" w:hAnsi="Arial" w:cs="Arial"/>
                <w:sz w:val="18"/>
                <w:szCs w:val="20"/>
              </w:rPr>
            </w:pPr>
          </w:p>
        </w:tc>
        <w:tc>
          <w:tcPr>
            <w:tcW w:w="1456" w:type="dxa"/>
            <w:vMerge/>
            <w:vAlign w:val="center"/>
            <w:hideMark/>
          </w:tcPr>
          <w:p w:rsidR="00685184" w:rsidRPr="0091560A" w:rsidRDefault="00685184" w:rsidP="00685184">
            <w:pPr>
              <w:rPr>
                <w:rFonts w:ascii="Arial" w:hAnsi="Arial" w:cs="Arial"/>
                <w:sz w:val="18"/>
                <w:szCs w:val="20"/>
              </w:rPr>
            </w:pPr>
          </w:p>
        </w:tc>
        <w:tc>
          <w:tcPr>
            <w:tcW w:w="1298" w:type="dxa"/>
            <w:vMerge/>
            <w:vAlign w:val="center"/>
            <w:hideMark/>
          </w:tcPr>
          <w:p w:rsidR="00685184" w:rsidRPr="0091560A" w:rsidRDefault="00685184" w:rsidP="00685184">
            <w:pPr>
              <w:rPr>
                <w:rFonts w:ascii="Arial" w:hAnsi="Arial" w:cs="Arial"/>
                <w:sz w:val="18"/>
                <w:szCs w:val="20"/>
              </w:rPr>
            </w:pPr>
          </w:p>
        </w:tc>
        <w:tc>
          <w:tcPr>
            <w:tcW w:w="1495" w:type="dxa"/>
            <w:vMerge/>
            <w:vAlign w:val="center"/>
            <w:hideMark/>
          </w:tcPr>
          <w:p w:rsidR="00685184" w:rsidRPr="0091560A" w:rsidRDefault="00685184" w:rsidP="00685184">
            <w:pPr>
              <w:rPr>
                <w:rFonts w:ascii="Arial" w:hAnsi="Arial" w:cs="Arial"/>
                <w:sz w:val="18"/>
                <w:szCs w:val="20"/>
              </w:rPr>
            </w:pPr>
          </w:p>
        </w:tc>
        <w:tc>
          <w:tcPr>
            <w:tcW w:w="1196" w:type="dxa"/>
            <w:vMerge/>
            <w:vAlign w:val="center"/>
            <w:hideMark/>
          </w:tcPr>
          <w:p w:rsidR="00685184" w:rsidRPr="0091560A" w:rsidRDefault="00685184" w:rsidP="00685184">
            <w:pPr>
              <w:rPr>
                <w:rFonts w:ascii="Arial" w:hAnsi="Arial" w:cs="Arial"/>
                <w:sz w:val="18"/>
                <w:szCs w:val="20"/>
              </w:rPr>
            </w:pPr>
          </w:p>
        </w:tc>
      </w:tr>
      <w:tr w:rsidR="00685184" w:rsidRPr="0091560A" w:rsidTr="00685184">
        <w:trPr>
          <w:trHeight w:hRule="exact" w:val="116"/>
        </w:trPr>
        <w:tc>
          <w:tcPr>
            <w:tcW w:w="760" w:type="dxa"/>
            <w:vMerge/>
            <w:vAlign w:val="center"/>
            <w:hideMark/>
          </w:tcPr>
          <w:p w:rsidR="00685184" w:rsidRPr="0091560A" w:rsidRDefault="00685184" w:rsidP="00685184">
            <w:pPr>
              <w:rPr>
                <w:rFonts w:ascii="Arial" w:hAnsi="Arial" w:cs="Arial"/>
                <w:sz w:val="18"/>
                <w:szCs w:val="20"/>
              </w:rPr>
            </w:pPr>
          </w:p>
        </w:tc>
        <w:tc>
          <w:tcPr>
            <w:tcW w:w="1563" w:type="dxa"/>
            <w:vMerge/>
            <w:vAlign w:val="center"/>
            <w:hideMark/>
          </w:tcPr>
          <w:p w:rsidR="00685184" w:rsidRPr="0091560A" w:rsidRDefault="00685184" w:rsidP="00685184">
            <w:pPr>
              <w:rPr>
                <w:rFonts w:ascii="Arial" w:hAnsi="Arial" w:cs="Arial"/>
                <w:sz w:val="18"/>
                <w:szCs w:val="20"/>
              </w:rPr>
            </w:pPr>
          </w:p>
        </w:tc>
        <w:tc>
          <w:tcPr>
            <w:tcW w:w="1456" w:type="dxa"/>
            <w:vMerge/>
            <w:vAlign w:val="center"/>
            <w:hideMark/>
          </w:tcPr>
          <w:p w:rsidR="00685184" w:rsidRPr="0091560A" w:rsidRDefault="00685184" w:rsidP="00685184">
            <w:pPr>
              <w:rPr>
                <w:rFonts w:ascii="Arial" w:hAnsi="Arial" w:cs="Arial"/>
                <w:sz w:val="18"/>
                <w:szCs w:val="20"/>
              </w:rPr>
            </w:pPr>
          </w:p>
        </w:tc>
        <w:tc>
          <w:tcPr>
            <w:tcW w:w="1456" w:type="dxa"/>
            <w:vMerge/>
            <w:vAlign w:val="center"/>
            <w:hideMark/>
          </w:tcPr>
          <w:p w:rsidR="00685184" w:rsidRPr="0091560A" w:rsidRDefault="00685184" w:rsidP="00685184">
            <w:pPr>
              <w:rPr>
                <w:rFonts w:ascii="Arial" w:hAnsi="Arial" w:cs="Arial"/>
                <w:sz w:val="18"/>
                <w:szCs w:val="20"/>
              </w:rPr>
            </w:pPr>
          </w:p>
        </w:tc>
        <w:tc>
          <w:tcPr>
            <w:tcW w:w="1298" w:type="dxa"/>
            <w:vMerge/>
            <w:vAlign w:val="center"/>
            <w:hideMark/>
          </w:tcPr>
          <w:p w:rsidR="00685184" w:rsidRPr="0091560A" w:rsidRDefault="00685184" w:rsidP="00685184">
            <w:pPr>
              <w:rPr>
                <w:rFonts w:ascii="Arial" w:hAnsi="Arial" w:cs="Arial"/>
                <w:sz w:val="18"/>
                <w:szCs w:val="20"/>
              </w:rPr>
            </w:pPr>
          </w:p>
        </w:tc>
        <w:tc>
          <w:tcPr>
            <w:tcW w:w="1495" w:type="dxa"/>
            <w:vMerge/>
            <w:vAlign w:val="center"/>
            <w:hideMark/>
          </w:tcPr>
          <w:p w:rsidR="00685184" w:rsidRPr="0091560A" w:rsidRDefault="00685184" w:rsidP="00685184">
            <w:pPr>
              <w:rPr>
                <w:rFonts w:ascii="Arial" w:hAnsi="Arial" w:cs="Arial"/>
                <w:sz w:val="18"/>
                <w:szCs w:val="20"/>
              </w:rPr>
            </w:pPr>
          </w:p>
        </w:tc>
        <w:tc>
          <w:tcPr>
            <w:tcW w:w="1196" w:type="dxa"/>
            <w:vMerge/>
            <w:vAlign w:val="center"/>
            <w:hideMark/>
          </w:tcPr>
          <w:p w:rsidR="00685184" w:rsidRPr="0091560A" w:rsidRDefault="00685184" w:rsidP="00685184">
            <w:pPr>
              <w:rPr>
                <w:rFonts w:ascii="Arial" w:hAnsi="Arial" w:cs="Arial"/>
                <w:sz w:val="18"/>
                <w:szCs w:val="20"/>
              </w:rPr>
            </w:pPr>
          </w:p>
        </w:tc>
      </w:tr>
      <w:tr w:rsidR="00685184" w:rsidRPr="0091560A" w:rsidTr="00685184">
        <w:trPr>
          <w:trHeight w:hRule="exact" w:val="116"/>
        </w:trPr>
        <w:tc>
          <w:tcPr>
            <w:tcW w:w="760" w:type="dxa"/>
            <w:vMerge/>
            <w:vAlign w:val="center"/>
            <w:hideMark/>
          </w:tcPr>
          <w:p w:rsidR="00685184" w:rsidRPr="0091560A" w:rsidRDefault="00685184" w:rsidP="00685184">
            <w:pPr>
              <w:rPr>
                <w:rFonts w:ascii="Arial" w:hAnsi="Arial" w:cs="Arial"/>
                <w:sz w:val="18"/>
                <w:szCs w:val="20"/>
              </w:rPr>
            </w:pPr>
          </w:p>
        </w:tc>
        <w:tc>
          <w:tcPr>
            <w:tcW w:w="1563" w:type="dxa"/>
            <w:vMerge w:val="restart"/>
            <w:shd w:val="clear" w:color="auto" w:fill="auto"/>
            <w:vAlign w:val="center"/>
            <w:hideMark/>
          </w:tcPr>
          <w:p w:rsidR="00685184" w:rsidRPr="0091560A" w:rsidRDefault="00685184" w:rsidP="00685184">
            <w:pPr>
              <w:jc w:val="center"/>
              <w:rPr>
                <w:rFonts w:ascii="Arial" w:hAnsi="Arial" w:cs="Arial"/>
                <w:sz w:val="18"/>
                <w:szCs w:val="20"/>
              </w:rPr>
            </w:pPr>
            <w:r w:rsidRPr="0091560A">
              <w:rPr>
                <w:rFonts w:ascii="Arial" w:hAnsi="Arial" w:cs="Arial"/>
                <w:sz w:val="18"/>
                <w:szCs w:val="20"/>
              </w:rPr>
              <w:t>Stredoslovenský</w:t>
            </w:r>
          </w:p>
        </w:tc>
        <w:tc>
          <w:tcPr>
            <w:tcW w:w="1456" w:type="dxa"/>
            <w:vMerge w:val="restart"/>
            <w:shd w:val="clear" w:color="auto" w:fill="auto"/>
            <w:vAlign w:val="center"/>
            <w:hideMark/>
          </w:tcPr>
          <w:p w:rsidR="00685184" w:rsidRPr="0091560A" w:rsidRDefault="00685184" w:rsidP="00685184">
            <w:pPr>
              <w:jc w:val="center"/>
              <w:rPr>
                <w:rFonts w:ascii="Arial" w:hAnsi="Arial" w:cs="Arial"/>
                <w:sz w:val="18"/>
                <w:szCs w:val="20"/>
              </w:rPr>
            </w:pPr>
            <w:r w:rsidRPr="0091560A">
              <w:rPr>
                <w:rFonts w:ascii="Arial" w:hAnsi="Arial" w:cs="Arial"/>
                <w:sz w:val="18"/>
                <w:szCs w:val="20"/>
              </w:rPr>
              <w:t>61 200 000</w:t>
            </w:r>
          </w:p>
        </w:tc>
        <w:tc>
          <w:tcPr>
            <w:tcW w:w="1456" w:type="dxa"/>
            <w:vMerge w:val="restart"/>
            <w:shd w:val="clear" w:color="auto" w:fill="auto"/>
            <w:vAlign w:val="center"/>
            <w:hideMark/>
          </w:tcPr>
          <w:p w:rsidR="00685184" w:rsidRPr="0091560A" w:rsidRDefault="00685184" w:rsidP="00685184">
            <w:pPr>
              <w:jc w:val="center"/>
              <w:rPr>
                <w:rFonts w:ascii="Arial" w:hAnsi="Arial" w:cs="Arial"/>
                <w:sz w:val="18"/>
                <w:szCs w:val="20"/>
              </w:rPr>
            </w:pPr>
            <w:r w:rsidRPr="0091560A">
              <w:rPr>
                <w:rFonts w:ascii="Arial" w:hAnsi="Arial" w:cs="Arial"/>
                <w:sz w:val="18"/>
                <w:szCs w:val="20"/>
              </w:rPr>
              <w:t>77,09%</w:t>
            </w:r>
          </w:p>
        </w:tc>
        <w:tc>
          <w:tcPr>
            <w:tcW w:w="1298" w:type="dxa"/>
            <w:vMerge w:val="restart"/>
            <w:shd w:val="clear" w:color="auto" w:fill="auto"/>
            <w:vAlign w:val="center"/>
            <w:hideMark/>
          </w:tcPr>
          <w:p w:rsidR="00685184" w:rsidRPr="0091560A" w:rsidRDefault="00685184" w:rsidP="00685184">
            <w:pPr>
              <w:jc w:val="center"/>
              <w:rPr>
                <w:rFonts w:ascii="Arial" w:hAnsi="Arial" w:cs="Arial"/>
                <w:sz w:val="18"/>
                <w:szCs w:val="20"/>
              </w:rPr>
            </w:pPr>
            <w:r w:rsidRPr="0091560A">
              <w:rPr>
                <w:rFonts w:ascii="Arial" w:hAnsi="Arial" w:cs="Arial"/>
                <w:sz w:val="18"/>
                <w:szCs w:val="20"/>
              </w:rPr>
              <w:t>47 181 239</w:t>
            </w:r>
          </w:p>
        </w:tc>
        <w:tc>
          <w:tcPr>
            <w:tcW w:w="1495" w:type="dxa"/>
            <w:vMerge w:val="restart"/>
            <w:shd w:val="clear" w:color="auto" w:fill="auto"/>
            <w:vAlign w:val="center"/>
            <w:hideMark/>
          </w:tcPr>
          <w:p w:rsidR="00685184" w:rsidRPr="0091560A" w:rsidRDefault="00685184" w:rsidP="00685184">
            <w:pPr>
              <w:jc w:val="center"/>
              <w:rPr>
                <w:rFonts w:ascii="Arial" w:hAnsi="Arial" w:cs="Arial"/>
                <w:sz w:val="18"/>
                <w:szCs w:val="20"/>
              </w:rPr>
            </w:pPr>
            <w:r w:rsidRPr="0091560A">
              <w:rPr>
                <w:rFonts w:ascii="Arial" w:hAnsi="Arial" w:cs="Arial"/>
                <w:sz w:val="18"/>
                <w:szCs w:val="20"/>
              </w:rPr>
              <w:t>34,75%</w:t>
            </w:r>
          </w:p>
        </w:tc>
        <w:tc>
          <w:tcPr>
            <w:tcW w:w="1196" w:type="dxa"/>
            <w:vMerge w:val="restart"/>
            <w:shd w:val="clear" w:color="auto" w:fill="auto"/>
            <w:vAlign w:val="center"/>
            <w:hideMark/>
          </w:tcPr>
          <w:p w:rsidR="00685184" w:rsidRPr="0091560A" w:rsidRDefault="00685184" w:rsidP="00685184">
            <w:pPr>
              <w:jc w:val="center"/>
              <w:rPr>
                <w:rFonts w:ascii="Arial" w:hAnsi="Arial" w:cs="Arial"/>
                <w:sz w:val="18"/>
                <w:szCs w:val="20"/>
              </w:rPr>
            </w:pPr>
            <w:r w:rsidRPr="0091560A">
              <w:rPr>
                <w:rFonts w:ascii="Arial" w:hAnsi="Arial" w:cs="Arial"/>
                <w:sz w:val="18"/>
                <w:szCs w:val="20"/>
              </w:rPr>
              <w:t>77,09%</w:t>
            </w:r>
          </w:p>
        </w:tc>
      </w:tr>
      <w:tr w:rsidR="00685184" w:rsidRPr="0091560A" w:rsidTr="00685184">
        <w:trPr>
          <w:trHeight w:hRule="exact" w:val="116"/>
        </w:trPr>
        <w:tc>
          <w:tcPr>
            <w:tcW w:w="760" w:type="dxa"/>
            <w:vMerge/>
            <w:vAlign w:val="center"/>
            <w:hideMark/>
          </w:tcPr>
          <w:p w:rsidR="00685184" w:rsidRPr="0091560A" w:rsidRDefault="00685184" w:rsidP="00685184">
            <w:pPr>
              <w:rPr>
                <w:rFonts w:ascii="Arial" w:hAnsi="Arial" w:cs="Arial"/>
                <w:sz w:val="18"/>
                <w:szCs w:val="20"/>
              </w:rPr>
            </w:pPr>
          </w:p>
        </w:tc>
        <w:tc>
          <w:tcPr>
            <w:tcW w:w="1563" w:type="dxa"/>
            <w:vMerge/>
            <w:vAlign w:val="center"/>
            <w:hideMark/>
          </w:tcPr>
          <w:p w:rsidR="00685184" w:rsidRPr="0091560A" w:rsidRDefault="00685184" w:rsidP="00685184">
            <w:pPr>
              <w:rPr>
                <w:rFonts w:ascii="Arial" w:hAnsi="Arial" w:cs="Arial"/>
                <w:sz w:val="18"/>
                <w:szCs w:val="20"/>
              </w:rPr>
            </w:pPr>
          </w:p>
        </w:tc>
        <w:tc>
          <w:tcPr>
            <w:tcW w:w="1456" w:type="dxa"/>
            <w:vMerge/>
            <w:vAlign w:val="center"/>
            <w:hideMark/>
          </w:tcPr>
          <w:p w:rsidR="00685184" w:rsidRPr="0091560A" w:rsidRDefault="00685184" w:rsidP="00685184">
            <w:pPr>
              <w:rPr>
                <w:rFonts w:ascii="Arial" w:hAnsi="Arial" w:cs="Arial"/>
                <w:sz w:val="18"/>
                <w:szCs w:val="20"/>
              </w:rPr>
            </w:pPr>
          </w:p>
        </w:tc>
        <w:tc>
          <w:tcPr>
            <w:tcW w:w="1456" w:type="dxa"/>
            <w:vMerge/>
            <w:vAlign w:val="center"/>
            <w:hideMark/>
          </w:tcPr>
          <w:p w:rsidR="00685184" w:rsidRPr="0091560A" w:rsidRDefault="00685184" w:rsidP="00685184">
            <w:pPr>
              <w:rPr>
                <w:rFonts w:ascii="Arial" w:hAnsi="Arial" w:cs="Arial"/>
                <w:sz w:val="18"/>
                <w:szCs w:val="20"/>
              </w:rPr>
            </w:pPr>
          </w:p>
        </w:tc>
        <w:tc>
          <w:tcPr>
            <w:tcW w:w="1298" w:type="dxa"/>
            <w:vMerge/>
            <w:vAlign w:val="center"/>
            <w:hideMark/>
          </w:tcPr>
          <w:p w:rsidR="00685184" w:rsidRPr="0091560A" w:rsidRDefault="00685184" w:rsidP="00685184">
            <w:pPr>
              <w:rPr>
                <w:rFonts w:ascii="Arial" w:hAnsi="Arial" w:cs="Arial"/>
                <w:sz w:val="18"/>
                <w:szCs w:val="20"/>
              </w:rPr>
            </w:pPr>
          </w:p>
        </w:tc>
        <w:tc>
          <w:tcPr>
            <w:tcW w:w="1495" w:type="dxa"/>
            <w:vMerge/>
            <w:vAlign w:val="center"/>
            <w:hideMark/>
          </w:tcPr>
          <w:p w:rsidR="00685184" w:rsidRPr="0091560A" w:rsidRDefault="00685184" w:rsidP="00685184">
            <w:pPr>
              <w:rPr>
                <w:rFonts w:ascii="Arial" w:hAnsi="Arial" w:cs="Arial"/>
                <w:sz w:val="18"/>
                <w:szCs w:val="20"/>
              </w:rPr>
            </w:pPr>
          </w:p>
        </w:tc>
        <w:tc>
          <w:tcPr>
            <w:tcW w:w="1196" w:type="dxa"/>
            <w:vMerge/>
            <w:vAlign w:val="center"/>
            <w:hideMark/>
          </w:tcPr>
          <w:p w:rsidR="00685184" w:rsidRPr="0091560A" w:rsidRDefault="00685184" w:rsidP="00685184">
            <w:pPr>
              <w:rPr>
                <w:rFonts w:ascii="Arial" w:hAnsi="Arial" w:cs="Arial"/>
                <w:sz w:val="18"/>
                <w:szCs w:val="20"/>
              </w:rPr>
            </w:pPr>
          </w:p>
        </w:tc>
      </w:tr>
      <w:tr w:rsidR="00685184" w:rsidRPr="0091560A" w:rsidTr="00685184">
        <w:trPr>
          <w:trHeight w:hRule="exact" w:val="58"/>
        </w:trPr>
        <w:tc>
          <w:tcPr>
            <w:tcW w:w="760" w:type="dxa"/>
            <w:vMerge/>
            <w:vAlign w:val="center"/>
            <w:hideMark/>
          </w:tcPr>
          <w:p w:rsidR="00685184" w:rsidRPr="0091560A" w:rsidRDefault="00685184" w:rsidP="00685184">
            <w:pPr>
              <w:rPr>
                <w:rFonts w:ascii="Arial" w:hAnsi="Arial" w:cs="Arial"/>
                <w:sz w:val="18"/>
                <w:szCs w:val="20"/>
              </w:rPr>
            </w:pPr>
          </w:p>
        </w:tc>
        <w:tc>
          <w:tcPr>
            <w:tcW w:w="1563" w:type="dxa"/>
            <w:vMerge w:val="restart"/>
            <w:shd w:val="clear" w:color="auto" w:fill="auto"/>
            <w:vAlign w:val="center"/>
            <w:hideMark/>
          </w:tcPr>
          <w:p w:rsidR="00685184" w:rsidRPr="0091560A" w:rsidRDefault="00685184" w:rsidP="00685184">
            <w:pPr>
              <w:jc w:val="center"/>
              <w:rPr>
                <w:rFonts w:ascii="Arial" w:hAnsi="Arial" w:cs="Arial"/>
                <w:sz w:val="18"/>
                <w:szCs w:val="20"/>
              </w:rPr>
            </w:pPr>
            <w:r w:rsidRPr="0091560A">
              <w:rPr>
                <w:rFonts w:ascii="Arial" w:hAnsi="Arial" w:cs="Arial"/>
                <w:sz w:val="18"/>
                <w:szCs w:val="20"/>
              </w:rPr>
              <w:t>Východoslovenský</w:t>
            </w:r>
          </w:p>
        </w:tc>
        <w:tc>
          <w:tcPr>
            <w:tcW w:w="1456" w:type="dxa"/>
            <w:vMerge w:val="restart"/>
            <w:shd w:val="clear" w:color="auto" w:fill="auto"/>
            <w:vAlign w:val="center"/>
            <w:hideMark/>
          </w:tcPr>
          <w:p w:rsidR="00685184" w:rsidRPr="0091560A" w:rsidRDefault="00685184" w:rsidP="00685184">
            <w:pPr>
              <w:jc w:val="center"/>
              <w:rPr>
                <w:rFonts w:ascii="Arial" w:hAnsi="Arial" w:cs="Arial"/>
                <w:sz w:val="18"/>
                <w:szCs w:val="20"/>
              </w:rPr>
            </w:pPr>
            <w:r w:rsidRPr="0091560A">
              <w:rPr>
                <w:rFonts w:ascii="Arial" w:hAnsi="Arial" w:cs="Arial"/>
                <w:sz w:val="18"/>
                <w:szCs w:val="20"/>
              </w:rPr>
              <w:t>64 800 000</w:t>
            </w:r>
          </w:p>
        </w:tc>
        <w:tc>
          <w:tcPr>
            <w:tcW w:w="1456" w:type="dxa"/>
            <w:vMerge w:val="restart"/>
            <w:shd w:val="clear" w:color="auto" w:fill="auto"/>
            <w:vAlign w:val="center"/>
            <w:hideMark/>
          </w:tcPr>
          <w:p w:rsidR="00685184" w:rsidRPr="0091560A" w:rsidRDefault="00685184" w:rsidP="00685184">
            <w:pPr>
              <w:jc w:val="center"/>
              <w:rPr>
                <w:rFonts w:ascii="Arial" w:hAnsi="Arial" w:cs="Arial"/>
                <w:sz w:val="18"/>
                <w:szCs w:val="20"/>
              </w:rPr>
            </w:pPr>
            <w:r w:rsidRPr="0091560A">
              <w:rPr>
                <w:rFonts w:ascii="Arial" w:hAnsi="Arial" w:cs="Arial"/>
                <w:sz w:val="18"/>
                <w:szCs w:val="20"/>
              </w:rPr>
              <w:t>81,97%</w:t>
            </w:r>
          </w:p>
        </w:tc>
        <w:tc>
          <w:tcPr>
            <w:tcW w:w="1298" w:type="dxa"/>
            <w:vMerge w:val="restart"/>
            <w:shd w:val="clear" w:color="auto" w:fill="auto"/>
            <w:vAlign w:val="center"/>
            <w:hideMark/>
          </w:tcPr>
          <w:p w:rsidR="00685184" w:rsidRPr="0091560A" w:rsidRDefault="00685184" w:rsidP="00685184">
            <w:pPr>
              <w:jc w:val="center"/>
              <w:rPr>
                <w:rFonts w:ascii="Arial" w:hAnsi="Arial" w:cs="Arial"/>
                <w:sz w:val="18"/>
                <w:szCs w:val="20"/>
              </w:rPr>
            </w:pPr>
            <w:r w:rsidRPr="0091560A">
              <w:rPr>
                <w:rFonts w:ascii="Arial" w:hAnsi="Arial" w:cs="Arial"/>
                <w:sz w:val="18"/>
                <w:szCs w:val="20"/>
              </w:rPr>
              <w:t>53 115 298</w:t>
            </w:r>
          </w:p>
        </w:tc>
        <w:tc>
          <w:tcPr>
            <w:tcW w:w="1495" w:type="dxa"/>
            <w:vMerge w:val="restart"/>
            <w:shd w:val="clear" w:color="auto" w:fill="auto"/>
            <w:vAlign w:val="center"/>
            <w:hideMark/>
          </w:tcPr>
          <w:p w:rsidR="00685184" w:rsidRPr="0091560A" w:rsidRDefault="00685184" w:rsidP="00685184">
            <w:pPr>
              <w:jc w:val="center"/>
              <w:rPr>
                <w:rFonts w:ascii="Arial" w:hAnsi="Arial" w:cs="Arial"/>
                <w:sz w:val="18"/>
                <w:szCs w:val="20"/>
              </w:rPr>
            </w:pPr>
            <w:r w:rsidRPr="0091560A">
              <w:rPr>
                <w:rFonts w:ascii="Arial" w:hAnsi="Arial" w:cs="Arial"/>
                <w:sz w:val="18"/>
                <w:szCs w:val="20"/>
              </w:rPr>
              <w:t>39,12%</w:t>
            </w:r>
          </w:p>
        </w:tc>
        <w:tc>
          <w:tcPr>
            <w:tcW w:w="1196" w:type="dxa"/>
            <w:vMerge w:val="restart"/>
            <w:shd w:val="clear" w:color="auto" w:fill="auto"/>
            <w:vAlign w:val="center"/>
            <w:hideMark/>
          </w:tcPr>
          <w:p w:rsidR="00685184" w:rsidRPr="0091560A" w:rsidRDefault="00685184" w:rsidP="00685184">
            <w:pPr>
              <w:jc w:val="center"/>
              <w:rPr>
                <w:rFonts w:ascii="Arial" w:hAnsi="Arial" w:cs="Arial"/>
                <w:sz w:val="18"/>
                <w:szCs w:val="20"/>
              </w:rPr>
            </w:pPr>
            <w:r w:rsidRPr="0091560A">
              <w:rPr>
                <w:rFonts w:ascii="Arial" w:hAnsi="Arial" w:cs="Arial"/>
                <w:sz w:val="18"/>
                <w:szCs w:val="20"/>
              </w:rPr>
              <w:t>81,97%</w:t>
            </w:r>
          </w:p>
        </w:tc>
      </w:tr>
      <w:tr w:rsidR="00685184" w:rsidRPr="0091560A" w:rsidTr="00685184">
        <w:trPr>
          <w:trHeight w:val="265"/>
        </w:trPr>
        <w:tc>
          <w:tcPr>
            <w:tcW w:w="760" w:type="dxa"/>
            <w:vMerge/>
            <w:vAlign w:val="center"/>
            <w:hideMark/>
          </w:tcPr>
          <w:p w:rsidR="00685184" w:rsidRPr="0091560A" w:rsidRDefault="00685184" w:rsidP="00685184">
            <w:pPr>
              <w:rPr>
                <w:rFonts w:ascii="Arial" w:hAnsi="Arial" w:cs="Arial"/>
                <w:sz w:val="18"/>
                <w:szCs w:val="20"/>
              </w:rPr>
            </w:pPr>
          </w:p>
        </w:tc>
        <w:tc>
          <w:tcPr>
            <w:tcW w:w="1563" w:type="dxa"/>
            <w:vMerge/>
            <w:vAlign w:val="center"/>
            <w:hideMark/>
          </w:tcPr>
          <w:p w:rsidR="00685184" w:rsidRPr="0091560A" w:rsidRDefault="00685184" w:rsidP="00685184">
            <w:pPr>
              <w:rPr>
                <w:rFonts w:ascii="Arial" w:hAnsi="Arial" w:cs="Arial"/>
                <w:sz w:val="18"/>
                <w:szCs w:val="20"/>
              </w:rPr>
            </w:pPr>
          </w:p>
        </w:tc>
        <w:tc>
          <w:tcPr>
            <w:tcW w:w="1456" w:type="dxa"/>
            <w:vMerge/>
            <w:vAlign w:val="center"/>
            <w:hideMark/>
          </w:tcPr>
          <w:p w:rsidR="00685184" w:rsidRPr="0091560A" w:rsidRDefault="00685184" w:rsidP="00685184">
            <w:pPr>
              <w:rPr>
                <w:rFonts w:ascii="Arial" w:hAnsi="Arial" w:cs="Arial"/>
                <w:sz w:val="18"/>
                <w:szCs w:val="20"/>
              </w:rPr>
            </w:pPr>
          </w:p>
        </w:tc>
        <w:tc>
          <w:tcPr>
            <w:tcW w:w="1456" w:type="dxa"/>
            <w:vMerge/>
            <w:vAlign w:val="center"/>
            <w:hideMark/>
          </w:tcPr>
          <w:p w:rsidR="00685184" w:rsidRPr="0091560A" w:rsidRDefault="00685184" w:rsidP="00685184">
            <w:pPr>
              <w:rPr>
                <w:rFonts w:ascii="Arial" w:hAnsi="Arial" w:cs="Arial"/>
                <w:sz w:val="18"/>
                <w:szCs w:val="20"/>
              </w:rPr>
            </w:pPr>
          </w:p>
        </w:tc>
        <w:tc>
          <w:tcPr>
            <w:tcW w:w="1298" w:type="dxa"/>
            <w:vMerge/>
            <w:vAlign w:val="center"/>
            <w:hideMark/>
          </w:tcPr>
          <w:p w:rsidR="00685184" w:rsidRPr="0091560A" w:rsidRDefault="00685184" w:rsidP="00685184">
            <w:pPr>
              <w:rPr>
                <w:rFonts w:ascii="Arial" w:hAnsi="Arial" w:cs="Arial"/>
                <w:sz w:val="18"/>
                <w:szCs w:val="20"/>
              </w:rPr>
            </w:pPr>
          </w:p>
        </w:tc>
        <w:tc>
          <w:tcPr>
            <w:tcW w:w="1495" w:type="dxa"/>
            <w:vMerge/>
            <w:vAlign w:val="center"/>
            <w:hideMark/>
          </w:tcPr>
          <w:p w:rsidR="00685184" w:rsidRPr="0091560A" w:rsidRDefault="00685184" w:rsidP="00685184">
            <w:pPr>
              <w:rPr>
                <w:rFonts w:ascii="Arial" w:hAnsi="Arial" w:cs="Arial"/>
                <w:sz w:val="18"/>
                <w:szCs w:val="20"/>
              </w:rPr>
            </w:pPr>
          </w:p>
        </w:tc>
        <w:tc>
          <w:tcPr>
            <w:tcW w:w="1196" w:type="dxa"/>
            <w:vMerge/>
            <w:vAlign w:val="center"/>
            <w:hideMark/>
          </w:tcPr>
          <w:p w:rsidR="00685184" w:rsidRPr="0091560A" w:rsidRDefault="00685184" w:rsidP="00685184">
            <w:pPr>
              <w:rPr>
                <w:rFonts w:ascii="Arial" w:hAnsi="Arial" w:cs="Arial"/>
                <w:sz w:val="18"/>
                <w:szCs w:val="20"/>
              </w:rPr>
            </w:pPr>
          </w:p>
        </w:tc>
      </w:tr>
      <w:tr w:rsidR="00685184" w:rsidRPr="0091560A" w:rsidTr="00685184">
        <w:trPr>
          <w:trHeight w:val="265"/>
        </w:trPr>
        <w:tc>
          <w:tcPr>
            <w:tcW w:w="760" w:type="dxa"/>
            <w:vMerge/>
            <w:vAlign w:val="center"/>
            <w:hideMark/>
          </w:tcPr>
          <w:p w:rsidR="00685184" w:rsidRPr="0091560A" w:rsidRDefault="00685184" w:rsidP="00685184">
            <w:pPr>
              <w:rPr>
                <w:rFonts w:ascii="Arial" w:hAnsi="Arial" w:cs="Arial"/>
                <w:sz w:val="18"/>
                <w:szCs w:val="20"/>
              </w:rPr>
            </w:pPr>
          </w:p>
        </w:tc>
        <w:tc>
          <w:tcPr>
            <w:tcW w:w="1563" w:type="dxa"/>
            <w:shd w:val="clear" w:color="auto" w:fill="auto"/>
            <w:hideMark/>
          </w:tcPr>
          <w:p w:rsidR="00685184" w:rsidRPr="0091560A" w:rsidRDefault="00685184" w:rsidP="00685184">
            <w:pPr>
              <w:jc w:val="center"/>
              <w:rPr>
                <w:rFonts w:ascii="Arial" w:hAnsi="Arial" w:cs="Arial"/>
                <w:b/>
                <w:bCs/>
                <w:sz w:val="18"/>
                <w:szCs w:val="20"/>
              </w:rPr>
            </w:pPr>
          </w:p>
        </w:tc>
        <w:tc>
          <w:tcPr>
            <w:tcW w:w="1456" w:type="dxa"/>
            <w:shd w:val="clear" w:color="auto" w:fill="auto"/>
            <w:hideMark/>
          </w:tcPr>
          <w:p w:rsidR="00685184" w:rsidRPr="0091560A" w:rsidRDefault="00685184" w:rsidP="00685184">
            <w:pPr>
              <w:jc w:val="center"/>
              <w:rPr>
                <w:rFonts w:ascii="Arial" w:hAnsi="Arial" w:cs="Arial"/>
                <w:b/>
                <w:bCs/>
                <w:sz w:val="18"/>
                <w:szCs w:val="20"/>
              </w:rPr>
            </w:pPr>
            <w:r w:rsidRPr="0091560A">
              <w:rPr>
                <w:rFonts w:ascii="Arial" w:hAnsi="Arial" w:cs="Arial"/>
                <w:b/>
                <w:bCs/>
                <w:sz w:val="18"/>
                <w:szCs w:val="20"/>
              </w:rPr>
              <w:t>180 000 000</w:t>
            </w:r>
          </w:p>
        </w:tc>
        <w:tc>
          <w:tcPr>
            <w:tcW w:w="1456" w:type="dxa"/>
            <w:shd w:val="clear" w:color="000000" w:fill="BFBFBF"/>
            <w:hideMark/>
          </w:tcPr>
          <w:p w:rsidR="00685184" w:rsidRPr="0091560A" w:rsidRDefault="00685184" w:rsidP="00685184">
            <w:pPr>
              <w:jc w:val="center"/>
              <w:rPr>
                <w:rFonts w:ascii="Arial" w:hAnsi="Arial" w:cs="Arial"/>
                <w:b/>
                <w:bCs/>
                <w:sz w:val="18"/>
                <w:szCs w:val="20"/>
              </w:rPr>
            </w:pPr>
          </w:p>
        </w:tc>
        <w:tc>
          <w:tcPr>
            <w:tcW w:w="1298" w:type="dxa"/>
            <w:shd w:val="clear" w:color="auto" w:fill="auto"/>
            <w:hideMark/>
          </w:tcPr>
          <w:p w:rsidR="00685184" w:rsidRPr="0091560A" w:rsidRDefault="00685184" w:rsidP="00685184">
            <w:pPr>
              <w:jc w:val="center"/>
              <w:rPr>
                <w:rFonts w:ascii="Arial" w:hAnsi="Arial" w:cs="Arial"/>
                <w:b/>
                <w:bCs/>
                <w:sz w:val="18"/>
                <w:szCs w:val="20"/>
              </w:rPr>
            </w:pPr>
            <w:r w:rsidRPr="0091560A">
              <w:rPr>
                <w:rFonts w:ascii="Arial" w:hAnsi="Arial" w:cs="Arial"/>
                <w:b/>
                <w:bCs/>
                <w:sz w:val="18"/>
                <w:szCs w:val="20"/>
              </w:rPr>
              <w:t>135 767 403</w:t>
            </w:r>
          </w:p>
        </w:tc>
        <w:tc>
          <w:tcPr>
            <w:tcW w:w="1495" w:type="dxa"/>
            <w:shd w:val="clear" w:color="auto" w:fill="auto"/>
            <w:hideMark/>
          </w:tcPr>
          <w:p w:rsidR="00685184" w:rsidRPr="0091560A" w:rsidRDefault="00685184" w:rsidP="00685184">
            <w:pPr>
              <w:jc w:val="center"/>
              <w:rPr>
                <w:rFonts w:ascii="Arial" w:hAnsi="Arial" w:cs="Arial"/>
                <w:b/>
                <w:bCs/>
                <w:sz w:val="18"/>
                <w:szCs w:val="20"/>
              </w:rPr>
            </w:pPr>
            <w:r w:rsidRPr="0091560A">
              <w:rPr>
                <w:rFonts w:ascii="Arial" w:hAnsi="Arial" w:cs="Arial"/>
                <w:b/>
                <w:bCs/>
                <w:sz w:val="18"/>
                <w:szCs w:val="20"/>
              </w:rPr>
              <w:t>100,00%</w:t>
            </w:r>
          </w:p>
        </w:tc>
        <w:tc>
          <w:tcPr>
            <w:tcW w:w="1196" w:type="dxa"/>
            <w:shd w:val="clear" w:color="auto" w:fill="auto"/>
            <w:hideMark/>
          </w:tcPr>
          <w:p w:rsidR="00685184" w:rsidRPr="0091560A" w:rsidRDefault="00685184" w:rsidP="00685184">
            <w:pPr>
              <w:jc w:val="center"/>
              <w:rPr>
                <w:rFonts w:ascii="Arial" w:hAnsi="Arial" w:cs="Arial"/>
                <w:b/>
                <w:bCs/>
                <w:sz w:val="18"/>
                <w:szCs w:val="20"/>
              </w:rPr>
            </w:pPr>
            <w:r w:rsidRPr="0091560A">
              <w:rPr>
                <w:rFonts w:ascii="Arial" w:hAnsi="Arial" w:cs="Arial"/>
                <w:b/>
                <w:bCs/>
                <w:sz w:val="18"/>
                <w:szCs w:val="20"/>
              </w:rPr>
              <w:t>75,43%</w:t>
            </w:r>
          </w:p>
        </w:tc>
      </w:tr>
      <w:tr w:rsidR="00685184" w:rsidRPr="0091560A" w:rsidTr="00685184">
        <w:trPr>
          <w:trHeight w:val="265"/>
        </w:trPr>
        <w:tc>
          <w:tcPr>
            <w:tcW w:w="760" w:type="dxa"/>
            <w:vMerge w:val="restart"/>
            <w:shd w:val="clear" w:color="auto" w:fill="auto"/>
            <w:vAlign w:val="center"/>
            <w:hideMark/>
          </w:tcPr>
          <w:p w:rsidR="00685184" w:rsidRPr="0091560A" w:rsidRDefault="00685184" w:rsidP="00685184">
            <w:pPr>
              <w:jc w:val="center"/>
              <w:rPr>
                <w:rFonts w:ascii="Arial" w:hAnsi="Arial" w:cs="Arial"/>
                <w:sz w:val="18"/>
                <w:szCs w:val="20"/>
              </w:rPr>
            </w:pPr>
            <w:r w:rsidRPr="0091560A">
              <w:rPr>
                <w:rFonts w:ascii="Arial" w:hAnsi="Arial" w:cs="Arial"/>
                <w:sz w:val="18"/>
                <w:szCs w:val="20"/>
              </w:rPr>
              <w:t>PO 4</w:t>
            </w:r>
          </w:p>
        </w:tc>
        <w:tc>
          <w:tcPr>
            <w:tcW w:w="1563" w:type="dxa"/>
            <w:shd w:val="clear" w:color="auto" w:fill="auto"/>
            <w:vAlign w:val="center"/>
            <w:hideMark/>
          </w:tcPr>
          <w:p w:rsidR="00685184" w:rsidRPr="0091560A" w:rsidRDefault="00685184" w:rsidP="00685184">
            <w:pPr>
              <w:jc w:val="center"/>
              <w:rPr>
                <w:rFonts w:ascii="Arial" w:hAnsi="Arial" w:cs="Arial"/>
                <w:sz w:val="18"/>
                <w:szCs w:val="20"/>
              </w:rPr>
            </w:pPr>
            <w:r w:rsidRPr="0091560A">
              <w:rPr>
                <w:rFonts w:ascii="Arial" w:hAnsi="Arial" w:cs="Arial"/>
                <w:sz w:val="18"/>
                <w:szCs w:val="20"/>
              </w:rPr>
              <w:t>Bratislavský</w:t>
            </w:r>
          </w:p>
        </w:tc>
        <w:tc>
          <w:tcPr>
            <w:tcW w:w="1456" w:type="dxa"/>
            <w:shd w:val="clear" w:color="auto" w:fill="auto"/>
            <w:vAlign w:val="center"/>
            <w:hideMark/>
          </w:tcPr>
          <w:p w:rsidR="00685184" w:rsidRPr="0091560A" w:rsidRDefault="00685184" w:rsidP="00685184">
            <w:pPr>
              <w:jc w:val="center"/>
              <w:rPr>
                <w:rFonts w:ascii="Arial" w:hAnsi="Arial" w:cs="Arial"/>
                <w:sz w:val="18"/>
                <w:szCs w:val="20"/>
              </w:rPr>
            </w:pPr>
            <w:r w:rsidRPr="0091560A">
              <w:rPr>
                <w:rFonts w:ascii="Arial" w:hAnsi="Arial" w:cs="Arial"/>
                <w:sz w:val="18"/>
                <w:szCs w:val="20"/>
              </w:rPr>
              <w:t>56 163 750</w:t>
            </w:r>
          </w:p>
        </w:tc>
        <w:tc>
          <w:tcPr>
            <w:tcW w:w="1456" w:type="dxa"/>
            <w:shd w:val="clear" w:color="auto" w:fill="auto"/>
            <w:vAlign w:val="center"/>
            <w:hideMark/>
          </w:tcPr>
          <w:p w:rsidR="00685184" w:rsidRPr="0091560A" w:rsidRDefault="00685184" w:rsidP="00685184">
            <w:pPr>
              <w:jc w:val="center"/>
              <w:rPr>
                <w:rFonts w:ascii="Arial" w:hAnsi="Arial" w:cs="Arial"/>
                <w:sz w:val="18"/>
                <w:szCs w:val="20"/>
              </w:rPr>
            </w:pPr>
            <w:r w:rsidRPr="0091560A">
              <w:rPr>
                <w:rFonts w:ascii="Arial" w:hAnsi="Arial" w:cs="Arial"/>
                <w:sz w:val="18"/>
                <w:szCs w:val="20"/>
              </w:rPr>
              <w:t>2,90%</w:t>
            </w:r>
          </w:p>
        </w:tc>
        <w:tc>
          <w:tcPr>
            <w:tcW w:w="1298" w:type="dxa"/>
            <w:shd w:val="clear" w:color="auto" w:fill="auto"/>
            <w:vAlign w:val="center"/>
            <w:hideMark/>
          </w:tcPr>
          <w:p w:rsidR="00685184" w:rsidRPr="0091560A" w:rsidRDefault="00685184" w:rsidP="00685184">
            <w:pPr>
              <w:jc w:val="center"/>
              <w:rPr>
                <w:rFonts w:ascii="Arial" w:hAnsi="Arial" w:cs="Arial"/>
                <w:sz w:val="18"/>
                <w:szCs w:val="20"/>
              </w:rPr>
            </w:pPr>
            <w:r w:rsidRPr="0091560A">
              <w:rPr>
                <w:rFonts w:ascii="Arial" w:hAnsi="Arial" w:cs="Arial"/>
                <w:sz w:val="18"/>
                <w:szCs w:val="20"/>
              </w:rPr>
              <w:t>1 630 524</w:t>
            </w:r>
          </w:p>
        </w:tc>
        <w:tc>
          <w:tcPr>
            <w:tcW w:w="1495" w:type="dxa"/>
            <w:shd w:val="clear" w:color="auto" w:fill="auto"/>
            <w:vAlign w:val="center"/>
            <w:hideMark/>
          </w:tcPr>
          <w:p w:rsidR="00685184" w:rsidRPr="0091560A" w:rsidRDefault="00685184" w:rsidP="00685184">
            <w:pPr>
              <w:jc w:val="center"/>
              <w:rPr>
                <w:rFonts w:ascii="Arial" w:hAnsi="Arial" w:cs="Arial"/>
                <w:sz w:val="18"/>
                <w:szCs w:val="20"/>
              </w:rPr>
            </w:pPr>
            <w:r w:rsidRPr="0091560A">
              <w:rPr>
                <w:rFonts w:ascii="Arial" w:hAnsi="Arial" w:cs="Arial"/>
                <w:sz w:val="18"/>
                <w:szCs w:val="20"/>
              </w:rPr>
              <w:t>0,57%</w:t>
            </w:r>
          </w:p>
        </w:tc>
        <w:tc>
          <w:tcPr>
            <w:tcW w:w="1196" w:type="dxa"/>
            <w:shd w:val="clear" w:color="auto" w:fill="auto"/>
            <w:vAlign w:val="center"/>
            <w:hideMark/>
          </w:tcPr>
          <w:p w:rsidR="00685184" w:rsidRPr="0091560A" w:rsidRDefault="00685184" w:rsidP="00685184">
            <w:pPr>
              <w:jc w:val="center"/>
              <w:rPr>
                <w:rFonts w:ascii="Arial" w:hAnsi="Arial" w:cs="Arial"/>
                <w:sz w:val="18"/>
                <w:szCs w:val="20"/>
              </w:rPr>
            </w:pPr>
            <w:r w:rsidRPr="0091560A">
              <w:rPr>
                <w:rFonts w:ascii="Arial" w:hAnsi="Arial" w:cs="Arial"/>
                <w:sz w:val="18"/>
                <w:szCs w:val="20"/>
              </w:rPr>
              <w:t>2,90%</w:t>
            </w:r>
          </w:p>
        </w:tc>
      </w:tr>
      <w:tr w:rsidR="00685184" w:rsidRPr="0091560A" w:rsidTr="00685184">
        <w:trPr>
          <w:trHeight w:hRule="exact" w:val="116"/>
        </w:trPr>
        <w:tc>
          <w:tcPr>
            <w:tcW w:w="760" w:type="dxa"/>
            <w:vMerge/>
            <w:vAlign w:val="center"/>
            <w:hideMark/>
          </w:tcPr>
          <w:p w:rsidR="00685184" w:rsidRPr="0091560A" w:rsidRDefault="00685184" w:rsidP="00685184">
            <w:pPr>
              <w:rPr>
                <w:rFonts w:ascii="Arial" w:hAnsi="Arial" w:cs="Arial"/>
                <w:sz w:val="18"/>
                <w:szCs w:val="20"/>
              </w:rPr>
            </w:pPr>
          </w:p>
        </w:tc>
        <w:tc>
          <w:tcPr>
            <w:tcW w:w="1563" w:type="dxa"/>
            <w:vMerge w:val="restart"/>
            <w:shd w:val="clear" w:color="auto" w:fill="auto"/>
            <w:vAlign w:val="center"/>
            <w:hideMark/>
          </w:tcPr>
          <w:p w:rsidR="00685184" w:rsidRPr="0091560A" w:rsidRDefault="00685184" w:rsidP="00685184">
            <w:pPr>
              <w:jc w:val="center"/>
              <w:rPr>
                <w:rFonts w:ascii="Arial" w:hAnsi="Arial" w:cs="Arial"/>
                <w:sz w:val="18"/>
                <w:szCs w:val="20"/>
              </w:rPr>
            </w:pPr>
            <w:r w:rsidRPr="0091560A">
              <w:rPr>
                <w:rFonts w:ascii="Arial" w:hAnsi="Arial" w:cs="Arial"/>
                <w:sz w:val="18"/>
                <w:szCs w:val="20"/>
              </w:rPr>
              <w:t>Západoslovenský</w:t>
            </w:r>
          </w:p>
        </w:tc>
        <w:tc>
          <w:tcPr>
            <w:tcW w:w="1456" w:type="dxa"/>
            <w:vMerge w:val="restart"/>
            <w:shd w:val="clear" w:color="auto" w:fill="auto"/>
            <w:vAlign w:val="center"/>
            <w:hideMark/>
          </w:tcPr>
          <w:p w:rsidR="00685184" w:rsidRPr="0091560A" w:rsidRDefault="00685184" w:rsidP="00685184">
            <w:pPr>
              <w:jc w:val="center"/>
              <w:rPr>
                <w:rFonts w:ascii="Arial" w:hAnsi="Arial" w:cs="Arial"/>
                <w:sz w:val="18"/>
                <w:szCs w:val="20"/>
              </w:rPr>
            </w:pPr>
            <w:r w:rsidRPr="0091560A">
              <w:rPr>
                <w:rFonts w:ascii="Arial" w:hAnsi="Arial" w:cs="Arial"/>
                <w:sz w:val="18"/>
                <w:szCs w:val="20"/>
              </w:rPr>
              <w:t>192 684 500</w:t>
            </w:r>
          </w:p>
        </w:tc>
        <w:tc>
          <w:tcPr>
            <w:tcW w:w="1456" w:type="dxa"/>
            <w:vMerge w:val="restart"/>
            <w:shd w:val="clear" w:color="auto" w:fill="auto"/>
            <w:vAlign w:val="center"/>
            <w:hideMark/>
          </w:tcPr>
          <w:p w:rsidR="00685184" w:rsidRPr="0091560A" w:rsidRDefault="00685184" w:rsidP="00685184">
            <w:pPr>
              <w:jc w:val="center"/>
              <w:rPr>
                <w:rFonts w:ascii="Arial" w:hAnsi="Arial" w:cs="Arial"/>
                <w:sz w:val="18"/>
                <w:szCs w:val="20"/>
              </w:rPr>
            </w:pPr>
            <w:r w:rsidRPr="0091560A">
              <w:rPr>
                <w:rFonts w:ascii="Arial" w:hAnsi="Arial" w:cs="Arial"/>
                <w:sz w:val="18"/>
                <w:szCs w:val="20"/>
              </w:rPr>
              <w:t>55,78%</w:t>
            </w:r>
          </w:p>
        </w:tc>
        <w:tc>
          <w:tcPr>
            <w:tcW w:w="1298" w:type="dxa"/>
            <w:vMerge w:val="restart"/>
            <w:shd w:val="clear" w:color="auto" w:fill="auto"/>
            <w:vAlign w:val="center"/>
            <w:hideMark/>
          </w:tcPr>
          <w:p w:rsidR="00685184" w:rsidRPr="0091560A" w:rsidRDefault="00685184" w:rsidP="00685184">
            <w:pPr>
              <w:jc w:val="center"/>
              <w:rPr>
                <w:rFonts w:ascii="Arial" w:hAnsi="Arial" w:cs="Arial"/>
                <w:sz w:val="18"/>
                <w:szCs w:val="20"/>
              </w:rPr>
            </w:pPr>
            <w:r w:rsidRPr="0091560A">
              <w:rPr>
                <w:rFonts w:ascii="Arial" w:hAnsi="Arial" w:cs="Arial"/>
                <w:sz w:val="18"/>
                <w:szCs w:val="20"/>
              </w:rPr>
              <w:t>107 473 859</w:t>
            </w:r>
          </w:p>
        </w:tc>
        <w:tc>
          <w:tcPr>
            <w:tcW w:w="1495" w:type="dxa"/>
            <w:vMerge w:val="restart"/>
            <w:shd w:val="clear" w:color="auto" w:fill="auto"/>
            <w:vAlign w:val="center"/>
            <w:hideMark/>
          </w:tcPr>
          <w:p w:rsidR="00685184" w:rsidRPr="0091560A" w:rsidRDefault="00685184" w:rsidP="00685184">
            <w:pPr>
              <w:jc w:val="center"/>
              <w:rPr>
                <w:rFonts w:ascii="Arial" w:hAnsi="Arial" w:cs="Arial"/>
                <w:sz w:val="18"/>
                <w:szCs w:val="20"/>
              </w:rPr>
            </w:pPr>
            <w:r w:rsidRPr="0091560A">
              <w:rPr>
                <w:rFonts w:ascii="Arial" w:hAnsi="Arial" w:cs="Arial"/>
                <w:sz w:val="18"/>
                <w:szCs w:val="20"/>
              </w:rPr>
              <w:t>37,44%</w:t>
            </w:r>
          </w:p>
        </w:tc>
        <w:tc>
          <w:tcPr>
            <w:tcW w:w="1196" w:type="dxa"/>
            <w:vMerge w:val="restart"/>
            <w:shd w:val="clear" w:color="auto" w:fill="auto"/>
            <w:vAlign w:val="center"/>
            <w:hideMark/>
          </w:tcPr>
          <w:p w:rsidR="00685184" w:rsidRPr="0091560A" w:rsidRDefault="00685184" w:rsidP="00685184">
            <w:pPr>
              <w:jc w:val="center"/>
              <w:rPr>
                <w:rFonts w:ascii="Arial" w:hAnsi="Arial" w:cs="Arial"/>
                <w:sz w:val="18"/>
                <w:szCs w:val="20"/>
              </w:rPr>
            </w:pPr>
            <w:r w:rsidRPr="0091560A">
              <w:rPr>
                <w:rFonts w:ascii="Arial" w:hAnsi="Arial" w:cs="Arial"/>
                <w:sz w:val="18"/>
                <w:szCs w:val="20"/>
              </w:rPr>
              <w:t>55,78%</w:t>
            </w:r>
          </w:p>
        </w:tc>
      </w:tr>
      <w:tr w:rsidR="00685184" w:rsidRPr="0091560A" w:rsidTr="00685184">
        <w:trPr>
          <w:trHeight w:hRule="exact" w:val="116"/>
        </w:trPr>
        <w:tc>
          <w:tcPr>
            <w:tcW w:w="760" w:type="dxa"/>
            <w:vMerge/>
            <w:vAlign w:val="center"/>
            <w:hideMark/>
          </w:tcPr>
          <w:p w:rsidR="00685184" w:rsidRPr="0091560A" w:rsidRDefault="00685184" w:rsidP="00685184">
            <w:pPr>
              <w:rPr>
                <w:rFonts w:ascii="Arial" w:hAnsi="Arial" w:cs="Arial"/>
                <w:sz w:val="18"/>
                <w:szCs w:val="20"/>
              </w:rPr>
            </w:pPr>
          </w:p>
        </w:tc>
        <w:tc>
          <w:tcPr>
            <w:tcW w:w="1563" w:type="dxa"/>
            <w:vMerge/>
            <w:vAlign w:val="center"/>
            <w:hideMark/>
          </w:tcPr>
          <w:p w:rsidR="00685184" w:rsidRPr="0091560A" w:rsidRDefault="00685184" w:rsidP="00685184">
            <w:pPr>
              <w:rPr>
                <w:rFonts w:ascii="Arial" w:hAnsi="Arial" w:cs="Arial"/>
                <w:sz w:val="18"/>
                <w:szCs w:val="20"/>
              </w:rPr>
            </w:pPr>
          </w:p>
        </w:tc>
        <w:tc>
          <w:tcPr>
            <w:tcW w:w="1456" w:type="dxa"/>
            <w:vMerge/>
            <w:vAlign w:val="center"/>
            <w:hideMark/>
          </w:tcPr>
          <w:p w:rsidR="00685184" w:rsidRPr="0091560A" w:rsidRDefault="00685184" w:rsidP="00685184">
            <w:pPr>
              <w:rPr>
                <w:rFonts w:ascii="Arial" w:hAnsi="Arial" w:cs="Arial"/>
                <w:sz w:val="18"/>
                <w:szCs w:val="20"/>
              </w:rPr>
            </w:pPr>
          </w:p>
        </w:tc>
        <w:tc>
          <w:tcPr>
            <w:tcW w:w="1456" w:type="dxa"/>
            <w:vMerge/>
            <w:vAlign w:val="center"/>
            <w:hideMark/>
          </w:tcPr>
          <w:p w:rsidR="00685184" w:rsidRPr="0091560A" w:rsidRDefault="00685184" w:rsidP="00685184">
            <w:pPr>
              <w:rPr>
                <w:rFonts w:ascii="Arial" w:hAnsi="Arial" w:cs="Arial"/>
                <w:sz w:val="18"/>
                <w:szCs w:val="20"/>
              </w:rPr>
            </w:pPr>
          </w:p>
        </w:tc>
        <w:tc>
          <w:tcPr>
            <w:tcW w:w="1298" w:type="dxa"/>
            <w:vMerge/>
            <w:vAlign w:val="center"/>
            <w:hideMark/>
          </w:tcPr>
          <w:p w:rsidR="00685184" w:rsidRPr="0091560A" w:rsidRDefault="00685184" w:rsidP="00685184">
            <w:pPr>
              <w:rPr>
                <w:rFonts w:ascii="Arial" w:hAnsi="Arial" w:cs="Arial"/>
                <w:sz w:val="18"/>
                <w:szCs w:val="20"/>
              </w:rPr>
            </w:pPr>
          </w:p>
        </w:tc>
        <w:tc>
          <w:tcPr>
            <w:tcW w:w="1495" w:type="dxa"/>
            <w:vMerge/>
            <w:vAlign w:val="center"/>
            <w:hideMark/>
          </w:tcPr>
          <w:p w:rsidR="00685184" w:rsidRPr="0091560A" w:rsidRDefault="00685184" w:rsidP="00685184">
            <w:pPr>
              <w:rPr>
                <w:rFonts w:ascii="Arial" w:hAnsi="Arial" w:cs="Arial"/>
                <w:sz w:val="18"/>
                <w:szCs w:val="20"/>
              </w:rPr>
            </w:pPr>
          </w:p>
        </w:tc>
        <w:tc>
          <w:tcPr>
            <w:tcW w:w="1196" w:type="dxa"/>
            <w:vMerge/>
            <w:vAlign w:val="center"/>
            <w:hideMark/>
          </w:tcPr>
          <w:p w:rsidR="00685184" w:rsidRPr="0091560A" w:rsidRDefault="00685184" w:rsidP="00685184">
            <w:pPr>
              <w:rPr>
                <w:rFonts w:ascii="Arial" w:hAnsi="Arial" w:cs="Arial"/>
                <w:sz w:val="18"/>
                <w:szCs w:val="20"/>
              </w:rPr>
            </w:pPr>
          </w:p>
        </w:tc>
      </w:tr>
      <w:tr w:rsidR="00685184" w:rsidRPr="0091560A" w:rsidTr="00685184">
        <w:trPr>
          <w:trHeight w:hRule="exact" w:val="116"/>
        </w:trPr>
        <w:tc>
          <w:tcPr>
            <w:tcW w:w="760" w:type="dxa"/>
            <w:vMerge/>
            <w:vAlign w:val="center"/>
            <w:hideMark/>
          </w:tcPr>
          <w:p w:rsidR="00685184" w:rsidRPr="0091560A" w:rsidRDefault="00685184" w:rsidP="00685184">
            <w:pPr>
              <w:rPr>
                <w:rFonts w:ascii="Arial" w:hAnsi="Arial" w:cs="Arial"/>
                <w:sz w:val="18"/>
                <w:szCs w:val="20"/>
              </w:rPr>
            </w:pPr>
          </w:p>
        </w:tc>
        <w:tc>
          <w:tcPr>
            <w:tcW w:w="1563" w:type="dxa"/>
            <w:vMerge/>
            <w:vAlign w:val="center"/>
            <w:hideMark/>
          </w:tcPr>
          <w:p w:rsidR="00685184" w:rsidRPr="0091560A" w:rsidRDefault="00685184" w:rsidP="00685184">
            <w:pPr>
              <w:rPr>
                <w:rFonts w:ascii="Arial" w:hAnsi="Arial" w:cs="Arial"/>
                <w:sz w:val="18"/>
                <w:szCs w:val="20"/>
              </w:rPr>
            </w:pPr>
          </w:p>
        </w:tc>
        <w:tc>
          <w:tcPr>
            <w:tcW w:w="1456" w:type="dxa"/>
            <w:vMerge/>
            <w:vAlign w:val="center"/>
            <w:hideMark/>
          </w:tcPr>
          <w:p w:rsidR="00685184" w:rsidRPr="0091560A" w:rsidRDefault="00685184" w:rsidP="00685184">
            <w:pPr>
              <w:rPr>
                <w:rFonts w:ascii="Arial" w:hAnsi="Arial" w:cs="Arial"/>
                <w:sz w:val="18"/>
                <w:szCs w:val="20"/>
              </w:rPr>
            </w:pPr>
          </w:p>
        </w:tc>
        <w:tc>
          <w:tcPr>
            <w:tcW w:w="1456" w:type="dxa"/>
            <w:vMerge/>
            <w:vAlign w:val="center"/>
            <w:hideMark/>
          </w:tcPr>
          <w:p w:rsidR="00685184" w:rsidRPr="0091560A" w:rsidRDefault="00685184" w:rsidP="00685184">
            <w:pPr>
              <w:rPr>
                <w:rFonts w:ascii="Arial" w:hAnsi="Arial" w:cs="Arial"/>
                <w:sz w:val="18"/>
                <w:szCs w:val="20"/>
              </w:rPr>
            </w:pPr>
          </w:p>
        </w:tc>
        <w:tc>
          <w:tcPr>
            <w:tcW w:w="1298" w:type="dxa"/>
            <w:vMerge/>
            <w:vAlign w:val="center"/>
            <w:hideMark/>
          </w:tcPr>
          <w:p w:rsidR="00685184" w:rsidRPr="0091560A" w:rsidRDefault="00685184" w:rsidP="00685184">
            <w:pPr>
              <w:rPr>
                <w:rFonts w:ascii="Arial" w:hAnsi="Arial" w:cs="Arial"/>
                <w:sz w:val="18"/>
                <w:szCs w:val="20"/>
              </w:rPr>
            </w:pPr>
          </w:p>
        </w:tc>
        <w:tc>
          <w:tcPr>
            <w:tcW w:w="1495" w:type="dxa"/>
            <w:vMerge/>
            <w:vAlign w:val="center"/>
            <w:hideMark/>
          </w:tcPr>
          <w:p w:rsidR="00685184" w:rsidRPr="0091560A" w:rsidRDefault="00685184" w:rsidP="00685184">
            <w:pPr>
              <w:rPr>
                <w:rFonts w:ascii="Arial" w:hAnsi="Arial" w:cs="Arial"/>
                <w:sz w:val="18"/>
                <w:szCs w:val="20"/>
              </w:rPr>
            </w:pPr>
          </w:p>
        </w:tc>
        <w:tc>
          <w:tcPr>
            <w:tcW w:w="1196" w:type="dxa"/>
            <w:vMerge/>
            <w:vAlign w:val="center"/>
            <w:hideMark/>
          </w:tcPr>
          <w:p w:rsidR="00685184" w:rsidRPr="0091560A" w:rsidRDefault="00685184" w:rsidP="00685184">
            <w:pPr>
              <w:rPr>
                <w:rFonts w:ascii="Arial" w:hAnsi="Arial" w:cs="Arial"/>
                <w:sz w:val="18"/>
                <w:szCs w:val="20"/>
              </w:rPr>
            </w:pPr>
          </w:p>
        </w:tc>
      </w:tr>
      <w:tr w:rsidR="00685184" w:rsidRPr="0091560A" w:rsidTr="00685184">
        <w:trPr>
          <w:trHeight w:hRule="exact" w:val="116"/>
        </w:trPr>
        <w:tc>
          <w:tcPr>
            <w:tcW w:w="760" w:type="dxa"/>
            <w:vMerge/>
            <w:vAlign w:val="center"/>
            <w:hideMark/>
          </w:tcPr>
          <w:p w:rsidR="00685184" w:rsidRPr="0091560A" w:rsidRDefault="00685184" w:rsidP="00685184">
            <w:pPr>
              <w:rPr>
                <w:rFonts w:ascii="Arial" w:hAnsi="Arial" w:cs="Arial"/>
                <w:sz w:val="18"/>
                <w:szCs w:val="20"/>
              </w:rPr>
            </w:pPr>
          </w:p>
        </w:tc>
        <w:tc>
          <w:tcPr>
            <w:tcW w:w="1563" w:type="dxa"/>
            <w:vMerge w:val="restart"/>
            <w:shd w:val="clear" w:color="auto" w:fill="auto"/>
            <w:vAlign w:val="center"/>
            <w:hideMark/>
          </w:tcPr>
          <w:p w:rsidR="00685184" w:rsidRPr="0091560A" w:rsidRDefault="00685184" w:rsidP="00685184">
            <w:pPr>
              <w:jc w:val="center"/>
              <w:rPr>
                <w:rFonts w:ascii="Arial" w:hAnsi="Arial" w:cs="Arial"/>
                <w:sz w:val="18"/>
                <w:szCs w:val="20"/>
              </w:rPr>
            </w:pPr>
            <w:r w:rsidRPr="0091560A">
              <w:rPr>
                <w:rFonts w:ascii="Arial" w:hAnsi="Arial" w:cs="Arial"/>
                <w:sz w:val="18"/>
                <w:szCs w:val="20"/>
              </w:rPr>
              <w:t>Stredoslovenský</w:t>
            </w:r>
          </w:p>
        </w:tc>
        <w:tc>
          <w:tcPr>
            <w:tcW w:w="1456" w:type="dxa"/>
            <w:vMerge w:val="restart"/>
            <w:shd w:val="clear" w:color="auto" w:fill="auto"/>
            <w:vAlign w:val="center"/>
            <w:hideMark/>
          </w:tcPr>
          <w:p w:rsidR="00685184" w:rsidRPr="0091560A" w:rsidRDefault="00685184" w:rsidP="00685184">
            <w:pPr>
              <w:jc w:val="center"/>
              <w:rPr>
                <w:rFonts w:ascii="Arial" w:hAnsi="Arial" w:cs="Arial"/>
                <w:sz w:val="18"/>
                <w:szCs w:val="20"/>
              </w:rPr>
            </w:pPr>
            <w:r w:rsidRPr="0091560A">
              <w:rPr>
                <w:rFonts w:ascii="Arial" w:hAnsi="Arial" w:cs="Arial"/>
                <w:sz w:val="18"/>
                <w:szCs w:val="20"/>
              </w:rPr>
              <w:t>96 692 000</w:t>
            </w:r>
          </w:p>
        </w:tc>
        <w:tc>
          <w:tcPr>
            <w:tcW w:w="1456" w:type="dxa"/>
            <w:vMerge w:val="restart"/>
            <w:shd w:val="clear" w:color="auto" w:fill="auto"/>
            <w:vAlign w:val="center"/>
            <w:hideMark/>
          </w:tcPr>
          <w:p w:rsidR="00685184" w:rsidRPr="0091560A" w:rsidRDefault="00685184" w:rsidP="00685184">
            <w:pPr>
              <w:jc w:val="center"/>
              <w:rPr>
                <w:rFonts w:ascii="Arial" w:hAnsi="Arial" w:cs="Arial"/>
                <w:sz w:val="18"/>
                <w:szCs w:val="20"/>
              </w:rPr>
            </w:pPr>
            <w:r w:rsidRPr="0091560A">
              <w:rPr>
                <w:rFonts w:ascii="Arial" w:hAnsi="Arial" w:cs="Arial"/>
                <w:sz w:val="18"/>
                <w:szCs w:val="20"/>
              </w:rPr>
              <w:t>99,10%</w:t>
            </w:r>
          </w:p>
        </w:tc>
        <w:tc>
          <w:tcPr>
            <w:tcW w:w="1298" w:type="dxa"/>
            <w:vMerge w:val="restart"/>
            <w:shd w:val="clear" w:color="auto" w:fill="auto"/>
            <w:vAlign w:val="center"/>
            <w:hideMark/>
          </w:tcPr>
          <w:p w:rsidR="00685184" w:rsidRPr="0091560A" w:rsidRDefault="00685184" w:rsidP="00685184">
            <w:pPr>
              <w:jc w:val="center"/>
              <w:rPr>
                <w:rFonts w:ascii="Arial" w:hAnsi="Arial" w:cs="Arial"/>
                <w:sz w:val="18"/>
                <w:szCs w:val="20"/>
              </w:rPr>
            </w:pPr>
            <w:r w:rsidRPr="0091560A">
              <w:rPr>
                <w:rFonts w:ascii="Arial" w:hAnsi="Arial" w:cs="Arial"/>
                <w:sz w:val="18"/>
                <w:szCs w:val="20"/>
              </w:rPr>
              <w:t>95 825 632</w:t>
            </w:r>
          </w:p>
        </w:tc>
        <w:tc>
          <w:tcPr>
            <w:tcW w:w="1495" w:type="dxa"/>
            <w:vMerge w:val="restart"/>
            <w:shd w:val="clear" w:color="auto" w:fill="auto"/>
            <w:vAlign w:val="center"/>
            <w:hideMark/>
          </w:tcPr>
          <w:p w:rsidR="00685184" w:rsidRPr="0091560A" w:rsidRDefault="00685184" w:rsidP="00685184">
            <w:pPr>
              <w:jc w:val="center"/>
              <w:rPr>
                <w:rFonts w:ascii="Arial" w:hAnsi="Arial" w:cs="Arial"/>
                <w:sz w:val="18"/>
                <w:szCs w:val="20"/>
              </w:rPr>
            </w:pPr>
            <w:r w:rsidRPr="0091560A">
              <w:rPr>
                <w:rFonts w:ascii="Arial" w:hAnsi="Arial" w:cs="Arial"/>
                <w:sz w:val="18"/>
                <w:szCs w:val="20"/>
              </w:rPr>
              <w:t>33,38%</w:t>
            </w:r>
          </w:p>
        </w:tc>
        <w:tc>
          <w:tcPr>
            <w:tcW w:w="1196" w:type="dxa"/>
            <w:vMerge w:val="restart"/>
            <w:shd w:val="clear" w:color="auto" w:fill="auto"/>
            <w:vAlign w:val="center"/>
            <w:hideMark/>
          </w:tcPr>
          <w:p w:rsidR="00685184" w:rsidRPr="0091560A" w:rsidRDefault="00685184" w:rsidP="00685184">
            <w:pPr>
              <w:jc w:val="center"/>
              <w:rPr>
                <w:rFonts w:ascii="Arial" w:hAnsi="Arial" w:cs="Arial"/>
                <w:sz w:val="18"/>
                <w:szCs w:val="20"/>
              </w:rPr>
            </w:pPr>
            <w:r w:rsidRPr="0091560A">
              <w:rPr>
                <w:rFonts w:ascii="Arial" w:hAnsi="Arial" w:cs="Arial"/>
                <w:sz w:val="18"/>
                <w:szCs w:val="20"/>
              </w:rPr>
              <w:t>99,10%</w:t>
            </w:r>
          </w:p>
        </w:tc>
      </w:tr>
      <w:tr w:rsidR="00685184" w:rsidRPr="0091560A" w:rsidTr="00685184">
        <w:trPr>
          <w:trHeight w:hRule="exact" w:val="116"/>
        </w:trPr>
        <w:tc>
          <w:tcPr>
            <w:tcW w:w="760" w:type="dxa"/>
            <w:vMerge/>
            <w:vAlign w:val="center"/>
            <w:hideMark/>
          </w:tcPr>
          <w:p w:rsidR="00685184" w:rsidRPr="0091560A" w:rsidRDefault="00685184" w:rsidP="00685184">
            <w:pPr>
              <w:rPr>
                <w:rFonts w:ascii="Arial" w:hAnsi="Arial" w:cs="Arial"/>
                <w:sz w:val="18"/>
                <w:szCs w:val="20"/>
              </w:rPr>
            </w:pPr>
          </w:p>
        </w:tc>
        <w:tc>
          <w:tcPr>
            <w:tcW w:w="1563" w:type="dxa"/>
            <w:vMerge/>
            <w:vAlign w:val="center"/>
            <w:hideMark/>
          </w:tcPr>
          <w:p w:rsidR="00685184" w:rsidRPr="0091560A" w:rsidRDefault="00685184" w:rsidP="00685184">
            <w:pPr>
              <w:rPr>
                <w:rFonts w:ascii="Arial" w:hAnsi="Arial" w:cs="Arial"/>
                <w:sz w:val="18"/>
                <w:szCs w:val="20"/>
              </w:rPr>
            </w:pPr>
          </w:p>
        </w:tc>
        <w:tc>
          <w:tcPr>
            <w:tcW w:w="1456" w:type="dxa"/>
            <w:vMerge/>
            <w:vAlign w:val="center"/>
            <w:hideMark/>
          </w:tcPr>
          <w:p w:rsidR="00685184" w:rsidRPr="0091560A" w:rsidRDefault="00685184" w:rsidP="00685184">
            <w:pPr>
              <w:rPr>
                <w:rFonts w:ascii="Arial" w:hAnsi="Arial" w:cs="Arial"/>
                <w:sz w:val="18"/>
                <w:szCs w:val="20"/>
              </w:rPr>
            </w:pPr>
          </w:p>
        </w:tc>
        <w:tc>
          <w:tcPr>
            <w:tcW w:w="1456" w:type="dxa"/>
            <w:vMerge/>
            <w:vAlign w:val="center"/>
            <w:hideMark/>
          </w:tcPr>
          <w:p w:rsidR="00685184" w:rsidRPr="0091560A" w:rsidRDefault="00685184" w:rsidP="00685184">
            <w:pPr>
              <w:rPr>
                <w:rFonts w:ascii="Arial" w:hAnsi="Arial" w:cs="Arial"/>
                <w:sz w:val="18"/>
                <w:szCs w:val="20"/>
              </w:rPr>
            </w:pPr>
          </w:p>
        </w:tc>
        <w:tc>
          <w:tcPr>
            <w:tcW w:w="1298" w:type="dxa"/>
            <w:vMerge/>
            <w:vAlign w:val="center"/>
            <w:hideMark/>
          </w:tcPr>
          <w:p w:rsidR="00685184" w:rsidRPr="0091560A" w:rsidRDefault="00685184" w:rsidP="00685184">
            <w:pPr>
              <w:rPr>
                <w:rFonts w:ascii="Arial" w:hAnsi="Arial" w:cs="Arial"/>
                <w:sz w:val="18"/>
                <w:szCs w:val="20"/>
              </w:rPr>
            </w:pPr>
          </w:p>
        </w:tc>
        <w:tc>
          <w:tcPr>
            <w:tcW w:w="1495" w:type="dxa"/>
            <w:vMerge/>
            <w:vAlign w:val="center"/>
            <w:hideMark/>
          </w:tcPr>
          <w:p w:rsidR="00685184" w:rsidRPr="0091560A" w:rsidRDefault="00685184" w:rsidP="00685184">
            <w:pPr>
              <w:rPr>
                <w:rFonts w:ascii="Arial" w:hAnsi="Arial" w:cs="Arial"/>
                <w:sz w:val="18"/>
                <w:szCs w:val="20"/>
              </w:rPr>
            </w:pPr>
          </w:p>
        </w:tc>
        <w:tc>
          <w:tcPr>
            <w:tcW w:w="1196" w:type="dxa"/>
            <w:vMerge/>
            <w:vAlign w:val="center"/>
            <w:hideMark/>
          </w:tcPr>
          <w:p w:rsidR="00685184" w:rsidRPr="0091560A" w:rsidRDefault="00685184" w:rsidP="00685184">
            <w:pPr>
              <w:rPr>
                <w:rFonts w:ascii="Arial" w:hAnsi="Arial" w:cs="Arial"/>
                <w:sz w:val="18"/>
                <w:szCs w:val="20"/>
              </w:rPr>
            </w:pPr>
          </w:p>
        </w:tc>
      </w:tr>
      <w:tr w:rsidR="00685184" w:rsidRPr="0091560A" w:rsidTr="00685184">
        <w:trPr>
          <w:trHeight w:hRule="exact" w:val="58"/>
        </w:trPr>
        <w:tc>
          <w:tcPr>
            <w:tcW w:w="760" w:type="dxa"/>
            <w:vMerge/>
            <w:vAlign w:val="center"/>
            <w:hideMark/>
          </w:tcPr>
          <w:p w:rsidR="00685184" w:rsidRPr="0091560A" w:rsidRDefault="00685184" w:rsidP="00685184">
            <w:pPr>
              <w:rPr>
                <w:rFonts w:ascii="Arial" w:hAnsi="Arial" w:cs="Arial"/>
                <w:sz w:val="18"/>
                <w:szCs w:val="20"/>
              </w:rPr>
            </w:pPr>
          </w:p>
        </w:tc>
        <w:tc>
          <w:tcPr>
            <w:tcW w:w="1563" w:type="dxa"/>
            <w:vMerge w:val="restart"/>
            <w:shd w:val="clear" w:color="auto" w:fill="auto"/>
            <w:vAlign w:val="center"/>
            <w:hideMark/>
          </w:tcPr>
          <w:p w:rsidR="00685184" w:rsidRPr="0091560A" w:rsidRDefault="00685184" w:rsidP="00685184">
            <w:pPr>
              <w:jc w:val="center"/>
              <w:rPr>
                <w:rFonts w:ascii="Arial" w:hAnsi="Arial" w:cs="Arial"/>
                <w:sz w:val="18"/>
                <w:szCs w:val="20"/>
              </w:rPr>
            </w:pPr>
            <w:r w:rsidRPr="0091560A">
              <w:rPr>
                <w:rFonts w:ascii="Arial" w:hAnsi="Arial" w:cs="Arial"/>
                <w:sz w:val="18"/>
                <w:szCs w:val="20"/>
              </w:rPr>
              <w:t>Východoslovenský</w:t>
            </w:r>
          </w:p>
        </w:tc>
        <w:tc>
          <w:tcPr>
            <w:tcW w:w="1456" w:type="dxa"/>
            <w:vMerge w:val="restart"/>
            <w:shd w:val="clear" w:color="auto" w:fill="auto"/>
            <w:vAlign w:val="center"/>
            <w:hideMark/>
          </w:tcPr>
          <w:p w:rsidR="00685184" w:rsidRPr="0091560A" w:rsidRDefault="00685184" w:rsidP="00685184">
            <w:pPr>
              <w:jc w:val="center"/>
              <w:rPr>
                <w:rFonts w:ascii="Arial" w:hAnsi="Arial" w:cs="Arial"/>
                <w:sz w:val="18"/>
                <w:szCs w:val="20"/>
              </w:rPr>
            </w:pPr>
            <w:r w:rsidRPr="0091560A">
              <w:rPr>
                <w:rFonts w:ascii="Arial" w:hAnsi="Arial" w:cs="Arial"/>
                <w:sz w:val="18"/>
                <w:szCs w:val="20"/>
              </w:rPr>
              <w:t>139 459 750</w:t>
            </w:r>
          </w:p>
        </w:tc>
        <w:tc>
          <w:tcPr>
            <w:tcW w:w="1456" w:type="dxa"/>
            <w:vMerge w:val="restart"/>
            <w:shd w:val="clear" w:color="auto" w:fill="auto"/>
            <w:vAlign w:val="center"/>
            <w:hideMark/>
          </w:tcPr>
          <w:p w:rsidR="00685184" w:rsidRPr="0091560A" w:rsidRDefault="00685184" w:rsidP="00685184">
            <w:pPr>
              <w:jc w:val="center"/>
              <w:rPr>
                <w:rFonts w:ascii="Arial" w:hAnsi="Arial" w:cs="Arial"/>
                <w:sz w:val="18"/>
                <w:szCs w:val="20"/>
              </w:rPr>
            </w:pPr>
            <w:r w:rsidRPr="0091560A">
              <w:rPr>
                <w:rFonts w:ascii="Arial" w:hAnsi="Arial" w:cs="Arial"/>
                <w:sz w:val="18"/>
                <w:szCs w:val="20"/>
              </w:rPr>
              <w:t>58,90%</w:t>
            </w:r>
          </w:p>
        </w:tc>
        <w:tc>
          <w:tcPr>
            <w:tcW w:w="1298" w:type="dxa"/>
            <w:vMerge w:val="restart"/>
            <w:shd w:val="clear" w:color="auto" w:fill="auto"/>
            <w:vAlign w:val="center"/>
            <w:hideMark/>
          </w:tcPr>
          <w:p w:rsidR="00685184" w:rsidRPr="0091560A" w:rsidRDefault="00685184" w:rsidP="00685184">
            <w:pPr>
              <w:jc w:val="center"/>
              <w:rPr>
                <w:rFonts w:ascii="Arial" w:hAnsi="Arial" w:cs="Arial"/>
                <w:sz w:val="18"/>
                <w:szCs w:val="20"/>
              </w:rPr>
            </w:pPr>
            <w:r w:rsidRPr="0091560A">
              <w:rPr>
                <w:rFonts w:ascii="Arial" w:hAnsi="Arial" w:cs="Arial"/>
                <w:sz w:val="18"/>
                <w:szCs w:val="20"/>
              </w:rPr>
              <w:t>82 140 566</w:t>
            </w:r>
          </w:p>
        </w:tc>
        <w:tc>
          <w:tcPr>
            <w:tcW w:w="1495" w:type="dxa"/>
            <w:vMerge w:val="restart"/>
            <w:shd w:val="clear" w:color="auto" w:fill="auto"/>
            <w:vAlign w:val="center"/>
            <w:hideMark/>
          </w:tcPr>
          <w:p w:rsidR="00685184" w:rsidRPr="0091560A" w:rsidRDefault="00685184" w:rsidP="00685184">
            <w:pPr>
              <w:jc w:val="center"/>
              <w:rPr>
                <w:rFonts w:ascii="Arial" w:hAnsi="Arial" w:cs="Arial"/>
                <w:sz w:val="18"/>
                <w:szCs w:val="20"/>
              </w:rPr>
            </w:pPr>
            <w:r w:rsidRPr="0091560A">
              <w:rPr>
                <w:rFonts w:ascii="Arial" w:hAnsi="Arial" w:cs="Arial"/>
                <w:sz w:val="18"/>
                <w:szCs w:val="20"/>
              </w:rPr>
              <w:t>28,61%</w:t>
            </w:r>
          </w:p>
        </w:tc>
        <w:tc>
          <w:tcPr>
            <w:tcW w:w="1196" w:type="dxa"/>
            <w:vMerge w:val="restart"/>
            <w:shd w:val="clear" w:color="auto" w:fill="auto"/>
            <w:vAlign w:val="center"/>
            <w:hideMark/>
          </w:tcPr>
          <w:p w:rsidR="00685184" w:rsidRPr="0091560A" w:rsidRDefault="00685184" w:rsidP="00685184">
            <w:pPr>
              <w:jc w:val="center"/>
              <w:rPr>
                <w:rFonts w:ascii="Arial" w:hAnsi="Arial" w:cs="Arial"/>
                <w:sz w:val="18"/>
                <w:szCs w:val="20"/>
              </w:rPr>
            </w:pPr>
            <w:r w:rsidRPr="0091560A">
              <w:rPr>
                <w:rFonts w:ascii="Arial" w:hAnsi="Arial" w:cs="Arial"/>
                <w:sz w:val="18"/>
                <w:szCs w:val="20"/>
              </w:rPr>
              <w:t>58,90%</w:t>
            </w:r>
          </w:p>
        </w:tc>
      </w:tr>
      <w:tr w:rsidR="00685184" w:rsidRPr="0091560A" w:rsidTr="00685184">
        <w:trPr>
          <w:trHeight w:val="265"/>
        </w:trPr>
        <w:tc>
          <w:tcPr>
            <w:tcW w:w="760" w:type="dxa"/>
            <w:vMerge/>
            <w:vAlign w:val="center"/>
            <w:hideMark/>
          </w:tcPr>
          <w:p w:rsidR="00685184" w:rsidRPr="0091560A" w:rsidRDefault="00685184" w:rsidP="00685184">
            <w:pPr>
              <w:rPr>
                <w:rFonts w:ascii="Arial" w:hAnsi="Arial" w:cs="Arial"/>
                <w:sz w:val="18"/>
                <w:szCs w:val="20"/>
              </w:rPr>
            </w:pPr>
          </w:p>
        </w:tc>
        <w:tc>
          <w:tcPr>
            <w:tcW w:w="1563" w:type="dxa"/>
            <w:vMerge/>
            <w:vAlign w:val="center"/>
            <w:hideMark/>
          </w:tcPr>
          <w:p w:rsidR="00685184" w:rsidRPr="0091560A" w:rsidRDefault="00685184" w:rsidP="00685184">
            <w:pPr>
              <w:rPr>
                <w:rFonts w:ascii="Arial" w:hAnsi="Arial" w:cs="Arial"/>
                <w:sz w:val="18"/>
                <w:szCs w:val="20"/>
              </w:rPr>
            </w:pPr>
          </w:p>
        </w:tc>
        <w:tc>
          <w:tcPr>
            <w:tcW w:w="1456" w:type="dxa"/>
            <w:vMerge/>
            <w:vAlign w:val="center"/>
            <w:hideMark/>
          </w:tcPr>
          <w:p w:rsidR="00685184" w:rsidRPr="0091560A" w:rsidRDefault="00685184" w:rsidP="00685184">
            <w:pPr>
              <w:rPr>
                <w:rFonts w:ascii="Arial" w:hAnsi="Arial" w:cs="Arial"/>
                <w:sz w:val="18"/>
                <w:szCs w:val="20"/>
              </w:rPr>
            </w:pPr>
          </w:p>
        </w:tc>
        <w:tc>
          <w:tcPr>
            <w:tcW w:w="1456" w:type="dxa"/>
            <w:vMerge/>
            <w:vAlign w:val="center"/>
            <w:hideMark/>
          </w:tcPr>
          <w:p w:rsidR="00685184" w:rsidRPr="0091560A" w:rsidRDefault="00685184" w:rsidP="00685184">
            <w:pPr>
              <w:rPr>
                <w:rFonts w:ascii="Arial" w:hAnsi="Arial" w:cs="Arial"/>
                <w:sz w:val="18"/>
                <w:szCs w:val="20"/>
              </w:rPr>
            </w:pPr>
          </w:p>
        </w:tc>
        <w:tc>
          <w:tcPr>
            <w:tcW w:w="1298" w:type="dxa"/>
            <w:vMerge/>
            <w:vAlign w:val="center"/>
            <w:hideMark/>
          </w:tcPr>
          <w:p w:rsidR="00685184" w:rsidRPr="0091560A" w:rsidRDefault="00685184" w:rsidP="00685184">
            <w:pPr>
              <w:rPr>
                <w:rFonts w:ascii="Arial" w:hAnsi="Arial" w:cs="Arial"/>
                <w:sz w:val="18"/>
                <w:szCs w:val="20"/>
              </w:rPr>
            </w:pPr>
          </w:p>
        </w:tc>
        <w:tc>
          <w:tcPr>
            <w:tcW w:w="1495" w:type="dxa"/>
            <w:vMerge/>
            <w:vAlign w:val="center"/>
            <w:hideMark/>
          </w:tcPr>
          <w:p w:rsidR="00685184" w:rsidRPr="0091560A" w:rsidRDefault="00685184" w:rsidP="00685184">
            <w:pPr>
              <w:rPr>
                <w:rFonts w:ascii="Arial" w:hAnsi="Arial" w:cs="Arial"/>
                <w:sz w:val="18"/>
                <w:szCs w:val="20"/>
              </w:rPr>
            </w:pPr>
          </w:p>
        </w:tc>
        <w:tc>
          <w:tcPr>
            <w:tcW w:w="1196" w:type="dxa"/>
            <w:vMerge/>
            <w:vAlign w:val="center"/>
            <w:hideMark/>
          </w:tcPr>
          <w:p w:rsidR="00685184" w:rsidRPr="0091560A" w:rsidRDefault="00685184" w:rsidP="00685184">
            <w:pPr>
              <w:rPr>
                <w:rFonts w:ascii="Arial" w:hAnsi="Arial" w:cs="Arial"/>
                <w:sz w:val="18"/>
                <w:szCs w:val="20"/>
              </w:rPr>
            </w:pPr>
          </w:p>
        </w:tc>
      </w:tr>
      <w:tr w:rsidR="00685184" w:rsidRPr="0091560A" w:rsidTr="00685184">
        <w:trPr>
          <w:trHeight w:val="265"/>
        </w:trPr>
        <w:tc>
          <w:tcPr>
            <w:tcW w:w="760" w:type="dxa"/>
            <w:vMerge/>
            <w:vAlign w:val="center"/>
            <w:hideMark/>
          </w:tcPr>
          <w:p w:rsidR="00685184" w:rsidRPr="0091560A" w:rsidRDefault="00685184" w:rsidP="00685184">
            <w:pPr>
              <w:rPr>
                <w:rFonts w:ascii="Arial" w:hAnsi="Arial" w:cs="Arial"/>
                <w:sz w:val="18"/>
                <w:szCs w:val="20"/>
              </w:rPr>
            </w:pPr>
          </w:p>
        </w:tc>
        <w:tc>
          <w:tcPr>
            <w:tcW w:w="1563" w:type="dxa"/>
            <w:shd w:val="clear" w:color="auto" w:fill="auto"/>
            <w:hideMark/>
          </w:tcPr>
          <w:p w:rsidR="00685184" w:rsidRPr="0091560A" w:rsidRDefault="00685184" w:rsidP="00685184">
            <w:pPr>
              <w:jc w:val="center"/>
              <w:rPr>
                <w:rFonts w:ascii="Arial" w:hAnsi="Arial" w:cs="Arial"/>
                <w:b/>
                <w:bCs/>
                <w:sz w:val="18"/>
                <w:szCs w:val="20"/>
              </w:rPr>
            </w:pPr>
          </w:p>
        </w:tc>
        <w:tc>
          <w:tcPr>
            <w:tcW w:w="1456" w:type="dxa"/>
            <w:shd w:val="clear" w:color="auto" w:fill="auto"/>
            <w:hideMark/>
          </w:tcPr>
          <w:p w:rsidR="00685184" w:rsidRPr="0091560A" w:rsidRDefault="00685184" w:rsidP="00685184">
            <w:pPr>
              <w:jc w:val="center"/>
              <w:rPr>
                <w:rFonts w:ascii="Arial" w:hAnsi="Arial" w:cs="Arial"/>
                <w:b/>
                <w:bCs/>
                <w:sz w:val="18"/>
                <w:szCs w:val="20"/>
              </w:rPr>
            </w:pPr>
            <w:r w:rsidRPr="0091560A">
              <w:rPr>
                <w:rFonts w:ascii="Arial" w:hAnsi="Arial" w:cs="Arial"/>
                <w:b/>
                <w:bCs/>
                <w:sz w:val="18"/>
                <w:szCs w:val="20"/>
              </w:rPr>
              <w:t>485 000 000</w:t>
            </w:r>
          </w:p>
        </w:tc>
        <w:tc>
          <w:tcPr>
            <w:tcW w:w="1456" w:type="dxa"/>
            <w:shd w:val="clear" w:color="000000" w:fill="BFBFBF"/>
            <w:hideMark/>
          </w:tcPr>
          <w:p w:rsidR="00685184" w:rsidRPr="0091560A" w:rsidRDefault="00685184" w:rsidP="00685184">
            <w:pPr>
              <w:jc w:val="center"/>
              <w:rPr>
                <w:rFonts w:ascii="Arial" w:hAnsi="Arial" w:cs="Arial"/>
                <w:b/>
                <w:bCs/>
                <w:sz w:val="18"/>
                <w:szCs w:val="20"/>
              </w:rPr>
            </w:pPr>
          </w:p>
        </w:tc>
        <w:tc>
          <w:tcPr>
            <w:tcW w:w="1298" w:type="dxa"/>
            <w:shd w:val="clear" w:color="auto" w:fill="auto"/>
            <w:hideMark/>
          </w:tcPr>
          <w:p w:rsidR="00685184" w:rsidRPr="0091560A" w:rsidRDefault="00685184" w:rsidP="00685184">
            <w:pPr>
              <w:jc w:val="center"/>
              <w:rPr>
                <w:rFonts w:ascii="Arial" w:hAnsi="Arial" w:cs="Arial"/>
                <w:b/>
                <w:bCs/>
                <w:sz w:val="18"/>
                <w:szCs w:val="20"/>
              </w:rPr>
            </w:pPr>
            <w:r w:rsidRPr="0091560A">
              <w:rPr>
                <w:rFonts w:ascii="Arial" w:hAnsi="Arial" w:cs="Arial"/>
                <w:b/>
                <w:bCs/>
                <w:sz w:val="18"/>
                <w:szCs w:val="20"/>
              </w:rPr>
              <w:t>287 070 581</w:t>
            </w:r>
          </w:p>
        </w:tc>
        <w:tc>
          <w:tcPr>
            <w:tcW w:w="1495" w:type="dxa"/>
            <w:shd w:val="clear" w:color="auto" w:fill="auto"/>
            <w:hideMark/>
          </w:tcPr>
          <w:p w:rsidR="00685184" w:rsidRPr="0091560A" w:rsidRDefault="00685184" w:rsidP="00685184">
            <w:pPr>
              <w:jc w:val="center"/>
              <w:rPr>
                <w:rFonts w:ascii="Arial" w:hAnsi="Arial" w:cs="Arial"/>
                <w:b/>
                <w:bCs/>
                <w:sz w:val="18"/>
                <w:szCs w:val="20"/>
              </w:rPr>
            </w:pPr>
            <w:r w:rsidRPr="0091560A">
              <w:rPr>
                <w:rFonts w:ascii="Arial" w:hAnsi="Arial" w:cs="Arial"/>
                <w:b/>
                <w:bCs/>
                <w:sz w:val="18"/>
                <w:szCs w:val="20"/>
              </w:rPr>
              <w:t>100,00%</w:t>
            </w:r>
          </w:p>
        </w:tc>
        <w:tc>
          <w:tcPr>
            <w:tcW w:w="1196" w:type="dxa"/>
            <w:shd w:val="clear" w:color="auto" w:fill="auto"/>
            <w:hideMark/>
          </w:tcPr>
          <w:p w:rsidR="00685184" w:rsidRPr="0091560A" w:rsidRDefault="00685184" w:rsidP="00685184">
            <w:pPr>
              <w:jc w:val="center"/>
              <w:rPr>
                <w:rFonts w:ascii="Arial" w:hAnsi="Arial" w:cs="Arial"/>
                <w:b/>
                <w:bCs/>
                <w:sz w:val="18"/>
                <w:szCs w:val="20"/>
              </w:rPr>
            </w:pPr>
            <w:r w:rsidRPr="0091560A">
              <w:rPr>
                <w:rFonts w:ascii="Arial" w:hAnsi="Arial" w:cs="Arial"/>
                <w:b/>
                <w:bCs/>
                <w:sz w:val="18"/>
                <w:szCs w:val="20"/>
              </w:rPr>
              <w:t>59,19%</w:t>
            </w:r>
          </w:p>
        </w:tc>
      </w:tr>
      <w:tr w:rsidR="00685184" w:rsidRPr="0091560A" w:rsidTr="00685184">
        <w:trPr>
          <w:trHeight w:val="265"/>
        </w:trPr>
        <w:tc>
          <w:tcPr>
            <w:tcW w:w="760" w:type="dxa"/>
            <w:vMerge w:val="restart"/>
            <w:shd w:val="clear" w:color="auto" w:fill="auto"/>
            <w:vAlign w:val="center"/>
            <w:hideMark/>
          </w:tcPr>
          <w:p w:rsidR="00685184" w:rsidRPr="0091560A" w:rsidRDefault="00685184" w:rsidP="00685184">
            <w:pPr>
              <w:jc w:val="center"/>
              <w:rPr>
                <w:rFonts w:ascii="Arial" w:hAnsi="Arial" w:cs="Arial"/>
                <w:sz w:val="18"/>
                <w:szCs w:val="20"/>
              </w:rPr>
            </w:pPr>
            <w:r w:rsidRPr="0091560A">
              <w:rPr>
                <w:rFonts w:ascii="Arial" w:hAnsi="Arial" w:cs="Arial"/>
                <w:sz w:val="18"/>
                <w:szCs w:val="20"/>
              </w:rPr>
              <w:t>PO 5</w:t>
            </w:r>
          </w:p>
        </w:tc>
        <w:tc>
          <w:tcPr>
            <w:tcW w:w="1563" w:type="dxa"/>
            <w:shd w:val="clear" w:color="auto" w:fill="auto"/>
            <w:vAlign w:val="center"/>
            <w:hideMark/>
          </w:tcPr>
          <w:p w:rsidR="00685184" w:rsidRPr="0091560A" w:rsidRDefault="00685184" w:rsidP="00685184">
            <w:pPr>
              <w:jc w:val="center"/>
              <w:rPr>
                <w:rFonts w:ascii="Arial" w:hAnsi="Arial" w:cs="Arial"/>
                <w:sz w:val="18"/>
                <w:szCs w:val="20"/>
              </w:rPr>
            </w:pPr>
            <w:r w:rsidRPr="0091560A">
              <w:rPr>
                <w:rFonts w:ascii="Arial" w:hAnsi="Arial" w:cs="Arial"/>
                <w:sz w:val="18"/>
                <w:szCs w:val="20"/>
              </w:rPr>
              <w:t>Bratislavský</w:t>
            </w:r>
          </w:p>
        </w:tc>
        <w:tc>
          <w:tcPr>
            <w:tcW w:w="1456" w:type="dxa"/>
            <w:shd w:val="clear" w:color="auto" w:fill="auto"/>
            <w:vAlign w:val="center"/>
            <w:hideMark/>
          </w:tcPr>
          <w:p w:rsidR="00685184" w:rsidRPr="0091560A" w:rsidRDefault="00685184" w:rsidP="00685184">
            <w:pPr>
              <w:jc w:val="center"/>
              <w:rPr>
                <w:rFonts w:ascii="Arial" w:hAnsi="Arial" w:cs="Arial"/>
                <w:sz w:val="18"/>
                <w:szCs w:val="20"/>
              </w:rPr>
            </w:pPr>
            <w:r w:rsidRPr="0091560A">
              <w:rPr>
                <w:rFonts w:ascii="Arial" w:hAnsi="Arial" w:cs="Arial"/>
                <w:sz w:val="18"/>
                <w:szCs w:val="20"/>
              </w:rPr>
              <w:t>0</w:t>
            </w:r>
          </w:p>
        </w:tc>
        <w:tc>
          <w:tcPr>
            <w:tcW w:w="1456" w:type="dxa"/>
            <w:shd w:val="clear" w:color="auto" w:fill="auto"/>
            <w:vAlign w:val="center"/>
            <w:hideMark/>
          </w:tcPr>
          <w:p w:rsidR="00685184" w:rsidRPr="0091560A" w:rsidRDefault="00685184" w:rsidP="00685184">
            <w:pPr>
              <w:jc w:val="center"/>
              <w:rPr>
                <w:rFonts w:ascii="Arial" w:hAnsi="Arial" w:cs="Arial"/>
                <w:sz w:val="18"/>
                <w:szCs w:val="20"/>
              </w:rPr>
            </w:pPr>
            <w:r w:rsidRPr="0091560A">
              <w:rPr>
                <w:rFonts w:ascii="Arial" w:hAnsi="Arial" w:cs="Arial"/>
                <w:sz w:val="18"/>
                <w:szCs w:val="20"/>
              </w:rPr>
              <w:t>0,00%</w:t>
            </w:r>
          </w:p>
        </w:tc>
        <w:tc>
          <w:tcPr>
            <w:tcW w:w="1298" w:type="dxa"/>
            <w:shd w:val="clear" w:color="auto" w:fill="auto"/>
            <w:vAlign w:val="center"/>
            <w:hideMark/>
          </w:tcPr>
          <w:p w:rsidR="00685184" w:rsidRPr="0091560A" w:rsidRDefault="00685184" w:rsidP="00685184">
            <w:pPr>
              <w:jc w:val="center"/>
              <w:rPr>
                <w:rFonts w:ascii="Arial" w:hAnsi="Arial" w:cs="Arial"/>
                <w:sz w:val="18"/>
                <w:szCs w:val="20"/>
              </w:rPr>
            </w:pPr>
            <w:r w:rsidRPr="0091560A">
              <w:rPr>
                <w:rFonts w:ascii="Arial" w:hAnsi="Arial" w:cs="Arial"/>
                <w:sz w:val="18"/>
                <w:szCs w:val="20"/>
              </w:rPr>
              <w:t>0</w:t>
            </w:r>
          </w:p>
        </w:tc>
        <w:tc>
          <w:tcPr>
            <w:tcW w:w="1495" w:type="dxa"/>
            <w:shd w:val="clear" w:color="auto" w:fill="auto"/>
            <w:vAlign w:val="center"/>
            <w:hideMark/>
          </w:tcPr>
          <w:p w:rsidR="00685184" w:rsidRPr="0091560A" w:rsidRDefault="00685184" w:rsidP="00685184">
            <w:pPr>
              <w:jc w:val="center"/>
              <w:rPr>
                <w:rFonts w:ascii="Arial" w:hAnsi="Arial" w:cs="Arial"/>
                <w:sz w:val="18"/>
                <w:szCs w:val="20"/>
              </w:rPr>
            </w:pPr>
            <w:r w:rsidRPr="0091560A">
              <w:rPr>
                <w:rFonts w:ascii="Arial" w:hAnsi="Arial" w:cs="Arial"/>
                <w:sz w:val="18"/>
                <w:szCs w:val="20"/>
              </w:rPr>
              <w:t>0,00%</w:t>
            </w:r>
          </w:p>
        </w:tc>
        <w:tc>
          <w:tcPr>
            <w:tcW w:w="1196" w:type="dxa"/>
            <w:shd w:val="clear" w:color="auto" w:fill="auto"/>
            <w:vAlign w:val="center"/>
            <w:hideMark/>
          </w:tcPr>
          <w:p w:rsidR="00685184" w:rsidRPr="0091560A" w:rsidRDefault="00685184" w:rsidP="00685184">
            <w:pPr>
              <w:jc w:val="center"/>
              <w:rPr>
                <w:rFonts w:ascii="Arial" w:hAnsi="Arial" w:cs="Arial"/>
                <w:sz w:val="18"/>
                <w:szCs w:val="20"/>
              </w:rPr>
            </w:pPr>
            <w:r w:rsidRPr="0091560A">
              <w:rPr>
                <w:rFonts w:ascii="Arial" w:hAnsi="Arial" w:cs="Arial"/>
                <w:sz w:val="18"/>
                <w:szCs w:val="20"/>
              </w:rPr>
              <w:t>0,00%</w:t>
            </w:r>
          </w:p>
        </w:tc>
      </w:tr>
      <w:tr w:rsidR="00685184" w:rsidRPr="0091560A" w:rsidTr="00685184">
        <w:trPr>
          <w:trHeight w:hRule="exact" w:val="116"/>
        </w:trPr>
        <w:tc>
          <w:tcPr>
            <w:tcW w:w="760" w:type="dxa"/>
            <w:vMerge/>
            <w:vAlign w:val="center"/>
            <w:hideMark/>
          </w:tcPr>
          <w:p w:rsidR="00685184" w:rsidRPr="0091560A" w:rsidRDefault="00685184" w:rsidP="00685184">
            <w:pPr>
              <w:rPr>
                <w:rFonts w:ascii="Arial" w:hAnsi="Arial" w:cs="Arial"/>
                <w:sz w:val="18"/>
                <w:szCs w:val="20"/>
              </w:rPr>
            </w:pPr>
          </w:p>
        </w:tc>
        <w:tc>
          <w:tcPr>
            <w:tcW w:w="1563" w:type="dxa"/>
            <w:vMerge w:val="restart"/>
            <w:shd w:val="clear" w:color="auto" w:fill="auto"/>
            <w:vAlign w:val="center"/>
            <w:hideMark/>
          </w:tcPr>
          <w:p w:rsidR="00685184" w:rsidRPr="0091560A" w:rsidRDefault="00685184" w:rsidP="00685184">
            <w:pPr>
              <w:jc w:val="center"/>
              <w:rPr>
                <w:rFonts w:ascii="Arial" w:hAnsi="Arial" w:cs="Arial"/>
                <w:sz w:val="18"/>
                <w:szCs w:val="20"/>
              </w:rPr>
            </w:pPr>
            <w:r w:rsidRPr="0091560A">
              <w:rPr>
                <w:rFonts w:ascii="Arial" w:hAnsi="Arial" w:cs="Arial"/>
                <w:sz w:val="18"/>
                <w:szCs w:val="20"/>
              </w:rPr>
              <w:t>Západoslovenský</w:t>
            </w:r>
          </w:p>
        </w:tc>
        <w:tc>
          <w:tcPr>
            <w:tcW w:w="1456" w:type="dxa"/>
            <w:vMerge w:val="restart"/>
            <w:shd w:val="clear" w:color="auto" w:fill="auto"/>
            <w:vAlign w:val="center"/>
            <w:hideMark/>
          </w:tcPr>
          <w:p w:rsidR="00685184" w:rsidRPr="0091560A" w:rsidRDefault="00685184" w:rsidP="00685184">
            <w:pPr>
              <w:jc w:val="center"/>
              <w:rPr>
                <w:rFonts w:ascii="Arial" w:hAnsi="Arial" w:cs="Arial"/>
                <w:sz w:val="18"/>
                <w:szCs w:val="20"/>
              </w:rPr>
            </w:pPr>
            <w:r w:rsidRPr="0091560A">
              <w:rPr>
                <w:rFonts w:ascii="Arial" w:hAnsi="Arial" w:cs="Arial"/>
                <w:sz w:val="18"/>
                <w:szCs w:val="20"/>
              </w:rPr>
              <w:t>10 658 956</w:t>
            </w:r>
          </w:p>
        </w:tc>
        <w:tc>
          <w:tcPr>
            <w:tcW w:w="1456" w:type="dxa"/>
            <w:vMerge w:val="restart"/>
            <w:shd w:val="clear" w:color="auto" w:fill="auto"/>
            <w:vAlign w:val="center"/>
            <w:hideMark/>
          </w:tcPr>
          <w:p w:rsidR="00685184" w:rsidRPr="0091560A" w:rsidRDefault="00685184" w:rsidP="00685184">
            <w:pPr>
              <w:jc w:val="center"/>
              <w:rPr>
                <w:rFonts w:ascii="Arial" w:hAnsi="Arial" w:cs="Arial"/>
                <w:sz w:val="18"/>
                <w:szCs w:val="20"/>
              </w:rPr>
            </w:pPr>
            <w:r w:rsidRPr="0091560A">
              <w:rPr>
                <w:rFonts w:ascii="Arial" w:hAnsi="Arial" w:cs="Arial"/>
                <w:sz w:val="18"/>
                <w:szCs w:val="20"/>
              </w:rPr>
              <w:t>55,89%</w:t>
            </w:r>
          </w:p>
        </w:tc>
        <w:tc>
          <w:tcPr>
            <w:tcW w:w="1298" w:type="dxa"/>
            <w:vMerge w:val="restart"/>
            <w:shd w:val="clear" w:color="auto" w:fill="auto"/>
            <w:vAlign w:val="center"/>
            <w:hideMark/>
          </w:tcPr>
          <w:p w:rsidR="00685184" w:rsidRPr="0091560A" w:rsidRDefault="00685184" w:rsidP="00685184">
            <w:pPr>
              <w:jc w:val="center"/>
              <w:rPr>
                <w:rFonts w:ascii="Arial" w:hAnsi="Arial" w:cs="Arial"/>
                <w:sz w:val="18"/>
                <w:szCs w:val="20"/>
              </w:rPr>
            </w:pPr>
            <w:r w:rsidRPr="0091560A">
              <w:rPr>
                <w:rFonts w:ascii="Arial" w:hAnsi="Arial" w:cs="Arial"/>
                <w:sz w:val="18"/>
                <w:szCs w:val="20"/>
              </w:rPr>
              <w:t>5 957 472</w:t>
            </w:r>
          </w:p>
        </w:tc>
        <w:tc>
          <w:tcPr>
            <w:tcW w:w="1495" w:type="dxa"/>
            <w:vMerge w:val="restart"/>
            <w:shd w:val="clear" w:color="auto" w:fill="auto"/>
            <w:vAlign w:val="center"/>
            <w:hideMark/>
          </w:tcPr>
          <w:p w:rsidR="00685184" w:rsidRPr="0091560A" w:rsidRDefault="00685184" w:rsidP="00685184">
            <w:pPr>
              <w:jc w:val="center"/>
              <w:rPr>
                <w:rFonts w:ascii="Arial" w:hAnsi="Arial" w:cs="Arial"/>
                <w:sz w:val="18"/>
                <w:szCs w:val="20"/>
              </w:rPr>
            </w:pPr>
            <w:r w:rsidRPr="0091560A">
              <w:rPr>
                <w:rFonts w:ascii="Arial" w:hAnsi="Arial" w:cs="Arial"/>
                <w:sz w:val="18"/>
                <w:szCs w:val="20"/>
              </w:rPr>
              <w:t>29,22%</w:t>
            </w:r>
          </w:p>
        </w:tc>
        <w:tc>
          <w:tcPr>
            <w:tcW w:w="1196" w:type="dxa"/>
            <w:vMerge w:val="restart"/>
            <w:shd w:val="clear" w:color="auto" w:fill="auto"/>
            <w:vAlign w:val="center"/>
            <w:hideMark/>
          </w:tcPr>
          <w:p w:rsidR="00685184" w:rsidRPr="0091560A" w:rsidRDefault="00685184" w:rsidP="00685184">
            <w:pPr>
              <w:jc w:val="center"/>
              <w:rPr>
                <w:rFonts w:ascii="Arial" w:hAnsi="Arial" w:cs="Arial"/>
                <w:sz w:val="18"/>
                <w:szCs w:val="20"/>
              </w:rPr>
            </w:pPr>
            <w:r w:rsidRPr="0091560A">
              <w:rPr>
                <w:rFonts w:ascii="Arial" w:hAnsi="Arial" w:cs="Arial"/>
                <w:sz w:val="18"/>
                <w:szCs w:val="20"/>
              </w:rPr>
              <w:t>55,89%</w:t>
            </w:r>
          </w:p>
        </w:tc>
      </w:tr>
      <w:tr w:rsidR="00685184" w:rsidRPr="0091560A" w:rsidTr="00685184">
        <w:trPr>
          <w:trHeight w:hRule="exact" w:val="116"/>
        </w:trPr>
        <w:tc>
          <w:tcPr>
            <w:tcW w:w="760" w:type="dxa"/>
            <w:vMerge/>
            <w:vAlign w:val="center"/>
            <w:hideMark/>
          </w:tcPr>
          <w:p w:rsidR="00685184" w:rsidRPr="0091560A" w:rsidRDefault="00685184" w:rsidP="00685184">
            <w:pPr>
              <w:rPr>
                <w:rFonts w:ascii="Arial" w:hAnsi="Arial" w:cs="Arial"/>
                <w:sz w:val="18"/>
                <w:szCs w:val="20"/>
              </w:rPr>
            </w:pPr>
          </w:p>
        </w:tc>
        <w:tc>
          <w:tcPr>
            <w:tcW w:w="1563" w:type="dxa"/>
            <w:vMerge/>
            <w:vAlign w:val="center"/>
            <w:hideMark/>
          </w:tcPr>
          <w:p w:rsidR="00685184" w:rsidRPr="0091560A" w:rsidRDefault="00685184" w:rsidP="00685184">
            <w:pPr>
              <w:rPr>
                <w:rFonts w:ascii="Arial" w:hAnsi="Arial" w:cs="Arial"/>
                <w:sz w:val="18"/>
                <w:szCs w:val="20"/>
              </w:rPr>
            </w:pPr>
          </w:p>
        </w:tc>
        <w:tc>
          <w:tcPr>
            <w:tcW w:w="1456" w:type="dxa"/>
            <w:vMerge/>
            <w:vAlign w:val="center"/>
            <w:hideMark/>
          </w:tcPr>
          <w:p w:rsidR="00685184" w:rsidRPr="0091560A" w:rsidRDefault="00685184" w:rsidP="00685184">
            <w:pPr>
              <w:rPr>
                <w:rFonts w:ascii="Arial" w:hAnsi="Arial" w:cs="Arial"/>
                <w:sz w:val="18"/>
                <w:szCs w:val="20"/>
              </w:rPr>
            </w:pPr>
          </w:p>
        </w:tc>
        <w:tc>
          <w:tcPr>
            <w:tcW w:w="1456" w:type="dxa"/>
            <w:vMerge/>
            <w:vAlign w:val="center"/>
            <w:hideMark/>
          </w:tcPr>
          <w:p w:rsidR="00685184" w:rsidRPr="0091560A" w:rsidRDefault="00685184" w:rsidP="00685184">
            <w:pPr>
              <w:rPr>
                <w:rFonts w:ascii="Arial" w:hAnsi="Arial" w:cs="Arial"/>
                <w:sz w:val="18"/>
                <w:szCs w:val="20"/>
              </w:rPr>
            </w:pPr>
          </w:p>
        </w:tc>
        <w:tc>
          <w:tcPr>
            <w:tcW w:w="1298" w:type="dxa"/>
            <w:vMerge/>
            <w:vAlign w:val="center"/>
            <w:hideMark/>
          </w:tcPr>
          <w:p w:rsidR="00685184" w:rsidRPr="0091560A" w:rsidRDefault="00685184" w:rsidP="00685184">
            <w:pPr>
              <w:rPr>
                <w:rFonts w:ascii="Arial" w:hAnsi="Arial" w:cs="Arial"/>
                <w:sz w:val="18"/>
                <w:szCs w:val="20"/>
              </w:rPr>
            </w:pPr>
          </w:p>
        </w:tc>
        <w:tc>
          <w:tcPr>
            <w:tcW w:w="1495" w:type="dxa"/>
            <w:vMerge/>
            <w:vAlign w:val="center"/>
            <w:hideMark/>
          </w:tcPr>
          <w:p w:rsidR="00685184" w:rsidRPr="0091560A" w:rsidRDefault="00685184" w:rsidP="00685184">
            <w:pPr>
              <w:rPr>
                <w:rFonts w:ascii="Arial" w:hAnsi="Arial" w:cs="Arial"/>
                <w:sz w:val="18"/>
                <w:szCs w:val="20"/>
              </w:rPr>
            </w:pPr>
          </w:p>
        </w:tc>
        <w:tc>
          <w:tcPr>
            <w:tcW w:w="1196" w:type="dxa"/>
            <w:vMerge/>
            <w:vAlign w:val="center"/>
            <w:hideMark/>
          </w:tcPr>
          <w:p w:rsidR="00685184" w:rsidRPr="0091560A" w:rsidRDefault="00685184" w:rsidP="00685184">
            <w:pPr>
              <w:rPr>
                <w:rFonts w:ascii="Arial" w:hAnsi="Arial" w:cs="Arial"/>
                <w:sz w:val="18"/>
                <w:szCs w:val="20"/>
              </w:rPr>
            </w:pPr>
          </w:p>
        </w:tc>
      </w:tr>
      <w:tr w:rsidR="00685184" w:rsidRPr="0091560A" w:rsidTr="00685184">
        <w:trPr>
          <w:trHeight w:hRule="exact" w:val="116"/>
        </w:trPr>
        <w:tc>
          <w:tcPr>
            <w:tcW w:w="760" w:type="dxa"/>
            <w:vMerge/>
            <w:vAlign w:val="center"/>
            <w:hideMark/>
          </w:tcPr>
          <w:p w:rsidR="00685184" w:rsidRPr="0091560A" w:rsidRDefault="00685184" w:rsidP="00685184">
            <w:pPr>
              <w:rPr>
                <w:rFonts w:ascii="Arial" w:hAnsi="Arial" w:cs="Arial"/>
                <w:sz w:val="18"/>
                <w:szCs w:val="20"/>
              </w:rPr>
            </w:pPr>
          </w:p>
        </w:tc>
        <w:tc>
          <w:tcPr>
            <w:tcW w:w="1563" w:type="dxa"/>
            <w:vMerge/>
            <w:vAlign w:val="center"/>
            <w:hideMark/>
          </w:tcPr>
          <w:p w:rsidR="00685184" w:rsidRPr="0091560A" w:rsidRDefault="00685184" w:rsidP="00685184">
            <w:pPr>
              <w:rPr>
                <w:rFonts w:ascii="Arial" w:hAnsi="Arial" w:cs="Arial"/>
                <w:sz w:val="18"/>
                <w:szCs w:val="20"/>
              </w:rPr>
            </w:pPr>
          </w:p>
        </w:tc>
        <w:tc>
          <w:tcPr>
            <w:tcW w:w="1456" w:type="dxa"/>
            <w:vMerge/>
            <w:vAlign w:val="center"/>
            <w:hideMark/>
          </w:tcPr>
          <w:p w:rsidR="00685184" w:rsidRPr="0091560A" w:rsidRDefault="00685184" w:rsidP="00685184">
            <w:pPr>
              <w:rPr>
                <w:rFonts w:ascii="Arial" w:hAnsi="Arial" w:cs="Arial"/>
                <w:sz w:val="18"/>
                <w:szCs w:val="20"/>
              </w:rPr>
            </w:pPr>
          </w:p>
        </w:tc>
        <w:tc>
          <w:tcPr>
            <w:tcW w:w="1456" w:type="dxa"/>
            <w:vMerge/>
            <w:vAlign w:val="center"/>
            <w:hideMark/>
          </w:tcPr>
          <w:p w:rsidR="00685184" w:rsidRPr="0091560A" w:rsidRDefault="00685184" w:rsidP="00685184">
            <w:pPr>
              <w:rPr>
                <w:rFonts w:ascii="Arial" w:hAnsi="Arial" w:cs="Arial"/>
                <w:sz w:val="18"/>
                <w:szCs w:val="20"/>
              </w:rPr>
            </w:pPr>
          </w:p>
        </w:tc>
        <w:tc>
          <w:tcPr>
            <w:tcW w:w="1298" w:type="dxa"/>
            <w:vMerge/>
            <w:vAlign w:val="center"/>
            <w:hideMark/>
          </w:tcPr>
          <w:p w:rsidR="00685184" w:rsidRPr="0091560A" w:rsidRDefault="00685184" w:rsidP="00685184">
            <w:pPr>
              <w:rPr>
                <w:rFonts w:ascii="Arial" w:hAnsi="Arial" w:cs="Arial"/>
                <w:sz w:val="18"/>
                <w:szCs w:val="20"/>
              </w:rPr>
            </w:pPr>
          </w:p>
        </w:tc>
        <w:tc>
          <w:tcPr>
            <w:tcW w:w="1495" w:type="dxa"/>
            <w:vMerge/>
            <w:vAlign w:val="center"/>
            <w:hideMark/>
          </w:tcPr>
          <w:p w:rsidR="00685184" w:rsidRPr="0091560A" w:rsidRDefault="00685184" w:rsidP="00685184">
            <w:pPr>
              <w:rPr>
                <w:rFonts w:ascii="Arial" w:hAnsi="Arial" w:cs="Arial"/>
                <w:sz w:val="18"/>
                <w:szCs w:val="20"/>
              </w:rPr>
            </w:pPr>
          </w:p>
        </w:tc>
        <w:tc>
          <w:tcPr>
            <w:tcW w:w="1196" w:type="dxa"/>
            <w:vMerge/>
            <w:vAlign w:val="center"/>
            <w:hideMark/>
          </w:tcPr>
          <w:p w:rsidR="00685184" w:rsidRPr="0091560A" w:rsidRDefault="00685184" w:rsidP="00685184">
            <w:pPr>
              <w:rPr>
                <w:rFonts w:ascii="Arial" w:hAnsi="Arial" w:cs="Arial"/>
                <w:sz w:val="18"/>
                <w:szCs w:val="20"/>
              </w:rPr>
            </w:pPr>
          </w:p>
        </w:tc>
      </w:tr>
      <w:tr w:rsidR="00685184" w:rsidRPr="0091560A" w:rsidTr="00685184">
        <w:trPr>
          <w:trHeight w:hRule="exact" w:val="116"/>
        </w:trPr>
        <w:tc>
          <w:tcPr>
            <w:tcW w:w="760" w:type="dxa"/>
            <w:vMerge/>
            <w:vAlign w:val="center"/>
            <w:hideMark/>
          </w:tcPr>
          <w:p w:rsidR="00685184" w:rsidRPr="0091560A" w:rsidRDefault="00685184" w:rsidP="00685184">
            <w:pPr>
              <w:rPr>
                <w:rFonts w:ascii="Arial" w:hAnsi="Arial" w:cs="Arial"/>
                <w:sz w:val="18"/>
                <w:szCs w:val="20"/>
              </w:rPr>
            </w:pPr>
          </w:p>
        </w:tc>
        <w:tc>
          <w:tcPr>
            <w:tcW w:w="1563" w:type="dxa"/>
            <w:vMerge w:val="restart"/>
            <w:shd w:val="clear" w:color="auto" w:fill="auto"/>
            <w:vAlign w:val="center"/>
            <w:hideMark/>
          </w:tcPr>
          <w:p w:rsidR="00685184" w:rsidRPr="0091560A" w:rsidRDefault="00685184" w:rsidP="00685184">
            <w:pPr>
              <w:jc w:val="center"/>
              <w:rPr>
                <w:rFonts w:ascii="Arial" w:hAnsi="Arial" w:cs="Arial"/>
                <w:sz w:val="18"/>
                <w:szCs w:val="20"/>
              </w:rPr>
            </w:pPr>
            <w:r w:rsidRPr="0091560A">
              <w:rPr>
                <w:rFonts w:ascii="Arial" w:hAnsi="Arial" w:cs="Arial"/>
                <w:sz w:val="18"/>
                <w:szCs w:val="20"/>
              </w:rPr>
              <w:t>Stredoslovenský</w:t>
            </w:r>
          </w:p>
        </w:tc>
        <w:tc>
          <w:tcPr>
            <w:tcW w:w="1456" w:type="dxa"/>
            <w:vMerge w:val="restart"/>
            <w:shd w:val="clear" w:color="auto" w:fill="auto"/>
            <w:vAlign w:val="center"/>
            <w:hideMark/>
          </w:tcPr>
          <w:p w:rsidR="00685184" w:rsidRPr="0091560A" w:rsidRDefault="00685184" w:rsidP="00685184">
            <w:pPr>
              <w:jc w:val="center"/>
              <w:rPr>
                <w:rFonts w:ascii="Arial" w:hAnsi="Arial" w:cs="Arial"/>
                <w:sz w:val="18"/>
                <w:szCs w:val="20"/>
              </w:rPr>
            </w:pPr>
            <w:r w:rsidRPr="0091560A">
              <w:rPr>
                <w:rFonts w:ascii="Arial" w:hAnsi="Arial" w:cs="Arial"/>
                <w:sz w:val="18"/>
                <w:szCs w:val="20"/>
              </w:rPr>
              <w:t>22 789 864</w:t>
            </w:r>
          </w:p>
        </w:tc>
        <w:tc>
          <w:tcPr>
            <w:tcW w:w="1456" w:type="dxa"/>
            <w:vMerge w:val="restart"/>
            <w:shd w:val="clear" w:color="auto" w:fill="auto"/>
            <w:vAlign w:val="center"/>
            <w:hideMark/>
          </w:tcPr>
          <w:p w:rsidR="00685184" w:rsidRPr="0091560A" w:rsidRDefault="00685184" w:rsidP="00685184">
            <w:pPr>
              <w:jc w:val="center"/>
              <w:rPr>
                <w:rFonts w:ascii="Arial" w:hAnsi="Arial" w:cs="Arial"/>
                <w:sz w:val="18"/>
                <w:szCs w:val="20"/>
              </w:rPr>
            </w:pPr>
            <w:r w:rsidRPr="0091560A">
              <w:rPr>
                <w:rFonts w:ascii="Arial" w:hAnsi="Arial" w:cs="Arial"/>
                <w:sz w:val="18"/>
                <w:szCs w:val="20"/>
              </w:rPr>
              <w:t>51,45%</w:t>
            </w:r>
          </w:p>
        </w:tc>
        <w:tc>
          <w:tcPr>
            <w:tcW w:w="1298" w:type="dxa"/>
            <w:vMerge w:val="restart"/>
            <w:shd w:val="clear" w:color="auto" w:fill="auto"/>
            <w:vAlign w:val="center"/>
            <w:hideMark/>
          </w:tcPr>
          <w:p w:rsidR="00685184" w:rsidRPr="0091560A" w:rsidRDefault="00685184" w:rsidP="00685184">
            <w:pPr>
              <w:jc w:val="center"/>
              <w:rPr>
                <w:rFonts w:ascii="Arial" w:hAnsi="Arial" w:cs="Arial"/>
                <w:sz w:val="18"/>
                <w:szCs w:val="20"/>
              </w:rPr>
            </w:pPr>
            <w:r w:rsidRPr="0091560A">
              <w:rPr>
                <w:rFonts w:ascii="Arial" w:hAnsi="Arial" w:cs="Arial"/>
                <w:sz w:val="18"/>
                <w:szCs w:val="20"/>
              </w:rPr>
              <w:t>11 726 103</w:t>
            </w:r>
          </w:p>
        </w:tc>
        <w:tc>
          <w:tcPr>
            <w:tcW w:w="1495" w:type="dxa"/>
            <w:vMerge w:val="restart"/>
            <w:shd w:val="clear" w:color="auto" w:fill="auto"/>
            <w:vAlign w:val="center"/>
            <w:hideMark/>
          </w:tcPr>
          <w:p w:rsidR="00685184" w:rsidRPr="0091560A" w:rsidRDefault="00685184" w:rsidP="00685184">
            <w:pPr>
              <w:jc w:val="center"/>
              <w:rPr>
                <w:rFonts w:ascii="Arial" w:hAnsi="Arial" w:cs="Arial"/>
                <w:sz w:val="18"/>
                <w:szCs w:val="20"/>
              </w:rPr>
            </w:pPr>
            <w:r w:rsidRPr="0091560A">
              <w:rPr>
                <w:rFonts w:ascii="Arial" w:hAnsi="Arial" w:cs="Arial"/>
                <w:sz w:val="18"/>
                <w:szCs w:val="20"/>
              </w:rPr>
              <w:t>57,52%</w:t>
            </w:r>
          </w:p>
        </w:tc>
        <w:tc>
          <w:tcPr>
            <w:tcW w:w="1196" w:type="dxa"/>
            <w:vMerge w:val="restart"/>
            <w:shd w:val="clear" w:color="auto" w:fill="auto"/>
            <w:vAlign w:val="center"/>
            <w:hideMark/>
          </w:tcPr>
          <w:p w:rsidR="00685184" w:rsidRPr="0091560A" w:rsidRDefault="00685184" w:rsidP="00685184">
            <w:pPr>
              <w:jc w:val="center"/>
              <w:rPr>
                <w:rFonts w:ascii="Arial" w:hAnsi="Arial" w:cs="Arial"/>
                <w:sz w:val="18"/>
                <w:szCs w:val="20"/>
              </w:rPr>
            </w:pPr>
            <w:r w:rsidRPr="0091560A">
              <w:rPr>
                <w:rFonts w:ascii="Arial" w:hAnsi="Arial" w:cs="Arial"/>
                <w:sz w:val="18"/>
                <w:szCs w:val="20"/>
              </w:rPr>
              <w:t>51,45%</w:t>
            </w:r>
          </w:p>
        </w:tc>
      </w:tr>
      <w:tr w:rsidR="00685184" w:rsidRPr="0091560A" w:rsidTr="00685184">
        <w:trPr>
          <w:trHeight w:hRule="exact" w:val="116"/>
        </w:trPr>
        <w:tc>
          <w:tcPr>
            <w:tcW w:w="760" w:type="dxa"/>
            <w:vMerge/>
            <w:vAlign w:val="center"/>
            <w:hideMark/>
          </w:tcPr>
          <w:p w:rsidR="00685184" w:rsidRPr="0091560A" w:rsidRDefault="00685184" w:rsidP="00685184">
            <w:pPr>
              <w:rPr>
                <w:rFonts w:ascii="Arial" w:hAnsi="Arial" w:cs="Arial"/>
                <w:sz w:val="18"/>
                <w:szCs w:val="20"/>
              </w:rPr>
            </w:pPr>
          </w:p>
        </w:tc>
        <w:tc>
          <w:tcPr>
            <w:tcW w:w="1563" w:type="dxa"/>
            <w:vMerge/>
            <w:vAlign w:val="center"/>
            <w:hideMark/>
          </w:tcPr>
          <w:p w:rsidR="00685184" w:rsidRPr="0091560A" w:rsidRDefault="00685184" w:rsidP="00685184">
            <w:pPr>
              <w:rPr>
                <w:rFonts w:ascii="Arial" w:hAnsi="Arial" w:cs="Arial"/>
                <w:sz w:val="18"/>
                <w:szCs w:val="20"/>
              </w:rPr>
            </w:pPr>
          </w:p>
        </w:tc>
        <w:tc>
          <w:tcPr>
            <w:tcW w:w="1456" w:type="dxa"/>
            <w:vMerge/>
            <w:vAlign w:val="center"/>
            <w:hideMark/>
          </w:tcPr>
          <w:p w:rsidR="00685184" w:rsidRPr="0091560A" w:rsidRDefault="00685184" w:rsidP="00685184">
            <w:pPr>
              <w:rPr>
                <w:rFonts w:ascii="Arial" w:hAnsi="Arial" w:cs="Arial"/>
                <w:sz w:val="18"/>
                <w:szCs w:val="20"/>
              </w:rPr>
            </w:pPr>
          </w:p>
        </w:tc>
        <w:tc>
          <w:tcPr>
            <w:tcW w:w="1456" w:type="dxa"/>
            <w:vMerge/>
            <w:vAlign w:val="center"/>
            <w:hideMark/>
          </w:tcPr>
          <w:p w:rsidR="00685184" w:rsidRPr="0091560A" w:rsidRDefault="00685184" w:rsidP="00685184">
            <w:pPr>
              <w:rPr>
                <w:rFonts w:ascii="Arial" w:hAnsi="Arial" w:cs="Arial"/>
                <w:sz w:val="18"/>
                <w:szCs w:val="20"/>
              </w:rPr>
            </w:pPr>
          </w:p>
        </w:tc>
        <w:tc>
          <w:tcPr>
            <w:tcW w:w="1298" w:type="dxa"/>
            <w:vMerge/>
            <w:vAlign w:val="center"/>
            <w:hideMark/>
          </w:tcPr>
          <w:p w:rsidR="00685184" w:rsidRPr="0091560A" w:rsidRDefault="00685184" w:rsidP="00685184">
            <w:pPr>
              <w:rPr>
                <w:rFonts w:ascii="Arial" w:hAnsi="Arial" w:cs="Arial"/>
                <w:sz w:val="18"/>
                <w:szCs w:val="20"/>
              </w:rPr>
            </w:pPr>
          </w:p>
        </w:tc>
        <w:tc>
          <w:tcPr>
            <w:tcW w:w="1495" w:type="dxa"/>
            <w:vMerge/>
            <w:vAlign w:val="center"/>
            <w:hideMark/>
          </w:tcPr>
          <w:p w:rsidR="00685184" w:rsidRPr="0091560A" w:rsidRDefault="00685184" w:rsidP="00685184">
            <w:pPr>
              <w:rPr>
                <w:rFonts w:ascii="Arial" w:hAnsi="Arial" w:cs="Arial"/>
                <w:sz w:val="18"/>
                <w:szCs w:val="20"/>
              </w:rPr>
            </w:pPr>
          </w:p>
        </w:tc>
        <w:tc>
          <w:tcPr>
            <w:tcW w:w="1196" w:type="dxa"/>
            <w:vMerge/>
            <w:vAlign w:val="center"/>
            <w:hideMark/>
          </w:tcPr>
          <w:p w:rsidR="00685184" w:rsidRPr="0091560A" w:rsidRDefault="00685184" w:rsidP="00685184">
            <w:pPr>
              <w:rPr>
                <w:rFonts w:ascii="Arial" w:hAnsi="Arial" w:cs="Arial"/>
                <w:sz w:val="18"/>
                <w:szCs w:val="20"/>
              </w:rPr>
            </w:pPr>
          </w:p>
        </w:tc>
      </w:tr>
      <w:tr w:rsidR="00685184" w:rsidRPr="0091560A" w:rsidTr="00685184">
        <w:trPr>
          <w:trHeight w:hRule="exact" w:val="58"/>
        </w:trPr>
        <w:tc>
          <w:tcPr>
            <w:tcW w:w="760" w:type="dxa"/>
            <w:vMerge/>
            <w:vAlign w:val="center"/>
            <w:hideMark/>
          </w:tcPr>
          <w:p w:rsidR="00685184" w:rsidRPr="0091560A" w:rsidRDefault="00685184" w:rsidP="00685184">
            <w:pPr>
              <w:rPr>
                <w:rFonts w:ascii="Arial" w:hAnsi="Arial" w:cs="Arial"/>
                <w:sz w:val="18"/>
                <w:szCs w:val="20"/>
              </w:rPr>
            </w:pPr>
          </w:p>
        </w:tc>
        <w:tc>
          <w:tcPr>
            <w:tcW w:w="1563" w:type="dxa"/>
            <w:vMerge w:val="restart"/>
            <w:shd w:val="clear" w:color="auto" w:fill="auto"/>
            <w:vAlign w:val="center"/>
            <w:hideMark/>
          </w:tcPr>
          <w:p w:rsidR="00685184" w:rsidRPr="0091560A" w:rsidRDefault="00685184" w:rsidP="00685184">
            <w:pPr>
              <w:jc w:val="center"/>
              <w:rPr>
                <w:rFonts w:ascii="Arial" w:hAnsi="Arial" w:cs="Arial"/>
                <w:sz w:val="18"/>
                <w:szCs w:val="20"/>
              </w:rPr>
            </w:pPr>
            <w:r w:rsidRPr="0091560A">
              <w:rPr>
                <w:rFonts w:ascii="Arial" w:hAnsi="Arial" w:cs="Arial"/>
                <w:sz w:val="18"/>
                <w:szCs w:val="20"/>
              </w:rPr>
              <w:t>Východoslovenský</w:t>
            </w:r>
          </w:p>
        </w:tc>
        <w:tc>
          <w:tcPr>
            <w:tcW w:w="1456" w:type="dxa"/>
            <w:vMerge w:val="restart"/>
            <w:shd w:val="clear" w:color="auto" w:fill="auto"/>
            <w:vAlign w:val="center"/>
            <w:hideMark/>
          </w:tcPr>
          <w:p w:rsidR="00685184" w:rsidRPr="0091560A" w:rsidRDefault="00685184" w:rsidP="00685184">
            <w:pPr>
              <w:jc w:val="center"/>
              <w:rPr>
                <w:rFonts w:ascii="Arial" w:hAnsi="Arial" w:cs="Arial"/>
                <w:sz w:val="18"/>
                <w:szCs w:val="20"/>
              </w:rPr>
            </w:pPr>
            <w:r w:rsidRPr="0091560A">
              <w:rPr>
                <w:rFonts w:ascii="Arial" w:hAnsi="Arial" w:cs="Arial"/>
                <w:sz w:val="18"/>
                <w:szCs w:val="20"/>
              </w:rPr>
              <w:t>17 308 115</w:t>
            </w:r>
          </w:p>
        </w:tc>
        <w:tc>
          <w:tcPr>
            <w:tcW w:w="1456" w:type="dxa"/>
            <w:vMerge w:val="restart"/>
            <w:shd w:val="clear" w:color="auto" w:fill="auto"/>
            <w:vAlign w:val="center"/>
            <w:hideMark/>
          </w:tcPr>
          <w:p w:rsidR="00685184" w:rsidRPr="0091560A" w:rsidRDefault="00685184" w:rsidP="00685184">
            <w:pPr>
              <w:jc w:val="center"/>
              <w:rPr>
                <w:rFonts w:ascii="Arial" w:hAnsi="Arial" w:cs="Arial"/>
                <w:sz w:val="18"/>
                <w:szCs w:val="20"/>
              </w:rPr>
            </w:pPr>
            <w:r w:rsidRPr="0091560A">
              <w:rPr>
                <w:rFonts w:ascii="Arial" w:hAnsi="Arial" w:cs="Arial"/>
                <w:sz w:val="18"/>
                <w:szCs w:val="20"/>
              </w:rPr>
              <w:t>15,62%</w:t>
            </w:r>
          </w:p>
        </w:tc>
        <w:tc>
          <w:tcPr>
            <w:tcW w:w="1298" w:type="dxa"/>
            <w:vMerge w:val="restart"/>
            <w:shd w:val="clear" w:color="auto" w:fill="auto"/>
            <w:vAlign w:val="center"/>
            <w:hideMark/>
          </w:tcPr>
          <w:p w:rsidR="00685184" w:rsidRPr="0091560A" w:rsidRDefault="00685184" w:rsidP="00685184">
            <w:pPr>
              <w:jc w:val="center"/>
              <w:rPr>
                <w:rFonts w:ascii="Arial" w:hAnsi="Arial" w:cs="Arial"/>
                <w:sz w:val="18"/>
                <w:szCs w:val="20"/>
              </w:rPr>
            </w:pPr>
            <w:r w:rsidRPr="0091560A">
              <w:rPr>
                <w:rFonts w:ascii="Arial" w:hAnsi="Arial" w:cs="Arial"/>
                <w:sz w:val="18"/>
                <w:szCs w:val="20"/>
              </w:rPr>
              <w:t>2 703 055</w:t>
            </w:r>
          </w:p>
        </w:tc>
        <w:tc>
          <w:tcPr>
            <w:tcW w:w="1495" w:type="dxa"/>
            <w:vMerge w:val="restart"/>
            <w:shd w:val="clear" w:color="auto" w:fill="auto"/>
            <w:vAlign w:val="center"/>
            <w:hideMark/>
          </w:tcPr>
          <w:p w:rsidR="00685184" w:rsidRPr="0091560A" w:rsidRDefault="00685184" w:rsidP="00685184">
            <w:pPr>
              <w:jc w:val="center"/>
              <w:rPr>
                <w:rFonts w:ascii="Arial" w:hAnsi="Arial" w:cs="Arial"/>
                <w:sz w:val="18"/>
                <w:szCs w:val="20"/>
              </w:rPr>
            </w:pPr>
            <w:r w:rsidRPr="0091560A">
              <w:rPr>
                <w:rFonts w:ascii="Arial" w:hAnsi="Arial" w:cs="Arial"/>
                <w:sz w:val="18"/>
                <w:szCs w:val="20"/>
              </w:rPr>
              <w:t>13,26%</w:t>
            </w:r>
          </w:p>
        </w:tc>
        <w:tc>
          <w:tcPr>
            <w:tcW w:w="1196" w:type="dxa"/>
            <w:vMerge w:val="restart"/>
            <w:shd w:val="clear" w:color="auto" w:fill="auto"/>
            <w:vAlign w:val="center"/>
            <w:hideMark/>
          </w:tcPr>
          <w:p w:rsidR="00685184" w:rsidRPr="0091560A" w:rsidRDefault="00685184" w:rsidP="00685184">
            <w:pPr>
              <w:jc w:val="center"/>
              <w:rPr>
                <w:rFonts w:ascii="Arial" w:hAnsi="Arial" w:cs="Arial"/>
                <w:sz w:val="18"/>
                <w:szCs w:val="20"/>
              </w:rPr>
            </w:pPr>
            <w:r w:rsidRPr="0091560A">
              <w:rPr>
                <w:rFonts w:ascii="Arial" w:hAnsi="Arial" w:cs="Arial"/>
                <w:sz w:val="18"/>
                <w:szCs w:val="20"/>
              </w:rPr>
              <w:t>15,62%</w:t>
            </w:r>
          </w:p>
        </w:tc>
      </w:tr>
      <w:tr w:rsidR="00685184" w:rsidRPr="0091560A" w:rsidTr="00685184">
        <w:trPr>
          <w:trHeight w:val="265"/>
        </w:trPr>
        <w:tc>
          <w:tcPr>
            <w:tcW w:w="760" w:type="dxa"/>
            <w:vMerge/>
            <w:vAlign w:val="center"/>
            <w:hideMark/>
          </w:tcPr>
          <w:p w:rsidR="00685184" w:rsidRPr="0091560A" w:rsidRDefault="00685184" w:rsidP="00685184">
            <w:pPr>
              <w:rPr>
                <w:rFonts w:ascii="Arial" w:hAnsi="Arial" w:cs="Arial"/>
                <w:sz w:val="18"/>
                <w:szCs w:val="20"/>
              </w:rPr>
            </w:pPr>
          </w:p>
        </w:tc>
        <w:tc>
          <w:tcPr>
            <w:tcW w:w="1563" w:type="dxa"/>
            <w:vMerge/>
            <w:vAlign w:val="center"/>
            <w:hideMark/>
          </w:tcPr>
          <w:p w:rsidR="00685184" w:rsidRPr="0091560A" w:rsidRDefault="00685184" w:rsidP="00685184">
            <w:pPr>
              <w:rPr>
                <w:rFonts w:ascii="Arial" w:hAnsi="Arial" w:cs="Arial"/>
                <w:sz w:val="18"/>
                <w:szCs w:val="20"/>
              </w:rPr>
            </w:pPr>
          </w:p>
        </w:tc>
        <w:tc>
          <w:tcPr>
            <w:tcW w:w="1456" w:type="dxa"/>
            <w:vMerge/>
            <w:vAlign w:val="center"/>
            <w:hideMark/>
          </w:tcPr>
          <w:p w:rsidR="00685184" w:rsidRPr="0091560A" w:rsidRDefault="00685184" w:rsidP="00685184">
            <w:pPr>
              <w:rPr>
                <w:rFonts w:ascii="Arial" w:hAnsi="Arial" w:cs="Arial"/>
                <w:sz w:val="18"/>
                <w:szCs w:val="20"/>
              </w:rPr>
            </w:pPr>
          </w:p>
        </w:tc>
        <w:tc>
          <w:tcPr>
            <w:tcW w:w="1456" w:type="dxa"/>
            <w:vMerge/>
            <w:vAlign w:val="center"/>
            <w:hideMark/>
          </w:tcPr>
          <w:p w:rsidR="00685184" w:rsidRPr="0091560A" w:rsidRDefault="00685184" w:rsidP="00685184">
            <w:pPr>
              <w:rPr>
                <w:rFonts w:ascii="Arial" w:hAnsi="Arial" w:cs="Arial"/>
                <w:sz w:val="18"/>
                <w:szCs w:val="20"/>
              </w:rPr>
            </w:pPr>
          </w:p>
        </w:tc>
        <w:tc>
          <w:tcPr>
            <w:tcW w:w="1298" w:type="dxa"/>
            <w:vMerge/>
            <w:vAlign w:val="center"/>
            <w:hideMark/>
          </w:tcPr>
          <w:p w:rsidR="00685184" w:rsidRPr="0091560A" w:rsidRDefault="00685184" w:rsidP="00685184">
            <w:pPr>
              <w:rPr>
                <w:rFonts w:ascii="Arial" w:hAnsi="Arial" w:cs="Arial"/>
                <w:sz w:val="18"/>
                <w:szCs w:val="20"/>
              </w:rPr>
            </w:pPr>
          </w:p>
        </w:tc>
        <w:tc>
          <w:tcPr>
            <w:tcW w:w="1495" w:type="dxa"/>
            <w:vMerge/>
            <w:vAlign w:val="center"/>
            <w:hideMark/>
          </w:tcPr>
          <w:p w:rsidR="00685184" w:rsidRPr="0091560A" w:rsidRDefault="00685184" w:rsidP="00685184">
            <w:pPr>
              <w:rPr>
                <w:rFonts w:ascii="Arial" w:hAnsi="Arial" w:cs="Arial"/>
                <w:sz w:val="18"/>
                <w:szCs w:val="20"/>
              </w:rPr>
            </w:pPr>
          </w:p>
        </w:tc>
        <w:tc>
          <w:tcPr>
            <w:tcW w:w="1196" w:type="dxa"/>
            <w:vMerge/>
            <w:vAlign w:val="center"/>
            <w:hideMark/>
          </w:tcPr>
          <w:p w:rsidR="00685184" w:rsidRPr="0091560A" w:rsidRDefault="00685184" w:rsidP="00685184">
            <w:pPr>
              <w:rPr>
                <w:rFonts w:ascii="Arial" w:hAnsi="Arial" w:cs="Arial"/>
                <w:sz w:val="18"/>
                <w:szCs w:val="20"/>
              </w:rPr>
            </w:pPr>
          </w:p>
        </w:tc>
      </w:tr>
      <w:tr w:rsidR="00685184" w:rsidRPr="0091560A" w:rsidTr="00685184">
        <w:trPr>
          <w:trHeight w:val="265"/>
        </w:trPr>
        <w:tc>
          <w:tcPr>
            <w:tcW w:w="760" w:type="dxa"/>
            <w:vMerge/>
            <w:tcBorders>
              <w:bottom w:val="single" w:sz="8" w:space="0" w:color="auto"/>
            </w:tcBorders>
            <w:vAlign w:val="center"/>
            <w:hideMark/>
          </w:tcPr>
          <w:p w:rsidR="00685184" w:rsidRPr="0091560A" w:rsidRDefault="00685184" w:rsidP="00685184">
            <w:pPr>
              <w:rPr>
                <w:rFonts w:ascii="Arial" w:hAnsi="Arial" w:cs="Arial"/>
                <w:sz w:val="18"/>
                <w:szCs w:val="20"/>
              </w:rPr>
            </w:pPr>
          </w:p>
        </w:tc>
        <w:tc>
          <w:tcPr>
            <w:tcW w:w="1563" w:type="dxa"/>
            <w:tcBorders>
              <w:bottom w:val="single" w:sz="8" w:space="0" w:color="auto"/>
            </w:tcBorders>
            <w:shd w:val="clear" w:color="auto" w:fill="auto"/>
            <w:hideMark/>
          </w:tcPr>
          <w:p w:rsidR="00685184" w:rsidRPr="0091560A" w:rsidRDefault="00685184" w:rsidP="00685184">
            <w:pPr>
              <w:jc w:val="center"/>
              <w:rPr>
                <w:rFonts w:ascii="Arial" w:hAnsi="Arial" w:cs="Arial"/>
                <w:b/>
                <w:bCs/>
                <w:sz w:val="18"/>
                <w:szCs w:val="20"/>
              </w:rPr>
            </w:pPr>
          </w:p>
        </w:tc>
        <w:tc>
          <w:tcPr>
            <w:tcW w:w="1456" w:type="dxa"/>
            <w:tcBorders>
              <w:bottom w:val="single" w:sz="8" w:space="0" w:color="auto"/>
            </w:tcBorders>
            <w:shd w:val="clear" w:color="auto" w:fill="auto"/>
            <w:hideMark/>
          </w:tcPr>
          <w:p w:rsidR="00685184" w:rsidRPr="0091560A" w:rsidRDefault="00685184" w:rsidP="00685184">
            <w:pPr>
              <w:jc w:val="center"/>
              <w:rPr>
                <w:rFonts w:ascii="Arial" w:hAnsi="Arial" w:cs="Arial"/>
                <w:b/>
                <w:bCs/>
                <w:sz w:val="18"/>
                <w:szCs w:val="20"/>
              </w:rPr>
            </w:pPr>
            <w:r w:rsidRPr="0091560A">
              <w:rPr>
                <w:rFonts w:ascii="Arial" w:hAnsi="Arial" w:cs="Arial"/>
                <w:b/>
                <w:bCs/>
                <w:sz w:val="18"/>
                <w:szCs w:val="20"/>
              </w:rPr>
              <w:t>50 756 935</w:t>
            </w:r>
          </w:p>
        </w:tc>
        <w:tc>
          <w:tcPr>
            <w:tcW w:w="1456" w:type="dxa"/>
            <w:tcBorders>
              <w:bottom w:val="single" w:sz="8" w:space="0" w:color="auto"/>
            </w:tcBorders>
            <w:shd w:val="clear" w:color="000000" w:fill="BFBFBF"/>
            <w:hideMark/>
          </w:tcPr>
          <w:p w:rsidR="00685184" w:rsidRPr="0091560A" w:rsidRDefault="00685184" w:rsidP="00685184">
            <w:pPr>
              <w:jc w:val="center"/>
              <w:rPr>
                <w:rFonts w:ascii="Arial" w:hAnsi="Arial" w:cs="Arial"/>
                <w:b/>
                <w:bCs/>
                <w:sz w:val="18"/>
                <w:szCs w:val="20"/>
              </w:rPr>
            </w:pPr>
          </w:p>
        </w:tc>
        <w:tc>
          <w:tcPr>
            <w:tcW w:w="1298" w:type="dxa"/>
            <w:tcBorders>
              <w:bottom w:val="single" w:sz="8" w:space="0" w:color="auto"/>
            </w:tcBorders>
            <w:shd w:val="clear" w:color="auto" w:fill="auto"/>
            <w:hideMark/>
          </w:tcPr>
          <w:p w:rsidR="00685184" w:rsidRPr="0091560A" w:rsidRDefault="00685184" w:rsidP="00685184">
            <w:pPr>
              <w:jc w:val="center"/>
              <w:rPr>
                <w:rFonts w:ascii="Arial" w:hAnsi="Arial" w:cs="Arial"/>
                <w:b/>
                <w:bCs/>
                <w:sz w:val="18"/>
                <w:szCs w:val="20"/>
              </w:rPr>
            </w:pPr>
            <w:r w:rsidRPr="0091560A">
              <w:rPr>
                <w:rFonts w:ascii="Arial" w:hAnsi="Arial" w:cs="Arial"/>
                <w:b/>
                <w:bCs/>
                <w:sz w:val="18"/>
                <w:szCs w:val="20"/>
              </w:rPr>
              <w:t>20 386 631</w:t>
            </w:r>
          </w:p>
        </w:tc>
        <w:tc>
          <w:tcPr>
            <w:tcW w:w="1495" w:type="dxa"/>
            <w:tcBorders>
              <w:bottom w:val="single" w:sz="8" w:space="0" w:color="auto"/>
            </w:tcBorders>
            <w:shd w:val="clear" w:color="auto" w:fill="auto"/>
            <w:hideMark/>
          </w:tcPr>
          <w:p w:rsidR="00685184" w:rsidRPr="0091560A" w:rsidRDefault="00685184" w:rsidP="00685184">
            <w:pPr>
              <w:jc w:val="center"/>
              <w:rPr>
                <w:rFonts w:ascii="Arial" w:hAnsi="Arial" w:cs="Arial"/>
                <w:b/>
                <w:bCs/>
                <w:sz w:val="18"/>
                <w:szCs w:val="20"/>
              </w:rPr>
            </w:pPr>
            <w:r w:rsidRPr="0091560A">
              <w:rPr>
                <w:rFonts w:ascii="Arial" w:hAnsi="Arial" w:cs="Arial"/>
                <w:b/>
                <w:bCs/>
                <w:sz w:val="18"/>
                <w:szCs w:val="20"/>
              </w:rPr>
              <w:t>100,00%</w:t>
            </w:r>
          </w:p>
        </w:tc>
        <w:tc>
          <w:tcPr>
            <w:tcW w:w="1196" w:type="dxa"/>
            <w:tcBorders>
              <w:bottom w:val="single" w:sz="8" w:space="0" w:color="auto"/>
            </w:tcBorders>
            <w:shd w:val="clear" w:color="auto" w:fill="auto"/>
            <w:hideMark/>
          </w:tcPr>
          <w:p w:rsidR="00685184" w:rsidRPr="0091560A" w:rsidRDefault="00685184" w:rsidP="00685184">
            <w:pPr>
              <w:jc w:val="center"/>
              <w:rPr>
                <w:rFonts w:ascii="Arial" w:hAnsi="Arial" w:cs="Arial"/>
                <w:b/>
                <w:bCs/>
                <w:sz w:val="18"/>
                <w:szCs w:val="20"/>
              </w:rPr>
            </w:pPr>
            <w:r w:rsidRPr="0091560A">
              <w:rPr>
                <w:rFonts w:ascii="Arial" w:hAnsi="Arial" w:cs="Arial"/>
                <w:b/>
                <w:bCs/>
                <w:sz w:val="18"/>
                <w:szCs w:val="20"/>
              </w:rPr>
              <w:t>40,17%</w:t>
            </w:r>
          </w:p>
        </w:tc>
      </w:tr>
      <w:tr w:rsidR="00685184" w:rsidRPr="0091560A" w:rsidTr="00685184">
        <w:trPr>
          <w:trHeight w:hRule="exact" w:val="232"/>
        </w:trPr>
        <w:tc>
          <w:tcPr>
            <w:tcW w:w="760" w:type="dxa"/>
            <w:vMerge w:val="restart"/>
            <w:shd w:val="clear" w:color="auto" w:fill="auto"/>
            <w:vAlign w:val="center"/>
            <w:hideMark/>
          </w:tcPr>
          <w:p w:rsidR="00685184" w:rsidRPr="0091560A" w:rsidRDefault="00685184" w:rsidP="00685184">
            <w:pPr>
              <w:jc w:val="center"/>
              <w:rPr>
                <w:rFonts w:ascii="Arial" w:hAnsi="Arial" w:cs="Arial"/>
                <w:sz w:val="18"/>
                <w:szCs w:val="20"/>
              </w:rPr>
            </w:pPr>
            <w:r w:rsidRPr="0091560A">
              <w:rPr>
                <w:rFonts w:ascii="Arial" w:hAnsi="Arial" w:cs="Arial"/>
                <w:sz w:val="18"/>
                <w:szCs w:val="20"/>
              </w:rPr>
              <w:t>PO 6</w:t>
            </w:r>
          </w:p>
        </w:tc>
        <w:tc>
          <w:tcPr>
            <w:tcW w:w="1563" w:type="dxa"/>
            <w:shd w:val="clear" w:color="auto" w:fill="auto"/>
            <w:vAlign w:val="center"/>
            <w:hideMark/>
          </w:tcPr>
          <w:p w:rsidR="00685184" w:rsidRPr="0091560A" w:rsidRDefault="00685184" w:rsidP="00685184">
            <w:pPr>
              <w:jc w:val="center"/>
              <w:rPr>
                <w:rFonts w:ascii="Arial" w:hAnsi="Arial" w:cs="Arial"/>
                <w:sz w:val="18"/>
                <w:szCs w:val="20"/>
              </w:rPr>
            </w:pPr>
            <w:r w:rsidRPr="0091560A">
              <w:rPr>
                <w:rFonts w:ascii="Arial" w:hAnsi="Arial" w:cs="Arial"/>
                <w:sz w:val="18"/>
                <w:szCs w:val="20"/>
              </w:rPr>
              <w:t>Bratislavský</w:t>
            </w:r>
          </w:p>
        </w:tc>
        <w:tc>
          <w:tcPr>
            <w:tcW w:w="1456" w:type="dxa"/>
            <w:shd w:val="clear" w:color="auto" w:fill="auto"/>
            <w:vAlign w:val="center"/>
            <w:hideMark/>
          </w:tcPr>
          <w:p w:rsidR="00685184" w:rsidRPr="0091560A" w:rsidRDefault="00685184" w:rsidP="00685184">
            <w:pPr>
              <w:jc w:val="center"/>
              <w:rPr>
                <w:rFonts w:ascii="Arial" w:hAnsi="Arial" w:cs="Arial"/>
                <w:sz w:val="18"/>
                <w:szCs w:val="20"/>
              </w:rPr>
            </w:pPr>
            <w:r w:rsidRPr="0091560A">
              <w:rPr>
                <w:rFonts w:ascii="Arial" w:hAnsi="Arial" w:cs="Arial"/>
                <w:sz w:val="18"/>
                <w:szCs w:val="20"/>
              </w:rPr>
              <w:t>0</w:t>
            </w:r>
          </w:p>
        </w:tc>
        <w:tc>
          <w:tcPr>
            <w:tcW w:w="1456" w:type="dxa"/>
            <w:shd w:val="clear" w:color="auto" w:fill="auto"/>
            <w:vAlign w:val="center"/>
            <w:hideMark/>
          </w:tcPr>
          <w:p w:rsidR="00685184" w:rsidRPr="0091560A" w:rsidRDefault="00685184" w:rsidP="00685184">
            <w:pPr>
              <w:jc w:val="center"/>
              <w:rPr>
                <w:rFonts w:ascii="Arial" w:hAnsi="Arial" w:cs="Arial"/>
                <w:sz w:val="18"/>
                <w:szCs w:val="20"/>
              </w:rPr>
            </w:pPr>
            <w:r w:rsidRPr="0091560A">
              <w:rPr>
                <w:rFonts w:ascii="Arial" w:hAnsi="Arial" w:cs="Arial"/>
                <w:sz w:val="18"/>
                <w:szCs w:val="20"/>
              </w:rPr>
              <w:t>0,00%</w:t>
            </w:r>
          </w:p>
        </w:tc>
        <w:tc>
          <w:tcPr>
            <w:tcW w:w="1298" w:type="dxa"/>
            <w:shd w:val="clear" w:color="auto" w:fill="auto"/>
            <w:vAlign w:val="center"/>
            <w:hideMark/>
          </w:tcPr>
          <w:p w:rsidR="00685184" w:rsidRPr="0091560A" w:rsidRDefault="00685184" w:rsidP="00685184">
            <w:pPr>
              <w:jc w:val="center"/>
              <w:rPr>
                <w:rFonts w:ascii="Arial" w:hAnsi="Arial" w:cs="Arial"/>
                <w:sz w:val="18"/>
                <w:szCs w:val="20"/>
              </w:rPr>
            </w:pPr>
            <w:r w:rsidRPr="0091560A">
              <w:rPr>
                <w:rFonts w:ascii="Arial" w:hAnsi="Arial" w:cs="Arial"/>
                <w:sz w:val="18"/>
                <w:szCs w:val="20"/>
              </w:rPr>
              <w:t>0</w:t>
            </w:r>
          </w:p>
        </w:tc>
        <w:tc>
          <w:tcPr>
            <w:tcW w:w="1495" w:type="dxa"/>
            <w:shd w:val="clear" w:color="auto" w:fill="auto"/>
            <w:vAlign w:val="center"/>
            <w:hideMark/>
          </w:tcPr>
          <w:p w:rsidR="00685184" w:rsidRPr="0091560A" w:rsidRDefault="00685184" w:rsidP="00685184">
            <w:pPr>
              <w:jc w:val="center"/>
              <w:rPr>
                <w:rFonts w:ascii="Arial" w:hAnsi="Arial" w:cs="Arial"/>
                <w:sz w:val="18"/>
                <w:szCs w:val="20"/>
              </w:rPr>
            </w:pPr>
            <w:r w:rsidRPr="0091560A">
              <w:rPr>
                <w:rFonts w:ascii="Arial" w:hAnsi="Arial" w:cs="Arial"/>
                <w:sz w:val="18"/>
                <w:szCs w:val="20"/>
              </w:rPr>
              <w:t>0,00%</w:t>
            </w:r>
          </w:p>
        </w:tc>
        <w:tc>
          <w:tcPr>
            <w:tcW w:w="1196" w:type="dxa"/>
            <w:shd w:val="clear" w:color="auto" w:fill="auto"/>
            <w:vAlign w:val="center"/>
            <w:hideMark/>
          </w:tcPr>
          <w:p w:rsidR="00685184" w:rsidRPr="0091560A" w:rsidRDefault="00685184" w:rsidP="00685184">
            <w:pPr>
              <w:jc w:val="center"/>
              <w:rPr>
                <w:rFonts w:ascii="Arial" w:hAnsi="Arial" w:cs="Arial"/>
                <w:sz w:val="18"/>
                <w:szCs w:val="20"/>
              </w:rPr>
            </w:pPr>
            <w:r w:rsidRPr="0091560A">
              <w:rPr>
                <w:rFonts w:ascii="Arial" w:hAnsi="Arial" w:cs="Arial"/>
                <w:sz w:val="18"/>
                <w:szCs w:val="20"/>
              </w:rPr>
              <w:t>0,00%</w:t>
            </w:r>
          </w:p>
        </w:tc>
      </w:tr>
      <w:tr w:rsidR="00685184" w:rsidRPr="0091560A" w:rsidTr="00685184">
        <w:trPr>
          <w:trHeight w:hRule="exact" w:val="58"/>
        </w:trPr>
        <w:tc>
          <w:tcPr>
            <w:tcW w:w="760" w:type="dxa"/>
            <w:vMerge/>
            <w:vAlign w:val="center"/>
            <w:hideMark/>
          </w:tcPr>
          <w:p w:rsidR="00685184" w:rsidRPr="0091560A" w:rsidRDefault="00685184" w:rsidP="00685184">
            <w:pPr>
              <w:rPr>
                <w:rFonts w:ascii="Arial" w:hAnsi="Arial" w:cs="Arial"/>
                <w:sz w:val="18"/>
                <w:szCs w:val="20"/>
              </w:rPr>
            </w:pPr>
          </w:p>
        </w:tc>
        <w:tc>
          <w:tcPr>
            <w:tcW w:w="1563" w:type="dxa"/>
            <w:vMerge w:val="restart"/>
            <w:shd w:val="clear" w:color="auto" w:fill="auto"/>
            <w:vAlign w:val="center"/>
            <w:hideMark/>
          </w:tcPr>
          <w:p w:rsidR="00685184" w:rsidRPr="0091560A" w:rsidRDefault="00685184" w:rsidP="00685184">
            <w:pPr>
              <w:jc w:val="center"/>
              <w:rPr>
                <w:rFonts w:ascii="Arial" w:hAnsi="Arial" w:cs="Arial"/>
                <w:sz w:val="18"/>
                <w:szCs w:val="20"/>
              </w:rPr>
            </w:pPr>
            <w:r w:rsidRPr="0091560A">
              <w:rPr>
                <w:rFonts w:ascii="Arial" w:hAnsi="Arial" w:cs="Arial"/>
                <w:sz w:val="18"/>
                <w:szCs w:val="20"/>
              </w:rPr>
              <w:t>Západoslovenský</w:t>
            </w:r>
          </w:p>
        </w:tc>
        <w:tc>
          <w:tcPr>
            <w:tcW w:w="1456" w:type="dxa"/>
            <w:vMerge w:val="restart"/>
            <w:shd w:val="clear" w:color="auto" w:fill="auto"/>
            <w:vAlign w:val="center"/>
            <w:hideMark/>
          </w:tcPr>
          <w:p w:rsidR="00685184" w:rsidRPr="0091560A" w:rsidRDefault="00685184" w:rsidP="00685184">
            <w:pPr>
              <w:jc w:val="center"/>
              <w:rPr>
                <w:rFonts w:ascii="Arial" w:hAnsi="Arial" w:cs="Arial"/>
                <w:sz w:val="18"/>
                <w:szCs w:val="20"/>
              </w:rPr>
            </w:pPr>
            <w:r w:rsidRPr="0091560A">
              <w:rPr>
                <w:rFonts w:ascii="Arial" w:hAnsi="Arial" w:cs="Arial"/>
                <w:sz w:val="18"/>
                <w:szCs w:val="20"/>
              </w:rPr>
              <w:t>0</w:t>
            </w:r>
          </w:p>
        </w:tc>
        <w:tc>
          <w:tcPr>
            <w:tcW w:w="1456" w:type="dxa"/>
            <w:vMerge w:val="restart"/>
            <w:shd w:val="clear" w:color="auto" w:fill="auto"/>
            <w:vAlign w:val="center"/>
            <w:hideMark/>
          </w:tcPr>
          <w:p w:rsidR="00685184" w:rsidRPr="0091560A" w:rsidRDefault="00685184" w:rsidP="00685184">
            <w:pPr>
              <w:jc w:val="center"/>
              <w:rPr>
                <w:rFonts w:ascii="Arial" w:hAnsi="Arial" w:cs="Arial"/>
                <w:sz w:val="18"/>
                <w:szCs w:val="20"/>
              </w:rPr>
            </w:pPr>
            <w:r w:rsidRPr="0091560A">
              <w:rPr>
                <w:rFonts w:ascii="Arial" w:hAnsi="Arial" w:cs="Arial"/>
                <w:sz w:val="18"/>
                <w:szCs w:val="20"/>
              </w:rPr>
              <w:t>0,00%</w:t>
            </w:r>
          </w:p>
        </w:tc>
        <w:tc>
          <w:tcPr>
            <w:tcW w:w="1298" w:type="dxa"/>
            <w:vMerge w:val="restart"/>
            <w:shd w:val="clear" w:color="auto" w:fill="auto"/>
            <w:vAlign w:val="center"/>
            <w:hideMark/>
          </w:tcPr>
          <w:p w:rsidR="00685184" w:rsidRPr="0091560A" w:rsidRDefault="00685184" w:rsidP="00685184">
            <w:pPr>
              <w:jc w:val="center"/>
              <w:rPr>
                <w:rFonts w:ascii="Arial" w:hAnsi="Arial" w:cs="Arial"/>
                <w:sz w:val="18"/>
                <w:szCs w:val="20"/>
              </w:rPr>
            </w:pPr>
            <w:r w:rsidRPr="0091560A">
              <w:rPr>
                <w:rFonts w:ascii="Arial" w:hAnsi="Arial" w:cs="Arial"/>
                <w:sz w:val="18"/>
                <w:szCs w:val="20"/>
              </w:rPr>
              <w:t>0</w:t>
            </w:r>
          </w:p>
        </w:tc>
        <w:tc>
          <w:tcPr>
            <w:tcW w:w="1495" w:type="dxa"/>
            <w:vMerge w:val="restart"/>
            <w:shd w:val="clear" w:color="auto" w:fill="auto"/>
            <w:vAlign w:val="center"/>
            <w:hideMark/>
          </w:tcPr>
          <w:p w:rsidR="00685184" w:rsidRPr="0091560A" w:rsidRDefault="00685184" w:rsidP="00685184">
            <w:pPr>
              <w:jc w:val="center"/>
              <w:rPr>
                <w:rFonts w:ascii="Arial" w:hAnsi="Arial" w:cs="Arial"/>
                <w:sz w:val="18"/>
                <w:szCs w:val="20"/>
              </w:rPr>
            </w:pPr>
            <w:r w:rsidRPr="0091560A">
              <w:rPr>
                <w:rFonts w:ascii="Arial" w:hAnsi="Arial" w:cs="Arial"/>
                <w:sz w:val="18"/>
                <w:szCs w:val="20"/>
              </w:rPr>
              <w:t>0,00%</w:t>
            </w:r>
          </w:p>
        </w:tc>
        <w:tc>
          <w:tcPr>
            <w:tcW w:w="1196" w:type="dxa"/>
            <w:vMerge w:val="restart"/>
            <w:shd w:val="clear" w:color="auto" w:fill="auto"/>
            <w:vAlign w:val="center"/>
            <w:hideMark/>
          </w:tcPr>
          <w:p w:rsidR="00685184" w:rsidRPr="0091560A" w:rsidRDefault="00685184" w:rsidP="00685184">
            <w:pPr>
              <w:jc w:val="center"/>
              <w:rPr>
                <w:rFonts w:ascii="Arial" w:hAnsi="Arial" w:cs="Arial"/>
                <w:sz w:val="18"/>
                <w:szCs w:val="20"/>
              </w:rPr>
            </w:pPr>
            <w:r w:rsidRPr="0091560A">
              <w:rPr>
                <w:rFonts w:ascii="Arial" w:hAnsi="Arial" w:cs="Arial"/>
                <w:sz w:val="18"/>
                <w:szCs w:val="20"/>
              </w:rPr>
              <w:t>0,00%</w:t>
            </w:r>
          </w:p>
        </w:tc>
      </w:tr>
      <w:tr w:rsidR="00685184" w:rsidRPr="0091560A" w:rsidTr="00685184">
        <w:trPr>
          <w:trHeight w:hRule="exact" w:val="116"/>
        </w:trPr>
        <w:tc>
          <w:tcPr>
            <w:tcW w:w="760" w:type="dxa"/>
            <w:vMerge/>
            <w:vAlign w:val="center"/>
            <w:hideMark/>
          </w:tcPr>
          <w:p w:rsidR="00685184" w:rsidRPr="0091560A" w:rsidRDefault="00685184" w:rsidP="00685184">
            <w:pPr>
              <w:rPr>
                <w:rFonts w:ascii="Arial" w:hAnsi="Arial" w:cs="Arial"/>
                <w:sz w:val="18"/>
                <w:szCs w:val="20"/>
              </w:rPr>
            </w:pPr>
          </w:p>
        </w:tc>
        <w:tc>
          <w:tcPr>
            <w:tcW w:w="1563" w:type="dxa"/>
            <w:vMerge/>
            <w:vAlign w:val="center"/>
            <w:hideMark/>
          </w:tcPr>
          <w:p w:rsidR="00685184" w:rsidRPr="0091560A" w:rsidRDefault="00685184" w:rsidP="00685184">
            <w:pPr>
              <w:rPr>
                <w:rFonts w:ascii="Arial" w:hAnsi="Arial" w:cs="Arial"/>
                <w:sz w:val="18"/>
                <w:szCs w:val="20"/>
              </w:rPr>
            </w:pPr>
          </w:p>
        </w:tc>
        <w:tc>
          <w:tcPr>
            <w:tcW w:w="1456" w:type="dxa"/>
            <w:vMerge/>
            <w:vAlign w:val="center"/>
            <w:hideMark/>
          </w:tcPr>
          <w:p w:rsidR="00685184" w:rsidRPr="0091560A" w:rsidRDefault="00685184" w:rsidP="00685184">
            <w:pPr>
              <w:rPr>
                <w:rFonts w:ascii="Arial" w:hAnsi="Arial" w:cs="Arial"/>
                <w:sz w:val="18"/>
                <w:szCs w:val="20"/>
              </w:rPr>
            </w:pPr>
          </w:p>
        </w:tc>
        <w:tc>
          <w:tcPr>
            <w:tcW w:w="1456" w:type="dxa"/>
            <w:vMerge/>
            <w:vAlign w:val="center"/>
            <w:hideMark/>
          </w:tcPr>
          <w:p w:rsidR="00685184" w:rsidRPr="0091560A" w:rsidRDefault="00685184" w:rsidP="00685184">
            <w:pPr>
              <w:rPr>
                <w:rFonts w:ascii="Arial" w:hAnsi="Arial" w:cs="Arial"/>
                <w:sz w:val="18"/>
                <w:szCs w:val="20"/>
              </w:rPr>
            </w:pPr>
          </w:p>
        </w:tc>
        <w:tc>
          <w:tcPr>
            <w:tcW w:w="1298" w:type="dxa"/>
            <w:vMerge/>
            <w:vAlign w:val="center"/>
            <w:hideMark/>
          </w:tcPr>
          <w:p w:rsidR="00685184" w:rsidRPr="0091560A" w:rsidRDefault="00685184" w:rsidP="00685184">
            <w:pPr>
              <w:rPr>
                <w:rFonts w:ascii="Arial" w:hAnsi="Arial" w:cs="Arial"/>
                <w:sz w:val="18"/>
                <w:szCs w:val="20"/>
              </w:rPr>
            </w:pPr>
          </w:p>
        </w:tc>
        <w:tc>
          <w:tcPr>
            <w:tcW w:w="1495" w:type="dxa"/>
            <w:vMerge/>
            <w:vAlign w:val="center"/>
            <w:hideMark/>
          </w:tcPr>
          <w:p w:rsidR="00685184" w:rsidRPr="0091560A" w:rsidRDefault="00685184" w:rsidP="00685184">
            <w:pPr>
              <w:rPr>
                <w:rFonts w:ascii="Arial" w:hAnsi="Arial" w:cs="Arial"/>
                <w:sz w:val="18"/>
                <w:szCs w:val="20"/>
              </w:rPr>
            </w:pPr>
          </w:p>
        </w:tc>
        <w:tc>
          <w:tcPr>
            <w:tcW w:w="1196" w:type="dxa"/>
            <w:vMerge/>
            <w:vAlign w:val="center"/>
            <w:hideMark/>
          </w:tcPr>
          <w:p w:rsidR="00685184" w:rsidRPr="0091560A" w:rsidRDefault="00685184" w:rsidP="00685184">
            <w:pPr>
              <w:rPr>
                <w:rFonts w:ascii="Arial" w:hAnsi="Arial" w:cs="Arial"/>
                <w:sz w:val="18"/>
                <w:szCs w:val="20"/>
              </w:rPr>
            </w:pPr>
          </w:p>
        </w:tc>
      </w:tr>
      <w:tr w:rsidR="00685184" w:rsidRPr="0091560A" w:rsidTr="00685184">
        <w:trPr>
          <w:trHeight w:hRule="exact" w:val="116"/>
        </w:trPr>
        <w:tc>
          <w:tcPr>
            <w:tcW w:w="760" w:type="dxa"/>
            <w:vMerge/>
            <w:vAlign w:val="center"/>
            <w:hideMark/>
          </w:tcPr>
          <w:p w:rsidR="00685184" w:rsidRPr="0091560A" w:rsidRDefault="00685184" w:rsidP="00685184">
            <w:pPr>
              <w:rPr>
                <w:rFonts w:ascii="Arial" w:hAnsi="Arial" w:cs="Arial"/>
                <w:sz w:val="18"/>
                <w:szCs w:val="20"/>
              </w:rPr>
            </w:pPr>
          </w:p>
        </w:tc>
        <w:tc>
          <w:tcPr>
            <w:tcW w:w="1563" w:type="dxa"/>
            <w:vMerge/>
            <w:vAlign w:val="center"/>
            <w:hideMark/>
          </w:tcPr>
          <w:p w:rsidR="00685184" w:rsidRPr="0091560A" w:rsidRDefault="00685184" w:rsidP="00685184">
            <w:pPr>
              <w:rPr>
                <w:rFonts w:ascii="Arial" w:hAnsi="Arial" w:cs="Arial"/>
                <w:sz w:val="18"/>
                <w:szCs w:val="20"/>
              </w:rPr>
            </w:pPr>
          </w:p>
        </w:tc>
        <w:tc>
          <w:tcPr>
            <w:tcW w:w="1456" w:type="dxa"/>
            <w:vMerge/>
            <w:vAlign w:val="center"/>
            <w:hideMark/>
          </w:tcPr>
          <w:p w:rsidR="00685184" w:rsidRPr="0091560A" w:rsidRDefault="00685184" w:rsidP="00685184">
            <w:pPr>
              <w:rPr>
                <w:rFonts w:ascii="Arial" w:hAnsi="Arial" w:cs="Arial"/>
                <w:sz w:val="18"/>
                <w:szCs w:val="20"/>
              </w:rPr>
            </w:pPr>
          </w:p>
        </w:tc>
        <w:tc>
          <w:tcPr>
            <w:tcW w:w="1456" w:type="dxa"/>
            <w:vMerge/>
            <w:vAlign w:val="center"/>
            <w:hideMark/>
          </w:tcPr>
          <w:p w:rsidR="00685184" w:rsidRPr="0091560A" w:rsidRDefault="00685184" w:rsidP="00685184">
            <w:pPr>
              <w:rPr>
                <w:rFonts w:ascii="Arial" w:hAnsi="Arial" w:cs="Arial"/>
                <w:sz w:val="18"/>
                <w:szCs w:val="20"/>
              </w:rPr>
            </w:pPr>
          </w:p>
        </w:tc>
        <w:tc>
          <w:tcPr>
            <w:tcW w:w="1298" w:type="dxa"/>
            <w:vMerge/>
            <w:vAlign w:val="center"/>
            <w:hideMark/>
          </w:tcPr>
          <w:p w:rsidR="00685184" w:rsidRPr="0091560A" w:rsidRDefault="00685184" w:rsidP="00685184">
            <w:pPr>
              <w:rPr>
                <w:rFonts w:ascii="Arial" w:hAnsi="Arial" w:cs="Arial"/>
                <w:sz w:val="18"/>
                <w:szCs w:val="20"/>
              </w:rPr>
            </w:pPr>
          </w:p>
        </w:tc>
        <w:tc>
          <w:tcPr>
            <w:tcW w:w="1495" w:type="dxa"/>
            <w:vMerge/>
            <w:vAlign w:val="center"/>
            <w:hideMark/>
          </w:tcPr>
          <w:p w:rsidR="00685184" w:rsidRPr="0091560A" w:rsidRDefault="00685184" w:rsidP="00685184">
            <w:pPr>
              <w:rPr>
                <w:rFonts w:ascii="Arial" w:hAnsi="Arial" w:cs="Arial"/>
                <w:sz w:val="18"/>
                <w:szCs w:val="20"/>
              </w:rPr>
            </w:pPr>
          </w:p>
        </w:tc>
        <w:tc>
          <w:tcPr>
            <w:tcW w:w="1196" w:type="dxa"/>
            <w:vMerge/>
            <w:vAlign w:val="center"/>
            <w:hideMark/>
          </w:tcPr>
          <w:p w:rsidR="00685184" w:rsidRPr="0091560A" w:rsidRDefault="00685184" w:rsidP="00685184">
            <w:pPr>
              <w:rPr>
                <w:rFonts w:ascii="Arial" w:hAnsi="Arial" w:cs="Arial"/>
                <w:sz w:val="18"/>
                <w:szCs w:val="20"/>
              </w:rPr>
            </w:pPr>
          </w:p>
        </w:tc>
      </w:tr>
      <w:tr w:rsidR="0091560A" w:rsidRPr="0091560A" w:rsidTr="0091560A">
        <w:trPr>
          <w:trHeight w:hRule="exact" w:val="305"/>
        </w:trPr>
        <w:tc>
          <w:tcPr>
            <w:tcW w:w="760" w:type="dxa"/>
            <w:vMerge/>
            <w:vAlign w:val="center"/>
            <w:hideMark/>
          </w:tcPr>
          <w:p w:rsidR="00685184" w:rsidRPr="0091560A" w:rsidRDefault="00685184" w:rsidP="00685184">
            <w:pPr>
              <w:rPr>
                <w:rFonts w:ascii="Arial" w:hAnsi="Arial" w:cs="Arial"/>
                <w:sz w:val="18"/>
                <w:szCs w:val="20"/>
              </w:rPr>
            </w:pPr>
          </w:p>
        </w:tc>
        <w:tc>
          <w:tcPr>
            <w:tcW w:w="1563" w:type="dxa"/>
            <w:vMerge w:val="restart"/>
            <w:shd w:val="clear" w:color="auto" w:fill="auto"/>
            <w:vAlign w:val="center"/>
            <w:hideMark/>
          </w:tcPr>
          <w:p w:rsidR="00685184" w:rsidRPr="0091560A" w:rsidRDefault="00685184" w:rsidP="00685184">
            <w:pPr>
              <w:jc w:val="center"/>
              <w:rPr>
                <w:rFonts w:ascii="Arial" w:hAnsi="Arial" w:cs="Arial"/>
                <w:sz w:val="18"/>
                <w:szCs w:val="20"/>
              </w:rPr>
            </w:pPr>
            <w:r w:rsidRPr="0091560A">
              <w:rPr>
                <w:rFonts w:ascii="Arial" w:hAnsi="Arial" w:cs="Arial"/>
                <w:sz w:val="18"/>
                <w:szCs w:val="20"/>
              </w:rPr>
              <w:t>Stredoslovenský</w:t>
            </w:r>
          </w:p>
        </w:tc>
        <w:tc>
          <w:tcPr>
            <w:tcW w:w="1456" w:type="dxa"/>
            <w:vMerge w:val="restart"/>
            <w:shd w:val="clear" w:color="auto" w:fill="auto"/>
            <w:vAlign w:val="center"/>
            <w:hideMark/>
          </w:tcPr>
          <w:p w:rsidR="00685184" w:rsidRPr="0091560A" w:rsidRDefault="00685184" w:rsidP="00685184">
            <w:pPr>
              <w:jc w:val="center"/>
              <w:rPr>
                <w:rFonts w:ascii="Arial" w:hAnsi="Arial" w:cs="Arial"/>
                <w:sz w:val="18"/>
                <w:szCs w:val="20"/>
              </w:rPr>
            </w:pPr>
            <w:r w:rsidRPr="0091560A">
              <w:rPr>
                <w:rFonts w:ascii="Arial" w:hAnsi="Arial" w:cs="Arial"/>
                <w:sz w:val="18"/>
                <w:szCs w:val="20"/>
              </w:rPr>
              <w:t>0</w:t>
            </w:r>
          </w:p>
        </w:tc>
        <w:tc>
          <w:tcPr>
            <w:tcW w:w="1456" w:type="dxa"/>
            <w:vMerge w:val="restart"/>
            <w:shd w:val="clear" w:color="auto" w:fill="auto"/>
            <w:vAlign w:val="center"/>
            <w:hideMark/>
          </w:tcPr>
          <w:p w:rsidR="00685184" w:rsidRPr="0091560A" w:rsidRDefault="00685184" w:rsidP="00685184">
            <w:pPr>
              <w:jc w:val="center"/>
              <w:rPr>
                <w:rFonts w:ascii="Arial" w:hAnsi="Arial" w:cs="Arial"/>
                <w:sz w:val="18"/>
                <w:szCs w:val="20"/>
              </w:rPr>
            </w:pPr>
            <w:r w:rsidRPr="0091560A">
              <w:rPr>
                <w:rFonts w:ascii="Arial" w:hAnsi="Arial" w:cs="Arial"/>
                <w:sz w:val="18"/>
                <w:szCs w:val="20"/>
              </w:rPr>
              <w:t>0,00%</w:t>
            </w:r>
          </w:p>
        </w:tc>
        <w:tc>
          <w:tcPr>
            <w:tcW w:w="1298" w:type="dxa"/>
            <w:vMerge w:val="restart"/>
            <w:shd w:val="clear" w:color="auto" w:fill="auto"/>
            <w:vAlign w:val="center"/>
            <w:hideMark/>
          </w:tcPr>
          <w:p w:rsidR="00685184" w:rsidRPr="0091560A" w:rsidRDefault="00685184" w:rsidP="00685184">
            <w:pPr>
              <w:jc w:val="center"/>
              <w:rPr>
                <w:rFonts w:ascii="Arial" w:hAnsi="Arial" w:cs="Arial"/>
                <w:sz w:val="18"/>
                <w:szCs w:val="20"/>
              </w:rPr>
            </w:pPr>
            <w:r w:rsidRPr="0091560A">
              <w:rPr>
                <w:rFonts w:ascii="Arial" w:hAnsi="Arial" w:cs="Arial"/>
                <w:sz w:val="18"/>
                <w:szCs w:val="20"/>
              </w:rPr>
              <w:t>0</w:t>
            </w:r>
          </w:p>
        </w:tc>
        <w:tc>
          <w:tcPr>
            <w:tcW w:w="1495" w:type="dxa"/>
            <w:vMerge w:val="restart"/>
            <w:shd w:val="clear" w:color="auto" w:fill="auto"/>
            <w:vAlign w:val="center"/>
            <w:hideMark/>
          </w:tcPr>
          <w:p w:rsidR="00685184" w:rsidRPr="0091560A" w:rsidRDefault="00685184" w:rsidP="00685184">
            <w:pPr>
              <w:jc w:val="center"/>
              <w:rPr>
                <w:rFonts w:ascii="Arial" w:hAnsi="Arial" w:cs="Arial"/>
                <w:sz w:val="18"/>
                <w:szCs w:val="20"/>
              </w:rPr>
            </w:pPr>
            <w:r w:rsidRPr="0091560A">
              <w:rPr>
                <w:rFonts w:ascii="Arial" w:hAnsi="Arial" w:cs="Arial"/>
                <w:sz w:val="18"/>
                <w:szCs w:val="20"/>
              </w:rPr>
              <w:t>0,00%</w:t>
            </w:r>
          </w:p>
        </w:tc>
        <w:tc>
          <w:tcPr>
            <w:tcW w:w="1196" w:type="dxa"/>
            <w:vMerge w:val="restart"/>
            <w:shd w:val="clear" w:color="auto" w:fill="auto"/>
            <w:vAlign w:val="center"/>
            <w:hideMark/>
          </w:tcPr>
          <w:p w:rsidR="00685184" w:rsidRPr="0091560A" w:rsidRDefault="00685184" w:rsidP="00685184">
            <w:pPr>
              <w:jc w:val="center"/>
              <w:rPr>
                <w:rFonts w:ascii="Arial" w:hAnsi="Arial" w:cs="Arial"/>
                <w:sz w:val="18"/>
                <w:szCs w:val="20"/>
              </w:rPr>
            </w:pPr>
            <w:r w:rsidRPr="0091560A">
              <w:rPr>
                <w:rFonts w:ascii="Arial" w:hAnsi="Arial" w:cs="Arial"/>
                <w:sz w:val="18"/>
                <w:szCs w:val="20"/>
              </w:rPr>
              <w:t>0,00%</w:t>
            </w:r>
          </w:p>
        </w:tc>
      </w:tr>
      <w:tr w:rsidR="00685184" w:rsidRPr="0091560A" w:rsidTr="00685184">
        <w:trPr>
          <w:trHeight w:hRule="exact" w:val="116"/>
        </w:trPr>
        <w:tc>
          <w:tcPr>
            <w:tcW w:w="760" w:type="dxa"/>
            <w:vMerge/>
            <w:vAlign w:val="center"/>
            <w:hideMark/>
          </w:tcPr>
          <w:p w:rsidR="00685184" w:rsidRPr="0091560A" w:rsidRDefault="00685184" w:rsidP="00685184">
            <w:pPr>
              <w:rPr>
                <w:rFonts w:ascii="Arial" w:hAnsi="Arial" w:cs="Arial"/>
                <w:sz w:val="18"/>
                <w:szCs w:val="20"/>
              </w:rPr>
            </w:pPr>
          </w:p>
        </w:tc>
        <w:tc>
          <w:tcPr>
            <w:tcW w:w="1563" w:type="dxa"/>
            <w:vMerge/>
            <w:vAlign w:val="center"/>
            <w:hideMark/>
          </w:tcPr>
          <w:p w:rsidR="00685184" w:rsidRPr="0091560A" w:rsidRDefault="00685184" w:rsidP="00685184">
            <w:pPr>
              <w:rPr>
                <w:rFonts w:ascii="Arial" w:hAnsi="Arial" w:cs="Arial"/>
                <w:sz w:val="18"/>
                <w:szCs w:val="20"/>
              </w:rPr>
            </w:pPr>
          </w:p>
        </w:tc>
        <w:tc>
          <w:tcPr>
            <w:tcW w:w="1456" w:type="dxa"/>
            <w:vMerge/>
            <w:vAlign w:val="center"/>
            <w:hideMark/>
          </w:tcPr>
          <w:p w:rsidR="00685184" w:rsidRPr="0091560A" w:rsidRDefault="00685184" w:rsidP="00685184">
            <w:pPr>
              <w:rPr>
                <w:rFonts w:ascii="Arial" w:hAnsi="Arial" w:cs="Arial"/>
                <w:sz w:val="18"/>
                <w:szCs w:val="20"/>
              </w:rPr>
            </w:pPr>
          </w:p>
        </w:tc>
        <w:tc>
          <w:tcPr>
            <w:tcW w:w="1456" w:type="dxa"/>
            <w:vMerge/>
            <w:vAlign w:val="center"/>
            <w:hideMark/>
          </w:tcPr>
          <w:p w:rsidR="00685184" w:rsidRPr="0091560A" w:rsidRDefault="00685184" w:rsidP="00685184">
            <w:pPr>
              <w:rPr>
                <w:rFonts w:ascii="Arial" w:hAnsi="Arial" w:cs="Arial"/>
                <w:sz w:val="18"/>
                <w:szCs w:val="20"/>
              </w:rPr>
            </w:pPr>
          </w:p>
        </w:tc>
        <w:tc>
          <w:tcPr>
            <w:tcW w:w="1298" w:type="dxa"/>
            <w:vMerge/>
            <w:vAlign w:val="center"/>
            <w:hideMark/>
          </w:tcPr>
          <w:p w:rsidR="00685184" w:rsidRPr="0091560A" w:rsidRDefault="00685184" w:rsidP="00685184">
            <w:pPr>
              <w:rPr>
                <w:rFonts w:ascii="Arial" w:hAnsi="Arial" w:cs="Arial"/>
                <w:sz w:val="18"/>
                <w:szCs w:val="20"/>
              </w:rPr>
            </w:pPr>
          </w:p>
        </w:tc>
        <w:tc>
          <w:tcPr>
            <w:tcW w:w="1495" w:type="dxa"/>
            <w:vMerge/>
            <w:vAlign w:val="center"/>
            <w:hideMark/>
          </w:tcPr>
          <w:p w:rsidR="00685184" w:rsidRPr="0091560A" w:rsidRDefault="00685184" w:rsidP="00685184">
            <w:pPr>
              <w:rPr>
                <w:rFonts w:ascii="Arial" w:hAnsi="Arial" w:cs="Arial"/>
                <w:sz w:val="18"/>
                <w:szCs w:val="20"/>
              </w:rPr>
            </w:pPr>
          </w:p>
        </w:tc>
        <w:tc>
          <w:tcPr>
            <w:tcW w:w="1196" w:type="dxa"/>
            <w:vMerge/>
            <w:vAlign w:val="center"/>
            <w:hideMark/>
          </w:tcPr>
          <w:p w:rsidR="00685184" w:rsidRPr="0091560A" w:rsidRDefault="00685184" w:rsidP="00685184">
            <w:pPr>
              <w:rPr>
                <w:rFonts w:ascii="Arial" w:hAnsi="Arial" w:cs="Arial"/>
                <w:sz w:val="18"/>
                <w:szCs w:val="20"/>
              </w:rPr>
            </w:pPr>
          </w:p>
        </w:tc>
      </w:tr>
      <w:tr w:rsidR="00685184" w:rsidRPr="0091560A" w:rsidTr="00685184">
        <w:trPr>
          <w:trHeight w:hRule="exact" w:val="58"/>
        </w:trPr>
        <w:tc>
          <w:tcPr>
            <w:tcW w:w="760" w:type="dxa"/>
            <w:vMerge/>
            <w:vAlign w:val="center"/>
            <w:hideMark/>
          </w:tcPr>
          <w:p w:rsidR="00685184" w:rsidRPr="0091560A" w:rsidRDefault="00685184" w:rsidP="00685184">
            <w:pPr>
              <w:rPr>
                <w:rFonts w:ascii="Arial" w:hAnsi="Arial" w:cs="Arial"/>
                <w:sz w:val="18"/>
                <w:szCs w:val="20"/>
              </w:rPr>
            </w:pPr>
          </w:p>
        </w:tc>
        <w:tc>
          <w:tcPr>
            <w:tcW w:w="1563" w:type="dxa"/>
            <w:vMerge w:val="restart"/>
            <w:shd w:val="clear" w:color="auto" w:fill="auto"/>
            <w:vAlign w:val="center"/>
            <w:hideMark/>
          </w:tcPr>
          <w:p w:rsidR="00685184" w:rsidRPr="0091560A" w:rsidRDefault="00685184" w:rsidP="00685184">
            <w:pPr>
              <w:jc w:val="center"/>
              <w:rPr>
                <w:rFonts w:ascii="Arial" w:hAnsi="Arial" w:cs="Arial"/>
                <w:sz w:val="18"/>
                <w:szCs w:val="20"/>
              </w:rPr>
            </w:pPr>
            <w:r w:rsidRPr="0091560A">
              <w:rPr>
                <w:rFonts w:ascii="Arial" w:hAnsi="Arial" w:cs="Arial"/>
                <w:sz w:val="18"/>
                <w:szCs w:val="20"/>
              </w:rPr>
              <w:t>Východoslovenský</w:t>
            </w:r>
          </w:p>
        </w:tc>
        <w:tc>
          <w:tcPr>
            <w:tcW w:w="1456" w:type="dxa"/>
            <w:vMerge w:val="restart"/>
            <w:shd w:val="clear" w:color="auto" w:fill="auto"/>
            <w:vAlign w:val="center"/>
            <w:hideMark/>
          </w:tcPr>
          <w:p w:rsidR="00685184" w:rsidRPr="0091560A" w:rsidRDefault="00685184" w:rsidP="00685184">
            <w:pPr>
              <w:jc w:val="center"/>
              <w:rPr>
                <w:rFonts w:ascii="Arial" w:hAnsi="Arial" w:cs="Arial"/>
                <w:sz w:val="18"/>
                <w:szCs w:val="20"/>
              </w:rPr>
            </w:pPr>
            <w:r w:rsidRPr="0091560A">
              <w:rPr>
                <w:rFonts w:ascii="Arial" w:hAnsi="Arial" w:cs="Arial"/>
                <w:sz w:val="18"/>
                <w:szCs w:val="20"/>
              </w:rPr>
              <w:t>0</w:t>
            </w:r>
          </w:p>
        </w:tc>
        <w:tc>
          <w:tcPr>
            <w:tcW w:w="1456" w:type="dxa"/>
            <w:vMerge w:val="restart"/>
            <w:shd w:val="clear" w:color="auto" w:fill="auto"/>
            <w:vAlign w:val="center"/>
            <w:hideMark/>
          </w:tcPr>
          <w:p w:rsidR="00685184" w:rsidRPr="0091560A" w:rsidRDefault="00685184" w:rsidP="00685184">
            <w:pPr>
              <w:jc w:val="center"/>
              <w:rPr>
                <w:rFonts w:ascii="Arial" w:hAnsi="Arial" w:cs="Arial"/>
                <w:sz w:val="18"/>
                <w:szCs w:val="20"/>
              </w:rPr>
            </w:pPr>
            <w:r w:rsidRPr="0091560A">
              <w:rPr>
                <w:rFonts w:ascii="Arial" w:hAnsi="Arial" w:cs="Arial"/>
                <w:sz w:val="18"/>
                <w:szCs w:val="20"/>
              </w:rPr>
              <w:t>0,00%</w:t>
            </w:r>
          </w:p>
        </w:tc>
        <w:tc>
          <w:tcPr>
            <w:tcW w:w="1298" w:type="dxa"/>
            <w:vMerge w:val="restart"/>
            <w:shd w:val="clear" w:color="auto" w:fill="auto"/>
            <w:vAlign w:val="center"/>
            <w:hideMark/>
          </w:tcPr>
          <w:p w:rsidR="00685184" w:rsidRPr="0091560A" w:rsidRDefault="00685184" w:rsidP="00685184">
            <w:pPr>
              <w:jc w:val="center"/>
              <w:rPr>
                <w:rFonts w:ascii="Arial" w:hAnsi="Arial" w:cs="Arial"/>
                <w:sz w:val="18"/>
                <w:szCs w:val="20"/>
              </w:rPr>
            </w:pPr>
            <w:r w:rsidRPr="0091560A">
              <w:rPr>
                <w:rFonts w:ascii="Arial" w:hAnsi="Arial" w:cs="Arial"/>
                <w:sz w:val="18"/>
                <w:szCs w:val="20"/>
              </w:rPr>
              <w:t>0</w:t>
            </w:r>
          </w:p>
        </w:tc>
        <w:tc>
          <w:tcPr>
            <w:tcW w:w="1495" w:type="dxa"/>
            <w:vMerge w:val="restart"/>
            <w:shd w:val="clear" w:color="auto" w:fill="auto"/>
            <w:vAlign w:val="center"/>
            <w:hideMark/>
          </w:tcPr>
          <w:p w:rsidR="00685184" w:rsidRPr="0091560A" w:rsidRDefault="00685184" w:rsidP="00685184">
            <w:pPr>
              <w:jc w:val="center"/>
              <w:rPr>
                <w:rFonts w:ascii="Arial" w:hAnsi="Arial" w:cs="Arial"/>
                <w:sz w:val="18"/>
                <w:szCs w:val="20"/>
              </w:rPr>
            </w:pPr>
            <w:r w:rsidRPr="0091560A">
              <w:rPr>
                <w:rFonts w:ascii="Arial" w:hAnsi="Arial" w:cs="Arial"/>
                <w:sz w:val="18"/>
                <w:szCs w:val="20"/>
              </w:rPr>
              <w:t>0,00%</w:t>
            </w:r>
          </w:p>
        </w:tc>
        <w:tc>
          <w:tcPr>
            <w:tcW w:w="1196" w:type="dxa"/>
            <w:vMerge w:val="restart"/>
            <w:shd w:val="clear" w:color="auto" w:fill="auto"/>
            <w:vAlign w:val="center"/>
            <w:hideMark/>
          </w:tcPr>
          <w:p w:rsidR="00685184" w:rsidRPr="0091560A" w:rsidRDefault="00685184" w:rsidP="00685184">
            <w:pPr>
              <w:jc w:val="center"/>
              <w:rPr>
                <w:rFonts w:ascii="Arial" w:hAnsi="Arial" w:cs="Arial"/>
                <w:sz w:val="18"/>
                <w:szCs w:val="20"/>
              </w:rPr>
            </w:pPr>
            <w:r w:rsidRPr="0091560A">
              <w:rPr>
                <w:rFonts w:ascii="Arial" w:hAnsi="Arial" w:cs="Arial"/>
                <w:sz w:val="18"/>
                <w:szCs w:val="20"/>
              </w:rPr>
              <w:t>0,00%</w:t>
            </w:r>
          </w:p>
        </w:tc>
      </w:tr>
      <w:tr w:rsidR="00685184" w:rsidRPr="0091560A" w:rsidTr="00685184">
        <w:trPr>
          <w:trHeight w:hRule="exact" w:val="232"/>
        </w:trPr>
        <w:tc>
          <w:tcPr>
            <w:tcW w:w="760" w:type="dxa"/>
            <w:vMerge/>
            <w:vAlign w:val="center"/>
            <w:hideMark/>
          </w:tcPr>
          <w:p w:rsidR="00685184" w:rsidRPr="0091560A" w:rsidRDefault="00685184" w:rsidP="00685184">
            <w:pPr>
              <w:rPr>
                <w:rFonts w:ascii="Arial" w:hAnsi="Arial" w:cs="Arial"/>
                <w:sz w:val="18"/>
                <w:szCs w:val="20"/>
              </w:rPr>
            </w:pPr>
          </w:p>
        </w:tc>
        <w:tc>
          <w:tcPr>
            <w:tcW w:w="1563" w:type="dxa"/>
            <w:vMerge/>
            <w:vAlign w:val="center"/>
            <w:hideMark/>
          </w:tcPr>
          <w:p w:rsidR="00685184" w:rsidRPr="0091560A" w:rsidRDefault="00685184" w:rsidP="00685184">
            <w:pPr>
              <w:rPr>
                <w:rFonts w:ascii="Arial" w:hAnsi="Arial" w:cs="Arial"/>
                <w:sz w:val="18"/>
                <w:szCs w:val="20"/>
              </w:rPr>
            </w:pPr>
          </w:p>
        </w:tc>
        <w:tc>
          <w:tcPr>
            <w:tcW w:w="1456" w:type="dxa"/>
            <w:vMerge/>
            <w:vAlign w:val="center"/>
            <w:hideMark/>
          </w:tcPr>
          <w:p w:rsidR="00685184" w:rsidRPr="0091560A" w:rsidRDefault="00685184" w:rsidP="00685184">
            <w:pPr>
              <w:rPr>
                <w:rFonts w:ascii="Arial" w:hAnsi="Arial" w:cs="Arial"/>
                <w:sz w:val="18"/>
                <w:szCs w:val="20"/>
              </w:rPr>
            </w:pPr>
          </w:p>
        </w:tc>
        <w:tc>
          <w:tcPr>
            <w:tcW w:w="1456" w:type="dxa"/>
            <w:vMerge/>
            <w:vAlign w:val="center"/>
            <w:hideMark/>
          </w:tcPr>
          <w:p w:rsidR="00685184" w:rsidRPr="0091560A" w:rsidRDefault="00685184" w:rsidP="00685184">
            <w:pPr>
              <w:rPr>
                <w:rFonts w:ascii="Arial" w:hAnsi="Arial" w:cs="Arial"/>
                <w:sz w:val="18"/>
                <w:szCs w:val="20"/>
              </w:rPr>
            </w:pPr>
          </w:p>
        </w:tc>
        <w:tc>
          <w:tcPr>
            <w:tcW w:w="1298" w:type="dxa"/>
            <w:vMerge/>
            <w:vAlign w:val="center"/>
            <w:hideMark/>
          </w:tcPr>
          <w:p w:rsidR="00685184" w:rsidRPr="0091560A" w:rsidRDefault="00685184" w:rsidP="00685184">
            <w:pPr>
              <w:rPr>
                <w:rFonts w:ascii="Arial" w:hAnsi="Arial" w:cs="Arial"/>
                <w:sz w:val="18"/>
                <w:szCs w:val="20"/>
              </w:rPr>
            </w:pPr>
          </w:p>
        </w:tc>
        <w:tc>
          <w:tcPr>
            <w:tcW w:w="1495" w:type="dxa"/>
            <w:vMerge/>
            <w:vAlign w:val="center"/>
            <w:hideMark/>
          </w:tcPr>
          <w:p w:rsidR="00685184" w:rsidRPr="0091560A" w:rsidRDefault="00685184" w:rsidP="00685184">
            <w:pPr>
              <w:rPr>
                <w:rFonts w:ascii="Arial" w:hAnsi="Arial" w:cs="Arial"/>
                <w:sz w:val="18"/>
                <w:szCs w:val="20"/>
              </w:rPr>
            </w:pPr>
          </w:p>
        </w:tc>
        <w:tc>
          <w:tcPr>
            <w:tcW w:w="1196" w:type="dxa"/>
            <w:vMerge/>
            <w:vAlign w:val="center"/>
            <w:hideMark/>
          </w:tcPr>
          <w:p w:rsidR="00685184" w:rsidRPr="0091560A" w:rsidRDefault="00685184" w:rsidP="00685184">
            <w:pPr>
              <w:rPr>
                <w:rFonts w:ascii="Arial" w:hAnsi="Arial" w:cs="Arial"/>
                <w:sz w:val="18"/>
                <w:szCs w:val="20"/>
              </w:rPr>
            </w:pPr>
          </w:p>
        </w:tc>
      </w:tr>
      <w:tr w:rsidR="00685184" w:rsidRPr="0091560A" w:rsidTr="007B0880">
        <w:trPr>
          <w:trHeight w:hRule="exact" w:val="232"/>
        </w:trPr>
        <w:tc>
          <w:tcPr>
            <w:tcW w:w="760" w:type="dxa"/>
            <w:vMerge/>
            <w:tcBorders>
              <w:bottom w:val="single" w:sz="8" w:space="0" w:color="auto"/>
            </w:tcBorders>
            <w:vAlign w:val="center"/>
            <w:hideMark/>
          </w:tcPr>
          <w:p w:rsidR="00685184" w:rsidRPr="0091560A" w:rsidRDefault="00685184" w:rsidP="00685184">
            <w:pPr>
              <w:rPr>
                <w:rFonts w:ascii="Arial" w:hAnsi="Arial" w:cs="Arial"/>
                <w:sz w:val="18"/>
                <w:szCs w:val="20"/>
              </w:rPr>
            </w:pPr>
          </w:p>
        </w:tc>
        <w:tc>
          <w:tcPr>
            <w:tcW w:w="1563" w:type="dxa"/>
            <w:tcBorders>
              <w:bottom w:val="single" w:sz="8" w:space="0" w:color="auto"/>
            </w:tcBorders>
            <w:shd w:val="clear" w:color="auto" w:fill="auto"/>
            <w:hideMark/>
          </w:tcPr>
          <w:p w:rsidR="00685184" w:rsidRPr="0091560A" w:rsidRDefault="00685184" w:rsidP="00685184">
            <w:pPr>
              <w:jc w:val="center"/>
              <w:rPr>
                <w:rFonts w:ascii="Arial" w:hAnsi="Arial" w:cs="Arial"/>
                <w:b/>
                <w:bCs/>
                <w:sz w:val="18"/>
                <w:szCs w:val="20"/>
              </w:rPr>
            </w:pPr>
          </w:p>
        </w:tc>
        <w:tc>
          <w:tcPr>
            <w:tcW w:w="1456" w:type="dxa"/>
            <w:tcBorders>
              <w:bottom w:val="single" w:sz="8" w:space="0" w:color="auto"/>
            </w:tcBorders>
            <w:shd w:val="clear" w:color="auto" w:fill="auto"/>
            <w:hideMark/>
          </w:tcPr>
          <w:p w:rsidR="00685184" w:rsidRPr="0091560A" w:rsidRDefault="00685184" w:rsidP="00685184">
            <w:pPr>
              <w:jc w:val="center"/>
              <w:rPr>
                <w:rFonts w:ascii="Arial" w:hAnsi="Arial" w:cs="Arial"/>
                <w:b/>
                <w:bCs/>
                <w:sz w:val="18"/>
                <w:szCs w:val="20"/>
              </w:rPr>
            </w:pPr>
            <w:r w:rsidRPr="0091560A">
              <w:rPr>
                <w:rFonts w:ascii="Arial" w:hAnsi="Arial" w:cs="Arial"/>
                <w:b/>
                <w:bCs/>
                <w:sz w:val="18"/>
                <w:szCs w:val="20"/>
              </w:rPr>
              <w:t>48 600 000</w:t>
            </w:r>
          </w:p>
        </w:tc>
        <w:tc>
          <w:tcPr>
            <w:tcW w:w="1456" w:type="dxa"/>
            <w:tcBorders>
              <w:bottom w:val="single" w:sz="8" w:space="0" w:color="auto"/>
            </w:tcBorders>
            <w:shd w:val="clear" w:color="000000" w:fill="BFBFBF"/>
            <w:hideMark/>
          </w:tcPr>
          <w:p w:rsidR="00685184" w:rsidRPr="0091560A" w:rsidRDefault="00685184" w:rsidP="00685184">
            <w:pPr>
              <w:jc w:val="center"/>
              <w:rPr>
                <w:rFonts w:ascii="Arial" w:hAnsi="Arial" w:cs="Arial"/>
                <w:b/>
                <w:bCs/>
                <w:sz w:val="18"/>
                <w:szCs w:val="20"/>
              </w:rPr>
            </w:pPr>
          </w:p>
        </w:tc>
        <w:tc>
          <w:tcPr>
            <w:tcW w:w="1298" w:type="dxa"/>
            <w:tcBorders>
              <w:bottom w:val="single" w:sz="8" w:space="0" w:color="auto"/>
            </w:tcBorders>
            <w:shd w:val="clear" w:color="auto" w:fill="auto"/>
            <w:hideMark/>
          </w:tcPr>
          <w:p w:rsidR="00685184" w:rsidRPr="0091560A" w:rsidRDefault="00685184" w:rsidP="00685184">
            <w:pPr>
              <w:jc w:val="center"/>
              <w:rPr>
                <w:rFonts w:ascii="Arial" w:hAnsi="Arial" w:cs="Arial"/>
                <w:b/>
                <w:bCs/>
                <w:sz w:val="18"/>
                <w:szCs w:val="20"/>
              </w:rPr>
            </w:pPr>
            <w:r w:rsidRPr="0091560A">
              <w:rPr>
                <w:rFonts w:ascii="Arial" w:hAnsi="Arial" w:cs="Arial"/>
                <w:b/>
                <w:bCs/>
                <w:sz w:val="18"/>
                <w:szCs w:val="20"/>
              </w:rPr>
              <w:t>0</w:t>
            </w:r>
          </w:p>
        </w:tc>
        <w:tc>
          <w:tcPr>
            <w:tcW w:w="1495" w:type="dxa"/>
            <w:tcBorders>
              <w:bottom w:val="single" w:sz="8" w:space="0" w:color="auto"/>
            </w:tcBorders>
            <w:shd w:val="clear" w:color="auto" w:fill="auto"/>
            <w:hideMark/>
          </w:tcPr>
          <w:p w:rsidR="00685184" w:rsidRPr="0091560A" w:rsidRDefault="00685184" w:rsidP="00685184">
            <w:pPr>
              <w:jc w:val="center"/>
              <w:rPr>
                <w:rFonts w:ascii="Arial" w:hAnsi="Arial" w:cs="Arial"/>
                <w:b/>
                <w:bCs/>
                <w:sz w:val="18"/>
                <w:szCs w:val="20"/>
              </w:rPr>
            </w:pPr>
            <w:r w:rsidRPr="0091560A">
              <w:rPr>
                <w:rFonts w:ascii="Arial" w:hAnsi="Arial" w:cs="Arial"/>
                <w:b/>
                <w:bCs/>
                <w:sz w:val="18"/>
                <w:szCs w:val="20"/>
              </w:rPr>
              <w:t>0,00%</w:t>
            </w:r>
          </w:p>
        </w:tc>
        <w:tc>
          <w:tcPr>
            <w:tcW w:w="1196" w:type="dxa"/>
            <w:tcBorders>
              <w:bottom w:val="single" w:sz="8" w:space="0" w:color="auto"/>
            </w:tcBorders>
            <w:shd w:val="clear" w:color="auto" w:fill="auto"/>
            <w:hideMark/>
          </w:tcPr>
          <w:p w:rsidR="00685184" w:rsidRPr="0091560A" w:rsidRDefault="00685184" w:rsidP="00685184">
            <w:pPr>
              <w:jc w:val="center"/>
              <w:rPr>
                <w:rFonts w:ascii="Arial" w:hAnsi="Arial" w:cs="Arial"/>
                <w:b/>
                <w:bCs/>
                <w:sz w:val="18"/>
                <w:szCs w:val="20"/>
              </w:rPr>
            </w:pPr>
            <w:r w:rsidRPr="0091560A">
              <w:rPr>
                <w:rFonts w:ascii="Arial" w:hAnsi="Arial" w:cs="Arial"/>
                <w:b/>
                <w:bCs/>
                <w:sz w:val="18"/>
                <w:szCs w:val="20"/>
              </w:rPr>
              <w:t>0,00%</w:t>
            </w:r>
          </w:p>
        </w:tc>
      </w:tr>
      <w:tr w:rsidR="00685184" w:rsidRPr="0091560A" w:rsidTr="00685184">
        <w:trPr>
          <w:trHeight w:hRule="exact" w:val="232"/>
        </w:trPr>
        <w:tc>
          <w:tcPr>
            <w:tcW w:w="760" w:type="dxa"/>
            <w:vMerge w:val="restart"/>
            <w:shd w:val="clear" w:color="auto" w:fill="auto"/>
            <w:vAlign w:val="center"/>
            <w:hideMark/>
          </w:tcPr>
          <w:p w:rsidR="00685184" w:rsidRPr="0091560A" w:rsidRDefault="00685184" w:rsidP="00685184">
            <w:pPr>
              <w:jc w:val="center"/>
              <w:rPr>
                <w:rFonts w:ascii="Arial" w:hAnsi="Arial" w:cs="Arial"/>
                <w:sz w:val="18"/>
                <w:szCs w:val="20"/>
              </w:rPr>
            </w:pPr>
            <w:r w:rsidRPr="0091560A">
              <w:rPr>
                <w:rFonts w:ascii="Arial" w:hAnsi="Arial" w:cs="Arial"/>
                <w:sz w:val="18"/>
                <w:szCs w:val="20"/>
              </w:rPr>
              <w:t>PO 7</w:t>
            </w:r>
          </w:p>
        </w:tc>
        <w:tc>
          <w:tcPr>
            <w:tcW w:w="1563" w:type="dxa"/>
            <w:shd w:val="clear" w:color="auto" w:fill="auto"/>
            <w:vAlign w:val="center"/>
            <w:hideMark/>
          </w:tcPr>
          <w:p w:rsidR="00685184" w:rsidRPr="0091560A" w:rsidRDefault="00685184" w:rsidP="00685184">
            <w:pPr>
              <w:jc w:val="center"/>
              <w:rPr>
                <w:rFonts w:ascii="Arial" w:hAnsi="Arial" w:cs="Arial"/>
                <w:sz w:val="18"/>
                <w:szCs w:val="20"/>
              </w:rPr>
            </w:pPr>
            <w:r w:rsidRPr="0091560A">
              <w:rPr>
                <w:rFonts w:ascii="Arial" w:hAnsi="Arial" w:cs="Arial"/>
                <w:sz w:val="18"/>
                <w:szCs w:val="20"/>
              </w:rPr>
              <w:t>Bratislavský</w:t>
            </w:r>
          </w:p>
        </w:tc>
        <w:tc>
          <w:tcPr>
            <w:tcW w:w="1456" w:type="dxa"/>
            <w:shd w:val="clear" w:color="auto" w:fill="auto"/>
            <w:vAlign w:val="center"/>
            <w:hideMark/>
          </w:tcPr>
          <w:p w:rsidR="00685184" w:rsidRPr="0091560A" w:rsidRDefault="00685184" w:rsidP="00685184">
            <w:pPr>
              <w:jc w:val="center"/>
              <w:rPr>
                <w:rFonts w:ascii="Arial" w:hAnsi="Arial" w:cs="Arial"/>
                <w:sz w:val="18"/>
                <w:szCs w:val="20"/>
              </w:rPr>
            </w:pPr>
            <w:r w:rsidRPr="0091560A">
              <w:rPr>
                <w:rFonts w:ascii="Arial" w:hAnsi="Arial" w:cs="Arial"/>
                <w:sz w:val="18"/>
                <w:szCs w:val="20"/>
              </w:rPr>
              <w:t>0</w:t>
            </w:r>
          </w:p>
        </w:tc>
        <w:tc>
          <w:tcPr>
            <w:tcW w:w="1456" w:type="dxa"/>
            <w:shd w:val="clear" w:color="auto" w:fill="auto"/>
            <w:vAlign w:val="center"/>
            <w:hideMark/>
          </w:tcPr>
          <w:p w:rsidR="00685184" w:rsidRPr="0091560A" w:rsidRDefault="00685184" w:rsidP="00685184">
            <w:pPr>
              <w:jc w:val="center"/>
              <w:rPr>
                <w:rFonts w:ascii="Arial" w:hAnsi="Arial" w:cs="Arial"/>
                <w:sz w:val="18"/>
                <w:szCs w:val="20"/>
              </w:rPr>
            </w:pPr>
            <w:r w:rsidRPr="0091560A">
              <w:rPr>
                <w:rFonts w:ascii="Arial" w:hAnsi="Arial" w:cs="Arial"/>
                <w:sz w:val="18"/>
                <w:szCs w:val="20"/>
              </w:rPr>
              <w:t>0,00%</w:t>
            </w:r>
          </w:p>
        </w:tc>
        <w:tc>
          <w:tcPr>
            <w:tcW w:w="1298" w:type="dxa"/>
            <w:shd w:val="clear" w:color="auto" w:fill="auto"/>
            <w:vAlign w:val="center"/>
            <w:hideMark/>
          </w:tcPr>
          <w:p w:rsidR="00685184" w:rsidRPr="0091560A" w:rsidRDefault="00685184" w:rsidP="00685184">
            <w:pPr>
              <w:jc w:val="center"/>
              <w:rPr>
                <w:rFonts w:ascii="Arial" w:hAnsi="Arial" w:cs="Arial"/>
                <w:sz w:val="18"/>
                <w:szCs w:val="20"/>
              </w:rPr>
            </w:pPr>
            <w:r w:rsidRPr="0091560A">
              <w:rPr>
                <w:rFonts w:ascii="Arial" w:hAnsi="Arial" w:cs="Arial"/>
                <w:sz w:val="18"/>
                <w:szCs w:val="20"/>
              </w:rPr>
              <w:t>0</w:t>
            </w:r>
          </w:p>
        </w:tc>
        <w:tc>
          <w:tcPr>
            <w:tcW w:w="1495" w:type="dxa"/>
            <w:shd w:val="clear" w:color="auto" w:fill="auto"/>
            <w:vAlign w:val="center"/>
            <w:hideMark/>
          </w:tcPr>
          <w:p w:rsidR="00685184" w:rsidRPr="0091560A" w:rsidRDefault="00685184" w:rsidP="00685184">
            <w:pPr>
              <w:jc w:val="center"/>
              <w:rPr>
                <w:rFonts w:ascii="Arial" w:hAnsi="Arial" w:cs="Arial"/>
                <w:sz w:val="18"/>
                <w:szCs w:val="20"/>
              </w:rPr>
            </w:pPr>
            <w:r w:rsidRPr="0091560A">
              <w:rPr>
                <w:rFonts w:ascii="Arial" w:hAnsi="Arial" w:cs="Arial"/>
                <w:sz w:val="18"/>
                <w:szCs w:val="20"/>
              </w:rPr>
              <w:t>0,00%</w:t>
            </w:r>
          </w:p>
        </w:tc>
        <w:tc>
          <w:tcPr>
            <w:tcW w:w="1196" w:type="dxa"/>
            <w:shd w:val="clear" w:color="auto" w:fill="auto"/>
            <w:vAlign w:val="center"/>
            <w:hideMark/>
          </w:tcPr>
          <w:p w:rsidR="00685184" w:rsidRPr="0091560A" w:rsidRDefault="00685184" w:rsidP="00685184">
            <w:pPr>
              <w:jc w:val="center"/>
              <w:rPr>
                <w:rFonts w:ascii="Arial" w:hAnsi="Arial" w:cs="Arial"/>
                <w:sz w:val="18"/>
                <w:szCs w:val="20"/>
              </w:rPr>
            </w:pPr>
            <w:r w:rsidRPr="0091560A">
              <w:rPr>
                <w:rFonts w:ascii="Arial" w:hAnsi="Arial" w:cs="Arial"/>
                <w:sz w:val="18"/>
                <w:szCs w:val="20"/>
              </w:rPr>
              <w:t>0,00%</w:t>
            </w:r>
          </w:p>
        </w:tc>
      </w:tr>
      <w:tr w:rsidR="00685184" w:rsidRPr="0091560A" w:rsidTr="00685184">
        <w:trPr>
          <w:trHeight w:hRule="exact" w:val="58"/>
        </w:trPr>
        <w:tc>
          <w:tcPr>
            <w:tcW w:w="760" w:type="dxa"/>
            <w:vMerge/>
            <w:vAlign w:val="center"/>
            <w:hideMark/>
          </w:tcPr>
          <w:p w:rsidR="00685184" w:rsidRPr="0091560A" w:rsidRDefault="00685184" w:rsidP="00685184">
            <w:pPr>
              <w:rPr>
                <w:rFonts w:ascii="Arial" w:hAnsi="Arial" w:cs="Arial"/>
                <w:sz w:val="18"/>
                <w:szCs w:val="20"/>
              </w:rPr>
            </w:pPr>
          </w:p>
        </w:tc>
        <w:tc>
          <w:tcPr>
            <w:tcW w:w="1563" w:type="dxa"/>
            <w:vMerge w:val="restart"/>
            <w:shd w:val="clear" w:color="auto" w:fill="auto"/>
            <w:vAlign w:val="center"/>
            <w:hideMark/>
          </w:tcPr>
          <w:p w:rsidR="00685184" w:rsidRPr="0091560A" w:rsidRDefault="00685184" w:rsidP="00685184">
            <w:pPr>
              <w:jc w:val="center"/>
              <w:rPr>
                <w:rFonts w:ascii="Arial" w:hAnsi="Arial" w:cs="Arial"/>
                <w:sz w:val="18"/>
                <w:szCs w:val="20"/>
              </w:rPr>
            </w:pPr>
            <w:r w:rsidRPr="0091560A">
              <w:rPr>
                <w:rFonts w:ascii="Arial" w:hAnsi="Arial" w:cs="Arial"/>
                <w:sz w:val="18"/>
                <w:szCs w:val="20"/>
              </w:rPr>
              <w:t>Západoslovenský</w:t>
            </w:r>
          </w:p>
        </w:tc>
        <w:tc>
          <w:tcPr>
            <w:tcW w:w="1456" w:type="dxa"/>
            <w:vMerge w:val="restart"/>
            <w:shd w:val="clear" w:color="auto" w:fill="auto"/>
            <w:vAlign w:val="center"/>
            <w:hideMark/>
          </w:tcPr>
          <w:p w:rsidR="00685184" w:rsidRPr="0091560A" w:rsidRDefault="00685184" w:rsidP="00685184">
            <w:pPr>
              <w:jc w:val="center"/>
              <w:rPr>
                <w:rFonts w:ascii="Arial" w:hAnsi="Arial" w:cs="Arial"/>
                <w:sz w:val="18"/>
                <w:szCs w:val="20"/>
              </w:rPr>
            </w:pPr>
            <w:r w:rsidRPr="0091560A">
              <w:rPr>
                <w:rFonts w:ascii="Arial" w:hAnsi="Arial" w:cs="Arial"/>
                <w:sz w:val="18"/>
                <w:szCs w:val="20"/>
              </w:rPr>
              <w:t>5 400 000</w:t>
            </w:r>
          </w:p>
        </w:tc>
        <w:tc>
          <w:tcPr>
            <w:tcW w:w="1456" w:type="dxa"/>
            <w:vMerge w:val="restart"/>
            <w:shd w:val="clear" w:color="auto" w:fill="auto"/>
            <w:vAlign w:val="center"/>
            <w:hideMark/>
          </w:tcPr>
          <w:p w:rsidR="00685184" w:rsidRPr="0091560A" w:rsidRDefault="00685184" w:rsidP="00685184">
            <w:pPr>
              <w:jc w:val="center"/>
              <w:rPr>
                <w:rFonts w:ascii="Arial" w:hAnsi="Arial" w:cs="Arial"/>
                <w:sz w:val="18"/>
                <w:szCs w:val="20"/>
              </w:rPr>
            </w:pPr>
            <w:r w:rsidRPr="0091560A">
              <w:rPr>
                <w:rFonts w:ascii="Arial" w:hAnsi="Arial" w:cs="Arial"/>
                <w:sz w:val="18"/>
                <w:szCs w:val="20"/>
              </w:rPr>
              <w:t>0,00%</w:t>
            </w:r>
          </w:p>
        </w:tc>
        <w:tc>
          <w:tcPr>
            <w:tcW w:w="1298" w:type="dxa"/>
            <w:vMerge w:val="restart"/>
            <w:shd w:val="clear" w:color="auto" w:fill="auto"/>
            <w:vAlign w:val="center"/>
            <w:hideMark/>
          </w:tcPr>
          <w:p w:rsidR="00685184" w:rsidRPr="0091560A" w:rsidRDefault="00685184" w:rsidP="00685184">
            <w:pPr>
              <w:jc w:val="center"/>
              <w:rPr>
                <w:rFonts w:ascii="Arial" w:hAnsi="Arial" w:cs="Arial"/>
                <w:sz w:val="18"/>
                <w:szCs w:val="20"/>
              </w:rPr>
            </w:pPr>
            <w:r w:rsidRPr="0091560A">
              <w:rPr>
                <w:rFonts w:ascii="Arial" w:hAnsi="Arial" w:cs="Arial"/>
                <w:sz w:val="18"/>
                <w:szCs w:val="20"/>
              </w:rPr>
              <w:t>0</w:t>
            </w:r>
          </w:p>
        </w:tc>
        <w:tc>
          <w:tcPr>
            <w:tcW w:w="1495" w:type="dxa"/>
            <w:vMerge w:val="restart"/>
            <w:shd w:val="clear" w:color="auto" w:fill="auto"/>
            <w:vAlign w:val="center"/>
            <w:hideMark/>
          </w:tcPr>
          <w:p w:rsidR="00685184" w:rsidRPr="0091560A" w:rsidRDefault="00685184" w:rsidP="00685184">
            <w:pPr>
              <w:jc w:val="center"/>
              <w:rPr>
                <w:rFonts w:ascii="Arial" w:hAnsi="Arial" w:cs="Arial"/>
                <w:sz w:val="18"/>
                <w:szCs w:val="20"/>
              </w:rPr>
            </w:pPr>
            <w:r w:rsidRPr="0091560A">
              <w:rPr>
                <w:rFonts w:ascii="Arial" w:hAnsi="Arial" w:cs="Arial"/>
                <w:sz w:val="18"/>
                <w:szCs w:val="20"/>
              </w:rPr>
              <w:t>0,00%</w:t>
            </w:r>
          </w:p>
        </w:tc>
        <w:tc>
          <w:tcPr>
            <w:tcW w:w="1196" w:type="dxa"/>
            <w:vMerge w:val="restart"/>
            <w:shd w:val="clear" w:color="auto" w:fill="auto"/>
            <w:vAlign w:val="center"/>
            <w:hideMark/>
          </w:tcPr>
          <w:p w:rsidR="00685184" w:rsidRPr="0091560A" w:rsidRDefault="00685184" w:rsidP="00685184">
            <w:pPr>
              <w:jc w:val="center"/>
              <w:rPr>
                <w:rFonts w:ascii="Arial" w:hAnsi="Arial" w:cs="Arial"/>
                <w:sz w:val="18"/>
                <w:szCs w:val="20"/>
              </w:rPr>
            </w:pPr>
            <w:r w:rsidRPr="0091560A">
              <w:rPr>
                <w:rFonts w:ascii="Arial" w:hAnsi="Arial" w:cs="Arial"/>
                <w:sz w:val="18"/>
                <w:szCs w:val="20"/>
              </w:rPr>
              <w:t>0,00%</w:t>
            </w:r>
          </w:p>
        </w:tc>
      </w:tr>
      <w:tr w:rsidR="00685184" w:rsidRPr="0091560A" w:rsidTr="00685184">
        <w:trPr>
          <w:trHeight w:hRule="exact" w:val="116"/>
        </w:trPr>
        <w:tc>
          <w:tcPr>
            <w:tcW w:w="760" w:type="dxa"/>
            <w:vMerge/>
            <w:vAlign w:val="center"/>
            <w:hideMark/>
          </w:tcPr>
          <w:p w:rsidR="00685184" w:rsidRPr="0091560A" w:rsidRDefault="00685184" w:rsidP="00685184">
            <w:pPr>
              <w:rPr>
                <w:rFonts w:ascii="Arial" w:hAnsi="Arial" w:cs="Arial"/>
                <w:sz w:val="18"/>
                <w:szCs w:val="20"/>
              </w:rPr>
            </w:pPr>
          </w:p>
        </w:tc>
        <w:tc>
          <w:tcPr>
            <w:tcW w:w="1563" w:type="dxa"/>
            <w:vMerge/>
            <w:vAlign w:val="center"/>
            <w:hideMark/>
          </w:tcPr>
          <w:p w:rsidR="00685184" w:rsidRPr="0091560A" w:rsidRDefault="00685184" w:rsidP="00685184">
            <w:pPr>
              <w:rPr>
                <w:rFonts w:ascii="Arial" w:hAnsi="Arial" w:cs="Arial"/>
                <w:sz w:val="18"/>
                <w:szCs w:val="20"/>
              </w:rPr>
            </w:pPr>
          </w:p>
        </w:tc>
        <w:tc>
          <w:tcPr>
            <w:tcW w:w="1456" w:type="dxa"/>
            <w:vMerge/>
            <w:vAlign w:val="center"/>
            <w:hideMark/>
          </w:tcPr>
          <w:p w:rsidR="00685184" w:rsidRPr="0091560A" w:rsidRDefault="00685184" w:rsidP="00685184">
            <w:pPr>
              <w:rPr>
                <w:rFonts w:ascii="Arial" w:hAnsi="Arial" w:cs="Arial"/>
                <w:sz w:val="18"/>
                <w:szCs w:val="20"/>
              </w:rPr>
            </w:pPr>
          </w:p>
        </w:tc>
        <w:tc>
          <w:tcPr>
            <w:tcW w:w="1456" w:type="dxa"/>
            <w:vMerge/>
            <w:vAlign w:val="center"/>
            <w:hideMark/>
          </w:tcPr>
          <w:p w:rsidR="00685184" w:rsidRPr="0091560A" w:rsidRDefault="00685184" w:rsidP="00685184">
            <w:pPr>
              <w:rPr>
                <w:rFonts w:ascii="Arial" w:hAnsi="Arial" w:cs="Arial"/>
                <w:sz w:val="18"/>
                <w:szCs w:val="20"/>
              </w:rPr>
            </w:pPr>
          </w:p>
        </w:tc>
        <w:tc>
          <w:tcPr>
            <w:tcW w:w="1298" w:type="dxa"/>
            <w:vMerge/>
            <w:vAlign w:val="center"/>
            <w:hideMark/>
          </w:tcPr>
          <w:p w:rsidR="00685184" w:rsidRPr="0091560A" w:rsidRDefault="00685184" w:rsidP="00685184">
            <w:pPr>
              <w:rPr>
                <w:rFonts w:ascii="Arial" w:hAnsi="Arial" w:cs="Arial"/>
                <w:sz w:val="18"/>
                <w:szCs w:val="20"/>
              </w:rPr>
            </w:pPr>
          </w:p>
        </w:tc>
        <w:tc>
          <w:tcPr>
            <w:tcW w:w="1495" w:type="dxa"/>
            <w:vMerge/>
            <w:vAlign w:val="center"/>
            <w:hideMark/>
          </w:tcPr>
          <w:p w:rsidR="00685184" w:rsidRPr="0091560A" w:rsidRDefault="00685184" w:rsidP="00685184">
            <w:pPr>
              <w:rPr>
                <w:rFonts w:ascii="Arial" w:hAnsi="Arial" w:cs="Arial"/>
                <w:sz w:val="18"/>
                <w:szCs w:val="20"/>
              </w:rPr>
            </w:pPr>
          </w:p>
        </w:tc>
        <w:tc>
          <w:tcPr>
            <w:tcW w:w="1196" w:type="dxa"/>
            <w:vMerge/>
            <w:vAlign w:val="center"/>
            <w:hideMark/>
          </w:tcPr>
          <w:p w:rsidR="00685184" w:rsidRPr="0091560A" w:rsidRDefault="00685184" w:rsidP="00685184">
            <w:pPr>
              <w:rPr>
                <w:rFonts w:ascii="Arial" w:hAnsi="Arial" w:cs="Arial"/>
                <w:sz w:val="18"/>
                <w:szCs w:val="20"/>
              </w:rPr>
            </w:pPr>
          </w:p>
        </w:tc>
      </w:tr>
      <w:tr w:rsidR="00685184" w:rsidRPr="0091560A" w:rsidTr="00685184">
        <w:trPr>
          <w:trHeight w:hRule="exact" w:val="116"/>
        </w:trPr>
        <w:tc>
          <w:tcPr>
            <w:tcW w:w="760" w:type="dxa"/>
            <w:vMerge/>
            <w:vAlign w:val="center"/>
            <w:hideMark/>
          </w:tcPr>
          <w:p w:rsidR="00685184" w:rsidRPr="0091560A" w:rsidRDefault="00685184" w:rsidP="00685184">
            <w:pPr>
              <w:rPr>
                <w:rFonts w:ascii="Arial" w:hAnsi="Arial" w:cs="Arial"/>
                <w:sz w:val="18"/>
                <w:szCs w:val="20"/>
              </w:rPr>
            </w:pPr>
          </w:p>
        </w:tc>
        <w:tc>
          <w:tcPr>
            <w:tcW w:w="1563" w:type="dxa"/>
            <w:vMerge/>
            <w:vAlign w:val="center"/>
            <w:hideMark/>
          </w:tcPr>
          <w:p w:rsidR="00685184" w:rsidRPr="0091560A" w:rsidRDefault="00685184" w:rsidP="00685184">
            <w:pPr>
              <w:rPr>
                <w:rFonts w:ascii="Arial" w:hAnsi="Arial" w:cs="Arial"/>
                <w:sz w:val="18"/>
                <w:szCs w:val="20"/>
              </w:rPr>
            </w:pPr>
          </w:p>
        </w:tc>
        <w:tc>
          <w:tcPr>
            <w:tcW w:w="1456" w:type="dxa"/>
            <w:vMerge/>
            <w:vAlign w:val="center"/>
            <w:hideMark/>
          </w:tcPr>
          <w:p w:rsidR="00685184" w:rsidRPr="0091560A" w:rsidRDefault="00685184" w:rsidP="00685184">
            <w:pPr>
              <w:rPr>
                <w:rFonts w:ascii="Arial" w:hAnsi="Arial" w:cs="Arial"/>
                <w:sz w:val="18"/>
                <w:szCs w:val="20"/>
              </w:rPr>
            </w:pPr>
          </w:p>
        </w:tc>
        <w:tc>
          <w:tcPr>
            <w:tcW w:w="1456" w:type="dxa"/>
            <w:vMerge/>
            <w:vAlign w:val="center"/>
            <w:hideMark/>
          </w:tcPr>
          <w:p w:rsidR="00685184" w:rsidRPr="0091560A" w:rsidRDefault="00685184" w:rsidP="00685184">
            <w:pPr>
              <w:rPr>
                <w:rFonts w:ascii="Arial" w:hAnsi="Arial" w:cs="Arial"/>
                <w:sz w:val="18"/>
                <w:szCs w:val="20"/>
              </w:rPr>
            </w:pPr>
          </w:p>
        </w:tc>
        <w:tc>
          <w:tcPr>
            <w:tcW w:w="1298" w:type="dxa"/>
            <w:vMerge/>
            <w:vAlign w:val="center"/>
            <w:hideMark/>
          </w:tcPr>
          <w:p w:rsidR="00685184" w:rsidRPr="0091560A" w:rsidRDefault="00685184" w:rsidP="00685184">
            <w:pPr>
              <w:rPr>
                <w:rFonts w:ascii="Arial" w:hAnsi="Arial" w:cs="Arial"/>
                <w:sz w:val="18"/>
                <w:szCs w:val="20"/>
              </w:rPr>
            </w:pPr>
          </w:p>
        </w:tc>
        <w:tc>
          <w:tcPr>
            <w:tcW w:w="1495" w:type="dxa"/>
            <w:vMerge/>
            <w:vAlign w:val="center"/>
            <w:hideMark/>
          </w:tcPr>
          <w:p w:rsidR="00685184" w:rsidRPr="0091560A" w:rsidRDefault="00685184" w:rsidP="00685184">
            <w:pPr>
              <w:rPr>
                <w:rFonts w:ascii="Arial" w:hAnsi="Arial" w:cs="Arial"/>
                <w:sz w:val="18"/>
                <w:szCs w:val="20"/>
              </w:rPr>
            </w:pPr>
          </w:p>
        </w:tc>
        <w:tc>
          <w:tcPr>
            <w:tcW w:w="1196" w:type="dxa"/>
            <w:vMerge/>
            <w:vAlign w:val="center"/>
            <w:hideMark/>
          </w:tcPr>
          <w:p w:rsidR="00685184" w:rsidRPr="0091560A" w:rsidRDefault="00685184" w:rsidP="00685184">
            <w:pPr>
              <w:rPr>
                <w:rFonts w:ascii="Arial" w:hAnsi="Arial" w:cs="Arial"/>
                <w:sz w:val="18"/>
                <w:szCs w:val="20"/>
              </w:rPr>
            </w:pPr>
          </w:p>
        </w:tc>
      </w:tr>
      <w:tr w:rsidR="00685184" w:rsidRPr="0091560A" w:rsidTr="00685184">
        <w:trPr>
          <w:trHeight w:hRule="exact" w:val="116"/>
        </w:trPr>
        <w:tc>
          <w:tcPr>
            <w:tcW w:w="760" w:type="dxa"/>
            <w:vMerge/>
            <w:vAlign w:val="center"/>
            <w:hideMark/>
          </w:tcPr>
          <w:p w:rsidR="00685184" w:rsidRPr="0091560A" w:rsidRDefault="00685184" w:rsidP="00685184">
            <w:pPr>
              <w:rPr>
                <w:rFonts w:ascii="Arial" w:hAnsi="Arial" w:cs="Arial"/>
                <w:sz w:val="18"/>
                <w:szCs w:val="20"/>
              </w:rPr>
            </w:pPr>
          </w:p>
        </w:tc>
        <w:tc>
          <w:tcPr>
            <w:tcW w:w="1563" w:type="dxa"/>
            <w:vMerge w:val="restart"/>
            <w:shd w:val="clear" w:color="auto" w:fill="auto"/>
            <w:vAlign w:val="center"/>
            <w:hideMark/>
          </w:tcPr>
          <w:p w:rsidR="00685184" w:rsidRPr="0091560A" w:rsidRDefault="00685184" w:rsidP="00685184">
            <w:pPr>
              <w:jc w:val="center"/>
              <w:rPr>
                <w:rFonts w:ascii="Arial" w:hAnsi="Arial" w:cs="Arial"/>
                <w:sz w:val="18"/>
                <w:szCs w:val="20"/>
              </w:rPr>
            </w:pPr>
            <w:r w:rsidRPr="0091560A">
              <w:rPr>
                <w:rFonts w:ascii="Arial" w:hAnsi="Arial" w:cs="Arial"/>
                <w:sz w:val="18"/>
                <w:szCs w:val="20"/>
              </w:rPr>
              <w:t>Stredoslovenský</w:t>
            </w:r>
          </w:p>
        </w:tc>
        <w:tc>
          <w:tcPr>
            <w:tcW w:w="1456" w:type="dxa"/>
            <w:vMerge w:val="restart"/>
            <w:shd w:val="clear" w:color="auto" w:fill="auto"/>
            <w:vAlign w:val="center"/>
            <w:hideMark/>
          </w:tcPr>
          <w:p w:rsidR="00685184" w:rsidRPr="0091560A" w:rsidRDefault="00685184" w:rsidP="00685184">
            <w:pPr>
              <w:jc w:val="center"/>
              <w:rPr>
                <w:rFonts w:ascii="Arial" w:hAnsi="Arial" w:cs="Arial"/>
                <w:sz w:val="18"/>
                <w:szCs w:val="20"/>
              </w:rPr>
            </w:pPr>
            <w:r w:rsidRPr="0091560A">
              <w:rPr>
                <w:rFonts w:ascii="Arial" w:hAnsi="Arial" w:cs="Arial"/>
                <w:sz w:val="18"/>
                <w:szCs w:val="20"/>
              </w:rPr>
              <w:t>8 600 000</w:t>
            </w:r>
          </w:p>
        </w:tc>
        <w:tc>
          <w:tcPr>
            <w:tcW w:w="1456" w:type="dxa"/>
            <w:vMerge w:val="restart"/>
            <w:shd w:val="clear" w:color="auto" w:fill="auto"/>
            <w:vAlign w:val="center"/>
            <w:hideMark/>
          </w:tcPr>
          <w:p w:rsidR="00685184" w:rsidRPr="0091560A" w:rsidRDefault="00685184" w:rsidP="00685184">
            <w:pPr>
              <w:jc w:val="center"/>
              <w:rPr>
                <w:rFonts w:ascii="Arial" w:hAnsi="Arial" w:cs="Arial"/>
                <w:sz w:val="18"/>
                <w:szCs w:val="20"/>
              </w:rPr>
            </w:pPr>
            <w:r w:rsidRPr="0091560A">
              <w:rPr>
                <w:rFonts w:ascii="Arial" w:hAnsi="Arial" w:cs="Arial"/>
                <w:sz w:val="18"/>
                <w:szCs w:val="20"/>
              </w:rPr>
              <w:t>0,00%</w:t>
            </w:r>
          </w:p>
        </w:tc>
        <w:tc>
          <w:tcPr>
            <w:tcW w:w="1298" w:type="dxa"/>
            <w:vMerge w:val="restart"/>
            <w:shd w:val="clear" w:color="auto" w:fill="auto"/>
            <w:vAlign w:val="center"/>
            <w:hideMark/>
          </w:tcPr>
          <w:p w:rsidR="00685184" w:rsidRPr="0091560A" w:rsidRDefault="00685184" w:rsidP="00685184">
            <w:pPr>
              <w:jc w:val="center"/>
              <w:rPr>
                <w:rFonts w:ascii="Arial" w:hAnsi="Arial" w:cs="Arial"/>
                <w:sz w:val="18"/>
                <w:szCs w:val="20"/>
              </w:rPr>
            </w:pPr>
            <w:r w:rsidRPr="0091560A">
              <w:rPr>
                <w:rFonts w:ascii="Arial" w:hAnsi="Arial" w:cs="Arial"/>
                <w:sz w:val="18"/>
                <w:szCs w:val="20"/>
              </w:rPr>
              <w:t>0</w:t>
            </w:r>
          </w:p>
        </w:tc>
        <w:tc>
          <w:tcPr>
            <w:tcW w:w="1495" w:type="dxa"/>
            <w:vMerge w:val="restart"/>
            <w:shd w:val="clear" w:color="auto" w:fill="auto"/>
            <w:vAlign w:val="center"/>
            <w:hideMark/>
          </w:tcPr>
          <w:p w:rsidR="00685184" w:rsidRPr="0091560A" w:rsidRDefault="00685184" w:rsidP="00685184">
            <w:pPr>
              <w:jc w:val="center"/>
              <w:rPr>
                <w:rFonts w:ascii="Arial" w:hAnsi="Arial" w:cs="Arial"/>
                <w:sz w:val="18"/>
                <w:szCs w:val="20"/>
              </w:rPr>
            </w:pPr>
            <w:r w:rsidRPr="0091560A">
              <w:rPr>
                <w:rFonts w:ascii="Arial" w:hAnsi="Arial" w:cs="Arial"/>
                <w:sz w:val="18"/>
                <w:szCs w:val="20"/>
              </w:rPr>
              <w:t>0,00%</w:t>
            </w:r>
          </w:p>
        </w:tc>
        <w:tc>
          <w:tcPr>
            <w:tcW w:w="1196" w:type="dxa"/>
            <w:vMerge w:val="restart"/>
            <w:shd w:val="clear" w:color="auto" w:fill="auto"/>
            <w:vAlign w:val="center"/>
            <w:hideMark/>
          </w:tcPr>
          <w:p w:rsidR="00685184" w:rsidRPr="0091560A" w:rsidRDefault="00685184" w:rsidP="00685184">
            <w:pPr>
              <w:jc w:val="center"/>
              <w:rPr>
                <w:rFonts w:ascii="Arial" w:hAnsi="Arial" w:cs="Arial"/>
                <w:sz w:val="18"/>
                <w:szCs w:val="20"/>
              </w:rPr>
            </w:pPr>
            <w:r w:rsidRPr="0091560A">
              <w:rPr>
                <w:rFonts w:ascii="Arial" w:hAnsi="Arial" w:cs="Arial"/>
                <w:sz w:val="18"/>
                <w:szCs w:val="20"/>
              </w:rPr>
              <w:t>0,00%</w:t>
            </w:r>
          </w:p>
        </w:tc>
      </w:tr>
      <w:tr w:rsidR="00685184" w:rsidRPr="0091560A" w:rsidTr="00685184">
        <w:trPr>
          <w:trHeight w:hRule="exact" w:val="116"/>
        </w:trPr>
        <w:tc>
          <w:tcPr>
            <w:tcW w:w="760" w:type="dxa"/>
            <w:vMerge/>
            <w:vAlign w:val="center"/>
            <w:hideMark/>
          </w:tcPr>
          <w:p w:rsidR="00685184" w:rsidRPr="0091560A" w:rsidRDefault="00685184" w:rsidP="00685184">
            <w:pPr>
              <w:rPr>
                <w:rFonts w:ascii="Arial" w:hAnsi="Arial" w:cs="Arial"/>
                <w:sz w:val="18"/>
                <w:szCs w:val="20"/>
              </w:rPr>
            </w:pPr>
          </w:p>
        </w:tc>
        <w:tc>
          <w:tcPr>
            <w:tcW w:w="1563" w:type="dxa"/>
            <w:vMerge/>
            <w:vAlign w:val="center"/>
            <w:hideMark/>
          </w:tcPr>
          <w:p w:rsidR="00685184" w:rsidRPr="0091560A" w:rsidRDefault="00685184" w:rsidP="00685184">
            <w:pPr>
              <w:rPr>
                <w:rFonts w:ascii="Arial" w:hAnsi="Arial" w:cs="Arial"/>
                <w:sz w:val="18"/>
                <w:szCs w:val="20"/>
              </w:rPr>
            </w:pPr>
          </w:p>
        </w:tc>
        <w:tc>
          <w:tcPr>
            <w:tcW w:w="1456" w:type="dxa"/>
            <w:vMerge/>
            <w:vAlign w:val="center"/>
            <w:hideMark/>
          </w:tcPr>
          <w:p w:rsidR="00685184" w:rsidRPr="0091560A" w:rsidRDefault="00685184" w:rsidP="00685184">
            <w:pPr>
              <w:rPr>
                <w:rFonts w:ascii="Arial" w:hAnsi="Arial" w:cs="Arial"/>
                <w:sz w:val="18"/>
                <w:szCs w:val="20"/>
              </w:rPr>
            </w:pPr>
          </w:p>
        </w:tc>
        <w:tc>
          <w:tcPr>
            <w:tcW w:w="1456" w:type="dxa"/>
            <w:vMerge/>
            <w:vAlign w:val="center"/>
            <w:hideMark/>
          </w:tcPr>
          <w:p w:rsidR="00685184" w:rsidRPr="0091560A" w:rsidRDefault="00685184" w:rsidP="00685184">
            <w:pPr>
              <w:rPr>
                <w:rFonts w:ascii="Arial" w:hAnsi="Arial" w:cs="Arial"/>
                <w:sz w:val="18"/>
                <w:szCs w:val="20"/>
              </w:rPr>
            </w:pPr>
          </w:p>
        </w:tc>
        <w:tc>
          <w:tcPr>
            <w:tcW w:w="1298" w:type="dxa"/>
            <w:vMerge/>
            <w:vAlign w:val="center"/>
            <w:hideMark/>
          </w:tcPr>
          <w:p w:rsidR="00685184" w:rsidRPr="0091560A" w:rsidRDefault="00685184" w:rsidP="00685184">
            <w:pPr>
              <w:rPr>
                <w:rFonts w:ascii="Arial" w:hAnsi="Arial" w:cs="Arial"/>
                <w:sz w:val="18"/>
                <w:szCs w:val="20"/>
              </w:rPr>
            </w:pPr>
          </w:p>
        </w:tc>
        <w:tc>
          <w:tcPr>
            <w:tcW w:w="1495" w:type="dxa"/>
            <w:vMerge/>
            <w:vAlign w:val="center"/>
            <w:hideMark/>
          </w:tcPr>
          <w:p w:rsidR="00685184" w:rsidRPr="0091560A" w:rsidRDefault="00685184" w:rsidP="00685184">
            <w:pPr>
              <w:rPr>
                <w:rFonts w:ascii="Arial" w:hAnsi="Arial" w:cs="Arial"/>
                <w:sz w:val="18"/>
                <w:szCs w:val="20"/>
              </w:rPr>
            </w:pPr>
          </w:p>
        </w:tc>
        <w:tc>
          <w:tcPr>
            <w:tcW w:w="1196" w:type="dxa"/>
            <w:vMerge/>
            <w:vAlign w:val="center"/>
            <w:hideMark/>
          </w:tcPr>
          <w:p w:rsidR="00685184" w:rsidRPr="0091560A" w:rsidRDefault="00685184" w:rsidP="00685184">
            <w:pPr>
              <w:rPr>
                <w:rFonts w:ascii="Arial" w:hAnsi="Arial" w:cs="Arial"/>
                <w:sz w:val="18"/>
                <w:szCs w:val="20"/>
              </w:rPr>
            </w:pPr>
          </w:p>
        </w:tc>
      </w:tr>
      <w:tr w:rsidR="00685184" w:rsidRPr="0091560A" w:rsidTr="00685184">
        <w:trPr>
          <w:trHeight w:hRule="exact" w:val="58"/>
        </w:trPr>
        <w:tc>
          <w:tcPr>
            <w:tcW w:w="760" w:type="dxa"/>
            <w:vMerge/>
            <w:vAlign w:val="center"/>
            <w:hideMark/>
          </w:tcPr>
          <w:p w:rsidR="00685184" w:rsidRPr="0091560A" w:rsidRDefault="00685184" w:rsidP="00685184">
            <w:pPr>
              <w:rPr>
                <w:rFonts w:ascii="Arial" w:hAnsi="Arial" w:cs="Arial"/>
                <w:sz w:val="18"/>
                <w:szCs w:val="20"/>
              </w:rPr>
            </w:pPr>
          </w:p>
        </w:tc>
        <w:tc>
          <w:tcPr>
            <w:tcW w:w="1563" w:type="dxa"/>
            <w:vMerge w:val="restart"/>
            <w:shd w:val="clear" w:color="auto" w:fill="auto"/>
            <w:vAlign w:val="center"/>
            <w:hideMark/>
          </w:tcPr>
          <w:p w:rsidR="00685184" w:rsidRPr="0091560A" w:rsidRDefault="00685184" w:rsidP="00685184">
            <w:pPr>
              <w:jc w:val="center"/>
              <w:rPr>
                <w:rFonts w:ascii="Arial" w:hAnsi="Arial" w:cs="Arial"/>
                <w:sz w:val="18"/>
                <w:szCs w:val="20"/>
              </w:rPr>
            </w:pPr>
            <w:r w:rsidRPr="0091560A">
              <w:rPr>
                <w:rFonts w:ascii="Arial" w:hAnsi="Arial" w:cs="Arial"/>
                <w:sz w:val="18"/>
                <w:szCs w:val="20"/>
              </w:rPr>
              <w:t>Východoslovenský</w:t>
            </w:r>
          </w:p>
        </w:tc>
        <w:tc>
          <w:tcPr>
            <w:tcW w:w="1456" w:type="dxa"/>
            <w:vMerge w:val="restart"/>
            <w:shd w:val="clear" w:color="auto" w:fill="auto"/>
            <w:vAlign w:val="center"/>
            <w:hideMark/>
          </w:tcPr>
          <w:p w:rsidR="00685184" w:rsidRPr="0091560A" w:rsidRDefault="00685184" w:rsidP="00685184">
            <w:pPr>
              <w:jc w:val="center"/>
              <w:rPr>
                <w:rFonts w:ascii="Arial" w:hAnsi="Arial" w:cs="Arial"/>
                <w:sz w:val="18"/>
                <w:szCs w:val="20"/>
              </w:rPr>
            </w:pPr>
            <w:r w:rsidRPr="0091560A">
              <w:rPr>
                <w:rFonts w:ascii="Arial" w:hAnsi="Arial" w:cs="Arial"/>
                <w:sz w:val="18"/>
                <w:szCs w:val="20"/>
              </w:rPr>
              <w:t>6 000 000</w:t>
            </w:r>
          </w:p>
        </w:tc>
        <w:tc>
          <w:tcPr>
            <w:tcW w:w="1456" w:type="dxa"/>
            <w:vMerge w:val="restart"/>
            <w:shd w:val="clear" w:color="auto" w:fill="auto"/>
            <w:vAlign w:val="center"/>
            <w:hideMark/>
          </w:tcPr>
          <w:p w:rsidR="00685184" w:rsidRPr="0091560A" w:rsidRDefault="00685184" w:rsidP="00685184">
            <w:pPr>
              <w:jc w:val="center"/>
              <w:rPr>
                <w:rFonts w:ascii="Arial" w:hAnsi="Arial" w:cs="Arial"/>
                <w:sz w:val="18"/>
                <w:szCs w:val="20"/>
              </w:rPr>
            </w:pPr>
            <w:r w:rsidRPr="0091560A">
              <w:rPr>
                <w:rFonts w:ascii="Arial" w:hAnsi="Arial" w:cs="Arial"/>
                <w:sz w:val="18"/>
                <w:szCs w:val="20"/>
              </w:rPr>
              <w:t>0,00%</w:t>
            </w:r>
          </w:p>
        </w:tc>
        <w:tc>
          <w:tcPr>
            <w:tcW w:w="1298" w:type="dxa"/>
            <w:vMerge w:val="restart"/>
            <w:shd w:val="clear" w:color="auto" w:fill="auto"/>
            <w:vAlign w:val="center"/>
            <w:hideMark/>
          </w:tcPr>
          <w:p w:rsidR="00685184" w:rsidRPr="0091560A" w:rsidRDefault="00685184" w:rsidP="00685184">
            <w:pPr>
              <w:jc w:val="center"/>
              <w:rPr>
                <w:rFonts w:ascii="Arial" w:hAnsi="Arial" w:cs="Arial"/>
                <w:sz w:val="18"/>
                <w:szCs w:val="20"/>
              </w:rPr>
            </w:pPr>
            <w:r w:rsidRPr="0091560A">
              <w:rPr>
                <w:rFonts w:ascii="Arial" w:hAnsi="Arial" w:cs="Arial"/>
                <w:sz w:val="18"/>
                <w:szCs w:val="20"/>
              </w:rPr>
              <w:t>0</w:t>
            </w:r>
          </w:p>
        </w:tc>
        <w:tc>
          <w:tcPr>
            <w:tcW w:w="1495" w:type="dxa"/>
            <w:vMerge w:val="restart"/>
            <w:shd w:val="clear" w:color="auto" w:fill="auto"/>
            <w:vAlign w:val="center"/>
            <w:hideMark/>
          </w:tcPr>
          <w:p w:rsidR="00685184" w:rsidRPr="0091560A" w:rsidRDefault="00685184" w:rsidP="00685184">
            <w:pPr>
              <w:jc w:val="center"/>
              <w:rPr>
                <w:rFonts w:ascii="Arial" w:hAnsi="Arial" w:cs="Arial"/>
                <w:sz w:val="18"/>
                <w:szCs w:val="20"/>
              </w:rPr>
            </w:pPr>
            <w:r w:rsidRPr="0091560A">
              <w:rPr>
                <w:rFonts w:ascii="Arial" w:hAnsi="Arial" w:cs="Arial"/>
                <w:sz w:val="18"/>
                <w:szCs w:val="20"/>
              </w:rPr>
              <w:t>0,00%</w:t>
            </w:r>
          </w:p>
        </w:tc>
        <w:tc>
          <w:tcPr>
            <w:tcW w:w="1196" w:type="dxa"/>
            <w:vMerge w:val="restart"/>
            <w:shd w:val="clear" w:color="auto" w:fill="auto"/>
            <w:vAlign w:val="center"/>
            <w:hideMark/>
          </w:tcPr>
          <w:p w:rsidR="00685184" w:rsidRPr="0091560A" w:rsidRDefault="00685184" w:rsidP="00685184">
            <w:pPr>
              <w:jc w:val="center"/>
              <w:rPr>
                <w:rFonts w:ascii="Arial" w:hAnsi="Arial" w:cs="Arial"/>
                <w:sz w:val="18"/>
                <w:szCs w:val="20"/>
              </w:rPr>
            </w:pPr>
            <w:r w:rsidRPr="0091560A">
              <w:rPr>
                <w:rFonts w:ascii="Arial" w:hAnsi="Arial" w:cs="Arial"/>
                <w:sz w:val="18"/>
                <w:szCs w:val="20"/>
              </w:rPr>
              <w:t>0,00%</w:t>
            </w:r>
          </w:p>
        </w:tc>
      </w:tr>
      <w:tr w:rsidR="00685184" w:rsidRPr="0091560A" w:rsidTr="00685184">
        <w:trPr>
          <w:trHeight w:hRule="exact" w:val="232"/>
        </w:trPr>
        <w:tc>
          <w:tcPr>
            <w:tcW w:w="760" w:type="dxa"/>
            <w:vMerge/>
            <w:vAlign w:val="center"/>
            <w:hideMark/>
          </w:tcPr>
          <w:p w:rsidR="00685184" w:rsidRPr="0091560A" w:rsidRDefault="00685184" w:rsidP="00685184">
            <w:pPr>
              <w:rPr>
                <w:rFonts w:ascii="Arial" w:hAnsi="Arial" w:cs="Arial"/>
                <w:sz w:val="18"/>
                <w:szCs w:val="20"/>
              </w:rPr>
            </w:pPr>
          </w:p>
        </w:tc>
        <w:tc>
          <w:tcPr>
            <w:tcW w:w="1563" w:type="dxa"/>
            <w:vMerge/>
            <w:vAlign w:val="center"/>
            <w:hideMark/>
          </w:tcPr>
          <w:p w:rsidR="00685184" w:rsidRPr="0091560A" w:rsidRDefault="00685184" w:rsidP="00685184">
            <w:pPr>
              <w:rPr>
                <w:rFonts w:ascii="Arial" w:hAnsi="Arial" w:cs="Arial"/>
                <w:sz w:val="18"/>
                <w:szCs w:val="20"/>
              </w:rPr>
            </w:pPr>
          </w:p>
        </w:tc>
        <w:tc>
          <w:tcPr>
            <w:tcW w:w="1456" w:type="dxa"/>
            <w:vMerge/>
            <w:vAlign w:val="center"/>
            <w:hideMark/>
          </w:tcPr>
          <w:p w:rsidR="00685184" w:rsidRPr="0091560A" w:rsidRDefault="00685184" w:rsidP="00685184">
            <w:pPr>
              <w:rPr>
                <w:rFonts w:ascii="Arial" w:hAnsi="Arial" w:cs="Arial"/>
                <w:sz w:val="18"/>
                <w:szCs w:val="20"/>
              </w:rPr>
            </w:pPr>
          </w:p>
        </w:tc>
        <w:tc>
          <w:tcPr>
            <w:tcW w:w="1456" w:type="dxa"/>
            <w:vMerge/>
            <w:vAlign w:val="center"/>
            <w:hideMark/>
          </w:tcPr>
          <w:p w:rsidR="00685184" w:rsidRPr="0091560A" w:rsidRDefault="00685184" w:rsidP="00685184">
            <w:pPr>
              <w:rPr>
                <w:rFonts w:ascii="Arial" w:hAnsi="Arial" w:cs="Arial"/>
                <w:sz w:val="18"/>
                <w:szCs w:val="20"/>
              </w:rPr>
            </w:pPr>
          </w:p>
        </w:tc>
        <w:tc>
          <w:tcPr>
            <w:tcW w:w="1298" w:type="dxa"/>
            <w:vMerge/>
            <w:vAlign w:val="center"/>
            <w:hideMark/>
          </w:tcPr>
          <w:p w:rsidR="00685184" w:rsidRPr="0091560A" w:rsidRDefault="00685184" w:rsidP="00685184">
            <w:pPr>
              <w:rPr>
                <w:rFonts w:ascii="Arial" w:hAnsi="Arial" w:cs="Arial"/>
                <w:sz w:val="18"/>
                <w:szCs w:val="20"/>
              </w:rPr>
            </w:pPr>
          </w:p>
        </w:tc>
        <w:tc>
          <w:tcPr>
            <w:tcW w:w="1495" w:type="dxa"/>
            <w:vMerge/>
            <w:vAlign w:val="center"/>
            <w:hideMark/>
          </w:tcPr>
          <w:p w:rsidR="00685184" w:rsidRPr="0091560A" w:rsidRDefault="00685184" w:rsidP="00685184">
            <w:pPr>
              <w:rPr>
                <w:rFonts w:ascii="Arial" w:hAnsi="Arial" w:cs="Arial"/>
                <w:sz w:val="18"/>
                <w:szCs w:val="20"/>
              </w:rPr>
            </w:pPr>
          </w:p>
        </w:tc>
        <w:tc>
          <w:tcPr>
            <w:tcW w:w="1196" w:type="dxa"/>
            <w:vMerge/>
            <w:vAlign w:val="center"/>
            <w:hideMark/>
          </w:tcPr>
          <w:p w:rsidR="00685184" w:rsidRPr="0091560A" w:rsidRDefault="00685184" w:rsidP="00685184">
            <w:pPr>
              <w:rPr>
                <w:rFonts w:ascii="Arial" w:hAnsi="Arial" w:cs="Arial"/>
                <w:sz w:val="18"/>
                <w:szCs w:val="20"/>
              </w:rPr>
            </w:pPr>
          </w:p>
        </w:tc>
      </w:tr>
      <w:tr w:rsidR="00685184" w:rsidRPr="0091560A" w:rsidTr="00685184">
        <w:trPr>
          <w:trHeight w:hRule="exact" w:val="232"/>
        </w:trPr>
        <w:tc>
          <w:tcPr>
            <w:tcW w:w="760" w:type="dxa"/>
            <w:vMerge/>
            <w:vAlign w:val="center"/>
            <w:hideMark/>
          </w:tcPr>
          <w:p w:rsidR="00685184" w:rsidRPr="0091560A" w:rsidRDefault="00685184" w:rsidP="00685184">
            <w:pPr>
              <w:rPr>
                <w:rFonts w:ascii="Arial" w:hAnsi="Arial" w:cs="Arial"/>
                <w:sz w:val="18"/>
                <w:szCs w:val="20"/>
              </w:rPr>
            </w:pPr>
          </w:p>
        </w:tc>
        <w:tc>
          <w:tcPr>
            <w:tcW w:w="1563" w:type="dxa"/>
            <w:shd w:val="clear" w:color="auto" w:fill="auto"/>
            <w:hideMark/>
          </w:tcPr>
          <w:p w:rsidR="00685184" w:rsidRPr="0091560A" w:rsidRDefault="00685184" w:rsidP="00685184">
            <w:pPr>
              <w:jc w:val="center"/>
              <w:rPr>
                <w:rFonts w:ascii="Arial" w:hAnsi="Arial" w:cs="Arial"/>
                <w:b/>
                <w:bCs/>
                <w:sz w:val="18"/>
                <w:szCs w:val="20"/>
              </w:rPr>
            </w:pPr>
          </w:p>
        </w:tc>
        <w:tc>
          <w:tcPr>
            <w:tcW w:w="1456" w:type="dxa"/>
            <w:shd w:val="clear" w:color="auto" w:fill="auto"/>
            <w:hideMark/>
          </w:tcPr>
          <w:p w:rsidR="00685184" w:rsidRPr="0091560A" w:rsidRDefault="00685184" w:rsidP="00685184">
            <w:pPr>
              <w:jc w:val="center"/>
              <w:rPr>
                <w:rFonts w:ascii="Arial" w:hAnsi="Arial" w:cs="Arial"/>
                <w:b/>
                <w:bCs/>
                <w:sz w:val="18"/>
                <w:szCs w:val="20"/>
              </w:rPr>
            </w:pPr>
            <w:r w:rsidRPr="0091560A">
              <w:rPr>
                <w:rFonts w:ascii="Arial" w:hAnsi="Arial" w:cs="Arial"/>
                <w:b/>
                <w:bCs/>
                <w:sz w:val="18"/>
                <w:szCs w:val="20"/>
              </w:rPr>
              <w:t>20 000 000</w:t>
            </w:r>
          </w:p>
        </w:tc>
        <w:tc>
          <w:tcPr>
            <w:tcW w:w="1456" w:type="dxa"/>
            <w:shd w:val="clear" w:color="000000" w:fill="BFBFBF"/>
            <w:hideMark/>
          </w:tcPr>
          <w:p w:rsidR="00685184" w:rsidRPr="0091560A" w:rsidRDefault="00685184" w:rsidP="00685184">
            <w:pPr>
              <w:jc w:val="center"/>
              <w:rPr>
                <w:rFonts w:ascii="Arial" w:hAnsi="Arial" w:cs="Arial"/>
                <w:b/>
                <w:bCs/>
                <w:sz w:val="18"/>
                <w:szCs w:val="20"/>
              </w:rPr>
            </w:pPr>
          </w:p>
        </w:tc>
        <w:tc>
          <w:tcPr>
            <w:tcW w:w="1298" w:type="dxa"/>
            <w:shd w:val="clear" w:color="auto" w:fill="auto"/>
            <w:hideMark/>
          </w:tcPr>
          <w:p w:rsidR="00685184" w:rsidRPr="0091560A" w:rsidRDefault="00685184" w:rsidP="00685184">
            <w:pPr>
              <w:jc w:val="center"/>
              <w:rPr>
                <w:rFonts w:ascii="Arial" w:hAnsi="Arial" w:cs="Arial"/>
                <w:b/>
                <w:bCs/>
                <w:sz w:val="18"/>
                <w:szCs w:val="20"/>
              </w:rPr>
            </w:pPr>
            <w:r w:rsidRPr="0091560A">
              <w:rPr>
                <w:rFonts w:ascii="Arial" w:hAnsi="Arial" w:cs="Arial"/>
                <w:b/>
                <w:bCs/>
                <w:sz w:val="18"/>
                <w:szCs w:val="20"/>
              </w:rPr>
              <w:t>0</w:t>
            </w:r>
          </w:p>
        </w:tc>
        <w:tc>
          <w:tcPr>
            <w:tcW w:w="1495" w:type="dxa"/>
            <w:shd w:val="clear" w:color="auto" w:fill="auto"/>
            <w:hideMark/>
          </w:tcPr>
          <w:p w:rsidR="00685184" w:rsidRPr="0091560A" w:rsidRDefault="00685184" w:rsidP="00685184">
            <w:pPr>
              <w:jc w:val="center"/>
              <w:rPr>
                <w:rFonts w:ascii="Arial" w:hAnsi="Arial" w:cs="Arial"/>
                <w:b/>
                <w:bCs/>
                <w:sz w:val="18"/>
                <w:szCs w:val="20"/>
              </w:rPr>
            </w:pPr>
            <w:r w:rsidRPr="0091560A">
              <w:rPr>
                <w:rFonts w:ascii="Arial" w:hAnsi="Arial" w:cs="Arial"/>
                <w:b/>
                <w:bCs/>
                <w:sz w:val="18"/>
                <w:szCs w:val="20"/>
              </w:rPr>
              <w:t>0,00%</w:t>
            </w:r>
          </w:p>
        </w:tc>
        <w:tc>
          <w:tcPr>
            <w:tcW w:w="1196" w:type="dxa"/>
            <w:shd w:val="clear" w:color="auto" w:fill="auto"/>
            <w:hideMark/>
          </w:tcPr>
          <w:p w:rsidR="00685184" w:rsidRPr="0091560A" w:rsidRDefault="00685184" w:rsidP="00685184">
            <w:pPr>
              <w:jc w:val="center"/>
              <w:rPr>
                <w:rFonts w:ascii="Arial" w:hAnsi="Arial" w:cs="Arial"/>
                <w:b/>
                <w:bCs/>
                <w:sz w:val="18"/>
                <w:szCs w:val="20"/>
              </w:rPr>
            </w:pPr>
            <w:r w:rsidRPr="0091560A">
              <w:rPr>
                <w:rFonts w:ascii="Arial" w:hAnsi="Arial" w:cs="Arial"/>
                <w:b/>
                <w:bCs/>
                <w:sz w:val="18"/>
                <w:szCs w:val="20"/>
              </w:rPr>
              <w:t>0,00%</w:t>
            </w:r>
          </w:p>
        </w:tc>
      </w:tr>
      <w:tr w:rsidR="00685184" w:rsidRPr="0091560A" w:rsidTr="007B0880">
        <w:trPr>
          <w:trHeight w:hRule="exact" w:val="329"/>
        </w:trPr>
        <w:tc>
          <w:tcPr>
            <w:tcW w:w="760" w:type="dxa"/>
            <w:tcBorders>
              <w:bottom w:val="single" w:sz="4" w:space="0" w:color="auto"/>
            </w:tcBorders>
            <w:shd w:val="clear" w:color="auto" w:fill="auto"/>
            <w:noWrap/>
            <w:vAlign w:val="bottom"/>
            <w:hideMark/>
          </w:tcPr>
          <w:p w:rsidR="00685184" w:rsidRPr="0091560A" w:rsidRDefault="00685184" w:rsidP="00685184">
            <w:pPr>
              <w:jc w:val="center"/>
              <w:rPr>
                <w:rFonts w:ascii="Arial" w:hAnsi="Arial" w:cs="Arial"/>
                <w:b/>
                <w:bCs/>
                <w:sz w:val="18"/>
                <w:szCs w:val="20"/>
              </w:rPr>
            </w:pPr>
            <w:r w:rsidRPr="0091560A">
              <w:rPr>
                <w:rFonts w:ascii="Arial" w:hAnsi="Arial" w:cs="Arial"/>
                <w:b/>
                <w:bCs/>
                <w:sz w:val="18"/>
                <w:szCs w:val="20"/>
              </w:rPr>
              <w:t>Celkom</w:t>
            </w:r>
          </w:p>
        </w:tc>
        <w:tc>
          <w:tcPr>
            <w:tcW w:w="1563" w:type="dxa"/>
            <w:tcBorders>
              <w:bottom w:val="single" w:sz="4" w:space="0" w:color="auto"/>
            </w:tcBorders>
            <w:shd w:val="clear" w:color="auto" w:fill="auto"/>
            <w:noWrap/>
            <w:vAlign w:val="bottom"/>
            <w:hideMark/>
          </w:tcPr>
          <w:p w:rsidR="00685184" w:rsidRPr="0091560A" w:rsidRDefault="00685184" w:rsidP="00685184">
            <w:pPr>
              <w:rPr>
                <w:rFonts w:ascii="Arial" w:hAnsi="Arial" w:cs="Arial"/>
                <w:b/>
                <w:bCs/>
                <w:sz w:val="18"/>
                <w:szCs w:val="20"/>
              </w:rPr>
            </w:pPr>
            <w:r w:rsidRPr="0091560A">
              <w:rPr>
                <w:rFonts w:ascii="Arial" w:hAnsi="Arial" w:cs="Arial"/>
                <w:b/>
                <w:bCs/>
                <w:sz w:val="18"/>
                <w:szCs w:val="20"/>
              </w:rPr>
              <w:t> </w:t>
            </w:r>
          </w:p>
        </w:tc>
        <w:tc>
          <w:tcPr>
            <w:tcW w:w="1456" w:type="dxa"/>
            <w:tcBorders>
              <w:bottom w:val="single" w:sz="4" w:space="0" w:color="auto"/>
            </w:tcBorders>
            <w:shd w:val="clear" w:color="auto" w:fill="auto"/>
            <w:noWrap/>
            <w:vAlign w:val="bottom"/>
            <w:hideMark/>
          </w:tcPr>
          <w:p w:rsidR="00685184" w:rsidRPr="0091560A" w:rsidRDefault="00685184" w:rsidP="00685184">
            <w:pPr>
              <w:jc w:val="center"/>
              <w:rPr>
                <w:rFonts w:ascii="Arial" w:hAnsi="Arial" w:cs="Arial"/>
                <w:b/>
                <w:bCs/>
                <w:sz w:val="18"/>
                <w:szCs w:val="20"/>
              </w:rPr>
            </w:pPr>
            <w:r w:rsidRPr="0091560A">
              <w:rPr>
                <w:rFonts w:ascii="Arial" w:hAnsi="Arial" w:cs="Arial"/>
                <w:b/>
                <w:bCs/>
                <w:sz w:val="18"/>
                <w:szCs w:val="20"/>
              </w:rPr>
              <w:t>1 820 000 000</w:t>
            </w:r>
          </w:p>
        </w:tc>
        <w:tc>
          <w:tcPr>
            <w:tcW w:w="1456" w:type="dxa"/>
            <w:tcBorders>
              <w:bottom w:val="single" w:sz="4" w:space="0" w:color="auto"/>
            </w:tcBorders>
            <w:shd w:val="clear" w:color="auto" w:fill="auto"/>
            <w:noWrap/>
            <w:vAlign w:val="bottom"/>
            <w:hideMark/>
          </w:tcPr>
          <w:p w:rsidR="00685184" w:rsidRPr="0091560A" w:rsidRDefault="00685184" w:rsidP="00685184">
            <w:pPr>
              <w:jc w:val="center"/>
              <w:rPr>
                <w:rFonts w:ascii="Arial" w:hAnsi="Arial" w:cs="Arial"/>
                <w:b/>
                <w:bCs/>
                <w:sz w:val="18"/>
                <w:szCs w:val="20"/>
              </w:rPr>
            </w:pPr>
          </w:p>
        </w:tc>
        <w:tc>
          <w:tcPr>
            <w:tcW w:w="1298" w:type="dxa"/>
            <w:tcBorders>
              <w:bottom w:val="single" w:sz="4" w:space="0" w:color="auto"/>
            </w:tcBorders>
            <w:shd w:val="clear" w:color="auto" w:fill="auto"/>
            <w:noWrap/>
            <w:vAlign w:val="bottom"/>
            <w:hideMark/>
          </w:tcPr>
          <w:p w:rsidR="00685184" w:rsidRPr="0091560A" w:rsidRDefault="00685184" w:rsidP="00685184">
            <w:pPr>
              <w:jc w:val="center"/>
              <w:rPr>
                <w:rFonts w:ascii="Arial" w:hAnsi="Arial" w:cs="Arial"/>
                <w:b/>
                <w:bCs/>
                <w:sz w:val="18"/>
                <w:szCs w:val="20"/>
              </w:rPr>
            </w:pPr>
            <w:r w:rsidRPr="0091560A">
              <w:rPr>
                <w:rFonts w:ascii="Arial" w:hAnsi="Arial" w:cs="Arial"/>
                <w:b/>
                <w:bCs/>
                <w:sz w:val="18"/>
                <w:szCs w:val="20"/>
              </w:rPr>
              <w:t>1 217 819 841</w:t>
            </w:r>
          </w:p>
        </w:tc>
        <w:tc>
          <w:tcPr>
            <w:tcW w:w="1495" w:type="dxa"/>
            <w:tcBorders>
              <w:bottom w:val="single" w:sz="4" w:space="0" w:color="auto"/>
            </w:tcBorders>
            <w:shd w:val="clear" w:color="auto" w:fill="auto"/>
            <w:noWrap/>
            <w:vAlign w:val="bottom"/>
            <w:hideMark/>
          </w:tcPr>
          <w:p w:rsidR="00685184" w:rsidRPr="0091560A" w:rsidRDefault="00685184" w:rsidP="00685184">
            <w:pPr>
              <w:jc w:val="center"/>
              <w:rPr>
                <w:rFonts w:ascii="Arial" w:hAnsi="Arial" w:cs="Arial"/>
                <w:b/>
                <w:bCs/>
                <w:sz w:val="18"/>
                <w:szCs w:val="20"/>
              </w:rPr>
            </w:pPr>
          </w:p>
        </w:tc>
        <w:tc>
          <w:tcPr>
            <w:tcW w:w="1196" w:type="dxa"/>
            <w:tcBorders>
              <w:bottom w:val="single" w:sz="4" w:space="0" w:color="auto"/>
            </w:tcBorders>
            <w:shd w:val="clear" w:color="auto" w:fill="auto"/>
            <w:noWrap/>
            <w:vAlign w:val="bottom"/>
            <w:hideMark/>
          </w:tcPr>
          <w:p w:rsidR="00685184" w:rsidRPr="0091560A" w:rsidRDefault="00685184" w:rsidP="00685184">
            <w:pPr>
              <w:jc w:val="center"/>
              <w:rPr>
                <w:rFonts w:ascii="Arial" w:hAnsi="Arial" w:cs="Arial"/>
                <w:b/>
                <w:bCs/>
                <w:sz w:val="18"/>
                <w:szCs w:val="20"/>
              </w:rPr>
            </w:pPr>
            <w:r w:rsidRPr="0091560A">
              <w:rPr>
                <w:rFonts w:ascii="Arial" w:hAnsi="Arial" w:cs="Arial"/>
                <w:b/>
                <w:bCs/>
                <w:sz w:val="18"/>
                <w:szCs w:val="20"/>
              </w:rPr>
              <w:t>66,91%</w:t>
            </w:r>
          </w:p>
        </w:tc>
      </w:tr>
    </w:tbl>
    <w:p w:rsidR="00685184" w:rsidRPr="0091560A" w:rsidRDefault="00B41C71" w:rsidP="00507035">
      <w:pPr>
        <w:spacing w:before="120" w:after="120" w:line="360" w:lineRule="auto"/>
        <w:jc w:val="both"/>
        <w:rPr>
          <w:rFonts w:ascii="Arial" w:hAnsi="Arial" w:cs="Arial"/>
          <w:sz w:val="20"/>
          <w:szCs w:val="20"/>
        </w:rPr>
      </w:pPr>
      <w:r>
        <w:rPr>
          <w:rFonts w:ascii="Arial" w:hAnsi="Arial" w:cs="Arial"/>
          <w:sz w:val="20"/>
          <w:szCs w:val="20"/>
        </w:rPr>
        <w:t>Zdroj: RO</w:t>
      </w:r>
    </w:p>
    <w:p w:rsidR="002416B1" w:rsidRPr="006A2BF3" w:rsidRDefault="004F3264" w:rsidP="00507035">
      <w:pPr>
        <w:spacing w:before="120" w:after="120" w:line="360" w:lineRule="auto"/>
        <w:jc w:val="both"/>
        <w:rPr>
          <w:rFonts w:ascii="Arial" w:hAnsi="Arial" w:cs="Arial"/>
          <w:b/>
          <w:sz w:val="20"/>
          <w:szCs w:val="20"/>
        </w:rPr>
      </w:pPr>
      <w:r>
        <w:rPr>
          <w:rFonts w:ascii="Arial" w:hAnsi="Arial" w:cs="Arial"/>
          <w:b/>
          <w:sz w:val="20"/>
          <w:szCs w:val="20"/>
        </w:rPr>
        <w:t>Regionálny prínos projektu v h</w:t>
      </w:r>
      <w:r w:rsidR="002416B1" w:rsidRPr="006A2BF3">
        <w:rPr>
          <w:rFonts w:ascii="Arial" w:hAnsi="Arial" w:cs="Arial"/>
          <w:b/>
          <w:sz w:val="20"/>
          <w:szCs w:val="20"/>
        </w:rPr>
        <w:t>odnotiac</w:t>
      </w:r>
      <w:r>
        <w:rPr>
          <w:rFonts w:ascii="Arial" w:hAnsi="Arial" w:cs="Arial"/>
          <w:b/>
          <w:sz w:val="20"/>
          <w:szCs w:val="20"/>
        </w:rPr>
        <w:t>om</w:t>
      </w:r>
      <w:r w:rsidR="002416B1" w:rsidRPr="006A2BF3">
        <w:rPr>
          <w:rFonts w:ascii="Arial" w:hAnsi="Arial" w:cs="Arial"/>
          <w:b/>
          <w:sz w:val="20"/>
          <w:szCs w:val="20"/>
        </w:rPr>
        <w:t xml:space="preserve"> proces</w:t>
      </w:r>
      <w:r>
        <w:rPr>
          <w:rFonts w:ascii="Arial" w:hAnsi="Arial" w:cs="Arial"/>
          <w:b/>
          <w:sz w:val="20"/>
          <w:szCs w:val="20"/>
        </w:rPr>
        <w:t>e</w:t>
      </w:r>
      <w:r w:rsidR="002416B1" w:rsidRPr="006A2BF3">
        <w:rPr>
          <w:rFonts w:ascii="Arial" w:hAnsi="Arial" w:cs="Arial"/>
          <w:b/>
          <w:sz w:val="20"/>
          <w:szCs w:val="20"/>
        </w:rPr>
        <w:t>:</w:t>
      </w:r>
    </w:p>
    <w:p w:rsidR="002416B1" w:rsidRPr="006A2BF3" w:rsidRDefault="002416B1" w:rsidP="00507035">
      <w:pPr>
        <w:spacing w:before="120" w:after="120" w:line="360" w:lineRule="auto"/>
        <w:jc w:val="both"/>
        <w:rPr>
          <w:rFonts w:ascii="Arial" w:hAnsi="Arial" w:cs="Arial"/>
          <w:i/>
          <w:sz w:val="20"/>
          <w:szCs w:val="20"/>
        </w:rPr>
      </w:pPr>
      <w:r w:rsidRPr="006A2BF3">
        <w:rPr>
          <w:rFonts w:ascii="Arial" w:hAnsi="Arial" w:cs="Arial"/>
          <w:i/>
          <w:sz w:val="20"/>
          <w:szCs w:val="20"/>
        </w:rPr>
        <w:t xml:space="preserve">Regionálny prínos projektu je v rámci odborného hodnotenia posudzovaný z viacerých hľadísk. </w:t>
      </w:r>
    </w:p>
    <w:p w:rsidR="002416B1" w:rsidRPr="006A2BF3" w:rsidRDefault="002416B1" w:rsidP="00507035">
      <w:pPr>
        <w:spacing w:before="120" w:after="120" w:line="360" w:lineRule="auto"/>
        <w:jc w:val="both"/>
        <w:rPr>
          <w:rFonts w:ascii="Arial" w:hAnsi="Arial" w:cs="Arial"/>
          <w:sz w:val="20"/>
          <w:szCs w:val="20"/>
        </w:rPr>
      </w:pPr>
      <w:r w:rsidRPr="006A2BF3">
        <w:rPr>
          <w:rFonts w:ascii="Arial" w:hAnsi="Arial" w:cs="Arial"/>
          <w:sz w:val="20"/>
          <w:szCs w:val="20"/>
          <w:u w:val="single"/>
        </w:rPr>
        <w:t>Pri Prioritnej osi 1</w:t>
      </w:r>
      <w:r w:rsidRPr="006A2BF3">
        <w:rPr>
          <w:rFonts w:ascii="Arial" w:hAnsi="Arial" w:cs="Arial"/>
          <w:sz w:val="20"/>
          <w:szCs w:val="20"/>
        </w:rPr>
        <w:t xml:space="preserve"> je v rámci odborného hodnotenia posudzovaný z nasledovných hľadísk:</w:t>
      </w:r>
    </w:p>
    <w:p w:rsidR="002416B1" w:rsidRPr="006A2BF3" w:rsidRDefault="002416B1" w:rsidP="00507035">
      <w:pPr>
        <w:spacing w:before="120" w:after="120" w:line="360" w:lineRule="auto"/>
        <w:jc w:val="both"/>
        <w:rPr>
          <w:rFonts w:ascii="Arial" w:hAnsi="Arial" w:cs="Arial"/>
          <w:sz w:val="20"/>
          <w:szCs w:val="20"/>
        </w:rPr>
      </w:pPr>
      <w:r w:rsidRPr="006A2BF3">
        <w:rPr>
          <w:rFonts w:ascii="Arial" w:hAnsi="Arial" w:cs="Arial"/>
          <w:sz w:val="20"/>
          <w:szCs w:val="20"/>
        </w:rPr>
        <w:t>V rámci kritéria „1.4 Zohľadnenie potrieb a podmienok územia“ je posudzovaný:</w:t>
      </w:r>
    </w:p>
    <w:p w:rsidR="002416B1" w:rsidRPr="006A2BF3" w:rsidRDefault="002416B1" w:rsidP="001540E7">
      <w:pPr>
        <w:numPr>
          <w:ilvl w:val="0"/>
          <w:numId w:val="19"/>
        </w:numPr>
        <w:spacing w:before="120" w:after="120" w:line="360" w:lineRule="auto"/>
        <w:ind w:left="714" w:hanging="357"/>
        <w:jc w:val="both"/>
        <w:rPr>
          <w:rFonts w:ascii="Arial" w:hAnsi="Arial" w:cs="Arial"/>
          <w:sz w:val="20"/>
          <w:szCs w:val="20"/>
        </w:rPr>
      </w:pPr>
      <w:r w:rsidRPr="006A2BF3">
        <w:rPr>
          <w:rFonts w:ascii="Arial" w:hAnsi="Arial" w:cs="Arial"/>
          <w:sz w:val="20"/>
          <w:szCs w:val="20"/>
        </w:rPr>
        <w:t>z pohľadu %-tuálnej napojenosti obyvateľov dotknutej oblasti na verejnú kanalizáciu, resp. vodovod;</w:t>
      </w:r>
    </w:p>
    <w:p w:rsidR="002416B1" w:rsidRPr="006A2BF3" w:rsidRDefault="002416B1" w:rsidP="001540E7">
      <w:pPr>
        <w:numPr>
          <w:ilvl w:val="0"/>
          <w:numId w:val="19"/>
        </w:numPr>
        <w:spacing w:before="120" w:after="120" w:line="360" w:lineRule="auto"/>
        <w:ind w:left="714" w:hanging="357"/>
        <w:jc w:val="both"/>
        <w:rPr>
          <w:rFonts w:ascii="Arial" w:hAnsi="Arial" w:cs="Arial"/>
          <w:sz w:val="20"/>
          <w:szCs w:val="20"/>
        </w:rPr>
      </w:pPr>
      <w:r w:rsidRPr="006A2BF3">
        <w:rPr>
          <w:rFonts w:ascii="Arial" w:hAnsi="Arial" w:cs="Arial"/>
          <w:sz w:val="20"/>
          <w:szCs w:val="20"/>
        </w:rPr>
        <w:t xml:space="preserve"> z pohľadu %-tuálneho zvýšenia podielu čistených komunálnych odpadových vôd, resp. zvýšenia podielu napojenosti obyvateľov</w:t>
      </w:r>
      <w:r>
        <w:rPr>
          <w:rFonts w:ascii="Arial" w:hAnsi="Arial" w:cs="Arial"/>
          <w:sz w:val="20"/>
          <w:szCs w:val="20"/>
        </w:rPr>
        <w:t xml:space="preserve"> </w:t>
      </w:r>
      <w:r w:rsidRPr="006A2BF3">
        <w:rPr>
          <w:rFonts w:ascii="Arial" w:hAnsi="Arial" w:cs="Arial"/>
          <w:sz w:val="20"/>
          <w:szCs w:val="20"/>
        </w:rPr>
        <w:t>na verejný vodovod;</w:t>
      </w:r>
    </w:p>
    <w:p w:rsidR="002416B1" w:rsidRPr="006A2BF3" w:rsidRDefault="002416B1" w:rsidP="001540E7">
      <w:pPr>
        <w:numPr>
          <w:ilvl w:val="0"/>
          <w:numId w:val="19"/>
        </w:numPr>
        <w:spacing w:before="120" w:after="120" w:line="360" w:lineRule="auto"/>
        <w:ind w:left="714" w:hanging="357"/>
        <w:jc w:val="both"/>
        <w:rPr>
          <w:rFonts w:ascii="Arial" w:hAnsi="Arial" w:cs="Arial"/>
          <w:sz w:val="20"/>
          <w:szCs w:val="20"/>
        </w:rPr>
      </w:pPr>
      <w:r w:rsidRPr="006A2BF3">
        <w:rPr>
          <w:rFonts w:ascii="Arial" w:hAnsi="Arial" w:cs="Arial"/>
          <w:sz w:val="20"/>
          <w:szCs w:val="20"/>
        </w:rPr>
        <w:t xml:space="preserve"> z pohľadu zvýšenia kvality vyčistenej vody;</w:t>
      </w:r>
    </w:p>
    <w:p w:rsidR="002416B1" w:rsidRPr="006A2BF3" w:rsidRDefault="002416B1" w:rsidP="001540E7">
      <w:pPr>
        <w:numPr>
          <w:ilvl w:val="0"/>
          <w:numId w:val="19"/>
        </w:numPr>
        <w:spacing w:before="120" w:after="120" w:line="360" w:lineRule="auto"/>
        <w:ind w:left="714" w:hanging="357"/>
        <w:jc w:val="both"/>
        <w:rPr>
          <w:rFonts w:ascii="Arial" w:hAnsi="Arial" w:cs="Arial"/>
          <w:sz w:val="20"/>
          <w:szCs w:val="20"/>
        </w:rPr>
      </w:pPr>
      <w:r w:rsidRPr="006A2BF3">
        <w:rPr>
          <w:rFonts w:ascii="Arial" w:hAnsi="Arial" w:cs="Arial"/>
          <w:sz w:val="20"/>
          <w:szCs w:val="20"/>
        </w:rPr>
        <w:t xml:space="preserve"> z pohľadu zlepšenia vody v recipiente a pod. </w:t>
      </w:r>
    </w:p>
    <w:p w:rsidR="002416B1" w:rsidRPr="006A2BF3" w:rsidRDefault="002416B1" w:rsidP="00593253">
      <w:pPr>
        <w:rPr>
          <w:rFonts w:ascii="Arial" w:hAnsi="Arial" w:cs="Arial"/>
          <w:sz w:val="20"/>
          <w:szCs w:val="20"/>
        </w:rPr>
      </w:pPr>
      <w:r w:rsidRPr="006A2BF3">
        <w:rPr>
          <w:rFonts w:ascii="Arial" w:hAnsi="Arial" w:cs="Arial"/>
          <w:sz w:val="20"/>
          <w:szCs w:val="20"/>
        </w:rPr>
        <w:t>V rámci kritéria „2.1 Zabezpečenie funkčnosti, etapizácia a nadväznosť výstavby na existujúcu environmentálnu infraštruktúru“ je posudzovaný:</w:t>
      </w:r>
    </w:p>
    <w:p w:rsidR="002416B1" w:rsidRPr="006A2BF3" w:rsidRDefault="002416B1" w:rsidP="001540E7">
      <w:pPr>
        <w:numPr>
          <w:ilvl w:val="0"/>
          <w:numId w:val="20"/>
        </w:numPr>
        <w:spacing w:before="120" w:after="120" w:line="360" w:lineRule="auto"/>
        <w:ind w:left="714" w:hanging="357"/>
        <w:jc w:val="both"/>
        <w:rPr>
          <w:rFonts w:ascii="Arial" w:hAnsi="Arial" w:cs="Arial"/>
          <w:sz w:val="20"/>
          <w:szCs w:val="20"/>
        </w:rPr>
      </w:pPr>
      <w:r w:rsidRPr="006A2BF3">
        <w:rPr>
          <w:rFonts w:ascii="Arial" w:hAnsi="Arial" w:cs="Arial"/>
          <w:sz w:val="20"/>
          <w:szCs w:val="20"/>
        </w:rPr>
        <w:t>z pohľadu zohľadnenia existujúcej environmentálnej infraštruktúry a situácie v danom regióne.</w:t>
      </w:r>
    </w:p>
    <w:p w:rsidR="002416B1" w:rsidRPr="006A2BF3" w:rsidRDefault="002416B1" w:rsidP="00507035">
      <w:pPr>
        <w:spacing w:before="120" w:after="120" w:line="360" w:lineRule="auto"/>
        <w:jc w:val="both"/>
        <w:rPr>
          <w:rFonts w:ascii="Arial" w:hAnsi="Arial" w:cs="Arial"/>
          <w:sz w:val="20"/>
          <w:szCs w:val="20"/>
        </w:rPr>
      </w:pPr>
      <w:r w:rsidRPr="006A2BF3">
        <w:rPr>
          <w:rFonts w:ascii="Arial" w:hAnsi="Arial" w:cs="Arial"/>
          <w:sz w:val="20"/>
          <w:szCs w:val="20"/>
        </w:rPr>
        <w:t>V rámci kritéria „2.3 Úroveň technického riešenia“ je posudzovaný:</w:t>
      </w:r>
    </w:p>
    <w:p w:rsidR="002416B1" w:rsidRPr="006A2BF3" w:rsidRDefault="002416B1" w:rsidP="001540E7">
      <w:pPr>
        <w:numPr>
          <w:ilvl w:val="0"/>
          <w:numId w:val="27"/>
        </w:numPr>
        <w:spacing w:before="120" w:after="120" w:line="360" w:lineRule="auto"/>
        <w:ind w:left="714" w:hanging="357"/>
        <w:jc w:val="both"/>
        <w:rPr>
          <w:rFonts w:ascii="Arial" w:hAnsi="Arial" w:cs="Arial"/>
          <w:sz w:val="20"/>
          <w:szCs w:val="20"/>
        </w:rPr>
      </w:pPr>
      <w:r w:rsidRPr="006A2BF3">
        <w:rPr>
          <w:rFonts w:ascii="Arial" w:hAnsi="Arial" w:cs="Arial"/>
          <w:sz w:val="20"/>
          <w:szCs w:val="20"/>
        </w:rPr>
        <w:t>z pohľadu úrovne a vhodnosti technického riešenia v nadväznosti aj na podmienky daného regiónu.</w:t>
      </w:r>
    </w:p>
    <w:p w:rsidR="002416B1" w:rsidRPr="006A2BF3" w:rsidRDefault="002416B1" w:rsidP="00507035">
      <w:pPr>
        <w:spacing w:before="120" w:after="120" w:line="360" w:lineRule="auto"/>
        <w:jc w:val="both"/>
        <w:rPr>
          <w:rFonts w:ascii="Arial" w:hAnsi="Arial" w:cs="Arial"/>
          <w:sz w:val="20"/>
          <w:szCs w:val="20"/>
        </w:rPr>
      </w:pPr>
      <w:r w:rsidRPr="006A2BF3">
        <w:rPr>
          <w:rFonts w:ascii="Arial" w:hAnsi="Arial" w:cs="Arial"/>
          <w:sz w:val="20"/>
          <w:szCs w:val="20"/>
          <w:u w:val="single"/>
        </w:rPr>
        <w:t>Pri Prioritnej osi 2</w:t>
      </w:r>
      <w:r w:rsidRPr="006A2BF3">
        <w:rPr>
          <w:rFonts w:ascii="Arial" w:hAnsi="Arial" w:cs="Arial"/>
          <w:sz w:val="20"/>
          <w:szCs w:val="20"/>
        </w:rPr>
        <w:t xml:space="preserve"> je v rámci odborného hodnotenia posudzovaný z nasledovných hľadísk:</w:t>
      </w:r>
    </w:p>
    <w:p w:rsidR="002416B1" w:rsidRPr="006A2BF3" w:rsidRDefault="002416B1" w:rsidP="00507035">
      <w:pPr>
        <w:spacing w:before="120" w:after="120" w:line="360" w:lineRule="auto"/>
        <w:jc w:val="both"/>
        <w:rPr>
          <w:rFonts w:ascii="Arial" w:hAnsi="Arial" w:cs="Arial"/>
          <w:sz w:val="20"/>
          <w:szCs w:val="20"/>
        </w:rPr>
      </w:pPr>
      <w:r w:rsidRPr="006A2BF3">
        <w:rPr>
          <w:rFonts w:ascii="Arial" w:hAnsi="Arial" w:cs="Arial"/>
          <w:sz w:val="20"/>
          <w:szCs w:val="20"/>
        </w:rPr>
        <w:t>V rámci kritéria „1.4 Zohľadnenie potrieb a podmienok územia“ je posudzovaný:</w:t>
      </w:r>
    </w:p>
    <w:p w:rsidR="002416B1" w:rsidRPr="006A2BF3" w:rsidRDefault="002416B1" w:rsidP="001540E7">
      <w:pPr>
        <w:numPr>
          <w:ilvl w:val="0"/>
          <w:numId w:val="24"/>
        </w:numPr>
        <w:spacing w:before="120" w:after="120" w:line="360" w:lineRule="auto"/>
        <w:ind w:left="714" w:hanging="357"/>
        <w:jc w:val="both"/>
        <w:rPr>
          <w:rFonts w:ascii="Arial" w:hAnsi="Arial" w:cs="Arial"/>
          <w:sz w:val="20"/>
          <w:szCs w:val="20"/>
        </w:rPr>
      </w:pPr>
      <w:r w:rsidRPr="006A2BF3">
        <w:rPr>
          <w:rFonts w:ascii="Arial" w:hAnsi="Arial" w:cs="Arial"/>
          <w:sz w:val="20"/>
          <w:szCs w:val="20"/>
        </w:rPr>
        <w:t xml:space="preserve">z pohľadu naliehavosti aktivity z hľadiska veľkosti a významu sídla, </w:t>
      </w:r>
    </w:p>
    <w:p w:rsidR="002416B1" w:rsidRPr="006A2BF3" w:rsidRDefault="002416B1" w:rsidP="001540E7">
      <w:pPr>
        <w:numPr>
          <w:ilvl w:val="0"/>
          <w:numId w:val="24"/>
        </w:numPr>
        <w:spacing w:before="120" w:after="120" w:line="360" w:lineRule="auto"/>
        <w:ind w:left="714" w:hanging="357"/>
        <w:jc w:val="both"/>
        <w:rPr>
          <w:rFonts w:ascii="Arial" w:hAnsi="Arial" w:cs="Arial"/>
          <w:sz w:val="20"/>
          <w:szCs w:val="20"/>
        </w:rPr>
      </w:pPr>
      <w:r w:rsidRPr="006A2BF3">
        <w:rPr>
          <w:rFonts w:ascii="Arial" w:hAnsi="Arial" w:cs="Arial"/>
          <w:sz w:val="20"/>
          <w:szCs w:val="20"/>
        </w:rPr>
        <w:t xml:space="preserve">z pohľadu naliehavosti aktivity z hľadiska druhu zátopového územia, </w:t>
      </w:r>
    </w:p>
    <w:p w:rsidR="002416B1" w:rsidRPr="006A2BF3" w:rsidRDefault="002416B1" w:rsidP="001540E7">
      <w:pPr>
        <w:numPr>
          <w:ilvl w:val="0"/>
          <w:numId w:val="24"/>
        </w:numPr>
        <w:spacing w:before="120" w:after="120" w:line="360" w:lineRule="auto"/>
        <w:ind w:left="714" w:hanging="357"/>
        <w:jc w:val="both"/>
        <w:rPr>
          <w:rFonts w:ascii="Arial" w:hAnsi="Arial" w:cs="Arial"/>
          <w:sz w:val="20"/>
          <w:szCs w:val="20"/>
        </w:rPr>
      </w:pPr>
      <w:r w:rsidRPr="006A2BF3">
        <w:rPr>
          <w:rFonts w:ascii="Arial" w:hAnsi="Arial" w:cs="Arial"/>
          <w:sz w:val="20"/>
          <w:szCs w:val="20"/>
        </w:rPr>
        <w:t xml:space="preserve">z pohľadu naliehavosti aktivity z hľadiska existencie dôležitých objektov hospodárskeho a spoločenského charakteru v zátopovom území, </w:t>
      </w:r>
    </w:p>
    <w:p w:rsidR="002416B1" w:rsidRPr="006A2BF3" w:rsidRDefault="002416B1" w:rsidP="001540E7">
      <w:pPr>
        <w:numPr>
          <w:ilvl w:val="0"/>
          <w:numId w:val="24"/>
        </w:numPr>
        <w:spacing w:before="120" w:after="120" w:line="360" w:lineRule="auto"/>
        <w:ind w:left="714" w:hanging="357"/>
        <w:jc w:val="both"/>
        <w:rPr>
          <w:rFonts w:ascii="Arial" w:hAnsi="Arial" w:cs="Arial"/>
          <w:sz w:val="20"/>
          <w:szCs w:val="20"/>
        </w:rPr>
      </w:pPr>
      <w:r w:rsidRPr="006A2BF3">
        <w:rPr>
          <w:rFonts w:ascii="Arial" w:hAnsi="Arial" w:cs="Arial"/>
          <w:sz w:val="20"/>
          <w:szCs w:val="20"/>
        </w:rPr>
        <w:t>z pohľadu naliehavosti aktivity z hľadiska hydrologických parametrov v zátopovom území,</w:t>
      </w:r>
    </w:p>
    <w:p w:rsidR="002416B1" w:rsidRPr="006A2BF3" w:rsidRDefault="002416B1" w:rsidP="001540E7">
      <w:pPr>
        <w:numPr>
          <w:ilvl w:val="0"/>
          <w:numId w:val="24"/>
        </w:numPr>
        <w:spacing w:before="120" w:after="120" w:line="360" w:lineRule="auto"/>
        <w:ind w:left="714" w:hanging="357"/>
        <w:jc w:val="both"/>
        <w:rPr>
          <w:rFonts w:ascii="Arial" w:hAnsi="Arial" w:cs="Arial"/>
          <w:sz w:val="20"/>
          <w:szCs w:val="20"/>
        </w:rPr>
      </w:pPr>
      <w:r w:rsidRPr="006A2BF3">
        <w:rPr>
          <w:rFonts w:ascii="Arial" w:hAnsi="Arial" w:cs="Arial"/>
          <w:sz w:val="20"/>
          <w:szCs w:val="20"/>
        </w:rPr>
        <w:t>z pohľadu naliehavosti aktivity z hľadiska vodohospodárskeho významu oblasti,</w:t>
      </w:r>
    </w:p>
    <w:p w:rsidR="002416B1" w:rsidRPr="006A2BF3" w:rsidRDefault="002416B1" w:rsidP="001540E7">
      <w:pPr>
        <w:numPr>
          <w:ilvl w:val="0"/>
          <w:numId w:val="24"/>
        </w:numPr>
        <w:spacing w:before="120" w:after="120" w:line="360" w:lineRule="auto"/>
        <w:ind w:left="714" w:hanging="357"/>
        <w:jc w:val="both"/>
        <w:rPr>
          <w:rFonts w:ascii="Arial" w:hAnsi="Arial" w:cs="Arial"/>
          <w:sz w:val="20"/>
          <w:szCs w:val="20"/>
        </w:rPr>
      </w:pPr>
      <w:r w:rsidRPr="006A2BF3">
        <w:rPr>
          <w:rFonts w:ascii="Arial" w:hAnsi="Arial" w:cs="Arial"/>
          <w:sz w:val="20"/>
          <w:szCs w:val="20"/>
        </w:rPr>
        <w:t>z pohľadu naliehavosti aktivity z hľadiska výskytu ekologicky a krajinársky významných lokalít v záplavovej oblasti,</w:t>
      </w:r>
    </w:p>
    <w:p w:rsidR="002416B1" w:rsidRPr="006A2BF3" w:rsidRDefault="002416B1" w:rsidP="001540E7">
      <w:pPr>
        <w:numPr>
          <w:ilvl w:val="0"/>
          <w:numId w:val="24"/>
        </w:numPr>
        <w:spacing w:before="120" w:after="120" w:line="360" w:lineRule="auto"/>
        <w:ind w:left="714" w:hanging="357"/>
        <w:jc w:val="both"/>
        <w:rPr>
          <w:rFonts w:ascii="Arial" w:hAnsi="Arial" w:cs="Arial"/>
          <w:sz w:val="20"/>
          <w:szCs w:val="20"/>
        </w:rPr>
      </w:pPr>
      <w:r w:rsidRPr="006A2BF3">
        <w:rPr>
          <w:rFonts w:ascii="Arial" w:hAnsi="Arial" w:cs="Arial"/>
          <w:sz w:val="20"/>
          <w:szCs w:val="20"/>
        </w:rPr>
        <w:t>z pohľadu naliehavosti aktivity z hľadiska povodňových stavov v príslušnej lokalite,</w:t>
      </w:r>
    </w:p>
    <w:p w:rsidR="002416B1" w:rsidRPr="006A2BF3" w:rsidRDefault="002416B1" w:rsidP="001540E7">
      <w:pPr>
        <w:numPr>
          <w:ilvl w:val="0"/>
          <w:numId w:val="24"/>
        </w:numPr>
        <w:spacing w:before="120" w:after="120" w:line="360" w:lineRule="auto"/>
        <w:ind w:left="714" w:hanging="357"/>
        <w:jc w:val="both"/>
        <w:rPr>
          <w:rFonts w:ascii="Arial" w:hAnsi="Arial" w:cs="Arial"/>
          <w:sz w:val="20"/>
          <w:szCs w:val="20"/>
        </w:rPr>
      </w:pPr>
      <w:r w:rsidRPr="006A2BF3">
        <w:rPr>
          <w:rFonts w:ascii="Arial" w:hAnsi="Arial" w:cs="Arial"/>
          <w:sz w:val="20"/>
          <w:szCs w:val="20"/>
        </w:rPr>
        <w:t>z pohľadu naliehavosti aktivity z hľadiska veľkosti škôd spôsobených povodňami v dotknutej oblasti za posledné roky ako aj z hľadiska výšky nákladov na ich odstránenie.</w:t>
      </w:r>
    </w:p>
    <w:p w:rsidR="002416B1" w:rsidRPr="006A2BF3" w:rsidRDefault="002416B1" w:rsidP="00507035">
      <w:pPr>
        <w:spacing w:before="120" w:after="120" w:line="360" w:lineRule="auto"/>
        <w:jc w:val="both"/>
        <w:rPr>
          <w:rFonts w:ascii="Arial" w:hAnsi="Arial" w:cs="Arial"/>
          <w:sz w:val="20"/>
          <w:szCs w:val="20"/>
        </w:rPr>
      </w:pPr>
      <w:r w:rsidRPr="006A2BF3">
        <w:rPr>
          <w:rFonts w:ascii="Arial" w:hAnsi="Arial" w:cs="Arial"/>
          <w:sz w:val="20"/>
          <w:szCs w:val="20"/>
        </w:rPr>
        <w:t>V rámci kritéria „2.1 Zabezpečenie funkčnosti, etapizácia a nadväznosť výstavby na existujúcu environmentálnu infraštruktúru“ je posudzovaný:</w:t>
      </w:r>
    </w:p>
    <w:p w:rsidR="002416B1" w:rsidRPr="006A2BF3" w:rsidRDefault="002416B1" w:rsidP="001540E7">
      <w:pPr>
        <w:numPr>
          <w:ilvl w:val="0"/>
          <w:numId w:val="25"/>
        </w:numPr>
        <w:tabs>
          <w:tab w:val="clear" w:pos="921"/>
          <w:tab w:val="num" w:pos="567"/>
        </w:tabs>
        <w:spacing w:before="120" w:after="120" w:line="360" w:lineRule="auto"/>
        <w:ind w:left="567" w:hanging="142"/>
        <w:jc w:val="both"/>
        <w:rPr>
          <w:rFonts w:ascii="Arial" w:hAnsi="Arial" w:cs="Arial"/>
          <w:sz w:val="20"/>
          <w:szCs w:val="20"/>
        </w:rPr>
      </w:pPr>
      <w:r>
        <w:rPr>
          <w:rFonts w:ascii="Arial" w:hAnsi="Arial" w:cs="Arial"/>
          <w:sz w:val="20"/>
          <w:szCs w:val="20"/>
        </w:rPr>
        <w:t xml:space="preserve"> </w:t>
      </w:r>
      <w:r w:rsidRPr="006A2BF3">
        <w:rPr>
          <w:rFonts w:ascii="Arial" w:hAnsi="Arial" w:cs="Arial"/>
          <w:sz w:val="20"/>
          <w:szCs w:val="20"/>
        </w:rPr>
        <w:t>z pohľadu zohľadnenia existujúcej environmentálnej infraštruktúry a situácie v danom regióne.</w:t>
      </w:r>
    </w:p>
    <w:p w:rsidR="002416B1" w:rsidRPr="006A2BF3" w:rsidRDefault="002416B1" w:rsidP="00507035">
      <w:pPr>
        <w:spacing w:before="120" w:after="120" w:line="360" w:lineRule="auto"/>
        <w:jc w:val="both"/>
        <w:rPr>
          <w:rFonts w:ascii="Arial" w:hAnsi="Arial" w:cs="Arial"/>
          <w:sz w:val="20"/>
          <w:szCs w:val="20"/>
        </w:rPr>
      </w:pPr>
      <w:r w:rsidRPr="006A2BF3">
        <w:rPr>
          <w:rFonts w:ascii="Arial" w:hAnsi="Arial" w:cs="Arial"/>
          <w:sz w:val="20"/>
          <w:szCs w:val="20"/>
        </w:rPr>
        <w:t>V rámci kritéria „2.3 Úroveň technického riešenia“ je posudzovaný:</w:t>
      </w:r>
    </w:p>
    <w:p w:rsidR="002416B1" w:rsidRPr="006A2BF3" w:rsidRDefault="002416B1" w:rsidP="001540E7">
      <w:pPr>
        <w:numPr>
          <w:ilvl w:val="0"/>
          <w:numId w:val="26"/>
        </w:numPr>
        <w:spacing w:before="120" w:after="120" w:line="360" w:lineRule="auto"/>
        <w:ind w:left="714" w:hanging="357"/>
        <w:jc w:val="both"/>
        <w:rPr>
          <w:rFonts w:ascii="Arial" w:hAnsi="Arial" w:cs="Arial"/>
          <w:sz w:val="20"/>
          <w:szCs w:val="20"/>
        </w:rPr>
      </w:pPr>
      <w:r w:rsidRPr="006A2BF3">
        <w:rPr>
          <w:rFonts w:ascii="Arial" w:hAnsi="Arial" w:cs="Arial"/>
          <w:sz w:val="20"/>
          <w:szCs w:val="20"/>
        </w:rPr>
        <w:t>z pohľadu úrovne a vhodnosti technického riešenia v nadväznosti aj na podmienky daného regiónu.</w:t>
      </w:r>
    </w:p>
    <w:p w:rsidR="002416B1" w:rsidRPr="006A2BF3" w:rsidRDefault="002416B1" w:rsidP="00507035">
      <w:pPr>
        <w:spacing w:before="120" w:after="120" w:line="360" w:lineRule="auto"/>
        <w:jc w:val="both"/>
        <w:rPr>
          <w:rFonts w:ascii="Arial" w:hAnsi="Arial" w:cs="Arial"/>
          <w:sz w:val="20"/>
          <w:szCs w:val="20"/>
        </w:rPr>
      </w:pPr>
      <w:r w:rsidRPr="006A2BF3">
        <w:rPr>
          <w:rFonts w:ascii="Arial" w:hAnsi="Arial" w:cs="Arial"/>
          <w:sz w:val="20"/>
          <w:szCs w:val="20"/>
          <w:u w:val="single"/>
        </w:rPr>
        <w:t>Pri Prioritnej osi 3</w:t>
      </w:r>
      <w:r w:rsidRPr="006A2BF3">
        <w:rPr>
          <w:rFonts w:ascii="Arial" w:hAnsi="Arial" w:cs="Arial"/>
          <w:sz w:val="20"/>
          <w:szCs w:val="20"/>
        </w:rPr>
        <w:t xml:space="preserve"> je v rámci odborného hodnotenia posudzovaný v z nasledovných hľadísk:</w:t>
      </w:r>
    </w:p>
    <w:p w:rsidR="002416B1" w:rsidRPr="006A2BF3" w:rsidRDefault="002416B1" w:rsidP="00507035">
      <w:pPr>
        <w:spacing w:before="120" w:after="120" w:line="360" w:lineRule="auto"/>
        <w:jc w:val="both"/>
        <w:rPr>
          <w:rFonts w:ascii="Arial" w:hAnsi="Arial" w:cs="Arial"/>
          <w:sz w:val="20"/>
          <w:szCs w:val="20"/>
        </w:rPr>
      </w:pPr>
      <w:r w:rsidRPr="006A2BF3">
        <w:rPr>
          <w:rFonts w:ascii="Arial" w:hAnsi="Arial" w:cs="Arial"/>
          <w:sz w:val="20"/>
          <w:szCs w:val="20"/>
        </w:rPr>
        <w:t>V rámci kritéria 1.4 „Zohľadnenie potrieb a podmienok územia“ je posudzovaný:</w:t>
      </w:r>
    </w:p>
    <w:p w:rsidR="002416B1" w:rsidRPr="006A2BF3" w:rsidRDefault="002416B1" w:rsidP="001540E7">
      <w:pPr>
        <w:numPr>
          <w:ilvl w:val="0"/>
          <w:numId w:val="29"/>
        </w:numPr>
        <w:spacing w:before="120" w:after="120" w:line="360" w:lineRule="auto"/>
        <w:ind w:left="714" w:hanging="357"/>
        <w:jc w:val="both"/>
        <w:rPr>
          <w:rFonts w:ascii="Arial" w:hAnsi="Arial" w:cs="Arial"/>
          <w:sz w:val="20"/>
          <w:szCs w:val="20"/>
        </w:rPr>
      </w:pPr>
      <w:r w:rsidRPr="006A2BF3">
        <w:rPr>
          <w:rFonts w:ascii="Arial" w:hAnsi="Arial" w:cs="Arial"/>
          <w:sz w:val="20"/>
          <w:szCs w:val="20"/>
        </w:rPr>
        <w:t>z pohľadu skutočnosti, či oblasť, v rámci ktorej bude projekt realizovaný, je alebo nie je oblasťou vyžadujúcou osobitnú ochranu ovzdušia, alebo je v jej bezprostrednej blízkosti, pričom je zohľadňovaný aj počet obyvateľov danej oblasti.</w:t>
      </w:r>
    </w:p>
    <w:p w:rsidR="002416B1" w:rsidRPr="006A2BF3" w:rsidRDefault="002416B1" w:rsidP="00507035">
      <w:pPr>
        <w:spacing w:before="120" w:after="120" w:line="360" w:lineRule="auto"/>
        <w:jc w:val="both"/>
        <w:rPr>
          <w:rFonts w:ascii="Arial" w:hAnsi="Arial" w:cs="Arial"/>
          <w:sz w:val="20"/>
          <w:szCs w:val="20"/>
        </w:rPr>
      </w:pPr>
      <w:r w:rsidRPr="006A2BF3">
        <w:rPr>
          <w:rFonts w:ascii="Arial" w:hAnsi="Arial" w:cs="Arial"/>
          <w:sz w:val="20"/>
          <w:szCs w:val="20"/>
        </w:rPr>
        <w:t>V rámci kritéria „2.1 Zabezpečenie funkčnosti, etapizácia a nadväznosť výstavby na existujúcu environmentálnu infraštruktúru“ je posudzovaný:</w:t>
      </w:r>
    </w:p>
    <w:p w:rsidR="002416B1" w:rsidRPr="006A2BF3" w:rsidRDefault="002416B1" w:rsidP="001540E7">
      <w:pPr>
        <w:numPr>
          <w:ilvl w:val="0"/>
          <w:numId w:val="28"/>
        </w:numPr>
        <w:spacing w:before="120" w:after="120" w:line="360" w:lineRule="auto"/>
        <w:ind w:left="714" w:hanging="357"/>
        <w:jc w:val="both"/>
        <w:rPr>
          <w:rFonts w:ascii="Arial" w:hAnsi="Arial" w:cs="Arial"/>
          <w:sz w:val="20"/>
          <w:szCs w:val="20"/>
        </w:rPr>
      </w:pPr>
      <w:r w:rsidRPr="006A2BF3">
        <w:rPr>
          <w:rFonts w:ascii="Arial" w:hAnsi="Arial" w:cs="Arial"/>
          <w:sz w:val="20"/>
          <w:szCs w:val="20"/>
        </w:rPr>
        <w:t>z pohľadu zohľadnenia existujúcej environmentálnej infraštruktúry a situácie v danom regióne.</w:t>
      </w:r>
    </w:p>
    <w:p w:rsidR="002416B1" w:rsidRPr="006A2BF3" w:rsidRDefault="002416B1" w:rsidP="00507035">
      <w:pPr>
        <w:spacing w:before="120" w:after="120" w:line="360" w:lineRule="auto"/>
        <w:jc w:val="both"/>
        <w:rPr>
          <w:rFonts w:ascii="Arial" w:hAnsi="Arial" w:cs="Arial"/>
          <w:sz w:val="20"/>
          <w:szCs w:val="20"/>
        </w:rPr>
      </w:pPr>
      <w:r w:rsidRPr="006A2BF3">
        <w:rPr>
          <w:rFonts w:ascii="Arial" w:hAnsi="Arial" w:cs="Arial"/>
          <w:sz w:val="20"/>
          <w:szCs w:val="20"/>
          <w:u w:val="single"/>
        </w:rPr>
        <w:t>Pri Prioritnej osi 4</w:t>
      </w:r>
      <w:r w:rsidRPr="006A2BF3">
        <w:rPr>
          <w:rFonts w:ascii="Arial" w:hAnsi="Arial" w:cs="Arial"/>
          <w:sz w:val="20"/>
          <w:szCs w:val="20"/>
        </w:rPr>
        <w:t xml:space="preserve"> je v rámci odborného hodnotenia posudzovaný z nasledovných hľadísk:</w:t>
      </w:r>
    </w:p>
    <w:p w:rsidR="002416B1" w:rsidRPr="006A2BF3" w:rsidRDefault="002416B1" w:rsidP="00507035">
      <w:pPr>
        <w:spacing w:before="120" w:after="120" w:line="360" w:lineRule="auto"/>
        <w:jc w:val="both"/>
        <w:rPr>
          <w:rFonts w:ascii="Arial" w:hAnsi="Arial" w:cs="Arial"/>
          <w:sz w:val="20"/>
          <w:szCs w:val="20"/>
        </w:rPr>
      </w:pPr>
      <w:r w:rsidRPr="006A2BF3">
        <w:rPr>
          <w:rFonts w:ascii="Arial" w:hAnsi="Arial" w:cs="Arial"/>
          <w:sz w:val="20"/>
          <w:szCs w:val="20"/>
        </w:rPr>
        <w:t>V rámci skupiny kritérií „1. Vhodnosť a účelnosť projektu“ je posudzovaný:</w:t>
      </w:r>
    </w:p>
    <w:p w:rsidR="002416B1" w:rsidRPr="006A2BF3" w:rsidRDefault="002416B1" w:rsidP="001540E7">
      <w:pPr>
        <w:numPr>
          <w:ilvl w:val="0"/>
          <w:numId w:val="21"/>
        </w:numPr>
        <w:spacing w:before="120" w:after="120" w:line="360" w:lineRule="auto"/>
        <w:ind w:left="714" w:hanging="357"/>
        <w:jc w:val="both"/>
        <w:rPr>
          <w:rFonts w:ascii="Arial" w:hAnsi="Arial" w:cs="Arial"/>
          <w:sz w:val="20"/>
          <w:szCs w:val="20"/>
        </w:rPr>
      </w:pPr>
      <w:r w:rsidRPr="006A2BF3">
        <w:rPr>
          <w:rFonts w:ascii="Arial" w:hAnsi="Arial" w:cs="Arial"/>
          <w:sz w:val="20"/>
          <w:szCs w:val="20"/>
        </w:rPr>
        <w:t>z pohľadu zohľadnenia súladu projektu so strategickými dokumentmi a s dokumentmi regionálneho charakteru v oblasti odpadového hospodárstva, napr. posúdenie plnenia požiadaviek a koncepčných cieľov na úseku odpadového hospodárstva</w:t>
      </w:r>
      <w:r>
        <w:rPr>
          <w:rFonts w:ascii="Arial" w:hAnsi="Arial" w:cs="Arial"/>
          <w:sz w:val="20"/>
          <w:szCs w:val="20"/>
        </w:rPr>
        <w:t xml:space="preserve"> </w:t>
      </w:r>
      <w:r w:rsidRPr="006A2BF3">
        <w:rPr>
          <w:rFonts w:ascii="Arial" w:hAnsi="Arial" w:cs="Arial"/>
          <w:sz w:val="20"/>
          <w:szCs w:val="20"/>
        </w:rPr>
        <w:t>uvedených v Programe odpadového hospodárstva daného regiónu, t.j. posúdenie zohľadnenia potrieb daného územia z pohľadu cieľov odpadového hospodárstva regiónu.</w:t>
      </w:r>
    </w:p>
    <w:p w:rsidR="007E5895" w:rsidRDefault="007E5895">
      <w:pPr>
        <w:rPr>
          <w:rFonts w:ascii="Arial" w:hAnsi="Arial" w:cs="Arial"/>
          <w:sz w:val="20"/>
          <w:szCs w:val="20"/>
        </w:rPr>
      </w:pPr>
      <w:r>
        <w:rPr>
          <w:rFonts w:ascii="Arial" w:hAnsi="Arial" w:cs="Arial"/>
          <w:sz w:val="20"/>
          <w:szCs w:val="20"/>
        </w:rPr>
        <w:br w:type="page"/>
      </w:r>
    </w:p>
    <w:p w:rsidR="002416B1" w:rsidRPr="006A2BF3" w:rsidRDefault="002416B1" w:rsidP="00507035">
      <w:pPr>
        <w:spacing w:before="120" w:after="120" w:line="360" w:lineRule="auto"/>
        <w:jc w:val="both"/>
        <w:rPr>
          <w:rFonts w:ascii="Arial" w:hAnsi="Arial" w:cs="Arial"/>
          <w:sz w:val="20"/>
          <w:szCs w:val="20"/>
        </w:rPr>
      </w:pPr>
      <w:r w:rsidRPr="006A2BF3">
        <w:rPr>
          <w:rFonts w:ascii="Arial" w:hAnsi="Arial" w:cs="Arial"/>
          <w:sz w:val="20"/>
          <w:szCs w:val="20"/>
        </w:rPr>
        <w:t>V rámci kritéria „2.</w:t>
      </w:r>
      <w:r w:rsidR="00685184">
        <w:rPr>
          <w:rFonts w:ascii="Arial" w:hAnsi="Arial" w:cs="Arial"/>
          <w:sz w:val="20"/>
          <w:szCs w:val="20"/>
        </w:rPr>
        <w:t>3</w:t>
      </w:r>
      <w:r w:rsidRPr="006A2BF3">
        <w:rPr>
          <w:rFonts w:ascii="Arial" w:hAnsi="Arial" w:cs="Arial"/>
          <w:sz w:val="20"/>
          <w:szCs w:val="20"/>
        </w:rPr>
        <w:t xml:space="preserve"> Úroveň technického riešenia“ je posudzovaný:</w:t>
      </w:r>
    </w:p>
    <w:p w:rsidR="002416B1" w:rsidRPr="006A2BF3" w:rsidRDefault="002416B1" w:rsidP="001540E7">
      <w:pPr>
        <w:numPr>
          <w:ilvl w:val="0"/>
          <w:numId w:val="22"/>
        </w:numPr>
        <w:spacing w:before="120" w:after="120" w:line="360" w:lineRule="auto"/>
        <w:ind w:left="714" w:hanging="357"/>
        <w:jc w:val="both"/>
        <w:rPr>
          <w:rFonts w:ascii="Arial" w:hAnsi="Arial" w:cs="Arial"/>
          <w:sz w:val="20"/>
          <w:szCs w:val="20"/>
        </w:rPr>
      </w:pPr>
      <w:r w:rsidRPr="006A2BF3">
        <w:rPr>
          <w:rFonts w:ascii="Arial" w:hAnsi="Arial" w:cs="Arial"/>
          <w:sz w:val="20"/>
          <w:szCs w:val="20"/>
        </w:rPr>
        <w:t>z pohľadu úrovne a vhodnosti technického riešenia v nadväznosti aj na podmienky daného regiónu.</w:t>
      </w:r>
    </w:p>
    <w:p w:rsidR="002416B1" w:rsidRPr="006A2BF3" w:rsidRDefault="002416B1" w:rsidP="00507035">
      <w:pPr>
        <w:spacing w:before="120" w:after="120" w:line="360" w:lineRule="auto"/>
        <w:jc w:val="both"/>
        <w:rPr>
          <w:rFonts w:ascii="Arial" w:hAnsi="Arial" w:cs="Arial"/>
          <w:sz w:val="20"/>
          <w:szCs w:val="20"/>
        </w:rPr>
      </w:pPr>
      <w:r w:rsidRPr="006A2BF3">
        <w:rPr>
          <w:rFonts w:ascii="Arial" w:hAnsi="Arial" w:cs="Arial"/>
          <w:sz w:val="20"/>
          <w:szCs w:val="20"/>
          <w:u w:val="single"/>
        </w:rPr>
        <w:t>Pri Prioritnej osi 5</w:t>
      </w:r>
      <w:r w:rsidRPr="006A2BF3">
        <w:rPr>
          <w:rFonts w:ascii="Arial" w:hAnsi="Arial" w:cs="Arial"/>
          <w:sz w:val="20"/>
          <w:szCs w:val="20"/>
        </w:rPr>
        <w:t xml:space="preserve"> je v rámci odborného hodnotenia posudzovaný z nasledovných hľadísk:</w:t>
      </w:r>
    </w:p>
    <w:p w:rsidR="002416B1" w:rsidRPr="006A2BF3" w:rsidRDefault="002416B1" w:rsidP="00507035">
      <w:pPr>
        <w:spacing w:before="120" w:after="120" w:line="360" w:lineRule="auto"/>
        <w:jc w:val="both"/>
        <w:rPr>
          <w:rFonts w:ascii="Arial" w:hAnsi="Arial" w:cs="Arial"/>
          <w:sz w:val="20"/>
          <w:szCs w:val="20"/>
        </w:rPr>
      </w:pPr>
      <w:r w:rsidRPr="006A2BF3">
        <w:rPr>
          <w:rFonts w:ascii="Arial" w:hAnsi="Arial" w:cs="Arial"/>
          <w:sz w:val="20"/>
          <w:szCs w:val="20"/>
        </w:rPr>
        <w:t>V rámci kritéria „1.2 Súlad projektu k dosiahnutiu cieľov prioritnej osi 5“ je posudzovaný:</w:t>
      </w:r>
    </w:p>
    <w:p w:rsidR="002416B1" w:rsidRPr="006A2BF3" w:rsidRDefault="002416B1" w:rsidP="001540E7">
      <w:pPr>
        <w:numPr>
          <w:ilvl w:val="1"/>
          <w:numId w:val="23"/>
        </w:numPr>
        <w:tabs>
          <w:tab w:val="clear" w:pos="1440"/>
          <w:tab w:val="num" w:pos="748"/>
        </w:tabs>
        <w:spacing w:before="120" w:after="120" w:line="360" w:lineRule="auto"/>
        <w:ind w:hanging="1015"/>
        <w:jc w:val="both"/>
        <w:rPr>
          <w:rFonts w:ascii="Arial" w:hAnsi="Arial" w:cs="Arial"/>
          <w:sz w:val="20"/>
          <w:szCs w:val="20"/>
        </w:rPr>
      </w:pPr>
      <w:r w:rsidRPr="006A2BF3">
        <w:rPr>
          <w:rFonts w:ascii="Arial" w:hAnsi="Arial" w:cs="Arial"/>
          <w:sz w:val="20"/>
          <w:szCs w:val="20"/>
        </w:rPr>
        <w:t>z pohľadu zohľadnenia súladu projektu so strategickými dokumentmi a právnymi predpismi v oblasti ochrany prírody.</w:t>
      </w:r>
    </w:p>
    <w:p w:rsidR="002416B1" w:rsidRPr="006A2BF3" w:rsidRDefault="002416B1" w:rsidP="00507035">
      <w:pPr>
        <w:spacing w:before="120" w:after="120" w:line="360" w:lineRule="auto"/>
        <w:jc w:val="both"/>
        <w:rPr>
          <w:rFonts w:ascii="Arial" w:hAnsi="Arial" w:cs="Arial"/>
          <w:sz w:val="20"/>
          <w:szCs w:val="20"/>
        </w:rPr>
      </w:pPr>
      <w:r w:rsidRPr="006A2BF3">
        <w:rPr>
          <w:rFonts w:ascii="Arial" w:hAnsi="Arial" w:cs="Arial"/>
          <w:sz w:val="20"/>
          <w:szCs w:val="20"/>
        </w:rPr>
        <w:t>V rámci kritéria „1.4 Širšie prínosy projektu počas alebo po realizácii projektu“ je posudzovaný:</w:t>
      </w:r>
    </w:p>
    <w:p w:rsidR="002416B1" w:rsidRPr="006A2BF3" w:rsidRDefault="002416B1" w:rsidP="001540E7">
      <w:pPr>
        <w:numPr>
          <w:ilvl w:val="2"/>
          <w:numId w:val="23"/>
        </w:numPr>
        <w:tabs>
          <w:tab w:val="num" w:pos="748"/>
        </w:tabs>
        <w:spacing w:before="120" w:after="120" w:line="360" w:lineRule="auto"/>
        <w:ind w:left="782" w:hanging="357"/>
        <w:jc w:val="both"/>
        <w:rPr>
          <w:rFonts w:ascii="Arial" w:hAnsi="Arial" w:cs="Arial"/>
          <w:sz w:val="20"/>
          <w:szCs w:val="20"/>
        </w:rPr>
      </w:pPr>
      <w:r w:rsidRPr="006A2BF3">
        <w:rPr>
          <w:rFonts w:ascii="Arial" w:hAnsi="Arial" w:cs="Arial"/>
          <w:sz w:val="20"/>
          <w:szCs w:val="20"/>
        </w:rPr>
        <w:t>z pohľadu skutočnosti, či do projektu budú zapojení aj miestni obyvatelia, vlastníci, resp. správcovia pozemkov v danom regióne a pod.,</w:t>
      </w:r>
    </w:p>
    <w:p w:rsidR="002416B1" w:rsidRPr="006A2BF3" w:rsidRDefault="002416B1" w:rsidP="001540E7">
      <w:pPr>
        <w:numPr>
          <w:ilvl w:val="2"/>
          <w:numId w:val="23"/>
        </w:numPr>
        <w:tabs>
          <w:tab w:val="num" w:pos="748"/>
        </w:tabs>
        <w:spacing w:before="120" w:after="120" w:line="360" w:lineRule="auto"/>
        <w:ind w:left="782" w:hanging="357"/>
        <w:jc w:val="both"/>
        <w:rPr>
          <w:rFonts w:ascii="Arial" w:hAnsi="Arial" w:cs="Arial"/>
          <w:sz w:val="20"/>
          <w:szCs w:val="20"/>
        </w:rPr>
      </w:pPr>
      <w:r w:rsidRPr="006A2BF3">
        <w:rPr>
          <w:rFonts w:ascii="Arial" w:hAnsi="Arial" w:cs="Arial"/>
          <w:sz w:val="20"/>
          <w:szCs w:val="20"/>
        </w:rPr>
        <w:t>z pohľadu skutočnosti, do akej miery je v rámci projektu využívaná práca s verejnosťou v danom regióne,</w:t>
      </w:r>
    </w:p>
    <w:p w:rsidR="002416B1" w:rsidRPr="006A2BF3" w:rsidRDefault="002416B1" w:rsidP="001540E7">
      <w:pPr>
        <w:numPr>
          <w:ilvl w:val="2"/>
          <w:numId w:val="23"/>
        </w:numPr>
        <w:tabs>
          <w:tab w:val="num" w:pos="748"/>
        </w:tabs>
        <w:spacing w:before="120" w:after="120" w:line="360" w:lineRule="auto"/>
        <w:ind w:left="782" w:hanging="357"/>
        <w:jc w:val="both"/>
        <w:rPr>
          <w:rFonts w:ascii="Arial" w:hAnsi="Arial" w:cs="Arial"/>
          <w:sz w:val="20"/>
          <w:szCs w:val="20"/>
        </w:rPr>
      </w:pPr>
      <w:r w:rsidRPr="006A2BF3">
        <w:rPr>
          <w:rFonts w:ascii="Arial" w:hAnsi="Arial" w:cs="Arial"/>
          <w:sz w:val="20"/>
          <w:szCs w:val="20"/>
        </w:rPr>
        <w:t>z pohľadu skutočnosti, do akej miery má v rámci projektu dôjsť k prínosom pre turizmus v rámci daného regiónu,</w:t>
      </w:r>
    </w:p>
    <w:p w:rsidR="00685184" w:rsidRPr="00685184" w:rsidRDefault="002416B1" w:rsidP="001540E7">
      <w:pPr>
        <w:numPr>
          <w:ilvl w:val="2"/>
          <w:numId w:val="23"/>
        </w:numPr>
        <w:tabs>
          <w:tab w:val="num" w:pos="748"/>
        </w:tabs>
        <w:spacing w:before="120" w:after="120" w:line="360" w:lineRule="auto"/>
        <w:ind w:left="782" w:hanging="357"/>
        <w:jc w:val="both"/>
        <w:rPr>
          <w:rFonts w:ascii="Arial" w:hAnsi="Arial" w:cs="Arial"/>
          <w:sz w:val="20"/>
          <w:szCs w:val="20"/>
        </w:rPr>
      </w:pPr>
      <w:r w:rsidRPr="006A2BF3">
        <w:rPr>
          <w:rFonts w:ascii="Arial" w:hAnsi="Arial" w:cs="Arial"/>
          <w:sz w:val="20"/>
          <w:szCs w:val="20"/>
        </w:rPr>
        <w:t>z pohľadu skutočnosti, do akej miery má v rámci projektu byť využité vzdelávanie návštevníkov daného regiónu.</w:t>
      </w:r>
    </w:p>
    <w:p w:rsidR="00685184" w:rsidRDefault="00685184" w:rsidP="00685184">
      <w:pPr>
        <w:spacing w:before="240" w:line="360" w:lineRule="auto"/>
        <w:jc w:val="both"/>
        <w:rPr>
          <w:rFonts w:ascii="Arial" w:hAnsi="Arial" w:cs="Arial"/>
          <w:b/>
          <w:sz w:val="20"/>
          <w:szCs w:val="20"/>
        </w:rPr>
      </w:pPr>
      <w:r>
        <w:rPr>
          <w:rFonts w:ascii="Arial" w:hAnsi="Arial" w:cs="Arial"/>
          <w:b/>
          <w:sz w:val="20"/>
          <w:szCs w:val="20"/>
        </w:rPr>
        <w:t>Implementácia OP ŽP z regionálneho hľadiska</w:t>
      </w:r>
    </w:p>
    <w:p w:rsidR="006D5229" w:rsidRDefault="00685184" w:rsidP="00685184">
      <w:pPr>
        <w:spacing w:before="120" w:line="360" w:lineRule="auto"/>
        <w:jc w:val="both"/>
        <w:rPr>
          <w:rFonts w:ascii="Arial" w:hAnsi="Arial" w:cs="Arial"/>
          <w:sz w:val="20"/>
        </w:rPr>
      </w:pPr>
      <w:r w:rsidRPr="00EC7FAC">
        <w:rPr>
          <w:rFonts w:ascii="Arial" w:hAnsi="Arial" w:cs="Arial"/>
          <w:sz w:val="20"/>
        </w:rPr>
        <w:t xml:space="preserve">RO pre OP ŽP </w:t>
      </w:r>
      <w:r w:rsidRPr="001540E7">
        <w:rPr>
          <w:rFonts w:ascii="Arial" w:hAnsi="Arial" w:cs="Arial"/>
          <w:sz w:val="20"/>
        </w:rPr>
        <w:t xml:space="preserve">identifikoval </w:t>
      </w:r>
      <w:r w:rsidR="00B04336">
        <w:rPr>
          <w:rFonts w:ascii="Arial" w:hAnsi="Arial" w:cs="Arial"/>
          <w:sz w:val="20"/>
        </w:rPr>
        <w:t xml:space="preserve">odchýlky od </w:t>
      </w:r>
      <w:r w:rsidRPr="001540E7">
        <w:rPr>
          <w:rFonts w:ascii="Arial" w:hAnsi="Arial" w:cs="Arial"/>
          <w:bCs/>
          <w:sz w:val="20"/>
        </w:rPr>
        <w:t xml:space="preserve">indikatívnych regionálnych alokácií </w:t>
      </w:r>
      <w:r w:rsidRPr="001540E7">
        <w:rPr>
          <w:rFonts w:ascii="Arial" w:hAnsi="Arial" w:cs="Arial"/>
          <w:sz w:val="20"/>
        </w:rPr>
        <w:t>už v roku 2009, pričom tento stav pretrváva dodnes. Dôvodom nedodržania indikatívnych alokácií je množstvo a finančný objem zazmluvnených projektov, ktoré boli schválené na základe najvyššieho bodového hodnotenia vykonaného príslušným externým/interným</w:t>
      </w:r>
      <w:r w:rsidRPr="00EC7FAC">
        <w:rPr>
          <w:rFonts w:ascii="Arial" w:hAnsi="Arial" w:cs="Arial"/>
          <w:sz w:val="20"/>
        </w:rPr>
        <w:t xml:space="preserve"> hodnotiteľom na základe hodnotiacich kritérií, ktoré boli odborne, objektívne a transparentne stanovené pre jednotlivé prioritné osi, resp. operačné ciele a ich skupiny aktivít OP ŽP. Reálne regionálne rozdelenie finančných alokácií v procese implementácie OP ŽP je teda ovplyvnené najmä pripravenosťou projektov žiadateľov z jednotlivých VÚC, počtom a najmä kvalitou predložených žiadostí. </w:t>
      </w:r>
    </w:p>
    <w:p w:rsidR="00F1286E" w:rsidRPr="006B7E85" w:rsidRDefault="00F1286E" w:rsidP="00F1286E">
      <w:pPr>
        <w:spacing w:before="120" w:after="120" w:line="360" w:lineRule="auto"/>
        <w:jc w:val="both"/>
        <w:rPr>
          <w:rFonts w:ascii="Arial" w:hAnsi="Arial" w:cs="Arial"/>
          <w:sz w:val="20"/>
          <w:szCs w:val="20"/>
        </w:rPr>
      </w:pPr>
      <w:r w:rsidRPr="006A2BF3">
        <w:rPr>
          <w:rFonts w:ascii="Arial" w:hAnsi="Arial" w:cs="Arial"/>
          <w:sz w:val="20"/>
          <w:szCs w:val="20"/>
        </w:rPr>
        <w:t>Neschválenie takých žiadostí o NFP, ktoré boli predložené v rámci kraja, pri ktorom už došlo k prekročeniu indikatívnej regionálnej alokácie aj napriek ich vysokej kvalite na úkor menej kvalitných žiadostí o NFP predložených v rámci kraja, kde indikatívna regionálna alokácia ešte nebola prekročená, by v konečnom dôsledku mohlo ohroziť napĺňanie globálneho cieľa Operačného programu Životného prostredie. Takýmto postupom by totiž neboli podporené tie najkvalitnejšie projekty a teda nedošlo by k takému skvalitneniu environmentálnej infraštruktúry, k akému by vzhľadom na výšku celkovej alokácie O</w:t>
      </w:r>
      <w:r w:rsidR="00B04336">
        <w:rPr>
          <w:rFonts w:ascii="Arial" w:hAnsi="Arial" w:cs="Arial"/>
          <w:sz w:val="20"/>
          <w:szCs w:val="20"/>
        </w:rPr>
        <w:t>P</w:t>
      </w:r>
      <w:r w:rsidRPr="006A2BF3">
        <w:rPr>
          <w:rFonts w:ascii="Arial" w:hAnsi="Arial" w:cs="Arial"/>
          <w:sz w:val="20"/>
          <w:szCs w:val="20"/>
        </w:rPr>
        <w:t xml:space="preserve"> Ž</w:t>
      </w:r>
      <w:r w:rsidR="00B04336">
        <w:rPr>
          <w:rFonts w:ascii="Arial" w:hAnsi="Arial" w:cs="Arial"/>
          <w:sz w:val="20"/>
          <w:szCs w:val="20"/>
        </w:rPr>
        <w:t>P</w:t>
      </w:r>
      <w:r w:rsidRPr="006A2BF3">
        <w:rPr>
          <w:rFonts w:ascii="Arial" w:hAnsi="Arial" w:cs="Arial"/>
          <w:sz w:val="20"/>
          <w:szCs w:val="20"/>
        </w:rPr>
        <w:t xml:space="preserve"> mohlo dôjsť.</w:t>
      </w:r>
    </w:p>
    <w:p w:rsidR="00685184" w:rsidRPr="00EC7FAC" w:rsidRDefault="00685184" w:rsidP="00685184">
      <w:pPr>
        <w:spacing w:before="120" w:line="360" w:lineRule="auto"/>
        <w:jc w:val="both"/>
        <w:rPr>
          <w:rFonts w:ascii="Arial" w:hAnsi="Arial" w:cs="Arial"/>
          <w:sz w:val="20"/>
        </w:rPr>
      </w:pPr>
      <w:r w:rsidRPr="00EC7FAC">
        <w:rPr>
          <w:rFonts w:ascii="Arial" w:hAnsi="Arial" w:cs="Arial"/>
          <w:sz w:val="20"/>
        </w:rPr>
        <w:t>Rešpektujúc uvedené dôvody Monitorovací výb</w:t>
      </w:r>
      <w:r w:rsidR="00B04336">
        <w:rPr>
          <w:rFonts w:ascii="Arial" w:hAnsi="Arial" w:cs="Arial"/>
          <w:sz w:val="20"/>
        </w:rPr>
        <w:t>o</w:t>
      </w:r>
      <w:r w:rsidRPr="00EC7FAC">
        <w:rPr>
          <w:rFonts w:ascii="Arial" w:hAnsi="Arial" w:cs="Arial"/>
          <w:sz w:val="20"/>
        </w:rPr>
        <w:t>r</w:t>
      </w:r>
      <w:r w:rsidR="00B04336">
        <w:rPr>
          <w:rFonts w:ascii="Arial" w:hAnsi="Arial" w:cs="Arial"/>
          <w:sz w:val="20"/>
        </w:rPr>
        <w:t xml:space="preserve"> pre</w:t>
      </w:r>
      <w:r w:rsidRPr="00EC7FAC">
        <w:rPr>
          <w:rFonts w:ascii="Arial" w:hAnsi="Arial" w:cs="Arial"/>
          <w:sz w:val="20"/>
        </w:rPr>
        <w:t xml:space="preserve"> OP ŽP dňa 18.12.2012 schválil, že v</w:t>
      </w:r>
      <w:r w:rsidRPr="00EC7FAC">
        <w:rPr>
          <w:rFonts w:ascii="Arial" w:hAnsi="Arial" w:cs="Arial"/>
          <w:bCs/>
          <w:sz w:val="20"/>
        </w:rPr>
        <w:t>ýberov</w:t>
      </w:r>
      <w:r w:rsidR="00B04336">
        <w:rPr>
          <w:rFonts w:ascii="Arial" w:hAnsi="Arial" w:cs="Arial"/>
          <w:bCs/>
          <w:sz w:val="20"/>
        </w:rPr>
        <w:t>ými</w:t>
      </w:r>
      <w:r w:rsidRPr="00EC7FAC">
        <w:rPr>
          <w:rFonts w:ascii="Arial" w:hAnsi="Arial" w:cs="Arial"/>
          <w:bCs/>
          <w:sz w:val="20"/>
        </w:rPr>
        <w:t xml:space="preserve"> kritériá</w:t>
      </w:r>
      <w:r w:rsidR="00B04336">
        <w:rPr>
          <w:rFonts w:ascii="Arial" w:hAnsi="Arial" w:cs="Arial"/>
          <w:bCs/>
          <w:sz w:val="20"/>
        </w:rPr>
        <w:t>mi</w:t>
      </w:r>
      <w:r w:rsidRPr="00EC7FAC">
        <w:rPr>
          <w:rFonts w:ascii="Arial" w:hAnsi="Arial" w:cs="Arial"/>
          <w:bCs/>
          <w:sz w:val="20"/>
        </w:rPr>
        <w:t xml:space="preserve"> žiadostí o nenávratný finančný príspevok z Európskeho fondu regionálneho rozvoja a Kohézneho fondu, ktorých celkové náklady nepresahujú 50 mil. EUR, budú výsledky odborného hodnotenia a výška alokácie. </w:t>
      </w:r>
    </w:p>
    <w:p w:rsidR="00B43AB3" w:rsidRDefault="00B43AB3" w:rsidP="00507035">
      <w:pPr>
        <w:spacing w:before="120" w:after="120" w:line="360" w:lineRule="auto"/>
        <w:jc w:val="both"/>
        <w:rPr>
          <w:rFonts w:ascii="Arial" w:hAnsi="Arial" w:cs="Arial"/>
          <w:sz w:val="20"/>
          <w:szCs w:val="20"/>
        </w:rPr>
      </w:pPr>
      <w:r w:rsidRPr="004B33AE">
        <w:rPr>
          <w:rFonts w:ascii="Arial" w:hAnsi="Arial" w:cs="Arial"/>
          <w:sz w:val="20"/>
          <w:szCs w:val="20"/>
        </w:rPr>
        <w:t>Celkovo možno konštatovať, že k 31.12.201</w:t>
      </w:r>
      <w:r>
        <w:rPr>
          <w:rFonts w:ascii="Arial" w:hAnsi="Arial" w:cs="Arial"/>
          <w:sz w:val="20"/>
          <w:szCs w:val="20"/>
        </w:rPr>
        <w:t>2</w:t>
      </w:r>
      <w:r w:rsidRPr="004B33AE">
        <w:rPr>
          <w:rFonts w:ascii="Arial" w:hAnsi="Arial" w:cs="Arial"/>
          <w:sz w:val="20"/>
          <w:szCs w:val="20"/>
        </w:rPr>
        <w:t xml:space="preserve"> bolo v rámci OP ŽP prijatých 2</w:t>
      </w:r>
      <w:r w:rsidR="0051732D">
        <w:rPr>
          <w:rFonts w:ascii="Arial" w:hAnsi="Arial" w:cs="Arial"/>
          <w:sz w:val="20"/>
          <w:szCs w:val="20"/>
        </w:rPr>
        <w:t xml:space="preserve"> </w:t>
      </w:r>
      <w:r>
        <w:rPr>
          <w:rFonts w:ascii="Arial" w:hAnsi="Arial" w:cs="Arial"/>
          <w:sz w:val="20"/>
          <w:szCs w:val="20"/>
        </w:rPr>
        <w:t>674</w:t>
      </w:r>
      <w:r w:rsidRPr="004B33AE">
        <w:rPr>
          <w:rFonts w:ascii="Arial" w:hAnsi="Arial" w:cs="Arial"/>
          <w:sz w:val="20"/>
          <w:szCs w:val="20"/>
        </w:rPr>
        <w:t xml:space="preserve"> žiadostí o NFP, z toho bolo </w:t>
      </w:r>
      <w:r>
        <w:rPr>
          <w:rFonts w:ascii="Arial" w:hAnsi="Arial" w:cs="Arial"/>
          <w:sz w:val="20"/>
          <w:szCs w:val="20"/>
        </w:rPr>
        <w:t>108</w:t>
      </w:r>
      <w:r w:rsidRPr="004B33AE">
        <w:rPr>
          <w:rFonts w:ascii="Arial" w:hAnsi="Arial" w:cs="Arial"/>
          <w:sz w:val="20"/>
          <w:szCs w:val="20"/>
        </w:rPr>
        <w:t xml:space="preserve"> žiadostí o NFP, ktorých problematika sa týka celého územia SR. Tieto </w:t>
      </w:r>
      <w:r>
        <w:rPr>
          <w:rFonts w:ascii="Arial" w:hAnsi="Arial" w:cs="Arial"/>
          <w:sz w:val="20"/>
          <w:szCs w:val="20"/>
        </w:rPr>
        <w:t xml:space="preserve">žiadosti </w:t>
      </w:r>
      <w:r w:rsidRPr="004B33AE">
        <w:rPr>
          <w:rFonts w:ascii="Arial" w:hAnsi="Arial" w:cs="Arial"/>
          <w:sz w:val="20"/>
          <w:szCs w:val="20"/>
        </w:rPr>
        <w:t>sú zamerané najmä na zabezpečovanie primeraného sledovania a hodnotenia stavu povrchových a podzemných vôd a aktivity s tým súvisiace, ako aj na riešenie problematiky environmentálnych z</w:t>
      </w:r>
      <w:r>
        <w:rPr>
          <w:rFonts w:ascii="Arial" w:hAnsi="Arial" w:cs="Arial"/>
          <w:sz w:val="20"/>
          <w:szCs w:val="20"/>
        </w:rPr>
        <w:t xml:space="preserve">áťaží vrátane ich odstraňovania a projekty v rámci technickej pomoci. </w:t>
      </w:r>
    </w:p>
    <w:p w:rsidR="00B43AB3" w:rsidRDefault="00B43AB3" w:rsidP="00507035">
      <w:pPr>
        <w:spacing w:before="120" w:after="120" w:line="360" w:lineRule="auto"/>
        <w:jc w:val="both"/>
        <w:rPr>
          <w:rFonts w:ascii="Arial" w:hAnsi="Arial" w:cs="Arial"/>
          <w:sz w:val="20"/>
          <w:szCs w:val="20"/>
        </w:rPr>
      </w:pPr>
      <w:r>
        <w:rPr>
          <w:rFonts w:ascii="Arial" w:hAnsi="Arial" w:cs="Arial"/>
          <w:sz w:val="20"/>
          <w:szCs w:val="20"/>
        </w:rPr>
        <w:t xml:space="preserve">Najviac prijatých žiadostí o NFP vo všetkých prioritných osí pochádzalo z Prešovského kraja, </w:t>
      </w:r>
      <w:r w:rsidRPr="007736EA">
        <w:rPr>
          <w:rFonts w:ascii="Arial" w:hAnsi="Arial" w:cs="Arial"/>
          <w:sz w:val="20"/>
          <w:szCs w:val="20"/>
        </w:rPr>
        <w:t>ktorý je z hľadiska rozlohy najväčším krajom SR</w:t>
      </w:r>
      <w:r>
        <w:rPr>
          <w:rFonts w:ascii="Arial" w:hAnsi="Arial" w:cs="Arial"/>
          <w:sz w:val="20"/>
          <w:szCs w:val="20"/>
        </w:rPr>
        <w:t>.</w:t>
      </w:r>
    </w:p>
    <w:p w:rsidR="00B43AB3" w:rsidRDefault="00B43AB3" w:rsidP="00507035">
      <w:pPr>
        <w:spacing w:before="120" w:after="120" w:line="360" w:lineRule="auto"/>
        <w:jc w:val="both"/>
        <w:rPr>
          <w:rFonts w:ascii="Arial" w:hAnsi="Arial" w:cs="Arial"/>
          <w:sz w:val="20"/>
          <w:szCs w:val="20"/>
        </w:rPr>
      </w:pPr>
      <w:r w:rsidRPr="004B33AE">
        <w:rPr>
          <w:rFonts w:ascii="Arial" w:hAnsi="Arial" w:cs="Arial"/>
          <w:sz w:val="20"/>
          <w:szCs w:val="20"/>
        </w:rPr>
        <w:t>Z</w:t>
      </w:r>
      <w:r>
        <w:rPr>
          <w:rFonts w:ascii="Arial" w:hAnsi="Arial" w:cs="Arial"/>
          <w:sz w:val="20"/>
          <w:szCs w:val="20"/>
        </w:rPr>
        <w:t xml:space="preserve"> hľadiska kontrahovania finančných prostriedkov v rámci OP ŽP,  </w:t>
      </w:r>
      <w:r w:rsidRPr="004B33AE">
        <w:rPr>
          <w:rFonts w:ascii="Arial" w:hAnsi="Arial" w:cs="Arial"/>
          <w:sz w:val="20"/>
          <w:szCs w:val="20"/>
        </w:rPr>
        <w:t xml:space="preserve">najviac finančných prostriedkov </w:t>
      </w:r>
      <w:r>
        <w:rPr>
          <w:rFonts w:ascii="Arial" w:hAnsi="Arial" w:cs="Arial"/>
          <w:sz w:val="20"/>
          <w:szCs w:val="20"/>
        </w:rPr>
        <w:t xml:space="preserve">z fondov </w:t>
      </w:r>
      <w:r w:rsidRPr="004B33AE">
        <w:rPr>
          <w:rFonts w:ascii="Arial" w:hAnsi="Arial" w:cs="Arial"/>
          <w:sz w:val="20"/>
          <w:szCs w:val="20"/>
        </w:rPr>
        <w:t>EÚ smeruje do Prešovského, Žilinského a Banskobystrického kraja.</w:t>
      </w:r>
    </w:p>
    <w:p w:rsidR="002416B1" w:rsidRPr="004B33AE" w:rsidRDefault="00B43AB3" w:rsidP="00507035">
      <w:pPr>
        <w:spacing w:before="120" w:after="120" w:line="360" w:lineRule="auto"/>
        <w:jc w:val="both"/>
        <w:rPr>
          <w:rFonts w:ascii="Arial" w:hAnsi="Arial" w:cs="Arial"/>
          <w:sz w:val="20"/>
          <w:szCs w:val="20"/>
        </w:rPr>
      </w:pPr>
      <w:r>
        <w:rPr>
          <w:rFonts w:ascii="Arial" w:hAnsi="Arial" w:cs="Arial"/>
          <w:sz w:val="20"/>
          <w:szCs w:val="20"/>
          <w:u w:val="single"/>
        </w:rPr>
        <w:t>V</w:t>
      </w:r>
      <w:r w:rsidRPr="004B33AE">
        <w:rPr>
          <w:rFonts w:ascii="Arial" w:hAnsi="Arial" w:cs="Arial"/>
          <w:sz w:val="20"/>
          <w:szCs w:val="20"/>
          <w:u w:val="single"/>
        </w:rPr>
        <w:t> rámci Prioritnej osi 1</w:t>
      </w:r>
      <w:r>
        <w:rPr>
          <w:rFonts w:ascii="Arial" w:hAnsi="Arial" w:cs="Arial"/>
          <w:sz w:val="20"/>
          <w:szCs w:val="20"/>
          <w:u w:val="single"/>
        </w:rPr>
        <w:t xml:space="preserve"> OP</w:t>
      </w:r>
      <w:r w:rsidR="0051732D">
        <w:rPr>
          <w:rFonts w:ascii="Arial" w:hAnsi="Arial" w:cs="Arial"/>
          <w:sz w:val="20"/>
          <w:szCs w:val="20"/>
          <w:u w:val="single"/>
        </w:rPr>
        <w:t xml:space="preserve"> </w:t>
      </w:r>
      <w:r>
        <w:rPr>
          <w:rFonts w:ascii="Arial" w:hAnsi="Arial" w:cs="Arial"/>
          <w:sz w:val="20"/>
          <w:szCs w:val="20"/>
          <w:u w:val="single"/>
        </w:rPr>
        <w:t xml:space="preserve">ŽP bolo </w:t>
      </w:r>
      <w:r>
        <w:rPr>
          <w:rFonts w:ascii="Arial" w:hAnsi="Arial" w:cs="Arial"/>
          <w:sz w:val="20"/>
          <w:szCs w:val="20"/>
        </w:rPr>
        <w:t>k dátumu</w:t>
      </w:r>
      <w:r w:rsidRPr="004B33AE">
        <w:rPr>
          <w:rFonts w:ascii="Arial" w:hAnsi="Arial" w:cs="Arial"/>
          <w:sz w:val="20"/>
          <w:szCs w:val="20"/>
        </w:rPr>
        <w:t> 31.12.201</w:t>
      </w:r>
      <w:r>
        <w:rPr>
          <w:rFonts w:ascii="Arial" w:hAnsi="Arial" w:cs="Arial"/>
          <w:sz w:val="20"/>
          <w:szCs w:val="20"/>
        </w:rPr>
        <w:t>2</w:t>
      </w:r>
      <w:r w:rsidRPr="004B33AE">
        <w:rPr>
          <w:rFonts w:ascii="Arial" w:hAnsi="Arial" w:cs="Arial"/>
          <w:sz w:val="20"/>
          <w:szCs w:val="20"/>
        </w:rPr>
        <w:t xml:space="preserve"> prijatých </w:t>
      </w:r>
      <w:r>
        <w:rPr>
          <w:rFonts w:ascii="Arial" w:hAnsi="Arial" w:cs="Arial"/>
          <w:sz w:val="20"/>
          <w:szCs w:val="20"/>
        </w:rPr>
        <w:t xml:space="preserve"> 408</w:t>
      </w:r>
      <w:r w:rsidRPr="004B33AE">
        <w:rPr>
          <w:rFonts w:ascii="Arial" w:hAnsi="Arial" w:cs="Arial"/>
          <w:sz w:val="20"/>
          <w:szCs w:val="20"/>
        </w:rPr>
        <w:t xml:space="preserve"> žiadostí o NFP, z toho najväčší počet </w:t>
      </w:r>
      <w:r>
        <w:rPr>
          <w:rFonts w:ascii="Arial" w:hAnsi="Arial" w:cs="Arial"/>
          <w:sz w:val="20"/>
          <w:szCs w:val="20"/>
        </w:rPr>
        <w:t xml:space="preserve">žiadostí o NFP bol </w:t>
      </w:r>
      <w:r w:rsidRPr="004B33AE">
        <w:rPr>
          <w:rFonts w:ascii="Arial" w:hAnsi="Arial" w:cs="Arial"/>
          <w:sz w:val="20"/>
          <w:szCs w:val="20"/>
        </w:rPr>
        <w:t>za Prešovský, Banskobystrický a Nitriansky kraj. V súčasnosti je v realizácii 12</w:t>
      </w:r>
      <w:r>
        <w:rPr>
          <w:rFonts w:ascii="Arial" w:hAnsi="Arial" w:cs="Arial"/>
          <w:sz w:val="20"/>
          <w:szCs w:val="20"/>
        </w:rPr>
        <w:t>3</w:t>
      </w:r>
      <w:r w:rsidRPr="004B33AE">
        <w:rPr>
          <w:rFonts w:ascii="Arial" w:hAnsi="Arial" w:cs="Arial"/>
          <w:sz w:val="20"/>
          <w:szCs w:val="20"/>
        </w:rPr>
        <w:t xml:space="preserve"> projektov, z</w:t>
      </w:r>
      <w:r>
        <w:rPr>
          <w:rFonts w:ascii="Arial" w:hAnsi="Arial" w:cs="Arial"/>
          <w:sz w:val="20"/>
          <w:szCs w:val="20"/>
        </w:rPr>
        <w:t> toho v rámci</w:t>
      </w:r>
      <w:r w:rsidRPr="004B33AE">
        <w:rPr>
          <w:rFonts w:ascii="Arial" w:hAnsi="Arial" w:cs="Arial"/>
          <w:sz w:val="20"/>
          <w:szCs w:val="20"/>
        </w:rPr>
        <w:t xml:space="preserve"> </w:t>
      </w:r>
      <w:r>
        <w:rPr>
          <w:rFonts w:ascii="Arial" w:hAnsi="Arial" w:cs="Arial"/>
          <w:sz w:val="20"/>
          <w:szCs w:val="20"/>
        </w:rPr>
        <w:t>3</w:t>
      </w:r>
      <w:r w:rsidRPr="004B33AE">
        <w:rPr>
          <w:rFonts w:ascii="Arial" w:hAnsi="Arial" w:cs="Arial"/>
          <w:sz w:val="20"/>
          <w:szCs w:val="20"/>
        </w:rPr>
        <w:t xml:space="preserve"> </w:t>
      </w:r>
      <w:r>
        <w:rPr>
          <w:rFonts w:ascii="Arial" w:hAnsi="Arial" w:cs="Arial"/>
          <w:sz w:val="20"/>
          <w:szCs w:val="20"/>
        </w:rPr>
        <w:t xml:space="preserve">projektov so zazmluvnenou sumou  vo výške </w:t>
      </w:r>
      <w:r w:rsidR="00884A7B" w:rsidRPr="00884A7B">
        <w:rPr>
          <w:rFonts w:ascii="Arial" w:hAnsi="Arial" w:cs="Arial"/>
          <w:sz w:val="20"/>
          <w:szCs w:val="20"/>
        </w:rPr>
        <w:t xml:space="preserve"> 3 869 457,73</w:t>
      </w:r>
      <w:r w:rsidR="00884A7B">
        <w:rPr>
          <w:rFonts w:ascii="Arial" w:hAnsi="Arial" w:cs="Arial"/>
          <w:sz w:val="20"/>
          <w:szCs w:val="20"/>
        </w:rPr>
        <w:t xml:space="preserve"> </w:t>
      </w:r>
      <w:r w:rsidRPr="0051732D">
        <w:rPr>
          <w:rFonts w:ascii="Arial" w:hAnsi="Arial" w:cs="Arial"/>
          <w:sz w:val="20"/>
          <w:szCs w:val="20"/>
        </w:rPr>
        <w:t>EUR z fondov EÚ</w:t>
      </w:r>
      <w:r w:rsidRPr="00C03EF2">
        <w:rPr>
          <w:rFonts w:ascii="Arial" w:hAnsi="Arial" w:cs="Arial"/>
          <w:sz w:val="20"/>
          <w:szCs w:val="20"/>
        </w:rPr>
        <w:t xml:space="preserve"> je</w:t>
      </w:r>
      <w:r>
        <w:rPr>
          <w:rFonts w:ascii="Arial" w:hAnsi="Arial" w:cs="Arial"/>
          <w:sz w:val="20"/>
          <w:szCs w:val="20"/>
        </w:rPr>
        <w:t xml:space="preserve"> miestom realizácie </w:t>
      </w:r>
      <w:r w:rsidRPr="004B33AE">
        <w:rPr>
          <w:rFonts w:ascii="Arial" w:hAnsi="Arial" w:cs="Arial"/>
          <w:sz w:val="20"/>
          <w:szCs w:val="20"/>
        </w:rPr>
        <w:t>celé územie SR</w:t>
      </w:r>
      <w:r>
        <w:rPr>
          <w:rFonts w:ascii="Arial" w:hAnsi="Arial" w:cs="Arial"/>
          <w:sz w:val="20"/>
          <w:szCs w:val="20"/>
        </w:rPr>
        <w:t>.</w:t>
      </w:r>
    </w:p>
    <w:p w:rsidR="002416B1" w:rsidRPr="004B33AE" w:rsidRDefault="002416B1" w:rsidP="00507035">
      <w:pPr>
        <w:spacing w:before="120" w:after="120" w:line="360" w:lineRule="auto"/>
        <w:jc w:val="both"/>
        <w:rPr>
          <w:rFonts w:ascii="Arial" w:hAnsi="Arial" w:cs="Arial"/>
          <w:sz w:val="20"/>
          <w:szCs w:val="20"/>
        </w:rPr>
      </w:pPr>
      <w:r w:rsidRPr="004B33AE">
        <w:rPr>
          <w:rFonts w:ascii="Arial" w:hAnsi="Arial" w:cs="Arial"/>
          <w:sz w:val="20"/>
          <w:szCs w:val="20"/>
          <w:u w:val="single"/>
        </w:rPr>
        <w:t>V rámci Prioritnej osi 2</w:t>
      </w:r>
      <w:r w:rsidRPr="004B33AE">
        <w:rPr>
          <w:rFonts w:ascii="Arial" w:hAnsi="Arial" w:cs="Arial"/>
          <w:sz w:val="20"/>
          <w:szCs w:val="20"/>
        </w:rPr>
        <w:t xml:space="preserve"> bolo prijatých </w:t>
      </w:r>
      <w:r w:rsidR="00835D22">
        <w:rPr>
          <w:rFonts w:ascii="Arial" w:hAnsi="Arial" w:cs="Arial"/>
          <w:sz w:val="20"/>
          <w:szCs w:val="20"/>
        </w:rPr>
        <w:t>391</w:t>
      </w:r>
      <w:r w:rsidR="00835D22" w:rsidRPr="004B33AE">
        <w:rPr>
          <w:rFonts w:ascii="Arial" w:hAnsi="Arial" w:cs="Arial"/>
          <w:sz w:val="20"/>
          <w:szCs w:val="20"/>
        </w:rPr>
        <w:t xml:space="preserve"> </w:t>
      </w:r>
      <w:r w:rsidRPr="004B33AE">
        <w:rPr>
          <w:rFonts w:ascii="Arial" w:hAnsi="Arial" w:cs="Arial"/>
          <w:sz w:val="20"/>
          <w:szCs w:val="20"/>
        </w:rPr>
        <w:t xml:space="preserve">žiadostí o NFP, najmä za Prešovský a Košický kraj, pričom </w:t>
      </w:r>
      <w:r w:rsidR="00835D22">
        <w:rPr>
          <w:rFonts w:ascii="Arial" w:hAnsi="Arial" w:cs="Arial"/>
          <w:sz w:val="20"/>
          <w:szCs w:val="20"/>
        </w:rPr>
        <w:t>40 je</w:t>
      </w:r>
      <w:r w:rsidRPr="004B33AE">
        <w:rPr>
          <w:rFonts w:ascii="Arial" w:hAnsi="Arial" w:cs="Arial"/>
          <w:sz w:val="20"/>
          <w:szCs w:val="20"/>
        </w:rPr>
        <w:t xml:space="preserve"> v realizácii </w:t>
      </w:r>
      <w:r w:rsidR="00835D22">
        <w:rPr>
          <w:rFonts w:ascii="Arial" w:hAnsi="Arial" w:cs="Arial"/>
          <w:sz w:val="20"/>
          <w:szCs w:val="20"/>
        </w:rPr>
        <w:t>a</w:t>
      </w:r>
      <w:r w:rsidRPr="004B33AE">
        <w:rPr>
          <w:rFonts w:ascii="Arial" w:hAnsi="Arial" w:cs="Arial"/>
          <w:sz w:val="20"/>
          <w:szCs w:val="20"/>
        </w:rPr>
        <w:t xml:space="preserve"> </w:t>
      </w:r>
      <w:r w:rsidR="00835D22">
        <w:rPr>
          <w:rFonts w:ascii="Arial" w:hAnsi="Arial" w:cs="Arial"/>
          <w:sz w:val="20"/>
          <w:szCs w:val="20"/>
        </w:rPr>
        <w:t>25</w:t>
      </w:r>
      <w:r w:rsidR="00835D22" w:rsidRPr="004B33AE">
        <w:rPr>
          <w:rFonts w:ascii="Arial" w:hAnsi="Arial" w:cs="Arial"/>
          <w:sz w:val="20"/>
          <w:szCs w:val="20"/>
        </w:rPr>
        <w:t xml:space="preserve"> </w:t>
      </w:r>
      <w:r w:rsidRPr="004B33AE">
        <w:rPr>
          <w:rFonts w:ascii="Arial" w:hAnsi="Arial" w:cs="Arial"/>
          <w:sz w:val="20"/>
          <w:szCs w:val="20"/>
        </w:rPr>
        <w:t>projektov je riadne ukončených, najmä v Prešo</w:t>
      </w:r>
      <w:r w:rsidR="001F4F6D">
        <w:rPr>
          <w:rFonts w:ascii="Arial" w:hAnsi="Arial" w:cs="Arial"/>
          <w:sz w:val="20"/>
          <w:szCs w:val="20"/>
        </w:rPr>
        <w:t>vskom a </w:t>
      </w:r>
      <w:r w:rsidR="00835D22">
        <w:rPr>
          <w:rFonts w:ascii="Arial" w:hAnsi="Arial" w:cs="Arial"/>
          <w:sz w:val="20"/>
          <w:szCs w:val="20"/>
        </w:rPr>
        <w:t xml:space="preserve">Košickom </w:t>
      </w:r>
      <w:r w:rsidR="001F4F6D">
        <w:rPr>
          <w:rFonts w:ascii="Arial" w:hAnsi="Arial" w:cs="Arial"/>
          <w:sz w:val="20"/>
          <w:szCs w:val="20"/>
        </w:rPr>
        <w:t>kraji.</w:t>
      </w:r>
    </w:p>
    <w:p w:rsidR="002416B1" w:rsidRPr="004B33AE" w:rsidRDefault="002416B1" w:rsidP="00507035">
      <w:pPr>
        <w:spacing w:before="120" w:after="120" w:line="360" w:lineRule="auto"/>
        <w:jc w:val="both"/>
        <w:rPr>
          <w:rFonts w:ascii="Arial" w:hAnsi="Arial" w:cs="Arial"/>
          <w:sz w:val="20"/>
          <w:szCs w:val="20"/>
        </w:rPr>
      </w:pPr>
      <w:r w:rsidRPr="004B33AE">
        <w:rPr>
          <w:rFonts w:ascii="Arial" w:hAnsi="Arial" w:cs="Arial"/>
          <w:sz w:val="20"/>
          <w:szCs w:val="20"/>
          <w:u w:val="single"/>
        </w:rPr>
        <w:t>Pre Prioritnú os 3</w:t>
      </w:r>
      <w:r w:rsidRPr="004B33AE">
        <w:rPr>
          <w:rFonts w:ascii="Arial" w:hAnsi="Arial" w:cs="Arial"/>
          <w:sz w:val="20"/>
          <w:szCs w:val="20"/>
        </w:rPr>
        <w:t xml:space="preserve"> bolo prijatých 326 žiadostí o NFP, a to najmä v rámci Žilinského kraja, Prešovského a Trenčianskeho kraja. Oprávneným územím pre túto prioritnú os je celé územie SR mimo Bratislavského kraja. K 31.12.201</w:t>
      </w:r>
      <w:r w:rsidR="0051732D">
        <w:rPr>
          <w:rFonts w:ascii="Arial" w:hAnsi="Arial" w:cs="Arial"/>
          <w:sz w:val="20"/>
          <w:szCs w:val="20"/>
        </w:rPr>
        <w:t>2</w:t>
      </w:r>
      <w:r w:rsidRPr="004B33AE">
        <w:rPr>
          <w:rFonts w:ascii="Arial" w:hAnsi="Arial" w:cs="Arial"/>
          <w:sz w:val="20"/>
          <w:szCs w:val="20"/>
        </w:rPr>
        <w:t xml:space="preserve"> je v realizácii 79 projektov, najmä v rámci Trenčianskeho a Prešovského kraja.</w:t>
      </w:r>
    </w:p>
    <w:p w:rsidR="002416B1" w:rsidRPr="006A2BF3" w:rsidRDefault="00B43AB3" w:rsidP="00507035">
      <w:pPr>
        <w:spacing w:before="120" w:after="120" w:line="360" w:lineRule="auto"/>
        <w:jc w:val="both"/>
        <w:rPr>
          <w:rFonts w:ascii="Arial" w:hAnsi="Arial" w:cs="Arial"/>
          <w:sz w:val="20"/>
          <w:szCs w:val="20"/>
        </w:rPr>
      </w:pPr>
      <w:r w:rsidRPr="004B33AE">
        <w:rPr>
          <w:rFonts w:ascii="Arial" w:hAnsi="Arial" w:cs="Arial"/>
          <w:sz w:val="20"/>
          <w:szCs w:val="20"/>
        </w:rPr>
        <w:t xml:space="preserve">Spomedzi prioritných osí bol zaznamenaný najväčší počet prijatých žiadostí o NFP </w:t>
      </w:r>
      <w:r w:rsidRPr="004B33AE">
        <w:rPr>
          <w:rFonts w:ascii="Arial" w:hAnsi="Arial" w:cs="Arial"/>
          <w:sz w:val="20"/>
          <w:szCs w:val="20"/>
          <w:u w:val="single"/>
        </w:rPr>
        <w:t>v rámci Prioritnej osi 4</w:t>
      </w:r>
      <w:r w:rsidRPr="004B33AE">
        <w:rPr>
          <w:rFonts w:ascii="Arial" w:hAnsi="Arial" w:cs="Arial"/>
          <w:sz w:val="20"/>
          <w:szCs w:val="20"/>
        </w:rPr>
        <w:t>, a to najmä za Nitriansky, Trnavský, Prešovský a Žilinský kraj. Z 222 schválených žiadostí o NFP je k 31.12.201</w:t>
      </w:r>
      <w:r>
        <w:rPr>
          <w:rFonts w:ascii="Arial" w:hAnsi="Arial" w:cs="Arial"/>
          <w:sz w:val="20"/>
          <w:szCs w:val="20"/>
        </w:rPr>
        <w:t>2</w:t>
      </w:r>
      <w:r w:rsidRPr="004B33AE">
        <w:rPr>
          <w:rFonts w:ascii="Arial" w:hAnsi="Arial" w:cs="Arial"/>
          <w:sz w:val="20"/>
          <w:szCs w:val="20"/>
        </w:rPr>
        <w:t xml:space="preserve"> zazmluvnených 2</w:t>
      </w:r>
      <w:r>
        <w:rPr>
          <w:rFonts w:ascii="Arial" w:hAnsi="Arial" w:cs="Arial"/>
          <w:sz w:val="20"/>
          <w:szCs w:val="20"/>
        </w:rPr>
        <w:t>18 žiadostí o NFP</w:t>
      </w:r>
      <w:r w:rsidRPr="004B33AE">
        <w:rPr>
          <w:rFonts w:ascii="Arial" w:hAnsi="Arial" w:cs="Arial"/>
          <w:sz w:val="20"/>
          <w:szCs w:val="20"/>
        </w:rPr>
        <w:t xml:space="preserve"> </w:t>
      </w:r>
      <w:r w:rsidRPr="006A2BF3">
        <w:rPr>
          <w:rFonts w:ascii="Arial" w:hAnsi="Arial" w:cs="Arial"/>
          <w:sz w:val="20"/>
          <w:szCs w:val="20"/>
        </w:rPr>
        <w:t>a </w:t>
      </w:r>
      <w:r>
        <w:rPr>
          <w:rFonts w:ascii="Arial" w:hAnsi="Arial" w:cs="Arial"/>
          <w:sz w:val="20"/>
          <w:szCs w:val="20"/>
        </w:rPr>
        <w:t>1</w:t>
      </w:r>
      <w:r w:rsidRPr="006A2BF3">
        <w:rPr>
          <w:rFonts w:ascii="Arial" w:hAnsi="Arial" w:cs="Arial"/>
          <w:sz w:val="20"/>
          <w:szCs w:val="20"/>
        </w:rPr>
        <w:t xml:space="preserve">55 </w:t>
      </w:r>
      <w:r>
        <w:rPr>
          <w:rFonts w:ascii="Arial" w:hAnsi="Arial" w:cs="Arial"/>
          <w:sz w:val="20"/>
          <w:szCs w:val="20"/>
        </w:rPr>
        <w:t xml:space="preserve">žiadostí o NFP </w:t>
      </w:r>
      <w:r w:rsidRPr="006A2BF3">
        <w:rPr>
          <w:rFonts w:ascii="Arial" w:hAnsi="Arial" w:cs="Arial"/>
          <w:sz w:val="20"/>
          <w:szCs w:val="20"/>
        </w:rPr>
        <w:t xml:space="preserve">v realizácii, z toho najviac pre Nitriansky, Banskobystrický, a Žilinský kraj. </w:t>
      </w:r>
      <w:r>
        <w:rPr>
          <w:rFonts w:ascii="Arial" w:hAnsi="Arial" w:cs="Arial"/>
          <w:sz w:val="20"/>
          <w:szCs w:val="20"/>
        </w:rPr>
        <w:t xml:space="preserve">Riadne </w:t>
      </w:r>
      <w:r w:rsidRPr="006A2BF3">
        <w:rPr>
          <w:rFonts w:ascii="Arial" w:hAnsi="Arial" w:cs="Arial"/>
          <w:sz w:val="20"/>
          <w:szCs w:val="20"/>
        </w:rPr>
        <w:t>ukončených</w:t>
      </w:r>
      <w:r>
        <w:rPr>
          <w:rFonts w:ascii="Arial" w:hAnsi="Arial" w:cs="Arial"/>
          <w:sz w:val="20"/>
          <w:szCs w:val="20"/>
        </w:rPr>
        <w:t xml:space="preserve"> je 63</w:t>
      </w:r>
      <w:r w:rsidRPr="006A2BF3">
        <w:rPr>
          <w:rFonts w:ascii="Arial" w:hAnsi="Arial" w:cs="Arial"/>
          <w:sz w:val="20"/>
          <w:szCs w:val="20"/>
        </w:rPr>
        <w:t xml:space="preserve"> projektov, najviac v</w:t>
      </w:r>
      <w:r>
        <w:rPr>
          <w:rFonts w:ascii="Arial" w:hAnsi="Arial" w:cs="Arial"/>
          <w:sz w:val="20"/>
          <w:szCs w:val="20"/>
        </w:rPr>
        <w:t xml:space="preserve"> </w:t>
      </w:r>
      <w:r w:rsidRPr="006A2BF3">
        <w:rPr>
          <w:rFonts w:ascii="Arial" w:hAnsi="Arial" w:cs="Arial"/>
          <w:sz w:val="20"/>
          <w:szCs w:val="20"/>
        </w:rPr>
        <w:t>Trnavskom a Žilinskom kraji</w:t>
      </w:r>
      <w:r w:rsidR="0051732D">
        <w:rPr>
          <w:rFonts w:ascii="Arial" w:hAnsi="Arial" w:cs="Arial"/>
          <w:sz w:val="20"/>
          <w:szCs w:val="20"/>
        </w:rPr>
        <w:t>.</w:t>
      </w:r>
      <w:r w:rsidR="002416B1" w:rsidRPr="006A2BF3">
        <w:rPr>
          <w:rFonts w:ascii="Arial" w:hAnsi="Arial" w:cs="Arial"/>
          <w:sz w:val="20"/>
          <w:szCs w:val="20"/>
        </w:rPr>
        <w:t>.</w:t>
      </w:r>
    </w:p>
    <w:p w:rsidR="002416B1" w:rsidRPr="006A2BF3" w:rsidRDefault="002416B1" w:rsidP="00507035">
      <w:pPr>
        <w:spacing w:before="120" w:after="120" w:line="360" w:lineRule="auto"/>
        <w:jc w:val="both"/>
        <w:rPr>
          <w:rFonts w:ascii="Arial" w:hAnsi="Arial" w:cs="Arial"/>
          <w:sz w:val="20"/>
          <w:szCs w:val="20"/>
        </w:rPr>
      </w:pPr>
      <w:r w:rsidRPr="006A2BF3">
        <w:rPr>
          <w:rFonts w:ascii="Arial" w:hAnsi="Arial" w:cs="Arial"/>
          <w:sz w:val="20"/>
          <w:szCs w:val="20"/>
          <w:u w:val="single"/>
        </w:rPr>
        <w:t>V rámci Prioritnej osi 5</w:t>
      </w:r>
      <w:r w:rsidRPr="006A2BF3">
        <w:rPr>
          <w:rFonts w:ascii="Arial" w:hAnsi="Arial" w:cs="Arial"/>
          <w:sz w:val="20"/>
          <w:szCs w:val="20"/>
        </w:rPr>
        <w:t xml:space="preserve"> bolo prijatých 60 žiadostí o NFP, najmä projekt</w:t>
      </w:r>
      <w:r w:rsidR="001F4F6D">
        <w:rPr>
          <w:rFonts w:ascii="Arial" w:hAnsi="Arial" w:cs="Arial"/>
          <w:sz w:val="20"/>
          <w:szCs w:val="20"/>
        </w:rPr>
        <w:t>y, ktoré riešia celé územie SR.</w:t>
      </w:r>
    </w:p>
    <w:p w:rsidR="002416B1" w:rsidRPr="00330E9A" w:rsidRDefault="002416B1" w:rsidP="00507035">
      <w:pPr>
        <w:spacing w:before="120" w:after="120" w:line="360" w:lineRule="auto"/>
        <w:jc w:val="both"/>
        <w:rPr>
          <w:rFonts w:ascii="Arial" w:hAnsi="Arial" w:cs="Arial"/>
          <w:sz w:val="20"/>
          <w:szCs w:val="20"/>
        </w:rPr>
      </w:pPr>
      <w:r w:rsidRPr="000C481D">
        <w:rPr>
          <w:rFonts w:ascii="Arial" w:hAnsi="Arial" w:cs="Arial"/>
          <w:sz w:val="20"/>
          <w:szCs w:val="20"/>
        </w:rPr>
        <w:t xml:space="preserve">Zoznam schválených projektov s objemom </w:t>
      </w:r>
      <w:r w:rsidRPr="00493171">
        <w:rPr>
          <w:rFonts w:ascii="Arial" w:hAnsi="Arial" w:cs="Arial"/>
          <w:sz w:val="20"/>
          <w:szCs w:val="20"/>
        </w:rPr>
        <w:t>zazmluvnených prostriedkov k 31.12.201</w:t>
      </w:r>
      <w:r w:rsidR="00091E84" w:rsidRPr="00A9375C">
        <w:rPr>
          <w:rFonts w:ascii="Arial" w:hAnsi="Arial" w:cs="Arial"/>
          <w:sz w:val="20"/>
          <w:szCs w:val="20"/>
        </w:rPr>
        <w:t>2</w:t>
      </w:r>
      <w:r w:rsidRPr="007818E6">
        <w:rPr>
          <w:rFonts w:ascii="Arial" w:hAnsi="Arial" w:cs="Arial"/>
          <w:sz w:val="20"/>
          <w:szCs w:val="20"/>
        </w:rPr>
        <w:t xml:space="preserve"> je zverejnený na </w:t>
      </w:r>
      <w:r w:rsidR="00091E84" w:rsidRPr="00493171">
        <w:rPr>
          <w:rFonts w:ascii="Arial" w:hAnsi="Arial" w:cs="Arial"/>
          <w:sz w:val="20"/>
          <w:szCs w:val="20"/>
        </w:rPr>
        <w:t xml:space="preserve"> </w:t>
      </w:r>
      <w:bookmarkStart w:id="25" w:name="OLE_LINK33"/>
      <w:bookmarkStart w:id="26" w:name="OLE_LINK34"/>
      <w:r w:rsidR="00091E84" w:rsidRPr="00493171">
        <w:rPr>
          <w:rFonts w:ascii="Arial" w:hAnsi="Arial" w:cs="Arial"/>
          <w:sz w:val="20"/>
          <w:szCs w:val="20"/>
        </w:rPr>
        <w:t>webovom sídle</w:t>
      </w:r>
      <w:bookmarkEnd w:id="25"/>
      <w:bookmarkEnd w:id="26"/>
      <w:r w:rsidRPr="00493171">
        <w:rPr>
          <w:rFonts w:ascii="Arial" w:hAnsi="Arial" w:cs="Arial"/>
          <w:sz w:val="20"/>
          <w:szCs w:val="20"/>
        </w:rPr>
        <w:t xml:space="preserve"> </w:t>
      </w:r>
      <w:hyperlink r:id="rId24" w:history="1">
        <w:r w:rsidRPr="00493171">
          <w:rPr>
            <w:rStyle w:val="Hypertextovprepojenie"/>
            <w:rFonts w:ascii="Arial" w:hAnsi="Arial" w:cs="Arial"/>
            <w:sz w:val="20"/>
            <w:szCs w:val="20"/>
          </w:rPr>
          <w:t>http://www.opzp.sk/projekty/zoznam-prijimatelov/</w:t>
        </w:r>
      </w:hyperlink>
      <w:r w:rsidRPr="00493171">
        <w:rPr>
          <w:rFonts w:ascii="Arial" w:hAnsi="Arial" w:cs="Arial"/>
          <w:sz w:val="20"/>
          <w:szCs w:val="20"/>
        </w:rPr>
        <w:t xml:space="preserve"> </w:t>
      </w:r>
      <w:r w:rsidR="00EB591A" w:rsidRPr="00493171">
        <w:rPr>
          <w:rFonts w:ascii="Arial" w:hAnsi="Arial" w:cs="Arial"/>
          <w:sz w:val="20"/>
          <w:szCs w:val="20"/>
        </w:rPr>
        <w:t>a taktiež zoznam schválených projektov s uvedením stavu k 31.12.201</w:t>
      </w:r>
      <w:r w:rsidR="00091E84" w:rsidRPr="00493171">
        <w:rPr>
          <w:rFonts w:ascii="Arial" w:hAnsi="Arial" w:cs="Arial"/>
          <w:sz w:val="20"/>
          <w:szCs w:val="20"/>
        </w:rPr>
        <w:t>2</w:t>
      </w:r>
      <w:r w:rsidR="00EB591A" w:rsidRPr="00493171">
        <w:rPr>
          <w:rFonts w:ascii="Arial" w:hAnsi="Arial" w:cs="Arial"/>
          <w:sz w:val="20"/>
          <w:szCs w:val="20"/>
        </w:rPr>
        <w:t xml:space="preserve"> je súčasťou Prílohy č. 9 výročnej správy</w:t>
      </w:r>
      <w:r w:rsidR="00EB591A">
        <w:rPr>
          <w:rFonts w:ascii="Arial" w:hAnsi="Arial" w:cs="Arial"/>
          <w:sz w:val="20"/>
          <w:szCs w:val="20"/>
        </w:rPr>
        <w:t>.</w:t>
      </w:r>
    </w:p>
    <w:p w:rsidR="007E5895" w:rsidRDefault="007E5895">
      <w:pPr>
        <w:rPr>
          <w:rFonts w:ascii="Arial" w:hAnsi="Arial" w:cs="Arial"/>
          <w:sz w:val="20"/>
          <w:szCs w:val="20"/>
        </w:rPr>
      </w:pPr>
      <w:r>
        <w:rPr>
          <w:rFonts w:ascii="Arial" w:hAnsi="Arial" w:cs="Arial"/>
          <w:sz w:val="20"/>
          <w:szCs w:val="20"/>
        </w:rPr>
        <w:br w:type="page"/>
      </w:r>
    </w:p>
    <w:p w:rsidR="002416B1" w:rsidRPr="004B33AE" w:rsidRDefault="002416B1" w:rsidP="00454DC9">
      <w:pPr>
        <w:spacing w:line="360" w:lineRule="auto"/>
        <w:jc w:val="both"/>
        <w:rPr>
          <w:rFonts w:ascii="Arial" w:hAnsi="Arial" w:cs="Arial"/>
          <w:sz w:val="20"/>
          <w:szCs w:val="20"/>
        </w:rPr>
      </w:pPr>
      <w:r w:rsidRPr="00330E9A">
        <w:rPr>
          <w:rFonts w:ascii="Arial" w:hAnsi="Arial" w:cs="Arial"/>
          <w:sz w:val="20"/>
          <w:szCs w:val="20"/>
        </w:rPr>
        <w:t>Tab. č.</w:t>
      </w:r>
      <w:r w:rsidR="007B7519">
        <w:rPr>
          <w:rFonts w:ascii="Arial" w:hAnsi="Arial" w:cs="Arial"/>
          <w:sz w:val="20"/>
          <w:szCs w:val="20"/>
        </w:rPr>
        <w:t>19</w:t>
      </w:r>
      <w:r w:rsidRPr="00330E9A">
        <w:rPr>
          <w:rFonts w:ascii="Arial" w:hAnsi="Arial" w:cs="Arial"/>
          <w:sz w:val="20"/>
          <w:szCs w:val="20"/>
        </w:rPr>
        <w:t>: Fyzická implementácia podľa NUTS III k 31.12.</w:t>
      </w:r>
      <w:r w:rsidRPr="004B33AE">
        <w:rPr>
          <w:rFonts w:ascii="Arial" w:hAnsi="Arial" w:cs="Arial"/>
          <w:sz w:val="20"/>
          <w:szCs w:val="20"/>
        </w:rPr>
        <w:t>201</w:t>
      </w:r>
      <w:r w:rsidR="00152A49">
        <w:rPr>
          <w:rFonts w:ascii="Arial" w:hAnsi="Arial" w:cs="Arial"/>
          <w:sz w:val="20"/>
          <w:szCs w:val="20"/>
        </w:rPr>
        <w:t>2</w:t>
      </w:r>
    </w:p>
    <w:tbl>
      <w:tblPr>
        <w:tblW w:w="5000" w:type="pct"/>
        <w:tblCellMar>
          <w:left w:w="70" w:type="dxa"/>
          <w:right w:w="70" w:type="dxa"/>
        </w:tblCellMar>
        <w:tblLook w:val="04A0" w:firstRow="1" w:lastRow="0" w:firstColumn="1" w:lastColumn="0" w:noHBand="0" w:noVBand="1"/>
      </w:tblPr>
      <w:tblGrid>
        <w:gridCol w:w="1262"/>
        <w:gridCol w:w="1639"/>
        <w:gridCol w:w="2104"/>
        <w:gridCol w:w="2081"/>
        <w:gridCol w:w="2124"/>
      </w:tblGrid>
      <w:tr w:rsidR="00887C0A" w:rsidRPr="00887C0A" w:rsidTr="00887C0A">
        <w:trPr>
          <w:trHeight w:val="300"/>
        </w:trPr>
        <w:tc>
          <w:tcPr>
            <w:tcW w:w="685" w:type="pct"/>
            <w:vMerge w:val="restart"/>
            <w:tcBorders>
              <w:top w:val="single" w:sz="8" w:space="0" w:color="auto"/>
              <w:left w:val="single" w:sz="8" w:space="0" w:color="auto"/>
              <w:bottom w:val="single" w:sz="8" w:space="0" w:color="000000"/>
              <w:right w:val="single" w:sz="8" w:space="0" w:color="auto"/>
            </w:tcBorders>
            <w:shd w:val="clear" w:color="000000" w:fill="D6E3BC"/>
            <w:vAlign w:val="center"/>
            <w:hideMark/>
          </w:tcPr>
          <w:p w:rsidR="00887C0A" w:rsidRPr="00887C0A" w:rsidRDefault="00887C0A">
            <w:pPr>
              <w:jc w:val="center"/>
              <w:rPr>
                <w:rFonts w:ascii="Arial" w:hAnsi="Arial" w:cs="Arial"/>
                <w:b/>
                <w:bCs/>
                <w:color w:val="000000"/>
                <w:sz w:val="18"/>
                <w:szCs w:val="18"/>
              </w:rPr>
            </w:pPr>
            <w:r w:rsidRPr="00887C0A">
              <w:rPr>
                <w:rFonts w:ascii="Arial" w:hAnsi="Arial" w:cs="Arial"/>
                <w:b/>
                <w:bCs/>
                <w:color w:val="000000"/>
                <w:sz w:val="18"/>
                <w:szCs w:val="18"/>
              </w:rPr>
              <w:t>Prioritná os</w:t>
            </w:r>
          </w:p>
        </w:tc>
        <w:tc>
          <w:tcPr>
            <w:tcW w:w="890" w:type="pct"/>
            <w:vMerge w:val="restart"/>
            <w:tcBorders>
              <w:top w:val="single" w:sz="8" w:space="0" w:color="auto"/>
              <w:left w:val="single" w:sz="8" w:space="0" w:color="auto"/>
              <w:bottom w:val="single" w:sz="8" w:space="0" w:color="000000"/>
              <w:right w:val="single" w:sz="8" w:space="0" w:color="auto"/>
            </w:tcBorders>
            <w:shd w:val="clear" w:color="000000" w:fill="D6E3BC"/>
            <w:vAlign w:val="center"/>
            <w:hideMark/>
          </w:tcPr>
          <w:p w:rsidR="00887C0A" w:rsidRPr="00887C0A" w:rsidRDefault="00887C0A">
            <w:pPr>
              <w:jc w:val="center"/>
              <w:rPr>
                <w:rFonts w:ascii="Arial" w:hAnsi="Arial" w:cs="Arial"/>
                <w:b/>
                <w:bCs/>
                <w:color w:val="000000"/>
                <w:sz w:val="18"/>
                <w:szCs w:val="18"/>
              </w:rPr>
            </w:pPr>
            <w:r w:rsidRPr="00887C0A">
              <w:rPr>
                <w:rFonts w:ascii="Arial" w:hAnsi="Arial" w:cs="Arial"/>
                <w:b/>
                <w:bCs/>
                <w:color w:val="000000"/>
                <w:sz w:val="18"/>
                <w:szCs w:val="18"/>
              </w:rPr>
              <w:t>Región NUTS III</w:t>
            </w:r>
          </w:p>
        </w:tc>
        <w:tc>
          <w:tcPr>
            <w:tcW w:w="1142" w:type="pct"/>
            <w:vMerge w:val="restart"/>
            <w:tcBorders>
              <w:top w:val="single" w:sz="8" w:space="0" w:color="auto"/>
              <w:left w:val="single" w:sz="8" w:space="0" w:color="auto"/>
              <w:bottom w:val="single" w:sz="8" w:space="0" w:color="000000"/>
              <w:right w:val="single" w:sz="8" w:space="0" w:color="auto"/>
            </w:tcBorders>
            <w:shd w:val="clear" w:color="000000" w:fill="D6E3BC"/>
            <w:vAlign w:val="center"/>
            <w:hideMark/>
          </w:tcPr>
          <w:p w:rsidR="00887C0A" w:rsidRPr="00887C0A" w:rsidRDefault="00887C0A">
            <w:pPr>
              <w:jc w:val="center"/>
              <w:rPr>
                <w:rFonts w:ascii="Arial" w:hAnsi="Arial" w:cs="Arial"/>
                <w:b/>
                <w:bCs/>
                <w:color w:val="000000"/>
                <w:sz w:val="18"/>
                <w:szCs w:val="18"/>
              </w:rPr>
            </w:pPr>
            <w:r w:rsidRPr="00887C0A">
              <w:rPr>
                <w:rFonts w:ascii="Arial" w:hAnsi="Arial" w:cs="Arial"/>
                <w:b/>
                <w:bCs/>
                <w:color w:val="000000"/>
                <w:sz w:val="18"/>
                <w:szCs w:val="18"/>
              </w:rPr>
              <w:t>Počet prijatých ŽoNFP</w:t>
            </w:r>
          </w:p>
        </w:tc>
        <w:tc>
          <w:tcPr>
            <w:tcW w:w="1130" w:type="pct"/>
            <w:vMerge w:val="restart"/>
            <w:tcBorders>
              <w:top w:val="single" w:sz="8" w:space="0" w:color="auto"/>
              <w:left w:val="single" w:sz="8" w:space="0" w:color="auto"/>
              <w:bottom w:val="single" w:sz="8" w:space="0" w:color="000000"/>
              <w:right w:val="single" w:sz="8" w:space="0" w:color="auto"/>
            </w:tcBorders>
            <w:shd w:val="clear" w:color="000000" w:fill="D6E3BC"/>
            <w:vAlign w:val="center"/>
            <w:hideMark/>
          </w:tcPr>
          <w:p w:rsidR="00887C0A" w:rsidRPr="00887C0A" w:rsidRDefault="00887C0A">
            <w:pPr>
              <w:jc w:val="center"/>
              <w:rPr>
                <w:rFonts w:ascii="Arial" w:hAnsi="Arial" w:cs="Arial"/>
                <w:b/>
                <w:bCs/>
                <w:color w:val="000000"/>
                <w:sz w:val="18"/>
                <w:szCs w:val="18"/>
              </w:rPr>
            </w:pPr>
            <w:r w:rsidRPr="00887C0A">
              <w:rPr>
                <w:rFonts w:ascii="Arial" w:hAnsi="Arial" w:cs="Arial"/>
                <w:b/>
                <w:bCs/>
                <w:color w:val="000000"/>
                <w:sz w:val="18"/>
                <w:szCs w:val="18"/>
              </w:rPr>
              <w:t xml:space="preserve">Počet zazmluvnených projektov </w:t>
            </w:r>
          </w:p>
        </w:tc>
        <w:tc>
          <w:tcPr>
            <w:tcW w:w="1153" w:type="pct"/>
            <w:vMerge w:val="restart"/>
            <w:tcBorders>
              <w:top w:val="single" w:sz="8" w:space="0" w:color="auto"/>
              <w:left w:val="single" w:sz="8" w:space="0" w:color="auto"/>
              <w:bottom w:val="single" w:sz="8" w:space="0" w:color="000000"/>
              <w:right w:val="single" w:sz="8" w:space="0" w:color="auto"/>
            </w:tcBorders>
            <w:shd w:val="clear" w:color="000000" w:fill="D6E3BC"/>
            <w:vAlign w:val="center"/>
            <w:hideMark/>
          </w:tcPr>
          <w:p w:rsidR="00887C0A" w:rsidRPr="00887C0A" w:rsidRDefault="00887C0A">
            <w:pPr>
              <w:jc w:val="center"/>
              <w:rPr>
                <w:rFonts w:ascii="Arial" w:hAnsi="Arial" w:cs="Arial"/>
                <w:b/>
                <w:bCs/>
                <w:color w:val="000000"/>
                <w:sz w:val="18"/>
                <w:szCs w:val="18"/>
              </w:rPr>
            </w:pPr>
            <w:r w:rsidRPr="00887C0A">
              <w:rPr>
                <w:rFonts w:ascii="Arial" w:hAnsi="Arial" w:cs="Arial"/>
                <w:b/>
                <w:bCs/>
                <w:color w:val="000000"/>
                <w:sz w:val="18"/>
                <w:szCs w:val="18"/>
              </w:rPr>
              <w:t>Počet riadne ukončených projektov</w:t>
            </w:r>
          </w:p>
        </w:tc>
      </w:tr>
      <w:tr w:rsidR="00887C0A" w:rsidRPr="00887C0A" w:rsidTr="00887C0A">
        <w:trPr>
          <w:trHeight w:val="315"/>
        </w:trPr>
        <w:tc>
          <w:tcPr>
            <w:tcW w:w="685" w:type="pct"/>
            <w:vMerge/>
            <w:tcBorders>
              <w:top w:val="single" w:sz="8" w:space="0" w:color="auto"/>
              <w:left w:val="single" w:sz="8" w:space="0" w:color="auto"/>
              <w:bottom w:val="single" w:sz="8" w:space="0" w:color="000000"/>
              <w:right w:val="single" w:sz="8" w:space="0" w:color="auto"/>
            </w:tcBorders>
            <w:vAlign w:val="center"/>
            <w:hideMark/>
          </w:tcPr>
          <w:p w:rsidR="00887C0A" w:rsidRPr="00887C0A" w:rsidRDefault="00887C0A">
            <w:pPr>
              <w:rPr>
                <w:rFonts w:ascii="Arial" w:hAnsi="Arial" w:cs="Arial"/>
                <w:b/>
                <w:bCs/>
                <w:color w:val="000000"/>
                <w:sz w:val="18"/>
                <w:szCs w:val="18"/>
              </w:rPr>
            </w:pPr>
          </w:p>
        </w:tc>
        <w:tc>
          <w:tcPr>
            <w:tcW w:w="890" w:type="pct"/>
            <w:vMerge/>
            <w:tcBorders>
              <w:top w:val="single" w:sz="8" w:space="0" w:color="auto"/>
              <w:left w:val="single" w:sz="8" w:space="0" w:color="auto"/>
              <w:bottom w:val="single" w:sz="8" w:space="0" w:color="000000"/>
              <w:right w:val="single" w:sz="8" w:space="0" w:color="auto"/>
            </w:tcBorders>
            <w:vAlign w:val="center"/>
            <w:hideMark/>
          </w:tcPr>
          <w:p w:rsidR="00887C0A" w:rsidRPr="00887C0A" w:rsidRDefault="00887C0A">
            <w:pPr>
              <w:rPr>
                <w:rFonts w:ascii="Arial" w:hAnsi="Arial" w:cs="Arial"/>
                <w:b/>
                <w:bCs/>
                <w:color w:val="000000"/>
                <w:sz w:val="18"/>
                <w:szCs w:val="18"/>
              </w:rPr>
            </w:pPr>
          </w:p>
        </w:tc>
        <w:tc>
          <w:tcPr>
            <w:tcW w:w="1142" w:type="pct"/>
            <w:vMerge/>
            <w:tcBorders>
              <w:top w:val="single" w:sz="8" w:space="0" w:color="auto"/>
              <w:left w:val="single" w:sz="8" w:space="0" w:color="auto"/>
              <w:bottom w:val="single" w:sz="8" w:space="0" w:color="000000"/>
              <w:right w:val="single" w:sz="8" w:space="0" w:color="auto"/>
            </w:tcBorders>
            <w:vAlign w:val="center"/>
            <w:hideMark/>
          </w:tcPr>
          <w:p w:rsidR="00887C0A" w:rsidRPr="00887C0A" w:rsidRDefault="00887C0A">
            <w:pPr>
              <w:rPr>
                <w:rFonts w:ascii="Arial" w:hAnsi="Arial" w:cs="Arial"/>
                <w:b/>
                <w:bCs/>
                <w:color w:val="000000"/>
                <w:sz w:val="18"/>
                <w:szCs w:val="18"/>
              </w:rPr>
            </w:pPr>
          </w:p>
        </w:tc>
        <w:tc>
          <w:tcPr>
            <w:tcW w:w="1130" w:type="pct"/>
            <w:vMerge/>
            <w:tcBorders>
              <w:top w:val="single" w:sz="8" w:space="0" w:color="auto"/>
              <w:left w:val="single" w:sz="8" w:space="0" w:color="auto"/>
              <w:bottom w:val="single" w:sz="8" w:space="0" w:color="000000"/>
              <w:right w:val="single" w:sz="8" w:space="0" w:color="auto"/>
            </w:tcBorders>
            <w:vAlign w:val="center"/>
            <w:hideMark/>
          </w:tcPr>
          <w:p w:rsidR="00887C0A" w:rsidRPr="00887C0A" w:rsidRDefault="00887C0A">
            <w:pPr>
              <w:rPr>
                <w:rFonts w:ascii="Arial" w:hAnsi="Arial" w:cs="Arial"/>
                <w:b/>
                <w:bCs/>
                <w:color w:val="000000"/>
                <w:sz w:val="18"/>
                <w:szCs w:val="18"/>
              </w:rPr>
            </w:pPr>
          </w:p>
        </w:tc>
        <w:tc>
          <w:tcPr>
            <w:tcW w:w="1153" w:type="pct"/>
            <w:vMerge/>
            <w:tcBorders>
              <w:top w:val="single" w:sz="8" w:space="0" w:color="auto"/>
              <w:left w:val="single" w:sz="8" w:space="0" w:color="auto"/>
              <w:bottom w:val="single" w:sz="8" w:space="0" w:color="000000"/>
              <w:right w:val="single" w:sz="8" w:space="0" w:color="auto"/>
            </w:tcBorders>
            <w:vAlign w:val="center"/>
            <w:hideMark/>
          </w:tcPr>
          <w:p w:rsidR="00887C0A" w:rsidRPr="00887C0A" w:rsidRDefault="00887C0A">
            <w:pPr>
              <w:rPr>
                <w:rFonts w:ascii="Arial" w:hAnsi="Arial" w:cs="Arial"/>
                <w:b/>
                <w:bCs/>
                <w:color w:val="000000"/>
                <w:sz w:val="18"/>
                <w:szCs w:val="18"/>
              </w:rPr>
            </w:pPr>
          </w:p>
        </w:tc>
      </w:tr>
      <w:tr w:rsidR="00887C0A" w:rsidRPr="00887C0A" w:rsidTr="00887C0A">
        <w:trPr>
          <w:trHeight w:val="315"/>
        </w:trPr>
        <w:tc>
          <w:tcPr>
            <w:tcW w:w="685" w:type="pct"/>
            <w:vMerge w:val="restart"/>
            <w:tcBorders>
              <w:top w:val="nil"/>
              <w:left w:val="single" w:sz="8" w:space="0" w:color="auto"/>
              <w:bottom w:val="single" w:sz="8" w:space="0" w:color="000000"/>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Prioritná os 1</w:t>
            </w:r>
          </w:p>
        </w:tc>
        <w:tc>
          <w:tcPr>
            <w:tcW w:w="890"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Bratislavský</w:t>
            </w:r>
          </w:p>
        </w:tc>
        <w:tc>
          <w:tcPr>
            <w:tcW w:w="1142"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25</w:t>
            </w:r>
          </w:p>
        </w:tc>
        <w:tc>
          <w:tcPr>
            <w:tcW w:w="1130"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10</w:t>
            </w:r>
          </w:p>
        </w:tc>
        <w:tc>
          <w:tcPr>
            <w:tcW w:w="1153"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2</w:t>
            </w:r>
          </w:p>
        </w:tc>
      </w:tr>
      <w:tr w:rsidR="00887C0A" w:rsidRPr="00887C0A" w:rsidTr="00887C0A">
        <w:trPr>
          <w:trHeight w:val="315"/>
        </w:trPr>
        <w:tc>
          <w:tcPr>
            <w:tcW w:w="685" w:type="pct"/>
            <w:vMerge/>
            <w:tcBorders>
              <w:top w:val="nil"/>
              <w:left w:val="single" w:sz="8" w:space="0" w:color="auto"/>
              <w:bottom w:val="single" w:sz="8" w:space="0" w:color="000000"/>
              <w:right w:val="single" w:sz="8" w:space="0" w:color="auto"/>
            </w:tcBorders>
            <w:vAlign w:val="center"/>
            <w:hideMark/>
          </w:tcPr>
          <w:p w:rsidR="00887C0A" w:rsidRPr="00887C0A" w:rsidRDefault="00887C0A">
            <w:pPr>
              <w:rPr>
                <w:rFonts w:ascii="Arial" w:hAnsi="Arial" w:cs="Arial"/>
                <w:color w:val="000000"/>
                <w:sz w:val="18"/>
                <w:szCs w:val="18"/>
              </w:rPr>
            </w:pPr>
          </w:p>
        </w:tc>
        <w:tc>
          <w:tcPr>
            <w:tcW w:w="890"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Trnavský</w:t>
            </w:r>
          </w:p>
        </w:tc>
        <w:tc>
          <w:tcPr>
            <w:tcW w:w="1142"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50</w:t>
            </w:r>
          </w:p>
        </w:tc>
        <w:tc>
          <w:tcPr>
            <w:tcW w:w="1130"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19</w:t>
            </w:r>
          </w:p>
        </w:tc>
        <w:tc>
          <w:tcPr>
            <w:tcW w:w="1153"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7</w:t>
            </w:r>
          </w:p>
        </w:tc>
      </w:tr>
      <w:tr w:rsidR="00887C0A" w:rsidRPr="00887C0A" w:rsidTr="00887C0A">
        <w:trPr>
          <w:trHeight w:val="315"/>
        </w:trPr>
        <w:tc>
          <w:tcPr>
            <w:tcW w:w="685" w:type="pct"/>
            <w:vMerge/>
            <w:tcBorders>
              <w:top w:val="nil"/>
              <w:left w:val="single" w:sz="8" w:space="0" w:color="auto"/>
              <w:bottom w:val="single" w:sz="8" w:space="0" w:color="000000"/>
              <w:right w:val="single" w:sz="8" w:space="0" w:color="auto"/>
            </w:tcBorders>
            <w:vAlign w:val="center"/>
            <w:hideMark/>
          </w:tcPr>
          <w:p w:rsidR="00887C0A" w:rsidRPr="00887C0A" w:rsidRDefault="00887C0A">
            <w:pPr>
              <w:rPr>
                <w:rFonts w:ascii="Arial" w:hAnsi="Arial" w:cs="Arial"/>
                <w:color w:val="000000"/>
                <w:sz w:val="18"/>
                <w:szCs w:val="18"/>
              </w:rPr>
            </w:pPr>
          </w:p>
        </w:tc>
        <w:tc>
          <w:tcPr>
            <w:tcW w:w="890"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Trenčiansky</w:t>
            </w:r>
          </w:p>
        </w:tc>
        <w:tc>
          <w:tcPr>
            <w:tcW w:w="1142"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43</w:t>
            </w:r>
          </w:p>
        </w:tc>
        <w:tc>
          <w:tcPr>
            <w:tcW w:w="1130"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10</w:t>
            </w:r>
          </w:p>
        </w:tc>
        <w:tc>
          <w:tcPr>
            <w:tcW w:w="1153"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0</w:t>
            </w:r>
          </w:p>
        </w:tc>
      </w:tr>
      <w:tr w:rsidR="00887C0A" w:rsidRPr="00887C0A" w:rsidTr="00887C0A">
        <w:trPr>
          <w:trHeight w:val="315"/>
        </w:trPr>
        <w:tc>
          <w:tcPr>
            <w:tcW w:w="685" w:type="pct"/>
            <w:vMerge/>
            <w:tcBorders>
              <w:top w:val="nil"/>
              <w:left w:val="single" w:sz="8" w:space="0" w:color="auto"/>
              <w:bottom w:val="single" w:sz="8" w:space="0" w:color="000000"/>
              <w:right w:val="single" w:sz="8" w:space="0" w:color="auto"/>
            </w:tcBorders>
            <w:vAlign w:val="center"/>
            <w:hideMark/>
          </w:tcPr>
          <w:p w:rsidR="00887C0A" w:rsidRPr="00887C0A" w:rsidRDefault="00887C0A">
            <w:pPr>
              <w:rPr>
                <w:rFonts w:ascii="Arial" w:hAnsi="Arial" w:cs="Arial"/>
                <w:color w:val="000000"/>
                <w:sz w:val="18"/>
                <w:szCs w:val="18"/>
              </w:rPr>
            </w:pPr>
          </w:p>
        </w:tc>
        <w:tc>
          <w:tcPr>
            <w:tcW w:w="890"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Nitriansky</w:t>
            </w:r>
          </w:p>
        </w:tc>
        <w:tc>
          <w:tcPr>
            <w:tcW w:w="1142"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56</w:t>
            </w:r>
          </w:p>
        </w:tc>
        <w:tc>
          <w:tcPr>
            <w:tcW w:w="1130"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15</w:t>
            </w:r>
          </w:p>
        </w:tc>
        <w:tc>
          <w:tcPr>
            <w:tcW w:w="1153"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2</w:t>
            </w:r>
          </w:p>
        </w:tc>
      </w:tr>
      <w:tr w:rsidR="00887C0A" w:rsidRPr="00887C0A" w:rsidTr="00887C0A">
        <w:trPr>
          <w:trHeight w:val="315"/>
        </w:trPr>
        <w:tc>
          <w:tcPr>
            <w:tcW w:w="685" w:type="pct"/>
            <w:vMerge/>
            <w:tcBorders>
              <w:top w:val="nil"/>
              <w:left w:val="single" w:sz="8" w:space="0" w:color="auto"/>
              <w:bottom w:val="single" w:sz="8" w:space="0" w:color="000000"/>
              <w:right w:val="single" w:sz="8" w:space="0" w:color="auto"/>
            </w:tcBorders>
            <w:vAlign w:val="center"/>
            <w:hideMark/>
          </w:tcPr>
          <w:p w:rsidR="00887C0A" w:rsidRPr="00887C0A" w:rsidRDefault="00887C0A">
            <w:pPr>
              <w:rPr>
                <w:rFonts w:ascii="Arial" w:hAnsi="Arial" w:cs="Arial"/>
                <w:color w:val="000000"/>
                <w:sz w:val="18"/>
                <w:szCs w:val="18"/>
              </w:rPr>
            </w:pPr>
          </w:p>
        </w:tc>
        <w:tc>
          <w:tcPr>
            <w:tcW w:w="890"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Žilinský</w:t>
            </w:r>
          </w:p>
        </w:tc>
        <w:tc>
          <w:tcPr>
            <w:tcW w:w="1142"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38</w:t>
            </w:r>
          </w:p>
        </w:tc>
        <w:tc>
          <w:tcPr>
            <w:tcW w:w="1130"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20</w:t>
            </w:r>
          </w:p>
        </w:tc>
        <w:tc>
          <w:tcPr>
            <w:tcW w:w="1153"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2</w:t>
            </w:r>
          </w:p>
        </w:tc>
      </w:tr>
      <w:tr w:rsidR="00887C0A" w:rsidRPr="00887C0A" w:rsidTr="00887C0A">
        <w:trPr>
          <w:trHeight w:val="315"/>
        </w:trPr>
        <w:tc>
          <w:tcPr>
            <w:tcW w:w="685" w:type="pct"/>
            <w:vMerge/>
            <w:tcBorders>
              <w:top w:val="nil"/>
              <w:left w:val="single" w:sz="8" w:space="0" w:color="auto"/>
              <w:bottom w:val="single" w:sz="8" w:space="0" w:color="000000"/>
              <w:right w:val="single" w:sz="8" w:space="0" w:color="auto"/>
            </w:tcBorders>
            <w:vAlign w:val="center"/>
            <w:hideMark/>
          </w:tcPr>
          <w:p w:rsidR="00887C0A" w:rsidRPr="00887C0A" w:rsidRDefault="00887C0A">
            <w:pPr>
              <w:rPr>
                <w:rFonts w:ascii="Arial" w:hAnsi="Arial" w:cs="Arial"/>
                <w:color w:val="000000"/>
                <w:sz w:val="18"/>
                <w:szCs w:val="18"/>
              </w:rPr>
            </w:pPr>
          </w:p>
        </w:tc>
        <w:tc>
          <w:tcPr>
            <w:tcW w:w="890"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Banskobystrický</w:t>
            </w:r>
          </w:p>
        </w:tc>
        <w:tc>
          <w:tcPr>
            <w:tcW w:w="1142"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67</w:t>
            </w:r>
          </w:p>
        </w:tc>
        <w:tc>
          <w:tcPr>
            <w:tcW w:w="1130"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24</w:t>
            </w:r>
          </w:p>
        </w:tc>
        <w:tc>
          <w:tcPr>
            <w:tcW w:w="1153"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0</w:t>
            </w:r>
          </w:p>
        </w:tc>
      </w:tr>
      <w:tr w:rsidR="00887C0A" w:rsidRPr="00887C0A" w:rsidTr="00887C0A">
        <w:trPr>
          <w:trHeight w:val="315"/>
        </w:trPr>
        <w:tc>
          <w:tcPr>
            <w:tcW w:w="685" w:type="pct"/>
            <w:vMerge/>
            <w:tcBorders>
              <w:top w:val="nil"/>
              <w:left w:val="single" w:sz="8" w:space="0" w:color="auto"/>
              <w:bottom w:val="single" w:sz="8" w:space="0" w:color="000000"/>
              <w:right w:val="single" w:sz="8" w:space="0" w:color="auto"/>
            </w:tcBorders>
            <w:vAlign w:val="center"/>
            <w:hideMark/>
          </w:tcPr>
          <w:p w:rsidR="00887C0A" w:rsidRPr="00887C0A" w:rsidRDefault="00887C0A">
            <w:pPr>
              <w:rPr>
                <w:rFonts w:ascii="Arial" w:hAnsi="Arial" w:cs="Arial"/>
                <w:color w:val="000000"/>
                <w:sz w:val="18"/>
                <w:szCs w:val="18"/>
              </w:rPr>
            </w:pPr>
          </w:p>
        </w:tc>
        <w:tc>
          <w:tcPr>
            <w:tcW w:w="890"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Prešovský</w:t>
            </w:r>
          </w:p>
        </w:tc>
        <w:tc>
          <w:tcPr>
            <w:tcW w:w="1142"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70</w:t>
            </w:r>
          </w:p>
        </w:tc>
        <w:tc>
          <w:tcPr>
            <w:tcW w:w="1130"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27</w:t>
            </w:r>
          </w:p>
        </w:tc>
        <w:tc>
          <w:tcPr>
            <w:tcW w:w="1153"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7</w:t>
            </w:r>
          </w:p>
        </w:tc>
      </w:tr>
      <w:tr w:rsidR="00887C0A" w:rsidRPr="00887C0A" w:rsidTr="00887C0A">
        <w:trPr>
          <w:trHeight w:val="315"/>
        </w:trPr>
        <w:tc>
          <w:tcPr>
            <w:tcW w:w="685" w:type="pct"/>
            <w:vMerge/>
            <w:tcBorders>
              <w:top w:val="nil"/>
              <w:left w:val="single" w:sz="8" w:space="0" w:color="auto"/>
              <w:bottom w:val="single" w:sz="8" w:space="0" w:color="000000"/>
              <w:right w:val="single" w:sz="8" w:space="0" w:color="auto"/>
            </w:tcBorders>
            <w:vAlign w:val="center"/>
            <w:hideMark/>
          </w:tcPr>
          <w:p w:rsidR="00887C0A" w:rsidRPr="00887C0A" w:rsidRDefault="00887C0A">
            <w:pPr>
              <w:rPr>
                <w:rFonts w:ascii="Arial" w:hAnsi="Arial" w:cs="Arial"/>
                <w:color w:val="000000"/>
                <w:sz w:val="18"/>
                <w:szCs w:val="18"/>
              </w:rPr>
            </w:pPr>
          </w:p>
        </w:tc>
        <w:tc>
          <w:tcPr>
            <w:tcW w:w="890"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Košický</w:t>
            </w:r>
          </w:p>
        </w:tc>
        <w:tc>
          <w:tcPr>
            <w:tcW w:w="1142"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44</w:t>
            </w:r>
          </w:p>
        </w:tc>
        <w:tc>
          <w:tcPr>
            <w:tcW w:w="1130"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18</w:t>
            </w:r>
          </w:p>
        </w:tc>
        <w:tc>
          <w:tcPr>
            <w:tcW w:w="1153"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3</w:t>
            </w:r>
          </w:p>
        </w:tc>
      </w:tr>
      <w:tr w:rsidR="00887C0A" w:rsidRPr="00887C0A" w:rsidTr="00887C0A">
        <w:trPr>
          <w:trHeight w:val="315"/>
        </w:trPr>
        <w:tc>
          <w:tcPr>
            <w:tcW w:w="685" w:type="pct"/>
            <w:vMerge/>
            <w:tcBorders>
              <w:top w:val="nil"/>
              <w:left w:val="single" w:sz="8" w:space="0" w:color="auto"/>
              <w:bottom w:val="single" w:sz="8" w:space="0" w:color="000000"/>
              <w:right w:val="single" w:sz="8" w:space="0" w:color="auto"/>
            </w:tcBorders>
            <w:vAlign w:val="center"/>
            <w:hideMark/>
          </w:tcPr>
          <w:p w:rsidR="00887C0A" w:rsidRPr="00887C0A" w:rsidRDefault="00887C0A">
            <w:pPr>
              <w:rPr>
                <w:rFonts w:ascii="Arial" w:hAnsi="Arial" w:cs="Arial"/>
                <w:color w:val="000000"/>
                <w:sz w:val="18"/>
                <w:szCs w:val="18"/>
              </w:rPr>
            </w:pPr>
          </w:p>
        </w:tc>
        <w:tc>
          <w:tcPr>
            <w:tcW w:w="890"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Slovenská republika</w:t>
            </w:r>
          </w:p>
        </w:tc>
        <w:tc>
          <w:tcPr>
            <w:tcW w:w="1142"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15</w:t>
            </w:r>
          </w:p>
        </w:tc>
        <w:tc>
          <w:tcPr>
            <w:tcW w:w="1130"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5</w:t>
            </w:r>
          </w:p>
        </w:tc>
        <w:tc>
          <w:tcPr>
            <w:tcW w:w="1153"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2</w:t>
            </w:r>
          </w:p>
        </w:tc>
      </w:tr>
      <w:tr w:rsidR="00887C0A" w:rsidRPr="00887C0A" w:rsidTr="00887C0A">
        <w:trPr>
          <w:trHeight w:val="315"/>
        </w:trPr>
        <w:tc>
          <w:tcPr>
            <w:tcW w:w="685" w:type="pct"/>
            <w:vMerge/>
            <w:tcBorders>
              <w:top w:val="nil"/>
              <w:left w:val="single" w:sz="8" w:space="0" w:color="auto"/>
              <w:bottom w:val="single" w:sz="8" w:space="0" w:color="000000"/>
              <w:right w:val="single" w:sz="8" w:space="0" w:color="auto"/>
            </w:tcBorders>
            <w:vAlign w:val="center"/>
            <w:hideMark/>
          </w:tcPr>
          <w:p w:rsidR="00887C0A" w:rsidRPr="00887C0A" w:rsidRDefault="00887C0A">
            <w:pPr>
              <w:rPr>
                <w:rFonts w:ascii="Arial" w:hAnsi="Arial" w:cs="Arial"/>
                <w:color w:val="000000"/>
                <w:sz w:val="18"/>
                <w:szCs w:val="18"/>
              </w:rPr>
            </w:pPr>
          </w:p>
        </w:tc>
        <w:tc>
          <w:tcPr>
            <w:tcW w:w="890"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right"/>
              <w:rPr>
                <w:rFonts w:ascii="Arial" w:hAnsi="Arial" w:cs="Arial"/>
                <w:b/>
                <w:bCs/>
                <w:color w:val="000000"/>
                <w:sz w:val="18"/>
                <w:szCs w:val="18"/>
              </w:rPr>
            </w:pPr>
            <w:r w:rsidRPr="00887C0A">
              <w:rPr>
                <w:rFonts w:ascii="Arial" w:hAnsi="Arial" w:cs="Arial"/>
                <w:b/>
                <w:bCs/>
                <w:color w:val="000000"/>
                <w:sz w:val="18"/>
                <w:szCs w:val="18"/>
              </w:rPr>
              <w:t>Spolu</w:t>
            </w:r>
          </w:p>
        </w:tc>
        <w:tc>
          <w:tcPr>
            <w:tcW w:w="1142"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b/>
                <w:bCs/>
                <w:color w:val="000000"/>
                <w:sz w:val="18"/>
                <w:szCs w:val="18"/>
              </w:rPr>
            </w:pPr>
            <w:r w:rsidRPr="00887C0A">
              <w:rPr>
                <w:rFonts w:ascii="Arial" w:hAnsi="Arial" w:cs="Arial"/>
                <w:b/>
                <w:bCs/>
                <w:color w:val="000000"/>
                <w:sz w:val="18"/>
                <w:szCs w:val="18"/>
              </w:rPr>
              <w:t>408</w:t>
            </w:r>
          </w:p>
        </w:tc>
        <w:tc>
          <w:tcPr>
            <w:tcW w:w="1130" w:type="pct"/>
            <w:tcBorders>
              <w:top w:val="nil"/>
              <w:left w:val="nil"/>
              <w:bottom w:val="single" w:sz="8" w:space="0" w:color="auto"/>
              <w:right w:val="single" w:sz="8" w:space="0" w:color="auto"/>
            </w:tcBorders>
            <w:shd w:val="clear" w:color="000000" w:fill="FFFFFF"/>
            <w:vAlign w:val="center"/>
            <w:hideMark/>
          </w:tcPr>
          <w:p w:rsidR="00887C0A" w:rsidRPr="00887C0A" w:rsidRDefault="00887C0A">
            <w:pPr>
              <w:jc w:val="center"/>
              <w:rPr>
                <w:rFonts w:ascii="Arial" w:hAnsi="Arial" w:cs="Arial"/>
                <w:b/>
                <w:bCs/>
                <w:color w:val="000000"/>
                <w:sz w:val="18"/>
                <w:szCs w:val="18"/>
              </w:rPr>
            </w:pPr>
            <w:r w:rsidRPr="00887C0A">
              <w:rPr>
                <w:rFonts w:ascii="Arial" w:hAnsi="Arial" w:cs="Arial"/>
                <w:b/>
                <w:bCs/>
                <w:color w:val="000000"/>
                <w:sz w:val="18"/>
                <w:szCs w:val="18"/>
              </w:rPr>
              <w:t>148</w:t>
            </w:r>
          </w:p>
        </w:tc>
        <w:tc>
          <w:tcPr>
            <w:tcW w:w="1153"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b/>
                <w:bCs/>
                <w:color w:val="000000"/>
                <w:sz w:val="18"/>
                <w:szCs w:val="18"/>
              </w:rPr>
            </w:pPr>
            <w:r w:rsidRPr="00887C0A">
              <w:rPr>
                <w:rFonts w:ascii="Arial" w:hAnsi="Arial" w:cs="Arial"/>
                <w:b/>
                <w:bCs/>
                <w:color w:val="000000"/>
                <w:sz w:val="18"/>
                <w:szCs w:val="18"/>
              </w:rPr>
              <w:t>25</w:t>
            </w:r>
          </w:p>
        </w:tc>
      </w:tr>
      <w:tr w:rsidR="00887C0A" w:rsidRPr="00887C0A" w:rsidTr="00887C0A">
        <w:trPr>
          <w:trHeight w:val="315"/>
        </w:trPr>
        <w:tc>
          <w:tcPr>
            <w:tcW w:w="685" w:type="pct"/>
            <w:vMerge w:val="restart"/>
            <w:tcBorders>
              <w:top w:val="nil"/>
              <w:left w:val="single" w:sz="8" w:space="0" w:color="auto"/>
              <w:bottom w:val="single" w:sz="8" w:space="0" w:color="000000"/>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Prioritná os 2</w:t>
            </w:r>
          </w:p>
        </w:tc>
        <w:tc>
          <w:tcPr>
            <w:tcW w:w="890"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Bratislavský</w:t>
            </w:r>
          </w:p>
        </w:tc>
        <w:tc>
          <w:tcPr>
            <w:tcW w:w="1142"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7</w:t>
            </w:r>
          </w:p>
        </w:tc>
        <w:tc>
          <w:tcPr>
            <w:tcW w:w="1130"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2</w:t>
            </w:r>
          </w:p>
        </w:tc>
        <w:tc>
          <w:tcPr>
            <w:tcW w:w="1153"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1</w:t>
            </w:r>
          </w:p>
        </w:tc>
      </w:tr>
      <w:tr w:rsidR="00887C0A" w:rsidRPr="00887C0A" w:rsidTr="00887C0A">
        <w:trPr>
          <w:trHeight w:val="315"/>
        </w:trPr>
        <w:tc>
          <w:tcPr>
            <w:tcW w:w="685" w:type="pct"/>
            <w:vMerge/>
            <w:tcBorders>
              <w:top w:val="nil"/>
              <w:left w:val="single" w:sz="8" w:space="0" w:color="auto"/>
              <w:bottom w:val="single" w:sz="8" w:space="0" w:color="000000"/>
              <w:right w:val="single" w:sz="8" w:space="0" w:color="auto"/>
            </w:tcBorders>
            <w:vAlign w:val="center"/>
            <w:hideMark/>
          </w:tcPr>
          <w:p w:rsidR="00887C0A" w:rsidRPr="00887C0A" w:rsidRDefault="00887C0A">
            <w:pPr>
              <w:rPr>
                <w:rFonts w:ascii="Arial" w:hAnsi="Arial" w:cs="Arial"/>
                <w:color w:val="000000"/>
                <w:sz w:val="18"/>
                <w:szCs w:val="18"/>
              </w:rPr>
            </w:pPr>
          </w:p>
        </w:tc>
        <w:tc>
          <w:tcPr>
            <w:tcW w:w="890"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Trnavský</w:t>
            </w:r>
          </w:p>
        </w:tc>
        <w:tc>
          <w:tcPr>
            <w:tcW w:w="1142"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11</w:t>
            </w:r>
          </w:p>
        </w:tc>
        <w:tc>
          <w:tcPr>
            <w:tcW w:w="1130"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2</w:t>
            </w:r>
          </w:p>
        </w:tc>
        <w:tc>
          <w:tcPr>
            <w:tcW w:w="1153"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0</w:t>
            </w:r>
          </w:p>
        </w:tc>
      </w:tr>
      <w:tr w:rsidR="00887C0A" w:rsidRPr="00887C0A" w:rsidTr="00887C0A">
        <w:trPr>
          <w:trHeight w:val="315"/>
        </w:trPr>
        <w:tc>
          <w:tcPr>
            <w:tcW w:w="685" w:type="pct"/>
            <w:vMerge/>
            <w:tcBorders>
              <w:top w:val="nil"/>
              <w:left w:val="single" w:sz="8" w:space="0" w:color="auto"/>
              <w:bottom w:val="single" w:sz="8" w:space="0" w:color="000000"/>
              <w:right w:val="single" w:sz="8" w:space="0" w:color="auto"/>
            </w:tcBorders>
            <w:vAlign w:val="center"/>
            <w:hideMark/>
          </w:tcPr>
          <w:p w:rsidR="00887C0A" w:rsidRPr="00887C0A" w:rsidRDefault="00887C0A">
            <w:pPr>
              <w:rPr>
                <w:rFonts w:ascii="Arial" w:hAnsi="Arial" w:cs="Arial"/>
                <w:color w:val="000000"/>
                <w:sz w:val="18"/>
                <w:szCs w:val="18"/>
              </w:rPr>
            </w:pPr>
          </w:p>
        </w:tc>
        <w:tc>
          <w:tcPr>
            <w:tcW w:w="890"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Trenčiansky</w:t>
            </w:r>
          </w:p>
        </w:tc>
        <w:tc>
          <w:tcPr>
            <w:tcW w:w="1142"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19</w:t>
            </w:r>
          </w:p>
        </w:tc>
        <w:tc>
          <w:tcPr>
            <w:tcW w:w="1130"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5</w:t>
            </w:r>
          </w:p>
        </w:tc>
        <w:tc>
          <w:tcPr>
            <w:tcW w:w="1153"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3</w:t>
            </w:r>
          </w:p>
        </w:tc>
      </w:tr>
      <w:tr w:rsidR="00887C0A" w:rsidRPr="00887C0A" w:rsidTr="00887C0A">
        <w:trPr>
          <w:trHeight w:val="315"/>
        </w:trPr>
        <w:tc>
          <w:tcPr>
            <w:tcW w:w="685" w:type="pct"/>
            <w:vMerge/>
            <w:tcBorders>
              <w:top w:val="nil"/>
              <w:left w:val="single" w:sz="8" w:space="0" w:color="auto"/>
              <w:bottom w:val="single" w:sz="8" w:space="0" w:color="000000"/>
              <w:right w:val="single" w:sz="8" w:space="0" w:color="auto"/>
            </w:tcBorders>
            <w:vAlign w:val="center"/>
            <w:hideMark/>
          </w:tcPr>
          <w:p w:rsidR="00887C0A" w:rsidRPr="00887C0A" w:rsidRDefault="00887C0A">
            <w:pPr>
              <w:rPr>
                <w:rFonts w:ascii="Arial" w:hAnsi="Arial" w:cs="Arial"/>
                <w:color w:val="000000"/>
                <w:sz w:val="18"/>
                <w:szCs w:val="18"/>
              </w:rPr>
            </w:pPr>
          </w:p>
        </w:tc>
        <w:tc>
          <w:tcPr>
            <w:tcW w:w="890"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Nitriansky</w:t>
            </w:r>
          </w:p>
        </w:tc>
        <w:tc>
          <w:tcPr>
            <w:tcW w:w="1142"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30</w:t>
            </w:r>
          </w:p>
        </w:tc>
        <w:tc>
          <w:tcPr>
            <w:tcW w:w="1130"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5</w:t>
            </w:r>
          </w:p>
        </w:tc>
        <w:tc>
          <w:tcPr>
            <w:tcW w:w="1153"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0</w:t>
            </w:r>
          </w:p>
        </w:tc>
      </w:tr>
      <w:tr w:rsidR="00887C0A" w:rsidRPr="00887C0A" w:rsidTr="00887C0A">
        <w:trPr>
          <w:trHeight w:val="315"/>
        </w:trPr>
        <w:tc>
          <w:tcPr>
            <w:tcW w:w="685" w:type="pct"/>
            <w:vMerge/>
            <w:tcBorders>
              <w:top w:val="nil"/>
              <w:left w:val="single" w:sz="8" w:space="0" w:color="auto"/>
              <w:bottom w:val="single" w:sz="8" w:space="0" w:color="000000"/>
              <w:right w:val="single" w:sz="8" w:space="0" w:color="auto"/>
            </w:tcBorders>
            <w:vAlign w:val="center"/>
            <w:hideMark/>
          </w:tcPr>
          <w:p w:rsidR="00887C0A" w:rsidRPr="00887C0A" w:rsidRDefault="00887C0A">
            <w:pPr>
              <w:rPr>
                <w:rFonts w:ascii="Arial" w:hAnsi="Arial" w:cs="Arial"/>
                <w:color w:val="000000"/>
                <w:sz w:val="18"/>
                <w:szCs w:val="18"/>
              </w:rPr>
            </w:pPr>
          </w:p>
        </w:tc>
        <w:tc>
          <w:tcPr>
            <w:tcW w:w="890"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Žilinský</w:t>
            </w:r>
          </w:p>
        </w:tc>
        <w:tc>
          <w:tcPr>
            <w:tcW w:w="1142"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55</w:t>
            </w:r>
          </w:p>
        </w:tc>
        <w:tc>
          <w:tcPr>
            <w:tcW w:w="1130"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7</w:t>
            </w:r>
          </w:p>
        </w:tc>
        <w:tc>
          <w:tcPr>
            <w:tcW w:w="1153"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3</w:t>
            </w:r>
          </w:p>
        </w:tc>
      </w:tr>
      <w:tr w:rsidR="00887C0A" w:rsidRPr="00887C0A" w:rsidTr="00887C0A">
        <w:trPr>
          <w:trHeight w:val="315"/>
        </w:trPr>
        <w:tc>
          <w:tcPr>
            <w:tcW w:w="685" w:type="pct"/>
            <w:vMerge/>
            <w:tcBorders>
              <w:top w:val="nil"/>
              <w:left w:val="single" w:sz="8" w:space="0" w:color="auto"/>
              <w:bottom w:val="single" w:sz="8" w:space="0" w:color="000000"/>
              <w:right w:val="single" w:sz="8" w:space="0" w:color="auto"/>
            </w:tcBorders>
            <w:vAlign w:val="center"/>
            <w:hideMark/>
          </w:tcPr>
          <w:p w:rsidR="00887C0A" w:rsidRPr="00887C0A" w:rsidRDefault="00887C0A">
            <w:pPr>
              <w:rPr>
                <w:rFonts w:ascii="Arial" w:hAnsi="Arial" w:cs="Arial"/>
                <w:color w:val="000000"/>
                <w:sz w:val="18"/>
                <w:szCs w:val="18"/>
              </w:rPr>
            </w:pPr>
          </w:p>
        </w:tc>
        <w:tc>
          <w:tcPr>
            <w:tcW w:w="890"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Banskobystrický</w:t>
            </w:r>
          </w:p>
        </w:tc>
        <w:tc>
          <w:tcPr>
            <w:tcW w:w="1142"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30</w:t>
            </w:r>
          </w:p>
        </w:tc>
        <w:tc>
          <w:tcPr>
            <w:tcW w:w="1130"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7</w:t>
            </w:r>
          </w:p>
        </w:tc>
        <w:tc>
          <w:tcPr>
            <w:tcW w:w="1153"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3</w:t>
            </w:r>
          </w:p>
        </w:tc>
      </w:tr>
      <w:tr w:rsidR="00887C0A" w:rsidRPr="00887C0A" w:rsidTr="00887C0A">
        <w:trPr>
          <w:trHeight w:val="315"/>
        </w:trPr>
        <w:tc>
          <w:tcPr>
            <w:tcW w:w="685" w:type="pct"/>
            <w:vMerge/>
            <w:tcBorders>
              <w:top w:val="nil"/>
              <w:left w:val="single" w:sz="8" w:space="0" w:color="auto"/>
              <w:bottom w:val="single" w:sz="8" w:space="0" w:color="000000"/>
              <w:right w:val="single" w:sz="8" w:space="0" w:color="auto"/>
            </w:tcBorders>
            <w:vAlign w:val="center"/>
            <w:hideMark/>
          </w:tcPr>
          <w:p w:rsidR="00887C0A" w:rsidRPr="00887C0A" w:rsidRDefault="00887C0A">
            <w:pPr>
              <w:rPr>
                <w:rFonts w:ascii="Arial" w:hAnsi="Arial" w:cs="Arial"/>
                <w:color w:val="000000"/>
                <w:sz w:val="18"/>
                <w:szCs w:val="18"/>
              </w:rPr>
            </w:pPr>
          </w:p>
        </w:tc>
        <w:tc>
          <w:tcPr>
            <w:tcW w:w="890"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Prešovský</w:t>
            </w:r>
          </w:p>
        </w:tc>
        <w:tc>
          <w:tcPr>
            <w:tcW w:w="1142"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172</w:t>
            </w:r>
          </w:p>
        </w:tc>
        <w:tc>
          <w:tcPr>
            <w:tcW w:w="1130"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28</w:t>
            </w:r>
          </w:p>
        </w:tc>
        <w:tc>
          <w:tcPr>
            <w:tcW w:w="1153"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11</w:t>
            </w:r>
          </w:p>
        </w:tc>
      </w:tr>
      <w:tr w:rsidR="00887C0A" w:rsidRPr="00887C0A" w:rsidTr="00887C0A">
        <w:trPr>
          <w:trHeight w:val="315"/>
        </w:trPr>
        <w:tc>
          <w:tcPr>
            <w:tcW w:w="685" w:type="pct"/>
            <w:vMerge/>
            <w:tcBorders>
              <w:top w:val="nil"/>
              <w:left w:val="single" w:sz="8" w:space="0" w:color="auto"/>
              <w:bottom w:val="single" w:sz="8" w:space="0" w:color="000000"/>
              <w:right w:val="single" w:sz="8" w:space="0" w:color="auto"/>
            </w:tcBorders>
            <w:vAlign w:val="center"/>
            <w:hideMark/>
          </w:tcPr>
          <w:p w:rsidR="00887C0A" w:rsidRPr="00887C0A" w:rsidRDefault="00887C0A">
            <w:pPr>
              <w:rPr>
                <w:rFonts w:ascii="Arial" w:hAnsi="Arial" w:cs="Arial"/>
                <w:color w:val="000000"/>
                <w:sz w:val="18"/>
                <w:szCs w:val="18"/>
              </w:rPr>
            </w:pPr>
          </w:p>
        </w:tc>
        <w:tc>
          <w:tcPr>
            <w:tcW w:w="890"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Košický</w:t>
            </w:r>
          </w:p>
        </w:tc>
        <w:tc>
          <w:tcPr>
            <w:tcW w:w="1142"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65</w:t>
            </w:r>
          </w:p>
        </w:tc>
        <w:tc>
          <w:tcPr>
            <w:tcW w:w="1130"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8</w:t>
            </w:r>
          </w:p>
        </w:tc>
        <w:tc>
          <w:tcPr>
            <w:tcW w:w="1153"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4</w:t>
            </w:r>
          </w:p>
        </w:tc>
      </w:tr>
      <w:tr w:rsidR="00887C0A" w:rsidRPr="00887C0A" w:rsidTr="00887C0A">
        <w:trPr>
          <w:trHeight w:val="315"/>
        </w:trPr>
        <w:tc>
          <w:tcPr>
            <w:tcW w:w="685" w:type="pct"/>
            <w:vMerge/>
            <w:tcBorders>
              <w:top w:val="nil"/>
              <w:left w:val="single" w:sz="8" w:space="0" w:color="auto"/>
              <w:bottom w:val="single" w:sz="8" w:space="0" w:color="000000"/>
              <w:right w:val="single" w:sz="8" w:space="0" w:color="auto"/>
            </w:tcBorders>
            <w:vAlign w:val="center"/>
            <w:hideMark/>
          </w:tcPr>
          <w:p w:rsidR="00887C0A" w:rsidRPr="00887C0A" w:rsidRDefault="00887C0A">
            <w:pPr>
              <w:rPr>
                <w:rFonts w:ascii="Arial" w:hAnsi="Arial" w:cs="Arial"/>
                <w:color w:val="000000"/>
                <w:sz w:val="18"/>
                <w:szCs w:val="18"/>
              </w:rPr>
            </w:pPr>
          </w:p>
        </w:tc>
        <w:tc>
          <w:tcPr>
            <w:tcW w:w="890"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Slovenská republika</w:t>
            </w:r>
          </w:p>
        </w:tc>
        <w:tc>
          <w:tcPr>
            <w:tcW w:w="1142"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2</w:t>
            </w:r>
          </w:p>
        </w:tc>
        <w:tc>
          <w:tcPr>
            <w:tcW w:w="1130"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1</w:t>
            </w:r>
          </w:p>
        </w:tc>
        <w:tc>
          <w:tcPr>
            <w:tcW w:w="1153"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0</w:t>
            </w:r>
          </w:p>
        </w:tc>
      </w:tr>
      <w:tr w:rsidR="00887C0A" w:rsidRPr="00887C0A" w:rsidTr="00887C0A">
        <w:trPr>
          <w:trHeight w:val="315"/>
        </w:trPr>
        <w:tc>
          <w:tcPr>
            <w:tcW w:w="685" w:type="pct"/>
            <w:vMerge/>
            <w:tcBorders>
              <w:top w:val="nil"/>
              <w:left w:val="single" w:sz="8" w:space="0" w:color="auto"/>
              <w:bottom w:val="single" w:sz="8" w:space="0" w:color="000000"/>
              <w:right w:val="single" w:sz="8" w:space="0" w:color="auto"/>
            </w:tcBorders>
            <w:vAlign w:val="center"/>
            <w:hideMark/>
          </w:tcPr>
          <w:p w:rsidR="00887C0A" w:rsidRPr="00887C0A" w:rsidRDefault="00887C0A">
            <w:pPr>
              <w:rPr>
                <w:rFonts w:ascii="Arial" w:hAnsi="Arial" w:cs="Arial"/>
                <w:color w:val="000000"/>
                <w:sz w:val="18"/>
                <w:szCs w:val="18"/>
              </w:rPr>
            </w:pPr>
          </w:p>
        </w:tc>
        <w:tc>
          <w:tcPr>
            <w:tcW w:w="890"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right"/>
              <w:rPr>
                <w:rFonts w:ascii="Arial" w:hAnsi="Arial" w:cs="Arial"/>
                <w:b/>
                <w:bCs/>
                <w:color w:val="000000"/>
                <w:sz w:val="18"/>
                <w:szCs w:val="18"/>
              </w:rPr>
            </w:pPr>
            <w:r w:rsidRPr="00887C0A">
              <w:rPr>
                <w:rFonts w:ascii="Arial" w:hAnsi="Arial" w:cs="Arial"/>
                <w:b/>
                <w:bCs/>
                <w:color w:val="000000"/>
                <w:sz w:val="18"/>
                <w:szCs w:val="18"/>
              </w:rPr>
              <w:t>Spolu</w:t>
            </w:r>
          </w:p>
        </w:tc>
        <w:tc>
          <w:tcPr>
            <w:tcW w:w="1142"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b/>
                <w:bCs/>
                <w:color w:val="000000"/>
                <w:sz w:val="18"/>
                <w:szCs w:val="18"/>
              </w:rPr>
            </w:pPr>
            <w:r w:rsidRPr="00887C0A">
              <w:rPr>
                <w:rFonts w:ascii="Arial" w:hAnsi="Arial" w:cs="Arial"/>
                <w:b/>
                <w:bCs/>
                <w:color w:val="000000"/>
                <w:sz w:val="18"/>
                <w:szCs w:val="18"/>
              </w:rPr>
              <w:t>391</w:t>
            </w:r>
          </w:p>
        </w:tc>
        <w:tc>
          <w:tcPr>
            <w:tcW w:w="1130"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b/>
                <w:bCs/>
                <w:color w:val="000000"/>
                <w:sz w:val="18"/>
                <w:szCs w:val="18"/>
              </w:rPr>
            </w:pPr>
            <w:r w:rsidRPr="00887C0A">
              <w:rPr>
                <w:rFonts w:ascii="Arial" w:hAnsi="Arial" w:cs="Arial"/>
                <w:b/>
                <w:bCs/>
                <w:color w:val="000000"/>
                <w:sz w:val="18"/>
                <w:szCs w:val="18"/>
              </w:rPr>
              <w:t>65</w:t>
            </w:r>
          </w:p>
        </w:tc>
        <w:tc>
          <w:tcPr>
            <w:tcW w:w="1153"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b/>
                <w:bCs/>
                <w:color w:val="000000"/>
                <w:sz w:val="18"/>
                <w:szCs w:val="18"/>
              </w:rPr>
            </w:pPr>
            <w:r w:rsidRPr="00887C0A">
              <w:rPr>
                <w:rFonts w:ascii="Arial" w:hAnsi="Arial" w:cs="Arial"/>
                <w:b/>
                <w:bCs/>
                <w:color w:val="000000"/>
                <w:sz w:val="18"/>
                <w:szCs w:val="18"/>
              </w:rPr>
              <w:t>25</w:t>
            </w:r>
          </w:p>
        </w:tc>
      </w:tr>
      <w:tr w:rsidR="00887C0A" w:rsidRPr="00887C0A" w:rsidTr="00887C0A">
        <w:trPr>
          <w:trHeight w:val="315"/>
        </w:trPr>
        <w:tc>
          <w:tcPr>
            <w:tcW w:w="685" w:type="pct"/>
            <w:vMerge w:val="restart"/>
            <w:tcBorders>
              <w:top w:val="nil"/>
              <w:left w:val="single" w:sz="8" w:space="0" w:color="auto"/>
              <w:bottom w:val="single" w:sz="8" w:space="0" w:color="000000"/>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Prioritná os 3</w:t>
            </w:r>
          </w:p>
        </w:tc>
        <w:tc>
          <w:tcPr>
            <w:tcW w:w="890"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Bratislavský</w:t>
            </w:r>
          </w:p>
        </w:tc>
        <w:tc>
          <w:tcPr>
            <w:tcW w:w="1142"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0</w:t>
            </w:r>
          </w:p>
        </w:tc>
        <w:tc>
          <w:tcPr>
            <w:tcW w:w="1130"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0</w:t>
            </w:r>
          </w:p>
        </w:tc>
        <w:tc>
          <w:tcPr>
            <w:tcW w:w="1153"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0</w:t>
            </w:r>
          </w:p>
        </w:tc>
      </w:tr>
      <w:tr w:rsidR="00887C0A" w:rsidRPr="00887C0A" w:rsidTr="00887C0A">
        <w:trPr>
          <w:trHeight w:val="315"/>
        </w:trPr>
        <w:tc>
          <w:tcPr>
            <w:tcW w:w="685" w:type="pct"/>
            <w:vMerge/>
            <w:tcBorders>
              <w:top w:val="nil"/>
              <w:left w:val="single" w:sz="8" w:space="0" w:color="auto"/>
              <w:bottom w:val="single" w:sz="8" w:space="0" w:color="000000"/>
              <w:right w:val="single" w:sz="8" w:space="0" w:color="auto"/>
            </w:tcBorders>
            <w:vAlign w:val="center"/>
            <w:hideMark/>
          </w:tcPr>
          <w:p w:rsidR="00887C0A" w:rsidRPr="00887C0A" w:rsidRDefault="00887C0A">
            <w:pPr>
              <w:rPr>
                <w:rFonts w:ascii="Arial" w:hAnsi="Arial" w:cs="Arial"/>
                <w:color w:val="000000"/>
                <w:sz w:val="18"/>
                <w:szCs w:val="18"/>
              </w:rPr>
            </w:pPr>
          </w:p>
        </w:tc>
        <w:tc>
          <w:tcPr>
            <w:tcW w:w="890"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Trnavský</w:t>
            </w:r>
          </w:p>
        </w:tc>
        <w:tc>
          <w:tcPr>
            <w:tcW w:w="1142"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32</w:t>
            </w:r>
          </w:p>
        </w:tc>
        <w:tc>
          <w:tcPr>
            <w:tcW w:w="1130"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9</w:t>
            </w:r>
          </w:p>
        </w:tc>
        <w:tc>
          <w:tcPr>
            <w:tcW w:w="1153"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7</w:t>
            </w:r>
          </w:p>
        </w:tc>
      </w:tr>
      <w:tr w:rsidR="00887C0A" w:rsidRPr="00887C0A" w:rsidTr="00887C0A">
        <w:trPr>
          <w:trHeight w:val="315"/>
        </w:trPr>
        <w:tc>
          <w:tcPr>
            <w:tcW w:w="685" w:type="pct"/>
            <w:vMerge/>
            <w:tcBorders>
              <w:top w:val="nil"/>
              <w:left w:val="single" w:sz="8" w:space="0" w:color="auto"/>
              <w:bottom w:val="single" w:sz="8" w:space="0" w:color="000000"/>
              <w:right w:val="single" w:sz="8" w:space="0" w:color="auto"/>
            </w:tcBorders>
            <w:vAlign w:val="center"/>
            <w:hideMark/>
          </w:tcPr>
          <w:p w:rsidR="00887C0A" w:rsidRPr="00887C0A" w:rsidRDefault="00887C0A">
            <w:pPr>
              <w:rPr>
                <w:rFonts w:ascii="Arial" w:hAnsi="Arial" w:cs="Arial"/>
                <w:color w:val="000000"/>
                <w:sz w:val="18"/>
                <w:szCs w:val="18"/>
              </w:rPr>
            </w:pPr>
          </w:p>
        </w:tc>
        <w:tc>
          <w:tcPr>
            <w:tcW w:w="890"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Trenčiansky</w:t>
            </w:r>
          </w:p>
        </w:tc>
        <w:tc>
          <w:tcPr>
            <w:tcW w:w="1142"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50</w:t>
            </w:r>
          </w:p>
        </w:tc>
        <w:tc>
          <w:tcPr>
            <w:tcW w:w="1130"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20</w:t>
            </w:r>
          </w:p>
        </w:tc>
        <w:tc>
          <w:tcPr>
            <w:tcW w:w="1153"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18</w:t>
            </w:r>
          </w:p>
        </w:tc>
      </w:tr>
      <w:tr w:rsidR="00887C0A" w:rsidRPr="00887C0A" w:rsidTr="00887C0A">
        <w:trPr>
          <w:trHeight w:val="315"/>
        </w:trPr>
        <w:tc>
          <w:tcPr>
            <w:tcW w:w="685" w:type="pct"/>
            <w:vMerge/>
            <w:tcBorders>
              <w:top w:val="nil"/>
              <w:left w:val="single" w:sz="8" w:space="0" w:color="auto"/>
              <w:bottom w:val="single" w:sz="8" w:space="0" w:color="000000"/>
              <w:right w:val="single" w:sz="8" w:space="0" w:color="auto"/>
            </w:tcBorders>
            <w:vAlign w:val="center"/>
            <w:hideMark/>
          </w:tcPr>
          <w:p w:rsidR="00887C0A" w:rsidRPr="00887C0A" w:rsidRDefault="00887C0A">
            <w:pPr>
              <w:rPr>
                <w:rFonts w:ascii="Arial" w:hAnsi="Arial" w:cs="Arial"/>
                <w:color w:val="000000"/>
                <w:sz w:val="18"/>
                <w:szCs w:val="18"/>
              </w:rPr>
            </w:pPr>
          </w:p>
        </w:tc>
        <w:tc>
          <w:tcPr>
            <w:tcW w:w="890"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Nitriansky</w:t>
            </w:r>
          </w:p>
        </w:tc>
        <w:tc>
          <w:tcPr>
            <w:tcW w:w="1142"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33</w:t>
            </w:r>
          </w:p>
        </w:tc>
        <w:tc>
          <w:tcPr>
            <w:tcW w:w="1130"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5</w:t>
            </w:r>
          </w:p>
        </w:tc>
        <w:tc>
          <w:tcPr>
            <w:tcW w:w="1153"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3</w:t>
            </w:r>
          </w:p>
        </w:tc>
      </w:tr>
      <w:tr w:rsidR="00887C0A" w:rsidRPr="00887C0A" w:rsidTr="00887C0A">
        <w:trPr>
          <w:trHeight w:val="315"/>
        </w:trPr>
        <w:tc>
          <w:tcPr>
            <w:tcW w:w="685" w:type="pct"/>
            <w:vMerge/>
            <w:tcBorders>
              <w:top w:val="nil"/>
              <w:left w:val="single" w:sz="8" w:space="0" w:color="auto"/>
              <w:bottom w:val="single" w:sz="8" w:space="0" w:color="000000"/>
              <w:right w:val="single" w:sz="8" w:space="0" w:color="auto"/>
            </w:tcBorders>
            <w:vAlign w:val="center"/>
            <w:hideMark/>
          </w:tcPr>
          <w:p w:rsidR="00887C0A" w:rsidRPr="00887C0A" w:rsidRDefault="00887C0A">
            <w:pPr>
              <w:rPr>
                <w:rFonts w:ascii="Arial" w:hAnsi="Arial" w:cs="Arial"/>
                <w:color w:val="000000"/>
                <w:sz w:val="18"/>
                <w:szCs w:val="18"/>
              </w:rPr>
            </w:pPr>
          </w:p>
        </w:tc>
        <w:tc>
          <w:tcPr>
            <w:tcW w:w="890"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Žilinský</w:t>
            </w:r>
          </w:p>
        </w:tc>
        <w:tc>
          <w:tcPr>
            <w:tcW w:w="1142"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70</w:t>
            </w:r>
          </w:p>
        </w:tc>
        <w:tc>
          <w:tcPr>
            <w:tcW w:w="1130"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17</w:t>
            </w:r>
          </w:p>
        </w:tc>
        <w:tc>
          <w:tcPr>
            <w:tcW w:w="1153"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14</w:t>
            </w:r>
          </w:p>
        </w:tc>
      </w:tr>
      <w:tr w:rsidR="00887C0A" w:rsidRPr="00887C0A" w:rsidTr="00887C0A">
        <w:trPr>
          <w:trHeight w:val="315"/>
        </w:trPr>
        <w:tc>
          <w:tcPr>
            <w:tcW w:w="685" w:type="pct"/>
            <w:vMerge/>
            <w:tcBorders>
              <w:top w:val="nil"/>
              <w:left w:val="single" w:sz="8" w:space="0" w:color="auto"/>
              <w:bottom w:val="single" w:sz="8" w:space="0" w:color="000000"/>
              <w:right w:val="single" w:sz="8" w:space="0" w:color="auto"/>
            </w:tcBorders>
            <w:vAlign w:val="center"/>
            <w:hideMark/>
          </w:tcPr>
          <w:p w:rsidR="00887C0A" w:rsidRPr="00887C0A" w:rsidRDefault="00887C0A">
            <w:pPr>
              <w:rPr>
                <w:rFonts w:ascii="Arial" w:hAnsi="Arial" w:cs="Arial"/>
                <w:color w:val="000000"/>
                <w:sz w:val="18"/>
                <w:szCs w:val="18"/>
              </w:rPr>
            </w:pPr>
          </w:p>
        </w:tc>
        <w:tc>
          <w:tcPr>
            <w:tcW w:w="890"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Banskobystrický</w:t>
            </w:r>
          </w:p>
        </w:tc>
        <w:tc>
          <w:tcPr>
            <w:tcW w:w="1142"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31</w:t>
            </w:r>
          </w:p>
        </w:tc>
        <w:tc>
          <w:tcPr>
            <w:tcW w:w="1130"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13</w:t>
            </w:r>
          </w:p>
        </w:tc>
        <w:tc>
          <w:tcPr>
            <w:tcW w:w="1153"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7</w:t>
            </w:r>
          </w:p>
        </w:tc>
      </w:tr>
      <w:tr w:rsidR="00887C0A" w:rsidRPr="00887C0A" w:rsidTr="00887C0A">
        <w:trPr>
          <w:trHeight w:val="315"/>
        </w:trPr>
        <w:tc>
          <w:tcPr>
            <w:tcW w:w="685" w:type="pct"/>
            <w:vMerge/>
            <w:tcBorders>
              <w:top w:val="nil"/>
              <w:left w:val="single" w:sz="8" w:space="0" w:color="auto"/>
              <w:bottom w:val="single" w:sz="8" w:space="0" w:color="000000"/>
              <w:right w:val="single" w:sz="8" w:space="0" w:color="auto"/>
            </w:tcBorders>
            <w:vAlign w:val="center"/>
            <w:hideMark/>
          </w:tcPr>
          <w:p w:rsidR="00887C0A" w:rsidRPr="00887C0A" w:rsidRDefault="00887C0A">
            <w:pPr>
              <w:rPr>
                <w:rFonts w:ascii="Arial" w:hAnsi="Arial" w:cs="Arial"/>
                <w:color w:val="000000"/>
                <w:sz w:val="18"/>
                <w:szCs w:val="18"/>
              </w:rPr>
            </w:pPr>
          </w:p>
        </w:tc>
        <w:tc>
          <w:tcPr>
            <w:tcW w:w="890"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Prešovský</w:t>
            </w:r>
          </w:p>
        </w:tc>
        <w:tc>
          <w:tcPr>
            <w:tcW w:w="1142"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59</w:t>
            </w:r>
          </w:p>
        </w:tc>
        <w:tc>
          <w:tcPr>
            <w:tcW w:w="1130"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22</w:t>
            </w:r>
          </w:p>
        </w:tc>
        <w:tc>
          <w:tcPr>
            <w:tcW w:w="1153"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20</w:t>
            </w:r>
          </w:p>
        </w:tc>
      </w:tr>
      <w:tr w:rsidR="00887C0A" w:rsidRPr="00887C0A" w:rsidTr="00887C0A">
        <w:trPr>
          <w:trHeight w:val="315"/>
        </w:trPr>
        <w:tc>
          <w:tcPr>
            <w:tcW w:w="685" w:type="pct"/>
            <w:vMerge/>
            <w:tcBorders>
              <w:top w:val="nil"/>
              <w:left w:val="single" w:sz="8" w:space="0" w:color="auto"/>
              <w:bottom w:val="single" w:sz="8" w:space="0" w:color="000000"/>
              <w:right w:val="single" w:sz="8" w:space="0" w:color="auto"/>
            </w:tcBorders>
            <w:vAlign w:val="center"/>
            <w:hideMark/>
          </w:tcPr>
          <w:p w:rsidR="00887C0A" w:rsidRPr="00887C0A" w:rsidRDefault="00887C0A">
            <w:pPr>
              <w:rPr>
                <w:rFonts w:ascii="Arial" w:hAnsi="Arial" w:cs="Arial"/>
                <w:color w:val="000000"/>
                <w:sz w:val="18"/>
                <w:szCs w:val="18"/>
              </w:rPr>
            </w:pPr>
          </w:p>
        </w:tc>
        <w:tc>
          <w:tcPr>
            <w:tcW w:w="890"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Košický</w:t>
            </w:r>
          </w:p>
        </w:tc>
        <w:tc>
          <w:tcPr>
            <w:tcW w:w="1142"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39</w:t>
            </w:r>
          </w:p>
        </w:tc>
        <w:tc>
          <w:tcPr>
            <w:tcW w:w="1130"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11</w:t>
            </w:r>
          </w:p>
        </w:tc>
        <w:tc>
          <w:tcPr>
            <w:tcW w:w="1153"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9</w:t>
            </w:r>
          </w:p>
        </w:tc>
      </w:tr>
      <w:tr w:rsidR="00887C0A" w:rsidRPr="00887C0A" w:rsidTr="00887C0A">
        <w:trPr>
          <w:trHeight w:val="315"/>
        </w:trPr>
        <w:tc>
          <w:tcPr>
            <w:tcW w:w="685" w:type="pct"/>
            <w:vMerge/>
            <w:tcBorders>
              <w:top w:val="nil"/>
              <w:left w:val="single" w:sz="8" w:space="0" w:color="auto"/>
              <w:bottom w:val="single" w:sz="8" w:space="0" w:color="000000"/>
              <w:right w:val="single" w:sz="8" w:space="0" w:color="auto"/>
            </w:tcBorders>
            <w:vAlign w:val="center"/>
            <w:hideMark/>
          </w:tcPr>
          <w:p w:rsidR="00887C0A" w:rsidRPr="00887C0A" w:rsidRDefault="00887C0A">
            <w:pPr>
              <w:rPr>
                <w:rFonts w:ascii="Arial" w:hAnsi="Arial" w:cs="Arial"/>
                <w:color w:val="000000"/>
                <w:sz w:val="18"/>
                <w:szCs w:val="18"/>
              </w:rPr>
            </w:pPr>
          </w:p>
        </w:tc>
        <w:tc>
          <w:tcPr>
            <w:tcW w:w="890"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Slovenská republika</w:t>
            </w:r>
          </w:p>
        </w:tc>
        <w:tc>
          <w:tcPr>
            <w:tcW w:w="1142"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12</w:t>
            </w:r>
          </w:p>
        </w:tc>
        <w:tc>
          <w:tcPr>
            <w:tcW w:w="1130"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5</w:t>
            </w:r>
          </w:p>
        </w:tc>
        <w:tc>
          <w:tcPr>
            <w:tcW w:w="1153"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0</w:t>
            </w:r>
          </w:p>
        </w:tc>
      </w:tr>
      <w:tr w:rsidR="00887C0A" w:rsidRPr="00887C0A" w:rsidTr="00887C0A">
        <w:trPr>
          <w:trHeight w:val="315"/>
        </w:trPr>
        <w:tc>
          <w:tcPr>
            <w:tcW w:w="685" w:type="pct"/>
            <w:vMerge/>
            <w:tcBorders>
              <w:top w:val="nil"/>
              <w:left w:val="single" w:sz="8" w:space="0" w:color="auto"/>
              <w:bottom w:val="single" w:sz="8" w:space="0" w:color="000000"/>
              <w:right w:val="single" w:sz="8" w:space="0" w:color="auto"/>
            </w:tcBorders>
            <w:vAlign w:val="center"/>
            <w:hideMark/>
          </w:tcPr>
          <w:p w:rsidR="00887C0A" w:rsidRPr="00887C0A" w:rsidRDefault="00887C0A">
            <w:pPr>
              <w:rPr>
                <w:rFonts w:ascii="Arial" w:hAnsi="Arial" w:cs="Arial"/>
                <w:color w:val="000000"/>
                <w:sz w:val="18"/>
                <w:szCs w:val="18"/>
              </w:rPr>
            </w:pPr>
          </w:p>
        </w:tc>
        <w:tc>
          <w:tcPr>
            <w:tcW w:w="890"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right"/>
              <w:rPr>
                <w:rFonts w:ascii="Arial" w:hAnsi="Arial" w:cs="Arial"/>
                <w:b/>
                <w:bCs/>
                <w:color w:val="000000"/>
                <w:sz w:val="18"/>
                <w:szCs w:val="18"/>
              </w:rPr>
            </w:pPr>
            <w:r w:rsidRPr="00887C0A">
              <w:rPr>
                <w:rFonts w:ascii="Arial" w:hAnsi="Arial" w:cs="Arial"/>
                <w:b/>
                <w:bCs/>
                <w:color w:val="000000"/>
                <w:sz w:val="18"/>
                <w:szCs w:val="18"/>
              </w:rPr>
              <w:t>Spolu</w:t>
            </w:r>
          </w:p>
        </w:tc>
        <w:tc>
          <w:tcPr>
            <w:tcW w:w="1142"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b/>
                <w:bCs/>
                <w:color w:val="000000"/>
                <w:sz w:val="18"/>
                <w:szCs w:val="18"/>
              </w:rPr>
            </w:pPr>
            <w:r w:rsidRPr="00887C0A">
              <w:rPr>
                <w:rFonts w:ascii="Arial" w:hAnsi="Arial" w:cs="Arial"/>
                <w:b/>
                <w:bCs/>
                <w:color w:val="000000"/>
                <w:sz w:val="18"/>
                <w:szCs w:val="18"/>
              </w:rPr>
              <w:t>326</w:t>
            </w:r>
          </w:p>
        </w:tc>
        <w:tc>
          <w:tcPr>
            <w:tcW w:w="1130"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b/>
                <w:bCs/>
                <w:color w:val="000000"/>
                <w:sz w:val="18"/>
                <w:szCs w:val="18"/>
              </w:rPr>
            </w:pPr>
            <w:r w:rsidRPr="00887C0A">
              <w:rPr>
                <w:rFonts w:ascii="Arial" w:hAnsi="Arial" w:cs="Arial"/>
                <w:b/>
                <w:bCs/>
                <w:color w:val="000000"/>
                <w:sz w:val="18"/>
                <w:szCs w:val="18"/>
              </w:rPr>
              <w:t>102</w:t>
            </w:r>
          </w:p>
        </w:tc>
        <w:tc>
          <w:tcPr>
            <w:tcW w:w="1153"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b/>
                <w:bCs/>
                <w:color w:val="000000"/>
                <w:sz w:val="18"/>
                <w:szCs w:val="18"/>
              </w:rPr>
            </w:pPr>
            <w:r w:rsidRPr="00887C0A">
              <w:rPr>
                <w:rFonts w:ascii="Arial" w:hAnsi="Arial" w:cs="Arial"/>
                <w:b/>
                <w:bCs/>
                <w:color w:val="000000"/>
                <w:sz w:val="18"/>
                <w:szCs w:val="18"/>
              </w:rPr>
              <w:t>78</w:t>
            </w:r>
          </w:p>
        </w:tc>
      </w:tr>
      <w:tr w:rsidR="00887C0A" w:rsidRPr="00887C0A" w:rsidTr="00887C0A">
        <w:trPr>
          <w:trHeight w:val="315"/>
        </w:trPr>
        <w:tc>
          <w:tcPr>
            <w:tcW w:w="685" w:type="pct"/>
            <w:vMerge w:val="restart"/>
            <w:tcBorders>
              <w:top w:val="nil"/>
              <w:left w:val="single" w:sz="8" w:space="0" w:color="auto"/>
              <w:bottom w:val="single" w:sz="8" w:space="0" w:color="000000"/>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Prioritná os 4</w:t>
            </w:r>
          </w:p>
        </w:tc>
        <w:tc>
          <w:tcPr>
            <w:tcW w:w="890"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Bratislavský</w:t>
            </w:r>
          </w:p>
        </w:tc>
        <w:tc>
          <w:tcPr>
            <w:tcW w:w="1142"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37</w:t>
            </w:r>
          </w:p>
        </w:tc>
        <w:tc>
          <w:tcPr>
            <w:tcW w:w="1130"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1</w:t>
            </w:r>
          </w:p>
        </w:tc>
        <w:tc>
          <w:tcPr>
            <w:tcW w:w="1153"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1</w:t>
            </w:r>
          </w:p>
        </w:tc>
      </w:tr>
      <w:tr w:rsidR="00887C0A" w:rsidRPr="00887C0A" w:rsidTr="00887C0A">
        <w:trPr>
          <w:trHeight w:val="315"/>
        </w:trPr>
        <w:tc>
          <w:tcPr>
            <w:tcW w:w="685" w:type="pct"/>
            <w:vMerge/>
            <w:tcBorders>
              <w:top w:val="nil"/>
              <w:left w:val="single" w:sz="8" w:space="0" w:color="auto"/>
              <w:bottom w:val="single" w:sz="8" w:space="0" w:color="000000"/>
              <w:right w:val="single" w:sz="8" w:space="0" w:color="auto"/>
            </w:tcBorders>
            <w:vAlign w:val="center"/>
            <w:hideMark/>
          </w:tcPr>
          <w:p w:rsidR="00887C0A" w:rsidRPr="00887C0A" w:rsidRDefault="00887C0A">
            <w:pPr>
              <w:rPr>
                <w:rFonts w:ascii="Arial" w:hAnsi="Arial" w:cs="Arial"/>
                <w:color w:val="000000"/>
                <w:sz w:val="18"/>
                <w:szCs w:val="18"/>
              </w:rPr>
            </w:pPr>
          </w:p>
        </w:tc>
        <w:tc>
          <w:tcPr>
            <w:tcW w:w="890"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Trnavský</w:t>
            </w:r>
          </w:p>
        </w:tc>
        <w:tc>
          <w:tcPr>
            <w:tcW w:w="1142"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214</w:t>
            </w:r>
          </w:p>
        </w:tc>
        <w:tc>
          <w:tcPr>
            <w:tcW w:w="1130"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31</w:t>
            </w:r>
          </w:p>
        </w:tc>
        <w:tc>
          <w:tcPr>
            <w:tcW w:w="1153"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18</w:t>
            </w:r>
          </w:p>
        </w:tc>
      </w:tr>
      <w:tr w:rsidR="00887C0A" w:rsidRPr="00887C0A" w:rsidTr="00887C0A">
        <w:trPr>
          <w:trHeight w:val="315"/>
        </w:trPr>
        <w:tc>
          <w:tcPr>
            <w:tcW w:w="685" w:type="pct"/>
            <w:vMerge/>
            <w:tcBorders>
              <w:top w:val="nil"/>
              <w:left w:val="single" w:sz="8" w:space="0" w:color="auto"/>
              <w:bottom w:val="single" w:sz="8" w:space="0" w:color="000000"/>
              <w:right w:val="single" w:sz="8" w:space="0" w:color="auto"/>
            </w:tcBorders>
            <w:vAlign w:val="center"/>
            <w:hideMark/>
          </w:tcPr>
          <w:p w:rsidR="00887C0A" w:rsidRPr="00887C0A" w:rsidRDefault="00887C0A">
            <w:pPr>
              <w:rPr>
                <w:rFonts w:ascii="Arial" w:hAnsi="Arial" w:cs="Arial"/>
                <w:color w:val="000000"/>
                <w:sz w:val="18"/>
                <w:szCs w:val="18"/>
              </w:rPr>
            </w:pPr>
          </w:p>
        </w:tc>
        <w:tc>
          <w:tcPr>
            <w:tcW w:w="890"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Trenčiansky</w:t>
            </w:r>
          </w:p>
        </w:tc>
        <w:tc>
          <w:tcPr>
            <w:tcW w:w="1142"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185</w:t>
            </w:r>
          </w:p>
        </w:tc>
        <w:tc>
          <w:tcPr>
            <w:tcW w:w="1130"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20</w:t>
            </w:r>
          </w:p>
        </w:tc>
        <w:tc>
          <w:tcPr>
            <w:tcW w:w="1153"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12</w:t>
            </w:r>
          </w:p>
        </w:tc>
      </w:tr>
      <w:tr w:rsidR="00887C0A" w:rsidRPr="00887C0A" w:rsidTr="00887C0A">
        <w:trPr>
          <w:trHeight w:val="315"/>
        </w:trPr>
        <w:tc>
          <w:tcPr>
            <w:tcW w:w="685" w:type="pct"/>
            <w:vMerge/>
            <w:tcBorders>
              <w:top w:val="nil"/>
              <w:left w:val="single" w:sz="8" w:space="0" w:color="auto"/>
              <w:bottom w:val="single" w:sz="8" w:space="0" w:color="000000"/>
              <w:right w:val="single" w:sz="8" w:space="0" w:color="auto"/>
            </w:tcBorders>
            <w:vAlign w:val="center"/>
            <w:hideMark/>
          </w:tcPr>
          <w:p w:rsidR="00887C0A" w:rsidRPr="00887C0A" w:rsidRDefault="00887C0A">
            <w:pPr>
              <w:rPr>
                <w:rFonts w:ascii="Arial" w:hAnsi="Arial" w:cs="Arial"/>
                <w:color w:val="000000"/>
                <w:sz w:val="18"/>
                <w:szCs w:val="18"/>
              </w:rPr>
            </w:pPr>
          </w:p>
        </w:tc>
        <w:tc>
          <w:tcPr>
            <w:tcW w:w="890"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Nitriansky</w:t>
            </w:r>
          </w:p>
        </w:tc>
        <w:tc>
          <w:tcPr>
            <w:tcW w:w="1142"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248</w:t>
            </w:r>
          </w:p>
        </w:tc>
        <w:tc>
          <w:tcPr>
            <w:tcW w:w="1130"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31</w:t>
            </w:r>
          </w:p>
        </w:tc>
        <w:tc>
          <w:tcPr>
            <w:tcW w:w="1153"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18</w:t>
            </w:r>
          </w:p>
        </w:tc>
      </w:tr>
      <w:tr w:rsidR="00887C0A" w:rsidRPr="00887C0A" w:rsidTr="00887C0A">
        <w:trPr>
          <w:trHeight w:val="315"/>
        </w:trPr>
        <w:tc>
          <w:tcPr>
            <w:tcW w:w="685" w:type="pct"/>
            <w:vMerge/>
            <w:tcBorders>
              <w:top w:val="nil"/>
              <w:left w:val="single" w:sz="8" w:space="0" w:color="auto"/>
              <w:bottom w:val="single" w:sz="8" w:space="0" w:color="000000"/>
              <w:right w:val="single" w:sz="8" w:space="0" w:color="auto"/>
            </w:tcBorders>
            <w:vAlign w:val="center"/>
            <w:hideMark/>
          </w:tcPr>
          <w:p w:rsidR="00887C0A" w:rsidRPr="00887C0A" w:rsidRDefault="00887C0A">
            <w:pPr>
              <w:rPr>
                <w:rFonts w:ascii="Arial" w:hAnsi="Arial" w:cs="Arial"/>
                <w:color w:val="000000"/>
                <w:sz w:val="18"/>
                <w:szCs w:val="18"/>
              </w:rPr>
            </w:pPr>
          </w:p>
        </w:tc>
        <w:tc>
          <w:tcPr>
            <w:tcW w:w="890"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Žilinský</w:t>
            </w:r>
          </w:p>
        </w:tc>
        <w:tc>
          <w:tcPr>
            <w:tcW w:w="1142"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208</w:t>
            </w:r>
          </w:p>
        </w:tc>
        <w:tc>
          <w:tcPr>
            <w:tcW w:w="1130"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38</w:t>
            </w:r>
          </w:p>
        </w:tc>
        <w:tc>
          <w:tcPr>
            <w:tcW w:w="1153"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23</w:t>
            </w:r>
          </w:p>
        </w:tc>
      </w:tr>
      <w:tr w:rsidR="00887C0A" w:rsidRPr="00887C0A" w:rsidTr="00887C0A">
        <w:trPr>
          <w:trHeight w:val="315"/>
        </w:trPr>
        <w:tc>
          <w:tcPr>
            <w:tcW w:w="685" w:type="pct"/>
            <w:vMerge/>
            <w:tcBorders>
              <w:top w:val="nil"/>
              <w:left w:val="single" w:sz="8" w:space="0" w:color="auto"/>
              <w:bottom w:val="single" w:sz="8" w:space="0" w:color="000000"/>
              <w:right w:val="single" w:sz="8" w:space="0" w:color="auto"/>
            </w:tcBorders>
            <w:vAlign w:val="center"/>
            <w:hideMark/>
          </w:tcPr>
          <w:p w:rsidR="00887C0A" w:rsidRPr="00887C0A" w:rsidRDefault="00887C0A">
            <w:pPr>
              <w:rPr>
                <w:rFonts w:ascii="Arial" w:hAnsi="Arial" w:cs="Arial"/>
                <w:color w:val="000000"/>
                <w:sz w:val="18"/>
                <w:szCs w:val="18"/>
              </w:rPr>
            </w:pPr>
          </w:p>
        </w:tc>
        <w:tc>
          <w:tcPr>
            <w:tcW w:w="890"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Banskobystrický</w:t>
            </w:r>
          </w:p>
        </w:tc>
        <w:tc>
          <w:tcPr>
            <w:tcW w:w="1142"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182</w:t>
            </w:r>
          </w:p>
        </w:tc>
        <w:tc>
          <w:tcPr>
            <w:tcW w:w="1130"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32</w:t>
            </w:r>
          </w:p>
        </w:tc>
        <w:tc>
          <w:tcPr>
            <w:tcW w:w="1153"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19</w:t>
            </w:r>
          </w:p>
        </w:tc>
      </w:tr>
      <w:tr w:rsidR="00887C0A" w:rsidRPr="00887C0A" w:rsidTr="00887C0A">
        <w:trPr>
          <w:trHeight w:val="315"/>
        </w:trPr>
        <w:tc>
          <w:tcPr>
            <w:tcW w:w="685" w:type="pct"/>
            <w:vMerge/>
            <w:tcBorders>
              <w:top w:val="nil"/>
              <w:left w:val="single" w:sz="8" w:space="0" w:color="auto"/>
              <w:bottom w:val="single" w:sz="8" w:space="0" w:color="000000"/>
              <w:right w:val="single" w:sz="8" w:space="0" w:color="auto"/>
            </w:tcBorders>
            <w:vAlign w:val="center"/>
            <w:hideMark/>
          </w:tcPr>
          <w:p w:rsidR="00887C0A" w:rsidRPr="00887C0A" w:rsidRDefault="00887C0A">
            <w:pPr>
              <w:rPr>
                <w:rFonts w:ascii="Arial" w:hAnsi="Arial" w:cs="Arial"/>
                <w:color w:val="000000"/>
                <w:sz w:val="18"/>
                <w:szCs w:val="18"/>
              </w:rPr>
            </w:pPr>
          </w:p>
        </w:tc>
        <w:tc>
          <w:tcPr>
            <w:tcW w:w="890"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Prešovský</w:t>
            </w:r>
          </w:p>
        </w:tc>
        <w:tc>
          <w:tcPr>
            <w:tcW w:w="1142"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217</w:t>
            </w:r>
          </w:p>
        </w:tc>
        <w:tc>
          <w:tcPr>
            <w:tcW w:w="1130"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32</w:t>
            </w:r>
          </w:p>
        </w:tc>
        <w:tc>
          <w:tcPr>
            <w:tcW w:w="1153"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17</w:t>
            </w:r>
          </w:p>
        </w:tc>
      </w:tr>
      <w:tr w:rsidR="00887C0A" w:rsidRPr="00887C0A" w:rsidTr="00887C0A">
        <w:trPr>
          <w:trHeight w:val="315"/>
        </w:trPr>
        <w:tc>
          <w:tcPr>
            <w:tcW w:w="685" w:type="pct"/>
            <w:vMerge/>
            <w:tcBorders>
              <w:top w:val="nil"/>
              <w:left w:val="single" w:sz="8" w:space="0" w:color="auto"/>
              <w:bottom w:val="single" w:sz="8" w:space="0" w:color="000000"/>
              <w:right w:val="single" w:sz="8" w:space="0" w:color="auto"/>
            </w:tcBorders>
            <w:vAlign w:val="center"/>
            <w:hideMark/>
          </w:tcPr>
          <w:p w:rsidR="00887C0A" w:rsidRPr="00887C0A" w:rsidRDefault="00887C0A">
            <w:pPr>
              <w:rPr>
                <w:rFonts w:ascii="Arial" w:hAnsi="Arial" w:cs="Arial"/>
                <w:color w:val="000000"/>
                <w:sz w:val="18"/>
                <w:szCs w:val="18"/>
              </w:rPr>
            </w:pPr>
          </w:p>
        </w:tc>
        <w:tc>
          <w:tcPr>
            <w:tcW w:w="890"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Košický</w:t>
            </w:r>
          </w:p>
        </w:tc>
        <w:tc>
          <w:tcPr>
            <w:tcW w:w="1142"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151</w:t>
            </w:r>
          </w:p>
        </w:tc>
        <w:tc>
          <w:tcPr>
            <w:tcW w:w="1130"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20</w:t>
            </w:r>
          </w:p>
        </w:tc>
        <w:tc>
          <w:tcPr>
            <w:tcW w:w="1153"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7</w:t>
            </w:r>
          </w:p>
        </w:tc>
      </w:tr>
      <w:tr w:rsidR="00887C0A" w:rsidRPr="00887C0A" w:rsidTr="00887C0A">
        <w:trPr>
          <w:trHeight w:val="315"/>
        </w:trPr>
        <w:tc>
          <w:tcPr>
            <w:tcW w:w="685" w:type="pct"/>
            <w:vMerge/>
            <w:tcBorders>
              <w:top w:val="nil"/>
              <w:left w:val="single" w:sz="8" w:space="0" w:color="auto"/>
              <w:bottom w:val="single" w:sz="8" w:space="0" w:color="000000"/>
              <w:right w:val="single" w:sz="8" w:space="0" w:color="auto"/>
            </w:tcBorders>
            <w:vAlign w:val="center"/>
            <w:hideMark/>
          </w:tcPr>
          <w:p w:rsidR="00887C0A" w:rsidRPr="00887C0A" w:rsidRDefault="00887C0A">
            <w:pPr>
              <w:rPr>
                <w:rFonts w:ascii="Arial" w:hAnsi="Arial" w:cs="Arial"/>
                <w:color w:val="000000"/>
                <w:sz w:val="18"/>
                <w:szCs w:val="18"/>
              </w:rPr>
            </w:pPr>
          </w:p>
        </w:tc>
        <w:tc>
          <w:tcPr>
            <w:tcW w:w="890"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Slovenská republika</w:t>
            </w:r>
          </w:p>
        </w:tc>
        <w:tc>
          <w:tcPr>
            <w:tcW w:w="1142"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32</w:t>
            </w:r>
          </w:p>
        </w:tc>
        <w:tc>
          <w:tcPr>
            <w:tcW w:w="1130"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10</w:t>
            </w:r>
          </w:p>
        </w:tc>
        <w:tc>
          <w:tcPr>
            <w:tcW w:w="1153"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3</w:t>
            </w:r>
          </w:p>
        </w:tc>
      </w:tr>
      <w:tr w:rsidR="00887C0A" w:rsidRPr="00887C0A" w:rsidTr="00887C0A">
        <w:trPr>
          <w:trHeight w:val="315"/>
        </w:trPr>
        <w:tc>
          <w:tcPr>
            <w:tcW w:w="685" w:type="pct"/>
            <w:vMerge/>
            <w:tcBorders>
              <w:top w:val="nil"/>
              <w:left w:val="single" w:sz="8" w:space="0" w:color="auto"/>
              <w:bottom w:val="single" w:sz="8" w:space="0" w:color="000000"/>
              <w:right w:val="single" w:sz="8" w:space="0" w:color="auto"/>
            </w:tcBorders>
            <w:vAlign w:val="center"/>
            <w:hideMark/>
          </w:tcPr>
          <w:p w:rsidR="00887C0A" w:rsidRPr="00887C0A" w:rsidRDefault="00887C0A">
            <w:pPr>
              <w:rPr>
                <w:rFonts w:ascii="Arial" w:hAnsi="Arial" w:cs="Arial"/>
                <w:color w:val="000000"/>
                <w:sz w:val="18"/>
                <w:szCs w:val="18"/>
              </w:rPr>
            </w:pPr>
          </w:p>
        </w:tc>
        <w:tc>
          <w:tcPr>
            <w:tcW w:w="890"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right"/>
              <w:rPr>
                <w:rFonts w:ascii="Arial" w:hAnsi="Arial" w:cs="Arial"/>
                <w:b/>
                <w:bCs/>
                <w:color w:val="000000"/>
                <w:sz w:val="18"/>
                <w:szCs w:val="18"/>
              </w:rPr>
            </w:pPr>
            <w:r w:rsidRPr="00887C0A">
              <w:rPr>
                <w:rFonts w:ascii="Arial" w:hAnsi="Arial" w:cs="Arial"/>
                <w:b/>
                <w:bCs/>
                <w:color w:val="000000"/>
                <w:sz w:val="18"/>
                <w:szCs w:val="18"/>
              </w:rPr>
              <w:t>Spolu</w:t>
            </w:r>
          </w:p>
        </w:tc>
        <w:tc>
          <w:tcPr>
            <w:tcW w:w="1142"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b/>
                <w:bCs/>
                <w:color w:val="000000"/>
                <w:sz w:val="18"/>
                <w:szCs w:val="18"/>
              </w:rPr>
            </w:pPr>
            <w:r w:rsidRPr="00887C0A">
              <w:rPr>
                <w:rFonts w:ascii="Arial" w:hAnsi="Arial" w:cs="Arial"/>
                <w:b/>
                <w:bCs/>
                <w:color w:val="000000"/>
                <w:sz w:val="18"/>
                <w:szCs w:val="18"/>
              </w:rPr>
              <w:t>1474</w:t>
            </w:r>
          </w:p>
        </w:tc>
        <w:tc>
          <w:tcPr>
            <w:tcW w:w="1130"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b/>
                <w:bCs/>
                <w:color w:val="000000"/>
                <w:sz w:val="18"/>
                <w:szCs w:val="18"/>
              </w:rPr>
            </w:pPr>
            <w:r w:rsidRPr="00887C0A">
              <w:rPr>
                <w:rFonts w:ascii="Arial" w:hAnsi="Arial" w:cs="Arial"/>
                <w:b/>
                <w:bCs/>
                <w:color w:val="000000"/>
                <w:sz w:val="18"/>
                <w:szCs w:val="18"/>
              </w:rPr>
              <w:t>215</w:t>
            </w:r>
          </w:p>
        </w:tc>
        <w:tc>
          <w:tcPr>
            <w:tcW w:w="1153"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b/>
                <w:bCs/>
                <w:color w:val="000000"/>
                <w:sz w:val="18"/>
                <w:szCs w:val="18"/>
              </w:rPr>
            </w:pPr>
            <w:r w:rsidRPr="00887C0A">
              <w:rPr>
                <w:rFonts w:ascii="Arial" w:hAnsi="Arial" w:cs="Arial"/>
                <w:b/>
                <w:bCs/>
                <w:color w:val="000000"/>
                <w:sz w:val="18"/>
                <w:szCs w:val="18"/>
              </w:rPr>
              <w:t>118</w:t>
            </w:r>
          </w:p>
        </w:tc>
      </w:tr>
      <w:tr w:rsidR="00887C0A" w:rsidRPr="00887C0A" w:rsidTr="00887C0A">
        <w:trPr>
          <w:trHeight w:val="315"/>
        </w:trPr>
        <w:tc>
          <w:tcPr>
            <w:tcW w:w="685" w:type="pct"/>
            <w:vMerge w:val="restart"/>
            <w:tcBorders>
              <w:top w:val="nil"/>
              <w:left w:val="single" w:sz="8" w:space="0" w:color="auto"/>
              <w:bottom w:val="single" w:sz="8" w:space="0" w:color="000000"/>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Prioritná os 5</w:t>
            </w:r>
          </w:p>
        </w:tc>
        <w:tc>
          <w:tcPr>
            <w:tcW w:w="890"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Bratislavský</w:t>
            </w:r>
          </w:p>
        </w:tc>
        <w:tc>
          <w:tcPr>
            <w:tcW w:w="1142"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0</w:t>
            </w:r>
          </w:p>
        </w:tc>
        <w:tc>
          <w:tcPr>
            <w:tcW w:w="1130"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0</w:t>
            </w:r>
          </w:p>
        </w:tc>
        <w:tc>
          <w:tcPr>
            <w:tcW w:w="1153"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0</w:t>
            </w:r>
          </w:p>
        </w:tc>
      </w:tr>
      <w:tr w:rsidR="00887C0A" w:rsidRPr="00887C0A" w:rsidTr="00887C0A">
        <w:trPr>
          <w:trHeight w:val="315"/>
        </w:trPr>
        <w:tc>
          <w:tcPr>
            <w:tcW w:w="685" w:type="pct"/>
            <w:vMerge/>
            <w:tcBorders>
              <w:top w:val="nil"/>
              <w:left w:val="single" w:sz="8" w:space="0" w:color="auto"/>
              <w:bottom w:val="single" w:sz="8" w:space="0" w:color="000000"/>
              <w:right w:val="single" w:sz="8" w:space="0" w:color="auto"/>
            </w:tcBorders>
            <w:vAlign w:val="center"/>
            <w:hideMark/>
          </w:tcPr>
          <w:p w:rsidR="00887C0A" w:rsidRPr="00887C0A" w:rsidRDefault="00887C0A">
            <w:pPr>
              <w:rPr>
                <w:rFonts w:ascii="Arial" w:hAnsi="Arial" w:cs="Arial"/>
                <w:color w:val="000000"/>
                <w:sz w:val="18"/>
                <w:szCs w:val="18"/>
              </w:rPr>
            </w:pPr>
          </w:p>
        </w:tc>
        <w:tc>
          <w:tcPr>
            <w:tcW w:w="890"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Trnavský</w:t>
            </w:r>
          </w:p>
        </w:tc>
        <w:tc>
          <w:tcPr>
            <w:tcW w:w="1142"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0</w:t>
            </w:r>
          </w:p>
        </w:tc>
        <w:tc>
          <w:tcPr>
            <w:tcW w:w="1130"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0</w:t>
            </w:r>
          </w:p>
        </w:tc>
        <w:tc>
          <w:tcPr>
            <w:tcW w:w="1153"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0</w:t>
            </w:r>
          </w:p>
        </w:tc>
      </w:tr>
      <w:tr w:rsidR="00887C0A" w:rsidRPr="00887C0A" w:rsidTr="00887C0A">
        <w:trPr>
          <w:trHeight w:val="315"/>
        </w:trPr>
        <w:tc>
          <w:tcPr>
            <w:tcW w:w="685" w:type="pct"/>
            <w:vMerge/>
            <w:tcBorders>
              <w:top w:val="nil"/>
              <w:left w:val="single" w:sz="8" w:space="0" w:color="auto"/>
              <w:bottom w:val="single" w:sz="8" w:space="0" w:color="000000"/>
              <w:right w:val="single" w:sz="8" w:space="0" w:color="auto"/>
            </w:tcBorders>
            <w:vAlign w:val="center"/>
            <w:hideMark/>
          </w:tcPr>
          <w:p w:rsidR="00887C0A" w:rsidRPr="00887C0A" w:rsidRDefault="00887C0A">
            <w:pPr>
              <w:rPr>
                <w:rFonts w:ascii="Arial" w:hAnsi="Arial" w:cs="Arial"/>
                <w:color w:val="000000"/>
                <w:sz w:val="18"/>
                <w:szCs w:val="18"/>
              </w:rPr>
            </w:pPr>
          </w:p>
        </w:tc>
        <w:tc>
          <w:tcPr>
            <w:tcW w:w="890"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Trenčiansky</w:t>
            </w:r>
          </w:p>
        </w:tc>
        <w:tc>
          <w:tcPr>
            <w:tcW w:w="1142"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3</w:t>
            </w:r>
          </w:p>
        </w:tc>
        <w:tc>
          <w:tcPr>
            <w:tcW w:w="1130"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3</w:t>
            </w:r>
          </w:p>
        </w:tc>
        <w:tc>
          <w:tcPr>
            <w:tcW w:w="1153"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1</w:t>
            </w:r>
          </w:p>
        </w:tc>
      </w:tr>
      <w:tr w:rsidR="00887C0A" w:rsidRPr="00887C0A" w:rsidTr="00887C0A">
        <w:trPr>
          <w:trHeight w:val="315"/>
        </w:trPr>
        <w:tc>
          <w:tcPr>
            <w:tcW w:w="685" w:type="pct"/>
            <w:vMerge/>
            <w:tcBorders>
              <w:top w:val="nil"/>
              <w:left w:val="single" w:sz="8" w:space="0" w:color="auto"/>
              <w:bottom w:val="single" w:sz="8" w:space="0" w:color="000000"/>
              <w:right w:val="single" w:sz="8" w:space="0" w:color="auto"/>
            </w:tcBorders>
            <w:vAlign w:val="center"/>
            <w:hideMark/>
          </w:tcPr>
          <w:p w:rsidR="00887C0A" w:rsidRPr="00887C0A" w:rsidRDefault="00887C0A">
            <w:pPr>
              <w:rPr>
                <w:rFonts w:ascii="Arial" w:hAnsi="Arial" w:cs="Arial"/>
                <w:color w:val="000000"/>
                <w:sz w:val="18"/>
                <w:szCs w:val="18"/>
              </w:rPr>
            </w:pPr>
          </w:p>
        </w:tc>
        <w:tc>
          <w:tcPr>
            <w:tcW w:w="890"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Nitriansky</w:t>
            </w:r>
          </w:p>
        </w:tc>
        <w:tc>
          <w:tcPr>
            <w:tcW w:w="1142"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2</w:t>
            </w:r>
          </w:p>
        </w:tc>
        <w:tc>
          <w:tcPr>
            <w:tcW w:w="1130"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2</w:t>
            </w:r>
          </w:p>
        </w:tc>
        <w:tc>
          <w:tcPr>
            <w:tcW w:w="1153"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0</w:t>
            </w:r>
          </w:p>
        </w:tc>
      </w:tr>
      <w:tr w:rsidR="00887C0A" w:rsidRPr="00887C0A" w:rsidTr="00887C0A">
        <w:trPr>
          <w:trHeight w:val="315"/>
        </w:trPr>
        <w:tc>
          <w:tcPr>
            <w:tcW w:w="685" w:type="pct"/>
            <w:vMerge/>
            <w:tcBorders>
              <w:top w:val="nil"/>
              <w:left w:val="single" w:sz="8" w:space="0" w:color="auto"/>
              <w:bottom w:val="single" w:sz="8" w:space="0" w:color="000000"/>
              <w:right w:val="single" w:sz="8" w:space="0" w:color="auto"/>
            </w:tcBorders>
            <w:vAlign w:val="center"/>
            <w:hideMark/>
          </w:tcPr>
          <w:p w:rsidR="00887C0A" w:rsidRPr="00887C0A" w:rsidRDefault="00887C0A">
            <w:pPr>
              <w:rPr>
                <w:rFonts w:ascii="Arial" w:hAnsi="Arial" w:cs="Arial"/>
                <w:color w:val="000000"/>
                <w:sz w:val="18"/>
                <w:szCs w:val="18"/>
              </w:rPr>
            </w:pPr>
          </w:p>
        </w:tc>
        <w:tc>
          <w:tcPr>
            <w:tcW w:w="890"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Žilinský</w:t>
            </w:r>
          </w:p>
        </w:tc>
        <w:tc>
          <w:tcPr>
            <w:tcW w:w="1142"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13</w:t>
            </w:r>
          </w:p>
        </w:tc>
        <w:tc>
          <w:tcPr>
            <w:tcW w:w="1130"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9</w:t>
            </w:r>
          </w:p>
        </w:tc>
        <w:tc>
          <w:tcPr>
            <w:tcW w:w="1153"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1</w:t>
            </w:r>
          </w:p>
        </w:tc>
      </w:tr>
      <w:tr w:rsidR="00887C0A" w:rsidRPr="00887C0A" w:rsidTr="00887C0A">
        <w:trPr>
          <w:trHeight w:val="315"/>
        </w:trPr>
        <w:tc>
          <w:tcPr>
            <w:tcW w:w="685" w:type="pct"/>
            <w:vMerge/>
            <w:tcBorders>
              <w:top w:val="nil"/>
              <w:left w:val="single" w:sz="8" w:space="0" w:color="auto"/>
              <w:bottom w:val="single" w:sz="8" w:space="0" w:color="000000"/>
              <w:right w:val="single" w:sz="8" w:space="0" w:color="auto"/>
            </w:tcBorders>
            <w:vAlign w:val="center"/>
            <w:hideMark/>
          </w:tcPr>
          <w:p w:rsidR="00887C0A" w:rsidRPr="00887C0A" w:rsidRDefault="00887C0A">
            <w:pPr>
              <w:rPr>
                <w:rFonts w:ascii="Arial" w:hAnsi="Arial" w:cs="Arial"/>
                <w:color w:val="000000"/>
                <w:sz w:val="18"/>
                <w:szCs w:val="18"/>
              </w:rPr>
            </w:pPr>
          </w:p>
        </w:tc>
        <w:tc>
          <w:tcPr>
            <w:tcW w:w="890"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Banskobystrický</w:t>
            </w:r>
          </w:p>
        </w:tc>
        <w:tc>
          <w:tcPr>
            <w:tcW w:w="1142"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3</w:t>
            </w:r>
          </w:p>
        </w:tc>
        <w:tc>
          <w:tcPr>
            <w:tcW w:w="1130"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1</w:t>
            </w:r>
          </w:p>
        </w:tc>
        <w:tc>
          <w:tcPr>
            <w:tcW w:w="1153"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1</w:t>
            </w:r>
          </w:p>
        </w:tc>
      </w:tr>
      <w:tr w:rsidR="00887C0A" w:rsidRPr="00887C0A" w:rsidTr="00887C0A">
        <w:trPr>
          <w:trHeight w:val="315"/>
        </w:trPr>
        <w:tc>
          <w:tcPr>
            <w:tcW w:w="685" w:type="pct"/>
            <w:vMerge/>
            <w:tcBorders>
              <w:top w:val="nil"/>
              <w:left w:val="single" w:sz="8" w:space="0" w:color="auto"/>
              <w:bottom w:val="single" w:sz="8" w:space="0" w:color="000000"/>
              <w:right w:val="single" w:sz="8" w:space="0" w:color="auto"/>
            </w:tcBorders>
            <w:vAlign w:val="center"/>
            <w:hideMark/>
          </w:tcPr>
          <w:p w:rsidR="00887C0A" w:rsidRPr="00887C0A" w:rsidRDefault="00887C0A">
            <w:pPr>
              <w:rPr>
                <w:rFonts w:ascii="Arial" w:hAnsi="Arial" w:cs="Arial"/>
                <w:color w:val="000000"/>
                <w:sz w:val="18"/>
                <w:szCs w:val="18"/>
              </w:rPr>
            </w:pPr>
          </w:p>
        </w:tc>
        <w:tc>
          <w:tcPr>
            <w:tcW w:w="890"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Prešovský</w:t>
            </w:r>
          </w:p>
        </w:tc>
        <w:tc>
          <w:tcPr>
            <w:tcW w:w="1142"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4</w:t>
            </w:r>
          </w:p>
        </w:tc>
        <w:tc>
          <w:tcPr>
            <w:tcW w:w="1130"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1</w:t>
            </w:r>
          </w:p>
        </w:tc>
        <w:tc>
          <w:tcPr>
            <w:tcW w:w="1153"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0</w:t>
            </w:r>
          </w:p>
        </w:tc>
      </w:tr>
      <w:tr w:rsidR="00887C0A" w:rsidRPr="00887C0A" w:rsidTr="00887C0A">
        <w:trPr>
          <w:trHeight w:val="315"/>
        </w:trPr>
        <w:tc>
          <w:tcPr>
            <w:tcW w:w="685" w:type="pct"/>
            <w:vMerge/>
            <w:tcBorders>
              <w:top w:val="nil"/>
              <w:left w:val="single" w:sz="8" w:space="0" w:color="auto"/>
              <w:bottom w:val="single" w:sz="8" w:space="0" w:color="000000"/>
              <w:right w:val="single" w:sz="8" w:space="0" w:color="auto"/>
            </w:tcBorders>
            <w:vAlign w:val="center"/>
            <w:hideMark/>
          </w:tcPr>
          <w:p w:rsidR="00887C0A" w:rsidRPr="00887C0A" w:rsidRDefault="00887C0A">
            <w:pPr>
              <w:rPr>
                <w:rFonts w:ascii="Arial" w:hAnsi="Arial" w:cs="Arial"/>
                <w:color w:val="000000"/>
                <w:sz w:val="18"/>
                <w:szCs w:val="18"/>
              </w:rPr>
            </w:pPr>
          </w:p>
        </w:tc>
        <w:tc>
          <w:tcPr>
            <w:tcW w:w="890"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Košický</w:t>
            </w:r>
          </w:p>
        </w:tc>
        <w:tc>
          <w:tcPr>
            <w:tcW w:w="1142"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3</w:t>
            </w:r>
          </w:p>
        </w:tc>
        <w:tc>
          <w:tcPr>
            <w:tcW w:w="1130"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3</w:t>
            </w:r>
          </w:p>
        </w:tc>
        <w:tc>
          <w:tcPr>
            <w:tcW w:w="1153"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1</w:t>
            </w:r>
          </w:p>
        </w:tc>
      </w:tr>
      <w:tr w:rsidR="00887C0A" w:rsidRPr="00887C0A" w:rsidTr="00887C0A">
        <w:trPr>
          <w:trHeight w:val="315"/>
        </w:trPr>
        <w:tc>
          <w:tcPr>
            <w:tcW w:w="685" w:type="pct"/>
            <w:vMerge/>
            <w:tcBorders>
              <w:top w:val="nil"/>
              <w:left w:val="single" w:sz="8" w:space="0" w:color="auto"/>
              <w:bottom w:val="single" w:sz="8" w:space="0" w:color="000000"/>
              <w:right w:val="single" w:sz="8" w:space="0" w:color="auto"/>
            </w:tcBorders>
            <w:vAlign w:val="center"/>
            <w:hideMark/>
          </w:tcPr>
          <w:p w:rsidR="00887C0A" w:rsidRPr="00887C0A" w:rsidRDefault="00887C0A">
            <w:pPr>
              <w:rPr>
                <w:rFonts w:ascii="Arial" w:hAnsi="Arial" w:cs="Arial"/>
                <w:color w:val="000000"/>
                <w:sz w:val="18"/>
                <w:szCs w:val="18"/>
              </w:rPr>
            </w:pPr>
          </w:p>
        </w:tc>
        <w:tc>
          <w:tcPr>
            <w:tcW w:w="890"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Slovenská republika</w:t>
            </w:r>
          </w:p>
        </w:tc>
        <w:tc>
          <w:tcPr>
            <w:tcW w:w="1142"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32</w:t>
            </w:r>
          </w:p>
        </w:tc>
        <w:tc>
          <w:tcPr>
            <w:tcW w:w="1130"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17</w:t>
            </w:r>
          </w:p>
        </w:tc>
        <w:tc>
          <w:tcPr>
            <w:tcW w:w="1153"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4</w:t>
            </w:r>
          </w:p>
        </w:tc>
      </w:tr>
      <w:tr w:rsidR="00887C0A" w:rsidRPr="00887C0A" w:rsidTr="00887C0A">
        <w:trPr>
          <w:trHeight w:val="315"/>
        </w:trPr>
        <w:tc>
          <w:tcPr>
            <w:tcW w:w="685" w:type="pct"/>
            <w:vMerge/>
            <w:tcBorders>
              <w:top w:val="nil"/>
              <w:left w:val="single" w:sz="8" w:space="0" w:color="auto"/>
              <w:bottom w:val="single" w:sz="8" w:space="0" w:color="000000"/>
              <w:right w:val="single" w:sz="8" w:space="0" w:color="auto"/>
            </w:tcBorders>
            <w:vAlign w:val="center"/>
            <w:hideMark/>
          </w:tcPr>
          <w:p w:rsidR="00887C0A" w:rsidRPr="00887C0A" w:rsidRDefault="00887C0A">
            <w:pPr>
              <w:rPr>
                <w:rFonts w:ascii="Arial" w:hAnsi="Arial" w:cs="Arial"/>
                <w:color w:val="000000"/>
                <w:sz w:val="18"/>
                <w:szCs w:val="18"/>
              </w:rPr>
            </w:pPr>
          </w:p>
        </w:tc>
        <w:tc>
          <w:tcPr>
            <w:tcW w:w="890"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right"/>
              <w:rPr>
                <w:rFonts w:ascii="Arial" w:hAnsi="Arial" w:cs="Arial"/>
                <w:b/>
                <w:bCs/>
                <w:color w:val="000000"/>
                <w:sz w:val="18"/>
                <w:szCs w:val="18"/>
              </w:rPr>
            </w:pPr>
            <w:r w:rsidRPr="00887C0A">
              <w:rPr>
                <w:rFonts w:ascii="Arial" w:hAnsi="Arial" w:cs="Arial"/>
                <w:b/>
                <w:bCs/>
                <w:color w:val="000000"/>
                <w:sz w:val="18"/>
                <w:szCs w:val="18"/>
              </w:rPr>
              <w:t>Spolu</w:t>
            </w:r>
          </w:p>
        </w:tc>
        <w:tc>
          <w:tcPr>
            <w:tcW w:w="1142"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b/>
                <w:bCs/>
                <w:color w:val="000000"/>
                <w:sz w:val="18"/>
                <w:szCs w:val="18"/>
              </w:rPr>
            </w:pPr>
            <w:r w:rsidRPr="00887C0A">
              <w:rPr>
                <w:rFonts w:ascii="Arial" w:hAnsi="Arial" w:cs="Arial"/>
                <w:b/>
                <w:bCs/>
                <w:color w:val="000000"/>
                <w:sz w:val="18"/>
                <w:szCs w:val="18"/>
              </w:rPr>
              <w:t>60</w:t>
            </w:r>
          </w:p>
        </w:tc>
        <w:tc>
          <w:tcPr>
            <w:tcW w:w="1130"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b/>
                <w:bCs/>
                <w:color w:val="000000"/>
                <w:sz w:val="18"/>
                <w:szCs w:val="18"/>
              </w:rPr>
            </w:pPr>
            <w:r w:rsidRPr="00887C0A">
              <w:rPr>
                <w:rFonts w:ascii="Arial" w:hAnsi="Arial" w:cs="Arial"/>
                <w:b/>
                <w:bCs/>
                <w:color w:val="000000"/>
                <w:sz w:val="18"/>
                <w:szCs w:val="18"/>
              </w:rPr>
              <w:t>36</w:t>
            </w:r>
          </w:p>
        </w:tc>
        <w:tc>
          <w:tcPr>
            <w:tcW w:w="1153"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b/>
                <w:bCs/>
                <w:color w:val="000000"/>
                <w:sz w:val="18"/>
                <w:szCs w:val="18"/>
              </w:rPr>
            </w:pPr>
            <w:r w:rsidRPr="00887C0A">
              <w:rPr>
                <w:rFonts w:ascii="Arial" w:hAnsi="Arial" w:cs="Arial"/>
                <w:b/>
                <w:bCs/>
                <w:color w:val="000000"/>
                <w:sz w:val="18"/>
                <w:szCs w:val="18"/>
              </w:rPr>
              <w:t>8</w:t>
            </w:r>
          </w:p>
        </w:tc>
      </w:tr>
      <w:tr w:rsidR="00887C0A" w:rsidRPr="00887C0A" w:rsidTr="00887C0A">
        <w:trPr>
          <w:trHeight w:val="315"/>
        </w:trPr>
        <w:tc>
          <w:tcPr>
            <w:tcW w:w="685" w:type="pct"/>
            <w:vMerge w:val="restart"/>
            <w:tcBorders>
              <w:top w:val="nil"/>
              <w:left w:val="single" w:sz="8" w:space="0" w:color="auto"/>
              <w:bottom w:val="single" w:sz="8" w:space="0" w:color="000000"/>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Prioritná os 6</w:t>
            </w:r>
          </w:p>
        </w:tc>
        <w:tc>
          <w:tcPr>
            <w:tcW w:w="890"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Bratislavský</w:t>
            </w:r>
          </w:p>
        </w:tc>
        <w:tc>
          <w:tcPr>
            <w:tcW w:w="1142"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0</w:t>
            </w:r>
          </w:p>
        </w:tc>
        <w:tc>
          <w:tcPr>
            <w:tcW w:w="1130"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0</w:t>
            </w:r>
          </w:p>
        </w:tc>
        <w:tc>
          <w:tcPr>
            <w:tcW w:w="1153"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0</w:t>
            </w:r>
          </w:p>
        </w:tc>
      </w:tr>
      <w:tr w:rsidR="00887C0A" w:rsidRPr="00887C0A" w:rsidTr="00887C0A">
        <w:trPr>
          <w:trHeight w:val="315"/>
        </w:trPr>
        <w:tc>
          <w:tcPr>
            <w:tcW w:w="685" w:type="pct"/>
            <w:vMerge/>
            <w:tcBorders>
              <w:top w:val="nil"/>
              <w:left w:val="single" w:sz="8" w:space="0" w:color="auto"/>
              <w:bottom w:val="single" w:sz="8" w:space="0" w:color="000000"/>
              <w:right w:val="single" w:sz="8" w:space="0" w:color="auto"/>
            </w:tcBorders>
            <w:vAlign w:val="center"/>
            <w:hideMark/>
          </w:tcPr>
          <w:p w:rsidR="00887C0A" w:rsidRPr="00887C0A" w:rsidRDefault="00887C0A">
            <w:pPr>
              <w:rPr>
                <w:rFonts w:ascii="Arial" w:hAnsi="Arial" w:cs="Arial"/>
                <w:color w:val="000000"/>
                <w:sz w:val="18"/>
                <w:szCs w:val="18"/>
              </w:rPr>
            </w:pPr>
          </w:p>
        </w:tc>
        <w:tc>
          <w:tcPr>
            <w:tcW w:w="890"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Trnavský</w:t>
            </w:r>
          </w:p>
        </w:tc>
        <w:tc>
          <w:tcPr>
            <w:tcW w:w="1142"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0</w:t>
            </w:r>
          </w:p>
        </w:tc>
        <w:tc>
          <w:tcPr>
            <w:tcW w:w="1130"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0</w:t>
            </w:r>
          </w:p>
        </w:tc>
        <w:tc>
          <w:tcPr>
            <w:tcW w:w="1153"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0</w:t>
            </w:r>
          </w:p>
        </w:tc>
      </w:tr>
      <w:tr w:rsidR="00887C0A" w:rsidRPr="00887C0A" w:rsidTr="00887C0A">
        <w:trPr>
          <w:trHeight w:val="315"/>
        </w:trPr>
        <w:tc>
          <w:tcPr>
            <w:tcW w:w="685" w:type="pct"/>
            <w:vMerge/>
            <w:tcBorders>
              <w:top w:val="nil"/>
              <w:left w:val="single" w:sz="8" w:space="0" w:color="auto"/>
              <w:bottom w:val="single" w:sz="8" w:space="0" w:color="000000"/>
              <w:right w:val="single" w:sz="8" w:space="0" w:color="auto"/>
            </w:tcBorders>
            <w:vAlign w:val="center"/>
            <w:hideMark/>
          </w:tcPr>
          <w:p w:rsidR="00887C0A" w:rsidRPr="00887C0A" w:rsidRDefault="00887C0A">
            <w:pPr>
              <w:rPr>
                <w:rFonts w:ascii="Arial" w:hAnsi="Arial" w:cs="Arial"/>
                <w:color w:val="000000"/>
                <w:sz w:val="18"/>
                <w:szCs w:val="18"/>
              </w:rPr>
            </w:pPr>
          </w:p>
        </w:tc>
        <w:tc>
          <w:tcPr>
            <w:tcW w:w="890"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Trenčiansky</w:t>
            </w:r>
          </w:p>
        </w:tc>
        <w:tc>
          <w:tcPr>
            <w:tcW w:w="1142"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0</w:t>
            </w:r>
          </w:p>
        </w:tc>
        <w:tc>
          <w:tcPr>
            <w:tcW w:w="1130"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0</w:t>
            </w:r>
          </w:p>
        </w:tc>
        <w:tc>
          <w:tcPr>
            <w:tcW w:w="1153"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0</w:t>
            </w:r>
          </w:p>
        </w:tc>
      </w:tr>
      <w:tr w:rsidR="00887C0A" w:rsidRPr="00887C0A" w:rsidTr="00887C0A">
        <w:trPr>
          <w:trHeight w:val="315"/>
        </w:trPr>
        <w:tc>
          <w:tcPr>
            <w:tcW w:w="685" w:type="pct"/>
            <w:vMerge/>
            <w:tcBorders>
              <w:top w:val="nil"/>
              <w:left w:val="single" w:sz="8" w:space="0" w:color="auto"/>
              <w:bottom w:val="single" w:sz="8" w:space="0" w:color="000000"/>
              <w:right w:val="single" w:sz="8" w:space="0" w:color="auto"/>
            </w:tcBorders>
            <w:vAlign w:val="center"/>
            <w:hideMark/>
          </w:tcPr>
          <w:p w:rsidR="00887C0A" w:rsidRPr="00887C0A" w:rsidRDefault="00887C0A">
            <w:pPr>
              <w:rPr>
                <w:rFonts w:ascii="Arial" w:hAnsi="Arial" w:cs="Arial"/>
                <w:color w:val="000000"/>
                <w:sz w:val="18"/>
                <w:szCs w:val="18"/>
              </w:rPr>
            </w:pPr>
          </w:p>
        </w:tc>
        <w:tc>
          <w:tcPr>
            <w:tcW w:w="890"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Nitriansky</w:t>
            </w:r>
          </w:p>
        </w:tc>
        <w:tc>
          <w:tcPr>
            <w:tcW w:w="1142"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0</w:t>
            </w:r>
          </w:p>
        </w:tc>
        <w:tc>
          <w:tcPr>
            <w:tcW w:w="1130"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0</w:t>
            </w:r>
          </w:p>
        </w:tc>
        <w:tc>
          <w:tcPr>
            <w:tcW w:w="1153"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0</w:t>
            </w:r>
          </w:p>
        </w:tc>
      </w:tr>
      <w:tr w:rsidR="00887C0A" w:rsidRPr="00887C0A" w:rsidTr="00887C0A">
        <w:trPr>
          <w:trHeight w:val="315"/>
        </w:trPr>
        <w:tc>
          <w:tcPr>
            <w:tcW w:w="685" w:type="pct"/>
            <w:vMerge/>
            <w:tcBorders>
              <w:top w:val="nil"/>
              <w:left w:val="single" w:sz="8" w:space="0" w:color="auto"/>
              <w:bottom w:val="single" w:sz="8" w:space="0" w:color="000000"/>
              <w:right w:val="single" w:sz="8" w:space="0" w:color="auto"/>
            </w:tcBorders>
            <w:vAlign w:val="center"/>
            <w:hideMark/>
          </w:tcPr>
          <w:p w:rsidR="00887C0A" w:rsidRPr="00887C0A" w:rsidRDefault="00887C0A">
            <w:pPr>
              <w:rPr>
                <w:rFonts w:ascii="Arial" w:hAnsi="Arial" w:cs="Arial"/>
                <w:color w:val="000000"/>
                <w:sz w:val="18"/>
                <w:szCs w:val="18"/>
              </w:rPr>
            </w:pPr>
          </w:p>
        </w:tc>
        <w:tc>
          <w:tcPr>
            <w:tcW w:w="890"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Žilinský</w:t>
            </w:r>
          </w:p>
        </w:tc>
        <w:tc>
          <w:tcPr>
            <w:tcW w:w="1142"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0</w:t>
            </w:r>
          </w:p>
        </w:tc>
        <w:tc>
          <w:tcPr>
            <w:tcW w:w="1130"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0</w:t>
            </w:r>
          </w:p>
        </w:tc>
        <w:tc>
          <w:tcPr>
            <w:tcW w:w="1153"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0</w:t>
            </w:r>
          </w:p>
        </w:tc>
      </w:tr>
      <w:tr w:rsidR="00887C0A" w:rsidRPr="00887C0A" w:rsidTr="00887C0A">
        <w:trPr>
          <w:trHeight w:val="315"/>
        </w:trPr>
        <w:tc>
          <w:tcPr>
            <w:tcW w:w="685" w:type="pct"/>
            <w:vMerge/>
            <w:tcBorders>
              <w:top w:val="nil"/>
              <w:left w:val="single" w:sz="8" w:space="0" w:color="auto"/>
              <w:bottom w:val="single" w:sz="8" w:space="0" w:color="000000"/>
              <w:right w:val="single" w:sz="8" w:space="0" w:color="auto"/>
            </w:tcBorders>
            <w:vAlign w:val="center"/>
            <w:hideMark/>
          </w:tcPr>
          <w:p w:rsidR="00887C0A" w:rsidRPr="00887C0A" w:rsidRDefault="00887C0A">
            <w:pPr>
              <w:rPr>
                <w:rFonts w:ascii="Arial" w:hAnsi="Arial" w:cs="Arial"/>
                <w:color w:val="000000"/>
                <w:sz w:val="18"/>
                <w:szCs w:val="18"/>
              </w:rPr>
            </w:pPr>
          </w:p>
        </w:tc>
        <w:tc>
          <w:tcPr>
            <w:tcW w:w="890"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Banskobystrický</w:t>
            </w:r>
          </w:p>
        </w:tc>
        <w:tc>
          <w:tcPr>
            <w:tcW w:w="1142"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0</w:t>
            </w:r>
          </w:p>
        </w:tc>
        <w:tc>
          <w:tcPr>
            <w:tcW w:w="1130"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0</w:t>
            </w:r>
          </w:p>
        </w:tc>
        <w:tc>
          <w:tcPr>
            <w:tcW w:w="1153"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0</w:t>
            </w:r>
          </w:p>
        </w:tc>
      </w:tr>
      <w:tr w:rsidR="00887C0A" w:rsidRPr="00887C0A" w:rsidTr="00887C0A">
        <w:trPr>
          <w:trHeight w:val="315"/>
        </w:trPr>
        <w:tc>
          <w:tcPr>
            <w:tcW w:w="685" w:type="pct"/>
            <w:vMerge/>
            <w:tcBorders>
              <w:top w:val="nil"/>
              <w:left w:val="single" w:sz="8" w:space="0" w:color="auto"/>
              <w:bottom w:val="single" w:sz="8" w:space="0" w:color="000000"/>
              <w:right w:val="single" w:sz="8" w:space="0" w:color="auto"/>
            </w:tcBorders>
            <w:vAlign w:val="center"/>
            <w:hideMark/>
          </w:tcPr>
          <w:p w:rsidR="00887C0A" w:rsidRPr="00887C0A" w:rsidRDefault="00887C0A">
            <w:pPr>
              <w:rPr>
                <w:rFonts w:ascii="Arial" w:hAnsi="Arial" w:cs="Arial"/>
                <w:color w:val="000000"/>
                <w:sz w:val="18"/>
                <w:szCs w:val="18"/>
              </w:rPr>
            </w:pPr>
          </w:p>
        </w:tc>
        <w:tc>
          <w:tcPr>
            <w:tcW w:w="890"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Prešovský</w:t>
            </w:r>
          </w:p>
        </w:tc>
        <w:tc>
          <w:tcPr>
            <w:tcW w:w="1142"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0</w:t>
            </w:r>
          </w:p>
        </w:tc>
        <w:tc>
          <w:tcPr>
            <w:tcW w:w="1130"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0</w:t>
            </w:r>
          </w:p>
        </w:tc>
        <w:tc>
          <w:tcPr>
            <w:tcW w:w="1153"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0</w:t>
            </w:r>
          </w:p>
        </w:tc>
      </w:tr>
      <w:tr w:rsidR="00887C0A" w:rsidRPr="00887C0A" w:rsidTr="00887C0A">
        <w:trPr>
          <w:trHeight w:val="315"/>
        </w:trPr>
        <w:tc>
          <w:tcPr>
            <w:tcW w:w="685" w:type="pct"/>
            <w:vMerge/>
            <w:tcBorders>
              <w:top w:val="nil"/>
              <w:left w:val="single" w:sz="8" w:space="0" w:color="auto"/>
              <w:bottom w:val="single" w:sz="8" w:space="0" w:color="000000"/>
              <w:right w:val="single" w:sz="8" w:space="0" w:color="auto"/>
            </w:tcBorders>
            <w:vAlign w:val="center"/>
            <w:hideMark/>
          </w:tcPr>
          <w:p w:rsidR="00887C0A" w:rsidRPr="00887C0A" w:rsidRDefault="00887C0A">
            <w:pPr>
              <w:rPr>
                <w:rFonts w:ascii="Arial" w:hAnsi="Arial" w:cs="Arial"/>
                <w:color w:val="000000"/>
                <w:sz w:val="18"/>
                <w:szCs w:val="18"/>
              </w:rPr>
            </w:pPr>
          </w:p>
        </w:tc>
        <w:tc>
          <w:tcPr>
            <w:tcW w:w="890"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Košický</w:t>
            </w:r>
          </w:p>
        </w:tc>
        <w:tc>
          <w:tcPr>
            <w:tcW w:w="1142"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0</w:t>
            </w:r>
          </w:p>
        </w:tc>
        <w:tc>
          <w:tcPr>
            <w:tcW w:w="1130"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0</w:t>
            </w:r>
          </w:p>
        </w:tc>
        <w:tc>
          <w:tcPr>
            <w:tcW w:w="1153"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0</w:t>
            </w:r>
          </w:p>
        </w:tc>
      </w:tr>
      <w:tr w:rsidR="00887C0A" w:rsidRPr="00887C0A" w:rsidTr="00887C0A">
        <w:trPr>
          <w:trHeight w:val="315"/>
        </w:trPr>
        <w:tc>
          <w:tcPr>
            <w:tcW w:w="685" w:type="pct"/>
            <w:vMerge/>
            <w:tcBorders>
              <w:top w:val="nil"/>
              <w:left w:val="single" w:sz="8" w:space="0" w:color="auto"/>
              <w:bottom w:val="single" w:sz="8" w:space="0" w:color="000000"/>
              <w:right w:val="single" w:sz="8" w:space="0" w:color="auto"/>
            </w:tcBorders>
            <w:vAlign w:val="center"/>
            <w:hideMark/>
          </w:tcPr>
          <w:p w:rsidR="00887C0A" w:rsidRPr="00887C0A" w:rsidRDefault="00887C0A">
            <w:pPr>
              <w:rPr>
                <w:rFonts w:ascii="Arial" w:hAnsi="Arial" w:cs="Arial"/>
                <w:color w:val="000000"/>
                <w:sz w:val="18"/>
                <w:szCs w:val="18"/>
              </w:rPr>
            </w:pPr>
          </w:p>
        </w:tc>
        <w:tc>
          <w:tcPr>
            <w:tcW w:w="890"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Slovenská republika</w:t>
            </w:r>
          </w:p>
        </w:tc>
        <w:tc>
          <w:tcPr>
            <w:tcW w:w="1142"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15</w:t>
            </w:r>
          </w:p>
        </w:tc>
        <w:tc>
          <w:tcPr>
            <w:tcW w:w="1130"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15</w:t>
            </w:r>
          </w:p>
        </w:tc>
        <w:tc>
          <w:tcPr>
            <w:tcW w:w="1153"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8</w:t>
            </w:r>
          </w:p>
        </w:tc>
      </w:tr>
      <w:tr w:rsidR="00887C0A" w:rsidRPr="00887C0A" w:rsidTr="00887C0A">
        <w:trPr>
          <w:trHeight w:val="315"/>
        </w:trPr>
        <w:tc>
          <w:tcPr>
            <w:tcW w:w="685" w:type="pct"/>
            <w:vMerge/>
            <w:tcBorders>
              <w:top w:val="nil"/>
              <w:left w:val="single" w:sz="8" w:space="0" w:color="auto"/>
              <w:bottom w:val="single" w:sz="8" w:space="0" w:color="000000"/>
              <w:right w:val="single" w:sz="8" w:space="0" w:color="auto"/>
            </w:tcBorders>
            <w:vAlign w:val="center"/>
            <w:hideMark/>
          </w:tcPr>
          <w:p w:rsidR="00887C0A" w:rsidRPr="00887C0A" w:rsidRDefault="00887C0A">
            <w:pPr>
              <w:rPr>
                <w:rFonts w:ascii="Arial" w:hAnsi="Arial" w:cs="Arial"/>
                <w:color w:val="000000"/>
                <w:sz w:val="18"/>
                <w:szCs w:val="18"/>
              </w:rPr>
            </w:pPr>
          </w:p>
        </w:tc>
        <w:tc>
          <w:tcPr>
            <w:tcW w:w="890"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right"/>
              <w:rPr>
                <w:rFonts w:ascii="Arial" w:hAnsi="Arial" w:cs="Arial"/>
                <w:b/>
                <w:bCs/>
                <w:color w:val="000000"/>
                <w:sz w:val="18"/>
                <w:szCs w:val="18"/>
              </w:rPr>
            </w:pPr>
            <w:r w:rsidRPr="00887C0A">
              <w:rPr>
                <w:rFonts w:ascii="Arial" w:hAnsi="Arial" w:cs="Arial"/>
                <w:b/>
                <w:bCs/>
                <w:color w:val="000000"/>
                <w:sz w:val="18"/>
                <w:szCs w:val="18"/>
              </w:rPr>
              <w:t>Spolu</w:t>
            </w:r>
          </w:p>
        </w:tc>
        <w:tc>
          <w:tcPr>
            <w:tcW w:w="1142"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b/>
                <w:bCs/>
                <w:color w:val="000000"/>
                <w:sz w:val="18"/>
                <w:szCs w:val="18"/>
              </w:rPr>
            </w:pPr>
            <w:r w:rsidRPr="00887C0A">
              <w:rPr>
                <w:rFonts w:ascii="Arial" w:hAnsi="Arial" w:cs="Arial"/>
                <w:b/>
                <w:bCs/>
                <w:color w:val="000000"/>
                <w:sz w:val="18"/>
                <w:szCs w:val="18"/>
              </w:rPr>
              <w:t>15</w:t>
            </w:r>
          </w:p>
        </w:tc>
        <w:tc>
          <w:tcPr>
            <w:tcW w:w="1130"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b/>
                <w:bCs/>
                <w:color w:val="000000"/>
                <w:sz w:val="18"/>
                <w:szCs w:val="18"/>
              </w:rPr>
            </w:pPr>
            <w:r w:rsidRPr="00887C0A">
              <w:rPr>
                <w:rFonts w:ascii="Arial" w:hAnsi="Arial" w:cs="Arial"/>
                <w:b/>
                <w:bCs/>
                <w:color w:val="000000"/>
                <w:sz w:val="18"/>
                <w:szCs w:val="18"/>
              </w:rPr>
              <w:t>15</w:t>
            </w:r>
          </w:p>
        </w:tc>
        <w:tc>
          <w:tcPr>
            <w:tcW w:w="1153"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b/>
                <w:bCs/>
                <w:color w:val="000000"/>
                <w:sz w:val="18"/>
                <w:szCs w:val="18"/>
              </w:rPr>
            </w:pPr>
            <w:r w:rsidRPr="00887C0A">
              <w:rPr>
                <w:rFonts w:ascii="Arial" w:hAnsi="Arial" w:cs="Arial"/>
                <w:b/>
                <w:bCs/>
                <w:color w:val="000000"/>
                <w:sz w:val="18"/>
                <w:szCs w:val="18"/>
              </w:rPr>
              <w:t>8</w:t>
            </w:r>
          </w:p>
        </w:tc>
      </w:tr>
      <w:tr w:rsidR="00887C0A" w:rsidRPr="00887C0A" w:rsidTr="00887C0A">
        <w:trPr>
          <w:trHeight w:val="315"/>
        </w:trPr>
        <w:tc>
          <w:tcPr>
            <w:tcW w:w="685" w:type="pct"/>
            <w:vMerge w:val="restart"/>
            <w:tcBorders>
              <w:top w:val="nil"/>
              <w:left w:val="single" w:sz="8" w:space="0" w:color="auto"/>
              <w:bottom w:val="single" w:sz="8" w:space="0" w:color="000000"/>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Prioritná os 7</w:t>
            </w:r>
          </w:p>
        </w:tc>
        <w:tc>
          <w:tcPr>
            <w:tcW w:w="890"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Bratislavský</w:t>
            </w:r>
          </w:p>
        </w:tc>
        <w:tc>
          <w:tcPr>
            <w:tcW w:w="1142"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0</w:t>
            </w:r>
          </w:p>
        </w:tc>
        <w:tc>
          <w:tcPr>
            <w:tcW w:w="1130"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0</w:t>
            </w:r>
          </w:p>
        </w:tc>
        <w:tc>
          <w:tcPr>
            <w:tcW w:w="1153"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0</w:t>
            </w:r>
          </w:p>
        </w:tc>
      </w:tr>
      <w:tr w:rsidR="00887C0A" w:rsidRPr="00887C0A" w:rsidTr="00887C0A">
        <w:trPr>
          <w:trHeight w:val="315"/>
        </w:trPr>
        <w:tc>
          <w:tcPr>
            <w:tcW w:w="685" w:type="pct"/>
            <w:vMerge/>
            <w:tcBorders>
              <w:top w:val="nil"/>
              <w:left w:val="single" w:sz="8" w:space="0" w:color="auto"/>
              <w:bottom w:val="single" w:sz="8" w:space="0" w:color="000000"/>
              <w:right w:val="single" w:sz="8" w:space="0" w:color="auto"/>
            </w:tcBorders>
            <w:vAlign w:val="center"/>
            <w:hideMark/>
          </w:tcPr>
          <w:p w:rsidR="00887C0A" w:rsidRPr="00887C0A" w:rsidRDefault="00887C0A">
            <w:pPr>
              <w:rPr>
                <w:rFonts w:ascii="Arial" w:hAnsi="Arial" w:cs="Arial"/>
                <w:color w:val="000000"/>
                <w:sz w:val="18"/>
                <w:szCs w:val="18"/>
              </w:rPr>
            </w:pPr>
          </w:p>
        </w:tc>
        <w:tc>
          <w:tcPr>
            <w:tcW w:w="890"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Trnavský</w:t>
            </w:r>
          </w:p>
        </w:tc>
        <w:tc>
          <w:tcPr>
            <w:tcW w:w="1142"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0</w:t>
            </w:r>
          </w:p>
        </w:tc>
        <w:tc>
          <w:tcPr>
            <w:tcW w:w="1130"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0</w:t>
            </w:r>
          </w:p>
        </w:tc>
        <w:tc>
          <w:tcPr>
            <w:tcW w:w="1153"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0</w:t>
            </w:r>
          </w:p>
        </w:tc>
      </w:tr>
      <w:tr w:rsidR="00887C0A" w:rsidRPr="00887C0A" w:rsidTr="00887C0A">
        <w:trPr>
          <w:trHeight w:val="315"/>
        </w:trPr>
        <w:tc>
          <w:tcPr>
            <w:tcW w:w="685" w:type="pct"/>
            <w:vMerge/>
            <w:tcBorders>
              <w:top w:val="nil"/>
              <w:left w:val="single" w:sz="8" w:space="0" w:color="auto"/>
              <w:bottom w:val="single" w:sz="8" w:space="0" w:color="000000"/>
              <w:right w:val="single" w:sz="8" w:space="0" w:color="auto"/>
            </w:tcBorders>
            <w:vAlign w:val="center"/>
            <w:hideMark/>
          </w:tcPr>
          <w:p w:rsidR="00887C0A" w:rsidRPr="00887C0A" w:rsidRDefault="00887C0A">
            <w:pPr>
              <w:rPr>
                <w:rFonts w:ascii="Arial" w:hAnsi="Arial" w:cs="Arial"/>
                <w:color w:val="000000"/>
                <w:sz w:val="18"/>
                <w:szCs w:val="18"/>
              </w:rPr>
            </w:pPr>
          </w:p>
        </w:tc>
        <w:tc>
          <w:tcPr>
            <w:tcW w:w="890"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Trenčiansky</w:t>
            </w:r>
          </w:p>
        </w:tc>
        <w:tc>
          <w:tcPr>
            <w:tcW w:w="1142"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0</w:t>
            </w:r>
          </w:p>
        </w:tc>
        <w:tc>
          <w:tcPr>
            <w:tcW w:w="1130"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0</w:t>
            </w:r>
          </w:p>
        </w:tc>
        <w:tc>
          <w:tcPr>
            <w:tcW w:w="1153"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0</w:t>
            </w:r>
          </w:p>
        </w:tc>
      </w:tr>
      <w:tr w:rsidR="00887C0A" w:rsidRPr="00887C0A" w:rsidTr="00887C0A">
        <w:trPr>
          <w:trHeight w:val="315"/>
        </w:trPr>
        <w:tc>
          <w:tcPr>
            <w:tcW w:w="685" w:type="pct"/>
            <w:vMerge/>
            <w:tcBorders>
              <w:top w:val="nil"/>
              <w:left w:val="single" w:sz="8" w:space="0" w:color="auto"/>
              <w:bottom w:val="single" w:sz="8" w:space="0" w:color="000000"/>
              <w:right w:val="single" w:sz="8" w:space="0" w:color="auto"/>
            </w:tcBorders>
            <w:vAlign w:val="center"/>
            <w:hideMark/>
          </w:tcPr>
          <w:p w:rsidR="00887C0A" w:rsidRPr="00887C0A" w:rsidRDefault="00887C0A">
            <w:pPr>
              <w:rPr>
                <w:rFonts w:ascii="Arial" w:hAnsi="Arial" w:cs="Arial"/>
                <w:color w:val="000000"/>
                <w:sz w:val="18"/>
                <w:szCs w:val="18"/>
              </w:rPr>
            </w:pPr>
          </w:p>
        </w:tc>
        <w:tc>
          <w:tcPr>
            <w:tcW w:w="890"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Nitriansky</w:t>
            </w:r>
          </w:p>
        </w:tc>
        <w:tc>
          <w:tcPr>
            <w:tcW w:w="1142"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0</w:t>
            </w:r>
          </w:p>
        </w:tc>
        <w:tc>
          <w:tcPr>
            <w:tcW w:w="1130"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0</w:t>
            </w:r>
          </w:p>
        </w:tc>
        <w:tc>
          <w:tcPr>
            <w:tcW w:w="1153"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0</w:t>
            </w:r>
          </w:p>
        </w:tc>
      </w:tr>
      <w:tr w:rsidR="00887C0A" w:rsidRPr="00887C0A" w:rsidTr="00887C0A">
        <w:trPr>
          <w:trHeight w:val="315"/>
        </w:trPr>
        <w:tc>
          <w:tcPr>
            <w:tcW w:w="685" w:type="pct"/>
            <w:vMerge/>
            <w:tcBorders>
              <w:top w:val="nil"/>
              <w:left w:val="single" w:sz="8" w:space="0" w:color="auto"/>
              <w:bottom w:val="single" w:sz="8" w:space="0" w:color="000000"/>
              <w:right w:val="single" w:sz="8" w:space="0" w:color="auto"/>
            </w:tcBorders>
            <w:vAlign w:val="center"/>
            <w:hideMark/>
          </w:tcPr>
          <w:p w:rsidR="00887C0A" w:rsidRPr="00887C0A" w:rsidRDefault="00887C0A">
            <w:pPr>
              <w:rPr>
                <w:rFonts w:ascii="Arial" w:hAnsi="Arial" w:cs="Arial"/>
                <w:color w:val="000000"/>
                <w:sz w:val="18"/>
                <w:szCs w:val="18"/>
              </w:rPr>
            </w:pPr>
          </w:p>
        </w:tc>
        <w:tc>
          <w:tcPr>
            <w:tcW w:w="890"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Žilinský</w:t>
            </w:r>
          </w:p>
        </w:tc>
        <w:tc>
          <w:tcPr>
            <w:tcW w:w="1142"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0</w:t>
            </w:r>
          </w:p>
        </w:tc>
        <w:tc>
          <w:tcPr>
            <w:tcW w:w="1130"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0</w:t>
            </w:r>
          </w:p>
        </w:tc>
        <w:tc>
          <w:tcPr>
            <w:tcW w:w="1153"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0</w:t>
            </w:r>
          </w:p>
        </w:tc>
      </w:tr>
      <w:tr w:rsidR="00887C0A" w:rsidRPr="00887C0A" w:rsidTr="00887C0A">
        <w:trPr>
          <w:trHeight w:val="315"/>
        </w:trPr>
        <w:tc>
          <w:tcPr>
            <w:tcW w:w="685" w:type="pct"/>
            <w:vMerge/>
            <w:tcBorders>
              <w:top w:val="nil"/>
              <w:left w:val="single" w:sz="8" w:space="0" w:color="auto"/>
              <w:bottom w:val="single" w:sz="8" w:space="0" w:color="000000"/>
              <w:right w:val="single" w:sz="8" w:space="0" w:color="auto"/>
            </w:tcBorders>
            <w:vAlign w:val="center"/>
            <w:hideMark/>
          </w:tcPr>
          <w:p w:rsidR="00887C0A" w:rsidRPr="00887C0A" w:rsidRDefault="00887C0A">
            <w:pPr>
              <w:rPr>
                <w:rFonts w:ascii="Arial" w:hAnsi="Arial" w:cs="Arial"/>
                <w:color w:val="000000"/>
                <w:sz w:val="18"/>
                <w:szCs w:val="18"/>
              </w:rPr>
            </w:pPr>
          </w:p>
        </w:tc>
        <w:tc>
          <w:tcPr>
            <w:tcW w:w="890"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Banskobystrický</w:t>
            </w:r>
          </w:p>
        </w:tc>
        <w:tc>
          <w:tcPr>
            <w:tcW w:w="1142"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0</w:t>
            </w:r>
          </w:p>
        </w:tc>
        <w:tc>
          <w:tcPr>
            <w:tcW w:w="1130"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0</w:t>
            </w:r>
          </w:p>
        </w:tc>
        <w:tc>
          <w:tcPr>
            <w:tcW w:w="1153"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0</w:t>
            </w:r>
          </w:p>
        </w:tc>
      </w:tr>
      <w:tr w:rsidR="00887C0A" w:rsidRPr="00887C0A" w:rsidTr="00887C0A">
        <w:trPr>
          <w:trHeight w:val="315"/>
        </w:trPr>
        <w:tc>
          <w:tcPr>
            <w:tcW w:w="685" w:type="pct"/>
            <w:vMerge/>
            <w:tcBorders>
              <w:top w:val="nil"/>
              <w:left w:val="single" w:sz="8" w:space="0" w:color="auto"/>
              <w:bottom w:val="single" w:sz="8" w:space="0" w:color="000000"/>
              <w:right w:val="single" w:sz="8" w:space="0" w:color="auto"/>
            </w:tcBorders>
            <w:vAlign w:val="center"/>
            <w:hideMark/>
          </w:tcPr>
          <w:p w:rsidR="00887C0A" w:rsidRPr="00887C0A" w:rsidRDefault="00887C0A">
            <w:pPr>
              <w:rPr>
                <w:rFonts w:ascii="Arial" w:hAnsi="Arial" w:cs="Arial"/>
                <w:color w:val="000000"/>
                <w:sz w:val="18"/>
                <w:szCs w:val="18"/>
              </w:rPr>
            </w:pPr>
          </w:p>
        </w:tc>
        <w:tc>
          <w:tcPr>
            <w:tcW w:w="890"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Prešovský</w:t>
            </w:r>
          </w:p>
        </w:tc>
        <w:tc>
          <w:tcPr>
            <w:tcW w:w="1142"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0</w:t>
            </w:r>
          </w:p>
        </w:tc>
        <w:tc>
          <w:tcPr>
            <w:tcW w:w="1130"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0</w:t>
            </w:r>
          </w:p>
        </w:tc>
        <w:tc>
          <w:tcPr>
            <w:tcW w:w="1153"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0</w:t>
            </w:r>
          </w:p>
        </w:tc>
      </w:tr>
      <w:tr w:rsidR="00887C0A" w:rsidRPr="00887C0A" w:rsidTr="00887C0A">
        <w:trPr>
          <w:trHeight w:val="315"/>
        </w:trPr>
        <w:tc>
          <w:tcPr>
            <w:tcW w:w="685" w:type="pct"/>
            <w:vMerge/>
            <w:tcBorders>
              <w:top w:val="nil"/>
              <w:left w:val="single" w:sz="8" w:space="0" w:color="auto"/>
              <w:bottom w:val="single" w:sz="8" w:space="0" w:color="000000"/>
              <w:right w:val="single" w:sz="8" w:space="0" w:color="auto"/>
            </w:tcBorders>
            <w:vAlign w:val="center"/>
            <w:hideMark/>
          </w:tcPr>
          <w:p w:rsidR="00887C0A" w:rsidRPr="00887C0A" w:rsidRDefault="00887C0A">
            <w:pPr>
              <w:rPr>
                <w:rFonts w:ascii="Arial" w:hAnsi="Arial" w:cs="Arial"/>
                <w:color w:val="000000"/>
                <w:sz w:val="18"/>
                <w:szCs w:val="18"/>
              </w:rPr>
            </w:pPr>
          </w:p>
        </w:tc>
        <w:tc>
          <w:tcPr>
            <w:tcW w:w="890"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Košický</w:t>
            </w:r>
          </w:p>
        </w:tc>
        <w:tc>
          <w:tcPr>
            <w:tcW w:w="1142"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0</w:t>
            </w:r>
          </w:p>
        </w:tc>
        <w:tc>
          <w:tcPr>
            <w:tcW w:w="1130"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0</w:t>
            </w:r>
          </w:p>
        </w:tc>
        <w:tc>
          <w:tcPr>
            <w:tcW w:w="1153"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0</w:t>
            </w:r>
          </w:p>
        </w:tc>
      </w:tr>
      <w:tr w:rsidR="00887C0A" w:rsidRPr="00887C0A" w:rsidTr="00887C0A">
        <w:trPr>
          <w:trHeight w:val="315"/>
        </w:trPr>
        <w:tc>
          <w:tcPr>
            <w:tcW w:w="685" w:type="pct"/>
            <w:vMerge/>
            <w:tcBorders>
              <w:top w:val="nil"/>
              <w:left w:val="single" w:sz="8" w:space="0" w:color="auto"/>
              <w:bottom w:val="single" w:sz="8" w:space="0" w:color="000000"/>
              <w:right w:val="single" w:sz="8" w:space="0" w:color="auto"/>
            </w:tcBorders>
            <w:vAlign w:val="center"/>
            <w:hideMark/>
          </w:tcPr>
          <w:p w:rsidR="00887C0A" w:rsidRPr="00887C0A" w:rsidRDefault="00887C0A">
            <w:pPr>
              <w:rPr>
                <w:rFonts w:ascii="Arial" w:hAnsi="Arial" w:cs="Arial"/>
                <w:color w:val="000000"/>
                <w:sz w:val="18"/>
                <w:szCs w:val="18"/>
              </w:rPr>
            </w:pPr>
          </w:p>
        </w:tc>
        <w:tc>
          <w:tcPr>
            <w:tcW w:w="890"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Slovenská republika</w:t>
            </w:r>
          </w:p>
        </w:tc>
        <w:tc>
          <w:tcPr>
            <w:tcW w:w="1142"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0</w:t>
            </w:r>
          </w:p>
        </w:tc>
        <w:tc>
          <w:tcPr>
            <w:tcW w:w="1130"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0</w:t>
            </w:r>
          </w:p>
        </w:tc>
        <w:tc>
          <w:tcPr>
            <w:tcW w:w="1153"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color w:val="000000"/>
                <w:sz w:val="18"/>
                <w:szCs w:val="18"/>
              </w:rPr>
            </w:pPr>
            <w:r w:rsidRPr="00887C0A">
              <w:rPr>
                <w:rFonts w:ascii="Arial" w:hAnsi="Arial" w:cs="Arial"/>
                <w:color w:val="000000"/>
                <w:sz w:val="18"/>
                <w:szCs w:val="18"/>
              </w:rPr>
              <w:t>0</w:t>
            </w:r>
          </w:p>
        </w:tc>
      </w:tr>
      <w:tr w:rsidR="00887C0A" w:rsidRPr="00887C0A" w:rsidTr="00887C0A">
        <w:trPr>
          <w:trHeight w:val="315"/>
        </w:trPr>
        <w:tc>
          <w:tcPr>
            <w:tcW w:w="685" w:type="pct"/>
            <w:vMerge/>
            <w:tcBorders>
              <w:top w:val="nil"/>
              <w:left w:val="single" w:sz="8" w:space="0" w:color="auto"/>
              <w:bottom w:val="single" w:sz="8" w:space="0" w:color="000000"/>
              <w:right w:val="single" w:sz="8" w:space="0" w:color="auto"/>
            </w:tcBorders>
            <w:vAlign w:val="center"/>
            <w:hideMark/>
          </w:tcPr>
          <w:p w:rsidR="00887C0A" w:rsidRPr="00887C0A" w:rsidRDefault="00887C0A">
            <w:pPr>
              <w:rPr>
                <w:rFonts w:ascii="Arial" w:hAnsi="Arial" w:cs="Arial"/>
                <w:color w:val="000000"/>
                <w:sz w:val="18"/>
                <w:szCs w:val="18"/>
              </w:rPr>
            </w:pPr>
          </w:p>
        </w:tc>
        <w:tc>
          <w:tcPr>
            <w:tcW w:w="890"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right"/>
              <w:rPr>
                <w:rFonts w:ascii="Arial" w:hAnsi="Arial" w:cs="Arial"/>
                <w:b/>
                <w:bCs/>
                <w:color w:val="000000"/>
                <w:sz w:val="18"/>
                <w:szCs w:val="18"/>
              </w:rPr>
            </w:pPr>
            <w:r w:rsidRPr="00887C0A">
              <w:rPr>
                <w:rFonts w:ascii="Arial" w:hAnsi="Arial" w:cs="Arial"/>
                <w:b/>
                <w:bCs/>
                <w:color w:val="000000"/>
                <w:sz w:val="18"/>
                <w:szCs w:val="18"/>
              </w:rPr>
              <w:t>Spolu</w:t>
            </w:r>
          </w:p>
        </w:tc>
        <w:tc>
          <w:tcPr>
            <w:tcW w:w="1142"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b/>
                <w:bCs/>
                <w:color w:val="000000"/>
                <w:sz w:val="18"/>
                <w:szCs w:val="18"/>
              </w:rPr>
            </w:pPr>
            <w:r w:rsidRPr="00887C0A">
              <w:rPr>
                <w:rFonts w:ascii="Arial" w:hAnsi="Arial" w:cs="Arial"/>
                <w:b/>
                <w:bCs/>
                <w:color w:val="000000"/>
                <w:sz w:val="18"/>
                <w:szCs w:val="18"/>
              </w:rPr>
              <w:t>0</w:t>
            </w:r>
          </w:p>
        </w:tc>
        <w:tc>
          <w:tcPr>
            <w:tcW w:w="1130"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b/>
                <w:bCs/>
                <w:color w:val="000000"/>
                <w:sz w:val="18"/>
                <w:szCs w:val="18"/>
              </w:rPr>
            </w:pPr>
            <w:r w:rsidRPr="00887C0A">
              <w:rPr>
                <w:rFonts w:ascii="Arial" w:hAnsi="Arial" w:cs="Arial"/>
                <w:b/>
                <w:bCs/>
                <w:color w:val="000000"/>
                <w:sz w:val="18"/>
                <w:szCs w:val="18"/>
              </w:rPr>
              <w:t>0</w:t>
            </w:r>
          </w:p>
        </w:tc>
        <w:tc>
          <w:tcPr>
            <w:tcW w:w="1153" w:type="pct"/>
            <w:tcBorders>
              <w:top w:val="nil"/>
              <w:left w:val="nil"/>
              <w:bottom w:val="single" w:sz="8" w:space="0" w:color="auto"/>
              <w:right w:val="single" w:sz="8" w:space="0" w:color="auto"/>
            </w:tcBorders>
            <w:shd w:val="clear" w:color="auto" w:fill="auto"/>
            <w:vAlign w:val="center"/>
            <w:hideMark/>
          </w:tcPr>
          <w:p w:rsidR="00887C0A" w:rsidRPr="00887C0A" w:rsidRDefault="00887C0A">
            <w:pPr>
              <w:jc w:val="center"/>
              <w:rPr>
                <w:rFonts w:ascii="Arial" w:hAnsi="Arial" w:cs="Arial"/>
                <w:b/>
                <w:bCs/>
                <w:color w:val="000000"/>
                <w:sz w:val="18"/>
                <w:szCs w:val="18"/>
              </w:rPr>
            </w:pPr>
            <w:r w:rsidRPr="00887C0A">
              <w:rPr>
                <w:rFonts w:ascii="Arial" w:hAnsi="Arial" w:cs="Arial"/>
                <w:b/>
                <w:bCs/>
                <w:color w:val="000000"/>
                <w:sz w:val="18"/>
                <w:szCs w:val="18"/>
              </w:rPr>
              <w:t> </w:t>
            </w:r>
          </w:p>
        </w:tc>
      </w:tr>
      <w:tr w:rsidR="00887C0A" w:rsidRPr="00887C0A" w:rsidTr="00887C0A">
        <w:trPr>
          <w:trHeight w:val="315"/>
        </w:trPr>
        <w:tc>
          <w:tcPr>
            <w:tcW w:w="1575" w:type="pct"/>
            <w:gridSpan w:val="2"/>
            <w:tcBorders>
              <w:top w:val="nil"/>
              <w:left w:val="single" w:sz="8" w:space="0" w:color="auto"/>
              <w:bottom w:val="single" w:sz="8" w:space="0" w:color="auto"/>
              <w:right w:val="single" w:sz="8" w:space="0" w:color="000000"/>
            </w:tcBorders>
            <w:shd w:val="clear" w:color="000000" w:fill="EAF1DD"/>
            <w:noWrap/>
            <w:vAlign w:val="center"/>
            <w:hideMark/>
          </w:tcPr>
          <w:p w:rsidR="00887C0A" w:rsidRPr="00887C0A" w:rsidRDefault="00887C0A">
            <w:pPr>
              <w:jc w:val="center"/>
              <w:rPr>
                <w:rFonts w:ascii="Arial" w:hAnsi="Arial" w:cs="Arial"/>
                <w:b/>
                <w:bCs/>
                <w:color w:val="000000"/>
                <w:sz w:val="18"/>
                <w:szCs w:val="18"/>
              </w:rPr>
            </w:pPr>
            <w:r w:rsidRPr="00887C0A">
              <w:rPr>
                <w:rFonts w:ascii="Arial" w:hAnsi="Arial" w:cs="Arial"/>
                <w:b/>
                <w:bCs/>
                <w:color w:val="000000"/>
                <w:sz w:val="18"/>
                <w:szCs w:val="18"/>
              </w:rPr>
              <w:t>SPOLU</w:t>
            </w:r>
          </w:p>
        </w:tc>
        <w:tc>
          <w:tcPr>
            <w:tcW w:w="1142" w:type="pct"/>
            <w:tcBorders>
              <w:top w:val="nil"/>
              <w:left w:val="nil"/>
              <w:bottom w:val="single" w:sz="8" w:space="0" w:color="auto"/>
              <w:right w:val="single" w:sz="8" w:space="0" w:color="auto"/>
            </w:tcBorders>
            <w:shd w:val="clear" w:color="000000" w:fill="EAF1DD"/>
            <w:noWrap/>
            <w:vAlign w:val="center"/>
            <w:hideMark/>
          </w:tcPr>
          <w:p w:rsidR="00887C0A" w:rsidRPr="00887C0A" w:rsidRDefault="00887C0A">
            <w:pPr>
              <w:jc w:val="center"/>
              <w:rPr>
                <w:rFonts w:ascii="Arial" w:hAnsi="Arial" w:cs="Arial"/>
                <w:b/>
                <w:bCs/>
                <w:color w:val="000000"/>
                <w:sz w:val="18"/>
                <w:szCs w:val="18"/>
              </w:rPr>
            </w:pPr>
            <w:r w:rsidRPr="00887C0A">
              <w:rPr>
                <w:rFonts w:ascii="Arial" w:hAnsi="Arial" w:cs="Arial"/>
                <w:b/>
                <w:bCs/>
                <w:color w:val="000000"/>
                <w:sz w:val="18"/>
                <w:szCs w:val="18"/>
              </w:rPr>
              <w:t>2674</w:t>
            </w:r>
          </w:p>
        </w:tc>
        <w:tc>
          <w:tcPr>
            <w:tcW w:w="1130" w:type="pct"/>
            <w:tcBorders>
              <w:top w:val="nil"/>
              <w:left w:val="nil"/>
              <w:bottom w:val="single" w:sz="8" w:space="0" w:color="auto"/>
              <w:right w:val="single" w:sz="8" w:space="0" w:color="auto"/>
            </w:tcBorders>
            <w:shd w:val="clear" w:color="000000" w:fill="EAF1DD"/>
            <w:noWrap/>
            <w:vAlign w:val="center"/>
            <w:hideMark/>
          </w:tcPr>
          <w:p w:rsidR="00887C0A" w:rsidRPr="00887C0A" w:rsidRDefault="00887C0A">
            <w:pPr>
              <w:jc w:val="center"/>
              <w:rPr>
                <w:rFonts w:ascii="Arial" w:hAnsi="Arial" w:cs="Arial"/>
                <w:b/>
                <w:bCs/>
                <w:color w:val="000000"/>
                <w:sz w:val="18"/>
                <w:szCs w:val="18"/>
              </w:rPr>
            </w:pPr>
            <w:r w:rsidRPr="00887C0A">
              <w:rPr>
                <w:rFonts w:ascii="Arial" w:hAnsi="Arial" w:cs="Arial"/>
                <w:b/>
                <w:bCs/>
                <w:color w:val="000000"/>
                <w:sz w:val="18"/>
                <w:szCs w:val="18"/>
              </w:rPr>
              <w:t>581</w:t>
            </w:r>
          </w:p>
        </w:tc>
        <w:tc>
          <w:tcPr>
            <w:tcW w:w="1153" w:type="pct"/>
            <w:tcBorders>
              <w:top w:val="nil"/>
              <w:left w:val="nil"/>
              <w:bottom w:val="single" w:sz="8" w:space="0" w:color="auto"/>
              <w:right w:val="single" w:sz="8" w:space="0" w:color="auto"/>
            </w:tcBorders>
            <w:shd w:val="clear" w:color="000000" w:fill="EAF1DD"/>
            <w:noWrap/>
            <w:vAlign w:val="center"/>
            <w:hideMark/>
          </w:tcPr>
          <w:p w:rsidR="00887C0A" w:rsidRPr="00887C0A" w:rsidRDefault="00887C0A">
            <w:pPr>
              <w:jc w:val="center"/>
              <w:rPr>
                <w:rFonts w:ascii="Arial" w:hAnsi="Arial" w:cs="Arial"/>
                <w:b/>
                <w:bCs/>
                <w:color w:val="000000"/>
                <w:sz w:val="18"/>
                <w:szCs w:val="18"/>
              </w:rPr>
            </w:pPr>
            <w:r w:rsidRPr="00887C0A">
              <w:rPr>
                <w:rFonts w:ascii="Arial" w:hAnsi="Arial" w:cs="Arial"/>
                <w:b/>
                <w:bCs/>
                <w:color w:val="000000"/>
                <w:sz w:val="18"/>
                <w:szCs w:val="18"/>
              </w:rPr>
              <w:t>262</w:t>
            </w:r>
          </w:p>
        </w:tc>
      </w:tr>
    </w:tbl>
    <w:p w:rsidR="002416B1" w:rsidRPr="004B33AE" w:rsidRDefault="002416B1" w:rsidP="00454DC9">
      <w:pPr>
        <w:spacing w:line="360" w:lineRule="auto"/>
        <w:rPr>
          <w:rFonts w:ascii="Arial" w:hAnsi="Arial" w:cs="Arial"/>
          <w:sz w:val="18"/>
          <w:szCs w:val="18"/>
        </w:rPr>
      </w:pPr>
      <w:r w:rsidRPr="004B33AE">
        <w:rPr>
          <w:rFonts w:ascii="Arial" w:hAnsi="Arial" w:cs="Arial"/>
          <w:sz w:val="18"/>
          <w:szCs w:val="18"/>
        </w:rPr>
        <w:t xml:space="preserve">Zdroj: </w:t>
      </w:r>
      <w:r w:rsidR="00887C0A">
        <w:rPr>
          <w:rFonts w:ascii="Arial" w:hAnsi="Arial" w:cs="Arial"/>
          <w:sz w:val="18"/>
          <w:szCs w:val="18"/>
        </w:rPr>
        <w:t>RO</w:t>
      </w:r>
    </w:p>
    <w:p w:rsidR="00A92150" w:rsidRPr="00FA2DAA" w:rsidRDefault="00A92150" w:rsidP="00454DC9">
      <w:pPr>
        <w:spacing w:line="360" w:lineRule="auto"/>
        <w:jc w:val="both"/>
        <w:rPr>
          <w:rFonts w:ascii="Arial" w:hAnsi="Arial" w:cs="Arial"/>
          <w:i/>
          <w:sz w:val="16"/>
          <w:szCs w:val="16"/>
        </w:rPr>
      </w:pPr>
      <w:r w:rsidRPr="00FA2DAA">
        <w:rPr>
          <w:rFonts w:ascii="Arial" w:hAnsi="Arial" w:cs="Arial"/>
          <w:i/>
          <w:sz w:val="16"/>
          <w:szCs w:val="16"/>
        </w:rPr>
        <w:t>Pozn.: Projekty, ktoré boli predložené v</w:t>
      </w:r>
      <w:r>
        <w:rPr>
          <w:rFonts w:ascii="Arial" w:hAnsi="Arial" w:cs="Arial"/>
          <w:i/>
          <w:sz w:val="16"/>
          <w:szCs w:val="16"/>
        </w:rPr>
        <w:t> </w:t>
      </w:r>
      <w:r w:rsidRPr="00FA2DAA">
        <w:rPr>
          <w:rFonts w:ascii="Arial" w:hAnsi="Arial" w:cs="Arial"/>
          <w:i/>
          <w:sz w:val="16"/>
          <w:szCs w:val="16"/>
        </w:rPr>
        <w:t>rámci</w:t>
      </w:r>
      <w:r>
        <w:rPr>
          <w:rFonts w:ascii="Arial" w:hAnsi="Arial" w:cs="Arial"/>
          <w:i/>
          <w:sz w:val="16"/>
          <w:szCs w:val="16"/>
        </w:rPr>
        <w:t xml:space="preserve"> viacerých krajov a nie je možné hodnoty rozdeliť na NUTS III, sú uvedené v rámci NUTS II.</w:t>
      </w:r>
    </w:p>
    <w:p w:rsidR="007A427E" w:rsidRDefault="007A427E">
      <w:pPr>
        <w:rPr>
          <w:rFonts w:ascii="Arial" w:hAnsi="Arial" w:cs="Arial"/>
          <w:sz w:val="20"/>
          <w:szCs w:val="20"/>
        </w:rPr>
      </w:pPr>
    </w:p>
    <w:p w:rsidR="002416B1" w:rsidRPr="004B33AE" w:rsidRDefault="002416B1" w:rsidP="00507035">
      <w:pPr>
        <w:spacing w:before="120" w:after="120" w:line="360" w:lineRule="auto"/>
        <w:jc w:val="both"/>
        <w:rPr>
          <w:rFonts w:ascii="Arial" w:hAnsi="Arial" w:cs="Arial"/>
          <w:sz w:val="20"/>
          <w:szCs w:val="20"/>
        </w:rPr>
      </w:pPr>
      <w:r w:rsidRPr="004B33AE">
        <w:rPr>
          <w:rFonts w:ascii="Arial" w:hAnsi="Arial" w:cs="Arial"/>
          <w:sz w:val="20"/>
          <w:szCs w:val="20"/>
        </w:rPr>
        <w:t>Celkovo možno konštatovať, že k 31.12.201</w:t>
      </w:r>
      <w:r w:rsidR="00152A49">
        <w:rPr>
          <w:rFonts w:ascii="Arial" w:hAnsi="Arial" w:cs="Arial"/>
          <w:sz w:val="20"/>
          <w:szCs w:val="20"/>
        </w:rPr>
        <w:t>2</w:t>
      </w:r>
      <w:r w:rsidRPr="004B33AE">
        <w:rPr>
          <w:rFonts w:ascii="Arial" w:hAnsi="Arial" w:cs="Arial"/>
          <w:sz w:val="20"/>
          <w:szCs w:val="20"/>
        </w:rPr>
        <w:t xml:space="preserve"> bolo v rámci OP ŽP prijatých </w:t>
      </w:r>
      <w:r w:rsidR="00152A49" w:rsidRPr="004B33AE">
        <w:rPr>
          <w:rFonts w:ascii="Arial" w:hAnsi="Arial" w:cs="Arial"/>
          <w:sz w:val="20"/>
          <w:szCs w:val="20"/>
        </w:rPr>
        <w:t>2</w:t>
      </w:r>
      <w:r w:rsidR="00287A2A">
        <w:rPr>
          <w:rFonts w:ascii="Arial" w:hAnsi="Arial" w:cs="Arial"/>
          <w:sz w:val="20"/>
          <w:szCs w:val="20"/>
        </w:rPr>
        <w:t xml:space="preserve"> </w:t>
      </w:r>
      <w:r w:rsidR="00152A49">
        <w:rPr>
          <w:rFonts w:ascii="Arial" w:hAnsi="Arial" w:cs="Arial"/>
          <w:sz w:val="20"/>
          <w:szCs w:val="20"/>
        </w:rPr>
        <w:t>674</w:t>
      </w:r>
      <w:r w:rsidR="00152A49" w:rsidRPr="004B33AE">
        <w:rPr>
          <w:rFonts w:ascii="Arial" w:hAnsi="Arial" w:cs="Arial"/>
          <w:sz w:val="20"/>
          <w:szCs w:val="20"/>
        </w:rPr>
        <w:t xml:space="preserve"> </w:t>
      </w:r>
      <w:r w:rsidRPr="004B33AE">
        <w:rPr>
          <w:rFonts w:ascii="Arial" w:hAnsi="Arial" w:cs="Arial"/>
          <w:sz w:val="20"/>
          <w:szCs w:val="20"/>
        </w:rPr>
        <w:t xml:space="preserve">žiadostí o NFP, z toho bolo </w:t>
      </w:r>
      <w:r w:rsidR="00910657">
        <w:rPr>
          <w:rFonts w:ascii="Arial" w:hAnsi="Arial" w:cs="Arial"/>
          <w:sz w:val="20"/>
          <w:szCs w:val="20"/>
        </w:rPr>
        <w:t>108</w:t>
      </w:r>
      <w:r w:rsidR="00910657" w:rsidRPr="004B33AE">
        <w:rPr>
          <w:rFonts w:ascii="Arial" w:hAnsi="Arial" w:cs="Arial"/>
          <w:sz w:val="20"/>
          <w:szCs w:val="20"/>
        </w:rPr>
        <w:t xml:space="preserve"> </w:t>
      </w:r>
      <w:r w:rsidRPr="004B33AE">
        <w:rPr>
          <w:rFonts w:ascii="Arial" w:hAnsi="Arial" w:cs="Arial"/>
          <w:sz w:val="20"/>
          <w:szCs w:val="20"/>
        </w:rPr>
        <w:t>žiadostí o NFP, ktorých problematika sa týka celého územia SR. Tieto sú zamerané najmä na zabezpečovanie primeraného sledovania a hodnotenia stavu povrchových a podzemných vôd a aktivity s tým súvisiace, ako aj na riešenie problematiky environmentálnych z</w:t>
      </w:r>
      <w:r w:rsidR="000A41E2">
        <w:rPr>
          <w:rFonts w:ascii="Arial" w:hAnsi="Arial" w:cs="Arial"/>
          <w:sz w:val="20"/>
          <w:szCs w:val="20"/>
        </w:rPr>
        <w:t>áťaží vrátane ich odstraňovania a projekty v rámci technickej pomoci.</w:t>
      </w:r>
    </w:p>
    <w:p w:rsidR="002416B1" w:rsidRPr="004B33AE" w:rsidRDefault="002416B1" w:rsidP="00507035">
      <w:pPr>
        <w:spacing w:before="120" w:after="120" w:line="360" w:lineRule="auto"/>
        <w:jc w:val="both"/>
        <w:rPr>
          <w:rFonts w:ascii="Arial" w:hAnsi="Arial" w:cs="Arial"/>
          <w:sz w:val="20"/>
          <w:szCs w:val="20"/>
        </w:rPr>
      </w:pPr>
      <w:r w:rsidRPr="004B33AE">
        <w:rPr>
          <w:rFonts w:ascii="Arial" w:hAnsi="Arial" w:cs="Arial"/>
          <w:sz w:val="20"/>
          <w:szCs w:val="20"/>
        </w:rPr>
        <w:t>Z celkovej sumy finančných prostriedkov zazmluvnených žiadostí o NFP v rámci OP ŽP najviac finančných prostriedkov EÚ smeruje do Prešovského, Žilinského a Banskobystrického kraja.</w:t>
      </w:r>
    </w:p>
    <w:p w:rsidR="002416B1" w:rsidRPr="004B33AE" w:rsidRDefault="002416B1" w:rsidP="00507035">
      <w:pPr>
        <w:spacing w:before="120" w:after="120" w:line="360" w:lineRule="auto"/>
        <w:jc w:val="both"/>
        <w:rPr>
          <w:rFonts w:ascii="Arial" w:hAnsi="Arial" w:cs="Arial"/>
          <w:sz w:val="20"/>
          <w:szCs w:val="20"/>
        </w:rPr>
      </w:pPr>
      <w:r w:rsidRPr="004B33AE">
        <w:rPr>
          <w:rFonts w:ascii="Arial" w:hAnsi="Arial" w:cs="Arial"/>
          <w:sz w:val="20"/>
          <w:szCs w:val="20"/>
        </w:rPr>
        <w:t>Finančnú implementáciu projektov podľa NUTS III, ako aj projektov nezaradených do NUTS III k 31.12.</w:t>
      </w:r>
      <w:r w:rsidR="0051732D" w:rsidRPr="004B33AE">
        <w:rPr>
          <w:rFonts w:ascii="Arial" w:hAnsi="Arial" w:cs="Arial"/>
          <w:sz w:val="20"/>
          <w:szCs w:val="20"/>
        </w:rPr>
        <w:t>201</w:t>
      </w:r>
      <w:r w:rsidR="0051732D">
        <w:rPr>
          <w:rFonts w:ascii="Arial" w:hAnsi="Arial" w:cs="Arial"/>
          <w:sz w:val="20"/>
          <w:szCs w:val="20"/>
        </w:rPr>
        <w:t>2</w:t>
      </w:r>
      <w:r w:rsidR="0051732D" w:rsidRPr="004B33AE">
        <w:rPr>
          <w:rFonts w:ascii="Arial" w:hAnsi="Arial" w:cs="Arial"/>
          <w:sz w:val="20"/>
          <w:szCs w:val="20"/>
        </w:rPr>
        <w:t xml:space="preserve"> </w:t>
      </w:r>
      <w:r w:rsidRPr="004B33AE">
        <w:rPr>
          <w:rFonts w:ascii="Arial" w:hAnsi="Arial" w:cs="Arial"/>
          <w:sz w:val="20"/>
          <w:szCs w:val="20"/>
        </w:rPr>
        <w:t xml:space="preserve">znázorňuje </w:t>
      </w:r>
      <w:r w:rsidRPr="003A15BA">
        <w:rPr>
          <w:rFonts w:ascii="Arial" w:hAnsi="Arial" w:cs="Arial"/>
          <w:sz w:val="20"/>
          <w:szCs w:val="20"/>
        </w:rPr>
        <w:t>Príloha č</w:t>
      </w:r>
      <w:r w:rsidRPr="006A2BF3">
        <w:rPr>
          <w:rFonts w:ascii="Arial" w:hAnsi="Arial" w:cs="Arial"/>
          <w:sz w:val="20"/>
          <w:szCs w:val="20"/>
        </w:rPr>
        <w:t>. 6</w:t>
      </w:r>
      <w:r>
        <w:rPr>
          <w:rFonts w:ascii="Arial" w:hAnsi="Arial" w:cs="Arial"/>
          <w:sz w:val="20"/>
          <w:szCs w:val="20"/>
        </w:rPr>
        <w:t>.</w:t>
      </w:r>
    </w:p>
    <w:p w:rsidR="002416B1" w:rsidRPr="004B33AE" w:rsidRDefault="002416B1" w:rsidP="00507035">
      <w:pPr>
        <w:spacing w:before="120" w:after="120" w:line="360" w:lineRule="auto"/>
        <w:jc w:val="both"/>
        <w:rPr>
          <w:rFonts w:ascii="Arial" w:hAnsi="Arial" w:cs="Arial"/>
          <w:sz w:val="20"/>
          <w:szCs w:val="20"/>
        </w:rPr>
      </w:pPr>
      <w:r w:rsidRPr="004B33AE">
        <w:rPr>
          <w:rFonts w:ascii="Arial" w:hAnsi="Arial" w:cs="Arial"/>
          <w:sz w:val="20"/>
          <w:szCs w:val="20"/>
        </w:rPr>
        <w:t xml:space="preserve">Ako vyplýva z uvedenej prílohy, indikatívne regionálne alokácie boli prekročené v šiestich prípadoch, a to v rámci prioritnej osi 1 v Žilinskom kraji, v rámci prioritnej osi 2 v Trenčianskom, Žilinskom a Prešovskom kraji, v rámci prioritnej osi 4 v Banskobystrickom kraji a v rámci prioritnej osi 5 v Trenčianskom kraji. </w:t>
      </w:r>
      <w:r w:rsidRPr="003A15BA">
        <w:rPr>
          <w:rFonts w:ascii="Arial" w:hAnsi="Arial" w:cs="Arial"/>
          <w:sz w:val="20"/>
          <w:szCs w:val="20"/>
        </w:rPr>
        <w:t>Environmentálne potreby jednotlivých regiónov sa v tomto prípade odzrkadľujú aj v počte a kvalite žiadostí o NFP predložených v rámci jednotlivých krajov.</w:t>
      </w:r>
      <w:r w:rsidRPr="004B33AE">
        <w:rPr>
          <w:rFonts w:ascii="Arial" w:hAnsi="Arial" w:cs="Arial"/>
          <w:sz w:val="20"/>
          <w:szCs w:val="20"/>
        </w:rPr>
        <w:t xml:space="preserve"> </w:t>
      </w:r>
    </w:p>
    <w:p w:rsidR="002416B1" w:rsidRPr="0023597B" w:rsidRDefault="0051732D" w:rsidP="00507035">
      <w:pPr>
        <w:spacing w:before="120" w:after="120" w:line="360" w:lineRule="auto"/>
        <w:jc w:val="both"/>
        <w:rPr>
          <w:rFonts w:ascii="Arial" w:hAnsi="Arial" w:cs="Arial"/>
          <w:sz w:val="20"/>
          <w:szCs w:val="20"/>
        </w:rPr>
      </w:pPr>
      <w:r>
        <w:rPr>
          <w:rFonts w:ascii="Arial" w:hAnsi="Arial" w:cs="Arial"/>
          <w:sz w:val="20"/>
          <w:szCs w:val="20"/>
        </w:rPr>
        <w:t>RO</w:t>
      </w:r>
      <w:r w:rsidR="002416B1" w:rsidRPr="0023597B">
        <w:rPr>
          <w:rFonts w:ascii="Arial" w:hAnsi="Arial" w:cs="Arial"/>
          <w:sz w:val="20"/>
          <w:szCs w:val="20"/>
        </w:rPr>
        <w:t xml:space="preserve"> sa pri podpise zmlúv riadi príslušnými procedúrami a termínmi tak, ako mu ukladá Systém riadenia ŠF a KF, čím môže dôjsť ku krátkodobým výkyvom v percentuálnom vyčíslení, najčastejšie spôsobeným časovým faktorom zazmluvňovania. </w:t>
      </w:r>
    </w:p>
    <w:p w:rsidR="002416B1" w:rsidRPr="0023597B" w:rsidRDefault="002416B1" w:rsidP="00507035">
      <w:pPr>
        <w:spacing w:before="120" w:after="120" w:line="360" w:lineRule="auto"/>
        <w:jc w:val="both"/>
        <w:rPr>
          <w:rFonts w:ascii="Arial" w:hAnsi="Arial" w:cs="Arial"/>
          <w:sz w:val="20"/>
          <w:szCs w:val="20"/>
        </w:rPr>
      </w:pPr>
      <w:r w:rsidRPr="0023597B">
        <w:rPr>
          <w:rFonts w:ascii="Arial" w:hAnsi="Arial" w:cs="Arial"/>
          <w:sz w:val="20"/>
          <w:szCs w:val="20"/>
        </w:rPr>
        <w:t>V súlade s vyššie uvedeným je regionálna vyváženosť zabezpečovaná taktiež aplikáciou opatrení na zvýšenie informovanosti žiadateľov a zlepšenie kvality predkladaných žiadostí o NFP zameraných na tie regióny, ktoré počtom predložených žiadostí, ich kvalitou alebo čerpaním zaostávajú v porovnaní so stanovenou indikatívnou alokáciou.</w:t>
      </w:r>
    </w:p>
    <w:p w:rsidR="00D314B3" w:rsidRDefault="00D314B3" w:rsidP="00D314B3">
      <w:pPr>
        <w:spacing w:before="120" w:line="360" w:lineRule="auto"/>
        <w:jc w:val="both"/>
        <w:rPr>
          <w:rFonts w:ascii="Arial" w:hAnsi="Arial" w:cs="Arial"/>
          <w:sz w:val="20"/>
          <w:szCs w:val="20"/>
        </w:rPr>
      </w:pPr>
      <w:r>
        <w:rPr>
          <w:rFonts w:ascii="Arial" w:hAnsi="Arial" w:cs="Arial"/>
          <w:sz w:val="20"/>
          <w:szCs w:val="20"/>
        </w:rPr>
        <w:t>Z</w:t>
      </w:r>
      <w:r w:rsidRPr="004B33AE">
        <w:rPr>
          <w:rFonts w:ascii="Arial" w:hAnsi="Arial" w:cs="Arial"/>
          <w:sz w:val="20"/>
          <w:szCs w:val="20"/>
        </w:rPr>
        <w:t> doterajších analýz vyplýva, že počet schválených a zazmluvnených žiadostí o NFP na úrovni jednotlivých regiónov závisí najmä od počtu predložených žiadostí a od ich kvality. V prípade odchýlky od indikatívnych regionálnych alokácií je teda možné pristúpiť k vykonaniu opatrení na zvýšenie informovanosti žiadateľov a zlepšenie kvality predkladaných žiadostí o NFP zameraných na tie regióny, ktoré počtom predložených žiadostí, ich kvalitou alebo čerpaním zaostávajú v porovnaní so stanovenou indikatívnou regionálnou alokáciou. K opatreniam tohto typu patria najmä semináre, školenia žiadateľov, workshopy –</w:t>
      </w:r>
      <w:r>
        <w:rPr>
          <w:rFonts w:ascii="Arial" w:hAnsi="Arial" w:cs="Arial"/>
          <w:sz w:val="20"/>
          <w:szCs w:val="20"/>
        </w:rPr>
        <w:t xml:space="preserve"> organizované</w:t>
      </w:r>
      <w:r w:rsidRPr="004B33AE">
        <w:rPr>
          <w:rFonts w:ascii="Arial" w:hAnsi="Arial" w:cs="Arial"/>
          <w:sz w:val="20"/>
          <w:szCs w:val="20"/>
        </w:rPr>
        <w:t xml:space="preserve"> v spolupráci s REPIS.</w:t>
      </w:r>
    </w:p>
    <w:p w:rsidR="00D314B3" w:rsidRPr="00550BDF" w:rsidRDefault="00D314B3" w:rsidP="00D314B3">
      <w:pPr>
        <w:spacing w:before="120" w:after="120" w:line="360" w:lineRule="auto"/>
        <w:jc w:val="both"/>
        <w:rPr>
          <w:rFonts w:ascii="Arial" w:hAnsi="Arial" w:cs="Arial"/>
          <w:b/>
          <w:sz w:val="20"/>
          <w:szCs w:val="20"/>
        </w:rPr>
      </w:pPr>
      <w:r w:rsidRPr="00550BDF">
        <w:rPr>
          <w:rFonts w:ascii="Arial" w:hAnsi="Arial" w:cs="Arial"/>
          <w:b/>
          <w:sz w:val="20"/>
          <w:szCs w:val="20"/>
        </w:rPr>
        <w:t>Záverečné zhrnutie:</w:t>
      </w:r>
    </w:p>
    <w:p w:rsidR="00D314B3" w:rsidRPr="00550BDF" w:rsidRDefault="00D314B3" w:rsidP="00D314B3">
      <w:pPr>
        <w:autoSpaceDE w:val="0"/>
        <w:autoSpaceDN w:val="0"/>
        <w:adjustRightInd w:val="0"/>
        <w:spacing w:before="120" w:line="360" w:lineRule="auto"/>
        <w:jc w:val="both"/>
        <w:rPr>
          <w:rFonts w:ascii="Arial" w:hAnsi="Arial" w:cs="Arial"/>
          <w:sz w:val="20"/>
          <w:szCs w:val="20"/>
        </w:rPr>
      </w:pPr>
      <w:r w:rsidRPr="00550BDF">
        <w:rPr>
          <w:rFonts w:ascii="Arial" w:hAnsi="Arial" w:cs="Arial"/>
          <w:sz w:val="20"/>
          <w:szCs w:val="20"/>
        </w:rPr>
        <w:t>Hoci predpokladaný vplyv uplatnenia indikatívnych regionálnych alokácií v procese implementácie OP ŽP nemožno posúdiť priamo, úroveň zazmluvnenia, čerpania alebo stav projektových indikátorov vypovedajú o nasledovných skutočnostiach:</w:t>
      </w:r>
    </w:p>
    <w:p w:rsidR="00D314B3" w:rsidRPr="00550BDF" w:rsidRDefault="00D314B3" w:rsidP="001540E7">
      <w:pPr>
        <w:pStyle w:val="Odsekzoznamu"/>
        <w:numPr>
          <w:ilvl w:val="0"/>
          <w:numId w:val="69"/>
        </w:numPr>
        <w:autoSpaceDE w:val="0"/>
        <w:autoSpaceDN w:val="0"/>
        <w:adjustRightInd w:val="0"/>
        <w:spacing w:before="120" w:after="0" w:line="360" w:lineRule="auto"/>
        <w:jc w:val="both"/>
        <w:rPr>
          <w:rFonts w:ascii="Arial" w:hAnsi="Arial" w:cs="Arial"/>
          <w:bCs/>
          <w:sz w:val="20"/>
          <w:szCs w:val="20"/>
        </w:rPr>
      </w:pPr>
      <w:r w:rsidRPr="00550BDF">
        <w:rPr>
          <w:rFonts w:ascii="Arial" w:hAnsi="Arial" w:cs="Arial"/>
          <w:sz w:val="20"/>
          <w:szCs w:val="20"/>
        </w:rPr>
        <w:t xml:space="preserve">Záujem a pripravenosť regiónov o jednotlivé oblasti OP ŽP podpory sa líši. Uvedený fakt je určitým determinantom úspešnosti jednotlivých regiónov.  </w:t>
      </w:r>
    </w:p>
    <w:p w:rsidR="00D314B3" w:rsidRPr="00550BDF" w:rsidRDefault="00D314B3" w:rsidP="001540E7">
      <w:pPr>
        <w:pStyle w:val="Odsekzoznamu"/>
        <w:numPr>
          <w:ilvl w:val="0"/>
          <w:numId w:val="69"/>
        </w:numPr>
        <w:autoSpaceDE w:val="0"/>
        <w:autoSpaceDN w:val="0"/>
        <w:adjustRightInd w:val="0"/>
        <w:spacing w:before="120" w:after="0" w:line="360" w:lineRule="auto"/>
        <w:jc w:val="both"/>
        <w:rPr>
          <w:rFonts w:ascii="Arial" w:hAnsi="Arial" w:cs="Arial"/>
          <w:bCs/>
          <w:sz w:val="20"/>
          <w:szCs w:val="20"/>
        </w:rPr>
      </w:pPr>
      <w:r w:rsidRPr="00550BDF">
        <w:rPr>
          <w:rFonts w:ascii="Arial" w:hAnsi="Arial" w:cs="Arial"/>
          <w:bCs/>
          <w:sz w:val="20"/>
          <w:szCs w:val="20"/>
        </w:rPr>
        <w:t xml:space="preserve">Procesy zazmluvňovania, realizácie projektov alebo čerpania finančných prostriedkov sú výrazne ovplyvňované samotnými prijímateľmi. Reálny výsledok resp. hodnota realizovaného projektu je pritom ovplyvnená výsledkom verejného obstarávania, zmenami projektu, externými faktormi vplývajúcimi na plnenie očakávaných hodnôt merateľných ukazovateľov projektu, projekty generujú čisté príjmy, dochádza k predčasným ukončeniam projektov, prijímatelia nedočerpajú celú zazmluvnenú sumu, niektoré v ŽoP deklarované výdavky sú neoprávnené, výsledkom konania prijímateľov sú nezrovnalosti. Tieto všetky faktory vplývajú na celkové poskytované finančné prostriedky na úrovni NUTS II. </w:t>
      </w:r>
    </w:p>
    <w:p w:rsidR="00D314B3" w:rsidRPr="00550BDF" w:rsidRDefault="00D314B3" w:rsidP="001540E7">
      <w:pPr>
        <w:pStyle w:val="Odsekzoznamu"/>
        <w:numPr>
          <w:ilvl w:val="0"/>
          <w:numId w:val="69"/>
        </w:numPr>
        <w:autoSpaceDE w:val="0"/>
        <w:autoSpaceDN w:val="0"/>
        <w:adjustRightInd w:val="0"/>
        <w:spacing w:before="120" w:after="0" w:line="360" w:lineRule="auto"/>
        <w:jc w:val="both"/>
        <w:rPr>
          <w:rFonts w:ascii="Arial" w:hAnsi="Arial" w:cs="Arial"/>
          <w:bCs/>
          <w:sz w:val="20"/>
          <w:szCs w:val="20"/>
        </w:rPr>
      </w:pPr>
      <w:r w:rsidRPr="00550BDF">
        <w:rPr>
          <w:rFonts w:ascii="Arial" w:hAnsi="Arial" w:cs="Arial"/>
          <w:bCs/>
          <w:sz w:val="20"/>
          <w:szCs w:val="20"/>
        </w:rPr>
        <w:t xml:space="preserve">Na základe absorpčnej kapacity (dopytu žiadateľov) je zrejmé, že jednotlivé regióny majú rôzne rozvojové priority, resp. rôzny počet predložených ŽoNFP vypovedá o rôznom stupni pripravenosti jednotlivých regiónov čerpať finančné prostriedky z OP ŽP. Z hľadiska celkového počtu žiadaného NFP je pomerne dominantný Prešovský kraj, nasledovaný Žilinským krajom.  </w:t>
      </w:r>
      <w:r w:rsidRPr="00550BDF">
        <w:rPr>
          <w:rFonts w:ascii="Arial" w:hAnsi="Arial" w:cs="Arial"/>
          <w:sz w:val="20"/>
          <w:szCs w:val="20"/>
        </w:rPr>
        <w:t xml:space="preserve">Vzhľadom na vysoký záujem žiadateľov o vyhlasované Výzvy na predkladanie ŽoNFP, ktoré v prevažnej väčšine prevyšuje disponibilnú alokáciu možno konštatovať, že dopyt po intervenciách podporovaných v rámci OP ŽP je vysoký.  </w:t>
      </w:r>
    </w:p>
    <w:p w:rsidR="00D314B3" w:rsidRPr="001542F8" w:rsidRDefault="00D314B3" w:rsidP="001540E7">
      <w:pPr>
        <w:pStyle w:val="Odsekzoznamu"/>
        <w:numPr>
          <w:ilvl w:val="0"/>
          <w:numId w:val="69"/>
        </w:numPr>
        <w:autoSpaceDE w:val="0"/>
        <w:autoSpaceDN w:val="0"/>
        <w:adjustRightInd w:val="0"/>
        <w:spacing w:before="120" w:after="0" w:line="360" w:lineRule="auto"/>
        <w:jc w:val="both"/>
        <w:rPr>
          <w:rFonts w:ascii="Arial" w:hAnsi="Arial" w:cs="Arial"/>
          <w:bCs/>
          <w:sz w:val="20"/>
          <w:szCs w:val="20"/>
        </w:rPr>
      </w:pPr>
      <w:r w:rsidRPr="001542F8">
        <w:rPr>
          <w:rFonts w:ascii="Arial" w:hAnsi="Arial" w:cs="Arial"/>
          <w:bCs/>
          <w:sz w:val="20"/>
          <w:szCs w:val="20"/>
        </w:rPr>
        <w:t xml:space="preserve">Vzhľadom k skutočnosti, že stav čerpania na úrovni jednotlivých regiónov nemá </w:t>
      </w:r>
      <w:r w:rsidR="00FF5D70" w:rsidRPr="001542F8">
        <w:rPr>
          <w:rFonts w:ascii="Arial" w:hAnsi="Arial" w:cs="Arial"/>
          <w:bCs/>
          <w:sz w:val="20"/>
          <w:szCs w:val="20"/>
        </w:rPr>
        <w:t xml:space="preserve">zásadný </w:t>
      </w:r>
      <w:r w:rsidRPr="001542F8">
        <w:rPr>
          <w:rFonts w:ascii="Arial" w:hAnsi="Arial" w:cs="Arial"/>
          <w:bCs/>
          <w:sz w:val="20"/>
          <w:szCs w:val="20"/>
        </w:rPr>
        <w:t xml:space="preserve">vplyv na dosahovanie cieľov OP ŽP, </w:t>
      </w:r>
      <w:r w:rsidR="00FF5D70" w:rsidRPr="001542F8">
        <w:rPr>
          <w:rFonts w:ascii="Arial" w:hAnsi="Arial" w:cs="Arial"/>
          <w:bCs/>
          <w:sz w:val="20"/>
          <w:szCs w:val="20"/>
        </w:rPr>
        <w:t xml:space="preserve">sú odchýlky od </w:t>
      </w:r>
      <w:r w:rsidRPr="001542F8">
        <w:rPr>
          <w:rFonts w:ascii="Arial" w:hAnsi="Arial" w:cs="Arial"/>
          <w:bCs/>
          <w:sz w:val="20"/>
          <w:szCs w:val="20"/>
        </w:rPr>
        <w:t xml:space="preserve">indikatívnych regionálnych alokácií </w:t>
      </w:r>
      <w:r w:rsidR="00FF5D70" w:rsidRPr="001542F8">
        <w:rPr>
          <w:rFonts w:ascii="Arial" w:hAnsi="Arial" w:cs="Arial"/>
          <w:bCs/>
          <w:sz w:val="20"/>
          <w:szCs w:val="20"/>
        </w:rPr>
        <w:t>vo vzťahu k stratégii OP ŽP nerelevantné</w:t>
      </w:r>
      <w:r w:rsidRPr="001542F8">
        <w:rPr>
          <w:rFonts w:ascii="Arial" w:hAnsi="Arial" w:cs="Arial"/>
          <w:bCs/>
          <w:sz w:val="20"/>
          <w:szCs w:val="20"/>
        </w:rPr>
        <w:t xml:space="preserve">. </w:t>
      </w:r>
    </w:p>
    <w:p w:rsidR="000A41E2" w:rsidRPr="00550BDF" w:rsidRDefault="000A41E2" w:rsidP="00507035">
      <w:pPr>
        <w:spacing w:before="120" w:after="120" w:line="360" w:lineRule="auto"/>
        <w:jc w:val="both"/>
        <w:rPr>
          <w:rFonts w:ascii="Arial" w:hAnsi="Arial" w:cs="Arial"/>
          <w:sz w:val="20"/>
          <w:szCs w:val="20"/>
        </w:rPr>
      </w:pPr>
    </w:p>
    <w:p w:rsidR="002416B1" w:rsidRPr="004B33AE" w:rsidRDefault="002416B1" w:rsidP="00507035">
      <w:pPr>
        <w:pStyle w:val="Nadpis3"/>
        <w:spacing w:before="120" w:after="120"/>
      </w:pPr>
      <w:bookmarkStart w:id="27" w:name="_Toc224632900"/>
      <w:bookmarkStart w:id="28" w:name="_Toc319573305"/>
      <w:r w:rsidRPr="004B33AE">
        <w:t xml:space="preserve">2.1.4 </w:t>
      </w:r>
      <w:r w:rsidRPr="003A15BA">
        <w:t>Finančná kontrola a</w:t>
      </w:r>
      <w:r w:rsidR="00DF6A16">
        <w:t> </w:t>
      </w:r>
      <w:r w:rsidRPr="003A15BA">
        <w:t>audit</w:t>
      </w:r>
      <w:bookmarkEnd w:id="27"/>
      <w:bookmarkEnd w:id="28"/>
    </w:p>
    <w:p w:rsidR="00A83AC2" w:rsidRPr="002E0775" w:rsidRDefault="00A83AC2" w:rsidP="00507035">
      <w:pPr>
        <w:spacing w:before="120" w:after="120" w:line="360" w:lineRule="auto"/>
        <w:jc w:val="both"/>
        <w:rPr>
          <w:rFonts w:ascii="Arial" w:hAnsi="Arial" w:cs="Arial"/>
          <w:sz w:val="20"/>
          <w:szCs w:val="20"/>
        </w:rPr>
      </w:pPr>
      <w:r w:rsidRPr="002E0775">
        <w:rPr>
          <w:rFonts w:ascii="Arial" w:hAnsi="Arial" w:cs="Arial"/>
          <w:color w:val="000000"/>
          <w:sz w:val="20"/>
          <w:szCs w:val="20"/>
        </w:rPr>
        <w:t>Úlohy Orgánu auditu (ďalej „OA“) zabezpečuje sekcia auditu a kontroly Ministerstva financií SR (ďalej „MF SR“) spolu so spolupracujúcimi orgánmi</w:t>
      </w:r>
      <w:r w:rsidRPr="002E0775">
        <w:rPr>
          <w:rStyle w:val="Odkaznapoznmkupodiarou"/>
          <w:rFonts w:ascii="Arial" w:hAnsi="Arial" w:cs="Arial"/>
          <w:sz w:val="20"/>
          <w:szCs w:val="20"/>
        </w:rPr>
        <w:footnoteReference w:id="5"/>
      </w:r>
      <w:r w:rsidRPr="002E0775">
        <w:rPr>
          <w:rFonts w:ascii="Arial" w:hAnsi="Arial" w:cs="Arial"/>
          <w:color w:val="000000"/>
          <w:sz w:val="20"/>
          <w:szCs w:val="20"/>
        </w:rPr>
        <w:t>. V zmysle stratégie auditu pre programové obdobie 2007 - 2013 pre programy štrukturálnej pomoci, schválenej Európskou komisiou v máji 2009, sa systémové audity a audity operácií podľa čl. 62 nariadenia Rady (ES) č. 1083/2006 vykonávajú ako vládny audit, ktorého základné prvky legislatívne upravuje zákon č. 502/2001 Z. z. o finančnej kontrole a vnútornom audite a o zmene a doplnení niektorých zákonov v znení neskorších predpisov.</w:t>
      </w:r>
    </w:p>
    <w:p w:rsidR="00A83AC2" w:rsidRPr="002E0775" w:rsidRDefault="00A83AC2" w:rsidP="00507035">
      <w:pPr>
        <w:spacing w:before="120" w:after="120" w:line="360" w:lineRule="auto"/>
        <w:rPr>
          <w:rFonts w:ascii="Arial" w:hAnsi="Arial" w:cs="Arial"/>
          <w:b/>
          <w:sz w:val="20"/>
          <w:szCs w:val="20"/>
        </w:rPr>
      </w:pPr>
      <w:r w:rsidRPr="002E0775">
        <w:rPr>
          <w:rFonts w:ascii="Arial" w:hAnsi="Arial" w:cs="Arial"/>
          <w:b/>
          <w:sz w:val="20"/>
          <w:szCs w:val="20"/>
        </w:rPr>
        <w:t>Systémové audity podľa článku 62 ods. 1 písm. a) nariadenia Rady (ES) č. 1083/2006</w:t>
      </w:r>
    </w:p>
    <w:p w:rsidR="00A83AC2" w:rsidRPr="002E0775" w:rsidRDefault="00A83AC2" w:rsidP="00507035">
      <w:pPr>
        <w:spacing w:before="120" w:after="120" w:line="360" w:lineRule="auto"/>
        <w:jc w:val="both"/>
        <w:rPr>
          <w:rFonts w:ascii="Arial" w:hAnsi="Arial" w:cs="Arial"/>
          <w:sz w:val="20"/>
          <w:szCs w:val="20"/>
        </w:rPr>
      </w:pPr>
      <w:r w:rsidRPr="002E0775">
        <w:rPr>
          <w:rFonts w:ascii="Arial" w:hAnsi="Arial" w:cs="Arial"/>
          <w:sz w:val="20"/>
          <w:szCs w:val="20"/>
        </w:rPr>
        <w:t xml:space="preserve">MFSR v spolupráci s MŽP SR v období </w:t>
      </w:r>
      <w:r w:rsidRPr="002E0775">
        <w:rPr>
          <w:rFonts w:ascii="Arial" w:hAnsi="Arial" w:cs="Arial"/>
          <w:color w:val="000000"/>
          <w:sz w:val="20"/>
          <w:szCs w:val="20"/>
        </w:rPr>
        <w:t>II. polroka 2011 -  I. polroka 2012</w:t>
      </w:r>
      <w:r w:rsidRPr="002E0775">
        <w:rPr>
          <w:rFonts w:ascii="Arial" w:hAnsi="Arial" w:cs="Arial"/>
          <w:sz w:val="20"/>
          <w:szCs w:val="20"/>
        </w:rPr>
        <w:t xml:space="preserve"> vykonali systémový audit </w:t>
      </w:r>
      <w:r w:rsidRPr="00F207BC">
        <w:rPr>
          <w:rFonts w:ascii="Arial" w:hAnsi="Arial" w:cs="Arial"/>
          <w:b/>
          <w:sz w:val="20"/>
          <w:szCs w:val="20"/>
        </w:rPr>
        <w:t>č.</w:t>
      </w:r>
      <w:r w:rsidR="00F207BC" w:rsidRPr="00F207BC">
        <w:rPr>
          <w:rFonts w:ascii="Arial" w:hAnsi="Arial" w:cs="Arial"/>
          <w:b/>
          <w:sz w:val="20"/>
          <w:szCs w:val="20"/>
        </w:rPr>
        <w:t> </w:t>
      </w:r>
      <w:r w:rsidRPr="00F207BC">
        <w:rPr>
          <w:rFonts w:ascii="Arial" w:hAnsi="Arial" w:cs="Arial"/>
          <w:b/>
          <w:sz w:val="20"/>
          <w:szCs w:val="20"/>
        </w:rPr>
        <w:t>A</w:t>
      </w:r>
      <w:r w:rsidR="00F207BC" w:rsidRPr="00F207BC">
        <w:rPr>
          <w:rFonts w:ascii="Arial" w:hAnsi="Arial" w:cs="Arial"/>
          <w:b/>
          <w:sz w:val="20"/>
          <w:szCs w:val="20"/>
        </w:rPr>
        <w:t xml:space="preserve"> </w:t>
      </w:r>
      <w:r w:rsidRPr="00F207BC">
        <w:rPr>
          <w:rFonts w:ascii="Arial" w:hAnsi="Arial" w:cs="Arial"/>
          <w:b/>
          <w:sz w:val="20"/>
          <w:szCs w:val="20"/>
        </w:rPr>
        <w:t>374,</w:t>
      </w:r>
      <w:r w:rsidRPr="002E0775">
        <w:rPr>
          <w:rFonts w:ascii="Arial" w:hAnsi="Arial" w:cs="Arial"/>
          <w:sz w:val="20"/>
          <w:szCs w:val="20"/>
        </w:rPr>
        <w:t xml:space="preserve"> ktorého hlavným cieľom bolo získanie uistenia o účinnosti riadiaceho a kontrolného systému Operačného programu Životné prostredie podľa čl. 62 ods. 1 písm. a) nariadenia Rady (ES) č. 1083/2006.</w:t>
      </w:r>
    </w:p>
    <w:p w:rsidR="00A83AC2" w:rsidRPr="002E0775" w:rsidRDefault="00A83AC2" w:rsidP="00507035">
      <w:pPr>
        <w:spacing w:before="120" w:after="120" w:line="360" w:lineRule="auto"/>
        <w:jc w:val="both"/>
        <w:rPr>
          <w:rFonts w:ascii="Arial" w:hAnsi="Arial" w:cs="Arial"/>
          <w:sz w:val="20"/>
          <w:szCs w:val="20"/>
        </w:rPr>
      </w:pPr>
      <w:r w:rsidRPr="002E0775">
        <w:rPr>
          <w:rFonts w:ascii="Arial" w:hAnsi="Arial" w:cs="Arial"/>
          <w:sz w:val="20"/>
          <w:szCs w:val="20"/>
        </w:rPr>
        <w:t>Na základe výsledkov systémového auditu boli identifikované nasledovné najzávažnejšie nedostatky:</w:t>
      </w:r>
    </w:p>
    <w:p w:rsidR="00A83AC2" w:rsidRPr="002E0775" w:rsidRDefault="00A83AC2" w:rsidP="001540E7">
      <w:pPr>
        <w:numPr>
          <w:ilvl w:val="0"/>
          <w:numId w:val="60"/>
        </w:numPr>
        <w:tabs>
          <w:tab w:val="clear" w:pos="360"/>
          <w:tab w:val="num" w:pos="284"/>
        </w:tabs>
        <w:spacing w:before="120" w:after="120" w:line="360" w:lineRule="auto"/>
        <w:ind w:left="284" w:hanging="142"/>
        <w:jc w:val="both"/>
        <w:rPr>
          <w:rFonts w:ascii="Arial" w:eastAsia="Calibri" w:hAnsi="Arial" w:cs="Arial"/>
          <w:sz w:val="20"/>
          <w:szCs w:val="20"/>
          <w:lang w:eastAsia="en-US"/>
        </w:rPr>
      </w:pPr>
      <w:r w:rsidRPr="002E0775">
        <w:rPr>
          <w:rFonts w:ascii="Arial" w:hAnsi="Arial" w:cs="Arial"/>
          <w:bCs/>
          <w:snapToGrid w:val="0"/>
          <w:sz w:val="20"/>
          <w:szCs w:val="20"/>
        </w:rPr>
        <w:t>nedostatočná a nedôsledná administratívna kontrola procesu VO zo strany RO, tým že RO schválil dodatok zápisnice s nesprávnymi finančnými údajmi od prijímateľa;</w:t>
      </w:r>
    </w:p>
    <w:p w:rsidR="00A83AC2" w:rsidRPr="002E0775" w:rsidRDefault="00A83AC2" w:rsidP="001540E7">
      <w:pPr>
        <w:numPr>
          <w:ilvl w:val="0"/>
          <w:numId w:val="60"/>
        </w:numPr>
        <w:tabs>
          <w:tab w:val="clear" w:pos="360"/>
          <w:tab w:val="num" w:pos="284"/>
        </w:tabs>
        <w:spacing w:before="120" w:after="120" w:line="360" w:lineRule="auto"/>
        <w:ind w:left="284" w:hanging="142"/>
        <w:jc w:val="both"/>
        <w:rPr>
          <w:rFonts w:ascii="Arial" w:hAnsi="Arial" w:cs="Arial"/>
          <w:bCs/>
          <w:snapToGrid w:val="0"/>
          <w:sz w:val="20"/>
          <w:szCs w:val="20"/>
        </w:rPr>
      </w:pPr>
      <w:r w:rsidRPr="002E0775">
        <w:rPr>
          <w:rFonts w:ascii="Arial" w:hAnsi="Arial" w:cs="Arial"/>
          <w:bCs/>
          <w:snapToGrid w:val="0"/>
          <w:sz w:val="20"/>
          <w:szCs w:val="20"/>
        </w:rPr>
        <w:t xml:space="preserve">nedôsledné vykonanie procesu kontroly VO tým, že RO si nevyžiadal doklad o preukázaní zloženia zábezpeky víťazným uchádzačom. </w:t>
      </w:r>
    </w:p>
    <w:p w:rsidR="00A83AC2" w:rsidRPr="002E0775" w:rsidRDefault="00A83AC2" w:rsidP="00507035">
      <w:pPr>
        <w:pStyle w:val="Zarkazkladnhotextu"/>
        <w:widowControl w:val="0"/>
        <w:tabs>
          <w:tab w:val="left" w:pos="360"/>
        </w:tabs>
        <w:spacing w:before="120" w:line="360" w:lineRule="auto"/>
        <w:jc w:val="both"/>
        <w:rPr>
          <w:rFonts w:ascii="Arial" w:hAnsi="Arial" w:cs="Arial"/>
          <w:sz w:val="20"/>
          <w:szCs w:val="20"/>
          <w:u w:val="single"/>
        </w:rPr>
      </w:pPr>
      <w:r w:rsidRPr="002E0775">
        <w:rPr>
          <w:rFonts w:ascii="Arial" w:hAnsi="Arial" w:cs="Arial"/>
          <w:bCs/>
          <w:snapToGrid w:val="0"/>
          <w:sz w:val="20"/>
          <w:szCs w:val="20"/>
          <w:u w:val="single"/>
        </w:rPr>
        <w:t>nesystémové</w:t>
      </w:r>
      <w:r w:rsidRPr="002E0775">
        <w:rPr>
          <w:rFonts w:ascii="Arial" w:hAnsi="Arial" w:cs="Arial"/>
          <w:sz w:val="20"/>
          <w:szCs w:val="20"/>
          <w:u w:val="single"/>
        </w:rPr>
        <w:t xml:space="preserve"> nedostatky (finančné):</w:t>
      </w:r>
    </w:p>
    <w:p w:rsidR="00A83AC2" w:rsidRPr="002E0775" w:rsidRDefault="00A83AC2" w:rsidP="001540E7">
      <w:pPr>
        <w:numPr>
          <w:ilvl w:val="0"/>
          <w:numId w:val="60"/>
        </w:numPr>
        <w:tabs>
          <w:tab w:val="clear" w:pos="360"/>
          <w:tab w:val="num" w:pos="284"/>
        </w:tabs>
        <w:spacing w:before="120" w:after="120" w:line="360" w:lineRule="auto"/>
        <w:ind w:left="284" w:hanging="142"/>
        <w:jc w:val="both"/>
        <w:rPr>
          <w:rFonts w:ascii="Arial" w:eastAsia="Calibri" w:hAnsi="Arial" w:cs="Arial"/>
          <w:sz w:val="20"/>
          <w:szCs w:val="20"/>
          <w:u w:val="single"/>
          <w:lang w:eastAsia="en-US"/>
        </w:rPr>
      </w:pPr>
      <w:r w:rsidRPr="002E0775">
        <w:rPr>
          <w:rFonts w:ascii="Arial" w:hAnsi="Arial" w:cs="Arial"/>
          <w:bCs/>
          <w:snapToGrid w:val="0"/>
          <w:sz w:val="20"/>
          <w:szCs w:val="20"/>
        </w:rPr>
        <w:t>schválenie</w:t>
      </w:r>
      <w:r w:rsidRPr="002E0775">
        <w:rPr>
          <w:rFonts w:ascii="Arial" w:eastAsia="Calibri" w:hAnsi="Arial" w:cs="Arial"/>
          <w:sz w:val="20"/>
          <w:szCs w:val="20"/>
          <w:lang w:eastAsia="en-US"/>
        </w:rPr>
        <w:t xml:space="preserve"> a vyplatenie prostriedkov prijímateľovi nad rámec stanovených podmienok zmluvy o dielo (porušenie finančnej disciplíny v zmysle § 31 ods. b) zákona č. 523/2004 Z. z. o rozpočtových pravidlách verejnej správy a o zmene a doplnení niektorých zákonov);</w:t>
      </w:r>
    </w:p>
    <w:p w:rsidR="00A83AC2" w:rsidRPr="002E0775" w:rsidRDefault="00A83AC2" w:rsidP="00507035">
      <w:pPr>
        <w:pStyle w:val="Zarkazkladnhotextu"/>
        <w:widowControl w:val="0"/>
        <w:tabs>
          <w:tab w:val="left" w:pos="360"/>
        </w:tabs>
        <w:spacing w:before="120" w:line="360" w:lineRule="auto"/>
        <w:jc w:val="both"/>
        <w:rPr>
          <w:rFonts w:ascii="Arial" w:hAnsi="Arial" w:cs="Arial"/>
          <w:sz w:val="20"/>
          <w:szCs w:val="20"/>
          <w:u w:val="single"/>
        </w:rPr>
      </w:pPr>
      <w:r w:rsidRPr="002E0775">
        <w:rPr>
          <w:rFonts w:ascii="Arial" w:hAnsi="Arial" w:cs="Arial"/>
          <w:bCs/>
          <w:snapToGrid w:val="0"/>
          <w:sz w:val="20"/>
          <w:szCs w:val="20"/>
          <w:u w:val="single"/>
        </w:rPr>
        <w:t>systémové</w:t>
      </w:r>
      <w:r w:rsidRPr="002E0775">
        <w:rPr>
          <w:rFonts w:ascii="Arial" w:hAnsi="Arial" w:cs="Arial"/>
          <w:sz w:val="20"/>
          <w:szCs w:val="20"/>
          <w:u w:val="single"/>
        </w:rPr>
        <w:t xml:space="preserve"> nedostatky:</w:t>
      </w:r>
    </w:p>
    <w:p w:rsidR="00A83AC2" w:rsidRPr="002E0775" w:rsidRDefault="00A83AC2" w:rsidP="001540E7">
      <w:pPr>
        <w:numPr>
          <w:ilvl w:val="0"/>
          <w:numId w:val="60"/>
        </w:numPr>
        <w:tabs>
          <w:tab w:val="clear" w:pos="360"/>
          <w:tab w:val="num" w:pos="284"/>
        </w:tabs>
        <w:spacing w:before="120" w:after="120" w:line="360" w:lineRule="auto"/>
        <w:ind w:left="284" w:hanging="142"/>
        <w:jc w:val="both"/>
        <w:rPr>
          <w:rFonts w:ascii="Arial" w:eastAsia="Calibri" w:hAnsi="Arial" w:cs="Arial"/>
          <w:sz w:val="20"/>
          <w:szCs w:val="20"/>
          <w:lang w:eastAsia="en-US"/>
        </w:rPr>
      </w:pPr>
      <w:r w:rsidRPr="002E0775">
        <w:rPr>
          <w:rFonts w:ascii="Arial" w:hAnsi="Arial" w:cs="Arial"/>
          <w:bCs/>
          <w:snapToGrid w:val="0"/>
          <w:sz w:val="20"/>
          <w:szCs w:val="20"/>
        </w:rPr>
        <w:t>nedostatočná a nedôsledná administratívna kontrola procesu VO zo strany RO</w:t>
      </w:r>
      <w:r w:rsidRPr="002E0775">
        <w:rPr>
          <w:rFonts w:ascii="Arial" w:eastAsia="Calibri" w:hAnsi="Arial" w:cs="Arial"/>
          <w:sz w:val="20"/>
          <w:szCs w:val="20"/>
          <w:lang w:eastAsia="en-US"/>
        </w:rPr>
        <w:t>, napríklad prijímateľ nepredložil na schválenie RO návrh zmluvy s úspešným uchádzačom,  nedodržanie lehoty na zaslanie zmluvy s úspešným uchádzačom po jej podpise RO, uzavretie dodatku bez odsúhlasenia RO.</w:t>
      </w:r>
    </w:p>
    <w:p w:rsidR="00A83AC2" w:rsidRPr="002E0775" w:rsidRDefault="00A83AC2" w:rsidP="00507035">
      <w:pPr>
        <w:spacing w:before="120" w:after="120" w:line="360" w:lineRule="auto"/>
        <w:jc w:val="both"/>
        <w:rPr>
          <w:rFonts w:ascii="Arial" w:hAnsi="Arial" w:cs="Arial"/>
          <w:sz w:val="20"/>
          <w:szCs w:val="20"/>
        </w:rPr>
      </w:pPr>
      <w:r w:rsidRPr="002E0775">
        <w:rPr>
          <w:rFonts w:ascii="Arial" w:hAnsi="Arial" w:cs="Arial"/>
          <w:sz w:val="20"/>
          <w:szCs w:val="20"/>
        </w:rPr>
        <w:t>Odstránenie nedostatkov a splnenie prijatých opatrení na nápravu nedostatkov a zohľadnenie odporúčaní zo systémového auditu č. A</w:t>
      </w:r>
      <w:r w:rsidR="00F207BC">
        <w:rPr>
          <w:rFonts w:ascii="Arial" w:hAnsi="Arial" w:cs="Arial"/>
          <w:sz w:val="20"/>
          <w:szCs w:val="20"/>
        </w:rPr>
        <w:t xml:space="preserve"> </w:t>
      </w:r>
      <w:r w:rsidRPr="002E0775">
        <w:rPr>
          <w:rFonts w:ascii="Arial" w:hAnsi="Arial" w:cs="Arial"/>
          <w:sz w:val="20"/>
          <w:szCs w:val="20"/>
        </w:rPr>
        <w:t>374 bolo predmetom overenia v rámci systémového auditu č. A458 vykonávaného v 2. polroku 2012, ktorý k 31. 12. 2012 ešte nebol ukončený.</w:t>
      </w:r>
    </w:p>
    <w:p w:rsidR="00A83AC2" w:rsidRPr="002E0775" w:rsidRDefault="00A83AC2" w:rsidP="00507035">
      <w:pPr>
        <w:spacing w:before="120" w:after="120" w:line="360" w:lineRule="auto"/>
        <w:jc w:val="both"/>
        <w:rPr>
          <w:rFonts w:ascii="Arial" w:hAnsi="Arial" w:cs="Arial"/>
          <w:sz w:val="20"/>
          <w:szCs w:val="20"/>
        </w:rPr>
      </w:pPr>
      <w:r w:rsidRPr="002E0775">
        <w:rPr>
          <w:rFonts w:ascii="Arial" w:hAnsi="Arial" w:cs="Arial"/>
          <w:sz w:val="20"/>
          <w:szCs w:val="20"/>
        </w:rPr>
        <w:t>MF SR v spolupráci s MŽP SR, SFK KE a SFK BA začali v II. polroku 2012 výkon vládneho auditu č.</w:t>
      </w:r>
      <w:r w:rsidR="00F207BC">
        <w:rPr>
          <w:rFonts w:ascii="Arial" w:hAnsi="Arial" w:cs="Arial"/>
          <w:sz w:val="20"/>
          <w:szCs w:val="20"/>
        </w:rPr>
        <w:t> </w:t>
      </w:r>
      <w:r w:rsidRPr="002E0775">
        <w:rPr>
          <w:rFonts w:ascii="Arial" w:hAnsi="Arial" w:cs="Arial"/>
          <w:b/>
          <w:sz w:val="20"/>
          <w:szCs w:val="20"/>
        </w:rPr>
        <w:t>A458</w:t>
      </w:r>
      <w:r w:rsidRPr="002E0775">
        <w:rPr>
          <w:rFonts w:ascii="Arial" w:hAnsi="Arial" w:cs="Arial"/>
          <w:sz w:val="20"/>
          <w:szCs w:val="20"/>
        </w:rPr>
        <w:t>, ktorého predmetom bolo získanie uistenia o účinnosti riadiaceho a kontrolného systému OP ŽP. Vládny audit nebol k 31. 12. 2012 ukončený. Výsledky z vládneho auditu A</w:t>
      </w:r>
      <w:r w:rsidR="00F207BC">
        <w:rPr>
          <w:rFonts w:ascii="Arial" w:hAnsi="Arial" w:cs="Arial"/>
          <w:sz w:val="20"/>
          <w:szCs w:val="20"/>
        </w:rPr>
        <w:t xml:space="preserve"> </w:t>
      </w:r>
      <w:r w:rsidRPr="002E0775">
        <w:rPr>
          <w:rFonts w:ascii="Arial" w:hAnsi="Arial" w:cs="Arial"/>
          <w:sz w:val="20"/>
          <w:szCs w:val="20"/>
        </w:rPr>
        <w:t>458 budú uvedené v nasledujúcej výročnej správe.</w:t>
      </w:r>
    </w:p>
    <w:p w:rsidR="00A83AC2" w:rsidRPr="002E0775" w:rsidRDefault="00A83AC2" w:rsidP="00507035">
      <w:pPr>
        <w:spacing w:before="120" w:after="120" w:line="360" w:lineRule="auto"/>
        <w:jc w:val="both"/>
        <w:rPr>
          <w:rFonts w:ascii="Arial" w:hAnsi="Arial" w:cs="Arial"/>
          <w:b/>
          <w:sz w:val="20"/>
          <w:szCs w:val="20"/>
        </w:rPr>
      </w:pPr>
      <w:r w:rsidRPr="002E0775">
        <w:rPr>
          <w:rFonts w:ascii="Arial" w:hAnsi="Arial" w:cs="Arial"/>
          <w:b/>
          <w:sz w:val="20"/>
          <w:szCs w:val="20"/>
        </w:rPr>
        <w:t>Audity operácií podľa článku 62 ods. 1 písm. b) nariadenia Rady (ES) č. 1083/2006</w:t>
      </w:r>
    </w:p>
    <w:p w:rsidR="00A83AC2" w:rsidRPr="002E0775" w:rsidRDefault="00A83AC2" w:rsidP="00507035">
      <w:pPr>
        <w:spacing w:before="120" w:after="120" w:line="360" w:lineRule="auto"/>
        <w:jc w:val="both"/>
        <w:rPr>
          <w:rFonts w:ascii="Arial" w:hAnsi="Arial" w:cs="Arial"/>
          <w:color w:val="000000"/>
          <w:sz w:val="20"/>
          <w:szCs w:val="20"/>
        </w:rPr>
      </w:pPr>
      <w:r w:rsidRPr="002E0775">
        <w:rPr>
          <w:rFonts w:ascii="Arial" w:hAnsi="Arial" w:cs="Arial"/>
          <w:color w:val="000000"/>
          <w:sz w:val="20"/>
          <w:szCs w:val="20"/>
        </w:rPr>
        <w:t xml:space="preserve">V súlade so stratégiou auditu pre rok 2012 orgán auditu zabezpečil výkon auditov operácií v roku 2012, pričom úroveň spoľahlivosti systému pre výber vzorky bola určená na základe výroku o účinnosti riadiaceho a kontrolného systému, ktorý bol poskytnutý na základe záverov systémového auditu vykonaného v období II. polroka 2011 -  I. polroka 2012, a teda korešpondujúcej úrovni spoľahlivosti systému operačného programu (ďalej „OP“) – 80 %, t.j. systém funguje, je nutné vykonať podstatné zlepšenia. </w:t>
      </w:r>
    </w:p>
    <w:p w:rsidR="00A83AC2" w:rsidRPr="002E0775" w:rsidRDefault="00A83AC2" w:rsidP="00507035">
      <w:pPr>
        <w:spacing w:before="120" w:after="120" w:line="360" w:lineRule="auto"/>
        <w:jc w:val="both"/>
        <w:rPr>
          <w:rFonts w:ascii="Arial" w:hAnsi="Arial" w:cs="Arial"/>
          <w:bCs/>
          <w:sz w:val="20"/>
          <w:szCs w:val="20"/>
        </w:rPr>
      </w:pPr>
      <w:r w:rsidRPr="002E0775">
        <w:rPr>
          <w:rFonts w:ascii="Arial" w:hAnsi="Arial" w:cs="Arial"/>
          <w:sz w:val="20"/>
          <w:szCs w:val="20"/>
        </w:rPr>
        <w:t xml:space="preserve">V roku 2012 boli vykonané 2 vládne audity, ktorých hlavným cieľom bolo </w:t>
      </w:r>
      <w:r w:rsidRPr="002E0775">
        <w:rPr>
          <w:rFonts w:ascii="Arial" w:hAnsi="Arial" w:cs="Arial"/>
          <w:bCs/>
          <w:sz w:val="20"/>
          <w:szCs w:val="20"/>
        </w:rPr>
        <w:t xml:space="preserve">získanie uistenia o oprávnenosti výdavkov na vybranej vzorke operácií </w:t>
      </w:r>
      <w:r w:rsidR="00F207BC">
        <w:rPr>
          <w:rFonts w:ascii="Arial" w:hAnsi="Arial" w:cs="Arial"/>
          <w:sz w:val="20"/>
          <w:szCs w:val="20"/>
        </w:rPr>
        <w:t xml:space="preserve">OP ŽP </w:t>
      </w:r>
      <w:r w:rsidRPr="002E0775">
        <w:rPr>
          <w:rFonts w:ascii="Arial" w:hAnsi="Arial" w:cs="Arial"/>
          <w:bCs/>
          <w:sz w:val="20"/>
          <w:szCs w:val="20"/>
        </w:rPr>
        <w:t>v súlade s čl. 62 ods. 1 písm. b) nariadenia Rady (ES) č. 1083/2006:</w:t>
      </w:r>
    </w:p>
    <w:p w:rsidR="00A83AC2" w:rsidRPr="002E0775" w:rsidRDefault="00A83AC2" w:rsidP="001540E7">
      <w:pPr>
        <w:numPr>
          <w:ilvl w:val="0"/>
          <w:numId w:val="61"/>
        </w:numPr>
        <w:spacing w:before="120" w:after="120" w:line="360" w:lineRule="auto"/>
        <w:jc w:val="both"/>
        <w:rPr>
          <w:rFonts w:ascii="Arial" w:hAnsi="Arial" w:cs="Arial"/>
          <w:sz w:val="20"/>
          <w:szCs w:val="20"/>
        </w:rPr>
      </w:pPr>
      <w:r w:rsidRPr="002E0775">
        <w:rPr>
          <w:rFonts w:ascii="Arial" w:hAnsi="Arial" w:cs="Arial"/>
          <w:bCs/>
          <w:sz w:val="20"/>
          <w:szCs w:val="20"/>
        </w:rPr>
        <w:t>A</w:t>
      </w:r>
      <w:r w:rsidR="00F207BC">
        <w:rPr>
          <w:rFonts w:ascii="Arial" w:hAnsi="Arial" w:cs="Arial"/>
          <w:bCs/>
          <w:sz w:val="20"/>
          <w:szCs w:val="20"/>
        </w:rPr>
        <w:t xml:space="preserve"> </w:t>
      </w:r>
      <w:r w:rsidRPr="002E0775">
        <w:rPr>
          <w:rFonts w:ascii="Arial" w:hAnsi="Arial" w:cs="Arial"/>
          <w:bCs/>
          <w:sz w:val="20"/>
          <w:szCs w:val="20"/>
        </w:rPr>
        <w:t xml:space="preserve">440 (vykonaný </w:t>
      </w:r>
      <w:r w:rsidRPr="002E0775">
        <w:rPr>
          <w:rFonts w:ascii="Arial" w:hAnsi="Arial" w:cs="Arial"/>
          <w:sz w:val="20"/>
          <w:szCs w:val="20"/>
        </w:rPr>
        <w:t>MF SR, SFK BA, SFK KE, SFK ZV),</w:t>
      </w:r>
    </w:p>
    <w:p w:rsidR="00A83AC2" w:rsidRPr="002E0775" w:rsidRDefault="00A83AC2" w:rsidP="001540E7">
      <w:pPr>
        <w:pStyle w:val="Zarkazkladnhotextu"/>
        <w:widowControl w:val="0"/>
        <w:numPr>
          <w:ilvl w:val="0"/>
          <w:numId w:val="61"/>
        </w:numPr>
        <w:spacing w:before="120" w:line="360" w:lineRule="auto"/>
        <w:jc w:val="both"/>
        <w:rPr>
          <w:rFonts w:ascii="Arial" w:hAnsi="Arial" w:cs="Arial"/>
          <w:bCs/>
          <w:snapToGrid w:val="0"/>
          <w:sz w:val="20"/>
          <w:szCs w:val="20"/>
        </w:rPr>
      </w:pPr>
      <w:r w:rsidRPr="002E0775">
        <w:rPr>
          <w:rFonts w:ascii="Arial" w:hAnsi="Arial" w:cs="Arial"/>
          <w:sz w:val="20"/>
          <w:szCs w:val="20"/>
        </w:rPr>
        <w:t>A</w:t>
      </w:r>
      <w:r w:rsidR="00F207BC">
        <w:rPr>
          <w:rFonts w:ascii="Arial" w:hAnsi="Arial" w:cs="Arial"/>
          <w:sz w:val="20"/>
          <w:szCs w:val="20"/>
        </w:rPr>
        <w:t xml:space="preserve"> </w:t>
      </w:r>
      <w:r w:rsidRPr="002E0775">
        <w:rPr>
          <w:rFonts w:ascii="Arial" w:hAnsi="Arial" w:cs="Arial"/>
          <w:sz w:val="20"/>
          <w:szCs w:val="20"/>
        </w:rPr>
        <w:t>457 (vykonaný KPMG Slovensko, spol. s r. o.).</w:t>
      </w:r>
    </w:p>
    <w:p w:rsidR="00A83AC2" w:rsidRPr="002E0775" w:rsidRDefault="00A83AC2" w:rsidP="00507035">
      <w:pPr>
        <w:spacing w:before="120" w:after="120" w:line="360" w:lineRule="auto"/>
        <w:jc w:val="both"/>
        <w:rPr>
          <w:rFonts w:ascii="Arial" w:hAnsi="Arial" w:cs="Arial"/>
          <w:sz w:val="20"/>
          <w:szCs w:val="20"/>
        </w:rPr>
      </w:pPr>
      <w:r w:rsidRPr="002E0775">
        <w:rPr>
          <w:rFonts w:ascii="Arial" w:hAnsi="Arial" w:cs="Arial"/>
          <w:bCs/>
          <w:snapToGrid w:val="0"/>
          <w:sz w:val="20"/>
          <w:szCs w:val="20"/>
        </w:rPr>
        <w:t xml:space="preserve">V rámci </w:t>
      </w:r>
      <w:r w:rsidRPr="002E0775">
        <w:rPr>
          <w:rFonts w:ascii="Arial" w:hAnsi="Arial" w:cs="Arial"/>
          <w:sz w:val="20"/>
          <w:szCs w:val="20"/>
        </w:rPr>
        <w:t xml:space="preserve">auditu operácií </w:t>
      </w:r>
      <w:r w:rsidRPr="002E0775">
        <w:rPr>
          <w:rFonts w:ascii="Arial" w:hAnsi="Arial" w:cs="Arial"/>
          <w:b/>
          <w:sz w:val="20"/>
          <w:szCs w:val="20"/>
        </w:rPr>
        <w:t>A</w:t>
      </w:r>
      <w:r w:rsidR="00F207BC">
        <w:rPr>
          <w:rFonts w:ascii="Arial" w:hAnsi="Arial" w:cs="Arial"/>
          <w:b/>
          <w:sz w:val="20"/>
          <w:szCs w:val="20"/>
        </w:rPr>
        <w:t xml:space="preserve"> </w:t>
      </w:r>
      <w:r w:rsidRPr="002E0775">
        <w:rPr>
          <w:rFonts w:ascii="Arial" w:hAnsi="Arial" w:cs="Arial"/>
          <w:b/>
          <w:sz w:val="20"/>
          <w:szCs w:val="20"/>
        </w:rPr>
        <w:t>440</w:t>
      </w:r>
      <w:r w:rsidRPr="002E0775">
        <w:rPr>
          <w:rFonts w:ascii="Arial" w:hAnsi="Arial" w:cs="Arial"/>
          <w:sz w:val="20"/>
          <w:szCs w:val="20"/>
        </w:rPr>
        <w:t>, ktorého predmetom overenia bolo 22 žiadostí o platbu (ďalej „ŽoP“), boli zistené nasledovné najzávažnejšie nedostatky:</w:t>
      </w:r>
    </w:p>
    <w:p w:rsidR="00A83AC2" w:rsidRPr="002E0775" w:rsidRDefault="00A83AC2" w:rsidP="001540E7">
      <w:pPr>
        <w:pStyle w:val="Zarkazkladnhotextu"/>
        <w:widowControl w:val="0"/>
        <w:numPr>
          <w:ilvl w:val="0"/>
          <w:numId w:val="60"/>
        </w:numPr>
        <w:spacing w:before="120" w:line="360" w:lineRule="auto"/>
        <w:jc w:val="both"/>
        <w:rPr>
          <w:rFonts w:ascii="Arial" w:hAnsi="Arial" w:cs="Arial"/>
          <w:bCs/>
          <w:snapToGrid w:val="0"/>
          <w:sz w:val="20"/>
          <w:szCs w:val="20"/>
        </w:rPr>
      </w:pPr>
      <w:r w:rsidRPr="002E0775">
        <w:rPr>
          <w:rFonts w:ascii="Arial" w:hAnsi="Arial" w:cs="Arial"/>
          <w:bCs/>
          <w:snapToGrid w:val="0"/>
          <w:sz w:val="20"/>
          <w:szCs w:val="20"/>
          <w:u w:val="single"/>
        </w:rPr>
        <w:t>nedostatky týkajúce sa VO, pri ktorých bola uplatnená paušálna oprava 7,3</w:t>
      </w:r>
      <w:r w:rsidR="00F207BC">
        <w:rPr>
          <w:rFonts w:ascii="Arial" w:hAnsi="Arial" w:cs="Arial"/>
          <w:bCs/>
          <w:snapToGrid w:val="0"/>
          <w:sz w:val="20"/>
          <w:szCs w:val="20"/>
          <w:u w:val="single"/>
        </w:rPr>
        <w:t xml:space="preserve">0 </w:t>
      </w:r>
      <w:r w:rsidRPr="002E0775">
        <w:rPr>
          <w:rFonts w:ascii="Arial" w:hAnsi="Arial" w:cs="Arial"/>
          <w:bCs/>
          <w:snapToGrid w:val="0"/>
          <w:sz w:val="20"/>
          <w:szCs w:val="20"/>
          <w:u w:val="single"/>
        </w:rPr>
        <w:t>%</w:t>
      </w:r>
      <w:r w:rsidRPr="002E0775">
        <w:rPr>
          <w:rFonts w:ascii="Arial" w:hAnsi="Arial" w:cs="Arial"/>
          <w:b/>
          <w:bCs/>
          <w:snapToGrid w:val="0"/>
          <w:sz w:val="20"/>
          <w:szCs w:val="20"/>
          <w:u w:val="single"/>
        </w:rPr>
        <w:t xml:space="preserve"> </w:t>
      </w:r>
      <w:r w:rsidRPr="002E0775">
        <w:rPr>
          <w:rFonts w:ascii="Arial" w:hAnsi="Arial" w:cs="Arial"/>
          <w:bCs/>
          <w:snapToGrid w:val="0"/>
          <w:sz w:val="20"/>
          <w:szCs w:val="20"/>
        </w:rPr>
        <w:t>(všetky nedostatky týkajúce sa VO boli identifikované v populácii 1919 zákaziek, kde bola uplatnená finančná oprava 7,3</w:t>
      </w:r>
      <w:r w:rsidR="00F207BC">
        <w:rPr>
          <w:rFonts w:ascii="Arial" w:hAnsi="Arial" w:cs="Arial"/>
          <w:bCs/>
          <w:snapToGrid w:val="0"/>
          <w:sz w:val="20"/>
          <w:szCs w:val="20"/>
        </w:rPr>
        <w:t>0</w:t>
      </w:r>
      <w:r w:rsidRPr="002E0775">
        <w:rPr>
          <w:rFonts w:ascii="Arial" w:hAnsi="Arial" w:cs="Arial"/>
          <w:bCs/>
          <w:snapToGrid w:val="0"/>
          <w:sz w:val="20"/>
          <w:szCs w:val="20"/>
        </w:rPr>
        <w:t> % v zmysle listu EK z 28. 06. 2012):</w:t>
      </w:r>
    </w:p>
    <w:p w:rsidR="00A83AC2" w:rsidRPr="002E0775" w:rsidRDefault="00A83AC2" w:rsidP="001540E7">
      <w:pPr>
        <w:numPr>
          <w:ilvl w:val="0"/>
          <w:numId w:val="60"/>
        </w:numPr>
        <w:tabs>
          <w:tab w:val="clear" w:pos="360"/>
          <w:tab w:val="num" w:pos="284"/>
        </w:tabs>
        <w:spacing w:before="120" w:after="120" w:line="360" w:lineRule="auto"/>
        <w:ind w:left="284" w:hanging="142"/>
        <w:jc w:val="both"/>
        <w:rPr>
          <w:rFonts w:ascii="Arial" w:hAnsi="Arial" w:cs="Arial"/>
          <w:bCs/>
          <w:snapToGrid w:val="0"/>
          <w:sz w:val="20"/>
          <w:szCs w:val="20"/>
        </w:rPr>
      </w:pPr>
      <w:r w:rsidRPr="002E0775">
        <w:rPr>
          <w:rFonts w:ascii="Arial" w:hAnsi="Arial" w:cs="Arial"/>
          <w:bCs/>
          <w:snapToGrid w:val="0"/>
          <w:sz w:val="20"/>
          <w:szCs w:val="20"/>
        </w:rPr>
        <w:t>obstarávateľ realizoval VO na výber dodávateľa služby: „Výkon stavebného dozoru na stavbu: Svidník – Medzianky, prívod vody z vodárenskej nádrže Starina“ a „Výkon stavebného dozoru na stavbu: Žbince, Dúbravka, Hatalov, Vrbnica – kanalizácia a ČOV“ postupom zadávania podprahovej zákazky. Na svojom webovom sídle zverejnil výzvu na predkladanie ponúk, pričom predpokladaná hodnota zákazky bola stanovená obstarávateľom na 206 000 EUR bez DPH. Audítorská skupina konštatuje, že obstarávateľ použil nesprávne zvolený postup pri zadávaní zákazky, nakoľko pri obstarávaní zákazky, ktorej predpokladaná hodnota bola 206 000 € bez DPH nepoužil postupy zverejňovania pri zadávaní nadlimitnej zákazky a tým diskriminoval uchádzačov verejného obstarávania. Uvedeným konaním obstarávateľ porušil § 4 ods. 1, § 7 ods. 1 písm. a)  a znenie § 9 ods. 2)zákona č. 25/2006 Z. z. o verejnom obstarávaní platného v čase vyhlásenia výzvy na predkladanie ponúk, súčasne porušil ustanovenie čl. 2 bod 2 VZP Zmluvy o poskytnutí NFP a § 31 ods. 1 písm. n) zákona č. 523/2004 Z. z</w:t>
      </w:r>
      <w:r w:rsidR="00F207BC">
        <w:rPr>
          <w:rFonts w:ascii="Arial" w:hAnsi="Arial" w:cs="Arial"/>
          <w:bCs/>
          <w:snapToGrid w:val="0"/>
          <w:sz w:val="20"/>
          <w:szCs w:val="20"/>
        </w:rPr>
        <w:t>;</w:t>
      </w:r>
    </w:p>
    <w:p w:rsidR="00A83AC2" w:rsidRPr="002E0775" w:rsidRDefault="00A83AC2" w:rsidP="001540E7">
      <w:pPr>
        <w:numPr>
          <w:ilvl w:val="0"/>
          <w:numId w:val="60"/>
        </w:numPr>
        <w:tabs>
          <w:tab w:val="clear" w:pos="360"/>
          <w:tab w:val="num" w:pos="284"/>
        </w:tabs>
        <w:spacing w:before="120" w:after="120" w:line="360" w:lineRule="auto"/>
        <w:ind w:left="284" w:hanging="142"/>
        <w:jc w:val="both"/>
        <w:rPr>
          <w:rFonts w:ascii="Arial" w:hAnsi="Arial" w:cs="Arial"/>
          <w:bCs/>
          <w:snapToGrid w:val="0"/>
          <w:sz w:val="20"/>
          <w:szCs w:val="20"/>
        </w:rPr>
      </w:pPr>
      <w:r w:rsidRPr="002E0775">
        <w:rPr>
          <w:rFonts w:ascii="Arial" w:hAnsi="Arial" w:cs="Arial"/>
          <w:bCs/>
          <w:snapToGrid w:val="0"/>
          <w:sz w:val="20"/>
          <w:szCs w:val="20"/>
        </w:rPr>
        <w:t>verejný obstarávateľ v súťažných podkladoch uviedol konkrétne značky/typy prístrojov a požiadavku na vydanie certifikátu konkrétnou inštitúciou bez toho, aby uviedol zákonom požadovanú formuláciu „alebo ekvivalentný“. Uvedeným konaním verejný obstarávateľ zvýhodnil konkrétne produkty, certifikáty a diskriminoval všetky ostatné, ktoré by dosahovali rovnakú požadovanú úroveň a tým porušil: § 9 ods. 4, § 34 ods. 7) zákona č. 25/2006 Z. z. o verejnom obstarávaní, ust. čl. 2 bod 2 VZP Zmluvy o poskytnutí NFP a § 31 ods. 1 písm. n) zákona č.523/2004 Z. z.</w:t>
      </w:r>
    </w:p>
    <w:p w:rsidR="00A83AC2" w:rsidRPr="002E0775" w:rsidRDefault="00A83AC2" w:rsidP="00507035">
      <w:pPr>
        <w:pStyle w:val="Zarkazkladnhotextu"/>
        <w:widowControl w:val="0"/>
        <w:tabs>
          <w:tab w:val="left" w:pos="360"/>
        </w:tabs>
        <w:spacing w:before="120" w:line="360" w:lineRule="auto"/>
        <w:jc w:val="both"/>
        <w:rPr>
          <w:rFonts w:ascii="Arial" w:hAnsi="Arial" w:cs="Arial"/>
          <w:bCs/>
          <w:snapToGrid w:val="0"/>
          <w:sz w:val="20"/>
          <w:szCs w:val="20"/>
          <w:u w:val="single"/>
        </w:rPr>
      </w:pPr>
      <w:r w:rsidRPr="002E0775">
        <w:rPr>
          <w:rFonts w:ascii="Arial" w:hAnsi="Arial" w:cs="Arial"/>
          <w:bCs/>
          <w:snapToGrid w:val="0"/>
          <w:sz w:val="20"/>
          <w:szCs w:val="20"/>
          <w:u w:val="single"/>
        </w:rPr>
        <w:t>nesystémové nedostatky:</w:t>
      </w:r>
    </w:p>
    <w:p w:rsidR="00A83AC2" w:rsidRPr="002E0775" w:rsidRDefault="00A83AC2" w:rsidP="001540E7">
      <w:pPr>
        <w:numPr>
          <w:ilvl w:val="0"/>
          <w:numId w:val="60"/>
        </w:numPr>
        <w:tabs>
          <w:tab w:val="clear" w:pos="360"/>
          <w:tab w:val="num" w:pos="284"/>
        </w:tabs>
        <w:spacing w:before="120" w:after="120" w:line="360" w:lineRule="auto"/>
        <w:ind w:left="284" w:hanging="142"/>
        <w:jc w:val="both"/>
        <w:rPr>
          <w:rFonts w:ascii="Arial" w:hAnsi="Arial" w:cs="Arial"/>
          <w:bCs/>
          <w:snapToGrid w:val="0"/>
          <w:sz w:val="20"/>
          <w:szCs w:val="20"/>
        </w:rPr>
      </w:pPr>
      <w:r w:rsidRPr="002E0775">
        <w:rPr>
          <w:rFonts w:ascii="Arial" w:hAnsi="Arial" w:cs="Arial"/>
          <w:bCs/>
          <w:snapToGrid w:val="0"/>
          <w:sz w:val="20"/>
          <w:szCs w:val="20"/>
        </w:rPr>
        <w:t>nedostatočný výkon kontroly VO zo strany RO v nadväznosti na nedostatky zistené u prijímateľov:</w:t>
      </w:r>
    </w:p>
    <w:p w:rsidR="00A83AC2" w:rsidRPr="002E0775" w:rsidRDefault="00A83AC2" w:rsidP="00507035">
      <w:pPr>
        <w:pStyle w:val="Zarkazkladnhotextu"/>
        <w:widowControl w:val="0"/>
        <w:spacing w:before="120" w:line="360" w:lineRule="auto"/>
        <w:ind w:left="284"/>
        <w:jc w:val="both"/>
        <w:rPr>
          <w:rFonts w:ascii="Arial" w:hAnsi="Arial" w:cs="Arial"/>
          <w:bCs/>
          <w:snapToGrid w:val="0"/>
          <w:sz w:val="20"/>
          <w:szCs w:val="20"/>
        </w:rPr>
      </w:pPr>
      <w:r w:rsidRPr="002E0775">
        <w:rPr>
          <w:rFonts w:ascii="Arial" w:hAnsi="Arial" w:cs="Arial"/>
          <w:bCs/>
          <w:snapToGrid w:val="0"/>
          <w:sz w:val="20"/>
          <w:szCs w:val="20"/>
        </w:rPr>
        <w:t>Audítorská skupina konštatovala, že na základe neodhalených nedostatkov týkajúcich sa procesu verejného obstarávania zistených až spätným overením VO zo strany RO, bol zo strany RO uplatnený nedostatočný kontrolný postup overovania VO. Výsledkom a dôkazom toho sú nesprávne vyplnené kontrolné zoznamy, resp. kontrolné listy, v ktorých neboli identifikované žiadne porušenia zákona č.25/2006 Z. z. o verejnom obstarávaní, resp. RO identifikoval porušenie pravidiel a princípov VO, ale následne už nevyzval prijímateľa na vyhlásenie nového VO.</w:t>
      </w:r>
    </w:p>
    <w:p w:rsidR="00A83AC2" w:rsidRPr="002E0775" w:rsidRDefault="00A83AC2" w:rsidP="00507035">
      <w:pPr>
        <w:pStyle w:val="AUCIEODRKA"/>
        <w:numPr>
          <w:ilvl w:val="0"/>
          <w:numId w:val="0"/>
        </w:numPr>
        <w:spacing w:before="120" w:after="120" w:line="360" w:lineRule="auto"/>
        <w:ind w:left="284"/>
        <w:rPr>
          <w:rFonts w:ascii="Arial" w:hAnsi="Arial" w:cs="Arial"/>
          <w:sz w:val="20"/>
        </w:rPr>
      </w:pPr>
      <w:r w:rsidRPr="002E0775">
        <w:rPr>
          <w:rFonts w:ascii="Arial" w:hAnsi="Arial" w:cs="Arial"/>
          <w:sz w:val="20"/>
        </w:rPr>
        <w:t xml:space="preserve">Overenie </w:t>
      </w:r>
      <w:r w:rsidRPr="002E0775">
        <w:rPr>
          <w:rFonts w:ascii="Arial" w:hAnsi="Arial" w:cs="Arial"/>
          <w:color w:val="000000"/>
          <w:sz w:val="20"/>
        </w:rPr>
        <w:t xml:space="preserve">splnenia prijatých opatrení a zohľadnenia odporúčaní k uvedeným nedostatkom </w:t>
      </w:r>
      <w:r w:rsidRPr="002E0775">
        <w:rPr>
          <w:rFonts w:ascii="Arial" w:hAnsi="Arial" w:cs="Arial"/>
          <w:color w:val="000000"/>
          <w:sz w:val="20"/>
          <w:lang w:val="sk-SK"/>
        </w:rPr>
        <w:t>je</w:t>
      </w:r>
      <w:r w:rsidRPr="002E0775">
        <w:rPr>
          <w:rFonts w:ascii="Arial" w:hAnsi="Arial" w:cs="Arial"/>
          <w:color w:val="000000"/>
          <w:sz w:val="20"/>
        </w:rPr>
        <w:t xml:space="preserve"> vykon</w:t>
      </w:r>
      <w:r w:rsidRPr="002E0775">
        <w:rPr>
          <w:rFonts w:ascii="Arial" w:hAnsi="Arial" w:cs="Arial"/>
          <w:color w:val="000000"/>
          <w:sz w:val="20"/>
          <w:lang w:val="sk-SK"/>
        </w:rPr>
        <w:t>áva</w:t>
      </w:r>
      <w:r w:rsidRPr="002E0775">
        <w:rPr>
          <w:rFonts w:ascii="Arial" w:hAnsi="Arial" w:cs="Arial"/>
          <w:color w:val="000000"/>
          <w:sz w:val="20"/>
        </w:rPr>
        <w:t>né v </w:t>
      </w:r>
      <w:r w:rsidRPr="002E0775">
        <w:rPr>
          <w:rFonts w:ascii="Arial" w:hAnsi="Arial" w:cs="Arial"/>
          <w:color w:val="000000"/>
          <w:sz w:val="20"/>
          <w:lang w:val="sk-SK"/>
        </w:rPr>
        <w:t>I. pol</w:t>
      </w:r>
      <w:r w:rsidRPr="002E0775">
        <w:rPr>
          <w:rFonts w:ascii="Arial" w:hAnsi="Arial" w:cs="Arial"/>
          <w:color w:val="000000"/>
          <w:sz w:val="20"/>
        </w:rPr>
        <w:t>roku 201</w:t>
      </w:r>
      <w:r w:rsidRPr="002E0775">
        <w:rPr>
          <w:rFonts w:ascii="Arial" w:hAnsi="Arial" w:cs="Arial"/>
          <w:color w:val="000000"/>
          <w:sz w:val="20"/>
          <w:lang w:val="sk-SK"/>
        </w:rPr>
        <w:t>3</w:t>
      </w:r>
      <w:r w:rsidRPr="002E0775">
        <w:rPr>
          <w:rFonts w:ascii="Arial" w:hAnsi="Arial" w:cs="Arial"/>
          <w:sz w:val="20"/>
        </w:rPr>
        <w:t>.</w:t>
      </w:r>
    </w:p>
    <w:p w:rsidR="00A83AC2" w:rsidRPr="002E0775" w:rsidRDefault="00A83AC2" w:rsidP="00507035">
      <w:pPr>
        <w:spacing w:before="120" w:after="120" w:line="360" w:lineRule="auto"/>
        <w:ind w:left="284"/>
        <w:jc w:val="both"/>
        <w:rPr>
          <w:rFonts w:ascii="Arial" w:hAnsi="Arial" w:cs="Arial"/>
          <w:sz w:val="20"/>
          <w:szCs w:val="20"/>
        </w:rPr>
      </w:pPr>
      <w:r w:rsidRPr="002E0775">
        <w:rPr>
          <w:rFonts w:ascii="Arial" w:hAnsi="Arial" w:cs="Arial"/>
          <w:bCs/>
          <w:snapToGrid w:val="0"/>
          <w:sz w:val="20"/>
          <w:szCs w:val="20"/>
        </w:rPr>
        <w:t xml:space="preserve">V rámci </w:t>
      </w:r>
      <w:r w:rsidRPr="002E0775">
        <w:rPr>
          <w:rFonts w:ascii="Arial" w:hAnsi="Arial" w:cs="Arial"/>
          <w:sz w:val="20"/>
          <w:szCs w:val="20"/>
        </w:rPr>
        <w:t xml:space="preserve">auditu operácií </w:t>
      </w:r>
      <w:r w:rsidRPr="002E0775">
        <w:rPr>
          <w:rFonts w:ascii="Arial" w:hAnsi="Arial" w:cs="Arial"/>
          <w:b/>
          <w:sz w:val="20"/>
          <w:szCs w:val="20"/>
        </w:rPr>
        <w:t>A</w:t>
      </w:r>
      <w:r w:rsidR="00F207BC">
        <w:rPr>
          <w:rFonts w:ascii="Arial" w:hAnsi="Arial" w:cs="Arial"/>
          <w:b/>
          <w:sz w:val="20"/>
          <w:szCs w:val="20"/>
        </w:rPr>
        <w:t xml:space="preserve"> </w:t>
      </w:r>
      <w:r w:rsidRPr="002E0775">
        <w:rPr>
          <w:rFonts w:ascii="Arial" w:hAnsi="Arial" w:cs="Arial"/>
          <w:b/>
          <w:sz w:val="20"/>
          <w:szCs w:val="20"/>
        </w:rPr>
        <w:t>457</w:t>
      </w:r>
      <w:r w:rsidRPr="002E0775">
        <w:rPr>
          <w:rFonts w:ascii="Arial" w:hAnsi="Arial" w:cs="Arial"/>
          <w:sz w:val="20"/>
          <w:szCs w:val="20"/>
        </w:rPr>
        <w:t>, ktorého predmetom overenia bolo 11 ŽoP, boli zistené nasledovné najzávažnejšie nedostatky:</w:t>
      </w:r>
    </w:p>
    <w:p w:rsidR="00A83AC2" w:rsidRPr="002E0775" w:rsidRDefault="00A83AC2" w:rsidP="00507035">
      <w:pPr>
        <w:pStyle w:val="Zarkazkladnhotextu"/>
        <w:widowControl w:val="0"/>
        <w:spacing w:before="120" w:line="360" w:lineRule="auto"/>
        <w:jc w:val="both"/>
        <w:rPr>
          <w:rFonts w:ascii="Arial" w:hAnsi="Arial" w:cs="Arial"/>
          <w:bCs/>
          <w:snapToGrid w:val="0"/>
          <w:sz w:val="20"/>
          <w:szCs w:val="20"/>
          <w:u w:val="single"/>
        </w:rPr>
      </w:pPr>
      <w:r w:rsidRPr="002E0775">
        <w:rPr>
          <w:rFonts w:ascii="Arial" w:hAnsi="Arial" w:cs="Arial"/>
          <w:bCs/>
          <w:snapToGrid w:val="0"/>
          <w:sz w:val="20"/>
          <w:szCs w:val="20"/>
          <w:u w:val="single"/>
        </w:rPr>
        <w:t>nesystémové nedostatky:</w:t>
      </w:r>
    </w:p>
    <w:p w:rsidR="00A83AC2" w:rsidRPr="002E0775" w:rsidRDefault="00A83AC2" w:rsidP="001540E7">
      <w:pPr>
        <w:numPr>
          <w:ilvl w:val="0"/>
          <w:numId w:val="60"/>
        </w:numPr>
        <w:tabs>
          <w:tab w:val="clear" w:pos="360"/>
          <w:tab w:val="num" w:pos="284"/>
        </w:tabs>
        <w:spacing w:before="120" w:after="120" w:line="360" w:lineRule="auto"/>
        <w:ind w:left="284" w:hanging="142"/>
        <w:jc w:val="both"/>
        <w:rPr>
          <w:rFonts w:ascii="Arial" w:hAnsi="Arial" w:cs="Arial"/>
          <w:bCs/>
          <w:snapToGrid w:val="0"/>
          <w:sz w:val="20"/>
          <w:szCs w:val="20"/>
        </w:rPr>
      </w:pPr>
      <w:r w:rsidRPr="002E0775">
        <w:rPr>
          <w:rFonts w:ascii="Arial" w:hAnsi="Arial" w:cs="Arial"/>
          <w:bCs/>
          <w:snapToGrid w:val="0"/>
          <w:sz w:val="20"/>
          <w:szCs w:val="20"/>
        </w:rPr>
        <w:t xml:space="preserve">prijímatelia nepredložili RO na schválenie návrh Dodatku k zmluve s dodávateľom (predmetom dodatku bola zmena bankového spojenia zhotoviteľa, zmena času plnenia a zmena rozsahu stavebných prác; účelom zmeny bola zmena termínu ukončenia stavebných prác; účelom zmeny bola úprava zmluvnej ceny za zhotovenie celého diela a zmena termínu ukončenia realizácie diela. </w:t>
      </w:r>
    </w:p>
    <w:p w:rsidR="00A83AC2" w:rsidRPr="002E0775" w:rsidRDefault="00A83AC2" w:rsidP="001540E7">
      <w:pPr>
        <w:pStyle w:val="Zarkazkladnhotextu"/>
        <w:widowControl w:val="0"/>
        <w:numPr>
          <w:ilvl w:val="0"/>
          <w:numId w:val="60"/>
        </w:numPr>
        <w:spacing w:before="120" w:line="360" w:lineRule="auto"/>
        <w:jc w:val="both"/>
        <w:rPr>
          <w:rFonts w:ascii="Arial" w:hAnsi="Arial" w:cs="Arial"/>
          <w:bCs/>
          <w:snapToGrid w:val="0"/>
          <w:sz w:val="20"/>
          <w:szCs w:val="20"/>
          <w:u w:val="single"/>
        </w:rPr>
      </w:pPr>
      <w:r w:rsidRPr="002E0775">
        <w:rPr>
          <w:rFonts w:ascii="Arial" w:hAnsi="Arial" w:cs="Arial"/>
          <w:bCs/>
          <w:snapToGrid w:val="0"/>
          <w:sz w:val="20"/>
          <w:szCs w:val="20"/>
          <w:u w:val="single"/>
        </w:rPr>
        <w:t>nedostatky týkajúce sa VO, pri ktorých bola uplatnená paušálna oprava 7,3</w:t>
      </w:r>
      <w:r w:rsidR="00F207BC">
        <w:rPr>
          <w:rFonts w:ascii="Arial" w:hAnsi="Arial" w:cs="Arial"/>
          <w:bCs/>
          <w:snapToGrid w:val="0"/>
          <w:sz w:val="20"/>
          <w:szCs w:val="20"/>
          <w:u w:val="single"/>
        </w:rPr>
        <w:t xml:space="preserve">0 </w:t>
      </w:r>
      <w:r w:rsidRPr="002E0775">
        <w:rPr>
          <w:rFonts w:ascii="Arial" w:hAnsi="Arial" w:cs="Arial"/>
          <w:bCs/>
          <w:snapToGrid w:val="0"/>
          <w:sz w:val="20"/>
          <w:szCs w:val="20"/>
          <w:u w:val="single"/>
        </w:rPr>
        <w:t xml:space="preserve">% </w:t>
      </w:r>
      <w:r w:rsidRPr="002E0775">
        <w:rPr>
          <w:rFonts w:ascii="Arial" w:hAnsi="Arial" w:cs="Arial"/>
          <w:bCs/>
          <w:snapToGrid w:val="0"/>
          <w:sz w:val="20"/>
          <w:szCs w:val="20"/>
        </w:rPr>
        <w:t>(všetky nedostatky týkajúce sa VO boli identifikované v populácii 1919 zákaziek, kde bola uplatnená finančná oprava 7,3 % v zmysle listu EK z 28. 06. 2012)</w:t>
      </w:r>
      <w:r w:rsidRPr="002E0775">
        <w:rPr>
          <w:rFonts w:ascii="Arial" w:hAnsi="Arial" w:cs="Arial"/>
          <w:bCs/>
          <w:snapToGrid w:val="0"/>
          <w:sz w:val="20"/>
          <w:szCs w:val="20"/>
          <w:u w:val="single"/>
        </w:rPr>
        <w:t>:</w:t>
      </w:r>
    </w:p>
    <w:p w:rsidR="00A83AC2" w:rsidRPr="00F207BC" w:rsidRDefault="00A83AC2" w:rsidP="001540E7">
      <w:pPr>
        <w:pStyle w:val="Odsekzoznamu"/>
        <w:numPr>
          <w:ilvl w:val="0"/>
          <w:numId w:val="60"/>
        </w:numPr>
        <w:spacing w:before="120" w:after="120" w:line="360" w:lineRule="auto"/>
        <w:jc w:val="both"/>
        <w:rPr>
          <w:rFonts w:ascii="Arial" w:hAnsi="Arial" w:cs="Arial"/>
          <w:bCs/>
          <w:snapToGrid w:val="0"/>
          <w:sz w:val="20"/>
          <w:szCs w:val="20"/>
        </w:rPr>
      </w:pPr>
      <w:r w:rsidRPr="00F207BC">
        <w:rPr>
          <w:rFonts w:ascii="Arial" w:hAnsi="Arial" w:cs="Arial"/>
          <w:bCs/>
          <w:snapToGrid w:val="0"/>
          <w:sz w:val="20"/>
          <w:szCs w:val="20"/>
        </w:rPr>
        <w:t>Nedostatočný výkon kontroly VO zo strany RO v nadväznosti na nedostatky zistené u prijímateľov:</w:t>
      </w:r>
    </w:p>
    <w:p w:rsidR="00A83AC2" w:rsidRPr="002E0775" w:rsidRDefault="00A83AC2" w:rsidP="001540E7">
      <w:pPr>
        <w:numPr>
          <w:ilvl w:val="0"/>
          <w:numId w:val="60"/>
        </w:numPr>
        <w:tabs>
          <w:tab w:val="clear" w:pos="360"/>
          <w:tab w:val="num" w:pos="284"/>
        </w:tabs>
        <w:spacing w:before="120" w:after="120" w:line="360" w:lineRule="auto"/>
        <w:ind w:left="284" w:hanging="142"/>
        <w:jc w:val="both"/>
        <w:rPr>
          <w:rFonts w:ascii="Arial" w:hAnsi="Arial" w:cs="Arial"/>
          <w:bCs/>
          <w:snapToGrid w:val="0"/>
          <w:sz w:val="20"/>
          <w:szCs w:val="20"/>
        </w:rPr>
      </w:pPr>
      <w:r w:rsidRPr="002E0775">
        <w:rPr>
          <w:rFonts w:ascii="Arial" w:hAnsi="Arial" w:cs="Arial"/>
          <w:bCs/>
          <w:snapToGrid w:val="0"/>
          <w:sz w:val="20"/>
          <w:szCs w:val="20"/>
        </w:rPr>
        <w:t>audítorská skupina konštatovala, že na základe nedostatkov z verejného obstarávania identifikovaných u prijímateľov, bol zo strany RO uplatnený nedostatočný kontrolný postup overovania VO.</w:t>
      </w:r>
    </w:p>
    <w:p w:rsidR="00A83AC2" w:rsidRPr="002E0775" w:rsidRDefault="00A83AC2" w:rsidP="001540E7">
      <w:pPr>
        <w:numPr>
          <w:ilvl w:val="0"/>
          <w:numId w:val="60"/>
        </w:numPr>
        <w:tabs>
          <w:tab w:val="clear" w:pos="360"/>
          <w:tab w:val="num" w:pos="284"/>
        </w:tabs>
        <w:spacing w:before="120" w:after="120" w:line="360" w:lineRule="auto"/>
        <w:ind w:left="284" w:hanging="142"/>
        <w:jc w:val="both"/>
        <w:rPr>
          <w:rFonts w:ascii="Arial" w:hAnsi="Arial" w:cs="Arial"/>
          <w:bCs/>
          <w:snapToGrid w:val="0"/>
          <w:sz w:val="20"/>
          <w:szCs w:val="20"/>
        </w:rPr>
      </w:pPr>
      <w:r w:rsidRPr="002E0775">
        <w:rPr>
          <w:rFonts w:ascii="Arial" w:hAnsi="Arial" w:cs="Arial"/>
          <w:bCs/>
          <w:snapToGrid w:val="0"/>
          <w:sz w:val="20"/>
          <w:szCs w:val="20"/>
        </w:rPr>
        <w:t>overením podprahovej zákazky na dodanie projektovej dokumentácie stavby „Stará Ľubovňa - rekonštrukcia a rozšírenie ČOV" AS zistila, že vo výzve  bola uvedené iná lehota na dodanie služieb ako v zmluve s úspešným uchádzačom. Na základe vyššie uvedeného obstarávateľ pri podprahovej zákazke nedodržal princíp rovnakého zaobchádzania podľa § 9 ods. 4 zákona č. 25/2006 Z. z, keďže zmena lehoty plnenia mohla mať vplyv na celkovú sumu za ponúkané služby uchádzačov, alebo sa potenciálni záujemcovia nezúčastnili daného verejného obstarávania, a tým bol zvýhodnený víťazný uchádzač.</w:t>
      </w:r>
    </w:p>
    <w:p w:rsidR="00A83AC2" w:rsidRPr="002E0775" w:rsidRDefault="00A83AC2" w:rsidP="001540E7">
      <w:pPr>
        <w:numPr>
          <w:ilvl w:val="0"/>
          <w:numId w:val="60"/>
        </w:numPr>
        <w:tabs>
          <w:tab w:val="clear" w:pos="360"/>
          <w:tab w:val="num" w:pos="284"/>
        </w:tabs>
        <w:spacing w:before="120" w:after="120" w:line="360" w:lineRule="auto"/>
        <w:ind w:left="284" w:hanging="142"/>
        <w:jc w:val="both"/>
        <w:rPr>
          <w:rFonts w:ascii="Arial" w:hAnsi="Arial" w:cs="Arial"/>
          <w:bCs/>
          <w:snapToGrid w:val="0"/>
          <w:sz w:val="20"/>
          <w:szCs w:val="20"/>
        </w:rPr>
      </w:pPr>
      <w:r w:rsidRPr="002E0775">
        <w:rPr>
          <w:rFonts w:ascii="Arial" w:hAnsi="Arial" w:cs="Arial"/>
          <w:bCs/>
          <w:snapToGrid w:val="0"/>
          <w:sz w:val="20"/>
          <w:szCs w:val="20"/>
        </w:rPr>
        <w:t>v rámci overenia verejného obstarávania, podprahovej zákazky na stavebné práce,  audítorská skupina identifikovala prepojenie medzi víťazným uchádzačom, a neúspešným uchádzačom, keďže konatelia v obidvoch firmách sú spolu konateľmi v tretej firme, ktorej 33 % podiel vlastní firma, v ktorej je konateľom neúspešný uchádzač.  Na základe vyššie uvedeného pri podprahovej zákazke nebol dodržaný princíp transparentnosti podľa § 9 ods. 4 zákona č. 25/2006 Z. z., keďže existuje riziko, že víťazný uchádzač mohol byť dohodnutý s neúspešným uchádzačom, a teda súťaž neprebehla transparentne.</w:t>
      </w:r>
    </w:p>
    <w:p w:rsidR="00A83AC2" w:rsidRPr="002E0775" w:rsidRDefault="00A83AC2" w:rsidP="001540E7">
      <w:pPr>
        <w:numPr>
          <w:ilvl w:val="0"/>
          <w:numId w:val="60"/>
        </w:numPr>
        <w:tabs>
          <w:tab w:val="clear" w:pos="360"/>
          <w:tab w:val="num" w:pos="284"/>
        </w:tabs>
        <w:spacing w:before="120" w:after="120" w:line="360" w:lineRule="auto"/>
        <w:ind w:left="284" w:hanging="142"/>
        <w:jc w:val="both"/>
        <w:rPr>
          <w:rFonts w:ascii="Arial" w:hAnsi="Arial" w:cs="Arial"/>
          <w:bCs/>
          <w:snapToGrid w:val="0"/>
          <w:sz w:val="20"/>
          <w:szCs w:val="20"/>
        </w:rPr>
      </w:pPr>
      <w:r w:rsidRPr="002E0775">
        <w:rPr>
          <w:rFonts w:ascii="Arial" w:hAnsi="Arial" w:cs="Arial"/>
          <w:bCs/>
          <w:snapToGrid w:val="0"/>
          <w:sz w:val="20"/>
          <w:szCs w:val="20"/>
        </w:rPr>
        <w:t>v rámci overenia verejného obstarávania zákazky s nízkou hodnotou na dodanie služieb Externého projektového manažmentu projektu "Terchová-Struháreň, prívod vody zo zdroja Balátovia" audítorská skupina zistila, že obstarávateľ stanovil predpokladanú hodnotu zákazky na úrovni 30 000 EUR. Pri predpokladanej hodnote zákazky na úrovni 30 000 EUR mal obstarávateľ použiť metódu pre podprahovú zákazku. Týmto obstarávateľ chybne použil metódu určenú pre zákazku s nízkou hodnotou, a tým na základe vyššie uvedeného nedodržal znenie § 4 ods. 4 zákona č. 25/2006 Z. z.</w:t>
      </w:r>
    </w:p>
    <w:p w:rsidR="00A83AC2" w:rsidRPr="002E0775" w:rsidRDefault="00A83AC2" w:rsidP="001540E7">
      <w:pPr>
        <w:numPr>
          <w:ilvl w:val="0"/>
          <w:numId w:val="60"/>
        </w:numPr>
        <w:tabs>
          <w:tab w:val="clear" w:pos="360"/>
          <w:tab w:val="num" w:pos="284"/>
        </w:tabs>
        <w:spacing w:before="120" w:after="120" w:line="360" w:lineRule="auto"/>
        <w:ind w:left="284" w:hanging="142"/>
        <w:jc w:val="both"/>
        <w:rPr>
          <w:rFonts w:ascii="Arial" w:hAnsi="Arial" w:cs="Arial"/>
          <w:bCs/>
          <w:snapToGrid w:val="0"/>
          <w:sz w:val="20"/>
          <w:szCs w:val="20"/>
        </w:rPr>
      </w:pPr>
      <w:r w:rsidRPr="002E0775">
        <w:rPr>
          <w:rFonts w:ascii="Arial" w:hAnsi="Arial" w:cs="Arial"/>
          <w:bCs/>
          <w:snapToGrid w:val="0"/>
          <w:sz w:val="20"/>
          <w:szCs w:val="20"/>
        </w:rPr>
        <w:t>v rámci overenia verejného obstarávania podprahovej zákazky s na dodanie služieb  stavebného dozoru na projektu "Terchová-Struháreň, prívod vody zo zdroja Balátovia" audítorská skupina zistila, že verejný obstarávateľ stanovil predpokladanú hodnotu zákazky na úrovni 60 000 EUR. Pri predpokladanej hodnote zákazky na úrovni 60 000 EUR mal obstarávateľ použiť metódu pre podlimitnú zákazku. Týmto obstarávateľ chybne použil metódu určenú pre podprahovú zákazku, a tým na základe vyššie uvedeného nedodržal znenie § 4 ods. 3 zákona č. 25/2006 Z. z.</w:t>
      </w:r>
    </w:p>
    <w:p w:rsidR="00A83AC2" w:rsidRPr="002E0775" w:rsidRDefault="00A83AC2" w:rsidP="00507035">
      <w:pPr>
        <w:pStyle w:val="AUCIEODRKA"/>
        <w:tabs>
          <w:tab w:val="clear" w:pos="1667"/>
        </w:tabs>
        <w:spacing w:before="120" w:after="120" w:line="360" w:lineRule="auto"/>
        <w:ind w:left="284" w:firstLine="0"/>
        <w:rPr>
          <w:rFonts w:ascii="Arial" w:hAnsi="Arial" w:cs="Arial"/>
          <w:sz w:val="20"/>
        </w:rPr>
      </w:pPr>
      <w:r w:rsidRPr="002E0775">
        <w:rPr>
          <w:rFonts w:ascii="Arial" w:hAnsi="Arial" w:cs="Arial"/>
          <w:sz w:val="20"/>
        </w:rPr>
        <w:t xml:space="preserve">Overenie </w:t>
      </w:r>
      <w:r w:rsidRPr="002E0775">
        <w:rPr>
          <w:rFonts w:ascii="Arial" w:hAnsi="Arial" w:cs="Arial"/>
          <w:color w:val="000000"/>
          <w:sz w:val="20"/>
        </w:rPr>
        <w:t xml:space="preserve">splnenia prijatých opatrení a zohľadnenia odporúčaní k uvedeným nedostatkom </w:t>
      </w:r>
      <w:r w:rsidRPr="002E0775">
        <w:rPr>
          <w:rFonts w:ascii="Arial" w:hAnsi="Arial" w:cs="Arial"/>
          <w:color w:val="000000"/>
          <w:sz w:val="20"/>
          <w:lang w:val="sk-SK"/>
        </w:rPr>
        <w:t>je</w:t>
      </w:r>
      <w:r w:rsidRPr="002E0775">
        <w:rPr>
          <w:rFonts w:ascii="Arial" w:hAnsi="Arial" w:cs="Arial"/>
          <w:color w:val="000000"/>
          <w:sz w:val="20"/>
        </w:rPr>
        <w:t xml:space="preserve"> vykon</w:t>
      </w:r>
      <w:r w:rsidRPr="002E0775">
        <w:rPr>
          <w:rFonts w:ascii="Arial" w:hAnsi="Arial" w:cs="Arial"/>
          <w:color w:val="000000"/>
          <w:sz w:val="20"/>
          <w:lang w:val="sk-SK"/>
        </w:rPr>
        <w:t>ávané</w:t>
      </w:r>
      <w:r w:rsidRPr="002E0775">
        <w:rPr>
          <w:rFonts w:ascii="Arial" w:hAnsi="Arial" w:cs="Arial"/>
          <w:color w:val="000000"/>
          <w:sz w:val="20"/>
        </w:rPr>
        <w:t xml:space="preserve"> v </w:t>
      </w:r>
      <w:r w:rsidRPr="002E0775">
        <w:rPr>
          <w:rFonts w:ascii="Arial" w:hAnsi="Arial" w:cs="Arial"/>
          <w:color w:val="000000"/>
          <w:sz w:val="20"/>
          <w:lang w:val="sk-SK"/>
        </w:rPr>
        <w:t>I. pol</w:t>
      </w:r>
      <w:r w:rsidRPr="002E0775">
        <w:rPr>
          <w:rFonts w:ascii="Arial" w:hAnsi="Arial" w:cs="Arial"/>
          <w:color w:val="000000"/>
          <w:sz w:val="20"/>
        </w:rPr>
        <w:t>roku 201</w:t>
      </w:r>
      <w:r w:rsidRPr="002E0775">
        <w:rPr>
          <w:rFonts w:ascii="Arial" w:hAnsi="Arial" w:cs="Arial"/>
          <w:color w:val="000000"/>
          <w:sz w:val="20"/>
          <w:lang w:val="sk-SK"/>
        </w:rPr>
        <w:t>3</w:t>
      </w:r>
      <w:r w:rsidRPr="002E0775">
        <w:rPr>
          <w:rFonts w:ascii="Arial" w:hAnsi="Arial" w:cs="Arial"/>
          <w:sz w:val="20"/>
        </w:rPr>
        <w:t>.</w:t>
      </w:r>
    </w:p>
    <w:p w:rsidR="00A83AC2" w:rsidRPr="002E0775" w:rsidRDefault="00A83AC2" w:rsidP="00507035">
      <w:pPr>
        <w:pStyle w:val="Nadpis2"/>
        <w:spacing w:before="120" w:after="120" w:line="360" w:lineRule="auto"/>
        <w:rPr>
          <w:rFonts w:cs="Arial"/>
          <w:sz w:val="20"/>
          <w:szCs w:val="20"/>
        </w:rPr>
      </w:pPr>
      <w:r w:rsidRPr="002E0775">
        <w:rPr>
          <w:rFonts w:cs="Arial"/>
          <w:sz w:val="20"/>
          <w:szCs w:val="20"/>
        </w:rPr>
        <w:t>Doplnková vzorka:</w:t>
      </w:r>
    </w:p>
    <w:p w:rsidR="00A83AC2" w:rsidRPr="002E0775" w:rsidRDefault="00A83AC2" w:rsidP="00507035">
      <w:pPr>
        <w:spacing w:before="120" w:after="120" w:line="360" w:lineRule="auto"/>
        <w:jc w:val="both"/>
        <w:rPr>
          <w:rFonts w:ascii="Arial" w:hAnsi="Arial" w:cs="Arial"/>
          <w:sz w:val="20"/>
          <w:szCs w:val="20"/>
        </w:rPr>
      </w:pPr>
      <w:r w:rsidRPr="002E0775">
        <w:rPr>
          <w:rFonts w:ascii="Arial" w:hAnsi="Arial" w:cs="Arial"/>
          <w:sz w:val="20"/>
          <w:szCs w:val="20"/>
        </w:rPr>
        <w:t xml:space="preserve">Spolupracujúci orgán začal v II. polroku 2012 výkon vládneho auditu č. </w:t>
      </w:r>
      <w:r w:rsidRPr="002E0775">
        <w:rPr>
          <w:rFonts w:ascii="Arial" w:hAnsi="Arial" w:cs="Arial"/>
          <w:b/>
          <w:sz w:val="20"/>
          <w:szCs w:val="20"/>
        </w:rPr>
        <w:t>A</w:t>
      </w:r>
      <w:r w:rsidR="00F207BC">
        <w:rPr>
          <w:rFonts w:ascii="Arial" w:hAnsi="Arial" w:cs="Arial"/>
          <w:b/>
          <w:sz w:val="20"/>
          <w:szCs w:val="20"/>
        </w:rPr>
        <w:t xml:space="preserve"> </w:t>
      </w:r>
      <w:r w:rsidRPr="002E0775">
        <w:rPr>
          <w:rFonts w:ascii="Arial" w:hAnsi="Arial" w:cs="Arial"/>
          <w:b/>
          <w:sz w:val="20"/>
          <w:szCs w:val="20"/>
        </w:rPr>
        <w:t>500,</w:t>
      </w:r>
      <w:r w:rsidRPr="002E0775">
        <w:rPr>
          <w:rFonts w:ascii="Arial" w:hAnsi="Arial" w:cs="Arial"/>
          <w:sz w:val="20"/>
          <w:szCs w:val="20"/>
        </w:rPr>
        <w:t xml:space="preserve"> ktorého predmetom boli 2 ŽoP OP ŽP. Vládny audit nebol k 31.12.2012 ukončený. Výsledky z vládneho auditu A</w:t>
      </w:r>
      <w:r w:rsidR="00F207BC">
        <w:rPr>
          <w:rFonts w:ascii="Arial" w:hAnsi="Arial" w:cs="Arial"/>
          <w:sz w:val="20"/>
          <w:szCs w:val="20"/>
        </w:rPr>
        <w:t xml:space="preserve"> </w:t>
      </w:r>
      <w:r w:rsidRPr="002E0775">
        <w:rPr>
          <w:rFonts w:ascii="Arial" w:hAnsi="Arial" w:cs="Arial"/>
          <w:sz w:val="20"/>
          <w:szCs w:val="20"/>
        </w:rPr>
        <w:t>500 budú uvedené v </w:t>
      </w:r>
      <w:r w:rsidRPr="002E0775" w:rsidDel="00991139">
        <w:rPr>
          <w:rFonts w:ascii="Arial" w:hAnsi="Arial" w:cs="Arial"/>
          <w:sz w:val="20"/>
          <w:szCs w:val="20"/>
        </w:rPr>
        <w:t xml:space="preserve"> </w:t>
      </w:r>
      <w:r w:rsidRPr="002E0775">
        <w:rPr>
          <w:rFonts w:ascii="Arial" w:hAnsi="Arial" w:cs="Arial"/>
          <w:sz w:val="20"/>
          <w:szCs w:val="20"/>
        </w:rPr>
        <w:t>nasledujúcej výročnej správe.</w:t>
      </w:r>
    </w:p>
    <w:p w:rsidR="00A83AC2" w:rsidRPr="002E0775" w:rsidRDefault="00A83AC2" w:rsidP="00507035">
      <w:pPr>
        <w:spacing w:before="120" w:after="120" w:line="360" w:lineRule="auto"/>
        <w:jc w:val="both"/>
        <w:rPr>
          <w:rFonts w:ascii="Arial" w:hAnsi="Arial" w:cs="Arial"/>
          <w:sz w:val="20"/>
          <w:szCs w:val="20"/>
        </w:rPr>
      </w:pPr>
      <w:r w:rsidRPr="002E0775">
        <w:rPr>
          <w:rFonts w:ascii="Arial" w:hAnsi="Arial" w:cs="Arial"/>
          <w:color w:val="000000"/>
          <w:sz w:val="20"/>
          <w:szCs w:val="20"/>
        </w:rPr>
        <w:t xml:space="preserve">Na základe výsledkov systémového auditu a auditu operácií, ktoré boli vykonávané v období </w:t>
      </w:r>
      <w:r w:rsidR="00F207BC">
        <w:rPr>
          <w:rFonts w:ascii="Arial" w:hAnsi="Arial" w:cs="Arial"/>
          <w:color w:val="000000"/>
          <w:sz w:val="20"/>
          <w:szCs w:val="20"/>
        </w:rPr>
        <w:t>0</w:t>
      </w:r>
      <w:r w:rsidRPr="002E0775">
        <w:rPr>
          <w:rFonts w:ascii="Arial" w:hAnsi="Arial" w:cs="Arial"/>
          <w:color w:val="000000"/>
          <w:sz w:val="20"/>
          <w:szCs w:val="20"/>
        </w:rPr>
        <w:t>1.</w:t>
      </w:r>
      <w:r w:rsidR="00F207BC">
        <w:rPr>
          <w:rFonts w:ascii="Arial" w:hAnsi="Arial" w:cs="Arial"/>
          <w:color w:val="000000"/>
          <w:sz w:val="20"/>
          <w:szCs w:val="20"/>
        </w:rPr>
        <w:t>0</w:t>
      </w:r>
      <w:r w:rsidRPr="002E0775">
        <w:rPr>
          <w:rFonts w:ascii="Arial" w:hAnsi="Arial" w:cs="Arial"/>
          <w:color w:val="000000"/>
          <w:sz w:val="20"/>
          <w:szCs w:val="20"/>
        </w:rPr>
        <w:t xml:space="preserve">7. 2011 - 30. 6. 2012 bolo orgánom auditu vydané </w:t>
      </w:r>
      <w:r w:rsidRPr="002E0775">
        <w:rPr>
          <w:rFonts w:ascii="Arial" w:hAnsi="Arial" w:cs="Arial"/>
          <w:i/>
          <w:sz w:val="20"/>
          <w:szCs w:val="20"/>
        </w:rPr>
        <w:t xml:space="preserve">stanovisko </w:t>
      </w:r>
      <w:r w:rsidRPr="002E0775">
        <w:rPr>
          <w:rFonts w:ascii="Arial" w:hAnsi="Arial" w:cs="Arial"/>
          <w:b/>
          <w:i/>
          <w:sz w:val="20"/>
          <w:szCs w:val="20"/>
          <w:u w:val="single"/>
        </w:rPr>
        <w:t>s výhradami,</w:t>
      </w:r>
      <w:r w:rsidRPr="002E0775">
        <w:rPr>
          <w:rFonts w:ascii="Arial" w:hAnsi="Arial" w:cs="Arial"/>
          <w:b/>
          <w:sz w:val="20"/>
          <w:szCs w:val="20"/>
        </w:rPr>
        <w:t xml:space="preserve"> </w:t>
      </w:r>
      <w:r w:rsidRPr="002E0775">
        <w:rPr>
          <w:rFonts w:ascii="Arial" w:hAnsi="Arial" w:cs="Arial"/>
          <w:sz w:val="20"/>
          <w:szCs w:val="20"/>
        </w:rPr>
        <w:t>t.j.</w:t>
      </w:r>
      <w:r w:rsidRPr="002E0775">
        <w:rPr>
          <w:rFonts w:ascii="Arial" w:hAnsi="Arial" w:cs="Arial"/>
          <w:i/>
          <w:sz w:val="20"/>
          <w:szCs w:val="20"/>
        </w:rPr>
        <w:t xml:space="preserve"> </w:t>
      </w:r>
      <w:r w:rsidRPr="002E0775">
        <w:rPr>
          <w:rFonts w:ascii="Arial" w:hAnsi="Arial" w:cs="Arial"/>
          <w:sz w:val="20"/>
          <w:szCs w:val="20"/>
        </w:rPr>
        <w:t>riadiace a kontrolné systémy, zavedené pre OP ŽP,</w:t>
      </w:r>
      <w:r w:rsidRPr="002E0775" w:rsidDel="003976EE">
        <w:rPr>
          <w:rFonts w:ascii="Arial" w:hAnsi="Arial" w:cs="Arial"/>
          <w:sz w:val="20"/>
          <w:szCs w:val="20"/>
        </w:rPr>
        <w:t xml:space="preserve"> </w:t>
      </w:r>
      <w:r w:rsidRPr="002E0775">
        <w:rPr>
          <w:rFonts w:ascii="Arial" w:hAnsi="Arial" w:cs="Arial"/>
          <w:sz w:val="20"/>
          <w:szCs w:val="20"/>
        </w:rPr>
        <w:t>boli v súlade s platnými požiadavkami článkov 58 až 62 nariadenia Rady (ES) č. 1083/2006 a oddielu 3 nariadenia Komisie (ES) č. 1828/2006 a fungovali efektívne, pokiaľ ide o poskytovanie primeranej istoty o tom, že výkazy výdavkov predložené Komisii sú správne, a teda aj primeranej miery istoty o tom, že príslušné transakcie sú zákonné a oprávnené, s výnimkou tohto kľúčového prvku (KP) riadiaceho a kontrolného systému:</w:t>
      </w:r>
    </w:p>
    <w:p w:rsidR="00A83AC2" w:rsidRPr="002E0775" w:rsidRDefault="00A83AC2" w:rsidP="00507035">
      <w:pPr>
        <w:spacing w:before="120" w:after="120" w:line="360" w:lineRule="auto"/>
        <w:jc w:val="both"/>
        <w:rPr>
          <w:rFonts w:ascii="Arial" w:hAnsi="Arial" w:cs="Arial"/>
          <w:sz w:val="20"/>
          <w:szCs w:val="20"/>
          <w:u w:val="single"/>
        </w:rPr>
      </w:pPr>
      <w:r w:rsidRPr="002E0775">
        <w:rPr>
          <w:rFonts w:ascii="Arial" w:hAnsi="Arial" w:cs="Arial"/>
          <w:sz w:val="20"/>
          <w:szCs w:val="20"/>
          <w:u w:val="single"/>
        </w:rPr>
        <w:t xml:space="preserve">Riadiaci orgán </w:t>
      </w:r>
    </w:p>
    <w:p w:rsidR="00A83AC2" w:rsidRPr="002E0775" w:rsidRDefault="00A83AC2" w:rsidP="001540E7">
      <w:pPr>
        <w:numPr>
          <w:ilvl w:val="0"/>
          <w:numId w:val="62"/>
        </w:numPr>
        <w:tabs>
          <w:tab w:val="clear" w:pos="1440"/>
          <w:tab w:val="num" w:pos="709"/>
        </w:tabs>
        <w:spacing w:before="120" w:after="120" w:line="360" w:lineRule="auto"/>
        <w:ind w:left="709"/>
        <w:jc w:val="both"/>
        <w:rPr>
          <w:rFonts w:ascii="Arial" w:hAnsi="Arial" w:cs="Arial"/>
          <w:sz w:val="20"/>
          <w:szCs w:val="20"/>
        </w:rPr>
      </w:pPr>
      <w:r w:rsidRPr="002E0775">
        <w:rPr>
          <w:rFonts w:ascii="Arial" w:hAnsi="Arial" w:cs="Arial"/>
          <w:sz w:val="20"/>
          <w:szCs w:val="20"/>
        </w:rPr>
        <w:t>dostatočné prvostupňové kontroly žiadostí o platbu vykonávané RO a oznamovania a monitorovania nezrovnalostí a vymáhania neoprávnene vyplatených súm (KP 4).</w:t>
      </w:r>
    </w:p>
    <w:p w:rsidR="00CE52D7" w:rsidRDefault="00A83AC2" w:rsidP="00507035">
      <w:pPr>
        <w:spacing w:before="120" w:after="120" w:line="360" w:lineRule="auto"/>
        <w:jc w:val="both"/>
        <w:rPr>
          <w:rFonts w:ascii="Arial" w:hAnsi="Arial" w:cs="Arial"/>
          <w:sz w:val="20"/>
          <w:szCs w:val="20"/>
        </w:rPr>
      </w:pPr>
      <w:r w:rsidRPr="002E0775">
        <w:rPr>
          <w:rFonts w:ascii="Arial" w:hAnsi="Arial" w:cs="Arial"/>
          <w:sz w:val="20"/>
          <w:szCs w:val="20"/>
        </w:rPr>
        <w:t>Toto stanovisko orgánu auditu bolo súčasťou výročnej kontrolnej správy zaslané Európskej komisii dňa 21. 12. 2012.</w:t>
      </w:r>
    </w:p>
    <w:p w:rsidR="00CE52D7" w:rsidRDefault="00CE52D7">
      <w:pPr>
        <w:rPr>
          <w:rFonts w:ascii="Arial" w:hAnsi="Arial" w:cs="Arial"/>
          <w:sz w:val="20"/>
          <w:szCs w:val="20"/>
        </w:rPr>
      </w:pPr>
    </w:p>
    <w:p w:rsidR="002416B1" w:rsidRPr="004B33AE" w:rsidRDefault="002416B1" w:rsidP="00507035">
      <w:pPr>
        <w:pStyle w:val="Nadpis3"/>
        <w:spacing w:before="120" w:after="120"/>
      </w:pPr>
      <w:bookmarkStart w:id="29" w:name="_Toc319573306"/>
      <w:r w:rsidRPr="004B33AE">
        <w:t>2.1.5 Využívanie fondov podľa kategórií</w:t>
      </w:r>
      <w:bookmarkEnd w:id="29"/>
    </w:p>
    <w:p w:rsidR="002416B1" w:rsidRPr="00974986" w:rsidRDefault="002416B1" w:rsidP="00507035">
      <w:pPr>
        <w:spacing w:before="120" w:after="120" w:line="360" w:lineRule="auto"/>
        <w:jc w:val="both"/>
        <w:rPr>
          <w:rFonts w:ascii="Arial" w:hAnsi="Arial" w:cs="Arial"/>
          <w:sz w:val="20"/>
          <w:szCs w:val="20"/>
        </w:rPr>
      </w:pPr>
      <w:r w:rsidRPr="00C03EF2">
        <w:rPr>
          <w:rFonts w:ascii="Arial" w:hAnsi="Arial" w:cs="Arial"/>
          <w:sz w:val="20"/>
          <w:szCs w:val="20"/>
        </w:rPr>
        <w:t>Informácie o pridelenom príspevku S</w:t>
      </w:r>
      <w:r w:rsidRPr="00974986">
        <w:rPr>
          <w:rFonts w:ascii="Arial" w:hAnsi="Arial" w:cs="Arial"/>
          <w:sz w:val="20"/>
          <w:szCs w:val="20"/>
        </w:rPr>
        <w:t>poločenstva k 31.12.201</w:t>
      </w:r>
      <w:r w:rsidR="00493171">
        <w:rPr>
          <w:rFonts w:ascii="Arial" w:hAnsi="Arial" w:cs="Arial"/>
          <w:sz w:val="20"/>
          <w:szCs w:val="20"/>
        </w:rPr>
        <w:t>2</w:t>
      </w:r>
      <w:r w:rsidRPr="00974986">
        <w:rPr>
          <w:rFonts w:ascii="Arial" w:hAnsi="Arial" w:cs="Arial"/>
          <w:sz w:val="20"/>
          <w:szCs w:val="20"/>
        </w:rPr>
        <w:t xml:space="preserve"> v súlade s časťou C prílohy II Nariadenia ES 1828/2006 z 8. decembra 2006 sú uvedené v Prílohe č. 7</w:t>
      </w:r>
      <w:r w:rsidR="001C341A">
        <w:rPr>
          <w:rFonts w:ascii="Arial" w:hAnsi="Arial" w:cs="Arial"/>
          <w:sz w:val="20"/>
          <w:szCs w:val="20"/>
        </w:rPr>
        <w:t>A a v prílohe č. 7B</w:t>
      </w:r>
      <w:r w:rsidRPr="00974986">
        <w:rPr>
          <w:rFonts w:ascii="Arial" w:hAnsi="Arial" w:cs="Arial"/>
          <w:sz w:val="20"/>
          <w:szCs w:val="20"/>
        </w:rPr>
        <w:t xml:space="preserve"> správy.</w:t>
      </w:r>
      <w:r w:rsidR="00F3279E" w:rsidRPr="00974986">
        <w:rPr>
          <w:rFonts w:ascii="Arial" w:hAnsi="Arial" w:cs="Arial"/>
          <w:sz w:val="20"/>
          <w:szCs w:val="20"/>
        </w:rPr>
        <w:t xml:space="preserve"> Uveden</w:t>
      </w:r>
      <w:r w:rsidR="001C341A">
        <w:rPr>
          <w:rFonts w:ascii="Arial" w:hAnsi="Arial" w:cs="Arial"/>
          <w:sz w:val="20"/>
          <w:szCs w:val="20"/>
        </w:rPr>
        <w:t>é</w:t>
      </w:r>
      <w:r w:rsidR="00F3279E" w:rsidRPr="00974986">
        <w:rPr>
          <w:rFonts w:ascii="Arial" w:hAnsi="Arial" w:cs="Arial"/>
          <w:sz w:val="20"/>
          <w:szCs w:val="20"/>
        </w:rPr>
        <w:t xml:space="preserve"> príloh</w:t>
      </w:r>
      <w:r w:rsidR="001C341A">
        <w:rPr>
          <w:rFonts w:ascii="Arial" w:hAnsi="Arial" w:cs="Arial"/>
          <w:sz w:val="20"/>
          <w:szCs w:val="20"/>
        </w:rPr>
        <w:t>y obsahujú</w:t>
      </w:r>
      <w:r w:rsidR="00F3279E" w:rsidRPr="00974986">
        <w:rPr>
          <w:rFonts w:ascii="Arial" w:hAnsi="Arial" w:cs="Arial"/>
          <w:sz w:val="20"/>
          <w:szCs w:val="20"/>
        </w:rPr>
        <w:t xml:space="preserve"> súhrnné tabuľky o financovaní vybraných operácií pre všetkých päť dimenzií.</w:t>
      </w:r>
    </w:p>
    <w:p w:rsidR="00A8640B" w:rsidRPr="00974986" w:rsidRDefault="00EB2720" w:rsidP="00507035">
      <w:pPr>
        <w:spacing w:before="120" w:after="120" w:line="360" w:lineRule="auto"/>
        <w:jc w:val="both"/>
        <w:rPr>
          <w:rFonts w:ascii="Arial" w:hAnsi="Arial" w:cs="Arial"/>
          <w:bCs/>
          <w:sz w:val="20"/>
          <w:szCs w:val="20"/>
        </w:rPr>
      </w:pPr>
      <w:r w:rsidRPr="00974986">
        <w:rPr>
          <w:rFonts w:ascii="Arial" w:hAnsi="Arial" w:cs="Arial"/>
          <w:bCs/>
          <w:sz w:val="20"/>
          <w:szCs w:val="20"/>
        </w:rPr>
        <w:t xml:space="preserve">Do Prílohy č. 7 Súhrnné členenie prideleného príspevku </w:t>
      </w:r>
      <w:r w:rsidR="00493171">
        <w:rPr>
          <w:rFonts w:ascii="Arial" w:hAnsi="Arial" w:cs="Arial"/>
          <w:bCs/>
          <w:sz w:val="20"/>
          <w:szCs w:val="20"/>
        </w:rPr>
        <w:t>EÚ</w:t>
      </w:r>
      <w:r w:rsidR="00493171" w:rsidRPr="00974986">
        <w:rPr>
          <w:rFonts w:ascii="Arial" w:hAnsi="Arial" w:cs="Arial"/>
          <w:bCs/>
          <w:sz w:val="20"/>
          <w:szCs w:val="20"/>
        </w:rPr>
        <w:t xml:space="preserve"> </w:t>
      </w:r>
      <w:r w:rsidRPr="00974986">
        <w:rPr>
          <w:rFonts w:ascii="Arial" w:hAnsi="Arial" w:cs="Arial"/>
          <w:bCs/>
          <w:sz w:val="20"/>
          <w:szCs w:val="20"/>
        </w:rPr>
        <w:t>podľa kategórie boli v zmysle pripomienok EK zahrnuté taktiež údaje týkajúce sa veľkých projektov predložených EK k 31.12.201</w:t>
      </w:r>
      <w:r w:rsidR="00974986">
        <w:rPr>
          <w:rFonts w:ascii="Arial" w:hAnsi="Arial" w:cs="Arial"/>
          <w:bCs/>
          <w:sz w:val="20"/>
          <w:szCs w:val="20"/>
        </w:rPr>
        <w:t>2</w:t>
      </w:r>
      <w:r w:rsidRPr="00C03EF2">
        <w:rPr>
          <w:rFonts w:ascii="Arial" w:hAnsi="Arial" w:cs="Arial"/>
          <w:bCs/>
          <w:sz w:val="20"/>
          <w:szCs w:val="20"/>
        </w:rPr>
        <w:t>.</w:t>
      </w:r>
    </w:p>
    <w:p w:rsidR="000A0E68" w:rsidRPr="00974986" w:rsidRDefault="000A0E68" w:rsidP="00507035">
      <w:pPr>
        <w:autoSpaceDN w:val="0"/>
        <w:spacing w:before="120" w:after="120" w:line="360" w:lineRule="auto"/>
        <w:jc w:val="both"/>
        <w:rPr>
          <w:rFonts w:ascii="Arial" w:hAnsi="Arial" w:cs="Arial"/>
          <w:bCs/>
          <w:sz w:val="20"/>
          <w:szCs w:val="20"/>
        </w:rPr>
      </w:pPr>
      <w:r w:rsidRPr="00974986">
        <w:rPr>
          <w:rFonts w:ascii="Arial" w:hAnsi="Arial" w:cs="Arial"/>
          <w:bCs/>
          <w:sz w:val="20"/>
          <w:szCs w:val="20"/>
        </w:rPr>
        <w:t>Pre prioritné témy HT 51 a HT 54 v rámci prioritnej osi 5 Ochrana a regenerácia prírodného prostredia a krajiny je použitý kód Typ územia „neuplatňuje sa“, t.j. „00“ v súlade s platným znením Operačného programu Životné prostredie – verzia 3.0, schváleným Európskou komisiou (str. 106).  Dôvodom uplatnenia kódu „00“ v zmysle implementačného nariadenia EK, prílohy č. II je skutočnosť, že aktivity v rámci prioritnej osi 5 sú primárne zamerané na podporu chránených území v rámci siete NATURA 2000, a teda v ich prípade nejde o typ územia  mestské a ani vidiecke oblasti (iné ako horské, ostrovné alebo riedko a veľmi riedko osídlené oblasti).</w:t>
      </w:r>
    </w:p>
    <w:p w:rsidR="00B372FB" w:rsidRDefault="00B372FB" w:rsidP="00507035">
      <w:pPr>
        <w:autoSpaceDN w:val="0"/>
        <w:spacing w:before="120" w:after="120" w:line="360" w:lineRule="auto"/>
        <w:jc w:val="both"/>
        <w:rPr>
          <w:rFonts w:ascii="Arial" w:hAnsi="Arial" w:cs="Arial"/>
          <w:color w:val="000000"/>
          <w:sz w:val="20"/>
          <w:szCs w:val="20"/>
        </w:rPr>
      </w:pPr>
      <w:r w:rsidRPr="00974986">
        <w:rPr>
          <w:rFonts w:ascii="Arial" w:hAnsi="Arial" w:cs="Arial"/>
          <w:bCs/>
          <w:sz w:val="20"/>
          <w:szCs w:val="20"/>
        </w:rPr>
        <w:t xml:space="preserve">Kód </w:t>
      </w:r>
      <w:r w:rsidRPr="00974986">
        <w:rPr>
          <w:rFonts w:ascii="Arial" w:hAnsi="Arial" w:cs="Arial"/>
          <w:color w:val="000000"/>
          <w:sz w:val="20"/>
          <w:szCs w:val="20"/>
        </w:rPr>
        <w:t>22 Iné nešpecifikované služby v rámci oblasti Hospodárska činnosť je vykazovaný</w:t>
      </w:r>
      <w:r w:rsidR="0094742B" w:rsidRPr="00974986">
        <w:rPr>
          <w:rFonts w:ascii="Arial" w:hAnsi="Arial" w:cs="Arial"/>
          <w:color w:val="000000"/>
          <w:sz w:val="20"/>
          <w:szCs w:val="20"/>
        </w:rPr>
        <w:t>, avšak v nulovej hodnote, nakoľko je v zmysle požiadavky EK uplatňovaný kód 21 činnosti súvisiace so životným prostredím.</w:t>
      </w:r>
      <w:r w:rsidR="0094742B">
        <w:rPr>
          <w:rFonts w:ascii="Arial" w:hAnsi="Arial" w:cs="Arial"/>
          <w:color w:val="000000"/>
          <w:sz w:val="20"/>
          <w:szCs w:val="20"/>
        </w:rPr>
        <w:t xml:space="preserve"> </w:t>
      </w:r>
    </w:p>
    <w:p w:rsidR="00454DC9" w:rsidRPr="000A0E68" w:rsidRDefault="00454DC9" w:rsidP="00507035">
      <w:pPr>
        <w:autoSpaceDN w:val="0"/>
        <w:spacing w:before="120" w:after="120" w:line="360" w:lineRule="auto"/>
        <w:jc w:val="both"/>
        <w:rPr>
          <w:rFonts w:ascii="Arial" w:hAnsi="Arial" w:cs="Arial"/>
          <w:bCs/>
          <w:sz w:val="20"/>
          <w:szCs w:val="20"/>
        </w:rPr>
      </w:pPr>
    </w:p>
    <w:p w:rsidR="002416B1" w:rsidRPr="004B33AE" w:rsidRDefault="002416B1" w:rsidP="00507035">
      <w:pPr>
        <w:pStyle w:val="Nadpis3"/>
        <w:spacing w:before="120" w:after="120"/>
      </w:pPr>
      <w:bookmarkStart w:id="30" w:name="_Toc239828534"/>
      <w:bookmarkStart w:id="31" w:name="_Toc319573307"/>
      <w:bookmarkStart w:id="32" w:name="OLE_LINK10"/>
      <w:bookmarkStart w:id="33" w:name="OLE_LINK17"/>
      <w:r w:rsidRPr="004B33AE">
        <w:t>2.1.6 Príspevok k Lisabonskému procesu</w:t>
      </w:r>
      <w:bookmarkEnd w:id="30"/>
      <w:bookmarkEnd w:id="31"/>
      <w:r>
        <w:t xml:space="preserve"> / k stratégii Európa 2020</w:t>
      </w:r>
    </w:p>
    <w:bookmarkEnd w:id="32"/>
    <w:bookmarkEnd w:id="33"/>
    <w:p w:rsidR="002416B1" w:rsidRPr="004B33AE" w:rsidRDefault="002416B1" w:rsidP="00507035">
      <w:pPr>
        <w:spacing w:before="120" w:after="120" w:line="360" w:lineRule="auto"/>
        <w:jc w:val="both"/>
        <w:rPr>
          <w:rFonts w:ascii="Arial" w:hAnsi="Arial" w:cs="Arial"/>
          <w:sz w:val="20"/>
          <w:szCs w:val="20"/>
        </w:rPr>
      </w:pPr>
      <w:r w:rsidRPr="004B33AE">
        <w:rPr>
          <w:rFonts w:ascii="Arial" w:hAnsi="Arial" w:cs="Arial"/>
          <w:sz w:val="20"/>
          <w:szCs w:val="20"/>
        </w:rPr>
        <w:t xml:space="preserve">Oblasť životného prostredia je jednou zo základných sektorových oblastí Lisabonskej stratégie. Kľúčovými prioritami Slovenskej republiky v oblasti životného prostredia v kontexte plnenia základných strategických cieľov Lisabonskej agendy sú nasledovné vybrané priority (ciele): </w:t>
      </w:r>
    </w:p>
    <w:p w:rsidR="002416B1" w:rsidRPr="004B33AE" w:rsidRDefault="002416B1" w:rsidP="001540E7">
      <w:pPr>
        <w:numPr>
          <w:ilvl w:val="0"/>
          <w:numId w:val="8"/>
        </w:numPr>
        <w:spacing w:before="120" w:after="120" w:line="360" w:lineRule="auto"/>
        <w:jc w:val="both"/>
        <w:rPr>
          <w:rFonts w:ascii="Arial" w:hAnsi="Arial" w:cs="Arial"/>
          <w:sz w:val="20"/>
          <w:szCs w:val="20"/>
        </w:rPr>
      </w:pPr>
      <w:r w:rsidRPr="004B33AE">
        <w:rPr>
          <w:rFonts w:ascii="Arial" w:hAnsi="Arial" w:cs="Arial"/>
          <w:sz w:val="20"/>
          <w:szCs w:val="20"/>
        </w:rPr>
        <w:t>dosiahnuť kontrolu nad vývojom emisií skleníkových plynov tak, aby trend rastu bol postupne zmierňovaný až po stabilizáciu v období po roku 2015;</w:t>
      </w:r>
    </w:p>
    <w:p w:rsidR="002416B1" w:rsidRPr="004B33AE" w:rsidRDefault="002416B1" w:rsidP="001540E7">
      <w:pPr>
        <w:numPr>
          <w:ilvl w:val="0"/>
          <w:numId w:val="8"/>
        </w:numPr>
        <w:spacing w:before="120" w:after="120" w:line="360" w:lineRule="auto"/>
        <w:jc w:val="both"/>
        <w:rPr>
          <w:rFonts w:ascii="Arial" w:hAnsi="Arial" w:cs="Arial"/>
          <w:sz w:val="20"/>
          <w:szCs w:val="20"/>
        </w:rPr>
      </w:pPr>
      <w:r w:rsidRPr="004B33AE">
        <w:rPr>
          <w:rFonts w:ascii="Arial" w:hAnsi="Arial" w:cs="Arial"/>
          <w:sz w:val="20"/>
          <w:szCs w:val="20"/>
        </w:rPr>
        <w:t>podpora využívania zdrojov energií s priaznivým vplyvom na životné prostredie a využívania obnoviteľných zdrojov energií;</w:t>
      </w:r>
    </w:p>
    <w:p w:rsidR="002416B1" w:rsidRPr="004B33AE" w:rsidRDefault="002416B1" w:rsidP="001540E7">
      <w:pPr>
        <w:numPr>
          <w:ilvl w:val="0"/>
          <w:numId w:val="8"/>
        </w:numPr>
        <w:spacing w:before="120" w:after="120" w:line="360" w:lineRule="auto"/>
        <w:jc w:val="both"/>
        <w:rPr>
          <w:rFonts w:ascii="Arial" w:hAnsi="Arial" w:cs="Arial"/>
          <w:sz w:val="20"/>
          <w:szCs w:val="20"/>
        </w:rPr>
      </w:pPr>
      <w:r w:rsidRPr="004B33AE">
        <w:rPr>
          <w:rFonts w:ascii="Arial" w:hAnsi="Arial" w:cs="Arial"/>
          <w:sz w:val="20"/>
          <w:szCs w:val="20"/>
        </w:rPr>
        <w:t>limitovať hospodársky rozvoj v súlade s prírodnými podmienkami a potenciálom;</w:t>
      </w:r>
    </w:p>
    <w:p w:rsidR="002416B1" w:rsidRPr="004B33AE" w:rsidRDefault="002416B1" w:rsidP="001540E7">
      <w:pPr>
        <w:numPr>
          <w:ilvl w:val="0"/>
          <w:numId w:val="8"/>
        </w:numPr>
        <w:spacing w:before="120" w:after="120" w:line="360" w:lineRule="auto"/>
        <w:jc w:val="both"/>
        <w:rPr>
          <w:rFonts w:ascii="Arial" w:hAnsi="Arial" w:cs="Arial"/>
          <w:sz w:val="20"/>
          <w:szCs w:val="20"/>
        </w:rPr>
      </w:pPr>
      <w:r w:rsidRPr="004B33AE">
        <w:rPr>
          <w:rFonts w:ascii="Arial" w:hAnsi="Arial" w:cs="Arial"/>
          <w:sz w:val="20"/>
          <w:szCs w:val="20"/>
        </w:rPr>
        <w:t>racionálne využívať prírodné zdroje</w:t>
      </w:r>
      <w:r w:rsidR="00710BE8">
        <w:rPr>
          <w:rFonts w:ascii="Arial" w:hAnsi="Arial" w:cs="Arial"/>
          <w:sz w:val="20"/>
          <w:szCs w:val="20"/>
        </w:rPr>
        <w:t>.</w:t>
      </w:r>
    </w:p>
    <w:p w:rsidR="002416B1" w:rsidRPr="00C87DF7" w:rsidRDefault="002416B1" w:rsidP="00507035">
      <w:pPr>
        <w:spacing w:before="120" w:after="120" w:line="360" w:lineRule="auto"/>
        <w:jc w:val="both"/>
        <w:rPr>
          <w:rFonts w:ascii="Arial" w:hAnsi="Arial" w:cs="Arial"/>
          <w:sz w:val="20"/>
          <w:szCs w:val="20"/>
        </w:rPr>
      </w:pPr>
      <w:r w:rsidRPr="00C87DF7">
        <w:rPr>
          <w:rFonts w:ascii="Arial" w:hAnsi="Arial" w:cs="Arial"/>
          <w:sz w:val="20"/>
          <w:szCs w:val="20"/>
        </w:rPr>
        <w:t>Nakoľko prostrední</w:t>
      </w:r>
      <w:r>
        <w:rPr>
          <w:rFonts w:ascii="Arial" w:hAnsi="Arial" w:cs="Arial"/>
          <w:sz w:val="20"/>
          <w:szCs w:val="20"/>
        </w:rPr>
        <w:t>ctvom OP ŽP je podporovaná realizácia</w:t>
      </w:r>
      <w:r w:rsidRPr="00C87DF7">
        <w:rPr>
          <w:rFonts w:ascii="Arial" w:hAnsi="Arial" w:cs="Arial"/>
          <w:sz w:val="20"/>
          <w:szCs w:val="20"/>
        </w:rPr>
        <w:t xml:space="preserve"> projektov prostredníctvom finančných prostriedkov zo štrukturálnych fondov (konkrétne z </w:t>
      </w:r>
      <w:r w:rsidR="00710BE8">
        <w:rPr>
          <w:rFonts w:ascii="Arial" w:hAnsi="Arial" w:cs="Arial"/>
          <w:sz w:val="20"/>
          <w:szCs w:val="20"/>
        </w:rPr>
        <w:t>ERDF</w:t>
      </w:r>
      <w:r w:rsidRPr="00C87DF7">
        <w:rPr>
          <w:rFonts w:ascii="Arial" w:hAnsi="Arial" w:cs="Arial"/>
          <w:sz w:val="20"/>
          <w:szCs w:val="20"/>
        </w:rPr>
        <w:t xml:space="preserve"> a </w:t>
      </w:r>
      <w:r w:rsidR="00710BE8">
        <w:rPr>
          <w:rFonts w:ascii="Arial" w:hAnsi="Arial" w:cs="Arial"/>
          <w:sz w:val="20"/>
          <w:szCs w:val="20"/>
        </w:rPr>
        <w:t>KF</w:t>
      </w:r>
      <w:r>
        <w:rPr>
          <w:rFonts w:ascii="Arial" w:hAnsi="Arial" w:cs="Arial"/>
          <w:sz w:val="20"/>
          <w:szCs w:val="20"/>
        </w:rPr>
        <w:t>), pri hodnoten</w:t>
      </w:r>
      <w:r w:rsidRPr="00C87DF7">
        <w:rPr>
          <w:rFonts w:ascii="Arial" w:hAnsi="Arial" w:cs="Arial"/>
          <w:sz w:val="20"/>
          <w:szCs w:val="20"/>
        </w:rPr>
        <w:t xml:space="preserve">í jeho príspevku k realizácii Lisabonskej agendy možno vychádzať z </w:t>
      </w:r>
      <w:r>
        <w:rPr>
          <w:rFonts w:ascii="Arial" w:hAnsi="Arial" w:cs="Arial"/>
          <w:sz w:val="20"/>
          <w:szCs w:val="20"/>
        </w:rPr>
        <w:t>údajov zameraných na o využívanie</w:t>
      </w:r>
      <w:r w:rsidRPr="00C87DF7">
        <w:rPr>
          <w:rFonts w:ascii="Arial" w:hAnsi="Arial" w:cs="Arial"/>
          <w:sz w:val="20"/>
          <w:szCs w:val="20"/>
        </w:rPr>
        <w:t xml:space="preserve"> prostriedkov týchto fondov v nadväznosti na plnenie hore uvedených cieľov Lisabonskej stratégie.</w:t>
      </w:r>
    </w:p>
    <w:p w:rsidR="002416B1" w:rsidRPr="00C87DF7" w:rsidRDefault="002416B1" w:rsidP="00507035">
      <w:pPr>
        <w:spacing w:before="120" w:after="120" w:line="360" w:lineRule="auto"/>
        <w:jc w:val="both"/>
        <w:rPr>
          <w:rFonts w:ascii="Arial" w:hAnsi="Arial" w:cs="Arial"/>
          <w:sz w:val="20"/>
          <w:szCs w:val="20"/>
        </w:rPr>
      </w:pPr>
      <w:r w:rsidRPr="00C87DF7">
        <w:rPr>
          <w:rFonts w:ascii="Arial" w:hAnsi="Arial" w:cs="Arial"/>
          <w:sz w:val="20"/>
          <w:szCs w:val="20"/>
        </w:rPr>
        <w:t xml:space="preserve">Z hľadiska príspevku k dosahovaniu cieľov Lisabonskej stratégie je možné v rámci prvých dvoch cieľov hodnotiť využívanie finančných prostriedkov a realizáciu projektov spadajúcich pod prioritnú os 3 Ochrana ovzdušia a minimalizácia nepriaznivých vplyvov zmeny klímy. Oblasť zmeny klímy priamo súvisí s problematikou znižovania emisií skleníkových plynov. Keďže najvýznamnejším zdrojom emisií skleníkových plynov je spaľovanie fosílnych palív, účinným spôsobom znižovania emisií skleníkových plynov je využívanie obnoviteľných zdrojov energie. </w:t>
      </w:r>
    </w:p>
    <w:p w:rsidR="002416B1" w:rsidRPr="00C87DF7" w:rsidRDefault="002416B1" w:rsidP="00507035">
      <w:pPr>
        <w:spacing w:before="120" w:after="120" w:line="360" w:lineRule="auto"/>
        <w:jc w:val="both"/>
        <w:rPr>
          <w:rFonts w:ascii="Arial" w:hAnsi="Arial" w:cs="Arial"/>
          <w:sz w:val="20"/>
          <w:szCs w:val="20"/>
        </w:rPr>
      </w:pPr>
      <w:r w:rsidRPr="00C87DF7">
        <w:rPr>
          <w:rFonts w:ascii="Arial" w:hAnsi="Arial" w:cs="Arial"/>
          <w:sz w:val="20"/>
          <w:szCs w:val="20"/>
        </w:rPr>
        <w:t xml:space="preserve">Podpora využívania obnoviteľných zdrojov energie a znižovania energetickej náročnosti stavieb (súčasťou projektov môžu byť aj opatrenia na zníženie energetických strát objektov) a využitia obnoviteľných zdrojov energie je v rámci OP ŽP jedným z prostriedkov na zlepšenie kvality životného prostredia, konkrétne na zníženie znečistenia </w:t>
      </w:r>
      <w:r>
        <w:rPr>
          <w:rFonts w:ascii="Arial" w:hAnsi="Arial" w:cs="Arial"/>
          <w:sz w:val="20"/>
          <w:szCs w:val="20"/>
        </w:rPr>
        <w:t xml:space="preserve">ovzdušia. Aktivity zamerané na </w:t>
      </w:r>
      <w:r w:rsidRPr="00C87DF7">
        <w:rPr>
          <w:rFonts w:ascii="Arial" w:hAnsi="Arial" w:cs="Arial"/>
          <w:sz w:val="20"/>
          <w:szCs w:val="20"/>
        </w:rPr>
        <w:t xml:space="preserve">zmenu palivovej základne energetických zdrojov v prospech využívania obnoviteľných zdrojov energie, resp. prispievajúce k účinnejšiemu využívaniu energie sú v rámci OP ŽP podporované ako nástroj/jeden zo spôsobov dosiahnutia špecifických cieľov jednotlivých prioritných osí, najmä Prioritnej osi 3. </w:t>
      </w:r>
    </w:p>
    <w:p w:rsidR="002416B1" w:rsidRPr="00C87DF7" w:rsidRDefault="002416B1" w:rsidP="00507035">
      <w:pPr>
        <w:spacing w:before="120" w:after="120" w:line="360" w:lineRule="auto"/>
        <w:jc w:val="both"/>
        <w:rPr>
          <w:rFonts w:ascii="Arial" w:hAnsi="Arial" w:cs="Arial"/>
          <w:sz w:val="20"/>
          <w:szCs w:val="20"/>
        </w:rPr>
      </w:pPr>
      <w:r w:rsidRPr="00C03EF2">
        <w:rPr>
          <w:rFonts w:ascii="Arial" w:hAnsi="Arial" w:cs="Arial"/>
          <w:sz w:val="20"/>
          <w:szCs w:val="20"/>
        </w:rPr>
        <w:t>Na prioritnú os 3 boli alokované finančné prostriedky z ERDF v celkovej výške 211 764 706 EUR, k 31.12.201</w:t>
      </w:r>
      <w:r w:rsidR="006C65BE" w:rsidRPr="00710BE8">
        <w:rPr>
          <w:rFonts w:ascii="Arial" w:hAnsi="Arial" w:cs="Arial"/>
          <w:sz w:val="20"/>
          <w:szCs w:val="20"/>
        </w:rPr>
        <w:t>2</w:t>
      </w:r>
      <w:r w:rsidRPr="006C65BE">
        <w:rPr>
          <w:rFonts w:ascii="Arial" w:hAnsi="Arial" w:cs="Arial"/>
          <w:sz w:val="20"/>
          <w:szCs w:val="20"/>
        </w:rPr>
        <w:t xml:space="preserve"> bolo prijatých celkovo 326 žiadostí o NFP v objeme 464 739 447 EUR. Z uvedeného počtu žiadostí bolo k 31.12.201</w:t>
      </w:r>
      <w:r w:rsidR="006C65BE" w:rsidRPr="00710BE8">
        <w:rPr>
          <w:rFonts w:ascii="Arial" w:hAnsi="Arial" w:cs="Arial"/>
          <w:sz w:val="20"/>
          <w:szCs w:val="20"/>
        </w:rPr>
        <w:t>2</w:t>
      </w:r>
      <w:r w:rsidRPr="006C65BE">
        <w:rPr>
          <w:rFonts w:ascii="Arial" w:hAnsi="Arial" w:cs="Arial"/>
          <w:sz w:val="20"/>
          <w:szCs w:val="20"/>
        </w:rPr>
        <w:t xml:space="preserve"> schválených 108 žiadostí o NFP v celkovej výške 169 031 199 EUR.</w:t>
      </w:r>
      <w:r w:rsidRPr="00C87DF7">
        <w:rPr>
          <w:rFonts w:ascii="Arial" w:hAnsi="Arial" w:cs="Arial"/>
          <w:sz w:val="20"/>
          <w:szCs w:val="20"/>
        </w:rPr>
        <w:t xml:space="preserve"> </w:t>
      </w:r>
      <w:r w:rsidR="006C65BE">
        <w:rPr>
          <w:rFonts w:ascii="Arial" w:hAnsi="Arial" w:cs="Arial"/>
          <w:sz w:val="20"/>
          <w:szCs w:val="20"/>
        </w:rPr>
        <w:t xml:space="preserve"> V priebehu roka 2012 neboli vyhlásené žiadne výzvy na prioritnú os 3.</w:t>
      </w:r>
    </w:p>
    <w:p w:rsidR="002416B1" w:rsidRPr="00C87DF7" w:rsidRDefault="002416B1" w:rsidP="00507035">
      <w:pPr>
        <w:spacing w:before="120" w:after="120" w:line="360" w:lineRule="auto"/>
        <w:jc w:val="both"/>
        <w:rPr>
          <w:rFonts w:ascii="Arial" w:hAnsi="Arial" w:cs="Arial"/>
          <w:sz w:val="20"/>
          <w:szCs w:val="20"/>
        </w:rPr>
      </w:pPr>
      <w:r w:rsidRPr="00C87DF7">
        <w:rPr>
          <w:rFonts w:ascii="Arial" w:hAnsi="Arial" w:cs="Arial"/>
          <w:sz w:val="20"/>
          <w:szCs w:val="20"/>
        </w:rPr>
        <w:t>Pokiaľ ide o príspevok OP ŽP k využívaniu obnoviteľných zdrojov energie a zvyšovaniu energetickej efektívnosti, tento sa v rámci OP ŽP sleduje na horizontálnej úrovni (t.j. súhrnne za všetky prioritné osi), a to v rámci horizontálnej priority Trvalo udržateľný rozvoj (viď kap. 4.4.).</w:t>
      </w:r>
    </w:p>
    <w:p w:rsidR="002416B1" w:rsidRPr="00C87DF7" w:rsidRDefault="002416B1" w:rsidP="00507035">
      <w:pPr>
        <w:spacing w:before="120" w:after="120" w:line="360" w:lineRule="auto"/>
        <w:jc w:val="both"/>
        <w:rPr>
          <w:rFonts w:ascii="Arial" w:hAnsi="Arial" w:cs="Arial"/>
          <w:sz w:val="20"/>
          <w:szCs w:val="20"/>
        </w:rPr>
      </w:pPr>
      <w:r w:rsidRPr="00C87DF7">
        <w:rPr>
          <w:rFonts w:ascii="Arial" w:hAnsi="Arial" w:cs="Arial"/>
          <w:sz w:val="20"/>
          <w:szCs w:val="20"/>
        </w:rPr>
        <w:t>V rámci širšieho kontextu realizácie cieľov vyplýv</w:t>
      </w:r>
      <w:r>
        <w:rPr>
          <w:rFonts w:ascii="Arial" w:hAnsi="Arial" w:cs="Arial"/>
          <w:sz w:val="20"/>
          <w:szCs w:val="20"/>
        </w:rPr>
        <w:t>ajúcich z Lisabonskej stratégie</w:t>
      </w:r>
      <w:r w:rsidRPr="00C87DF7">
        <w:rPr>
          <w:rFonts w:ascii="Arial" w:hAnsi="Arial" w:cs="Arial"/>
          <w:sz w:val="20"/>
          <w:szCs w:val="20"/>
        </w:rPr>
        <w:t xml:space="preserve"> je zároveň potrebné uviesť, že vláda SR v nadväznosti na stanovené ciele na úrovni EÚ smerujúce k vytvoreniu konkurencieschopného, prepojeného a ekologickejšieho hospodárstva, založeného na boji proti zmene klímy, čistej a účinnej energii a konkurencieschopnosti, prijala návrh opatrení na realizáciu klimaticko-energetického balíčka, ktoré majú za cieľ zabezpečiť praktické napĺňanie záväzkov EÚ do roku 2020 v podmienkach SR. V rámci materiálu Hodnotiaca správa a návrh opatrení pre implementáciu klimaticko-energetického balíčka v podmienkach SR (schváleného uznesením vlády SR č. 108/2010) je v nadväznosti na základný legislatívny rámec EÚ pre klimaticko-energetický balíček identifikovaná potreba prípravy národného legislatívneho rámca pre klimaticko-energetický balíček a zároveň tiež stanovené redukčné ciele v oblasti znižovania emisií skleníkových plynov s návrhom opatrení na ich plnenie v podmienkach SR v jednotlivých sektoroch (bývanie, domácnosti a verejné budovy, doprava, poľnohospodárstvo a lesníctvo), ako aj opatrenia na plnenie cieľov v oblasti využívania obnoviteľných zdrojov energie a podmienky a opatrenia na plnenie národných cieľov v oblasti využívania biopalív v SR. Uvedené opatrenia majú prierezový charakter, takže vychádzajú nielen za rámec OP ŽP, ale tiež za rámec pôsobnosti MŽP SR a pri ich plnení bude potrebná súčinnosť všetkých dotknutých rezortov (najmä Ministerstva hospodárstva SR).</w:t>
      </w:r>
    </w:p>
    <w:p w:rsidR="002416B1" w:rsidRPr="00C87DF7" w:rsidRDefault="002416B1" w:rsidP="00507035">
      <w:pPr>
        <w:spacing w:before="120" w:after="120" w:line="360" w:lineRule="auto"/>
        <w:jc w:val="both"/>
        <w:rPr>
          <w:rFonts w:ascii="Arial" w:hAnsi="Arial" w:cs="Arial"/>
          <w:sz w:val="20"/>
          <w:szCs w:val="20"/>
        </w:rPr>
      </w:pPr>
      <w:r w:rsidRPr="00C87DF7">
        <w:rPr>
          <w:rFonts w:ascii="Arial" w:hAnsi="Arial" w:cs="Arial"/>
          <w:sz w:val="20"/>
          <w:szCs w:val="20"/>
        </w:rPr>
        <w:t>V rámci príspevku OP ŽP k plneniu druhých dvoch cieľov Lisabonskej stratégie je možné hodnotiť využívanie finančných prostriedkov a realizáciu projektov spadajúcich pod prioritnú os 4 Odpadové hospodárstvo a prioritnú os 5 Ochrana a regenerácia prírodného prostredia a krajiny.</w:t>
      </w:r>
    </w:p>
    <w:p w:rsidR="002416B1" w:rsidRPr="001A1353" w:rsidRDefault="002416B1" w:rsidP="00507035">
      <w:pPr>
        <w:spacing w:before="120" w:after="120" w:line="360" w:lineRule="auto"/>
        <w:jc w:val="both"/>
        <w:rPr>
          <w:rFonts w:ascii="Arial" w:hAnsi="Arial" w:cs="Arial"/>
          <w:sz w:val="20"/>
          <w:szCs w:val="20"/>
        </w:rPr>
      </w:pPr>
      <w:r w:rsidRPr="00C03EF2">
        <w:rPr>
          <w:rFonts w:ascii="Arial" w:hAnsi="Arial" w:cs="Arial"/>
          <w:sz w:val="20"/>
          <w:szCs w:val="20"/>
        </w:rPr>
        <w:t>Na prioritnú os 4 boli alokované finančné prostriedk</w:t>
      </w:r>
      <w:r w:rsidRPr="001A1353">
        <w:rPr>
          <w:rFonts w:ascii="Arial" w:hAnsi="Arial" w:cs="Arial"/>
          <w:sz w:val="20"/>
          <w:szCs w:val="20"/>
        </w:rPr>
        <w:t xml:space="preserve">y v celkovej výške 570 588 235 EUR, prijatých bolo celkovo </w:t>
      </w:r>
      <w:r w:rsidR="001A1353" w:rsidRPr="001A1353">
        <w:rPr>
          <w:rFonts w:ascii="Arial" w:hAnsi="Arial" w:cs="Arial"/>
          <w:sz w:val="20"/>
          <w:szCs w:val="20"/>
        </w:rPr>
        <w:t>14</w:t>
      </w:r>
      <w:r w:rsidR="001A1353" w:rsidRPr="005174E9">
        <w:rPr>
          <w:rFonts w:ascii="Arial" w:hAnsi="Arial" w:cs="Arial"/>
          <w:sz w:val="20"/>
          <w:szCs w:val="20"/>
        </w:rPr>
        <w:t>74</w:t>
      </w:r>
      <w:r w:rsidR="001A1353" w:rsidRPr="00C03EF2">
        <w:rPr>
          <w:rFonts w:ascii="Arial" w:hAnsi="Arial" w:cs="Arial"/>
          <w:sz w:val="20"/>
          <w:szCs w:val="20"/>
        </w:rPr>
        <w:t xml:space="preserve"> </w:t>
      </w:r>
      <w:r w:rsidRPr="001A1353">
        <w:rPr>
          <w:rFonts w:ascii="Arial" w:hAnsi="Arial" w:cs="Arial"/>
          <w:sz w:val="20"/>
          <w:szCs w:val="20"/>
        </w:rPr>
        <w:t xml:space="preserve">žiadostí o nenávratný finančný príspevok v objeme </w:t>
      </w:r>
      <w:r w:rsidR="001A1353" w:rsidRPr="001A1353">
        <w:rPr>
          <w:rFonts w:ascii="Arial" w:hAnsi="Arial" w:cs="Arial"/>
          <w:sz w:val="20"/>
          <w:szCs w:val="20"/>
        </w:rPr>
        <w:t xml:space="preserve">1 744 294 202 </w:t>
      </w:r>
      <w:r w:rsidRPr="001A1353">
        <w:rPr>
          <w:rFonts w:ascii="Arial" w:hAnsi="Arial" w:cs="Arial"/>
          <w:sz w:val="20"/>
          <w:szCs w:val="20"/>
        </w:rPr>
        <w:t xml:space="preserve">EUR. Z uvedeného počtu žiadostí bolo schválených </w:t>
      </w:r>
      <w:r w:rsidR="001A1353" w:rsidRPr="001A1353">
        <w:rPr>
          <w:rFonts w:ascii="Arial" w:hAnsi="Arial" w:cs="Arial"/>
          <w:sz w:val="20"/>
          <w:szCs w:val="20"/>
        </w:rPr>
        <w:t>2</w:t>
      </w:r>
      <w:r w:rsidR="001A1353" w:rsidRPr="005174E9">
        <w:rPr>
          <w:rFonts w:ascii="Arial" w:hAnsi="Arial" w:cs="Arial"/>
          <w:sz w:val="20"/>
          <w:szCs w:val="20"/>
        </w:rPr>
        <w:t>68</w:t>
      </w:r>
      <w:r w:rsidR="001A1353" w:rsidRPr="00C03EF2">
        <w:rPr>
          <w:rFonts w:ascii="Arial" w:hAnsi="Arial" w:cs="Arial"/>
          <w:sz w:val="20"/>
          <w:szCs w:val="20"/>
        </w:rPr>
        <w:t xml:space="preserve"> </w:t>
      </w:r>
      <w:r w:rsidRPr="001A1353">
        <w:rPr>
          <w:rFonts w:ascii="Arial" w:hAnsi="Arial" w:cs="Arial"/>
          <w:sz w:val="20"/>
          <w:szCs w:val="20"/>
        </w:rPr>
        <w:t xml:space="preserve">žiadostí o NFP v celkovej výške </w:t>
      </w:r>
      <w:r w:rsidR="001A1353" w:rsidRPr="001A1353">
        <w:rPr>
          <w:rFonts w:ascii="Arial" w:hAnsi="Arial" w:cs="Arial"/>
          <w:sz w:val="20"/>
          <w:szCs w:val="20"/>
        </w:rPr>
        <w:t>416 381 397</w:t>
      </w:r>
      <w:r w:rsidRPr="001A1353">
        <w:rPr>
          <w:rFonts w:ascii="Arial" w:hAnsi="Arial" w:cs="Arial"/>
          <w:sz w:val="20"/>
          <w:szCs w:val="20"/>
        </w:rPr>
        <w:t>EUR.</w:t>
      </w:r>
    </w:p>
    <w:p w:rsidR="002416B1" w:rsidRPr="00CC3F8C" w:rsidRDefault="002416B1" w:rsidP="00507035">
      <w:pPr>
        <w:spacing w:before="120" w:after="120" w:line="360" w:lineRule="auto"/>
        <w:jc w:val="both"/>
        <w:rPr>
          <w:rFonts w:ascii="Arial" w:hAnsi="Arial" w:cs="Arial"/>
          <w:sz w:val="20"/>
          <w:szCs w:val="20"/>
        </w:rPr>
      </w:pPr>
      <w:r w:rsidRPr="00D97514">
        <w:rPr>
          <w:rFonts w:ascii="Arial" w:hAnsi="Arial" w:cs="Arial"/>
          <w:sz w:val="20"/>
          <w:szCs w:val="20"/>
        </w:rPr>
        <w:t xml:space="preserve">Na </w:t>
      </w:r>
      <w:r w:rsidRPr="00CC3F8C">
        <w:rPr>
          <w:rFonts w:ascii="Arial" w:hAnsi="Arial" w:cs="Arial"/>
          <w:sz w:val="20"/>
          <w:szCs w:val="20"/>
        </w:rPr>
        <w:t>prioritnú os 5 bola udelená alokácia v hodnote 59 714 041 EUR. Na RO bolo k 31.12.201</w:t>
      </w:r>
      <w:r w:rsidR="00D97514" w:rsidRPr="00CC3F8C">
        <w:rPr>
          <w:rFonts w:ascii="Arial" w:hAnsi="Arial" w:cs="Arial"/>
          <w:sz w:val="20"/>
          <w:szCs w:val="20"/>
        </w:rPr>
        <w:t>2</w:t>
      </w:r>
      <w:r w:rsidRPr="00CC3F8C">
        <w:rPr>
          <w:rFonts w:ascii="Arial" w:hAnsi="Arial" w:cs="Arial"/>
          <w:sz w:val="20"/>
          <w:szCs w:val="20"/>
        </w:rPr>
        <w:t xml:space="preserve"> prijatých 60 žiadostí o NFP vo výške 76 948 755 EUR, z toho bolo schválených 40 žiadostí o NFP vo výške schváleného NFP 55 962 888 EUR.</w:t>
      </w:r>
    </w:p>
    <w:p w:rsidR="002416B1" w:rsidRPr="00CC3F8C" w:rsidRDefault="002416B1" w:rsidP="00507035">
      <w:pPr>
        <w:spacing w:before="120" w:after="120" w:line="360" w:lineRule="auto"/>
        <w:jc w:val="both"/>
        <w:rPr>
          <w:rFonts w:ascii="Arial" w:hAnsi="Arial" w:cs="Arial"/>
          <w:sz w:val="20"/>
          <w:szCs w:val="20"/>
        </w:rPr>
      </w:pPr>
      <w:r w:rsidRPr="00CC3F8C">
        <w:rPr>
          <w:rFonts w:ascii="Arial" w:hAnsi="Arial" w:cs="Arial"/>
          <w:sz w:val="20"/>
          <w:szCs w:val="20"/>
        </w:rPr>
        <w:t xml:space="preserve">Súhrnne možno skonštatovať, že v rámci OP ŽP bolo schválených 370 projektov, ktoré sa určitou mierou podieľajú na plnení cieľov Lisabonskej stratégie, a to vo výške 580 711 054 EUR. </w:t>
      </w:r>
    </w:p>
    <w:p w:rsidR="002416B1" w:rsidRPr="00C87DF7" w:rsidRDefault="002416B1" w:rsidP="00507035">
      <w:pPr>
        <w:spacing w:before="120" w:after="120" w:line="360" w:lineRule="auto"/>
        <w:jc w:val="both"/>
        <w:rPr>
          <w:rFonts w:ascii="Arial" w:hAnsi="Arial" w:cs="Arial"/>
          <w:sz w:val="20"/>
          <w:szCs w:val="20"/>
        </w:rPr>
      </w:pPr>
      <w:r w:rsidRPr="00CC3F8C">
        <w:rPr>
          <w:rFonts w:ascii="Arial" w:hAnsi="Arial" w:cs="Arial"/>
          <w:sz w:val="20"/>
          <w:szCs w:val="20"/>
        </w:rPr>
        <w:t>Slovenská republika vyčlenila v NSRR v cieli Konvergencia na realizáciu Lisabonských aktivít 59,15</w:t>
      </w:r>
      <w:r w:rsidR="005174E9" w:rsidRPr="00CC3F8C">
        <w:rPr>
          <w:rFonts w:ascii="Arial" w:hAnsi="Arial" w:cs="Arial"/>
          <w:sz w:val="20"/>
          <w:szCs w:val="20"/>
        </w:rPr>
        <w:t xml:space="preserve"> </w:t>
      </w:r>
      <w:r w:rsidRPr="00CC3F8C">
        <w:rPr>
          <w:rFonts w:ascii="Arial" w:hAnsi="Arial" w:cs="Arial"/>
          <w:sz w:val="20"/>
          <w:szCs w:val="20"/>
        </w:rPr>
        <w:t>% výdavkov a v cieli Regionálna konkurencieschopnosť a zamestnanosť</w:t>
      </w:r>
      <w:r w:rsidRPr="00C87DF7">
        <w:rPr>
          <w:rFonts w:ascii="Arial" w:hAnsi="Arial" w:cs="Arial"/>
          <w:sz w:val="20"/>
          <w:szCs w:val="20"/>
        </w:rPr>
        <w:t xml:space="preserve"> 85,57</w:t>
      </w:r>
      <w:r w:rsidR="005174E9">
        <w:rPr>
          <w:rFonts w:ascii="Arial" w:hAnsi="Arial" w:cs="Arial"/>
          <w:sz w:val="20"/>
          <w:szCs w:val="20"/>
        </w:rPr>
        <w:t xml:space="preserve"> </w:t>
      </w:r>
      <w:r w:rsidRPr="00C87DF7">
        <w:rPr>
          <w:rFonts w:ascii="Arial" w:hAnsi="Arial" w:cs="Arial"/>
          <w:sz w:val="20"/>
          <w:szCs w:val="20"/>
        </w:rPr>
        <w:t>% výdavkov.</w:t>
      </w:r>
    </w:p>
    <w:p w:rsidR="002416B1" w:rsidRPr="004B33AE" w:rsidRDefault="002416B1" w:rsidP="00507035">
      <w:pPr>
        <w:spacing w:before="120" w:after="120" w:line="360" w:lineRule="auto"/>
        <w:jc w:val="both"/>
        <w:rPr>
          <w:rFonts w:ascii="Arial" w:hAnsi="Arial" w:cs="Arial"/>
          <w:sz w:val="20"/>
          <w:szCs w:val="20"/>
        </w:rPr>
      </w:pPr>
      <w:r w:rsidRPr="00C87DF7">
        <w:rPr>
          <w:rFonts w:ascii="Arial" w:hAnsi="Arial" w:cs="Arial"/>
          <w:sz w:val="20"/>
          <w:szCs w:val="20"/>
        </w:rPr>
        <w:t xml:space="preserve">V súlade s článkom 9 ods. 3 nariadenia 1083/2006 boli pre jednotlivé prioritné osi OP ŽP schválené prioritné témy 44, 45, 46, 47, 49, 50, 51, 52, 53, 54, 85 a 86 s príslušnými indikatívnymi sumami (kap. 8.3 OP ŽP Rozdelenie príspevku z fondov do kategórií pomoci na úrovni OP ŽP). Z uvedených prioritných tém spadá pod prioritné témy, prostredníctvom ktorých sa vykazuje príspevok OP ŽP k dosahovaniu cieľov Lisabonskej stratégie, prioritná téma 52 Podpora čistej mestskej dopravy, na ktorú bola vyčlenená indikatívna </w:t>
      </w:r>
      <w:r>
        <w:rPr>
          <w:rFonts w:ascii="Arial" w:hAnsi="Arial" w:cs="Arial"/>
          <w:sz w:val="20"/>
          <w:szCs w:val="20"/>
        </w:rPr>
        <w:t>alokácia uvedená v tabuľke č. 14</w:t>
      </w:r>
      <w:r w:rsidRPr="00C87DF7">
        <w:rPr>
          <w:rFonts w:ascii="Arial" w:hAnsi="Arial" w:cs="Arial"/>
          <w:sz w:val="20"/>
          <w:szCs w:val="20"/>
        </w:rPr>
        <w:t>.</w:t>
      </w:r>
      <w:r w:rsidRPr="004B33AE">
        <w:rPr>
          <w:rFonts w:ascii="Arial" w:hAnsi="Arial" w:cs="Arial"/>
          <w:sz w:val="20"/>
          <w:szCs w:val="20"/>
        </w:rPr>
        <w:t xml:space="preserve"> </w:t>
      </w:r>
    </w:p>
    <w:p w:rsidR="002416B1" w:rsidRPr="006A2BF3" w:rsidRDefault="002416B1" w:rsidP="00454DC9">
      <w:pPr>
        <w:spacing w:line="360" w:lineRule="auto"/>
        <w:jc w:val="both"/>
        <w:rPr>
          <w:rFonts w:ascii="Arial" w:hAnsi="Arial" w:cs="Arial"/>
          <w:sz w:val="20"/>
          <w:szCs w:val="20"/>
        </w:rPr>
      </w:pPr>
      <w:r w:rsidRPr="006A2BF3">
        <w:rPr>
          <w:rFonts w:ascii="Arial" w:hAnsi="Arial" w:cs="Arial"/>
          <w:sz w:val="20"/>
          <w:szCs w:val="20"/>
        </w:rPr>
        <w:t xml:space="preserve">Tab. č. </w:t>
      </w:r>
      <w:r w:rsidR="007B7519">
        <w:rPr>
          <w:rFonts w:ascii="Arial" w:hAnsi="Arial" w:cs="Arial"/>
          <w:sz w:val="20"/>
          <w:szCs w:val="20"/>
        </w:rPr>
        <w:t>20</w:t>
      </w:r>
      <w:r w:rsidRPr="006A2BF3">
        <w:rPr>
          <w:rFonts w:ascii="Arial" w:hAnsi="Arial" w:cs="Arial"/>
          <w:sz w:val="20"/>
          <w:szCs w:val="20"/>
        </w:rPr>
        <w:t>: Suma vyčlenená na Lisabonské aktivity</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2"/>
        <w:gridCol w:w="2440"/>
        <w:gridCol w:w="1728"/>
        <w:gridCol w:w="2529"/>
      </w:tblGrid>
      <w:tr w:rsidR="002416B1" w:rsidRPr="006A2BF3" w:rsidTr="006A2BF3">
        <w:trPr>
          <w:jc w:val="center"/>
        </w:trPr>
        <w:tc>
          <w:tcPr>
            <w:tcW w:w="0" w:type="auto"/>
            <w:shd w:val="clear" w:color="auto" w:fill="D6E3BC"/>
            <w:vAlign w:val="center"/>
          </w:tcPr>
          <w:p w:rsidR="002416B1" w:rsidRPr="006A2BF3" w:rsidRDefault="002416B1" w:rsidP="00454DC9">
            <w:pPr>
              <w:jc w:val="center"/>
              <w:rPr>
                <w:rFonts w:ascii="Arial" w:hAnsi="Arial" w:cs="Arial"/>
                <w:sz w:val="20"/>
                <w:szCs w:val="20"/>
              </w:rPr>
            </w:pPr>
            <w:r w:rsidRPr="006A2BF3">
              <w:rPr>
                <w:rFonts w:ascii="Arial" w:hAnsi="Arial" w:cs="Arial"/>
                <w:sz w:val="20"/>
                <w:szCs w:val="20"/>
              </w:rPr>
              <w:t>Operačný program</w:t>
            </w:r>
          </w:p>
        </w:tc>
        <w:tc>
          <w:tcPr>
            <w:tcW w:w="0" w:type="auto"/>
            <w:shd w:val="clear" w:color="auto" w:fill="D6E3BC"/>
            <w:vAlign w:val="center"/>
          </w:tcPr>
          <w:p w:rsidR="002416B1" w:rsidRPr="006A2BF3" w:rsidRDefault="002416B1" w:rsidP="00454DC9">
            <w:pPr>
              <w:jc w:val="center"/>
              <w:rPr>
                <w:rFonts w:ascii="Arial" w:hAnsi="Arial" w:cs="Arial"/>
                <w:sz w:val="20"/>
                <w:szCs w:val="20"/>
              </w:rPr>
            </w:pPr>
            <w:r w:rsidRPr="006A2BF3">
              <w:rPr>
                <w:rFonts w:ascii="Arial" w:hAnsi="Arial" w:cs="Arial"/>
                <w:sz w:val="20"/>
                <w:szCs w:val="20"/>
              </w:rPr>
              <w:t>Lisabonské aktivity (L.A.)</w:t>
            </w:r>
          </w:p>
          <w:p w:rsidR="002416B1" w:rsidRPr="006A2BF3" w:rsidRDefault="002416B1" w:rsidP="00454DC9">
            <w:pPr>
              <w:jc w:val="center"/>
              <w:rPr>
                <w:rFonts w:ascii="Arial" w:hAnsi="Arial" w:cs="Arial"/>
                <w:sz w:val="20"/>
                <w:szCs w:val="20"/>
              </w:rPr>
            </w:pPr>
            <w:r w:rsidRPr="006A2BF3">
              <w:rPr>
                <w:rFonts w:ascii="Arial" w:hAnsi="Arial" w:cs="Arial"/>
                <w:sz w:val="20"/>
                <w:szCs w:val="20"/>
              </w:rPr>
              <w:t>[</w:t>
            </w:r>
            <w:r w:rsidRPr="00F018C7">
              <w:rPr>
                <w:rFonts w:ascii="Arial" w:hAnsi="Arial" w:cs="Arial"/>
                <w:bCs/>
                <w:sz w:val="20"/>
                <w:szCs w:val="20"/>
              </w:rPr>
              <w:t>€</w:t>
            </w:r>
            <w:r w:rsidRPr="006A2BF3">
              <w:rPr>
                <w:rFonts w:ascii="Arial" w:hAnsi="Arial" w:cs="Arial"/>
                <w:sz w:val="20"/>
                <w:szCs w:val="20"/>
              </w:rPr>
              <w:t>]</w:t>
            </w:r>
          </w:p>
        </w:tc>
        <w:tc>
          <w:tcPr>
            <w:tcW w:w="0" w:type="auto"/>
            <w:shd w:val="clear" w:color="auto" w:fill="D6E3BC"/>
            <w:vAlign w:val="center"/>
          </w:tcPr>
          <w:p w:rsidR="002416B1" w:rsidRPr="006A2BF3" w:rsidRDefault="002416B1" w:rsidP="00454DC9">
            <w:pPr>
              <w:jc w:val="center"/>
              <w:rPr>
                <w:rFonts w:ascii="Arial" w:hAnsi="Arial" w:cs="Arial"/>
                <w:sz w:val="20"/>
                <w:szCs w:val="20"/>
              </w:rPr>
            </w:pPr>
            <w:r w:rsidRPr="006A2BF3">
              <w:rPr>
                <w:rFonts w:ascii="Arial" w:hAnsi="Arial" w:cs="Arial"/>
                <w:sz w:val="20"/>
                <w:szCs w:val="20"/>
              </w:rPr>
              <w:t>Celková alokácia</w:t>
            </w:r>
          </w:p>
          <w:p w:rsidR="002416B1" w:rsidRPr="006A2BF3" w:rsidRDefault="002416B1" w:rsidP="00454DC9">
            <w:pPr>
              <w:jc w:val="center"/>
              <w:rPr>
                <w:rFonts w:ascii="Arial" w:hAnsi="Arial" w:cs="Arial"/>
                <w:sz w:val="20"/>
                <w:szCs w:val="20"/>
              </w:rPr>
            </w:pPr>
            <w:r w:rsidRPr="006A2BF3">
              <w:rPr>
                <w:rFonts w:ascii="Arial" w:hAnsi="Arial" w:cs="Arial"/>
                <w:sz w:val="20"/>
                <w:szCs w:val="20"/>
              </w:rPr>
              <w:t>[</w:t>
            </w:r>
            <w:r w:rsidRPr="00F018C7">
              <w:rPr>
                <w:rFonts w:ascii="Arial" w:hAnsi="Arial" w:cs="Arial"/>
                <w:bCs/>
                <w:sz w:val="20"/>
                <w:szCs w:val="20"/>
              </w:rPr>
              <w:t>€</w:t>
            </w:r>
            <w:r w:rsidRPr="006A2BF3">
              <w:rPr>
                <w:rFonts w:ascii="Arial" w:hAnsi="Arial" w:cs="Arial"/>
                <w:sz w:val="20"/>
                <w:szCs w:val="20"/>
              </w:rPr>
              <w:t>]</w:t>
            </w:r>
          </w:p>
        </w:tc>
        <w:tc>
          <w:tcPr>
            <w:tcW w:w="0" w:type="auto"/>
            <w:shd w:val="clear" w:color="auto" w:fill="D6E3BC"/>
            <w:vAlign w:val="center"/>
          </w:tcPr>
          <w:p w:rsidR="002416B1" w:rsidRPr="006A2BF3" w:rsidRDefault="002416B1" w:rsidP="00454DC9">
            <w:pPr>
              <w:jc w:val="center"/>
              <w:rPr>
                <w:rFonts w:ascii="Arial" w:hAnsi="Arial" w:cs="Arial"/>
                <w:sz w:val="20"/>
                <w:szCs w:val="20"/>
              </w:rPr>
            </w:pPr>
            <w:r w:rsidRPr="006A2BF3">
              <w:rPr>
                <w:rFonts w:ascii="Arial" w:hAnsi="Arial" w:cs="Arial"/>
                <w:sz w:val="20"/>
                <w:szCs w:val="20"/>
              </w:rPr>
              <w:t>% L.A. z celkovej alokácie</w:t>
            </w:r>
          </w:p>
          <w:p w:rsidR="002416B1" w:rsidRPr="006A2BF3" w:rsidRDefault="002416B1" w:rsidP="00454DC9">
            <w:pPr>
              <w:jc w:val="center"/>
              <w:rPr>
                <w:rFonts w:ascii="Arial" w:hAnsi="Arial" w:cs="Arial"/>
                <w:sz w:val="20"/>
                <w:szCs w:val="20"/>
              </w:rPr>
            </w:pPr>
            <w:r w:rsidRPr="006A2BF3">
              <w:rPr>
                <w:rFonts w:ascii="Arial" w:hAnsi="Arial" w:cs="Arial"/>
                <w:sz w:val="20"/>
                <w:szCs w:val="20"/>
              </w:rPr>
              <w:t>[%]</w:t>
            </w:r>
          </w:p>
        </w:tc>
      </w:tr>
      <w:tr w:rsidR="002416B1" w:rsidRPr="006A2BF3" w:rsidTr="006A2BF3">
        <w:trPr>
          <w:jc w:val="center"/>
        </w:trPr>
        <w:tc>
          <w:tcPr>
            <w:tcW w:w="0" w:type="auto"/>
            <w:shd w:val="clear" w:color="auto" w:fill="EAF1DD"/>
            <w:vAlign w:val="center"/>
          </w:tcPr>
          <w:p w:rsidR="002416B1" w:rsidRPr="00C87DF7" w:rsidRDefault="002416B1" w:rsidP="00454DC9">
            <w:pPr>
              <w:jc w:val="both"/>
              <w:rPr>
                <w:rFonts w:ascii="Arial" w:hAnsi="Arial" w:cs="Arial"/>
                <w:sz w:val="20"/>
                <w:szCs w:val="20"/>
              </w:rPr>
            </w:pPr>
            <w:r w:rsidRPr="00C87DF7">
              <w:rPr>
                <w:rFonts w:ascii="Arial" w:hAnsi="Arial" w:cs="Arial"/>
                <w:sz w:val="20"/>
                <w:szCs w:val="20"/>
              </w:rPr>
              <w:t>OP Životné prostredie</w:t>
            </w:r>
          </w:p>
        </w:tc>
        <w:tc>
          <w:tcPr>
            <w:tcW w:w="0" w:type="auto"/>
            <w:vAlign w:val="center"/>
          </w:tcPr>
          <w:p w:rsidR="002416B1" w:rsidRPr="006A2BF3" w:rsidRDefault="002416B1" w:rsidP="00454DC9">
            <w:pPr>
              <w:jc w:val="center"/>
              <w:rPr>
                <w:rFonts w:ascii="Arial" w:hAnsi="Arial" w:cs="Arial"/>
                <w:sz w:val="20"/>
                <w:szCs w:val="20"/>
              </w:rPr>
            </w:pPr>
            <w:r w:rsidRPr="006A2BF3">
              <w:rPr>
                <w:rFonts w:ascii="Arial" w:hAnsi="Arial" w:cs="Arial"/>
                <w:sz w:val="20"/>
                <w:szCs w:val="20"/>
              </w:rPr>
              <w:t>32 400 000</w:t>
            </w:r>
          </w:p>
        </w:tc>
        <w:tc>
          <w:tcPr>
            <w:tcW w:w="0" w:type="auto"/>
            <w:vAlign w:val="center"/>
          </w:tcPr>
          <w:p w:rsidR="002416B1" w:rsidRPr="006A2BF3" w:rsidRDefault="002416B1" w:rsidP="00454DC9">
            <w:pPr>
              <w:jc w:val="center"/>
              <w:rPr>
                <w:rFonts w:ascii="Arial" w:hAnsi="Arial" w:cs="Arial"/>
                <w:sz w:val="20"/>
                <w:szCs w:val="20"/>
              </w:rPr>
            </w:pPr>
            <w:r w:rsidRPr="006A2BF3">
              <w:rPr>
                <w:rFonts w:ascii="Arial" w:hAnsi="Arial" w:cs="Arial"/>
                <w:sz w:val="20"/>
                <w:szCs w:val="20"/>
              </w:rPr>
              <w:t>1 800 000 000</w:t>
            </w:r>
          </w:p>
        </w:tc>
        <w:tc>
          <w:tcPr>
            <w:tcW w:w="0" w:type="auto"/>
            <w:vAlign w:val="center"/>
          </w:tcPr>
          <w:p w:rsidR="002416B1" w:rsidRPr="006A2BF3" w:rsidRDefault="002416B1" w:rsidP="00454DC9">
            <w:pPr>
              <w:jc w:val="center"/>
              <w:rPr>
                <w:rFonts w:ascii="Arial" w:hAnsi="Arial" w:cs="Arial"/>
                <w:sz w:val="20"/>
                <w:szCs w:val="20"/>
              </w:rPr>
            </w:pPr>
            <w:r w:rsidRPr="006A2BF3">
              <w:rPr>
                <w:rFonts w:ascii="Arial" w:hAnsi="Arial" w:cs="Arial"/>
                <w:sz w:val="20"/>
                <w:szCs w:val="20"/>
              </w:rPr>
              <w:t>1,80</w:t>
            </w:r>
          </w:p>
        </w:tc>
      </w:tr>
    </w:tbl>
    <w:p w:rsidR="007235EE" w:rsidRDefault="00000CC9" w:rsidP="007235EE">
      <w:pPr>
        <w:spacing w:line="360" w:lineRule="auto"/>
        <w:jc w:val="both"/>
        <w:rPr>
          <w:rFonts w:ascii="Arial" w:hAnsi="Arial" w:cs="Arial"/>
          <w:sz w:val="18"/>
          <w:szCs w:val="18"/>
        </w:rPr>
      </w:pPr>
      <w:r>
        <w:rPr>
          <w:rFonts w:ascii="Arial" w:hAnsi="Arial" w:cs="Arial"/>
          <w:sz w:val="18"/>
          <w:szCs w:val="18"/>
        </w:rPr>
        <w:t>Zdroj: RO, ITMS</w:t>
      </w:r>
    </w:p>
    <w:p w:rsidR="007235EE" w:rsidRPr="006A2BF3" w:rsidRDefault="007235EE" w:rsidP="007235EE">
      <w:pPr>
        <w:spacing w:line="360" w:lineRule="auto"/>
        <w:jc w:val="both"/>
        <w:rPr>
          <w:rFonts w:ascii="Arial" w:hAnsi="Arial" w:cs="Arial"/>
          <w:sz w:val="18"/>
          <w:szCs w:val="18"/>
        </w:rPr>
      </w:pPr>
    </w:p>
    <w:p w:rsidR="002416B1" w:rsidRPr="006A2BF3" w:rsidRDefault="002416B1" w:rsidP="00454DC9">
      <w:pPr>
        <w:spacing w:line="360" w:lineRule="auto"/>
        <w:jc w:val="both"/>
        <w:rPr>
          <w:rFonts w:ascii="Arial" w:hAnsi="Arial" w:cs="Arial"/>
          <w:sz w:val="20"/>
          <w:szCs w:val="20"/>
        </w:rPr>
      </w:pPr>
      <w:r w:rsidRPr="006A2BF3">
        <w:rPr>
          <w:rFonts w:ascii="Arial" w:hAnsi="Arial" w:cs="Arial"/>
          <w:sz w:val="20"/>
          <w:szCs w:val="20"/>
        </w:rPr>
        <w:t xml:space="preserve">Tab. č. </w:t>
      </w:r>
      <w:r w:rsidR="007B7519">
        <w:rPr>
          <w:rFonts w:ascii="Arial" w:hAnsi="Arial" w:cs="Arial"/>
          <w:sz w:val="20"/>
          <w:szCs w:val="20"/>
        </w:rPr>
        <w:t>21</w:t>
      </w:r>
      <w:r w:rsidRPr="006A2BF3">
        <w:rPr>
          <w:rFonts w:ascii="Arial" w:hAnsi="Arial" w:cs="Arial"/>
          <w:sz w:val="20"/>
          <w:szCs w:val="20"/>
        </w:rPr>
        <w:t xml:space="preserve">: Zazmluvnenie finančných prostriedkov na prioritné témy v EUR </w:t>
      </w:r>
    </w:p>
    <w:tbl>
      <w:tblPr>
        <w:tblW w:w="892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94"/>
        <w:gridCol w:w="4320"/>
        <w:gridCol w:w="2316"/>
        <w:gridCol w:w="1698"/>
      </w:tblGrid>
      <w:tr w:rsidR="002416B1" w:rsidRPr="006A2BF3" w:rsidTr="006A2BF3">
        <w:trPr>
          <w:jc w:val="center"/>
        </w:trPr>
        <w:tc>
          <w:tcPr>
            <w:tcW w:w="594" w:type="dxa"/>
            <w:shd w:val="clear" w:color="auto" w:fill="D6E3BC"/>
            <w:vAlign w:val="center"/>
          </w:tcPr>
          <w:p w:rsidR="002416B1" w:rsidRPr="006A2BF3" w:rsidRDefault="002416B1" w:rsidP="00454DC9">
            <w:pPr>
              <w:jc w:val="center"/>
              <w:rPr>
                <w:rFonts w:ascii="Arial" w:hAnsi="Arial" w:cs="Arial"/>
                <w:sz w:val="20"/>
                <w:szCs w:val="20"/>
              </w:rPr>
            </w:pPr>
            <w:r w:rsidRPr="006A2BF3">
              <w:rPr>
                <w:rFonts w:ascii="Arial" w:hAnsi="Arial" w:cs="Arial"/>
                <w:sz w:val="20"/>
                <w:szCs w:val="20"/>
              </w:rPr>
              <w:t>Kód</w:t>
            </w:r>
          </w:p>
        </w:tc>
        <w:tc>
          <w:tcPr>
            <w:tcW w:w="4320" w:type="dxa"/>
            <w:shd w:val="clear" w:color="auto" w:fill="D6E3BC"/>
            <w:vAlign w:val="center"/>
          </w:tcPr>
          <w:p w:rsidR="002416B1" w:rsidRPr="006A2BF3" w:rsidRDefault="002416B1" w:rsidP="00454DC9">
            <w:pPr>
              <w:jc w:val="both"/>
              <w:rPr>
                <w:rFonts w:ascii="Arial" w:hAnsi="Arial" w:cs="Arial"/>
                <w:sz w:val="20"/>
                <w:szCs w:val="20"/>
              </w:rPr>
            </w:pPr>
            <w:r w:rsidRPr="006A2BF3">
              <w:rPr>
                <w:rFonts w:ascii="Arial" w:hAnsi="Arial" w:cs="Arial"/>
                <w:sz w:val="20"/>
                <w:szCs w:val="20"/>
              </w:rPr>
              <w:t>Prioritné témy (príloha IV, nariadenia 1083/2006)</w:t>
            </w:r>
          </w:p>
        </w:tc>
        <w:tc>
          <w:tcPr>
            <w:tcW w:w="2316" w:type="dxa"/>
            <w:shd w:val="clear" w:color="auto" w:fill="D6E3BC"/>
            <w:vAlign w:val="center"/>
          </w:tcPr>
          <w:p w:rsidR="002416B1" w:rsidRPr="006A2BF3" w:rsidRDefault="002416B1" w:rsidP="00454DC9">
            <w:pPr>
              <w:jc w:val="both"/>
              <w:rPr>
                <w:rFonts w:ascii="Arial" w:hAnsi="Arial" w:cs="Arial"/>
                <w:sz w:val="20"/>
                <w:szCs w:val="20"/>
              </w:rPr>
            </w:pPr>
            <w:r w:rsidRPr="006A2BF3">
              <w:rPr>
                <w:rFonts w:ascii="Arial" w:hAnsi="Arial" w:cs="Arial"/>
                <w:sz w:val="20"/>
                <w:szCs w:val="20"/>
              </w:rPr>
              <w:t xml:space="preserve">Zazmluvnené finančné prostriedky </w:t>
            </w:r>
          </w:p>
          <w:p w:rsidR="002416B1" w:rsidRPr="006A2BF3" w:rsidRDefault="002416B1" w:rsidP="00454DC9">
            <w:pPr>
              <w:jc w:val="both"/>
              <w:rPr>
                <w:rFonts w:ascii="Arial" w:hAnsi="Arial" w:cs="Arial"/>
                <w:sz w:val="20"/>
                <w:szCs w:val="20"/>
              </w:rPr>
            </w:pPr>
            <w:r w:rsidRPr="006A2BF3">
              <w:rPr>
                <w:rFonts w:ascii="Arial" w:hAnsi="Arial" w:cs="Arial"/>
                <w:sz w:val="20"/>
                <w:szCs w:val="20"/>
              </w:rPr>
              <w:t xml:space="preserve">(EÚ zdroje v </w:t>
            </w:r>
            <w:r w:rsidRPr="00F018C7">
              <w:rPr>
                <w:rFonts w:ascii="Arial" w:hAnsi="Arial" w:cs="Arial"/>
                <w:bCs/>
                <w:sz w:val="20"/>
                <w:szCs w:val="20"/>
              </w:rPr>
              <w:t>€</w:t>
            </w:r>
            <w:r>
              <w:rPr>
                <w:rFonts w:ascii="Arial" w:hAnsi="Arial" w:cs="Arial"/>
                <w:bCs/>
                <w:sz w:val="20"/>
                <w:szCs w:val="20"/>
              </w:rPr>
              <w:t>)</w:t>
            </w:r>
          </w:p>
        </w:tc>
        <w:tc>
          <w:tcPr>
            <w:tcW w:w="1698" w:type="dxa"/>
            <w:shd w:val="clear" w:color="auto" w:fill="D6E3BC"/>
            <w:vAlign w:val="center"/>
          </w:tcPr>
          <w:p w:rsidR="002416B1" w:rsidRPr="006A2BF3" w:rsidRDefault="002416B1" w:rsidP="00454DC9">
            <w:pPr>
              <w:jc w:val="both"/>
              <w:rPr>
                <w:rFonts w:ascii="Arial" w:hAnsi="Arial" w:cs="Arial"/>
                <w:sz w:val="20"/>
                <w:szCs w:val="20"/>
              </w:rPr>
            </w:pPr>
            <w:r w:rsidRPr="006A2BF3">
              <w:rPr>
                <w:rFonts w:ascii="Arial" w:hAnsi="Arial" w:cs="Arial"/>
                <w:sz w:val="20"/>
                <w:szCs w:val="20"/>
              </w:rPr>
              <w:t>% z alokácie na L.A.</w:t>
            </w:r>
          </w:p>
        </w:tc>
      </w:tr>
      <w:tr w:rsidR="002416B1" w:rsidRPr="006A2BF3" w:rsidTr="00B608B3">
        <w:trPr>
          <w:jc w:val="center"/>
        </w:trPr>
        <w:tc>
          <w:tcPr>
            <w:tcW w:w="594" w:type="dxa"/>
            <w:vAlign w:val="center"/>
          </w:tcPr>
          <w:p w:rsidR="002416B1" w:rsidRPr="006A2BF3" w:rsidRDefault="002416B1" w:rsidP="00454DC9">
            <w:pPr>
              <w:jc w:val="center"/>
              <w:rPr>
                <w:rFonts w:ascii="Arial" w:hAnsi="Arial" w:cs="Arial"/>
                <w:sz w:val="20"/>
                <w:szCs w:val="20"/>
              </w:rPr>
            </w:pPr>
          </w:p>
        </w:tc>
        <w:tc>
          <w:tcPr>
            <w:tcW w:w="8334" w:type="dxa"/>
            <w:gridSpan w:val="3"/>
            <w:vAlign w:val="center"/>
          </w:tcPr>
          <w:p w:rsidR="002416B1" w:rsidRPr="006A2BF3" w:rsidRDefault="002416B1" w:rsidP="00454DC9">
            <w:pPr>
              <w:jc w:val="both"/>
              <w:rPr>
                <w:rFonts w:ascii="Arial" w:hAnsi="Arial" w:cs="Arial"/>
                <w:sz w:val="20"/>
                <w:szCs w:val="20"/>
              </w:rPr>
            </w:pPr>
            <w:r w:rsidRPr="006A2BF3">
              <w:rPr>
                <w:rFonts w:ascii="Arial" w:hAnsi="Arial" w:cs="Arial"/>
                <w:sz w:val="20"/>
                <w:szCs w:val="20"/>
              </w:rPr>
              <w:t>Ochrana životného prostredia a predchádzanie rizikám</w:t>
            </w:r>
          </w:p>
        </w:tc>
      </w:tr>
      <w:tr w:rsidR="002416B1" w:rsidRPr="006A2BF3" w:rsidTr="006A2BF3">
        <w:trPr>
          <w:jc w:val="center"/>
        </w:trPr>
        <w:tc>
          <w:tcPr>
            <w:tcW w:w="594" w:type="dxa"/>
            <w:shd w:val="clear" w:color="auto" w:fill="EAF1DD"/>
            <w:vAlign w:val="center"/>
          </w:tcPr>
          <w:p w:rsidR="002416B1" w:rsidRPr="006A2BF3" w:rsidRDefault="002416B1" w:rsidP="00454DC9">
            <w:pPr>
              <w:jc w:val="center"/>
              <w:rPr>
                <w:rFonts w:ascii="Arial" w:hAnsi="Arial" w:cs="Arial"/>
                <w:sz w:val="20"/>
                <w:szCs w:val="20"/>
              </w:rPr>
            </w:pPr>
            <w:r w:rsidRPr="006A2BF3">
              <w:rPr>
                <w:rFonts w:ascii="Arial" w:hAnsi="Arial" w:cs="Arial"/>
                <w:sz w:val="20"/>
                <w:szCs w:val="20"/>
              </w:rPr>
              <w:t>52</w:t>
            </w:r>
          </w:p>
        </w:tc>
        <w:tc>
          <w:tcPr>
            <w:tcW w:w="4320" w:type="dxa"/>
            <w:shd w:val="clear" w:color="auto" w:fill="EAF1DD"/>
            <w:vAlign w:val="center"/>
          </w:tcPr>
          <w:p w:rsidR="002416B1" w:rsidRPr="006A2BF3" w:rsidRDefault="002416B1" w:rsidP="00454DC9">
            <w:pPr>
              <w:jc w:val="both"/>
              <w:rPr>
                <w:rFonts w:ascii="Arial" w:hAnsi="Arial" w:cs="Arial"/>
                <w:sz w:val="20"/>
                <w:szCs w:val="20"/>
              </w:rPr>
            </w:pPr>
            <w:r w:rsidRPr="006A2BF3">
              <w:rPr>
                <w:rFonts w:ascii="Arial" w:hAnsi="Arial" w:cs="Arial"/>
                <w:sz w:val="20"/>
                <w:szCs w:val="20"/>
              </w:rPr>
              <w:t>Podpora čistej mestskej dopravy</w:t>
            </w:r>
          </w:p>
        </w:tc>
        <w:tc>
          <w:tcPr>
            <w:tcW w:w="2316" w:type="dxa"/>
            <w:vAlign w:val="center"/>
          </w:tcPr>
          <w:p w:rsidR="002416B1" w:rsidRPr="004B33AE" w:rsidRDefault="002416B1" w:rsidP="00454DC9">
            <w:pPr>
              <w:jc w:val="center"/>
              <w:rPr>
                <w:rFonts w:ascii="Arial" w:hAnsi="Arial" w:cs="Arial"/>
                <w:sz w:val="20"/>
                <w:szCs w:val="20"/>
              </w:rPr>
            </w:pPr>
            <w:bookmarkStart w:id="34" w:name="OLE_LINK22"/>
            <w:bookmarkStart w:id="35" w:name="OLE_LINK23"/>
            <w:r w:rsidRPr="006A2BF3">
              <w:rPr>
                <w:rFonts w:ascii="Arial" w:hAnsi="Arial" w:cs="Arial"/>
                <w:bCs/>
                <w:sz w:val="20"/>
                <w:szCs w:val="20"/>
              </w:rPr>
              <w:t>32 702 372,88</w:t>
            </w:r>
            <w:bookmarkEnd w:id="34"/>
            <w:bookmarkEnd w:id="35"/>
          </w:p>
        </w:tc>
        <w:tc>
          <w:tcPr>
            <w:tcW w:w="1698" w:type="dxa"/>
            <w:vAlign w:val="center"/>
          </w:tcPr>
          <w:p w:rsidR="002416B1" w:rsidRPr="004B33AE" w:rsidRDefault="002416B1" w:rsidP="00454DC9">
            <w:pPr>
              <w:jc w:val="center"/>
              <w:rPr>
                <w:rFonts w:ascii="Arial" w:hAnsi="Arial" w:cs="Arial"/>
                <w:sz w:val="20"/>
                <w:szCs w:val="20"/>
              </w:rPr>
            </w:pPr>
            <w:r w:rsidRPr="004B33AE">
              <w:rPr>
                <w:rFonts w:ascii="Arial" w:hAnsi="Arial" w:cs="Arial"/>
                <w:sz w:val="20"/>
                <w:szCs w:val="20"/>
              </w:rPr>
              <w:t>100,93%</w:t>
            </w:r>
          </w:p>
        </w:tc>
      </w:tr>
    </w:tbl>
    <w:p w:rsidR="002416B1" w:rsidRPr="006A2BF3" w:rsidRDefault="00000CC9" w:rsidP="00454DC9">
      <w:pPr>
        <w:spacing w:line="360" w:lineRule="auto"/>
        <w:jc w:val="both"/>
        <w:rPr>
          <w:rFonts w:ascii="Arial" w:hAnsi="Arial" w:cs="Arial"/>
          <w:sz w:val="18"/>
          <w:szCs w:val="18"/>
        </w:rPr>
      </w:pPr>
      <w:r>
        <w:rPr>
          <w:rFonts w:ascii="Arial" w:hAnsi="Arial" w:cs="Arial"/>
          <w:sz w:val="18"/>
          <w:szCs w:val="18"/>
        </w:rPr>
        <w:t>Zdroj: RO, ITMS</w:t>
      </w:r>
    </w:p>
    <w:p w:rsidR="002416B1" w:rsidRDefault="002416B1" w:rsidP="00507035">
      <w:pPr>
        <w:spacing w:before="120" w:after="120" w:line="360" w:lineRule="auto"/>
        <w:jc w:val="both"/>
        <w:rPr>
          <w:rFonts w:ascii="Arial" w:hAnsi="Arial" w:cs="Arial"/>
          <w:bCs/>
          <w:iCs/>
          <w:sz w:val="20"/>
          <w:szCs w:val="20"/>
        </w:rPr>
      </w:pPr>
      <w:r w:rsidRPr="006A2BF3">
        <w:rPr>
          <w:rFonts w:ascii="Arial" w:hAnsi="Arial" w:cs="Arial"/>
          <w:sz w:val="20"/>
          <w:szCs w:val="20"/>
        </w:rPr>
        <w:t xml:space="preserve">V rámci prioritnej témy 52 bolo schválených 6 projektov, pričom všetky sú zazmluvnené, v celkovej sume 37 993 919,12 EUR, z </w:t>
      </w:r>
      <w:r w:rsidRPr="006A2BF3">
        <w:rPr>
          <w:rFonts w:ascii="Arial" w:hAnsi="Arial" w:cs="Arial"/>
          <w:bCs/>
          <w:iCs/>
          <w:sz w:val="20"/>
          <w:szCs w:val="20"/>
        </w:rPr>
        <w:t>ERDF 32 702 372,88 EUR, čo predstavuje 100,93 % z alokácie na Lisabonské aktivity v rámci Operačného programu Životné prostredie.</w:t>
      </w:r>
      <w:r w:rsidR="00435EC8">
        <w:rPr>
          <w:rFonts w:ascii="Arial" w:hAnsi="Arial" w:cs="Arial"/>
          <w:bCs/>
          <w:iCs/>
          <w:sz w:val="20"/>
          <w:szCs w:val="20"/>
        </w:rPr>
        <w:t xml:space="preserve"> Ako príklad úspešne zrealizovaných projektov možno uviesť projekt Ekologizácia MHD v Banskej Bystrici prijímateľom SAD, a.s. Zvolen, ktorý je </w:t>
      </w:r>
      <w:r w:rsidR="00377679">
        <w:rPr>
          <w:rFonts w:ascii="Arial" w:hAnsi="Arial" w:cs="Arial"/>
          <w:bCs/>
          <w:iCs/>
          <w:sz w:val="20"/>
          <w:szCs w:val="20"/>
        </w:rPr>
        <w:t xml:space="preserve">tiež </w:t>
      </w:r>
      <w:r w:rsidR="00435EC8">
        <w:rPr>
          <w:rFonts w:ascii="Arial" w:hAnsi="Arial" w:cs="Arial"/>
          <w:bCs/>
          <w:iCs/>
          <w:sz w:val="20"/>
          <w:szCs w:val="20"/>
        </w:rPr>
        <w:t xml:space="preserve">zverejnený na </w:t>
      </w:r>
      <w:r w:rsidR="002D6B4B">
        <w:rPr>
          <w:rFonts w:ascii="Arial" w:hAnsi="Arial" w:cs="Arial"/>
          <w:bCs/>
          <w:iCs/>
          <w:sz w:val="20"/>
          <w:szCs w:val="20"/>
        </w:rPr>
        <w:t xml:space="preserve">webovom sídle: </w:t>
      </w:r>
      <w:hyperlink r:id="rId25" w:history="1">
        <w:r w:rsidR="00435EC8" w:rsidRPr="00016125">
          <w:rPr>
            <w:rStyle w:val="Hypertextovprepojenie"/>
            <w:rFonts w:ascii="Arial" w:hAnsi="Arial" w:cs="Arial"/>
            <w:bCs/>
            <w:iCs/>
            <w:sz w:val="20"/>
            <w:szCs w:val="20"/>
          </w:rPr>
          <w:t>http://www.opzp.sk/projekty/mapa-vzorovych-uspesne-realizovanych-projektov/</w:t>
        </w:r>
      </w:hyperlink>
      <w:r w:rsidR="00435EC8">
        <w:rPr>
          <w:rFonts w:ascii="Arial" w:hAnsi="Arial" w:cs="Arial"/>
          <w:bCs/>
          <w:iCs/>
          <w:sz w:val="20"/>
          <w:szCs w:val="20"/>
        </w:rPr>
        <w:t xml:space="preserve"> medzi vzorovo úspešne realizovanými projektmi OP ŽP</w:t>
      </w:r>
      <w:r w:rsidR="00AC0C06">
        <w:rPr>
          <w:rFonts w:ascii="Arial" w:hAnsi="Arial" w:cs="Arial"/>
          <w:bCs/>
          <w:iCs/>
          <w:sz w:val="20"/>
          <w:szCs w:val="20"/>
        </w:rPr>
        <w:t xml:space="preserve">, ďalej projekt </w:t>
      </w:r>
      <w:r w:rsidR="00377679">
        <w:rPr>
          <w:rFonts w:ascii="Arial" w:hAnsi="Arial" w:cs="Arial"/>
          <w:bCs/>
          <w:iCs/>
          <w:sz w:val="20"/>
          <w:szCs w:val="20"/>
        </w:rPr>
        <w:t xml:space="preserve">Vybudovanie </w:t>
      </w:r>
      <w:r w:rsidR="00377679" w:rsidRPr="00377679">
        <w:rPr>
          <w:rFonts w:ascii="Arial" w:hAnsi="Arial" w:cs="Arial"/>
          <w:bCs/>
          <w:iCs/>
          <w:sz w:val="20"/>
          <w:szCs w:val="20"/>
        </w:rPr>
        <w:t>CNG stanice a obnova voz</w:t>
      </w:r>
      <w:r w:rsidR="00377679">
        <w:rPr>
          <w:rFonts w:ascii="Arial" w:hAnsi="Arial" w:cs="Arial"/>
          <w:bCs/>
          <w:iCs/>
          <w:sz w:val="20"/>
          <w:szCs w:val="20"/>
        </w:rPr>
        <w:t xml:space="preserve">ového </w:t>
      </w:r>
      <w:r w:rsidR="00377679" w:rsidRPr="00377679">
        <w:rPr>
          <w:rFonts w:ascii="Arial" w:hAnsi="Arial" w:cs="Arial"/>
          <w:bCs/>
          <w:iCs/>
          <w:sz w:val="20"/>
          <w:szCs w:val="20"/>
        </w:rPr>
        <w:t>parku SAD Prievidza</w:t>
      </w:r>
      <w:r w:rsidR="00377679">
        <w:rPr>
          <w:rFonts w:ascii="Arial" w:hAnsi="Arial" w:cs="Arial"/>
          <w:bCs/>
          <w:iCs/>
          <w:sz w:val="20"/>
          <w:szCs w:val="20"/>
        </w:rPr>
        <w:t xml:space="preserve">, </w:t>
      </w:r>
      <w:r w:rsidR="00377679" w:rsidRPr="00377679">
        <w:rPr>
          <w:rFonts w:ascii="Arial" w:hAnsi="Arial" w:cs="Arial"/>
          <w:bCs/>
          <w:iCs/>
          <w:sz w:val="20"/>
          <w:szCs w:val="20"/>
        </w:rPr>
        <w:t>Zníženie emisií modernizác</w:t>
      </w:r>
      <w:r w:rsidR="00377679">
        <w:rPr>
          <w:rFonts w:ascii="Arial" w:hAnsi="Arial" w:cs="Arial"/>
          <w:bCs/>
          <w:iCs/>
          <w:sz w:val="20"/>
          <w:szCs w:val="20"/>
        </w:rPr>
        <w:t>iou</w:t>
      </w:r>
      <w:r w:rsidR="00377679" w:rsidRPr="00377679">
        <w:rPr>
          <w:rFonts w:ascii="Arial" w:hAnsi="Arial" w:cs="Arial"/>
          <w:bCs/>
          <w:iCs/>
          <w:sz w:val="20"/>
          <w:szCs w:val="20"/>
        </w:rPr>
        <w:t xml:space="preserve"> MHD</w:t>
      </w:r>
      <w:r w:rsidR="00377679">
        <w:rPr>
          <w:rFonts w:ascii="Arial" w:hAnsi="Arial" w:cs="Arial"/>
          <w:bCs/>
          <w:iCs/>
          <w:sz w:val="20"/>
          <w:szCs w:val="20"/>
        </w:rPr>
        <w:t xml:space="preserve"> v Košiciach a pod.</w:t>
      </w:r>
      <w:r w:rsidR="00EB591A">
        <w:rPr>
          <w:rFonts w:ascii="Arial" w:hAnsi="Arial" w:cs="Arial"/>
          <w:bCs/>
          <w:iCs/>
          <w:sz w:val="20"/>
          <w:szCs w:val="20"/>
        </w:rPr>
        <w:t xml:space="preserve"> Príklady ďalších úspešne zrealizovaných projektov sú tiež súčasťou Prílohy č. 10 výročnej správy.</w:t>
      </w:r>
    </w:p>
    <w:p w:rsidR="002416B1" w:rsidRPr="003A5E95" w:rsidRDefault="002416B1" w:rsidP="00507035">
      <w:pPr>
        <w:spacing w:before="120" w:after="120" w:line="360" w:lineRule="auto"/>
        <w:jc w:val="both"/>
        <w:rPr>
          <w:rFonts w:ascii="Arial" w:hAnsi="Arial" w:cs="Arial"/>
          <w:b/>
          <w:i/>
          <w:noProof/>
          <w:sz w:val="20"/>
          <w:szCs w:val="20"/>
        </w:rPr>
      </w:pPr>
      <w:r w:rsidRPr="003A5E95">
        <w:rPr>
          <w:rFonts w:ascii="Arial" w:hAnsi="Arial" w:cs="Arial"/>
          <w:b/>
          <w:i/>
          <w:noProof/>
          <w:sz w:val="20"/>
          <w:szCs w:val="20"/>
        </w:rPr>
        <w:t>Vzájomná súvislosť realizácie OP ŽP s napĺňaním priorít stratégie Európa 2020 a Národného programu reforiem</w:t>
      </w:r>
    </w:p>
    <w:p w:rsidR="00214ECF" w:rsidRPr="00E80325" w:rsidRDefault="00214ECF" w:rsidP="00507035">
      <w:pPr>
        <w:spacing w:before="120" w:after="120" w:line="360" w:lineRule="auto"/>
        <w:jc w:val="both"/>
        <w:rPr>
          <w:rFonts w:ascii="Arial" w:eastAsia="MS Mincho" w:hAnsi="Arial" w:cs="Arial"/>
          <w:sz w:val="20"/>
          <w:szCs w:val="20"/>
          <w:lang w:eastAsia="ja-JP"/>
        </w:rPr>
      </w:pPr>
      <w:r w:rsidRPr="00E80325">
        <w:rPr>
          <w:rFonts w:ascii="Arial" w:eastAsia="MS Mincho" w:hAnsi="Arial" w:cs="Arial"/>
          <w:sz w:val="20"/>
          <w:szCs w:val="20"/>
          <w:lang w:eastAsia="ja-JP"/>
        </w:rPr>
        <w:t>Stratégia je založená na troch vzájomne sa doplňujúcich prioritách – inteligentnom, udržateľnom a inkluzívnom raste, vymedzuje päť cieľov a sedem hlavných iniciatív. Legislatívnym nástrojom je desať Integrovaných usmernení pre stratégiu Európa 2020.</w:t>
      </w:r>
    </w:p>
    <w:p w:rsidR="00214ECF" w:rsidRPr="00E80325" w:rsidRDefault="00214ECF" w:rsidP="00507035">
      <w:pPr>
        <w:spacing w:before="120" w:after="120" w:line="360" w:lineRule="auto"/>
        <w:jc w:val="both"/>
        <w:rPr>
          <w:rFonts w:ascii="Arial" w:eastAsia="MS Mincho" w:hAnsi="Arial" w:cs="Arial"/>
          <w:iCs/>
          <w:sz w:val="20"/>
          <w:szCs w:val="20"/>
          <w:lang w:eastAsia="ja-JP"/>
        </w:rPr>
      </w:pPr>
      <w:r w:rsidRPr="00E80325">
        <w:rPr>
          <w:rFonts w:ascii="Arial" w:eastAsia="MS Mincho" w:hAnsi="Arial" w:cs="Arial"/>
          <w:iCs/>
          <w:sz w:val="20"/>
          <w:szCs w:val="20"/>
          <w:lang w:eastAsia="ja-JP"/>
        </w:rPr>
        <w:t>P</w:t>
      </w:r>
      <w:r w:rsidRPr="00E80325">
        <w:rPr>
          <w:rFonts w:ascii="Arial" w:eastAsia="MS Mincho" w:hAnsi="Arial" w:cs="Arial"/>
          <w:noProof/>
          <w:sz w:val="20"/>
          <w:szCs w:val="20"/>
          <w:lang w:eastAsia="ja-JP"/>
        </w:rPr>
        <w:t xml:space="preserve">ríprava a schvaľovanie OP ŽP prebiehali v období, keď sa ekonomická situácia odlišovala od súčasnej a implementovala sa Lisabonská stratégia. </w:t>
      </w:r>
      <w:r w:rsidRPr="00E80325">
        <w:rPr>
          <w:rFonts w:ascii="Arial" w:eastAsia="MS Mincho" w:hAnsi="Arial" w:cs="Arial"/>
          <w:iCs/>
          <w:sz w:val="20"/>
          <w:szCs w:val="20"/>
          <w:lang w:eastAsia="ja-JP"/>
        </w:rPr>
        <w:t xml:space="preserve">OP ŽP svojím globálnym cieľom koreluje aj so stratégiou Európa 2020 a finančná podpora z fondov EÚ poskytovaná prostredníctvom OP ŽP  podporuje jej napĺňanie. </w:t>
      </w:r>
    </w:p>
    <w:p w:rsidR="00214ECF" w:rsidRPr="00E80325" w:rsidRDefault="00214ECF" w:rsidP="00507035">
      <w:pPr>
        <w:autoSpaceDE w:val="0"/>
        <w:autoSpaceDN w:val="0"/>
        <w:adjustRightInd w:val="0"/>
        <w:spacing w:before="120" w:after="120" w:line="360" w:lineRule="auto"/>
        <w:jc w:val="both"/>
        <w:rPr>
          <w:rFonts w:ascii="Arial" w:eastAsia="MS Mincho" w:hAnsi="Arial" w:cs="Arial"/>
          <w:bCs/>
          <w:sz w:val="20"/>
          <w:szCs w:val="20"/>
          <w:lang w:eastAsia="ja-JP"/>
        </w:rPr>
      </w:pPr>
      <w:r w:rsidRPr="00E80325">
        <w:rPr>
          <w:rFonts w:ascii="Arial" w:eastAsia="MS Mincho" w:hAnsi="Arial" w:cs="Arial"/>
          <w:sz w:val="20"/>
          <w:szCs w:val="20"/>
          <w:lang w:eastAsia="ja-JP"/>
        </w:rPr>
        <w:t xml:space="preserve">OP ŽP prispieva najmä k  udržateľnému rastu, k cieľu týkajúcemu sa znižovania emisií skleníkových plynov, zvyšovania podielu OZE a zvyšovania energetickej efektívnosti, k hlavnej iniciatíve Európa efektívne využívajúca zdroje a k integrovanému usmerneniu č. </w:t>
      </w:r>
      <w:r w:rsidRPr="00E80325">
        <w:rPr>
          <w:rFonts w:ascii="Arial" w:eastAsia="MS Mincho" w:hAnsi="Arial" w:cs="Arial"/>
          <w:bCs/>
          <w:sz w:val="20"/>
          <w:szCs w:val="20"/>
          <w:lang w:eastAsia="ja-JP"/>
        </w:rPr>
        <w:t>5) Zlepšovanie efektívnosti využívania zdrojov a znižovanie emisií skleníkových plynov. Pre túto oblasť neposkytla EÚ Slovensku žiadne vecné špecifické odporúčania; odporúčanie zahŕňajúce aj príp. zavedenie environmentálnych daní je predovšetkým v kompetencii Ministerstva financií SR. Samotné OP ŽP k špecifikácii daní tohto druhu neprispieva, aj keď niektoré jeho výsledky môžu byť jedným z čiastkových podkladov pre nadefinovanie takýchto daní v ďalšom období.</w:t>
      </w:r>
    </w:p>
    <w:p w:rsidR="00214ECF" w:rsidRDefault="00214ECF" w:rsidP="00507035">
      <w:pPr>
        <w:autoSpaceDE w:val="0"/>
        <w:autoSpaceDN w:val="0"/>
        <w:adjustRightInd w:val="0"/>
        <w:spacing w:before="120" w:after="120" w:line="360" w:lineRule="auto"/>
        <w:jc w:val="both"/>
        <w:rPr>
          <w:rFonts w:ascii="Arial" w:eastAsia="MS Mincho" w:hAnsi="Arial" w:cs="Arial"/>
          <w:bCs/>
          <w:noProof/>
          <w:sz w:val="20"/>
          <w:szCs w:val="20"/>
          <w:lang w:eastAsia="ja-JP"/>
        </w:rPr>
      </w:pPr>
      <w:r w:rsidRPr="00E80325">
        <w:rPr>
          <w:rFonts w:ascii="Arial" w:eastAsia="MS Mincho" w:hAnsi="Arial" w:cs="Arial"/>
          <w:noProof/>
          <w:sz w:val="20"/>
          <w:szCs w:val="20"/>
          <w:lang w:eastAsia="ja-JP"/>
        </w:rPr>
        <w:t xml:space="preserve">V súlade s  mechanizmom správy ekonomických záležitostí v EÚ a zavedeným európskym semestrom bol vypracovaný a následne </w:t>
      </w:r>
      <w:r w:rsidRPr="00E80325">
        <w:rPr>
          <w:rFonts w:ascii="Arial" w:eastAsia="MS Mincho" w:hAnsi="Arial" w:cs="Arial"/>
          <w:iCs/>
          <w:noProof/>
          <w:sz w:val="20"/>
          <w:szCs w:val="20"/>
          <w:lang w:eastAsia="ja-JP"/>
        </w:rPr>
        <w:t xml:space="preserve">uznesením vlády SR </w:t>
      </w:r>
      <w:r w:rsidRPr="00E80325">
        <w:rPr>
          <w:rFonts w:ascii="Arial" w:eastAsia="MS Mincho" w:hAnsi="Arial" w:cs="Arial"/>
          <w:bCs/>
          <w:noProof/>
          <w:sz w:val="20"/>
          <w:szCs w:val="20"/>
          <w:lang w:eastAsia="ja-JP"/>
        </w:rPr>
        <w:t>č. 256</w:t>
      </w:r>
      <w:r w:rsidRPr="00E80325">
        <w:rPr>
          <w:rFonts w:ascii="Arial" w:eastAsia="MS Mincho" w:hAnsi="Arial" w:cs="Arial"/>
          <w:noProof/>
          <w:sz w:val="20"/>
          <w:szCs w:val="20"/>
          <w:lang w:eastAsia="ja-JP"/>
        </w:rPr>
        <w:t xml:space="preserve"> z 20. apríla 2011 schválený</w:t>
      </w:r>
      <w:r w:rsidRPr="00E80325">
        <w:rPr>
          <w:rFonts w:ascii="Arial" w:eastAsia="MS Mincho" w:hAnsi="Arial" w:cs="Arial"/>
          <w:iCs/>
          <w:sz w:val="20"/>
          <w:szCs w:val="20"/>
          <w:lang w:eastAsia="ja-JP"/>
        </w:rPr>
        <w:t xml:space="preserve"> </w:t>
      </w:r>
      <w:r w:rsidRPr="00E80325">
        <w:rPr>
          <w:rFonts w:ascii="Arial" w:eastAsia="MS Mincho" w:hAnsi="Arial" w:cs="Arial"/>
          <w:bCs/>
          <w:i/>
          <w:noProof/>
          <w:sz w:val="20"/>
          <w:szCs w:val="20"/>
          <w:u w:val="single"/>
          <w:lang w:eastAsia="ja-JP"/>
        </w:rPr>
        <w:t>Národný program reforiem Slovenskej republiky 2011 – 2014</w:t>
      </w:r>
      <w:r w:rsidRPr="00E80325">
        <w:rPr>
          <w:rFonts w:ascii="Arial" w:eastAsia="MS Mincho" w:hAnsi="Arial" w:cs="Arial"/>
          <w:b/>
          <w:bCs/>
          <w:noProof/>
          <w:sz w:val="20"/>
          <w:szCs w:val="20"/>
          <w:lang w:eastAsia="ja-JP"/>
        </w:rPr>
        <w:t xml:space="preserve"> </w:t>
      </w:r>
      <w:r w:rsidRPr="00E80325">
        <w:rPr>
          <w:rFonts w:ascii="Arial" w:eastAsia="MS Mincho" w:hAnsi="Arial" w:cs="Arial"/>
          <w:bCs/>
          <w:noProof/>
          <w:sz w:val="20"/>
          <w:szCs w:val="20"/>
          <w:lang w:eastAsia="ja-JP"/>
        </w:rPr>
        <w:t>(ďalej len „NPR SR“), ktorý je spolu s Paktom stability SR na roky 2011 – 2014 základným národným dokumentom stratégie Európa 2020.</w:t>
      </w:r>
    </w:p>
    <w:p w:rsidR="00214ECF" w:rsidRPr="00E80325" w:rsidRDefault="00214ECF" w:rsidP="00507035">
      <w:pPr>
        <w:autoSpaceDE w:val="0"/>
        <w:autoSpaceDN w:val="0"/>
        <w:adjustRightInd w:val="0"/>
        <w:spacing w:before="120" w:after="120" w:line="360" w:lineRule="auto"/>
        <w:jc w:val="both"/>
        <w:rPr>
          <w:rFonts w:ascii="Arial" w:eastAsia="MS Mincho" w:hAnsi="Arial" w:cs="Arial"/>
          <w:bCs/>
          <w:noProof/>
          <w:sz w:val="20"/>
          <w:szCs w:val="20"/>
          <w:lang w:eastAsia="ja-JP"/>
        </w:rPr>
      </w:pPr>
      <w:r w:rsidRPr="00A5271E">
        <w:rPr>
          <w:rFonts w:ascii="Arial" w:eastAsia="MS Mincho" w:hAnsi="Arial" w:cs="Arial"/>
          <w:bCs/>
          <w:noProof/>
          <w:sz w:val="20"/>
          <w:szCs w:val="20"/>
          <w:lang w:eastAsia="ja-JP"/>
        </w:rPr>
        <w:t>V apríli 2012 predložila Slovenská republika Európskej komisii Národný program reforiem Slovenskej republiky 2012</w:t>
      </w:r>
      <w:r w:rsidR="005174E9">
        <w:rPr>
          <w:rFonts w:ascii="Arial" w:eastAsia="MS Mincho" w:hAnsi="Arial" w:cs="Arial"/>
          <w:bCs/>
          <w:noProof/>
          <w:sz w:val="20"/>
          <w:szCs w:val="20"/>
          <w:lang w:eastAsia="ja-JP"/>
        </w:rPr>
        <w:t xml:space="preserve"> (ďalej aj NPR)</w:t>
      </w:r>
      <w:r>
        <w:rPr>
          <w:rFonts w:ascii="Arial" w:eastAsia="MS Mincho" w:hAnsi="Arial" w:cs="Arial"/>
          <w:bCs/>
          <w:noProof/>
          <w:sz w:val="20"/>
          <w:szCs w:val="20"/>
          <w:lang w:eastAsia="ja-JP"/>
        </w:rPr>
        <w:t xml:space="preserve"> </w:t>
      </w:r>
      <w:r w:rsidRPr="00A5271E">
        <w:rPr>
          <w:rFonts w:ascii="Arial" w:eastAsia="MS Mincho" w:hAnsi="Arial" w:cs="Arial"/>
          <w:bCs/>
          <w:noProof/>
          <w:sz w:val="20"/>
          <w:szCs w:val="20"/>
          <w:lang w:eastAsia="ja-JP"/>
        </w:rPr>
        <w:t>a Program stability Slovenskej republiky na roky 2012 až 2015. Keďže z parlamentných volieb v marci 2012 vzišla nová vláda, program reforiem bol aktualizovaný v súlade so zámermi novej vlády sformulovanými v Programovom vyhlásení vlády SR, ktoré bolo schválené Národnou radou SR dňa 15. mája 2012. Aktualizovaný Národný program reforiem SR 2012 (aktualizácia)</w:t>
      </w:r>
      <w:r>
        <w:rPr>
          <w:rFonts w:ascii="Arial" w:eastAsia="MS Mincho" w:hAnsi="Arial" w:cs="Arial"/>
          <w:bCs/>
          <w:noProof/>
          <w:sz w:val="20"/>
          <w:szCs w:val="20"/>
          <w:lang w:eastAsia="ja-JP"/>
        </w:rPr>
        <w:t xml:space="preserve"> </w:t>
      </w:r>
      <w:r w:rsidRPr="00A5271E">
        <w:rPr>
          <w:rFonts w:ascii="Arial" w:eastAsia="MS Mincho" w:hAnsi="Arial" w:cs="Arial"/>
          <w:bCs/>
          <w:noProof/>
          <w:sz w:val="20"/>
          <w:szCs w:val="20"/>
          <w:lang w:eastAsia="ja-JP"/>
        </w:rPr>
        <w:t>bol schválený v</w:t>
      </w:r>
      <w:r>
        <w:rPr>
          <w:rFonts w:ascii="Arial" w:eastAsia="MS Mincho" w:hAnsi="Arial" w:cs="Arial"/>
          <w:bCs/>
          <w:noProof/>
          <w:sz w:val="20"/>
          <w:szCs w:val="20"/>
          <w:lang w:eastAsia="ja-JP"/>
        </w:rPr>
        <w:t> </w:t>
      </w:r>
      <w:r w:rsidRPr="00A5271E">
        <w:rPr>
          <w:rFonts w:ascii="Arial" w:eastAsia="MS Mincho" w:hAnsi="Arial" w:cs="Arial"/>
          <w:bCs/>
          <w:noProof/>
          <w:sz w:val="20"/>
          <w:szCs w:val="20"/>
          <w:lang w:eastAsia="ja-JP"/>
        </w:rPr>
        <w:t>júni</w:t>
      </w:r>
      <w:r>
        <w:rPr>
          <w:rFonts w:ascii="Arial" w:eastAsia="MS Mincho" w:hAnsi="Arial" w:cs="Arial"/>
          <w:bCs/>
          <w:noProof/>
          <w:sz w:val="20"/>
          <w:szCs w:val="20"/>
          <w:lang w:eastAsia="ja-JP"/>
        </w:rPr>
        <w:t xml:space="preserve"> </w:t>
      </w:r>
      <w:r w:rsidRPr="00A5271E">
        <w:rPr>
          <w:rFonts w:ascii="Arial" w:eastAsia="MS Mincho" w:hAnsi="Arial" w:cs="Arial"/>
          <w:bCs/>
          <w:noProof/>
          <w:sz w:val="20"/>
          <w:szCs w:val="20"/>
          <w:lang w:eastAsia="ja-JP"/>
        </w:rPr>
        <w:t>2012 a následne predložený Komisii.</w:t>
      </w:r>
    </w:p>
    <w:p w:rsidR="00214ECF" w:rsidRPr="00E80325" w:rsidRDefault="00214ECF" w:rsidP="00507035">
      <w:pPr>
        <w:spacing w:before="120" w:after="120" w:line="360" w:lineRule="auto"/>
        <w:jc w:val="both"/>
        <w:rPr>
          <w:rFonts w:ascii="Arial" w:hAnsi="Arial" w:cs="Arial"/>
          <w:sz w:val="20"/>
          <w:szCs w:val="20"/>
        </w:rPr>
      </w:pPr>
      <w:r w:rsidRPr="00E80325">
        <w:rPr>
          <w:rFonts w:ascii="Arial" w:hAnsi="Arial" w:cs="Arial"/>
          <w:sz w:val="20"/>
          <w:szCs w:val="20"/>
        </w:rPr>
        <w:t>V súvislosti so zameraním podpory z fondov EÚ v rámci politiky súdržnosti budúceho programovacieho obdobia sú v rámci NPR stanovené tri základné ciele, ktoré sú kľúčové pre rozvoj slovenskej ekonomiky a vyžadujú si značné finančné prostriedky, a to:</w:t>
      </w:r>
    </w:p>
    <w:p w:rsidR="00214ECF" w:rsidRPr="00E80325" w:rsidRDefault="005174E9" w:rsidP="001540E7">
      <w:pPr>
        <w:numPr>
          <w:ilvl w:val="0"/>
          <w:numId w:val="35"/>
        </w:numPr>
        <w:tabs>
          <w:tab w:val="left" w:pos="360"/>
          <w:tab w:val="num" w:pos="900"/>
        </w:tabs>
        <w:autoSpaceDE w:val="0"/>
        <w:autoSpaceDN w:val="0"/>
        <w:adjustRightInd w:val="0"/>
        <w:spacing w:before="120" w:after="120" w:line="360" w:lineRule="auto"/>
        <w:ind w:left="901" w:hanging="181"/>
        <w:jc w:val="both"/>
        <w:rPr>
          <w:rFonts w:ascii="Arial" w:hAnsi="Arial" w:cs="Arial"/>
          <w:sz w:val="20"/>
          <w:szCs w:val="20"/>
        </w:rPr>
      </w:pPr>
      <w:r>
        <w:rPr>
          <w:rFonts w:ascii="Arial" w:hAnsi="Arial" w:cs="Arial"/>
          <w:sz w:val="20"/>
          <w:szCs w:val="20"/>
        </w:rPr>
        <w:t>z</w:t>
      </w:r>
      <w:r w:rsidR="00214ECF" w:rsidRPr="00E80325">
        <w:rPr>
          <w:rFonts w:ascii="Arial" w:hAnsi="Arial" w:cs="Arial"/>
          <w:sz w:val="20"/>
          <w:szCs w:val="20"/>
        </w:rPr>
        <w:t>ákladná infraštruktúra;</w:t>
      </w:r>
    </w:p>
    <w:p w:rsidR="00214ECF" w:rsidRPr="00E80325" w:rsidRDefault="005174E9" w:rsidP="001540E7">
      <w:pPr>
        <w:numPr>
          <w:ilvl w:val="0"/>
          <w:numId w:val="35"/>
        </w:numPr>
        <w:tabs>
          <w:tab w:val="left" w:pos="360"/>
          <w:tab w:val="num" w:pos="900"/>
        </w:tabs>
        <w:autoSpaceDE w:val="0"/>
        <w:autoSpaceDN w:val="0"/>
        <w:adjustRightInd w:val="0"/>
        <w:spacing w:before="120" w:after="120" w:line="360" w:lineRule="auto"/>
        <w:ind w:left="901" w:hanging="181"/>
        <w:jc w:val="both"/>
        <w:rPr>
          <w:rFonts w:ascii="Arial" w:hAnsi="Arial" w:cs="Arial"/>
          <w:sz w:val="20"/>
          <w:szCs w:val="20"/>
        </w:rPr>
      </w:pPr>
      <w:r>
        <w:rPr>
          <w:rFonts w:ascii="Arial" w:hAnsi="Arial" w:cs="Arial"/>
          <w:sz w:val="20"/>
          <w:szCs w:val="20"/>
        </w:rPr>
        <w:t>ľ</w:t>
      </w:r>
      <w:r w:rsidR="00214ECF" w:rsidRPr="00E80325">
        <w:rPr>
          <w:rFonts w:ascii="Arial" w:hAnsi="Arial" w:cs="Arial"/>
          <w:sz w:val="20"/>
          <w:szCs w:val="20"/>
        </w:rPr>
        <w:t>udské zdroje, zamestnanosť a sociálna inklúzia;</w:t>
      </w:r>
    </w:p>
    <w:p w:rsidR="00214ECF" w:rsidRPr="00E80325" w:rsidRDefault="005174E9" w:rsidP="001540E7">
      <w:pPr>
        <w:numPr>
          <w:ilvl w:val="0"/>
          <w:numId w:val="35"/>
        </w:numPr>
        <w:tabs>
          <w:tab w:val="left" w:pos="360"/>
          <w:tab w:val="num" w:pos="900"/>
        </w:tabs>
        <w:autoSpaceDE w:val="0"/>
        <w:autoSpaceDN w:val="0"/>
        <w:adjustRightInd w:val="0"/>
        <w:spacing w:before="120" w:after="120" w:line="360" w:lineRule="auto"/>
        <w:ind w:left="901" w:hanging="181"/>
        <w:jc w:val="both"/>
        <w:rPr>
          <w:rFonts w:ascii="Arial" w:hAnsi="Arial" w:cs="Arial"/>
          <w:sz w:val="20"/>
          <w:szCs w:val="20"/>
        </w:rPr>
      </w:pPr>
      <w:r>
        <w:rPr>
          <w:rFonts w:ascii="Arial" w:hAnsi="Arial" w:cs="Arial"/>
          <w:sz w:val="20"/>
          <w:szCs w:val="20"/>
        </w:rPr>
        <w:t>v</w:t>
      </w:r>
      <w:r w:rsidR="00214ECF" w:rsidRPr="00E80325">
        <w:rPr>
          <w:rFonts w:ascii="Arial" w:hAnsi="Arial" w:cs="Arial"/>
          <w:sz w:val="20"/>
          <w:szCs w:val="20"/>
        </w:rPr>
        <w:t>eda, výskum a inovácie s dôrazom na zelený rast.</w:t>
      </w:r>
    </w:p>
    <w:p w:rsidR="00214ECF" w:rsidRPr="00E80325" w:rsidRDefault="00214ECF" w:rsidP="00507035">
      <w:pPr>
        <w:tabs>
          <w:tab w:val="left" w:pos="360"/>
        </w:tabs>
        <w:autoSpaceDE w:val="0"/>
        <w:autoSpaceDN w:val="0"/>
        <w:adjustRightInd w:val="0"/>
        <w:spacing w:before="120" w:after="120" w:line="360" w:lineRule="auto"/>
        <w:jc w:val="both"/>
        <w:rPr>
          <w:rFonts w:ascii="Arial" w:hAnsi="Arial" w:cs="Arial"/>
          <w:sz w:val="20"/>
          <w:szCs w:val="20"/>
        </w:rPr>
      </w:pPr>
      <w:r w:rsidRPr="00E80325">
        <w:rPr>
          <w:rFonts w:ascii="Arial" w:hAnsi="Arial" w:cs="Arial"/>
          <w:sz w:val="20"/>
          <w:szCs w:val="20"/>
        </w:rPr>
        <w:t>Finančné prostriedky z fondov EÚ v rámci OP ŽP sú zamerané na podporu rozvoja environmentálnej infraštruktúry SR, a teda priamo smerujú do jednej z oblastí, ktoré sú v NPR SR identifikované ako finančne náročné a zároveň rozhodujúce z hľadiska ekonomického rozvoja SR.</w:t>
      </w:r>
    </w:p>
    <w:p w:rsidR="00214ECF" w:rsidRPr="00E80325" w:rsidRDefault="00214ECF" w:rsidP="00507035">
      <w:pPr>
        <w:tabs>
          <w:tab w:val="left" w:pos="360"/>
        </w:tabs>
        <w:autoSpaceDE w:val="0"/>
        <w:autoSpaceDN w:val="0"/>
        <w:adjustRightInd w:val="0"/>
        <w:spacing w:before="120" w:after="120" w:line="360" w:lineRule="auto"/>
        <w:jc w:val="both"/>
        <w:rPr>
          <w:rFonts w:ascii="Arial" w:hAnsi="Arial" w:cs="Arial"/>
          <w:iCs/>
          <w:sz w:val="20"/>
          <w:szCs w:val="20"/>
        </w:rPr>
      </w:pPr>
      <w:r w:rsidRPr="00E80325">
        <w:rPr>
          <w:rFonts w:ascii="Arial" w:hAnsi="Arial" w:cs="Arial"/>
          <w:iCs/>
          <w:sz w:val="20"/>
          <w:szCs w:val="20"/>
        </w:rPr>
        <w:t xml:space="preserve">Vzájomné súvislosti OP ŽP s napĺňaním priorít stratégie Európa 2020, ako aj cieľov NPR SR možno podrobnejšie charakterizovať takto: </w:t>
      </w:r>
    </w:p>
    <w:p w:rsidR="00214ECF" w:rsidRPr="00E80325" w:rsidRDefault="00214ECF" w:rsidP="00507035">
      <w:pPr>
        <w:tabs>
          <w:tab w:val="left" w:pos="900"/>
        </w:tabs>
        <w:autoSpaceDE w:val="0"/>
        <w:autoSpaceDN w:val="0"/>
        <w:adjustRightInd w:val="0"/>
        <w:spacing w:before="120" w:after="120" w:line="360" w:lineRule="auto"/>
        <w:ind w:firstLine="720"/>
        <w:jc w:val="both"/>
        <w:rPr>
          <w:rFonts w:ascii="Arial" w:hAnsi="Arial" w:cs="Arial"/>
          <w:i/>
          <w:iCs/>
          <w:sz w:val="20"/>
          <w:szCs w:val="20"/>
        </w:rPr>
      </w:pPr>
      <w:r w:rsidRPr="00E80325">
        <w:rPr>
          <w:rFonts w:ascii="Arial" w:hAnsi="Arial" w:cs="Arial"/>
          <w:i/>
          <w:sz w:val="20"/>
          <w:szCs w:val="20"/>
        </w:rPr>
        <w:t xml:space="preserve">a) Napĺňanie globálneho cieľa OP ŽP prispieva k zabezpečeniu </w:t>
      </w:r>
      <w:r w:rsidRPr="00E80325">
        <w:rPr>
          <w:rFonts w:ascii="Arial" w:hAnsi="Arial" w:cs="Arial"/>
          <w:i/>
          <w:iCs/>
          <w:sz w:val="20"/>
          <w:szCs w:val="20"/>
        </w:rPr>
        <w:t xml:space="preserve">environmentálnej udržateľnosti hospodárskeho rozvoja a „zelenému“ ekonomickému rastu, čo zodpovedá prioritám stratégie Európa 2020 a cieľom NPR SR.  </w:t>
      </w:r>
    </w:p>
    <w:p w:rsidR="00214ECF" w:rsidRPr="00E80325" w:rsidRDefault="00214ECF" w:rsidP="00507035">
      <w:pPr>
        <w:autoSpaceDE w:val="0"/>
        <w:autoSpaceDN w:val="0"/>
        <w:adjustRightInd w:val="0"/>
        <w:spacing w:before="120" w:after="120" w:line="360" w:lineRule="auto"/>
        <w:jc w:val="both"/>
        <w:rPr>
          <w:rFonts w:ascii="Arial" w:hAnsi="Arial" w:cs="Arial"/>
          <w:noProof/>
          <w:sz w:val="20"/>
          <w:szCs w:val="20"/>
        </w:rPr>
      </w:pPr>
      <w:r w:rsidRPr="00E80325">
        <w:rPr>
          <w:rFonts w:ascii="Arial" w:hAnsi="Arial" w:cs="Arial"/>
          <w:noProof/>
          <w:sz w:val="20"/>
          <w:szCs w:val="20"/>
        </w:rPr>
        <w:t>Globálnym cieľom OP ŽP, je zlepšenie stavu životného prostredia a racionálneho využívania zdrojov prostredníctvom dobudovania a skvalitnenia environmentálnej infraštruktúry SR v zmysle predpisov EÚ a SR a posilnenie efektívnosti environmentálnej zložky trvalo udržateľného rozvoja.</w:t>
      </w:r>
    </w:p>
    <w:p w:rsidR="00214ECF" w:rsidRPr="00E80325" w:rsidRDefault="00214ECF" w:rsidP="00507035">
      <w:pPr>
        <w:tabs>
          <w:tab w:val="left" w:pos="360"/>
        </w:tabs>
        <w:autoSpaceDE w:val="0"/>
        <w:autoSpaceDN w:val="0"/>
        <w:adjustRightInd w:val="0"/>
        <w:spacing w:before="120" w:after="120" w:line="360" w:lineRule="auto"/>
        <w:jc w:val="both"/>
        <w:rPr>
          <w:rFonts w:ascii="Arial" w:hAnsi="Arial" w:cs="Arial"/>
          <w:i/>
          <w:sz w:val="20"/>
          <w:szCs w:val="20"/>
        </w:rPr>
      </w:pPr>
      <w:r w:rsidRPr="00E80325">
        <w:rPr>
          <w:rFonts w:ascii="Arial" w:hAnsi="Arial" w:cs="Arial"/>
          <w:noProof/>
          <w:sz w:val="20"/>
          <w:szCs w:val="20"/>
        </w:rPr>
        <w:t xml:space="preserve">Uvedený globálny cieľ je v súlade a má priamu súvislosť s jednou z troch základných priorít stratégie Európa 2020, a to </w:t>
      </w:r>
      <w:r w:rsidRPr="00E80325">
        <w:rPr>
          <w:rFonts w:ascii="Arial" w:hAnsi="Arial" w:cs="Arial"/>
          <w:i/>
          <w:noProof/>
          <w:sz w:val="20"/>
          <w:szCs w:val="20"/>
        </w:rPr>
        <w:t>„</w:t>
      </w:r>
      <w:r w:rsidRPr="00E80325">
        <w:rPr>
          <w:rFonts w:ascii="Arial" w:hAnsi="Arial" w:cs="Arial"/>
          <w:i/>
          <w:sz w:val="20"/>
          <w:szCs w:val="20"/>
        </w:rPr>
        <w:t>Udržateľný rast: podpora ekologickejšieho a konkurencieschopnejšieho hospodárstva, ktoré efektívnejšie využíva zdroje“.</w:t>
      </w:r>
    </w:p>
    <w:p w:rsidR="00214ECF" w:rsidRPr="00E80325" w:rsidRDefault="00214ECF" w:rsidP="00507035">
      <w:pPr>
        <w:spacing w:before="120" w:after="120" w:line="360" w:lineRule="auto"/>
        <w:jc w:val="both"/>
        <w:rPr>
          <w:rFonts w:ascii="Arial" w:hAnsi="Arial" w:cs="Arial"/>
          <w:noProof/>
          <w:sz w:val="20"/>
          <w:szCs w:val="20"/>
        </w:rPr>
      </w:pPr>
      <w:r w:rsidRPr="00E80325">
        <w:rPr>
          <w:rFonts w:ascii="Arial" w:hAnsi="Arial" w:cs="Arial"/>
          <w:noProof/>
          <w:sz w:val="20"/>
          <w:szCs w:val="20"/>
        </w:rPr>
        <w:t xml:space="preserve">Svojím globálnym cieľom je OP ŽP zároveň priamo previazaný s NPR , a to nielen z dôvodu, že základná infraštruktúra, ktorej súčasťou je aj environmentálna infraštruktúra, je v rámci NPR  zaradená medzi hlavné ciele podpory z fondov EÚ, ale tiež z dôvodu, že v súlade s NPR  </w:t>
      </w:r>
      <w:r w:rsidRPr="00E80325">
        <w:rPr>
          <w:rFonts w:ascii="Arial" w:hAnsi="Arial" w:cs="Arial"/>
          <w:i/>
          <w:noProof/>
          <w:sz w:val="20"/>
          <w:szCs w:val="20"/>
        </w:rPr>
        <w:t>„dôraz bude SR klásť na zelený rast s cieľom využívať čistejšie zdroje rastu a rozvíjať zelený priemysel, služby, technológie a pracovné miesta.“</w:t>
      </w:r>
    </w:p>
    <w:p w:rsidR="00214ECF" w:rsidRPr="00E80325" w:rsidRDefault="00214ECF" w:rsidP="00507035">
      <w:pPr>
        <w:tabs>
          <w:tab w:val="left" w:pos="360"/>
        </w:tabs>
        <w:autoSpaceDE w:val="0"/>
        <w:autoSpaceDN w:val="0"/>
        <w:adjustRightInd w:val="0"/>
        <w:spacing w:before="120" w:after="120" w:line="360" w:lineRule="auto"/>
        <w:jc w:val="both"/>
        <w:rPr>
          <w:rFonts w:ascii="Arial" w:hAnsi="Arial" w:cs="Arial"/>
          <w:sz w:val="20"/>
          <w:szCs w:val="20"/>
        </w:rPr>
      </w:pPr>
      <w:r w:rsidRPr="00E80325">
        <w:rPr>
          <w:rFonts w:ascii="Arial" w:hAnsi="Arial" w:cs="Arial"/>
          <w:sz w:val="20"/>
          <w:szCs w:val="20"/>
        </w:rPr>
        <w:t xml:space="preserve">Globálny cieľ OP ŽP sa následne premieta na úroveň jednotlivých prioritných osí OP ŽP, ktorých cieľom je: </w:t>
      </w:r>
    </w:p>
    <w:p w:rsidR="00CE52D7" w:rsidRDefault="00214ECF" w:rsidP="001540E7">
      <w:pPr>
        <w:pStyle w:val="Odsekzoznamu"/>
        <w:numPr>
          <w:ilvl w:val="0"/>
          <w:numId w:val="72"/>
        </w:numPr>
        <w:autoSpaceDE w:val="0"/>
        <w:autoSpaceDN w:val="0"/>
        <w:adjustRightInd w:val="0"/>
        <w:spacing w:before="120" w:after="120" w:line="360" w:lineRule="auto"/>
        <w:ind w:left="284" w:hanging="284"/>
        <w:jc w:val="both"/>
        <w:rPr>
          <w:rFonts w:ascii="Arial" w:hAnsi="Arial" w:cs="Arial"/>
          <w:noProof/>
          <w:sz w:val="20"/>
          <w:szCs w:val="20"/>
        </w:rPr>
      </w:pPr>
      <w:r w:rsidRPr="00CE52D7">
        <w:rPr>
          <w:rFonts w:ascii="Arial" w:hAnsi="Arial" w:cs="Arial"/>
          <w:noProof/>
          <w:sz w:val="20"/>
          <w:szCs w:val="20"/>
        </w:rPr>
        <w:t>umožniť environmentálne udržateľné využívanie jednotlivých zložiek životného prostredia: napr. prioritná os 1 Integrovaná ochrana a racionálne využívanie vôd, ktorej cieľom je znižovať znečisťovanie vôd prostredníctvom dobudovania a skvalitnenia infraštruktúry vodného hospodárstva v oblasti odvádzania a čistenia odpadových vôd;</w:t>
      </w:r>
    </w:p>
    <w:p w:rsidR="00CE52D7" w:rsidRDefault="00214ECF" w:rsidP="001540E7">
      <w:pPr>
        <w:pStyle w:val="Odsekzoznamu"/>
        <w:numPr>
          <w:ilvl w:val="0"/>
          <w:numId w:val="72"/>
        </w:numPr>
        <w:autoSpaceDE w:val="0"/>
        <w:autoSpaceDN w:val="0"/>
        <w:adjustRightInd w:val="0"/>
        <w:spacing w:before="120" w:after="120" w:line="360" w:lineRule="auto"/>
        <w:ind w:left="284" w:hanging="284"/>
        <w:jc w:val="both"/>
        <w:rPr>
          <w:rFonts w:ascii="Arial" w:hAnsi="Arial" w:cs="Arial"/>
          <w:noProof/>
          <w:sz w:val="20"/>
          <w:szCs w:val="20"/>
        </w:rPr>
      </w:pPr>
      <w:r w:rsidRPr="00CE52D7">
        <w:rPr>
          <w:rFonts w:ascii="Arial" w:hAnsi="Arial" w:cs="Arial"/>
          <w:noProof/>
          <w:sz w:val="20"/>
          <w:szCs w:val="20"/>
        </w:rPr>
        <w:t>prispieť k efektívnejšiemu využívaniu prírodných zdrojov a udržateľnému hospodáreniu s nimi: napr. prioritná os 4 Odpadové hospodárstvo, zameraná primárne na podporu aktivít v oblasti separovaného zberu a zhodnocovania odpadov ich opätovným materiálovým, resp. energetickým využitím;</w:t>
      </w:r>
    </w:p>
    <w:p w:rsidR="00214ECF" w:rsidRPr="00CE52D7" w:rsidRDefault="00214ECF" w:rsidP="001540E7">
      <w:pPr>
        <w:pStyle w:val="Odsekzoznamu"/>
        <w:numPr>
          <w:ilvl w:val="0"/>
          <w:numId w:val="72"/>
        </w:numPr>
        <w:autoSpaceDE w:val="0"/>
        <w:autoSpaceDN w:val="0"/>
        <w:adjustRightInd w:val="0"/>
        <w:spacing w:before="120" w:after="120" w:line="360" w:lineRule="auto"/>
        <w:ind w:left="284" w:hanging="284"/>
        <w:jc w:val="both"/>
        <w:rPr>
          <w:rFonts w:ascii="Arial" w:hAnsi="Arial" w:cs="Arial"/>
          <w:noProof/>
          <w:sz w:val="20"/>
          <w:szCs w:val="20"/>
        </w:rPr>
      </w:pPr>
      <w:r w:rsidRPr="00CE52D7">
        <w:rPr>
          <w:rFonts w:ascii="Arial" w:hAnsi="Arial" w:cs="Arial"/>
          <w:noProof/>
          <w:sz w:val="20"/>
          <w:szCs w:val="20"/>
        </w:rPr>
        <w:t xml:space="preserve">podporovať technológie priaznivé vo vzťahu k životnému prostrediu a tým zmierňovať zhoršovanie jeho kvality, čo je cieľom napr. prioritnej osi 3 Ochrana ovzdušia a minimalizácia nepriaznivých vplyvov zmeny klímy (operačný cieľ 3.1 Ochrana ovzdušia), ale z druhej strany sa sústrediť tiež na realizáciu opatrení zameraných na zmierňovanie vplyvov nepriaznivých prírodných trendov alebo javov na hospodársku činnosť, ako je tomu v prípade napr. už spomenutej prioritnej osi 3 Ochrana ovzdušia a minimalizácia nepriaznivých vplyvov zmeny klímy (operačný cieľ 3.2 Minimalizácia nepriaznivých vplyvov zmeny klímy vrátane podpory obnoviteľných zdrojov energie) alebo prioritnej osi 2 Ochrana pred povodňami. </w:t>
      </w:r>
    </w:p>
    <w:p w:rsidR="00214ECF" w:rsidRPr="00E80325" w:rsidRDefault="00214ECF" w:rsidP="00507035">
      <w:pPr>
        <w:autoSpaceDE w:val="0"/>
        <w:autoSpaceDN w:val="0"/>
        <w:adjustRightInd w:val="0"/>
        <w:spacing w:before="120" w:after="120" w:line="360" w:lineRule="auto"/>
        <w:ind w:firstLine="720"/>
        <w:jc w:val="both"/>
        <w:rPr>
          <w:rFonts w:ascii="Arial" w:hAnsi="Arial" w:cs="Arial"/>
          <w:i/>
          <w:iCs/>
          <w:sz w:val="20"/>
          <w:szCs w:val="20"/>
        </w:rPr>
      </w:pPr>
      <w:r w:rsidRPr="00E80325">
        <w:rPr>
          <w:rFonts w:ascii="Arial" w:hAnsi="Arial" w:cs="Arial"/>
          <w:i/>
          <w:iCs/>
          <w:sz w:val="20"/>
          <w:szCs w:val="20"/>
        </w:rPr>
        <w:t>b) Existencia, dostupnosť a kvalita environmentálnej infraštruktúry patrí k faktorom ovplyvňujúcim úroveň rozvoja regiónov, kvalitu podnikateľského prostredia a atraktívnosť územia pre investovanie.</w:t>
      </w:r>
    </w:p>
    <w:p w:rsidR="00214ECF" w:rsidRPr="00E80325" w:rsidRDefault="00214ECF" w:rsidP="00507035">
      <w:pPr>
        <w:autoSpaceDE w:val="0"/>
        <w:autoSpaceDN w:val="0"/>
        <w:adjustRightInd w:val="0"/>
        <w:spacing w:before="120" w:after="120" w:line="360" w:lineRule="auto"/>
        <w:jc w:val="both"/>
        <w:rPr>
          <w:rFonts w:ascii="Arial" w:hAnsi="Arial" w:cs="Arial"/>
          <w:b/>
          <w:i/>
          <w:sz w:val="20"/>
          <w:szCs w:val="20"/>
        </w:rPr>
      </w:pPr>
      <w:r w:rsidRPr="00E80325">
        <w:rPr>
          <w:rFonts w:ascii="Arial" w:hAnsi="Arial" w:cs="Arial"/>
          <w:iCs/>
          <w:sz w:val="20"/>
          <w:szCs w:val="20"/>
        </w:rPr>
        <w:t xml:space="preserve">Environmentálna infraštruktúra je jednou zo súčastí základnej infraštruktúry, na ktorej význam pre zabezpečenie hospodárskeho rastu priamo poukazuje aj stratégia Európa 2020. V nej sa v súvislosti s ponaučeniami vyplývajúcimi </w:t>
      </w:r>
      <w:r w:rsidRPr="00E80325">
        <w:rPr>
          <w:rFonts w:ascii="Arial" w:hAnsi="Arial" w:cs="Arial"/>
          <w:sz w:val="20"/>
          <w:szCs w:val="20"/>
        </w:rPr>
        <w:t xml:space="preserve">zo súčasnej krízy o. i. konštatuje, že </w:t>
      </w:r>
      <w:r w:rsidRPr="00E80325">
        <w:rPr>
          <w:rFonts w:ascii="Arial" w:hAnsi="Arial" w:cs="Arial"/>
          <w:i/>
          <w:sz w:val="20"/>
          <w:szCs w:val="20"/>
        </w:rPr>
        <w:t>„pre niektoré členské štáty je zložitejšie zabezpečiť dostatočné financovanie základnej infraštruktúry,</w:t>
      </w:r>
      <w:r w:rsidRPr="00E80325">
        <w:rPr>
          <w:rFonts w:ascii="Arial" w:hAnsi="Arial" w:cs="Arial"/>
          <w:i/>
          <w:iCs/>
          <w:sz w:val="20"/>
          <w:szCs w:val="20"/>
        </w:rPr>
        <w:t xml:space="preserve"> </w:t>
      </w:r>
      <w:r w:rsidRPr="00E80325">
        <w:rPr>
          <w:rFonts w:ascii="Arial" w:hAnsi="Arial" w:cs="Arial"/>
          <w:i/>
          <w:sz w:val="20"/>
          <w:szCs w:val="20"/>
        </w:rPr>
        <w:t>ktorá je potrebná nielen na rozvoj ich vlastných</w:t>
      </w:r>
      <w:r w:rsidRPr="00E80325">
        <w:rPr>
          <w:rFonts w:ascii="Arial" w:hAnsi="Arial" w:cs="Arial"/>
          <w:i/>
          <w:iCs/>
          <w:sz w:val="20"/>
          <w:szCs w:val="20"/>
        </w:rPr>
        <w:t xml:space="preserve"> </w:t>
      </w:r>
      <w:r w:rsidRPr="00E80325">
        <w:rPr>
          <w:rFonts w:ascii="Arial" w:hAnsi="Arial" w:cs="Arial"/>
          <w:i/>
          <w:sz w:val="20"/>
          <w:szCs w:val="20"/>
        </w:rPr>
        <w:t>hospodárstiev, ale aj na dosiahnutie ich plnej účasti na vnútornom trhu“.</w:t>
      </w:r>
    </w:p>
    <w:p w:rsidR="00214ECF" w:rsidRPr="00E80325" w:rsidRDefault="00214ECF" w:rsidP="00507035">
      <w:pPr>
        <w:autoSpaceDE w:val="0"/>
        <w:autoSpaceDN w:val="0"/>
        <w:adjustRightInd w:val="0"/>
        <w:spacing w:before="120" w:after="120" w:line="360" w:lineRule="auto"/>
        <w:jc w:val="both"/>
        <w:rPr>
          <w:rFonts w:ascii="Arial" w:hAnsi="Arial" w:cs="Arial"/>
          <w:noProof/>
          <w:sz w:val="20"/>
          <w:szCs w:val="20"/>
        </w:rPr>
      </w:pPr>
      <w:r w:rsidRPr="00E80325">
        <w:rPr>
          <w:rFonts w:ascii="Arial" w:hAnsi="Arial" w:cs="Arial"/>
          <w:iCs/>
          <w:sz w:val="20"/>
          <w:szCs w:val="20"/>
        </w:rPr>
        <w:t>Podobne aj v NPR  sa priamo zdôrazňuje, že „</w:t>
      </w:r>
      <w:r w:rsidRPr="00E80325">
        <w:rPr>
          <w:rFonts w:ascii="Arial" w:hAnsi="Arial" w:cs="Arial"/>
          <w:i/>
          <w:iCs/>
          <w:sz w:val="20"/>
          <w:szCs w:val="20"/>
        </w:rPr>
        <w:t>ú</w:t>
      </w:r>
      <w:r w:rsidRPr="00E80325">
        <w:rPr>
          <w:rFonts w:ascii="Arial" w:hAnsi="Arial" w:cs="Arial"/>
          <w:i/>
          <w:noProof/>
          <w:sz w:val="20"/>
          <w:szCs w:val="20"/>
        </w:rPr>
        <w:t>zemie SR vykazuje medzi hlavnými príčinami nerovnomerného rozvoja regiónov a vzniku regionálnych rozdielov práve nedostatočnú vybavenosť územia infraštruktúrou. Preto je snahou SR posilniť svoje postavenie v európskom konkurenčnom prostredí vďaka primerane vybudovanej infraštruktúre“.</w:t>
      </w:r>
    </w:p>
    <w:p w:rsidR="00214ECF" w:rsidRPr="00E80325" w:rsidRDefault="00214ECF" w:rsidP="00507035">
      <w:pPr>
        <w:autoSpaceDE w:val="0"/>
        <w:autoSpaceDN w:val="0"/>
        <w:adjustRightInd w:val="0"/>
        <w:spacing w:before="120" w:after="120" w:line="360" w:lineRule="auto"/>
        <w:jc w:val="both"/>
        <w:rPr>
          <w:rFonts w:ascii="Arial" w:hAnsi="Arial" w:cs="Arial"/>
          <w:sz w:val="20"/>
          <w:szCs w:val="20"/>
        </w:rPr>
      </w:pPr>
      <w:r w:rsidRPr="00E80325">
        <w:rPr>
          <w:rFonts w:ascii="Arial" w:hAnsi="Arial" w:cs="Arial"/>
          <w:sz w:val="20"/>
          <w:szCs w:val="20"/>
        </w:rPr>
        <w:t>Stratégia OP ŽP vychádza zo skutočnosti, že stav environmentálnej infraštruktúry patrí k dôležitým faktorom ekonomického rozvoja a konkurencieschopnosti ekonomiky. Nedobudovanosť environmentálnej infraštruktúry spôsobuje problémy vo vyrovnávaní regionálnych rozdielov. Konkurencieschopnosť oblastí s nevybudovanou alebo nevyhovujúcou environmentálnou infraštruktúrou sa výrazne znižuje, pričom snaha o umiestnenie hospodárskych aktivít na takéto územia často vyvoláva potrebu doplnkových investícií, resp. štátnych záruk.</w:t>
      </w:r>
    </w:p>
    <w:p w:rsidR="00214ECF" w:rsidRPr="00E80325" w:rsidRDefault="00214ECF" w:rsidP="00507035">
      <w:pPr>
        <w:autoSpaceDE w:val="0"/>
        <w:autoSpaceDN w:val="0"/>
        <w:adjustRightInd w:val="0"/>
        <w:spacing w:before="120" w:after="120" w:line="360" w:lineRule="auto"/>
        <w:jc w:val="both"/>
        <w:rPr>
          <w:rFonts w:ascii="Arial" w:hAnsi="Arial" w:cs="Arial"/>
          <w:noProof/>
          <w:sz w:val="20"/>
          <w:szCs w:val="20"/>
        </w:rPr>
      </w:pPr>
      <w:r w:rsidRPr="00E80325">
        <w:rPr>
          <w:rFonts w:ascii="Arial" w:hAnsi="Arial" w:cs="Arial"/>
          <w:noProof/>
          <w:sz w:val="20"/>
          <w:szCs w:val="20"/>
        </w:rPr>
        <w:t>Naopak, vybavenosť územia environmentálnou infraštruktúrou zvyšuje jeho atraktívnosť pre investovanie a stáva sa podmienkou umiestnenia investícií. Investície do environmentálnej infraštruktúry tým generujú priame investície zo strany podnikateľských subjektov, prispievajúce k rastu konkurencieschopnosti a ekonomickej výkonnosti regiónov.</w:t>
      </w:r>
    </w:p>
    <w:p w:rsidR="00214ECF" w:rsidRPr="00E80325" w:rsidRDefault="00214ECF" w:rsidP="00507035">
      <w:pPr>
        <w:autoSpaceDE w:val="0"/>
        <w:autoSpaceDN w:val="0"/>
        <w:adjustRightInd w:val="0"/>
        <w:spacing w:before="120" w:after="120" w:line="360" w:lineRule="auto"/>
        <w:jc w:val="both"/>
        <w:rPr>
          <w:rFonts w:ascii="Arial" w:hAnsi="Arial" w:cs="Arial"/>
          <w:noProof/>
          <w:sz w:val="20"/>
          <w:szCs w:val="20"/>
        </w:rPr>
      </w:pPr>
      <w:r w:rsidRPr="00E80325">
        <w:rPr>
          <w:rFonts w:ascii="Arial" w:hAnsi="Arial" w:cs="Arial"/>
          <w:iCs/>
          <w:sz w:val="20"/>
          <w:szCs w:val="20"/>
        </w:rPr>
        <w:t>Ako príklad v rámci OP ŽP možno uviesť infraštruktúru v oblasti čistenia a odvádzania odpadových vôd a zásobovania pitnou vodou, ktorá je predmetom podpory prioritnej osi 1 Integrovaná ochrana a racionálne využívanie vôd alebo infraštruktúru na nakladanie s odpadmi, na rozvoj ktorej je zameraná p</w:t>
      </w:r>
      <w:r w:rsidRPr="00E80325">
        <w:rPr>
          <w:rFonts w:ascii="Arial" w:hAnsi="Arial" w:cs="Arial"/>
          <w:noProof/>
          <w:sz w:val="20"/>
          <w:szCs w:val="20"/>
        </w:rPr>
        <w:t>rioritná os 4 Odpadové hospodárstvo. Dostupnosť a kvalita tejto infraštruktúry častokrát nielen ovplyvňuje, ale aj priamo podmieňuje (ne)záujem investorov o realizáciu ich podnikateľských zámerov v danom regióne, resp. na určitom území.</w:t>
      </w:r>
    </w:p>
    <w:p w:rsidR="00BA7B62" w:rsidRDefault="00214ECF" w:rsidP="00507035">
      <w:pPr>
        <w:autoSpaceDE w:val="0"/>
        <w:autoSpaceDN w:val="0"/>
        <w:adjustRightInd w:val="0"/>
        <w:spacing w:before="120" w:after="120" w:line="360" w:lineRule="auto"/>
        <w:jc w:val="both"/>
        <w:rPr>
          <w:rFonts w:ascii="Arial" w:hAnsi="Arial" w:cs="Arial"/>
          <w:bCs/>
          <w:iCs/>
          <w:sz w:val="20"/>
          <w:szCs w:val="20"/>
        </w:rPr>
      </w:pPr>
      <w:r w:rsidRPr="00E80325">
        <w:rPr>
          <w:rFonts w:ascii="Arial" w:hAnsi="Arial" w:cs="Arial"/>
          <w:iCs/>
          <w:sz w:val="20"/>
          <w:szCs w:val="20"/>
        </w:rPr>
        <w:t>Vzhľadom na možnosti environmentálnej infraštruktúry spolupôsobiť ako faktor ovplyvňujúci kvalitu podnikateľského prostredia a konkurencieschopnosť existuje tiež súvislosť OP ŽP s </w:t>
      </w:r>
      <w:r w:rsidRPr="00E80325">
        <w:rPr>
          <w:rFonts w:ascii="Arial" w:hAnsi="Arial" w:cs="Arial"/>
          <w:i/>
          <w:iCs/>
          <w:sz w:val="20"/>
          <w:szCs w:val="20"/>
        </w:rPr>
        <w:t xml:space="preserve">iniciatívou EÚ </w:t>
      </w:r>
      <w:r w:rsidRPr="00E80325">
        <w:rPr>
          <w:rFonts w:ascii="Arial" w:hAnsi="Arial" w:cs="Arial"/>
          <w:i/>
          <w:sz w:val="20"/>
          <w:szCs w:val="20"/>
        </w:rPr>
        <w:t>„Priemyselná politika vo veku globalizácie“ zameranou na zlepšenie podnikateľského prostredia, najmä pre malé a stredné podniky.</w:t>
      </w:r>
      <w:r w:rsidRPr="00E80325">
        <w:rPr>
          <w:rFonts w:ascii="Arial" w:hAnsi="Arial" w:cs="Arial"/>
          <w:b/>
          <w:i/>
          <w:sz w:val="20"/>
          <w:szCs w:val="20"/>
        </w:rPr>
        <w:t xml:space="preserve"> </w:t>
      </w:r>
      <w:r w:rsidRPr="00E80325">
        <w:rPr>
          <w:rFonts w:ascii="Arial" w:hAnsi="Arial" w:cs="Arial"/>
          <w:sz w:val="20"/>
          <w:szCs w:val="20"/>
        </w:rPr>
        <w:t xml:space="preserve">Čo sa týka špecificky podpory malých a stredných podnikov, možnosti pre ňu sú vytvorené v rámci prioritnej osi 3 </w:t>
      </w:r>
      <w:r w:rsidRPr="00E80325">
        <w:rPr>
          <w:rFonts w:ascii="Arial" w:hAnsi="Arial" w:cs="Arial"/>
          <w:noProof/>
          <w:sz w:val="20"/>
          <w:szCs w:val="20"/>
        </w:rPr>
        <w:t>Ochrana ovzdušia a minimalizácia nepriaznivých vplyvov zmeny klímy a prioritnej osi 4 Odpadové hospodárstvo, kde medzi oprávnených prijímateľov patria tiež malé a stredné podniky – samozrejme, za predpokladu, že nimi predkladné/realizované projekty prispievajú k napĺňaniu cieľov daných prioritných osí. Ako príklad možno uviesť projekty v rámci prioritnej osi 3 Zmena palivovej základne v školskej budove obce Slopná prijímateľa Hetech Services a.s. - COFELY,a.s.</w:t>
      </w:r>
      <w:r w:rsidR="001C4DEB">
        <w:rPr>
          <w:rFonts w:ascii="Arial" w:hAnsi="Arial" w:cs="Arial"/>
          <w:noProof/>
          <w:sz w:val="20"/>
          <w:szCs w:val="20"/>
        </w:rPr>
        <w:t>.</w:t>
      </w:r>
      <w:r w:rsidRPr="00E80325">
        <w:rPr>
          <w:rFonts w:ascii="Arial" w:hAnsi="Arial" w:cs="Arial"/>
          <w:noProof/>
          <w:sz w:val="20"/>
          <w:szCs w:val="20"/>
        </w:rPr>
        <w:t xml:space="preserve"> Komplexný program zvýšenia efektivity výroby tepla v Hriňovej prijímateľa Hriňovská energetická, s.r.o.. V prípade prioritnej osi 4 sa </w:t>
      </w:r>
      <w:r w:rsidR="00BA7B62">
        <w:rPr>
          <w:rFonts w:ascii="Arial" w:hAnsi="Arial" w:cs="Arial"/>
          <w:noProof/>
          <w:sz w:val="20"/>
          <w:szCs w:val="20"/>
        </w:rPr>
        <w:t>po</w:t>
      </w:r>
      <w:r w:rsidRPr="00E80325">
        <w:rPr>
          <w:rFonts w:ascii="Arial" w:hAnsi="Arial" w:cs="Arial"/>
          <w:noProof/>
          <w:sz w:val="20"/>
          <w:szCs w:val="20"/>
        </w:rPr>
        <w:t xml:space="preserve">dpory malých a stredných podnikov týkajú projekty napr. projekt Zariadenie na zhodnocovanie SO - ERSON Recycling,s.r.o., Podpora aktivít v oblasti separovaného zberu – MEPOS, s.r.o, Zhodnocovanie dekontaminovaných zemín pridaním BRO v bior. tuneli – EKOSERVIS, s.r.o. Vybrané projekty sú zverejnené na </w:t>
      </w:r>
      <w:r w:rsidR="001C4DEB">
        <w:rPr>
          <w:rFonts w:ascii="Arial" w:hAnsi="Arial" w:cs="Arial"/>
          <w:noProof/>
          <w:sz w:val="20"/>
          <w:szCs w:val="20"/>
        </w:rPr>
        <w:t>webovom sídle:</w:t>
      </w:r>
      <w:r w:rsidRPr="00E80325">
        <w:rPr>
          <w:rFonts w:ascii="Arial" w:hAnsi="Arial" w:cs="Arial"/>
          <w:noProof/>
          <w:sz w:val="20"/>
          <w:szCs w:val="20"/>
        </w:rPr>
        <w:t xml:space="preserve"> </w:t>
      </w:r>
      <w:hyperlink r:id="rId26" w:history="1">
        <w:r w:rsidRPr="00E80325">
          <w:rPr>
            <w:rStyle w:val="Hypertextovprepojenie"/>
            <w:rFonts w:ascii="Arial" w:hAnsi="Arial" w:cs="Arial"/>
            <w:bCs/>
            <w:iCs/>
            <w:sz w:val="20"/>
            <w:szCs w:val="20"/>
          </w:rPr>
          <w:t>http://www.opzp.sk/projekty/mapa-vzorovych-uspesne-realizovanych-projektov/</w:t>
        </w:r>
      </w:hyperlink>
      <w:r w:rsidRPr="00E80325">
        <w:rPr>
          <w:rFonts w:ascii="Arial" w:hAnsi="Arial" w:cs="Arial"/>
          <w:bCs/>
          <w:iCs/>
          <w:sz w:val="20"/>
          <w:szCs w:val="20"/>
        </w:rPr>
        <w:t xml:space="preserve">. </w:t>
      </w:r>
    </w:p>
    <w:p w:rsidR="00214ECF" w:rsidRPr="00E80325" w:rsidRDefault="00214ECF" w:rsidP="00507035">
      <w:pPr>
        <w:autoSpaceDE w:val="0"/>
        <w:autoSpaceDN w:val="0"/>
        <w:adjustRightInd w:val="0"/>
        <w:spacing w:before="120" w:after="120" w:line="360" w:lineRule="auto"/>
        <w:jc w:val="both"/>
        <w:rPr>
          <w:rFonts w:ascii="Arial" w:hAnsi="Arial" w:cs="Arial"/>
          <w:noProof/>
          <w:sz w:val="20"/>
          <w:szCs w:val="20"/>
        </w:rPr>
      </w:pPr>
      <w:r w:rsidRPr="00E80325">
        <w:rPr>
          <w:rFonts w:ascii="Arial" w:hAnsi="Arial" w:cs="Arial"/>
          <w:bCs/>
          <w:iCs/>
          <w:sz w:val="20"/>
          <w:szCs w:val="20"/>
        </w:rPr>
        <w:t>Príklady ďalších úspešne zrealizovaných projektov sú tiež súčasťou Prílohy č. 10 výročnej správy.</w:t>
      </w:r>
    </w:p>
    <w:p w:rsidR="00214ECF" w:rsidRPr="00E80325" w:rsidRDefault="00214ECF" w:rsidP="001540E7">
      <w:pPr>
        <w:numPr>
          <w:ilvl w:val="0"/>
          <w:numId w:val="36"/>
        </w:numPr>
        <w:tabs>
          <w:tab w:val="clear" w:pos="720"/>
          <w:tab w:val="num" w:pos="1080"/>
        </w:tabs>
        <w:autoSpaceDE w:val="0"/>
        <w:autoSpaceDN w:val="0"/>
        <w:adjustRightInd w:val="0"/>
        <w:spacing w:before="120" w:after="120" w:line="360" w:lineRule="auto"/>
        <w:ind w:left="0" w:firstLine="720"/>
        <w:jc w:val="both"/>
        <w:rPr>
          <w:rFonts w:ascii="Arial" w:hAnsi="Arial" w:cs="Arial"/>
          <w:i/>
          <w:iCs/>
          <w:sz w:val="20"/>
          <w:szCs w:val="20"/>
        </w:rPr>
      </w:pPr>
      <w:r w:rsidRPr="00E80325">
        <w:rPr>
          <w:rFonts w:ascii="Arial" w:hAnsi="Arial" w:cs="Arial"/>
          <w:i/>
          <w:iCs/>
          <w:sz w:val="20"/>
          <w:szCs w:val="20"/>
        </w:rPr>
        <w:t xml:space="preserve">K oblastiam podpory v rámci OP ŽP patria tiež aktivity zamerané na znižovanie emisií skleníkových plynov, </w:t>
      </w:r>
      <w:r w:rsidRPr="00E80325">
        <w:rPr>
          <w:rFonts w:ascii="Arial" w:hAnsi="Arial" w:cs="Arial"/>
          <w:i/>
          <w:sz w:val="20"/>
          <w:szCs w:val="20"/>
        </w:rPr>
        <w:t>podporu prechodu smerom k nízkouhlíkovému hospodárstvu</w:t>
      </w:r>
      <w:r w:rsidRPr="00E80325">
        <w:rPr>
          <w:rFonts w:ascii="Arial" w:hAnsi="Arial" w:cs="Arial"/>
          <w:i/>
          <w:iCs/>
          <w:sz w:val="20"/>
          <w:szCs w:val="20"/>
        </w:rPr>
        <w:t xml:space="preserve"> a zvyšovaniu energetickej efektívnosti, čo je jedným z hlavných cieľov stratégie Európa 2020. </w:t>
      </w:r>
    </w:p>
    <w:p w:rsidR="00214ECF" w:rsidRPr="00E80325" w:rsidRDefault="00214ECF" w:rsidP="00507035">
      <w:pPr>
        <w:autoSpaceDE w:val="0"/>
        <w:autoSpaceDN w:val="0"/>
        <w:adjustRightInd w:val="0"/>
        <w:spacing w:before="120" w:after="120" w:line="360" w:lineRule="auto"/>
        <w:jc w:val="both"/>
        <w:rPr>
          <w:rFonts w:ascii="Arial" w:hAnsi="Arial" w:cs="Arial"/>
          <w:sz w:val="20"/>
          <w:szCs w:val="20"/>
        </w:rPr>
      </w:pPr>
      <w:r w:rsidRPr="00E80325">
        <w:rPr>
          <w:rFonts w:ascii="Arial" w:hAnsi="Arial" w:cs="Arial"/>
          <w:iCs/>
          <w:sz w:val="20"/>
          <w:szCs w:val="20"/>
        </w:rPr>
        <w:t xml:space="preserve">Stratégia Európa 2020 stanovuje päť hlavných merateľných cieľov a z nich jeden </w:t>
      </w:r>
      <w:r w:rsidRPr="00E80325">
        <w:rPr>
          <w:rFonts w:ascii="Arial" w:hAnsi="Arial" w:cs="Arial"/>
          <w:i/>
          <w:iCs/>
          <w:sz w:val="20"/>
          <w:szCs w:val="20"/>
        </w:rPr>
        <w:t>pre oblasť klímy a energie</w:t>
      </w:r>
      <w:r w:rsidRPr="00E80325">
        <w:rPr>
          <w:rFonts w:ascii="Arial" w:hAnsi="Arial" w:cs="Arial"/>
          <w:iCs/>
          <w:sz w:val="20"/>
          <w:szCs w:val="20"/>
        </w:rPr>
        <w:t xml:space="preserve">, a to </w:t>
      </w:r>
      <w:r w:rsidRPr="00E80325">
        <w:rPr>
          <w:rFonts w:ascii="Arial" w:hAnsi="Arial" w:cs="Arial"/>
          <w:sz w:val="20"/>
          <w:szCs w:val="20"/>
        </w:rPr>
        <w:t>„20/20/20“ (t.j. znížiť emisie skleníkových plynov o minimálne 20 % v porovnaní s úrovňami z roku 1990 alebo o 30 % v prípade priaznivých podmienok; zvýšiť podiel obnoviteľných zdrojov energie na konečnej spotrebe energie o 20 % a zvýšiť energetickú účinnosť o 20 %).</w:t>
      </w:r>
    </w:p>
    <w:p w:rsidR="00214ECF" w:rsidRPr="00E80325" w:rsidRDefault="00214ECF" w:rsidP="00507035">
      <w:pPr>
        <w:autoSpaceDE w:val="0"/>
        <w:autoSpaceDN w:val="0"/>
        <w:adjustRightInd w:val="0"/>
        <w:spacing w:before="120" w:after="120" w:line="360" w:lineRule="auto"/>
        <w:jc w:val="both"/>
        <w:rPr>
          <w:rFonts w:ascii="Arial" w:hAnsi="Arial" w:cs="Arial"/>
          <w:sz w:val="20"/>
          <w:szCs w:val="20"/>
        </w:rPr>
      </w:pPr>
      <w:r w:rsidRPr="00E80325">
        <w:rPr>
          <w:rFonts w:ascii="Arial" w:hAnsi="Arial" w:cs="Arial"/>
          <w:sz w:val="20"/>
          <w:szCs w:val="20"/>
        </w:rPr>
        <w:t xml:space="preserve">V nadväznosti na celoeurópsky cieľ sa v NPR  stanovuje národný cieľ:  zvýšiť do roku 2020 emisie skleníkových plynov mimo sektora v Systéme obchodovania s emisnými kvótami (ETS) maximálne o 13% v porovnaní s úrovňami v roku 2005 (pričom v strednodobom horizonte bude prehodnotená ambicióznosť emisného cieľa), ako aj zvýšiť podiel obnoviteľných zdrojov energie na konečnej spotrebe energie na 14 % a zvýšiť energetickú efektívnosť meranú na konečnej spotrebe energie o 11 % oproti priemeru rokov 2001 – 2005. </w:t>
      </w:r>
    </w:p>
    <w:p w:rsidR="00214ECF" w:rsidRPr="00E80325" w:rsidRDefault="00214ECF" w:rsidP="00507035">
      <w:pPr>
        <w:autoSpaceDE w:val="0"/>
        <w:autoSpaceDN w:val="0"/>
        <w:adjustRightInd w:val="0"/>
        <w:spacing w:before="120" w:after="120" w:line="360" w:lineRule="auto"/>
        <w:jc w:val="both"/>
        <w:rPr>
          <w:rFonts w:ascii="Arial" w:hAnsi="Arial" w:cs="Arial"/>
          <w:sz w:val="20"/>
          <w:szCs w:val="20"/>
        </w:rPr>
      </w:pPr>
      <w:r w:rsidRPr="00E80325">
        <w:rPr>
          <w:rFonts w:ascii="Arial" w:hAnsi="Arial" w:cs="Arial"/>
          <w:sz w:val="20"/>
          <w:szCs w:val="20"/>
        </w:rPr>
        <w:t xml:space="preserve">OP ŽP nie je primárne zameraný na oblasť energetiky, avšak medzi hlavné oblasti jeho zamerania patrí kvalita ovzdušia a zmena klímy, ktoré sú predmetom podpory v rámci prioritnej osi 3 </w:t>
      </w:r>
      <w:r w:rsidRPr="00E80325">
        <w:rPr>
          <w:rFonts w:ascii="Arial" w:hAnsi="Arial" w:cs="Arial"/>
          <w:noProof/>
          <w:sz w:val="20"/>
          <w:szCs w:val="20"/>
        </w:rPr>
        <w:t xml:space="preserve">Ochrana ovzdušia a minimalizácia nepriaznivých vplyvov zmeny klímy. </w:t>
      </w:r>
    </w:p>
    <w:p w:rsidR="00214ECF" w:rsidRPr="00E80325" w:rsidRDefault="00214ECF" w:rsidP="00507035">
      <w:pPr>
        <w:spacing w:before="120" w:after="120" w:line="360" w:lineRule="auto"/>
        <w:jc w:val="both"/>
        <w:rPr>
          <w:rFonts w:ascii="Arial" w:hAnsi="Arial" w:cs="Arial"/>
          <w:noProof/>
          <w:sz w:val="20"/>
          <w:szCs w:val="20"/>
        </w:rPr>
      </w:pPr>
      <w:r w:rsidRPr="00E80325">
        <w:rPr>
          <w:rFonts w:ascii="Arial" w:hAnsi="Arial" w:cs="Arial"/>
          <w:sz w:val="20"/>
          <w:szCs w:val="20"/>
        </w:rPr>
        <w:t xml:space="preserve">Oblasť zmeny klímy priamo súvisí s problematikou </w:t>
      </w:r>
      <w:r w:rsidRPr="00E80325">
        <w:rPr>
          <w:rFonts w:ascii="Arial" w:hAnsi="Arial" w:cs="Arial"/>
          <w:noProof/>
          <w:sz w:val="20"/>
          <w:szCs w:val="20"/>
        </w:rPr>
        <w:t xml:space="preserve">znižovania emisií skleníkových plynov. Pretože najvýznamnejším zdrojom emisií skleníkových plynov je spaľovanie fosílnych palív, účinným spôsobom znižovania emisií skleníkových plynov je využívanie obnoviteľných zdrojov energie. </w:t>
      </w:r>
    </w:p>
    <w:p w:rsidR="00214ECF" w:rsidRPr="00E80325" w:rsidRDefault="00214ECF" w:rsidP="00507035">
      <w:pPr>
        <w:autoSpaceDE w:val="0"/>
        <w:autoSpaceDN w:val="0"/>
        <w:adjustRightInd w:val="0"/>
        <w:spacing w:before="120" w:after="120" w:line="360" w:lineRule="auto"/>
        <w:jc w:val="both"/>
        <w:rPr>
          <w:rFonts w:ascii="Arial" w:hAnsi="Arial" w:cs="Arial"/>
          <w:b/>
          <w:i/>
          <w:sz w:val="20"/>
          <w:szCs w:val="20"/>
        </w:rPr>
      </w:pPr>
      <w:r w:rsidRPr="00E80325">
        <w:rPr>
          <w:rFonts w:ascii="Arial" w:hAnsi="Arial" w:cs="Arial"/>
          <w:noProof/>
          <w:sz w:val="20"/>
          <w:szCs w:val="20"/>
        </w:rPr>
        <w:t xml:space="preserve">Predmet podpory OP ŽP tak vykazuje priamu súvislosť s iniciatívou EÚ </w:t>
      </w:r>
      <w:r w:rsidRPr="00E80325">
        <w:rPr>
          <w:rFonts w:ascii="Arial" w:hAnsi="Arial" w:cs="Arial"/>
          <w:i/>
          <w:noProof/>
          <w:sz w:val="20"/>
          <w:szCs w:val="20"/>
        </w:rPr>
        <w:t>„</w:t>
      </w:r>
      <w:r w:rsidRPr="00E80325">
        <w:rPr>
          <w:rFonts w:ascii="Arial" w:hAnsi="Arial" w:cs="Arial"/>
          <w:i/>
          <w:sz w:val="20"/>
          <w:szCs w:val="20"/>
        </w:rPr>
        <w:t>Európa efektívne využívajúca zdroje“</w:t>
      </w:r>
      <w:r w:rsidRPr="00E80325">
        <w:rPr>
          <w:rFonts w:ascii="Arial" w:hAnsi="Arial" w:cs="Arial"/>
          <w:sz w:val="20"/>
          <w:szCs w:val="20"/>
        </w:rPr>
        <w:t xml:space="preserve"> </w:t>
      </w:r>
      <w:r w:rsidRPr="00E80325">
        <w:rPr>
          <w:rFonts w:ascii="Arial" w:hAnsi="Arial" w:cs="Arial"/>
          <w:i/>
          <w:sz w:val="20"/>
          <w:szCs w:val="20"/>
        </w:rPr>
        <w:t>na podporu prechodu smerom k nízkouhlíkovému hospodárstvu, zvýšeniu využívania energie z obnoviteľných zdrojov a podporu energetickej účinnosti.</w:t>
      </w:r>
    </w:p>
    <w:p w:rsidR="00214ECF" w:rsidRPr="00E80325" w:rsidRDefault="00214ECF" w:rsidP="00507035">
      <w:pPr>
        <w:spacing w:before="120" w:after="120" w:line="360" w:lineRule="auto"/>
        <w:jc w:val="both"/>
        <w:rPr>
          <w:rFonts w:ascii="Arial" w:hAnsi="Arial" w:cs="Arial"/>
          <w:noProof/>
          <w:sz w:val="20"/>
          <w:szCs w:val="20"/>
        </w:rPr>
      </w:pPr>
      <w:r w:rsidRPr="00E80325">
        <w:rPr>
          <w:rFonts w:ascii="Arial" w:hAnsi="Arial" w:cs="Arial"/>
          <w:noProof/>
          <w:sz w:val="20"/>
          <w:szCs w:val="20"/>
        </w:rPr>
        <w:t xml:space="preserve">V rámci OP ŽP sa vzhľadom na obmedzený objem disponibilných zdrojov a z dôvodu, že na produkciu emisií skleníkových plynov majú vzhľadom na ich rozšírenosť a distribúciu výrazný vplyv zdroje na výrobu tepla (spaľovacie procesy v teplárňach) vrátane malých zdrojov (domácností), podpora využívania obnoviteľných zdrojov energie zameriava práve na oblasť výroby tepla. </w:t>
      </w:r>
    </w:p>
    <w:p w:rsidR="00214ECF" w:rsidRPr="00E80325" w:rsidRDefault="00214ECF" w:rsidP="00507035">
      <w:pPr>
        <w:spacing w:before="120" w:after="120" w:line="360" w:lineRule="auto"/>
        <w:jc w:val="both"/>
        <w:rPr>
          <w:rFonts w:ascii="Arial" w:hAnsi="Arial" w:cs="Arial"/>
          <w:noProof/>
          <w:sz w:val="20"/>
          <w:szCs w:val="20"/>
        </w:rPr>
      </w:pPr>
      <w:r w:rsidRPr="00E80325">
        <w:rPr>
          <w:rFonts w:ascii="Arial" w:hAnsi="Arial" w:cs="Arial"/>
          <w:noProof/>
          <w:sz w:val="20"/>
          <w:szCs w:val="20"/>
        </w:rPr>
        <w:t>Táto podpora sa realizuje prostredníctvom operačného cieľa 3.2 Minimalizácia nepriaznivých vplyvov zmeny klímy vrátane podpory obnoviteľných zdrojov energie, ktorý je napĺňaný prostredníctvom aktivít zameraných na znižovanie emisií skleníkových plynov spolu so znižovaním emisií základných znečisťujúcich látok v oblasti výroby tepla, vrátane zmeny palivovej základne energetických zdrojov v prospech využívania obnoviteľných zdrojov.</w:t>
      </w:r>
    </w:p>
    <w:p w:rsidR="00214ECF" w:rsidRPr="00E80325" w:rsidRDefault="00214ECF" w:rsidP="00507035">
      <w:pPr>
        <w:spacing w:before="120" w:after="120" w:line="360" w:lineRule="auto"/>
        <w:jc w:val="both"/>
        <w:rPr>
          <w:rFonts w:ascii="Arial" w:hAnsi="Arial" w:cs="Arial"/>
          <w:noProof/>
          <w:sz w:val="20"/>
          <w:szCs w:val="20"/>
        </w:rPr>
      </w:pPr>
      <w:r w:rsidRPr="00E80325">
        <w:rPr>
          <w:rFonts w:ascii="Arial" w:hAnsi="Arial" w:cs="Arial"/>
          <w:noProof/>
          <w:sz w:val="20"/>
          <w:szCs w:val="20"/>
        </w:rPr>
        <w:t xml:space="preserve">Oprávnené na podporu sú projekty zmeny palivovej základne v prospech palív s nižším obsahom uhlíka a obnoviteľných zdrojov energie, ako je biomasa, bioplyn, slnečná energia, geotermálna energia, s výnimkou projektov zámeny paliva zo zemného plynu na biomasu, ktoré sú zacielené na zníženie emisií skleníkových plynov spolu so znižovaním emisií základných znečisťujúcich látok, a to v oblasti výroby tepla vo verejných objektoch v obciach alebo na iných zdrojoch tepla. Súčasťou projektov zmeny palivovej základne na biomasu môžu byť aj opatrenia na znižovanie energetických strát budov (napr. zatepľovanie fasád, výmena okien, výmena tepelnej izolácie rozvodov a pod) a výmena a/alebo výstavba vonkajších tepelných rozvodov medzi objektmi používajúcimi spoločný tepelný zdroj. V prípade opatrení na znižovanie energetických strát budov musí byť doložený energetický audit budov, ktorého výsledkom bude návrh uvedených opatrení. Súčasťou projektu zmeny palivovej základne na zdroji tepla z neobnoviteľného zdroja na obnoviteľný zdroj (prípadne aj v kombinácii s kogeneráciou) za účelom znižovania emisií znečisťujúcich látok môže byť aj výstavba alebo modernizácia primárnych a diaľkových rozvodov pre systémy centrálneho zásobovania teplom (zlepšenie izolácie rozvodných potrubí a zníženie úniku energetických médií vrátane úprav výmenníkových staníc tepla). Ako príklad možno uviesť projekty ako Inštalácia slnečných kolektorov a zateplenie budov DD a DSS v Barci, Inštalácia slnečných kolektorov na predohrev teplej vody, Psychiatrická nemocnica Veľké Zálužie, ktorých predmety realizácie sú bližšie popísané na </w:t>
      </w:r>
      <w:r w:rsidR="00234424">
        <w:rPr>
          <w:rFonts w:ascii="Arial" w:hAnsi="Arial" w:cs="Arial"/>
          <w:noProof/>
          <w:sz w:val="20"/>
          <w:szCs w:val="20"/>
        </w:rPr>
        <w:t>webovom sídle</w:t>
      </w:r>
      <w:r w:rsidRPr="00E80325">
        <w:rPr>
          <w:rFonts w:ascii="Arial" w:hAnsi="Arial" w:cs="Arial"/>
          <w:noProof/>
          <w:sz w:val="20"/>
          <w:szCs w:val="20"/>
        </w:rPr>
        <w:t xml:space="preserve"> </w:t>
      </w:r>
      <w:hyperlink r:id="rId27" w:history="1">
        <w:r w:rsidRPr="00E80325">
          <w:rPr>
            <w:rStyle w:val="Hypertextovprepojenie"/>
            <w:rFonts w:ascii="Arial" w:hAnsi="Arial" w:cs="Arial"/>
            <w:bCs/>
            <w:iCs/>
            <w:noProof/>
            <w:sz w:val="20"/>
            <w:szCs w:val="20"/>
          </w:rPr>
          <w:t>http://www.opzp.sk/projekty/mapa-vzorovych-uspesne-realizovanych-projektov/</w:t>
        </w:r>
      </w:hyperlink>
      <w:r w:rsidRPr="00E80325">
        <w:rPr>
          <w:rFonts w:ascii="Arial" w:hAnsi="Arial" w:cs="Arial"/>
          <w:bCs/>
          <w:iCs/>
          <w:noProof/>
          <w:sz w:val="20"/>
          <w:szCs w:val="20"/>
        </w:rPr>
        <w:t>. Príklady ďalších úspešne zrealizovaných projektov sú tiež súčasťou Prílohy č. 10 výročnej správy.</w:t>
      </w:r>
    </w:p>
    <w:p w:rsidR="00214ECF" w:rsidRPr="00E80325" w:rsidRDefault="00214ECF" w:rsidP="00507035">
      <w:pPr>
        <w:autoSpaceDE w:val="0"/>
        <w:autoSpaceDN w:val="0"/>
        <w:adjustRightInd w:val="0"/>
        <w:spacing w:before="120" w:after="120" w:line="360" w:lineRule="auto"/>
        <w:jc w:val="both"/>
        <w:rPr>
          <w:rFonts w:ascii="Arial" w:hAnsi="Arial" w:cs="Arial"/>
          <w:sz w:val="20"/>
          <w:szCs w:val="20"/>
        </w:rPr>
      </w:pPr>
      <w:r w:rsidRPr="00E80325">
        <w:rPr>
          <w:rFonts w:ascii="Arial" w:hAnsi="Arial" w:cs="Arial"/>
          <w:noProof/>
          <w:sz w:val="20"/>
          <w:szCs w:val="20"/>
        </w:rPr>
        <w:t xml:space="preserve">OP ŽP tak podporou altivít uvedeného typu teda prispieva nielen k znižovaniu emisií skleníkových plynov spolu so znižovaním emisií základných znečisťujúcich látok, čo je jeho primárnym cieľom, ale zároveň tiež k </w:t>
      </w:r>
      <w:r w:rsidRPr="00E80325">
        <w:rPr>
          <w:rFonts w:ascii="Arial" w:hAnsi="Arial" w:cs="Arial"/>
          <w:sz w:val="20"/>
          <w:szCs w:val="20"/>
        </w:rPr>
        <w:t>zvýšeniu využívania energie z obnoviteľných zdrojov a energetickej účinnosti a obratu k nízkouhlíkovému hospodárstvu, čo je jedným z hlavných cieľov stratégie Európa 2020.</w:t>
      </w:r>
    </w:p>
    <w:p w:rsidR="00214ECF" w:rsidRPr="00E80325" w:rsidRDefault="00214ECF" w:rsidP="00507035">
      <w:pPr>
        <w:autoSpaceDE w:val="0"/>
        <w:autoSpaceDN w:val="0"/>
        <w:adjustRightInd w:val="0"/>
        <w:spacing w:before="120" w:after="120" w:line="360" w:lineRule="auto"/>
        <w:ind w:firstLine="720"/>
        <w:jc w:val="both"/>
        <w:rPr>
          <w:rFonts w:ascii="Arial" w:hAnsi="Arial" w:cs="Arial"/>
          <w:i/>
          <w:sz w:val="20"/>
          <w:szCs w:val="20"/>
        </w:rPr>
      </w:pPr>
      <w:r w:rsidRPr="00E80325">
        <w:rPr>
          <w:rFonts w:ascii="Arial" w:hAnsi="Arial" w:cs="Arial"/>
          <w:i/>
          <w:sz w:val="20"/>
          <w:szCs w:val="20"/>
        </w:rPr>
        <w:t>d) Environmentálna infraštruktúra ako jeden z faktorov ovplyvňujúcich životnú úroveň obyvateľstva napomáha sociálnej inklúzii a môže prispieť k inkluzívnemu rastu ako jednému z cieľov stratégie Európa 2020.</w:t>
      </w:r>
    </w:p>
    <w:p w:rsidR="00214ECF" w:rsidRPr="00E80325" w:rsidRDefault="00214ECF" w:rsidP="00507035">
      <w:pPr>
        <w:autoSpaceDE w:val="0"/>
        <w:autoSpaceDN w:val="0"/>
        <w:adjustRightInd w:val="0"/>
        <w:spacing w:before="120" w:after="120" w:line="360" w:lineRule="auto"/>
        <w:jc w:val="both"/>
        <w:rPr>
          <w:rFonts w:ascii="Arial" w:hAnsi="Arial" w:cs="Arial"/>
          <w:i/>
          <w:sz w:val="20"/>
          <w:szCs w:val="20"/>
        </w:rPr>
      </w:pPr>
      <w:r w:rsidRPr="00E80325">
        <w:rPr>
          <w:rFonts w:ascii="Arial" w:hAnsi="Arial" w:cs="Arial"/>
          <w:sz w:val="20"/>
          <w:szCs w:val="20"/>
        </w:rPr>
        <w:t xml:space="preserve">Podpora environmentálnej infraštruktúry má okrem priameho vplyvu na stav jednotlivých zložiek životného prostredia aj svoj sociálny rozmer, ktorý sa prejavuje najmä v tom, že: </w:t>
      </w:r>
    </w:p>
    <w:p w:rsidR="00CE52D7" w:rsidRDefault="00214ECF" w:rsidP="001540E7">
      <w:pPr>
        <w:pStyle w:val="Odsekzoznamu"/>
        <w:numPr>
          <w:ilvl w:val="0"/>
          <w:numId w:val="34"/>
        </w:numPr>
        <w:tabs>
          <w:tab w:val="clear" w:pos="720"/>
        </w:tabs>
        <w:spacing w:before="120" w:after="120" w:line="360" w:lineRule="auto"/>
        <w:ind w:left="284" w:hanging="284"/>
        <w:jc w:val="both"/>
        <w:rPr>
          <w:rFonts w:ascii="Arial" w:hAnsi="Arial" w:cs="Arial"/>
          <w:sz w:val="20"/>
          <w:szCs w:val="20"/>
        </w:rPr>
      </w:pPr>
      <w:r w:rsidRPr="00CE52D7">
        <w:rPr>
          <w:rFonts w:ascii="Arial" w:hAnsi="Arial" w:cs="Arial"/>
          <w:sz w:val="20"/>
          <w:szCs w:val="20"/>
        </w:rPr>
        <w:t>vybavenosť územia environmentálnou infraštruktúrou zvyšuje jeho atraktívnosť pre obyvateľstvo, má priaznivý dopad na jeho zdravotný stav a životnú úroveň;</w:t>
      </w:r>
    </w:p>
    <w:p w:rsidR="00CE52D7" w:rsidRDefault="00214ECF" w:rsidP="001540E7">
      <w:pPr>
        <w:pStyle w:val="Odsekzoznamu"/>
        <w:numPr>
          <w:ilvl w:val="0"/>
          <w:numId w:val="34"/>
        </w:numPr>
        <w:tabs>
          <w:tab w:val="clear" w:pos="720"/>
        </w:tabs>
        <w:spacing w:before="120" w:after="120" w:line="360" w:lineRule="auto"/>
        <w:ind w:left="284" w:hanging="284"/>
        <w:jc w:val="both"/>
        <w:rPr>
          <w:rFonts w:ascii="Arial" w:hAnsi="Arial" w:cs="Arial"/>
          <w:sz w:val="20"/>
          <w:szCs w:val="20"/>
        </w:rPr>
      </w:pPr>
      <w:r w:rsidRPr="00CE52D7">
        <w:rPr>
          <w:rFonts w:ascii="Arial" w:hAnsi="Arial" w:cs="Arial"/>
          <w:sz w:val="20"/>
          <w:szCs w:val="20"/>
        </w:rPr>
        <w:t>environmentálna infraštruktúra zabezpečuje prístup obyvateľov k základným environmentálnym službám s cieľom zvýšenia životnej úrovne obyvateľstva, zlepšenia zdravotného stavu populácie a zvýšenia priemernej dĺžky života;</w:t>
      </w:r>
    </w:p>
    <w:p w:rsidR="00CE52D7" w:rsidRDefault="00214ECF" w:rsidP="001540E7">
      <w:pPr>
        <w:pStyle w:val="Odsekzoznamu"/>
        <w:numPr>
          <w:ilvl w:val="0"/>
          <w:numId w:val="34"/>
        </w:numPr>
        <w:tabs>
          <w:tab w:val="clear" w:pos="720"/>
        </w:tabs>
        <w:spacing w:before="120" w:after="120" w:line="360" w:lineRule="auto"/>
        <w:ind w:left="284" w:hanging="284"/>
        <w:jc w:val="both"/>
        <w:rPr>
          <w:rFonts w:ascii="Arial" w:hAnsi="Arial" w:cs="Arial"/>
          <w:sz w:val="20"/>
          <w:szCs w:val="20"/>
        </w:rPr>
      </w:pPr>
      <w:r w:rsidRPr="00CE52D7">
        <w:rPr>
          <w:rFonts w:ascii="Arial" w:hAnsi="Arial" w:cs="Arial"/>
          <w:sz w:val="20"/>
          <w:szCs w:val="20"/>
        </w:rPr>
        <w:t>dobudovanie a skvalitnenie environmentálnej infraštruktúry (najmä v oblasti zásobovania obyvateľstva pitnou vodou a čistenia a odvádzania odpadových vôd, ale aj odpadového hospodárstva) a zlepšenie jej prístupnosti prispieva k obmedzeniu sociálneho vylúčenia;</w:t>
      </w:r>
    </w:p>
    <w:p w:rsidR="00214ECF" w:rsidRPr="00CE52D7" w:rsidRDefault="00214ECF" w:rsidP="001540E7">
      <w:pPr>
        <w:pStyle w:val="Odsekzoznamu"/>
        <w:numPr>
          <w:ilvl w:val="0"/>
          <w:numId w:val="34"/>
        </w:numPr>
        <w:tabs>
          <w:tab w:val="clear" w:pos="720"/>
        </w:tabs>
        <w:spacing w:before="120" w:after="120" w:line="360" w:lineRule="auto"/>
        <w:ind w:left="284" w:hanging="284"/>
        <w:jc w:val="both"/>
        <w:rPr>
          <w:rFonts w:ascii="Arial" w:hAnsi="Arial" w:cs="Arial"/>
          <w:sz w:val="20"/>
          <w:szCs w:val="20"/>
        </w:rPr>
      </w:pPr>
      <w:r w:rsidRPr="00CE52D7">
        <w:rPr>
          <w:rFonts w:ascii="Arial" w:hAnsi="Arial" w:cs="Arial"/>
          <w:sz w:val="20"/>
          <w:szCs w:val="20"/>
        </w:rPr>
        <w:t>vytváranie pracovných príležitostí v súvislosti s výstavbou environmentálnej infraštruktúry, ako aj prevádzkovaním environmentálnych služieb prispieva k podpore zamestnanosti.</w:t>
      </w:r>
    </w:p>
    <w:p w:rsidR="00214ECF" w:rsidRPr="00E80325" w:rsidRDefault="00214ECF" w:rsidP="00507035">
      <w:pPr>
        <w:tabs>
          <w:tab w:val="left" w:pos="360"/>
        </w:tabs>
        <w:autoSpaceDE w:val="0"/>
        <w:autoSpaceDN w:val="0"/>
        <w:adjustRightInd w:val="0"/>
        <w:spacing w:before="120" w:after="120" w:line="360" w:lineRule="auto"/>
        <w:jc w:val="both"/>
        <w:rPr>
          <w:rFonts w:ascii="Arial" w:hAnsi="Arial" w:cs="Arial"/>
          <w:sz w:val="20"/>
          <w:szCs w:val="20"/>
        </w:rPr>
      </w:pPr>
      <w:r w:rsidRPr="00E80325">
        <w:rPr>
          <w:rFonts w:ascii="Arial" w:hAnsi="Arial" w:cs="Arial"/>
          <w:sz w:val="20"/>
          <w:szCs w:val="20"/>
        </w:rPr>
        <w:t xml:space="preserve">OP ŽP tak prostredníctvom napĺňania svojich cieľov prispieva nielen k udržateľnému charakteru rastu, ale má potenciál prispieť tiež k </w:t>
      </w:r>
      <w:r w:rsidRPr="00E80325">
        <w:rPr>
          <w:rFonts w:ascii="Arial" w:hAnsi="Arial" w:cs="Arial"/>
          <w:i/>
          <w:sz w:val="20"/>
          <w:szCs w:val="20"/>
        </w:rPr>
        <w:t xml:space="preserve">inkluzívnemu rastu, </w:t>
      </w:r>
      <w:r w:rsidRPr="00E80325">
        <w:rPr>
          <w:rFonts w:ascii="Arial" w:hAnsi="Arial" w:cs="Arial"/>
          <w:sz w:val="20"/>
          <w:szCs w:val="20"/>
        </w:rPr>
        <w:t>ktorý zabezpečí sociálnu a územnú súdržnosť, a preto patrí k prioritám stratégie Európa 2020.</w:t>
      </w:r>
    </w:p>
    <w:p w:rsidR="00214ECF" w:rsidRPr="00E80325" w:rsidRDefault="00214ECF" w:rsidP="00507035">
      <w:pPr>
        <w:autoSpaceDE w:val="0"/>
        <w:autoSpaceDN w:val="0"/>
        <w:adjustRightInd w:val="0"/>
        <w:spacing w:before="120" w:after="120" w:line="360" w:lineRule="auto"/>
        <w:jc w:val="both"/>
        <w:rPr>
          <w:rFonts w:ascii="Arial" w:hAnsi="Arial" w:cs="Arial"/>
          <w:noProof/>
          <w:sz w:val="20"/>
          <w:szCs w:val="20"/>
        </w:rPr>
      </w:pPr>
      <w:r w:rsidRPr="00E80325">
        <w:rPr>
          <w:rFonts w:ascii="Arial" w:hAnsi="Arial" w:cs="Arial"/>
          <w:noProof/>
          <w:sz w:val="20"/>
          <w:szCs w:val="20"/>
        </w:rPr>
        <w:t>Investície z fondov EÚ, ktoré sú v rámci OP ŽP zacielené na zlepšovanie stavu životného prostredia a racionálneho využívania zdrojov prostredníctvom dobudovania a skvalitnenia environmentálnej infraštruktúry SR v zmysle predpisov EÚ teda môžu prispieť k hospodárskemu rastu najmä týmito spôsobmi:</w:t>
      </w:r>
    </w:p>
    <w:p w:rsidR="00CE52D7" w:rsidRDefault="00214ECF" w:rsidP="001540E7">
      <w:pPr>
        <w:pStyle w:val="Odsekzoznamu"/>
        <w:numPr>
          <w:ilvl w:val="0"/>
          <w:numId w:val="73"/>
        </w:numPr>
        <w:tabs>
          <w:tab w:val="clear" w:pos="716"/>
        </w:tabs>
        <w:autoSpaceDE w:val="0"/>
        <w:autoSpaceDN w:val="0"/>
        <w:adjustRightInd w:val="0"/>
        <w:spacing w:before="120" w:after="120" w:line="360" w:lineRule="auto"/>
        <w:ind w:left="284" w:hanging="284"/>
        <w:jc w:val="both"/>
        <w:rPr>
          <w:rFonts w:ascii="Arial" w:hAnsi="Arial" w:cs="Arial"/>
          <w:noProof/>
          <w:sz w:val="20"/>
          <w:szCs w:val="20"/>
        </w:rPr>
      </w:pPr>
      <w:r w:rsidRPr="00CE52D7">
        <w:rPr>
          <w:rFonts w:ascii="Arial" w:hAnsi="Arial" w:cs="Arial"/>
          <w:noProof/>
          <w:sz w:val="20"/>
          <w:szCs w:val="20"/>
        </w:rPr>
        <w:t>môžu zabezpečiť dlhodobú udržateľnosť hospodárskeho rastu, efektívnejšie využívanie prírodných zdrojov a prispieť k zvyšovaniu energetickej efektívnosti;</w:t>
      </w:r>
    </w:p>
    <w:p w:rsidR="00CE52D7" w:rsidRDefault="00214ECF" w:rsidP="001540E7">
      <w:pPr>
        <w:pStyle w:val="Odsekzoznamu"/>
        <w:numPr>
          <w:ilvl w:val="0"/>
          <w:numId w:val="73"/>
        </w:numPr>
        <w:tabs>
          <w:tab w:val="clear" w:pos="716"/>
        </w:tabs>
        <w:autoSpaceDE w:val="0"/>
        <w:autoSpaceDN w:val="0"/>
        <w:adjustRightInd w:val="0"/>
        <w:spacing w:before="120" w:after="120" w:line="360" w:lineRule="auto"/>
        <w:ind w:left="284" w:hanging="284"/>
        <w:jc w:val="both"/>
        <w:rPr>
          <w:rFonts w:ascii="Arial" w:hAnsi="Arial" w:cs="Arial"/>
          <w:noProof/>
          <w:sz w:val="20"/>
          <w:szCs w:val="20"/>
        </w:rPr>
      </w:pPr>
      <w:r w:rsidRPr="00CE52D7">
        <w:rPr>
          <w:rFonts w:ascii="Arial" w:hAnsi="Arial" w:cs="Arial"/>
          <w:noProof/>
          <w:sz w:val="20"/>
          <w:szCs w:val="20"/>
        </w:rPr>
        <w:t>znižujú niektoré druhy hospodárskych nákladov (napr. zdravotné náklady, náklady spojené s odstránením znečistenia alebo náhradou škody);</w:t>
      </w:r>
    </w:p>
    <w:p w:rsidR="00CE52D7" w:rsidRDefault="00214ECF" w:rsidP="001540E7">
      <w:pPr>
        <w:pStyle w:val="Odsekzoznamu"/>
        <w:numPr>
          <w:ilvl w:val="0"/>
          <w:numId w:val="73"/>
        </w:numPr>
        <w:tabs>
          <w:tab w:val="clear" w:pos="716"/>
        </w:tabs>
        <w:autoSpaceDE w:val="0"/>
        <w:autoSpaceDN w:val="0"/>
        <w:adjustRightInd w:val="0"/>
        <w:spacing w:before="120" w:after="120" w:line="360" w:lineRule="auto"/>
        <w:ind w:left="284" w:hanging="284"/>
        <w:jc w:val="both"/>
        <w:rPr>
          <w:rFonts w:ascii="Arial" w:hAnsi="Arial" w:cs="Arial"/>
          <w:noProof/>
          <w:sz w:val="20"/>
          <w:szCs w:val="20"/>
        </w:rPr>
      </w:pPr>
      <w:r w:rsidRPr="00CE52D7">
        <w:rPr>
          <w:rFonts w:ascii="Arial" w:hAnsi="Arial" w:cs="Arial"/>
          <w:noProof/>
          <w:sz w:val="20"/>
          <w:szCs w:val="20"/>
        </w:rPr>
        <w:t>napomáhajú zvýšiť atraktívnosť územia pre investovanie a rozvoj podnikateľských aktivít s následným efektom na tvorbu pracovných miest;</w:t>
      </w:r>
    </w:p>
    <w:p w:rsidR="00CE52D7" w:rsidRDefault="00214ECF" w:rsidP="001540E7">
      <w:pPr>
        <w:pStyle w:val="Odsekzoznamu"/>
        <w:numPr>
          <w:ilvl w:val="0"/>
          <w:numId w:val="73"/>
        </w:numPr>
        <w:tabs>
          <w:tab w:val="clear" w:pos="716"/>
        </w:tabs>
        <w:autoSpaceDE w:val="0"/>
        <w:autoSpaceDN w:val="0"/>
        <w:adjustRightInd w:val="0"/>
        <w:spacing w:before="120" w:after="120" w:line="360" w:lineRule="auto"/>
        <w:ind w:left="284" w:hanging="284"/>
        <w:jc w:val="both"/>
        <w:rPr>
          <w:rFonts w:ascii="Arial" w:hAnsi="Arial" w:cs="Arial"/>
          <w:noProof/>
          <w:sz w:val="20"/>
          <w:szCs w:val="20"/>
        </w:rPr>
      </w:pPr>
      <w:r w:rsidRPr="00CE52D7">
        <w:rPr>
          <w:rFonts w:ascii="Arial" w:hAnsi="Arial" w:cs="Arial"/>
          <w:noProof/>
          <w:sz w:val="20"/>
          <w:szCs w:val="20"/>
        </w:rPr>
        <w:t>stimulujú inovácie (ekoinovácie);</w:t>
      </w:r>
    </w:p>
    <w:p w:rsidR="00214ECF" w:rsidRPr="00CE52D7" w:rsidRDefault="00214ECF" w:rsidP="001540E7">
      <w:pPr>
        <w:pStyle w:val="Odsekzoznamu"/>
        <w:numPr>
          <w:ilvl w:val="0"/>
          <w:numId w:val="73"/>
        </w:numPr>
        <w:tabs>
          <w:tab w:val="clear" w:pos="716"/>
        </w:tabs>
        <w:autoSpaceDE w:val="0"/>
        <w:autoSpaceDN w:val="0"/>
        <w:adjustRightInd w:val="0"/>
        <w:spacing w:before="120" w:after="120" w:line="360" w:lineRule="auto"/>
        <w:ind w:left="284" w:hanging="284"/>
        <w:jc w:val="both"/>
        <w:rPr>
          <w:rFonts w:ascii="Arial" w:hAnsi="Arial" w:cs="Arial"/>
          <w:noProof/>
          <w:sz w:val="20"/>
          <w:szCs w:val="20"/>
        </w:rPr>
      </w:pPr>
      <w:r w:rsidRPr="00CE52D7">
        <w:rPr>
          <w:rFonts w:ascii="Arial" w:hAnsi="Arial" w:cs="Arial"/>
          <w:noProof/>
          <w:sz w:val="20"/>
          <w:szCs w:val="20"/>
        </w:rPr>
        <w:t>prispievajú k vytváraniu pracovných príležitostí počas výstavby environmentálnej infraštruktúry a po jej dobudovaní k sociálnej inklúzii a zlepšovaniu životných podmienok obyvateľstva.</w:t>
      </w:r>
    </w:p>
    <w:p w:rsidR="00CE52D7" w:rsidRDefault="00CE52D7">
      <w:pPr>
        <w:rPr>
          <w:rFonts w:ascii="Arial" w:hAnsi="Arial" w:cs="Arial"/>
          <w:sz w:val="20"/>
          <w:szCs w:val="20"/>
        </w:rPr>
      </w:pPr>
    </w:p>
    <w:bookmarkStart w:id="36" w:name="_2.1.7_Opis_partnerských"/>
    <w:bookmarkEnd w:id="36"/>
    <w:p w:rsidR="002416B1" w:rsidRPr="006A2BF3" w:rsidRDefault="002416B1" w:rsidP="00507035">
      <w:pPr>
        <w:pStyle w:val="Nadpis3"/>
        <w:spacing w:before="120" w:after="120"/>
      </w:pPr>
      <w:r w:rsidRPr="006A2BF3">
        <w:fldChar w:fldCharType="begin"/>
      </w:r>
      <w:r w:rsidRPr="006A2BF3">
        <w:instrText xml:space="preserve"> HYPERLINK  \l "_2.1.7_Opis_partnerských" </w:instrText>
      </w:r>
      <w:r w:rsidRPr="006A2BF3">
        <w:fldChar w:fldCharType="separate"/>
      </w:r>
      <w:bookmarkStart w:id="37" w:name="_Toc319573308"/>
      <w:r w:rsidRPr="006A2BF3">
        <w:t>2.1.7 Opis partnerských dohôd</w:t>
      </w:r>
      <w:bookmarkEnd w:id="37"/>
      <w:r w:rsidRPr="006A2BF3">
        <w:fldChar w:fldCharType="end"/>
      </w:r>
    </w:p>
    <w:p w:rsidR="002416B1" w:rsidRPr="006A2BF3" w:rsidRDefault="002416B1" w:rsidP="00507035">
      <w:pPr>
        <w:spacing w:before="120" w:after="120" w:line="360" w:lineRule="auto"/>
        <w:jc w:val="both"/>
        <w:rPr>
          <w:rFonts w:ascii="Arial" w:hAnsi="Arial" w:cs="Arial"/>
          <w:sz w:val="20"/>
          <w:szCs w:val="20"/>
        </w:rPr>
      </w:pPr>
      <w:r w:rsidRPr="006A2BF3">
        <w:rPr>
          <w:rFonts w:ascii="Arial" w:hAnsi="Arial" w:cs="Arial"/>
          <w:sz w:val="20"/>
          <w:szCs w:val="20"/>
        </w:rPr>
        <w:t>Princíp partnerstva je uplatňovaný počas celého procesu implementácie OP ŽP, do ktorého sú zástupcovia samosprávnych krajov, socio-ekonomických partnerov a mimovládnych organizácií zapojení prostredníctvom ich členstva v Monitorovacom výbore pre OP ŽP. Tým majú možnosť dohliadať na priebeh a efektívnosť implementácie operačného programu (viď kap. 2.7.1 a kap. 4).</w:t>
      </w:r>
    </w:p>
    <w:p w:rsidR="002416B1" w:rsidRPr="006A2BF3" w:rsidRDefault="002416B1" w:rsidP="00507035">
      <w:pPr>
        <w:spacing w:before="120" w:after="120" w:line="360" w:lineRule="auto"/>
        <w:jc w:val="both"/>
        <w:rPr>
          <w:rFonts w:ascii="Arial" w:hAnsi="Arial" w:cs="Arial"/>
          <w:sz w:val="20"/>
          <w:szCs w:val="20"/>
        </w:rPr>
      </w:pPr>
      <w:r w:rsidRPr="006A2BF3">
        <w:rPr>
          <w:rFonts w:ascii="Arial" w:hAnsi="Arial" w:cs="Arial"/>
          <w:sz w:val="20"/>
          <w:szCs w:val="20"/>
        </w:rPr>
        <w:t>Orgány regionálnej a miestnej samosprávy sú taktiež jednou z cieľových skupín informačných aktivít v rámci Komunikačného plánu pre OP ŽP. V procese jeho realizácie je nielen im, ale aj ďalším zainteresovaným subjektom, vrátane širokej verejnosti, poskytovaná možnosť oboznámiť sa s priebehom a výsledkami realizácie OP ŽP.</w:t>
      </w:r>
    </w:p>
    <w:p w:rsidR="002416B1" w:rsidRDefault="002416B1" w:rsidP="00507035">
      <w:pPr>
        <w:spacing w:before="120" w:after="120" w:line="360" w:lineRule="auto"/>
        <w:jc w:val="both"/>
        <w:rPr>
          <w:rFonts w:ascii="Arial" w:hAnsi="Arial" w:cs="Arial"/>
          <w:sz w:val="20"/>
          <w:szCs w:val="20"/>
        </w:rPr>
      </w:pPr>
      <w:r w:rsidRPr="006A2BF3">
        <w:rPr>
          <w:rFonts w:ascii="Arial" w:hAnsi="Arial" w:cs="Arial"/>
          <w:sz w:val="20"/>
          <w:szCs w:val="20"/>
        </w:rPr>
        <w:t xml:space="preserve">Ďalšie aplikovanie princípu partnerstva v roku </w:t>
      </w:r>
      <w:r w:rsidR="00234424" w:rsidRPr="006A2BF3">
        <w:rPr>
          <w:rFonts w:ascii="Arial" w:hAnsi="Arial" w:cs="Arial"/>
          <w:sz w:val="20"/>
          <w:szCs w:val="20"/>
        </w:rPr>
        <w:t>201</w:t>
      </w:r>
      <w:r w:rsidR="00234424">
        <w:rPr>
          <w:rFonts w:ascii="Arial" w:hAnsi="Arial" w:cs="Arial"/>
          <w:sz w:val="20"/>
          <w:szCs w:val="20"/>
        </w:rPr>
        <w:t>2</w:t>
      </w:r>
      <w:r w:rsidR="00234424" w:rsidRPr="006A2BF3">
        <w:rPr>
          <w:rFonts w:ascii="Arial" w:hAnsi="Arial" w:cs="Arial"/>
          <w:sz w:val="20"/>
          <w:szCs w:val="20"/>
        </w:rPr>
        <w:t xml:space="preserve"> </w:t>
      </w:r>
      <w:r w:rsidRPr="006A2BF3">
        <w:rPr>
          <w:rFonts w:ascii="Arial" w:hAnsi="Arial" w:cs="Arial"/>
          <w:sz w:val="20"/>
          <w:szCs w:val="20"/>
        </w:rPr>
        <w:t>je popísané v častiach 2.1, 2.6, 3, a 7 výročnej správy.</w:t>
      </w:r>
    </w:p>
    <w:p w:rsidR="002416B1" w:rsidRPr="006A2BF3" w:rsidRDefault="002416B1" w:rsidP="00507035">
      <w:pPr>
        <w:pStyle w:val="Nadpis2"/>
        <w:spacing w:before="120" w:after="120" w:line="360" w:lineRule="auto"/>
      </w:pPr>
      <w:bookmarkStart w:id="38" w:name="_3.2_Súlad_s"/>
      <w:bookmarkStart w:id="39" w:name="_Toc319573309"/>
      <w:bookmarkEnd w:id="38"/>
      <w:r w:rsidRPr="006A2BF3">
        <w:t xml:space="preserve">2.2 Informácie o súlade s právnymi predpismi </w:t>
      </w:r>
      <w:bookmarkEnd w:id="39"/>
      <w:r w:rsidR="0064280D">
        <w:t>Európskej únie</w:t>
      </w:r>
    </w:p>
    <w:p w:rsidR="002416B1" w:rsidRPr="006A2BF3" w:rsidRDefault="002416B1" w:rsidP="00507035">
      <w:pPr>
        <w:spacing w:before="120" w:after="120" w:line="360" w:lineRule="auto"/>
        <w:jc w:val="both"/>
        <w:rPr>
          <w:rFonts w:ascii="Arial" w:hAnsi="Arial" w:cs="Arial"/>
          <w:sz w:val="20"/>
          <w:szCs w:val="20"/>
        </w:rPr>
      </w:pPr>
      <w:r>
        <w:rPr>
          <w:rFonts w:ascii="Arial" w:hAnsi="Arial" w:cs="Arial"/>
          <w:sz w:val="20"/>
          <w:szCs w:val="20"/>
        </w:rPr>
        <w:t>Implementácia všetkých prioritných osí a operačných cieľov v rámci</w:t>
      </w:r>
      <w:r w:rsidRPr="00952C34">
        <w:rPr>
          <w:rFonts w:ascii="Arial" w:hAnsi="Arial" w:cs="Arial"/>
          <w:sz w:val="20"/>
          <w:szCs w:val="20"/>
        </w:rPr>
        <w:t xml:space="preserve"> OP ŽP </w:t>
      </w:r>
      <w:r>
        <w:rPr>
          <w:rFonts w:ascii="Arial" w:hAnsi="Arial" w:cs="Arial"/>
          <w:sz w:val="20"/>
          <w:szCs w:val="20"/>
        </w:rPr>
        <w:t>prebiehala</w:t>
      </w:r>
      <w:r w:rsidRPr="00952C34">
        <w:rPr>
          <w:rFonts w:ascii="Arial" w:hAnsi="Arial" w:cs="Arial"/>
          <w:sz w:val="20"/>
          <w:szCs w:val="20"/>
        </w:rPr>
        <w:t xml:space="preserve"> </w:t>
      </w:r>
      <w:r>
        <w:rPr>
          <w:rFonts w:ascii="Arial" w:hAnsi="Arial" w:cs="Arial"/>
          <w:sz w:val="20"/>
          <w:szCs w:val="20"/>
        </w:rPr>
        <w:t xml:space="preserve">v súlade </w:t>
      </w:r>
      <w:r w:rsidRPr="00952C34">
        <w:rPr>
          <w:rFonts w:ascii="Arial" w:hAnsi="Arial" w:cs="Arial"/>
          <w:sz w:val="20"/>
          <w:szCs w:val="20"/>
        </w:rPr>
        <w:t xml:space="preserve"> s</w:t>
      </w:r>
      <w:r>
        <w:rPr>
          <w:rFonts w:ascii="Arial" w:hAnsi="Arial" w:cs="Arial"/>
          <w:sz w:val="20"/>
          <w:szCs w:val="20"/>
        </w:rPr>
        <w:t> legislatívou EÚ a SR</w:t>
      </w:r>
      <w:r w:rsidRPr="006A2BF3">
        <w:rPr>
          <w:rFonts w:ascii="Arial" w:hAnsi="Arial" w:cs="Arial"/>
          <w:sz w:val="20"/>
          <w:szCs w:val="20"/>
        </w:rPr>
        <w:t>, vrátane pravidiel hospodárskej súťaže, verejného obstarávania, ochrany a zlepšovania životného prostredia, rovnosti príležitostí, rodovej rovnosti a nediskriminácie.</w:t>
      </w:r>
    </w:p>
    <w:p w:rsidR="002416B1" w:rsidRPr="000F4EAD" w:rsidRDefault="002416B1" w:rsidP="00507035">
      <w:pPr>
        <w:spacing w:before="120" w:after="120" w:line="360" w:lineRule="auto"/>
        <w:jc w:val="both"/>
        <w:rPr>
          <w:rFonts w:ascii="Arial" w:hAnsi="Arial" w:cs="Arial"/>
          <w:sz w:val="20"/>
          <w:szCs w:val="20"/>
        </w:rPr>
      </w:pPr>
      <w:r w:rsidRPr="00A9375C">
        <w:rPr>
          <w:rFonts w:ascii="Arial" w:hAnsi="Arial" w:cs="Arial"/>
          <w:sz w:val="20"/>
          <w:szCs w:val="20"/>
        </w:rPr>
        <w:t>V rámci OP ŽP je jednoznačne zadefinovaný princíp predchádzania vzniku odpadov, ktorý zakotvuje podporu v oblasti prevencie a minimalizáciu vzniku odpadov. Na uvedené nadväzujú podporované oprávnené aktivity zamerané na osvetu a propagáciu. V súlade s legislatívou EÚ je v rámci OP ŽP taktiež zavedená prednosť zhodnocovania odpadov pred ich zneškodňovaním. OP ŽP je spracovaný aj v súlade so zásadou "znečisťovateľ platí", podľa ktorej musí náklady na zneškodnenie odpadu znášať jeho držiteľ, predchádzajúci držitelia alebo výrobcovia výrobku, z ktorého odpad vznikol.</w:t>
      </w:r>
      <w:r>
        <w:rPr>
          <w:rFonts w:ascii="Arial" w:hAnsi="Arial" w:cs="Arial"/>
          <w:sz w:val="20"/>
          <w:szCs w:val="20"/>
        </w:rPr>
        <w:t xml:space="preserve"> </w:t>
      </w:r>
    </w:p>
    <w:p w:rsidR="002416B1" w:rsidRDefault="002416B1" w:rsidP="00507035">
      <w:pPr>
        <w:spacing w:before="120" w:after="120" w:line="360" w:lineRule="auto"/>
        <w:jc w:val="both"/>
        <w:rPr>
          <w:rFonts w:ascii="Arial" w:hAnsi="Arial" w:cs="Arial"/>
          <w:sz w:val="20"/>
          <w:szCs w:val="20"/>
        </w:rPr>
      </w:pPr>
      <w:r w:rsidRPr="000F4EAD">
        <w:rPr>
          <w:rFonts w:ascii="Arial" w:hAnsi="Arial" w:cs="Arial"/>
          <w:sz w:val="20"/>
          <w:szCs w:val="20"/>
        </w:rPr>
        <w:t xml:space="preserve">V súvislosti s konaním </w:t>
      </w:r>
      <w:r w:rsidRPr="006A2BF3">
        <w:rPr>
          <w:rFonts w:ascii="Arial" w:hAnsi="Arial" w:cs="Arial"/>
          <w:sz w:val="20"/>
          <w:szCs w:val="20"/>
        </w:rPr>
        <w:t>č. 2009/2239</w:t>
      </w:r>
      <w:r w:rsidRPr="000F4EAD">
        <w:rPr>
          <w:rFonts w:ascii="Arial" w:hAnsi="Arial" w:cs="Arial"/>
          <w:sz w:val="20"/>
          <w:szCs w:val="20"/>
        </w:rPr>
        <w:t xml:space="preserve"> v štádiu </w:t>
      </w:r>
      <w:r w:rsidRPr="006A2BF3">
        <w:rPr>
          <w:rFonts w:ascii="Arial" w:hAnsi="Arial" w:cs="Arial"/>
          <w:sz w:val="20"/>
          <w:szCs w:val="20"/>
        </w:rPr>
        <w:t>odôvodneného stanoviska</w:t>
      </w:r>
      <w:r w:rsidRPr="000F4EAD">
        <w:rPr>
          <w:rFonts w:ascii="Arial" w:hAnsi="Arial" w:cs="Arial"/>
          <w:sz w:val="20"/>
          <w:szCs w:val="20"/>
        </w:rPr>
        <w:t xml:space="preserve"> k </w:t>
      </w:r>
      <w:r w:rsidRPr="006A2BF3">
        <w:rPr>
          <w:rFonts w:ascii="Arial" w:hAnsi="Arial" w:cs="Arial"/>
          <w:i/>
          <w:sz w:val="20"/>
          <w:szCs w:val="20"/>
        </w:rPr>
        <w:t>nesúladu slovenskej legislatívy so smernicou č. 2001/42/ES Európskeho parlamentu a Rady z 27. júna 2001 o posudzovaní účinkov určitých plánov a programov na životné prostredie</w:t>
      </w:r>
      <w:r w:rsidRPr="000F4EAD">
        <w:rPr>
          <w:rFonts w:ascii="Arial" w:hAnsi="Arial" w:cs="Arial"/>
          <w:sz w:val="20"/>
          <w:szCs w:val="20"/>
        </w:rPr>
        <w:t xml:space="preserve"> (tzv. smernica SEA), bola prijatá novela zákona č. 24/2006 Z. z. o posudzovaní vplyvov na ŽP, ktorým sa transponuje smernica 2001/42/EC s účinnosťou od </w:t>
      </w:r>
      <w:r>
        <w:rPr>
          <w:rFonts w:ascii="Arial" w:hAnsi="Arial" w:cs="Arial"/>
          <w:sz w:val="20"/>
          <w:szCs w:val="20"/>
        </w:rPr>
        <w:t>0</w:t>
      </w:r>
      <w:r w:rsidRPr="000F4EAD">
        <w:rPr>
          <w:rFonts w:ascii="Arial" w:hAnsi="Arial" w:cs="Arial"/>
          <w:sz w:val="20"/>
          <w:szCs w:val="20"/>
        </w:rPr>
        <w:t xml:space="preserve">1.12.2011. V tomto prípade očakávame uzavretie konania zo strany EK. </w:t>
      </w:r>
    </w:p>
    <w:p w:rsidR="002416B1" w:rsidRDefault="002416B1" w:rsidP="00507035">
      <w:pPr>
        <w:spacing w:before="120" w:after="120" w:line="360" w:lineRule="auto"/>
        <w:jc w:val="both"/>
        <w:rPr>
          <w:rFonts w:ascii="Arial" w:hAnsi="Arial" w:cs="Arial"/>
          <w:sz w:val="20"/>
          <w:szCs w:val="20"/>
        </w:rPr>
      </w:pPr>
      <w:r w:rsidRPr="00BA1836">
        <w:rPr>
          <w:rFonts w:ascii="Arial" w:hAnsi="Arial" w:cs="Arial"/>
          <w:sz w:val="20"/>
          <w:szCs w:val="20"/>
        </w:rPr>
        <w:t xml:space="preserve">V oblasti ochrany ovzdušia je vedené konanie </w:t>
      </w:r>
      <w:r w:rsidRPr="006A2BF3">
        <w:rPr>
          <w:rFonts w:ascii="Arial" w:hAnsi="Arial" w:cs="Arial"/>
          <w:sz w:val="20"/>
          <w:szCs w:val="20"/>
        </w:rPr>
        <w:t>č. 2010/0588</w:t>
      </w:r>
      <w:r w:rsidRPr="00BA1836">
        <w:rPr>
          <w:rFonts w:ascii="Arial" w:hAnsi="Arial" w:cs="Arial"/>
          <w:sz w:val="20"/>
          <w:szCs w:val="20"/>
        </w:rPr>
        <w:t xml:space="preserve"> </w:t>
      </w:r>
      <w:r w:rsidRPr="006A2BF3">
        <w:rPr>
          <w:rFonts w:ascii="Arial" w:hAnsi="Arial" w:cs="Arial"/>
          <w:i/>
          <w:sz w:val="20"/>
          <w:szCs w:val="20"/>
        </w:rPr>
        <w:t>k smernici Európskeho parlamentu a Rady 2008/50/ES z o kvalite okolitého ovzdušia a čistejšom ovzduší v Európe</w:t>
      </w:r>
      <w:r w:rsidRPr="00BA1836">
        <w:rPr>
          <w:rFonts w:ascii="Arial" w:hAnsi="Arial" w:cs="Arial"/>
          <w:sz w:val="20"/>
          <w:szCs w:val="20"/>
        </w:rPr>
        <w:t xml:space="preserve">. Transpozícia bola vykonaná zákonom č. 137/2010 Z. z. o ovzduší, s účinnosťou k 1. júnu 2010. Bola tiež vydaná nadväzujúca vyhláška č. 360/2010 s účinnosťou od 15. októbra 2010. V tejto veci sa očakáva vyjadrenie EK. Konanie </w:t>
      </w:r>
      <w:r w:rsidRPr="006A2BF3">
        <w:rPr>
          <w:rFonts w:ascii="Arial" w:hAnsi="Arial" w:cs="Arial"/>
          <w:sz w:val="20"/>
          <w:szCs w:val="20"/>
        </w:rPr>
        <w:t>č. 2008/2201</w:t>
      </w:r>
      <w:r w:rsidRPr="00BA1836">
        <w:rPr>
          <w:rFonts w:ascii="Arial" w:hAnsi="Arial" w:cs="Arial"/>
          <w:sz w:val="20"/>
          <w:szCs w:val="20"/>
        </w:rPr>
        <w:t xml:space="preserve"> v štádiu odôvodneného stanoviska týkajúceho sa uplatňovania smernice 2008//50/ES</w:t>
      </w:r>
      <w:r>
        <w:rPr>
          <w:rFonts w:ascii="Arial" w:hAnsi="Arial" w:cs="Arial"/>
          <w:sz w:val="20"/>
          <w:szCs w:val="20"/>
        </w:rPr>
        <w:t xml:space="preserve"> </w:t>
      </w:r>
      <w:r w:rsidRPr="00BA1836">
        <w:rPr>
          <w:rFonts w:ascii="Arial" w:hAnsi="Arial" w:cs="Arial"/>
          <w:sz w:val="20"/>
          <w:szCs w:val="20"/>
        </w:rPr>
        <w:t>o kvalite okolitého ovzdušia a čistejšom ovzduší v Európe (problematika limitných hodnôt PM10 v ovzduší) sa očakáva vyjadrenie EK. Viaceré členské štáty EÚ nie sú schopné plniť schválené limity, a z toho dôvodu sa hľadá celoplošné riešenie a spoločný postup ČŠ v tejto veci.</w:t>
      </w:r>
    </w:p>
    <w:p w:rsidR="002416B1" w:rsidRDefault="002416B1" w:rsidP="00507035">
      <w:pPr>
        <w:spacing w:before="120" w:after="120" w:line="360" w:lineRule="auto"/>
        <w:jc w:val="both"/>
        <w:rPr>
          <w:rFonts w:ascii="Arial" w:hAnsi="Arial" w:cs="Arial"/>
          <w:sz w:val="20"/>
          <w:szCs w:val="20"/>
        </w:rPr>
      </w:pPr>
      <w:r w:rsidRPr="00BA1836">
        <w:rPr>
          <w:rFonts w:ascii="Arial" w:hAnsi="Arial" w:cs="Arial"/>
          <w:sz w:val="20"/>
          <w:szCs w:val="20"/>
        </w:rPr>
        <w:t xml:space="preserve">V súvislosti s konaním </w:t>
      </w:r>
      <w:r w:rsidRPr="006A2BF3">
        <w:rPr>
          <w:rFonts w:ascii="Arial" w:hAnsi="Arial" w:cs="Arial"/>
          <w:sz w:val="20"/>
          <w:szCs w:val="20"/>
        </w:rPr>
        <w:t>č. 2010/0284</w:t>
      </w:r>
      <w:r w:rsidRPr="00BA1836">
        <w:rPr>
          <w:rFonts w:ascii="Arial" w:hAnsi="Arial" w:cs="Arial"/>
          <w:b/>
          <w:sz w:val="20"/>
          <w:szCs w:val="20"/>
        </w:rPr>
        <w:t xml:space="preserve"> </w:t>
      </w:r>
      <w:r w:rsidRPr="00BA1836">
        <w:rPr>
          <w:rFonts w:ascii="Arial" w:hAnsi="Arial" w:cs="Arial"/>
          <w:sz w:val="20"/>
          <w:szCs w:val="20"/>
        </w:rPr>
        <w:t xml:space="preserve">k </w:t>
      </w:r>
      <w:r w:rsidRPr="006A2BF3">
        <w:rPr>
          <w:rFonts w:ascii="Arial" w:hAnsi="Arial" w:cs="Arial"/>
          <w:i/>
          <w:sz w:val="20"/>
          <w:szCs w:val="20"/>
        </w:rPr>
        <w:t>transpozícii Smernice 2008/101/ES ktorou sa dopĺňa smernica 2003/87/ES, týkajúcej sa začlenenia leteckej dopravy</w:t>
      </w:r>
      <w:r>
        <w:rPr>
          <w:rFonts w:ascii="Arial" w:hAnsi="Arial" w:cs="Arial"/>
          <w:i/>
          <w:sz w:val="20"/>
          <w:szCs w:val="20"/>
        </w:rPr>
        <w:t xml:space="preserve"> </w:t>
      </w:r>
      <w:r w:rsidRPr="006A2BF3">
        <w:rPr>
          <w:rFonts w:ascii="Arial" w:hAnsi="Arial" w:cs="Arial"/>
          <w:i/>
          <w:sz w:val="20"/>
          <w:szCs w:val="20"/>
        </w:rPr>
        <w:t>do systému obchodovania s emisnými kvótami skleník plynov v ES</w:t>
      </w:r>
      <w:r>
        <w:rPr>
          <w:rFonts w:ascii="Arial" w:hAnsi="Arial" w:cs="Arial"/>
          <w:sz w:val="20"/>
          <w:szCs w:val="20"/>
        </w:rPr>
        <w:t xml:space="preserve"> </w:t>
      </w:r>
      <w:r w:rsidRPr="00BA1836">
        <w:rPr>
          <w:rFonts w:ascii="Arial" w:hAnsi="Arial" w:cs="Arial"/>
          <w:sz w:val="20"/>
          <w:szCs w:val="20"/>
        </w:rPr>
        <w:t xml:space="preserve">a konaním </w:t>
      </w:r>
      <w:r w:rsidRPr="006A2BF3">
        <w:rPr>
          <w:rFonts w:ascii="Arial" w:hAnsi="Arial" w:cs="Arial"/>
          <w:sz w:val="20"/>
          <w:szCs w:val="20"/>
        </w:rPr>
        <w:t>č. 2010/0196</w:t>
      </w:r>
      <w:r w:rsidRPr="00BA1836">
        <w:rPr>
          <w:rFonts w:ascii="Arial" w:hAnsi="Arial" w:cs="Arial"/>
          <w:sz w:val="20"/>
          <w:szCs w:val="20"/>
        </w:rPr>
        <w:t xml:space="preserve"> </w:t>
      </w:r>
      <w:r w:rsidRPr="006A2BF3">
        <w:rPr>
          <w:rFonts w:ascii="Arial" w:hAnsi="Arial" w:cs="Arial"/>
          <w:i/>
          <w:sz w:val="20"/>
          <w:szCs w:val="20"/>
        </w:rPr>
        <w:t>k transpozícii smernice 2009/29/ES o obchodovaní s emisnými kvótami skleníkových plynov</w:t>
      </w:r>
      <w:r w:rsidRPr="00BA1836">
        <w:rPr>
          <w:rFonts w:ascii="Arial" w:hAnsi="Arial" w:cs="Arial"/>
          <w:b/>
          <w:sz w:val="20"/>
          <w:szCs w:val="20"/>
        </w:rPr>
        <w:t xml:space="preserve"> </w:t>
      </w:r>
      <w:r w:rsidRPr="00BA1836">
        <w:rPr>
          <w:rFonts w:ascii="Arial" w:hAnsi="Arial" w:cs="Arial"/>
          <w:sz w:val="20"/>
          <w:szCs w:val="20"/>
        </w:rPr>
        <w:t>bola v roku 2011 prijatá a notifikovaná novela zákona č. 572/2004 Z. z. o obchodovaní s emisnými kvótami č. 47/2011 Z. z., ktorou boli splnené všetky transpozičné povinnosti SR. V oboch prípadoch sa očakáva pozitívne vyjadrenie Európskej Komisie.</w:t>
      </w:r>
    </w:p>
    <w:p w:rsidR="002416B1" w:rsidRDefault="002416B1" w:rsidP="00507035">
      <w:pPr>
        <w:spacing w:before="120" w:after="120" w:line="360" w:lineRule="auto"/>
        <w:jc w:val="both"/>
        <w:rPr>
          <w:rFonts w:ascii="Arial" w:hAnsi="Arial" w:cs="Arial"/>
          <w:sz w:val="20"/>
          <w:szCs w:val="20"/>
        </w:rPr>
      </w:pPr>
      <w:r>
        <w:rPr>
          <w:rFonts w:ascii="Arial" w:hAnsi="Arial" w:cs="Arial"/>
          <w:sz w:val="20"/>
          <w:szCs w:val="20"/>
        </w:rPr>
        <w:t>V</w:t>
      </w:r>
      <w:r w:rsidRPr="000F4EAD">
        <w:rPr>
          <w:rFonts w:ascii="Arial" w:hAnsi="Arial" w:cs="Arial"/>
          <w:sz w:val="20"/>
          <w:szCs w:val="20"/>
        </w:rPr>
        <w:t xml:space="preserve"> oblasti </w:t>
      </w:r>
      <w:r>
        <w:rPr>
          <w:rFonts w:ascii="Arial" w:hAnsi="Arial" w:cs="Arial"/>
          <w:sz w:val="20"/>
          <w:szCs w:val="20"/>
        </w:rPr>
        <w:t xml:space="preserve">ochrany prírody a krajiny </w:t>
      </w:r>
      <w:r w:rsidRPr="000F4EAD">
        <w:rPr>
          <w:rFonts w:ascii="Arial" w:hAnsi="Arial" w:cs="Arial"/>
          <w:sz w:val="20"/>
          <w:szCs w:val="20"/>
        </w:rPr>
        <w:t xml:space="preserve">je vedené jedno konanie č. </w:t>
      </w:r>
      <w:r w:rsidRPr="006A2BF3">
        <w:rPr>
          <w:rFonts w:ascii="Arial" w:hAnsi="Arial" w:cs="Arial"/>
          <w:sz w:val="20"/>
          <w:szCs w:val="20"/>
        </w:rPr>
        <w:t>2007/2186</w:t>
      </w:r>
      <w:r w:rsidRPr="000F4EAD">
        <w:rPr>
          <w:rFonts w:ascii="Arial" w:hAnsi="Arial" w:cs="Arial"/>
          <w:sz w:val="20"/>
          <w:szCs w:val="20"/>
        </w:rPr>
        <w:t xml:space="preserve"> v štádiu odôvodneného stanoviska týkajúce sa </w:t>
      </w:r>
      <w:r w:rsidRPr="006A2BF3">
        <w:rPr>
          <w:rFonts w:ascii="Arial" w:hAnsi="Arial" w:cs="Arial"/>
          <w:i/>
          <w:sz w:val="20"/>
          <w:szCs w:val="20"/>
        </w:rPr>
        <w:t>nevymedzenia osobitne chránených území (CHVÚ) v SR</w:t>
      </w:r>
      <w:r w:rsidRPr="000F4EAD">
        <w:rPr>
          <w:rFonts w:ascii="Arial" w:hAnsi="Arial" w:cs="Arial"/>
          <w:sz w:val="20"/>
          <w:szCs w:val="20"/>
        </w:rPr>
        <w:t>. Z tohto dôvodu je potrebné prijať poslednú chýbajúcu vyhlášku, ktorou sa vyhlasuje Chránené vtáčie územia pre Levočské vrchy. MŽP SR robí všetky potrebné kroky pre vyriešenie majetko</w:t>
      </w:r>
      <w:r>
        <w:rPr>
          <w:rFonts w:ascii="Arial" w:hAnsi="Arial" w:cs="Arial"/>
          <w:sz w:val="20"/>
          <w:szCs w:val="20"/>
        </w:rPr>
        <w:t xml:space="preserve">vo </w:t>
      </w:r>
      <w:r w:rsidRPr="000F4EAD">
        <w:rPr>
          <w:rFonts w:ascii="Arial" w:hAnsi="Arial" w:cs="Arial"/>
          <w:sz w:val="20"/>
          <w:szCs w:val="20"/>
        </w:rPr>
        <w:t>-</w:t>
      </w:r>
      <w:r>
        <w:rPr>
          <w:rFonts w:ascii="Arial" w:hAnsi="Arial" w:cs="Arial"/>
          <w:sz w:val="20"/>
          <w:szCs w:val="20"/>
        </w:rPr>
        <w:t xml:space="preserve"> </w:t>
      </w:r>
      <w:r w:rsidRPr="000F4EAD">
        <w:rPr>
          <w:rFonts w:ascii="Arial" w:hAnsi="Arial" w:cs="Arial"/>
          <w:sz w:val="20"/>
          <w:szCs w:val="20"/>
        </w:rPr>
        <w:t>právnych vzťahov v tejto oblasti a pravidelne informuje Komisiu o aktuálnom vývoji v procese riešenia. Vyhlásenie predmetnej vyhlášky sa predpokladá v nasledujúcom roku 2012.</w:t>
      </w:r>
    </w:p>
    <w:p w:rsidR="002416B1" w:rsidRPr="000F4EAD" w:rsidRDefault="002416B1" w:rsidP="00507035">
      <w:pPr>
        <w:spacing w:before="120" w:after="120" w:line="360" w:lineRule="auto"/>
        <w:jc w:val="both"/>
        <w:rPr>
          <w:rFonts w:ascii="Arial" w:hAnsi="Arial" w:cs="Arial"/>
          <w:sz w:val="20"/>
          <w:szCs w:val="20"/>
          <w:highlight w:val="yellow"/>
        </w:rPr>
      </w:pPr>
    </w:p>
    <w:p w:rsidR="002416B1" w:rsidRPr="006A2BF3" w:rsidRDefault="00133B9E" w:rsidP="00507035">
      <w:pPr>
        <w:pStyle w:val="Nadpis2"/>
        <w:spacing w:before="120" w:after="120" w:line="360" w:lineRule="auto"/>
      </w:pPr>
      <w:bookmarkStart w:id="40" w:name="_3.3_Závažné_problémy"/>
      <w:bookmarkEnd w:id="40"/>
      <w:r>
        <w:t>2.3</w:t>
      </w:r>
      <w:r w:rsidR="002416B1" w:rsidRPr="004B33AE">
        <w:t xml:space="preserve"> </w:t>
      </w:r>
      <w:bookmarkStart w:id="41" w:name="_Toc319573310"/>
      <w:r w:rsidR="002416B1" w:rsidRPr="006A2BF3">
        <w:t>Závažné problémy, ktoré sa vyskytli a opatrenia prijaté na ich odstránenie</w:t>
      </w:r>
      <w:bookmarkEnd w:id="41"/>
    </w:p>
    <w:p w:rsidR="00D867E3" w:rsidRPr="004B33AE" w:rsidRDefault="00D867E3" w:rsidP="00507035">
      <w:pPr>
        <w:spacing w:before="120" w:after="120" w:line="360" w:lineRule="auto"/>
        <w:jc w:val="both"/>
        <w:rPr>
          <w:rFonts w:ascii="Arial" w:hAnsi="Arial" w:cs="Arial"/>
          <w:sz w:val="20"/>
          <w:szCs w:val="20"/>
        </w:rPr>
      </w:pPr>
      <w:r w:rsidRPr="004B33AE">
        <w:rPr>
          <w:rFonts w:ascii="Arial" w:hAnsi="Arial" w:cs="Arial"/>
          <w:sz w:val="20"/>
          <w:szCs w:val="20"/>
        </w:rPr>
        <w:t>V priebehu roka 201</w:t>
      </w:r>
      <w:r>
        <w:rPr>
          <w:rFonts w:ascii="Arial" w:hAnsi="Arial" w:cs="Arial"/>
          <w:sz w:val="20"/>
          <w:szCs w:val="20"/>
        </w:rPr>
        <w:t>2</w:t>
      </w:r>
      <w:r w:rsidRPr="004B33AE">
        <w:rPr>
          <w:rFonts w:ascii="Arial" w:hAnsi="Arial" w:cs="Arial"/>
          <w:sz w:val="20"/>
          <w:szCs w:val="20"/>
        </w:rPr>
        <w:t xml:space="preserve"> ovplyvnilo implementáciu </w:t>
      </w:r>
      <w:r>
        <w:rPr>
          <w:rFonts w:ascii="Arial" w:hAnsi="Arial" w:cs="Arial"/>
          <w:sz w:val="20"/>
          <w:szCs w:val="20"/>
        </w:rPr>
        <w:t>OP ŽP</w:t>
      </w:r>
      <w:r w:rsidRPr="004B33AE">
        <w:rPr>
          <w:rFonts w:ascii="Arial" w:hAnsi="Arial" w:cs="Arial"/>
          <w:sz w:val="20"/>
          <w:szCs w:val="20"/>
        </w:rPr>
        <w:t xml:space="preserve"> resp. jeho jednotlivých prioritných osí viacero faktorov</w:t>
      </w:r>
      <w:r>
        <w:rPr>
          <w:rFonts w:ascii="Arial" w:hAnsi="Arial" w:cs="Arial"/>
          <w:sz w:val="20"/>
          <w:szCs w:val="20"/>
        </w:rPr>
        <w:t>, pričom najvýznamnejším faktorom, ktorý negatívne ovplyvnil implementáciu OP ŽP, bolo pretrvávajúce pozastavenie finančných tokov na operačný program zo strany EK a dôsledky s tým spojené.</w:t>
      </w:r>
    </w:p>
    <w:p w:rsidR="00D867E3" w:rsidRPr="007D7BFA" w:rsidRDefault="00D867E3" w:rsidP="00507035">
      <w:pPr>
        <w:spacing w:before="120" w:after="120" w:line="360" w:lineRule="auto"/>
        <w:jc w:val="both"/>
        <w:rPr>
          <w:rFonts w:ascii="Arial" w:hAnsi="Arial" w:cs="Arial"/>
          <w:sz w:val="20"/>
          <w:szCs w:val="20"/>
        </w:rPr>
      </w:pPr>
      <w:r w:rsidRPr="00EC0D3A">
        <w:rPr>
          <w:rFonts w:ascii="Arial" w:hAnsi="Arial" w:cs="Arial"/>
          <w:bCs/>
          <w:sz w:val="20"/>
          <w:szCs w:val="20"/>
        </w:rPr>
        <w:t xml:space="preserve">Európska komisia </w:t>
      </w:r>
      <w:r w:rsidRPr="002A5064">
        <w:rPr>
          <w:rFonts w:ascii="Arial" w:hAnsi="Arial" w:cs="Arial"/>
          <w:bCs/>
          <w:sz w:val="20"/>
          <w:szCs w:val="20"/>
        </w:rPr>
        <w:t>svojím listom zo dňa 15. júla 2011 (Ares(2011)773440)</w:t>
      </w:r>
      <w:r w:rsidRPr="00EC0D3A">
        <w:rPr>
          <w:rFonts w:ascii="Arial" w:hAnsi="Arial" w:cs="Arial"/>
          <w:bCs/>
          <w:sz w:val="20"/>
          <w:szCs w:val="20"/>
        </w:rPr>
        <w:t xml:space="preserve">informovala </w:t>
      </w:r>
      <w:r w:rsidRPr="002A5064">
        <w:rPr>
          <w:rFonts w:ascii="Arial" w:hAnsi="Arial" w:cs="Arial"/>
          <w:bCs/>
          <w:sz w:val="20"/>
          <w:szCs w:val="20"/>
        </w:rPr>
        <w:t xml:space="preserve">príslušné slovenské orgány zapojené do riadenia a implementácie pomoci z fondov EÚ o prerušení lehoty pre platby pre Operačný program Životné prostredie v zmysle článku 91 všeobecného nariadenia. Listom zo dňa 22. decembra 2011 (Ares (2011)1398303) Európska komisia informovala príslušné slovenské </w:t>
      </w:r>
      <w:r w:rsidRPr="007D7BFA">
        <w:rPr>
          <w:rFonts w:ascii="Arial" w:hAnsi="Arial" w:cs="Arial"/>
          <w:sz w:val="20"/>
          <w:szCs w:val="20"/>
        </w:rPr>
        <w:t xml:space="preserve">orgány o aplikovaní postupu na pozastavenie platieb pre Operačný program Životné prostredie v zmysle článku 92 všeobecného nariadenia. O dôvodoch aplikovania uvedených postupov, ako aj ďalších skutočnostiach, ktoré sa v tejto súvislosti uskutočnili v roku 2011 bližšie pojednáva Výročná správa o vykonávaní OP ŽP za rok 2011. </w:t>
      </w:r>
    </w:p>
    <w:p w:rsidR="00D867E3" w:rsidRPr="007D7BFA" w:rsidRDefault="00D867E3" w:rsidP="00507035">
      <w:pPr>
        <w:spacing w:before="120" w:after="120" w:line="360" w:lineRule="auto"/>
        <w:jc w:val="both"/>
        <w:rPr>
          <w:rFonts w:ascii="Arial" w:hAnsi="Arial" w:cs="Arial"/>
          <w:bCs/>
          <w:sz w:val="20"/>
          <w:szCs w:val="20"/>
        </w:rPr>
      </w:pPr>
      <w:r w:rsidRPr="007D7BFA">
        <w:rPr>
          <w:rFonts w:ascii="Arial" w:hAnsi="Arial" w:cs="Arial"/>
          <w:bCs/>
          <w:sz w:val="20"/>
          <w:szCs w:val="20"/>
        </w:rPr>
        <w:t>RO pre OP ŽP v stanovenej lehote listom z 22.02.2012 predložil EK svoje stanovisko a podrobný popis vykonaných činností a prijatých nápravných opatrení v zmysle požiadaviek EK.</w:t>
      </w:r>
    </w:p>
    <w:p w:rsidR="00D867E3" w:rsidRPr="007D7BFA" w:rsidRDefault="00D867E3" w:rsidP="00507035">
      <w:pPr>
        <w:spacing w:before="120" w:after="120" w:line="360" w:lineRule="auto"/>
        <w:jc w:val="both"/>
        <w:rPr>
          <w:rFonts w:ascii="Arial" w:hAnsi="Arial" w:cs="Arial"/>
          <w:bCs/>
          <w:sz w:val="20"/>
          <w:szCs w:val="20"/>
        </w:rPr>
      </w:pPr>
      <w:r w:rsidRPr="007D7BFA">
        <w:rPr>
          <w:rFonts w:ascii="Arial" w:hAnsi="Arial" w:cs="Arial"/>
          <w:bCs/>
          <w:sz w:val="20"/>
          <w:szCs w:val="20"/>
        </w:rPr>
        <w:t>Listom č. Ares(2012)777982 zo dňa 28.06.2012 bolo príslušným slovenským orgánom oznámené, že na základe posúdenia informácií o prijatých opatreniach predložených zo strany MŽP SR sú podmienky na ukončenie pozastavenia preplácania platieb z fondov EÚ v rámci OP ŽP považované za splnené s tým, že k ukončeniu prerušenia lehoty pre platby v zmysle čl. 91 a pozastavenia platieb v zmysle čl. 92 všeobecného nariadenia zo strany EK dôjde po písomnom potvrdení v tomto liste stanovených štyroch podmienok. Predmetné podmienky boli písomne potvrdené spoločným listom ministra životného prostredia SR a ministra financií SR zo dňa 10.07.</w:t>
      </w:r>
      <w:r w:rsidR="00D33A9E">
        <w:rPr>
          <w:rFonts w:ascii="Arial" w:hAnsi="Arial" w:cs="Arial"/>
          <w:bCs/>
          <w:sz w:val="20"/>
          <w:szCs w:val="20"/>
        </w:rPr>
        <w:t>2</w:t>
      </w:r>
      <w:r w:rsidRPr="007D7BFA">
        <w:rPr>
          <w:rFonts w:ascii="Arial" w:hAnsi="Arial" w:cs="Arial"/>
          <w:bCs/>
          <w:sz w:val="20"/>
          <w:szCs w:val="20"/>
        </w:rPr>
        <w:t>012.</w:t>
      </w:r>
    </w:p>
    <w:p w:rsidR="00D867E3" w:rsidRPr="007D7BFA" w:rsidRDefault="00D867E3" w:rsidP="00507035">
      <w:pPr>
        <w:spacing w:before="120" w:after="120" w:line="360" w:lineRule="auto"/>
        <w:jc w:val="both"/>
        <w:rPr>
          <w:rFonts w:ascii="Arial" w:hAnsi="Arial" w:cs="Arial"/>
          <w:bCs/>
          <w:sz w:val="20"/>
          <w:szCs w:val="20"/>
        </w:rPr>
      </w:pPr>
      <w:r>
        <w:rPr>
          <w:rFonts w:ascii="Arial" w:hAnsi="Arial" w:cs="Arial"/>
          <w:bCs/>
          <w:sz w:val="20"/>
          <w:szCs w:val="20"/>
        </w:rPr>
        <w:t>V nadväznosti na uvedené</w:t>
      </w:r>
      <w:r w:rsidRPr="007D7BFA">
        <w:rPr>
          <w:rFonts w:ascii="Arial" w:hAnsi="Arial" w:cs="Arial"/>
          <w:bCs/>
          <w:sz w:val="20"/>
          <w:szCs w:val="20"/>
        </w:rPr>
        <w:t xml:space="preserve">, </w:t>
      </w:r>
      <w:r>
        <w:rPr>
          <w:rFonts w:ascii="Arial" w:hAnsi="Arial" w:cs="Arial"/>
          <w:bCs/>
          <w:sz w:val="20"/>
          <w:szCs w:val="20"/>
        </w:rPr>
        <w:t xml:space="preserve">Európska komisia </w:t>
      </w:r>
      <w:r w:rsidRPr="007D7BFA">
        <w:rPr>
          <w:rFonts w:ascii="Arial" w:hAnsi="Arial" w:cs="Arial"/>
          <w:bCs/>
          <w:sz w:val="20"/>
          <w:szCs w:val="20"/>
        </w:rPr>
        <w:t>listom č. Ares(2012)1137472 zo dňa 28.09.2012 oznámila</w:t>
      </w:r>
      <w:r w:rsidRPr="007D7BFA" w:rsidDel="00CE69F1">
        <w:rPr>
          <w:rFonts w:ascii="Arial" w:hAnsi="Arial" w:cs="Arial"/>
          <w:bCs/>
          <w:sz w:val="20"/>
          <w:szCs w:val="20"/>
        </w:rPr>
        <w:t xml:space="preserve"> </w:t>
      </w:r>
      <w:r w:rsidRPr="007D7BFA">
        <w:rPr>
          <w:rFonts w:ascii="Arial" w:hAnsi="Arial" w:cs="Arial"/>
          <w:bCs/>
          <w:sz w:val="20"/>
          <w:szCs w:val="20"/>
        </w:rPr>
        <w:t xml:space="preserve">príslušným slovenským orgánom, že ukončuje prerušenie lehoty pre platby v zmysle čl. 91 a pozastavenie platieb v zmysle čl. 92 všeobecného nariadenia. Európska komisia týmto potvrdila, že z vybraných procesov, ktoré EK považovala za problematické, boli nedostatky identifikované (preukázané) iba v oblasti verejného obstarávania. EK zároveň súhlasila s uplatnením paušálnej finančnej korekcie vo výške zodpovedajúcej výslednej chybovosti identifikovanej na reprezentatívnej vzorke verejných obstarávaní - 7,30% z oprávnenej časti výdavkov dotknutých verejných obstarávaní, ktoré boli zo strany RO pre OP ŽP overené v termíne od začiatku programového obdobia do 16.11.2011. </w:t>
      </w:r>
    </w:p>
    <w:p w:rsidR="00D33A9E" w:rsidRDefault="00D33A9E" w:rsidP="00507035">
      <w:pPr>
        <w:pStyle w:val="Zkladntext"/>
        <w:spacing w:before="120" w:after="120" w:line="360" w:lineRule="auto"/>
        <w:rPr>
          <w:rFonts w:ascii="Arial" w:hAnsi="Arial" w:cs="Arial"/>
          <w:bCs/>
          <w:sz w:val="20"/>
          <w:szCs w:val="20"/>
          <w:lang w:eastAsia="x-none"/>
        </w:rPr>
      </w:pPr>
      <w:r w:rsidRPr="00546C41">
        <w:rPr>
          <w:rFonts w:ascii="Arial" w:hAnsi="Arial" w:cs="Arial"/>
          <w:bCs/>
          <w:sz w:val="20"/>
          <w:szCs w:val="20"/>
        </w:rPr>
        <w:t>Okrem uveden</w:t>
      </w:r>
      <w:r>
        <w:rPr>
          <w:rFonts w:ascii="Arial" w:hAnsi="Arial" w:cs="Arial"/>
          <w:bCs/>
          <w:sz w:val="20"/>
          <w:szCs w:val="20"/>
        </w:rPr>
        <w:t>ej písomnej komunikácie</w:t>
      </w:r>
      <w:r w:rsidRPr="00546C41">
        <w:rPr>
          <w:rFonts w:ascii="Arial" w:hAnsi="Arial" w:cs="Arial"/>
          <w:bCs/>
          <w:sz w:val="20"/>
          <w:szCs w:val="20"/>
        </w:rPr>
        <w:t xml:space="preserve"> prebiehala medzi RO a EK DG REGIO a príslušnými slovenskými orgánmi (CO, OA, CKO) intenzívna komunikácia elektronickou formou a formou </w:t>
      </w:r>
      <w:r>
        <w:rPr>
          <w:rFonts w:ascii="Arial" w:hAnsi="Arial" w:cs="Arial"/>
          <w:bCs/>
          <w:sz w:val="20"/>
          <w:szCs w:val="20"/>
        </w:rPr>
        <w:t xml:space="preserve">pracovných </w:t>
      </w:r>
      <w:r w:rsidRPr="00546C41">
        <w:rPr>
          <w:rFonts w:ascii="Arial" w:hAnsi="Arial" w:cs="Arial"/>
          <w:bCs/>
          <w:sz w:val="20"/>
          <w:szCs w:val="20"/>
        </w:rPr>
        <w:t>rokovaní.</w:t>
      </w:r>
    </w:p>
    <w:p w:rsidR="00B93F68" w:rsidRDefault="00B93F68" w:rsidP="00507035">
      <w:pPr>
        <w:spacing w:before="120" w:after="120" w:line="360" w:lineRule="auto"/>
        <w:jc w:val="both"/>
        <w:rPr>
          <w:rFonts w:ascii="Arial" w:hAnsi="Arial" w:cs="Arial"/>
          <w:sz w:val="20"/>
          <w:szCs w:val="20"/>
        </w:rPr>
      </w:pPr>
      <w:r>
        <w:rPr>
          <w:rFonts w:ascii="Arial" w:hAnsi="Arial" w:cs="Arial"/>
          <w:sz w:val="20"/>
          <w:szCs w:val="20"/>
        </w:rPr>
        <w:t>Vyššie uvedený postup prerušenia platieb v zmysle čl. 91 a pozastavenie platieb v zmysle čl. 92 všeobecného nariadenia</w:t>
      </w:r>
      <w:r w:rsidR="0030505E">
        <w:rPr>
          <w:rFonts w:ascii="Arial" w:hAnsi="Arial" w:cs="Arial"/>
          <w:sz w:val="20"/>
          <w:szCs w:val="20"/>
        </w:rPr>
        <w:t xml:space="preserve"> </w:t>
      </w:r>
      <w:r>
        <w:rPr>
          <w:rFonts w:ascii="Arial" w:hAnsi="Arial" w:cs="Arial"/>
          <w:sz w:val="20"/>
          <w:szCs w:val="20"/>
        </w:rPr>
        <w:t>negatívne ovplyvnil aj implementáciu OP ŽP. V súvislosti s nízkym kontrahovaním ako aj čerpaním OP ŽP bol v zmysle Uznesenia vlády SR č. 382 z 25. júla 2012 v podmienkach OP ŽP zavedený Akčný plán na zrýchlenie čerpania a implementácie operačného programu (ďalej aj AP). RO v predmetnom AP zadefinoval</w:t>
      </w:r>
      <w:r w:rsidR="0030505E">
        <w:rPr>
          <w:rFonts w:ascii="Arial" w:hAnsi="Arial" w:cs="Arial"/>
          <w:sz w:val="20"/>
          <w:szCs w:val="20"/>
        </w:rPr>
        <w:t xml:space="preserve"> k 31. 08. 2012</w:t>
      </w:r>
      <w:r>
        <w:rPr>
          <w:rFonts w:ascii="Arial" w:hAnsi="Arial" w:cs="Arial"/>
          <w:sz w:val="20"/>
          <w:szCs w:val="20"/>
        </w:rPr>
        <w:t xml:space="preserve"> sadu opatrení </w:t>
      </w:r>
      <w:r w:rsidR="0030505E">
        <w:rPr>
          <w:rFonts w:ascii="Arial" w:hAnsi="Arial" w:cs="Arial"/>
          <w:sz w:val="20"/>
          <w:szCs w:val="20"/>
        </w:rPr>
        <w:t>na zvýšenie kontrahovania a čerpania finančných prostriedkov v rámci OP ŽP ako napr. uzatvorenie výziev, v rámci ktorých ešte nebolo ukončené konanie, vyhlásiť nové výzvy na predkladanie žiadostí o NFP v zmysle indikatívneho harmonogramu výziev</w:t>
      </w:r>
      <w:r w:rsidR="001A5A34">
        <w:rPr>
          <w:rFonts w:ascii="Arial" w:hAnsi="Arial" w:cs="Arial"/>
          <w:sz w:val="20"/>
          <w:szCs w:val="20"/>
        </w:rPr>
        <w:t xml:space="preserve"> na rok 2012</w:t>
      </w:r>
      <w:r w:rsidR="0030505E">
        <w:rPr>
          <w:rFonts w:ascii="Arial" w:hAnsi="Arial" w:cs="Arial"/>
          <w:sz w:val="20"/>
          <w:szCs w:val="20"/>
        </w:rPr>
        <w:t>, zabezpečiť podmienky pre úspešnú implementáciu PO 7, zabezpečenie uzatvorenia zmlúv</w:t>
      </w:r>
      <w:r w:rsidR="001A5A34">
        <w:rPr>
          <w:rFonts w:ascii="Arial" w:hAnsi="Arial" w:cs="Arial"/>
          <w:sz w:val="20"/>
          <w:szCs w:val="20"/>
        </w:rPr>
        <w:t xml:space="preserve"> o poskytnutí NFP</w:t>
      </w:r>
      <w:r w:rsidR="0030505E">
        <w:rPr>
          <w:rFonts w:ascii="Arial" w:hAnsi="Arial" w:cs="Arial"/>
          <w:sz w:val="20"/>
          <w:szCs w:val="20"/>
        </w:rPr>
        <w:t xml:space="preserve"> na všetkých veľké projekty OP ŽP, zintenzívniť spoluprácu RO s Úradom pre verejné obstarávanie, zaviesť používanie sumarizačných hárkov </w:t>
      </w:r>
      <w:r w:rsidR="007235EE">
        <w:rPr>
          <w:rFonts w:ascii="Arial" w:hAnsi="Arial" w:cs="Arial"/>
          <w:sz w:val="20"/>
          <w:szCs w:val="20"/>
        </w:rPr>
        <w:t>n</w:t>
      </w:r>
      <w:r w:rsidR="0030505E">
        <w:rPr>
          <w:rFonts w:ascii="Arial" w:hAnsi="Arial" w:cs="Arial"/>
          <w:sz w:val="20"/>
          <w:szCs w:val="20"/>
        </w:rPr>
        <w:t xml:space="preserve">a personálne a cestovné výdavky, a pod.. </w:t>
      </w:r>
      <w:r w:rsidR="000875A5">
        <w:rPr>
          <w:rFonts w:ascii="Arial" w:hAnsi="Arial" w:cs="Arial"/>
          <w:sz w:val="20"/>
          <w:szCs w:val="20"/>
        </w:rPr>
        <w:t>Odpočet AP bol vy</w:t>
      </w:r>
      <w:r w:rsidR="00372447">
        <w:rPr>
          <w:rFonts w:ascii="Arial" w:hAnsi="Arial" w:cs="Arial"/>
          <w:sz w:val="20"/>
          <w:szCs w:val="20"/>
        </w:rPr>
        <w:t xml:space="preserve">hodnocovaný </w:t>
      </w:r>
      <w:r w:rsidR="000875A5">
        <w:rPr>
          <w:rFonts w:ascii="Arial" w:hAnsi="Arial" w:cs="Arial"/>
          <w:sz w:val="20"/>
          <w:szCs w:val="20"/>
        </w:rPr>
        <w:t>na dvojmesačnej báze a k</w:t>
      </w:r>
      <w:r w:rsidR="0030505E">
        <w:rPr>
          <w:rFonts w:ascii="Arial" w:hAnsi="Arial" w:cs="Arial"/>
          <w:sz w:val="20"/>
          <w:szCs w:val="20"/>
        </w:rPr>
        <w:t xml:space="preserve"> 31. 12. 2012 nebolo zo strany RO splnené len jedno opatrenie a to zavedenie sumarizačných hárkov na personálne a cestovné výdavky, keďže uvedené opatrenie si vyžadovalo udelenie výnimky CO zo Systému finančného riadenia ŠF a KF na programové obdobie 2007 – 2013 a následne upravenie internej riadiacej dokumentácie RO. </w:t>
      </w:r>
    </w:p>
    <w:p w:rsidR="002E3155" w:rsidRPr="008001F1" w:rsidRDefault="002E3155" w:rsidP="002E3155">
      <w:pPr>
        <w:spacing w:before="120" w:after="120" w:line="360" w:lineRule="auto"/>
        <w:jc w:val="both"/>
        <w:rPr>
          <w:rFonts w:ascii="Arial" w:hAnsi="Arial" w:cs="Arial"/>
          <w:sz w:val="20"/>
          <w:szCs w:val="20"/>
        </w:rPr>
      </w:pPr>
      <w:r w:rsidRPr="008001F1">
        <w:rPr>
          <w:rFonts w:ascii="Arial" w:hAnsi="Arial" w:cs="Arial"/>
          <w:sz w:val="20"/>
          <w:szCs w:val="20"/>
        </w:rPr>
        <w:t xml:space="preserve">V roku 2012 </w:t>
      </w:r>
      <w:r w:rsidR="00BA7B62">
        <w:rPr>
          <w:rFonts w:ascii="Arial" w:hAnsi="Arial" w:cs="Arial"/>
          <w:sz w:val="20"/>
          <w:szCs w:val="20"/>
        </w:rPr>
        <w:t xml:space="preserve">v rámci </w:t>
      </w:r>
      <w:r w:rsidR="00BA7B62" w:rsidRPr="008001F1">
        <w:rPr>
          <w:rFonts w:ascii="Arial" w:hAnsi="Arial" w:cs="Arial"/>
          <w:sz w:val="20"/>
          <w:szCs w:val="20"/>
        </w:rPr>
        <w:t xml:space="preserve">certifikačných overovaní </w:t>
      </w:r>
      <w:r w:rsidRPr="008001F1">
        <w:rPr>
          <w:rFonts w:ascii="Arial" w:hAnsi="Arial" w:cs="Arial"/>
          <w:sz w:val="20"/>
          <w:szCs w:val="20"/>
        </w:rPr>
        <w:t>boli identifikované, resp. sa riešili tieto najzávažnejšie problémové oblasti:</w:t>
      </w:r>
    </w:p>
    <w:p w:rsidR="002E3155" w:rsidRPr="00330C33" w:rsidRDefault="00BA7B62" w:rsidP="001540E7">
      <w:pPr>
        <w:numPr>
          <w:ilvl w:val="0"/>
          <w:numId w:val="74"/>
        </w:numPr>
        <w:spacing w:before="120" w:after="120" w:line="360" w:lineRule="auto"/>
        <w:jc w:val="both"/>
        <w:rPr>
          <w:rFonts w:ascii="Arial" w:eastAsia="Calibri" w:hAnsi="Arial" w:cs="Arial"/>
          <w:sz w:val="20"/>
          <w:szCs w:val="20"/>
          <w:lang w:val="x-none" w:eastAsia="en-US"/>
        </w:rPr>
      </w:pPr>
      <w:r>
        <w:rPr>
          <w:rFonts w:ascii="Arial" w:hAnsi="Arial" w:cs="Arial"/>
          <w:sz w:val="20"/>
          <w:szCs w:val="20"/>
        </w:rPr>
        <w:t>v</w:t>
      </w:r>
      <w:r w:rsidR="002E3155" w:rsidRPr="008001F1">
        <w:rPr>
          <w:rFonts w:ascii="Arial" w:hAnsi="Arial" w:cs="Arial"/>
          <w:sz w:val="20"/>
          <w:szCs w:val="20"/>
        </w:rPr>
        <w:t> riadiacej dokumentácii RO neboli jednoznačne definované postupy pre monitorovanie čistých príjmov v prípade projektov uvedených v článku 55 nariadenia Rady (ES) č. 1083/2006. RO na základe zistení a odporúčaní CO upravil znenie Zmluvy o poskytnutí NFP a postupy v internom manuály</w:t>
      </w:r>
      <w:r w:rsidR="002E3155" w:rsidRPr="00330C33">
        <w:rPr>
          <w:rFonts w:ascii="Arial" w:eastAsia="Calibri" w:hAnsi="Arial" w:cs="Arial"/>
          <w:sz w:val="20"/>
          <w:szCs w:val="20"/>
          <w:lang w:val="x-none" w:eastAsia="en-US"/>
        </w:rPr>
        <w:t xml:space="preserve"> procedúr, v Príručke pre žiadateľa a v Príručke pre prijímateľa.</w:t>
      </w:r>
    </w:p>
    <w:p w:rsidR="002E3155" w:rsidRPr="00330C33" w:rsidRDefault="002E3155" w:rsidP="001540E7">
      <w:pPr>
        <w:numPr>
          <w:ilvl w:val="0"/>
          <w:numId w:val="74"/>
        </w:numPr>
        <w:spacing w:before="120" w:after="120" w:line="360" w:lineRule="auto"/>
        <w:jc w:val="both"/>
        <w:rPr>
          <w:rFonts w:ascii="Arial" w:hAnsi="Arial" w:cs="Arial"/>
          <w:sz w:val="20"/>
          <w:szCs w:val="20"/>
        </w:rPr>
      </w:pPr>
      <w:r>
        <w:rPr>
          <w:rFonts w:ascii="Arial" w:hAnsi="Arial" w:cs="Arial"/>
          <w:sz w:val="20"/>
          <w:szCs w:val="20"/>
        </w:rPr>
        <w:t xml:space="preserve"> </w:t>
      </w:r>
      <w:r w:rsidR="00BA7B62">
        <w:rPr>
          <w:rFonts w:ascii="Arial" w:hAnsi="Arial" w:cs="Arial"/>
          <w:sz w:val="20"/>
          <w:szCs w:val="20"/>
        </w:rPr>
        <w:t>z</w:t>
      </w:r>
      <w:r w:rsidRPr="00330C33">
        <w:rPr>
          <w:rFonts w:ascii="Arial" w:hAnsi="Arial" w:cs="Arial"/>
          <w:sz w:val="20"/>
          <w:szCs w:val="20"/>
        </w:rPr>
        <w:t xml:space="preserve"> opakovaných zistení CO z roku 2011 ako aj zistení z CO vykonaných v roku 2012 smerujúcich k nedostatočnému zdôvodňovaniu prideleného počtu bodov pri odbornom hodnotení ŽoNFP a k nedostatočnej úprave spôsobu hodnotenia a prideľovania bodov v riadiacej dokumentácii RO, najmä pokiaľ ide o kritérium efektívnosť vynaložených finančných prostriedkov, vyplynula pre RO potreba aktualizácie Príručky pre odborných hodnotiteľov ŽoNFP. Zistenie je k 31.12.2012 v riešení. </w:t>
      </w:r>
    </w:p>
    <w:p w:rsidR="002E3155" w:rsidRPr="00330C33" w:rsidRDefault="002E3155" w:rsidP="001540E7">
      <w:pPr>
        <w:numPr>
          <w:ilvl w:val="0"/>
          <w:numId w:val="74"/>
        </w:numPr>
        <w:spacing w:before="120" w:after="120" w:line="360" w:lineRule="auto"/>
        <w:jc w:val="both"/>
        <w:rPr>
          <w:rFonts w:ascii="Arial" w:eastAsia="Calibri" w:hAnsi="Arial" w:cs="Arial"/>
          <w:sz w:val="20"/>
          <w:szCs w:val="20"/>
          <w:lang w:val="x-none" w:eastAsia="en-US"/>
        </w:rPr>
      </w:pPr>
      <w:r>
        <w:rPr>
          <w:rFonts w:ascii="Arial" w:eastAsia="Calibri" w:hAnsi="Arial" w:cs="Arial"/>
          <w:sz w:val="20"/>
          <w:szCs w:val="20"/>
          <w:lang w:eastAsia="en-US"/>
        </w:rPr>
        <w:t xml:space="preserve"> </w:t>
      </w:r>
      <w:r w:rsidR="00BA7B62">
        <w:rPr>
          <w:rFonts w:ascii="Arial" w:eastAsia="Calibri" w:hAnsi="Arial" w:cs="Arial"/>
          <w:sz w:val="20"/>
          <w:szCs w:val="20"/>
          <w:lang w:eastAsia="en-US"/>
        </w:rPr>
        <w:t>z</w:t>
      </w:r>
      <w:r w:rsidRPr="00330C33">
        <w:rPr>
          <w:rFonts w:ascii="Arial" w:eastAsia="Calibri" w:hAnsi="Arial" w:cs="Arial"/>
          <w:sz w:val="20"/>
          <w:szCs w:val="20"/>
          <w:lang w:val="x-none" w:eastAsia="en-US"/>
        </w:rPr>
        <w:t>o zistení CO z roku 2011 týkajúcich sa nezverejnenia dodatkov a zmien k zmluve o poskytnutí NFP v centrálnom registri zmlúv, resp. nedodržania stanovených lehôt na ich zverejnenie zo strany RO vyplynula potreba aktualizácie postupov zmenového riadenia v internom manuáli RO. Aktualizované postupy pre zmeny zmlúv o poskytnutí NFP zohľadňujú odporúčania CO a CKO, aby zmluvu o</w:t>
      </w:r>
      <w:r>
        <w:rPr>
          <w:rFonts w:ascii="Arial" w:eastAsia="Calibri" w:hAnsi="Arial" w:cs="Arial"/>
          <w:sz w:val="20"/>
          <w:szCs w:val="20"/>
          <w:lang w:eastAsia="en-US"/>
        </w:rPr>
        <w:t xml:space="preserve"> poskytnutí </w:t>
      </w:r>
      <w:r w:rsidRPr="00330C33">
        <w:rPr>
          <w:rFonts w:ascii="Arial" w:eastAsia="Calibri" w:hAnsi="Arial" w:cs="Arial"/>
          <w:sz w:val="20"/>
          <w:szCs w:val="20"/>
          <w:lang w:val="x-none" w:eastAsia="en-US"/>
        </w:rPr>
        <w:t>NFP bolo možné meniť len dodatkom a nie rozhodnutím o schválení zmien, čím boli prijaté opatrenia na predchádzanie podobným zisteniam v budúcnosti.</w:t>
      </w:r>
    </w:p>
    <w:p w:rsidR="002E3155" w:rsidRPr="00330C33" w:rsidRDefault="002E3155" w:rsidP="001540E7">
      <w:pPr>
        <w:numPr>
          <w:ilvl w:val="0"/>
          <w:numId w:val="74"/>
        </w:numPr>
        <w:spacing w:before="120" w:after="120" w:line="360" w:lineRule="auto"/>
        <w:jc w:val="both"/>
        <w:rPr>
          <w:rFonts w:ascii="Arial" w:eastAsia="Calibri" w:hAnsi="Arial" w:cs="Arial"/>
          <w:sz w:val="20"/>
          <w:szCs w:val="20"/>
          <w:lang w:val="x-none" w:eastAsia="en-US"/>
        </w:rPr>
      </w:pPr>
      <w:r>
        <w:rPr>
          <w:rFonts w:ascii="Arial" w:eastAsia="Calibri" w:hAnsi="Arial" w:cs="Arial"/>
          <w:sz w:val="20"/>
          <w:szCs w:val="20"/>
          <w:lang w:eastAsia="en-US"/>
        </w:rPr>
        <w:t xml:space="preserve"> </w:t>
      </w:r>
      <w:r w:rsidR="00BA7B62">
        <w:rPr>
          <w:rFonts w:ascii="Arial" w:eastAsia="Calibri" w:hAnsi="Arial" w:cs="Arial"/>
          <w:sz w:val="20"/>
          <w:szCs w:val="20"/>
          <w:lang w:eastAsia="en-US"/>
        </w:rPr>
        <w:t>n</w:t>
      </w:r>
      <w:r w:rsidRPr="00330C33">
        <w:rPr>
          <w:rFonts w:ascii="Arial" w:eastAsia="Calibri" w:hAnsi="Arial" w:cs="Arial"/>
          <w:sz w:val="20"/>
          <w:szCs w:val="20"/>
          <w:lang w:val="x-none" w:eastAsia="en-US"/>
        </w:rPr>
        <w:t xml:space="preserve">a základe zistení a odporúčaní z tematického CO z roku 2011, v rámci ktorého bolo identifikované nedostatočné, resp. nesprávne overenie hospodárnosti výdavkov za služby externého projektového manažmentu pri odbornom hodnotení ŽoNFP, RO vypracoval Návrh mechanizmu overovania oprávnených výdavkov projektu viazaných v rámci podporných aktivít na externý manažment. Navrhovaný mechanizmus obsahuje postupy pre posudzovanie hospodárnosti a efektívnosti výdavkov na externý manažment zo strany riadiaceho orgánu a  stanovuje maximálny limit (benchmark) výšky oprávnených výdavkov na tieto služby. </w:t>
      </w:r>
    </w:p>
    <w:p w:rsidR="002E3155" w:rsidRDefault="002E3155" w:rsidP="001540E7">
      <w:pPr>
        <w:numPr>
          <w:ilvl w:val="0"/>
          <w:numId w:val="74"/>
        </w:numPr>
        <w:spacing w:before="120" w:line="360" w:lineRule="auto"/>
        <w:jc w:val="both"/>
        <w:rPr>
          <w:rFonts w:ascii="Arial" w:eastAsia="Calibri" w:hAnsi="Arial" w:cs="Arial"/>
          <w:sz w:val="20"/>
          <w:szCs w:val="20"/>
          <w:lang w:val="x-none" w:eastAsia="en-US"/>
        </w:rPr>
      </w:pPr>
      <w:r>
        <w:rPr>
          <w:rFonts w:ascii="Arial" w:eastAsia="Calibri" w:hAnsi="Arial" w:cs="Arial"/>
          <w:sz w:val="20"/>
          <w:szCs w:val="20"/>
          <w:lang w:eastAsia="en-US"/>
        </w:rPr>
        <w:t xml:space="preserve"> </w:t>
      </w:r>
      <w:r w:rsidR="00BA7B62">
        <w:rPr>
          <w:rFonts w:ascii="Arial" w:eastAsia="Calibri" w:hAnsi="Arial" w:cs="Arial"/>
          <w:sz w:val="20"/>
          <w:szCs w:val="20"/>
          <w:lang w:eastAsia="en-US"/>
        </w:rPr>
        <w:t>z</w:t>
      </w:r>
      <w:r w:rsidRPr="00330C33">
        <w:rPr>
          <w:rFonts w:ascii="Arial" w:eastAsia="Calibri" w:hAnsi="Arial" w:cs="Arial"/>
          <w:sz w:val="20"/>
          <w:szCs w:val="20"/>
          <w:lang w:val="x-none" w:eastAsia="en-US"/>
        </w:rPr>
        <w:t>istenia z CO z roku 2010 a 2011 týkajúce sa nedodržania pravidiel a postupov verejného obstarávania boli uzavreté po prijatí opatrení RO na dôslednejšie vykonávanie kontroly verejného obstarávania a po zohľadnení skutočnosti , že chybné verejné obstarávania patrili do populácie zákaziek, na ktoré sa vzťahuje plošná finančná oprava 7,3</w:t>
      </w:r>
      <w:r>
        <w:rPr>
          <w:rFonts w:ascii="Arial" w:eastAsia="Calibri" w:hAnsi="Arial" w:cs="Arial"/>
          <w:sz w:val="20"/>
          <w:szCs w:val="20"/>
          <w:lang w:eastAsia="en-US"/>
        </w:rPr>
        <w:t>0</w:t>
      </w:r>
      <w:r w:rsidRPr="00330C33">
        <w:rPr>
          <w:rFonts w:ascii="Arial" w:eastAsia="Calibri" w:hAnsi="Arial" w:cs="Arial"/>
          <w:sz w:val="20"/>
          <w:szCs w:val="20"/>
          <w:lang w:val="x-none" w:eastAsia="en-US"/>
        </w:rPr>
        <w:t xml:space="preserve">% z oprávnenej časti výdavkov dotknutých zákaziek (verejných obstarávaní), ktoré boli zo strany </w:t>
      </w:r>
      <w:r>
        <w:rPr>
          <w:rFonts w:ascii="Arial" w:eastAsia="Calibri" w:hAnsi="Arial" w:cs="Arial"/>
          <w:sz w:val="20"/>
          <w:szCs w:val="20"/>
          <w:lang w:eastAsia="en-US"/>
        </w:rPr>
        <w:t>RO</w:t>
      </w:r>
      <w:r w:rsidRPr="00330C33">
        <w:rPr>
          <w:rFonts w:ascii="Arial" w:eastAsia="Calibri" w:hAnsi="Arial" w:cs="Arial"/>
          <w:sz w:val="20"/>
          <w:szCs w:val="20"/>
          <w:lang w:val="x-none" w:eastAsia="en-US"/>
        </w:rPr>
        <w:t xml:space="preserve"> overené v termíne od začiatku programového obdobia do 16.11.2011.</w:t>
      </w:r>
    </w:p>
    <w:p w:rsidR="0068264B" w:rsidRDefault="002E3155" w:rsidP="0068264B">
      <w:pPr>
        <w:spacing w:before="120" w:after="120" w:line="360" w:lineRule="auto"/>
        <w:jc w:val="both"/>
        <w:rPr>
          <w:rFonts w:ascii="Arial" w:eastAsia="Calibri" w:hAnsi="Arial" w:cs="Arial"/>
          <w:sz w:val="20"/>
          <w:szCs w:val="20"/>
          <w:lang w:eastAsia="en-US"/>
        </w:rPr>
      </w:pPr>
      <w:r w:rsidRPr="008001F1">
        <w:rPr>
          <w:rFonts w:ascii="Arial" w:eastAsia="Calibri" w:hAnsi="Arial" w:cs="Arial"/>
          <w:sz w:val="20"/>
          <w:szCs w:val="20"/>
          <w:lang w:val="x-none" w:eastAsia="en-US"/>
        </w:rPr>
        <w:t xml:space="preserve">V nadväznosti na vyššie uvedené identifikované nedostatky pri certifikačných overovaniach  RO prijal </w:t>
      </w:r>
      <w:r w:rsidR="0068264B">
        <w:rPr>
          <w:rFonts w:ascii="Arial" w:eastAsia="Calibri" w:hAnsi="Arial" w:cs="Arial"/>
          <w:sz w:val="20"/>
          <w:szCs w:val="20"/>
          <w:lang w:eastAsia="en-US"/>
        </w:rPr>
        <w:t xml:space="preserve">nasledovné </w:t>
      </w:r>
      <w:r>
        <w:rPr>
          <w:rFonts w:ascii="Arial" w:eastAsia="Calibri" w:hAnsi="Arial" w:cs="Arial"/>
          <w:sz w:val="20"/>
          <w:szCs w:val="20"/>
          <w:lang w:eastAsia="en-US"/>
        </w:rPr>
        <w:t>o</w:t>
      </w:r>
      <w:r w:rsidRPr="008001F1">
        <w:rPr>
          <w:rFonts w:ascii="Arial" w:eastAsia="Calibri" w:hAnsi="Arial" w:cs="Arial"/>
          <w:sz w:val="20"/>
          <w:szCs w:val="20"/>
          <w:lang w:val="x-none" w:eastAsia="en-US"/>
        </w:rPr>
        <w:t xml:space="preserve">patrenia </w:t>
      </w:r>
      <w:r w:rsidRPr="002E3155">
        <w:rPr>
          <w:rFonts w:ascii="Arial" w:eastAsia="Calibri" w:hAnsi="Arial" w:cs="Arial"/>
          <w:sz w:val="20"/>
          <w:szCs w:val="20"/>
          <w:lang w:val="x-none" w:eastAsia="en-US"/>
        </w:rPr>
        <w:t>na odstránenie nedostatkov</w:t>
      </w:r>
      <w:r w:rsidR="00BA7B62">
        <w:rPr>
          <w:rFonts w:ascii="Arial" w:eastAsia="Calibri" w:hAnsi="Arial" w:cs="Arial"/>
          <w:sz w:val="20"/>
          <w:szCs w:val="20"/>
          <w:lang w:eastAsia="en-US"/>
        </w:rPr>
        <w:t xml:space="preserve"> a príčin ich vzniku</w:t>
      </w:r>
      <w:r w:rsidR="0068264B">
        <w:rPr>
          <w:rFonts w:ascii="Arial" w:eastAsia="Calibri" w:hAnsi="Arial" w:cs="Arial"/>
          <w:sz w:val="20"/>
          <w:szCs w:val="20"/>
          <w:lang w:eastAsia="en-US"/>
        </w:rPr>
        <w:t>:</w:t>
      </w:r>
    </w:p>
    <w:p w:rsidR="0068264B" w:rsidRDefault="0068264B" w:rsidP="001540E7">
      <w:pPr>
        <w:pStyle w:val="Odsekzoznamu"/>
        <w:numPr>
          <w:ilvl w:val="0"/>
          <w:numId w:val="74"/>
        </w:numPr>
        <w:spacing w:before="120" w:after="120" w:line="360" w:lineRule="auto"/>
        <w:jc w:val="both"/>
        <w:rPr>
          <w:rFonts w:ascii="Arial" w:eastAsia="Calibri" w:hAnsi="Arial" w:cs="Arial"/>
          <w:sz w:val="20"/>
          <w:szCs w:val="20"/>
        </w:rPr>
      </w:pPr>
      <w:r>
        <w:rPr>
          <w:rFonts w:ascii="Arial" w:eastAsia="Calibri" w:hAnsi="Arial" w:cs="Arial"/>
          <w:sz w:val="20"/>
          <w:szCs w:val="20"/>
        </w:rPr>
        <w:t>v</w:t>
      </w:r>
      <w:r w:rsidR="002E3155" w:rsidRPr="0068264B">
        <w:rPr>
          <w:rFonts w:ascii="Arial" w:eastAsia="Calibri" w:hAnsi="Arial" w:cs="Arial"/>
          <w:sz w:val="20"/>
          <w:szCs w:val="20"/>
          <w:lang w:val="x-none"/>
        </w:rPr>
        <w:t> súvislosti s problematikou</w:t>
      </w:r>
      <w:r w:rsidR="002E3155" w:rsidRPr="0068264B">
        <w:rPr>
          <w:rFonts w:ascii="Arial" w:eastAsia="Calibri" w:hAnsi="Arial" w:cs="Arial"/>
          <w:sz w:val="20"/>
          <w:szCs w:val="20"/>
        </w:rPr>
        <w:t xml:space="preserve"> monitorovania čistých príjmov v prípade projektov generujúcich príjem </w:t>
      </w:r>
      <w:r w:rsidR="002E3155" w:rsidRPr="0068264B">
        <w:rPr>
          <w:rFonts w:ascii="Arial" w:eastAsia="Calibri" w:hAnsi="Arial" w:cs="Arial"/>
          <w:sz w:val="20"/>
          <w:szCs w:val="20"/>
          <w:lang w:val="x-none"/>
        </w:rPr>
        <w:t>RO</w:t>
      </w:r>
      <w:r w:rsidR="002E3155" w:rsidRPr="0068264B">
        <w:rPr>
          <w:rFonts w:ascii="Arial" w:eastAsia="Calibri" w:hAnsi="Arial" w:cs="Arial"/>
          <w:sz w:val="20"/>
          <w:szCs w:val="20"/>
        </w:rPr>
        <w:t xml:space="preserve"> pre OP ŽP </w:t>
      </w:r>
      <w:r w:rsidR="002E3155" w:rsidRPr="0068264B">
        <w:rPr>
          <w:rFonts w:ascii="Arial" w:eastAsia="Calibri" w:hAnsi="Arial" w:cs="Arial"/>
          <w:sz w:val="20"/>
          <w:szCs w:val="20"/>
          <w:lang w:val="x-none"/>
        </w:rPr>
        <w:t xml:space="preserve"> </w:t>
      </w:r>
      <w:r w:rsidR="002E3155" w:rsidRPr="0068264B">
        <w:rPr>
          <w:rFonts w:ascii="Arial" w:eastAsia="Calibri" w:hAnsi="Arial" w:cs="Arial"/>
          <w:sz w:val="20"/>
          <w:szCs w:val="20"/>
        </w:rPr>
        <w:t>aktualizoval Príručku pre prijímateľa, upravil znenie zmluvy o poskytnutí NFP o definície podstatnej zmeny podmienok pre projekty generujúce príjem, zaviedol nový formulár prílohy č. 1 všeobecných zmluvných podmienok a súčasne aktualizoval svoj interný manuál procedúr v nadväznosti na uvedenú problematiku.</w:t>
      </w:r>
    </w:p>
    <w:p w:rsidR="002E3155" w:rsidRPr="0068264B" w:rsidRDefault="0068264B" w:rsidP="001540E7">
      <w:pPr>
        <w:pStyle w:val="Odsekzoznamu"/>
        <w:numPr>
          <w:ilvl w:val="0"/>
          <w:numId w:val="74"/>
        </w:numPr>
        <w:spacing w:before="120" w:after="120" w:line="360" w:lineRule="auto"/>
        <w:jc w:val="both"/>
        <w:rPr>
          <w:rFonts w:ascii="Arial" w:eastAsia="Calibri" w:hAnsi="Arial" w:cs="Arial"/>
          <w:sz w:val="20"/>
          <w:szCs w:val="20"/>
        </w:rPr>
      </w:pPr>
      <w:r>
        <w:rPr>
          <w:rFonts w:ascii="Arial" w:eastAsia="Calibri" w:hAnsi="Arial" w:cs="Arial"/>
          <w:sz w:val="20"/>
          <w:szCs w:val="20"/>
        </w:rPr>
        <w:t>v</w:t>
      </w:r>
      <w:r w:rsidR="002E3155" w:rsidRPr="0068264B">
        <w:rPr>
          <w:rFonts w:ascii="Arial" w:eastAsia="Calibri" w:hAnsi="Arial" w:cs="Arial"/>
          <w:sz w:val="20"/>
          <w:szCs w:val="20"/>
          <w:lang w:val="x-none"/>
        </w:rPr>
        <w:t> nadväznosti na opakované zistenia v oblasti nedostatkov pri hodnotení a výbere projektov, RO v priebehu roka 2012  upravil hodnotiace a výberové kritériá, ktoré boli schválené na 10. zasadnutí Monitorovacieho výboru pre OP ŽP dňa 18. decembra 2012</w:t>
      </w:r>
      <w:r w:rsidR="002E3155" w:rsidRPr="0068264B">
        <w:rPr>
          <w:rFonts w:ascii="Arial" w:eastAsia="Calibri" w:hAnsi="Arial" w:cs="Arial"/>
          <w:sz w:val="20"/>
          <w:szCs w:val="20"/>
        </w:rPr>
        <w:t>, tak aby bola zabezpečená maximálna miera opakovateľnosti výsledku odborného hodnotenia žiadostí o NFP.</w:t>
      </w:r>
      <w:r w:rsidR="002E3155" w:rsidRPr="0068264B">
        <w:rPr>
          <w:rFonts w:ascii="Arial" w:eastAsia="Calibri" w:hAnsi="Arial" w:cs="Arial"/>
          <w:sz w:val="20"/>
          <w:szCs w:val="20"/>
          <w:lang w:val="x-none"/>
        </w:rPr>
        <w:t xml:space="preserve">  </w:t>
      </w:r>
      <w:r w:rsidR="002E3155" w:rsidRPr="0068264B">
        <w:rPr>
          <w:rFonts w:ascii="Arial" w:eastAsia="Calibri" w:hAnsi="Arial" w:cs="Arial"/>
          <w:sz w:val="20"/>
          <w:szCs w:val="20"/>
        </w:rPr>
        <w:t xml:space="preserve">Ďalej </w:t>
      </w:r>
      <w:r w:rsidR="00617FE5">
        <w:rPr>
          <w:rFonts w:ascii="Arial" w:eastAsia="Calibri" w:hAnsi="Arial" w:cs="Arial"/>
          <w:sz w:val="20"/>
          <w:szCs w:val="20"/>
        </w:rPr>
        <w:t>v roku 2013</w:t>
      </w:r>
      <w:r w:rsidR="00617FE5" w:rsidRPr="0068264B">
        <w:rPr>
          <w:rFonts w:ascii="Arial" w:eastAsia="Calibri" w:hAnsi="Arial" w:cs="Arial"/>
          <w:sz w:val="20"/>
          <w:szCs w:val="20"/>
          <w:lang w:val="x-none"/>
        </w:rPr>
        <w:t xml:space="preserve"> </w:t>
      </w:r>
      <w:r w:rsidR="002E3155" w:rsidRPr="0068264B">
        <w:rPr>
          <w:rFonts w:ascii="Arial" w:eastAsia="Calibri" w:hAnsi="Arial" w:cs="Arial"/>
          <w:sz w:val="20"/>
          <w:szCs w:val="20"/>
          <w:lang w:val="x-none"/>
        </w:rPr>
        <w:t>RO pristúpil aj k aktualizácii Príručky pre hodnotiteľov</w:t>
      </w:r>
      <w:r w:rsidR="007B7519">
        <w:rPr>
          <w:rFonts w:ascii="Arial" w:eastAsia="Calibri" w:hAnsi="Arial" w:cs="Arial"/>
          <w:sz w:val="20"/>
          <w:szCs w:val="20"/>
        </w:rPr>
        <w:t xml:space="preserve"> </w:t>
      </w:r>
      <w:r w:rsidR="002E3155" w:rsidRPr="0068264B">
        <w:rPr>
          <w:rFonts w:ascii="Arial" w:eastAsia="Calibri" w:hAnsi="Arial" w:cs="Arial"/>
          <w:sz w:val="20"/>
          <w:szCs w:val="20"/>
          <w:lang w:val="x-none"/>
        </w:rPr>
        <w:t>žiadostí s tým, že pri každom komentári je odborný hodnotiteľ povinný odôvodniť svoje tvrdenie a preukázať tak jeho správnosť aj uvedením argumentov pri prípadnej úprave pridelenia bodov jednotlivých kritérií.</w:t>
      </w:r>
      <w:r w:rsidR="002E3155" w:rsidRPr="0068264B">
        <w:rPr>
          <w:rFonts w:ascii="Arial" w:eastAsia="Calibri" w:hAnsi="Arial" w:cs="Arial"/>
          <w:sz w:val="20"/>
          <w:szCs w:val="20"/>
        </w:rPr>
        <w:t xml:space="preserve"> V rámci problematiky nedostatočného</w:t>
      </w:r>
      <w:r w:rsidR="002E3155" w:rsidRPr="0068264B">
        <w:rPr>
          <w:rFonts w:ascii="Arial" w:eastAsia="Calibri" w:hAnsi="Arial" w:cs="Arial"/>
          <w:sz w:val="20"/>
          <w:szCs w:val="20"/>
          <w:lang w:val="x-none"/>
        </w:rPr>
        <w:t xml:space="preserve">  over</w:t>
      </w:r>
      <w:r w:rsidR="002E3155" w:rsidRPr="0068264B">
        <w:rPr>
          <w:rFonts w:ascii="Arial" w:eastAsia="Calibri" w:hAnsi="Arial" w:cs="Arial"/>
          <w:sz w:val="20"/>
          <w:szCs w:val="20"/>
        </w:rPr>
        <w:t xml:space="preserve">ovania </w:t>
      </w:r>
      <w:r w:rsidR="002E3155" w:rsidRPr="0068264B">
        <w:rPr>
          <w:rFonts w:ascii="Arial" w:eastAsia="Calibri" w:hAnsi="Arial" w:cs="Arial"/>
          <w:sz w:val="20"/>
          <w:szCs w:val="20"/>
          <w:lang w:val="x-none"/>
        </w:rPr>
        <w:t>hospodárnosti výdavkov za služby externého projektového manažmentu pri odbornom hodnotení ŽoNFP, RO vypracoval Návrh mechanizmu overovania oprávnených výdavkov projektu viazaných v rámci podporných aktivít na externý manažment</w:t>
      </w:r>
      <w:r w:rsidR="002E3155" w:rsidRPr="0068264B">
        <w:rPr>
          <w:rFonts w:ascii="Arial" w:eastAsia="Calibri" w:hAnsi="Arial" w:cs="Arial"/>
          <w:sz w:val="20"/>
          <w:szCs w:val="20"/>
        </w:rPr>
        <w:t>, v zmysle ktorého je komplexne posudzovaná hospodárnosť a efektívnosť vynakladania výdavkov externého manažmentu</w:t>
      </w:r>
      <w:r w:rsidR="002E3155" w:rsidRPr="0068264B">
        <w:rPr>
          <w:rFonts w:ascii="Arial" w:eastAsia="Calibri" w:hAnsi="Arial" w:cs="Arial"/>
          <w:sz w:val="20"/>
          <w:szCs w:val="20"/>
          <w:lang w:val="x-none"/>
        </w:rPr>
        <w:t>.</w:t>
      </w:r>
      <w:r w:rsidR="002E3155" w:rsidRPr="0068264B">
        <w:rPr>
          <w:rFonts w:ascii="Arial" w:eastAsia="Calibri" w:hAnsi="Arial" w:cs="Arial"/>
          <w:sz w:val="20"/>
          <w:szCs w:val="20"/>
        </w:rPr>
        <w:t xml:space="preserve"> </w:t>
      </w:r>
    </w:p>
    <w:p w:rsidR="002416B1" w:rsidRPr="007818E6" w:rsidRDefault="002416B1" w:rsidP="00507035">
      <w:pPr>
        <w:spacing w:before="120" w:after="120" w:line="360" w:lineRule="auto"/>
        <w:jc w:val="both"/>
        <w:rPr>
          <w:rFonts w:ascii="Arial" w:hAnsi="Arial" w:cs="Arial"/>
          <w:sz w:val="20"/>
          <w:szCs w:val="20"/>
        </w:rPr>
      </w:pPr>
      <w:r w:rsidRPr="00C121F1">
        <w:rPr>
          <w:rFonts w:ascii="Arial" w:hAnsi="Arial" w:cs="Arial"/>
          <w:sz w:val="20"/>
          <w:szCs w:val="20"/>
        </w:rPr>
        <w:t>Špecifická pozornosť</w:t>
      </w:r>
      <w:r w:rsidRPr="00C121F1">
        <w:rPr>
          <w:rFonts w:ascii="Arial" w:hAnsi="Arial" w:cs="Arial"/>
          <w:i/>
          <w:sz w:val="20"/>
          <w:szCs w:val="20"/>
        </w:rPr>
        <w:t xml:space="preserve"> </w:t>
      </w:r>
      <w:r w:rsidRPr="00C121F1">
        <w:rPr>
          <w:rFonts w:ascii="Arial" w:hAnsi="Arial" w:cs="Arial"/>
          <w:sz w:val="20"/>
          <w:szCs w:val="20"/>
        </w:rPr>
        <w:t>sa</w:t>
      </w:r>
      <w:r w:rsidR="0068264B">
        <w:rPr>
          <w:rFonts w:ascii="Arial" w:hAnsi="Arial" w:cs="Arial"/>
          <w:sz w:val="20"/>
          <w:szCs w:val="20"/>
        </w:rPr>
        <w:t xml:space="preserve"> vo všeobecnosti </w:t>
      </w:r>
      <w:r w:rsidRPr="00C121F1">
        <w:rPr>
          <w:rFonts w:ascii="Arial" w:hAnsi="Arial" w:cs="Arial"/>
          <w:sz w:val="20"/>
          <w:szCs w:val="20"/>
        </w:rPr>
        <w:t xml:space="preserve">venuje taktiež </w:t>
      </w:r>
      <w:r w:rsidRPr="00C121F1">
        <w:rPr>
          <w:rFonts w:ascii="Arial" w:hAnsi="Arial" w:cs="Arial"/>
          <w:i/>
          <w:sz w:val="20"/>
          <w:szCs w:val="20"/>
        </w:rPr>
        <w:t xml:space="preserve">procesom verejného obstarávania </w:t>
      </w:r>
      <w:r w:rsidRPr="00C121F1">
        <w:rPr>
          <w:rFonts w:ascii="Arial" w:hAnsi="Arial" w:cs="Arial"/>
          <w:sz w:val="20"/>
          <w:szCs w:val="20"/>
        </w:rPr>
        <w:t>tak v súvislosti so zisteniami uskutočnených auditov</w:t>
      </w:r>
      <w:r w:rsidR="0068264B">
        <w:rPr>
          <w:rFonts w:ascii="Arial" w:hAnsi="Arial" w:cs="Arial"/>
          <w:sz w:val="20"/>
          <w:szCs w:val="20"/>
        </w:rPr>
        <w:t>, resp. certifikačných overovaní či auditných misií EK</w:t>
      </w:r>
      <w:r w:rsidRPr="00C121F1">
        <w:rPr>
          <w:rFonts w:ascii="Arial" w:hAnsi="Arial" w:cs="Arial"/>
          <w:sz w:val="20"/>
          <w:szCs w:val="20"/>
        </w:rPr>
        <w:t>. V nadväznosti na uvedené boli priebežne posilňované všetky potrebné kontrolné procedúry v </w:t>
      </w:r>
      <w:r w:rsidRPr="00A9375C">
        <w:rPr>
          <w:rFonts w:ascii="Arial" w:hAnsi="Arial" w:cs="Arial"/>
          <w:sz w:val="20"/>
          <w:szCs w:val="20"/>
        </w:rPr>
        <w:t>zmysle platnej legislatívy, taktiež prebieha aktívna spolupráca s Úradom pre verejné obstarávanie a uskutočňovanie školení pre oblasť verejného obstarávania</w:t>
      </w:r>
      <w:r w:rsidR="0068264B">
        <w:rPr>
          <w:rFonts w:ascii="Arial" w:hAnsi="Arial" w:cs="Arial"/>
          <w:sz w:val="20"/>
          <w:szCs w:val="20"/>
        </w:rPr>
        <w:t xml:space="preserve"> čo je podrobnejšie uvedené v kapitole 2.1, časť </w:t>
      </w:r>
      <w:r w:rsidR="0068264B" w:rsidRPr="0068264B">
        <w:rPr>
          <w:rFonts w:ascii="Arial" w:hAnsi="Arial" w:cs="Arial"/>
          <w:bCs/>
          <w:i/>
          <w:sz w:val="20"/>
          <w:szCs w:val="20"/>
        </w:rPr>
        <w:t>Vyhodnotenie stavu čerpania OP ŽP</w:t>
      </w:r>
      <w:r w:rsidR="0068264B">
        <w:rPr>
          <w:rFonts w:ascii="Arial" w:hAnsi="Arial" w:cs="Arial"/>
          <w:bCs/>
          <w:i/>
          <w:sz w:val="20"/>
          <w:szCs w:val="20"/>
        </w:rPr>
        <w:t xml:space="preserve"> </w:t>
      </w:r>
      <w:r w:rsidR="0068264B">
        <w:rPr>
          <w:rFonts w:ascii="Arial" w:hAnsi="Arial" w:cs="Arial"/>
          <w:bCs/>
          <w:sz w:val="20"/>
          <w:szCs w:val="20"/>
        </w:rPr>
        <w:t xml:space="preserve"> tejto správy.</w:t>
      </w:r>
      <w:r w:rsidRPr="007818E6">
        <w:rPr>
          <w:rFonts w:ascii="Arial" w:hAnsi="Arial" w:cs="Arial"/>
          <w:sz w:val="20"/>
          <w:szCs w:val="20"/>
        </w:rPr>
        <w:t xml:space="preserve"> </w:t>
      </w:r>
    </w:p>
    <w:p w:rsidR="002416B1" w:rsidRDefault="002416B1" w:rsidP="00507035">
      <w:pPr>
        <w:spacing w:before="120" w:after="120" w:line="360" w:lineRule="auto"/>
        <w:jc w:val="both"/>
        <w:rPr>
          <w:rFonts w:ascii="Arial" w:hAnsi="Arial" w:cs="Arial"/>
          <w:sz w:val="20"/>
          <w:szCs w:val="20"/>
        </w:rPr>
      </w:pPr>
      <w:r w:rsidRPr="00A9375C">
        <w:rPr>
          <w:rFonts w:ascii="Arial" w:hAnsi="Arial" w:cs="Arial"/>
          <w:i/>
          <w:sz w:val="20"/>
          <w:szCs w:val="20"/>
        </w:rPr>
        <w:t xml:space="preserve">V rámci systému ITMS </w:t>
      </w:r>
      <w:r w:rsidRPr="00A9375C">
        <w:rPr>
          <w:rFonts w:ascii="Arial" w:hAnsi="Arial" w:cs="Arial"/>
          <w:sz w:val="20"/>
          <w:szCs w:val="20"/>
        </w:rPr>
        <w:t>neboli v priebehu roka 201</w:t>
      </w:r>
      <w:r w:rsidR="00802C11" w:rsidRPr="00A9375C">
        <w:rPr>
          <w:rFonts w:ascii="Arial" w:hAnsi="Arial" w:cs="Arial"/>
          <w:sz w:val="20"/>
          <w:szCs w:val="20"/>
        </w:rPr>
        <w:t>2</w:t>
      </w:r>
      <w:r w:rsidRPr="00A9375C">
        <w:rPr>
          <w:rFonts w:ascii="Arial" w:hAnsi="Arial" w:cs="Arial"/>
          <w:sz w:val="20"/>
          <w:szCs w:val="20"/>
        </w:rPr>
        <w:t xml:space="preserve"> zaznamenané žiadne závažné problémy, </w:t>
      </w:r>
      <w:r w:rsidR="001138CB" w:rsidRPr="00D867E3">
        <w:rPr>
          <w:rFonts w:ascii="Arial" w:hAnsi="Arial" w:cs="Arial"/>
          <w:sz w:val="20"/>
          <w:szCs w:val="20"/>
        </w:rPr>
        <w:t xml:space="preserve">išlo </w:t>
      </w:r>
      <w:r w:rsidRPr="00A9375C">
        <w:rPr>
          <w:rFonts w:ascii="Arial" w:hAnsi="Arial" w:cs="Arial"/>
          <w:sz w:val="20"/>
          <w:szCs w:val="20"/>
        </w:rPr>
        <w:t>len o menšie formálne nedostatky</w:t>
      </w:r>
      <w:r w:rsidR="00081B9F" w:rsidRPr="00D867E3">
        <w:rPr>
          <w:rFonts w:ascii="Arial" w:hAnsi="Arial" w:cs="Arial"/>
          <w:sz w:val="20"/>
          <w:szCs w:val="20"/>
        </w:rPr>
        <w:t xml:space="preserve"> uvedené v tabuľke </w:t>
      </w:r>
      <w:r w:rsidR="00B8465A" w:rsidRPr="00A9375C">
        <w:rPr>
          <w:rFonts w:ascii="Arial" w:hAnsi="Arial" w:cs="Arial"/>
          <w:sz w:val="20"/>
          <w:szCs w:val="20"/>
        </w:rPr>
        <w:t>č. 2</w:t>
      </w:r>
      <w:r w:rsidR="00D33A9E">
        <w:rPr>
          <w:rFonts w:ascii="Arial" w:hAnsi="Arial" w:cs="Arial"/>
          <w:sz w:val="20"/>
          <w:szCs w:val="20"/>
        </w:rPr>
        <w:t>1</w:t>
      </w:r>
      <w:r w:rsidRPr="00A9375C">
        <w:rPr>
          <w:rFonts w:ascii="Arial" w:hAnsi="Arial" w:cs="Arial"/>
          <w:sz w:val="20"/>
          <w:szCs w:val="20"/>
        </w:rPr>
        <w:t>.</w:t>
      </w:r>
    </w:p>
    <w:p w:rsidR="007235EE" w:rsidRPr="00D867E3" w:rsidRDefault="00B8465A" w:rsidP="007235EE">
      <w:pPr>
        <w:spacing w:line="360" w:lineRule="auto"/>
        <w:jc w:val="both"/>
        <w:rPr>
          <w:rFonts w:ascii="Arial" w:hAnsi="Arial" w:cs="Arial"/>
          <w:sz w:val="20"/>
          <w:szCs w:val="20"/>
        </w:rPr>
      </w:pPr>
      <w:r>
        <w:rPr>
          <w:rFonts w:ascii="Arial" w:hAnsi="Arial" w:cs="Arial"/>
          <w:sz w:val="20"/>
          <w:szCs w:val="20"/>
        </w:rPr>
        <w:t>T</w:t>
      </w:r>
      <w:r w:rsidR="007235EE">
        <w:rPr>
          <w:rFonts w:ascii="Arial" w:hAnsi="Arial" w:cs="Arial"/>
          <w:sz w:val="20"/>
          <w:szCs w:val="20"/>
        </w:rPr>
        <w:t>ab. č</w:t>
      </w:r>
      <w:r>
        <w:rPr>
          <w:rFonts w:ascii="Arial" w:hAnsi="Arial" w:cs="Arial"/>
          <w:sz w:val="20"/>
          <w:szCs w:val="20"/>
        </w:rPr>
        <w:t xml:space="preserve">. </w:t>
      </w:r>
      <w:r w:rsidR="007B7519">
        <w:rPr>
          <w:rFonts w:ascii="Arial" w:hAnsi="Arial" w:cs="Arial"/>
          <w:sz w:val="20"/>
          <w:szCs w:val="20"/>
        </w:rPr>
        <w:t>22</w:t>
      </w:r>
      <w:r>
        <w:rPr>
          <w:rFonts w:ascii="Arial" w:hAnsi="Arial" w:cs="Arial"/>
          <w:sz w:val="20"/>
          <w:szCs w:val="20"/>
        </w:rPr>
        <w:t>:</w:t>
      </w:r>
      <w:r w:rsidR="007235EE">
        <w:rPr>
          <w:rFonts w:ascii="Arial" w:hAnsi="Arial" w:cs="Arial"/>
          <w:sz w:val="20"/>
          <w:szCs w:val="20"/>
        </w:rPr>
        <w:t xml:space="preserve"> Nedostatky a prijaté opatrenia zo strany RO v oblasti ITMS</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12"/>
        <w:gridCol w:w="3151"/>
        <w:gridCol w:w="3115"/>
      </w:tblGrid>
      <w:tr w:rsidR="00081B9F" w:rsidRPr="00081B9F" w:rsidTr="00D867E3">
        <w:trPr>
          <w:trHeight w:val="380"/>
        </w:trPr>
        <w:tc>
          <w:tcPr>
            <w:tcW w:w="0" w:type="auto"/>
            <w:tcBorders>
              <w:top w:val="single" w:sz="4" w:space="0" w:color="auto"/>
              <w:left w:val="single" w:sz="4" w:space="0" w:color="auto"/>
              <w:bottom w:val="single" w:sz="4" w:space="0" w:color="auto"/>
              <w:right w:val="single" w:sz="4" w:space="0" w:color="auto"/>
            </w:tcBorders>
            <w:shd w:val="clear" w:color="auto" w:fill="D6E3BC"/>
            <w:vAlign w:val="center"/>
            <w:hideMark/>
          </w:tcPr>
          <w:p w:rsidR="00081B9F" w:rsidRPr="00D867E3" w:rsidRDefault="00081B9F" w:rsidP="00454DC9">
            <w:pPr>
              <w:spacing w:line="360" w:lineRule="auto"/>
              <w:jc w:val="both"/>
              <w:rPr>
                <w:rFonts w:ascii="Arial" w:hAnsi="Arial" w:cs="Arial"/>
                <w:b/>
                <w:sz w:val="18"/>
                <w:szCs w:val="18"/>
              </w:rPr>
            </w:pPr>
            <w:r w:rsidRPr="00D867E3">
              <w:rPr>
                <w:rFonts w:ascii="Arial" w:hAnsi="Arial" w:cs="Arial"/>
                <w:b/>
                <w:sz w:val="18"/>
                <w:szCs w:val="18"/>
              </w:rPr>
              <w:t>Identifikované problémy</w:t>
            </w:r>
          </w:p>
        </w:tc>
        <w:tc>
          <w:tcPr>
            <w:tcW w:w="0" w:type="auto"/>
            <w:tcBorders>
              <w:top w:val="single" w:sz="4" w:space="0" w:color="auto"/>
              <w:left w:val="single" w:sz="4" w:space="0" w:color="auto"/>
              <w:bottom w:val="single" w:sz="4" w:space="0" w:color="auto"/>
              <w:right w:val="single" w:sz="4" w:space="0" w:color="auto"/>
            </w:tcBorders>
            <w:shd w:val="clear" w:color="auto" w:fill="D6E3BC"/>
            <w:vAlign w:val="center"/>
            <w:hideMark/>
          </w:tcPr>
          <w:p w:rsidR="00081B9F" w:rsidRPr="00D867E3" w:rsidRDefault="00081B9F" w:rsidP="00454DC9">
            <w:pPr>
              <w:spacing w:line="360" w:lineRule="auto"/>
              <w:jc w:val="both"/>
              <w:rPr>
                <w:rFonts w:ascii="Arial" w:hAnsi="Arial" w:cs="Arial"/>
                <w:b/>
                <w:sz w:val="18"/>
                <w:szCs w:val="18"/>
              </w:rPr>
            </w:pPr>
            <w:r w:rsidRPr="00D867E3">
              <w:rPr>
                <w:rFonts w:ascii="Arial" w:hAnsi="Arial" w:cs="Arial"/>
                <w:b/>
                <w:sz w:val="18"/>
                <w:szCs w:val="18"/>
              </w:rPr>
              <w:t>Prijaté opatrenia</w:t>
            </w:r>
          </w:p>
        </w:tc>
        <w:tc>
          <w:tcPr>
            <w:tcW w:w="0" w:type="auto"/>
            <w:tcBorders>
              <w:top w:val="single" w:sz="4" w:space="0" w:color="auto"/>
              <w:left w:val="single" w:sz="4" w:space="0" w:color="auto"/>
              <w:bottom w:val="single" w:sz="4" w:space="0" w:color="auto"/>
              <w:right w:val="single" w:sz="4" w:space="0" w:color="auto"/>
            </w:tcBorders>
            <w:shd w:val="clear" w:color="auto" w:fill="D6E3BC"/>
            <w:vAlign w:val="center"/>
            <w:hideMark/>
          </w:tcPr>
          <w:p w:rsidR="00081B9F" w:rsidRPr="00D867E3" w:rsidRDefault="00081B9F" w:rsidP="00454DC9">
            <w:pPr>
              <w:spacing w:line="360" w:lineRule="auto"/>
              <w:jc w:val="both"/>
              <w:rPr>
                <w:rFonts w:ascii="Arial" w:hAnsi="Arial" w:cs="Arial"/>
                <w:b/>
                <w:sz w:val="18"/>
                <w:szCs w:val="18"/>
              </w:rPr>
            </w:pPr>
            <w:r w:rsidRPr="00D867E3">
              <w:rPr>
                <w:rFonts w:ascii="Arial" w:hAnsi="Arial" w:cs="Arial"/>
                <w:b/>
                <w:sz w:val="18"/>
                <w:szCs w:val="18"/>
              </w:rPr>
              <w:t>Odpočet prijatých opatrení</w:t>
            </w:r>
          </w:p>
        </w:tc>
      </w:tr>
      <w:tr w:rsidR="00081B9F" w:rsidRPr="00081B9F" w:rsidTr="00D867E3">
        <w:tc>
          <w:tcPr>
            <w:tcW w:w="0" w:type="auto"/>
            <w:tcBorders>
              <w:top w:val="single" w:sz="4" w:space="0" w:color="auto"/>
              <w:left w:val="single" w:sz="4" w:space="0" w:color="auto"/>
              <w:bottom w:val="single" w:sz="4" w:space="0" w:color="auto"/>
              <w:right w:val="single" w:sz="4" w:space="0" w:color="auto"/>
            </w:tcBorders>
            <w:vAlign w:val="center"/>
          </w:tcPr>
          <w:p w:rsidR="00081B9F" w:rsidRDefault="00081B9F" w:rsidP="00454DC9">
            <w:pPr>
              <w:spacing w:line="360" w:lineRule="auto"/>
              <w:jc w:val="both"/>
              <w:rPr>
                <w:rFonts w:ascii="Arial" w:hAnsi="Arial" w:cs="Arial"/>
                <w:sz w:val="18"/>
                <w:szCs w:val="18"/>
              </w:rPr>
            </w:pPr>
            <w:r w:rsidRPr="00D867E3">
              <w:rPr>
                <w:rFonts w:ascii="Arial" w:hAnsi="Arial" w:cs="Arial"/>
                <w:sz w:val="18"/>
                <w:szCs w:val="18"/>
              </w:rPr>
              <w:t xml:space="preserve">Dňa 23.04.2012 nebol systém ITMS plne funkčný – nebolo možné predložiť žiadosti o NFP  prostredníctvom ITMS Portálu zo strany žiadateľov, boli zaznamenané pomalé odozvy systému ITMS na požiadavky užívateľov, ako aj samovoľné odhlasovanie užívateľov systému ITMS. Uvedené problémy sa týkali </w:t>
            </w:r>
            <w:r w:rsidR="008F2A89">
              <w:rPr>
                <w:rFonts w:ascii="Arial" w:hAnsi="Arial" w:cs="Arial"/>
                <w:sz w:val="18"/>
                <w:szCs w:val="18"/>
              </w:rPr>
              <w:t>CORE</w:t>
            </w:r>
            <w:r w:rsidRPr="00D867E3">
              <w:rPr>
                <w:rFonts w:ascii="Arial" w:hAnsi="Arial" w:cs="Arial"/>
                <w:sz w:val="18"/>
                <w:szCs w:val="18"/>
              </w:rPr>
              <w:t xml:space="preserve"> časti ITMS, ako aj portálu ITMS.</w:t>
            </w:r>
          </w:p>
          <w:p w:rsidR="007235EE" w:rsidRDefault="007235EE" w:rsidP="00454DC9">
            <w:pPr>
              <w:spacing w:line="360" w:lineRule="auto"/>
              <w:jc w:val="both"/>
              <w:rPr>
                <w:rFonts w:ascii="Arial" w:hAnsi="Arial" w:cs="Arial"/>
                <w:sz w:val="18"/>
                <w:szCs w:val="18"/>
              </w:rPr>
            </w:pPr>
          </w:p>
          <w:p w:rsidR="007235EE" w:rsidRDefault="007235EE" w:rsidP="00454DC9">
            <w:pPr>
              <w:spacing w:line="360" w:lineRule="auto"/>
              <w:jc w:val="both"/>
              <w:rPr>
                <w:rFonts w:ascii="Arial" w:hAnsi="Arial" w:cs="Arial"/>
                <w:sz w:val="18"/>
                <w:szCs w:val="18"/>
              </w:rPr>
            </w:pPr>
          </w:p>
          <w:p w:rsidR="007235EE" w:rsidRDefault="007235EE" w:rsidP="00454DC9">
            <w:pPr>
              <w:spacing w:line="360" w:lineRule="auto"/>
              <w:jc w:val="both"/>
              <w:rPr>
                <w:rFonts w:ascii="Arial" w:hAnsi="Arial" w:cs="Arial"/>
                <w:sz w:val="18"/>
                <w:szCs w:val="18"/>
              </w:rPr>
            </w:pPr>
          </w:p>
          <w:p w:rsidR="007235EE" w:rsidRDefault="007235EE" w:rsidP="00454DC9">
            <w:pPr>
              <w:spacing w:line="360" w:lineRule="auto"/>
              <w:jc w:val="both"/>
              <w:rPr>
                <w:rFonts w:ascii="Arial" w:hAnsi="Arial" w:cs="Arial"/>
                <w:sz w:val="18"/>
                <w:szCs w:val="18"/>
              </w:rPr>
            </w:pPr>
          </w:p>
          <w:p w:rsidR="007235EE" w:rsidRDefault="007235EE" w:rsidP="00454DC9">
            <w:pPr>
              <w:spacing w:line="360" w:lineRule="auto"/>
              <w:jc w:val="both"/>
              <w:rPr>
                <w:rFonts w:ascii="Arial" w:hAnsi="Arial" w:cs="Arial"/>
                <w:sz w:val="18"/>
                <w:szCs w:val="18"/>
              </w:rPr>
            </w:pPr>
          </w:p>
          <w:p w:rsidR="007235EE" w:rsidRDefault="007235EE" w:rsidP="00454DC9">
            <w:pPr>
              <w:spacing w:line="360" w:lineRule="auto"/>
              <w:jc w:val="both"/>
              <w:rPr>
                <w:rFonts w:ascii="Arial" w:hAnsi="Arial" w:cs="Arial"/>
                <w:sz w:val="18"/>
                <w:szCs w:val="18"/>
              </w:rPr>
            </w:pPr>
          </w:p>
          <w:p w:rsidR="007235EE" w:rsidRDefault="007235EE" w:rsidP="00454DC9">
            <w:pPr>
              <w:spacing w:line="360" w:lineRule="auto"/>
              <w:jc w:val="both"/>
              <w:rPr>
                <w:rFonts w:ascii="Arial" w:hAnsi="Arial" w:cs="Arial"/>
                <w:sz w:val="18"/>
                <w:szCs w:val="18"/>
              </w:rPr>
            </w:pPr>
          </w:p>
          <w:p w:rsidR="007235EE" w:rsidRDefault="007235EE" w:rsidP="00454DC9">
            <w:pPr>
              <w:spacing w:line="360" w:lineRule="auto"/>
              <w:jc w:val="both"/>
              <w:rPr>
                <w:rFonts w:ascii="Arial" w:hAnsi="Arial" w:cs="Arial"/>
                <w:sz w:val="18"/>
                <w:szCs w:val="18"/>
              </w:rPr>
            </w:pPr>
          </w:p>
          <w:p w:rsidR="007235EE" w:rsidRDefault="007235EE" w:rsidP="00454DC9">
            <w:pPr>
              <w:spacing w:line="360" w:lineRule="auto"/>
              <w:jc w:val="both"/>
              <w:rPr>
                <w:rFonts w:ascii="Arial" w:hAnsi="Arial" w:cs="Arial"/>
                <w:sz w:val="18"/>
                <w:szCs w:val="18"/>
              </w:rPr>
            </w:pPr>
          </w:p>
          <w:p w:rsidR="007235EE" w:rsidRDefault="007235EE" w:rsidP="00454DC9">
            <w:pPr>
              <w:spacing w:line="360" w:lineRule="auto"/>
              <w:jc w:val="both"/>
              <w:rPr>
                <w:rFonts w:ascii="Arial" w:hAnsi="Arial" w:cs="Arial"/>
                <w:sz w:val="18"/>
                <w:szCs w:val="18"/>
              </w:rPr>
            </w:pPr>
          </w:p>
          <w:p w:rsidR="007235EE" w:rsidRDefault="007235EE" w:rsidP="00454DC9">
            <w:pPr>
              <w:spacing w:line="360" w:lineRule="auto"/>
              <w:jc w:val="both"/>
              <w:rPr>
                <w:rFonts w:ascii="Arial" w:hAnsi="Arial" w:cs="Arial"/>
                <w:sz w:val="18"/>
                <w:szCs w:val="18"/>
              </w:rPr>
            </w:pPr>
          </w:p>
          <w:p w:rsidR="007235EE" w:rsidRPr="00D867E3" w:rsidRDefault="007235EE" w:rsidP="00454DC9">
            <w:pPr>
              <w:spacing w:line="360" w:lineRule="auto"/>
              <w:jc w:val="both"/>
              <w:rPr>
                <w:rFonts w:ascii="Arial" w:hAnsi="Arial" w:cs="Arial"/>
                <w:sz w:val="18"/>
                <w:szCs w:val="18"/>
              </w:rPr>
            </w:pPr>
          </w:p>
        </w:tc>
        <w:tc>
          <w:tcPr>
            <w:tcW w:w="0" w:type="auto"/>
            <w:tcBorders>
              <w:top w:val="single" w:sz="4" w:space="0" w:color="auto"/>
              <w:left w:val="single" w:sz="4" w:space="0" w:color="auto"/>
              <w:bottom w:val="single" w:sz="4" w:space="0" w:color="auto"/>
              <w:right w:val="single" w:sz="4" w:space="0" w:color="auto"/>
            </w:tcBorders>
            <w:vAlign w:val="center"/>
          </w:tcPr>
          <w:p w:rsidR="00081B9F" w:rsidRDefault="00081B9F" w:rsidP="00454DC9">
            <w:pPr>
              <w:spacing w:line="360" w:lineRule="auto"/>
              <w:jc w:val="both"/>
              <w:rPr>
                <w:rFonts w:ascii="Arial" w:hAnsi="Arial" w:cs="Arial"/>
                <w:sz w:val="18"/>
                <w:szCs w:val="18"/>
              </w:rPr>
            </w:pPr>
            <w:r w:rsidRPr="00D867E3">
              <w:rPr>
                <w:rFonts w:ascii="Arial" w:hAnsi="Arial" w:cs="Arial"/>
                <w:sz w:val="18"/>
                <w:szCs w:val="18"/>
              </w:rPr>
              <w:t xml:space="preserve">Rezortný administrátor ITMS na MŽP SR dňa 23.04.2012 napísal 2 hlásenia, v ktorých informoval DataCentrum o problémoch s funkčnosťou ITMS a požiadal DataCentrum o pomoc. Systém ITMS bol reštartovaný, no problémy s funkčnosťou ITMS pretrvávali aj naďalej. Dňa 24.04.2012 bol už ITMS plne funkčný. CKO dňa 24.04.2012 informoval jednotlivé riadiace orgány o príčinách nefunkčnosti ITMS a o krokoch, ktoré boli podniknuté na odstránenie problémov súvisiacich s nefunkčnosťou ITMS. CKO tiež odporučilo jednotlivým RO predĺžiť termín uzávierky výzvy na predkladanie žiadostí o NFP  v dĺžke minimálne o 3 dni. </w:t>
            </w:r>
          </w:p>
          <w:p w:rsidR="007235EE" w:rsidRDefault="007235EE" w:rsidP="00454DC9">
            <w:pPr>
              <w:spacing w:line="360" w:lineRule="auto"/>
              <w:jc w:val="both"/>
              <w:rPr>
                <w:rFonts w:ascii="Arial" w:hAnsi="Arial" w:cs="Arial"/>
                <w:sz w:val="18"/>
                <w:szCs w:val="18"/>
              </w:rPr>
            </w:pPr>
          </w:p>
          <w:p w:rsidR="007235EE" w:rsidRDefault="007235EE" w:rsidP="00454DC9">
            <w:pPr>
              <w:spacing w:line="360" w:lineRule="auto"/>
              <w:jc w:val="both"/>
              <w:rPr>
                <w:rFonts w:ascii="Arial" w:hAnsi="Arial" w:cs="Arial"/>
                <w:sz w:val="18"/>
                <w:szCs w:val="18"/>
              </w:rPr>
            </w:pPr>
          </w:p>
          <w:p w:rsidR="007235EE" w:rsidRDefault="007235EE" w:rsidP="00454DC9">
            <w:pPr>
              <w:spacing w:line="360" w:lineRule="auto"/>
              <w:jc w:val="both"/>
              <w:rPr>
                <w:rFonts w:ascii="Arial" w:hAnsi="Arial" w:cs="Arial"/>
                <w:sz w:val="18"/>
                <w:szCs w:val="18"/>
              </w:rPr>
            </w:pPr>
          </w:p>
          <w:p w:rsidR="007235EE" w:rsidRPr="00D867E3" w:rsidRDefault="007235EE" w:rsidP="00454DC9">
            <w:pPr>
              <w:spacing w:line="360" w:lineRule="auto"/>
              <w:jc w:val="both"/>
              <w:rPr>
                <w:rFonts w:ascii="Arial" w:hAnsi="Arial" w:cs="Arial"/>
                <w:sz w:val="18"/>
                <w:szCs w:val="18"/>
              </w:rPr>
            </w:pPr>
          </w:p>
        </w:tc>
        <w:tc>
          <w:tcPr>
            <w:tcW w:w="0" w:type="auto"/>
            <w:tcBorders>
              <w:top w:val="single" w:sz="4" w:space="0" w:color="auto"/>
              <w:left w:val="single" w:sz="4" w:space="0" w:color="auto"/>
              <w:bottom w:val="single" w:sz="4" w:space="0" w:color="auto"/>
              <w:right w:val="single" w:sz="4" w:space="0" w:color="auto"/>
            </w:tcBorders>
            <w:vAlign w:val="center"/>
          </w:tcPr>
          <w:p w:rsidR="00081B9F" w:rsidRPr="00D867E3" w:rsidRDefault="00081B9F" w:rsidP="00454DC9">
            <w:pPr>
              <w:spacing w:line="360" w:lineRule="auto"/>
              <w:jc w:val="both"/>
              <w:rPr>
                <w:rFonts w:ascii="Arial" w:hAnsi="Arial" w:cs="Arial"/>
                <w:sz w:val="18"/>
                <w:szCs w:val="18"/>
              </w:rPr>
            </w:pPr>
            <w:r w:rsidRPr="00D867E3">
              <w:rPr>
                <w:rFonts w:ascii="Arial" w:hAnsi="Arial" w:cs="Arial"/>
                <w:sz w:val="18"/>
                <w:szCs w:val="18"/>
              </w:rPr>
              <w:t>Vzhľadom k tomu, že v tom čase bola vyhlásená len 1 výzva na predkladanie žiadostí o NFP , ktorá mala dátum uzávierky až 18.05.2012 (žiadatelia mali teda od 23.04.2012 do dátumu uzávierky výzvy na predkladanie žiadostí o NFP  k dispozícii takmer mesiac na predkladanie ŽoNFP prostredníctvom ITMS portálu), RO nepristúpil k predĺženiu výzvy na predkladanie žiadostí o NFP  a neprijal ani žiadne iné opatrenia. Tento postup sa potvrdil ako správny, nakoľko v nasledovnom období nebola zaznamenaná ani jedna sťažnosť zo strany žiadateľov o NFP, v ktorej by sa žiadatelia o NFP sťažovali na časovú tieseň v súvislosti s vypĺňaním a odosielaním žiadostí o NFP  z dôvodu nepredĺženia termínu uzávierky výzvy na predkladanie žiadostí o NFP.</w:t>
            </w:r>
          </w:p>
        </w:tc>
      </w:tr>
    </w:tbl>
    <w:p w:rsidR="00454DC9" w:rsidRDefault="00454DC9">
      <w:pPr>
        <w:rPr>
          <w:rFonts w:ascii="Arial" w:hAnsi="Arial" w:cs="Arial"/>
          <w:sz w:val="20"/>
          <w:szCs w:val="20"/>
        </w:rPr>
      </w:pPr>
    </w:p>
    <w:p w:rsidR="002416B1" w:rsidRPr="00802C11" w:rsidRDefault="002416B1" w:rsidP="00507035">
      <w:pPr>
        <w:spacing w:before="120" w:after="120" w:line="360" w:lineRule="auto"/>
        <w:jc w:val="both"/>
        <w:rPr>
          <w:rFonts w:ascii="Arial" w:hAnsi="Arial" w:cs="Arial"/>
          <w:sz w:val="20"/>
          <w:szCs w:val="20"/>
        </w:rPr>
      </w:pPr>
      <w:r w:rsidRPr="00802C11">
        <w:rPr>
          <w:rFonts w:ascii="Arial" w:hAnsi="Arial" w:cs="Arial"/>
          <w:sz w:val="20"/>
          <w:szCs w:val="20"/>
        </w:rPr>
        <w:t xml:space="preserve">Finančnú udržateľnosť projektov OP ŽP v oblasti vodného hospodárstva ovplyvnila </w:t>
      </w:r>
      <w:r w:rsidRPr="00802C11">
        <w:rPr>
          <w:rFonts w:ascii="Arial" w:hAnsi="Arial" w:cs="Arial"/>
          <w:i/>
          <w:sz w:val="20"/>
          <w:szCs w:val="20"/>
        </w:rPr>
        <w:t xml:space="preserve">implementácia článku 9 Rámcovej smernice o vode 2000/60/ES, </w:t>
      </w:r>
      <w:r w:rsidRPr="00802C11">
        <w:rPr>
          <w:rFonts w:ascii="Arial" w:hAnsi="Arial" w:cs="Arial"/>
          <w:sz w:val="20"/>
          <w:szCs w:val="20"/>
        </w:rPr>
        <w:t>ktorá je podrobne popísaná v kapitole 3.1.2 Závažné problémy, ktoré sa vyskytli a opatrenia prijaté na ich prekonanie v rámci prioritnej osi 1, ktorej sa uvedená problematika bezprostredne dotýka.</w:t>
      </w:r>
    </w:p>
    <w:p w:rsidR="002416B1" w:rsidRDefault="002416B1" w:rsidP="00507035">
      <w:pPr>
        <w:spacing w:before="120" w:after="120" w:line="360" w:lineRule="auto"/>
        <w:jc w:val="both"/>
        <w:rPr>
          <w:rFonts w:ascii="Arial" w:hAnsi="Arial" w:cs="Arial"/>
          <w:sz w:val="20"/>
          <w:szCs w:val="20"/>
        </w:rPr>
      </w:pPr>
      <w:r w:rsidRPr="00802C11">
        <w:rPr>
          <w:rFonts w:ascii="Arial" w:hAnsi="Arial" w:cs="Arial"/>
          <w:sz w:val="20"/>
          <w:szCs w:val="20"/>
        </w:rPr>
        <w:t>Ďalšie problémy ovplyvňujúce implementáciu jednotlivých prioritných osí sú uvedené v častiach správy v rámci realizácie podľa prioritných osí.</w:t>
      </w:r>
    </w:p>
    <w:p w:rsidR="002416B1" w:rsidRPr="004B33AE" w:rsidRDefault="002416B1" w:rsidP="00507035">
      <w:pPr>
        <w:pStyle w:val="Nadpis2"/>
        <w:spacing w:before="120" w:after="120" w:line="360" w:lineRule="auto"/>
      </w:pPr>
      <w:bookmarkStart w:id="42" w:name="_Toc319573311"/>
      <w:r w:rsidRPr="004B33AE">
        <w:t xml:space="preserve">2.4 </w:t>
      </w:r>
      <w:r w:rsidRPr="001151D1">
        <w:t>Zmeny v kontexte realizácie OP ŽP</w:t>
      </w:r>
      <w:bookmarkEnd w:id="42"/>
    </w:p>
    <w:p w:rsidR="002416B1" w:rsidRDefault="00A00ADC" w:rsidP="00507035">
      <w:pPr>
        <w:spacing w:before="120" w:after="120"/>
        <w:rPr>
          <w:rFonts w:ascii="Arial" w:hAnsi="Arial" w:cs="Arial"/>
          <w:bCs/>
          <w:sz w:val="20"/>
          <w:szCs w:val="20"/>
        </w:rPr>
      </w:pPr>
      <w:r w:rsidRPr="00D867E3">
        <w:rPr>
          <w:rFonts w:ascii="Arial" w:hAnsi="Arial" w:cs="Arial"/>
          <w:bCs/>
          <w:sz w:val="20"/>
          <w:szCs w:val="20"/>
        </w:rPr>
        <w:t>Koncom roka 2012</w:t>
      </w:r>
      <w:r>
        <w:rPr>
          <w:rFonts w:ascii="Arial" w:hAnsi="Arial" w:cs="Arial"/>
          <w:bCs/>
          <w:sz w:val="20"/>
          <w:szCs w:val="20"/>
        </w:rPr>
        <w:t xml:space="preserve"> prebiehala príprava revízie Operačného programu Životné prostredie z verzie 3.0 na 4.0. </w:t>
      </w:r>
    </w:p>
    <w:p w:rsidR="000D2A58" w:rsidRDefault="004930E8" w:rsidP="00507035">
      <w:pPr>
        <w:spacing w:before="120" w:after="120" w:line="360" w:lineRule="auto"/>
        <w:jc w:val="both"/>
        <w:rPr>
          <w:rFonts w:ascii="Arial" w:hAnsi="Arial" w:cs="Arial"/>
          <w:bCs/>
          <w:iCs/>
          <w:sz w:val="20"/>
          <w:szCs w:val="20"/>
        </w:rPr>
      </w:pPr>
      <w:r w:rsidRPr="004930E8">
        <w:rPr>
          <w:rFonts w:ascii="Arial" w:hAnsi="Arial" w:cs="Arial"/>
          <w:bCs/>
          <w:sz w:val="20"/>
          <w:szCs w:val="20"/>
        </w:rPr>
        <w:t xml:space="preserve">Hlavným cieľom revízie OP ŽP na verziu 4.0 bolo zohľadnenie potrieb vyplývajúcich z procesu implementácie OP ŽP, a to na základe záverov interného hodnotenia zameraného na posúdenie aktuálneho stavu implementácie OP ŽP </w:t>
      </w:r>
      <w:r w:rsidR="00893C4D">
        <w:rPr>
          <w:rFonts w:ascii="Arial" w:hAnsi="Arial" w:cs="Arial"/>
          <w:bCs/>
          <w:sz w:val="20"/>
          <w:szCs w:val="20"/>
        </w:rPr>
        <w:t>k 30.09.</w:t>
      </w:r>
      <w:r w:rsidRPr="004930E8">
        <w:rPr>
          <w:rFonts w:ascii="Arial" w:hAnsi="Arial" w:cs="Arial"/>
          <w:bCs/>
          <w:sz w:val="20"/>
          <w:szCs w:val="20"/>
        </w:rPr>
        <w:t>2012</w:t>
      </w:r>
      <w:r w:rsidR="00893C4D">
        <w:rPr>
          <w:rFonts w:ascii="Arial" w:hAnsi="Arial" w:cs="Arial"/>
          <w:bCs/>
          <w:sz w:val="20"/>
          <w:szCs w:val="20"/>
        </w:rPr>
        <w:t xml:space="preserve"> (viď kapitola 2.7.2 správy)</w:t>
      </w:r>
      <w:r w:rsidRPr="004930E8">
        <w:rPr>
          <w:rFonts w:ascii="Arial" w:hAnsi="Arial" w:cs="Arial"/>
          <w:bCs/>
          <w:sz w:val="20"/>
          <w:szCs w:val="20"/>
        </w:rPr>
        <w:t xml:space="preserve">. Predovšetkým ide o realokáciu finančných prostriedkov (KF) </w:t>
      </w:r>
      <w:r w:rsidR="000D2A58" w:rsidRPr="00D867E3">
        <w:rPr>
          <w:rFonts w:ascii="Arial" w:hAnsi="Arial" w:cs="Arial"/>
          <w:bCs/>
          <w:iCs/>
          <w:sz w:val="20"/>
          <w:szCs w:val="20"/>
        </w:rPr>
        <w:t>v sume 83 140 000 EUR</w:t>
      </w:r>
      <w:r w:rsidR="000D2A58" w:rsidRPr="000D2A58">
        <w:rPr>
          <w:rFonts w:ascii="Arial" w:hAnsi="Arial" w:cs="Arial"/>
          <w:bCs/>
          <w:iCs/>
          <w:sz w:val="20"/>
          <w:szCs w:val="20"/>
        </w:rPr>
        <w:t xml:space="preserve"> (a k tomu prislúchajúceho spolufinancovania z národných verejných zdrojov vo výške 15%, čo predstavuje sumu 14 671 764 EUR)</w:t>
      </w:r>
      <w:r w:rsidR="000D2A58">
        <w:rPr>
          <w:rFonts w:ascii="Arial" w:hAnsi="Arial" w:cs="Arial"/>
          <w:bCs/>
          <w:iCs/>
          <w:sz w:val="20"/>
          <w:szCs w:val="20"/>
        </w:rPr>
        <w:t xml:space="preserve"> </w:t>
      </w:r>
      <w:r w:rsidRPr="004930E8">
        <w:rPr>
          <w:rFonts w:ascii="Arial" w:hAnsi="Arial" w:cs="Arial"/>
          <w:bCs/>
          <w:sz w:val="20"/>
          <w:szCs w:val="20"/>
        </w:rPr>
        <w:t xml:space="preserve">z prioritnej osi 4 Odpadové hospodárstvo do prioritnej osi 1 </w:t>
      </w:r>
      <w:r w:rsidR="000D2A58" w:rsidRPr="00D867E3">
        <w:rPr>
          <w:rFonts w:ascii="Arial" w:hAnsi="Arial" w:cs="Arial"/>
          <w:bCs/>
          <w:iCs/>
          <w:sz w:val="20"/>
          <w:szCs w:val="20"/>
        </w:rPr>
        <w:t>na aktivity odvádzania a čisteni</w:t>
      </w:r>
      <w:r w:rsidR="000D2A58">
        <w:rPr>
          <w:rFonts w:ascii="Arial" w:hAnsi="Arial" w:cs="Arial"/>
          <w:bCs/>
          <w:iCs/>
          <w:sz w:val="20"/>
          <w:szCs w:val="20"/>
        </w:rPr>
        <w:t>a</w:t>
      </w:r>
      <w:r w:rsidR="000D2A58" w:rsidRPr="00D867E3">
        <w:rPr>
          <w:rFonts w:ascii="Arial" w:hAnsi="Arial" w:cs="Arial"/>
          <w:bCs/>
          <w:iCs/>
          <w:sz w:val="20"/>
          <w:szCs w:val="20"/>
        </w:rPr>
        <w:t xml:space="preserve"> komunálnych odpadových vôd v zmysle záväzkov SR voči EÚ</w:t>
      </w:r>
      <w:r w:rsidR="00853B14">
        <w:rPr>
          <w:rFonts w:ascii="Arial" w:hAnsi="Arial" w:cs="Arial"/>
          <w:bCs/>
          <w:iCs/>
          <w:sz w:val="20"/>
          <w:szCs w:val="20"/>
        </w:rPr>
        <w:t xml:space="preserve"> </w:t>
      </w:r>
      <w:r w:rsidRPr="004930E8">
        <w:rPr>
          <w:rFonts w:ascii="Arial" w:hAnsi="Arial" w:cs="Arial"/>
          <w:bCs/>
          <w:sz w:val="20"/>
          <w:szCs w:val="20"/>
        </w:rPr>
        <w:t>a zároveň presuny v rámci</w:t>
      </w:r>
      <w:r w:rsidR="00A479C2">
        <w:rPr>
          <w:rFonts w:ascii="Arial" w:hAnsi="Arial" w:cs="Arial"/>
          <w:bCs/>
          <w:sz w:val="20"/>
          <w:szCs w:val="20"/>
        </w:rPr>
        <w:t xml:space="preserve"> prioritnej osi 1,</w:t>
      </w:r>
      <w:r w:rsidRPr="004930E8">
        <w:rPr>
          <w:rFonts w:ascii="Arial" w:hAnsi="Arial" w:cs="Arial"/>
          <w:bCs/>
          <w:sz w:val="20"/>
          <w:szCs w:val="20"/>
        </w:rPr>
        <w:t xml:space="preserve"> </w:t>
      </w:r>
      <w:r w:rsidR="000F2ED2" w:rsidRPr="000F2ED2">
        <w:rPr>
          <w:rFonts w:ascii="Arial" w:hAnsi="Arial" w:cs="Arial"/>
          <w:bCs/>
          <w:sz w:val="20"/>
          <w:szCs w:val="20"/>
        </w:rPr>
        <w:t xml:space="preserve">konkrétne </w:t>
      </w:r>
      <w:r w:rsidR="000F2ED2">
        <w:rPr>
          <w:rFonts w:ascii="Arial" w:hAnsi="Arial" w:cs="Arial"/>
          <w:bCs/>
          <w:sz w:val="20"/>
          <w:szCs w:val="20"/>
        </w:rPr>
        <w:t xml:space="preserve">došlo </w:t>
      </w:r>
      <w:r w:rsidR="000F2ED2" w:rsidRPr="000F2ED2">
        <w:rPr>
          <w:rFonts w:ascii="Arial" w:hAnsi="Arial" w:cs="Arial"/>
          <w:bCs/>
          <w:sz w:val="20"/>
          <w:szCs w:val="20"/>
        </w:rPr>
        <w:t xml:space="preserve">k presunu </w:t>
      </w:r>
      <w:r w:rsidR="000F2ED2">
        <w:rPr>
          <w:rFonts w:ascii="Arial" w:hAnsi="Arial" w:cs="Arial"/>
          <w:bCs/>
          <w:sz w:val="20"/>
          <w:szCs w:val="20"/>
        </w:rPr>
        <w:t xml:space="preserve">zdrojov z fondov </w:t>
      </w:r>
      <w:r w:rsidR="000F2ED2" w:rsidRPr="000F2ED2">
        <w:rPr>
          <w:rFonts w:ascii="Arial" w:hAnsi="Arial" w:cs="Arial"/>
          <w:bCs/>
          <w:sz w:val="20"/>
          <w:szCs w:val="20"/>
        </w:rPr>
        <w:t xml:space="preserve">EÚ (KF) v sume 26 789 901 EUR z prioritnej témy 45 Hospodárenie s vodou a jej distribúcia </w:t>
      </w:r>
      <w:r w:rsidR="000F2ED2" w:rsidRPr="000F2ED2">
        <w:rPr>
          <w:rFonts w:ascii="Arial" w:hAnsi="Arial" w:cs="Arial"/>
          <w:bCs/>
          <w:iCs/>
          <w:sz w:val="20"/>
          <w:szCs w:val="20"/>
        </w:rPr>
        <w:t>(pitná voda), ako aj</w:t>
      </w:r>
      <w:r w:rsidR="000F2ED2">
        <w:rPr>
          <w:rFonts w:ascii="Arial" w:hAnsi="Arial" w:cs="Arial"/>
          <w:bCs/>
          <w:sz w:val="20"/>
          <w:szCs w:val="20"/>
        </w:rPr>
        <w:t xml:space="preserve"> k  presunu zdrojov z fondov </w:t>
      </w:r>
      <w:r w:rsidR="000F2ED2" w:rsidRPr="000F2ED2">
        <w:rPr>
          <w:rFonts w:ascii="Arial" w:hAnsi="Arial" w:cs="Arial"/>
          <w:bCs/>
          <w:sz w:val="20"/>
          <w:szCs w:val="20"/>
        </w:rPr>
        <w:t xml:space="preserve">EÚ (KF) v sume 3 347 598 EUR z prioritnej témy 54 Iné opatrenia na zachovanie životného prostredia a predchádzanie rizikám </w:t>
      </w:r>
      <w:r w:rsidR="000F2ED2" w:rsidRPr="000F2ED2">
        <w:rPr>
          <w:rFonts w:ascii="Arial" w:hAnsi="Arial" w:cs="Arial"/>
          <w:bCs/>
          <w:iCs/>
          <w:sz w:val="20"/>
          <w:szCs w:val="20"/>
        </w:rPr>
        <w:t xml:space="preserve">do prioritnej témy 46 </w:t>
      </w:r>
      <w:r w:rsidR="000F2ED2" w:rsidRPr="000F2ED2">
        <w:rPr>
          <w:rFonts w:ascii="Arial" w:hAnsi="Arial" w:cs="Arial"/>
          <w:bCs/>
          <w:sz w:val="20"/>
          <w:szCs w:val="20"/>
        </w:rPr>
        <w:t xml:space="preserve">Spracovanie vody </w:t>
      </w:r>
      <w:r w:rsidR="000F2ED2" w:rsidRPr="000F2ED2">
        <w:rPr>
          <w:rFonts w:ascii="Arial" w:hAnsi="Arial" w:cs="Arial"/>
          <w:bCs/>
          <w:iCs/>
          <w:sz w:val="20"/>
          <w:szCs w:val="20"/>
        </w:rPr>
        <w:t>(odpadová voda).</w:t>
      </w:r>
    </w:p>
    <w:p w:rsidR="0068264B" w:rsidRDefault="0068264B">
      <w:pPr>
        <w:rPr>
          <w:rFonts w:ascii="Arial" w:hAnsi="Arial" w:cs="Arial"/>
          <w:bCs/>
          <w:i/>
          <w:sz w:val="20"/>
          <w:szCs w:val="20"/>
        </w:rPr>
      </w:pPr>
      <w:r>
        <w:rPr>
          <w:rFonts w:ascii="Arial" w:hAnsi="Arial" w:cs="Arial"/>
          <w:bCs/>
          <w:i/>
          <w:sz w:val="20"/>
          <w:szCs w:val="20"/>
        </w:rPr>
        <w:br w:type="page"/>
      </w:r>
    </w:p>
    <w:p w:rsidR="004930E8" w:rsidRPr="00D867E3" w:rsidRDefault="004930E8" w:rsidP="00507035">
      <w:pPr>
        <w:spacing w:before="120" w:after="120" w:line="360" w:lineRule="auto"/>
        <w:jc w:val="both"/>
        <w:rPr>
          <w:rFonts w:ascii="Arial" w:hAnsi="Arial" w:cs="Arial"/>
          <w:bCs/>
          <w:i/>
          <w:sz w:val="20"/>
          <w:szCs w:val="20"/>
        </w:rPr>
      </w:pPr>
      <w:r w:rsidRPr="00D867E3">
        <w:rPr>
          <w:rFonts w:ascii="Arial" w:hAnsi="Arial" w:cs="Arial"/>
          <w:bCs/>
          <w:i/>
          <w:sz w:val="20"/>
          <w:szCs w:val="20"/>
        </w:rPr>
        <w:t>Konkrétnymi cieľmi tejto realokácie sú:</w:t>
      </w:r>
    </w:p>
    <w:p w:rsidR="004930E8" w:rsidRPr="004930E8" w:rsidRDefault="00A479C2" w:rsidP="001540E7">
      <w:pPr>
        <w:numPr>
          <w:ilvl w:val="0"/>
          <w:numId w:val="40"/>
        </w:numPr>
        <w:spacing w:before="120" w:after="120" w:line="360" w:lineRule="auto"/>
        <w:ind w:left="74" w:firstLine="493"/>
        <w:jc w:val="both"/>
        <w:rPr>
          <w:rFonts w:ascii="Arial" w:hAnsi="Arial" w:cs="Arial"/>
          <w:bCs/>
          <w:sz w:val="20"/>
          <w:szCs w:val="20"/>
        </w:rPr>
      </w:pPr>
      <w:r>
        <w:rPr>
          <w:rFonts w:ascii="Arial" w:hAnsi="Arial" w:cs="Arial"/>
          <w:bCs/>
          <w:sz w:val="20"/>
          <w:szCs w:val="20"/>
        </w:rPr>
        <w:tab/>
      </w:r>
      <w:r>
        <w:rPr>
          <w:rFonts w:ascii="Arial" w:hAnsi="Arial" w:cs="Arial"/>
          <w:bCs/>
          <w:sz w:val="20"/>
          <w:szCs w:val="20"/>
        </w:rPr>
        <w:tab/>
        <w:t xml:space="preserve"> </w:t>
      </w:r>
      <w:r w:rsidR="004930E8" w:rsidRPr="004930E8">
        <w:rPr>
          <w:rFonts w:ascii="Arial" w:hAnsi="Arial" w:cs="Arial"/>
          <w:bCs/>
          <w:sz w:val="20"/>
          <w:szCs w:val="20"/>
        </w:rPr>
        <w:t xml:space="preserve">zmierniť deficit disponibilných verejných zdrojov na plnenie záväzkov SR v oblasti odvádzania a čistenia komunálnych odpadových vôd vyplývajúcich zo Zmluvy o pristúpení k EÚ; </w:t>
      </w:r>
    </w:p>
    <w:p w:rsidR="004930E8" w:rsidRPr="004930E8" w:rsidRDefault="00A479C2" w:rsidP="001540E7">
      <w:pPr>
        <w:numPr>
          <w:ilvl w:val="0"/>
          <w:numId w:val="40"/>
        </w:numPr>
        <w:spacing w:before="120" w:after="120" w:line="360" w:lineRule="auto"/>
        <w:ind w:left="74" w:firstLine="493"/>
        <w:jc w:val="both"/>
        <w:rPr>
          <w:rFonts w:ascii="Arial" w:hAnsi="Arial" w:cs="Arial"/>
          <w:bCs/>
          <w:sz w:val="20"/>
          <w:szCs w:val="20"/>
        </w:rPr>
      </w:pPr>
      <w:r>
        <w:rPr>
          <w:rFonts w:ascii="Arial" w:hAnsi="Arial" w:cs="Arial"/>
          <w:bCs/>
          <w:sz w:val="20"/>
          <w:szCs w:val="20"/>
        </w:rPr>
        <w:t xml:space="preserve"> </w:t>
      </w:r>
      <w:r w:rsidR="004930E8" w:rsidRPr="004930E8">
        <w:rPr>
          <w:rFonts w:ascii="Arial" w:hAnsi="Arial" w:cs="Arial"/>
          <w:bCs/>
          <w:sz w:val="20"/>
          <w:szCs w:val="20"/>
        </w:rPr>
        <w:t>zmierniť možné negatívne dopady finančných sankcií zo strany EÚ voči SR za prípadné nesplnenie uvedených záväzkov;</w:t>
      </w:r>
    </w:p>
    <w:p w:rsidR="004930E8" w:rsidRPr="004930E8" w:rsidRDefault="00A479C2" w:rsidP="001540E7">
      <w:pPr>
        <w:numPr>
          <w:ilvl w:val="0"/>
          <w:numId w:val="40"/>
        </w:numPr>
        <w:spacing w:before="120" w:after="120" w:line="360" w:lineRule="auto"/>
        <w:ind w:left="73" w:firstLine="494"/>
        <w:jc w:val="both"/>
        <w:rPr>
          <w:rFonts w:ascii="Arial" w:hAnsi="Arial" w:cs="Arial"/>
          <w:bCs/>
          <w:sz w:val="20"/>
          <w:szCs w:val="20"/>
        </w:rPr>
      </w:pPr>
      <w:r>
        <w:rPr>
          <w:rFonts w:ascii="Arial" w:hAnsi="Arial" w:cs="Arial"/>
          <w:bCs/>
          <w:sz w:val="20"/>
          <w:szCs w:val="20"/>
        </w:rPr>
        <w:t xml:space="preserve"> </w:t>
      </w:r>
      <w:r w:rsidR="004930E8" w:rsidRPr="004930E8">
        <w:rPr>
          <w:rFonts w:ascii="Arial" w:hAnsi="Arial" w:cs="Arial"/>
          <w:bCs/>
          <w:sz w:val="20"/>
          <w:szCs w:val="20"/>
        </w:rPr>
        <w:t>predísť možnému nedočerpaniu zdrojov v rámci operačného cieľa 4.4 Riešenie problematiky environmentálnych záťaží vrátane jej odstraňovania v rámci prioritnej osi 4 Odpadové hospodárstvo.</w:t>
      </w:r>
    </w:p>
    <w:p w:rsidR="008A004A" w:rsidRDefault="008A004A" w:rsidP="00507035">
      <w:pPr>
        <w:spacing w:before="120" w:after="120" w:line="360" w:lineRule="auto"/>
        <w:jc w:val="both"/>
        <w:rPr>
          <w:rFonts w:ascii="Arial" w:hAnsi="Arial" w:cs="Arial"/>
          <w:bCs/>
          <w:sz w:val="20"/>
          <w:szCs w:val="20"/>
        </w:rPr>
      </w:pPr>
      <w:r w:rsidRPr="008A004A">
        <w:rPr>
          <w:rFonts w:ascii="Arial" w:hAnsi="Arial" w:cs="Arial"/>
          <w:bCs/>
          <w:sz w:val="20"/>
          <w:szCs w:val="20"/>
        </w:rPr>
        <w:t>V rámci revízie OP ŽP na verziu 4.0 boli zároveň do znenia OP ŽP zapracované zmeny neurgentného charakteru, ktoré už boli predtým schválené Monitorovacím výborom pre OP ŽP.</w:t>
      </w:r>
    </w:p>
    <w:p w:rsidR="004930E8" w:rsidRPr="00D867E3" w:rsidRDefault="004930E8" w:rsidP="00507035">
      <w:pPr>
        <w:spacing w:before="120" w:after="120" w:line="360" w:lineRule="auto"/>
        <w:jc w:val="both"/>
        <w:rPr>
          <w:rFonts w:ascii="Arial" w:hAnsi="Arial" w:cs="Arial"/>
          <w:bCs/>
          <w:i/>
          <w:sz w:val="20"/>
          <w:szCs w:val="20"/>
        </w:rPr>
      </w:pPr>
      <w:r w:rsidRPr="00D867E3">
        <w:rPr>
          <w:rFonts w:ascii="Arial" w:hAnsi="Arial" w:cs="Arial"/>
          <w:bCs/>
          <w:i/>
          <w:sz w:val="20"/>
          <w:szCs w:val="20"/>
        </w:rPr>
        <w:t xml:space="preserve">Čiastkové ciele revízie OP ŽP, súvisiace s jednotlivými zmenami, ktoré sú </w:t>
      </w:r>
      <w:r w:rsidR="008A004A" w:rsidRPr="00D867E3">
        <w:rPr>
          <w:rFonts w:ascii="Arial" w:hAnsi="Arial" w:cs="Arial"/>
          <w:bCs/>
          <w:i/>
          <w:sz w:val="20"/>
          <w:szCs w:val="20"/>
        </w:rPr>
        <w:t>predmetom revízie</w:t>
      </w:r>
      <w:r w:rsidRPr="00D867E3">
        <w:rPr>
          <w:rFonts w:ascii="Arial" w:hAnsi="Arial" w:cs="Arial"/>
          <w:bCs/>
          <w:i/>
          <w:sz w:val="20"/>
          <w:szCs w:val="20"/>
        </w:rPr>
        <w:t>:</w:t>
      </w:r>
    </w:p>
    <w:p w:rsidR="004930E8" w:rsidRPr="004930E8" w:rsidRDefault="008A004A" w:rsidP="001540E7">
      <w:pPr>
        <w:numPr>
          <w:ilvl w:val="0"/>
          <w:numId w:val="41"/>
        </w:numPr>
        <w:spacing w:before="120" w:after="120" w:line="360" w:lineRule="auto"/>
        <w:ind w:left="0" w:firstLine="567"/>
        <w:jc w:val="both"/>
        <w:rPr>
          <w:rFonts w:ascii="Arial" w:hAnsi="Arial" w:cs="Arial"/>
          <w:bCs/>
          <w:sz w:val="20"/>
          <w:szCs w:val="20"/>
        </w:rPr>
      </w:pPr>
      <w:r>
        <w:rPr>
          <w:rFonts w:ascii="Arial" w:hAnsi="Arial" w:cs="Arial"/>
          <w:bCs/>
          <w:sz w:val="20"/>
          <w:szCs w:val="20"/>
        </w:rPr>
        <w:t xml:space="preserve"> </w:t>
      </w:r>
      <w:r w:rsidR="004930E8" w:rsidRPr="004930E8">
        <w:rPr>
          <w:rFonts w:ascii="Arial" w:hAnsi="Arial" w:cs="Arial"/>
          <w:bCs/>
          <w:sz w:val="20"/>
          <w:szCs w:val="20"/>
        </w:rPr>
        <w:t>optimalizácia podpory aktivít riadiaceho orgánu pre OP ŽP v rámci procesov implementá</w:t>
      </w:r>
      <w:r>
        <w:rPr>
          <w:rFonts w:ascii="Arial" w:hAnsi="Arial" w:cs="Arial"/>
          <w:bCs/>
          <w:sz w:val="20"/>
          <w:szCs w:val="20"/>
        </w:rPr>
        <w:t xml:space="preserve">cie OP ŽP prostredníctvom </w:t>
      </w:r>
      <w:r w:rsidR="004930E8" w:rsidRPr="004930E8">
        <w:rPr>
          <w:rFonts w:ascii="Arial" w:hAnsi="Arial" w:cs="Arial"/>
          <w:bCs/>
          <w:sz w:val="20"/>
          <w:szCs w:val="20"/>
        </w:rPr>
        <w:t>úpravy indikatívneho rozdelenia príspevku z fondov do kategórií pomoci podľa prioritných tém v rámci prioritnej osi 6 Technická pomoc presunom zdrojov EÚ (KF) vo výške 8 200 000 EUR z prioritnej témy 85 Príprava a vykonávanie, monitorovanie a kontrola a audit do prioritnej témy 86 Hodnotenie a štúdie, informovanie a publicita;</w:t>
      </w:r>
    </w:p>
    <w:p w:rsidR="004930E8" w:rsidRPr="004930E8" w:rsidRDefault="008A004A" w:rsidP="001540E7">
      <w:pPr>
        <w:numPr>
          <w:ilvl w:val="0"/>
          <w:numId w:val="41"/>
        </w:numPr>
        <w:spacing w:before="120" w:after="120" w:line="360" w:lineRule="auto"/>
        <w:ind w:left="0" w:firstLine="567"/>
        <w:jc w:val="both"/>
        <w:rPr>
          <w:rFonts w:ascii="Arial" w:hAnsi="Arial" w:cs="Arial"/>
          <w:bCs/>
          <w:sz w:val="20"/>
          <w:szCs w:val="20"/>
        </w:rPr>
      </w:pPr>
      <w:r>
        <w:rPr>
          <w:rFonts w:ascii="Arial" w:hAnsi="Arial" w:cs="Arial"/>
          <w:bCs/>
          <w:sz w:val="20"/>
          <w:szCs w:val="20"/>
        </w:rPr>
        <w:t xml:space="preserve"> </w:t>
      </w:r>
      <w:r w:rsidR="004930E8" w:rsidRPr="004930E8">
        <w:rPr>
          <w:rFonts w:ascii="Arial" w:hAnsi="Arial" w:cs="Arial"/>
          <w:bCs/>
          <w:sz w:val="20"/>
          <w:szCs w:val="20"/>
        </w:rPr>
        <w:t>vytvorenie</w:t>
      </w:r>
      <w:r>
        <w:rPr>
          <w:rFonts w:ascii="Arial" w:hAnsi="Arial" w:cs="Arial"/>
          <w:bCs/>
          <w:sz w:val="20"/>
          <w:szCs w:val="20"/>
        </w:rPr>
        <w:t xml:space="preserve"> </w:t>
      </w:r>
      <w:r w:rsidR="004930E8" w:rsidRPr="004930E8">
        <w:rPr>
          <w:rFonts w:ascii="Arial" w:hAnsi="Arial" w:cs="Arial"/>
          <w:bCs/>
          <w:sz w:val="20"/>
          <w:szCs w:val="20"/>
        </w:rPr>
        <w:t>podmienok pre zlepšenie súčasného stavu v napĺňaní ukazovateľov v oblasti vypracovania a realizácie dokume</w:t>
      </w:r>
      <w:r>
        <w:rPr>
          <w:rFonts w:ascii="Arial" w:hAnsi="Arial" w:cs="Arial"/>
          <w:bCs/>
          <w:sz w:val="20"/>
          <w:szCs w:val="20"/>
        </w:rPr>
        <w:t xml:space="preserve">ntov starostlivosti o chránené </w:t>
      </w:r>
      <w:r w:rsidR="004930E8" w:rsidRPr="004930E8">
        <w:rPr>
          <w:rFonts w:ascii="Arial" w:hAnsi="Arial" w:cs="Arial"/>
          <w:bCs/>
          <w:sz w:val="20"/>
          <w:szCs w:val="20"/>
        </w:rPr>
        <w:t xml:space="preserve">územia v rámci operačného cieľa 5.1 Zabezpečenie priaznivého stavu biotopov a druhov </w:t>
      </w:r>
      <w:r>
        <w:rPr>
          <w:rFonts w:ascii="Arial" w:hAnsi="Arial" w:cs="Arial"/>
          <w:bCs/>
          <w:sz w:val="20"/>
          <w:szCs w:val="20"/>
        </w:rPr>
        <w:t>prostredníctvom vypracovania a </w:t>
      </w:r>
      <w:r w:rsidR="004930E8" w:rsidRPr="004930E8">
        <w:rPr>
          <w:rFonts w:ascii="Arial" w:hAnsi="Arial" w:cs="Arial"/>
          <w:bCs/>
          <w:sz w:val="20"/>
          <w:szCs w:val="20"/>
        </w:rPr>
        <w:t>realizácie programov starostlivosti o chránené územia vrátane území NATURA 2000, ktoré majú podstatný význam pre dosiahnutie cieľov prioritnej osi 5 Ochrana a regenerácia prírodného prostredia a krajiny, a to prostredníctvom úpravy indikatívneho rozdelenia príspevku z fondov</w:t>
      </w:r>
      <w:r>
        <w:rPr>
          <w:rFonts w:ascii="Arial" w:hAnsi="Arial" w:cs="Arial"/>
          <w:bCs/>
          <w:sz w:val="20"/>
          <w:szCs w:val="20"/>
        </w:rPr>
        <w:t xml:space="preserve"> do kategórií pomoci presunom </w:t>
      </w:r>
      <w:r w:rsidR="003976B0">
        <w:rPr>
          <w:rFonts w:ascii="Arial" w:hAnsi="Arial" w:cs="Arial"/>
          <w:bCs/>
          <w:sz w:val="20"/>
          <w:szCs w:val="20"/>
        </w:rPr>
        <w:t xml:space="preserve">zdrojov EÚ (ERDF) v celkovej </w:t>
      </w:r>
      <w:r w:rsidR="004930E8" w:rsidRPr="004930E8">
        <w:rPr>
          <w:rFonts w:ascii="Arial" w:hAnsi="Arial" w:cs="Arial"/>
          <w:bCs/>
          <w:sz w:val="20"/>
          <w:szCs w:val="20"/>
        </w:rPr>
        <w:t>vý</w:t>
      </w:r>
      <w:r w:rsidR="003976B0">
        <w:rPr>
          <w:rFonts w:ascii="Arial" w:hAnsi="Arial" w:cs="Arial"/>
          <w:bCs/>
          <w:sz w:val="20"/>
          <w:szCs w:val="20"/>
        </w:rPr>
        <w:t xml:space="preserve">ške 6 670 938 EUR </w:t>
      </w:r>
      <w:r>
        <w:rPr>
          <w:rFonts w:ascii="Arial" w:hAnsi="Arial" w:cs="Arial"/>
          <w:bCs/>
          <w:sz w:val="20"/>
          <w:szCs w:val="20"/>
        </w:rPr>
        <w:t>z prioritnej témy 54</w:t>
      </w:r>
      <w:r w:rsidR="004930E8" w:rsidRPr="004930E8">
        <w:rPr>
          <w:rFonts w:ascii="Arial" w:hAnsi="Arial" w:cs="Arial"/>
          <w:bCs/>
          <w:sz w:val="20"/>
          <w:szCs w:val="20"/>
        </w:rPr>
        <w:t xml:space="preserve"> Iné opatrenia na zachovanie životného prostredia a predchádzanie rizikám</w:t>
      </w:r>
      <w:r>
        <w:rPr>
          <w:rFonts w:ascii="Arial" w:hAnsi="Arial" w:cs="Arial"/>
          <w:bCs/>
          <w:sz w:val="20"/>
          <w:szCs w:val="20"/>
        </w:rPr>
        <w:t xml:space="preserve"> do prioritnej témy </w:t>
      </w:r>
      <w:r w:rsidR="004930E8" w:rsidRPr="004930E8">
        <w:rPr>
          <w:rFonts w:ascii="Arial" w:hAnsi="Arial" w:cs="Arial"/>
          <w:bCs/>
          <w:sz w:val="20"/>
          <w:szCs w:val="20"/>
        </w:rPr>
        <w:t>51 Podpora biodiverzity a ochrana prírody (vrátane NATURA 2000);</w:t>
      </w:r>
    </w:p>
    <w:p w:rsidR="004930E8" w:rsidRPr="004930E8" w:rsidRDefault="008A004A" w:rsidP="001540E7">
      <w:pPr>
        <w:numPr>
          <w:ilvl w:val="0"/>
          <w:numId w:val="41"/>
        </w:numPr>
        <w:spacing w:before="120" w:after="120" w:line="360" w:lineRule="auto"/>
        <w:ind w:left="0" w:firstLine="567"/>
        <w:jc w:val="both"/>
        <w:rPr>
          <w:rFonts w:ascii="Arial" w:hAnsi="Arial" w:cs="Arial"/>
          <w:bCs/>
          <w:sz w:val="20"/>
          <w:szCs w:val="20"/>
        </w:rPr>
      </w:pPr>
      <w:r>
        <w:rPr>
          <w:rFonts w:ascii="Arial" w:hAnsi="Arial" w:cs="Arial"/>
          <w:bCs/>
          <w:sz w:val="20"/>
          <w:szCs w:val="20"/>
        </w:rPr>
        <w:t xml:space="preserve"> </w:t>
      </w:r>
      <w:r w:rsidR="004930E8" w:rsidRPr="004930E8">
        <w:rPr>
          <w:rFonts w:ascii="Arial" w:hAnsi="Arial" w:cs="Arial"/>
          <w:bCs/>
          <w:sz w:val="20"/>
          <w:szCs w:val="20"/>
        </w:rPr>
        <w:t>opätovné vytvorenie možnosti podpory malých a stredných podnikov v rámci prioritnej osi 3, operačného cieľa 3.1 Ochrana ovzdušia formou nenávratného finančného príspevku prostredníctvom presunu finančných prostriedkov</w:t>
      </w:r>
      <w:r>
        <w:rPr>
          <w:rFonts w:ascii="Arial" w:hAnsi="Arial" w:cs="Arial"/>
          <w:bCs/>
          <w:sz w:val="20"/>
          <w:szCs w:val="20"/>
        </w:rPr>
        <w:t xml:space="preserve"> zo zdrojov EÚ (ERDF) v celkovej výške</w:t>
      </w:r>
      <w:r w:rsidR="004930E8" w:rsidRPr="004930E8">
        <w:rPr>
          <w:rFonts w:ascii="Arial" w:hAnsi="Arial" w:cs="Arial"/>
          <w:bCs/>
          <w:sz w:val="20"/>
          <w:szCs w:val="20"/>
        </w:rPr>
        <w:t xml:space="preserve"> 27 000 000 EUR v rámci indikatívneho rozdelenia príspevku z fondov do kategórií pomoci z formy financovania 04 Iné do formy financovania do formy financovania 01 Nenávratná dotácia </w:t>
      </w:r>
      <w:r>
        <w:rPr>
          <w:rFonts w:ascii="Arial" w:hAnsi="Arial" w:cs="Arial"/>
          <w:bCs/>
          <w:sz w:val="20"/>
          <w:szCs w:val="20"/>
        </w:rPr>
        <w:t xml:space="preserve">v nadväznosti na </w:t>
      </w:r>
      <w:r w:rsidR="004930E8" w:rsidRPr="004930E8">
        <w:rPr>
          <w:rFonts w:ascii="Arial" w:hAnsi="Arial" w:cs="Arial"/>
          <w:bCs/>
          <w:sz w:val="20"/>
          <w:szCs w:val="20"/>
        </w:rPr>
        <w:t xml:space="preserve">vyňatie finančných prostriedkov OP ŽP z realizácie  iniciatívy JEREMIE; </w:t>
      </w:r>
    </w:p>
    <w:p w:rsidR="004930E8" w:rsidRPr="004930E8" w:rsidRDefault="003976B0" w:rsidP="001540E7">
      <w:pPr>
        <w:numPr>
          <w:ilvl w:val="0"/>
          <w:numId w:val="41"/>
        </w:numPr>
        <w:spacing w:before="120" w:after="120" w:line="360" w:lineRule="auto"/>
        <w:ind w:left="0" w:firstLine="567"/>
        <w:jc w:val="both"/>
        <w:rPr>
          <w:rFonts w:ascii="Arial" w:hAnsi="Arial" w:cs="Arial"/>
          <w:bCs/>
          <w:sz w:val="20"/>
          <w:szCs w:val="20"/>
        </w:rPr>
      </w:pPr>
      <w:r>
        <w:rPr>
          <w:rFonts w:ascii="Arial" w:hAnsi="Arial" w:cs="Arial"/>
          <w:bCs/>
          <w:sz w:val="20"/>
          <w:szCs w:val="20"/>
        </w:rPr>
        <w:t xml:space="preserve"> </w:t>
      </w:r>
      <w:r w:rsidR="004930E8" w:rsidRPr="004930E8">
        <w:rPr>
          <w:rFonts w:ascii="Arial" w:hAnsi="Arial" w:cs="Arial"/>
          <w:bCs/>
          <w:sz w:val="20"/>
          <w:szCs w:val="20"/>
        </w:rPr>
        <w:t>vykonanie úprav cieľových hodnôt ukazovateľov v rámci prioritnej osi 4 Odpadové hospodárstvo a prioritnej osi 1 Integrovaná ochrana a racionálne využívanie vôd, dotkn</w:t>
      </w:r>
      <w:r>
        <w:rPr>
          <w:rFonts w:ascii="Arial" w:hAnsi="Arial" w:cs="Arial"/>
          <w:bCs/>
          <w:sz w:val="20"/>
          <w:szCs w:val="20"/>
        </w:rPr>
        <w:t>utých navrhovanou realokáciou;</w:t>
      </w:r>
    </w:p>
    <w:p w:rsidR="004930E8" w:rsidRPr="004930E8" w:rsidRDefault="008A004A" w:rsidP="001540E7">
      <w:pPr>
        <w:numPr>
          <w:ilvl w:val="0"/>
          <w:numId w:val="41"/>
        </w:numPr>
        <w:spacing w:before="120" w:after="120" w:line="360" w:lineRule="auto"/>
        <w:ind w:left="0" w:firstLine="567"/>
        <w:jc w:val="both"/>
        <w:rPr>
          <w:rFonts w:ascii="Arial" w:hAnsi="Arial" w:cs="Arial"/>
          <w:bCs/>
          <w:sz w:val="20"/>
          <w:szCs w:val="20"/>
        </w:rPr>
      </w:pPr>
      <w:r>
        <w:rPr>
          <w:rFonts w:ascii="Arial" w:hAnsi="Arial" w:cs="Arial"/>
          <w:bCs/>
          <w:sz w:val="20"/>
          <w:szCs w:val="20"/>
        </w:rPr>
        <w:t xml:space="preserve"> </w:t>
      </w:r>
      <w:r w:rsidR="004930E8" w:rsidRPr="004930E8">
        <w:rPr>
          <w:rFonts w:ascii="Arial" w:hAnsi="Arial" w:cs="Arial"/>
          <w:bCs/>
          <w:sz w:val="20"/>
          <w:szCs w:val="20"/>
        </w:rPr>
        <w:t>doplnenie súboru ukazovateľov OP ŽP o hlavný (</w:t>
      </w:r>
      <w:r w:rsidR="008F2A89">
        <w:rPr>
          <w:rFonts w:ascii="Arial" w:hAnsi="Arial" w:cs="Arial"/>
          <w:bCs/>
          <w:sz w:val="20"/>
          <w:szCs w:val="20"/>
        </w:rPr>
        <w:t>CORE</w:t>
      </w:r>
      <w:r w:rsidR="004930E8" w:rsidRPr="004930E8">
        <w:rPr>
          <w:rFonts w:ascii="Arial" w:hAnsi="Arial" w:cs="Arial"/>
          <w:bCs/>
          <w:sz w:val="20"/>
          <w:szCs w:val="20"/>
        </w:rPr>
        <w:t>) ukazovateľ s názvom „Vyvolané investície“, vzťahujúci sa k prioritnej osi 3 Ochrana ovzdušia a minimalizácia nep</w:t>
      </w:r>
      <w:r w:rsidR="003976B0">
        <w:rPr>
          <w:rFonts w:ascii="Arial" w:hAnsi="Arial" w:cs="Arial"/>
          <w:bCs/>
          <w:sz w:val="20"/>
          <w:szCs w:val="20"/>
        </w:rPr>
        <w:t xml:space="preserve">riaznivých vplyvov zmeny klímy </w:t>
      </w:r>
      <w:r w:rsidR="004930E8" w:rsidRPr="004930E8">
        <w:rPr>
          <w:rFonts w:ascii="Arial" w:hAnsi="Arial" w:cs="Arial"/>
          <w:bCs/>
          <w:sz w:val="20"/>
          <w:szCs w:val="20"/>
        </w:rPr>
        <w:t>a prioritnej osi 4 Odpadové hospodárstvo;</w:t>
      </w:r>
    </w:p>
    <w:p w:rsidR="004930E8" w:rsidRPr="004930E8" w:rsidRDefault="008A004A" w:rsidP="001540E7">
      <w:pPr>
        <w:numPr>
          <w:ilvl w:val="0"/>
          <w:numId w:val="41"/>
        </w:numPr>
        <w:spacing w:before="120" w:after="120" w:line="360" w:lineRule="auto"/>
        <w:ind w:left="0" w:firstLine="567"/>
        <w:jc w:val="both"/>
        <w:rPr>
          <w:rFonts w:ascii="Arial" w:hAnsi="Arial" w:cs="Arial"/>
          <w:bCs/>
          <w:sz w:val="20"/>
          <w:szCs w:val="20"/>
        </w:rPr>
      </w:pPr>
      <w:r>
        <w:rPr>
          <w:rFonts w:ascii="Arial" w:hAnsi="Arial" w:cs="Arial"/>
          <w:bCs/>
          <w:sz w:val="20"/>
          <w:szCs w:val="20"/>
        </w:rPr>
        <w:t xml:space="preserve"> </w:t>
      </w:r>
      <w:r w:rsidR="004930E8" w:rsidRPr="004930E8">
        <w:rPr>
          <w:rFonts w:ascii="Arial" w:hAnsi="Arial" w:cs="Arial"/>
          <w:bCs/>
          <w:sz w:val="20"/>
          <w:szCs w:val="20"/>
        </w:rPr>
        <w:t>aktualizácia prílohy č. 1 OP ŽP - Orientačný zoznam veľkých projektov, spočívajúcej vo vypustení veľkého projektu s názvom „Vodovody a kanalizácie v regióne Spiša a Tatier“ v nadväznosti</w:t>
      </w:r>
      <w:r w:rsidR="003976B0">
        <w:rPr>
          <w:rFonts w:ascii="Arial" w:hAnsi="Arial" w:cs="Arial"/>
          <w:bCs/>
          <w:sz w:val="20"/>
          <w:szCs w:val="20"/>
        </w:rPr>
        <w:t xml:space="preserve"> na jeho stiahnutie žiadateľom</w:t>
      </w:r>
      <w:r w:rsidR="004930E8" w:rsidRPr="004930E8">
        <w:rPr>
          <w:rFonts w:ascii="Arial" w:hAnsi="Arial" w:cs="Arial"/>
          <w:bCs/>
          <w:sz w:val="20"/>
          <w:szCs w:val="20"/>
        </w:rPr>
        <w:t>;</w:t>
      </w:r>
    </w:p>
    <w:p w:rsidR="008A004A" w:rsidRDefault="008A004A" w:rsidP="001540E7">
      <w:pPr>
        <w:numPr>
          <w:ilvl w:val="0"/>
          <w:numId w:val="41"/>
        </w:numPr>
        <w:spacing w:before="120" w:after="120" w:line="360" w:lineRule="auto"/>
        <w:ind w:left="0" w:firstLine="567"/>
        <w:jc w:val="both"/>
        <w:rPr>
          <w:rFonts w:ascii="Arial" w:hAnsi="Arial" w:cs="Arial"/>
          <w:bCs/>
          <w:sz w:val="20"/>
          <w:szCs w:val="20"/>
        </w:rPr>
      </w:pPr>
      <w:r>
        <w:rPr>
          <w:rFonts w:ascii="Arial" w:hAnsi="Arial" w:cs="Arial"/>
          <w:bCs/>
          <w:sz w:val="20"/>
          <w:szCs w:val="20"/>
        </w:rPr>
        <w:t xml:space="preserve"> </w:t>
      </w:r>
      <w:r w:rsidR="004930E8" w:rsidRPr="008A004A">
        <w:rPr>
          <w:rFonts w:ascii="Arial" w:hAnsi="Arial" w:cs="Arial"/>
          <w:bCs/>
          <w:sz w:val="20"/>
          <w:szCs w:val="20"/>
        </w:rPr>
        <w:t>zosúladenie informatívneho rozdelenia príspevku z fondov do kategórií pomoci v rámci prioritných tém v zmysle vyššie vykonaných presunov finančných prostriedkov;</w:t>
      </w:r>
    </w:p>
    <w:p w:rsidR="004930E8" w:rsidRPr="00D867E3" w:rsidRDefault="008A004A" w:rsidP="001540E7">
      <w:pPr>
        <w:numPr>
          <w:ilvl w:val="0"/>
          <w:numId w:val="41"/>
        </w:numPr>
        <w:spacing w:before="120" w:after="120" w:line="360" w:lineRule="auto"/>
        <w:ind w:left="0" w:firstLine="567"/>
        <w:jc w:val="both"/>
        <w:rPr>
          <w:rFonts w:ascii="Arial" w:hAnsi="Arial" w:cs="Arial"/>
          <w:bCs/>
          <w:sz w:val="20"/>
          <w:szCs w:val="20"/>
        </w:rPr>
      </w:pPr>
      <w:r>
        <w:rPr>
          <w:rFonts w:ascii="Arial" w:hAnsi="Arial" w:cs="Arial"/>
          <w:bCs/>
          <w:sz w:val="20"/>
          <w:szCs w:val="20"/>
        </w:rPr>
        <w:t xml:space="preserve"> </w:t>
      </w:r>
      <w:r w:rsidR="004930E8" w:rsidRPr="008A004A">
        <w:rPr>
          <w:rFonts w:ascii="Arial" w:hAnsi="Arial" w:cs="Arial"/>
          <w:bCs/>
          <w:sz w:val="20"/>
          <w:szCs w:val="20"/>
        </w:rPr>
        <w:t xml:space="preserve">aktualizácia prílohy č. 15 OP ŽP formou úprav indikatívneho rozdelenia alokácií z fondov EÚ na regionálnej úrovni v dôsledku realokácie finančných prostriedkov (KF) z prioritnej osi 4 Odpadové hospodárstvo do prioritnej osi 1 Integrovaná ochrana a racionálne využívanie vôd, presunov v rámci indikatívneho rozdelenia príspevku z fondov do kategórií pomoci, ako aj presunov finančných prostriedkov medzi operačnými cieľmi prioritnej osi 4 v rámci prioritnej témy 44 Hospodárenie s domácim a priemyselným odpadom s dopadom na zmenu indikatívneho rozdelenia alokácií na regionálnej úrovni (ktorá bola v minulosti vykonaná v pôsobnosti Riadiaceho orgánu pre OP ŽP v rámci aktualizácie Programového manuálu OP ŽP, verzia 6.1 a zaslaná členom Monitorovacieho výboru pre OP ŽP na vedomie listom ministra životného prostredia </w:t>
      </w:r>
      <w:r w:rsidR="003976B0">
        <w:rPr>
          <w:rFonts w:ascii="Arial" w:hAnsi="Arial" w:cs="Arial"/>
          <w:bCs/>
          <w:sz w:val="20"/>
          <w:szCs w:val="20"/>
        </w:rPr>
        <w:t>dňa 23.02.</w:t>
      </w:r>
      <w:r w:rsidR="004930E8" w:rsidRPr="008A004A">
        <w:rPr>
          <w:rFonts w:ascii="Arial" w:hAnsi="Arial" w:cs="Arial"/>
          <w:bCs/>
          <w:sz w:val="20"/>
          <w:szCs w:val="20"/>
        </w:rPr>
        <w:t>2011).</w:t>
      </w:r>
    </w:p>
    <w:p w:rsidR="006A2219" w:rsidRPr="00D867E3" w:rsidRDefault="003976B0" w:rsidP="00507035">
      <w:pPr>
        <w:spacing w:before="120" w:after="120" w:line="360" w:lineRule="auto"/>
        <w:jc w:val="both"/>
        <w:rPr>
          <w:rFonts w:ascii="Arial" w:hAnsi="Arial" w:cs="Arial"/>
          <w:sz w:val="20"/>
          <w:szCs w:val="20"/>
        </w:rPr>
      </w:pPr>
      <w:r>
        <w:rPr>
          <w:rFonts w:ascii="Arial" w:hAnsi="Arial" w:cs="Arial"/>
          <w:sz w:val="20"/>
          <w:szCs w:val="20"/>
        </w:rPr>
        <w:t xml:space="preserve">Návrh revízie OP ŽP </w:t>
      </w:r>
      <w:r w:rsidR="00C77193">
        <w:rPr>
          <w:rFonts w:ascii="Arial" w:hAnsi="Arial" w:cs="Arial"/>
          <w:sz w:val="20"/>
          <w:szCs w:val="20"/>
        </w:rPr>
        <w:t xml:space="preserve">v 4.0 </w:t>
      </w:r>
      <w:r>
        <w:rPr>
          <w:rFonts w:ascii="Arial" w:hAnsi="Arial" w:cs="Arial"/>
          <w:sz w:val="20"/>
          <w:szCs w:val="20"/>
        </w:rPr>
        <w:t xml:space="preserve">bol dňa </w:t>
      </w:r>
      <w:r w:rsidR="00C77193">
        <w:rPr>
          <w:rFonts w:ascii="Arial" w:hAnsi="Arial" w:cs="Arial"/>
          <w:sz w:val="20"/>
          <w:szCs w:val="20"/>
        </w:rPr>
        <w:t>18.12.2012 schválený Monitorovacím výborom pre OP ŽP na jeho 10. zasadnutí (viď kapitola 2.7.1 správy) a následne dňa 20.12.2012 zaslaný prostredníctvom systému SFC2007 EK na schválenie.</w:t>
      </w:r>
    </w:p>
    <w:p w:rsidR="002416B1" w:rsidRPr="004B33AE" w:rsidRDefault="002416B1" w:rsidP="00507035">
      <w:pPr>
        <w:pStyle w:val="Nadpis2"/>
        <w:spacing w:before="120" w:after="120" w:line="360" w:lineRule="auto"/>
        <w:jc w:val="both"/>
      </w:pPr>
      <w:bookmarkStart w:id="43" w:name="_3.5_Doplnkovosť_s"/>
      <w:bookmarkStart w:id="44" w:name="_Toc319573312"/>
      <w:bookmarkEnd w:id="43"/>
      <w:r w:rsidRPr="004B33AE">
        <w:t>2.5 Podstatné zmeny podľa článku 57 nariadenia (ES) č. 1083/2006</w:t>
      </w:r>
      <w:bookmarkEnd w:id="44"/>
    </w:p>
    <w:p w:rsidR="002416B1" w:rsidRDefault="002416B1" w:rsidP="00507035">
      <w:pPr>
        <w:spacing w:before="120" w:after="120" w:line="360" w:lineRule="auto"/>
        <w:jc w:val="both"/>
        <w:rPr>
          <w:rFonts w:ascii="Arial" w:hAnsi="Arial" w:cs="Arial"/>
          <w:sz w:val="20"/>
          <w:szCs w:val="20"/>
        </w:rPr>
      </w:pPr>
      <w:r w:rsidRPr="004B33AE">
        <w:rPr>
          <w:rFonts w:ascii="Arial" w:hAnsi="Arial" w:cs="Arial"/>
          <w:sz w:val="20"/>
          <w:szCs w:val="20"/>
        </w:rPr>
        <w:t>K 31.12.</w:t>
      </w:r>
      <w:r w:rsidR="00B96D18" w:rsidRPr="004B33AE">
        <w:rPr>
          <w:rFonts w:ascii="Arial" w:hAnsi="Arial" w:cs="Arial"/>
          <w:sz w:val="20"/>
          <w:szCs w:val="20"/>
        </w:rPr>
        <w:t>201</w:t>
      </w:r>
      <w:r w:rsidR="006A2219">
        <w:rPr>
          <w:rFonts w:ascii="Arial" w:hAnsi="Arial" w:cs="Arial"/>
          <w:sz w:val="20"/>
          <w:szCs w:val="20"/>
        </w:rPr>
        <w:t>2</w:t>
      </w:r>
      <w:r w:rsidR="00B96D18" w:rsidRPr="004B33AE">
        <w:rPr>
          <w:rFonts w:ascii="Arial" w:hAnsi="Arial" w:cs="Arial"/>
          <w:sz w:val="20"/>
          <w:szCs w:val="20"/>
        </w:rPr>
        <w:t xml:space="preserve"> </w:t>
      </w:r>
      <w:r w:rsidRPr="004B33AE">
        <w:rPr>
          <w:rFonts w:ascii="Arial" w:hAnsi="Arial" w:cs="Arial"/>
          <w:sz w:val="20"/>
          <w:szCs w:val="20"/>
        </w:rPr>
        <w:t>nedošlo v rámci OP ŽP k podstatným zmenám spadajúcim pod článok 57 Nariadenia (ES) č. 1083/2006.</w:t>
      </w:r>
    </w:p>
    <w:p w:rsidR="002416B1" w:rsidRPr="004B33AE" w:rsidRDefault="002416B1" w:rsidP="00507035">
      <w:pPr>
        <w:pStyle w:val="Nadpis2"/>
        <w:spacing w:before="120" w:after="120" w:line="360" w:lineRule="auto"/>
      </w:pPr>
      <w:bookmarkStart w:id="45" w:name="_Toc319573313"/>
      <w:r w:rsidRPr="004B33AE">
        <w:t xml:space="preserve">2.6 </w:t>
      </w:r>
      <w:r w:rsidRPr="006A2BF3">
        <w:t>Doplnkovosť s inými nástrojmi</w:t>
      </w:r>
      <w:bookmarkEnd w:id="45"/>
    </w:p>
    <w:p w:rsidR="002416B1" w:rsidRPr="004B33AE" w:rsidRDefault="002416B1" w:rsidP="00507035">
      <w:pPr>
        <w:spacing w:before="120" w:after="120" w:line="360" w:lineRule="auto"/>
        <w:jc w:val="both"/>
        <w:rPr>
          <w:rFonts w:ascii="Arial" w:hAnsi="Arial" w:cs="Arial"/>
          <w:b/>
          <w:sz w:val="20"/>
          <w:szCs w:val="20"/>
        </w:rPr>
      </w:pPr>
      <w:r w:rsidRPr="004B33AE">
        <w:rPr>
          <w:rFonts w:ascii="Arial" w:hAnsi="Arial" w:cs="Arial"/>
          <w:b/>
          <w:sz w:val="20"/>
          <w:szCs w:val="20"/>
        </w:rPr>
        <w:t xml:space="preserve">Synergia, komplementarita OP ŽP s inými operačnými programami </w:t>
      </w:r>
    </w:p>
    <w:p w:rsidR="002416B1" w:rsidRPr="004B33AE" w:rsidRDefault="002416B1" w:rsidP="00507035">
      <w:pPr>
        <w:spacing w:before="120" w:after="120" w:line="360" w:lineRule="auto"/>
        <w:jc w:val="both"/>
        <w:rPr>
          <w:rFonts w:ascii="Arial" w:hAnsi="Arial" w:cs="Arial"/>
          <w:sz w:val="20"/>
          <w:szCs w:val="20"/>
          <w:highlight w:val="yellow"/>
        </w:rPr>
      </w:pPr>
      <w:r w:rsidRPr="004B33AE">
        <w:rPr>
          <w:rFonts w:ascii="Arial" w:hAnsi="Arial" w:cs="Arial"/>
          <w:sz w:val="20"/>
          <w:szCs w:val="20"/>
        </w:rPr>
        <w:t>V rámci synergie OP ŽP s operačnými programami Regionálny Operačný Program, OP Konkurencieschopnosť a hospodársky rast, OP Doprava, OP Bratislavský kraj sú vytvorené demarkačné línie pre tematicky podobné opatrenia.</w:t>
      </w:r>
    </w:p>
    <w:p w:rsidR="002416B1" w:rsidRPr="004B33AE" w:rsidRDefault="002416B1" w:rsidP="00507035">
      <w:pPr>
        <w:spacing w:before="120" w:after="120" w:line="360" w:lineRule="auto"/>
        <w:jc w:val="both"/>
        <w:rPr>
          <w:rFonts w:ascii="Arial" w:hAnsi="Arial" w:cs="Arial"/>
          <w:i/>
          <w:sz w:val="20"/>
          <w:szCs w:val="20"/>
          <w:u w:val="single"/>
        </w:rPr>
      </w:pPr>
      <w:r w:rsidRPr="004B33AE">
        <w:rPr>
          <w:rFonts w:ascii="Arial" w:hAnsi="Arial" w:cs="Arial"/>
          <w:i/>
          <w:sz w:val="20"/>
          <w:szCs w:val="20"/>
          <w:u w:val="single"/>
        </w:rPr>
        <w:t>Dodržiavanie deliacej línie na úrovni projektov medzi OP konkurencieschopnosť a hospodársky rast (ďalej len „OP KaHR</w:t>
      </w:r>
      <w:r w:rsidRPr="004B33AE">
        <w:rPr>
          <w:rFonts w:ascii="Arial" w:hAnsi="Arial" w:cs="Arial"/>
          <w:i/>
          <w:caps/>
          <w:sz w:val="20"/>
          <w:szCs w:val="20"/>
          <w:u w:val="single"/>
        </w:rPr>
        <w:t>“</w:t>
      </w:r>
      <w:r w:rsidRPr="004B33AE">
        <w:rPr>
          <w:rFonts w:ascii="Arial" w:hAnsi="Arial" w:cs="Arial"/>
          <w:i/>
          <w:sz w:val="20"/>
          <w:szCs w:val="20"/>
          <w:u w:val="single"/>
        </w:rPr>
        <w:t>) a OP ŽP:</w:t>
      </w:r>
    </w:p>
    <w:p w:rsidR="002416B1" w:rsidRPr="004B33AE" w:rsidRDefault="002416B1" w:rsidP="00507035">
      <w:pPr>
        <w:spacing w:before="120" w:after="120" w:line="360" w:lineRule="auto"/>
        <w:jc w:val="both"/>
        <w:rPr>
          <w:rFonts w:ascii="Arial" w:hAnsi="Arial" w:cs="Arial"/>
          <w:sz w:val="20"/>
          <w:szCs w:val="20"/>
        </w:rPr>
      </w:pPr>
      <w:r w:rsidRPr="004B33AE">
        <w:rPr>
          <w:rFonts w:ascii="Arial" w:hAnsi="Arial" w:cs="Arial"/>
          <w:sz w:val="20"/>
          <w:szCs w:val="20"/>
        </w:rPr>
        <w:t xml:space="preserve">V rámci OP ŽP, prioritnej osi 3 </w:t>
      </w:r>
      <w:r w:rsidRPr="004B33AE">
        <w:rPr>
          <w:rFonts w:ascii="Arial" w:hAnsi="Arial" w:cs="Arial"/>
          <w:bCs/>
          <w:sz w:val="20"/>
          <w:szCs w:val="20"/>
        </w:rPr>
        <w:t>Ochrana ovzdušia a minimalizácia nepriaznivých vplyvov zmeny klímy, o</w:t>
      </w:r>
      <w:r w:rsidRPr="004B33AE">
        <w:rPr>
          <w:rFonts w:ascii="Arial" w:hAnsi="Arial" w:cs="Arial"/>
          <w:sz w:val="20"/>
          <w:szCs w:val="20"/>
        </w:rPr>
        <w:t>peračného cieľa č. 3. 1 Ochrana ovzdušia, oprávnenej skupiny aktivít: znižovanie emisií základných a ostatných znečisťujúcich látok v ovzduší najmä</w:t>
      </w:r>
      <w:r>
        <w:rPr>
          <w:rFonts w:ascii="Arial" w:hAnsi="Arial" w:cs="Arial"/>
          <w:sz w:val="20"/>
          <w:szCs w:val="20"/>
        </w:rPr>
        <w:t xml:space="preserve"> </w:t>
      </w:r>
      <w:r w:rsidRPr="004B33AE">
        <w:rPr>
          <w:rFonts w:ascii="Arial" w:hAnsi="Arial" w:cs="Arial"/>
          <w:sz w:val="20"/>
          <w:szCs w:val="20"/>
        </w:rPr>
        <w:t>tuhých znečisťujúcich látok (PM</w:t>
      </w:r>
      <w:r w:rsidRPr="004B33AE">
        <w:rPr>
          <w:rFonts w:ascii="Arial" w:hAnsi="Arial" w:cs="Arial"/>
          <w:sz w:val="20"/>
          <w:szCs w:val="20"/>
          <w:vertAlign w:val="subscript"/>
        </w:rPr>
        <w:t>10</w:t>
      </w:r>
      <w:r w:rsidRPr="004B33AE">
        <w:rPr>
          <w:rFonts w:ascii="Arial" w:hAnsi="Arial" w:cs="Arial"/>
          <w:sz w:val="20"/>
          <w:szCs w:val="20"/>
        </w:rPr>
        <w:t>, PM</w:t>
      </w:r>
      <w:r w:rsidRPr="004B33AE">
        <w:rPr>
          <w:rFonts w:ascii="Arial" w:hAnsi="Arial" w:cs="Arial"/>
          <w:sz w:val="20"/>
          <w:szCs w:val="20"/>
          <w:vertAlign w:val="subscript"/>
        </w:rPr>
        <w:t>2,5</w:t>
      </w:r>
      <w:r w:rsidRPr="004B33AE">
        <w:rPr>
          <w:rFonts w:ascii="Arial" w:hAnsi="Arial" w:cs="Arial"/>
          <w:sz w:val="20"/>
          <w:szCs w:val="20"/>
        </w:rPr>
        <w:t>), SO</w:t>
      </w:r>
      <w:r w:rsidRPr="004B33AE">
        <w:rPr>
          <w:rFonts w:ascii="Arial" w:hAnsi="Arial" w:cs="Arial"/>
          <w:sz w:val="20"/>
          <w:szCs w:val="20"/>
          <w:vertAlign w:val="subscript"/>
        </w:rPr>
        <w:t>2</w:t>
      </w:r>
      <w:r w:rsidRPr="004B33AE">
        <w:rPr>
          <w:rFonts w:ascii="Arial" w:hAnsi="Arial" w:cs="Arial"/>
          <w:sz w:val="20"/>
          <w:szCs w:val="20"/>
        </w:rPr>
        <w:t>, NO</w:t>
      </w:r>
      <w:r w:rsidRPr="004B33AE">
        <w:rPr>
          <w:rFonts w:ascii="Arial" w:hAnsi="Arial" w:cs="Arial"/>
          <w:sz w:val="20"/>
          <w:szCs w:val="20"/>
          <w:vertAlign w:val="subscript"/>
        </w:rPr>
        <w:t>X</w:t>
      </w:r>
      <w:r w:rsidRPr="004B33AE">
        <w:rPr>
          <w:rFonts w:ascii="Arial" w:hAnsi="Arial" w:cs="Arial"/>
          <w:sz w:val="20"/>
          <w:szCs w:val="20"/>
        </w:rPr>
        <w:t>, benzén, VOC, NH</w:t>
      </w:r>
      <w:r w:rsidRPr="004B33AE">
        <w:rPr>
          <w:rFonts w:ascii="Arial" w:hAnsi="Arial" w:cs="Arial"/>
          <w:sz w:val="20"/>
          <w:szCs w:val="20"/>
          <w:vertAlign w:val="subscript"/>
        </w:rPr>
        <w:t xml:space="preserve">3, </w:t>
      </w:r>
      <w:r w:rsidRPr="004B33AE">
        <w:rPr>
          <w:rFonts w:ascii="Arial" w:hAnsi="Arial" w:cs="Arial"/>
          <w:sz w:val="20"/>
          <w:szCs w:val="20"/>
        </w:rPr>
        <w:t>ťažkých kovov a PAH bude MŽP podporovať aktivity súvisiace so znižovaním prchavých organických zlúčením (VOC) ako sú definované v</w:t>
      </w:r>
      <w:r>
        <w:rPr>
          <w:rFonts w:ascii="Arial" w:hAnsi="Arial" w:cs="Arial"/>
          <w:sz w:val="20"/>
          <w:szCs w:val="20"/>
        </w:rPr>
        <w:t xml:space="preserve"> </w:t>
      </w:r>
      <w:r w:rsidRPr="004B33AE">
        <w:rPr>
          <w:rFonts w:ascii="Arial" w:hAnsi="Arial" w:cs="Arial"/>
          <w:sz w:val="20"/>
          <w:szCs w:val="20"/>
        </w:rPr>
        <w:t>smerniciach 2004/42/ES a 1999/13/ES.</w:t>
      </w:r>
    </w:p>
    <w:p w:rsidR="002416B1" w:rsidRPr="004B33AE" w:rsidRDefault="002416B1" w:rsidP="00507035">
      <w:pPr>
        <w:spacing w:before="120" w:after="120" w:line="360" w:lineRule="auto"/>
        <w:jc w:val="both"/>
        <w:rPr>
          <w:rFonts w:ascii="Arial" w:hAnsi="Arial" w:cs="Arial"/>
          <w:sz w:val="20"/>
          <w:szCs w:val="20"/>
        </w:rPr>
      </w:pPr>
      <w:r w:rsidRPr="004B33AE">
        <w:rPr>
          <w:rFonts w:ascii="Arial" w:hAnsi="Arial" w:cs="Arial"/>
          <w:i/>
          <w:sz w:val="20"/>
          <w:szCs w:val="20"/>
        </w:rPr>
        <w:t>Podporovanými aktivitami v rámci OP ŽP sú</w:t>
      </w:r>
      <w:r w:rsidRPr="004B33AE">
        <w:rPr>
          <w:rFonts w:ascii="Arial" w:hAnsi="Arial" w:cs="Arial"/>
          <w:sz w:val="20"/>
          <w:szCs w:val="20"/>
        </w:rPr>
        <w:t xml:space="preserve">: </w:t>
      </w:r>
    </w:p>
    <w:p w:rsidR="002416B1" w:rsidRPr="004B33AE" w:rsidRDefault="002416B1" w:rsidP="001540E7">
      <w:pPr>
        <w:numPr>
          <w:ilvl w:val="2"/>
          <w:numId w:val="9"/>
        </w:numPr>
        <w:tabs>
          <w:tab w:val="clear" w:pos="2160"/>
          <w:tab w:val="num" w:pos="426"/>
        </w:tabs>
        <w:spacing w:before="120" w:after="120" w:line="360" w:lineRule="auto"/>
        <w:ind w:left="426" w:hanging="284"/>
        <w:jc w:val="both"/>
        <w:rPr>
          <w:rFonts w:ascii="Arial" w:hAnsi="Arial" w:cs="Arial"/>
          <w:sz w:val="20"/>
          <w:szCs w:val="20"/>
        </w:rPr>
      </w:pPr>
      <w:r w:rsidRPr="004B33AE">
        <w:rPr>
          <w:rFonts w:ascii="Arial" w:hAnsi="Arial" w:cs="Arial"/>
          <w:sz w:val="20"/>
          <w:szCs w:val="20"/>
        </w:rPr>
        <w:t>samostatné opatrenia (technického charakteru) na znižovanie obsahu VOC v regulovaných výrobkoch podľa smernice 2004/42/ES</w:t>
      </w:r>
      <w:r w:rsidRPr="004B33AE">
        <w:rPr>
          <w:rFonts w:ascii="Arial" w:hAnsi="Arial" w:cs="Arial"/>
          <w:sz w:val="20"/>
          <w:szCs w:val="20"/>
          <w:vertAlign w:val="superscript"/>
        </w:rPr>
        <w:footnoteReference w:id="6"/>
      </w:r>
      <w:r w:rsidRPr="004B33AE">
        <w:rPr>
          <w:rFonts w:ascii="Arial" w:hAnsi="Arial" w:cs="Arial"/>
          <w:sz w:val="20"/>
          <w:szCs w:val="20"/>
        </w:rPr>
        <w:t xml:space="preserve"> o obmedzení emisií prchavých organických zlúčenín unikajúcich pri používaní organických rozpúšťadiel v určitých farbách a lakoch a vo výrobkoch na povrchovú úpravu vozidiel a o zmene a doplnení smernice 1999/13/ES (napr. prechod výroby farieb a lakov a pod. na farby a laky obsahujúce menej VOC) </w:t>
      </w:r>
    </w:p>
    <w:p w:rsidR="002416B1" w:rsidRPr="004B33AE" w:rsidRDefault="002416B1" w:rsidP="001540E7">
      <w:pPr>
        <w:numPr>
          <w:ilvl w:val="2"/>
          <w:numId w:val="9"/>
        </w:numPr>
        <w:tabs>
          <w:tab w:val="clear" w:pos="2160"/>
          <w:tab w:val="num" w:pos="426"/>
        </w:tabs>
        <w:spacing w:before="120" w:after="120" w:line="360" w:lineRule="auto"/>
        <w:ind w:left="426" w:hanging="284"/>
        <w:jc w:val="both"/>
        <w:rPr>
          <w:rFonts w:ascii="Arial" w:hAnsi="Arial" w:cs="Arial"/>
          <w:sz w:val="20"/>
          <w:szCs w:val="20"/>
        </w:rPr>
      </w:pPr>
      <w:r w:rsidRPr="004B33AE">
        <w:rPr>
          <w:rFonts w:ascii="Arial" w:hAnsi="Arial" w:cs="Arial"/>
          <w:sz w:val="20"/>
          <w:szCs w:val="20"/>
        </w:rPr>
        <w:t>samostatné technologické opatrenia umožňujúce znižovanie emisií VOC v zariadeniach spadajúcich pod smernicu 99/13/ES</w:t>
      </w:r>
      <w:r w:rsidRPr="004B33AE">
        <w:rPr>
          <w:rFonts w:ascii="Arial" w:hAnsi="Arial" w:cs="Arial"/>
          <w:sz w:val="20"/>
          <w:szCs w:val="20"/>
          <w:vertAlign w:val="superscript"/>
        </w:rPr>
        <w:footnoteReference w:id="7"/>
      </w:r>
      <w:r w:rsidRPr="004B33AE">
        <w:rPr>
          <w:rFonts w:ascii="Arial" w:hAnsi="Arial" w:cs="Arial"/>
          <w:sz w:val="20"/>
          <w:szCs w:val="20"/>
        </w:rPr>
        <w:t xml:space="preserve"> (v súlade s definíciami uvedenými v prílohe č. 1 uvedenej smernice</w:t>
      </w:r>
      <w:r w:rsidRPr="004B33AE">
        <w:rPr>
          <w:rFonts w:ascii="Arial" w:hAnsi="Arial" w:cs="Arial"/>
          <w:sz w:val="20"/>
          <w:szCs w:val="20"/>
          <w:vertAlign w:val="superscript"/>
        </w:rPr>
        <w:footnoteReference w:id="8"/>
      </w:r>
      <w:r w:rsidRPr="004B33AE">
        <w:rPr>
          <w:rFonts w:ascii="Arial" w:hAnsi="Arial" w:cs="Arial"/>
          <w:sz w:val="20"/>
          <w:szCs w:val="20"/>
        </w:rPr>
        <w:t>), ako napr. inštalácia katalytických a termooxidačných jednotiek, prechod na použitie vodou riediteľných farieb, lakov a lepidiel vo výrobnom procese a pod.)</w:t>
      </w:r>
    </w:p>
    <w:p w:rsidR="002416B1" w:rsidRPr="004B33AE" w:rsidRDefault="002416B1" w:rsidP="00507035">
      <w:pPr>
        <w:spacing w:before="120" w:after="120" w:line="360" w:lineRule="auto"/>
        <w:jc w:val="both"/>
        <w:rPr>
          <w:rFonts w:ascii="Arial" w:hAnsi="Arial" w:cs="Arial"/>
          <w:sz w:val="20"/>
          <w:szCs w:val="20"/>
        </w:rPr>
      </w:pPr>
      <w:r w:rsidRPr="004B33AE">
        <w:rPr>
          <w:rFonts w:ascii="Arial" w:hAnsi="Arial" w:cs="Arial"/>
          <w:sz w:val="20"/>
          <w:szCs w:val="20"/>
        </w:rPr>
        <w:t xml:space="preserve">Ďalej </w:t>
      </w:r>
      <w:r w:rsidR="00287A2A">
        <w:rPr>
          <w:rFonts w:ascii="Arial" w:hAnsi="Arial" w:cs="Arial"/>
          <w:sz w:val="20"/>
          <w:szCs w:val="20"/>
        </w:rPr>
        <w:t>RO</w:t>
      </w:r>
      <w:r w:rsidRPr="004B33AE">
        <w:rPr>
          <w:rFonts w:ascii="Arial" w:hAnsi="Arial" w:cs="Arial"/>
          <w:sz w:val="20"/>
          <w:szCs w:val="20"/>
        </w:rPr>
        <w:t xml:space="preserve"> v rámci tej istej aktivity podporuje iba projekty smerujúce k zníženiu emisií základných a ostatných znečisťujúcich látok.</w:t>
      </w:r>
    </w:p>
    <w:p w:rsidR="002416B1" w:rsidRPr="004B33AE" w:rsidRDefault="002416B1" w:rsidP="00507035">
      <w:pPr>
        <w:spacing w:before="120" w:after="120" w:line="360" w:lineRule="auto"/>
        <w:jc w:val="both"/>
        <w:rPr>
          <w:rFonts w:ascii="Arial" w:hAnsi="Arial" w:cs="Arial"/>
          <w:sz w:val="20"/>
          <w:szCs w:val="20"/>
        </w:rPr>
      </w:pPr>
      <w:r w:rsidRPr="004B33AE">
        <w:rPr>
          <w:rFonts w:ascii="Arial" w:hAnsi="Arial" w:cs="Arial"/>
          <w:sz w:val="20"/>
          <w:szCs w:val="20"/>
        </w:rPr>
        <w:t>Projekty podporované MH SR v rámci OP KaHR, prioritná os 1 Inovácie a rast konkurencieschopnosti, sa neprekrývajú vo svojej podstate s aktivitami spadajúcimi pod smernice 2004/42/ES a 99/13/ES, aj keď tieto projekty prispievajú k znižovaniu energetickej náročnosti, znižovaniu environmentálnych dopadov na jednotku produkcie a k zvyšovaniu efektívnosti výroby</w:t>
      </w:r>
    </w:p>
    <w:p w:rsidR="002416B1" w:rsidRPr="004B33AE" w:rsidRDefault="002416B1" w:rsidP="00507035">
      <w:pPr>
        <w:spacing w:before="120" w:after="120" w:line="360" w:lineRule="auto"/>
        <w:jc w:val="both"/>
        <w:rPr>
          <w:rFonts w:ascii="Arial" w:hAnsi="Arial" w:cs="Arial"/>
          <w:sz w:val="20"/>
          <w:szCs w:val="20"/>
        </w:rPr>
      </w:pPr>
      <w:r w:rsidRPr="004B33AE">
        <w:rPr>
          <w:rFonts w:ascii="Arial" w:hAnsi="Arial" w:cs="Arial"/>
          <w:sz w:val="20"/>
          <w:szCs w:val="20"/>
        </w:rPr>
        <w:t xml:space="preserve">Okrem toho MH SR podporuje </w:t>
      </w:r>
      <w:r w:rsidRPr="004B33AE">
        <w:rPr>
          <w:rFonts w:ascii="Arial" w:hAnsi="Arial" w:cs="Arial"/>
          <w:sz w:val="20"/>
          <w:szCs w:val="20"/>
          <w:u w:val="single"/>
        </w:rPr>
        <w:t>inovatívne výrobné technológie</w:t>
      </w:r>
      <w:r w:rsidRPr="004B33AE">
        <w:rPr>
          <w:rFonts w:ascii="Arial" w:hAnsi="Arial" w:cs="Arial"/>
          <w:sz w:val="20"/>
          <w:szCs w:val="20"/>
        </w:rPr>
        <w:t xml:space="preserve">, ktoré zároveň aj znižujú emisie do ovzdušia a do všetkých zložiek životného prostredia. Naproti tomu </w:t>
      </w:r>
      <w:r w:rsidR="00287A2A">
        <w:rPr>
          <w:rFonts w:ascii="Arial" w:hAnsi="Arial" w:cs="Arial"/>
          <w:sz w:val="20"/>
          <w:szCs w:val="20"/>
        </w:rPr>
        <w:t>RO</w:t>
      </w:r>
      <w:r w:rsidRPr="004B33AE">
        <w:rPr>
          <w:rFonts w:ascii="Arial" w:hAnsi="Arial" w:cs="Arial"/>
          <w:sz w:val="20"/>
          <w:szCs w:val="20"/>
        </w:rPr>
        <w:t xml:space="preserve"> </w:t>
      </w:r>
      <w:r w:rsidRPr="004B33AE">
        <w:rPr>
          <w:rFonts w:ascii="Arial" w:hAnsi="Arial" w:cs="Arial"/>
          <w:sz w:val="20"/>
          <w:szCs w:val="20"/>
          <w:u w:val="single"/>
        </w:rPr>
        <w:t>podporuje iba nevýrobné technológie (napr. koncové technológie)</w:t>
      </w:r>
      <w:r w:rsidRPr="004B33AE">
        <w:rPr>
          <w:rFonts w:ascii="Arial" w:hAnsi="Arial" w:cs="Arial"/>
          <w:sz w:val="20"/>
          <w:szCs w:val="20"/>
        </w:rPr>
        <w:t xml:space="preserve"> na znižovanie emisií do ovzdušia (t.j. emisie základných a ostatných znečisťujúcich látok v ovzduší najmä tuhých znečisťujúcich látok (PM</w:t>
      </w:r>
      <w:r w:rsidRPr="004B33AE">
        <w:rPr>
          <w:rFonts w:ascii="Arial" w:hAnsi="Arial" w:cs="Arial"/>
          <w:sz w:val="20"/>
          <w:szCs w:val="20"/>
          <w:vertAlign w:val="subscript"/>
        </w:rPr>
        <w:t>10</w:t>
      </w:r>
      <w:r w:rsidRPr="004B33AE">
        <w:rPr>
          <w:rFonts w:ascii="Arial" w:hAnsi="Arial" w:cs="Arial"/>
          <w:sz w:val="20"/>
          <w:szCs w:val="20"/>
        </w:rPr>
        <w:t>, PM</w:t>
      </w:r>
      <w:r w:rsidRPr="004B33AE">
        <w:rPr>
          <w:rFonts w:ascii="Arial" w:hAnsi="Arial" w:cs="Arial"/>
          <w:sz w:val="20"/>
          <w:szCs w:val="20"/>
          <w:vertAlign w:val="subscript"/>
        </w:rPr>
        <w:t>2,5</w:t>
      </w:r>
      <w:r w:rsidRPr="004B33AE">
        <w:rPr>
          <w:rFonts w:ascii="Arial" w:hAnsi="Arial" w:cs="Arial"/>
          <w:sz w:val="20"/>
          <w:szCs w:val="20"/>
        </w:rPr>
        <w:t>), SO</w:t>
      </w:r>
      <w:r w:rsidRPr="004B33AE">
        <w:rPr>
          <w:rFonts w:ascii="Arial" w:hAnsi="Arial" w:cs="Arial"/>
          <w:sz w:val="20"/>
          <w:szCs w:val="20"/>
          <w:vertAlign w:val="subscript"/>
        </w:rPr>
        <w:t>2</w:t>
      </w:r>
      <w:r w:rsidRPr="004B33AE">
        <w:rPr>
          <w:rFonts w:ascii="Arial" w:hAnsi="Arial" w:cs="Arial"/>
          <w:sz w:val="20"/>
          <w:szCs w:val="20"/>
        </w:rPr>
        <w:t>, NO</w:t>
      </w:r>
      <w:r w:rsidRPr="004B33AE">
        <w:rPr>
          <w:rFonts w:ascii="Arial" w:hAnsi="Arial" w:cs="Arial"/>
          <w:sz w:val="20"/>
          <w:szCs w:val="20"/>
          <w:vertAlign w:val="subscript"/>
        </w:rPr>
        <w:t>X</w:t>
      </w:r>
      <w:r w:rsidRPr="004B33AE">
        <w:rPr>
          <w:rFonts w:ascii="Arial" w:hAnsi="Arial" w:cs="Arial"/>
          <w:sz w:val="20"/>
          <w:szCs w:val="20"/>
        </w:rPr>
        <w:t>, benzén, NH</w:t>
      </w:r>
      <w:r w:rsidRPr="004B33AE">
        <w:rPr>
          <w:rFonts w:ascii="Arial" w:hAnsi="Arial" w:cs="Arial"/>
          <w:sz w:val="20"/>
          <w:szCs w:val="20"/>
          <w:vertAlign w:val="subscript"/>
        </w:rPr>
        <w:t xml:space="preserve">3, </w:t>
      </w:r>
      <w:r w:rsidRPr="004B33AE">
        <w:rPr>
          <w:rFonts w:ascii="Arial" w:hAnsi="Arial" w:cs="Arial"/>
          <w:sz w:val="20"/>
          <w:szCs w:val="20"/>
        </w:rPr>
        <w:t xml:space="preserve">ťažkých kovov a PAH). </w:t>
      </w:r>
    </w:p>
    <w:p w:rsidR="002416B1" w:rsidRPr="004B33AE" w:rsidRDefault="002416B1" w:rsidP="00507035">
      <w:pPr>
        <w:spacing w:before="120" w:after="120" w:line="360" w:lineRule="auto"/>
        <w:jc w:val="both"/>
        <w:rPr>
          <w:rFonts w:ascii="Arial" w:hAnsi="Arial" w:cs="Arial"/>
          <w:sz w:val="20"/>
          <w:szCs w:val="20"/>
        </w:rPr>
      </w:pPr>
      <w:r w:rsidRPr="004B33AE">
        <w:rPr>
          <w:rFonts w:ascii="Arial" w:hAnsi="Arial" w:cs="Arial"/>
          <w:sz w:val="20"/>
          <w:szCs w:val="20"/>
        </w:rPr>
        <w:t xml:space="preserve">V prípade projektov spadajúcich pod OP ŽP, </w:t>
      </w:r>
      <w:r w:rsidRPr="004B33AE">
        <w:rPr>
          <w:rFonts w:ascii="Arial" w:hAnsi="Arial" w:cs="Arial"/>
          <w:bCs/>
          <w:sz w:val="20"/>
          <w:szCs w:val="20"/>
        </w:rPr>
        <w:t>o</w:t>
      </w:r>
      <w:r w:rsidRPr="004B33AE">
        <w:rPr>
          <w:rFonts w:ascii="Arial" w:hAnsi="Arial" w:cs="Arial"/>
          <w:sz w:val="20"/>
          <w:szCs w:val="20"/>
        </w:rPr>
        <w:t>peračný cieľ č. 3. 1 Ochrana ovzdušia, oprávnenej skupiny aktivít: znižovanie emisií základných a ostatných znečisťujúcich látok v ovzduší najmä tuhých znečisťujúcich látok (PM</w:t>
      </w:r>
      <w:r w:rsidRPr="004B33AE">
        <w:rPr>
          <w:rFonts w:ascii="Arial" w:hAnsi="Arial" w:cs="Arial"/>
          <w:sz w:val="20"/>
          <w:szCs w:val="20"/>
          <w:vertAlign w:val="subscript"/>
        </w:rPr>
        <w:t>10</w:t>
      </w:r>
      <w:r w:rsidRPr="004B33AE">
        <w:rPr>
          <w:rFonts w:ascii="Arial" w:hAnsi="Arial" w:cs="Arial"/>
          <w:sz w:val="20"/>
          <w:szCs w:val="20"/>
        </w:rPr>
        <w:t>, PM</w:t>
      </w:r>
      <w:r w:rsidRPr="004B33AE">
        <w:rPr>
          <w:rFonts w:ascii="Arial" w:hAnsi="Arial" w:cs="Arial"/>
          <w:sz w:val="20"/>
          <w:szCs w:val="20"/>
          <w:vertAlign w:val="subscript"/>
        </w:rPr>
        <w:t>2,5</w:t>
      </w:r>
      <w:r w:rsidRPr="004B33AE">
        <w:rPr>
          <w:rFonts w:ascii="Arial" w:hAnsi="Arial" w:cs="Arial"/>
          <w:sz w:val="20"/>
          <w:szCs w:val="20"/>
        </w:rPr>
        <w:t>), SO</w:t>
      </w:r>
      <w:r w:rsidRPr="004B33AE">
        <w:rPr>
          <w:rFonts w:ascii="Arial" w:hAnsi="Arial" w:cs="Arial"/>
          <w:sz w:val="20"/>
          <w:szCs w:val="20"/>
          <w:vertAlign w:val="subscript"/>
        </w:rPr>
        <w:t>2</w:t>
      </w:r>
      <w:r w:rsidRPr="004B33AE">
        <w:rPr>
          <w:rFonts w:ascii="Arial" w:hAnsi="Arial" w:cs="Arial"/>
          <w:sz w:val="20"/>
          <w:szCs w:val="20"/>
        </w:rPr>
        <w:t>, NO</w:t>
      </w:r>
      <w:r w:rsidRPr="004B33AE">
        <w:rPr>
          <w:rFonts w:ascii="Arial" w:hAnsi="Arial" w:cs="Arial"/>
          <w:sz w:val="20"/>
          <w:szCs w:val="20"/>
          <w:vertAlign w:val="subscript"/>
        </w:rPr>
        <w:t>X</w:t>
      </w:r>
      <w:r w:rsidRPr="004B33AE">
        <w:rPr>
          <w:rFonts w:ascii="Arial" w:hAnsi="Arial" w:cs="Arial"/>
          <w:sz w:val="20"/>
          <w:szCs w:val="20"/>
        </w:rPr>
        <w:t>, benzén, VOC, NH</w:t>
      </w:r>
      <w:r w:rsidRPr="004B33AE">
        <w:rPr>
          <w:rFonts w:ascii="Arial" w:hAnsi="Arial" w:cs="Arial"/>
          <w:sz w:val="20"/>
          <w:szCs w:val="20"/>
          <w:vertAlign w:val="subscript"/>
        </w:rPr>
        <w:t xml:space="preserve">3, </w:t>
      </w:r>
      <w:r w:rsidRPr="004B33AE">
        <w:rPr>
          <w:rFonts w:ascii="Arial" w:hAnsi="Arial" w:cs="Arial"/>
          <w:sz w:val="20"/>
          <w:szCs w:val="20"/>
        </w:rPr>
        <w:t xml:space="preserve">ťažkých kovov a PAH a OP KaHR, prioritná os 1 Inovácie a rast konkurencieschopnosti, opatrenie 1.1. Inovácie a technologické transfery, podopatrenie 1.1.1.Podpora zavádzania inovácií a technologických transferov je dodržiavaná vzájomná informovanosť medzi MŽP SR a MH SR ohľadom podaných projektov, aby nedošlo k dvojitému financovaniu. </w:t>
      </w:r>
    </w:p>
    <w:p w:rsidR="002416B1" w:rsidRPr="006A2BF3" w:rsidRDefault="002416B1" w:rsidP="00507035">
      <w:pPr>
        <w:spacing w:before="120" w:after="120" w:line="360" w:lineRule="auto"/>
        <w:jc w:val="both"/>
        <w:rPr>
          <w:rFonts w:ascii="Arial" w:hAnsi="Arial" w:cs="Arial"/>
          <w:i/>
          <w:sz w:val="20"/>
          <w:szCs w:val="20"/>
          <w:u w:val="single"/>
        </w:rPr>
      </w:pPr>
      <w:r w:rsidRPr="006A2BF3">
        <w:rPr>
          <w:rFonts w:ascii="Arial" w:hAnsi="Arial" w:cs="Arial"/>
          <w:i/>
          <w:sz w:val="20"/>
          <w:szCs w:val="20"/>
          <w:u w:val="single"/>
        </w:rPr>
        <w:t>Dodržiavanie deliacej línie na úrovni projektov medzi Regionálnym operačným programom (ďalej len „ROP</w:t>
      </w:r>
      <w:r w:rsidRPr="006A2BF3">
        <w:rPr>
          <w:rFonts w:ascii="Arial" w:hAnsi="Arial" w:cs="Arial"/>
          <w:i/>
          <w:caps/>
          <w:sz w:val="20"/>
          <w:szCs w:val="20"/>
          <w:u w:val="single"/>
        </w:rPr>
        <w:t>“</w:t>
      </w:r>
      <w:r w:rsidRPr="006A2BF3">
        <w:rPr>
          <w:rFonts w:ascii="Arial" w:hAnsi="Arial" w:cs="Arial"/>
          <w:i/>
          <w:sz w:val="20"/>
          <w:szCs w:val="20"/>
          <w:u w:val="single"/>
        </w:rPr>
        <w:t>) a OP ŽP:</w:t>
      </w:r>
    </w:p>
    <w:p w:rsidR="002416B1" w:rsidRPr="006A2BF3" w:rsidRDefault="002416B1" w:rsidP="00507035">
      <w:pPr>
        <w:spacing w:before="120" w:after="120" w:line="360" w:lineRule="auto"/>
        <w:jc w:val="both"/>
        <w:rPr>
          <w:rFonts w:ascii="Arial" w:hAnsi="Arial" w:cs="Arial"/>
          <w:sz w:val="20"/>
          <w:szCs w:val="20"/>
        </w:rPr>
      </w:pPr>
      <w:r w:rsidRPr="006A2BF3">
        <w:rPr>
          <w:rFonts w:ascii="Arial" w:hAnsi="Arial" w:cs="Arial"/>
          <w:sz w:val="20"/>
          <w:szCs w:val="20"/>
        </w:rPr>
        <w:t xml:space="preserve">V rámci prioritnej osi </w:t>
      </w:r>
      <w:r w:rsidRPr="006A2BF3">
        <w:rPr>
          <w:rFonts w:ascii="Arial" w:hAnsi="Arial" w:cs="Arial"/>
          <w:i/>
          <w:sz w:val="20"/>
          <w:szCs w:val="20"/>
        </w:rPr>
        <w:t>4. Regenerácia sídel</w:t>
      </w:r>
      <w:r w:rsidRPr="006A2BF3">
        <w:rPr>
          <w:rFonts w:ascii="Arial" w:hAnsi="Arial" w:cs="Arial"/>
          <w:sz w:val="20"/>
          <w:szCs w:val="20"/>
        </w:rPr>
        <w:t xml:space="preserve"> sú v rámci ROP podporované aktivity zamerané na rekonštrukciu a budovanie vodovodov, a to výlučne v súvislosti s inými aktivitami regenerácie sídiel (napr. rekonštrukcie miestnych komunikácií a verejných priestranstiev), ktoré sú realizované v obciach identifikovaných ako kohézne alebo inovačné póly rastu alebo </w:t>
      </w:r>
      <w:r w:rsidRPr="006A2BF3">
        <w:rPr>
          <w:rFonts w:ascii="Arial" w:hAnsi="Arial" w:cs="Arial"/>
          <w:bCs/>
          <w:sz w:val="20"/>
          <w:szCs w:val="20"/>
        </w:rPr>
        <w:t>v obciach, ktoré nie sú pólmi rastu za podmienky, že ide o obce so separovanými alebo segregovanými rómskymi osadami, ktoré sú evidované v Atlase rómskych komunít.</w:t>
      </w:r>
      <w:r w:rsidRPr="006A2BF3">
        <w:rPr>
          <w:rFonts w:ascii="Arial" w:hAnsi="Arial" w:cs="Arial"/>
          <w:bCs/>
          <w:i/>
          <w:sz w:val="20"/>
          <w:szCs w:val="20"/>
        </w:rPr>
        <w:t xml:space="preserve"> </w:t>
      </w:r>
      <w:r w:rsidRPr="006A2BF3">
        <w:rPr>
          <w:rFonts w:ascii="Arial" w:hAnsi="Arial" w:cs="Arial"/>
          <w:sz w:val="20"/>
          <w:szCs w:val="20"/>
        </w:rPr>
        <w:t xml:space="preserve">V rámci ROP nie je primárne riešená vybavenosť obce inžinierskymi sieťami. </w:t>
      </w:r>
      <w:r w:rsidRPr="006A2BF3">
        <w:rPr>
          <w:rFonts w:ascii="Arial" w:hAnsi="Arial" w:cs="Arial"/>
          <w:bCs/>
          <w:i/>
          <w:sz w:val="20"/>
          <w:szCs w:val="20"/>
        </w:rPr>
        <w:t>V operačnom cieli 1.1 OP ŽP</w:t>
      </w:r>
      <w:r w:rsidRPr="006A2BF3">
        <w:rPr>
          <w:rFonts w:ascii="Arial" w:hAnsi="Arial" w:cs="Arial"/>
          <w:bCs/>
          <w:sz w:val="20"/>
          <w:szCs w:val="20"/>
        </w:rPr>
        <w:t xml:space="preserve"> sú podporované samostatne realizované projekty </w:t>
      </w:r>
      <w:r w:rsidRPr="006A2BF3">
        <w:rPr>
          <w:rFonts w:ascii="Arial" w:hAnsi="Arial" w:cs="Arial"/>
          <w:sz w:val="20"/>
          <w:szCs w:val="20"/>
        </w:rPr>
        <w:t xml:space="preserve">zamerané na rekonštrukciu a budovanie verejných vodovodov pre obce. </w:t>
      </w:r>
    </w:p>
    <w:p w:rsidR="002416B1" w:rsidRPr="006A2BF3" w:rsidRDefault="002416B1" w:rsidP="00507035">
      <w:pPr>
        <w:spacing w:before="120" w:after="120" w:line="360" w:lineRule="auto"/>
        <w:jc w:val="both"/>
        <w:rPr>
          <w:rFonts w:ascii="Arial" w:hAnsi="Arial" w:cs="Arial"/>
          <w:bCs/>
          <w:sz w:val="20"/>
          <w:szCs w:val="20"/>
        </w:rPr>
      </w:pPr>
      <w:r w:rsidRPr="006A2BF3">
        <w:rPr>
          <w:rFonts w:ascii="Arial" w:hAnsi="Arial" w:cs="Arial"/>
          <w:bCs/>
          <w:sz w:val="20"/>
          <w:szCs w:val="20"/>
        </w:rPr>
        <w:t>Vo výberovom procese sú riadiacimi orgánmi pre ROP a OP ŽP využívané informácie zo systému ITMS za účelom vylúčenia možnosti duplicitného financovania.</w:t>
      </w:r>
    </w:p>
    <w:p w:rsidR="002416B1" w:rsidRPr="006A2BF3" w:rsidRDefault="002416B1" w:rsidP="00507035">
      <w:pPr>
        <w:spacing w:before="120" w:after="120" w:line="360" w:lineRule="auto"/>
        <w:jc w:val="both"/>
        <w:rPr>
          <w:rFonts w:ascii="Arial" w:hAnsi="Arial" w:cs="Arial"/>
          <w:bCs/>
          <w:sz w:val="20"/>
          <w:szCs w:val="20"/>
          <w:highlight w:val="yellow"/>
        </w:rPr>
      </w:pPr>
      <w:r w:rsidRPr="006A2BF3">
        <w:rPr>
          <w:rFonts w:ascii="Arial" w:hAnsi="Arial" w:cs="Arial"/>
          <w:bCs/>
          <w:sz w:val="20"/>
          <w:szCs w:val="20"/>
        </w:rPr>
        <w:t>Uvedená podmienka platí aj pri tematicky podobných opatreniach prioritnej osi 4 ROP a operačných cieľov 1.2 OP ŽP a 2.1 OP ŽP, na úrovni ktorých sú taktiež vytvorené deliace línie.</w:t>
      </w:r>
    </w:p>
    <w:p w:rsidR="002416B1" w:rsidRPr="006A2BF3" w:rsidRDefault="002416B1" w:rsidP="00507035">
      <w:pPr>
        <w:spacing w:before="120" w:after="120" w:line="360" w:lineRule="auto"/>
        <w:jc w:val="both"/>
        <w:rPr>
          <w:rFonts w:ascii="Arial" w:hAnsi="Arial" w:cs="Arial"/>
          <w:i/>
          <w:sz w:val="20"/>
          <w:szCs w:val="20"/>
          <w:u w:val="single"/>
        </w:rPr>
      </w:pPr>
      <w:r w:rsidRPr="006A2BF3">
        <w:rPr>
          <w:rFonts w:ascii="Arial" w:hAnsi="Arial" w:cs="Arial"/>
          <w:i/>
          <w:sz w:val="20"/>
          <w:szCs w:val="20"/>
          <w:u w:val="single"/>
        </w:rPr>
        <w:t>Dodržiavanie deliacej línie na úrovni projektov medzi OP Doprava a OP ŽP:</w:t>
      </w:r>
    </w:p>
    <w:p w:rsidR="002416B1" w:rsidRPr="006A2BF3" w:rsidRDefault="002416B1" w:rsidP="00507035">
      <w:pPr>
        <w:spacing w:before="120" w:after="120" w:line="360" w:lineRule="auto"/>
        <w:jc w:val="both"/>
        <w:rPr>
          <w:rFonts w:ascii="Arial" w:hAnsi="Arial" w:cs="Arial"/>
          <w:sz w:val="20"/>
          <w:szCs w:val="20"/>
        </w:rPr>
      </w:pPr>
      <w:r w:rsidRPr="006A2BF3">
        <w:rPr>
          <w:rFonts w:ascii="Arial" w:hAnsi="Arial" w:cs="Arial"/>
          <w:sz w:val="20"/>
          <w:szCs w:val="20"/>
        </w:rPr>
        <w:t xml:space="preserve">V rámci prioritnej osi </w:t>
      </w:r>
      <w:r w:rsidRPr="006A2BF3">
        <w:rPr>
          <w:rFonts w:ascii="Arial" w:hAnsi="Arial" w:cs="Arial"/>
          <w:i/>
          <w:sz w:val="20"/>
          <w:szCs w:val="20"/>
        </w:rPr>
        <w:t>4 Infraštruktúra integrovaných dopravných systémov</w:t>
      </w:r>
      <w:r w:rsidRPr="006A2BF3">
        <w:rPr>
          <w:rFonts w:ascii="Arial" w:hAnsi="Arial" w:cs="Arial"/>
          <w:sz w:val="20"/>
          <w:szCs w:val="20"/>
        </w:rPr>
        <w:t xml:space="preserve"> </w:t>
      </w:r>
      <w:r w:rsidRPr="006A2BF3">
        <w:rPr>
          <w:rFonts w:ascii="Arial" w:hAnsi="Arial" w:cs="Arial"/>
          <w:i/>
          <w:sz w:val="20"/>
          <w:szCs w:val="20"/>
        </w:rPr>
        <w:t>OP Doprava</w:t>
      </w:r>
      <w:r w:rsidRPr="006A2BF3">
        <w:rPr>
          <w:rFonts w:ascii="Arial" w:hAnsi="Arial" w:cs="Arial"/>
          <w:sz w:val="20"/>
          <w:szCs w:val="20"/>
        </w:rPr>
        <w:t xml:space="preserve"> je podporovaná výstavba (resp. modernizácia, prispôsobenie) nosnej koľajovej infraštruktúry v mestách Bratislava a Košice pre prevádzku integrovaných systémov mestskej dopravy. V rámci prioritnej osi 6 Železničná verejná osobná doprava dochádza k obnove železničných koľajových vozidiel pre osobnú dopravu. </w:t>
      </w:r>
      <w:r w:rsidRPr="006A2BF3">
        <w:rPr>
          <w:rFonts w:ascii="Arial" w:hAnsi="Arial" w:cs="Arial"/>
          <w:bCs/>
          <w:iCs/>
          <w:sz w:val="20"/>
          <w:szCs w:val="20"/>
        </w:rPr>
        <w:t xml:space="preserve">Realizáciou prioritnej osi 4 s nadväznosťou na prioritnú os 6 Železničná verejná osobná doprava sa vytvoria podmienky pre zvýšenie podielu ekologickej verejnej železničnej osobnej dopravy, ako aj mestskej hromadnej dopravy. </w:t>
      </w:r>
      <w:r w:rsidRPr="006A2BF3">
        <w:rPr>
          <w:rFonts w:ascii="Arial" w:hAnsi="Arial" w:cs="Arial"/>
          <w:i/>
          <w:sz w:val="20"/>
          <w:szCs w:val="20"/>
        </w:rPr>
        <w:t>V rámci operačného cieľa 3.1 Ochrana ovzdušia OP ŽP</w:t>
      </w:r>
      <w:r w:rsidRPr="006A2BF3">
        <w:rPr>
          <w:rFonts w:ascii="Arial" w:hAnsi="Arial" w:cs="Arial"/>
          <w:sz w:val="20"/>
          <w:szCs w:val="20"/>
        </w:rPr>
        <w:t xml:space="preserve"> budú, prioritne v oblastiach vyžadujúcich osobitnú ochranu ovzdušia, podporené aktivity zamerané na zníženie emisií znečisťujúcich látok z verejnej dopravy, ktorá patrí k mobilným zdrojom znečisťovania ovzdušia. Podporená bude plynofikácia autobusov verejnej dopravy (mestskej aj medzimestskej) a budovanie CNG čerpacích staníc, ako aj nákup trolejbusov a električiek ako náhrady za autobusovú dopravu.</w:t>
      </w:r>
    </w:p>
    <w:p w:rsidR="002416B1" w:rsidRPr="006A2BF3" w:rsidRDefault="002416B1" w:rsidP="00507035">
      <w:pPr>
        <w:spacing w:before="120" w:after="120" w:line="360" w:lineRule="auto"/>
        <w:jc w:val="both"/>
        <w:rPr>
          <w:rFonts w:ascii="Arial" w:hAnsi="Arial" w:cs="Arial"/>
          <w:sz w:val="20"/>
          <w:szCs w:val="20"/>
        </w:rPr>
      </w:pPr>
      <w:r w:rsidRPr="006A2BF3">
        <w:rPr>
          <w:rFonts w:ascii="Arial" w:hAnsi="Arial" w:cs="Arial"/>
          <w:i/>
          <w:sz w:val="20"/>
          <w:szCs w:val="20"/>
          <w:u w:val="single"/>
        </w:rPr>
        <w:t>Dodržiavanie deliacej línie na úrovni projektov medzi OP Bratislavský kraj (ďalej len „OP BK“) a OP ŽP:</w:t>
      </w:r>
    </w:p>
    <w:p w:rsidR="002416B1" w:rsidRPr="006A2BF3" w:rsidRDefault="002416B1" w:rsidP="00507035">
      <w:pPr>
        <w:spacing w:before="120" w:after="120" w:line="360" w:lineRule="auto"/>
        <w:jc w:val="both"/>
        <w:rPr>
          <w:rFonts w:ascii="Arial" w:hAnsi="Arial" w:cs="Arial"/>
          <w:b/>
          <w:bCs/>
          <w:sz w:val="20"/>
          <w:szCs w:val="20"/>
          <w:u w:val="single"/>
        </w:rPr>
      </w:pPr>
      <w:r w:rsidRPr="006A2BF3">
        <w:rPr>
          <w:rFonts w:ascii="Arial" w:hAnsi="Arial" w:cs="Arial"/>
          <w:bCs/>
          <w:sz w:val="20"/>
          <w:szCs w:val="20"/>
        </w:rPr>
        <w:t xml:space="preserve">Deliaca línia s operačným cieľom 3.2 OP ŽP, financovaným z ERDF, je daná hranicami území oprávnenými pre cieľ Konvergencia a Regionálna konkurencieschopnosť a zamestnanosť. </w:t>
      </w:r>
      <w:r w:rsidRPr="006A2BF3">
        <w:rPr>
          <w:rFonts w:ascii="Arial" w:hAnsi="Arial" w:cs="Arial"/>
          <w:bCs/>
          <w:i/>
          <w:sz w:val="20"/>
          <w:szCs w:val="20"/>
        </w:rPr>
        <w:t>V rámci opatrenia 2.1 Inovácie a technologické transfery OP BK</w:t>
      </w:r>
      <w:r w:rsidRPr="006A2BF3">
        <w:rPr>
          <w:rFonts w:ascii="Arial" w:hAnsi="Arial" w:cs="Arial"/>
          <w:bCs/>
          <w:sz w:val="20"/>
          <w:szCs w:val="20"/>
        </w:rPr>
        <w:t xml:space="preserve"> budú podporované aktivity na území Bratislavského kraja. V rámci prioritnej osi 3 OP ŽP sú podporované aktivity na celom území SR s výnimkou Bratislavského kraja.</w:t>
      </w:r>
    </w:p>
    <w:p w:rsidR="002416B1" w:rsidRPr="006A2BF3" w:rsidRDefault="002416B1" w:rsidP="00507035">
      <w:pPr>
        <w:spacing w:before="120" w:after="120" w:line="360" w:lineRule="auto"/>
        <w:jc w:val="both"/>
        <w:rPr>
          <w:rFonts w:ascii="Arial" w:hAnsi="Arial" w:cs="Arial"/>
          <w:bCs/>
          <w:sz w:val="20"/>
          <w:szCs w:val="20"/>
        </w:rPr>
      </w:pPr>
      <w:r w:rsidRPr="006A2BF3">
        <w:rPr>
          <w:rFonts w:ascii="Arial" w:hAnsi="Arial" w:cs="Arial"/>
          <w:bCs/>
          <w:sz w:val="20"/>
          <w:szCs w:val="20"/>
        </w:rPr>
        <w:t xml:space="preserve">Deliaca línia s operačným cieľom 5.1 (programy starostlivosti) OP ŽP, financovaným z ERDF, je daná hranicami území oprávnenými pre cieľ Konvergencia a Regionálna konkurencieschopnosť a zamestnanosť. </w:t>
      </w:r>
      <w:r w:rsidRPr="006A2BF3">
        <w:rPr>
          <w:rFonts w:ascii="Arial" w:hAnsi="Arial" w:cs="Arial"/>
          <w:bCs/>
          <w:i/>
          <w:sz w:val="20"/>
          <w:szCs w:val="20"/>
        </w:rPr>
        <w:t>V rámci OP BK Opatrenie 1.1 Regenerácia sídiel</w:t>
      </w:r>
      <w:r w:rsidRPr="006A2BF3">
        <w:rPr>
          <w:rFonts w:ascii="Arial" w:hAnsi="Arial" w:cs="Arial"/>
          <w:bCs/>
          <w:sz w:val="20"/>
          <w:szCs w:val="20"/>
        </w:rPr>
        <w:t xml:space="preserve"> sú podporované aktivity na území Bratislavského kraja. </w:t>
      </w:r>
      <w:r w:rsidRPr="006A2BF3">
        <w:rPr>
          <w:rFonts w:ascii="Arial" w:hAnsi="Arial" w:cs="Arial"/>
          <w:bCs/>
          <w:i/>
          <w:sz w:val="20"/>
          <w:szCs w:val="20"/>
        </w:rPr>
        <w:t>V rámci prioritnej osi 5 OP ŽP</w:t>
      </w:r>
      <w:r w:rsidRPr="006A2BF3">
        <w:rPr>
          <w:rFonts w:ascii="Arial" w:hAnsi="Arial" w:cs="Arial"/>
          <w:bCs/>
          <w:sz w:val="20"/>
          <w:szCs w:val="20"/>
        </w:rPr>
        <w:t xml:space="preserve"> sú podporované aktivity na celom území SR s výnimkou Bratislavského kraja.</w:t>
      </w:r>
    </w:p>
    <w:p w:rsidR="002416B1" w:rsidRPr="006A2BF3" w:rsidRDefault="002416B1" w:rsidP="00507035">
      <w:pPr>
        <w:spacing w:before="120" w:after="120" w:line="360" w:lineRule="auto"/>
        <w:jc w:val="both"/>
        <w:rPr>
          <w:rFonts w:ascii="Arial" w:hAnsi="Arial" w:cs="Arial"/>
          <w:sz w:val="20"/>
          <w:szCs w:val="20"/>
        </w:rPr>
      </w:pPr>
      <w:r w:rsidRPr="006A2BF3">
        <w:rPr>
          <w:rFonts w:ascii="Arial" w:hAnsi="Arial" w:cs="Arial"/>
          <w:sz w:val="20"/>
          <w:szCs w:val="20"/>
        </w:rPr>
        <w:t>OP ŽP, ako aj prioritné osi, ktoré sú jeho súčasťou, sa taktiež dopĺňajú (prípadne vytvárajú aj synergické efekty) s prioritami SR pre cieľ Európska teritoriálna spolupráca v oblastiach cezhraničnej spolupráce a transcendentálnej (nadnárodnej) spolupráce.</w:t>
      </w:r>
    </w:p>
    <w:p w:rsidR="002416B1" w:rsidRPr="006A2BF3" w:rsidRDefault="002416B1" w:rsidP="00507035">
      <w:pPr>
        <w:spacing w:before="120" w:after="120" w:line="360" w:lineRule="auto"/>
        <w:jc w:val="both"/>
        <w:rPr>
          <w:rFonts w:ascii="Arial" w:hAnsi="Arial" w:cs="Arial"/>
          <w:bCs/>
          <w:i/>
          <w:sz w:val="20"/>
          <w:szCs w:val="20"/>
          <w:u w:val="single"/>
        </w:rPr>
      </w:pPr>
      <w:r w:rsidRPr="006A2BF3">
        <w:rPr>
          <w:rFonts w:ascii="Arial" w:hAnsi="Arial" w:cs="Arial"/>
          <w:bCs/>
          <w:i/>
          <w:sz w:val="20"/>
          <w:szCs w:val="20"/>
          <w:u w:val="single"/>
        </w:rPr>
        <w:t>Program nadnárodnej spolupráce Stredná Európa (2007 – 2013)</w:t>
      </w:r>
    </w:p>
    <w:p w:rsidR="002416B1" w:rsidRPr="005E14F1" w:rsidRDefault="00B97631" w:rsidP="00507035">
      <w:pPr>
        <w:spacing w:before="120" w:after="120" w:line="360" w:lineRule="auto"/>
        <w:jc w:val="both"/>
        <w:rPr>
          <w:rFonts w:ascii="Arial" w:hAnsi="Arial" w:cs="Arial"/>
          <w:sz w:val="20"/>
          <w:szCs w:val="20"/>
        </w:rPr>
      </w:pPr>
      <w:r>
        <w:rPr>
          <w:rFonts w:ascii="Arial" w:hAnsi="Arial" w:cs="Arial"/>
          <w:sz w:val="20"/>
          <w:szCs w:val="20"/>
        </w:rPr>
        <w:t xml:space="preserve">Posledná výzva pre program nadnárodnej spolupráce Stredná Európa </w:t>
      </w:r>
      <w:r w:rsidR="002416B1" w:rsidRPr="005E14F1">
        <w:rPr>
          <w:rFonts w:ascii="Arial" w:hAnsi="Arial" w:cs="Arial"/>
          <w:sz w:val="20"/>
          <w:szCs w:val="20"/>
        </w:rPr>
        <w:t xml:space="preserve"> (2007-2013) bola </w:t>
      </w:r>
      <w:r>
        <w:rPr>
          <w:rFonts w:ascii="Arial" w:hAnsi="Arial" w:cs="Arial"/>
          <w:sz w:val="20"/>
          <w:szCs w:val="20"/>
        </w:rPr>
        <w:t xml:space="preserve"> ukončená 14.októbra </w:t>
      </w:r>
      <w:r w:rsidR="002416B1" w:rsidRPr="005E14F1">
        <w:rPr>
          <w:rFonts w:ascii="Arial" w:hAnsi="Arial" w:cs="Arial"/>
          <w:sz w:val="20"/>
          <w:szCs w:val="20"/>
        </w:rPr>
        <w:t xml:space="preserve"> 201</w:t>
      </w:r>
      <w:r w:rsidR="002416B1">
        <w:rPr>
          <w:rFonts w:ascii="Arial" w:hAnsi="Arial" w:cs="Arial"/>
          <w:sz w:val="20"/>
          <w:szCs w:val="20"/>
        </w:rPr>
        <w:t>1</w:t>
      </w:r>
      <w:r>
        <w:rPr>
          <w:rFonts w:ascii="Arial" w:hAnsi="Arial" w:cs="Arial"/>
          <w:sz w:val="20"/>
          <w:szCs w:val="20"/>
        </w:rPr>
        <w:t>. V roku 2012 v rámci programu Stredná Európa bola skupinou expertov vypracovaná regionálna analýza súčasného programového obdobia na základe ktorej sa budú definovať prioritné oblasti pre nové programové obdobie 2014 – 2020.</w:t>
      </w:r>
      <w:r w:rsidR="002416B1" w:rsidRPr="005E14F1">
        <w:rPr>
          <w:rFonts w:ascii="Arial" w:hAnsi="Arial" w:cs="Arial"/>
          <w:sz w:val="20"/>
          <w:szCs w:val="20"/>
        </w:rPr>
        <w:t xml:space="preserve"> Program Stredná Európa zahŕňa 8 krajín: Rakúsko, Českú republiku, časť Nemecka, Maďarsko, časť Talianska, Poľsko, Slovenskú republiku a Slovinsko.</w:t>
      </w:r>
      <w:r>
        <w:rPr>
          <w:rFonts w:ascii="Arial" w:hAnsi="Arial" w:cs="Arial"/>
          <w:sz w:val="20"/>
          <w:szCs w:val="20"/>
        </w:rPr>
        <w:t xml:space="preserve"> </w:t>
      </w:r>
    </w:p>
    <w:p w:rsidR="002416B1" w:rsidRPr="005E14F1" w:rsidRDefault="002416B1" w:rsidP="00507035">
      <w:pPr>
        <w:spacing w:before="120" w:after="120" w:line="360" w:lineRule="auto"/>
        <w:jc w:val="both"/>
        <w:rPr>
          <w:rFonts w:ascii="Arial" w:hAnsi="Arial" w:cs="Arial"/>
          <w:sz w:val="20"/>
          <w:szCs w:val="20"/>
        </w:rPr>
      </w:pPr>
      <w:r w:rsidRPr="005E14F1">
        <w:rPr>
          <w:rFonts w:ascii="Arial" w:hAnsi="Arial" w:cs="Arial"/>
          <w:sz w:val="20"/>
          <w:szCs w:val="20"/>
        </w:rPr>
        <w:t xml:space="preserve">V rámci </w:t>
      </w:r>
      <w:r>
        <w:rPr>
          <w:rFonts w:ascii="Arial" w:hAnsi="Arial" w:cs="Arial"/>
          <w:sz w:val="20"/>
          <w:szCs w:val="20"/>
        </w:rPr>
        <w:t>štvrtej</w:t>
      </w:r>
      <w:r w:rsidRPr="005E14F1">
        <w:rPr>
          <w:rFonts w:ascii="Arial" w:hAnsi="Arial" w:cs="Arial"/>
          <w:sz w:val="20"/>
          <w:szCs w:val="20"/>
        </w:rPr>
        <w:t xml:space="preserve"> výzvy na predkladanie projektov bolo celkovo predložených 1</w:t>
      </w:r>
      <w:r>
        <w:rPr>
          <w:rFonts w:ascii="Arial" w:hAnsi="Arial" w:cs="Arial"/>
          <w:sz w:val="20"/>
          <w:szCs w:val="20"/>
        </w:rPr>
        <w:t>01</w:t>
      </w:r>
      <w:r w:rsidRPr="005E14F1">
        <w:rPr>
          <w:rFonts w:ascii="Arial" w:hAnsi="Arial" w:cs="Arial"/>
          <w:sz w:val="20"/>
          <w:szCs w:val="20"/>
        </w:rPr>
        <w:t xml:space="preserve"> žiadostí v celkovom objeme 2</w:t>
      </w:r>
      <w:r>
        <w:rPr>
          <w:rFonts w:ascii="Arial" w:hAnsi="Arial" w:cs="Arial"/>
          <w:sz w:val="20"/>
          <w:szCs w:val="20"/>
        </w:rPr>
        <w:t>2,5</w:t>
      </w:r>
      <w:r w:rsidRPr="005E14F1">
        <w:rPr>
          <w:rFonts w:ascii="Arial" w:hAnsi="Arial" w:cs="Arial"/>
          <w:sz w:val="20"/>
          <w:szCs w:val="20"/>
        </w:rPr>
        <w:t xml:space="preserve"> miliónov EUR požadovaného príspevku z ERDF. Zo Slovenskej republiky sa do </w:t>
      </w:r>
      <w:r>
        <w:rPr>
          <w:rFonts w:ascii="Arial" w:hAnsi="Arial" w:cs="Arial"/>
          <w:sz w:val="20"/>
          <w:szCs w:val="20"/>
        </w:rPr>
        <w:t>štvrte</w:t>
      </w:r>
      <w:r w:rsidRPr="005E14F1">
        <w:rPr>
          <w:rFonts w:ascii="Arial" w:hAnsi="Arial" w:cs="Arial"/>
          <w:sz w:val="20"/>
          <w:szCs w:val="20"/>
        </w:rPr>
        <w:t xml:space="preserve">j výzvy zapojilo celkovo </w:t>
      </w:r>
      <w:r>
        <w:rPr>
          <w:rFonts w:ascii="Arial" w:hAnsi="Arial" w:cs="Arial"/>
          <w:sz w:val="20"/>
          <w:szCs w:val="20"/>
        </w:rPr>
        <w:t>46</w:t>
      </w:r>
      <w:r w:rsidRPr="005E14F1">
        <w:rPr>
          <w:rFonts w:ascii="Arial" w:hAnsi="Arial" w:cs="Arial"/>
          <w:sz w:val="20"/>
          <w:szCs w:val="20"/>
        </w:rPr>
        <w:t xml:space="preserve"> projektových partnerov, z toho </w:t>
      </w:r>
      <w:r>
        <w:rPr>
          <w:rFonts w:ascii="Arial" w:hAnsi="Arial" w:cs="Arial"/>
          <w:sz w:val="20"/>
          <w:szCs w:val="20"/>
        </w:rPr>
        <w:t>3</w:t>
      </w:r>
      <w:r w:rsidRPr="005E14F1">
        <w:rPr>
          <w:rFonts w:ascii="Arial" w:hAnsi="Arial" w:cs="Arial"/>
          <w:sz w:val="20"/>
          <w:szCs w:val="20"/>
        </w:rPr>
        <w:t xml:space="preserve"> subjekty ako vedúci partneri. </w:t>
      </w:r>
      <w:r w:rsidR="00D6114B">
        <w:rPr>
          <w:rFonts w:ascii="Arial" w:hAnsi="Arial" w:cs="Arial"/>
          <w:sz w:val="20"/>
          <w:szCs w:val="20"/>
        </w:rPr>
        <w:t xml:space="preserve">V rámci 4. </w:t>
      </w:r>
      <w:r w:rsidR="00701887">
        <w:rPr>
          <w:rFonts w:ascii="Arial" w:hAnsi="Arial" w:cs="Arial"/>
          <w:sz w:val="20"/>
          <w:szCs w:val="20"/>
        </w:rPr>
        <w:t>v</w:t>
      </w:r>
      <w:r w:rsidR="00D6114B">
        <w:rPr>
          <w:rFonts w:ascii="Arial" w:hAnsi="Arial" w:cs="Arial"/>
          <w:sz w:val="20"/>
          <w:szCs w:val="20"/>
        </w:rPr>
        <w:t xml:space="preserve">ýzvy na predkladanie projektov bolo schválených 23 projektov </w:t>
      </w:r>
      <w:r w:rsidR="00701887">
        <w:rPr>
          <w:rFonts w:ascii="Arial" w:hAnsi="Arial" w:cs="Arial"/>
          <w:sz w:val="20"/>
          <w:szCs w:val="20"/>
        </w:rPr>
        <w:t>z toho v 10 projektov sú medzi partnermi projektu slovenské subjekty.</w:t>
      </w:r>
    </w:p>
    <w:p w:rsidR="002416B1" w:rsidRPr="004B33AE" w:rsidRDefault="002416B1" w:rsidP="00507035">
      <w:pPr>
        <w:spacing w:before="120" w:after="120" w:line="360" w:lineRule="auto"/>
        <w:jc w:val="both"/>
        <w:rPr>
          <w:rFonts w:ascii="Arial" w:hAnsi="Arial" w:cs="Arial"/>
          <w:sz w:val="20"/>
          <w:szCs w:val="20"/>
        </w:rPr>
      </w:pPr>
      <w:r w:rsidRPr="005E14F1">
        <w:rPr>
          <w:rFonts w:ascii="Arial" w:hAnsi="Arial" w:cs="Arial"/>
          <w:sz w:val="20"/>
          <w:szCs w:val="20"/>
        </w:rPr>
        <w:t>Všeobecný cieľ Národného strategického referenčného rámca SR pre programové obdobie 2007 – 2013 napĺňanie politiky súdržnosti prostredníctvom koncentrácie príspevk</w:t>
      </w:r>
      <w:r>
        <w:rPr>
          <w:rFonts w:ascii="Arial" w:hAnsi="Arial" w:cs="Arial"/>
          <w:sz w:val="20"/>
          <w:szCs w:val="20"/>
        </w:rPr>
        <w:t xml:space="preserve">ov sa vykonáva prostredníctvom </w:t>
      </w:r>
      <w:r w:rsidRPr="005E14F1">
        <w:rPr>
          <w:rFonts w:ascii="Arial" w:hAnsi="Arial" w:cs="Arial"/>
          <w:sz w:val="20"/>
          <w:szCs w:val="20"/>
        </w:rPr>
        <w:t xml:space="preserve">dvoch hlavných cieľov: </w:t>
      </w:r>
      <w:r w:rsidRPr="005E14F1">
        <w:rPr>
          <w:rFonts w:ascii="Arial" w:hAnsi="Arial" w:cs="Arial"/>
          <w:bCs/>
          <w:sz w:val="20"/>
          <w:szCs w:val="20"/>
        </w:rPr>
        <w:t>Konvergencia a Regionálna konkurencieschopnosť a zamestnanosť.</w:t>
      </w:r>
      <w:r w:rsidRPr="005E14F1">
        <w:rPr>
          <w:rFonts w:ascii="Arial" w:hAnsi="Arial" w:cs="Arial"/>
          <w:b/>
          <w:bCs/>
          <w:sz w:val="20"/>
          <w:szCs w:val="20"/>
        </w:rPr>
        <w:t xml:space="preserve"> </w:t>
      </w:r>
      <w:r w:rsidRPr="005E14F1">
        <w:rPr>
          <w:rFonts w:ascii="Arial" w:hAnsi="Arial" w:cs="Arial"/>
          <w:bCs/>
          <w:sz w:val="20"/>
          <w:szCs w:val="20"/>
        </w:rPr>
        <w:t xml:space="preserve">NSRR nezahŕňa tretí cieľ definovaný </w:t>
      </w:r>
      <w:r w:rsidRPr="005E14F1">
        <w:rPr>
          <w:rFonts w:ascii="Arial" w:hAnsi="Arial" w:cs="Arial"/>
          <w:sz w:val="20"/>
          <w:szCs w:val="20"/>
        </w:rPr>
        <w:t xml:space="preserve">v súlade s nariadením Rady (ES) č. 1083/2006 z 11. júla 2006 ktorým sa ustanovujú všeobecné ustanovenia o Európskom fonde regionálneho rozvoja, Európskom sociálnom fonde a Kohéznom fonde a ktorým sa zrušuje nariadenie (ES) č. 1260/1999 v znení neskorších predpisov - cieľ </w:t>
      </w:r>
      <w:r w:rsidRPr="005E14F1">
        <w:rPr>
          <w:rFonts w:ascii="Arial" w:hAnsi="Arial" w:cs="Arial"/>
          <w:bCs/>
          <w:sz w:val="20"/>
          <w:szCs w:val="20"/>
        </w:rPr>
        <w:t>Európska teritoriálna spolupráca,</w:t>
      </w:r>
      <w:r w:rsidRPr="005E14F1">
        <w:rPr>
          <w:rFonts w:ascii="Arial" w:hAnsi="Arial" w:cs="Arial"/>
          <w:b/>
          <w:bCs/>
          <w:sz w:val="20"/>
          <w:szCs w:val="20"/>
        </w:rPr>
        <w:t xml:space="preserve"> </w:t>
      </w:r>
      <w:r w:rsidRPr="005E14F1">
        <w:rPr>
          <w:rFonts w:ascii="Arial" w:hAnsi="Arial" w:cs="Arial"/>
          <w:bCs/>
          <w:sz w:val="20"/>
          <w:szCs w:val="20"/>
        </w:rPr>
        <w:t xml:space="preserve">na napĺňanie ktorého bol schválený </w:t>
      </w:r>
      <w:r w:rsidRPr="005E14F1">
        <w:rPr>
          <w:rFonts w:ascii="Arial" w:hAnsi="Arial" w:cs="Arial"/>
          <w:sz w:val="20"/>
          <w:szCs w:val="20"/>
        </w:rPr>
        <w:t>Operačný prog</w:t>
      </w:r>
      <w:r>
        <w:rPr>
          <w:rFonts w:ascii="Arial" w:hAnsi="Arial" w:cs="Arial"/>
          <w:sz w:val="20"/>
          <w:szCs w:val="20"/>
        </w:rPr>
        <w:t>ram Stredná Európa 2007 – 2013.</w:t>
      </w:r>
    </w:p>
    <w:p w:rsidR="002416B1" w:rsidRPr="004B33AE" w:rsidRDefault="002416B1" w:rsidP="00507035">
      <w:pPr>
        <w:spacing w:before="120" w:after="120" w:line="360" w:lineRule="auto"/>
        <w:jc w:val="both"/>
        <w:rPr>
          <w:rFonts w:ascii="Arial" w:hAnsi="Arial" w:cs="Arial"/>
          <w:sz w:val="20"/>
          <w:szCs w:val="20"/>
        </w:rPr>
      </w:pPr>
      <w:r w:rsidRPr="004B33AE">
        <w:rPr>
          <w:rFonts w:ascii="Arial" w:hAnsi="Arial" w:cs="Arial"/>
          <w:sz w:val="20"/>
          <w:szCs w:val="20"/>
        </w:rPr>
        <w:t xml:space="preserve">Nadnárodný charakter projektov predkladaných v rámci </w:t>
      </w:r>
      <w:r w:rsidRPr="004B33AE">
        <w:rPr>
          <w:rFonts w:ascii="Arial" w:hAnsi="Arial" w:cs="Arial"/>
          <w:bCs/>
          <w:i/>
          <w:sz w:val="20"/>
          <w:szCs w:val="20"/>
          <w:u w:val="single"/>
        </w:rPr>
        <w:t xml:space="preserve">Programu nadnárodnej spolupráce </w:t>
      </w:r>
      <w:r w:rsidRPr="004B33AE">
        <w:rPr>
          <w:rFonts w:ascii="Arial" w:hAnsi="Arial" w:cs="Arial"/>
          <w:sz w:val="20"/>
          <w:szCs w:val="20"/>
        </w:rPr>
        <w:t>Stredná Európa a spoločná príprava, vykonávanie, spoločný personál a spoločné financovanie projektov vykonávané prijímateľmi združenými v projekte na princípe partnerstva zabezpečujú dostatočné deliace línie s Operačným programom životné prostredie 2007 – 2013.</w:t>
      </w:r>
    </w:p>
    <w:p w:rsidR="002416B1" w:rsidRPr="004B33AE" w:rsidRDefault="002416B1" w:rsidP="00507035">
      <w:pPr>
        <w:spacing w:before="120" w:after="120" w:line="360" w:lineRule="auto"/>
        <w:jc w:val="both"/>
        <w:rPr>
          <w:rFonts w:ascii="Arial" w:hAnsi="Arial" w:cs="Arial"/>
          <w:sz w:val="20"/>
          <w:szCs w:val="20"/>
        </w:rPr>
      </w:pPr>
      <w:r w:rsidRPr="004B33AE">
        <w:rPr>
          <w:rFonts w:ascii="Arial" w:hAnsi="Arial" w:cs="Arial"/>
          <w:sz w:val="20"/>
          <w:szCs w:val="20"/>
        </w:rPr>
        <w:t>Projekty implementované v rámci programu Stredná Európa prispievajú okrem napĺňania</w:t>
      </w:r>
      <w:r>
        <w:rPr>
          <w:rFonts w:ascii="Arial" w:hAnsi="Arial" w:cs="Arial"/>
          <w:sz w:val="20"/>
          <w:szCs w:val="20"/>
        </w:rPr>
        <w:t xml:space="preserve"> </w:t>
      </w:r>
      <w:r w:rsidRPr="004B33AE">
        <w:rPr>
          <w:rFonts w:ascii="Arial" w:hAnsi="Arial" w:cs="Arial"/>
          <w:sz w:val="20"/>
          <w:szCs w:val="20"/>
        </w:rPr>
        <w:t xml:space="preserve">svojich cieľov a k napĺňaniu cieľov </w:t>
      </w:r>
      <w:r w:rsidRPr="006A2BF3">
        <w:rPr>
          <w:rFonts w:ascii="Arial" w:hAnsi="Arial" w:cs="Arial"/>
          <w:i/>
          <w:sz w:val="20"/>
          <w:szCs w:val="20"/>
        </w:rPr>
        <w:t>Dunajskej stratégie</w:t>
      </w:r>
      <w:r w:rsidRPr="004B33AE">
        <w:rPr>
          <w:rFonts w:ascii="Arial" w:hAnsi="Arial" w:cs="Arial"/>
          <w:sz w:val="20"/>
          <w:szCs w:val="20"/>
        </w:rPr>
        <w:t xml:space="preserve">, ktorá bola schválená Európskou radou na jej zasadnutí 24. júna 2011. Vzhľadom na územný charakter Dunajskej stratégie ako koncepčného dokumentu, ako aj na požadované parametre projektov, ktoré by mali mať vplyv na dunajský makroregión alebo aspoň na jeho významnú časť, za relevantné k napĺňaniu cieľov Dunajskej stratégie možno považovať predovšetkým projekty realizované v rámci programov prináležiacich k cieľu Európska územná spolupráca. Jedným z nich je aj program nadnárodnej spolupráce Stredná Európa, ktorého geografický priestor do značenej miery kopíruje geografický priestor Dunajskej stratégie. </w:t>
      </w:r>
    </w:p>
    <w:p w:rsidR="002416B1" w:rsidRPr="004B33AE" w:rsidRDefault="002416B1" w:rsidP="00507035">
      <w:pPr>
        <w:spacing w:before="120" w:after="120" w:line="360" w:lineRule="auto"/>
        <w:jc w:val="both"/>
        <w:rPr>
          <w:rFonts w:ascii="Arial" w:hAnsi="Arial" w:cs="Arial"/>
          <w:sz w:val="20"/>
          <w:szCs w:val="20"/>
        </w:rPr>
      </w:pPr>
      <w:r w:rsidRPr="004B33AE">
        <w:rPr>
          <w:rFonts w:ascii="Arial" w:hAnsi="Arial" w:cs="Arial"/>
          <w:sz w:val="20"/>
          <w:szCs w:val="20"/>
        </w:rPr>
        <w:t>Keďže na realizáciu Dunajskej stratégie nie sú vyčlenené osobitné finančné zdroje, v rámci programu nadnárodnej spolupráce Stredná Európa sa v procese posudzovania predložených projektov zohľadňuje aj príspevok projektov k napĺňaniu priorít Dunajskej stratégie. Takýto postup sa uplatňuje najmä z dôvodu, že oblasť podpory programu nadnárodnej spolupráce a Dunajskej stratégie sa z geografického hľadiska prelínajú.</w:t>
      </w:r>
    </w:p>
    <w:p w:rsidR="002416B1" w:rsidRPr="004B33AE" w:rsidRDefault="002416B1" w:rsidP="00507035">
      <w:pPr>
        <w:spacing w:before="120" w:after="120" w:line="360" w:lineRule="auto"/>
        <w:jc w:val="both"/>
        <w:rPr>
          <w:rFonts w:ascii="Arial" w:hAnsi="Arial" w:cs="Arial"/>
          <w:sz w:val="20"/>
          <w:szCs w:val="20"/>
        </w:rPr>
      </w:pPr>
      <w:r w:rsidRPr="004B33AE">
        <w:rPr>
          <w:rFonts w:ascii="Arial" w:hAnsi="Arial" w:cs="Arial"/>
          <w:sz w:val="20"/>
          <w:szCs w:val="20"/>
        </w:rPr>
        <w:t>Program nadnárodnej spolupráce Stredná Európa má vzhľadom na zameranie jeho jednotlivých prioritných osí potenciál prispieť k napĺňaniu cieľov Dunajskej stratégie v rámci viacerých jej pilierov, a to: I. Prepojenie podunajskej oblasti – zlepšenie mobility a multimodality, podpora udržateľnejších zdrojov energií; II. Ochrana životného prostredia v podunajskej oblasti, III. Rozvíjanie prosperity v podunajskej oblasti - rozvoj znalostnej spoločnosti prostredníctvom výskumu a informačných technológií, podpora konkurencieschopnosti podnikov vrátane rozvoja zoskupení.</w:t>
      </w:r>
    </w:p>
    <w:p w:rsidR="002416B1" w:rsidRPr="004B33AE" w:rsidRDefault="002416B1" w:rsidP="00507035">
      <w:pPr>
        <w:spacing w:before="120" w:after="120" w:line="360" w:lineRule="auto"/>
        <w:jc w:val="both"/>
        <w:rPr>
          <w:rFonts w:ascii="Arial" w:hAnsi="Arial" w:cs="Arial"/>
          <w:sz w:val="20"/>
          <w:szCs w:val="20"/>
        </w:rPr>
      </w:pPr>
      <w:r w:rsidRPr="004B33AE">
        <w:rPr>
          <w:rFonts w:ascii="Arial" w:hAnsi="Arial" w:cs="Arial"/>
          <w:sz w:val="20"/>
          <w:szCs w:val="20"/>
        </w:rPr>
        <w:t>Projekty podporované v rámci programu nadnárodnej spolupráce, vrátane projektov s potenciálom prispieť k napĺňaniu cieľov Dunajskej stratégie, sú</w:t>
      </w:r>
      <w:r>
        <w:rPr>
          <w:rFonts w:ascii="Arial" w:hAnsi="Arial" w:cs="Arial"/>
          <w:sz w:val="20"/>
          <w:szCs w:val="20"/>
        </w:rPr>
        <w:t xml:space="preserve"> </w:t>
      </w:r>
      <w:r w:rsidRPr="004B33AE">
        <w:rPr>
          <w:rFonts w:ascii="Arial" w:hAnsi="Arial" w:cs="Arial"/>
          <w:sz w:val="20"/>
          <w:szCs w:val="20"/>
        </w:rPr>
        <w:t>najmä projekty neinvestičného charakteru: spoločné nadnárodné stratégie a štúdie; vytváranie a uplatňovanie spoločných nástrojov rozvoja (spoločných riešení v oblasti inovácií, ochrany životného prostredia, predchádzania environmentálnym rizikám, využívania obnoviteľných zdrojov energie, rozvoja dopravy a informačno-komunikačných technológií, rozvoja regiónov); výmena skúseností, vytváranie sietí a</w:t>
      </w:r>
      <w:r>
        <w:rPr>
          <w:rFonts w:ascii="Arial" w:hAnsi="Arial" w:cs="Arial"/>
          <w:sz w:val="20"/>
          <w:szCs w:val="20"/>
        </w:rPr>
        <w:t xml:space="preserve"> </w:t>
      </w:r>
      <w:r w:rsidRPr="004B33AE">
        <w:rPr>
          <w:rFonts w:ascii="Arial" w:hAnsi="Arial" w:cs="Arial"/>
          <w:sz w:val="20"/>
          <w:szCs w:val="20"/>
        </w:rPr>
        <w:t>uplatňovanie spoločných postupov riadenia; prípravné štúdie pre realizáciu investícií nadnárodného charakteru (napr. dopravných sietí) – štúdie uskutočniteľnosti, štúdie vplyvov na životné prostredie; pilotné činnosti, pilotné a demonštratívne projekty s nadnárodným rozmerom (v ktorých rámci je možné aj financovanie investícií pilotného charakteru a malého rozsahu).</w:t>
      </w:r>
    </w:p>
    <w:p w:rsidR="002416B1" w:rsidRPr="004B33AE" w:rsidRDefault="002416B1" w:rsidP="00507035">
      <w:pPr>
        <w:spacing w:before="120" w:after="120" w:line="360" w:lineRule="auto"/>
        <w:jc w:val="both"/>
        <w:rPr>
          <w:rFonts w:ascii="Arial" w:hAnsi="Arial" w:cs="Arial"/>
          <w:bCs/>
          <w:i/>
          <w:sz w:val="20"/>
          <w:szCs w:val="20"/>
          <w:u w:val="single"/>
        </w:rPr>
      </w:pPr>
      <w:r w:rsidRPr="004B33AE">
        <w:rPr>
          <w:rFonts w:ascii="Arial" w:hAnsi="Arial" w:cs="Arial"/>
          <w:bCs/>
          <w:i/>
          <w:sz w:val="20"/>
          <w:szCs w:val="20"/>
          <w:u w:val="single"/>
        </w:rPr>
        <w:t>Program nadnárodnej spolupráce Juhovýchodná Európa (2007-2013)</w:t>
      </w:r>
    </w:p>
    <w:p w:rsidR="002416B1" w:rsidRPr="004B33AE" w:rsidRDefault="002416B1" w:rsidP="00507035">
      <w:pPr>
        <w:spacing w:before="120" w:after="120" w:line="360" w:lineRule="auto"/>
        <w:jc w:val="both"/>
        <w:rPr>
          <w:rFonts w:ascii="Arial" w:hAnsi="Arial" w:cs="Arial"/>
          <w:sz w:val="20"/>
          <w:szCs w:val="20"/>
        </w:rPr>
      </w:pPr>
      <w:r w:rsidRPr="004B33AE">
        <w:rPr>
          <w:rFonts w:ascii="Arial" w:hAnsi="Arial" w:cs="Arial"/>
          <w:sz w:val="20"/>
          <w:szCs w:val="20"/>
        </w:rPr>
        <w:t xml:space="preserve">Program nadnárodnej spolupráce Juhovýchodná Európa je programom cieľa 3 - Európskej územnej spolupráce. Všeobecný cieľ Národného strategického referenčného rámca SR pre programové obdobie 2007 – 2013 napĺňanie politiky súdržnosti prostredníctvom koncentrácie príspevkov sa vykonáva prostredníctvom dvoch hlavných cieľov: </w:t>
      </w:r>
      <w:r w:rsidRPr="004B33AE">
        <w:rPr>
          <w:rFonts w:ascii="Arial" w:hAnsi="Arial" w:cs="Arial"/>
          <w:bCs/>
          <w:sz w:val="20"/>
          <w:szCs w:val="20"/>
        </w:rPr>
        <w:t>Konvergencia a Regionálna konkurencieschopnosť a zamestnanosť.</w:t>
      </w:r>
      <w:r w:rsidRPr="004B33AE">
        <w:rPr>
          <w:rFonts w:ascii="Arial" w:hAnsi="Arial" w:cs="Arial"/>
          <w:b/>
          <w:bCs/>
          <w:sz w:val="20"/>
          <w:szCs w:val="20"/>
        </w:rPr>
        <w:t xml:space="preserve"> </w:t>
      </w:r>
      <w:r w:rsidRPr="004B33AE">
        <w:rPr>
          <w:rFonts w:ascii="Arial" w:hAnsi="Arial" w:cs="Arial"/>
          <w:bCs/>
          <w:sz w:val="20"/>
          <w:szCs w:val="20"/>
        </w:rPr>
        <w:t xml:space="preserve">NSRR nezahŕňa tretí cieľ definovaný </w:t>
      </w:r>
      <w:r w:rsidRPr="004B33AE">
        <w:rPr>
          <w:rFonts w:ascii="Arial" w:hAnsi="Arial" w:cs="Arial"/>
          <w:sz w:val="20"/>
          <w:szCs w:val="20"/>
        </w:rPr>
        <w:t xml:space="preserve">v súlade s nariadením Rady (ES) č. 1083/2006 z 11. júla 2006 ktorým sa ustanovujú všeobecné ustanovenia o Európskom fonde regionálneho rozvoja, Európskom sociálnom fonde a Kohéznom fonde a ktorým sa zrušuje nariadenie (ES) č. 1260/1999 v znení neskorších predpisov - cieľ </w:t>
      </w:r>
      <w:r w:rsidRPr="004B33AE">
        <w:rPr>
          <w:rFonts w:ascii="Arial" w:hAnsi="Arial" w:cs="Arial"/>
          <w:bCs/>
          <w:sz w:val="20"/>
          <w:szCs w:val="20"/>
        </w:rPr>
        <w:t>Európska teritoriálna spolupráca</w:t>
      </w:r>
      <w:r w:rsidRPr="004B33AE">
        <w:rPr>
          <w:rFonts w:ascii="Arial" w:hAnsi="Arial" w:cs="Arial"/>
          <w:b/>
          <w:bCs/>
          <w:sz w:val="20"/>
          <w:szCs w:val="20"/>
        </w:rPr>
        <w:t xml:space="preserve">, </w:t>
      </w:r>
      <w:r w:rsidRPr="004B33AE">
        <w:rPr>
          <w:rFonts w:ascii="Arial" w:hAnsi="Arial" w:cs="Arial"/>
          <w:bCs/>
          <w:sz w:val="20"/>
          <w:szCs w:val="20"/>
        </w:rPr>
        <w:t xml:space="preserve">na napĺňanie ktorého bol schválený </w:t>
      </w:r>
      <w:r w:rsidRPr="004B33AE">
        <w:rPr>
          <w:rFonts w:ascii="Arial" w:hAnsi="Arial" w:cs="Arial"/>
          <w:sz w:val="20"/>
          <w:szCs w:val="20"/>
        </w:rPr>
        <w:t xml:space="preserve">Operačný program Juhovýchodná Európa 2007 – 2013, ktorý zahŕňa 16 krajín: Albánsko, Bosna a Hercegovina, Bulharsko, bývalá juhoslovanská republika Macedónsko, Chorvátsko, Čierna Hora, Grécko, Maďarsko, Moldavsko, Rakúsko, Rumunsko, Slovenská republika, Slovinsko, Srbsko, Taliansko a Ukrajina. </w:t>
      </w:r>
    </w:p>
    <w:p w:rsidR="002416B1" w:rsidRPr="004B33AE" w:rsidRDefault="002416B1" w:rsidP="00507035">
      <w:pPr>
        <w:spacing w:before="120" w:after="120" w:line="360" w:lineRule="auto"/>
        <w:jc w:val="both"/>
        <w:rPr>
          <w:rFonts w:ascii="Arial" w:hAnsi="Arial" w:cs="Arial"/>
          <w:sz w:val="20"/>
          <w:szCs w:val="20"/>
        </w:rPr>
      </w:pPr>
      <w:r w:rsidRPr="004B33AE">
        <w:rPr>
          <w:rFonts w:ascii="Arial" w:hAnsi="Arial" w:cs="Arial"/>
          <w:sz w:val="20"/>
          <w:szCs w:val="20"/>
        </w:rPr>
        <w:t>Nadnárodné partnerstvá môžu predkladať projekty v rámci 4 prioritných osí:</w:t>
      </w:r>
    </w:p>
    <w:p w:rsidR="002416B1" w:rsidRPr="004B33AE" w:rsidRDefault="002416B1" w:rsidP="001540E7">
      <w:pPr>
        <w:numPr>
          <w:ilvl w:val="0"/>
          <w:numId w:val="12"/>
        </w:numPr>
        <w:spacing w:before="120" w:after="120" w:line="360" w:lineRule="auto"/>
        <w:jc w:val="both"/>
        <w:rPr>
          <w:rFonts w:ascii="Arial" w:hAnsi="Arial" w:cs="Arial"/>
          <w:sz w:val="20"/>
          <w:szCs w:val="20"/>
        </w:rPr>
      </w:pPr>
      <w:r w:rsidRPr="004B33AE">
        <w:rPr>
          <w:rFonts w:ascii="Arial" w:hAnsi="Arial" w:cs="Arial"/>
          <w:sz w:val="20"/>
          <w:szCs w:val="20"/>
        </w:rPr>
        <w:t>Uľahčovanie inovácií a podnikania</w:t>
      </w:r>
    </w:p>
    <w:p w:rsidR="002416B1" w:rsidRPr="004B33AE" w:rsidRDefault="002416B1" w:rsidP="001540E7">
      <w:pPr>
        <w:numPr>
          <w:ilvl w:val="0"/>
          <w:numId w:val="12"/>
        </w:numPr>
        <w:spacing w:before="120" w:after="120" w:line="360" w:lineRule="auto"/>
        <w:jc w:val="both"/>
        <w:rPr>
          <w:rFonts w:ascii="Arial" w:hAnsi="Arial" w:cs="Arial"/>
          <w:sz w:val="20"/>
          <w:szCs w:val="20"/>
        </w:rPr>
      </w:pPr>
      <w:r w:rsidRPr="004B33AE">
        <w:rPr>
          <w:rFonts w:ascii="Arial" w:hAnsi="Arial" w:cs="Arial"/>
          <w:sz w:val="20"/>
          <w:szCs w:val="20"/>
        </w:rPr>
        <w:t>Ochrana a zlepšovanie životného prostredia</w:t>
      </w:r>
    </w:p>
    <w:p w:rsidR="002416B1" w:rsidRPr="004B33AE" w:rsidRDefault="002416B1" w:rsidP="001540E7">
      <w:pPr>
        <w:numPr>
          <w:ilvl w:val="0"/>
          <w:numId w:val="12"/>
        </w:numPr>
        <w:spacing w:before="120" w:after="120" w:line="360" w:lineRule="auto"/>
        <w:jc w:val="both"/>
        <w:rPr>
          <w:rFonts w:ascii="Arial" w:hAnsi="Arial" w:cs="Arial"/>
          <w:sz w:val="20"/>
          <w:szCs w:val="20"/>
        </w:rPr>
      </w:pPr>
      <w:r w:rsidRPr="004B33AE">
        <w:rPr>
          <w:rFonts w:ascii="Arial" w:hAnsi="Arial" w:cs="Arial"/>
          <w:sz w:val="20"/>
          <w:szCs w:val="20"/>
        </w:rPr>
        <w:t>Zlepšovanie dostupnosti</w:t>
      </w:r>
    </w:p>
    <w:p w:rsidR="002416B1" w:rsidRPr="004B33AE" w:rsidRDefault="002416B1" w:rsidP="001540E7">
      <w:pPr>
        <w:numPr>
          <w:ilvl w:val="0"/>
          <w:numId w:val="12"/>
        </w:numPr>
        <w:spacing w:before="120" w:after="120" w:line="360" w:lineRule="auto"/>
        <w:jc w:val="both"/>
        <w:rPr>
          <w:rFonts w:ascii="Arial" w:hAnsi="Arial" w:cs="Arial"/>
          <w:sz w:val="20"/>
          <w:szCs w:val="20"/>
        </w:rPr>
      </w:pPr>
      <w:r w:rsidRPr="004B33AE">
        <w:rPr>
          <w:rFonts w:ascii="Arial" w:hAnsi="Arial" w:cs="Arial"/>
          <w:sz w:val="20"/>
          <w:szCs w:val="20"/>
        </w:rPr>
        <w:t>Rozvoj nadnárodných synergií pre oblasti udržateľného rastu</w:t>
      </w:r>
    </w:p>
    <w:p w:rsidR="002416B1" w:rsidRPr="004B33AE" w:rsidRDefault="002416B1" w:rsidP="00507035">
      <w:pPr>
        <w:spacing w:before="120" w:after="120" w:line="360" w:lineRule="auto"/>
        <w:jc w:val="both"/>
        <w:rPr>
          <w:rFonts w:ascii="Arial" w:hAnsi="Arial" w:cs="Arial"/>
          <w:sz w:val="20"/>
          <w:szCs w:val="20"/>
        </w:rPr>
      </w:pPr>
      <w:r w:rsidRPr="004B33AE">
        <w:rPr>
          <w:rFonts w:ascii="Arial" w:hAnsi="Arial" w:cs="Arial"/>
          <w:sz w:val="20"/>
          <w:szCs w:val="20"/>
        </w:rPr>
        <w:t>V rámci prioritnej osi 2 Ochrana a zlepšovanie životného prostredia sú podporované nasledujúce oblasti intervencie:</w:t>
      </w:r>
    </w:p>
    <w:p w:rsidR="002416B1" w:rsidRPr="004B33AE" w:rsidRDefault="002416B1" w:rsidP="00507035">
      <w:pPr>
        <w:spacing w:before="120" w:after="120" w:line="360" w:lineRule="auto"/>
        <w:jc w:val="both"/>
        <w:rPr>
          <w:rFonts w:ascii="Arial" w:hAnsi="Arial" w:cs="Arial"/>
          <w:sz w:val="20"/>
          <w:szCs w:val="20"/>
        </w:rPr>
      </w:pPr>
      <w:r w:rsidRPr="004B33AE">
        <w:rPr>
          <w:rFonts w:ascii="Arial" w:hAnsi="Arial" w:cs="Arial"/>
          <w:sz w:val="20"/>
          <w:szCs w:val="20"/>
        </w:rPr>
        <w:t>- 2.1 Zlepšovanie integrovaného vodného hospodárstva a protipovodňová prevencia</w:t>
      </w:r>
    </w:p>
    <w:p w:rsidR="002416B1" w:rsidRPr="004B33AE" w:rsidRDefault="002416B1" w:rsidP="00507035">
      <w:pPr>
        <w:spacing w:before="120" w:after="120" w:line="360" w:lineRule="auto"/>
        <w:jc w:val="both"/>
        <w:rPr>
          <w:rFonts w:ascii="Arial" w:hAnsi="Arial" w:cs="Arial"/>
          <w:sz w:val="20"/>
          <w:szCs w:val="20"/>
        </w:rPr>
      </w:pPr>
      <w:r w:rsidRPr="004B33AE">
        <w:rPr>
          <w:rFonts w:ascii="Arial" w:hAnsi="Arial" w:cs="Arial"/>
          <w:sz w:val="20"/>
          <w:szCs w:val="20"/>
        </w:rPr>
        <w:t>- 2.2 Zlepšovanie prevencie environmentálnych rizík</w:t>
      </w:r>
    </w:p>
    <w:p w:rsidR="002416B1" w:rsidRPr="004B33AE" w:rsidRDefault="002416B1" w:rsidP="00507035">
      <w:pPr>
        <w:spacing w:before="120" w:after="120" w:line="360" w:lineRule="auto"/>
        <w:jc w:val="both"/>
        <w:rPr>
          <w:rFonts w:ascii="Arial" w:hAnsi="Arial" w:cs="Arial"/>
          <w:sz w:val="20"/>
          <w:szCs w:val="20"/>
        </w:rPr>
      </w:pPr>
      <w:r w:rsidRPr="004B33AE">
        <w:rPr>
          <w:rFonts w:ascii="Arial" w:hAnsi="Arial" w:cs="Arial"/>
          <w:sz w:val="20"/>
          <w:szCs w:val="20"/>
        </w:rPr>
        <w:t>- 2.3 Podpora spolupráce pri riadení prírodných zdrojov a chránených oblastí</w:t>
      </w:r>
    </w:p>
    <w:p w:rsidR="002416B1" w:rsidRPr="004B33AE" w:rsidRDefault="002416B1" w:rsidP="00507035">
      <w:pPr>
        <w:spacing w:before="120" w:after="120" w:line="360" w:lineRule="auto"/>
        <w:jc w:val="both"/>
        <w:rPr>
          <w:rFonts w:ascii="Arial" w:hAnsi="Arial" w:cs="Arial"/>
          <w:sz w:val="20"/>
          <w:szCs w:val="20"/>
        </w:rPr>
      </w:pPr>
      <w:r w:rsidRPr="004B33AE">
        <w:rPr>
          <w:rFonts w:ascii="Arial" w:hAnsi="Arial" w:cs="Arial"/>
          <w:sz w:val="20"/>
          <w:szCs w:val="20"/>
        </w:rPr>
        <w:t>- 2.4 Podpora efektívneho využívania energie a zdrojov</w:t>
      </w:r>
    </w:p>
    <w:p w:rsidR="002416B1" w:rsidRPr="004B33AE" w:rsidRDefault="002416B1" w:rsidP="00507035">
      <w:pPr>
        <w:spacing w:before="120" w:after="120" w:line="360" w:lineRule="auto"/>
        <w:jc w:val="both"/>
        <w:rPr>
          <w:rFonts w:ascii="Arial" w:hAnsi="Arial" w:cs="Arial"/>
          <w:sz w:val="20"/>
          <w:szCs w:val="20"/>
        </w:rPr>
      </w:pPr>
      <w:r w:rsidRPr="004B33AE">
        <w:rPr>
          <w:rFonts w:ascii="Arial" w:hAnsi="Arial" w:cs="Arial"/>
          <w:sz w:val="20"/>
          <w:szCs w:val="20"/>
        </w:rPr>
        <w:t xml:space="preserve">V rámci priority č. 2 Ochrana a zlepšovanie životného prostredia Operačného programu Juhovýchodná Európa môžu byť podporené prevažne projekty neinvestičného charakteru, z ktorých časť môže mať charakter prípravnej dokumentácie pre investície do environmentálnej infraštruktúry (napr. štúdie uskutočniteľnosti), ale zároveň aj niektoré investičné aktivity zamerané na rozvoj environmentálnej infraštruktúry nadnárodného významu. </w:t>
      </w:r>
    </w:p>
    <w:p w:rsidR="002416B1" w:rsidRDefault="002416B1" w:rsidP="00507035">
      <w:pPr>
        <w:spacing w:before="120" w:after="120" w:line="360" w:lineRule="auto"/>
        <w:jc w:val="both"/>
        <w:rPr>
          <w:rFonts w:ascii="Arial" w:hAnsi="Arial" w:cs="Arial"/>
          <w:sz w:val="20"/>
          <w:szCs w:val="20"/>
        </w:rPr>
      </w:pPr>
      <w:r w:rsidRPr="004B33AE">
        <w:rPr>
          <w:rFonts w:ascii="Arial" w:hAnsi="Arial" w:cs="Arial"/>
          <w:sz w:val="20"/>
          <w:szCs w:val="20"/>
        </w:rPr>
        <w:t>V roku 2011 boli vyhlásené dve výzvy na predkladanie projektov: 3. (strategická výzva) a 4. (posledná, otvorená) výzva.</w:t>
      </w:r>
      <w:r>
        <w:rPr>
          <w:rFonts w:ascii="Arial" w:hAnsi="Arial" w:cs="Arial"/>
          <w:sz w:val="20"/>
          <w:szCs w:val="20"/>
        </w:rPr>
        <w:t xml:space="preserve"> </w:t>
      </w:r>
      <w:r w:rsidRPr="004B33AE">
        <w:rPr>
          <w:rFonts w:ascii="Arial" w:hAnsi="Arial" w:cs="Arial"/>
          <w:sz w:val="20"/>
          <w:szCs w:val="20"/>
        </w:rPr>
        <w:t>V rámci strategickej výzvy bola v oblasti životného prostredia definovaná téma č. 2: Prispôsobovanie sa klimatickej zmene: hodnotenie zraniteľnosti a rizík a ich prepojenie do akcií na regionálnej a lokálnej úrovni.</w:t>
      </w:r>
    </w:p>
    <w:p w:rsidR="008A060D" w:rsidRDefault="008A060D" w:rsidP="00593253">
      <w:pPr>
        <w:spacing w:before="120" w:after="120" w:line="360" w:lineRule="auto"/>
        <w:jc w:val="both"/>
        <w:rPr>
          <w:rFonts w:ascii="Arial" w:hAnsi="Arial" w:cs="Arial"/>
          <w:color w:val="000000"/>
          <w:sz w:val="20"/>
          <w:szCs w:val="20"/>
          <w:shd w:val="clear" w:color="auto" w:fill="FFFFFF"/>
        </w:rPr>
      </w:pPr>
      <w:r>
        <w:rPr>
          <w:rFonts w:ascii="Arial" w:hAnsi="Arial" w:cs="Arial"/>
          <w:bCs/>
          <w:sz w:val="20"/>
          <w:szCs w:val="20"/>
        </w:rPr>
        <w:t xml:space="preserve">V rámci tretej výzvy na predkladanie projektov bolo v prvom kole z celkového počtu 46 predložených zámerov 21 s účasťou projektových partnerov zo Slovenskej republiky. </w:t>
      </w:r>
      <w:r w:rsidRPr="004B33AE">
        <w:rPr>
          <w:rFonts w:ascii="Arial" w:hAnsi="Arial" w:cs="Arial"/>
          <w:bCs/>
          <w:sz w:val="20"/>
          <w:szCs w:val="20"/>
        </w:rPr>
        <w:t xml:space="preserve">Na zasadnutí Monitorovacieho výboru programu v Skopje v septembri 2011 bolo rozhodnuté o pozvaní 8 strategických projektových zámerov do druhého kola. </w:t>
      </w:r>
      <w:r w:rsidRPr="00D060A5">
        <w:rPr>
          <w:rFonts w:ascii="Arial" w:hAnsi="Arial" w:cs="Arial"/>
          <w:bCs/>
          <w:sz w:val="20"/>
          <w:szCs w:val="20"/>
        </w:rPr>
        <w:t xml:space="preserve">V stanovenom termíne bolo všetkých 8 projektov predložených v rozpracovanej podobe. V 6 </w:t>
      </w:r>
      <w:r w:rsidRPr="005F6840">
        <w:rPr>
          <w:rFonts w:ascii="Arial" w:hAnsi="Arial" w:cs="Arial"/>
          <w:bCs/>
          <w:sz w:val="20"/>
          <w:szCs w:val="20"/>
        </w:rPr>
        <w:t xml:space="preserve">z nich boli zapojení 17 projektoví partneri zo Slovenskej republiky. Schvaľovanie projektov nebolo v roku 2011 ukončené a prebehlo v roku 2012. V rámci tretej výzvy bolo v roku 2012 schválených 8 projektov, s účasťou 17 projektových partnerov zo Slovenskej republiky. </w:t>
      </w:r>
      <w:r w:rsidRPr="005F6840">
        <w:rPr>
          <w:rFonts w:ascii="Arial" w:hAnsi="Arial" w:cs="Arial"/>
          <w:color w:val="000000"/>
          <w:sz w:val="20"/>
          <w:szCs w:val="20"/>
          <w:shd w:val="clear" w:color="auto" w:fill="FFFFFF"/>
        </w:rPr>
        <w:t xml:space="preserve">Celková suma schváleného príspevku zo zdroja ERDF pre slovenských projektových partnerov presahuje 1,7 mil. EUR z ERDF, čo predstavuje 85% z rozpočtu partnerov. Ostatné zdroje 15% sú slovenskí projektoví partneri povinný zabezpečiť z vlastných (verejných) zdrojov.  </w:t>
      </w:r>
    </w:p>
    <w:p w:rsidR="008A060D" w:rsidRPr="004B33AE" w:rsidRDefault="008A060D" w:rsidP="00507035">
      <w:pPr>
        <w:spacing w:before="120" w:after="120" w:line="360" w:lineRule="auto"/>
        <w:jc w:val="both"/>
        <w:rPr>
          <w:rFonts w:ascii="Arial" w:hAnsi="Arial" w:cs="Arial"/>
          <w:sz w:val="20"/>
          <w:szCs w:val="20"/>
        </w:rPr>
      </w:pPr>
      <w:r w:rsidRPr="005F6840">
        <w:rPr>
          <w:rFonts w:ascii="Arial" w:hAnsi="Arial" w:cs="Arial"/>
          <w:color w:val="000000"/>
          <w:sz w:val="20"/>
          <w:szCs w:val="20"/>
          <w:shd w:val="clear" w:color="auto" w:fill="FFFFFF"/>
        </w:rPr>
        <w:t>V októbri 2011 bola otvorená 4. výzva na predkladanie projektov a zároveň aj posledná. V stanovenom termíne bolo predložených celkovo 342 žiadostí. V 63 projektoch bo</w:t>
      </w:r>
      <w:r w:rsidRPr="00D060A5">
        <w:rPr>
          <w:rFonts w:ascii="Arial" w:hAnsi="Arial" w:cs="Arial"/>
          <w:color w:val="000000"/>
          <w:sz w:val="20"/>
          <w:szCs w:val="20"/>
          <w:shd w:val="clear" w:color="auto" w:fill="FFFFFF"/>
        </w:rPr>
        <w:t>lo zapojených 92 partnerov zo S</w:t>
      </w:r>
      <w:r>
        <w:rPr>
          <w:rFonts w:ascii="Arial" w:hAnsi="Arial" w:cs="Arial"/>
          <w:color w:val="000000"/>
          <w:sz w:val="20"/>
          <w:szCs w:val="20"/>
          <w:shd w:val="clear" w:color="auto" w:fill="FFFFFF"/>
        </w:rPr>
        <w:t>lovenskej republiky</w:t>
      </w:r>
      <w:r w:rsidRPr="005F6840">
        <w:rPr>
          <w:rFonts w:ascii="Arial" w:hAnsi="Arial" w:cs="Arial"/>
          <w:color w:val="000000"/>
          <w:sz w:val="20"/>
          <w:szCs w:val="20"/>
          <w:shd w:val="clear" w:color="auto" w:fill="FFFFFF"/>
        </w:rPr>
        <w:t xml:space="preserve">. Schvaľovanie projektov prebehlo v septembri roku 2012, pričom ku koncu roka nebolo ukončené. V prvom kole bolo v septembri 2012 schválených 37 projektových žiadostí z toho v 24 je zapojených 26 projektových partnerov </w:t>
      </w:r>
      <w:r w:rsidRPr="00D060A5">
        <w:rPr>
          <w:rFonts w:ascii="Arial" w:hAnsi="Arial" w:cs="Arial"/>
          <w:color w:val="000000"/>
          <w:sz w:val="20"/>
          <w:szCs w:val="20"/>
          <w:shd w:val="clear" w:color="auto" w:fill="FFFFFF"/>
        </w:rPr>
        <w:t>zo S</w:t>
      </w:r>
      <w:r>
        <w:rPr>
          <w:rFonts w:ascii="Arial" w:hAnsi="Arial" w:cs="Arial"/>
          <w:color w:val="000000"/>
          <w:sz w:val="20"/>
          <w:szCs w:val="20"/>
          <w:shd w:val="clear" w:color="auto" w:fill="FFFFFF"/>
        </w:rPr>
        <w:t>lovenskej republiky</w:t>
      </w:r>
      <w:r w:rsidRPr="005F6840">
        <w:rPr>
          <w:rFonts w:ascii="Arial" w:hAnsi="Arial" w:cs="Arial"/>
          <w:color w:val="000000"/>
          <w:sz w:val="20"/>
          <w:szCs w:val="20"/>
          <w:shd w:val="clear" w:color="auto" w:fill="FFFFFF"/>
        </w:rPr>
        <w:t xml:space="preserve"> s celkovou schválenou sumou presahujúcou 3,7 mil. EUR na spolufinancovanie projektu z ERDF pre slovenských projektových partnerov, čo predstavuje 85% z rozpočtu partnerov. Ostatné zdroje 15% sú slovenskí projektoví partneri povinný zabezpečiť z vlastných (verejných) zdrojov.</w:t>
      </w:r>
    </w:p>
    <w:p w:rsidR="002416B1" w:rsidRPr="004B33AE" w:rsidRDefault="002416B1" w:rsidP="00507035">
      <w:pPr>
        <w:spacing w:before="120" w:after="120" w:line="360" w:lineRule="auto"/>
        <w:jc w:val="both"/>
        <w:rPr>
          <w:rFonts w:ascii="Arial" w:hAnsi="Arial" w:cs="Arial"/>
          <w:sz w:val="20"/>
          <w:szCs w:val="20"/>
        </w:rPr>
      </w:pPr>
      <w:r w:rsidRPr="004B33AE">
        <w:rPr>
          <w:rFonts w:ascii="Arial" w:hAnsi="Arial" w:cs="Arial"/>
          <w:sz w:val="20"/>
          <w:szCs w:val="20"/>
        </w:rPr>
        <w:t xml:space="preserve">Nadnárodný charakter projektov predkladaných v rámci </w:t>
      </w:r>
      <w:r w:rsidRPr="004B33AE">
        <w:rPr>
          <w:rFonts w:ascii="Arial" w:hAnsi="Arial" w:cs="Arial"/>
          <w:bCs/>
          <w:i/>
          <w:sz w:val="20"/>
          <w:szCs w:val="20"/>
          <w:u w:val="single"/>
        </w:rPr>
        <w:t>Programu nadnárodnej spolupráce</w:t>
      </w:r>
      <w:r>
        <w:rPr>
          <w:rFonts w:ascii="Arial" w:hAnsi="Arial" w:cs="Arial"/>
          <w:bCs/>
          <w:i/>
          <w:sz w:val="20"/>
          <w:szCs w:val="20"/>
          <w:u w:val="single"/>
        </w:rPr>
        <w:t xml:space="preserve"> </w:t>
      </w:r>
      <w:r w:rsidRPr="004B33AE">
        <w:rPr>
          <w:rFonts w:ascii="Arial" w:hAnsi="Arial" w:cs="Arial"/>
          <w:i/>
          <w:sz w:val="20"/>
          <w:szCs w:val="20"/>
          <w:u w:val="single"/>
        </w:rPr>
        <w:t>Juhovýchodná Európa</w:t>
      </w:r>
      <w:r w:rsidRPr="004B33AE">
        <w:rPr>
          <w:rFonts w:ascii="Arial" w:hAnsi="Arial" w:cs="Arial"/>
          <w:sz w:val="20"/>
          <w:szCs w:val="20"/>
        </w:rPr>
        <w:t xml:space="preserve"> a spoločná príprava, vykonávanie, spoločný personál a spoločné financovanie projektov vykonávané prijímateľmi združenými v projekte na princípe partnerstva zabezpečujú dostatočné deliace línie s Operačným programom Životné prostredie 2007 – 2013.</w:t>
      </w:r>
    </w:p>
    <w:p w:rsidR="002416B1" w:rsidRPr="004B33AE" w:rsidRDefault="002416B1" w:rsidP="00507035">
      <w:pPr>
        <w:spacing w:before="120" w:after="120" w:line="360" w:lineRule="auto"/>
        <w:jc w:val="both"/>
        <w:rPr>
          <w:rFonts w:ascii="Arial" w:hAnsi="Arial" w:cs="Arial"/>
          <w:i/>
          <w:sz w:val="20"/>
          <w:szCs w:val="20"/>
          <w:u w:val="single"/>
        </w:rPr>
      </w:pPr>
      <w:r w:rsidRPr="004B33AE">
        <w:rPr>
          <w:rFonts w:ascii="Arial" w:hAnsi="Arial" w:cs="Arial"/>
          <w:i/>
          <w:sz w:val="20"/>
          <w:szCs w:val="20"/>
          <w:u w:val="single"/>
        </w:rPr>
        <w:t>Cezhraničná spolupráca</w:t>
      </w:r>
    </w:p>
    <w:p w:rsidR="002416B1" w:rsidRPr="004B33AE" w:rsidRDefault="002416B1" w:rsidP="00507035">
      <w:pPr>
        <w:spacing w:before="120" w:after="120" w:line="360" w:lineRule="auto"/>
        <w:jc w:val="both"/>
        <w:rPr>
          <w:rFonts w:ascii="Arial" w:hAnsi="Arial" w:cs="Arial"/>
          <w:sz w:val="20"/>
          <w:szCs w:val="20"/>
        </w:rPr>
      </w:pPr>
      <w:r w:rsidRPr="004B33AE">
        <w:rPr>
          <w:rFonts w:ascii="Arial" w:hAnsi="Arial" w:cs="Arial"/>
          <w:sz w:val="20"/>
          <w:szCs w:val="20"/>
        </w:rPr>
        <w:t>Programy cezhraničnej spolupráce implementované na území SR sú súčasťou cieľa 3 Európska územná spolupráca, ktorý nie je súčasťou Národného strategického referenčného rámca a dopĺňajú programy realizované v rámci cieľov “Konvergencia” a “Regionálna Konkurencieschopnosť a Zamestnanosť”.</w:t>
      </w:r>
    </w:p>
    <w:p w:rsidR="002416B1" w:rsidRPr="004B33AE" w:rsidRDefault="002416B1" w:rsidP="00507035">
      <w:pPr>
        <w:spacing w:before="120" w:after="120" w:line="360" w:lineRule="auto"/>
        <w:jc w:val="both"/>
        <w:rPr>
          <w:rFonts w:ascii="Arial" w:hAnsi="Arial" w:cs="Arial"/>
          <w:sz w:val="20"/>
          <w:szCs w:val="20"/>
        </w:rPr>
      </w:pPr>
      <w:r w:rsidRPr="004B33AE">
        <w:rPr>
          <w:rFonts w:ascii="Arial" w:hAnsi="Arial" w:cs="Arial"/>
          <w:sz w:val="20"/>
          <w:szCs w:val="20"/>
        </w:rPr>
        <w:t>V rámci prioritných osí resp. oblastí intervencie programov cezhraničnej spolupráce možno identifikovať tematické a obsahové synergie s aktivitami podporovanými v rámci Operačného programu Životné prostredie, konkrétne:</w:t>
      </w:r>
    </w:p>
    <w:p w:rsidR="002416B1" w:rsidRPr="004B33AE" w:rsidRDefault="002416B1" w:rsidP="00507035">
      <w:pPr>
        <w:spacing w:before="120" w:after="120" w:line="360" w:lineRule="auto"/>
        <w:jc w:val="both"/>
        <w:rPr>
          <w:rFonts w:ascii="Arial" w:hAnsi="Arial" w:cs="Arial"/>
          <w:sz w:val="20"/>
          <w:szCs w:val="20"/>
        </w:rPr>
      </w:pPr>
      <w:r w:rsidRPr="004B33AE">
        <w:rPr>
          <w:rFonts w:ascii="Arial" w:hAnsi="Arial" w:cs="Arial"/>
          <w:sz w:val="20"/>
          <w:szCs w:val="20"/>
        </w:rPr>
        <w:t xml:space="preserve">V rámci programu </w:t>
      </w:r>
      <w:r w:rsidRPr="004B33AE">
        <w:rPr>
          <w:rFonts w:ascii="Arial" w:hAnsi="Arial" w:cs="Arial"/>
          <w:i/>
          <w:sz w:val="20"/>
          <w:szCs w:val="20"/>
          <w:u w:val="single"/>
        </w:rPr>
        <w:t>Slovenská republika - Rakúsko 2007- 2013</w:t>
      </w:r>
      <w:r w:rsidRPr="004B33AE">
        <w:rPr>
          <w:rFonts w:ascii="Arial" w:hAnsi="Arial" w:cs="Arial"/>
          <w:sz w:val="20"/>
          <w:szCs w:val="20"/>
        </w:rPr>
        <w:t xml:space="preserve"> sú v rámci priority </w:t>
      </w:r>
      <w:r w:rsidRPr="004B33AE">
        <w:rPr>
          <w:rFonts w:ascii="Arial" w:hAnsi="Arial" w:cs="Arial"/>
          <w:i/>
          <w:iCs/>
          <w:sz w:val="20"/>
          <w:szCs w:val="20"/>
        </w:rPr>
        <w:t>2 Dostupnosť a trvalo udržateľný rozvoj</w:t>
      </w:r>
      <w:r w:rsidRPr="004B33AE">
        <w:rPr>
          <w:rFonts w:ascii="Arial" w:hAnsi="Arial" w:cs="Arial"/>
          <w:sz w:val="20"/>
          <w:szCs w:val="20"/>
        </w:rPr>
        <w:t xml:space="preserve"> definované tematické priority v oblasti životného prostredia</w:t>
      </w:r>
      <w:r>
        <w:rPr>
          <w:rFonts w:ascii="Arial" w:hAnsi="Arial" w:cs="Arial"/>
          <w:sz w:val="20"/>
          <w:szCs w:val="20"/>
        </w:rPr>
        <w:t xml:space="preserve"> </w:t>
      </w:r>
      <w:r w:rsidRPr="004B33AE">
        <w:rPr>
          <w:rFonts w:ascii="Arial" w:hAnsi="Arial" w:cs="Arial"/>
          <w:sz w:val="20"/>
          <w:szCs w:val="20"/>
        </w:rPr>
        <w:t xml:space="preserve">ktoré sa môžu čiastočne prekrývať s aktivitami definovanými pre OP ŽP. </w:t>
      </w:r>
    </w:p>
    <w:p w:rsidR="002416B1" w:rsidRPr="004B33AE" w:rsidRDefault="002416B1" w:rsidP="00507035">
      <w:pPr>
        <w:spacing w:before="120" w:after="120" w:line="360" w:lineRule="auto"/>
        <w:jc w:val="both"/>
        <w:rPr>
          <w:rFonts w:ascii="Arial" w:hAnsi="Arial" w:cs="Arial"/>
          <w:bCs/>
          <w:sz w:val="20"/>
          <w:szCs w:val="20"/>
        </w:rPr>
      </w:pPr>
      <w:r w:rsidRPr="004B33AE">
        <w:rPr>
          <w:rFonts w:ascii="Arial" w:hAnsi="Arial" w:cs="Arial"/>
          <w:bCs/>
          <w:sz w:val="20"/>
          <w:szCs w:val="20"/>
        </w:rPr>
        <w:t>P1 Učiaci sa/znalostný región a ekon. konkurencieschopnosť</w:t>
      </w:r>
    </w:p>
    <w:p w:rsidR="002416B1" w:rsidRPr="004B33AE" w:rsidRDefault="002416B1" w:rsidP="00507035">
      <w:pPr>
        <w:spacing w:before="120" w:after="120" w:line="360" w:lineRule="auto"/>
        <w:jc w:val="both"/>
        <w:rPr>
          <w:rFonts w:ascii="Arial" w:hAnsi="Arial" w:cs="Arial"/>
          <w:bCs/>
          <w:sz w:val="20"/>
          <w:szCs w:val="20"/>
        </w:rPr>
      </w:pPr>
      <w:r w:rsidRPr="004B33AE">
        <w:rPr>
          <w:rFonts w:ascii="Arial" w:hAnsi="Arial" w:cs="Arial"/>
          <w:bCs/>
          <w:sz w:val="20"/>
          <w:szCs w:val="20"/>
        </w:rPr>
        <w:t>1.1 Cezhraničná spolupráca MSP, spolupráca v oblasti výskumu a technického vývoja</w:t>
      </w:r>
    </w:p>
    <w:p w:rsidR="002416B1" w:rsidRPr="004B33AE" w:rsidRDefault="002416B1" w:rsidP="00507035">
      <w:pPr>
        <w:spacing w:before="120" w:after="120" w:line="360" w:lineRule="auto"/>
        <w:jc w:val="both"/>
        <w:rPr>
          <w:rFonts w:ascii="Arial" w:hAnsi="Arial" w:cs="Arial"/>
          <w:bCs/>
          <w:sz w:val="20"/>
          <w:szCs w:val="20"/>
        </w:rPr>
      </w:pPr>
      <w:r w:rsidRPr="004B33AE">
        <w:rPr>
          <w:rFonts w:ascii="Arial" w:hAnsi="Arial" w:cs="Arial"/>
          <w:bCs/>
          <w:sz w:val="20"/>
          <w:szCs w:val="20"/>
        </w:rPr>
        <w:t>1.2 Kultúrna spolupráca, spolupráca v cestovnom ruchu</w:t>
      </w:r>
    </w:p>
    <w:p w:rsidR="002416B1" w:rsidRPr="004B33AE" w:rsidRDefault="002416B1" w:rsidP="00507035">
      <w:pPr>
        <w:spacing w:before="120" w:after="120" w:line="360" w:lineRule="auto"/>
        <w:jc w:val="both"/>
        <w:rPr>
          <w:rFonts w:ascii="Arial" w:hAnsi="Arial" w:cs="Arial"/>
          <w:bCs/>
          <w:sz w:val="20"/>
          <w:szCs w:val="20"/>
        </w:rPr>
      </w:pPr>
      <w:r w:rsidRPr="004B33AE">
        <w:rPr>
          <w:rFonts w:ascii="Arial" w:hAnsi="Arial" w:cs="Arial"/>
          <w:bCs/>
          <w:sz w:val="20"/>
          <w:szCs w:val="20"/>
        </w:rPr>
        <w:t>1.3 Vzdelávanie a kvalifikácia, integrácia trhov práce</w:t>
      </w:r>
    </w:p>
    <w:p w:rsidR="002416B1" w:rsidRPr="004B33AE" w:rsidRDefault="002416B1" w:rsidP="00507035">
      <w:pPr>
        <w:spacing w:before="120" w:after="120" w:line="360" w:lineRule="auto"/>
        <w:jc w:val="both"/>
        <w:rPr>
          <w:rFonts w:ascii="Arial" w:hAnsi="Arial" w:cs="Arial"/>
          <w:bCs/>
          <w:sz w:val="20"/>
          <w:szCs w:val="20"/>
        </w:rPr>
      </w:pPr>
      <w:r w:rsidRPr="004B33AE">
        <w:rPr>
          <w:rFonts w:ascii="Arial" w:hAnsi="Arial" w:cs="Arial"/>
          <w:bCs/>
          <w:sz w:val="20"/>
          <w:szCs w:val="20"/>
        </w:rPr>
        <w:t>1.4 Sociálna dimenzia integrácie (sociálne a zdravotné služby)</w:t>
      </w:r>
    </w:p>
    <w:p w:rsidR="002416B1" w:rsidRPr="006A2BF3" w:rsidRDefault="002416B1" w:rsidP="00507035">
      <w:pPr>
        <w:spacing w:before="120" w:after="120" w:line="360" w:lineRule="auto"/>
        <w:jc w:val="both"/>
        <w:rPr>
          <w:rFonts w:ascii="Arial" w:hAnsi="Arial" w:cs="Arial"/>
          <w:bCs/>
          <w:sz w:val="20"/>
          <w:szCs w:val="20"/>
        </w:rPr>
      </w:pPr>
      <w:r w:rsidRPr="006A2BF3">
        <w:rPr>
          <w:rFonts w:ascii="Arial" w:hAnsi="Arial" w:cs="Arial"/>
          <w:bCs/>
          <w:sz w:val="20"/>
          <w:szCs w:val="20"/>
        </w:rPr>
        <w:t>P2 Dostupnosť a trvalo udržateľný rozvoj</w:t>
      </w:r>
    </w:p>
    <w:p w:rsidR="002416B1" w:rsidRPr="006A2BF3" w:rsidRDefault="002416B1" w:rsidP="00507035">
      <w:pPr>
        <w:spacing w:before="120" w:after="120" w:line="360" w:lineRule="auto"/>
        <w:jc w:val="both"/>
        <w:rPr>
          <w:rFonts w:ascii="Arial" w:hAnsi="Arial" w:cs="Arial"/>
          <w:bCs/>
          <w:sz w:val="20"/>
          <w:szCs w:val="20"/>
        </w:rPr>
      </w:pPr>
      <w:r w:rsidRPr="006A2BF3">
        <w:rPr>
          <w:rFonts w:ascii="Arial" w:hAnsi="Arial" w:cs="Arial"/>
          <w:bCs/>
          <w:sz w:val="20"/>
          <w:szCs w:val="20"/>
        </w:rPr>
        <w:t>2.1 Doprava a regionálna dostupnosť (plánovanie, organizácia dopravy a logistika)</w:t>
      </w:r>
    </w:p>
    <w:p w:rsidR="002416B1" w:rsidRPr="006A2BF3" w:rsidRDefault="002416B1" w:rsidP="00507035">
      <w:pPr>
        <w:spacing w:before="120" w:after="120" w:line="360" w:lineRule="auto"/>
        <w:jc w:val="both"/>
        <w:rPr>
          <w:rFonts w:ascii="Arial" w:hAnsi="Arial" w:cs="Arial"/>
          <w:bCs/>
          <w:sz w:val="20"/>
          <w:szCs w:val="20"/>
        </w:rPr>
      </w:pPr>
      <w:r w:rsidRPr="006A2BF3">
        <w:rPr>
          <w:rFonts w:ascii="Arial" w:hAnsi="Arial" w:cs="Arial"/>
          <w:bCs/>
          <w:sz w:val="20"/>
          <w:szCs w:val="20"/>
        </w:rPr>
        <w:t>2.2 Trvalo udržateľný územný rozvoj a kvalitná regionálna správa/kvalitný regionálny mamažment</w:t>
      </w:r>
    </w:p>
    <w:p w:rsidR="002416B1" w:rsidRPr="006A2BF3" w:rsidRDefault="002416B1" w:rsidP="00507035">
      <w:pPr>
        <w:spacing w:before="120" w:after="120" w:line="360" w:lineRule="auto"/>
        <w:jc w:val="both"/>
        <w:rPr>
          <w:rFonts w:ascii="Arial" w:hAnsi="Arial" w:cs="Arial"/>
          <w:bCs/>
          <w:sz w:val="20"/>
          <w:szCs w:val="20"/>
          <w:u w:val="single"/>
        </w:rPr>
      </w:pPr>
      <w:r w:rsidRPr="006A2BF3">
        <w:rPr>
          <w:rFonts w:ascii="Arial" w:hAnsi="Arial" w:cs="Arial"/>
          <w:bCs/>
          <w:sz w:val="20"/>
          <w:szCs w:val="20"/>
          <w:u w:val="single"/>
        </w:rPr>
        <w:t>2.3 Spolupráca a spoločný manažment /spoločné riadenie chránených území</w:t>
      </w:r>
    </w:p>
    <w:p w:rsidR="002416B1" w:rsidRPr="006A2BF3" w:rsidRDefault="002416B1" w:rsidP="00507035">
      <w:pPr>
        <w:spacing w:before="120" w:after="120" w:line="360" w:lineRule="auto"/>
        <w:jc w:val="both"/>
        <w:rPr>
          <w:rFonts w:ascii="Arial" w:hAnsi="Arial" w:cs="Arial"/>
          <w:bCs/>
          <w:sz w:val="20"/>
          <w:szCs w:val="20"/>
          <w:u w:val="single"/>
        </w:rPr>
      </w:pPr>
      <w:r w:rsidRPr="006A2BF3">
        <w:rPr>
          <w:rFonts w:ascii="Arial" w:hAnsi="Arial" w:cs="Arial"/>
          <w:bCs/>
          <w:sz w:val="20"/>
          <w:szCs w:val="20"/>
          <w:u w:val="single"/>
        </w:rPr>
        <w:t>2.4 Energetická efektívnosť a obnoviteľné zdroje energie, ochrana životného prostredia, manažment rizík</w:t>
      </w:r>
    </w:p>
    <w:p w:rsidR="002416B1" w:rsidRPr="006A2BF3" w:rsidRDefault="002416B1" w:rsidP="00507035">
      <w:pPr>
        <w:spacing w:before="120" w:after="120" w:line="360" w:lineRule="auto"/>
        <w:jc w:val="both"/>
        <w:rPr>
          <w:rFonts w:ascii="Arial" w:hAnsi="Arial" w:cs="Arial"/>
          <w:bCs/>
          <w:sz w:val="20"/>
          <w:szCs w:val="20"/>
        </w:rPr>
      </w:pPr>
      <w:r w:rsidRPr="006A2BF3">
        <w:rPr>
          <w:rFonts w:ascii="Arial" w:hAnsi="Arial" w:cs="Arial"/>
          <w:bCs/>
          <w:sz w:val="20"/>
          <w:szCs w:val="20"/>
        </w:rPr>
        <w:t>P3 Technická pomoc</w:t>
      </w:r>
    </w:p>
    <w:p w:rsidR="00CE52D7" w:rsidRDefault="002416B1" w:rsidP="00507035">
      <w:pPr>
        <w:spacing w:before="120" w:after="120" w:line="360" w:lineRule="auto"/>
        <w:jc w:val="both"/>
        <w:rPr>
          <w:rFonts w:ascii="Arial" w:hAnsi="Arial" w:cs="Arial"/>
          <w:sz w:val="20"/>
          <w:szCs w:val="20"/>
        </w:rPr>
      </w:pPr>
      <w:r w:rsidRPr="006A2BF3">
        <w:rPr>
          <w:rFonts w:ascii="Arial" w:hAnsi="Arial" w:cs="Arial"/>
          <w:sz w:val="20"/>
          <w:szCs w:val="20"/>
        </w:rPr>
        <w:t xml:space="preserve">Taktiež v rámci programu </w:t>
      </w:r>
      <w:r w:rsidRPr="006A2BF3">
        <w:rPr>
          <w:rFonts w:ascii="Arial" w:hAnsi="Arial" w:cs="Arial"/>
          <w:i/>
          <w:sz w:val="20"/>
          <w:szCs w:val="20"/>
          <w:u w:val="single"/>
        </w:rPr>
        <w:t>Slovenská republika - Poľsko 2007- 2013</w:t>
      </w:r>
      <w:r w:rsidRPr="006A2BF3">
        <w:rPr>
          <w:rFonts w:ascii="Arial" w:hAnsi="Arial" w:cs="Arial"/>
          <w:sz w:val="20"/>
          <w:szCs w:val="20"/>
        </w:rPr>
        <w:t xml:space="preserve"> v rámci priority 1</w:t>
      </w:r>
      <w:r w:rsidRPr="006A2BF3">
        <w:rPr>
          <w:rFonts w:ascii="Arial" w:hAnsi="Arial" w:cs="Arial"/>
          <w:i/>
          <w:iCs/>
          <w:sz w:val="20"/>
          <w:szCs w:val="20"/>
        </w:rPr>
        <w:t xml:space="preserve"> Rozvoj cezhraničnej infraštruktúry </w:t>
      </w:r>
      <w:r w:rsidRPr="006A2BF3">
        <w:rPr>
          <w:rFonts w:ascii="Arial" w:hAnsi="Arial" w:cs="Arial"/>
          <w:sz w:val="20"/>
          <w:szCs w:val="20"/>
        </w:rPr>
        <w:t xml:space="preserve">môžu byť resp. sú podporované aj aktivity na budovanie environmentálnej infraštruktúry a pod prioritou 2 </w:t>
      </w:r>
      <w:r w:rsidRPr="006A2BF3">
        <w:rPr>
          <w:rFonts w:ascii="Arial" w:hAnsi="Arial" w:cs="Arial"/>
          <w:i/>
          <w:iCs/>
          <w:sz w:val="20"/>
          <w:szCs w:val="20"/>
        </w:rPr>
        <w:t>Sociálny a ekonomický rozvoj</w:t>
      </w:r>
      <w:r w:rsidRPr="006A2BF3">
        <w:rPr>
          <w:rFonts w:ascii="Arial" w:hAnsi="Arial" w:cs="Arial"/>
          <w:sz w:val="20"/>
          <w:szCs w:val="20"/>
        </w:rPr>
        <w:t xml:space="preserve"> projekty na ochranu prírodného dedičstva</w:t>
      </w:r>
      <w:r w:rsidR="00CE52D7">
        <w:rPr>
          <w:rFonts w:ascii="Arial" w:hAnsi="Arial" w:cs="Arial"/>
          <w:sz w:val="20"/>
          <w:szCs w:val="20"/>
        </w:rPr>
        <w:t>.</w:t>
      </w:r>
    </w:p>
    <w:p w:rsidR="002416B1" w:rsidRPr="006A2BF3" w:rsidRDefault="002416B1" w:rsidP="00507035">
      <w:pPr>
        <w:spacing w:before="120" w:after="120" w:line="360" w:lineRule="auto"/>
        <w:jc w:val="both"/>
        <w:rPr>
          <w:rFonts w:ascii="Arial" w:hAnsi="Arial" w:cs="Arial"/>
          <w:bCs/>
          <w:sz w:val="20"/>
          <w:szCs w:val="20"/>
        </w:rPr>
      </w:pPr>
      <w:r w:rsidRPr="006A2BF3">
        <w:rPr>
          <w:rFonts w:ascii="Arial" w:hAnsi="Arial" w:cs="Arial"/>
          <w:bCs/>
          <w:sz w:val="20"/>
          <w:szCs w:val="20"/>
        </w:rPr>
        <w:t>Prioritná os 1: Rozvoj cezhraničnej infraštruktúry</w:t>
      </w:r>
    </w:p>
    <w:p w:rsidR="002416B1" w:rsidRPr="006A2BF3" w:rsidRDefault="002416B1" w:rsidP="00507035">
      <w:pPr>
        <w:spacing w:before="120" w:after="120" w:line="360" w:lineRule="auto"/>
        <w:jc w:val="both"/>
        <w:rPr>
          <w:rFonts w:ascii="Arial" w:hAnsi="Arial" w:cs="Arial"/>
          <w:bCs/>
          <w:sz w:val="20"/>
          <w:szCs w:val="20"/>
        </w:rPr>
      </w:pPr>
      <w:r w:rsidRPr="006A2BF3">
        <w:rPr>
          <w:rFonts w:ascii="Arial" w:hAnsi="Arial" w:cs="Arial"/>
          <w:bCs/>
          <w:sz w:val="20"/>
          <w:szCs w:val="20"/>
        </w:rPr>
        <w:t>1.1 Komunikačná a dopravná infraštruktúra</w:t>
      </w:r>
    </w:p>
    <w:p w:rsidR="002416B1" w:rsidRPr="006A2BF3" w:rsidRDefault="002416B1" w:rsidP="00507035">
      <w:pPr>
        <w:spacing w:before="120" w:after="120" w:line="360" w:lineRule="auto"/>
        <w:jc w:val="both"/>
        <w:rPr>
          <w:rFonts w:ascii="Arial" w:hAnsi="Arial" w:cs="Arial"/>
          <w:bCs/>
          <w:sz w:val="20"/>
          <w:szCs w:val="20"/>
          <w:u w:val="single"/>
        </w:rPr>
      </w:pPr>
      <w:r w:rsidRPr="006A2BF3">
        <w:rPr>
          <w:rFonts w:ascii="Arial" w:hAnsi="Arial" w:cs="Arial"/>
          <w:bCs/>
          <w:sz w:val="20"/>
          <w:szCs w:val="20"/>
          <w:u w:val="single"/>
        </w:rPr>
        <w:t>1.2 Environmentálna infraštruktúra</w:t>
      </w:r>
    </w:p>
    <w:p w:rsidR="002416B1" w:rsidRPr="006A2BF3" w:rsidRDefault="002416B1" w:rsidP="00507035">
      <w:pPr>
        <w:spacing w:before="120" w:after="120" w:line="360" w:lineRule="auto"/>
        <w:jc w:val="both"/>
        <w:rPr>
          <w:rFonts w:ascii="Arial" w:hAnsi="Arial" w:cs="Arial"/>
          <w:bCs/>
          <w:sz w:val="20"/>
          <w:szCs w:val="20"/>
        </w:rPr>
      </w:pPr>
      <w:r w:rsidRPr="006A2BF3">
        <w:rPr>
          <w:rFonts w:ascii="Arial" w:hAnsi="Arial" w:cs="Arial"/>
          <w:bCs/>
          <w:sz w:val="20"/>
          <w:szCs w:val="20"/>
        </w:rPr>
        <w:t xml:space="preserve">Prioritná os 2: Sociálny a ekonomický rozvoj </w:t>
      </w:r>
    </w:p>
    <w:p w:rsidR="002416B1" w:rsidRPr="006A2BF3" w:rsidRDefault="002416B1" w:rsidP="00507035">
      <w:pPr>
        <w:spacing w:before="120" w:after="120" w:line="360" w:lineRule="auto"/>
        <w:jc w:val="both"/>
        <w:rPr>
          <w:rFonts w:ascii="Arial" w:hAnsi="Arial" w:cs="Arial"/>
          <w:bCs/>
          <w:sz w:val="20"/>
          <w:szCs w:val="20"/>
        </w:rPr>
      </w:pPr>
      <w:r w:rsidRPr="006A2BF3">
        <w:rPr>
          <w:rFonts w:ascii="Arial" w:hAnsi="Arial" w:cs="Arial"/>
          <w:bCs/>
          <w:sz w:val="20"/>
          <w:szCs w:val="20"/>
        </w:rPr>
        <w:t>2.1 Rozvoj cezhraničnej spolupráce v turizme</w:t>
      </w:r>
    </w:p>
    <w:p w:rsidR="002416B1" w:rsidRPr="006A2BF3" w:rsidRDefault="002416B1" w:rsidP="00507035">
      <w:pPr>
        <w:spacing w:before="120" w:after="120" w:line="360" w:lineRule="auto"/>
        <w:jc w:val="both"/>
        <w:rPr>
          <w:rFonts w:ascii="Arial" w:hAnsi="Arial" w:cs="Arial"/>
          <w:bCs/>
          <w:sz w:val="20"/>
          <w:szCs w:val="20"/>
          <w:u w:val="single"/>
        </w:rPr>
      </w:pPr>
      <w:r w:rsidRPr="006A2BF3">
        <w:rPr>
          <w:rFonts w:ascii="Arial" w:hAnsi="Arial" w:cs="Arial"/>
          <w:bCs/>
          <w:sz w:val="20"/>
          <w:szCs w:val="20"/>
          <w:u w:val="single"/>
        </w:rPr>
        <w:t>2.2 Ochrana kultúrneho a prírodného dedičstva</w:t>
      </w:r>
    </w:p>
    <w:p w:rsidR="002416B1" w:rsidRPr="006A2BF3" w:rsidRDefault="002416B1" w:rsidP="00507035">
      <w:pPr>
        <w:spacing w:before="120" w:after="120" w:line="360" w:lineRule="auto"/>
        <w:jc w:val="both"/>
        <w:rPr>
          <w:rFonts w:ascii="Arial" w:hAnsi="Arial" w:cs="Arial"/>
          <w:bCs/>
          <w:sz w:val="20"/>
          <w:szCs w:val="20"/>
        </w:rPr>
      </w:pPr>
      <w:r w:rsidRPr="006A2BF3">
        <w:rPr>
          <w:rFonts w:ascii="Arial" w:hAnsi="Arial" w:cs="Arial"/>
          <w:bCs/>
          <w:sz w:val="20"/>
          <w:szCs w:val="20"/>
        </w:rPr>
        <w:t>2.3 Networking</w:t>
      </w:r>
    </w:p>
    <w:p w:rsidR="002416B1" w:rsidRPr="006A2BF3" w:rsidRDefault="002416B1" w:rsidP="00507035">
      <w:pPr>
        <w:spacing w:before="120" w:after="120" w:line="360" w:lineRule="auto"/>
        <w:jc w:val="both"/>
        <w:rPr>
          <w:rFonts w:ascii="Arial" w:hAnsi="Arial" w:cs="Arial"/>
          <w:bCs/>
          <w:sz w:val="20"/>
          <w:szCs w:val="20"/>
        </w:rPr>
      </w:pPr>
      <w:r w:rsidRPr="006A2BF3">
        <w:rPr>
          <w:rFonts w:ascii="Arial" w:hAnsi="Arial" w:cs="Arial"/>
          <w:bCs/>
          <w:sz w:val="20"/>
          <w:szCs w:val="20"/>
        </w:rPr>
        <w:t>Prioritná os 3: Podpora lokálnych iniciatív (mikro projekty)</w:t>
      </w:r>
    </w:p>
    <w:p w:rsidR="002416B1" w:rsidRPr="006A2BF3" w:rsidRDefault="002416B1" w:rsidP="00507035">
      <w:pPr>
        <w:spacing w:before="120" w:after="120" w:line="360" w:lineRule="auto"/>
        <w:jc w:val="both"/>
        <w:rPr>
          <w:rFonts w:ascii="Arial" w:hAnsi="Arial" w:cs="Arial"/>
          <w:sz w:val="20"/>
          <w:szCs w:val="20"/>
        </w:rPr>
      </w:pPr>
      <w:r w:rsidRPr="006A2BF3">
        <w:rPr>
          <w:rFonts w:ascii="Arial" w:hAnsi="Arial" w:cs="Arial"/>
          <w:bCs/>
          <w:sz w:val="20"/>
          <w:szCs w:val="20"/>
        </w:rPr>
        <w:t>Prioritná os 4: Technická pomoc</w:t>
      </w:r>
    </w:p>
    <w:p w:rsidR="002416B1" w:rsidRPr="006A2BF3" w:rsidRDefault="002416B1" w:rsidP="00507035">
      <w:pPr>
        <w:spacing w:before="120" w:after="120" w:line="360" w:lineRule="auto"/>
        <w:jc w:val="both"/>
        <w:rPr>
          <w:rFonts w:ascii="Arial" w:hAnsi="Arial" w:cs="Arial"/>
          <w:i/>
          <w:sz w:val="20"/>
          <w:szCs w:val="20"/>
          <w:u w:val="single"/>
        </w:rPr>
      </w:pPr>
      <w:r w:rsidRPr="006A2BF3">
        <w:rPr>
          <w:rFonts w:ascii="Arial" w:hAnsi="Arial" w:cs="Arial"/>
          <w:i/>
          <w:sz w:val="20"/>
          <w:szCs w:val="20"/>
          <w:u w:val="single"/>
        </w:rPr>
        <w:t>Program Slovenská republika – Maďarsko 2007 – 2013</w:t>
      </w:r>
    </w:p>
    <w:p w:rsidR="002416B1" w:rsidRPr="006A2BF3" w:rsidRDefault="002416B1" w:rsidP="00507035">
      <w:pPr>
        <w:spacing w:before="120" w:after="120" w:line="360" w:lineRule="auto"/>
        <w:jc w:val="both"/>
        <w:rPr>
          <w:rFonts w:ascii="Arial" w:hAnsi="Arial" w:cs="Arial"/>
          <w:sz w:val="20"/>
          <w:szCs w:val="20"/>
        </w:rPr>
      </w:pPr>
      <w:r w:rsidRPr="006A2BF3">
        <w:rPr>
          <w:rFonts w:ascii="Arial" w:hAnsi="Arial" w:cs="Arial"/>
          <w:sz w:val="20"/>
          <w:szCs w:val="20"/>
        </w:rPr>
        <w:t>2.1 Spoločné aktivity na podporu ochrany ŽP</w:t>
      </w:r>
    </w:p>
    <w:p w:rsidR="002416B1" w:rsidRPr="006A2BF3" w:rsidRDefault="002416B1" w:rsidP="00507035">
      <w:pPr>
        <w:spacing w:before="120" w:after="120" w:line="360" w:lineRule="auto"/>
        <w:jc w:val="both"/>
        <w:rPr>
          <w:rFonts w:ascii="Arial" w:hAnsi="Arial" w:cs="Arial"/>
          <w:sz w:val="20"/>
          <w:szCs w:val="20"/>
        </w:rPr>
      </w:pPr>
      <w:r w:rsidRPr="006A2BF3">
        <w:rPr>
          <w:rFonts w:ascii="Arial" w:hAnsi="Arial" w:cs="Arial"/>
          <w:sz w:val="20"/>
          <w:szCs w:val="20"/>
        </w:rPr>
        <w:t>2.2 Spoločná starostlivosť o prírodné prostredie</w:t>
      </w:r>
    </w:p>
    <w:p w:rsidR="002416B1" w:rsidRPr="006A2BF3" w:rsidRDefault="002416B1" w:rsidP="00507035">
      <w:pPr>
        <w:spacing w:before="120" w:after="120" w:line="360" w:lineRule="auto"/>
        <w:jc w:val="both"/>
        <w:rPr>
          <w:rFonts w:ascii="Arial" w:hAnsi="Arial" w:cs="Arial"/>
          <w:i/>
          <w:sz w:val="20"/>
          <w:szCs w:val="20"/>
          <w:u w:val="single"/>
        </w:rPr>
      </w:pPr>
      <w:r w:rsidRPr="006A2BF3">
        <w:rPr>
          <w:rFonts w:ascii="Arial" w:hAnsi="Arial" w:cs="Arial"/>
          <w:sz w:val="20"/>
          <w:szCs w:val="20"/>
        </w:rPr>
        <w:t>V prípade programu</w:t>
      </w:r>
      <w:r w:rsidRPr="006A2BF3">
        <w:rPr>
          <w:rFonts w:ascii="Arial" w:hAnsi="Arial" w:cs="Arial"/>
          <w:i/>
          <w:sz w:val="20"/>
          <w:szCs w:val="20"/>
          <w:u w:val="single"/>
        </w:rPr>
        <w:t xml:space="preserve"> Slovenská republika – Česká republika 2007 – 2013 </w:t>
      </w:r>
      <w:r w:rsidRPr="006A2BF3">
        <w:rPr>
          <w:rFonts w:ascii="Arial" w:hAnsi="Arial" w:cs="Arial"/>
          <w:sz w:val="20"/>
          <w:szCs w:val="20"/>
        </w:rPr>
        <w:t xml:space="preserve">sú </w:t>
      </w:r>
      <w:r w:rsidRPr="006A2BF3">
        <w:rPr>
          <w:rFonts w:ascii="Arial" w:hAnsi="Arial" w:cs="Arial"/>
          <w:bCs/>
          <w:sz w:val="20"/>
          <w:szCs w:val="20"/>
        </w:rPr>
        <w:t>tieto aktivity zahrnuté do priority „Rozvoj dostupnosti cezhraničného územia a životného prostredia“</w:t>
      </w:r>
    </w:p>
    <w:p w:rsidR="002416B1" w:rsidRPr="006A2BF3" w:rsidRDefault="002416B1" w:rsidP="00507035">
      <w:pPr>
        <w:spacing w:before="120" w:after="120" w:line="360" w:lineRule="auto"/>
        <w:jc w:val="both"/>
        <w:rPr>
          <w:rFonts w:ascii="Arial" w:hAnsi="Arial" w:cs="Arial"/>
          <w:sz w:val="20"/>
          <w:szCs w:val="20"/>
        </w:rPr>
      </w:pPr>
      <w:r w:rsidRPr="006A2BF3">
        <w:rPr>
          <w:rFonts w:ascii="Arial" w:hAnsi="Arial" w:cs="Arial"/>
          <w:sz w:val="20"/>
          <w:szCs w:val="20"/>
        </w:rPr>
        <w:t xml:space="preserve">Riadiace štruktúry programov cezhraničnej spolupráce venujú špeciálnu pozornosť tomu, aby sa zabránilo akejkoľvek možnosti dvojitého financovania intervencií zo Štrukturálnych fondov. Deliacou líniou teda v tomto prípade je v prvom rade charakter projektov cezhraničnej spolupráce, ktorých hlavným špecifikom je spoločný manažment projektov s dopadom na oboch stranách programu – pri hodnotení projektov sa dôrazne posudzuje cezhraničný dopad aktivít. </w:t>
      </w:r>
    </w:p>
    <w:p w:rsidR="002416B1" w:rsidRPr="006A2BF3" w:rsidRDefault="002416B1" w:rsidP="00507035">
      <w:pPr>
        <w:spacing w:before="120" w:after="120" w:line="360" w:lineRule="auto"/>
        <w:jc w:val="both"/>
        <w:rPr>
          <w:rFonts w:ascii="Arial" w:hAnsi="Arial" w:cs="Arial"/>
          <w:sz w:val="20"/>
          <w:szCs w:val="20"/>
        </w:rPr>
      </w:pPr>
      <w:r w:rsidRPr="006A2BF3">
        <w:rPr>
          <w:rFonts w:ascii="Arial" w:hAnsi="Arial" w:cs="Arial"/>
          <w:sz w:val="20"/>
          <w:szCs w:val="20"/>
        </w:rPr>
        <w:t>Pre zabezpečenie vzájomnej informovanosti o podporovaných aktivitách/projektoch je zástupca Riadiaceho orgánu pre OP ŽP členom Monitorovacieho výboru každého z programov cezhraničnej spolupráce.</w:t>
      </w:r>
    </w:p>
    <w:p w:rsidR="002416B1" w:rsidRPr="006A2BF3" w:rsidRDefault="002416B1" w:rsidP="00507035">
      <w:pPr>
        <w:spacing w:before="120" w:after="120" w:line="360" w:lineRule="auto"/>
        <w:jc w:val="both"/>
        <w:rPr>
          <w:rFonts w:ascii="Arial" w:hAnsi="Arial" w:cs="Arial"/>
          <w:b/>
          <w:sz w:val="20"/>
          <w:szCs w:val="20"/>
        </w:rPr>
      </w:pPr>
      <w:r w:rsidRPr="006A2BF3">
        <w:rPr>
          <w:rFonts w:ascii="Arial" w:hAnsi="Arial" w:cs="Arial"/>
          <w:b/>
          <w:sz w:val="20"/>
          <w:szCs w:val="20"/>
        </w:rPr>
        <w:t>Synergia, komplementarita OP ŽP s programami financovanými z EAFRD</w:t>
      </w:r>
    </w:p>
    <w:p w:rsidR="002416B1" w:rsidRPr="006A2BF3" w:rsidRDefault="002416B1" w:rsidP="00507035">
      <w:pPr>
        <w:spacing w:before="120" w:after="120" w:line="360" w:lineRule="auto"/>
        <w:jc w:val="both"/>
        <w:rPr>
          <w:rFonts w:ascii="Arial" w:hAnsi="Arial" w:cs="Arial"/>
          <w:sz w:val="20"/>
          <w:szCs w:val="20"/>
        </w:rPr>
      </w:pPr>
      <w:r w:rsidRPr="006A2BF3">
        <w:rPr>
          <w:rFonts w:ascii="Arial" w:hAnsi="Arial" w:cs="Arial"/>
          <w:sz w:val="20"/>
          <w:szCs w:val="20"/>
        </w:rPr>
        <w:t xml:space="preserve">Niektoré aktivity OP ŽP sa dopĺňajú s aktivitami </w:t>
      </w:r>
      <w:r w:rsidRPr="006A2BF3">
        <w:rPr>
          <w:rFonts w:ascii="Arial" w:hAnsi="Arial" w:cs="Arial"/>
          <w:i/>
          <w:sz w:val="20"/>
          <w:szCs w:val="20"/>
          <w:u w:val="single"/>
        </w:rPr>
        <w:t>Programu rozvoja vidieka (ďalej len „PRV“)</w:t>
      </w:r>
      <w:r w:rsidRPr="006A2BF3">
        <w:rPr>
          <w:rFonts w:ascii="Arial" w:hAnsi="Arial" w:cs="Arial"/>
          <w:sz w:val="20"/>
          <w:szCs w:val="20"/>
        </w:rPr>
        <w:t xml:space="preserve">, ktorý je financovaný zo zdrojov </w:t>
      </w:r>
      <w:r w:rsidRPr="006A2BF3">
        <w:rPr>
          <w:rFonts w:ascii="Arial" w:hAnsi="Arial" w:cs="Arial"/>
          <w:i/>
          <w:sz w:val="20"/>
          <w:szCs w:val="20"/>
          <w:u w:val="single"/>
        </w:rPr>
        <w:t>Európskeho poľnohospodárskeho fondu pre rozvoj vidieka (EAFRD)</w:t>
      </w:r>
      <w:r w:rsidRPr="006A2BF3">
        <w:rPr>
          <w:rFonts w:ascii="Arial" w:hAnsi="Arial" w:cs="Arial"/>
          <w:sz w:val="20"/>
          <w:szCs w:val="20"/>
        </w:rPr>
        <w:t>.</w:t>
      </w:r>
    </w:p>
    <w:p w:rsidR="002416B1" w:rsidRPr="006A2BF3" w:rsidRDefault="002416B1" w:rsidP="00507035">
      <w:pPr>
        <w:spacing w:before="120" w:after="120" w:line="360" w:lineRule="auto"/>
        <w:jc w:val="both"/>
        <w:rPr>
          <w:rFonts w:ascii="Arial" w:hAnsi="Arial" w:cs="Arial"/>
          <w:sz w:val="20"/>
          <w:szCs w:val="20"/>
        </w:rPr>
      </w:pPr>
      <w:r w:rsidRPr="006A2BF3">
        <w:rPr>
          <w:rFonts w:ascii="Arial" w:hAnsi="Arial" w:cs="Arial"/>
          <w:sz w:val="20"/>
          <w:szCs w:val="20"/>
        </w:rPr>
        <w:t>Príkladom sú tematicky podobné opatrenia pre OP ŽP, PO 1 Integrovaná ochrana a racionálne využívanie vôd, Operačný cieľ 1.2 Odvádzanie a čistenie komunálnych odpadových vôd v zmysle záväzkov SR voči EÚ, a to v rámci PRV:</w:t>
      </w:r>
    </w:p>
    <w:p w:rsidR="002416B1" w:rsidRPr="006A2BF3" w:rsidRDefault="002416B1" w:rsidP="001540E7">
      <w:pPr>
        <w:numPr>
          <w:ilvl w:val="0"/>
          <w:numId w:val="3"/>
        </w:numPr>
        <w:spacing w:before="120" w:after="120" w:line="360" w:lineRule="auto"/>
        <w:jc w:val="both"/>
        <w:rPr>
          <w:rFonts w:ascii="Arial" w:hAnsi="Arial" w:cs="Arial"/>
          <w:iCs/>
          <w:sz w:val="20"/>
          <w:szCs w:val="20"/>
        </w:rPr>
      </w:pPr>
      <w:r w:rsidRPr="006A2BF3">
        <w:rPr>
          <w:rFonts w:ascii="Arial" w:hAnsi="Arial" w:cs="Arial"/>
          <w:sz w:val="20"/>
          <w:szCs w:val="20"/>
        </w:rPr>
        <w:t xml:space="preserve">Os 1 Zvýšenie </w:t>
      </w:r>
      <w:r w:rsidRPr="006A2BF3">
        <w:rPr>
          <w:rFonts w:ascii="Arial" w:hAnsi="Arial" w:cs="Arial"/>
          <w:bCs/>
          <w:sz w:val="20"/>
          <w:szCs w:val="20"/>
        </w:rPr>
        <w:t>konkurencieschopnosti sektoru poľnohospodárstva a lesného hospodárstva, Opatrenie: P</w:t>
      </w:r>
      <w:r w:rsidRPr="006A2BF3">
        <w:rPr>
          <w:rFonts w:ascii="Arial" w:hAnsi="Arial" w:cs="Arial"/>
          <w:iCs/>
          <w:sz w:val="20"/>
          <w:szCs w:val="20"/>
        </w:rPr>
        <w:t xml:space="preserve">ridávanie hodnoty do poľnohospodárskych produktov a produktov lesného hospodárstva: </w:t>
      </w:r>
    </w:p>
    <w:p w:rsidR="002416B1" w:rsidRPr="006A2BF3" w:rsidRDefault="002416B1" w:rsidP="00507035">
      <w:pPr>
        <w:spacing w:before="120" w:after="120" w:line="360" w:lineRule="auto"/>
        <w:ind w:left="1418"/>
        <w:jc w:val="both"/>
        <w:rPr>
          <w:rFonts w:ascii="Arial" w:hAnsi="Arial" w:cs="Arial"/>
          <w:iCs/>
          <w:sz w:val="20"/>
          <w:szCs w:val="20"/>
        </w:rPr>
      </w:pPr>
      <w:r w:rsidRPr="006A2BF3">
        <w:rPr>
          <w:rFonts w:ascii="Arial" w:hAnsi="Arial" w:cs="Arial"/>
          <w:iCs/>
          <w:sz w:val="20"/>
          <w:szCs w:val="20"/>
        </w:rPr>
        <w:t xml:space="preserve">- </w:t>
      </w:r>
      <w:r w:rsidRPr="006A2BF3">
        <w:rPr>
          <w:rFonts w:ascii="Arial" w:hAnsi="Arial" w:cs="Arial"/>
          <w:iCs/>
          <w:sz w:val="20"/>
          <w:szCs w:val="20"/>
          <w:u w:val="single"/>
        </w:rPr>
        <w:t>v prípade PRV</w:t>
      </w:r>
      <w:r w:rsidRPr="006A2BF3">
        <w:rPr>
          <w:rFonts w:ascii="Arial" w:hAnsi="Arial" w:cs="Arial"/>
          <w:iCs/>
          <w:sz w:val="20"/>
          <w:szCs w:val="20"/>
        </w:rPr>
        <w:t xml:space="preserve"> môžu byť podporené aktivity výstavby, rekonštrukcie a modernizácie v oblasti čistenia odpadových vôd (ČOV) za účelom zlepšenia celkovej výkonnosti podniku, t.j. pre fyzické a právnické osoby podnikajúce v oblasti spracovania produktov poľnohospodárskej prvovýroby a lesných produktov.</w:t>
      </w:r>
    </w:p>
    <w:p w:rsidR="002416B1" w:rsidRPr="006A2BF3" w:rsidRDefault="002416B1" w:rsidP="00507035">
      <w:pPr>
        <w:spacing w:before="120" w:after="120" w:line="360" w:lineRule="auto"/>
        <w:ind w:left="1418"/>
        <w:jc w:val="both"/>
        <w:rPr>
          <w:rFonts w:ascii="Arial" w:hAnsi="Arial" w:cs="Arial"/>
          <w:sz w:val="20"/>
          <w:szCs w:val="20"/>
          <w:u w:val="single"/>
        </w:rPr>
      </w:pPr>
      <w:r w:rsidRPr="006A2BF3">
        <w:rPr>
          <w:rFonts w:ascii="Arial" w:hAnsi="Arial" w:cs="Arial"/>
          <w:iCs/>
          <w:sz w:val="20"/>
          <w:szCs w:val="20"/>
        </w:rPr>
        <w:t xml:space="preserve">- </w:t>
      </w:r>
      <w:r w:rsidRPr="006A2BF3">
        <w:rPr>
          <w:rFonts w:ascii="Arial" w:hAnsi="Arial" w:cs="Arial"/>
          <w:iCs/>
          <w:sz w:val="20"/>
          <w:szCs w:val="20"/>
          <w:u w:val="single"/>
        </w:rPr>
        <w:t>v prípade OP ŽP</w:t>
      </w:r>
      <w:r w:rsidRPr="006A2BF3">
        <w:rPr>
          <w:rFonts w:ascii="Arial" w:hAnsi="Arial" w:cs="Arial"/>
          <w:iCs/>
          <w:sz w:val="20"/>
          <w:szCs w:val="20"/>
        </w:rPr>
        <w:t xml:space="preserve"> je podpora zameraná na odvádzanie a čistenie komunálnych</w:t>
      </w:r>
      <w:r w:rsidRPr="006A2BF3">
        <w:rPr>
          <w:rFonts w:ascii="Arial" w:hAnsi="Arial" w:cs="Arial"/>
          <w:b/>
          <w:iCs/>
          <w:sz w:val="20"/>
          <w:szCs w:val="20"/>
        </w:rPr>
        <w:t xml:space="preserve"> </w:t>
      </w:r>
      <w:r w:rsidRPr="006A2BF3">
        <w:rPr>
          <w:rFonts w:ascii="Arial" w:hAnsi="Arial" w:cs="Arial"/>
          <w:iCs/>
          <w:sz w:val="20"/>
          <w:szCs w:val="20"/>
        </w:rPr>
        <w:t>odpadových vôd v aglomeráciách požadovanej veľkosti, pričom fyzické a právnické osoby podnikajúce v poľnohospodárskej prvovýrobe a lesnom hospodárstve nie sú oprávneným prijímateľom.</w:t>
      </w:r>
    </w:p>
    <w:p w:rsidR="002416B1" w:rsidRPr="006A2BF3" w:rsidRDefault="002416B1" w:rsidP="001540E7">
      <w:pPr>
        <w:numPr>
          <w:ilvl w:val="0"/>
          <w:numId w:val="3"/>
        </w:numPr>
        <w:spacing w:before="120" w:after="120" w:line="360" w:lineRule="auto"/>
        <w:jc w:val="both"/>
        <w:rPr>
          <w:rFonts w:ascii="Arial" w:hAnsi="Arial" w:cs="Arial"/>
          <w:sz w:val="20"/>
          <w:szCs w:val="20"/>
        </w:rPr>
      </w:pPr>
      <w:r w:rsidRPr="006A2BF3">
        <w:rPr>
          <w:rFonts w:ascii="Arial" w:hAnsi="Arial" w:cs="Arial"/>
          <w:sz w:val="20"/>
          <w:szCs w:val="20"/>
        </w:rPr>
        <w:t xml:space="preserve">Os 3 Kvalita života vo vidieckych oblastiach a diverzifikácia vidieckeho hospodárstva, </w:t>
      </w:r>
      <w:r w:rsidRPr="006A2BF3">
        <w:rPr>
          <w:rFonts w:ascii="Arial" w:hAnsi="Arial" w:cs="Arial"/>
          <w:bCs/>
          <w:sz w:val="20"/>
          <w:szCs w:val="20"/>
        </w:rPr>
        <w:t xml:space="preserve">Opatrenie </w:t>
      </w:r>
      <w:r w:rsidRPr="006A2BF3">
        <w:rPr>
          <w:rFonts w:ascii="Arial" w:hAnsi="Arial" w:cs="Arial"/>
          <w:sz w:val="20"/>
          <w:szCs w:val="20"/>
        </w:rPr>
        <w:t xml:space="preserve">Obnova a rozvoj obcí: </w:t>
      </w:r>
    </w:p>
    <w:p w:rsidR="002416B1" w:rsidRDefault="002416B1" w:rsidP="00507035">
      <w:pPr>
        <w:spacing w:before="120" w:after="120" w:line="360" w:lineRule="auto"/>
        <w:ind w:left="1418"/>
        <w:jc w:val="both"/>
        <w:rPr>
          <w:rFonts w:ascii="Arial" w:hAnsi="Arial" w:cs="Arial"/>
          <w:sz w:val="20"/>
          <w:szCs w:val="20"/>
        </w:rPr>
      </w:pPr>
      <w:r w:rsidRPr="006A2BF3">
        <w:rPr>
          <w:rFonts w:ascii="Arial" w:hAnsi="Arial" w:cs="Arial"/>
          <w:sz w:val="20"/>
          <w:szCs w:val="20"/>
        </w:rPr>
        <w:t xml:space="preserve">- </w:t>
      </w:r>
      <w:r w:rsidRPr="006A2BF3">
        <w:rPr>
          <w:rFonts w:ascii="Arial" w:hAnsi="Arial" w:cs="Arial"/>
          <w:sz w:val="20"/>
          <w:szCs w:val="20"/>
          <w:u w:val="single"/>
        </w:rPr>
        <w:t>v prípade PRV</w:t>
      </w:r>
      <w:r w:rsidRPr="006A2BF3">
        <w:rPr>
          <w:rFonts w:ascii="Arial" w:hAnsi="Arial" w:cs="Arial"/>
          <w:sz w:val="20"/>
          <w:szCs w:val="20"/>
        </w:rPr>
        <w:t xml:space="preserve"> sú v rámci komplexného zlepšenia základných služieb a rozvoja investícií vidieckych oblastí podporené aktivity zlepšenia stavu vodovodných a kanalizačných systémov (rekonštrukcia a modernizácia) za účelom zabezpečenia vyššej atraktivity vidieckych oblastí.</w:t>
      </w:r>
    </w:p>
    <w:p w:rsidR="002416B1" w:rsidRDefault="002416B1" w:rsidP="00507035">
      <w:pPr>
        <w:spacing w:before="120" w:after="120" w:line="360" w:lineRule="auto"/>
        <w:ind w:left="1418"/>
        <w:jc w:val="both"/>
        <w:rPr>
          <w:rFonts w:ascii="Arial" w:hAnsi="Arial" w:cs="Arial"/>
          <w:sz w:val="20"/>
          <w:szCs w:val="20"/>
        </w:rPr>
      </w:pPr>
      <w:r w:rsidRPr="006A2BF3">
        <w:rPr>
          <w:rFonts w:ascii="Arial" w:hAnsi="Arial" w:cs="Arial"/>
          <w:sz w:val="20"/>
          <w:szCs w:val="20"/>
        </w:rPr>
        <w:t xml:space="preserve">- </w:t>
      </w:r>
      <w:r w:rsidRPr="006A2BF3">
        <w:rPr>
          <w:rFonts w:ascii="Arial" w:hAnsi="Arial" w:cs="Arial"/>
          <w:sz w:val="20"/>
          <w:szCs w:val="20"/>
          <w:u w:val="single"/>
        </w:rPr>
        <w:t>v prípade OP ŽP</w:t>
      </w:r>
      <w:r w:rsidRPr="006A2BF3">
        <w:rPr>
          <w:rFonts w:ascii="Arial" w:hAnsi="Arial" w:cs="Arial"/>
          <w:sz w:val="20"/>
          <w:szCs w:val="20"/>
        </w:rPr>
        <w:t xml:space="preserve"> je podpora zameraná na odvádzanie a čistenie komunálnych</w:t>
      </w:r>
      <w:r w:rsidRPr="006A2BF3">
        <w:rPr>
          <w:rFonts w:ascii="Arial" w:hAnsi="Arial" w:cs="Arial"/>
          <w:b/>
          <w:sz w:val="20"/>
          <w:szCs w:val="20"/>
        </w:rPr>
        <w:t xml:space="preserve"> </w:t>
      </w:r>
      <w:r w:rsidRPr="006A2BF3">
        <w:rPr>
          <w:rFonts w:ascii="Arial" w:hAnsi="Arial" w:cs="Arial"/>
          <w:sz w:val="20"/>
          <w:szCs w:val="20"/>
        </w:rPr>
        <w:t xml:space="preserve">odpadových vôd v aglomeráciách požadovanej veľkosti v zmysle </w:t>
      </w:r>
      <w:r>
        <w:rPr>
          <w:rFonts w:ascii="Arial" w:hAnsi="Arial" w:cs="Arial"/>
          <w:sz w:val="20"/>
          <w:szCs w:val="20"/>
        </w:rPr>
        <w:t xml:space="preserve">Národného programu SR pre vykonávanie smernice 91/271/EHS </w:t>
      </w:r>
      <w:r w:rsidRPr="00401464">
        <w:rPr>
          <w:rFonts w:ascii="Arial" w:hAnsi="Arial" w:cs="Arial"/>
          <w:sz w:val="20"/>
          <w:szCs w:val="20"/>
        </w:rPr>
        <w:t>o čistení komunálnych odpadových vôd v znení smernice Komisie 98/15/ES a nariadenia Európskeho parlamentu a Rady 1882/2003/ES</w:t>
      </w:r>
      <w:r>
        <w:rPr>
          <w:rFonts w:ascii="Arial" w:hAnsi="Arial" w:cs="Arial"/>
          <w:sz w:val="20"/>
          <w:szCs w:val="20"/>
        </w:rPr>
        <w:t>.</w:t>
      </w:r>
    </w:p>
    <w:p w:rsidR="004D6F10" w:rsidRPr="006A2BF3" w:rsidRDefault="004D6F10" w:rsidP="00507035">
      <w:pPr>
        <w:spacing w:before="120" w:after="120" w:line="360" w:lineRule="auto"/>
        <w:ind w:left="1418"/>
        <w:jc w:val="both"/>
        <w:rPr>
          <w:rFonts w:ascii="Arial" w:hAnsi="Arial" w:cs="Arial"/>
          <w:sz w:val="20"/>
          <w:szCs w:val="20"/>
        </w:rPr>
      </w:pPr>
    </w:p>
    <w:p w:rsidR="002416B1" w:rsidRPr="006A2BF3" w:rsidRDefault="002416B1" w:rsidP="00507035">
      <w:pPr>
        <w:spacing w:before="120" w:after="120" w:line="360" w:lineRule="auto"/>
        <w:jc w:val="both"/>
        <w:rPr>
          <w:rFonts w:ascii="Arial" w:hAnsi="Arial" w:cs="Arial"/>
          <w:b/>
          <w:sz w:val="20"/>
          <w:szCs w:val="20"/>
        </w:rPr>
      </w:pPr>
      <w:r w:rsidRPr="006A2BF3">
        <w:rPr>
          <w:rFonts w:ascii="Arial" w:hAnsi="Arial" w:cs="Arial"/>
          <w:b/>
          <w:sz w:val="20"/>
          <w:szCs w:val="20"/>
        </w:rPr>
        <w:t>Synergia, komplementarita OP ŽP s ostatnými finančnými nástrojmi</w:t>
      </w:r>
    </w:p>
    <w:p w:rsidR="00433F61" w:rsidRPr="004B33AE" w:rsidRDefault="00433F61" w:rsidP="00507035">
      <w:pPr>
        <w:spacing w:before="120" w:after="120" w:line="360" w:lineRule="auto"/>
        <w:jc w:val="both"/>
        <w:rPr>
          <w:rFonts w:ascii="Arial" w:hAnsi="Arial" w:cs="Arial"/>
          <w:i/>
          <w:sz w:val="20"/>
          <w:szCs w:val="20"/>
          <w:u w:val="single"/>
        </w:rPr>
      </w:pPr>
      <w:r w:rsidRPr="006A2BF3">
        <w:rPr>
          <w:rFonts w:ascii="Arial" w:hAnsi="Arial" w:cs="Arial"/>
          <w:i/>
          <w:sz w:val="20"/>
          <w:szCs w:val="20"/>
          <w:u w:val="single"/>
        </w:rPr>
        <w:t>Finančný mechanizmus EHP/Nórsky finančný mechanizmus (ďalej len „FM EHP/NFM“) v r. 201</w:t>
      </w:r>
      <w:r>
        <w:rPr>
          <w:rFonts w:ascii="Arial" w:hAnsi="Arial" w:cs="Arial"/>
          <w:i/>
          <w:sz w:val="20"/>
          <w:szCs w:val="20"/>
          <w:u w:val="single"/>
        </w:rPr>
        <w:t>2</w:t>
      </w:r>
    </w:p>
    <w:p w:rsidR="00433F61" w:rsidRDefault="00433F61" w:rsidP="00507035">
      <w:pPr>
        <w:spacing w:before="120" w:after="120" w:line="360" w:lineRule="auto"/>
        <w:jc w:val="both"/>
        <w:rPr>
          <w:rFonts w:ascii="Arial" w:hAnsi="Arial" w:cs="Arial"/>
          <w:bCs/>
          <w:iCs/>
          <w:sz w:val="20"/>
          <w:szCs w:val="20"/>
        </w:rPr>
      </w:pPr>
      <w:r>
        <w:rPr>
          <w:rFonts w:ascii="Arial" w:hAnsi="Arial" w:cs="Arial"/>
          <w:bCs/>
          <w:iCs/>
          <w:sz w:val="20"/>
          <w:szCs w:val="20"/>
        </w:rPr>
        <w:t xml:space="preserve">V rámci programového obdobia rokov </w:t>
      </w:r>
      <w:r w:rsidRPr="004D53C9">
        <w:rPr>
          <w:rFonts w:ascii="Arial" w:hAnsi="Arial" w:cs="Arial"/>
          <w:bCs/>
          <w:iCs/>
          <w:sz w:val="20"/>
          <w:szCs w:val="20"/>
        </w:rPr>
        <w:t>2009 až 2014 bolo pre Slovensko vy</w:t>
      </w:r>
      <w:r>
        <w:rPr>
          <w:rFonts w:ascii="Arial" w:hAnsi="Arial" w:cs="Arial"/>
          <w:bCs/>
          <w:iCs/>
          <w:sz w:val="20"/>
          <w:szCs w:val="20"/>
        </w:rPr>
        <w:t>č</w:t>
      </w:r>
      <w:r w:rsidRPr="004D53C9">
        <w:rPr>
          <w:rFonts w:ascii="Arial" w:hAnsi="Arial" w:cs="Arial"/>
          <w:bCs/>
          <w:iCs/>
          <w:sz w:val="20"/>
          <w:szCs w:val="20"/>
        </w:rPr>
        <w:t>lenených</w:t>
      </w:r>
      <w:r>
        <w:rPr>
          <w:rFonts w:ascii="Arial" w:hAnsi="Arial" w:cs="Arial"/>
          <w:bCs/>
          <w:iCs/>
          <w:sz w:val="20"/>
          <w:szCs w:val="20"/>
        </w:rPr>
        <w:t xml:space="preserve"> </w:t>
      </w:r>
      <w:r w:rsidRPr="004D53C9">
        <w:rPr>
          <w:rFonts w:ascii="Arial" w:hAnsi="Arial" w:cs="Arial"/>
          <w:bCs/>
          <w:iCs/>
          <w:sz w:val="20"/>
          <w:szCs w:val="20"/>
        </w:rPr>
        <w:t xml:space="preserve">viac ako 80 miliónov </w:t>
      </w:r>
      <w:r>
        <w:rPr>
          <w:rFonts w:ascii="Arial" w:hAnsi="Arial" w:cs="Arial"/>
          <w:bCs/>
          <w:iCs/>
          <w:sz w:val="20"/>
          <w:szCs w:val="20"/>
        </w:rPr>
        <w:t>EUR</w:t>
      </w:r>
      <w:r w:rsidRPr="004D53C9">
        <w:rPr>
          <w:rFonts w:ascii="Arial" w:hAnsi="Arial" w:cs="Arial"/>
          <w:bCs/>
          <w:iCs/>
          <w:sz w:val="20"/>
          <w:szCs w:val="20"/>
        </w:rPr>
        <w:t>. Prioritných oblastí ostáva aj na</w:t>
      </w:r>
      <w:r>
        <w:rPr>
          <w:rFonts w:ascii="Arial" w:hAnsi="Arial" w:cs="Arial"/>
          <w:bCs/>
          <w:iCs/>
          <w:sz w:val="20"/>
          <w:szCs w:val="20"/>
        </w:rPr>
        <w:t>ď</w:t>
      </w:r>
      <w:r w:rsidRPr="004D53C9">
        <w:rPr>
          <w:rFonts w:ascii="Arial" w:hAnsi="Arial" w:cs="Arial"/>
          <w:bCs/>
          <w:iCs/>
          <w:sz w:val="20"/>
          <w:szCs w:val="20"/>
        </w:rPr>
        <w:t>alej devä</w:t>
      </w:r>
      <w:r>
        <w:rPr>
          <w:rFonts w:ascii="Arial" w:hAnsi="Arial" w:cs="Arial"/>
          <w:bCs/>
          <w:iCs/>
          <w:sz w:val="20"/>
          <w:szCs w:val="20"/>
        </w:rPr>
        <w:t>ť, pričom n</w:t>
      </w:r>
      <w:r w:rsidRPr="00421FC4">
        <w:rPr>
          <w:rFonts w:ascii="Arial" w:hAnsi="Arial" w:cs="Arial"/>
          <w:bCs/>
          <w:iCs/>
          <w:sz w:val="20"/>
          <w:szCs w:val="20"/>
        </w:rPr>
        <w:t>ajviac finančných prostriedkov</w:t>
      </w:r>
      <w:r>
        <w:rPr>
          <w:rFonts w:ascii="Arial" w:hAnsi="Arial" w:cs="Arial"/>
          <w:bCs/>
          <w:iCs/>
          <w:sz w:val="20"/>
          <w:szCs w:val="20"/>
        </w:rPr>
        <w:t xml:space="preserve"> </w:t>
      </w:r>
      <w:r w:rsidRPr="00421FC4">
        <w:rPr>
          <w:rFonts w:ascii="Arial" w:hAnsi="Arial" w:cs="Arial"/>
          <w:bCs/>
          <w:iCs/>
          <w:sz w:val="20"/>
          <w:szCs w:val="20"/>
        </w:rPr>
        <w:t xml:space="preserve">(14,6 milióna </w:t>
      </w:r>
      <w:r>
        <w:rPr>
          <w:rFonts w:ascii="Arial" w:hAnsi="Arial" w:cs="Arial"/>
          <w:bCs/>
          <w:iCs/>
          <w:sz w:val="20"/>
          <w:szCs w:val="20"/>
        </w:rPr>
        <w:t>EUR</w:t>
      </w:r>
      <w:r w:rsidRPr="00421FC4">
        <w:rPr>
          <w:rFonts w:ascii="Arial" w:hAnsi="Arial" w:cs="Arial"/>
          <w:bCs/>
          <w:iCs/>
          <w:sz w:val="20"/>
          <w:szCs w:val="20"/>
        </w:rPr>
        <w:t>) v</w:t>
      </w:r>
      <w:r>
        <w:rPr>
          <w:rFonts w:ascii="Arial" w:hAnsi="Arial" w:cs="Arial"/>
          <w:bCs/>
          <w:iCs/>
          <w:sz w:val="20"/>
          <w:szCs w:val="20"/>
        </w:rPr>
        <w:t> </w:t>
      </w:r>
      <w:r w:rsidRPr="00421FC4">
        <w:rPr>
          <w:rFonts w:ascii="Arial" w:hAnsi="Arial" w:cs="Arial"/>
          <w:bCs/>
          <w:iCs/>
          <w:sz w:val="20"/>
          <w:szCs w:val="20"/>
        </w:rPr>
        <w:t>novom</w:t>
      </w:r>
      <w:r>
        <w:rPr>
          <w:rFonts w:ascii="Arial" w:hAnsi="Arial" w:cs="Arial"/>
          <w:bCs/>
          <w:iCs/>
          <w:sz w:val="20"/>
          <w:szCs w:val="20"/>
        </w:rPr>
        <w:t xml:space="preserve"> </w:t>
      </w:r>
      <w:r w:rsidRPr="00421FC4">
        <w:rPr>
          <w:rFonts w:ascii="Arial" w:hAnsi="Arial" w:cs="Arial"/>
          <w:bCs/>
          <w:iCs/>
          <w:sz w:val="20"/>
          <w:szCs w:val="20"/>
        </w:rPr>
        <w:t>programovom období je určených na</w:t>
      </w:r>
      <w:r>
        <w:rPr>
          <w:rFonts w:ascii="Arial" w:hAnsi="Arial" w:cs="Arial"/>
          <w:bCs/>
          <w:iCs/>
          <w:sz w:val="20"/>
          <w:szCs w:val="20"/>
        </w:rPr>
        <w:t xml:space="preserve"> </w:t>
      </w:r>
      <w:r w:rsidRPr="00421FC4">
        <w:rPr>
          <w:rFonts w:ascii="Arial" w:hAnsi="Arial" w:cs="Arial"/>
          <w:bCs/>
          <w:iCs/>
          <w:sz w:val="20"/>
          <w:szCs w:val="20"/>
        </w:rPr>
        <w:t>podporu zelených inovácií v</w:t>
      </w:r>
      <w:r>
        <w:rPr>
          <w:rFonts w:ascii="Arial" w:hAnsi="Arial" w:cs="Arial"/>
          <w:bCs/>
          <w:iCs/>
          <w:sz w:val="20"/>
          <w:szCs w:val="20"/>
        </w:rPr>
        <w:t> </w:t>
      </w:r>
      <w:r w:rsidRPr="00421FC4">
        <w:rPr>
          <w:rFonts w:ascii="Arial" w:hAnsi="Arial" w:cs="Arial"/>
          <w:bCs/>
          <w:iCs/>
          <w:sz w:val="20"/>
          <w:szCs w:val="20"/>
        </w:rPr>
        <w:t>priemysle</w:t>
      </w:r>
      <w:r>
        <w:rPr>
          <w:rFonts w:ascii="Arial" w:hAnsi="Arial" w:cs="Arial"/>
          <w:bCs/>
          <w:iCs/>
          <w:sz w:val="20"/>
          <w:szCs w:val="20"/>
        </w:rPr>
        <w:t xml:space="preserve"> </w:t>
      </w:r>
      <w:r w:rsidRPr="00421FC4">
        <w:rPr>
          <w:rFonts w:ascii="Arial" w:hAnsi="Arial" w:cs="Arial"/>
          <w:bCs/>
          <w:iCs/>
          <w:sz w:val="20"/>
          <w:szCs w:val="20"/>
        </w:rPr>
        <w:t>a</w:t>
      </w:r>
      <w:r>
        <w:rPr>
          <w:rFonts w:ascii="Arial" w:hAnsi="Arial" w:cs="Arial"/>
          <w:bCs/>
          <w:iCs/>
          <w:sz w:val="20"/>
          <w:szCs w:val="20"/>
        </w:rPr>
        <w:t> </w:t>
      </w:r>
      <w:r w:rsidRPr="00421FC4">
        <w:rPr>
          <w:rFonts w:ascii="Arial" w:hAnsi="Arial" w:cs="Arial"/>
          <w:bCs/>
          <w:iCs/>
          <w:sz w:val="20"/>
          <w:szCs w:val="20"/>
        </w:rPr>
        <w:t>podnikaní</w:t>
      </w:r>
      <w:r>
        <w:rPr>
          <w:rFonts w:ascii="Arial" w:hAnsi="Arial" w:cs="Arial"/>
          <w:bCs/>
          <w:iCs/>
          <w:sz w:val="20"/>
          <w:szCs w:val="20"/>
        </w:rPr>
        <w:t xml:space="preserve"> a zameranie na životné prostredie a klimatické zmeny.</w:t>
      </w:r>
      <w:r w:rsidRPr="004D53C9">
        <w:rPr>
          <w:rFonts w:ascii="Arial" w:hAnsi="Arial" w:cs="Arial"/>
          <w:bCs/>
          <w:iCs/>
          <w:sz w:val="20"/>
          <w:szCs w:val="20"/>
        </w:rPr>
        <w:t xml:space="preserve"> </w:t>
      </w:r>
      <w:r w:rsidRPr="00421FC4">
        <w:rPr>
          <w:rFonts w:ascii="Arial" w:hAnsi="Arial" w:cs="Arial"/>
          <w:bCs/>
          <w:iCs/>
          <w:sz w:val="20"/>
          <w:szCs w:val="20"/>
        </w:rPr>
        <w:t>Mimoriadne</w:t>
      </w:r>
      <w:r>
        <w:rPr>
          <w:rFonts w:ascii="Arial" w:hAnsi="Arial" w:cs="Arial"/>
          <w:bCs/>
          <w:iCs/>
          <w:sz w:val="20"/>
          <w:szCs w:val="20"/>
        </w:rPr>
        <w:t xml:space="preserve"> </w:t>
      </w:r>
      <w:r w:rsidRPr="00421FC4">
        <w:rPr>
          <w:rFonts w:ascii="Arial" w:hAnsi="Arial" w:cs="Arial"/>
          <w:bCs/>
          <w:iCs/>
          <w:sz w:val="20"/>
          <w:szCs w:val="20"/>
        </w:rPr>
        <w:t>aktuálnej problematike záplav</w:t>
      </w:r>
      <w:r>
        <w:rPr>
          <w:rFonts w:ascii="Arial" w:hAnsi="Arial" w:cs="Arial"/>
          <w:bCs/>
          <w:iCs/>
          <w:sz w:val="20"/>
          <w:szCs w:val="20"/>
        </w:rPr>
        <w:t xml:space="preserve"> </w:t>
      </w:r>
      <w:r w:rsidRPr="00421FC4">
        <w:rPr>
          <w:rFonts w:ascii="Arial" w:hAnsi="Arial" w:cs="Arial"/>
          <w:bCs/>
          <w:iCs/>
          <w:sz w:val="20"/>
          <w:szCs w:val="20"/>
        </w:rPr>
        <w:t>a protipovodňovým opatreniam sa</w:t>
      </w:r>
      <w:r>
        <w:rPr>
          <w:rFonts w:ascii="Arial" w:hAnsi="Arial" w:cs="Arial"/>
          <w:bCs/>
          <w:iCs/>
          <w:sz w:val="20"/>
          <w:szCs w:val="20"/>
        </w:rPr>
        <w:t xml:space="preserve"> </w:t>
      </w:r>
      <w:r w:rsidRPr="00421FC4">
        <w:rPr>
          <w:rFonts w:ascii="Arial" w:hAnsi="Arial" w:cs="Arial"/>
          <w:bCs/>
          <w:iCs/>
          <w:sz w:val="20"/>
          <w:szCs w:val="20"/>
        </w:rPr>
        <w:t xml:space="preserve">bude venovať program </w:t>
      </w:r>
      <w:r w:rsidRPr="00421FC4">
        <w:rPr>
          <w:rFonts w:ascii="Arial" w:hAnsi="Arial" w:cs="Arial"/>
          <w:bCs/>
          <w:i/>
          <w:iCs/>
          <w:sz w:val="20"/>
          <w:szCs w:val="20"/>
        </w:rPr>
        <w:t>Prispôsobenie sa zmene klímy</w:t>
      </w:r>
      <w:r w:rsidRPr="00421FC4">
        <w:rPr>
          <w:rFonts w:ascii="Arial" w:hAnsi="Arial" w:cs="Arial"/>
          <w:bCs/>
          <w:iCs/>
          <w:sz w:val="20"/>
          <w:szCs w:val="20"/>
        </w:rPr>
        <w:t xml:space="preserve"> v</w:t>
      </w:r>
      <w:r>
        <w:rPr>
          <w:rFonts w:ascii="Arial" w:hAnsi="Arial" w:cs="Arial"/>
          <w:bCs/>
          <w:iCs/>
          <w:sz w:val="20"/>
          <w:szCs w:val="20"/>
        </w:rPr>
        <w:t> </w:t>
      </w:r>
      <w:r w:rsidRPr="00421FC4">
        <w:rPr>
          <w:rFonts w:ascii="Arial" w:hAnsi="Arial" w:cs="Arial"/>
          <w:bCs/>
          <w:iCs/>
          <w:sz w:val="20"/>
          <w:szCs w:val="20"/>
        </w:rPr>
        <w:t>spolupráci</w:t>
      </w:r>
      <w:r>
        <w:rPr>
          <w:rFonts w:ascii="Arial" w:hAnsi="Arial" w:cs="Arial"/>
          <w:bCs/>
          <w:iCs/>
          <w:sz w:val="20"/>
          <w:szCs w:val="20"/>
        </w:rPr>
        <w:t xml:space="preserve"> </w:t>
      </w:r>
      <w:r w:rsidRPr="00421FC4">
        <w:rPr>
          <w:rFonts w:ascii="Arial" w:hAnsi="Arial" w:cs="Arial"/>
          <w:bCs/>
          <w:iCs/>
          <w:sz w:val="20"/>
          <w:szCs w:val="20"/>
        </w:rPr>
        <w:t>Úradu vlády SR s dvomi nórskymi</w:t>
      </w:r>
      <w:r>
        <w:rPr>
          <w:rFonts w:ascii="Arial" w:hAnsi="Arial" w:cs="Arial"/>
          <w:bCs/>
          <w:iCs/>
          <w:sz w:val="20"/>
          <w:szCs w:val="20"/>
        </w:rPr>
        <w:t xml:space="preserve"> </w:t>
      </w:r>
      <w:r w:rsidRPr="00421FC4">
        <w:rPr>
          <w:rFonts w:ascii="Arial" w:hAnsi="Arial" w:cs="Arial"/>
          <w:bCs/>
          <w:iCs/>
          <w:sz w:val="20"/>
          <w:szCs w:val="20"/>
        </w:rPr>
        <w:t>inštitúciami - Riaditeľstvom pre vodné</w:t>
      </w:r>
      <w:r>
        <w:rPr>
          <w:rFonts w:ascii="Arial" w:hAnsi="Arial" w:cs="Arial"/>
          <w:bCs/>
          <w:iCs/>
          <w:sz w:val="20"/>
          <w:szCs w:val="20"/>
        </w:rPr>
        <w:t xml:space="preserve"> </w:t>
      </w:r>
      <w:r w:rsidRPr="00421FC4">
        <w:rPr>
          <w:rFonts w:ascii="Arial" w:hAnsi="Arial" w:cs="Arial"/>
          <w:bCs/>
          <w:iCs/>
          <w:sz w:val="20"/>
          <w:szCs w:val="20"/>
        </w:rPr>
        <w:t>zdroje a energetiku a</w:t>
      </w:r>
      <w:r>
        <w:rPr>
          <w:rFonts w:ascii="Arial" w:hAnsi="Arial" w:cs="Arial"/>
          <w:bCs/>
          <w:iCs/>
          <w:sz w:val="20"/>
          <w:szCs w:val="20"/>
        </w:rPr>
        <w:t> </w:t>
      </w:r>
      <w:r w:rsidRPr="00421FC4">
        <w:rPr>
          <w:rFonts w:ascii="Arial" w:hAnsi="Arial" w:cs="Arial"/>
          <w:bCs/>
          <w:iCs/>
          <w:sz w:val="20"/>
          <w:szCs w:val="20"/>
        </w:rPr>
        <w:t>Riaditeľstvom</w:t>
      </w:r>
      <w:r>
        <w:rPr>
          <w:rFonts w:ascii="Arial" w:hAnsi="Arial" w:cs="Arial"/>
          <w:bCs/>
          <w:iCs/>
          <w:sz w:val="20"/>
          <w:szCs w:val="20"/>
        </w:rPr>
        <w:t xml:space="preserve"> </w:t>
      </w:r>
      <w:r w:rsidRPr="00421FC4">
        <w:rPr>
          <w:rFonts w:ascii="Arial" w:hAnsi="Arial" w:cs="Arial"/>
          <w:bCs/>
          <w:iCs/>
          <w:sz w:val="20"/>
          <w:szCs w:val="20"/>
        </w:rPr>
        <w:t>na ochranu obyvateľstva a</w:t>
      </w:r>
      <w:r>
        <w:rPr>
          <w:rFonts w:ascii="Arial" w:hAnsi="Arial" w:cs="Arial"/>
          <w:bCs/>
          <w:iCs/>
          <w:sz w:val="20"/>
          <w:szCs w:val="20"/>
        </w:rPr>
        <w:t> </w:t>
      </w:r>
      <w:r w:rsidRPr="00421FC4">
        <w:rPr>
          <w:rFonts w:ascii="Arial" w:hAnsi="Arial" w:cs="Arial"/>
          <w:bCs/>
          <w:iCs/>
          <w:sz w:val="20"/>
          <w:szCs w:val="20"/>
        </w:rPr>
        <w:t>krízové</w:t>
      </w:r>
      <w:r>
        <w:rPr>
          <w:rFonts w:ascii="Arial" w:hAnsi="Arial" w:cs="Arial"/>
          <w:bCs/>
          <w:iCs/>
          <w:sz w:val="20"/>
          <w:szCs w:val="20"/>
        </w:rPr>
        <w:t xml:space="preserve"> plánovanie.</w:t>
      </w:r>
    </w:p>
    <w:p w:rsidR="00433F61" w:rsidRDefault="00433F61" w:rsidP="00507035">
      <w:pPr>
        <w:spacing w:before="120" w:after="120" w:line="360" w:lineRule="auto"/>
        <w:jc w:val="both"/>
        <w:rPr>
          <w:rFonts w:ascii="Arial" w:hAnsi="Arial" w:cs="Arial"/>
          <w:bCs/>
          <w:iCs/>
          <w:sz w:val="20"/>
          <w:szCs w:val="20"/>
        </w:rPr>
      </w:pPr>
      <w:r w:rsidRPr="00EB3410">
        <w:rPr>
          <w:rFonts w:ascii="Arial" w:hAnsi="Arial" w:cs="Arial"/>
          <w:bCs/>
          <w:iCs/>
          <w:sz w:val="20"/>
          <w:szCs w:val="20"/>
        </w:rPr>
        <w:t>Celkovo 31 mil. EUR pôjde na programy zamerané na prispôsobenie sa klimatickým zmenám, zachytávanie a skladovanie uhlíka a zelené inovácie v priemysle. „Táto oblasť je prioritou pre Nórsko a mnohé nórske inštitúcie ako napríklad Inovation Norway a iné, sú schopné ponúknuť svoje skúsenosti ako potenciálni programoví partneri</w:t>
      </w:r>
      <w:r>
        <w:rPr>
          <w:rFonts w:ascii="Arial" w:hAnsi="Arial" w:cs="Arial"/>
          <w:bCs/>
          <w:iCs/>
          <w:sz w:val="20"/>
          <w:szCs w:val="20"/>
        </w:rPr>
        <w:t>.</w:t>
      </w:r>
    </w:p>
    <w:p w:rsidR="00433F61" w:rsidRDefault="00433F61" w:rsidP="00507035">
      <w:pPr>
        <w:spacing w:before="120" w:after="120" w:line="360" w:lineRule="auto"/>
        <w:jc w:val="both"/>
        <w:rPr>
          <w:rFonts w:ascii="Arial" w:hAnsi="Arial" w:cs="Arial"/>
          <w:bCs/>
          <w:iCs/>
          <w:sz w:val="20"/>
          <w:szCs w:val="20"/>
        </w:rPr>
      </w:pPr>
      <w:r w:rsidRPr="00844DCB">
        <w:rPr>
          <w:rFonts w:ascii="Arial" w:hAnsi="Arial" w:cs="Arial"/>
          <w:bCs/>
          <w:iCs/>
          <w:sz w:val="20"/>
          <w:szCs w:val="20"/>
        </w:rPr>
        <w:t xml:space="preserve">Dňa 6. novembra 2012 sa v priestoroch hotela Bôrik v Bratislave uskutočnila otváracia konferencia, grantov EHP a Nórska v programovom období 2009 – 2014.  Na konferencii sa zúčastnilo viac ako 200 hostí, ktorí boli oboznámení s možnosťami čerpania finančných prostriedkov  v programoch podporovaných z týchto grantov. Následne boli oficiálne uzavreté a podpísané </w:t>
      </w:r>
      <w:r>
        <w:rPr>
          <w:rFonts w:ascii="Arial" w:hAnsi="Arial" w:cs="Arial"/>
          <w:bCs/>
          <w:iCs/>
          <w:sz w:val="20"/>
          <w:szCs w:val="20"/>
        </w:rPr>
        <w:t xml:space="preserve">aj </w:t>
      </w:r>
      <w:r w:rsidRPr="00844DCB">
        <w:rPr>
          <w:rFonts w:ascii="Arial" w:hAnsi="Arial" w:cs="Arial"/>
          <w:bCs/>
          <w:iCs/>
          <w:sz w:val="20"/>
          <w:szCs w:val="20"/>
        </w:rPr>
        <w:t>programové dohody k programom zameraných na prispôsobovanie sa klimatickým zmenám</w:t>
      </w:r>
      <w:r>
        <w:rPr>
          <w:rFonts w:ascii="Arial" w:hAnsi="Arial" w:cs="Arial"/>
          <w:bCs/>
          <w:iCs/>
          <w:sz w:val="20"/>
          <w:szCs w:val="20"/>
        </w:rPr>
        <w:t xml:space="preserve"> a</w:t>
      </w:r>
      <w:r w:rsidRPr="00844DCB">
        <w:rPr>
          <w:rFonts w:ascii="Arial" w:hAnsi="Arial" w:cs="Arial"/>
          <w:bCs/>
          <w:iCs/>
          <w:sz w:val="20"/>
          <w:szCs w:val="20"/>
        </w:rPr>
        <w:t xml:space="preserve"> zelené inovácie v</w:t>
      </w:r>
      <w:r>
        <w:rPr>
          <w:rFonts w:ascii="Arial" w:hAnsi="Arial" w:cs="Arial"/>
          <w:bCs/>
          <w:iCs/>
          <w:sz w:val="20"/>
          <w:szCs w:val="20"/>
        </w:rPr>
        <w:t> </w:t>
      </w:r>
      <w:r w:rsidRPr="00844DCB">
        <w:rPr>
          <w:rFonts w:ascii="Arial" w:hAnsi="Arial" w:cs="Arial"/>
          <w:bCs/>
          <w:iCs/>
          <w:sz w:val="20"/>
          <w:szCs w:val="20"/>
        </w:rPr>
        <w:t>priemysle</w:t>
      </w:r>
      <w:r>
        <w:rPr>
          <w:rFonts w:ascii="Arial" w:hAnsi="Arial" w:cs="Arial"/>
          <w:bCs/>
          <w:iCs/>
          <w:sz w:val="20"/>
          <w:szCs w:val="20"/>
        </w:rPr>
        <w:t xml:space="preserve">. </w:t>
      </w:r>
      <w:r w:rsidRPr="00844DCB">
        <w:rPr>
          <w:rFonts w:ascii="Arial" w:hAnsi="Arial" w:cs="Arial"/>
          <w:bCs/>
          <w:iCs/>
          <w:sz w:val="20"/>
          <w:szCs w:val="20"/>
        </w:rPr>
        <w:t xml:space="preserve">Tieto dohody prinášajú na Slovensko viac ako 35 miliónov eur, ktoré budú môcť byť použité na financovanie projektov v týchto programových oblastiach. Dohody boli podpísané vedúcim Úradu vlády SR a za prispievateľské štáty, Nórsko, Island a Lichtenštajnsko, Andersom Erdalom, predsedom Výboru pre finančný mechanizmus. </w:t>
      </w:r>
    </w:p>
    <w:p w:rsidR="002416B1" w:rsidRPr="004B33AE" w:rsidRDefault="002416B1" w:rsidP="00507035">
      <w:pPr>
        <w:spacing w:before="120" w:after="120" w:line="360" w:lineRule="auto"/>
        <w:jc w:val="both"/>
        <w:rPr>
          <w:rFonts w:ascii="Arial" w:hAnsi="Arial" w:cs="Arial"/>
          <w:bCs/>
          <w:i/>
          <w:sz w:val="20"/>
          <w:szCs w:val="20"/>
          <w:u w:val="single"/>
        </w:rPr>
      </w:pPr>
      <w:r w:rsidRPr="004B33AE">
        <w:rPr>
          <w:rFonts w:ascii="Arial" w:hAnsi="Arial" w:cs="Arial"/>
          <w:bCs/>
          <w:i/>
          <w:sz w:val="20"/>
          <w:szCs w:val="20"/>
          <w:u w:val="single"/>
        </w:rPr>
        <w:t>Švajčiarsky finančný mechanizmus (ďalej len „ŠFM“) v r. 201</w:t>
      </w:r>
      <w:r w:rsidR="00433F61">
        <w:rPr>
          <w:rFonts w:ascii="Arial" w:hAnsi="Arial" w:cs="Arial"/>
          <w:bCs/>
          <w:i/>
          <w:sz w:val="20"/>
          <w:szCs w:val="20"/>
          <w:u w:val="single"/>
        </w:rPr>
        <w:t>2</w:t>
      </w:r>
    </w:p>
    <w:p w:rsidR="002416B1" w:rsidRPr="00A73401" w:rsidRDefault="002416B1" w:rsidP="00507035">
      <w:pPr>
        <w:spacing w:before="120" w:after="120" w:line="360" w:lineRule="auto"/>
        <w:jc w:val="both"/>
        <w:rPr>
          <w:rFonts w:ascii="Arial" w:hAnsi="Arial" w:cs="Arial"/>
          <w:bCs/>
          <w:sz w:val="20"/>
          <w:szCs w:val="20"/>
          <w:u w:val="single"/>
        </w:rPr>
      </w:pPr>
      <w:r w:rsidRPr="00A73401">
        <w:rPr>
          <w:rFonts w:ascii="Arial" w:hAnsi="Arial" w:cs="Arial"/>
          <w:bCs/>
          <w:sz w:val="20"/>
          <w:szCs w:val="20"/>
        </w:rPr>
        <w:t>Pre posúdenie komplementárnosti s OP ŽP 2007-2013 je v prípade ŠFM relevantná </w:t>
      </w:r>
      <w:r w:rsidRPr="00A73401">
        <w:rPr>
          <w:rFonts w:ascii="Arial" w:hAnsi="Arial" w:cs="Arial"/>
          <w:bCs/>
          <w:i/>
          <w:sz w:val="20"/>
          <w:szCs w:val="20"/>
        </w:rPr>
        <w:t>prioritná oblasť 2. Životné prostredie a infraštruktúra</w:t>
      </w:r>
      <w:r w:rsidRPr="00A73401">
        <w:rPr>
          <w:rFonts w:ascii="Arial" w:hAnsi="Arial" w:cs="Arial"/>
          <w:bCs/>
          <w:sz w:val="20"/>
          <w:szCs w:val="20"/>
        </w:rPr>
        <w:t>, do ktorej spadajú nasledujúce oblasti zamerania:</w:t>
      </w:r>
    </w:p>
    <w:p w:rsidR="002416B1" w:rsidRPr="00A73401" w:rsidRDefault="002416B1" w:rsidP="00507035">
      <w:pPr>
        <w:spacing w:before="120" w:after="120" w:line="360" w:lineRule="auto"/>
        <w:jc w:val="both"/>
        <w:rPr>
          <w:rFonts w:ascii="Arial" w:hAnsi="Arial" w:cs="Arial"/>
          <w:bCs/>
          <w:sz w:val="20"/>
          <w:szCs w:val="20"/>
        </w:rPr>
      </w:pPr>
      <w:r w:rsidRPr="00A73401">
        <w:rPr>
          <w:rFonts w:ascii="Arial" w:hAnsi="Arial" w:cs="Arial"/>
          <w:bCs/>
          <w:sz w:val="20"/>
          <w:szCs w:val="20"/>
        </w:rPr>
        <w:t>2.1 Obnova a modernizácia základnej infraštruktúry a skvalitnenie životného prostredia;</w:t>
      </w:r>
    </w:p>
    <w:p w:rsidR="002416B1" w:rsidRPr="00A73401" w:rsidRDefault="002416B1" w:rsidP="00507035">
      <w:pPr>
        <w:spacing w:before="120" w:after="120" w:line="360" w:lineRule="auto"/>
        <w:jc w:val="both"/>
        <w:rPr>
          <w:rFonts w:ascii="Arial" w:hAnsi="Arial" w:cs="Arial"/>
          <w:b/>
          <w:bCs/>
          <w:sz w:val="20"/>
          <w:szCs w:val="20"/>
        </w:rPr>
      </w:pPr>
      <w:r w:rsidRPr="00A73401">
        <w:rPr>
          <w:rFonts w:ascii="Arial" w:hAnsi="Arial" w:cs="Arial"/>
          <w:bCs/>
          <w:sz w:val="20"/>
          <w:szCs w:val="20"/>
        </w:rPr>
        <w:t>2.2 Ochrana prírody</w:t>
      </w:r>
      <w:r w:rsidRPr="00A73401">
        <w:rPr>
          <w:rFonts w:ascii="Arial" w:hAnsi="Arial" w:cs="Arial"/>
          <w:b/>
          <w:bCs/>
          <w:sz w:val="20"/>
          <w:szCs w:val="20"/>
        </w:rPr>
        <w:t xml:space="preserve"> </w:t>
      </w:r>
    </w:p>
    <w:p w:rsidR="002416B1" w:rsidRPr="00A73401" w:rsidRDefault="002416B1" w:rsidP="00507035">
      <w:pPr>
        <w:spacing w:before="120" w:after="120" w:line="360" w:lineRule="auto"/>
        <w:jc w:val="both"/>
        <w:rPr>
          <w:rFonts w:ascii="Arial" w:hAnsi="Arial" w:cs="Arial"/>
          <w:bCs/>
          <w:sz w:val="20"/>
          <w:szCs w:val="20"/>
        </w:rPr>
      </w:pPr>
      <w:r w:rsidRPr="00A73401">
        <w:rPr>
          <w:rFonts w:ascii="Arial" w:hAnsi="Arial" w:cs="Arial"/>
          <w:bCs/>
          <w:sz w:val="20"/>
          <w:szCs w:val="20"/>
        </w:rPr>
        <w:t>Informácie o projektoch navrhovaných na podporu v rámci uvedených oblastí zamerania, ako aj o aktivitách vykonaných v súvislosti s ich výberom v rámci implementácie ŠFM v priebehu roka 201</w:t>
      </w:r>
      <w:r w:rsidR="00433F61">
        <w:rPr>
          <w:rFonts w:ascii="Arial" w:hAnsi="Arial" w:cs="Arial"/>
          <w:bCs/>
          <w:sz w:val="20"/>
          <w:szCs w:val="20"/>
        </w:rPr>
        <w:t>2</w:t>
      </w:r>
      <w:r w:rsidRPr="00A73401">
        <w:rPr>
          <w:rFonts w:ascii="Arial" w:hAnsi="Arial" w:cs="Arial"/>
          <w:bCs/>
          <w:sz w:val="20"/>
          <w:szCs w:val="20"/>
        </w:rPr>
        <w:t xml:space="preserve"> sú uvedené nižšie.</w:t>
      </w:r>
    </w:p>
    <w:p w:rsidR="002416B1" w:rsidRPr="00A73401" w:rsidRDefault="002416B1" w:rsidP="00507035">
      <w:pPr>
        <w:spacing w:before="120" w:after="120" w:line="360" w:lineRule="auto"/>
        <w:jc w:val="both"/>
        <w:rPr>
          <w:rFonts w:ascii="Arial" w:hAnsi="Arial" w:cs="Arial"/>
          <w:bCs/>
          <w:sz w:val="20"/>
          <w:szCs w:val="20"/>
          <w:u w:val="single"/>
        </w:rPr>
      </w:pPr>
      <w:r w:rsidRPr="00A73401">
        <w:rPr>
          <w:rFonts w:ascii="Arial" w:hAnsi="Arial" w:cs="Arial"/>
          <w:bCs/>
          <w:sz w:val="20"/>
          <w:szCs w:val="20"/>
          <w:u w:val="single"/>
        </w:rPr>
        <w:t>2.1 Obnova a modernizácia základnej infraštruktúry a skvalitnenie životného prostredia</w:t>
      </w:r>
    </w:p>
    <w:p w:rsidR="002416B1" w:rsidRPr="00A73401" w:rsidRDefault="002416B1" w:rsidP="00507035">
      <w:pPr>
        <w:spacing w:before="120" w:after="120" w:line="360" w:lineRule="auto"/>
        <w:jc w:val="both"/>
        <w:rPr>
          <w:rFonts w:ascii="Arial" w:hAnsi="Arial" w:cs="Arial"/>
          <w:bCs/>
          <w:i/>
          <w:sz w:val="20"/>
          <w:szCs w:val="20"/>
        </w:rPr>
      </w:pPr>
      <w:r w:rsidRPr="00A73401">
        <w:rPr>
          <w:rFonts w:ascii="Arial" w:hAnsi="Arial" w:cs="Arial"/>
          <w:bCs/>
          <w:i/>
          <w:sz w:val="20"/>
          <w:szCs w:val="20"/>
        </w:rPr>
        <w:t>Cieľ zamerania</w:t>
      </w:r>
    </w:p>
    <w:p w:rsidR="002416B1" w:rsidRPr="00A73401" w:rsidRDefault="002416B1" w:rsidP="00507035">
      <w:pPr>
        <w:spacing w:before="120" w:after="120" w:line="360" w:lineRule="auto"/>
        <w:jc w:val="both"/>
        <w:rPr>
          <w:rFonts w:ascii="Arial" w:hAnsi="Arial" w:cs="Arial"/>
          <w:bCs/>
          <w:sz w:val="20"/>
          <w:szCs w:val="20"/>
        </w:rPr>
      </w:pPr>
      <w:r w:rsidRPr="00A73401">
        <w:rPr>
          <w:rFonts w:ascii="Arial" w:hAnsi="Arial" w:cs="Arial"/>
          <w:bCs/>
          <w:sz w:val="20"/>
          <w:szCs w:val="20"/>
        </w:rPr>
        <w:t xml:space="preserve">Cieľom zamerania je zlepšenie služieb komunálnej infraštruktúry, aby sa zvýšila životná úroveň a podporil hospodársky rozvoj. </w:t>
      </w:r>
    </w:p>
    <w:p w:rsidR="002416B1" w:rsidRPr="00A73401" w:rsidRDefault="002416B1" w:rsidP="00507035">
      <w:pPr>
        <w:spacing w:before="120" w:after="120" w:line="360" w:lineRule="auto"/>
        <w:jc w:val="both"/>
        <w:rPr>
          <w:rFonts w:ascii="Arial" w:hAnsi="Arial" w:cs="Arial"/>
          <w:bCs/>
          <w:i/>
          <w:sz w:val="20"/>
          <w:szCs w:val="20"/>
        </w:rPr>
      </w:pPr>
      <w:r w:rsidRPr="00A73401">
        <w:rPr>
          <w:rFonts w:ascii="Arial" w:hAnsi="Arial" w:cs="Arial"/>
          <w:bCs/>
          <w:i/>
          <w:sz w:val="20"/>
          <w:szCs w:val="20"/>
        </w:rPr>
        <w:t>Podmienky oprávnenosti</w:t>
      </w:r>
    </w:p>
    <w:p w:rsidR="002416B1" w:rsidRPr="00A73401" w:rsidRDefault="002416B1" w:rsidP="00507035">
      <w:pPr>
        <w:spacing w:before="120" w:after="120" w:line="360" w:lineRule="auto"/>
        <w:jc w:val="both"/>
        <w:rPr>
          <w:rFonts w:ascii="Arial" w:hAnsi="Arial" w:cs="Arial"/>
          <w:bCs/>
          <w:sz w:val="20"/>
          <w:szCs w:val="20"/>
        </w:rPr>
      </w:pPr>
      <w:r>
        <w:rPr>
          <w:rFonts w:ascii="Arial" w:hAnsi="Arial" w:cs="Arial"/>
          <w:bCs/>
          <w:sz w:val="20"/>
          <w:szCs w:val="20"/>
        </w:rPr>
        <w:t>P</w:t>
      </w:r>
      <w:r w:rsidRPr="00A73401">
        <w:rPr>
          <w:rFonts w:ascii="Arial" w:hAnsi="Arial" w:cs="Arial"/>
          <w:bCs/>
          <w:sz w:val="20"/>
          <w:szCs w:val="20"/>
        </w:rPr>
        <w:t xml:space="preserve">redmetom podpory </w:t>
      </w:r>
      <w:r>
        <w:rPr>
          <w:rFonts w:ascii="Arial" w:hAnsi="Arial" w:cs="Arial"/>
          <w:bCs/>
          <w:sz w:val="20"/>
          <w:szCs w:val="20"/>
        </w:rPr>
        <w:t xml:space="preserve">sú </w:t>
      </w:r>
      <w:r w:rsidRPr="00A73401">
        <w:rPr>
          <w:rFonts w:ascii="Arial" w:hAnsi="Arial" w:cs="Arial"/>
          <w:bCs/>
          <w:iCs/>
          <w:sz w:val="20"/>
          <w:szCs w:val="20"/>
        </w:rPr>
        <w:t xml:space="preserve">projekty trvalo udržateľného vodného </w:t>
      </w:r>
      <w:r w:rsidRPr="00A73401">
        <w:rPr>
          <w:rFonts w:ascii="Arial" w:hAnsi="Arial" w:cs="Arial"/>
          <w:bCs/>
          <w:sz w:val="20"/>
          <w:szCs w:val="20"/>
        </w:rPr>
        <w:t>hospodárstva a hospodárstva odpadových vôd, zamerané predovšetkým na čistenie komunálnych odpadových vôd, a to v nasledujúcich oblastiach:</w:t>
      </w:r>
    </w:p>
    <w:p w:rsidR="002416B1" w:rsidRPr="00A73401" w:rsidRDefault="002416B1" w:rsidP="00507035">
      <w:pPr>
        <w:spacing w:before="120" w:after="120" w:line="360" w:lineRule="auto"/>
        <w:jc w:val="both"/>
        <w:rPr>
          <w:rFonts w:ascii="Arial" w:hAnsi="Arial" w:cs="Arial"/>
          <w:bCs/>
          <w:sz w:val="20"/>
          <w:szCs w:val="20"/>
        </w:rPr>
      </w:pPr>
      <w:r w:rsidRPr="00A73401">
        <w:rPr>
          <w:rFonts w:ascii="Arial" w:hAnsi="Arial" w:cs="Arial"/>
          <w:bCs/>
          <w:sz w:val="20"/>
          <w:szCs w:val="20"/>
        </w:rPr>
        <w:t>a) aglomerácie, ktoré vo svojom rozvoji presiahli veľkostnú kategóriu nad 2 000 ekvivalentných obyvateľov, a ktoré nie sú uvedené v zozname aglomerácií v Národnom programe SR pre vykonanie smernice rady 91/271/EHS v znení smernice Komisie 98/15/ES a nariadenia EP a Rady 1882/2003/ES, Prílohy 2, ktorá v súlade s Prístupovou zmluvou definuje záväzky Slovenskej republiky voči Európskej únii;</w:t>
      </w:r>
    </w:p>
    <w:p w:rsidR="002416B1" w:rsidRPr="00A73401" w:rsidRDefault="002416B1" w:rsidP="00507035">
      <w:pPr>
        <w:spacing w:before="120" w:after="120" w:line="360" w:lineRule="auto"/>
        <w:jc w:val="both"/>
        <w:rPr>
          <w:rFonts w:ascii="Arial" w:hAnsi="Arial" w:cs="Arial"/>
          <w:bCs/>
          <w:sz w:val="20"/>
          <w:szCs w:val="20"/>
        </w:rPr>
      </w:pPr>
      <w:r w:rsidRPr="00A73401">
        <w:rPr>
          <w:rFonts w:ascii="Arial" w:hAnsi="Arial" w:cs="Arial"/>
          <w:bCs/>
          <w:sz w:val="20"/>
          <w:szCs w:val="20"/>
        </w:rPr>
        <w:t>b) aglomerácie veľkostnej kategórie pod 2 000 ekvivalentných obyvateľov, ktorých intravilán alebo zastavané územie zasahuje do I. alebo II. stupňa ochranného pásma využívaného vodárenského zdroja.</w:t>
      </w:r>
    </w:p>
    <w:p w:rsidR="002416B1" w:rsidRPr="00A73401" w:rsidRDefault="002416B1" w:rsidP="00507035">
      <w:pPr>
        <w:spacing w:before="120" w:after="120" w:line="360" w:lineRule="auto"/>
        <w:jc w:val="both"/>
        <w:rPr>
          <w:rFonts w:ascii="Arial" w:hAnsi="Arial" w:cs="Arial"/>
          <w:bCs/>
          <w:sz w:val="20"/>
          <w:szCs w:val="20"/>
        </w:rPr>
      </w:pPr>
      <w:r w:rsidRPr="00A73401">
        <w:rPr>
          <w:rFonts w:ascii="Arial" w:hAnsi="Arial" w:cs="Arial"/>
          <w:bCs/>
          <w:sz w:val="20"/>
          <w:szCs w:val="20"/>
        </w:rPr>
        <w:t xml:space="preserve">Oprávnenými žiadateľmi o NFP sú obce, združenia obcí v zmysle zákona </w:t>
      </w:r>
      <w:r w:rsidR="00433F61">
        <w:rPr>
          <w:rFonts w:ascii="Arial" w:hAnsi="Arial" w:cs="Arial"/>
          <w:bCs/>
          <w:sz w:val="20"/>
          <w:szCs w:val="20"/>
        </w:rPr>
        <w:t xml:space="preserve">č. </w:t>
      </w:r>
      <w:r w:rsidRPr="00A73401">
        <w:rPr>
          <w:rFonts w:ascii="Arial" w:hAnsi="Arial" w:cs="Arial"/>
          <w:bCs/>
          <w:sz w:val="20"/>
          <w:szCs w:val="20"/>
        </w:rPr>
        <w:t xml:space="preserve">369/1990 o obecnom zriadení v znení neskorších predpisov, vlastníci alebo prevádzkovatelia verejnej kanalizácie v zmysle zákona </w:t>
      </w:r>
      <w:r w:rsidR="00433F61">
        <w:rPr>
          <w:rFonts w:ascii="Arial" w:hAnsi="Arial" w:cs="Arial"/>
          <w:bCs/>
          <w:sz w:val="20"/>
          <w:szCs w:val="20"/>
        </w:rPr>
        <w:t xml:space="preserve">č. </w:t>
      </w:r>
      <w:r w:rsidRPr="00A73401">
        <w:rPr>
          <w:rFonts w:ascii="Arial" w:hAnsi="Arial" w:cs="Arial"/>
          <w:bCs/>
          <w:sz w:val="20"/>
          <w:szCs w:val="20"/>
        </w:rPr>
        <w:t>442/2002 Z. z. o verejných vodovodoch a verejných kanalizáciách a o zmene a doplnení zákona č. 276/2001 Z. z. a zákona č. 394/2009 Z. z., so sídlom na území Slovenskej republiky.</w:t>
      </w:r>
    </w:p>
    <w:p w:rsidR="002416B1" w:rsidRPr="00A73401" w:rsidRDefault="002416B1" w:rsidP="00507035">
      <w:pPr>
        <w:spacing w:before="120" w:after="120" w:line="360" w:lineRule="auto"/>
        <w:jc w:val="both"/>
        <w:rPr>
          <w:rFonts w:ascii="Arial" w:hAnsi="Arial" w:cs="Arial"/>
          <w:bCs/>
          <w:sz w:val="20"/>
          <w:szCs w:val="20"/>
        </w:rPr>
      </w:pPr>
      <w:r w:rsidRPr="00A73401">
        <w:rPr>
          <w:rFonts w:ascii="Arial" w:hAnsi="Arial" w:cs="Arial"/>
          <w:bCs/>
          <w:sz w:val="20"/>
          <w:szCs w:val="20"/>
        </w:rPr>
        <w:t>NFP zo ŠFM bude poskytnutý iba pre projekty, ktorých minimálna predpokladaná výška priamych výdavkov bude 1 983 602 EUR na jeden projekt (3 000 000 CHF).</w:t>
      </w:r>
    </w:p>
    <w:p w:rsidR="002416B1" w:rsidRPr="00A73401" w:rsidRDefault="002416B1" w:rsidP="00507035">
      <w:pPr>
        <w:spacing w:before="120" w:after="120" w:line="360" w:lineRule="auto"/>
        <w:jc w:val="both"/>
        <w:rPr>
          <w:rFonts w:ascii="Arial" w:hAnsi="Arial" w:cs="Arial"/>
          <w:bCs/>
          <w:sz w:val="20"/>
          <w:szCs w:val="20"/>
        </w:rPr>
      </w:pPr>
      <w:r w:rsidRPr="00A73401">
        <w:rPr>
          <w:rFonts w:ascii="Arial" w:hAnsi="Arial" w:cs="Arial"/>
          <w:bCs/>
          <w:sz w:val="20"/>
          <w:szCs w:val="20"/>
        </w:rPr>
        <w:t xml:space="preserve">Uvedená oblasť podpory zo ŠFM je komplementárnou k podpore projektov v oblasti vodného hospodárstva poskytovanej v rámci prioritnej osi 1 OP ŽP, keďže oprávnené na podporu sú aglomerácie, ktoré nie sú uvedené v zozname aglomerácií v Národnom programe SR pre vykonávanie smernice Rady 91/271/EHS o čistení komunálnych odpadových vôd v znení smernice Komisie 98/15/ES a nariadenia Európskeho parlamentu a Rady 1882/2003 (zoznam týchto aglomerácií je uvedený v prílohe č. 1 tohto manuálu), definujúcom záväzky SR v oblasti odvádzania a čistenia komunálnych odpadových vyplývajúce zo Zmluvy o pristúpení SR k EÚ, ktorý je zároveň prílohou č. 1 Programového manuálu OP ŽP. Prostredníctvom ŠFM teda môžu byť podporené v oblasti hospodárstva odpadových vôd projekty v aglomeráciách, ktoré nie sú oprávnené na podporu v rámci OP ŽP.  </w:t>
      </w:r>
    </w:p>
    <w:p w:rsidR="002416B1" w:rsidRPr="00A73401" w:rsidRDefault="002416B1" w:rsidP="00507035">
      <w:pPr>
        <w:spacing w:before="120" w:after="120" w:line="360" w:lineRule="auto"/>
        <w:jc w:val="both"/>
        <w:rPr>
          <w:rFonts w:ascii="Arial" w:hAnsi="Arial" w:cs="Arial"/>
          <w:bCs/>
          <w:sz w:val="20"/>
          <w:szCs w:val="20"/>
          <w:u w:val="single"/>
        </w:rPr>
      </w:pPr>
      <w:r w:rsidRPr="00A73401">
        <w:rPr>
          <w:rFonts w:ascii="Arial" w:hAnsi="Arial" w:cs="Arial"/>
          <w:bCs/>
          <w:sz w:val="20"/>
          <w:szCs w:val="20"/>
          <w:u w:val="single"/>
        </w:rPr>
        <w:t>2.1 Ochrana prírody</w:t>
      </w:r>
    </w:p>
    <w:p w:rsidR="002416B1" w:rsidRPr="00A73401" w:rsidRDefault="002416B1" w:rsidP="00507035">
      <w:pPr>
        <w:spacing w:before="120" w:after="120" w:line="360" w:lineRule="auto"/>
        <w:jc w:val="both"/>
        <w:rPr>
          <w:rFonts w:ascii="Arial" w:hAnsi="Arial" w:cs="Arial"/>
          <w:bCs/>
          <w:sz w:val="20"/>
          <w:szCs w:val="20"/>
        </w:rPr>
      </w:pPr>
      <w:r w:rsidRPr="00A73401">
        <w:rPr>
          <w:rFonts w:ascii="Arial" w:hAnsi="Arial" w:cs="Arial"/>
          <w:bCs/>
          <w:sz w:val="20"/>
          <w:szCs w:val="20"/>
        </w:rPr>
        <w:t>Cieľom</w:t>
      </w:r>
      <w:r w:rsidRPr="0039268C">
        <w:rPr>
          <w:rFonts w:ascii="Arial" w:hAnsi="Arial" w:cs="Arial"/>
          <w:bCs/>
          <w:sz w:val="20"/>
          <w:szCs w:val="20"/>
        </w:rPr>
        <w:t xml:space="preserve"> </w:t>
      </w:r>
      <w:r w:rsidRPr="00A73401">
        <w:rPr>
          <w:rFonts w:ascii="Arial" w:hAnsi="Arial" w:cs="Arial"/>
          <w:bCs/>
          <w:sz w:val="20"/>
          <w:szCs w:val="20"/>
        </w:rPr>
        <w:t>zamerania</w:t>
      </w:r>
      <w:r w:rsidRPr="0039268C">
        <w:rPr>
          <w:rFonts w:ascii="Arial" w:hAnsi="Arial" w:cs="Arial"/>
          <w:bCs/>
          <w:sz w:val="20"/>
          <w:szCs w:val="20"/>
        </w:rPr>
        <w:t xml:space="preserve"> je </w:t>
      </w:r>
      <w:r w:rsidRPr="00A73401">
        <w:rPr>
          <w:rFonts w:ascii="Arial" w:hAnsi="Arial" w:cs="Arial"/>
          <w:bCs/>
          <w:sz w:val="20"/>
          <w:szCs w:val="20"/>
        </w:rPr>
        <w:t>ochrana prírodných zdrojov a fungujúcich ekosystémov trvalo udržateľným spôsobom.</w:t>
      </w:r>
    </w:p>
    <w:p w:rsidR="002416B1" w:rsidRPr="00A73401" w:rsidRDefault="002416B1" w:rsidP="00507035">
      <w:pPr>
        <w:spacing w:before="120" w:after="120" w:line="360" w:lineRule="auto"/>
        <w:jc w:val="both"/>
        <w:rPr>
          <w:rFonts w:ascii="Arial" w:hAnsi="Arial" w:cs="Arial"/>
          <w:bCs/>
          <w:i/>
          <w:sz w:val="20"/>
          <w:szCs w:val="20"/>
        </w:rPr>
      </w:pPr>
      <w:r w:rsidRPr="00A73401">
        <w:rPr>
          <w:rFonts w:ascii="Arial" w:hAnsi="Arial" w:cs="Arial"/>
          <w:bCs/>
          <w:i/>
          <w:sz w:val="20"/>
          <w:szCs w:val="20"/>
        </w:rPr>
        <w:t>Podmienky oprávnenosti</w:t>
      </w:r>
    </w:p>
    <w:p w:rsidR="002416B1" w:rsidRPr="00A73401" w:rsidRDefault="002416B1" w:rsidP="00507035">
      <w:pPr>
        <w:spacing w:before="120" w:after="120" w:line="360" w:lineRule="auto"/>
        <w:jc w:val="both"/>
        <w:rPr>
          <w:rFonts w:ascii="Arial" w:hAnsi="Arial" w:cs="Arial"/>
          <w:bCs/>
          <w:iCs/>
          <w:sz w:val="20"/>
          <w:szCs w:val="20"/>
        </w:rPr>
      </w:pPr>
      <w:r w:rsidRPr="00A73401">
        <w:rPr>
          <w:rFonts w:ascii="Arial" w:hAnsi="Arial" w:cs="Arial"/>
          <w:bCs/>
          <w:iCs/>
          <w:sz w:val="20"/>
          <w:szCs w:val="20"/>
        </w:rPr>
        <w:t>V súlade s Prílohou 1 Rámcovej dohody sú pre uvedenú oblasť zamerania definované nasledovné typy oprávnených projektov:</w:t>
      </w:r>
    </w:p>
    <w:p w:rsidR="002416B1" w:rsidRPr="00A73401" w:rsidRDefault="002416B1" w:rsidP="001540E7">
      <w:pPr>
        <w:numPr>
          <w:ilvl w:val="0"/>
          <w:numId w:val="16"/>
        </w:numPr>
        <w:spacing w:before="120" w:after="120" w:line="360" w:lineRule="auto"/>
        <w:ind w:left="714" w:hanging="357"/>
        <w:jc w:val="both"/>
        <w:rPr>
          <w:rFonts w:ascii="Arial" w:hAnsi="Arial" w:cs="Arial"/>
          <w:bCs/>
          <w:sz w:val="20"/>
          <w:szCs w:val="20"/>
        </w:rPr>
      </w:pPr>
      <w:r w:rsidRPr="00A73401">
        <w:rPr>
          <w:rFonts w:ascii="Arial" w:hAnsi="Arial" w:cs="Arial"/>
          <w:bCs/>
          <w:sz w:val="20"/>
          <w:szCs w:val="20"/>
        </w:rPr>
        <w:t>ochrana a regenerácia prírodného životného prostredia a krajiny najmä v geografickej oblasti zamerania, s osobitnou pozornosťou zameranou na sústavu NATURA 2000 a Karpatský dohovor,</w:t>
      </w:r>
    </w:p>
    <w:p w:rsidR="002416B1" w:rsidRPr="00A73401" w:rsidRDefault="002416B1" w:rsidP="001540E7">
      <w:pPr>
        <w:numPr>
          <w:ilvl w:val="0"/>
          <w:numId w:val="16"/>
        </w:numPr>
        <w:spacing w:before="120" w:after="120" w:line="360" w:lineRule="auto"/>
        <w:ind w:left="714" w:hanging="357"/>
        <w:jc w:val="both"/>
        <w:rPr>
          <w:rFonts w:ascii="Arial" w:hAnsi="Arial" w:cs="Arial"/>
          <w:bCs/>
          <w:sz w:val="20"/>
          <w:szCs w:val="20"/>
        </w:rPr>
      </w:pPr>
      <w:r w:rsidRPr="00A73401">
        <w:rPr>
          <w:rFonts w:ascii="Arial" w:hAnsi="Arial" w:cs="Arial"/>
          <w:bCs/>
          <w:sz w:val="20"/>
          <w:szCs w:val="20"/>
        </w:rPr>
        <w:t>monitoring a výskum lesných ekosystémov (zlepšenie prístrojového a iného technického vybavenia).</w:t>
      </w:r>
    </w:p>
    <w:p w:rsidR="002416B1" w:rsidRPr="00A73401" w:rsidRDefault="002416B1" w:rsidP="00507035">
      <w:pPr>
        <w:spacing w:before="120" w:after="120" w:line="360" w:lineRule="auto"/>
        <w:jc w:val="both"/>
        <w:rPr>
          <w:rFonts w:ascii="Arial" w:hAnsi="Arial" w:cs="Arial"/>
          <w:bCs/>
          <w:sz w:val="20"/>
          <w:szCs w:val="20"/>
        </w:rPr>
      </w:pPr>
      <w:r w:rsidRPr="00A73401">
        <w:rPr>
          <w:rFonts w:ascii="Arial" w:hAnsi="Arial" w:cs="Arial"/>
          <w:bCs/>
          <w:sz w:val="20"/>
          <w:szCs w:val="20"/>
        </w:rPr>
        <w:t xml:space="preserve">V rámci rezortu MŽP SR je oprávneným žiadateľom </w:t>
      </w:r>
      <w:r w:rsidRPr="00A73401">
        <w:rPr>
          <w:rFonts w:ascii="Arial" w:hAnsi="Arial" w:cs="Arial"/>
          <w:bCs/>
          <w:iCs/>
          <w:sz w:val="20"/>
          <w:szCs w:val="20"/>
        </w:rPr>
        <w:t xml:space="preserve">Štátna ochrana prírody Slovenskej republiky, a to pre </w:t>
      </w:r>
      <w:r w:rsidRPr="00A73401">
        <w:rPr>
          <w:rFonts w:ascii="Arial" w:hAnsi="Arial" w:cs="Arial"/>
          <w:bCs/>
          <w:sz w:val="20"/>
          <w:szCs w:val="20"/>
        </w:rPr>
        <w:t>projekt zameraný na ochranu a regeneráciu prírodného životného prostredia a krajiny</w:t>
      </w:r>
      <w:r w:rsidRPr="00A73401">
        <w:rPr>
          <w:rFonts w:ascii="Arial" w:hAnsi="Arial" w:cs="Arial"/>
          <w:bCs/>
          <w:sz w:val="20"/>
          <w:szCs w:val="20"/>
          <w:vertAlign w:val="superscript"/>
        </w:rPr>
        <w:footnoteReference w:customMarkFollows="1" w:id="9"/>
        <w:t>*</w:t>
      </w:r>
      <w:r w:rsidRPr="00A73401">
        <w:rPr>
          <w:rFonts w:ascii="Arial" w:hAnsi="Arial" w:cs="Arial"/>
          <w:bCs/>
          <w:sz w:val="20"/>
          <w:szCs w:val="20"/>
        </w:rPr>
        <w:t xml:space="preserve">. </w:t>
      </w:r>
    </w:p>
    <w:p w:rsidR="002416B1" w:rsidRPr="00A73401" w:rsidRDefault="002416B1" w:rsidP="00507035">
      <w:pPr>
        <w:spacing w:before="120" w:after="120" w:line="360" w:lineRule="auto"/>
        <w:jc w:val="both"/>
        <w:rPr>
          <w:rFonts w:ascii="Arial" w:hAnsi="Arial" w:cs="Arial"/>
          <w:b/>
          <w:bCs/>
          <w:iCs/>
          <w:sz w:val="20"/>
          <w:szCs w:val="20"/>
        </w:rPr>
      </w:pPr>
      <w:r w:rsidRPr="00A73401">
        <w:rPr>
          <w:rFonts w:ascii="Arial" w:hAnsi="Arial" w:cs="Arial"/>
          <w:bCs/>
          <w:sz w:val="20"/>
          <w:szCs w:val="20"/>
        </w:rPr>
        <w:t xml:space="preserve">Uvedená oblasť podpory zo ŠFM je komplementárnou k podpore projektov v oblasti ochrany prírody poskytovanej v rámci prioritnej osi 5 OP ŽP, pričom aktivity financované v rámci ŠFM sú územne lokalizované </w:t>
      </w:r>
      <w:r w:rsidRPr="00A73401">
        <w:rPr>
          <w:rFonts w:ascii="Arial" w:hAnsi="Arial" w:cs="Arial"/>
          <w:bCs/>
          <w:iCs/>
          <w:sz w:val="20"/>
          <w:szCs w:val="20"/>
        </w:rPr>
        <w:t>v slovenských Karpatoch.</w:t>
      </w:r>
      <w:r w:rsidRPr="00A73401">
        <w:rPr>
          <w:rFonts w:ascii="Arial" w:hAnsi="Arial" w:cs="Arial"/>
          <w:bCs/>
          <w:i/>
          <w:iCs/>
          <w:sz w:val="20"/>
          <w:szCs w:val="20"/>
        </w:rPr>
        <w:t xml:space="preserve"> </w:t>
      </w:r>
    </w:p>
    <w:p w:rsidR="002416B1" w:rsidRPr="006A2BF3" w:rsidRDefault="00433F61" w:rsidP="00507035">
      <w:pPr>
        <w:spacing w:before="120" w:after="120" w:line="360" w:lineRule="auto"/>
        <w:jc w:val="both"/>
        <w:rPr>
          <w:rFonts w:ascii="Arial" w:hAnsi="Arial" w:cs="Arial"/>
          <w:bCs/>
          <w:i/>
          <w:sz w:val="20"/>
          <w:szCs w:val="20"/>
        </w:rPr>
      </w:pPr>
      <w:r>
        <w:rPr>
          <w:rFonts w:ascii="Arial" w:hAnsi="Arial" w:cs="Arial"/>
          <w:bCs/>
          <w:sz w:val="20"/>
          <w:szCs w:val="20"/>
        </w:rPr>
        <w:t>Dňa 14.06.</w:t>
      </w:r>
      <w:r w:rsidRPr="00BD2855">
        <w:rPr>
          <w:rFonts w:ascii="Arial" w:hAnsi="Arial" w:cs="Arial"/>
          <w:bCs/>
          <w:sz w:val="20"/>
          <w:szCs w:val="20"/>
        </w:rPr>
        <w:t>2012</w:t>
      </w:r>
      <w:r w:rsidRPr="00C77A9D">
        <w:rPr>
          <w:rFonts w:ascii="Arial" w:hAnsi="Arial" w:cs="Arial"/>
          <w:bCs/>
          <w:sz w:val="20"/>
          <w:szCs w:val="20"/>
        </w:rPr>
        <w:t xml:space="preserve"> sa v priestoroch Hotela Bôrik</w:t>
      </w:r>
      <w:r>
        <w:rPr>
          <w:rFonts w:ascii="Arial" w:hAnsi="Arial" w:cs="Arial"/>
          <w:bCs/>
          <w:sz w:val="20"/>
          <w:szCs w:val="20"/>
        </w:rPr>
        <w:t xml:space="preserve"> </w:t>
      </w:r>
      <w:r w:rsidRPr="00BD2855">
        <w:rPr>
          <w:rFonts w:ascii="Arial" w:hAnsi="Arial" w:cs="Arial"/>
          <w:bCs/>
          <w:sz w:val="20"/>
          <w:szCs w:val="20"/>
        </w:rPr>
        <w:t>v Bratislave, konalo štrnáste zasadnutie Národného monitorovacieho výboru pre Švajčiarsky finančný mechanizmus (NMV). Predmetom zasadnutia bolo informovanie pléna NMV o ukončení obdobia zazmluvňovania v rámci Programu švajčiarsko-slovenskej spolupráce.</w:t>
      </w:r>
    </w:p>
    <w:p w:rsidR="00A63E2B" w:rsidRPr="002924A3" w:rsidRDefault="00A63E2B" w:rsidP="00507035">
      <w:pPr>
        <w:spacing w:before="120" w:after="120" w:line="360" w:lineRule="auto"/>
        <w:jc w:val="both"/>
        <w:rPr>
          <w:rFonts w:ascii="Arial" w:hAnsi="Arial" w:cs="Arial"/>
          <w:iCs/>
          <w:sz w:val="20"/>
          <w:szCs w:val="20"/>
        </w:rPr>
      </w:pPr>
      <w:r w:rsidRPr="002924A3">
        <w:rPr>
          <w:rFonts w:ascii="Arial" w:hAnsi="Arial" w:cs="Arial"/>
          <w:bCs/>
          <w:i/>
          <w:sz w:val="20"/>
          <w:szCs w:val="20"/>
          <w:u w:val="single"/>
        </w:rPr>
        <w:t xml:space="preserve">Vo vzťahu k OP ŽP je komplementárne využívaný </w:t>
      </w:r>
      <w:r w:rsidRPr="002924A3">
        <w:rPr>
          <w:rFonts w:ascii="Arial" w:hAnsi="Arial" w:cs="Arial"/>
          <w:i/>
          <w:iCs/>
          <w:sz w:val="20"/>
          <w:szCs w:val="20"/>
          <w:u w:val="single"/>
        </w:rPr>
        <w:t>finančný nástroj ES LIFE +</w:t>
      </w:r>
      <w:r w:rsidRPr="002924A3">
        <w:rPr>
          <w:rFonts w:ascii="Arial" w:hAnsi="Arial" w:cs="Arial"/>
          <w:i/>
          <w:iCs/>
          <w:sz w:val="20"/>
          <w:szCs w:val="20"/>
        </w:rPr>
        <w:t>,</w:t>
      </w:r>
      <w:r w:rsidRPr="002924A3">
        <w:rPr>
          <w:rFonts w:ascii="Arial" w:hAnsi="Arial" w:cs="Arial"/>
          <w:iCs/>
          <w:sz w:val="20"/>
          <w:szCs w:val="20"/>
        </w:rPr>
        <w:t xml:space="preserve"> ktorý</w:t>
      </w:r>
      <w:r w:rsidRPr="002924A3">
        <w:rPr>
          <w:rFonts w:ascii="Arial" w:hAnsi="Arial" w:cs="Arial"/>
          <w:b/>
          <w:iCs/>
          <w:sz w:val="20"/>
          <w:szCs w:val="20"/>
        </w:rPr>
        <w:t xml:space="preserve"> </w:t>
      </w:r>
      <w:r w:rsidRPr="002924A3">
        <w:rPr>
          <w:rFonts w:ascii="Arial" w:hAnsi="Arial" w:cs="Arial"/>
          <w:iCs/>
          <w:sz w:val="20"/>
          <w:szCs w:val="20"/>
        </w:rPr>
        <w:t>je špecifickým nástrojom pre podporu projektov z oblasti životného prostredia. Predmetom podpory sú projekty prispievajúce k rozvoju environmentálnej politiky a legislatívy a projekty, ktoré sú zároveň inovatívne alebo majú demonštračný charakter a ich realizácia predstavuje pre členské štáty EÚ pridanú európsku hodnotu. Tematicky je LIFE+ zameraný v rámci životného prostredia na oblasti 6. Environmentálneho akčného programu.</w:t>
      </w:r>
    </w:p>
    <w:p w:rsidR="00A63E2B" w:rsidRPr="002924A3" w:rsidRDefault="00A63E2B" w:rsidP="00507035">
      <w:pPr>
        <w:spacing w:before="120" w:after="120" w:line="360" w:lineRule="auto"/>
        <w:jc w:val="both"/>
        <w:rPr>
          <w:rFonts w:ascii="Arial" w:hAnsi="Arial" w:cs="Arial"/>
          <w:iCs/>
          <w:sz w:val="20"/>
          <w:szCs w:val="20"/>
        </w:rPr>
      </w:pPr>
      <w:r w:rsidRPr="002924A3">
        <w:rPr>
          <w:rFonts w:ascii="Arial" w:hAnsi="Arial" w:cs="Arial"/>
          <w:iCs/>
          <w:sz w:val="20"/>
          <w:szCs w:val="20"/>
        </w:rPr>
        <w:t xml:space="preserve">Pre program LIFE+ platí pravidlo, že pokiaľ je projekt alebo časť aktivít projektu oprávnených a teda financovateľných v rámci iných európskych zdrojov ako LIFE+ musí byť taký projekt alebo jeho časť financovaná z týchto iných zdrojov a také aktivity alebo taký projekt nie je potom oprávnený v rámci programu LIFE+. Túto skutočnosť preveruje žiadateľ aj MŽP SR pri príprave aj po podaní projektu na MŽP SR na základe návodu, ktorý je zverejnený v rámci výzvy na predkladanie LIFE+ projektov. Následne túto skutočnosť preveruje aj príslušná zložka DG Environment v Európskej komisii. </w:t>
      </w:r>
    </w:p>
    <w:p w:rsidR="00A63E2B" w:rsidRPr="002924A3" w:rsidRDefault="00A63E2B" w:rsidP="00507035">
      <w:pPr>
        <w:spacing w:before="120" w:after="120" w:line="360" w:lineRule="auto"/>
        <w:jc w:val="both"/>
        <w:rPr>
          <w:rFonts w:ascii="Arial" w:hAnsi="Arial" w:cs="Arial"/>
          <w:iCs/>
          <w:sz w:val="20"/>
          <w:szCs w:val="20"/>
        </w:rPr>
      </w:pPr>
      <w:r w:rsidRPr="002924A3">
        <w:rPr>
          <w:rFonts w:ascii="Arial" w:hAnsi="Arial" w:cs="Arial"/>
          <w:iCs/>
          <w:sz w:val="20"/>
          <w:szCs w:val="20"/>
        </w:rPr>
        <w:t>V rámci výzvy vyhlásenej ešte v roku 201</w:t>
      </w:r>
      <w:r>
        <w:rPr>
          <w:rFonts w:ascii="Arial" w:hAnsi="Arial" w:cs="Arial"/>
          <w:iCs/>
          <w:sz w:val="20"/>
          <w:szCs w:val="20"/>
        </w:rPr>
        <w:t>1</w:t>
      </w:r>
      <w:r w:rsidRPr="002924A3">
        <w:rPr>
          <w:rFonts w:ascii="Arial" w:hAnsi="Arial" w:cs="Arial"/>
          <w:iCs/>
          <w:sz w:val="20"/>
          <w:szCs w:val="20"/>
        </w:rPr>
        <w:t xml:space="preserve"> bolo za Slovensko podaných </w:t>
      </w:r>
      <w:r>
        <w:rPr>
          <w:rFonts w:ascii="Arial" w:hAnsi="Arial" w:cs="Arial"/>
          <w:iCs/>
          <w:sz w:val="20"/>
          <w:szCs w:val="20"/>
        </w:rPr>
        <w:t>20 projektov, z toho v roku 2012</w:t>
      </w:r>
      <w:r w:rsidRPr="002924A3">
        <w:rPr>
          <w:rFonts w:ascii="Arial" w:hAnsi="Arial" w:cs="Arial"/>
          <w:iCs/>
          <w:sz w:val="20"/>
          <w:szCs w:val="20"/>
        </w:rPr>
        <w:t xml:space="preserve"> boli schválené </w:t>
      </w:r>
      <w:r>
        <w:rPr>
          <w:rFonts w:ascii="Arial" w:hAnsi="Arial" w:cs="Arial"/>
          <w:iCs/>
          <w:sz w:val="20"/>
          <w:szCs w:val="20"/>
        </w:rPr>
        <w:t>3</w:t>
      </w:r>
      <w:r w:rsidRPr="002924A3">
        <w:rPr>
          <w:rFonts w:ascii="Arial" w:hAnsi="Arial" w:cs="Arial"/>
          <w:iCs/>
          <w:sz w:val="20"/>
          <w:szCs w:val="20"/>
        </w:rPr>
        <w:t xml:space="preserve"> projekty. Pri posudzovaní projektov sa prihliada na princíp komplementarity vzhľadom na iné možnosti financovania.</w:t>
      </w:r>
    </w:p>
    <w:p w:rsidR="00A63E2B" w:rsidRPr="002924A3" w:rsidRDefault="00A63E2B" w:rsidP="004D6F10">
      <w:pPr>
        <w:spacing w:line="360" w:lineRule="auto"/>
        <w:jc w:val="both"/>
        <w:rPr>
          <w:rFonts w:ascii="Arial" w:hAnsi="Arial" w:cs="Arial"/>
          <w:iCs/>
          <w:sz w:val="20"/>
          <w:szCs w:val="20"/>
        </w:rPr>
      </w:pPr>
      <w:r w:rsidRPr="002924A3">
        <w:rPr>
          <w:rFonts w:ascii="Arial" w:hAnsi="Arial" w:cs="Arial"/>
          <w:iCs/>
          <w:sz w:val="20"/>
          <w:szCs w:val="20"/>
        </w:rPr>
        <w:t xml:space="preserve">Tab. č. </w:t>
      </w:r>
      <w:r w:rsidR="007B7519">
        <w:rPr>
          <w:rFonts w:ascii="Arial" w:hAnsi="Arial" w:cs="Arial"/>
          <w:iCs/>
          <w:sz w:val="20"/>
          <w:szCs w:val="20"/>
        </w:rPr>
        <w:t>23</w:t>
      </w:r>
      <w:r w:rsidRPr="002924A3">
        <w:rPr>
          <w:rFonts w:ascii="Arial" w:hAnsi="Arial" w:cs="Arial"/>
          <w:iCs/>
          <w:sz w:val="20"/>
          <w:szCs w:val="20"/>
        </w:rPr>
        <w:t xml:space="preserve">: Zoznam schválených projektov podaných v rámci výzvy v roku </w:t>
      </w:r>
      <w:r w:rsidR="00735013" w:rsidRPr="002924A3">
        <w:rPr>
          <w:rFonts w:ascii="Arial" w:hAnsi="Arial" w:cs="Arial"/>
          <w:iCs/>
          <w:sz w:val="20"/>
          <w:szCs w:val="20"/>
        </w:rPr>
        <w:t>201</w:t>
      </w:r>
      <w:r w:rsidR="00735013">
        <w:rPr>
          <w:rFonts w:ascii="Arial" w:hAnsi="Arial" w:cs="Arial"/>
          <w:iCs/>
          <w:sz w:val="20"/>
          <w:szCs w:val="20"/>
        </w:rPr>
        <w:t>2</w:t>
      </w:r>
    </w:p>
    <w:tbl>
      <w:tblPr>
        <w:tblW w:w="9321" w:type="dxa"/>
        <w:jc w:val="center"/>
        <w:tblLayout w:type="fixed"/>
        <w:tblCellMar>
          <w:left w:w="70" w:type="dxa"/>
          <w:right w:w="70" w:type="dxa"/>
        </w:tblCellMar>
        <w:tblLook w:val="0000" w:firstRow="0" w:lastRow="0" w:firstColumn="0" w:lastColumn="0" w:noHBand="0" w:noVBand="0"/>
      </w:tblPr>
      <w:tblGrid>
        <w:gridCol w:w="2850"/>
        <w:gridCol w:w="3774"/>
        <w:gridCol w:w="1348"/>
        <w:gridCol w:w="1349"/>
      </w:tblGrid>
      <w:tr w:rsidR="00A63E2B" w:rsidRPr="002924A3" w:rsidTr="006A551B">
        <w:trPr>
          <w:trHeight w:val="20"/>
          <w:jc w:val="center"/>
        </w:trPr>
        <w:tc>
          <w:tcPr>
            <w:tcW w:w="2850" w:type="dxa"/>
            <w:tcBorders>
              <w:top w:val="single" w:sz="4" w:space="0" w:color="auto"/>
              <w:left w:val="single" w:sz="4" w:space="0" w:color="auto"/>
              <w:bottom w:val="single" w:sz="4" w:space="0" w:color="auto"/>
              <w:right w:val="single" w:sz="4" w:space="0" w:color="auto"/>
            </w:tcBorders>
            <w:shd w:val="clear" w:color="auto" w:fill="D6E3BC"/>
            <w:vAlign w:val="center"/>
          </w:tcPr>
          <w:p w:rsidR="00A63E2B" w:rsidRPr="002924A3" w:rsidRDefault="00A63E2B" w:rsidP="004D6F10">
            <w:pPr>
              <w:jc w:val="center"/>
              <w:rPr>
                <w:rFonts w:ascii="Arial" w:hAnsi="Arial" w:cs="Arial"/>
                <w:b/>
                <w:bCs/>
                <w:sz w:val="18"/>
                <w:szCs w:val="18"/>
              </w:rPr>
            </w:pPr>
            <w:r w:rsidRPr="002924A3">
              <w:rPr>
                <w:rFonts w:ascii="Arial" w:hAnsi="Arial" w:cs="Arial"/>
                <w:b/>
                <w:bCs/>
                <w:sz w:val="18"/>
                <w:szCs w:val="18"/>
              </w:rPr>
              <w:t>Žiadateľ</w:t>
            </w:r>
          </w:p>
        </w:tc>
        <w:tc>
          <w:tcPr>
            <w:tcW w:w="3774" w:type="dxa"/>
            <w:tcBorders>
              <w:top w:val="single" w:sz="4" w:space="0" w:color="auto"/>
              <w:left w:val="nil"/>
              <w:bottom w:val="single" w:sz="4" w:space="0" w:color="auto"/>
              <w:right w:val="single" w:sz="4" w:space="0" w:color="auto"/>
            </w:tcBorders>
            <w:shd w:val="clear" w:color="auto" w:fill="D6E3BC"/>
            <w:vAlign w:val="center"/>
          </w:tcPr>
          <w:p w:rsidR="00A63E2B" w:rsidRPr="002924A3" w:rsidRDefault="00A63E2B" w:rsidP="004D6F10">
            <w:pPr>
              <w:jc w:val="center"/>
              <w:rPr>
                <w:rFonts w:ascii="Arial" w:hAnsi="Arial" w:cs="Arial"/>
                <w:b/>
                <w:bCs/>
                <w:sz w:val="18"/>
                <w:szCs w:val="18"/>
              </w:rPr>
            </w:pPr>
            <w:r w:rsidRPr="002924A3">
              <w:rPr>
                <w:rFonts w:ascii="Arial" w:hAnsi="Arial" w:cs="Arial"/>
                <w:b/>
                <w:bCs/>
                <w:sz w:val="18"/>
                <w:szCs w:val="18"/>
              </w:rPr>
              <w:t>Názov projektu</w:t>
            </w:r>
          </w:p>
        </w:tc>
        <w:tc>
          <w:tcPr>
            <w:tcW w:w="1348" w:type="dxa"/>
            <w:tcBorders>
              <w:top w:val="single" w:sz="4" w:space="0" w:color="auto"/>
              <w:left w:val="nil"/>
              <w:bottom w:val="single" w:sz="4" w:space="0" w:color="auto"/>
              <w:right w:val="single" w:sz="4" w:space="0" w:color="auto"/>
            </w:tcBorders>
            <w:shd w:val="clear" w:color="auto" w:fill="D6E3BC"/>
            <w:vAlign w:val="center"/>
          </w:tcPr>
          <w:p w:rsidR="00A63E2B" w:rsidRPr="002924A3" w:rsidRDefault="00A63E2B" w:rsidP="004D6F10">
            <w:pPr>
              <w:jc w:val="center"/>
              <w:rPr>
                <w:rFonts w:ascii="Arial" w:hAnsi="Arial" w:cs="Arial"/>
                <w:b/>
                <w:bCs/>
                <w:sz w:val="18"/>
                <w:szCs w:val="18"/>
              </w:rPr>
            </w:pPr>
            <w:r w:rsidRPr="002924A3">
              <w:rPr>
                <w:rFonts w:ascii="Arial" w:hAnsi="Arial" w:cs="Arial"/>
                <w:b/>
                <w:bCs/>
                <w:sz w:val="18"/>
                <w:szCs w:val="18"/>
              </w:rPr>
              <w:t>Celkový rozpočet v </w:t>
            </w:r>
            <w:r w:rsidRPr="00F018C7">
              <w:rPr>
                <w:rFonts w:ascii="Arial" w:hAnsi="Arial" w:cs="Arial"/>
                <w:b/>
                <w:bCs/>
                <w:sz w:val="18"/>
                <w:szCs w:val="18"/>
              </w:rPr>
              <w:t>€</w:t>
            </w:r>
          </w:p>
        </w:tc>
        <w:tc>
          <w:tcPr>
            <w:tcW w:w="1349" w:type="dxa"/>
            <w:tcBorders>
              <w:top w:val="single" w:sz="4" w:space="0" w:color="auto"/>
              <w:left w:val="nil"/>
              <w:bottom w:val="single" w:sz="4" w:space="0" w:color="auto"/>
              <w:right w:val="single" w:sz="4" w:space="0" w:color="auto"/>
            </w:tcBorders>
            <w:shd w:val="clear" w:color="auto" w:fill="D6E3BC"/>
            <w:vAlign w:val="center"/>
          </w:tcPr>
          <w:p w:rsidR="00A63E2B" w:rsidRPr="002924A3" w:rsidRDefault="00A63E2B" w:rsidP="004D6F10">
            <w:pPr>
              <w:jc w:val="center"/>
              <w:rPr>
                <w:rFonts w:ascii="Arial" w:hAnsi="Arial" w:cs="Arial"/>
                <w:b/>
                <w:bCs/>
                <w:sz w:val="18"/>
                <w:szCs w:val="18"/>
              </w:rPr>
            </w:pPr>
            <w:r w:rsidRPr="002924A3">
              <w:rPr>
                <w:rFonts w:ascii="Arial" w:hAnsi="Arial" w:cs="Arial"/>
                <w:b/>
                <w:bCs/>
                <w:sz w:val="18"/>
                <w:szCs w:val="18"/>
              </w:rPr>
              <w:t>Príspevok EK v </w:t>
            </w:r>
            <w:r w:rsidRPr="00F018C7">
              <w:rPr>
                <w:rFonts w:ascii="Arial" w:hAnsi="Arial" w:cs="Arial"/>
                <w:b/>
                <w:bCs/>
                <w:sz w:val="18"/>
                <w:szCs w:val="18"/>
              </w:rPr>
              <w:t>€</w:t>
            </w:r>
          </w:p>
        </w:tc>
      </w:tr>
      <w:tr w:rsidR="00A63E2B" w:rsidRPr="002924A3" w:rsidTr="006A551B">
        <w:trPr>
          <w:trHeight w:val="541"/>
          <w:jc w:val="center"/>
        </w:trPr>
        <w:tc>
          <w:tcPr>
            <w:tcW w:w="2850" w:type="dxa"/>
            <w:tcBorders>
              <w:top w:val="single" w:sz="4" w:space="0" w:color="auto"/>
              <w:left w:val="single" w:sz="4" w:space="0" w:color="auto"/>
              <w:bottom w:val="single" w:sz="4" w:space="0" w:color="auto"/>
              <w:right w:val="single" w:sz="4" w:space="0" w:color="auto"/>
            </w:tcBorders>
            <w:shd w:val="clear" w:color="auto" w:fill="EAF1DD"/>
            <w:noWrap/>
            <w:vAlign w:val="center"/>
          </w:tcPr>
          <w:p w:rsidR="00A63E2B" w:rsidRPr="002924A3" w:rsidRDefault="00A63E2B" w:rsidP="004D6F10">
            <w:pPr>
              <w:rPr>
                <w:rFonts w:ascii="Arial" w:hAnsi="Arial" w:cs="Arial"/>
                <w:sz w:val="18"/>
                <w:szCs w:val="18"/>
              </w:rPr>
            </w:pPr>
            <w:r w:rsidRPr="002924A3">
              <w:rPr>
                <w:rFonts w:ascii="Arial" w:hAnsi="Arial" w:cs="Arial"/>
                <w:sz w:val="18"/>
                <w:szCs w:val="18"/>
              </w:rPr>
              <w:t>Štátny geologický ústav Dionýza Štúra</w:t>
            </w:r>
          </w:p>
        </w:tc>
        <w:tc>
          <w:tcPr>
            <w:tcW w:w="3774" w:type="dxa"/>
            <w:tcBorders>
              <w:top w:val="single" w:sz="4" w:space="0" w:color="auto"/>
              <w:left w:val="nil"/>
              <w:bottom w:val="single" w:sz="4" w:space="0" w:color="auto"/>
              <w:right w:val="single" w:sz="4" w:space="0" w:color="auto"/>
            </w:tcBorders>
            <w:vAlign w:val="center"/>
          </w:tcPr>
          <w:p w:rsidR="00A63E2B" w:rsidRPr="002924A3" w:rsidRDefault="00A63E2B" w:rsidP="004D6F10">
            <w:pPr>
              <w:rPr>
                <w:rFonts w:ascii="Arial" w:hAnsi="Arial" w:cs="Arial"/>
                <w:sz w:val="18"/>
                <w:szCs w:val="18"/>
              </w:rPr>
            </w:pPr>
            <w:r w:rsidRPr="005331DE">
              <w:rPr>
                <w:rFonts w:ascii="Arial" w:hAnsi="Arial" w:cs="Arial"/>
                <w:sz w:val="18"/>
                <w:szCs w:val="18"/>
              </w:rPr>
              <w:t>Zavedenie trvalo</w:t>
            </w:r>
            <w:r>
              <w:rPr>
                <w:rFonts w:ascii="Arial" w:hAnsi="Arial" w:cs="Arial"/>
                <w:sz w:val="18"/>
                <w:szCs w:val="18"/>
              </w:rPr>
              <w:t xml:space="preserve"> </w:t>
            </w:r>
            <w:r w:rsidRPr="005331DE">
              <w:rPr>
                <w:rFonts w:ascii="Arial" w:hAnsi="Arial" w:cs="Arial"/>
                <w:sz w:val="18"/>
                <w:szCs w:val="18"/>
              </w:rPr>
              <w:t>udržateľného využívania podzemnej vody v podzemnom krasovom systéme Krásnohorskej jaskyne</w:t>
            </w:r>
          </w:p>
        </w:tc>
        <w:tc>
          <w:tcPr>
            <w:tcW w:w="1348" w:type="dxa"/>
            <w:tcBorders>
              <w:top w:val="single" w:sz="4" w:space="0" w:color="auto"/>
              <w:left w:val="nil"/>
              <w:bottom w:val="single" w:sz="4" w:space="0" w:color="auto"/>
              <w:right w:val="single" w:sz="4" w:space="0" w:color="auto"/>
            </w:tcBorders>
            <w:noWrap/>
            <w:vAlign w:val="center"/>
          </w:tcPr>
          <w:p w:rsidR="00A63E2B" w:rsidRPr="002924A3" w:rsidRDefault="00A63E2B" w:rsidP="004D6F10">
            <w:pPr>
              <w:jc w:val="center"/>
              <w:rPr>
                <w:rFonts w:ascii="Arial" w:hAnsi="Arial" w:cs="Arial"/>
                <w:sz w:val="18"/>
                <w:szCs w:val="18"/>
              </w:rPr>
            </w:pPr>
            <w:r>
              <w:rPr>
                <w:rFonts w:ascii="Arial" w:hAnsi="Arial" w:cs="Arial"/>
                <w:sz w:val="18"/>
                <w:szCs w:val="18"/>
              </w:rPr>
              <w:t>1 226 476</w:t>
            </w:r>
          </w:p>
        </w:tc>
        <w:tc>
          <w:tcPr>
            <w:tcW w:w="1349" w:type="dxa"/>
            <w:tcBorders>
              <w:top w:val="single" w:sz="4" w:space="0" w:color="auto"/>
              <w:left w:val="nil"/>
              <w:bottom w:val="single" w:sz="4" w:space="0" w:color="auto"/>
              <w:right w:val="single" w:sz="4" w:space="0" w:color="auto"/>
            </w:tcBorders>
            <w:noWrap/>
            <w:vAlign w:val="center"/>
          </w:tcPr>
          <w:p w:rsidR="00A63E2B" w:rsidRPr="002924A3" w:rsidRDefault="00A63E2B" w:rsidP="004D6F10">
            <w:pPr>
              <w:jc w:val="center"/>
              <w:rPr>
                <w:rFonts w:ascii="Arial" w:hAnsi="Arial" w:cs="Arial"/>
                <w:sz w:val="18"/>
                <w:szCs w:val="18"/>
              </w:rPr>
            </w:pPr>
            <w:r>
              <w:rPr>
                <w:rFonts w:ascii="Arial" w:hAnsi="Arial" w:cs="Arial"/>
                <w:sz w:val="18"/>
                <w:szCs w:val="18"/>
              </w:rPr>
              <w:t>613 238</w:t>
            </w:r>
          </w:p>
        </w:tc>
      </w:tr>
      <w:tr w:rsidR="00A63E2B" w:rsidRPr="002924A3" w:rsidTr="006A551B">
        <w:trPr>
          <w:trHeight w:val="563"/>
          <w:jc w:val="center"/>
        </w:trPr>
        <w:tc>
          <w:tcPr>
            <w:tcW w:w="2850" w:type="dxa"/>
            <w:tcBorders>
              <w:top w:val="single" w:sz="4" w:space="0" w:color="auto"/>
              <w:left w:val="single" w:sz="4" w:space="0" w:color="auto"/>
              <w:bottom w:val="single" w:sz="4" w:space="0" w:color="auto"/>
              <w:right w:val="single" w:sz="4" w:space="0" w:color="auto"/>
            </w:tcBorders>
            <w:shd w:val="clear" w:color="auto" w:fill="EAF1DD"/>
            <w:noWrap/>
            <w:vAlign w:val="center"/>
          </w:tcPr>
          <w:p w:rsidR="00A63E2B" w:rsidRPr="002924A3" w:rsidRDefault="00A63E2B" w:rsidP="004D6F10">
            <w:pPr>
              <w:rPr>
                <w:rFonts w:ascii="Arial" w:hAnsi="Arial" w:cs="Arial"/>
                <w:sz w:val="18"/>
                <w:szCs w:val="18"/>
              </w:rPr>
            </w:pPr>
            <w:r w:rsidRPr="005331DE">
              <w:rPr>
                <w:rFonts w:ascii="Arial" w:hAnsi="Arial" w:cs="Arial"/>
                <w:sz w:val="18"/>
                <w:szCs w:val="18"/>
              </w:rPr>
              <w:t>MVO Ľudia a voda</w:t>
            </w:r>
          </w:p>
        </w:tc>
        <w:tc>
          <w:tcPr>
            <w:tcW w:w="3774" w:type="dxa"/>
            <w:tcBorders>
              <w:top w:val="single" w:sz="4" w:space="0" w:color="auto"/>
              <w:left w:val="nil"/>
              <w:bottom w:val="single" w:sz="4" w:space="0" w:color="auto"/>
              <w:right w:val="single" w:sz="4" w:space="0" w:color="auto"/>
            </w:tcBorders>
            <w:vAlign w:val="center"/>
          </w:tcPr>
          <w:p w:rsidR="00A63E2B" w:rsidRPr="002924A3" w:rsidRDefault="00A63E2B" w:rsidP="004D6F10">
            <w:pPr>
              <w:rPr>
                <w:rFonts w:ascii="Arial" w:hAnsi="Arial" w:cs="Arial"/>
                <w:sz w:val="18"/>
                <w:szCs w:val="18"/>
              </w:rPr>
            </w:pPr>
            <w:r w:rsidRPr="005331DE">
              <w:rPr>
                <w:rFonts w:ascii="Arial" w:hAnsi="Arial" w:cs="Arial"/>
                <w:sz w:val="18"/>
                <w:szCs w:val="18"/>
              </w:rPr>
              <w:t>Revitalizácia klímy vo vysušených oblastiach na východnom Slovensku prostredníctvom vodnej-klimatickej obnovy</w:t>
            </w:r>
          </w:p>
        </w:tc>
        <w:tc>
          <w:tcPr>
            <w:tcW w:w="1348" w:type="dxa"/>
            <w:tcBorders>
              <w:top w:val="single" w:sz="4" w:space="0" w:color="auto"/>
              <w:left w:val="nil"/>
              <w:bottom w:val="single" w:sz="4" w:space="0" w:color="auto"/>
              <w:right w:val="single" w:sz="4" w:space="0" w:color="auto"/>
            </w:tcBorders>
            <w:noWrap/>
            <w:vAlign w:val="center"/>
          </w:tcPr>
          <w:p w:rsidR="00A63E2B" w:rsidRPr="002924A3" w:rsidRDefault="00A63E2B" w:rsidP="004D6F10">
            <w:pPr>
              <w:jc w:val="center"/>
              <w:rPr>
                <w:rFonts w:ascii="Arial" w:hAnsi="Arial" w:cs="Arial"/>
                <w:sz w:val="18"/>
                <w:szCs w:val="18"/>
              </w:rPr>
            </w:pPr>
            <w:r>
              <w:rPr>
                <w:rFonts w:ascii="Arial" w:hAnsi="Arial" w:cs="Arial"/>
                <w:sz w:val="18"/>
                <w:szCs w:val="18"/>
              </w:rPr>
              <w:t>1 380 535</w:t>
            </w:r>
          </w:p>
        </w:tc>
        <w:tc>
          <w:tcPr>
            <w:tcW w:w="1349" w:type="dxa"/>
            <w:tcBorders>
              <w:top w:val="single" w:sz="4" w:space="0" w:color="auto"/>
              <w:left w:val="nil"/>
              <w:bottom w:val="single" w:sz="4" w:space="0" w:color="auto"/>
              <w:right w:val="single" w:sz="4" w:space="0" w:color="auto"/>
            </w:tcBorders>
            <w:noWrap/>
            <w:vAlign w:val="center"/>
          </w:tcPr>
          <w:p w:rsidR="00A63E2B" w:rsidRPr="002924A3" w:rsidRDefault="00A63E2B" w:rsidP="004D6F10">
            <w:pPr>
              <w:jc w:val="center"/>
              <w:rPr>
                <w:rFonts w:ascii="Arial" w:hAnsi="Arial" w:cs="Arial"/>
                <w:sz w:val="18"/>
                <w:szCs w:val="18"/>
              </w:rPr>
            </w:pPr>
            <w:r>
              <w:rPr>
                <w:rFonts w:ascii="Arial" w:hAnsi="Arial" w:cs="Arial"/>
                <w:sz w:val="18"/>
                <w:szCs w:val="18"/>
              </w:rPr>
              <w:t>690 267</w:t>
            </w:r>
          </w:p>
        </w:tc>
      </w:tr>
      <w:tr w:rsidR="00A63E2B" w:rsidRPr="002924A3" w:rsidTr="006A551B">
        <w:trPr>
          <w:trHeight w:val="543"/>
          <w:jc w:val="center"/>
        </w:trPr>
        <w:tc>
          <w:tcPr>
            <w:tcW w:w="2850" w:type="dxa"/>
            <w:tcBorders>
              <w:top w:val="single" w:sz="4" w:space="0" w:color="auto"/>
              <w:left w:val="single" w:sz="4" w:space="0" w:color="auto"/>
              <w:bottom w:val="single" w:sz="4" w:space="0" w:color="auto"/>
              <w:right w:val="single" w:sz="4" w:space="0" w:color="auto"/>
            </w:tcBorders>
            <w:shd w:val="clear" w:color="auto" w:fill="EAF1DD"/>
            <w:noWrap/>
            <w:vAlign w:val="center"/>
          </w:tcPr>
          <w:p w:rsidR="00A63E2B" w:rsidRPr="002924A3" w:rsidRDefault="00A63E2B" w:rsidP="004D6F10">
            <w:pPr>
              <w:rPr>
                <w:rFonts w:ascii="Arial" w:hAnsi="Arial" w:cs="Arial"/>
                <w:sz w:val="18"/>
                <w:szCs w:val="18"/>
              </w:rPr>
            </w:pPr>
            <w:r w:rsidRPr="005331DE">
              <w:rPr>
                <w:rFonts w:ascii="Arial" w:hAnsi="Arial" w:cs="Arial"/>
                <w:sz w:val="18"/>
                <w:szCs w:val="18"/>
              </w:rPr>
              <w:t>Slovenská ornitologická spoločnosť/Bird Life Slovensko</w:t>
            </w:r>
          </w:p>
        </w:tc>
        <w:tc>
          <w:tcPr>
            <w:tcW w:w="3774" w:type="dxa"/>
            <w:tcBorders>
              <w:top w:val="single" w:sz="4" w:space="0" w:color="auto"/>
              <w:left w:val="nil"/>
              <w:bottom w:val="single" w:sz="4" w:space="0" w:color="auto"/>
              <w:right w:val="single" w:sz="4" w:space="0" w:color="auto"/>
            </w:tcBorders>
            <w:vAlign w:val="center"/>
          </w:tcPr>
          <w:p w:rsidR="00A63E2B" w:rsidRPr="002924A3" w:rsidRDefault="00A63E2B" w:rsidP="004D6F10">
            <w:pPr>
              <w:rPr>
                <w:rFonts w:ascii="Arial" w:hAnsi="Arial" w:cs="Arial"/>
                <w:sz w:val="18"/>
                <w:szCs w:val="18"/>
              </w:rPr>
            </w:pPr>
            <w:r w:rsidRPr="005331DE">
              <w:rPr>
                <w:rFonts w:ascii="Arial" w:hAnsi="Arial" w:cs="Arial"/>
                <w:sz w:val="18"/>
                <w:szCs w:val="18"/>
              </w:rPr>
              <w:t>Ochrana rybára riečneho na Slovensku</w:t>
            </w:r>
          </w:p>
        </w:tc>
        <w:tc>
          <w:tcPr>
            <w:tcW w:w="1348" w:type="dxa"/>
            <w:tcBorders>
              <w:top w:val="single" w:sz="4" w:space="0" w:color="auto"/>
              <w:left w:val="nil"/>
              <w:bottom w:val="single" w:sz="4" w:space="0" w:color="auto"/>
              <w:right w:val="single" w:sz="4" w:space="0" w:color="auto"/>
            </w:tcBorders>
            <w:noWrap/>
            <w:vAlign w:val="center"/>
          </w:tcPr>
          <w:p w:rsidR="00A63E2B" w:rsidRPr="002924A3" w:rsidRDefault="00A63E2B" w:rsidP="004D6F10">
            <w:pPr>
              <w:jc w:val="center"/>
              <w:rPr>
                <w:rFonts w:ascii="Arial" w:hAnsi="Arial" w:cs="Arial"/>
                <w:sz w:val="18"/>
                <w:szCs w:val="18"/>
              </w:rPr>
            </w:pPr>
            <w:r w:rsidRPr="005331DE">
              <w:rPr>
                <w:rFonts w:ascii="Arial" w:hAnsi="Arial" w:cs="Arial"/>
                <w:sz w:val="18"/>
                <w:szCs w:val="18"/>
              </w:rPr>
              <w:t>1</w:t>
            </w:r>
            <w:r>
              <w:rPr>
                <w:rFonts w:ascii="Arial" w:hAnsi="Arial" w:cs="Arial"/>
                <w:sz w:val="18"/>
                <w:szCs w:val="18"/>
              </w:rPr>
              <w:t> </w:t>
            </w:r>
            <w:r w:rsidRPr="005331DE">
              <w:rPr>
                <w:rFonts w:ascii="Arial" w:hAnsi="Arial" w:cs="Arial"/>
                <w:sz w:val="18"/>
                <w:szCs w:val="18"/>
              </w:rPr>
              <w:t>840</w:t>
            </w:r>
            <w:r>
              <w:rPr>
                <w:rFonts w:ascii="Arial" w:hAnsi="Arial" w:cs="Arial"/>
                <w:sz w:val="18"/>
                <w:szCs w:val="18"/>
              </w:rPr>
              <w:t xml:space="preserve"> </w:t>
            </w:r>
            <w:r w:rsidRPr="005331DE">
              <w:rPr>
                <w:rFonts w:ascii="Arial" w:hAnsi="Arial" w:cs="Arial"/>
                <w:sz w:val="18"/>
                <w:szCs w:val="18"/>
              </w:rPr>
              <w:t>202</w:t>
            </w:r>
          </w:p>
        </w:tc>
        <w:tc>
          <w:tcPr>
            <w:tcW w:w="1349" w:type="dxa"/>
            <w:tcBorders>
              <w:top w:val="single" w:sz="4" w:space="0" w:color="auto"/>
              <w:left w:val="nil"/>
              <w:bottom w:val="single" w:sz="4" w:space="0" w:color="auto"/>
              <w:right w:val="single" w:sz="4" w:space="0" w:color="auto"/>
            </w:tcBorders>
            <w:noWrap/>
            <w:vAlign w:val="center"/>
          </w:tcPr>
          <w:p w:rsidR="00A63E2B" w:rsidRPr="002924A3" w:rsidRDefault="00A63E2B" w:rsidP="004D6F10">
            <w:pPr>
              <w:jc w:val="center"/>
              <w:rPr>
                <w:rFonts w:ascii="Arial" w:hAnsi="Arial" w:cs="Arial"/>
                <w:sz w:val="18"/>
                <w:szCs w:val="18"/>
              </w:rPr>
            </w:pPr>
            <w:r>
              <w:rPr>
                <w:rFonts w:ascii="Arial" w:hAnsi="Arial" w:cs="Arial"/>
                <w:sz w:val="18"/>
                <w:szCs w:val="18"/>
              </w:rPr>
              <w:t>920 101</w:t>
            </w:r>
          </w:p>
        </w:tc>
      </w:tr>
      <w:tr w:rsidR="00A63E2B" w:rsidRPr="002924A3" w:rsidTr="006A551B">
        <w:trPr>
          <w:trHeight w:val="262"/>
          <w:jc w:val="center"/>
        </w:trPr>
        <w:tc>
          <w:tcPr>
            <w:tcW w:w="6624" w:type="dxa"/>
            <w:gridSpan w:val="2"/>
            <w:tcBorders>
              <w:top w:val="single" w:sz="4" w:space="0" w:color="auto"/>
              <w:left w:val="single" w:sz="4" w:space="0" w:color="auto"/>
              <w:bottom w:val="single" w:sz="4" w:space="0" w:color="auto"/>
              <w:right w:val="single" w:sz="4" w:space="0" w:color="auto"/>
            </w:tcBorders>
            <w:shd w:val="clear" w:color="auto" w:fill="EAF1DD"/>
            <w:noWrap/>
            <w:vAlign w:val="center"/>
          </w:tcPr>
          <w:p w:rsidR="00A63E2B" w:rsidRPr="002924A3" w:rsidRDefault="00A63E2B" w:rsidP="004D6F10">
            <w:pPr>
              <w:jc w:val="center"/>
              <w:rPr>
                <w:rFonts w:ascii="Arial" w:hAnsi="Arial" w:cs="Arial"/>
                <w:b/>
                <w:sz w:val="18"/>
                <w:szCs w:val="18"/>
              </w:rPr>
            </w:pPr>
            <w:r w:rsidRPr="002924A3">
              <w:rPr>
                <w:rFonts w:ascii="Arial" w:hAnsi="Arial" w:cs="Arial"/>
                <w:b/>
                <w:sz w:val="18"/>
                <w:szCs w:val="18"/>
              </w:rPr>
              <w:t>Spolu</w:t>
            </w:r>
          </w:p>
        </w:tc>
        <w:tc>
          <w:tcPr>
            <w:tcW w:w="1348" w:type="dxa"/>
            <w:tcBorders>
              <w:top w:val="single" w:sz="4" w:space="0" w:color="auto"/>
              <w:left w:val="nil"/>
              <w:bottom w:val="single" w:sz="4" w:space="0" w:color="auto"/>
              <w:right w:val="single" w:sz="4" w:space="0" w:color="auto"/>
            </w:tcBorders>
            <w:shd w:val="clear" w:color="auto" w:fill="EAF1DD"/>
            <w:noWrap/>
            <w:vAlign w:val="center"/>
          </w:tcPr>
          <w:p w:rsidR="00A63E2B" w:rsidRPr="002924A3" w:rsidRDefault="00A63E2B" w:rsidP="004D6F10">
            <w:pPr>
              <w:jc w:val="center"/>
              <w:rPr>
                <w:rFonts w:ascii="Arial" w:hAnsi="Arial" w:cs="Arial"/>
                <w:b/>
                <w:sz w:val="18"/>
                <w:szCs w:val="18"/>
              </w:rPr>
            </w:pPr>
            <w:r>
              <w:rPr>
                <w:rFonts w:ascii="Arial" w:hAnsi="Arial" w:cs="Arial"/>
                <w:b/>
                <w:sz w:val="18"/>
                <w:szCs w:val="18"/>
              </w:rPr>
              <w:t>4 447 213</w:t>
            </w:r>
          </w:p>
        </w:tc>
        <w:tc>
          <w:tcPr>
            <w:tcW w:w="1349" w:type="dxa"/>
            <w:tcBorders>
              <w:top w:val="single" w:sz="4" w:space="0" w:color="auto"/>
              <w:left w:val="nil"/>
              <w:bottom w:val="single" w:sz="4" w:space="0" w:color="auto"/>
              <w:right w:val="single" w:sz="4" w:space="0" w:color="auto"/>
            </w:tcBorders>
            <w:shd w:val="clear" w:color="auto" w:fill="EAF1DD"/>
            <w:noWrap/>
            <w:vAlign w:val="center"/>
          </w:tcPr>
          <w:p w:rsidR="00A63E2B" w:rsidRPr="002924A3" w:rsidRDefault="00A63E2B" w:rsidP="004D6F10">
            <w:pPr>
              <w:jc w:val="center"/>
              <w:rPr>
                <w:rFonts w:ascii="Arial" w:hAnsi="Arial" w:cs="Arial"/>
                <w:b/>
                <w:sz w:val="18"/>
                <w:szCs w:val="18"/>
              </w:rPr>
            </w:pPr>
            <w:r>
              <w:rPr>
                <w:rFonts w:ascii="Arial" w:hAnsi="Arial" w:cs="Arial"/>
                <w:b/>
                <w:sz w:val="18"/>
                <w:szCs w:val="18"/>
              </w:rPr>
              <w:t>2 223 606</w:t>
            </w:r>
          </w:p>
        </w:tc>
      </w:tr>
    </w:tbl>
    <w:p w:rsidR="00A63E2B" w:rsidRDefault="00A63E2B" w:rsidP="004D6F10">
      <w:pPr>
        <w:spacing w:line="360" w:lineRule="auto"/>
        <w:jc w:val="both"/>
        <w:rPr>
          <w:rFonts w:ascii="Arial" w:hAnsi="Arial" w:cs="Arial"/>
          <w:iCs/>
          <w:sz w:val="20"/>
          <w:szCs w:val="20"/>
        </w:rPr>
      </w:pPr>
      <w:r w:rsidRPr="00003C20">
        <w:rPr>
          <w:rFonts w:ascii="Arial" w:hAnsi="Arial" w:cs="Arial"/>
          <w:iCs/>
          <w:sz w:val="20"/>
          <w:szCs w:val="20"/>
        </w:rPr>
        <w:t>V</w:t>
      </w:r>
      <w:r>
        <w:rPr>
          <w:rFonts w:ascii="Arial" w:hAnsi="Arial" w:cs="Arial"/>
          <w:iCs/>
          <w:sz w:val="20"/>
          <w:szCs w:val="20"/>
        </w:rPr>
        <w:t> jednom zahraničnom projekte sa zapojili slovenské organizácie ako partneri:</w:t>
      </w:r>
    </w:p>
    <w:tbl>
      <w:tblPr>
        <w:tblW w:w="9321" w:type="dxa"/>
        <w:jc w:val="center"/>
        <w:tblLayout w:type="fixed"/>
        <w:tblCellMar>
          <w:left w:w="70" w:type="dxa"/>
          <w:right w:w="70" w:type="dxa"/>
        </w:tblCellMar>
        <w:tblLook w:val="0000" w:firstRow="0" w:lastRow="0" w:firstColumn="0" w:lastColumn="0" w:noHBand="0" w:noVBand="0"/>
      </w:tblPr>
      <w:tblGrid>
        <w:gridCol w:w="2850"/>
        <w:gridCol w:w="3774"/>
        <w:gridCol w:w="1348"/>
        <w:gridCol w:w="1349"/>
      </w:tblGrid>
      <w:tr w:rsidR="00A63E2B" w:rsidRPr="002924A3" w:rsidTr="006A551B">
        <w:trPr>
          <w:trHeight w:val="20"/>
          <w:jc w:val="center"/>
        </w:trPr>
        <w:tc>
          <w:tcPr>
            <w:tcW w:w="2850" w:type="dxa"/>
            <w:tcBorders>
              <w:top w:val="single" w:sz="4" w:space="0" w:color="auto"/>
              <w:left w:val="single" w:sz="4" w:space="0" w:color="auto"/>
              <w:bottom w:val="single" w:sz="4" w:space="0" w:color="auto"/>
              <w:right w:val="single" w:sz="4" w:space="0" w:color="auto"/>
            </w:tcBorders>
            <w:shd w:val="clear" w:color="auto" w:fill="D6E3BC"/>
            <w:vAlign w:val="center"/>
          </w:tcPr>
          <w:p w:rsidR="00A63E2B" w:rsidRPr="00577F5D" w:rsidRDefault="00A63E2B" w:rsidP="004D6F10">
            <w:pPr>
              <w:jc w:val="center"/>
              <w:rPr>
                <w:rFonts w:ascii="Arial" w:hAnsi="Arial" w:cs="Arial"/>
                <w:b/>
                <w:bCs/>
                <w:sz w:val="18"/>
                <w:szCs w:val="18"/>
              </w:rPr>
            </w:pPr>
            <w:r>
              <w:rPr>
                <w:rFonts w:ascii="Arial" w:hAnsi="Arial" w:cs="Arial"/>
                <w:b/>
                <w:bCs/>
                <w:sz w:val="18"/>
                <w:szCs w:val="18"/>
              </w:rPr>
              <w:t>Partneri</w:t>
            </w:r>
          </w:p>
        </w:tc>
        <w:tc>
          <w:tcPr>
            <w:tcW w:w="3774" w:type="dxa"/>
            <w:tcBorders>
              <w:top w:val="single" w:sz="4" w:space="0" w:color="auto"/>
              <w:left w:val="nil"/>
              <w:bottom w:val="single" w:sz="4" w:space="0" w:color="auto"/>
              <w:right w:val="single" w:sz="4" w:space="0" w:color="auto"/>
            </w:tcBorders>
            <w:shd w:val="clear" w:color="auto" w:fill="D6E3BC"/>
            <w:vAlign w:val="center"/>
          </w:tcPr>
          <w:p w:rsidR="00A63E2B" w:rsidRPr="00577F5D" w:rsidRDefault="00A63E2B" w:rsidP="004D6F10">
            <w:pPr>
              <w:jc w:val="center"/>
              <w:rPr>
                <w:rFonts w:ascii="Arial" w:hAnsi="Arial" w:cs="Arial"/>
                <w:b/>
                <w:bCs/>
                <w:sz w:val="18"/>
                <w:szCs w:val="18"/>
              </w:rPr>
            </w:pPr>
            <w:r w:rsidRPr="00577F5D">
              <w:rPr>
                <w:rFonts w:ascii="Arial" w:hAnsi="Arial" w:cs="Arial"/>
                <w:b/>
                <w:bCs/>
                <w:sz w:val="18"/>
                <w:szCs w:val="18"/>
              </w:rPr>
              <w:t>Názov projektu</w:t>
            </w:r>
          </w:p>
        </w:tc>
        <w:tc>
          <w:tcPr>
            <w:tcW w:w="1348" w:type="dxa"/>
            <w:tcBorders>
              <w:top w:val="single" w:sz="4" w:space="0" w:color="auto"/>
              <w:left w:val="nil"/>
              <w:bottom w:val="single" w:sz="4" w:space="0" w:color="auto"/>
              <w:right w:val="single" w:sz="4" w:space="0" w:color="auto"/>
            </w:tcBorders>
            <w:shd w:val="clear" w:color="auto" w:fill="D6E3BC"/>
            <w:vAlign w:val="center"/>
          </w:tcPr>
          <w:p w:rsidR="00A63E2B" w:rsidRPr="00577F5D" w:rsidRDefault="00A63E2B" w:rsidP="004D6F10">
            <w:pPr>
              <w:jc w:val="center"/>
              <w:rPr>
                <w:rFonts w:ascii="Arial" w:hAnsi="Arial" w:cs="Arial"/>
                <w:b/>
                <w:bCs/>
                <w:sz w:val="18"/>
                <w:szCs w:val="18"/>
              </w:rPr>
            </w:pPr>
            <w:r w:rsidRPr="00577F5D">
              <w:rPr>
                <w:rFonts w:ascii="Arial" w:hAnsi="Arial" w:cs="Arial"/>
                <w:b/>
                <w:bCs/>
                <w:sz w:val="18"/>
                <w:szCs w:val="18"/>
              </w:rPr>
              <w:t>Celkový rozpočet v EUR</w:t>
            </w:r>
          </w:p>
        </w:tc>
        <w:tc>
          <w:tcPr>
            <w:tcW w:w="1349" w:type="dxa"/>
            <w:tcBorders>
              <w:top w:val="single" w:sz="4" w:space="0" w:color="auto"/>
              <w:left w:val="nil"/>
              <w:bottom w:val="single" w:sz="4" w:space="0" w:color="auto"/>
              <w:right w:val="single" w:sz="4" w:space="0" w:color="auto"/>
            </w:tcBorders>
            <w:shd w:val="clear" w:color="auto" w:fill="D6E3BC"/>
            <w:vAlign w:val="center"/>
          </w:tcPr>
          <w:p w:rsidR="00A63E2B" w:rsidRPr="00577F5D" w:rsidRDefault="00A63E2B" w:rsidP="004D6F10">
            <w:pPr>
              <w:jc w:val="center"/>
              <w:rPr>
                <w:rFonts w:ascii="Arial" w:hAnsi="Arial" w:cs="Arial"/>
                <w:b/>
                <w:bCs/>
                <w:sz w:val="18"/>
                <w:szCs w:val="18"/>
              </w:rPr>
            </w:pPr>
            <w:r w:rsidRPr="00577F5D">
              <w:rPr>
                <w:rFonts w:ascii="Arial" w:hAnsi="Arial" w:cs="Arial"/>
                <w:b/>
                <w:bCs/>
                <w:sz w:val="18"/>
                <w:szCs w:val="18"/>
              </w:rPr>
              <w:t>Príspevok EK v EUR pre SK partnera</w:t>
            </w:r>
          </w:p>
        </w:tc>
      </w:tr>
      <w:tr w:rsidR="00A63E2B" w:rsidRPr="002924A3" w:rsidTr="006A551B">
        <w:trPr>
          <w:trHeight w:val="541"/>
          <w:jc w:val="center"/>
        </w:trPr>
        <w:tc>
          <w:tcPr>
            <w:tcW w:w="2850" w:type="dxa"/>
            <w:tcBorders>
              <w:top w:val="single" w:sz="4" w:space="0" w:color="auto"/>
              <w:left w:val="single" w:sz="4" w:space="0" w:color="auto"/>
              <w:bottom w:val="single" w:sz="4" w:space="0" w:color="auto"/>
              <w:right w:val="single" w:sz="4" w:space="0" w:color="auto"/>
            </w:tcBorders>
            <w:shd w:val="clear" w:color="auto" w:fill="EAF1DD"/>
            <w:noWrap/>
            <w:vAlign w:val="center"/>
          </w:tcPr>
          <w:p w:rsidR="00A63E2B" w:rsidRPr="002924A3" w:rsidRDefault="00A63E2B" w:rsidP="004D6F10">
            <w:pPr>
              <w:rPr>
                <w:rFonts w:ascii="Arial" w:hAnsi="Arial" w:cs="Arial"/>
                <w:sz w:val="18"/>
                <w:szCs w:val="18"/>
              </w:rPr>
            </w:pPr>
            <w:r>
              <w:rPr>
                <w:rFonts w:ascii="Arial" w:hAnsi="Arial" w:cs="Arial"/>
                <w:sz w:val="20"/>
                <w:szCs w:val="20"/>
              </w:rPr>
              <w:t xml:space="preserve">Štátna ochrana prírody SR, </w:t>
            </w:r>
            <w:r w:rsidRPr="001E0849">
              <w:rPr>
                <w:rFonts w:ascii="Arial" w:hAnsi="Arial" w:cs="Arial"/>
                <w:sz w:val="20"/>
                <w:szCs w:val="20"/>
              </w:rPr>
              <w:t>Ochrana dravcov na Slovensku</w:t>
            </w:r>
          </w:p>
        </w:tc>
        <w:tc>
          <w:tcPr>
            <w:tcW w:w="3774" w:type="dxa"/>
            <w:tcBorders>
              <w:top w:val="single" w:sz="4" w:space="0" w:color="auto"/>
              <w:left w:val="nil"/>
              <w:bottom w:val="single" w:sz="4" w:space="0" w:color="auto"/>
              <w:right w:val="single" w:sz="4" w:space="0" w:color="auto"/>
            </w:tcBorders>
            <w:vAlign w:val="center"/>
          </w:tcPr>
          <w:p w:rsidR="00A63E2B" w:rsidRPr="002924A3" w:rsidRDefault="00A63E2B" w:rsidP="004D6F10">
            <w:pPr>
              <w:rPr>
                <w:rFonts w:ascii="Arial" w:hAnsi="Arial" w:cs="Arial"/>
                <w:sz w:val="18"/>
                <w:szCs w:val="18"/>
              </w:rPr>
            </w:pPr>
            <w:r w:rsidRPr="00577F5D">
              <w:rPr>
                <w:rFonts w:ascii="Arial" w:hAnsi="Arial" w:cs="Arial"/>
                <w:sz w:val="18"/>
                <w:szCs w:val="18"/>
              </w:rPr>
              <w:t>Ochrana sokola červenonohého v Karpatskej kotline</w:t>
            </w:r>
          </w:p>
        </w:tc>
        <w:tc>
          <w:tcPr>
            <w:tcW w:w="1348" w:type="dxa"/>
            <w:tcBorders>
              <w:top w:val="single" w:sz="4" w:space="0" w:color="auto"/>
              <w:left w:val="nil"/>
              <w:bottom w:val="single" w:sz="4" w:space="0" w:color="auto"/>
              <w:right w:val="single" w:sz="4" w:space="0" w:color="auto"/>
            </w:tcBorders>
            <w:noWrap/>
            <w:vAlign w:val="center"/>
          </w:tcPr>
          <w:p w:rsidR="00A63E2B" w:rsidRPr="002924A3" w:rsidRDefault="00A63E2B" w:rsidP="004D6F10">
            <w:pPr>
              <w:jc w:val="center"/>
              <w:rPr>
                <w:rFonts w:ascii="Arial" w:hAnsi="Arial" w:cs="Arial"/>
                <w:sz w:val="18"/>
                <w:szCs w:val="18"/>
              </w:rPr>
            </w:pPr>
            <w:r w:rsidRPr="00577F5D">
              <w:rPr>
                <w:rFonts w:ascii="Arial" w:hAnsi="Arial" w:cs="Arial"/>
                <w:sz w:val="18"/>
                <w:szCs w:val="18"/>
              </w:rPr>
              <w:t>2</w:t>
            </w:r>
            <w:r>
              <w:rPr>
                <w:rFonts w:ascii="Arial" w:hAnsi="Arial" w:cs="Arial"/>
                <w:sz w:val="18"/>
                <w:szCs w:val="18"/>
              </w:rPr>
              <w:t> </w:t>
            </w:r>
            <w:r w:rsidRPr="00577F5D">
              <w:rPr>
                <w:rFonts w:ascii="Arial" w:hAnsi="Arial" w:cs="Arial"/>
                <w:sz w:val="18"/>
                <w:szCs w:val="18"/>
              </w:rPr>
              <w:t>601</w:t>
            </w:r>
            <w:r>
              <w:rPr>
                <w:rFonts w:ascii="Arial" w:hAnsi="Arial" w:cs="Arial"/>
                <w:sz w:val="18"/>
                <w:szCs w:val="18"/>
              </w:rPr>
              <w:t xml:space="preserve"> </w:t>
            </w:r>
            <w:r w:rsidRPr="00577F5D">
              <w:rPr>
                <w:rFonts w:ascii="Arial" w:hAnsi="Arial" w:cs="Arial"/>
                <w:sz w:val="18"/>
                <w:szCs w:val="18"/>
              </w:rPr>
              <w:t>760</w:t>
            </w:r>
          </w:p>
        </w:tc>
        <w:tc>
          <w:tcPr>
            <w:tcW w:w="1349" w:type="dxa"/>
            <w:tcBorders>
              <w:top w:val="single" w:sz="4" w:space="0" w:color="auto"/>
              <w:left w:val="nil"/>
              <w:bottom w:val="single" w:sz="4" w:space="0" w:color="auto"/>
              <w:right w:val="single" w:sz="4" w:space="0" w:color="auto"/>
            </w:tcBorders>
            <w:noWrap/>
            <w:vAlign w:val="center"/>
          </w:tcPr>
          <w:p w:rsidR="00A63E2B" w:rsidRPr="002924A3" w:rsidRDefault="00A63E2B" w:rsidP="004D6F10">
            <w:pPr>
              <w:jc w:val="center"/>
              <w:rPr>
                <w:rFonts w:ascii="Arial" w:hAnsi="Arial" w:cs="Arial"/>
                <w:sz w:val="18"/>
                <w:szCs w:val="18"/>
              </w:rPr>
            </w:pPr>
            <w:r>
              <w:rPr>
                <w:rFonts w:ascii="Arial" w:hAnsi="Arial" w:cs="Arial"/>
                <w:sz w:val="18"/>
                <w:szCs w:val="18"/>
              </w:rPr>
              <w:t>592 892</w:t>
            </w:r>
          </w:p>
        </w:tc>
      </w:tr>
      <w:tr w:rsidR="00A63E2B" w:rsidRPr="002924A3" w:rsidTr="006A551B">
        <w:trPr>
          <w:trHeight w:val="262"/>
          <w:jc w:val="center"/>
        </w:trPr>
        <w:tc>
          <w:tcPr>
            <w:tcW w:w="6624" w:type="dxa"/>
            <w:gridSpan w:val="2"/>
            <w:tcBorders>
              <w:top w:val="single" w:sz="4" w:space="0" w:color="auto"/>
              <w:left w:val="single" w:sz="4" w:space="0" w:color="auto"/>
              <w:bottom w:val="single" w:sz="4" w:space="0" w:color="auto"/>
              <w:right w:val="single" w:sz="4" w:space="0" w:color="auto"/>
            </w:tcBorders>
            <w:shd w:val="clear" w:color="auto" w:fill="EAF1DD"/>
            <w:noWrap/>
            <w:vAlign w:val="center"/>
          </w:tcPr>
          <w:p w:rsidR="00A63E2B" w:rsidRPr="002924A3" w:rsidRDefault="00A63E2B" w:rsidP="004D6F10">
            <w:pPr>
              <w:jc w:val="center"/>
              <w:rPr>
                <w:rFonts w:ascii="Arial" w:hAnsi="Arial" w:cs="Arial"/>
                <w:b/>
                <w:sz w:val="18"/>
                <w:szCs w:val="18"/>
              </w:rPr>
            </w:pPr>
            <w:r w:rsidRPr="002924A3">
              <w:rPr>
                <w:rFonts w:ascii="Arial" w:hAnsi="Arial" w:cs="Arial"/>
                <w:b/>
                <w:sz w:val="18"/>
                <w:szCs w:val="18"/>
              </w:rPr>
              <w:t>Spolu</w:t>
            </w:r>
          </w:p>
        </w:tc>
        <w:tc>
          <w:tcPr>
            <w:tcW w:w="1348" w:type="dxa"/>
            <w:tcBorders>
              <w:top w:val="single" w:sz="4" w:space="0" w:color="auto"/>
              <w:left w:val="nil"/>
              <w:bottom w:val="single" w:sz="4" w:space="0" w:color="auto"/>
              <w:right w:val="single" w:sz="4" w:space="0" w:color="auto"/>
            </w:tcBorders>
            <w:shd w:val="clear" w:color="auto" w:fill="EAF1DD"/>
            <w:noWrap/>
            <w:vAlign w:val="center"/>
          </w:tcPr>
          <w:p w:rsidR="00A63E2B" w:rsidRPr="002924A3" w:rsidRDefault="00A63E2B" w:rsidP="004D6F10">
            <w:pPr>
              <w:jc w:val="center"/>
              <w:rPr>
                <w:rFonts w:ascii="Arial" w:hAnsi="Arial" w:cs="Arial"/>
                <w:b/>
                <w:sz w:val="18"/>
                <w:szCs w:val="18"/>
              </w:rPr>
            </w:pPr>
            <w:r w:rsidRPr="00577F5D">
              <w:rPr>
                <w:rFonts w:ascii="Arial" w:hAnsi="Arial" w:cs="Arial"/>
                <w:b/>
                <w:sz w:val="18"/>
                <w:szCs w:val="18"/>
              </w:rPr>
              <w:t>2</w:t>
            </w:r>
            <w:r>
              <w:rPr>
                <w:rFonts w:ascii="Arial" w:hAnsi="Arial" w:cs="Arial"/>
                <w:b/>
                <w:sz w:val="18"/>
                <w:szCs w:val="18"/>
              </w:rPr>
              <w:t> </w:t>
            </w:r>
            <w:r w:rsidRPr="00577F5D">
              <w:rPr>
                <w:rFonts w:ascii="Arial" w:hAnsi="Arial" w:cs="Arial"/>
                <w:b/>
                <w:sz w:val="18"/>
                <w:szCs w:val="18"/>
              </w:rPr>
              <w:t>601</w:t>
            </w:r>
            <w:r>
              <w:rPr>
                <w:rFonts w:ascii="Arial" w:hAnsi="Arial" w:cs="Arial"/>
                <w:b/>
                <w:sz w:val="18"/>
                <w:szCs w:val="18"/>
              </w:rPr>
              <w:t xml:space="preserve"> </w:t>
            </w:r>
            <w:r w:rsidRPr="00577F5D">
              <w:rPr>
                <w:rFonts w:ascii="Arial" w:hAnsi="Arial" w:cs="Arial"/>
                <w:b/>
                <w:sz w:val="18"/>
                <w:szCs w:val="18"/>
              </w:rPr>
              <w:t>760</w:t>
            </w:r>
          </w:p>
        </w:tc>
        <w:tc>
          <w:tcPr>
            <w:tcW w:w="1349" w:type="dxa"/>
            <w:tcBorders>
              <w:top w:val="single" w:sz="4" w:space="0" w:color="auto"/>
              <w:left w:val="nil"/>
              <w:bottom w:val="single" w:sz="4" w:space="0" w:color="auto"/>
              <w:right w:val="single" w:sz="4" w:space="0" w:color="auto"/>
            </w:tcBorders>
            <w:shd w:val="clear" w:color="auto" w:fill="EAF1DD"/>
            <w:noWrap/>
            <w:vAlign w:val="center"/>
          </w:tcPr>
          <w:p w:rsidR="00A63E2B" w:rsidRPr="002924A3" w:rsidRDefault="00A63E2B" w:rsidP="004D6F10">
            <w:pPr>
              <w:jc w:val="center"/>
              <w:rPr>
                <w:rFonts w:ascii="Arial" w:hAnsi="Arial" w:cs="Arial"/>
                <w:b/>
                <w:sz w:val="18"/>
                <w:szCs w:val="18"/>
              </w:rPr>
            </w:pPr>
            <w:r>
              <w:rPr>
                <w:rFonts w:ascii="Arial" w:hAnsi="Arial" w:cs="Arial"/>
                <w:b/>
                <w:sz w:val="18"/>
                <w:szCs w:val="18"/>
              </w:rPr>
              <w:t>592 892</w:t>
            </w:r>
          </w:p>
        </w:tc>
      </w:tr>
    </w:tbl>
    <w:p w:rsidR="00A63E2B" w:rsidRPr="002924A3" w:rsidRDefault="00A63E2B" w:rsidP="004D6F10">
      <w:pPr>
        <w:spacing w:line="360" w:lineRule="auto"/>
        <w:jc w:val="both"/>
        <w:rPr>
          <w:rFonts w:ascii="Arial" w:hAnsi="Arial" w:cs="Arial"/>
          <w:sz w:val="18"/>
          <w:szCs w:val="18"/>
        </w:rPr>
      </w:pPr>
      <w:r w:rsidRPr="002924A3">
        <w:rPr>
          <w:rFonts w:ascii="Arial" w:hAnsi="Arial" w:cs="Arial"/>
          <w:sz w:val="18"/>
          <w:szCs w:val="18"/>
        </w:rPr>
        <w:t xml:space="preserve">Zdroj: </w:t>
      </w:r>
      <w:r w:rsidR="007235EE">
        <w:rPr>
          <w:rFonts w:ascii="Arial" w:hAnsi="Arial" w:cs="Arial"/>
          <w:sz w:val="18"/>
          <w:szCs w:val="18"/>
        </w:rPr>
        <w:t>MŽP SR</w:t>
      </w:r>
    </w:p>
    <w:p w:rsidR="00A63E2B" w:rsidRDefault="00A63E2B" w:rsidP="00507035">
      <w:pPr>
        <w:spacing w:before="120" w:after="120" w:line="360" w:lineRule="auto"/>
        <w:jc w:val="both"/>
        <w:rPr>
          <w:rFonts w:ascii="Arial" w:hAnsi="Arial" w:cs="Arial"/>
          <w:iCs/>
          <w:sz w:val="20"/>
          <w:szCs w:val="20"/>
        </w:rPr>
      </w:pPr>
      <w:r w:rsidRPr="002924A3">
        <w:rPr>
          <w:rFonts w:ascii="Arial" w:hAnsi="Arial" w:cs="Arial"/>
          <w:iCs/>
          <w:sz w:val="20"/>
          <w:szCs w:val="20"/>
        </w:rPr>
        <w:t>V rámci výzvy vyhlásenej v roku 201</w:t>
      </w:r>
      <w:r>
        <w:rPr>
          <w:rFonts w:ascii="Arial" w:hAnsi="Arial" w:cs="Arial"/>
          <w:iCs/>
          <w:sz w:val="20"/>
          <w:szCs w:val="20"/>
        </w:rPr>
        <w:t>2 bolo za Slovensko podaných 14</w:t>
      </w:r>
      <w:r w:rsidRPr="002924A3">
        <w:rPr>
          <w:rFonts w:ascii="Arial" w:hAnsi="Arial" w:cs="Arial"/>
          <w:iCs/>
          <w:sz w:val="20"/>
          <w:szCs w:val="20"/>
        </w:rPr>
        <w:t xml:space="preserve"> projektov, schvaľovanie sa uskutoční v</w:t>
      </w:r>
      <w:r>
        <w:rPr>
          <w:rFonts w:ascii="Arial" w:hAnsi="Arial" w:cs="Arial"/>
          <w:iCs/>
          <w:sz w:val="20"/>
          <w:szCs w:val="20"/>
        </w:rPr>
        <w:t> priebehu roka</w:t>
      </w:r>
      <w:r w:rsidRPr="002924A3">
        <w:rPr>
          <w:rFonts w:ascii="Arial" w:hAnsi="Arial" w:cs="Arial"/>
          <w:iCs/>
          <w:sz w:val="20"/>
          <w:szCs w:val="20"/>
        </w:rPr>
        <w:t xml:space="preserve"> 201</w:t>
      </w:r>
      <w:r>
        <w:rPr>
          <w:rFonts w:ascii="Arial" w:hAnsi="Arial" w:cs="Arial"/>
          <w:iCs/>
          <w:sz w:val="20"/>
          <w:szCs w:val="20"/>
        </w:rPr>
        <w:t>3</w:t>
      </w:r>
      <w:r w:rsidRPr="002924A3">
        <w:rPr>
          <w:rFonts w:ascii="Arial" w:hAnsi="Arial" w:cs="Arial"/>
          <w:iCs/>
          <w:sz w:val="20"/>
          <w:szCs w:val="20"/>
        </w:rPr>
        <w:t>.</w:t>
      </w:r>
    </w:p>
    <w:p w:rsidR="002416B1" w:rsidRPr="004B33AE" w:rsidRDefault="002416B1" w:rsidP="00507035">
      <w:pPr>
        <w:spacing w:before="120" w:after="120" w:line="360" w:lineRule="auto"/>
        <w:jc w:val="both"/>
        <w:rPr>
          <w:rFonts w:ascii="Arial" w:hAnsi="Arial" w:cs="Arial"/>
          <w:sz w:val="20"/>
          <w:szCs w:val="20"/>
          <w:highlight w:val="yellow"/>
        </w:rPr>
      </w:pPr>
      <w:r w:rsidRPr="004B33AE">
        <w:rPr>
          <w:rFonts w:ascii="Arial" w:hAnsi="Arial" w:cs="Arial"/>
          <w:i/>
          <w:sz w:val="20"/>
          <w:szCs w:val="20"/>
          <w:u w:val="single"/>
        </w:rPr>
        <w:t xml:space="preserve">Na asistenciu pri príprave žiadostí o nenávratný finančný príspevok pre “veľké projekty“ (t.j. projekty, ktorých celkové náklady presahujú </w:t>
      </w:r>
      <w:r w:rsidR="00735013">
        <w:rPr>
          <w:rFonts w:ascii="Arial" w:hAnsi="Arial" w:cs="Arial"/>
          <w:i/>
          <w:sz w:val="20"/>
          <w:szCs w:val="20"/>
          <w:u w:val="single"/>
        </w:rPr>
        <w:t xml:space="preserve">50 </w:t>
      </w:r>
      <w:r w:rsidRPr="004B33AE">
        <w:rPr>
          <w:rFonts w:ascii="Arial" w:hAnsi="Arial" w:cs="Arial"/>
          <w:i/>
          <w:sz w:val="20"/>
          <w:szCs w:val="20"/>
          <w:u w:val="single"/>
        </w:rPr>
        <w:t>miliónov EUR pre oblasť životného prostredia) je využívaná iniciatíva JASPERS</w:t>
      </w:r>
      <w:r w:rsidRPr="004B33AE">
        <w:rPr>
          <w:rFonts w:ascii="Arial" w:hAnsi="Arial" w:cs="Arial"/>
          <w:sz w:val="20"/>
          <w:szCs w:val="20"/>
        </w:rPr>
        <w:t xml:space="preserve"> (Joint Assistance to Support Projects in European Regions), ktorá je hlavnou spoločnou iniciatívou Európskej investičnej banky (EIB), Európskej komisie (DG REGIO) a Európskej banky pre obnovu a rozvoj (EBRD), ktorej základným cieľom je podpora členských štátov EÚ, predovšetkým nových členských štátov v strednej a východnej Európe, pri čerpaní prostriedkov štrukturálnych fondov a Kohézneho fondu v programovom období 2007-2013.</w:t>
      </w:r>
    </w:p>
    <w:p w:rsidR="002416B1" w:rsidRPr="004B33AE" w:rsidRDefault="002416B1" w:rsidP="00507035">
      <w:pPr>
        <w:spacing w:before="120" w:after="120" w:line="360" w:lineRule="auto"/>
        <w:jc w:val="both"/>
        <w:rPr>
          <w:rFonts w:ascii="Arial" w:hAnsi="Arial" w:cs="Arial"/>
          <w:sz w:val="20"/>
          <w:szCs w:val="20"/>
        </w:rPr>
      </w:pPr>
      <w:r w:rsidRPr="004B33AE">
        <w:rPr>
          <w:rFonts w:ascii="Arial" w:hAnsi="Arial" w:cs="Arial"/>
          <w:sz w:val="20"/>
          <w:szCs w:val="20"/>
        </w:rPr>
        <w:t>Ďalšie relevantné informácie o veľkých projektoch a iniciatíve JASPERS sú uvedené v kapitole 5. Veľké projekty.</w:t>
      </w:r>
    </w:p>
    <w:p w:rsidR="002416B1" w:rsidRDefault="002416B1" w:rsidP="00507035">
      <w:pPr>
        <w:spacing w:before="120" w:after="120" w:line="360" w:lineRule="auto"/>
        <w:jc w:val="both"/>
        <w:rPr>
          <w:rFonts w:ascii="Arial" w:hAnsi="Arial" w:cs="Arial"/>
          <w:sz w:val="20"/>
          <w:szCs w:val="20"/>
        </w:rPr>
      </w:pPr>
      <w:r w:rsidRPr="004B33AE">
        <w:rPr>
          <w:rFonts w:ascii="Arial" w:hAnsi="Arial" w:cs="Arial"/>
          <w:i/>
          <w:sz w:val="20"/>
          <w:szCs w:val="20"/>
          <w:u w:val="single"/>
        </w:rPr>
        <w:t>JEREMIE iniciatíva (</w:t>
      </w:r>
      <w:r w:rsidRPr="004B33AE">
        <w:rPr>
          <w:rFonts w:ascii="Arial" w:hAnsi="Arial" w:cs="Arial"/>
          <w:b/>
          <w:bCs/>
          <w:i/>
          <w:sz w:val="20"/>
          <w:szCs w:val="20"/>
          <w:u w:val="single"/>
        </w:rPr>
        <w:t>J</w:t>
      </w:r>
      <w:r w:rsidRPr="004B33AE">
        <w:rPr>
          <w:rFonts w:ascii="Arial" w:hAnsi="Arial" w:cs="Arial"/>
          <w:i/>
          <w:sz w:val="20"/>
          <w:szCs w:val="20"/>
          <w:u w:val="single"/>
        </w:rPr>
        <w:t xml:space="preserve">oint </w:t>
      </w:r>
      <w:r w:rsidRPr="004B33AE">
        <w:rPr>
          <w:rFonts w:ascii="Arial" w:hAnsi="Arial" w:cs="Arial"/>
          <w:b/>
          <w:bCs/>
          <w:i/>
          <w:sz w:val="20"/>
          <w:szCs w:val="20"/>
          <w:u w:val="single"/>
        </w:rPr>
        <w:t>E</w:t>
      </w:r>
      <w:r w:rsidRPr="004B33AE">
        <w:rPr>
          <w:rFonts w:ascii="Arial" w:hAnsi="Arial" w:cs="Arial"/>
          <w:i/>
          <w:sz w:val="20"/>
          <w:szCs w:val="20"/>
          <w:u w:val="single"/>
        </w:rPr>
        <w:t xml:space="preserve">uropean </w:t>
      </w:r>
      <w:r w:rsidRPr="004B33AE">
        <w:rPr>
          <w:rFonts w:ascii="Arial" w:hAnsi="Arial" w:cs="Arial"/>
          <w:b/>
          <w:bCs/>
          <w:i/>
          <w:sz w:val="20"/>
          <w:szCs w:val="20"/>
          <w:u w:val="single"/>
        </w:rPr>
        <w:t>RE</w:t>
      </w:r>
      <w:r w:rsidRPr="004B33AE">
        <w:rPr>
          <w:rFonts w:ascii="Arial" w:hAnsi="Arial" w:cs="Arial"/>
          <w:i/>
          <w:sz w:val="20"/>
          <w:szCs w:val="20"/>
          <w:u w:val="single"/>
        </w:rPr>
        <w:t xml:space="preserve">sources for </w:t>
      </w:r>
      <w:r w:rsidRPr="004B33AE">
        <w:rPr>
          <w:rFonts w:ascii="Arial" w:hAnsi="Arial" w:cs="Arial"/>
          <w:b/>
          <w:bCs/>
          <w:i/>
          <w:sz w:val="20"/>
          <w:szCs w:val="20"/>
          <w:u w:val="single"/>
        </w:rPr>
        <w:t>MI</w:t>
      </w:r>
      <w:r w:rsidRPr="004B33AE">
        <w:rPr>
          <w:rFonts w:ascii="Arial" w:hAnsi="Arial" w:cs="Arial"/>
          <w:i/>
          <w:sz w:val="20"/>
          <w:szCs w:val="20"/>
          <w:u w:val="single"/>
        </w:rPr>
        <w:t xml:space="preserve">cro and </w:t>
      </w:r>
      <w:r w:rsidRPr="004B33AE">
        <w:rPr>
          <w:rFonts w:ascii="Arial" w:hAnsi="Arial" w:cs="Arial"/>
          <w:b/>
          <w:bCs/>
          <w:i/>
          <w:sz w:val="20"/>
          <w:szCs w:val="20"/>
          <w:u w:val="single"/>
        </w:rPr>
        <w:t>M</w:t>
      </w:r>
      <w:r w:rsidRPr="004B33AE">
        <w:rPr>
          <w:rFonts w:ascii="Arial" w:hAnsi="Arial" w:cs="Arial"/>
          <w:i/>
          <w:sz w:val="20"/>
          <w:szCs w:val="20"/>
          <w:u w:val="single"/>
        </w:rPr>
        <w:t xml:space="preserve">edium </w:t>
      </w:r>
      <w:r w:rsidRPr="004B33AE">
        <w:rPr>
          <w:rFonts w:ascii="Arial" w:hAnsi="Arial" w:cs="Arial"/>
          <w:b/>
          <w:bCs/>
          <w:i/>
          <w:sz w:val="20"/>
          <w:szCs w:val="20"/>
          <w:u w:val="single"/>
        </w:rPr>
        <w:t>E</w:t>
      </w:r>
      <w:r w:rsidRPr="004B33AE">
        <w:rPr>
          <w:rFonts w:ascii="Arial" w:hAnsi="Arial" w:cs="Arial"/>
          <w:i/>
          <w:sz w:val="20"/>
          <w:szCs w:val="20"/>
          <w:u w:val="single"/>
        </w:rPr>
        <w:t>nterprises - Spoločné európske zdroje pre malé a stredné podniky</w:t>
      </w:r>
      <w:r w:rsidRPr="006A2BF3">
        <w:rPr>
          <w:rFonts w:ascii="Arial" w:hAnsi="Arial" w:cs="Arial"/>
          <w:sz w:val="20"/>
          <w:szCs w:val="20"/>
        </w:rPr>
        <w:t>)</w:t>
      </w:r>
      <w:r w:rsidR="00E320EB">
        <w:rPr>
          <w:rFonts w:ascii="Arial" w:hAnsi="Arial" w:cs="Arial"/>
          <w:sz w:val="20"/>
          <w:szCs w:val="20"/>
        </w:rPr>
        <w:t>.</w:t>
      </w:r>
      <w:r w:rsidRPr="006A2BF3">
        <w:rPr>
          <w:rFonts w:ascii="Arial" w:hAnsi="Arial" w:cs="Arial"/>
          <w:sz w:val="20"/>
          <w:szCs w:val="20"/>
        </w:rPr>
        <w:t xml:space="preserve"> </w:t>
      </w:r>
      <w:r w:rsidRPr="004B33AE">
        <w:rPr>
          <w:rFonts w:ascii="Arial" w:hAnsi="Arial" w:cs="Arial"/>
          <w:sz w:val="20"/>
          <w:szCs w:val="20"/>
        </w:rPr>
        <w:t>Predmetná iniciatíva je v zmysle uznesenia vlády SR 12/2011 v rámci OP ŽP nerelevantná.</w:t>
      </w:r>
    </w:p>
    <w:p w:rsidR="002416B1" w:rsidRPr="006A2BF3" w:rsidRDefault="002416B1" w:rsidP="00507035">
      <w:pPr>
        <w:spacing w:before="120" w:after="120" w:line="360" w:lineRule="auto"/>
        <w:jc w:val="both"/>
        <w:rPr>
          <w:rFonts w:ascii="Arial" w:hAnsi="Arial" w:cs="Arial"/>
          <w:b/>
          <w:i/>
          <w:sz w:val="20"/>
          <w:szCs w:val="20"/>
          <w:u w:val="single"/>
        </w:rPr>
      </w:pPr>
      <w:r w:rsidRPr="006A2BF3">
        <w:rPr>
          <w:rFonts w:ascii="Arial" w:hAnsi="Arial" w:cs="Arial"/>
          <w:b/>
          <w:i/>
          <w:sz w:val="20"/>
          <w:szCs w:val="20"/>
          <w:u w:val="single"/>
        </w:rPr>
        <w:t>Vzájomná súvislosť napĺňania cieľov OP ŽP s piliermi Stratégie EÚ pre dunajský región a jej prioritnými oblasťami</w:t>
      </w:r>
    </w:p>
    <w:p w:rsidR="00214ECF" w:rsidRPr="00E80325" w:rsidRDefault="00214ECF" w:rsidP="00507035">
      <w:pPr>
        <w:spacing w:before="120" w:after="120" w:line="360" w:lineRule="auto"/>
        <w:jc w:val="both"/>
        <w:rPr>
          <w:rFonts w:ascii="Arial" w:hAnsi="Arial" w:cs="Arial"/>
          <w:sz w:val="20"/>
          <w:szCs w:val="20"/>
        </w:rPr>
      </w:pPr>
      <w:r w:rsidRPr="00E80325">
        <w:rPr>
          <w:rFonts w:ascii="Arial" w:hAnsi="Arial" w:cs="Arial"/>
          <w:sz w:val="20"/>
          <w:szCs w:val="20"/>
        </w:rPr>
        <w:t xml:space="preserve">OP ŽP je v súlade so svojím globálnym cieľom prioritne zameraný na plnenie záväzkov SR v oblasti životného prostredia, najmä odvádzania a čistenia odpadových vôd, vyplývajúcich zo Zmluvy o pristúpení k EÚ a legislatívy EÚ, a teda jeho zameranie nie je primárne územného charakteru. Tomu zodpovedá aj skutočnosť, že koncepčným východiskom OP ŽP sú strategické dokumenty EÚ a SR v oblasti environmentálnej politiky, od ktorých sa následne odvíjajú ciele OP ŽP. </w:t>
      </w:r>
    </w:p>
    <w:p w:rsidR="00214ECF" w:rsidRPr="00E80325" w:rsidRDefault="00214ECF" w:rsidP="00507035">
      <w:pPr>
        <w:spacing w:before="120" w:after="120" w:line="360" w:lineRule="auto"/>
        <w:jc w:val="both"/>
        <w:rPr>
          <w:rFonts w:ascii="Arial" w:hAnsi="Arial" w:cs="Arial"/>
          <w:sz w:val="20"/>
          <w:szCs w:val="20"/>
        </w:rPr>
      </w:pPr>
      <w:r w:rsidRPr="00E80325">
        <w:rPr>
          <w:rFonts w:ascii="Arial" w:hAnsi="Arial" w:cs="Arial"/>
          <w:sz w:val="20"/>
          <w:szCs w:val="20"/>
        </w:rPr>
        <w:t xml:space="preserve">Stratégia EÚ pre dunajský región (ďalej len „Dunajská stratégia“) patrí k strategickým dokumentom územného charakteru, ktoré sú zamerané na charakteristiku situácie a identifikáciu potrieb konkrétneho územia. </w:t>
      </w:r>
    </w:p>
    <w:p w:rsidR="00214ECF" w:rsidRPr="00E80325" w:rsidRDefault="00214ECF" w:rsidP="00507035">
      <w:pPr>
        <w:spacing w:before="120" w:after="120" w:line="360" w:lineRule="auto"/>
        <w:jc w:val="both"/>
        <w:rPr>
          <w:rFonts w:ascii="Arial" w:hAnsi="Arial" w:cs="Arial"/>
          <w:sz w:val="20"/>
          <w:szCs w:val="20"/>
        </w:rPr>
      </w:pPr>
      <w:r w:rsidRPr="00E80325">
        <w:rPr>
          <w:rFonts w:ascii="Arial" w:hAnsi="Arial" w:cs="Arial"/>
          <w:sz w:val="20"/>
          <w:szCs w:val="20"/>
        </w:rPr>
        <w:t>Z toho vyplýva, že OP ŽP a jeho ciele nemožno vnímať ako podriadené prioritám Dunajskej stratégie (ktorá o. i. v čase prípravy a schvaľovania OP ŽP ešte neexistovala). Prvoradým zameraním jednotlivých projektov OP ŽP je teda napĺňanie cieľov OP ŽP. Realizácia projektov v rámci OP ŽP môže prispieť k podpore priorít Dunajskej stratégie v prípadoch, ak sa zameranie projektov, ktoré je primárne determinované cieľmi OP ŽP, zároveň prelína so zameraním priorít Dunajskej stratégie.</w:t>
      </w:r>
    </w:p>
    <w:p w:rsidR="00214ECF" w:rsidRPr="00E80325" w:rsidRDefault="00214ECF" w:rsidP="00507035">
      <w:pPr>
        <w:spacing w:before="120" w:after="120" w:line="360" w:lineRule="auto"/>
        <w:jc w:val="both"/>
        <w:rPr>
          <w:rFonts w:ascii="Arial" w:hAnsi="Arial" w:cs="Arial"/>
          <w:sz w:val="20"/>
          <w:szCs w:val="20"/>
        </w:rPr>
      </w:pPr>
      <w:r w:rsidRPr="00E80325">
        <w:rPr>
          <w:rFonts w:ascii="Arial" w:hAnsi="Arial" w:cs="Arial"/>
          <w:sz w:val="20"/>
          <w:szCs w:val="20"/>
        </w:rPr>
        <w:t xml:space="preserve">Z hľadiska korelácie s OP ŽP možno v rámci schválenej štruktúry Dunajskej stratégie identifikovať ako relevantný </w:t>
      </w:r>
      <w:r w:rsidRPr="00E80325">
        <w:rPr>
          <w:rFonts w:ascii="Arial" w:hAnsi="Arial" w:cs="Arial"/>
          <w:i/>
          <w:sz w:val="20"/>
          <w:szCs w:val="20"/>
        </w:rPr>
        <w:t>pilier II. Ochrana životného prostredia v dunajskom regióne.</w:t>
      </w:r>
      <w:r w:rsidRPr="00E80325">
        <w:rPr>
          <w:rFonts w:ascii="Arial" w:hAnsi="Arial" w:cs="Arial"/>
          <w:sz w:val="20"/>
          <w:szCs w:val="20"/>
        </w:rPr>
        <w:t xml:space="preserve"> Vzájomná súvislosť prioritných osí/ operačných cieľov OP ŽP a zodpovedajúcich prioritných oblastí Dunajskej stratégie, spadajúcich do uvedeného piliera, je podrobnejšie charakterizovaná nižšie. </w:t>
      </w:r>
    </w:p>
    <w:p w:rsidR="00214ECF" w:rsidRPr="00E80325" w:rsidRDefault="00214ECF" w:rsidP="00507035">
      <w:pPr>
        <w:spacing w:before="120" w:after="120" w:line="360" w:lineRule="auto"/>
        <w:jc w:val="both"/>
        <w:rPr>
          <w:rFonts w:ascii="Arial" w:hAnsi="Arial" w:cs="Arial"/>
          <w:sz w:val="20"/>
          <w:szCs w:val="20"/>
        </w:rPr>
      </w:pPr>
      <w:r w:rsidRPr="00E80325">
        <w:rPr>
          <w:rFonts w:ascii="Arial" w:hAnsi="Arial" w:cs="Arial"/>
          <w:sz w:val="20"/>
          <w:szCs w:val="20"/>
        </w:rPr>
        <w:t>Pokiaľ ide o projekty, ktoré sú v rámci jednotlivých prioritných osí/ operačných cieľov OP ŽP vytypované ako príklady korelácie ich zamerania s prioritami Dunajskej stratégie, ich výber vychádza z toho, že vzhľadom na územný charakter Dunajskej stratégie by svojimi parametrami mali mať vplyv na dunajský makroregión alebo aspoň na jeho významnú časť. V prevažnej miere preto ide o projekty s dosahom na celé územie SR (keďže k povodiu Dunaja patrí 96 % územia SR).</w:t>
      </w:r>
    </w:p>
    <w:p w:rsidR="00214ECF" w:rsidRPr="00E80325" w:rsidRDefault="00214ECF" w:rsidP="00507035">
      <w:pPr>
        <w:spacing w:before="120" w:after="120" w:line="360" w:lineRule="auto"/>
        <w:jc w:val="both"/>
        <w:rPr>
          <w:rFonts w:ascii="Arial" w:hAnsi="Arial" w:cs="Arial"/>
          <w:i/>
          <w:sz w:val="20"/>
          <w:szCs w:val="20"/>
          <w:u w:val="single"/>
        </w:rPr>
      </w:pPr>
      <w:r w:rsidRPr="00E80325">
        <w:rPr>
          <w:rFonts w:ascii="Arial" w:hAnsi="Arial" w:cs="Arial"/>
          <w:i/>
          <w:sz w:val="20"/>
          <w:szCs w:val="20"/>
          <w:u w:val="single"/>
        </w:rPr>
        <w:t>Korelácia OP ŽP s prioritnými oblasťami Dunajskej stratégie v rámci piliera II. Ochrana životného prostredia v podunajskej oblasti:</w:t>
      </w:r>
    </w:p>
    <w:p w:rsidR="00214ECF" w:rsidRPr="00E80325" w:rsidRDefault="00214ECF" w:rsidP="00507035">
      <w:pPr>
        <w:spacing w:before="120" w:after="120" w:line="360" w:lineRule="auto"/>
        <w:jc w:val="both"/>
        <w:rPr>
          <w:rFonts w:ascii="Arial" w:hAnsi="Arial" w:cs="Arial"/>
          <w:sz w:val="20"/>
          <w:szCs w:val="20"/>
          <w:u w:val="single"/>
        </w:rPr>
      </w:pPr>
      <w:r w:rsidRPr="00E80325">
        <w:rPr>
          <w:rFonts w:ascii="Arial" w:hAnsi="Arial" w:cs="Arial"/>
          <w:sz w:val="20"/>
          <w:szCs w:val="20"/>
          <w:u w:val="single"/>
        </w:rPr>
        <w:t>a) Prioritná oblasť 4. Obnoviť a udržať kvalitu vôd</w:t>
      </w:r>
    </w:p>
    <w:p w:rsidR="00214ECF" w:rsidRPr="00E80325" w:rsidRDefault="00214ECF" w:rsidP="00507035">
      <w:pPr>
        <w:spacing w:before="120" w:after="120" w:line="360" w:lineRule="auto"/>
        <w:jc w:val="both"/>
        <w:rPr>
          <w:rFonts w:ascii="Arial" w:hAnsi="Arial" w:cs="Arial"/>
          <w:sz w:val="20"/>
          <w:szCs w:val="20"/>
        </w:rPr>
      </w:pPr>
      <w:r w:rsidRPr="00E80325">
        <w:rPr>
          <w:rFonts w:ascii="Arial" w:hAnsi="Arial" w:cs="Arial"/>
          <w:sz w:val="20"/>
          <w:szCs w:val="20"/>
        </w:rPr>
        <w:t>S vyššie uvedenou prioritnou oblasťou Dunajskej stratégie súvisí v rámci OP ŽP svojím zameraním:</w:t>
      </w:r>
    </w:p>
    <w:p w:rsidR="00214ECF" w:rsidRPr="00E80325" w:rsidRDefault="00214ECF" w:rsidP="001540E7">
      <w:pPr>
        <w:numPr>
          <w:ilvl w:val="0"/>
          <w:numId w:val="30"/>
        </w:numPr>
        <w:tabs>
          <w:tab w:val="num" w:pos="567"/>
        </w:tabs>
        <w:spacing w:before="120" w:after="120" w:line="360" w:lineRule="auto"/>
        <w:ind w:hanging="1298"/>
        <w:jc w:val="both"/>
        <w:rPr>
          <w:rFonts w:ascii="Arial" w:hAnsi="Arial" w:cs="Arial"/>
          <w:sz w:val="20"/>
          <w:szCs w:val="20"/>
        </w:rPr>
      </w:pPr>
      <w:r w:rsidRPr="00E80325">
        <w:rPr>
          <w:rFonts w:ascii="Arial" w:hAnsi="Arial" w:cs="Arial"/>
          <w:i/>
          <w:sz w:val="20"/>
          <w:szCs w:val="20"/>
        </w:rPr>
        <w:t xml:space="preserve"> Prioritná os 1 </w:t>
      </w:r>
      <w:r w:rsidRPr="00E80325">
        <w:rPr>
          <w:rFonts w:ascii="Arial" w:hAnsi="Arial" w:cs="Arial"/>
          <w:bCs/>
          <w:i/>
          <w:sz w:val="20"/>
          <w:szCs w:val="20"/>
        </w:rPr>
        <w:t>Integrovaná ochrana a racionálne využívanie vôd,</w:t>
      </w:r>
      <w:r w:rsidRPr="00E80325">
        <w:rPr>
          <w:rFonts w:ascii="Arial" w:hAnsi="Arial" w:cs="Arial"/>
          <w:bCs/>
          <w:sz w:val="20"/>
          <w:szCs w:val="20"/>
        </w:rPr>
        <w:t xml:space="preserve"> a to:</w:t>
      </w:r>
    </w:p>
    <w:p w:rsidR="00214ECF" w:rsidRPr="00E80325" w:rsidRDefault="00214ECF" w:rsidP="00507035">
      <w:pPr>
        <w:spacing w:before="120" w:after="120" w:line="360" w:lineRule="auto"/>
        <w:jc w:val="both"/>
        <w:rPr>
          <w:rFonts w:ascii="Arial" w:hAnsi="Arial" w:cs="Arial"/>
          <w:i/>
          <w:sz w:val="20"/>
          <w:szCs w:val="20"/>
        </w:rPr>
      </w:pPr>
      <w:r w:rsidRPr="00E80325">
        <w:rPr>
          <w:rFonts w:ascii="Arial" w:hAnsi="Arial" w:cs="Arial"/>
          <w:sz w:val="20"/>
          <w:szCs w:val="20"/>
        </w:rPr>
        <w:t xml:space="preserve">-   </w:t>
      </w:r>
      <w:r w:rsidRPr="00E80325">
        <w:rPr>
          <w:rFonts w:ascii="Arial" w:hAnsi="Arial" w:cs="Arial"/>
          <w:i/>
          <w:sz w:val="20"/>
          <w:szCs w:val="20"/>
        </w:rPr>
        <w:t>operačný cieľ 1.2 Odvádzanie a čistenie komunálnych odpadových vôd v zmysle záväzkov SR voči EÚ</w:t>
      </w:r>
    </w:p>
    <w:p w:rsidR="00214ECF" w:rsidRPr="00E80325" w:rsidRDefault="00214ECF" w:rsidP="00507035">
      <w:pPr>
        <w:spacing w:before="120" w:after="120" w:line="360" w:lineRule="auto"/>
        <w:jc w:val="both"/>
        <w:rPr>
          <w:rFonts w:ascii="Arial" w:hAnsi="Arial" w:cs="Arial"/>
          <w:sz w:val="20"/>
          <w:szCs w:val="20"/>
        </w:rPr>
      </w:pPr>
      <w:r w:rsidRPr="00E80325">
        <w:rPr>
          <w:rFonts w:ascii="Arial" w:hAnsi="Arial" w:cs="Arial"/>
          <w:sz w:val="20"/>
          <w:szCs w:val="20"/>
        </w:rPr>
        <w:t>Uvedený operačný cieľ má v súvislosti prioritami Dunajskej stratégie prvoradý význam. Je zameraný na podporu aktivít v oblasti odvádzania a čistenia komunálnych odpadových vôd v súlade so záväzkami SR vyplývajúcimi zo Zmluvy o pristúpení SR k EÚ a podľa Národného programu Slovenskej republiky pre vykonávanie smernice Rady 91/271/EHS o čistení komunálnych odpadových vôd v znení smernice Komisie 98/15/ES a nariadenia Európskeho parlamentu a Rady 1882/2003/ES.</w:t>
      </w:r>
    </w:p>
    <w:p w:rsidR="00214ECF" w:rsidRPr="00E80325" w:rsidRDefault="00214ECF" w:rsidP="00507035">
      <w:pPr>
        <w:spacing w:before="120" w:after="120" w:line="360" w:lineRule="auto"/>
        <w:jc w:val="both"/>
        <w:rPr>
          <w:rFonts w:ascii="Arial" w:hAnsi="Arial" w:cs="Arial"/>
          <w:i/>
          <w:sz w:val="20"/>
          <w:szCs w:val="20"/>
        </w:rPr>
      </w:pPr>
      <w:r w:rsidRPr="00E80325">
        <w:rPr>
          <w:rFonts w:ascii="Arial" w:hAnsi="Arial" w:cs="Arial"/>
          <w:sz w:val="20"/>
          <w:szCs w:val="20"/>
        </w:rPr>
        <w:t>Predmetom podpory v rámci uvedeného operačného cieľa je</w:t>
      </w:r>
      <w:r w:rsidRPr="00E80325">
        <w:rPr>
          <w:rFonts w:ascii="Arial" w:hAnsi="Arial" w:cs="Arial"/>
          <w:b/>
          <w:sz w:val="20"/>
          <w:szCs w:val="20"/>
        </w:rPr>
        <w:t xml:space="preserve"> </w:t>
      </w:r>
      <w:r w:rsidRPr="00E80325">
        <w:rPr>
          <w:rFonts w:ascii="Arial" w:hAnsi="Arial" w:cs="Arial"/>
          <w:sz w:val="20"/>
          <w:szCs w:val="20"/>
        </w:rPr>
        <w:t>v</w:t>
      </w:r>
      <w:r w:rsidRPr="00E80325">
        <w:rPr>
          <w:rFonts w:ascii="Arial" w:hAnsi="Arial" w:cs="Arial"/>
          <w:i/>
          <w:sz w:val="20"/>
          <w:szCs w:val="20"/>
        </w:rPr>
        <w:t>ýstavba, rozšírenie a zvýšenie kapacity čistiarní odpadových vôd, ako aj stokových sietí, výstavba, rozšírenie a zvýšenie v aglomeráciách jednotlivých veľkostných kategórií (nad 150 000 ekvivalentných obyvateľov (ďalej len „EO“); od 15 000 EO do 150 000 EO; od 10 000 EO do 15 000 EO; od 2 000 EO do 10 000 EO).</w:t>
      </w:r>
    </w:p>
    <w:p w:rsidR="00214ECF" w:rsidRPr="00E80325" w:rsidRDefault="00214ECF" w:rsidP="00507035">
      <w:pPr>
        <w:spacing w:before="120" w:after="120" w:line="360" w:lineRule="auto"/>
        <w:jc w:val="both"/>
        <w:rPr>
          <w:rFonts w:ascii="Arial" w:hAnsi="Arial" w:cs="Arial"/>
          <w:i/>
          <w:sz w:val="20"/>
          <w:szCs w:val="20"/>
        </w:rPr>
      </w:pPr>
      <w:r w:rsidRPr="00E80325">
        <w:rPr>
          <w:rFonts w:ascii="Arial" w:hAnsi="Arial" w:cs="Arial"/>
          <w:sz w:val="20"/>
          <w:szCs w:val="20"/>
        </w:rPr>
        <w:t xml:space="preserve">Uvedený operačný cieľ je v priamom súlade so zameraním jednej z aktivít zahrnutých v rámci prioritnej oblasti 4. Obnoviť a udržať kvalitu vôd do Akčného plánu Dunajskej stratégie, schváleného na zasadnutí Európskej rady 24.06.2011 (ďalej len „Akčný plán“). Konkrétne ide o aktivitu: </w:t>
      </w:r>
      <w:r w:rsidRPr="00E80325">
        <w:rPr>
          <w:rFonts w:ascii="Arial" w:hAnsi="Arial" w:cs="Arial"/>
          <w:i/>
          <w:sz w:val="20"/>
          <w:szCs w:val="20"/>
        </w:rPr>
        <w:t>„Pokračovanie v podpore veľkých investícií do budovania a modernizácie mestských čistiarní odpadových vôd v celom povodí Dunaja, vrátane opatrení na budovanie kapacity na regionálnej a miestnej úrovni pre návrh takejto infraštruktúry“.</w:t>
      </w:r>
    </w:p>
    <w:p w:rsidR="0068264B" w:rsidRDefault="00214ECF" w:rsidP="00507035">
      <w:pPr>
        <w:spacing w:before="120" w:after="120" w:line="360" w:lineRule="auto"/>
        <w:jc w:val="both"/>
        <w:rPr>
          <w:rFonts w:ascii="Arial" w:hAnsi="Arial" w:cs="Arial"/>
          <w:sz w:val="20"/>
          <w:szCs w:val="20"/>
        </w:rPr>
      </w:pPr>
      <w:r w:rsidRPr="00E80325">
        <w:rPr>
          <w:rFonts w:ascii="Arial" w:hAnsi="Arial" w:cs="Arial"/>
          <w:sz w:val="20"/>
          <w:szCs w:val="20"/>
        </w:rPr>
        <w:t>V prípade projektov v oblasti odvádzania a čistenia odpadových vôd ich vplyv na obyvateľstvo, príp. aj územie závisí od veľkosti aglomerácie, ktorá je v rámci nich riešená. Z tohto hľadiska sú významné najmä veľké projekty s celkovými nákladmi nad 50 miliónov EUR, spomedzi ktorých možno uviesť 2 projekty zamerané na riešenie odvádzania a čistenia odpadových vôd v aglomeráciách 1. veľkostnej skupiny, t.j. nad 150 000 EO, a to:</w:t>
      </w:r>
    </w:p>
    <w:p w:rsidR="0068264B" w:rsidRDefault="0068264B">
      <w:pPr>
        <w:rPr>
          <w:rFonts w:ascii="Arial" w:hAnsi="Arial" w:cs="Arial"/>
          <w:sz w:val="20"/>
          <w:szCs w:val="20"/>
        </w:rPr>
      </w:pPr>
      <w:r>
        <w:rPr>
          <w:rFonts w:ascii="Arial" w:hAnsi="Arial" w:cs="Arial"/>
          <w:sz w:val="20"/>
          <w:szCs w:val="20"/>
        </w:rPr>
        <w:br w:type="page"/>
      </w:r>
    </w:p>
    <w:p w:rsidR="00214ECF" w:rsidRPr="00E80325" w:rsidRDefault="00214ECF" w:rsidP="004D6F10">
      <w:pPr>
        <w:spacing w:line="360" w:lineRule="auto"/>
        <w:jc w:val="both"/>
        <w:rPr>
          <w:rFonts w:ascii="Arial" w:hAnsi="Arial" w:cs="Arial"/>
          <w:i/>
          <w:sz w:val="20"/>
          <w:szCs w:val="20"/>
        </w:rPr>
      </w:pPr>
      <w:r w:rsidRPr="00E80325">
        <w:rPr>
          <w:rFonts w:ascii="Arial" w:hAnsi="Arial" w:cs="Arial"/>
          <w:sz w:val="20"/>
          <w:szCs w:val="20"/>
        </w:rPr>
        <w:t xml:space="preserve">Tab. č. </w:t>
      </w:r>
      <w:r w:rsidR="007B7519">
        <w:rPr>
          <w:rFonts w:ascii="Arial" w:hAnsi="Arial" w:cs="Arial"/>
          <w:sz w:val="20"/>
          <w:szCs w:val="20"/>
        </w:rPr>
        <w:t xml:space="preserve">24 </w:t>
      </w:r>
      <w:r w:rsidR="00570976">
        <w:rPr>
          <w:rFonts w:ascii="Arial" w:hAnsi="Arial" w:cs="Arial"/>
          <w:sz w:val="20"/>
          <w:szCs w:val="20"/>
        </w:rPr>
        <w:t>Veľké projekty zamerané na odvádzanie a čistenie odpadových vôd</w:t>
      </w:r>
    </w:p>
    <w:tbl>
      <w:tblPr>
        <w:tblW w:w="9356"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572"/>
        <w:gridCol w:w="2635"/>
        <w:gridCol w:w="1881"/>
        <w:gridCol w:w="2268"/>
      </w:tblGrid>
      <w:tr w:rsidR="00214ECF" w:rsidRPr="00E80325" w:rsidTr="006A551B">
        <w:trPr>
          <w:trHeight w:val="20"/>
        </w:trPr>
        <w:tc>
          <w:tcPr>
            <w:tcW w:w="0" w:type="auto"/>
            <w:shd w:val="clear" w:color="auto" w:fill="D6E3BC"/>
            <w:vAlign w:val="center"/>
          </w:tcPr>
          <w:p w:rsidR="00214ECF" w:rsidRPr="00E80325" w:rsidRDefault="00214ECF" w:rsidP="004D6F10">
            <w:pPr>
              <w:ind w:left="-70"/>
              <w:jc w:val="center"/>
              <w:rPr>
                <w:rFonts w:ascii="Arial" w:hAnsi="Arial" w:cs="Arial"/>
                <w:b/>
                <w:bCs/>
                <w:sz w:val="18"/>
                <w:szCs w:val="18"/>
              </w:rPr>
            </w:pPr>
            <w:r w:rsidRPr="00E80325">
              <w:rPr>
                <w:rFonts w:ascii="Arial" w:hAnsi="Arial" w:cs="Arial"/>
                <w:b/>
                <w:bCs/>
                <w:sz w:val="18"/>
                <w:szCs w:val="18"/>
              </w:rPr>
              <w:t>Názov projektu</w:t>
            </w:r>
          </w:p>
        </w:tc>
        <w:tc>
          <w:tcPr>
            <w:tcW w:w="0" w:type="auto"/>
            <w:shd w:val="clear" w:color="auto" w:fill="D6E3BC"/>
            <w:vAlign w:val="center"/>
          </w:tcPr>
          <w:p w:rsidR="00214ECF" w:rsidRPr="00E80325" w:rsidRDefault="00214ECF" w:rsidP="004D6F10">
            <w:pPr>
              <w:jc w:val="center"/>
              <w:rPr>
                <w:rFonts w:ascii="Arial" w:hAnsi="Arial" w:cs="Arial"/>
                <w:b/>
                <w:bCs/>
                <w:sz w:val="18"/>
                <w:szCs w:val="18"/>
              </w:rPr>
            </w:pPr>
            <w:r w:rsidRPr="00E80325">
              <w:rPr>
                <w:rFonts w:ascii="Arial" w:hAnsi="Arial" w:cs="Arial"/>
                <w:b/>
                <w:bCs/>
                <w:sz w:val="18"/>
                <w:szCs w:val="18"/>
              </w:rPr>
              <w:t>Žiadateľ</w:t>
            </w:r>
          </w:p>
        </w:tc>
        <w:tc>
          <w:tcPr>
            <w:tcW w:w="1881" w:type="dxa"/>
            <w:shd w:val="clear" w:color="auto" w:fill="D6E3BC"/>
            <w:vAlign w:val="center"/>
          </w:tcPr>
          <w:p w:rsidR="00214ECF" w:rsidRPr="00E80325" w:rsidRDefault="00214ECF" w:rsidP="004D6F10">
            <w:pPr>
              <w:jc w:val="center"/>
              <w:rPr>
                <w:rFonts w:ascii="Arial" w:hAnsi="Arial" w:cs="Arial"/>
                <w:b/>
                <w:bCs/>
                <w:sz w:val="18"/>
                <w:szCs w:val="18"/>
              </w:rPr>
            </w:pPr>
            <w:r w:rsidRPr="00E80325">
              <w:rPr>
                <w:rFonts w:ascii="Arial" w:hAnsi="Arial" w:cs="Arial"/>
                <w:b/>
                <w:bCs/>
                <w:sz w:val="18"/>
                <w:szCs w:val="18"/>
              </w:rPr>
              <w:t>Stav k 31.12.201</w:t>
            </w:r>
            <w:r>
              <w:rPr>
                <w:rFonts w:ascii="Arial" w:hAnsi="Arial" w:cs="Arial"/>
                <w:b/>
                <w:bCs/>
                <w:sz w:val="18"/>
                <w:szCs w:val="18"/>
              </w:rPr>
              <w:t>2</w:t>
            </w:r>
          </w:p>
        </w:tc>
        <w:tc>
          <w:tcPr>
            <w:tcW w:w="2268" w:type="dxa"/>
            <w:shd w:val="clear" w:color="auto" w:fill="D6E3BC"/>
            <w:vAlign w:val="center"/>
          </w:tcPr>
          <w:p w:rsidR="00214ECF" w:rsidRPr="00E80325" w:rsidRDefault="00214ECF" w:rsidP="004D6F10">
            <w:pPr>
              <w:jc w:val="center"/>
              <w:rPr>
                <w:rFonts w:ascii="Arial" w:hAnsi="Arial" w:cs="Arial"/>
                <w:b/>
                <w:bCs/>
                <w:sz w:val="18"/>
                <w:szCs w:val="18"/>
              </w:rPr>
            </w:pPr>
            <w:r w:rsidRPr="00E80325">
              <w:rPr>
                <w:rFonts w:ascii="Arial" w:hAnsi="Arial" w:cs="Arial"/>
                <w:b/>
                <w:bCs/>
                <w:sz w:val="18"/>
                <w:szCs w:val="18"/>
              </w:rPr>
              <w:t>Predpokladané celkové náklady (bez DPH)</w:t>
            </w:r>
          </w:p>
          <w:p w:rsidR="00214ECF" w:rsidRPr="00E80325" w:rsidRDefault="00214ECF" w:rsidP="004D6F10">
            <w:pPr>
              <w:jc w:val="center"/>
              <w:rPr>
                <w:rFonts w:ascii="Arial" w:hAnsi="Arial" w:cs="Arial"/>
                <w:b/>
                <w:bCs/>
                <w:sz w:val="18"/>
                <w:szCs w:val="18"/>
              </w:rPr>
            </w:pPr>
            <w:r w:rsidRPr="00E80325">
              <w:rPr>
                <w:rFonts w:ascii="Arial" w:hAnsi="Arial" w:cs="Arial"/>
                <w:b/>
                <w:bCs/>
                <w:sz w:val="18"/>
                <w:szCs w:val="18"/>
              </w:rPr>
              <w:t>v €</w:t>
            </w:r>
          </w:p>
        </w:tc>
      </w:tr>
      <w:tr w:rsidR="00214ECF" w:rsidRPr="00E80325" w:rsidTr="006A551B">
        <w:trPr>
          <w:trHeight w:val="20"/>
        </w:trPr>
        <w:tc>
          <w:tcPr>
            <w:tcW w:w="0" w:type="auto"/>
            <w:shd w:val="clear" w:color="auto" w:fill="EAF1DD"/>
            <w:noWrap/>
            <w:vAlign w:val="center"/>
          </w:tcPr>
          <w:p w:rsidR="00214ECF" w:rsidRPr="00E80325" w:rsidRDefault="00214ECF" w:rsidP="004D6F10">
            <w:pPr>
              <w:rPr>
                <w:rFonts w:ascii="Arial" w:hAnsi="Arial" w:cs="Arial"/>
                <w:sz w:val="18"/>
                <w:szCs w:val="18"/>
              </w:rPr>
            </w:pPr>
            <w:r w:rsidRPr="00E80325">
              <w:rPr>
                <w:rFonts w:ascii="Arial" w:hAnsi="Arial" w:cs="Arial"/>
                <w:sz w:val="18"/>
                <w:szCs w:val="18"/>
              </w:rPr>
              <w:t xml:space="preserve">SKK Ružomberok a ČOV </w:t>
            </w:r>
          </w:p>
          <w:p w:rsidR="00214ECF" w:rsidRPr="00E80325" w:rsidRDefault="00214ECF" w:rsidP="004D6F10">
            <w:pPr>
              <w:jc w:val="both"/>
              <w:rPr>
                <w:rFonts w:ascii="Arial" w:hAnsi="Arial" w:cs="Arial"/>
                <w:sz w:val="18"/>
                <w:szCs w:val="18"/>
              </w:rPr>
            </w:pPr>
            <w:r w:rsidRPr="00E80325">
              <w:rPr>
                <w:rFonts w:ascii="Arial" w:hAnsi="Arial" w:cs="Arial"/>
                <w:sz w:val="18"/>
                <w:szCs w:val="18"/>
              </w:rPr>
              <w:t>Liptovská Teplá a Sliače</w:t>
            </w:r>
          </w:p>
        </w:tc>
        <w:tc>
          <w:tcPr>
            <w:tcW w:w="0" w:type="auto"/>
            <w:vAlign w:val="center"/>
          </w:tcPr>
          <w:p w:rsidR="00214ECF" w:rsidRPr="00E80325" w:rsidRDefault="00214ECF" w:rsidP="004D6F10">
            <w:pPr>
              <w:rPr>
                <w:rFonts w:ascii="Arial" w:hAnsi="Arial" w:cs="Arial"/>
                <w:sz w:val="18"/>
                <w:szCs w:val="18"/>
              </w:rPr>
            </w:pPr>
            <w:r w:rsidRPr="00E80325">
              <w:rPr>
                <w:rFonts w:ascii="Arial" w:hAnsi="Arial" w:cs="Arial"/>
                <w:sz w:val="18"/>
                <w:szCs w:val="18"/>
              </w:rPr>
              <w:t>Vodárenská spoločnosť Ružomberok, a.s.</w:t>
            </w:r>
          </w:p>
        </w:tc>
        <w:tc>
          <w:tcPr>
            <w:tcW w:w="1881" w:type="dxa"/>
            <w:vAlign w:val="center"/>
          </w:tcPr>
          <w:p w:rsidR="00214ECF" w:rsidRPr="00E80325" w:rsidRDefault="00214ECF" w:rsidP="004D6F10">
            <w:pPr>
              <w:rPr>
                <w:rFonts w:ascii="Arial" w:hAnsi="Arial" w:cs="Arial"/>
                <w:sz w:val="18"/>
                <w:szCs w:val="18"/>
              </w:rPr>
            </w:pPr>
            <w:r>
              <w:rPr>
                <w:rFonts w:ascii="Arial" w:hAnsi="Arial" w:cs="Arial"/>
                <w:sz w:val="18"/>
                <w:szCs w:val="18"/>
              </w:rPr>
              <w:t>V realizácii</w:t>
            </w:r>
          </w:p>
        </w:tc>
        <w:tc>
          <w:tcPr>
            <w:tcW w:w="2268" w:type="dxa"/>
            <w:vAlign w:val="center"/>
          </w:tcPr>
          <w:p w:rsidR="00214ECF" w:rsidRPr="00E80325" w:rsidRDefault="00214ECF" w:rsidP="004D6F10">
            <w:pPr>
              <w:jc w:val="center"/>
              <w:rPr>
                <w:rFonts w:ascii="Arial" w:hAnsi="Arial" w:cs="Arial"/>
                <w:sz w:val="18"/>
                <w:szCs w:val="18"/>
              </w:rPr>
            </w:pPr>
            <w:r w:rsidRPr="00E80325">
              <w:rPr>
                <w:rFonts w:ascii="Arial" w:hAnsi="Arial" w:cs="Arial"/>
                <w:sz w:val="18"/>
                <w:szCs w:val="18"/>
              </w:rPr>
              <w:t>22 488 597</w:t>
            </w:r>
          </w:p>
        </w:tc>
      </w:tr>
      <w:tr w:rsidR="00214ECF" w:rsidRPr="00E80325" w:rsidTr="006A551B">
        <w:trPr>
          <w:trHeight w:val="20"/>
        </w:trPr>
        <w:tc>
          <w:tcPr>
            <w:tcW w:w="0" w:type="auto"/>
            <w:shd w:val="clear" w:color="auto" w:fill="EAF1DD"/>
            <w:noWrap/>
            <w:vAlign w:val="center"/>
          </w:tcPr>
          <w:p w:rsidR="00214ECF" w:rsidRPr="00E80325" w:rsidRDefault="00214ECF" w:rsidP="004D6F10">
            <w:pPr>
              <w:jc w:val="both"/>
              <w:rPr>
                <w:rFonts w:ascii="Arial" w:hAnsi="Arial" w:cs="Arial"/>
                <w:sz w:val="18"/>
                <w:szCs w:val="18"/>
              </w:rPr>
            </w:pPr>
            <w:r w:rsidRPr="00E80325">
              <w:rPr>
                <w:rFonts w:ascii="Arial" w:hAnsi="Arial" w:cs="Arial"/>
                <w:sz w:val="18"/>
                <w:szCs w:val="18"/>
              </w:rPr>
              <w:t xml:space="preserve">Podunajsko – odkanalizovanie </w:t>
            </w:r>
          </w:p>
          <w:p w:rsidR="00214ECF" w:rsidRPr="00E80325" w:rsidRDefault="00214ECF" w:rsidP="004D6F10">
            <w:pPr>
              <w:jc w:val="both"/>
              <w:rPr>
                <w:rFonts w:ascii="Arial" w:hAnsi="Arial" w:cs="Arial"/>
                <w:sz w:val="18"/>
                <w:szCs w:val="18"/>
              </w:rPr>
            </w:pPr>
            <w:r w:rsidRPr="00E80325">
              <w:rPr>
                <w:rFonts w:ascii="Arial" w:hAnsi="Arial" w:cs="Arial"/>
                <w:sz w:val="18"/>
                <w:szCs w:val="18"/>
              </w:rPr>
              <w:t xml:space="preserve">podunajskej </w:t>
            </w:r>
          </w:p>
          <w:p w:rsidR="00214ECF" w:rsidRPr="00E80325" w:rsidRDefault="00214ECF" w:rsidP="004D6F10">
            <w:pPr>
              <w:jc w:val="both"/>
              <w:rPr>
                <w:rFonts w:ascii="Arial" w:hAnsi="Arial" w:cs="Arial"/>
                <w:sz w:val="18"/>
                <w:szCs w:val="18"/>
              </w:rPr>
            </w:pPr>
            <w:r w:rsidRPr="00E80325">
              <w:rPr>
                <w:rFonts w:ascii="Arial" w:hAnsi="Arial" w:cs="Arial"/>
                <w:sz w:val="18"/>
                <w:szCs w:val="18"/>
              </w:rPr>
              <w:t>časti bratislavského regiónu</w:t>
            </w:r>
          </w:p>
        </w:tc>
        <w:tc>
          <w:tcPr>
            <w:tcW w:w="0" w:type="auto"/>
            <w:vAlign w:val="center"/>
          </w:tcPr>
          <w:p w:rsidR="00214ECF" w:rsidRPr="00E80325" w:rsidRDefault="00214ECF" w:rsidP="004D6F10">
            <w:pPr>
              <w:rPr>
                <w:rFonts w:ascii="Arial" w:hAnsi="Arial" w:cs="Arial"/>
                <w:sz w:val="18"/>
                <w:szCs w:val="18"/>
              </w:rPr>
            </w:pPr>
            <w:r w:rsidRPr="00E80325">
              <w:rPr>
                <w:rFonts w:ascii="Arial" w:hAnsi="Arial" w:cs="Arial"/>
                <w:sz w:val="18"/>
                <w:szCs w:val="18"/>
              </w:rPr>
              <w:t>Bratislavská vodárenská spoločnosť, a.s.</w:t>
            </w:r>
          </w:p>
        </w:tc>
        <w:tc>
          <w:tcPr>
            <w:tcW w:w="1881" w:type="dxa"/>
            <w:vAlign w:val="center"/>
          </w:tcPr>
          <w:p w:rsidR="00214ECF" w:rsidRPr="00E80325" w:rsidRDefault="00214ECF" w:rsidP="004D6F10">
            <w:pPr>
              <w:rPr>
                <w:rFonts w:ascii="Arial" w:hAnsi="Arial" w:cs="Arial"/>
                <w:sz w:val="18"/>
                <w:szCs w:val="18"/>
              </w:rPr>
            </w:pPr>
            <w:r w:rsidRPr="00E80325">
              <w:rPr>
                <w:rFonts w:ascii="Arial" w:hAnsi="Arial" w:cs="Arial"/>
                <w:sz w:val="18"/>
                <w:szCs w:val="18"/>
              </w:rPr>
              <w:t>Predložený EK na schválenie</w:t>
            </w:r>
          </w:p>
        </w:tc>
        <w:tc>
          <w:tcPr>
            <w:tcW w:w="2268" w:type="dxa"/>
            <w:vAlign w:val="center"/>
          </w:tcPr>
          <w:p w:rsidR="00214ECF" w:rsidRPr="00E80325" w:rsidRDefault="00214ECF" w:rsidP="004D6F10">
            <w:pPr>
              <w:jc w:val="center"/>
              <w:rPr>
                <w:rFonts w:ascii="Arial" w:hAnsi="Arial" w:cs="Arial"/>
                <w:sz w:val="18"/>
                <w:szCs w:val="18"/>
              </w:rPr>
            </w:pPr>
            <w:r w:rsidRPr="00E80325">
              <w:rPr>
                <w:rFonts w:ascii="Arial" w:hAnsi="Arial" w:cs="Arial"/>
                <w:sz w:val="18"/>
                <w:szCs w:val="18"/>
              </w:rPr>
              <w:t>42 372 186</w:t>
            </w:r>
          </w:p>
        </w:tc>
      </w:tr>
    </w:tbl>
    <w:p w:rsidR="00214ECF" w:rsidRPr="00E80325" w:rsidRDefault="00214ECF" w:rsidP="004D6F10">
      <w:pPr>
        <w:spacing w:line="360" w:lineRule="auto"/>
        <w:jc w:val="both"/>
        <w:rPr>
          <w:rFonts w:ascii="Arial" w:hAnsi="Arial" w:cs="Arial"/>
          <w:sz w:val="18"/>
          <w:szCs w:val="18"/>
        </w:rPr>
      </w:pPr>
      <w:r w:rsidRPr="00E80325">
        <w:rPr>
          <w:rFonts w:ascii="Arial" w:hAnsi="Arial" w:cs="Arial"/>
          <w:sz w:val="18"/>
          <w:szCs w:val="18"/>
        </w:rPr>
        <w:t>Zdroj: RO</w:t>
      </w:r>
    </w:p>
    <w:p w:rsidR="00214ECF" w:rsidRPr="00E80325" w:rsidRDefault="00214ECF" w:rsidP="00507035">
      <w:pPr>
        <w:spacing w:before="120" w:after="120" w:line="360" w:lineRule="auto"/>
        <w:jc w:val="both"/>
        <w:rPr>
          <w:rFonts w:ascii="Arial" w:hAnsi="Arial" w:cs="Arial"/>
          <w:sz w:val="20"/>
          <w:szCs w:val="20"/>
        </w:rPr>
      </w:pPr>
      <w:r w:rsidRPr="00E80325">
        <w:rPr>
          <w:rFonts w:ascii="Arial" w:hAnsi="Arial" w:cs="Arial"/>
          <w:sz w:val="20"/>
          <w:szCs w:val="20"/>
        </w:rPr>
        <w:t>V prípade tzv. malých projektov, t.j. projektov s celkovými nákladmi do 50 miliónov EUR, sú na riešenie odvádzania a čistenia odpadových vôd v aglomeráciách 1. veľkostnej skupiny, t.j. nad 150 000 EO, zamerané nasledujúce projekty:</w:t>
      </w:r>
    </w:p>
    <w:p w:rsidR="00214ECF" w:rsidRPr="00E80325" w:rsidRDefault="00214ECF" w:rsidP="004D6F10">
      <w:pPr>
        <w:spacing w:line="360" w:lineRule="auto"/>
        <w:jc w:val="both"/>
        <w:rPr>
          <w:rFonts w:ascii="Arial" w:hAnsi="Arial" w:cs="Arial"/>
          <w:sz w:val="20"/>
          <w:szCs w:val="20"/>
        </w:rPr>
      </w:pPr>
      <w:r w:rsidRPr="00E80325">
        <w:rPr>
          <w:rFonts w:ascii="Arial" w:hAnsi="Arial" w:cs="Arial"/>
          <w:sz w:val="20"/>
          <w:szCs w:val="20"/>
        </w:rPr>
        <w:t xml:space="preserve">Tab. č. </w:t>
      </w:r>
      <w:r w:rsidR="007B7519">
        <w:rPr>
          <w:rFonts w:ascii="Arial" w:hAnsi="Arial" w:cs="Arial"/>
          <w:sz w:val="20"/>
          <w:szCs w:val="20"/>
        </w:rPr>
        <w:t xml:space="preserve">25 </w:t>
      </w:r>
      <w:r w:rsidR="00570976">
        <w:rPr>
          <w:rFonts w:ascii="Arial" w:hAnsi="Arial" w:cs="Arial"/>
          <w:sz w:val="20"/>
          <w:szCs w:val="20"/>
        </w:rPr>
        <w:t>Zoznam projektov zameraných na odvádzanie a čistenie odpadových vôd (nie veľké projekty)</w:t>
      </w:r>
    </w:p>
    <w:tbl>
      <w:tblPr>
        <w:tblW w:w="9924" w:type="dxa"/>
        <w:tblInd w:w="-2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269"/>
        <w:gridCol w:w="2126"/>
        <w:gridCol w:w="1276"/>
        <w:gridCol w:w="1418"/>
        <w:gridCol w:w="1417"/>
        <w:gridCol w:w="1418"/>
      </w:tblGrid>
      <w:tr w:rsidR="00214ECF" w:rsidRPr="00E80325" w:rsidTr="006A551B">
        <w:trPr>
          <w:trHeight w:val="20"/>
        </w:trPr>
        <w:tc>
          <w:tcPr>
            <w:tcW w:w="2269" w:type="dxa"/>
            <w:shd w:val="clear" w:color="auto" w:fill="D6E3BC"/>
            <w:vAlign w:val="center"/>
          </w:tcPr>
          <w:p w:rsidR="00214ECF" w:rsidRPr="00E80325" w:rsidRDefault="00214ECF" w:rsidP="004D6F10">
            <w:pPr>
              <w:jc w:val="center"/>
              <w:rPr>
                <w:rFonts w:ascii="Arial" w:hAnsi="Arial" w:cs="Arial"/>
                <w:b/>
                <w:bCs/>
                <w:sz w:val="18"/>
                <w:szCs w:val="18"/>
              </w:rPr>
            </w:pPr>
            <w:r w:rsidRPr="00E80325">
              <w:rPr>
                <w:rFonts w:ascii="Arial" w:hAnsi="Arial" w:cs="Arial"/>
                <w:b/>
                <w:bCs/>
                <w:sz w:val="18"/>
                <w:szCs w:val="18"/>
              </w:rPr>
              <w:t>Názov projektu</w:t>
            </w:r>
          </w:p>
        </w:tc>
        <w:tc>
          <w:tcPr>
            <w:tcW w:w="2126" w:type="dxa"/>
            <w:shd w:val="clear" w:color="auto" w:fill="D6E3BC"/>
            <w:vAlign w:val="center"/>
          </w:tcPr>
          <w:p w:rsidR="00214ECF" w:rsidRPr="00E80325" w:rsidRDefault="00214ECF" w:rsidP="004D6F10">
            <w:pPr>
              <w:jc w:val="center"/>
              <w:rPr>
                <w:rFonts w:ascii="Arial" w:hAnsi="Arial" w:cs="Arial"/>
                <w:b/>
                <w:bCs/>
                <w:sz w:val="18"/>
                <w:szCs w:val="18"/>
              </w:rPr>
            </w:pPr>
            <w:r w:rsidRPr="00E80325">
              <w:rPr>
                <w:rFonts w:ascii="Arial" w:hAnsi="Arial" w:cs="Arial"/>
                <w:b/>
                <w:bCs/>
                <w:sz w:val="18"/>
                <w:szCs w:val="18"/>
              </w:rPr>
              <w:t>Prijímateľ</w:t>
            </w:r>
          </w:p>
        </w:tc>
        <w:tc>
          <w:tcPr>
            <w:tcW w:w="1276" w:type="dxa"/>
            <w:shd w:val="clear" w:color="auto" w:fill="D6E3BC"/>
            <w:vAlign w:val="center"/>
          </w:tcPr>
          <w:p w:rsidR="00214ECF" w:rsidRPr="00E80325" w:rsidRDefault="00214ECF" w:rsidP="004D6F10">
            <w:pPr>
              <w:jc w:val="center"/>
              <w:rPr>
                <w:rFonts w:ascii="Arial" w:hAnsi="Arial" w:cs="Arial"/>
                <w:b/>
                <w:bCs/>
                <w:sz w:val="18"/>
                <w:szCs w:val="18"/>
              </w:rPr>
            </w:pPr>
            <w:r w:rsidRPr="00E80325">
              <w:rPr>
                <w:rFonts w:ascii="Arial" w:hAnsi="Arial" w:cs="Arial"/>
                <w:b/>
                <w:bCs/>
                <w:sz w:val="18"/>
                <w:szCs w:val="18"/>
              </w:rPr>
              <w:t>Aktuálny stav</w:t>
            </w:r>
          </w:p>
        </w:tc>
        <w:tc>
          <w:tcPr>
            <w:tcW w:w="1418" w:type="dxa"/>
            <w:shd w:val="clear" w:color="auto" w:fill="D6E3BC"/>
            <w:vAlign w:val="center"/>
          </w:tcPr>
          <w:p w:rsidR="00214ECF" w:rsidRPr="00E80325" w:rsidRDefault="00214ECF" w:rsidP="004D6F10">
            <w:pPr>
              <w:jc w:val="center"/>
              <w:rPr>
                <w:rFonts w:ascii="Arial" w:hAnsi="Arial" w:cs="Arial"/>
                <w:b/>
                <w:bCs/>
                <w:sz w:val="18"/>
                <w:szCs w:val="18"/>
              </w:rPr>
            </w:pPr>
            <w:r w:rsidRPr="00E80325">
              <w:rPr>
                <w:rFonts w:ascii="Arial" w:hAnsi="Arial" w:cs="Arial"/>
                <w:b/>
                <w:bCs/>
                <w:sz w:val="18"/>
                <w:szCs w:val="18"/>
              </w:rPr>
              <w:t>Zazmluvnené</w:t>
            </w:r>
          </w:p>
          <w:p w:rsidR="00214ECF" w:rsidRPr="00E80325" w:rsidRDefault="00214ECF" w:rsidP="004D6F10">
            <w:pPr>
              <w:jc w:val="center"/>
              <w:rPr>
                <w:rFonts w:ascii="Arial" w:hAnsi="Arial" w:cs="Arial"/>
                <w:b/>
                <w:bCs/>
                <w:sz w:val="18"/>
                <w:szCs w:val="18"/>
              </w:rPr>
            </w:pPr>
            <w:r w:rsidRPr="00E80325">
              <w:rPr>
                <w:rFonts w:ascii="Arial" w:hAnsi="Arial" w:cs="Arial"/>
                <w:b/>
                <w:bCs/>
                <w:sz w:val="18"/>
                <w:szCs w:val="18"/>
              </w:rPr>
              <w:t>(zdroj EÚ) </w:t>
            </w:r>
          </w:p>
          <w:p w:rsidR="00214ECF" w:rsidRPr="00E80325" w:rsidRDefault="00214ECF" w:rsidP="004D6F10">
            <w:pPr>
              <w:jc w:val="center"/>
              <w:rPr>
                <w:rFonts w:ascii="Arial" w:hAnsi="Arial" w:cs="Arial"/>
                <w:b/>
                <w:bCs/>
                <w:sz w:val="18"/>
                <w:szCs w:val="18"/>
              </w:rPr>
            </w:pPr>
            <w:r w:rsidRPr="00E80325">
              <w:rPr>
                <w:rFonts w:ascii="Arial" w:hAnsi="Arial" w:cs="Arial"/>
                <w:b/>
                <w:bCs/>
                <w:sz w:val="18"/>
                <w:szCs w:val="18"/>
              </w:rPr>
              <w:t>v €</w:t>
            </w:r>
          </w:p>
        </w:tc>
        <w:tc>
          <w:tcPr>
            <w:tcW w:w="1417" w:type="dxa"/>
            <w:shd w:val="clear" w:color="auto" w:fill="D6E3BC"/>
            <w:vAlign w:val="center"/>
          </w:tcPr>
          <w:p w:rsidR="00214ECF" w:rsidRPr="00E80325" w:rsidRDefault="00214ECF" w:rsidP="004D6F10">
            <w:pPr>
              <w:jc w:val="center"/>
              <w:rPr>
                <w:rFonts w:ascii="Arial" w:hAnsi="Arial" w:cs="Arial"/>
                <w:b/>
                <w:bCs/>
                <w:sz w:val="18"/>
                <w:szCs w:val="18"/>
              </w:rPr>
            </w:pPr>
            <w:r w:rsidRPr="00E80325">
              <w:rPr>
                <w:rFonts w:ascii="Arial" w:hAnsi="Arial" w:cs="Arial"/>
                <w:b/>
                <w:bCs/>
                <w:sz w:val="18"/>
                <w:szCs w:val="18"/>
              </w:rPr>
              <w:t>Zazmluvnené</w:t>
            </w:r>
          </w:p>
          <w:p w:rsidR="00214ECF" w:rsidRPr="00E80325" w:rsidRDefault="00214ECF" w:rsidP="004D6F10">
            <w:pPr>
              <w:jc w:val="center"/>
              <w:rPr>
                <w:rFonts w:ascii="Arial" w:hAnsi="Arial" w:cs="Arial"/>
                <w:b/>
                <w:bCs/>
                <w:sz w:val="18"/>
                <w:szCs w:val="18"/>
              </w:rPr>
            </w:pPr>
            <w:r w:rsidRPr="00E80325">
              <w:rPr>
                <w:rFonts w:ascii="Arial" w:hAnsi="Arial" w:cs="Arial"/>
                <w:b/>
                <w:bCs/>
                <w:sz w:val="18"/>
                <w:szCs w:val="18"/>
              </w:rPr>
              <w:t>(zdroj ŠR)</w:t>
            </w:r>
          </w:p>
          <w:p w:rsidR="00214ECF" w:rsidRPr="00E80325" w:rsidRDefault="00214ECF" w:rsidP="004D6F10">
            <w:pPr>
              <w:jc w:val="center"/>
              <w:rPr>
                <w:rFonts w:ascii="Arial" w:hAnsi="Arial" w:cs="Arial"/>
                <w:b/>
                <w:bCs/>
                <w:sz w:val="18"/>
                <w:szCs w:val="18"/>
              </w:rPr>
            </w:pPr>
            <w:r w:rsidRPr="00E80325">
              <w:rPr>
                <w:rFonts w:ascii="Arial" w:hAnsi="Arial" w:cs="Arial"/>
                <w:b/>
                <w:bCs/>
                <w:sz w:val="18"/>
                <w:szCs w:val="18"/>
              </w:rPr>
              <w:t>v €</w:t>
            </w:r>
          </w:p>
        </w:tc>
        <w:tc>
          <w:tcPr>
            <w:tcW w:w="1418" w:type="dxa"/>
            <w:shd w:val="clear" w:color="auto" w:fill="D6E3BC"/>
            <w:vAlign w:val="center"/>
          </w:tcPr>
          <w:p w:rsidR="00214ECF" w:rsidRPr="00E80325" w:rsidRDefault="00214ECF" w:rsidP="004D6F10">
            <w:pPr>
              <w:jc w:val="center"/>
              <w:rPr>
                <w:rFonts w:ascii="Arial" w:hAnsi="Arial" w:cs="Arial"/>
                <w:b/>
                <w:bCs/>
                <w:sz w:val="18"/>
                <w:szCs w:val="18"/>
              </w:rPr>
            </w:pPr>
            <w:r w:rsidRPr="00E80325">
              <w:rPr>
                <w:rFonts w:ascii="Arial" w:hAnsi="Arial" w:cs="Arial"/>
                <w:b/>
                <w:bCs/>
                <w:sz w:val="18"/>
                <w:szCs w:val="18"/>
              </w:rPr>
              <w:t>Zazmluvnené</w:t>
            </w:r>
          </w:p>
          <w:p w:rsidR="00214ECF" w:rsidRPr="00E80325" w:rsidRDefault="00214ECF" w:rsidP="004D6F10">
            <w:pPr>
              <w:jc w:val="center"/>
              <w:rPr>
                <w:rFonts w:ascii="Arial" w:hAnsi="Arial" w:cs="Arial"/>
                <w:b/>
                <w:bCs/>
                <w:sz w:val="18"/>
                <w:szCs w:val="18"/>
              </w:rPr>
            </w:pPr>
            <w:r w:rsidRPr="00E80325">
              <w:rPr>
                <w:rFonts w:ascii="Arial" w:hAnsi="Arial" w:cs="Arial"/>
                <w:b/>
                <w:bCs/>
                <w:sz w:val="18"/>
                <w:szCs w:val="18"/>
              </w:rPr>
              <w:t>(EÚ + ŠR)</w:t>
            </w:r>
          </w:p>
          <w:p w:rsidR="00214ECF" w:rsidRPr="00E80325" w:rsidRDefault="00214ECF" w:rsidP="004D6F10">
            <w:pPr>
              <w:jc w:val="center"/>
              <w:rPr>
                <w:rFonts w:ascii="Arial" w:hAnsi="Arial" w:cs="Arial"/>
                <w:b/>
                <w:bCs/>
                <w:sz w:val="18"/>
                <w:szCs w:val="18"/>
              </w:rPr>
            </w:pPr>
            <w:r w:rsidRPr="00E80325">
              <w:rPr>
                <w:rFonts w:ascii="Arial" w:hAnsi="Arial" w:cs="Arial"/>
                <w:b/>
                <w:bCs/>
                <w:sz w:val="18"/>
                <w:szCs w:val="18"/>
              </w:rPr>
              <w:t>v €</w:t>
            </w:r>
          </w:p>
        </w:tc>
      </w:tr>
      <w:tr w:rsidR="00214ECF" w:rsidRPr="00E80325" w:rsidTr="006A551B">
        <w:trPr>
          <w:trHeight w:val="20"/>
        </w:trPr>
        <w:tc>
          <w:tcPr>
            <w:tcW w:w="2269" w:type="dxa"/>
            <w:shd w:val="clear" w:color="auto" w:fill="EAF1DD"/>
            <w:noWrap/>
            <w:vAlign w:val="center"/>
          </w:tcPr>
          <w:p w:rsidR="00214ECF" w:rsidRPr="00E80325" w:rsidRDefault="00214ECF" w:rsidP="004D6F10">
            <w:pPr>
              <w:rPr>
                <w:rFonts w:ascii="Arial" w:hAnsi="Arial" w:cs="Arial"/>
                <w:sz w:val="18"/>
                <w:szCs w:val="18"/>
              </w:rPr>
            </w:pPr>
            <w:r w:rsidRPr="00E80325">
              <w:rPr>
                <w:rFonts w:ascii="Arial" w:hAnsi="Arial" w:cs="Arial"/>
                <w:sz w:val="18"/>
                <w:szCs w:val="18"/>
              </w:rPr>
              <w:t>Kanalizácia Podunajské Biskupice, 1. Etapa</w:t>
            </w:r>
          </w:p>
        </w:tc>
        <w:tc>
          <w:tcPr>
            <w:tcW w:w="2126" w:type="dxa"/>
            <w:vAlign w:val="center"/>
          </w:tcPr>
          <w:p w:rsidR="00214ECF" w:rsidRPr="00E80325" w:rsidRDefault="00214ECF" w:rsidP="004D6F10">
            <w:pPr>
              <w:rPr>
                <w:rFonts w:ascii="Arial" w:hAnsi="Arial" w:cs="Arial"/>
                <w:sz w:val="18"/>
                <w:szCs w:val="18"/>
              </w:rPr>
            </w:pPr>
            <w:r w:rsidRPr="00E80325">
              <w:rPr>
                <w:rFonts w:ascii="Arial" w:hAnsi="Arial" w:cs="Arial"/>
                <w:sz w:val="18"/>
                <w:szCs w:val="18"/>
              </w:rPr>
              <w:t>Mestská časť Bratislava – Podunajské Biskupice</w:t>
            </w:r>
          </w:p>
        </w:tc>
        <w:tc>
          <w:tcPr>
            <w:tcW w:w="1276" w:type="dxa"/>
            <w:vAlign w:val="center"/>
          </w:tcPr>
          <w:p w:rsidR="00214ECF" w:rsidRPr="00E80325" w:rsidRDefault="00214ECF" w:rsidP="004D6F10">
            <w:pPr>
              <w:jc w:val="center"/>
              <w:rPr>
                <w:rFonts w:ascii="Arial" w:hAnsi="Arial" w:cs="Arial"/>
                <w:sz w:val="18"/>
                <w:szCs w:val="18"/>
              </w:rPr>
            </w:pPr>
            <w:r>
              <w:rPr>
                <w:rFonts w:ascii="Arial" w:hAnsi="Arial" w:cs="Arial"/>
                <w:sz w:val="18"/>
                <w:szCs w:val="18"/>
              </w:rPr>
              <w:t>Riadne ukončený</w:t>
            </w:r>
          </w:p>
        </w:tc>
        <w:tc>
          <w:tcPr>
            <w:tcW w:w="1418" w:type="dxa"/>
            <w:vAlign w:val="center"/>
          </w:tcPr>
          <w:p w:rsidR="00214ECF" w:rsidRPr="00E80325" w:rsidRDefault="00214ECF" w:rsidP="004D6F10">
            <w:pPr>
              <w:jc w:val="center"/>
              <w:rPr>
                <w:rFonts w:ascii="Arial" w:hAnsi="Arial" w:cs="Arial"/>
                <w:sz w:val="18"/>
                <w:szCs w:val="18"/>
              </w:rPr>
            </w:pPr>
            <w:r w:rsidRPr="00E80325">
              <w:rPr>
                <w:rFonts w:ascii="Arial" w:hAnsi="Arial" w:cs="Arial"/>
                <w:sz w:val="18"/>
                <w:szCs w:val="18"/>
              </w:rPr>
              <w:t>2 983 017,37</w:t>
            </w:r>
          </w:p>
        </w:tc>
        <w:tc>
          <w:tcPr>
            <w:tcW w:w="1417" w:type="dxa"/>
            <w:vAlign w:val="center"/>
          </w:tcPr>
          <w:p w:rsidR="00214ECF" w:rsidRPr="00E80325" w:rsidRDefault="00214ECF" w:rsidP="004D6F10">
            <w:pPr>
              <w:jc w:val="center"/>
              <w:rPr>
                <w:rFonts w:ascii="Arial" w:hAnsi="Arial" w:cs="Arial"/>
                <w:sz w:val="18"/>
                <w:szCs w:val="18"/>
              </w:rPr>
            </w:pPr>
            <w:r w:rsidRPr="00E80325">
              <w:rPr>
                <w:rFonts w:ascii="Arial" w:hAnsi="Arial" w:cs="Arial"/>
                <w:sz w:val="18"/>
                <w:szCs w:val="18"/>
              </w:rPr>
              <w:t>350 943,22</w:t>
            </w:r>
          </w:p>
        </w:tc>
        <w:tc>
          <w:tcPr>
            <w:tcW w:w="1418" w:type="dxa"/>
            <w:vAlign w:val="center"/>
          </w:tcPr>
          <w:p w:rsidR="00214ECF" w:rsidRPr="00E80325" w:rsidRDefault="00214ECF" w:rsidP="004D6F10">
            <w:pPr>
              <w:jc w:val="center"/>
              <w:rPr>
                <w:rFonts w:ascii="Arial" w:hAnsi="Arial" w:cs="Arial"/>
                <w:sz w:val="18"/>
                <w:szCs w:val="18"/>
              </w:rPr>
            </w:pPr>
            <w:r w:rsidRPr="00E80325">
              <w:rPr>
                <w:rFonts w:ascii="Arial" w:hAnsi="Arial" w:cs="Arial"/>
                <w:sz w:val="18"/>
                <w:szCs w:val="18"/>
              </w:rPr>
              <w:t>3 333 960,59</w:t>
            </w:r>
          </w:p>
        </w:tc>
      </w:tr>
      <w:tr w:rsidR="00214ECF" w:rsidRPr="00E80325" w:rsidTr="006A551B">
        <w:trPr>
          <w:trHeight w:val="20"/>
        </w:trPr>
        <w:tc>
          <w:tcPr>
            <w:tcW w:w="2269" w:type="dxa"/>
            <w:shd w:val="clear" w:color="auto" w:fill="EAF1DD"/>
            <w:noWrap/>
            <w:vAlign w:val="center"/>
          </w:tcPr>
          <w:p w:rsidR="00214ECF" w:rsidRPr="00E80325" w:rsidRDefault="00214ECF" w:rsidP="004D6F10">
            <w:pPr>
              <w:rPr>
                <w:rFonts w:ascii="Arial" w:hAnsi="Arial" w:cs="Arial"/>
                <w:sz w:val="18"/>
                <w:szCs w:val="18"/>
              </w:rPr>
            </w:pPr>
            <w:r w:rsidRPr="00E80325">
              <w:rPr>
                <w:rFonts w:ascii="Arial" w:hAnsi="Arial" w:cs="Arial"/>
                <w:sz w:val="18"/>
                <w:szCs w:val="18"/>
              </w:rPr>
              <w:t>Nitra – dobudovanie kanalizačnej siete</w:t>
            </w:r>
          </w:p>
        </w:tc>
        <w:tc>
          <w:tcPr>
            <w:tcW w:w="2126" w:type="dxa"/>
            <w:vAlign w:val="center"/>
          </w:tcPr>
          <w:p w:rsidR="00214ECF" w:rsidRPr="00E80325" w:rsidRDefault="00214ECF" w:rsidP="004D6F10">
            <w:pPr>
              <w:rPr>
                <w:rFonts w:ascii="Arial" w:hAnsi="Arial" w:cs="Arial"/>
                <w:sz w:val="18"/>
                <w:szCs w:val="18"/>
              </w:rPr>
            </w:pPr>
            <w:r w:rsidRPr="00E80325">
              <w:rPr>
                <w:rFonts w:ascii="Arial" w:hAnsi="Arial" w:cs="Arial"/>
                <w:sz w:val="18"/>
                <w:szCs w:val="18"/>
              </w:rPr>
              <w:t>Západoslovenská vodárenská spoločnosť, a.s.</w:t>
            </w:r>
          </w:p>
        </w:tc>
        <w:tc>
          <w:tcPr>
            <w:tcW w:w="1276" w:type="dxa"/>
            <w:vAlign w:val="center"/>
          </w:tcPr>
          <w:p w:rsidR="00214ECF" w:rsidRPr="00E80325" w:rsidRDefault="00214ECF" w:rsidP="004D6F10">
            <w:pPr>
              <w:jc w:val="center"/>
              <w:rPr>
                <w:rFonts w:ascii="Arial" w:hAnsi="Arial" w:cs="Arial"/>
                <w:sz w:val="18"/>
                <w:szCs w:val="18"/>
              </w:rPr>
            </w:pPr>
            <w:r w:rsidRPr="00E80325">
              <w:rPr>
                <w:rFonts w:ascii="Arial" w:hAnsi="Arial" w:cs="Arial"/>
                <w:sz w:val="18"/>
                <w:szCs w:val="18"/>
              </w:rPr>
              <w:t>V realizácii</w:t>
            </w:r>
          </w:p>
        </w:tc>
        <w:tc>
          <w:tcPr>
            <w:tcW w:w="1418" w:type="dxa"/>
            <w:vAlign w:val="center"/>
          </w:tcPr>
          <w:p w:rsidR="00214ECF" w:rsidRPr="00E80325" w:rsidRDefault="00214ECF" w:rsidP="004D6F10">
            <w:pPr>
              <w:jc w:val="center"/>
              <w:rPr>
                <w:rFonts w:ascii="Arial" w:hAnsi="Arial" w:cs="Arial"/>
                <w:sz w:val="18"/>
                <w:szCs w:val="18"/>
              </w:rPr>
            </w:pPr>
            <w:r w:rsidRPr="00E80325">
              <w:rPr>
                <w:rFonts w:ascii="Arial" w:hAnsi="Arial" w:cs="Arial"/>
                <w:sz w:val="18"/>
                <w:szCs w:val="18"/>
              </w:rPr>
              <w:t>9 292 474,24</w:t>
            </w:r>
          </w:p>
        </w:tc>
        <w:tc>
          <w:tcPr>
            <w:tcW w:w="1417" w:type="dxa"/>
            <w:vAlign w:val="center"/>
          </w:tcPr>
          <w:p w:rsidR="00214ECF" w:rsidRPr="00E80325" w:rsidRDefault="00214ECF" w:rsidP="004D6F10">
            <w:pPr>
              <w:jc w:val="center"/>
              <w:rPr>
                <w:rFonts w:ascii="Arial" w:hAnsi="Arial" w:cs="Arial"/>
                <w:sz w:val="18"/>
                <w:szCs w:val="18"/>
              </w:rPr>
            </w:pPr>
            <w:r w:rsidRPr="00E80325">
              <w:rPr>
                <w:rFonts w:ascii="Arial" w:hAnsi="Arial" w:cs="Arial"/>
                <w:sz w:val="18"/>
                <w:szCs w:val="18"/>
              </w:rPr>
              <w:t>1 639 848,4</w:t>
            </w:r>
          </w:p>
        </w:tc>
        <w:tc>
          <w:tcPr>
            <w:tcW w:w="1418" w:type="dxa"/>
            <w:vAlign w:val="center"/>
          </w:tcPr>
          <w:p w:rsidR="00214ECF" w:rsidRPr="00E80325" w:rsidRDefault="00214ECF" w:rsidP="004D6F10">
            <w:pPr>
              <w:jc w:val="center"/>
              <w:rPr>
                <w:rFonts w:ascii="Arial" w:hAnsi="Arial" w:cs="Arial"/>
                <w:sz w:val="18"/>
                <w:szCs w:val="18"/>
              </w:rPr>
            </w:pPr>
            <w:r w:rsidRPr="00E80325">
              <w:rPr>
                <w:rFonts w:ascii="Arial" w:hAnsi="Arial" w:cs="Arial"/>
                <w:sz w:val="18"/>
                <w:szCs w:val="18"/>
              </w:rPr>
              <w:t>10 932 322,64</w:t>
            </w:r>
          </w:p>
        </w:tc>
      </w:tr>
      <w:tr w:rsidR="00214ECF" w:rsidRPr="00E80325" w:rsidTr="006A551B">
        <w:trPr>
          <w:trHeight w:val="20"/>
        </w:trPr>
        <w:tc>
          <w:tcPr>
            <w:tcW w:w="2269" w:type="dxa"/>
            <w:shd w:val="clear" w:color="auto" w:fill="EAF1DD"/>
            <w:noWrap/>
            <w:vAlign w:val="center"/>
          </w:tcPr>
          <w:p w:rsidR="00214ECF" w:rsidRPr="00E80325" w:rsidRDefault="00214ECF" w:rsidP="004D6F10">
            <w:pPr>
              <w:rPr>
                <w:rFonts w:ascii="Arial" w:hAnsi="Arial" w:cs="Arial"/>
                <w:sz w:val="18"/>
                <w:szCs w:val="18"/>
              </w:rPr>
            </w:pPr>
            <w:r w:rsidRPr="00E80325">
              <w:rPr>
                <w:rFonts w:ascii="Arial" w:hAnsi="Arial" w:cs="Arial"/>
                <w:sz w:val="18"/>
                <w:szCs w:val="18"/>
              </w:rPr>
              <w:t>Kanalizácia Mestskej časti Košice – Krásna, II. etapa</w:t>
            </w:r>
          </w:p>
        </w:tc>
        <w:tc>
          <w:tcPr>
            <w:tcW w:w="2126" w:type="dxa"/>
            <w:vAlign w:val="center"/>
          </w:tcPr>
          <w:p w:rsidR="00214ECF" w:rsidRPr="00E80325" w:rsidRDefault="00214ECF" w:rsidP="004D6F10">
            <w:pPr>
              <w:rPr>
                <w:rFonts w:ascii="Arial" w:hAnsi="Arial" w:cs="Arial"/>
                <w:sz w:val="18"/>
                <w:szCs w:val="18"/>
              </w:rPr>
            </w:pPr>
            <w:r w:rsidRPr="00E80325">
              <w:rPr>
                <w:rFonts w:ascii="Arial" w:hAnsi="Arial" w:cs="Arial"/>
                <w:sz w:val="18"/>
                <w:szCs w:val="18"/>
              </w:rPr>
              <w:t>Mestská časť Košice - Krásna</w:t>
            </w:r>
          </w:p>
        </w:tc>
        <w:tc>
          <w:tcPr>
            <w:tcW w:w="1276" w:type="dxa"/>
            <w:vAlign w:val="center"/>
          </w:tcPr>
          <w:p w:rsidR="00214ECF" w:rsidRPr="00E80325" w:rsidRDefault="00214ECF" w:rsidP="004D6F10">
            <w:pPr>
              <w:jc w:val="center"/>
              <w:rPr>
                <w:rFonts w:ascii="Arial" w:hAnsi="Arial" w:cs="Arial"/>
                <w:sz w:val="18"/>
                <w:szCs w:val="18"/>
              </w:rPr>
            </w:pPr>
            <w:r>
              <w:rPr>
                <w:rFonts w:ascii="Arial" w:hAnsi="Arial" w:cs="Arial"/>
                <w:sz w:val="18"/>
                <w:szCs w:val="18"/>
              </w:rPr>
              <w:t>Riadne ukončený</w:t>
            </w:r>
          </w:p>
        </w:tc>
        <w:tc>
          <w:tcPr>
            <w:tcW w:w="1418" w:type="dxa"/>
            <w:vAlign w:val="center"/>
          </w:tcPr>
          <w:p w:rsidR="00214ECF" w:rsidRPr="00E80325" w:rsidRDefault="00214ECF" w:rsidP="004D6F10">
            <w:pPr>
              <w:jc w:val="center"/>
              <w:rPr>
                <w:rFonts w:ascii="Arial" w:hAnsi="Arial" w:cs="Arial"/>
                <w:sz w:val="18"/>
                <w:szCs w:val="18"/>
              </w:rPr>
            </w:pPr>
            <w:r w:rsidRPr="00E80325">
              <w:rPr>
                <w:rFonts w:ascii="Arial" w:hAnsi="Arial" w:cs="Arial"/>
                <w:sz w:val="18"/>
                <w:szCs w:val="18"/>
              </w:rPr>
              <w:t>916 482,65</w:t>
            </w:r>
          </w:p>
        </w:tc>
        <w:tc>
          <w:tcPr>
            <w:tcW w:w="1417" w:type="dxa"/>
            <w:vAlign w:val="center"/>
          </w:tcPr>
          <w:p w:rsidR="00214ECF" w:rsidRPr="00E80325" w:rsidRDefault="00214ECF" w:rsidP="004D6F10">
            <w:pPr>
              <w:jc w:val="center"/>
              <w:rPr>
                <w:rFonts w:ascii="Arial" w:hAnsi="Arial" w:cs="Arial"/>
                <w:sz w:val="18"/>
                <w:szCs w:val="18"/>
              </w:rPr>
            </w:pPr>
            <w:r w:rsidRPr="00E80325">
              <w:rPr>
                <w:rFonts w:ascii="Arial" w:hAnsi="Arial" w:cs="Arial"/>
                <w:sz w:val="18"/>
                <w:szCs w:val="18"/>
              </w:rPr>
              <w:t>107 821,49</w:t>
            </w:r>
          </w:p>
        </w:tc>
        <w:tc>
          <w:tcPr>
            <w:tcW w:w="1418" w:type="dxa"/>
            <w:vAlign w:val="center"/>
          </w:tcPr>
          <w:p w:rsidR="00214ECF" w:rsidRPr="00E80325" w:rsidRDefault="00214ECF" w:rsidP="004D6F10">
            <w:pPr>
              <w:jc w:val="center"/>
              <w:rPr>
                <w:rFonts w:ascii="Arial" w:hAnsi="Arial" w:cs="Arial"/>
                <w:sz w:val="18"/>
                <w:szCs w:val="18"/>
              </w:rPr>
            </w:pPr>
            <w:r w:rsidRPr="00E80325">
              <w:rPr>
                <w:rFonts w:ascii="Arial" w:hAnsi="Arial" w:cs="Arial"/>
                <w:sz w:val="18"/>
                <w:szCs w:val="18"/>
              </w:rPr>
              <w:t>1 024 304,14</w:t>
            </w:r>
          </w:p>
        </w:tc>
      </w:tr>
      <w:tr w:rsidR="00214ECF" w:rsidRPr="00E80325" w:rsidTr="006A551B">
        <w:trPr>
          <w:trHeight w:val="20"/>
        </w:trPr>
        <w:tc>
          <w:tcPr>
            <w:tcW w:w="2269" w:type="dxa"/>
            <w:shd w:val="clear" w:color="auto" w:fill="EAF1DD"/>
            <w:noWrap/>
            <w:vAlign w:val="center"/>
          </w:tcPr>
          <w:p w:rsidR="00214ECF" w:rsidRPr="00E80325" w:rsidRDefault="00214ECF" w:rsidP="004D6F10">
            <w:pPr>
              <w:rPr>
                <w:rFonts w:ascii="Arial" w:hAnsi="Arial" w:cs="Arial"/>
                <w:sz w:val="18"/>
                <w:szCs w:val="18"/>
              </w:rPr>
            </w:pPr>
            <w:r w:rsidRPr="00E80325">
              <w:rPr>
                <w:rFonts w:ascii="Arial" w:hAnsi="Arial" w:cs="Arial"/>
                <w:sz w:val="18"/>
                <w:szCs w:val="18"/>
              </w:rPr>
              <w:t>SČOV Žilina - intenzifikácia</w:t>
            </w:r>
          </w:p>
        </w:tc>
        <w:tc>
          <w:tcPr>
            <w:tcW w:w="2126" w:type="dxa"/>
            <w:vAlign w:val="center"/>
          </w:tcPr>
          <w:p w:rsidR="00214ECF" w:rsidRPr="00E80325" w:rsidRDefault="00214ECF" w:rsidP="004D6F10">
            <w:pPr>
              <w:rPr>
                <w:rFonts w:ascii="Arial" w:hAnsi="Arial" w:cs="Arial"/>
                <w:sz w:val="18"/>
                <w:szCs w:val="18"/>
              </w:rPr>
            </w:pPr>
            <w:r w:rsidRPr="00E80325">
              <w:rPr>
                <w:rFonts w:ascii="Arial" w:hAnsi="Arial" w:cs="Arial"/>
                <w:sz w:val="18"/>
                <w:szCs w:val="18"/>
              </w:rPr>
              <w:t>Severoslovenské vodárne a kanalizácie, a.s.</w:t>
            </w:r>
          </w:p>
        </w:tc>
        <w:tc>
          <w:tcPr>
            <w:tcW w:w="1276" w:type="dxa"/>
            <w:vAlign w:val="center"/>
          </w:tcPr>
          <w:p w:rsidR="00214ECF" w:rsidRPr="00E80325" w:rsidRDefault="00214ECF" w:rsidP="004D6F10">
            <w:pPr>
              <w:jc w:val="center"/>
              <w:rPr>
                <w:rFonts w:ascii="Arial" w:hAnsi="Arial" w:cs="Arial"/>
                <w:sz w:val="18"/>
                <w:szCs w:val="18"/>
              </w:rPr>
            </w:pPr>
            <w:r w:rsidRPr="00E80325">
              <w:rPr>
                <w:rFonts w:ascii="Arial" w:hAnsi="Arial" w:cs="Arial"/>
                <w:sz w:val="18"/>
                <w:szCs w:val="18"/>
              </w:rPr>
              <w:t>V realizácii</w:t>
            </w:r>
          </w:p>
        </w:tc>
        <w:tc>
          <w:tcPr>
            <w:tcW w:w="1418" w:type="dxa"/>
            <w:vAlign w:val="center"/>
          </w:tcPr>
          <w:p w:rsidR="00214ECF" w:rsidRPr="00E80325" w:rsidRDefault="00214ECF" w:rsidP="004D6F10">
            <w:pPr>
              <w:jc w:val="center"/>
              <w:rPr>
                <w:rFonts w:ascii="Arial" w:hAnsi="Arial" w:cs="Arial"/>
                <w:sz w:val="18"/>
                <w:szCs w:val="18"/>
              </w:rPr>
            </w:pPr>
            <w:r w:rsidRPr="00E80325">
              <w:rPr>
                <w:rFonts w:ascii="Arial" w:hAnsi="Arial" w:cs="Arial"/>
                <w:sz w:val="18"/>
                <w:szCs w:val="18"/>
              </w:rPr>
              <w:t>12 233 316,21</w:t>
            </w:r>
          </w:p>
        </w:tc>
        <w:tc>
          <w:tcPr>
            <w:tcW w:w="1417" w:type="dxa"/>
            <w:vAlign w:val="center"/>
          </w:tcPr>
          <w:p w:rsidR="00214ECF" w:rsidRPr="00E80325" w:rsidRDefault="00214ECF" w:rsidP="004D6F10">
            <w:pPr>
              <w:jc w:val="center"/>
              <w:rPr>
                <w:rFonts w:ascii="Arial" w:hAnsi="Arial" w:cs="Arial"/>
                <w:sz w:val="18"/>
                <w:szCs w:val="18"/>
              </w:rPr>
            </w:pPr>
            <w:r w:rsidRPr="00E80325">
              <w:rPr>
                <w:rFonts w:ascii="Arial" w:hAnsi="Arial" w:cs="Arial"/>
                <w:sz w:val="18"/>
                <w:szCs w:val="18"/>
              </w:rPr>
              <w:t>2 158 820,51</w:t>
            </w:r>
          </w:p>
        </w:tc>
        <w:tc>
          <w:tcPr>
            <w:tcW w:w="1418" w:type="dxa"/>
            <w:vAlign w:val="center"/>
          </w:tcPr>
          <w:p w:rsidR="00214ECF" w:rsidRPr="00E80325" w:rsidRDefault="00214ECF" w:rsidP="004D6F10">
            <w:pPr>
              <w:jc w:val="center"/>
              <w:rPr>
                <w:rFonts w:ascii="Arial" w:hAnsi="Arial" w:cs="Arial"/>
                <w:sz w:val="18"/>
                <w:szCs w:val="18"/>
              </w:rPr>
            </w:pPr>
            <w:r w:rsidRPr="00E80325">
              <w:rPr>
                <w:rFonts w:ascii="Arial" w:hAnsi="Arial" w:cs="Arial"/>
                <w:sz w:val="18"/>
                <w:szCs w:val="18"/>
              </w:rPr>
              <w:t>14 392 136,72</w:t>
            </w:r>
          </w:p>
        </w:tc>
      </w:tr>
      <w:tr w:rsidR="00214ECF" w:rsidRPr="00E80325" w:rsidTr="006A551B">
        <w:trPr>
          <w:trHeight w:val="20"/>
        </w:trPr>
        <w:tc>
          <w:tcPr>
            <w:tcW w:w="2269" w:type="dxa"/>
            <w:shd w:val="clear" w:color="auto" w:fill="EAF1DD"/>
            <w:noWrap/>
            <w:vAlign w:val="center"/>
          </w:tcPr>
          <w:p w:rsidR="00214ECF" w:rsidRPr="00E80325" w:rsidRDefault="00214ECF" w:rsidP="004D6F10">
            <w:pPr>
              <w:rPr>
                <w:rFonts w:ascii="Arial" w:hAnsi="Arial" w:cs="Arial"/>
                <w:sz w:val="18"/>
                <w:szCs w:val="18"/>
              </w:rPr>
            </w:pPr>
            <w:r w:rsidRPr="00E80325">
              <w:rPr>
                <w:rFonts w:ascii="Arial" w:hAnsi="Arial" w:cs="Arial"/>
                <w:sz w:val="18"/>
                <w:szCs w:val="18"/>
              </w:rPr>
              <w:t>Výstavba kanalizácie Beňadiková, Liptovský Mikuláš</w:t>
            </w:r>
          </w:p>
        </w:tc>
        <w:tc>
          <w:tcPr>
            <w:tcW w:w="2126" w:type="dxa"/>
            <w:vAlign w:val="center"/>
          </w:tcPr>
          <w:p w:rsidR="00214ECF" w:rsidRPr="00E80325" w:rsidRDefault="00214ECF" w:rsidP="004D6F10">
            <w:pPr>
              <w:rPr>
                <w:rFonts w:ascii="Arial" w:hAnsi="Arial" w:cs="Arial"/>
                <w:sz w:val="18"/>
                <w:szCs w:val="18"/>
              </w:rPr>
            </w:pPr>
            <w:r w:rsidRPr="00E80325">
              <w:rPr>
                <w:rFonts w:ascii="Arial" w:hAnsi="Arial" w:cs="Arial"/>
                <w:sz w:val="18"/>
                <w:szCs w:val="18"/>
              </w:rPr>
              <w:t>Liptovská vodárenská spoločnosť</w:t>
            </w:r>
          </w:p>
        </w:tc>
        <w:tc>
          <w:tcPr>
            <w:tcW w:w="1276" w:type="dxa"/>
            <w:vAlign w:val="center"/>
          </w:tcPr>
          <w:p w:rsidR="00214ECF" w:rsidRPr="00E80325" w:rsidRDefault="00214ECF" w:rsidP="004D6F10">
            <w:pPr>
              <w:jc w:val="center"/>
              <w:rPr>
                <w:rFonts w:ascii="Arial" w:hAnsi="Arial" w:cs="Arial"/>
                <w:sz w:val="18"/>
                <w:szCs w:val="18"/>
              </w:rPr>
            </w:pPr>
            <w:r w:rsidRPr="00E80325">
              <w:rPr>
                <w:rFonts w:ascii="Arial" w:hAnsi="Arial" w:cs="Arial"/>
                <w:sz w:val="18"/>
                <w:szCs w:val="18"/>
              </w:rPr>
              <w:t>V realizácii</w:t>
            </w:r>
          </w:p>
        </w:tc>
        <w:tc>
          <w:tcPr>
            <w:tcW w:w="1418" w:type="dxa"/>
            <w:vAlign w:val="center"/>
          </w:tcPr>
          <w:p w:rsidR="00214ECF" w:rsidRPr="00E80325" w:rsidRDefault="00214ECF" w:rsidP="004D6F10">
            <w:pPr>
              <w:jc w:val="center"/>
              <w:rPr>
                <w:rFonts w:ascii="Arial" w:hAnsi="Arial" w:cs="Arial"/>
                <w:sz w:val="18"/>
                <w:szCs w:val="18"/>
              </w:rPr>
            </w:pPr>
            <w:r w:rsidRPr="00E80325">
              <w:rPr>
                <w:rFonts w:ascii="Arial" w:hAnsi="Arial" w:cs="Arial"/>
                <w:sz w:val="18"/>
                <w:szCs w:val="18"/>
              </w:rPr>
              <w:t>3 983 332,68</w:t>
            </w:r>
          </w:p>
        </w:tc>
        <w:tc>
          <w:tcPr>
            <w:tcW w:w="1417" w:type="dxa"/>
            <w:vAlign w:val="center"/>
          </w:tcPr>
          <w:p w:rsidR="00214ECF" w:rsidRPr="00E80325" w:rsidRDefault="00214ECF" w:rsidP="004D6F10">
            <w:pPr>
              <w:jc w:val="center"/>
              <w:rPr>
                <w:rFonts w:ascii="Arial" w:hAnsi="Arial" w:cs="Arial"/>
                <w:sz w:val="18"/>
                <w:szCs w:val="18"/>
              </w:rPr>
            </w:pPr>
            <w:r w:rsidRPr="00E80325">
              <w:rPr>
                <w:rFonts w:ascii="Arial" w:hAnsi="Arial" w:cs="Arial"/>
                <w:sz w:val="18"/>
                <w:szCs w:val="18"/>
              </w:rPr>
              <w:t>702 941,06</w:t>
            </w:r>
          </w:p>
        </w:tc>
        <w:tc>
          <w:tcPr>
            <w:tcW w:w="1418" w:type="dxa"/>
            <w:vAlign w:val="center"/>
          </w:tcPr>
          <w:p w:rsidR="00214ECF" w:rsidRPr="00E80325" w:rsidRDefault="00214ECF" w:rsidP="004D6F10">
            <w:pPr>
              <w:jc w:val="center"/>
              <w:rPr>
                <w:rFonts w:ascii="Arial" w:hAnsi="Arial" w:cs="Arial"/>
                <w:sz w:val="18"/>
                <w:szCs w:val="18"/>
              </w:rPr>
            </w:pPr>
            <w:r w:rsidRPr="00E80325">
              <w:rPr>
                <w:rFonts w:ascii="Arial" w:hAnsi="Arial" w:cs="Arial"/>
                <w:sz w:val="18"/>
                <w:szCs w:val="18"/>
              </w:rPr>
              <w:t>4 686 273,74</w:t>
            </w:r>
          </w:p>
        </w:tc>
      </w:tr>
    </w:tbl>
    <w:p w:rsidR="00214ECF" w:rsidRPr="00E80325" w:rsidRDefault="00214ECF" w:rsidP="004D6F10">
      <w:pPr>
        <w:spacing w:line="360" w:lineRule="auto"/>
        <w:jc w:val="both"/>
        <w:rPr>
          <w:rFonts w:ascii="Arial" w:hAnsi="Arial" w:cs="Arial"/>
          <w:sz w:val="18"/>
          <w:szCs w:val="18"/>
        </w:rPr>
      </w:pPr>
      <w:r w:rsidRPr="00E80325">
        <w:rPr>
          <w:rFonts w:ascii="Arial" w:hAnsi="Arial" w:cs="Arial"/>
          <w:sz w:val="18"/>
          <w:szCs w:val="18"/>
        </w:rPr>
        <w:t>Zdroj: RO</w:t>
      </w:r>
    </w:p>
    <w:p w:rsidR="00214ECF" w:rsidRPr="00E80325" w:rsidRDefault="00214ECF" w:rsidP="00507035">
      <w:pPr>
        <w:spacing w:before="120" w:after="120" w:line="360" w:lineRule="auto"/>
        <w:jc w:val="both"/>
        <w:rPr>
          <w:rFonts w:ascii="Arial" w:hAnsi="Arial" w:cs="Arial"/>
          <w:sz w:val="20"/>
          <w:szCs w:val="20"/>
        </w:rPr>
      </w:pPr>
      <w:r w:rsidRPr="00E80325">
        <w:rPr>
          <w:rFonts w:ascii="Arial" w:hAnsi="Arial" w:cs="Arial"/>
          <w:i/>
          <w:sz w:val="20"/>
          <w:szCs w:val="20"/>
        </w:rPr>
        <w:t>-  operačný cieľ 1.1 Zásobovanie obyvateľstva pitnou vodou z verejných vodovodov</w:t>
      </w:r>
      <w:r w:rsidRPr="00E80325">
        <w:rPr>
          <w:rFonts w:ascii="Arial" w:hAnsi="Arial" w:cs="Arial"/>
          <w:sz w:val="20"/>
          <w:szCs w:val="20"/>
        </w:rPr>
        <w:t xml:space="preserve"> – vo vzťahu k prioritám Dunajskej stratégie má iba doplnkový význam, keďže vo viacerých prípadoch súbežne s výstavbou verejnej kanalizácie prebieha aj výstavba verejného vodovodu; </w:t>
      </w:r>
    </w:p>
    <w:p w:rsidR="00214ECF" w:rsidRPr="00E80325" w:rsidRDefault="00214ECF" w:rsidP="00507035">
      <w:pPr>
        <w:spacing w:before="120" w:after="120" w:line="360" w:lineRule="auto"/>
        <w:jc w:val="both"/>
        <w:rPr>
          <w:rFonts w:ascii="Arial" w:hAnsi="Arial" w:cs="Arial"/>
          <w:i/>
          <w:sz w:val="20"/>
          <w:szCs w:val="20"/>
        </w:rPr>
      </w:pPr>
      <w:r w:rsidRPr="00E80325">
        <w:rPr>
          <w:rFonts w:ascii="Arial" w:hAnsi="Arial" w:cs="Arial"/>
          <w:i/>
          <w:sz w:val="20"/>
          <w:szCs w:val="20"/>
        </w:rPr>
        <w:t>-  operačný cieľ 1.3</w:t>
      </w:r>
      <w:r w:rsidRPr="00E80325">
        <w:rPr>
          <w:rFonts w:ascii="Arial" w:hAnsi="Arial" w:cs="Arial"/>
          <w:sz w:val="20"/>
          <w:szCs w:val="20"/>
        </w:rPr>
        <w:t xml:space="preserve"> </w:t>
      </w:r>
      <w:r w:rsidRPr="00E80325">
        <w:rPr>
          <w:rFonts w:ascii="Arial" w:hAnsi="Arial" w:cs="Arial"/>
          <w:i/>
          <w:sz w:val="20"/>
          <w:szCs w:val="20"/>
        </w:rPr>
        <w:t xml:space="preserve">Zabezpečenie primeraného sledovania a hodnotenia stavu povrchových vôd a podzemných vôd </w:t>
      </w:r>
    </w:p>
    <w:p w:rsidR="00214ECF" w:rsidRPr="00E80325" w:rsidRDefault="00214ECF" w:rsidP="00507035">
      <w:pPr>
        <w:spacing w:before="120" w:after="120" w:line="360" w:lineRule="auto"/>
        <w:jc w:val="both"/>
        <w:rPr>
          <w:rFonts w:ascii="Arial" w:hAnsi="Arial" w:cs="Arial"/>
          <w:sz w:val="20"/>
          <w:szCs w:val="20"/>
        </w:rPr>
      </w:pPr>
      <w:r w:rsidRPr="00E80325">
        <w:rPr>
          <w:rFonts w:ascii="Arial" w:hAnsi="Arial" w:cs="Arial"/>
          <w:sz w:val="20"/>
          <w:szCs w:val="20"/>
        </w:rPr>
        <w:t>V súvislosti s prioritami Dunajskej stratégie má uvedený operačný cieľ dôležitý význam. Jeho hlavným zameraním je zabezpečenie plnenia povinností vyplývajúcich pre SR zo smernice 2000/60/ES Európskeho parlamentu a Rady z 23. októbra 2000, ktorou sa stanovuje rámec pôsobnosti pre opatrenia spoločenstva v oblasti vodného hospodárstva (rámcová smernica o vodách) v oblasti monitorovania. Monitorovanie stavu povrchovej vody a podzemnej vody sa realizuje na základe ročných programov monitorovania, v ktorých sa upresňujú monitorovacie miesta, rozsah a frekvencia sledovania ukazovateľov. O plnení programov monitorovania je SR povinná predkladať hlásenia Európskej komisii. Hodnoty zistené monitorovaním sú centrálne archivované a využívané pre hodnotenie stavu vôd, čo je základným predpokladom návrhu opatrení v plánoch manažmentu povodí.</w:t>
      </w:r>
    </w:p>
    <w:p w:rsidR="00214ECF" w:rsidRPr="00E80325" w:rsidRDefault="00214ECF" w:rsidP="004D6F10">
      <w:pPr>
        <w:spacing w:line="360" w:lineRule="auto"/>
        <w:jc w:val="both"/>
        <w:rPr>
          <w:rFonts w:ascii="Arial" w:hAnsi="Arial" w:cs="Arial"/>
          <w:sz w:val="20"/>
          <w:szCs w:val="20"/>
        </w:rPr>
      </w:pPr>
      <w:r w:rsidRPr="00E80325">
        <w:rPr>
          <w:rFonts w:ascii="Arial" w:hAnsi="Arial" w:cs="Arial"/>
          <w:sz w:val="20"/>
          <w:szCs w:val="20"/>
        </w:rPr>
        <w:t xml:space="preserve">Tab. č. </w:t>
      </w:r>
      <w:r w:rsidR="007B7519">
        <w:rPr>
          <w:rFonts w:ascii="Arial" w:hAnsi="Arial" w:cs="Arial"/>
          <w:sz w:val="20"/>
          <w:szCs w:val="20"/>
        </w:rPr>
        <w:t>26</w:t>
      </w:r>
      <w:r w:rsidRPr="00E80325">
        <w:rPr>
          <w:rFonts w:ascii="Arial" w:hAnsi="Arial" w:cs="Arial"/>
          <w:sz w:val="20"/>
          <w:szCs w:val="20"/>
        </w:rPr>
        <w:t>: Príklady projektov</w:t>
      </w:r>
    </w:p>
    <w:tbl>
      <w:tblPr>
        <w:tblW w:w="9215"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127"/>
        <w:gridCol w:w="1701"/>
        <w:gridCol w:w="1134"/>
        <w:gridCol w:w="1418"/>
        <w:gridCol w:w="1417"/>
        <w:gridCol w:w="1418"/>
      </w:tblGrid>
      <w:tr w:rsidR="00214ECF" w:rsidRPr="00E80325" w:rsidTr="006A551B">
        <w:trPr>
          <w:trHeight w:val="20"/>
        </w:trPr>
        <w:tc>
          <w:tcPr>
            <w:tcW w:w="2127" w:type="dxa"/>
            <w:shd w:val="clear" w:color="auto" w:fill="D6E3BC"/>
            <w:vAlign w:val="center"/>
          </w:tcPr>
          <w:p w:rsidR="00214ECF" w:rsidRPr="00E80325" w:rsidRDefault="00214ECF" w:rsidP="004D6F10">
            <w:pPr>
              <w:jc w:val="center"/>
              <w:rPr>
                <w:rFonts w:ascii="Arial" w:hAnsi="Arial" w:cs="Arial"/>
                <w:b/>
                <w:bCs/>
                <w:sz w:val="18"/>
                <w:szCs w:val="18"/>
              </w:rPr>
            </w:pPr>
            <w:r w:rsidRPr="00E80325">
              <w:rPr>
                <w:rFonts w:ascii="Arial" w:hAnsi="Arial" w:cs="Arial"/>
                <w:b/>
                <w:bCs/>
                <w:sz w:val="18"/>
                <w:szCs w:val="18"/>
              </w:rPr>
              <w:t>Názov projektu</w:t>
            </w:r>
          </w:p>
        </w:tc>
        <w:tc>
          <w:tcPr>
            <w:tcW w:w="1701" w:type="dxa"/>
            <w:shd w:val="clear" w:color="auto" w:fill="D6E3BC"/>
            <w:vAlign w:val="center"/>
          </w:tcPr>
          <w:p w:rsidR="00214ECF" w:rsidRPr="00E80325" w:rsidRDefault="00214ECF" w:rsidP="004D6F10">
            <w:pPr>
              <w:jc w:val="center"/>
              <w:rPr>
                <w:rFonts w:ascii="Arial" w:hAnsi="Arial" w:cs="Arial"/>
                <w:b/>
                <w:bCs/>
                <w:sz w:val="18"/>
                <w:szCs w:val="18"/>
              </w:rPr>
            </w:pPr>
            <w:r w:rsidRPr="00E80325">
              <w:rPr>
                <w:rFonts w:ascii="Arial" w:hAnsi="Arial" w:cs="Arial"/>
                <w:b/>
                <w:bCs/>
                <w:sz w:val="18"/>
                <w:szCs w:val="18"/>
              </w:rPr>
              <w:t>Prijímateľ</w:t>
            </w:r>
          </w:p>
        </w:tc>
        <w:tc>
          <w:tcPr>
            <w:tcW w:w="1134" w:type="dxa"/>
            <w:shd w:val="clear" w:color="auto" w:fill="D6E3BC"/>
            <w:vAlign w:val="center"/>
          </w:tcPr>
          <w:p w:rsidR="00214ECF" w:rsidRPr="00E80325" w:rsidRDefault="00214ECF" w:rsidP="004D6F10">
            <w:pPr>
              <w:jc w:val="center"/>
              <w:rPr>
                <w:rFonts w:ascii="Arial" w:hAnsi="Arial" w:cs="Arial"/>
                <w:b/>
                <w:bCs/>
                <w:sz w:val="18"/>
                <w:szCs w:val="18"/>
              </w:rPr>
            </w:pPr>
            <w:r w:rsidRPr="00E80325">
              <w:rPr>
                <w:rFonts w:ascii="Arial" w:hAnsi="Arial" w:cs="Arial"/>
                <w:b/>
                <w:bCs/>
                <w:sz w:val="18"/>
                <w:szCs w:val="18"/>
              </w:rPr>
              <w:t>Aktuálny stav</w:t>
            </w:r>
          </w:p>
        </w:tc>
        <w:tc>
          <w:tcPr>
            <w:tcW w:w="1418" w:type="dxa"/>
            <w:shd w:val="clear" w:color="auto" w:fill="D6E3BC"/>
            <w:vAlign w:val="center"/>
          </w:tcPr>
          <w:p w:rsidR="00214ECF" w:rsidRPr="00E80325" w:rsidRDefault="00214ECF" w:rsidP="004D6F10">
            <w:pPr>
              <w:jc w:val="center"/>
              <w:rPr>
                <w:rFonts w:ascii="Arial" w:hAnsi="Arial" w:cs="Arial"/>
                <w:b/>
                <w:bCs/>
                <w:sz w:val="18"/>
                <w:szCs w:val="18"/>
              </w:rPr>
            </w:pPr>
            <w:r w:rsidRPr="00E80325">
              <w:rPr>
                <w:rFonts w:ascii="Arial" w:hAnsi="Arial" w:cs="Arial"/>
                <w:b/>
                <w:bCs/>
                <w:sz w:val="18"/>
                <w:szCs w:val="18"/>
              </w:rPr>
              <w:t>Zazmluvnené (zdroj EÚ) v €</w:t>
            </w:r>
          </w:p>
        </w:tc>
        <w:tc>
          <w:tcPr>
            <w:tcW w:w="1417" w:type="dxa"/>
            <w:shd w:val="clear" w:color="auto" w:fill="D6E3BC"/>
            <w:vAlign w:val="center"/>
          </w:tcPr>
          <w:p w:rsidR="00214ECF" w:rsidRPr="00E80325" w:rsidRDefault="00214ECF" w:rsidP="004D6F10">
            <w:pPr>
              <w:jc w:val="center"/>
              <w:rPr>
                <w:rFonts w:ascii="Arial" w:hAnsi="Arial" w:cs="Arial"/>
                <w:b/>
                <w:bCs/>
                <w:sz w:val="18"/>
                <w:szCs w:val="18"/>
              </w:rPr>
            </w:pPr>
            <w:r w:rsidRPr="00E80325">
              <w:rPr>
                <w:rFonts w:ascii="Arial" w:hAnsi="Arial" w:cs="Arial"/>
                <w:b/>
                <w:bCs/>
                <w:sz w:val="18"/>
                <w:szCs w:val="18"/>
              </w:rPr>
              <w:t>Zazmluvnené (zdroj ŠR) v €</w:t>
            </w:r>
          </w:p>
        </w:tc>
        <w:tc>
          <w:tcPr>
            <w:tcW w:w="1418" w:type="dxa"/>
            <w:shd w:val="clear" w:color="auto" w:fill="D6E3BC"/>
            <w:vAlign w:val="center"/>
          </w:tcPr>
          <w:p w:rsidR="00214ECF" w:rsidRPr="00E80325" w:rsidRDefault="00214ECF" w:rsidP="004D6F10">
            <w:pPr>
              <w:jc w:val="center"/>
              <w:rPr>
                <w:rFonts w:ascii="Arial" w:hAnsi="Arial" w:cs="Arial"/>
                <w:b/>
                <w:bCs/>
                <w:sz w:val="18"/>
                <w:szCs w:val="18"/>
              </w:rPr>
            </w:pPr>
            <w:r w:rsidRPr="00E80325">
              <w:rPr>
                <w:rFonts w:ascii="Arial" w:hAnsi="Arial" w:cs="Arial"/>
                <w:b/>
                <w:bCs/>
                <w:sz w:val="18"/>
                <w:szCs w:val="18"/>
              </w:rPr>
              <w:t>Zazmluvnené (EÚ + ŠR) v €</w:t>
            </w:r>
          </w:p>
        </w:tc>
      </w:tr>
      <w:tr w:rsidR="00214ECF" w:rsidRPr="00E80325" w:rsidTr="006A551B">
        <w:trPr>
          <w:trHeight w:val="20"/>
        </w:trPr>
        <w:tc>
          <w:tcPr>
            <w:tcW w:w="2127" w:type="dxa"/>
            <w:shd w:val="clear" w:color="auto" w:fill="EAF1DD"/>
            <w:noWrap/>
            <w:vAlign w:val="center"/>
          </w:tcPr>
          <w:p w:rsidR="00214ECF" w:rsidRPr="00E80325" w:rsidRDefault="00214ECF" w:rsidP="004D6F10">
            <w:pPr>
              <w:rPr>
                <w:rFonts w:ascii="Arial" w:hAnsi="Arial" w:cs="Arial"/>
                <w:sz w:val="18"/>
                <w:szCs w:val="18"/>
              </w:rPr>
            </w:pPr>
            <w:r w:rsidRPr="00E80325">
              <w:rPr>
                <w:rFonts w:ascii="Arial" w:hAnsi="Arial" w:cs="Arial"/>
                <w:sz w:val="18"/>
                <w:szCs w:val="18"/>
              </w:rPr>
              <w:t>Monitorovanie fyzikálno-chemických a biologických prvkov kvality povrch vôd</w:t>
            </w:r>
          </w:p>
        </w:tc>
        <w:tc>
          <w:tcPr>
            <w:tcW w:w="1701" w:type="dxa"/>
            <w:vAlign w:val="center"/>
          </w:tcPr>
          <w:p w:rsidR="00214ECF" w:rsidRPr="00E80325" w:rsidRDefault="00214ECF" w:rsidP="004D6F10">
            <w:pPr>
              <w:rPr>
                <w:rFonts w:ascii="Arial" w:hAnsi="Arial" w:cs="Arial"/>
                <w:sz w:val="18"/>
                <w:szCs w:val="18"/>
              </w:rPr>
            </w:pPr>
            <w:r w:rsidRPr="00E80325">
              <w:rPr>
                <w:rFonts w:ascii="Arial" w:hAnsi="Arial" w:cs="Arial"/>
                <w:sz w:val="18"/>
                <w:szCs w:val="18"/>
              </w:rPr>
              <w:t>Slovenský vodohospodársky podnik, š.p.</w:t>
            </w:r>
          </w:p>
        </w:tc>
        <w:tc>
          <w:tcPr>
            <w:tcW w:w="1134" w:type="dxa"/>
            <w:vAlign w:val="center"/>
          </w:tcPr>
          <w:p w:rsidR="00214ECF" w:rsidRPr="00E80325" w:rsidRDefault="00214ECF" w:rsidP="004D6F10">
            <w:pPr>
              <w:rPr>
                <w:rFonts w:ascii="Arial" w:hAnsi="Arial" w:cs="Arial"/>
                <w:sz w:val="18"/>
                <w:szCs w:val="18"/>
              </w:rPr>
            </w:pPr>
            <w:r w:rsidRPr="00E80325">
              <w:rPr>
                <w:rFonts w:ascii="Arial" w:hAnsi="Arial" w:cs="Arial"/>
                <w:sz w:val="18"/>
                <w:szCs w:val="18"/>
              </w:rPr>
              <w:t>Riadne ukončený</w:t>
            </w:r>
          </w:p>
        </w:tc>
        <w:tc>
          <w:tcPr>
            <w:tcW w:w="1418" w:type="dxa"/>
            <w:vAlign w:val="center"/>
          </w:tcPr>
          <w:p w:rsidR="00214ECF" w:rsidRPr="00E80325" w:rsidRDefault="00214ECF" w:rsidP="004D6F10">
            <w:pPr>
              <w:jc w:val="center"/>
              <w:rPr>
                <w:rFonts w:ascii="Arial" w:hAnsi="Arial" w:cs="Arial"/>
                <w:sz w:val="18"/>
                <w:szCs w:val="18"/>
              </w:rPr>
            </w:pPr>
            <w:r w:rsidRPr="00E80325">
              <w:rPr>
                <w:rFonts w:ascii="Arial" w:hAnsi="Arial" w:cs="Arial"/>
                <w:sz w:val="18"/>
                <w:szCs w:val="18"/>
              </w:rPr>
              <w:t>1 268 311,11</w:t>
            </w:r>
          </w:p>
        </w:tc>
        <w:tc>
          <w:tcPr>
            <w:tcW w:w="1417" w:type="dxa"/>
            <w:vAlign w:val="center"/>
          </w:tcPr>
          <w:p w:rsidR="00214ECF" w:rsidRPr="00E80325" w:rsidRDefault="00214ECF" w:rsidP="004D6F10">
            <w:pPr>
              <w:jc w:val="center"/>
              <w:rPr>
                <w:rFonts w:ascii="Arial" w:hAnsi="Arial" w:cs="Arial"/>
                <w:sz w:val="18"/>
                <w:szCs w:val="18"/>
              </w:rPr>
            </w:pPr>
            <w:r w:rsidRPr="00E80325">
              <w:rPr>
                <w:rFonts w:ascii="Arial" w:hAnsi="Arial" w:cs="Arial"/>
                <w:sz w:val="18"/>
                <w:szCs w:val="18"/>
              </w:rPr>
              <w:t>223 819,61</w:t>
            </w:r>
          </w:p>
        </w:tc>
        <w:tc>
          <w:tcPr>
            <w:tcW w:w="1418" w:type="dxa"/>
            <w:vAlign w:val="center"/>
          </w:tcPr>
          <w:p w:rsidR="00214ECF" w:rsidRPr="00E80325" w:rsidRDefault="00214ECF" w:rsidP="004D6F10">
            <w:pPr>
              <w:jc w:val="center"/>
              <w:rPr>
                <w:rFonts w:ascii="Arial" w:hAnsi="Arial" w:cs="Arial"/>
                <w:sz w:val="18"/>
                <w:szCs w:val="18"/>
              </w:rPr>
            </w:pPr>
            <w:r w:rsidRPr="00E80325">
              <w:rPr>
                <w:rFonts w:ascii="Arial" w:hAnsi="Arial" w:cs="Arial"/>
                <w:sz w:val="18"/>
                <w:szCs w:val="18"/>
              </w:rPr>
              <w:t>1 492 130,72</w:t>
            </w:r>
          </w:p>
        </w:tc>
      </w:tr>
      <w:tr w:rsidR="00214ECF" w:rsidRPr="00E80325" w:rsidTr="006A551B">
        <w:trPr>
          <w:trHeight w:val="20"/>
        </w:trPr>
        <w:tc>
          <w:tcPr>
            <w:tcW w:w="2127" w:type="dxa"/>
            <w:shd w:val="clear" w:color="auto" w:fill="EAF1DD"/>
            <w:noWrap/>
            <w:vAlign w:val="center"/>
          </w:tcPr>
          <w:p w:rsidR="00214ECF" w:rsidRPr="00E80325" w:rsidRDefault="00214ECF" w:rsidP="004D6F10">
            <w:pPr>
              <w:rPr>
                <w:rFonts w:ascii="Arial" w:hAnsi="Arial" w:cs="Arial"/>
                <w:sz w:val="18"/>
                <w:szCs w:val="18"/>
              </w:rPr>
            </w:pPr>
            <w:r w:rsidRPr="00E80325">
              <w:rPr>
                <w:rFonts w:ascii="Arial" w:hAnsi="Arial" w:cs="Arial"/>
                <w:sz w:val="18"/>
                <w:szCs w:val="18"/>
              </w:rPr>
              <w:t>Monitorovanie fyzikálno-chemických a biologických prvkov kvality povrch vôd – 2009, 2010</w:t>
            </w:r>
          </w:p>
        </w:tc>
        <w:tc>
          <w:tcPr>
            <w:tcW w:w="1701" w:type="dxa"/>
            <w:vAlign w:val="center"/>
          </w:tcPr>
          <w:p w:rsidR="00214ECF" w:rsidRPr="00E80325" w:rsidRDefault="00214ECF" w:rsidP="004D6F10">
            <w:pPr>
              <w:rPr>
                <w:rFonts w:ascii="Arial" w:hAnsi="Arial" w:cs="Arial"/>
                <w:sz w:val="18"/>
                <w:szCs w:val="18"/>
              </w:rPr>
            </w:pPr>
            <w:r w:rsidRPr="00E80325">
              <w:rPr>
                <w:rFonts w:ascii="Arial" w:hAnsi="Arial" w:cs="Arial"/>
                <w:sz w:val="18"/>
                <w:szCs w:val="18"/>
              </w:rPr>
              <w:t>Slovenský vodohospodársky podnik, š.p.</w:t>
            </w:r>
          </w:p>
        </w:tc>
        <w:tc>
          <w:tcPr>
            <w:tcW w:w="1134" w:type="dxa"/>
            <w:vAlign w:val="center"/>
          </w:tcPr>
          <w:p w:rsidR="00214ECF" w:rsidRPr="00E80325" w:rsidRDefault="00214ECF" w:rsidP="004D6F10">
            <w:pPr>
              <w:rPr>
                <w:rFonts w:ascii="Arial" w:hAnsi="Arial" w:cs="Arial"/>
                <w:sz w:val="18"/>
                <w:szCs w:val="18"/>
              </w:rPr>
            </w:pPr>
            <w:r w:rsidRPr="00E80325">
              <w:rPr>
                <w:rFonts w:ascii="Arial" w:hAnsi="Arial" w:cs="Arial"/>
                <w:sz w:val="18"/>
                <w:szCs w:val="18"/>
              </w:rPr>
              <w:t>V realizácii</w:t>
            </w:r>
          </w:p>
        </w:tc>
        <w:tc>
          <w:tcPr>
            <w:tcW w:w="1418" w:type="dxa"/>
            <w:vAlign w:val="center"/>
          </w:tcPr>
          <w:p w:rsidR="00214ECF" w:rsidRPr="00E80325" w:rsidRDefault="00214ECF" w:rsidP="004D6F10">
            <w:pPr>
              <w:jc w:val="center"/>
              <w:rPr>
                <w:rFonts w:ascii="Arial" w:hAnsi="Arial" w:cs="Arial"/>
                <w:sz w:val="18"/>
                <w:szCs w:val="18"/>
              </w:rPr>
            </w:pPr>
            <w:r w:rsidRPr="00E80325">
              <w:rPr>
                <w:rFonts w:ascii="Arial" w:hAnsi="Arial" w:cs="Arial"/>
                <w:sz w:val="18"/>
                <w:szCs w:val="18"/>
              </w:rPr>
              <w:t>2 763 649,94</w:t>
            </w:r>
          </w:p>
        </w:tc>
        <w:tc>
          <w:tcPr>
            <w:tcW w:w="1417" w:type="dxa"/>
            <w:vAlign w:val="center"/>
          </w:tcPr>
          <w:p w:rsidR="00214ECF" w:rsidRPr="00E80325" w:rsidRDefault="00214ECF" w:rsidP="004D6F10">
            <w:pPr>
              <w:jc w:val="center"/>
              <w:rPr>
                <w:rFonts w:ascii="Arial" w:hAnsi="Arial" w:cs="Arial"/>
                <w:sz w:val="18"/>
                <w:szCs w:val="18"/>
              </w:rPr>
            </w:pPr>
            <w:r w:rsidRPr="00E80325">
              <w:rPr>
                <w:rFonts w:ascii="Arial" w:hAnsi="Arial" w:cs="Arial"/>
                <w:sz w:val="18"/>
                <w:szCs w:val="18"/>
              </w:rPr>
              <w:t>487 702,93</w:t>
            </w:r>
          </w:p>
        </w:tc>
        <w:tc>
          <w:tcPr>
            <w:tcW w:w="1418" w:type="dxa"/>
            <w:vAlign w:val="center"/>
          </w:tcPr>
          <w:p w:rsidR="00214ECF" w:rsidRPr="00E80325" w:rsidRDefault="00214ECF" w:rsidP="004D6F10">
            <w:pPr>
              <w:jc w:val="center"/>
              <w:rPr>
                <w:rFonts w:ascii="Arial" w:hAnsi="Arial" w:cs="Arial"/>
                <w:sz w:val="18"/>
                <w:szCs w:val="18"/>
              </w:rPr>
            </w:pPr>
            <w:r w:rsidRPr="00E80325">
              <w:rPr>
                <w:rFonts w:ascii="Arial" w:hAnsi="Arial" w:cs="Arial"/>
                <w:sz w:val="18"/>
                <w:szCs w:val="18"/>
              </w:rPr>
              <w:t>3 251 352,87</w:t>
            </w:r>
          </w:p>
        </w:tc>
      </w:tr>
      <w:tr w:rsidR="00214ECF" w:rsidRPr="00E80325" w:rsidTr="006A551B">
        <w:trPr>
          <w:trHeight w:val="20"/>
        </w:trPr>
        <w:tc>
          <w:tcPr>
            <w:tcW w:w="2127" w:type="dxa"/>
            <w:shd w:val="clear" w:color="auto" w:fill="EAF1DD"/>
            <w:noWrap/>
            <w:vAlign w:val="center"/>
          </w:tcPr>
          <w:p w:rsidR="00214ECF" w:rsidRPr="00E80325" w:rsidRDefault="00214ECF" w:rsidP="004D6F10">
            <w:pPr>
              <w:rPr>
                <w:rFonts w:ascii="Arial" w:hAnsi="Arial" w:cs="Arial"/>
                <w:sz w:val="18"/>
                <w:szCs w:val="18"/>
              </w:rPr>
            </w:pPr>
            <w:r w:rsidRPr="00E80325">
              <w:rPr>
                <w:rFonts w:ascii="Arial" w:hAnsi="Arial" w:cs="Arial"/>
                <w:sz w:val="18"/>
                <w:szCs w:val="18"/>
              </w:rPr>
              <w:t>Monitorovanie kvality podzemných vôd SR</w:t>
            </w:r>
          </w:p>
        </w:tc>
        <w:tc>
          <w:tcPr>
            <w:tcW w:w="1701" w:type="dxa"/>
            <w:vAlign w:val="center"/>
          </w:tcPr>
          <w:p w:rsidR="00214ECF" w:rsidRPr="00E80325" w:rsidRDefault="00214ECF" w:rsidP="004D6F10">
            <w:pPr>
              <w:rPr>
                <w:rFonts w:ascii="Arial" w:hAnsi="Arial" w:cs="Arial"/>
                <w:sz w:val="18"/>
                <w:szCs w:val="18"/>
              </w:rPr>
            </w:pPr>
            <w:r w:rsidRPr="00E80325">
              <w:rPr>
                <w:rFonts w:ascii="Arial" w:hAnsi="Arial" w:cs="Arial"/>
                <w:sz w:val="18"/>
                <w:szCs w:val="18"/>
              </w:rPr>
              <w:t>Štátny geologický ústav Dionýza Štúra</w:t>
            </w:r>
          </w:p>
        </w:tc>
        <w:tc>
          <w:tcPr>
            <w:tcW w:w="1134" w:type="dxa"/>
            <w:vAlign w:val="center"/>
          </w:tcPr>
          <w:p w:rsidR="00214ECF" w:rsidRPr="00E80325" w:rsidRDefault="00214ECF" w:rsidP="004D6F10">
            <w:pPr>
              <w:rPr>
                <w:rFonts w:ascii="Arial" w:hAnsi="Arial" w:cs="Arial"/>
                <w:sz w:val="18"/>
                <w:szCs w:val="18"/>
              </w:rPr>
            </w:pPr>
            <w:r w:rsidRPr="00E80325">
              <w:rPr>
                <w:rFonts w:ascii="Arial" w:hAnsi="Arial" w:cs="Arial"/>
                <w:sz w:val="18"/>
                <w:szCs w:val="18"/>
              </w:rPr>
              <w:t>V realizácii</w:t>
            </w:r>
          </w:p>
        </w:tc>
        <w:tc>
          <w:tcPr>
            <w:tcW w:w="1418" w:type="dxa"/>
            <w:vAlign w:val="center"/>
          </w:tcPr>
          <w:p w:rsidR="00214ECF" w:rsidRPr="00E80325" w:rsidRDefault="00214ECF" w:rsidP="004D6F10">
            <w:pPr>
              <w:jc w:val="center"/>
              <w:rPr>
                <w:rFonts w:ascii="Arial" w:hAnsi="Arial" w:cs="Arial"/>
                <w:sz w:val="18"/>
                <w:szCs w:val="18"/>
              </w:rPr>
            </w:pPr>
            <w:r w:rsidRPr="00E80325">
              <w:rPr>
                <w:rFonts w:ascii="Arial" w:hAnsi="Arial" w:cs="Arial"/>
                <w:sz w:val="18"/>
                <w:szCs w:val="18"/>
              </w:rPr>
              <w:t>1 105 807,79</w:t>
            </w:r>
          </w:p>
        </w:tc>
        <w:tc>
          <w:tcPr>
            <w:tcW w:w="1417" w:type="dxa"/>
            <w:vAlign w:val="center"/>
          </w:tcPr>
          <w:p w:rsidR="00214ECF" w:rsidRPr="00E80325" w:rsidRDefault="00214ECF" w:rsidP="004D6F10">
            <w:pPr>
              <w:jc w:val="center"/>
              <w:rPr>
                <w:rFonts w:ascii="Arial" w:hAnsi="Arial" w:cs="Arial"/>
                <w:sz w:val="18"/>
                <w:szCs w:val="18"/>
              </w:rPr>
            </w:pPr>
            <w:r w:rsidRPr="00E80325">
              <w:rPr>
                <w:rFonts w:ascii="Arial" w:hAnsi="Arial" w:cs="Arial"/>
                <w:sz w:val="18"/>
                <w:szCs w:val="18"/>
              </w:rPr>
              <w:t>195 142,55</w:t>
            </w:r>
          </w:p>
        </w:tc>
        <w:tc>
          <w:tcPr>
            <w:tcW w:w="1418" w:type="dxa"/>
            <w:vAlign w:val="center"/>
          </w:tcPr>
          <w:p w:rsidR="00214ECF" w:rsidRPr="00E80325" w:rsidRDefault="00214ECF" w:rsidP="004D6F10">
            <w:pPr>
              <w:jc w:val="center"/>
              <w:rPr>
                <w:rFonts w:ascii="Arial" w:hAnsi="Arial" w:cs="Arial"/>
                <w:sz w:val="18"/>
                <w:szCs w:val="18"/>
              </w:rPr>
            </w:pPr>
            <w:r w:rsidRPr="00E80325">
              <w:rPr>
                <w:rFonts w:ascii="Arial" w:hAnsi="Arial" w:cs="Arial"/>
                <w:sz w:val="18"/>
                <w:szCs w:val="18"/>
              </w:rPr>
              <w:t>1 300 950,34</w:t>
            </w:r>
          </w:p>
        </w:tc>
      </w:tr>
    </w:tbl>
    <w:p w:rsidR="00214ECF" w:rsidRPr="00E80325" w:rsidRDefault="00214ECF" w:rsidP="004D6F10">
      <w:pPr>
        <w:spacing w:line="360" w:lineRule="auto"/>
        <w:jc w:val="both"/>
        <w:rPr>
          <w:rFonts w:ascii="Arial" w:hAnsi="Arial" w:cs="Arial"/>
          <w:sz w:val="18"/>
          <w:szCs w:val="18"/>
        </w:rPr>
      </w:pPr>
      <w:r w:rsidRPr="00E80325">
        <w:rPr>
          <w:rFonts w:ascii="Arial" w:hAnsi="Arial" w:cs="Arial"/>
          <w:sz w:val="18"/>
          <w:szCs w:val="18"/>
        </w:rPr>
        <w:t>Zdroj: RO</w:t>
      </w:r>
    </w:p>
    <w:p w:rsidR="00214ECF" w:rsidRPr="00E80325" w:rsidRDefault="00214ECF" w:rsidP="00507035">
      <w:pPr>
        <w:spacing w:before="120" w:after="120" w:line="360" w:lineRule="auto"/>
        <w:jc w:val="both"/>
        <w:rPr>
          <w:rFonts w:ascii="Arial" w:hAnsi="Arial" w:cs="Arial"/>
          <w:sz w:val="20"/>
          <w:szCs w:val="20"/>
        </w:rPr>
      </w:pPr>
      <w:r w:rsidRPr="00E80325">
        <w:rPr>
          <w:rFonts w:ascii="Arial" w:hAnsi="Arial" w:cs="Arial"/>
          <w:sz w:val="20"/>
          <w:szCs w:val="20"/>
        </w:rPr>
        <w:t xml:space="preserve">Z vyššie uvedeného vyplýva, že prioritná os 1 </w:t>
      </w:r>
      <w:r w:rsidRPr="00E80325">
        <w:rPr>
          <w:rFonts w:ascii="Arial" w:hAnsi="Arial" w:cs="Arial"/>
          <w:bCs/>
          <w:sz w:val="20"/>
          <w:szCs w:val="20"/>
        </w:rPr>
        <w:t xml:space="preserve">Integrovaná ochrana a racionálne využívanie vôd, a to predovšetkým </w:t>
      </w:r>
      <w:r w:rsidRPr="00E80325">
        <w:rPr>
          <w:rFonts w:ascii="Arial" w:hAnsi="Arial" w:cs="Arial"/>
          <w:sz w:val="20"/>
          <w:szCs w:val="20"/>
        </w:rPr>
        <w:t>operačný cieľ 1.2 Odvádzanie a čistenie komunálnych odpadových vôd v zmysle záväzkov SR voči EÚ, má podstatný význam z hľadiska prepojenia OP ŽP s prioritami Dunajskej stratégie v prioritnej oblasti Obnoviť a zachovať kvalitu vôd.</w:t>
      </w:r>
    </w:p>
    <w:p w:rsidR="00214ECF" w:rsidRPr="00E80325" w:rsidRDefault="00214ECF" w:rsidP="00507035">
      <w:pPr>
        <w:spacing w:before="120" w:after="120" w:line="360" w:lineRule="auto"/>
        <w:jc w:val="both"/>
        <w:rPr>
          <w:rFonts w:ascii="Arial" w:hAnsi="Arial" w:cs="Arial"/>
          <w:sz w:val="20"/>
          <w:szCs w:val="20"/>
        </w:rPr>
      </w:pPr>
      <w:r w:rsidRPr="00E80325">
        <w:rPr>
          <w:rFonts w:ascii="Arial" w:hAnsi="Arial" w:cs="Arial"/>
          <w:sz w:val="20"/>
          <w:szCs w:val="20"/>
        </w:rPr>
        <w:t xml:space="preserve">V súvislosti s uvedenou prioritnou oblasťou Dunajskej stratégie je taktiež potrebné poznamenať, že Ministerstvu životného prostredia SR bolo uznesením vlády SR č. 229 z 30. marca 2011 k aktualizovanej národnej pozícii SR k Stratégii EÚ pre dunajský región a návrhu jej koordinácie uložené vykonávať funkciu koordinátora prioritnej oblasti Obnoviť a zachovať kvalitu vôd. Výkon uvedenej funkcie však nepatrí do pôsobnosti riadiaceho orgánu pre OP ŽP, ale spadá do kompetencie sekcie vôd MŽP SR ako vecne príslušnej sekcie, ktorá zaň zodpovedá. </w:t>
      </w:r>
    </w:p>
    <w:p w:rsidR="00214ECF" w:rsidRPr="00E80325" w:rsidRDefault="00214ECF" w:rsidP="00507035">
      <w:pPr>
        <w:spacing w:before="120" w:after="120" w:line="360" w:lineRule="auto"/>
        <w:jc w:val="both"/>
        <w:rPr>
          <w:rFonts w:ascii="Arial" w:hAnsi="Arial" w:cs="Arial"/>
          <w:sz w:val="20"/>
          <w:szCs w:val="20"/>
          <w:u w:val="single"/>
        </w:rPr>
      </w:pPr>
      <w:r w:rsidRPr="00E80325">
        <w:rPr>
          <w:rFonts w:ascii="Arial" w:hAnsi="Arial" w:cs="Arial"/>
          <w:sz w:val="20"/>
          <w:szCs w:val="20"/>
          <w:u w:val="single"/>
        </w:rPr>
        <w:t>b) Prioritná oblasť 5. Riadiť riziká v oblasti životného prostredia</w:t>
      </w:r>
    </w:p>
    <w:p w:rsidR="00214ECF" w:rsidRPr="00E80325" w:rsidRDefault="00214ECF" w:rsidP="00507035">
      <w:pPr>
        <w:spacing w:before="120" w:after="120" w:line="360" w:lineRule="auto"/>
        <w:jc w:val="both"/>
        <w:rPr>
          <w:rFonts w:ascii="Arial" w:hAnsi="Arial" w:cs="Arial"/>
          <w:sz w:val="20"/>
          <w:szCs w:val="20"/>
        </w:rPr>
      </w:pPr>
      <w:r w:rsidRPr="00E80325">
        <w:rPr>
          <w:rFonts w:ascii="Arial" w:hAnsi="Arial" w:cs="Arial"/>
          <w:sz w:val="20"/>
          <w:szCs w:val="20"/>
        </w:rPr>
        <w:t>S vyššie uvedenou prioritnou oblasťou Dunajskej stratégie súvisia v rámci OP ŽP svojím zameraním:</w:t>
      </w:r>
    </w:p>
    <w:p w:rsidR="00214ECF" w:rsidRPr="00E80325" w:rsidRDefault="00214ECF" w:rsidP="001540E7">
      <w:pPr>
        <w:numPr>
          <w:ilvl w:val="0"/>
          <w:numId w:val="30"/>
        </w:numPr>
        <w:tabs>
          <w:tab w:val="clear" w:pos="1440"/>
        </w:tabs>
        <w:spacing w:before="120" w:after="120" w:line="360" w:lineRule="auto"/>
        <w:ind w:left="567" w:hanging="425"/>
        <w:jc w:val="both"/>
        <w:rPr>
          <w:rFonts w:ascii="Arial" w:hAnsi="Arial" w:cs="Arial"/>
          <w:sz w:val="20"/>
          <w:szCs w:val="20"/>
        </w:rPr>
      </w:pPr>
      <w:r w:rsidRPr="00E80325">
        <w:rPr>
          <w:rFonts w:ascii="Arial" w:hAnsi="Arial" w:cs="Arial"/>
          <w:sz w:val="20"/>
          <w:szCs w:val="20"/>
        </w:rPr>
        <w:t xml:space="preserve"> Prioritná os 2 Ochrana pred povodňami</w:t>
      </w:r>
      <w:r w:rsidRPr="00E80325">
        <w:rPr>
          <w:rFonts w:ascii="Arial" w:hAnsi="Arial" w:cs="Arial"/>
          <w:bCs/>
          <w:sz w:val="20"/>
          <w:szCs w:val="20"/>
        </w:rPr>
        <w:t>, a to:</w:t>
      </w:r>
    </w:p>
    <w:p w:rsidR="00214ECF" w:rsidRPr="00E80325" w:rsidRDefault="00214ECF" w:rsidP="001540E7">
      <w:pPr>
        <w:numPr>
          <w:ilvl w:val="0"/>
          <w:numId w:val="31"/>
        </w:numPr>
        <w:tabs>
          <w:tab w:val="clear" w:pos="1602"/>
        </w:tabs>
        <w:spacing w:before="120" w:after="120" w:line="360" w:lineRule="auto"/>
        <w:ind w:left="851" w:hanging="284"/>
        <w:jc w:val="both"/>
        <w:rPr>
          <w:rFonts w:ascii="Arial" w:hAnsi="Arial" w:cs="Arial"/>
          <w:i/>
          <w:sz w:val="20"/>
          <w:szCs w:val="20"/>
        </w:rPr>
      </w:pPr>
      <w:r w:rsidRPr="00E80325">
        <w:rPr>
          <w:rFonts w:ascii="Arial" w:hAnsi="Arial" w:cs="Arial"/>
          <w:i/>
          <w:sz w:val="20"/>
          <w:szCs w:val="20"/>
        </w:rPr>
        <w:t>III. skupina aktivít: Opatrenia vyplývajúce zo smernice Európskeho parlamentu a Rady 2007/60/ES z 23. októbra 2007</w:t>
      </w:r>
      <w:r w:rsidRPr="00E80325">
        <w:rPr>
          <w:rFonts w:ascii="Arial" w:hAnsi="Arial" w:cs="Arial"/>
          <w:sz w:val="20"/>
          <w:szCs w:val="20"/>
        </w:rPr>
        <w:t xml:space="preserve"> </w:t>
      </w:r>
      <w:r w:rsidRPr="00E80325">
        <w:rPr>
          <w:rFonts w:ascii="Arial" w:hAnsi="Arial" w:cs="Arial"/>
          <w:i/>
          <w:sz w:val="20"/>
          <w:szCs w:val="20"/>
        </w:rPr>
        <w:t xml:space="preserve">o hodnotení a manažmente povodňových rizík </w:t>
      </w:r>
    </w:p>
    <w:p w:rsidR="00214ECF" w:rsidRPr="00E80325" w:rsidRDefault="00214ECF" w:rsidP="00507035">
      <w:pPr>
        <w:spacing w:before="120" w:after="120" w:line="360" w:lineRule="auto"/>
        <w:jc w:val="both"/>
        <w:rPr>
          <w:rFonts w:ascii="Arial" w:hAnsi="Arial" w:cs="Arial"/>
          <w:sz w:val="20"/>
          <w:szCs w:val="20"/>
        </w:rPr>
      </w:pPr>
      <w:r w:rsidRPr="00E80325">
        <w:rPr>
          <w:rFonts w:ascii="Arial" w:hAnsi="Arial" w:cs="Arial"/>
          <w:sz w:val="20"/>
          <w:szCs w:val="20"/>
        </w:rPr>
        <w:t>V súvislosti s prioritami Dunajskej stratégie má vyššie uvedená skupina aktivít dôležitý význam. Je zameraná na realizáciu opatrení vyplývajúcich zo smernice Európskeho parlamentu a Rady 2007/60/ES, ktorá je do právneho poriadku SR transponovaná zákonom č. 7/2010 Z. z. o ochrane pred povodňami a ustanovuje povinnosť plánovať manažment povodňových rizík a podľa plánov realizovať preventívne opatrenia na ochranu pred povodňami v oblastiach, v ktorých existuje alebo možno očakávať výskyt povodňového rizika. V rámci uvedenej skupiny aktivít je predmetom podpory:</w:t>
      </w:r>
    </w:p>
    <w:p w:rsidR="00214ECF" w:rsidRPr="00E80325" w:rsidRDefault="00214ECF" w:rsidP="00507035">
      <w:pPr>
        <w:spacing w:before="120" w:after="120" w:line="360" w:lineRule="auto"/>
        <w:jc w:val="both"/>
        <w:rPr>
          <w:rFonts w:ascii="Arial" w:hAnsi="Arial" w:cs="Arial"/>
          <w:i/>
          <w:sz w:val="20"/>
          <w:szCs w:val="20"/>
        </w:rPr>
      </w:pPr>
      <w:r w:rsidRPr="00E80325">
        <w:rPr>
          <w:rFonts w:ascii="Arial" w:hAnsi="Arial" w:cs="Arial"/>
          <w:sz w:val="20"/>
          <w:szCs w:val="20"/>
        </w:rPr>
        <w:t>- v</w:t>
      </w:r>
      <w:r w:rsidRPr="00E80325">
        <w:rPr>
          <w:rFonts w:ascii="Arial" w:hAnsi="Arial" w:cs="Arial"/>
          <w:i/>
          <w:sz w:val="20"/>
          <w:szCs w:val="20"/>
        </w:rPr>
        <w:t xml:space="preserve">yhotovenie máp povodňového ohrozenia a máp povodňového rizika; </w:t>
      </w:r>
    </w:p>
    <w:p w:rsidR="00214ECF" w:rsidRPr="00E80325" w:rsidRDefault="00214ECF" w:rsidP="00507035">
      <w:pPr>
        <w:spacing w:before="120" w:after="120" w:line="360" w:lineRule="auto"/>
        <w:jc w:val="both"/>
        <w:rPr>
          <w:rFonts w:ascii="Arial" w:hAnsi="Arial" w:cs="Arial"/>
          <w:i/>
          <w:sz w:val="20"/>
          <w:szCs w:val="20"/>
        </w:rPr>
      </w:pPr>
      <w:r w:rsidRPr="00E80325">
        <w:rPr>
          <w:rFonts w:ascii="Arial" w:hAnsi="Arial" w:cs="Arial"/>
          <w:i/>
          <w:sz w:val="20"/>
          <w:szCs w:val="20"/>
        </w:rPr>
        <w:t>- vypracovanie plánov manažmentu povodňových rizík alebo ich častí vrátane návrhov opatrení na dosiahnutie ich cieľov.</w:t>
      </w:r>
    </w:p>
    <w:p w:rsidR="00214ECF" w:rsidRPr="00E80325" w:rsidRDefault="00214ECF" w:rsidP="005D18B1">
      <w:pPr>
        <w:spacing w:line="360" w:lineRule="auto"/>
        <w:jc w:val="both"/>
        <w:rPr>
          <w:rFonts w:ascii="Arial" w:hAnsi="Arial" w:cs="Arial"/>
          <w:sz w:val="20"/>
          <w:szCs w:val="20"/>
        </w:rPr>
      </w:pPr>
      <w:r w:rsidRPr="00E80325">
        <w:rPr>
          <w:rFonts w:ascii="Arial" w:hAnsi="Arial" w:cs="Arial"/>
          <w:sz w:val="20"/>
          <w:szCs w:val="20"/>
        </w:rPr>
        <w:t xml:space="preserve">Tab. č. </w:t>
      </w:r>
      <w:r w:rsidR="007B7519">
        <w:rPr>
          <w:rFonts w:ascii="Arial" w:hAnsi="Arial" w:cs="Arial"/>
          <w:sz w:val="20"/>
          <w:szCs w:val="20"/>
        </w:rPr>
        <w:t>27</w:t>
      </w:r>
      <w:r w:rsidR="007B7519" w:rsidRPr="00E80325">
        <w:rPr>
          <w:rFonts w:ascii="Arial" w:hAnsi="Arial" w:cs="Arial"/>
          <w:sz w:val="20"/>
          <w:szCs w:val="20"/>
        </w:rPr>
        <w:t xml:space="preserve"> </w:t>
      </w:r>
      <w:r w:rsidRPr="00E80325">
        <w:rPr>
          <w:rFonts w:ascii="Arial" w:hAnsi="Arial" w:cs="Arial"/>
          <w:sz w:val="20"/>
          <w:szCs w:val="20"/>
        </w:rPr>
        <w:t>Príklad projektu</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712"/>
        <w:gridCol w:w="2513"/>
        <w:gridCol w:w="1115"/>
        <w:gridCol w:w="1292"/>
        <w:gridCol w:w="1286"/>
        <w:gridCol w:w="1292"/>
      </w:tblGrid>
      <w:tr w:rsidR="00214ECF" w:rsidRPr="00E80325" w:rsidTr="006A551B">
        <w:trPr>
          <w:trHeight w:val="20"/>
        </w:trPr>
        <w:tc>
          <w:tcPr>
            <w:tcW w:w="0" w:type="auto"/>
            <w:shd w:val="clear" w:color="auto" w:fill="D6E3BC"/>
            <w:vAlign w:val="center"/>
          </w:tcPr>
          <w:p w:rsidR="00214ECF" w:rsidRPr="00E80325" w:rsidRDefault="00214ECF" w:rsidP="005D18B1">
            <w:pPr>
              <w:jc w:val="both"/>
              <w:rPr>
                <w:rFonts w:ascii="Arial" w:hAnsi="Arial" w:cs="Arial"/>
                <w:b/>
                <w:bCs/>
                <w:sz w:val="18"/>
                <w:szCs w:val="18"/>
              </w:rPr>
            </w:pPr>
            <w:r w:rsidRPr="00E80325">
              <w:rPr>
                <w:rFonts w:ascii="Arial" w:hAnsi="Arial" w:cs="Arial"/>
                <w:b/>
                <w:bCs/>
                <w:sz w:val="18"/>
                <w:szCs w:val="18"/>
              </w:rPr>
              <w:t>Názov projektu</w:t>
            </w:r>
          </w:p>
        </w:tc>
        <w:tc>
          <w:tcPr>
            <w:tcW w:w="0" w:type="auto"/>
            <w:shd w:val="clear" w:color="auto" w:fill="D6E3BC"/>
            <w:vAlign w:val="center"/>
          </w:tcPr>
          <w:p w:rsidR="00214ECF" w:rsidRPr="00E80325" w:rsidRDefault="00214ECF" w:rsidP="005D18B1">
            <w:pPr>
              <w:jc w:val="both"/>
              <w:rPr>
                <w:rFonts w:ascii="Arial" w:hAnsi="Arial" w:cs="Arial"/>
                <w:b/>
                <w:bCs/>
                <w:sz w:val="18"/>
                <w:szCs w:val="18"/>
              </w:rPr>
            </w:pPr>
            <w:r w:rsidRPr="00E80325">
              <w:rPr>
                <w:rFonts w:ascii="Arial" w:hAnsi="Arial" w:cs="Arial"/>
                <w:b/>
                <w:bCs/>
                <w:sz w:val="18"/>
                <w:szCs w:val="18"/>
              </w:rPr>
              <w:t>Prijímateľ</w:t>
            </w:r>
          </w:p>
        </w:tc>
        <w:tc>
          <w:tcPr>
            <w:tcW w:w="0" w:type="auto"/>
            <w:shd w:val="clear" w:color="auto" w:fill="D6E3BC"/>
            <w:vAlign w:val="center"/>
          </w:tcPr>
          <w:p w:rsidR="00214ECF" w:rsidRPr="00E80325" w:rsidRDefault="00214ECF" w:rsidP="005D18B1">
            <w:pPr>
              <w:jc w:val="both"/>
              <w:rPr>
                <w:rFonts w:ascii="Arial" w:hAnsi="Arial" w:cs="Arial"/>
                <w:b/>
                <w:bCs/>
                <w:sz w:val="18"/>
                <w:szCs w:val="18"/>
              </w:rPr>
            </w:pPr>
            <w:r w:rsidRPr="00E80325">
              <w:rPr>
                <w:rFonts w:ascii="Arial" w:hAnsi="Arial" w:cs="Arial"/>
                <w:b/>
                <w:bCs/>
                <w:sz w:val="18"/>
                <w:szCs w:val="18"/>
              </w:rPr>
              <w:t>Aktuálny stav</w:t>
            </w:r>
          </w:p>
        </w:tc>
        <w:tc>
          <w:tcPr>
            <w:tcW w:w="0" w:type="auto"/>
            <w:shd w:val="clear" w:color="auto" w:fill="D6E3BC"/>
            <w:vAlign w:val="center"/>
          </w:tcPr>
          <w:p w:rsidR="00214ECF" w:rsidRPr="00E80325" w:rsidRDefault="00214ECF" w:rsidP="005D18B1">
            <w:pPr>
              <w:jc w:val="center"/>
              <w:rPr>
                <w:rFonts w:ascii="Arial" w:hAnsi="Arial" w:cs="Arial"/>
                <w:b/>
                <w:bCs/>
                <w:sz w:val="18"/>
                <w:szCs w:val="18"/>
              </w:rPr>
            </w:pPr>
            <w:r w:rsidRPr="00E80325">
              <w:rPr>
                <w:rFonts w:ascii="Arial" w:hAnsi="Arial" w:cs="Arial"/>
                <w:b/>
                <w:bCs/>
                <w:sz w:val="18"/>
                <w:szCs w:val="18"/>
              </w:rPr>
              <w:t>Zazmluvnené</w:t>
            </w:r>
          </w:p>
          <w:p w:rsidR="00214ECF" w:rsidRPr="00E80325" w:rsidRDefault="00214ECF" w:rsidP="005D18B1">
            <w:pPr>
              <w:jc w:val="both"/>
              <w:rPr>
                <w:rFonts w:ascii="Arial" w:hAnsi="Arial" w:cs="Arial"/>
                <w:b/>
                <w:bCs/>
                <w:sz w:val="18"/>
                <w:szCs w:val="18"/>
              </w:rPr>
            </w:pPr>
            <w:r w:rsidRPr="00E80325">
              <w:rPr>
                <w:rFonts w:ascii="Arial" w:hAnsi="Arial" w:cs="Arial"/>
                <w:b/>
                <w:bCs/>
                <w:sz w:val="18"/>
                <w:szCs w:val="18"/>
              </w:rPr>
              <w:t>(zdroj EÚ) v €</w:t>
            </w:r>
          </w:p>
        </w:tc>
        <w:tc>
          <w:tcPr>
            <w:tcW w:w="0" w:type="auto"/>
            <w:shd w:val="clear" w:color="auto" w:fill="D6E3BC"/>
            <w:vAlign w:val="center"/>
          </w:tcPr>
          <w:p w:rsidR="00214ECF" w:rsidRPr="00E80325" w:rsidRDefault="00214ECF" w:rsidP="005D18B1">
            <w:pPr>
              <w:jc w:val="center"/>
              <w:rPr>
                <w:rFonts w:ascii="Arial" w:hAnsi="Arial" w:cs="Arial"/>
                <w:b/>
                <w:bCs/>
                <w:sz w:val="18"/>
                <w:szCs w:val="18"/>
              </w:rPr>
            </w:pPr>
            <w:r w:rsidRPr="00E80325">
              <w:rPr>
                <w:rFonts w:ascii="Arial" w:hAnsi="Arial" w:cs="Arial"/>
                <w:b/>
                <w:bCs/>
                <w:sz w:val="18"/>
                <w:szCs w:val="18"/>
              </w:rPr>
              <w:t>Zazmluvnené</w:t>
            </w:r>
          </w:p>
          <w:p w:rsidR="00214ECF" w:rsidRPr="00E80325" w:rsidRDefault="00214ECF" w:rsidP="005D18B1">
            <w:pPr>
              <w:jc w:val="both"/>
              <w:rPr>
                <w:rFonts w:ascii="Arial" w:hAnsi="Arial" w:cs="Arial"/>
                <w:b/>
                <w:bCs/>
                <w:sz w:val="18"/>
                <w:szCs w:val="18"/>
              </w:rPr>
            </w:pPr>
            <w:r w:rsidRPr="00E80325">
              <w:rPr>
                <w:rFonts w:ascii="Arial" w:hAnsi="Arial" w:cs="Arial"/>
                <w:b/>
                <w:bCs/>
                <w:sz w:val="18"/>
                <w:szCs w:val="18"/>
              </w:rPr>
              <w:t>(zdroj ŠR) v €</w:t>
            </w:r>
          </w:p>
        </w:tc>
        <w:tc>
          <w:tcPr>
            <w:tcW w:w="0" w:type="auto"/>
            <w:shd w:val="clear" w:color="auto" w:fill="D6E3BC"/>
            <w:vAlign w:val="center"/>
          </w:tcPr>
          <w:p w:rsidR="00214ECF" w:rsidRPr="00E80325" w:rsidRDefault="00214ECF" w:rsidP="005D18B1">
            <w:pPr>
              <w:jc w:val="center"/>
              <w:rPr>
                <w:rFonts w:ascii="Arial" w:hAnsi="Arial" w:cs="Arial"/>
                <w:b/>
                <w:bCs/>
                <w:sz w:val="18"/>
                <w:szCs w:val="18"/>
              </w:rPr>
            </w:pPr>
            <w:r w:rsidRPr="00E80325">
              <w:rPr>
                <w:rFonts w:ascii="Arial" w:hAnsi="Arial" w:cs="Arial"/>
                <w:b/>
                <w:bCs/>
                <w:sz w:val="18"/>
                <w:szCs w:val="18"/>
              </w:rPr>
              <w:t>Zazmluvnené</w:t>
            </w:r>
          </w:p>
          <w:p w:rsidR="00214ECF" w:rsidRPr="00E80325" w:rsidRDefault="00214ECF" w:rsidP="005D18B1">
            <w:pPr>
              <w:jc w:val="both"/>
              <w:rPr>
                <w:rFonts w:ascii="Arial" w:hAnsi="Arial" w:cs="Arial"/>
                <w:b/>
                <w:bCs/>
                <w:sz w:val="18"/>
                <w:szCs w:val="18"/>
              </w:rPr>
            </w:pPr>
            <w:r w:rsidRPr="00E80325">
              <w:rPr>
                <w:rFonts w:ascii="Arial" w:hAnsi="Arial" w:cs="Arial"/>
                <w:b/>
                <w:bCs/>
                <w:sz w:val="18"/>
                <w:szCs w:val="18"/>
              </w:rPr>
              <w:t>(EÚ + ŠR) v €</w:t>
            </w:r>
          </w:p>
        </w:tc>
      </w:tr>
      <w:tr w:rsidR="00214ECF" w:rsidRPr="00E80325" w:rsidTr="006A551B">
        <w:trPr>
          <w:trHeight w:val="20"/>
        </w:trPr>
        <w:tc>
          <w:tcPr>
            <w:tcW w:w="0" w:type="auto"/>
            <w:shd w:val="clear" w:color="auto" w:fill="EAF1DD"/>
            <w:noWrap/>
            <w:vAlign w:val="center"/>
          </w:tcPr>
          <w:p w:rsidR="00214ECF" w:rsidRPr="00E80325" w:rsidRDefault="00214ECF" w:rsidP="005D18B1">
            <w:pPr>
              <w:jc w:val="both"/>
              <w:rPr>
                <w:rFonts w:ascii="Arial" w:hAnsi="Arial" w:cs="Arial"/>
                <w:sz w:val="18"/>
                <w:szCs w:val="18"/>
              </w:rPr>
            </w:pPr>
            <w:r w:rsidRPr="00E80325">
              <w:rPr>
                <w:rFonts w:ascii="Arial" w:hAnsi="Arial" w:cs="Arial"/>
                <w:sz w:val="18"/>
                <w:szCs w:val="18"/>
              </w:rPr>
              <w:t xml:space="preserve">Mapy povodňového </w:t>
            </w:r>
          </w:p>
          <w:p w:rsidR="00214ECF" w:rsidRPr="00E80325" w:rsidRDefault="00214ECF" w:rsidP="005D18B1">
            <w:pPr>
              <w:jc w:val="both"/>
              <w:rPr>
                <w:rFonts w:ascii="Arial" w:hAnsi="Arial" w:cs="Arial"/>
                <w:sz w:val="18"/>
                <w:szCs w:val="18"/>
              </w:rPr>
            </w:pPr>
            <w:r w:rsidRPr="00E80325">
              <w:rPr>
                <w:rFonts w:ascii="Arial" w:hAnsi="Arial" w:cs="Arial"/>
                <w:sz w:val="18"/>
                <w:szCs w:val="18"/>
              </w:rPr>
              <w:t xml:space="preserve">ohrozenia a rizika </w:t>
            </w:r>
          </w:p>
          <w:p w:rsidR="00214ECF" w:rsidRPr="00E80325" w:rsidRDefault="00214ECF" w:rsidP="005D18B1">
            <w:pPr>
              <w:jc w:val="both"/>
              <w:rPr>
                <w:rFonts w:ascii="Arial" w:hAnsi="Arial" w:cs="Arial"/>
                <w:sz w:val="18"/>
                <w:szCs w:val="18"/>
              </w:rPr>
            </w:pPr>
            <w:r w:rsidRPr="00E80325">
              <w:rPr>
                <w:rFonts w:ascii="Arial" w:hAnsi="Arial" w:cs="Arial"/>
                <w:sz w:val="18"/>
                <w:szCs w:val="18"/>
              </w:rPr>
              <w:t>vodných tokov SR</w:t>
            </w:r>
          </w:p>
        </w:tc>
        <w:tc>
          <w:tcPr>
            <w:tcW w:w="0" w:type="auto"/>
            <w:vAlign w:val="center"/>
          </w:tcPr>
          <w:p w:rsidR="00214ECF" w:rsidRPr="00E80325" w:rsidRDefault="00214ECF" w:rsidP="005D18B1">
            <w:pPr>
              <w:jc w:val="both"/>
              <w:rPr>
                <w:rFonts w:ascii="Arial" w:hAnsi="Arial" w:cs="Arial"/>
                <w:sz w:val="18"/>
                <w:szCs w:val="18"/>
              </w:rPr>
            </w:pPr>
            <w:r w:rsidRPr="00E80325">
              <w:rPr>
                <w:rFonts w:ascii="Arial" w:hAnsi="Arial" w:cs="Arial"/>
                <w:sz w:val="18"/>
                <w:szCs w:val="18"/>
              </w:rPr>
              <w:t>Slovenský vodohospodársky podnik, š.p.</w:t>
            </w:r>
          </w:p>
        </w:tc>
        <w:tc>
          <w:tcPr>
            <w:tcW w:w="0" w:type="auto"/>
            <w:vAlign w:val="center"/>
          </w:tcPr>
          <w:p w:rsidR="00214ECF" w:rsidRPr="00E80325" w:rsidRDefault="00214ECF" w:rsidP="005D18B1">
            <w:pPr>
              <w:jc w:val="both"/>
              <w:rPr>
                <w:rFonts w:ascii="Arial" w:hAnsi="Arial" w:cs="Arial"/>
                <w:sz w:val="18"/>
                <w:szCs w:val="18"/>
              </w:rPr>
            </w:pPr>
            <w:r w:rsidRPr="00E80325">
              <w:rPr>
                <w:rFonts w:ascii="Arial" w:hAnsi="Arial" w:cs="Arial"/>
                <w:sz w:val="18"/>
                <w:szCs w:val="18"/>
              </w:rPr>
              <w:t>V realizácii</w:t>
            </w:r>
            <w:r w:rsidRPr="00E80325" w:rsidDel="006970C1">
              <w:rPr>
                <w:rFonts w:ascii="Arial" w:hAnsi="Arial" w:cs="Arial"/>
                <w:sz w:val="18"/>
                <w:szCs w:val="18"/>
              </w:rPr>
              <w:t xml:space="preserve"> </w:t>
            </w:r>
          </w:p>
        </w:tc>
        <w:tc>
          <w:tcPr>
            <w:tcW w:w="0" w:type="auto"/>
            <w:vAlign w:val="center"/>
          </w:tcPr>
          <w:p w:rsidR="00214ECF" w:rsidRPr="00E80325" w:rsidRDefault="00214ECF" w:rsidP="005D18B1">
            <w:pPr>
              <w:jc w:val="both"/>
              <w:rPr>
                <w:rFonts w:ascii="Arial" w:hAnsi="Arial" w:cs="Arial"/>
                <w:sz w:val="18"/>
                <w:szCs w:val="18"/>
              </w:rPr>
            </w:pPr>
            <w:r w:rsidRPr="00E80325">
              <w:rPr>
                <w:rFonts w:ascii="Arial" w:hAnsi="Arial" w:cs="Arial"/>
                <w:sz w:val="18"/>
                <w:szCs w:val="18"/>
              </w:rPr>
              <w:t>10 191 411,71</w:t>
            </w:r>
          </w:p>
        </w:tc>
        <w:tc>
          <w:tcPr>
            <w:tcW w:w="0" w:type="auto"/>
            <w:vAlign w:val="center"/>
          </w:tcPr>
          <w:p w:rsidR="00214ECF" w:rsidRPr="00E80325" w:rsidRDefault="00214ECF" w:rsidP="005D18B1">
            <w:pPr>
              <w:jc w:val="both"/>
              <w:rPr>
                <w:rFonts w:ascii="Arial" w:hAnsi="Arial" w:cs="Arial"/>
                <w:sz w:val="18"/>
                <w:szCs w:val="18"/>
              </w:rPr>
            </w:pPr>
            <w:r w:rsidRPr="00E80325">
              <w:rPr>
                <w:rFonts w:ascii="Arial" w:hAnsi="Arial" w:cs="Arial"/>
                <w:sz w:val="18"/>
                <w:szCs w:val="18"/>
              </w:rPr>
              <w:t>1 798 484,42</w:t>
            </w:r>
          </w:p>
        </w:tc>
        <w:tc>
          <w:tcPr>
            <w:tcW w:w="0" w:type="auto"/>
            <w:vAlign w:val="center"/>
          </w:tcPr>
          <w:p w:rsidR="00214ECF" w:rsidRPr="00E80325" w:rsidRDefault="00214ECF" w:rsidP="005D18B1">
            <w:pPr>
              <w:jc w:val="both"/>
              <w:rPr>
                <w:rFonts w:ascii="Arial" w:hAnsi="Arial" w:cs="Arial"/>
                <w:sz w:val="18"/>
                <w:szCs w:val="18"/>
              </w:rPr>
            </w:pPr>
            <w:r w:rsidRPr="00E80325">
              <w:rPr>
                <w:rFonts w:ascii="Arial" w:hAnsi="Arial" w:cs="Arial"/>
                <w:sz w:val="18"/>
                <w:szCs w:val="18"/>
              </w:rPr>
              <w:t>11 989 896,13</w:t>
            </w:r>
          </w:p>
        </w:tc>
      </w:tr>
    </w:tbl>
    <w:p w:rsidR="00214ECF" w:rsidRPr="00E80325" w:rsidRDefault="00214ECF" w:rsidP="005D18B1">
      <w:pPr>
        <w:spacing w:line="360" w:lineRule="auto"/>
        <w:jc w:val="both"/>
        <w:rPr>
          <w:rFonts w:ascii="Arial" w:hAnsi="Arial" w:cs="Arial"/>
          <w:sz w:val="18"/>
          <w:szCs w:val="18"/>
        </w:rPr>
      </w:pPr>
      <w:r w:rsidRPr="00E80325">
        <w:rPr>
          <w:rFonts w:ascii="Arial" w:hAnsi="Arial" w:cs="Arial"/>
          <w:sz w:val="18"/>
          <w:szCs w:val="18"/>
        </w:rPr>
        <w:t>Zdroj: RO</w:t>
      </w:r>
    </w:p>
    <w:p w:rsidR="00214ECF" w:rsidRPr="00E80325" w:rsidRDefault="00214ECF" w:rsidP="001540E7">
      <w:pPr>
        <w:numPr>
          <w:ilvl w:val="0"/>
          <w:numId w:val="32"/>
        </w:numPr>
        <w:tabs>
          <w:tab w:val="clear" w:pos="1438"/>
        </w:tabs>
        <w:spacing w:before="120" w:after="120" w:line="360" w:lineRule="auto"/>
        <w:ind w:left="426" w:hanging="426"/>
        <w:jc w:val="both"/>
        <w:rPr>
          <w:rFonts w:ascii="Arial" w:hAnsi="Arial" w:cs="Arial"/>
          <w:i/>
          <w:sz w:val="20"/>
          <w:szCs w:val="20"/>
        </w:rPr>
      </w:pPr>
      <w:r w:rsidRPr="00E80325">
        <w:rPr>
          <w:rFonts w:ascii="Arial" w:hAnsi="Arial" w:cs="Arial"/>
          <w:sz w:val="20"/>
          <w:szCs w:val="20"/>
        </w:rPr>
        <w:t>Prioritná os 7 Budovanie povodňového varovného a predpovedného systému</w:t>
      </w:r>
    </w:p>
    <w:p w:rsidR="00214ECF" w:rsidRPr="00E80325" w:rsidRDefault="00214ECF" w:rsidP="00507035">
      <w:pPr>
        <w:spacing w:before="120" w:after="120" w:line="360" w:lineRule="auto"/>
        <w:jc w:val="both"/>
        <w:rPr>
          <w:rFonts w:ascii="Arial" w:hAnsi="Arial" w:cs="Arial"/>
          <w:sz w:val="20"/>
          <w:szCs w:val="20"/>
        </w:rPr>
      </w:pPr>
      <w:r w:rsidRPr="00E80325">
        <w:rPr>
          <w:rFonts w:ascii="Arial" w:hAnsi="Arial" w:cs="Arial"/>
          <w:sz w:val="20"/>
          <w:szCs w:val="20"/>
        </w:rPr>
        <w:t xml:space="preserve">V súvislosti s prioritami Dunajskej stratégie má vyššie uvedená prioritná os podstatný význam. </w:t>
      </w:r>
    </w:p>
    <w:p w:rsidR="00214ECF" w:rsidRPr="00E80325" w:rsidRDefault="00214ECF" w:rsidP="00507035">
      <w:pPr>
        <w:spacing w:before="120" w:after="120" w:line="360" w:lineRule="auto"/>
        <w:jc w:val="both"/>
        <w:rPr>
          <w:rFonts w:ascii="Arial" w:hAnsi="Arial" w:cs="Arial"/>
          <w:sz w:val="20"/>
          <w:szCs w:val="20"/>
        </w:rPr>
      </w:pPr>
      <w:r w:rsidRPr="00E80325">
        <w:rPr>
          <w:rFonts w:ascii="Arial" w:hAnsi="Arial" w:cs="Arial"/>
          <w:sz w:val="20"/>
          <w:szCs w:val="20"/>
        </w:rPr>
        <w:t xml:space="preserve">Je zameraná na vybudovanie povodňového varovného a predpovedného systému (POVAPSYS) ako nástroja, umožňujúceho prostredníctvom hydrologických predpovedí, varovaní a výstrah výraznejšie znížiť škody spôsobené povodňami, predovšetkým straty na životoch, ujmy na zdraví ľudí a majetku občanov, miest a obcí. </w:t>
      </w:r>
    </w:p>
    <w:p w:rsidR="00214ECF" w:rsidRPr="00E80325" w:rsidRDefault="00214ECF" w:rsidP="00507035">
      <w:pPr>
        <w:spacing w:before="120" w:after="120" w:line="360" w:lineRule="auto"/>
        <w:jc w:val="both"/>
        <w:rPr>
          <w:rFonts w:ascii="Arial" w:hAnsi="Arial" w:cs="Arial"/>
          <w:sz w:val="20"/>
          <w:szCs w:val="20"/>
        </w:rPr>
      </w:pPr>
      <w:r w:rsidRPr="00E80325">
        <w:rPr>
          <w:rFonts w:ascii="Arial" w:hAnsi="Arial" w:cs="Arial"/>
          <w:i/>
          <w:sz w:val="20"/>
          <w:szCs w:val="20"/>
        </w:rPr>
        <w:t xml:space="preserve">Príklad projektu: </w:t>
      </w:r>
      <w:r w:rsidRPr="00E80325">
        <w:rPr>
          <w:rFonts w:ascii="Arial" w:hAnsi="Arial" w:cs="Arial"/>
          <w:sz w:val="20"/>
          <w:szCs w:val="20"/>
        </w:rPr>
        <w:t xml:space="preserve">V rámci prioritnej osi 7 Budovanie povodňového varovného a predpovedného systému, ktorá bola do OP ŽP doplnená na základe jeho poslednej revízie schválenej v júni 2011, prebieha v súčasnosti príprava rovnomenného projektu zameraného na dobudovanie POVAPSYS. </w:t>
      </w:r>
    </w:p>
    <w:p w:rsidR="00214ECF" w:rsidRPr="00E80325" w:rsidRDefault="00214ECF" w:rsidP="00507035">
      <w:pPr>
        <w:spacing w:before="120" w:after="120" w:line="360" w:lineRule="auto"/>
        <w:jc w:val="both"/>
        <w:rPr>
          <w:rFonts w:ascii="Arial" w:hAnsi="Arial" w:cs="Arial"/>
          <w:sz w:val="20"/>
          <w:szCs w:val="20"/>
        </w:rPr>
      </w:pPr>
      <w:r w:rsidRPr="00E80325">
        <w:rPr>
          <w:rFonts w:ascii="Arial" w:hAnsi="Arial" w:cs="Arial"/>
          <w:sz w:val="20"/>
          <w:szCs w:val="20"/>
        </w:rPr>
        <w:t xml:space="preserve">Na realizáciu uvedeného projektu môžu byť vynaložené prostriedky až do výšky celkovej alokácie na prioritnú os 7, ktorá predstavuje 20 000 000 EUR zo zdrojov EÚ a k nim prislúchajúce spolufinancovanie zo zdrojov štátneho rozpočtu vo výške </w:t>
      </w:r>
      <w:r w:rsidRPr="00E80325">
        <w:rPr>
          <w:rFonts w:ascii="Arial" w:hAnsi="Arial" w:cs="Arial"/>
          <w:bCs/>
          <w:sz w:val="20"/>
          <w:szCs w:val="20"/>
        </w:rPr>
        <w:t>3 529 412 EUR, t.j. spolu 23 529 412</w:t>
      </w:r>
      <w:r w:rsidRPr="00E80325">
        <w:rPr>
          <w:rFonts w:ascii="Arial" w:hAnsi="Arial" w:cs="Arial"/>
          <w:sz w:val="20"/>
          <w:szCs w:val="20"/>
        </w:rPr>
        <w:t xml:space="preserve"> EUR.</w:t>
      </w:r>
    </w:p>
    <w:p w:rsidR="00214ECF" w:rsidRPr="00E80325" w:rsidRDefault="00214ECF" w:rsidP="00507035">
      <w:pPr>
        <w:spacing w:before="120" w:after="120" w:line="360" w:lineRule="auto"/>
        <w:jc w:val="both"/>
        <w:rPr>
          <w:rFonts w:ascii="Arial" w:hAnsi="Arial" w:cs="Arial"/>
          <w:sz w:val="20"/>
          <w:szCs w:val="20"/>
          <w:u w:val="single"/>
        </w:rPr>
      </w:pPr>
      <w:r w:rsidRPr="00E80325">
        <w:rPr>
          <w:rFonts w:ascii="Arial" w:hAnsi="Arial" w:cs="Arial"/>
          <w:sz w:val="20"/>
          <w:szCs w:val="20"/>
          <w:u w:val="single"/>
        </w:rPr>
        <w:t>c) Prioritná oblasť 6. Chrániť biodiverzitu, krajinu a kvalitu ovzdušia a pôd</w:t>
      </w:r>
    </w:p>
    <w:p w:rsidR="00214ECF" w:rsidRPr="00E80325" w:rsidRDefault="00214ECF" w:rsidP="00507035">
      <w:pPr>
        <w:spacing w:before="120" w:after="120" w:line="360" w:lineRule="auto"/>
        <w:jc w:val="both"/>
        <w:rPr>
          <w:rFonts w:ascii="Arial" w:hAnsi="Arial" w:cs="Arial"/>
          <w:sz w:val="20"/>
          <w:szCs w:val="20"/>
        </w:rPr>
      </w:pPr>
      <w:r w:rsidRPr="00E80325">
        <w:rPr>
          <w:rFonts w:ascii="Arial" w:hAnsi="Arial" w:cs="Arial"/>
          <w:sz w:val="20"/>
          <w:szCs w:val="20"/>
        </w:rPr>
        <w:t>Uvedená prioritná oblasť Dunajskej stratégie zahŕňa v súlade s jej Akčným plánom široké spektrum aktivít, s ktorými v rámci OP ŽP svojím zameraním súvisia:</w:t>
      </w:r>
    </w:p>
    <w:p w:rsidR="00214ECF" w:rsidRPr="00E80325" w:rsidRDefault="00214ECF" w:rsidP="001540E7">
      <w:pPr>
        <w:numPr>
          <w:ilvl w:val="0"/>
          <w:numId w:val="30"/>
        </w:numPr>
        <w:tabs>
          <w:tab w:val="clear" w:pos="1440"/>
        </w:tabs>
        <w:spacing w:before="120" w:after="120" w:line="360" w:lineRule="auto"/>
        <w:ind w:left="426" w:hanging="426"/>
        <w:jc w:val="both"/>
        <w:rPr>
          <w:rFonts w:ascii="Arial" w:hAnsi="Arial" w:cs="Arial"/>
          <w:sz w:val="20"/>
          <w:szCs w:val="20"/>
        </w:rPr>
      </w:pPr>
      <w:r w:rsidRPr="00E80325">
        <w:rPr>
          <w:rFonts w:ascii="Arial" w:hAnsi="Arial" w:cs="Arial"/>
          <w:b/>
          <w:sz w:val="20"/>
          <w:szCs w:val="20"/>
        </w:rPr>
        <w:t xml:space="preserve"> </w:t>
      </w:r>
      <w:r w:rsidRPr="00E80325">
        <w:rPr>
          <w:rFonts w:ascii="Arial" w:hAnsi="Arial" w:cs="Arial"/>
          <w:sz w:val="20"/>
          <w:szCs w:val="20"/>
        </w:rPr>
        <w:t>Prioritná os 3 Ochrana ovzdušia a minimalizácia nepriaznivých vplyvov zmeny klímy pred povodňami</w:t>
      </w:r>
      <w:r w:rsidRPr="00E80325">
        <w:rPr>
          <w:rFonts w:ascii="Arial" w:hAnsi="Arial" w:cs="Arial"/>
          <w:bCs/>
          <w:sz w:val="20"/>
          <w:szCs w:val="20"/>
        </w:rPr>
        <w:t>, a to:</w:t>
      </w:r>
    </w:p>
    <w:p w:rsidR="00214ECF" w:rsidRPr="00E80325" w:rsidRDefault="00214ECF" w:rsidP="001540E7">
      <w:pPr>
        <w:numPr>
          <w:ilvl w:val="0"/>
          <w:numId w:val="33"/>
        </w:numPr>
        <w:tabs>
          <w:tab w:val="num" w:pos="851"/>
        </w:tabs>
        <w:spacing w:before="120" w:after="120" w:line="360" w:lineRule="auto"/>
        <w:jc w:val="both"/>
        <w:rPr>
          <w:rFonts w:ascii="Arial" w:hAnsi="Arial" w:cs="Arial"/>
          <w:b/>
          <w:i/>
          <w:sz w:val="20"/>
          <w:szCs w:val="20"/>
        </w:rPr>
      </w:pPr>
      <w:r w:rsidRPr="00E80325">
        <w:rPr>
          <w:rFonts w:ascii="Arial" w:hAnsi="Arial" w:cs="Arial"/>
          <w:i/>
          <w:sz w:val="20"/>
          <w:szCs w:val="20"/>
        </w:rPr>
        <w:t xml:space="preserve"> operačný cieľ 3.1 Ochrana ovzdušia,</w:t>
      </w:r>
      <w:r w:rsidRPr="00E80325">
        <w:rPr>
          <w:rFonts w:ascii="Arial" w:hAnsi="Arial" w:cs="Arial"/>
          <w:b/>
          <w:i/>
          <w:sz w:val="20"/>
          <w:szCs w:val="20"/>
        </w:rPr>
        <w:t xml:space="preserve"> </w:t>
      </w:r>
      <w:r w:rsidRPr="00E80325">
        <w:rPr>
          <w:rFonts w:ascii="Arial" w:hAnsi="Arial" w:cs="Arial"/>
          <w:sz w:val="20"/>
          <w:szCs w:val="20"/>
        </w:rPr>
        <w:t xml:space="preserve">konkrétne nasledujúce aktivity: </w:t>
      </w:r>
    </w:p>
    <w:p w:rsidR="00214ECF" w:rsidRPr="00E80325" w:rsidRDefault="00214ECF" w:rsidP="00507035">
      <w:pPr>
        <w:spacing w:before="120" w:after="120" w:line="360" w:lineRule="auto"/>
        <w:jc w:val="both"/>
        <w:rPr>
          <w:rFonts w:ascii="Arial" w:hAnsi="Arial" w:cs="Arial"/>
          <w:i/>
          <w:sz w:val="20"/>
          <w:szCs w:val="20"/>
        </w:rPr>
      </w:pPr>
      <w:r w:rsidRPr="00E80325">
        <w:rPr>
          <w:rFonts w:ascii="Arial" w:hAnsi="Arial" w:cs="Arial"/>
          <w:i/>
          <w:sz w:val="20"/>
          <w:szCs w:val="20"/>
        </w:rPr>
        <w:t>-</w:t>
      </w:r>
      <w:r w:rsidRPr="00E80325">
        <w:rPr>
          <w:rFonts w:ascii="Arial" w:hAnsi="Arial" w:cs="Arial"/>
          <w:b/>
          <w:i/>
          <w:sz w:val="20"/>
          <w:szCs w:val="20"/>
        </w:rPr>
        <w:t xml:space="preserve"> </w:t>
      </w:r>
      <w:r w:rsidRPr="00E80325">
        <w:rPr>
          <w:rFonts w:ascii="Arial" w:hAnsi="Arial" w:cs="Arial"/>
          <w:i/>
          <w:sz w:val="20"/>
          <w:szCs w:val="20"/>
        </w:rPr>
        <w:t>III. skupina: Riešenie kvality ovzdušia a skvalitňovanie a odborná podpora monitorovania emisií a kvality ovzdušia podľa požiadaviek EÚ ako aj skvalitnenie Národného emisného informačného systému (NEIS).</w:t>
      </w:r>
    </w:p>
    <w:p w:rsidR="00214ECF" w:rsidRPr="00E80325" w:rsidRDefault="00214ECF" w:rsidP="00507035">
      <w:pPr>
        <w:spacing w:before="120" w:after="120" w:line="360" w:lineRule="auto"/>
        <w:jc w:val="both"/>
        <w:rPr>
          <w:rFonts w:ascii="Arial" w:hAnsi="Arial" w:cs="Arial"/>
          <w:sz w:val="20"/>
          <w:szCs w:val="20"/>
        </w:rPr>
      </w:pPr>
      <w:r w:rsidRPr="00E80325">
        <w:rPr>
          <w:rFonts w:ascii="Arial" w:hAnsi="Arial" w:cs="Arial"/>
          <w:sz w:val="20"/>
          <w:szCs w:val="20"/>
        </w:rPr>
        <w:t>Význam vyššie uvedenej skupiny aktivít OP ŽP z hľadiska ich súvislosti s cieľmi Dunajskej stratégie je skôr okrajový. Ich korelácia s prioritami Dunajskej stratégie súvisí najmä s ich potenciálom pôsobiť svojimi výsledkami na dunajský makroregión alebo aspoň na jeho významnú časť, keďže aktivity tohto typu sú zamerané na skvalitňovanie monitorovacieho systému kvality ovzdušia SR v zmysle požiadaviek smerníc EÚ a dovybavenie meracích staníc Národnej monitorovacej siete kvality ovzdušia s cieľom zjednotenia systémov monitorovania a prenosu dát o kvalite ovzdušie, čo prispeje ku kompatibilite a porovnateľnosti týchto dát v rámci jednotlivých krajín v povodí Dunaja.</w:t>
      </w:r>
    </w:p>
    <w:p w:rsidR="00214ECF" w:rsidRPr="00E80325" w:rsidRDefault="00214ECF" w:rsidP="005D18B1">
      <w:pPr>
        <w:spacing w:line="360" w:lineRule="auto"/>
        <w:jc w:val="both"/>
        <w:rPr>
          <w:rFonts w:ascii="Arial" w:hAnsi="Arial" w:cs="Arial"/>
          <w:sz w:val="20"/>
          <w:szCs w:val="20"/>
        </w:rPr>
      </w:pPr>
      <w:r w:rsidRPr="00E80325">
        <w:rPr>
          <w:rFonts w:ascii="Arial" w:hAnsi="Arial" w:cs="Arial"/>
          <w:sz w:val="20"/>
          <w:szCs w:val="20"/>
        </w:rPr>
        <w:t xml:space="preserve">Tab. č. </w:t>
      </w:r>
      <w:r w:rsidR="007B7519">
        <w:rPr>
          <w:rFonts w:ascii="Arial" w:hAnsi="Arial" w:cs="Arial"/>
          <w:sz w:val="20"/>
          <w:szCs w:val="20"/>
        </w:rPr>
        <w:t>28</w:t>
      </w:r>
      <w:r w:rsidRPr="00E80325">
        <w:rPr>
          <w:rFonts w:ascii="Arial" w:hAnsi="Arial" w:cs="Arial"/>
          <w:sz w:val="20"/>
          <w:szCs w:val="20"/>
        </w:rPr>
        <w:t>: Príklad projektu</w:t>
      </w:r>
    </w:p>
    <w:tbl>
      <w:tblPr>
        <w:tblW w:w="9356"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332"/>
        <w:gridCol w:w="1921"/>
        <w:gridCol w:w="1134"/>
        <w:gridCol w:w="1281"/>
        <w:gridCol w:w="1281"/>
        <w:gridCol w:w="1407"/>
      </w:tblGrid>
      <w:tr w:rsidR="00214ECF" w:rsidRPr="00E80325" w:rsidTr="006A551B">
        <w:trPr>
          <w:trHeight w:val="20"/>
        </w:trPr>
        <w:tc>
          <w:tcPr>
            <w:tcW w:w="0" w:type="auto"/>
            <w:shd w:val="clear" w:color="auto" w:fill="D6E3BC"/>
            <w:vAlign w:val="center"/>
          </w:tcPr>
          <w:p w:rsidR="00214ECF" w:rsidRPr="00E80325" w:rsidRDefault="00214ECF" w:rsidP="005D18B1">
            <w:pPr>
              <w:jc w:val="center"/>
              <w:rPr>
                <w:rFonts w:ascii="Arial" w:hAnsi="Arial" w:cs="Arial"/>
                <w:b/>
                <w:bCs/>
                <w:sz w:val="18"/>
                <w:szCs w:val="18"/>
              </w:rPr>
            </w:pPr>
            <w:r w:rsidRPr="00E80325">
              <w:rPr>
                <w:rFonts w:ascii="Arial" w:hAnsi="Arial" w:cs="Arial"/>
                <w:b/>
                <w:bCs/>
                <w:sz w:val="18"/>
                <w:szCs w:val="18"/>
              </w:rPr>
              <w:t>Názov projektu</w:t>
            </w:r>
          </w:p>
        </w:tc>
        <w:tc>
          <w:tcPr>
            <w:tcW w:w="1921" w:type="dxa"/>
            <w:shd w:val="clear" w:color="auto" w:fill="D6E3BC"/>
            <w:vAlign w:val="center"/>
          </w:tcPr>
          <w:p w:rsidR="00214ECF" w:rsidRPr="00E80325" w:rsidRDefault="00214ECF" w:rsidP="005D18B1">
            <w:pPr>
              <w:jc w:val="center"/>
              <w:rPr>
                <w:rFonts w:ascii="Arial" w:hAnsi="Arial" w:cs="Arial"/>
                <w:b/>
                <w:bCs/>
                <w:sz w:val="18"/>
                <w:szCs w:val="18"/>
              </w:rPr>
            </w:pPr>
            <w:r w:rsidRPr="00E80325">
              <w:rPr>
                <w:rFonts w:ascii="Arial" w:hAnsi="Arial" w:cs="Arial"/>
                <w:b/>
                <w:bCs/>
                <w:sz w:val="18"/>
                <w:szCs w:val="18"/>
              </w:rPr>
              <w:t>Prijímateľ</w:t>
            </w:r>
          </w:p>
        </w:tc>
        <w:tc>
          <w:tcPr>
            <w:tcW w:w="1134" w:type="dxa"/>
            <w:shd w:val="clear" w:color="auto" w:fill="D6E3BC"/>
            <w:vAlign w:val="center"/>
          </w:tcPr>
          <w:p w:rsidR="00214ECF" w:rsidRPr="00E80325" w:rsidRDefault="00214ECF" w:rsidP="005D18B1">
            <w:pPr>
              <w:jc w:val="center"/>
              <w:rPr>
                <w:rFonts w:ascii="Arial" w:hAnsi="Arial" w:cs="Arial"/>
                <w:b/>
                <w:bCs/>
                <w:sz w:val="18"/>
                <w:szCs w:val="18"/>
              </w:rPr>
            </w:pPr>
            <w:r w:rsidRPr="00E80325">
              <w:rPr>
                <w:rFonts w:ascii="Arial" w:hAnsi="Arial" w:cs="Arial"/>
                <w:b/>
                <w:bCs/>
                <w:sz w:val="18"/>
                <w:szCs w:val="18"/>
              </w:rPr>
              <w:t>Aktuálny stav</w:t>
            </w:r>
          </w:p>
        </w:tc>
        <w:tc>
          <w:tcPr>
            <w:tcW w:w="1281" w:type="dxa"/>
            <w:shd w:val="clear" w:color="auto" w:fill="D6E3BC"/>
            <w:vAlign w:val="center"/>
          </w:tcPr>
          <w:p w:rsidR="00214ECF" w:rsidRPr="00E80325" w:rsidRDefault="00214ECF" w:rsidP="005D18B1">
            <w:pPr>
              <w:jc w:val="center"/>
              <w:rPr>
                <w:rFonts w:ascii="Arial" w:hAnsi="Arial" w:cs="Arial"/>
                <w:b/>
                <w:bCs/>
                <w:sz w:val="18"/>
                <w:szCs w:val="18"/>
              </w:rPr>
            </w:pPr>
            <w:r w:rsidRPr="00E80325">
              <w:rPr>
                <w:rFonts w:ascii="Arial" w:hAnsi="Arial" w:cs="Arial"/>
                <w:b/>
                <w:bCs/>
                <w:sz w:val="18"/>
                <w:szCs w:val="18"/>
              </w:rPr>
              <w:t>Zazmluvnené</w:t>
            </w:r>
          </w:p>
          <w:p w:rsidR="00214ECF" w:rsidRPr="00E80325" w:rsidRDefault="00214ECF" w:rsidP="005D18B1">
            <w:pPr>
              <w:jc w:val="center"/>
              <w:rPr>
                <w:rFonts w:ascii="Arial" w:hAnsi="Arial" w:cs="Arial"/>
                <w:b/>
                <w:bCs/>
                <w:sz w:val="18"/>
                <w:szCs w:val="18"/>
              </w:rPr>
            </w:pPr>
            <w:r w:rsidRPr="00E80325">
              <w:rPr>
                <w:rFonts w:ascii="Arial" w:hAnsi="Arial" w:cs="Arial"/>
                <w:b/>
                <w:bCs/>
                <w:sz w:val="18"/>
                <w:szCs w:val="18"/>
              </w:rPr>
              <w:t>(zdroj EÚ) v €</w:t>
            </w:r>
          </w:p>
        </w:tc>
        <w:tc>
          <w:tcPr>
            <w:tcW w:w="1281" w:type="dxa"/>
            <w:shd w:val="clear" w:color="auto" w:fill="D6E3BC"/>
            <w:vAlign w:val="center"/>
          </w:tcPr>
          <w:p w:rsidR="00214ECF" w:rsidRPr="00E80325" w:rsidRDefault="00214ECF" w:rsidP="005D18B1">
            <w:pPr>
              <w:jc w:val="center"/>
              <w:rPr>
                <w:rFonts w:ascii="Arial" w:hAnsi="Arial" w:cs="Arial"/>
                <w:b/>
                <w:bCs/>
                <w:sz w:val="18"/>
                <w:szCs w:val="18"/>
              </w:rPr>
            </w:pPr>
            <w:r w:rsidRPr="00E80325">
              <w:rPr>
                <w:rFonts w:ascii="Arial" w:hAnsi="Arial" w:cs="Arial"/>
                <w:b/>
                <w:bCs/>
                <w:sz w:val="18"/>
                <w:szCs w:val="18"/>
              </w:rPr>
              <w:t>Zazmluvnené</w:t>
            </w:r>
          </w:p>
          <w:p w:rsidR="00214ECF" w:rsidRPr="00E80325" w:rsidRDefault="00214ECF" w:rsidP="005D18B1">
            <w:pPr>
              <w:jc w:val="center"/>
              <w:rPr>
                <w:rFonts w:ascii="Arial" w:hAnsi="Arial" w:cs="Arial"/>
                <w:b/>
                <w:bCs/>
                <w:sz w:val="18"/>
                <w:szCs w:val="18"/>
              </w:rPr>
            </w:pPr>
            <w:r w:rsidRPr="00E80325">
              <w:rPr>
                <w:rFonts w:ascii="Arial" w:hAnsi="Arial" w:cs="Arial"/>
                <w:b/>
                <w:bCs/>
                <w:sz w:val="18"/>
                <w:szCs w:val="18"/>
              </w:rPr>
              <w:t>(zdroj ŠR) v €</w:t>
            </w:r>
          </w:p>
        </w:tc>
        <w:tc>
          <w:tcPr>
            <w:tcW w:w="1407" w:type="dxa"/>
            <w:shd w:val="clear" w:color="auto" w:fill="D6E3BC"/>
            <w:vAlign w:val="center"/>
          </w:tcPr>
          <w:p w:rsidR="00214ECF" w:rsidRPr="00E80325" w:rsidRDefault="00214ECF" w:rsidP="005D18B1">
            <w:pPr>
              <w:jc w:val="center"/>
              <w:rPr>
                <w:rFonts w:ascii="Arial" w:hAnsi="Arial" w:cs="Arial"/>
                <w:b/>
                <w:bCs/>
                <w:sz w:val="18"/>
                <w:szCs w:val="18"/>
              </w:rPr>
            </w:pPr>
            <w:r w:rsidRPr="00E80325">
              <w:rPr>
                <w:rFonts w:ascii="Arial" w:hAnsi="Arial" w:cs="Arial"/>
                <w:b/>
                <w:bCs/>
                <w:sz w:val="18"/>
                <w:szCs w:val="18"/>
              </w:rPr>
              <w:t>Zazmluvnené</w:t>
            </w:r>
          </w:p>
          <w:p w:rsidR="00214ECF" w:rsidRPr="00E80325" w:rsidRDefault="00214ECF" w:rsidP="005D18B1">
            <w:pPr>
              <w:jc w:val="center"/>
              <w:rPr>
                <w:rFonts w:ascii="Arial" w:hAnsi="Arial" w:cs="Arial"/>
                <w:b/>
                <w:bCs/>
                <w:sz w:val="18"/>
                <w:szCs w:val="18"/>
              </w:rPr>
            </w:pPr>
            <w:r w:rsidRPr="00E80325">
              <w:rPr>
                <w:rFonts w:ascii="Arial" w:hAnsi="Arial" w:cs="Arial"/>
                <w:b/>
                <w:bCs/>
                <w:sz w:val="18"/>
                <w:szCs w:val="18"/>
              </w:rPr>
              <w:t>(EÚ + ŠR) v €</w:t>
            </w:r>
          </w:p>
        </w:tc>
      </w:tr>
      <w:tr w:rsidR="00214ECF" w:rsidRPr="00E80325" w:rsidTr="006A551B">
        <w:trPr>
          <w:trHeight w:val="20"/>
        </w:trPr>
        <w:tc>
          <w:tcPr>
            <w:tcW w:w="0" w:type="auto"/>
            <w:shd w:val="clear" w:color="auto" w:fill="EAF1DD"/>
            <w:noWrap/>
            <w:vAlign w:val="center"/>
          </w:tcPr>
          <w:p w:rsidR="00214ECF" w:rsidRPr="00E80325" w:rsidRDefault="00214ECF" w:rsidP="005D18B1">
            <w:pPr>
              <w:jc w:val="both"/>
              <w:rPr>
                <w:rFonts w:ascii="Arial" w:hAnsi="Arial" w:cs="Arial"/>
                <w:sz w:val="18"/>
                <w:szCs w:val="18"/>
              </w:rPr>
            </w:pPr>
            <w:r w:rsidRPr="00E80325">
              <w:rPr>
                <w:rFonts w:ascii="Arial" w:hAnsi="Arial" w:cs="Arial"/>
                <w:sz w:val="18"/>
                <w:szCs w:val="18"/>
              </w:rPr>
              <w:t xml:space="preserve">Systémové a technologické </w:t>
            </w:r>
          </w:p>
          <w:p w:rsidR="00214ECF" w:rsidRPr="00E80325" w:rsidRDefault="00214ECF" w:rsidP="005D18B1">
            <w:pPr>
              <w:jc w:val="both"/>
              <w:rPr>
                <w:rFonts w:ascii="Arial" w:hAnsi="Arial" w:cs="Arial"/>
                <w:sz w:val="18"/>
                <w:szCs w:val="18"/>
              </w:rPr>
            </w:pPr>
            <w:r w:rsidRPr="00E80325">
              <w:rPr>
                <w:rFonts w:ascii="Arial" w:hAnsi="Arial" w:cs="Arial"/>
                <w:sz w:val="18"/>
                <w:szCs w:val="18"/>
              </w:rPr>
              <w:t xml:space="preserve">zabezpečenie IS </w:t>
            </w:r>
          </w:p>
          <w:p w:rsidR="00214ECF" w:rsidRPr="00E80325" w:rsidRDefault="00214ECF" w:rsidP="005D18B1">
            <w:pPr>
              <w:jc w:val="both"/>
              <w:rPr>
                <w:rFonts w:ascii="Arial" w:hAnsi="Arial" w:cs="Arial"/>
                <w:sz w:val="18"/>
                <w:szCs w:val="18"/>
              </w:rPr>
            </w:pPr>
            <w:r w:rsidRPr="00E80325">
              <w:rPr>
                <w:rFonts w:ascii="Arial" w:hAnsi="Arial" w:cs="Arial"/>
                <w:sz w:val="18"/>
                <w:szCs w:val="18"/>
              </w:rPr>
              <w:t>ovzdušia na SHMÚ</w:t>
            </w:r>
          </w:p>
        </w:tc>
        <w:tc>
          <w:tcPr>
            <w:tcW w:w="1921" w:type="dxa"/>
            <w:vAlign w:val="center"/>
          </w:tcPr>
          <w:p w:rsidR="00214ECF" w:rsidRPr="00E80325" w:rsidRDefault="00214ECF" w:rsidP="005D18B1">
            <w:pPr>
              <w:rPr>
                <w:rFonts w:ascii="Arial" w:hAnsi="Arial" w:cs="Arial"/>
                <w:sz w:val="18"/>
                <w:szCs w:val="18"/>
              </w:rPr>
            </w:pPr>
            <w:r w:rsidRPr="00E80325">
              <w:rPr>
                <w:rFonts w:ascii="Arial" w:hAnsi="Arial" w:cs="Arial"/>
                <w:sz w:val="18"/>
                <w:szCs w:val="18"/>
              </w:rPr>
              <w:t>Slovenský hydro-meteorologický ústav</w:t>
            </w:r>
          </w:p>
        </w:tc>
        <w:tc>
          <w:tcPr>
            <w:tcW w:w="1134" w:type="dxa"/>
            <w:vAlign w:val="center"/>
          </w:tcPr>
          <w:p w:rsidR="00214ECF" w:rsidRPr="00E80325" w:rsidRDefault="00214ECF" w:rsidP="005D18B1">
            <w:pPr>
              <w:jc w:val="center"/>
              <w:rPr>
                <w:rFonts w:ascii="Arial" w:hAnsi="Arial" w:cs="Arial"/>
                <w:sz w:val="18"/>
                <w:szCs w:val="18"/>
              </w:rPr>
            </w:pPr>
            <w:r>
              <w:rPr>
                <w:rFonts w:ascii="Arial" w:hAnsi="Arial" w:cs="Arial"/>
                <w:sz w:val="18"/>
                <w:szCs w:val="18"/>
              </w:rPr>
              <w:t>Riadne ukončený</w:t>
            </w:r>
          </w:p>
        </w:tc>
        <w:tc>
          <w:tcPr>
            <w:tcW w:w="1281" w:type="dxa"/>
            <w:vAlign w:val="center"/>
          </w:tcPr>
          <w:p w:rsidR="00214ECF" w:rsidRPr="00E80325" w:rsidRDefault="00214ECF" w:rsidP="005D18B1">
            <w:pPr>
              <w:jc w:val="center"/>
              <w:rPr>
                <w:rFonts w:ascii="Arial" w:hAnsi="Arial" w:cs="Arial"/>
                <w:sz w:val="18"/>
                <w:szCs w:val="18"/>
              </w:rPr>
            </w:pPr>
            <w:r w:rsidRPr="00E80325">
              <w:rPr>
                <w:rFonts w:ascii="Arial" w:hAnsi="Arial" w:cs="Arial"/>
                <w:sz w:val="18"/>
                <w:szCs w:val="18"/>
              </w:rPr>
              <w:t>1 783 142,05</w:t>
            </w:r>
          </w:p>
        </w:tc>
        <w:tc>
          <w:tcPr>
            <w:tcW w:w="1281" w:type="dxa"/>
            <w:vAlign w:val="center"/>
          </w:tcPr>
          <w:p w:rsidR="00214ECF" w:rsidRPr="00E80325" w:rsidRDefault="00214ECF" w:rsidP="005D18B1">
            <w:pPr>
              <w:jc w:val="center"/>
              <w:rPr>
                <w:rFonts w:ascii="Arial" w:hAnsi="Arial" w:cs="Arial"/>
                <w:sz w:val="18"/>
                <w:szCs w:val="18"/>
              </w:rPr>
            </w:pPr>
            <w:r w:rsidRPr="00E80325">
              <w:rPr>
                <w:rFonts w:ascii="Arial" w:hAnsi="Arial" w:cs="Arial"/>
                <w:sz w:val="18"/>
                <w:szCs w:val="18"/>
              </w:rPr>
              <w:t>314 672,13</w:t>
            </w:r>
          </w:p>
        </w:tc>
        <w:tc>
          <w:tcPr>
            <w:tcW w:w="1407" w:type="dxa"/>
            <w:vAlign w:val="center"/>
          </w:tcPr>
          <w:p w:rsidR="00214ECF" w:rsidRPr="00E80325" w:rsidRDefault="00214ECF" w:rsidP="005D18B1">
            <w:pPr>
              <w:jc w:val="center"/>
              <w:rPr>
                <w:rFonts w:ascii="Arial" w:hAnsi="Arial" w:cs="Arial"/>
                <w:sz w:val="18"/>
                <w:szCs w:val="18"/>
              </w:rPr>
            </w:pPr>
            <w:r w:rsidRPr="00E80325">
              <w:rPr>
                <w:rFonts w:ascii="Arial" w:hAnsi="Arial" w:cs="Arial"/>
                <w:sz w:val="18"/>
                <w:szCs w:val="18"/>
              </w:rPr>
              <w:t>2 097 814,18</w:t>
            </w:r>
          </w:p>
        </w:tc>
      </w:tr>
    </w:tbl>
    <w:p w:rsidR="00214ECF" w:rsidRPr="00E80325" w:rsidRDefault="00214ECF" w:rsidP="005D18B1">
      <w:pPr>
        <w:spacing w:line="360" w:lineRule="auto"/>
        <w:jc w:val="both"/>
        <w:rPr>
          <w:rFonts w:ascii="Arial" w:hAnsi="Arial" w:cs="Arial"/>
          <w:sz w:val="18"/>
          <w:szCs w:val="18"/>
        </w:rPr>
      </w:pPr>
      <w:r w:rsidRPr="00E80325">
        <w:rPr>
          <w:rFonts w:ascii="Arial" w:hAnsi="Arial" w:cs="Arial"/>
          <w:sz w:val="18"/>
          <w:szCs w:val="18"/>
        </w:rPr>
        <w:t>Zdroj: RO</w:t>
      </w:r>
    </w:p>
    <w:p w:rsidR="00214ECF" w:rsidRPr="00E80325" w:rsidRDefault="00214ECF" w:rsidP="001540E7">
      <w:pPr>
        <w:numPr>
          <w:ilvl w:val="0"/>
          <w:numId w:val="33"/>
        </w:numPr>
        <w:tabs>
          <w:tab w:val="num" w:pos="851"/>
        </w:tabs>
        <w:spacing w:before="120" w:after="120" w:line="360" w:lineRule="auto"/>
        <w:jc w:val="both"/>
        <w:rPr>
          <w:rFonts w:ascii="Arial" w:hAnsi="Arial" w:cs="Arial"/>
          <w:sz w:val="20"/>
          <w:szCs w:val="20"/>
        </w:rPr>
      </w:pPr>
      <w:r w:rsidRPr="00E80325">
        <w:rPr>
          <w:rFonts w:ascii="Arial" w:hAnsi="Arial" w:cs="Arial"/>
          <w:i/>
          <w:sz w:val="20"/>
          <w:szCs w:val="20"/>
        </w:rPr>
        <w:t>operačný cieľ 3.2 Minimalizácia nepriaznivých vplyvov zmeny klímy vrátane podpory obnoviteľných zdrojov energie,</w:t>
      </w:r>
      <w:r w:rsidRPr="00E80325">
        <w:rPr>
          <w:rFonts w:ascii="Arial" w:hAnsi="Arial" w:cs="Arial"/>
          <w:b/>
          <w:i/>
          <w:sz w:val="20"/>
          <w:szCs w:val="20"/>
        </w:rPr>
        <w:t xml:space="preserve"> </w:t>
      </w:r>
      <w:r w:rsidRPr="00E80325">
        <w:rPr>
          <w:rFonts w:ascii="Arial" w:hAnsi="Arial" w:cs="Arial"/>
          <w:sz w:val="20"/>
          <w:szCs w:val="20"/>
        </w:rPr>
        <w:t xml:space="preserve">konkrétne nasledujúce aktivity: </w:t>
      </w:r>
    </w:p>
    <w:p w:rsidR="00214ECF" w:rsidRPr="00E80325" w:rsidRDefault="00214ECF" w:rsidP="00507035">
      <w:pPr>
        <w:spacing w:before="120" w:after="120" w:line="360" w:lineRule="auto"/>
        <w:jc w:val="both"/>
        <w:rPr>
          <w:rFonts w:ascii="Arial" w:hAnsi="Arial" w:cs="Arial"/>
          <w:i/>
          <w:sz w:val="20"/>
          <w:szCs w:val="20"/>
        </w:rPr>
      </w:pPr>
      <w:r w:rsidRPr="00E80325">
        <w:rPr>
          <w:rFonts w:ascii="Arial" w:hAnsi="Arial" w:cs="Arial"/>
          <w:i/>
          <w:sz w:val="20"/>
          <w:szCs w:val="20"/>
        </w:rPr>
        <w:t>-</w:t>
      </w:r>
      <w:r w:rsidRPr="00E80325">
        <w:rPr>
          <w:rFonts w:ascii="Arial" w:hAnsi="Arial" w:cs="Arial"/>
          <w:b/>
          <w:i/>
          <w:sz w:val="20"/>
          <w:szCs w:val="20"/>
        </w:rPr>
        <w:t xml:space="preserve"> </w:t>
      </w:r>
      <w:r w:rsidRPr="00E80325">
        <w:rPr>
          <w:rFonts w:ascii="Arial" w:hAnsi="Arial" w:cs="Arial"/>
          <w:i/>
          <w:sz w:val="20"/>
          <w:szCs w:val="20"/>
        </w:rPr>
        <w:t xml:space="preserve">II. skupina: Štúdie dopadov klimatických zmien na zložky životného prostredia, vrátane hodnotenia sociálno-ekonomických dôsledkov a návrhu opatrení </w:t>
      </w:r>
    </w:p>
    <w:p w:rsidR="00214ECF" w:rsidRPr="00E80325" w:rsidRDefault="00214ECF" w:rsidP="00507035">
      <w:pPr>
        <w:spacing w:before="120" w:after="120" w:line="360" w:lineRule="auto"/>
        <w:jc w:val="both"/>
        <w:rPr>
          <w:rFonts w:ascii="Arial" w:hAnsi="Arial" w:cs="Arial"/>
          <w:sz w:val="20"/>
          <w:szCs w:val="20"/>
        </w:rPr>
      </w:pPr>
      <w:r w:rsidRPr="00E80325">
        <w:rPr>
          <w:rFonts w:ascii="Arial" w:hAnsi="Arial" w:cs="Arial"/>
          <w:sz w:val="20"/>
          <w:szCs w:val="20"/>
        </w:rPr>
        <w:t xml:space="preserve">Aktivity v rámci vyššie uvedenej skupiny možno z hľadiska ich korelácie s prioritami Dunajskej stratégie považovať za významné nielen v rámci prioritnej oblasti 6. Chrániť biodiverzitu, krajinu a kvalitu ovzdušia a pôd, ale tiež vo vzťahu k predtým zmienenej prioritnej oblasti 5. Riadiť riziká v oblasti životného prostredia. Ich hlavným zameraním je vypracovanie štúdií dopadov klimatických zmien na zložky životného prostredia a ekonomické sektory s cieľom navrhnúť systém adaptačných opatrení vo vzťahu k prebiehajúcim klimatickým zmenám. </w:t>
      </w:r>
    </w:p>
    <w:p w:rsidR="00214ECF" w:rsidRPr="00E80325" w:rsidRDefault="00214ECF" w:rsidP="005D18B1">
      <w:pPr>
        <w:spacing w:line="360" w:lineRule="auto"/>
        <w:jc w:val="both"/>
        <w:rPr>
          <w:rFonts w:ascii="Arial" w:hAnsi="Arial" w:cs="Arial"/>
          <w:sz w:val="20"/>
          <w:szCs w:val="20"/>
        </w:rPr>
      </w:pPr>
      <w:r w:rsidRPr="00E80325">
        <w:rPr>
          <w:rFonts w:ascii="Arial" w:hAnsi="Arial" w:cs="Arial"/>
          <w:sz w:val="20"/>
          <w:szCs w:val="20"/>
        </w:rPr>
        <w:t xml:space="preserve">Tab. č. </w:t>
      </w:r>
      <w:r w:rsidR="007B7519">
        <w:rPr>
          <w:rFonts w:ascii="Arial" w:hAnsi="Arial" w:cs="Arial"/>
          <w:sz w:val="20"/>
          <w:szCs w:val="20"/>
        </w:rPr>
        <w:t>29</w:t>
      </w:r>
      <w:r w:rsidRPr="00E80325">
        <w:rPr>
          <w:rFonts w:ascii="Arial" w:hAnsi="Arial" w:cs="Arial"/>
          <w:sz w:val="20"/>
          <w:szCs w:val="20"/>
        </w:rPr>
        <w:t>: Príklad projektu</w:t>
      </w:r>
    </w:p>
    <w:tbl>
      <w:tblPr>
        <w:tblW w:w="9220"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522"/>
        <w:gridCol w:w="1590"/>
        <w:gridCol w:w="992"/>
        <w:gridCol w:w="1417"/>
        <w:gridCol w:w="1418"/>
        <w:gridCol w:w="1281"/>
      </w:tblGrid>
      <w:tr w:rsidR="00214ECF" w:rsidRPr="00E80325" w:rsidTr="006A551B">
        <w:trPr>
          <w:trHeight w:val="20"/>
        </w:trPr>
        <w:tc>
          <w:tcPr>
            <w:tcW w:w="0" w:type="auto"/>
            <w:shd w:val="clear" w:color="auto" w:fill="D6E3BC"/>
            <w:vAlign w:val="center"/>
          </w:tcPr>
          <w:p w:rsidR="00214ECF" w:rsidRPr="00E80325" w:rsidRDefault="00214ECF" w:rsidP="005D18B1">
            <w:pPr>
              <w:jc w:val="center"/>
              <w:rPr>
                <w:rFonts w:ascii="Arial" w:hAnsi="Arial" w:cs="Arial"/>
                <w:b/>
                <w:bCs/>
                <w:sz w:val="18"/>
                <w:szCs w:val="18"/>
              </w:rPr>
            </w:pPr>
            <w:r w:rsidRPr="00E80325">
              <w:rPr>
                <w:rFonts w:ascii="Arial" w:hAnsi="Arial" w:cs="Arial"/>
                <w:b/>
                <w:bCs/>
                <w:sz w:val="18"/>
                <w:szCs w:val="18"/>
              </w:rPr>
              <w:t>Názov projektu</w:t>
            </w:r>
          </w:p>
        </w:tc>
        <w:tc>
          <w:tcPr>
            <w:tcW w:w="1590" w:type="dxa"/>
            <w:shd w:val="clear" w:color="auto" w:fill="D6E3BC"/>
            <w:vAlign w:val="center"/>
          </w:tcPr>
          <w:p w:rsidR="00214ECF" w:rsidRPr="00E80325" w:rsidRDefault="00214ECF" w:rsidP="005D18B1">
            <w:pPr>
              <w:jc w:val="center"/>
              <w:rPr>
                <w:rFonts w:ascii="Arial" w:hAnsi="Arial" w:cs="Arial"/>
                <w:b/>
                <w:bCs/>
                <w:sz w:val="18"/>
                <w:szCs w:val="18"/>
              </w:rPr>
            </w:pPr>
            <w:r w:rsidRPr="00E80325">
              <w:rPr>
                <w:rFonts w:ascii="Arial" w:hAnsi="Arial" w:cs="Arial"/>
                <w:b/>
                <w:bCs/>
                <w:sz w:val="18"/>
                <w:szCs w:val="18"/>
              </w:rPr>
              <w:t>Prijímateľ</w:t>
            </w:r>
          </w:p>
        </w:tc>
        <w:tc>
          <w:tcPr>
            <w:tcW w:w="992" w:type="dxa"/>
            <w:shd w:val="clear" w:color="auto" w:fill="D6E3BC"/>
            <w:vAlign w:val="center"/>
          </w:tcPr>
          <w:p w:rsidR="00214ECF" w:rsidRPr="00E80325" w:rsidRDefault="00214ECF" w:rsidP="005D18B1">
            <w:pPr>
              <w:jc w:val="center"/>
              <w:rPr>
                <w:rFonts w:ascii="Arial" w:hAnsi="Arial" w:cs="Arial"/>
                <w:b/>
                <w:bCs/>
                <w:sz w:val="18"/>
                <w:szCs w:val="18"/>
              </w:rPr>
            </w:pPr>
            <w:r w:rsidRPr="00E80325">
              <w:rPr>
                <w:rFonts w:ascii="Arial" w:hAnsi="Arial" w:cs="Arial"/>
                <w:b/>
                <w:bCs/>
                <w:sz w:val="18"/>
                <w:szCs w:val="18"/>
              </w:rPr>
              <w:t>Aktuálny stav</w:t>
            </w:r>
          </w:p>
        </w:tc>
        <w:tc>
          <w:tcPr>
            <w:tcW w:w="1417" w:type="dxa"/>
            <w:shd w:val="clear" w:color="auto" w:fill="D6E3BC"/>
            <w:vAlign w:val="center"/>
          </w:tcPr>
          <w:p w:rsidR="00214ECF" w:rsidRPr="00E80325" w:rsidRDefault="00214ECF" w:rsidP="005D18B1">
            <w:pPr>
              <w:jc w:val="center"/>
              <w:rPr>
                <w:rFonts w:ascii="Arial" w:hAnsi="Arial" w:cs="Arial"/>
                <w:b/>
                <w:bCs/>
                <w:sz w:val="18"/>
                <w:szCs w:val="18"/>
              </w:rPr>
            </w:pPr>
            <w:r w:rsidRPr="00E80325">
              <w:rPr>
                <w:rFonts w:ascii="Arial" w:hAnsi="Arial" w:cs="Arial"/>
                <w:b/>
                <w:bCs/>
                <w:sz w:val="18"/>
                <w:szCs w:val="18"/>
              </w:rPr>
              <w:t>Zazmluvnené</w:t>
            </w:r>
          </w:p>
          <w:p w:rsidR="00214ECF" w:rsidRPr="00E80325" w:rsidRDefault="00214ECF" w:rsidP="005D18B1">
            <w:pPr>
              <w:jc w:val="center"/>
              <w:rPr>
                <w:rFonts w:ascii="Arial" w:hAnsi="Arial" w:cs="Arial"/>
                <w:b/>
                <w:bCs/>
                <w:sz w:val="18"/>
                <w:szCs w:val="18"/>
              </w:rPr>
            </w:pPr>
            <w:r w:rsidRPr="00E80325">
              <w:rPr>
                <w:rFonts w:ascii="Arial" w:hAnsi="Arial" w:cs="Arial"/>
                <w:b/>
                <w:bCs/>
                <w:sz w:val="18"/>
                <w:szCs w:val="18"/>
              </w:rPr>
              <w:t>(zdroj EÚ) v €</w:t>
            </w:r>
          </w:p>
        </w:tc>
        <w:tc>
          <w:tcPr>
            <w:tcW w:w="1418" w:type="dxa"/>
            <w:shd w:val="clear" w:color="auto" w:fill="D6E3BC"/>
            <w:vAlign w:val="center"/>
          </w:tcPr>
          <w:p w:rsidR="00214ECF" w:rsidRPr="00E80325" w:rsidRDefault="00214ECF" w:rsidP="005D18B1">
            <w:pPr>
              <w:jc w:val="center"/>
              <w:rPr>
                <w:rFonts w:ascii="Arial" w:hAnsi="Arial" w:cs="Arial"/>
                <w:b/>
                <w:bCs/>
                <w:sz w:val="18"/>
                <w:szCs w:val="18"/>
              </w:rPr>
            </w:pPr>
            <w:r w:rsidRPr="00E80325">
              <w:rPr>
                <w:rFonts w:ascii="Arial" w:hAnsi="Arial" w:cs="Arial"/>
                <w:b/>
                <w:bCs/>
                <w:sz w:val="18"/>
                <w:szCs w:val="18"/>
              </w:rPr>
              <w:t>Zazmluvnené</w:t>
            </w:r>
          </w:p>
          <w:p w:rsidR="00214ECF" w:rsidRPr="00E80325" w:rsidRDefault="00214ECF" w:rsidP="005D18B1">
            <w:pPr>
              <w:jc w:val="center"/>
              <w:rPr>
                <w:rFonts w:ascii="Arial" w:hAnsi="Arial" w:cs="Arial"/>
                <w:b/>
                <w:bCs/>
                <w:sz w:val="18"/>
                <w:szCs w:val="18"/>
              </w:rPr>
            </w:pPr>
            <w:r w:rsidRPr="00E80325">
              <w:rPr>
                <w:rFonts w:ascii="Arial" w:hAnsi="Arial" w:cs="Arial"/>
                <w:b/>
                <w:bCs/>
                <w:sz w:val="18"/>
                <w:szCs w:val="18"/>
              </w:rPr>
              <w:t>(zdroj ŠR) v €</w:t>
            </w:r>
          </w:p>
        </w:tc>
        <w:tc>
          <w:tcPr>
            <w:tcW w:w="1281" w:type="dxa"/>
            <w:shd w:val="clear" w:color="auto" w:fill="D6E3BC"/>
            <w:vAlign w:val="center"/>
          </w:tcPr>
          <w:p w:rsidR="00214ECF" w:rsidRPr="00E80325" w:rsidRDefault="00214ECF" w:rsidP="005D18B1">
            <w:pPr>
              <w:jc w:val="center"/>
              <w:rPr>
                <w:rFonts w:ascii="Arial" w:hAnsi="Arial" w:cs="Arial"/>
                <w:b/>
                <w:bCs/>
                <w:sz w:val="18"/>
                <w:szCs w:val="18"/>
              </w:rPr>
            </w:pPr>
            <w:r w:rsidRPr="00E80325">
              <w:rPr>
                <w:rFonts w:ascii="Arial" w:hAnsi="Arial" w:cs="Arial"/>
                <w:b/>
                <w:bCs/>
                <w:sz w:val="18"/>
                <w:szCs w:val="18"/>
              </w:rPr>
              <w:t>Zazmluvnené</w:t>
            </w:r>
          </w:p>
          <w:p w:rsidR="00214ECF" w:rsidRPr="00E80325" w:rsidRDefault="00214ECF" w:rsidP="005D18B1">
            <w:pPr>
              <w:jc w:val="center"/>
              <w:rPr>
                <w:rFonts w:ascii="Arial" w:hAnsi="Arial" w:cs="Arial"/>
                <w:b/>
                <w:bCs/>
                <w:sz w:val="18"/>
                <w:szCs w:val="18"/>
              </w:rPr>
            </w:pPr>
            <w:r w:rsidRPr="00E80325">
              <w:rPr>
                <w:rFonts w:ascii="Arial" w:hAnsi="Arial" w:cs="Arial"/>
                <w:b/>
                <w:bCs/>
                <w:sz w:val="18"/>
                <w:szCs w:val="18"/>
              </w:rPr>
              <w:t>(EÚ + ŠR) v €</w:t>
            </w:r>
          </w:p>
        </w:tc>
      </w:tr>
      <w:tr w:rsidR="00214ECF" w:rsidRPr="00E80325" w:rsidTr="006A551B">
        <w:trPr>
          <w:trHeight w:val="20"/>
        </w:trPr>
        <w:tc>
          <w:tcPr>
            <w:tcW w:w="0" w:type="auto"/>
            <w:shd w:val="clear" w:color="auto" w:fill="EAF1DD"/>
            <w:noWrap/>
            <w:vAlign w:val="center"/>
          </w:tcPr>
          <w:p w:rsidR="00214ECF" w:rsidRPr="00E80325" w:rsidRDefault="00214ECF" w:rsidP="005D18B1">
            <w:pPr>
              <w:jc w:val="both"/>
              <w:rPr>
                <w:rFonts w:ascii="Arial" w:hAnsi="Arial" w:cs="Arial"/>
                <w:sz w:val="18"/>
                <w:szCs w:val="18"/>
              </w:rPr>
            </w:pPr>
            <w:r w:rsidRPr="00E80325">
              <w:rPr>
                <w:rFonts w:ascii="Arial" w:hAnsi="Arial" w:cs="Arial"/>
                <w:sz w:val="18"/>
                <w:szCs w:val="18"/>
              </w:rPr>
              <w:t xml:space="preserve">Dôsledky klimatickej zmeny </w:t>
            </w:r>
          </w:p>
          <w:p w:rsidR="00214ECF" w:rsidRPr="00E80325" w:rsidRDefault="00214ECF" w:rsidP="005D18B1">
            <w:pPr>
              <w:jc w:val="both"/>
              <w:rPr>
                <w:rFonts w:ascii="Arial" w:hAnsi="Arial" w:cs="Arial"/>
                <w:sz w:val="18"/>
                <w:szCs w:val="18"/>
              </w:rPr>
            </w:pPr>
            <w:r w:rsidRPr="00E80325">
              <w:rPr>
                <w:rFonts w:ascii="Arial" w:hAnsi="Arial" w:cs="Arial"/>
                <w:sz w:val="18"/>
                <w:szCs w:val="18"/>
              </w:rPr>
              <w:t>a možné adaptačné opatrenia</w:t>
            </w:r>
          </w:p>
          <w:p w:rsidR="00214ECF" w:rsidRPr="00E80325" w:rsidRDefault="00214ECF" w:rsidP="005D18B1">
            <w:pPr>
              <w:rPr>
                <w:rFonts w:ascii="Arial" w:hAnsi="Arial" w:cs="Arial"/>
                <w:sz w:val="18"/>
                <w:szCs w:val="18"/>
              </w:rPr>
            </w:pPr>
            <w:r w:rsidRPr="00E80325">
              <w:rPr>
                <w:rFonts w:ascii="Arial" w:hAnsi="Arial" w:cs="Arial"/>
                <w:sz w:val="18"/>
                <w:szCs w:val="18"/>
              </w:rPr>
              <w:t xml:space="preserve"> v jednotlivých sektoroch</w:t>
            </w:r>
          </w:p>
          <w:p w:rsidR="00214ECF" w:rsidRPr="00E80325" w:rsidRDefault="00214ECF" w:rsidP="005D18B1">
            <w:pPr>
              <w:jc w:val="both"/>
              <w:rPr>
                <w:rFonts w:ascii="Arial" w:hAnsi="Arial" w:cs="Arial"/>
                <w:sz w:val="18"/>
                <w:szCs w:val="18"/>
              </w:rPr>
            </w:pPr>
            <w:r w:rsidRPr="00E80325">
              <w:rPr>
                <w:rFonts w:ascii="Arial" w:hAnsi="Arial" w:cs="Arial"/>
                <w:sz w:val="18"/>
                <w:szCs w:val="18"/>
              </w:rPr>
              <w:t xml:space="preserve"> na Slovensku </w:t>
            </w:r>
          </w:p>
        </w:tc>
        <w:tc>
          <w:tcPr>
            <w:tcW w:w="1590" w:type="dxa"/>
            <w:vAlign w:val="center"/>
          </w:tcPr>
          <w:p w:rsidR="00214ECF" w:rsidRPr="00E80325" w:rsidRDefault="00214ECF" w:rsidP="005D18B1">
            <w:pPr>
              <w:jc w:val="both"/>
              <w:rPr>
                <w:rFonts w:ascii="Arial" w:hAnsi="Arial" w:cs="Arial"/>
                <w:sz w:val="18"/>
                <w:szCs w:val="18"/>
              </w:rPr>
            </w:pPr>
            <w:r w:rsidRPr="00E80325">
              <w:rPr>
                <w:rFonts w:ascii="Arial" w:hAnsi="Arial" w:cs="Arial"/>
                <w:sz w:val="18"/>
                <w:szCs w:val="18"/>
              </w:rPr>
              <w:t>Slovenský hydro-meteorologický ústav</w:t>
            </w:r>
          </w:p>
        </w:tc>
        <w:tc>
          <w:tcPr>
            <w:tcW w:w="992" w:type="dxa"/>
            <w:vAlign w:val="center"/>
          </w:tcPr>
          <w:p w:rsidR="00214ECF" w:rsidRPr="00E80325" w:rsidRDefault="00214ECF" w:rsidP="005D18B1">
            <w:pPr>
              <w:jc w:val="center"/>
              <w:rPr>
                <w:rFonts w:ascii="Arial" w:hAnsi="Arial" w:cs="Arial"/>
                <w:sz w:val="18"/>
                <w:szCs w:val="18"/>
              </w:rPr>
            </w:pPr>
            <w:r w:rsidRPr="00E80325">
              <w:rPr>
                <w:rFonts w:ascii="Arial" w:hAnsi="Arial" w:cs="Arial"/>
                <w:sz w:val="18"/>
                <w:szCs w:val="18"/>
              </w:rPr>
              <w:t>v realizácii</w:t>
            </w:r>
          </w:p>
        </w:tc>
        <w:tc>
          <w:tcPr>
            <w:tcW w:w="1417" w:type="dxa"/>
            <w:vAlign w:val="center"/>
          </w:tcPr>
          <w:p w:rsidR="00214ECF" w:rsidRPr="00E80325" w:rsidRDefault="00214ECF" w:rsidP="005D18B1">
            <w:pPr>
              <w:jc w:val="center"/>
              <w:rPr>
                <w:rFonts w:ascii="Arial" w:hAnsi="Arial" w:cs="Arial"/>
                <w:sz w:val="18"/>
                <w:szCs w:val="18"/>
              </w:rPr>
            </w:pPr>
            <w:r w:rsidRPr="00E80325">
              <w:rPr>
                <w:rFonts w:ascii="Arial" w:hAnsi="Arial" w:cs="Arial"/>
                <w:sz w:val="18"/>
                <w:szCs w:val="18"/>
              </w:rPr>
              <w:t>125 080,25</w:t>
            </w:r>
          </w:p>
        </w:tc>
        <w:tc>
          <w:tcPr>
            <w:tcW w:w="1418" w:type="dxa"/>
            <w:vAlign w:val="center"/>
          </w:tcPr>
          <w:p w:rsidR="00214ECF" w:rsidRPr="00E80325" w:rsidRDefault="00214ECF" w:rsidP="005D18B1">
            <w:pPr>
              <w:jc w:val="center"/>
              <w:rPr>
                <w:rFonts w:ascii="Arial" w:hAnsi="Arial" w:cs="Arial"/>
                <w:sz w:val="18"/>
                <w:szCs w:val="18"/>
              </w:rPr>
            </w:pPr>
            <w:r w:rsidRPr="00E80325">
              <w:rPr>
                <w:rFonts w:ascii="Arial" w:hAnsi="Arial" w:cs="Arial"/>
                <w:sz w:val="18"/>
                <w:szCs w:val="18"/>
              </w:rPr>
              <w:t>22 072,99</w:t>
            </w:r>
          </w:p>
        </w:tc>
        <w:tc>
          <w:tcPr>
            <w:tcW w:w="1281" w:type="dxa"/>
            <w:vAlign w:val="center"/>
          </w:tcPr>
          <w:p w:rsidR="00214ECF" w:rsidRPr="00E80325" w:rsidRDefault="00214ECF" w:rsidP="005D18B1">
            <w:pPr>
              <w:jc w:val="center"/>
              <w:rPr>
                <w:rFonts w:ascii="Arial" w:hAnsi="Arial" w:cs="Arial"/>
                <w:sz w:val="18"/>
                <w:szCs w:val="18"/>
              </w:rPr>
            </w:pPr>
            <w:r w:rsidRPr="00E80325">
              <w:rPr>
                <w:rFonts w:ascii="Arial" w:hAnsi="Arial" w:cs="Arial"/>
                <w:sz w:val="18"/>
                <w:szCs w:val="18"/>
              </w:rPr>
              <w:t>147 153,24</w:t>
            </w:r>
          </w:p>
        </w:tc>
      </w:tr>
    </w:tbl>
    <w:p w:rsidR="00214ECF" w:rsidRPr="00E80325" w:rsidRDefault="00214ECF" w:rsidP="005D18B1">
      <w:pPr>
        <w:spacing w:line="360" w:lineRule="auto"/>
        <w:jc w:val="both"/>
        <w:rPr>
          <w:rFonts w:ascii="Arial" w:hAnsi="Arial" w:cs="Arial"/>
          <w:sz w:val="18"/>
          <w:szCs w:val="18"/>
        </w:rPr>
      </w:pPr>
      <w:r w:rsidRPr="00E80325">
        <w:rPr>
          <w:rFonts w:ascii="Arial" w:hAnsi="Arial" w:cs="Arial"/>
          <w:sz w:val="18"/>
          <w:szCs w:val="18"/>
        </w:rPr>
        <w:t>Zdroj: RO</w:t>
      </w:r>
    </w:p>
    <w:p w:rsidR="00214ECF" w:rsidRPr="00E80325" w:rsidRDefault="00214ECF" w:rsidP="001540E7">
      <w:pPr>
        <w:numPr>
          <w:ilvl w:val="0"/>
          <w:numId w:val="30"/>
        </w:numPr>
        <w:tabs>
          <w:tab w:val="clear" w:pos="1440"/>
        </w:tabs>
        <w:spacing w:before="120" w:after="120" w:line="360" w:lineRule="auto"/>
        <w:ind w:left="426" w:hanging="426"/>
        <w:jc w:val="both"/>
        <w:rPr>
          <w:rFonts w:ascii="Arial" w:hAnsi="Arial" w:cs="Arial"/>
          <w:sz w:val="20"/>
          <w:szCs w:val="20"/>
        </w:rPr>
      </w:pPr>
      <w:r w:rsidRPr="00E80325">
        <w:rPr>
          <w:rFonts w:ascii="Arial" w:hAnsi="Arial" w:cs="Arial"/>
          <w:sz w:val="20"/>
          <w:szCs w:val="20"/>
        </w:rPr>
        <w:t>Prioritná os 4 Odpadové hospodárstvo</w:t>
      </w:r>
      <w:r w:rsidRPr="00E80325">
        <w:rPr>
          <w:rFonts w:ascii="Arial" w:hAnsi="Arial" w:cs="Arial"/>
          <w:b/>
          <w:sz w:val="20"/>
          <w:szCs w:val="20"/>
        </w:rPr>
        <w:t xml:space="preserve">, </w:t>
      </w:r>
      <w:r w:rsidRPr="00E80325">
        <w:rPr>
          <w:rFonts w:ascii="Arial" w:hAnsi="Arial" w:cs="Arial"/>
          <w:sz w:val="20"/>
          <w:szCs w:val="20"/>
        </w:rPr>
        <w:t>v rámci ktorej:</w:t>
      </w:r>
      <w:r w:rsidRPr="00E80325">
        <w:rPr>
          <w:rFonts w:ascii="Arial" w:hAnsi="Arial" w:cs="Arial"/>
          <w:b/>
          <w:sz w:val="20"/>
          <w:szCs w:val="20"/>
        </w:rPr>
        <w:t xml:space="preserve"> </w:t>
      </w:r>
    </w:p>
    <w:p w:rsidR="00214ECF" w:rsidRPr="00E80325" w:rsidRDefault="00214ECF" w:rsidP="001540E7">
      <w:pPr>
        <w:numPr>
          <w:ilvl w:val="0"/>
          <w:numId w:val="33"/>
        </w:numPr>
        <w:tabs>
          <w:tab w:val="num" w:pos="851"/>
        </w:tabs>
        <w:spacing w:before="120" w:after="120" w:line="360" w:lineRule="auto"/>
        <w:jc w:val="both"/>
        <w:rPr>
          <w:rFonts w:ascii="Arial" w:hAnsi="Arial" w:cs="Arial"/>
          <w:sz w:val="20"/>
          <w:szCs w:val="20"/>
        </w:rPr>
      </w:pPr>
      <w:r w:rsidRPr="00E80325">
        <w:rPr>
          <w:rFonts w:ascii="Arial" w:hAnsi="Arial" w:cs="Arial"/>
          <w:i/>
          <w:sz w:val="20"/>
          <w:szCs w:val="20"/>
        </w:rPr>
        <w:t xml:space="preserve"> operačný cieľ 4.2</w:t>
      </w:r>
      <w:r w:rsidRPr="00E80325">
        <w:rPr>
          <w:rFonts w:ascii="Arial" w:hAnsi="Arial" w:cs="Arial"/>
          <w:bCs/>
          <w:sz w:val="20"/>
          <w:szCs w:val="20"/>
        </w:rPr>
        <w:t xml:space="preserve"> </w:t>
      </w:r>
      <w:r w:rsidRPr="00E80325">
        <w:rPr>
          <w:rFonts w:ascii="Arial" w:hAnsi="Arial" w:cs="Arial"/>
          <w:bCs/>
          <w:i/>
          <w:sz w:val="20"/>
          <w:szCs w:val="20"/>
        </w:rPr>
        <w:t>Podpora aktivít na zhodnocovanie odpadov</w:t>
      </w:r>
      <w:r w:rsidRPr="00E80325">
        <w:rPr>
          <w:rFonts w:ascii="Arial" w:hAnsi="Arial" w:cs="Arial"/>
          <w:bCs/>
          <w:sz w:val="20"/>
          <w:szCs w:val="20"/>
        </w:rPr>
        <w:t xml:space="preserve"> a</w:t>
      </w:r>
    </w:p>
    <w:p w:rsidR="00214ECF" w:rsidRPr="00E80325" w:rsidRDefault="00214ECF" w:rsidP="001540E7">
      <w:pPr>
        <w:numPr>
          <w:ilvl w:val="0"/>
          <w:numId w:val="33"/>
        </w:numPr>
        <w:tabs>
          <w:tab w:val="clear" w:pos="1080"/>
          <w:tab w:val="num" w:pos="0"/>
        </w:tabs>
        <w:spacing w:before="120" w:after="120" w:line="360" w:lineRule="auto"/>
        <w:ind w:left="0" w:firstLine="720"/>
        <w:jc w:val="both"/>
        <w:rPr>
          <w:rFonts w:ascii="Arial" w:hAnsi="Arial" w:cs="Arial"/>
          <w:sz w:val="20"/>
          <w:szCs w:val="20"/>
        </w:rPr>
      </w:pPr>
      <w:r w:rsidRPr="00E80325">
        <w:rPr>
          <w:rFonts w:ascii="Arial" w:hAnsi="Arial" w:cs="Arial"/>
          <w:bCs/>
          <w:i/>
          <w:sz w:val="20"/>
          <w:szCs w:val="20"/>
        </w:rPr>
        <w:t xml:space="preserve"> operačný cieľ 4.4</w:t>
      </w:r>
      <w:r w:rsidRPr="00E80325">
        <w:rPr>
          <w:rFonts w:ascii="Arial" w:hAnsi="Arial" w:cs="Arial"/>
          <w:i/>
          <w:sz w:val="20"/>
          <w:szCs w:val="20"/>
        </w:rPr>
        <w:t xml:space="preserve"> Uzatváranie a rekultivácia skládok odpadov</w:t>
      </w:r>
      <w:r w:rsidRPr="00E80325">
        <w:rPr>
          <w:rFonts w:ascii="Arial" w:hAnsi="Arial" w:cs="Arial"/>
          <w:b/>
          <w:i/>
          <w:sz w:val="20"/>
          <w:szCs w:val="20"/>
        </w:rPr>
        <w:t xml:space="preserve"> </w:t>
      </w:r>
      <w:r w:rsidRPr="00E80325">
        <w:rPr>
          <w:rFonts w:ascii="Arial" w:hAnsi="Arial" w:cs="Arial"/>
          <w:sz w:val="20"/>
          <w:szCs w:val="20"/>
        </w:rPr>
        <w:t>sú síce v korelácii s aktivitami v rámci Akčného plánu Dunajskej stratégie zameranými na zabezpečenie nakladania s odpadmi v súlade s hierarchiou cieľov EÚ v oblasti odpadového hospodárstva, ale význam projektov uvedeného zamerania v rámci OP ŽP vo vzťahu k napĺňaniu cieľov Dunajskej stratégie je výrazne limitovaný lokálnym charakterom týchto projektov, ktorý neumožňuje celkovo ovplyvniť dunajský makroregión alebo jeho značnú časť, a teda je skôr okrajový;</w:t>
      </w:r>
    </w:p>
    <w:p w:rsidR="00214ECF" w:rsidRPr="00E80325" w:rsidRDefault="00214ECF" w:rsidP="00507035">
      <w:pPr>
        <w:spacing w:before="120" w:after="120" w:line="360" w:lineRule="auto"/>
        <w:jc w:val="both"/>
        <w:rPr>
          <w:rFonts w:ascii="Arial" w:hAnsi="Arial" w:cs="Arial"/>
          <w:i/>
          <w:sz w:val="20"/>
          <w:szCs w:val="20"/>
        </w:rPr>
      </w:pPr>
      <w:r w:rsidRPr="00E80325">
        <w:rPr>
          <w:rFonts w:ascii="Arial" w:hAnsi="Arial" w:cs="Arial"/>
          <w:sz w:val="20"/>
          <w:szCs w:val="20"/>
        </w:rPr>
        <w:t xml:space="preserve">            - </w:t>
      </w:r>
      <w:r w:rsidRPr="00E80325">
        <w:rPr>
          <w:rFonts w:ascii="Arial" w:hAnsi="Arial" w:cs="Arial"/>
          <w:bCs/>
          <w:i/>
          <w:sz w:val="20"/>
          <w:szCs w:val="20"/>
        </w:rPr>
        <w:t>operačný cieľ 4.3</w:t>
      </w:r>
      <w:r w:rsidRPr="00E80325">
        <w:rPr>
          <w:rFonts w:ascii="Arial" w:hAnsi="Arial" w:cs="Arial"/>
          <w:i/>
          <w:sz w:val="20"/>
          <w:szCs w:val="20"/>
        </w:rPr>
        <w:t xml:space="preserve"> Nakladanie s nebezpečnými odpadmi spôsobom priaznivým pre životné prostredie</w:t>
      </w:r>
      <w:r w:rsidRPr="00E80325">
        <w:rPr>
          <w:rFonts w:ascii="Arial" w:hAnsi="Arial" w:cs="Arial"/>
          <w:sz w:val="20"/>
          <w:szCs w:val="20"/>
        </w:rPr>
        <w:t xml:space="preserve"> má vo vzťahu k cieľom Dunajskej stratégie rovnaký charakter, avšak zameraním na nebezpečné odpady, ktoré vzhľadom na ich vlastnosti predstavujú vyššie riziko pre dotknuté územie a môžu ho ovplyvniť vo väčšom rozsahu, má uvedený operačný cieľ vyšší potenciál z hľadiska jeho významu pre realizáciu cieľov Dunajskej stratégie.</w:t>
      </w:r>
    </w:p>
    <w:p w:rsidR="007B7519" w:rsidRDefault="007B7519">
      <w:pPr>
        <w:rPr>
          <w:rFonts w:ascii="Arial" w:hAnsi="Arial" w:cs="Arial"/>
          <w:sz w:val="20"/>
          <w:szCs w:val="20"/>
        </w:rPr>
      </w:pPr>
      <w:r>
        <w:rPr>
          <w:rFonts w:ascii="Arial" w:hAnsi="Arial" w:cs="Arial"/>
          <w:sz w:val="20"/>
          <w:szCs w:val="20"/>
        </w:rPr>
        <w:br w:type="page"/>
      </w:r>
    </w:p>
    <w:p w:rsidR="00214ECF" w:rsidRPr="00E80325" w:rsidRDefault="00214ECF" w:rsidP="005D18B1">
      <w:pPr>
        <w:spacing w:line="360" w:lineRule="auto"/>
        <w:jc w:val="both"/>
        <w:rPr>
          <w:rFonts w:ascii="Arial" w:hAnsi="Arial" w:cs="Arial"/>
          <w:sz w:val="20"/>
          <w:szCs w:val="20"/>
        </w:rPr>
      </w:pPr>
      <w:r w:rsidRPr="00E80325">
        <w:rPr>
          <w:rFonts w:ascii="Arial" w:hAnsi="Arial" w:cs="Arial"/>
          <w:sz w:val="20"/>
          <w:szCs w:val="20"/>
        </w:rPr>
        <w:t xml:space="preserve">Tab. č. </w:t>
      </w:r>
      <w:r w:rsidR="007B7519">
        <w:rPr>
          <w:rFonts w:ascii="Arial" w:hAnsi="Arial" w:cs="Arial"/>
          <w:sz w:val="20"/>
          <w:szCs w:val="20"/>
        </w:rPr>
        <w:t>30</w:t>
      </w:r>
      <w:r w:rsidRPr="00E80325">
        <w:rPr>
          <w:rFonts w:ascii="Arial" w:hAnsi="Arial" w:cs="Arial"/>
          <w:sz w:val="20"/>
          <w:szCs w:val="20"/>
        </w:rPr>
        <w:t>: Príklad projektu:</w:t>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182"/>
        <w:gridCol w:w="1761"/>
        <w:gridCol w:w="1311"/>
        <w:gridCol w:w="1291"/>
        <w:gridCol w:w="1291"/>
        <w:gridCol w:w="1281"/>
      </w:tblGrid>
      <w:tr w:rsidR="00214ECF" w:rsidRPr="00E80325" w:rsidTr="006A551B">
        <w:trPr>
          <w:trHeight w:val="20"/>
        </w:trPr>
        <w:tc>
          <w:tcPr>
            <w:tcW w:w="0" w:type="auto"/>
            <w:shd w:val="clear" w:color="auto" w:fill="D6E3BC"/>
            <w:vAlign w:val="center"/>
          </w:tcPr>
          <w:p w:rsidR="00214ECF" w:rsidRPr="00E80325" w:rsidRDefault="00214ECF" w:rsidP="005D18B1">
            <w:pPr>
              <w:jc w:val="center"/>
              <w:rPr>
                <w:rFonts w:ascii="Arial" w:hAnsi="Arial" w:cs="Arial"/>
                <w:b/>
                <w:bCs/>
                <w:sz w:val="18"/>
                <w:szCs w:val="18"/>
              </w:rPr>
            </w:pPr>
            <w:r w:rsidRPr="00E80325">
              <w:rPr>
                <w:rFonts w:ascii="Arial" w:hAnsi="Arial" w:cs="Arial"/>
                <w:b/>
                <w:bCs/>
                <w:sz w:val="18"/>
                <w:szCs w:val="18"/>
              </w:rPr>
              <w:t>Názov projektu</w:t>
            </w:r>
          </w:p>
        </w:tc>
        <w:tc>
          <w:tcPr>
            <w:tcW w:w="0" w:type="auto"/>
            <w:shd w:val="clear" w:color="auto" w:fill="D6E3BC"/>
            <w:vAlign w:val="center"/>
          </w:tcPr>
          <w:p w:rsidR="00214ECF" w:rsidRPr="00E80325" w:rsidRDefault="00214ECF" w:rsidP="005D18B1">
            <w:pPr>
              <w:jc w:val="center"/>
              <w:rPr>
                <w:rFonts w:ascii="Arial" w:hAnsi="Arial" w:cs="Arial"/>
                <w:b/>
                <w:bCs/>
                <w:sz w:val="18"/>
                <w:szCs w:val="18"/>
              </w:rPr>
            </w:pPr>
            <w:r w:rsidRPr="00E80325">
              <w:rPr>
                <w:rFonts w:ascii="Arial" w:hAnsi="Arial" w:cs="Arial"/>
                <w:b/>
                <w:bCs/>
                <w:sz w:val="18"/>
                <w:szCs w:val="18"/>
              </w:rPr>
              <w:t>Prijímateľ</w:t>
            </w:r>
          </w:p>
        </w:tc>
        <w:tc>
          <w:tcPr>
            <w:tcW w:w="0" w:type="auto"/>
            <w:shd w:val="clear" w:color="auto" w:fill="D6E3BC"/>
            <w:vAlign w:val="center"/>
          </w:tcPr>
          <w:p w:rsidR="00214ECF" w:rsidRPr="00E80325" w:rsidRDefault="00214ECF" w:rsidP="005D18B1">
            <w:pPr>
              <w:jc w:val="center"/>
              <w:rPr>
                <w:rFonts w:ascii="Arial" w:hAnsi="Arial" w:cs="Arial"/>
                <w:b/>
                <w:bCs/>
                <w:sz w:val="18"/>
                <w:szCs w:val="18"/>
              </w:rPr>
            </w:pPr>
            <w:r w:rsidRPr="00E80325">
              <w:rPr>
                <w:rFonts w:ascii="Arial" w:hAnsi="Arial" w:cs="Arial"/>
                <w:b/>
                <w:bCs/>
                <w:sz w:val="18"/>
                <w:szCs w:val="18"/>
              </w:rPr>
              <w:t>Aktuálny stav</w:t>
            </w:r>
          </w:p>
        </w:tc>
        <w:tc>
          <w:tcPr>
            <w:tcW w:w="0" w:type="auto"/>
            <w:shd w:val="clear" w:color="auto" w:fill="D6E3BC"/>
            <w:vAlign w:val="center"/>
          </w:tcPr>
          <w:p w:rsidR="00214ECF" w:rsidRPr="00E80325" w:rsidRDefault="00214ECF" w:rsidP="005D18B1">
            <w:pPr>
              <w:jc w:val="center"/>
              <w:rPr>
                <w:rFonts w:ascii="Arial" w:hAnsi="Arial" w:cs="Arial"/>
                <w:b/>
                <w:bCs/>
                <w:sz w:val="18"/>
                <w:szCs w:val="18"/>
              </w:rPr>
            </w:pPr>
            <w:r w:rsidRPr="00E80325">
              <w:rPr>
                <w:rFonts w:ascii="Arial" w:hAnsi="Arial" w:cs="Arial"/>
                <w:b/>
                <w:bCs/>
                <w:sz w:val="18"/>
                <w:szCs w:val="18"/>
              </w:rPr>
              <w:t>Zazmluvnené</w:t>
            </w:r>
          </w:p>
          <w:p w:rsidR="00214ECF" w:rsidRPr="00E80325" w:rsidRDefault="00214ECF" w:rsidP="005D18B1">
            <w:pPr>
              <w:jc w:val="center"/>
              <w:rPr>
                <w:rFonts w:ascii="Arial" w:hAnsi="Arial" w:cs="Arial"/>
                <w:b/>
                <w:bCs/>
                <w:sz w:val="18"/>
                <w:szCs w:val="18"/>
              </w:rPr>
            </w:pPr>
            <w:r w:rsidRPr="00E80325">
              <w:rPr>
                <w:rFonts w:ascii="Arial" w:hAnsi="Arial" w:cs="Arial"/>
                <w:b/>
                <w:bCs/>
                <w:sz w:val="18"/>
                <w:szCs w:val="18"/>
              </w:rPr>
              <w:t>(zdroj EÚ) v €</w:t>
            </w:r>
          </w:p>
        </w:tc>
        <w:tc>
          <w:tcPr>
            <w:tcW w:w="0" w:type="auto"/>
            <w:shd w:val="clear" w:color="auto" w:fill="D6E3BC"/>
            <w:vAlign w:val="center"/>
          </w:tcPr>
          <w:p w:rsidR="00214ECF" w:rsidRPr="00E80325" w:rsidRDefault="00214ECF" w:rsidP="005D18B1">
            <w:pPr>
              <w:jc w:val="center"/>
              <w:rPr>
                <w:rFonts w:ascii="Arial" w:hAnsi="Arial" w:cs="Arial"/>
                <w:b/>
                <w:bCs/>
                <w:sz w:val="18"/>
                <w:szCs w:val="18"/>
              </w:rPr>
            </w:pPr>
            <w:r w:rsidRPr="00E80325">
              <w:rPr>
                <w:rFonts w:ascii="Arial" w:hAnsi="Arial" w:cs="Arial"/>
                <w:b/>
                <w:bCs/>
                <w:sz w:val="18"/>
                <w:szCs w:val="18"/>
              </w:rPr>
              <w:t>Zazmluvnené</w:t>
            </w:r>
          </w:p>
          <w:p w:rsidR="00214ECF" w:rsidRPr="00E80325" w:rsidRDefault="00214ECF" w:rsidP="005D18B1">
            <w:pPr>
              <w:jc w:val="center"/>
              <w:rPr>
                <w:rFonts w:ascii="Arial" w:hAnsi="Arial" w:cs="Arial"/>
                <w:b/>
                <w:bCs/>
                <w:sz w:val="18"/>
                <w:szCs w:val="18"/>
              </w:rPr>
            </w:pPr>
            <w:r w:rsidRPr="00E80325">
              <w:rPr>
                <w:rFonts w:ascii="Arial" w:hAnsi="Arial" w:cs="Arial"/>
                <w:b/>
                <w:bCs/>
                <w:sz w:val="18"/>
                <w:szCs w:val="18"/>
              </w:rPr>
              <w:t>(zdroj ŠR) v €</w:t>
            </w:r>
          </w:p>
        </w:tc>
        <w:tc>
          <w:tcPr>
            <w:tcW w:w="0" w:type="auto"/>
            <w:shd w:val="clear" w:color="auto" w:fill="D6E3BC"/>
            <w:vAlign w:val="center"/>
          </w:tcPr>
          <w:p w:rsidR="00214ECF" w:rsidRPr="00E80325" w:rsidRDefault="00214ECF" w:rsidP="005D18B1">
            <w:pPr>
              <w:jc w:val="center"/>
              <w:rPr>
                <w:rFonts w:ascii="Arial" w:hAnsi="Arial" w:cs="Arial"/>
                <w:b/>
                <w:bCs/>
                <w:sz w:val="18"/>
                <w:szCs w:val="18"/>
              </w:rPr>
            </w:pPr>
            <w:r w:rsidRPr="00E80325">
              <w:rPr>
                <w:rFonts w:ascii="Arial" w:hAnsi="Arial" w:cs="Arial"/>
                <w:b/>
                <w:bCs/>
                <w:sz w:val="18"/>
                <w:szCs w:val="18"/>
              </w:rPr>
              <w:t>Zazmluvnené</w:t>
            </w:r>
          </w:p>
          <w:p w:rsidR="00214ECF" w:rsidRPr="00E80325" w:rsidRDefault="00214ECF" w:rsidP="005D18B1">
            <w:pPr>
              <w:jc w:val="center"/>
              <w:rPr>
                <w:rFonts w:ascii="Arial" w:hAnsi="Arial" w:cs="Arial"/>
                <w:b/>
                <w:bCs/>
                <w:sz w:val="18"/>
                <w:szCs w:val="18"/>
              </w:rPr>
            </w:pPr>
            <w:r w:rsidRPr="00E80325">
              <w:rPr>
                <w:rFonts w:ascii="Arial" w:hAnsi="Arial" w:cs="Arial"/>
                <w:b/>
                <w:bCs/>
                <w:sz w:val="18"/>
                <w:szCs w:val="18"/>
              </w:rPr>
              <w:t>(EÚ + ŠR) v €</w:t>
            </w:r>
          </w:p>
        </w:tc>
      </w:tr>
      <w:tr w:rsidR="00214ECF" w:rsidRPr="00E80325" w:rsidTr="006A551B">
        <w:trPr>
          <w:trHeight w:val="20"/>
        </w:trPr>
        <w:tc>
          <w:tcPr>
            <w:tcW w:w="0" w:type="auto"/>
            <w:shd w:val="clear" w:color="auto" w:fill="EAF1DD"/>
            <w:noWrap/>
            <w:vAlign w:val="center"/>
          </w:tcPr>
          <w:p w:rsidR="00214ECF" w:rsidRPr="00E80325" w:rsidRDefault="00214ECF" w:rsidP="005D18B1">
            <w:pPr>
              <w:jc w:val="both"/>
              <w:rPr>
                <w:rFonts w:ascii="Arial" w:hAnsi="Arial" w:cs="Arial"/>
                <w:sz w:val="18"/>
                <w:szCs w:val="18"/>
              </w:rPr>
            </w:pPr>
            <w:r w:rsidRPr="00E80325">
              <w:rPr>
                <w:rFonts w:ascii="Arial" w:hAnsi="Arial" w:cs="Arial"/>
                <w:sz w:val="18"/>
                <w:szCs w:val="18"/>
              </w:rPr>
              <w:t xml:space="preserve">Stratégia nakladania </w:t>
            </w:r>
          </w:p>
          <w:p w:rsidR="00214ECF" w:rsidRPr="00E80325" w:rsidRDefault="00214ECF" w:rsidP="005D18B1">
            <w:pPr>
              <w:jc w:val="both"/>
              <w:rPr>
                <w:rFonts w:ascii="Arial" w:hAnsi="Arial" w:cs="Arial"/>
                <w:sz w:val="18"/>
                <w:szCs w:val="18"/>
              </w:rPr>
            </w:pPr>
            <w:r w:rsidRPr="00E80325">
              <w:rPr>
                <w:rFonts w:ascii="Arial" w:hAnsi="Arial" w:cs="Arial"/>
                <w:sz w:val="18"/>
                <w:szCs w:val="18"/>
              </w:rPr>
              <w:t xml:space="preserve">s nebezpečnými odpadmi </w:t>
            </w:r>
          </w:p>
        </w:tc>
        <w:tc>
          <w:tcPr>
            <w:tcW w:w="0" w:type="auto"/>
            <w:vAlign w:val="center"/>
          </w:tcPr>
          <w:p w:rsidR="00214ECF" w:rsidRPr="00E80325" w:rsidRDefault="00214ECF" w:rsidP="005D18B1">
            <w:pPr>
              <w:jc w:val="both"/>
              <w:rPr>
                <w:rFonts w:ascii="Arial" w:hAnsi="Arial" w:cs="Arial"/>
                <w:sz w:val="18"/>
                <w:szCs w:val="18"/>
              </w:rPr>
            </w:pPr>
            <w:r w:rsidRPr="00E80325">
              <w:rPr>
                <w:rFonts w:ascii="Arial" w:hAnsi="Arial" w:cs="Arial"/>
                <w:sz w:val="18"/>
                <w:szCs w:val="18"/>
              </w:rPr>
              <w:t xml:space="preserve">Slovenská agentúra </w:t>
            </w:r>
          </w:p>
          <w:p w:rsidR="00214ECF" w:rsidRPr="00E80325" w:rsidRDefault="00214ECF" w:rsidP="005D18B1">
            <w:pPr>
              <w:jc w:val="both"/>
              <w:rPr>
                <w:rFonts w:ascii="Arial" w:hAnsi="Arial" w:cs="Arial"/>
                <w:sz w:val="18"/>
                <w:szCs w:val="18"/>
              </w:rPr>
            </w:pPr>
            <w:r w:rsidRPr="00E80325">
              <w:rPr>
                <w:rFonts w:ascii="Arial" w:hAnsi="Arial" w:cs="Arial"/>
                <w:sz w:val="18"/>
                <w:szCs w:val="18"/>
              </w:rPr>
              <w:t>životného prostredia</w:t>
            </w:r>
          </w:p>
        </w:tc>
        <w:tc>
          <w:tcPr>
            <w:tcW w:w="0" w:type="auto"/>
            <w:vAlign w:val="center"/>
          </w:tcPr>
          <w:p w:rsidR="00214ECF" w:rsidRPr="00E80325" w:rsidRDefault="00214ECF" w:rsidP="005D18B1">
            <w:pPr>
              <w:jc w:val="both"/>
              <w:rPr>
                <w:rFonts w:ascii="Arial" w:hAnsi="Arial" w:cs="Arial"/>
                <w:sz w:val="18"/>
                <w:szCs w:val="18"/>
              </w:rPr>
            </w:pPr>
            <w:r w:rsidRPr="00E80325">
              <w:rPr>
                <w:rFonts w:ascii="Arial" w:hAnsi="Arial" w:cs="Arial"/>
                <w:sz w:val="18"/>
                <w:szCs w:val="18"/>
              </w:rPr>
              <w:t xml:space="preserve">V realizácii </w:t>
            </w:r>
          </w:p>
          <w:p w:rsidR="00214ECF" w:rsidRPr="00E80325" w:rsidRDefault="00214ECF" w:rsidP="005D18B1">
            <w:pPr>
              <w:jc w:val="both"/>
              <w:rPr>
                <w:rFonts w:ascii="Arial" w:hAnsi="Arial" w:cs="Arial"/>
                <w:sz w:val="18"/>
                <w:szCs w:val="18"/>
              </w:rPr>
            </w:pPr>
          </w:p>
        </w:tc>
        <w:tc>
          <w:tcPr>
            <w:tcW w:w="0" w:type="auto"/>
            <w:vAlign w:val="center"/>
          </w:tcPr>
          <w:p w:rsidR="00214ECF" w:rsidRPr="00E80325" w:rsidRDefault="00214ECF" w:rsidP="005D18B1">
            <w:pPr>
              <w:jc w:val="both"/>
              <w:rPr>
                <w:rFonts w:ascii="Arial" w:hAnsi="Arial" w:cs="Arial"/>
                <w:sz w:val="18"/>
                <w:szCs w:val="18"/>
              </w:rPr>
            </w:pPr>
            <w:r w:rsidRPr="00E80325">
              <w:rPr>
                <w:rFonts w:ascii="Arial" w:hAnsi="Arial" w:cs="Arial"/>
                <w:sz w:val="18"/>
                <w:szCs w:val="18"/>
              </w:rPr>
              <w:t>1 357 377,41</w:t>
            </w:r>
          </w:p>
        </w:tc>
        <w:tc>
          <w:tcPr>
            <w:tcW w:w="0" w:type="auto"/>
            <w:vAlign w:val="center"/>
          </w:tcPr>
          <w:p w:rsidR="00214ECF" w:rsidRPr="00E80325" w:rsidRDefault="00214ECF" w:rsidP="005D18B1">
            <w:pPr>
              <w:jc w:val="both"/>
              <w:rPr>
                <w:rFonts w:ascii="Arial" w:hAnsi="Arial" w:cs="Arial"/>
                <w:sz w:val="18"/>
                <w:szCs w:val="18"/>
              </w:rPr>
            </w:pPr>
            <w:r w:rsidRPr="00E80325">
              <w:rPr>
                <w:rFonts w:ascii="Arial" w:hAnsi="Arial" w:cs="Arial"/>
                <w:sz w:val="18"/>
                <w:szCs w:val="18"/>
              </w:rPr>
              <w:t>239 537,19</w:t>
            </w:r>
          </w:p>
        </w:tc>
        <w:tc>
          <w:tcPr>
            <w:tcW w:w="0" w:type="auto"/>
            <w:vAlign w:val="center"/>
          </w:tcPr>
          <w:p w:rsidR="00214ECF" w:rsidRPr="00E80325" w:rsidRDefault="00214ECF" w:rsidP="005D18B1">
            <w:pPr>
              <w:jc w:val="both"/>
              <w:rPr>
                <w:rFonts w:ascii="Arial" w:hAnsi="Arial" w:cs="Arial"/>
                <w:sz w:val="18"/>
                <w:szCs w:val="18"/>
              </w:rPr>
            </w:pPr>
            <w:r w:rsidRPr="00E80325">
              <w:rPr>
                <w:rFonts w:ascii="Arial" w:hAnsi="Arial" w:cs="Arial"/>
                <w:sz w:val="18"/>
                <w:szCs w:val="18"/>
              </w:rPr>
              <w:t>1 596 914,60</w:t>
            </w:r>
          </w:p>
        </w:tc>
      </w:tr>
    </w:tbl>
    <w:p w:rsidR="00214ECF" w:rsidRPr="00E80325" w:rsidRDefault="00214ECF" w:rsidP="005D18B1">
      <w:pPr>
        <w:spacing w:line="360" w:lineRule="auto"/>
        <w:jc w:val="both"/>
        <w:rPr>
          <w:rFonts w:ascii="Arial" w:hAnsi="Arial" w:cs="Arial"/>
          <w:sz w:val="18"/>
          <w:szCs w:val="18"/>
        </w:rPr>
      </w:pPr>
      <w:r w:rsidRPr="00E80325">
        <w:rPr>
          <w:rFonts w:ascii="Arial" w:hAnsi="Arial" w:cs="Arial"/>
          <w:sz w:val="18"/>
          <w:szCs w:val="18"/>
        </w:rPr>
        <w:t>Zdroj: RO</w:t>
      </w:r>
    </w:p>
    <w:p w:rsidR="00214ECF" w:rsidRPr="00E80325" w:rsidRDefault="00214ECF" w:rsidP="00507035">
      <w:pPr>
        <w:spacing w:before="120" w:after="120" w:line="360" w:lineRule="auto"/>
        <w:ind w:left="1"/>
        <w:jc w:val="both"/>
        <w:rPr>
          <w:rFonts w:ascii="Arial" w:hAnsi="Arial" w:cs="Arial"/>
          <w:sz w:val="20"/>
          <w:szCs w:val="20"/>
        </w:rPr>
      </w:pPr>
      <w:r w:rsidRPr="00E80325">
        <w:rPr>
          <w:rFonts w:ascii="Arial" w:hAnsi="Arial" w:cs="Arial"/>
          <w:sz w:val="20"/>
          <w:szCs w:val="20"/>
        </w:rPr>
        <w:t xml:space="preserve"> Prioritná os 5 Ochrana a regenerácia prírodného prostredia a krajiny</w:t>
      </w:r>
      <w:r w:rsidRPr="00E80325">
        <w:rPr>
          <w:rFonts w:ascii="Arial" w:hAnsi="Arial" w:cs="Arial"/>
          <w:bCs/>
          <w:sz w:val="20"/>
          <w:szCs w:val="20"/>
        </w:rPr>
        <w:t>, a to:</w:t>
      </w:r>
    </w:p>
    <w:p w:rsidR="00214ECF" w:rsidRPr="00E80325" w:rsidRDefault="00214ECF" w:rsidP="001540E7">
      <w:pPr>
        <w:numPr>
          <w:ilvl w:val="0"/>
          <w:numId w:val="33"/>
        </w:numPr>
        <w:tabs>
          <w:tab w:val="num" w:pos="0"/>
        </w:tabs>
        <w:spacing w:before="120" w:after="120" w:line="360" w:lineRule="auto"/>
        <w:jc w:val="both"/>
        <w:rPr>
          <w:rFonts w:ascii="Arial" w:hAnsi="Arial" w:cs="Arial"/>
          <w:i/>
          <w:sz w:val="20"/>
          <w:szCs w:val="20"/>
        </w:rPr>
      </w:pPr>
      <w:r w:rsidRPr="00E80325">
        <w:rPr>
          <w:rFonts w:ascii="Arial" w:hAnsi="Arial" w:cs="Arial"/>
          <w:b/>
          <w:i/>
          <w:sz w:val="20"/>
          <w:szCs w:val="20"/>
        </w:rPr>
        <w:t xml:space="preserve"> </w:t>
      </w:r>
      <w:r w:rsidRPr="00E80325">
        <w:rPr>
          <w:rFonts w:ascii="Arial" w:hAnsi="Arial" w:cs="Arial"/>
          <w:i/>
          <w:sz w:val="20"/>
          <w:szCs w:val="20"/>
        </w:rPr>
        <w:t xml:space="preserve">operačný cieľ 5.1 Zabezpečenie priaznivého stavu biotopov a druhov prostredníctvom vypracovania a realizácie programov starostlivosti o chránené územia vrátane území NATURA 2000 a programov záchrany pre kriticky ohrozené druhy rastlín, živočíchov a území vrátane realizácie monitoringu druhov a biotopov </w:t>
      </w:r>
    </w:p>
    <w:p w:rsidR="00214ECF" w:rsidRPr="00E80325" w:rsidRDefault="00214ECF" w:rsidP="00507035">
      <w:pPr>
        <w:spacing w:before="120" w:after="120" w:line="360" w:lineRule="auto"/>
        <w:jc w:val="both"/>
        <w:rPr>
          <w:rFonts w:ascii="Arial" w:hAnsi="Arial" w:cs="Arial"/>
          <w:sz w:val="20"/>
          <w:szCs w:val="20"/>
          <w:u w:val="single"/>
        </w:rPr>
      </w:pPr>
      <w:r w:rsidRPr="00E80325">
        <w:rPr>
          <w:rFonts w:ascii="Arial" w:hAnsi="Arial" w:cs="Arial"/>
          <w:sz w:val="20"/>
          <w:szCs w:val="20"/>
        </w:rPr>
        <w:t xml:space="preserve">Vyššie uvedený operačný cieľ OP ŽP možno vo vzťahu k prioritám Dunajskej stratégie považovať za dôležitý. Projekty OP ŽP v jeho rámci sú zamerané na zabezpečenie priebežnej starostlivosti o chránené územia, vrátane území NATURA, ako aj na vytváranie programových východísk v oblasti starostlivosti o kriticky ohrozené druhy a ekosystémy. </w:t>
      </w:r>
    </w:p>
    <w:p w:rsidR="00214ECF" w:rsidRPr="00E80325" w:rsidRDefault="00214ECF" w:rsidP="005D18B1">
      <w:pPr>
        <w:spacing w:line="360" w:lineRule="auto"/>
        <w:jc w:val="both"/>
        <w:rPr>
          <w:rFonts w:ascii="Arial" w:hAnsi="Arial" w:cs="Arial"/>
          <w:sz w:val="20"/>
          <w:szCs w:val="20"/>
        </w:rPr>
      </w:pPr>
      <w:r w:rsidRPr="00E80325">
        <w:rPr>
          <w:rFonts w:ascii="Arial" w:hAnsi="Arial" w:cs="Arial"/>
          <w:sz w:val="20"/>
          <w:szCs w:val="20"/>
        </w:rPr>
        <w:t xml:space="preserve">Tab. č. </w:t>
      </w:r>
      <w:r w:rsidR="007B7519">
        <w:rPr>
          <w:rFonts w:ascii="Arial" w:hAnsi="Arial" w:cs="Arial"/>
          <w:sz w:val="20"/>
          <w:szCs w:val="20"/>
        </w:rPr>
        <w:t>31</w:t>
      </w:r>
      <w:r w:rsidRPr="00E80325">
        <w:rPr>
          <w:rFonts w:ascii="Arial" w:hAnsi="Arial" w:cs="Arial"/>
          <w:sz w:val="20"/>
          <w:szCs w:val="20"/>
        </w:rPr>
        <w:t>: Príklad projektu:</w:t>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268"/>
        <w:gridCol w:w="1418"/>
        <w:gridCol w:w="1134"/>
        <w:gridCol w:w="1417"/>
        <w:gridCol w:w="1418"/>
        <w:gridCol w:w="1417"/>
      </w:tblGrid>
      <w:tr w:rsidR="00214ECF" w:rsidRPr="00E80325" w:rsidTr="006A551B">
        <w:trPr>
          <w:trHeight w:val="20"/>
        </w:trPr>
        <w:tc>
          <w:tcPr>
            <w:tcW w:w="2268" w:type="dxa"/>
            <w:shd w:val="clear" w:color="auto" w:fill="D6E3BC"/>
            <w:vAlign w:val="center"/>
          </w:tcPr>
          <w:p w:rsidR="00214ECF" w:rsidRPr="00E80325" w:rsidRDefault="00214ECF" w:rsidP="005D18B1">
            <w:pPr>
              <w:jc w:val="center"/>
              <w:rPr>
                <w:rFonts w:ascii="Arial" w:hAnsi="Arial" w:cs="Arial"/>
                <w:b/>
                <w:bCs/>
                <w:sz w:val="18"/>
                <w:szCs w:val="18"/>
              </w:rPr>
            </w:pPr>
            <w:r w:rsidRPr="00E80325">
              <w:rPr>
                <w:rFonts w:ascii="Arial" w:hAnsi="Arial" w:cs="Arial"/>
                <w:b/>
                <w:bCs/>
                <w:sz w:val="18"/>
                <w:szCs w:val="18"/>
              </w:rPr>
              <w:t>Názov projektu</w:t>
            </w:r>
          </w:p>
        </w:tc>
        <w:tc>
          <w:tcPr>
            <w:tcW w:w="1418" w:type="dxa"/>
            <w:shd w:val="clear" w:color="auto" w:fill="D6E3BC"/>
            <w:vAlign w:val="center"/>
          </w:tcPr>
          <w:p w:rsidR="00214ECF" w:rsidRPr="00E80325" w:rsidRDefault="00214ECF" w:rsidP="005D18B1">
            <w:pPr>
              <w:jc w:val="center"/>
              <w:rPr>
                <w:rFonts w:ascii="Arial" w:hAnsi="Arial" w:cs="Arial"/>
                <w:b/>
                <w:bCs/>
                <w:sz w:val="18"/>
                <w:szCs w:val="18"/>
              </w:rPr>
            </w:pPr>
            <w:r w:rsidRPr="00E80325">
              <w:rPr>
                <w:rFonts w:ascii="Arial" w:hAnsi="Arial" w:cs="Arial"/>
                <w:b/>
                <w:bCs/>
                <w:sz w:val="18"/>
                <w:szCs w:val="18"/>
              </w:rPr>
              <w:t>Prijímateľ</w:t>
            </w:r>
          </w:p>
        </w:tc>
        <w:tc>
          <w:tcPr>
            <w:tcW w:w="1134" w:type="dxa"/>
            <w:shd w:val="clear" w:color="auto" w:fill="D6E3BC"/>
            <w:vAlign w:val="center"/>
          </w:tcPr>
          <w:p w:rsidR="00214ECF" w:rsidRPr="00E80325" w:rsidRDefault="00214ECF" w:rsidP="005D18B1">
            <w:pPr>
              <w:jc w:val="center"/>
              <w:rPr>
                <w:rFonts w:ascii="Arial" w:hAnsi="Arial" w:cs="Arial"/>
                <w:b/>
                <w:bCs/>
                <w:sz w:val="18"/>
                <w:szCs w:val="18"/>
              </w:rPr>
            </w:pPr>
            <w:r w:rsidRPr="00E80325">
              <w:rPr>
                <w:rFonts w:ascii="Arial" w:hAnsi="Arial" w:cs="Arial"/>
                <w:b/>
                <w:bCs/>
                <w:sz w:val="18"/>
                <w:szCs w:val="18"/>
              </w:rPr>
              <w:t>Aktuálny stav</w:t>
            </w:r>
          </w:p>
        </w:tc>
        <w:tc>
          <w:tcPr>
            <w:tcW w:w="1417" w:type="dxa"/>
            <w:shd w:val="clear" w:color="auto" w:fill="D6E3BC"/>
            <w:vAlign w:val="center"/>
          </w:tcPr>
          <w:p w:rsidR="00214ECF" w:rsidRPr="00E80325" w:rsidRDefault="00214ECF" w:rsidP="005D18B1">
            <w:pPr>
              <w:jc w:val="center"/>
              <w:rPr>
                <w:rFonts w:ascii="Arial" w:hAnsi="Arial" w:cs="Arial"/>
                <w:b/>
                <w:bCs/>
                <w:sz w:val="18"/>
                <w:szCs w:val="18"/>
              </w:rPr>
            </w:pPr>
            <w:r w:rsidRPr="00E80325">
              <w:rPr>
                <w:rFonts w:ascii="Arial" w:hAnsi="Arial" w:cs="Arial"/>
                <w:b/>
                <w:bCs/>
                <w:sz w:val="18"/>
                <w:szCs w:val="18"/>
              </w:rPr>
              <w:t>Zazmluvnené</w:t>
            </w:r>
          </w:p>
          <w:p w:rsidR="00214ECF" w:rsidRPr="00E80325" w:rsidRDefault="00214ECF" w:rsidP="005D18B1">
            <w:pPr>
              <w:jc w:val="center"/>
              <w:rPr>
                <w:rFonts w:ascii="Arial" w:hAnsi="Arial" w:cs="Arial"/>
                <w:b/>
                <w:bCs/>
                <w:sz w:val="18"/>
                <w:szCs w:val="18"/>
              </w:rPr>
            </w:pPr>
            <w:r w:rsidRPr="00E80325">
              <w:rPr>
                <w:rFonts w:ascii="Arial" w:hAnsi="Arial" w:cs="Arial"/>
                <w:b/>
                <w:bCs/>
                <w:sz w:val="18"/>
                <w:szCs w:val="18"/>
              </w:rPr>
              <w:t>(zdroj EÚ) v €</w:t>
            </w:r>
          </w:p>
        </w:tc>
        <w:tc>
          <w:tcPr>
            <w:tcW w:w="1418" w:type="dxa"/>
            <w:shd w:val="clear" w:color="auto" w:fill="D6E3BC"/>
            <w:vAlign w:val="center"/>
          </w:tcPr>
          <w:p w:rsidR="00214ECF" w:rsidRPr="00E80325" w:rsidRDefault="00214ECF" w:rsidP="005D18B1">
            <w:pPr>
              <w:jc w:val="center"/>
              <w:rPr>
                <w:rFonts w:ascii="Arial" w:hAnsi="Arial" w:cs="Arial"/>
                <w:b/>
                <w:bCs/>
                <w:sz w:val="18"/>
                <w:szCs w:val="18"/>
              </w:rPr>
            </w:pPr>
            <w:r w:rsidRPr="00E80325">
              <w:rPr>
                <w:rFonts w:ascii="Arial" w:hAnsi="Arial" w:cs="Arial"/>
                <w:b/>
                <w:bCs/>
                <w:sz w:val="18"/>
                <w:szCs w:val="18"/>
              </w:rPr>
              <w:t>Zazmluvnené</w:t>
            </w:r>
          </w:p>
          <w:p w:rsidR="00214ECF" w:rsidRPr="00E80325" w:rsidRDefault="00214ECF" w:rsidP="005D18B1">
            <w:pPr>
              <w:jc w:val="center"/>
              <w:rPr>
                <w:rFonts w:ascii="Arial" w:hAnsi="Arial" w:cs="Arial"/>
                <w:b/>
                <w:bCs/>
                <w:sz w:val="18"/>
                <w:szCs w:val="18"/>
              </w:rPr>
            </w:pPr>
            <w:r w:rsidRPr="00E80325">
              <w:rPr>
                <w:rFonts w:ascii="Arial" w:hAnsi="Arial" w:cs="Arial"/>
                <w:b/>
                <w:bCs/>
                <w:sz w:val="18"/>
                <w:szCs w:val="18"/>
              </w:rPr>
              <w:t>(zdroj ŠR) v €</w:t>
            </w:r>
          </w:p>
        </w:tc>
        <w:tc>
          <w:tcPr>
            <w:tcW w:w="1417" w:type="dxa"/>
            <w:shd w:val="clear" w:color="auto" w:fill="D6E3BC"/>
            <w:vAlign w:val="center"/>
          </w:tcPr>
          <w:p w:rsidR="00214ECF" w:rsidRPr="00E80325" w:rsidRDefault="00214ECF" w:rsidP="005D18B1">
            <w:pPr>
              <w:jc w:val="center"/>
              <w:rPr>
                <w:rFonts w:ascii="Arial" w:hAnsi="Arial" w:cs="Arial"/>
                <w:b/>
                <w:bCs/>
                <w:sz w:val="18"/>
                <w:szCs w:val="18"/>
              </w:rPr>
            </w:pPr>
            <w:r w:rsidRPr="00E80325">
              <w:rPr>
                <w:rFonts w:ascii="Arial" w:hAnsi="Arial" w:cs="Arial"/>
                <w:b/>
                <w:bCs/>
                <w:sz w:val="18"/>
                <w:szCs w:val="18"/>
              </w:rPr>
              <w:t>Zazmluvnené</w:t>
            </w:r>
          </w:p>
          <w:p w:rsidR="00214ECF" w:rsidRPr="00E80325" w:rsidRDefault="00214ECF" w:rsidP="005D18B1">
            <w:pPr>
              <w:jc w:val="center"/>
              <w:rPr>
                <w:rFonts w:ascii="Arial" w:hAnsi="Arial" w:cs="Arial"/>
                <w:b/>
                <w:bCs/>
                <w:sz w:val="18"/>
                <w:szCs w:val="18"/>
              </w:rPr>
            </w:pPr>
            <w:r w:rsidRPr="00E80325">
              <w:rPr>
                <w:rFonts w:ascii="Arial" w:hAnsi="Arial" w:cs="Arial"/>
                <w:b/>
                <w:bCs/>
                <w:sz w:val="18"/>
                <w:szCs w:val="18"/>
              </w:rPr>
              <w:t>(EÚ + ŠR) v €</w:t>
            </w:r>
          </w:p>
        </w:tc>
      </w:tr>
      <w:tr w:rsidR="00214ECF" w:rsidRPr="00E80325" w:rsidTr="006A551B">
        <w:trPr>
          <w:trHeight w:val="20"/>
        </w:trPr>
        <w:tc>
          <w:tcPr>
            <w:tcW w:w="2268" w:type="dxa"/>
            <w:shd w:val="clear" w:color="auto" w:fill="EAF1DD"/>
            <w:noWrap/>
            <w:vAlign w:val="center"/>
          </w:tcPr>
          <w:p w:rsidR="00214ECF" w:rsidRPr="00E80325" w:rsidRDefault="00214ECF" w:rsidP="005D18B1">
            <w:pPr>
              <w:jc w:val="both"/>
              <w:rPr>
                <w:rFonts w:ascii="Arial" w:hAnsi="Arial" w:cs="Arial"/>
                <w:bCs/>
                <w:sz w:val="18"/>
                <w:szCs w:val="18"/>
              </w:rPr>
            </w:pPr>
            <w:r w:rsidRPr="00E80325">
              <w:rPr>
                <w:rFonts w:ascii="Arial" w:hAnsi="Arial" w:cs="Arial"/>
                <w:bCs/>
                <w:sz w:val="18"/>
                <w:szCs w:val="18"/>
              </w:rPr>
              <w:t xml:space="preserve">Monitoring a manažment </w:t>
            </w:r>
          </w:p>
          <w:p w:rsidR="00214ECF" w:rsidRPr="00E80325" w:rsidRDefault="00214ECF" w:rsidP="005D18B1">
            <w:pPr>
              <w:jc w:val="both"/>
              <w:rPr>
                <w:rFonts w:ascii="Arial" w:hAnsi="Arial" w:cs="Arial"/>
                <w:bCs/>
                <w:sz w:val="18"/>
                <w:szCs w:val="18"/>
              </w:rPr>
            </w:pPr>
            <w:r w:rsidRPr="00E80325">
              <w:rPr>
                <w:rFonts w:ascii="Arial" w:hAnsi="Arial" w:cs="Arial"/>
                <w:bCs/>
                <w:sz w:val="18"/>
                <w:szCs w:val="18"/>
              </w:rPr>
              <w:t xml:space="preserve">kormorána veľkého </w:t>
            </w:r>
          </w:p>
          <w:p w:rsidR="00214ECF" w:rsidRPr="00E80325" w:rsidRDefault="00214ECF" w:rsidP="005D18B1">
            <w:pPr>
              <w:jc w:val="both"/>
              <w:rPr>
                <w:rFonts w:ascii="Arial" w:hAnsi="Arial" w:cs="Arial"/>
                <w:sz w:val="18"/>
                <w:szCs w:val="18"/>
              </w:rPr>
            </w:pPr>
            <w:r w:rsidRPr="00E80325">
              <w:rPr>
                <w:rFonts w:ascii="Arial" w:hAnsi="Arial" w:cs="Arial"/>
                <w:bCs/>
                <w:sz w:val="18"/>
                <w:szCs w:val="18"/>
              </w:rPr>
              <w:t>(Phalacrocorax carbo)</w:t>
            </w:r>
          </w:p>
        </w:tc>
        <w:tc>
          <w:tcPr>
            <w:tcW w:w="1418" w:type="dxa"/>
            <w:vAlign w:val="center"/>
          </w:tcPr>
          <w:p w:rsidR="00214ECF" w:rsidRPr="00E80325" w:rsidRDefault="00214ECF" w:rsidP="005D18B1">
            <w:pPr>
              <w:jc w:val="both"/>
              <w:rPr>
                <w:rFonts w:ascii="Arial" w:hAnsi="Arial" w:cs="Arial"/>
                <w:sz w:val="18"/>
                <w:szCs w:val="18"/>
              </w:rPr>
            </w:pPr>
            <w:r w:rsidRPr="00E80325">
              <w:rPr>
                <w:rFonts w:ascii="Arial" w:hAnsi="Arial" w:cs="Arial"/>
                <w:sz w:val="18"/>
                <w:szCs w:val="18"/>
              </w:rPr>
              <w:t xml:space="preserve">Štátna ochrana </w:t>
            </w:r>
          </w:p>
          <w:p w:rsidR="00214ECF" w:rsidRPr="00E80325" w:rsidRDefault="00214ECF" w:rsidP="005D18B1">
            <w:pPr>
              <w:jc w:val="both"/>
              <w:rPr>
                <w:rFonts w:ascii="Arial" w:hAnsi="Arial" w:cs="Arial"/>
                <w:sz w:val="18"/>
                <w:szCs w:val="18"/>
              </w:rPr>
            </w:pPr>
            <w:r w:rsidRPr="00E80325">
              <w:rPr>
                <w:rFonts w:ascii="Arial" w:hAnsi="Arial" w:cs="Arial"/>
                <w:sz w:val="18"/>
                <w:szCs w:val="18"/>
              </w:rPr>
              <w:t>prírody SR</w:t>
            </w:r>
          </w:p>
        </w:tc>
        <w:tc>
          <w:tcPr>
            <w:tcW w:w="1134" w:type="dxa"/>
            <w:vAlign w:val="center"/>
          </w:tcPr>
          <w:p w:rsidR="00214ECF" w:rsidRPr="00E80325" w:rsidRDefault="00214ECF" w:rsidP="005D18B1">
            <w:pPr>
              <w:jc w:val="both"/>
              <w:rPr>
                <w:rFonts w:ascii="Arial" w:hAnsi="Arial" w:cs="Arial"/>
                <w:sz w:val="18"/>
                <w:szCs w:val="18"/>
              </w:rPr>
            </w:pPr>
            <w:r w:rsidRPr="00E80325">
              <w:rPr>
                <w:rFonts w:ascii="Arial" w:hAnsi="Arial" w:cs="Arial"/>
                <w:sz w:val="18"/>
                <w:szCs w:val="18"/>
              </w:rPr>
              <w:t xml:space="preserve">V realizácii </w:t>
            </w:r>
          </w:p>
          <w:p w:rsidR="00214ECF" w:rsidRPr="00E80325" w:rsidRDefault="00214ECF" w:rsidP="005D18B1">
            <w:pPr>
              <w:jc w:val="both"/>
              <w:rPr>
                <w:rFonts w:ascii="Arial" w:hAnsi="Arial" w:cs="Arial"/>
                <w:sz w:val="18"/>
                <w:szCs w:val="18"/>
              </w:rPr>
            </w:pPr>
          </w:p>
        </w:tc>
        <w:tc>
          <w:tcPr>
            <w:tcW w:w="1417" w:type="dxa"/>
            <w:vAlign w:val="center"/>
          </w:tcPr>
          <w:p w:rsidR="00214ECF" w:rsidRPr="00E80325" w:rsidRDefault="00214ECF" w:rsidP="005D18B1">
            <w:pPr>
              <w:jc w:val="both"/>
              <w:rPr>
                <w:rFonts w:ascii="Arial" w:hAnsi="Arial" w:cs="Arial"/>
                <w:sz w:val="18"/>
                <w:szCs w:val="18"/>
              </w:rPr>
            </w:pPr>
            <w:r w:rsidRPr="00E80325">
              <w:rPr>
                <w:rFonts w:ascii="Arial" w:hAnsi="Arial" w:cs="Arial"/>
                <w:sz w:val="18"/>
                <w:szCs w:val="18"/>
              </w:rPr>
              <w:t>1 163 674,06</w:t>
            </w:r>
          </w:p>
        </w:tc>
        <w:tc>
          <w:tcPr>
            <w:tcW w:w="1418" w:type="dxa"/>
            <w:vAlign w:val="center"/>
          </w:tcPr>
          <w:p w:rsidR="00214ECF" w:rsidRPr="00E80325" w:rsidRDefault="00214ECF" w:rsidP="005D18B1">
            <w:pPr>
              <w:jc w:val="both"/>
              <w:rPr>
                <w:rFonts w:ascii="Arial" w:hAnsi="Arial" w:cs="Arial"/>
                <w:sz w:val="18"/>
                <w:szCs w:val="18"/>
              </w:rPr>
            </w:pPr>
            <w:r w:rsidRPr="00E80325">
              <w:rPr>
                <w:rFonts w:ascii="Arial" w:hAnsi="Arial" w:cs="Arial"/>
                <w:sz w:val="18"/>
                <w:szCs w:val="18"/>
              </w:rPr>
              <w:t>205 354,25</w:t>
            </w:r>
          </w:p>
        </w:tc>
        <w:tc>
          <w:tcPr>
            <w:tcW w:w="1417" w:type="dxa"/>
            <w:vAlign w:val="center"/>
          </w:tcPr>
          <w:p w:rsidR="00214ECF" w:rsidRPr="00E80325" w:rsidRDefault="00214ECF" w:rsidP="005D18B1">
            <w:pPr>
              <w:jc w:val="both"/>
              <w:rPr>
                <w:rFonts w:ascii="Arial" w:hAnsi="Arial" w:cs="Arial"/>
                <w:sz w:val="18"/>
                <w:szCs w:val="18"/>
              </w:rPr>
            </w:pPr>
            <w:r w:rsidRPr="00E80325">
              <w:rPr>
                <w:rFonts w:ascii="Arial" w:hAnsi="Arial" w:cs="Arial"/>
                <w:sz w:val="18"/>
                <w:szCs w:val="18"/>
              </w:rPr>
              <w:t>1 369 028,31</w:t>
            </w:r>
          </w:p>
        </w:tc>
      </w:tr>
    </w:tbl>
    <w:p w:rsidR="00214ECF" w:rsidRPr="00E80325" w:rsidRDefault="00214ECF" w:rsidP="005D18B1">
      <w:pPr>
        <w:spacing w:line="360" w:lineRule="auto"/>
        <w:jc w:val="both"/>
        <w:rPr>
          <w:rFonts w:ascii="Arial" w:hAnsi="Arial" w:cs="Arial"/>
          <w:sz w:val="20"/>
          <w:szCs w:val="20"/>
        </w:rPr>
      </w:pPr>
      <w:r w:rsidRPr="00E80325">
        <w:rPr>
          <w:rFonts w:ascii="Arial" w:hAnsi="Arial" w:cs="Arial"/>
          <w:sz w:val="18"/>
          <w:szCs w:val="18"/>
        </w:rPr>
        <w:t>Zdroj: RO</w:t>
      </w:r>
      <w:r w:rsidRPr="00E80325">
        <w:rPr>
          <w:rFonts w:ascii="Arial" w:hAnsi="Arial" w:cs="Arial"/>
          <w:sz w:val="20"/>
          <w:szCs w:val="20"/>
        </w:rPr>
        <w:t xml:space="preserve">  </w:t>
      </w:r>
    </w:p>
    <w:p w:rsidR="00214ECF" w:rsidRPr="00E80325" w:rsidRDefault="00214ECF" w:rsidP="001540E7">
      <w:pPr>
        <w:numPr>
          <w:ilvl w:val="0"/>
          <w:numId w:val="33"/>
        </w:numPr>
        <w:tabs>
          <w:tab w:val="num" w:pos="0"/>
        </w:tabs>
        <w:spacing w:before="120" w:after="120" w:line="360" w:lineRule="auto"/>
        <w:jc w:val="both"/>
        <w:rPr>
          <w:rFonts w:ascii="Arial" w:hAnsi="Arial" w:cs="Arial"/>
          <w:sz w:val="20"/>
          <w:szCs w:val="20"/>
          <w:u w:val="single"/>
        </w:rPr>
      </w:pPr>
      <w:r w:rsidRPr="00E80325">
        <w:rPr>
          <w:rFonts w:ascii="Arial" w:hAnsi="Arial" w:cs="Arial"/>
          <w:i/>
          <w:sz w:val="20"/>
          <w:szCs w:val="20"/>
        </w:rPr>
        <w:t>operačný cieľ 5.3</w:t>
      </w:r>
      <w:r w:rsidRPr="00E80325">
        <w:rPr>
          <w:rFonts w:ascii="Arial" w:hAnsi="Arial" w:cs="Arial"/>
          <w:sz w:val="20"/>
          <w:szCs w:val="20"/>
        </w:rPr>
        <w:t xml:space="preserve"> </w:t>
      </w:r>
      <w:r w:rsidRPr="00E80325">
        <w:rPr>
          <w:rFonts w:ascii="Arial" w:hAnsi="Arial" w:cs="Arial"/>
          <w:i/>
          <w:sz w:val="20"/>
          <w:szCs w:val="20"/>
        </w:rPr>
        <w:t xml:space="preserve">Zlepšenie informovanosti a environmentálneho povedomia verejnosti, vrátane posilnenia spolupráce a komunikácie so zainteresovanými skupinami </w:t>
      </w:r>
    </w:p>
    <w:p w:rsidR="00214ECF" w:rsidRPr="00E80325" w:rsidRDefault="00214ECF" w:rsidP="00507035">
      <w:pPr>
        <w:spacing w:before="120" w:after="120" w:line="360" w:lineRule="auto"/>
        <w:jc w:val="both"/>
        <w:rPr>
          <w:rFonts w:ascii="Arial" w:hAnsi="Arial" w:cs="Arial"/>
          <w:sz w:val="20"/>
          <w:szCs w:val="20"/>
        </w:rPr>
      </w:pPr>
      <w:r w:rsidRPr="00E80325">
        <w:rPr>
          <w:rFonts w:ascii="Arial" w:hAnsi="Arial" w:cs="Arial"/>
          <w:sz w:val="20"/>
          <w:szCs w:val="20"/>
        </w:rPr>
        <w:t>Zameranie vyššie uvedeného operačného cieľa OP ŽP možno z hľadiska jeho korelácie s prioritami Dunajskej stratégie považovať za významné nielen vo vzťahu k prioritnej oblasti 6. Chrániť biodiverzitu, krajinu a kvalitu ovzdušia a pôd, ale tiež vo vzťahu k predtým zmienenej prioritnej oblasti 5. Riadiť riziká v oblasti životného prostredia.</w:t>
      </w:r>
    </w:p>
    <w:p w:rsidR="00214ECF" w:rsidRPr="00E80325" w:rsidRDefault="00214ECF" w:rsidP="00507035">
      <w:pPr>
        <w:spacing w:before="120" w:after="120" w:line="360" w:lineRule="auto"/>
        <w:jc w:val="both"/>
        <w:rPr>
          <w:rFonts w:ascii="Arial" w:hAnsi="Arial" w:cs="Arial"/>
          <w:sz w:val="20"/>
          <w:szCs w:val="20"/>
        </w:rPr>
      </w:pPr>
      <w:r w:rsidRPr="00E80325">
        <w:rPr>
          <w:rFonts w:ascii="Arial" w:hAnsi="Arial" w:cs="Arial"/>
          <w:sz w:val="20"/>
          <w:szCs w:val="20"/>
        </w:rPr>
        <w:t>Uvedený operačný cieľ OP ŽP je zameraný na podporu environmentálneho povedomia verejnosti, ktoré je jednou zo základných podmienok realizácie opatrení v oblasti ochrany prírody a krajiny, a to predovšetkým prostredníctvom prípravy a vydávania kvalitných publikácií s informáciami o prírodných hodnotách, cieľoch v oblasti zachovania a zlepšovania kvality životného prostredia a úlohách ostatných subjektov pri jeho spoločnej ochrane.</w:t>
      </w:r>
    </w:p>
    <w:p w:rsidR="005D18B1" w:rsidRDefault="005D18B1">
      <w:pPr>
        <w:rPr>
          <w:rFonts w:ascii="Arial" w:hAnsi="Arial" w:cs="Arial"/>
          <w:sz w:val="20"/>
          <w:szCs w:val="20"/>
        </w:rPr>
      </w:pPr>
      <w:r>
        <w:rPr>
          <w:rFonts w:ascii="Arial" w:hAnsi="Arial" w:cs="Arial"/>
          <w:sz w:val="20"/>
          <w:szCs w:val="20"/>
        </w:rPr>
        <w:br w:type="page"/>
      </w:r>
    </w:p>
    <w:p w:rsidR="00214ECF" w:rsidRPr="00E80325" w:rsidRDefault="00214ECF" w:rsidP="005D18B1">
      <w:pPr>
        <w:spacing w:line="360" w:lineRule="auto"/>
        <w:jc w:val="both"/>
        <w:rPr>
          <w:rFonts w:ascii="Arial" w:hAnsi="Arial" w:cs="Arial"/>
          <w:sz w:val="20"/>
          <w:szCs w:val="20"/>
        </w:rPr>
      </w:pPr>
      <w:r w:rsidRPr="00E80325">
        <w:rPr>
          <w:rFonts w:ascii="Arial" w:hAnsi="Arial" w:cs="Arial"/>
          <w:sz w:val="20"/>
          <w:szCs w:val="20"/>
        </w:rPr>
        <w:t xml:space="preserve">Tab. č. </w:t>
      </w:r>
      <w:r w:rsidR="007B7519">
        <w:rPr>
          <w:rFonts w:ascii="Arial" w:hAnsi="Arial" w:cs="Arial"/>
          <w:sz w:val="20"/>
          <w:szCs w:val="20"/>
        </w:rPr>
        <w:t>32</w:t>
      </w:r>
      <w:r w:rsidRPr="00E80325">
        <w:rPr>
          <w:rFonts w:ascii="Arial" w:hAnsi="Arial" w:cs="Arial"/>
          <w:sz w:val="20"/>
          <w:szCs w:val="20"/>
        </w:rPr>
        <w:t>: Príklad projektu:</w:t>
      </w:r>
    </w:p>
    <w:tbl>
      <w:tblPr>
        <w:tblW w:w="9640" w:type="dxa"/>
        <w:tblInd w:w="-3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873"/>
        <w:gridCol w:w="1803"/>
        <w:gridCol w:w="1041"/>
        <w:gridCol w:w="1284"/>
        <w:gridCol w:w="1284"/>
        <w:gridCol w:w="1355"/>
      </w:tblGrid>
      <w:tr w:rsidR="00214ECF" w:rsidRPr="00E80325" w:rsidTr="006A551B">
        <w:trPr>
          <w:trHeight w:val="20"/>
        </w:trPr>
        <w:tc>
          <w:tcPr>
            <w:tcW w:w="2873" w:type="dxa"/>
            <w:shd w:val="clear" w:color="auto" w:fill="D6E3BC"/>
            <w:vAlign w:val="center"/>
          </w:tcPr>
          <w:p w:rsidR="00214ECF" w:rsidRPr="00E80325" w:rsidRDefault="00214ECF" w:rsidP="005D18B1">
            <w:pPr>
              <w:jc w:val="center"/>
              <w:rPr>
                <w:rFonts w:ascii="Arial" w:hAnsi="Arial" w:cs="Arial"/>
                <w:b/>
                <w:bCs/>
                <w:sz w:val="18"/>
                <w:szCs w:val="18"/>
              </w:rPr>
            </w:pPr>
            <w:r w:rsidRPr="00E80325">
              <w:rPr>
                <w:rFonts w:ascii="Arial" w:hAnsi="Arial" w:cs="Arial"/>
                <w:b/>
                <w:bCs/>
                <w:sz w:val="18"/>
                <w:szCs w:val="18"/>
              </w:rPr>
              <w:t>Názov projektu</w:t>
            </w:r>
          </w:p>
        </w:tc>
        <w:tc>
          <w:tcPr>
            <w:tcW w:w="1803" w:type="dxa"/>
            <w:shd w:val="clear" w:color="auto" w:fill="D6E3BC"/>
            <w:vAlign w:val="center"/>
          </w:tcPr>
          <w:p w:rsidR="00214ECF" w:rsidRPr="00E80325" w:rsidRDefault="00214ECF" w:rsidP="005D18B1">
            <w:pPr>
              <w:jc w:val="center"/>
              <w:rPr>
                <w:rFonts w:ascii="Arial" w:hAnsi="Arial" w:cs="Arial"/>
                <w:b/>
                <w:bCs/>
                <w:sz w:val="18"/>
                <w:szCs w:val="18"/>
              </w:rPr>
            </w:pPr>
            <w:r w:rsidRPr="00E80325">
              <w:rPr>
                <w:rFonts w:ascii="Arial" w:hAnsi="Arial" w:cs="Arial"/>
                <w:b/>
                <w:bCs/>
                <w:sz w:val="18"/>
                <w:szCs w:val="18"/>
              </w:rPr>
              <w:t>Prijímateľ</w:t>
            </w:r>
          </w:p>
        </w:tc>
        <w:tc>
          <w:tcPr>
            <w:tcW w:w="1041" w:type="dxa"/>
            <w:shd w:val="clear" w:color="auto" w:fill="D6E3BC"/>
            <w:vAlign w:val="center"/>
          </w:tcPr>
          <w:p w:rsidR="00214ECF" w:rsidRPr="00E80325" w:rsidRDefault="00214ECF" w:rsidP="005D18B1">
            <w:pPr>
              <w:jc w:val="center"/>
              <w:rPr>
                <w:rFonts w:ascii="Arial" w:hAnsi="Arial" w:cs="Arial"/>
                <w:b/>
                <w:bCs/>
                <w:sz w:val="18"/>
                <w:szCs w:val="18"/>
              </w:rPr>
            </w:pPr>
            <w:r w:rsidRPr="00E80325">
              <w:rPr>
                <w:rFonts w:ascii="Arial" w:hAnsi="Arial" w:cs="Arial"/>
                <w:b/>
                <w:bCs/>
                <w:sz w:val="18"/>
                <w:szCs w:val="18"/>
              </w:rPr>
              <w:t>Aktuálny stav</w:t>
            </w:r>
          </w:p>
        </w:tc>
        <w:tc>
          <w:tcPr>
            <w:tcW w:w="1284" w:type="dxa"/>
            <w:shd w:val="clear" w:color="auto" w:fill="D6E3BC"/>
            <w:vAlign w:val="center"/>
          </w:tcPr>
          <w:p w:rsidR="00214ECF" w:rsidRPr="00E80325" w:rsidRDefault="00214ECF" w:rsidP="005D18B1">
            <w:pPr>
              <w:jc w:val="center"/>
              <w:rPr>
                <w:rFonts w:ascii="Arial" w:hAnsi="Arial" w:cs="Arial"/>
                <w:b/>
                <w:bCs/>
                <w:sz w:val="18"/>
                <w:szCs w:val="18"/>
              </w:rPr>
            </w:pPr>
            <w:r w:rsidRPr="00E80325">
              <w:rPr>
                <w:rFonts w:ascii="Arial" w:hAnsi="Arial" w:cs="Arial"/>
                <w:b/>
                <w:bCs/>
                <w:sz w:val="18"/>
                <w:szCs w:val="18"/>
              </w:rPr>
              <w:t>Zazmluvnené</w:t>
            </w:r>
          </w:p>
          <w:p w:rsidR="00214ECF" w:rsidRPr="00E80325" w:rsidRDefault="00214ECF" w:rsidP="005D18B1">
            <w:pPr>
              <w:jc w:val="center"/>
              <w:rPr>
                <w:rFonts w:ascii="Arial" w:hAnsi="Arial" w:cs="Arial"/>
                <w:b/>
                <w:bCs/>
                <w:sz w:val="18"/>
                <w:szCs w:val="18"/>
              </w:rPr>
            </w:pPr>
            <w:r w:rsidRPr="00E80325">
              <w:rPr>
                <w:rFonts w:ascii="Arial" w:hAnsi="Arial" w:cs="Arial"/>
                <w:b/>
                <w:bCs/>
                <w:sz w:val="18"/>
                <w:szCs w:val="18"/>
              </w:rPr>
              <w:t>(zdroj EÚ) v €</w:t>
            </w:r>
          </w:p>
        </w:tc>
        <w:tc>
          <w:tcPr>
            <w:tcW w:w="1284" w:type="dxa"/>
            <w:shd w:val="clear" w:color="auto" w:fill="D6E3BC"/>
            <w:vAlign w:val="center"/>
          </w:tcPr>
          <w:p w:rsidR="00214ECF" w:rsidRPr="00E80325" w:rsidRDefault="00214ECF" w:rsidP="005D18B1">
            <w:pPr>
              <w:jc w:val="center"/>
              <w:rPr>
                <w:rFonts w:ascii="Arial" w:hAnsi="Arial" w:cs="Arial"/>
                <w:b/>
                <w:bCs/>
                <w:sz w:val="18"/>
                <w:szCs w:val="18"/>
              </w:rPr>
            </w:pPr>
            <w:r w:rsidRPr="00E80325">
              <w:rPr>
                <w:rFonts w:ascii="Arial" w:hAnsi="Arial" w:cs="Arial"/>
                <w:b/>
                <w:bCs/>
                <w:sz w:val="18"/>
                <w:szCs w:val="18"/>
              </w:rPr>
              <w:t>Zazmluvnené</w:t>
            </w:r>
          </w:p>
          <w:p w:rsidR="00214ECF" w:rsidRPr="00E80325" w:rsidRDefault="00214ECF" w:rsidP="005D18B1">
            <w:pPr>
              <w:jc w:val="center"/>
              <w:rPr>
                <w:rFonts w:ascii="Arial" w:hAnsi="Arial" w:cs="Arial"/>
                <w:b/>
                <w:bCs/>
                <w:sz w:val="18"/>
                <w:szCs w:val="18"/>
              </w:rPr>
            </w:pPr>
            <w:r w:rsidRPr="00E80325">
              <w:rPr>
                <w:rFonts w:ascii="Arial" w:hAnsi="Arial" w:cs="Arial"/>
                <w:b/>
                <w:bCs/>
                <w:sz w:val="18"/>
                <w:szCs w:val="18"/>
              </w:rPr>
              <w:t>(zdroj ŠR) v €</w:t>
            </w:r>
          </w:p>
        </w:tc>
        <w:tc>
          <w:tcPr>
            <w:tcW w:w="1355" w:type="dxa"/>
            <w:shd w:val="clear" w:color="auto" w:fill="D6E3BC"/>
            <w:vAlign w:val="center"/>
          </w:tcPr>
          <w:p w:rsidR="00214ECF" w:rsidRPr="00E80325" w:rsidRDefault="00214ECF" w:rsidP="005D18B1">
            <w:pPr>
              <w:jc w:val="center"/>
              <w:rPr>
                <w:rFonts w:ascii="Arial" w:hAnsi="Arial" w:cs="Arial"/>
                <w:b/>
                <w:bCs/>
                <w:sz w:val="18"/>
                <w:szCs w:val="18"/>
              </w:rPr>
            </w:pPr>
            <w:r w:rsidRPr="00E80325">
              <w:rPr>
                <w:rFonts w:ascii="Arial" w:hAnsi="Arial" w:cs="Arial"/>
                <w:b/>
                <w:bCs/>
                <w:sz w:val="18"/>
                <w:szCs w:val="18"/>
              </w:rPr>
              <w:t>Zazmluvnené</w:t>
            </w:r>
          </w:p>
          <w:p w:rsidR="00214ECF" w:rsidRPr="00E80325" w:rsidRDefault="00214ECF" w:rsidP="005D18B1">
            <w:pPr>
              <w:jc w:val="center"/>
              <w:rPr>
                <w:rFonts w:ascii="Arial" w:hAnsi="Arial" w:cs="Arial"/>
                <w:b/>
                <w:bCs/>
                <w:sz w:val="18"/>
                <w:szCs w:val="18"/>
              </w:rPr>
            </w:pPr>
            <w:r w:rsidRPr="00E80325">
              <w:rPr>
                <w:rFonts w:ascii="Arial" w:hAnsi="Arial" w:cs="Arial"/>
                <w:b/>
                <w:bCs/>
                <w:sz w:val="18"/>
                <w:szCs w:val="18"/>
              </w:rPr>
              <w:t>(EÚ + ŠR) v €</w:t>
            </w:r>
          </w:p>
        </w:tc>
      </w:tr>
      <w:tr w:rsidR="00214ECF" w:rsidRPr="00E80325" w:rsidTr="006A551B">
        <w:trPr>
          <w:trHeight w:val="20"/>
        </w:trPr>
        <w:tc>
          <w:tcPr>
            <w:tcW w:w="2873" w:type="dxa"/>
            <w:shd w:val="clear" w:color="auto" w:fill="EAF1DD"/>
            <w:noWrap/>
            <w:vAlign w:val="center"/>
          </w:tcPr>
          <w:p w:rsidR="00214ECF" w:rsidRPr="00E80325" w:rsidRDefault="00214ECF" w:rsidP="005D18B1">
            <w:pPr>
              <w:jc w:val="both"/>
              <w:rPr>
                <w:rFonts w:ascii="Arial" w:hAnsi="Arial" w:cs="Arial"/>
                <w:bCs/>
                <w:sz w:val="18"/>
                <w:szCs w:val="18"/>
              </w:rPr>
            </w:pPr>
            <w:r w:rsidRPr="00E80325">
              <w:rPr>
                <w:rFonts w:ascii="Arial" w:hAnsi="Arial" w:cs="Arial"/>
                <w:bCs/>
                <w:sz w:val="18"/>
                <w:szCs w:val="18"/>
              </w:rPr>
              <w:t xml:space="preserve">Informačná a vzdelávacia kampaň </w:t>
            </w:r>
          </w:p>
          <w:p w:rsidR="00214ECF" w:rsidRPr="00E80325" w:rsidRDefault="00214ECF" w:rsidP="005D18B1">
            <w:pPr>
              <w:jc w:val="both"/>
              <w:rPr>
                <w:rFonts w:ascii="Arial" w:hAnsi="Arial" w:cs="Arial"/>
                <w:bCs/>
                <w:sz w:val="18"/>
                <w:szCs w:val="18"/>
              </w:rPr>
            </w:pPr>
            <w:r w:rsidRPr="00E80325">
              <w:rPr>
                <w:rFonts w:ascii="Arial" w:hAnsi="Arial" w:cs="Arial"/>
                <w:bCs/>
                <w:sz w:val="18"/>
                <w:szCs w:val="18"/>
              </w:rPr>
              <w:t xml:space="preserve">o vodnom plánovaní v zmysle </w:t>
            </w:r>
          </w:p>
          <w:p w:rsidR="00214ECF" w:rsidRPr="00E80325" w:rsidRDefault="00214ECF" w:rsidP="005D18B1">
            <w:pPr>
              <w:jc w:val="both"/>
              <w:rPr>
                <w:rFonts w:ascii="Arial" w:hAnsi="Arial" w:cs="Arial"/>
                <w:bCs/>
                <w:sz w:val="18"/>
                <w:szCs w:val="18"/>
              </w:rPr>
            </w:pPr>
            <w:r w:rsidRPr="00E80325">
              <w:rPr>
                <w:rFonts w:ascii="Arial" w:hAnsi="Arial" w:cs="Arial"/>
                <w:bCs/>
                <w:sz w:val="18"/>
                <w:szCs w:val="18"/>
              </w:rPr>
              <w:t xml:space="preserve">smernice 2000/60/ES vo vzťahu </w:t>
            </w:r>
          </w:p>
          <w:p w:rsidR="00214ECF" w:rsidRPr="00E80325" w:rsidRDefault="00214ECF" w:rsidP="005D18B1">
            <w:pPr>
              <w:jc w:val="both"/>
              <w:rPr>
                <w:rFonts w:ascii="Arial" w:hAnsi="Arial" w:cs="Arial"/>
                <w:sz w:val="18"/>
                <w:szCs w:val="18"/>
              </w:rPr>
            </w:pPr>
            <w:r w:rsidRPr="00E80325">
              <w:rPr>
                <w:rFonts w:ascii="Arial" w:hAnsi="Arial" w:cs="Arial"/>
                <w:bCs/>
                <w:sz w:val="18"/>
                <w:szCs w:val="18"/>
              </w:rPr>
              <w:t xml:space="preserve">k ochrane prírody a krajiny </w:t>
            </w:r>
          </w:p>
        </w:tc>
        <w:tc>
          <w:tcPr>
            <w:tcW w:w="1803" w:type="dxa"/>
            <w:vAlign w:val="center"/>
          </w:tcPr>
          <w:p w:rsidR="00214ECF" w:rsidRPr="00E80325" w:rsidRDefault="00214ECF" w:rsidP="005D18B1">
            <w:pPr>
              <w:jc w:val="both"/>
              <w:rPr>
                <w:rFonts w:ascii="Arial" w:hAnsi="Arial" w:cs="Arial"/>
                <w:sz w:val="18"/>
                <w:szCs w:val="18"/>
              </w:rPr>
            </w:pPr>
            <w:r w:rsidRPr="00E80325">
              <w:rPr>
                <w:rFonts w:ascii="Arial" w:hAnsi="Arial" w:cs="Arial"/>
                <w:sz w:val="18"/>
                <w:szCs w:val="18"/>
              </w:rPr>
              <w:t>Slovenská agentúra životného prostredia</w:t>
            </w:r>
          </w:p>
        </w:tc>
        <w:tc>
          <w:tcPr>
            <w:tcW w:w="1041" w:type="dxa"/>
            <w:vAlign w:val="center"/>
          </w:tcPr>
          <w:p w:rsidR="00214ECF" w:rsidRPr="00E80325" w:rsidRDefault="00214ECF" w:rsidP="005D18B1">
            <w:pPr>
              <w:jc w:val="both"/>
              <w:rPr>
                <w:rFonts w:ascii="Arial" w:hAnsi="Arial" w:cs="Arial"/>
                <w:sz w:val="18"/>
                <w:szCs w:val="18"/>
              </w:rPr>
            </w:pPr>
            <w:r>
              <w:rPr>
                <w:rFonts w:ascii="Arial" w:hAnsi="Arial" w:cs="Arial"/>
                <w:sz w:val="18"/>
                <w:szCs w:val="18"/>
              </w:rPr>
              <w:t>Riadne ukončený</w:t>
            </w:r>
          </w:p>
          <w:p w:rsidR="00214ECF" w:rsidRPr="00E80325" w:rsidRDefault="00214ECF" w:rsidP="005D18B1">
            <w:pPr>
              <w:jc w:val="both"/>
              <w:rPr>
                <w:rFonts w:ascii="Arial" w:hAnsi="Arial" w:cs="Arial"/>
                <w:sz w:val="18"/>
                <w:szCs w:val="18"/>
              </w:rPr>
            </w:pPr>
          </w:p>
        </w:tc>
        <w:tc>
          <w:tcPr>
            <w:tcW w:w="1284" w:type="dxa"/>
            <w:vAlign w:val="center"/>
          </w:tcPr>
          <w:p w:rsidR="00214ECF" w:rsidRPr="00E80325" w:rsidRDefault="00214ECF" w:rsidP="005D18B1">
            <w:pPr>
              <w:jc w:val="both"/>
              <w:rPr>
                <w:rFonts w:ascii="Arial" w:hAnsi="Arial" w:cs="Arial"/>
                <w:sz w:val="18"/>
                <w:szCs w:val="18"/>
              </w:rPr>
            </w:pPr>
            <w:r w:rsidRPr="00E80325">
              <w:rPr>
                <w:rFonts w:ascii="Arial" w:hAnsi="Arial" w:cs="Arial"/>
                <w:sz w:val="18"/>
                <w:szCs w:val="18"/>
              </w:rPr>
              <w:t>165 128,71</w:t>
            </w:r>
          </w:p>
        </w:tc>
        <w:tc>
          <w:tcPr>
            <w:tcW w:w="1284" w:type="dxa"/>
            <w:vAlign w:val="center"/>
          </w:tcPr>
          <w:p w:rsidR="00214ECF" w:rsidRPr="00E80325" w:rsidRDefault="00214ECF" w:rsidP="005D18B1">
            <w:pPr>
              <w:jc w:val="both"/>
              <w:rPr>
                <w:rFonts w:ascii="Arial" w:hAnsi="Arial" w:cs="Arial"/>
                <w:sz w:val="18"/>
                <w:szCs w:val="18"/>
              </w:rPr>
            </w:pPr>
            <w:r w:rsidRPr="00E80325">
              <w:rPr>
                <w:rFonts w:ascii="Arial" w:hAnsi="Arial" w:cs="Arial"/>
                <w:sz w:val="18"/>
                <w:szCs w:val="18"/>
              </w:rPr>
              <w:t>29 140,36</w:t>
            </w:r>
          </w:p>
        </w:tc>
        <w:tc>
          <w:tcPr>
            <w:tcW w:w="1355" w:type="dxa"/>
            <w:vAlign w:val="center"/>
          </w:tcPr>
          <w:p w:rsidR="00214ECF" w:rsidRPr="00E80325" w:rsidRDefault="00214ECF" w:rsidP="005D18B1">
            <w:pPr>
              <w:jc w:val="both"/>
              <w:rPr>
                <w:rFonts w:ascii="Arial" w:hAnsi="Arial" w:cs="Arial"/>
                <w:sz w:val="18"/>
                <w:szCs w:val="18"/>
              </w:rPr>
            </w:pPr>
            <w:r w:rsidRPr="00E80325">
              <w:rPr>
                <w:rFonts w:ascii="Arial" w:hAnsi="Arial" w:cs="Arial"/>
                <w:sz w:val="18"/>
                <w:szCs w:val="18"/>
              </w:rPr>
              <w:t>194 269,07</w:t>
            </w:r>
          </w:p>
        </w:tc>
      </w:tr>
    </w:tbl>
    <w:p w:rsidR="00214ECF" w:rsidRPr="00E80325" w:rsidRDefault="00214ECF" w:rsidP="005D18B1">
      <w:pPr>
        <w:spacing w:line="360" w:lineRule="auto"/>
        <w:jc w:val="both"/>
        <w:rPr>
          <w:rFonts w:ascii="Arial" w:hAnsi="Arial" w:cs="Arial"/>
          <w:sz w:val="18"/>
          <w:szCs w:val="18"/>
        </w:rPr>
      </w:pPr>
      <w:r w:rsidRPr="00E80325">
        <w:rPr>
          <w:rFonts w:ascii="Arial" w:hAnsi="Arial" w:cs="Arial"/>
          <w:sz w:val="18"/>
          <w:szCs w:val="18"/>
        </w:rPr>
        <w:t>Zdroj: RO</w:t>
      </w:r>
    </w:p>
    <w:p w:rsidR="00214ECF" w:rsidRPr="00E80325" w:rsidRDefault="00214ECF" w:rsidP="00507035">
      <w:pPr>
        <w:spacing w:before="120" w:after="120" w:line="360" w:lineRule="auto"/>
        <w:jc w:val="both"/>
        <w:rPr>
          <w:rFonts w:ascii="Arial" w:hAnsi="Arial" w:cs="Arial"/>
          <w:sz w:val="20"/>
          <w:szCs w:val="20"/>
        </w:rPr>
      </w:pPr>
      <w:r w:rsidRPr="00E80325">
        <w:rPr>
          <w:rFonts w:ascii="Arial" w:hAnsi="Arial" w:cs="Arial"/>
          <w:sz w:val="20"/>
          <w:szCs w:val="20"/>
        </w:rPr>
        <w:t xml:space="preserve">Z vyššie uvedeného porovnania operačných cieľov OP ŽP s piliermi a prioritnými oblasťami Stratégie EÚ pre dunajský región vyplýva, že v rámci schválenej štruktúry Dunajskej stratégie s cieľmi OP ŽP najužšie súvisí </w:t>
      </w:r>
      <w:r w:rsidRPr="00E80325">
        <w:rPr>
          <w:rFonts w:ascii="Arial" w:hAnsi="Arial" w:cs="Arial"/>
          <w:i/>
          <w:sz w:val="20"/>
          <w:szCs w:val="20"/>
        </w:rPr>
        <w:t>pilier II. Ochrana životného prostredia v podunajskej oblasti</w:t>
      </w:r>
      <w:r w:rsidRPr="00E80325">
        <w:rPr>
          <w:rFonts w:ascii="Arial" w:hAnsi="Arial" w:cs="Arial"/>
          <w:sz w:val="20"/>
          <w:szCs w:val="20"/>
        </w:rPr>
        <w:t>.</w:t>
      </w:r>
    </w:p>
    <w:p w:rsidR="00214ECF" w:rsidRPr="00E80325" w:rsidRDefault="00214ECF" w:rsidP="00507035">
      <w:pPr>
        <w:spacing w:before="120" w:after="120" w:line="360" w:lineRule="auto"/>
        <w:jc w:val="both"/>
        <w:rPr>
          <w:rFonts w:ascii="Arial" w:hAnsi="Arial" w:cs="Arial"/>
          <w:i/>
          <w:sz w:val="20"/>
          <w:szCs w:val="20"/>
        </w:rPr>
      </w:pPr>
      <w:r w:rsidRPr="00E80325">
        <w:rPr>
          <w:rFonts w:ascii="Arial" w:hAnsi="Arial" w:cs="Arial"/>
          <w:sz w:val="20"/>
          <w:szCs w:val="20"/>
        </w:rPr>
        <w:t xml:space="preserve">V rámci OP ŽP má vo vzťahu k prioritám Dunajskej stratégie v rámci uvedeného piliera prvoradý význam </w:t>
      </w:r>
      <w:r w:rsidRPr="00E80325">
        <w:rPr>
          <w:rFonts w:ascii="Arial" w:hAnsi="Arial" w:cs="Arial"/>
          <w:i/>
          <w:sz w:val="20"/>
          <w:szCs w:val="20"/>
        </w:rPr>
        <w:t xml:space="preserve">Prioritná os 1 </w:t>
      </w:r>
      <w:r w:rsidRPr="00E80325">
        <w:rPr>
          <w:rFonts w:ascii="Arial" w:hAnsi="Arial" w:cs="Arial"/>
          <w:bCs/>
          <w:i/>
          <w:sz w:val="20"/>
          <w:szCs w:val="20"/>
        </w:rPr>
        <w:t>Integrovaná ochrana a racionálne využívanie vôd, ktorá svojím zameraním vo veľkej miere zodpovedá cieľom prioritnej oblasti 4.</w:t>
      </w:r>
      <w:r w:rsidRPr="00E80325">
        <w:rPr>
          <w:rFonts w:ascii="Arial" w:hAnsi="Arial" w:cs="Arial"/>
          <w:i/>
          <w:sz w:val="20"/>
          <w:szCs w:val="20"/>
        </w:rPr>
        <w:t xml:space="preserve"> Obnoviť a udržať kvalitu vôd</w:t>
      </w:r>
      <w:r w:rsidRPr="00E80325">
        <w:rPr>
          <w:rFonts w:ascii="Arial" w:hAnsi="Arial" w:cs="Arial"/>
          <w:sz w:val="20"/>
          <w:szCs w:val="20"/>
        </w:rPr>
        <w:t>.</w:t>
      </w:r>
    </w:p>
    <w:p w:rsidR="00214ECF" w:rsidRPr="00E80325" w:rsidRDefault="00214ECF" w:rsidP="00507035">
      <w:pPr>
        <w:spacing w:before="120" w:after="120" w:line="360" w:lineRule="auto"/>
        <w:jc w:val="both"/>
        <w:rPr>
          <w:rFonts w:ascii="Arial" w:hAnsi="Arial" w:cs="Arial"/>
          <w:b/>
          <w:i/>
          <w:sz w:val="20"/>
          <w:szCs w:val="20"/>
        </w:rPr>
      </w:pPr>
      <w:r w:rsidRPr="00E80325">
        <w:rPr>
          <w:rFonts w:ascii="Arial" w:hAnsi="Arial" w:cs="Arial"/>
          <w:bCs/>
          <w:sz w:val="20"/>
          <w:szCs w:val="20"/>
        </w:rPr>
        <w:t xml:space="preserve">Z hľadiska </w:t>
      </w:r>
      <w:r w:rsidRPr="00E80325">
        <w:rPr>
          <w:rFonts w:ascii="Arial" w:hAnsi="Arial" w:cs="Arial"/>
          <w:sz w:val="20"/>
          <w:szCs w:val="20"/>
        </w:rPr>
        <w:t xml:space="preserve">významu pre realizáciu cieľov Dunajskej stratégie v prioritnej oblasti </w:t>
      </w:r>
      <w:r w:rsidRPr="00E80325">
        <w:rPr>
          <w:rFonts w:ascii="Arial" w:hAnsi="Arial" w:cs="Arial"/>
          <w:sz w:val="20"/>
          <w:szCs w:val="20"/>
          <w:u w:val="single"/>
        </w:rPr>
        <w:t>5. Riadiť riziká v oblasti životného prostredia</w:t>
      </w:r>
      <w:r w:rsidRPr="00E80325">
        <w:rPr>
          <w:rFonts w:ascii="Arial" w:hAnsi="Arial" w:cs="Arial"/>
          <w:sz w:val="20"/>
          <w:szCs w:val="20"/>
        </w:rPr>
        <w:t xml:space="preserve"> možno v rámci OP ŽP za dôležité považovať tiež </w:t>
      </w:r>
      <w:r w:rsidRPr="00E80325">
        <w:rPr>
          <w:rFonts w:ascii="Arial" w:hAnsi="Arial" w:cs="Arial"/>
          <w:i/>
          <w:sz w:val="20"/>
          <w:szCs w:val="20"/>
        </w:rPr>
        <w:t>opatrenia vyplývajúce zo smernice Európskeho parlamentu a Rady 2007/60/ES z 23. októbra 2007</w:t>
      </w:r>
      <w:r w:rsidRPr="00E80325">
        <w:rPr>
          <w:rFonts w:ascii="Arial" w:hAnsi="Arial" w:cs="Arial"/>
          <w:sz w:val="20"/>
          <w:szCs w:val="20"/>
        </w:rPr>
        <w:t xml:space="preserve"> </w:t>
      </w:r>
      <w:r w:rsidRPr="00E80325">
        <w:rPr>
          <w:rFonts w:ascii="Arial" w:hAnsi="Arial" w:cs="Arial"/>
          <w:i/>
          <w:sz w:val="20"/>
          <w:szCs w:val="20"/>
        </w:rPr>
        <w:t>o hodnotení a manažmente povodňových rizík, ktoré sú súčasťou prioritnej osi 2 Ochrana pred povodňami, ako aj prioritnú os 7 Budovanie povodňového varovného a predpovedného systému.</w:t>
      </w:r>
      <w:r w:rsidRPr="00E80325">
        <w:rPr>
          <w:rFonts w:ascii="Arial" w:hAnsi="Arial" w:cs="Arial"/>
          <w:b/>
          <w:i/>
          <w:sz w:val="20"/>
          <w:szCs w:val="20"/>
        </w:rPr>
        <w:t xml:space="preserve"> </w:t>
      </w:r>
    </w:p>
    <w:p w:rsidR="00214ECF" w:rsidRDefault="00214ECF" w:rsidP="00507035">
      <w:pPr>
        <w:spacing w:before="120" w:after="120" w:line="360" w:lineRule="auto"/>
        <w:jc w:val="both"/>
        <w:rPr>
          <w:rFonts w:ascii="Arial" w:hAnsi="Arial" w:cs="Arial"/>
          <w:sz w:val="20"/>
          <w:szCs w:val="20"/>
        </w:rPr>
      </w:pPr>
      <w:r w:rsidRPr="00E80325">
        <w:rPr>
          <w:rFonts w:ascii="Arial" w:hAnsi="Arial" w:cs="Arial"/>
          <w:sz w:val="20"/>
          <w:szCs w:val="20"/>
        </w:rPr>
        <w:t xml:space="preserve">Vo vzťahu k cieľom Dunajskej stratégie stanoveným v prioritnej oblasti </w:t>
      </w:r>
      <w:r w:rsidRPr="00E80325">
        <w:rPr>
          <w:rFonts w:ascii="Arial" w:hAnsi="Arial" w:cs="Arial"/>
          <w:sz w:val="20"/>
          <w:szCs w:val="20"/>
          <w:u w:val="single"/>
        </w:rPr>
        <w:t>6. Chrániť biodiverzitu, krajinu a kvalitu ovzdušia a pôd</w:t>
      </w:r>
      <w:r w:rsidRPr="00E80325">
        <w:rPr>
          <w:rFonts w:ascii="Arial" w:hAnsi="Arial" w:cs="Arial"/>
          <w:sz w:val="20"/>
          <w:szCs w:val="20"/>
        </w:rPr>
        <w:t xml:space="preserve"> sa v rámci OP ŽP najvyššou mierou relevancie vyznačuje </w:t>
      </w:r>
      <w:r w:rsidRPr="00E80325">
        <w:rPr>
          <w:rFonts w:ascii="Arial" w:hAnsi="Arial" w:cs="Arial"/>
          <w:i/>
          <w:sz w:val="20"/>
          <w:szCs w:val="20"/>
        </w:rPr>
        <w:t>Prioritná os 5 Ochrana a regenerácia prírodného prostredia a krajiny, operačné ciele 5.1 a 5.3</w:t>
      </w:r>
      <w:r w:rsidRPr="00E80325">
        <w:rPr>
          <w:rFonts w:ascii="Arial" w:hAnsi="Arial" w:cs="Arial"/>
          <w:sz w:val="20"/>
          <w:szCs w:val="20"/>
        </w:rPr>
        <w:t>.</w:t>
      </w:r>
    </w:p>
    <w:p w:rsidR="00992100" w:rsidRPr="00E80325" w:rsidRDefault="00992100" w:rsidP="00507035">
      <w:pPr>
        <w:spacing w:before="120" w:after="120" w:line="360" w:lineRule="auto"/>
        <w:jc w:val="both"/>
        <w:rPr>
          <w:rFonts w:ascii="Arial" w:hAnsi="Arial" w:cs="Arial"/>
          <w:sz w:val="20"/>
          <w:szCs w:val="20"/>
        </w:rPr>
      </w:pPr>
    </w:p>
    <w:p w:rsidR="002416B1" w:rsidRPr="004B33AE" w:rsidRDefault="002416B1" w:rsidP="00507035">
      <w:pPr>
        <w:pStyle w:val="Nadpis2"/>
        <w:spacing w:before="120" w:after="120" w:line="360" w:lineRule="auto"/>
      </w:pPr>
      <w:bookmarkStart w:id="46" w:name="_3.6_Monitorovacie_mechanizmy"/>
      <w:bookmarkStart w:id="47" w:name="_Toc319573314"/>
      <w:bookmarkEnd w:id="46"/>
      <w:r w:rsidRPr="004B33AE">
        <w:t>2.7 Monitorovanie a hodnotenie</w:t>
      </w:r>
      <w:bookmarkEnd w:id="47"/>
    </w:p>
    <w:p w:rsidR="002416B1" w:rsidRPr="004B33AE" w:rsidRDefault="002416B1" w:rsidP="00507035">
      <w:pPr>
        <w:pStyle w:val="Nadpis3"/>
        <w:spacing w:before="120" w:after="120" w:line="360" w:lineRule="auto"/>
      </w:pPr>
      <w:bookmarkStart w:id="48" w:name="_3.6.1_Monitorovací_výbor"/>
      <w:bookmarkStart w:id="49" w:name="_Toc319573315"/>
      <w:bookmarkEnd w:id="48"/>
      <w:r w:rsidRPr="004B33AE">
        <w:t>2.7.1 Monitorovanie</w:t>
      </w:r>
      <w:bookmarkEnd w:id="49"/>
    </w:p>
    <w:p w:rsidR="002416B1" w:rsidRPr="004B33AE" w:rsidRDefault="002416B1" w:rsidP="00507035">
      <w:pPr>
        <w:spacing w:before="120" w:after="120" w:line="360" w:lineRule="auto"/>
        <w:jc w:val="both"/>
        <w:rPr>
          <w:rFonts w:ascii="Arial" w:hAnsi="Arial" w:cs="Arial"/>
          <w:sz w:val="20"/>
          <w:szCs w:val="20"/>
        </w:rPr>
      </w:pPr>
      <w:r w:rsidRPr="004B33AE">
        <w:rPr>
          <w:rFonts w:ascii="Arial" w:hAnsi="Arial" w:cs="Arial"/>
          <w:sz w:val="20"/>
          <w:szCs w:val="20"/>
        </w:rPr>
        <w:t>Monitorovanie kvality vykonávania operačného programu v súlade s čl. 63 - 68 všeobecného nariadenia zabezpečuje riadiaci orgán a príslušný monitorovací výbor.</w:t>
      </w:r>
    </w:p>
    <w:p w:rsidR="002416B1" w:rsidRPr="004B33AE" w:rsidRDefault="002416B1" w:rsidP="00507035">
      <w:pPr>
        <w:spacing w:before="120" w:after="120" w:line="360" w:lineRule="auto"/>
        <w:jc w:val="both"/>
        <w:rPr>
          <w:rFonts w:ascii="Arial" w:hAnsi="Arial" w:cs="Arial"/>
          <w:sz w:val="20"/>
          <w:szCs w:val="20"/>
        </w:rPr>
      </w:pPr>
      <w:r w:rsidRPr="004B33AE">
        <w:rPr>
          <w:rFonts w:ascii="Arial" w:hAnsi="Arial" w:cs="Arial"/>
          <w:sz w:val="20"/>
          <w:szCs w:val="20"/>
          <w:u w:val="single"/>
        </w:rPr>
        <w:t>Predmetom monitorovania na úrovni programu</w:t>
      </w:r>
      <w:r w:rsidRPr="004B33AE">
        <w:rPr>
          <w:rFonts w:ascii="Arial" w:hAnsi="Arial" w:cs="Arial"/>
          <w:sz w:val="20"/>
          <w:szCs w:val="20"/>
        </w:rPr>
        <w:t xml:space="preserve"> je dôsledné a pravidelné sledovanie realizácie cieľov operačného programu s využitím fyzických a finančných ukazovateľov výstupu a výsledku OP, s cieľom poskytnúť príslušným zodpovedným subjektom okamžitý prístup k spoľahlivým, konzistentným a aktuálnym informáciám dôležitým pre vykonávanie a hodnotenie OP. Výstupmi monitorovania sú výročné správy a záverečná správa o vykonávaní OP a ďalšie informácie pre rozhodovanie monitorovacích výborov a pre potreby vykonávania a hodnotenia riadených procesov.</w:t>
      </w:r>
    </w:p>
    <w:p w:rsidR="002416B1" w:rsidRPr="004B33AE" w:rsidRDefault="002416B1" w:rsidP="00507035">
      <w:pPr>
        <w:spacing w:before="120" w:after="120" w:line="360" w:lineRule="auto"/>
        <w:ind w:right="40"/>
        <w:jc w:val="both"/>
        <w:rPr>
          <w:rFonts w:ascii="Arial" w:hAnsi="Arial"/>
          <w:sz w:val="20"/>
        </w:rPr>
      </w:pPr>
      <w:r w:rsidRPr="004B33AE">
        <w:rPr>
          <w:rFonts w:ascii="Arial" w:hAnsi="Arial"/>
          <w:sz w:val="20"/>
        </w:rPr>
        <w:t>Monitorovanie operačného programu pokrýva všetky základné procesy a aspekty jeho implementácie a umožňuje monitorovaciemu výboru a RO sledovanie priebehu implementácie operačného programu vo vzťahu k jeho cieľom a záväzným procesom.</w:t>
      </w:r>
    </w:p>
    <w:p w:rsidR="002416B1" w:rsidRPr="004B33AE" w:rsidRDefault="002416B1" w:rsidP="00507035">
      <w:pPr>
        <w:spacing w:before="120" w:after="120" w:line="360" w:lineRule="auto"/>
        <w:ind w:right="40"/>
        <w:jc w:val="both"/>
        <w:rPr>
          <w:rFonts w:ascii="Arial" w:hAnsi="Arial"/>
          <w:sz w:val="20"/>
        </w:rPr>
      </w:pPr>
      <w:r w:rsidRPr="004B33AE">
        <w:rPr>
          <w:rFonts w:ascii="Arial" w:hAnsi="Arial"/>
          <w:sz w:val="20"/>
        </w:rPr>
        <w:t>Základnými zdrojmi pre monitorovanie programov sú Informačno-technologický monitorovací systém (ITMS) a </w:t>
      </w:r>
      <w:r w:rsidRPr="004B33AE">
        <w:rPr>
          <w:rFonts w:ascii="Arial" w:hAnsi="Arial" w:cs="Arial"/>
          <w:sz w:val="20"/>
          <w:szCs w:val="20"/>
        </w:rPr>
        <w:t>Informačný systém pre účtovanie fondov</w:t>
      </w:r>
      <w:r w:rsidRPr="004B33AE">
        <w:rPr>
          <w:rFonts w:ascii="Arial" w:hAnsi="Arial"/>
          <w:sz w:val="20"/>
        </w:rPr>
        <w:t xml:space="preserve"> (ISUF), základnou jednotkou monitorovania je projekt. </w:t>
      </w:r>
    </w:p>
    <w:p w:rsidR="002416B1" w:rsidRPr="004B33AE" w:rsidRDefault="002416B1" w:rsidP="00507035">
      <w:pPr>
        <w:spacing w:before="120" w:after="120" w:line="360" w:lineRule="auto"/>
        <w:jc w:val="both"/>
        <w:rPr>
          <w:rFonts w:ascii="Arial" w:hAnsi="Arial"/>
          <w:sz w:val="20"/>
        </w:rPr>
      </w:pPr>
      <w:r w:rsidRPr="004B33AE">
        <w:rPr>
          <w:rFonts w:ascii="Arial" w:hAnsi="Arial"/>
          <w:sz w:val="20"/>
          <w:u w:val="single"/>
        </w:rPr>
        <w:t>Monitorovanie projektov prebieha na základe merateľných ukazovateľov</w:t>
      </w:r>
      <w:r w:rsidRPr="004B33AE">
        <w:rPr>
          <w:rFonts w:ascii="Arial" w:hAnsi="Arial"/>
          <w:sz w:val="20"/>
        </w:rPr>
        <w:t>, t.j. projektových ukazovateľov výsledku a dopadu, ktoré sú súčasťou Príručky pre žiadateľa o NFP v rámci OP ŽP. Projektové ukazovatele sú zaradené v číselníku projektových ukazovateľov podľa prioritných tém v zmysle prílohy č. II vykonávacieho nariadenia. Základné postupy, ktorými sú RO a koordinátori horizontálnych priorít povinné sa riadiť pri formulácii, používaní a aktualizácii projektových ukazovateľov, sú definované v Metodickom pokyne CKO k tvorbe a používaniu projektových ukazovateľov a ich zaraďovaniu do ITMS. Vybrané projektové ukazovatele v číselníku projektových ukazovateľov, identifikované ako relevantné k príslušnej horizontálnej priorite, sú využívané koordinátormi horizontálnych priorít za účelom agregácie údajov z úrovne projektov a monitorovania a hodnotenia príspevku OP k plneniu cieľov horizontálnych priorít NSRR.</w:t>
      </w:r>
    </w:p>
    <w:p w:rsidR="002416B1" w:rsidRPr="00D52EFF" w:rsidRDefault="002416B1" w:rsidP="00507035">
      <w:pPr>
        <w:spacing w:before="120" w:after="120" w:line="360" w:lineRule="auto"/>
        <w:ind w:right="40"/>
        <w:jc w:val="both"/>
        <w:rPr>
          <w:rFonts w:ascii="Arial" w:hAnsi="Arial"/>
          <w:sz w:val="20"/>
        </w:rPr>
      </w:pPr>
      <w:r w:rsidRPr="004B33AE">
        <w:rPr>
          <w:rFonts w:ascii="Arial" w:hAnsi="Arial"/>
          <w:sz w:val="20"/>
        </w:rPr>
        <w:t xml:space="preserve">Pri monitorovaní jednotlivých ukazovateľov RO každomesačne agreguje dostupné výstupy z ITMS resp. monitorovacích správ projektu, čo umožňuje sledovať nielen dosiahnuté merané hodnoty </w:t>
      </w:r>
      <w:r w:rsidRPr="00D52EFF">
        <w:rPr>
          <w:rFonts w:ascii="Arial" w:hAnsi="Arial"/>
          <w:sz w:val="20"/>
        </w:rPr>
        <w:t xml:space="preserve">jednotlivých merateľných ukazovateľov, ale aj východiskové a cieľové hodnoty jednotlivých ukazovateľov na úrovni projektov, ako aj plánovaných hodnôt na úrovni celého OP. </w:t>
      </w:r>
    </w:p>
    <w:p w:rsidR="002416B1" w:rsidRPr="00D52EFF" w:rsidRDefault="002416B1" w:rsidP="00507035">
      <w:pPr>
        <w:spacing w:before="120" w:after="120" w:line="360" w:lineRule="auto"/>
        <w:ind w:right="40"/>
        <w:jc w:val="both"/>
        <w:rPr>
          <w:rFonts w:ascii="Arial" w:hAnsi="Arial"/>
          <w:sz w:val="20"/>
        </w:rPr>
      </w:pPr>
      <w:r w:rsidRPr="00D52EFF">
        <w:rPr>
          <w:rFonts w:ascii="Arial" w:hAnsi="Arial"/>
          <w:sz w:val="20"/>
        </w:rPr>
        <w:t xml:space="preserve">V roku </w:t>
      </w:r>
      <w:r w:rsidR="00C22820" w:rsidRPr="00D52EFF">
        <w:rPr>
          <w:rFonts w:ascii="Arial" w:hAnsi="Arial"/>
          <w:sz w:val="20"/>
        </w:rPr>
        <w:t>2012</w:t>
      </w:r>
      <w:r w:rsidR="00A9375C" w:rsidRPr="00D52EFF">
        <w:rPr>
          <w:rFonts w:ascii="Arial" w:hAnsi="Arial"/>
          <w:sz w:val="20"/>
        </w:rPr>
        <w:t xml:space="preserve"> </w:t>
      </w:r>
      <w:r w:rsidRPr="00D52EFF">
        <w:rPr>
          <w:rFonts w:ascii="Arial" w:hAnsi="Arial"/>
          <w:sz w:val="20"/>
        </w:rPr>
        <w:t xml:space="preserve">obdržal </w:t>
      </w:r>
      <w:r w:rsidR="00C87FF8" w:rsidRPr="00D52EFF">
        <w:rPr>
          <w:rFonts w:ascii="Arial" w:hAnsi="Arial"/>
          <w:sz w:val="20"/>
        </w:rPr>
        <w:t>RO</w:t>
      </w:r>
      <w:r w:rsidRPr="00D52EFF">
        <w:rPr>
          <w:rFonts w:ascii="Arial" w:hAnsi="Arial"/>
          <w:sz w:val="20"/>
        </w:rPr>
        <w:t xml:space="preserve"> od prijímateľov 896 monitorovacích správ projektov, z toho 731 priebežných, 126 záverečných a 39 následných, </w:t>
      </w:r>
    </w:p>
    <w:p w:rsidR="002416B1" w:rsidRPr="004B33AE" w:rsidRDefault="002416B1" w:rsidP="00507035">
      <w:pPr>
        <w:spacing w:before="120" w:after="120" w:line="360" w:lineRule="auto"/>
        <w:ind w:right="40"/>
        <w:jc w:val="both"/>
        <w:rPr>
          <w:rFonts w:ascii="Arial" w:hAnsi="Arial"/>
          <w:sz w:val="20"/>
        </w:rPr>
      </w:pPr>
      <w:r w:rsidRPr="00D52EFF">
        <w:rPr>
          <w:rFonts w:ascii="Arial" w:hAnsi="Arial"/>
          <w:sz w:val="20"/>
        </w:rPr>
        <w:t>Na základe týchto údajov generovaných</w:t>
      </w:r>
      <w:r w:rsidRPr="004B33AE">
        <w:rPr>
          <w:rFonts w:ascii="Arial" w:hAnsi="Arial"/>
          <w:sz w:val="20"/>
        </w:rPr>
        <w:t xml:space="preserve"> z ITMS bolo vyhodnotené plnenie programových ukazovateľov za rok </w:t>
      </w:r>
      <w:r w:rsidR="00C22820" w:rsidRPr="0039268C">
        <w:rPr>
          <w:rFonts w:ascii="Arial" w:hAnsi="Arial"/>
          <w:sz w:val="20"/>
        </w:rPr>
        <w:t>201</w:t>
      </w:r>
      <w:r w:rsidR="00C22820" w:rsidRPr="005F75BA">
        <w:rPr>
          <w:rFonts w:ascii="Arial" w:hAnsi="Arial"/>
          <w:sz w:val="20"/>
        </w:rPr>
        <w:t>2</w:t>
      </w:r>
      <w:r w:rsidR="00C22820" w:rsidRPr="009A2B1B">
        <w:rPr>
          <w:rFonts w:ascii="Arial" w:hAnsi="Arial"/>
          <w:sz w:val="20"/>
        </w:rPr>
        <w:t xml:space="preserve"> </w:t>
      </w:r>
      <w:r w:rsidRPr="00CC1351">
        <w:rPr>
          <w:rFonts w:ascii="Arial" w:hAnsi="Arial"/>
          <w:sz w:val="20"/>
        </w:rPr>
        <w:t>spôsobom</w:t>
      </w:r>
      <w:r w:rsidRPr="004B33AE">
        <w:rPr>
          <w:rFonts w:ascii="Arial" w:hAnsi="Arial"/>
          <w:sz w:val="20"/>
        </w:rPr>
        <w:t xml:space="preserve"> projekt – prioritná os – operačný program, ktoré sú súčasťou Prílohy č. 2. </w:t>
      </w:r>
      <w:r w:rsidR="00FE0FAD" w:rsidRPr="00FE0FAD">
        <w:rPr>
          <w:rFonts w:ascii="Arial" w:hAnsi="Arial"/>
          <w:sz w:val="20"/>
        </w:rPr>
        <w:t xml:space="preserve">Zoznam </w:t>
      </w:r>
      <w:r w:rsidR="008F2A89">
        <w:rPr>
          <w:rFonts w:ascii="Arial" w:hAnsi="Arial"/>
          <w:sz w:val="20"/>
        </w:rPr>
        <w:t>CORE</w:t>
      </w:r>
      <w:r w:rsidR="00FE0FAD" w:rsidRPr="00FE0FAD">
        <w:rPr>
          <w:rFonts w:ascii="Arial" w:hAnsi="Arial"/>
          <w:sz w:val="20"/>
        </w:rPr>
        <w:t xml:space="preserve"> ukazovateľov reportovaných EK prostredníctvom SFC2007 v rámci Výročnej správy o vykonávaní OP ŽP za rok </w:t>
      </w:r>
      <w:r w:rsidR="00AE148B" w:rsidRPr="00FE0FAD">
        <w:rPr>
          <w:rFonts w:ascii="Arial" w:hAnsi="Arial"/>
          <w:sz w:val="20"/>
        </w:rPr>
        <w:t>201</w:t>
      </w:r>
      <w:r w:rsidR="00AE148B">
        <w:rPr>
          <w:rFonts w:ascii="Arial" w:hAnsi="Arial"/>
          <w:sz w:val="20"/>
        </w:rPr>
        <w:t xml:space="preserve">2 </w:t>
      </w:r>
      <w:r w:rsidR="00FE0FAD">
        <w:rPr>
          <w:rFonts w:ascii="Arial" w:hAnsi="Arial"/>
          <w:sz w:val="20"/>
        </w:rPr>
        <w:t>je uvedený v Prílohe č. 11.</w:t>
      </w:r>
    </w:p>
    <w:p w:rsidR="002416B1" w:rsidRPr="004B33AE" w:rsidRDefault="002416B1" w:rsidP="00507035">
      <w:pPr>
        <w:spacing w:before="120" w:after="120" w:line="360" w:lineRule="auto"/>
        <w:jc w:val="both"/>
        <w:rPr>
          <w:rFonts w:ascii="Arial" w:hAnsi="Arial"/>
          <w:sz w:val="20"/>
        </w:rPr>
      </w:pPr>
      <w:r w:rsidRPr="004B33AE">
        <w:rPr>
          <w:rFonts w:ascii="Arial" w:hAnsi="Arial"/>
          <w:sz w:val="20"/>
        </w:rPr>
        <w:t>Zavedený systém monitorovania napomáha RO sledovať pokrok fyzickej implementácie jednotlivých projektov v porovnaní s dosiahnutou úrovňou čerpania alokácie a je aj jedným z nástrojov rozhodovania pri vyhlasovaní jednotlivých výziev v nadväznosti na úroveň dosiahnutých plánovaných hodnôt merateľných ukazovateľov stanovených v OP.</w:t>
      </w:r>
    </w:p>
    <w:p w:rsidR="002416B1" w:rsidRPr="004B33AE" w:rsidRDefault="002416B1" w:rsidP="00507035">
      <w:pPr>
        <w:spacing w:before="120" w:after="120" w:line="360" w:lineRule="auto"/>
        <w:jc w:val="both"/>
        <w:rPr>
          <w:rFonts w:ascii="Arial" w:hAnsi="Arial"/>
          <w:sz w:val="20"/>
        </w:rPr>
      </w:pPr>
      <w:r w:rsidRPr="004B33AE">
        <w:rPr>
          <w:rFonts w:ascii="Arial" w:hAnsi="Arial"/>
          <w:sz w:val="20"/>
        </w:rPr>
        <w:t>Informácie o plnení programových ukazovateľov a tým aj o monitorovaní projektov a samotného programu sú uvedené v časti 2.1.1 Stav fyzického pokroku operačného programu v časti Plnenie fyzických ukazovateľov, ako aj v rovnomenných častiach kapitol Dosiahnutie cieľov a analýza dosiahnutého pokroku jednotlivých prioritných osí.</w:t>
      </w:r>
    </w:p>
    <w:p w:rsidR="002416B1" w:rsidRPr="004B33AE" w:rsidRDefault="002416B1" w:rsidP="00507035">
      <w:pPr>
        <w:spacing w:before="120" w:after="120" w:line="360" w:lineRule="auto"/>
        <w:jc w:val="both"/>
        <w:rPr>
          <w:rFonts w:ascii="Arial" w:hAnsi="Arial"/>
          <w:sz w:val="20"/>
        </w:rPr>
      </w:pPr>
      <w:r w:rsidRPr="004B33AE">
        <w:rPr>
          <w:rFonts w:ascii="Arial" w:hAnsi="Arial"/>
          <w:sz w:val="20"/>
        </w:rPr>
        <w:t>Samotné napĺňanie plánovaných hodnôt ukazovateľov ovplyvňuje taktiež stav projektu, množstvo zazmluvnených/čerpaných prostriedkov. Nárastom čerpania oprávnených výdavkov projektov možno teda predpokladať neustále zvyšovanie hodnôt jednotlivých ukazovateľov, a tým napĺňanie relevantných cieľov prioritnej osi, čo dokazuje neustály nárast týchto hodnôt (viď kapitola 3 Realizácia podľa prioritných osí).</w:t>
      </w:r>
    </w:p>
    <w:p w:rsidR="002416B1" w:rsidRPr="004B33AE" w:rsidRDefault="002416B1" w:rsidP="00507035">
      <w:pPr>
        <w:spacing w:before="120" w:after="120" w:line="360" w:lineRule="auto"/>
        <w:jc w:val="both"/>
        <w:rPr>
          <w:rFonts w:ascii="Arial" w:hAnsi="Arial" w:cs="Arial"/>
          <w:sz w:val="20"/>
          <w:szCs w:val="20"/>
        </w:rPr>
      </w:pPr>
      <w:r w:rsidRPr="004B33AE">
        <w:rPr>
          <w:rFonts w:ascii="Arial" w:hAnsi="Arial"/>
          <w:iCs/>
          <w:sz w:val="20"/>
        </w:rPr>
        <w:t>Na základe monitorovania a analýz medzi stavom úrovne zazmluvnenia prideleného príspevku spoločenstva a reálnosťou dosiahnutia plánovaných hodnôt merateľných ukazovateľov stanovených v operačnom programe možno predpokladať, že splnenie jednotlivých cieľov prioritných osí a dosiahnutie plánovaných hodnôt prislúchajúcich merateľných ukazovateľov nebude ohrozené.</w:t>
      </w:r>
    </w:p>
    <w:p w:rsidR="002416B1" w:rsidRPr="004B33AE" w:rsidRDefault="002416B1" w:rsidP="00507035">
      <w:pPr>
        <w:spacing w:before="120" w:after="120" w:line="360" w:lineRule="auto"/>
        <w:ind w:right="40"/>
        <w:jc w:val="both"/>
        <w:rPr>
          <w:rFonts w:ascii="Arial" w:hAnsi="Arial"/>
          <w:b/>
          <w:sz w:val="20"/>
        </w:rPr>
      </w:pPr>
      <w:r w:rsidRPr="00E92942">
        <w:rPr>
          <w:rFonts w:ascii="Arial" w:hAnsi="Arial"/>
          <w:b/>
          <w:sz w:val="20"/>
        </w:rPr>
        <w:t>Monitorovací výbor</w:t>
      </w:r>
    </w:p>
    <w:p w:rsidR="00E92942" w:rsidRPr="00E92942" w:rsidRDefault="00E92942" w:rsidP="00507035">
      <w:pPr>
        <w:spacing w:before="120" w:after="120" w:line="360" w:lineRule="auto"/>
        <w:ind w:right="42"/>
        <w:jc w:val="both"/>
        <w:rPr>
          <w:rFonts w:ascii="Arial" w:hAnsi="Arial" w:cs="Arial"/>
          <w:sz w:val="20"/>
          <w:szCs w:val="20"/>
        </w:rPr>
      </w:pPr>
      <w:r w:rsidRPr="00E92942">
        <w:rPr>
          <w:rFonts w:ascii="Arial" w:hAnsi="Arial" w:cs="Arial"/>
          <w:sz w:val="20"/>
          <w:szCs w:val="20"/>
        </w:rPr>
        <w:t xml:space="preserve">Podrobnejšie informácie ohľadne MV pre OP ŽP sú zverejnené na </w:t>
      </w:r>
      <w:r w:rsidR="00F55D2B">
        <w:rPr>
          <w:rFonts w:ascii="Arial" w:hAnsi="Arial" w:cs="Arial"/>
          <w:sz w:val="20"/>
          <w:szCs w:val="20"/>
        </w:rPr>
        <w:t>webovom sídle</w:t>
      </w:r>
      <w:r w:rsidRPr="00E92942">
        <w:rPr>
          <w:rFonts w:ascii="Arial" w:hAnsi="Arial" w:cs="Arial"/>
          <w:sz w:val="20"/>
          <w:szCs w:val="20"/>
        </w:rPr>
        <w:t xml:space="preserve"> </w:t>
      </w:r>
      <w:hyperlink r:id="rId28" w:history="1">
        <w:r w:rsidRPr="00E92942">
          <w:rPr>
            <w:rStyle w:val="Hypertextovprepojenie"/>
            <w:rFonts w:ascii="Arial" w:hAnsi="Arial" w:cs="Arial"/>
            <w:sz w:val="20"/>
            <w:szCs w:val="20"/>
          </w:rPr>
          <w:t>www.opzp.sk</w:t>
        </w:r>
      </w:hyperlink>
      <w:r w:rsidRPr="00E92942">
        <w:rPr>
          <w:rFonts w:ascii="Arial" w:hAnsi="Arial" w:cs="Arial"/>
          <w:sz w:val="20"/>
          <w:szCs w:val="20"/>
        </w:rPr>
        <w:t xml:space="preserve"> v časti Monitorovanie.</w:t>
      </w:r>
    </w:p>
    <w:p w:rsidR="00E92942" w:rsidRPr="00E92942" w:rsidRDefault="00E92942" w:rsidP="00507035">
      <w:pPr>
        <w:spacing w:before="120" w:after="120" w:line="360" w:lineRule="auto"/>
        <w:ind w:right="42"/>
        <w:jc w:val="both"/>
        <w:rPr>
          <w:rFonts w:ascii="Arial" w:hAnsi="Arial" w:cs="Arial"/>
          <w:sz w:val="20"/>
          <w:szCs w:val="20"/>
        </w:rPr>
      </w:pPr>
      <w:r w:rsidRPr="00E92942">
        <w:rPr>
          <w:rFonts w:ascii="Arial" w:hAnsi="Arial" w:cs="Arial"/>
          <w:sz w:val="20"/>
          <w:szCs w:val="20"/>
        </w:rPr>
        <w:t xml:space="preserve">V sledovanom období sa dňa 14.06.2012 uskutočnilo deviate zasadnutie MV pre OP ŽP. </w:t>
      </w:r>
    </w:p>
    <w:p w:rsidR="00E92942" w:rsidRPr="00E92942" w:rsidRDefault="00E92942" w:rsidP="00507035">
      <w:pPr>
        <w:spacing w:before="120" w:after="120" w:line="360" w:lineRule="auto"/>
        <w:ind w:right="40"/>
        <w:jc w:val="both"/>
        <w:rPr>
          <w:rFonts w:ascii="Arial" w:hAnsi="Arial" w:cs="Arial"/>
          <w:sz w:val="20"/>
          <w:szCs w:val="20"/>
        </w:rPr>
      </w:pPr>
      <w:r w:rsidRPr="00E92942">
        <w:rPr>
          <w:rFonts w:ascii="Arial" w:hAnsi="Arial" w:cs="Arial"/>
          <w:sz w:val="20"/>
          <w:szCs w:val="20"/>
        </w:rPr>
        <w:t xml:space="preserve">a.) Uznesením č. 9 MV pre OP ŽP na zasadnutí </w:t>
      </w:r>
      <w:r w:rsidRPr="00E92942">
        <w:rPr>
          <w:rFonts w:ascii="Arial" w:hAnsi="Arial" w:cs="Arial"/>
          <w:i/>
          <w:sz w:val="20"/>
          <w:szCs w:val="20"/>
        </w:rPr>
        <w:t>zrušil:</w:t>
      </w:r>
    </w:p>
    <w:p w:rsidR="00E92942" w:rsidRPr="00E92942" w:rsidRDefault="00E92942" w:rsidP="00507035">
      <w:pPr>
        <w:spacing w:before="120" w:after="120" w:line="360" w:lineRule="auto"/>
        <w:ind w:right="42"/>
        <w:jc w:val="both"/>
        <w:rPr>
          <w:rFonts w:ascii="Arial" w:hAnsi="Arial" w:cs="Arial"/>
          <w:sz w:val="20"/>
          <w:szCs w:val="20"/>
        </w:rPr>
      </w:pPr>
      <w:r w:rsidRPr="00E92942">
        <w:rPr>
          <w:rFonts w:ascii="Arial" w:hAnsi="Arial" w:cs="Arial"/>
          <w:sz w:val="20"/>
          <w:szCs w:val="20"/>
        </w:rPr>
        <w:t>A.1.  Úlohy C.1., C.2. a C.3. uznesenia č. 8 monitorovacieho výboru zo dňa 28.06.2011, prijaté na 8. zasadnutí monitorovacieho výboru, v rámci ktorých monitorovací výbor:</w:t>
      </w:r>
    </w:p>
    <w:p w:rsidR="00E92942" w:rsidRPr="00E92942" w:rsidRDefault="00E92942" w:rsidP="001540E7">
      <w:pPr>
        <w:numPr>
          <w:ilvl w:val="1"/>
          <w:numId w:val="52"/>
        </w:numPr>
        <w:spacing w:before="120" w:after="120" w:line="360" w:lineRule="auto"/>
        <w:ind w:left="426" w:right="42" w:firstLine="0"/>
        <w:jc w:val="both"/>
        <w:rPr>
          <w:rFonts w:ascii="Arial" w:hAnsi="Arial" w:cs="Arial"/>
          <w:sz w:val="20"/>
          <w:szCs w:val="20"/>
        </w:rPr>
      </w:pPr>
      <w:r w:rsidRPr="00E92942">
        <w:rPr>
          <w:rFonts w:ascii="Arial" w:hAnsi="Arial" w:cs="Arial"/>
          <w:sz w:val="20"/>
          <w:szCs w:val="20"/>
        </w:rPr>
        <w:t xml:space="preserve">odporúčal, aby sa iniciovalo prehodnotenie zoznamu aglomerácií; </w:t>
      </w:r>
    </w:p>
    <w:p w:rsidR="00F55D2B" w:rsidRDefault="00E92942" w:rsidP="001540E7">
      <w:pPr>
        <w:numPr>
          <w:ilvl w:val="1"/>
          <w:numId w:val="52"/>
        </w:numPr>
        <w:spacing w:before="120" w:after="120" w:line="360" w:lineRule="auto"/>
        <w:ind w:left="426" w:right="42" w:firstLine="0"/>
        <w:jc w:val="both"/>
        <w:rPr>
          <w:rFonts w:ascii="Arial" w:hAnsi="Arial" w:cs="Arial"/>
          <w:sz w:val="20"/>
          <w:szCs w:val="20"/>
        </w:rPr>
      </w:pPr>
      <w:r w:rsidRPr="00E92942">
        <w:rPr>
          <w:rFonts w:ascii="Arial" w:hAnsi="Arial" w:cs="Arial"/>
          <w:sz w:val="20"/>
          <w:szCs w:val="20"/>
        </w:rPr>
        <w:t>uložil predsedovi monitorovacieho výboru, aby do 30.09.2011 predložil členom monitorovacieho výboru písomnú správu o udržateľnosti projektov prioritnej osi 1 a aby prerokovanie tejto správy zaradil na 9. zasadnutie monitorovacieho výboru;</w:t>
      </w:r>
    </w:p>
    <w:p w:rsidR="00E92942" w:rsidRPr="00F55D2B" w:rsidRDefault="00E92942" w:rsidP="001540E7">
      <w:pPr>
        <w:numPr>
          <w:ilvl w:val="1"/>
          <w:numId w:val="52"/>
        </w:numPr>
        <w:spacing w:before="120" w:after="120" w:line="360" w:lineRule="auto"/>
        <w:ind w:left="426" w:right="42" w:firstLine="0"/>
        <w:jc w:val="both"/>
        <w:rPr>
          <w:rFonts w:ascii="Arial" w:hAnsi="Arial" w:cs="Arial"/>
          <w:sz w:val="20"/>
          <w:szCs w:val="20"/>
        </w:rPr>
      </w:pPr>
      <w:r w:rsidRPr="00F55D2B">
        <w:rPr>
          <w:rFonts w:ascii="Arial" w:hAnsi="Arial" w:cs="Arial"/>
          <w:sz w:val="20"/>
          <w:szCs w:val="20"/>
        </w:rPr>
        <w:t>uložil predsedovi monitorovacieho výboru zorganizovať do 30.09.2011 pracovné stretnutie k problematike udržateľnosti projektov s účasťou zástupcov Ministerstva životného prostredia Slovenskej republiky, Úradu pre reguláciu sieťových odvetví, Ministerstva financií Slovenskej republiky, Asociácie vodárenských spoločností, Únie miest Slovenska, Združenia miest a obcí Slovenska a riadiaceho orgánu pre Operačný program Životné prostredie (prípadne zástupcov z členov monitorovacieho výboru).</w:t>
      </w:r>
    </w:p>
    <w:p w:rsidR="00E92942" w:rsidRPr="00E92942" w:rsidRDefault="00E92942" w:rsidP="00507035">
      <w:pPr>
        <w:spacing w:before="120" w:after="120" w:line="360" w:lineRule="auto"/>
        <w:ind w:right="42"/>
        <w:jc w:val="both"/>
        <w:rPr>
          <w:rFonts w:ascii="Arial" w:hAnsi="Arial" w:cs="Arial"/>
          <w:sz w:val="20"/>
          <w:szCs w:val="20"/>
        </w:rPr>
      </w:pPr>
      <w:r w:rsidRPr="00E92942">
        <w:rPr>
          <w:rFonts w:ascii="Arial" w:hAnsi="Arial" w:cs="Arial"/>
          <w:sz w:val="20"/>
          <w:szCs w:val="20"/>
        </w:rPr>
        <w:t xml:space="preserve">b.) Uznesením č. 9 MV pre OP ŽP na zasadnutí </w:t>
      </w:r>
      <w:r w:rsidRPr="00E92942">
        <w:rPr>
          <w:rFonts w:ascii="Arial" w:hAnsi="Arial" w:cs="Arial"/>
          <w:i/>
          <w:sz w:val="20"/>
          <w:szCs w:val="20"/>
        </w:rPr>
        <w:t>schválil:</w:t>
      </w:r>
    </w:p>
    <w:p w:rsidR="00E92942" w:rsidRPr="00E92942" w:rsidRDefault="00E92942" w:rsidP="00507035">
      <w:pPr>
        <w:spacing w:before="120" w:after="120" w:line="360" w:lineRule="auto"/>
        <w:ind w:right="42"/>
        <w:jc w:val="both"/>
        <w:rPr>
          <w:rFonts w:ascii="Arial" w:hAnsi="Arial" w:cs="Arial"/>
          <w:sz w:val="20"/>
          <w:szCs w:val="20"/>
        </w:rPr>
      </w:pPr>
      <w:r w:rsidRPr="00E92942">
        <w:rPr>
          <w:rFonts w:ascii="Arial" w:hAnsi="Arial" w:cs="Arial"/>
          <w:sz w:val="20"/>
          <w:szCs w:val="20"/>
        </w:rPr>
        <w:t xml:space="preserve">B.1. Návrh úprav štatútu monitorovacieho výboru. Predložený návrh úprav rokovacieho poriadku monitorovacieho výboru bude predmetom schválenia písomnou procedúrou. </w:t>
      </w:r>
    </w:p>
    <w:p w:rsidR="00E92942" w:rsidRPr="00E92942" w:rsidRDefault="00E92942" w:rsidP="00507035">
      <w:pPr>
        <w:spacing w:before="120" w:after="120" w:line="360" w:lineRule="auto"/>
        <w:ind w:right="42"/>
        <w:jc w:val="both"/>
        <w:rPr>
          <w:rFonts w:ascii="Arial" w:hAnsi="Arial" w:cs="Arial"/>
          <w:sz w:val="20"/>
          <w:szCs w:val="20"/>
        </w:rPr>
      </w:pPr>
      <w:r w:rsidRPr="00E92942">
        <w:rPr>
          <w:rFonts w:ascii="Arial" w:hAnsi="Arial" w:cs="Arial"/>
          <w:sz w:val="20"/>
          <w:szCs w:val="20"/>
        </w:rPr>
        <w:t xml:space="preserve">B.2. Návrh úprav Programového manuálu Operačného programu Životné prostredie </w:t>
      </w:r>
    </w:p>
    <w:p w:rsidR="00E92942" w:rsidRPr="00E92942" w:rsidRDefault="00E92942" w:rsidP="00507035">
      <w:pPr>
        <w:spacing w:before="120" w:after="120" w:line="360" w:lineRule="auto"/>
        <w:ind w:right="42"/>
        <w:jc w:val="both"/>
        <w:rPr>
          <w:rFonts w:ascii="Arial" w:hAnsi="Arial" w:cs="Arial"/>
          <w:sz w:val="20"/>
          <w:szCs w:val="20"/>
        </w:rPr>
      </w:pPr>
      <w:r w:rsidRPr="00E92942">
        <w:rPr>
          <w:rFonts w:ascii="Arial" w:hAnsi="Arial" w:cs="Arial"/>
          <w:sz w:val="20"/>
          <w:szCs w:val="20"/>
        </w:rPr>
        <w:t>B.3. Návrh zmeny výberových kritérií žiadostí o nenávratný finančný príspevok v rámci Operačného programu Životné prostredie</w:t>
      </w:r>
    </w:p>
    <w:p w:rsidR="00E92942" w:rsidRPr="00E92942" w:rsidRDefault="00E92942" w:rsidP="00507035">
      <w:pPr>
        <w:spacing w:before="120" w:after="120" w:line="360" w:lineRule="auto"/>
        <w:ind w:right="42"/>
        <w:jc w:val="both"/>
        <w:rPr>
          <w:rFonts w:ascii="Arial" w:hAnsi="Arial" w:cs="Arial"/>
          <w:sz w:val="20"/>
          <w:szCs w:val="20"/>
        </w:rPr>
      </w:pPr>
      <w:r w:rsidRPr="00E92942">
        <w:rPr>
          <w:rFonts w:ascii="Arial" w:hAnsi="Arial" w:cs="Arial"/>
          <w:sz w:val="20"/>
          <w:szCs w:val="20"/>
        </w:rPr>
        <w:t>B.4. Návrh výročnej správy o vykonávaní Operačného programu Životné prostredie za rok 2011</w:t>
      </w:r>
    </w:p>
    <w:p w:rsidR="00E92942" w:rsidRPr="00E92942" w:rsidRDefault="00E92942" w:rsidP="00507035">
      <w:pPr>
        <w:spacing w:before="120" w:after="120" w:line="360" w:lineRule="auto"/>
        <w:ind w:right="42"/>
        <w:jc w:val="both"/>
        <w:rPr>
          <w:rFonts w:ascii="Arial" w:hAnsi="Arial" w:cs="Arial"/>
          <w:sz w:val="20"/>
          <w:szCs w:val="20"/>
        </w:rPr>
      </w:pPr>
      <w:r w:rsidRPr="00E92942">
        <w:rPr>
          <w:rFonts w:ascii="Arial" w:hAnsi="Arial" w:cs="Arial"/>
          <w:sz w:val="20"/>
          <w:szCs w:val="20"/>
        </w:rPr>
        <w:t xml:space="preserve">c.) Uznesením č. 9 MV pre OP ŽP na zasadnutí </w:t>
      </w:r>
      <w:r w:rsidRPr="00E92942">
        <w:rPr>
          <w:rFonts w:ascii="Arial" w:hAnsi="Arial" w:cs="Arial"/>
          <w:i/>
          <w:sz w:val="20"/>
          <w:szCs w:val="20"/>
        </w:rPr>
        <w:t>zobral na vedomie:</w:t>
      </w:r>
    </w:p>
    <w:p w:rsidR="00E92942" w:rsidRPr="00E92942" w:rsidRDefault="00E92942" w:rsidP="00507035">
      <w:pPr>
        <w:spacing w:before="120" w:after="120" w:line="360" w:lineRule="auto"/>
        <w:ind w:right="42"/>
        <w:jc w:val="both"/>
        <w:rPr>
          <w:rFonts w:ascii="Arial" w:hAnsi="Arial" w:cs="Arial"/>
          <w:sz w:val="20"/>
          <w:szCs w:val="20"/>
        </w:rPr>
      </w:pPr>
      <w:r w:rsidRPr="00E92942">
        <w:rPr>
          <w:rFonts w:ascii="Arial" w:hAnsi="Arial" w:cs="Arial"/>
          <w:sz w:val="20"/>
          <w:szCs w:val="20"/>
        </w:rPr>
        <w:t xml:space="preserve">C.1. Informáciu o výsledkoch implementácie Operačného programu Životné prostredie k 31.05.2012  </w:t>
      </w:r>
    </w:p>
    <w:p w:rsidR="00E92942" w:rsidRPr="00E92942" w:rsidRDefault="00E92942" w:rsidP="00507035">
      <w:pPr>
        <w:spacing w:before="120" w:after="120" w:line="360" w:lineRule="auto"/>
        <w:ind w:right="42"/>
        <w:jc w:val="both"/>
        <w:rPr>
          <w:rFonts w:ascii="Arial" w:hAnsi="Arial" w:cs="Arial"/>
          <w:sz w:val="20"/>
          <w:szCs w:val="20"/>
        </w:rPr>
      </w:pPr>
      <w:r w:rsidRPr="00E92942">
        <w:rPr>
          <w:rFonts w:ascii="Arial" w:hAnsi="Arial" w:cs="Arial"/>
          <w:sz w:val="20"/>
          <w:szCs w:val="20"/>
        </w:rPr>
        <w:t>C.2. Informáciu  o  aktuálnom  stave posudzovania  žiadostí veľkých  projektov Európskou komisiou</w:t>
      </w:r>
    </w:p>
    <w:p w:rsidR="00E92942" w:rsidRPr="00E92942" w:rsidRDefault="00E92942" w:rsidP="00507035">
      <w:pPr>
        <w:spacing w:before="120" w:after="120" w:line="360" w:lineRule="auto"/>
        <w:ind w:right="42"/>
        <w:jc w:val="both"/>
        <w:rPr>
          <w:rFonts w:ascii="Arial" w:hAnsi="Arial" w:cs="Arial"/>
          <w:sz w:val="20"/>
          <w:szCs w:val="20"/>
        </w:rPr>
      </w:pPr>
      <w:r w:rsidRPr="00E92942">
        <w:rPr>
          <w:rFonts w:ascii="Arial" w:hAnsi="Arial" w:cs="Arial"/>
          <w:sz w:val="20"/>
          <w:szCs w:val="20"/>
        </w:rPr>
        <w:t>C.3. Informáciu o pokroku pri realizácii Komunikačného plánu Operačného programu Životné prostredie na programové obdobie 2007 – 2013</w:t>
      </w:r>
    </w:p>
    <w:p w:rsidR="00E92942" w:rsidRPr="00E92942" w:rsidRDefault="00E92942" w:rsidP="00507035">
      <w:pPr>
        <w:spacing w:before="120" w:after="120" w:line="360" w:lineRule="auto"/>
        <w:ind w:right="42"/>
        <w:jc w:val="both"/>
        <w:rPr>
          <w:rFonts w:ascii="Arial" w:hAnsi="Arial" w:cs="Arial"/>
          <w:sz w:val="20"/>
          <w:szCs w:val="20"/>
        </w:rPr>
      </w:pPr>
      <w:r w:rsidRPr="00E92942">
        <w:rPr>
          <w:rFonts w:ascii="Arial" w:hAnsi="Arial" w:cs="Arial"/>
          <w:sz w:val="20"/>
          <w:szCs w:val="20"/>
        </w:rPr>
        <w:t>C.4. Správy o vyhodnotení výziev na predkladanie žiadostí o nenávratný finančný   príspevok</w:t>
      </w:r>
    </w:p>
    <w:p w:rsidR="00E92942" w:rsidRPr="00E92942" w:rsidRDefault="00E92942" w:rsidP="00507035">
      <w:pPr>
        <w:spacing w:before="120" w:after="120" w:line="360" w:lineRule="auto"/>
        <w:ind w:right="42"/>
        <w:jc w:val="both"/>
        <w:rPr>
          <w:rFonts w:ascii="Arial" w:hAnsi="Arial" w:cs="Arial"/>
          <w:sz w:val="20"/>
          <w:szCs w:val="20"/>
        </w:rPr>
      </w:pPr>
      <w:r w:rsidRPr="00E92942">
        <w:rPr>
          <w:rFonts w:ascii="Arial" w:hAnsi="Arial" w:cs="Arial"/>
          <w:sz w:val="20"/>
          <w:szCs w:val="20"/>
        </w:rPr>
        <w:t>C.5. Informáciu o dôvodoch aplikácie postupu na pozastavenie platieb pre OP</w:t>
      </w:r>
      <w:r w:rsidR="00305160">
        <w:rPr>
          <w:rFonts w:ascii="Arial" w:hAnsi="Arial" w:cs="Arial"/>
          <w:sz w:val="20"/>
          <w:szCs w:val="20"/>
        </w:rPr>
        <w:t xml:space="preserve"> </w:t>
      </w:r>
      <w:r w:rsidRPr="00E92942">
        <w:rPr>
          <w:rFonts w:ascii="Arial" w:hAnsi="Arial" w:cs="Arial"/>
          <w:sz w:val="20"/>
          <w:szCs w:val="20"/>
        </w:rPr>
        <w:t xml:space="preserve">ŽP v zmysle článku 92 nariadenia Rady (ES) č. 1083/2006 a aktuálnom stave riešenia tejto problematiky </w:t>
      </w:r>
    </w:p>
    <w:p w:rsidR="00E92942" w:rsidRPr="00E92942" w:rsidRDefault="00E92942" w:rsidP="00507035">
      <w:pPr>
        <w:spacing w:before="120" w:after="120" w:line="360" w:lineRule="auto"/>
        <w:ind w:right="42"/>
        <w:jc w:val="both"/>
        <w:rPr>
          <w:rFonts w:ascii="Arial" w:hAnsi="Arial" w:cs="Arial"/>
          <w:sz w:val="20"/>
          <w:szCs w:val="20"/>
        </w:rPr>
      </w:pPr>
      <w:r w:rsidRPr="00E92942">
        <w:rPr>
          <w:rFonts w:ascii="Arial" w:hAnsi="Arial" w:cs="Arial"/>
          <w:sz w:val="20"/>
          <w:szCs w:val="20"/>
        </w:rPr>
        <w:t>C.6.   Informáciu o príprave nového programového obdobia 2014 – 2020</w:t>
      </w:r>
    </w:p>
    <w:p w:rsidR="00E92942" w:rsidRPr="00E92942" w:rsidRDefault="00E92942" w:rsidP="00507035">
      <w:pPr>
        <w:spacing w:before="120" w:after="120" w:line="360" w:lineRule="auto"/>
        <w:ind w:right="42"/>
        <w:jc w:val="both"/>
        <w:rPr>
          <w:rFonts w:ascii="Arial" w:hAnsi="Arial" w:cs="Arial"/>
          <w:sz w:val="20"/>
          <w:szCs w:val="20"/>
        </w:rPr>
      </w:pPr>
    </w:p>
    <w:p w:rsidR="00E92942" w:rsidRPr="00E92942" w:rsidRDefault="00E92942" w:rsidP="00507035">
      <w:pPr>
        <w:spacing w:before="120" w:after="120" w:line="360" w:lineRule="auto"/>
        <w:ind w:right="42"/>
        <w:jc w:val="both"/>
        <w:rPr>
          <w:rFonts w:ascii="Arial" w:hAnsi="Arial" w:cs="Arial"/>
          <w:sz w:val="20"/>
          <w:szCs w:val="20"/>
        </w:rPr>
      </w:pPr>
      <w:r w:rsidRPr="00E92942">
        <w:rPr>
          <w:rFonts w:ascii="Arial" w:hAnsi="Arial" w:cs="Arial"/>
          <w:sz w:val="20"/>
          <w:szCs w:val="20"/>
        </w:rPr>
        <w:t xml:space="preserve">V sledovanom období sa dňa 18.12.2012 uskutočnilo aj ďalšie desiate zasadnutie MV pre OP ŽP. </w:t>
      </w:r>
    </w:p>
    <w:p w:rsidR="00E92942" w:rsidRPr="00E92942" w:rsidRDefault="00E92942" w:rsidP="00507035">
      <w:pPr>
        <w:spacing w:before="120" w:after="120" w:line="360" w:lineRule="auto"/>
        <w:ind w:right="42"/>
        <w:jc w:val="both"/>
        <w:rPr>
          <w:rFonts w:ascii="Arial" w:hAnsi="Arial" w:cs="Arial"/>
          <w:b/>
          <w:sz w:val="20"/>
          <w:szCs w:val="20"/>
        </w:rPr>
      </w:pPr>
      <w:r w:rsidRPr="00E92942">
        <w:rPr>
          <w:rFonts w:ascii="Arial" w:hAnsi="Arial" w:cs="Arial"/>
          <w:sz w:val="20"/>
          <w:szCs w:val="20"/>
        </w:rPr>
        <w:t xml:space="preserve">a.) Uznesením č. 9 MV pre OP ŽP na zasadnutí </w:t>
      </w:r>
      <w:r w:rsidRPr="00E92942">
        <w:rPr>
          <w:rFonts w:ascii="Arial" w:hAnsi="Arial" w:cs="Arial"/>
          <w:i/>
          <w:sz w:val="20"/>
          <w:szCs w:val="20"/>
        </w:rPr>
        <w:t>schválil</w:t>
      </w:r>
      <w:r w:rsidRPr="00E92942">
        <w:rPr>
          <w:rFonts w:ascii="Arial" w:hAnsi="Arial" w:cs="Arial"/>
          <w:b/>
          <w:sz w:val="20"/>
          <w:szCs w:val="20"/>
        </w:rPr>
        <w:t>:</w:t>
      </w:r>
    </w:p>
    <w:p w:rsidR="00E92942" w:rsidRPr="00E92942" w:rsidRDefault="00E92942" w:rsidP="00507035">
      <w:pPr>
        <w:spacing w:before="120" w:after="120" w:line="360" w:lineRule="auto"/>
        <w:ind w:right="42"/>
        <w:jc w:val="both"/>
        <w:rPr>
          <w:rFonts w:ascii="Arial" w:hAnsi="Arial" w:cs="Arial"/>
          <w:sz w:val="20"/>
          <w:szCs w:val="20"/>
        </w:rPr>
      </w:pPr>
      <w:r w:rsidRPr="00E92942">
        <w:rPr>
          <w:rFonts w:ascii="Arial" w:hAnsi="Arial" w:cs="Arial"/>
          <w:sz w:val="20"/>
          <w:szCs w:val="20"/>
        </w:rPr>
        <w:t>A.1.  Návrh revízie OPŽP na verziu 4.0</w:t>
      </w:r>
    </w:p>
    <w:p w:rsidR="00E92942" w:rsidRPr="00E92942" w:rsidRDefault="00E92942" w:rsidP="00507035">
      <w:pPr>
        <w:spacing w:before="120" w:after="120" w:line="360" w:lineRule="auto"/>
        <w:ind w:right="42"/>
        <w:jc w:val="both"/>
        <w:rPr>
          <w:rFonts w:ascii="Arial" w:hAnsi="Arial" w:cs="Arial"/>
          <w:sz w:val="20"/>
          <w:szCs w:val="20"/>
        </w:rPr>
      </w:pPr>
      <w:r w:rsidRPr="00E92942">
        <w:rPr>
          <w:rFonts w:ascii="Arial" w:hAnsi="Arial" w:cs="Arial"/>
          <w:sz w:val="20"/>
          <w:szCs w:val="20"/>
        </w:rPr>
        <w:t xml:space="preserve">A.2.   Návrh zmeny hodnotiacich a výberových kritérií žiadostí o nenávratný finančný príspevok v rámci OP ŽP </w:t>
      </w:r>
    </w:p>
    <w:p w:rsidR="00E92942" w:rsidRPr="00E92942" w:rsidRDefault="00E92942" w:rsidP="00507035">
      <w:pPr>
        <w:spacing w:before="120" w:after="120" w:line="360" w:lineRule="auto"/>
        <w:ind w:right="42"/>
        <w:jc w:val="both"/>
        <w:rPr>
          <w:rFonts w:ascii="Arial" w:hAnsi="Arial" w:cs="Arial"/>
          <w:b/>
          <w:sz w:val="20"/>
          <w:szCs w:val="20"/>
        </w:rPr>
      </w:pPr>
      <w:r w:rsidRPr="00E92942">
        <w:rPr>
          <w:rFonts w:ascii="Arial" w:hAnsi="Arial" w:cs="Arial"/>
          <w:sz w:val="20"/>
          <w:szCs w:val="20"/>
        </w:rPr>
        <w:t xml:space="preserve">b.) Uznesením č. 9 MV pre OP ŽP na zasadnutí </w:t>
      </w:r>
      <w:r w:rsidRPr="00E92942">
        <w:rPr>
          <w:rFonts w:ascii="Arial" w:hAnsi="Arial" w:cs="Arial"/>
          <w:i/>
          <w:sz w:val="20"/>
          <w:szCs w:val="20"/>
        </w:rPr>
        <w:t>zobral na vedomie</w:t>
      </w:r>
      <w:r w:rsidRPr="00E92942">
        <w:rPr>
          <w:rFonts w:ascii="Arial" w:hAnsi="Arial" w:cs="Arial"/>
          <w:b/>
          <w:sz w:val="20"/>
          <w:szCs w:val="20"/>
        </w:rPr>
        <w:t>:</w:t>
      </w:r>
    </w:p>
    <w:p w:rsidR="00E92942" w:rsidRPr="00E92942" w:rsidRDefault="00E92942" w:rsidP="00507035">
      <w:pPr>
        <w:spacing w:before="120" w:after="120" w:line="360" w:lineRule="auto"/>
        <w:ind w:right="42"/>
        <w:jc w:val="both"/>
        <w:rPr>
          <w:rFonts w:ascii="Arial" w:hAnsi="Arial" w:cs="Arial"/>
          <w:sz w:val="20"/>
          <w:szCs w:val="20"/>
        </w:rPr>
      </w:pPr>
      <w:r w:rsidRPr="00E92942">
        <w:rPr>
          <w:rFonts w:ascii="Arial" w:hAnsi="Arial" w:cs="Arial"/>
          <w:sz w:val="20"/>
          <w:szCs w:val="20"/>
        </w:rPr>
        <w:t>B.1.  Informáciu o aktuálnom stave schvaľovania a implementácie veľkých projektov</w:t>
      </w:r>
    </w:p>
    <w:p w:rsidR="00E92942" w:rsidRPr="00E92942" w:rsidRDefault="00E92942" w:rsidP="00507035">
      <w:pPr>
        <w:spacing w:before="120" w:after="120" w:line="360" w:lineRule="auto"/>
        <w:ind w:right="42"/>
        <w:jc w:val="both"/>
        <w:rPr>
          <w:rFonts w:ascii="Arial" w:hAnsi="Arial" w:cs="Arial"/>
          <w:sz w:val="20"/>
          <w:szCs w:val="20"/>
        </w:rPr>
      </w:pPr>
      <w:r w:rsidRPr="00E92942">
        <w:rPr>
          <w:rFonts w:ascii="Arial" w:hAnsi="Arial" w:cs="Arial"/>
          <w:sz w:val="20"/>
          <w:szCs w:val="20"/>
        </w:rPr>
        <w:t xml:space="preserve">B.2. Informáciu o výsledkoch implementácie </w:t>
      </w:r>
      <w:r w:rsidRPr="00E92942">
        <w:rPr>
          <w:rFonts w:ascii="Arial" w:hAnsi="Arial" w:cs="Arial"/>
          <w:bCs/>
          <w:sz w:val="20"/>
          <w:szCs w:val="20"/>
        </w:rPr>
        <w:t>Operačného programu Životné prostredie</w:t>
      </w:r>
      <w:r w:rsidRPr="00E92942">
        <w:rPr>
          <w:rFonts w:ascii="Arial" w:hAnsi="Arial" w:cs="Arial"/>
          <w:sz w:val="20"/>
          <w:szCs w:val="20"/>
        </w:rPr>
        <w:t xml:space="preserve"> k 30.11.2012</w:t>
      </w:r>
      <w:r w:rsidRPr="00E92942">
        <w:rPr>
          <w:rFonts w:ascii="Arial" w:hAnsi="Arial" w:cs="Arial"/>
          <w:b/>
          <w:sz w:val="20"/>
          <w:szCs w:val="20"/>
          <w:u w:val="single"/>
        </w:rPr>
        <w:t xml:space="preserve">  </w:t>
      </w:r>
    </w:p>
    <w:p w:rsidR="00E92942" w:rsidRPr="00E92942" w:rsidRDefault="00E92942" w:rsidP="00507035">
      <w:pPr>
        <w:spacing w:before="120" w:after="120" w:line="360" w:lineRule="auto"/>
        <w:ind w:right="42"/>
        <w:jc w:val="both"/>
        <w:rPr>
          <w:rFonts w:ascii="Arial" w:hAnsi="Arial" w:cs="Arial"/>
          <w:sz w:val="20"/>
          <w:szCs w:val="20"/>
        </w:rPr>
      </w:pPr>
      <w:r w:rsidRPr="00E92942">
        <w:rPr>
          <w:rFonts w:ascii="Arial" w:hAnsi="Arial" w:cs="Arial"/>
          <w:sz w:val="20"/>
          <w:szCs w:val="20"/>
        </w:rPr>
        <w:t>B</w:t>
      </w:r>
      <w:r w:rsidRPr="00E92942">
        <w:rPr>
          <w:rFonts w:ascii="Arial" w:hAnsi="Arial" w:cs="Arial"/>
          <w:sz w:val="20"/>
          <w:szCs w:val="20"/>
          <w:lang w:val="x-none"/>
        </w:rPr>
        <w:t>.</w:t>
      </w:r>
      <w:r w:rsidRPr="00E92942">
        <w:rPr>
          <w:rFonts w:ascii="Arial" w:hAnsi="Arial" w:cs="Arial"/>
          <w:sz w:val="20"/>
          <w:szCs w:val="20"/>
        </w:rPr>
        <w:t>3</w:t>
      </w:r>
      <w:r w:rsidRPr="00E92942">
        <w:rPr>
          <w:rFonts w:ascii="Arial" w:hAnsi="Arial" w:cs="Arial"/>
          <w:sz w:val="20"/>
          <w:szCs w:val="20"/>
          <w:lang w:val="x-none"/>
        </w:rPr>
        <w:t xml:space="preserve">. </w:t>
      </w:r>
      <w:r w:rsidRPr="00E92942">
        <w:rPr>
          <w:rFonts w:ascii="Arial" w:hAnsi="Arial" w:cs="Arial"/>
          <w:sz w:val="20"/>
          <w:szCs w:val="20"/>
        </w:rPr>
        <w:t xml:space="preserve">Informáciu o </w:t>
      </w:r>
      <w:r w:rsidRPr="00E92942">
        <w:rPr>
          <w:rFonts w:ascii="Arial" w:hAnsi="Arial" w:cs="Arial"/>
          <w:sz w:val="20"/>
          <w:szCs w:val="20"/>
          <w:lang w:val="x-none"/>
        </w:rPr>
        <w:t>vyhodnotení výzv</w:t>
      </w:r>
      <w:r w:rsidRPr="00E92942">
        <w:rPr>
          <w:rFonts w:ascii="Arial" w:hAnsi="Arial" w:cs="Arial"/>
          <w:sz w:val="20"/>
          <w:szCs w:val="20"/>
        </w:rPr>
        <w:t>y</w:t>
      </w:r>
      <w:r w:rsidRPr="00E92942">
        <w:rPr>
          <w:rFonts w:ascii="Arial" w:hAnsi="Arial" w:cs="Arial"/>
          <w:sz w:val="20"/>
          <w:szCs w:val="20"/>
          <w:lang w:val="x-none"/>
        </w:rPr>
        <w:t xml:space="preserve"> na predkladanie žiadostí o nenávratný finančný príspevok</w:t>
      </w:r>
    </w:p>
    <w:p w:rsidR="00E92942" w:rsidRPr="00E92942" w:rsidRDefault="00E92942" w:rsidP="00507035">
      <w:pPr>
        <w:spacing w:before="120" w:after="120" w:line="360" w:lineRule="auto"/>
        <w:ind w:right="42"/>
        <w:jc w:val="both"/>
        <w:rPr>
          <w:rFonts w:ascii="Arial" w:hAnsi="Arial" w:cs="Arial"/>
          <w:sz w:val="20"/>
          <w:szCs w:val="20"/>
        </w:rPr>
      </w:pPr>
      <w:r w:rsidRPr="00E92942">
        <w:rPr>
          <w:rFonts w:ascii="Arial" w:hAnsi="Arial" w:cs="Arial"/>
          <w:sz w:val="20"/>
          <w:szCs w:val="20"/>
        </w:rPr>
        <w:t>B.4. Informáciu o príprave nového programového obdobia 2014-2020</w:t>
      </w:r>
    </w:p>
    <w:p w:rsidR="00E92942" w:rsidRPr="00E92942" w:rsidRDefault="00E92942" w:rsidP="00507035">
      <w:pPr>
        <w:spacing w:before="120" w:after="120" w:line="360" w:lineRule="auto"/>
        <w:ind w:right="42"/>
        <w:jc w:val="both"/>
        <w:rPr>
          <w:rFonts w:ascii="Arial" w:hAnsi="Arial" w:cs="Arial"/>
          <w:sz w:val="20"/>
          <w:szCs w:val="20"/>
        </w:rPr>
      </w:pPr>
      <w:r w:rsidRPr="00E92942">
        <w:rPr>
          <w:rFonts w:ascii="Arial" w:hAnsi="Arial" w:cs="Arial"/>
          <w:sz w:val="20"/>
          <w:szCs w:val="20"/>
        </w:rPr>
        <w:t>V priebehu roka 2012 sa uskutočnili aj hlasovania písomnou procedúrou:</w:t>
      </w:r>
    </w:p>
    <w:p w:rsidR="00E92942" w:rsidRPr="00E92942" w:rsidRDefault="00E92942" w:rsidP="001540E7">
      <w:pPr>
        <w:numPr>
          <w:ilvl w:val="0"/>
          <w:numId w:val="37"/>
        </w:numPr>
        <w:spacing w:before="120" w:after="120" w:line="360" w:lineRule="auto"/>
        <w:ind w:right="42"/>
        <w:jc w:val="both"/>
        <w:rPr>
          <w:rFonts w:ascii="Arial" w:hAnsi="Arial" w:cs="Arial"/>
          <w:sz w:val="20"/>
          <w:szCs w:val="20"/>
        </w:rPr>
      </w:pPr>
      <w:r w:rsidRPr="00E92942">
        <w:rPr>
          <w:rFonts w:ascii="Arial" w:hAnsi="Arial" w:cs="Arial"/>
          <w:sz w:val="20"/>
          <w:szCs w:val="20"/>
        </w:rPr>
        <w:t xml:space="preserve"> V rámci písomného postupu pre prijatie rozhodnutia č. 7 bol dňa 10.01.2012 schválený návrh aktualizácie Prílohy č. 3 Plánu hodnotení OP ŽP na programové obdobie 2007 - 2013, verzia 2.1, Indikatívny plán hodnotiacich aktivít v rámci procesu hodnotenia OP ŽP.</w:t>
      </w:r>
    </w:p>
    <w:p w:rsidR="00E92942" w:rsidRPr="00E92942" w:rsidRDefault="00E92942" w:rsidP="001540E7">
      <w:pPr>
        <w:numPr>
          <w:ilvl w:val="0"/>
          <w:numId w:val="37"/>
        </w:numPr>
        <w:spacing w:before="120" w:after="120" w:line="360" w:lineRule="auto"/>
        <w:ind w:right="42"/>
        <w:jc w:val="both"/>
        <w:rPr>
          <w:rFonts w:ascii="Arial" w:hAnsi="Arial" w:cs="Arial"/>
          <w:sz w:val="20"/>
          <w:szCs w:val="20"/>
        </w:rPr>
      </w:pPr>
      <w:r w:rsidRPr="00E92942">
        <w:rPr>
          <w:rFonts w:ascii="Arial" w:hAnsi="Arial" w:cs="Arial"/>
          <w:sz w:val="20"/>
          <w:szCs w:val="20"/>
        </w:rPr>
        <w:t xml:space="preserve"> V rámci písomného postupu pre prijatie rozhodnutia č. 8 bola listom RO pre OP ŽP zo dňa 10.04.2012 členom MV pre OP ŽP zaslaná žiadosť o vyjadrenie k návrhu v termíne do 25.04.2012. Keďže v lehote žiadny z členov MV pre OP ŽP neuplatnil výhradu k návrhu, bol Návrh úpravy indikatívneho rozdelenia príspevku z fondov na prioritné témy 51 a 54  v rámci prioritnej osi 5 Ochrana a regenerácia prírodného prostredia a krajiny a  úpravy indikatívneho rozdelenia príspevku z fondov do kategórií podľa formy finančného príspevku v rámci prioritnej osi 3 Ochrana ovzdušia a minimalizácia nepriaznivých vplyvov zmeny klímy a z toho vyplývajúcich zmien OP ŽP a Programového manuálu OP ŽP schválený v súlade s čl. 6 ods. 3 rokovacieho poriadku MV pre OP </w:t>
      </w:r>
      <w:r w:rsidR="00305160">
        <w:rPr>
          <w:rFonts w:ascii="Arial" w:hAnsi="Arial" w:cs="Arial"/>
          <w:sz w:val="20"/>
          <w:szCs w:val="20"/>
        </w:rPr>
        <w:t>Ž</w:t>
      </w:r>
      <w:r w:rsidRPr="00E92942">
        <w:rPr>
          <w:rFonts w:ascii="Arial" w:hAnsi="Arial" w:cs="Arial"/>
          <w:sz w:val="20"/>
          <w:szCs w:val="20"/>
        </w:rPr>
        <w:t>P.</w:t>
      </w:r>
    </w:p>
    <w:p w:rsidR="00E92942" w:rsidRPr="00E92942" w:rsidRDefault="00E92942" w:rsidP="001540E7">
      <w:pPr>
        <w:numPr>
          <w:ilvl w:val="0"/>
          <w:numId w:val="37"/>
        </w:numPr>
        <w:spacing w:before="120" w:after="120" w:line="360" w:lineRule="auto"/>
        <w:ind w:right="42"/>
        <w:jc w:val="both"/>
        <w:rPr>
          <w:rFonts w:ascii="Arial" w:hAnsi="Arial" w:cs="Arial"/>
          <w:sz w:val="20"/>
          <w:szCs w:val="20"/>
        </w:rPr>
      </w:pPr>
      <w:r w:rsidRPr="00E92942">
        <w:rPr>
          <w:rFonts w:ascii="Arial" w:hAnsi="Arial" w:cs="Arial"/>
          <w:sz w:val="20"/>
          <w:szCs w:val="20"/>
        </w:rPr>
        <w:t xml:space="preserve"> V rámci písomného postupu pre prijatie rozhodnutia č. 9 bola listom RO pre OP ŽP zo dňa 23.06.2012 členom MV pre OP ŽP zaslaná žiadosť o vyjadrenie k schváleniu návrhu úpravy čl. 7 ods. 3 rokovacieho poriadku MV pre OP ŽP v termíne do 12.07.2012. Keďže v uvedenej lehote žiadny z členov MV pre OP ŽP neuplatnil výhradu návrh bol schválený.</w:t>
      </w:r>
    </w:p>
    <w:p w:rsidR="00FA1F10" w:rsidRDefault="00E92942" w:rsidP="001540E7">
      <w:pPr>
        <w:numPr>
          <w:ilvl w:val="0"/>
          <w:numId w:val="37"/>
        </w:numPr>
        <w:spacing w:before="120" w:after="120" w:line="360" w:lineRule="auto"/>
        <w:ind w:left="714" w:right="40" w:hanging="357"/>
        <w:jc w:val="both"/>
        <w:rPr>
          <w:rFonts w:ascii="Arial" w:hAnsi="Arial" w:cs="Arial"/>
          <w:sz w:val="20"/>
          <w:szCs w:val="20"/>
        </w:rPr>
      </w:pPr>
      <w:r w:rsidRPr="00FA1F10">
        <w:rPr>
          <w:rFonts w:ascii="Arial" w:hAnsi="Arial" w:cs="Arial"/>
          <w:sz w:val="20"/>
          <w:szCs w:val="20"/>
        </w:rPr>
        <w:t xml:space="preserve"> V rámci písomného postupu pre prijatie rozhodnutia č. 10 bola listom RO pre OP ŽP zo dňa 27.08.2012 členom MV pre OP ŽP zaslaná žiadosť o vyjadrenie k Návrhu doplnenia hlavných (</w:t>
      </w:r>
      <w:r w:rsidR="008F2A89">
        <w:rPr>
          <w:rFonts w:ascii="Arial" w:hAnsi="Arial" w:cs="Arial"/>
          <w:sz w:val="20"/>
          <w:szCs w:val="20"/>
        </w:rPr>
        <w:t>CORE</w:t>
      </w:r>
      <w:r w:rsidRPr="00FA1F10">
        <w:rPr>
          <w:rFonts w:ascii="Arial" w:hAnsi="Arial" w:cs="Arial"/>
          <w:sz w:val="20"/>
          <w:szCs w:val="20"/>
        </w:rPr>
        <w:t>) ukazovateľov OP ŽP v termíne do 12.09.2012. Návrh bol v rámci per rollam schválený.</w:t>
      </w:r>
    </w:p>
    <w:p w:rsidR="00E92942" w:rsidRPr="00FA1F10" w:rsidRDefault="00FA1F10" w:rsidP="001540E7">
      <w:pPr>
        <w:numPr>
          <w:ilvl w:val="0"/>
          <w:numId w:val="37"/>
        </w:numPr>
        <w:spacing w:before="120" w:after="120" w:line="360" w:lineRule="auto"/>
        <w:ind w:left="714" w:right="40" w:hanging="357"/>
        <w:jc w:val="both"/>
        <w:rPr>
          <w:rFonts w:ascii="Arial" w:hAnsi="Arial" w:cs="Arial"/>
          <w:sz w:val="20"/>
          <w:szCs w:val="20"/>
        </w:rPr>
      </w:pPr>
      <w:r>
        <w:rPr>
          <w:rFonts w:ascii="Arial" w:hAnsi="Arial" w:cs="Arial"/>
          <w:sz w:val="20"/>
          <w:szCs w:val="20"/>
        </w:rPr>
        <w:t xml:space="preserve"> </w:t>
      </w:r>
      <w:r w:rsidR="00E92942" w:rsidRPr="00FA1F10">
        <w:rPr>
          <w:rFonts w:ascii="Arial" w:hAnsi="Arial" w:cs="Arial"/>
          <w:sz w:val="20"/>
          <w:szCs w:val="20"/>
        </w:rPr>
        <w:t xml:space="preserve">V rámci písomného postupu pre prijatie rozhodnutia č. 11 bola listom RO pre OP ŽP zo dňa 09.11.2012 členom MV pre OP ŽP zaslaná žiadosť o vyjadrenie k Návrh zmien Programového manuálu Operačného programu Životné prostredie do 26.11.2012. Keďže v uvedenej lehote žiadny z členov MV pre OP ŽP neuplatnil výhradu návrh bol schválený. </w:t>
      </w:r>
    </w:p>
    <w:p w:rsidR="002416B1" w:rsidRPr="004B33AE" w:rsidRDefault="004C23D3" w:rsidP="00507035">
      <w:pPr>
        <w:spacing w:before="120" w:after="120" w:line="360" w:lineRule="auto"/>
        <w:ind w:right="40"/>
        <w:jc w:val="both"/>
        <w:rPr>
          <w:rFonts w:ascii="Arial" w:hAnsi="Arial"/>
          <w:b/>
          <w:sz w:val="20"/>
        </w:rPr>
      </w:pPr>
      <w:r>
        <w:rPr>
          <w:rFonts w:ascii="Arial" w:hAnsi="Arial"/>
          <w:b/>
          <w:sz w:val="20"/>
        </w:rPr>
        <w:t>Výročné stretnutie s EK</w:t>
      </w:r>
    </w:p>
    <w:p w:rsidR="005A2F67" w:rsidRDefault="009C7A93" w:rsidP="00507035">
      <w:pPr>
        <w:spacing w:before="120" w:after="120" w:line="360" w:lineRule="auto"/>
        <w:jc w:val="both"/>
        <w:rPr>
          <w:rFonts w:ascii="Arial" w:hAnsi="Arial" w:cs="Arial"/>
          <w:sz w:val="20"/>
          <w:szCs w:val="20"/>
        </w:rPr>
      </w:pPr>
      <w:r>
        <w:rPr>
          <w:rFonts w:ascii="Arial" w:hAnsi="Arial" w:cs="Arial"/>
          <w:sz w:val="20"/>
          <w:szCs w:val="20"/>
        </w:rPr>
        <w:t>RO</w:t>
      </w:r>
      <w:r w:rsidR="005A2F67">
        <w:rPr>
          <w:rFonts w:ascii="Arial" w:hAnsi="Arial" w:cs="Arial"/>
          <w:sz w:val="20"/>
          <w:szCs w:val="20"/>
        </w:rPr>
        <w:t xml:space="preserve"> sa zúčastnil Výročného stretnutia k NSRR 2012, ktoré sa konalo v dňa 15. novembra 2012 v Bratislave. Hlavnými bodmi programu výročného stretnutia boli programové obdobie 2007 – 2013 (fyzický a finančný progres, Joint Road Map 2012), programové obdobie 2004 – 2006 (proces uzatvárania operačných programov) a nové programové obdobie 2014 - 2020.</w:t>
      </w:r>
    </w:p>
    <w:p w:rsidR="005A2F67" w:rsidRPr="0039268C" w:rsidRDefault="005A2F67" w:rsidP="00507035">
      <w:pPr>
        <w:pStyle w:val="Default"/>
        <w:spacing w:before="120" w:after="120" w:line="360" w:lineRule="auto"/>
        <w:jc w:val="both"/>
        <w:rPr>
          <w:rFonts w:ascii="Arial" w:hAnsi="Arial" w:cs="Arial"/>
          <w:color w:val="auto"/>
          <w:sz w:val="20"/>
          <w:szCs w:val="20"/>
        </w:rPr>
      </w:pPr>
      <w:r w:rsidRPr="0039268C">
        <w:rPr>
          <w:rFonts w:ascii="Arial" w:hAnsi="Arial" w:cs="Arial"/>
          <w:color w:val="auto"/>
          <w:sz w:val="20"/>
          <w:szCs w:val="20"/>
        </w:rPr>
        <w:t xml:space="preserve">Zástupcovia všetkých prítomných riadiacich orgánov zastupujúcich jednotlivé operačné programy NSRR 2007 - 2013 prezentovali svoje operačné programy so zameraním na pokrok v implementácii, problémové oblasti spojené s implementáciou a príklady dobrej praxe. Zástupcovia EK povzbudili riadiace orgány operačných programov s pomalším čerpaním, aby sa zamerali na hľadanie spôsobov ako zdynamizovať a zjednodušiť implementáciu a tiež skrátiť lehoty. Zástupcovia EK poznamenali, že sa v mnohých prezentáciách spomínalo verejné obstarávanie, čo nebolo očakávané, keďže práve verejné obstarávanie bolo najčastejším zdrojom pochybení. Riadiace orgány zdôraznili zložitosť slovenskej legislatívy a nedostatok kapacity </w:t>
      </w:r>
      <w:r w:rsidR="009C7A93">
        <w:rPr>
          <w:rFonts w:ascii="Arial" w:hAnsi="Arial" w:cs="Arial"/>
          <w:color w:val="auto"/>
          <w:sz w:val="20"/>
          <w:szCs w:val="20"/>
        </w:rPr>
        <w:t>prijímateľov</w:t>
      </w:r>
      <w:r w:rsidRPr="0039268C">
        <w:rPr>
          <w:rFonts w:ascii="Arial" w:hAnsi="Arial" w:cs="Arial"/>
          <w:color w:val="auto"/>
          <w:sz w:val="20"/>
          <w:szCs w:val="20"/>
        </w:rPr>
        <w:t>, ako významné prekážky. CKO upozornilo na návrh na zvýšenie kapacity Úradu pre verejné obstarávanie na riešenie problémov zo štrukturálnych fondov, ktoré by boli financované z technickej pomoci OP.</w:t>
      </w:r>
    </w:p>
    <w:p w:rsidR="005A2F67" w:rsidRPr="0039268C" w:rsidRDefault="005A2F67" w:rsidP="00507035">
      <w:pPr>
        <w:pStyle w:val="Default"/>
        <w:spacing w:before="120" w:after="120" w:line="360" w:lineRule="auto"/>
        <w:jc w:val="both"/>
        <w:rPr>
          <w:rFonts w:ascii="Arial" w:hAnsi="Arial" w:cs="Arial"/>
          <w:color w:val="auto"/>
          <w:sz w:val="20"/>
          <w:szCs w:val="20"/>
        </w:rPr>
      </w:pPr>
      <w:r w:rsidRPr="0039268C">
        <w:rPr>
          <w:rFonts w:ascii="Arial" w:hAnsi="Arial" w:cs="Arial"/>
          <w:color w:val="auto"/>
          <w:sz w:val="20"/>
          <w:szCs w:val="20"/>
        </w:rPr>
        <w:t>V súvislosti s prípravou výročných správ o vykonávaní OP zástupcovia EK prezentovali oblasti, v ktorých zo strany riadiacich orgánov stále pretrvávajú určité nedostatky. Štruktúra má v zásade kopírovať strategickú správu z roku 2009, ale je potrebné sa zamerať na poskytnutie jasnej predstavy o vykonávaní programu a jeho úspechov v porovnaní k jeho cieľom. V reakcii na to Komisia informovala, že súhrn strategických správ bude vychádzať z analýzy členských štátov a bude prijatý na jar 2013. Komisia zdôraznila, že dôkazy o výkonnosti a účinnosti opatrení by mali tvoriť hlavný obsah správy, ako aj analýzu pokroku kľúčových ukazovateľov a akýchkoľvek významných zmien v porovnaní s cieľmi. Zásadný význam má použitie kvalitatívnych a kvantitatívnych dát a závery hodnotenia a ďalšie analýzy na preukázanie pokroku.</w:t>
      </w:r>
    </w:p>
    <w:p w:rsidR="005A2F67" w:rsidRPr="0039268C" w:rsidRDefault="005A2F67" w:rsidP="00507035">
      <w:pPr>
        <w:pStyle w:val="Default"/>
        <w:spacing w:before="120" w:after="120" w:line="360" w:lineRule="auto"/>
        <w:jc w:val="both"/>
        <w:rPr>
          <w:rFonts w:ascii="Arial" w:hAnsi="Arial" w:cs="Arial"/>
          <w:color w:val="auto"/>
          <w:sz w:val="20"/>
          <w:szCs w:val="20"/>
        </w:rPr>
      </w:pPr>
    </w:p>
    <w:p w:rsidR="005A2F67" w:rsidRPr="0039268C" w:rsidRDefault="005A2F67" w:rsidP="00507035">
      <w:pPr>
        <w:pStyle w:val="Default"/>
        <w:spacing w:before="120" w:after="120" w:line="360" w:lineRule="auto"/>
        <w:jc w:val="both"/>
        <w:rPr>
          <w:rFonts w:ascii="Arial" w:hAnsi="Arial" w:cs="Arial"/>
          <w:color w:val="auto"/>
          <w:sz w:val="20"/>
          <w:szCs w:val="20"/>
        </w:rPr>
      </w:pPr>
      <w:r w:rsidRPr="0039268C">
        <w:rPr>
          <w:rFonts w:ascii="Arial" w:hAnsi="Arial" w:cs="Arial"/>
          <w:color w:val="auto"/>
          <w:sz w:val="20"/>
          <w:szCs w:val="20"/>
        </w:rPr>
        <w:t xml:space="preserve">Ďalším dôležitým bodom výročného stretnutia bolo vyhodnotenie plnenia Joint Road Map, ktorý EK považuje za hlavný nástroj na identifikáciu problematických oblastí, ktorým musí byť venovaná pozornosť s cieľom dosiahnuť efektívnu implementáciu fondov EÚ. Zástupcovia EK a CKO sa dohodli na príprave aktualizácie spoločného rámca Joint Road Map na rok 2013 a na jeho častejšom monitorovaní, minimálne na štvrťročnej báze. </w:t>
      </w:r>
    </w:p>
    <w:p w:rsidR="005A2F67" w:rsidRPr="0039268C" w:rsidRDefault="005A2F67" w:rsidP="00507035">
      <w:pPr>
        <w:pStyle w:val="Default"/>
        <w:spacing w:before="120" w:after="120" w:line="360" w:lineRule="auto"/>
        <w:jc w:val="both"/>
        <w:rPr>
          <w:rFonts w:ascii="Arial" w:hAnsi="Arial" w:cs="Arial"/>
          <w:color w:val="auto"/>
          <w:sz w:val="20"/>
          <w:szCs w:val="20"/>
        </w:rPr>
      </w:pPr>
      <w:r w:rsidRPr="0039268C">
        <w:rPr>
          <w:rFonts w:ascii="Arial" w:hAnsi="Arial" w:cs="Arial"/>
          <w:color w:val="auto"/>
          <w:sz w:val="20"/>
          <w:szCs w:val="20"/>
        </w:rPr>
        <w:t xml:space="preserve">V súvislosti so Stratégiou EÚ pre dunajský región zástupcovia EK vyzvali Úrad vlády SR ako gestora tejto stratégie, aby priebežne informoval EK o pokroku napĺňania stratégie, najmä o výsledkoch analýzy zamerania existujúcich a plánovaných projektov v oblasti pôsobenia jednotlivých rezortov v korelácii s piliermi a prioritnými oblasťami Stratégie EÚ pre dunajský región. </w:t>
      </w:r>
    </w:p>
    <w:p w:rsidR="005A2F67" w:rsidRPr="0039268C" w:rsidRDefault="005A2F67" w:rsidP="00507035">
      <w:pPr>
        <w:spacing w:before="120" w:after="120" w:line="360" w:lineRule="auto"/>
        <w:jc w:val="both"/>
        <w:rPr>
          <w:rFonts w:ascii="Arial" w:hAnsi="Arial" w:cs="Arial"/>
          <w:sz w:val="20"/>
          <w:szCs w:val="20"/>
        </w:rPr>
      </w:pPr>
      <w:r>
        <w:rPr>
          <w:rFonts w:ascii="Arial" w:hAnsi="Arial" w:cs="Arial"/>
          <w:sz w:val="20"/>
          <w:szCs w:val="20"/>
        </w:rPr>
        <w:t>Počas výročného stretnutia bol prerokovaný aj implementačný proces so zameraním na audity, hodnotenie, technickú pomoc a zjednodušenie implementácie. MF SR ako Orgán auditu informovalo o vykonaných a prebiehajúcich auditoch. Problematickými oblasťami aj naďalej ostáva oblasť verejného obstarávania, výberu projektov a kontroly projektov na mieste. Čo sa týka hodnotenia, zástupcovia EK zdôraznili potrebu posilniť mechanizmus hodnotenia vrátane administratívnych kapacít, aby bolo možné lepšie preukázať dosiahnuté výsledky a príklady úspešnej implementácie štrukturálnych fondov EÚ. Zástupcovia EK zdôraznili potrebu využívať závery z vykonaných hodnotení pri vypracovaní výročných/strategických správ a pri príprave budúceho programového obdobia. V súvislosti s vykazovaním výdavkov EK odporučila riadiacim orgánom hľadať možnosti zavedenia zjednodušeného vykazovania výdavkov.</w:t>
      </w:r>
    </w:p>
    <w:p w:rsidR="002416B1" w:rsidRDefault="002416B1" w:rsidP="00507035">
      <w:pPr>
        <w:spacing w:before="120" w:after="120" w:line="360" w:lineRule="auto"/>
        <w:jc w:val="both"/>
        <w:rPr>
          <w:rFonts w:ascii="Arial" w:hAnsi="Arial" w:cs="Arial"/>
          <w:b/>
          <w:sz w:val="20"/>
          <w:szCs w:val="20"/>
        </w:rPr>
      </w:pPr>
      <w:r w:rsidRPr="00516F6B">
        <w:rPr>
          <w:rFonts w:ascii="Arial" w:hAnsi="Arial" w:cs="Arial"/>
          <w:b/>
          <w:sz w:val="20"/>
          <w:szCs w:val="20"/>
        </w:rPr>
        <w:t>Spoločná cestovná mapa (Joint Road Map)</w:t>
      </w:r>
    </w:p>
    <w:p w:rsidR="002416B1" w:rsidRDefault="002416B1" w:rsidP="00507035">
      <w:pPr>
        <w:spacing w:before="120" w:after="120" w:line="360" w:lineRule="auto"/>
        <w:jc w:val="both"/>
        <w:rPr>
          <w:rFonts w:ascii="Arial" w:hAnsi="Arial" w:cs="Arial"/>
          <w:sz w:val="20"/>
          <w:szCs w:val="20"/>
        </w:rPr>
      </w:pPr>
      <w:r w:rsidRPr="003A5E95">
        <w:rPr>
          <w:rFonts w:ascii="Arial" w:hAnsi="Arial" w:cs="Arial"/>
          <w:sz w:val="20"/>
          <w:szCs w:val="20"/>
        </w:rPr>
        <w:t>Prehľad plnenia úloh vyplývajúcich z Joint Road Map 201</w:t>
      </w:r>
      <w:r w:rsidR="0079633A">
        <w:rPr>
          <w:rFonts w:ascii="Arial" w:hAnsi="Arial" w:cs="Arial"/>
          <w:sz w:val="20"/>
          <w:szCs w:val="20"/>
        </w:rPr>
        <w:t>2</w:t>
      </w:r>
      <w:r w:rsidRPr="003A5E95">
        <w:rPr>
          <w:rFonts w:ascii="Arial" w:hAnsi="Arial" w:cs="Arial"/>
          <w:sz w:val="20"/>
          <w:szCs w:val="20"/>
        </w:rPr>
        <w:t xml:space="preserve"> (ďalej len „JRM 201</w:t>
      </w:r>
      <w:r w:rsidR="0079633A">
        <w:rPr>
          <w:rFonts w:ascii="Arial" w:hAnsi="Arial" w:cs="Arial"/>
          <w:sz w:val="20"/>
          <w:szCs w:val="20"/>
        </w:rPr>
        <w:t>2</w:t>
      </w:r>
      <w:r w:rsidRPr="003A5E95">
        <w:rPr>
          <w:rFonts w:ascii="Arial" w:hAnsi="Arial" w:cs="Arial"/>
          <w:sz w:val="20"/>
          <w:szCs w:val="20"/>
        </w:rPr>
        <w:t>“) relevantných vo vzťahu k Ministerstvu životného prostredia SR v rámci jeho funkcie ako riadiaceho orgánu pre OP ŽP, ako aj jeho ďalších pôsobností (v oblasti posudzovania vplyvov na životné prostredie) k termínu 31.12.201</w:t>
      </w:r>
      <w:r w:rsidR="0079633A">
        <w:rPr>
          <w:rFonts w:ascii="Arial" w:hAnsi="Arial" w:cs="Arial"/>
          <w:sz w:val="20"/>
          <w:szCs w:val="20"/>
        </w:rPr>
        <w:t>2</w:t>
      </w:r>
      <w:r w:rsidRPr="003A5E95">
        <w:rPr>
          <w:rFonts w:ascii="Arial" w:hAnsi="Arial" w:cs="Arial"/>
          <w:sz w:val="20"/>
          <w:szCs w:val="20"/>
        </w:rPr>
        <w:t xml:space="preserve"> je uvedený v tabuľkovej forme nižšie</w:t>
      </w:r>
      <w:r>
        <w:rPr>
          <w:rFonts w:ascii="Arial" w:hAnsi="Arial" w:cs="Arial"/>
          <w:sz w:val="20"/>
          <w:szCs w:val="20"/>
        </w:rPr>
        <w:t>.</w:t>
      </w:r>
    </w:p>
    <w:p w:rsidR="002416B1" w:rsidRDefault="002416B1" w:rsidP="005D18B1">
      <w:pPr>
        <w:spacing w:line="360" w:lineRule="auto"/>
        <w:jc w:val="both"/>
        <w:rPr>
          <w:rFonts w:ascii="Arial" w:hAnsi="Arial" w:cs="Arial"/>
          <w:sz w:val="20"/>
          <w:szCs w:val="20"/>
        </w:rPr>
      </w:pPr>
      <w:r>
        <w:rPr>
          <w:rFonts w:ascii="Arial" w:hAnsi="Arial" w:cs="Arial"/>
          <w:sz w:val="20"/>
          <w:szCs w:val="20"/>
        </w:rPr>
        <w:t xml:space="preserve">Tab. č. </w:t>
      </w:r>
      <w:r w:rsidR="007B7519">
        <w:rPr>
          <w:rFonts w:ascii="Arial" w:hAnsi="Arial" w:cs="Arial"/>
          <w:sz w:val="20"/>
          <w:szCs w:val="20"/>
        </w:rPr>
        <w:t>33</w:t>
      </w:r>
    </w:p>
    <w:p w:rsidR="0079633A" w:rsidRDefault="0079633A" w:rsidP="001540E7">
      <w:pPr>
        <w:pStyle w:val="Odsekzoznamu"/>
        <w:numPr>
          <w:ilvl w:val="0"/>
          <w:numId w:val="63"/>
        </w:numPr>
        <w:spacing w:after="0" w:line="240" w:lineRule="auto"/>
        <w:ind w:left="426" w:hanging="437"/>
        <w:contextualSpacing w:val="0"/>
        <w:rPr>
          <w:b/>
        </w:rPr>
      </w:pPr>
      <w:r w:rsidRPr="008B783A">
        <w:rPr>
          <w:b/>
        </w:rPr>
        <w:t>Implementácia programového obdobia 2007-2013</w:t>
      </w:r>
    </w:p>
    <w:tbl>
      <w:tblPr>
        <w:tblW w:w="9259" w:type="dxa"/>
        <w:jc w:val="center"/>
        <w:tblInd w:w="-24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863"/>
        <w:gridCol w:w="1320"/>
        <w:gridCol w:w="5076"/>
      </w:tblGrid>
      <w:tr w:rsidR="0079633A" w:rsidRPr="00F343D9" w:rsidTr="003A3602">
        <w:trPr>
          <w:trHeight w:val="20"/>
          <w:jc w:val="center"/>
        </w:trPr>
        <w:tc>
          <w:tcPr>
            <w:tcW w:w="2863" w:type="dxa"/>
            <w:shd w:val="clear" w:color="auto" w:fill="D6E3BC"/>
            <w:vAlign w:val="center"/>
          </w:tcPr>
          <w:p w:rsidR="0079633A" w:rsidRPr="00F343D9" w:rsidRDefault="0079633A" w:rsidP="005D18B1">
            <w:pPr>
              <w:rPr>
                <w:rFonts w:ascii="Arial" w:hAnsi="Arial" w:cs="Arial"/>
                <w:b/>
                <w:sz w:val="20"/>
                <w:szCs w:val="20"/>
                <w:lang w:eastAsia="en-GB"/>
              </w:rPr>
            </w:pPr>
            <w:r w:rsidRPr="00F343D9">
              <w:rPr>
                <w:rFonts w:ascii="Arial" w:hAnsi="Arial" w:cs="Arial"/>
                <w:b/>
                <w:sz w:val="20"/>
                <w:szCs w:val="20"/>
                <w:lang w:eastAsia="en-GB"/>
              </w:rPr>
              <w:t>1. VEĽKÉ PROJEKTY</w:t>
            </w:r>
          </w:p>
        </w:tc>
        <w:tc>
          <w:tcPr>
            <w:tcW w:w="1320" w:type="dxa"/>
            <w:shd w:val="clear" w:color="auto" w:fill="D6E3BC"/>
            <w:vAlign w:val="center"/>
          </w:tcPr>
          <w:p w:rsidR="0079633A" w:rsidRPr="00F343D9" w:rsidRDefault="0079633A" w:rsidP="005D18B1">
            <w:pPr>
              <w:rPr>
                <w:rFonts w:ascii="Arial" w:hAnsi="Arial" w:cs="Arial"/>
                <w:b/>
                <w:sz w:val="20"/>
                <w:szCs w:val="20"/>
                <w:lang w:eastAsia="en-GB"/>
              </w:rPr>
            </w:pPr>
          </w:p>
        </w:tc>
        <w:tc>
          <w:tcPr>
            <w:tcW w:w="5076" w:type="dxa"/>
            <w:shd w:val="clear" w:color="auto" w:fill="D6E3BC"/>
            <w:vAlign w:val="center"/>
          </w:tcPr>
          <w:p w:rsidR="0079633A" w:rsidRPr="00F343D9" w:rsidRDefault="0079633A" w:rsidP="005D18B1">
            <w:pPr>
              <w:jc w:val="both"/>
              <w:rPr>
                <w:rFonts w:ascii="Arial" w:hAnsi="Arial" w:cs="Arial"/>
                <w:b/>
                <w:sz w:val="20"/>
                <w:szCs w:val="20"/>
                <w:lang w:eastAsia="en-GB"/>
              </w:rPr>
            </w:pPr>
          </w:p>
        </w:tc>
      </w:tr>
      <w:tr w:rsidR="0079633A" w:rsidRPr="00F343D9" w:rsidTr="003A3602">
        <w:trPr>
          <w:trHeight w:val="20"/>
          <w:jc w:val="center"/>
        </w:trPr>
        <w:tc>
          <w:tcPr>
            <w:tcW w:w="2863" w:type="dxa"/>
            <w:shd w:val="clear" w:color="auto" w:fill="EAF1DD"/>
            <w:vAlign w:val="center"/>
          </w:tcPr>
          <w:p w:rsidR="0079633A" w:rsidRPr="00F343D9" w:rsidRDefault="0079633A" w:rsidP="005D18B1">
            <w:pPr>
              <w:rPr>
                <w:rFonts w:ascii="Arial" w:hAnsi="Arial" w:cs="Arial"/>
                <w:b/>
                <w:sz w:val="20"/>
                <w:szCs w:val="20"/>
                <w:lang w:eastAsia="en-GB"/>
              </w:rPr>
            </w:pPr>
            <w:r w:rsidRPr="00F343D9">
              <w:rPr>
                <w:rFonts w:ascii="Arial" w:hAnsi="Arial" w:cs="Arial"/>
                <w:b/>
                <w:sz w:val="20"/>
                <w:szCs w:val="20"/>
                <w:lang w:eastAsia="en-GB"/>
              </w:rPr>
              <w:t>Úloha</w:t>
            </w:r>
          </w:p>
        </w:tc>
        <w:tc>
          <w:tcPr>
            <w:tcW w:w="1320" w:type="dxa"/>
            <w:shd w:val="clear" w:color="auto" w:fill="EAF1DD"/>
            <w:vAlign w:val="center"/>
          </w:tcPr>
          <w:p w:rsidR="0079633A" w:rsidRPr="00F343D9" w:rsidRDefault="0079633A" w:rsidP="005D18B1">
            <w:pPr>
              <w:rPr>
                <w:rFonts w:ascii="Arial" w:hAnsi="Arial" w:cs="Arial"/>
                <w:b/>
                <w:sz w:val="20"/>
                <w:szCs w:val="20"/>
                <w:lang w:eastAsia="en-GB"/>
              </w:rPr>
            </w:pPr>
            <w:r w:rsidRPr="00F343D9">
              <w:rPr>
                <w:rFonts w:ascii="Arial" w:hAnsi="Arial" w:cs="Arial"/>
                <w:b/>
                <w:sz w:val="20"/>
                <w:szCs w:val="20"/>
                <w:lang w:eastAsia="en-GB"/>
              </w:rPr>
              <w:t>Termín splnenia</w:t>
            </w:r>
          </w:p>
        </w:tc>
        <w:tc>
          <w:tcPr>
            <w:tcW w:w="5076" w:type="dxa"/>
            <w:shd w:val="clear" w:color="auto" w:fill="EAF1DD"/>
            <w:vAlign w:val="center"/>
          </w:tcPr>
          <w:p w:rsidR="0079633A" w:rsidRPr="00F343D9" w:rsidRDefault="0079633A" w:rsidP="005D18B1">
            <w:pPr>
              <w:jc w:val="both"/>
              <w:rPr>
                <w:rFonts w:ascii="Arial" w:hAnsi="Arial" w:cs="Arial"/>
                <w:b/>
                <w:sz w:val="20"/>
                <w:szCs w:val="20"/>
                <w:lang w:eastAsia="en-GB"/>
              </w:rPr>
            </w:pPr>
            <w:r w:rsidRPr="00F343D9">
              <w:rPr>
                <w:rFonts w:ascii="Arial" w:hAnsi="Arial" w:cs="Arial"/>
                <w:b/>
                <w:sz w:val="20"/>
                <w:szCs w:val="20"/>
                <w:lang w:eastAsia="en-GB"/>
              </w:rPr>
              <w:t>Stav a výsledky plnenia</w:t>
            </w:r>
          </w:p>
        </w:tc>
      </w:tr>
      <w:tr w:rsidR="0079633A" w:rsidRPr="00F343D9" w:rsidTr="003A3602">
        <w:trPr>
          <w:trHeight w:val="20"/>
          <w:jc w:val="center"/>
        </w:trPr>
        <w:tc>
          <w:tcPr>
            <w:tcW w:w="2863" w:type="dxa"/>
          </w:tcPr>
          <w:p w:rsidR="0079633A" w:rsidRPr="00F343D9" w:rsidRDefault="0079633A" w:rsidP="005D18B1">
            <w:pPr>
              <w:jc w:val="both"/>
              <w:rPr>
                <w:rFonts w:ascii="Arial" w:hAnsi="Arial" w:cs="Arial"/>
                <w:sz w:val="20"/>
                <w:szCs w:val="20"/>
                <w:lang w:eastAsia="en-GB"/>
              </w:rPr>
            </w:pPr>
            <w:r w:rsidRPr="00F343D9">
              <w:rPr>
                <w:rFonts w:ascii="Arial" w:hAnsi="Arial" w:cs="Arial"/>
                <w:sz w:val="20"/>
                <w:szCs w:val="20"/>
                <w:lang w:eastAsia="en-GB"/>
              </w:rPr>
              <w:t>Zlepšiť kvalitu prípravy veľkých projektov a žiadostí predkladaných EK (napr. skvalitnením štúdií uskutočniteľnosti, analýzy variantných riešení, analýza nákladov a výnosov, dodržiavaním požiadaviek v oblasti EIA a pod.) tak, že sa celkový čas potrebný na posúdenie veľkých projektov a prijatie rozhodnutia EK skráti.</w:t>
            </w:r>
          </w:p>
          <w:p w:rsidR="0079633A" w:rsidRDefault="0079633A" w:rsidP="005D18B1">
            <w:pPr>
              <w:rPr>
                <w:rFonts w:ascii="Arial" w:hAnsi="Arial" w:cs="Arial"/>
                <w:sz w:val="20"/>
                <w:szCs w:val="20"/>
                <w:lang w:eastAsia="en-GB"/>
              </w:rPr>
            </w:pPr>
          </w:p>
          <w:p w:rsidR="0079633A" w:rsidRPr="007D3A6B" w:rsidRDefault="0079633A" w:rsidP="005D18B1">
            <w:pPr>
              <w:jc w:val="both"/>
              <w:rPr>
                <w:rFonts w:ascii="Arial" w:hAnsi="Arial" w:cs="Arial"/>
                <w:sz w:val="20"/>
                <w:szCs w:val="20"/>
                <w:lang w:eastAsia="en-GB"/>
              </w:rPr>
            </w:pPr>
            <w:r w:rsidRPr="00F343D9">
              <w:rPr>
                <w:rFonts w:ascii="Arial" w:hAnsi="Arial" w:cs="Arial"/>
                <w:sz w:val="20"/>
                <w:szCs w:val="20"/>
                <w:lang w:eastAsia="en-GB"/>
              </w:rPr>
              <w:t>Zabezpečiť včasný vstup JASPERS do procesu prípravy všetkých veľkých projektov  a organizovať pravidelné trojstranné stretnutia RO s EK a JASPERS</w:t>
            </w:r>
          </w:p>
        </w:tc>
        <w:tc>
          <w:tcPr>
            <w:tcW w:w="1320" w:type="dxa"/>
            <w:vAlign w:val="center"/>
          </w:tcPr>
          <w:p w:rsidR="0079633A" w:rsidRPr="00F343D9" w:rsidRDefault="0079633A" w:rsidP="005D18B1">
            <w:pPr>
              <w:rPr>
                <w:b/>
                <w:lang w:eastAsia="en-GB"/>
              </w:rPr>
            </w:pPr>
            <w:r w:rsidRPr="00F343D9">
              <w:rPr>
                <w:rFonts w:ascii="Arial" w:hAnsi="Arial" w:cs="Arial"/>
                <w:sz w:val="20"/>
                <w:szCs w:val="20"/>
                <w:lang w:eastAsia="en-GB"/>
              </w:rPr>
              <w:t>priebežne</w:t>
            </w:r>
          </w:p>
        </w:tc>
        <w:tc>
          <w:tcPr>
            <w:tcW w:w="5076" w:type="dxa"/>
          </w:tcPr>
          <w:p w:rsidR="0079633A" w:rsidRDefault="0079633A" w:rsidP="005D18B1">
            <w:pPr>
              <w:jc w:val="both"/>
              <w:rPr>
                <w:rFonts w:ascii="Arial" w:hAnsi="Arial" w:cs="Arial"/>
                <w:sz w:val="20"/>
                <w:szCs w:val="20"/>
                <w:lang w:eastAsia="en-GB"/>
              </w:rPr>
            </w:pPr>
            <w:r w:rsidRPr="003310C4">
              <w:rPr>
                <w:rFonts w:ascii="Arial" w:hAnsi="Arial" w:cs="Arial"/>
                <w:sz w:val="20"/>
                <w:szCs w:val="20"/>
                <w:lang w:eastAsia="en-GB"/>
              </w:rPr>
              <w:t xml:space="preserve">Experti JASPERS boli </w:t>
            </w:r>
            <w:r>
              <w:rPr>
                <w:rFonts w:ascii="Arial" w:hAnsi="Arial" w:cs="Arial"/>
                <w:sz w:val="20"/>
                <w:szCs w:val="20"/>
                <w:lang w:eastAsia="en-GB"/>
              </w:rPr>
              <w:t>v priebehu roka 2012</w:t>
            </w:r>
            <w:r w:rsidRPr="003310C4">
              <w:rPr>
                <w:rFonts w:ascii="Arial" w:hAnsi="Arial" w:cs="Arial"/>
                <w:sz w:val="20"/>
                <w:szCs w:val="20"/>
                <w:lang w:eastAsia="en-GB"/>
              </w:rPr>
              <w:t xml:space="preserve"> zahrnutí do prípravy veľkých projektov už od počiatočnej fázy posudzovania a schvaľovania veľkých projektov. </w:t>
            </w:r>
            <w:r>
              <w:rPr>
                <w:rFonts w:ascii="Arial" w:hAnsi="Arial" w:cs="Arial"/>
                <w:sz w:val="20"/>
                <w:szCs w:val="20"/>
                <w:lang w:eastAsia="en-GB"/>
              </w:rPr>
              <w:t>RO</w:t>
            </w:r>
            <w:r w:rsidRPr="007F594C">
              <w:rPr>
                <w:rFonts w:ascii="Arial" w:hAnsi="Arial" w:cs="Arial"/>
                <w:sz w:val="20"/>
                <w:szCs w:val="20"/>
                <w:lang w:eastAsia="en-GB"/>
              </w:rPr>
              <w:t xml:space="preserve">  </w:t>
            </w:r>
            <w:r w:rsidRPr="003310C4">
              <w:rPr>
                <w:rFonts w:ascii="Arial" w:hAnsi="Arial" w:cs="Arial"/>
                <w:sz w:val="20"/>
                <w:szCs w:val="20"/>
                <w:lang w:eastAsia="en-GB"/>
              </w:rPr>
              <w:t xml:space="preserve">úzko spolupracuje s expertmi iniciatívy JASPERS a ich pripomienky </w:t>
            </w:r>
            <w:r>
              <w:rPr>
                <w:rFonts w:ascii="Arial" w:hAnsi="Arial" w:cs="Arial"/>
                <w:sz w:val="20"/>
                <w:szCs w:val="20"/>
                <w:lang w:eastAsia="en-GB"/>
              </w:rPr>
              <w:t>boli</w:t>
            </w:r>
            <w:r w:rsidRPr="003310C4">
              <w:rPr>
                <w:rFonts w:ascii="Arial" w:hAnsi="Arial" w:cs="Arial"/>
                <w:sz w:val="20"/>
                <w:szCs w:val="20"/>
                <w:lang w:eastAsia="en-GB"/>
              </w:rPr>
              <w:t xml:space="preserve"> priebežne zapracovávané v jednotlivých dokumentoch pripravovaných, resp. predkladaných projektov. V prípade, že žiadatelia neakcept</w:t>
            </w:r>
            <w:r>
              <w:rPr>
                <w:rFonts w:ascii="Arial" w:hAnsi="Arial" w:cs="Arial"/>
                <w:sz w:val="20"/>
                <w:szCs w:val="20"/>
                <w:lang w:eastAsia="en-GB"/>
              </w:rPr>
              <w:t>ovali</w:t>
            </w:r>
            <w:r w:rsidRPr="003310C4">
              <w:rPr>
                <w:rFonts w:ascii="Arial" w:hAnsi="Arial" w:cs="Arial"/>
                <w:sz w:val="20"/>
                <w:szCs w:val="20"/>
                <w:lang w:eastAsia="en-GB"/>
              </w:rPr>
              <w:t xml:space="preserve"> pripomienky JASPERS, </w:t>
            </w:r>
            <w:r>
              <w:rPr>
                <w:rFonts w:ascii="Arial" w:hAnsi="Arial" w:cs="Arial"/>
                <w:sz w:val="20"/>
                <w:szCs w:val="20"/>
                <w:lang w:eastAsia="en-GB"/>
              </w:rPr>
              <w:t>boli</w:t>
            </w:r>
            <w:r w:rsidRPr="003310C4">
              <w:rPr>
                <w:rFonts w:ascii="Arial" w:hAnsi="Arial" w:cs="Arial"/>
                <w:sz w:val="20"/>
                <w:szCs w:val="20"/>
                <w:lang w:eastAsia="en-GB"/>
              </w:rPr>
              <w:t xml:space="preserve"> povinní zdôvodniť svoje stanovisko. </w:t>
            </w:r>
            <w:r>
              <w:rPr>
                <w:rFonts w:ascii="Arial" w:hAnsi="Arial" w:cs="Arial"/>
                <w:sz w:val="20"/>
                <w:szCs w:val="20"/>
                <w:lang w:eastAsia="en-GB"/>
              </w:rPr>
              <w:t>RO</w:t>
            </w:r>
            <w:r w:rsidRPr="007F594C">
              <w:rPr>
                <w:rFonts w:ascii="Arial" w:hAnsi="Arial" w:cs="Arial"/>
                <w:sz w:val="20"/>
                <w:szCs w:val="20"/>
                <w:lang w:eastAsia="en-GB"/>
              </w:rPr>
              <w:t xml:space="preserve">  </w:t>
            </w:r>
            <w:r w:rsidRPr="003310C4">
              <w:rPr>
                <w:rFonts w:ascii="Arial" w:hAnsi="Arial" w:cs="Arial"/>
                <w:sz w:val="20"/>
                <w:szCs w:val="20"/>
                <w:lang w:eastAsia="en-GB"/>
              </w:rPr>
              <w:t>počas celého procesu prípravy a schvaľovania veľkých projektov kontrol</w:t>
            </w:r>
            <w:r>
              <w:rPr>
                <w:rFonts w:ascii="Arial" w:hAnsi="Arial" w:cs="Arial"/>
                <w:sz w:val="20"/>
                <w:szCs w:val="20"/>
                <w:lang w:eastAsia="en-GB"/>
              </w:rPr>
              <w:t>oval</w:t>
            </w:r>
            <w:r w:rsidRPr="003310C4">
              <w:rPr>
                <w:rFonts w:ascii="Arial" w:hAnsi="Arial" w:cs="Arial"/>
                <w:sz w:val="20"/>
                <w:szCs w:val="20"/>
                <w:lang w:eastAsia="en-GB"/>
              </w:rPr>
              <w:t xml:space="preserve"> kvalitu a úplnosť predkladaných dokumentov, ako aj spôsob zapracovania jednotlivých vznesených pripomienok. V prípade neakceptovania niektorých vznesených pripomienok </w:t>
            </w:r>
            <w:r>
              <w:rPr>
                <w:rFonts w:ascii="Arial" w:hAnsi="Arial" w:cs="Arial"/>
                <w:sz w:val="20"/>
                <w:szCs w:val="20"/>
                <w:lang w:eastAsia="en-GB"/>
              </w:rPr>
              <w:t>RO</w:t>
            </w:r>
            <w:r w:rsidRPr="007F594C">
              <w:rPr>
                <w:rFonts w:ascii="Arial" w:hAnsi="Arial" w:cs="Arial"/>
                <w:sz w:val="20"/>
                <w:szCs w:val="20"/>
                <w:lang w:eastAsia="en-GB"/>
              </w:rPr>
              <w:t xml:space="preserve">  </w:t>
            </w:r>
            <w:r w:rsidRPr="003310C4">
              <w:rPr>
                <w:rFonts w:ascii="Arial" w:hAnsi="Arial" w:cs="Arial"/>
                <w:sz w:val="20"/>
                <w:szCs w:val="20"/>
                <w:lang w:eastAsia="en-GB"/>
              </w:rPr>
              <w:t>dôkladne posudz</w:t>
            </w:r>
            <w:r>
              <w:rPr>
                <w:rFonts w:ascii="Arial" w:hAnsi="Arial" w:cs="Arial"/>
                <w:sz w:val="20"/>
                <w:szCs w:val="20"/>
                <w:lang w:eastAsia="en-GB"/>
              </w:rPr>
              <w:t>oval</w:t>
            </w:r>
            <w:r w:rsidRPr="003310C4">
              <w:rPr>
                <w:rFonts w:ascii="Arial" w:hAnsi="Arial" w:cs="Arial"/>
                <w:sz w:val="20"/>
                <w:szCs w:val="20"/>
                <w:lang w:eastAsia="en-GB"/>
              </w:rPr>
              <w:t xml:space="preserve"> stanoviská, resp. zdôvodnenia žiadateľov. Cieľom </w:t>
            </w:r>
            <w:r>
              <w:rPr>
                <w:rFonts w:ascii="Arial" w:hAnsi="Arial" w:cs="Arial"/>
                <w:sz w:val="20"/>
                <w:szCs w:val="20"/>
                <w:lang w:eastAsia="en-GB"/>
              </w:rPr>
              <w:t>RO</w:t>
            </w:r>
            <w:r w:rsidRPr="007F594C">
              <w:rPr>
                <w:rFonts w:ascii="Arial" w:hAnsi="Arial" w:cs="Arial"/>
                <w:sz w:val="20"/>
                <w:szCs w:val="20"/>
                <w:lang w:eastAsia="en-GB"/>
              </w:rPr>
              <w:t xml:space="preserve">  </w:t>
            </w:r>
            <w:r>
              <w:rPr>
                <w:rFonts w:ascii="Arial" w:hAnsi="Arial" w:cs="Arial"/>
                <w:sz w:val="20"/>
                <w:szCs w:val="20"/>
                <w:lang w:eastAsia="en-GB"/>
              </w:rPr>
              <w:t xml:space="preserve">bolo </w:t>
            </w:r>
            <w:r w:rsidRPr="003310C4">
              <w:rPr>
                <w:rFonts w:ascii="Arial" w:hAnsi="Arial" w:cs="Arial"/>
                <w:sz w:val="20"/>
                <w:szCs w:val="20"/>
                <w:lang w:eastAsia="en-GB"/>
              </w:rPr>
              <w:t>predložiť kvalitne vypracované žiadosti na základe dobre pripravených projektov, ktoré však zohľadňujú špecifiká SR. Avšak Európska komisia vo svojich stanoviskách k predloženým veľkým projektom vyjadrila spokojnosť s celkovou kvalit</w:t>
            </w:r>
            <w:r>
              <w:rPr>
                <w:rFonts w:ascii="Arial" w:hAnsi="Arial" w:cs="Arial"/>
                <w:sz w:val="20"/>
                <w:szCs w:val="20"/>
                <w:lang w:eastAsia="en-GB"/>
              </w:rPr>
              <w:t>o</w:t>
            </w:r>
            <w:r w:rsidRPr="003310C4">
              <w:rPr>
                <w:rFonts w:ascii="Arial" w:hAnsi="Arial" w:cs="Arial"/>
                <w:sz w:val="20"/>
                <w:szCs w:val="20"/>
                <w:lang w:eastAsia="en-GB"/>
              </w:rPr>
              <w:t xml:space="preserve">u predloženej dokumentácie, ktorá je výsledkom dobrej spolupráce medzi </w:t>
            </w:r>
            <w:r>
              <w:rPr>
                <w:rFonts w:ascii="Arial" w:hAnsi="Arial" w:cs="Arial"/>
                <w:sz w:val="20"/>
                <w:szCs w:val="20"/>
                <w:lang w:eastAsia="en-GB"/>
              </w:rPr>
              <w:t>RO</w:t>
            </w:r>
            <w:r w:rsidRPr="007F594C">
              <w:rPr>
                <w:rFonts w:ascii="Arial" w:hAnsi="Arial" w:cs="Arial"/>
                <w:sz w:val="20"/>
                <w:szCs w:val="20"/>
                <w:lang w:eastAsia="en-GB"/>
              </w:rPr>
              <w:t xml:space="preserve">  </w:t>
            </w:r>
            <w:r w:rsidRPr="003310C4">
              <w:rPr>
                <w:rFonts w:ascii="Arial" w:hAnsi="Arial" w:cs="Arial"/>
                <w:sz w:val="20"/>
                <w:szCs w:val="20"/>
                <w:lang w:eastAsia="en-GB"/>
              </w:rPr>
              <w:t>a JASPERS.</w:t>
            </w:r>
          </w:p>
          <w:p w:rsidR="0079633A" w:rsidRPr="00F343D9" w:rsidRDefault="0079633A" w:rsidP="005D18B1">
            <w:pPr>
              <w:jc w:val="both"/>
              <w:rPr>
                <w:rFonts w:ascii="Arial" w:hAnsi="Arial" w:cs="Arial"/>
                <w:sz w:val="20"/>
                <w:szCs w:val="20"/>
                <w:lang w:eastAsia="en-GB"/>
              </w:rPr>
            </w:pPr>
          </w:p>
        </w:tc>
      </w:tr>
      <w:tr w:rsidR="0079633A" w:rsidRPr="00F343D9" w:rsidTr="003A3602">
        <w:trPr>
          <w:trHeight w:val="20"/>
          <w:jc w:val="center"/>
        </w:trPr>
        <w:tc>
          <w:tcPr>
            <w:tcW w:w="2863" w:type="dxa"/>
          </w:tcPr>
          <w:p w:rsidR="0079633A" w:rsidRPr="00F343D9" w:rsidRDefault="0079633A" w:rsidP="005D18B1">
            <w:pPr>
              <w:jc w:val="both"/>
              <w:rPr>
                <w:rFonts w:ascii="Courier New" w:hAnsi="Courier New"/>
                <w:lang w:eastAsia="en-GB"/>
              </w:rPr>
            </w:pPr>
            <w:r w:rsidRPr="00F343D9">
              <w:rPr>
                <w:rFonts w:ascii="Arial" w:hAnsi="Arial" w:cs="Arial"/>
                <w:sz w:val="20"/>
                <w:szCs w:val="20"/>
                <w:lang w:eastAsia="en-GB"/>
              </w:rPr>
              <w:t>Zabezpečovať pravidelnú aktualizáciu monitorovacej tabuľky veľkých projektov</w:t>
            </w:r>
          </w:p>
        </w:tc>
        <w:tc>
          <w:tcPr>
            <w:tcW w:w="1320" w:type="dxa"/>
            <w:vAlign w:val="center"/>
          </w:tcPr>
          <w:p w:rsidR="0079633A" w:rsidRPr="00F343D9" w:rsidRDefault="0079633A" w:rsidP="005D18B1">
            <w:pPr>
              <w:rPr>
                <w:rFonts w:ascii="Arial" w:hAnsi="Arial" w:cs="Arial"/>
                <w:sz w:val="20"/>
                <w:szCs w:val="20"/>
                <w:lang w:eastAsia="en-GB"/>
              </w:rPr>
            </w:pPr>
            <w:r w:rsidRPr="00F343D9">
              <w:rPr>
                <w:rFonts w:ascii="Arial" w:hAnsi="Arial" w:cs="Arial"/>
                <w:sz w:val="20"/>
                <w:szCs w:val="20"/>
                <w:lang w:eastAsia="en-GB"/>
              </w:rPr>
              <w:t xml:space="preserve">najmenej raz za štvrť roka </w:t>
            </w:r>
          </w:p>
          <w:p w:rsidR="0079633A" w:rsidRPr="00F343D9" w:rsidRDefault="0079633A" w:rsidP="005D18B1">
            <w:pPr>
              <w:rPr>
                <w:rFonts w:ascii="Arial" w:hAnsi="Arial" w:cs="Arial"/>
                <w:sz w:val="20"/>
                <w:szCs w:val="20"/>
                <w:lang w:eastAsia="en-GB"/>
              </w:rPr>
            </w:pPr>
          </w:p>
          <w:p w:rsidR="0079633A" w:rsidRPr="00F343D9" w:rsidRDefault="0079633A" w:rsidP="005D18B1">
            <w:pPr>
              <w:rPr>
                <w:sz w:val="20"/>
                <w:szCs w:val="20"/>
                <w:u w:val="single"/>
                <w:lang w:eastAsia="en-GB"/>
              </w:rPr>
            </w:pPr>
          </w:p>
        </w:tc>
        <w:tc>
          <w:tcPr>
            <w:tcW w:w="5076" w:type="dxa"/>
            <w:vAlign w:val="center"/>
          </w:tcPr>
          <w:p w:rsidR="0079633A" w:rsidRPr="003310C4" w:rsidRDefault="0079633A" w:rsidP="005D18B1">
            <w:pPr>
              <w:jc w:val="both"/>
              <w:rPr>
                <w:rFonts w:ascii="Arial" w:hAnsi="Arial" w:cs="Arial"/>
                <w:sz w:val="20"/>
                <w:szCs w:val="20"/>
                <w:lang w:eastAsia="en-GB"/>
              </w:rPr>
            </w:pPr>
            <w:r>
              <w:rPr>
                <w:rFonts w:ascii="Arial" w:hAnsi="Arial" w:cs="Arial"/>
                <w:sz w:val="20"/>
                <w:szCs w:val="20"/>
                <w:lang w:eastAsia="en-GB"/>
              </w:rPr>
              <w:t>Počas roka</w:t>
            </w:r>
            <w:r w:rsidRPr="003310C4">
              <w:rPr>
                <w:rFonts w:ascii="Arial" w:hAnsi="Arial" w:cs="Arial"/>
                <w:sz w:val="20"/>
                <w:szCs w:val="20"/>
                <w:lang w:eastAsia="en-GB"/>
              </w:rPr>
              <w:t xml:space="preserve"> 2012 nedošlo k zmenám indikatívneho zoz</w:t>
            </w:r>
            <w:r>
              <w:rPr>
                <w:rFonts w:ascii="Arial" w:hAnsi="Arial" w:cs="Arial"/>
                <w:sz w:val="20"/>
                <w:szCs w:val="20"/>
                <w:lang w:eastAsia="en-GB"/>
              </w:rPr>
              <w:t xml:space="preserve">namu veľkých projektov OP ŽP. </w:t>
            </w:r>
            <w:r w:rsidRPr="003310C4">
              <w:rPr>
                <w:rFonts w:ascii="Arial" w:hAnsi="Arial" w:cs="Arial"/>
                <w:sz w:val="20"/>
                <w:szCs w:val="20"/>
                <w:lang w:eastAsia="en-GB"/>
              </w:rPr>
              <w:t>Posledná aktualizácia indikatívneho zoznamu veľkých projektov prebehla v roku 2011. Aktualizovaný indikatívny zoznam veľkých projektov OP ŽP spolu so zdôvodnením jeho aktualizácie bol Európskej komisii zaslaný ako súčasť podkladov  na  8. zasadnutie Monitorovacieho výboru pre OP ŽP dňa 28. júna 2011, na ktorom  bol schválený monitorovacím výborom (bod 8. Aktualizácia indikatívneho zoznamu veľkých projektov).</w:t>
            </w:r>
            <w:r>
              <w:rPr>
                <w:rFonts w:ascii="Arial" w:hAnsi="Arial" w:cs="Arial"/>
                <w:sz w:val="20"/>
                <w:szCs w:val="20"/>
                <w:lang w:eastAsia="en-GB"/>
              </w:rPr>
              <w:t xml:space="preserve"> </w:t>
            </w:r>
            <w:r w:rsidRPr="003310C4">
              <w:rPr>
                <w:rFonts w:ascii="Arial" w:hAnsi="Arial" w:cs="Arial"/>
                <w:sz w:val="20"/>
                <w:szCs w:val="20"/>
                <w:lang w:eastAsia="en-GB"/>
              </w:rPr>
              <w:t xml:space="preserve">Odvtedy k ďalším zmenám indikatívneho zoznamu veľkých projektov OP ŽP nedošlo.   </w:t>
            </w:r>
          </w:p>
          <w:p w:rsidR="0079633A" w:rsidRPr="003310C4" w:rsidRDefault="0079633A" w:rsidP="005D18B1">
            <w:pPr>
              <w:jc w:val="both"/>
              <w:rPr>
                <w:rFonts w:ascii="Arial" w:hAnsi="Arial" w:cs="Arial"/>
                <w:sz w:val="20"/>
                <w:szCs w:val="20"/>
                <w:lang w:eastAsia="en-GB"/>
              </w:rPr>
            </w:pPr>
            <w:r w:rsidRPr="003310C4">
              <w:rPr>
                <w:rFonts w:ascii="Arial" w:hAnsi="Arial" w:cs="Arial"/>
                <w:sz w:val="20"/>
                <w:szCs w:val="20"/>
                <w:lang w:eastAsia="en-GB"/>
              </w:rPr>
              <w:t>Počas rok</w:t>
            </w:r>
            <w:r>
              <w:rPr>
                <w:rFonts w:ascii="Arial" w:hAnsi="Arial" w:cs="Arial"/>
                <w:sz w:val="20"/>
                <w:szCs w:val="20"/>
                <w:lang w:eastAsia="en-GB"/>
              </w:rPr>
              <w:t>a</w:t>
            </w:r>
            <w:r w:rsidRPr="003310C4">
              <w:rPr>
                <w:rFonts w:ascii="Arial" w:hAnsi="Arial" w:cs="Arial"/>
                <w:sz w:val="20"/>
                <w:szCs w:val="20"/>
                <w:lang w:eastAsia="en-GB"/>
              </w:rPr>
              <w:t xml:space="preserve"> 2012 bolo E</w:t>
            </w:r>
            <w:r>
              <w:rPr>
                <w:rFonts w:ascii="Arial" w:hAnsi="Arial" w:cs="Arial"/>
                <w:sz w:val="20"/>
                <w:szCs w:val="20"/>
                <w:lang w:eastAsia="en-GB"/>
              </w:rPr>
              <w:t>K</w:t>
            </w:r>
            <w:r w:rsidRPr="003310C4">
              <w:rPr>
                <w:rFonts w:ascii="Arial" w:hAnsi="Arial" w:cs="Arial"/>
                <w:sz w:val="20"/>
                <w:szCs w:val="20"/>
                <w:lang w:eastAsia="en-GB"/>
              </w:rPr>
              <w:t xml:space="preserve"> schválených 5 veľkých projektov (Ružomberok, Ilava, Trenčín, Orava, ČOV Sever). </w:t>
            </w:r>
          </w:p>
          <w:p w:rsidR="0079633A" w:rsidRPr="00F343D9" w:rsidRDefault="0079633A" w:rsidP="005D18B1">
            <w:pPr>
              <w:jc w:val="both"/>
              <w:rPr>
                <w:rFonts w:ascii="Arial" w:hAnsi="Arial" w:cs="Arial"/>
                <w:sz w:val="20"/>
                <w:szCs w:val="20"/>
                <w:lang w:eastAsia="en-GB"/>
              </w:rPr>
            </w:pPr>
          </w:p>
        </w:tc>
      </w:tr>
      <w:tr w:rsidR="0079633A" w:rsidRPr="00F343D9" w:rsidTr="003A3602">
        <w:trPr>
          <w:trHeight w:val="20"/>
          <w:jc w:val="center"/>
        </w:trPr>
        <w:tc>
          <w:tcPr>
            <w:tcW w:w="2863" w:type="dxa"/>
          </w:tcPr>
          <w:p w:rsidR="0079633A" w:rsidRPr="007818E6" w:rsidRDefault="0079633A" w:rsidP="005D18B1">
            <w:pPr>
              <w:jc w:val="both"/>
              <w:rPr>
                <w:rFonts w:ascii="Arial" w:hAnsi="Arial" w:cs="Arial"/>
                <w:sz w:val="20"/>
                <w:szCs w:val="20"/>
                <w:lang w:eastAsia="en-GB"/>
              </w:rPr>
            </w:pPr>
            <w:r w:rsidRPr="00A9375C">
              <w:rPr>
                <w:rFonts w:ascii="Arial" w:hAnsi="Arial" w:cs="Arial"/>
                <w:sz w:val="20"/>
                <w:szCs w:val="20"/>
                <w:lang w:eastAsia="en-GB"/>
              </w:rPr>
              <w:t>Navrhnúť vhodné riešenie na zabezpečenie finančnej udržateľnosti a životaschopnosti environmentálnych projektov v oblasti vodného hospodárstva v súlade s princípom "úhrady nákladov" za vodohospodárske služby  vyplývajúcim z Rámcovej smernice o vode</w:t>
            </w:r>
            <w:r w:rsidRPr="00A9375C">
              <w:rPr>
                <w:rFonts w:ascii="Arial" w:hAnsi="Arial" w:cs="Arial"/>
                <w:sz w:val="20"/>
                <w:szCs w:val="20"/>
                <w:lang w:eastAsia="en-GB"/>
              </w:rPr>
              <w:br/>
            </w:r>
          </w:p>
          <w:p w:rsidR="0079633A" w:rsidRPr="00A9375C" w:rsidRDefault="0079633A" w:rsidP="005D18B1">
            <w:pPr>
              <w:jc w:val="both"/>
              <w:rPr>
                <w:rFonts w:ascii="Arial" w:hAnsi="Arial" w:cs="Arial"/>
                <w:sz w:val="20"/>
                <w:szCs w:val="20"/>
                <w:lang w:eastAsia="en-GB"/>
              </w:rPr>
            </w:pPr>
            <w:r w:rsidRPr="00A9375C">
              <w:rPr>
                <w:rFonts w:ascii="Arial" w:hAnsi="Arial" w:cs="Arial"/>
                <w:sz w:val="20"/>
                <w:szCs w:val="20"/>
                <w:lang w:eastAsia="en-GB"/>
              </w:rPr>
              <w:t>Zorganizovať stretnutie príslušných slovenských orgánov s EK, GR pre regionálnu politiku, za účasti GR pre životné prostredie a expertov JASPERS a prediskutovať možné riešenia</w:t>
            </w:r>
            <w:r w:rsidRPr="00A9375C">
              <w:rPr>
                <w:rFonts w:ascii="Arial" w:hAnsi="Arial" w:cs="Arial"/>
                <w:sz w:val="20"/>
                <w:szCs w:val="20"/>
                <w:lang w:eastAsia="en-GB"/>
              </w:rPr>
              <w:br/>
            </w:r>
          </w:p>
          <w:p w:rsidR="0079633A" w:rsidRPr="00A9375C" w:rsidRDefault="0079633A" w:rsidP="005D18B1">
            <w:pPr>
              <w:rPr>
                <w:rFonts w:ascii="Arial" w:hAnsi="Arial" w:cs="Arial"/>
                <w:sz w:val="20"/>
                <w:szCs w:val="20"/>
                <w:lang w:eastAsia="en-GB"/>
              </w:rPr>
            </w:pPr>
            <w:r w:rsidRPr="00A9375C">
              <w:rPr>
                <w:rFonts w:ascii="Arial" w:hAnsi="Arial" w:cs="Arial"/>
                <w:sz w:val="20"/>
                <w:szCs w:val="20"/>
                <w:lang w:eastAsia="en-GB"/>
              </w:rPr>
              <w:t>Analyzovať jestvujúci stav a načrtnúť možné riešenia</w:t>
            </w:r>
          </w:p>
          <w:p w:rsidR="0079633A" w:rsidRPr="00A9375C" w:rsidRDefault="0079633A" w:rsidP="005D18B1">
            <w:pPr>
              <w:ind w:left="720"/>
              <w:rPr>
                <w:sz w:val="22"/>
                <w:szCs w:val="22"/>
                <w:lang w:eastAsia="en-GB"/>
              </w:rPr>
            </w:pPr>
          </w:p>
        </w:tc>
        <w:tc>
          <w:tcPr>
            <w:tcW w:w="1320" w:type="dxa"/>
            <w:vAlign w:val="center"/>
          </w:tcPr>
          <w:p w:rsidR="0079633A" w:rsidRPr="0039268C" w:rsidRDefault="0079633A" w:rsidP="005D18B1">
            <w:pPr>
              <w:rPr>
                <w:b/>
                <w:lang w:eastAsia="en-GB"/>
              </w:rPr>
            </w:pPr>
            <w:r w:rsidRPr="00A9375C">
              <w:rPr>
                <w:rFonts w:ascii="Arial" w:hAnsi="Arial" w:cs="Arial"/>
                <w:sz w:val="20"/>
                <w:szCs w:val="20"/>
                <w:lang w:eastAsia="en-GB"/>
              </w:rPr>
              <w:t>priebežne</w:t>
            </w:r>
          </w:p>
        </w:tc>
        <w:tc>
          <w:tcPr>
            <w:tcW w:w="5076" w:type="dxa"/>
            <w:vAlign w:val="center"/>
          </w:tcPr>
          <w:p w:rsidR="0079633A" w:rsidRDefault="0079633A" w:rsidP="005D18B1">
            <w:pPr>
              <w:ind w:left="34"/>
              <w:jc w:val="both"/>
              <w:rPr>
                <w:rFonts w:ascii="Arial" w:hAnsi="Arial" w:cs="Arial"/>
                <w:sz w:val="20"/>
                <w:szCs w:val="20"/>
                <w:lang w:eastAsia="en-GB"/>
              </w:rPr>
            </w:pPr>
            <w:r>
              <w:rPr>
                <w:rFonts w:ascii="Arial" w:hAnsi="Arial" w:cs="Arial"/>
                <w:sz w:val="20"/>
                <w:szCs w:val="20"/>
                <w:lang w:eastAsia="en-GB"/>
              </w:rPr>
              <w:t>RO</w:t>
            </w:r>
            <w:r w:rsidRPr="007F594C">
              <w:rPr>
                <w:rFonts w:ascii="Arial" w:hAnsi="Arial" w:cs="Arial"/>
                <w:sz w:val="20"/>
                <w:szCs w:val="20"/>
                <w:lang w:eastAsia="en-GB"/>
              </w:rPr>
              <w:t xml:space="preserve"> pre OP ŽP </w:t>
            </w:r>
            <w:r w:rsidRPr="003310C4">
              <w:rPr>
                <w:rFonts w:ascii="Arial" w:hAnsi="Arial" w:cs="Arial"/>
                <w:sz w:val="20"/>
                <w:szCs w:val="20"/>
                <w:lang w:eastAsia="en-GB"/>
              </w:rPr>
              <w:t xml:space="preserve">uskutočnilo všetky potrebné kroky k zabezpečeniu plnenia podmienok Rámcovej smernice o vode vrátane článku 9, ako aj vytvorenia podmienok na plnenie záväzkov SR voči EÚ v oblasti odvádzania a čistenia komunálnych odpadových vôd. </w:t>
            </w:r>
          </w:p>
          <w:p w:rsidR="0079633A" w:rsidRPr="003310C4" w:rsidRDefault="009613D2" w:rsidP="005D18B1">
            <w:pPr>
              <w:ind w:left="34"/>
              <w:jc w:val="both"/>
              <w:rPr>
                <w:rFonts w:ascii="Arial" w:hAnsi="Arial" w:cs="Arial"/>
                <w:sz w:val="20"/>
                <w:szCs w:val="20"/>
                <w:lang w:eastAsia="en-GB"/>
              </w:rPr>
            </w:pPr>
            <w:r>
              <w:rPr>
                <w:rFonts w:ascii="Arial" w:hAnsi="Arial" w:cs="Arial"/>
                <w:sz w:val="20"/>
                <w:szCs w:val="20"/>
                <w:lang w:eastAsia="en-GB"/>
              </w:rPr>
              <w:t>E</w:t>
            </w:r>
            <w:r w:rsidRPr="003310C4">
              <w:rPr>
                <w:rFonts w:ascii="Arial" w:hAnsi="Arial" w:cs="Arial"/>
                <w:sz w:val="20"/>
                <w:szCs w:val="20"/>
                <w:lang w:eastAsia="en-GB"/>
              </w:rPr>
              <w:t xml:space="preserve">xperti </w:t>
            </w:r>
            <w:r w:rsidR="0079633A" w:rsidRPr="003310C4">
              <w:rPr>
                <w:rFonts w:ascii="Arial" w:hAnsi="Arial" w:cs="Arial"/>
                <w:sz w:val="20"/>
                <w:szCs w:val="20"/>
                <w:lang w:eastAsia="en-GB"/>
              </w:rPr>
              <w:t>iniciatívy JASPERS vypracovali model, ktorý analyzuje dopady novej regulačnej politiky na roky 2012-2016 a implementácie novej vyhlášky na finančnú udržateľnosť a výšku medzery vo financovaní pre predložené veľké projekty.</w:t>
            </w:r>
          </w:p>
          <w:p w:rsidR="0079633A" w:rsidRPr="003310C4" w:rsidRDefault="0079633A" w:rsidP="005D18B1">
            <w:pPr>
              <w:ind w:left="34"/>
              <w:jc w:val="both"/>
              <w:rPr>
                <w:rFonts w:ascii="Arial" w:hAnsi="Arial" w:cs="Arial"/>
                <w:sz w:val="20"/>
                <w:szCs w:val="20"/>
                <w:lang w:eastAsia="en-GB"/>
              </w:rPr>
            </w:pPr>
            <w:r w:rsidRPr="003310C4">
              <w:rPr>
                <w:rFonts w:ascii="Arial" w:hAnsi="Arial" w:cs="Arial"/>
                <w:sz w:val="20"/>
                <w:szCs w:val="20"/>
                <w:lang w:eastAsia="en-GB"/>
              </w:rPr>
              <w:t>Zo  záverov vypracovaného modelu vyplýva, že:</w:t>
            </w:r>
          </w:p>
          <w:p w:rsidR="0079633A" w:rsidRPr="003310C4" w:rsidRDefault="0079633A" w:rsidP="005D18B1">
            <w:pPr>
              <w:ind w:left="34"/>
              <w:jc w:val="both"/>
              <w:rPr>
                <w:rFonts w:ascii="Arial" w:hAnsi="Arial" w:cs="Arial"/>
                <w:sz w:val="20"/>
                <w:szCs w:val="20"/>
                <w:lang w:eastAsia="en-GB"/>
              </w:rPr>
            </w:pPr>
            <w:r w:rsidRPr="003310C4">
              <w:rPr>
                <w:rFonts w:ascii="Arial" w:hAnsi="Arial" w:cs="Arial"/>
                <w:sz w:val="20"/>
                <w:szCs w:val="20"/>
                <w:lang w:eastAsia="en-GB"/>
              </w:rPr>
              <w:t>1) aplikovaním vyhlášky č. 217/2011 by mali byť splnené požiadavky článku 9 (1) Rámcovej smernice o vode a zároveň by mala byť zabezpečená udržateľnosť vodohospodárskeho sektora;</w:t>
            </w:r>
          </w:p>
          <w:p w:rsidR="0079633A" w:rsidRPr="003310C4" w:rsidRDefault="0079633A" w:rsidP="005D18B1">
            <w:pPr>
              <w:ind w:left="34"/>
              <w:jc w:val="both"/>
              <w:rPr>
                <w:rFonts w:ascii="Arial" w:hAnsi="Arial" w:cs="Arial"/>
                <w:sz w:val="20"/>
                <w:szCs w:val="20"/>
                <w:lang w:eastAsia="en-GB"/>
              </w:rPr>
            </w:pPr>
            <w:r w:rsidRPr="003310C4">
              <w:rPr>
                <w:rFonts w:ascii="Arial" w:hAnsi="Arial" w:cs="Arial"/>
                <w:sz w:val="20"/>
                <w:szCs w:val="20"/>
                <w:lang w:eastAsia="en-GB"/>
              </w:rPr>
              <w:t xml:space="preserve">2) aplikovanie maximálnej výšky odpisov (2%) v zmysle vyhlášky č. 217/2011 by malo viesť k zmene vo výške finančnej medzere do 10 % oproti predpokladanej výške v rámci predložených žiadostí o potvrdenie pomoci, a preto sa nepredpokladá uplatnenie článku 55 (4) Nariadenia 1083/2006.  </w:t>
            </w:r>
          </w:p>
          <w:p w:rsidR="0079633A" w:rsidRPr="00F343D9" w:rsidRDefault="0079633A" w:rsidP="005D18B1">
            <w:pPr>
              <w:ind w:left="34"/>
              <w:jc w:val="both"/>
              <w:rPr>
                <w:sz w:val="22"/>
                <w:szCs w:val="22"/>
                <w:lang w:eastAsia="en-GB"/>
              </w:rPr>
            </w:pPr>
            <w:r w:rsidRPr="003310C4">
              <w:rPr>
                <w:rFonts w:ascii="Arial" w:hAnsi="Arial" w:cs="Arial"/>
                <w:sz w:val="20"/>
                <w:szCs w:val="20"/>
                <w:lang w:eastAsia="en-GB"/>
              </w:rPr>
              <w:t>EK nevzniesla žiadne pripomienky k zaslanému modelu, ani k z neho vyplývajúcim záverom.</w:t>
            </w:r>
          </w:p>
        </w:tc>
      </w:tr>
      <w:tr w:rsidR="0079633A" w:rsidRPr="00F343D9" w:rsidTr="003A3602">
        <w:trPr>
          <w:trHeight w:val="20"/>
          <w:jc w:val="center"/>
        </w:trPr>
        <w:tc>
          <w:tcPr>
            <w:tcW w:w="9259" w:type="dxa"/>
            <w:gridSpan w:val="3"/>
            <w:shd w:val="clear" w:color="auto" w:fill="D6E3BC"/>
            <w:vAlign w:val="center"/>
          </w:tcPr>
          <w:p w:rsidR="0079633A" w:rsidRPr="0039268C" w:rsidRDefault="0079633A" w:rsidP="005D18B1">
            <w:pPr>
              <w:rPr>
                <w:b/>
                <w:lang w:eastAsia="en-GB"/>
              </w:rPr>
            </w:pPr>
            <w:r w:rsidRPr="00A9375C">
              <w:rPr>
                <w:rFonts w:ascii="Arial" w:hAnsi="Arial" w:cs="Arial"/>
                <w:b/>
                <w:sz w:val="20"/>
                <w:szCs w:val="20"/>
                <w:lang w:eastAsia="en-GB"/>
              </w:rPr>
              <w:t>2</w:t>
            </w:r>
            <w:r w:rsidRPr="00A9375C">
              <w:rPr>
                <w:rFonts w:ascii="Arial" w:hAnsi="Arial" w:cs="Arial"/>
                <w:b/>
                <w:sz w:val="20"/>
                <w:szCs w:val="20"/>
                <w:shd w:val="clear" w:color="auto" w:fill="D6E3BC"/>
                <w:lang w:eastAsia="en-GB"/>
              </w:rPr>
              <w:t xml:space="preserve">.    RIADIACI A KONTROLNÝ </w:t>
            </w:r>
            <w:r w:rsidRPr="007818E6">
              <w:rPr>
                <w:rFonts w:ascii="Arial" w:hAnsi="Arial" w:cs="Arial"/>
                <w:b/>
                <w:sz w:val="20"/>
                <w:szCs w:val="20"/>
                <w:shd w:val="clear" w:color="auto" w:fill="D6E3BC"/>
                <w:lang w:eastAsia="en-GB"/>
              </w:rPr>
              <w:t>SYSTÉM</w:t>
            </w:r>
          </w:p>
        </w:tc>
      </w:tr>
      <w:tr w:rsidR="0079633A" w:rsidRPr="00F343D9" w:rsidTr="003A3602">
        <w:trPr>
          <w:trHeight w:val="20"/>
          <w:jc w:val="center"/>
        </w:trPr>
        <w:tc>
          <w:tcPr>
            <w:tcW w:w="2863" w:type="dxa"/>
            <w:shd w:val="clear" w:color="auto" w:fill="EAF1DD"/>
            <w:vAlign w:val="center"/>
          </w:tcPr>
          <w:p w:rsidR="0079633A" w:rsidRPr="00A9375C" w:rsidRDefault="0079633A" w:rsidP="005D18B1">
            <w:pPr>
              <w:rPr>
                <w:rFonts w:ascii="Arial" w:hAnsi="Arial" w:cs="Arial"/>
                <w:b/>
                <w:sz w:val="20"/>
                <w:szCs w:val="20"/>
                <w:lang w:eastAsia="en-GB"/>
              </w:rPr>
            </w:pPr>
            <w:r w:rsidRPr="00A9375C">
              <w:rPr>
                <w:rFonts w:ascii="Arial" w:hAnsi="Arial" w:cs="Arial"/>
                <w:b/>
                <w:sz w:val="20"/>
                <w:szCs w:val="20"/>
                <w:lang w:eastAsia="en-GB"/>
              </w:rPr>
              <w:t>Úloha</w:t>
            </w:r>
          </w:p>
        </w:tc>
        <w:tc>
          <w:tcPr>
            <w:tcW w:w="1320" w:type="dxa"/>
            <w:shd w:val="clear" w:color="auto" w:fill="EAF1DD"/>
            <w:vAlign w:val="center"/>
          </w:tcPr>
          <w:p w:rsidR="0079633A" w:rsidRPr="00A9375C" w:rsidRDefault="0079633A" w:rsidP="005D18B1">
            <w:pPr>
              <w:rPr>
                <w:rFonts w:ascii="Arial" w:hAnsi="Arial" w:cs="Arial"/>
                <w:b/>
                <w:sz w:val="20"/>
                <w:szCs w:val="20"/>
                <w:lang w:eastAsia="en-GB"/>
              </w:rPr>
            </w:pPr>
            <w:r w:rsidRPr="00A9375C">
              <w:rPr>
                <w:rFonts w:ascii="Arial" w:hAnsi="Arial" w:cs="Arial"/>
                <w:b/>
                <w:sz w:val="20"/>
                <w:szCs w:val="20"/>
                <w:lang w:eastAsia="en-GB"/>
              </w:rPr>
              <w:t>Termín splnenia</w:t>
            </w:r>
          </w:p>
        </w:tc>
        <w:tc>
          <w:tcPr>
            <w:tcW w:w="5076" w:type="dxa"/>
            <w:shd w:val="clear" w:color="auto" w:fill="EAF1DD"/>
            <w:vAlign w:val="center"/>
          </w:tcPr>
          <w:p w:rsidR="0079633A" w:rsidRPr="00F343D9" w:rsidRDefault="0079633A" w:rsidP="005D18B1">
            <w:pPr>
              <w:jc w:val="both"/>
              <w:rPr>
                <w:rFonts w:ascii="Arial" w:hAnsi="Arial" w:cs="Arial"/>
                <w:b/>
                <w:sz w:val="20"/>
                <w:szCs w:val="20"/>
                <w:lang w:eastAsia="en-GB"/>
              </w:rPr>
            </w:pPr>
            <w:r w:rsidRPr="00F343D9">
              <w:rPr>
                <w:rFonts w:ascii="Arial" w:hAnsi="Arial" w:cs="Arial"/>
                <w:b/>
                <w:sz w:val="20"/>
                <w:szCs w:val="20"/>
                <w:lang w:eastAsia="en-GB"/>
              </w:rPr>
              <w:t>Stav a výsledky plnenia</w:t>
            </w:r>
          </w:p>
        </w:tc>
      </w:tr>
      <w:tr w:rsidR="0079633A" w:rsidRPr="00F343D9" w:rsidTr="003A3602">
        <w:trPr>
          <w:trHeight w:val="20"/>
          <w:jc w:val="center"/>
        </w:trPr>
        <w:tc>
          <w:tcPr>
            <w:tcW w:w="2863" w:type="dxa"/>
            <w:vAlign w:val="center"/>
          </w:tcPr>
          <w:p w:rsidR="0079633A" w:rsidRPr="00A9375C" w:rsidRDefault="0079633A" w:rsidP="005D18B1">
            <w:pPr>
              <w:jc w:val="both"/>
              <w:rPr>
                <w:rFonts w:ascii="Arial" w:hAnsi="Arial" w:cs="Arial"/>
                <w:sz w:val="20"/>
                <w:szCs w:val="20"/>
                <w:lang w:eastAsia="en-GB"/>
              </w:rPr>
            </w:pPr>
            <w:r w:rsidRPr="00A9375C">
              <w:rPr>
                <w:rFonts w:ascii="Arial" w:hAnsi="Arial" w:cs="Arial"/>
                <w:sz w:val="20"/>
                <w:szCs w:val="20"/>
                <w:lang w:eastAsia="en-GB"/>
              </w:rPr>
              <w:t xml:space="preserve">Pokračovať v posilňovaní riadiaceho a kontrolného systému operačného programu na zabezpečenie účinného vykonávania operačného programu, najmä v oblasti verejného obstarávania a výberu projektov   </w:t>
            </w:r>
          </w:p>
        </w:tc>
        <w:tc>
          <w:tcPr>
            <w:tcW w:w="1320" w:type="dxa"/>
            <w:vAlign w:val="center"/>
          </w:tcPr>
          <w:p w:rsidR="0079633A" w:rsidRPr="00A9375C" w:rsidRDefault="0079633A" w:rsidP="005D18B1">
            <w:pPr>
              <w:rPr>
                <w:rFonts w:ascii="Arial" w:hAnsi="Arial" w:cs="Arial"/>
                <w:sz w:val="20"/>
                <w:szCs w:val="20"/>
                <w:lang w:eastAsia="en-GB"/>
              </w:rPr>
            </w:pPr>
            <w:r w:rsidRPr="00A9375C">
              <w:rPr>
                <w:rFonts w:ascii="Arial" w:hAnsi="Arial" w:cs="Arial"/>
                <w:sz w:val="20"/>
                <w:szCs w:val="20"/>
                <w:lang w:eastAsia="en-GB"/>
              </w:rPr>
              <w:t>priebežne</w:t>
            </w:r>
          </w:p>
        </w:tc>
        <w:tc>
          <w:tcPr>
            <w:tcW w:w="5076" w:type="dxa"/>
            <w:vAlign w:val="center"/>
          </w:tcPr>
          <w:p w:rsidR="0079633A" w:rsidRPr="007F594C" w:rsidRDefault="0079633A" w:rsidP="005D18B1">
            <w:pPr>
              <w:jc w:val="both"/>
              <w:rPr>
                <w:rFonts w:ascii="Arial" w:hAnsi="Arial" w:cs="Arial"/>
                <w:sz w:val="20"/>
                <w:szCs w:val="20"/>
                <w:lang w:eastAsia="en-GB"/>
              </w:rPr>
            </w:pPr>
            <w:r>
              <w:rPr>
                <w:rFonts w:ascii="Arial" w:hAnsi="Arial" w:cs="Arial"/>
                <w:sz w:val="20"/>
                <w:szCs w:val="20"/>
                <w:lang w:eastAsia="en-GB"/>
              </w:rPr>
              <w:t>RO</w:t>
            </w:r>
            <w:r w:rsidRPr="007F594C">
              <w:rPr>
                <w:rFonts w:ascii="Arial" w:hAnsi="Arial" w:cs="Arial"/>
                <w:sz w:val="20"/>
                <w:szCs w:val="20"/>
                <w:lang w:eastAsia="en-GB"/>
              </w:rPr>
              <w:t xml:space="preserve">  priebežne zabezpečoval plnenie uvedenej úlohy a venoval jej zvýšenú pozornosť.</w:t>
            </w:r>
          </w:p>
          <w:p w:rsidR="0079633A" w:rsidRPr="00F343D9" w:rsidRDefault="0079633A" w:rsidP="005D18B1">
            <w:pPr>
              <w:jc w:val="both"/>
              <w:rPr>
                <w:rFonts w:ascii="Arial" w:hAnsi="Arial" w:cs="Arial"/>
                <w:sz w:val="20"/>
                <w:szCs w:val="20"/>
                <w:lang w:eastAsia="en-GB"/>
              </w:rPr>
            </w:pPr>
            <w:r w:rsidRPr="00F343D9">
              <w:rPr>
                <w:rFonts w:ascii="Arial" w:hAnsi="Arial" w:cs="Arial"/>
                <w:sz w:val="20"/>
                <w:szCs w:val="20"/>
                <w:lang w:eastAsia="en-GB"/>
              </w:rPr>
              <w:t xml:space="preserve">Na zlepšenie procesu v oblasti kontroly verejného obstarávania (ďalej len „VO“) prijal </w:t>
            </w:r>
            <w:r w:rsidR="009613D2">
              <w:rPr>
                <w:rFonts w:ascii="Arial" w:hAnsi="Arial" w:cs="Arial"/>
                <w:sz w:val="20"/>
                <w:szCs w:val="20"/>
                <w:lang w:eastAsia="en-GB"/>
              </w:rPr>
              <w:t>RO</w:t>
            </w:r>
            <w:r w:rsidRPr="00F343D9">
              <w:rPr>
                <w:rFonts w:ascii="Arial" w:hAnsi="Arial" w:cs="Arial"/>
                <w:sz w:val="20"/>
                <w:szCs w:val="20"/>
                <w:lang w:eastAsia="en-GB"/>
              </w:rPr>
              <w:t xml:space="preserve"> nasledovné opatrenia:</w:t>
            </w:r>
          </w:p>
          <w:p w:rsidR="0079633A" w:rsidRPr="00F343D9" w:rsidRDefault="0079633A" w:rsidP="005D18B1">
            <w:pPr>
              <w:jc w:val="both"/>
              <w:rPr>
                <w:rFonts w:ascii="Arial" w:hAnsi="Arial" w:cs="Arial"/>
                <w:sz w:val="20"/>
                <w:szCs w:val="20"/>
                <w:lang w:eastAsia="en-GB"/>
              </w:rPr>
            </w:pPr>
            <w:r w:rsidRPr="00F343D9">
              <w:rPr>
                <w:rFonts w:ascii="Arial" w:hAnsi="Arial" w:cs="Arial"/>
                <w:sz w:val="20"/>
                <w:szCs w:val="20"/>
                <w:lang w:eastAsia="en-GB"/>
              </w:rPr>
              <w:t>- zintenzívnil spoluprácu s Úradom pre verejné obstarávanie v zm</w:t>
            </w:r>
            <w:r>
              <w:rPr>
                <w:rFonts w:ascii="Arial" w:hAnsi="Arial" w:cs="Arial"/>
                <w:sz w:val="20"/>
                <w:szCs w:val="20"/>
                <w:lang w:eastAsia="en-GB"/>
              </w:rPr>
              <w:t>ysle Dohody o spolupráci;</w:t>
            </w:r>
          </w:p>
          <w:p w:rsidR="0079633A" w:rsidRPr="00F343D9" w:rsidRDefault="0079633A" w:rsidP="005D18B1">
            <w:pPr>
              <w:jc w:val="both"/>
              <w:rPr>
                <w:rFonts w:ascii="Arial" w:hAnsi="Arial" w:cs="Arial"/>
                <w:sz w:val="20"/>
                <w:szCs w:val="20"/>
                <w:lang w:eastAsia="en-GB"/>
              </w:rPr>
            </w:pPr>
            <w:r w:rsidRPr="00F343D9">
              <w:rPr>
                <w:rFonts w:ascii="Arial" w:hAnsi="Arial" w:cs="Arial"/>
                <w:sz w:val="20"/>
                <w:szCs w:val="20"/>
                <w:lang w:eastAsia="en-GB"/>
              </w:rPr>
              <w:t xml:space="preserve">- zverejňuje na webovom sídle </w:t>
            </w:r>
            <w:hyperlink r:id="rId29" w:history="1">
              <w:r w:rsidRPr="006A78D8">
                <w:rPr>
                  <w:rFonts w:ascii="Arial" w:hAnsi="Arial" w:cs="Arial"/>
                  <w:color w:val="0000FF"/>
                  <w:sz w:val="20"/>
                  <w:szCs w:val="20"/>
                  <w:u w:val="single"/>
                </w:rPr>
                <w:t>www.opzp.sk</w:t>
              </w:r>
            </w:hyperlink>
            <w:r w:rsidRPr="00F343D9">
              <w:rPr>
                <w:rFonts w:ascii="Arial" w:hAnsi="Arial" w:cs="Arial"/>
                <w:sz w:val="20"/>
                <w:szCs w:val="20"/>
                <w:lang w:eastAsia="en-GB"/>
              </w:rPr>
              <w:t xml:space="preserve"> v rámci často kladených otázok informácie o najčastejších chybách a nedostatkoch pri výkone procesu VO spolu s</w:t>
            </w:r>
            <w:r>
              <w:rPr>
                <w:rFonts w:ascii="Arial" w:hAnsi="Arial" w:cs="Arial"/>
                <w:sz w:val="20"/>
                <w:szCs w:val="20"/>
                <w:lang w:eastAsia="en-GB"/>
              </w:rPr>
              <w:t xml:space="preserve"> návrhmi preventívnych opatrení;</w:t>
            </w:r>
          </w:p>
          <w:p w:rsidR="0079633A" w:rsidRDefault="0079633A" w:rsidP="005D18B1">
            <w:pPr>
              <w:jc w:val="both"/>
              <w:rPr>
                <w:rFonts w:ascii="Arial" w:hAnsi="Arial" w:cs="Arial"/>
                <w:sz w:val="20"/>
                <w:szCs w:val="20"/>
                <w:lang w:eastAsia="en-GB"/>
              </w:rPr>
            </w:pPr>
            <w:r w:rsidRPr="00F343D9">
              <w:rPr>
                <w:rFonts w:ascii="Arial" w:hAnsi="Arial" w:cs="Arial"/>
                <w:sz w:val="20"/>
                <w:szCs w:val="20"/>
                <w:lang w:eastAsia="en-GB"/>
              </w:rPr>
              <w:t xml:space="preserve">Zároveň problematika VO je podrobne rozpracovaná v Príručke pre prijímateľa, ktorá bola zo strany </w:t>
            </w:r>
            <w:r w:rsidR="009613D2">
              <w:rPr>
                <w:rFonts w:ascii="Arial" w:hAnsi="Arial" w:cs="Arial"/>
                <w:sz w:val="20"/>
                <w:szCs w:val="20"/>
                <w:lang w:eastAsia="en-GB"/>
              </w:rPr>
              <w:t>RO</w:t>
            </w:r>
            <w:r w:rsidRPr="00F343D9">
              <w:rPr>
                <w:rFonts w:ascii="Arial" w:hAnsi="Arial" w:cs="Arial"/>
                <w:sz w:val="20"/>
                <w:szCs w:val="20"/>
                <w:lang w:eastAsia="en-GB"/>
              </w:rPr>
              <w:t xml:space="preserve"> aktualizovaná dňa 10.10.2011, pričom aj oblasť VO bola upravená s ohľadom na najčastejšie sa vyskytujúce nedostatky pri vykonávaní</w:t>
            </w:r>
            <w:r>
              <w:rPr>
                <w:rFonts w:ascii="Arial" w:hAnsi="Arial" w:cs="Arial"/>
                <w:sz w:val="20"/>
                <w:szCs w:val="20"/>
                <w:lang w:eastAsia="en-GB"/>
              </w:rPr>
              <w:t xml:space="preserve"> VO prijímateľmi;</w:t>
            </w:r>
          </w:p>
          <w:p w:rsidR="0079633A" w:rsidRDefault="0079633A" w:rsidP="005D18B1">
            <w:pPr>
              <w:jc w:val="both"/>
              <w:rPr>
                <w:rFonts w:ascii="Arial" w:hAnsi="Arial" w:cs="Arial"/>
                <w:sz w:val="20"/>
                <w:szCs w:val="20"/>
                <w:lang w:eastAsia="en-GB"/>
              </w:rPr>
            </w:pPr>
            <w:r w:rsidRPr="00F343D9">
              <w:rPr>
                <w:rFonts w:ascii="Arial" w:hAnsi="Arial" w:cs="Arial"/>
                <w:sz w:val="20"/>
                <w:szCs w:val="20"/>
                <w:lang w:eastAsia="en-GB"/>
              </w:rPr>
              <w:t>- vypracoval  pomôcku pre prijímateľa „Kontrolný zoznam k VO pre prijímateľa“, ktorého  súčasťou ktorého sú otázky vyplývajúce z najčast</w:t>
            </w:r>
            <w:r>
              <w:rPr>
                <w:rFonts w:ascii="Arial" w:hAnsi="Arial" w:cs="Arial"/>
                <w:sz w:val="20"/>
                <w:szCs w:val="20"/>
                <w:lang w:eastAsia="en-GB"/>
              </w:rPr>
              <w:t>ejších pochybení pri výkone VO;</w:t>
            </w:r>
          </w:p>
          <w:p w:rsidR="0079633A" w:rsidRPr="00F343D9" w:rsidRDefault="0079633A" w:rsidP="005D18B1">
            <w:pPr>
              <w:jc w:val="both"/>
              <w:rPr>
                <w:rFonts w:ascii="Arial" w:hAnsi="Arial" w:cs="Arial"/>
                <w:sz w:val="20"/>
                <w:szCs w:val="20"/>
                <w:lang w:eastAsia="en-GB"/>
              </w:rPr>
            </w:pPr>
            <w:r w:rsidRPr="00F343D9">
              <w:rPr>
                <w:rFonts w:ascii="Arial" w:hAnsi="Arial" w:cs="Arial"/>
                <w:sz w:val="20"/>
                <w:szCs w:val="20"/>
                <w:lang w:eastAsia="en-GB"/>
              </w:rPr>
              <w:t>- organizuje pravidelné interné školenia zamestnancov riadiaceho orgánu pre OP ŽP zodpovedných za</w:t>
            </w:r>
            <w:r>
              <w:rPr>
                <w:rFonts w:ascii="Arial" w:hAnsi="Arial" w:cs="Arial"/>
                <w:sz w:val="20"/>
                <w:szCs w:val="20"/>
                <w:lang w:eastAsia="en-GB"/>
              </w:rPr>
              <w:t xml:space="preserve"> výkon kontroly VO v oblasti VO;</w:t>
            </w:r>
          </w:p>
          <w:p w:rsidR="0079633A" w:rsidRPr="00F343D9" w:rsidRDefault="0079633A" w:rsidP="005D18B1">
            <w:pPr>
              <w:jc w:val="both"/>
              <w:rPr>
                <w:rFonts w:ascii="Arial" w:hAnsi="Arial" w:cs="Arial"/>
                <w:sz w:val="20"/>
                <w:szCs w:val="20"/>
                <w:lang w:eastAsia="en-GB"/>
              </w:rPr>
            </w:pPr>
            <w:r>
              <w:rPr>
                <w:rFonts w:ascii="Arial" w:hAnsi="Arial" w:cs="Arial"/>
                <w:sz w:val="20"/>
                <w:szCs w:val="20"/>
                <w:lang w:eastAsia="en-GB"/>
              </w:rPr>
              <w:t xml:space="preserve">- </w:t>
            </w:r>
            <w:r w:rsidRPr="006945D0">
              <w:rPr>
                <w:rFonts w:ascii="Arial" w:hAnsi="Arial" w:cs="Arial"/>
                <w:sz w:val="20"/>
                <w:szCs w:val="20"/>
                <w:lang w:eastAsia="en-GB"/>
              </w:rPr>
              <w:t xml:space="preserve">RO pre OP ŽP zverejňuje na webovom sídle </w:t>
            </w:r>
            <w:hyperlink r:id="rId30" w:history="1">
              <w:r w:rsidRPr="006A78D8">
                <w:rPr>
                  <w:rFonts w:ascii="Arial" w:hAnsi="Arial" w:cs="Arial"/>
                  <w:color w:val="0000FF"/>
                  <w:sz w:val="20"/>
                  <w:szCs w:val="20"/>
                  <w:u w:val="single"/>
                </w:rPr>
                <w:t>www.opzp.sk</w:t>
              </w:r>
            </w:hyperlink>
            <w:r>
              <w:rPr>
                <w:rFonts w:ascii="Arial" w:hAnsi="Arial" w:cs="Arial"/>
                <w:sz w:val="20"/>
                <w:szCs w:val="20"/>
                <w:lang w:eastAsia="en-GB"/>
              </w:rPr>
              <w:t xml:space="preserve"> </w:t>
            </w:r>
            <w:r w:rsidRPr="006945D0">
              <w:rPr>
                <w:rFonts w:ascii="Arial" w:hAnsi="Arial" w:cs="Arial"/>
                <w:sz w:val="20"/>
                <w:szCs w:val="20"/>
                <w:lang w:eastAsia="en-GB"/>
              </w:rPr>
              <w:t>informácie o rozhodnutiach ÚVO vydaných v súvislosti s ním vykonanou kontrolou verejného obstarávania v rámci projektov OP ŽP</w:t>
            </w:r>
            <w:r>
              <w:rPr>
                <w:rFonts w:ascii="Arial" w:hAnsi="Arial" w:cs="Arial"/>
                <w:sz w:val="20"/>
                <w:szCs w:val="20"/>
                <w:lang w:eastAsia="en-GB"/>
              </w:rPr>
              <w:t>.</w:t>
            </w:r>
          </w:p>
          <w:p w:rsidR="0079633A" w:rsidRDefault="0079633A" w:rsidP="005D18B1">
            <w:pPr>
              <w:tabs>
                <w:tab w:val="left" w:pos="0"/>
              </w:tabs>
              <w:jc w:val="both"/>
              <w:rPr>
                <w:rFonts w:ascii="Arial" w:hAnsi="Arial" w:cs="Arial"/>
                <w:sz w:val="20"/>
                <w:szCs w:val="20"/>
                <w:lang w:eastAsia="en-GB"/>
              </w:rPr>
            </w:pPr>
            <w:r w:rsidRPr="00F343D9">
              <w:rPr>
                <w:rFonts w:ascii="Arial" w:hAnsi="Arial" w:cs="Arial"/>
                <w:sz w:val="20"/>
                <w:szCs w:val="20"/>
                <w:lang w:eastAsia="en-GB"/>
              </w:rPr>
              <w:t>Čo sa týka procesu výberu projektov, štatutárny orgán riadiaceho orgánu pre OP ŽP v rámci procesu výberu ŽoNFP preskúmava rozhodnutie o neschválení žiadosti o NFP v ktorejkoľvek fáze procesu a to na základe vlastného podnetu v súlade s ustanovením §14 ods. 8 zákona č. 528/2008 Z. z. o pomoci a podpore z fondov ES v znení neskorších predpisov. Ak by však došlo k porušeniu práv a právom chránených záujmov žiadateľa vydaním nesprávneho rozhodnutia má žiadateľ možnosť obrátiť sa na súd a žiadať tento o preskúmanie rozhodnutia o neschválení. Oprávnenie štatutárneho orgánu riadiaceho orgánu v súlade s ustanovením § 14 ods. 8 zákona č. 528/2008 Z. z. o pomoci a podpore z fondov ES  v kombinácii s možnosťou súdneho preskúmania rozhodnutí o žiadostiach o NFP predstavuje dostatočný mechanizmus ochrany práv a právom chránených záujmov žiadateľov. Zároveň žiadateľ má právo kedykoľvek (bez časového obmedzenia a v ktorejkoľvek fáze procesu) voči postupu RO podať sťažnosť  v  zmysle zákona č. 9/2010 Z. z. o sťažnostiach, pričom podrobnejšia úprava je rovnako popísaná v Príručke pre žiadateľa.</w:t>
            </w:r>
          </w:p>
          <w:p w:rsidR="0079633A" w:rsidRPr="006945D0" w:rsidRDefault="0079633A" w:rsidP="005D18B1">
            <w:pPr>
              <w:jc w:val="both"/>
              <w:rPr>
                <w:rFonts w:ascii="Arial" w:hAnsi="Arial" w:cs="Arial"/>
                <w:sz w:val="20"/>
                <w:szCs w:val="20"/>
                <w:lang w:eastAsia="en-GB"/>
              </w:rPr>
            </w:pPr>
            <w:r w:rsidRPr="006945D0">
              <w:rPr>
                <w:rFonts w:ascii="Arial" w:hAnsi="Arial" w:cs="Arial"/>
                <w:sz w:val="20"/>
                <w:szCs w:val="20"/>
                <w:lang w:eastAsia="en-GB"/>
              </w:rPr>
              <w:t>K 01.02.2012 RO  prijal v oblasti odborného hodnotenia a výberu projektov ďalšie dodatočné opatrenie, spočívajúce v tom, že proces odborného hodnotenia žiadostí o NFP je upravený spôsobom, v zmysle ktorého bude na vzorkovej báze vykonávané posudzovanie žiadostí o NFP dvomi odbornými hodnotiteľmi z rovnakého hľadiska.</w:t>
            </w:r>
          </w:p>
          <w:p w:rsidR="0079633A" w:rsidRPr="003A3602" w:rsidRDefault="0079633A" w:rsidP="005D18B1">
            <w:pPr>
              <w:jc w:val="both"/>
              <w:rPr>
                <w:rFonts w:ascii="Arial" w:hAnsi="Arial" w:cs="Arial"/>
                <w:sz w:val="20"/>
                <w:szCs w:val="20"/>
                <w:lang w:eastAsia="en-GB"/>
              </w:rPr>
            </w:pPr>
            <w:r w:rsidRPr="006945D0">
              <w:rPr>
                <w:rFonts w:ascii="Arial" w:hAnsi="Arial" w:cs="Arial"/>
                <w:sz w:val="20"/>
                <w:szCs w:val="20"/>
                <w:lang w:eastAsia="en-GB"/>
              </w:rPr>
              <w:t>Uvedené znamená, že súlad žiadostí o NFP s hodnotiacimi kritériami, schválenými Monitorovacím výborom pre OP ŽP, budú na vybranej vzorke žiadostí o NFP posudzovať z rovnakého hľadiska nezávisle od seba dvaja odborní hodnotitelia, pričom RO  zároveň zachová doteraz uplatňované pravidl</w:t>
            </w:r>
            <w:r w:rsidR="007866C6">
              <w:rPr>
                <w:rFonts w:ascii="Arial" w:hAnsi="Arial" w:cs="Arial"/>
                <w:sz w:val="20"/>
                <w:szCs w:val="20"/>
                <w:lang w:eastAsia="en-GB"/>
              </w:rPr>
              <w:t>a</w:t>
            </w:r>
            <w:r w:rsidRPr="006945D0">
              <w:rPr>
                <w:rFonts w:ascii="Arial" w:hAnsi="Arial" w:cs="Arial"/>
                <w:sz w:val="20"/>
                <w:szCs w:val="20"/>
                <w:lang w:eastAsia="en-GB"/>
              </w:rPr>
              <w:t xml:space="preserve"> kontroly 4 očí. V zmysle uvedeného bola vykonaná úprava príslušnej riadiacej dokumentácie.</w:t>
            </w:r>
          </w:p>
        </w:tc>
      </w:tr>
      <w:tr w:rsidR="0079633A" w:rsidRPr="00F343D9" w:rsidTr="003A3602">
        <w:trPr>
          <w:trHeight w:val="20"/>
          <w:jc w:val="center"/>
        </w:trPr>
        <w:tc>
          <w:tcPr>
            <w:tcW w:w="2863" w:type="dxa"/>
            <w:vAlign w:val="center"/>
          </w:tcPr>
          <w:p w:rsidR="0079633A" w:rsidRPr="00F343D9" w:rsidRDefault="0079633A" w:rsidP="005D18B1">
            <w:pPr>
              <w:jc w:val="both"/>
              <w:rPr>
                <w:rFonts w:ascii="Arial" w:hAnsi="Arial" w:cs="Arial"/>
                <w:sz w:val="20"/>
                <w:szCs w:val="20"/>
                <w:lang w:eastAsia="en-GB"/>
              </w:rPr>
            </w:pPr>
            <w:r w:rsidRPr="006945D0">
              <w:rPr>
                <w:rFonts w:ascii="Arial" w:hAnsi="Arial" w:cs="Arial"/>
                <w:sz w:val="20"/>
                <w:szCs w:val="20"/>
                <w:lang w:eastAsia="en-GB"/>
              </w:rPr>
              <w:t>Pokračovať v hodnotení zlepšení v rámci procedúr a systémov vykonaných na základe opatrení prijatých zo strany riadiacich orgánov v súvislosti  s prerušením lehoty pre platby, alebo pozastavením platieb v rámci OP Doprava, OP Životné prostredie a OP Informačná spoločnosť</w:t>
            </w:r>
          </w:p>
        </w:tc>
        <w:tc>
          <w:tcPr>
            <w:tcW w:w="1320" w:type="dxa"/>
            <w:vAlign w:val="center"/>
          </w:tcPr>
          <w:p w:rsidR="0079633A" w:rsidRPr="00F343D9" w:rsidRDefault="0079633A" w:rsidP="005D18B1">
            <w:pPr>
              <w:rPr>
                <w:rFonts w:ascii="Arial" w:hAnsi="Arial" w:cs="Arial"/>
                <w:sz w:val="20"/>
                <w:szCs w:val="20"/>
                <w:lang w:eastAsia="en-GB"/>
              </w:rPr>
            </w:pPr>
            <w:r>
              <w:rPr>
                <w:rFonts w:ascii="Arial" w:hAnsi="Arial" w:cs="Arial"/>
                <w:sz w:val="20"/>
                <w:szCs w:val="20"/>
                <w:lang w:eastAsia="en-GB"/>
              </w:rPr>
              <w:t>priebežne</w:t>
            </w:r>
          </w:p>
        </w:tc>
        <w:tc>
          <w:tcPr>
            <w:tcW w:w="5076" w:type="dxa"/>
            <w:vAlign w:val="center"/>
          </w:tcPr>
          <w:p w:rsidR="0079633A" w:rsidRPr="006945D0" w:rsidRDefault="0079633A" w:rsidP="005D18B1">
            <w:pPr>
              <w:jc w:val="both"/>
              <w:rPr>
                <w:rFonts w:ascii="Arial" w:hAnsi="Arial" w:cs="Arial"/>
                <w:sz w:val="20"/>
                <w:szCs w:val="20"/>
                <w:lang w:eastAsia="en-GB"/>
              </w:rPr>
            </w:pPr>
            <w:r w:rsidRPr="006945D0">
              <w:rPr>
                <w:rFonts w:ascii="Arial" w:hAnsi="Arial" w:cs="Arial"/>
                <w:sz w:val="20"/>
                <w:szCs w:val="20"/>
                <w:lang w:eastAsia="en-GB"/>
              </w:rPr>
              <w:t>Zo strany RO  boli vo vzťahu ku kľúčovým oblastiach, v rámci ktorých boli auditnými orgánmi vznesené pochybnosti o ich spoľahlivosti, prijaté potrebné nápravné opatrenia a vykonané všetky činnosti komunikované s EK. Tieto zahŕňajú:</w:t>
            </w:r>
          </w:p>
          <w:p w:rsidR="0079633A" w:rsidRPr="006945D0" w:rsidRDefault="0079633A" w:rsidP="005D18B1">
            <w:pPr>
              <w:jc w:val="both"/>
              <w:rPr>
                <w:rFonts w:ascii="Arial" w:hAnsi="Arial" w:cs="Arial"/>
                <w:sz w:val="20"/>
                <w:szCs w:val="20"/>
                <w:lang w:eastAsia="en-GB"/>
              </w:rPr>
            </w:pPr>
            <w:r w:rsidRPr="006945D0">
              <w:rPr>
                <w:rFonts w:ascii="Arial" w:hAnsi="Arial" w:cs="Arial"/>
                <w:sz w:val="20"/>
                <w:szCs w:val="20"/>
                <w:lang w:eastAsia="en-GB"/>
              </w:rPr>
              <w:t>1.</w:t>
            </w:r>
            <w:r w:rsidRPr="006945D0">
              <w:rPr>
                <w:rFonts w:ascii="Arial" w:hAnsi="Arial" w:cs="Arial"/>
                <w:sz w:val="20"/>
                <w:szCs w:val="20"/>
                <w:lang w:eastAsia="en-GB"/>
              </w:rPr>
              <w:tab/>
              <w:t xml:space="preserve"> Nápravné opatrenia prijaté za účelom odstránenia zistení identifikovaných príslušnými auditmi a príčin ich vzniku (o všetkých prijatých opatreniach bola v stanovenej lehote podrobne informovaná EK, ako aj všetky príslušné národné orgány);</w:t>
            </w:r>
          </w:p>
          <w:p w:rsidR="0079633A" w:rsidRPr="006945D0" w:rsidRDefault="0079633A" w:rsidP="005D18B1">
            <w:pPr>
              <w:jc w:val="both"/>
              <w:rPr>
                <w:rFonts w:ascii="Arial" w:hAnsi="Arial" w:cs="Arial"/>
                <w:sz w:val="20"/>
                <w:szCs w:val="20"/>
                <w:lang w:eastAsia="en-GB"/>
              </w:rPr>
            </w:pPr>
            <w:r w:rsidRPr="006945D0">
              <w:rPr>
                <w:rFonts w:ascii="Arial" w:hAnsi="Arial" w:cs="Arial"/>
                <w:sz w:val="20"/>
                <w:szCs w:val="20"/>
                <w:lang w:eastAsia="en-GB"/>
              </w:rPr>
              <w:t>2.</w:t>
            </w:r>
            <w:r w:rsidRPr="006945D0">
              <w:rPr>
                <w:rFonts w:ascii="Arial" w:hAnsi="Arial" w:cs="Arial"/>
                <w:sz w:val="20"/>
                <w:szCs w:val="20"/>
                <w:lang w:eastAsia="en-GB"/>
              </w:rPr>
              <w:tab/>
              <w:t xml:space="preserve"> </w:t>
            </w:r>
            <w:r>
              <w:rPr>
                <w:rFonts w:ascii="Arial" w:hAnsi="Arial" w:cs="Arial"/>
                <w:sz w:val="20"/>
                <w:szCs w:val="20"/>
                <w:lang w:eastAsia="en-GB"/>
              </w:rPr>
              <w:t>Č</w:t>
            </w:r>
            <w:r w:rsidRPr="006945D0">
              <w:rPr>
                <w:rFonts w:ascii="Arial" w:hAnsi="Arial" w:cs="Arial"/>
                <w:sz w:val="20"/>
                <w:szCs w:val="20"/>
                <w:lang w:eastAsia="en-GB"/>
              </w:rPr>
              <w:t>innosti zamerané na preukázanie správnosti, funkčnosti, spoľahlivosti a transparentnosti vybraných procesov systému riadenia a kontroly v rámci OP ŽP, ktoré boli príslušnými auditmi identifikované ako problematické.  V tejto súvislosti bolo zo strany RO vykonané:</w:t>
            </w:r>
          </w:p>
          <w:p w:rsidR="0079633A" w:rsidRPr="006945D0" w:rsidRDefault="0079633A" w:rsidP="005D18B1">
            <w:pPr>
              <w:jc w:val="both"/>
              <w:rPr>
                <w:rFonts w:ascii="Arial" w:hAnsi="Arial" w:cs="Arial"/>
                <w:sz w:val="20"/>
                <w:szCs w:val="20"/>
                <w:lang w:eastAsia="en-GB"/>
              </w:rPr>
            </w:pPr>
            <w:r w:rsidRPr="006945D0">
              <w:rPr>
                <w:rFonts w:ascii="Arial" w:hAnsi="Arial" w:cs="Arial"/>
                <w:sz w:val="20"/>
                <w:szCs w:val="20"/>
                <w:lang w:eastAsia="en-GB"/>
              </w:rPr>
              <w:t>-</w:t>
            </w:r>
            <w:r w:rsidRPr="006945D0">
              <w:rPr>
                <w:rFonts w:ascii="Arial" w:hAnsi="Arial" w:cs="Arial"/>
                <w:sz w:val="20"/>
                <w:szCs w:val="20"/>
                <w:lang w:eastAsia="en-GB"/>
              </w:rPr>
              <w:tab/>
              <w:t>spätné overenie vykonaného odborného hodnotenia projektov;</w:t>
            </w:r>
          </w:p>
          <w:p w:rsidR="0079633A" w:rsidRPr="006945D0" w:rsidRDefault="0079633A" w:rsidP="005D18B1">
            <w:pPr>
              <w:jc w:val="both"/>
              <w:rPr>
                <w:rFonts w:ascii="Arial" w:hAnsi="Arial" w:cs="Arial"/>
                <w:sz w:val="20"/>
                <w:szCs w:val="20"/>
                <w:lang w:eastAsia="en-GB"/>
              </w:rPr>
            </w:pPr>
            <w:r w:rsidRPr="006945D0">
              <w:rPr>
                <w:rFonts w:ascii="Arial" w:hAnsi="Arial" w:cs="Arial"/>
                <w:sz w:val="20"/>
                <w:szCs w:val="20"/>
                <w:lang w:eastAsia="en-GB"/>
              </w:rPr>
              <w:t>-</w:t>
            </w:r>
            <w:r w:rsidRPr="006945D0">
              <w:rPr>
                <w:rFonts w:ascii="Arial" w:hAnsi="Arial" w:cs="Arial"/>
                <w:sz w:val="20"/>
                <w:szCs w:val="20"/>
                <w:lang w:eastAsia="en-GB"/>
              </w:rPr>
              <w:tab/>
              <w:t>spätné overenie vykonaných kontrol projektov na mieste;</w:t>
            </w:r>
          </w:p>
          <w:p w:rsidR="0079633A" w:rsidRPr="006945D0" w:rsidRDefault="0079633A" w:rsidP="005D18B1">
            <w:pPr>
              <w:jc w:val="both"/>
              <w:rPr>
                <w:rFonts w:ascii="Arial" w:hAnsi="Arial" w:cs="Arial"/>
                <w:sz w:val="20"/>
                <w:szCs w:val="20"/>
                <w:lang w:eastAsia="en-GB"/>
              </w:rPr>
            </w:pPr>
            <w:r w:rsidRPr="006945D0">
              <w:rPr>
                <w:rFonts w:ascii="Arial" w:hAnsi="Arial" w:cs="Arial"/>
                <w:sz w:val="20"/>
                <w:szCs w:val="20"/>
                <w:lang w:eastAsia="en-GB"/>
              </w:rPr>
              <w:t>-</w:t>
            </w:r>
            <w:r w:rsidRPr="006945D0">
              <w:rPr>
                <w:rFonts w:ascii="Arial" w:hAnsi="Arial" w:cs="Arial"/>
                <w:sz w:val="20"/>
                <w:szCs w:val="20"/>
                <w:lang w:eastAsia="en-GB"/>
              </w:rPr>
              <w:tab/>
              <w:t>spätné overenie vykonaných kontrol verejného obstarávania.</w:t>
            </w:r>
          </w:p>
          <w:p w:rsidR="0079633A" w:rsidRPr="006945D0" w:rsidRDefault="0079633A" w:rsidP="005D18B1">
            <w:pPr>
              <w:jc w:val="both"/>
              <w:rPr>
                <w:rFonts w:ascii="Arial" w:hAnsi="Arial" w:cs="Arial"/>
                <w:sz w:val="20"/>
                <w:szCs w:val="20"/>
                <w:lang w:eastAsia="en-GB"/>
              </w:rPr>
            </w:pPr>
            <w:r w:rsidRPr="006945D0">
              <w:rPr>
                <w:rFonts w:ascii="Arial" w:hAnsi="Arial" w:cs="Arial"/>
                <w:sz w:val="20"/>
                <w:szCs w:val="20"/>
                <w:lang w:eastAsia="en-GB"/>
              </w:rPr>
              <w:t>Spätným overením vykonaného odborného hodnotenia a vykonaných kontrol na mieste bola potvrdená správnosť funkčnosť, spoľahlivosť a transparentnosť nastavenia a vykonávania týchto procesov zo strany RO  z pohľadu dodržiavania relevantných legislatívnych požiadaviek a pravidiel.</w:t>
            </w:r>
          </w:p>
          <w:p w:rsidR="0079633A" w:rsidRPr="006945D0" w:rsidRDefault="0079633A" w:rsidP="005D18B1">
            <w:pPr>
              <w:jc w:val="both"/>
              <w:rPr>
                <w:rFonts w:ascii="Arial" w:hAnsi="Arial" w:cs="Arial"/>
                <w:sz w:val="20"/>
                <w:szCs w:val="20"/>
                <w:lang w:eastAsia="en-GB"/>
              </w:rPr>
            </w:pPr>
            <w:r w:rsidRPr="006945D0">
              <w:rPr>
                <w:rFonts w:ascii="Arial" w:hAnsi="Arial" w:cs="Arial"/>
                <w:sz w:val="20"/>
                <w:szCs w:val="20"/>
                <w:lang w:eastAsia="en-GB"/>
              </w:rPr>
              <w:t>Z vybraných procesov, ktoré boli príslušnými auditmi identifikované ako problematické, boli nedostatky identifikované (preukázané) iba v oblasti kontroly verejného obstarávania. Vo vzťahu k týmto zisteniam bude aplikovaná finančná korekcia pre OP ŽP.</w:t>
            </w:r>
          </w:p>
          <w:p w:rsidR="0079633A" w:rsidRPr="006945D0" w:rsidRDefault="0079633A" w:rsidP="005D18B1">
            <w:pPr>
              <w:jc w:val="both"/>
              <w:rPr>
                <w:rFonts w:ascii="Arial" w:hAnsi="Arial" w:cs="Arial"/>
                <w:sz w:val="20"/>
                <w:szCs w:val="20"/>
                <w:lang w:eastAsia="en-GB"/>
              </w:rPr>
            </w:pPr>
            <w:r w:rsidRPr="006945D0">
              <w:rPr>
                <w:rFonts w:ascii="Arial" w:hAnsi="Arial" w:cs="Arial"/>
                <w:sz w:val="20"/>
                <w:szCs w:val="20"/>
                <w:lang w:eastAsia="en-GB"/>
              </w:rPr>
              <w:t xml:space="preserve">V nadväznosti na uvedené ma RO pre OP ŽP za to, že boli prijaté všetky nápravné opatrenia na odstránenie príčin </w:t>
            </w:r>
            <w:r w:rsidR="003F238E">
              <w:rPr>
                <w:rFonts w:ascii="Arial" w:hAnsi="Arial" w:cs="Arial"/>
                <w:sz w:val="20"/>
                <w:szCs w:val="20"/>
                <w:lang w:eastAsia="en-GB"/>
              </w:rPr>
              <w:t xml:space="preserve">ich </w:t>
            </w:r>
            <w:r w:rsidRPr="006945D0">
              <w:rPr>
                <w:rFonts w:ascii="Arial" w:hAnsi="Arial" w:cs="Arial"/>
                <w:sz w:val="20"/>
                <w:szCs w:val="20"/>
                <w:lang w:eastAsia="en-GB"/>
              </w:rPr>
              <w:t>vzniku identifikovaných nedostatkov tak, aby bolo zabezpečené, že všetky v budúcnosti deklarované výdavky na EK budú vychádzať zo spoľahlivého systému riadenia a kontroly OP ŽP a budú očistené o hodnotu finančnej korekcie aplikovanej vo vzťahu k identifikovaným nedostatkom.</w:t>
            </w:r>
          </w:p>
          <w:p w:rsidR="0079633A" w:rsidRPr="006945D0" w:rsidRDefault="0079633A" w:rsidP="005D18B1">
            <w:pPr>
              <w:jc w:val="both"/>
              <w:rPr>
                <w:rFonts w:ascii="Arial" w:hAnsi="Arial" w:cs="Arial"/>
                <w:sz w:val="20"/>
                <w:szCs w:val="20"/>
                <w:lang w:eastAsia="en-GB"/>
              </w:rPr>
            </w:pPr>
            <w:r w:rsidRPr="006945D0">
              <w:rPr>
                <w:rFonts w:ascii="Arial" w:hAnsi="Arial" w:cs="Arial"/>
                <w:sz w:val="20"/>
                <w:szCs w:val="20"/>
                <w:lang w:eastAsia="en-GB"/>
              </w:rPr>
              <w:t xml:space="preserve">EK listom zo dňa 28.06.2012 informovala príslušné slovenské orgány o ukončení prerušenia lehoty na preplatenie žiadostí o platbu na OP ŽP podľa článku 91 nariadenia Rady (ES) č. 1083/2006 a zároveň o ukončení postupu na pozastavenie platieb v zmysle článku 92 všeobecného nariadenia po splnení 4 stanovených podmienok. </w:t>
            </w:r>
          </w:p>
          <w:p w:rsidR="0079633A" w:rsidRPr="006945D0" w:rsidRDefault="0079633A" w:rsidP="005D18B1">
            <w:pPr>
              <w:jc w:val="both"/>
              <w:rPr>
                <w:rFonts w:ascii="Arial" w:hAnsi="Arial" w:cs="Arial"/>
                <w:sz w:val="20"/>
                <w:szCs w:val="20"/>
                <w:lang w:eastAsia="en-GB"/>
              </w:rPr>
            </w:pPr>
            <w:r w:rsidRPr="006945D0">
              <w:rPr>
                <w:rFonts w:ascii="Arial" w:hAnsi="Arial" w:cs="Arial"/>
                <w:sz w:val="20"/>
                <w:szCs w:val="20"/>
                <w:lang w:eastAsia="en-GB"/>
              </w:rPr>
              <w:t>V uvedenom liste EK zároveň potvrdila, že všetky požadované činnosti a nápravné opatrenia, vrátane uplatnenia paušálnej korekcie vo výške 7,3</w:t>
            </w:r>
            <w:r w:rsidR="003F238E">
              <w:rPr>
                <w:rFonts w:ascii="Arial" w:hAnsi="Arial" w:cs="Arial"/>
                <w:sz w:val="20"/>
                <w:szCs w:val="20"/>
                <w:lang w:eastAsia="en-GB"/>
              </w:rPr>
              <w:t>0</w:t>
            </w:r>
            <w:r w:rsidRPr="006945D0">
              <w:rPr>
                <w:rFonts w:ascii="Arial" w:hAnsi="Arial" w:cs="Arial"/>
                <w:sz w:val="20"/>
                <w:szCs w:val="20"/>
                <w:lang w:eastAsia="en-GB"/>
              </w:rPr>
              <w:t xml:space="preserve">% (vyplývajúcej z výsledkov spätného overenia verejného obstarávania na vzorke zákaziek), obsiahnuté v  listoch EK z 15.07.2011 ohľadom prerušenia lehoty pre platby na OP ŽP a následne  z 22.12.2012 ohľadom uplatnenia postupu na pozastavenie platieb na OP ŽP, boli  zo  strany  RO  pre  OP ŽP  a v súčinnosti s Orgánom auditu plne implementované. </w:t>
            </w:r>
          </w:p>
          <w:p w:rsidR="0079633A" w:rsidRDefault="0079633A" w:rsidP="005D18B1">
            <w:pPr>
              <w:jc w:val="both"/>
              <w:rPr>
                <w:rFonts w:ascii="Arial" w:hAnsi="Arial" w:cs="Arial"/>
                <w:sz w:val="20"/>
                <w:szCs w:val="20"/>
                <w:lang w:eastAsia="en-GB"/>
              </w:rPr>
            </w:pPr>
            <w:r w:rsidRPr="006945D0">
              <w:rPr>
                <w:rFonts w:ascii="Arial" w:hAnsi="Arial" w:cs="Arial"/>
                <w:sz w:val="20"/>
                <w:szCs w:val="20"/>
                <w:lang w:eastAsia="en-GB"/>
              </w:rPr>
              <w:t>Na základe písomného potvrdenia splnenia vyššie spomenutých 4 podmienok zo strany RO pre OP ŽP EK listom zo dňa 28.</w:t>
            </w:r>
            <w:r w:rsidR="003F238E">
              <w:rPr>
                <w:rFonts w:ascii="Arial" w:hAnsi="Arial" w:cs="Arial"/>
                <w:sz w:val="20"/>
                <w:szCs w:val="20"/>
                <w:lang w:eastAsia="en-GB"/>
              </w:rPr>
              <w:t>0</w:t>
            </w:r>
            <w:r w:rsidRPr="006945D0">
              <w:rPr>
                <w:rFonts w:ascii="Arial" w:hAnsi="Arial" w:cs="Arial"/>
                <w:sz w:val="20"/>
                <w:szCs w:val="20"/>
                <w:lang w:eastAsia="en-GB"/>
              </w:rPr>
              <w:t>9.2012 informovala príslušné slovenské orgány o finálnom ukončení vyššie uvedených procedúr podľa čl. 91 a 92 všeobecného nariadenia.</w:t>
            </w:r>
          </w:p>
        </w:tc>
      </w:tr>
      <w:tr w:rsidR="0079633A" w:rsidRPr="00F343D9" w:rsidTr="003A3602">
        <w:trPr>
          <w:trHeight w:val="20"/>
          <w:jc w:val="center"/>
        </w:trPr>
        <w:tc>
          <w:tcPr>
            <w:tcW w:w="9259" w:type="dxa"/>
            <w:gridSpan w:val="3"/>
            <w:shd w:val="clear" w:color="auto" w:fill="D6E3BC"/>
            <w:vAlign w:val="center"/>
          </w:tcPr>
          <w:p w:rsidR="0079633A" w:rsidRPr="00F343D9" w:rsidRDefault="0079633A" w:rsidP="005D18B1">
            <w:pPr>
              <w:rPr>
                <w:b/>
                <w:lang w:eastAsia="en-GB"/>
              </w:rPr>
            </w:pPr>
            <w:r w:rsidRPr="00F343D9">
              <w:rPr>
                <w:rFonts w:ascii="Arial" w:hAnsi="Arial" w:cs="Arial"/>
                <w:b/>
                <w:sz w:val="20"/>
                <w:szCs w:val="20"/>
                <w:lang w:eastAsia="en-GB"/>
              </w:rPr>
              <w:t>3.   MARGINALIZOVANÉ RÓMSKE KOMUNITY</w:t>
            </w:r>
          </w:p>
        </w:tc>
      </w:tr>
      <w:tr w:rsidR="0079633A" w:rsidRPr="00F343D9" w:rsidTr="003A3602">
        <w:trPr>
          <w:trHeight w:val="20"/>
          <w:jc w:val="center"/>
        </w:trPr>
        <w:tc>
          <w:tcPr>
            <w:tcW w:w="2863" w:type="dxa"/>
            <w:shd w:val="clear" w:color="auto" w:fill="EAF1DD"/>
            <w:vAlign w:val="center"/>
          </w:tcPr>
          <w:p w:rsidR="0079633A" w:rsidRPr="00F343D9" w:rsidRDefault="0079633A" w:rsidP="005D18B1">
            <w:pPr>
              <w:rPr>
                <w:rFonts w:ascii="Arial" w:hAnsi="Arial" w:cs="Arial"/>
                <w:b/>
                <w:sz w:val="20"/>
                <w:szCs w:val="20"/>
                <w:lang w:eastAsia="en-GB"/>
              </w:rPr>
            </w:pPr>
            <w:r w:rsidRPr="00F343D9">
              <w:rPr>
                <w:rFonts w:ascii="Arial" w:hAnsi="Arial" w:cs="Arial"/>
                <w:b/>
                <w:sz w:val="20"/>
                <w:szCs w:val="20"/>
                <w:lang w:eastAsia="en-GB"/>
              </w:rPr>
              <w:t>Úloha</w:t>
            </w:r>
          </w:p>
        </w:tc>
        <w:tc>
          <w:tcPr>
            <w:tcW w:w="1320" w:type="dxa"/>
            <w:shd w:val="clear" w:color="auto" w:fill="EAF1DD"/>
            <w:vAlign w:val="center"/>
          </w:tcPr>
          <w:p w:rsidR="0079633A" w:rsidRPr="00F343D9" w:rsidRDefault="0079633A" w:rsidP="005D18B1">
            <w:pPr>
              <w:rPr>
                <w:rFonts w:ascii="Arial" w:hAnsi="Arial" w:cs="Arial"/>
                <w:b/>
                <w:sz w:val="20"/>
                <w:szCs w:val="20"/>
                <w:lang w:eastAsia="en-GB"/>
              </w:rPr>
            </w:pPr>
            <w:r w:rsidRPr="00F343D9">
              <w:rPr>
                <w:rFonts w:ascii="Arial" w:hAnsi="Arial" w:cs="Arial"/>
                <w:b/>
                <w:sz w:val="20"/>
                <w:szCs w:val="20"/>
                <w:lang w:eastAsia="en-GB"/>
              </w:rPr>
              <w:t>Termín splnenia</w:t>
            </w:r>
          </w:p>
        </w:tc>
        <w:tc>
          <w:tcPr>
            <w:tcW w:w="5076" w:type="dxa"/>
            <w:shd w:val="clear" w:color="auto" w:fill="EAF1DD"/>
            <w:vAlign w:val="center"/>
          </w:tcPr>
          <w:p w:rsidR="0079633A" w:rsidRPr="00F343D9" w:rsidRDefault="0079633A" w:rsidP="005D18B1">
            <w:pPr>
              <w:jc w:val="both"/>
              <w:rPr>
                <w:rFonts w:ascii="Arial" w:hAnsi="Arial" w:cs="Arial"/>
                <w:b/>
                <w:sz w:val="20"/>
                <w:szCs w:val="20"/>
                <w:lang w:eastAsia="en-GB"/>
              </w:rPr>
            </w:pPr>
            <w:r w:rsidRPr="00F343D9">
              <w:rPr>
                <w:rFonts w:ascii="Arial" w:hAnsi="Arial" w:cs="Arial"/>
                <w:b/>
                <w:sz w:val="20"/>
                <w:szCs w:val="20"/>
                <w:lang w:eastAsia="en-GB"/>
              </w:rPr>
              <w:t>Stav a výsledky plnenia</w:t>
            </w:r>
          </w:p>
        </w:tc>
      </w:tr>
      <w:tr w:rsidR="0079633A" w:rsidRPr="00F343D9" w:rsidTr="003A3602">
        <w:trPr>
          <w:trHeight w:val="20"/>
          <w:jc w:val="center"/>
        </w:trPr>
        <w:tc>
          <w:tcPr>
            <w:tcW w:w="2863" w:type="dxa"/>
          </w:tcPr>
          <w:p w:rsidR="0079633A" w:rsidRPr="006945D0" w:rsidRDefault="0079633A" w:rsidP="005D18B1">
            <w:pPr>
              <w:jc w:val="both"/>
              <w:rPr>
                <w:rFonts w:ascii="Arial" w:hAnsi="Arial" w:cs="Arial"/>
                <w:sz w:val="20"/>
                <w:szCs w:val="20"/>
                <w:lang w:eastAsia="en-GB"/>
              </w:rPr>
            </w:pPr>
            <w:r w:rsidRPr="006945D0">
              <w:rPr>
                <w:rFonts w:ascii="Arial" w:hAnsi="Arial" w:cs="Arial"/>
                <w:sz w:val="20"/>
                <w:szCs w:val="20"/>
                <w:lang w:eastAsia="en-GB"/>
              </w:rPr>
              <w:t>Zabezpečiť výber a implementáciu projektov dobrej kvality s reálnym dopadom (na cieľovú skupinu)</w:t>
            </w:r>
          </w:p>
        </w:tc>
        <w:tc>
          <w:tcPr>
            <w:tcW w:w="1320" w:type="dxa"/>
            <w:vAlign w:val="center"/>
          </w:tcPr>
          <w:p w:rsidR="0079633A" w:rsidRPr="00F343D9" w:rsidRDefault="0079633A" w:rsidP="005D18B1">
            <w:pPr>
              <w:rPr>
                <w:rFonts w:ascii="Arial" w:hAnsi="Arial" w:cs="Arial"/>
                <w:sz w:val="20"/>
                <w:szCs w:val="20"/>
                <w:lang w:eastAsia="en-GB"/>
              </w:rPr>
            </w:pPr>
            <w:r w:rsidRPr="00F343D9">
              <w:rPr>
                <w:rFonts w:ascii="Arial" w:hAnsi="Arial" w:cs="Arial"/>
                <w:sz w:val="20"/>
                <w:szCs w:val="20"/>
                <w:lang w:eastAsia="en-GB"/>
              </w:rPr>
              <w:t>priebežne</w:t>
            </w:r>
          </w:p>
          <w:p w:rsidR="0079633A" w:rsidRPr="00F343D9" w:rsidRDefault="0079633A" w:rsidP="005D18B1">
            <w:pPr>
              <w:rPr>
                <w:lang w:eastAsia="en-GB"/>
              </w:rPr>
            </w:pPr>
          </w:p>
        </w:tc>
        <w:tc>
          <w:tcPr>
            <w:tcW w:w="5076" w:type="dxa"/>
          </w:tcPr>
          <w:p w:rsidR="0079633A" w:rsidRPr="00F96620" w:rsidRDefault="0079633A" w:rsidP="005D18B1">
            <w:pPr>
              <w:jc w:val="both"/>
              <w:rPr>
                <w:rFonts w:ascii="Arial" w:hAnsi="Arial" w:cs="Arial"/>
                <w:sz w:val="20"/>
                <w:szCs w:val="20"/>
                <w:lang w:eastAsia="en-GB"/>
              </w:rPr>
            </w:pPr>
            <w:r w:rsidRPr="00F96620">
              <w:rPr>
                <w:rFonts w:ascii="Arial" w:hAnsi="Arial" w:cs="Arial"/>
                <w:sz w:val="20"/>
                <w:szCs w:val="20"/>
                <w:lang w:eastAsia="en-GB"/>
              </w:rPr>
              <w:t xml:space="preserve">Výzva zameraná na aktivity oprávnené na financovanie z OP ŽP, prioritnej osi 4, operačných cieľov 4.1 a 4.2, ktoré tvoria súčasť schválenej žiadosti o poskytnutie podpory LSKxP, s alokáciou 15 000 000 EUR bola  vyhlásená </w:t>
            </w:r>
            <w:r>
              <w:rPr>
                <w:rFonts w:ascii="Arial" w:hAnsi="Arial" w:cs="Arial"/>
                <w:sz w:val="20"/>
                <w:szCs w:val="20"/>
                <w:lang w:eastAsia="en-GB"/>
              </w:rPr>
              <w:t xml:space="preserve">ešte </w:t>
            </w:r>
            <w:r w:rsidRPr="00F96620">
              <w:rPr>
                <w:rFonts w:ascii="Arial" w:hAnsi="Arial" w:cs="Arial"/>
                <w:sz w:val="20"/>
                <w:szCs w:val="20"/>
                <w:lang w:eastAsia="en-GB"/>
              </w:rPr>
              <w:t>22.</w:t>
            </w:r>
            <w:r>
              <w:rPr>
                <w:rFonts w:ascii="Arial" w:hAnsi="Arial" w:cs="Arial"/>
                <w:sz w:val="20"/>
                <w:szCs w:val="20"/>
                <w:lang w:eastAsia="en-GB"/>
              </w:rPr>
              <w:t xml:space="preserve"> 12.</w:t>
            </w:r>
            <w:r w:rsidRPr="00F96620">
              <w:rPr>
                <w:rFonts w:ascii="Arial" w:hAnsi="Arial" w:cs="Arial"/>
                <w:sz w:val="20"/>
                <w:szCs w:val="20"/>
                <w:lang w:eastAsia="en-GB"/>
              </w:rPr>
              <w:t xml:space="preserve"> 2011</w:t>
            </w:r>
            <w:r>
              <w:rPr>
                <w:rFonts w:ascii="Arial" w:hAnsi="Arial" w:cs="Arial"/>
                <w:sz w:val="20"/>
                <w:szCs w:val="20"/>
                <w:lang w:eastAsia="en-GB"/>
              </w:rPr>
              <w:t>, pričom p</w:t>
            </w:r>
            <w:r w:rsidRPr="00F96620">
              <w:rPr>
                <w:rFonts w:ascii="Arial" w:hAnsi="Arial" w:cs="Arial"/>
                <w:sz w:val="20"/>
                <w:szCs w:val="20"/>
                <w:lang w:eastAsia="en-GB"/>
              </w:rPr>
              <w:t>redložených bolo 27 žiadostí</w:t>
            </w:r>
            <w:r>
              <w:rPr>
                <w:rFonts w:ascii="Arial" w:hAnsi="Arial" w:cs="Arial"/>
                <w:sz w:val="20"/>
                <w:szCs w:val="20"/>
                <w:lang w:eastAsia="en-GB"/>
              </w:rPr>
              <w:t xml:space="preserve">. </w:t>
            </w:r>
            <w:r w:rsidRPr="00F96620">
              <w:rPr>
                <w:rFonts w:ascii="Arial" w:hAnsi="Arial" w:cs="Arial"/>
                <w:sz w:val="20"/>
                <w:szCs w:val="20"/>
                <w:lang w:eastAsia="en-GB"/>
              </w:rPr>
              <w:t>Dobrá kvalita projektov a ich reálny dopad na Rómske komunity je zabezpečená výberom vhodných Lokálnych stratégií komplexného prístupu, ktorý uskutočnil kordinátor HP MRK. Začiatkom roka 2012 RO  spolupracoval s koordinátorom HP MRK pri hodnotení žiadostí o doplnenie Lokálnych stratégií komplexného prístupu. Všetky aktivity zo žiadostí o NFP predložených na základe výzvy s relevanciou k Lokálnym stratégiám komplexného prístupu, vyhlásenej pre prioritnú os 4, operačné ciele 4.1 a 4.2, musia byť totožné s aktivitami zo schválených Lokál</w:t>
            </w:r>
            <w:r>
              <w:rPr>
                <w:rFonts w:ascii="Arial" w:hAnsi="Arial" w:cs="Arial"/>
                <w:sz w:val="20"/>
                <w:szCs w:val="20"/>
                <w:lang w:eastAsia="en-GB"/>
              </w:rPr>
              <w:t>n</w:t>
            </w:r>
            <w:r w:rsidRPr="00F96620">
              <w:rPr>
                <w:rFonts w:ascii="Arial" w:hAnsi="Arial" w:cs="Arial"/>
                <w:sz w:val="20"/>
                <w:szCs w:val="20"/>
                <w:lang w:eastAsia="en-GB"/>
              </w:rPr>
              <w:t>ych stratégií komplexného prístupu.</w:t>
            </w:r>
            <w:r>
              <w:rPr>
                <w:rFonts w:ascii="Arial" w:hAnsi="Arial" w:cs="Arial"/>
                <w:sz w:val="20"/>
                <w:szCs w:val="20"/>
                <w:lang w:eastAsia="en-GB"/>
              </w:rPr>
              <w:t xml:space="preserve"> Počas hodnotenia </w:t>
            </w:r>
            <w:r w:rsidRPr="00F96620">
              <w:rPr>
                <w:rFonts w:ascii="Arial" w:hAnsi="Arial" w:cs="Arial"/>
                <w:sz w:val="20"/>
                <w:szCs w:val="20"/>
                <w:lang w:eastAsia="en-GB"/>
              </w:rPr>
              <w:t>až 24 žiadostí o NFP nesplnilo podmienky výzvy.</w:t>
            </w:r>
          </w:p>
        </w:tc>
      </w:tr>
      <w:tr w:rsidR="0079633A" w:rsidRPr="00F343D9" w:rsidTr="003A3602">
        <w:trPr>
          <w:trHeight w:val="20"/>
          <w:jc w:val="center"/>
        </w:trPr>
        <w:tc>
          <w:tcPr>
            <w:tcW w:w="2863" w:type="dxa"/>
          </w:tcPr>
          <w:p w:rsidR="0079633A" w:rsidRPr="00F343D9" w:rsidRDefault="0079633A" w:rsidP="005D18B1">
            <w:pPr>
              <w:jc w:val="both"/>
              <w:rPr>
                <w:rFonts w:ascii="Arial" w:hAnsi="Arial" w:cs="Arial"/>
                <w:sz w:val="20"/>
                <w:szCs w:val="20"/>
                <w:lang w:eastAsia="en-GB"/>
              </w:rPr>
            </w:pPr>
            <w:r w:rsidRPr="00F96620">
              <w:rPr>
                <w:rFonts w:ascii="Arial" w:hAnsi="Arial" w:cs="Arial"/>
                <w:sz w:val="20"/>
                <w:szCs w:val="20"/>
                <w:lang w:eastAsia="en-GB"/>
              </w:rPr>
              <w:t>Pripraviť podrobnejší strategický plán s úlohami smerujúcimi k zabezpečeniu implementácie (projektov zameraných na) HP MRK do konca programového obdobia</w:t>
            </w:r>
          </w:p>
        </w:tc>
        <w:tc>
          <w:tcPr>
            <w:tcW w:w="1320" w:type="dxa"/>
            <w:vAlign w:val="center"/>
          </w:tcPr>
          <w:p w:rsidR="0079633A" w:rsidRPr="00F343D9" w:rsidRDefault="0079633A" w:rsidP="005D18B1">
            <w:pPr>
              <w:rPr>
                <w:rFonts w:ascii="Arial" w:hAnsi="Arial" w:cs="Arial"/>
                <w:sz w:val="20"/>
                <w:szCs w:val="20"/>
                <w:lang w:eastAsia="en-GB"/>
              </w:rPr>
            </w:pPr>
            <w:r>
              <w:rPr>
                <w:rFonts w:ascii="Arial" w:hAnsi="Arial" w:cs="Arial"/>
                <w:sz w:val="20"/>
                <w:szCs w:val="20"/>
                <w:lang w:eastAsia="en-GB"/>
              </w:rPr>
              <w:t>začiatkom roka 2012</w:t>
            </w:r>
          </w:p>
        </w:tc>
        <w:tc>
          <w:tcPr>
            <w:tcW w:w="5076" w:type="dxa"/>
          </w:tcPr>
          <w:p w:rsidR="0079633A" w:rsidRPr="00F96620" w:rsidRDefault="0079633A" w:rsidP="005D18B1">
            <w:pPr>
              <w:jc w:val="both"/>
              <w:rPr>
                <w:rFonts w:ascii="Arial" w:hAnsi="Arial" w:cs="Arial"/>
                <w:sz w:val="20"/>
                <w:szCs w:val="20"/>
                <w:lang w:eastAsia="en-GB"/>
              </w:rPr>
            </w:pPr>
            <w:r w:rsidRPr="00F96620">
              <w:rPr>
                <w:rFonts w:ascii="Arial" w:hAnsi="Arial" w:cs="Arial"/>
                <w:sz w:val="20"/>
                <w:szCs w:val="20"/>
                <w:lang w:eastAsia="en-GB"/>
              </w:rPr>
              <w:t xml:space="preserve">Snahou RO  </w:t>
            </w:r>
            <w:r>
              <w:rPr>
                <w:rFonts w:ascii="Arial" w:hAnsi="Arial" w:cs="Arial"/>
                <w:sz w:val="20"/>
                <w:szCs w:val="20"/>
                <w:lang w:eastAsia="en-GB"/>
              </w:rPr>
              <w:t>bolo</w:t>
            </w:r>
            <w:r w:rsidRPr="00F96620">
              <w:rPr>
                <w:rFonts w:ascii="Arial" w:hAnsi="Arial" w:cs="Arial"/>
                <w:sz w:val="20"/>
                <w:szCs w:val="20"/>
                <w:lang w:eastAsia="en-GB"/>
              </w:rPr>
              <w:t xml:space="preserve"> poskytnúť súčinnosť koordinátorovi HP MRK v procese vypr</w:t>
            </w:r>
            <w:r>
              <w:rPr>
                <w:rFonts w:ascii="Arial" w:hAnsi="Arial" w:cs="Arial"/>
                <w:sz w:val="20"/>
                <w:szCs w:val="20"/>
                <w:lang w:eastAsia="en-GB"/>
              </w:rPr>
              <w:t>a</w:t>
            </w:r>
            <w:r w:rsidRPr="00F96620">
              <w:rPr>
                <w:rFonts w:ascii="Arial" w:hAnsi="Arial" w:cs="Arial"/>
                <w:sz w:val="20"/>
                <w:szCs w:val="20"/>
                <w:lang w:eastAsia="en-GB"/>
              </w:rPr>
              <w:t>covania  tohto plánu.  Zo strany RO  je základom vyhodnotenie vyhlásenej výzvy s relevanciou k Lokálnym stratégiám komplexného prístupu pre prioritnú os 4, operačné ciele 4.1 a 4.2., ktorá bola uzavretá dňa 23. 3. 2012.</w:t>
            </w:r>
          </w:p>
        </w:tc>
      </w:tr>
      <w:tr w:rsidR="0079633A" w:rsidRPr="00F343D9" w:rsidTr="003A3602">
        <w:trPr>
          <w:trHeight w:val="20"/>
          <w:jc w:val="center"/>
        </w:trPr>
        <w:tc>
          <w:tcPr>
            <w:tcW w:w="2863" w:type="dxa"/>
          </w:tcPr>
          <w:p w:rsidR="0079633A" w:rsidRPr="00F343D9" w:rsidRDefault="0079633A" w:rsidP="005D18B1">
            <w:pPr>
              <w:jc w:val="both"/>
              <w:rPr>
                <w:rFonts w:ascii="Courier New" w:hAnsi="Courier New"/>
                <w:sz w:val="22"/>
                <w:szCs w:val="22"/>
                <w:lang w:eastAsia="en-GB"/>
              </w:rPr>
            </w:pPr>
            <w:r w:rsidRPr="00F96620">
              <w:rPr>
                <w:rFonts w:ascii="Arial" w:hAnsi="Arial" w:cs="Arial"/>
                <w:sz w:val="20"/>
                <w:szCs w:val="20"/>
                <w:lang w:eastAsia="en-GB"/>
              </w:rPr>
              <w:t>Vypracovať nový Akčný plán pre implementáciu Lokálnych stratégií komplexného prístupu pre rok 2012 a zabezpečiť jeho plnenie počas roka 2012</w:t>
            </w:r>
          </w:p>
        </w:tc>
        <w:tc>
          <w:tcPr>
            <w:tcW w:w="1320" w:type="dxa"/>
            <w:vAlign w:val="center"/>
          </w:tcPr>
          <w:p w:rsidR="0079633A" w:rsidRPr="00F343D9" w:rsidRDefault="0079633A" w:rsidP="005D18B1">
            <w:pPr>
              <w:rPr>
                <w:sz w:val="20"/>
                <w:szCs w:val="20"/>
                <w:lang w:eastAsia="en-GB"/>
              </w:rPr>
            </w:pPr>
            <w:r>
              <w:rPr>
                <w:rFonts w:ascii="Arial" w:hAnsi="Arial" w:cs="Arial"/>
                <w:sz w:val="20"/>
                <w:szCs w:val="20"/>
                <w:lang w:eastAsia="en-GB"/>
              </w:rPr>
              <w:t>začiatkom roka 2012</w:t>
            </w:r>
          </w:p>
        </w:tc>
        <w:tc>
          <w:tcPr>
            <w:tcW w:w="5076" w:type="dxa"/>
          </w:tcPr>
          <w:p w:rsidR="0079633A" w:rsidRPr="008D6C31" w:rsidRDefault="0079633A" w:rsidP="005D18B1">
            <w:pPr>
              <w:jc w:val="both"/>
              <w:rPr>
                <w:rFonts w:ascii="Arial" w:hAnsi="Arial" w:cs="Arial"/>
                <w:sz w:val="20"/>
                <w:szCs w:val="20"/>
                <w:lang w:eastAsia="en-GB"/>
              </w:rPr>
            </w:pPr>
            <w:r w:rsidRPr="008D6C31">
              <w:rPr>
                <w:rFonts w:ascii="Arial" w:hAnsi="Arial" w:cs="Arial"/>
                <w:sz w:val="20"/>
                <w:szCs w:val="20"/>
                <w:lang w:eastAsia="en-GB"/>
              </w:rPr>
              <w:t>RO  spolupracoval s koordinátorom HP MRK v procese vypracovania akčného plánu.</w:t>
            </w:r>
          </w:p>
        </w:tc>
      </w:tr>
      <w:tr w:rsidR="0079633A" w:rsidRPr="00F343D9" w:rsidTr="003A3602">
        <w:trPr>
          <w:trHeight w:val="20"/>
          <w:jc w:val="center"/>
        </w:trPr>
        <w:tc>
          <w:tcPr>
            <w:tcW w:w="2863" w:type="dxa"/>
          </w:tcPr>
          <w:p w:rsidR="0079633A" w:rsidRPr="00F343D9" w:rsidRDefault="0079633A" w:rsidP="005D18B1">
            <w:pPr>
              <w:jc w:val="both"/>
              <w:rPr>
                <w:rFonts w:ascii="Arial" w:hAnsi="Arial" w:cs="Arial"/>
                <w:sz w:val="20"/>
                <w:szCs w:val="20"/>
                <w:lang w:eastAsia="en-GB"/>
              </w:rPr>
            </w:pPr>
            <w:r w:rsidRPr="00F96620">
              <w:rPr>
                <w:rFonts w:ascii="Arial" w:hAnsi="Arial" w:cs="Arial"/>
                <w:sz w:val="20"/>
                <w:szCs w:val="20"/>
                <w:lang w:eastAsia="en-GB"/>
              </w:rPr>
              <w:t>Zabezpečiť plnenie nového Akčného plánu pre implementáciu Lokálnych stratégií komplexného prístupu počas roka 2012</w:t>
            </w:r>
          </w:p>
        </w:tc>
        <w:tc>
          <w:tcPr>
            <w:tcW w:w="1320" w:type="dxa"/>
            <w:vAlign w:val="center"/>
          </w:tcPr>
          <w:p w:rsidR="0079633A" w:rsidRDefault="0079633A" w:rsidP="005D18B1">
            <w:r w:rsidRPr="00805AC8">
              <w:rPr>
                <w:rFonts w:ascii="Arial" w:hAnsi="Arial" w:cs="Arial"/>
                <w:sz w:val="20"/>
                <w:szCs w:val="20"/>
                <w:lang w:eastAsia="en-GB"/>
              </w:rPr>
              <w:t>priebežne</w:t>
            </w:r>
          </w:p>
        </w:tc>
        <w:tc>
          <w:tcPr>
            <w:tcW w:w="5076" w:type="dxa"/>
          </w:tcPr>
          <w:p w:rsidR="0079633A" w:rsidRPr="00F96620" w:rsidRDefault="0079633A" w:rsidP="005D18B1">
            <w:pPr>
              <w:jc w:val="both"/>
              <w:rPr>
                <w:rFonts w:ascii="Arial" w:hAnsi="Arial" w:cs="Arial"/>
                <w:sz w:val="20"/>
                <w:szCs w:val="20"/>
                <w:lang w:eastAsia="en-GB"/>
              </w:rPr>
            </w:pPr>
            <w:r w:rsidRPr="00F96620">
              <w:rPr>
                <w:rFonts w:ascii="Arial" w:hAnsi="Arial" w:cs="Arial"/>
                <w:sz w:val="20"/>
                <w:szCs w:val="20"/>
                <w:lang w:eastAsia="en-GB"/>
              </w:rPr>
              <w:t>Po schválení Akčného plánu implementácie LSKxP pre rok 2012 pracovnou skupinou pre HP MRK RO  zabezpečí riadnu implementáciu všetkých vybraných projektov v súlade s akčným plánom.</w:t>
            </w:r>
          </w:p>
        </w:tc>
      </w:tr>
      <w:tr w:rsidR="0079633A" w:rsidRPr="00F343D9" w:rsidTr="003A3602">
        <w:trPr>
          <w:trHeight w:val="20"/>
          <w:jc w:val="center"/>
        </w:trPr>
        <w:tc>
          <w:tcPr>
            <w:tcW w:w="2863" w:type="dxa"/>
          </w:tcPr>
          <w:p w:rsidR="0079633A" w:rsidRPr="00F343D9" w:rsidRDefault="0079633A" w:rsidP="005D18B1">
            <w:pPr>
              <w:jc w:val="both"/>
              <w:rPr>
                <w:rFonts w:ascii="Arial" w:hAnsi="Arial" w:cs="Arial"/>
                <w:sz w:val="20"/>
                <w:szCs w:val="20"/>
                <w:lang w:eastAsia="en-GB"/>
              </w:rPr>
            </w:pPr>
            <w:r w:rsidRPr="00F96620">
              <w:rPr>
                <w:rFonts w:ascii="Arial" w:hAnsi="Arial" w:cs="Arial"/>
                <w:sz w:val="20"/>
                <w:szCs w:val="20"/>
                <w:lang w:eastAsia="en-GB"/>
              </w:rPr>
              <w:t>Uistiť sa, že všetky relevantné výzvy budú vyhlásené v súlade s akčným plánom  pre implementáciu Lokálnych stratégií komplexného prístupu pre rok 2012</w:t>
            </w:r>
          </w:p>
        </w:tc>
        <w:tc>
          <w:tcPr>
            <w:tcW w:w="1320" w:type="dxa"/>
            <w:vAlign w:val="center"/>
          </w:tcPr>
          <w:p w:rsidR="0079633A" w:rsidRDefault="0079633A" w:rsidP="005D18B1">
            <w:r w:rsidRPr="00805AC8">
              <w:rPr>
                <w:rFonts w:ascii="Arial" w:hAnsi="Arial" w:cs="Arial"/>
                <w:sz w:val="20"/>
                <w:szCs w:val="20"/>
                <w:lang w:eastAsia="en-GB"/>
              </w:rPr>
              <w:t>priebežne</w:t>
            </w:r>
          </w:p>
        </w:tc>
        <w:tc>
          <w:tcPr>
            <w:tcW w:w="5076" w:type="dxa"/>
          </w:tcPr>
          <w:p w:rsidR="0079633A" w:rsidRPr="00F96620" w:rsidRDefault="0079633A" w:rsidP="005D18B1">
            <w:pPr>
              <w:jc w:val="both"/>
              <w:rPr>
                <w:rFonts w:ascii="Arial" w:hAnsi="Arial" w:cs="Arial"/>
                <w:sz w:val="20"/>
                <w:szCs w:val="20"/>
                <w:lang w:eastAsia="en-GB"/>
              </w:rPr>
            </w:pPr>
            <w:r w:rsidRPr="00F96620">
              <w:rPr>
                <w:rFonts w:ascii="Arial" w:hAnsi="Arial" w:cs="Arial"/>
                <w:sz w:val="20"/>
                <w:szCs w:val="20"/>
                <w:lang w:eastAsia="en-GB"/>
              </w:rPr>
              <w:t xml:space="preserve">RO  </w:t>
            </w:r>
            <w:r>
              <w:rPr>
                <w:rFonts w:ascii="Arial" w:hAnsi="Arial" w:cs="Arial"/>
                <w:sz w:val="20"/>
                <w:szCs w:val="20"/>
                <w:lang w:eastAsia="en-GB"/>
              </w:rPr>
              <w:t>v priebehu roka 2012 ne</w:t>
            </w:r>
            <w:r w:rsidRPr="00F96620">
              <w:rPr>
                <w:rFonts w:ascii="Arial" w:hAnsi="Arial" w:cs="Arial"/>
                <w:sz w:val="20"/>
                <w:szCs w:val="20"/>
                <w:lang w:eastAsia="en-GB"/>
              </w:rPr>
              <w:t>vyhlási</w:t>
            </w:r>
            <w:r>
              <w:rPr>
                <w:rFonts w:ascii="Arial" w:hAnsi="Arial" w:cs="Arial"/>
                <w:sz w:val="20"/>
                <w:szCs w:val="20"/>
                <w:lang w:eastAsia="en-GB"/>
              </w:rPr>
              <w:t>l</w:t>
            </w:r>
            <w:r w:rsidRPr="00F96620">
              <w:rPr>
                <w:rFonts w:ascii="Arial" w:hAnsi="Arial" w:cs="Arial"/>
                <w:sz w:val="20"/>
                <w:szCs w:val="20"/>
                <w:lang w:eastAsia="en-GB"/>
              </w:rPr>
              <w:t xml:space="preserve"> ďalšiu výzvu pre projekty Lokálnych stratégií komplexného prístupu</w:t>
            </w:r>
            <w:r>
              <w:rPr>
                <w:rFonts w:ascii="Arial" w:hAnsi="Arial" w:cs="Arial"/>
                <w:sz w:val="20"/>
                <w:szCs w:val="20"/>
                <w:lang w:eastAsia="en-GB"/>
              </w:rPr>
              <w:t>.</w:t>
            </w:r>
            <w:r w:rsidRPr="00F96620">
              <w:rPr>
                <w:rFonts w:ascii="Arial" w:hAnsi="Arial" w:cs="Arial"/>
                <w:sz w:val="20"/>
                <w:szCs w:val="20"/>
                <w:lang w:eastAsia="en-GB"/>
              </w:rPr>
              <w:t xml:space="preserve"> </w:t>
            </w:r>
          </w:p>
        </w:tc>
      </w:tr>
      <w:tr w:rsidR="0079633A" w:rsidRPr="00F343D9" w:rsidTr="003A3602">
        <w:trPr>
          <w:trHeight w:val="20"/>
          <w:jc w:val="center"/>
        </w:trPr>
        <w:tc>
          <w:tcPr>
            <w:tcW w:w="2863" w:type="dxa"/>
          </w:tcPr>
          <w:p w:rsidR="0079633A" w:rsidRPr="00F343D9" w:rsidRDefault="0079633A" w:rsidP="005D18B1">
            <w:pPr>
              <w:jc w:val="both"/>
              <w:rPr>
                <w:rFonts w:ascii="Arial" w:hAnsi="Arial" w:cs="Arial"/>
                <w:sz w:val="20"/>
                <w:szCs w:val="20"/>
                <w:lang w:eastAsia="en-GB"/>
              </w:rPr>
            </w:pPr>
            <w:r w:rsidRPr="00F96620">
              <w:rPr>
                <w:rFonts w:ascii="Arial" w:hAnsi="Arial" w:cs="Arial"/>
                <w:sz w:val="20"/>
                <w:szCs w:val="20"/>
                <w:lang w:eastAsia="en-GB"/>
              </w:rPr>
              <w:t>Zabezpečiť, aby RO použili (dohodnutú) vyčlenenú časť finančných prostriedkov na podporu vybraných projektov (schválených lokálnych stratégií komplexného prístupu)</w:t>
            </w:r>
          </w:p>
        </w:tc>
        <w:tc>
          <w:tcPr>
            <w:tcW w:w="1320" w:type="dxa"/>
            <w:vAlign w:val="center"/>
          </w:tcPr>
          <w:p w:rsidR="0079633A" w:rsidRDefault="0079633A" w:rsidP="005D18B1">
            <w:r w:rsidRPr="00805AC8">
              <w:rPr>
                <w:rFonts w:ascii="Arial" w:hAnsi="Arial" w:cs="Arial"/>
                <w:sz w:val="20"/>
                <w:szCs w:val="20"/>
                <w:lang w:eastAsia="en-GB"/>
              </w:rPr>
              <w:t>priebežne</w:t>
            </w:r>
          </w:p>
        </w:tc>
        <w:tc>
          <w:tcPr>
            <w:tcW w:w="5076" w:type="dxa"/>
          </w:tcPr>
          <w:p w:rsidR="0079633A" w:rsidRPr="00F96620" w:rsidRDefault="0079633A" w:rsidP="005D18B1">
            <w:pPr>
              <w:jc w:val="both"/>
              <w:rPr>
                <w:rFonts w:ascii="Arial" w:hAnsi="Arial" w:cs="Arial"/>
                <w:sz w:val="20"/>
                <w:szCs w:val="20"/>
                <w:lang w:eastAsia="en-GB"/>
              </w:rPr>
            </w:pPr>
            <w:r w:rsidRPr="00F96620">
              <w:rPr>
                <w:rFonts w:ascii="Arial" w:hAnsi="Arial" w:cs="Arial"/>
                <w:sz w:val="20"/>
                <w:szCs w:val="20"/>
                <w:lang w:eastAsia="en-GB"/>
              </w:rPr>
              <w:t xml:space="preserve">V zmysle zmluvy s koordinátorom HP MRK je možné podporiť projekty v oblasti separovaného zberu a zhodnocovania odpadov v rámci   LSKxP aj v budúcnosti s cieľom zabezpečiť riadnu implementáciu LSKxP.  </w:t>
            </w:r>
          </w:p>
        </w:tc>
      </w:tr>
      <w:tr w:rsidR="0079633A" w:rsidRPr="00F343D9" w:rsidTr="003A3602">
        <w:trPr>
          <w:trHeight w:val="20"/>
          <w:jc w:val="center"/>
        </w:trPr>
        <w:tc>
          <w:tcPr>
            <w:tcW w:w="9259" w:type="dxa"/>
            <w:gridSpan w:val="3"/>
            <w:shd w:val="clear" w:color="auto" w:fill="D6E3BC"/>
            <w:vAlign w:val="center"/>
          </w:tcPr>
          <w:p w:rsidR="0079633A" w:rsidRPr="00F343D9" w:rsidRDefault="0079633A" w:rsidP="005D18B1">
            <w:pPr>
              <w:rPr>
                <w:b/>
                <w:lang w:eastAsia="en-GB"/>
              </w:rPr>
            </w:pPr>
            <w:r w:rsidRPr="00F343D9">
              <w:rPr>
                <w:rFonts w:ascii="Arial" w:hAnsi="Arial" w:cs="Arial"/>
                <w:b/>
                <w:sz w:val="20"/>
                <w:szCs w:val="20"/>
                <w:lang w:eastAsia="en-GB"/>
              </w:rPr>
              <w:t>4.   INFRINGEMENTY, OSOBITNE EIA (POSUDZOVANIE VPLYVOV NA ŽIVOTNÉ PROSTREDIE)</w:t>
            </w:r>
          </w:p>
        </w:tc>
      </w:tr>
      <w:tr w:rsidR="0079633A" w:rsidRPr="00F343D9" w:rsidTr="003A3602">
        <w:trPr>
          <w:trHeight w:val="20"/>
          <w:jc w:val="center"/>
        </w:trPr>
        <w:tc>
          <w:tcPr>
            <w:tcW w:w="2863" w:type="dxa"/>
            <w:shd w:val="clear" w:color="auto" w:fill="EAF1DD"/>
            <w:vAlign w:val="center"/>
          </w:tcPr>
          <w:p w:rsidR="0079633A" w:rsidRPr="00F343D9" w:rsidRDefault="0079633A" w:rsidP="005D18B1">
            <w:pPr>
              <w:rPr>
                <w:rFonts w:ascii="Arial" w:hAnsi="Arial" w:cs="Arial"/>
                <w:b/>
                <w:sz w:val="20"/>
                <w:szCs w:val="20"/>
                <w:lang w:eastAsia="en-GB"/>
              </w:rPr>
            </w:pPr>
            <w:r w:rsidRPr="00F343D9">
              <w:rPr>
                <w:rFonts w:ascii="Arial" w:hAnsi="Arial" w:cs="Arial"/>
                <w:b/>
                <w:sz w:val="20"/>
                <w:szCs w:val="20"/>
                <w:lang w:eastAsia="en-GB"/>
              </w:rPr>
              <w:t>Úloha</w:t>
            </w:r>
          </w:p>
        </w:tc>
        <w:tc>
          <w:tcPr>
            <w:tcW w:w="1320" w:type="dxa"/>
            <w:shd w:val="clear" w:color="auto" w:fill="EAF1DD"/>
            <w:vAlign w:val="center"/>
          </w:tcPr>
          <w:p w:rsidR="0079633A" w:rsidRPr="00F343D9" w:rsidRDefault="0079633A" w:rsidP="005D18B1">
            <w:pPr>
              <w:rPr>
                <w:rFonts w:ascii="Arial" w:hAnsi="Arial" w:cs="Arial"/>
                <w:b/>
                <w:sz w:val="20"/>
                <w:szCs w:val="20"/>
                <w:lang w:eastAsia="en-GB"/>
              </w:rPr>
            </w:pPr>
            <w:r w:rsidRPr="00F343D9">
              <w:rPr>
                <w:rFonts w:ascii="Arial" w:hAnsi="Arial" w:cs="Arial"/>
                <w:b/>
                <w:sz w:val="20"/>
                <w:szCs w:val="20"/>
                <w:lang w:eastAsia="en-GB"/>
              </w:rPr>
              <w:t>Termín splnenia</w:t>
            </w:r>
          </w:p>
        </w:tc>
        <w:tc>
          <w:tcPr>
            <w:tcW w:w="5076" w:type="dxa"/>
            <w:shd w:val="clear" w:color="auto" w:fill="EAF1DD"/>
            <w:vAlign w:val="center"/>
          </w:tcPr>
          <w:p w:rsidR="0079633A" w:rsidRPr="00F343D9" w:rsidRDefault="0079633A" w:rsidP="005D18B1">
            <w:pPr>
              <w:jc w:val="both"/>
              <w:rPr>
                <w:rFonts w:ascii="Arial" w:hAnsi="Arial" w:cs="Arial"/>
                <w:b/>
                <w:sz w:val="20"/>
                <w:szCs w:val="20"/>
                <w:lang w:eastAsia="en-GB"/>
              </w:rPr>
            </w:pPr>
            <w:r w:rsidRPr="00F343D9">
              <w:rPr>
                <w:rFonts w:ascii="Arial" w:hAnsi="Arial" w:cs="Arial"/>
                <w:b/>
                <w:sz w:val="20"/>
                <w:szCs w:val="20"/>
                <w:lang w:eastAsia="en-GB"/>
              </w:rPr>
              <w:t>Stav a výsledky plnenia</w:t>
            </w:r>
          </w:p>
        </w:tc>
      </w:tr>
      <w:tr w:rsidR="0079633A" w:rsidRPr="00F343D9" w:rsidTr="003A3602">
        <w:trPr>
          <w:trHeight w:val="20"/>
          <w:jc w:val="center"/>
        </w:trPr>
        <w:tc>
          <w:tcPr>
            <w:tcW w:w="2863" w:type="dxa"/>
            <w:vAlign w:val="center"/>
          </w:tcPr>
          <w:p w:rsidR="0079633A" w:rsidRPr="00F343D9" w:rsidRDefault="0079633A" w:rsidP="005D18B1">
            <w:pPr>
              <w:jc w:val="both"/>
              <w:rPr>
                <w:lang w:eastAsia="en-GB"/>
              </w:rPr>
            </w:pPr>
            <w:r w:rsidRPr="00F343D9">
              <w:rPr>
                <w:rFonts w:ascii="Arial" w:hAnsi="Arial" w:cs="Arial"/>
                <w:sz w:val="20"/>
                <w:szCs w:val="20"/>
                <w:lang w:eastAsia="en-GB"/>
              </w:rPr>
              <w:t>Pravidelne monitorovať možné dôsledky všetkých konaní o porušení práva EÚ (infringements) na operácie v rámci žiadostí o platbu predložených EK</w:t>
            </w:r>
          </w:p>
        </w:tc>
        <w:tc>
          <w:tcPr>
            <w:tcW w:w="1320" w:type="dxa"/>
            <w:vAlign w:val="center"/>
          </w:tcPr>
          <w:p w:rsidR="0079633A" w:rsidRPr="00F343D9" w:rsidRDefault="0079633A" w:rsidP="005D18B1">
            <w:pPr>
              <w:rPr>
                <w:rFonts w:ascii="Arial" w:hAnsi="Arial" w:cs="Arial"/>
                <w:sz w:val="20"/>
                <w:szCs w:val="20"/>
                <w:lang w:eastAsia="en-GB"/>
              </w:rPr>
            </w:pPr>
            <w:r w:rsidRPr="00F343D9">
              <w:rPr>
                <w:rFonts w:ascii="Arial" w:hAnsi="Arial" w:cs="Arial"/>
                <w:sz w:val="20"/>
                <w:szCs w:val="20"/>
                <w:lang w:eastAsia="en-GB"/>
              </w:rPr>
              <w:t>priebežne</w:t>
            </w:r>
          </w:p>
        </w:tc>
        <w:tc>
          <w:tcPr>
            <w:tcW w:w="5076" w:type="dxa"/>
            <w:vAlign w:val="center"/>
          </w:tcPr>
          <w:p w:rsidR="0079633A" w:rsidRPr="003A3602" w:rsidRDefault="0079633A" w:rsidP="005D18B1">
            <w:pPr>
              <w:tabs>
                <w:tab w:val="left" w:pos="0"/>
              </w:tabs>
              <w:jc w:val="both"/>
              <w:rPr>
                <w:rFonts w:ascii="Arial" w:hAnsi="Arial" w:cs="Arial"/>
                <w:sz w:val="20"/>
                <w:szCs w:val="20"/>
              </w:rPr>
            </w:pPr>
            <w:r w:rsidRPr="008D6C31">
              <w:rPr>
                <w:rFonts w:ascii="Arial" w:hAnsi="Arial" w:cs="Arial"/>
                <w:sz w:val="20"/>
                <w:szCs w:val="20"/>
              </w:rPr>
              <w:t xml:space="preserve">Konania voči </w:t>
            </w:r>
            <w:r w:rsidRPr="008D6C31">
              <w:rPr>
                <w:rFonts w:ascii="Arial" w:hAnsi="Arial" w:cs="Arial"/>
                <w:sz w:val="20"/>
                <w:szCs w:val="20"/>
                <w:lang w:eastAsia="en-GB"/>
              </w:rPr>
              <w:t xml:space="preserve">RO  </w:t>
            </w:r>
            <w:r w:rsidRPr="008D6C31">
              <w:rPr>
                <w:rFonts w:ascii="Arial" w:hAnsi="Arial" w:cs="Arial"/>
                <w:sz w:val="20"/>
                <w:szCs w:val="20"/>
              </w:rPr>
              <w:t>vo vzťahu k niektorým právnym predpisom v oblasti legislatívy životného prostredia, ktoré EK vedie podľa čl. 258 Zmluvy o fungovaní EÚ, v súčasnosti nemajú priamy dopad na projekty realizované v rámci OP ŽP.</w:t>
            </w:r>
            <w:r>
              <w:rPr>
                <w:rFonts w:ascii="Arial" w:hAnsi="Arial" w:cs="Arial"/>
                <w:sz w:val="20"/>
                <w:szCs w:val="20"/>
              </w:rPr>
              <w:t xml:space="preserve"> </w:t>
            </w:r>
            <w:r w:rsidRPr="008D6C31">
              <w:rPr>
                <w:rFonts w:ascii="Arial" w:hAnsi="Arial" w:cs="Arial"/>
                <w:sz w:val="20"/>
                <w:szCs w:val="20"/>
              </w:rPr>
              <w:t xml:space="preserve">V prípade pripomienok alebo pochybností zo strany EK </w:t>
            </w:r>
            <w:r w:rsidR="003F238E">
              <w:rPr>
                <w:rFonts w:ascii="Arial" w:hAnsi="Arial" w:cs="Arial"/>
                <w:sz w:val="20"/>
                <w:szCs w:val="20"/>
              </w:rPr>
              <w:t>RO</w:t>
            </w:r>
            <w:r w:rsidRPr="008D6C31">
              <w:rPr>
                <w:rFonts w:ascii="Arial" w:hAnsi="Arial" w:cs="Arial"/>
                <w:sz w:val="20"/>
                <w:szCs w:val="20"/>
              </w:rPr>
              <w:t xml:space="preserve"> predloží EK doplňujúce informácie a vysvetlenia.  </w:t>
            </w:r>
          </w:p>
        </w:tc>
      </w:tr>
      <w:tr w:rsidR="0079633A" w:rsidRPr="00F343D9" w:rsidTr="003A3602">
        <w:trPr>
          <w:trHeight w:val="20"/>
          <w:jc w:val="center"/>
        </w:trPr>
        <w:tc>
          <w:tcPr>
            <w:tcW w:w="2863" w:type="dxa"/>
            <w:vAlign w:val="center"/>
          </w:tcPr>
          <w:p w:rsidR="0079633A" w:rsidRDefault="0079633A" w:rsidP="005D18B1">
            <w:pPr>
              <w:jc w:val="both"/>
              <w:rPr>
                <w:rFonts w:ascii="Arial" w:hAnsi="Arial" w:cs="Arial"/>
                <w:sz w:val="20"/>
                <w:szCs w:val="20"/>
                <w:lang w:eastAsia="en-GB"/>
              </w:rPr>
            </w:pPr>
            <w:r w:rsidRPr="008D6C31">
              <w:rPr>
                <w:rFonts w:ascii="Arial" w:hAnsi="Arial" w:cs="Arial"/>
                <w:sz w:val="20"/>
                <w:szCs w:val="20"/>
                <w:lang w:eastAsia="en-GB"/>
              </w:rPr>
              <w:t>Poskytnúť výsledky medzirezortnej pracovnej skupiny (zaoberajúcou sa systematickým rizikom nesprávneho uplatňovania postupov v oblasti posudzovania vplyvov na životné prostredie - EIA v období, v ktorom právna úprava EIA v SR nebola v súlade s legislatívou EÚ) EK</w:t>
            </w:r>
            <w:r>
              <w:rPr>
                <w:rFonts w:ascii="Arial" w:hAnsi="Arial" w:cs="Arial"/>
                <w:sz w:val="20"/>
                <w:szCs w:val="20"/>
                <w:lang w:eastAsia="en-GB"/>
              </w:rPr>
              <w:t>.</w:t>
            </w:r>
          </w:p>
          <w:p w:rsidR="0079633A" w:rsidRPr="008D6C31" w:rsidRDefault="0079633A" w:rsidP="005D18B1">
            <w:pPr>
              <w:jc w:val="both"/>
              <w:rPr>
                <w:rFonts w:ascii="Arial" w:hAnsi="Arial" w:cs="Arial"/>
                <w:sz w:val="20"/>
                <w:szCs w:val="20"/>
                <w:lang w:eastAsia="en-GB"/>
              </w:rPr>
            </w:pPr>
          </w:p>
          <w:p w:rsidR="0079633A" w:rsidRPr="00F343D9" w:rsidRDefault="0079633A" w:rsidP="005D18B1">
            <w:pPr>
              <w:jc w:val="both"/>
              <w:rPr>
                <w:lang w:eastAsia="en-GB"/>
              </w:rPr>
            </w:pPr>
            <w:r w:rsidRPr="008D6C31">
              <w:rPr>
                <w:rFonts w:ascii="Arial" w:hAnsi="Arial" w:cs="Arial"/>
                <w:sz w:val="20"/>
                <w:szCs w:val="20"/>
                <w:lang w:eastAsia="en-GB"/>
              </w:rPr>
              <w:t>-</w:t>
            </w:r>
            <w:r w:rsidRPr="008D6C31">
              <w:rPr>
                <w:rFonts w:ascii="Arial" w:hAnsi="Arial" w:cs="Arial"/>
                <w:sz w:val="20"/>
                <w:szCs w:val="20"/>
                <w:lang w:eastAsia="en-GB"/>
              </w:rPr>
              <w:tab/>
              <w:t xml:space="preserve">Predložiť EK návrh operačného rámca na riešenie otázok súvisiacich s posudzovaním vplyvov na životné prostredie (EIA)  </w:t>
            </w:r>
          </w:p>
        </w:tc>
        <w:tc>
          <w:tcPr>
            <w:tcW w:w="1320" w:type="dxa"/>
            <w:vAlign w:val="center"/>
          </w:tcPr>
          <w:p w:rsidR="0079633A" w:rsidRPr="00F343D9" w:rsidRDefault="0079633A" w:rsidP="005D18B1">
            <w:pPr>
              <w:rPr>
                <w:rFonts w:ascii="Arial" w:hAnsi="Arial" w:cs="Arial"/>
                <w:sz w:val="20"/>
                <w:szCs w:val="20"/>
                <w:lang w:eastAsia="en-GB"/>
              </w:rPr>
            </w:pPr>
            <w:r>
              <w:rPr>
                <w:rFonts w:ascii="Arial" w:hAnsi="Arial" w:cs="Arial"/>
                <w:sz w:val="20"/>
                <w:szCs w:val="20"/>
                <w:lang w:eastAsia="en-GB"/>
              </w:rPr>
              <w:t xml:space="preserve">3. </w:t>
            </w:r>
            <w:r w:rsidRPr="008D6C31">
              <w:rPr>
                <w:rFonts w:ascii="Arial" w:hAnsi="Arial" w:cs="Arial"/>
                <w:sz w:val="20"/>
                <w:szCs w:val="20"/>
                <w:lang w:eastAsia="en-GB"/>
              </w:rPr>
              <w:t xml:space="preserve">štvrťrok  </w:t>
            </w:r>
            <w:r>
              <w:rPr>
                <w:rFonts w:ascii="Arial" w:hAnsi="Arial" w:cs="Arial"/>
                <w:sz w:val="20"/>
                <w:szCs w:val="20"/>
                <w:lang w:eastAsia="en-GB"/>
              </w:rPr>
              <w:t>2012</w:t>
            </w:r>
            <w:r w:rsidRPr="00F343D9">
              <w:rPr>
                <w:rFonts w:ascii="Arial" w:hAnsi="Arial" w:cs="Arial"/>
                <w:sz w:val="20"/>
                <w:szCs w:val="20"/>
                <w:lang w:eastAsia="en-GB"/>
              </w:rPr>
              <w:t xml:space="preserve"> </w:t>
            </w:r>
          </w:p>
        </w:tc>
        <w:tc>
          <w:tcPr>
            <w:tcW w:w="5076" w:type="dxa"/>
            <w:vAlign w:val="center"/>
          </w:tcPr>
          <w:p w:rsidR="0079633A" w:rsidRPr="008D6C31" w:rsidRDefault="0079633A" w:rsidP="005D18B1">
            <w:pPr>
              <w:jc w:val="both"/>
              <w:rPr>
                <w:rFonts w:ascii="Arial" w:hAnsi="Arial" w:cs="Arial"/>
                <w:sz w:val="20"/>
                <w:szCs w:val="20"/>
                <w:lang w:eastAsia="en-GB"/>
              </w:rPr>
            </w:pPr>
            <w:r w:rsidRPr="008D6C31">
              <w:rPr>
                <w:rFonts w:ascii="Arial" w:hAnsi="Arial" w:cs="Arial"/>
                <w:sz w:val="20"/>
                <w:szCs w:val="20"/>
                <w:lang w:eastAsia="en-GB"/>
              </w:rPr>
              <w:t xml:space="preserve">Z hľadiska vecnej </w:t>
            </w:r>
            <w:r w:rsidR="00193CE6" w:rsidRPr="008D6C31">
              <w:rPr>
                <w:rFonts w:ascii="Arial" w:hAnsi="Arial" w:cs="Arial"/>
                <w:sz w:val="20"/>
                <w:szCs w:val="20"/>
                <w:lang w:eastAsia="en-GB"/>
              </w:rPr>
              <w:t>pôsobnosti</w:t>
            </w:r>
            <w:r w:rsidR="00193CE6">
              <w:rPr>
                <w:rFonts w:ascii="Arial" w:hAnsi="Arial" w:cs="Arial"/>
                <w:sz w:val="20"/>
                <w:szCs w:val="20"/>
                <w:lang w:eastAsia="en-GB"/>
              </w:rPr>
              <w:t xml:space="preserve"> </w:t>
            </w:r>
            <w:r>
              <w:rPr>
                <w:rFonts w:ascii="Arial" w:hAnsi="Arial" w:cs="Arial"/>
                <w:sz w:val="20"/>
                <w:szCs w:val="20"/>
                <w:lang w:eastAsia="en-GB"/>
              </w:rPr>
              <w:t>M</w:t>
            </w:r>
            <w:r w:rsidRPr="008D6C31">
              <w:rPr>
                <w:rFonts w:ascii="Arial" w:hAnsi="Arial" w:cs="Arial"/>
                <w:sz w:val="20"/>
                <w:szCs w:val="20"/>
                <w:lang w:eastAsia="en-GB"/>
              </w:rPr>
              <w:t>ŽP</w:t>
            </w:r>
            <w:r>
              <w:rPr>
                <w:rFonts w:ascii="Arial" w:hAnsi="Arial" w:cs="Arial"/>
                <w:sz w:val="20"/>
                <w:szCs w:val="20"/>
                <w:lang w:eastAsia="en-GB"/>
              </w:rPr>
              <w:t xml:space="preserve"> SR</w:t>
            </w:r>
            <w:r w:rsidRPr="008D6C31">
              <w:rPr>
                <w:rFonts w:ascii="Arial" w:hAnsi="Arial" w:cs="Arial"/>
                <w:sz w:val="20"/>
                <w:szCs w:val="20"/>
                <w:lang w:eastAsia="en-GB"/>
              </w:rPr>
              <w:t xml:space="preserve"> ako ministerstva, do ktor</w:t>
            </w:r>
            <w:r w:rsidR="00193CE6">
              <w:rPr>
                <w:rFonts w:ascii="Arial" w:hAnsi="Arial" w:cs="Arial"/>
                <w:sz w:val="20"/>
                <w:szCs w:val="20"/>
                <w:lang w:eastAsia="en-GB"/>
              </w:rPr>
              <w:t>ej</w:t>
            </w:r>
            <w:r w:rsidRPr="008D6C31">
              <w:rPr>
                <w:rFonts w:ascii="Arial" w:hAnsi="Arial" w:cs="Arial"/>
                <w:sz w:val="20"/>
                <w:szCs w:val="20"/>
                <w:lang w:eastAsia="en-GB"/>
              </w:rPr>
              <w:t xml:space="preserve"> spadá zákon č. 24/2006 Z. z., sa problém nesúladu tohto zákona s EIA smernicou v minulosti (transposition gap)  rieši prostredníctvom novely zákona č. 24/2006 Z.</w:t>
            </w:r>
            <w:r w:rsidR="00193CE6">
              <w:rPr>
                <w:rFonts w:ascii="Arial" w:hAnsi="Arial" w:cs="Arial"/>
                <w:sz w:val="20"/>
                <w:szCs w:val="20"/>
                <w:lang w:eastAsia="en-GB"/>
              </w:rPr>
              <w:t xml:space="preserve"> </w:t>
            </w:r>
            <w:r w:rsidRPr="008D6C31">
              <w:rPr>
                <w:rFonts w:ascii="Arial" w:hAnsi="Arial" w:cs="Arial"/>
                <w:sz w:val="20"/>
                <w:szCs w:val="20"/>
                <w:lang w:eastAsia="en-GB"/>
              </w:rPr>
              <w:t>z.,  ktorá vstúpila do platnosti  1. decembra 2011 (zákon č. 408/2011 Z.</w:t>
            </w:r>
            <w:r w:rsidR="00193CE6">
              <w:rPr>
                <w:rFonts w:ascii="Arial" w:hAnsi="Arial" w:cs="Arial"/>
                <w:sz w:val="20"/>
                <w:szCs w:val="20"/>
                <w:lang w:eastAsia="en-GB"/>
              </w:rPr>
              <w:t xml:space="preserve"> </w:t>
            </w:r>
            <w:r w:rsidRPr="008D6C31">
              <w:rPr>
                <w:rFonts w:ascii="Arial" w:hAnsi="Arial" w:cs="Arial"/>
                <w:sz w:val="20"/>
                <w:szCs w:val="20"/>
                <w:lang w:eastAsia="en-GB"/>
              </w:rPr>
              <w:t xml:space="preserve">z.).    </w:t>
            </w:r>
          </w:p>
          <w:p w:rsidR="0079633A" w:rsidRPr="008D6C31" w:rsidRDefault="0079633A" w:rsidP="005D18B1">
            <w:pPr>
              <w:jc w:val="both"/>
              <w:rPr>
                <w:rFonts w:ascii="Arial" w:hAnsi="Arial" w:cs="Arial"/>
                <w:sz w:val="20"/>
                <w:szCs w:val="20"/>
                <w:lang w:eastAsia="en-GB"/>
              </w:rPr>
            </w:pPr>
            <w:r w:rsidRPr="008D6C31">
              <w:rPr>
                <w:rFonts w:ascii="Arial" w:hAnsi="Arial" w:cs="Arial"/>
                <w:sz w:val="20"/>
                <w:szCs w:val="20"/>
                <w:lang w:eastAsia="en-GB"/>
              </w:rPr>
              <w:t>Čo sa týka stretnutí pracovnej skupiny, posledné sa konalo 28.10.2011. Skupina sa na záver stretnutia dohodla, že v rámci ďalších krokov pripraví MŽP SR návrh modelu zainteresovanej verejnosti, ktorý bude v sebe zahŕňať práva verejnosti dané Smernicou EIA, Aarhuským dohovorom a inými relevantnými právnymi predpismi. Skupina bude o tomto návrhu diskutovať na svojom ďalšom stretnutí, ktoré bolo pôvodne naplánované na 1.štvrťrok  2012, muselo však byť presunuté z dôvodu pracovného vyťaženia ako aj z ďalších dôvodov, ktoré sa objavili v súvislosti so správnou aplikáciou smernice EIA a ktoré musí MŽP riešiť.</w:t>
            </w:r>
          </w:p>
          <w:p w:rsidR="0079633A" w:rsidRPr="008D6C31" w:rsidRDefault="0079633A" w:rsidP="005D18B1">
            <w:pPr>
              <w:jc w:val="both"/>
              <w:rPr>
                <w:rFonts w:ascii="Arial" w:hAnsi="Arial" w:cs="Arial"/>
                <w:sz w:val="20"/>
                <w:szCs w:val="20"/>
                <w:lang w:eastAsia="en-GB"/>
              </w:rPr>
            </w:pPr>
            <w:r w:rsidRPr="008D6C31">
              <w:rPr>
                <w:rFonts w:ascii="Arial" w:hAnsi="Arial" w:cs="Arial"/>
                <w:sz w:val="20"/>
                <w:szCs w:val="20"/>
                <w:lang w:eastAsia="en-GB"/>
              </w:rPr>
              <w:t xml:space="preserve">Z pozície </w:t>
            </w:r>
            <w:r>
              <w:rPr>
                <w:rFonts w:ascii="Arial" w:hAnsi="Arial" w:cs="Arial"/>
                <w:sz w:val="20"/>
                <w:szCs w:val="20"/>
                <w:lang w:eastAsia="en-GB"/>
              </w:rPr>
              <w:t>RO</w:t>
            </w:r>
            <w:r w:rsidRPr="008D6C31">
              <w:rPr>
                <w:rFonts w:ascii="Arial" w:hAnsi="Arial" w:cs="Arial"/>
                <w:sz w:val="20"/>
                <w:szCs w:val="20"/>
                <w:lang w:eastAsia="en-GB"/>
              </w:rPr>
              <w:t xml:space="preserve">  však MŽP SR zastáva názor, že (ako už bolo konštatované na viacerých  rokovaniach za účasti  riadiacich orgánov a  CKO), riziko nekorektného uplatňovania postupov v oblasti posudzovania vplyvov na životné prostredie (EIA) vo vzťahu k projektom financovaným z fondov EÚ v období nesúladu slovenskej EIA legislatívy so smernicou EÚ v oblasti posudzovania vplyvov na životné prostredie (s tzv. EIA smernicou) má horizontálny charakter). Preto vypracovanie návrhu spoločného postupu riadiacich orgánov v tejto otázke spadá do pôsobnosti CKO.</w:t>
            </w:r>
          </w:p>
          <w:p w:rsidR="0079633A" w:rsidRPr="008D6C31" w:rsidRDefault="0079633A" w:rsidP="005D18B1">
            <w:pPr>
              <w:jc w:val="both"/>
              <w:rPr>
                <w:rFonts w:ascii="Arial" w:hAnsi="Arial" w:cs="Arial"/>
                <w:sz w:val="20"/>
                <w:szCs w:val="20"/>
                <w:lang w:eastAsia="en-GB"/>
              </w:rPr>
            </w:pPr>
            <w:r w:rsidRPr="008D6C31">
              <w:rPr>
                <w:rFonts w:ascii="Arial" w:hAnsi="Arial" w:cs="Arial"/>
                <w:sz w:val="20"/>
                <w:szCs w:val="20"/>
                <w:lang w:eastAsia="en-GB"/>
              </w:rPr>
              <w:t>Príslušný organizačný útvar MŽP SR, do pôsobnosti ktorého patrí problematika  posudzovania vplyvov na životné prostredie, je v prípade potreby pripravený poskytnúť CKO súčinnosť v procese riešenia tejto otázky.</w:t>
            </w:r>
          </w:p>
          <w:p w:rsidR="0079633A" w:rsidRPr="00F343D9" w:rsidRDefault="0079633A" w:rsidP="005D18B1">
            <w:pPr>
              <w:jc w:val="both"/>
              <w:rPr>
                <w:lang w:eastAsia="en-GB"/>
              </w:rPr>
            </w:pPr>
            <w:r w:rsidRPr="008D6C31">
              <w:rPr>
                <w:rFonts w:ascii="Arial" w:hAnsi="Arial" w:cs="Arial"/>
                <w:sz w:val="20"/>
                <w:szCs w:val="20"/>
                <w:lang w:eastAsia="en-GB"/>
              </w:rPr>
              <w:t>MŽP SR zaslalo členom pracovnej skupiny list zo dňa 11. 12. 2012, v ktorom ich informovalo, že s ohľadom na skutočnosť, že EK predstavila novelu EIA smernice, ktorá zásadne zmení súčasné procesy a ktorá je momentálne prediskutovávaná v pracovnej skupine Rady EÚ pre životné prostredie ako aj v pracovnej skupine národných expertov EK pre EIA a SEA, dospelo sa k rozhodnutiu presunúť prípravu modelu účasti verejnosti na obdobie, kedy bude jasnejšie akým smerom sa nové znenie smernice bude uberať a spojiť túto úlohu aj s procesom prípravy nového zákona, resp. novely zákona o EIA. Vybrané rezorty boli oslovené aj vo veci spolupráce pri predkladaní pripomienok k návrhu EK, preto jadro skupiny nestratí kontinuitu. Úloha prediskutovať model účasti verejnosti s členmi pracovnej skupiny sa teda nemení, bude ale súčasťou širšie koncipovanej úlohy v súvislosti s novelou smernice EIA.</w:t>
            </w:r>
          </w:p>
        </w:tc>
      </w:tr>
      <w:tr w:rsidR="0079633A" w:rsidRPr="00F343D9" w:rsidTr="003A3602">
        <w:trPr>
          <w:trHeight w:val="20"/>
          <w:jc w:val="center"/>
        </w:trPr>
        <w:tc>
          <w:tcPr>
            <w:tcW w:w="2863" w:type="dxa"/>
            <w:vAlign w:val="center"/>
          </w:tcPr>
          <w:p w:rsidR="0079633A" w:rsidRPr="00F343D9" w:rsidRDefault="0079633A" w:rsidP="005D18B1">
            <w:pPr>
              <w:jc w:val="both"/>
              <w:rPr>
                <w:rFonts w:ascii="Arial" w:hAnsi="Arial" w:cs="Arial"/>
                <w:sz w:val="20"/>
                <w:szCs w:val="20"/>
                <w:lang w:eastAsia="en-GB"/>
              </w:rPr>
            </w:pPr>
            <w:r w:rsidRPr="00F400B1">
              <w:rPr>
                <w:rFonts w:ascii="Arial" w:hAnsi="Arial" w:cs="Arial"/>
                <w:sz w:val="20"/>
                <w:szCs w:val="20"/>
                <w:lang w:eastAsia="en-GB"/>
              </w:rPr>
              <w:t>Zorganizovať zo strany Centrálneho koordinačného orgánu v spolupráci s MŽP SR a EK (DG Regio &amp; DG Enviro) workshop / technické rokovanie o uplatňovaní smernice EIA a smernice o biotopoch pre relevantné riadiace orgány (ako pokračovanie stretnutia z júna 2011)</w:t>
            </w:r>
            <w:r>
              <w:rPr>
                <w:rFonts w:ascii="Arial" w:hAnsi="Arial" w:cs="Arial"/>
                <w:sz w:val="20"/>
                <w:szCs w:val="20"/>
                <w:lang w:eastAsia="en-GB"/>
              </w:rPr>
              <w:t>.</w:t>
            </w:r>
          </w:p>
        </w:tc>
        <w:tc>
          <w:tcPr>
            <w:tcW w:w="1320" w:type="dxa"/>
            <w:vAlign w:val="center"/>
          </w:tcPr>
          <w:p w:rsidR="0079633A" w:rsidRPr="00F343D9" w:rsidRDefault="0079633A" w:rsidP="005D18B1">
            <w:pPr>
              <w:rPr>
                <w:rFonts w:ascii="Arial" w:hAnsi="Arial" w:cs="Arial"/>
                <w:sz w:val="20"/>
                <w:szCs w:val="20"/>
                <w:lang w:eastAsia="en-GB"/>
              </w:rPr>
            </w:pPr>
            <w:r>
              <w:rPr>
                <w:rFonts w:ascii="Arial" w:hAnsi="Arial" w:cs="Arial"/>
                <w:sz w:val="20"/>
                <w:szCs w:val="20"/>
                <w:lang w:eastAsia="en-GB"/>
              </w:rPr>
              <w:t xml:space="preserve">3. </w:t>
            </w:r>
            <w:r w:rsidRPr="008D6C31">
              <w:rPr>
                <w:rFonts w:ascii="Arial" w:hAnsi="Arial" w:cs="Arial"/>
                <w:sz w:val="20"/>
                <w:szCs w:val="20"/>
                <w:lang w:eastAsia="en-GB"/>
              </w:rPr>
              <w:t xml:space="preserve">štvrťrok  </w:t>
            </w:r>
            <w:r>
              <w:rPr>
                <w:rFonts w:ascii="Arial" w:hAnsi="Arial" w:cs="Arial"/>
                <w:sz w:val="20"/>
                <w:szCs w:val="20"/>
                <w:lang w:eastAsia="en-GB"/>
              </w:rPr>
              <w:t>2012</w:t>
            </w:r>
          </w:p>
        </w:tc>
        <w:tc>
          <w:tcPr>
            <w:tcW w:w="5076" w:type="dxa"/>
            <w:vAlign w:val="center"/>
          </w:tcPr>
          <w:p w:rsidR="0079633A" w:rsidRPr="00F343D9" w:rsidRDefault="0079633A" w:rsidP="005D18B1">
            <w:pPr>
              <w:jc w:val="both"/>
              <w:rPr>
                <w:b/>
                <w:sz w:val="22"/>
                <w:szCs w:val="22"/>
                <w:lang w:eastAsia="en-GB"/>
              </w:rPr>
            </w:pPr>
            <w:r>
              <w:rPr>
                <w:rFonts w:ascii="Arial" w:hAnsi="Arial" w:cs="Arial"/>
                <w:sz w:val="20"/>
                <w:szCs w:val="20"/>
                <w:lang w:eastAsia="en-GB"/>
              </w:rPr>
              <w:t xml:space="preserve">RO </w:t>
            </w:r>
            <w:r w:rsidRPr="00F343D9">
              <w:rPr>
                <w:rFonts w:ascii="Arial" w:hAnsi="Arial" w:cs="Arial"/>
                <w:sz w:val="20"/>
                <w:szCs w:val="20"/>
                <w:lang w:eastAsia="en-GB"/>
              </w:rPr>
              <w:t xml:space="preserve"> </w:t>
            </w:r>
            <w:r>
              <w:rPr>
                <w:rFonts w:ascii="Arial" w:hAnsi="Arial" w:cs="Arial"/>
                <w:sz w:val="20"/>
                <w:szCs w:val="20"/>
                <w:lang w:eastAsia="en-GB"/>
              </w:rPr>
              <w:t>u</w:t>
            </w:r>
            <w:r w:rsidRPr="00F343D9">
              <w:rPr>
                <w:rFonts w:ascii="Arial" w:hAnsi="Arial" w:cs="Arial"/>
                <w:sz w:val="20"/>
                <w:szCs w:val="20"/>
                <w:lang w:eastAsia="en-GB"/>
              </w:rPr>
              <w:t>víta</w:t>
            </w:r>
            <w:r>
              <w:rPr>
                <w:rFonts w:ascii="Arial" w:hAnsi="Arial" w:cs="Arial"/>
                <w:sz w:val="20"/>
                <w:szCs w:val="20"/>
                <w:lang w:eastAsia="en-GB"/>
              </w:rPr>
              <w:t>l</w:t>
            </w:r>
            <w:r w:rsidRPr="00F343D9">
              <w:rPr>
                <w:rFonts w:ascii="Arial" w:hAnsi="Arial" w:cs="Arial"/>
                <w:sz w:val="20"/>
                <w:szCs w:val="20"/>
                <w:lang w:eastAsia="en-GB"/>
              </w:rPr>
              <w:t xml:space="preserve"> možnosť zorganizovania workshopu zameraného na aplikáciu EIA smernice. Organizácia uvedeného podujatia, týkajúceho sa prierezovo viacerých riadiacich orgánov, je však v pôsobnosti Centrálneho koordinačného orgánu.</w:t>
            </w:r>
            <w:r>
              <w:t xml:space="preserve"> </w:t>
            </w:r>
            <w:r>
              <w:rPr>
                <w:rFonts w:ascii="Arial" w:hAnsi="Arial" w:cs="Arial"/>
                <w:sz w:val="20"/>
                <w:szCs w:val="20"/>
                <w:lang w:eastAsia="en-GB"/>
              </w:rPr>
              <w:t>Podujatie</w:t>
            </w:r>
            <w:r w:rsidRPr="00C95C27">
              <w:rPr>
                <w:rFonts w:ascii="Arial" w:hAnsi="Arial" w:cs="Arial"/>
                <w:sz w:val="20"/>
                <w:szCs w:val="20"/>
                <w:lang w:eastAsia="en-GB"/>
              </w:rPr>
              <w:t xml:space="preserve"> sa do konca roka 2012 neuskutočnil</w:t>
            </w:r>
            <w:r>
              <w:rPr>
                <w:rFonts w:ascii="Arial" w:hAnsi="Arial" w:cs="Arial"/>
                <w:sz w:val="20"/>
                <w:szCs w:val="20"/>
                <w:lang w:eastAsia="en-GB"/>
              </w:rPr>
              <w:t>o</w:t>
            </w:r>
            <w:r w:rsidRPr="00C95C27">
              <w:rPr>
                <w:rFonts w:ascii="Arial" w:hAnsi="Arial" w:cs="Arial"/>
                <w:sz w:val="20"/>
                <w:szCs w:val="20"/>
                <w:lang w:eastAsia="en-GB"/>
              </w:rPr>
              <w:t>, nakoľko uvedená problematika je st</w:t>
            </w:r>
            <w:r>
              <w:rPr>
                <w:rFonts w:ascii="Arial" w:hAnsi="Arial" w:cs="Arial"/>
                <w:sz w:val="20"/>
                <w:szCs w:val="20"/>
                <w:lang w:eastAsia="en-GB"/>
              </w:rPr>
              <w:t>á</w:t>
            </w:r>
            <w:r w:rsidRPr="00C95C27">
              <w:rPr>
                <w:rFonts w:ascii="Arial" w:hAnsi="Arial" w:cs="Arial"/>
                <w:sz w:val="20"/>
                <w:szCs w:val="20"/>
                <w:lang w:eastAsia="en-GB"/>
              </w:rPr>
              <w:t>le v riešení.</w:t>
            </w:r>
            <w:r w:rsidRPr="00F343D9">
              <w:rPr>
                <w:rFonts w:ascii="Arial" w:hAnsi="Arial" w:cs="Arial"/>
                <w:sz w:val="20"/>
                <w:szCs w:val="20"/>
                <w:lang w:eastAsia="en-GB"/>
              </w:rPr>
              <w:t xml:space="preserve"> </w:t>
            </w:r>
          </w:p>
        </w:tc>
      </w:tr>
      <w:tr w:rsidR="0079633A" w:rsidRPr="00F343D9" w:rsidTr="003A3602">
        <w:trPr>
          <w:trHeight w:val="20"/>
          <w:jc w:val="center"/>
        </w:trPr>
        <w:tc>
          <w:tcPr>
            <w:tcW w:w="9259" w:type="dxa"/>
            <w:gridSpan w:val="3"/>
            <w:shd w:val="clear" w:color="auto" w:fill="D6E3BC"/>
            <w:vAlign w:val="center"/>
          </w:tcPr>
          <w:p w:rsidR="0079633A" w:rsidRPr="00F343D9" w:rsidRDefault="0079633A" w:rsidP="005D18B1">
            <w:pPr>
              <w:rPr>
                <w:b/>
                <w:lang w:eastAsia="en-GB"/>
              </w:rPr>
            </w:pPr>
            <w:r>
              <w:rPr>
                <w:rFonts w:ascii="Arial" w:hAnsi="Arial" w:cs="Arial"/>
                <w:b/>
                <w:sz w:val="20"/>
                <w:szCs w:val="20"/>
                <w:lang w:eastAsia="en-GB"/>
              </w:rPr>
              <w:t>5</w:t>
            </w:r>
            <w:r w:rsidRPr="00F343D9">
              <w:rPr>
                <w:rFonts w:ascii="Arial" w:hAnsi="Arial" w:cs="Arial"/>
                <w:b/>
                <w:sz w:val="20"/>
                <w:szCs w:val="20"/>
                <w:lang w:eastAsia="en-GB"/>
              </w:rPr>
              <w:t xml:space="preserve">.   </w:t>
            </w:r>
            <w:r>
              <w:rPr>
                <w:rFonts w:ascii="Arial" w:hAnsi="Arial" w:cs="Arial"/>
                <w:b/>
                <w:sz w:val="20"/>
                <w:szCs w:val="20"/>
                <w:lang w:eastAsia="en-GB"/>
              </w:rPr>
              <w:t>HODNOTENIE</w:t>
            </w:r>
          </w:p>
        </w:tc>
      </w:tr>
      <w:tr w:rsidR="0079633A" w:rsidRPr="00F343D9" w:rsidTr="003A3602">
        <w:trPr>
          <w:trHeight w:val="20"/>
          <w:jc w:val="center"/>
        </w:trPr>
        <w:tc>
          <w:tcPr>
            <w:tcW w:w="2863" w:type="dxa"/>
            <w:shd w:val="clear" w:color="auto" w:fill="EAF1DD"/>
            <w:vAlign w:val="center"/>
          </w:tcPr>
          <w:p w:rsidR="0079633A" w:rsidRPr="00F343D9" w:rsidRDefault="0079633A" w:rsidP="005D18B1">
            <w:pPr>
              <w:rPr>
                <w:rFonts w:ascii="Arial" w:hAnsi="Arial" w:cs="Arial"/>
                <w:b/>
                <w:sz w:val="20"/>
                <w:szCs w:val="20"/>
                <w:lang w:eastAsia="en-GB"/>
              </w:rPr>
            </w:pPr>
            <w:r w:rsidRPr="00F343D9">
              <w:rPr>
                <w:rFonts w:ascii="Arial" w:hAnsi="Arial" w:cs="Arial"/>
                <w:b/>
                <w:sz w:val="20"/>
                <w:szCs w:val="20"/>
                <w:lang w:eastAsia="en-GB"/>
              </w:rPr>
              <w:t>Úloha</w:t>
            </w:r>
          </w:p>
        </w:tc>
        <w:tc>
          <w:tcPr>
            <w:tcW w:w="1320" w:type="dxa"/>
            <w:shd w:val="clear" w:color="auto" w:fill="EAF1DD"/>
            <w:vAlign w:val="center"/>
          </w:tcPr>
          <w:p w:rsidR="0079633A" w:rsidRPr="00F343D9" w:rsidRDefault="0079633A" w:rsidP="005D18B1">
            <w:pPr>
              <w:rPr>
                <w:rFonts w:ascii="Arial" w:hAnsi="Arial" w:cs="Arial"/>
                <w:b/>
                <w:sz w:val="20"/>
                <w:szCs w:val="20"/>
                <w:lang w:eastAsia="en-GB"/>
              </w:rPr>
            </w:pPr>
            <w:r w:rsidRPr="00F343D9">
              <w:rPr>
                <w:rFonts w:ascii="Arial" w:hAnsi="Arial" w:cs="Arial"/>
                <w:b/>
                <w:sz w:val="20"/>
                <w:szCs w:val="20"/>
                <w:lang w:eastAsia="en-GB"/>
              </w:rPr>
              <w:t>Termín splnenia</w:t>
            </w:r>
          </w:p>
        </w:tc>
        <w:tc>
          <w:tcPr>
            <w:tcW w:w="5076" w:type="dxa"/>
            <w:shd w:val="clear" w:color="auto" w:fill="EAF1DD"/>
            <w:vAlign w:val="center"/>
          </w:tcPr>
          <w:p w:rsidR="0079633A" w:rsidRPr="00F343D9" w:rsidRDefault="0079633A" w:rsidP="005D18B1">
            <w:pPr>
              <w:jc w:val="both"/>
              <w:rPr>
                <w:rFonts w:ascii="Arial" w:hAnsi="Arial" w:cs="Arial"/>
                <w:b/>
                <w:sz w:val="20"/>
                <w:szCs w:val="20"/>
                <w:lang w:eastAsia="en-GB"/>
              </w:rPr>
            </w:pPr>
            <w:r w:rsidRPr="00F343D9">
              <w:rPr>
                <w:rFonts w:ascii="Arial" w:hAnsi="Arial" w:cs="Arial"/>
                <w:b/>
                <w:sz w:val="20"/>
                <w:szCs w:val="20"/>
                <w:lang w:eastAsia="en-GB"/>
              </w:rPr>
              <w:t>Stav a výsledky plnenia</w:t>
            </w:r>
          </w:p>
        </w:tc>
      </w:tr>
      <w:tr w:rsidR="0079633A" w:rsidRPr="004C0F30" w:rsidTr="003A3602">
        <w:trPr>
          <w:trHeight w:val="20"/>
          <w:jc w:val="center"/>
        </w:trPr>
        <w:tc>
          <w:tcPr>
            <w:tcW w:w="2863" w:type="dxa"/>
          </w:tcPr>
          <w:p w:rsidR="0079633A" w:rsidRPr="00F343D9" w:rsidRDefault="0079633A" w:rsidP="005D18B1">
            <w:pPr>
              <w:jc w:val="both"/>
              <w:rPr>
                <w:rFonts w:ascii="Arial" w:hAnsi="Arial" w:cs="Arial"/>
                <w:sz w:val="20"/>
                <w:szCs w:val="20"/>
                <w:lang w:eastAsia="en-GB"/>
              </w:rPr>
            </w:pPr>
            <w:r w:rsidRPr="004C0F30">
              <w:rPr>
                <w:rFonts w:ascii="Arial" w:hAnsi="Arial" w:cs="Arial"/>
                <w:sz w:val="20"/>
                <w:szCs w:val="20"/>
                <w:lang w:eastAsia="en-GB"/>
              </w:rPr>
              <w:t>Zabezpečovať hodnotenie vplyvu a dopadu Štrukturálnych fondov (v operačnom programe, ako aj na úrovni Národného strategického referenčného rámca), s použitím uvedených výsledkov pri vypracúvaní  Výročnej správy o vykonávaní OP ŽP, strategických správach a zároveň aj ako hlavný vstup pri definovaní priorít na obdobie po roku 2013</w:t>
            </w:r>
          </w:p>
        </w:tc>
        <w:tc>
          <w:tcPr>
            <w:tcW w:w="1320" w:type="dxa"/>
            <w:vAlign w:val="center"/>
          </w:tcPr>
          <w:p w:rsidR="0079633A" w:rsidRPr="00F343D9" w:rsidRDefault="0079633A" w:rsidP="005D18B1">
            <w:pPr>
              <w:jc w:val="both"/>
              <w:rPr>
                <w:rFonts w:ascii="Arial" w:hAnsi="Arial" w:cs="Arial"/>
                <w:sz w:val="20"/>
                <w:szCs w:val="20"/>
                <w:lang w:eastAsia="en-GB"/>
              </w:rPr>
            </w:pPr>
            <w:r>
              <w:rPr>
                <w:rFonts w:ascii="Arial" w:hAnsi="Arial" w:cs="Arial"/>
                <w:sz w:val="20"/>
                <w:szCs w:val="20"/>
                <w:lang w:eastAsia="en-GB"/>
              </w:rPr>
              <w:t>2012</w:t>
            </w:r>
          </w:p>
        </w:tc>
        <w:tc>
          <w:tcPr>
            <w:tcW w:w="5076" w:type="dxa"/>
            <w:vAlign w:val="center"/>
          </w:tcPr>
          <w:p w:rsidR="0079633A" w:rsidRPr="004C0F30" w:rsidRDefault="0079633A" w:rsidP="005D18B1">
            <w:pPr>
              <w:jc w:val="both"/>
              <w:rPr>
                <w:rFonts w:ascii="Arial" w:hAnsi="Arial" w:cs="Arial"/>
                <w:sz w:val="20"/>
                <w:szCs w:val="20"/>
                <w:lang w:eastAsia="en-GB"/>
              </w:rPr>
            </w:pPr>
            <w:r w:rsidRPr="004C0F30">
              <w:rPr>
                <w:rFonts w:ascii="Arial" w:hAnsi="Arial" w:cs="Arial"/>
                <w:sz w:val="20"/>
                <w:szCs w:val="20"/>
                <w:lang w:eastAsia="en-GB"/>
              </w:rPr>
              <w:t>RO  bude pri vykonávaní hodnotení OP ŽP postupovať v súlade s Plánom hodnotení OP ŽP na rok 2012, ktorý bol na konci januára 2012 predložený Centrálnemu koordinačnému orgánu.</w:t>
            </w:r>
          </w:p>
          <w:p w:rsidR="0079633A" w:rsidRPr="004C0F30" w:rsidRDefault="0079633A" w:rsidP="005D18B1">
            <w:pPr>
              <w:jc w:val="both"/>
              <w:rPr>
                <w:rFonts w:ascii="Arial" w:hAnsi="Arial" w:cs="Arial"/>
                <w:sz w:val="20"/>
                <w:szCs w:val="20"/>
                <w:lang w:eastAsia="en-GB"/>
              </w:rPr>
            </w:pPr>
            <w:r w:rsidRPr="004C0F30">
              <w:rPr>
                <w:rFonts w:ascii="Arial" w:hAnsi="Arial" w:cs="Arial"/>
                <w:sz w:val="20"/>
                <w:szCs w:val="20"/>
                <w:lang w:eastAsia="en-GB"/>
              </w:rPr>
              <w:t xml:space="preserve">V súlade s uvedeným plánom vykonával RO  ŽP v 1. štvrťroku 2012 operatívne hodnotenie OP ŽP, zamerané na posúdenie aktuálneho stavu implementácie OP ŽP (k 31.12.2011),  a to najmä na nasledujúce ciele:     </w:t>
            </w:r>
          </w:p>
          <w:p w:rsidR="0079633A" w:rsidRPr="004C0F30" w:rsidRDefault="0079633A" w:rsidP="005D18B1">
            <w:pPr>
              <w:jc w:val="both"/>
              <w:rPr>
                <w:rFonts w:ascii="Arial" w:hAnsi="Arial" w:cs="Arial"/>
                <w:sz w:val="20"/>
                <w:szCs w:val="20"/>
                <w:lang w:eastAsia="en-GB"/>
              </w:rPr>
            </w:pPr>
            <w:r w:rsidRPr="004C0F30">
              <w:rPr>
                <w:rFonts w:ascii="Arial" w:hAnsi="Arial" w:cs="Arial"/>
                <w:sz w:val="20"/>
                <w:szCs w:val="20"/>
                <w:lang w:eastAsia="en-GB"/>
              </w:rPr>
              <w:t xml:space="preserve">- analýzu stavu plnenia cieľov každej z  prioritných osí OP ŽP vyjadreného prostredníctvom </w:t>
            </w:r>
            <w:r>
              <w:rPr>
                <w:rFonts w:ascii="Arial" w:hAnsi="Arial" w:cs="Arial"/>
                <w:sz w:val="20"/>
                <w:szCs w:val="20"/>
                <w:lang w:eastAsia="en-GB"/>
              </w:rPr>
              <w:t>súboru merateľných ukazovateľov;</w:t>
            </w:r>
            <w:r w:rsidRPr="004C0F30">
              <w:rPr>
                <w:rFonts w:ascii="Arial" w:hAnsi="Arial" w:cs="Arial"/>
                <w:sz w:val="20"/>
                <w:szCs w:val="20"/>
                <w:lang w:eastAsia="en-GB"/>
              </w:rPr>
              <w:t xml:space="preserve">  </w:t>
            </w:r>
          </w:p>
          <w:p w:rsidR="0079633A" w:rsidRPr="004C0F30" w:rsidRDefault="0079633A" w:rsidP="005D18B1">
            <w:pPr>
              <w:jc w:val="both"/>
              <w:rPr>
                <w:rFonts w:ascii="Arial" w:hAnsi="Arial" w:cs="Arial"/>
                <w:sz w:val="20"/>
                <w:szCs w:val="20"/>
                <w:lang w:eastAsia="en-GB"/>
              </w:rPr>
            </w:pPr>
            <w:r w:rsidRPr="004C0F30">
              <w:rPr>
                <w:rFonts w:ascii="Arial" w:hAnsi="Arial" w:cs="Arial"/>
                <w:sz w:val="20"/>
                <w:szCs w:val="20"/>
                <w:lang w:eastAsia="en-GB"/>
              </w:rPr>
              <w:t>- zhodnotenie predpokladov dosiahnutia plánovaných hodnôt merateľných ukazovateľov stanovených v OP ŽP vzhľadom na aktuálny stav zazmluvnenia projektov podľa</w:t>
            </w:r>
            <w:r>
              <w:rPr>
                <w:rFonts w:ascii="Arial" w:hAnsi="Arial" w:cs="Arial"/>
                <w:sz w:val="20"/>
                <w:szCs w:val="20"/>
                <w:lang w:eastAsia="en-GB"/>
              </w:rPr>
              <w:t xml:space="preserve"> jednotlivých prioritných osí;</w:t>
            </w:r>
          </w:p>
          <w:p w:rsidR="0079633A" w:rsidRPr="004C0F30" w:rsidRDefault="0079633A" w:rsidP="005D18B1">
            <w:pPr>
              <w:jc w:val="both"/>
              <w:rPr>
                <w:rFonts w:ascii="Arial" w:hAnsi="Arial" w:cs="Arial"/>
                <w:sz w:val="20"/>
                <w:szCs w:val="20"/>
                <w:lang w:eastAsia="en-GB"/>
              </w:rPr>
            </w:pPr>
            <w:r w:rsidRPr="004C0F30">
              <w:rPr>
                <w:rFonts w:ascii="Arial" w:hAnsi="Arial" w:cs="Arial"/>
                <w:sz w:val="20"/>
                <w:szCs w:val="20"/>
                <w:lang w:eastAsia="en-GB"/>
              </w:rPr>
              <w:t>- posúdenie príspevku OP ŽP a jeho jednotlivých prioritných osí k plneniu cie</w:t>
            </w:r>
            <w:r w:rsidRPr="004C0F30">
              <w:rPr>
                <w:rFonts w:ascii="Arial" w:hAnsi="Arial" w:cs="Arial" w:hint="eastAsia"/>
                <w:sz w:val="20"/>
                <w:szCs w:val="20"/>
                <w:lang w:eastAsia="en-GB"/>
              </w:rPr>
              <w:t>ľ</w:t>
            </w:r>
            <w:r w:rsidRPr="004C0F30">
              <w:rPr>
                <w:rFonts w:ascii="Arial" w:hAnsi="Arial" w:cs="Arial"/>
                <w:sz w:val="20"/>
                <w:szCs w:val="20"/>
                <w:lang w:eastAsia="en-GB"/>
              </w:rPr>
              <w:t>ov politiky súdržnosti, najmä cieľov stratégie Európa 2020</w:t>
            </w:r>
            <w:r>
              <w:rPr>
                <w:rFonts w:ascii="Arial" w:hAnsi="Arial" w:cs="Arial"/>
                <w:sz w:val="20"/>
                <w:szCs w:val="20"/>
                <w:lang w:eastAsia="en-GB"/>
              </w:rPr>
              <w:t xml:space="preserve"> a Národného programu reforiem.</w:t>
            </w:r>
          </w:p>
          <w:p w:rsidR="0079633A" w:rsidRPr="004C0F30" w:rsidRDefault="0079633A" w:rsidP="005D18B1">
            <w:pPr>
              <w:jc w:val="both"/>
              <w:rPr>
                <w:rFonts w:ascii="Arial" w:hAnsi="Arial" w:cs="Arial"/>
                <w:sz w:val="20"/>
                <w:szCs w:val="20"/>
                <w:lang w:eastAsia="en-GB"/>
              </w:rPr>
            </w:pPr>
            <w:r w:rsidRPr="004C0F30">
              <w:rPr>
                <w:rFonts w:ascii="Arial" w:hAnsi="Arial" w:cs="Arial"/>
                <w:sz w:val="20"/>
                <w:szCs w:val="20"/>
                <w:lang w:eastAsia="en-GB"/>
              </w:rPr>
              <w:t xml:space="preserve">Výsledky  získané v procese uvedeného hodnotenia </w:t>
            </w:r>
            <w:r w:rsidR="00193CE6">
              <w:rPr>
                <w:rFonts w:ascii="Arial" w:hAnsi="Arial" w:cs="Arial"/>
                <w:sz w:val="20"/>
                <w:szCs w:val="20"/>
                <w:lang w:eastAsia="en-GB"/>
              </w:rPr>
              <w:t>boli</w:t>
            </w:r>
            <w:r w:rsidR="00193CE6" w:rsidRPr="004C0F30">
              <w:rPr>
                <w:rFonts w:ascii="Arial" w:hAnsi="Arial" w:cs="Arial"/>
                <w:sz w:val="20"/>
                <w:szCs w:val="20"/>
                <w:lang w:eastAsia="en-GB"/>
              </w:rPr>
              <w:t xml:space="preserve"> </w:t>
            </w:r>
            <w:r w:rsidRPr="004C0F30">
              <w:rPr>
                <w:rFonts w:ascii="Arial" w:hAnsi="Arial" w:cs="Arial"/>
                <w:sz w:val="20"/>
                <w:szCs w:val="20"/>
                <w:lang w:eastAsia="en-GB"/>
              </w:rPr>
              <w:t>použité v rámci výročnej správy o vykonávaní OP ŽP za r</w:t>
            </w:r>
            <w:r>
              <w:rPr>
                <w:rFonts w:ascii="Arial" w:hAnsi="Arial" w:cs="Arial"/>
                <w:sz w:val="20"/>
                <w:szCs w:val="20"/>
                <w:lang w:eastAsia="en-GB"/>
              </w:rPr>
              <w:t>ok</w:t>
            </w:r>
            <w:r w:rsidRPr="004C0F30">
              <w:rPr>
                <w:rFonts w:ascii="Arial" w:hAnsi="Arial" w:cs="Arial"/>
                <w:sz w:val="20"/>
                <w:szCs w:val="20"/>
                <w:lang w:eastAsia="en-GB"/>
              </w:rPr>
              <w:t xml:space="preserve"> 2011 a zároveň ich tiež  bude možné využiť pri príprave Strategickej správy v súlade s požiadavkami Centrálneho koordinačného orgánu.    </w:t>
            </w:r>
          </w:p>
          <w:p w:rsidR="0079633A" w:rsidRDefault="0079633A" w:rsidP="005D18B1">
            <w:pPr>
              <w:jc w:val="both"/>
              <w:rPr>
                <w:rFonts w:ascii="Arial" w:hAnsi="Arial" w:cs="Arial"/>
                <w:sz w:val="20"/>
                <w:szCs w:val="20"/>
                <w:lang w:eastAsia="en-GB"/>
              </w:rPr>
            </w:pPr>
            <w:r w:rsidRPr="004C0F30">
              <w:rPr>
                <w:rFonts w:ascii="Arial" w:hAnsi="Arial" w:cs="Arial"/>
                <w:sz w:val="20"/>
                <w:szCs w:val="20"/>
                <w:lang w:eastAsia="en-GB"/>
              </w:rPr>
              <w:t>RO  vykonal k 30.</w:t>
            </w:r>
            <w:r w:rsidR="0090392E">
              <w:rPr>
                <w:rFonts w:ascii="Arial" w:hAnsi="Arial" w:cs="Arial"/>
                <w:sz w:val="20"/>
                <w:szCs w:val="20"/>
                <w:lang w:eastAsia="en-GB"/>
              </w:rPr>
              <w:t>0</w:t>
            </w:r>
            <w:r w:rsidRPr="004C0F30">
              <w:rPr>
                <w:rFonts w:ascii="Arial" w:hAnsi="Arial" w:cs="Arial"/>
                <w:sz w:val="20"/>
                <w:szCs w:val="20"/>
                <w:lang w:eastAsia="en-GB"/>
              </w:rPr>
              <w:t>9.2012 operatívne hodnotenie OP ŽP. Cieľom operatívneho hodnotenia OP ŽP bolo identifikovať a zhodnotiť príspevok OP ŽP k plneniu cieľov a priorít politiky súdržnosti a zhodnotiť aktuálny stav implementácie OP ŽP. Nedeliteľnou súčasťou operatívneho hodnotenia bola identifikácia oblastí intervencie, v ktorých dochádza, resp. by mohlo dôjsť k ťažkostiam s ich vykonávaním a pre ktoré je potrebné prijať adekvátne opatrenia.</w:t>
            </w:r>
            <w:r>
              <w:rPr>
                <w:rFonts w:ascii="Arial" w:hAnsi="Arial" w:cs="Arial"/>
                <w:sz w:val="20"/>
                <w:szCs w:val="20"/>
                <w:lang w:eastAsia="en-GB"/>
              </w:rPr>
              <w:t xml:space="preserve"> </w:t>
            </w:r>
            <w:r w:rsidRPr="004C0F30">
              <w:rPr>
                <w:rFonts w:ascii="Arial" w:hAnsi="Arial" w:cs="Arial"/>
                <w:sz w:val="20"/>
                <w:szCs w:val="20"/>
                <w:lang w:eastAsia="en-GB"/>
              </w:rPr>
              <w:t xml:space="preserve">V rámci záverov operatívneho hodnotenia OP ŽP bola zároveň posúdená potreba vykonania revízie OP ŽP vzhľadom na výsledky priebežného hodnotenia uvedeného v čl. 48 ods. 3 všeobecného nariadenia a sformulované konkrétne odporúčania na vykonanie revízie príslušných častí  OP ŽP. </w:t>
            </w:r>
          </w:p>
          <w:p w:rsidR="0079633A" w:rsidRPr="004C0F30" w:rsidRDefault="0079633A" w:rsidP="005D18B1">
            <w:pPr>
              <w:jc w:val="both"/>
              <w:rPr>
                <w:rFonts w:ascii="Arial" w:hAnsi="Arial" w:cs="Arial"/>
                <w:sz w:val="20"/>
                <w:szCs w:val="20"/>
                <w:lang w:eastAsia="en-GB"/>
              </w:rPr>
            </w:pPr>
            <w:r w:rsidRPr="004C0F30">
              <w:rPr>
                <w:rFonts w:ascii="Arial" w:hAnsi="Arial" w:cs="Arial"/>
                <w:sz w:val="20"/>
                <w:szCs w:val="20"/>
                <w:lang w:eastAsia="en-GB"/>
              </w:rPr>
              <w:t>Dňa 18.12.2012 sa uskutočnilo zasadnutie MV pre OP ŽP, ktorého súčasťou bolo schválenie návrhu revízie OP ŽP verzia 4.0.</w:t>
            </w:r>
            <w:r w:rsidR="0090392E">
              <w:rPr>
                <w:rFonts w:ascii="Arial" w:hAnsi="Arial" w:cs="Arial"/>
                <w:sz w:val="20"/>
                <w:szCs w:val="20"/>
                <w:lang w:eastAsia="en-GB"/>
              </w:rPr>
              <w:t>.</w:t>
            </w:r>
            <w:r w:rsidRPr="004C0F30">
              <w:rPr>
                <w:rFonts w:ascii="Arial" w:hAnsi="Arial" w:cs="Arial"/>
                <w:sz w:val="20"/>
                <w:szCs w:val="20"/>
                <w:lang w:eastAsia="en-GB"/>
              </w:rPr>
              <w:t xml:space="preserve"> Hlavným cieľom navrhov</w:t>
            </w:r>
            <w:r>
              <w:rPr>
                <w:rFonts w:ascii="Arial" w:hAnsi="Arial" w:cs="Arial"/>
                <w:sz w:val="20"/>
                <w:szCs w:val="20"/>
                <w:lang w:eastAsia="en-GB"/>
              </w:rPr>
              <w:t>anej revízie</w:t>
            </w:r>
            <w:r w:rsidRPr="004C0F30">
              <w:rPr>
                <w:rFonts w:ascii="Arial" w:hAnsi="Arial" w:cs="Arial"/>
                <w:sz w:val="20"/>
                <w:szCs w:val="20"/>
                <w:lang w:eastAsia="en-GB"/>
              </w:rPr>
              <w:t xml:space="preserve"> bolo zohľadnenie potrieb vyplývajúcich z procesu implementácie OP ŽP v zmysle záverov interného hodnotenia zameraného na  posúdenie aktuálneho stavu implementácie OP ŽP.  </w:t>
            </w:r>
            <w:r w:rsidR="0090392E">
              <w:rPr>
                <w:rFonts w:ascii="Arial" w:hAnsi="Arial" w:cs="Arial"/>
                <w:sz w:val="20"/>
                <w:szCs w:val="20"/>
                <w:lang w:eastAsia="en-GB"/>
              </w:rPr>
              <w:t>RO</w:t>
            </w:r>
            <w:r w:rsidRPr="004C0F30">
              <w:rPr>
                <w:rFonts w:ascii="Arial" w:hAnsi="Arial" w:cs="Arial"/>
                <w:sz w:val="20"/>
                <w:szCs w:val="20"/>
                <w:lang w:eastAsia="en-GB"/>
              </w:rPr>
              <w:t xml:space="preserve"> zároveň navrhovanou revíziou vyjadruje zámer:</w:t>
            </w:r>
          </w:p>
          <w:p w:rsidR="0079633A" w:rsidRPr="004C0F30" w:rsidRDefault="0079633A" w:rsidP="005D18B1">
            <w:pPr>
              <w:jc w:val="both"/>
              <w:rPr>
                <w:rFonts w:ascii="Arial" w:hAnsi="Arial" w:cs="Arial"/>
                <w:sz w:val="20"/>
                <w:szCs w:val="20"/>
                <w:lang w:eastAsia="en-GB"/>
              </w:rPr>
            </w:pPr>
            <w:r w:rsidRPr="004C0F30">
              <w:rPr>
                <w:rFonts w:ascii="Arial" w:hAnsi="Arial" w:cs="Arial"/>
                <w:sz w:val="20"/>
                <w:szCs w:val="20"/>
                <w:lang w:eastAsia="en-GB"/>
              </w:rPr>
              <w:t>-</w:t>
            </w:r>
            <w:r w:rsidRPr="004C0F30">
              <w:rPr>
                <w:rFonts w:ascii="Arial" w:hAnsi="Arial" w:cs="Arial"/>
                <w:sz w:val="20"/>
                <w:szCs w:val="20"/>
                <w:lang w:eastAsia="en-GB"/>
              </w:rPr>
              <w:tab/>
              <w:t>predísť možnému nedočerpaniu zdrojov v rámci operačného cieľa 4.4 Riešenie problematiky environmentálnych záťaží vrátane jej odstraňovania v rámci prioritnej osi 4 Odpadové hospodárstvo.</w:t>
            </w:r>
          </w:p>
          <w:p w:rsidR="0079633A" w:rsidRPr="004C0F30" w:rsidRDefault="0079633A" w:rsidP="005D18B1">
            <w:pPr>
              <w:jc w:val="both"/>
              <w:rPr>
                <w:rFonts w:ascii="Arial" w:hAnsi="Arial" w:cs="Arial"/>
                <w:sz w:val="20"/>
                <w:szCs w:val="20"/>
                <w:lang w:eastAsia="en-GB"/>
              </w:rPr>
            </w:pPr>
            <w:r w:rsidRPr="004C0F30">
              <w:rPr>
                <w:rFonts w:ascii="Arial" w:hAnsi="Arial" w:cs="Arial"/>
                <w:sz w:val="20"/>
                <w:szCs w:val="20"/>
                <w:lang w:eastAsia="en-GB"/>
              </w:rPr>
              <w:t>-</w:t>
            </w:r>
            <w:r w:rsidRPr="004C0F30">
              <w:rPr>
                <w:rFonts w:ascii="Arial" w:hAnsi="Arial" w:cs="Arial"/>
                <w:sz w:val="20"/>
                <w:szCs w:val="20"/>
                <w:lang w:eastAsia="en-GB"/>
              </w:rPr>
              <w:tab/>
              <w:t xml:space="preserve">zmierniť deficit disponibilných verejných zdrojov na plnenie záväzkov SR v oblasti odvádzania a čistenia komunálnych odpadových vôd vyplývajúcich zo Zmluvy o pristúpení k EÚ; </w:t>
            </w:r>
          </w:p>
          <w:p w:rsidR="0079633A" w:rsidRPr="008D6C31" w:rsidRDefault="0079633A" w:rsidP="005D18B1">
            <w:pPr>
              <w:jc w:val="both"/>
              <w:rPr>
                <w:rFonts w:ascii="Arial" w:hAnsi="Arial" w:cs="Arial"/>
                <w:sz w:val="20"/>
                <w:szCs w:val="20"/>
                <w:lang w:eastAsia="en-GB"/>
              </w:rPr>
            </w:pPr>
            <w:r w:rsidRPr="004C0F30">
              <w:rPr>
                <w:rFonts w:ascii="Arial" w:hAnsi="Arial" w:cs="Arial"/>
                <w:sz w:val="20"/>
                <w:szCs w:val="20"/>
                <w:lang w:eastAsia="en-GB"/>
              </w:rPr>
              <w:t>-</w:t>
            </w:r>
            <w:r w:rsidRPr="004C0F30">
              <w:rPr>
                <w:rFonts w:ascii="Arial" w:hAnsi="Arial" w:cs="Arial"/>
                <w:sz w:val="20"/>
                <w:szCs w:val="20"/>
                <w:lang w:eastAsia="en-GB"/>
              </w:rPr>
              <w:tab/>
              <w:t>zmierniť možné negatívne dopady finančných sankcií zo strany EÚ voči SR za prípadné nesplnenie uvedených záväzkov.</w:t>
            </w:r>
          </w:p>
        </w:tc>
      </w:tr>
      <w:tr w:rsidR="0079633A" w:rsidRPr="004C0F30" w:rsidTr="003A3602">
        <w:trPr>
          <w:trHeight w:val="20"/>
          <w:jc w:val="center"/>
        </w:trPr>
        <w:tc>
          <w:tcPr>
            <w:tcW w:w="2863" w:type="dxa"/>
          </w:tcPr>
          <w:p w:rsidR="0079633A" w:rsidRPr="004C0F30" w:rsidRDefault="0079633A" w:rsidP="005D18B1">
            <w:pPr>
              <w:jc w:val="both"/>
              <w:rPr>
                <w:rFonts w:ascii="Arial" w:hAnsi="Arial" w:cs="Arial"/>
                <w:sz w:val="20"/>
                <w:szCs w:val="20"/>
                <w:lang w:eastAsia="en-GB"/>
              </w:rPr>
            </w:pPr>
            <w:r w:rsidRPr="004C0F30">
              <w:rPr>
                <w:rFonts w:ascii="Arial" w:hAnsi="Arial" w:cs="Arial"/>
                <w:sz w:val="20"/>
                <w:szCs w:val="20"/>
                <w:lang w:eastAsia="en-GB"/>
              </w:rPr>
              <w:t>Posilniť hodnotiaci mechanizmus a administratívne kapacity  za účelom dosiahnutia lepších výsledkov a vyššej úspešnosti projektov spolufinancovaných EK v zmysle efektívnosti, hospodárnosti, udržateľnosti a širšieho socio-ekonomického rozmeru</w:t>
            </w:r>
          </w:p>
        </w:tc>
        <w:tc>
          <w:tcPr>
            <w:tcW w:w="1320" w:type="dxa"/>
            <w:vAlign w:val="center"/>
          </w:tcPr>
          <w:p w:rsidR="0079633A" w:rsidRPr="00F343D9" w:rsidRDefault="0079633A" w:rsidP="005D18B1">
            <w:pPr>
              <w:jc w:val="both"/>
              <w:rPr>
                <w:rFonts w:ascii="Arial" w:hAnsi="Arial" w:cs="Arial"/>
                <w:sz w:val="20"/>
                <w:szCs w:val="20"/>
                <w:lang w:eastAsia="en-GB"/>
              </w:rPr>
            </w:pPr>
            <w:r>
              <w:rPr>
                <w:rFonts w:ascii="Arial" w:hAnsi="Arial" w:cs="Arial"/>
                <w:sz w:val="20"/>
                <w:szCs w:val="20"/>
                <w:lang w:eastAsia="en-GB"/>
              </w:rPr>
              <w:t>priebežne</w:t>
            </w:r>
          </w:p>
        </w:tc>
        <w:tc>
          <w:tcPr>
            <w:tcW w:w="5076" w:type="dxa"/>
            <w:vAlign w:val="center"/>
          </w:tcPr>
          <w:p w:rsidR="0079633A" w:rsidRPr="00F41A55" w:rsidRDefault="0079633A" w:rsidP="005D18B1">
            <w:pPr>
              <w:jc w:val="both"/>
              <w:rPr>
                <w:rFonts w:ascii="Arial" w:hAnsi="Arial" w:cs="Arial"/>
                <w:sz w:val="20"/>
                <w:szCs w:val="20"/>
                <w:lang w:eastAsia="en-GB"/>
              </w:rPr>
            </w:pPr>
            <w:r w:rsidRPr="00F41A55">
              <w:rPr>
                <w:rFonts w:ascii="Arial" w:hAnsi="Arial" w:cs="Arial"/>
                <w:sz w:val="20"/>
                <w:szCs w:val="20"/>
                <w:lang w:eastAsia="en-GB"/>
              </w:rPr>
              <w:t>RO  sa usiluje o posilnenie mechanizmov a administratívnych  kapacít na vykonávanie hodnotení predovšetkým účasťou manažérov hodnotenia na seminároch zameraných na aktuálne otázky v oblasti  hodnotenia programov a na školeniach so zameraním na metódy hodnotenia. Z hľadiska výmeny skúseností s riadiacimi orgánmi iných operačných programov a získavania aktuálny</w:t>
            </w:r>
            <w:r>
              <w:rPr>
                <w:rFonts w:ascii="Arial" w:hAnsi="Arial" w:cs="Arial"/>
                <w:sz w:val="20"/>
                <w:szCs w:val="20"/>
                <w:lang w:eastAsia="en-GB"/>
              </w:rPr>
              <w:t>c</w:t>
            </w:r>
            <w:r w:rsidRPr="00F41A55">
              <w:rPr>
                <w:rFonts w:ascii="Arial" w:hAnsi="Arial" w:cs="Arial"/>
                <w:sz w:val="20"/>
                <w:szCs w:val="20"/>
                <w:lang w:eastAsia="en-GB"/>
              </w:rPr>
              <w:t>h informácií z oblasti hodnotenia možno považovať za užitočnú tiež účasť v Pracovnej skupine pre hodnotenie riadenej   Centrálnym koordinačným orgánom.</w:t>
            </w:r>
          </w:p>
          <w:p w:rsidR="0079633A" w:rsidRPr="004C0F30" w:rsidRDefault="0079633A" w:rsidP="005D18B1">
            <w:pPr>
              <w:jc w:val="both"/>
              <w:rPr>
                <w:rFonts w:ascii="Arial" w:hAnsi="Arial" w:cs="Arial"/>
                <w:sz w:val="20"/>
                <w:szCs w:val="20"/>
                <w:lang w:eastAsia="en-GB"/>
              </w:rPr>
            </w:pPr>
            <w:r w:rsidRPr="00F41A55">
              <w:rPr>
                <w:rFonts w:ascii="Arial" w:hAnsi="Arial" w:cs="Arial"/>
                <w:sz w:val="20"/>
                <w:szCs w:val="20"/>
                <w:lang w:eastAsia="en-GB"/>
              </w:rPr>
              <w:t>Pre posilnenie kvality a nezávislosti hodnotení  je dôležité tiež vykonávanie externých hodnotení, čoho predpokladom je vykonanie verejného obstarávania vecne prí</w:t>
            </w:r>
            <w:r>
              <w:rPr>
                <w:rFonts w:ascii="Arial" w:hAnsi="Arial" w:cs="Arial"/>
                <w:sz w:val="20"/>
                <w:szCs w:val="20"/>
                <w:lang w:eastAsia="en-GB"/>
              </w:rPr>
              <w:t>slušn</w:t>
            </w:r>
            <w:r w:rsidRPr="00F41A55">
              <w:rPr>
                <w:rFonts w:ascii="Arial" w:hAnsi="Arial" w:cs="Arial"/>
                <w:sz w:val="20"/>
                <w:szCs w:val="20"/>
                <w:lang w:eastAsia="en-GB"/>
              </w:rPr>
              <w:t>ým útvarom MŽP SR.</w:t>
            </w:r>
          </w:p>
        </w:tc>
      </w:tr>
      <w:tr w:rsidR="0079633A" w:rsidRPr="004C0F30" w:rsidTr="003A3602">
        <w:trPr>
          <w:trHeight w:val="20"/>
          <w:jc w:val="center"/>
        </w:trPr>
        <w:tc>
          <w:tcPr>
            <w:tcW w:w="2863" w:type="dxa"/>
          </w:tcPr>
          <w:p w:rsidR="0079633A" w:rsidRPr="004C0F30" w:rsidRDefault="0079633A" w:rsidP="005D18B1">
            <w:pPr>
              <w:jc w:val="both"/>
              <w:rPr>
                <w:rFonts w:ascii="Arial" w:hAnsi="Arial" w:cs="Arial"/>
                <w:sz w:val="20"/>
                <w:szCs w:val="20"/>
                <w:lang w:eastAsia="en-GB"/>
              </w:rPr>
            </w:pPr>
            <w:r w:rsidRPr="004C0F30">
              <w:rPr>
                <w:rFonts w:ascii="Arial" w:hAnsi="Arial" w:cs="Arial"/>
                <w:sz w:val="20"/>
                <w:szCs w:val="20"/>
                <w:lang w:eastAsia="en-GB"/>
              </w:rPr>
              <w:t xml:space="preserve">Zlepšiť kvalitu hodnotenia a používanie rovnakých metód hodnotenia ukazovateľov (najmä </w:t>
            </w:r>
            <w:r w:rsidR="008F2A89">
              <w:rPr>
                <w:rFonts w:ascii="Arial" w:hAnsi="Arial" w:cs="Arial"/>
                <w:sz w:val="20"/>
                <w:szCs w:val="20"/>
                <w:lang w:eastAsia="en-GB"/>
              </w:rPr>
              <w:t>CORE</w:t>
            </w:r>
            <w:r w:rsidRPr="004C0F30">
              <w:rPr>
                <w:rFonts w:ascii="Arial" w:hAnsi="Arial" w:cs="Arial"/>
                <w:sz w:val="20"/>
                <w:szCs w:val="20"/>
                <w:lang w:eastAsia="en-GB"/>
              </w:rPr>
              <w:t xml:space="preserve"> ukazovateľov) a zhodnotenia príspevku OP ŽP k plneniu cieľov stratégie Európa 2020 pri vypracúvaní  Výročnej správy o vykonávaní OP ŽP (ako aj pri iných správach)</w:t>
            </w:r>
          </w:p>
          <w:p w:rsidR="0079633A" w:rsidRPr="00F343D9" w:rsidRDefault="0079633A" w:rsidP="005D18B1">
            <w:pPr>
              <w:jc w:val="both"/>
              <w:rPr>
                <w:rFonts w:ascii="Arial" w:hAnsi="Arial" w:cs="Arial"/>
                <w:sz w:val="20"/>
                <w:szCs w:val="20"/>
                <w:lang w:eastAsia="en-GB"/>
              </w:rPr>
            </w:pPr>
            <w:r w:rsidRPr="004C0F30">
              <w:rPr>
                <w:rFonts w:ascii="Arial" w:hAnsi="Arial" w:cs="Arial"/>
                <w:sz w:val="20"/>
                <w:szCs w:val="20"/>
                <w:lang w:eastAsia="en-GB"/>
              </w:rPr>
              <w:t xml:space="preserve"> -   Úprava riadiacej dokumentácie zo strany Centrálneho koordinačného orgánu pre riadiace orgány a kontrola implementácie</w:t>
            </w:r>
          </w:p>
        </w:tc>
        <w:tc>
          <w:tcPr>
            <w:tcW w:w="1320" w:type="dxa"/>
            <w:vAlign w:val="center"/>
          </w:tcPr>
          <w:p w:rsidR="0079633A" w:rsidRPr="00F343D9" w:rsidRDefault="0079633A" w:rsidP="005D18B1">
            <w:pPr>
              <w:rPr>
                <w:rFonts w:ascii="Arial" w:hAnsi="Arial" w:cs="Arial"/>
                <w:sz w:val="20"/>
                <w:szCs w:val="20"/>
                <w:lang w:eastAsia="en-GB"/>
              </w:rPr>
            </w:pPr>
            <w:r>
              <w:rPr>
                <w:rFonts w:ascii="Arial" w:hAnsi="Arial" w:cs="Arial"/>
                <w:sz w:val="20"/>
                <w:szCs w:val="20"/>
                <w:lang w:eastAsia="en-GB"/>
              </w:rPr>
              <w:t xml:space="preserve">1. </w:t>
            </w:r>
            <w:r w:rsidRPr="008D6C31">
              <w:rPr>
                <w:rFonts w:ascii="Arial" w:hAnsi="Arial" w:cs="Arial"/>
                <w:sz w:val="20"/>
                <w:szCs w:val="20"/>
                <w:lang w:eastAsia="en-GB"/>
              </w:rPr>
              <w:t xml:space="preserve">štvrťrok  </w:t>
            </w:r>
            <w:r>
              <w:rPr>
                <w:rFonts w:ascii="Arial" w:hAnsi="Arial" w:cs="Arial"/>
                <w:sz w:val="20"/>
                <w:szCs w:val="20"/>
                <w:lang w:eastAsia="en-GB"/>
              </w:rPr>
              <w:t>2012</w:t>
            </w:r>
          </w:p>
        </w:tc>
        <w:tc>
          <w:tcPr>
            <w:tcW w:w="5076" w:type="dxa"/>
          </w:tcPr>
          <w:p w:rsidR="0079633A" w:rsidRPr="00F41A55" w:rsidRDefault="0079633A" w:rsidP="005D18B1">
            <w:pPr>
              <w:jc w:val="both"/>
              <w:rPr>
                <w:rFonts w:ascii="Arial" w:hAnsi="Arial" w:cs="Arial"/>
                <w:sz w:val="20"/>
                <w:szCs w:val="20"/>
                <w:lang w:eastAsia="en-GB"/>
              </w:rPr>
            </w:pPr>
            <w:r w:rsidRPr="00F41A55">
              <w:rPr>
                <w:rFonts w:ascii="Arial" w:hAnsi="Arial" w:cs="Arial"/>
                <w:sz w:val="20"/>
                <w:szCs w:val="20"/>
                <w:lang w:eastAsia="en-GB"/>
              </w:rPr>
              <w:t xml:space="preserve">RO  pri  vykazovaní ukazovateľov OP ŽP (najmä </w:t>
            </w:r>
            <w:r w:rsidR="008F2A89">
              <w:rPr>
                <w:rFonts w:ascii="Arial" w:hAnsi="Arial" w:cs="Arial"/>
                <w:sz w:val="20"/>
                <w:szCs w:val="20"/>
                <w:lang w:eastAsia="en-GB"/>
              </w:rPr>
              <w:t>CORE</w:t>
            </w:r>
            <w:r w:rsidRPr="00F41A55">
              <w:rPr>
                <w:rFonts w:ascii="Arial" w:hAnsi="Arial" w:cs="Arial"/>
                <w:sz w:val="20"/>
                <w:szCs w:val="20"/>
                <w:lang w:eastAsia="en-GB"/>
              </w:rPr>
              <w:t xml:space="preserve"> ukazovateľov) vo výročnej správe postupuje na základe pracovného dokumentu EK č. 7  k vykazovaniu </w:t>
            </w:r>
            <w:r w:rsidR="008F2A89">
              <w:rPr>
                <w:rFonts w:ascii="Arial" w:hAnsi="Arial" w:cs="Arial"/>
                <w:sz w:val="20"/>
                <w:szCs w:val="20"/>
                <w:lang w:eastAsia="en-GB"/>
              </w:rPr>
              <w:t>CORE</w:t>
            </w:r>
            <w:r w:rsidRPr="00F41A55">
              <w:rPr>
                <w:rFonts w:ascii="Arial" w:hAnsi="Arial" w:cs="Arial"/>
                <w:sz w:val="20"/>
                <w:szCs w:val="20"/>
                <w:lang w:eastAsia="en-GB"/>
              </w:rPr>
              <w:t xml:space="preserve"> ukazovateľov pre ERDF a Kohézny fond, pričom vezme do úvahy taktiež pripomienky a technické odporúčania EK obsiahnuté  v jej liste z</w:t>
            </w:r>
            <w:r>
              <w:rPr>
                <w:rFonts w:ascii="Arial" w:hAnsi="Arial" w:cs="Arial"/>
                <w:sz w:val="20"/>
                <w:szCs w:val="20"/>
                <w:lang w:eastAsia="en-GB"/>
              </w:rPr>
              <w:t>o</w:t>
            </w:r>
            <w:r w:rsidRPr="00F41A55">
              <w:rPr>
                <w:rFonts w:ascii="Arial" w:hAnsi="Arial" w:cs="Arial"/>
                <w:sz w:val="20"/>
                <w:szCs w:val="20"/>
                <w:lang w:eastAsia="en-GB"/>
              </w:rPr>
              <w:t xml:space="preserve"> 6.3.2012 ohľadom  kvality vykazovania </w:t>
            </w:r>
            <w:r w:rsidR="008F2A89">
              <w:rPr>
                <w:rFonts w:ascii="Arial" w:hAnsi="Arial" w:cs="Arial"/>
                <w:sz w:val="20"/>
                <w:szCs w:val="20"/>
                <w:lang w:eastAsia="en-GB"/>
              </w:rPr>
              <w:t>CORE</w:t>
            </w:r>
            <w:r w:rsidRPr="00F41A55">
              <w:rPr>
                <w:rFonts w:ascii="Arial" w:hAnsi="Arial" w:cs="Arial"/>
                <w:sz w:val="20"/>
                <w:szCs w:val="20"/>
                <w:lang w:eastAsia="en-GB"/>
              </w:rPr>
              <w:t xml:space="preserve"> ukazovateľov pre ERDF a KF v SFC2007 v súvislosti s výročnými správami za rok 2010. </w:t>
            </w:r>
          </w:p>
          <w:p w:rsidR="0079633A" w:rsidRPr="008D6C31" w:rsidRDefault="0079633A" w:rsidP="005D18B1">
            <w:pPr>
              <w:jc w:val="both"/>
              <w:rPr>
                <w:rFonts w:ascii="Arial" w:hAnsi="Arial" w:cs="Arial"/>
                <w:sz w:val="20"/>
                <w:szCs w:val="20"/>
                <w:lang w:eastAsia="en-GB"/>
              </w:rPr>
            </w:pPr>
            <w:r w:rsidRPr="00F41A55">
              <w:rPr>
                <w:rFonts w:ascii="Arial" w:hAnsi="Arial" w:cs="Arial"/>
                <w:sz w:val="20"/>
                <w:szCs w:val="20"/>
                <w:lang w:eastAsia="en-GB"/>
              </w:rPr>
              <w:t xml:space="preserve">RO  pri vypracúvaní  Výročnej správy o vykonávaní OP ŽP za rok </w:t>
            </w:r>
            <w:r w:rsidR="0090392E" w:rsidRPr="00F41A55">
              <w:rPr>
                <w:rFonts w:ascii="Arial" w:hAnsi="Arial" w:cs="Arial"/>
                <w:sz w:val="20"/>
                <w:szCs w:val="20"/>
                <w:lang w:eastAsia="en-GB"/>
              </w:rPr>
              <w:t>201</w:t>
            </w:r>
            <w:r w:rsidR="0090392E">
              <w:rPr>
                <w:rFonts w:ascii="Arial" w:hAnsi="Arial" w:cs="Arial"/>
                <w:sz w:val="20"/>
                <w:szCs w:val="20"/>
                <w:lang w:eastAsia="en-GB"/>
              </w:rPr>
              <w:t>2</w:t>
            </w:r>
            <w:r w:rsidRPr="00F41A55">
              <w:rPr>
                <w:rFonts w:ascii="Arial" w:hAnsi="Arial" w:cs="Arial"/>
                <w:sz w:val="20"/>
                <w:szCs w:val="20"/>
                <w:lang w:eastAsia="en-GB"/>
              </w:rPr>
              <w:t>, vrátane vykazovania ukazovateľov a zhodnotenia príspevku OP ŽP k plneniu cieľov stratégie Európa 2020 postupuje v súlade s Metodickým pokynom  CKO č. 9 k obsahu výročnej a záverečnej správy o vykonávaní operačného porgramu – aktualizácia č. 4 z 26.03.2012.</w:t>
            </w:r>
          </w:p>
        </w:tc>
      </w:tr>
      <w:tr w:rsidR="0079633A" w:rsidRPr="00F343D9" w:rsidTr="003A3602">
        <w:trPr>
          <w:trHeight w:val="20"/>
          <w:jc w:val="center"/>
        </w:trPr>
        <w:tc>
          <w:tcPr>
            <w:tcW w:w="9259" w:type="dxa"/>
            <w:gridSpan w:val="3"/>
            <w:shd w:val="clear" w:color="auto" w:fill="D6E3BC"/>
            <w:vAlign w:val="center"/>
          </w:tcPr>
          <w:p w:rsidR="0079633A" w:rsidRPr="00F343D9" w:rsidRDefault="0079633A" w:rsidP="005D18B1">
            <w:pPr>
              <w:rPr>
                <w:b/>
                <w:lang w:eastAsia="en-GB"/>
              </w:rPr>
            </w:pPr>
            <w:r>
              <w:rPr>
                <w:rFonts w:ascii="Arial" w:hAnsi="Arial" w:cs="Arial"/>
                <w:b/>
                <w:sz w:val="20"/>
                <w:szCs w:val="20"/>
                <w:lang w:eastAsia="en-GB"/>
              </w:rPr>
              <w:t>6</w:t>
            </w:r>
            <w:r w:rsidRPr="00F343D9">
              <w:rPr>
                <w:rFonts w:ascii="Arial" w:hAnsi="Arial" w:cs="Arial"/>
                <w:b/>
                <w:sz w:val="20"/>
                <w:szCs w:val="20"/>
                <w:lang w:eastAsia="en-GB"/>
              </w:rPr>
              <w:t xml:space="preserve">.   FINANČNÉ INŽINIERSTVO </w:t>
            </w:r>
          </w:p>
        </w:tc>
      </w:tr>
      <w:tr w:rsidR="0079633A" w:rsidRPr="00F343D9" w:rsidTr="003A3602">
        <w:trPr>
          <w:trHeight w:val="20"/>
          <w:jc w:val="center"/>
        </w:trPr>
        <w:tc>
          <w:tcPr>
            <w:tcW w:w="9259" w:type="dxa"/>
            <w:gridSpan w:val="3"/>
            <w:vAlign w:val="center"/>
          </w:tcPr>
          <w:p w:rsidR="0079633A" w:rsidRPr="00F343D9" w:rsidRDefault="0079633A" w:rsidP="005D18B1">
            <w:pPr>
              <w:jc w:val="both"/>
              <w:rPr>
                <w:rFonts w:ascii="Arial" w:hAnsi="Arial" w:cs="Arial"/>
                <w:sz w:val="20"/>
                <w:szCs w:val="20"/>
                <w:lang w:eastAsia="en-GB"/>
              </w:rPr>
            </w:pPr>
            <w:r w:rsidRPr="00F343D9">
              <w:rPr>
                <w:rFonts w:ascii="Arial" w:hAnsi="Arial" w:cs="Arial"/>
                <w:sz w:val="20"/>
                <w:szCs w:val="20"/>
                <w:lang w:eastAsia="en-GB"/>
              </w:rPr>
              <w:t>Nerelevantné vo vzťahu k OP ŽP</w:t>
            </w:r>
          </w:p>
        </w:tc>
      </w:tr>
      <w:tr w:rsidR="0079633A" w:rsidRPr="00F343D9" w:rsidTr="003A3602">
        <w:trPr>
          <w:trHeight w:val="20"/>
          <w:jc w:val="center"/>
        </w:trPr>
        <w:tc>
          <w:tcPr>
            <w:tcW w:w="9259" w:type="dxa"/>
            <w:gridSpan w:val="3"/>
            <w:shd w:val="clear" w:color="auto" w:fill="D6E3BC"/>
            <w:vAlign w:val="center"/>
          </w:tcPr>
          <w:p w:rsidR="0079633A" w:rsidRPr="00F343D9" w:rsidRDefault="0079633A" w:rsidP="005D18B1">
            <w:pPr>
              <w:rPr>
                <w:rFonts w:ascii="Arial" w:hAnsi="Arial" w:cs="Arial"/>
                <w:b/>
                <w:sz w:val="20"/>
                <w:szCs w:val="20"/>
                <w:lang w:eastAsia="en-GB"/>
              </w:rPr>
            </w:pPr>
            <w:r>
              <w:rPr>
                <w:rFonts w:ascii="Arial" w:hAnsi="Arial" w:cs="Arial"/>
                <w:b/>
                <w:sz w:val="20"/>
                <w:szCs w:val="20"/>
                <w:lang w:eastAsia="en-GB"/>
              </w:rPr>
              <w:t>7</w:t>
            </w:r>
            <w:r w:rsidRPr="00F343D9">
              <w:rPr>
                <w:rFonts w:ascii="Arial" w:hAnsi="Arial" w:cs="Arial"/>
                <w:b/>
                <w:sz w:val="20"/>
                <w:szCs w:val="20"/>
                <w:lang w:eastAsia="en-GB"/>
              </w:rPr>
              <w:t>.  DUNAJSKÁ STRATÉGIA</w:t>
            </w:r>
          </w:p>
        </w:tc>
      </w:tr>
      <w:tr w:rsidR="0079633A" w:rsidRPr="00F343D9" w:rsidTr="003A3602">
        <w:trPr>
          <w:trHeight w:val="20"/>
          <w:jc w:val="center"/>
        </w:trPr>
        <w:tc>
          <w:tcPr>
            <w:tcW w:w="2863" w:type="dxa"/>
            <w:shd w:val="clear" w:color="auto" w:fill="EAF1DD"/>
            <w:vAlign w:val="center"/>
          </w:tcPr>
          <w:p w:rsidR="0079633A" w:rsidRPr="00F343D9" w:rsidRDefault="0079633A" w:rsidP="005D18B1">
            <w:pPr>
              <w:rPr>
                <w:rFonts w:ascii="Arial" w:hAnsi="Arial" w:cs="Arial"/>
                <w:b/>
                <w:sz w:val="20"/>
                <w:szCs w:val="20"/>
                <w:lang w:eastAsia="en-GB"/>
              </w:rPr>
            </w:pPr>
            <w:r w:rsidRPr="00F343D9">
              <w:rPr>
                <w:rFonts w:ascii="Arial" w:hAnsi="Arial" w:cs="Arial"/>
                <w:b/>
                <w:sz w:val="20"/>
                <w:szCs w:val="20"/>
                <w:lang w:eastAsia="en-GB"/>
              </w:rPr>
              <w:t>Úloha</w:t>
            </w:r>
          </w:p>
        </w:tc>
        <w:tc>
          <w:tcPr>
            <w:tcW w:w="1320" w:type="dxa"/>
            <w:shd w:val="clear" w:color="auto" w:fill="EAF1DD"/>
            <w:vAlign w:val="center"/>
          </w:tcPr>
          <w:p w:rsidR="0079633A" w:rsidRPr="00F343D9" w:rsidRDefault="0079633A" w:rsidP="005D18B1">
            <w:pPr>
              <w:rPr>
                <w:rFonts w:ascii="Arial" w:hAnsi="Arial" w:cs="Arial"/>
                <w:b/>
                <w:sz w:val="20"/>
                <w:szCs w:val="20"/>
                <w:lang w:eastAsia="en-GB"/>
              </w:rPr>
            </w:pPr>
            <w:r w:rsidRPr="00F343D9">
              <w:rPr>
                <w:rFonts w:ascii="Arial" w:hAnsi="Arial" w:cs="Arial"/>
                <w:b/>
                <w:sz w:val="20"/>
                <w:szCs w:val="20"/>
                <w:lang w:eastAsia="en-GB"/>
              </w:rPr>
              <w:t>Termín splnenia</w:t>
            </w:r>
          </w:p>
        </w:tc>
        <w:tc>
          <w:tcPr>
            <w:tcW w:w="5076" w:type="dxa"/>
            <w:shd w:val="clear" w:color="auto" w:fill="EAF1DD"/>
            <w:vAlign w:val="center"/>
          </w:tcPr>
          <w:p w:rsidR="0079633A" w:rsidRPr="00F343D9" w:rsidRDefault="0079633A" w:rsidP="005D18B1">
            <w:pPr>
              <w:jc w:val="both"/>
              <w:rPr>
                <w:rFonts w:ascii="Arial" w:hAnsi="Arial" w:cs="Arial"/>
                <w:b/>
                <w:sz w:val="20"/>
                <w:szCs w:val="20"/>
                <w:lang w:eastAsia="en-GB"/>
              </w:rPr>
            </w:pPr>
            <w:r w:rsidRPr="00F343D9">
              <w:rPr>
                <w:rFonts w:ascii="Arial" w:hAnsi="Arial" w:cs="Arial"/>
                <w:b/>
                <w:sz w:val="20"/>
                <w:szCs w:val="20"/>
                <w:lang w:eastAsia="en-GB"/>
              </w:rPr>
              <w:t>Stav a výsledky plnenia</w:t>
            </w:r>
          </w:p>
        </w:tc>
      </w:tr>
      <w:tr w:rsidR="0079633A" w:rsidRPr="00F343D9" w:rsidTr="003A3602">
        <w:trPr>
          <w:trHeight w:val="20"/>
          <w:jc w:val="center"/>
        </w:trPr>
        <w:tc>
          <w:tcPr>
            <w:tcW w:w="2863" w:type="dxa"/>
            <w:vAlign w:val="center"/>
          </w:tcPr>
          <w:p w:rsidR="0079633A" w:rsidRPr="008B4567" w:rsidRDefault="0079633A" w:rsidP="005D18B1">
            <w:pPr>
              <w:jc w:val="both"/>
              <w:rPr>
                <w:rFonts w:ascii="Arial" w:hAnsi="Arial" w:cs="Arial"/>
                <w:sz w:val="20"/>
                <w:szCs w:val="20"/>
                <w:lang w:eastAsia="en-GB"/>
              </w:rPr>
            </w:pPr>
            <w:r w:rsidRPr="008B4567">
              <w:rPr>
                <w:rFonts w:ascii="Arial" w:hAnsi="Arial" w:cs="Arial"/>
                <w:sz w:val="20"/>
                <w:szCs w:val="20"/>
                <w:lang w:eastAsia="en-GB"/>
              </w:rPr>
              <w:t xml:space="preserve">Prepojenie Operačných programov s Dunajskou stratégiou </w:t>
            </w:r>
          </w:p>
          <w:p w:rsidR="0079633A" w:rsidRDefault="0079633A" w:rsidP="005D18B1">
            <w:pPr>
              <w:rPr>
                <w:rFonts w:ascii="Arial" w:hAnsi="Arial" w:cs="Arial"/>
                <w:sz w:val="20"/>
                <w:szCs w:val="20"/>
                <w:lang w:eastAsia="en-GB"/>
              </w:rPr>
            </w:pPr>
          </w:p>
          <w:p w:rsidR="0079633A" w:rsidRPr="00F343D9" w:rsidRDefault="0079633A" w:rsidP="005D18B1">
            <w:pPr>
              <w:rPr>
                <w:lang w:eastAsia="en-GB"/>
              </w:rPr>
            </w:pPr>
            <w:r w:rsidRPr="008B4567">
              <w:rPr>
                <w:rFonts w:ascii="Arial" w:hAnsi="Arial" w:cs="Arial"/>
                <w:sz w:val="20"/>
                <w:szCs w:val="20"/>
                <w:lang w:eastAsia="en-GB"/>
              </w:rPr>
              <w:t>-   Uskutočnenie stretnutia EK a zástupcov všetkých riadiacich orgánov zapojených do Dunajskej stratégie za účelom prediskutovania možnej implementačnej stratégie</w:t>
            </w:r>
          </w:p>
        </w:tc>
        <w:tc>
          <w:tcPr>
            <w:tcW w:w="1320" w:type="dxa"/>
            <w:vAlign w:val="center"/>
          </w:tcPr>
          <w:p w:rsidR="0079633A" w:rsidRPr="00F343D9" w:rsidRDefault="0079633A" w:rsidP="005D18B1">
            <w:pPr>
              <w:rPr>
                <w:rFonts w:ascii="Arial" w:hAnsi="Arial" w:cs="Arial"/>
                <w:sz w:val="20"/>
                <w:szCs w:val="20"/>
                <w:lang w:eastAsia="en-GB"/>
              </w:rPr>
            </w:pPr>
            <w:r>
              <w:rPr>
                <w:rFonts w:ascii="Arial" w:hAnsi="Arial" w:cs="Arial"/>
                <w:sz w:val="20"/>
                <w:szCs w:val="20"/>
                <w:lang w:eastAsia="en-GB"/>
              </w:rPr>
              <w:t>Apríl 2012</w:t>
            </w:r>
          </w:p>
        </w:tc>
        <w:tc>
          <w:tcPr>
            <w:tcW w:w="5076" w:type="dxa"/>
            <w:vAlign w:val="center"/>
          </w:tcPr>
          <w:p w:rsidR="0079633A" w:rsidRPr="008B4567" w:rsidRDefault="0079633A" w:rsidP="005D18B1">
            <w:pPr>
              <w:jc w:val="both"/>
              <w:rPr>
                <w:rFonts w:ascii="Arial" w:hAnsi="Arial" w:cs="Arial"/>
                <w:sz w:val="20"/>
                <w:szCs w:val="20"/>
                <w:lang w:eastAsia="en-GB"/>
              </w:rPr>
            </w:pPr>
            <w:r w:rsidRPr="008B4567">
              <w:rPr>
                <w:rFonts w:ascii="Arial" w:hAnsi="Arial" w:cs="Arial"/>
                <w:sz w:val="20"/>
                <w:szCs w:val="20"/>
                <w:lang w:eastAsia="en-GB"/>
              </w:rPr>
              <w:t>V súlade s  uznesením vlády SR č. 497/2011 RO OP ŽP (a analogicky aj riadiace orgány iných operačných programov) vypracoval analýzu zamerania projektov v rámci OP ŽP v korelácii s piliermi a prioritnými oblasťami Stratégie EÚ pre dunajský región. Z analýzy vyplynulo, že  vo vzťahu k OP ŽP možno v rámci Dunajskej stratégie identifikovať ako relevantný pilier II. Ochrana životného prostredia v podunajskej oblasti.</w:t>
            </w:r>
            <w:r>
              <w:rPr>
                <w:rFonts w:ascii="Arial" w:hAnsi="Arial" w:cs="Arial"/>
                <w:sz w:val="20"/>
                <w:szCs w:val="20"/>
                <w:lang w:eastAsia="en-GB"/>
              </w:rPr>
              <w:t xml:space="preserve"> </w:t>
            </w:r>
            <w:r w:rsidRPr="008B4567">
              <w:rPr>
                <w:rFonts w:ascii="Arial" w:hAnsi="Arial" w:cs="Arial"/>
                <w:sz w:val="20"/>
                <w:szCs w:val="20"/>
                <w:lang w:eastAsia="en-GB"/>
              </w:rPr>
              <w:t>Spomedzi prioritných osí OP ŽP má vo vzťahu k prioritám Dunajskej stratégie v rámci uvedeného piliera  prvoradý význam Prioritná os 1 Integrovaná ochrana a racionálne využívanie vôd, v ktorej prípade možno nájsť prepojenie s cieľmi prioritnej oblasti 4. Obnova  a zachovanie kvality vôd.</w:t>
            </w:r>
          </w:p>
          <w:p w:rsidR="0079633A" w:rsidRPr="008B4567" w:rsidRDefault="0079633A" w:rsidP="005D18B1">
            <w:pPr>
              <w:jc w:val="both"/>
              <w:rPr>
                <w:rFonts w:ascii="Arial" w:hAnsi="Arial" w:cs="Arial"/>
                <w:sz w:val="20"/>
                <w:szCs w:val="20"/>
                <w:lang w:eastAsia="en-GB"/>
              </w:rPr>
            </w:pPr>
            <w:r w:rsidRPr="008B4567">
              <w:rPr>
                <w:rFonts w:ascii="Arial" w:hAnsi="Arial" w:cs="Arial"/>
                <w:sz w:val="20"/>
                <w:szCs w:val="20"/>
                <w:lang w:eastAsia="en-GB"/>
              </w:rPr>
              <w:t xml:space="preserve">S cieľmi Dunajskej stratégie v prioritnej oblasti 5. Riadiť riziká v oblasti životného prostredia súvisia v rámci OP ŽP tiež prioritné osi 2 Ochrana pred povodňami a 7 Budovanie povodňového varovného a predpovedného systému. </w:t>
            </w:r>
          </w:p>
          <w:p w:rsidR="0079633A" w:rsidRPr="008B4567" w:rsidRDefault="0079633A" w:rsidP="005D18B1">
            <w:pPr>
              <w:jc w:val="both"/>
              <w:rPr>
                <w:rFonts w:ascii="Arial" w:hAnsi="Arial" w:cs="Arial"/>
                <w:sz w:val="20"/>
                <w:szCs w:val="20"/>
                <w:lang w:eastAsia="en-GB"/>
              </w:rPr>
            </w:pPr>
            <w:r w:rsidRPr="008B4567">
              <w:rPr>
                <w:rFonts w:ascii="Arial" w:hAnsi="Arial" w:cs="Arial"/>
                <w:sz w:val="20"/>
                <w:szCs w:val="20"/>
                <w:lang w:eastAsia="en-GB"/>
              </w:rPr>
              <w:t>Určité projekty v rámci uvedených prioritných osí  - ako napr. veľký projekt “Podunajsko - odkanalizovanie podunajskej časti bratislavského regiónu”, majú potenciál prispievať k napĺňaniu cieľov Dunajskej stratégie, pričom nie je potrebné vykonanie revízie OP ŽP.</w:t>
            </w:r>
          </w:p>
          <w:p w:rsidR="0079633A" w:rsidRPr="00F343D9" w:rsidRDefault="0079633A" w:rsidP="005D18B1">
            <w:pPr>
              <w:jc w:val="both"/>
              <w:rPr>
                <w:lang w:eastAsia="en-GB"/>
              </w:rPr>
            </w:pPr>
            <w:r w:rsidRPr="008B4567">
              <w:rPr>
                <w:rFonts w:ascii="Arial" w:hAnsi="Arial" w:cs="Arial"/>
                <w:sz w:val="20"/>
                <w:szCs w:val="20"/>
                <w:lang w:eastAsia="en-GB"/>
              </w:rPr>
              <w:t>V súvislosti so stretnutiami EK so všetkými RO zapojenými do Dunajskej stratégie sa dňa 28.</w:t>
            </w:r>
            <w:r w:rsidR="0090392E">
              <w:rPr>
                <w:rFonts w:ascii="Arial" w:hAnsi="Arial" w:cs="Arial"/>
                <w:sz w:val="20"/>
                <w:szCs w:val="20"/>
                <w:lang w:eastAsia="en-GB"/>
              </w:rPr>
              <w:t>0</w:t>
            </w:r>
            <w:r w:rsidRPr="008B4567">
              <w:rPr>
                <w:rFonts w:ascii="Arial" w:hAnsi="Arial" w:cs="Arial"/>
                <w:sz w:val="20"/>
                <w:szCs w:val="20"/>
                <w:lang w:eastAsia="en-GB"/>
              </w:rPr>
              <w:t>6.2012 konalo stretnutie s komisárom DG REGIO Johannesom Hahnom. Stretnutia sa za MŽP SR zúčastnil minister životného prostredia SR a generálny riaditeľ sekcie vôd, ktorí predstavili aktuálne priority a implementačný proces za prioritnú oblasť č. 4 ako aj krátku informáciu o pripravovanom predsedníctve SR v Rade EÚ.</w:t>
            </w:r>
          </w:p>
        </w:tc>
      </w:tr>
      <w:tr w:rsidR="0079633A" w:rsidRPr="00F343D9" w:rsidTr="003A3602">
        <w:trPr>
          <w:trHeight w:val="20"/>
          <w:jc w:val="center"/>
        </w:trPr>
        <w:tc>
          <w:tcPr>
            <w:tcW w:w="2863" w:type="dxa"/>
          </w:tcPr>
          <w:p w:rsidR="0079633A" w:rsidRPr="008B4567" w:rsidRDefault="0079633A" w:rsidP="005D18B1">
            <w:pPr>
              <w:jc w:val="both"/>
              <w:rPr>
                <w:rFonts w:ascii="Arial" w:hAnsi="Arial" w:cs="Arial"/>
                <w:sz w:val="20"/>
                <w:szCs w:val="20"/>
                <w:lang w:eastAsia="en-GB"/>
              </w:rPr>
            </w:pPr>
            <w:r w:rsidRPr="008B4567">
              <w:rPr>
                <w:rFonts w:ascii="Arial" w:hAnsi="Arial" w:cs="Arial"/>
                <w:sz w:val="20"/>
                <w:szCs w:val="20"/>
                <w:lang w:eastAsia="en-GB"/>
              </w:rPr>
              <w:t>Zabezpečiť efektívnu implementáciu Dunajskej stratégie v oblastiach, v ktorých je Slovensko zaradené ako coordinator prioritnej oblasti (priorita 7 “rozvoja vedomostnej spoločnosti” ; priorita 4 – “obnova a zachovanie kvality vody”)</w:t>
            </w:r>
          </w:p>
          <w:p w:rsidR="0079633A" w:rsidRPr="008B4567" w:rsidRDefault="0079633A" w:rsidP="005D18B1">
            <w:pPr>
              <w:jc w:val="both"/>
              <w:rPr>
                <w:rFonts w:ascii="Arial" w:hAnsi="Arial" w:cs="Arial"/>
                <w:sz w:val="20"/>
                <w:szCs w:val="20"/>
                <w:lang w:eastAsia="en-GB"/>
              </w:rPr>
            </w:pPr>
            <w:r w:rsidRPr="008B4567">
              <w:rPr>
                <w:rFonts w:ascii="Arial" w:hAnsi="Arial" w:cs="Arial"/>
                <w:sz w:val="20"/>
                <w:szCs w:val="20"/>
                <w:lang w:eastAsia="en-GB"/>
              </w:rPr>
              <w:t>-   Príprava a negociácie ohľadom špecifických projektov, ktoré zabezpečia plnenie cieľov Dunajskej stratégie</w:t>
            </w:r>
          </w:p>
        </w:tc>
        <w:tc>
          <w:tcPr>
            <w:tcW w:w="1320" w:type="dxa"/>
            <w:vAlign w:val="center"/>
          </w:tcPr>
          <w:p w:rsidR="0079633A" w:rsidRDefault="0079633A" w:rsidP="005D18B1">
            <w:pPr>
              <w:rPr>
                <w:rFonts w:ascii="Arial" w:hAnsi="Arial" w:cs="Arial"/>
                <w:sz w:val="20"/>
                <w:szCs w:val="20"/>
                <w:lang w:eastAsia="en-GB"/>
              </w:rPr>
            </w:pPr>
            <w:r>
              <w:rPr>
                <w:rFonts w:ascii="Arial" w:hAnsi="Arial" w:cs="Arial"/>
                <w:sz w:val="20"/>
                <w:szCs w:val="20"/>
                <w:lang w:eastAsia="en-GB"/>
              </w:rPr>
              <w:t>V priebehu prvého polroka 2012</w:t>
            </w:r>
          </w:p>
        </w:tc>
        <w:tc>
          <w:tcPr>
            <w:tcW w:w="5076" w:type="dxa"/>
            <w:vAlign w:val="center"/>
          </w:tcPr>
          <w:p w:rsidR="0079633A" w:rsidRPr="00035634" w:rsidRDefault="0079633A" w:rsidP="005D18B1">
            <w:pPr>
              <w:jc w:val="both"/>
              <w:rPr>
                <w:rFonts w:ascii="Arial" w:hAnsi="Arial" w:cs="Arial"/>
                <w:sz w:val="20"/>
                <w:szCs w:val="20"/>
                <w:lang w:eastAsia="en-GB"/>
              </w:rPr>
            </w:pPr>
            <w:r w:rsidRPr="00035634">
              <w:rPr>
                <w:rFonts w:ascii="Arial" w:hAnsi="Arial" w:cs="Arial"/>
                <w:sz w:val="20"/>
                <w:szCs w:val="20"/>
                <w:lang w:eastAsia="en-GB"/>
              </w:rPr>
              <w:t>V súlade s uznesením vlády SR č. 229 z 30. marca 2011 k aktualizovanej národnej pozícii SR k Stratégii EÚ pre dunajský región a návrhu jej koordinácie bolo MŽP SR uložené vykonávať funkciu koordinátora prioritnej oblasti Obnoviť a zachovať kvalitu vôd. Sekcia vôd MŽP SR v súčinnosti s Výskumným ústavom vodného hospodárstva vykonáva funkciu koordinátora s cieľom zabezpečiť podporu uvedenej oblasti, o. i.  realizáciou projektov zameraných na zlepšenie kvality vôd v povodí Dunaja a preventívne opatrenia na  ochranu pred povodňami. Funkcia koordinátora Prioritnej oblasti 4 bola dňa 12.</w:t>
            </w:r>
            <w:r w:rsidR="0090392E">
              <w:rPr>
                <w:rFonts w:ascii="Arial" w:hAnsi="Arial" w:cs="Arial"/>
                <w:sz w:val="20"/>
                <w:szCs w:val="20"/>
                <w:lang w:eastAsia="en-GB"/>
              </w:rPr>
              <w:t>0</w:t>
            </w:r>
            <w:r w:rsidRPr="00035634">
              <w:rPr>
                <w:rFonts w:ascii="Arial" w:hAnsi="Arial" w:cs="Arial"/>
                <w:sz w:val="20"/>
                <w:szCs w:val="20"/>
                <w:lang w:eastAsia="en-GB"/>
              </w:rPr>
              <w:t>9.2012 prenesená na Výskumný ústav vodného hospodárstva.</w:t>
            </w:r>
          </w:p>
          <w:p w:rsidR="0079633A" w:rsidRPr="00035634" w:rsidRDefault="0079633A" w:rsidP="005D18B1">
            <w:pPr>
              <w:jc w:val="both"/>
              <w:rPr>
                <w:rFonts w:ascii="Arial" w:hAnsi="Arial" w:cs="Arial"/>
                <w:sz w:val="20"/>
                <w:szCs w:val="20"/>
                <w:lang w:eastAsia="en-GB"/>
              </w:rPr>
            </w:pPr>
            <w:r w:rsidRPr="00035634">
              <w:rPr>
                <w:rFonts w:ascii="Arial" w:hAnsi="Arial" w:cs="Arial"/>
                <w:sz w:val="20"/>
                <w:szCs w:val="20"/>
                <w:lang w:eastAsia="en-GB"/>
              </w:rPr>
              <w:t xml:space="preserve">V rámci aktivít týkajúcich sa prioritnej oblasti 4 Obnova a zachovanie kvality vôd boli v priebehu roka 2012 uskutočnené 2 zasadnutia. V poradí 3. zasadnutie riadiacej skupiny prebehlo dňa </w:t>
            </w:r>
            <w:r w:rsidR="0090392E">
              <w:rPr>
                <w:rFonts w:ascii="Arial" w:hAnsi="Arial" w:cs="Arial"/>
                <w:sz w:val="20"/>
                <w:szCs w:val="20"/>
                <w:lang w:eastAsia="en-GB"/>
              </w:rPr>
              <w:t>0</w:t>
            </w:r>
            <w:r w:rsidRPr="00035634">
              <w:rPr>
                <w:rFonts w:ascii="Arial" w:hAnsi="Arial" w:cs="Arial"/>
                <w:sz w:val="20"/>
                <w:szCs w:val="20"/>
                <w:lang w:eastAsia="en-GB"/>
              </w:rPr>
              <w:t>4.-</w:t>
            </w:r>
            <w:r w:rsidR="0090392E">
              <w:rPr>
                <w:rFonts w:ascii="Arial" w:hAnsi="Arial" w:cs="Arial"/>
                <w:sz w:val="20"/>
                <w:szCs w:val="20"/>
                <w:lang w:eastAsia="en-GB"/>
              </w:rPr>
              <w:t>0</w:t>
            </w:r>
            <w:r w:rsidRPr="00035634">
              <w:rPr>
                <w:rFonts w:ascii="Arial" w:hAnsi="Arial" w:cs="Arial"/>
                <w:sz w:val="20"/>
                <w:szCs w:val="20"/>
                <w:lang w:eastAsia="en-GB"/>
              </w:rPr>
              <w:t>5.</w:t>
            </w:r>
            <w:r w:rsidR="0090392E">
              <w:rPr>
                <w:rFonts w:ascii="Arial" w:hAnsi="Arial" w:cs="Arial"/>
                <w:sz w:val="20"/>
                <w:szCs w:val="20"/>
                <w:lang w:eastAsia="en-GB"/>
              </w:rPr>
              <w:t>0</w:t>
            </w:r>
            <w:r w:rsidRPr="00035634">
              <w:rPr>
                <w:rFonts w:ascii="Arial" w:hAnsi="Arial" w:cs="Arial"/>
                <w:sz w:val="20"/>
                <w:szCs w:val="20"/>
                <w:lang w:eastAsia="en-GB"/>
              </w:rPr>
              <w:t>6.2012 v Bratislave, kde boli diskutované a odsúhlasené “road maps” pre jednotlivé aktivity Prioritnej oblasti 4 uvedené v Akčnom pláne Dunajskej stratégie</w:t>
            </w:r>
            <w:r w:rsidR="0090392E">
              <w:rPr>
                <w:rFonts w:ascii="Arial" w:hAnsi="Arial" w:cs="Arial"/>
                <w:sz w:val="20"/>
                <w:szCs w:val="20"/>
                <w:lang w:eastAsia="en-GB"/>
              </w:rPr>
              <w:t>.</w:t>
            </w:r>
            <w:r w:rsidRPr="00035634">
              <w:rPr>
                <w:rFonts w:ascii="Arial" w:hAnsi="Arial" w:cs="Arial"/>
                <w:sz w:val="20"/>
                <w:szCs w:val="20"/>
                <w:lang w:eastAsia="en-GB"/>
              </w:rPr>
              <w:t xml:space="preserve"> Na 4. zasadnutí riadiacej skupiny, ktoré sa konalo </w:t>
            </w:r>
            <w:r w:rsidR="0090392E">
              <w:rPr>
                <w:rFonts w:ascii="Arial" w:hAnsi="Arial" w:cs="Arial"/>
                <w:sz w:val="20"/>
                <w:szCs w:val="20"/>
                <w:lang w:eastAsia="en-GB"/>
              </w:rPr>
              <w:t>0</w:t>
            </w:r>
            <w:r w:rsidRPr="00035634">
              <w:rPr>
                <w:rFonts w:ascii="Arial" w:hAnsi="Arial" w:cs="Arial"/>
                <w:sz w:val="20"/>
                <w:szCs w:val="20"/>
                <w:lang w:eastAsia="en-GB"/>
              </w:rPr>
              <w:t xml:space="preserve">5. 11. 2012 v Budapešti sa diskutovalo o novom spôsobe označovania projektových zámerov a ukončených projektov, o modifikácii vecných a časových etáp aktivít Prioritnej oblasti 4. </w:t>
            </w:r>
          </w:p>
          <w:p w:rsidR="0079633A" w:rsidRDefault="0079633A" w:rsidP="005D18B1">
            <w:pPr>
              <w:jc w:val="both"/>
              <w:rPr>
                <w:rFonts w:ascii="Arial" w:hAnsi="Arial" w:cs="Arial"/>
                <w:sz w:val="20"/>
                <w:szCs w:val="20"/>
                <w:lang w:eastAsia="en-GB"/>
              </w:rPr>
            </w:pPr>
            <w:r w:rsidRPr="00035634">
              <w:rPr>
                <w:rFonts w:ascii="Arial" w:hAnsi="Arial" w:cs="Arial"/>
                <w:sz w:val="20"/>
                <w:szCs w:val="20"/>
                <w:lang w:eastAsia="en-GB"/>
              </w:rPr>
              <w:t>28.</w:t>
            </w:r>
            <w:r w:rsidR="0090392E">
              <w:rPr>
                <w:rFonts w:ascii="Arial" w:hAnsi="Arial" w:cs="Arial"/>
                <w:sz w:val="20"/>
                <w:szCs w:val="20"/>
                <w:lang w:eastAsia="en-GB"/>
              </w:rPr>
              <w:t>0</w:t>
            </w:r>
            <w:r w:rsidRPr="00035634">
              <w:rPr>
                <w:rFonts w:ascii="Arial" w:hAnsi="Arial" w:cs="Arial"/>
                <w:sz w:val="20"/>
                <w:szCs w:val="20"/>
                <w:lang w:eastAsia="en-GB"/>
              </w:rPr>
              <w:t>6. 2012 navštívil komisár Hahn v rámci svojej cesty po krajinách Dunajského regiónu Slovenskú republiku. Na stretnutí bola diskutovaná implementácia Dunajskej stratégie a možné komplikácie. Na stretnutí sa zúčastnil, okrem iných, minister životného prostredia, generálny riaditeľ sekcie vôd MŽP SR a koordinátor prioritnej oblasti 4.</w:t>
            </w:r>
          </w:p>
          <w:p w:rsidR="0079633A" w:rsidRPr="00035634" w:rsidRDefault="0079633A" w:rsidP="005D18B1">
            <w:pPr>
              <w:jc w:val="both"/>
              <w:rPr>
                <w:rFonts w:ascii="Arial" w:hAnsi="Arial" w:cs="Arial"/>
                <w:sz w:val="20"/>
                <w:szCs w:val="20"/>
                <w:lang w:eastAsia="en-GB"/>
              </w:rPr>
            </w:pPr>
            <w:r w:rsidRPr="00035634">
              <w:rPr>
                <w:rFonts w:ascii="Arial" w:hAnsi="Arial" w:cs="Arial"/>
                <w:sz w:val="20"/>
                <w:szCs w:val="20"/>
                <w:lang w:eastAsia="en-GB"/>
              </w:rPr>
              <w:t>Dňa 29.</w:t>
            </w:r>
            <w:r w:rsidR="0090392E">
              <w:rPr>
                <w:rFonts w:ascii="Arial" w:hAnsi="Arial" w:cs="Arial"/>
                <w:sz w:val="20"/>
                <w:szCs w:val="20"/>
                <w:lang w:eastAsia="en-GB"/>
              </w:rPr>
              <w:t>0</w:t>
            </w:r>
            <w:r w:rsidRPr="00035634">
              <w:rPr>
                <w:rFonts w:ascii="Arial" w:hAnsi="Arial" w:cs="Arial"/>
                <w:sz w:val="20"/>
                <w:szCs w:val="20"/>
                <w:lang w:eastAsia="en-GB"/>
              </w:rPr>
              <w:t xml:space="preserve">6.2012 bola EK odoslaná správa o implementácii Prioritnej oblasti 4 Dunajskej stratégie. Na základe týchto správ zo všetkých oblastí Dunajskej stratégie bude na Prvom výročnom fóre Dunajskej stratégie 27-28.11. 2012 v Regensburgu (Nemecko) diskusia medzi EK, koordinátormi prioritných oblastí a relevantnými zástupcami rozhodovacích orgánov s cieľom povzbudiť potenciálny vplyv makroregionálnych stratégií na rast Európy. </w:t>
            </w:r>
          </w:p>
          <w:p w:rsidR="0079633A" w:rsidRPr="008B4567" w:rsidRDefault="0079633A" w:rsidP="005D18B1">
            <w:pPr>
              <w:jc w:val="both"/>
              <w:rPr>
                <w:rFonts w:ascii="Arial" w:hAnsi="Arial" w:cs="Arial"/>
                <w:sz w:val="20"/>
                <w:szCs w:val="20"/>
                <w:lang w:eastAsia="en-GB"/>
              </w:rPr>
            </w:pPr>
            <w:r w:rsidRPr="00035634">
              <w:rPr>
                <w:rFonts w:ascii="Arial" w:hAnsi="Arial" w:cs="Arial"/>
                <w:sz w:val="20"/>
                <w:szCs w:val="20"/>
                <w:lang w:eastAsia="en-GB"/>
              </w:rPr>
              <w:t xml:space="preserve">V rámci </w:t>
            </w:r>
            <w:r>
              <w:rPr>
                <w:rFonts w:ascii="Arial" w:hAnsi="Arial" w:cs="Arial"/>
                <w:sz w:val="20"/>
                <w:szCs w:val="20"/>
                <w:lang w:eastAsia="en-GB"/>
              </w:rPr>
              <w:t>1.</w:t>
            </w:r>
            <w:r w:rsidRPr="00035634">
              <w:rPr>
                <w:rFonts w:ascii="Arial" w:hAnsi="Arial" w:cs="Arial"/>
                <w:sz w:val="20"/>
                <w:szCs w:val="20"/>
                <w:lang w:eastAsia="en-GB"/>
              </w:rPr>
              <w:t xml:space="preserve"> výročného fóra Dunajskej stratégie, ktoré sa konalo 27.-28. </w:t>
            </w:r>
            <w:r>
              <w:rPr>
                <w:rFonts w:ascii="Arial" w:hAnsi="Arial" w:cs="Arial"/>
                <w:sz w:val="20"/>
                <w:szCs w:val="20"/>
                <w:lang w:eastAsia="en-GB"/>
              </w:rPr>
              <w:t>11.</w:t>
            </w:r>
            <w:r w:rsidRPr="00035634">
              <w:rPr>
                <w:rFonts w:ascii="Arial" w:hAnsi="Arial" w:cs="Arial"/>
                <w:sz w:val="20"/>
                <w:szCs w:val="20"/>
                <w:lang w:eastAsia="en-GB"/>
              </w:rPr>
              <w:t xml:space="preserve"> 2012 v Regensburgu boli v rámci samostatného tematického workshopu “A Sustainable River Basin – Environmental and Touristic Assets”  prezentované ciele a aktivity štyroch Prioritn</w:t>
            </w:r>
            <w:r>
              <w:rPr>
                <w:rFonts w:ascii="Arial" w:hAnsi="Arial" w:cs="Arial"/>
                <w:sz w:val="20"/>
                <w:szCs w:val="20"/>
                <w:lang w:eastAsia="en-GB"/>
              </w:rPr>
              <w:t>ých</w:t>
            </w:r>
            <w:r w:rsidRPr="00035634">
              <w:rPr>
                <w:rFonts w:ascii="Arial" w:hAnsi="Arial" w:cs="Arial"/>
                <w:sz w:val="20"/>
                <w:szCs w:val="20"/>
                <w:lang w:eastAsia="en-GB"/>
              </w:rPr>
              <w:t xml:space="preserve"> oblast</w:t>
            </w:r>
            <w:r>
              <w:rPr>
                <w:rFonts w:ascii="Arial" w:hAnsi="Arial" w:cs="Arial"/>
                <w:sz w:val="20"/>
                <w:szCs w:val="20"/>
                <w:lang w:eastAsia="en-GB"/>
              </w:rPr>
              <w:t xml:space="preserve">í </w:t>
            </w:r>
            <w:r w:rsidRPr="00035634">
              <w:rPr>
                <w:rFonts w:ascii="Arial" w:hAnsi="Arial" w:cs="Arial"/>
                <w:sz w:val="20"/>
                <w:szCs w:val="20"/>
                <w:lang w:eastAsia="en-GB"/>
              </w:rPr>
              <w:t>(PA3, PA4, PA5 a PA6) a príklady relevantných projektov.</w:t>
            </w:r>
          </w:p>
        </w:tc>
      </w:tr>
      <w:tr w:rsidR="0079633A" w:rsidRPr="00F343D9" w:rsidTr="003A3602">
        <w:trPr>
          <w:trHeight w:val="20"/>
          <w:jc w:val="center"/>
        </w:trPr>
        <w:tc>
          <w:tcPr>
            <w:tcW w:w="2863" w:type="dxa"/>
          </w:tcPr>
          <w:p w:rsidR="0079633A" w:rsidRPr="008B4567" w:rsidRDefault="0079633A" w:rsidP="005D18B1">
            <w:pPr>
              <w:rPr>
                <w:rFonts w:ascii="Arial" w:hAnsi="Arial" w:cs="Arial"/>
                <w:sz w:val="20"/>
                <w:szCs w:val="20"/>
                <w:lang w:eastAsia="en-GB"/>
              </w:rPr>
            </w:pPr>
            <w:r w:rsidRPr="00035634">
              <w:rPr>
                <w:rFonts w:ascii="Arial" w:hAnsi="Arial" w:cs="Arial"/>
                <w:sz w:val="20"/>
                <w:szCs w:val="20"/>
                <w:lang w:eastAsia="en-GB"/>
              </w:rPr>
              <w:t>Spustenie implementácie špecifických projektov v rámci Dunajskej stratégie</w:t>
            </w:r>
          </w:p>
        </w:tc>
        <w:tc>
          <w:tcPr>
            <w:tcW w:w="1320" w:type="dxa"/>
            <w:vAlign w:val="center"/>
          </w:tcPr>
          <w:p w:rsidR="0079633A" w:rsidRDefault="0079633A" w:rsidP="005D18B1">
            <w:pPr>
              <w:rPr>
                <w:rFonts w:ascii="Arial" w:hAnsi="Arial" w:cs="Arial"/>
                <w:sz w:val="20"/>
                <w:szCs w:val="20"/>
                <w:lang w:eastAsia="en-GB"/>
              </w:rPr>
            </w:pPr>
            <w:r>
              <w:rPr>
                <w:rFonts w:ascii="Arial" w:hAnsi="Arial" w:cs="Arial"/>
                <w:sz w:val="20"/>
                <w:szCs w:val="20"/>
                <w:lang w:eastAsia="en-GB"/>
              </w:rPr>
              <w:t>2012</w:t>
            </w:r>
          </w:p>
        </w:tc>
        <w:tc>
          <w:tcPr>
            <w:tcW w:w="5076" w:type="dxa"/>
            <w:vAlign w:val="center"/>
          </w:tcPr>
          <w:p w:rsidR="0079633A" w:rsidRPr="008B4567" w:rsidRDefault="0079633A" w:rsidP="005D18B1">
            <w:pPr>
              <w:jc w:val="both"/>
              <w:rPr>
                <w:rFonts w:ascii="Arial" w:hAnsi="Arial" w:cs="Arial"/>
                <w:sz w:val="20"/>
                <w:szCs w:val="20"/>
                <w:lang w:eastAsia="en-GB"/>
              </w:rPr>
            </w:pPr>
            <w:r w:rsidRPr="00035634">
              <w:rPr>
                <w:rFonts w:ascii="Arial" w:hAnsi="Arial" w:cs="Arial"/>
                <w:sz w:val="20"/>
                <w:szCs w:val="20"/>
                <w:lang w:eastAsia="en-GB"/>
              </w:rPr>
              <w:t xml:space="preserve">Na </w:t>
            </w:r>
            <w:r>
              <w:rPr>
                <w:rFonts w:ascii="Arial" w:hAnsi="Arial" w:cs="Arial"/>
                <w:sz w:val="20"/>
                <w:szCs w:val="20"/>
                <w:lang w:eastAsia="en-GB"/>
              </w:rPr>
              <w:t>3.</w:t>
            </w:r>
            <w:r w:rsidRPr="00035634">
              <w:rPr>
                <w:rFonts w:ascii="Arial" w:hAnsi="Arial" w:cs="Arial"/>
                <w:sz w:val="20"/>
                <w:szCs w:val="20"/>
                <w:lang w:eastAsia="en-GB"/>
              </w:rPr>
              <w:t xml:space="preserve"> zasadnutí riadiacej skupiny, ktorá sa konala v dňoch 4-5.6.2012 v Bratislave, bolo pre prioritnú oblasť 4 prerokovan</w:t>
            </w:r>
            <w:r>
              <w:rPr>
                <w:rFonts w:ascii="Arial" w:hAnsi="Arial" w:cs="Arial"/>
                <w:sz w:val="20"/>
                <w:szCs w:val="20"/>
                <w:lang w:eastAsia="en-GB"/>
              </w:rPr>
              <w:t xml:space="preserve">ých a schválených 5 projektov. </w:t>
            </w:r>
          </w:p>
        </w:tc>
      </w:tr>
      <w:tr w:rsidR="0079633A" w:rsidRPr="00F343D9" w:rsidTr="003A3602">
        <w:trPr>
          <w:trHeight w:val="20"/>
          <w:jc w:val="center"/>
        </w:trPr>
        <w:tc>
          <w:tcPr>
            <w:tcW w:w="9259" w:type="dxa"/>
            <w:gridSpan w:val="3"/>
            <w:shd w:val="clear" w:color="auto" w:fill="D6E3BC"/>
            <w:vAlign w:val="center"/>
          </w:tcPr>
          <w:p w:rsidR="0079633A" w:rsidRPr="00F343D9" w:rsidRDefault="0079633A" w:rsidP="005D18B1">
            <w:pPr>
              <w:jc w:val="both"/>
              <w:rPr>
                <w:rFonts w:ascii="Arial" w:hAnsi="Arial" w:cs="Arial"/>
                <w:b/>
                <w:sz w:val="20"/>
                <w:szCs w:val="20"/>
                <w:lang w:eastAsia="en-GB"/>
              </w:rPr>
            </w:pPr>
            <w:r>
              <w:rPr>
                <w:rFonts w:ascii="Arial" w:hAnsi="Arial" w:cs="Arial"/>
                <w:b/>
                <w:sz w:val="20"/>
                <w:szCs w:val="20"/>
                <w:lang w:eastAsia="en-GB"/>
              </w:rPr>
              <w:t>8</w:t>
            </w:r>
            <w:r w:rsidRPr="00F343D9">
              <w:rPr>
                <w:rFonts w:ascii="Arial" w:hAnsi="Arial" w:cs="Arial"/>
                <w:b/>
                <w:sz w:val="20"/>
                <w:szCs w:val="20"/>
                <w:lang w:eastAsia="en-GB"/>
              </w:rPr>
              <w:t>.  KOMUNIKAČNÉ AKTIVITY</w:t>
            </w:r>
          </w:p>
        </w:tc>
      </w:tr>
      <w:tr w:rsidR="0079633A" w:rsidRPr="00F343D9" w:rsidTr="003A3602">
        <w:trPr>
          <w:trHeight w:val="20"/>
          <w:jc w:val="center"/>
        </w:trPr>
        <w:tc>
          <w:tcPr>
            <w:tcW w:w="2863" w:type="dxa"/>
            <w:shd w:val="clear" w:color="auto" w:fill="EAF1DD"/>
            <w:vAlign w:val="center"/>
          </w:tcPr>
          <w:p w:rsidR="0079633A" w:rsidRPr="00F343D9" w:rsidRDefault="0079633A" w:rsidP="005D18B1">
            <w:pPr>
              <w:rPr>
                <w:rFonts w:ascii="Arial" w:hAnsi="Arial" w:cs="Arial"/>
                <w:b/>
                <w:sz w:val="20"/>
                <w:szCs w:val="20"/>
                <w:lang w:eastAsia="en-GB"/>
              </w:rPr>
            </w:pPr>
            <w:r w:rsidRPr="00F343D9">
              <w:rPr>
                <w:rFonts w:ascii="Arial" w:hAnsi="Arial" w:cs="Arial"/>
                <w:b/>
                <w:sz w:val="20"/>
                <w:szCs w:val="20"/>
                <w:lang w:eastAsia="en-GB"/>
              </w:rPr>
              <w:t>Úloha</w:t>
            </w:r>
          </w:p>
        </w:tc>
        <w:tc>
          <w:tcPr>
            <w:tcW w:w="1320" w:type="dxa"/>
            <w:shd w:val="clear" w:color="auto" w:fill="EAF1DD"/>
            <w:vAlign w:val="center"/>
          </w:tcPr>
          <w:p w:rsidR="0079633A" w:rsidRPr="00F343D9" w:rsidRDefault="0079633A" w:rsidP="005D18B1">
            <w:pPr>
              <w:rPr>
                <w:rFonts w:ascii="Arial" w:hAnsi="Arial" w:cs="Arial"/>
                <w:b/>
                <w:sz w:val="20"/>
                <w:szCs w:val="20"/>
                <w:lang w:eastAsia="en-GB"/>
              </w:rPr>
            </w:pPr>
            <w:r w:rsidRPr="00F343D9">
              <w:rPr>
                <w:rFonts w:ascii="Arial" w:hAnsi="Arial" w:cs="Arial"/>
                <w:b/>
                <w:sz w:val="20"/>
                <w:szCs w:val="20"/>
                <w:lang w:eastAsia="en-GB"/>
              </w:rPr>
              <w:t>Termín splnenia</w:t>
            </w:r>
          </w:p>
        </w:tc>
        <w:tc>
          <w:tcPr>
            <w:tcW w:w="5076" w:type="dxa"/>
            <w:shd w:val="clear" w:color="auto" w:fill="EAF1DD"/>
            <w:vAlign w:val="center"/>
          </w:tcPr>
          <w:p w:rsidR="0079633A" w:rsidRPr="00F343D9" w:rsidRDefault="0079633A" w:rsidP="005D18B1">
            <w:pPr>
              <w:jc w:val="both"/>
              <w:rPr>
                <w:rFonts w:ascii="Arial" w:hAnsi="Arial" w:cs="Arial"/>
                <w:b/>
                <w:sz w:val="20"/>
                <w:szCs w:val="20"/>
                <w:lang w:eastAsia="en-GB"/>
              </w:rPr>
            </w:pPr>
            <w:r w:rsidRPr="00F343D9">
              <w:rPr>
                <w:rFonts w:ascii="Arial" w:hAnsi="Arial" w:cs="Arial"/>
                <w:b/>
                <w:sz w:val="20"/>
                <w:szCs w:val="20"/>
                <w:lang w:eastAsia="en-GB"/>
              </w:rPr>
              <w:t>Stav a výsledky plnenia</w:t>
            </w:r>
          </w:p>
        </w:tc>
      </w:tr>
      <w:tr w:rsidR="0079633A" w:rsidRPr="00F343D9" w:rsidTr="003A3602">
        <w:trPr>
          <w:trHeight w:val="20"/>
          <w:jc w:val="center"/>
        </w:trPr>
        <w:tc>
          <w:tcPr>
            <w:tcW w:w="2863" w:type="dxa"/>
          </w:tcPr>
          <w:p w:rsidR="0079633A" w:rsidRPr="00F343D9" w:rsidRDefault="0079633A" w:rsidP="0076276F">
            <w:pPr>
              <w:jc w:val="both"/>
              <w:rPr>
                <w:rFonts w:ascii="Arial" w:hAnsi="Arial" w:cs="Arial"/>
                <w:sz w:val="20"/>
                <w:szCs w:val="20"/>
                <w:lang w:eastAsia="en-GB"/>
              </w:rPr>
            </w:pPr>
            <w:r w:rsidRPr="005D7161">
              <w:rPr>
                <w:rFonts w:ascii="Arial" w:hAnsi="Arial" w:cs="Arial"/>
                <w:sz w:val="20"/>
                <w:szCs w:val="20"/>
                <w:lang w:eastAsia="en-GB"/>
              </w:rPr>
              <w:t>Organizovať semináre s</w:t>
            </w:r>
            <w:r>
              <w:rPr>
                <w:rFonts w:ascii="Arial" w:hAnsi="Arial" w:cs="Arial"/>
                <w:sz w:val="20"/>
                <w:szCs w:val="20"/>
                <w:lang w:eastAsia="en-GB"/>
              </w:rPr>
              <w:t> </w:t>
            </w:r>
            <w:r w:rsidRPr="005D7161">
              <w:rPr>
                <w:rFonts w:ascii="Arial" w:hAnsi="Arial" w:cs="Arial"/>
                <w:sz w:val="20"/>
                <w:szCs w:val="20"/>
                <w:lang w:eastAsia="en-GB"/>
              </w:rPr>
              <w:t>tematikou najlepšej praxe pre pracovníkov zodpovedných za informovanie a publicitu na jednotlivých riadiacich orgánoch.</w:t>
            </w:r>
          </w:p>
        </w:tc>
        <w:tc>
          <w:tcPr>
            <w:tcW w:w="1320" w:type="dxa"/>
            <w:vAlign w:val="center"/>
          </w:tcPr>
          <w:p w:rsidR="0079633A" w:rsidRPr="00F343D9" w:rsidRDefault="0079633A" w:rsidP="005D18B1">
            <w:pPr>
              <w:rPr>
                <w:rFonts w:ascii="Arial" w:hAnsi="Arial" w:cs="Arial"/>
                <w:sz w:val="20"/>
                <w:szCs w:val="20"/>
                <w:lang w:eastAsia="en-GB"/>
              </w:rPr>
            </w:pPr>
            <w:r>
              <w:rPr>
                <w:rFonts w:ascii="Arial" w:hAnsi="Arial" w:cs="Arial"/>
                <w:sz w:val="20"/>
                <w:szCs w:val="20"/>
                <w:lang w:eastAsia="en-GB"/>
              </w:rPr>
              <w:t>apríl 2012</w:t>
            </w:r>
          </w:p>
        </w:tc>
        <w:tc>
          <w:tcPr>
            <w:tcW w:w="5076" w:type="dxa"/>
          </w:tcPr>
          <w:p w:rsidR="0079633A" w:rsidRPr="00F343D9" w:rsidRDefault="0079633A" w:rsidP="0076276F">
            <w:pPr>
              <w:jc w:val="both"/>
              <w:rPr>
                <w:rFonts w:ascii="Arial" w:hAnsi="Arial" w:cs="Arial"/>
                <w:sz w:val="20"/>
                <w:szCs w:val="20"/>
                <w:lang w:eastAsia="en-GB"/>
              </w:rPr>
            </w:pPr>
            <w:r w:rsidRPr="005D7161">
              <w:rPr>
                <w:rFonts w:ascii="Arial" w:hAnsi="Arial" w:cs="Arial"/>
                <w:sz w:val="20"/>
                <w:szCs w:val="20"/>
                <w:lang w:eastAsia="en-GB"/>
              </w:rPr>
              <w:t xml:space="preserve">Seminár “Good practice in information and publicity” sa uskutočnil 19. </w:t>
            </w:r>
            <w:r w:rsidR="0090392E">
              <w:rPr>
                <w:rFonts w:ascii="Arial" w:hAnsi="Arial" w:cs="Arial"/>
                <w:sz w:val="20"/>
                <w:szCs w:val="20"/>
                <w:lang w:eastAsia="en-GB"/>
              </w:rPr>
              <w:t>0</w:t>
            </w:r>
            <w:r w:rsidRPr="005D7161">
              <w:rPr>
                <w:rFonts w:ascii="Arial" w:hAnsi="Arial" w:cs="Arial"/>
                <w:sz w:val="20"/>
                <w:szCs w:val="20"/>
                <w:lang w:eastAsia="en-GB"/>
              </w:rPr>
              <w:t>4. 2012 v Európskom informačnom centre a za RO  sa ho zúčastnili 2 manažérky pre informovanie a</w:t>
            </w:r>
            <w:r>
              <w:rPr>
                <w:rFonts w:ascii="Arial" w:hAnsi="Arial" w:cs="Arial"/>
                <w:sz w:val="20"/>
                <w:szCs w:val="20"/>
                <w:lang w:eastAsia="en-GB"/>
              </w:rPr>
              <w:t> </w:t>
            </w:r>
            <w:r w:rsidRPr="005D7161">
              <w:rPr>
                <w:rFonts w:ascii="Arial" w:hAnsi="Arial" w:cs="Arial"/>
                <w:sz w:val="20"/>
                <w:szCs w:val="20"/>
                <w:lang w:eastAsia="en-GB"/>
              </w:rPr>
              <w:t>publicitu</w:t>
            </w:r>
            <w:r>
              <w:rPr>
                <w:rFonts w:ascii="Arial" w:hAnsi="Arial" w:cs="Arial"/>
                <w:sz w:val="20"/>
                <w:szCs w:val="20"/>
                <w:lang w:eastAsia="en-GB"/>
              </w:rPr>
              <w:t>.</w:t>
            </w:r>
          </w:p>
        </w:tc>
      </w:tr>
      <w:tr w:rsidR="0079633A" w:rsidRPr="00F343D9" w:rsidTr="003A3602">
        <w:trPr>
          <w:trHeight w:val="20"/>
          <w:jc w:val="center"/>
        </w:trPr>
        <w:tc>
          <w:tcPr>
            <w:tcW w:w="2863" w:type="dxa"/>
          </w:tcPr>
          <w:p w:rsidR="0079633A" w:rsidRPr="00F343D9" w:rsidRDefault="0079633A" w:rsidP="0076276F">
            <w:pPr>
              <w:jc w:val="both"/>
              <w:rPr>
                <w:rFonts w:ascii="Courier New" w:hAnsi="Courier New"/>
                <w:color w:val="7030A0"/>
                <w:lang w:eastAsia="en-GB"/>
              </w:rPr>
            </w:pPr>
            <w:r w:rsidRPr="00F343D9">
              <w:rPr>
                <w:rFonts w:ascii="Arial" w:hAnsi="Arial" w:cs="Arial"/>
                <w:sz w:val="20"/>
                <w:szCs w:val="20"/>
                <w:lang w:eastAsia="en-GB"/>
              </w:rPr>
              <w:t>Pripravovať tlačové konferencie / tlačové správy v spolupráci s útvarmi EK pri príležitosti významných udalostí, monitorovacích výborov alebo návštev na mieste</w:t>
            </w:r>
          </w:p>
        </w:tc>
        <w:tc>
          <w:tcPr>
            <w:tcW w:w="1320" w:type="dxa"/>
            <w:vAlign w:val="center"/>
          </w:tcPr>
          <w:p w:rsidR="0079633A" w:rsidRPr="00F343D9" w:rsidRDefault="0079633A" w:rsidP="005D18B1">
            <w:pPr>
              <w:rPr>
                <w:rFonts w:ascii="Arial" w:hAnsi="Arial" w:cs="Arial"/>
                <w:sz w:val="20"/>
                <w:szCs w:val="20"/>
                <w:lang w:eastAsia="en-GB"/>
              </w:rPr>
            </w:pPr>
            <w:r w:rsidRPr="00F343D9">
              <w:rPr>
                <w:rFonts w:ascii="Arial" w:hAnsi="Arial" w:cs="Arial"/>
                <w:sz w:val="20"/>
                <w:szCs w:val="20"/>
                <w:lang w:eastAsia="en-GB"/>
              </w:rPr>
              <w:t>priebežne</w:t>
            </w:r>
          </w:p>
        </w:tc>
        <w:tc>
          <w:tcPr>
            <w:tcW w:w="5076" w:type="dxa"/>
            <w:vAlign w:val="center"/>
          </w:tcPr>
          <w:p w:rsidR="0079633A" w:rsidRPr="005D7161" w:rsidRDefault="0079633A" w:rsidP="005D18B1">
            <w:pPr>
              <w:jc w:val="both"/>
              <w:rPr>
                <w:rFonts w:ascii="Arial" w:hAnsi="Arial" w:cs="Arial"/>
                <w:sz w:val="20"/>
                <w:szCs w:val="20"/>
                <w:lang w:eastAsia="en-GB"/>
              </w:rPr>
            </w:pPr>
            <w:r w:rsidRPr="005D7161">
              <w:rPr>
                <w:rFonts w:ascii="Arial" w:hAnsi="Arial" w:cs="Arial"/>
                <w:sz w:val="20"/>
                <w:szCs w:val="20"/>
                <w:lang w:eastAsia="en-GB"/>
              </w:rPr>
              <w:t>V priebehu roka 2012 RO v súčinnosti s komunikačným odborom MŽP SR zabezpeč</w:t>
            </w:r>
            <w:r>
              <w:rPr>
                <w:rFonts w:ascii="Arial" w:hAnsi="Arial" w:cs="Arial"/>
                <w:sz w:val="20"/>
                <w:szCs w:val="20"/>
                <w:lang w:eastAsia="en-GB"/>
              </w:rPr>
              <w:t>il</w:t>
            </w:r>
            <w:r w:rsidRPr="005D7161">
              <w:rPr>
                <w:rFonts w:ascii="Arial" w:hAnsi="Arial" w:cs="Arial"/>
                <w:sz w:val="20"/>
                <w:szCs w:val="20"/>
                <w:lang w:eastAsia="en-GB"/>
              </w:rPr>
              <w:t xml:space="preserve"> uverejňovanie tlačových správ o aktuálnych udalostiach a podujatiach v súvislosti s implementáciou OP ŽP na </w:t>
            </w:r>
            <w:r w:rsidR="0090392E">
              <w:rPr>
                <w:rFonts w:ascii="Arial" w:hAnsi="Arial" w:cs="Arial"/>
                <w:sz w:val="20"/>
                <w:szCs w:val="20"/>
                <w:lang w:eastAsia="en-GB"/>
              </w:rPr>
              <w:t>webovom sídle</w:t>
            </w:r>
            <w:r w:rsidRPr="005D7161">
              <w:rPr>
                <w:rFonts w:ascii="Arial" w:hAnsi="Arial" w:cs="Arial"/>
                <w:sz w:val="20"/>
                <w:szCs w:val="20"/>
                <w:lang w:eastAsia="en-GB"/>
              </w:rPr>
              <w:t xml:space="preserve"> MŽP SR www.minzp.sk. </w:t>
            </w:r>
          </w:p>
          <w:p w:rsidR="0079633A" w:rsidRDefault="0079633A" w:rsidP="005D18B1">
            <w:pPr>
              <w:jc w:val="both"/>
              <w:rPr>
                <w:rFonts w:ascii="Arial" w:hAnsi="Arial" w:cs="Arial"/>
                <w:sz w:val="20"/>
                <w:szCs w:val="20"/>
                <w:lang w:eastAsia="en-GB"/>
              </w:rPr>
            </w:pPr>
            <w:r w:rsidRPr="005D7161">
              <w:rPr>
                <w:rFonts w:ascii="Arial" w:hAnsi="Arial" w:cs="Arial"/>
                <w:sz w:val="20"/>
                <w:szCs w:val="20"/>
                <w:lang w:eastAsia="en-GB"/>
              </w:rPr>
              <w:t xml:space="preserve">Príklady: </w:t>
            </w:r>
          </w:p>
          <w:p w:rsidR="0079633A" w:rsidRPr="005D7161" w:rsidRDefault="0079633A" w:rsidP="005D18B1">
            <w:pPr>
              <w:jc w:val="both"/>
              <w:rPr>
                <w:rFonts w:ascii="Arial" w:hAnsi="Arial" w:cs="Arial"/>
                <w:sz w:val="20"/>
                <w:szCs w:val="20"/>
                <w:lang w:eastAsia="en-GB"/>
              </w:rPr>
            </w:pPr>
            <w:r w:rsidRPr="005D7161">
              <w:rPr>
                <w:rFonts w:ascii="Arial" w:hAnsi="Arial" w:cs="Arial"/>
                <w:sz w:val="20"/>
                <w:szCs w:val="20"/>
                <w:lang w:eastAsia="en-GB"/>
              </w:rPr>
              <w:t>Tlačová správa, ktorá bola zverejnená dňa 17.</w:t>
            </w:r>
            <w:r w:rsidR="0090392E">
              <w:rPr>
                <w:rFonts w:ascii="Arial" w:hAnsi="Arial" w:cs="Arial"/>
                <w:sz w:val="20"/>
                <w:szCs w:val="20"/>
                <w:lang w:eastAsia="en-GB"/>
              </w:rPr>
              <w:t>0</w:t>
            </w:r>
            <w:r w:rsidRPr="005D7161">
              <w:rPr>
                <w:rFonts w:ascii="Arial" w:hAnsi="Arial" w:cs="Arial"/>
                <w:sz w:val="20"/>
                <w:szCs w:val="20"/>
                <w:lang w:eastAsia="en-GB"/>
              </w:rPr>
              <w:t>2.2012 o spustení aplikácie geografickej mapy úspešne realizovaných projektov podporených z</w:t>
            </w:r>
            <w:r w:rsidR="0090392E">
              <w:rPr>
                <w:rFonts w:ascii="Arial" w:hAnsi="Arial" w:cs="Arial"/>
                <w:sz w:val="20"/>
                <w:szCs w:val="20"/>
                <w:lang w:eastAsia="en-GB"/>
              </w:rPr>
              <w:t> </w:t>
            </w:r>
            <w:r w:rsidRPr="005D7161">
              <w:rPr>
                <w:rFonts w:ascii="Arial" w:hAnsi="Arial" w:cs="Arial"/>
                <w:sz w:val="20"/>
                <w:szCs w:val="20"/>
                <w:lang w:eastAsia="en-GB"/>
              </w:rPr>
              <w:t>OP</w:t>
            </w:r>
            <w:r w:rsidR="0090392E">
              <w:rPr>
                <w:rFonts w:ascii="Arial" w:hAnsi="Arial" w:cs="Arial"/>
                <w:sz w:val="20"/>
                <w:szCs w:val="20"/>
                <w:lang w:eastAsia="en-GB"/>
              </w:rPr>
              <w:t xml:space="preserve"> </w:t>
            </w:r>
            <w:r w:rsidRPr="005D7161">
              <w:rPr>
                <w:rFonts w:ascii="Arial" w:hAnsi="Arial" w:cs="Arial"/>
                <w:sz w:val="20"/>
                <w:szCs w:val="20"/>
                <w:lang w:eastAsia="en-GB"/>
              </w:rPr>
              <w:t>ŽP, tlačová správa zo dňa 20.02.2012 o prvej vyhlásenej výzve OP</w:t>
            </w:r>
            <w:r w:rsidR="0090392E">
              <w:rPr>
                <w:rFonts w:ascii="Arial" w:hAnsi="Arial" w:cs="Arial"/>
                <w:sz w:val="20"/>
                <w:szCs w:val="20"/>
                <w:lang w:eastAsia="en-GB"/>
              </w:rPr>
              <w:t xml:space="preserve"> </w:t>
            </w:r>
            <w:r w:rsidRPr="005D7161">
              <w:rPr>
                <w:rFonts w:ascii="Arial" w:hAnsi="Arial" w:cs="Arial"/>
                <w:sz w:val="20"/>
                <w:szCs w:val="20"/>
                <w:lang w:eastAsia="en-GB"/>
              </w:rPr>
              <w:t>ŽP v roku 2012 a tlačová správa zo dňa 22.</w:t>
            </w:r>
            <w:r w:rsidR="0090392E">
              <w:rPr>
                <w:rFonts w:ascii="Arial" w:hAnsi="Arial" w:cs="Arial"/>
                <w:sz w:val="20"/>
                <w:szCs w:val="20"/>
                <w:lang w:eastAsia="en-GB"/>
              </w:rPr>
              <w:t>0</w:t>
            </w:r>
            <w:r w:rsidRPr="005D7161">
              <w:rPr>
                <w:rFonts w:ascii="Arial" w:hAnsi="Arial" w:cs="Arial"/>
                <w:sz w:val="20"/>
                <w:szCs w:val="20"/>
                <w:lang w:eastAsia="en-GB"/>
              </w:rPr>
              <w:t>2.2012 o prvom schválenom veľkom projekte.</w:t>
            </w:r>
          </w:p>
          <w:p w:rsidR="0079633A" w:rsidRPr="005D7161" w:rsidRDefault="0079633A" w:rsidP="005D18B1">
            <w:pPr>
              <w:jc w:val="both"/>
              <w:rPr>
                <w:rFonts w:ascii="Arial" w:hAnsi="Arial" w:cs="Arial"/>
                <w:sz w:val="20"/>
                <w:szCs w:val="20"/>
                <w:lang w:eastAsia="en-GB"/>
              </w:rPr>
            </w:pPr>
            <w:r w:rsidRPr="005D7161">
              <w:rPr>
                <w:rFonts w:ascii="Arial" w:hAnsi="Arial" w:cs="Arial"/>
                <w:sz w:val="20"/>
                <w:szCs w:val="20"/>
                <w:lang w:eastAsia="en-GB"/>
              </w:rPr>
              <w:t>Dňa 20.06.2012 bola zverejnená tlačová správa o návšteve úspešného projektu podporeného z</w:t>
            </w:r>
            <w:r w:rsidR="0090392E">
              <w:rPr>
                <w:rFonts w:ascii="Arial" w:hAnsi="Arial" w:cs="Arial"/>
                <w:sz w:val="20"/>
                <w:szCs w:val="20"/>
                <w:lang w:eastAsia="en-GB"/>
              </w:rPr>
              <w:t> </w:t>
            </w:r>
            <w:r w:rsidRPr="005D7161">
              <w:rPr>
                <w:rFonts w:ascii="Arial" w:hAnsi="Arial" w:cs="Arial"/>
                <w:sz w:val="20"/>
                <w:szCs w:val="20"/>
                <w:lang w:eastAsia="en-GB"/>
              </w:rPr>
              <w:t>OP</w:t>
            </w:r>
            <w:r w:rsidR="0090392E">
              <w:rPr>
                <w:rFonts w:ascii="Arial" w:hAnsi="Arial" w:cs="Arial"/>
                <w:sz w:val="20"/>
                <w:szCs w:val="20"/>
                <w:lang w:eastAsia="en-GB"/>
              </w:rPr>
              <w:t xml:space="preserve"> </w:t>
            </w:r>
            <w:r w:rsidRPr="005D7161">
              <w:rPr>
                <w:rFonts w:ascii="Arial" w:hAnsi="Arial" w:cs="Arial"/>
                <w:sz w:val="20"/>
                <w:szCs w:val="20"/>
                <w:lang w:eastAsia="en-GB"/>
              </w:rPr>
              <w:t>ŽP, ktorej sa dňa 15.</w:t>
            </w:r>
            <w:r w:rsidR="0090392E">
              <w:rPr>
                <w:rFonts w:ascii="Arial" w:hAnsi="Arial" w:cs="Arial"/>
                <w:sz w:val="20"/>
                <w:szCs w:val="20"/>
                <w:lang w:eastAsia="en-GB"/>
              </w:rPr>
              <w:t>0</w:t>
            </w:r>
            <w:r w:rsidRPr="005D7161">
              <w:rPr>
                <w:rFonts w:ascii="Arial" w:hAnsi="Arial" w:cs="Arial"/>
                <w:sz w:val="20"/>
                <w:szCs w:val="20"/>
                <w:lang w:eastAsia="en-GB"/>
              </w:rPr>
              <w:t>6.2012 zúčastnili zástupcovia EK a MŽP SR. Dňa 29.</w:t>
            </w:r>
            <w:r w:rsidR="0090392E">
              <w:rPr>
                <w:rFonts w:ascii="Arial" w:hAnsi="Arial" w:cs="Arial"/>
                <w:sz w:val="20"/>
                <w:szCs w:val="20"/>
                <w:lang w:eastAsia="en-GB"/>
              </w:rPr>
              <w:t>0</w:t>
            </w:r>
            <w:r w:rsidRPr="005D7161">
              <w:rPr>
                <w:rFonts w:ascii="Arial" w:hAnsi="Arial" w:cs="Arial"/>
                <w:sz w:val="20"/>
                <w:szCs w:val="20"/>
                <w:lang w:eastAsia="en-GB"/>
              </w:rPr>
              <w:t>6.2012 bola zverejnená tlačová správa o uvoľnení platieb v rámci OP</w:t>
            </w:r>
            <w:r w:rsidR="0090392E">
              <w:rPr>
                <w:rFonts w:ascii="Arial" w:hAnsi="Arial" w:cs="Arial"/>
                <w:sz w:val="20"/>
                <w:szCs w:val="20"/>
                <w:lang w:eastAsia="en-GB"/>
              </w:rPr>
              <w:t xml:space="preserve"> </w:t>
            </w:r>
            <w:r w:rsidRPr="005D7161">
              <w:rPr>
                <w:rFonts w:ascii="Arial" w:hAnsi="Arial" w:cs="Arial"/>
                <w:sz w:val="20"/>
                <w:szCs w:val="20"/>
                <w:lang w:eastAsia="en-GB"/>
              </w:rPr>
              <w:t>ŽP zo strany EK.</w:t>
            </w:r>
          </w:p>
          <w:p w:rsidR="0079633A" w:rsidRPr="00F343D9" w:rsidRDefault="0079633A" w:rsidP="005D18B1">
            <w:pPr>
              <w:jc w:val="both"/>
              <w:textAlignment w:val="top"/>
              <w:rPr>
                <w:sz w:val="22"/>
                <w:szCs w:val="22"/>
                <w:lang w:eastAsia="en-GB"/>
              </w:rPr>
            </w:pPr>
            <w:r w:rsidRPr="005D7161">
              <w:rPr>
                <w:rFonts w:ascii="Arial" w:hAnsi="Arial" w:cs="Arial"/>
                <w:sz w:val="20"/>
                <w:szCs w:val="20"/>
                <w:lang w:eastAsia="en-GB"/>
              </w:rPr>
              <w:t>Dňa 11.</w:t>
            </w:r>
            <w:r w:rsidR="0090392E">
              <w:rPr>
                <w:rFonts w:ascii="Arial" w:hAnsi="Arial" w:cs="Arial"/>
                <w:sz w:val="20"/>
                <w:szCs w:val="20"/>
                <w:lang w:eastAsia="en-GB"/>
              </w:rPr>
              <w:t>0</w:t>
            </w:r>
            <w:r w:rsidRPr="005D7161">
              <w:rPr>
                <w:rFonts w:ascii="Arial" w:hAnsi="Arial" w:cs="Arial"/>
                <w:sz w:val="20"/>
                <w:szCs w:val="20"/>
                <w:lang w:eastAsia="en-GB"/>
              </w:rPr>
              <w:t>7.2012 bola zverejnená tlačová správa o hlavných úspechoch prvých 100 dní ministra vo funkcii na MŽP SR s vyzdvihnutím uvoľnenia platieb na OP</w:t>
            </w:r>
            <w:r w:rsidR="0090392E">
              <w:rPr>
                <w:rFonts w:ascii="Arial" w:hAnsi="Arial" w:cs="Arial"/>
                <w:sz w:val="20"/>
                <w:szCs w:val="20"/>
                <w:lang w:eastAsia="en-GB"/>
              </w:rPr>
              <w:t xml:space="preserve"> </w:t>
            </w:r>
            <w:r w:rsidRPr="005D7161">
              <w:rPr>
                <w:rFonts w:ascii="Arial" w:hAnsi="Arial" w:cs="Arial"/>
                <w:sz w:val="20"/>
                <w:szCs w:val="20"/>
                <w:lang w:eastAsia="en-GB"/>
              </w:rPr>
              <w:t xml:space="preserve">ŽP. Dňa </w:t>
            </w:r>
            <w:r w:rsidR="0090392E">
              <w:rPr>
                <w:rFonts w:ascii="Arial" w:hAnsi="Arial" w:cs="Arial"/>
                <w:sz w:val="20"/>
                <w:szCs w:val="20"/>
                <w:lang w:eastAsia="en-GB"/>
              </w:rPr>
              <w:t>0</w:t>
            </w:r>
            <w:r w:rsidRPr="005D7161">
              <w:rPr>
                <w:rFonts w:ascii="Arial" w:hAnsi="Arial" w:cs="Arial"/>
                <w:sz w:val="20"/>
                <w:szCs w:val="20"/>
                <w:lang w:eastAsia="en-GB"/>
              </w:rPr>
              <w:t>3.</w:t>
            </w:r>
            <w:r w:rsidR="0090392E">
              <w:rPr>
                <w:rFonts w:ascii="Arial" w:hAnsi="Arial" w:cs="Arial"/>
                <w:sz w:val="20"/>
                <w:szCs w:val="20"/>
                <w:lang w:eastAsia="en-GB"/>
              </w:rPr>
              <w:t>0</w:t>
            </w:r>
            <w:r w:rsidRPr="005D7161">
              <w:rPr>
                <w:rFonts w:ascii="Arial" w:hAnsi="Arial" w:cs="Arial"/>
                <w:sz w:val="20"/>
                <w:szCs w:val="20"/>
                <w:lang w:eastAsia="en-GB"/>
              </w:rPr>
              <w:t xml:space="preserve">8.2012 bola zverejnená tlačová správa o 2. a 3. schválenom veľkom projekte a dňa </w:t>
            </w:r>
            <w:r w:rsidR="0090392E">
              <w:rPr>
                <w:rFonts w:ascii="Arial" w:hAnsi="Arial" w:cs="Arial"/>
                <w:sz w:val="20"/>
                <w:szCs w:val="20"/>
                <w:lang w:eastAsia="en-GB"/>
              </w:rPr>
              <w:t>0</w:t>
            </w:r>
            <w:r w:rsidRPr="005D7161">
              <w:rPr>
                <w:rFonts w:ascii="Arial" w:hAnsi="Arial" w:cs="Arial"/>
                <w:sz w:val="20"/>
                <w:szCs w:val="20"/>
                <w:lang w:eastAsia="en-GB"/>
              </w:rPr>
              <w:t>9.</w:t>
            </w:r>
            <w:r w:rsidR="0090392E">
              <w:rPr>
                <w:rFonts w:ascii="Arial" w:hAnsi="Arial" w:cs="Arial"/>
                <w:sz w:val="20"/>
                <w:szCs w:val="20"/>
                <w:lang w:eastAsia="en-GB"/>
              </w:rPr>
              <w:t>0</w:t>
            </w:r>
            <w:r w:rsidRPr="005D7161">
              <w:rPr>
                <w:rFonts w:ascii="Arial" w:hAnsi="Arial" w:cs="Arial"/>
                <w:sz w:val="20"/>
                <w:szCs w:val="20"/>
                <w:lang w:eastAsia="en-GB"/>
              </w:rPr>
              <w:t>8.2012 bola zverejnená tlačová správa o 4. schválenom veľkom projekte</w:t>
            </w:r>
            <w:r>
              <w:rPr>
                <w:rFonts w:ascii="Arial" w:hAnsi="Arial" w:cs="Arial"/>
                <w:sz w:val="20"/>
                <w:szCs w:val="20"/>
                <w:lang w:eastAsia="en-GB"/>
              </w:rPr>
              <w:t>.</w:t>
            </w:r>
          </w:p>
        </w:tc>
      </w:tr>
      <w:tr w:rsidR="0079633A" w:rsidRPr="00F343D9" w:rsidTr="003A3602">
        <w:trPr>
          <w:trHeight w:val="20"/>
          <w:jc w:val="center"/>
        </w:trPr>
        <w:tc>
          <w:tcPr>
            <w:tcW w:w="2863" w:type="dxa"/>
          </w:tcPr>
          <w:p w:rsidR="0079633A" w:rsidRPr="005E3153" w:rsidRDefault="0079633A" w:rsidP="0076276F">
            <w:pPr>
              <w:jc w:val="both"/>
              <w:rPr>
                <w:rFonts w:ascii="Arial" w:hAnsi="Arial" w:cs="Arial"/>
                <w:sz w:val="20"/>
                <w:szCs w:val="20"/>
                <w:lang w:eastAsia="en-GB"/>
              </w:rPr>
            </w:pPr>
            <w:r w:rsidRPr="00F343D9">
              <w:rPr>
                <w:rFonts w:ascii="Arial" w:hAnsi="Arial" w:cs="Arial"/>
                <w:sz w:val="20"/>
                <w:szCs w:val="20"/>
                <w:lang w:eastAsia="en-GB"/>
              </w:rPr>
              <w:t>Prizývať na otváracie ceremónie / otváracie podujatia projektov zástupcov EK (vrátane predstaviteľov Stáleho zastúpenia EK v SR  so sídlom v Bratislave)  - systematicky a na základe predchádzajúceho oznámenia</w:t>
            </w:r>
          </w:p>
        </w:tc>
        <w:tc>
          <w:tcPr>
            <w:tcW w:w="1320" w:type="dxa"/>
            <w:vAlign w:val="center"/>
          </w:tcPr>
          <w:p w:rsidR="0079633A" w:rsidRPr="00F343D9" w:rsidRDefault="0079633A" w:rsidP="005D18B1">
            <w:pPr>
              <w:rPr>
                <w:lang w:eastAsia="en-GB"/>
              </w:rPr>
            </w:pPr>
            <w:r w:rsidRPr="00F343D9">
              <w:rPr>
                <w:rFonts w:ascii="Arial" w:hAnsi="Arial" w:cs="Arial"/>
                <w:sz w:val="20"/>
                <w:szCs w:val="20"/>
                <w:lang w:eastAsia="en-GB"/>
              </w:rPr>
              <w:t>priebežne</w:t>
            </w:r>
          </w:p>
        </w:tc>
        <w:tc>
          <w:tcPr>
            <w:tcW w:w="5076" w:type="dxa"/>
          </w:tcPr>
          <w:p w:rsidR="0079633A" w:rsidRPr="00F343D9" w:rsidRDefault="0079633A" w:rsidP="0076276F">
            <w:pPr>
              <w:ind w:left="34"/>
              <w:jc w:val="both"/>
              <w:rPr>
                <w:rFonts w:ascii="Arial" w:hAnsi="Arial" w:cs="Arial"/>
                <w:sz w:val="20"/>
                <w:szCs w:val="20"/>
                <w:lang w:eastAsia="en-GB"/>
              </w:rPr>
            </w:pPr>
            <w:r w:rsidRPr="00F343D9">
              <w:rPr>
                <w:rFonts w:ascii="Arial" w:hAnsi="Arial" w:cs="Arial"/>
                <w:sz w:val="20"/>
                <w:szCs w:val="20"/>
                <w:lang w:eastAsia="en-GB"/>
              </w:rPr>
              <w:t xml:space="preserve">Na začiatku programového obdobia organizoval </w:t>
            </w:r>
            <w:r w:rsidR="0090392E">
              <w:rPr>
                <w:rFonts w:ascii="Arial" w:hAnsi="Arial" w:cs="Arial"/>
                <w:sz w:val="20"/>
                <w:szCs w:val="20"/>
                <w:lang w:eastAsia="en-GB"/>
              </w:rPr>
              <w:t>RO</w:t>
            </w:r>
            <w:r w:rsidRPr="00F343D9">
              <w:rPr>
                <w:rFonts w:ascii="Arial" w:hAnsi="Arial" w:cs="Arial"/>
                <w:sz w:val="20"/>
                <w:szCs w:val="20"/>
                <w:lang w:eastAsia="en-GB"/>
              </w:rPr>
              <w:t xml:space="preserve"> otváraciu ceremóniu operačného programu, na ktorej sa zúčastnili taktiež zástupcovia EK.</w:t>
            </w:r>
          </w:p>
          <w:p w:rsidR="0079633A" w:rsidRPr="00F343D9" w:rsidRDefault="0079633A" w:rsidP="0076276F">
            <w:pPr>
              <w:jc w:val="both"/>
              <w:textAlignment w:val="top"/>
              <w:rPr>
                <w:rFonts w:ascii="Courier New" w:hAnsi="Courier New"/>
                <w:sz w:val="22"/>
                <w:szCs w:val="22"/>
                <w:lang w:eastAsia="en-GB"/>
              </w:rPr>
            </w:pPr>
            <w:r w:rsidRPr="00F343D9">
              <w:rPr>
                <w:rFonts w:ascii="Arial" w:hAnsi="Arial" w:cs="Arial"/>
                <w:sz w:val="20"/>
                <w:szCs w:val="20"/>
                <w:lang w:eastAsia="en-GB"/>
              </w:rPr>
              <w:t xml:space="preserve">Do budúcna </w:t>
            </w:r>
            <w:r w:rsidR="0090392E">
              <w:rPr>
                <w:rFonts w:ascii="Arial" w:hAnsi="Arial" w:cs="Arial"/>
                <w:sz w:val="20"/>
                <w:szCs w:val="20"/>
                <w:lang w:eastAsia="en-GB"/>
              </w:rPr>
              <w:t>RO</w:t>
            </w:r>
            <w:r w:rsidRPr="00F343D9">
              <w:rPr>
                <w:rFonts w:ascii="Arial" w:hAnsi="Arial" w:cs="Arial"/>
                <w:sz w:val="20"/>
                <w:szCs w:val="20"/>
                <w:lang w:eastAsia="en-GB"/>
              </w:rPr>
              <w:t xml:space="preserve">  uvažuje s vytipovaním najúspešnejších projektov – najmä veľkých projektov, v prípade ktorých by ich otváracie podujatia mohli byť využité na mediálnu prezentáciu prínosu fondov EÚ v rámci OP ŽP. Konkrétne načasovanie takýchto podujatí však závisí od termínov realizácie jednotlivých projektov - najmä veľkých projektov.     </w:t>
            </w:r>
          </w:p>
        </w:tc>
      </w:tr>
      <w:tr w:rsidR="0079633A" w:rsidRPr="00F343D9" w:rsidTr="003A3602">
        <w:trPr>
          <w:trHeight w:val="20"/>
          <w:jc w:val="center"/>
        </w:trPr>
        <w:tc>
          <w:tcPr>
            <w:tcW w:w="2863" w:type="dxa"/>
          </w:tcPr>
          <w:p w:rsidR="0079633A" w:rsidRPr="00F343D9" w:rsidRDefault="0079633A" w:rsidP="0076276F">
            <w:pPr>
              <w:jc w:val="both"/>
              <w:rPr>
                <w:rFonts w:ascii="Arial" w:hAnsi="Arial" w:cs="Arial"/>
                <w:sz w:val="20"/>
                <w:szCs w:val="20"/>
                <w:lang w:eastAsia="en-GB"/>
              </w:rPr>
            </w:pPr>
            <w:r w:rsidRPr="00F343D9">
              <w:rPr>
                <w:rFonts w:ascii="Arial" w:hAnsi="Arial" w:cs="Arial"/>
                <w:sz w:val="20"/>
                <w:szCs w:val="20"/>
                <w:lang w:eastAsia="en-GB"/>
              </w:rPr>
              <w:t xml:space="preserve">Pravidelne aktualizovať zoznam projektov / prijímateľov v rámci operačného programu  </w:t>
            </w:r>
          </w:p>
          <w:p w:rsidR="0079633A" w:rsidRPr="00F343D9" w:rsidRDefault="0079633A" w:rsidP="005D18B1">
            <w:pPr>
              <w:ind w:left="720"/>
              <w:rPr>
                <w:lang w:eastAsia="en-GB"/>
              </w:rPr>
            </w:pPr>
          </w:p>
        </w:tc>
        <w:tc>
          <w:tcPr>
            <w:tcW w:w="1320" w:type="dxa"/>
            <w:vAlign w:val="center"/>
          </w:tcPr>
          <w:p w:rsidR="0079633A" w:rsidRPr="00F343D9" w:rsidRDefault="0079633A" w:rsidP="005D18B1">
            <w:pPr>
              <w:rPr>
                <w:sz w:val="20"/>
                <w:szCs w:val="20"/>
                <w:lang w:eastAsia="en-GB"/>
              </w:rPr>
            </w:pPr>
            <w:r w:rsidRPr="00F343D9">
              <w:rPr>
                <w:rFonts w:ascii="Arial" w:hAnsi="Arial" w:cs="Arial"/>
                <w:sz w:val="20"/>
                <w:szCs w:val="20"/>
                <w:lang w:eastAsia="en-GB"/>
              </w:rPr>
              <w:t>priebežne</w:t>
            </w:r>
          </w:p>
        </w:tc>
        <w:tc>
          <w:tcPr>
            <w:tcW w:w="5076" w:type="dxa"/>
            <w:vAlign w:val="center"/>
          </w:tcPr>
          <w:p w:rsidR="0079633A" w:rsidRPr="005E3153" w:rsidRDefault="0079633A" w:rsidP="005D18B1">
            <w:pPr>
              <w:jc w:val="both"/>
              <w:rPr>
                <w:rFonts w:ascii="Arial" w:hAnsi="Arial" w:cs="Arial"/>
                <w:sz w:val="20"/>
                <w:szCs w:val="20"/>
                <w:lang w:eastAsia="en-GB"/>
              </w:rPr>
            </w:pPr>
            <w:r w:rsidRPr="005E3153">
              <w:rPr>
                <w:rFonts w:ascii="Arial" w:hAnsi="Arial" w:cs="Arial"/>
                <w:sz w:val="20"/>
                <w:szCs w:val="20"/>
                <w:lang w:eastAsia="en-GB"/>
              </w:rPr>
              <w:t xml:space="preserve">RO  pravidelne v mesačných intervaloch zverejňuje na </w:t>
            </w:r>
            <w:r w:rsidR="0090392E">
              <w:rPr>
                <w:rFonts w:ascii="Arial" w:hAnsi="Arial" w:cs="Arial"/>
                <w:sz w:val="20"/>
                <w:szCs w:val="20"/>
                <w:lang w:eastAsia="en-GB"/>
              </w:rPr>
              <w:t>webovom sídle</w:t>
            </w:r>
            <w:r w:rsidRPr="005E3153">
              <w:rPr>
                <w:rFonts w:ascii="Arial" w:hAnsi="Arial" w:cs="Arial"/>
                <w:sz w:val="20"/>
                <w:szCs w:val="20"/>
                <w:lang w:eastAsia="en-GB"/>
              </w:rPr>
              <w:t xml:space="preserve"> www.opzp.sk zoznam prijímateľov podľa prioritných osí s názvami projektov a žiadateľov, miestom ich realizácie a sumou zazmluvneného príspevku v  členení na zdroje EU, zdroje ŠR a vlastné zdroje  a s opisom všetkých projektov. Zároveň na </w:t>
            </w:r>
            <w:r w:rsidR="0090392E">
              <w:rPr>
                <w:rFonts w:ascii="Arial" w:hAnsi="Arial" w:cs="Arial"/>
                <w:sz w:val="20"/>
                <w:szCs w:val="20"/>
                <w:lang w:eastAsia="en-GB"/>
              </w:rPr>
              <w:t>tomto webovom sídle</w:t>
            </w:r>
            <w:r w:rsidRPr="005E3153">
              <w:rPr>
                <w:rFonts w:ascii="Arial" w:hAnsi="Arial" w:cs="Arial"/>
                <w:sz w:val="20"/>
                <w:szCs w:val="20"/>
                <w:lang w:eastAsia="en-GB"/>
              </w:rPr>
              <w:t xml:space="preserve"> zverejňuje aj zoznam neschválených projektov s udaním dôvodu neschválenia a zoznam členov výberových komisií a odborných hodnotiteľov v dvojmesačných intervaloch.</w:t>
            </w:r>
          </w:p>
          <w:p w:rsidR="0079633A" w:rsidRPr="005E3153" w:rsidRDefault="0079633A" w:rsidP="005D18B1">
            <w:pPr>
              <w:jc w:val="both"/>
              <w:rPr>
                <w:rFonts w:ascii="Arial" w:hAnsi="Arial" w:cs="Arial"/>
                <w:sz w:val="20"/>
                <w:szCs w:val="20"/>
                <w:lang w:eastAsia="en-GB"/>
              </w:rPr>
            </w:pPr>
          </w:p>
          <w:p w:rsidR="0079633A" w:rsidRPr="00F343D9" w:rsidRDefault="0079633A" w:rsidP="005D18B1">
            <w:pPr>
              <w:jc w:val="both"/>
              <w:rPr>
                <w:lang w:eastAsia="en-GB"/>
              </w:rPr>
            </w:pPr>
            <w:r w:rsidRPr="005E3153">
              <w:rPr>
                <w:rFonts w:ascii="Arial" w:hAnsi="Arial" w:cs="Arial"/>
                <w:sz w:val="20"/>
                <w:szCs w:val="20"/>
                <w:lang w:eastAsia="en-GB"/>
              </w:rPr>
              <w:t xml:space="preserve">RO  tiež pripravil geografickú mapu úspešne realizovaných projektov na </w:t>
            </w:r>
            <w:r w:rsidR="0090392E">
              <w:rPr>
                <w:rFonts w:ascii="Arial" w:hAnsi="Arial" w:cs="Arial"/>
                <w:sz w:val="20"/>
                <w:szCs w:val="20"/>
                <w:lang w:eastAsia="en-GB"/>
              </w:rPr>
              <w:t>webovom sídle</w:t>
            </w:r>
            <w:r w:rsidRPr="005E3153">
              <w:rPr>
                <w:rFonts w:ascii="Arial" w:hAnsi="Arial" w:cs="Arial"/>
                <w:sz w:val="20"/>
                <w:szCs w:val="20"/>
                <w:lang w:eastAsia="en-GB"/>
              </w:rPr>
              <w:t xml:space="preserve"> www.opzp.sk. Táto mapa obsahuje zjednodušený prístup k informáciám o úspešne realizovaných projektoch OP</w:t>
            </w:r>
            <w:r w:rsidR="0090392E">
              <w:rPr>
                <w:rFonts w:ascii="Arial" w:hAnsi="Arial" w:cs="Arial"/>
                <w:sz w:val="20"/>
                <w:szCs w:val="20"/>
                <w:lang w:eastAsia="en-GB"/>
              </w:rPr>
              <w:t xml:space="preserve"> </w:t>
            </w:r>
            <w:r w:rsidRPr="005E3153">
              <w:rPr>
                <w:rFonts w:ascii="Arial" w:hAnsi="Arial" w:cs="Arial"/>
                <w:sz w:val="20"/>
                <w:szCs w:val="20"/>
                <w:lang w:eastAsia="en-GB"/>
              </w:rPr>
              <w:t xml:space="preserve">ŽP, a to ako pre odbornú i laickú verejnosť. Mapa tiež poskytuje prehľad o miestach, stave realizácie projektov, umiestnení, finančnom príspevku a príklady "dobrej praxe" projektov s fotografiami. </w:t>
            </w:r>
          </w:p>
        </w:tc>
      </w:tr>
    </w:tbl>
    <w:p w:rsidR="0079633A" w:rsidRPr="00992100" w:rsidRDefault="0079633A" w:rsidP="00992100">
      <w:pPr>
        <w:rPr>
          <w:rFonts w:ascii="Calibri" w:hAnsi="Calibri"/>
          <w:b/>
          <w:sz w:val="22"/>
          <w:szCs w:val="22"/>
          <w:lang w:eastAsia="en-US"/>
        </w:rPr>
      </w:pPr>
    </w:p>
    <w:p w:rsidR="0079633A" w:rsidRPr="008B783A" w:rsidRDefault="0079633A" w:rsidP="001540E7">
      <w:pPr>
        <w:pStyle w:val="Odsekzoznamu"/>
        <w:numPr>
          <w:ilvl w:val="0"/>
          <w:numId w:val="63"/>
        </w:numPr>
        <w:spacing w:after="0" w:line="240" w:lineRule="auto"/>
        <w:ind w:left="426" w:hanging="437"/>
        <w:contextualSpacing w:val="0"/>
        <w:rPr>
          <w:b/>
        </w:rPr>
      </w:pPr>
      <w:r>
        <w:rPr>
          <w:b/>
        </w:rPr>
        <w:t xml:space="preserve"> </w:t>
      </w:r>
      <w:r w:rsidRPr="008B783A">
        <w:rPr>
          <w:b/>
        </w:rPr>
        <w:t>Príprava programového obdobia po roku 2013</w:t>
      </w:r>
    </w:p>
    <w:tbl>
      <w:tblPr>
        <w:tblW w:w="9320" w:type="dxa"/>
        <w:jc w:val="center"/>
        <w:tblInd w:w="-313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720"/>
        <w:gridCol w:w="1424"/>
        <w:gridCol w:w="5176"/>
      </w:tblGrid>
      <w:tr w:rsidR="0079633A" w:rsidRPr="00F343D9" w:rsidTr="003A3602">
        <w:trPr>
          <w:trHeight w:val="20"/>
          <w:jc w:val="center"/>
        </w:trPr>
        <w:tc>
          <w:tcPr>
            <w:tcW w:w="9320" w:type="dxa"/>
            <w:gridSpan w:val="3"/>
            <w:shd w:val="clear" w:color="auto" w:fill="D6E3BC"/>
            <w:vAlign w:val="center"/>
          </w:tcPr>
          <w:p w:rsidR="0079633A" w:rsidRPr="00F343D9" w:rsidRDefault="0079633A" w:rsidP="005D18B1">
            <w:pPr>
              <w:jc w:val="both"/>
              <w:rPr>
                <w:rFonts w:ascii="Arial" w:hAnsi="Arial" w:cs="Arial"/>
                <w:b/>
                <w:sz w:val="20"/>
                <w:szCs w:val="20"/>
                <w:lang w:eastAsia="en-GB"/>
              </w:rPr>
            </w:pPr>
            <w:r>
              <w:rPr>
                <w:rFonts w:ascii="Arial" w:hAnsi="Arial" w:cs="Arial"/>
                <w:b/>
                <w:sz w:val="20"/>
                <w:szCs w:val="20"/>
                <w:lang w:eastAsia="en-GB"/>
              </w:rPr>
              <w:t>1</w:t>
            </w:r>
            <w:r w:rsidRPr="00F343D9">
              <w:rPr>
                <w:rFonts w:ascii="Arial" w:hAnsi="Arial" w:cs="Arial"/>
                <w:b/>
                <w:sz w:val="20"/>
                <w:szCs w:val="20"/>
                <w:lang w:eastAsia="en-GB"/>
              </w:rPr>
              <w:t xml:space="preserve">.  </w:t>
            </w:r>
            <w:r>
              <w:rPr>
                <w:rFonts w:ascii="Arial" w:hAnsi="Arial" w:cs="Arial"/>
                <w:b/>
                <w:sz w:val="20"/>
                <w:szCs w:val="20"/>
                <w:lang w:eastAsia="en-GB"/>
              </w:rPr>
              <w:t>Nové programové obdobie – prípravné práce</w:t>
            </w:r>
          </w:p>
        </w:tc>
      </w:tr>
      <w:tr w:rsidR="0079633A" w:rsidRPr="00F343D9" w:rsidTr="003A3602">
        <w:trPr>
          <w:trHeight w:val="20"/>
          <w:jc w:val="center"/>
        </w:trPr>
        <w:tc>
          <w:tcPr>
            <w:tcW w:w="2720" w:type="dxa"/>
            <w:shd w:val="clear" w:color="auto" w:fill="EAF1DD"/>
            <w:vAlign w:val="center"/>
          </w:tcPr>
          <w:p w:rsidR="0079633A" w:rsidRPr="00F343D9" w:rsidRDefault="0079633A" w:rsidP="005D18B1">
            <w:pPr>
              <w:rPr>
                <w:rFonts w:ascii="Arial" w:hAnsi="Arial" w:cs="Arial"/>
                <w:b/>
                <w:sz w:val="20"/>
                <w:szCs w:val="20"/>
                <w:lang w:eastAsia="en-GB"/>
              </w:rPr>
            </w:pPr>
            <w:r w:rsidRPr="00F343D9">
              <w:rPr>
                <w:rFonts w:ascii="Arial" w:hAnsi="Arial" w:cs="Arial"/>
                <w:b/>
                <w:sz w:val="20"/>
                <w:szCs w:val="20"/>
                <w:lang w:eastAsia="en-GB"/>
              </w:rPr>
              <w:t>Úloha</w:t>
            </w:r>
          </w:p>
        </w:tc>
        <w:tc>
          <w:tcPr>
            <w:tcW w:w="1424" w:type="dxa"/>
            <w:shd w:val="clear" w:color="auto" w:fill="EAF1DD"/>
            <w:vAlign w:val="center"/>
          </w:tcPr>
          <w:p w:rsidR="0079633A" w:rsidRPr="00F343D9" w:rsidRDefault="0079633A" w:rsidP="005D18B1">
            <w:pPr>
              <w:rPr>
                <w:rFonts w:ascii="Arial" w:hAnsi="Arial" w:cs="Arial"/>
                <w:b/>
                <w:sz w:val="20"/>
                <w:szCs w:val="20"/>
                <w:lang w:eastAsia="en-GB"/>
              </w:rPr>
            </w:pPr>
            <w:r w:rsidRPr="00F343D9">
              <w:rPr>
                <w:rFonts w:ascii="Arial" w:hAnsi="Arial" w:cs="Arial"/>
                <w:b/>
                <w:sz w:val="20"/>
                <w:szCs w:val="20"/>
                <w:lang w:eastAsia="en-GB"/>
              </w:rPr>
              <w:t>Termín splnenia</w:t>
            </w:r>
          </w:p>
        </w:tc>
        <w:tc>
          <w:tcPr>
            <w:tcW w:w="5176" w:type="dxa"/>
            <w:shd w:val="clear" w:color="auto" w:fill="EAF1DD"/>
            <w:vAlign w:val="center"/>
          </w:tcPr>
          <w:p w:rsidR="0079633A" w:rsidRPr="00F343D9" w:rsidRDefault="0079633A" w:rsidP="005D18B1">
            <w:pPr>
              <w:jc w:val="both"/>
              <w:rPr>
                <w:rFonts w:ascii="Arial" w:hAnsi="Arial" w:cs="Arial"/>
                <w:b/>
                <w:sz w:val="20"/>
                <w:szCs w:val="20"/>
                <w:lang w:eastAsia="en-GB"/>
              </w:rPr>
            </w:pPr>
            <w:r w:rsidRPr="00F343D9">
              <w:rPr>
                <w:rFonts w:ascii="Arial" w:hAnsi="Arial" w:cs="Arial"/>
                <w:b/>
                <w:sz w:val="20"/>
                <w:szCs w:val="20"/>
                <w:lang w:eastAsia="en-GB"/>
              </w:rPr>
              <w:t>Stav a výsledky plnenia</w:t>
            </w:r>
          </w:p>
        </w:tc>
      </w:tr>
      <w:tr w:rsidR="0079633A" w:rsidRPr="008B783A" w:rsidTr="003A3602">
        <w:trPr>
          <w:trHeight w:val="20"/>
          <w:jc w:val="center"/>
        </w:trPr>
        <w:tc>
          <w:tcPr>
            <w:tcW w:w="2720" w:type="dxa"/>
          </w:tcPr>
          <w:p w:rsidR="0079633A" w:rsidRPr="005D7161" w:rsidRDefault="0079633A" w:rsidP="0076276F">
            <w:pPr>
              <w:jc w:val="both"/>
              <w:rPr>
                <w:rFonts w:ascii="Arial" w:hAnsi="Arial" w:cs="Arial"/>
                <w:sz w:val="20"/>
                <w:szCs w:val="20"/>
                <w:lang w:eastAsia="en-GB"/>
              </w:rPr>
            </w:pPr>
            <w:r w:rsidRPr="008B783A">
              <w:rPr>
                <w:rFonts w:ascii="Arial" w:hAnsi="Arial" w:cs="Arial"/>
                <w:sz w:val="20"/>
                <w:szCs w:val="20"/>
                <w:lang w:eastAsia="en-GB"/>
              </w:rPr>
              <w:t>Zabezpečiť vykonávanie prípravných prác (napr. hodnotenia, analýzy) na nové programové obdobie</w:t>
            </w:r>
          </w:p>
        </w:tc>
        <w:tc>
          <w:tcPr>
            <w:tcW w:w="1424" w:type="dxa"/>
            <w:vAlign w:val="center"/>
          </w:tcPr>
          <w:p w:rsidR="0079633A" w:rsidRDefault="0079633A" w:rsidP="005D18B1">
            <w:pPr>
              <w:jc w:val="both"/>
              <w:rPr>
                <w:rFonts w:ascii="Arial" w:hAnsi="Arial" w:cs="Arial"/>
                <w:sz w:val="20"/>
                <w:szCs w:val="20"/>
                <w:lang w:eastAsia="en-GB"/>
              </w:rPr>
            </w:pPr>
            <w:r>
              <w:rPr>
                <w:rFonts w:ascii="Arial" w:hAnsi="Arial" w:cs="Arial"/>
                <w:sz w:val="20"/>
                <w:szCs w:val="20"/>
                <w:lang w:eastAsia="en-GB"/>
              </w:rPr>
              <w:t>priebežne</w:t>
            </w:r>
          </w:p>
        </w:tc>
        <w:tc>
          <w:tcPr>
            <w:tcW w:w="5176" w:type="dxa"/>
          </w:tcPr>
          <w:p w:rsidR="0079633A" w:rsidRPr="008B783A" w:rsidRDefault="0079633A" w:rsidP="005D18B1">
            <w:pPr>
              <w:jc w:val="both"/>
              <w:rPr>
                <w:rFonts w:ascii="Arial" w:hAnsi="Arial" w:cs="Arial"/>
                <w:sz w:val="20"/>
                <w:szCs w:val="20"/>
                <w:lang w:eastAsia="en-GB"/>
              </w:rPr>
            </w:pPr>
            <w:r w:rsidRPr="008B783A">
              <w:rPr>
                <w:rFonts w:ascii="Arial" w:hAnsi="Arial" w:cs="Arial"/>
                <w:sz w:val="20"/>
                <w:szCs w:val="20"/>
                <w:lang w:eastAsia="en-GB"/>
              </w:rPr>
              <w:t>RO  pristúpi</w:t>
            </w:r>
            <w:r w:rsidR="0090392E">
              <w:rPr>
                <w:rFonts w:ascii="Arial" w:hAnsi="Arial" w:cs="Arial"/>
                <w:sz w:val="20"/>
                <w:szCs w:val="20"/>
                <w:lang w:eastAsia="en-GB"/>
              </w:rPr>
              <w:t>l</w:t>
            </w:r>
            <w:r w:rsidRPr="008B783A">
              <w:rPr>
                <w:rFonts w:ascii="Arial" w:hAnsi="Arial" w:cs="Arial"/>
                <w:sz w:val="20"/>
                <w:szCs w:val="20"/>
                <w:lang w:eastAsia="en-GB"/>
              </w:rPr>
              <w:t xml:space="preserve"> k vykonávaniu prípravných prác na nové programové obdobie v nadväznosti na stanovenie priorít na národnej úrovni.</w:t>
            </w:r>
            <w:r>
              <w:rPr>
                <w:rFonts w:ascii="Arial" w:hAnsi="Arial" w:cs="Arial"/>
                <w:sz w:val="20"/>
                <w:szCs w:val="20"/>
                <w:lang w:eastAsia="en-GB"/>
              </w:rPr>
              <w:t xml:space="preserve"> </w:t>
            </w:r>
            <w:r w:rsidRPr="008B783A">
              <w:rPr>
                <w:rFonts w:ascii="Arial" w:hAnsi="Arial" w:cs="Arial"/>
                <w:sz w:val="20"/>
                <w:szCs w:val="20"/>
                <w:lang w:eastAsia="en-GB"/>
              </w:rPr>
              <w:t xml:space="preserve">V súčasnosti sa </w:t>
            </w:r>
            <w:r w:rsidR="00FE1DD3">
              <w:rPr>
                <w:rFonts w:ascii="Arial" w:hAnsi="Arial" w:cs="Arial"/>
                <w:sz w:val="20"/>
                <w:szCs w:val="20"/>
                <w:lang w:eastAsia="en-GB"/>
              </w:rPr>
              <w:t xml:space="preserve"> V priebehu roka 2012 sa </w:t>
            </w:r>
            <w:r w:rsidRPr="008B783A">
              <w:rPr>
                <w:rFonts w:ascii="Arial" w:hAnsi="Arial" w:cs="Arial"/>
                <w:sz w:val="20"/>
                <w:szCs w:val="20"/>
                <w:lang w:eastAsia="en-GB"/>
              </w:rPr>
              <w:t>RO  podieľa</w:t>
            </w:r>
            <w:r w:rsidR="00FE1DD3">
              <w:rPr>
                <w:rFonts w:ascii="Arial" w:hAnsi="Arial" w:cs="Arial"/>
                <w:sz w:val="20"/>
                <w:szCs w:val="20"/>
                <w:lang w:eastAsia="en-GB"/>
              </w:rPr>
              <w:t>l</w:t>
            </w:r>
            <w:r w:rsidRPr="008B783A">
              <w:rPr>
                <w:rFonts w:ascii="Arial" w:hAnsi="Arial" w:cs="Arial"/>
                <w:sz w:val="20"/>
                <w:szCs w:val="20"/>
                <w:lang w:eastAsia="en-GB"/>
              </w:rPr>
              <w:t xml:space="preserve"> na procese pripomienkovania návrhov nariadení EK v oblasti politiky súdržnosti na budúce programové obdobie a zapája</w:t>
            </w:r>
            <w:r w:rsidR="00FE1DD3">
              <w:rPr>
                <w:rFonts w:ascii="Arial" w:hAnsi="Arial" w:cs="Arial"/>
                <w:sz w:val="20"/>
                <w:szCs w:val="20"/>
                <w:lang w:eastAsia="en-GB"/>
              </w:rPr>
              <w:t>l</w:t>
            </w:r>
            <w:r w:rsidRPr="008B783A">
              <w:rPr>
                <w:rFonts w:ascii="Arial" w:hAnsi="Arial" w:cs="Arial"/>
                <w:sz w:val="20"/>
                <w:szCs w:val="20"/>
                <w:lang w:eastAsia="en-GB"/>
              </w:rPr>
              <w:t xml:space="preserve"> sa do činnosti príslušnej rezortnej koordinačnej skupiny pod vedením Centrálneho koordinačného orgánu.</w:t>
            </w:r>
          </w:p>
          <w:p w:rsidR="0079633A" w:rsidRPr="005D7161" w:rsidRDefault="0079633A" w:rsidP="005D18B1">
            <w:pPr>
              <w:jc w:val="both"/>
              <w:rPr>
                <w:rFonts w:ascii="Arial" w:hAnsi="Arial" w:cs="Arial"/>
                <w:sz w:val="20"/>
                <w:szCs w:val="20"/>
                <w:lang w:eastAsia="en-GB"/>
              </w:rPr>
            </w:pPr>
            <w:r w:rsidRPr="008B783A">
              <w:rPr>
                <w:rFonts w:ascii="Arial" w:hAnsi="Arial" w:cs="Arial"/>
                <w:sz w:val="20"/>
                <w:szCs w:val="20"/>
                <w:lang w:eastAsia="en-GB"/>
              </w:rPr>
              <w:t>RO  aktívne pristup</w:t>
            </w:r>
            <w:r w:rsidR="00FE1DD3">
              <w:rPr>
                <w:rFonts w:ascii="Arial" w:hAnsi="Arial" w:cs="Arial"/>
                <w:sz w:val="20"/>
                <w:szCs w:val="20"/>
                <w:lang w:eastAsia="en-GB"/>
              </w:rPr>
              <w:t xml:space="preserve">oval </w:t>
            </w:r>
            <w:r w:rsidRPr="008B783A">
              <w:rPr>
                <w:rFonts w:ascii="Arial" w:hAnsi="Arial" w:cs="Arial"/>
                <w:sz w:val="20"/>
                <w:szCs w:val="20"/>
                <w:lang w:eastAsia="en-GB"/>
              </w:rPr>
              <w:t xml:space="preserve"> k úlohám spojeným s plnením ex ante kondicionalít, ktoré má vo svojej pôsobnosti. </w:t>
            </w:r>
          </w:p>
        </w:tc>
      </w:tr>
      <w:tr w:rsidR="0079633A" w:rsidRPr="008B783A" w:rsidTr="003A3602">
        <w:trPr>
          <w:trHeight w:val="20"/>
          <w:jc w:val="center"/>
        </w:trPr>
        <w:tc>
          <w:tcPr>
            <w:tcW w:w="2720" w:type="dxa"/>
          </w:tcPr>
          <w:p w:rsidR="0079633A" w:rsidRPr="008B783A" w:rsidRDefault="0079633A" w:rsidP="0076276F">
            <w:pPr>
              <w:jc w:val="both"/>
              <w:rPr>
                <w:rFonts w:ascii="Arial" w:hAnsi="Arial" w:cs="Arial"/>
                <w:sz w:val="20"/>
                <w:szCs w:val="20"/>
                <w:lang w:eastAsia="en-GB"/>
              </w:rPr>
            </w:pPr>
            <w:r w:rsidRPr="008B783A">
              <w:rPr>
                <w:rFonts w:ascii="Arial" w:hAnsi="Arial" w:cs="Arial"/>
                <w:sz w:val="20"/>
                <w:szCs w:val="20"/>
                <w:lang w:eastAsia="en-GB"/>
              </w:rPr>
              <w:t>Príprava návrhu Partnerskej dohody</w:t>
            </w:r>
          </w:p>
          <w:p w:rsidR="0079633A" w:rsidRPr="005D7161" w:rsidRDefault="0079633A" w:rsidP="0076276F">
            <w:pPr>
              <w:jc w:val="both"/>
              <w:rPr>
                <w:rFonts w:ascii="Arial" w:hAnsi="Arial" w:cs="Arial"/>
                <w:sz w:val="20"/>
                <w:szCs w:val="20"/>
                <w:lang w:eastAsia="en-GB"/>
              </w:rPr>
            </w:pPr>
          </w:p>
        </w:tc>
        <w:tc>
          <w:tcPr>
            <w:tcW w:w="1424" w:type="dxa"/>
            <w:vAlign w:val="center"/>
          </w:tcPr>
          <w:p w:rsidR="0079633A" w:rsidRDefault="0079633A" w:rsidP="005D18B1">
            <w:pPr>
              <w:jc w:val="both"/>
              <w:rPr>
                <w:rFonts w:ascii="Arial" w:hAnsi="Arial" w:cs="Arial"/>
                <w:sz w:val="20"/>
                <w:szCs w:val="20"/>
                <w:lang w:eastAsia="en-GB"/>
              </w:rPr>
            </w:pPr>
          </w:p>
        </w:tc>
        <w:tc>
          <w:tcPr>
            <w:tcW w:w="5176" w:type="dxa"/>
          </w:tcPr>
          <w:p w:rsidR="0079633A" w:rsidRPr="005D7161" w:rsidRDefault="0079633A" w:rsidP="005D18B1">
            <w:pPr>
              <w:jc w:val="both"/>
              <w:rPr>
                <w:rFonts w:ascii="Arial" w:hAnsi="Arial" w:cs="Arial"/>
                <w:sz w:val="20"/>
                <w:szCs w:val="20"/>
                <w:lang w:eastAsia="en-GB"/>
              </w:rPr>
            </w:pPr>
            <w:r w:rsidRPr="008B783A">
              <w:rPr>
                <w:rFonts w:ascii="Arial" w:hAnsi="Arial" w:cs="Arial"/>
                <w:sz w:val="20"/>
                <w:szCs w:val="20"/>
                <w:lang w:eastAsia="en-GB"/>
              </w:rPr>
              <w:t xml:space="preserve">RO </w:t>
            </w:r>
            <w:r w:rsidR="00FE1DD3">
              <w:rPr>
                <w:rFonts w:ascii="Arial" w:hAnsi="Arial" w:cs="Arial"/>
                <w:sz w:val="20"/>
                <w:szCs w:val="20"/>
                <w:lang w:eastAsia="en-GB"/>
              </w:rPr>
              <w:t>bol</w:t>
            </w:r>
            <w:r w:rsidR="00FE1DD3" w:rsidRPr="008B783A">
              <w:rPr>
                <w:rFonts w:ascii="Arial" w:hAnsi="Arial" w:cs="Arial"/>
                <w:sz w:val="20"/>
                <w:szCs w:val="20"/>
                <w:lang w:eastAsia="en-GB"/>
              </w:rPr>
              <w:t xml:space="preserve"> </w:t>
            </w:r>
            <w:r w:rsidRPr="008B783A">
              <w:rPr>
                <w:rFonts w:ascii="Arial" w:hAnsi="Arial" w:cs="Arial"/>
                <w:sz w:val="20"/>
                <w:szCs w:val="20"/>
                <w:lang w:eastAsia="en-GB"/>
              </w:rPr>
              <w:t>zapojený do prípravy „Návrhu základných princípov na prípravu Partnerskej dohody Slovenskej republiky na programové obdobie 2014 – 2020“ a</w:t>
            </w:r>
            <w:r w:rsidR="00FE1DD3">
              <w:rPr>
                <w:rFonts w:ascii="Arial" w:hAnsi="Arial" w:cs="Arial"/>
                <w:sz w:val="20"/>
                <w:szCs w:val="20"/>
                <w:lang w:eastAsia="en-GB"/>
              </w:rPr>
              <w:t> </w:t>
            </w:r>
            <w:r w:rsidRPr="008B783A">
              <w:rPr>
                <w:rFonts w:ascii="Arial" w:hAnsi="Arial" w:cs="Arial"/>
                <w:sz w:val="20"/>
                <w:szCs w:val="20"/>
                <w:lang w:eastAsia="en-GB"/>
              </w:rPr>
              <w:t>zúčastň</w:t>
            </w:r>
            <w:r w:rsidR="00FE1DD3">
              <w:rPr>
                <w:rFonts w:ascii="Arial" w:hAnsi="Arial" w:cs="Arial"/>
                <w:sz w:val="20"/>
                <w:szCs w:val="20"/>
                <w:lang w:eastAsia="en-GB"/>
              </w:rPr>
              <w:t>oval sa</w:t>
            </w:r>
            <w:r w:rsidRPr="008B783A">
              <w:rPr>
                <w:rFonts w:ascii="Arial" w:hAnsi="Arial" w:cs="Arial"/>
                <w:sz w:val="20"/>
                <w:szCs w:val="20"/>
                <w:lang w:eastAsia="en-GB"/>
              </w:rPr>
              <w:t xml:space="preserve"> ako člen viacerých koordinačných skupín gestorovaných CKO</w:t>
            </w:r>
            <w:r w:rsidR="00FE1DD3">
              <w:rPr>
                <w:rFonts w:ascii="Arial" w:hAnsi="Arial" w:cs="Arial"/>
                <w:sz w:val="20"/>
                <w:szCs w:val="20"/>
                <w:lang w:eastAsia="en-GB"/>
              </w:rPr>
              <w:t>.</w:t>
            </w:r>
          </w:p>
        </w:tc>
      </w:tr>
      <w:tr w:rsidR="0079633A" w:rsidRPr="008B783A" w:rsidTr="003A3602">
        <w:trPr>
          <w:trHeight w:val="20"/>
          <w:jc w:val="center"/>
        </w:trPr>
        <w:tc>
          <w:tcPr>
            <w:tcW w:w="2720" w:type="dxa"/>
          </w:tcPr>
          <w:p w:rsidR="0079633A" w:rsidRPr="008B783A" w:rsidRDefault="0079633A" w:rsidP="0076276F">
            <w:pPr>
              <w:jc w:val="both"/>
              <w:rPr>
                <w:rFonts w:ascii="Arial" w:hAnsi="Arial" w:cs="Arial"/>
                <w:sz w:val="20"/>
                <w:szCs w:val="20"/>
                <w:lang w:eastAsia="en-GB"/>
              </w:rPr>
            </w:pPr>
            <w:r w:rsidRPr="008B783A">
              <w:rPr>
                <w:rFonts w:ascii="Arial" w:hAnsi="Arial" w:cs="Arial"/>
                <w:sz w:val="20"/>
                <w:szCs w:val="20"/>
                <w:lang w:eastAsia="en-GB"/>
              </w:rPr>
              <w:t>Príprava návrhov Operačných programov</w:t>
            </w:r>
          </w:p>
        </w:tc>
        <w:tc>
          <w:tcPr>
            <w:tcW w:w="1424" w:type="dxa"/>
            <w:vAlign w:val="center"/>
          </w:tcPr>
          <w:p w:rsidR="0079633A" w:rsidRPr="00F343D9" w:rsidRDefault="0079633A" w:rsidP="005D18B1">
            <w:pPr>
              <w:jc w:val="both"/>
              <w:rPr>
                <w:rFonts w:ascii="Arial" w:hAnsi="Arial" w:cs="Arial"/>
                <w:sz w:val="20"/>
                <w:szCs w:val="20"/>
                <w:lang w:eastAsia="en-GB"/>
              </w:rPr>
            </w:pPr>
          </w:p>
        </w:tc>
        <w:tc>
          <w:tcPr>
            <w:tcW w:w="5176" w:type="dxa"/>
          </w:tcPr>
          <w:p w:rsidR="0079633A" w:rsidRPr="00F343D9" w:rsidRDefault="003A3602" w:rsidP="005D18B1">
            <w:pPr>
              <w:jc w:val="both"/>
              <w:rPr>
                <w:rFonts w:ascii="Arial" w:hAnsi="Arial" w:cs="Arial"/>
                <w:sz w:val="20"/>
                <w:szCs w:val="20"/>
                <w:lang w:eastAsia="en-GB"/>
              </w:rPr>
            </w:pPr>
            <w:r>
              <w:rPr>
                <w:rFonts w:ascii="Arial" w:hAnsi="Arial" w:cs="Arial"/>
                <w:sz w:val="20"/>
                <w:szCs w:val="20"/>
                <w:lang w:eastAsia="en-GB"/>
              </w:rPr>
              <w:t xml:space="preserve">V priebehu roka 2012 neboli realizované RO pre OP ŽP aktivity súvisiace s prípravou návrhov nového Operačného programu. </w:t>
            </w:r>
          </w:p>
        </w:tc>
      </w:tr>
    </w:tbl>
    <w:p w:rsidR="002416B1" w:rsidRPr="003A5E95" w:rsidRDefault="002416B1" w:rsidP="005D18B1">
      <w:pPr>
        <w:spacing w:line="360" w:lineRule="auto"/>
        <w:jc w:val="both"/>
        <w:rPr>
          <w:rFonts w:ascii="Arial" w:hAnsi="Arial" w:cs="Arial"/>
          <w:sz w:val="18"/>
          <w:szCs w:val="18"/>
        </w:rPr>
      </w:pPr>
      <w:r>
        <w:rPr>
          <w:rFonts w:ascii="Arial" w:hAnsi="Arial" w:cs="Arial"/>
          <w:sz w:val="18"/>
          <w:szCs w:val="18"/>
        </w:rPr>
        <w:t>Zdroj: RO</w:t>
      </w:r>
    </w:p>
    <w:p w:rsidR="0076276F" w:rsidRDefault="0076276F">
      <w:pPr>
        <w:rPr>
          <w:rFonts w:ascii="Arial" w:hAnsi="Arial" w:cs="Arial"/>
          <w:b/>
          <w:sz w:val="20"/>
          <w:szCs w:val="20"/>
        </w:rPr>
      </w:pPr>
    </w:p>
    <w:p w:rsidR="002416B1" w:rsidRDefault="002416B1" w:rsidP="00507035">
      <w:pPr>
        <w:spacing w:before="120" w:after="120" w:line="360" w:lineRule="auto"/>
        <w:jc w:val="both"/>
        <w:rPr>
          <w:rFonts w:ascii="Arial" w:hAnsi="Arial" w:cs="Arial"/>
          <w:b/>
          <w:sz w:val="20"/>
          <w:szCs w:val="20"/>
        </w:rPr>
      </w:pPr>
      <w:r>
        <w:rPr>
          <w:rFonts w:ascii="Arial" w:hAnsi="Arial" w:cs="Arial"/>
          <w:b/>
          <w:sz w:val="20"/>
          <w:szCs w:val="20"/>
        </w:rPr>
        <w:t>Monitorovanie opatrení v rámci SEA</w:t>
      </w:r>
    </w:p>
    <w:p w:rsidR="00633059" w:rsidRPr="00E80325" w:rsidRDefault="00633059" w:rsidP="00507035">
      <w:pPr>
        <w:spacing w:before="120" w:after="120" w:line="360" w:lineRule="auto"/>
        <w:jc w:val="both"/>
        <w:rPr>
          <w:rFonts w:ascii="Arial" w:hAnsi="Arial" w:cs="Arial"/>
          <w:sz w:val="20"/>
          <w:szCs w:val="20"/>
        </w:rPr>
      </w:pPr>
      <w:r w:rsidRPr="00E80325">
        <w:rPr>
          <w:rFonts w:ascii="Arial" w:hAnsi="Arial" w:cs="Arial"/>
          <w:sz w:val="20"/>
          <w:szCs w:val="20"/>
        </w:rPr>
        <w:t>S prihliadnutím na charakter OP ŽP, ktorý je svojím cieľom a zameraním projektov podporovaných v rámci jeho jednotlivých prioritných osí, orientovaný na zlepšenie stavu životného prostredia prostredníctvom dobudovania a skvalitnenia environmentálnej infraštruktúry SR v zmysle predpisov EÚ a SR,  nebolo v záverečnom stanovisku z procesu posudzovania OP ŽP z hľadiska jeho predpokladaných vplyvov na životné prostredie (SEA) požadované vytvorenie osobitného súboru merateľných ukazovateľov na monitorovanie jeho vplyvov na životné prostredie.  </w:t>
      </w:r>
    </w:p>
    <w:p w:rsidR="00633059" w:rsidRDefault="00633059" w:rsidP="00507035">
      <w:pPr>
        <w:spacing w:before="120" w:after="120" w:line="360" w:lineRule="auto"/>
        <w:jc w:val="both"/>
        <w:rPr>
          <w:rFonts w:ascii="Arial" w:hAnsi="Arial" w:cs="Arial"/>
          <w:sz w:val="20"/>
          <w:szCs w:val="20"/>
        </w:rPr>
      </w:pPr>
      <w:r w:rsidRPr="00E80325">
        <w:rPr>
          <w:rFonts w:ascii="Arial" w:hAnsi="Arial" w:cs="Arial"/>
          <w:sz w:val="20"/>
          <w:szCs w:val="20"/>
        </w:rPr>
        <w:t>Vzhľadom na obsahové zameranie a globálny cieľ OP ŽP sú na monitorovanie jeho vplyvov na životné prostredie využívané ukazovatele samotného programu, zahrnuté v príslušných programových dokumentoch (operačný program, programový manuál). Hodnoty uvedených ukazovateľov sa na základe výsledkov implementácie projektov v rámci OP ŽP pravidelne vykazujú v jednotlivých výročných správach.</w:t>
      </w:r>
      <w:r w:rsidRPr="003A5E95">
        <w:rPr>
          <w:rFonts w:ascii="Arial" w:hAnsi="Arial" w:cs="Arial"/>
          <w:sz w:val="20"/>
          <w:szCs w:val="20"/>
        </w:rPr>
        <w:t xml:space="preserve"> </w:t>
      </w:r>
    </w:p>
    <w:p w:rsidR="002416B1" w:rsidRPr="004B33AE" w:rsidRDefault="002416B1" w:rsidP="00507035">
      <w:pPr>
        <w:pStyle w:val="Nadpis3"/>
        <w:spacing w:before="120" w:after="120" w:line="360" w:lineRule="auto"/>
      </w:pPr>
      <w:bookmarkStart w:id="50" w:name="_3.6.2_Monitorovanie_a"/>
      <w:bookmarkStart w:id="51" w:name="_Toc135540043"/>
      <w:bookmarkStart w:id="52" w:name="_Toc319573316"/>
      <w:bookmarkEnd w:id="50"/>
      <w:r w:rsidRPr="006A2BF3">
        <w:t xml:space="preserve">2.7.2 </w:t>
      </w:r>
      <w:bookmarkEnd w:id="51"/>
      <w:r w:rsidRPr="006A2BF3">
        <w:t>Hodnotenie</w:t>
      </w:r>
      <w:bookmarkEnd w:id="52"/>
    </w:p>
    <w:p w:rsidR="008A060D" w:rsidRPr="008A060D" w:rsidRDefault="008A060D" w:rsidP="00507035">
      <w:pPr>
        <w:widowControl w:val="0"/>
        <w:tabs>
          <w:tab w:val="left" w:pos="9072"/>
        </w:tabs>
        <w:autoSpaceDE w:val="0"/>
        <w:autoSpaceDN w:val="0"/>
        <w:adjustRightInd w:val="0"/>
        <w:spacing w:before="120" w:after="120" w:line="360" w:lineRule="auto"/>
        <w:jc w:val="both"/>
        <w:rPr>
          <w:rFonts w:ascii="Arial" w:hAnsi="Arial" w:cs="Arial"/>
          <w:sz w:val="20"/>
          <w:szCs w:val="20"/>
        </w:rPr>
      </w:pPr>
      <w:r w:rsidRPr="008A060D">
        <w:rPr>
          <w:rFonts w:ascii="Arial" w:hAnsi="Arial" w:cs="Arial"/>
          <w:sz w:val="20"/>
          <w:szCs w:val="20"/>
        </w:rPr>
        <w:t>Rámcovým dokumentom pre realizáciu aktivít v oblasti hodnotenia OP ŽP je Plán hodnotení OP ŽP na programové obdobie 2007 – 2013 – verzia 2.1 (ďalej len „Plán hodnotení OP ŽP“), ktorý bol schválený na 6. zasadnutí Monitorovacieho výboru pre OP ŽP dňa 26.05.2010. Súčasťou Plánu hodnotení OP ŽP sú prílohy č. 1 až 5 v aktualizovanom znení. Dňa 13.1.2012 bola vykonaná a postupom pre prijatie rozhodnutia formou písomnej schvaľovacej procedúry „per rollam“ č. 7  Monitorovacím výborom pre OP ŽP schválená aktualizácia Prílohy č. 3 „Indikatívny plán hodnotiacich aktivít v rámci procesu hodnotenia Operačného programu Životné prostredie“, ktorá sa týkala časti „Plánované strategické hodnotenia OP ŽP“. Dôvodom pre vykonanie aktualizácie prílohy bola potreba úpravy pôvodne plánovaných termínov na vykonanie hodnotenia a zároveň úprava obsahu hlavných hodnotiacich otázok v zmysle aktuálnych potrieb RO pre OP ŽP (doplnenie hodnotenia pokroku v dosahovaní stanovených cieľov OP ŽP v súvislosti s aktuálnymi cieľmi stratégie EK Európa 2020, zhodnotenie možnosti použitia metódy counterfactual impact evaluation (porovnávacie hodnotenie vplyvu) pri hodnotení dopadov OP ŽP na životné prostredie a verejné zdravie a ďalšie drobné úpravy znenia otázok).</w:t>
      </w:r>
    </w:p>
    <w:p w:rsidR="008A060D" w:rsidRPr="008A060D" w:rsidRDefault="008A060D" w:rsidP="00507035">
      <w:pPr>
        <w:widowControl w:val="0"/>
        <w:tabs>
          <w:tab w:val="left" w:pos="9072"/>
        </w:tabs>
        <w:autoSpaceDE w:val="0"/>
        <w:autoSpaceDN w:val="0"/>
        <w:adjustRightInd w:val="0"/>
        <w:spacing w:before="120" w:after="120" w:line="360" w:lineRule="auto"/>
        <w:jc w:val="both"/>
        <w:rPr>
          <w:rFonts w:ascii="Arial" w:hAnsi="Arial" w:cs="Arial"/>
          <w:sz w:val="20"/>
          <w:szCs w:val="20"/>
        </w:rPr>
      </w:pPr>
      <w:r w:rsidRPr="008A060D">
        <w:rPr>
          <w:rFonts w:ascii="Arial" w:hAnsi="Arial" w:cs="Arial"/>
          <w:sz w:val="20"/>
          <w:szCs w:val="20"/>
        </w:rPr>
        <w:t xml:space="preserve">Plán hodnotení OP ŽP spolu s aktualizovanými prílohami je zverejnený na webovom sídle OP ŽP </w:t>
      </w:r>
      <w:hyperlink r:id="rId31" w:history="1">
        <w:r w:rsidRPr="008A060D">
          <w:rPr>
            <w:rFonts w:ascii="Arial" w:hAnsi="Arial" w:cs="Arial"/>
            <w:color w:val="0000FF"/>
            <w:sz w:val="20"/>
            <w:szCs w:val="20"/>
            <w:u w:val="single"/>
          </w:rPr>
          <w:t>www.opzp.sk</w:t>
        </w:r>
      </w:hyperlink>
      <w:r w:rsidRPr="008A060D">
        <w:rPr>
          <w:rFonts w:ascii="Arial" w:hAnsi="Arial" w:cs="Arial"/>
          <w:sz w:val="20"/>
          <w:szCs w:val="20"/>
        </w:rPr>
        <w:t xml:space="preserve"> v časti Implementácia programu – Hodnotenie programu – Plány hodnotení. </w:t>
      </w:r>
    </w:p>
    <w:p w:rsidR="008A060D" w:rsidRPr="008A060D" w:rsidRDefault="008A060D" w:rsidP="00507035">
      <w:pPr>
        <w:spacing w:before="120" w:after="120" w:line="360" w:lineRule="auto"/>
        <w:jc w:val="both"/>
        <w:rPr>
          <w:rFonts w:ascii="Arial" w:hAnsi="Arial" w:cs="Arial"/>
          <w:b/>
          <w:sz w:val="20"/>
          <w:szCs w:val="20"/>
        </w:rPr>
      </w:pPr>
      <w:r w:rsidRPr="008A060D">
        <w:rPr>
          <w:rFonts w:ascii="Arial" w:hAnsi="Arial" w:cs="Arial"/>
          <w:b/>
          <w:sz w:val="20"/>
          <w:szCs w:val="20"/>
        </w:rPr>
        <w:t>Externé hodnotenia</w:t>
      </w:r>
    </w:p>
    <w:p w:rsidR="008A060D" w:rsidRPr="008A060D" w:rsidRDefault="008A060D" w:rsidP="00507035">
      <w:pPr>
        <w:spacing w:before="120" w:after="120" w:line="360" w:lineRule="auto"/>
        <w:jc w:val="both"/>
        <w:rPr>
          <w:rFonts w:ascii="Arial" w:hAnsi="Arial" w:cs="Arial"/>
          <w:sz w:val="20"/>
          <w:szCs w:val="20"/>
        </w:rPr>
      </w:pPr>
      <w:r w:rsidRPr="008A060D">
        <w:rPr>
          <w:rFonts w:ascii="Arial" w:hAnsi="Arial" w:cs="Arial"/>
          <w:sz w:val="20"/>
          <w:szCs w:val="20"/>
        </w:rPr>
        <w:t>Vykonanie plánovaných externých hodnotení v roku 2012 nebolo zrealizované. Posun termínov pre vykonanie jednotlivých hodnotení súvisí s náročnosťou zabezpečenia procesu verejného obstarávania na výber hodnotiteľa. Výber externého hodnotiteľa je realizovaný v súlade so zákonom č. 25/2006 Z. z. o verejnom obstarávaní a o zmene a doplnení niektorých zákonov v znení neskorších predpisov (ďalej len „zákon o verejnom obstarávaní“). Obstaraním externého hodnotiteľa je podmienená realizácia plánovaných strategických hodnotení OP ŽP a z časového hľadis</w:t>
      </w:r>
      <w:r>
        <w:rPr>
          <w:rFonts w:ascii="Arial" w:hAnsi="Arial" w:cs="Arial"/>
          <w:sz w:val="20"/>
          <w:szCs w:val="20"/>
        </w:rPr>
        <w:t xml:space="preserve">ka aj termíny ich vykonania. </w:t>
      </w:r>
      <w:r w:rsidRPr="008A060D">
        <w:rPr>
          <w:rFonts w:ascii="Arial" w:hAnsi="Arial" w:cs="Arial"/>
          <w:sz w:val="20"/>
          <w:szCs w:val="20"/>
        </w:rPr>
        <w:t>Vykonávanie strategických hodnotení nebolo začaté z dôvodu, že nedošlo k realizácii verejného obstarávania na externého hodnotiteľa. RO pre OP ŽP však priebežne komunikoval s príslušným organizačným útvarom MŽP SR, ktorý zodpovedá za vykonávanie verejných obstarávaní centrálne v rámci rezortu, poskytoval mu požadovanú súčinnosť a zároveň zdôrazňoval potrebu vykonania verejného obstarávania na realizáciu externých hodnotení OP ŽP v súlade s Plánom hodnotení OP ŽP na programové obdobie 2007 – 2013.</w:t>
      </w:r>
    </w:p>
    <w:p w:rsidR="001E4C55" w:rsidRDefault="008A060D" w:rsidP="00507035">
      <w:pPr>
        <w:spacing w:before="120" w:after="120" w:line="360" w:lineRule="auto"/>
        <w:jc w:val="both"/>
        <w:rPr>
          <w:rFonts w:ascii="Arial" w:hAnsi="Arial" w:cs="Arial"/>
          <w:sz w:val="20"/>
          <w:szCs w:val="20"/>
        </w:rPr>
      </w:pPr>
      <w:r w:rsidRPr="008A060D">
        <w:rPr>
          <w:rFonts w:ascii="Arial" w:hAnsi="Arial" w:cs="Arial"/>
          <w:sz w:val="20"/>
          <w:szCs w:val="20"/>
        </w:rPr>
        <w:t xml:space="preserve">S cieľom zabezpečiť vykonanie externých hodnotení v rámci procesu priebežného hodnotenia OP ŽP v  programovom období 2007 – 2013, ako aj prípravy na ďalšie programové obdobie, </w:t>
      </w:r>
      <w:r w:rsidR="00502A38" w:rsidRPr="0039268C">
        <w:rPr>
          <w:rFonts w:ascii="Arial" w:hAnsi="Arial" w:cs="Arial"/>
          <w:sz w:val="20"/>
          <w:szCs w:val="20"/>
        </w:rPr>
        <w:t>prebiehala v 2. polroku 2012 príprava súťažných podkladov pre vyhlásenie verejného obstarávania na zákazku „Realizácia externých hodnotení a vypracovanie externých  analýz alebo štúdií v rámci implementácie Operačného programu Životné prostredie, vrátane prípravy na budúce programové obdobie</w:t>
      </w:r>
      <w:r w:rsidR="00AA4F0D">
        <w:rPr>
          <w:rFonts w:ascii="Arial" w:hAnsi="Arial" w:cs="Arial"/>
          <w:sz w:val="20"/>
          <w:szCs w:val="20"/>
        </w:rPr>
        <w:t xml:space="preserve">. </w:t>
      </w:r>
      <w:r w:rsidR="00AA4F0D" w:rsidRPr="0039268C">
        <w:rPr>
          <w:rFonts w:ascii="Arial" w:hAnsi="Arial" w:cs="Arial"/>
          <w:sz w:val="20"/>
          <w:szCs w:val="20"/>
        </w:rPr>
        <w:t>Predmetom uvedenej zákazky je realizácia komplexu externých hodnotení (v súlade s Plánom hodnotení OP ŽP na programové obdobie 2007 – 2013),  ktorého súčasťou sú externé strategické hodnotenia OP ŽP (ktorých výstupy sú o.i. využiteľné v rámci prípravy nového operačného programu pre programové obdobie 2014-2020)</w:t>
      </w:r>
      <w:r w:rsidR="001E4C55">
        <w:rPr>
          <w:rFonts w:ascii="Arial" w:hAnsi="Arial" w:cs="Arial"/>
          <w:sz w:val="20"/>
          <w:szCs w:val="20"/>
        </w:rPr>
        <w:t>.</w:t>
      </w:r>
      <w:r w:rsidR="00AA4F0D">
        <w:rPr>
          <w:rFonts w:ascii="Arial" w:hAnsi="Arial" w:cs="Arial"/>
          <w:sz w:val="20"/>
          <w:szCs w:val="20"/>
        </w:rPr>
        <w:t xml:space="preserve"> </w:t>
      </w:r>
      <w:r w:rsidR="00AA4F0D" w:rsidRPr="0039268C">
        <w:rPr>
          <w:rFonts w:ascii="Arial" w:hAnsi="Arial" w:cs="Arial"/>
          <w:sz w:val="20"/>
          <w:szCs w:val="20"/>
        </w:rPr>
        <w:t>Ukončenie predmetného verejného obstarávania sa predpokladá (za predpokladu, že nebudú vznesené námietky) v priebehu mesiaca júl 2013</w:t>
      </w:r>
      <w:r w:rsidR="00AA4F0D">
        <w:rPr>
          <w:rFonts w:ascii="Arial" w:hAnsi="Arial" w:cs="Arial"/>
          <w:sz w:val="20"/>
          <w:szCs w:val="20"/>
        </w:rPr>
        <w:t>.</w:t>
      </w:r>
    </w:p>
    <w:p w:rsidR="008A060D" w:rsidRPr="008A060D" w:rsidRDefault="008A060D" w:rsidP="00507035">
      <w:pPr>
        <w:spacing w:before="120" w:after="120" w:line="360" w:lineRule="auto"/>
        <w:jc w:val="both"/>
        <w:rPr>
          <w:rFonts w:ascii="Arial" w:hAnsi="Arial" w:cs="Arial"/>
          <w:b/>
          <w:sz w:val="20"/>
          <w:szCs w:val="20"/>
        </w:rPr>
      </w:pPr>
      <w:r w:rsidRPr="008A060D">
        <w:rPr>
          <w:rFonts w:ascii="Arial" w:hAnsi="Arial" w:cs="Arial"/>
          <w:b/>
          <w:sz w:val="20"/>
          <w:szCs w:val="20"/>
        </w:rPr>
        <w:t>Interné hodnotenia</w:t>
      </w:r>
    </w:p>
    <w:p w:rsidR="008A060D" w:rsidRPr="008A060D" w:rsidRDefault="00AA4F0D" w:rsidP="00507035">
      <w:pPr>
        <w:spacing w:before="120" w:after="120" w:line="360" w:lineRule="auto"/>
        <w:jc w:val="both"/>
        <w:rPr>
          <w:rFonts w:ascii="Arial" w:hAnsi="Arial" w:cs="Arial"/>
          <w:sz w:val="20"/>
          <w:szCs w:val="20"/>
        </w:rPr>
      </w:pPr>
      <w:r>
        <w:rPr>
          <w:rFonts w:ascii="Arial" w:hAnsi="Arial" w:cs="Arial"/>
          <w:sz w:val="20"/>
          <w:szCs w:val="20"/>
        </w:rPr>
        <w:t>V mesiacoch október - november</w:t>
      </w:r>
      <w:r w:rsidR="008A060D" w:rsidRPr="008A060D">
        <w:rPr>
          <w:rFonts w:ascii="Arial" w:hAnsi="Arial" w:cs="Arial"/>
          <w:sz w:val="20"/>
          <w:szCs w:val="20"/>
        </w:rPr>
        <w:t xml:space="preserve"> 2012 bolo vykonané „Operatívne hodnotenie Operačného programu Životné prostredie“. Hodnotenie bolo vykonané v súlade s  „Plánom hodnotení OP ŽP na programové obdobie 2007 – 2013 verzia 2.1“ a z neho vychádzajúceho „Plánu hodnotení OP ŽP na r. 2012“, ktorý bol schválený ministrom životného prostredia SR dňa 26.05.2010. Súčasťou operatívneho hodnotenia OP ŽP bol návrh revízie OP ŽP. Predmetné hodnotenie bolo vykonané ako interné hodnotenie zamestnancami RO . V podmienkach RO  interné hodnotenie vykonali manažéri hodnotenia v súčinnosti s manažérmi monitorovania a manažérmi programovania odboru riadenia programov sekcie environmentálnych programov a projektov MŽP SR.</w:t>
      </w:r>
    </w:p>
    <w:p w:rsidR="008A060D" w:rsidRPr="008A060D" w:rsidRDefault="008A060D" w:rsidP="00507035">
      <w:pPr>
        <w:spacing w:before="120" w:after="120" w:line="360" w:lineRule="auto"/>
        <w:jc w:val="both"/>
        <w:rPr>
          <w:rFonts w:ascii="Arial" w:hAnsi="Arial" w:cs="Arial"/>
          <w:sz w:val="20"/>
          <w:szCs w:val="20"/>
        </w:rPr>
      </w:pPr>
      <w:r w:rsidRPr="008A060D">
        <w:rPr>
          <w:rFonts w:ascii="Arial" w:hAnsi="Arial" w:cs="Arial"/>
          <w:sz w:val="20"/>
          <w:szCs w:val="20"/>
        </w:rPr>
        <w:t>Hlavnými metódami, ktoré boli v priebehu hodnotenia použité, sú procesná a dátová analýza (analýza riadiacej dokumentácie OP ŽP a metodických dokumentov CKO, EK z oblasti hodnotenia a revízie operačných programov). Jednotlivé vstupy analýzy boli agregované primárne z výstupov ITMS.</w:t>
      </w:r>
    </w:p>
    <w:p w:rsidR="008A060D" w:rsidRPr="008A060D" w:rsidRDefault="008A060D" w:rsidP="00507035">
      <w:pPr>
        <w:spacing w:before="120" w:after="120" w:line="360" w:lineRule="auto"/>
        <w:jc w:val="both"/>
        <w:rPr>
          <w:rFonts w:ascii="Arial" w:hAnsi="Arial" w:cs="Arial"/>
          <w:sz w:val="20"/>
          <w:szCs w:val="20"/>
        </w:rPr>
      </w:pPr>
      <w:r w:rsidRPr="008A060D">
        <w:rPr>
          <w:rFonts w:ascii="Arial" w:hAnsi="Arial" w:cs="Arial"/>
          <w:sz w:val="20"/>
          <w:szCs w:val="20"/>
        </w:rPr>
        <w:t>Všeobecným východiskom pre vykonanie operatívneho hodnotenia Operačného programu Životné prostredie (ďalej aj „OP ŽP“) boli ustanovenia čl. 47 ods. 1 a ods. 2 nariadenia Rady (ES) č. 1083/2006 z 11. júla 2006, ktorým sa ustanovujú všeobecné ustanovenia o Európskom fonde regionálneho rozvoja, Európskom sociálnom fonde a Kohéznom fonde a ktorým sa zrušuje nariadenie (ES) č.1260/1999, v platnom znení (ďalej aj „všeobecné nariadenie“).</w:t>
      </w:r>
    </w:p>
    <w:p w:rsidR="008A060D" w:rsidRPr="008A060D" w:rsidRDefault="008A060D" w:rsidP="00507035">
      <w:pPr>
        <w:spacing w:before="120" w:after="120" w:line="360" w:lineRule="auto"/>
        <w:jc w:val="both"/>
        <w:rPr>
          <w:rFonts w:ascii="Arial" w:hAnsi="Arial" w:cs="Arial"/>
          <w:sz w:val="20"/>
          <w:szCs w:val="20"/>
        </w:rPr>
      </w:pPr>
      <w:r w:rsidRPr="008A060D">
        <w:rPr>
          <w:rFonts w:ascii="Arial" w:hAnsi="Arial" w:cs="Arial"/>
          <w:sz w:val="20"/>
          <w:szCs w:val="20"/>
        </w:rPr>
        <w:t>V súlade s prílohou č. 2 Plánu hodnotení OP ŽP je medzi operatívne hodnotenia OP ŽP, ktoré sa vykonávajú v prípade potreby, zaradené aj operatívne hodnotenie celého OP ŽP ako podklad pre CKO do strategickej správy v zmysle čl. 29 všeobecného nariadenia.</w:t>
      </w:r>
    </w:p>
    <w:p w:rsidR="008A060D" w:rsidRPr="008A060D" w:rsidRDefault="008A060D" w:rsidP="00507035">
      <w:pPr>
        <w:spacing w:before="120" w:after="120" w:line="360" w:lineRule="auto"/>
        <w:jc w:val="both"/>
        <w:rPr>
          <w:rFonts w:ascii="Arial" w:hAnsi="Arial" w:cs="Arial"/>
          <w:sz w:val="20"/>
          <w:szCs w:val="20"/>
        </w:rPr>
      </w:pPr>
      <w:r w:rsidRPr="008A060D">
        <w:rPr>
          <w:rFonts w:ascii="Arial" w:hAnsi="Arial" w:cs="Arial"/>
          <w:sz w:val="20"/>
          <w:szCs w:val="20"/>
        </w:rPr>
        <w:t xml:space="preserve">V zmysle čl. 29 ods. 2 všeobecného nariadenia je členský štát povinný – pričom v podmienkach SR za splnenie uvedenej povinnosti zodpovedá CKO - poskytnúť Európskej komisii do konca roku 2012 stručnú správu s údajmi o tom, ako operačné programy spolufinancované z fondov EÚ prispeli: </w:t>
      </w:r>
    </w:p>
    <w:p w:rsidR="008A060D" w:rsidRPr="008A060D" w:rsidRDefault="008A060D" w:rsidP="00507035">
      <w:pPr>
        <w:spacing w:before="120" w:after="120" w:line="360" w:lineRule="auto"/>
        <w:jc w:val="both"/>
        <w:rPr>
          <w:rFonts w:ascii="Arial" w:hAnsi="Arial" w:cs="Arial"/>
          <w:sz w:val="20"/>
          <w:szCs w:val="20"/>
        </w:rPr>
      </w:pPr>
      <w:r w:rsidRPr="008A060D">
        <w:rPr>
          <w:rFonts w:ascii="Arial" w:hAnsi="Arial" w:cs="Arial"/>
          <w:sz w:val="20"/>
          <w:szCs w:val="20"/>
        </w:rPr>
        <w:t>a) k plneniu cieľov politiky súdržnosti, ako je ustanovené v zmluve;</w:t>
      </w:r>
    </w:p>
    <w:p w:rsidR="008A060D" w:rsidRPr="008A060D" w:rsidRDefault="008A060D" w:rsidP="00507035">
      <w:pPr>
        <w:spacing w:before="120" w:after="120" w:line="360" w:lineRule="auto"/>
        <w:jc w:val="both"/>
        <w:rPr>
          <w:rFonts w:ascii="Arial" w:hAnsi="Arial" w:cs="Arial"/>
          <w:sz w:val="20"/>
          <w:szCs w:val="20"/>
        </w:rPr>
      </w:pPr>
      <w:r w:rsidRPr="008A060D">
        <w:rPr>
          <w:rFonts w:ascii="Arial" w:hAnsi="Arial" w:cs="Arial"/>
          <w:sz w:val="20"/>
          <w:szCs w:val="20"/>
        </w:rPr>
        <w:t>b) k plneniu úloh fondov podľa všeobecného nariadenia;</w:t>
      </w:r>
    </w:p>
    <w:p w:rsidR="008A060D" w:rsidRPr="008A060D" w:rsidRDefault="008A060D" w:rsidP="00507035">
      <w:pPr>
        <w:spacing w:before="120" w:after="120" w:line="360" w:lineRule="auto"/>
        <w:jc w:val="both"/>
        <w:rPr>
          <w:rFonts w:ascii="Arial" w:hAnsi="Arial" w:cs="Arial"/>
          <w:sz w:val="20"/>
          <w:szCs w:val="20"/>
        </w:rPr>
      </w:pPr>
      <w:r w:rsidRPr="008A060D">
        <w:rPr>
          <w:rFonts w:ascii="Arial" w:hAnsi="Arial" w:cs="Arial"/>
          <w:sz w:val="20"/>
          <w:szCs w:val="20"/>
        </w:rPr>
        <w:t>c) k vykonávaniu priorít uvedených v strategických usmerneniach Spoločenstva o súdržnosti, uvedených v článku 25, a spresnených v prioritách stanovených v národnom strategickom referenčnom rámci uvedenom v článku 27 a</w:t>
      </w:r>
    </w:p>
    <w:p w:rsidR="008A060D" w:rsidRPr="008A060D" w:rsidRDefault="008A060D" w:rsidP="00507035">
      <w:pPr>
        <w:spacing w:before="120" w:after="120" w:line="360" w:lineRule="auto"/>
        <w:jc w:val="both"/>
        <w:rPr>
          <w:rFonts w:ascii="Arial" w:hAnsi="Arial" w:cs="Arial"/>
          <w:sz w:val="20"/>
          <w:szCs w:val="20"/>
        </w:rPr>
      </w:pPr>
      <w:r w:rsidRPr="008A060D">
        <w:rPr>
          <w:rFonts w:ascii="Arial" w:hAnsi="Arial" w:cs="Arial"/>
          <w:sz w:val="20"/>
          <w:szCs w:val="20"/>
        </w:rPr>
        <w:t>d) k dosiahnutiu cieľa podpory konkurencieschopnosti a tvorby nových pracovných príležitostí a pri práci pri napĺňaní cieľov integrovaných usmernení pre rast a zamestnanosť (2005 – 2008), ako sa uvádza v článku 9 ods. 3.</w:t>
      </w:r>
    </w:p>
    <w:p w:rsidR="008A060D" w:rsidRPr="008A060D" w:rsidRDefault="008A060D" w:rsidP="00507035">
      <w:pPr>
        <w:spacing w:before="120" w:after="120" w:line="360" w:lineRule="auto"/>
        <w:jc w:val="both"/>
        <w:rPr>
          <w:rFonts w:ascii="Arial" w:hAnsi="Arial" w:cs="Arial"/>
          <w:sz w:val="20"/>
          <w:szCs w:val="20"/>
        </w:rPr>
      </w:pPr>
      <w:r w:rsidRPr="008A060D">
        <w:rPr>
          <w:rFonts w:ascii="Arial" w:hAnsi="Arial" w:cs="Arial"/>
          <w:sz w:val="20"/>
          <w:szCs w:val="20"/>
        </w:rPr>
        <w:t xml:space="preserve">Na základe vyššie uvedeného východiska zahrnul </w:t>
      </w:r>
      <w:r w:rsidR="001E4C55">
        <w:rPr>
          <w:rFonts w:ascii="Arial" w:hAnsi="Arial" w:cs="Arial"/>
          <w:sz w:val="20"/>
          <w:szCs w:val="20"/>
        </w:rPr>
        <w:t>RO</w:t>
      </w:r>
      <w:r w:rsidRPr="008A060D">
        <w:rPr>
          <w:rFonts w:ascii="Arial" w:hAnsi="Arial" w:cs="Arial"/>
          <w:sz w:val="20"/>
          <w:szCs w:val="20"/>
        </w:rPr>
        <w:t xml:space="preserve"> do harmonogramu priebežných hodnotení OP ŽP na rok 2012 hodnotenie, ktorého predmetom sú náležitosti určené v čl. 29 ods. 2 všeobecného nariadenia, ako aj celkové zhodnotenie stavu implementácie OP ŽP. </w:t>
      </w:r>
    </w:p>
    <w:p w:rsidR="008A060D" w:rsidRPr="008A060D" w:rsidRDefault="008A060D" w:rsidP="00507035">
      <w:pPr>
        <w:spacing w:before="120" w:after="120" w:line="360" w:lineRule="auto"/>
        <w:jc w:val="both"/>
        <w:rPr>
          <w:rFonts w:ascii="Arial" w:hAnsi="Arial" w:cs="Arial"/>
          <w:sz w:val="20"/>
          <w:szCs w:val="20"/>
          <w:u w:val="single"/>
        </w:rPr>
      </w:pPr>
      <w:r w:rsidRPr="008A060D">
        <w:rPr>
          <w:rFonts w:ascii="Arial" w:hAnsi="Arial" w:cs="Arial"/>
          <w:i/>
          <w:sz w:val="20"/>
          <w:szCs w:val="20"/>
          <w:u w:val="single"/>
        </w:rPr>
        <w:t>Predmet hodnotenia</w:t>
      </w:r>
      <w:r w:rsidRPr="008A060D">
        <w:rPr>
          <w:rFonts w:ascii="Arial" w:hAnsi="Arial" w:cs="Arial"/>
          <w:sz w:val="20"/>
          <w:szCs w:val="20"/>
          <w:u w:val="single"/>
        </w:rPr>
        <w:t>:</w:t>
      </w:r>
    </w:p>
    <w:p w:rsidR="008A060D" w:rsidRPr="008A060D" w:rsidRDefault="008A060D" w:rsidP="00507035">
      <w:pPr>
        <w:spacing w:before="120" w:after="120" w:line="360" w:lineRule="auto"/>
        <w:jc w:val="both"/>
        <w:rPr>
          <w:rFonts w:ascii="Arial" w:hAnsi="Arial" w:cs="Arial"/>
          <w:sz w:val="20"/>
          <w:szCs w:val="20"/>
        </w:rPr>
      </w:pPr>
      <w:r w:rsidRPr="008A060D">
        <w:rPr>
          <w:rFonts w:ascii="Arial" w:hAnsi="Arial" w:cs="Arial"/>
          <w:sz w:val="20"/>
          <w:szCs w:val="20"/>
        </w:rPr>
        <w:t>V súlade s východiskami uvedenými v kapitole 1. bol predmet operatívneho hodnotenia OP ŽP rozčlenený na nasledovné okruhy, resp. bol predmet operatívneho hodnotenia OP ŽP vyjadrený v nasledovných hodnotiacich (evaluačných) otázkach:</w:t>
      </w:r>
    </w:p>
    <w:p w:rsidR="008A060D" w:rsidRPr="008A060D" w:rsidRDefault="008A060D" w:rsidP="00507035">
      <w:pPr>
        <w:spacing w:before="120" w:after="120" w:line="360" w:lineRule="auto"/>
        <w:jc w:val="both"/>
        <w:rPr>
          <w:rFonts w:ascii="Arial" w:hAnsi="Arial" w:cs="Arial"/>
          <w:sz w:val="20"/>
          <w:szCs w:val="20"/>
        </w:rPr>
      </w:pPr>
      <w:r w:rsidRPr="008A060D">
        <w:rPr>
          <w:rFonts w:ascii="Arial" w:hAnsi="Arial" w:cs="Arial"/>
          <w:sz w:val="20"/>
          <w:szCs w:val="20"/>
        </w:rPr>
        <w:t>1) Aký je príspevok OP ŽP k plneniu cieľov politiky súdržnosti, Stratégie Európa 2020 a priorít uvedených v Strategických usmerneniach Spoločenstva o súdržnosti?</w:t>
      </w:r>
    </w:p>
    <w:p w:rsidR="008A060D" w:rsidRPr="008A060D" w:rsidRDefault="008A060D" w:rsidP="00507035">
      <w:pPr>
        <w:spacing w:before="120" w:after="120" w:line="360" w:lineRule="auto"/>
        <w:jc w:val="both"/>
        <w:rPr>
          <w:rFonts w:ascii="Arial" w:hAnsi="Arial" w:cs="Arial"/>
          <w:sz w:val="20"/>
          <w:szCs w:val="20"/>
        </w:rPr>
      </w:pPr>
      <w:r w:rsidRPr="008A060D">
        <w:rPr>
          <w:rFonts w:ascii="Arial" w:hAnsi="Arial" w:cs="Arial"/>
          <w:sz w:val="20"/>
          <w:szCs w:val="20"/>
        </w:rPr>
        <w:t>2) Aký je príspevok OP ŽP k plneniu úloh Kohézneho fondu a ERDF stanovených v príslušných nariadeniach EÚ?</w:t>
      </w:r>
    </w:p>
    <w:p w:rsidR="008A060D" w:rsidRPr="008A060D" w:rsidRDefault="008A060D" w:rsidP="00507035">
      <w:pPr>
        <w:spacing w:before="120" w:after="120" w:line="360" w:lineRule="auto"/>
        <w:jc w:val="both"/>
        <w:rPr>
          <w:rFonts w:ascii="Arial" w:hAnsi="Arial" w:cs="Arial"/>
          <w:sz w:val="20"/>
          <w:szCs w:val="20"/>
        </w:rPr>
      </w:pPr>
      <w:r w:rsidRPr="008A060D">
        <w:rPr>
          <w:rFonts w:ascii="Arial" w:hAnsi="Arial" w:cs="Arial"/>
          <w:sz w:val="20"/>
          <w:szCs w:val="20"/>
        </w:rPr>
        <w:t>3) Aký je príspevok OP ŽP k dosiahnutiu cieľa podpory konkurencieschopnosti a tvorby nových pracovných príležitostí?</w:t>
      </w:r>
    </w:p>
    <w:p w:rsidR="008A060D" w:rsidRPr="008A060D" w:rsidRDefault="008A060D" w:rsidP="00507035">
      <w:pPr>
        <w:spacing w:before="120" w:after="120" w:line="360" w:lineRule="auto"/>
        <w:jc w:val="both"/>
        <w:rPr>
          <w:rFonts w:ascii="Arial" w:hAnsi="Arial" w:cs="Arial"/>
          <w:sz w:val="20"/>
          <w:szCs w:val="20"/>
        </w:rPr>
      </w:pPr>
      <w:r w:rsidRPr="008A060D">
        <w:rPr>
          <w:rFonts w:ascii="Arial" w:hAnsi="Arial" w:cs="Arial"/>
          <w:sz w:val="20"/>
          <w:szCs w:val="20"/>
        </w:rPr>
        <w:t>4) Aký je súčasný stav implementácie OP ŽP? Je aktuálne plnenie merateľných ukazovateľov na úrovni OP ŽP uspokojivé? Vyžaduje aktuálna situácia stavu implementácie OP ŽP realokáciu finančných prostriedkov?</w:t>
      </w:r>
    </w:p>
    <w:p w:rsidR="008A060D" w:rsidRPr="008A060D" w:rsidRDefault="008A060D" w:rsidP="00507035">
      <w:pPr>
        <w:spacing w:before="120" w:after="120" w:line="360" w:lineRule="auto"/>
        <w:jc w:val="both"/>
        <w:rPr>
          <w:rFonts w:ascii="Arial" w:hAnsi="Arial" w:cs="Arial"/>
          <w:i/>
          <w:sz w:val="20"/>
          <w:szCs w:val="20"/>
          <w:u w:val="single"/>
        </w:rPr>
      </w:pPr>
      <w:r w:rsidRPr="008A060D">
        <w:rPr>
          <w:rFonts w:ascii="Arial" w:hAnsi="Arial" w:cs="Arial"/>
          <w:i/>
          <w:sz w:val="20"/>
          <w:szCs w:val="20"/>
          <w:u w:val="single"/>
        </w:rPr>
        <w:t>Výsledky hodnotenia:</w:t>
      </w:r>
    </w:p>
    <w:p w:rsidR="00AA4F0D" w:rsidRPr="00AA4F0D" w:rsidRDefault="00AA4F0D" w:rsidP="00507035">
      <w:pPr>
        <w:autoSpaceDE w:val="0"/>
        <w:autoSpaceDN w:val="0"/>
        <w:adjustRightInd w:val="0"/>
        <w:spacing w:before="120" w:after="120" w:line="360" w:lineRule="auto"/>
        <w:jc w:val="both"/>
        <w:rPr>
          <w:rFonts w:ascii="Arial" w:hAnsi="Arial" w:cs="Arial"/>
          <w:sz w:val="20"/>
          <w:szCs w:val="20"/>
        </w:rPr>
      </w:pPr>
      <w:r w:rsidRPr="00AA4F0D">
        <w:rPr>
          <w:rFonts w:ascii="Arial" w:hAnsi="Arial" w:cs="Arial"/>
          <w:sz w:val="20"/>
          <w:szCs w:val="20"/>
        </w:rPr>
        <w:t xml:space="preserve">Z posúdenia východísk, cieľov a stratégie OP ŽP v rámci evaluačných otázok 1 – 3, t.j. z hľadiska jeho príspevku k plneniu cieľov politiky súdržnosti EÚ, Stratégie Európa 2020, úloh KF a ERDF a k podpore socio-ekonomického rastu, nevyplynula potreba  úpravy OP ŽP z vecného a obsahového hľadiska. Rozsah, zameranie, ani stratégiu operačného programu nie je potrebné meniť. </w:t>
      </w:r>
    </w:p>
    <w:p w:rsidR="008A060D" w:rsidRPr="008A060D" w:rsidRDefault="00AA4F0D" w:rsidP="00507035">
      <w:pPr>
        <w:autoSpaceDE w:val="0"/>
        <w:autoSpaceDN w:val="0"/>
        <w:adjustRightInd w:val="0"/>
        <w:spacing w:before="120" w:after="120" w:line="360" w:lineRule="auto"/>
        <w:jc w:val="both"/>
        <w:rPr>
          <w:rFonts w:ascii="Arial" w:hAnsi="Arial" w:cs="Arial"/>
          <w:sz w:val="20"/>
          <w:szCs w:val="20"/>
        </w:rPr>
      </w:pPr>
      <w:r w:rsidRPr="00AA4F0D">
        <w:rPr>
          <w:rFonts w:ascii="Arial" w:hAnsi="Arial" w:cs="Arial"/>
          <w:sz w:val="20"/>
          <w:szCs w:val="20"/>
        </w:rPr>
        <w:t xml:space="preserve">Zároveň bola preukázaná vzájomná súvislosť realizácie OP ŽP s napĺňaním priorít stratégie Európa 2020, ako aj </w:t>
      </w:r>
      <w:r w:rsidR="001E4C55">
        <w:rPr>
          <w:rFonts w:ascii="Arial" w:hAnsi="Arial" w:cs="Arial"/>
          <w:sz w:val="20"/>
          <w:szCs w:val="20"/>
        </w:rPr>
        <w:t>NPR.</w:t>
      </w:r>
      <w:r w:rsidRPr="00AA4F0D">
        <w:rPr>
          <w:rFonts w:ascii="Arial" w:hAnsi="Arial" w:cs="Arial"/>
          <w:sz w:val="20"/>
          <w:szCs w:val="20"/>
        </w:rPr>
        <w:t xml:space="preserve">   </w:t>
      </w:r>
    </w:p>
    <w:p w:rsidR="008A060D" w:rsidRPr="008A060D" w:rsidRDefault="008A060D" w:rsidP="00507035">
      <w:pPr>
        <w:autoSpaceDE w:val="0"/>
        <w:autoSpaceDN w:val="0"/>
        <w:adjustRightInd w:val="0"/>
        <w:spacing w:before="120" w:after="120" w:line="360" w:lineRule="auto"/>
        <w:jc w:val="both"/>
        <w:rPr>
          <w:rFonts w:ascii="Arial" w:hAnsi="Arial" w:cs="Arial"/>
          <w:sz w:val="20"/>
          <w:szCs w:val="20"/>
        </w:rPr>
      </w:pPr>
      <w:r w:rsidRPr="008A060D">
        <w:rPr>
          <w:rFonts w:ascii="Arial" w:hAnsi="Arial" w:cs="Arial"/>
          <w:sz w:val="20"/>
          <w:szCs w:val="20"/>
        </w:rPr>
        <w:t xml:space="preserve">V rámci operatívneho hodnotenia OP ŽP bola osobitná pozornosť venovaná evaluačnej otázke č. 4, ktorej účelom bolo posúdiť stav implementácie OP ŽP a v prípade potreby navrhnúť realokáciu finančných prostriedkov. Obsahom operatívneho hodnotenia OP ŽP bolo posúdenie aktuálneho (k 30.9.2012) stavu implementácie OP ŽP na úrovni prioritných osí a ich operačných cieľov vykonané spôsobom identifikácie skutkového stavu fyzického a finančného pokroku pri ich implementácií a jeho porovnania so stanovenými cieľmi operačného programu a plánovanými hodnotami merateľných ukazovateľov. Neoddeliteľnou súčasťou operatívneho hodnotenia bola identifikácia oblastí intervencie, v ktorých dochádza, resp. by mohlo dôjsť k ťažkostiam s ich vykonávaním a pre ktoré je potrebné prijať adekvátne opatrenia. </w:t>
      </w:r>
    </w:p>
    <w:p w:rsidR="008A060D" w:rsidRPr="008A060D" w:rsidRDefault="008A060D" w:rsidP="00507035">
      <w:pPr>
        <w:autoSpaceDE w:val="0"/>
        <w:autoSpaceDN w:val="0"/>
        <w:adjustRightInd w:val="0"/>
        <w:spacing w:before="120" w:after="120" w:line="360" w:lineRule="auto"/>
        <w:jc w:val="both"/>
        <w:rPr>
          <w:rFonts w:ascii="Arial" w:hAnsi="Arial" w:cs="Arial"/>
          <w:sz w:val="20"/>
          <w:szCs w:val="20"/>
        </w:rPr>
      </w:pPr>
      <w:r w:rsidRPr="008A060D">
        <w:rPr>
          <w:rFonts w:ascii="Arial" w:hAnsi="Arial" w:cs="Arial"/>
          <w:sz w:val="20"/>
          <w:szCs w:val="20"/>
        </w:rPr>
        <w:t>Na základe vyššie uvedeného posúdenia aktuálneho stavu implementácie OP ŽP na úrovni jeho prioritných osí boli vo vzťahu ku každej z nich, vypracované evaluačné závery a odporúčania, vrátane návrhu realokácie, resp. presunov finančných prostriedkov medzi prioritnými témami v prípadoch, kde táto možnosť bola zhodnotená ako relevantná, ako aj identifikácie výhod a prípadných rizík navrhovanej realokácie, resp. presunov.</w:t>
      </w:r>
    </w:p>
    <w:p w:rsidR="008A060D" w:rsidRPr="008A060D" w:rsidRDefault="008A060D" w:rsidP="00507035">
      <w:pPr>
        <w:spacing w:before="120" w:after="120" w:line="360" w:lineRule="auto"/>
        <w:jc w:val="both"/>
        <w:rPr>
          <w:rFonts w:ascii="Arial" w:hAnsi="Arial" w:cs="Arial"/>
          <w:sz w:val="20"/>
          <w:szCs w:val="20"/>
        </w:rPr>
      </w:pPr>
      <w:r w:rsidRPr="008A060D">
        <w:rPr>
          <w:rFonts w:ascii="Arial" w:hAnsi="Arial" w:cs="Arial"/>
          <w:sz w:val="20"/>
          <w:szCs w:val="20"/>
        </w:rPr>
        <w:t>Operatívne hodnotenie OP ŽP (stav k 30. 9. 2012) zároveň rešpektuje výsledky analýz, ktoré boli v zmysle čl. 48 ods. 3 všeobecného nariadenia vypracované externými spracovateľmi v období od ostatnej revízie OP ŽP na verziu 3.0, a to:</w:t>
      </w:r>
    </w:p>
    <w:p w:rsidR="008A060D" w:rsidRPr="008A060D" w:rsidRDefault="008A060D" w:rsidP="001540E7">
      <w:pPr>
        <w:numPr>
          <w:ilvl w:val="0"/>
          <w:numId w:val="38"/>
        </w:numPr>
        <w:spacing w:before="120" w:after="120" w:line="360" w:lineRule="auto"/>
        <w:jc w:val="both"/>
        <w:rPr>
          <w:rFonts w:ascii="Arial" w:hAnsi="Arial" w:cs="Arial"/>
          <w:sz w:val="20"/>
          <w:szCs w:val="20"/>
        </w:rPr>
      </w:pPr>
      <w:r>
        <w:rPr>
          <w:rFonts w:ascii="Arial" w:hAnsi="Arial" w:cs="Arial"/>
          <w:sz w:val="20"/>
          <w:szCs w:val="20"/>
        </w:rPr>
        <w:t xml:space="preserve"> </w:t>
      </w:r>
      <w:r w:rsidRPr="008A060D">
        <w:rPr>
          <w:rFonts w:ascii="Arial" w:hAnsi="Arial" w:cs="Arial"/>
          <w:sz w:val="20"/>
          <w:szCs w:val="20"/>
        </w:rPr>
        <w:t xml:space="preserve">Analýza dôvodov revízie Operačného programu Životné prostredie, vrátane návrhu konkrétneho riešenia revízie, vypracovaná v júni 2011 externým subjektom - spoločnosťou P.C.M. Group, a.s., so sídlom v Bratislave a </w:t>
      </w:r>
    </w:p>
    <w:p w:rsidR="008A060D" w:rsidRPr="008A060D" w:rsidRDefault="008A060D" w:rsidP="001540E7">
      <w:pPr>
        <w:numPr>
          <w:ilvl w:val="0"/>
          <w:numId w:val="38"/>
        </w:numPr>
        <w:spacing w:before="120" w:after="120" w:line="360" w:lineRule="auto"/>
        <w:jc w:val="both"/>
        <w:rPr>
          <w:rFonts w:ascii="Arial" w:hAnsi="Arial" w:cs="Arial"/>
          <w:sz w:val="20"/>
          <w:szCs w:val="20"/>
        </w:rPr>
      </w:pPr>
      <w:r>
        <w:rPr>
          <w:rFonts w:ascii="Arial" w:hAnsi="Arial" w:cs="Arial"/>
          <w:sz w:val="20"/>
          <w:szCs w:val="20"/>
        </w:rPr>
        <w:t xml:space="preserve"> </w:t>
      </w:r>
      <w:r w:rsidRPr="008A060D">
        <w:rPr>
          <w:rFonts w:ascii="Arial" w:hAnsi="Arial" w:cs="Arial"/>
          <w:sz w:val="20"/>
          <w:szCs w:val="20"/>
        </w:rPr>
        <w:t>Analýza aktuálneho stavu implementácie Operačného programu Životné prostredie z hľadiska napĺňania cieľov operačného programu, vrátane návrhov riešení pre efektívnejšiu implementáciu, vypracovaná v decembri 2011 externým subjektom - spoločnosťou EUCONET, spol. s r.o., so sídlom v Bratislave.</w:t>
      </w:r>
    </w:p>
    <w:p w:rsidR="008A060D" w:rsidRPr="008A060D" w:rsidRDefault="008A060D" w:rsidP="00507035">
      <w:pPr>
        <w:spacing w:before="120" w:after="120" w:line="360" w:lineRule="auto"/>
        <w:jc w:val="both"/>
        <w:rPr>
          <w:rFonts w:ascii="Arial" w:hAnsi="Arial" w:cs="Arial"/>
          <w:sz w:val="20"/>
          <w:szCs w:val="20"/>
        </w:rPr>
      </w:pPr>
      <w:r w:rsidRPr="008A060D">
        <w:rPr>
          <w:rFonts w:ascii="Arial" w:hAnsi="Arial" w:cs="Arial"/>
          <w:sz w:val="20"/>
          <w:szCs w:val="20"/>
        </w:rPr>
        <w:t xml:space="preserve">Obe vyššie uvedené analýzy sú zverejnené na webovom sídle: </w:t>
      </w:r>
      <w:hyperlink r:id="rId32" w:history="1">
        <w:r w:rsidRPr="008A060D">
          <w:rPr>
            <w:rFonts w:ascii="Arial" w:hAnsi="Arial" w:cs="Arial"/>
            <w:sz w:val="20"/>
            <w:szCs w:val="20"/>
          </w:rPr>
          <w:t>www.opzp.sk/implementacia-programu/hodnotenieprogramu/</w:t>
        </w:r>
      </w:hyperlink>
      <w:r w:rsidRPr="008A060D">
        <w:rPr>
          <w:rFonts w:ascii="Arial" w:hAnsi="Arial" w:cs="Arial"/>
          <w:sz w:val="20"/>
          <w:szCs w:val="20"/>
        </w:rPr>
        <w:t xml:space="preserve">. </w:t>
      </w:r>
      <w:r w:rsidR="00AA4F0D">
        <w:rPr>
          <w:rFonts w:ascii="Arial" w:hAnsi="Arial" w:cs="Arial"/>
          <w:sz w:val="20"/>
          <w:szCs w:val="20"/>
        </w:rPr>
        <w:t xml:space="preserve">Na webovom sídle </w:t>
      </w:r>
      <w:hyperlink r:id="rId33" w:history="1">
        <w:r w:rsidR="00AA4F0D" w:rsidRPr="00EB0E01">
          <w:rPr>
            <w:rStyle w:val="Hypertextovprepojenie"/>
            <w:rFonts w:ascii="Arial" w:hAnsi="Arial" w:cs="Arial"/>
            <w:sz w:val="20"/>
            <w:szCs w:val="20"/>
          </w:rPr>
          <w:t>www.opzp.sk</w:t>
        </w:r>
      </w:hyperlink>
      <w:r w:rsidR="00AA4F0D">
        <w:rPr>
          <w:rFonts w:ascii="Arial" w:hAnsi="Arial" w:cs="Arial"/>
          <w:sz w:val="20"/>
          <w:szCs w:val="20"/>
        </w:rPr>
        <w:t xml:space="preserve"> v časti Implementácia programu – Hodnotenie programu – Správy z hodnotení je z</w:t>
      </w:r>
      <w:r w:rsidRPr="008A060D">
        <w:rPr>
          <w:rFonts w:ascii="Arial" w:hAnsi="Arial" w:cs="Arial"/>
          <w:sz w:val="20"/>
          <w:szCs w:val="20"/>
        </w:rPr>
        <w:t>ároveň zverejnená správa z </w:t>
      </w:r>
      <w:r w:rsidR="00AA4F0D">
        <w:rPr>
          <w:rFonts w:ascii="Arial" w:hAnsi="Arial" w:cs="Arial"/>
          <w:sz w:val="20"/>
          <w:szCs w:val="20"/>
        </w:rPr>
        <w:t xml:space="preserve">predmetného interného </w:t>
      </w:r>
      <w:r w:rsidRPr="008A060D">
        <w:rPr>
          <w:rFonts w:ascii="Arial" w:hAnsi="Arial" w:cs="Arial"/>
          <w:sz w:val="20"/>
          <w:szCs w:val="20"/>
        </w:rPr>
        <w:t>Operatívneho hodnotenia OP ŽP.</w:t>
      </w:r>
    </w:p>
    <w:p w:rsidR="001E4C55" w:rsidRDefault="008A060D" w:rsidP="00507035">
      <w:pPr>
        <w:pStyle w:val="Nadpis2"/>
        <w:spacing w:before="120" w:after="120"/>
        <w:rPr>
          <w:rFonts w:cs="Arial"/>
          <w:sz w:val="20"/>
          <w:szCs w:val="20"/>
        </w:rPr>
      </w:pPr>
      <w:r w:rsidRPr="008A060D">
        <w:rPr>
          <w:rFonts w:cs="Arial"/>
          <w:sz w:val="20"/>
          <w:szCs w:val="20"/>
        </w:rPr>
        <w:t>Najdôležitejším výsledkom vykonaného hodnotenia je identifikovanie a zdôvodnenie potreby revízie OP ŽP, ktorá je detailne popísaná v kapitole 2.4 tejto správy.</w:t>
      </w:r>
      <w:bookmarkStart w:id="53" w:name="_3.6.3_Výkon_auditu"/>
      <w:bookmarkStart w:id="54" w:name="_Toc319573317"/>
      <w:bookmarkStart w:id="55" w:name="_Toc135540049"/>
      <w:bookmarkEnd w:id="53"/>
    </w:p>
    <w:p w:rsidR="00570976" w:rsidRPr="00570976" w:rsidRDefault="00570976" w:rsidP="00570976"/>
    <w:p w:rsidR="002416B1" w:rsidRPr="004B33AE" w:rsidRDefault="002416B1" w:rsidP="00507035">
      <w:pPr>
        <w:pStyle w:val="Nadpis2"/>
        <w:spacing w:before="120" w:after="120"/>
      </w:pPr>
      <w:r w:rsidRPr="004B33AE">
        <w:t>2.8 Národná výkonnostná rezerva</w:t>
      </w:r>
      <w:bookmarkEnd w:id="54"/>
    </w:p>
    <w:p w:rsidR="002416B1" w:rsidRDefault="002416B1" w:rsidP="00507035">
      <w:pPr>
        <w:spacing w:before="120" w:after="120"/>
        <w:jc w:val="both"/>
        <w:rPr>
          <w:rFonts w:ascii="Arial" w:hAnsi="Arial" w:cs="Arial"/>
          <w:sz w:val="20"/>
          <w:szCs w:val="20"/>
        </w:rPr>
      </w:pPr>
      <w:r w:rsidRPr="004B33AE">
        <w:rPr>
          <w:rFonts w:ascii="Arial" w:hAnsi="Arial" w:cs="Arial"/>
          <w:sz w:val="20"/>
          <w:szCs w:val="20"/>
        </w:rPr>
        <w:t xml:space="preserve">V roku </w:t>
      </w:r>
      <w:r w:rsidR="00F46B97" w:rsidRPr="004B33AE">
        <w:rPr>
          <w:rFonts w:ascii="Arial" w:hAnsi="Arial" w:cs="Arial"/>
          <w:sz w:val="20"/>
          <w:szCs w:val="20"/>
        </w:rPr>
        <w:t>201</w:t>
      </w:r>
      <w:r w:rsidR="00F46B97">
        <w:rPr>
          <w:rFonts w:ascii="Arial" w:hAnsi="Arial" w:cs="Arial"/>
          <w:sz w:val="20"/>
          <w:szCs w:val="20"/>
        </w:rPr>
        <w:t>1</w:t>
      </w:r>
      <w:r w:rsidR="00F46B97" w:rsidRPr="004B33AE">
        <w:rPr>
          <w:rFonts w:ascii="Arial" w:hAnsi="Arial" w:cs="Arial"/>
          <w:sz w:val="20"/>
          <w:szCs w:val="20"/>
        </w:rPr>
        <w:t xml:space="preserve"> </w:t>
      </w:r>
      <w:r w:rsidRPr="004B33AE">
        <w:rPr>
          <w:rFonts w:ascii="Arial" w:hAnsi="Arial" w:cs="Arial"/>
          <w:sz w:val="20"/>
          <w:szCs w:val="20"/>
        </w:rPr>
        <w:t>nebola stanovená výkonnostná rezerva operačného programu v zmysle článku 50 nariadenia (ES) č. 1083/2006.</w:t>
      </w:r>
    </w:p>
    <w:p w:rsidR="00992100" w:rsidRDefault="00992100" w:rsidP="00507035">
      <w:pPr>
        <w:spacing w:before="120" w:after="120"/>
        <w:jc w:val="both"/>
        <w:rPr>
          <w:rFonts w:ascii="Arial" w:hAnsi="Arial" w:cs="Arial"/>
          <w:sz w:val="20"/>
          <w:szCs w:val="20"/>
        </w:rPr>
      </w:pPr>
    </w:p>
    <w:bookmarkStart w:id="56" w:name="_2.8_Administratívne_kapacity2.9"/>
    <w:bookmarkEnd w:id="56"/>
    <w:p w:rsidR="002416B1" w:rsidRPr="004B33AE" w:rsidRDefault="002416B1" w:rsidP="00507035">
      <w:pPr>
        <w:pStyle w:val="Nadpis2"/>
        <w:spacing w:before="120" w:after="120"/>
      </w:pPr>
      <w:r w:rsidRPr="006A2BF3">
        <w:fldChar w:fldCharType="begin"/>
      </w:r>
      <w:r w:rsidRPr="006A2BF3">
        <w:instrText xml:space="preserve"> HYPERLINK  \l "_2.8_Administratívne_kapacity2.9" </w:instrText>
      </w:r>
      <w:r w:rsidRPr="006A2BF3">
        <w:fldChar w:fldCharType="separate"/>
      </w:r>
      <w:bookmarkStart w:id="57" w:name="_Toc319573318"/>
      <w:r w:rsidRPr="006A2BF3">
        <w:t>2.9 Administratívne kapacity</w:t>
      </w:r>
      <w:bookmarkEnd w:id="57"/>
      <w:r w:rsidRPr="006A2BF3">
        <w:fldChar w:fldCharType="end"/>
      </w:r>
    </w:p>
    <w:p w:rsidR="002416B1" w:rsidRPr="004B33AE" w:rsidRDefault="002416B1" w:rsidP="00507035">
      <w:pPr>
        <w:tabs>
          <w:tab w:val="left" w:pos="1134"/>
        </w:tabs>
        <w:spacing w:before="120" w:after="120" w:line="360" w:lineRule="auto"/>
        <w:jc w:val="both"/>
        <w:rPr>
          <w:rFonts w:ascii="Arial" w:hAnsi="Arial" w:cs="Arial"/>
          <w:sz w:val="20"/>
          <w:szCs w:val="20"/>
          <w:u w:val="single"/>
        </w:rPr>
      </w:pPr>
      <w:r w:rsidRPr="004B33AE">
        <w:rPr>
          <w:rFonts w:ascii="Arial" w:hAnsi="Arial" w:cs="Arial"/>
          <w:sz w:val="20"/>
          <w:szCs w:val="20"/>
          <w:u w:val="single"/>
        </w:rPr>
        <w:t xml:space="preserve">Výkon funkcie </w:t>
      </w:r>
      <w:r w:rsidR="001E4C55">
        <w:rPr>
          <w:rFonts w:ascii="Arial" w:hAnsi="Arial" w:cs="Arial"/>
          <w:sz w:val="20"/>
          <w:szCs w:val="20"/>
          <w:u w:val="single"/>
        </w:rPr>
        <w:t>RO</w:t>
      </w:r>
      <w:r w:rsidRPr="004B33AE">
        <w:rPr>
          <w:rFonts w:ascii="Arial" w:hAnsi="Arial" w:cs="Arial"/>
          <w:sz w:val="20"/>
          <w:szCs w:val="20"/>
          <w:u w:val="single"/>
        </w:rPr>
        <w:t xml:space="preserve"> </w:t>
      </w:r>
      <w:r w:rsidR="00305160">
        <w:rPr>
          <w:rFonts w:ascii="Arial" w:hAnsi="Arial" w:cs="Arial"/>
          <w:sz w:val="20"/>
          <w:szCs w:val="20"/>
          <w:u w:val="single"/>
        </w:rPr>
        <w:t xml:space="preserve">v rámci </w:t>
      </w:r>
      <w:r w:rsidRPr="004B33AE">
        <w:rPr>
          <w:rFonts w:ascii="Arial" w:hAnsi="Arial" w:cs="Arial"/>
          <w:sz w:val="20"/>
          <w:szCs w:val="20"/>
          <w:u w:val="single"/>
        </w:rPr>
        <w:t xml:space="preserve">MŽP SR zabezpečuje Sekcia environmentálnych programov a projektov. </w:t>
      </w:r>
    </w:p>
    <w:p w:rsidR="00A82EA5" w:rsidRDefault="002416B1" w:rsidP="00507035">
      <w:pPr>
        <w:tabs>
          <w:tab w:val="left" w:pos="1134"/>
        </w:tabs>
        <w:spacing w:before="120" w:after="120" w:line="360" w:lineRule="auto"/>
        <w:ind w:left="454"/>
        <w:jc w:val="both"/>
        <w:rPr>
          <w:rFonts w:ascii="Arial" w:hAnsi="Arial" w:cs="Arial"/>
          <w:sz w:val="20"/>
          <w:szCs w:val="20"/>
        </w:rPr>
      </w:pPr>
      <w:r w:rsidRPr="004B33AE">
        <w:rPr>
          <w:rFonts w:ascii="Arial" w:hAnsi="Arial" w:cs="Arial"/>
          <w:sz w:val="20"/>
          <w:szCs w:val="20"/>
        </w:rPr>
        <w:t>Jednotlivé činnosti riadiaceho orgánu OP ŽP vykonávajú jej nasledovné organizačné zložky:</w:t>
      </w:r>
    </w:p>
    <w:p w:rsidR="002416B1" w:rsidRPr="004B33AE" w:rsidRDefault="002416B1" w:rsidP="00507035">
      <w:pPr>
        <w:tabs>
          <w:tab w:val="left" w:pos="1134"/>
        </w:tabs>
        <w:spacing w:before="120" w:after="120" w:line="360" w:lineRule="auto"/>
        <w:ind w:left="454"/>
        <w:jc w:val="both"/>
        <w:rPr>
          <w:rFonts w:ascii="Arial" w:hAnsi="Arial" w:cs="Arial"/>
          <w:sz w:val="20"/>
          <w:szCs w:val="20"/>
        </w:rPr>
      </w:pPr>
      <w:r w:rsidRPr="004B33AE">
        <w:rPr>
          <w:rFonts w:ascii="Arial" w:hAnsi="Arial" w:cs="Arial"/>
          <w:sz w:val="20"/>
          <w:szCs w:val="20"/>
        </w:rPr>
        <w:t xml:space="preserve">- odbor riadenia programov </w:t>
      </w:r>
    </w:p>
    <w:p w:rsidR="002416B1" w:rsidRPr="004B33AE" w:rsidRDefault="002416B1" w:rsidP="00507035">
      <w:pPr>
        <w:tabs>
          <w:tab w:val="left" w:pos="1134"/>
        </w:tabs>
        <w:spacing w:before="120" w:after="120" w:line="360" w:lineRule="auto"/>
        <w:ind w:left="454"/>
        <w:jc w:val="both"/>
        <w:rPr>
          <w:rFonts w:ascii="Arial" w:hAnsi="Arial" w:cs="Arial"/>
          <w:sz w:val="20"/>
          <w:szCs w:val="20"/>
        </w:rPr>
      </w:pPr>
      <w:r w:rsidRPr="004B33AE">
        <w:rPr>
          <w:rFonts w:ascii="Arial" w:hAnsi="Arial" w:cs="Arial"/>
          <w:sz w:val="20"/>
          <w:szCs w:val="20"/>
        </w:rPr>
        <w:t>- odbor riadenia administrácie projektov</w:t>
      </w:r>
    </w:p>
    <w:p w:rsidR="002416B1" w:rsidRPr="004B33AE" w:rsidRDefault="002416B1" w:rsidP="00507035">
      <w:pPr>
        <w:tabs>
          <w:tab w:val="left" w:pos="1134"/>
        </w:tabs>
        <w:spacing w:before="120" w:after="120" w:line="360" w:lineRule="auto"/>
        <w:ind w:left="454"/>
        <w:jc w:val="both"/>
        <w:rPr>
          <w:rFonts w:ascii="Arial" w:hAnsi="Arial" w:cs="Arial"/>
          <w:sz w:val="20"/>
          <w:szCs w:val="20"/>
        </w:rPr>
      </w:pPr>
      <w:r w:rsidRPr="004B33AE">
        <w:rPr>
          <w:rFonts w:ascii="Arial" w:hAnsi="Arial" w:cs="Arial"/>
          <w:sz w:val="20"/>
          <w:szCs w:val="20"/>
        </w:rPr>
        <w:t>- odbor riadenia implementácie projektov</w:t>
      </w:r>
    </w:p>
    <w:p w:rsidR="002416B1" w:rsidRPr="004B33AE" w:rsidRDefault="002416B1" w:rsidP="00507035">
      <w:pPr>
        <w:tabs>
          <w:tab w:val="left" w:pos="1134"/>
        </w:tabs>
        <w:spacing w:before="120" w:after="120" w:line="360" w:lineRule="auto"/>
        <w:ind w:left="454"/>
        <w:jc w:val="both"/>
        <w:rPr>
          <w:rFonts w:ascii="Arial" w:hAnsi="Arial" w:cs="Arial"/>
          <w:sz w:val="20"/>
          <w:szCs w:val="20"/>
        </w:rPr>
      </w:pPr>
      <w:r w:rsidRPr="004B33AE">
        <w:rPr>
          <w:rFonts w:ascii="Arial" w:hAnsi="Arial" w:cs="Arial"/>
          <w:sz w:val="20"/>
          <w:szCs w:val="20"/>
        </w:rPr>
        <w:t>- odbor technickej pomoci</w:t>
      </w:r>
      <w:r w:rsidR="001E4C55">
        <w:rPr>
          <w:rFonts w:ascii="Arial" w:hAnsi="Arial" w:cs="Arial"/>
          <w:sz w:val="20"/>
          <w:szCs w:val="20"/>
        </w:rPr>
        <w:t>.</w:t>
      </w:r>
    </w:p>
    <w:p w:rsidR="002416B1" w:rsidRPr="004B33AE" w:rsidRDefault="002416B1" w:rsidP="00507035">
      <w:pPr>
        <w:widowControl w:val="0"/>
        <w:spacing w:before="120" w:after="120" w:line="360" w:lineRule="auto"/>
        <w:jc w:val="both"/>
        <w:rPr>
          <w:rFonts w:ascii="Arial" w:hAnsi="Arial" w:cs="Arial"/>
          <w:sz w:val="20"/>
          <w:szCs w:val="20"/>
        </w:rPr>
      </w:pPr>
      <w:r w:rsidRPr="004B33AE">
        <w:rPr>
          <w:rFonts w:ascii="Arial" w:hAnsi="Arial" w:cs="Arial"/>
          <w:sz w:val="20"/>
          <w:szCs w:val="20"/>
        </w:rPr>
        <w:t>Funkcie platobnej jednotky (ďalej len „PJ“) pre OP ŽP zabezpečuje:</w:t>
      </w:r>
    </w:p>
    <w:p w:rsidR="002416B1" w:rsidRPr="004B33AE" w:rsidRDefault="002416B1" w:rsidP="00507035">
      <w:pPr>
        <w:spacing w:before="120" w:after="120" w:line="360" w:lineRule="auto"/>
        <w:ind w:left="454"/>
        <w:jc w:val="both"/>
        <w:rPr>
          <w:rFonts w:ascii="Arial" w:hAnsi="Arial" w:cs="Arial"/>
          <w:sz w:val="20"/>
          <w:szCs w:val="20"/>
        </w:rPr>
      </w:pPr>
      <w:r w:rsidRPr="004B33AE">
        <w:rPr>
          <w:rFonts w:ascii="Arial" w:hAnsi="Arial" w:cs="Arial"/>
          <w:sz w:val="20"/>
          <w:szCs w:val="20"/>
        </w:rPr>
        <w:t>- odbor platieb a koordinácie auditov</w:t>
      </w:r>
      <w:r w:rsidR="001E4C55">
        <w:rPr>
          <w:rFonts w:ascii="Arial" w:hAnsi="Arial" w:cs="Arial"/>
          <w:sz w:val="20"/>
          <w:szCs w:val="20"/>
        </w:rPr>
        <w:t>.</w:t>
      </w:r>
    </w:p>
    <w:p w:rsidR="002416B1" w:rsidRPr="004B33AE" w:rsidRDefault="002416B1" w:rsidP="00507035">
      <w:pPr>
        <w:spacing w:before="120" w:after="120" w:line="360" w:lineRule="auto"/>
        <w:jc w:val="both"/>
        <w:rPr>
          <w:rFonts w:ascii="Arial" w:hAnsi="Arial" w:cs="Arial"/>
          <w:sz w:val="20"/>
          <w:szCs w:val="20"/>
        </w:rPr>
      </w:pPr>
      <w:r w:rsidRPr="004B33AE">
        <w:rPr>
          <w:rFonts w:ascii="Arial" w:hAnsi="Arial" w:cs="Arial"/>
          <w:sz w:val="20"/>
          <w:szCs w:val="20"/>
        </w:rPr>
        <w:t>K 31.12.</w:t>
      </w:r>
      <w:r w:rsidR="00B10F6B" w:rsidRPr="004B33AE">
        <w:rPr>
          <w:rFonts w:ascii="Arial" w:hAnsi="Arial" w:cs="Arial"/>
          <w:sz w:val="20"/>
          <w:szCs w:val="20"/>
        </w:rPr>
        <w:t>201</w:t>
      </w:r>
      <w:r w:rsidR="00B10F6B">
        <w:rPr>
          <w:rFonts w:ascii="Arial" w:hAnsi="Arial" w:cs="Arial"/>
          <w:sz w:val="20"/>
          <w:szCs w:val="20"/>
        </w:rPr>
        <w:t>2</w:t>
      </w:r>
      <w:r w:rsidR="00B10F6B" w:rsidRPr="004B33AE">
        <w:rPr>
          <w:rFonts w:ascii="Arial" w:hAnsi="Arial" w:cs="Arial"/>
          <w:sz w:val="20"/>
          <w:szCs w:val="20"/>
        </w:rPr>
        <w:t xml:space="preserve"> </w:t>
      </w:r>
      <w:r w:rsidR="001E4C55">
        <w:rPr>
          <w:rFonts w:ascii="Arial" w:hAnsi="Arial" w:cs="Arial"/>
          <w:sz w:val="20"/>
          <w:szCs w:val="20"/>
        </w:rPr>
        <w:t>RO</w:t>
      </w:r>
      <w:r w:rsidRPr="004B33AE">
        <w:rPr>
          <w:rFonts w:ascii="Arial" w:hAnsi="Arial" w:cs="Arial"/>
          <w:sz w:val="20"/>
          <w:szCs w:val="20"/>
        </w:rPr>
        <w:t xml:space="preserve"> disponoval v rámci prípravy, riadenia, implementácie, monitorovania a kontroly OP ŽP a projektov spolufinancovaných z fondov EÚ 155 </w:t>
      </w:r>
      <w:r w:rsidR="00476630">
        <w:rPr>
          <w:rFonts w:ascii="Arial" w:hAnsi="Arial" w:cs="Arial"/>
          <w:sz w:val="20"/>
          <w:szCs w:val="20"/>
        </w:rPr>
        <w:t>zamestnancov</w:t>
      </w:r>
      <w:r w:rsidRPr="004B33AE">
        <w:rPr>
          <w:rFonts w:ascii="Arial" w:hAnsi="Arial" w:cs="Arial"/>
          <w:sz w:val="20"/>
          <w:szCs w:val="20"/>
        </w:rPr>
        <w:t xml:space="preserve">, z toho v rámci Sekcie environmentálnych programov a projektov 133 </w:t>
      </w:r>
      <w:r w:rsidR="00476630">
        <w:rPr>
          <w:rFonts w:ascii="Arial" w:hAnsi="Arial" w:cs="Arial"/>
          <w:sz w:val="20"/>
          <w:szCs w:val="20"/>
        </w:rPr>
        <w:t>zamestnancami,</w:t>
      </w:r>
      <w:r w:rsidRPr="004B33AE">
        <w:rPr>
          <w:rFonts w:ascii="Arial" w:hAnsi="Arial" w:cs="Arial"/>
          <w:sz w:val="20"/>
          <w:szCs w:val="20"/>
        </w:rPr>
        <w:t xml:space="preserve"> v rámci Oddelenia vnútorného auditu a Odboru rezortnej kontroly 11 </w:t>
      </w:r>
      <w:r w:rsidR="00476630">
        <w:rPr>
          <w:rFonts w:ascii="Arial" w:hAnsi="Arial" w:cs="Arial"/>
          <w:sz w:val="20"/>
          <w:szCs w:val="20"/>
        </w:rPr>
        <w:t>zamestnancami</w:t>
      </w:r>
      <w:r w:rsidRPr="004B33AE">
        <w:rPr>
          <w:rFonts w:ascii="Arial" w:hAnsi="Arial" w:cs="Arial"/>
          <w:sz w:val="20"/>
          <w:szCs w:val="20"/>
        </w:rPr>
        <w:t>.</w:t>
      </w:r>
    </w:p>
    <w:p w:rsidR="002416B1" w:rsidRPr="004B33AE" w:rsidRDefault="002416B1" w:rsidP="00507035">
      <w:pPr>
        <w:spacing w:before="120" w:after="120" w:line="360" w:lineRule="auto"/>
        <w:jc w:val="both"/>
        <w:rPr>
          <w:rFonts w:ascii="Arial" w:hAnsi="Arial" w:cs="Arial"/>
          <w:sz w:val="20"/>
          <w:szCs w:val="20"/>
          <w:u w:val="single"/>
        </w:rPr>
      </w:pPr>
      <w:bookmarkStart w:id="58" w:name="OLE_LINK35"/>
      <w:bookmarkStart w:id="59" w:name="OLE_LINK36"/>
      <w:r w:rsidRPr="004B33AE">
        <w:rPr>
          <w:rFonts w:ascii="Arial" w:hAnsi="Arial" w:cs="Arial"/>
          <w:sz w:val="20"/>
          <w:szCs w:val="20"/>
        </w:rPr>
        <w:t xml:space="preserve">Pre </w:t>
      </w:r>
      <w:r w:rsidR="00F46B97" w:rsidRPr="004B33AE">
        <w:rPr>
          <w:rFonts w:ascii="Arial" w:hAnsi="Arial" w:cs="Arial"/>
          <w:sz w:val="20"/>
          <w:szCs w:val="20"/>
        </w:rPr>
        <w:t>efektívne</w:t>
      </w:r>
      <w:r w:rsidRPr="004B33AE">
        <w:rPr>
          <w:rFonts w:ascii="Arial" w:hAnsi="Arial" w:cs="Arial"/>
          <w:sz w:val="20"/>
          <w:szCs w:val="20"/>
        </w:rPr>
        <w:t xml:space="preserve"> využívanie technickej pomoci a lepšie rozdelenie pracovných úloh</w:t>
      </w:r>
      <w:bookmarkEnd w:id="58"/>
      <w:bookmarkEnd w:id="59"/>
      <w:r w:rsidRPr="004B33AE">
        <w:rPr>
          <w:rFonts w:ascii="Arial" w:hAnsi="Arial" w:cs="Arial"/>
          <w:sz w:val="20"/>
          <w:szCs w:val="20"/>
        </w:rPr>
        <w:t xml:space="preserve"> sú na odbore technickej pomoci vytvorené dve oddelenia – oddelenie individuálnych projektov a oddelenie podporných činností. </w:t>
      </w:r>
      <w:r w:rsidR="00476630">
        <w:rPr>
          <w:rFonts w:ascii="Arial" w:hAnsi="Arial" w:cs="Arial"/>
          <w:sz w:val="20"/>
          <w:szCs w:val="20"/>
        </w:rPr>
        <w:t>Zamestnanci</w:t>
      </w:r>
      <w:r w:rsidR="00476630" w:rsidRPr="004B33AE">
        <w:rPr>
          <w:rFonts w:ascii="Arial" w:hAnsi="Arial" w:cs="Arial"/>
          <w:sz w:val="20"/>
          <w:szCs w:val="20"/>
        </w:rPr>
        <w:t xml:space="preserve"> </w:t>
      </w:r>
      <w:r w:rsidRPr="004B33AE">
        <w:rPr>
          <w:rFonts w:ascii="Arial" w:hAnsi="Arial" w:cs="Arial"/>
          <w:sz w:val="20"/>
          <w:szCs w:val="20"/>
        </w:rPr>
        <w:t>oddelenia individuálnych projektov sú priamo zapojení do prípravy a implementácie projektov technickej pomoci a zamestnanci oddelenia podporných činností zabezpečujú nevyhnutné aktivity potrebné pre podporu implementácie projektov technickej asistencie, výkazníctva a koordináciu poskytovania informácií verejnosti za riadiaci orgán.</w:t>
      </w:r>
      <w:r w:rsidRPr="004B33AE">
        <w:rPr>
          <w:rFonts w:ascii="Arial" w:hAnsi="Arial" w:cs="Arial"/>
          <w:sz w:val="20"/>
          <w:szCs w:val="20"/>
          <w:u w:val="single"/>
        </w:rPr>
        <w:t xml:space="preserve"> </w:t>
      </w:r>
    </w:p>
    <w:p w:rsidR="002416B1" w:rsidRPr="004B33AE" w:rsidRDefault="002416B1" w:rsidP="00507035">
      <w:pPr>
        <w:spacing w:before="120" w:after="120" w:line="360" w:lineRule="auto"/>
        <w:jc w:val="both"/>
        <w:rPr>
          <w:rFonts w:ascii="Arial" w:hAnsi="Arial" w:cs="Arial"/>
          <w:sz w:val="20"/>
          <w:szCs w:val="20"/>
        </w:rPr>
      </w:pPr>
      <w:r w:rsidRPr="004B33AE">
        <w:rPr>
          <w:rFonts w:ascii="Arial" w:hAnsi="Arial" w:cs="Arial"/>
          <w:sz w:val="20"/>
          <w:szCs w:val="20"/>
        </w:rPr>
        <w:t xml:space="preserve">O druhu a počte pracovných pozícií administratívnych kapacít RO a platobnej jednotky v oblasti ŠF a KF pojednáva tabuľka č. </w:t>
      </w:r>
      <w:r w:rsidR="00A17B54">
        <w:rPr>
          <w:rFonts w:ascii="Arial" w:hAnsi="Arial" w:cs="Arial"/>
          <w:sz w:val="20"/>
          <w:szCs w:val="20"/>
        </w:rPr>
        <w:t>3</w:t>
      </w:r>
      <w:r w:rsidR="00570976">
        <w:rPr>
          <w:rFonts w:ascii="Arial" w:hAnsi="Arial" w:cs="Arial"/>
          <w:sz w:val="20"/>
          <w:szCs w:val="20"/>
        </w:rPr>
        <w:t>3</w:t>
      </w:r>
      <w:r w:rsidR="00A17B54" w:rsidRPr="004B33AE">
        <w:rPr>
          <w:rFonts w:ascii="Arial" w:hAnsi="Arial" w:cs="Arial"/>
          <w:sz w:val="20"/>
          <w:szCs w:val="20"/>
        </w:rPr>
        <w:t xml:space="preserve"> </w:t>
      </w:r>
      <w:r w:rsidRPr="004B33AE">
        <w:rPr>
          <w:rFonts w:ascii="Arial" w:hAnsi="Arial" w:cs="Arial"/>
          <w:sz w:val="20"/>
          <w:szCs w:val="20"/>
        </w:rPr>
        <w:t xml:space="preserve">a </w:t>
      </w:r>
      <w:r w:rsidR="00A17B54">
        <w:rPr>
          <w:rFonts w:ascii="Arial" w:hAnsi="Arial" w:cs="Arial"/>
          <w:sz w:val="20"/>
          <w:szCs w:val="20"/>
        </w:rPr>
        <w:t>3</w:t>
      </w:r>
      <w:r w:rsidR="00570976">
        <w:rPr>
          <w:rFonts w:ascii="Arial" w:hAnsi="Arial" w:cs="Arial"/>
          <w:sz w:val="20"/>
          <w:szCs w:val="20"/>
        </w:rPr>
        <w:t>4</w:t>
      </w:r>
      <w:r w:rsidRPr="004B33AE">
        <w:rPr>
          <w:rFonts w:ascii="Arial" w:hAnsi="Arial" w:cs="Arial"/>
          <w:sz w:val="20"/>
          <w:szCs w:val="20"/>
        </w:rPr>
        <w:t>.</w:t>
      </w:r>
    </w:p>
    <w:p w:rsidR="002416B1" w:rsidRPr="004B33AE" w:rsidRDefault="002416B1" w:rsidP="0076276F">
      <w:pPr>
        <w:spacing w:line="360" w:lineRule="auto"/>
        <w:jc w:val="both"/>
        <w:rPr>
          <w:rFonts w:ascii="Arial" w:hAnsi="Arial" w:cs="Arial"/>
          <w:sz w:val="20"/>
          <w:szCs w:val="20"/>
        </w:rPr>
      </w:pPr>
      <w:r w:rsidRPr="004B33AE">
        <w:rPr>
          <w:rFonts w:ascii="Arial" w:hAnsi="Arial" w:cs="Arial"/>
          <w:sz w:val="20"/>
          <w:szCs w:val="20"/>
        </w:rPr>
        <w:t xml:space="preserve">Tab. č. </w:t>
      </w:r>
      <w:r w:rsidR="007B7519">
        <w:rPr>
          <w:rFonts w:ascii="Arial" w:hAnsi="Arial" w:cs="Arial"/>
          <w:sz w:val="20"/>
          <w:szCs w:val="20"/>
        </w:rPr>
        <w:t>34</w:t>
      </w:r>
      <w:r w:rsidRPr="004B33AE">
        <w:rPr>
          <w:rFonts w:ascii="Arial" w:hAnsi="Arial" w:cs="Arial"/>
          <w:sz w:val="20"/>
          <w:szCs w:val="20"/>
        </w:rPr>
        <w:t>: Administratívne kapacity riadiaceho orgánu mimo platobnej jednotky</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3299"/>
        <w:gridCol w:w="759"/>
        <w:gridCol w:w="1391"/>
        <w:gridCol w:w="1087"/>
        <w:gridCol w:w="1276"/>
        <w:gridCol w:w="1288"/>
      </w:tblGrid>
      <w:tr w:rsidR="00536040" w:rsidRPr="00A82EA5" w:rsidTr="00536040">
        <w:trPr>
          <w:trHeight w:val="20"/>
          <w:jc w:val="center"/>
        </w:trPr>
        <w:tc>
          <w:tcPr>
            <w:tcW w:w="3299" w:type="dxa"/>
            <w:tcBorders>
              <w:bottom w:val="single" w:sz="4" w:space="0" w:color="auto"/>
            </w:tcBorders>
            <w:shd w:val="clear" w:color="auto" w:fill="D6E3BC"/>
            <w:noWrap/>
            <w:tcMar>
              <w:top w:w="15" w:type="dxa"/>
              <w:left w:w="15" w:type="dxa"/>
              <w:bottom w:w="0" w:type="dxa"/>
              <w:right w:w="15" w:type="dxa"/>
            </w:tcMar>
            <w:vAlign w:val="center"/>
          </w:tcPr>
          <w:p w:rsidR="00A82EA5" w:rsidRPr="0039268C" w:rsidRDefault="00A82EA5" w:rsidP="0076276F">
            <w:pPr>
              <w:jc w:val="center"/>
              <w:rPr>
                <w:rFonts w:ascii="Arial" w:hAnsi="Arial" w:cs="Arial"/>
                <w:b/>
                <w:sz w:val="18"/>
                <w:szCs w:val="18"/>
                <w:lang w:eastAsia="cs-CZ"/>
              </w:rPr>
            </w:pPr>
            <w:r w:rsidRPr="0039268C">
              <w:rPr>
                <w:rFonts w:ascii="Arial" w:hAnsi="Arial" w:cs="Arial"/>
                <w:b/>
                <w:sz w:val="18"/>
                <w:szCs w:val="18"/>
                <w:lang w:eastAsia="cs-CZ"/>
              </w:rPr>
              <w:t>Pozícia</w:t>
            </w:r>
          </w:p>
        </w:tc>
        <w:tc>
          <w:tcPr>
            <w:tcW w:w="759" w:type="dxa"/>
            <w:tcBorders>
              <w:bottom w:val="single" w:sz="4" w:space="0" w:color="auto"/>
            </w:tcBorders>
            <w:shd w:val="clear" w:color="auto" w:fill="D6E3BC"/>
            <w:tcMar>
              <w:top w:w="15" w:type="dxa"/>
              <w:left w:w="15" w:type="dxa"/>
              <w:bottom w:w="0" w:type="dxa"/>
              <w:right w:w="15" w:type="dxa"/>
            </w:tcMar>
            <w:vAlign w:val="center"/>
          </w:tcPr>
          <w:p w:rsidR="00A82EA5" w:rsidRPr="0039268C" w:rsidRDefault="00A82EA5" w:rsidP="0076276F">
            <w:pPr>
              <w:jc w:val="center"/>
              <w:rPr>
                <w:rFonts w:ascii="Arial" w:hAnsi="Arial" w:cs="Arial"/>
                <w:b/>
                <w:sz w:val="18"/>
                <w:szCs w:val="18"/>
                <w:lang w:eastAsia="cs-CZ"/>
              </w:rPr>
            </w:pPr>
            <w:r w:rsidRPr="0039268C">
              <w:rPr>
                <w:rFonts w:ascii="Arial" w:hAnsi="Arial" w:cs="Arial"/>
                <w:b/>
                <w:sz w:val="18"/>
                <w:szCs w:val="18"/>
                <w:lang w:eastAsia="cs-CZ"/>
              </w:rPr>
              <w:t xml:space="preserve">Stav k 31. 12. </w:t>
            </w:r>
            <w:r w:rsidRPr="0039268C">
              <w:rPr>
                <w:rFonts w:ascii="Arial" w:hAnsi="Arial" w:cs="Arial"/>
                <w:b/>
                <w:bCs/>
                <w:sz w:val="18"/>
                <w:szCs w:val="18"/>
                <w:lang w:eastAsia="cs-CZ"/>
              </w:rPr>
              <w:t>2011</w:t>
            </w:r>
          </w:p>
        </w:tc>
        <w:tc>
          <w:tcPr>
            <w:tcW w:w="1391" w:type="dxa"/>
            <w:tcBorders>
              <w:bottom w:val="single" w:sz="4" w:space="0" w:color="auto"/>
            </w:tcBorders>
            <w:shd w:val="clear" w:color="auto" w:fill="D6E3BC"/>
            <w:vAlign w:val="center"/>
          </w:tcPr>
          <w:p w:rsidR="00A82EA5" w:rsidRPr="0039268C" w:rsidRDefault="00A82EA5" w:rsidP="0076276F">
            <w:pPr>
              <w:jc w:val="center"/>
              <w:rPr>
                <w:rFonts w:ascii="Arial" w:hAnsi="Arial" w:cs="Arial"/>
                <w:b/>
                <w:sz w:val="18"/>
                <w:szCs w:val="18"/>
                <w:lang w:eastAsia="cs-CZ"/>
              </w:rPr>
            </w:pPr>
            <w:r w:rsidRPr="0039268C">
              <w:rPr>
                <w:rFonts w:ascii="Arial" w:hAnsi="Arial" w:cs="Arial"/>
                <w:b/>
                <w:bCs/>
                <w:sz w:val="18"/>
                <w:szCs w:val="18"/>
                <w:lang w:eastAsia="cs-CZ"/>
              </w:rPr>
              <w:t>Plánovaný stav k 31. 12. 2012</w:t>
            </w:r>
          </w:p>
        </w:tc>
        <w:tc>
          <w:tcPr>
            <w:tcW w:w="1087" w:type="dxa"/>
            <w:tcBorders>
              <w:bottom w:val="single" w:sz="4" w:space="0" w:color="auto"/>
            </w:tcBorders>
            <w:shd w:val="clear" w:color="auto" w:fill="D6E3BC"/>
            <w:vAlign w:val="center"/>
          </w:tcPr>
          <w:p w:rsidR="00A82EA5" w:rsidRPr="0039268C" w:rsidRDefault="00A82EA5" w:rsidP="0076276F">
            <w:pPr>
              <w:jc w:val="center"/>
              <w:rPr>
                <w:rFonts w:ascii="Arial" w:hAnsi="Arial" w:cs="Arial"/>
                <w:b/>
                <w:sz w:val="18"/>
                <w:szCs w:val="18"/>
                <w:lang w:eastAsia="cs-CZ"/>
              </w:rPr>
            </w:pPr>
            <w:r w:rsidRPr="0039268C">
              <w:rPr>
                <w:rFonts w:ascii="Arial" w:hAnsi="Arial" w:cs="Arial"/>
                <w:b/>
                <w:sz w:val="18"/>
                <w:szCs w:val="18"/>
                <w:lang w:eastAsia="cs-CZ"/>
              </w:rPr>
              <w:t>Stav k 31. 12.</w:t>
            </w:r>
            <w:r w:rsidRPr="0039268C">
              <w:rPr>
                <w:rFonts w:ascii="Arial" w:hAnsi="Arial" w:cs="Arial"/>
                <w:b/>
                <w:bCs/>
                <w:sz w:val="18"/>
                <w:szCs w:val="18"/>
                <w:lang w:eastAsia="cs-CZ"/>
              </w:rPr>
              <w:t xml:space="preserve"> 2012</w:t>
            </w:r>
          </w:p>
        </w:tc>
        <w:tc>
          <w:tcPr>
            <w:tcW w:w="1276" w:type="dxa"/>
            <w:tcBorders>
              <w:bottom w:val="single" w:sz="4" w:space="0" w:color="auto"/>
            </w:tcBorders>
            <w:shd w:val="clear" w:color="auto" w:fill="D6E3BC"/>
            <w:vAlign w:val="center"/>
          </w:tcPr>
          <w:p w:rsidR="00A82EA5" w:rsidRPr="0039268C" w:rsidRDefault="00A82EA5" w:rsidP="0076276F">
            <w:pPr>
              <w:jc w:val="center"/>
              <w:rPr>
                <w:rFonts w:ascii="Arial" w:hAnsi="Arial" w:cs="Arial"/>
                <w:b/>
                <w:sz w:val="18"/>
                <w:szCs w:val="18"/>
                <w:lang w:eastAsia="cs-CZ"/>
              </w:rPr>
            </w:pPr>
            <w:r w:rsidRPr="0039268C">
              <w:rPr>
                <w:rFonts w:ascii="Arial" w:hAnsi="Arial" w:cs="Arial"/>
                <w:b/>
                <w:bCs/>
                <w:sz w:val="18"/>
                <w:szCs w:val="18"/>
                <w:lang w:eastAsia="cs-CZ"/>
              </w:rPr>
              <w:t>% plánovaného stavu</w:t>
            </w:r>
          </w:p>
        </w:tc>
        <w:tc>
          <w:tcPr>
            <w:tcW w:w="1288" w:type="dxa"/>
            <w:tcBorders>
              <w:bottom w:val="single" w:sz="4" w:space="0" w:color="auto"/>
            </w:tcBorders>
            <w:shd w:val="clear" w:color="auto" w:fill="D6E3BC"/>
            <w:noWrap/>
            <w:tcMar>
              <w:top w:w="15" w:type="dxa"/>
              <w:left w:w="15" w:type="dxa"/>
              <w:bottom w:w="0" w:type="dxa"/>
              <w:right w:w="15" w:type="dxa"/>
            </w:tcMar>
            <w:vAlign w:val="center"/>
          </w:tcPr>
          <w:p w:rsidR="00A82EA5" w:rsidRPr="0039268C" w:rsidRDefault="00A82EA5" w:rsidP="0076276F">
            <w:pPr>
              <w:jc w:val="center"/>
              <w:rPr>
                <w:rFonts w:ascii="Arial" w:hAnsi="Arial" w:cs="Arial"/>
                <w:b/>
                <w:sz w:val="18"/>
                <w:szCs w:val="18"/>
                <w:lang w:eastAsia="cs-CZ"/>
              </w:rPr>
            </w:pPr>
            <w:r w:rsidRPr="0039268C">
              <w:rPr>
                <w:rFonts w:ascii="Arial" w:hAnsi="Arial" w:cs="Arial"/>
                <w:b/>
                <w:sz w:val="18"/>
                <w:szCs w:val="18"/>
                <w:lang w:eastAsia="cs-CZ"/>
              </w:rPr>
              <w:t>Potrebné prijať</w:t>
            </w:r>
          </w:p>
        </w:tc>
      </w:tr>
      <w:tr w:rsidR="00536040" w:rsidRPr="00A82EA5" w:rsidTr="00536040">
        <w:trPr>
          <w:trHeight w:val="20"/>
          <w:jc w:val="center"/>
        </w:trPr>
        <w:tc>
          <w:tcPr>
            <w:tcW w:w="3299" w:type="dxa"/>
            <w:shd w:val="clear" w:color="auto" w:fill="EAF1DD"/>
            <w:noWrap/>
            <w:tcMar>
              <w:top w:w="15" w:type="dxa"/>
              <w:left w:w="15" w:type="dxa"/>
              <w:bottom w:w="0" w:type="dxa"/>
              <w:right w:w="15" w:type="dxa"/>
            </w:tcMar>
            <w:vAlign w:val="center"/>
          </w:tcPr>
          <w:p w:rsidR="00A82EA5" w:rsidRPr="0039268C" w:rsidRDefault="00A82EA5" w:rsidP="0076276F">
            <w:pPr>
              <w:spacing w:line="360" w:lineRule="auto"/>
              <w:jc w:val="center"/>
              <w:rPr>
                <w:rFonts w:ascii="Arial" w:hAnsi="Arial" w:cs="Arial"/>
                <w:b/>
                <w:sz w:val="18"/>
                <w:szCs w:val="18"/>
                <w:lang w:eastAsia="cs-CZ"/>
              </w:rPr>
            </w:pPr>
            <w:r w:rsidRPr="0039268C">
              <w:rPr>
                <w:rFonts w:ascii="Arial" w:hAnsi="Arial" w:cs="Arial"/>
                <w:b/>
                <w:sz w:val="18"/>
                <w:szCs w:val="18"/>
                <w:lang w:eastAsia="cs-CZ"/>
              </w:rPr>
              <w:t>A</w:t>
            </w:r>
          </w:p>
        </w:tc>
        <w:tc>
          <w:tcPr>
            <w:tcW w:w="759" w:type="dxa"/>
            <w:shd w:val="clear" w:color="auto" w:fill="EAF1DD"/>
            <w:tcMar>
              <w:top w:w="15" w:type="dxa"/>
              <w:left w:w="15" w:type="dxa"/>
              <w:bottom w:w="0" w:type="dxa"/>
              <w:right w:w="15" w:type="dxa"/>
            </w:tcMar>
            <w:vAlign w:val="center"/>
          </w:tcPr>
          <w:p w:rsidR="00A82EA5" w:rsidRPr="0039268C" w:rsidRDefault="00A82EA5" w:rsidP="0076276F">
            <w:pPr>
              <w:spacing w:line="360" w:lineRule="auto"/>
              <w:jc w:val="center"/>
              <w:rPr>
                <w:rFonts w:ascii="Arial" w:hAnsi="Arial" w:cs="Arial"/>
                <w:b/>
                <w:sz w:val="18"/>
                <w:szCs w:val="18"/>
                <w:lang w:eastAsia="cs-CZ"/>
              </w:rPr>
            </w:pPr>
            <w:r w:rsidRPr="0039268C">
              <w:rPr>
                <w:rFonts w:ascii="Arial" w:hAnsi="Arial" w:cs="Arial"/>
                <w:b/>
                <w:sz w:val="18"/>
                <w:szCs w:val="18"/>
                <w:lang w:eastAsia="cs-CZ"/>
              </w:rPr>
              <w:t>B</w:t>
            </w:r>
          </w:p>
        </w:tc>
        <w:tc>
          <w:tcPr>
            <w:tcW w:w="1391" w:type="dxa"/>
            <w:shd w:val="clear" w:color="auto" w:fill="EAF1DD"/>
            <w:vAlign w:val="center"/>
          </w:tcPr>
          <w:p w:rsidR="00A82EA5" w:rsidRPr="0039268C" w:rsidRDefault="00A82EA5" w:rsidP="0076276F">
            <w:pPr>
              <w:spacing w:line="360" w:lineRule="auto"/>
              <w:jc w:val="center"/>
              <w:rPr>
                <w:rFonts w:ascii="Arial" w:hAnsi="Arial" w:cs="Arial"/>
                <w:b/>
                <w:sz w:val="18"/>
                <w:szCs w:val="18"/>
                <w:lang w:eastAsia="cs-CZ"/>
              </w:rPr>
            </w:pPr>
            <w:r w:rsidRPr="0039268C">
              <w:rPr>
                <w:rFonts w:ascii="Arial" w:hAnsi="Arial" w:cs="Arial"/>
                <w:b/>
                <w:sz w:val="18"/>
                <w:szCs w:val="18"/>
                <w:lang w:eastAsia="cs-CZ"/>
              </w:rPr>
              <w:t>C</w:t>
            </w:r>
          </w:p>
        </w:tc>
        <w:tc>
          <w:tcPr>
            <w:tcW w:w="1087" w:type="dxa"/>
            <w:shd w:val="clear" w:color="auto" w:fill="EAF1DD"/>
            <w:vAlign w:val="center"/>
          </w:tcPr>
          <w:p w:rsidR="00A82EA5" w:rsidRPr="0039268C" w:rsidRDefault="00A82EA5" w:rsidP="0076276F">
            <w:pPr>
              <w:spacing w:line="360" w:lineRule="auto"/>
              <w:jc w:val="center"/>
              <w:rPr>
                <w:rFonts w:ascii="Arial" w:hAnsi="Arial" w:cs="Arial"/>
                <w:b/>
                <w:sz w:val="18"/>
                <w:szCs w:val="18"/>
                <w:lang w:eastAsia="cs-CZ"/>
              </w:rPr>
            </w:pPr>
            <w:r w:rsidRPr="0039268C">
              <w:rPr>
                <w:rFonts w:ascii="Arial" w:hAnsi="Arial" w:cs="Arial"/>
                <w:b/>
                <w:sz w:val="18"/>
                <w:szCs w:val="18"/>
                <w:lang w:eastAsia="cs-CZ"/>
              </w:rPr>
              <w:t>D</w:t>
            </w:r>
          </w:p>
        </w:tc>
        <w:tc>
          <w:tcPr>
            <w:tcW w:w="1276" w:type="dxa"/>
            <w:shd w:val="clear" w:color="auto" w:fill="EAF1DD"/>
            <w:vAlign w:val="center"/>
          </w:tcPr>
          <w:p w:rsidR="00A82EA5" w:rsidRPr="0039268C" w:rsidRDefault="00A82EA5" w:rsidP="0076276F">
            <w:pPr>
              <w:spacing w:line="360" w:lineRule="auto"/>
              <w:jc w:val="center"/>
              <w:rPr>
                <w:rFonts w:ascii="Arial" w:hAnsi="Arial" w:cs="Arial"/>
                <w:b/>
                <w:sz w:val="18"/>
                <w:szCs w:val="18"/>
                <w:lang w:eastAsia="cs-CZ"/>
              </w:rPr>
            </w:pPr>
            <w:r w:rsidRPr="0039268C">
              <w:rPr>
                <w:rFonts w:ascii="Arial" w:hAnsi="Arial" w:cs="Arial"/>
                <w:b/>
                <w:bCs/>
                <w:sz w:val="18"/>
                <w:szCs w:val="18"/>
                <w:lang w:eastAsia="cs-CZ"/>
              </w:rPr>
              <w:t>E=D/C</w:t>
            </w:r>
          </w:p>
        </w:tc>
        <w:tc>
          <w:tcPr>
            <w:tcW w:w="1288" w:type="dxa"/>
            <w:shd w:val="clear" w:color="auto" w:fill="EAF1DD"/>
            <w:noWrap/>
            <w:tcMar>
              <w:top w:w="15" w:type="dxa"/>
              <w:left w:w="15" w:type="dxa"/>
              <w:bottom w:w="0" w:type="dxa"/>
              <w:right w:w="15" w:type="dxa"/>
            </w:tcMar>
            <w:vAlign w:val="center"/>
          </w:tcPr>
          <w:p w:rsidR="00A82EA5" w:rsidRPr="0039268C" w:rsidRDefault="00A82EA5" w:rsidP="0076276F">
            <w:pPr>
              <w:spacing w:line="360" w:lineRule="auto"/>
              <w:jc w:val="center"/>
              <w:rPr>
                <w:rFonts w:ascii="Arial" w:hAnsi="Arial" w:cs="Arial"/>
                <w:b/>
                <w:sz w:val="18"/>
                <w:szCs w:val="18"/>
                <w:lang w:eastAsia="cs-CZ"/>
              </w:rPr>
            </w:pPr>
            <w:r w:rsidRPr="0039268C">
              <w:rPr>
                <w:rFonts w:ascii="Arial" w:hAnsi="Arial" w:cs="Arial"/>
                <w:b/>
                <w:sz w:val="18"/>
                <w:szCs w:val="18"/>
                <w:lang w:eastAsia="cs-CZ"/>
              </w:rPr>
              <w:t>F</w:t>
            </w:r>
          </w:p>
        </w:tc>
      </w:tr>
      <w:tr w:rsidR="00A82EA5" w:rsidRPr="00A82EA5" w:rsidTr="0039268C">
        <w:trPr>
          <w:trHeight w:val="20"/>
          <w:jc w:val="center"/>
        </w:trPr>
        <w:tc>
          <w:tcPr>
            <w:tcW w:w="3299" w:type="dxa"/>
            <w:shd w:val="clear" w:color="auto" w:fill="auto"/>
            <w:noWrap/>
            <w:tcMar>
              <w:top w:w="15" w:type="dxa"/>
              <w:left w:w="15" w:type="dxa"/>
              <w:bottom w:w="0" w:type="dxa"/>
              <w:right w:w="15" w:type="dxa"/>
            </w:tcMar>
            <w:vAlign w:val="center"/>
          </w:tcPr>
          <w:p w:rsidR="00A82EA5" w:rsidRPr="0039268C" w:rsidRDefault="00A82EA5" w:rsidP="0076276F">
            <w:pPr>
              <w:spacing w:line="360" w:lineRule="auto"/>
              <w:jc w:val="both"/>
              <w:rPr>
                <w:rFonts w:ascii="Arial" w:hAnsi="Arial" w:cs="Arial"/>
                <w:sz w:val="18"/>
                <w:szCs w:val="18"/>
                <w:lang w:eastAsia="cs-CZ"/>
              </w:rPr>
            </w:pPr>
            <w:r w:rsidRPr="0039268C">
              <w:rPr>
                <w:rFonts w:ascii="Arial" w:hAnsi="Arial" w:cs="Arial"/>
                <w:sz w:val="18"/>
                <w:szCs w:val="18"/>
                <w:lang w:eastAsia="cs-CZ"/>
              </w:rPr>
              <w:t>generálny riaditeľ</w:t>
            </w:r>
          </w:p>
        </w:tc>
        <w:tc>
          <w:tcPr>
            <w:tcW w:w="759" w:type="dxa"/>
            <w:shd w:val="clear" w:color="auto" w:fill="auto"/>
            <w:tcMar>
              <w:top w:w="15" w:type="dxa"/>
              <w:left w:w="15" w:type="dxa"/>
              <w:bottom w:w="0" w:type="dxa"/>
              <w:right w:w="15" w:type="dxa"/>
            </w:tcMar>
            <w:vAlign w:val="center"/>
          </w:tcPr>
          <w:p w:rsidR="00A82EA5" w:rsidRPr="0039268C" w:rsidRDefault="00A82EA5" w:rsidP="0076276F">
            <w:pPr>
              <w:spacing w:line="360" w:lineRule="auto"/>
              <w:jc w:val="center"/>
              <w:rPr>
                <w:rFonts w:ascii="Arial" w:hAnsi="Arial" w:cs="Arial"/>
                <w:sz w:val="18"/>
                <w:szCs w:val="18"/>
                <w:lang w:eastAsia="cs-CZ"/>
              </w:rPr>
            </w:pPr>
            <w:r w:rsidRPr="0039268C">
              <w:rPr>
                <w:rFonts w:ascii="Arial" w:hAnsi="Arial" w:cs="Arial"/>
                <w:sz w:val="18"/>
                <w:szCs w:val="18"/>
                <w:lang w:eastAsia="cs-CZ"/>
              </w:rPr>
              <w:t>1</w:t>
            </w:r>
          </w:p>
        </w:tc>
        <w:tc>
          <w:tcPr>
            <w:tcW w:w="1391" w:type="dxa"/>
            <w:vAlign w:val="center"/>
          </w:tcPr>
          <w:p w:rsidR="00A82EA5" w:rsidRPr="0039268C" w:rsidRDefault="00A82EA5" w:rsidP="0076276F">
            <w:pPr>
              <w:spacing w:line="360" w:lineRule="auto"/>
              <w:jc w:val="center"/>
              <w:rPr>
                <w:rFonts w:ascii="Arial" w:hAnsi="Arial" w:cs="Arial"/>
                <w:sz w:val="18"/>
                <w:szCs w:val="18"/>
                <w:lang w:eastAsia="cs-CZ"/>
              </w:rPr>
            </w:pPr>
            <w:r w:rsidRPr="0039268C">
              <w:rPr>
                <w:rFonts w:ascii="Arial" w:hAnsi="Arial" w:cs="Arial"/>
                <w:sz w:val="18"/>
                <w:szCs w:val="18"/>
                <w:lang w:eastAsia="cs-CZ"/>
              </w:rPr>
              <w:t>1</w:t>
            </w:r>
          </w:p>
        </w:tc>
        <w:tc>
          <w:tcPr>
            <w:tcW w:w="1087" w:type="dxa"/>
            <w:shd w:val="clear" w:color="auto" w:fill="auto"/>
            <w:vAlign w:val="center"/>
          </w:tcPr>
          <w:p w:rsidR="00A82EA5" w:rsidRPr="0039268C" w:rsidRDefault="00A82EA5" w:rsidP="0076276F">
            <w:pPr>
              <w:spacing w:line="360" w:lineRule="auto"/>
              <w:jc w:val="center"/>
              <w:rPr>
                <w:rFonts w:ascii="Arial" w:hAnsi="Arial" w:cs="Arial"/>
                <w:sz w:val="18"/>
                <w:szCs w:val="18"/>
                <w:lang w:eastAsia="cs-CZ"/>
              </w:rPr>
            </w:pPr>
            <w:r w:rsidRPr="0039268C">
              <w:rPr>
                <w:rFonts w:ascii="Arial" w:hAnsi="Arial" w:cs="Arial"/>
                <w:sz w:val="18"/>
                <w:szCs w:val="18"/>
                <w:lang w:eastAsia="cs-CZ"/>
              </w:rPr>
              <w:t>1</w:t>
            </w:r>
          </w:p>
        </w:tc>
        <w:tc>
          <w:tcPr>
            <w:tcW w:w="1276" w:type="dxa"/>
            <w:vAlign w:val="center"/>
          </w:tcPr>
          <w:p w:rsidR="00A82EA5" w:rsidRPr="0039268C" w:rsidRDefault="00A82EA5" w:rsidP="0076276F">
            <w:pPr>
              <w:spacing w:line="360" w:lineRule="auto"/>
              <w:jc w:val="center"/>
              <w:rPr>
                <w:rFonts w:ascii="Arial" w:hAnsi="Arial" w:cs="Arial"/>
                <w:sz w:val="18"/>
                <w:szCs w:val="18"/>
                <w:lang w:eastAsia="cs-CZ"/>
              </w:rPr>
            </w:pPr>
            <w:r w:rsidRPr="0039268C">
              <w:rPr>
                <w:rFonts w:ascii="Arial" w:hAnsi="Arial" w:cs="Arial"/>
                <w:sz w:val="18"/>
                <w:szCs w:val="18"/>
                <w:lang w:eastAsia="cs-CZ"/>
              </w:rPr>
              <w:t>100%</w:t>
            </w:r>
          </w:p>
        </w:tc>
        <w:tc>
          <w:tcPr>
            <w:tcW w:w="1288" w:type="dxa"/>
            <w:shd w:val="clear" w:color="auto" w:fill="auto"/>
            <w:noWrap/>
            <w:tcMar>
              <w:top w:w="15" w:type="dxa"/>
              <w:left w:w="15" w:type="dxa"/>
              <w:bottom w:w="0" w:type="dxa"/>
              <w:right w:w="15" w:type="dxa"/>
            </w:tcMar>
            <w:vAlign w:val="center"/>
          </w:tcPr>
          <w:p w:rsidR="00A82EA5" w:rsidRPr="0039268C" w:rsidRDefault="00A82EA5" w:rsidP="0076276F">
            <w:pPr>
              <w:spacing w:line="360" w:lineRule="auto"/>
              <w:jc w:val="center"/>
              <w:rPr>
                <w:rFonts w:ascii="Arial" w:hAnsi="Arial" w:cs="Arial"/>
                <w:sz w:val="18"/>
                <w:szCs w:val="18"/>
                <w:lang w:eastAsia="cs-CZ"/>
              </w:rPr>
            </w:pPr>
          </w:p>
        </w:tc>
      </w:tr>
      <w:tr w:rsidR="00A82EA5" w:rsidRPr="00A82EA5" w:rsidTr="0039268C">
        <w:trPr>
          <w:trHeight w:val="20"/>
          <w:jc w:val="center"/>
        </w:trPr>
        <w:tc>
          <w:tcPr>
            <w:tcW w:w="3299" w:type="dxa"/>
            <w:shd w:val="clear" w:color="auto" w:fill="auto"/>
            <w:noWrap/>
            <w:tcMar>
              <w:top w:w="15" w:type="dxa"/>
              <w:left w:w="15" w:type="dxa"/>
              <w:bottom w:w="0" w:type="dxa"/>
              <w:right w:w="15" w:type="dxa"/>
            </w:tcMar>
            <w:vAlign w:val="center"/>
          </w:tcPr>
          <w:p w:rsidR="00A82EA5" w:rsidRPr="0039268C" w:rsidRDefault="00A82EA5" w:rsidP="0076276F">
            <w:pPr>
              <w:spacing w:line="360" w:lineRule="auto"/>
              <w:jc w:val="both"/>
              <w:rPr>
                <w:rFonts w:ascii="Arial" w:hAnsi="Arial" w:cs="Arial"/>
                <w:sz w:val="18"/>
                <w:szCs w:val="18"/>
                <w:lang w:eastAsia="cs-CZ"/>
              </w:rPr>
            </w:pPr>
            <w:r w:rsidRPr="0039268C">
              <w:rPr>
                <w:rFonts w:ascii="Arial" w:hAnsi="Arial" w:cs="Arial"/>
                <w:sz w:val="18"/>
                <w:szCs w:val="18"/>
                <w:lang w:eastAsia="cs-CZ"/>
              </w:rPr>
              <w:t>riaditeľ odboru</w:t>
            </w:r>
          </w:p>
        </w:tc>
        <w:tc>
          <w:tcPr>
            <w:tcW w:w="759" w:type="dxa"/>
            <w:shd w:val="clear" w:color="auto" w:fill="auto"/>
            <w:noWrap/>
            <w:tcMar>
              <w:top w:w="15" w:type="dxa"/>
              <w:left w:w="15" w:type="dxa"/>
              <w:bottom w:w="0" w:type="dxa"/>
              <w:right w:w="15" w:type="dxa"/>
            </w:tcMar>
            <w:vAlign w:val="center"/>
          </w:tcPr>
          <w:p w:rsidR="00A82EA5" w:rsidRPr="0039268C" w:rsidRDefault="00A82EA5" w:rsidP="0076276F">
            <w:pPr>
              <w:spacing w:line="360" w:lineRule="auto"/>
              <w:jc w:val="center"/>
              <w:rPr>
                <w:rFonts w:ascii="Arial" w:hAnsi="Arial" w:cs="Arial"/>
                <w:sz w:val="18"/>
                <w:szCs w:val="18"/>
                <w:lang w:eastAsia="cs-CZ"/>
              </w:rPr>
            </w:pPr>
            <w:r w:rsidRPr="0039268C">
              <w:rPr>
                <w:rFonts w:ascii="Arial" w:hAnsi="Arial" w:cs="Arial"/>
                <w:sz w:val="18"/>
                <w:szCs w:val="18"/>
                <w:lang w:eastAsia="cs-CZ"/>
              </w:rPr>
              <w:t>4</w:t>
            </w:r>
          </w:p>
        </w:tc>
        <w:tc>
          <w:tcPr>
            <w:tcW w:w="1391" w:type="dxa"/>
            <w:vAlign w:val="center"/>
          </w:tcPr>
          <w:p w:rsidR="00A82EA5" w:rsidRPr="0039268C" w:rsidRDefault="00A82EA5" w:rsidP="0076276F">
            <w:pPr>
              <w:spacing w:line="360" w:lineRule="auto"/>
              <w:jc w:val="center"/>
              <w:rPr>
                <w:rFonts w:ascii="Arial" w:hAnsi="Arial" w:cs="Arial"/>
                <w:sz w:val="18"/>
                <w:szCs w:val="18"/>
                <w:lang w:eastAsia="cs-CZ"/>
              </w:rPr>
            </w:pPr>
            <w:r w:rsidRPr="0039268C">
              <w:rPr>
                <w:rFonts w:ascii="Arial" w:hAnsi="Arial" w:cs="Arial"/>
                <w:sz w:val="18"/>
                <w:szCs w:val="18"/>
                <w:lang w:eastAsia="cs-CZ"/>
              </w:rPr>
              <w:t>4</w:t>
            </w:r>
          </w:p>
        </w:tc>
        <w:tc>
          <w:tcPr>
            <w:tcW w:w="1087" w:type="dxa"/>
            <w:shd w:val="clear" w:color="auto" w:fill="auto"/>
            <w:vAlign w:val="center"/>
          </w:tcPr>
          <w:p w:rsidR="00A82EA5" w:rsidRPr="0039268C" w:rsidRDefault="00A82EA5" w:rsidP="0076276F">
            <w:pPr>
              <w:spacing w:line="360" w:lineRule="auto"/>
              <w:jc w:val="center"/>
              <w:rPr>
                <w:rFonts w:ascii="Arial" w:hAnsi="Arial" w:cs="Arial"/>
                <w:sz w:val="18"/>
                <w:szCs w:val="18"/>
                <w:lang w:eastAsia="cs-CZ"/>
              </w:rPr>
            </w:pPr>
            <w:r w:rsidRPr="0039268C">
              <w:rPr>
                <w:rFonts w:ascii="Arial" w:hAnsi="Arial" w:cs="Arial"/>
                <w:sz w:val="18"/>
                <w:szCs w:val="18"/>
                <w:lang w:eastAsia="cs-CZ"/>
              </w:rPr>
              <w:t>4</w:t>
            </w:r>
          </w:p>
        </w:tc>
        <w:tc>
          <w:tcPr>
            <w:tcW w:w="1276" w:type="dxa"/>
            <w:vAlign w:val="center"/>
          </w:tcPr>
          <w:p w:rsidR="00A82EA5" w:rsidRPr="0039268C" w:rsidRDefault="00A82EA5" w:rsidP="0076276F">
            <w:pPr>
              <w:spacing w:line="360" w:lineRule="auto"/>
              <w:jc w:val="center"/>
              <w:rPr>
                <w:rFonts w:ascii="Arial" w:hAnsi="Arial" w:cs="Arial"/>
                <w:sz w:val="18"/>
                <w:szCs w:val="18"/>
                <w:lang w:eastAsia="cs-CZ"/>
              </w:rPr>
            </w:pPr>
            <w:r w:rsidRPr="0039268C">
              <w:rPr>
                <w:rFonts w:ascii="Arial" w:hAnsi="Arial" w:cs="Arial"/>
                <w:sz w:val="18"/>
                <w:szCs w:val="18"/>
                <w:lang w:eastAsia="cs-CZ"/>
              </w:rPr>
              <w:t>100%</w:t>
            </w:r>
          </w:p>
        </w:tc>
        <w:tc>
          <w:tcPr>
            <w:tcW w:w="1288" w:type="dxa"/>
            <w:shd w:val="clear" w:color="auto" w:fill="auto"/>
            <w:noWrap/>
            <w:tcMar>
              <w:top w:w="15" w:type="dxa"/>
              <w:left w:w="15" w:type="dxa"/>
              <w:bottom w:w="0" w:type="dxa"/>
              <w:right w:w="15" w:type="dxa"/>
            </w:tcMar>
            <w:vAlign w:val="center"/>
          </w:tcPr>
          <w:p w:rsidR="00A82EA5" w:rsidRPr="0039268C" w:rsidRDefault="00A82EA5" w:rsidP="0076276F">
            <w:pPr>
              <w:spacing w:line="360" w:lineRule="auto"/>
              <w:jc w:val="center"/>
              <w:rPr>
                <w:rFonts w:ascii="Arial" w:hAnsi="Arial" w:cs="Arial"/>
                <w:sz w:val="18"/>
                <w:szCs w:val="18"/>
                <w:lang w:eastAsia="cs-CZ"/>
              </w:rPr>
            </w:pPr>
          </w:p>
        </w:tc>
      </w:tr>
      <w:tr w:rsidR="00A82EA5" w:rsidRPr="00A82EA5" w:rsidTr="0039268C">
        <w:trPr>
          <w:trHeight w:val="291"/>
          <w:jc w:val="center"/>
        </w:trPr>
        <w:tc>
          <w:tcPr>
            <w:tcW w:w="3299" w:type="dxa"/>
            <w:shd w:val="clear" w:color="auto" w:fill="auto"/>
            <w:noWrap/>
            <w:tcMar>
              <w:top w:w="15" w:type="dxa"/>
              <w:left w:w="15" w:type="dxa"/>
              <w:bottom w:w="0" w:type="dxa"/>
              <w:right w:w="15" w:type="dxa"/>
            </w:tcMar>
            <w:vAlign w:val="center"/>
          </w:tcPr>
          <w:p w:rsidR="00A82EA5" w:rsidRPr="0039268C" w:rsidRDefault="00A82EA5" w:rsidP="0076276F">
            <w:pPr>
              <w:spacing w:line="360" w:lineRule="auto"/>
              <w:jc w:val="both"/>
              <w:rPr>
                <w:rFonts w:ascii="Arial" w:hAnsi="Arial" w:cs="Arial"/>
                <w:sz w:val="18"/>
                <w:szCs w:val="18"/>
                <w:lang w:eastAsia="cs-CZ"/>
              </w:rPr>
            </w:pPr>
            <w:r w:rsidRPr="0039268C">
              <w:rPr>
                <w:rFonts w:ascii="Arial" w:hAnsi="Arial" w:cs="Arial"/>
                <w:sz w:val="18"/>
                <w:szCs w:val="18"/>
                <w:lang w:eastAsia="cs-CZ"/>
              </w:rPr>
              <w:t>vedúci oddelenia</w:t>
            </w:r>
          </w:p>
        </w:tc>
        <w:tc>
          <w:tcPr>
            <w:tcW w:w="759" w:type="dxa"/>
            <w:shd w:val="clear" w:color="auto" w:fill="auto"/>
            <w:noWrap/>
            <w:tcMar>
              <w:top w:w="15" w:type="dxa"/>
              <w:left w:w="15" w:type="dxa"/>
              <w:bottom w:w="0" w:type="dxa"/>
              <w:right w:w="15" w:type="dxa"/>
            </w:tcMar>
            <w:vAlign w:val="center"/>
          </w:tcPr>
          <w:p w:rsidR="00A82EA5" w:rsidRPr="0039268C" w:rsidRDefault="00A82EA5" w:rsidP="0076276F">
            <w:pPr>
              <w:spacing w:line="360" w:lineRule="auto"/>
              <w:jc w:val="center"/>
              <w:rPr>
                <w:rFonts w:ascii="Arial" w:hAnsi="Arial" w:cs="Arial"/>
                <w:sz w:val="18"/>
                <w:szCs w:val="18"/>
                <w:lang w:eastAsia="cs-CZ"/>
              </w:rPr>
            </w:pPr>
            <w:r w:rsidRPr="0039268C">
              <w:rPr>
                <w:rFonts w:ascii="Arial" w:hAnsi="Arial" w:cs="Arial"/>
                <w:sz w:val="18"/>
                <w:szCs w:val="18"/>
                <w:lang w:eastAsia="cs-CZ"/>
              </w:rPr>
              <w:t>6</w:t>
            </w:r>
          </w:p>
        </w:tc>
        <w:tc>
          <w:tcPr>
            <w:tcW w:w="1391" w:type="dxa"/>
            <w:vAlign w:val="center"/>
          </w:tcPr>
          <w:p w:rsidR="00A82EA5" w:rsidRPr="0039268C" w:rsidRDefault="00A82EA5" w:rsidP="0076276F">
            <w:pPr>
              <w:spacing w:line="360" w:lineRule="auto"/>
              <w:jc w:val="center"/>
              <w:rPr>
                <w:rFonts w:ascii="Arial" w:hAnsi="Arial" w:cs="Arial"/>
                <w:sz w:val="18"/>
                <w:szCs w:val="18"/>
                <w:lang w:eastAsia="cs-CZ"/>
              </w:rPr>
            </w:pPr>
            <w:r w:rsidRPr="0039268C">
              <w:rPr>
                <w:rFonts w:ascii="Arial" w:hAnsi="Arial" w:cs="Arial"/>
                <w:sz w:val="18"/>
                <w:szCs w:val="18"/>
                <w:lang w:eastAsia="cs-CZ"/>
              </w:rPr>
              <w:t>6</w:t>
            </w:r>
          </w:p>
        </w:tc>
        <w:tc>
          <w:tcPr>
            <w:tcW w:w="1087" w:type="dxa"/>
            <w:shd w:val="clear" w:color="auto" w:fill="auto"/>
            <w:vAlign w:val="center"/>
          </w:tcPr>
          <w:p w:rsidR="00A82EA5" w:rsidRPr="0039268C" w:rsidRDefault="00A82EA5" w:rsidP="0076276F">
            <w:pPr>
              <w:spacing w:line="360" w:lineRule="auto"/>
              <w:jc w:val="center"/>
              <w:rPr>
                <w:rFonts w:ascii="Arial" w:hAnsi="Arial" w:cs="Arial"/>
                <w:sz w:val="18"/>
                <w:szCs w:val="18"/>
                <w:lang w:eastAsia="cs-CZ"/>
              </w:rPr>
            </w:pPr>
            <w:r w:rsidRPr="0039268C">
              <w:rPr>
                <w:rFonts w:ascii="Arial" w:hAnsi="Arial" w:cs="Arial"/>
                <w:sz w:val="18"/>
                <w:szCs w:val="18"/>
                <w:lang w:eastAsia="cs-CZ"/>
              </w:rPr>
              <w:t>5</w:t>
            </w:r>
          </w:p>
        </w:tc>
        <w:tc>
          <w:tcPr>
            <w:tcW w:w="1276" w:type="dxa"/>
            <w:vAlign w:val="center"/>
          </w:tcPr>
          <w:p w:rsidR="00A82EA5" w:rsidRPr="0039268C" w:rsidRDefault="00A82EA5" w:rsidP="0076276F">
            <w:pPr>
              <w:spacing w:line="360" w:lineRule="auto"/>
              <w:jc w:val="center"/>
              <w:rPr>
                <w:rFonts w:ascii="Arial" w:hAnsi="Arial" w:cs="Arial"/>
                <w:sz w:val="18"/>
                <w:szCs w:val="18"/>
                <w:lang w:eastAsia="cs-CZ"/>
              </w:rPr>
            </w:pPr>
            <w:r w:rsidRPr="0039268C">
              <w:rPr>
                <w:rFonts w:ascii="Arial" w:hAnsi="Arial" w:cs="Arial"/>
                <w:sz w:val="18"/>
                <w:szCs w:val="18"/>
                <w:lang w:eastAsia="cs-CZ"/>
              </w:rPr>
              <w:t>83%</w:t>
            </w:r>
          </w:p>
        </w:tc>
        <w:tc>
          <w:tcPr>
            <w:tcW w:w="1288" w:type="dxa"/>
            <w:shd w:val="clear" w:color="auto" w:fill="auto"/>
            <w:noWrap/>
            <w:tcMar>
              <w:top w:w="15" w:type="dxa"/>
              <w:left w:w="15" w:type="dxa"/>
              <w:bottom w:w="0" w:type="dxa"/>
              <w:right w:w="15" w:type="dxa"/>
            </w:tcMar>
            <w:vAlign w:val="center"/>
          </w:tcPr>
          <w:p w:rsidR="00A82EA5" w:rsidRPr="0039268C" w:rsidRDefault="00A82EA5" w:rsidP="0076276F">
            <w:pPr>
              <w:spacing w:line="360" w:lineRule="auto"/>
              <w:jc w:val="center"/>
              <w:rPr>
                <w:rFonts w:ascii="Arial" w:hAnsi="Arial" w:cs="Arial"/>
                <w:sz w:val="18"/>
                <w:szCs w:val="18"/>
                <w:lang w:eastAsia="cs-CZ"/>
              </w:rPr>
            </w:pPr>
            <w:r w:rsidRPr="0039268C">
              <w:rPr>
                <w:rFonts w:ascii="Arial" w:hAnsi="Arial" w:cs="Arial"/>
                <w:sz w:val="18"/>
                <w:szCs w:val="18"/>
                <w:lang w:eastAsia="cs-CZ"/>
              </w:rPr>
              <w:t>1</w:t>
            </w:r>
          </w:p>
        </w:tc>
      </w:tr>
      <w:tr w:rsidR="00A82EA5" w:rsidRPr="00A82EA5" w:rsidTr="0039268C">
        <w:trPr>
          <w:trHeight w:val="20"/>
          <w:jc w:val="center"/>
        </w:trPr>
        <w:tc>
          <w:tcPr>
            <w:tcW w:w="3299" w:type="dxa"/>
            <w:shd w:val="clear" w:color="auto" w:fill="auto"/>
            <w:noWrap/>
            <w:tcMar>
              <w:top w:w="15" w:type="dxa"/>
              <w:left w:w="15" w:type="dxa"/>
              <w:bottom w:w="0" w:type="dxa"/>
              <w:right w:w="15" w:type="dxa"/>
            </w:tcMar>
            <w:vAlign w:val="center"/>
          </w:tcPr>
          <w:p w:rsidR="00A82EA5" w:rsidRPr="0039268C" w:rsidRDefault="00A82EA5" w:rsidP="0076276F">
            <w:pPr>
              <w:spacing w:line="360" w:lineRule="auto"/>
              <w:jc w:val="both"/>
              <w:rPr>
                <w:rFonts w:ascii="Arial" w:hAnsi="Arial" w:cs="Arial"/>
                <w:sz w:val="18"/>
                <w:szCs w:val="18"/>
                <w:lang w:eastAsia="cs-CZ"/>
              </w:rPr>
            </w:pPr>
            <w:r w:rsidRPr="0039268C">
              <w:rPr>
                <w:rFonts w:ascii="Arial" w:hAnsi="Arial" w:cs="Arial"/>
                <w:sz w:val="18"/>
                <w:szCs w:val="18"/>
                <w:lang w:eastAsia="cs-CZ"/>
              </w:rPr>
              <w:t>asistentka odboru/sekcie</w:t>
            </w:r>
          </w:p>
        </w:tc>
        <w:tc>
          <w:tcPr>
            <w:tcW w:w="759" w:type="dxa"/>
            <w:shd w:val="clear" w:color="auto" w:fill="auto"/>
            <w:noWrap/>
            <w:tcMar>
              <w:top w:w="15" w:type="dxa"/>
              <w:left w:w="15" w:type="dxa"/>
              <w:bottom w:w="0" w:type="dxa"/>
              <w:right w:w="15" w:type="dxa"/>
            </w:tcMar>
            <w:vAlign w:val="center"/>
          </w:tcPr>
          <w:p w:rsidR="00A82EA5" w:rsidRPr="0039268C" w:rsidRDefault="00A82EA5" w:rsidP="0076276F">
            <w:pPr>
              <w:spacing w:line="360" w:lineRule="auto"/>
              <w:jc w:val="center"/>
              <w:rPr>
                <w:rFonts w:ascii="Arial" w:hAnsi="Arial" w:cs="Arial"/>
                <w:sz w:val="18"/>
                <w:szCs w:val="18"/>
                <w:lang w:eastAsia="cs-CZ"/>
              </w:rPr>
            </w:pPr>
            <w:r w:rsidRPr="0039268C">
              <w:rPr>
                <w:rFonts w:ascii="Arial" w:hAnsi="Arial" w:cs="Arial"/>
                <w:sz w:val="18"/>
                <w:szCs w:val="18"/>
                <w:lang w:eastAsia="cs-CZ"/>
              </w:rPr>
              <w:t>5/2</w:t>
            </w:r>
          </w:p>
        </w:tc>
        <w:tc>
          <w:tcPr>
            <w:tcW w:w="1391" w:type="dxa"/>
            <w:vAlign w:val="center"/>
          </w:tcPr>
          <w:p w:rsidR="00A82EA5" w:rsidRPr="0039268C" w:rsidRDefault="00A82EA5" w:rsidP="0076276F">
            <w:pPr>
              <w:spacing w:line="360" w:lineRule="auto"/>
              <w:jc w:val="center"/>
              <w:rPr>
                <w:rFonts w:ascii="Arial" w:hAnsi="Arial" w:cs="Arial"/>
                <w:sz w:val="18"/>
                <w:szCs w:val="18"/>
                <w:lang w:eastAsia="cs-CZ"/>
              </w:rPr>
            </w:pPr>
            <w:r w:rsidRPr="0039268C">
              <w:rPr>
                <w:rFonts w:ascii="Arial" w:hAnsi="Arial" w:cs="Arial"/>
                <w:sz w:val="18"/>
                <w:szCs w:val="18"/>
                <w:lang w:eastAsia="cs-CZ"/>
              </w:rPr>
              <w:t>7</w:t>
            </w:r>
          </w:p>
        </w:tc>
        <w:tc>
          <w:tcPr>
            <w:tcW w:w="1087" w:type="dxa"/>
            <w:shd w:val="clear" w:color="auto" w:fill="auto"/>
            <w:vAlign w:val="center"/>
          </w:tcPr>
          <w:p w:rsidR="00A82EA5" w:rsidRPr="0039268C" w:rsidRDefault="00A82EA5" w:rsidP="0076276F">
            <w:pPr>
              <w:spacing w:line="360" w:lineRule="auto"/>
              <w:jc w:val="center"/>
              <w:rPr>
                <w:rFonts w:ascii="Arial" w:hAnsi="Arial" w:cs="Arial"/>
                <w:sz w:val="18"/>
                <w:szCs w:val="18"/>
                <w:lang w:eastAsia="cs-CZ"/>
              </w:rPr>
            </w:pPr>
            <w:r w:rsidRPr="0039268C">
              <w:rPr>
                <w:rFonts w:ascii="Arial" w:hAnsi="Arial" w:cs="Arial"/>
                <w:sz w:val="18"/>
                <w:szCs w:val="18"/>
                <w:lang w:eastAsia="cs-CZ"/>
              </w:rPr>
              <w:t>7</w:t>
            </w:r>
          </w:p>
        </w:tc>
        <w:tc>
          <w:tcPr>
            <w:tcW w:w="1276" w:type="dxa"/>
            <w:vAlign w:val="center"/>
          </w:tcPr>
          <w:p w:rsidR="00A82EA5" w:rsidRPr="0039268C" w:rsidRDefault="00A82EA5" w:rsidP="0076276F">
            <w:pPr>
              <w:spacing w:line="360" w:lineRule="auto"/>
              <w:jc w:val="center"/>
              <w:rPr>
                <w:rFonts w:ascii="Arial" w:hAnsi="Arial" w:cs="Arial"/>
                <w:sz w:val="18"/>
                <w:szCs w:val="18"/>
                <w:lang w:eastAsia="cs-CZ"/>
              </w:rPr>
            </w:pPr>
            <w:r w:rsidRPr="0039268C">
              <w:rPr>
                <w:rFonts w:ascii="Arial" w:hAnsi="Arial" w:cs="Arial"/>
                <w:sz w:val="18"/>
                <w:szCs w:val="18"/>
                <w:lang w:eastAsia="cs-CZ"/>
              </w:rPr>
              <w:t>100%</w:t>
            </w:r>
          </w:p>
        </w:tc>
        <w:tc>
          <w:tcPr>
            <w:tcW w:w="1288" w:type="dxa"/>
            <w:shd w:val="clear" w:color="auto" w:fill="auto"/>
            <w:noWrap/>
            <w:tcMar>
              <w:top w:w="15" w:type="dxa"/>
              <w:left w:w="15" w:type="dxa"/>
              <w:bottom w:w="0" w:type="dxa"/>
              <w:right w:w="15" w:type="dxa"/>
            </w:tcMar>
            <w:vAlign w:val="center"/>
          </w:tcPr>
          <w:p w:rsidR="00A82EA5" w:rsidRPr="0039268C" w:rsidRDefault="00A82EA5" w:rsidP="0076276F">
            <w:pPr>
              <w:spacing w:line="360" w:lineRule="auto"/>
              <w:jc w:val="center"/>
              <w:rPr>
                <w:rFonts w:ascii="Arial" w:hAnsi="Arial" w:cs="Arial"/>
                <w:sz w:val="18"/>
                <w:szCs w:val="18"/>
                <w:lang w:eastAsia="cs-CZ"/>
              </w:rPr>
            </w:pPr>
          </w:p>
        </w:tc>
      </w:tr>
      <w:tr w:rsidR="00A82EA5" w:rsidRPr="00A82EA5" w:rsidTr="0039268C">
        <w:trPr>
          <w:trHeight w:val="202"/>
          <w:jc w:val="center"/>
        </w:trPr>
        <w:tc>
          <w:tcPr>
            <w:tcW w:w="3299" w:type="dxa"/>
            <w:shd w:val="clear" w:color="auto" w:fill="auto"/>
            <w:noWrap/>
            <w:tcMar>
              <w:top w:w="15" w:type="dxa"/>
              <w:left w:w="15" w:type="dxa"/>
              <w:bottom w:w="0" w:type="dxa"/>
              <w:right w:w="15" w:type="dxa"/>
            </w:tcMar>
            <w:vAlign w:val="center"/>
          </w:tcPr>
          <w:p w:rsidR="00A82EA5" w:rsidRPr="0039268C" w:rsidRDefault="00A82EA5" w:rsidP="0076276F">
            <w:pPr>
              <w:spacing w:line="360" w:lineRule="auto"/>
              <w:jc w:val="both"/>
              <w:rPr>
                <w:rFonts w:ascii="Arial" w:hAnsi="Arial" w:cs="Arial"/>
                <w:sz w:val="18"/>
                <w:szCs w:val="18"/>
                <w:lang w:eastAsia="cs-CZ"/>
              </w:rPr>
            </w:pPr>
            <w:r w:rsidRPr="0039268C">
              <w:rPr>
                <w:rFonts w:ascii="Arial" w:hAnsi="Arial" w:cs="Arial"/>
                <w:sz w:val="18"/>
                <w:szCs w:val="18"/>
                <w:lang w:eastAsia="cs-CZ"/>
              </w:rPr>
              <w:t xml:space="preserve">manažér programovania </w:t>
            </w:r>
          </w:p>
        </w:tc>
        <w:tc>
          <w:tcPr>
            <w:tcW w:w="759" w:type="dxa"/>
            <w:shd w:val="clear" w:color="auto" w:fill="auto"/>
            <w:noWrap/>
            <w:tcMar>
              <w:top w:w="15" w:type="dxa"/>
              <w:left w:w="15" w:type="dxa"/>
              <w:bottom w:w="0" w:type="dxa"/>
              <w:right w:w="15" w:type="dxa"/>
            </w:tcMar>
            <w:vAlign w:val="center"/>
          </w:tcPr>
          <w:p w:rsidR="00A82EA5" w:rsidRPr="0039268C" w:rsidRDefault="00A82EA5" w:rsidP="0076276F">
            <w:pPr>
              <w:spacing w:line="360" w:lineRule="auto"/>
              <w:jc w:val="center"/>
              <w:rPr>
                <w:rFonts w:ascii="Arial" w:hAnsi="Arial" w:cs="Arial"/>
                <w:sz w:val="18"/>
                <w:szCs w:val="18"/>
                <w:lang w:eastAsia="cs-CZ"/>
              </w:rPr>
            </w:pPr>
            <w:r w:rsidRPr="0039268C">
              <w:rPr>
                <w:rFonts w:ascii="Arial" w:hAnsi="Arial" w:cs="Arial"/>
                <w:sz w:val="18"/>
                <w:szCs w:val="18"/>
                <w:lang w:eastAsia="cs-CZ"/>
              </w:rPr>
              <w:t>11</w:t>
            </w:r>
          </w:p>
        </w:tc>
        <w:tc>
          <w:tcPr>
            <w:tcW w:w="1391" w:type="dxa"/>
            <w:vAlign w:val="center"/>
          </w:tcPr>
          <w:p w:rsidR="00A82EA5" w:rsidRPr="0039268C" w:rsidRDefault="00A82EA5" w:rsidP="0076276F">
            <w:pPr>
              <w:spacing w:line="360" w:lineRule="auto"/>
              <w:jc w:val="center"/>
              <w:rPr>
                <w:rFonts w:ascii="Arial" w:hAnsi="Arial" w:cs="Arial"/>
                <w:sz w:val="18"/>
                <w:szCs w:val="18"/>
                <w:lang w:eastAsia="cs-CZ"/>
              </w:rPr>
            </w:pPr>
            <w:r w:rsidRPr="0039268C">
              <w:rPr>
                <w:rFonts w:ascii="Arial" w:hAnsi="Arial" w:cs="Arial"/>
                <w:sz w:val="18"/>
                <w:szCs w:val="18"/>
                <w:lang w:eastAsia="cs-CZ"/>
              </w:rPr>
              <w:t>13</w:t>
            </w:r>
          </w:p>
        </w:tc>
        <w:tc>
          <w:tcPr>
            <w:tcW w:w="1087" w:type="dxa"/>
            <w:shd w:val="clear" w:color="auto" w:fill="auto"/>
            <w:vAlign w:val="center"/>
          </w:tcPr>
          <w:p w:rsidR="00A82EA5" w:rsidRPr="0039268C" w:rsidRDefault="00A82EA5" w:rsidP="0076276F">
            <w:pPr>
              <w:spacing w:line="360" w:lineRule="auto"/>
              <w:jc w:val="center"/>
              <w:rPr>
                <w:rFonts w:ascii="Arial" w:hAnsi="Arial" w:cs="Arial"/>
                <w:sz w:val="18"/>
                <w:szCs w:val="18"/>
                <w:lang w:eastAsia="cs-CZ"/>
              </w:rPr>
            </w:pPr>
            <w:r w:rsidRPr="0039268C">
              <w:rPr>
                <w:rFonts w:ascii="Arial" w:hAnsi="Arial" w:cs="Arial"/>
                <w:sz w:val="18"/>
                <w:szCs w:val="18"/>
                <w:lang w:eastAsia="cs-CZ"/>
              </w:rPr>
              <w:t>10</w:t>
            </w:r>
          </w:p>
        </w:tc>
        <w:tc>
          <w:tcPr>
            <w:tcW w:w="1276" w:type="dxa"/>
            <w:vAlign w:val="center"/>
          </w:tcPr>
          <w:p w:rsidR="00A82EA5" w:rsidRPr="0039268C" w:rsidRDefault="00A82EA5" w:rsidP="0076276F">
            <w:pPr>
              <w:spacing w:line="360" w:lineRule="auto"/>
              <w:jc w:val="center"/>
              <w:rPr>
                <w:rFonts w:ascii="Arial" w:hAnsi="Arial" w:cs="Arial"/>
                <w:sz w:val="18"/>
                <w:szCs w:val="18"/>
                <w:lang w:eastAsia="cs-CZ"/>
              </w:rPr>
            </w:pPr>
            <w:r w:rsidRPr="0039268C">
              <w:rPr>
                <w:rFonts w:ascii="Arial" w:hAnsi="Arial" w:cs="Arial"/>
                <w:sz w:val="18"/>
                <w:szCs w:val="18"/>
                <w:lang w:eastAsia="cs-CZ"/>
              </w:rPr>
              <w:t>77%</w:t>
            </w:r>
          </w:p>
        </w:tc>
        <w:tc>
          <w:tcPr>
            <w:tcW w:w="1288" w:type="dxa"/>
            <w:shd w:val="clear" w:color="auto" w:fill="auto"/>
            <w:noWrap/>
            <w:tcMar>
              <w:top w:w="15" w:type="dxa"/>
              <w:left w:w="15" w:type="dxa"/>
              <w:bottom w:w="0" w:type="dxa"/>
              <w:right w:w="15" w:type="dxa"/>
            </w:tcMar>
            <w:vAlign w:val="center"/>
          </w:tcPr>
          <w:p w:rsidR="00A82EA5" w:rsidRPr="0039268C" w:rsidRDefault="00A82EA5" w:rsidP="0076276F">
            <w:pPr>
              <w:spacing w:line="360" w:lineRule="auto"/>
              <w:jc w:val="center"/>
              <w:rPr>
                <w:rFonts w:ascii="Arial" w:hAnsi="Arial" w:cs="Arial"/>
                <w:sz w:val="18"/>
                <w:szCs w:val="18"/>
                <w:lang w:eastAsia="cs-CZ"/>
              </w:rPr>
            </w:pPr>
            <w:r w:rsidRPr="0039268C">
              <w:rPr>
                <w:rFonts w:ascii="Arial" w:hAnsi="Arial" w:cs="Arial"/>
                <w:sz w:val="18"/>
                <w:szCs w:val="18"/>
                <w:lang w:eastAsia="cs-CZ"/>
              </w:rPr>
              <w:t>3</w:t>
            </w:r>
          </w:p>
        </w:tc>
      </w:tr>
      <w:tr w:rsidR="00A82EA5" w:rsidRPr="00A82EA5" w:rsidTr="0039268C">
        <w:trPr>
          <w:trHeight w:val="20"/>
          <w:jc w:val="center"/>
        </w:trPr>
        <w:tc>
          <w:tcPr>
            <w:tcW w:w="3299" w:type="dxa"/>
            <w:shd w:val="clear" w:color="auto" w:fill="auto"/>
            <w:noWrap/>
            <w:tcMar>
              <w:top w:w="15" w:type="dxa"/>
              <w:left w:w="15" w:type="dxa"/>
              <w:bottom w:w="0" w:type="dxa"/>
              <w:right w:w="15" w:type="dxa"/>
            </w:tcMar>
            <w:vAlign w:val="center"/>
          </w:tcPr>
          <w:p w:rsidR="00A82EA5" w:rsidRPr="0039268C" w:rsidRDefault="00A82EA5" w:rsidP="0076276F">
            <w:pPr>
              <w:spacing w:line="360" w:lineRule="auto"/>
              <w:jc w:val="both"/>
              <w:rPr>
                <w:rFonts w:ascii="Arial" w:hAnsi="Arial" w:cs="Arial"/>
                <w:sz w:val="18"/>
                <w:szCs w:val="18"/>
                <w:lang w:eastAsia="cs-CZ"/>
              </w:rPr>
            </w:pPr>
            <w:r w:rsidRPr="0039268C">
              <w:rPr>
                <w:rFonts w:ascii="Arial" w:hAnsi="Arial" w:cs="Arial"/>
                <w:sz w:val="18"/>
                <w:szCs w:val="18"/>
                <w:lang w:eastAsia="cs-CZ"/>
              </w:rPr>
              <w:t>manažér monitorovania a hodnotenia</w:t>
            </w:r>
          </w:p>
        </w:tc>
        <w:tc>
          <w:tcPr>
            <w:tcW w:w="759" w:type="dxa"/>
            <w:shd w:val="clear" w:color="auto" w:fill="auto"/>
            <w:noWrap/>
            <w:tcMar>
              <w:top w:w="15" w:type="dxa"/>
              <w:left w:w="15" w:type="dxa"/>
              <w:bottom w:w="0" w:type="dxa"/>
              <w:right w:w="15" w:type="dxa"/>
            </w:tcMar>
            <w:vAlign w:val="center"/>
          </w:tcPr>
          <w:p w:rsidR="00A82EA5" w:rsidRPr="0039268C" w:rsidRDefault="00A82EA5" w:rsidP="0076276F">
            <w:pPr>
              <w:spacing w:line="360" w:lineRule="auto"/>
              <w:jc w:val="center"/>
              <w:rPr>
                <w:rFonts w:ascii="Arial" w:hAnsi="Arial" w:cs="Arial"/>
                <w:sz w:val="18"/>
                <w:szCs w:val="18"/>
                <w:lang w:eastAsia="cs-CZ"/>
              </w:rPr>
            </w:pPr>
            <w:r w:rsidRPr="0039268C">
              <w:rPr>
                <w:rFonts w:ascii="Arial" w:hAnsi="Arial" w:cs="Arial"/>
                <w:sz w:val="18"/>
                <w:szCs w:val="18"/>
                <w:lang w:eastAsia="cs-CZ"/>
              </w:rPr>
              <w:t>4</w:t>
            </w:r>
          </w:p>
        </w:tc>
        <w:tc>
          <w:tcPr>
            <w:tcW w:w="1391" w:type="dxa"/>
            <w:vAlign w:val="center"/>
          </w:tcPr>
          <w:p w:rsidR="00A82EA5" w:rsidRPr="0039268C" w:rsidRDefault="00A82EA5" w:rsidP="0076276F">
            <w:pPr>
              <w:spacing w:line="360" w:lineRule="auto"/>
              <w:jc w:val="center"/>
              <w:rPr>
                <w:rFonts w:ascii="Arial" w:hAnsi="Arial" w:cs="Arial"/>
                <w:sz w:val="18"/>
                <w:szCs w:val="18"/>
                <w:lang w:eastAsia="cs-CZ"/>
              </w:rPr>
            </w:pPr>
            <w:r w:rsidRPr="0039268C">
              <w:rPr>
                <w:rFonts w:ascii="Arial" w:hAnsi="Arial" w:cs="Arial"/>
                <w:sz w:val="18"/>
                <w:szCs w:val="18"/>
                <w:lang w:eastAsia="cs-CZ"/>
              </w:rPr>
              <w:t>3</w:t>
            </w:r>
          </w:p>
        </w:tc>
        <w:tc>
          <w:tcPr>
            <w:tcW w:w="1087" w:type="dxa"/>
            <w:shd w:val="clear" w:color="auto" w:fill="auto"/>
            <w:vAlign w:val="center"/>
          </w:tcPr>
          <w:p w:rsidR="00A82EA5" w:rsidRPr="0039268C" w:rsidRDefault="00A82EA5" w:rsidP="0076276F">
            <w:pPr>
              <w:spacing w:line="360" w:lineRule="auto"/>
              <w:jc w:val="center"/>
              <w:rPr>
                <w:rFonts w:ascii="Arial" w:hAnsi="Arial" w:cs="Arial"/>
                <w:sz w:val="18"/>
                <w:szCs w:val="18"/>
                <w:lang w:eastAsia="cs-CZ"/>
              </w:rPr>
            </w:pPr>
            <w:r w:rsidRPr="0039268C">
              <w:rPr>
                <w:rFonts w:ascii="Arial" w:hAnsi="Arial" w:cs="Arial"/>
                <w:sz w:val="18"/>
                <w:szCs w:val="18"/>
                <w:lang w:eastAsia="cs-CZ"/>
              </w:rPr>
              <w:t>4</w:t>
            </w:r>
          </w:p>
        </w:tc>
        <w:tc>
          <w:tcPr>
            <w:tcW w:w="1276" w:type="dxa"/>
            <w:vAlign w:val="center"/>
          </w:tcPr>
          <w:p w:rsidR="00A82EA5" w:rsidRPr="0039268C" w:rsidRDefault="00A82EA5" w:rsidP="0076276F">
            <w:pPr>
              <w:spacing w:line="360" w:lineRule="auto"/>
              <w:jc w:val="center"/>
              <w:rPr>
                <w:rFonts w:ascii="Arial" w:hAnsi="Arial" w:cs="Arial"/>
                <w:sz w:val="18"/>
                <w:szCs w:val="18"/>
                <w:lang w:eastAsia="cs-CZ"/>
              </w:rPr>
            </w:pPr>
            <w:r w:rsidRPr="0039268C">
              <w:rPr>
                <w:rFonts w:ascii="Arial" w:hAnsi="Arial" w:cs="Arial"/>
                <w:sz w:val="18"/>
                <w:szCs w:val="18"/>
                <w:lang w:eastAsia="cs-CZ"/>
              </w:rPr>
              <w:t>133%</w:t>
            </w:r>
          </w:p>
        </w:tc>
        <w:tc>
          <w:tcPr>
            <w:tcW w:w="1288" w:type="dxa"/>
            <w:shd w:val="clear" w:color="auto" w:fill="auto"/>
            <w:noWrap/>
            <w:tcMar>
              <w:top w:w="15" w:type="dxa"/>
              <w:left w:w="15" w:type="dxa"/>
              <w:bottom w:w="0" w:type="dxa"/>
              <w:right w:w="15" w:type="dxa"/>
            </w:tcMar>
            <w:vAlign w:val="center"/>
          </w:tcPr>
          <w:p w:rsidR="00A82EA5" w:rsidRPr="0039268C" w:rsidRDefault="00A82EA5" w:rsidP="0076276F">
            <w:pPr>
              <w:spacing w:line="360" w:lineRule="auto"/>
              <w:jc w:val="center"/>
              <w:rPr>
                <w:rFonts w:ascii="Arial" w:hAnsi="Arial" w:cs="Arial"/>
                <w:sz w:val="18"/>
                <w:szCs w:val="18"/>
                <w:lang w:eastAsia="cs-CZ"/>
              </w:rPr>
            </w:pPr>
          </w:p>
        </w:tc>
      </w:tr>
      <w:tr w:rsidR="00A82EA5" w:rsidRPr="00A82EA5" w:rsidTr="0039268C">
        <w:trPr>
          <w:trHeight w:val="20"/>
          <w:jc w:val="center"/>
        </w:trPr>
        <w:tc>
          <w:tcPr>
            <w:tcW w:w="3299" w:type="dxa"/>
            <w:shd w:val="clear" w:color="auto" w:fill="auto"/>
            <w:noWrap/>
            <w:tcMar>
              <w:top w:w="15" w:type="dxa"/>
              <w:left w:w="15" w:type="dxa"/>
              <w:bottom w:w="0" w:type="dxa"/>
              <w:right w:w="15" w:type="dxa"/>
            </w:tcMar>
            <w:vAlign w:val="center"/>
          </w:tcPr>
          <w:p w:rsidR="00A82EA5" w:rsidRPr="0039268C" w:rsidRDefault="00A82EA5" w:rsidP="0076276F">
            <w:pPr>
              <w:spacing w:line="360" w:lineRule="auto"/>
              <w:jc w:val="both"/>
              <w:rPr>
                <w:rFonts w:ascii="Arial" w:hAnsi="Arial" w:cs="Arial"/>
                <w:sz w:val="18"/>
                <w:szCs w:val="18"/>
                <w:lang w:eastAsia="cs-CZ"/>
              </w:rPr>
            </w:pPr>
            <w:r w:rsidRPr="0039268C">
              <w:rPr>
                <w:rFonts w:ascii="Arial" w:hAnsi="Arial" w:cs="Arial"/>
                <w:sz w:val="18"/>
                <w:szCs w:val="18"/>
                <w:lang w:eastAsia="cs-CZ"/>
              </w:rPr>
              <w:t>manažér informovanosti a publicity</w:t>
            </w:r>
          </w:p>
        </w:tc>
        <w:tc>
          <w:tcPr>
            <w:tcW w:w="759" w:type="dxa"/>
            <w:shd w:val="clear" w:color="auto" w:fill="auto"/>
            <w:noWrap/>
            <w:tcMar>
              <w:top w:w="15" w:type="dxa"/>
              <w:left w:w="15" w:type="dxa"/>
              <w:bottom w:w="0" w:type="dxa"/>
              <w:right w:w="15" w:type="dxa"/>
            </w:tcMar>
            <w:vAlign w:val="center"/>
          </w:tcPr>
          <w:p w:rsidR="00A82EA5" w:rsidRPr="0039268C" w:rsidRDefault="00A82EA5" w:rsidP="0076276F">
            <w:pPr>
              <w:spacing w:line="360" w:lineRule="auto"/>
              <w:jc w:val="center"/>
              <w:rPr>
                <w:rFonts w:ascii="Arial" w:hAnsi="Arial" w:cs="Arial"/>
                <w:sz w:val="18"/>
                <w:szCs w:val="18"/>
                <w:lang w:eastAsia="cs-CZ"/>
              </w:rPr>
            </w:pPr>
            <w:r w:rsidRPr="0039268C">
              <w:rPr>
                <w:rFonts w:ascii="Arial" w:hAnsi="Arial" w:cs="Arial"/>
                <w:sz w:val="18"/>
                <w:szCs w:val="18"/>
                <w:lang w:eastAsia="cs-CZ"/>
              </w:rPr>
              <w:t>2</w:t>
            </w:r>
          </w:p>
        </w:tc>
        <w:tc>
          <w:tcPr>
            <w:tcW w:w="1391" w:type="dxa"/>
            <w:vAlign w:val="center"/>
          </w:tcPr>
          <w:p w:rsidR="00A82EA5" w:rsidRPr="0039268C" w:rsidRDefault="00A82EA5" w:rsidP="0076276F">
            <w:pPr>
              <w:spacing w:line="360" w:lineRule="auto"/>
              <w:jc w:val="center"/>
              <w:rPr>
                <w:rFonts w:ascii="Arial" w:hAnsi="Arial" w:cs="Arial"/>
                <w:sz w:val="18"/>
                <w:szCs w:val="18"/>
                <w:lang w:eastAsia="cs-CZ"/>
              </w:rPr>
            </w:pPr>
            <w:r w:rsidRPr="0039268C">
              <w:rPr>
                <w:rFonts w:ascii="Arial" w:hAnsi="Arial" w:cs="Arial"/>
                <w:sz w:val="18"/>
                <w:szCs w:val="18"/>
                <w:lang w:eastAsia="cs-CZ"/>
              </w:rPr>
              <w:t>3</w:t>
            </w:r>
          </w:p>
        </w:tc>
        <w:tc>
          <w:tcPr>
            <w:tcW w:w="1087" w:type="dxa"/>
            <w:shd w:val="clear" w:color="auto" w:fill="auto"/>
            <w:vAlign w:val="center"/>
          </w:tcPr>
          <w:p w:rsidR="00A82EA5" w:rsidRPr="0039268C" w:rsidRDefault="00A82EA5" w:rsidP="0076276F">
            <w:pPr>
              <w:spacing w:line="360" w:lineRule="auto"/>
              <w:jc w:val="center"/>
              <w:rPr>
                <w:rFonts w:ascii="Arial" w:hAnsi="Arial" w:cs="Arial"/>
                <w:sz w:val="18"/>
                <w:szCs w:val="18"/>
                <w:lang w:eastAsia="cs-CZ"/>
              </w:rPr>
            </w:pPr>
            <w:r w:rsidRPr="0039268C">
              <w:rPr>
                <w:rFonts w:ascii="Arial" w:hAnsi="Arial" w:cs="Arial"/>
                <w:sz w:val="18"/>
                <w:szCs w:val="18"/>
                <w:lang w:eastAsia="cs-CZ"/>
              </w:rPr>
              <w:t>3</w:t>
            </w:r>
          </w:p>
        </w:tc>
        <w:tc>
          <w:tcPr>
            <w:tcW w:w="1276" w:type="dxa"/>
            <w:vAlign w:val="center"/>
          </w:tcPr>
          <w:p w:rsidR="00A82EA5" w:rsidRPr="0039268C" w:rsidRDefault="00A82EA5" w:rsidP="0076276F">
            <w:pPr>
              <w:spacing w:line="360" w:lineRule="auto"/>
              <w:jc w:val="center"/>
              <w:rPr>
                <w:rFonts w:ascii="Arial" w:hAnsi="Arial" w:cs="Arial"/>
                <w:sz w:val="18"/>
                <w:szCs w:val="18"/>
                <w:lang w:eastAsia="cs-CZ"/>
              </w:rPr>
            </w:pPr>
            <w:r w:rsidRPr="0039268C">
              <w:rPr>
                <w:rFonts w:ascii="Arial" w:hAnsi="Arial" w:cs="Arial"/>
                <w:sz w:val="18"/>
                <w:szCs w:val="18"/>
                <w:lang w:eastAsia="cs-CZ"/>
              </w:rPr>
              <w:t>100%</w:t>
            </w:r>
          </w:p>
        </w:tc>
        <w:tc>
          <w:tcPr>
            <w:tcW w:w="1288" w:type="dxa"/>
            <w:shd w:val="clear" w:color="auto" w:fill="auto"/>
            <w:noWrap/>
            <w:tcMar>
              <w:top w:w="15" w:type="dxa"/>
              <w:left w:w="15" w:type="dxa"/>
              <w:bottom w:w="0" w:type="dxa"/>
              <w:right w:w="15" w:type="dxa"/>
            </w:tcMar>
            <w:vAlign w:val="center"/>
          </w:tcPr>
          <w:p w:rsidR="00A82EA5" w:rsidRPr="0039268C" w:rsidRDefault="00A82EA5" w:rsidP="0076276F">
            <w:pPr>
              <w:spacing w:line="360" w:lineRule="auto"/>
              <w:jc w:val="center"/>
              <w:rPr>
                <w:rFonts w:ascii="Arial" w:hAnsi="Arial" w:cs="Arial"/>
                <w:sz w:val="18"/>
                <w:szCs w:val="18"/>
                <w:lang w:eastAsia="cs-CZ"/>
              </w:rPr>
            </w:pPr>
          </w:p>
        </w:tc>
      </w:tr>
      <w:tr w:rsidR="00A82EA5" w:rsidRPr="00A82EA5" w:rsidTr="0039268C">
        <w:trPr>
          <w:trHeight w:val="20"/>
          <w:jc w:val="center"/>
        </w:trPr>
        <w:tc>
          <w:tcPr>
            <w:tcW w:w="3299" w:type="dxa"/>
            <w:shd w:val="clear" w:color="auto" w:fill="auto"/>
            <w:noWrap/>
            <w:tcMar>
              <w:top w:w="15" w:type="dxa"/>
              <w:left w:w="15" w:type="dxa"/>
              <w:bottom w:w="0" w:type="dxa"/>
              <w:right w:w="15" w:type="dxa"/>
            </w:tcMar>
            <w:vAlign w:val="center"/>
          </w:tcPr>
          <w:p w:rsidR="00A82EA5" w:rsidRPr="0039268C" w:rsidRDefault="00A82EA5" w:rsidP="0076276F">
            <w:pPr>
              <w:spacing w:line="360" w:lineRule="auto"/>
              <w:jc w:val="both"/>
              <w:rPr>
                <w:rFonts w:ascii="Arial" w:hAnsi="Arial" w:cs="Arial"/>
                <w:sz w:val="18"/>
                <w:szCs w:val="18"/>
                <w:lang w:eastAsia="cs-CZ"/>
              </w:rPr>
            </w:pPr>
            <w:r w:rsidRPr="0039268C">
              <w:rPr>
                <w:rFonts w:ascii="Arial" w:hAnsi="Arial" w:cs="Arial"/>
                <w:sz w:val="18"/>
                <w:szCs w:val="18"/>
                <w:lang w:eastAsia="cs-CZ"/>
              </w:rPr>
              <w:t>manažér kontroly</w:t>
            </w:r>
          </w:p>
        </w:tc>
        <w:tc>
          <w:tcPr>
            <w:tcW w:w="759" w:type="dxa"/>
            <w:shd w:val="clear" w:color="auto" w:fill="auto"/>
            <w:noWrap/>
            <w:tcMar>
              <w:top w:w="15" w:type="dxa"/>
              <w:left w:w="15" w:type="dxa"/>
              <w:bottom w:w="0" w:type="dxa"/>
              <w:right w:w="15" w:type="dxa"/>
            </w:tcMar>
            <w:vAlign w:val="center"/>
          </w:tcPr>
          <w:p w:rsidR="00A82EA5" w:rsidRPr="0039268C" w:rsidRDefault="00A82EA5" w:rsidP="0076276F">
            <w:pPr>
              <w:spacing w:line="360" w:lineRule="auto"/>
              <w:jc w:val="center"/>
              <w:rPr>
                <w:rFonts w:ascii="Arial" w:hAnsi="Arial" w:cs="Arial"/>
                <w:sz w:val="18"/>
                <w:szCs w:val="18"/>
                <w:lang w:eastAsia="cs-CZ"/>
              </w:rPr>
            </w:pPr>
            <w:r w:rsidRPr="0039268C">
              <w:rPr>
                <w:rFonts w:ascii="Arial" w:hAnsi="Arial" w:cs="Arial"/>
                <w:sz w:val="18"/>
                <w:szCs w:val="18"/>
                <w:lang w:eastAsia="cs-CZ"/>
              </w:rPr>
              <w:t>-</w:t>
            </w:r>
          </w:p>
        </w:tc>
        <w:tc>
          <w:tcPr>
            <w:tcW w:w="1391" w:type="dxa"/>
            <w:vAlign w:val="center"/>
          </w:tcPr>
          <w:p w:rsidR="00A82EA5" w:rsidRPr="0039268C" w:rsidRDefault="00A82EA5" w:rsidP="0076276F">
            <w:pPr>
              <w:spacing w:line="360" w:lineRule="auto"/>
              <w:jc w:val="center"/>
              <w:rPr>
                <w:rFonts w:ascii="Arial" w:hAnsi="Arial" w:cs="Arial"/>
                <w:sz w:val="18"/>
                <w:szCs w:val="18"/>
                <w:lang w:eastAsia="cs-CZ"/>
              </w:rPr>
            </w:pPr>
            <w:r w:rsidRPr="0039268C">
              <w:rPr>
                <w:rFonts w:ascii="Arial" w:hAnsi="Arial" w:cs="Arial"/>
                <w:sz w:val="18"/>
                <w:szCs w:val="18"/>
                <w:lang w:eastAsia="cs-CZ"/>
              </w:rPr>
              <w:t>4</w:t>
            </w:r>
          </w:p>
        </w:tc>
        <w:tc>
          <w:tcPr>
            <w:tcW w:w="1087" w:type="dxa"/>
            <w:shd w:val="clear" w:color="auto" w:fill="auto"/>
            <w:vAlign w:val="center"/>
          </w:tcPr>
          <w:p w:rsidR="00A82EA5" w:rsidRPr="0039268C" w:rsidRDefault="00A82EA5" w:rsidP="0076276F">
            <w:pPr>
              <w:spacing w:line="360" w:lineRule="auto"/>
              <w:jc w:val="center"/>
              <w:rPr>
                <w:rFonts w:ascii="Arial" w:hAnsi="Arial" w:cs="Arial"/>
                <w:sz w:val="18"/>
                <w:szCs w:val="18"/>
                <w:lang w:eastAsia="cs-CZ"/>
              </w:rPr>
            </w:pPr>
            <w:r w:rsidRPr="0039268C">
              <w:rPr>
                <w:rFonts w:ascii="Arial" w:hAnsi="Arial" w:cs="Arial"/>
                <w:sz w:val="18"/>
                <w:szCs w:val="18"/>
                <w:lang w:eastAsia="cs-CZ"/>
              </w:rPr>
              <w:t>0</w:t>
            </w:r>
          </w:p>
        </w:tc>
        <w:tc>
          <w:tcPr>
            <w:tcW w:w="1276" w:type="dxa"/>
            <w:vAlign w:val="center"/>
          </w:tcPr>
          <w:p w:rsidR="00A82EA5" w:rsidRPr="0039268C" w:rsidRDefault="00A82EA5" w:rsidP="0076276F">
            <w:pPr>
              <w:spacing w:line="360" w:lineRule="auto"/>
              <w:jc w:val="center"/>
              <w:rPr>
                <w:rFonts w:ascii="Arial" w:hAnsi="Arial" w:cs="Arial"/>
                <w:sz w:val="18"/>
                <w:szCs w:val="18"/>
                <w:lang w:eastAsia="cs-CZ"/>
              </w:rPr>
            </w:pPr>
            <w:r w:rsidRPr="0039268C">
              <w:rPr>
                <w:rFonts w:ascii="Arial" w:hAnsi="Arial" w:cs="Arial"/>
                <w:sz w:val="18"/>
                <w:szCs w:val="18"/>
                <w:lang w:eastAsia="cs-CZ"/>
              </w:rPr>
              <w:t>0</w:t>
            </w:r>
          </w:p>
        </w:tc>
        <w:tc>
          <w:tcPr>
            <w:tcW w:w="1288" w:type="dxa"/>
            <w:shd w:val="clear" w:color="auto" w:fill="auto"/>
            <w:noWrap/>
            <w:tcMar>
              <w:top w:w="15" w:type="dxa"/>
              <w:left w:w="15" w:type="dxa"/>
              <w:bottom w:w="0" w:type="dxa"/>
              <w:right w:w="15" w:type="dxa"/>
            </w:tcMar>
            <w:vAlign w:val="center"/>
          </w:tcPr>
          <w:p w:rsidR="00A82EA5" w:rsidRPr="0039268C" w:rsidRDefault="00A82EA5" w:rsidP="0076276F">
            <w:pPr>
              <w:spacing w:line="360" w:lineRule="auto"/>
              <w:jc w:val="center"/>
              <w:rPr>
                <w:rFonts w:ascii="Arial" w:hAnsi="Arial" w:cs="Arial"/>
                <w:sz w:val="18"/>
                <w:szCs w:val="18"/>
                <w:lang w:eastAsia="cs-CZ"/>
              </w:rPr>
            </w:pPr>
            <w:r w:rsidRPr="0039268C">
              <w:rPr>
                <w:rFonts w:ascii="Arial" w:hAnsi="Arial" w:cs="Arial"/>
                <w:sz w:val="18"/>
                <w:szCs w:val="18"/>
                <w:lang w:eastAsia="cs-CZ"/>
              </w:rPr>
              <w:t>4</w:t>
            </w:r>
          </w:p>
        </w:tc>
      </w:tr>
      <w:tr w:rsidR="00A82EA5" w:rsidRPr="00A82EA5" w:rsidTr="0039268C">
        <w:trPr>
          <w:trHeight w:val="20"/>
          <w:jc w:val="center"/>
        </w:trPr>
        <w:tc>
          <w:tcPr>
            <w:tcW w:w="3299" w:type="dxa"/>
            <w:shd w:val="clear" w:color="auto" w:fill="auto"/>
            <w:noWrap/>
            <w:tcMar>
              <w:top w:w="15" w:type="dxa"/>
              <w:left w:w="15" w:type="dxa"/>
              <w:bottom w:w="0" w:type="dxa"/>
              <w:right w:w="15" w:type="dxa"/>
            </w:tcMar>
            <w:vAlign w:val="center"/>
          </w:tcPr>
          <w:p w:rsidR="00A82EA5" w:rsidRPr="0039268C" w:rsidRDefault="00A82EA5" w:rsidP="0076276F">
            <w:pPr>
              <w:spacing w:line="360" w:lineRule="auto"/>
              <w:jc w:val="both"/>
              <w:rPr>
                <w:rFonts w:ascii="Arial" w:hAnsi="Arial" w:cs="Arial"/>
                <w:sz w:val="18"/>
                <w:szCs w:val="18"/>
                <w:lang w:eastAsia="cs-CZ"/>
              </w:rPr>
            </w:pPr>
            <w:r w:rsidRPr="0039268C">
              <w:rPr>
                <w:rFonts w:ascii="Arial" w:hAnsi="Arial" w:cs="Arial"/>
                <w:sz w:val="18"/>
                <w:szCs w:val="18"/>
                <w:lang w:eastAsia="cs-CZ"/>
              </w:rPr>
              <w:t>manažér ITMS</w:t>
            </w:r>
          </w:p>
        </w:tc>
        <w:tc>
          <w:tcPr>
            <w:tcW w:w="759" w:type="dxa"/>
            <w:shd w:val="clear" w:color="auto" w:fill="auto"/>
            <w:noWrap/>
            <w:tcMar>
              <w:top w:w="15" w:type="dxa"/>
              <w:left w:w="15" w:type="dxa"/>
              <w:bottom w:w="0" w:type="dxa"/>
              <w:right w:w="15" w:type="dxa"/>
            </w:tcMar>
            <w:vAlign w:val="center"/>
          </w:tcPr>
          <w:p w:rsidR="00A82EA5" w:rsidRPr="0039268C" w:rsidRDefault="00A82EA5" w:rsidP="0076276F">
            <w:pPr>
              <w:spacing w:line="360" w:lineRule="auto"/>
              <w:jc w:val="center"/>
              <w:rPr>
                <w:rFonts w:ascii="Arial" w:hAnsi="Arial" w:cs="Arial"/>
                <w:sz w:val="18"/>
                <w:szCs w:val="18"/>
                <w:lang w:eastAsia="cs-CZ"/>
              </w:rPr>
            </w:pPr>
            <w:r w:rsidRPr="0039268C">
              <w:rPr>
                <w:rFonts w:ascii="Arial" w:hAnsi="Arial" w:cs="Arial"/>
                <w:sz w:val="18"/>
                <w:szCs w:val="18"/>
                <w:lang w:eastAsia="cs-CZ"/>
              </w:rPr>
              <w:t>1</w:t>
            </w:r>
          </w:p>
        </w:tc>
        <w:tc>
          <w:tcPr>
            <w:tcW w:w="1391" w:type="dxa"/>
            <w:vAlign w:val="center"/>
          </w:tcPr>
          <w:p w:rsidR="00A82EA5" w:rsidRPr="0039268C" w:rsidRDefault="00A82EA5" w:rsidP="0076276F">
            <w:pPr>
              <w:spacing w:line="360" w:lineRule="auto"/>
              <w:jc w:val="center"/>
              <w:rPr>
                <w:rFonts w:ascii="Arial" w:hAnsi="Arial" w:cs="Arial"/>
                <w:sz w:val="18"/>
                <w:szCs w:val="18"/>
                <w:lang w:eastAsia="cs-CZ"/>
              </w:rPr>
            </w:pPr>
            <w:r w:rsidRPr="0039268C">
              <w:rPr>
                <w:rFonts w:ascii="Arial" w:hAnsi="Arial" w:cs="Arial"/>
                <w:sz w:val="18"/>
                <w:szCs w:val="18"/>
                <w:lang w:eastAsia="cs-CZ"/>
              </w:rPr>
              <w:t>1</w:t>
            </w:r>
          </w:p>
        </w:tc>
        <w:tc>
          <w:tcPr>
            <w:tcW w:w="1087" w:type="dxa"/>
            <w:shd w:val="clear" w:color="auto" w:fill="auto"/>
            <w:vAlign w:val="center"/>
          </w:tcPr>
          <w:p w:rsidR="00A82EA5" w:rsidRPr="0039268C" w:rsidRDefault="00A82EA5" w:rsidP="0076276F">
            <w:pPr>
              <w:spacing w:line="360" w:lineRule="auto"/>
              <w:jc w:val="center"/>
              <w:rPr>
                <w:rFonts w:ascii="Arial" w:hAnsi="Arial" w:cs="Arial"/>
                <w:sz w:val="18"/>
                <w:szCs w:val="18"/>
                <w:lang w:eastAsia="cs-CZ"/>
              </w:rPr>
            </w:pPr>
            <w:r w:rsidRPr="0039268C">
              <w:rPr>
                <w:rFonts w:ascii="Arial" w:hAnsi="Arial" w:cs="Arial"/>
                <w:sz w:val="18"/>
                <w:szCs w:val="18"/>
                <w:lang w:eastAsia="cs-CZ"/>
              </w:rPr>
              <w:t>0</w:t>
            </w:r>
          </w:p>
        </w:tc>
        <w:tc>
          <w:tcPr>
            <w:tcW w:w="1276" w:type="dxa"/>
            <w:vAlign w:val="center"/>
          </w:tcPr>
          <w:p w:rsidR="00A82EA5" w:rsidRPr="0039268C" w:rsidRDefault="00A82EA5" w:rsidP="0076276F">
            <w:pPr>
              <w:spacing w:line="360" w:lineRule="auto"/>
              <w:jc w:val="center"/>
              <w:rPr>
                <w:rFonts w:ascii="Arial" w:hAnsi="Arial" w:cs="Arial"/>
                <w:sz w:val="18"/>
                <w:szCs w:val="18"/>
                <w:lang w:eastAsia="cs-CZ"/>
              </w:rPr>
            </w:pPr>
            <w:r w:rsidRPr="0039268C">
              <w:rPr>
                <w:rFonts w:ascii="Arial" w:hAnsi="Arial" w:cs="Arial"/>
                <w:sz w:val="18"/>
                <w:szCs w:val="18"/>
                <w:lang w:eastAsia="cs-CZ"/>
              </w:rPr>
              <w:t>0</w:t>
            </w:r>
          </w:p>
        </w:tc>
        <w:tc>
          <w:tcPr>
            <w:tcW w:w="1288" w:type="dxa"/>
            <w:shd w:val="clear" w:color="auto" w:fill="auto"/>
            <w:noWrap/>
            <w:tcMar>
              <w:top w:w="15" w:type="dxa"/>
              <w:left w:w="15" w:type="dxa"/>
              <w:bottom w:w="0" w:type="dxa"/>
              <w:right w:w="15" w:type="dxa"/>
            </w:tcMar>
            <w:vAlign w:val="center"/>
          </w:tcPr>
          <w:p w:rsidR="00A82EA5" w:rsidRPr="0039268C" w:rsidRDefault="00A82EA5" w:rsidP="0076276F">
            <w:pPr>
              <w:spacing w:line="360" w:lineRule="auto"/>
              <w:jc w:val="center"/>
              <w:rPr>
                <w:rFonts w:ascii="Arial" w:hAnsi="Arial" w:cs="Arial"/>
                <w:sz w:val="18"/>
                <w:szCs w:val="18"/>
                <w:lang w:eastAsia="cs-CZ"/>
              </w:rPr>
            </w:pPr>
            <w:r w:rsidRPr="0039268C">
              <w:rPr>
                <w:rFonts w:ascii="Arial" w:hAnsi="Arial" w:cs="Arial"/>
                <w:sz w:val="18"/>
                <w:szCs w:val="18"/>
                <w:lang w:eastAsia="cs-CZ"/>
              </w:rPr>
              <w:t>1</w:t>
            </w:r>
          </w:p>
        </w:tc>
      </w:tr>
      <w:tr w:rsidR="00A82EA5" w:rsidRPr="00A82EA5" w:rsidTr="0039268C">
        <w:trPr>
          <w:trHeight w:val="20"/>
          <w:jc w:val="center"/>
        </w:trPr>
        <w:tc>
          <w:tcPr>
            <w:tcW w:w="3299" w:type="dxa"/>
            <w:shd w:val="clear" w:color="auto" w:fill="auto"/>
            <w:noWrap/>
            <w:tcMar>
              <w:top w:w="15" w:type="dxa"/>
              <w:left w:w="15" w:type="dxa"/>
              <w:bottom w:w="0" w:type="dxa"/>
              <w:right w:w="15" w:type="dxa"/>
            </w:tcMar>
            <w:vAlign w:val="center"/>
          </w:tcPr>
          <w:p w:rsidR="00A82EA5" w:rsidRPr="0039268C" w:rsidRDefault="00A82EA5" w:rsidP="0076276F">
            <w:pPr>
              <w:spacing w:line="360" w:lineRule="auto"/>
              <w:jc w:val="both"/>
              <w:rPr>
                <w:rFonts w:ascii="Arial" w:hAnsi="Arial" w:cs="Arial"/>
                <w:sz w:val="18"/>
                <w:szCs w:val="18"/>
                <w:lang w:eastAsia="cs-CZ"/>
              </w:rPr>
            </w:pPr>
            <w:r w:rsidRPr="0039268C">
              <w:rPr>
                <w:rFonts w:ascii="Arial" w:hAnsi="Arial" w:cs="Arial"/>
                <w:sz w:val="18"/>
                <w:szCs w:val="18"/>
                <w:lang w:eastAsia="cs-CZ"/>
              </w:rPr>
              <w:t>finančný manažér</w:t>
            </w:r>
          </w:p>
        </w:tc>
        <w:tc>
          <w:tcPr>
            <w:tcW w:w="759" w:type="dxa"/>
            <w:shd w:val="clear" w:color="auto" w:fill="auto"/>
            <w:noWrap/>
            <w:tcMar>
              <w:top w:w="15" w:type="dxa"/>
              <w:left w:w="15" w:type="dxa"/>
              <w:bottom w:w="0" w:type="dxa"/>
              <w:right w:w="15" w:type="dxa"/>
            </w:tcMar>
            <w:vAlign w:val="center"/>
          </w:tcPr>
          <w:p w:rsidR="00A82EA5" w:rsidRPr="0039268C" w:rsidRDefault="00A82EA5" w:rsidP="0076276F">
            <w:pPr>
              <w:spacing w:line="360" w:lineRule="auto"/>
              <w:jc w:val="center"/>
              <w:rPr>
                <w:rFonts w:ascii="Arial" w:hAnsi="Arial" w:cs="Arial"/>
                <w:sz w:val="18"/>
                <w:szCs w:val="18"/>
                <w:lang w:eastAsia="cs-CZ"/>
              </w:rPr>
            </w:pPr>
            <w:r w:rsidRPr="0039268C">
              <w:rPr>
                <w:rFonts w:ascii="Arial" w:hAnsi="Arial" w:cs="Arial"/>
                <w:sz w:val="18"/>
                <w:szCs w:val="18"/>
                <w:lang w:eastAsia="cs-CZ"/>
              </w:rPr>
              <w:t>-</w:t>
            </w:r>
          </w:p>
        </w:tc>
        <w:tc>
          <w:tcPr>
            <w:tcW w:w="1391" w:type="dxa"/>
            <w:vAlign w:val="center"/>
          </w:tcPr>
          <w:p w:rsidR="00A82EA5" w:rsidRPr="0039268C" w:rsidRDefault="00A82EA5" w:rsidP="0076276F">
            <w:pPr>
              <w:spacing w:line="360" w:lineRule="auto"/>
              <w:jc w:val="center"/>
              <w:rPr>
                <w:rFonts w:ascii="Arial" w:hAnsi="Arial" w:cs="Arial"/>
                <w:sz w:val="18"/>
                <w:szCs w:val="18"/>
                <w:lang w:eastAsia="cs-CZ"/>
              </w:rPr>
            </w:pPr>
            <w:r w:rsidRPr="0039268C">
              <w:rPr>
                <w:rFonts w:ascii="Arial" w:hAnsi="Arial" w:cs="Arial"/>
                <w:sz w:val="18"/>
                <w:szCs w:val="18"/>
                <w:lang w:eastAsia="cs-CZ"/>
              </w:rPr>
              <w:t>0</w:t>
            </w:r>
          </w:p>
        </w:tc>
        <w:tc>
          <w:tcPr>
            <w:tcW w:w="1087" w:type="dxa"/>
            <w:shd w:val="clear" w:color="auto" w:fill="auto"/>
            <w:vAlign w:val="center"/>
          </w:tcPr>
          <w:p w:rsidR="00A82EA5" w:rsidRPr="0039268C" w:rsidRDefault="00A82EA5" w:rsidP="0076276F">
            <w:pPr>
              <w:spacing w:line="360" w:lineRule="auto"/>
              <w:jc w:val="center"/>
              <w:rPr>
                <w:rFonts w:ascii="Arial" w:hAnsi="Arial" w:cs="Arial"/>
                <w:sz w:val="18"/>
                <w:szCs w:val="18"/>
                <w:lang w:eastAsia="cs-CZ"/>
              </w:rPr>
            </w:pPr>
            <w:r w:rsidRPr="0039268C">
              <w:rPr>
                <w:rFonts w:ascii="Arial" w:hAnsi="Arial" w:cs="Arial"/>
                <w:sz w:val="18"/>
                <w:szCs w:val="18"/>
                <w:lang w:eastAsia="cs-CZ"/>
              </w:rPr>
              <w:t>0</w:t>
            </w:r>
          </w:p>
        </w:tc>
        <w:tc>
          <w:tcPr>
            <w:tcW w:w="1276" w:type="dxa"/>
            <w:vAlign w:val="center"/>
          </w:tcPr>
          <w:p w:rsidR="00A82EA5" w:rsidRPr="0039268C" w:rsidRDefault="00A82EA5" w:rsidP="0076276F">
            <w:pPr>
              <w:spacing w:line="360" w:lineRule="auto"/>
              <w:jc w:val="center"/>
              <w:rPr>
                <w:rFonts w:ascii="Arial" w:hAnsi="Arial" w:cs="Arial"/>
                <w:sz w:val="18"/>
                <w:szCs w:val="18"/>
                <w:lang w:eastAsia="cs-CZ"/>
              </w:rPr>
            </w:pPr>
            <w:r w:rsidRPr="0039268C">
              <w:rPr>
                <w:rFonts w:ascii="Arial" w:hAnsi="Arial" w:cs="Arial"/>
                <w:sz w:val="18"/>
                <w:szCs w:val="18"/>
                <w:lang w:eastAsia="cs-CZ"/>
              </w:rPr>
              <w:t>0</w:t>
            </w:r>
          </w:p>
        </w:tc>
        <w:tc>
          <w:tcPr>
            <w:tcW w:w="1288" w:type="dxa"/>
            <w:shd w:val="clear" w:color="auto" w:fill="auto"/>
            <w:noWrap/>
            <w:tcMar>
              <w:top w:w="15" w:type="dxa"/>
              <w:left w:w="15" w:type="dxa"/>
              <w:bottom w:w="0" w:type="dxa"/>
              <w:right w:w="15" w:type="dxa"/>
            </w:tcMar>
            <w:vAlign w:val="center"/>
          </w:tcPr>
          <w:p w:rsidR="00A82EA5" w:rsidRPr="0039268C" w:rsidRDefault="00A82EA5" w:rsidP="0076276F">
            <w:pPr>
              <w:spacing w:line="360" w:lineRule="auto"/>
              <w:jc w:val="center"/>
              <w:rPr>
                <w:rFonts w:ascii="Arial" w:hAnsi="Arial" w:cs="Arial"/>
                <w:sz w:val="18"/>
                <w:szCs w:val="18"/>
                <w:lang w:eastAsia="cs-CZ"/>
              </w:rPr>
            </w:pPr>
          </w:p>
        </w:tc>
      </w:tr>
      <w:tr w:rsidR="00A82EA5" w:rsidRPr="00A82EA5" w:rsidTr="0039268C">
        <w:trPr>
          <w:trHeight w:val="20"/>
          <w:jc w:val="center"/>
        </w:trPr>
        <w:tc>
          <w:tcPr>
            <w:tcW w:w="3299" w:type="dxa"/>
            <w:shd w:val="clear" w:color="auto" w:fill="auto"/>
            <w:noWrap/>
            <w:tcMar>
              <w:top w:w="15" w:type="dxa"/>
              <w:left w:w="15" w:type="dxa"/>
              <w:bottom w:w="0" w:type="dxa"/>
              <w:right w:w="15" w:type="dxa"/>
            </w:tcMar>
            <w:vAlign w:val="center"/>
          </w:tcPr>
          <w:p w:rsidR="00A82EA5" w:rsidRPr="0039268C" w:rsidRDefault="00A82EA5" w:rsidP="0076276F">
            <w:pPr>
              <w:spacing w:line="360" w:lineRule="auto"/>
              <w:jc w:val="both"/>
              <w:rPr>
                <w:rFonts w:ascii="Arial" w:hAnsi="Arial" w:cs="Arial"/>
                <w:sz w:val="18"/>
                <w:szCs w:val="18"/>
                <w:lang w:eastAsia="cs-CZ"/>
              </w:rPr>
            </w:pPr>
            <w:r w:rsidRPr="0039268C">
              <w:rPr>
                <w:rFonts w:ascii="Arial" w:hAnsi="Arial" w:cs="Arial"/>
                <w:sz w:val="18"/>
                <w:szCs w:val="18"/>
                <w:lang w:eastAsia="cs-CZ"/>
              </w:rPr>
              <w:t>projektový manažér</w:t>
            </w:r>
          </w:p>
        </w:tc>
        <w:tc>
          <w:tcPr>
            <w:tcW w:w="759" w:type="dxa"/>
            <w:shd w:val="clear" w:color="auto" w:fill="auto"/>
            <w:noWrap/>
            <w:tcMar>
              <w:top w:w="15" w:type="dxa"/>
              <w:left w:w="15" w:type="dxa"/>
              <w:bottom w:w="0" w:type="dxa"/>
              <w:right w:w="15" w:type="dxa"/>
            </w:tcMar>
            <w:vAlign w:val="center"/>
          </w:tcPr>
          <w:p w:rsidR="00A82EA5" w:rsidRPr="0039268C" w:rsidRDefault="00A82EA5" w:rsidP="0076276F">
            <w:pPr>
              <w:spacing w:line="360" w:lineRule="auto"/>
              <w:jc w:val="center"/>
              <w:rPr>
                <w:rFonts w:ascii="Arial" w:hAnsi="Arial" w:cs="Arial"/>
                <w:sz w:val="18"/>
                <w:szCs w:val="18"/>
                <w:lang w:eastAsia="cs-CZ"/>
              </w:rPr>
            </w:pPr>
            <w:r w:rsidRPr="0039268C">
              <w:rPr>
                <w:rFonts w:ascii="Arial" w:hAnsi="Arial" w:cs="Arial"/>
                <w:sz w:val="18"/>
                <w:szCs w:val="18"/>
                <w:lang w:eastAsia="cs-CZ"/>
              </w:rPr>
              <w:t>85</w:t>
            </w:r>
          </w:p>
        </w:tc>
        <w:tc>
          <w:tcPr>
            <w:tcW w:w="1391" w:type="dxa"/>
            <w:vAlign w:val="center"/>
          </w:tcPr>
          <w:p w:rsidR="00A82EA5" w:rsidRPr="0039268C" w:rsidRDefault="00A82EA5" w:rsidP="0076276F">
            <w:pPr>
              <w:spacing w:line="360" w:lineRule="auto"/>
              <w:jc w:val="center"/>
              <w:rPr>
                <w:rFonts w:ascii="Arial" w:hAnsi="Arial" w:cs="Arial"/>
                <w:sz w:val="18"/>
                <w:szCs w:val="18"/>
                <w:lang w:eastAsia="cs-CZ"/>
              </w:rPr>
            </w:pPr>
            <w:r w:rsidRPr="0039268C">
              <w:rPr>
                <w:rFonts w:ascii="Arial" w:hAnsi="Arial" w:cs="Arial"/>
                <w:sz w:val="18"/>
                <w:szCs w:val="18"/>
                <w:lang w:eastAsia="cs-CZ"/>
              </w:rPr>
              <w:t>96</w:t>
            </w:r>
          </w:p>
        </w:tc>
        <w:tc>
          <w:tcPr>
            <w:tcW w:w="1087" w:type="dxa"/>
            <w:shd w:val="clear" w:color="auto" w:fill="auto"/>
            <w:vAlign w:val="center"/>
          </w:tcPr>
          <w:p w:rsidR="00A82EA5" w:rsidRPr="0039268C" w:rsidRDefault="00A82EA5" w:rsidP="0076276F">
            <w:pPr>
              <w:spacing w:line="360" w:lineRule="auto"/>
              <w:jc w:val="center"/>
              <w:rPr>
                <w:rFonts w:ascii="Arial" w:hAnsi="Arial" w:cs="Arial"/>
                <w:sz w:val="18"/>
                <w:szCs w:val="18"/>
                <w:lang w:eastAsia="cs-CZ"/>
              </w:rPr>
            </w:pPr>
            <w:r w:rsidRPr="0039268C">
              <w:rPr>
                <w:rFonts w:ascii="Arial" w:hAnsi="Arial" w:cs="Arial"/>
                <w:sz w:val="18"/>
                <w:szCs w:val="18"/>
                <w:lang w:eastAsia="cs-CZ"/>
              </w:rPr>
              <w:t>88</w:t>
            </w:r>
          </w:p>
        </w:tc>
        <w:tc>
          <w:tcPr>
            <w:tcW w:w="1276" w:type="dxa"/>
            <w:vAlign w:val="center"/>
          </w:tcPr>
          <w:p w:rsidR="00A82EA5" w:rsidRPr="0039268C" w:rsidRDefault="00A82EA5" w:rsidP="0076276F">
            <w:pPr>
              <w:spacing w:line="360" w:lineRule="auto"/>
              <w:jc w:val="center"/>
              <w:rPr>
                <w:rFonts w:ascii="Arial" w:hAnsi="Arial" w:cs="Arial"/>
                <w:sz w:val="18"/>
                <w:szCs w:val="18"/>
                <w:lang w:eastAsia="cs-CZ"/>
              </w:rPr>
            </w:pPr>
            <w:r w:rsidRPr="0039268C">
              <w:rPr>
                <w:rFonts w:ascii="Arial" w:hAnsi="Arial" w:cs="Arial"/>
                <w:sz w:val="18"/>
                <w:szCs w:val="18"/>
                <w:lang w:eastAsia="cs-CZ"/>
              </w:rPr>
              <w:t>92%</w:t>
            </w:r>
          </w:p>
        </w:tc>
        <w:tc>
          <w:tcPr>
            <w:tcW w:w="1288" w:type="dxa"/>
            <w:shd w:val="clear" w:color="auto" w:fill="auto"/>
            <w:noWrap/>
            <w:tcMar>
              <w:top w:w="15" w:type="dxa"/>
              <w:left w:w="15" w:type="dxa"/>
              <w:bottom w:w="0" w:type="dxa"/>
              <w:right w:w="15" w:type="dxa"/>
            </w:tcMar>
            <w:vAlign w:val="center"/>
          </w:tcPr>
          <w:p w:rsidR="00A82EA5" w:rsidRPr="0039268C" w:rsidRDefault="00A82EA5" w:rsidP="0076276F">
            <w:pPr>
              <w:spacing w:line="360" w:lineRule="auto"/>
              <w:jc w:val="center"/>
              <w:rPr>
                <w:rFonts w:ascii="Arial" w:hAnsi="Arial" w:cs="Arial"/>
                <w:sz w:val="18"/>
                <w:szCs w:val="18"/>
                <w:lang w:eastAsia="cs-CZ"/>
              </w:rPr>
            </w:pPr>
            <w:r w:rsidRPr="0039268C">
              <w:rPr>
                <w:rFonts w:ascii="Arial" w:hAnsi="Arial" w:cs="Arial"/>
                <w:sz w:val="18"/>
                <w:szCs w:val="18"/>
                <w:lang w:eastAsia="cs-CZ"/>
              </w:rPr>
              <w:t>8</w:t>
            </w:r>
          </w:p>
        </w:tc>
      </w:tr>
      <w:tr w:rsidR="00A82EA5" w:rsidRPr="00A82EA5" w:rsidTr="0039268C">
        <w:trPr>
          <w:trHeight w:val="20"/>
          <w:jc w:val="center"/>
        </w:trPr>
        <w:tc>
          <w:tcPr>
            <w:tcW w:w="3299" w:type="dxa"/>
            <w:shd w:val="clear" w:color="auto" w:fill="auto"/>
            <w:noWrap/>
            <w:tcMar>
              <w:top w:w="15" w:type="dxa"/>
              <w:left w:w="15" w:type="dxa"/>
              <w:bottom w:w="0" w:type="dxa"/>
              <w:right w:w="15" w:type="dxa"/>
            </w:tcMar>
            <w:vAlign w:val="center"/>
          </w:tcPr>
          <w:p w:rsidR="00A82EA5" w:rsidRPr="0039268C" w:rsidRDefault="00A82EA5" w:rsidP="0076276F">
            <w:pPr>
              <w:spacing w:line="360" w:lineRule="auto"/>
              <w:jc w:val="both"/>
              <w:rPr>
                <w:rFonts w:ascii="Arial" w:hAnsi="Arial" w:cs="Arial"/>
                <w:sz w:val="18"/>
                <w:szCs w:val="18"/>
                <w:lang w:eastAsia="cs-CZ"/>
              </w:rPr>
            </w:pPr>
            <w:r w:rsidRPr="0039268C">
              <w:rPr>
                <w:rFonts w:ascii="Arial" w:hAnsi="Arial" w:cs="Arial"/>
                <w:sz w:val="18"/>
                <w:szCs w:val="18"/>
                <w:lang w:eastAsia="cs-CZ"/>
              </w:rPr>
              <w:t>manažér pre technickú pomoc</w:t>
            </w:r>
          </w:p>
        </w:tc>
        <w:tc>
          <w:tcPr>
            <w:tcW w:w="759" w:type="dxa"/>
            <w:shd w:val="clear" w:color="auto" w:fill="auto"/>
            <w:noWrap/>
            <w:tcMar>
              <w:top w:w="15" w:type="dxa"/>
              <w:left w:w="15" w:type="dxa"/>
              <w:bottom w:w="0" w:type="dxa"/>
              <w:right w:w="15" w:type="dxa"/>
            </w:tcMar>
            <w:vAlign w:val="center"/>
          </w:tcPr>
          <w:p w:rsidR="00A82EA5" w:rsidRPr="0039268C" w:rsidRDefault="00A82EA5" w:rsidP="0076276F">
            <w:pPr>
              <w:spacing w:line="360" w:lineRule="auto"/>
              <w:jc w:val="center"/>
              <w:rPr>
                <w:rFonts w:ascii="Arial" w:hAnsi="Arial" w:cs="Arial"/>
                <w:sz w:val="18"/>
                <w:szCs w:val="18"/>
                <w:lang w:eastAsia="cs-CZ"/>
              </w:rPr>
            </w:pPr>
            <w:r w:rsidRPr="0039268C">
              <w:rPr>
                <w:rFonts w:ascii="Arial" w:hAnsi="Arial" w:cs="Arial"/>
                <w:sz w:val="18"/>
                <w:szCs w:val="18"/>
                <w:lang w:eastAsia="cs-CZ"/>
              </w:rPr>
              <w:t>4</w:t>
            </w:r>
          </w:p>
        </w:tc>
        <w:tc>
          <w:tcPr>
            <w:tcW w:w="1391" w:type="dxa"/>
            <w:vAlign w:val="center"/>
          </w:tcPr>
          <w:p w:rsidR="00A82EA5" w:rsidRPr="0039268C" w:rsidRDefault="00A82EA5" w:rsidP="0076276F">
            <w:pPr>
              <w:spacing w:line="360" w:lineRule="auto"/>
              <w:jc w:val="center"/>
              <w:rPr>
                <w:rFonts w:ascii="Arial" w:hAnsi="Arial" w:cs="Arial"/>
                <w:sz w:val="18"/>
                <w:szCs w:val="18"/>
                <w:lang w:eastAsia="cs-CZ"/>
              </w:rPr>
            </w:pPr>
            <w:r w:rsidRPr="0039268C">
              <w:rPr>
                <w:rFonts w:ascii="Arial" w:hAnsi="Arial" w:cs="Arial"/>
                <w:sz w:val="18"/>
                <w:szCs w:val="18"/>
                <w:lang w:eastAsia="cs-CZ"/>
              </w:rPr>
              <w:t>6</w:t>
            </w:r>
          </w:p>
        </w:tc>
        <w:tc>
          <w:tcPr>
            <w:tcW w:w="1087" w:type="dxa"/>
            <w:shd w:val="clear" w:color="auto" w:fill="auto"/>
            <w:vAlign w:val="center"/>
          </w:tcPr>
          <w:p w:rsidR="00A82EA5" w:rsidRPr="0039268C" w:rsidRDefault="00A82EA5" w:rsidP="0076276F">
            <w:pPr>
              <w:spacing w:line="360" w:lineRule="auto"/>
              <w:jc w:val="center"/>
              <w:rPr>
                <w:rFonts w:ascii="Arial" w:hAnsi="Arial" w:cs="Arial"/>
                <w:sz w:val="18"/>
                <w:szCs w:val="18"/>
                <w:lang w:eastAsia="cs-CZ"/>
              </w:rPr>
            </w:pPr>
            <w:r w:rsidRPr="0039268C">
              <w:rPr>
                <w:rFonts w:ascii="Arial" w:hAnsi="Arial" w:cs="Arial"/>
                <w:sz w:val="18"/>
                <w:szCs w:val="18"/>
                <w:lang w:eastAsia="cs-CZ"/>
              </w:rPr>
              <w:t>7</w:t>
            </w:r>
          </w:p>
        </w:tc>
        <w:tc>
          <w:tcPr>
            <w:tcW w:w="1276" w:type="dxa"/>
            <w:vAlign w:val="center"/>
          </w:tcPr>
          <w:p w:rsidR="00A82EA5" w:rsidRPr="0039268C" w:rsidRDefault="00A82EA5" w:rsidP="0076276F">
            <w:pPr>
              <w:spacing w:line="360" w:lineRule="auto"/>
              <w:jc w:val="center"/>
              <w:rPr>
                <w:rFonts w:ascii="Arial" w:hAnsi="Arial" w:cs="Arial"/>
                <w:sz w:val="18"/>
                <w:szCs w:val="18"/>
                <w:lang w:eastAsia="cs-CZ"/>
              </w:rPr>
            </w:pPr>
            <w:r w:rsidRPr="0039268C">
              <w:rPr>
                <w:rFonts w:ascii="Arial" w:hAnsi="Arial" w:cs="Arial"/>
                <w:sz w:val="18"/>
                <w:szCs w:val="18"/>
                <w:lang w:eastAsia="cs-CZ"/>
              </w:rPr>
              <w:t>117%</w:t>
            </w:r>
          </w:p>
        </w:tc>
        <w:tc>
          <w:tcPr>
            <w:tcW w:w="1288" w:type="dxa"/>
            <w:shd w:val="clear" w:color="auto" w:fill="auto"/>
            <w:noWrap/>
            <w:tcMar>
              <w:top w:w="15" w:type="dxa"/>
              <w:left w:w="15" w:type="dxa"/>
              <w:bottom w:w="0" w:type="dxa"/>
              <w:right w:w="15" w:type="dxa"/>
            </w:tcMar>
            <w:vAlign w:val="center"/>
          </w:tcPr>
          <w:p w:rsidR="00A82EA5" w:rsidRPr="0039268C" w:rsidRDefault="00A82EA5" w:rsidP="0076276F">
            <w:pPr>
              <w:spacing w:line="360" w:lineRule="auto"/>
              <w:jc w:val="center"/>
              <w:rPr>
                <w:rFonts w:ascii="Arial" w:hAnsi="Arial" w:cs="Arial"/>
                <w:sz w:val="18"/>
                <w:szCs w:val="18"/>
                <w:lang w:eastAsia="cs-CZ"/>
              </w:rPr>
            </w:pPr>
          </w:p>
        </w:tc>
      </w:tr>
      <w:tr w:rsidR="00A82EA5" w:rsidRPr="00A82EA5" w:rsidTr="0039268C">
        <w:trPr>
          <w:trHeight w:val="20"/>
          <w:jc w:val="center"/>
        </w:trPr>
        <w:tc>
          <w:tcPr>
            <w:tcW w:w="3299" w:type="dxa"/>
            <w:tcBorders>
              <w:bottom w:val="single" w:sz="4" w:space="0" w:color="auto"/>
            </w:tcBorders>
            <w:shd w:val="clear" w:color="auto" w:fill="auto"/>
            <w:noWrap/>
            <w:tcMar>
              <w:top w:w="15" w:type="dxa"/>
              <w:left w:w="15" w:type="dxa"/>
              <w:bottom w:w="0" w:type="dxa"/>
              <w:right w:w="15" w:type="dxa"/>
            </w:tcMar>
            <w:vAlign w:val="center"/>
          </w:tcPr>
          <w:p w:rsidR="00A82EA5" w:rsidRPr="0039268C" w:rsidRDefault="00A82EA5" w:rsidP="0076276F">
            <w:pPr>
              <w:spacing w:line="360" w:lineRule="auto"/>
              <w:jc w:val="both"/>
              <w:rPr>
                <w:rFonts w:ascii="Arial" w:hAnsi="Arial" w:cs="Arial"/>
                <w:sz w:val="18"/>
                <w:szCs w:val="18"/>
                <w:lang w:eastAsia="cs-CZ"/>
              </w:rPr>
            </w:pPr>
            <w:r w:rsidRPr="0039268C">
              <w:rPr>
                <w:rFonts w:ascii="Arial" w:hAnsi="Arial" w:cs="Arial"/>
                <w:sz w:val="18"/>
                <w:szCs w:val="18"/>
                <w:lang w:eastAsia="cs-CZ"/>
              </w:rPr>
              <w:t>Iné (audit, kontrola)</w:t>
            </w:r>
          </w:p>
        </w:tc>
        <w:tc>
          <w:tcPr>
            <w:tcW w:w="759" w:type="dxa"/>
            <w:tcBorders>
              <w:bottom w:val="single" w:sz="4" w:space="0" w:color="auto"/>
            </w:tcBorders>
            <w:shd w:val="clear" w:color="auto" w:fill="auto"/>
            <w:noWrap/>
            <w:tcMar>
              <w:top w:w="15" w:type="dxa"/>
              <w:left w:w="15" w:type="dxa"/>
              <w:bottom w:w="0" w:type="dxa"/>
              <w:right w:w="15" w:type="dxa"/>
            </w:tcMar>
            <w:vAlign w:val="center"/>
          </w:tcPr>
          <w:p w:rsidR="00A82EA5" w:rsidRPr="0039268C" w:rsidRDefault="00A82EA5" w:rsidP="0076276F">
            <w:pPr>
              <w:spacing w:line="360" w:lineRule="auto"/>
              <w:jc w:val="center"/>
              <w:rPr>
                <w:rFonts w:ascii="Arial" w:hAnsi="Arial" w:cs="Arial"/>
                <w:sz w:val="18"/>
                <w:szCs w:val="18"/>
                <w:lang w:eastAsia="cs-CZ"/>
              </w:rPr>
            </w:pPr>
            <w:r w:rsidRPr="0039268C">
              <w:rPr>
                <w:rFonts w:ascii="Arial" w:hAnsi="Arial" w:cs="Arial"/>
                <w:sz w:val="18"/>
                <w:szCs w:val="18"/>
                <w:lang w:eastAsia="cs-CZ"/>
              </w:rPr>
              <w:t>8</w:t>
            </w:r>
          </w:p>
        </w:tc>
        <w:tc>
          <w:tcPr>
            <w:tcW w:w="1391" w:type="dxa"/>
            <w:tcBorders>
              <w:bottom w:val="single" w:sz="4" w:space="0" w:color="auto"/>
            </w:tcBorders>
            <w:vAlign w:val="center"/>
          </w:tcPr>
          <w:p w:rsidR="00A82EA5" w:rsidRPr="0039268C" w:rsidRDefault="00A82EA5" w:rsidP="0076276F">
            <w:pPr>
              <w:spacing w:line="360" w:lineRule="auto"/>
              <w:jc w:val="center"/>
              <w:rPr>
                <w:rFonts w:ascii="Arial" w:hAnsi="Arial" w:cs="Arial"/>
                <w:sz w:val="18"/>
                <w:szCs w:val="18"/>
                <w:lang w:eastAsia="cs-CZ"/>
              </w:rPr>
            </w:pPr>
            <w:r w:rsidRPr="0039268C">
              <w:rPr>
                <w:rFonts w:ascii="Arial" w:hAnsi="Arial" w:cs="Arial"/>
                <w:sz w:val="18"/>
                <w:szCs w:val="18"/>
                <w:lang w:eastAsia="cs-CZ"/>
              </w:rPr>
              <w:t>1</w:t>
            </w:r>
          </w:p>
        </w:tc>
        <w:tc>
          <w:tcPr>
            <w:tcW w:w="1087" w:type="dxa"/>
            <w:tcBorders>
              <w:bottom w:val="single" w:sz="4" w:space="0" w:color="auto"/>
            </w:tcBorders>
            <w:shd w:val="clear" w:color="auto" w:fill="auto"/>
            <w:vAlign w:val="center"/>
          </w:tcPr>
          <w:p w:rsidR="00A82EA5" w:rsidRPr="0039268C" w:rsidRDefault="00A82EA5" w:rsidP="0076276F">
            <w:pPr>
              <w:spacing w:line="360" w:lineRule="auto"/>
              <w:jc w:val="center"/>
              <w:rPr>
                <w:rFonts w:ascii="Arial" w:hAnsi="Arial" w:cs="Arial"/>
                <w:sz w:val="18"/>
                <w:szCs w:val="18"/>
                <w:lang w:eastAsia="cs-CZ"/>
              </w:rPr>
            </w:pPr>
            <w:r w:rsidRPr="0039268C">
              <w:rPr>
                <w:rFonts w:ascii="Arial" w:hAnsi="Arial" w:cs="Arial"/>
                <w:sz w:val="18"/>
                <w:szCs w:val="18"/>
                <w:lang w:eastAsia="cs-CZ"/>
              </w:rPr>
              <w:t>9</w:t>
            </w:r>
          </w:p>
        </w:tc>
        <w:tc>
          <w:tcPr>
            <w:tcW w:w="1276" w:type="dxa"/>
            <w:tcBorders>
              <w:bottom w:val="single" w:sz="4" w:space="0" w:color="auto"/>
            </w:tcBorders>
            <w:vAlign w:val="center"/>
          </w:tcPr>
          <w:p w:rsidR="00A82EA5" w:rsidRPr="0039268C" w:rsidRDefault="00A82EA5" w:rsidP="0076276F">
            <w:pPr>
              <w:spacing w:line="360" w:lineRule="auto"/>
              <w:jc w:val="center"/>
              <w:rPr>
                <w:rFonts w:ascii="Arial" w:hAnsi="Arial" w:cs="Arial"/>
                <w:sz w:val="18"/>
                <w:szCs w:val="18"/>
                <w:lang w:eastAsia="cs-CZ"/>
              </w:rPr>
            </w:pPr>
            <w:r w:rsidRPr="0039268C">
              <w:rPr>
                <w:rFonts w:ascii="Arial" w:hAnsi="Arial" w:cs="Arial"/>
                <w:sz w:val="18"/>
                <w:szCs w:val="18"/>
                <w:lang w:eastAsia="cs-CZ"/>
              </w:rPr>
              <w:t>900%</w:t>
            </w:r>
          </w:p>
        </w:tc>
        <w:tc>
          <w:tcPr>
            <w:tcW w:w="1288" w:type="dxa"/>
            <w:tcBorders>
              <w:bottom w:val="single" w:sz="4" w:space="0" w:color="auto"/>
            </w:tcBorders>
            <w:shd w:val="clear" w:color="auto" w:fill="auto"/>
            <w:noWrap/>
            <w:tcMar>
              <w:top w:w="15" w:type="dxa"/>
              <w:left w:w="15" w:type="dxa"/>
              <w:bottom w:w="0" w:type="dxa"/>
              <w:right w:w="15" w:type="dxa"/>
            </w:tcMar>
            <w:vAlign w:val="center"/>
          </w:tcPr>
          <w:p w:rsidR="00A82EA5" w:rsidRPr="0039268C" w:rsidRDefault="00A82EA5" w:rsidP="0076276F">
            <w:pPr>
              <w:spacing w:line="360" w:lineRule="auto"/>
              <w:jc w:val="center"/>
              <w:rPr>
                <w:rFonts w:ascii="Arial" w:hAnsi="Arial" w:cs="Arial"/>
                <w:sz w:val="18"/>
                <w:szCs w:val="18"/>
                <w:lang w:eastAsia="cs-CZ"/>
              </w:rPr>
            </w:pPr>
          </w:p>
        </w:tc>
      </w:tr>
      <w:tr w:rsidR="00536040" w:rsidRPr="00A82EA5" w:rsidTr="00536040">
        <w:trPr>
          <w:trHeight w:val="20"/>
          <w:jc w:val="center"/>
        </w:trPr>
        <w:tc>
          <w:tcPr>
            <w:tcW w:w="3299" w:type="dxa"/>
            <w:shd w:val="clear" w:color="auto" w:fill="EAF1DD"/>
            <w:noWrap/>
            <w:tcMar>
              <w:top w:w="15" w:type="dxa"/>
              <w:left w:w="15" w:type="dxa"/>
              <w:bottom w:w="0" w:type="dxa"/>
              <w:right w:w="15" w:type="dxa"/>
            </w:tcMar>
            <w:vAlign w:val="center"/>
          </w:tcPr>
          <w:p w:rsidR="00A82EA5" w:rsidRPr="0039268C" w:rsidRDefault="00A82EA5" w:rsidP="0076276F">
            <w:pPr>
              <w:spacing w:line="360" w:lineRule="auto"/>
              <w:jc w:val="both"/>
              <w:rPr>
                <w:rFonts w:ascii="Arial" w:hAnsi="Arial" w:cs="Arial"/>
                <w:b/>
                <w:sz w:val="18"/>
                <w:szCs w:val="18"/>
                <w:lang w:eastAsia="cs-CZ"/>
              </w:rPr>
            </w:pPr>
            <w:r w:rsidRPr="0039268C">
              <w:rPr>
                <w:rFonts w:ascii="Arial" w:hAnsi="Arial" w:cs="Arial"/>
                <w:b/>
                <w:sz w:val="18"/>
                <w:szCs w:val="18"/>
                <w:lang w:eastAsia="cs-CZ"/>
              </w:rPr>
              <w:t>Spolu</w:t>
            </w:r>
          </w:p>
        </w:tc>
        <w:tc>
          <w:tcPr>
            <w:tcW w:w="759" w:type="dxa"/>
            <w:shd w:val="clear" w:color="auto" w:fill="EAF1DD"/>
            <w:noWrap/>
            <w:tcMar>
              <w:top w:w="15" w:type="dxa"/>
              <w:left w:w="15" w:type="dxa"/>
              <w:bottom w:w="0" w:type="dxa"/>
              <w:right w:w="15" w:type="dxa"/>
            </w:tcMar>
            <w:vAlign w:val="center"/>
          </w:tcPr>
          <w:p w:rsidR="00A82EA5" w:rsidRPr="0039268C" w:rsidRDefault="00A82EA5" w:rsidP="0076276F">
            <w:pPr>
              <w:spacing w:line="360" w:lineRule="auto"/>
              <w:jc w:val="center"/>
              <w:rPr>
                <w:rFonts w:ascii="Arial" w:hAnsi="Arial" w:cs="Arial"/>
                <w:b/>
                <w:sz w:val="18"/>
                <w:szCs w:val="18"/>
                <w:lang w:eastAsia="cs-CZ"/>
              </w:rPr>
            </w:pPr>
            <w:r w:rsidRPr="0039268C">
              <w:rPr>
                <w:rFonts w:ascii="Arial" w:hAnsi="Arial" w:cs="Arial"/>
                <w:b/>
                <w:sz w:val="18"/>
                <w:szCs w:val="18"/>
                <w:lang w:eastAsia="cs-CZ"/>
              </w:rPr>
              <w:t>134</w:t>
            </w:r>
          </w:p>
        </w:tc>
        <w:tc>
          <w:tcPr>
            <w:tcW w:w="1391" w:type="dxa"/>
            <w:shd w:val="clear" w:color="auto" w:fill="EAF1DD"/>
            <w:vAlign w:val="center"/>
          </w:tcPr>
          <w:p w:rsidR="00A82EA5" w:rsidRPr="0039268C" w:rsidRDefault="00A82EA5" w:rsidP="0076276F">
            <w:pPr>
              <w:spacing w:line="360" w:lineRule="auto"/>
              <w:jc w:val="center"/>
              <w:rPr>
                <w:rFonts w:ascii="Arial" w:hAnsi="Arial" w:cs="Arial"/>
                <w:b/>
                <w:sz w:val="18"/>
                <w:szCs w:val="18"/>
                <w:lang w:eastAsia="cs-CZ"/>
              </w:rPr>
            </w:pPr>
            <w:r w:rsidRPr="0039268C">
              <w:rPr>
                <w:rFonts w:ascii="Arial" w:hAnsi="Arial" w:cs="Arial"/>
                <w:b/>
                <w:sz w:val="18"/>
                <w:szCs w:val="18"/>
                <w:lang w:eastAsia="cs-CZ"/>
              </w:rPr>
              <w:t>145</w:t>
            </w:r>
          </w:p>
        </w:tc>
        <w:tc>
          <w:tcPr>
            <w:tcW w:w="1087" w:type="dxa"/>
            <w:shd w:val="clear" w:color="auto" w:fill="EAF1DD"/>
            <w:vAlign w:val="center"/>
          </w:tcPr>
          <w:p w:rsidR="00A82EA5" w:rsidRPr="0039268C" w:rsidRDefault="00A82EA5" w:rsidP="0076276F">
            <w:pPr>
              <w:spacing w:line="360" w:lineRule="auto"/>
              <w:jc w:val="center"/>
              <w:rPr>
                <w:rFonts w:ascii="Arial" w:hAnsi="Arial" w:cs="Arial"/>
                <w:b/>
                <w:sz w:val="18"/>
                <w:szCs w:val="18"/>
                <w:lang w:eastAsia="cs-CZ"/>
              </w:rPr>
            </w:pPr>
            <w:r w:rsidRPr="0039268C">
              <w:rPr>
                <w:rFonts w:ascii="Arial" w:hAnsi="Arial" w:cs="Arial"/>
                <w:b/>
                <w:sz w:val="18"/>
                <w:szCs w:val="18"/>
                <w:lang w:eastAsia="cs-CZ"/>
              </w:rPr>
              <w:t>138</w:t>
            </w:r>
          </w:p>
        </w:tc>
        <w:tc>
          <w:tcPr>
            <w:tcW w:w="1276" w:type="dxa"/>
            <w:shd w:val="clear" w:color="auto" w:fill="EAF1DD"/>
            <w:vAlign w:val="center"/>
          </w:tcPr>
          <w:p w:rsidR="00A82EA5" w:rsidRPr="0039268C" w:rsidRDefault="00A82EA5" w:rsidP="0076276F">
            <w:pPr>
              <w:spacing w:line="360" w:lineRule="auto"/>
              <w:jc w:val="center"/>
              <w:rPr>
                <w:rFonts w:ascii="Arial" w:hAnsi="Arial" w:cs="Arial"/>
                <w:b/>
                <w:sz w:val="18"/>
                <w:szCs w:val="18"/>
                <w:lang w:eastAsia="cs-CZ"/>
              </w:rPr>
            </w:pPr>
            <w:r w:rsidRPr="0039268C">
              <w:rPr>
                <w:rFonts w:ascii="Arial" w:hAnsi="Arial" w:cs="Arial"/>
                <w:b/>
                <w:sz w:val="18"/>
                <w:szCs w:val="18"/>
                <w:lang w:eastAsia="cs-CZ"/>
              </w:rPr>
              <w:t>95%</w:t>
            </w:r>
          </w:p>
        </w:tc>
        <w:tc>
          <w:tcPr>
            <w:tcW w:w="1288" w:type="dxa"/>
            <w:shd w:val="clear" w:color="auto" w:fill="EAF1DD"/>
            <w:noWrap/>
            <w:tcMar>
              <w:top w:w="15" w:type="dxa"/>
              <w:left w:w="15" w:type="dxa"/>
              <w:bottom w:w="0" w:type="dxa"/>
              <w:right w:w="15" w:type="dxa"/>
            </w:tcMar>
            <w:vAlign w:val="center"/>
          </w:tcPr>
          <w:p w:rsidR="00A82EA5" w:rsidRPr="0039268C" w:rsidRDefault="00A82EA5" w:rsidP="0076276F">
            <w:pPr>
              <w:spacing w:line="360" w:lineRule="auto"/>
              <w:jc w:val="center"/>
              <w:rPr>
                <w:rFonts w:ascii="Arial" w:hAnsi="Arial" w:cs="Arial"/>
                <w:b/>
                <w:sz w:val="18"/>
                <w:szCs w:val="18"/>
                <w:lang w:eastAsia="cs-CZ"/>
              </w:rPr>
            </w:pPr>
            <w:r w:rsidRPr="0039268C">
              <w:rPr>
                <w:rFonts w:ascii="Arial" w:hAnsi="Arial" w:cs="Arial"/>
                <w:b/>
                <w:sz w:val="18"/>
                <w:szCs w:val="18"/>
                <w:lang w:eastAsia="cs-CZ"/>
              </w:rPr>
              <w:t>17</w:t>
            </w:r>
          </w:p>
        </w:tc>
      </w:tr>
    </w:tbl>
    <w:p w:rsidR="002416B1" w:rsidRDefault="002416B1" w:rsidP="0076276F">
      <w:pPr>
        <w:spacing w:line="360" w:lineRule="auto"/>
        <w:jc w:val="both"/>
        <w:rPr>
          <w:rFonts w:ascii="Arial" w:hAnsi="Arial" w:cs="Arial"/>
          <w:sz w:val="18"/>
          <w:szCs w:val="18"/>
        </w:rPr>
      </w:pPr>
      <w:r w:rsidRPr="006A2BF3">
        <w:rPr>
          <w:rFonts w:ascii="Arial" w:hAnsi="Arial" w:cs="Arial"/>
          <w:sz w:val="18"/>
          <w:szCs w:val="18"/>
        </w:rPr>
        <w:t>Zdroj: RO</w:t>
      </w:r>
    </w:p>
    <w:p w:rsidR="0004016B" w:rsidRDefault="0004016B" w:rsidP="00507035">
      <w:pPr>
        <w:spacing w:before="120" w:after="120" w:line="360" w:lineRule="auto"/>
        <w:jc w:val="both"/>
        <w:rPr>
          <w:rFonts w:ascii="Arial" w:hAnsi="Arial" w:cs="Arial"/>
          <w:sz w:val="18"/>
          <w:szCs w:val="18"/>
        </w:rPr>
      </w:pPr>
      <w:r w:rsidRPr="0004016B">
        <w:rPr>
          <w:rFonts w:ascii="Arial" w:hAnsi="Arial" w:cs="Arial"/>
          <w:sz w:val="18"/>
          <w:szCs w:val="18"/>
        </w:rPr>
        <w:t>Údaje v tabuľkách identifikujú zmeny v počtoch zamestnancov RO v porovnaní s predchádzajúcim rokom 2011. Plánované administratívne kapacity boli napĺňané v rozpätí 77%</w:t>
      </w:r>
      <w:r>
        <w:rPr>
          <w:rFonts w:ascii="Arial" w:hAnsi="Arial" w:cs="Arial"/>
          <w:sz w:val="18"/>
          <w:szCs w:val="18"/>
        </w:rPr>
        <w:t xml:space="preserve"> </w:t>
      </w:r>
      <w:r w:rsidRPr="0004016B">
        <w:rPr>
          <w:rFonts w:ascii="Arial" w:hAnsi="Arial" w:cs="Arial"/>
          <w:sz w:val="18"/>
          <w:szCs w:val="18"/>
        </w:rPr>
        <w:t>- 100%, pričom najnižšia hodnota (t.j. 77%) v prípade pozície manažér programovania je až o 23% nižšia ako v roku 2011. Rovnako došlo k poklesu na pozíciách vedúcich oddelení a projektových manažérov v porovnaní s naplánovanými počtami zamestnancov na rok 2012 ako aj so skutočným stavom za rok 2011.</w:t>
      </w:r>
    </w:p>
    <w:p w:rsidR="002416B1" w:rsidRPr="006A2BF3" w:rsidRDefault="002416B1" w:rsidP="0076276F">
      <w:pPr>
        <w:spacing w:line="360" w:lineRule="auto"/>
        <w:rPr>
          <w:rFonts w:ascii="Arial" w:hAnsi="Arial" w:cs="Arial"/>
          <w:sz w:val="20"/>
          <w:szCs w:val="20"/>
        </w:rPr>
      </w:pPr>
      <w:r w:rsidRPr="006A2BF3">
        <w:rPr>
          <w:rFonts w:ascii="Arial" w:hAnsi="Arial" w:cs="Arial"/>
          <w:sz w:val="20"/>
          <w:szCs w:val="20"/>
        </w:rPr>
        <w:t xml:space="preserve">Tab. č. </w:t>
      </w:r>
      <w:r w:rsidR="007B7519">
        <w:rPr>
          <w:rFonts w:ascii="Arial" w:hAnsi="Arial" w:cs="Arial"/>
          <w:sz w:val="20"/>
          <w:szCs w:val="20"/>
        </w:rPr>
        <w:t>35</w:t>
      </w:r>
      <w:r w:rsidRPr="006A2BF3">
        <w:rPr>
          <w:rFonts w:ascii="Arial" w:hAnsi="Arial" w:cs="Arial"/>
          <w:sz w:val="20"/>
          <w:szCs w:val="20"/>
        </w:rPr>
        <w:t>: Administratívne kapacity platobnej jednotky</w:t>
      </w:r>
    </w:p>
    <w:tbl>
      <w:tblPr>
        <w:tblW w:w="9498" w:type="dxa"/>
        <w:tblInd w:w="-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3202"/>
        <w:gridCol w:w="1260"/>
        <w:gridCol w:w="1350"/>
        <w:gridCol w:w="1350"/>
        <w:gridCol w:w="1440"/>
        <w:gridCol w:w="896"/>
      </w:tblGrid>
      <w:tr w:rsidR="00FD01F0" w:rsidRPr="00FD01F0" w:rsidTr="0039268C">
        <w:trPr>
          <w:trHeight w:val="636"/>
        </w:trPr>
        <w:tc>
          <w:tcPr>
            <w:tcW w:w="3202" w:type="dxa"/>
            <w:tcBorders>
              <w:bottom w:val="single" w:sz="4" w:space="0" w:color="auto"/>
            </w:tcBorders>
            <w:shd w:val="clear" w:color="auto" w:fill="D6E3BC"/>
            <w:noWrap/>
            <w:tcMar>
              <w:top w:w="15" w:type="dxa"/>
              <w:left w:w="15" w:type="dxa"/>
              <w:bottom w:w="0" w:type="dxa"/>
              <w:right w:w="15" w:type="dxa"/>
            </w:tcMar>
            <w:vAlign w:val="center"/>
          </w:tcPr>
          <w:p w:rsidR="00FD01F0" w:rsidRPr="0039268C" w:rsidRDefault="00FD01F0" w:rsidP="0076276F">
            <w:pPr>
              <w:jc w:val="center"/>
              <w:rPr>
                <w:rFonts w:ascii="Arial" w:hAnsi="Arial" w:cs="Arial"/>
                <w:b/>
                <w:sz w:val="18"/>
                <w:szCs w:val="18"/>
                <w:lang w:eastAsia="cs-CZ"/>
              </w:rPr>
            </w:pPr>
            <w:r w:rsidRPr="0039268C">
              <w:rPr>
                <w:rFonts w:ascii="Arial" w:hAnsi="Arial" w:cs="Arial"/>
                <w:b/>
                <w:sz w:val="18"/>
                <w:szCs w:val="18"/>
                <w:lang w:eastAsia="cs-CZ"/>
              </w:rPr>
              <w:t>Pozícia</w:t>
            </w:r>
          </w:p>
        </w:tc>
        <w:tc>
          <w:tcPr>
            <w:tcW w:w="1260" w:type="dxa"/>
            <w:tcBorders>
              <w:bottom w:val="single" w:sz="4" w:space="0" w:color="auto"/>
            </w:tcBorders>
            <w:shd w:val="clear" w:color="auto" w:fill="D6E3BC"/>
            <w:tcMar>
              <w:top w:w="15" w:type="dxa"/>
              <w:left w:w="15" w:type="dxa"/>
              <w:bottom w:w="0" w:type="dxa"/>
              <w:right w:w="15" w:type="dxa"/>
            </w:tcMar>
            <w:vAlign w:val="center"/>
          </w:tcPr>
          <w:p w:rsidR="00FD01F0" w:rsidRPr="0039268C" w:rsidRDefault="00FD01F0" w:rsidP="0076276F">
            <w:pPr>
              <w:jc w:val="center"/>
              <w:rPr>
                <w:rFonts w:ascii="Arial" w:hAnsi="Arial" w:cs="Arial"/>
                <w:b/>
                <w:sz w:val="18"/>
                <w:szCs w:val="18"/>
                <w:lang w:eastAsia="cs-CZ"/>
              </w:rPr>
            </w:pPr>
            <w:r w:rsidRPr="0039268C">
              <w:rPr>
                <w:rFonts w:ascii="Arial" w:hAnsi="Arial" w:cs="Arial"/>
                <w:b/>
                <w:sz w:val="18"/>
                <w:szCs w:val="18"/>
                <w:lang w:eastAsia="cs-CZ"/>
              </w:rPr>
              <w:t xml:space="preserve">Stav k 31. 12. </w:t>
            </w:r>
            <w:r w:rsidRPr="0039268C">
              <w:rPr>
                <w:rFonts w:ascii="Arial" w:hAnsi="Arial" w:cs="Arial"/>
                <w:b/>
                <w:bCs/>
                <w:sz w:val="18"/>
                <w:szCs w:val="18"/>
                <w:lang w:eastAsia="cs-CZ"/>
              </w:rPr>
              <w:t>2011</w:t>
            </w:r>
          </w:p>
        </w:tc>
        <w:tc>
          <w:tcPr>
            <w:tcW w:w="1350" w:type="dxa"/>
            <w:tcBorders>
              <w:bottom w:val="single" w:sz="4" w:space="0" w:color="auto"/>
            </w:tcBorders>
            <w:shd w:val="clear" w:color="auto" w:fill="D6E3BC"/>
            <w:vAlign w:val="center"/>
          </w:tcPr>
          <w:p w:rsidR="00FD01F0" w:rsidRPr="0039268C" w:rsidRDefault="00FD01F0" w:rsidP="0076276F">
            <w:pPr>
              <w:jc w:val="center"/>
              <w:rPr>
                <w:rFonts w:ascii="Arial" w:hAnsi="Arial" w:cs="Arial"/>
                <w:b/>
                <w:sz w:val="18"/>
                <w:szCs w:val="18"/>
                <w:lang w:eastAsia="cs-CZ"/>
              </w:rPr>
            </w:pPr>
            <w:r w:rsidRPr="0039268C">
              <w:rPr>
                <w:rFonts w:ascii="Arial" w:hAnsi="Arial" w:cs="Arial"/>
                <w:b/>
                <w:bCs/>
                <w:sz w:val="18"/>
                <w:szCs w:val="18"/>
                <w:lang w:eastAsia="cs-CZ"/>
              </w:rPr>
              <w:t>Plánovaný stav k 31. 12. 2012</w:t>
            </w:r>
          </w:p>
        </w:tc>
        <w:tc>
          <w:tcPr>
            <w:tcW w:w="1350" w:type="dxa"/>
            <w:tcBorders>
              <w:bottom w:val="single" w:sz="4" w:space="0" w:color="auto"/>
            </w:tcBorders>
            <w:shd w:val="clear" w:color="auto" w:fill="D6E3BC"/>
            <w:vAlign w:val="center"/>
          </w:tcPr>
          <w:p w:rsidR="00FD01F0" w:rsidRPr="0039268C" w:rsidRDefault="00FD01F0" w:rsidP="0076276F">
            <w:pPr>
              <w:jc w:val="center"/>
              <w:rPr>
                <w:rFonts w:ascii="Arial" w:hAnsi="Arial" w:cs="Arial"/>
                <w:b/>
                <w:sz w:val="18"/>
                <w:szCs w:val="18"/>
                <w:lang w:eastAsia="cs-CZ"/>
              </w:rPr>
            </w:pPr>
            <w:r w:rsidRPr="0039268C">
              <w:rPr>
                <w:rFonts w:ascii="Arial" w:hAnsi="Arial" w:cs="Arial"/>
                <w:b/>
                <w:sz w:val="18"/>
                <w:szCs w:val="18"/>
                <w:lang w:eastAsia="cs-CZ"/>
              </w:rPr>
              <w:t>Stav k 31. 12.</w:t>
            </w:r>
            <w:r w:rsidRPr="0039268C">
              <w:rPr>
                <w:rFonts w:ascii="Arial" w:hAnsi="Arial" w:cs="Arial"/>
                <w:b/>
                <w:bCs/>
                <w:sz w:val="18"/>
                <w:szCs w:val="18"/>
                <w:lang w:eastAsia="cs-CZ"/>
              </w:rPr>
              <w:t xml:space="preserve"> 2012</w:t>
            </w:r>
          </w:p>
        </w:tc>
        <w:tc>
          <w:tcPr>
            <w:tcW w:w="1440" w:type="dxa"/>
            <w:tcBorders>
              <w:bottom w:val="single" w:sz="4" w:space="0" w:color="auto"/>
            </w:tcBorders>
            <w:shd w:val="clear" w:color="auto" w:fill="D6E3BC"/>
            <w:vAlign w:val="center"/>
          </w:tcPr>
          <w:p w:rsidR="00FD01F0" w:rsidRPr="0039268C" w:rsidRDefault="00FD01F0" w:rsidP="0076276F">
            <w:pPr>
              <w:jc w:val="center"/>
              <w:rPr>
                <w:rFonts w:ascii="Arial" w:hAnsi="Arial" w:cs="Arial"/>
                <w:b/>
                <w:sz w:val="18"/>
                <w:szCs w:val="18"/>
                <w:lang w:eastAsia="cs-CZ"/>
              </w:rPr>
            </w:pPr>
            <w:r w:rsidRPr="0039268C">
              <w:rPr>
                <w:rFonts w:ascii="Arial" w:hAnsi="Arial" w:cs="Arial"/>
                <w:b/>
                <w:bCs/>
                <w:sz w:val="18"/>
                <w:szCs w:val="18"/>
                <w:lang w:eastAsia="cs-CZ"/>
              </w:rPr>
              <w:t>% plánovaného stavu</w:t>
            </w:r>
          </w:p>
        </w:tc>
        <w:tc>
          <w:tcPr>
            <w:tcW w:w="896" w:type="dxa"/>
            <w:tcBorders>
              <w:bottom w:val="single" w:sz="4" w:space="0" w:color="auto"/>
            </w:tcBorders>
            <w:shd w:val="clear" w:color="auto" w:fill="D6E3BC"/>
            <w:noWrap/>
            <w:tcMar>
              <w:top w:w="15" w:type="dxa"/>
              <w:left w:w="15" w:type="dxa"/>
              <w:bottom w:w="0" w:type="dxa"/>
              <w:right w:w="15" w:type="dxa"/>
            </w:tcMar>
            <w:vAlign w:val="center"/>
          </w:tcPr>
          <w:p w:rsidR="00FD01F0" w:rsidRPr="0039268C" w:rsidRDefault="00FD01F0" w:rsidP="0076276F">
            <w:pPr>
              <w:jc w:val="center"/>
              <w:rPr>
                <w:rFonts w:ascii="Arial" w:hAnsi="Arial" w:cs="Arial"/>
                <w:b/>
                <w:sz w:val="18"/>
                <w:szCs w:val="18"/>
                <w:lang w:eastAsia="cs-CZ"/>
              </w:rPr>
            </w:pPr>
            <w:r w:rsidRPr="0039268C">
              <w:rPr>
                <w:rFonts w:ascii="Arial" w:hAnsi="Arial" w:cs="Arial"/>
                <w:b/>
                <w:sz w:val="18"/>
                <w:szCs w:val="18"/>
                <w:lang w:eastAsia="cs-CZ"/>
              </w:rPr>
              <w:t>Potrebné prijať</w:t>
            </w:r>
          </w:p>
        </w:tc>
      </w:tr>
      <w:tr w:rsidR="00FD01F0" w:rsidRPr="00FD01F0" w:rsidTr="00536040">
        <w:trPr>
          <w:trHeight w:val="171"/>
        </w:trPr>
        <w:tc>
          <w:tcPr>
            <w:tcW w:w="3202" w:type="dxa"/>
            <w:shd w:val="clear" w:color="auto" w:fill="EAF1DD"/>
            <w:noWrap/>
            <w:tcMar>
              <w:top w:w="15" w:type="dxa"/>
              <w:left w:w="15" w:type="dxa"/>
              <w:bottom w:w="0" w:type="dxa"/>
              <w:right w:w="15" w:type="dxa"/>
            </w:tcMar>
            <w:vAlign w:val="center"/>
          </w:tcPr>
          <w:p w:rsidR="00FD01F0" w:rsidRPr="0039268C" w:rsidRDefault="00FD01F0" w:rsidP="0076276F">
            <w:pPr>
              <w:spacing w:line="360" w:lineRule="auto"/>
              <w:jc w:val="center"/>
              <w:rPr>
                <w:rFonts w:ascii="Arial" w:hAnsi="Arial" w:cs="Arial"/>
                <w:b/>
                <w:sz w:val="18"/>
                <w:szCs w:val="18"/>
                <w:lang w:eastAsia="cs-CZ"/>
              </w:rPr>
            </w:pPr>
            <w:r w:rsidRPr="0039268C">
              <w:rPr>
                <w:rFonts w:ascii="Arial" w:hAnsi="Arial" w:cs="Arial"/>
                <w:b/>
                <w:sz w:val="18"/>
                <w:szCs w:val="18"/>
                <w:lang w:eastAsia="cs-CZ"/>
              </w:rPr>
              <w:t>A</w:t>
            </w:r>
          </w:p>
        </w:tc>
        <w:tc>
          <w:tcPr>
            <w:tcW w:w="1260" w:type="dxa"/>
            <w:shd w:val="clear" w:color="auto" w:fill="EAF1DD"/>
            <w:tcMar>
              <w:top w:w="15" w:type="dxa"/>
              <w:left w:w="15" w:type="dxa"/>
              <w:bottom w:w="0" w:type="dxa"/>
              <w:right w:w="15" w:type="dxa"/>
            </w:tcMar>
            <w:vAlign w:val="center"/>
          </w:tcPr>
          <w:p w:rsidR="00FD01F0" w:rsidRPr="0039268C" w:rsidRDefault="00FD01F0" w:rsidP="0076276F">
            <w:pPr>
              <w:spacing w:line="360" w:lineRule="auto"/>
              <w:jc w:val="center"/>
              <w:rPr>
                <w:rFonts w:ascii="Arial" w:hAnsi="Arial" w:cs="Arial"/>
                <w:b/>
                <w:sz w:val="18"/>
                <w:szCs w:val="18"/>
                <w:lang w:eastAsia="cs-CZ"/>
              </w:rPr>
            </w:pPr>
            <w:r w:rsidRPr="0039268C">
              <w:rPr>
                <w:rFonts w:ascii="Arial" w:hAnsi="Arial" w:cs="Arial"/>
                <w:b/>
                <w:sz w:val="18"/>
                <w:szCs w:val="18"/>
                <w:lang w:eastAsia="cs-CZ"/>
              </w:rPr>
              <w:t>B</w:t>
            </w:r>
          </w:p>
        </w:tc>
        <w:tc>
          <w:tcPr>
            <w:tcW w:w="1350" w:type="dxa"/>
            <w:shd w:val="clear" w:color="auto" w:fill="EAF1DD"/>
            <w:vAlign w:val="center"/>
          </w:tcPr>
          <w:p w:rsidR="00FD01F0" w:rsidRPr="0039268C" w:rsidRDefault="00FD01F0" w:rsidP="0076276F">
            <w:pPr>
              <w:spacing w:line="360" w:lineRule="auto"/>
              <w:jc w:val="center"/>
              <w:rPr>
                <w:rFonts w:ascii="Arial" w:hAnsi="Arial" w:cs="Arial"/>
                <w:b/>
                <w:sz w:val="18"/>
                <w:szCs w:val="18"/>
                <w:lang w:eastAsia="cs-CZ"/>
              </w:rPr>
            </w:pPr>
            <w:r w:rsidRPr="0039268C">
              <w:rPr>
                <w:rFonts w:ascii="Arial" w:hAnsi="Arial" w:cs="Arial"/>
                <w:b/>
                <w:sz w:val="18"/>
                <w:szCs w:val="18"/>
                <w:lang w:eastAsia="cs-CZ"/>
              </w:rPr>
              <w:t>C</w:t>
            </w:r>
          </w:p>
        </w:tc>
        <w:tc>
          <w:tcPr>
            <w:tcW w:w="1350" w:type="dxa"/>
            <w:shd w:val="clear" w:color="auto" w:fill="EAF1DD"/>
            <w:vAlign w:val="center"/>
          </w:tcPr>
          <w:p w:rsidR="00FD01F0" w:rsidRPr="0039268C" w:rsidRDefault="00FD01F0" w:rsidP="0076276F">
            <w:pPr>
              <w:spacing w:line="360" w:lineRule="auto"/>
              <w:jc w:val="center"/>
              <w:rPr>
                <w:rFonts w:ascii="Arial" w:hAnsi="Arial" w:cs="Arial"/>
                <w:b/>
                <w:sz w:val="18"/>
                <w:szCs w:val="18"/>
                <w:lang w:eastAsia="cs-CZ"/>
              </w:rPr>
            </w:pPr>
            <w:r w:rsidRPr="0039268C">
              <w:rPr>
                <w:rFonts w:ascii="Arial" w:hAnsi="Arial" w:cs="Arial"/>
                <w:b/>
                <w:sz w:val="18"/>
                <w:szCs w:val="18"/>
                <w:lang w:eastAsia="cs-CZ"/>
              </w:rPr>
              <w:t>D</w:t>
            </w:r>
          </w:p>
        </w:tc>
        <w:tc>
          <w:tcPr>
            <w:tcW w:w="1440" w:type="dxa"/>
            <w:shd w:val="clear" w:color="auto" w:fill="EAF1DD"/>
            <w:vAlign w:val="center"/>
          </w:tcPr>
          <w:p w:rsidR="00FD01F0" w:rsidRPr="0039268C" w:rsidRDefault="00FD01F0" w:rsidP="0076276F">
            <w:pPr>
              <w:spacing w:line="360" w:lineRule="auto"/>
              <w:jc w:val="center"/>
              <w:rPr>
                <w:rFonts w:ascii="Arial" w:hAnsi="Arial" w:cs="Arial"/>
                <w:b/>
                <w:sz w:val="18"/>
                <w:szCs w:val="18"/>
                <w:lang w:eastAsia="cs-CZ"/>
              </w:rPr>
            </w:pPr>
            <w:r w:rsidRPr="0039268C">
              <w:rPr>
                <w:rFonts w:ascii="Arial" w:hAnsi="Arial" w:cs="Arial"/>
                <w:b/>
                <w:bCs/>
                <w:sz w:val="18"/>
                <w:szCs w:val="18"/>
                <w:lang w:eastAsia="cs-CZ"/>
              </w:rPr>
              <w:t>E=D/C</w:t>
            </w:r>
          </w:p>
        </w:tc>
        <w:tc>
          <w:tcPr>
            <w:tcW w:w="896" w:type="dxa"/>
            <w:shd w:val="clear" w:color="auto" w:fill="EAF1DD"/>
            <w:noWrap/>
            <w:tcMar>
              <w:top w:w="15" w:type="dxa"/>
              <w:left w:w="15" w:type="dxa"/>
              <w:bottom w:w="0" w:type="dxa"/>
              <w:right w:w="15" w:type="dxa"/>
            </w:tcMar>
            <w:vAlign w:val="center"/>
          </w:tcPr>
          <w:p w:rsidR="00FD01F0" w:rsidRPr="0039268C" w:rsidRDefault="00FD01F0" w:rsidP="0076276F">
            <w:pPr>
              <w:spacing w:line="360" w:lineRule="auto"/>
              <w:jc w:val="center"/>
              <w:rPr>
                <w:rFonts w:ascii="Arial" w:hAnsi="Arial" w:cs="Arial"/>
                <w:b/>
                <w:sz w:val="18"/>
                <w:szCs w:val="18"/>
                <w:lang w:eastAsia="cs-CZ"/>
              </w:rPr>
            </w:pPr>
            <w:r w:rsidRPr="0039268C">
              <w:rPr>
                <w:rFonts w:ascii="Arial" w:hAnsi="Arial" w:cs="Arial"/>
                <w:b/>
                <w:sz w:val="18"/>
                <w:szCs w:val="18"/>
                <w:lang w:eastAsia="cs-CZ"/>
              </w:rPr>
              <w:t>F</w:t>
            </w:r>
          </w:p>
        </w:tc>
      </w:tr>
      <w:tr w:rsidR="00FD01F0" w:rsidRPr="00FD01F0" w:rsidTr="0039268C">
        <w:trPr>
          <w:trHeight w:val="138"/>
        </w:trPr>
        <w:tc>
          <w:tcPr>
            <w:tcW w:w="3202" w:type="dxa"/>
            <w:shd w:val="clear" w:color="auto" w:fill="auto"/>
            <w:noWrap/>
            <w:tcMar>
              <w:top w:w="15" w:type="dxa"/>
              <w:left w:w="15" w:type="dxa"/>
              <w:bottom w:w="0" w:type="dxa"/>
              <w:right w:w="15" w:type="dxa"/>
            </w:tcMar>
            <w:vAlign w:val="center"/>
          </w:tcPr>
          <w:p w:rsidR="00FD01F0" w:rsidRPr="0039268C" w:rsidRDefault="00FD01F0" w:rsidP="0076276F">
            <w:pPr>
              <w:spacing w:line="360" w:lineRule="auto"/>
              <w:jc w:val="both"/>
              <w:rPr>
                <w:rFonts w:ascii="Arial" w:hAnsi="Arial" w:cs="Arial"/>
                <w:sz w:val="18"/>
                <w:szCs w:val="18"/>
                <w:lang w:eastAsia="cs-CZ"/>
              </w:rPr>
            </w:pPr>
            <w:r w:rsidRPr="0039268C">
              <w:rPr>
                <w:rFonts w:ascii="Arial" w:hAnsi="Arial" w:cs="Arial"/>
                <w:sz w:val="18"/>
                <w:szCs w:val="18"/>
                <w:lang w:eastAsia="cs-CZ"/>
              </w:rPr>
              <w:t>riaditeľ odboru</w:t>
            </w:r>
          </w:p>
        </w:tc>
        <w:tc>
          <w:tcPr>
            <w:tcW w:w="1260" w:type="dxa"/>
            <w:shd w:val="clear" w:color="auto" w:fill="auto"/>
            <w:noWrap/>
            <w:tcMar>
              <w:top w:w="15" w:type="dxa"/>
              <w:left w:w="15" w:type="dxa"/>
              <w:bottom w:w="0" w:type="dxa"/>
              <w:right w:w="15" w:type="dxa"/>
            </w:tcMar>
            <w:vAlign w:val="center"/>
          </w:tcPr>
          <w:p w:rsidR="00FD01F0" w:rsidRPr="0039268C" w:rsidRDefault="00FD01F0" w:rsidP="0076276F">
            <w:pPr>
              <w:spacing w:line="360" w:lineRule="auto"/>
              <w:jc w:val="center"/>
              <w:rPr>
                <w:rFonts w:ascii="Arial" w:hAnsi="Arial" w:cs="Arial"/>
                <w:sz w:val="18"/>
                <w:szCs w:val="18"/>
                <w:lang w:eastAsia="cs-CZ"/>
              </w:rPr>
            </w:pPr>
            <w:r w:rsidRPr="0039268C">
              <w:rPr>
                <w:rFonts w:ascii="Arial" w:hAnsi="Arial" w:cs="Arial"/>
                <w:sz w:val="18"/>
                <w:szCs w:val="18"/>
                <w:lang w:eastAsia="cs-CZ"/>
              </w:rPr>
              <w:t>1</w:t>
            </w:r>
          </w:p>
        </w:tc>
        <w:tc>
          <w:tcPr>
            <w:tcW w:w="1350" w:type="dxa"/>
            <w:vAlign w:val="center"/>
          </w:tcPr>
          <w:p w:rsidR="00FD01F0" w:rsidRPr="0039268C" w:rsidRDefault="00FD01F0" w:rsidP="0076276F">
            <w:pPr>
              <w:spacing w:line="360" w:lineRule="auto"/>
              <w:jc w:val="center"/>
              <w:rPr>
                <w:rFonts w:ascii="Arial" w:hAnsi="Arial" w:cs="Arial"/>
                <w:sz w:val="18"/>
                <w:szCs w:val="18"/>
                <w:lang w:eastAsia="cs-CZ"/>
              </w:rPr>
            </w:pPr>
            <w:r w:rsidRPr="0039268C">
              <w:rPr>
                <w:rFonts w:ascii="Arial" w:hAnsi="Arial" w:cs="Arial"/>
                <w:sz w:val="18"/>
                <w:szCs w:val="18"/>
                <w:lang w:eastAsia="cs-CZ"/>
              </w:rPr>
              <w:t>1</w:t>
            </w:r>
          </w:p>
        </w:tc>
        <w:tc>
          <w:tcPr>
            <w:tcW w:w="1350" w:type="dxa"/>
            <w:shd w:val="clear" w:color="auto" w:fill="auto"/>
            <w:vAlign w:val="center"/>
          </w:tcPr>
          <w:p w:rsidR="00FD01F0" w:rsidRPr="0039268C" w:rsidRDefault="00FD01F0" w:rsidP="0076276F">
            <w:pPr>
              <w:spacing w:line="360" w:lineRule="auto"/>
              <w:jc w:val="center"/>
              <w:rPr>
                <w:rFonts w:ascii="Arial" w:hAnsi="Arial" w:cs="Arial"/>
                <w:sz w:val="18"/>
                <w:szCs w:val="18"/>
                <w:lang w:eastAsia="cs-CZ"/>
              </w:rPr>
            </w:pPr>
            <w:r w:rsidRPr="0039268C">
              <w:rPr>
                <w:rFonts w:ascii="Arial" w:hAnsi="Arial" w:cs="Arial"/>
                <w:sz w:val="18"/>
                <w:szCs w:val="18"/>
                <w:lang w:eastAsia="cs-CZ"/>
              </w:rPr>
              <w:t>1</w:t>
            </w:r>
          </w:p>
        </w:tc>
        <w:tc>
          <w:tcPr>
            <w:tcW w:w="1440" w:type="dxa"/>
            <w:vAlign w:val="center"/>
          </w:tcPr>
          <w:p w:rsidR="00FD01F0" w:rsidRPr="0039268C" w:rsidRDefault="00FD01F0" w:rsidP="0076276F">
            <w:pPr>
              <w:spacing w:line="360" w:lineRule="auto"/>
              <w:jc w:val="center"/>
              <w:rPr>
                <w:rFonts w:ascii="Arial" w:hAnsi="Arial" w:cs="Arial"/>
                <w:sz w:val="18"/>
                <w:szCs w:val="18"/>
                <w:lang w:eastAsia="cs-CZ"/>
              </w:rPr>
            </w:pPr>
            <w:r w:rsidRPr="0039268C">
              <w:rPr>
                <w:rFonts w:ascii="Arial" w:hAnsi="Arial" w:cs="Arial"/>
                <w:sz w:val="18"/>
                <w:szCs w:val="18"/>
                <w:lang w:eastAsia="cs-CZ"/>
              </w:rPr>
              <w:t>100%</w:t>
            </w:r>
          </w:p>
        </w:tc>
        <w:tc>
          <w:tcPr>
            <w:tcW w:w="896" w:type="dxa"/>
            <w:shd w:val="clear" w:color="auto" w:fill="auto"/>
            <w:noWrap/>
            <w:tcMar>
              <w:top w:w="15" w:type="dxa"/>
              <w:left w:w="15" w:type="dxa"/>
              <w:bottom w:w="0" w:type="dxa"/>
              <w:right w:w="15" w:type="dxa"/>
            </w:tcMar>
            <w:vAlign w:val="center"/>
          </w:tcPr>
          <w:p w:rsidR="00FD01F0" w:rsidRPr="0039268C" w:rsidRDefault="00FD01F0" w:rsidP="0076276F">
            <w:pPr>
              <w:spacing w:line="360" w:lineRule="auto"/>
              <w:jc w:val="center"/>
              <w:rPr>
                <w:rFonts w:ascii="Arial" w:hAnsi="Arial" w:cs="Arial"/>
                <w:sz w:val="18"/>
                <w:szCs w:val="18"/>
                <w:lang w:eastAsia="cs-CZ"/>
              </w:rPr>
            </w:pPr>
          </w:p>
        </w:tc>
      </w:tr>
      <w:tr w:rsidR="00FD01F0" w:rsidRPr="00FD01F0" w:rsidTr="0039268C">
        <w:trPr>
          <w:trHeight w:val="65"/>
        </w:trPr>
        <w:tc>
          <w:tcPr>
            <w:tcW w:w="3202" w:type="dxa"/>
            <w:shd w:val="clear" w:color="auto" w:fill="auto"/>
            <w:noWrap/>
            <w:tcMar>
              <w:top w:w="15" w:type="dxa"/>
              <w:left w:w="15" w:type="dxa"/>
              <w:bottom w:w="0" w:type="dxa"/>
              <w:right w:w="15" w:type="dxa"/>
            </w:tcMar>
            <w:vAlign w:val="center"/>
          </w:tcPr>
          <w:p w:rsidR="00FD01F0" w:rsidRPr="0039268C" w:rsidRDefault="00FD01F0" w:rsidP="0076276F">
            <w:pPr>
              <w:spacing w:line="360" w:lineRule="auto"/>
              <w:jc w:val="both"/>
              <w:rPr>
                <w:rFonts w:ascii="Arial" w:hAnsi="Arial" w:cs="Arial"/>
                <w:sz w:val="18"/>
                <w:szCs w:val="18"/>
                <w:lang w:eastAsia="cs-CZ"/>
              </w:rPr>
            </w:pPr>
            <w:r w:rsidRPr="0039268C">
              <w:rPr>
                <w:rFonts w:ascii="Arial" w:hAnsi="Arial" w:cs="Arial"/>
                <w:sz w:val="18"/>
                <w:szCs w:val="18"/>
                <w:lang w:eastAsia="cs-CZ"/>
              </w:rPr>
              <w:t>vedúci oddelenia</w:t>
            </w:r>
          </w:p>
        </w:tc>
        <w:tc>
          <w:tcPr>
            <w:tcW w:w="1260" w:type="dxa"/>
            <w:shd w:val="clear" w:color="auto" w:fill="auto"/>
            <w:noWrap/>
            <w:tcMar>
              <w:top w:w="15" w:type="dxa"/>
              <w:left w:w="15" w:type="dxa"/>
              <w:bottom w:w="0" w:type="dxa"/>
              <w:right w:w="15" w:type="dxa"/>
            </w:tcMar>
            <w:vAlign w:val="center"/>
          </w:tcPr>
          <w:p w:rsidR="00FD01F0" w:rsidRPr="0039268C" w:rsidRDefault="00FD01F0" w:rsidP="0076276F">
            <w:pPr>
              <w:spacing w:line="360" w:lineRule="auto"/>
              <w:jc w:val="center"/>
              <w:rPr>
                <w:rFonts w:ascii="Arial" w:hAnsi="Arial" w:cs="Arial"/>
                <w:sz w:val="18"/>
                <w:szCs w:val="18"/>
                <w:lang w:eastAsia="cs-CZ"/>
              </w:rPr>
            </w:pPr>
            <w:r w:rsidRPr="0039268C">
              <w:rPr>
                <w:rFonts w:ascii="Arial" w:hAnsi="Arial" w:cs="Arial"/>
                <w:sz w:val="18"/>
                <w:szCs w:val="18"/>
                <w:lang w:eastAsia="cs-CZ"/>
              </w:rPr>
              <w:t>0</w:t>
            </w:r>
          </w:p>
        </w:tc>
        <w:tc>
          <w:tcPr>
            <w:tcW w:w="1350" w:type="dxa"/>
            <w:vAlign w:val="center"/>
          </w:tcPr>
          <w:p w:rsidR="00FD01F0" w:rsidRPr="0039268C" w:rsidRDefault="00FD01F0" w:rsidP="0076276F">
            <w:pPr>
              <w:spacing w:line="360" w:lineRule="auto"/>
              <w:jc w:val="center"/>
              <w:rPr>
                <w:rFonts w:ascii="Arial" w:hAnsi="Arial" w:cs="Arial"/>
                <w:sz w:val="18"/>
                <w:szCs w:val="18"/>
                <w:lang w:eastAsia="cs-CZ"/>
              </w:rPr>
            </w:pPr>
            <w:r w:rsidRPr="0039268C">
              <w:rPr>
                <w:rFonts w:ascii="Arial" w:hAnsi="Arial" w:cs="Arial"/>
                <w:sz w:val="18"/>
                <w:szCs w:val="18"/>
                <w:lang w:eastAsia="cs-CZ"/>
              </w:rPr>
              <w:t>0</w:t>
            </w:r>
          </w:p>
        </w:tc>
        <w:tc>
          <w:tcPr>
            <w:tcW w:w="1350" w:type="dxa"/>
            <w:shd w:val="clear" w:color="auto" w:fill="auto"/>
            <w:vAlign w:val="center"/>
          </w:tcPr>
          <w:p w:rsidR="00FD01F0" w:rsidRPr="0039268C" w:rsidRDefault="00FD01F0" w:rsidP="0076276F">
            <w:pPr>
              <w:spacing w:line="360" w:lineRule="auto"/>
              <w:jc w:val="center"/>
              <w:rPr>
                <w:rFonts w:ascii="Arial" w:hAnsi="Arial" w:cs="Arial"/>
                <w:sz w:val="18"/>
                <w:szCs w:val="18"/>
                <w:lang w:eastAsia="cs-CZ"/>
              </w:rPr>
            </w:pPr>
            <w:r w:rsidRPr="0039268C">
              <w:rPr>
                <w:rFonts w:ascii="Arial" w:hAnsi="Arial" w:cs="Arial"/>
                <w:sz w:val="18"/>
                <w:szCs w:val="18"/>
                <w:lang w:eastAsia="cs-CZ"/>
              </w:rPr>
              <w:t>0</w:t>
            </w:r>
          </w:p>
        </w:tc>
        <w:tc>
          <w:tcPr>
            <w:tcW w:w="1440" w:type="dxa"/>
            <w:vAlign w:val="center"/>
          </w:tcPr>
          <w:p w:rsidR="00FD01F0" w:rsidRPr="0039268C" w:rsidRDefault="00FD01F0" w:rsidP="0076276F">
            <w:pPr>
              <w:spacing w:line="360" w:lineRule="auto"/>
              <w:jc w:val="center"/>
              <w:rPr>
                <w:rFonts w:ascii="Arial" w:hAnsi="Arial" w:cs="Arial"/>
                <w:sz w:val="18"/>
                <w:szCs w:val="18"/>
                <w:lang w:eastAsia="cs-CZ"/>
              </w:rPr>
            </w:pPr>
            <w:r w:rsidRPr="0039268C">
              <w:rPr>
                <w:rFonts w:ascii="Arial" w:hAnsi="Arial" w:cs="Arial"/>
                <w:sz w:val="18"/>
                <w:szCs w:val="18"/>
                <w:lang w:eastAsia="cs-CZ"/>
              </w:rPr>
              <w:t>0</w:t>
            </w:r>
          </w:p>
        </w:tc>
        <w:tc>
          <w:tcPr>
            <w:tcW w:w="896" w:type="dxa"/>
            <w:shd w:val="clear" w:color="auto" w:fill="auto"/>
            <w:noWrap/>
            <w:tcMar>
              <w:top w:w="15" w:type="dxa"/>
              <w:left w:w="15" w:type="dxa"/>
              <w:bottom w:w="0" w:type="dxa"/>
              <w:right w:w="15" w:type="dxa"/>
            </w:tcMar>
            <w:vAlign w:val="center"/>
          </w:tcPr>
          <w:p w:rsidR="00FD01F0" w:rsidRPr="0039268C" w:rsidRDefault="00FD01F0" w:rsidP="0076276F">
            <w:pPr>
              <w:spacing w:line="360" w:lineRule="auto"/>
              <w:jc w:val="center"/>
              <w:rPr>
                <w:rFonts w:ascii="Arial" w:hAnsi="Arial" w:cs="Arial"/>
                <w:sz w:val="18"/>
                <w:szCs w:val="18"/>
                <w:lang w:eastAsia="cs-CZ"/>
              </w:rPr>
            </w:pPr>
          </w:p>
        </w:tc>
      </w:tr>
      <w:tr w:rsidR="00FD01F0" w:rsidRPr="00FD01F0" w:rsidTr="0039268C">
        <w:trPr>
          <w:trHeight w:val="20"/>
        </w:trPr>
        <w:tc>
          <w:tcPr>
            <w:tcW w:w="3202" w:type="dxa"/>
            <w:shd w:val="clear" w:color="auto" w:fill="auto"/>
            <w:noWrap/>
            <w:tcMar>
              <w:top w:w="15" w:type="dxa"/>
              <w:left w:w="15" w:type="dxa"/>
              <w:bottom w:w="0" w:type="dxa"/>
              <w:right w:w="15" w:type="dxa"/>
            </w:tcMar>
            <w:vAlign w:val="center"/>
          </w:tcPr>
          <w:p w:rsidR="00FD01F0" w:rsidRPr="0039268C" w:rsidRDefault="00FD01F0" w:rsidP="0076276F">
            <w:pPr>
              <w:spacing w:line="360" w:lineRule="auto"/>
              <w:jc w:val="both"/>
              <w:rPr>
                <w:rFonts w:ascii="Arial" w:hAnsi="Arial" w:cs="Arial"/>
                <w:sz w:val="18"/>
                <w:szCs w:val="18"/>
                <w:lang w:eastAsia="cs-CZ"/>
              </w:rPr>
            </w:pPr>
            <w:r w:rsidRPr="0039268C">
              <w:rPr>
                <w:rFonts w:ascii="Arial" w:hAnsi="Arial" w:cs="Arial"/>
                <w:sz w:val="18"/>
                <w:szCs w:val="18"/>
                <w:lang w:eastAsia="cs-CZ"/>
              </w:rPr>
              <w:t>asistentka odboru/sekcie</w:t>
            </w:r>
          </w:p>
        </w:tc>
        <w:tc>
          <w:tcPr>
            <w:tcW w:w="1260" w:type="dxa"/>
            <w:shd w:val="clear" w:color="auto" w:fill="auto"/>
            <w:noWrap/>
            <w:tcMar>
              <w:top w:w="15" w:type="dxa"/>
              <w:left w:w="15" w:type="dxa"/>
              <w:bottom w:w="0" w:type="dxa"/>
              <w:right w:w="15" w:type="dxa"/>
            </w:tcMar>
            <w:vAlign w:val="center"/>
          </w:tcPr>
          <w:p w:rsidR="00FD01F0" w:rsidRPr="0039268C" w:rsidRDefault="00FD01F0" w:rsidP="0076276F">
            <w:pPr>
              <w:spacing w:line="360" w:lineRule="auto"/>
              <w:jc w:val="center"/>
              <w:rPr>
                <w:rFonts w:ascii="Arial" w:hAnsi="Arial" w:cs="Arial"/>
                <w:sz w:val="18"/>
                <w:szCs w:val="18"/>
                <w:lang w:eastAsia="cs-CZ"/>
              </w:rPr>
            </w:pPr>
            <w:r w:rsidRPr="0039268C">
              <w:rPr>
                <w:rFonts w:ascii="Arial" w:hAnsi="Arial" w:cs="Arial"/>
                <w:sz w:val="18"/>
                <w:szCs w:val="18"/>
                <w:lang w:eastAsia="cs-CZ"/>
              </w:rPr>
              <w:t>1</w:t>
            </w:r>
          </w:p>
        </w:tc>
        <w:tc>
          <w:tcPr>
            <w:tcW w:w="1350" w:type="dxa"/>
            <w:vAlign w:val="center"/>
          </w:tcPr>
          <w:p w:rsidR="00FD01F0" w:rsidRPr="0039268C" w:rsidRDefault="00FD01F0" w:rsidP="0076276F">
            <w:pPr>
              <w:spacing w:line="360" w:lineRule="auto"/>
              <w:jc w:val="center"/>
              <w:rPr>
                <w:rFonts w:ascii="Arial" w:hAnsi="Arial" w:cs="Arial"/>
                <w:sz w:val="18"/>
                <w:szCs w:val="18"/>
                <w:lang w:eastAsia="cs-CZ"/>
              </w:rPr>
            </w:pPr>
            <w:r w:rsidRPr="0039268C">
              <w:rPr>
                <w:rFonts w:ascii="Arial" w:hAnsi="Arial" w:cs="Arial"/>
                <w:sz w:val="18"/>
                <w:szCs w:val="18"/>
                <w:lang w:eastAsia="cs-CZ"/>
              </w:rPr>
              <w:t>1</w:t>
            </w:r>
          </w:p>
        </w:tc>
        <w:tc>
          <w:tcPr>
            <w:tcW w:w="1350" w:type="dxa"/>
            <w:shd w:val="clear" w:color="auto" w:fill="auto"/>
            <w:vAlign w:val="center"/>
          </w:tcPr>
          <w:p w:rsidR="00FD01F0" w:rsidRPr="0039268C" w:rsidRDefault="00FD01F0" w:rsidP="0076276F">
            <w:pPr>
              <w:spacing w:line="360" w:lineRule="auto"/>
              <w:jc w:val="center"/>
              <w:rPr>
                <w:rFonts w:ascii="Arial" w:hAnsi="Arial" w:cs="Arial"/>
                <w:sz w:val="18"/>
                <w:szCs w:val="18"/>
                <w:lang w:eastAsia="cs-CZ"/>
              </w:rPr>
            </w:pPr>
            <w:r w:rsidRPr="0039268C">
              <w:rPr>
                <w:rFonts w:ascii="Arial" w:hAnsi="Arial" w:cs="Arial"/>
                <w:sz w:val="18"/>
                <w:szCs w:val="18"/>
                <w:lang w:eastAsia="cs-CZ"/>
              </w:rPr>
              <w:t>1</w:t>
            </w:r>
          </w:p>
        </w:tc>
        <w:tc>
          <w:tcPr>
            <w:tcW w:w="1440" w:type="dxa"/>
            <w:vAlign w:val="center"/>
          </w:tcPr>
          <w:p w:rsidR="00FD01F0" w:rsidRPr="0039268C" w:rsidRDefault="00FD01F0" w:rsidP="0076276F">
            <w:pPr>
              <w:spacing w:line="360" w:lineRule="auto"/>
              <w:jc w:val="center"/>
              <w:rPr>
                <w:rFonts w:ascii="Arial" w:hAnsi="Arial" w:cs="Arial"/>
                <w:sz w:val="18"/>
                <w:szCs w:val="18"/>
                <w:lang w:eastAsia="cs-CZ"/>
              </w:rPr>
            </w:pPr>
            <w:r w:rsidRPr="0039268C">
              <w:rPr>
                <w:rFonts w:ascii="Arial" w:hAnsi="Arial" w:cs="Arial"/>
                <w:sz w:val="18"/>
                <w:szCs w:val="18"/>
                <w:lang w:eastAsia="cs-CZ"/>
              </w:rPr>
              <w:t>100%</w:t>
            </w:r>
          </w:p>
        </w:tc>
        <w:tc>
          <w:tcPr>
            <w:tcW w:w="896" w:type="dxa"/>
            <w:shd w:val="clear" w:color="auto" w:fill="auto"/>
            <w:noWrap/>
            <w:tcMar>
              <w:top w:w="15" w:type="dxa"/>
              <w:left w:w="15" w:type="dxa"/>
              <w:bottom w:w="0" w:type="dxa"/>
              <w:right w:w="15" w:type="dxa"/>
            </w:tcMar>
            <w:vAlign w:val="center"/>
          </w:tcPr>
          <w:p w:rsidR="00FD01F0" w:rsidRPr="0039268C" w:rsidRDefault="00FD01F0" w:rsidP="0076276F">
            <w:pPr>
              <w:spacing w:line="360" w:lineRule="auto"/>
              <w:jc w:val="center"/>
              <w:rPr>
                <w:rFonts w:ascii="Arial" w:hAnsi="Arial" w:cs="Arial"/>
                <w:sz w:val="18"/>
                <w:szCs w:val="18"/>
                <w:lang w:eastAsia="cs-CZ"/>
              </w:rPr>
            </w:pPr>
          </w:p>
        </w:tc>
      </w:tr>
      <w:tr w:rsidR="00FD01F0" w:rsidRPr="00FD01F0" w:rsidTr="0039268C">
        <w:trPr>
          <w:trHeight w:val="272"/>
        </w:trPr>
        <w:tc>
          <w:tcPr>
            <w:tcW w:w="3202" w:type="dxa"/>
            <w:shd w:val="clear" w:color="auto" w:fill="auto"/>
            <w:noWrap/>
            <w:tcMar>
              <w:top w:w="15" w:type="dxa"/>
              <w:left w:w="15" w:type="dxa"/>
              <w:bottom w:w="0" w:type="dxa"/>
              <w:right w:w="15" w:type="dxa"/>
            </w:tcMar>
            <w:vAlign w:val="center"/>
          </w:tcPr>
          <w:p w:rsidR="00FD01F0" w:rsidRPr="0039268C" w:rsidRDefault="00FD01F0" w:rsidP="0076276F">
            <w:pPr>
              <w:spacing w:line="360" w:lineRule="auto"/>
              <w:jc w:val="both"/>
              <w:rPr>
                <w:rFonts w:ascii="Arial" w:hAnsi="Arial" w:cs="Arial"/>
                <w:sz w:val="18"/>
                <w:szCs w:val="18"/>
                <w:lang w:eastAsia="cs-CZ"/>
              </w:rPr>
            </w:pPr>
            <w:r w:rsidRPr="0039268C">
              <w:rPr>
                <w:rFonts w:ascii="Arial" w:hAnsi="Arial" w:cs="Arial"/>
                <w:sz w:val="18"/>
                <w:szCs w:val="18"/>
                <w:lang w:eastAsia="cs-CZ"/>
              </w:rPr>
              <w:t>finančný overovateľ</w:t>
            </w:r>
          </w:p>
        </w:tc>
        <w:tc>
          <w:tcPr>
            <w:tcW w:w="1260" w:type="dxa"/>
            <w:shd w:val="clear" w:color="auto" w:fill="auto"/>
            <w:noWrap/>
            <w:tcMar>
              <w:top w:w="15" w:type="dxa"/>
              <w:left w:w="15" w:type="dxa"/>
              <w:bottom w:w="0" w:type="dxa"/>
              <w:right w:w="15" w:type="dxa"/>
            </w:tcMar>
            <w:vAlign w:val="center"/>
          </w:tcPr>
          <w:p w:rsidR="00FD01F0" w:rsidRPr="0039268C" w:rsidRDefault="00FD01F0" w:rsidP="0076276F">
            <w:pPr>
              <w:spacing w:line="360" w:lineRule="auto"/>
              <w:jc w:val="center"/>
              <w:rPr>
                <w:rFonts w:ascii="Arial" w:hAnsi="Arial" w:cs="Arial"/>
                <w:sz w:val="18"/>
                <w:szCs w:val="18"/>
                <w:lang w:eastAsia="cs-CZ"/>
              </w:rPr>
            </w:pPr>
            <w:r w:rsidRPr="0039268C">
              <w:rPr>
                <w:rFonts w:ascii="Arial" w:hAnsi="Arial" w:cs="Arial"/>
                <w:sz w:val="18"/>
                <w:szCs w:val="18"/>
                <w:lang w:eastAsia="cs-CZ"/>
              </w:rPr>
              <w:t>11</w:t>
            </w:r>
          </w:p>
        </w:tc>
        <w:tc>
          <w:tcPr>
            <w:tcW w:w="1350" w:type="dxa"/>
            <w:vAlign w:val="center"/>
          </w:tcPr>
          <w:p w:rsidR="00FD01F0" w:rsidRPr="0039268C" w:rsidRDefault="00FD01F0" w:rsidP="0076276F">
            <w:pPr>
              <w:spacing w:line="360" w:lineRule="auto"/>
              <w:jc w:val="center"/>
              <w:rPr>
                <w:rFonts w:ascii="Arial" w:hAnsi="Arial" w:cs="Arial"/>
                <w:sz w:val="18"/>
                <w:szCs w:val="18"/>
                <w:lang w:eastAsia="cs-CZ"/>
              </w:rPr>
            </w:pPr>
            <w:r w:rsidRPr="0039268C">
              <w:rPr>
                <w:rFonts w:ascii="Arial" w:hAnsi="Arial" w:cs="Arial"/>
                <w:sz w:val="18"/>
                <w:szCs w:val="18"/>
                <w:lang w:eastAsia="cs-CZ"/>
              </w:rPr>
              <w:t>3</w:t>
            </w:r>
          </w:p>
        </w:tc>
        <w:tc>
          <w:tcPr>
            <w:tcW w:w="1350" w:type="dxa"/>
            <w:shd w:val="clear" w:color="auto" w:fill="auto"/>
            <w:vAlign w:val="center"/>
          </w:tcPr>
          <w:p w:rsidR="00FD01F0" w:rsidRPr="0039268C" w:rsidRDefault="00FD01F0" w:rsidP="0076276F">
            <w:pPr>
              <w:spacing w:line="360" w:lineRule="auto"/>
              <w:jc w:val="center"/>
              <w:rPr>
                <w:rFonts w:ascii="Arial" w:hAnsi="Arial" w:cs="Arial"/>
                <w:sz w:val="18"/>
                <w:szCs w:val="18"/>
                <w:lang w:eastAsia="cs-CZ"/>
              </w:rPr>
            </w:pPr>
            <w:r w:rsidRPr="0039268C">
              <w:rPr>
                <w:rFonts w:ascii="Arial" w:hAnsi="Arial" w:cs="Arial"/>
                <w:sz w:val="18"/>
                <w:szCs w:val="18"/>
                <w:lang w:eastAsia="cs-CZ"/>
              </w:rPr>
              <w:t>3</w:t>
            </w:r>
          </w:p>
        </w:tc>
        <w:tc>
          <w:tcPr>
            <w:tcW w:w="1440" w:type="dxa"/>
            <w:vAlign w:val="center"/>
          </w:tcPr>
          <w:p w:rsidR="00FD01F0" w:rsidRPr="0039268C" w:rsidRDefault="00FD01F0" w:rsidP="0076276F">
            <w:pPr>
              <w:spacing w:line="360" w:lineRule="auto"/>
              <w:jc w:val="center"/>
              <w:rPr>
                <w:rFonts w:ascii="Arial" w:hAnsi="Arial" w:cs="Arial"/>
                <w:sz w:val="18"/>
                <w:szCs w:val="18"/>
                <w:lang w:eastAsia="cs-CZ"/>
              </w:rPr>
            </w:pPr>
            <w:r w:rsidRPr="0039268C">
              <w:rPr>
                <w:rFonts w:ascii="Arial" w:hAnsi="Arial" w:cs="Arial"/>
                <w:sz w:val="18"/>
                <w:szCs w:val="18"/>
                <w:lang w:eastAsia="cs-CZ"/>
              </w:rPr>
              <w:t>100%</w:t>
            </w:r>
          </w:p>
        </w:tc>
        <w:tc>
          <w:tcPr>
            <w:tcW w:w="896" w:type="dxa"/>
            <w:shd w:val="clear" w:color="auto" w:fill="auto"/>
            <w:noWrap/>
            <w:tcMar>
              <w:top w:w="15" w:type="dxa"/>
              <w:left w:w="15" w:type="dxa"/>
              <w:bottom w:w="0" w:type="dxa"/>
              <w:right w:w="15" w:type="dxa"/>
            </w:tcMar>
            <w:vAlign w:val="center"/>
          </w:tcPr>
          <w:p w:rsidR="00FD01F0" w:rsidRPr="0039268C" w:rsidRDefault="00FD01F0" w:rsidP="0076276F">
            <w:pPr>
              <w:spacing w:line="360" w:lineRule="auto"/>
              <w:jc w:val="center"/>
              <w:rPr>
                <w:rFonts w:ascii="Arial" w:hAnsi="Arial" w:cs="Arial"/>
                <w:sz w:val="18"/>
                <w:szCs w:val="18"/>
                <w:lang w:eastAsia="cs-CZ"/>
              </w:rPr>
            </w:pPr>
          </w:p>
        </w:tc>
      </w:tr>
      <w:tr w:rsidR="00FD01F0" w:rsidRPr="00FD01F0" w:rsidTr="0039268C">
        <w:trPr>
          <w:trHeight w:val="20"/>
        </w:trPr>
        <w:tc>
          <w:tcPr>
            <w:tcW w:w="3202" w:type="dxa"/>
            <w:shd w:val="clear" w:color="auto" w:fill="auto"/>
            <w:noWrap/>
            <w:tcMar>
              <w:top w:w="15" w:type="dxa"/>
              <w:left w:w="15" w:type="dxa"/>
              <w:bottom w:w="0" w:type="dxa"/>
              <w:right w:w="15" w:type="dxa"/>
            </w:tcMar>
            <w:vAlign w:val="center"/>
          </w:tcPr>
          <w:p w:rsidR="00FD01F0" w:rsidRPr="0039268C" w:rsidRDefault="00FD01F0" w:rsidP="0076276F">
            <w:pPr>
              <w:spacing w:line="360" w:lineRule="auto"/>
              <w:jc w:val="both"/>
              <w:rPr>
                <w:rFonts w:ascii="Arial" w:hAnsi="Arial" w:cs="Arial"/>
                <w:sz w:val="18"/>
                <w:szCs w:val="18"/>
                <w:lang w:eastAsia="cs-CZ"/>
              </w:rPr>
            </w:pPr>
            <w:r w:rsidRPr="0039268C">
              <w:rPr>
                <w:rFonts w:ascii="Arial" w:hAnsi="Arial" w:cs="Arial"/>
                <w:sz w:val="18"/>
                <w:szCs w:val="18"/>
                <w:lang w:eastAsia="cs-CZ"/>
              </w:rPr>
              <w:t>finančný manažér</w:t>
            </w:r>
          </w:p>
        </w:tc>
        <w:tc>
          <w:tcPr>
            <w:tcW w:w="1260" w:type="dxa"/>
            <w:shd w:val="clear" w:color="auto" w:fill="auto"/>
            <w:noWrap/>
            <w:tcMar>
              <w:top w:w="15" w:type="dxa"/>
              <w:left w:w="15" w:type="dxa"/>
              <w:bottom w:w="0" w:type="dxa"/>
              <w:right w:w="15" w:type="dxa"/>
            </w:tcMar>
            <w:vAlign w:val="center"/>
          </w:tcPr>
          <w:p w:rsidR="00FD01F0" w:rsidRPr="0039268C" w:rsidRDefault="00FD01F0" w:rsidP="0076276F">
            <w:pPr>
              <w:spacing w:line="360" w:lineRule="auto"/>
              <w:jc w:val="center"/>
              <w:rPr>
                <w:rFonts w:ascii="Arial" w:hAnsi="Arial" w:cs="Arial"/>
                <w:sz w:val="18"/>
                <w:szCs w:val="18"/>
                <w:lang w:eastAsia="cs-CZ"/>
              </w:rPr>
            </w:pPr>
            <w:r w:rsidRPr="0039268C">
              <w:rPr>
                <w:rFonts w:ascii="Arial" w:hAnsi="Arial" w:cs="Arial"/>
                <w:sz w:val="18"/>
                <w:szCs w:val="18"/>
                <w:lang w:eastAsia="cs-CZ"/>
              </w:rPr>
              <w:t>6</w:t>
            </w:r>
          </w:p>
        </w:tc>
        <w:tc>
          <w:tcPr>
            <w:tcW w:w="1350" w:type="dxa"/>
            <w:vAlign w:val="center"/>
          </w:tcPr>
          <w:p w:rsidR="00FD01F0" w:rsidRPr="0039268C" w:rsidRDefault="00FD01F0" w:rsidP="0076276F">
            <w:pPr>
              <w:spacing w:line="360" w:lineRule="auto"/>
              <w:jc w:val="center"/>
              <w:rPr>
                <w:rFonts w:ascii="Arial" w:hAnsi="Arial" w:cs="Arial"/>
                <w:sz w:val="18"/>
                <w:szCs w:val="18"/>
                <w:lang w:eastAsia="cs-CZ"/>
              </w:rPr>
            </w:pPr>
            <w:r w:rsidRPr="0039268C">
              <w:rPr>
                <w:rFonts w:ascii="Arial" w:hAnsi="Arial" w:cs="Arial"/>
                <w:sz w:val="18"/>
                <w:szCs w:val="18"/>
                <w:lang w:eastAsia="cs-CZ"/>
              </w:rPr>
              <w:t>4</w:t>
            </w:r>
          </w:p>
        </w:tc>
        <w:tc>
          <w:tcPr>
            <w:tcW w:w="1350" w:type="dxa"/>
            <w:shd w:val="clear" w:color="auto" w:fill="auto"/>
            <w:vAlign w:val="center"/>
          </w:tcPr>
          <w:p w:rsidR="00FD01F0" w:rsidRPr="0039268C" w:rsidRDefault="00FD01F0" w:rsidP="0076276F">
            <w:pPr>
              <w:spacing w:line="360" w:lineRule="auto"/>
              <w:jc w:val="center"/>
              <w:rPr>
                <w:rFonts w:ascii="Arial" w:hAnsi="Arial" w:cs="Arial"/>
                <w:sz w:val="18"/>
                <w:szCs w:val="18"/>
                <w:lang w:eastAsia="cs-CZ"/>
              </w:rPr>
            </w:pPr>
            <w:r w:rsidRPr="0039268C">
              <w:rPr>
                <w:rFonts w:ascii="Arial" w:hAnsi="Arial" w:cs="Arial"/>
                <w:sz w:val="18"/>
                <w:szCs w:val="18"/>
                <w:lang w:eastAsia="cs-CZ"/>
              </w:rPr>
              <w:t>4</w:t>
            </w:r>
          </w:p>
        </w:tc>
        <w:tc>
          <w:tcPr>
            <w:tcW w:w="1440" w:type="dxa"/>
            <w:vAlign w:val="center"/>
          </w:tcPr>
          <w:p w:rsidR="00FD01F0" w:rsidRPr="0039268C" w:rsidRDefault="00FD01F0" w:rsidP="0076276F">
            <w:pPr>
              <w:spacing w:line="360" w:lineRule="auto"/>
              <w:jc w:val="center"/>
              <w:rPr>
                <w:rFonts w:ascii="Arial" w:hAnsi="Arial" w:cs="Arial"/>
                <w:sz w:val="18"/>
                <w:szCs w:val="18"/>
                <w:lang w:eastAsia="cs-CZ"/>
              </w:rPr>
            </w:pPr>
            <w:r w:rsidRPr="0039268C">
              <w:rPr>
                <w:rFonts w:ascii="Arial" w:hAnsi="Arial" w:cs="Arial"/>
                <w:sz w:val="18"/>
                <w:szCs w:val="18"/>
                <w:lang w:eastAsia="cs-CZ"/>
              </w:rPr>
              <w:t>100%</w:t>
            </w:r>
          </w:p>
        </w:tc>
        <w:tc>
          <w:tcPr>
            <w:tcW w:w="896" w:type="dxa"/>
            <w:shd w:val="clear" w:color="auto" w:fill="auto"/>
            <w:noWrap/>
            <w:tcMar>
              <w:top w:w="15" w:type="dxa"/>
              <w:left w:w="15" w:type="dxa"/>
              <w:bottom w:w="0" w:type="dxa"/>
              <w:right w:w="15" w:type="dxa"/>
            </w:tcMar>
            <w:vAlign w:val="center"/>
          </w:tcPr>
          <w:p w:rsidR="00FD01F0" w:rsidRPr="0039268C" w:rsidRDefault="00FD01F0" w:rsidP="0076276F">
            <w:pPr>
              <w:spacing w:line="360" w:lineRule="auto"/>
              <w:jc w:val="center"/>
              <w:rPr>
                <w:rFonts w:ascii="Arial" w:hAnsi="Arial" w:cs="Arial"/>
                <w:sz w:val="18"/>
                <w:szCs w:val="18"/>
                <w:lang w:eastAsia="cs-CZ"/>
              </w:rPr>
            </w:pPr>
          </w:p>
        </w:tc>
      </w:tr>
      <w:tr w:rsidR="00FD01F0" w:rsidRPr="00FD01F0" w:rsidTr="0039268C">
        <w:trPr>
          <w:trHeight w:val="53"/>
        </w:trPr>
        <w:tc>
          <w:tcPr>
            <w:tcW w:w="3202" w:type="dxa"/>
            <w:tcBorders>
              <w:bottom w:val="single" w:sz="4" w:space="0" w:color="auto"/>
            </w:tcBorders>
            <w:shd w:val="clear" w:color="auto" w:fill="auto"/>
            <w:noWrap/>
            <w:tcMar>
              <w:top w:w="15" w:type="dxa"/>
              <w:left w:w="15" w:type="dxa"/>
              <w:bottom w:w="0" w:type="dxa"/>
              <w:right w:w="15" w:type="dxa"/>
            </w:tcMar>
            <w:vAlign w:val="center"/>
          </w:tcPr>
          <w:p w:rsidR="00FD01F0" w:rsidRPr="0039268C" w:rsidRDefault="00FD01F0" w:rsidP="0076276F">
            <w:pPr>
              <w:spacing w:line="360" w:lineRule="auto"/>
              <w:jc w:val="both"/>
              <w:rPr>
                <w:rFonts w:ascii="Arial" w:hAnsi="Arial" w:cs="Arial"/>
                <w:sz w:val="18"/>
                <w:szCs w:val="18"/>
                <w:lang w:eastAsia="cs-CZ"/>
              </w:rPr>
            </w:pPr>
            <w:r w:rsidRPr="0039268C">
              <w:rPr>
                <w:rFonts w:ascii="Arial" w:hAnsi="Arial" w:cs="Arial"/>
                <w:sz w:val="18"/>
                <w:szCs w:val="18"/>
                <w:lang w:eastAsia="cs-CZ"/>
              </w:rPr>
              <w:t>finančný účtovník</w:t>
            </w:r>
          </w:p>
        </w:tc>
        <w:tc>
          <w:tcPr>
            <w:tcW w:w="1260" w:type="dxa"/>
            <w:tcBorders>
              <w:bottom w:val="single" w:sz="4" w:space="0" w:color="auto"/>
            </w:tcBorders>
            <w:shd w:val="clear" w:color="auto" w:fill="auto"/>
            <w:noWrap/>
            <w:tcMar>
              <w:top w:w="15" w:type="dxa"/>
              <w:left w:w="15" w:type="dxa"/>
              <w:bottom w:w="0" w:type="dxa"/>
              <w:right w:w="15" w:type="dxa"/>
            </w:tcMar>
            <w:vAlign w:val="center"/>
          </w:tcPr>
          <w:p w:rsidR="00FD01F0" w:rsidRPr="0039268C" w:rsidRDefault="00FD01F0" w:rsidP="0076276F">
            <w:pPr>
              <w:spacing w:line="360" w:lineRule="auto"/>
              <w:jc w:val="center"/>
              <w:rPr>
                <w:rFonts w:ascii="Arial" w:hAnsi="Arial" w:cs="Arial"/>
                <w:sz w:val="18"/>
                <w:szCs w:val="18"/>
                <w:lang w:eastAsia="cs-CZ"/>
              </w:rPr>
            </w:pPr>
            <w:r w:rsidRPr="0039268C">
              <w:rPr>
                <w:rFonts w:ascii="Arial" w:hAnsi="Arial" w:cs="Arial"/>
                <w:sz w:val="18"/>
                <w:szCs w:val="18"/>
                <w:lang w:eastAsia="cs-CZ"/>
              </w:rPr>
              <w:t>2</w:t>
            </w:r>
          </w:p>
        </w:tc>
        <w:tc>
          <w:tcPr>
            <w:tcW w:w="1350" w:type="dxa"/>
            <w:tcBorders>
              <w:bottom w:val="single" w:sz="4" w:space="0" w:color="auto"/>
            </w:tcBorders>
            <w:vAlign w:val="center"/>
          </w:tcPr>
          <w:p w:rsidR="00FD01F0" w:rsidRPr="0039268C" w:rsidRDefault="00FD01F0" w:rsidP="0076276F">
            <w:pPr>
              <w:spacing w:line="360" w:lineRule="auto"/>
              <w:jc w:val="center"/>
              <w:rPr>
                <w:rFonts w:ascii="Arial" w:hAnsi="Arial" w:cs="Arial"/>
                <w:sz w:val="18"/>
                <w:szCs w:val="18"/>
                <w:lang w:eastAsia="cs-CZ"/>
              </w:rPr>
            </w:pPr>
            <w:r w:rsidRPr="0039268C">
              <w:rPr>
                <w:rFonts w:ascii="Arial" w:hAnsi="Arial" w:cs="Arial"/>
                <w:sz w:val="18"/>
                <w:szCs w:val="18"/>
                <w:lang w:eastAsia="cs-CZ"/>
              </w:rPr>
              <w:t>2</w:t>
            </w:r>
          </w:p>
        </w:tc>
        <w:tc>
          <w:tcPr>
            <w:tcW w:w="1350" w:type="dxa"/>
            <w:tcBorders>
              <w:bottom w:val="single" w:sz="4" w:space="0" w:color="auto"/>
            </w:tcBorders>
            <w:shd w:val="clear" w:color="auto" w:fill="auto"/>
            <w:vAlign w:val="center"/>
          </w:tcPr>
          <w:p w:rsidR="00FD01F0" w:rsidRPr="0039268C" w:rsidRDefault="00FD01F0" w:rsidP="0076276F">
            <w:pPr>
              <w:spacing w:line="360" w:lineRule="auto"/>
              <w:jc w:val="center"/>
              <w:rPr>
                <w:rFonts w:ascii="Arial" w:hAnsi="Arial" w:cs="Arial"/>
                <w:sz w:val="18"/>
                <w:szCs w:val="18"/>
                <w:lang w:eastAsia="cs-CZ"/>
              </w:rPr>
            </w:pPr>
            <w:r w:rsidRPr="0039268C">
              <w:rPr>
                <w:rFonts w:ascii="Arial" w:hAnsi="Arial" w:cs="Arial"/>
                <w:sz w:val="18"/>
                <w:szCs w:val="18"/>
                <w:lang w:eastAsia="cs-CZ"/>
              </w:rPr>
              <w:t>2</w:t>
            </w:r>
          </w:p>
        </w:tc>
        <w:tc>
          <w:tcPr>
            <w:tcW w:w="1440" w:type="dxa"/>
            <w:tcBorders>
              <w:bottom w:val="single" w:sz="4" w:space="0" w:color="auto"/>
            </w:tcBorders>
            <w:vAlign w:val="center"/>
          </w:tcPr>
          <w:p w:rsidR="00FD01F0" w:rsidRPr="0039268C" w:rsidRDefault="00FD01F0" w:rsidP="0076276F">
            <w:pPr>
              <w:spacing w:line="360" w:lineRule="auto"/>
              <w:jc w:val="center"/>
              <w:rPr>
                <w:rFonts w:ascii="Arial" w:hAnsi="Arial" w:cs="Arial"/>
                <w:sz w:val="18"/>
                <w:szCs w:val="18"/>
                <w:lang w:eastAsia="cs-CZ"/>
              </w:rPr>
            </w:pPr>
            <w:r w:rsidRPr="0039268C">
              <w:rPr>
                <w:rFonts w:ascii="Arial" w:hAnsi="Arial" w:cs="Arial"/>
                <w:sz w:val="18"/>
                <w:szCs w:val="18"/>
                <w:lang w:eastAsia="cs-CZ"/>
              </w:rPr>
              <w:t>100%</w:t>
            </w:r>
          </w:p>
        </w:tc>
        <w:tc>
          <w:tcPr>
            <w:tcW w:w="896" w:type="dxa"/>
            <w:tcBorders>
              <w:bottom w:val="single" w:sz="4" w:space="0" w:color="auto"/>
            </w:tcBorders>
            <w:shd w:val="clear" w:color="auto" w:fill="auto"/>
            <w:noWrap/>
            <w:tcMar>
              <w:top w:w="15" w:type="dxa"/>
              <w:left w:w="15" w:type="dxa"/>
              <w:bottom w:w="0" w:type="dxa"/>
              <w:right w:w="15" w:type="dxa"/>
            </w:tcMar>
            <w:vAlign w:val="center"/>
          </w:tcPr>
          <w:p w:rsidR="00FD01F0" w:rsidRPr="0039268C" w:rsidRDefault="00FD01F0" w:rsidP="0076276F">
            <w:pPr>
              <w:spacing w:line="360" w:lineRule="auto"/>
              <w:jc w:val="center"/>
              <w:rPr>
                <w:rFonts w:ascii="Arial" w:hAnsi="Arial" w:cs="Arial"/>
                <w:sz w:val="18"/>
                <w:szCs w:val="18"/>
                <w:lang w:eastAsia="cs-CZ"/>
              </w:rPr>
            </w:pPr>
          </w:p>
        </w:tc>
      </w:tr>
      <w:tr w:rsidR="00FD01F0" w:rsidRPr="00FD01F0" w:rsidTr="00536040">
        <w:trPr>
          <w:trHeight w:val="53"/>
        </w:trPr>
        <w:tc>
          <w:tcPr>
            <w:tcW w:w="3202" w:type="dxa"/>
            <w:shd w:val="clear" w:color="auto" w:fill="EAF1DD"/>
            <w:noWrap/>
            <w:tcMar>
              <w:top w:w="15" w:type="dxa"/>
              <w:left w:w="15" w:type="dxa"/>
              <w:bottom w:w="0" w:type="dxa"/>
              <w:right w:w="15" w:type="dxa"/>
            </w:tcMar>
            <w:vAlign w:val="center"/>
          </w:tcPr>
          <w:p w:rsidR="00FD01F0" w:rsidRPr="0039268C" w:rsidRDefault="00FD01F0" w:rsidP="0076276F">
            <w:pPr>
              <w:spacing w:line="360" w:lineRule="auto"/>
              <w:jc w:val="both"/>
              <w:rPr>
                <w:rFonts w:ascii="Arial" w:hAnsi="Arial" w:cs="Arial"/>
                <w:b/>
                <w:sz w:val="18"/>
                <w:szCs w:val="18"/>
                <w:lang w:eastAsia="cs-CZ"/>
              </w:rPr>
            </w:pPr>
            <w:r w:rsidRPr="0039268C">
              <w:rPr>
                <w:rFonts w:ascii="Arial" w:hAnsi="Arial" w:cs="Arial"/>
                <w:b/>
                <w:sz w:val="18"/>
                <w:szCs w:val="18"/>
                <w:lang w:eastAsia="cs-CZ"/>
              </w:rPr>
              <w:t>Spolu</w:t>
            </w:r>
          </w:p>
        </w:tc>
        <w:tc>
          <w:tcPr>
            <w:tcW w:w="1260" w:type="dxa"/>
            <w:shd w:val="clear" w:color="auto" w:fill="EAF1DD"/>
            <w:noWrap/>
            <w:tcMar>
              <w:top w:w="15" w:type="dxa"/>
              <w:left w:w="15" w:type="dxa"/>
              <w:bottom w:w="0" w:type="dxa"/>
              <w:right w:w="15" w:type="dxa"/>
            </w:tcMar>
            <w:vAlign w:val="center"/>
          </w:tcPr>
          <w:p w:rsidR="00FD01F0" w:rsidRPr="0039268C" w:rsidRDefault="00FD01F0" w:rsidP="0076276F">
            <w:pPr>
              <w:spacing w:line="360" w:lineRule="auto"/>
              <w:jc w:val="center"/>
              <w:rPr>
                <w:rFonts w:ascii="Arial" w:hAnsi="Arial" w:cs="Arial"/>
                <w:b/>
                <w:sz w:val="18"/>
                <w:szCs w:val="18"/>
                <w:lang w:eastAsia="cs-CZ"/>
              </w:rPr>
            </w:pPr>
            <w:r w:rsidRPr="0039268C">
              <w:rPr>
                <w:rFonts w:ascii="Arial" w:hAnsi="Arial" w:cs="Arial"/>
                <w:b/>
                <w:sz w:val="18"/>
                <w:szCs w:val="18"/>
                <w:lang w:eastAsia="cs-CZ"/>
              </w:rPr>
              <w:t>21</w:t>
            </w:r>
          </w:p>
        </w:tc>
        <w:tc>
          <w:tcPr>
            <w:tcW w:w="1350" w:type="dxa"/>
            <w:shd w:val="clear" w:color="auto" w:fill="EAF1DD"/>
            <w:vAlign w:val="center"/>
          </w:tcPr>
          <w:p w:rsidR="00FD01F0" w:rsidRPr="0039268C" w:rsidRDefault="00FD01F0" w:rsidP="0076276F">
            <w:pPr>
              <w:spacing w:line="360" w:lineRule="auto"/>
              <w:jc w:val="center"/>
              <w:rPr>
                <w:rFonts w:ascii="Arial" w:hAnsi="Arial" w:cs="Arial"/>
                <w:b/>
                <w:sz w:val="18"/>
                <w:szCs w:val="18"/>
                <w:lang w:eastAsia="cs-CZ"/>
              </w:rPr>
            </w:pPr>
            <w:r w:rsidRPr="0039268C">
              <w:rPr>
                <w:rFonts w:ascii="Arial" w:hAnsi="Arial" w:cs="Arial"/>
                <w:b/>
                <w:sz w:val="18"/>
                <w:szCs w:val="18"/>
                <w:lang w:eastAsia="cs-CZ"/>
              </w:rPr>
              <w:t>11</w:t>
            </w:r>
          </w:p>
        </w:tc>
        <w:tc>
          <w:tcPr>
            <w:tcW w:w="1350" w:type="dxa"/>
            <w:shd w:val="clear" w:color="auto" w:fill="EAF1DD"/>
            <w:vAlign w:val="center"/>
          </w:tcPr>
          <w:p w:rsidR="00FD01F0" w:rsidRPr="0039268C" w:rsidRDefault="00FD01F0" w:rsidP="0076276F">
            <w:pPr>
              <w:spacing w:line="360" w:lineRule="auto"/>
              <w:jc w:val="center"/>
              <w:rPr>
                <w:rFonts w:ascii="Arial" w:hAnsi="Arial" w:cs="Arial"/>
                <w:b/>
                <w:sz w:val="18"/>
                <w:szCs w:val="18"/>
                <w:lang w:eastAsia="cs-CZ"/>
              </w:rPr>
            </w:pPr>
            <w:r w:rsidRPr="0039268C">
              <w:rPr>
                <w:rFonts w:ascii="Arial" w:hAnsi="Arial" w:cs="Arial"/>
                <w:b/>
                <w:sz w:val="18"/>
                <w:szCs w:val="18"/>
                <w:lang w:eastAsia="cs-CZ"/>
              </w:rPr>
              <w:t>11</w:t>
            </w:r>
          </w:p>
        </w:tc>
        <w:tc>
          <w:tcPr>
            <w:tcW w:w="1440" w:type="dxa"/>
            <w:shd w:val="clear" w:color="auto" w:fill="EAF1DD"/>
            <w:vAlign w:val="center"/>
          </w:tcPr>
          <w:p w:rsidR="00FD01F0" w:rsidRPr="0039268C" w:rsidRDefault="00FD01F0" w:rsidP="0076276F">
            <w:pPr>
              <w:spacing w:line="360" w:lineRule="auto"/>
              <w:jc w:val="center"/>
              <w:rPr>
                <w:rFonts w:ascii="Arial" w:hAnsi="Arial" w:cs="Arial"/>
                <w:b/>
                <w:sz w:val="18"/>
                <w:szCs w:val="18"/>
                <w:lang w:eastAsia="cs-CZ"/>
              </w:rPr>
            </w:pPr>
            <w:r w:rsidRPr="0039268C">
              <w:rPr>
                <w:rFonts w:ascii="Arial" w:hAnsi="Arial" w:cs="Arial"/>
                <w:b/>
                <w:sz w:val="18"/>
                <w:szCs w:val="18"/>
                <w:lang w:eastAsia="cs-CZ"/>
              </w:rPr>
              <w:t>100%</w:t>
            </w:r>
          </w:p>
        </w:tc>
        <w:tc>
          <w:tcPr>
            <w:tcW w:w="896" w:type="dxa"/>
            <w:shd w:val="clear" w:color="auto" w:fill="EAF1DD"/>
            <w:noWrap/>
            <w:tcMar>
              <w:top w:w="15" w:type="dxa"/>
              <w:left w:w="15" w:type="dxa"/>
              <w:bottom w:w="0" w:type="dxa"/>
              <w:right w:w="15" w:type="dxa"/>
            </w:tcMar>
            <w:vAlign w:val="center"/>
          </w:tcPr>
          <w:p w:rsidR="00FD01F0" w:rsidRPr="0039268C" w:rsidRDefault="00FD01F0" w:rsidP="0076276F">
            <w:pPr>
              <w:spacing w:line="360" w:lineRule="auto"/>
              <w:jc w:val="center"/>
              <w:rPr>
                <w:rFonts w:ascii="Arial" w:hAnsi="Arial" w:cs="Arial"/>
                <w:b/>
                <w:sz w:val="18"/>
                <w:szCs w:val="18"/>
                <w:lang w:eastAsia="cs-CZ"/>
              </w:rPr>
            </w:pPr>
          </w:p>
        </w:tc>
      </w:tr>
    </w:tbl>
    <w:p w:rsidR="002416B1" w:rsidRPr="006A2BF3" w:rsidRDefault="002416B1" w:rsidP="0076276F">
      <w:pPr>
        <w:spacing w:line="360" w:lineRule="auto"/>
        <w:jc w:val="both"/>
        <w:rPr>
          <w:rFonts w:ascii="Arial" w:hAnsi="Arial" w:cs="Arial"/>
          <w:sz w:val="18"/>
          <w:szCs w:val="18"/>
        </w:rPr>
      </w:pPr>
      <w:r w:rsidRPr="006A2BF3">
        <w:rPr>
          <w:rFonts w:ascii="Arial" w:hAnsi="Arial" w:cs="Arial"/>
          <w:sz w:val="18"/>
          <w:szCs w:val="18"/>
        </w:rPr>
        <w:t>Zdroj: RO</w:t>
      </w:r>
    </w:p>
    <w:p w:rsidR="0076276F" w:rsidRDefault="0076276F">
      <w:pPr>
        <w:rPr>
          <w:rFonts w:ascii="Arial" w:hAnsi="Arial" w:cs="Arial"/>
          <w:sz w:val="20"/>
          <w:szCs w:val="20"/>
        </w:rPr>
      </w:pPr>
      <w:r>
        <w:rPr>
          <w:rFonts w:ascii="Arial" w:hAnsi="Arial" w:cs="Arial"/>
          <w:sz w:val="20"/>
          <w:szCs w:val="20"/>
        </w:rPr>
        <w:br w:type="page"/>
      </w:r>
    </w:p>
    <w:p w:rsidR="002416B1" w:rsidRPr="006A2BF3" w:rsidRDefault="002416B1" w:rsidP="0076276F">
      <w:pPr>
        <w:spacing w:line="360" w:lineRule="auto"/>
        <w:jc w:val="both"/>
        <w:rPr>
          <w:rFonts w:ascii="Arial" w:hAnsi="Arial" w:cs="Arial"/>
          <w:sz w:val="20"/>
          <w:szCs w:val="20"/>
          <w:highlight w:val="yellow"/>
        </w:rPr>
      </w:pPr>
      <w:r w:rsidRPr="006A2BF3">
        <w:rPr>
          <w:rFonts w:ascii="Arial" w:hAnsi="Arial" w:cs="Arial"/>
          <w:sz w:val="20"/>
          <w:szCs w:val="20"/>
        </w:rPr>
        <w:t xml:space="preserve">Tab. č. </w:t>
      </w:r>
      <w:r w:rsidR="007B7519">
        <w:rPr>
          <w:rFonts w:ascii="Arial" w:hAnsi="Arial" w:cs="Arial"/>
          <w:sz w:val="20"/>
          <w:szCs w:val="20"/>
        </w:rPr>
        <w:t>36</w:t>
      </w:r>
      <w:r w:rsidRPr="006A2BF3">
        <w:rPr>
          <w:rFonts w:ascii="Arial" w:hAnsi="Arial" w:cs="Arial"/>
          <w:sz w:val="20"/>
          <w:szCs w:val="20"/>
        </w:rPr>
        <w:t>: Porovnanie so stavom v roku 201</w:t>
      </w:r>
      <w:r w:rsidR="00FD01F0">
        <w:rPr>
          <w:rFonts w:ascii="Arial" w:hAnsi="Arial" w:cs="Arial"/>
          <w:sz w:val="20"/>
          <w:szCs w:val="20"/>
        </w:rPr>
        <w:t>1</w:t>
      </w:r>
    </w:p>
    <w:tbl>
      <w:tblPr>
        <w:tblW w:w="9498" w:type="dxa"/>
        <w:tblInd w:w="-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1276"/>
        <w:gridCol w:w="1418"/>
        <w:gridCol w:w="1276"/>
        <w:gridCol w:w="1559"/>
        <w:gridCol w:w="1559"/>
        <w:gridCol w:w="1181"/>
        <w:gridCol w:w="1229"/>
      </w:tblGrid>
      <w:tr w:rsidR="00536040" w:rsidRPr="00FD01F0" w:rsidTr="00536040">
        <w:trPr>
          <w:trHeight w:val="636"/>
        </w:trPr>
        <w:tc>
          <w:tcPr>
            <w:tcW w:w="1276" w:type="dxa"/>
            <w:tcBorders>
              <w:bottom w:val="single" w:sz="4" w:space="0" w:color="auto"/>
            </w:tcBorders>
            <w:shd w:val="clear" w:color="auto" w:fill="D6E3BC"/>
            <w:noWrap/>
            <w:tcMar>
              <w:top w:w="15" w:type="dxa"/>
              <w:left w:w="15" w:type="dxa"/>
              <w:bottom w:w="0" w:type="dxa"/>
              <w:right w:w="15" w:type="dxa"/>
            </w:tcMar>
            <w:vAlign w:val="center"/>
          </w:tcPr>
          <w:p w:rsidR="00FD01F0" w:rsidRPr="0039268C" w:rsidRDefault="00FD01F0" w:rsidP="0076276F">
            <w:pPr>
              <w:jc w:val="center"/>
              <w:rPr>
                <w:rFonts w:ascii="Arial" w:hAnsi="Arial" w:cs="Arial"/>
                <w:b/>
                <w:sz w:val="18"/>
                <w:szCs w:val="18"/>
                <w:lang w:eastAsia="cs-CZ"/>
              </w:rPr>
            </w:pPr>
            <w:r w:rsidRPr="0039268C">
              <w:rPr>
                <w:rFonts w:ascii="Arial" w:hAnsi="Arial" w:cs="Arial"/>
                <w:b/>
                <w:sz w:val="18"/>
                <w:szCs w:val="18"/>
                <w:lang w:eastAsia="cs-CZ"/>
              </w:rPr>
              <w:t>Pozícia</w:t>
            </w:r>
          </w:p>
        </w:tc>
        <w:tc>
          <w:tcPr>
            <w:tcW w:w="1418" w:type="dxa"/>
            <w:tcBorders>
              <w:bottom w:val="single" w:sz="4" w:space="0" w:color="auto"/>
            </w:tcBorders>
            <w:shd w:val="clear" w:color="auto" w:fill="D6E3BC"/>
            <w:tcMar>
              <w:top w:w="15" w:type="dxa"/>
              <w:left w:w="15" w:type="dxa"/>
              <w:bottom w:w="0" w:type="dxa"/>
              <w:right w:w="15" w:type="dxa"/>
            </w:tcMar>
            <w:vAlign w:val="center"/>
          </w:tcPr>
          <w:p w:rsidR="00FD01F0" w:rsidRPr="0039268C" w:rsidRDefault="00FD01F0" w:rsidP="0076276F">
            <w:pPr>
              <w:jc w:val="center"/>
              <w:rPr>
                <w:rFonts w:ascii="Arial" w:hAnsi="Arial" w:cs="Arial"/>
                <w:b/>
                <w:sz w:val="18"/>
                <w:szCs w:val="18"/>
                <w:lang w:eastAsia="cs-CZ"/>
              </w:rPr>
            </w:pPr>
            <w:r w:rsidRPr="0039268C">
              <w:rPr>
                <w:rFonts w:ascii="Arial" w:hAnsi="Arial" w:cs="Arial"/>
                <w:b/>
                <w:sz w:val="18"/>
                <w:szCs w:val="18"/>
                <w:lang w:eastAsia="cs-CZ"/>
              </w:rPr>
              <w:t xml:space="preserve">Plánovaný stav k 31. 12. </w:t>
            </w:r>
            <w:r w:rsidRPr="0039268C">
              <w:rPr>
                <w:rFonts w:ascii="Arial" w:hAnsi="Arial" w:cs="Arial"/>
                <w:b/>
                <w:bCs/>
                <w:sz w:val="18"/>
                <w:szCs w:val="18"/>
                <w:lang w:eastAsia="cs-CZ"/>
              </w:rPr>
              <w:t>2011</w:t>
            </w:r>
          </w:p>
        </w:tc>
        <w:tc>
          <w:tcPr>
            <w:tcW w:w="1276" w:type="dxa"/>
            <w:tcBorders>
              <w:bottom w:val="single" w:sz="4" w:space="0" w:color="auto"/>
            </w:tcBorders>
            <w:shd w:val="clear" w:color="auto" w:fill="D6E3BC"/>
            <w:vAlign w:val="center"/>
          </w:tcPr>
          <w:p w:rsidR="00FD01F0" w:rsidRPr="0039268C" w:rsidRDefault="00FD01F0" w:rsidP="0076276F">
            <w:pPr>
              <w:jc w:val="center"/>
              <w:rPr>
                <w:rFonts w:ascii="Arial" w:hAnsi="Arial" w:cs="Arial"/>
                <w:b/>
                <w:sz w:val="18"/>
                <w:szCs w:val="18"/>
                <w:lang w:eastAsia="cs-CZ"/>
              </w:rPr>
            </w:pPr>
            <w:r w:rsidRPr="0039268C">
              <w:rPr>
                <w:rFonts w:ascii="Arial" w:hAnsi="Arial" w:cs="Arial"/>
                <w:b/>
                <w:bCs/>
                <w:sz w:val="18"/>
                <w:szCs w:val="18"/>
                <w:lang w:eastAsia="cs-CZ"/>
              </w:rPr>
              <w:t>Stav k 31. 12. 2011</w:t>
            </w:r>
          </w:p>
        </w:tc>
        <w:tc>
          <w:tcPr>
            <w:tcW w:w="1559" w:type="dxa"/>
            <w:tcBorders>
              <w:bottom w:val="single" w:sz="4" w:space="0" w:color="auto"/>
            </w:tcBorders>
            <w:shd w:val="clear" w:color="auto" w:fill="D6E3BC"/>
            <w:vAlign w:val="center"/>
          </w:tcPr>
          <w:p w:rsidR="00FD01F0" w:rsidRPr="0039268C" w:rsidRDefault="00FD01F0" w:rsidP="0076276F">
            <w:pPr>
              <w:jc w:val="center"/>
              <w:rPr>
                <w:rFonts w:ascii="Arial" w:hAnsi="Arial" w:cs="Arial"/>
                <w:b/>
                <w:sz w:val="18"/>
                <w:szCs w:val="18"/>
                <w:lang w:eastAsia="cs-CZ"/>
              </w:rPr>
            </w:pPr>
            <w:r w:rsidRPr="0039268C">
              <w:rPr>
                <w:rFonts w:ascii="Arial" w:hAnsi="Arial" w:cs="Arial"/>
                <w:b/>
                <w:bCs/>
                <w:sz w:val="18"/>
                <w:szCs w:val="18"/>
                <w:lang w:eastAsia="cs-CZ"/>
              </w:rPr>
              <w:t>% plánovaného stavu</w:t>
            </w:r>
          </w:p>
        </w:tc>
        <w:tc>
          <w:tcPr>
            <w:tcW w:w="1559" w:type="dxa"/>
            <w:tcBorders>
              <w:bottom w:val="single" w:sz="4" w:space="0" w:color="auto"/>
            </w:tcBorders>
            <w:shd w:val="clear" w:color="auto" w:fill="D6E3BC"/>
            <w:vAlign w:val="center"/>
          </w:tcPr>
          <w:p w:rsidR="00FD01F0" w:rsidRPr="0039268C" w:rsidRDefault="00FD01F0" w:rsidP="0076276F">
            <w:pPr>
              <w:jc w:val="center"/>
              <w:rPr>
                <w:rFonts w:ascii="Arial" w:hAnsi="Arial" w:cs="Arial"/>
                <w:b/>
                <w:sz w:val="18"/>
                <w:szCs w:val="18"/>
                <w:lang w:eastAsia="cs-CZ"/>
              </w:rPr>
            </w:pPr>
            <w:r w:rsidRPr="0039268C">
              <w:rPr>
                <w:rFonts w:ascii="Arial" w:hAnsi="Arial" w:cs="Arial"/>
                <w:b/>
                <w:sz w:val="18"/>
                <w:szCs w:val="18"/>
                <w:lang w:eastAsia="cs-CZ"/>
              </w:rPr>
              <w:t xml:space="preserve">Plánovaný stav k 31. 12. </w:t>
            </w:r>
            <w:r w:rsidRPr="0039268C">
              <w:rPr>
                <w:rFonts w:ascii="Arial" w:hAnsi="Arial" w:cs="Arial"/>
                <w:b/>
                <w:bCs/>
                <w:sz w:val="18"/>
                <w:szCs w:val="18"/>
                <w:lang w:eastAsia="cs-CZ"/>
              </w:rPr>
              <w:t>2012</w:t>
            </w:r>
          </w:p>
        </w:tc>
        <w:tc>
          <w:tcPr>
            <w:tcW w:w="1181" w:type="dxa"/>
            <w:tcBorders>
              <w:bottom w:val="single" w:sz="4" w:space="0" w:color="auto"/>
            </w:tcBorders>
            <w:shd w:val="clear" w:color="auto" w:fill="D6E3BC"/>
            <w:vAlign w:val="center"/>
          </w:tcPr>
          <w:p w:rsidR="00FD01F0" w:rsidRPr="0039268C" w:rsidRDefault="00FD01F0" w:rsidP="0076276F">
            <w:pPr>
              <w:jc w:val="center"/>
              <w:rPr>
                <w:rFonts w:ascii="Arial" w:hAnsi="Arial" w:cs="Arial"/>
                <w:b/>
                <w:sz w:val="18"/>
                <w:szCs w:val="18"/>
                <w:lang w:eastAsia="cs-CZ"/>
              </w:rPr>
            </w:pPr>
            <w:r w:rsidRPr="0039268C">
              <w:rPr>
                <w:rFonts w:ascii="Arial" w:hAnsi="Arial" w:cs="Arial"/>
                <w:b/>
                <w:bCs/>
                <w:sz w:val="18"/>
                <w:szCs w:val="18"/>
                <w:lang w:eastAsia="cs-CZ"/>
              </w:rPr>
              <w:t>Stav k 31. 12. 2012</w:t>
            </w:r>
          </w:p>
        </w:tc>
        <w:tc>
          <w:tcPr>
            <w:tcW w:w="1229" w:type="dxa"/>
            <w:tcBorders>
              <w:bottom w:val="single" w:sz="4" w:space="0" w:color="auto"/>
            </w:tcBorders>
            <w:shd w:val="clear" w:color="auto" w:fill="D6E3BC"/>
            <w:noWrap/>
            <w:tcMar>
              <w:top w:w="15" w:type="dxa"/>
              <w:left w:w="15" w:type="dxa"/>
              <w:bottom w:w="0" w:type="dxa"/>
              <w:right w:w="15" w:type="dxa"/>
            </w:tcMar>
            <w:vAlign w:val="center"/>
          </w:tcPr>
          <w:p w:rsidR="00FD01F0" w:rsidRPr="0039268C" w:rsidRDefault="00FD01F0" w:rsidP="0076276F">
            <w:pPr>
              <w:jc w:val="center"/>
              <w:rPr>
                <w:rFonts w:ascii="Arial" w:hAnsi="Arial" w:cs="Arial"/>
                <w:b/>
                <w:sz w:val="18"/>
                <w:szCs w:val="18"/>
                <w:lang w:eastAsia="cs-CZ"/>
              </w:rPr>
            </w:pPr>
            <w:r w:rsidRPr="0039268C">
              <w:rPr>
                <w:rFonts w:ascii="Arial" w:hAnsi="Arial" w:cs="Arial"/>
                <w:b/>
                <w:bCs/>
                <w:sz w:val="18"/>
                <w:szCs w:val="18"/>
                <w:lang w:eastAsia="cs-CZ"/>
              </w:rPr>
              <w:t>% plánovaného stavu</w:t>
            </w:r>
          </w:p>
        </w:tc>
      </w:tr>
      <w:tr w:rsidR="00536040" w:rsidRPr="00FD01F0" w:rsidTr="00536040">
        <w:trPr>
          <w:trHeight w:val="171"/>
        </w:trPr>
        <w:tc>
          <w:tcPr>
            <w:tcW w:w="1276" w:type="dxa"/>
            <w:shd w:val="clear" w:color="auto" w:fill="EAF1DD"/>
            <w:noWrap/>
            <w:tcMar>
              <w:top w:w="15" w:type="dxa"/>
              <w:left w:w="15" w:type="dxa"/>
              <w:bottom w:w="0" w:type="dxa"/>
              <w:right w:w="15" w:type="dxa"/>
            </w:tcMar>
            <w:vAlign w:val="center"/>
          </w:tcPr>
          <w:p w:rsidR="00FD01F0" w:rsidRPr="0039268C" w:rsidRDefault="00FD01F0" w:rsidP="0076276F">
            <w:pPr>
              <w:jc w:val="center"/>
              <w:rPr>
                <w:rFonts w:ascii="Arial" w:hAnsi="Arial" w:cs="Arial"/>
                <w:b/>
                <w:sz w:val="18"/>
                <w:szCs w:val="18"/>
                <w:lang w:eastAsia="cs-CZ"/>
              </w:rPr>
            </w:pPr>
            <w:r w:rsidRPr="0039268C">
              <w:rPr>
                <w:rFonts w:ascii="Arial" w:hAnsi="Arial" w:cs="Arial"/>
                <w:b/>
                <w:sz w:val="18"/>
                <w:szCs w:val="18"/>
                <w:lang w:eastAsia="cs-CZ"/>
              </w:rPr>
              <w:t>A</w:t>
            </w:r>
          </w:p>
        </w:tc>
        <w:tc>
          <w:tcPr>
            <w:tcW w:w="1418" w:type="dxa"/>
            <w:shd w:val="clear" w:color="auto" w:fill="EAF1DD"/>
            <w:tcMar>
              <w:top w:w="15" w:type="dxa"/>
              <w:left w:w="15" w:type="dxa"/>
              <w:bottom w:w="0" w:type="dxa"/>
              <w:right w:w="15" w:type="dxa"/>
            </w:tcMar>
            <w:vAlign w:val="center"/>
          </w:tcPr>
          <w:p w:rsidR="00FD01F0" w:rsidRPr="0039268C" w:rsidRDefault="00FD01F0" w:rsidP="0076276F">
            <w:pPr>
              <w:jc w:val="center"/>
              <w:rPr>
                <w:rFonts w:ascii="Arial" w:hAnsi="Arial" w:cs="Arial"/>
                <w:b/>
                <w:sz w:val="18"/>
                <w:szCs w:val="18"/>
                <w:lang w:eastAsia="cs-CZ"/>
              </w:rPr>
            </w:pPr>
            <w:r w:rsidRPr="0039268C">
              <w:rPr>
                <w:rFonts w:ascii="Arial" w:hAnsi="Arial" w:cs="Arial"/>
                <w:b/>
                <w:sz w:val="18"/>
                <w:szCs w:val="18"/>
                <w:lang w:eastAsia="cs-CZ"/>
              </w:rPr>
              <w:t>B</w:t>
            </w:r>
          </w:p>
        </w:tc>
        <w:tc>
          <w:tcPr>
            <w:tcW w:w="1276" w:type="dxa"/>
            <w:shd w:val="clear" w:color="auto" w:fill="EAF1DD"/>
            <w:vAlign w:val="center"/>
          </w:tcPr>
          <w:p w:rsidR="00FD01F0" w:rsidRPr="0039268C" w:rsidRDefault="00FD01F0" w:rsidP="0076276F">
            <w:pPr>
              <w:jc w:val="center"/>
              <w:rPr>
                <w:rFonts w:ascii="Arial" w:hAnsi="Arial" w:cs="Arial"/>
                <w:b/>
                <w:sz w:val="18"/>
                <w:szCs w:val="18"/>
                <w:lang w:eastAsia="cs-CZ"/>
              </w:rPr>
            </w:pPr>
            <w:r w:rsidRPr="0039268C">
              <w:rPr>
                <w:rFonts w:ascii="Arial" w:hAnsi="Arial" w:cs="Arial"/>
                <w:b/>
                <w:sz w:val="18"/>
                <w:szCs w:val="18"/>
                <w:lang w:eastAsia="cs-CZ"/>
              </w:rPr>
              <w:t>C</w:t>
            </w:r>
          </w:p>
        </w:tc>
        <w:tc>
          <w:tcPr>
            <w:tcW w:w="1559" w:type="dxa"/>
            <w:shd w:val="clear" w:color="auto" w:fill="EAF1DD"/>
            <w:vAlign w:val="center"/>
          </w:tcPr>
          <w:p w:rsidR="00FD01F0" w:rsidRPr="0039268C" w:rsidRDefault="00FD01F0" w:rsidP="0076276F">
            <w:pPr>
              <w:jc w:val="center"/>
              <w:rPr>
                <w:rFonts w:ascii="Arial" w:hAnsi="Arial" w:cs="Arial"/>
                <w:b/>
                <w:sz w:val="18"/>
                <w:szCs w:val="18"/>
                <w:lang w:eastAsia="cs-CZ"/>
              </w:rPr>
            </w:pPr>
            <w:r w:rsidRPr="0039268C">
              <w:rPr>
                <w:rFonts w:ascii="Arial" w:hAnsi="Arial" w:cs="Arial"/>
                <w:b/>
                <w:sz w:val="18"/>
                <w:szCs w:val="18"/>
                <w:lang w:eastAsia="cs-CZ"/>
              </w:rPr>
              <w:t>D=C/B</w:t>
            </w:r>
          </w:p>
        </w:tc>
        <w:tc>
          <w:tcPr>
            <w:tcW w:w="1559" w:type="dxa"/>
            <w:shd w:val="clear" w:color="auto" w:fill="EAF1DD"/>
            <w:vAlign w:val="center"/>
          </w:tcPr>
          <w:p w:rsidR="00FD01F0" w:rsidRPr="0039268C" w:rsidRDefault="00FD01F0" w:rsidP="0076276F">
            <w:pPr>
              <w:jc w:val="center"/>
              <w:rPr>
                <w:rFonts w:ascii="Arial" w:hAnsi="Arial" w:cs="Arial"/>
                <w:b/>
                <w:sz w:val="18"/>
                <w:szCs w:val="18"/>
                <w:lang w:eastAsia="cs-CZ"/>
              </w:rPr>
            </w:pPr>
            <w:r w:rsidRPr="0039268C">
              <w:rPr>
                <w:rFonts w:ascii="Arial" w:hAnsi="Arial" w:cs="Arial"/>
                <w:b/>
                <w:bCs/>
                <w:sz w:val="18"/>
                <w:szCs w:val="18"/>
                <w:lang w:eastAsia="cs-CZ"/>
              </w:rPr>
              <w:t>E</w:t>
            </w:r>
          </w:p>
        </w:tc>
        <w:tc>
          <w:tcPr>
            <w:tcW w:w="1181" w:type="dxa"/>
            <w:shd w:val="clear" w:color="auto" w:fill="EAF1DD"/>
            <w:vAlign w:val="center"/>
          </w:tcPr>
          <w:p w:rsidR="00FD01F0" w:rsidRPr="0039268C" w:rsidRDefault="00FD01F0" w:rsidP="0076276F">
            <w:pPr>
              <w:jc w:val="center"/>
              <w:rPr>
                <w:rFonts w:ascii="Arial" w:hAnsi="Arial" w:cs="Arial"/>
                <w:b/>
                <w:sz w:val="18"/>
                <w:szCs w:val="18"/>
                <w:lang w:eastAsia="cs-CZ"/>
              </w:rPr>
            </w:pPr>
            <w:r w:rsidRPr="0039268C">
              <w:rPr>
                <w:rFonts w:ascii="Arial" w:hAnsi="Arial" w:cs="Arial"/>
                <w:b/>
                <w:sz w:val="18"/>
                <w:szCs w:val="18"/>
                <w:lang w:eastAsia="cs-CZ"/>
              </w:rPr>
              <w:t>F</w:t>
            </w:r>
          </w:p>
        </w:tc>
        <w:tc>
          <w:tcPr>
            <w:tcW w:w="1229" w:type="dxa"/>
            <w:shd w:val="clear" w:color="auto" w:fill="EAF1DD"/>
            <w:noWrap/>
            <w:tcMar>
              <w:top w:w="15" w:type="dxa"/>
              <w:left w:w="15" w:type="dxa"/>
              <w:bottom w:w="0" w:type="dxa"/>
              <w:right w:w="15" w:type="dxa"/>
            </w:tcMar>
            <w:vAlign w:val="center"/>
          </w:tcPr>
          <w:p w:rsidR="00FD01F0" w:rsidRPr="0039268C" w:rsidRDefault="00FD01F0" w:rsidP="0076276F">
            <w:pPr>
              <w:jc w:val="center"/>
              <w:rPr>
                <w:rFonts w:ascii="Arial" w:hAnsi="Arial" w:cs="Arial"/>
                <w:b/>
                <w:sz w:val="18"/>
                <w:szCs w:val="18"/>
                <w:lang w:eastAsia="cs-CZ"/>
              </w:rPr>
            </w:pPr>
            <w:r w:rsidRPr="0039268C">
              <w:rPr>
                <w:rFonts w:ascii="Arial" w:hAnsi="Arial" w:cs="Arial"/>
                <w:b/>
                <w:sz w:val="18"/>
                <w:szCs w:val="18"/>
                <w:lang w:eastAsia="cs-CZ"/>
              </w:rPr>
              <w:t>G=F/E</w:t>
            </w:r>
          </w:p>
        </w:tc>
      </w:tr>
      <w:tr w:rsidR="00FD01F0" w:rsidRPr="00FD01F0" w:rsidTr="0039268C">
        <w:trPr>
          <w:trHeight w:val="138"/>
        </w:trPr>
        <w:tc>
          <w:tcPr>
            <w:tcW w:w="1276" w:type="dxa"/>
            <w:shd w:val="clear" w:color="auto" w:fill="auto"/>
            <w:noWrap/>
            <w:tcMar>
              <w:top w:w="15" w:type="dxa"/>
              <w:left w:w="15" w:type="dxa"/>
              <w:bottom w:w="0" w:type="dxa"/>
              <w:right w:w="15" w:type="dxa"/>
            </w:tcMar>
            <w:vAlign w:val="center"/>
          </w:tcPr>
          <w:p w:rsidR="00FD01F0" w:rsidRPr="0039268C" w:rsidRDefault="00FD01F0" w:rsidP="0076276F">
            <w:pPr>
              <w:jc w:val="both"/>
              <w:rPr>
                <w:rFonts w:ascii="Arial" w:hAnsi="Arial" w:cs="Arial"/>
                <w:sz w:val="18"/>
                <w:szCs w:val="18"/>
                <w:lang w:eastAsia="cs-CZ"/>
              </w:rPr>
            </w:pPr>
            <w:r w:rsidRPr="0039268C">
              <w:rPr>
                <w:rFonts w:ascii="Arial" w:hAnsi="Arial" w:cs="Arial"/>
                <w:sz w:val="18"/>
                <w:szCs w:val="18"/>
                <w:lang w:eastAsia="cs-CZ"/>
              </w:rPr>
              <w:t>RO mimo PJ</w:t>
            </w:r>
          </w:p>
        </w:tc>
        <w:tc>
          <w:tcPr>
            <w:tcW w:w="1418" w:type="dxa"/>
            <w:shd w:val="clear" w:color="auto" w:fill="auto"/>
            <w:noWrap/>
            <w:tcMar>
              <w:top w:w="15" w:type="dxa"/>
              <w:left w:w="15" w:type="dxa"/>
              <w:bottom w:w="0" w:type="dxa"/>
              <w:right w:w="15" w:type="dxa"/>
            </w:tcMar>
            <w:vAlign w:val="center"/>
          </w:tcPr>
          <w:p w:rsidR="00FD01F0" w:rsidRPr="0039268C" w:rsidRDefault="00FD01F0" w:rsidP="0076276F">
            <w:pPr>
              <w:jc w:val="center"/>
              <w:rPr>
                <w:rFonts w:ascii="Arial" w:hAnsi="Arial" w:cs="Arial"/>
                <w:sz w:val="18"/>
                <w:szCs w:val="18"/>
                <w:lang w:eastAsia="cs-CZ"/>
              </w:rPr>
            </w:pPr>
            <w:r w:rsidRPr="0039268C">
              <w:rPr>
                <w:rFonts w:ascii="Arial" w:hAnsi="Arial" w:cs="Arial"/>
                <w:sz w:val="18"/>
                <w:szCs w:val="18"/>
                <w:lang w:eastAsia="cs-CZ"/>
              </w:rPr>
              <w:t>137</w:t>
            </w:r>
          </w:p>
        </w:tc>
        <w:tc>
          <w:tcPr>
            <w:tcW w:w="1276" w:type="dxa"/>
            <w:vAlign w:val="center"/>
          </w:tcPr>
          <w:p w:rsidR="00FD01F0" w:rsidRPr="0039268C" w:rsidRDefault="00FD01F0" w:rsidP="0076276F">
            <w:pPr>
              <w:jc w:val="center"/>
              <w:rPr>
                <w:rFonts w:ascii="Arial" w:hAnsi="Arial" w:cs="Arial"/>
                <w:sz w:val="18"/>
                <w:szCs w:val="18"/>
                <w:lang w:eastAsia="cs-CZ"/>
              </w:rPr>
            </w:pPr>
            <w:r w:rsidRPr="0039268C">
              <w:rPr>
                <w:rFonts w:ascii="Arial" w:hAnsi="Arial" w:cs="Arial"/>
                <w:sz w:val="18"/>
                <w:szCs w:val="18"/>
                <w:lang w:eastAsia="cs-CZ"/>
              </w:rPr>
              <w:t>134</w:t>
            </w:r>
          </w:p>
        </w:tc>
        <w:tc>
          <w:tcPr>
            <w:tcW w:w="1559" w:type="dxa"/>
            <w:shd w:val="clear" w:color="auto" w:fill="auto"/>
            <w:vAlign w:val="center"/>
          </w:tcPr>
          <w:p w:rsidR="00FD01F0" w:rsidRPr="0039268C" w:rsidRDefault="00FD01F0" w:rsidP="0076276F">
            <w:pPr>
              <w:jc w:val="center"/>
              <w:rPr>
                <w:rFonts w:ascii="Arial" w:hAnsi="Arial" w:cs="Arial"/>
                <w:sz w:val="18"/>
                <w:szCs w:val="18"/>
                <w:lang w:eastAsia="cs-CZ"/>
              </w:rPr>
            </w:pPr>
            <w:r w:rsidRPr="0039268C">
              <w:rPr>
                <w:rFonts w:ascii="Arial" w:hAnsi="Arial" w:cs="Arial"/>
                <w:sz w:val="18"/>
                <w:szCs w:val="18"/>
                <w:lang w:eastAsia="cs-CZ"/>
              </w:rPr>
              <w:t>97,81%</w:t>
            </w:r>
          </w:p>
        </w:tc>
        <w:tc>
          <w:tcPr>
            <w:tcW w:w="1559" w:type="dxa"/>
            <w:vAlign w:val="center"/>
          </w:tcPr>
          <w:p w:rsidR="00FD01F0" w:rsidRPr="0039268C" w:rsidRDefault="00FD01F0" w:rsidP="0076276F">
            <w:pPr>
              <w:jc w:val="center"/>
              <w:rPr>
                <w:rFonts w:ascii="Arial" w:hAnsi="Arial" w:cs="Arial"/>
                <w:sz w:val="18"/>
                <w:szCs w:val="18"/>
                <w:lang w:eastAsia="cs-CZ"/>
              </w:rPr>
            </w:pPr>
            <w:r w:rsidRPr="0039268C">
              <w:rPr>
                <w:rFonts w:ascii="Arial" w:hAnsi="Arial" w:cs="Arial"/>
                <w:sz w:val="18"/>
                <w:szCs w:val="18"/>
                <w:lang w:eastAsia="cs-CZ"/>
              </w:rPr>
              <w:t>145</w:t>
            </w:r>
          </w:p>
        </w:tc>
        <w:tc>
          <w:tcPr>
            <w:tcW w:w="1181" w:type="dxa"/>
            <w:vAlign w:val="center"/>
          </w:tcPr>
          <w:p w:rsidR="00FD01F0" w:rsidRPr="0039268C" w:rsidRDefault="00FD01F0" w:rsidP="0076276F">
            <w:pPr>
              <w:jc w:val="center"/>
              <w:rPr>
                <w:rFonts w:ascii="Arial" w:hAnsi="Arial" w:cs="Arial"/>
                <w:sz w:val="18"/>
                <w:szCs w:val="18"/>
                <w:lang w:eastAsia="cs-CZ"/>
              </w:rPr>
            </w:pPr>
            <w:r w:rsidRPr="0039268C">
              <w:rPr>
                <w:rFonts w:ascii="Arial" w:hAnsi="Arial" w:cs="Arial"/>
                <w:sz w:val="18"/>
                <w:szCs w:val="18"/>
                <w:lang w:eastAsia="cs-CZ"/>
              </w:rPr>
              <w:t>138</w:t>
            </w:r>
          </w:p>
        </w:tc>
        <w:tc>
          <w:tcPr>
            <w:tcW w:w="1229" w:type="dxa"/>
            <w:shd w:val="clear" w:color="auto" w:fill="auto"/>
            <w:noWrap/>
            <w:tcMar>
              <w:top w:w="15" w:type="dxa"/>
              <w:left w:w="15" w:type="dxa"/>
              <w:bottom w:w="0" w:type="dxa"/>
              <w:right w:w="15" w:type="dxa"/>
            </w:tcMar>
            <w:vAlign w:val="center"/>
          </w:tcPr>
          <w:p w:rsidR="00FD01F0" w:rsidRPr="0039268C" w:rsidRDefault="00FD01F0" w:rsidP="0076276F">
            <w:pPr>
              <w:jc w:val="center"/>
              <w:rPr>
                <w:rFonts w:ascii="Arial" w:hAnsi="Arial" w:cs="Arial"/>
                <w:sz w:val="18"/>
                <w:szCs w:val="18"/>
                <w:lang w:eastAsia="cs-CZ"/>
              </w:rPr>
            </w:pPr>
            <w:r w:rsidRPr="0039268C">
              <w:rPr>
                <w:rFonts w:ascii="Arial" w:hAnsi="Arial" w:cs="Arial"/>
                <w:sz w:val="18"/>
                <w:szCs w:val="18"/>
                <w:lang w:eastAsia="cs-CZ"/>
              </w:rPr>
              <w:t>95%</w:t>
            </w:r>
          </w:p>
        </w:tc>
      </w:tr>
      <w:tr w:rsidR="00FD01F0" w:rsidRPr="00FD01F0" w:rsidTr="0039268C">
        <w:trPr>
          <w:trHeight w:val="65"/>
        </w:trPr>
        <w:tc>
          <w:tcPr>
            <w:tcW w:w="1276" w:type="dxa"/>
            <w:tcBorders>
              <w:bottom w:val="single" w:sz="4" w:space="0" w:color="auto"/>
            </w:tcBorders>
            <w:shd w:val="clear" w:color="auto" w:fill="auto"/>
            <w:noWrap/>
            <w:tcMar>
              <w:top w:w="15" w:type="dxa"/>
              <w:left w:w="15" w:type="dxa"/>
              <w:bottom w:w="0" w:type="dxa"/>
              <w:right w:w="15" w:type="dxa"/>
            </w:tcMar>
            <w:vAlign w:val="center"/>
          </w:tcPr>
          <w:p w:rsidR="00FD01F0" w:rsidRPr="0039268C" w:rsidRDefault="00FD01F0" w:rsidP="0076276F">
            <w:pPr>
              <w:jc w:val="both"/>
              <w:rPr>
                <w:rFonts w:ascii="Arial" w:hAnsi="Arial" w:cs="Arial"/>
                <w:sz w:val="18"/>
                <w:szCs w:val="18"/>
                <w:lang w:eastAsia="cs-CZ"/>
              </w:rPr>
            </w:pPr>
            <w:r w:rsidRPr="0039268C">
              <w:rPr>
                <w:rFonts w:ascii="Arial" w:hAnsi="Arial" w:cs="Arial"/>
                <w:sz w:val="18"/>
                <w:szCs w:val="18"/>
                <w:lang w:eastAsia="cs-CZ"/>
              </w:rPr>
              <w:t>PJ</w:t>
            </w:r>
          </w:p>
        </w:tc>
        <w:tc>
          <w:tcPr>
            <w:tcW w:w="1418" w:type="dxa"/>
            <w:tcBorders>
              <w:bottom w:val="single" w:sz="4" w:space="0" w:color="auto"/>
            </w:tcBorders>
            <w:shd w:val="clear" w:color="auto" w:fill="auto"/>
            <w:noWrap/>
            <w:tcMar>
              <w:top w:w="15" w:type="dxa"/>
              <w:left w:w="15" w:type="dxa"/>
              <w:bottom w:w="0" w:type="dxa"/>
              <w:right w:w="15" w:type="dxa"/>
            </w:tcMar>
            <w:vAlign w:val="center"/>
          </w:tcPr>
          <w:p w:rsidR="00FD01F0" w:rsidRPr="0039268C" w:rsidRDefault="00FD01F0" w:rsidP="0076276F">
            <w:pPr>
              <w:jc w:val="center"/>
              <w:rPr>
                <w:rFonts w:ascii="Arial" w:hAnsi="Arial" w:cs="Arial"/>
                <w:sz w:val="18"/>
                <w:szCs w:val="18"/>
                <w:lang w:eastAsia="cs-CZ"/>
              </w:rPr>
            </w:pPr>
            <w:r w:rsidRPr="0039268C">
              <w:rPr>
                <w:rFonts w:ascii="Arial" w:hAnsi="Arial" w:cs="Arial"/>
                <w:sz w:val="18"/>
                <w:szCs w:val="18"/>
                <w:lang w:eastAsia="cs-CZ"/>
              </w:rPr>
              <w:t>21</w:t>
            </w:r>
          </w:p>
        </w:tc>
        <w:tc>
          <w:tcPr>
            <w:tcW w:w="1276" w:type="dxa"/>
            <w:tcBorders>
              <w:bottom w:val="single" w:sz="4" w:space="0" w:color="auto"/>
            </w:tcBorders>
            <w:vAlign w:val="center"/>
          </w:tcPr>
          <w:p w:rsidR="00FD01F0" w:rsidRPr="0039268C" w:rsidRDefault="00FD01F0" w:rsidP="0076276F">
            <w:pPr>
              <w:jc w:val="center"/>
              <w:rPr>
                <w:rFonts w:ascii="Arial" w:hAnsi="Arial" w:cs="Arial"/>
                <w:sz w:val="18"/>
                <w:szCs w:val="18"/>
                <w:lang w:eastAsia="cs-CZ"/>
              </w:rPr>
            </w:pPr>
            <w:r w:rsidRPr="0039268C">
              <w:rPr>
                <w:rFonts w:ascii="Arial" w:hAnsi="Arial" w:cs="Arial"/>
                <w:sz w:val="18"/>
                <w:szCs w:val="18"/>
                <w:lang w:eastAsia="cs-CZ"/>
              </w:rPr>
              <w:t>21</w:t>
            </w:r>
          </w:p>
        </w:tc>
        <w:tc>
          <w:tcPr>
            <w:tcW w:w="1559" w:type="dxa"/>
            <w:tcBorders>
              <w:bottom w:val="single" w:sz="4" w:space="0" w:color="auto"/>
            </w:tcBorders>
            <w:shd w:val="clear" w:color="auto" w:fill="auto"/>
            <w:vAlign w:val="center"/>
          </w:tcPr>
          <w:p w:rsidR="00FD01F0" w:rsidRPr="0039268C" w:rsidRDefault="00FD01F0" w:rsidP="0076276F">
            <w:pPr>
              <w:jc w:val="center"/>
              <w:rPr>
                <w:rFonts w:ascii="Arial" w:hAnsi="Arial" w:cs="Arial"/>
                <w:sz w:val="18"/>
                <w:szCs w:val="18"/>
                <w:lang w:eastAsia="cs-CZ"/>
              </w:rPr>
            </w:pPr>
            <w:r w:rsidRPr="0039268C">
              <w:rPr>
                <w:rFonts w:ascii="Arial" w:hAnsi="Arial" w:cs="Arial"/>
                <w:sz w:val="18"/>
                <w:szCs w:val="18"/>
                <w:lang w:eastAsia="cs-CZ"/>
              </w:rPr>
              <w:t>100%</w:t>
            </w:r>
          </w:p>
        </w:tc>
        <w:tc>
          <w:tcPr>
            <w:tcW w:w="1559" w:type="dxa"/>
            <w:tcBorders>
              <w:bottom w:val="single" w:sz="4" w:space="0" w:color="auto"/>
            </w:tcBorders>
            <w:vAlign w:val="center"/>
          </w:tcPr>
          <w:p w:rsidR="00FD01F0" w:rsidRPr="0039268C" w:rsidRDefault="00FD01F0" w:rsidP="0076276F">
            <w:pPr>
              <w:jc w:val="center"/>
              <w:rPr>
                <w:rFonts w:ascii="Arial" w:hAnsi="Arial" w:cs="Arial"/>
                <w:sz w:val="18"/>
                <w:szCs w:val="18"/>
                <w:lang w:eastAsia="cs-CZ"/>
              </w:rPr>
            </w:pPr>
            <w:r w:rsidRPr="0039268C">
              <w:rPr>
                <w:rFonts w:ascii="Arial" w:hAnsi="Arial" w:cs="Arial"/>
                <w:sz w:val="18"/>
                <w:szCs w:val="18"/>
                <w:lang w:eastAsia="cs-CZ"/>
              </w:rPr>
              <w:t>11</w:t>
            </w:r>
          </w:p>
        </w:tc>
        <w:tc>
          <w:tcPr>
            <w:tcW w:w="1181" w:type="dxa"/>
            <w:tcBorders>
              <w:bottom w:val="single" w:sz="4" w:space="0" w:color="auto"/>
            </w:tcBorders>
            <w:vAlign w:val="center"/>
          </w:tcPr>
          <w:p w:rsidR="00FD01F0" w:rsidRPr="0039268C" w:rsidRDefault="00FD01F0" w:rsidP="0076276F">
            <w:pPr>
              <w:jc w:val="center"/>
              <w:rPr>
                <w:rFonts w:ascii="Arial" w:hAnsi="Arial" w:cs="Arial"/>
                <w:sz w:val="18"/>
                <w:szCs w:val="18"/>
                <w:lang w:eastAsia="cs-CZ"/>
              </w:rPr>
            </w:pPr>
            <w:r w:rsidRPr="0039268C">
              <w:rPr>
                <w:rFonts w:ascii="Arial" w:hAnsi="Arial" w:cs="Arial"/>
                <w:sz w:val="18"/>
                <w:szCs w:val="18"/>
                <w:lang w:eastAsia="cs-CZ"/>
              </w:rPr>
              <w:t>11</w:t>
            </w:r>
          </w:p>
        </w:tc>
        <w:tc>
          <w:tcPr>
            <w:tcW w:w="1229" w:type="dxa"/>
            <w:tcBorders>
              <w:bottom w:val="single" w:sz="4" w:space="0" w:color="auto"/>
            </w:tcBorders>
            <w:shd w:val="clear" w:color="auto" w:fill="auto"/>
            <w:noWrap/>
            <w:tcMar>
              <w:top w:w="15" w:type="dxa"/>
              <w:left w:w="15" w:type="dxa"/>
              <w:bottom w:w="0" w:type="dxa"/>
              <w:right w:w="15" w:type="dxa"/>
            </w:tcMar>
            <w:vAlign w:val="center"/>
          </w:tcPr>
          <w:p w:rsidR="00FD01F0" w:rsidRPr="0039268C" w:rsidRDefault="00FD01F0" w:rsidP="0076276F">
            <w:pPr>
              <w:jc w:val="center"/>
              <w:rPr>
                <w:rFonts w:ascii="Arial" w:hAnsi="Arial" w:cs="Arial"/>
                <w:sz w:val="18"/>
                <w:szCs w:val="18"/>
                <w:lang w:eastAsia="cs-CZ"/>
              </w:rPr>
            </w:pPr>
            <w:r w:rsidRPr="0039268C">
              <w:rPr>
                <w:rFonts w:ascii="Arial" w:hAnsi="Arial" w:cs="Arial"/>
                <w:sz w:val="18"/>
                <w:szCs w:val="18"/>
                <w:lang w:eastAsia="cs-CZ"/>
              </w:rPr>
              <w:t>100%</w:t>
            </w:r>
          </w:p>
        </w:tc>
      </w:tr>
      <w:tr w:rsidR="00536040" w:rsidRPr="00FD01F0" w:rsidTr="00536040">
        <w:trPr>
          <w:trHeight w:val="20"/>
        </w:trPr>
        <w:tc>
          <w:tcPr>
            <w:tcW w:w="1276" w:type="dxa"/>
            <w:shd w:val="clear" w:color="auto" w:fill="EAF1DD"/>
            <w:noWrap/>
            <w:tcMar>
              <w:top w:w="15" w:type="dxa"/>
              <w:left w:w="15" w:type="dxa"/>
              <w:bottom w:w="0" w:type="dxa"/>
              <w:right w:w="15" w:type="dxa"/>
            </w:tcMar>
            <w:vAlign w:val="center"/>
          </w:tcPr>
          <w:p w:rsidR="00FD01F0" w:rsidRPr="0039268C" w:rsidRDefault="00FD01F0" w:rsidP="0076276F">
            <w:pPr>
              <w:jc w:val="both"/>
              <w:rPr>
                <w:rFonts w:ascii="Arial" w:hAnsi="Arial" w:cs="Arial"/>
                <w:b/>
                <w:sz w:val="18"/>
                <w:szCs w:val="18"/>
                <w:lang w:eastAsia="cs-CZ"/>
              </w:rPr>
            </w:pPr>
            <w:r w:rsidRPr="0039268C">
              <w:rPr>
                <w:rFonts w:ascii="Arial" w:hAnsi="Arial" w:cs="Arial"/>
                <w:b/>
                <w:sz w:val="18"/>
                <w:szCs w:val="18"/>
                <w:lang w:eastAsia="cs-CZ"/>
              </w:rPr>
              <w:t>Spolu</w:t>
            </w:r>
          </w:p>
        </w:tc>
        <w:tc>
          <w:tcPr>
            <w:tcW w:w="1418" w:type="dxa"/>
            <w:shd w:val="clear" w:color="auto" w:fill="EAF1DD"/>
            <w:noWrap/>
            <w:tcMar>
              <w:top w:w="15" w:type="dxa"/>
              <w:left w:w="15" w:type="dxa"/>
              <w:bottom w:w="0" w:type="dxa"/>
              <w:right w:w="15" w:type="dxa"/>
            </w:tcMar>
            <w:vAlign w:val="center"/>
          </w:tcPr>
          <w:p w:rsidR="00FD01F0" w:rsidRPr="0039268C" w:rsidRDefault="00FD01F0" w:rsidP="0076276F">
            <w:pPr>
              <w:jc w:val="center"/>
              <w:rPr>
                <w:rFonts w:ascii="Arial" w:hAnsi="Arial" w:cs="Arial"/>
                <w:b/>
                <w:sz w:val="18"/>
                <w:szCs w:val="18"/>
                <w:lang w:eastAsia="cs-CZ"/>
              </w:rPr>
            </w:pPr>
            <w:r w:rsidRPr="0039268C">
              <w:rPr>
                <w:rFonts w:ascii="Arial" w:hAnsi="Arial" w:cs="Arial"/>
                <w:b/>
                <w:sz w:val="18"/>
                <w:szCs w:val="18"/>
                <w:lang w:eastAsia="cs-CZ"/>
              </w:rPr>
              <w:t>158</w:t>
            </w:r>
          </w:p>
        </w:tc>
        <w:tc>
          <w:tcPr>
            <w:tcW w:w="1276" w:type="dxa"/>
            <w:shd w:val="clear" w:color="auto" w:fill="EAF1DD"/>
            <w:vAlign w:val="center"/>
          </w:tcPr>
          <w:p w:rsidR="00FD01F0" w:rsidRPr="0039268C" w:rsidRDefault="00FD01F0" w:rsidP="0076276F">
            <w:pPr>
              <w:jc w:val="center"/>
              <w:rPr>
                <w:rFonts w:ascii="Arial" w:hAnsi="Arial" w:cs="Arial"/>
                <w:b/>
                <w:sz w:val="18"/>
                <w:szCs w:val="18"/>
                <w:lang w:eastAsia="cs-CZ"/>
              </w:rPr>
            </w:pPr>
            <w:r w:rsidRPr="0039268C">
              <w:rPr>
                <w:rFonts w:ascii="Arial" w:hAnsi="Arial" w:cs="Arial"/>
                <w:b/>
                <w:sz w:val="18"/>
                <w:szCs w:val="18"/>
                <w:lang w:eastAsia="cs-CZ"/>
              </w:rPr>
              <w:t>155</w:t>
            </w:r>
          </w:p>
        </w:tc>
        <w:tc>
          <w:tcPr>
            <w:tcW w:w="1559" w:type="dxa"/>
            <w:shd w:val="clear" w:color="auto" w:fill="EAF1DD"/>
            <w:vAlign w:val="center"/>
          </w:tcPr>
          <w:p w:rsidR="00FD01F0" w:rsidRPr="0039268C" w:rsidRDefault="00FD01F0" w:rsidP="0076276F">
            <w:pPr>
              <w:jc w:val="center"/>
              <w:rPr>
                <w:rFonts w:ascii="Arial" w:hAnsi="Arial" w:cs="Arial"/>
                <w:b/>
                <w:sz w:val="18"/>
                <w:szCs w:val="18"/>
                <w:lang w:eastAsia="cs-CZ"/>
              </w:rPr>
            </w:pPr>
            <w:r w:rsidRPr="0039268C">
              <w:rPr>
                <w:rFonts w:ascii="Arial" w:hAnsi="Arial" w:cs="Arial"/>
                <w:b/>
                <w:sz w:val="18"/>
                <w:szCs w:val="18"/>
                <w:lang w:eastAsia="cs-CZ"/>
              </w:rPr>
              <w:t>98,10%</w:t>
            </w:r>
          </w:p>
        </w:tc>
        <w:tc>
          <w:tcPr>
            <w:tcW w:w="1559" w:type="dxa"/>
            <w:shd w:val="clear" w:color="auto" w:fill="EAF1DD"/>
            <w:vAlign w:val="center"/>
          </w:tcPr>
          <w:p w:rsidR="00FD01F0" w:rsidRPr="0039268C" w:rsidRDefault="00FD01F0" w:rsidP="0076276F">
            <w:pPr>
              <w:jc w:val="center"/>
              <w:rPr>
                <w:rFonts w:ascii="Arial" w:hAnsi="Arial" w:cs="Arial"/>
                <w:b/>
                <w:sz w:val="18"/>
                <w:szCs w:val="18"/>
                <w:lang w:eastAsia="cs-CZ"/>
              </w:rPr>
            </w:pPr>
            <w:r w:rsidRPr="0039268C">
              <w:rPr>
                <w:rFonts w:ascii="Arial" w:hAnsi="Arial" w:cs="Arial"/>
                <w:b/>
                <w:sz w:val="18"/>
                <w:szCs w:val="18"/>
                <w:lang w:eastAsia="cs-CZ"/>
              </w:rPr>
              <w:t>156</w:t>
            </w:r>
          </w:p>
        </w:tc>
        <w:tc>
          <w:tcPr>
            <w:tcW w:w="1181" w:type="dxa"/>
            <w:shd w:val="clear" w:color="auto" w:fill="EAF1DD"/>
            <w:vAlign w:val="center"/>
          </w:tcPr>
          <w:p w:rsidR="00FD01F0" w:rsidRPr="0039268C" w:rsidRDefault="00FD01F0" w:rsidP="0076276F">
            <w:pPr>
              <w:jc w:val="center"/>
              <w:rPr>
                <w:rFonts w:ascii="Arial" w:hAnsi="Arial" w:cs="Arial"/>
                <w:b/>
                <w:sz w:val="18"/>
                <w:szCs w:val="18"/>
                <w:lang w:eastAsia="cs-CZ"/>
              </w:rPr>
            </w:pPr>
            <w:r w:rsidRPr="0039268C">
              <w:rPr>
                <w:rFonts w:ascii="Arial" w:hAnsi="Arial" w:cs="Arial"/>
                <w:b/>
                <w:sz w:val="18"/>
                <w:szCs w:val="18"/>
                <w:lang w:eastAsia="cs-CZ"/>
              </w:rPr>
              <w:t>149</w:t>
            </w:r>
          </w:p>
        </w:tc>
        <w:tc>
          <w:tcPr>
            <w:tcW w:w="1229" w:type="dxa"/>
            <w:shd w:val="clear" w:color="auto" w:fill="EAF1DD"/>
            <w:noWrap/>
            <w:tcMar>
              <w:top w:w="15" w:type="dxa"/>
              <w:left w:w="15" w:type="dxa"/>
              <w:bottom w:w="0" w:type="dxa"/>
              <w:right w:w="15" w:type="dxa"/>
            </w:tcMar>
            <w:vAlign w:val="center"/>
          </w:tcPr>
          <w:p w:rsidR="00FD01F0" w:rsidRPr="0039268C" w:rsidRDefault="00FD01F0" w:rsidP="0076276F">
            <w:pPr>
              <w:jc w:val="center"/>
              <w:rPr>
                <w:rFonts w:ascii="Arial" w:hAnsi="Arial" w:cs="Arial"/>
                <w:b/>
                <w:sz w:val="18"/>
                <w:szCs w:val="18"/>
                <w:lang w:eastAsia="cs-CZ"/>
              </w:rPr>
            </w:pPr>
            <w:r w:rsidRPr="0039268C">
              <w:rPr>
                <w:rFonts w:ascii="Arial" w:hAnsi="Arial" w:cs="Arial"/>
                <w:b/>
                <w:sz w:val="18"/>
                <w:szCs w:val="18"/>
                <w:lang w:eastAsia="cs-CZ"/>
              </w:rPr>
              <w:t>96%</w:t>
            </w:r>
          </w:p>
        </w:tc>
      </w:tr>
    </w:tbl>
    <w:p w:rsidR="002416B1" w:rsidRPr="006A2BF3" w:rsidRDefault="002416B1" w:rsidP="0076276F">
      <w:pPr>
        <w:spacing w:line="360" w:lineRule="auto"/>
        <w:jc w:val="both"/>
        <w:rPr>
          <w:rFonts w:ascii="Arial" w:hAnsi="Arial" w:cs="Arial"/>
          <w:sz w:val="18"/>
          <w:szCs w:val="18"/>
        </w:rPr>
      </w:pPr>
      <w:r w:rsidRPr="006A2BF3">
        <w:rPr>
          <w:rFonts w:ascii="Arial" w:hAnsi="Arial" w:cs="Arial"/>
          <w:sz w:val="18"/>
          <w:szCs w:val="18"/>
        </w:rPr>
        <w:t>Zdroj: RO</w:t>
      </w:r>
    </w:p>
    <w:p w:rsidR="002416B1" w:rsidRPr="006A2BF3" w:rsidRDefault="002416B1" w:rsidP="00507035">
      <w:pPr>
        <w:spacing w:before="120" w:after="120" w:line="360" w:lineRule="auto"/>
        <w:jc w:val="both"/>
        <w:rPr>
          <w:rFonts w:ascii="Arial" w:hAnsi="Arial" w:cs="Arial"/>
          <w:sz w:val="20"/>
          <w:szCs w:val="20"/>
          <w:highlight w:val="yellow"/>
        </w:rPr>
      </w:pPr>
      <w:r w:rsidRPr="006A2BF3">
        <w:rPr>
          <w:rFonts w:ascii="Arial" w:hAnsi="Arial" w:cs="Arial"/>
          <w:sz w:val="20"/>
          <w:szCs w:val="20"/>
        </w:rPr>
        <w:t xml:space="preserve">Zmeny v počte administratívnych kapacít RO a platobnej jednotky v oblasti ŠF a KF znázorňuje tabuľka č. </w:t>
      </w:r>
      <w:r w:rsidR="00A17B54">
        <w:rPr>
          <w:rFonts w:ascii="Arial" w:hAnsi="Arial" w:cs="Arial"/>
          <w:sz w:val="20"/>
          <w:szCs w:val="20"/>
        </w:rPr>
        <w:t>3</w:t>
      </w:r>
      <w:r w:rsidR="00570976">
        <w:rPr>
          <w:rFonts w:ascii="Arial" w:hAnsi="Arial" w:cs="Arial"/>
          <w:sz w:val="20"/>
          <w:szCs w:val="20"/>
        </w:rPr>
        <w:t>6</w:t>
      </w:r>
      <w:r w:rsidRPr="006A2BF3">
        <w:rPr>
          <w:rFonts w:ascii="Arial" w:hAnsi="Arial" w:cs="Arial"/>
          <w:sz w:val="20"/>
          <w:szCs w:val="20"/>
        </w:rPr>
        <w:t xml:space="preserve">. </w:t>
      </w:r>
    </w:p>
    <w:p w:rsidR="002416B1" w:rsidRPr="006A2BF3" w:rsidRDefault="002416B1" w:rsidP="0076276F">
      <w:pPr>
        <w:spacing w:line="360" w:lineRule="auto"/>
        <w:jc w:val="both"/>
        <w:rPr>
          <w:rFonts w:ascii="Arial" w:hAnsi="Arial" w:cs="Arial"/>
          <w:sz w:val="20"/>
          <w:szCs w:val="20"/>
          <w:highlight w:val="yellow"/>
        </w:rPr>
      </w:pPr>
      <w:r w:rsidRPr="006A2BF3">
        <w:rPr>
          <w:rFonts w:ascii="Arial" w:hAnsi="Arial" w:cs="Arial"/>
          <w:sz w:val="20"/>
          <w:szCs w:val="20"/>
        </w:rPr>
        <w:t xml:space="preserve">Tab. č. </w:t>
      </w:r>
      <w:r w:rsidR="007B7519">
        <w:rPr>
          <w:rFonts w:ascii="Arial" w:hAnsi="Arial" w:cs="Arial"/>
          <w:sz w:val="20"/>
          <w:szCs w:val="20"/>
        </w:rPr>
        <w:t>37</w:t>
      </w:r>
      <w:r w:rsidRPr="006A2BF3">
        <w:rPr>
          <w:rFonts w:ascii="Arial" w:hAnsi="Arial" w:cs="Arial"/>
          <w:sz w:val="20"/>
          <w:szCs w:val="20"/>
        </w:rPr>
        <w:t>: Fluktuácia administratívnych kapacít</w:t>
      </w:r>
    </w:p>
    <w:tbl>
      <w:tblPr>
        <w:tblW w:w="86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3559"/>
        <w:gridCol w:w="2410"/>
        <w:gridCol w:w="2686"/>
      </w:tblGrid>
      <w:tr w:rsidR="00B2251C" w:rsidRPr="00B2251C" w:rsidTr="00536040">
        <w:trPr>
          <w:trHeight w:val="560"/>
        </w:trPr>
        <w:tc>
          <w:tcPr>
            <w:tcW w:w="3559" w:type="dxa"/>
            <w:vMerge w:val="restart"/>
            <w:shd w:val="clear" w:color="auto" w:fill="D6E3BC"/>
            <w:noWrap/>
            <w:tcMar>
              <w:top w:w="15" w:type="dxa"/>
              <w:left w:w="15" w:type="dxa"/>
              <w:bottom w:w="0" w:type="dxa"/>
              <w:right w:w="15" w:type="dxa"/>
            </w:tcMar>
            <w:vAlign w:val="center"/>
          </w:tcPr>
          <w:p w:rsidR="00B2251C" w:rsidRPr="0039268C" w:rsidRDefault="00B2251C" w:rsidP="0076276F">
            <w:pPr>
              <w:jc w:val="both"/>
              <w:rPr>
                <w:rFonts w:ascii="Arial" w:hAnsi="Arial" w:cs="Arial"/>
                <w:b/>
                <w:bCs/>
                <w:sz w:val="18"/>
                <w:szCs w:val="18"/>
                <w:lang w:eastAsia="cs-CZ"/>
              </w:rPr>
            </w:pPr>
            <w:r w:rsidRPr="0039268C">
              <w:rPr>
                <w:rFonts w:ascii="Arial" w:hAnsi="Arial" w:cs="Arial"/>
                <w:b/>
                <w:bCs/>
                <w:sz w:val="18"/>
                <w:szCs w:val="18"/>
                <w:lang w:eastAsia="cs-CZ"/>
              </w:rPr>
              <w:t>Orgán</w:t>
            </w:r>
          </w:p>
        </w:tc>
        <w:tc>
          <w:tcPr>
            <w:tcW w:w="2410" w:type="dxa"/>
            <w:shd w:val="clear" w:color="auto" w:fill="D6E3BC"/>
            <w:tcMar>
              <w:top w:w="15" w:type="dxa"/>
              <w:left w:w="15" w:type="dxa"/>
              <w:bottom w:w="0" w:type="dxa"/>
              <w:right w:w="15" w:type="dxa"/>
            </w:tcMar>
          </w:tcPr>
          <w:p w:rsidR="00B2251C" w:rsidRPr="0039268C" w:rsidRDefault="00B2251C" w:rsidP="0076276F">
            <w:pPr>
              <w:jc w:val="center"/>
              <w:rPr>
                <w:rFonts w:ascii="Arial" w:hAnsi="Arial" w:cs="Arial"/>
                <w:b/>
                <w:bCs/>
                <w:sz w:val="18"/>
                <w:szCs w:val="18"/>
                <w:lang w:eastAsia="cs-CZ"/>
              </w:rPr>
            </w:pPr>
            <w:r w:rsidRPr="0039268C">
              <w:rPr>
                <w:rFonts w:ascii="Arial" w:hAnsi="Arial" w:cs="Arial"/>
                <w:b/>
                <w:bCs/>
                <w:sz w:val="18"/>
                <w:szCs w:val="18"/>
                <w:lang w:eastAsia="cs-CZ"/>
              </w:rPr>
              <w:t>od 01. 01. do 31. 12.</w:t>
            </w:r>
          </w:p>
          <w:p w:rsidR="00B2251C" w:rsidRPr="0039268C" w:rsidRDefault="00B2251C" w:rsidP="0076276F">
            <w:pPr>
              <w:jc w:val="center"/>
              <w:rPr>
                <w:rFonts w:ascii="Arial" w:hAnsi="Arial" w:cs="Arial"/>
                <w:b/>
                <w:bCs/>
                <w:sz w:val="18"/>
                <w:szCs w:val="18"/>
                <w:lang w:eastAsia="cs-CZ"/>
              </w:rPr>
            </w:pPr>
            <w:r w:rsidRPr="0039268C">
              <w:rPr>
                <w:rFonts w:ascii="Arial" w:hAnsi="Arial" w:cs="Arial"/>
                <w:b/>
                <w:bCs/>
                <w:sz w:val="18"/>
                <w:szCs w:val="18"/>
                <w:lang w:eastAsia="cs-CZ"/>
              </w:rPr>
              <w:t>2012</w:t>
            </w:r>
          </w:p>
        </w:tc>
        <w:tc>
          <w:tcPr>
            <w:tcW w:w="2686" w:type="dxa"/>
            <w:shd w:val="clear" w:color="auto" w:fill="D6E3BC"/>
          </w:tcPr>
          <w:p w:rsidR="00B2251C" w:rsidRPr="0039268C" w:rsidRDefault="00B2251C" w:rsidP="0076276F">
            <w:pPr>
              <w:jc w:val="center"/>
              <w:rPr>
                <w:rFonts w:ascii="Arial" w:hAnsi="Arial" w:cs="Arial"/>
                <w:b/>
                <w:bCs/>
                <w:sz w:val="18"/>
                <w:szCs w:val="18"/>
                <w:lang w:eastAsia="cs-CZ"/>
              </w:rPr>
            </w:pPr>
            <w:r w:rsidRPr="0039268C">
              <w:rPr>
                <w:rFonts w:ascii="Arial" w:hAnsi="Arial" w:cs="Arial"/>
                <w:b/>
                <w:bCs/>
                <w:sz w:val="18"/>
                <w:szCs w:val="18"/>
                <w:lang w:eastAsia="cs-CZ"/>
              </w:rPr>
              <w:t>od 01. 01. do 31. 12.</w:t>
            </w:r>
          </w:p>
          <w:p w:rsidR="00B2251C" w:rsidRPr="0039268C" w:rsidRDefault="00B2251C" w:rsidP="0076276F">
            <w:pPr>
              <w:jc w:val="center"/>
              <w:rPr>
                <w:rFonts w:ascii="Arial" w:hAnsi="Arial" w:cs="Arial"/>
                <w:b/>
                <w:bCs/>
                <w:sz w:val="18"/>
                <w:szCs w:val="18"/>
                <w:lang w:eastAsia="cs-CZ"/>
              </w:rPr>
            </w:pPr>
            <w:r w:rsidRPr="0039268C">
              <w:rPr>
                <w:rFonts w:ascii="Arial" w:hAnsi="Arial" w:cs="Arial"/>
                <w:b/>
                <w:bCs/>
                <w:sz w:val="18"/>
                <w:szCs w:val="18"/>
                <w:lang w:eastAsia="cs-CZ"/>
              </w:rPr>
              <w:t>2012</w:t>
            </w:r>
          </w:p>
        </w:tc>
      </w:tr>
      <w:tr w:rsidR="00B2251C" w:rsidRPr="00B2251C" w:rsidTr="00536040">
        <w:trPr>
          <w:trHeight w:val="44"/>
        </w:trPr>
        <w:tc>
          <w:tcPr>
            <w:tcW w:w="3559" w:type="dxa"/>
            <w:vMerge/>
            <w:shd w:val="clear" w:color="auto" w:fill="D6E3BC"/>
            <w:noWrap/>
            <w:tcMar>
              <w:top w:w="15" w:type="dxa"/>
              <w:left w:w="15" w:type="dxa"/>
              <w:bottom w:w="0" w:type="dxa"/>
              <w:right w:w="15" w:type="dxa"/>
            </w:tcMar>
            <w:vAlign w:val="center"/>
          </w:tcPr>
          <w:p w:rsidR="00B2251C" w:rsidRPr="0039268C" w:rsidRDefault="00B2251C" w:rsidP="0076276F">
            <w:pPr>
              <w:jc w:val="both"/>
              <w:rPr>
                <w:rFonts w:ascii="Arial" w:hAnsi="Arial" w:cs="Arial"/>
                <w:b/>
                <w:bCs/>
                <w:sz w:val="18"/>
                <w:szCs w:val="18"/>
                <w:lang w:eastAsia="cs-CZ"/>
              </w:rPr>
            </w:pPr>
          </w:p>
        </w:tc>
        <w:tc>
          <w:tcPr>
            <w:tcW w:w="2410" w:type="dxa"/>
            <w:shd w:val="clear" w:color="auto" w:fill="D6E3BC"/>
            <w:tcMar>
              <w:top w:w="15" w:type="dxa"/>
              <w:left w:w="15" w:type="dxa"/>
              <w:bottom w:w="0" w:type="dxa"/>
              <w:right w:w="15" w:type="dxa"/>
            </w:tcMar>
          </w:tcPr>
          <w:p w:rsidR="00B2251C" w:rsidRPr="0039268C" w:rsidRDefault="00B2251C" w:rsidP="0076276F">
            <w:pPr>
              <w:jc w:val="center"/>
              <w:rPr>
                <w:rFonts w:ascii="Arial" w:hAnsi="Arial" w:cs="Arial"/>
                <w:b/>
                <w:bCs/>
                <w:sz w:val="18"/>
                <w:szCs w:val="18"/>
                <w:lang w:eastAsia="cs-CZ"/>
              </w:rPr>
            </w:pPr>
            <w:r w:rsidRPr="0039268C">
              <w:rPr>
                <w:rFonts w:ascii="Arial" w:hAnsi="Arial" w:cs="Arial"/>
                <w:b/>
                <w:bCs/>
                <w:sz w:val="18"/>
                <w:szCs w:val="18"/>
                <w:lang w:eastAsia="cs-CZ"/>
              </w:rPr>
              <w:t>Počet výstupov</w:t>
            </w:r>
            <w:bookmarkStart w:id="60" w:name="_Ref220828100"/>
            <w:r w:rsidRPr="0039268C">
              <w:rPr>
                <w:rFonts w:ascii="Arial" w:hAnsi="Arial" w:cs="Arial"/>
                <w:b/>
                <w:sz w:val="18"/>
                <w:szCs w:val="18"/>
                <w:vertAlign w:val="superscript"/>
                <w:lang w:eastAsia="cs-CZ"/>
              </w:rPr>
              <w:footnoteReference w:id="10"/>
            </w:r>
            <w:bookmarkEnd w:id="60"/>
          </w:p>
        </w:tc>
        <w:tc>
          <w:tcPr>
            <w:tcW w:w="2686" w:type="dxa"/>
            <w:shd w:val="clear" w:color="auto" w:fill="D6E3BC"/>
          </w:tcPr>
          <w:p w:rsidR="00B2251C" w:rsidRPr="0039268C" w:rsidRDefault="00B2251C" w:rsidP="0076276F">
            <w:pPr>
              <w:jc w:val="center"/>
              <w:rPr>
                <w:rFonts w:ascii="Arial" w:hAnsi="Arial" w:cs="Arial"/>
                <w:b/>
                <w:bCs/>
                <w:sz w:val="18"/>
                <w:szCs w:val="18"/>
                <w:lang w:eastAsia="cs-CZ"/>
              </w:rPr>
            </w:pPr>
            <w:r w:rsidRPr="0039268C">
              <w:rPr>
                <w:rFonts w:ascii="Arial" w:hAnsi="Arial" w:cs="Arial"/>
                <w:b/>
                <w:bCs/>
                <w:sz w:val="18"/>
                <w:szCs w:val="18"/>
                <w:lang w:eastAsia="cs-CZ"/>
              </w:rPr>
              <w:t>Počet nástupov</w:t>
            </w:r>
            <w:r w:rsidRPr="0039268C">
              <w:rPr>
                <w:rFonts w:ascii="Arial" w:hAnsi="Arial" w:cs="Arial"/>
                <w:b/>
                <w:bCs/>
                <w:sz w:val="18"/>
                <w:szCs w:val="18"/>
                <w:vertAlign w:val="superscript"/>
                <w:lang w:eastAsia="cs-CZ"/>
              </w:rPr>
              <w:t>1</w:t>
            </w:r>
          </w:p>
        </w:tc>
      </w:tr>
      <w:tr w:rsidR="00B2251C" w:rsidRPr="00B2251C" w:rsidTr="0039268C">
        <w:trPr>
          <w:trHeight w:val="44"/>
        </w:trPr>
        <w:tc>
          <w:tcPr>
            <w:tcW w:w="3559" w:type="dxa"/>
            <w:shd w:val="clear" w:color="auto" w:fill="auto"/>
            <w:noWrap/>
            <w:tcMar>
              <w:top w:w="15" w:type="dxa"/>
              <w:left w:w="15" w:type="dxa"/>
              <w:bottom w:w="0" w:type="dxa"/>
              <w:right w:w="15" w:type="dxa"/>
            </w:tcMar>
            <w:vAlign w:val="center"/>
          </w:tcPr>
          <w:p w:rsidR="00B2251C" w:rsidRPr="0039268C" w:rsidRDefault="00B2251C" w:rsidP="0076276F">
            <w:pPr>
              <w:spacing w:line="360" w:lineRule="auto"/>
              <w:jc w:val="both"/>
              <w:rPr>
                <w:rFonts w:ascii="Arial" w:hAnsi="Arial" w:cs="Arial"/>
                <w:sz w:val="18"/>
                <w:szCs w:val="18"/>
                <w:lang w:eastAsia="cs-CZ"/>
              </w:rPr>
            </w:pPr>
            <w:r w:rsidRPr="0039268C">
              <w:rPr>
                <w:rFonts w:ascii="Arial" w:hAnsi="Arial" w:cs="Arial"/>
                <w:sz w:val="18"/>
                <w:szCs w:val="18"/>
                <w:lang w:eastAsia="cs-CZ"/>
              </w:rPr>
              <w:t>riadiaci orgán</w:t>
            </w:r>
          </w:p>
        </w:tc>
        <w:tc>
          <w:tcPr>
            <w:tcW w:w="2410" w:type="dxa"/>
            <w:shd w:val="clear" w:color="auto" w:fill="auto"/>
            <w:tcMar>
              <w:top w:w="15" w:type="dxa"/>
              <w:left w:w="15" w:type="dxa"/>
              <w:bottom w:w="0" w:type="dxa"/>
              <w:right w:w="15" w:type="dxa"/>
            </w:tcMar>
          </w:tcPr>
          <w:p w:rsidR="00B2251C" w:rsidRPr="0039268C" w:rsidRDefault="00B2251C" w:rsidP="0076276F">
            <w:pPr>
              <w:spacing w:line="360" w:lineRule="auto"/>
              <w:jc w:val="center"/>
              <w:rPr>
                <w:rFonts w:ascii="Arial" w:hAnsi="Arial" w:cs="Arial"/>
                <w:sz w:val="18"/>
                <w:szCs w:val="18"/>
                <w:lang w:eastAsia="cs-CZ"/>
              </w:rPr>
            </w:pPr>
            <w:r w:rsidRPr="0039268C">
              <w:rPr>
                <w:rFonts w:ascii="Arial" w:hAnsi="Arial" w:cs="Arial"/>
                <w:sz w:val="18"/>
                <w:szCs w:val="18"/>
                <w:lang w:eastAsia="cs-CZ"/>
              </w:rPr>
              <w:t>25</w:t>
            </w:r>
          </w:p>
        </w:tc>
        <w:tc>
          <w:tcPr>
            <w:tcW w:w="2686" w:type="dxa"/>
            <w:shd w:val="clear" w:color="auto" w:fill="auto"/>
          </w:tcPr>
          <w:p w:rsidR="00B2251C" w:rsidRPr="0039268C" w:rsidRDefault="00B2251C" w:rsidP="0076276F">
            <w:pPr>
              <w:spacing w:line="360" w:lineRule="auto"/>
              <w:jc w:val="center"/>
              <w:rPr>
                <w:rFonts w:ascii="Arial" w:hAnsi="Arial" w:cs="Arial"/>
                <w:sz w:val="18"/>
                <w:szCs w:val="18"/>
                <w:lang w:eastAsia="cs-CZ"/>
              </w:rPr>
            </w:pPr>
            <w:r w:rsidRPr="0039268C">
              <w:rPr>
                <w:rFonts w:ascii="Arial" w:hAnsi="Arial" w:cs="Arial"/>
                <w:sz w:val="18"/>
                <w:szCs w:val="18"/>
                <w:lang w:eastAsia="cs-CZ"/>
              </w:rPr>
              <w:t>21</w:t>
            </w:r>
          </w:p>
        </w:tc>
      </w:tr>
      <w:tr w:rsidR="00B2251C" w:rsidRPr="00B2251C" w:rsidTr="0039268C">
        <w:trPr>
          <w:trHeight w:val="65"/>
        </w:trPr>
        <w:tc>
          <w:tcPr>
            <w:tcW w:w="3559" w:type="dxa"/>
            <w:tcBorders>
              <w:bottom w:val="single" w:sz="4" w:space="0" w:color="auto"/>
            </w:tcBorders>
            <w:shd w:val="clear" w:color="auto" w:fill="auto"/>
            <w:noWrap/>
            <w:tcMar>
              <w:top w:w="15" w:type="dxa"/>
              <w:left w:w="15" w:type="dxa"/>
              <w:bottom w:w="0" w:type="dxa"/>
              <w:right w:w="15" w:type="dxa"/>
            </w:tcMar>
            <w:vAlign w:val="bottom"/>
          </w:tcPr>
          <w:p w:rsidR="00B2251C" w:rsidRPr="0039268C" w:rsidRDefault="00B2251C" w:rsidP="0076276F">
            <w:pPr>
              <w:spacing w:line="360" w:lineRule="auto"/>
              <w:jc w:val="both"/>
              <w:rPr>
                <w:rFonts w:ascii="Arial" w:hAnsi="Arial" w:cs="Arial"/>
                <w:sz w:val="18"/>
                <w:szCs w:val="18"/>
                <w:lang w:eastAsia="cs-CZ"/>
              </w:rPr>
            </w:pPr>
            <w:r w:rsidRPr="0039268C">
              <w:rPr>
                <w:rFonts w:ascii="Arial" w:hAnsi="Arial" w:cs="Arial"/>
                <w:sz w:val="18"/>
                <w:szCs w:val="18"/>
                <w:lang w:eastAsia="cs-CZ"/>
              </w:rPr>
              <w:t xml:space="preserve">platobná jednotka </w:t>
            </w:r>
          </w:p>
        </w:tc>
        <w:tc>
          <w:tcPr>
            <w:tcW w:w="2410" w:type="dxa"/>
            <w:tcBorders>
              <w:bottom w:val="single" w:sz="4" w:space="0" w:color="auto"/>
            </w:tcBorders>
            <w:shd w:val="clear" w:color="auto" w:fill="auto"/>
            <w:noWrap/>
            <w:tcMar>
              <w:top w:w="15" w:type="dxa"/>
              <w:left w:w="15" w:type="dxa"/>
              <w:bottom w:w="0" w:type="dxa"/>
              <w:right w:w="15" w:type="dxa"/>
            </w:tcMar>
          </w:tcPr>
          <w:p w:rsidR="00B2251C" w:rsidRPr="0039268C" w:rsidRDefault="00B2251C" w:rsidP="0076276F">
            <w:pPr>
              <w:spacing w:line="360" w:lineRule="auto"/>
              <w:jc w:val="center"/>
              <w:rPr>
                <w:rFonts w:ascii="Arial" w:hAnsi="Arial" w:cs="Arial"/>
                <w:sz w:val="18"/>
                <w:szCs w:val="18"/>
                <w:lang w:eastAsia="cs-CZ"/>
              </w:rPr>
            </w:pPr>
            <w:r w:rsidRPr="0039268C">
              <w:rPr>
                <w:rFonts w:ascii="Arial" w:hAnsi="Arial" w:cs="Arial"/>
                <w:sz w:val="18"/>
                <w:szCs w:val="18"/>
                <w:lang w:eastAsia="cs-CZ"/>
              </w:rPr>
              <w:t>0</w:t>
            </w:r>
          </w:p>
        </w:tc>
        <w:tc>
          <w:tcPr>
            <w:tcW w:w="2686" w:type="dxa"/>
            <w:tcBorders>
              <w:bottom w:val="single" w:sz="4" w:space="0" w:color="auto"/>
            </w:tcBorders>
            <w:shd w:val="clear" w:color="auto" w:fill="auto"/>
          </w:tcPr>
          <w:p w:rsidR="00B2251C" w:rsidRPr="0039268C" w:rsidRDefault="00B2251C" w:rsidP="0076276F">
            <w:pPr>
              <w:spacing w:line="360" w:lineRule="auto"/>
              <w:jc w:val="center"/>
              <w:rPr>
                <w:rFonts w:ascii="Arial" w:hAnsi="Arial" w:cs="Arial"/>
                <w:sz w:val="18"/>
                <w:szCs w:val="18"/>
                <w:lang w:eastAsia="cs-CZ"/>
              </w:rPr>
            </w:pPr>
            <w:r w:rsidRPr="0039268C">
              <w:rPr>
                <w:rFonts w:ascii="Arial" w:hAnsi="Arial" w:cs="Arial"/>
                <w:sz w:val="18"/>
                <w:szCs w:val="18"/>
                <w:lang w:eastAsia="cs-CZ"/>
              </w:rPr>
              <w:t>0</w:t>
            </w:r>
          </w:p>
        </w:tc>
      </w:tr>
      <w:tr w:rsidR="00B2251C" w:rsidRPr="00B2251C" w:rsidTr="00536040">
        <w:trPr>
          <w:trHeight w:val="20"/>
        </w:trPr>
        <w:tc>
          <w:tcPr>
            <w:tcW w:w="3559" w:type="dxa"/>
            <w:shd w:val="clear" w:color="auto" w:fill="EAF1DD"/>
            <w:noWrap/>
            <w:tcMar>
              <w:top w:w="15" w:type="dxa"/>
              <w:left w:w="15" w:type="dxa"/>
              <w:bottom w:w="0" w:type="dxa"/>
              <w:right w:w="15" w:type="dxa"/>
            </w:tcMar>
            <w:vAlign w:val="bottom"/>
          </w:tcPr>
          <w:p w:rsidR="00B2251C" w:rsidRPr="0039268C" w:rsidRDefault="00B2251C" w:rsidP="0076276F">
            <w:pPr>
              <w:spacing w:line="360" w:lineRule="auto"/>
              <w:jc w:val="both"/>
              <w:rPr>
                <w:rFonts w:ascii="Arial" w:hAnsi="Arial" w:cs="Arial"/>
                <w:b/>
                <w:sz w:val="18"/>
                <w:szCs w:val="18"/>
                <w:lang w:eastAsia="cs-CZ"/>
              </w:rPr>
            </w:pPr>
            <w:r w:rsidRPr="0039268C">
              <w:rPr>
                <w:rFonts w:ascii="Arial" w:hAnsi="Arial" w:cs="Arial"/>
                <w:b/>
                <w:sz w:val="18"/>
                <w:szCs w:val="18"/>
                <w:lang w:eastAsia="cs-CZ"/>
              </w:rPr>
              <w:t>Spolu</w:t>
            </w:r>
          </w:p>
        </w:tc>
        <w:tc>
          <w:tcPr>
            <w:tcW w:w="2410" w:type="dxa"/>
            <w:shd w:val="clear" w:color="auto" w:fill="EAF1DD"/>
            <w:noWrap/>
            <w:tcMar>
              <w:top w:w="15" w:type="dxa"/>
              <w:left w:w="15" w:type="dxa"/>
              <w:bottom w:w="0" w:type="dxa"/>
              <w:right w:w="15" w:type="dxa"/>
            </w:tcMar>
          </w:tcPr>
          <w:p w:rsidR="00B2251C" w:rsidRPr="0039268C" w:rsidRDefault="00B2251C" w:rsidP="0076276F">
            <w:pPr>
              <w:spacing w:line="360" w:lineRule="auto"/>
              <w:jc w:val="center"/>
              <w:rPr>
                <w:rFonts w:ascii="Arial" w:hAnsi="Arial" w:cs="Arial"/>
                <w:b/>
                <w:sz w:val="18"/>
                <w:szCs w:val="18"/>
                <w:lang w:eastAsia="cs-CZ"/>
              </w:rPr>
            </w:pPr>
            <w:r w:rsidRPr="0039268C">
              <w:rPr>
                <w:rFonts w:ascii="Arial" w:hAnsi="Arial" w:cs="Arial"/>
                <w:b/>
                <w:sz w:val="18"/>
                <w:szCs w:val="18"/>
                <w:lang w:eastAsia="cs-CZ"/>
              </w:rPr>
              <w:t>25</w:t>
            </w:r>
          </w:p>
        </w:tc>
        <w:tc>
          <w:tcPr>
            <w:tcW w:w="2686" w:type="dxa"/>
            <w:shd w:val="clear" w:color="auto" w:fill="EAF1DD"/>
          </w:tcPr>
          <w:p w:rsidR="00B2251C" w:rsidRPr="0039268C" w:rsidRDefault="00B2251C" w:rsidP="0076276F">
            <w:pPr>
              <w:spacing w:line="360" w:lineRule="auto"/>
              <w:jc w:val="center"/>
              <w:rPr>
                <w:rFonts w:ascii="Arial" w:hAnsi="Arial" w:cs="Arial"/>
                <w:b/>
                <w:sz w:val="18"/>
                <w:szCs w:val="18"/>
                <w:lang w:eastAsia="cs-CZ"/>
              </w:rPr>
            </w:pPr>
            <w:r w:rsidRPr="0039268C">
              <w:rPr>
                <w:rFonts w:ascii="Arial" w:hAnsi="Arial" w:cs="Arial"/>
                <w:b/>
                <w:sz w:val="18"/>
                <w:szCs w:val="18"/>
                <w:lang w:eastAsia="cs-CZ"/>
              </w:rPr>
              <w:t>21</w:t>
            </w:r>
          </w:p>
        </w:tc>
      </w:tr>
    </w:tbl>
    <w:p w:rsidR="002416B1" w:rsidRPr="006A2BF3" w:rsidRDefault="002416B1" w:rsidP="0076276F">
      <w:pPr>
        <w:spacing w:line="360" w:lineRule="auto"/>
        <w:jc w:val="both"/>
        <w:rPr>
          <w:rFonts w:ascii="Arial" w:hAnsi="Arial" w:cs="Arial"/>
          <w:sz w:val="20"/>
          <w:szCs w:val="20"/>
        </w:rPr>
      </w:pPr>
      <w:r w:rsidRPr="006A2BF3">
        <w:rPr>
          <w:rFonts w:ascii="Arial" w:hAnsi="Arial" w:cs="Arial"/>
          <w:sz w:val="18"/>
          <w:szCs w:val="18"/>
        </w:rPr>
        <w:t>Zdroj: RO</w:t>
      </w:r>
      <w:r w:rsidRPr="006A2BF3">
        <w:rPr>
          <w:rFonts w:ascii="Arial" w:hAnsi="Arial" w:cs="Arial"/>
          <w:sz w:val="20"/>
          <w:szCs w:val="20"/>
        </w:rPr>
        <w:t xml:space="preserve"> </w:t>
      </w:r>
    </w:p>
    <w:p w:rsidR="002416B1" w:rsidRDefault="0004016B" w:rsidP="00507035">
      <w:pPr>
        <w:spacing w:before="120" w:after="120" w:line="360" w:lineRule="auto"/>
        <w:jc w:val="both"/>
        <w:rPr>
          <w:rFonts w:ascii="Arial" w:hAnsi="Arial" w:cs="Arial"/>
          <w:sz w:val="20"/>
          <w:szCs w:val="20"/>
        </w:rPr>
      </w:pPr>
      <w:r w:rsidRPr="0004016B">
        <w:rPr>
          <w:rFonts w:ascii="Arial" w:hAnsi="Arial" w:cs="Arial"/>
          <w:sz w:val="20"/>
          <w:szCs w:val="20"/>
        </w:rPr>
        <w:t xml:space="preserve">V priebehu roka 2012 došlo k 25 výstupom, čo je nárast o 10 zamestnancov v porovnaní s rokom 2011 a 21 nástupom, čo je o 3 menej ako v roku 2011. Z uvedených údajov vyplýva, že v priebehu roka 2012 na RO zaznamenávame zvýšenú mieru fluktuácie, ako aj neobsadených miest v porovnaní s plánovaným stavom. Pri zvýšenej fluktuácii zamestnancov je potrebné prehodnotiť základné motivačné prvky, ktoré u zamestnávateľa majú fungovať. Finančné ohodnotenie naviazané na systém hodnotenia a odmeňovania zamestnancov, systém vzdelávania, ktorým sa prehlbuje a zvyšuje kvalifikácia zamestnancov a pomáha ich profesionálnemu a osobnému rastu a tiež technické podmienky zabezpečované zamestnávateľom. Každý z uvedených motivačných prvkov a jeho fungovanie bude uvedené v ďalších bodoch tejto informácie. Z pohľadu fluktuácie v rámci RO v priebehu roka 2012 možno konštatovať, že v porovnaní s rokom 2011 zaznamenávame jej nárast, čím sa miera rizika plynulej realizácie OP ŽP zvyšuje, preto </w:t>
      </w:r>
      <w:r w:rsidR="00C14F79">
        <w:rPr>
          <w:rFonts w:ascii="Arial" w:hAnsi="Arial" w:cs="Arial"/>
          <w:sz w:val="20"/>
          <w:szCs w:val="20"/>
        </w:rPr>
        <w:t xml:space="preserve">RO </w:t>
      </w:r>
      <w:r w:rsidRPr="0004016B">
        <w:rPr>
          <w:rFonts w:ascii="Arial" w:hAnsi="Arial" w:cs="Arial"/>
          <w:sz w:val="20"/>
          <w:szCs w:val="20"/>
        </w:rPr>
        <w:t>považuje za podstatné identifikovať také uplatnenie motivačných prvkov, ktoré fluktuáciu zastaví, resp. zníži jej mieru.</w:t>
      </w:r>
    </w:p>
    <w:p w:rsidR="002416B1" w:rsidRPr="006A2BF3" w:rsidRDefault="002416B1" w:rsidP="00507035">
      <w:pPr>
        <w:spacing w:before="120" w:after="120" w:line="360" w:lineRule="auto"/>
        <w:jc w:val="both"/>
        <w:rPr>
          <w:rFonts w:ascii="Arial" w:hAnsi="Arial" w:cs="Arial"/>
          <w:b/>
          <w:sz w:val="20"/>
          <w:szCs w:val="20"/>
          <w:u w:val="single"/>
        </w:rPr>
      </w:pPr>
      <w:bookmarkStart w:id="61" w:name="_3.1.2_Ciele_a"/>
      <w:bookmarkStart w:id="62" w:name="_3.1.3_Horizontálne_priority"/>
      <w:bookmarkStart w:id="63" w:name="_3.1.4_Finančná_implementácia"/>
      <w:bookmarkEnd w:id="61"/>
      <w:bookmarkEnd w:id="62"/>
      <w:bookmarkEnd w:id="63"/>
      <w:r w:rsidRPr="006A2BF3">
        <w:rPr>
          <w:rFonts w:ascii="Arial" w:hAnsi="Arial" w:cs="Arial"/>
          <w:sz w:val="20"/>
          <w:szCs w:val="20"/>
          <w:u w:val="single"/>
        </w:rPr>
        <w:t>Opatrenia prijaté s cieľom prehlbovať a zvyšovať kvalifikáciu zamestnancov, uskutočnené odborné školenia</w:t>
      </w:r>
    </w:p>
    <w:p w:rsidR="00C14F79" w:rsidRDefault="00C14F79" w:rsidP="00507035">
      <w:pPr>
        <w:spacing w:before="120" w:after="120" w:line="360" w:lineRule="auto"/>
        <w:jc w:val="both"/>
        <w:rPr>
          <w:rFonts w:ascii="Arial" w:hAnsi="Arial" w:cs="Arial"/>
          <w:sz w:val="20"/>
          <w:szCs w:val="20"/>
        </w:rPr>
      </w:pPr>
      <w:r w:rsidRPr="00C14F79">
        <w:rPr>
          <w:rFonts w:ascii="Arial" w:hAnsi="Arial" w:cs="Arial"/>
          <w:sz w:val="20"/>
          <w:szCs w:val="20"/>
        </w:rPr>
        <w:t>Vzhľadom k vyššie uvedenému stavu týkajúceho sa fluktuácie zamestnancov, O</w:t>
      </w:r>
      <w:r>
        <w:rPr>
          <w:rFonts w:ascii="Arial" w:hAnsi="Arial" w:cs="Arial"/>
          <w:sz w:val="20"/>
          <w:szCs w:val="20"/>
        </w:rPr>
        <w:t>dbor technickej pomoci</w:t>
      </w:r>
      <w:r w:rsidR="00A17B54">
        <w:rPr>
          <w:rFonts w:ascii="Arial" w:hAnsi="Arial" w:cs="Arial"/>
          <w:sz w:val="20"/>
          <w:szCs w:val="20"/>
        </w:rPr>
        <w:t xml:space="preserve"> (ďalej aj OTP)</w:t>
      </w:r>
      <w:r w:rsidRPr="00C14F79">
        <w:rPr>
          <w:rFonts w:ascii="Arial" w:hAnsi="Arial" w:cs="Arial"/>
          <w:sz w:val="20"/>
          <w:szCs w:val="20"/>
        </w:rPr>
        <w:t xml:space="preserve"> vypracoval a predložil materiál „Koncepcia vzdelávania a hodnotenia zamestnancov RO OP ŽP“ (ďalej len „Koncepcia“), ktorý predložil Osobnému úradu (ďalej len „OÚ“) na schválenie a jeho realizáciu. Cieľom Koncepcie je vytvoriť komplexný systém vzdelávania, hodnotenia a odmeňovania zamestnancov tak, aby bol motivačný pre zamestnanca aj zamestnávateľa a vytvoril výstupy zabezpečujúce efektívne vynakladanie finančných prostriedkov na rozvoj ľudských zdrojov a stabilizáciu na RO. </w:t>
      </w:r>
      <w:r>
        <w:rPr>
          <w:rFonts w:ascii="Arial" w:hAnsi="Arial" w:cs="Arial"/>
          <w:sz w:val="20"/>
          <w:szCs w:val="20"/>
        </w:rPr>
        <w:t>K 31.12.2012 nedošlo k vyjadreniu</w:t>
      </w:r>
      <w:r w:rsidRPr="00C14F79">
        <w:rPr>
          <w:rFonts w:ascii="Arial" w:hAnsi="Arial" w:cs="Arial"/>
          <w:sz w:val="20"/>
          <w:szCs w:val="20"/>
        </w:rPr>
        <w:t xml:space="preserve"> z</w:t>
      </w:r>
      <w:r>
        <w:rPr>
          <w:rFonts w:ascii="Arial" w:hAnsi="Arial" w:cs="Arial"/>
          <w:sz w:val="20"/>
          <w:szCs w:val="20"/>
        </w:rPr>
        <w:t>o strany</w:t>
      </w:r>
      <w:r w:rsidRPr="00C14F79">
        <w:rPr>
          <w:rFonts w:ascii="Arial" w:hAnsi="Arial" w:cs="Arial"/>
          <w:sz w:val="20"/>
          <w:szCs w:val="20"/>
        </w:rPr>
        <w:t xml:space="preserve"> OÚ. </w:t>
      </w:r>
    </w:p>
    <w:p w:rsidR="00C14F79" w:rsidRDefault="00C14F79" w:rsidP="00507035">
      <w:pPr>
        <w:spacing w:before="120" w:after="120" w:line="360" w:lineRule="auto"/>
        <w:jc w:val="both"/>
        <w:rPr>
          <w:rFonts w:ascii="Arial" w:hAnsi="Arial" w:cs="Arial"/>
          <w:sz w:val="20"/>
          <w:szCs w:val="20"/>
        </w:rPr>
      </w:pPr>
      <w:r w:rsidRPr="00C14F79">
        <w:rPr>
          <w:rFonts w:ascii="Arial" w:hAnsi="Arial" w:cs="Arial"/>
          <w:sz w:val="20"/>
          <w:szCs w:val="20"/>
        </w:rPr>
        <w:t>V roku 2012 OÚ zabezpečil vznik oddelenia vzdelávania a odmeňovania, pričom bola spustená komunikácia a prieskum potrieb a požiadaviek na vzdelávanie zamestnancov. Zároveň boli zorganizované školenia v oblasti IT (MS Office-Word, Excel) a školenie projektového riadenia PRINCE2. Možno konštatovať, že ide o čiastkové aktivity, ktoré však nie sú súčasťou koncepčného riešenia, ktoré zastaví, resp. vylepší bilanciu fluktuáciu zamestnancov RO. OTP preto vypracoval podklady k verejnému obstarávaniu na obstaranie metodickej podpory a vypracovanie systému a popisu nástrojov pre vzdelávanie, hodnotenie a odmeňovanie zamestnancov RO a platobnej jednotky.</w:t>
      </w:r>
    </w:p>
    <w:p w:rsidR="002416B1" w:rsidRPr="006A2BF3" w:rsidRDefault="002416B1" w:rsidP="00507035">
      <w:pPr>
        <w:spacing w:before="120" w:after="120" w:line="360" w:lineRule="auto"/>
        <w:jc w:val="both"/>
        <w:rPr>
          <w:rFonts w:ascii="Arial" w:hAnsi="Arial" w:cs="Arial"/>
          <w:sz w:val="20"/>
          <w:szCs w:val="20"/>
        </w:rPr>
      </w:pPr>
      <w:r w:rsidRPr="006A2BF3">
        <w:rPr>
          <w:rFonts w:ascii="Arial" w:hAnsi="Arial" w:cs="Arial"/>
          <w:sz w:val="20"/>
          <w:szCs w:val="20"/>
        </w:rPr>
        <w:t xml:space="preserve">Pre stabilizáciu zamestnancov RO a podporu ich motivácie </w:t>
      </w:r>
      <w:r w:rsidR="00C12899">
        <w:rPr>
          <w:rFonts w:ascii="Arial" w:hAnsi="Arial" w:cs="Arial"/>
          <w:sz w:val="20"/>
          <w:szCs w:val="20"/>
        </w:rPr>
        <w:t>je</w:t>
      </w:r>
      <w:r w:rsidRPr="006A2BF3">
        <w:rPr>
          <w:rFonts w:ascii="Arial" w:hAnsi="Arial" w:cs="Arial"/>
          <w:sz w:val="20"/>
          <w:szCs w:val="20"/>
        </w:rPr>
        <w:t xml:space="preserve"> vytvorený adresný Individuálny plán vzdelávania (ďalej len „IPV“). IPV je plánom, do ktorého každý zamestnanec RO definuje oblasti/témy školenia, ktoré by chcel v priebehu nastávajúceho roka absolvovať, a ktoré sú naviazané na výkon pracovnej pozície v zmysle opisu štátnozamestnaneckého miesta/ pracovnej náplne. </w:t>
      </w:r>
    </w:p>
    <w:p w:rsidR="002416B1" w:rsidRDefault="002416B1" w:rsidP="00507035">
      <w:pPr>
        <w:spacing w:before="120" w:after="120" w:line="360" w:lineRule="auto"/>
        <w:jc w:val="both"/>
        <w:rPr>
          <w:rFonts w:ascii="Arial" w:hAnsi="Arial" w:cs="Arial"/>
          <w:sz w:val="20"/>
          <w:szCs w:val="20"/>
        </w:rPr>
      </w:pPr>
      <w:r w:rsidRPr="006A2BF3">
        <w:rPr>
          <w:rFonts w:ascii="Arial" w:hAnsi="Arial" w:cs="Arial"/>
          <w:sz w:val="20"/>
          <w:szCs w:val="20"/>
        </w:rPr>
        <w:t xml:space="preserve">Každý </w:t>
      </w:r>
      <w:r w:rsidR="00776595">
        <w:rPr>
          <w:rFonts w:ascii="Arial" w:hAnsi="Arial" w:cs="Arial"/>
          <w:sz w:val="20"/>
          <w:szCs w:val="20"/>
        </w:rPr>
        <w:t>zamestnanec</w:t>
      </w:r>
      <w:r w:rsidR="00776595" w:rsidRPr="006A2BF3">
        <w:rPr>
          <w:rFonts w:ascii="Arial" w:hAnsi="Arial" w:cs="Arial"/>
          <w:sz w:val="20"/>
          <w:szCs w:val="20"/>
        </w:rPr>
        <w:t xml:space="preserve"> </w:t>
      </w:r>
      <w:r w:rsidRPr="006A2BF3">
        <w:rPr>
          <w:rFonts w:ascii="Arial" w:hAnsi="Arial" w:cs="Arial"/>
          <w:sz w:val="20"/>
          <w:szCs w:val="20"/>
        </w:rPr>
        <w:t>RO má nárok na 3 zahraničné a 5 tuzemských školení, ktoré dopĺňajú, resp. aktualizujú jeho kvalifikáciu/vedomosti a zároveň poskytujú informácie týkajúce sa výkonu jeho odborných činností. Nakoľko IPV vyžaduje uviesť aj stupeň/ úroveň dosiahnutého vzdelania, školenia sa stávajú merateľnými v zmysle dosiahnutej kvalifikácie zamestnanca, pričom sa týmto spôsobom zamedzuje duplicite absolvovania tej istej</w:t>
      </w:r>
      <w:r w:rsidRPr="006A2BF3">
        <w:rPr>
          <w:szCs w:val="20"/>
          <w:lang w:eastAsia="cs-CZ"/>
        </w:rPr>
        <w:t xml:space="preserve"> </w:t>
      </w:r>
      <w:r w:rsidRPr="006A2BF3">
        <w:rPr>
          <w:rFonts w:ascii="Arial" w:hAnsi="Arial" w:cs="Arial"/>
          <w:sz w:val="20"/>
          <w:szCs w:val="20"/>
        </w:rPr>
        <w:t>úrovne v rámci jedného školenia. Zamestnanci boli povinní odovzdať svoje IPV pre rok 201</w:t>
      </w:r>
      <w:r w:rsidR="00C12899">
        <w:rPr>
          <w:rFonts w:ascii="Arial" w:hAnsi="Arial" w:cs="Arial"/>
          <w:sz w:val="20"/>
          <w:szCs w:val="20"/>
        </w:rPr>
        <w:t>3</w:t>
      </w:r>
      <w:r w:rsidRPr="006A2BF3">
        <w:rPr>
          <w:rFonts w:ascii="Arial" w:hAnsi="Arial" w:cs="Arial"/>
          <w:sz w:val="20"/>
          <w:szCs w:val="20"/>
        </w:rPr>
        <w:t xml:space="preserve"> schválené priamym nadriadeným na odbor technickej pomoci, aby mohla byť zabezpečená merateľnosť efektívne vynaložených prostriedkov na personálne zabezpečenie z technickej pomoci.</w:t>
      </w:r>
    </w:p>
    <w:p w:rsidR="00C12899" w:rsidRPr="006A2BF3" w:rsidRDefault="00C12899" w:rsidP="00507035">
      <w:pPr>
        <w:spacing w:before="120" w:after="120" w:line="360" w:lineRule="auto"/>
        <w:jc w:val="both"/>
        <w:rPr>
          <w:rFonts w:ascii="Arial" w:hAnsi="Arial" w:cs="Arial"/>
          <w:sz w:val="20"/>
          <w:szCs w:val="20"/>
        </w:rPr>
      </w:pPr>
      <w:r w:rsidRPr="00C12899">
        <w:rPr>
          <w:rFonts w:ascii="Arial" w:hAnsi="Arial" w:cs="Arial"/>
          <w:sz w:val="20"/>
          <w:szCs w:val="20"/>
        </w:rPr>
        <w:t xml:space="preserve">V roku 2011 bolo na 23 školeniach 150 participantov z RO. Vzhľadom na zlepšujúcu sa kvalitu IPV RO očakával v roku 2012 dvojnásobný nárast odborných školení absolvovaných zamestnancami RO, čo by predstavovalo pozitívny dopad na stabilizáciu administratívnych kapacít RO a odbornú úroveň  na všetkých pracovných pozíciách. Reálny stav za rok 2012 je 50 participantov na 12 školeniach. Jedným z dôvodov je aj skutočnosť, že v období od 2. štvrťroka 2012 RO nemal vykonané verejné obstarávanie na zabezpečenie prepravy zamestnancov na vybrané školenia, čo znemožnilo účasť </w:t>
      </w:r>
      <w:r w:rsidR="00F455DD">
        <w:rPr>
          <w:rFonts w:ascii="Arial" w:hAnsi="Arial" w:cs="Arial"/>
          <w:sz w:val="20"/>
          <w:szCs w:val="20"/>
        </w:rPr>
        <w:t>zamestnancov</w:t>
      </w:r>
      <w:r w:rsidR="00F455DD" w:rsidRPr="00C12899">
        <w:rPr>
          <w:rFonts w:ascii="Arial" w:hAnsi="Arial" w:cs="Arial"/>
          <w:sz w:val="20"/>
          <w:szCs w:val="20"/>
        </w:rPr>
        <w:t xml:space="preserve"> </w:t>
      </w:r>
      <w:r w:rsidRPr="00C12899">
        <w:rPr>
          <w:rFonts w:ascii="Arial" w:hAnsi="Arial" w:cs="Arial"/>
          <w:sz w:val="20"/>
          <w:szCs w:val="20"/>
        </w:rPr>
        <w:t>RO na školeniach. Stav vyškolených zamestnancov je teda o 2/3 nižší ako v roku 2011. Relevantným opatrením je obstarať realizátora predloženej Koncepcie, ktorý zabezpečí celý systém vzdelávania, hodnotenia a odmeňovania zamestnancov.</w:t>
      </w:r>
    </w:p>
    <w:p w:rsidR="002416B1" w:rsidRPr="006A2BF3" w:rsidRDefault="002416B1" w:rsidP="00507035">
      <w:pPr>
        <w:spacing w:before="120" w:after="120" w:line="360" w:lineRule="auto"/>
        <w:jc w:val="both"/>
        <w:rPr>
          <w:rFonts w:ascii="Arial" w:hAnsi="Arial" w:cs="Arial"/>
          <w:sz w:val="20"/>
          <w:szCs w:val="20"/>
        </w:rPr>
      </w:pPr>
      <w:r w:rsidRPr="006A2BF3">
        <w:rPr>
          <w:rFonts w:ascii="Arial" w:hAnsi="Arial" w:cs="Arial"/>
          <w:sz w:val="20"/>
          <w:szCs w:val="20"/>
        </w:rPr>
        <w:t xml:space="preserve">Pre každú pracovnú pozíciu zamestnanca sú vypracované </w:t>
      </w:r>
      <w:r w:rsidRPr="006A2BF3">
        <w:rPr>
          <w:rFonts w:ascii="Arial" w:hAnsi="Arial" w:cs="Arial"/>
          <w:iCs/>
          <w:sz w:val="20"/>
          <w:szCs w:val="20"/>
        </w:rPr>
        <w:t>minimálne štandardy vzdelávania</w:t>
      </w:r>
      <w:r w:rsidRPr="006A2BF3">
        <w:rPr>
          <w:rFonts w:ascii="Arial" w:hAnsi="Arial" w:cs="Arial"/>
          <w:sz w:val="20"/>
          <w:szCs w:val="20"/>
        </w:rPr>
        <w:t>, do ktorých sú zahrnuté nasledovné oblasti:</w:t>
      </w:r>
    </w:p>
    <w:p w:rsidR="002416B1" w:rsidRPr="006A2BF3" w:rsidRDefault="002416B1" w:rsidP="001540E7">
      <w:pPr>
        <w:numPr>
          <w:ilvl w:val="3"/>
          <w:numId w:val="13"/>
        </w:numPr>
        <w:tabs>
          <w:tab w:val="num" w:pos="142"/>
        </w:tabs>
        <w:spacing w:before="120" w:after="120" w:line="360" w:lineRule="auto"/>
        <w:ind w:left="426" w:hanging="426"/>
        <w:jc w:val="both"/>
        <w:rPr>
          <w:rFonts w:ascii="Arial" w:hAnsi="Arial" w:cs="Arial"/>
          <w:sz w:val="20"/>
          <w:szCs w:val="20"/>
        </w:rPr>
      </w:pPr>
      <w:r w:rsidRPr="006A2BF3">
        <w:rPr>
          <w:rFonts w:ascii="Arial" w:hAnsi="Arial" w:cs="Arial"/>
          <w:sz w:val="20"/>
          <w:szCs w:val="20"/>
        </w:rPr>
        <w:t>anglický jazyk</w:t>
      </w:r>
    </w:p>
    <w:p w:rsidR="002416B1" w:rsidRPr="006A2BF3" w:rsidRDefault="002416B1" w:rsidP="001540E7">
      <w:pPr>
        <w:numPr>
          <w:ilvl w:val="3"/>
          <w:numId w:val="13"/>
        </w:numPr>
        <w:tabs>
          <w:tab w:val="num" w:pos="142"/>
        </w:tabs>
        <w:spacing w:before="120" w:after="120" w:line="360" w:lineRule="auto"/>
        <w:ind w:left="142" w:hanging="142"/>
        <w:jc w:val="both"/>
        <w:rPr>
          <w:rFonts w:ascii="Arial" w:hAnsi="Arial" w:cs="Arial"/>
          <w:sz w:val="20"/>
          <w:szCs w:val="20"/>
        </w:rPr>
      </w:pPr>
      <w:r w:rsidRPr="006A2BF3">
        <w:rPr>
          <w:rFonts w:ascii="Arial" w:hAnsi="Arial" w:cs="Arial"/>
          <w:sz w:val="20"/>
          <w:szCs w:val="20"/>
        </w:rPr>
        <w:t>terminológia v anglickom jazyku: EÚ, ochrana životného prostredia, európske fondy</w:t>
      </w:r>
    </w:p>
    <w:p w:rsidR="00F455DD" w:rsidRDefault="002416B1" w:rsidP="001540E7">
      <w:pPr>
        <w:pStyle w:val="Odsekzoznamu"/>
        <w:numPr>
          <w:ilvl w:val="3"/>
          <w:numId w:val="13"/>
        </w:numPr>
        <w:tabs>
          <w:tab w:val="clear" w:pos="2691"/>
        </w:tabs>
        <w:spacing w:before="120" w:after="120" w:line="360" w:lineRule="auto"/>
        <w:ind w:left="142" w:hanging="142"/>
        <w:jc w:val="both"/>
        <w:rPr>
          <w:rFonts w:ascii="Arial" w:hAnsi="Arial" w:cs="Arial"/>
          <w:sz w:val="20"/>
          <w:szCs w:val="20"/>
        </w:rPr>
      </w:pPr>
      <w:r w:rsidRPr="00F455DD">
        <w:rPr>
          <w:rFonts w:ascii="Arial" w:hAnsi="Arial" w:cs="Arial"/>
          <w:sz w:val="20"/>
          <w:szCs w:val="20"/>
        </w:rPr>
        <w:t>aktuálna legislatíva SR, právo EÚ, legislatívny a rozhodovací proces EÚ</w:t>
      </w:r>
      <w:r w:rsidR="00F455DD">
        <w:rPr>
          <w:rFonts w:ascii="Arial" w:hAnsi="Arial" w:cs="Arial"/>
          <w:sz w:val="20"/>
          <w:szCs w:val="20"/>
        </w:rPr>
        <w:t xml:space="preserve"> </w:t>
      </w:r>
      <w:r w:rsidRPr="00F455DD">
        <w:rPr>
          <w:rFonts w:ascii="Arial" w:hAnsi="Arial" w:cs="Arial"/>
          <w:sz w:val="20"/>
          <w:szCs w:val="20"/>
        </w:rPr>
        <w:t>aktuálne nariadenia a procesy v oblasti fondov EÚ</w:t>
      </w:r>
      <w:r w:rsidR="00F455DD">
        <w:rPr>
          <w:rFonts w:ascii="Arial" w:hAnsi="Arial" w:cs="Arial"/>
          <w:sz w:val="20"/>
          <w:szCs w:val="20"/>
        </w:rPr>
        <w:t xml:space="preserve"> </w:t>
      </w:r>
      <w:r w:rsidRPr="00F455DD">
        <w:rPr>
          <w:rFonts w:ascii="Arial" w:hAnsi="Arial" w:cs="Arial"/>
          <w:sz w:val="20"/>
          <w:szCs w:val="20"/>
        </w:rPr>
        <w:t>aktuálne právne predpisy v oblasti ochrany životného prostredia a </w:t>
      </w:r>
      <w:r w:rsidR="00F455DD">
        <w:rPr>
          <w:rFonts w:ascii="Arial" w:hAnsi="Arial" w:cs="Arial"/>
          <w:sz w:val="20"/>
          <w:szCs w:val="20"/>
        </w:rPr>
        <w:t>súvisiaca problematika v SR a E</w:t>
      </w:r>
    </w:p>
    <w:p w:rsidR="00F455DD" w:rsidRDefault="002416B1" w:rsidP="001540E7">
      <w:pPr>
        <w:pStyle w:val="Odsekzoznamu"/>
        <w:numPr>
          <w:ilvl w:val="3"/>
          <w:numId w:val="13"/>
        </w:numPr>
        <w:tabs>
          <w:tab w:val="clear" w:pos="2691"/>
        </w:tabs>
        <w:spacing w:before="120" w:after="120" w:line="360" w:lineRule="auto"/>
        <w:ind w:left="142" w:hanging="142"/>
        <w:jc w:val="both"/>
        <w:rPr>
          <w:rFonts w:ascii="Arial" w:hAnsi="Arial" w:cs="Arial"/>
          <w:sz w:val="20"/>
          <w:szCs w:val="20"/>
        </w:rPr>
      </w:pPr>
      <w:r w:rsidRPr="00F455DD">
        <w:rPr>
          <w:rFonts w:ascii="Arial" w:hAnsi="Arial" w:cs="Arial"/>
          <w:sz w:val="20"/>
          <w:szCs w:val="20"/>
        </w:rPr>
        <w:t>príprava a spracovanie strategických dokumentov</w:t>
      </w:r>
    </w:p>
    <w:p w:rsidR="00F455DD" w:rsidRDefault="002416B1" w:rsidP="001540E7">
      <w:pPr>
        <w:pStyle w:val="Odsekzoznamu"/>
        <w:numPr>
          <w:ilvl w:val="3"/>
          <w:numId w:val="13"/>
        </w:numPr>
        <w:tabs>
          <w:tab w:val="clear" w:pos="2691"/>
        </w:tabs>
        <w:spacing w:before="120" w:after="120" w:line="360" w:lineRule="auto"/>
        <w:ind w:left="142" w:hanging="142"/>
        <w:jc w:val="both"/>
        <w:rPr>
          <w:rFonts w:ascii="Arial" w:hAnsi="Arial" w:cs="Arial"/>
          <w:sz w:val="20"/>
          <w:szCs w:val="20"/>
        </w:rPr>
      </w:pPr>
      <w:r w:rsidRPr="00F455DD">
        <w:rPr>
          <w:rFonts w:ascii="Arial" w:hAnsi="Arial" w:cs="Arial"/>
          <w:sz w:val="20"/>
          <w:szCs w:val="20"/>
        </w:rPr>
        <w:t>štruktúra a nástroje prezentácie, negociačné techniky, spoločenská etiketa</w:t>
      </w:r>
    </w:p>
    <w:p w:rsidR="00F455DD" w:rsidRDefault="002416B1" w:rsidP="001540E7">
      <w:pPr>
        <w:pStyle w:val="Odsekzoznamu"/>
        <w:numPr>
          <w:ilvl w:val="3"/>
          <w:numId w:val="13"/>
        </w:numPr>
        <w:tabs>
          <w:tab w:val="clear" w:pos="2691"/>
        </w:tabs>
        <w:spacing w:before="120" w:after="120" w:line="360" w:lineRule="auto"/>
        <w:ind w:left="142" w:hanging="142"/>
        <w:jc w:val="both"/>
        <w:rPr>
          <w:rFonts w:ascii="Arial" w:hAnsi="Arial" w:cs="Arial"/>
          <w:sz w:val="20"/>
          <w:szCs w:val="20"/>
        </w:rPr>
      </w:pPr>
      <w:r w:rsidRPr="00F455DD">
        <w:rPr>
          <w:rFonts w:ascii="Arial" w:hAnsi="Arial" w:cs="Arial"/>
          <w:sz w:val="20"/>
          <w:szCs w:val="20"/>
        </w:rPr>
        <w:t>aplikácie ITMS</w:t>
      </w:r>
    </w:p>
    <w:p w:rsidR="002416B1" w:rsidRPr="00F455DD" w:rsidRDefault="002416B1" w:rsidP="001540E7">
      <w:pPr>
        <w:pStyle w:val="Odsekzoznamu"/>
        <w:numPr>
          <w:ilvl w:val="3"/>
          <w:numId w:val="13"/>
        </w:numPr>
        <w:tabs>
          <w:tab w:val="clear" w:pos="2691"/>
        </w:tabs>
        <w:spacing w:before="120" w:after="120" w:line="360" w:lineRule="auto"/>
        <w:ind w:left="142" w:hanging="142"/>
        <w:jc w:val="both"/>
        <w:rPr>
          <w:rFonts w:ascii="Arial" w:hAnsi="Arial" w:cs="Arial"/>
          <w:sz w:val="20"/>
          <w:szCs w:val="20"/>
        </w:rPr>
      </w:pPr>
      <w:r w:rsidRPr="00F455DD">
        <w:rPr>
          <w:rFonts w:ascii="Arial" w:hAnsi="Arial" w:cs="Arial"/>
          <w:sz w:val="20"/>
          <w:szCs w:val="20"/>
        </w:rPr>
        <w:t>kancelárske programy MS Office</w:t>
      </w:r>
      <w:r w:rsidR="009851FD" w:rsidRPr="00F455DD">
        <w:rPr>
          <w:rFonts w:ascii="Arial" w:hAnsi="Arial" w:cs="Arial"/>
          <w:sz w:val="20"/>
          <w:szCs w:val="20"/>
        </w:rPr>
        <w:t>.</w:t>
      </w:r>
    </w:p>
    <w:p w:rsidR="002416B1" w:rsidRPr="006A2BF3" w:rsidRDefault="002416B1" w:rsidP="00507035">
      <w:pPr>
        <w:spacing w:before="120" w:after="120" w:line="360" w:lineRule="auto"/>
        <w:jc w:val="both"/>
        <w:rPr>
          <w:rFonts w:ascii="Arial" w:hAnsi="Arial" w:cs="Arial"/>
          <w:sz w:val="20"/>
          <w:szCs w:val="20"/>
        </w:rPr>
      </w:pPr>
      <w:r w:rsidRPr="006A2BF3">
        <w:rPr>
          <w:rFonts w:ascii="Arial" w:hAnsi="Arial" w:cs="Arial"/>
          <w:sz w:val="20"/>
          <w:szCs w:val="20"/>
        </w:rPr>
        <w:t>Vyššie uvedené školenia ako i vzdelávanie a</w:t>
      </w:r>
      <w:r w:rsidR="00F455DD">
        <w:rPr>
          <w:rFonts w:ascii="Arial" w:hAnsi="Arial" w:cs="Arial"/>
          <w:sz w:val="20"/>
          <w:szCs w:val="20"/>
        </w:rPr>
        <w:t xml:space="preserve"> platy a </w:t>
      </w:r>
      <w:r w:rsidRPr="006A2BF3">
        <w:rPr>
          <w:rFonts w:ascii="Arial" w:hAnsi="Arial" w:cs="Arial"/>
          <w:sz w:val="20"/>
          <w:szCs w:val="20"/>
        </w:rPr>
        <w:t xml:space="preserve">mzdy </w:t>
      </w:r>
      <w:r w:rsidR="00F455DD">
        <w:rPr>
          <w:rFonts w:ascii="Arial" w:hAnsi="Arial" w:cs="Arial"/>
          <w:sz w:val="20"/>
          <w:szCs w:val="20"/>
        </w:rPr>
        <w:t xml:space="preserve">zamestnancov </w:t>
      </w:r>
      <w:r w:rsidRPr="006A2BF3">
        <w:rPr>
          <w:rFonts w:ascii="Arial" w:hAnsi="Arial" w:cs="Arial"/>
          <w:sz w:val="20"/>
          <w:szCs w:val="20"/>
        </w:rPr>
        <w:t xml:space="preserve"> sú financované prostredníctvom prioritnej osi 6 Technická pomoc, ktorej špecifickým cieľom je zabezpečenie efektívneho procesu riadenia a implementácie OP ŽP v súlade s nárokmi kladenými na administratívne štruktúry zodpovedné za realizáciu operačného programu, a to prostredníctvom podpory prípravných, riadiacich, monitorovacích, hodnotiacich, informačných a kontrolných aktivít týkajúcich sa OP ŽP spolu s aktivitami slúžiacimi na posilnenie administratívnych kapacít, ktoré zabezpečujú programovanie, riadenie, implementáciu, finančné riadenie, hodnotenie a monitorovanie, kontrolu a audit OP ŽP.</w:t>
      </w:r>
    </w:p>
    <w:p w:rsidR="0076276F" w:rsidRDefault="002416B1" w:rsidP="00507035">
      <w:pPr>
        <w:spacing w:before="120" w:after="120" w:line="360" w:lineRule="auto"/>
        <w:jc w:val="both"/>
      </w:pPr>
      <w:r w:rsidRPr="006A2BF3">
        <w:rPr>
          <w:rFonts w:ascii="Arial" w:hAnsi="Arial" w:cs="Arial"/>
          <w:sz w:val="20"/>
          <w:szCs w:val="20"/>
        </w:rPr>
        <w:t>Stav fyzického pokroku a finančnej implementácie prioritnej osi 6 je uvedený v časti 3.6. a 6. správy.</w:t>
      </w:r>
      <w:bookmarkStart w:id="64" w:name="_Toc319573319"/>
      <w:r w:rsidR="000A202C" w:rsidRPr="000A202C">
        <w:rPr>
          <w:caps/>
        </w:rPr>
        <w:t>3.</w:t>
      </w:r>
      <w:r w:rsidR="000A202C">
        <w:t xml:space="preserve"> </w:t>
      </w:r>
    </w:p>
    <w:p w:rsidR="00D314B3" w:rsidRDefault="00D314B3" w:rsidP="00D314B3">
      <w:pPr>
        <w:pStyle w:val="Nadpis1"/>
        <w:rPr>
          <w:lang w:val="sk-SK"/>
        </w:rPr>
      </w:pPr>
      <w:r w:rsidRPr="000A202C">
        <w:rPr>
          <w:caps w:val="0"/>
        </w:rPr>
        <w:t>3.</w:t>
      </w:r>
      <w:r>
        <w:t xml:space="preserve"> </w:t>
      </w:r>
      <w:r w:rsidRPr="006A2BF3">
        <w:t xml:space="preserve">Realizácia </w:t>
      </w:r>
      <w:r w:rsidRPr="00276947">
        <w:t>podľa</w:t>
      </w:r>
      <w:r w:rsidRPr="006A2BF3">
        <w:t xml:space="preserve"> prioritných osí</w:t>
      </w:r>
    </w:p>
    <w:p w:rsidR="00D314B3" w:rsidRDefault="00D314B3" w:rsidP="00D314B3">
      <w:pPr>
        <w:rPr>
          <w:lang w:eastAsia="x-none"/>
        </w:rPr>
      </w:pPr>
    </w:p>
    <w:p w:rsidR="00D314B3" w:rsidRPr="00593253" w:rsidRDefault="00D314B3" w:rsidP="00D314B3">
      <w:pPr>
        <w:spacing w:before="120" w:line="360" w:lineRule="auto"/>
        <w:jc w:val="both"/>
        <w:rPr>
          <w:rFonts w:ascii="Arial" w:hAnsi="Arial" w:cs="Arial"/>
          <w:sz w:val="20"/>
          <w:szCs w:val="20"/>
        </w:rPr>
      </w:pPr>
      <w:r w:rsidRPr="00593253">
        <w:rPr>
          <w:rFonts w:ascii="Arial" w:hAnsi="Arial" w:cs="Arial"/>
          <w:sz w:val="20"/>
          <w:szCs w:val="20"/>
        </w:rPr>
        <w:t>Posúdenie pokroku na úrovni OP je vykonané na základe  posúdenia čerpania finančných prostriedkov, miery fyzického pokroku (na základe posúdenia merateľných ukazovateľov) a s prihliadnutím na dopyt žiadateľov po vyhlásených Výzvach. Z hľadiska plnenia cieľov OP je zásadné plnenie merateľných ukazovateľov na úrovni projektov a na úrovni OP.</w:t>
      </w:r>
    </w:p>
    <w:p w:rsidR="00992100" w:rsidRPr="00992100" w:rsidRDefault="00D314B3" w:rsidP="00992100">
      <w:pPr>
        <w:spacing w:before="120" w:line="360" w:lineRule="auto"/>
        <w:jc w:val="both"/>
        <w:rPr>
          <w:rFonts w:ascii="Arial" w:hAnsi="Arial" w:cs="Arial"/>
          <w:sz w:val="20"/>
          <w:szCs w:val="20"/>
        </w:rPr>
      </w:pPr>
      <w:r w:rsidRPr="00992100">
        <w:rPr>
          <w:rFonts w:ascii="Arial" w:hAnsi="Arial" w:cs="Arial"/>
          <w:sz w:val="20"/>
          <w:szCs w:val="20"/>
        </w:rPr>
        <w:t xml:space="preserve">Plnenie samotných merateľných ukazovateľov na úrovni OP a tým napĺňanie cieľov OP ovplyvňuje najmä samotný stav realizácie projektov resp. čerpanie finančných prostriedkov. Vo všeobecnosti sú hodnoty niektorých merateľných ukazovateľov na úrovni OP ovplyvnené najmä skutočnosťou, že výsledok intervencie OP sa vykazuje až prostredníctvom následných monitorovacích správ projektov, čo býva rok po ukončení realizácie projektov, pričom agregácia projektových ukazovateľov na programovú úroveň často z dopadových ukazovateľov projektov. </w:t>
      </w:r>
      <w:bookmarkStart w:id="65" w:name="_Toc319573320"/>
      <w:bookmarkEnd w:id="64"/>
    </w:p>
    <w:p w:rsidR="0068264B" w:rsidRDefault="0068264B">
      <w:pPr>
        <w:rPr>
          <w:rFonts w:ascii="Arial" w:hAnsi="Arial"/>
          <w:b/>
          <w:bCs/>
          <w:iCs/>
          <w:sz w:val="28"/>
          <w:szCs w:val="28"/>
        </w:rPr>
      </w:pPr>
      <w:r>
        <w:br w:type="page"/>
      </w:r>
    </w:p>
    <w:p w:rsidR="002416B1" w:rsidRPr="006A2BF3" w:rsidRDefault="002416B1" w:rsidP="00507035">
      <w:pPr>
        <w:pStyle w:val="Nadpis2"/>
        <w:spacing w:before="120" w:after="120" w:line="360" w:lineRule="auto"/>
      </w:pPr>
      <w:r w:rsidRPr="006A2BF3">
        <w:t>3.1. Prioritná os 1 Integrovaná ochrana a racionálne využívanie vôd</w:t>
      </w:r>
      <w:bookmarkEnd w:id="65"/>
    </w:p>
    <w:p w:rsidR="002416B1" w:rsidRDefault="002416B1" w:rsidP="00507035">
      <w:pPr>
        <w:pStyle w:val="Nadpis3"/>
        <w:spacing w:before="120" w:after="120" w:line="360" w:lineRule="auto"/>
      </w:pPr>
      <w:bookmarkStart w:id="66" w:name="_Toc319573321"/>
      <w:r w:rsidRPr="006A2BF3">
        <w:t>3.1.1 Dosiahnutie cieľov a analýza dosiahnutého pokroku</w:t>
      </w:r>
      <w:bookmarkEnd w:id="66"/>
    </w:p>
    <w:p w:rsidR="002416B1" w:rsidRDefault="002416B1" w:rsidP="00507035">
      <w:pPr>
        <w:spacing w:before="120" w:after="120" w:line="360" w:lineRule="auto"/>
        <w:jc w:val="both"/>
        <w:rPr>
          <w:rFonts w:ascii="Arial" w:hAnsi="Arial" w:cs="Arial"/>
          <w:sz w:val="20"/>
          <w:szCs w:val="20"/>
        </w:rPr>
      </w:pPr>
      <w:r w:rsidRPr="006A2BF3">
        <w:rPr>
          <w:rFonts w:ascii="Arial" w:hAnsi="Arial" w:cs="Arial"/>
          <w:sz w:val="20"/>
          <w:szCs w:val="20"/>
        </w:rPr>
        <w:t>Cieľom prioritnej osi je znižovanie znečistenia vôd a zvýšenie kvality života obyvateľstva SR dobudovaním a skvalitnením infraštruktúry vodného hospodárstva SR v zmysle právnych predpisov EÚ a SR. Prioritná os je zameraná na zabezpečenie prístupu obyvateľov k pitnej vode a zabezpečenie obslužnosti územia pitnou vodou z verejného vodovodu v dostatočnej kvalite a kvantite, zvýšenie počtu obyvateľov žijúcich v domoch pripojených na verejnú kanalizáciu, zabezpečenie odvádzania a čistenia komunálnych odpadových vôd v súlade so záväzkami SR voči EÚ a zabezpečenie plnenia povinností vyplývajúcich pre SR zo smernice 2000/60/ES v oblasti monitorovania vôd.</w:t>
      </w:r>
    </w:p>
    <w:p w:rsidR="002416B1" w:rsidRPr="004837B1" w:rsidRDefault="002416B1" w:rsidP="00507035">
      <w:pPr>
        <w:spacing w:before="120" w:after="120" w:line="360" w:lineRule="auto"/>
        <w:jc w:val="both"/>
        <w:rPr>
          <w:rFonts w:ascii="Arial" w:hAnsi="Arial" w:cs="Arial"/>
          <w:sz w:val="20"/>
          <w:szCs w:val="20"/>
        </w:rPr>
      </w:pPr>
      <w:r w:rsidRPr="00C26118">
        <w:rPr>
          <w:rFonts w:ascii="Arial" w:hAnsi="Arial" w:cs="Arial"/>
          <w:sz w:val="20"/>
          <w:szCs w:val="20"/>
        </w:rPr>
        <w:t>Prioritná os 1 je financovaná z Kohézneho fondu a svojou alokáciou tvorí takmer 50,31</w:t>
      </w:r>
      <w:r w:rsidR="00631140">
        <w:rPr>
          <w:rFonts w:ascii="Arial" w:hAnsi="Arial" w:cs="Arial"/>
          <w:sz w:val="20"/>
          <w:szCs w:val="20"/>
        </w:rPr>
        <w:t xml:space="preserve"> </w:t>
      </w:r>
      <w:r w:rsidRPr="00C26118">
        <w:rPr>
          <w:rFonts w:ascii="Arial" w:hAnsi="Arial" w:cs="Arial"/>
          <w:sz w:val="20"/>
          <w:szCs w:val="20"/>
        </w:rPr>
        <w:t xml:space="preserve">% celkovej alokácie na operačný program. </w:t>
      </w:r>
      <w:r w:rsidRPr="004837B1">
        <w:rPr>
          <w:rFonts w:ascii="Arial" w:hAnsi="Arial" w:cs="Arial"/>
          <w:sz w:val="20"/>
          <w:szCs w:val="20"/>
        </w:rPr>
        <w:t xml:space="preserve">Podiel uvedenej prioritnej osi na celkovom čerpaní alokácie </w:t>
      </w:r>
      <w:r w:rsidR="004837B1" w:rsidRPr="0039268C">
        <w:rPr>
          <w:rFonts w:ascii="Arial" w:hAnsi="Arial" w:cs="Arial"/>
          <w:sz w:val="20"/>
          <w:szCs w:val="20"/>
        </w:rPr>
        <w:t>je zo všetkých prioritných osí najvyšší, predstavuje 40,48</w:t>
      </w:r>
      <w:r w:rsidR="00631140">
        <w:rPr>
          <w:rFonts w:ascii="Arial" w:hAnsi="Arial" w:cs="Arial"/>
          <w:sz w:val="20"/>
          <w:szCs w:val="20"/>
        </w:rPr>
        <w:t xml:space="preserve"> </w:t>
      </w:r>
      <w:r w:rsidRPr="004837B1">
        <w:rPr>
          <w:rFonts w:ascii="Arial" w:hAnsi="Arial" w:cs="Arial"/>
          <w:sz w:val="20"/>
          <w:szCs w:val="20"/>
        </w:rPr>
        <w:t>%.</w:t>
      </w:r>
    </w:p>
    <w:p w:rsidR="002416B1" w:rsidRPr="00BA1A4F" w:rsidRDefault="002416B1" w:rsidP="00507035">
      <w:pPr>
        <w:spacing w:before="120" w:after="120" w:line="360" w:lineRule="auto"/>
        <w:jc w:val="both"/>
        <w:rPr>
          <w:rFonts w:ascii="Arial" w:hAnsi="Arial" w:cs="Arial"/>
          <w:sz w:val="20"/>
          <w:szCs w:val="20"/>
        </w:rPr>
      </w:pPr>
      <w:r w:rsidRPr="001F059E">
        <w:rPr>
          <w:rFonts w:ascii="Arial" w:hAnsi="Arial" w:cs="Arial"/>
          <w:sz w:val="20"/>
          <w:szCs w:val="20"/>
        </w:rPr>
        <w:t xml:space="preserve">Úroveň zazmluvnenia prioritnej osi voči alokácii na danú prioritnú os je </w:t>
      </w:r>
      <w:r w:rsidR="001F059E" w:rsidRPr="0039268C">
        <w:rPr>
          <w:rFonts w:ascii="Arial" w:hAnsi="Arial" w:cs="Arial"/>
          <w:sz w:val="20"/>
          <w:szCs w:val="20"/>
        </w:rPr>
        <w:t>81,57</w:t>
      </w:r>
      <w:r w:rsidR="00631140">
        <w:rPr>
          <w:rFonts w:ascii="Arial" w:hAnsi="Arial" w:cs="Arial"/>
          <w:sz w:val="20"/>
          <w:szCs w:val="20"/>
        </w:rPr>
        <w:t xml:space="preserve"> </w:t>
      </w:r>
      <w:r w:rsidRPr="001F059E">
        <w:rPr>
          <w:rFonts w:ascii="Arial" w:hAnsi="Arial" w:cs="Arial"/>
          <w:sz w:val="20"/>
          <w:szCs w:val="20"/>
        </w:rPr>
        <w:t>%</w:t>
      </w:r>
      <w:r w:rsidR="001F059E">
        <w:rPr>
          <w:rFonts w:ascii="Arial" w:hAnsi="Arial" w:cs="Arial"/>
          <w:sz w:val="20"/>
          <w:szCs w:val="20"/>
        </w:rPr>
        <w:t xml:space="preserve">. </w:t>
      </w:r>
      <w:r w:rsidRPr="002E463F">
        <w:rPr>
          <w:rFonts w:ascii="Arial" w:hAnsi="Arial" w:cs="Arial"/>
          <w:sz w:val="20"/>
          <w:szCs w:val="20"/>
        </w:rPr>
        <w:t xml:space="preserve">Vzhľadom na zazmluvnenosť prostriedkov prioritnej osi, stav čerpania ako aj berúc do úvahy schválenie veľkých projektov možno konštatovať že trend vývoja prioritnej osi ako aj  napĺňania relevantných ukazovateľov je vyhovujúci, a teda RO  predpokladá splnenie stanovených cieľov v tejto oblasti. Zhodnotenie úrovne zazmluvnenia alokovaných finančných prostriedkov za zdroje EÚ vo vzťahu k dosahovaným hodnotám ukazovateľov podľa jednotlivých prioritných tém je podrobnejšie popísané v časti Plnenie </w:t>
      </w:r>
      <w:r w:rsidRPr="00BA1A4F">
        <w:rPr>
          <w:rFonts w:ascii="Arial" w:hAnsi="Arial" w:cs="Arial"/>
          <w:sz w:val="20"/>
          <w:szCs w:val="20"/>
        </w:rPr>
        <w:t>merateľných ukazovateľov.</w:t>
      </w:r>
    </w:p>
    <w:p w:rsidR="002416B1" w:rsidRPr="00BA1A4F" w:rsidRDefault="002416B1" w:rsidP="00507035">
      <w:pPr>
        <w:spacing w:before="120" w:after="120" w:line="360" w:lineRule="auto"/>
        <w:jc w:val="both"/>
        <w:rPr>
          <w:rFonts w:ascii="Arial" w:hAnsi="Arial" w:cs="Arial"/>
          <w:sz w:val="20"/>
          <w:szCs w:val="20"/>
        </w:rPr>
      </w:pPr>
      <w:r w:rsidRPr="007818E6">
        <w:rPr>
          <w:rFonts w:ascii="Arial" w:hAnsi="Arial" w:cs="Arial"/>
          <w:sz w:val="20"/>
          <w:szCs w:val="20"/>
        </w:rPr>
        <w:t>Príklady úspešných projektov</w:t>
      </w:r>
      <w:r w:rsidRPr="00BA1A4F">
        <w:rPr>
          <w:rFonts w:ascii="Arial" w:hAnsi="Arial" w:cs="Arial"/>
          <w:sz w:val="20"/>
          <w:szCs w:val="20"/>
        </w:rPr>
        <w:t xml:space="preserve"> prioritnej osi 1, finančne aj fyzicky ukončených, sú uvedené na </w:t>
      </w:r>
      <w:r w:rsidR="001F059E" w:rsidRPr="00BA1A4F">
        <w:rPr>
          <w:rFonts w:ascii="Arial" w:hAnsi="Arial" w:cs="Arial"/>
          <w:sz w:val="20"/>
          <w:szCs w:val="20"/>
        </w:rPr>
        <w:t xml:space="preserve">webovom sídle </w:t>
      </w:r>
      <w:r w:rsidRPr="00BA1A4F">
        <w:rPr>
          <w:rFonts w:ascii="Arial" w:hAnsi="Arial" w:cs="Arial"/>
          <w:sz w:val="20"/>
          <w:szCs w:val="20"/>
        </w:rPr>
        <w:t xml:space="preserve">OP ŽP, </w:t>
      </w:r>
      <w:hyperlink r:id="rId34" w:history="1">
        <w:r w:rsidRPr="007818E6">
          <w:rPr>
            <w:rStyle w:val="Hypertextovprepojenie"/>
            <w:rFonts w:ascii="Arial" w:hAnsi="Arial" w:cs="Arial"/>
            <w:sz w:val="20"/>
            <w:szCs w:val="20"/>
          </w:rPr>
          <w:t>http://www.opzp.sk/projekty/mapa-vzorovych-uspesne-realizovanych-projektov/</w:t>
        </w:r>
      </w:hyperlink>
      <w:r w:rsidR="00033F3F" w:rsidRPr="00BA1A4F">
        <w:rPr>
          <w:rFonts w:ascii="Arial" w:hAnsi="Arial" w:cs="Arial"/>
          <w:sz w:val="20"/>
          <w:szCs w:val="20"/>
        </w:rPr>
        <w:t xml:space="preserve"> a tiež sú súčasťou </w:t>
      </w:r>
      <w:r w:rsidR="00033F3F" w:rsidRPr="007818E6">
        <w:rPr>
          <w:rFonts w:ascii="Arial" w:hAnsi="Arial" w:cs="Arial"/>
          <w:sz w:val="20"/>
          <w:szCs w:val="20"/>
        </w:rPr>
        <w:t>Prílohy č. 10</w:t>
      </w:r>
      <w:r w:rsidR="00033F3F" w:rsidRPr="00BA1A4F">
        <w:rPr>
          <w:rFonts w:ascii="Arial" w:hAnsi="Arial" w:cs="Arial"/>
          <w:sz w:val="20"/>
          <w:szCs w:val="20"/>
        </w:rPr>
        <w:t xml:space="preserve"> výročnej správy.</w:t>
      </w:r>
    </w:p>
    <w:p w:rsidR="002416B1" w:rsidRPr="00BA1A4F" w:rsidRDefault="002416B1" w:rsidP="00507035">
      <w:pPr>
        <w:spacing w:before="120" w:after="120"/>
      </w:pPr>
    </w:p>
    <w:p w:rsidR="002416B1" w:rsidRPr="006A2BF3" w:rsidRDefault="002416B1" w:rsidP="00507035">
      <w:pPr>
        <w:pStyle w:val="Nadpis8"/>
        <w:spacing w:before="120" w:after="120"/>
        <w:rPr>
          <w:rFonts w:ascii="Arial" w:hAnsi="Arial" w:cs="Arial"/>
          <w:b/>
          <w:sz w:val="22"/>
          <w:szCs w:val="22"/>
        </w:rPr>
      </w:pPr>
      <w:r w:rsidRPr="00BA1A4F">
        <w:rPr>
          <w:rFonts w:ascii="Arial" w:hAnsi="Arial" w:cs="Arial"/>
          <w:b/>
          <w:sz w:val="22"/>
          <w:szCs w:val="22"/>
        </w:rPr>
        <w:t>3.1.1.1 Stav fyzického pokroku prioritnej osi</w:t>
      </w:r>
      <w:r w:rsidRPr="006A2BF3">
        <w:rPr>
          <w:rFonts w:ascii="Arial" w:hAnsi="Arial" w:cs="Arial"/>
          <w:b/>
          <w:sz w:val="22"/>
          <w:szCs w:val="22"/>
        </w:rPr>
        <w:t xml:space="preserve"> 1</w:t>
      </w:r>
    </w:p>
    <w:p w:rsidR="0068264B" w:rsidRDefault="002416B1" w:rsidP="00507035">
      <w:pPr>
        <w:pStyle w:val="Zkladntextb"/>
        <w:spacing w:before="120" w:after="120" w:line="360" w:lineRule="auto"/>
        <w:ind w:left="0"/>
        <w:jc w:val="both"/>
        <w:rPr>
          <w:lang w:val="sk-SK"/>
        </w:rPr>
      </w:pPr>
      <w:r w:rsidRPr="006A2BF3">
        <w:rPr>
          <w:lang w:val="sk-SK"/>
        </w:rPr>
        <w:t>V rámci Prioritnej osi 1 Integrovaná ochrana a racionálne využívanie vôd bolo od začiatku programovacieho obdobia k 31.12.201</w:t>
      </w:r>
      <w:r w:rsidR="008762F5">
        <w:rPr>
          <w:lang w:val="sk-SK"/>
        </w:rPr>
        <w:t>2</w:t>
      </w:r>
      <w:r w:rsidRPr="004B33AE">
        <w:rPr>
          <w:lang w:val="sk-SK"/>
        </w:rPr>
        <w:t xml:space="preserve"> vyhlásených už </w:t>
      </w:r>
      <w:r w:rsidR="008762F5">
        <w:rPr>
          <w:lang w:val="sk-SK"/>
        </w:rPr>
        <w:t>deväť</w:t>
      </w:r>
      <w:r w:rsidR="008762F5" w:rsidRPr="004B33AE">
        <w:rPr>
          <w:lang w:val="sk-SK"/>
        </w:rPr>
        <w:t xml:space="preserve"> </w:t>
      </w:r>
      <w:r w:rsidRPr="004B33AE">
        <w:rPr>
          <w:lang w:val="sk-SK"/>
        </w:rPr>
        <w:t>výziev na predkladanie žiadostí o NFP v celkovej alokácii</w:t>
      </w:r>
      <w:r>
        <w:rPr>
          <w:lang w:val="sk-SK"/>
        </w:rPr>
        <w:t xml:space="preserve"> </w:t>
      </w:r>
      <w:r w:rsidR="008762F5" w:rsidRPr="004B33AE">
        <w:rPr>
          <w:rFonts w:cs="Arial"/>
          <w:lang w:val="sk-SK"/>
        </w:rPr>
        <w:t>8</w:t>
      </w:r>
      <w:r w:rsidR="008762F5">
        <w:rPr>
          <w:rFonts w:cs="Arial"/>
          <w:lang w:val="sk-SK"/>
        </w:rPr>
        <w:t>20</w:t>
      </w:r>
      <w:r w:rsidR="008762F5" w:rsidRPr="004B33AE">
        <w:rPr>
          <w:rFonts w:cs="Arial"/>
          <w:lang w:val="sk-SK"/>
        </w:rPr>
        <w:t xml:space="preserve"> </w:t>
      </w:r>
      <w:r w:rsidR="008762F5">
        <w:rPr>
          <w:rFonts w:cs="Arial"/>
          <w:lang w:val="sk-SK"/>
        </w:rPr>
        <w:t>120</w:t>
      </w:r>
      <w:r w:rsidR="008762F5" w:rsidRPr="004B33AE">
        <w:rPr>
          <w:rFonts w:cs="Arial"/>
          <w:lang w:val="sk-SK"/>
        </w:rPr>
        <w:t xml:space="preserve"> </w:t>
      </w:r>
      <w:r w:rsidRPr="004B33AE">
        <w:rPr>
          <w:rFonts w:cs="Arial"/>
          <w:lang w:val="sk-SK"/>
        </w:rPr>
        <w:t>558</w:t>
      </w:r>
      <w:r w:rsidRPr="004B33AE">
        <w:rPr>
          <w:lang w:val="sk-SK"/>
        </w:rPr>
        <w:t xml:space="preserve"> EUR. </w:t>
      </w:r>
      <w:r w:rsidR="00BC5844">
        <w:rPr>
          <w:lang w:val="sk-SK"/>
        </w:rPr>
        <w:t>Začiatkom roka 2012 bola vyhlásená výzva pre operačný cieľ 1.3 (monitoring vôd)</w:t>
      </w:r>
      <w:r w:rsidRPr="004B33AE">
        <w:rPr>
          <w:lang w:val="sk-SK"/>
        </w:rPr>
        <w:t xml:space="preserve"> s alokáciou </w:t>
      </w:r>
      <w:r w:rsidR="00BC5844">
        <w:rPr>
          <w:lang w:val="sk-SK"/>
        </w:rPr>
        <w:t xml:space="preserve">13,370 </w:t>
      </w:r>
      <w:r w:rsidRPr="004B33AE">
        <w:rPr>
          <w:lang w:val="sk-SK"/>
        </w:rPr>
        <w:t>miliónov EUR</w:t>
      </w:r>
      <w:r>
        <w:rPr>
          <w:lang w:val="sk-SK"/>
        </w:rPr>
        <w:t xml:space="preserve">, s dátumom uzávierky </w:t>
      </w:r>
      <w:r w:rsidR="00BC5844">
        <w:rPr>
          <w:lang w:val="sk-SK"/>
        </w:rPr>
        <w:t>16.07.2012</w:t>
      </w:r>
      <w:r>
        <w:rPr>
          <w:lang w:val="sk-SK"/>
        </w:rPr>
        <w:t xml:space="preserve">, v rámci ktorej </w:t>
      </w:r>
      <w:r w:rsidR="00BC5844">
        <w:rPr>
          <w:lang w:val="sk-SK"/>
        </w:rPr>
        <w:t xml:space="preserve">boli prijaté </w:t>
      </w:r>
      <w:r>
        <w:rPr>
          <w:lang w:val="sk-SK"/>
        </w:rPr>
        <w:t xml:space="preserve">4 žiadostí o NFP vo výške požadovaného príspevku </w:t>
      </w:r>
      <w:r w:rsidR="00BC5844">
        <w:rPr>
          <w:lang w:val="sk-SK"/>
        </w:rPr>
        <w:t>13 133 304</w:t>
      </w:r>
      <w:r>
        <w:rPr>
          <w:lang w:val="sk-SK"/>
        </w:rPr>
        <w:t xml:space="preserve"> EUR (KF+ŠR)</w:t>
      </w:r>
      <w:r w:rsidR="00BC5844">
        <w:rPr>
          <w:lang w:val="sk-SK"/>
        </w:rPr>
        <w:t>, ktoré boli k 31.12.2012 aj schválené</w:t>
      </w:r>
      <w:r>
        <w:rPr>
          <w:lang w:val="sk-SK"/>
        </w:rPr>
        <w:t>.</w:t>
      </w:r>
    </w:p>
    <w:p w:rsidR="0068264B" w:rsidRDefault="0068264B">
      <w:pPr>
        <w:rPr>
          <w:rFonts w:ascii="Arial" w:hAnsi="Arial"/>
          <w:sz w:val="20"/>
          <w:szCs w:val="20"/>
        </w:rPr>
      </w:pPr>
      <w:r>
        <w:br w:type="page"/>
      </w:r>
    </w:p>
    <w:p w:rsidR="002416B1" w:rsidRPr="00ED7FF9" w:rsidRDefault="002416B1" w:rsidP="00507035">
      <w:pPr>
        <w:pStyle w:val="Zkladntextb"/>
        <w:spacing w:before="120" w:after="120" w:line="360" w:lineRule="auto"/>
        <w:ind w:left="0"/>
        <w:jc w:val="both"/>
        <w:rPr>
          <w:highlight w:val="yellow"/>
          <w:lang w:val="sk-SK"/>
        </w:rPr>
      </w:pPr>
    </w:p>
    <w:p w:rsidR="002416B1" w:rsidRPr="004B33AE" w:rsidRDefault="002416B1" w:rsidP="0076276F">
      <w:pPr>
        <w:spacing w:line="360" w:lineRule="auto"/>
        <w:rPr>
          <w:rFonts w:ascii="Arial" w:hAnsi="Arial" w:cs="Arial"/>
          <w:sz w:val="20"/>
          <w:szCs w:val="20"/>
          <w:highlight w:val="yellow"/>
        </w:rPr>
      </w:pPr>
      <w:r w:rsidRPr="004B33AE">
        <w:rPr>
          <w:rFonts w:ascii="Arial" w:hAnsi="Arial" w:cs="Arial"/>
          <w:sz w:val="20"/>
          <w:szCs w:val="20"/>
        </w:rPr>
        <w:t>Tab. č</w:t>
      </w:r>
      <w:r w:rsidRPr="00992100">
        <w:rPr>
          <w:rFonts w:ascii="Arial" w:hAnsi="Arial" w:cs="Arial"/>
          <w:sz w:val="20"/>
          <w:szCs w:val="20"/>
        </w:rPr>
        <w:t xml:space="preserve">. </w:t>
      </w:r>
      <w:r w:rsidR="007B7519">
        <w:rPr>
          <w:rFonts w:ascii="Arial" w:hAnsi="Arial" w:cs="Arial"/>
          <w:sz w:val="20"/>
          <w:szCs w:val="20"/>
        </w:rPr>
        <w:t>38</w:t>
      </w:r>
      <w:r w:rsidRPr="00992100">
        <w:rPr>
          <w:rFonts w:ascii="Arial" w:hAnsi="Arial" w:cs="Arial"/>
          <w:sz w:val="20"/>
          <w:szCs w:val="20"/>
        </w:rPr>
        <w:t>: Stav</w:t>
      </w:r>
      <w:r w:rsidRPr="004B33AE">
        <w:rPr>
          <w:rFonts w:ascii="Arial" w:hAnsi="Arial" w:cs="Arial"/>
          <w:sz w:val="20"/>
          <w:szCs w:val="20"/>
        </w:rPr>
        <w:t xml:space="preserve"> vyhlasovania výziev prioritnej osi 1 v období 01.01.201</w:t>
      </w:r>
      <w:r w:rsidR="00BC5844">
        <w:rPr>
          <w:rFonts w:ascii="Arial" w:hAnsi="Arial" w:cs="Arial"/>
          <w:sz w:val="20"/>
          <w:szCs w:val="20"/>
        </w:rPr>
        <w:t>2</w:t>
      </w:r>
      <w:r w:rsidRPr="004B33AE">
        <w:rPr>
          <w:rFonts w:ascii="Arial" w:hAnsi="Arial" w:cs="Arial"/>
          <w:sz w:val="20"/>
          <w:szCs w:val="20"/>
        </w:rPr>
        <w:t xml:space="preserve"> – 31.12.201</w:t>
      </w:r>
      <w:r w:rsidR="00BC5844">
        <w:rPr>
          <w:rFonts w:ascii="Arial" w:hAnsi="Arial" w:cs="Arial"/>
          <w:sz w:val="20"/>
          <w:szCs w:val="20"/>
        </w:rPr>
        <w:t>2</w:t>
      </w:r>
    </w:p>
    <w:tbl>
      <w:tblPr>
        <w:tblW w:w="465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784"/>
        <w:gridCol w:w="1829"/>
        <w:gridCol w:w="1419"/>
        <w:gridCol w:w="1702"/>
        <w:gridCol w:w="1844"/>
      </w:tblGrid>
      <w:tr w:rsidR="00070AE3" w:rsidRPr="006A2BF3" w:rsidTr="00070AE3">
        <w:trPr>
          <w:trHeight w:val="1115"/>
        </w:trPr>
        <w:tc>
          <w:tcPr>
            <w:tcW w:w="1040" w:type="pct"/>
            <w:shd w:val="clear" w:color="auto" w:fill="D6E3BC"/>
            <w:vAlign w:val="center"/>
          </w:tcPr>
          <w:p w:rsidR="002416B1" w:rsidRPr="006A2BF3" w:rsidRDefault="00070AE3" w:rsidP="0076276F">
            <w:pPr>
              <w:jc w:val="center"/>
              <w:rPr>
                <w:rFonts w:ascii="Arial" w:hAnsi="Arial" w:cs="Arial"/>
                <w:b/>
                <w:bCs/>
                <w:sz w:val="18"/>
                <w:szCs w:val="18"/>
              </w:rPr>
            </w:pPr>
            <w:r>
              <w:rPr>
                <w:rFonts w:ascii="Arial" w:hAnsi="Arial" w:cs="Arial"/>
                <w:b/>
                <w:bCs/>
                <w:sz w:val="18"/>
                <w:szCs w:val="18"/>
              </w:rPr>
              <w:t>Opatrenie</w:t>
            </w:r>
          </w:p>
        </w:tc>
        <w:tc>
          <w:tcPr>
            <w:tcW w:w="1066" w:type="pct"/>
            <w:shd w:val="clear" w:color="auto" w:fill="D6E3BC"/>
            <w:vAlign w:val="center"/>
          </w:tcPr>
          <w:p w:rsidR="002416B1" w:rsidRPr="006A2BF3" w:rsidRDefault="002416B1" w:rsidP="0076276F">
            <w:pPr>
              <w:jc w:val="center"/>
              <w:rPr>
                <w:rFonts w:ascii="Arial" w:hAnsi="Arial" w:cs="Arial"/>
                <w:b/>
                <w:bCs/>
                <w:sz w:val="18"/>
                <w:szCs w:val="18"/>
              </w:rPr>
            </w:pPr>
            <w:r w:rsidRPr="006A2BF3">
              <w:rPr>
                <w:rFonts w:ascii="Arial" w:hAnsi="Arial" w:cs="Arial"/>
                <w:b/>
                <w:bCs/>
                <w:sz w:val="18"/>
                <w:szCs w:val="18"/>
              </w:rPr>
              <w:t>Typ výzvy</w:t>
            </w:r>
          </w:p>
        </w:tc>
        <w:tc>
          <w:tcPr>
            <w:tcW w:w="827" w:type="pct"/>
            <w:shd w:val="clear" w:color="auto" w:fill="D6E3BC"/>
            <w:vAlign w:val="center"/>
          </w:tcPr>
          <w:p w:rsidR="002416B1" w:rsidRPr="006A2BF3" w:rsidRDefault="002416B1" w:rsidP="0076276F">
            <w:pPr>
              <w:jc w:val="center"/>
              <w:rPr>
                <w:rFonts w:ascii="Arial" w:hAnsi="Arial" w:cs="Arial"/>
                <w:b/>
                <w:bCs/>
                <w:sz w:val="18"/>
                <w:szCs w:val="18"/>
              </w:rPr>
            </w:pPr>
            <w:r w:rsidRPr="006A2BF3">
              <w:rPr>
                <w:rFonts w:ascii="Arial" w:hAnsi="Arial" w:cs="Arial"/>
                <w:b/>
                <w:bCs/>
                <w:sz w:val="18"/>
                <w:szCs w:val="18"/>
              </w:rPr>
              <w:t>Dátum vyhlásenia výzvy</w:t>
            </w:r>
          </w:p>
        </w:tc>
        <w:tc>
          <w:tcPr>
            <w:tcW w:w="992" w:type="pct"/>
            <w:shd w:val="clear" w:color="auto" w:fill="D6E3BC"/>
            <w:vAlign w:val="center"/>
          </w:tcPr>
          <w:p w:rsidR="002416B1" w:rsidRPr="006A2BF3" w:rsidRDefault="002416B1" w:rsidP="0076276F">
            <w:pPr>
              <w:jc w:val="center"/>
              <w:rPr>
                <w:rFonts w:ascii="Arial" w:hAnsi="Arial" w:cs="Arial"/>
                <w:b/>
                <w:bCs/>
                <w:sz w:val="18"/>
                <w:szCs w:val="18"/>
              </w:rPr>
            </w:pPr>
            <w:r w:rsidRPr="006A2BF3">
              <w:rPr>
                <w:rFonts w:ascii="Arial" w:hAnsi="Arial" w:cs="Arial"/>
                <w:b/>
                <w:bCs/>
                <w:sz w:val="18"/>
                <w:szCs w:val="18"/>
              </w:rPr>
              <w:t xml:space="preserve">Dátum uzávierky prijímania žiadostí </w:t>
            </w:r>
            <w:r>
              <w:rPr>
                <w:rFonts w:ascii="Arial" w:hAnsi="Arial" w:cs="Arial"/>
                <w:b/>
                <w:bCs/>
                <w:sz w:val="18"/>
                <w:szCs w:val="18"/>
              </w:rPr>
              <w:t xml:space="preserve">o </w:t>
            </w:r>
            <w:r w:rsidRPr="006A2BF3">
              <w:rPr>
                <w:rFonts w:ascii="Arial" w:hAnsi="Arial" w:cs="Arial"/>
                <w:b/>
                <w:bCs/>
                <w:sz w:val="18"/>
                <w:szCs w:val="18"/>
              </w:rPr>
              <w:t>NFP</w:t>
            </w:r>
          </w:p>
        </w:tc>
        <w:tc>
          <w:tcPr>
            <w:tcW w:w="1075" w:type="pct"/>
            <w:shd w:val="clear" w:color="auto" w:fill="D6E3BC"/>
            <w:vAlign w:val="center"/>
          </w:tcPr>
          <w:p w:rsidR="002416B1" w:rsidRPr="006A2BF3" w:rsidRDefault="002416B1" w:rsidP="0076276F">
            <w:pPr>
              <w:jc w:val="center"/>
              <w:rPr>
                <w:rFonts w:ascii="Arial" w:hAnsi="Arial" w:cs="Arial"/>
                <w:b/>
                <w:bCs/>
                <w:sz w:val="18"/>
                <w:szCs w:val="18"/>
              </w:rPr>
            </w:pPr>
            <w:r w:rsidRPr="00D908CF">
              <w:rPr>
                <w:rFonts w:ascii="Arial" w:hAnsi="Arial" w:cs="Arial"/>
                <w:b/>
                <w:bCs/>
                <w:sz w:val="18"/>
                <w:szCs w:val="18"/>
              </w:rPr>
              <w:t>Alokácia FP na výzvu (NFP) v €</w:t>
            </w:r>
          </w:p>
        </w:tc>
      </w:tr>
      <w:tr w:rsidR="00070AE3" w:rsidRPr="006A2BF3" w:rsidTr="00070AE3">
        <w:trPr>
          <w:trHeight w:val="600"/>
        </w:trPr>
        <w:tc>
          <w:tcPr>
            <w:tcW w:w="1040" w:type="pct"/>
            <w:noWrap/>
            <w:vAlign w:val="center"/>
          </w:tcPr>
          <w:p w:rsidR="00070AE3" w:rsidRDefault="002416B1" w:rsidP="0076276F">
            <w:pPr>
              <w:jc w:val="center"/>
              <w:rPr>
                <w:rFonts w:ascii="Arial" w:hAnsi="Arial" w:cs="Arial"/>
                <w:sz w:val="18"/>
                <w:szCs w:val="18"/>
              </w:rPr>
            </w:pPr>
            <w:r w:rsidRPr="006A2BF3">
              <w:rPr>
                <w:rFonts w:ascii="Arial" w:hAnsi="Arial" w:cs="Arial"/>
                <w:sz w:val="18"/>
                <w:szCs w:val="18"/>
              </w:rPr>
              <w:t>1</w:t>
            </w:r>
            <w:r w:rsidR="00070AE3">
              <w:rPr>
                <w:rFonts w:ascii="Arial" w:hAnsi="Arial" w:cs="Arial"/>
                <w:sz w:val="18"/>
                <w:szCs w:val="18"/>
              </w:rPr>
              <w:t xml:space="preserve">.3 </w:t>
            </w:r>
          </w:p>
          <w:p w:rsidR="002416B1" w:rsidRPr="006A2BF3" w:rsidRDefault="00070AE3" w:rsidP="0076276F">
            <w:pPr>
              <w:jc w:val="center"/>
              <w:rPr>
                <w:rFonts w:ascii="Arial" w:hAnsi="Arial" w:cs="Arial"/>
                <w:sz w:val="18"/>
                <w:szCs w:val="18"/>
              </w:rPr>
            </w:pPr>
            <w:r>
              <w:rPr>
                <w:rFonts w:ascii="Arial" w:hAnsi="Arial" w:cs="Arial"/>
                <w:sz w:val="18"/>
                <w:szCs w:val="18"/>
              </w:rPr>
              <w:t>(monitoring vôd)</w:t>
            </w:r>
          </w:p>
        </w:tc>
        <w:tc>
          <w:tcPr>
            <w:tcW w:w="1066" w:type="pct"/>
            <w:vAlign w:val="center"/>
          </w:tcPr>
          <w:p w:rsidR="002416B1" w:rsidRDefault="00070AE3" w:rsidP="0076276F">
            <w:pPr>
              <w:jc w:val="center"/>
              <w:rPr>
                <w:rFonts w:ascii="Arial" w:hAnsi="Arial" w:cs="Arial"/>
                <w:sz w:val="18"/>
                <w:szCs w:val="18"/>
              </w:rPr>
            </w:pPr>
            <w:r>
              <w:rPr>
                <w:rFonts w:ascii="Arial" w:hAnsi="Arial" w:cs="Arial"/>
                <w:sz w:val="18"/>
                <w:szCs w:val="18"/>
              </w:rPr>
              <w:t>OP ŽP-PO1-12-1</w:t>
            </w:r>
          </w:p>
          <w:p w:rsidR="00070AE3" w:rsidRPr="006A2BF3" w:rsidRDefault="00070AE3" w:rsidP="0076276F">
            <w:pPr>
              <w:jc w:val="center"/>
              <w:rPr>
                <w:rFonts w:ascii="Arial" w:hAnsi="Arial" w:cs="Arial"/>
                <w:sz w:val="18"/>
                <w:szCs w:val="18"/>
              </w:rPr>
            </w:pPr>
            <w:r>
              <w:rPr>
                <w:rFonts w:ascii="Arial" w:hAnsi="Arial" w:cs="Arial"/>
                <w:sz w:val="18"/>
                <w:szCs w:val="18"/>
              </w:rPr>
              <w:t>časovo ohraničená</w:t>
            </w:r>
          </w:p>
        </w:tc>
        <w:tc>
          <w:tcPr>
            <w:tcW w:w="827" w:type="pct"/>
            <w:noWrap/>
            <w:vAlign w:val="center"/>
          </w:tcPr>
          <w:p w:rsidR="002416B1" w:rsidRPr="006A2BF3" w:rsidRDefault="00070AE3" w:rsidP="0076276F">
            <w:pPr>
              <w:jc w:val="center"/>
              <w:rPr>
                <w:rFonts w:ascii="Arial" w:hAnsi="Arial" w:cs="Arial"/>
                <w:sz w:val="18"/>
                <w:szCs w:val="18"/>
              </w:rPr>
            </w:pPr>
            <w:r>
              <w:rPr>
                <w:rFonts w:ascii="Arial" w:hAnsi="Arial" w:cs="Arial"/>
                <w:sz w:val="18"/>
                <w:szCs w:val="18"/>
              </w:rPr>
              <w:t>14.02.2012</w:t>
            </w:r>
          </w:p>
        </w:tc>
        <w:tc>
          <w:tcPr>
            <w:tcW w:w="992" w:type="pct"/>
            <w:noWrap/>
            <w:vAlign w:val="center"/>
          </w:tcPr>
          <w:p w:rsidR="002416B1" w:rsidRPr="006A2BF3" w:rsidRDefault="00070AE3" w:rsidP="0076276F">
            <w:pPr>
              <w:jc w:val="center"/>
              <w:rPr>
                <w:rFonts w:ascii="Arial" w:hAnsi="Arial" w:cs="Arial"/>
                <w:sz w:val="18"/>
                <w:szCs w:val="18"/>
              </w:rPr>
            </w:pPr>
            <w:r>
              <w:rPr>
                <w:rFonts w:ascii="Arial" w:hAnsi="Arial" w:cs="Arial"/>
                <w:sz w:val="18"/>
                <w:szCs w:val="18"/>
              </w:rPr>
              <w:t>16.07.2012</w:t>
            </w:r>
          </w:p>
        </w:tc>
        <w:tc>
          <w:tcPr>
            <w:tcW w:w="1075" w:type="pct"/>
            <w:noWrap/>
            <w:vAlign w:val="center"/>
          </w:tcPr>
          <w:p w:rsidR="002416B1" w:rsidRPr="006A2BF3" w:rsidRDefault="00070AE3" w:rsidP="0076276F">
            <w:pPr>
              <w:jc w:val="center"/>
              <w:rPr>
                <w:rFonts w:ascii="Arial" w:hAnsi="Arial" w:cs="Arial"/>
                <w:sz w:val="18"/>
                <w:szCs w:val="18"/>
              </w:rPr>
            </w:pPr>
            <w:r>
              <w:rPr>
                <w:rFonts w:ascii="Arial" w:hAnsi="Arial" w:cs="Arial"/>
                <w:sz w:val="18"/>
                <w:szCs w:val="18"/>
              </w:rPr>
              <w:t>13 370 000</w:t>
            </w:r>
          </w:p>
        </w:tc>
      </w:tr>
      <w:tr w:rsidR="00070AE3" w:rsidRPr="006A2BF3" w:rsidTr="00070AE3">
        <w:trPr>
          <w:trHeight w:val="316"/>
        </w:trPr>
        <w:tc>
          <w:tcPr>
            <w:tcW w:w="1040" w:type="pct"/>
            <w:vAlign w:val="center"/>
          </w:tcPr>
          <w:p w:rsidR="002416B1" w:rsidRPr="006A2BF3" w:rsidRDefault="002416B1" w:rsidP="0076276F">
            <w:pPr>
              <w:rPr>
                <w:rFonts w:ascii="Arial" w:hAnsi="Arial" w:cs="Arial"/>
                <w:b/>
                <w:bCs/>
                <w:sz w:val="18"/>
                <w:szCs w:val="18"/>
              </w:rPr>
            </w:pPr>
            <w:r w:rsidRPr="006A2BF3">
              <w:rPr>
                <w:rFonts w:ascii="Arial" w:hAnsi="Arial" w:cs="Arial"/>
                <w:b/>
                <w:bCs/>
                <w:sz w:val="18"/>
                <w:szCs w:val="18"/>
              </w:rPr>
              <w:t>Celkom</w:t>
            </w:r>
          </w:p>
        </w:tc>
        <w:tc>
          <w:tcPr>
            <w:tcW w:w="1066" w:type="pct"/>
            <w:vAlign w:val="center"/>
          </w:tcPr>
          <w:p w:rsidR="002416B1" w:rsidRPr="006A2BF3" w:rsidRDefault="002416B1" w:rsidP="0076276F">
            <w:pPr>
              <w:jc w:val="center"/>
              <w:rPr>
                <w:rFonts w:ascii="Arial" w:hAnsi="Arial" w:cs="Arial"/>
                <w:b/>
                <w:bCs/>
                <w:sz w:val="18"/>
                <w:szCs w:val="18"/>
              </w:rPr>
            </w:pPr>
          </w:p>
        </w:tc>
        <w:tc>
          <w:tcPr>
            <w:tcW w:w="827" w:type="pct"/>
            <w:vAlign w:val="center"/>
          </w:tcPr>
          <w:p w:rsidR="002416B1" w:rsidRPr="006A2BF3" w:rsidRDefault="002416B1" w:rsidP="0076276F">
            <w:pPr>
              <w:jc w:val="center"/>
              <w:rPr>
                <w:rFonts w:ascii="Arial" w:hAnsi="Arial" w:cs="Arial"/>
                <w:b/>
                <w:bCs/>
                <w:sz w:val="18"/>
                <w:szCs w:val="18"/>
              </w:rPr>
            </w:pPr>
          </w:p>
        </w:tc>
        <w:tc>
          <w:tcPr>
            <w:tcW w:w="992" w:type="pct"/>
            <w:vAlign w:val="center"/>
          </w:tcPr>
          <w:p w:rsidR="002416B1" w:rsidRPr="006A2BF3" w:rsidRDefault="002416B1" w:rsidP="0076276F">
            <w:pPr>
              <w:jc w:val="center"/>
              <w:rPr>
                <w:rFonts w:ascii="Arial" w:hAnsi="Arial" w:cs="Arial"/>
                <w:b/>
                <w:bCs/>
                <w:sz w:val="18"/>
                <w:szCs w:val="18"/>
              </w:rPr>
            </w:pPr>
          </w:p>
        </w:tc>
        <w:tc>
          <w:tcPr>
            <w:tcW w:w="1075" w:type="pct"/>
            <w:noWrap/>
            <w:vAlign w:val="center"/>
          </w:tcPr>
          <w:p w:rsidR="002416B1" w:rsidRPr="006A2BF3" w:rsidRDefault="002416B1" w:rsidP="0076276F">
            <w:pPr>
              <w:jc w:val="center"/>
              <w:rPr>
                <w:rFonts w:ascii="Arial" w:hAnsi="Arial" w:cs="Arial"/>
                <w:b/>
                <w:bCs/>
                <w:sz w:val="18"/>
                <w:szCs w:val="18"/>
              </w:rPr>
            </w:pPr>
            <w:r w:rsidRPr="006A2BF3">
              <w:rPr>
                <w:rFonts w:ascii="Arial" w:hAnsi="Arial" w:cs="Arial"/>
                <w:b/>
                <w:bCs/>
                <w:sz w:val="18"/>
                <w:szCs w:val="18"/>
              </w:rPr>
              <w:t>0</w:t>
            </w:r>
          </w:p>
        </w:tc>
      </w:tr>
    </w:tbl>
    <w:p w:rsidR="002416B1" w:rsidRPr="006A2BF3" w:rsidRDefault="00000CC9" w:rsidP="0076276F">
      <w:pPr>
        <w:pStyle w:val="Zkladntextb"/>
        <w:spacing w:after="0" w:line="360" w:lineRule="auto"/>
        <w:ind w:left="0"/>
        <w:rPr>
          <w:highlight w:val="yellow"/>
          <w:lang w:val="sk-SK"/>
        </w:rPr>
      </w:pPr>
      <w:r>
        <w:rPr>
          <w:rFonts w:cs="Arial"/>
          <w:sz w:val="18"/>
          <w:szCs w:val="18"/>
          <w:lang w:val="sk-SK"/>
        </w:rPr>
        <w:t>Zdroj: RO, ITMS</w:t>
      </w:r>
    </w:p>
    <w:p w:rsidR="002416B1" w:rsidRPr="004B33AE" w:rsidDel="0007258C" w:rsidRDefault="00E54823" w:rsidP="00507035">
      <w:pPr>
        <w:spacing w:before="120" w:after="120" w:line="360" w:lineRule="auto"/>
        <w:jc w:val="both"/>
        <w:rPr>
          <w:rFonts w:ascii="Arial" w:hAnsi="Arial" w:cs="Arial"/>
          <w:sz w:val="20"/>
          <w:szCs w:val="20"/>
        </w:rPr>
      </w:pPr>
      <w:r>
        <w:rPr>
          <w:rFonts w:ascii="Arial" w:hAnsi="Arial" w:cs="Arial"/>
          <w:sz w:val="20"/>
          <w:szCs w:val="20"/>
        </w:rPr>
        <w:t>P</w:t>
      </w:r>
      <w:r w:rsidR="002416B1">
        <w:rPr>
          <w:rFonts w:ascii="Arial" w:hAnsi="Arial" w:cs="Arial"/>
          <w:sz w:val="20"/>
          <w:szCs w:val="20"/>
        </w:rPr>
        <w:t>odrobnejš</w:t>
      </w:r>
      <w:r>
        <w:rPr>
          <w:rFonts w:ascii="Arial" w:hAnsi="Arial" w:cs="Arial"/>
          <w:sz w:val="20"/>
          <w:szCs w:val="20"/>
        </w:rPr>
        <w:t>ie</w:t>
      </w:r>
      <w:r w:rsidR="002416B1">
        <w:rPr>
          <w:rFonts w:ascii="Arial" w:hAnsi="Arial" w:cs="Arial"/>
          <w:sz w:val="20"/>
          <w:szCs w:val="20"/>
        </w:rPr>
        <w:t xml:space="preserve"> </w:t>
      </w:r>
      <w:r>
        <w:rPr>
          <w:rFonts w:ascii="Arial" w:hAnsi="Arial" w:cs="Arial"/>
          <w:sz w:val="20"/>
          <w:szCs w:val="20"/>
        </w:rPr>
        <w:t>informácie o</w:t>
      </w:r>
      <w:r w:rsidR="002416B1">
        <w:rPr>
          <w:rFonts w:ascii="Arial" w:hAnsi="Arial" w:cs="Arial"/>
          <w:sz w:val="20"/>
          <w:szCs w:val="20"/>
        </w:rPr>
        <w:t xml:space="preserve"> </w:t>
      </w:r>
      <w:r w:rsidRPr="00ED7FF9">
        <w:rPr>
          <w:rFonts w:ascii="Arial" w:hAnsi="Arial" w:cs="Arial"/>
          <w:sz w:val="20"/>
          <w:szCs w:val="20"/>
        </w:rPr>
        <w:t>výz</w:t>
      </w:r>
      <w:r>
        <w:rPr>
          <w:rFonts w:ascii="Arial" w:hAnsi="Arial" w:cs="Arial"/>
          <w:sz w:val="20"/>
          <w:szCs w:val="20"/>
        </w:rPr>
        <w:t>vach</w:t>
      </w:r>
      <w:r w:rsidRPr="00ED7FF9">
        <w:rPr>
          <w:rFonts w:ascii="Arial" w:hAnsi="Arial" w:cs="Arial"/>
          <w:sz w:val="20"/>
          <w:szCs w:val="20"/>
        </w:rPr>
        <w:t xml:space="preserve"> vyhlásených</w:t>
      </w:r>
      <w:r>
        <w:rPr>
          <w:rFonts w:ascii="Arial" w:hAnsi="Arial" w:cs="Arial"/>
          <w:sz w:val="20"/>
          <w:szCs w:val="20"/>
        </w:rPr>
        <w:t xml:space="preserve"> </w:t>
      </w:r>
      <w:r w:rsidR="002416B1" w:rsidRPr="00ED7FF9">
        <w:rPr>
          <w:rFonts w:ascii="Arial" w:hAnsi="Arial" w:cs="Arial"/>
          <w:sz w:val="20"/>
          <w:szCs w:val="20"/>
        </w:rPr>
        <w:t>k 31.12.201</w:t>
      </w:r>
      <w:r w:rsidR="00070AE3">
        <w:rPr>
          <w:rFonts w:ascii="Arial" w:hAnsi="Arial" w:cs="Arial"/>
          <w:sz w:val="20"/>
          <w:szCs w:val="20"/>
        </w:rPr>
        <w:t>2</w:t>
      </w:r>
      <w:r w:rsidR="002416B1" w:rsidRPr="00ED7FF9">
        <w:rPr>
          <w:rFonts w:ascii="Arial" w:hAnsi="Arial" w:cs="Arial"/>
          <w:sz w:val="20"/>
          <w:szCs w:val="20"/>
        </w:rPr>
        <w:t xml:space="preserve"> spolu s prehľadom </w:t>
      </w:r>
      <w:r>
        <w:rPr>
          <w:rFonts w:ascii="Arial" w:hAnsi="Arial" w:cs="Arial"/>
          <w:sz w:val="20"/>
          <w:szCs w:val="20"/>
        </w:rPr>
        <w:t xml:space="preserve">údajov </w:t>
      </w:r>
      <w:r w:rsidR="002416B1" w:rsidRPr="00ED7FF9">
        <w:rPr>
          <w:rFonts w:ascii="Arial" w:hAnsi="Arial" w:cs="Arial"/>
          <w:sz w:val="20"/>
          <w:szCs w:val="20"/>
        </w:rPr>
        <w:t xml:space="preserve">o projektoch </w:t>
      </w:r>
      <w:r>
        <w:rPr>
          <w:rFonts w:ascii="Arial" w:hAnsi="Arial" w:cs="Arial"/>
          <w:sz w:val="20"/>
          <w:szCs w:val="20"/>
        </w:rPr>
        <w:t>sú uvedené v</w:t>
      </w:r>
      <w:r w:rsidRPr="00ED7FF9">
        <w:rPr>
          <w:rFonts w:ascii="Arial" w:hAnsi="Arial" w:cs="Arial"/>
          <w:sz w:val="20"/>
          <w:szCs w:val="20"/>
        </w:rPr>
        <w:t xml:space="preserve"> Príloh</w:t>
      </w:r>
      <w:r>
        <w:rPr>
          <w:rFonts w:ascii="Arial" w:hAnsi="Arial" w:cs="Arial"/>
          <w:sz w:val="20"/>
          <w:szCs w:val="20"/>
        </w:rPr>
        <w:t>e</w:t>
      </w:r>
      <w:r w:rsidRPr="00ED7FF9">
        <w:rPr>
          <w:rFonts w:ascii="Arial" w:hAnsi="Arial" w:cs="Arial"/>
          <w:sz w:val="20"/>
          <w:szCs w:val="20"/>
        </w:rPr>
        <w:t xml:space="preserve"> </w:t>
      </w:r>
      <w:r w:rsidR="002416B1" w:rsidRPr="00ED7FF9">
        <w:rPr>
          <w:rFonts w:ascii="Arial" w:hAnsi="Arial" w:cs="Arial"/>
          <w:sz w:val="20"/>
          <w:szCs w:val="20"/>
        </w:rPr>
        <w:t>č. 1.</w:t>
      </w:r>
    </w:p>
    <w:p w:rsidR="0097444A" w:rsidRDefault="002416B1" w:rsidP="00507035">
      <w:pPr>
        <w:spacing w:before="120" w:after="120" w:line="360" w:lineRule="auto"/>
        <w:jc w:val="both"/>
        <w:rPr>
          <w:rFonts w:ascii="Arial" w:hAnsi="Arial" w:cs="Arial"/>
          <w:bCs/>
          <w:sz w:val="20"/>
          <w:szCs w:val="20"/>
        </w:rPr>
      </w:pPr>
      <w:r w:rsidRPr="004B33AE">
        <w:rPr>
          <w:rFonts w:ascii="Arial" w:hAnsi="Arial" w:cs="Arial"/>
          <w:sz w:val="20"/>
          <w:szCs w:val="20"/>
        </w:rPr>
        <w:t>K 31.12.201</w:t>
      </w:r>
      <w:r w:rsidR="00740256">
        <w:rPr>
          <w:rFonts w:ascii="Arial" w:hAnsi="Arial" w:cs="Arial"/>
          <w:sz w:val="20"/>
          <w:szCs w:val="20"/>
        </w:rPr>
        <w:t>2</w:t>
      </w:r>
      <w:r w:rsidRPr="004B33AE">
        <w:rPr>
          <w:rFonts w:ascii="Arial" w:hAnsi="Arial" w:cs="Arial"/>
          <w:sz w:val="20"/>
          <w:szCs w:val="20"/>
        </w:rPr>
        <w:t xml:space="preserve"> bolo v rámci prioritnej osi 1 prijatých celkovo </w:t>
      </w:r>
      <w:r w:rsidR="00740256">
        <w:rPr>
          <w:rFonts w:ascii="Arial" w:hAnsi="Arial" w:cs="Arial"/>
          <w:sz w:val="20"/>
          <w:szCs w:val="20"/>
        </w:rPr>
        <w:t>408</w:t>
      </w:r>
      <w:r w:rsidR="00740256" w:rsidRPr="004B33AE">
        <w:rPr>
          <w:rFonts w:ascii="Arial" w:hAnsi="Arial" w:cs="Arial"/>
          <w:sz w:val="20"/>
          <w:szCs w:val="20"/>
        </w:rPr>
        <w:t xml:space="preserve"> </w:t>
      </w:r>
      <w:r w:rsidRPr="004B33AE">
        <w:rPr>
          <w:rFonts w:ascii="Arial" w:hAnsi="Arial" w:cs="Arial"/>
          <w:sz w:val="20"/>
          <w:szCs w:val="20"/>
        </w:rPr>
        <w:t xml:space="preserve">žiadostí o NFP v objeme požadovaného príspevku </w:t>
      </w:r>
      <w:r w:rsidR="00740256" w:rsidRPr="0039268C">
        <w:rPr>
          <w:rFonts w:ascii="Arial" w:hAnsi="Arial" w:cs="Arial"/>
          <w:bCs/>
          <w:sz w:val="20"/>
          <w:szCs w:val="20"/>
        </w:rPr>
        <w:t>2 509 427 274</w:t>
      </w:r>
      <w:r w:rsidRPr="00ED7FF9">
        <w:rPr>
          <w:rFonts w:ascii="Arial" w:hAnsi="Arial" w:cs="Arial"/>
          <w:bCs/>
          <w:sz w:val="20"/>
          <w:szCs w:val="20"/>
        </w:rPr>
        <w:t xml:space="preserve"> EUR, z čoho bolo ku koncu </w:t>
      </w:r>
      <w:r w:rsidRPr="004B33AE">
        <w:rPr>
          <w:rFonts w:ascii="Arial" w:hAnsi="Arial" w:cs="Arial"/>
          <w:bCs/>
          <w:sz w:val="20"/>
          <w:szCs w:val="20"/>
        </w:rPr>
        <w:t>roka 201</w:t>
      </w:r>
      <w:r w:rsidR="00740256">
        <w:rPr>
          <w:rFonts w:ascii="Arial" w:hAnsi="Arial" w:cs="Arial"/>
          <w:bCs/>
          <w:sz w:val="20"/>
          <w:szCs w:val="20"/>
        </w:rPr>
        <w:t>2</w:t>
      </w:r>
      <w:r w:rsidRPr="004B33AE">
        <w:rPr>
          <w:rFonts w:ascii="Arial" w:hAnsi="Arial" w:cs="Arial"/>
          <w:bCs/>
          <w:sz w:val="20"/>
          <w:szCs w:val="20"/>
        </w:rPr>
        <w:t xml:space="preserve"> schválených </w:t>
      </w:r>
      <w:r w:rsidR="00740256" w:rsidRPr="004B33AE">
        <w:rPr>
          <w:rFonts w:ascii="Arial" w:hAnsi="Arial" w:cs="Arial"/>
          <w:bCs/>
          <w:sz w:val="20"/>
          <w:szCs w:val="20"/>
        </w:rPr>
        <w:t>1</w:t>
      </w:r>
      <w:r w:rsidR="00740256">
        <w:rPr>
          <w:rFonts w:ascii="Arial" w:hAnsi="Arial" w:cs="Arial"/>
          <w:bCs/>
          <w:sz w:val="20"/>
          <w:szCs w:val="20"/>
        </w:rPr>
        <w:t>61</w:t>
      </w:r>
      <w:r w:rsidR="00740256" w:rsidRPr="004B33AE">
        <w:rPr>
          <w:rFonts w:ascii="Arial" w:hAnsi="Arial" w:cs="Arial"/>
          <w:bCs/>
          <w:sz w:val="20"/>
          <w:szCs w:val="20"/>
        </w:rPr>
        <w:t xml:space="preserve"> </w:t>
      </w:r>
      <w:r w:rsidRPr="004B33AE">
        <w:rPr>
          <w:rFonts w:ascii="Arial" w:hAnsi="Arial" w:cs="Arial"/>
          <w:bCs/>
          <w:sz w:val="20"/>
          <w:szCs w:val="20"/>
        </w:rPr>
        <w:t xml:space="preserve">žiadostí vo výške schváleného NFP </w:t>
      </w:r>
      <w:r w:rsidR="00740256" w:rsidRPr="0039268C">
        <w:rPr>
          <w:rFonts w:ascii="Arial" w:hAnsi="Arial" w:cs="Arial"/>
          <w:bCs/>
          <w:sz w:val="20"/>
          <w:szCs w:val="20"/>
        </w:rPr>
        <w:t>1 036 759 111</w:t>
      </w:r>
      <w:r w:rsidRPr="00ED7FF9">
        <w:rPr>
          <w:rFonts w:ascii="Arial" w:hAnsi="Arial" w:cs="Arial"/>
          <w:bCs/>
          <w:sz w:val="20"/>
          <w:szCs w:val="20"/>
        </w:rPr>
        <w:t xml:space="preserve"> EUR. Z uvedeného počtu </w:t>
      </w:r>
      <w:r w:rsidR="004A778B">
        <w:rPr>
          <w:rFonts w:ascii="Arial" w:hAnsi="Arial" w:cs="Arial"/>
          <w:bCs/>
          <w:sz w:val="20"/>
          <w:szCs w:val="20"/>
        </w:rPr>
        <w:t>je 148</w:t>
      </w:r>
      <w:r w:rsidRPr="00ED7FF9">
        <w:rPr>
          <w:rFonts w:ascii="Arial" w:hAnsi="Arial" w:cs="Arial"/>
          <w:bCs/>
          <w:sz w:val="20"/>
          <w:szCs w:val="20"/>
        </w:rPr>
        <w:t xml:space="preserve"> </w:t>
      </w:r>
      <w:r w:rsidR="004A778B" w:rsidRPr="00ED7FF9">
        <w:rPr>
          <w:rFonts w:ascii="Arial" w:hAnsi="Arial" w:cs="Arial"/>
          <w:bCs/>
          <w:sz w:val="20"/>
          <w:szCs w:val="20"/>
        </w:rPr>
        <w:t>projekt</w:t>
      </w:r>
      <w:r w:rsidR="004A778B">
        <w:rPr>
          <w:rFonts w:ascii="Arial" w:hAnsi="Arial" w:cs="Arial"/>
          <w:bCs/>
          <w:sz w:val="20"/>
          <w:szCs w:val="20"/>
        </w:rPr>
        <w:t>ov</w:t>
      </w:r>
      <w:r w:rsidR="004A778B" w:rsidRPr="00ED7FF9">
        <w:rPr>
          <w:rFonts w:ascii="Arial" w:hAnsi="Arial" w:cs="Arial"/>
          <w:bCs/>
          <w:sz w:val="20"/>
          <w:szCs w:val="20"/>
        </w:rPr>
        <w:t xml:space="preserve"> zazmluvnen</w:t>
      </w:r>
      <w:r w:rsidR="004A778B">
        <w:rPr>
          <w:rFonts w:ascii="Arial" w:hAnsi="Arial" w:cs="Arial"/>
          <w:bCs/>
          <w:sz w:val="20"/>
          <w:szCs w:val="20"/>
        </w:rPr>
        <w:t>ých</w:t>
      </w:r>
      <w:r w:rsidR="004A778B" w:rsidRPr="00ED7FF9">
        <w:rPr>
          <w:rFonts w:ascii="Arial" w:hAnsi="Arial" w:cs="Arial"/>
          <w:bCs/>
          <w:sz w:val="20"/>
          <w:szCs w:val="20"/>
        </w:rPr>
        <w:t xml:space="preserve"> </w:t>
      </w:r>
      <w:r w:rsidRPr="00ED7FF9">
        <w:rPr>
          <w:rFonts w:ascii="Arial" w:hAnsi="Arial" w:cs="Arial"/>
          <w:bCs/>
          <w:sz w:val="20"/>
          <w:szCs w:val="20"/>
        </w:rPr>
        <w:t xml:space="preserve">v objeme </w:t>
      </w:r>
      <w:r w:rsidR="004A778B" w:rsidRPr="0039268C">
        <w:rPr>
          <w:rFonts w:ascii="Arial" w:hAnsi="Arial" w:cs="Arial"/>
          <w:bCs/>
          <w:sz w:val="20"/>
          <w:szCs w:val="20"/>
        </w:rPr>
        <w:t>878 717 906</w:t>
      </w:r>
      <w:r w:rsidRPr="0043141C">
        <w:rPr>
          <w:rFonts w:ascii="Arial" w:hAnsi="Arial" w:cs="Arial"/>
          <w:bCs/>
          <w:sz w:val="20"/>
          <w:szCs w:val="20"/>
        </w:rPr>
        <w:t xml:space="preserve"> EUR</w:t>
      </w:r>
      <w:r>
        <w:rPr>
          <w:rFonts w:ascii="Arial" w:hAnsi="Arial" w:cs="Arial"/>
          <w:bCs/>
          <w:sz w:val="20"/>
          <w:szCs w:val="20"/>
        </w:rPr>
        <w:t>,</w:t>
      </w:r>
      <w:r w:rsidRPr="0043141C">
        <w:rPr>
          <w:rFonts w:ascii="Arial" w:hAnsi="Arial" w:cs="Arial"/>
          <w:bCs/>
          <w:sz w:val="20"/>
          <w:szCs w:val="20"/>
        </w:rPr>
        <w:t xml:space="preserve"> </w:t>
      </w:r>
      <w:r w:rsidR="0021441D">
        <w:rPr>
          <w:rFonts w:ascii="Arial" w:hAnsi="Arial" w:cs="Arial"/>
          <w:bCs/>
          <w:sz w:val="20"/>
          <w:szCs w:val="20"/>
        </w:rPr>
        <w:t>25</w:t>
      </w:r>
      <w:r w:rsidR="0021441D" w:rsidRPr="004B33AE">
        <w:rPr>
          <w:rFonts w:ascii="Arial" w:hAnsi="Arial" w:cs="Arial"/>
          <w:bCs/>
          <w:sz w:val="20"/>
          <w:szCs w:val="20"/>
        </w:rPr>
        <w:t xml:space="preserve"> </w:t>
      </w:r>
      <w:r w:rsidRPr="004B33AE">
        <w:rPr>
          <w:rFonts w:ascii="Arial" w:hAnsi="Arial" w:cs="Arial"/>
          <w:bCs/>
          <w:sz w:val="20"/>
          <w:szCs w:val="20"/>
        </w:rPr>
        <w:t>projekt</w:t>
      </w:r>
      <w:r>
        <w:rPr>
          <w:rFonts w:ascii="Arial" w:hAnsi="Arial" w:cs="Arial"/>
          <w:bCs/>
          <w:sz w:val="20"/>
          <w:szCs w:val="20"/>
        </w:rPr>
        <w:t>ov</w:t>
      </w:r>
      <w:r w:rsidRPr="004B33AE">
        <w:rPr>
          <w:rFonts w:ascii="Arial" w:hAnsi="Arial" w:cs="Arial"/>
          <w:bCs/>
          <w:sz w:val="20"/>
          <w:szCs w:val="20"/>
        </w:rPr>
        <w:t xml:space="preserve"> </w:t>
      </w:r>
      <w:r>
        <w:rPr>
          <w:rFonts w:ascii="Arial" w:hAnsi="Arial" w:cs="Arial"/>
          <w:bCs/>
          <w:sz w:val="20"/>
          <w:szCs w:val="20"/>
        </w:rPr>
        <w:t>je</w:t>
      </w:r>
      <w:r w:rsidRPr="004B33AE">
        <w:rPr>
          <w:rFonts w:ascii="Arial" w:hAnsi="Arial" w:cs="Arial"/>
          <w:bCs/>
          <w:sz w:val="20"/>
          <w:szCs w:val="20"/>
        </w:rPr>
        <w:t xml:space="preserve"> </w:t>
      </w:r>
      <w:r w:rsidR="0095557D">
        <w:rPr>
          <w:rFonts w:ascii="Arial" w:hAnsi="Arial" w:cs="Arial"/>
          <w:bCs/>
          <w:sz w:val="20"/>
          <w:szCs w:val="20"/>
        </w:rPr>
        <w:t xml:space="preserve">riadne </w:t>
      </w:r>
      <w:r>
        <w:rPr>
          <w:rFonts w:ascii="Arial" w:hAnsi="Arial" w:cs="Arial"/>
          <w:bCs/>
          <w:sz w:val="20"/>
          <w:szCs w:val="20"/>
        </w:rPr>
        <w:t>ukončených</w:t>
      </w:r>
      <w:r w:rsidRPr="004B33AE">
        <w:rPr>
          <w:rFonts w:ascii="Arial" w:hAnsi="Arial" w:cs="Arial"/>
          <w:bCs/>
          <w:sz w:val="20"/>
          <w:szCs w:val="20"/>
        </w:rPr>
        <w:t xml:space="preserve"> vo výške čerpaných prostriedkov </w:t>
      </w:r>
      <w:r w:rsidR="0021441D" w:rsidRPr="0039268C">
        <w:rPr>
          <w:rFonts w:ascii="Arial" w:hAnsi="Arial" w:cs="Arial"/>
          <w:bCs/>
          <w:sz w:val="20"/>
          <w:szCs w:val="20"/>
        </w:rPr>
        <w:t>48 129 365</w:t>
      </w:r>
      <w:r w:rsidR="0095557D" w:rsidRPr="007D1BD2">
        <w:rPr>
          <w:rFonts w:ascii="Arial" w:hAnsi="Arial" w:cs="Arial"/>
          <w:bCs/>
          <w:sz w:val="20"/>
          <w:szCs w:val="20"/>
        </w:rPr>
        <w:t xml:space="preserve"> </w:t>
      </w:r>
      <w:r w:rsidRPr="007D1BD2">
        <w:rPr>
          <w:rFonts w:ascii="Arial" w:hAnsi="Arial" w:cs="Arial"/>
          <w:bCs/>
          <w:sz w:val="20"/>
          <w:szCs w:val="20"/>
        </w:rPr>
        <w:t>EUR</w:t>
      </w:r>
      <w:r>
        <w:rPr>
          <w:rFonts w:ascii="Arial" w:hAnsi="Arial" w:cs="Arial"/>
          <w:bCs/>
          <w:sz w:val="20"/>
          <w:szCs w:val="20"/>
        </w:rPr>
        <w:t xml:space="preserve">, </w:t>
      </w:r>
      <w:r w:rsidR="0021441D">
        <w:rPr>
          <w:rFonts w:ascii="Arial" w:hAnsi="Arial" w:cs="Arial"/>
          <w:bCs/>
          <w:sz w:val="20"/>
          <w:szCs w:val="20"/>
        </w:rPr>
        <w:t xml:space="preserve">5 projektov </w:t>
      </w:r>
      <w:r w:rsidR="005F2772">
        <w:rPr>
          <w:rFonts w:ascii="Arial" w:hAnsi="Arial" w:cs="Arial"/>
          <w:bCs/>
          <w:sz w:val="20"/>
          <w:szCs w:val="20"/>
        </w:rPr>
        <w:t>bol</w:t>
      </w:r>
      <w:r w:rsidR="0021441D">
        <w:rPr>
          <w:rFonts w:ascii="Arial" w:hAnsi="Arial" w:cs="Arial"/>
          <w:bCs/>
          <w:sz w:val="20"/>
          <w:szCs w:val="20"/>
        </w:rPr>
        <w:t>o</w:t>
      </w:r>
      <w:r w:rsidR="005F2772">
        <w:rPr>
          <w:rFonts w:ascii="Arial" w:hAnsi="Arial" w:cs="Arial"/>
          <w:bCs/>
          <w:sz w:val="20"/>
          <w:szCs w:val="20"/>
        </w:rPr>
        <w:t xml:space="preserve"> </w:t>
      </w:r>
      <w:r>
        <w:rPr>
          <w:rFonts w:ascii="Arial" w:hAnsi="Arial" w:cs="Arial"/>
          <w:bCs/>
          <w:sz w:val="20"/>
          <w:szCs w:val="20"/>
        </w:rPr>
        <w:t xml:space="preserve">mimoriadne </w:t>
      </w:r>
      <w:r w:rsidR="0021441D">
        <w:rPr>
          <w:rFonts w:ascii="Arial" w:hAnsi="Arial" w:cs="Arial"/>
          <w:bCs/>
          <w:sz w:val="20"/>
          <w:szCs w:val="20"/>
        </w:rPr>
        <w:t>ukončených</w:t>
      </w:r>
      <w:r>
        <w:rPr>
          <w:rFonts w:ascii="Arial" w:hAnsi="Arial" w:cs="Arial"/>
          <w:bCs/>
          <w:sz w:val="20"/>
          <w:szCs w:val="20"/>
        </w:rPr>
        <w:t xml:space="preserve">. </w:t>
      </w:r>
      <w:r w:rsidR="00867AFF">
        <w:rPr>
          <w:rFonts w:ascii="Arial" w:hAnsi="Arial" w:cs="Arial"/>
          <w:bCs/>
          <w:sz w:val="20"/>
          <w:szCs w:val="20"/>
        </w:rPr>
        <w:t>K 31.12.201</w:t>
      </w:r>
      <w:r w:rsidR="0021441D">
        <w:rPr>
          <w:rFonts w:ascii="Arial" w:hAnsi="Arial" w:cs="Arial"/>
          <w:bCs/>
          <w:sz w:val="20"/>
          <w:szCs w:val="20"/>
        </w:rPr>
        <w:t>2</w:t>
      </w:r>
      <w:r w:rsidR="00867AFF">
        <w:rPr>
          <w:rFonts w:ascii="Arial" w:hAnsi="Arial" w:cs="Arial"/>
          <w:bCs/>
          <w:sz w:val="20"/>
          <w:szCs w:val="20"/>
        </w:rPr>
        <w:t xml:space="preserve"> bolo EK </w:t>
      </w:r>
      <w:r w:rsidR="005919E6">
        <w:rPr>
          <w:rFonts w:ascii="Arial" w:hAnsi="Arial" w:cs="Arial"/>
          <w:bCs/>
          <w:sz w:val="20"/>
          <w:szCs w:val="20"/>
        </w:rPr>
        <w:t xml:space="preserve">schválených 5 </w:t>
      </w:r>
      <w:r w:rsidR="00867AFF">
        <w:rPr>
          <w:rFonts w:ascii="Arial" w:hAnsi="Arial" w:cs="Arial"/>
          <w:bCs/>
          <w:sz w:val="20"/>
          <w:szCs w:val="20"/>
        </w:rPr>
        <w:t xml:space="preserve">veľkých projektov </w:t>
      </w:r>
      <w:r w:rsidR="00D36DF5" w:rsidRPr="00CE6902">
        <w:rPr>
          <w:rFonts w:ascii="Arial" w:hAnsi="Arial" w:cs="Arial"/>
          <w:bCs/>
          <w:sz w:val="20"/>
          <w:szCs w:val="20"/>
        </w:rPr>
        <w:t xml:space="preserve">v objeme príspevku z fondov EÚ  207 278 950,15   </w:t>
      </w:r>
      <w:r w:rsidR="00D36DF5" w:rsidRPr="00CE6902">
        <w:rPr>
          <w:rFonts w:ascii="Arial" w:hAnsi="Arial" w:cs="Arial"/>
          <w:bCs/>
          <w:sz w:val="20"/>
          <w:szCs w:val="20"/>
        </w:rPr>
        <w:tab/>
        <w:t>EUR.</w:t>
      </w:r>
    </w:p>
    <w:p w:rsidR="002416B1" w:rsidRDefault="002416B1" w:rsidP="00507035">
      <w:pPr>
        <w:spacing w:before="120" w:after="120" w:line="360" w:lineRule="auto"/>
        <w:jc w:val="both"/>
        <w:rPr>
          <w:rFonts w:ascii="Arial" w:hAnsi="Arial" w:cs="Arial"/>
          <w:bCs/>
          <w:sz w:val="20"/>
          <w:szCs w:val="20"/>
        </w:rPr>
      </w:pPr>
      <w:r>
        <w:rPr>
          <w:rFonts w:ascii="Arial" w:hAnsi="Arial" w:cs="Arial"/>
          <w:bCs/>
          <w:sz w:val="20"/>
          <w:szCs w:val="20"/>
        </w:rPr>
        <w:t>V</w:t>
      </w:r>
      <w:r w:rsidR="007A2694">
        <w:rPr>
          <w:rFonts w:ascii="Arial" w:hAnsi="Arial" w:cs="Arial"/>
          <w:bCs/>
          <w:sz w:val="20"/>
          <w:szCs w:val="20"/>
        </w:rPr>
        <w:t xml:space="preserve"> prípade </w:t>
      </w:r>
      <w:r>
        <w:rPr>
          <w:rFonts w:ascii="Arial" w:hAnsi="Arial" w:cs="Arial"/>
          <w:bCs/>
          <w:sz w:val="20"/>
          <w:szCs w:val="20"/>
        </w:rPr>
        <w:t xml:space="preserve">oblasti monitorovania stavu vôd (HT 54) </w:t>
      </w:r>
      <w:r w:rsidRPr="00D36DF5">
        <w:rPr>
          <w:rFonts w:ascii="Arial" w:hAnsi="Arial" w:cs="Arial"/>
          <w:bCs/>
          <w:sz w:val="20"/>
          <w:szCs w:val="20"/>
        </w:rPr>
        <w:t xml:space="preserve">bolo dôvodom </w:t>
      </w:r>
      <w:r w:rsidR="005919E6" w:rsidRPr="000F48E2">
        <w:rPr>
          <w:rFonts w:ascii="Arial" w:hAnsi="Arial" w:cs="Arial"/>
          <w:bCs/>
          <w:sz w:val="20"/>
          <w:szCs w:val="20"/>
        </w:rPr>
        <w:t>mimoriadneho ukončenia projektov</w:t>
      </w:r>
      <w:r w:rsidR="005919E6">
        <w:rPr>
          <w:rFonts w:ascii="Arial" w:hAnsi="Arial" w:cs="Arial"/>
          <w:bCs/>
          <w:sz w:val="20"/>
          <w:szCs w:val="20"/>
        </w:rPr>
        <w:t xml:space="preserve"> </w:t>
      </w:r>
      <w:r>
        <w:rPr>
          <w:rFonts w:ascii="Arial" w:hAnsi="Arial" w:cs="Arial"/>
          <w:bCs/>
          <w:sz w:val="20"/>
          <w:szCs w:val="20"/>
        </w:rPr>
        <w:t>n</w:t>
      </w:r>
      <w:r w:rsidRPr="005D53C0">
        <w:rPr>
          <w:rFonts w:ascii="Arial" w:hAnsi="Arial" w:cs="Arial"/>
          <w:bCs/>
          <w:sz w:val="20"/>
          <w:szCs w:val="20"/>
        </w:rPr>
        <w:t xml:space="preserve">emožnosť realizovať plánované aktivity na projekte včas, aj napriek maximálnemu možnému predĺženiu termínu realizácie projektu zo strany </w:t>
      </w:r>
      <w:r>
        <w:rPr>
          <w:rFonts w:ascii="Arial" w:hAnsi="Arial" w:cs="Arial"/>
          <w:bCs/>
          <w:sz w:val="20"/>
          <w:szCs w:val="20"/>
        </w:rPr>
        <w:t>p</w:t>
      </w:r>
      <w:r w:rsidRPr="005D53C0">
        <w:rPr>
          <w:rFonts w:ascii="Arial" w:hAnsi="Arial" w:cs="Arial"/>
          <w:bCs/>
          <w:sz w:val="20"/>
          <w:szCs w:val="20"/>
        </w:rPr>
        <w:t>rijímateľa</w:t>
      </w:r>
      <w:r>
        <w:rPr>
          <w:rFonts w:ascii="Arial" w:hAnsi="Arial" w:cs="Arial"/>
          <w:bCs/>
          <w:sz w:val="20"/>
          <w:szCs w:val="20"/>
        </w:rPr>
        <w:t xml:space="preserve"> a v prípade odkanalizovania a ČOV v jednom prípade zánik návrhov zmluvy o poskytnutí NFP, v druhom prípade </w:t>
      </w:r>
      <w:r w:rsidR="00E54823">
        <w:rPr>
          <w:rFonts w:ascii="Arial" w:hAnsi="Arial" w:cs="Arial"/>
          <w:bCs/>
          <w:sz w:val="20"/>
          <w:szCs w:val="20"/>
        </w:rPr>
        <w:t>išlo</w:t>
      </w:r>
      <w:r>
        <w:rPr>
          <w:rFonts w:ascii="Arial" w:hAnsi="Arial" w:cs="Arial"/>
          <w:bCs/>
          <w:sz w:val="20"/>
          <w:szCs w:val="20"/>
        </w:rPr>
        <w:t xml:space="preserve"> o podstatné porušenie zmluvy v časti merateľné ukazovatele.</w:t>
      </w:r>
    </w:p>
    <w:p w:rsidR="002416B1" w:rsidRPr="004B33AE" w:rsidRDefault="002416B1" w:rsidP="00507035">
      <w:pPr>
        <w:spacing w:before="120" w:after="120" w:line="360" w:lineRule="auto"/>
        <w:jc w:val="both"/>
        <w:rPr>
          <w:rFonts w:ascii="Arial" w:hAnsi="Arial" w:cs="Arial"/>
          <w:sz w:val="20"/>
          <w:szCs w:val="20"/>
        </w:rPr>
      </w:pPr>
      <w:r w:rsidRPr="004B33AE">
        <w:rPr>
          <w:rFonts w:ascii="Arial" w:hAnsi="Arial" w:cs="Arial"/>
          <w:bCs/>
          <w:sz w:val="20"/>
          <w:szCs w:val="20"/>
        </w:rPr>
        <w:t>Podrobné vyčíslenie implementácie prioritnej osi je uvedené v nasledovnej tabuľke.</w:t>
      </w:r>
    </w:p>
    <w:p w:rsidR="002416B1" w:rsidRPr="004B33AE" w:rsidRDefault="002416B1" w:rsidP="00205636">
      <w:pPr>
        <w:spacing w:line="360" w:lineRule="auto"/>
        <w:jc w:val="both"/>
        <w:rPr>
          <w:rFonts w:ascii="Arial" w:hAnsi="Arial" w:cs="Arial"/>
          <w:sz w:val="20"/>
          <w:szCs w:val="20"/>
        </w:rPr>
      </w:pPr>
      <w:r w:rsidRPr="00570976">
        <w:rPr>
          <w:rFonts w:ascii="Arial" w:hAnsi="Arial" w:cs="Arial"/>
          <w:sz w:val="20"/>
          <w:szCs w:val="20"/>
        </w:rPr>
        <w:t xml:space="preserve">Tab. č. </w:t>
      </w:r>
      <w:r w:rsidR="007B7519">
        <w:rPr>
          <w:rFonts w:ascii="Arial" w:hAnsi="Arial" w:cs="Arial"/>
          <w:sz w:val="20"/>
          <w:szCs w:val="20"/>
        </w:rPr>
        <w:t>39</w:t>
      </w:r>
      <w:r>
        <w:rPr>
          <w:rFonts w:ascii="Arial" w:hAnsi="Arial" w:cs="Arial"/>
          <w:sz w:val="20"/>
          <w:szCs w:val="20"/>
        </w:rPr>
        <w:t>:</w:t>
      </w:r>
      <w:r w:rsidRPr="004B33AE">
        <w:rPr>
          <w:rFonts w:ascii="Arial" w:hAnsi="Arial" w:cs="Arial"/>
          <w:sz w:val="20"/>
          <w:szCs w:val="20"/>
        </w:rPr>
        <w:t xml:space="preserve"> Sledovanie vývoja implementácie prioritnej osi 1 k 31.12.201</w:t>
      </w:r>
      <w:r w:rsidR="00070AE3">
        <w:rPr>
          <w:rFonts w:ascii="Arial" w:hAnsi="Arial" w:cs="Arial"/>
          <w:sz w:val="20"/>
          <w:szCs w:val="20"/>
        </w:rPr>
        <w:t>2</w:t>
      </w:r>
    </w:p>
    <w:tbl>
      <w:tblPr>
        <w:tblW w:w="5000" w:type="pct"/>
        <w:tblCellMar>
          <w:left w:w="70" w:type="dxa"/>
          <w:right w:w="70" w:type="dxa"/>
        </w:tblCellMar>
        <w:tblLook w:val="04A0" w:firstRow="1" w:lastRow="0" w:firstColumn="1" w:lastColumn="0" w:noHBand="0" w:noVBand="1"/>
      </w:tblPr>
      <w:tblGrid>
        <w:gridCol w:w="1686"/>
        <w:gridCol w:w="1419"/>
        <w:gridCol w:w="1534"/>
        <w:gridCol w:w="1628"/>
        <w:gridCol w:w="1326"/>
        <w:gridCol w:w="1617"/>
      </w:tblGrid>
      <w:tr w:rsidR="00000CC9" w:rsidTr="00000CC9">
        <w:trPr>
          <w:trHeight w:val="465"/>
        </w:trPr>
        <w:tc>
          <w:tcPr>
            <w:tcW w:w="915" w:type="pct"/>
            <w:tcBorders>
              <w:top w:val="single" w:sz="8" w:space="0" w:color="auto"/>
              <w:left w:val="single" w:sz="8" w:space="0" w:color="auto"/>
              <w:bottom w:val="single" w:sz="8" w:space="0" w:color="auto"/>
              <w:right w:val="single" w:sz="8" w:space="0" w:color="auto"/>
            </w:tcBorders>
            <w:shd w:val="clear" w:color="000000" w:fill="D6E3BC"/>
            <w:vAlign w:val="center"/>
            <w:hideMark/>
          </w:tcPr>
          <w:p w:rsidR="00000CC9" w:rsidRDefault="00000CC9">
            <w:pPr>
              <w:jc w:val="center"/>
              <w:rPr>
                <w:rFonts w:ascii="Arial" w:hAnsi="Arial" w:cs="Arial"/>
                <w:b/>
                <w:bCs/>
                <w:color w:val="000000"/>
                <w:sz w:val="16"/>
                <w:szCs w:val="16"/>
              </w:rPr>
            </w:pPr>
            <w:r>
              <w:rPr>
                <w:rFonts w:ascii="Arial" w:hAnsi="Arial" w:cs="Arial"/>
                <w:b/>
                <w:bCs/>
                <w:color w:val="000000"/>
                <w:sz w:val="16"/>
                <w:szCs w:val="16"/>
              </w:rPr>
              <w:t>Hlavná téma</w:t>
            </w:r>
          </w:p>
        </w:tc>
        <w:tc>
          <w:tcPr>
            <w:tcW w:w="770" w:type="pct"/>
            <w:tcBorders>
              <w:top w:val="single" w:sz="8" w:space="0" w:color="auto"/>
              <w:left w:val="nil"/>
              <w:bottom w:val="single" w:sz="8" w:space="0" w:color="auto"/>
              <w:right w:val="single" w:sz="8" w:space="0" w:color="auto"/>
            </w:tcBorders>
            <w:shd w:val="clear" w:color="000000" w:fill="D6E3BC"/>
            <w:vAlign w:val="center"/>
            <w:hideMark/>
          </w:tcPr>
          <w:p w:rsidR="00000CC9" w:rsidRDefault="00000CC9">
            <w:pPr>
              <w:jc w:val="center"/>
              <w:rPr>
                <w:rFonts w:ascii="Arial" w:hAnsi="Arial" w:cs="Arial"/>
                <w:b/>
                <w:bCs/>
                <w:color w:val="000000"/>
                <w:sz w:val="16"/>
                <w:szCs w:val="16"/>
              </w:rPr>
            </w:pPr>
            <w:r>
              <w:rPr>
                <w:rFonts w:ascii="Arial" w:hAnsi="Arial" w:cs="Arial"/>
                <w:b/>
                <w:bCs/>
                <w:color w:val="000000"/>
                <w:sz w:val="16"/>
                <w:szCs w:val="16"/>
              </w:rPr>
              <w:t>Počet prijatých ŽoNFP</w:t>
            </w:r>
          </w:p>
        </w:tc>
        <w:tc>
          <w:tcPr>
            <w:tcW w:w="833" w:type="pct"/>
            <w:tcBorders>
              <w:top w:val="single" w:sz="8" w:space="0" w:color="auto"/>
              <w:left w:val="nil"/>
              <w:bottom w:val="single" w:sz="8" w:space="0" w:color="auto"/>
              <w:right w:val="single" w:sz="8" w:space="0" w:color="auto"/>
            </w:tcBorders>
            <w:shd w:val="clear" w:color="000000" w:fill="D6E3BC"/>
            <w:vAlign w:val="center"/>
            <w:hideMark/>
          </w:tcPr>
          <w:p w:rsidR="00000CC9" w:rsidRDefault="00000CC9">
            <w:pPr>
              <w:jc w:val="center"/>
              <w:rPr>
                <w:rFonts w:ascii="Arial" w:hAnsi="Arial" w:cs="Arial"/>
                <w:b/>
                <w:bCs/>
                <w:color w:val="000000"/>
                <w:sz w:val="16"/>
                <w:szCs w:val="16"/>
              </w:rPr>
            </w:pPr>
            <w:r>
              <w:rPr>
                <w:rFonts w:ascii="Arial" w:hAnsi="Arial" w:cs="Arial"/>
                <w:b/>
                <w:bCs/>
                <w:color w:val="000000"/>
                <w:sz w:val="16"/>
                <w:szCs w:val="16"/>
              </w:rPr>
              <w:t>Počet schválených ŽoNFP</w:t>
            </w:r>
          </w:p>
        </w:tc>
        <w:tc>
          <w:tcPr>
            <w:tcW w:w="884" w:type="pct"/>
            <w:tcBorders>
              <w:top w:val="single" w:sz="8" w:space="0" w:color="auto"/>
              <w:left w:val="nil"/>
              <w:bottom w:val="single" w:sz="8" w:space="0" w:color="auto"/>
              <w:right w:val="single" w:sz="8" w:space="0" w:color="auto"/>
            </w:tcBorders>
            <w:shd w:val="clear" w:color="000000" w:fill="D6E3BC"/>
            <w:vAlign w:val="center"/>
            <w:hideMark/>
          </w:tcPr>
          <w:p w:rsidR="00000CC9" w:rsidRDefault="00000CC9">
            <w:pPr>
              <w:jc w:val="center"/>
              <w:rPr>
                <w:rFonts w:ascii="Arial" w:hAnsi="Arial" w:cs="Arial"/>
                <w:b/>
                <w:bCs/>
                <w:color w:val="000000"/>
                <w:sz w:val="16"/>
                <w:szCs w:val="16"/>
              </w:rPr>
            </w:pPr>
            <w:r>
              <w:rPr>
                <w:rFonts w:ascii="Arial" w:hAnsi="Arial" w:cs="Arial"/>
                <w:b/>
                <w:bCs/>
                <w:color w:val="000000"/>
                <w:sz w:val="16"/>
                <w:szCs w:val="16"/>
              </w:rPr>
              <w:t>Počet zazmluvnených projektov</w:t>
            </w:r>
          </w:p>
        </w:tc>
        <w:tc>
          <w:tcPr>
            <w:tcW w:w="720" w:type="pct"/>
            <w:tcBorders>
              <w:top w:val="single" w:sz="8" w:space="0" w:color="auto"/>
              <w:left w:val="nil"/>
              <w:bottom w:val="single" w:sz="8" w:space="0" w:color="auto"/>
              <w:right w:val="single" w:sz="8" w:space="0" w:color="auto"/>
            </w:tcBorders>
            <w:shd w:val="clear" w:color="000000" w:fill="D6E3BC"/>
            <w:vAlign w:val="center"/>
            <w:hideMark/>
          </w:tcPr>
          <w:p w:rsidR="00000CC9" w:rsidRDefault="00000CC9">
            <w:pPr>
              <w:jc w:val="center"/>
              <w:rPr>
                <w:rFonts w:ascii="Arial" w:hAnsi="Arial" w:cs="Arial"/>
                <w:b/>
                <w:bCs/>
                <w:color w:val="000000"/>
                <w:sz w:val="16"/>
                <w:szCs w:val="16"/>
              </w:rPr>
            </w:pPr>
            <w:r>
              <w:rPr>
                <w:rFonts w:ascii="Arial" w:hAnsi="Arial" w:cs="Arial"/>
                <w:b/>
                <w:bCs/>
                <w:color w:val="000000"/>
                <w:sz w:val="16"/>
                <w:szCs w:val="16"/>
              </w:rPr>
              <w:t>Počet riadne ukončených projektov</w:t>
            </w:r>
          </w:p>
        </w:tc>
        <w:tc>
          <w:tcPr>
            <w:tcW w:w="878" w:type="pct"/>
            <w:tcBorders>
              <w:top w:val="single" w:sz="8" w:space="0" w:color="auto"/>
              <w:left w:val="nil"/>
              <w:bottom w:val="single" w:sz="8" w:space="0" w:color="auto"/>
              <w:right w:val="single" w:sz="8" w:space="0" w:color="auto"/>
            </w:tcBorders>
            <w:shd w:val="clear" w:color="000000" w:fill="D6E3BC"/>
            <w:vAlign w:val="center"/>
            <w:hideMark/>
          </w:tcPr>
          <w:p w:rsidR="00000CC9" w:rsidRDefault="00000CC9">
            <w:pPr>
              <w:jc w:val="center"/>
              <w:rPr>
                <w:rFonts w:ascii="Arial" w:hAnsi="Arial" w:cs="Arial"/>
                <w:b/>
                <w:bCs/>
                <w:color w:val="000000"/>
                <w:sz w:val="16"/>
                <w:szCs w:val="16"/>
              </w:rPr>
            </w:pPr>
            <w:r>
              <w:rPr>
                <w:rFonts w:ascii="Arial" w:hAnsi="Arial" w:cs="Arial"/>
                <w:b/>
                <w:bCs/>
                <w:color w:val="000000"/>
                <w:sz w:val="16"/>
                <w:szCs w:val="16"/>
              </w:rPr>
              <w:t>Počet mimoriadne ukončených projektov</w:t>
            </w:r>
          </w:p>
        </w:tc>
      </w:tr>
      <w:tr w:rsidR="00000CC9" w:rsidTr="00000CC9">
        <w:trPr>
          <w:trHeight w:val="300"/>
        </w:trPr>
        <w:tc>
          <w:tcPr>
            <w:tcW w:w="915" w:type="pct"/>
            <w:vMerge w:val="restart"/>
            <w:tcBorders>
              <w:top w:val="nil"/>
              <w:left w:val="single" w:sz="8" w:space="0" w:color="auto"/>
              <w:bottom w:val="single" w:sz="8" w:space="0" w:color="000000"/>
              <w:right w:val="single" w:sz="8" w:space="0" w:color="auto"/>
            </w:tcBorders>
            <w:shd w:val="clear" w:color="auto" w:fill="auto"/>
            <w:vAlign w:val="center"/>
            <w:hideMark/>
          </w:tcPr>
          <w:p w:rsidR="00000CC9" w:rsidRDefault="00000CC9">
            <w:pPr>
              <w:rPr>
                <w:rFonts w:ascii="Arial" w:hAnsi="Arial" w:cs="Arial"/>
                <w:color w:val="000000"/>
                <w:sz w:val="16"/>
                <w:szCs w:val="16"/>
              </w:rPr>
            </w:pPr>
            <w:r>
              <w:rPr>
                <w:rFonts w:ascii="Arial" w:hAnsi="Arial" w:cs="Arial"/>
                <w:color w:val="000000"/>
                <w:sz w:val="16"/>
                <w:szCs w:val="16"/>
              </w:rPr>
              <w:t>45 - Hospodárenie s vodou a jej distribúcia (pitná voda)</w:t>
            </w:r>
          </w:p>
        </w:tc>
        <w:tc>
          <w:tcPr>
            <w:tcW w:w="770" w:type="pct"/>
            <w:tcBorders>
              <w:top w:val="nil"/>
              <w:left w:val="nil"/>
              <w:bottom w:val="nil"/>
              <w:right w:val="single" w:sz="8" w:space="0" w:color="auto"/>
            </w:tcBorders>
            <w:shd w:val="clear" w:color="auto" w:fill="auto"/>
            <w:noWrap/>
            <w:vAlign w:val="center"/>
            <w:hideMark/>
          </w:tcPr>
          <w:p w:rsidR="00000CC9" w:rsidRDefault="00000CC9">
            <w:pPr>
              <w:jc w:val="center"/>
              <w:rPr>
                <w:rFonts w:ascii="Arial" w:hAnsi="Arial" w:cs="Arial"/>
                <w:color w:val="000000"/>
                <w:sz w:val="16"/>
                <w:szCs w:val="16"/>
              </w:rPr>
            </w:pPr>
            <w:r>
              <w:rPr>
                <w:rFonts w:ascii="Arial" w:hAnsi="Arial" w:cs="Arial"/>
                <w:color w:val="000000"/>
                <w:sz w:val="16"/>
                <w:szCs w:val="16"/>
              </w:rPr>
              <w:t>93</w:t>
            </w:r>
          </w:p>
        </w:tc>
        <w:tc>
          <w:tcPr>
            <w:tcW w:w="833" w:type="pct"/>
            <w:tcBorders>
              <w:top w:val="nil"/>
              <w:left w:val="nil"/>
              <w:bottom w:val="nil"/>
              <w:right w:val="single" w:sz="8" w:space="0" w:color="auto"/>
            </w:tcBorders>
            <w:shd w:val="clear" w:color="auto" w:fill="auto"/>
            <w:noWrap/>
            <w:vAlign w:val="center"/>
            <w:hideMark/>
          </w:tcPr>
          <w:p w:rsidR="00000CC9" w:rsidRDefault="00000CC9">
            <w:pPr>
              <w:jc w:val="center"/>
              <w:rPr>
                <w:rFonts w:ascii="Arial" w:hAnsi="Arial" w:cs="Arial"/>
                <w:color w:val="000000"/>
                <w:sz w:val="16"/>
                <w:szCs w:val="16"/>
              </w:rPr>
            </w:pPr>
            <w:r>
              <w:rPr>
                <w:rFonts w:ascii="Arial" w:hAnsi="Arial" w:cs="Arial"/>
                <w:color w:val="000000"/>
                <w:sz w:val="16"/>
                <w:szCs w:val="16"/>
              </w:rPr>
              <w:t>29</w:t>
            </w:r>
          </w:p>
        </w:tc>
        <w:tc>
          <w:tcPr>
            <w:tcW w:w="884" w:type="pct"/>
            <w:tcBorders>
              <w:top w:val="nil"/>
              <w:left w:val="nil"/>
              <w:bottom w:val="nil"/>
              <w:right w:val="single" w:sz="8" w:space="0" w:color="auto"/>
            </w:tcBorders>
            <w:shd w:val="clear" w:color="auto" w:fill="auto"/>
            <w:noWrap/>
            <w:vAlign w:val="center"/>
            <w:hideMark/>
          </w:tcPr>
          <w:p w:rsidR="00000CC9" w:rsidRDefault="00000CC9">
            <w:pPr>
              <w:jc w:val="center"/>
              <w:rPr>
                <w:rFonts w:ascii="Arial" w:hAnsi="Arial" w:cs="Arial"/>
                <w:color w:val="000000"/>
                <w:sz w:val="16"/>
                <w:szCs w:val="16"/>
              </w:rPr>
            </w:pPr>
            <w:r>
              <w:rPr>
                <w:rFonts w:ascii="Arial" w:hAnsi="Arial" w:cs="Arial"/>
                <w:color w:val="000000"/>
                <w:sz w:val="16"/>
                <w:szCs w:val="16"/>
              </w:rPr>
              <w:t>27</w:t>
            </w:r>
          </w:p>
        </w:tc>
        <w:tc>
          <w:tcPr>
            <w:tcW w:w="720" w:type="pct"/>
            <w:tcBorders>
              <w:top w:val="nil"/>
              <w:left w:val="nil"/>
              <w:bottom w:val="nil"/>
              <w:right w:val="single" w:sz="8" w:space="0" w:color="auto"/>
            </w:tcBorders>
            <w:shd w:val="clear" w:color="auto" w:fill="auto"/>
            <w:noWrap/>
            <w:vAlign w:val="center"/>
            <w:hideMark/>
          </w:tcPr>
          <w:p w:rsidR="00000CC9" w:rsidRDefault="00000CC9">
            <w:pPr>
              <w:jc w:val="center"/>
              <w:rPr>
                <w:rFonts w:ascii="Arial" w:hAnsi="Arial" w:cs="Arial"/>
                <w:color w:val="000000"/>
                <w:sz w:val="16"/>
                <w:szCs w:val="16"/>
              </w:rPr>
            </w:pPr>
            <w:r>
              <w:rPr>
                <w:rFonts w:ascii="Arial" w:hAnsi="Arial" w:cs="Arial"/>
                <w:color w:val="000000"/>
                <w:sz w:val="16"/>
                <w:szCs w:val="16"/>
              </w:rPr>
              <w:t>6</w:t>
            </w:r>
          </w:p>
        </w:tc>
        <w:tc>
          <w:tcPr>
            <w:tcW w:w="878" w:type="pct"/>
            <w:vMerge w:val="restart"/>
            <w:tcBorders>
              <w:top w:val="nil"/>
              <w:left w:val="single" w:sz="8" w:space="0" w:color="auto"/>
              <w:bottom w:val="single" w:sz="8" w:space="0" w:color="000000"/>
              <w:right w:val="single" w:sz="8" w:space="0" w:color="auto"/>
            </w:tcBorders>
            <w:shd w:val="clear" w:color="auto" w:fill="auto"/>
            <w:noWrap/>
            <w:vAlign w:val="center"/>
            <w:hideMark/>
          </w:tcPr>
          <w:p w:rsidR="00000CC9" w:rsidRDefault="00000CC9">
            <w:pPr>
              <w:jc w:val="center"/>
              <w:rPr>
                <w:rFonts w:ascii="Arial" w:hAnsi="Arial" w:cs="Arial"/>
                <w:color w:val="000000"/>
                <w:sz w:val="16"/>
                <w:szCs w:val="16"/>
              </w:rPr>
            </w:pPr>
            <w:r>
              <w:rPr>
                <w:rFonts w:ascii="Arial" w:hAnsi="Arial" w:cs="Arial"/>
                <w:color w:val="000000"/>
                <w:sz w:val="16"/>
                <w:szCs w:val="16"/>
              </w:rPr>
              <w:t>0</w:t>
            </w:r>
          </w:p>
        </w:tc>
      </w:tr>
      <w:tr w:rsidR="00000CC9" w:rsidTr="00000CC9">
        <w:trPr>
          <w:trHeight w:val="315"/>
        </w:trPr>
        <w:tc>
          <w:tcPr>
            <w:tcW w:w="915" w:type="pct"/>
            <w:vMerge/>
            <w:tcBorders>
              <w:top w:val="nil"/>
              <w:left w:val="single" w:sz="8" w:space="0" w:color="auto"/>
              <w:bottom w:val="single" w:sz="8" w:space="0" w:color="000000"/>
              <w:right w:val="single" w:sz="8" w:space="0" w:color="auto"/>
            </w:tcBorders>
            <w:vAlign w:val="center"/>
            <w:hideMark/>
          </w:tcPr>
          <w:p w:rsidR="00000CC9" w:rsidRDefault="00000CC9">
            <w:pPr>
              <w:rPr>
                <w:rFonts w:ascii="Arial" w:hAnsi="Arial" w:cs="Arial"/>
                <w:color w:val="000000"/>
                <w:sz w:val="16"/>
                <w:szCs w:val="16"/>
              </w:rPr>
            </w:pPr>
          </w:p>
        </w:tc>
        <w:tc>
          <w:tcPr>
            <w:tcW w:w="770" w:type="pct"/>
            <w:tcBorders>
              <w:top w:val="nil"/>
              <w:left w:val="nil"/>
              <w:bottom w:val="single" w:sz="8" w:space="0" w:color="auto"/>
              <w:right w:val="single" w:sz="8" w:space="0" w:color="auto"/>
            </w:tcBorders>
            <w:shd w:val="clear" w:color="auto" w:fill="auto"/>
            <w:noWrap/>
            <w:vAlign w:val="center"/>
            <w:hideMark/>
          </w:tcPr>
          <w:p w:rsidR="00000CC9" w:rsidRDefault="00000CC9">
            <w:pPr>
              <w:jc w:val="center"/>
              <w:rPr>
                <w:rFonts w:ascii="Arial" w:hAnsi="Arial" w:cs="Arial"/>
                <w:color w:val="000000"/>
                <w:sz w:val="16"/>
                <w:szCs w:val="16"/>
              </w:rPr>
            </w:pPr>
            <w:r>
              <w:rPr>
                <w:rFonts w:ascii="Arial" w:hAnsi="Arial" w:cs="Arial"/>
                <w:color w:val="000000"/>
                <w:sz w:val="16"/>
                <w:szCs w:val="16"/>
              </w:rPr>
              <w:t>(vrátane 39)</w:t>
            </w:r>
            <w:r>
              <w:rPr>
                <w:rFonts w:ascii="Arial" w:hAnsi="Arial" w:cs="Arial"/>
                <w:color w:val="000000"/>
                <w:sz w:val="16"/>
                <w:szCs w:val="16"/>
                <w:vertAlign w:val="superscript"/>
              </w:rPr>
              <w:t>2</w:t>
            </w:r>
          </w:p>
        </w:tc>
        <w:tc>
          <w:tcPr>
            <w:tcW w:w="833" w:type="pct"/>
            <w:tcBorders>
              <w:top w:val="nil"/>
              <w:left w:val="nil"/>
              <w:bottom w:val="single" w:sz="8" w:space="0" w:color="auto"/>
              <w:right w:val="single" w:sz="8" w:space="0" w:color="auto"/>
            </w:tcBorders>
            <w:shd w:val="clear" w:color="auto" w:fill="auto"/>
            <w:noWrap/>
            <w:vAlign w:val="center"/>
            <w:hideMark/>
          </w:tcPr>
          <w:p w:rsidR="00000CC9" w:rsidRDefault="00000CC9">
            <w:pPr>
              <w:jc w:val="center"/>
              <w:rPr>
                <w:rFonts w:ascii="Arial" w:hAnsi="Arial" w:cs="Arial"/>
                <w:color w:val="000000"/>
                <w:sz w:val="16"/>
                <w:szCs w:val="16"/>
              </w:rPr>
            </w:pPr>
            <w:r>
              <w:rPr>
                <w:rFonts w:ascii="Arial" w:hAnsi="Arial" w:cs="Arial"/>
                <w:color w:val="000000"/>
                <w:sz w:val="16"/>
                <w:szCs w:val="16"/>
              </w:rPr>
              <w:t>(vrátane 12)</w:t>
            </w:r>
            <w:r>
              <w:rPr>
                <w:rFonts w:ascii="Arial" w:hAnsi="Arial" w:cs="Arial"/>
                <w:color w:val="000000"/>
                <w:sz w:val="16"/>
                <w:szCs w:val="16"/>
                <w:vertAlign w:val="superscript"/>
              </w:rPr>
              <w:t>2</w:t>
            </w:r>
          </w:p>
        </w:tc>
        <w:tc>
          <w:tcPr>
            <w:tcW w:w="884" w:type="pct"/>
            <w:tcBorders>
              <w:top w:val="nil"/>
              <w:left w:val="nil"/>
              <w:bottom w:val="single" w:sz="8" w:space="0" w:color="auto"/>
              <w:right w:val="single" w:sz="8" w:space="0" w:color="auto"/>
            </w:tcBorders>
            <w:shd w:val="clear" w:color="auto" w:fill="auto"/>
            <w:noWrap/>
            <w:vAlign w:val="center"/>
            <w:hideMark/>
          </w:tcPr>
          <w:p w:rsidR="00000CC9" w:rsidRDefault="00000CC9">
            <w:pPr>
              <w:jc w:val="center"/>
              <w:rPr>
                <w:rFonts w:ascii="Arial" w:hAnsi="Arial" w:cs="Arial"/>
                <w:color w:val="000000"/>
                <w:sz w:val="16"/>
                <w:szCs w:val="16"/>
              </w:rPr>
            </w:pPr>
            <w:r>
              <w:rPr>
                <w:rFonts w:ascii="Arial" w:hAnsi="Arial" w:cs="Arial"/>
                <w:color w:val="000000"/>
                <w:sz w:val="16"/>
                <w:szCs w:val="16"/>
              </w:rPr>
              <w:t>(vrátane 10)</w:t>
            </w:r>
            <w:r>
              <w:rPr>
                <w:rFonts w:ascii="Arial" w:hAnsi="Arial" w:cs="Arial"/>
                <w:color w:val="000000"/>
                <w:sz w:val="16"/>
                <w:szCs w:val="16"/>
                <w:vertAlign w:val="superscript"/>
              </w:rPr>
              <w:t>2</w:t>
            </w:r>
          </w:p>
        </w:tc>
        <w:tc>
          <w:tcPr>
            <w:tcW w:w="720" w:type="pct"/>
            <w:tcBorders>
              <w:top w:val="nil"/>
              <w:left w:val="nil"/>
              <w:bottom w:val="single" w:sz="8" w:space="0" w:color="auto"/>
              <w:right w:val="single" w:sz="8" w:space="0" w:color="auto"/>
            </w:tcBorders>
            <w:shd w:val="clear" w:color="auto" w:fill="auto"/>
            <w:noWrap/>
            <w:vAlign w:val="center"/>
            <w:hideMark/>
          </w:tcPr>
          <w:p w:rsidR="00000CC9" w:rsidRDefault="00000CC9">
            <w:pPr>
              <w:jc w:val="center"/>
              <w:rPr>
                <w:rFonts w:ascii="Arial" w:hAnsi="Arial" w:cs="Arial"/>
                <w:color w:val="000000"/>
                <w:sz w:val="16"/>
                <w:szCs w:val="16"/>
              </w:rPr>
            </w:pPr>
            <w:r>
              <w:rPr>
                <w:rFonts w:ascii="Arial" w:hAnsi="Arial" w:cs="Arial"/>
                <w:color w:val="000000"/>
                <w:sz w:val="16"/>
                <w:szCs w:val="16"/>
              </w:rPr>
              <w:t>(vrátane 2)</w:t>
            </w:r>
            <w:r>
              <w:rPr>
                <w:rFonts w:ascii="Arial" w:hAnsi="Arial" w:cs="Arial"/>
                <w:color w:val="000000"/>
                <w:sz w:val="16"/>
                <w:szCs w:val="16"/>
                <w:vertAlign w:val="superscript"/>
              </w:rPr>
              <w:t>2</w:t>
            </w:r>
          </w:p>
        </w:tc>
        <w:tc>
          <w:tcPr>
            <w:tcW w:w="878" w:type="pct"/>
            <w:vMerge/>
            <w:tcBorders>
              <w:top w:val="nil"/>
              <w:left w:val="single" w:sz="8" w:space="0" w:color="auto"/>
              <w:bottom w:val="single" w:sz="8" w:space="0" w:color="000000"/>
              <w:right w:val="single" w:sz="8" w:space="0" w:color="auto"/>
            </w:tcBorders>
            <w:vAlign w:val="center"/>
            <w:hideMark/>
          </w:tcPr>
          <w:p w:rsidR="00000CC9" w:rsidRDefault="00000CC9">
            <w:pPr>
              <w:rPr>
                <w:rFonts w:ascii="Arial" w:hAnsi="Arial" w:cs="Arial"/>
                <w:color w:val="000000"/>
                <w:sz w:val="16"/>
                <w:szCs w:val="16"/>
              </w:rPr>
            </w:pPr>
          </w:p>
        </w:tc>
      </w:tr>
      <w:tr w:rsidR="00000CC9" w:rsidTr="00000CC9">
        <w:trPr>
          <w:trHeight w:val="300"/>
        </w:trPr>
        <w:tc>
          <w:tcPr>
            <w:tcW w:w="915" w:type="pct"/>
            <w:vMerge w:val="restart"/>
            <w:tcBorders>
              <w:top w:val="nil"/>
              <w:left w:val="single" w:sz="8" w:space="0" w:color="auto"/>
              <w:bottom w:val="single" w:sz="8" w:space="0" w:color="000000"/>
              <w:right w:val="single" w:sz="8" w:space="0" w:color="auto"/>
            </w:tcBorders>
            <w:shd w:val="clear" w:color="auto" w:fill="auto"/>
            <w:vAlign w:val="center"/>
            <w:hideMark/>
          </w:tcPr>
          <w:p w:rsidR="00000CC9" w:rsidRDefault="00000CC9">
            <w:pPr>
              <w:rPr>
                <w:rFonts w:ascii="Arial" w:hAnsi="Arial" w:cs="Arial"/>
                <w:color w:val="000000"/>
                <w:sz w:val="16"/>
                <w:szCs w:val="16"/>
              </w:rPr>
            </w:pPr>
            <w:r>
              <w:rPr>
                <w:rFonts w:ascii="Arial" w:hAnsi="Arial" w:cs="Arial"/>
                <w:color w:val="000000"/>
                <w:sz w:val="16"/>
                <w:szCs w:val="16"/>
              </w:rPr>
              <w:t>46 - Spracovanie vody (odpadová voda)</w:t>
            </w:r>
          </w:p>
        </w:tc>
        <w:tc>
          <w:tcPr>
            <w:tcW w:w="770" w:type="pct"/>
            <w:tcBorders>
              <w:top w:val="nil"/>
              <w:left w:val="nil"/>
              <w:bottom w:val="nil"/>
              <w:right w:val="single" w:sz="8" w:space="0" w:color="auto"/>
            </w:tcBorders>
            <w:shd w:val="clear" w:color="auto" w:fill="auto"/>
            <w:noWrap/>
            <w:vAlign w:val="center"/>
            <w:hideMark/>
          </w:tcPr>
          <w:p w:rsidR="00000CC9" w:rsidRDefault="00000CC9">
            <w:pPr>
              <w:jc w:val="center"/>
              <w:rPr>
                <w:rFonts w:ascii="Arial" w:hAnsi="Arial" w:cs="Arial"/>
                <w:color w:val="000000"/>
                <w:sz w:val="16"/>
                <w:szCs w:val="16"/>
              </w:rPr>
            </w:pPr>
            <w:r>
              <w:rPr>
                <w:rFonts w:ascii="Arial" w:hAnsi="Arial" w:cs="Arial"/>
                <w:color w:val="000000"/>
                <w:sz w:val="16"/>
                <w:szCs w:val="16"/>
              </w:rPr>
              <w:t>339</w:t>
            </w:r>
          </w:p>
        </w:tc>
        <w:tc>
          <w:tcPr>
            <w:tcW w:w="833" w:type="pct"/>
            <w:tcBorders>
              <w:top w:val="nil"/>
              <w:left w:val="nil"/>
              <w:bottom w:val="nil"/>
              <w:right w:val="single" w:sz="8" w:space="0" w:color="auto"/>
            </w:tcBorders>
            <w:shd w:val="clear" w:color="auto" w:fill="auto"/>
            <w:noWrap/>
            <w:vAlign w:val="center"/>
            <w:hideMark/>
          </w:tcPr>
          <w:p w:rsidR="00000CC9" w:rsidRDefault="00000CC9">
            <w:pPr>
              <w:jc w:val="center"/>
              <w:rPr>
                <w:rFonts w:ascii="Arial" w:hAnsi="Arial" w:cs="Arial"/>
                <w:color w:val="000000"/>
                <w:sz w:val="16"/>
                <w:szCs w:val="16"/>
              </w:rPr>
            </w:pPr>
            <w:r>
              <w:rPr>
                <w:rFonts w:ascii="Arial" w:hAnsi="Arial" w:cs="Arial"/>
                <w:color w:val="000000"/>
                <w:sz w:val="16"/>
                <w:szCs w:val="16"/>
              </w:rPr>
              <w:t>134</w:t>
            </w:r>
          </w:p>
        </w:tc>
        <w:tc>
          <w:tcPr>
            <w:tcW w:w="884" w:type="pct"/>
            <w:tcBorders>
              <w:top w:val="nil"/>
              <w:left w:val="nil"/>
              <w:bottom w:val="nil"/>
              <w:right w:val="single" w:sz="8" w:space="0" w:color="auto"/>
            </w:tcBorders>
            <w:shd w:val="clear" w:color="auto" w:fill="auto"/>
            <w:noWrap/>
            <w:vAlign w:val="center"/>
            <w:hideMark/>
          </w:tcPr>
          <w:p w:rsidR="00000CC9" w:rsidRDefault="00000CC9">
            <w:pPr>
              <w:jc w:val="center"/>
              <w:rPr>
                <w:rFonts w:ascii="Arial" w:hAnsi="Arial" w:cs="Arial"/>
                <w:color w:val="000000"/>
                <w:sz w:val="16"/>
                <w:szCs w:val="16"/>
              </w:rPr>
            </w:pPr>
            <w:r>
              <w:rPr>
                <w:rFonts w:ascii="Arial" w:hAnsi="Arial" w:cs="Arial"/>
                <w:color w:val="000000"/>
                <w:sz w:val="16"/>
                <w:szCs w:val="16"/>
              </w:rPr>
              <w:t>127</w:t>
            </w:r>
          </w:p>
        </w:tc>
        <w:tc>
          <w:tcPr>
            <w:tcW w:w="720" w:type="pct"/>
            <w:tcBorders>
              <w:top w:val="nil"/>
              <w:left w:val="nil"/>
              <w:bottom w:val="nil"/>
              <w:right w:val="single" w:sz="8" w:space="0" w:color="auto"/>
            </w:tcBorders>
            <w:shd w:val="clear" w:color="auto" w:fill="auto"/>
            <w:noWrap/>
            <w:vAlign w:val="center"/>
            <w:hideMark/>
          </w:tcPr>
          <w:p w:rsidR="00000CC9" w:rsidRDefault="00000CC9">
            <w:pPr>
              <w:jc w:val="center"/>
              <w:rPr>
                <w:rFonts w:ascii="Arial" w:hAnsi="Arial" w:cs="Arial"/>
                <w:color w:val="000000"/>
                <w:sz w:val="16"/>
                <w:szCs w:val="16"/>
              </w:rPr>
            </w:pPr>
            <w:r>
              <w:rPr>
                <w:rFonts w:ascii="Arial" w:hAnsi="Arial" w:cs="Arial"/>
                <w:color w:val="000000"/>
                <w:sz w:val="16"/>
                <w:szCs w:val="16"/>
              </w:rPr>
              <w:t>19</w:t>
            </w:r>
          </w:p>
        </w:tc>
        <w:tc>
          <w:tcPr>
            <w:tcW w:w="878" w:type="pct"/>
            <w:vMerge w:val="restart"/>
            <w:tcBorders>
              <w:top w:val="nil"/>
              <w:left w:val="single" w:sz="8" w:space="0" w:color="auto"/>
              <w:bottom w:val="single" w:sz="8" w:space="0" w:color="000000"/>
              <w:right w:val="single" w:sz="8" w:space="0" w:color="auto"/>
            </w:tcBorders>
            <w:shd w:val="clear" w:color="auto" w:fill="auto"/>
            <w:noWrap/>
            <w:vAlign w:val="center"/>
            <w:hideMark/>
          </w:tcPr>
          <w:p w:rsidR="00000CC9" w:rsidRDefault="00000CC9">
            <w:pPr>
              <w:jc w:val="center"/>
              <w:rPr>
                <w:rFonts w:ascii="Arial" w:hAnsi="Arial" w:cs="Arial"/>
                <w:color w:val="000000"/>
                <w:sz w:val="16"/>
                <w:szCs w:val="16"/>
              </w:rPr>
            </w:pPr>
            <w:r>
              <w:rPr>
                <w:rFonts w:ascii="Arial" w:hAnsi="Arial" w:cs="Arial"/>
                <w:color w:val="000000"/>
                <w:sz w:val="16"/>
                <w:szCs w:val="16"/>
              </w:rPr>
              <w:t>3</w:t>
            </w:r>
          </w:p>
        </w:tc>
      </w:tr>
      <w:tr w:rsidR="00000CC9" w:rsidTr="00000CC9">
        <w:trPr>
          <w:trHeight w:val="315"/>
        </w:trPr>
        <w:tc>
          <w:tcPr>
            <w:tcW w:w="915" w:type="pct"/>
            <w:vMerge/>
            <w:tcBorders>
              <w:top w:val="nil"/>
              <w:left w:val="single" w:sz="8" w:space="0" w:color="auto"/>
              <w:bottom w:val="single" w:sz="8" w:space="0" w:color="000000"/>
              <w:right w:val="single" w:sz="8" w:space="0" w:color="auto"/>
            </w:tcBorders>
            <w:vAlign w:val="center"/>
            <w:hideMark/>
          </w:tcPr>
          <w:p w:rsidR="00000CC9" w:rsidRDefault="00000CC9">
            <w:pPr>
              <w:rPr>
                <w:rFonts w:ascii="Arial" w:hAnsi="Arial" w:cs="Arial"/>
                <w:color w:val="000000"/>
                <w:sz w:val="16"/>
                <w:szCs w:val="16"/>
              </w:rPr>
            </w:pPr>
          </w:p>
        </w:tc>
        <w:tc>
          <w:tcPr>
            <w:tcW w:w="770" w:type="pct"/>
            <w:tcBorders>
              <w:top w:val="nil"/>
              <w:left w:val="nil"/>
              <w:bottom w:val="single" w:sz="8" w:space="0" w:color="auto"/>
              <w:right w:val="single" w:sz="8" w:space="0" w:color="auto"/>
            </w:tcBorders>
            <w:shd w:val="clear" w:color="auto" w:fill="auto"/>
            <w:noWrap/>
            <w:vAlign w:val="center"/>
            <w:hideMark/>
          </w:tcPr>
          <w:p w:rsidR="00000CC9" w:rsidRDefault="00000CC9">
            <w:pPr>
              <w:jc w:val="center"/>
              <w:rPr>
                <w:rFonts w:ascii="Arial" w:hAnsi="Arial" w:cs="Arial"/>
                <w:color w:val="000000"/>
                <w:sz w:val="16"/>
                <w:szCs w:val="16"/>
              </w:rPr>
            </w:pPr>
            <w:r>
              <w:rPr>
                <w:rFonts w:ascii="Arial" w:hAnsi="Arial" w:cs="Arial"/>
                <w:color w:val="000000"/>
                <w:sz w:val="16"/>
                <w:szCs w:val="16"/>
              </w:rPr>
              <w:t>(vrátane 39)</w:t>
            </w:r>
            <w:r>
              <w:rPr>
                <w:rFonts w:ascii="Arial" w:hAnsi="Arial" w:cs="Arial"/>
                <w:color w:val="000000"/>
                <w:sz w:val="16"/>
                <w:szCs w:val="16"/>
                <w:vertAlign w:val="superscript"/>
              </w:rPr>
              <w:t>2</w:t>
            </w:r>
          </w:p>
        </w:tc>
        <w:tc>
          <w:tcPr>
            <w:tcW w:w="833" w:type="pct"/>
            <w:tcBorders>
              <w:top w:val="nil"/>
              <w:left w:val="nil"/>
              <w:bottom w:val="single" w:sz="8" w:space="0" w:color="auto"/>
              <w:right w:val="single" w:sz="8" w:space="0" w:color="auto"/>
            </w:tcBorders>
            <w:shd w:val="clear" w:color="auto" w:fill="auto"/>
            <w:noWrap/>
            <w:vAlign w:val="center"/>
            <w:hideMark/>
          </w:tcPr>
          <w:p w:rsidR="00000CC9" w:rsidRDefault="00000CC9">
            <w:pPr>
              <w:jc w:val="center"/>
              <w:rPr>
                <w:rFonts w:ascii="Arial" w:hAnsi="Arial" w:cs="Arial"/>
                <w:color w:val="000000"/>
                <w:sz w:val="16"/>
                <w:szCs w:val="16"/>
              </w:rPr>
            </w:pPr>
            <w:r>
              <w:rPr>
                <w:rFonts w:ascii="Arial" w:hAnsi="Arial" w:cs="Arial"/>
                <w:color w:val="000000"/>
                <w:sz w:val="16"/>
                <w:szCs w:val="16"/>
              </w:rPr>
              <w:t>(vrátane 12)</w:t>
            </w:r>
            <w:r>
              <w:rPr>
                <w:rFonts w:ascii="Arial" w:hAnsi="Arial" w:cs="Arial"/>
                <w:color w:val="000000"/>
                <w:sz w:val="16"/>
                <w:szCs w:val="16"/>
                <w:vertAlign w:val="superscript"/>
              </w:rPr>
              <w:t>2</w:t>
            </w:r>
          </w:p>
        </w:tc>
        <w:tc>
          <w:tcPr>
            <w:tcW w:w="884" w:type="pct"/>
            <w:tcBorders>
              <w:top w:val="nil"/>
              <w:left w:val="nil"/>
              <w:bottom w:val="single" w:sz="8" w:space="0" w:color="auto"/>
              <w:right w:val="single" w:sz="8" w:space="0" w:color="auto"/>
            </w:tcBorders>
            <w:shd w:val="clear" w:color="auto" w:fill="auto"/>
            <w:noWrap/>
            <w:vAlign w:val="center"/>
            <w:hideMark/>
          </w:tcPr>
          <w:p w:rsidR="00000CC9" w:rsidRDefault="00000CC9">
            <w:pPr>
              <w:jc w:val="center"/>
              <w:rPr>
                <w:rFonts w:ascii="Arial" w:hAnsi="Arial" w:cs="Arial"/>
                <w:color w:val="000000"/>
                <w:sz w:val="16"/>
                <w:szCs w:val="16"/>
              </w:rPr>
            </w:pPr>
            <w:r>
              <w:rPr>
                <w:rFonts w:ascii="Arial" w:hAnsi="Arial" w:cs="Arial"/>
                <w:color w:val="000000"/>
                <w:sz w:val="16"/>
                <w:szCs w:val="16"/>
              </w:rPr>
              <w:t>(vrátane 10)</w:t>
            </w:r>
            <w:r>
              <w:rPr>
                <w:rFonts w:ascii="Arial" w:hAnsi="Arial" w:cs="Arial"/>
                <w:color w:val="000000"/>
                <w:sz w:val="16"/>
                <w:szCs w:val="16"/>
                <w:vertAlign w:val="superscript"/>
              </w:rPr>
              <w:t>2</w:t>
            </w:r>
          </w:p>
        </w:tc>
        <w:tc>
          <w:tcPr>
            <w:tcW w:w="720" w:type="pct"/>
            <w:tcBorders>
              <w:top w:val="nil"/>
              <w:left w:val="nil"/>
              <w:bottom w:val="single" w:sz="8" w:space="0" w:color="auto"/>
              <w:right w:val="single" w:sz="8" w:space="0" w:color="auto"/>
            </w:tcBorders>
            <w:shd w:val="clear" w:color="auto" w:fill="auto"/>
            <w:noWrap/>
            <w:vAlign w:val="center"/>
            <w:hideMark/>
          </w:tcPr>
          <w:p w:rsidR="00000CC9" w:rsidRDefault="00000CC9">
            <w:pPr>
              <w:jc w:val="center"/>
              <w:rPr>
                <w:rFonts w:ascii="Arial" w:hAnsi="Arial" w:cs="Arial"/>
                <w:color w:val="000000"/>
                <w:sz w:val="16"/>
                <w:szCs w:val="16"/>
              </w:rPr>
            </w:pPr>
            <w:r>
              <w:rPr>
                <w:rFonts w:ascii="Arial" w:hAnsi="Arial" w:cs="Arial"/>
                <w:color w:val="000000"/>
                <w:sz w:val="16"/>
                <w:szCs w:val="16"/>
              </w:rPr>
              <w:t>(vrátane 2)</w:t>
            </w:r>
            <w:r>
              <w:rPr>
                <w:rFonts w:ascii="Arial" w:hAnsi="Arial" w:cs="Arial"/>
                <w:color w:val="000000"/>
                <w:sz w:val="16"/>
                <w:szCs w:val="16"/>
                <w:vertAlign w:val="superscript"/>
              </w:rPr>
              <w:t>2</w:t>
            </w:r>
          </w:p>
        </w:tc>
        <w:tc>
          <w:tcPr>
            <w:tcW w:w="878" w:type="pct"/>
            <w:vMerge/>
            <w:tcBorders>
              <w:top w:val="nil"/>
              <w:left w:val="single" w:sz="8" w:space="0" w:color="auto"/>
              <w:bottom w:val="single" w:sz="8" w:space="0" w:color="000000"/>
              <w:right w:val="single" w:sz="8" w:space="0" w:color="auto"/>
            </w:tcBorders>
            <w:vAlign w:val="center"/>
            <w:hideMark/>
          </w:tcPr>
          <w:p w:rsidR="00000CC9" w:rsidRDefault="00000CC9">
            <w:pPr>
              <w:rPr>
                <w:rFonts w:ascii="Arial" w:hAnsi="Arial" w:cs="Arial"/>
                <w:color w:val="000000"/>
                <w:sz w:val="16"/>
                <w:szCs w:val="16"/>
              </w:rPr>
            </w:pPr>
          </w:p>
        </w:tc>
      </w:tr>
      <w:tr w:rsidR="00000CC9" w:rsidTr="00000CC9">
        <w:trPr>
          <w:trHeight w:val="690"/>
        </w:trPr>
        <w:tc>
          <w:tcPr>
            <w:tcW w:w="915" w:type="pct"/>
            <w:tcBorders>
              <w:top w:val="nil"/>
              <w:left w:val="single" w:sz="8" w:space="0" w:color="auto"/>
              <w:bottom w:val="single" w:sz="8" w:space="0" w:color="auto"/>
              <w:right w:val="single" w:sz="8" w:space="0" w:color="auto"/>
            </w:tcBorders>
            <w:shd w:val="clear" w:color="auto" w:fill="auto"/>
            <w:vAlign w:val="center"/>
            <w:hideMark/>
          </w:tcPr>
          <w:p w:rsidR="00000CC9" w:rsidRDefault="00000CC9">
            <w:pPr>
              <w:rPr>
                <w:rFonts w:ascii="Arial" w:hAnsi="Arial" w:cs="Arial"/>
                <w:color w:val="000000"/>
                <w:sz w:val="16"/>
                <w:szCs w:val="16"/>
              </w:rPr>
            </w:pPr>
            <w:r>
              <w:rPr>
                <w:rFonts w:ascii="Arial" w:hAnsi="Arial" w:cs="Arial"/>
                <w:color w:val="000000"/>
                <w:sz w:val="16"/>
                <w:szCs w:val="16"/>
              </w:rPr>
              <w:t>54 - Iné opatrenia na zachovanie životného prostredia a predchádzanie rizikám</w:t>
            </w:r>
          </w:p>
        </w:tc>
        <w:tc>
          <w:tcPr>
            <w:tcW w:w="770" w:type="pct"/>
            <w:tcBorders>
              <w:top w:val="nil"/>
              <w:left w:val="nil"/>
              <w:bottom w:val="single" w:sz="8" w:space="0" w:color="auto"/>
              <w:right w:val="single" w:sz="8" w:space="0" w:color="auto"/>
            </w:tcBorders>
            <w:shd w:val="clear" w:color="auto" w:fill="auto"/>
            <w:noWrap/>
            <w:vAlign w:val="center"/>
            <w:hideMark/>
          </w:tcPr>
          <w:p w:rsidR="00000CC9" w:rsidRDefault="00000CC9">
            <w:pPr>
              <w:jc w:val="center"/>
              <w:rPr>
                <w:rFonts w:ascii="Arial" w:hAnsi="Arial" w:cs="Arial"/>
                <w:color w:val="000000"/>
                <w:sz w:val="16"/>
                <w:szCs w:val="16"/>
              </w:rPr>
            </w:pPr>
            <w:r>
              <w:rPr>
                <w:rFonts w:ascii="Arial" w:hAnsi="Arial" w:cs="Arial"/>
                <w:color w:val="000000"/>
                <w:sz w:val="16"/>
                <w:szCs w:val="16"/>
              </w:rPr>
              <w:t>15</w:t>
            </w:r>
          </w:p>
        </w:tc>
        <w:tc>
          <w:tcPr>
            <w:tcW w:w="833" w:type="pct"/>
            <w:tcBorders>
              <w:top w:val="nil"/>
              <w:left w:val="nil"/>
              <w:bottom w:val="single" w:sz="8" w:space="0" w:color="auto"/>
              <w:right w:val="single" w:sz="8" w:space="0" w:color="auto"/>
            </w:tcBorders>
            <w:shd w:val="clear" w:color="auto" w:fill="auto"/>
            <w:noWrap/>
            <w:vAlign w:val="center"/>
            <w:hideMark/>
          </w:tcPr>
          <w:p w:rsidR="00000CC9" w:rsidRDefault="00000CC9">
            <w:pPr>
              <w:jc w:val="center"/>
              <w:rPr>
                <w:rFonts w:ascii="Arial" w:hAnsi="Arial" w:cs="Arial"/>
                <w:color w:val="000000"/>
                <w:sz w:val="16"/>
                <w:szCs w:val="16"/>
              </w:rPr>
            </w:pPr>
            <w:r>
              <w:rPr>
                <w:rFonts w:ascii="Arial" w:hAnsi="Arial" w:cs="Arial"/>
                <w:color w:val="000000"/>
                <w:sz w:val="16"/>
                <w:szCs w:val="16"/>
              </w:rPr>
              <w:t>10</w:t>
            </w:r>
          </w:p>
        </w:tc>
        <w:tc>
          <w:tcPr>
            <w:tcW w:w="884" w:type="pct"/>
            <w:tcBorders>
              <w:top w:val="nil"/>
              <w:left w:val="nil"/>
              <w:bottom w:val="single" w:sz="8" w:space="0" w:color="auto"/>
              <w:right w:val="single" w:sz="8" w:space="0" w:color="auto"/>
            </w:tcBorders>
            <w:shd w:val="clear" w:color="auto" w:fill="auto"/>
            <w:noWrap/>
            <w:vAlign w:val="center"/>
            <w:hideMark/>
          </w:tcPr>
          <w:p w:rsidR="00000CC9" w:rsidRDefault="00000CC9">
            <w:pPr>
              <w:jc w:val="center"/>
              <w:rPr>
                <w:rFonts w:ascii="Arial" w:hAnsi="Arial" w:cs="Arial"/>
                <w:color w:val="000000"/>
                <w:sz w:val="16"/>
                <w:szCs w:val="16"/>
              </w:rPr>
            </w:pPr>
            <w:r>
              <w:rPr>
                <w:rFonts w:ascii="Arial" w:hAnsi="Arial" w:cs="Arial"/>
                <w:color w:val="000000"/>
                <w:sz w:val="16"/>
                <w:szCs w:val="16"/>
              </w:rPr>
              <w:t>4</w:t>
            </w:r>
          </w:p>
        </w:tc>
        <w:tc>
          <w:tcPr>
            <w:tcW w:w="720" w:type="pct"/>
            <w:tcBorders>
              <w:top w:val="nil"/>
              <w:left w:val="nil"/>
              <w:bottom w:val="single" w:sz="8" w:space="0" w:color="auto"/>
              <w:right w:val="single" w:sz="8" w:space="0" w:color="auto"/>
            </w:tcBorders>
            <w:shd w:val="clear" w:color="auto" w:fill="auto"/>
            <w:noWrap/>
            <w:vAlign w:val="center"/>
            <w:hideMark/>
          </w:tcPr>
          <w:p w:rsidR="00000CC9" w:rsidRDefault="00000CC9">
            <w:pPr>
              <w:jc w:val="center"/>
              <w:rPr>
                <w:rFonts w:ascii="Arial" w:hAnsi="Arial" w:cs="Arial"/>
                <w:color w:val="000000"/>
                <w:sz w:val="16"/>
                <w:szCs w:val="16"/>
              </w:rPr>
            </w:pPr>
            <w:r>
              <w:rPr>
                <w:rFonts w:ascii="Arial" w:hAnsi="Arial" w:cs="Arial"/>
                <w:color w:val="000000"/>
                <w:sz w:val="16"/>
                <w:szCs w:val="16"/>
              </w:rPr>
              <w:t>2</w:t>
            </w:r>
          </w:p>
        </w:tc>
        <w:tc>
          <w:tcPr>
            <w:tcW w:w="878" w:type="pct"/>
            <w:tcBorders>
              <w:top w:val="nil"/>
              <w:left w:val="nil"/>
              <w:bottom w:val="single" w:sz="8" w:space="0" w:color="auto"/>
              <w:right w:val="single" w:sz="8" w:space="0" w:color="auto"/>
            </w:tcBorders>
            <w:shd w:val="clear" w:color="auto" w:fill="auto"/>
            <w:noWrap/>
            <w:vAlign w:val="center"/>
            <w:hideMark/>
          </w:tcPr>
          <w:p w:rsidR="00000CC9" w:rsidRDefault="00000CC9">
            <w:pPr>
              <w:jc w:val="center"/>
              <w:rPr>
                <w:rFonts w:ascii="Arial" w:hAnsi="Arial" w:cs="Arial"/>
                <w:color w:val="000000"/>
                <w:sz w:val="16"/>
                <w:szCs w:val="16"/>
              </w:rPr>
            </w:pPr>
            <w:r>
              <w:rPr>
                <w:rFonts w:ascii="Arial" w:hAnsi="Arial" w:cs="Arial"/>
                <w:color w:val="000000"/>
                <w:sz w:val="16"/>
                <w:szCs w:val="16"/>
              </w:rPr>
              <w:t>2</w:t>
            </w:r>
          </w:p>
        </w:tc>
      </w:tr>
      <w:tr w:rsidR="00000CC9" w:rsidTr="00000CC9">
        <w:trPr>
          <w:trHeight w:val="315"/>
        </w:trPr>
        <w:tc>
          <w:tcPr>
            <w:tcW w:w="915" w:type="pct"/>
            <w:tcBorders>
              <w:top w:val="nil"/>
              <w:left w:val="single" w:sz="8" w:space="0" w:color="auto"/>
              <w:bottom w:val="single" w:sz="8" w:space="0" w:color="auto"/>
              <w:right w:val="single" w:sz="8" w:space="0" w:color="auto"/>
            </w:tcBorders>
            <w:shd w:val="clear" w:color="000000" w:fill="EAF1DD"/>
            <w:vAlign w:val="center"/>
            <w:hideMark/>
          </w:tcPr>
          <w:p w:rsidR="00000CC9" w:rsidRDefault="00000CC9">
            <w:pPr>
              <w:rPr>
                <w:rFonts w:ascii="Arial" w:hAnsi="Arial" w:cs="Arial"/>
                <w:b/>
                <w:bCs/>
                <w:color w:val="000000"/>
                <w:sz w:val="16"/>
                <w:szCs w:val="16"/>
              </w:rPr>
            </w:pPr>
            <w:r>
              <w:rPr>
                <w:rFonts w:ascii="Arial" w:hAnsi="Arial" w:cs="Arial"/>
                <w:b/>
                <w:bCs/>
                <w:color w:val="000000"/>
                <w:sz w:val="16"/>
                <w:szCs w:val="16"/>
              </w:rPr>
              <w:t>Celkom</w:t>
            </w:r>
          </w:p>
        </w:tc>
        <w:tc>
          <w:tcPr>
            <w:tcW w:w="770" w:type="pct"/>
            <w:tcBorders>
              <w:top w:val="nil"/>
              <w:left w:val="nil"/>
              <w:bottom w:val="single" w:sz="8" w:space="0" w:color="auto"/>
              <w:right w:val="single" w:sz="8" w:space="0" w:color="auto"/>
            </w:tcBorders>
            <w:shd w:val="clear" w:color="000000" w:fill="EAF1DD"/>
            <w:noWrap/>
            <w:vAlign w:val="center"/>
            <w:hideMark/>
          </w:tcPr>
          <w:p w:rsidR="00000CC9" w:rsidRDefault="00000CC9">
            <w:pPr>
              <w:jc w:val="center"/>
              <w:rPr>
                <w:rFonts w:ascii="Arial" w:hAnsi="Arial" w:cs="Arial"/>
                <w:b/>
                <w:bCs/>
                <w:color w:val="000000"/>
                <w:sz w:val="16"/>
                <w:szCs w:val="16"/>
              </w:rPr>
            </w:pPr>
            <w:r>
              <w:rPr>
                <w:rFonts w:ascii="Arial" w:hAnsi="Arial" w:cs="Arial"/>
                <w:b/>
                <w:bCs/>
                <w:color w:val="000000"/>
                <w:sz w:val="16"/>
                <w:szCs w:val="16"/>
              </w:rPr>
              <w:t>408</w:t>
            </w:r>
          </w:p>
        </w:tc>
        <w:tc>
          <w:tcPr>
            <w:tcW w:w="833" w:type="pct"/>
            <w:tcBorders>
              <w:top w:val="nil"/>
              <w:left w:val="nil"/>
              <w:bottom w:val="single" w:sz="8" w:space="0" w:color="auto"/>
              <w:right w:val="single" w:sz="8" w:space="0" w:color="auto"/>
            </w:tcBorders>
            <w:shd w:val="clear" w:color="000000" w:fill="EAF1DD"/>
            <w:noWrap/>
            <w:vAlign w:val="center"/>
            <w:hideMark/>
          </w:tcPr>
          <w:p w:rsidR="00000CC9" w:rsidRDefault="00000CC9">
            <w:pPr>
              <w:jc w:val="center"/>
              <w:rPr>
                <w:rFonts w:ascii="Arial" w:hAnsi="Arial" w:cs="Arial"/>
                <w:b/>
                <w:bCs/>
                <w:color w:val="000000"/>
                <w:sz w:val="16"/>
                <w:szCs w:val="16"/>
              </w:rPr>
            </w:pPr>
            <w:r>
              <w:rPr>
                <w:rFonts w:ascii="Arial" w:hAnsi="Arial" w:cs="Arial"/>
                <w:b/>
                <w:bCs/>
                <w:color w:val="000000"/>
                <w:sz w:val="16"/>
                <w:szCs w:val="16"/>
              </w:rPr>
              <w:t>161</w:t>
            </w:r>
          </w:p>
        </w:tc>
        <w:tc>
          <w:tcPr>
            <w:tcW w:w="884" w:type="pct"/>
            <w:tcBorders>
              <w:top w:val="nil"/>
              <w:left w:val="nil"/>
              <w:bottom w:val="single" w:sz="8" w:space="0" w:color="auto"/>
              <w:right w:val="single" w:sz="8" w:space="0" w:color="auto"/>
            </w:tcBorders>
            <w:shd w:val="clear" w:color="000000" w:fill="EAF1DD"/>
            <w:noWrap/>
            <w:vAlign w:val="center"/>
            <w:hideMark/>
          </w:tcPr>
          <w:p w:rsidR="00000CC9" w:rsidRDefault="00000CC9">
            <w:pPr>
              <w:jc w:val="center"/>
              <w:rPr>
                <w:rFonts w:ascii="Arial" w:hAnsi="Arial" w:cs="Arial"/>
                <w:b/>
                <w:bCs/>
                <w:color w:val="000000"/>
                <w:sz w:val="16"/>
                <w:szCs w:val="16"/>
              </w:rPr>
            </w:pPr>
            <w:r>
              <w:rPr>
                <w:rFonts w:ascii="Arial" w:hAnsi="Arial" w:cs="Arial"/>
                <w:b/>
                <w:bCs/>
                <w:color w:val="000000"/>
                <w:sz w:val="16"/>
                <w:szCs w:val="16"/>
              </w:rPr>
              <w:t>148</w:t>
            </w:r>
          </w:p>
        </w:tc>
        <w:tc>
          <w:tcPr>
            <w:tcW w:w="720" w:type="pct"/>
            <w:tcBorders>
              <w:top w:val="nil"/>
              <w:left w:val="nil"/>
              <w:bottom w:val="single" w:sz="8" w:space="0" w:color="auto"/>
              <w:right w:val="single" w:sz="8" w:space="0" w:color="auto"/>
            </w:tcBorders>
            <w:shd w:val="clear" w:color="000000" w:fill="EAF1DD"/>
            <w:noWrap/>
            <w:vAlign w:val="center"/>
            <w:hideMark/>
          </w:tcPr>
          <w:p w:rsidR="00000CC9" w:rsidRDefault="00000CC9">
            <w:pPr>
              <w:jc w:val="center"/>
              <w:rPr>
                <w:rFonts w:ascii="Arial" w:hAnsi="Arial" w:cs="Arial"/>
                <w:b/>
                <w:bCs/>
                <w:color w:val="000000"/>
                <w:sz w:val="16"/>
                <w:szCs w:val="16"/>
              </w:rPr>
            </w:pPr>
            <w:r>
              <w:rPr>
                <w:rFonts w:ascii="Arial" w:hAnsi="Arial" w:cs="Arial"/>
                <w:b/>
                <w:bCs/>
                <w:color w:val="000000"/>
                <w:sz w:val="16"/>
                <w:szCs w:val="16"/>
              </w:rPr>
              <w:t>25</w:t>
            </w:r>
          </w:p>
        </w:tc>
        <w:tc>
          <w:tcPr>
            <w:tcW w:w="878" w:type="pct"/>
            <w:tcBorders>
              <w:top w:val="nil"/>
              <w:left w:val="nil"/>
              <w:bottom w:val="single" w:sz="8" w:space="0" w:color="auto"/>
              <w:right w:val="single" w:sz="8" w:space="0" w:color="auto"/>
            </w:tcBorders>
            <w:shd w:val="clear" w:color="000000" w:fill="EAF1DD"/>
            <w:noWrap/>
            <w:vAlign w:val="center"/>
            <w:hideMark/>
          </w:tcPr>
          <w:p w:rsidR="00000CC9" w:rsidRDefault="00000CC9">
            <w:pPr>
              <w:jc w:val="center"/>
              <w:rPr>
                <w:rFonts w:ascii="Arial" w:hAnsi="Arial" w:cs="Arial"/>
                <w:b/>
                <w:bCs/>
                <w:color w:val="000000"/>
                <w:sz w:val="16"/>
                <w:szCs w:val="16"/>
              </w:rPr>
            </w:pPr>
            <w:r>
              <w:rPr>
                <w:rFonts w:ascii="Arial" w:hAnsi="Arial" w:cs="Arial"/>
                <w:b/>
                <w:bCs/>
                <w:color w:val="000000"/>
                <w:sz w:val="16"/>
                <w:szCs w:val="16"/>
              </w:rPr>
              <w:t>5</w:t>
            </w:r>
          </w:p>
        </w:tc>
      </w:tr>
      <w:tr w:rsidR="00000CC9" w:rsidTr="00000CC9">
        <w:trPr>
          <w:trHeight w:val="315"/>
        </w:trPr>
        <w:tc>
          <w:tcPr>
            <w:tcW w:w="5000" w:type="pct"/>
            <w:gridSpan w:val="6"/>
            <w:tcBorders>
              <w:top w:val="single" w:sz="8" w:space="0" w:color="auto"/>
              <w:left w:val="nil"/>
              <w:bottom w:val="single" w:sz="8" w:space="0" w:color="auto"/>
              <w:right w:val="nil"/>
            </w:tcBorders>
            <w:shd w:val="clear" w:color="auto" w:fill="auto"/>
            <w:vAlign w:val="center"/>
            <w:hideMark/>
          </w:tcPr>
          <w:p w:rsidR="00000CC9" w:rsidRDefault="00000CC9">
            <w:pPr>
              <w:rPr>
                <w:rFonts w:ascii="Arial" w:hAnsi="Arial" w:cs="Arial"/>
                <w:b/>
                <w:bCs/>
                <w:i/>
                <w:iCs/>
                <w:color w:val="000000"/>
                <w:sz w:val="16"/>
                <w:szCs w:val="16"/>
              </w:rPr>
            </w:pPr>
            <w:r>
              <w:rPr>
                <w:rFonts w:ascii="Arial" w:hAnsi="Arial" w:cs="Arial"/>
                <w:b/>
                <w:bCs/>
                <w:i/>
                <w:iCs/>
                <w:color w:val="000000"/>
                <w:sz w:val="16"/>
                <w:szCs w:val="16"/>
              </w:rPr>
              <w:t>Finančné vyčíslenie ŠF/KF a ŠR v €</w:t>
            </w:r>
          </w:p>
        </w:tc>
      </w:tr>
      <w:tr w:rsidR="00000CC9" w:rsidTr="00000CC9">
        <w:trPr>
          <w:trHeight w:val="465"/>
        </w:trPr>
        <w:tc>
          <w:tcPr>
            <w:tcW w:w="915" w:type="pct"/>
            <w:tcBorders>
              <w:top w:val="nil"/>
              <w:left w:val="single" w:sz="8" w:space="0" w:color="auto"/>
              <w:bottom w:val="single" w:sz="8" w:space="0" w:color="auto"/>
              <w:right w:val="single" w:sz="8" w:space="0" w:color="auto"/>
            </w:tcBorders>
            <w:shd w:val="clear" w:color="000000" w:fill="D6E3BC"/>
            <w:vAlign w:val="center"/>
            <w:hideMark/>
          </w:tcPr>
          <w:p w:rsidR="00000CC9" w:rsidRDefault="00000CC9">
            <w:pPr>
              <w:jc w:val="center"/>
              <w:rPr>
                <w:rFonts w:ascii="Arial" w:hAnsi="Arial" w:cs="Arial"/>
                <w:b/>
                <w:bCs/>
                <w:color w:val="000000"/>
                <w:sz w:val="16"/>
                <w:szCs w:val="16"/>
              </w:rPr>
            </w:pPr>
            <w:r>
              <w:rPr>
                <w:rFonts w:ascii="Arial" w:hAnsi="Arial" w:cs="Arial"/>
                <w:b/>
                <w:bCs/>
                <w:color w:val="000000"/>
                <w:sz w:val="16"/>
                <w:szCs w:val="16"/>
              </w:rPr>
              <w:t>Hlavná téma</w:t>
            </w:r>
          </w:p>
        </w:tc>
        <w:tc>
          <w:tcPr>
            <w:tcW w:w="770" w:type="pct"/>
            <w:tcBorders>
              <w:top w:val="nil"/>
              <w:left w:val="nil"/>
              <w:bottom w:val="single" w:sz="8" w:space="0" w:color="auto"/>
              <w:right w:val="single" w:sz="8" w:space="0" w:color="auto"/>
            </w:tcBorders>
            <w:shd w:val="clear" w:color="000000" w:fill="D6E3BC"/>
            <w:vAlign w:val="center"/>
            <w:hideMark/>
          </w:tcPr>
          <w:p w:rsidR="00000CC9" w:rsidRDefault="00000CC9">
            <w:pPr>
              <w:jc w:val="center"/>
              <w:rPr>
                <w:rFonts w:ascii="Arial" w:hAnsi="Arial" w:cs="Arial"/>
                <w:b/>
                <w:bCs/>
                <w:color w:val="000000"/>
                <w:sz w:val="16"/>
                <w:szCs w:val="16"/>
              </w:rPr>
            </w:pPr>
            <w:r>
              <w:rPr>
                <w:rFonts w:ascii="Arial" w:hAnsi="Arial" w:cs="Arial"/>
                <w:b/>
                <w:bCs/>
                <w:color w:val="000000"/>
                <w:sz w:val="16"/>
                <w:szCs w:val="16"/>
              </w:rPr>
              <w:t>Výška žiadaného príspevku (NFP)</w:t>
            </w:r>
          </w:p>
        </w:tc>
        <w:tc>
          <w:tcPr>
            <w:tcW w:w="833" w:type="pct"/>
            <w:tcBorders>
              <w:top w:val="nil"/>
              <w:left w:val="nil"/>
              <w:bottom w:val="single" w:sz="8" w:space="0" w:color="auto"/>
              <w:right w:val="single" w:sz="8" w:space="0" w:color="auto"/>
            </w:tcBorders>
            <w:shd w:val="clear" w:color="000000" w:fill="D6E3BC"/>
            <w:vAlign w:val="center"/>
            <w:hideMark/>
          </w:tcPr>
          <w:p w:rsidR="00000CC9" w:rsidRDefault="00000CC9">
            <w:pPr>
              <w:jc w:val="center"/>
              <w:rPr>
                <w:rFonts w:ascii="Arial" w:hAnsi="Arial" w:cs="Arial"/>
                <w:b/>
                <w:bCs/>
                <w:color w:val="000000"/>
                <w:sz w:val="16"/>
                <w:szCs w:val="16"/>
              </w:rPr>
            </w:pPr>
            <w:r>
              <w:rPr>
                <w:rFonts w:ascii="Arial" w:hAnsi="Arial" w:cs="Arial"/>
                <w:b/>
                <w:bCs/>
                <w:color w:val="000000"/>
                <w:sz w:val="16"/>
                <w:szCs w:val="16"/>
              </w:rPr>
              <w:t>Výška schváleného príspevku (NFP)</w:t>
            </w:r>
          </w:p>
        </w:tc>
        <w:tc>
          <w:tcPr>
            <w:tcW w:w="884" w:type="pct"/>
            <w:tcBorders>
              <w:top w:val="nil"/>
              <w:left w:val="nil"/>
              <w:bottom w:val="single" w:sz="8" w:space="0" w:color="auto"/>
              <w:right w:val="single" w:sz="8" w:space="0" w:color="auto"/>
            </w:tcBorders>
            <w:shd w:val="clear" w:color="000000" w:fill="D6E3BC"/>
            <w:vAlign w:val="center"/>
            <w:hideMark/>
          </w:tcPr>
          <w:p w:rsidR="00000CC9" w:rsidRDefault="00000CC9">
            <w:pPr>
              <w:jc w:val="center"/>
              <w:rPr>
                <w:rFonts w:ascii="Arial" w:hAnsi="Arial" w:cs="Arial"/>
                <w:b/>
                <w:bCs/>
                <w:color w:val="000000"/>
                <w:sz w:val="16"/>
                <w:szCs w:val="16"/>
              </w:rPr>
            </w:pPr>
            <w:r>
              <w:rPr>
                <w:rFonts w:ascii="Arial" w:hAnsi="Arial" w:cs="Arial"/>
                <w:b/>
                <w:bCs/>
                <w:color w:val="000000"/>
                <w:sz w:val="16"/>
                <w:szCs w:val="16"/>
              </w:rPr>
              <w:t>Výška zazmluvnených prostriedkov (NFP)</w:t>
            </w:r>
          </w:p>
        </w:tc>
        <w:tc>
          <w:tcPr>
            <w:tcW w:w="720" w:type="pct"/>
            <w:tcBorders>
              <w:top w:val="nil"/>
              <w:left w:val="nil"/>
              <w:bottom w:val="single" w:sz="8" w:space="0" w:color="auto"/>
              <w:right w:val="single" w:sz="8" w:space="0" w:color="auto"/>
            </w:tcBorders>
            <w:shd w:val="clear" w:color="000000" w:fill="D6E3BC"/>
            <w:vAlign w:val="center"/>
            <w:hideMark/>
          </w:tcPr>
          <w:p w:rsidR="00000CC9" w:rsidRDefault="00000CC9">
            <w:pPr>
              <w:jc w:val="center"/>
              <w:rPr>
                <w:rFonts w:ascii="Arial" w:hAnsi="Arial" w:cs="Arial"/>
                <w:b/>
                <w:bCs/>
                <w:color w:val="000000"/>
                <w:sz w:val="16"/>
                <w:szCs w:val="16"/>
              </w:rPr>
            </w:pPr>
            <w:r>
              <w:rPr>
                <w:rFonts w:ascii="Arial" w:hAnsi="Arial" w:cs="Arial"/>
                <w:b/>
                <w:bCs/>
                <w:color w:val="000000"/>
                <w:sz w:val="16"/>
                <w:szCs w:val="16"/>
              </w:rPr>
              <w:t xml:space="preserve">Výška riadne ukončených projektov </w:t>
            </w:r>
            <w:r>
              <w:rPr>
                <w:rFonts w:ascii="Arial" w:hAnsi="Arial" w:cs="Arial"/>
                <w:b/>
                <w:bCs/>
                <w:color w:val="000000"/>
                <w:sz w:val="16"/>
                <w:szCs w:val="16"/>
                <w:vertAlign w:val="superscript"/>
              </w:rPr>
              <w:t>1</w:t>
            </w:r>
          </w:p>
        </w:tc>
        <w:tc>
          <w:tcPr>
            <w:tcW w:w="878" w:type="pct"/>
            <w:tcBorders>
              <w:top w:val="nil"/>
              <w:left w:val="nil"/>
              <w:bottom w:val="single" w:sz="8" w:space="0" w:color="auto"/>
              <w:right w:val="single" w:sz="8" w:space="0" w:color="auto"/>
            </w:tcBorders>
            <w:shd w:val="clear" w:color="000000" w:fill="D6E3BC"/>
            <w:vAlign w:val="center"/>
            <w:hideMark/>
          </w:tcPr>
          <w:p w:rsidR="00000CC9" w:rsidRDefault="00000CC9">
            <w:pPr>
              <w:jc w:val="center"/>
              <w:rPr>
                <w:rFonts w:ascii="Arial" w:hAnsi="Arial" w:cs="Arial"/>
                <w:b/>
                <w:bCs/>
                <w:color w:val="000000"/>
                <w:sz w:val="16"/>
                <w:szCs w:val="16"/>
              </w:rPr>
            </w:pPr>
            <w:r>
              <w:rPr>
                <w:rFonts w:ascii="Arial" w:hAnsi="Arial" w:cs="Arial"/>
                <w:b/>
                <w:bCs/>
                <w:color w:val="000000"/>
                <w:sz w:val="16"/>
                <w:szCs w:val="16"/>
              </w:rPr>
              <w:t>Výška mimoriadne ukončených projektov</w:t>
            </w:r>
          </w:p>
        </w:tc>
      </w:tr>
      <w:tr w:rsidR="00000CC9" w:rsidTr="00000CC9">
        <w:trPr>
          <w:trHeight w:val="465"/>
        </w:trPr>
        <w:tc>
          <w:tcPr>
            <w:tcW w:w="915" w:type="pct"/>
            <w:tcBorders>
              <w:top w:val="nil"/>
              <w:left w:val="single" w:sz="8" w:space="0" w:color="auto"/>
              <w:bottom w:val="single" w:sz="8" w:space="0" w:color="auto"/>
              <w:right w:val="single" w:sz="8" w:space="0" w:color="auto"/>
            </w:tcBorders>
            <w:shd w:val="clear" w:color="auto" w:fill="auto"/>
            <w:vAlign w:val="center"/>
            <w:hideMark/>
          </w:tcPr>
          <w:p w:rsidR="00000CC9" w:rsidRDefault="00000CC9">
            <w:pPr>
              <w:rPr>
                <w:rFonts w:ascii="Arial" w:hAnsi="Arial" w:cs="Arial"/>
                <w:color w:val="000000"/>
                <w:sz w:val="16"/>
                <w:szCs w:val="16"/>
              </w:rPr>
            </w:pPr>
            <w:r>
              <w:rPr>
                <w:rFonts w:ascii="Arial" w:hAnsi="Arial" w:cs="Arial"/>
                <w:color w:val="000000"/>
                <w:sz w:val="16"/>
                <w:szCs w:val="16"/>
              </w:rPr>
              <w:t>45 - Hospodárenie s vodou a jej distribúcia (pitná voda)</w:t>
            </w:r>
          </w:p>
        </w:tc>
        <w:tc>
          <w:tcPr>
            <w:tcW w:w="770" w:type="pct"/>
            <w:tcBorders>
              <w:top w:val="nil"/>
              <w:left w:val="nil"/>
              <w:bottom w:val="single" w:sz="8" w:space="0" w:color="auto"/>
              <w:right w:val="single" w:sz="8" w:space="0" w:color="auto"/>
            </w:tcBorders>
            <w:shd w:val="clear" w:color="auto" w:fill="auto"/>
            <w:noWrap/>
            <w:vAlign w:val="center"/>
            <w:hideMark/>
          </w:tcPr>
          <w:p w:rsidR="00000CC9" w:rsidRDefault="00000CC9">
            <w:pPr>
              <w:jc w:val="center"/>
              <w:rPr>
                <w:rFonts w:ascii="Arial" w:hAnsi="Arial" w:cs="Arial"/>
                <w:color w:val="000000"/>
                <w:sz w:val="16"/>
                <w:szCs w:val="16"/>
              </w:rPr>
            </w:pPr>
            <w:r>
              <w:rPr>
                <w:rFonts w:ascii="Arial" w:hAnsi="Arial" w:cs="Arial"/>
                <w:color w:val="000000"/>
                <w:sz w:val="16"/>
                <w:szCs w:val="16"/>
              </w:rPr>
              <w:t>295 403 556</w:t>
            </w:r>
          </w:p>
        </w:tc>
        <w:tc>
          <w:tcPr>
            <w:tcW w:w="833" w:type="pct"/>
            <w:tcBorders>
              <w:top w:val="nil"/>
              <w:left w:val="nil"/>
              <w:bottom w:val="single" w:sz="8" w:space="0" w:color="auto"/>
              <w:right w:val="single" w:sz="8" w:space="0" w:color="auto"/>
            </w:tcBorders>
            <w:shd w:val="clear" w:color="auto" w:fill="auto"/>
            <w:noWrap/>
            <w:vAlign w:val="center"/>
            <w:hideMark/>
          </w:tcPr>
          <w:p w:rsidR="00000CC9" w:rsidRDefault="00000CC9">
            <w:pPr>
              <w:jc w:val="center"/>
              <w:rPr>
                <w:rFonts w:ascii="Arial" w:hAnsi="Arial" w:cs="Arial"/>
                <w:color w:val="000000"/>
                <w:sz w:val="16"/>
                <w:szCs w:val="16"/>
              </w:rPr>
            </w:pPr>
            <w:r>
              <w:rPr>
                <w:rFonts w:ascii="Arial" w:hAnsi="Arial" w:cs="Arial"/>
                <w:color w:val="000000"/>
                <w:sz w:val="16"/>
                <w:szCs w:val="16"/>
              </w:rPr>
              <w:t>78 085 111</w:t>
            </w:r>
          </w:p>
        </w:tc>
        <w:tc>
          <w:tcPr>
            <w:tcW w:w="884" w:type="pct"/>
            <w:tcBorders>
              <w:top w:val="nil"/>
              <w:left w:val="nil"/>
              <w:bottom w:val="single" w:sz="8" w:space="0" w:color="auto"/>
              <w:right w:val="single" w:sz="8" w:space="0" w:color="auto"/>
            </w:tcBorders>
            <w:shd w:val="clear" w:color="auto" w:fill="auto"/>
            <w:noWrap/>
            <w:vAlign w:val="center"/>
            <w:hideMark/>
          </w:tcPr>
          <w:p w:rsidR="00000CC9" w:rsidRDefault="00000CC9">
            <w:pPr>
              <w:jc w:val="center"/>
              <w:rPr>
                <w:rFonts w:ascii="Arial" w:hAnsi="Arial" w:cs="Arial"/>
                <w:color w:val="000000"/>
                <w:sz w:val="16"/>
                <w:szCs w:val="16"/>
              </w:rPr>
            </w:pPr>
            <w:r>
              <w:rPr>
                <w:rFonts w:ascii="Arial" w:hAnsi="Arial" w:cs="Arial"/>
                <w:color w:val="000000"/>
                <w:sz w:val="16"/>
                <w:szCs w:val="16"/>
              </w:rPr>
              <w:t>65 033 191</w:t>
            </w:r>
          </w:p>
        </w:tc>
        <w:tc>
          <w:tcPr>
            <w:tcW w:w="720" w:type="pct"/>
            <w:tcBorders>
              <w:top w:val="nil"/>
              <w:left w:val="nil"/>
              <w:bottom w:val="single" w:sz="8" w:space="0" w:color="auto"/>
              <w:right w:val="single" w:sz="8" w:space="0" w:color="auto"/>
            </w:tcBorders>
            <w:shd w:val="clear" w:color="auto" w:fill="auto"/>
            <w:noWrap/>
            <w:vAlign w:val="center"/>
            <w:hideMark/>
          </w:tcPr>
          <w:p w:rsidR="00000CC9" w:rsidRDefault="00000CC9">
            <w:pPr>
              <w:jc w:val="center"/>
              <w:rPr>
                <w:rFonts w:ascii="Arial" w:hAnsi="Arial" w:cs="Arial"/>
                <w:color w:val="000000"/>
                <w:sz w:val="16"/>
                <w:szCs w:val="16"/>
              </w:rPr>
            </w:pPr>
            <w:r>
              <w:rPr>
                <w:rFonts w:ascii="Arial" w:hAnsi="Arial" w:cs="Arial"/>
                <w:color w:val="000000"/>
                <w:sz w:val="16"/>
                <w:szCs w:val="16"/>
              </w:rPr>
              <w:t>8 671 651</w:t>
            </w:r>
          </w:p>
        </w:tc>
        <w:tc>
          <w:tcPr>
            <w:tcW w:w="878" w:type="pct"/>
            <w:tcBorders>
              <w:top w:val="nil"/>
              <w:left w:val="nil"/>
              <w:bottom w:val="single" w:sz="8" w:space="0" w:color="auto"/>
              <w:right w:val="single" w:sz="8" w:space="0" w:color="auto"/>
            </w:tcBorders>
            <w:shd w:val="clear" w:color="auto" w:fill="auto"/>
            <w:noWrap/>
            <w:vAlign w:val="center"/>
            <w:hideMark/>
          </w:tcPr>
          <w:p w:rsidR="00000CC9" w:rsidRDefault="00000CC9">
            <w:pPr>
              <w:jc w:val="center"/>
              <w:rPr>
                <w:rFonts w:ascii="Arial" w:hAnsi="Arial" w:cs="Arial"/>
                <w:color w:val="000000"/>
                <w:sz w:val="16"/>
                <w:szCs w:val="16"/>
              </w:rPr>
            </w:pPr>
            <w:r>
              <w:rPr>
                <w:rFonts w:ascii="Arial" w:hAnsi="Arial" w:cs="Arial"/>
                <w:color w:val="000000"/>
                <w:sz w:val="16"/>
                <w:szCs w:val="16"/>
              </w:rPr>
              <w:t>0</w:t>
            </w:r>
          </w:p>
        </w:tc>
      </w:tr>
      <w:tr w:rsidR="00000CC9" w:rsidTr="00000CC9">
        <w:trPr>
          <w:trHeight w:val="465"/>
        </w:trPr>
        <w:tc>
          <w:tcPr>
            <w:tcW w:w="915" w:type="pct"/>
            <w:tcBorders>
              <w:top w:val="nil"/>
              <w:left w:val="single" w:sz="8" w:space="0" w:color="auto"/>
              <w:bottom w:val="single" w:sz="8" w:space="0" w:color="auto"/>
              <w:right w:val="single" w:sz="8" w:space="0" w:color="auto"/>
            </w:tcBorders>
            <w:shd w:val="clear" w:color="auto" w:fill="auto"/>
            <w:vAlign w:val="center"/>
            <w:hideMark/>
          </w:tcPr>
          <w:p w:rsidR="00000CC9" w:rsidRDefault="00000CC9">
            <w:pPr>
              <w:rPr>
                <w:rFonts w:ascii="Arial" w:hAnsi="Arial" w:cs="Arial"/>
                <w:color w:val="000000"/>
                <w:sz w:val="16"/>
                <w:szCs w:val="16"/>
              </w:rPr>
            </w:pPr>
            <w:r>
              <w:rPr>
                <w:rFonts w:ascii="Arial" w:hAnsi="Arial" w:cs="Arial"/>
                <w:color w:val="000000"/>
                <w:sz w:val="16"/>
                <w:szCs w:val="16"/>
              </w:rPr>
              <w:t>46 - Spracovanie vody (odpadová voda)</w:t>
            </w:r>
          </w:p>
        </w:tc>
        <w:tc>
          <w:tcPr>
            <w:tcW w:w="770" w:type="pct"/>
            <w:tcBorders>
              <w:top w:val="nil"/>
              <w:left w:val="nil"/>
              <w:bottom w:val="single" w:sz="8" w:space="0" w:color="auto"/>
              <w:right w:val="single" w:sz="8" w:space="0" w:color="auto"/>
            </w:tcBorders>
            <w:shd w:val="clear" w:color="auto" w:fill="auto"/>
            <w:noWrap/>
            <w:vAlign w:val="center"/>
            <w:hideMark/>
          </w:tcPr>
          <w:p w:rsidR="00000CC9" w:rsidRDefault="00000CC9">
            <w:pPr>
              <w:jc w:val="center"/>
              <w:rPr>
                <w:rFonts w:ascii="Arial" w:hAnsi="Arial" w:cs="Arial"/>
                <w:color w:val="000000"/>
                <w:sz w:val="16"/>
                <w:szCs w:val="16"/>
              </w:rPr>
            </w:pPr>
            <w:r>
              <w:rPr>
                <w:rFonts w:ascii="Arial" w:hAnsi="Arial" w:cs="Arial"/>
                <w:color w:val="000000"/>
                <w:sz w:val="16"/>
                <w:szCs w:val="16"/>
              </w:rPr>
              <w:t>2 167 578 975</w:t>
            </w:r>
          </w:p>
        </w:tc>
        <w:tc>
          <w:tcPr>
            <w:tcW w:w="833" w:type="pct"/>
            <w:tcBorders>
              <w:top w:val="nil"/>
              <w:left w:val="nil"/>
              <w:bottom w:val="single" w:sz="8" w:space="0" w:color="auto"/>
              <w:right w:val="single" w:sz="8" w:space="0" w:color="auto"/>
            </w:tcBorders>
            <w:shd w:val="clear" w:color="auto" w:fill="auto"/>
            <w:noWrap/>
            <w:vAlign w:val="center"/>
            <w:hideMark/>
          </w:tcPr>
          <w:p w:rsidR="00000CC9" w:rsidRDefault="00000CC9">
            <w:pPr>
              <w:jc w:val="center"/>
              <w:rPr>
                <w:rFonts w:ascii="Arial" w:hAnsi="Arial" w:cs="Arial"/>
                <w:color w:val="000000"/>
                <w:sz w:val="16"/>
                <w:szCs w:val="16"/>
              </w:rPr>
            </w:pPr>
            <w:r>
              <w:rPr>
                <w:rFonts w:ascii="Arial" w:hAnsi="Arial" w:cs="Arial"/>
                <w:color w:val="000000"/>
                <w:sz w:val="16"/>
                <w:szCs w:val="16"/>
              </w:rPr>
              <w:t>924 662 592</w:t>
            </w:r>
          </w:p>
        </w:tc>
        <w:tc>
          <w:tcPr>
            <w:tcW w:w="884" w:type="pct"/>
            <w:tcBorders>
              <w:top w:val="nil"/>
              <w:left w:val="nil"/>
              <w:bottom w:val="single" w:sz="8" w:space="0" w:color="auto"/>
              <w:right w:val="single" w:sz="8" w:space="0" w:color="auto"/>
            </w:tcBorders>
            <w:shd w:val="clear" w:color="auto" w:fill="auto"/>
            <w:noWrap/>
            <w:vAlign w:val="center"/>
            <w:hideMark/>
          </w:tcPr>
          <w:p w:rsidR="00000CC9" w:rsidRDefault="00000CC9">
            <w:pPr>
              <w:jc w:val="center"/>
              <w:rPr>
                <w:rFonts w:ascii="Arial" w:hAnsi="Arial" w:cs="Arial"/>
                <w:color w:val="000000"/>
                <w:sz w:val="16"/>
                <w:szCs w:val="16"/>
              </w:rPr>
            </w:pPr>
            <w:r>
              <w:rPr>
                <w:rFonts w:ascii="Arial" w:hAnsi="Arial" w:cs="Arial"/>
                <w:color w:val="000000"/>
                <w:sz w:val="16"/>
                <w:szCs w:val="16"/>
              </w:rPr>
              <w:t>802 425 330</w:t>
            </w:r>
          </w:p>
        </w:tc>
        <w:tc>
          <w:tcPr>
            <w:tcW w:w="720" w:type="pct"/>
            <w:tcBorders>
              <w:top w:val="nil"/>
              <w:left w:val="nil"/>
              <w:bottom w:val="single" w:sz="8" w:space="0" w:color="auto"/>
              <w:right w:val="single" w:sz="8" w:space="0" w:color="auto"/>
            </w:tcBorders>
            <w:shd w:val="clear" w:color="auto" w:fill="auto"/>
            <w:noWrap/>
            <w:vAlign w:val="center"/>
            <w:hideMark/>
          </w:tcPr>
          <w:p w:rsidR="00000CC9" w:rsidRDefault="00000CC9">
            <w:pPr>
              <w:jc w:val="center"/>
              <w:rPr>
                <w:rFonts w:ascii="Arial" w:hAnsi="Arial" w:cs="Arial"/>
                <w:color w:val="000000"/>
                <w:sz w:val="16"/>
                <w:szCs w:val="16"/>
              </w:rPr>
            </w:pPr>
            <w:r>
              <w:rPr>
                <w:rFonts w:ascii="Arial" w:hAnsi="Arial" w:cs="Arial"/>
                <w:color w:val="000000"/>
                <w:sz w:val="16"/>
                <w:szCs w:val="16"/>
              </w:rPr>
              <w:t>35 504 940</w:t>
            </w:r>
          </w:p>
        </w:tc>
        <w:tc>
          <w:tcPr>
            <w:tcW w:w="878" w:type="pct"/>
            <w:tcBorders>
              <w:top w:val="nil"/>
              <w:left w:val="nil"/>
              <w:bottom w:val="single" w:sz="8" w:space="0" w:color="auto"/>
              <w:right w:val="single" w:sz="8" w:space="0" w:color="auto"/>
            </w:tcBorders>
            <w:shd w:val="clear" w:color="auto" w:fill="auto"/>
            <w:noWrap/>
            <w:vAlign w:val="center"/>
            <w:hideMark/>
          </w:tcPr>
          <w:p w:rsidR="00000CC9" w:rsidRDefault="00000CC9">
            <w:pPr>
              <w:jc w:val="center"/>
              <w:rPr>
                <w:rFonts w:ascii="Arial" w:hAnsi="Arial" w:cs="Arial"/>
                <w:color w:val="000000"/>
                <w:sz w:val="16"/>
                <w:szCs w:val="16"/>
              </w:rPr>
            </w:pPr>
            <w:r>
              <w:rPr>
                <w:rFonts w:ascii="Arial" w:hAnsi="Arial" w:cs="Arial"/>
                <w:color w:val="000000"/>
                <w:sz w:val="16"/>
                <w:szCs w:val="16"/>
              </w:rPr>
              <w:t>8 422 379</w:t>
            </w:r>
          </w:p>
        </w:tc>
      </w:tr>
      <w:tr w:rsidR="00000CC9" w:rsidTr="00000CC9">
        <w:trPr>
          <w:trHeight w:val="690"/>
        </w:trPr>
        <w:tc>
          <w:tcPr>
            <w:tcW w:w="915" w:type="pct"/>
            <w:tcBorders>
              <w:top w:val="nil"/>
              <w:left w:val="single" w:sz="8" w:space="0" w:color="auto"/>
              <w:bottom w:val="single" w:sz="8" w:space="0" w:color="auto"/>
              <w:right w:val="single" w:sz="8" w:space="0" w:color="auto"/>
            </w:tcBorders>
            <w:shd w:val="clear" w:color="auto" w:fill="auto"/>
            <w:vAlign w:val="center"/>
            <w:hideMark/>
          </w:tcPr>
          <w:p w:rsidR="00000CC9" w:rsidRDefault="00000CC9">
            <w:pPr>
              <w:rPr>
                <w:rFonts w:ascii="Arial" w:hAnsi="Arial" w:cs="Arial"/>
                <w:color w:val="000000"/>
                <w:sz w:val="16"/>
                <w:szCs w:val="16"/>
              </w:rPr>
            </w:pPr>
            <w:r>
              <w:rPr>
                <w:rFonts w:ascii="Arial" w:hAnsi="Arial" w:cs="Arial"/>
                <w:color w:val="000000"/>
                <w:sz w:val="16"/>
                <w:szCs w:val="16"/>
              </w:rPr>
              <w:t>54 - Iné opatrenia na zachovanie životného prostredia a predchádzanie rizikám</w:t>
            </w:r>
          </w:p>
        </w:tc>
        <w:tc>
          <w:tcPr>
            <w:tcW w:w="770" w:type="pct"/>
            <w:tcBorders>
              <w:top w:val="nil"/>
              <w:left w:val="nil"/>
              <w:bottom w:val="single" w:sz="8" w:space="0" w:color="auto"/>
              <w:right w:val="single" w:sz="8" w:space="0" w:color="auto"/>
            </w:tcBorders>
            <w:shd w:val="clear" w:color="auto" w:fill="auto"/>
            <w:noWrap/>
            <w:vAlign w:val="center"/>
            <w:hideMark/>
          </w:tcPr>
          <w:p w:rsidR="00000CC9" w:rsidRDefault="00000CC9">
            <w:pPr>
              <w:jc w:val="center"/>
              <w:rPr>
                <w:rFonts w:ascii="Arial" w:hAnsi="Arial" w:cs="Arial"/>
                <w:color w:val="000000"/>
                <w:sz w:val="16"/>
                <w:szCs w:val="16"/>
              </w:rPr>
            </w:pPr>
            <w:r>
              <w:rPr>
                <w:rFonts w:ascii="Arial" w:hAnsi="Arial" w:cs="Arial"/>
                <w:color w:val="000000"/>
                <w:sz w:val="16"/>
                <w:szCs w:val="16"/>
              </w:rPr>
              <w:t>46 444 744</w:t>
            </w:r>
          </w:p>
        </w:tc>
        <w:tc>
          <w:tcPr>
            <w:tcW w:w="833" w:type="pct"/>
            <w:tcBorders>
              <w:top w:val="nil"/>
              <w:left w:val="nil"/>
              <w:bottom w:val="single" w:sz="8" w:space="0" w:color="auto"/>
              <w:right w:val="single" w:sz="8" w:space="0" w:color="auto"/>
            </w:tcBorders>
            <w:shd w:val="clear" w:color="auto" w:fill="auto"/>
            <w:noWrap/>
            <w:vAlign w:val="center"/>
            <w:hideMark/>
          </w:tcPr>
          <w:p w:rsidR="00000CC9" w:rsidRDefault="00000CC9">
            <w:pPr>
              <w:jc w:val="center"/>
              <w:rPr>
                <w:rFonts w:ascii="Arial" w:hAnsi="Arial" w:cs="Arial"/>
                <w:color w:val="000000"/>
                <w:sz w:val="16"/>
                <w:szCs w:val="16"/>
              </w:rPr>
            </w:pPr>
            <w:r>
              <w:rPr>
                <w:rFonts w:ascii="Arial" w:hAnsi="Arial" w:cs="Arial"/>
                <w:color w:val="000000"/>
                <w:sz w:val="16"/>
                <w:szCs w:val="16"/>
              </w:rPr>
              <w:t>34 011 407</w:t>
            </w:r>
          </w:p>
        </w:tc>
        <w:tc>
          <w:tcPr>
            <w:tcW w:w="884" w:type="pct"/>
            <w:tcBorders>
              <w:top w:val="nil"/>
              <w:left w:val="nil"/>
              <w:bottom w:val="single" w:sz="8" w:space="0" w:color="auto"/>
              <w:right w:val="single" w:sz="8" w:space="0" w:color="auto"/>
            </w:tcBorders>
            <w:shd w:val="clear" w:color="auto" w:fill="auto"/>
            <w:noWrap/>
            <w:vAlign w:val="center"/>
            <w:hideMark/>
          </w:tcPr>
          <w:p w:rsidR="00000CC9" w:rsidRDefault="00000CC9">
            <w:pPr>
              <w:jc w:val="center"/>
              <w:rPr>
                <w:rFonts w:ascii="Arial" w:hAnsi="Arial" w:cs="Arial"/>
                <w:color w:val="000000"/>
                <w:sz w:val="16"/>
                <w:szCs w:val="16"/>
              </w:rPr>
            </w:pPr>
            <w:r>
              <w:rPr>
                <w:rFonts w:ascii="Arial" w:hAnsi="Arial" w:cs="Arial"/>
                <w:color w:val="000000"/>
                <w:sz w:val="16"/>
                <w:szCs w:val="16"/>
              </w:rPr>
              <w:t>11 259 385</w:t>
            </w:r>
          </w:p>
        </w:tc>
        <w:tc>
          <w:tcPr>
            <w:tcW w:w="720" w:type="pct"/>
            <w:tcBorders>
              <w:top w:val="nil"/>
              <w:left w:val="nil"/>
              <w:bottom w:val="single" w:sz="8" w:space="0" w:color="auto"/>
              <w:right w:val="single" w:sz="8" w:space="0" w:color="auto"/>
            </w:tcBorders>
            <w:shd w:val="clear" w:color="auto" w:fill="auto"/>
            <w:noWrap/>
            <w:vAlign w:val="center"/>
            <w:hideMark/>
          </w:tcPr>
          <w:p w:rsidR="00000CC9" w:rsidRDefault="00000CC9">
            <w:pPr>
              <w:jc w:val="center"/>
              <w:rPr>
                <w:rFonts w:ascii="Arial" w:hAnsi="Arial" w:cs="Arial"/>
                <w:color w:val="000000"/>
                <w:sz w:val="16"/>
                <w:szCs w:val="16"/>
              </w:rPr>
            </w:pPr>
            <w:r>
              <w:rPr>
                <w:rFonts w:ascii="Arial" w:hAnsi="Arial" w:cs="Arial"/>
                <w:color w:val="000000"/>
                <w:sz w:val="16"/>
                <w:szCs w:val="16"/>
              </w:rPr>
              <w:t>3 952 774</w:t>
            </w:r>
          </w:p>
        </w:tc>
        <w:tc>
          <w:tcPr>
            <w:tcW w:w="878" w:type="pct"/>
            <w:tcBorders>
              <w:top w:val="nil"/>
              <w:left w:val="nil"/>
              <w:bottom w:val="single" w:sz="8" w:space="0" w:color="auto"/>
              <w:right w:val="single" w:sz="8" w:space="0" w:color="auto"/>
            </w:tcBorders>
            <w:shd w:val="clear" w:color="auto" w:fill="auto"/>
            <w:noWrap/>
            <w:vAlign w:val="center"/>
            <w:hideMark/>
          </w:tcPr>
          <w:p w:rsidR="00000CC9" w:rsidRDefault="00000CC9">
            <w:pPr>
              <w:jc w:val="center"/>
              <w:rPr>
                <w:rFonts w:ascii="Arial" w:hAnsi="Arial" w:cs="Arial"/>
                <w:color w:val="000000"/>
                <w:sz w:val="16"/>
                <w:szCs w:val="16"/>
              </w:rPr>
            </w:pPr>
            <w:r>
              <w:rPr>
                <w:rFonts w:ascii="Arial" w:hAnsi="Arial" w:cs="Arial"/>
                <w:color w:val="000000"/>
                <w:sz w:val="16"/>
                <w:szCs w:val="16"/>
              </w:rPr>
              <w:t>9 618 718</w:t>
            </w:r>
          </w:p>
        </w:tc>
      </w:tr>
      <w:tr w:rsidR="00000CC9" w:rsidTr="00000CC9">
        <w:trPr>
          <w:trHeight w:val="315"/>
        </w:trPr>
        <w:tc>
          <w:tcPr>
            <w:tcW w:w="915" w:type="pct"/>
            <w:tcBorders>
              <w:top w:val="nil"/>
              <w:left w:val="single" w:sz="8" w:space="0" w:color="auto"/>
              <w:bottom w:val="single" w:sz="8" w:space="0" w:color="auto"/>
              <w:right w:val="single" w:sz="8" w:space="0" w:color="auto"/>
            </w:tcBorders>
            <w:shd w:val="clear" w:color="000000" w:fill="EAF1DD"/>
            <w:vAlign w:val="center"/>
            <w:hideMark/>
          </w:tcPr>
          <w:p w:rsidR="00000CC9" w:rsidRDefault="00000CC9">
            <w:pPr>
              <w:rPr>
                <w:rFonts w:ascii="Arial" w:hAnsi="Arial" w:cs="Arial"/>
                <w:b/>
                <w:bCs/>
                <w:color w:val="000000"/>
                <w:sz w:val="16"/>
                <w:szCs w:val="16"/>
              </w:rPr>
            </w:pPr>
            <w:r>
              <w:rPr>
                <w:rFonts w:ascii="Arial" w:hAnsi="Arial" w:cs="Arial"/>
                <w:b/>
                <w:bCs/>
                <w:color w:val="000000"/>
                <w:sz w:val="16"/>
                <w:szCs w:val="16"/>
              </w:rPr>
              <w:t>Celkom</w:t>
            </w:r>
          </w:p>
        </w:tc>
        <w:tc>
          <w:tcPr>
            <w:tcW w:w="770" w:type="pct"/>
            <w:tcBorders>
              <w:top w:val="nil"/>
              <w:left w:val="nil"/>
              <w:bottom w:val="single" w:sz="8" w:space="0" w:color="auto"/>
              <w:right w:val="single" w:sz="8" w:space="0" w:color="auto"/>
            </w:tcBorders>
            <w:shd w:val="clear" w:color="000000" w:fill="EAF1DD"/>
            <w:noWrap/>
            <w:vAlign w:val="center"/>
            <w:hideMark/>
          </w:tcPr>
          <w:p w:rsidR="00000CC9" w:rsidRDefault="00000CC9">
            <w:pPr>
              <w:jc w:val="center"/>
              <w:rPr>
                <w:rFonts w:ascii="Arial" w:hAnsi="Arial" w:cs="Arial"/>
                <w:b/>
                <w:bCs/>
                <w:color w:val="000000"/>
                <w:sz w:val="16"/>
                <w:szCs w:val="16"/>
              </w:rPr>
            </w:pPr>
            <w:r>
              <w:rPr>
                <w:rFonts w:ascii="Arial" w:hAnsi="Arial" w:cs="Arial"/>
                <w:b/>
                <w:bCs/>
                <w:color w:val="000000"/>
                <w:sz w:val="16"/>
                <w:szCs w:val="16"/>
              </w:rPr>
              <w:t>2 509 427 274</w:t>
            </w:r>
          </w:p>
        </w:tc>
        <w:tc>
          <w:tcPr>
            <w:tcW w:w="833" w:type="pct"/>
            <w:tcBorders>
              <w:top w:val="nil"/>
              <w:left w:val="nil"/>
              <w:bottom w:val="single" w:sz="8" w:space="0" w:color="auto"/>
              <w:right w:val="single" w:sz="8" w:space="0" w:color="auto"/>
            </w:tcBorders>
            <w:shd w:val="clear" w:color="000000" w:fill="EAF1DD"/>
            <w:noWrap/>
            <w:vAlign w:val="center"/>
            <w:hideMark/>
          </w:tcPr>
          <w:p w:rsidR="00000CC9" w:rsidRDefault="00000CC9">
            <w:pPr>
              <w:jc w:val="center"/>
              <w:rPr>
                <w:rFonts w:ascii="Arial" w:hAnsi="Arial" w:cs="Arial"/>
                <w:b/>
                <w:bCs/>
                <w:color w:val="000000"/>
                <w:sz w:val="16"/>
                <w:szCs w:val="16"/>
              </w:rPr>
            </w:pPr>
            <w:r>
              <w:rPr>
                <w:rFonts w:ascii="Arial" w:hAnsi="Arial" w:cs="Arial"/>
                <w:b/>
                <w:bCs/>
                <w:color w:val="000000"/>
                <w:sz w:val="16"/>
                <w:szCs w:val="16"/>
              </w:rPr>
              <w:t>1 036 759 111</w:t>
            </w:r>
          </w:p>
        </w:tc>
        <w:tc>
          <w:tcPr>
            <w:tcW w:w="884" w:type="pct"/>
            <w:tcBorders>
              <w:top w:val="nil"/>
              <w:left w:val="nil"/>
              <w:bottom w:val="single" w:sz="8" w:space="0" w:color="auto"/>
              <w:right w:val="single" w:sz="8" w:space="0" w:color="auto"/>
            </w:tcBorders>
            <w:shd w:val="clear" w:color="000000" w:fill="EAF1DD"/>
            <w:noWrap/>
            <w:vAlign w:val="center"/>
            <w:hideMark/>
          </w:tcPr>
          <w:p w:rsidR="00000CC9" w:rsidRDefault="00000CC9">
            <w:pPr>
              <w:jc w:val="center"/>
              <w:rPr>
                <w:rFonts w:ascii="Arial" w:hAnsi="Arial" w:cs="Arial"/>
                <w:b/>
                <w:bCs/>
                <w:color w:val="000000"/>
                <w:sz w:val="16"/>
                <w:szCs w:val="16"/>
              </w:rPr>
            </w:pPr>
            <w:r>
              <w:rPr>
                <w:rFonts w:ascii="Arial" w:hAnsi="Arial" w:cs="Arial"/>
                <w:b/>
                <w:bCs/>
                <w:color w:val="000000"/>
                <w:sz w:val="16"/>
                <w:szCs w:val="16"/>
              </w:rPr>
              <w:t>878 717 906</w:t>
            </w:r>
          </w:p>
        </w:tc>
        <w:tc>
          <w:tcPr>
            <w:tcW w:w="720" w:type="pct"/>
            <w:tcBorders>
              <w:top w:val="nil"/>
              <w:left w:val="nil"/>
              <w:bottom w:val="single" w:sz="8" w:space="0" w:color="auto"/>
              <w:right w:val="single" w:sz="8" w:space="0" w:color="auto"/>
            </w:tcBorders>
            <w:shd w:val="clear" w:color="000000" w:fill="EAF1DD"/>
            <w:noWrap/>
            <w:vAlign w:val="center"/>
            <w:hideMark/>
          </w:tcPr>
          <w:p w:rsidR="00000CC9" w:rsidRDefault="00000CC9">
            <w:pPr>
              <w:jc w:val="center"/>
              <w:rPr>
                <w:rFonts w:ascii="Arial" w:hAnsi="Arial" w:cs="Arial"/>
                <w:b/>
                <w:bCs/>
                <w:color w:val="000000"/>
                <w:sz w:val="16"/>
                <w:szCs w:val="16"/>
              </w:rPr>
            </w:pPr>
            <w:r>
              <w:rPr>
                <w:rFonts w:ascii="Arial" w:hAnsi="Arial" w:cs="Arial"/>
                <w:b/>
                <w:bCs/>
                <w:color w:val="000000"/>
                <w:sz w:val="16"/>
                <w:szCs w:val="16"/>
              </w:rPr>
              <w:t>48 129 365</w:t>
            </w:r>
          </w:p>
        </w:tc>
        <w:tc>
          <w:tcPr>
            <w:tcW w:w="878" w:type="pct"/>
            <w:tcBorders>
              <w:top w:val="nil"/>
              <w:left w:val="nil"/>
              <w:bottom w:val="single" w:sz="8" w:space="0" w:color="auto"/>
              <w:right w:val="single" w:sz="8" w:space="0" w:color="auto"/>
            </w:tcBorders>
            <w:shd w:val="clear" w:color="000000" w:fill="EAF1DD"/>
            <w:noWrap/>
            <w:vAlign w:val="center"/>
            <w:hideMark/>
          </w:tcPr>
          <w:p w:rsidR="00000CC9" w:rsidRDefault="00000CC9">
            <w:pPr>
              <w:jc w:val="center"/>
              <w:rPr>
                <w:rFonts w:ascii="Arial" w:hAnsi="Arial" w:cs="Arial"/>
                <w:b/>
                <w:bCs/>
                <w:color w:val="000000"/>
                <w:sz w:val="16"/>
                <w:szCs w:val="16"/>
              </w:rPr>
            </w:pPr>
            <w:r>
              <w:rPr>
                <w:rFonts w:ascii="Arial" w:hAnsi="Arial" w:cs="Arial"/>
                <w:b/>
                <w:bCs/>
                <w:color w:val="000000"/>
                <w:sz w:val="16"/>
                <w:szCs w:val="16"/>
              </w:rPr>
              <w:t>18 041 097</w:t>
            </w:r>
          </w:p>
        </w:tc>
      </w:tr>
    </w:tbl>
    <w:p w:rsidR="002416B1" w:rsidRPr="006A2BF3" w:rsidRDefault="00000CC9" w:rsidP="00205636">
      <w:pPr>
        <w:spacing w:line="360" w:lineRule="auto"/>
        <w:jc w:val="both"/>
        <w:rPr>
          <w:rFonts w:ascii="Arial" w:hAnsi="Arial" w:cs="Arial"/>
          <w:sz w:val="18"/>
          <w:szCs w:val="18"/>
        </w:rPr>
      </w:pPr>
      <w:r>
        <w:rPr>
          <w:rFonts w:ascii="Arial" w:hAnsi="Arial" w:cs="Arial"/>
          <w:sz w:val="18"/>
          <w:szCs w:val="18"/>
        </w:rPr>
        <w:t>Zdroj: RO, ITMS</w:t>
      </w:r>
    </w:p>
    <w:tbl>
      <w:tblPr>
        <w:tblW w:w="9087" w:type="dxa"/>
        <w:tblInd w:w="55" w:type="dxa"/>
        <w:tblCellMar>
          <w:left w:w="70" w:type="dxa"/>
          <w:right w:w="70" w:type="dxa"/>
        </w:tblCellMar>
        <w:tblLook w:val="04A0" w:firstRow="1" w:lastRow="0" w:firstColumn="1" w:lastColumn="0" w:noHBand="0" w:noVBand="1"/>
      </w:tblPr>
      <w:tblGrid>
        <w:gridCol w:w="9087"/>
      </w:tblGrid>
      <w:tr w:rsidR="002416B1" w:rsidRPr="006A2BF3" w:rsidTr="00FA2DAA">
        <w:trPr>
          <w:trHeight w:val="270"/>
        </w:trPr>
        <w:tc>
          <w:tcPr>
            <w:tcW w:w="9087" w:type="dxa"/>
            <w:noWrap/>
            <w:vAlign w:val="center"/>
          </w:tcPr>
          <w:p w:rsidR="002416B1" w:rsidRPr="006A2BF3" w:rsidRDefault="002416B1" w:rsidP="00205636">
            <w:pPr>
              <w:rPr>
                <w:rFonts w:ascii="Arial" w:hAnsi="Arial" w:cs="Arial"/>
                <w:i/>
                <w:iCs/>
                <w:sz w:val="16"/>
                <w:szCs w:val="16"/>
              </w:rPr>
            </w:pPr>
            <w:r w:rsidRPr="006A2BF3">
              <w:rPr>
                <w:rFonts w:ascii="Arial" w:hAnsi="Arial" w:cs="Arial"/>
                <w:b/>
                <w:bCs/>
                <w:i/>
                <w:iCs/>
                <w:sz w:val="16"/>
                <w:szCs w:val="16"/>
                <w:vertAlign w:val="superscript"/>
              </w:rPr>
              <w:t>1</w:t>
            </w:r>
            <w:r w:rsidRPr="006A2BF3">
              <w:rPr>
                <w:rFonts w:ascii="Arial" w:hAnsi="Arial" w:cs="Arial"/>
                <w:i/>
                <w:iCs/>
                <w:sz w:val="16"/>
                <w:szCs w:val="16"/>
                <w:vertAlign w:val="superscript"/>
              </w:rPr>
              <w:t xml:space="preserve"> </w:t>
            </w:r>
            <w:r w:rsidRPr="006A2BF3">
              <w:rPr>
                <w:rFonts w:ascii="Arial" w:hAnsi="Arial" w:cs="Arial"/>
                <w:i/>
                <w:iCs/>
                <w:sz w:val="16"/>
                <w:szCs w:val="16"/>
              </w:rPr>
              <w:t>Objem čerpaných prostriedkov NFP</w:t>
            </w:r>
          </w:p>
        </w:tc>
      </w:tr>
      <w:tr w:rsidR="002416B1" w:rsidRPr="006A2BF3" w:rsidTr="00FA2DAA">
        <w:trPr>
          <w:trHeight w:val="270"/>
        </w:trPr>
        <w:tc>
          <w:tcPr>
            <w:tcW w:w="9087" w:type="dxa"/>
            <w:noWrap/>
            <w:vAlign w:val="center"/>
          </w:tcPr>
          <w:p w:rsidR="002416B1" w:rsidRPr="006A2BF3" w:rsidRDefault="002416B1" w:rsidP="00205636">
            <w:pPr>
              <w:spacing w:line="360" w:lineRule="auto"/>
              <w:rPr>
                <w:rFonts w:ascii="Arial" w:hAnsi="Arial" w:cs="Arial"/>
                <w:sz w:val="16"/>
                <w:szCs w:val="16"/>
              </w:rPr>
            </w:pPr>
            <w:r w:rsidRPr="006A2BF3">
              <w:rPr>
                <w:rFonts w:ascii="Arial" w:hAnsi="Arial" w:cs="Arial"/>
                <w:b/>
                <w:bCs/>
                <w:sz w:val="16"/>
                <w:szCs w:val="16"/>
                <w:vertAlign w:val="superscript"/>
              </w:rPr>
              <w:t>2</w:t>
            </w:r>
            <w:r w:rsidRPr="006A2BF3">
              <w:rPr>
                <w:rFonts w:ascii="Arial" w:hAnsi="Arial" w:cs="Arial"/>
                <w:sz w:val="16"/>
                <w:szCs w:val="16"/>
                <w:vertAlign w:val="superscript"/>
              </w:rPr>
              <w:t xml:space="preserve"> </w:t>
            </w:r>
            <w:r w:rsidRPr="006A2BF3">
              <w:rPr>
                <w:rFonts w:ascii="Arial" w:hAnsi="Arial" w:cs="Arial"/>
                <w:i/>
                <w:iCs/>
                <w:sz w:val="16"/>
                <w:szCs w:val="16"/>
              </w:rPr>
              <w:t>počet vrátane - vyjadruje počet projektov,</w:t>
            </w:r>
            <w:r>
              <w:rPr>
                <w:rFonts w:ascii="Arial" w:hAnsi="Arial" w:cs="Arial"/>
                <w:i/>
                <w:iCs/>
                <w:sz w:val="16"/>
                <w:szCs w:val="16"/>
              </w:rPr>
              <w:t xml:space="preserve"> </w:t>
            </w:r>
            <w:r w:rsidRPr="006A2BF3">
              <w:rPr>
                <w:rFonts w:ascii="Arial" w:hAnsi="Arial" w:cs="Arial"/>
                <w:i/>
                <w:iCs/>
                <w:sz w:val="16"/>
                <w:szCs w:val="16"/>
              </w:rPr>
              <w:t>ktoré prispievajú k naplneniu oboch prioritných tém</w:t>
            </w:r>
          </w:p>
        </w:tc>
      </w:tr>
      <w:tr w:rsidR="005F2772" w:rsidRPr="006A2BF3" w:rsidTr="00FA2DAA">
        <w:trPr>
          <w:trHeight w:val="270"/>
        </w:trPr>
        <w:tc>
          <w:tcPr>
            <w:tcW w:w="9087" w:type="dxa"/>
            <w:noWrap/>
            <w:vAlign w:val="center"/>
          </w:tcPr>
          <w:p w:rsidR="005F2772" w:rsidRPr="006A2BF3" w:rsidRDefault="005F2772" w:rsidP="00205636">
            <w:pPr>
              <w:jc w:val="both"/>
              <w:rPr>
                <w:rFonts w:ascii="Arial" w:hAnsi="Arial" w:cs="Arial"/>
                <w:b/>
                <w:bCs/>
                <w:sz w:val="16"/>
                <w:szCs w:val="16"/>
                <w:vertAlign w:val="superscript"/>
              </w:rPr>
            </w:pPr>
            <w:r w:rsidRPr="000E6169">
              <w:rPr>
                <w:rFonts w:ascii="Arial" w:hAnsi="Arial" w:cs="Arial"/>
                <w:i/>
                <w:sz w:val="16"/>
                <w:szCs w:val="16"/>
              </w:rPr>
              <w:t>Údaje o zazmluvnených projektoch zahŕňajú projekty, ktoré mali k 31.12.201</w:t>
            </w:r>
            <w:r w:rsidR="0021441D">
              <w:rPr>
                <w:rFonts w:ascii="Arial" w:hAnsi="Arial" w:cs="Arial"/>
                <w:i/>
                <w:sz w:val="16"/>
                <w:szCs w:val="16"/>
              </w:rPr>
              <w:t>2</w:t>
            </w:r>
            <w:r w:rsidRPr="000E6169">
              <w:rPr>
                <w:rFonts w:ascii="Arial" w:hAnsi="Arial" w:cs="Arial"/>
                <w:i/>
                <w:sz w:val="16"/>
                <w:szCs w:val="16"/>
              </w:rPr>
              <w:t xml:space="preserve"> účinnú zmluvu o poskytnutí NFP a boli v realizácii alebo riadne ukončené. Údaje nezahŕňajú mimoriadne ukončené projekty.</w:t>
            </w:r>
          </w:p>
        </w:tc>
      </w:tr>
    </w:tbl>
    <w:p w:rsidR="0076276F" w:rsidRDefault="0076276F" w:rsidP="00205636">
      <w:pPr>
        <w:spacing w:line="360" w:lineRule="auto"/>
        <w:jc w:val="both"/>
        <w:rPr>
          <w:rFonts w:ascii="Arial" w:hAnsi="Arial" w:cs="Arial"/>
          <w:sz w:val="20"/>
          <w:szCs w:val="20"/>
        </w:rPr>
      </w:pPr>
    </w:p>
    <w:p w:rsidR="002416B1" w:rsidRPr="00BA1A4F" w:rsidRDefault="002416B1" w:rsidP="00507035">
      <w:pPr>
        <w:spacing w:before="120" w:after="120" w:line="360" w:lineRule="auto"/>
        <w:jc w:val="both"/>
        <w:rPr>
          <w:rFonts w:ascii="Arial" w:hAnsi="Arial" w:cs="Arial"/>
          <w:sz w:val="20"/>
          <w:szCs w:val="20"/>
        </w:rPr>
      </w:pPr>
      <w:r w:rsidRPr="000C481D">
        <w:rPr>
          <w:rFonts w:ascii="Arial" w:hAnsi="Arial" w:cs="Arial"/>
          <w:sz w:val="20"/>
          <w:szCs w:val="20"/>
        </w:rPr>
        <w:t xml:space="preserve">Zoznam schválených projektov s objemom </w:t>
      </w:r>
      <w:r w:rsidRPr="00BA1A4F">
        <w:rPr>
          <w:rFonts w:ascii="Arial" w:hAnsi="Arial" w:cs="Arial"/>
          <w:sz w:val="20"/>
          <w:szCs w:val="20"/>
        </w:rPr>
        <w:t>zazmluvnených prostriedkov k 31.12.201</w:t>
      </w:r>
      <w:r w:rsidR="007A2694" w:rsidRPr="00BA1A4F">
        <w:rPr>
          <w:rFonts w:ascii="Arial" w:hAnsi="Arial" w:cs="Arial"/>
          <w:sz w:val="20"/>
          <w:szCs w:val="20"/>
        </w:rPr>
        <w:t>2</w:t>
      </w:r>
      <w:r w:rsidRPr="00BA1A4F">
        <w:rPr>
          <w:rFonts w:ascii="Arial" w:hAnsi="Arial" w:cs="Arial"/>
          <w:sz w:val="20"/>
          <w:szCs w:val="20"/>
        </w:rPr>
        <w:t xml:space="preserve"> je zverejnený na </w:t>
      </w:r>
      <w:r w:rsidR="00091E84" w:rsidRPr="00BA1A4F">
        <w:rPr>
          <w:rFonts w:ascii="Arial" w:hAnsi="Arial" w:cs="Arial"/>
          <w:sz w:val="20"/>
          <w:szCs w:val="20"/>
        </w:rPr>
        <w:t>webovom sídle</w:t>
      </w:r>
      <w:r w:rsidRPr="00BA1A4F">
        <w:rPr>
          <w:rFonts w:ascii="Arial" w:hAnsi="Arial" w:cs="Arial"/>
          <w:sz w:val="20"/>
          <w:szCs w:val="20"/>
        </w:rPr>
        <w:t xml:space="preserve"> </w:t>
      </w:r>
      <w:hyperlink r:id="rId35" w:history="1">
        <w:r w:rsidRPr="00BA1A4F">
          <w:rPr>
            <w:rStyle w:val="Hypertextovprepojenie"/>
            <w:rFonts w:ascii="Arial" w:hAnsi="Arial" w:cs="Arial"/>
            <w:sz w:val="20"/>
            <w:szCs w:val="20"/>
          </w:rPr>
          <w:t>http://www.opzp.sk/projekty/zoznam-prijimatelov/</w:t>
        </w:r>
      </w:hyperlink>
      <w:r w:rsidRPr="00BA1A4F">
        <w:rPr>
          <w:rFonts w:ascii="Arial" w:hAnsi="Arial" w:cs="Arial"/>
          <w:sz w:val="20"/>
          <w:szCs w:val="20"/>
        </w:rPr>
        <w:t xml:space="preserve"> </w:t>
      </w:r>
      <w:r w:rsidR="00033F3F" w:rsidRPr="00BA1A4F">
        <w:rPr>
          <w:rFonts w:ascii="Arial" w:hAnsi="Arial" w:cs="Arial"/>
          <w:sz w:val="20"/>
          <w:szCs w:val="20"/>
        </w:rPr>
        <w:t xml:space="preserve">a taktiež </w:t>
      </w:r>
      <w:r w:rsidR="009A2B1B" w:rsidRPr="007818E6">
        <w:rPr>
          <w:rFonts w:ascii="Arial" w:hAnsi="Arial" w:cs="Arial"/>
          <w:sz w:val="20"/>
          <w:szCs w:val="20"/>
        </w:rPr>
        <w:t xml:space="preserve">je </w:t>
      </w:r>
      <w:r w:rsidR="00033F3F" w:rsidRPr="00BA1A4F">
        <w:rPr>
          <w:rFonts w:ascii="Arial" w:hAnsi="Arial" w:cs="Arial"/>
          <w:sz w:val="20"/>
          <w:szCs w:val="20"/>
        </w:rPr>
        <w:t>zoznam schválených projektov s uvedením stavu k 31.12.201</w:t>
      </w:r>
      <w:r w:rsidR="007A2694" w:rsidRPr="00BA1A4F">
        <w:rPr>
          <w:rFonts w:ascii="Arial" w:hAnsi="Arial" w:cs="Arial"/>
          <w:sz w:val="20"/>
          <w:szCs w:val="20"/>
        </w:rPr>
        <w:t>2</w:t>
      </w:r>
      <w:r w:rsidR="00033F3F" w:rsidRPr="00BA1A4F">
        <w:rPr>
          <w:rFonts w:ascii="Arial" w:hAnsi="Arial" w:cs="Arial"/>
          <w:sz w:val="20"/>
          <w:szCs w:val="20"/>
        </w:rPr>
        <w:t xml:space="preserve"> súčasťou Prílohy č. 9 výročnej správy.</w:t>
      </w:r>
      <w:r w:rsidR="0097444A" w:rsidRPr="00BA1A4F">
        <w:rPr>
          <w:rFonts w:ascii="Arial" w:hAnsi="Arial" w:cs="Arial"/>
          <w:sz w:val="20"/>
          <w:szCs w:val="20"/>
        </w:rPr>
        <w:t xml:space="preserve"> </w:t>
      </w:r>
    </w:p>
    <w:p w:rsidR="002416B1" w:rsidRPr="00074BF7" w:rsidRDefault="002416B1" w:rsidP="00507035">
      <w:pPr>
        <w:pStyle w:val="Zkladntextb"/>
        <w:spacing w:before="120" w:after="120" w:line="360" w:lineRule="auto"/>
        <w:ind w:left="0"/>
        <w:jc w:val="both"/>
        <w:rPr>
          <w:lang w:val="sk-SK"/>
        </w:rPr>
      </w:pPr>
      <w:r w:rsidRPr="00BA1A4F">
        <w:rPr>
          <w:lang w:val="sk-SK"/>
        </w:rPr>
        <w:t>Podrobný popis dôvodov neschválenia žiadostí v rámci jednotlivých výziev</w:t>
      </w:r>
      <w:r w:rsidRPr="004B33AE">
        <w:rPr>
          <w:lang w:val="sk-SK"/>
        </w:rPr>
        <w:t xml:space="preserve"> posudzovaných v roku 201</w:t>
      </w:r>
      <w:r w:rsidR="007A2694">
        <w:rPr>
          <w:lang w:val="sk-SK"/>
        </w:rPr>
        <w:t>2</w:t>
      </w:r>
      <w:r w:rsidRPr="004B33AE">
        <w:rPr>
          <w:lang w:val="sk-SK"/>
        </w:rPr>
        <w:t xml:space="preserve"> je uvedený v kapitole 2.1.1 správy, v časti Dôvody neschválenia a vylúčenia žiadostí o NFP a vykonané opatrenia na predchádzanie pred opakovaním identifikovaných nedostatkov. </w:t>
      </w:r>
    </w:p>
    <w:p w:rsidR="00C02AB8" w:rsidRPr="00FA2DAA" w:rsidRDefault="002416B1" w:rsidP="00507035">
      <w:pPr>
        <w:pStyle w:val="Zkladntextb"/>
        <w:spacing w:before="120" w:after="120" w:line="360" w:lineRule="auto"/>
        <w:ind w:left="0"/>
        <w:jc w:val="both"/>
        <w:rPr>
          <w:lang w:val="sk-SK"/>
        </w:rPr>
      </w:pPr>
      <w:r w:rsidRPr="00FA2DAA">
        <w:rPr>
          <w:lang w:val="sk-SK"/>
        </w:rPr>
        <w:t>V </w:t>
      </w:r>
      <w:r w:rsidR="004E59CD">
        <w:rPr>
          <w:lang w:val="sk-SK"/>
        </w:rPr>
        <w:t>priebehu</w:t>
      </w:r>
      <w:r w:rsidRPr="00FA2DAA">
        <w:rPr>
          <w:lang w:val="sk-SK"/>
        </w:rPr>
        <w:t xml:space="preserve"> roka 201</w:t>
      </w:r>
      <w:r w:rsidR="004E59CD">
        <w:rPr>
          <w:lang w:val="sk-SK"/>
        </w:rPr>
        <w:t>2</w:t>
      </w:r>
      <w:r w:rsidRPr="00FA2DAA">
        <w:rPr>
          <w:lang w:val="sk-SK"/>
        </w:rPr>
        <w:t xml:space="preserve"> </w:t>
      </w:r>
      <w:r w:rsidR="004E59CD" w:rsidRPr="00FA2DAA">
        <w:rPr>
          <w:lang w:val="sk-SK"/>
        </w:rPr>
        <w:t>prebiehal</w:t>
      </w:r>
      <w:r w:rsidR="004E59CD">
        <w:rPr>
          <w:lang w:val="sk-SK"/>
        </w:rPr>
        <w:t>o</w:t>
      </w:r>
      <w:r w:rsidR="004E59CD" w:rsidRPr="00FA2DAA">
        <w:rPr>
          <w:lang w:val="sk-SK"/>
        </w:rPr>
        <w:t xml:space="preserve"> </w:t>
      </w:r>
      <w:r w:rsidRPr="00FA2DAA">
        <w:rPr>
          <w:lang w:val="sk-SK"/>
        </w:rPr>
        <w:t xml:space="preserve">taktiež </w:t>
      </w:r>
      <w:r w:rsidR="004E59CD">
        <w:rPr>
          <w:lang w:val="sk-SK"/>
        </w:rPr>
        <w:t>schvaľovanie</w:t>
      </w:r>
      <w:r w:rsidRPr="00FA2DAA">
        <w:rPr>
          <w:lang w:val="sk-SK"/>
        </w:rPr>
        <w:t xml:space="preserve"> veľkých projektov </w:t>
      </w:r>
      <w:r w:rsidR="004E59CD">
        <w:rPr>
          <w:lang w:val="sk-SK"/>
        </w:rPr>
        <w:t>EK</w:t>
      </w:r>
      <w:r w:rsidRPr="00FA2DAA">
        <w:rPr>
          <w:lang w:val="sk-SK"/>
        </w:rPr>
        <w:t xml:space="preserve">. Podrobnejšie informácie o priebehu procesu, spolupráci s iniciatívou Jaspers, ako aj stave veľkých projektov </w:t>
      </w:r>
      <w:r w:rsidR="00E54823">
        <w:rPr>
          <w:lang w:val="sk-SK"/>
        </w:rPr>
        <w:t>sú uvedené v </w:t>
      </w:r>
      <w:r w:rsidR="00E54823" w:rsidRPr="00FA2DAA">
        <w:rPr>
          <w:lang w:val="sk-SK"/>
        </w:rPr>
        <w:t>kapitol</w:t>
      </w:r>
      <w:r w:rsidR="00E54823">
        <w:rPr>
          <w:lang w:val="sk-SK"/>
        </w:rPr>
        <w:t xml:space="preserve">e </w:t>
      </w:r>
      <w:r w:rsidRPr="00FA2DAA">
        <w:rPr>
          <w:lang w:val="sk-SK"/>
        </w:rPr>
        <w:t>5. tejto správy.</w:t>
      </w:r>
      <w:r w:rsidR="00C02AB8" w:rsidRPr="00FA2DAA">
        <w:rPr>
          <w:lang w:val="sk-SK"/>
        </w:rPr>
        <w:t xml:space="preserve"> </w:t>
      </w:r>
      <w:r w:rsidR="00C02AB8" w:rsidRPr="000663D4">
        <w:rPr>
          <w:lang w:val="sk-SK"/>
        </w:rPr>
        <w:t>Zoznam veľkých projektov predložených EK na schválenie s uvedením stavu je súčasťou Prílohy č. 7 Súhrnné členenie prideleného príspevku Spoločenstva podľa kategórie.</w:t>
      </w:r>
    </w:p>
    <w:p w:rsidR="00D36DF5" w:rsidRDefault="00D36DF5" w:rsidP="00507035">
      <w:pPr>
        <w:pStyle w:val="Zkladntextb"/>
        <w:spacing w:before="120" w:after="120" w:line="360" w:lineRule="auto"/>
        <w:ind w:left="0"/>
        <w:jc w:val="both"/>
        <w:rPr>
          <w:lang w:val="sk-SK"/>
        </w:rPr>
      </w:pPr>
      <w:r w:rsidRPr="00CE6902">
        <w:rPr>
          <w:lang w:val="sk-SK"/>
        </w:rPr>
        <w:t>V rámci revízie OP ŽP (viď kapitola 2.4 správy) bola prevedená vzájomná úprava informatívneho rozdelenia príspevku z fondov do kategórií pomoci v rámci prioritných tém 45 Hospodárenie s vodou a jej distribúcia (pitná voda) a 46 Spracovanie vody (odpadová voda), ktorá vyplynula z aktuálneho stavu implementácie a prípravy projektov v rámci prioritnej osi 1 Integrovaná ochrana a racionálne využívanie vôd Navýšené prostriedky sú smerované na realizáciu aktivít v oblasti čistenia a odvádzania odpadových vôd vyplývajúcich zo záväzkov SR voči EÚ, zakotvených v Zmluve o pristúpení k EÚ, najmä na podporu veľkých projektov, ktoré primárne riešia problematiku odvádzania a spracovania odpadovej vody.</w:t>
      </w:r>
    </w:p>
    <w:p w:rsidR="0068264B" w:rsidRDefault="002416B1" w:rsidP="0068264B">
      <w:pPr>
        <w:pStyle w:val="Zkladntextb"/>
        <w:spacing w:after="0" w:line="360" w:lineRule="auto"/>
        <w:ind w:left="0"/>
        <w:rPr>
          <w:b/>
          <w:lang w:val="sk-SK"/>
        </w:rPr>
      </w:pPr>
      <w:r w:rsidRPr="004B33AE">
        <w:rPr>
          <w:b/>
          <w:lang w:val="sk-SK"/>
        </w:rPr>
        <w:t>Plnenie merateľných ukazovateľov</w:t>
      </w:r>
      <w:bookmarkStart w:id="67" w:name="OLE_LINK41"/>
      <w:bookmarkStart w:id="68" w:name="OLE_LINK42"/>
      <w:bookmarkStart w:id="69" w:name="OLE_LINK49"/>
      <w:bookmarkStart w:id="70" w:name="OLE_LINK50"/>
    </w:p>
    <w:p w:rsidR="002416B1" w:rsidRPr="004B33AE" w:rsidRDefault="002416B1" w:rsidP="00617FE5">
      <w:pPr>
        <w:pStyle w:val="Zkladntextb"/>
        <w:spacing w:after="0" w:line="360" w:lineRule="auto"/>
        <w:ind w:left="0"/>
        <w:jc w:val="both"/>
        <w:rPr>
          <w:lang w:val="sk-SK"/>
        </w:rPr>
      </w:pPr>
      <w:r w:rsidRPr="00BA1A4F">
        <w:rPr>
          <w:lang w:val="sk-SK"/>
        </w:rPr>
        <w:t>Plnenie ukazovateľov v rámci prioritnej osi 1 je uvedené v Prílohe č. 2</w:t>
      </w:r>
      <w:r w:rsidRPr="007818E6">
        <w:rPr>
          <w:lang w:val="sk-SK"/>
        </w:rPr>
        <w:t>, ktorá obsahuje taktiež cieľové hodnoty ukazovateľov stanovené pr</w:t>
      </w:r>
      <w:r w:rsidRPr="00BA1A4F">
        <w:rPr>
          <w:lang w:val="sk-SK"/>
        </w:rPr>
        <w:t xml:space="preserve">ijímateľmi na základe uzatvorených zmlúv. Ukazovatele sú vyhodnocované na základe </w:t>
      </w:r>
      <w:r w:rsidR="00CC1351" w:rsidRPr="00BA1A4F">
        <w:rPr>
          <w:lang w:val="sk-SK"/>
        </w:rPr>
        <w:t xml:space="preserve">doručených </w:t>
      </w:r>
      <w:r w:rsidRPr="00BA1A4F">
        <w:rPr>
          <w:lang w:val="sk-SK"/>
        </w:rPr>
        <w:t>monitorovacích správ projektu od</w:t>
      </w:r>
      <w:r w:rsidRPr="004B33AE">
        <w:rPr>
          <w:lang w:val="sk-SK"/>
        </w:rPr>
        <w:t xml:space="preserve"> žiadateľov tak, ako im to vyplýva zo zmluvy o poskytnutí nenávratného finančného príspevku. </w:t>
      </w:r>
      <w:r w:rsidRPr="00204A8D">
        <w:rPr>
          <w:lang w:val="sk-SK"/>
        </w:rPr>
        <w:t>V rámci prioritnej osi 1 bolo v sledovanom období roka 201</w:t>
      </w:r>
      <w:r w:rsidR="00D63111" w:rsidRPr="00204A8D">
        <w:rPr>
          <w:lang w:val="sk-SK"/>
        </w:rPr>
        <w:t>2</w:t>
      </w:r>
      <w:r w:rsidRPr="00204A8D">
        <w:rPr>
          <w:lang w:val="sk-SK"/>
        </w:rPr>
        <w:t xml:space="preserve"> na </w:t>
      </w:r>
      <w:r w:rsidR="0072403D">
        <w:rPr>
          <w:lang w:val="sk-SK"/>
        </w:rPr>
        <w:t>RO</w:t>
      </w:r>
      <w:r w:rsidRPr="00204A8D">
        <w:rPr>
          <w:lang w:val="sk-SK"/>
        </w:rPr>
        <w:t xml:space="preserve"> doručených </w:t>
      </w:r>
      <w:r w:rsidR="00204A8D" w:rsidRPr="0039268C">
        <w:rPr>
          <w:lang w:val="sk-SK"/>
        </w:rPr>
        <w:t xml:space="preserve">325 </w:t>
      </w:r>
      <w:r w:rsidRPr="00204A8D">
        <w:rPr>
          <w:lang w:val="sk-SK"/>
        </w:rPr>
        <w:t xml:space="preserve">monitorovacích správ projektu, z toho </w:t>
      </w:r>
      <w:r w:rsidR="00204A8D" w:rsidRPr="0039268C">
        <w:rPr>
          <w:lang w:val="sk-SK"/>
        </w:rPr>
        <w:t xml:space="preserve">274 </w:t>
      </w:r>
      <w:r w:rsidRPr="00204A8D">
        <w:rPr>
          <w:lang w:val="sk-SK"/>
        </w:rPr>
        <w:t xml:space="preserve">priebežných, </w:t>
      </w:r>
      <w:r w:rsidR="00204A8D" w:rsidRPr="0039268C">
        <w:rPr>
          <w:lang w:val="sk-SK"/>
        </w:rPr>
        <w:t xml:space="preserve">36 </w:t>
      </w:r>
      <w:r w:rsidRPr="00204A8D">
        <w:rPr>
          <w:lang w:val="sk-SK"/>
        </w:rPr>
        <w:t>záverečných a </w:t>
      </w:r>
      <w:r w:rsidR="00204A8D" w:rsidRPr="0039268C">
        <w:rPr>
          <w:lang w:val="sk-SK"/>
        </w:rPr>
        <w:t xml:space="preserve">15 </w:t>
      </w:r>
      <w:r w:rsidR="00204A8D" w:rsidRPr="00204A8D">
        <w:rPr>
          <w:lang w:val="sk-SK"/>
        </w:rPr>
        <w:t>následných</w:t>
      </w:r>
      <w:r w:rsidRPr="00204A8D">
        <w:rPr>
          <w:lang w:val="sk-SK"/>
        </w:rPr>
        <w:t>.</w:t>
      </w:r>
      <w:r w:rsidR="00D93B85" w:rsidRPr="00204A8D">
        <w:rPr>
          <w:lang w:val="sk-SK"/>
        </w:rPr>
        <w:t xml:space="preserve"> Zoznam </w:t>
      </w:r>
      <w:r w:rsidR="008F2A89">
        <w:rPr>
          <w:lang w:val="sk-SK"/>
        </w:rPr>
        <w:t>CORE</w:t>
      </w:r>
      <w:r w:rsidR="00D93B85" w:rsidRPr="00204A8D">
        <w:rPr>
          <w:lang w:val="sk-SK"/>
        </w:rPr>
        <w:t xml:space="preserve"> ukazovateľov reportovaných EK prostredníctvom SFC2007 v rámci Výročnej správy o vykonávaní OP ŽP za rok 201</w:t>
      </w:r>
      <w:r w:rsidR="00204A8D" w:rsidRPr="0039268C">
        <w:rPr>
          <w:lang w:val="sk-SK"/>
        </w:rPr>
        <w:t>2</w:t>
      </w:r>
      <w:r w:rsidR="00D93B85" w:rsidRPr="00204A8D">
        <w:rPr>
          <w:lang w:val="sk-SK"/>
        </w:rPr>
        <w:t xml:space="preserve"> je súčasťou Prílohy č. 11.</w:t>
      </w:r>
    </w:p>
    <w:p w:rsidR="002416B1" w:rsidRDefault="002416B1" w:rsidP="00507035">
      <w:pPr>
        <w:pStyle w:val="Zkladntextb"/>
        <w:spacing w:before="120" w:after="120" w:line="360" w:lineRule="auto"/>
        <w:ind w:left="0"/>
        <w:jc w:val="both"/>
        <w:rPr>
          <w:lang w:val="sk-SK"/>
        </w:rPr>
      </w:pPr>
      <w:r w:rsidRPr="004B33AE">
        <w:rPr>
          <w:lang w:val="sk-SK"/>
        </w:rPr>
        <w:t>K 31.12.201</w:t>
      </w:r>
      <w:r w:rsidR="00EF52DF">
        <w:rPr>
          <w:lang w:val="sk-SK"/>
        </w:rPr>
        <w:t>2</w:t>
      </w:r>
      <w:r w:rsidRPr="004B33AE">
        <w:rPr>
          <w:lang w:val="sk-SK"/>
        </w:rPr>
        <w:t xml:space="preserve"> bolo vďaka realizácii projektov s príspevkom z OP ŽP</w:t>
      </w:r>
      <w:bookmarkEnd w:id="67"/>
      <w:bookmarkEnd w:id="68"/>
      <w:r w:rsidRPr="004B33AE">
        <w:rPr>
          <w:lang w:val="sk-SK"/>
        </w:rPr>
        <w:t xml:space="preserve"> novovybudovaných </w:t>
      </w:r>
      <w:r w:rsidR="00ED07C6">
        <w:rPr>
          <w:lang w:val="sk-SK"/>
        </w:rPr>
        <w:t>131,9</w:t>
      </w:r>
      <w:r w:rsidRPr="004B33AE">
        <w:rPr>
          <w:lang w:val="sk-SK"/>
        </w:rPr>
        <w:t xml:space="preserve"> km rozvodov pitnej vody a</w:t>
      </w:r>
      <w:r>
        <w:rPr>
          <w:lang w:val="sk-SK"/>
        </w:rPr>
        <w:t xml:space="preserve"> </w:t>
      </w:r>
      <w:r w:rsidR="00ED07C6">
        <w:rPr>
          <w:lang w:val="sk-SK"/>
        </w:rPr>
        <w:t>524,683</w:t>
      </w:r>
      <w:r w:rsidRPr="004B33AE">
        <w:rPr>
          <w:lang w:val="sk-SK"/>
        </w:rPr>
        <w:t xml:space="preserve"> km kanalizačných sietí. Čo sa týka napojenosti obyvateľov k rozvodom pitnej vody a kanalizačnú sieť, </w:t>
      </w:r>
      <w:r w:rsidR="00ED07C6">
        <w:rPr>
          <w:lang w:val="sk-SK"/>
        </w:rPr>
        <w:t>napĺňanie týchto</w:t>
      </w:r>
      <w:r w:rsidR="00ED07C6" w:rsidRPr="004B33AE">
        <w:rPr>
          <w:lang w:val="sk-SK"/>
        </w:rPr>
        <w:t xml:space="preserve"> </w:t>
      </w:r>
      <w:r w:rsidR="008F2A89">
        <w:rPr>
          <w:lang w:val="sk-SK"/>
        </w:rPr>
        <w:t>CORE</w:t>
      </w:r>
      <w:r w:rsidRPr="004B33AE">
        <w:rPr>
          <w:lang w:val="sk-SK"/>
        </w:rPr>
        <w:t xml:space="preserve"> </w:t>
      </w:r>
      <w:r w:rsidR="00ED07C6" w:rsidRPr="004B33AE">
        <w:rPr>
          <w:lang w:val="sk-SK"/>
        </w:rPr>
        <w:t>ukazovate</w:t>
      </w:r>
      <w:r w:rsidR="00ED07C6">
        <w:rPr>
          <w:lang w:val="sk-SK"/>
        </w:rPr>
        <w:t>ľov</w:t>
      </w:r>
      <w:r w:rsidR="00ED07C6" w:rsidRPr="004B33AE">
        <w:rPr>
          <w:lang w:val="sk-SK"/>
        </w:rPr>
        <w:t xml:space="preserve"> </w:t>
      </w:r>
      <w:r w:rsidR="00255F48">
        <w:rPr>
          <w:lang w:val="sk-SK"/>
        </w:rPr>
        <w:t>sa vykazuje</w:t>
      </w:r>
      <w:r w:rsidRPr="004B33AE">
        <w:rPr>
          <w:lang w:val="sk-SK"/>
        </w:rPr>
        <w:t xml:space="preserve"> až po skončení realizácie projektov.</w:t>
      </w:r>
      <w:r w:rsidR="00255F48">
        <w:rPr>
          <w:lang w:val="sk-SK"/>
        </w:rPr>
        <w:t xml:space="preserve"> K 31.12.2012 dosahuje hodnota ukazovateľa 1</w:t>
      </w:r>
      <w:r w:rsidR="0072403D">
        <w:rPr>
          <w:lang w:val="sk-SK"/>
        </w:rPr>
        <w:t xml:space="preserve"> </w:t>
      </w:r>
      <w:r w:rsidR="00255F48">
        <w:rPr>
          <w:lang w:val="sk-SK"/>
        </w:rPr>
        <w:t>402 obyvateľov.</w:t>
      </w:r>
      <w:r w:rsidRPr="004B33AE">
        <w:rPr>
          <w:lang w:val="sk-SK"/>
        </w:rPr>
        <w:t xml:space="preserve"> </w:t>
      </w:r>
      <w:r w:rsidR="00255F48">
        <w:rPr>
          <w:lang w:val="sk-SK"/>
        </w:rPr>
        <w:t>V</w:t>
      </w:r>
      <w:r w:rsidRPr="004B33AE">
        <w:rPr>
          <w:lang w:val="sk-SK"/>
        </w:rPr>
        <w:t> zmysle zmluvy o</w:t>
      </w:r>
      <w:r w:rsidR="0072403D">
        <w:rPr>
          <w:lang w:val="sk-SK"/>
        </w:rPr>
        <w:t xml:space="preserve"> poskytnutí </w:t>
      </w:r>
      <w:r w:rsidRPr="004B33AE">
        <w:rPr>
          <w:lang w:val="sk-SK"/>
        </w:rPr>
        <w:t>NFP projektov k 31.12.201</w:t>
      </w:r>
      <w:r w:rsidR="00255F48">
        <w:rPr>
          <w:lang w:val="sk-SK"/>
        </w:rPr>
        <w:t>2</w:t>
      </w:r>
      <w:r w:rsidRPr="004B33AE">
        <w:rPr>
          <w:lang w:val="sk-SK"/>
        </w:rPr>
        <w:t xml:space="preserve"> je deklarovaná cieľová hodnota ukazovateľa Počet obyvateľov pripojených k novovybudovaným rozvodom pitnej vody </w:t>
      </w:r>
      <w:r w:rsidR="00255F48">
        <w:rPr>
          <w:lang w:val="sk-SK"/>
        </w:rPr>
        <w:t>53 358</w:t>
      </w:r>
      <w:r w:rsidR="00255F48" w:rsidRPr="004B33AE">
        <w:rPr>
          <w:lang w:val="sk-SK"/>
        </w:rPr>
        <w:t xml:space="preserve"> </w:t>
      </w:r>
      <w:r w:rsidRPr="004B33AE">
        <w:rPr>
          <w:lang w:val="sk-SK"/>
        </w:rPr>
        <w:t xml:space="preserve">a ukazovateľa Počet ekvivalentných obyvateľov napojených na novovybudovanú kanalizačnú sieť </w:t>
      </w:r>
      <w:r w:rsidR="00255F48">
        <w:rPr>
          <w:lang w:val="sk-SK"/>
        </w:rPr>
        <w:t>2</w:t>
      </w:r>
      <w:r w:rsidR="00D314B3">
        <w:rPr>
          <w:lang w:val="sk-SK"/>
        </w:rPr>
        <w:t xml:space="preserve"> </w:t>
      </w:r>
      <w:r w:rsidR="00255F48">
        <w:rPr>
          <w:lang w:val="sk-SK"/>
        </w:rPr>
        <w:t>13</w:t>
      </w:r>
      <w:r w:rsidR="0098645F">
        <w:rPr>
          <w:lang w:val="sk-SK"/>
        </w:rPr>
        <w:t> </w:t>
      </w:r>
      <w:r w:rsidR="00255F48">
        <w:rPr>
          <w:lang w:val="sk-SK"/>
        </w:rPr>
        <w:t>407</w:t>
      </w:r>
      <w:r w:rsidRPr="004B33AE">
        <w:rPr>
          <w:lang w:val="sk-SK"/>
        </w:rPr>
        <w:t>.</w:t>
      </w:r>
    </w:p>
    <w:p w:rsidR="0098645F" w:rsidRDefault="0098645F" w:rsidP="00507035">
      <w:pPr>
        <w:pStyle w:val="Zkladntextb"/>
        <w:spacing w:before="120" w:after="120" w:line="360" w:lineRule="auto"/>
        <w:ind w:left="0"/>
        <w:jc w:val="both"/>
        <w:rPr>
          <w:lang w:val="sk-SK"/>
        </w:rPr>
      </w:pPr>
      <w:r w:rsidRPr="00593253">
        <w:rPr>
          <w:lang w:val="sk-SK"/>
        </w:rPr>
        <w:t>Dôvodom aktuálneho stav plnenia ukazovateľa výsledku „Počet ekvivalentných obyvateľov napojených na novovybudovanú kanalizačnú sieť“ je skutočnosť, že sa jedná o dopadový ukazovateľ, ktorého hodnoty sa vykazujú na základe následných monitorovacích správ, ktoré sú predkladané rok po skončení realizácie projektu. Taktiež povinnosť producentov odpadových vôd pripojiť sa na existujúcu verejnú kanalizáciu nie je legislatívne ošetrená v takom zmysle, že nie je možné nútiť obyvateľov pripojiť sa na novovybudovanú kanalizačnú sieť.</w:t>
      </w:r>
    </w:p>
    <w:p w:rsidR="00BD03EA" w:rsidRDefault="00BD03EA" w:rsidP="00507035">
      <w:pPr>
        <w:pStyle w:val="Zkladntextb"/>
        <w:spacing w:before="120" w:after="120" w:line="360" w:lineRule="auto"/>
        <w:ind w:left="0"/>
        <w:jc w:val="both"/>
        <w:rPr>
          <w:lang w:val="sk-SK"/>
        </w:rPr>
      </w:pPr>
      <w:r>
        <w:rPr>
          <w:lang w:val="sk-SK"/>
        </w:rPr>
        <w:t>D</w:t>
      </w:r>
      <w:r w:rsidRPr="00BD03EA">
        <w:rPr>
          <w:lang w:val="sk-SK"/>
        </w:rPr>
        <w:t>eklarovaná cieľová hodnota ukazovateľa Počet obyvateľov pripojených k novovybudovaným rozvodom pitnej vody</w:t>
      </w:r>
      <w:r w:rsidRPr="000A0E68">
        <w:rPr>
          <w:lang w:val="sk-SK"/>
        </w:rPr>
        <w:t xml:space="preserve"> </w:t>
      </w:r>
      <w:r w:rsidR="007E0172">
        <w:rPr>
          <w:lang w:val="sk-SK"/>
        </w:rPr>
        <w:t>značne prevyšuje cieľovú hodnotu stanovenú ku koncu programového obdobia.</w:t>
      </w:r>
    </w:p>
    <w:p w:rsidR="00BD03EA" w:rsidRPr="00FA2DAA" w:rsidRDefault="00BD03EA" w:rsidP="00507035">
      <w:pPr>
        <w:pStyle w:val="Zkladntextb"/>
        <w:spacing w:before="120" w:after="120" w:line="360" w:lineRule="auto"/>
        <w:ind w:left="0"/>
        <w:jc w:val="both"/>
        <w:rPr>
          <w:lang w:val="sk-SK"/>
        </w:rPr>
      </w:pPr>
      <w:r w:rsidRPr="00FA2DAA">
        <w:rPr>
          <w:lang w:val="sk-SK"/>
        </w:rPr>
        <w:t>Pri stanovení  ukazovateľa  počtu pripojených obyvateľov na verejný vodovod v rámci projektov podporených z OP ŽP na začiatku programového obdobia 2007 - 2013  (9 500 obyvateľov) sa vychádzalo najmä</w:t>
      </w:r>
      <w:r w:rsidR="0098169A">
        <w:rPr>
          <w:lang w:val="sk-SK"/>
        </w:rPr>
        <w:t>:</w:t>
      </w:r>
      <w:r w:rsidRPr="00FA2DAA">
        <w:rPr>
          <w:lang w:val="sk-SK"/>
        </w:rPr>
        <w:t xml:space="preserve"> </w:t>
      </w:r>
    </w:p>
    <w:p w:rsidR="00BD03EA" w:rsidRPr="00FA2DAA" w:rsidRDefault="0098169A" w:rsidP="001540E7">
      <w:pPr>
        <w:pStyle w:val="Zkladntextb"/>
        <w:numPr>
          <w:ilvl w:val="0"/>
          <w:numId w:val="39"/>
        </w:numPr>
        <w:spacing w:before="120" w:after="120" w:line="360" w:lineRule="auto"/>
        <w:ind w:left="0" w:firstLine="0"/>
        <w:jc w:val="both"/>
        <w:rPr>
          <w:lang w:val="sk-SK"/>
        </w:rPr>
      </w:pPr>
      <w:r>
        <w:rPr>
          <w:lang w:val="sk-SK"/>
        </w:rPr>
        <w:t xml:space="preserve"> </w:t>
      </w:r>
      <w:r w:rsidR="00BD03EA" w:rsidRPr="00FA2DAA">
        <w:rPr>
          <w:lang w:val="sk-SK"/>
        </w:rPr>
        <w:t>z potreby priblížiť sa úrovni vyspelých členských štátov EÚ v predmetnej oblasti,</w:t>
      </w:r>
    </w:p>
    <w:p w:rsidR="00BD03EA" w:rsidRPr="00FA2DAA" w:rsidRDefault="00BD03EA" w:rsidP="001540E7">
      <w:pPr>
        <w:pStyle w:val="Zkladntextb"/>
        <w:numPr>
          <w:ilvl w:val="0"/>
          <w:numId w:val="39"/>
        </w:numPr>
        <w:spacing w:before="120" w:after="120" w:line="360" w:lineRule="auto"/>
        <w:ind w:left="0" w:firstLine="0"/>
        <w:jc w:val="both"/>
        <w:rPr>
          <w:lang w:val="sk-SK"/>
        </w:rPr>
      </w:pPr>
      <w:r w:rsidRPr="00FA2DAA">
        <w:rPr>
          <w:lang w:val="sk-SK"/>
        </w:rPr>
        <w:t xml:space="preserve"> z dosiahnutých výsledkov predchádzajúceho </w:t>
      </w:r>
      <w:r w:rsidR="0081297B" w:rsidRPr="00FA2DAA">
        <w:rPr>
          <w:lang w:val="sk-SK"/>
        </w:rPr>
        <w:t>programov</w:t>
      </w:r>
      <w:r w:rsidR="0081297B">
        <w:rPr>
          <w:lang w:val="sk-SK"/>
        </w:rPr>
        <w:t>é</w:t>
      </w:r>
      <w:r w:rsidR="0081297B" w:rsidRPr="00FA2DAA">
        <w:rPr>
          <w:lang w:val="sk-SK"/>
        </w:rPr>
        <w:t xml:space="preserve">ho </w:t>
      </w:r>
      <w:r w:rsidRPr="00FA2DAA">
        <w:rPr>
          <w:lang w:val="sk-SK"/>
        </w:rPr>
        <w:t>obdobia rokov 2004 – 2006 (skutočnosť 8 655 pripojených obyvateľov),</w:t>
      </w:r>
    </w:p>
    <w:p w:rsidR="00BD03EA" w:rsidRPr="00FA2DAA" w:rsidRDefault="00BD03EA" w:rsidP="001540E7">
      <w:pPr>
        <w:pStyle w:val="Zkladntextb"/>
        <w:numPr>
          <w:ilvl w:val="0"/>
          <w:numId w:val="39"/>
        </w:numPr>
        <w:spacing w:before="120" w:after="120" w:line="360" w:lineRule="auto"/>
        <w:ind w:left="0" w:firstLine="0"/>
        <w:jc w:val="both"/>
        <w:rPr>
          <w:lang w:val="sk-SK"/>
        </w:rPr>
      </w:pPr>
      <w:r>
        <w:rPr>
          <w:lang w:val="sk-SK"/>
        </w:rPr>
        <w:t xml:space="preserve"> </w:t>
      </w:r>
      <w:r w:rsidRPr="00FA2DAA">
        <w:rPr>
          <w:lang w:val="sk-SK"/>
        </w:rPr>
        <w:t xml:space="preserve">z reálneho medziročného nárastu </w:t>
      </w:r>
      <w:r w:rsidR="0098169A" w:rsidRPr="00FA2DAA">
        <w:rPr>
          <w:lang w:val="sk-SK"/>
        </w:rPr>
        <w:t>novo zásobovaných</w:t>
      </w:r>
      <w:r w:rsidRPr="00FA2DAA">
        <w:rPr>
          <w:lang w:val="sk-SK"/>
        </w:rPr>
        <w:t xml:space="preserve"> obyvateľov pitnou vodou z verejného vodovodu v rámci SR a pod.</w:t>
      </w:r>
    </w:p>
    <w:p w:rsidR="00BD03EA" w:rsidRPr="004B33AE" w:rsidRDefault="007E0172" w:rsidP="00507035">
      <w:pPr>
        <w:pStyle w:val="Zkladntextb"/>
        <w:spacing w:before="120" w:after="120" w:line="360" w:lineRule="auto"/>
        <w:ind w:left="0"/>
        <w:jc w:val="both"/>
        <w:rPr>
          <w:lang w:val="sk-SK"/>
        </w:rPr>
      </w:pPr>
      <w:r>
        <w:rPr>
          <w:lang w:val="sk-SK"/>
        </w:rPr>
        <w:t>Vzniknutá odchýlka je spôsobená</w:t>
      </w:r>
      <w:r w:rsidR="00BD03EA" w:rsidRPr="00BD03EA">
        <w:rPr>
          <w:lang w:val="sk-SK"/>
        </w:rPr>
        <w:t xml:space="preserve"> jednak </w:t>
      </w:r>
      <w:r w:rsidR="0072403D">
        <w:rPr>
          <w:lang w:val="sk-SK"/>
        </w:rPr>
        <w:t>kvalitnejšou</w:t>
      </w:r>
      <w:r w:rsidR="0072403D" w:rsidRPr="00BD03EA">
        <w:rPr>
          <w:lang w:val="sk-SK"/>
        </w:rPr>
        <w:t xml:space="preserve"> </w:t>
      </w:r>
      <w:r w:rsidR="00BD03EA" w:rsidRPr="00BD03EA">
        <w:rPr>
          <w:lang w:val="sk-SK"/>
        </w:rPr>
        <w:t>prípravou predložených projektov, ako i efektívnejšie nastaveným podmienkam poskytovania pomoci pre túto oblasť (napr. súbežné budovanie verejného vodovodu v jednej ryhe s verejnou kanalizáciou, využívanie existujúcich vodárenských kapacít a pod.).</w:t>
      </w:r>
    </w:p>
    <w:p w:rsidR="002416B1" w:rsidRPr="00992100" w:rsidRDefault="008F2A89" w:rsidP="00507035">
      <w:pPr>
        <w:pStyle w:val="Zkladntextb"/>
        <w:spacing w:before="120" w:after="120" w:line="360" w:lineRule="auto"/>
        <w:ind w:left="0"/>
        <w:jc w:val="both"/>
        <w:rPr>
          <w:lang w:val="sk-SK"/>
        </w:rPr>
      </w:pPr>
      <w:r>
        <w:rPr>
          <w:lang w:val="sk-SK"/>
        </w:rPr>
        <w:t>CORE</w:t>
      </w:r>
      <w:r w:rsidR="002416B1" w:rsidRPr="004B33AE">
        <w:rPr>
          <w:lang w:val="sk-SK"/>
        </w:rPr>
        <w:t xml:space="preserve"> ukazovateľ Počet novovytvorených pracovných miest vykazuje k 31.12.201</w:t>
      </w:r>
      <w:r w:rsidR="00255F48">
        <w:rPr>
          <w:lang w:val="sk-SK"/>
        </w:rPr>
        <w:t>2</w:t>
      </w:r>
      <w:r w:rsidR="002416B1" w:rsidRPr="004B33AE">
        <w:rPr>
          <w:lang w:val="sk-SK"/>
        </w:rPr>
        <w:t xml:space="preserve"> hodnotu 0, </w:t>
      </w:r>
      <w:r w:rsidR="002416B1">
        <w:rPr>
          <w:lang w:val="sk-SK"/>
        </w:rPr>
        <w:t xml:space="preserve">avšak množstvo </w:t>
      </w:r>
      <w:r w:rsidR="002416B1" w:rsidRPr="00992100">
        <w:rPr>
          <w:lang w:val="sk-SK"/>
        </w:rPr>
        <w:t xml:space="preserve">zazmluvnených projektov v rámci prioritnej osi deklaruje naplnenie uvedeného ukazovateľa </w:t>
      </w:r>
      <w:r w:rsidR="0098645F" w:rsidRPr="00992100">
        <w:rPr>
          <w:lang w:val="sk-SK"/>
        </w:rPr>
        <w:t>v </w:t>
      </w:r>
      <w:r w:rsidR="0098645F" w:rsidRPr="00992100">
        <w:rPr>
          <w:rFonts w:cs="Arial"/>
          <w:lang w:val="sk-SK"/>
        </w:rPr>
        <w:t>hodnote 13, čo je 6,5% z hodnoty plánovanej v rámci OP ŽP. Aktuálne dosiahnutá hodnota merateľného ukazovateľa „Počet novovytvorených pracovných miest “ je nižšia iba relatívne. Pre správne vnímanie príspevku podporených projektov k podpore zamestnanosti je nevyhnutné vnímať cieľovú hodnotu merateľného ukazovateľa aj cez pracovné miesta u dodávateľov vytvorené počas realizácie projektu. V konečnom dôsledku prispievajú  implementované projekty (osobitne veľké projekty) k tvorbe pracovných miest primárne u dodávateľov stavebných prác a sekundárne u prijímateľov a to počas celej doby ich realizácie (napr. 36 mesiacov). Hoci teda počet vytvorených pracovných miest u prijímateľov nie je na prvý pohľad vysoký, celkový príspevok k podpore zamestnanosti na úrovni subjektov zapojených do implementácie projektov je markantný</w:t>
      </w:r>
      <w:r w:rsidR="0098645F" w:rsidRPr="00992100">
        <w:rPr>
          <w:rFonts w:cs="Arial"/>
        </w:rPr>
        <w:t>.</w:t>
      </w:r>
    </w:p>
    <w:p w:rsidR="002416B1" w:rsidRPr="004B33AE" w:rsidRDefault="00D86F33" w:rsidP="00507035">
      <w:pPr>
        <w:pStyle w:val="Zkladntextb"/>
        <w:spacing w:before="120" w:after="120" w:line="360" w:lineRule="auto"/>
        <w:ind w:left="0"/>
        <w:jc w:val="both"/>
        <w:rPr>
          <w:lang w:val="sk-SK"/>
        </w:rPr>
      </w:pPr>
      <w:r w:rsidRPr="00992100">
        <w:rPr>
          <w:lang w:val="sk-SK"/>
        </w:rPr>
        <w:t xml:space="preserve">V prípade, že bude implementovaných všetkých 7 veľkých projektov </w:t>
      </w:r>
      <w:r>
        <w:rPr>
          <w:lang w:val="sk-SK"/>
        </w:rPr>
        <w:t>zaslaných k 31.12.201</w:t>
      </w:r>
      <w:r w:rsidR="00255F48">
        <w:rPr>
          <w:lang w:val="sk-SK"/>
        </w:rPr>
        <w:t>2</w:t>
      </w:r>
      <w:r>
        <w:rPr>
          <w:lang w:val="sk-SK"/>
        </w:rPr>
        <w:t xml:space="preserve"> EK na schválenie</w:t>
      </w:r>
      <w:r w:rsidR="00255F48">
        <w:rPr>
          <w:lang w:val="sk-SK"/>
        </w:rPr>
        <w:t xml:space="preserve"> (z toho v sledovanom období 5 </w:t>
      </w:r>
      <w:r w:rsidR="00255F48" w:rsidRPr="00BA1A4F">
        <w:rPr>
          <w:lang w:val="sk-SK"/>
        </w:rPr>
        <w:t>schválených, vo fáze zazmluvnenia)</w:t>
      </w:r>
      <w:r w:rsidR="008D08F4" w:rsidRPr="007818E6">
        <w:rPr>
          <w:lang w:val="sk-SK"/>
        </w:rPr>
        <w:t xml:space="preserve">, napĺňanie </w:t>
      </w:r>
      <w:r w:rsidR="008F2A89" w:rsidRPr="00BA1A4F">
        <w:rPr>
          <w:lang w:val="sk-SK"/>
        </w:rPr>
        <w:t>CORE</w:t>
      </w:r>
      <w:r w:rsidR="008D08F4" w:rsidRPr="00BA1A4F">
        <w:rPr>
          <w:lang w:val="sk-SK"/>
        </w:rPr>
        <w:t xml:space="preserve"> ukazovateľov 25 a 26 sa </w:t>
      </w:r>
      <w:r w:rsidR="00C714F7" w:rsidRPr="00BA1A4F">
        <w:rPr>
          <w:lang w:val="sk-SK"/>
        </w:rPr>
        <w:t>bude navyšovať.</w:t>
      </w:r>
      <w:r w:rsidRPr="00BA1A4F">
        <w:rPr>
          <w:lang w:val="sk-SK"/>
        </w:rPr>
        <w:t xml:space="preserve"> </w:t>
      </w:r>
      <w:r w:rsidR="002416B1" w:rsidRPr="00BA1A4F">
        <w:rPr>
          <w:lang w:val="sk-SK"/>
        </w:rPr>
        <w:t xml:space="preserve">Plánované ukazovatele, ktorých hodnoty budú naplnené v rámci implementácie veľkých projektov sú </w:t>
      </w:r>
      <w:r w:rsidRPr="00BA1A4F">
        <w:rPr>
          <w:lang w:val="sk-SK"/>
        </w:rPr>
        <w:t xml:space="preserve">podrobnejšie </w:t>
      </w:r>
      <w:r w:rsidR="002416B1" w:rsidRPr="00BA1A4F">
        <w:rPr>
          <w:lang w:val="sk-SK"/>
        </w:rPr>
        <w:t>uvedené v Prílohe č. 8 Stav implementácie veľkých projektov.</w:t>
      </w:r>
      <w:r>
        <w:rPr>
          <w:lang w:val="sk-SK"/>
        </w:rPr>
        <w:t xml:space="preserve"> </w:t>
      </w:r>
    </w:p>
    <w:p w:rsidR="002416B1" w:rsidRPr="004B33AE" w:rsidRDefault="002416B1" w:rsidP="00507035">
      <w:pPr>
        <w:pStyle w:val="Zkladntextb"/>
        <w:spacing w:before="120" w:after="120" w:line="360" w:lineRule="auto"/>
        <w:ind w:left="0"/>
        <w:jc w:val="both"/>
        <w:rPr>
          <w:lang w:val="sk-SK"/>
        </w:rPr>
      </w:pPr>
      <w:r w:rsidRPr="004B33AE">
        <w:rPr>
          <w:lang w:val="sk-SK"/>
        </w:rPr>
        <w:t xml:space="preserve">Realizáciou </w:t>
      </w:r>
      <w:r>
        <w:rPr>
          <w:lang w:val="sk-SK"/>
        </w:rPr>
        <w:t xml:space="preserve">jednotlivých </w:t>
      </w:r>
      <w:r w:rsidRPr="004B33AE">
        <w:rPr>
          <w:lang w:val="sk-SK"/>
        </w:rPr>
        <w:t xml:space="preserve">projektov financovaných v rámci operačného cieľa 1.3 (monitoring vôd) bol </w:t>
      </w:r>
      <w:r>
        <w:rPr>
          <w:lang w:val="sk-SK"/>
        </w:rPr>
        <w:t>v rokoch 2008 - 201</w:t>
      </w:r>
      <w:r w:rsidR="0085444B">
        <w:rPr>
          <w:lang w:val="sk-SK"/>
        </w:rPr>
        <w:t>2</w:t>
      </w:r>
      <w:r w:rsidRPr="004B33AE">
        <w:rPr>
          <w:lang w:val="sk-SK"/>
        </w:rPr>
        <w:t xml:space="preserve"> dosiahnutý </w:t>
      </w:r>
      <w:r w:rsidRPr="0039268C">
        <w:rPr>
          <w:rFonts w:cs="Arial"/>
          <w:lang w:val="sk-SK"/>
        </w:rPr>
        <w:t>100%</w:t>
      </w:r>
      <w:r w:rsidRPr="0039268C">
        <w:rPr>
          <w:rFonts w:cs="Arial"/>
          <w:b/>
          <w:sz w:val="18"/>
          <w:szCs w:val="18"/>
          <w:lang w:val="sk-SK"/>
        </w:rPr>
        <w:t xml:space="preserve"> </w:t>
      </w:r>
      <w:r w:rsidRPr="004B33AE">
        <w:rPr>
          <w:lang w:val="sk-SK"/>
        </w:rPr>
        <w:t>súlad monitorovania stavu vôd v SR s požiadavkami Rámcovej smernice o</w:t>
      </w:r>
      <w:r>
        <w:rPr>
          <w:lang w:val="sk-SK"/>
        </w:rPr>
        <w:t> </w:t>
      </w:r>
      <w:r w:rsidRPr="004B33AE">
        <w:rPr>
          <w:lang w:val="sk-SK"/>
        </w:rPr>
        <w:t>vodách</w:t>
      </w:r>
      <w:r>
        <w:rPr>
          <w:lang w:val="sk-SK"/>
        </w:rPr>
        <w:t>.</w:t>
      </w:r>
      <w:r w:rsidRPr="004B33AE">
        <w:rPr>
          <w:lang w:val="sk-SK"/>
        </w:rPr>
        <w:t xml:space="preserve"> </w:t>
      </w:r>
      <w:r>
        <w:rPr>
          <w:lang w:val="sk-SK"/>
        </w:rPr>
        <w:t xml:space="preserve">Predpokladaná cieľová hodnota </w:t>
      </w:r>
      <w:r w:rsidRPr="006A2BF3">
        <w:rPr>
          <w:lang w:val="sk-SK"/>
        </w:rPr>
        <w:t xml:space="preserve">ukazovateľa zazmluvnených projektov </w:t>
      </w:r>
      <w:r>
        <w:rPr>
          <w:lang w:val="sk-SK"/>
        </w:rPr>
        <w:t>k 31.12.201</w:t>
      </w:r>
      <w:r w:rsidR="0085444B">
        <w:rPr>
          <w:lang w:val="sk-SK"/>
        </w:rPr>
        <w:t>2</w:t>
      </w:r>
      <w:r>
        <w:rPr>
          <w:lang w:val="sk-SK"/>
        </w:rPr>
        <w:t xml:space="preserve"> </w:t>
      </w:r>
      <w:r w:rsidRPr="006A2BF3">
        <w:rPr>
          <w:lang w:val="sk-SK"/>
        </w:rPr>
        <w:t>vykazuje hodnotu 100%, nakoľko všetky zazmluvnené projekty v rámci uvedeného operačného cieľa deklarujú, že realizované aktivity sú plne v súlade s Rámcovou smernicou o vodá</w:t>
      </w:r>
      <w:r>
        <w:rPr>
          <w:lang w:val="sk-SK"/>
        </w:rPr>
        <w:t xml:space="preserve">ch v období rokov 2008 - 2011. </w:t>
      </w:r>
    </w:p>
    <w:p w:rsidR="0068264B" w:rsidRDefault="002416B1" w:rsidP="00507035">
      <w:pPr>
        <w:spacing w:before="120" w:after="120" w:line="360" w:lineRule="auto"/>
        <w:jc w:val="both"/>
        <w:rPr>
          <w:rFonts w:ascii="Arial" w:hAnsi="Arial" w:cs="Arial"/>
          <w:sz w:val="20"/>
          <w:szCs w:val="20"/>
        </w:rPr>
      </w:pPr>
      <w:r w:rsidRPr="004B33AE">
        <w:rPr>
          <w:rFonts w:ascii="Arial" w:hAnsi="Arial" w:cs="Arial"/>
          <w:sz w:val="20"/>
          <w:szCs w:val="20"/>
        </w:rPr>
        <w:t xml:space="preserve">Napĺňanie relevantných fyzických ukazovateľov vypovedá o príspevku projektov k napĺňaniu jednotlivých cieľov programu. Realizácia projektov financovaných v rámci prioritnej osi 1 prispeje k zabezpečeniu bezproblémového zásobovania obyvateľov kvalitnou pitnou vodou a k efektívnemu zneškodňovaniu odpadových vôd bez negatívnych dopadov na životné prostredie, a tým k naplneniu cieľa Rámcovej smernice o vodách, ktorá je transponovaná do práva SR zákonom č. 364/2004 Z. z. o vodách a o zmene zákona SNR č. 372/1990 Zb. o priestupkoch v znení neskorších predpisov (vodný zákon), ako aj vykonávacej vyhlášky č. </w:t>
      </w:r>
      <w:r w:rsidR="0085444B">
        <w:rPr>
          <w:rFonts w:ascii="Arial" w:hAnsi="Arial" w:cs="Arial"/>
          <w:sz w:val="20"/>
          <w:szCs w:val="20"/>
        </w:rPr>
        <w:t>418/2010</w:t>
      </w:r>
      <w:r w:rsidRPr="004B33AE">
        <w:rPr>
          <w:rFonts w:ascii="Arial" w:hAnsi="Arial" w:cs="Arial"/>
          <w:sz w:val="20"/>
          <w:szCs w:val="20"/>
        </w:rPr>
        <w:t xml:space="preserve"> Z. z</w:t>
      </w:r>
      <w:r w:rsidR="00B2234C">
        <w:rPr>
          <w:rFonts w:ascii="Arial" w:hAnsi="Arial" w:cs="Arial"/>
          <w:sz w:val="20"/>
          <w:szCs w:val="20"/>
        </w:rPr>
        <w:t>. o vykonaní niektorých ustanovení vodného zákona</w:t>
      </w:r>
      <w:r w:rsidRPr="004B33AE">
        <w:rPr>
          <w:rFonts w:ascii="Arial" w:hAnsi="Arial" w:cs="Arial"/>
          <w:sz w:val="20"/>
          <w:szCs w:val="20"/>
        </w:rPr>
        <w:t>, o ich monitorovaní, vedení evidencie o vodách a o vodnej bilancii, dosiahnuť dobrý ekologický stav vôd do roku 2015. Uvedené ukazovatele sledujú taktiež napĺňanie záväzkov SR vyplývajúcich zo Zmluvy o pristúpení k EÚ, t.j. stanovených prechodných období na implementáciu smernice Rady 91/271/EHS z 21. mája 1991 o čistení komunálnych odpadových vôd, s presne stanovenými termínmi splnenia v závislosti od veľkosti aglomerácií.</w:t>
      </w:r>
    </w:p>
    <w:p w:rsidR="0068264B" w:rsidRDefault="0068264B">
      <w:pPr>
        <w:rPr>
          <w:rFonts w:ascii="Arial" w:hAnsi="Arial" w:cs="Arial"/>
          <w:sz w:val="20"/>
          <w:szCs w:val="20"/>
        </w:rPr>
      </w:pPr>
      <w:r>
        <w:rPr>
          <w:rFonts w:ascii="Arial" w:hAnsi="Arial" w:cs="Arial"/>
          <w:sz w:val="20"/>
          <w:szCs w:val="20"/>
        </w:rPr>
        <w:br w:type="page"/>
      </w:r>
    </w:p>
    <w:bookmarkEnd w:id="69"/>
    <w:bookmarkEnd w:id="70"/>
    <w:p w:rsidR="002416B1" w:rsidRPr="004B33AE" w:rsidRDefault="002416B1" w:rsidP="00507035">
      <w:pPr>
        <w:pStyle w:val="Nadpis8"/>
        <w:spacing w:before="120" w:after="120"/>
        <w:rPr>
          <w:rFonts w:ascii="Arial" w:hAnsi="Arial" w:cs="Arial"/>
          <w:b/>
          <w:sz w:val="22"/>
          <w:szCs w:val="22"/>
        </w:rPr>
      </w:pPr>
      <w:r w:rsidRPr="004B33AE">
        <w:rPr>
          <w:rFonts w:ascii="Arial" w:hAnsi="Arial" w:cs="Arial"/>
          <w:b/>
          <w:sz w:val="22"/>
          <w:szCs w:val="22"/>
        </w:rPr>
        <w:t>3.1.1.2 Finančná implementácia v rámci prioritnej osi 1</w:t>
      </w:r>
    </w:p>
    <w:p w:rsidR="002416B1" w:rsidRDefault="002416B1" w:rsidP="00507035">
      <w:pPr>
        <w:pStyle w:val="Zkladntextb"/>
        <w:spacing w:before="120" w:after="120" w:line="360" w:lineRule="auto"/>
        <w:ind w:left="0"/>
        <w:jc w:val="both"/>
        <w:rPr>
          <w:lang w:val="sk-SK"/>
        </w:rPr>
      </w:pPr>
      <w:r w:rsidRPr="004B33AE">
        <w:rPr>
          <w:lang w:val="sk-SK"/>
        </w:rPr>
        <w:t>K 31.12.201</w:t>
      </w:r>
      <w:r w:rsidR="00B2234C">
        <w:rPr>
          <w:lang w:val="sk-SK"/>
        </w:rPr>
        <w:t>2</w:t>
      </w:r>
      <w:r w:rsidRPr="004B33AE">
        <w:rPr>
          <w:lang w:val="sk-SK"/>
        </w:rPr>
        <w:t xml:space="preserve"> bolo z Kohézneho fondu za prioritnú os 1 vyčerpaných </w:t>
      </w:r>
      <w:r w:rsidR="00E512EF">
        <w:rPr>
          <w:lang w:val="sk-SK"/>
        </w:rPr>
        <w:t>takmer 224 miliónov</w:t>
      </w:r>
      <w:r w:rsidRPr="004B33AE">
        <w:rPr>
          <w:lang w:val="sk-SK"/>
        </w:rPr>
        <w:t xml:space="preserve"> EUR, čo </w:t>
      </w:r>
      <w:bookmarkStart w:id="71" w:name="OLE_LINK39"/>
      <w:bookmarkStart w:id="72" w:name="OLE_LINK40"/>
      <w:r w:rsidRPr="004B33AE">
        <w:rPr>
          <w:lang w:val="sk-SK"/>
        </w:rPr>
        <w:t xml:space="preserve">predstavuje </w:t>
      </w:r>
      <w:r w:rsidR="00E512EF">
        <w:rPr>
          <w:lang w:val="sk-SK"/>
        </w:rPr>
        <w:t>24,46</w:t>
      </w:r>
      <w:r w:rsidR="0072403D">
        <w:rPr>
          <w:lang w:val="sk-SK"/>
        </w:rPr>
        <w:t xml:space="preserve"> </w:t>
      </w:r>
      <w:r w:rsidRPr="004B33AE">
        <w:rPr>
          <w:lang w:val="sk-SK"/>
        </w:rPr>
        <w:t>% z celkového záväzku na prioritnú os na toto programové obdobie</w:t>
      </w:r>
      <w:bookmarkEnd w:id="71"/>
      <w:bookmarkEnd w:id="72"/>
      <w:r w:rsidRPr="004B33AE">
        <w:rPr>
          <w:lang w:val="sk-SK"/>
        </w:rPr>
        <w:t xml:space="preserve">. </w:t>
      </w:r>
    </w:p>
    <w:p w:rsidR="002416B1" w:rsidRPr="004B33AE" w:rsidRDefault="002416B1" w:rsidP="00205636">
      <w:pPr>
        <w:jc w:val="both"/>
        <w:rPr>
          <w:highlight w:val="yellow"/>
        </w:rPr>
      </w:pPr>
      <w:r w:rsidRPr="006A2BF3">
        <w:rPr>
          <w:rFonts w:ascii="Arial" w:hAnsi="Arial" w:cs="Arial"/>
          <w:sz w:val="20"/>
          <w:szCs w:val="20"/>
        </w:rPr>
        <w:t xml:space="preserve">Tab. </w:t>
      </w:r>
      <w:r w:rsidRPr="00570976">
        <w:rPr>
          <w:rFonts w:ascii="Arial" w:hAnsi="Arial" w:cs="Arial"/>
          <w:sz w:val="20"/>
          <w:szCs w:val="20"/>
        </w:rPr>
        <w:t xml:space="preserve">č. </w:t>
      </w:r>
      <w:r w:rsidR="007B7519">
        <w:rPr>
          <w:rFonts w:ascii="Arial" w:hAnsi="Arial" w:cs="Arial"/>
          <w:sz w:val="20"/>
          <w:szCs w:val="20"/>
        </w:rPr>
        <w:t>40</w:t>
      </w:r>
      <w:r w:rsidRPr="006A2BF3">
        <w:rPr>
          <w:rFonts w:ascii="Arial" w:hAnsi="Arial" w:cs="Arial"/>
          <w:sz w:val="20"/>
          <w:szCs w:val="20"/>
        </w:rPr>
        <w:t>: Čerpanie prostriedkov Prioritnej osi 1 k 31.12.201</w:t>
      </w:r>
      <w:r w:rsidR="00E512EF">
        <w:rPr>
          <w:rFonts w:ascii="Arial" w:hAnsi="Arial" w:cs="Arial"/>
          <w:sz w:val="20"/>
          <w:szCs w:val="20"/>
        </w:rPr>
        <w:t>2</w:t>
      </w:r>
      <w:r w:rsidRPr="006A2BF3">
        <w:rPr>
          <w:rFonts w:ascii="Arial" w:hAnsi="Arial" w:cs="Arial"/>
          <w:b/>
          <w:sz w:val="20"/>
          <w:szCs w:val="20"/>
        </w:rPr>
        <w:t> </w:t>
      </w:r>
    </w:p>
    <w:tbl>
      <w:tblPr>
        <w:tblW w:w="9141" w:type="dxa"/>
        <w:jc w:val="center"/>
        <w:tblLayout w:type="fixed"/>
        <w:tblCellMar>
          <w:left w:w="70" w:type="dxa"/>
          <w:right w:w="70" w:type="dxa"/>
        </w:tblCellMar>
        <w:tblLook w:val="0000" w:firstRow="0" w:lastRow="0" w:firstColumn="0" w:lastColumn="0" w:noHBand="0" w:noVBand="0"/>
      </w:tblPr>
      <w:tblGrid>
        <w:gridCol w:w="1440"/>
        <w:gridCol w:w="1724"/>
        <w:gridCol w:w="1440"/>
        <w:gridCol w:w="1557"/>
        <w:gridCol w:w="1392"/>
        <w:gridCol w:w="1588"/>
      </w:tblGrid>
      <w:tr w:rsidR="00E512EF" w:rsidRPr="007F5BD7" w:rsidTr="00E512EF">
        <w:trPr>
          <w:trHeight w:val="585"/>
          <w:jc w:val="center"/>
        </w:trPr>
        <w:tc>
          <w:tcPr>
            <w:tcW w:w="1440" w:type="dxa"/>
            <w:vMerge w:val="restart"/>
            <w:tcBorders>
              <w:top w:val="single" w:sz="8" w:space="0" w:color="auto"/>
              <w:left w:val="single" w:sz="8" w:space="0" w:color="auto"/>
              <w:bottom w:val="single" w:sz="4" w:space="0" w:color="auto"/>
              <w:right w:val="single" w:sz="4" w:space="0" w:color="auto"/>
            </w:tcBorders>
            <w:shd w:val="clear" w:color="auto" w:fill="auto"/>
            <w:noWrap/>
            <w:vAlign w:val="center"/>
          </w:tcPr>
          <w:p w:rsidR="00E512EF" w:rsidRPr="007F5BD7" w:rsidRDefault="00E512EF" w:rsidP="00205636">
            <w:pPr>
              <w:jc w:val="both"/>
              <w:rPr>
                <w:rFonts w:ascii="Arial" w:hAnsi="Arial" w:cs="Arial"/>
                <w:sz w:val="18"/>
                <w:szCs w:val="18"/>
              </w:rPr>
            </w:pPr>
            <w:r w:rsidRPr="007F5BD7">
              <w:rPr>
                <w:rFonts w:ascii="Arial" w:hAnsi="Arial" w:cs="Arial"/>
                <w:sz w:val="18"/>
                <w:szCs w:val="18"/>
              </w:rPr>
              <w:t> </w:t>
            </w:r>
          </w:p>
        </w:tc>
        <w:tc>
          <w:tcPr>
            <w:tcW w:w="1724" w:type="dxa"/>
            <w:vMerge w:val="restart"/>
            <w:tcBorders>
              <w:top w:val="single" w:sz="8" w:space="0" w:color="auto"/>
              <w:left w:val="single" w:sz="4" w:space="0" w:color="auto"/>
              <w:bottom w:val="single" w:sz="4" w:space="0" w:color="auto"/>
              <w:right w:val="single" w:sz="4" w:space="0" w:color="auto"/>
            </w:tcBorders>
            <w:shd w:val="clear" w:color="auto" w:fill="D6E3BC"/>
            <w:vAlign w:val="center"/>
          </w:tcPr>
          <w:p w:rsidR="00E512EF" w:rsidRPr="007F5BD7" w:rsidRDefault="00E512EF" w:rsidP="00205636">
            <w:pPr>
              <w:jc w:val="center"/>
              <w:rPr>
                <w:rFonts w:ascii="Arial" w:hAnsi="Arial" w:cs="Arial"/>
                <w:sz w:val="18"/>
                <w:szCs w:val="18"/>
              </w:rPr>
            </w:pPr>
            <w:r w:rsidRPr="007F5BD7">
              <w:rPr>
                <w:rFonts w:ascii="Arial" w:eastAsia="EUAlbertina-Regular-Identity-H" w:hAnsi="Arial" w:cs="Arial"/>
                <w:sz w:val="18"/>
                <w:szCs w:val="18"/>
              </w:rPr>
              <w:t xml:space="preserve">Záväzok </w:t>
            </w:r>
            <w:r w:rsidRPr="007F5BD7">
              <w:rPr>
                <w:rFonts w:ascii="Arial" w:eastAsia="EUAlbertina-Regular-Identity-H" w:hAnsi="Arial" w:cs="Arial"/>
                <w:sz w:val="18"/>
                <w:szCs w:val="18"/>
              </w:rPr>
              <w:br/>
              <w:t>2007-2013</w:t>
            </w:r>
            <w:r w:rsidRPr="007F5BD7">
              <w:rPr>
                <w:rFonts w:ascii="Arial" w:eastAsia="EUAlbertina-Regular-Identity-H" w:hAnsi="Arial" w:cs="Arial"/>
                <w:sz w:val="18"/>
                <w:szCs w:val="18"/>
              </w:rPr>
              <w:br/>
              <w:t xml:space="preserve"> za EÚ zdroje</w:t>
            </w:r>
            <w:r w:rsidRPr="007F5BD7">
              <w:rPr>
                <w:rFonts w:ascii="Arial" w:eastAsia="EUAlbertina-Regular-Identity-H" w:hAnsi="Arial" w:cs="Arial"/>
                <w:sz w:val="18"/>
                <w:szCs w:val="18"/>
              </w:rPr>
              <w:br/>
            </w:r>
            <w:r w:rsidRPr="007F5BD7">
              <w:rPr>
                <w:rFonts w:ascii="Arial" w:hAnsi="Arial" w:cs="Arial"/>
                <w:sz w:val="18"/>
                <w:szCs w:val="18"/>
              </w:rPr>
              <w:t>v €</w:t>
            </w:r>
          </w:p>
        </w:tc>
        <w:tc>
          <w:tcPr>
            <w:tcW w:w="2997" w:type="dxa"/>
            <w:gridSpan w:val="2"/>
            <w:tcBorders>
              <w:top w:val="single" w:sz="8" w:space="0" w:color="auto"/>
              <w:left w:val="nil"/>
              <w:bottom w:val="single" w:sz="4" w:space="0" w:color="auto"/>
              <w:right w:val="single" w:sz="4" w:space="0" w:color="000000"/>
            </w:tcBorders>
            <w:shd w:val="clear" w:color="auto" w:fill="D6E3BC"/>
            <w:vAlign w:val="center"/>
          </w:tcPr>
          <w:p w:rsidR="00E512EF" w:rsidRPr="007F5BD7" w:rsidRDefault="00E512EF" w:rsidP="00205636">
            <w:pPr>
              <w:jc w:val="center"/>
              <w:rPr>
                <w:rFonts w:ascii="Arial" w:hAnsi="Arial" w:cs="Arial"/>
                <w:sz w:val="18"/>
                <w:szCs w:val="18"/>
              </w:rPr>
            </w:pPr>
            <w:r w:rsidRPr="007F5BD7">
              <w:rPr>
                <w:rFonts w:ascii="Arial" w:hAnsi="Arial" w:cs="Arial"/>
                <w:sz w:val="18"/>
                <w:szCs w:val="18"/>
              </w:rPr>
              <w:t>Čerpanie prostriedkov v roku 2012</w:t>
            </w:r>
          </w:p>
          <w:p w:rsidR="00E512EF" w:rsidRPr="007F5BD7" w:rsidRDefault="00E512EF" w:rsidP="00205636">
            <w:pPr>
              <w:jc w:val="center"/>
              <w:rPr>
                <w:rFonts w:ascii="Arial" w:hAnsi="Arial" w:cs="Arial"/>
                <w:sz w:val="18"/>
                <w:szCs w:val="18"/>
              </w:rPr>
            </w:pPr>
            <w:r w:rsidRPr="007F5BD7">
              <w:rPr>
                <w:rFonts w:ascii="Arial" w:hAnsi="Arial" w:cs="Arial"/>
                <w:sz w:val="18"/>
                <w:szCs w:val="18"/>
              </w:rPr>
              <w:t>(EU zdroje) v €</w:t>
            </w:r>
          </w:p>
        </w:tc>
        <w:tc>
          <w:tcPr>
            <w:tcW w:w="2980" w:type="dxa"/>
            <w:gridSpan w:val="2"/>
            <w:tcBorders>
              <w:top w:val="single" w:sz="8" w:space="0" w:color="auto"/>
              <w:left w:val="nil"/>
              <w:bottom w:val="single" w:sz="4" w:space="0" w:color="auto"/>
              <w:right w:val="single" w:sz="8" w:space="0" w:color="000000"/>
            </w:tcBorders>
            <w:shd w:val="clear" w:color="auto" w:fill="D6E3BC"/>
            <w:vAlign w:val="center"/>
          </w:tcPr>
          <w:p w:rsidR="00E512EF" w:rsidRPr="007F5BD7" w:rsidRDefault="00E512EF" w:rsidP="00205636">
            <w:pPr>
              <w:jc w:val="center"/>
              <w:rPr>
                <w:rFonts w:ascii="Arial" w:hAnsi="Arial" w:cs="Arial"/>
                <w:sz w:val="18"/>
                <w:szCs w:val="18"/>
              </w:rPr>
            </w:pPr>
            <w:r w:rsidRPr="007F5BD7">
              <w:rPr>
                <w:rFonts w:ascii="Arial" w:hAnsi="Arial" w:cs="Arial"/>
                <w:sz w:val="18"/>
                <w:szCs w:val="18"/>
              </w:rPr>
              <w:t xml:space="preserve">Čerpanie prostriedkov kumulatívne </w:t>
            </w:r>
            <w:r w:rsidRPr="007F5BD7">
              <w:rPr>
                <w:rFonts w:ascii="Arial" w:hAnsi="Arial" w:cs="Arial"/>
                <w:sz w:val="18"/>
                <w:szCs w:val="18"/>
              </w:rPr>
              <w:br/>
              <w:t>(EU zdroje) v €</w:t>
            </w:r>
          </w:p>
        </w:tc>
      </w:tr>
      <w:tr w:rsidR="00E512EF" w:rsidRPr="007F5BD7" w:rsidTr="00E512EF">
        <w:trPr>
          <w:trHeight w:val="480"/>
          <w:jc w:val="center"/>
        </w:trPr>
        <w:tc>
          <w:tcPr>
            <w:tcW w:w="1440" w:type="dxa"/>
            <w:vMerge/>
            <w:tcBorders>
              <w:top w:val="single" w:sz="8" w:space="0" w:color="auto"/>
              <w:left w:val="single" w:sz="8" w:space="0" w:color="auto"/>
              <w:bottom w:val="single" w:sz="4" w:space="0" w:color="auto"/>
              <w:right w:val="single" w:sz="4" w:space="0" w:color="auto"/>
            </w:tcBorders>
            <w:shd w:val="clear" w:color="auto" w:fill="auto"/>
            <w:vAlign w:val="center"/>
          </w:tcPr>
          <w:p w:rsidR="00E512EF" w:rsidRPr="007F5BD7" w:rsidRDefault="00E512EF" w:rsidP="00205636">
            <w:pPr>
              <w:jc w:val="both"/>
              <w:rPr>
                <w:rFonts w:ascii="Arial" w:hAnsi="Arial" w:cs="Arial"/>
                <w:sz w:val="18"/>
                <w:szCs w:val="18"/>
              </w:rPr>
            </w:pPr>
          </w:p>
        </w:tc>
        <w:tc>
          <w:tcPr>
            <w:tcW w:w="1724" w:type="dxa"/>
            <w:vMerge/>
            <w:tcBorders>
              <w:top w:val="single" w:sz="8" w:space="0" w:color="auto"/>
              <w:left w:val="single" w:sz="4" w:space="0" w:color="auto"/>
              <w:bottom w:val="single" w:sz="4" w:space="0" w:color="auto"/>
              <w:right w:val="single" w:sz="4" w:space="0" w:color="auto"/>
            </w:tcBorders>
            <w:shd w:val="clear" w:color="auto" w:fill="D6E3BC"/>
            <w:vAlign w:val="center"/>
          </w:tcPr>
          <w:p w:rsidR="00E512EF" w:rsidRPr="007F5BD7" w:rsidRDefault="00E512EF" w:rsidP="00205636">
            <w:pPr>
              <w:jc w:val="center"/>
              <w:rPr>
                <w:rFonts w:ascii="Arial" w:hAnsi="Arial" w:cs="Arial"/>
                <w:sz w:val="18"/>
                <w:szCs w:val="18"/>
              </w:rPr>
            </w:pPr>
          </w:p>
        </w:tc>
        <w:tc>
          <w:tcPr>
            <w:tcW w:w="1440" w:type="dxa"/>
            <w:tcBorders>
              <w:top w:val="nil"/>
              <w:left w:val="nil"/>
              <w:bottom w:val="single" w:sz="4" w:space="0" w:color="auto"/>
              <w:right w:val="single" w:sz="4" w:space="0" w:color="auto"/>
            </w:tcBorders>
            <w:shd w:val="clear" w:color="auto" w:fill="D6E3BC"/>
            <w:noWrap/>
            <w:vAlign w:val="center"/>
          </w:tcPr>
          <w:p w:rsidR="00E512EF" w:rsidRPr="007F5BD7" w:rsidRDefault="00E512EF" w:rsidP="00205636">
            <w:pPr>
              <w:jc w:val="center"/>
              <w:rPr>
                <w:rFonts w:ascii="Arial" w:hAnsi="Arial" w:cs="Arial"/>
                <w:sz w:val="18"/>
                <w:szCs w:val="18"/>
              </w:rPr>
            </w:pPr>
            <w:r w:rsidRPr="007F5BD7">
              <w:rPr>
                <w:rFonts w:ascii="Arial" w:hAnsi="Arial" w:cs="Arial"/>
                <w:sz w:val="18"/>
                <w:szCs w:val="18"/>
              </w:rPr>
              <w:t>Celkom</w:t>
            </w:r>
          </w:p>
        </w:tc>
        <w:tc>
          <w:tcPr>
            <w:tcW w:w="1557" w:type="dxa"/>
            <w:tcBorders>
              <w:top w:val="nil"/>
              <w:left w:val="nil"/>
              <w:bottom w:val="single" w:sz="4" w:space="0" w:color="auto"/>
              <w:right w:val="single" w:sz="4" w:space="0" w:color="auto"/>
            </w:tcBorders>
            <w:shd w:val="clear" w:color="auto" w:fill="D6E3BC"/>
            <w:vAlign w:val="center"/>
          </w:tcPr>
          <w:p w:rsidR="00E512EF" w:rsidRPr="007F5BD7" w:rsidRDefault="00E512EF" w:rsidP="00205636">
            <w:pPr>
              <w:jc w:val="center"/>
              <w:rPr>
                <w:rFonts w:ascii="Arial" w:hAnsi="Arial" w:cs="Arial"/>
                <w:sz w:val="18"/>
                <w:szCs w:val="18"/>
              </w:rPr>
            </w:pPr>
            <w:r w:rsidRPr="007F5BD7">
              <w:rPr>
                <w:rFonts w:ascii="Arial" w:hAnsi="Arial" w:cs="Arial"/>
                <w:sz w:val="18"/>
                <w:szCs w:val="18"/>
              </w:rPr>
              <w:t>% zo záväzku</w:t>
            </w:r>
          </w:p>
          <w:p w:rsidR="00E512EF" w:rsidRPr="007F5BD7" w:rsidRDefault="00E512EF" w:rsidP="00205636">
            <w:pPr>
              <w:jc w:val="center"/>
              <w:rPr>
                <w:rFonts w:ascii="Arial" w:hAnsi="Arial" w:cs="Arial"/>
                <w:sz w:val="18"/>
                <w:szCs w:val="18"/>
              </w:rPr>
            </w:pPr>
            <w:r w:rsidRPr="007F5BD7">
              <w:rPr>
                <w:rFonts w:ascii="Arial" w:hAnsi="Arial" w:cs="Arial"/>
                <w:sz w:val="18"/>
                <w:szCs w:val="18"/>
              </w:rPr>
              <w:t>2007 - 2013</w:t>
            </w:r>
          </w:p>
        </w:tc>
        <w:tc>
          <w:tcPr>
            <w:tcW w:w="1392" w:type="dxa"/>
            <w:tcBorders>
              <w:top w:val="nil"/>
              <w:left w:val="nil"/>
              <w:bottom w:val="single" w:sz="4" w:space="0" w:color="auto"/>
              <w:right w:val="single" w:sz="4" w:space="0" w:color="auto"/>
            </w:tcBorders>
            <w:shd w:val="clear" w:color="auto" w:fill="D6E3BC"/>
            <w:noWrap/>
            <w:vAlign w:val="center"/>
          </w:tcPr>
          <w:p w:rsidR="00E512EF" w:rsidRPr="007F5BD7" w:rsidRDefault="00E512EF" w:rsidP="00205636">
            <w:pPr>
              <w:jc w:val="center"/>
              <w:rPr>
                <w:rFonts w:ascii="Arial" w:hAnsi="Arial" w:cs="Arial"/>
                <w:sz w:val="18"/>
                <w:szCs w:val="18"/>
              </w:rPr>
            </w:pPr>
            <w:r w:rsidRPr="007F5BD7">
              <w:rPr>
                <w:rFonts w:ascii="Arial" w:hAnsi="Arial" w:cs="Arial"/>
                <w:sz w:val="18"/>
                <w:szCs w:val="18"/>
              </w:rPr>
              <w:t>Celkom</w:t>
            </w:r>
          </w:p>
        </w:tc>
        <w:tc>
          <w:tcPr>
            <w:tcW w:w="1588" w:type="dxa"/>
            <w:tcBorders>
              <w:top w:val="nil"/>
              <w:left w:val="nil"/>
              <w:bottom w:val="single" w:sz="4" w:space="0" w:color="auto"/>
              <w:right w:val="single" w:sz="8" w:space="0" w:color="auto"/>
            </w:tcBorders>
            <w:shd w:val="clear" w:color="auto" w:fill="D6E3BC"/>
            <w:vAlign w:val="center"/>
          </w:tcPr>
          <w:p w:rsidR="00E512EF" w:rsidRPr="007F5BD7" w:rsidRDefault="00E512EF" w:rsidP="00205636">
            <w:pPr>
              <w:jc w:val="center"/>
              <w:rPr>
                <w:rFonts w:ascii="Arial" w:hAnsi="Arial" w:cs="Arial"/>
                <w:sz w:val="18"/>
                <w:szCs w:val="18"/>
              </w:rPr>
            </w:pPr>
            <w:r w:rsidRPr="007F5BD7">
              <w:rPr>
                <w:rFonts w:ascii="Arial" w:hAnsi="Arial" w:cs="Arial"/>
                <w:sz w:val="18"/>
                <w:szCs w:val="18"/>
              </w:rPr>
              <w:t>% zo záväzku</w:t>
            </w:r>
          </w:p>
          <w:p w:rsidR="00E512EF" w:rsidRPr="007F5BD7" w:rsidRDefault="00E512EF" w:rsidP="00205636">
            <w:pPr>
              <w:jc w:val="center"/>
              <w:rPr>
                <w:rFonts w:ascii="Arial" w:hAnsi="Arial" w:cs="Arial"/>
                <w:sz w:val="18"/>
                <w:szCs w:val="18"/>
              </w:rPr>
            </w:pPr>
            <w:r w:rsidRPr="007F5BD7">
              <w:rPr>
                <w:rFonts w:ascii="Arial" w:hAnsi="Arial" w:cs="Arial"/>
                <w:sz w:val="18"/>
                <w:szCs w:val="18"/>
              </w:rPr>
              <w:t>2007 - 2013</w:t>
            </w:r>
          </w:p>
        </w:tc>
      </w:tr>
      <w:tr w:rsidR="00E512EF" w:rsidRPr="007F5BD7" w:rsidTr="00793261">
        <w:trPr>
          <w:trHeight w:val="255"/>
          <w:jc w:val="center"/>
        </w:trPr>
        <w:tc>
          <w:tcPr>
            <w:tcW w:w="1440" w:type="dxa"/>
            <w:tcBorders>
              <w:top w:val="single" w:sz="4" w:space="0" w:color="auto"/>
              <w:left w:val="single" w:sz="8" w:space="0" w:color="auto"/>
              <w:bottom w:val="single" w:sz="4" w:space="0" w:color="auto"/>
              <w:right w:val="single" w:sz="4" w:space="0" w:color="auto"/>
            </w:tcBorders>
            <w:shd w:val="clear" w:color="auto" w:fill="auto"/>
            <w:noWrap/>
            <w:vAlign w:val="center"/>
          </w:tcPr>
          <w:p w:rsidR="00E512EF" w:rsidRPr="007F5BD7" w:rsidRDefault="00E512EF" w:rsidP="00205636">
            <w:pPr>
              <w:jc w:val="center"/>
              <w:rPr>
                <w:rFonts w:ascii="Arial" w:hAnsi="Arial" w:cs="Arial"/>
                <w:sz w:val="18"/>
                <w:szCs w:val="18"/>
              </w:rPr>
            </w:pPr>
            <w:r w:rsidRPr="007F5BD7">
              <w:rPr>
                <w:rFonts w:ascii="Arial" w:hAnsi="Arial" w:cs="Arial"/>
                <w:sz w:val="18"/>
                <w:szCs w:val="18"/>
              </w:rPr>
              <w:t>Prioritná os 1</w:t>
            </w:r>
          </w:p>
        </w:tc>
        <w:tc>
          <w:tcPr>
            <w:tcW w:w="1724" w:type="dxa"/>
            <w:tcBorders>
              <w:top w:val="nil"/>
              <w:left w:val="nil"/>
              <w:bottom w:val="single" w:sz="4" w:space="0" w:color="auto"/>
              <w:right w:val="single" w:sz="4" w:space="0" w:color="auto"/>
            </w:tcBorders>
            <w:shd w:val="clear" w:color="auto" w:fill="auto"/>
            <w:noWrap/>
            <w:vAlign w:val="center"/>
          </w:tcPr>
          <w:p w:rsidR="00E512EF" w:rsidRPr="007F5BD7" w:rsidRDefault="00E512EF" w:rsidP="00205636">
            <w:pPr>
              <w:jc w:val="center"/>
              <w:rPr>
                <w:rFonts w:ascii="Arial" w:hAnsi="Arial" w:cs="Arial"/>
                <w:sz w:val="18"/>
                <w:szCs w:val="18"/>
              </w:rPr>
            </w:pPr>
            <w:r w:rsidRPr="007F5BD7">
              <w:rPr>
                <w:rFonts w:ascii="Arial" w:hAnsi="Arial" w:cs="Arial"/>
                <w:sz w:val="18"/>
                <w:szCs w:val="18"/>
              </w:rPr>
              <w:t>915 643 065,00</w:t>
            </w:r>
          </w:p>
        </w:tc>
        <w:tc>
          <w:tcPr>
            <w:tcW w:w="1440" w:type="dxa"/>
            <w:tcBorders>
              <w:top w:val="nil"/>
              <w:left w:val="nil"/>
              <w:bottom w:val="single" w:sz="4" w:space="0" w:color="auto"/>
              <w:right w:val="single" w:sz="4" w:space="0" w:color="auto"/>
            </w:tcBorders>
            <w:shd w:val="clear" w:color="auto" w:fill="auto"/>
            <w:noWrap/>
            <w:vAlign w:val="center"/>
          </w:tcPr>
          <w:p w:rsidR="00E512EF" w:rsidRPr="007F5BD7" w:rsidRDefault="00E512EF" w:rsidP="00205636">
            <w:pPr>
              <w:jc w:val="center"/>
              <w:rPr>
                <w:rFonts w:ascii="Arial" w:hAnsi="Arial" w:cs="Arial"/>
                <w:color w:val="000000"/>
                <w:sz w:val="18"/>
                <w:szCs w:val="18"/>
              </w:rPr>
            </w:pPr>
            <w:r w:rsidRPr="007F5BD7">
              <w:rPr>
                <w:rFonts w:ascii="Arial" w:hAnsi="Arial" w:cs="Arial"/>
                <w:color w:val="000000"/>
                <w:sz w:val="18"/>
                <w:szCs w:val="18"/>
              </w:rPr>
              <w:t>103 078 041,44</w:t>
            </w:r>
          </w:p>
        </w:tc>
        <w:tc>
          <w:tcPr>
            <w:tcW w:w="1557" w:type="dxa"/>
            <w:tcBorders>
              <w:top w:val="nil"/>
              <w:left w:val="nil"/>
              <w:bottom w:val="single" w:sz="4" w:space="0" w:color="auto"/>
              <w:right w:val="single" w:sz="4" w:space="0" w:color="auto"/>
            </w:tcBorders>
            <w:shd w:val="clear" w:color="auto" w:fill="auto"/>
            <w:noWrap/>
            <w:vAlign w:val="center"/>
          </w:tcPr>
          <w:p w:rsidR="00E512EF" w:rsidRPr="007F5BD7" w:rsidRDefault="00E512EF" w:rsidP="00205636">
            <w:pPr>
              <w:jc w:val="center"/>
              <w:rPr>
                <w:rFonts w:ascii="Arial" w:hAnsi="Arial" w:cs="Arial"/>
                <w:color w:val="000000"/>
                <w:sz w:val="18"/>
                <w:szCs w:val="18"/>
              </w:rPr>
            </w:pPr>
            <w:r w:rsidRPr="007F5BD7">
              <w:rPr>
                <w:rFonts w:ascii="Arial" w:hAnsi="Arial" w:cs="Arial"/>
                <w:color w:val="000000"/>
                <w:sz w:val="18"/>
                <w:szCs w:val="18"/>
              </w:rPr>
              <w:t>11,26%</w:t>
            </w:r>
          </w:p>
        </w:tc>
        <w:tc>
          <w:tcPr>
            <w:tcW w:w="1392" w:type="dxa"/>
            <w:tcBorders>
              <w:top w:val="nil"/>
              <w:left w:val="nil"/>
              <w:bottom w:val="single" w:sz="4" w:space="0" w:color="auto"/>
              <w:right w:val="single" w:sz="4" w:space="0" w:color="auto"/>
            </w:tcBorders>
            <w:shd w:val="clear" w:color="auto" w:fill="auto"/>
            <w:noWrap/>
            <w:vAlign w:val="center"/>
          </w:tcPr>
          <w:p w:rsidR="00E512EF" w:rsidRPr="007F5BD7" w:rsidRDefault="00E512EF" w:rsidP="00205636">
            <w:pPr>
              <w:jc w:val="center"/>
              <w:rPr>
                <w:rFonts w:ascii="Arial" w:hAnsi="Arial" w:cs="Arial"/>
                <w:color w:val="000000"/>
                <w:sz w:val="18"/>
                <w:szCs w:val="18"/>
              </w:rPr>
            </w:pPr>
            <w:r w:rsidRPr="007F5BD7">
              <w:rPr>
                <w:rFonts w:ascii="Arial" w:hAnsi="Arial" w:cs="Arial"/>
                <w:color w:val="000000"/>
                <w:sz w:val="18"/>
                <w:szCs w:val="18"/>
              </w:rPr>
              <w:t>223 936 907,72</w:t>
            </w:r>
          </w:p>
        </w:tc>
        <w:tc>
          <w:tcPr>
            <w:tcW w:w="1588" w:type="dxa"/>
            <w:tcBorders>
              <w:top w:val="nil"/>
              <w:left w:val="nil"/>
              <w:bottom w:val="single" w:sz="4" w:space="0" w:color="auto"/>
              <w:right w:val="single" w:sz="8" w:space="0" w:color="auto"/>
            </w:tcBorders>
            <w:shd w:val="clear" w:color="auto" w:fill="auto"/>
            <w:noWrap/>
            <w:vAlign w:val="center"/>
          </w:tcPr>
          <w:p w:rsidR="00E512EF" w:rsidRPr="007F5BD7" w:rsidRDefault="00E512EF" w:rsidP="00205636">
            <w:pPr>
              <w:jc w:val="center"/>
              <w:rPr>
                <w:rFonts w:ascii="Arial" w:hAnsi="Arial" w:cs="Arial"/>
                <w:color w:val="000000"/>
                <w:sz w:val="18"/>
                <w:szCs w:val="18"/>
              </w:rPr>
            </w:pPr>
            <w:r w:rsidRPr="007F5BD7">
              <w:rPr>
                <w:rFonts w:ascii="Arial" w:hAnsi="Arial" w:cs="Arial"/>
                <w:color w:val="000000"/>
                <w:sz w:val="18"/>
                <w:szCs w:val="18"/>
              </w:rPr>
              <w:t>24,46%</w:t>
            </w:r>
          </w:p>
        </w:tc>
      </w:tr>
    </w:tbl>
    <w:p w:rsidR="002416B1" w:rsidRDefault="002416B1" w:rsidP="00205636">
      <w:pPr>
        <w:pStyle w:val="Zkladntextb"/>
        <w:spacing w:after="0"/>
        <w:ind w:left="0"/>
        <w:rPr>
          <w:sz w:val="18"/>
          <w:szCs w:val="18"/>
          <w:lang w:val="sk-SK"/>
        </w:rPr>
      </w:pPr>
      <w:r w:rsidRPr="006A2BF3">
        <w:rPr>
          <w:sz w:val="18"/>
          <w:szCs w:val="18"/>
          <w:lang w:val="sk-SK"/>
        </w:rPr>
        <w:t>Zdroj: CO</w:t>
      </w:r>
    </w:p>
    <w:p w:rsidR="00100ACF" w:rsidRPr="0039268C" w:rsidRDefault="00100ACF" w:rsidP="00205636">
      <w:pPr>
        <w:pStyle w:val="Zkladntextb"/>
        <w:spacing w:after="0"/>
        <w:ind w:left="0"/>
        <w:rPr>
          <w:i/>
          <w:sz w:val="18"/>
          <w:szCs w:val="18"/>
          <w:lang w:val="sk-SK"/>
        </w:rPr>
      </w:pPr>
      <w:r w:rsidRPr="0039268C">
        <w:rPr>
          <w:i/>
          <w:sz w:val="18"/>
          <w:szCs w:val="18"/>
          <w:lang w:val="sk-SK"/>
        </w:rPr>
        <w:t xml:space="preserve">Pozn.: </w:t>
      </w:r>
      <w:r w:rsidRPr="0039268C">
        <w:rPr>
          <w:bCs/>
          <w:i/>
          <w:sz w:val="18"/>
          <w:szCs w:val="18"/>
          <w:lang w:val="sk-SK"/>
        </w:rPr>
        <w:t>prehľad výdavkov schválených CO znížených o nezrovnalosti</w:t>
      </w:r>
    </w:p>
    <w:p w:rsidR="00992100" w:rsidRDefault="00992100">
      <w:pPr>
        <w:rPr>
          <w:rFonts w:ascii="Arial" w:hAnsi="Arial"/>
          <w:sz w:val="20"/>
          <w:szCs w:val="20"/>
        </w:rPr>
      </w:pPr>
    </w:p>
    <w:p w:rsidR="002416B1" w:rsidRPr="004B33AE" w:rsidRDefault="002416B1" w:rsidP="00507035">
      <w:pPr>
        <w:pStyle w:val="Zkladntextb"/>
        <w:spacing w:before="120" w:after="120" w:line="360" w:lineRule="auto"/>
        <w:ind w:left="0"/>
        <w:jc w:val="both"/>
        <w:rPr>
          <w:lang w:val="sk-SK"/>
        </w:rPr>
      </w:pPr>
      <w:r w:rsidRPr="006A2BF3">
        <w:rPr>
          <w:lang w:val="sk-SK"/>
        </w:rPr>
        <w:t>V roku 201</w:t>
      </w:r>
      <w:r w:rsidR="00E512EF">
        <w:rPr>
          <w:lang w:val="sk-SK"/>
        </w:rPr>
        <w:t>2</w:t>
      </w:r>
      <w:r w:rsidRPr="004B33AE">
        <w:rPr>
          <w:lang w:val="sk-SK"/>
        </w:rPr>
        <w:t xml:space="preserve"> sa vyčerpali prostriedky v rámci prioritnej osi 1 v objeme </w:t>
      </w:r>
      <w:r w:rsidR="00E512EF">
        <w:rPr>
          <w:lang w:val="sk-SK"/>
        </w:rPr>
        <w:t>103 078 041,44</w:t>
      </w:r>
      <w:r w:rsidRPr="004B33AE">
        <w:rPr>
          <w:lang w:val="sk-SK"/>
        </w:rPr>
        <w:t xml:space="preserve"> EUR, </w:t>
      </w:r>
      <w:r w:rsidRPr="00B948D5">
        <w:rPr>
          <w:lang w:val="sk-SK"/>
        </w:rPr>
        <w:t>pričom najvyššie čerpanie bolo zaznamenané v Prešovskom a Žilinskom kraji (viď Príloha č. 6).</w:t>
      </w:r>
      <w:r w:rsidRPr="004B33AE">
        <w:rPr>
          <w:lang w:val="sk-SK"/>
        </w:rPr>
        <w:t xml:space="preserve"> </w:t>
      </w:r>
    </w:p>
    <w:p w:rsidR="00D36DF5" w:rsidRPr="00B71586" w:rsidRDefault="00D36DF5" w:rsidP="00507035">
      <w:pPr>
        <w:pStyle w:val="Zkladntextb"/>
        <w:spacing w:before="120" w:after="120" w:line="360" w:lineRule="auto"/>
        <w:ind w:left="0"/>
        <w:jc w:val="both"/>
        <w:rPr>
          <w:highlight w:val="yellow"/>
          <w:lang w:val="sk-SK"/>
        </w:rPr>
      </w:pPr>
      <w:r w:rsidRPr="00554D07">
        <w:rPr>
          <w:lang w:val="sk-SK"/>
        </w:rPr>
        <w:t>K 31.12.201</w:t>
      </w:r>
      <w:r w:rsidRPr="00B71586">
        <w:rPr>
          <w:lang w:val="sk-SK"/>
        </w:rPr>
        <w:t>2</w:t>
      </w:r>
      <w:r w:rsidRPr="00554D07">
        <w:rPr>
          <w:lang w:val="sk-SK"/>
        </w:rPr>
        <w:t xml:space="preserve"> bolo v rámci prioritnej osi 1, prioritnej témy 45 Hospodárenie s vodou a jej distribúcia (pitná voda) vyčerpaných takmer </w:t>
      </w:r>
      <w:r w:rsidRPr="00B71586">
        <w:rPr>
          <w:lang w:val="sk-SK"/>
        </w:rPr>
        <w:t>31</w:t>
      </w:r>
      <w:r w:rsidRPr="00554D07">
        <w:rPr>
          <w:lang w:val="sk-SK"/>
        </w:rPr>
        <w:t>,</w:t>
      </w:r>
      <w:r w:rsidRPr="00B71586">
        <w:rPr>
          <w:lang w:val="sk-SK"/>
        </w:rPr>
        <w:t>7</w:t>
      </w:r>
      <w:r w:rsidRPr="00554D07">
        <w:rPr>
          <w:lang w:val="sk-SK"/>
        </w:rPr>
        <w:t xml:space="preserve"> mil. EUR z KF, čo predstavuje </w:t>
      </w:r>
      <w:r w:rsidRPr="00B71586">
        <w:rPr>
          <w:lang w:val="sk-SK"/>
        </w:rPr>
        <w:t xml:space="preserve">34,98 </w:t>
      </w:r>
      <w:r w:rsidRPr="00554D07">
        <w:rPr>
          <w:lang w:val="sk-SK"/>
        </w:rPr>
        <w:t xml:space="preserve">% z alokácie na túto tému, v rámci témy 46 Spracovanie vody (odpadová voda) bolo vyčerpaných takmer </w:t>
      </w:r>
      <w:r w:rsidRPr="00B71586">
        <w:rPr>
          <w:lang w:val="sk-SK"/>
        </w:rPr>
        <w:t>202</w:t>
      </w:r>
      <w:r w:rsidRPr="00554D07">
        <w:rPr>
          <w:lang w:val="sk-SK"/>
        </w:rPr>
        <w:t>,</w:t>
      </w:r>
      <w:r w:rsidRPr="00B71586">
        <w:rPr>
          <w:lang w:val="sk-SK"/>
        </w:rPr>
        <w:t>14</w:t>
      </w:r>
      <w:r w:rsidRPr="00554D07">
        <w:rPr>
          <w:lang w:val="sk-SK"/>
        </w:rPr>
        <w:t xml:space="preserve"> mil. EUR z KF, t.j. </w:t>
      </w:r>
      <w:r w:rsidRPr="00B71586">
        <w:rPr>
          <w:lang w:val="sk-SK"/>
        </w:rPr>
        <w:t>25</w:t>
      </w:r>
      <w:r w:rsidRPr="00554D07">
        <w:rPr>
          <w:lang w:val="sk-SK"/>
        </w:rPr>
        <w:t>,</w:t>
      </w:r>
      <w:r w:rsidRPr="00B71586">
        <w:rPr>
          <w:lang w:val="sk-SK"/>
        </w:rPr>
        <w:t>27</w:t>
      </w:r>
      <w:r w:rsidR="0072403D">
        <w:rPr>
          <w:lang w:val="sk-SK"/>
        </w:rPr>
        <w:t xml:space="preserve"> </w:t>
      </w:r>
      <w:r w:rsidRPr="00554D07">
        <w:rPr>
          <w:lang w:val="sk-SK"/>
        </w:rPr>
        <w:t xml:space="preserve">% alokácie. V rámci témy 54 Iné opatrenia na zachovanie ŽP a predchádzanie rizikám bolo vyčerpaných takmer </w:t>
      </w:r>
      <w:r w:rsidRPr="00B71586">
        <w:rPr>
          <w:lang w:val="sk-SK"/>
        </w:rPr>
        <w:t>4</w:t>
      </w:r>
      <w:r w:rsidRPr="00554D07">
        <w:rPr>
          <w:lang w:val="sk-SK"/>
        </w:rPr>
        <w:t>,</w:t>
      </w:r>
      <w:r w:rsidRPr="00B71586">
        <w:rPr>
          <w:lang w:val="sk-SK"/>
        </w:rPr>
        <w:t>9</w:t>
      </w:r>
      <w:r w:rsidRPr="00554D07">
        <w:rPr>
          <w:lang w:val="sk-SK"/>
        </w:rPr>
        <w:t xml:space="preserve"> mil. EUR z</w:t>
      </w:r>
      <w:r>
        <w:rPr>
          <w:lang w:val="sk-SK"/>
        </w:rPr>
        <w:t> </w:t>
      </w:r>
      <w:r w:rsidRPr="00554D07">
        <w:rPr>
          <w:lang w:val="sk-SK"/>
        </w:rPr>
        <w:t>KF</w:t>
      </w:r>
      <w:r>
        <w:rPr>
          <w:lang w:val="sk-SK"/>
        </w:rPr>
        <w:t>.(tab. č. 41)</w:t>
      </w:r>
    </w:p>
    <w:p w:rsidR="00D36DF5" w:rsidRPr="00B71586" w:rsidRDefault="00D36DF5" w:rsidP="00507035">
      <w:pPr>
        <w:pStyle w:val="Zkladntextb"/>
        <w:spacing w:before="120" w:after="120" w:line="360" w:lineRule="auto"/>
        <w:ind w:left="0"/>
        <w:jc w:val="both"/>
        <w:rPr>
          <w:highlight w:val="yellow"/>
          <w:lang w:val="sk-SK"/>
        </w:rPr>
      </w:pPr>
      <w:r w:rsidRPr="00554D07">
        <w:rPr>
          <w:lang w:val="sk-SK"/>
        </w:rPr>
        <w:t xml:space="preserve">RO pozitívne hodnotí, že úroveň zazmluvnenia danej prioritnej osi voči alokácii za danú prioritnú os je </w:t>
      </w:r>
      <w:r w:rsidRPr="00B71586">
        <w:rPr>
          <w:lang w:val="sk-SK"/>
        </w:rPr>
        <w:t>83</w:t>
      </w:r>
      <w:r w:rsidRPr="00554D07">
        <w:rPr>
          <w:lang w:val="sk-SK"/>
        </w:rPr>
        <w:t>,</w:t>
      </w:r>
      <w:r w:rsidRPr="00B71586">
        <w:rPr>
          <w:lang w:val="sk-SK"/>
        </w:rPr>
        <w:t>28</w:t>
      </w:r>
      <w:r w:rsidRPr="00554D07">
        <w:rPr>
          <w:lang w:val="sk-SK"/>
        </w:rPr>
        <w:t xml:space="preserve">%, pričom vyplatené prostriedky prijímateľom tvoria </w:t>
      </w:r>
      <w:r w:rsidRPr="00B71586">
        <w:rPr>
          <w:lang w:val="sk-SK"/>
        </w:rPr>
        <w:t>26,07</w:t>
      </w:r>
      <w:r w:rsidR="0072403D">
        <w:rPr>
          <w:lang w:val="sk-SK"/>
        </w:rPr>
        <w:t xml:space="preserve"> </w:t>
      </w:r>
      <w:r w:rsidRPr="00554D07">
        <w:rPr>
          <w:lang w:val="sk-SK"/>
        </w:rPr>
        <w:t>% voči celkovej alokácii na danú prioritnú os. Podiel prioritnej osi na celkovom zazmluvnení alokácie za rok 201</w:t>
      </w:r>
      <w:r w:rsidRPr="00B71586">
        <w:rPr>
          <w:lang w:val="sk-SK"/>
        </w:rPr>
        <w:t>2</w:t>
      </w:r>
      <w:r w:rsidRPr="00554D07">
        <w:rPr>
          <w:lang w:val="sk-SK"/>
        </w:rPr>
        <w:t xml:space="preserve"> je </w:t>
      </w:r>
      <w:r w:rsidRPr="00B71586">
        <w:rPr>
          <w:lang w:val="sk-SK"/>
        </w:rPr>
        <w:t>55,24</w:t>
      </w:r>
      <w:r w:rsidR="0072403D">
        <w:rPr>
          <w:lang w:val="sk-SK"/>
        </w:rPr>
        <w:t xml:space="preserve"> </w:t>
      </w:r>
      <w:r w:rsidRPr="00554D07">
        <w:rPr>
          <w:lang w:val="sk-SK"/>
        </w:rPr>
        <w:t>%.</w:t>
      </w:r>
    </w:p>
    <w:p w:rsidR="00D36DF5" w:rsidRPr="004B33AE" w:rsidRDefault="00D36DF5" w:rsidP="00507035">
      <w:pPr>
        <w:pStyle w:val="Zkladntextb"/>
        <w:spacing w:before="120" w:after="120" w:line="360" w:lineRule="auto"/>
        <w:ind w:left="0"/>
        <w:jc w:val="both"/>
        <w:rPr>
          <w:lang w:val="sk-SK"/>
        </w:rPr>
      </w:pPr>
      <w:r w:rsidRPr="00BC3589">
        <w:rPr>
          <w:lang w:val="sk-SK"/>
        </w:rPr>
        <w:t>Pod uvedené čerpanie v rámci prioritnej osi sa podpísali ďalšie faktory, tak externé ako aj procesné</w:t>
      </w:r>
      <w:r w:rsidR="0081297B">
        <w:rPr>
          <w:lang w:val="sk-SK"/>
        </w:rPr>
        <w:t xml:space="preserve">, ktorých </w:t>
      </w:r>
      <w:r w:rsidRPr="00BC3589">
        <w:rPr>
          <w:lang w:val="sk-SK"/>
        </w:rPr>
        <w:t>bližšia špecifikácia je uvedená spolu s Porovnaním skutočného a plánovaného čerpania od 01.01.201</w:t>
      </w:r>
      <w:r w:rsidRPr="00B71586">
        <w:rPr>
          <w:lang w:val="sk-SK"/>
        </w:rPr>
        <w:t>2</w:t>
      </w:r>
      <w:r w:rsidRPr="00BC3589">
        <w:rPr>
          <w:lang w:val="sk-SK"/>
        </w:rPr>
        <w:t xml:space="preserve"> do 31.12.201</w:t>
      </w:r>
      <w:r w:rsidRPr="00B71586">
        <w:rPr>
          <w:lang w:val="sk-SK"/>
        </w:rPr>
        <w:t>2</w:t>
      </w:r>
      <w:r w:rsidRPr="00BC3589">
        <w:rPr>
          <w:lang w:val="sk-SK"/>
        </w:rPr>
        <w:t xml:space="preserve"> za program, v kapitole 2.1.2 Finančná implementácia programu.</w:t>
      </w:r>
    </w:p>
    <w:p w:rsidR="002416B1" w:rsidRPr="004B33AE" w:rsidRDefault="002416B1" w:rsidP="00507035">
      <w:pPr>
        <w:pStyle w:val="Nadpis3"/>
        <w:spacing w:before="120" w:after="120" w:line="360" w:lineRule="auto"/>
      </w:pPr>
      <w:bookmarkStart w:id="73" w:name="_Toc319573322"/>
      <w:r w:rsidRPr="004B33AE">
        <w:t>3.1.2 Závažné problémy, ktoré sa vyskytli a opatrenia prijaté na ich prekonanie</w:t>
      </w:r>
      <w:bookmarkEnd w:id="73"/>
    </w:p>
    <w:p w:rsidR="00081B9F" w:rsidRPr="00081B9F" w:rsidRDefault="00081B9F" w:rsidP="00507035">
      <w:pPr>
        <w:spacing w:before="120" w:after="120" w:line="360" w:lineRule="auto"/>
        <w:jc w:val="both"/>
        <w:rPr>
          <w:rFonts w:ascii="Arial" w:hAnsi="Arial" w:cs="Arial"/>
          <w:sz w:val="20"/>
          <w:szCs w:val="20"/>
        </w:rPr>
      </w:pPr>
      <w:bookmarkStart w:id="74" w:name="OLE_LINK13"/>
      <w:bookmarkStart w:id="75" w:name="OLE_LINK14"/>
      <w:r w:rsidRPr="00081B9F">
        <w:rPr>
          <w:rFonts w:ascii="Arial" w:hAnsi="Arial" w:cs="Arial"/>
          <w:sz w:val="20"/>
          <w:szCs w:val="20"/>
        </w:rPr>
        <w:t>V priebehu implementácie prioritnej osi 1 boli v súvislosti so schvaľovaním veľkých projektov zaznamenané otázky EK k implementácii článku 9 Rámcovej smernice o vode 2000/60/ES (ďalej len „RSV“), ktorá ovplyvňuje udržateľnosť projektov.</w:t>
      </w:r>
    </w:p>
    <w:p w:rsidR="00081B9F" w:rsidRPr="00081B9F" w:rsidRDefault="00081B9F" w:rsidP="00507035">
      <w:pPr>
        <w:spacing w:before="120" w:after="120" w:line="360" w:lineRule="auto"/>
        <w:jc w:val="both"/>
        <w:rPr>
          <w:rFonts w:ascii="Arial" w:hAnsi="Arial" w:cs="Arial"/>
          <w:sz w:val="20"/>
          <w:szCs w:val="20"/>
        </w:rPr>
      </w:pPr>
      <w:r w:rsidRPr="00081B9F">
        <w:rPr>
          <w:rFonts w:ascii="Arial" w:hAnsi="Arial" w:cs="Arial"/>
          <w:sz w:val="20"/>
          <w:szCs w:val="20"/>
        </w:rPr>
        <w:t>Ministerstvo životného prostredia SR v rámci svojich kompetencií uskutočnilo všetky kroky smerujúce k dôkladnému transponovaniu všetkých článkov RSV. V zmysle novely zákona o vodách (účinnej od 0</w:t>
      </w:r>
      <w:r w:rsidR="005E0498">
        <w:rPr>
          <w:rFonts w:ascii="Arial" w:hAnsi="Arial" w:cs="Arial"/>
          <w:sz w:val="20"/>
          <w:szCs w:val="20"/>
        </w:rPr>
        <w:t>1.11.</w:t>
      </w:r>
      <w:r w:rsidRPr="00081B9F">
        <w:rPr>
          <w:rFonts w:ascii="Arial" w:hAnsi="Arial" w:cs="Arial"/>
          <w:sz w:val="20"/>
          <w:szCs w:val="20"/>
        </w:rPr>
        <w:t xml:space="preserve">2009) Ministerstvo životného prostredia SR vypracovalo návrh cenovej politiky a predložilo ho na schválenie vláde SR. Návrh cenovej politiky v oblasti vodného hospodárstva vláda SR na svojom rokovaní dňa 12.01.2011 schválila a prijala uznesenie č. 17/2011. Súčasťou cenovej politiky je aj regulácia cien a cenová kontrola, ktoré sú riadené osobitnými právnymi predpismi (zákon č. 276/2001 Z. z. o regulácii v sieťových odvetviach v znení neskorších predpisov, zákon č. 18/1996 Zb. o cenách v znení neskorších predpisov a pod.). Uvedená cenová politika rešpektuje všetky platné právne predpisy v oblasti vodného hospodárstva, ako aj v oblasti ekonomiky, hospodárske vzťahy, životný cyklus a zohľadňuje nákladovú metódu tvorby cien stanovenú regulačnou politikou, pri zachovaní princípu RSV „znečisťovateľ platí“. </w:t>
      </w:r>
    </w:p>
    <w:p w:rsidR="00081B9F" w:rsidRPr="00081B9F" w:rsidRDefault="00081B9F" w:rsidP="00507035">
      <w:pPr>
        <w:spacing w:before="120" w:after="120" w:line="360" w:lineRule="auto"/>
        <w:jc w:val="both"/>
        <w:rPr>
          <w:rFonts w:ascii="Arial" w:hAnsi="Arial" w:cs="Arial"/>
          <w:sz w:val="20"/>
          <w:szCs w:val="20"/>
        </w:rPr>
      </w:pPr>
      <w:r w:rsidRPr="00081B9F">
        <w:rPr>
          <w:rFonts w:ascii="Arial" w:hAnsi="Arial" w:cs="Arial"/>
          <w:sz w:val="20"/>
          <w:szCs w:val="20"/>
        </w:rPr>
        <w:t xml:space="preserve">Ministerstvo životného prostredia SR taktiež uplatnilo svoje pripomienky v rámci schvaľovania Návrhu regulačnej politiky na nastávajúce regulačné obdobie  2012 – 2016, ktorý pripravil ÚRSO. Ministerstvo životného prostredia SR dôsledne posudzovalo, či východiská navrhovanej regulačnej politiky sú v súlade s cieľmi cenovej politiky v oblasti vodného hospodárstva, t.j. či vytvárajú podmienky na plnenie záväzkov SR voči EÚ v oblasti odvádzania a čistenia komunálnych odpadových vôd, ako aj v oblasti plnenia RSV. Pripomienky Ministerstva životného prostredia SR boli ÚRSO akceptované. Schválené východiská a návrhy cenovej regulácie pre nastávajúce regulačné obdobie 2012 – 2016 tak vytvárajú podmienky pre plnenie záväzkov SR voči EÚ v oblasti vodného hospodárstva vrátane plnenia požiadaviek stanovených v RSV. </w:t>
      </w:r>
    </w:p>
    <w:p w:rsidR="007A427E" w:rsidRDefault="00081B9F" w:rsidP="00507035">
      <w:pPr>
        <w:spacing w:before="120" w:after="120" w:line="360" w:lineRule="auto"/>
        <w:jc w:val="both"/>
        <w:rPr>
          <w:rFonts w:ascii="Arial" w:hAnsi="Arial" w:cs="Arial"/>
          <w:sz w:val="20"/>
          <w:szCs w:val="20"/>
        </w:rPr>
      </w:pPr>
      <w:r w:rsidRPr="00081B9F">
        <w:rPr>
          <w:rFonts w:ascii="Arial" w:hAnsi="Arial" w:cs="Arial"/>
          <w:sz w:val="20"/>
          <w:szCs w:val="20"/>
        </w:rPr>
        <w:t>Po prijatí Vyhlášky č. 217/2011 Úradu pre reguláciu sieťových odvetví, ktorou sa ustanovuje cenová regulácia výroby, distribúcie a dodávky pitnej vody verejným vodovodom a odvedenia a čistenia odpadovej vody verejnou kanalizáciou (ďalej len „vyhláška č. 217/2011“) Ministerstvo životného prostredia SR požiadalo expertov iniciatívy JASPERS a spracovateľov finančno-ekonomických analýz veľkých projektov o vypracovanie modelu, ktorý zhodnotil dopady novej regulačnej politiky, resp. vyhlášky č. 217/2011 na finančnú udržateľnosť projektov. Zo záverov vypracovaného modelu vyplýva, že:</w:t>
      </w:r>
    </w:p>
    <w:p w:rsidR="00992100" w:rsidRDefault="00081B9F" w:rsidP="001540E7">
      <w:pPr>
        <w:numPr>
          <w:ilvl w:val="0"/>
          <w:numId w:val="14"/>
        </w:numPr>
        <w:tabs>
          <w:tab w:val="clear" w:pos="1080"/>
        </w:tabs>
        <w:spacing w:before="120" w:after="120" w:line="360" w:lineRule="auto"/>
        <w:ind w:left="426" w:hanging="426"/>
        <w:jc w:val="both"/>
        <w:rPr>
          <w:rFonts w:ascii="Arial" w:hAnsi="Arial" w:cs="Arial"/>
          <w:sz w:val="20"/>
          <w:szCs w:val="20"/>
        </w:rPr>
      </w:pPr>
      <w:r w:rsidRPr="00081B9F">
        <w:rPr>
          <w:rFonts w:ascii="Arial" w:hAnsi="Arial" w:cs="Arial"/>
          <w:sz w:val="20"/>
          <w:szCs w:val="20"/>
        </w:rPr>
        <w:t>aplikovaním vyhlášky č. 217/2011 by mali byť splnené požiadavky článku 9 (1) RSV a zároveň by mala byť zabezpečená udržateľnosť vodohospodárskeho sektora;</w:t>
      </w:r>
    </w:p>
    <w:p w:rsidR="00081B9F" w:rsidRPr="00992100" w:rsidRDefault="00081B9F" w:rsidP="001540E7">
      <w:pPr>
        <w:numPr>
          <w:ilvl w:val="0"/>
          <w:numId w:val="14"/>
        </w:numPr>
        <w:tabs>
          <w:tab w:val="clear" w:pos="1080"/>
        </w:tabs>
        <w:spacing w:before="120" w:after="120" w:line="360" w:lineRule="auto"/>
        <w:ind w:left="426" w:hanging="426"/>
        <w:jc w:val="both"/>
        <w:rPr>
          <w:rFonts w:ascii="Arial" w:hAnsi="Arial" w:cs="Arial"/>
          <w:sz w:val="20"/>
          <w:szCs w:val="20"/>
        </w:rPr>
      </w:pPr>
      <w:r w:rsidRPr="00992100">
        <w:rPr>
          <w:rFonts w:ascii="Arial" w:hAnsi="Arial" w:cs="Arial"/>
          <w:sz w:val="20"/>
          <w:szCs w:val="20"/>
        </w:rPr>
        <w:t xml:space="preserve">aplikovanie maximálnej výšky odpisov (2%) v zmysle vyhlášky č. 217/2011 by malo viesť k zmene vo výške finančnej medzere do 10 % oproti predpokladanej výške v rámci predložených žiadostí o potvrdenie pomoci, a preto sa nepredpokladá uplatnenie článku 55 (4) Nariadenia 1083/2006.  </w:t>
      </w:r>
    </w:p>
    <w:p w:rsidR="002416B1" w:rsidRDefault="00081B9F" w:rsidP="00507035">
      <w:pPr>
        <w:spacing w:before="120" w:after="120" w:line="360" w:lineRule="auto"/>
        <w:jc w:val="both"/>
        <w:rPr>
          <w:rFonts w:ascii="Arial" w:hAnsi="Arial" w:cs="Arial"/>
          <w:sz w:val="20"/>
          <w:szCs w:val="20"/>
        </w:rPr>
      </w:pPr>
      <w:r w:rsidRPr="00081B9F">
        <w:rPr>
          <w:rFonts w:ascii="Arial" w:hAnsi="Arial" w:cs="Arial"/>
          <w:sz w:val="20"/>
          <w:szCs w:val="20"/>
        </w:rPr>
        <w:t>Analýza citlivosti skúmala hlavné predpoklady použité pri hodnotení dopadov vyhlášky č. 217/2011 a jej výsledky potvrdzujú uvedené hlavné závery. Európska komisia k zaslanému modelu nemala pripomienky a aj na základe záverov vypracovaného modelu postupne schvaľuje predložené veľké projekty. K 31.12.2012 bolo schválených 5 veľkých projektov.</w:t>
      </w:r>
    </w:p>
    <w:p w:rsidR="004B6DF5" w:rsidRDefault="004B6DF5" w:rsidP="00507035">
      <w:pPr>
        <w:spacing w:before="120" w:after="120" w:line="360" w:lineRule="auto"/>
        <w:jc w:val="both"/>
        <w:rPr>
          <w:rFonts w:ascii="Arial" w:hAnsi="Arial" w:cs="Arial"/>
          <w:b/>
          <w:sz w:val="20"/>
          <w:szCs w:val="20"/>
        </w:rPr>
      </w:pPr>
      <w:r>
        <w:rPr>
          <w:rFonts w:ascii="Arial" w:hAnsi="Arial" w:cs="Arial"/>
          <w:b/>
          <w:sz w:val="20"/>
          <w:szCs w:val="20"/>
        </w:rPr>
        <w:t>Kvalitatívna analýza dosiahnutých výsledkov na úrovni prioritnej osi 1</w:t>
      </w:r>
    </w:p>
    <w:p w:rsidR="004B6DF5" w:rsidRDefault="004B6DF5" w:rsidP="00507035">
      <w:pPr>
        <w:pStyle w:val="Zkladntextb"/>
        <w:spacing w:before="120" w:after="120" w:line="360" w:lineRule="auto"/>
        <w:ind w:left="0"/>
        <w:jc w:val="both"/>
        <w:rPr>
          <w:i/>
          <w:lang w:val="sk-SK"/>
        </w:rPr>
      </w:pPr>
      <w:r w:rsidRPr="00A322EA">
        <w:rPr>
          <w:i/>
          <w:lang w:val="sk-SK"/>
        </w:rPr>
        <w:t>Zhodnotenie úrovne zazmluvnenia alokovaných finančných prostriedkov za zdroje EÚ vo vzťahu k dosahovaným hodnotám ukazovateľov podľa jednotlivých prioritných tém.</w:t>
      </w:r>
    </w:p>
    <w:p w:rsidR="0068264B" w:rsidRDefault="004742D1" w:rsidP="00507035">
      <w:pPr>
        <w:pStyle w:val="Zkladntextb"/>
        <w:spacing w:before="120" w:after="120" w:line="360" w:lineRule="auto"/>
        <w:ind w:left="0"/>
        <w:jc w:val="both"/>
        <w:rPr>
          <w:rFonts w:cs="Arial"/>
          <w:lang w:val="sk-SK"/>
        </w:rPr>
      </w:pPr>
      <w:r>
        <w:rPr>
          <w:rFonts w:cs="Arial"/>
          <w:lang w:val="sk-SK"/>
        </w:rPr>
        <w:t xml:space="preserve">Použitá metodika je bližšie popísaná v kapitole </w:t>
      </w:r>
      <w:r w:rsidR="003E7705">
        <w:rPr>
          <w:rFonts w:cs="Arial"/>
          <w:lang w:val="sk-SK"/>
        </w:rPr>
        <w:t>2.1.1 časť Plnenie merateľných ukazovateľov.</w:t>
      </w:r>
    </w:p>
    <w:p w:rsidR="0068264B" w:rsidRDefault="0068264B">
      <w:pPr>
        <w:rPr>
          <w:rFonts w:ascii="Arial" w:hAnsi="Arial" w:cs="Arial"/>
          <w:sz w:val="20"/>
          <w:szCs w:val="20"/>
        </w:rPr>
      </w:pPr>
      <w:r>
        <w:rPr>
          <w:rFonts w:cs="Arial"/>
        </w:rPr>
        <w:br w:type="page"/>
      </w:r>
    </w:p>
    <w:p w:rsidR="004742D1" w:rsidRDefault="004742D1" w:rsidP="00507035">
      <w:pPr>
        <w:pStyle w:val="Zkladntextb"/>
        <w:spacing w:before="120" w:after="120" w:line="360" w:lineRule="auto"/>
        <w:ind w:left="0"/>
        <w:jc w:val="both"/>
        <w:rPr>
          <w:rFonts w:cs="Arial"/>
          <w:lang w:val="sk-SK"/>
        </w:rPr>
      </w:pPr>
    </w:p>
    <w:p w:rsidR="008402B3" w:rsidRPr="00A322EA" w:rsidRDefault="008402B3" w:rsidP="00205636">
      <w:pPr>
        <w:pStyle w:val="Zkladntextb"/>
        <w:spacing w:after="0" w:line="360" w:lineRule="auto"/>
        <w:ind w:left="0"/>
        <w:jc w:val="both"/>
        <w:rPr>
          <w:rFonts w:cs="Arial"/>
          <w:lang w:val="sk-SK"/>
        </w:rPr>
      </w:pPr>
      <w:r w:rsidRPr="00570976">
        <w:rPr>
          <w:rFonts w:cs="Arial"/>
          <w:lang w:val="sk-SK"/>
        </w:rPr>
        <w:t xml:space="preserve">Tab. č. </w:t>
      </w:r>
      <w:r w:rsidR="007B7519">
        <w:rPr>
          <w:rFonts w:cs="Arial"/>
          <w:lang w:val="sk-SK"/>
        </w:rPr>
        <w:t xml:space="preserve">41 </w:t>
      </w:r>
      <w:r w:rsidR="00000CC9" w:rsidRPr="00000CC9">
        <w:rPr>
          <w:rFonts w:cs="Arial"/>
          <w:lang w:val="sk-SK"/>
        </w:rPr>
        <w:t xml:space="preserve">Zhodnotenie úrovne </w:t>
      </w:r>
      <w:r w:rsidR="00000CC9">
        <w:rPr>
          <w:rFonts w:cs="Arial"/>
          <w:lang w:val="sk-SK"/>
        </w:rPr>
        <w:t>podľa HT</w:t>
      </w:r>
    </w:p>
    <w:tbl>
      <w:tblPr>
        <w:tblW w:w="8998" w:type="dxa"/>
        <w:tblInd w:w="55" w:type="dxa"/>
        <w:tblCellMar>
          <w:left w:w="70" w:type="dxa"/>
          <w:right w:w="70" w:type="dxa"/>
        </w:tblCellMar>
        <w:tblLook w:val="04A0" w:firstRow="1" w:lastRow="0" w:firstColumn="1" w:lastColumn="0" w:noHBand="0" w:noVBand="1"/>
      </w:tblPr>
      <w:tblGrid>
        <w:gridCol w:w="1575"/>
        <w:gridCol w:w="960"/>
        <w:gridCol w:w="1460"/>
        <w:gridCol w:w="1380"/>
        <w:gridCol w:w="1323"/>
        <w:gridCol w:w="1340"/>
        <w:gridCol w:w="960"/>
      </w:tblGrid>
      <w:tr w:rsidR="009C6D8C" w:rsidTr="009C6D8C">
        <w:trPr>
          <w:trHeight w:val="864"/>
        </w:trPr>
        <w:tc>
          <w:tcPr>
            <w:tcW w:w="1575" w:type="dxa"/>
            <w:vMerge w:val="restart"/>
            <w:tcBorders>
              <w:top w:val="single" w:sz="8" w:space="0" w:color="auto"/>
              <w:left w:val="single" w:sz="8" w:space="0" w:color="auto"/>
              <w:bottom w:val="single" w:sz="8" w:space="0" w:color="000000"/>
              <w:right w:val="single" w:sz="8" w:space="0" w:color="auto"/>
            </w:tcBorders>
            <w:shd w:val="clear" w:color="000000" w:fill="D6E3BC"/>
            <w:noWrap/>
            <w:vAlign w:val="center"/>
            <w:hideMark/>
          </w:tcPr>
          <w:p w:rsidR="009C6D8C" w:rsidRDefault="009C6D8C" w:rsidP="00205636">
            <w:pPr>
              <w:jc w:val="center"/>
              <w:rPr>
                <w:rFonts w:ascii="Arial" w:hAnsi="Arial" w:cs="Arial"/>
                <w:b/>
                <w:bCs/>
                <w:color w:val="000000"/>
                <w:sz w:val="16"/>
                <w:szCs w:val="16"/>
              </w:rPr>
            </w:pPr>
            <w:r>
              <w:rPr>
                <w:rFonts w:ascii="Arial" w:hAnsi="Arial" w:cs="Arial"/>
                <w:b/>
                <w:bCs/>
                <w:color w:val="000000"/>
                <w:sz w:val="16"/>
                <w:szCs w:val="16"/>
              </w:rPr>
              <w:t>Prioritná téma</w:t>
            </w:r>
          </w:p>
        </w:tc>
        <w:tc>
          <w:tcPr>
            <w:tcW w:w="960" w:type="dxa"/>
            <w:vMerge w:val="restart"/>
            <w:tcBorders>
              <w:top w:val="single" w:sz="8" w:space="0" w:color="auto"/>
              <w:left w:val="single" w:sz="8" w:space="0" w:color="auto"/>
              <w:bottom w:val="single" w:sz="8" w:space="0" w:color="000000"/>
              <w:right w:val="single" w:sz="8" w:space="0" w:color="auto"/>
            </w:tcBorders>
            <w:shd w:val="clear" w:color="000000" w:fill="D6E3BC"/>
            <w:noWrap/>
            <w:vAlign w:val="center"/>
            <w:hideMark/>
          </w:tcPr>
          <w:p w:rsidR="009C6D8C" w:rsidRDefault="009C6D8C" w:rsidP="00205636">
            <w:pPr>
              <w:jc w:val="center"/>
              <w:rPr>
                <w:rFonts w:ascii="Arial" w:hAnsi="Arial" w:cs="Arial"/>
                <w:b/>
                <w:bCs/>
                <w:color w:val="000000"/>
                <w:sz w:val="16"/>
                <w:szCs w:val="16"/>
              </w:rPr>
            </w:pPr>
            <w:r>
              <w:rPr>
                <w:rFonts w:ascii="Arial" w:hAnsi="Arial" w:cs="Arial"/>
                <w:b/>
                <w:bCs/>
                <w:color w:val="000000"/>
                <w:sz w:val="16"/>
                <w:szCs w:val="16"/>
              </w:rPr>
              <w:t>Op. Cieľ</w:t>
            </w:r>
          </w:p>
        </w:tc>
        <w:tc>
          <w:tcPr>
            <w:tcW w:w="1460" w:type="dxa"/>
            <w:vMerge w:val="restart"/>
            <w:tcBorders>
              <w:top w:val="single" w:sz="8" w:space="0" w:color="auto"/>
              <w:left w:val="single" w:sz="8" w:space="0" w:color="auto"/>
              <w:bottom w:val="single" w:sz="8" w:space="0" w:color="000000"/>
              <w:right w:val="single" w:sz="8" w:space="0" w:color="auto"/>
            </w:tcBorders>
            <w:shd w:val="clear" w:color="000000" w:fill="D6E3BC"/>
            <w:vAlign w:val="center"/>
            <w:hideMark/>
          </w:tcPr>
          <w:p w:rsidR="009C6D8C" w:rsidRDefault="009C6D8C" w:rsidP="00205636">
            <w:pPr>
              <w:jc w:val="center"/>
              <w:rPr>
                <w:rFonts w:ascii="Arial" w:hAnsi="Arial" w:cs="Arial"/>
                <w:b/>
                <w:bCs/>
                <w:color w:val="000000"/>
                <w:sz w:val="16"/>
                <w:szCs w:val="16"/>
              </w:rPr>
            </w:pPr>
            <w:r>
              <w:rPr>
                <w:rFonts w:ascii="Arial" w:hAnsi="Arial" w:cs="Arial"/>
                <w:b/>
                <w:bCs/>
                <w:color w:val="000000"/>
                <w:sz w:val="16"/>
                <w:szCs w:val="16"/>
              </w:rPr>
              <w:t>Celková alokácia v €</w:t>
            </w:r>
          </w:p>
        </w:tc>
        <w:tc>
          <w:tcPr>
            <w:tcW w:w="1380" w:type="dxa"/>
            <w:tcBorders>
              <w:top w:val="single" w:sz="8" w:space="0" w:color="auto"/>
              <w:left w:val="nil"/>
              <w:bottom w:val="nil"/>
              <w:right w:val="single" w:sz="8" w:space="0" w:color="auto"/>
            </w:tcBorders>
            <w:shd w:val="clear" w:color="000000" w:fill="D6E3BC"/>
            <w:vAlign w:val="center"/>
            <w:hideMark/>
          </w:tcPr>
          <w:p w:rsidR="009C6D8C" w:rsidRDefault="009C6D8C" w:rsidP="00205636">
            <w:pPr>
              <w:jc w:val="center"/>
              <w:rPr>
                <w:rFonts w:ascii="Arial" w:hAnsi="Arial" w:cs="Arial"/>
                <w:b/>
                <w:bCs/>
                <w:color w:val="000000"/>
                <w:sz w:val="16"/>
                <w:szCs w:val="16"/>
              </w:rPr>
            </w:pPr>
            <w:r>
              <w:rPr>
                <w:rFonts w:ascii="Arial" w:hAnsi="Arial" w:cs="Arial"/>
                <w:b/>
                <w:bCs/>
                <w:color w:val="000000"/>
                <w:sz w:val="16"/>
                <w:szCs w:val="16"/>
              </w:rPr>
              <w:t xml:space="preserve">Suma zazmluvnená (EÚ zdroje) </w:t>
            </w:r>
          </w:p>
        </w:tc>
        <w:tc>
          <w:tcPr>
            <w:tcW w:w="1323" w:type="dxa"/>
            <w:vMerge w:val="restart"/>
            <w:tcBorders>
              <w:top w:val="single" w:sz="8" w:space="0" w:color="auto"/>
              <w:left w:val="single" w:sz="8" w:space="0" w:color="auto"/>
              <w:bottom w:val="single" w:sz="8" w:space="0" w:color="000000"/>
              <w:right w:val="single" w:sz="8" w:space="0" w:color="auto"/>
            </w:tcBorders>
            <w:shd w:val="clear" w:color="000000" w:fill="D6E3BC"/>
            <w:vAlign w:val="center"/>
            <w:hideMark/>
          </w:tcPr>
          <w:p w:rsidR="009C6D8C" w:rsidRDefault="009C6D8C" w:rsidP="00205636">
            <w:pPr>
              <w:jc w:val="center"/>
              <w:rPr>
                <w:rFonts w:ascii="Arial" w:hAnsi="Arial" w:cs="Arial"/>
                <w:b/>
                <w:bCs/>
                <w:color w:val="000000"/>
                <w:sz w:val="16"/>
                <w:szCs w:val="16"/>
              </w:rPr>
            </w:pPr>
            <w:r>
              <w:rPr>
                <w:rFonts w:ascii="Arial" w:hAnsi="Arial" w:cs="Arial"/>
                <w:b/>
                <w:bCs/>
                <w:color w:val="000000"/>
                <w:sz w:val="16"/>
                <w:szCs w:val="16"/>
              </w:rPr>
              <w:t>Podiel zazmluvnených projektov na celkovej alokácii</w:t>
            </w:r>
          </w:p>
        </w:tc>
        <w:tc>
          <w:tcPr>
            <w:tcW w:w="1340" w:type="dxa"/>
            <w:vMerge w:val="restart"/>
            <w:tcBorders>
              <w:top w:val="single" w:sz="8" w:space="0" w:color="auto"/>
              <w:left w:val="single" w:sz="8" w:space="0" w:color="auto"/>
              <w:bottom w:val="single" w:sz="8" w:space="0" w:color="000000"/>
              <w:right w:val="single" w:sz="8" w:space="0" w:color="auto"/>
            </w:tcBorders>
            <w:shd w:val="clear" w:color="000000" w:fill="D6E3BC"/>
            <w:vAlign w:val="center"/>
            <w:hideMark/>
          </w:tcPr>
          <w:p w:rsidR="009C6D8C" w:rsidRDefault="009C6D8C" w:rsidP="00205636">
            <w:pPr>
              <w:jc w:val="center"/>
              <w:rPr>
                <w:rFonts w:ascii="Arial" w:hAnsi="Arial" w:cs="Arial"/>
                <w:b/>
                <w:bCs/>
                <w:color w:val="000000"/>
                <w:sz w:val="16"/>
                <w:szCs w:val="16"/>
              </w:rPr>
            </w:pPr>
            <w:r>
              <w:rPr>
                <w:rFonts w:ascii="Arial" w:hAnsi="Arial" w:cs="Arial"/>
                <w:b/>
                <w:bCs/>
                <w:color w:val="000000"/>
                <w:sz w:val="16"/>
                <w:szCs w:val="16"/>
              </w:rPr>
              <w:t>Suma čerpaná  (EÚ zdroje) v €</w:t>
            </w:r>
          </w:p>
        </w:tc>
        <w:tc>
          <w:tcPr>
            <w:tcW w:w="960" w:type="dxa"/>
            <w:vMerge w:val="restart"/>
            <w:tcBorders>
              <w:top w:val="single" w:sz="8" w:space="0" w:color="auto"/>
              <w:left w:val="single" w:sz="8" w:space="0" w:color="auto"/>
              <w:bottom w:val="single" w:sz="8" w:space="0" w:color="000000"/>
              <w:right w:val="single" w:sz="8" w:space="0" w:color="auto"/>
            </w:tcBorders>
            <w:shd w:val="clear" w:color="000000" w:fill="D6E3BC"/>
            <w:vAlign w:val="center"/>
            <w:hideMark/>
          </w:tcPr>
          <w:p w:rsidR="009C6D8C" w:rsidRDefault="009C6D8C" w:rsidP="00205636">
            <w:pPr>
              <w:jc w:val="center"/>
              <w:rPr>
                <w:rFonts w:ascii="Arial" w:hAnsi="Arial" w:cs="Arial"/>
                <w:b/>
                <w:bCs/>
                <w:color w:val="000000"/>
                <w:sz w:val="16"/>
                <w:szCs w:val="16"/>
              </w:rPr>
            </w:pPr>
            <w:r>
              <w:rPr>
                <w:rFonts w:ascii="Arial" w:hAnsi="Arial" w:cs="Arial"/>
                <w:b/>
                <w:bCs/>
                <w:color w:val="000000"/>
                <w:sz w:val="16"/>
                <w:szCs w:val="16"/>
              </w:rPr>
              <w:t>Podiel čerpania projektov na celkovej alokácii</w:t>
            </w:r>
          </w:p>
        </w:tc>
      </w:tr>
      <w:tr w:rsidR="009C6D8C" w:rsidTr="0039268C">
        <w:trPr>
          <w:trHeight w:val="60"/>
        </w:trPr>
        <w:tc>
          <w:tcPr>
            <w:tcW w:w="1575" w:type="dxa"/>
            <w:vMerge/>
            <w:tcBorders>
              <w:top w:val="single" w:sz="8" w:space="0" w:color="auto"/>
              <w:left w:val="single" w:sz="8" w:space="0" w:color="auto"/>
              <w:bottom w:val="single" w:sz="8" w:space="0" w:color="000000"/>
              <w:right w:val="single" w:sz="8" w:space="0" w:color="auto"/>
            </w:tcBorders>
            <w:vAlign w:val="center"/>
            <w:hideMark/>
          </w:tcPr>
          <w:p w:rsidR="009C6D8C" w:rsidRDefault="009C6D8C" w:rsidP="00205636">
            <w:pPr>
              <w:rPr>
                <w:rFonts w:ascii="Arial" w:hAnsi="Arial" w:cs="Arial"/>
                <w:b/>
                <w:bCs/>
                <w:color w:val="000000"/>
                <w:sz w:val="16"/>
                <w:szCs w:val="16"/>
              </w:rPr>
            </w:pPr>
          </w:p>
        </w:tc>
        <w:tc>
          <w:tcPr>
            <w:tcW w:w="960" w:type="dxa"/>
            <w:vMerge/>
            <w:tcBorders>
              <w:top w:val="single" w:sz="8" w:space="0" w:color="auto"/>
              <w:left w:val="single" w:sz="8" w:space="0" w:color="auto"/>
              <w:bottom w:val="single" w:sz="8" w:space="0" w:color="000000"/>
              <w:right w:val="single" w:sz="8" w:space="0" w:color="auto"/>
            </w:tcBorders>
            <w:vAlign w:val="center"/>
            <w:hideMark/>
          </w:tcPr>
          <w:p w:rsidR="009C6D8C" w:rsidRDefault="009C6D8C" w:rsidP="00205636">
            <w:pPr>
              <w:rPr>
                <w:rFonts w:ascii="Arial" w:hAnsi="Arial" w:cs="Arial"/>
                <w:b/>
                <w:bCs/>
                <w:color w:val="000000"/>
                <w:sz w:val="16"/>
                <w:szCs w:val="16"/>
              </w:rPr>
            </w:pPr>
          </w:p>
        </w:tc>
        <w:tc>
          <w:tcPr>
            <w:tcW w:w="1460" w:type="dxa"/>
            <w:vMerge/>
            <w:tcBorders>
              <w:top w:val="single" w:sz="8" w:space="0" w:color="auto"/>
              <w:left w:val="single" w:sz="8" w:space="0" w:color="auto"/>
              <w:bottom w:val="single" w:sz="8" w:space="0" w:color="000000"/>
              <w:right w:val="single" w:sz="8" w:space="0" w:color="auto"/>
            </w:tcBorders>
            <w:vAlign w:val="center"/>
            <w:hideMark/>
          </w:tcPr>
          <w:p w:rsidR="009C6D8C" w:rsidRDefault="009C6D8C" w:rsidP="00205636">
            <w:pPr>
              <w:rPr>
                <w:rFonts w:ascii="Arial" w:hAnsi="Arial" w:cs="Arial"/>
                <w:b/>
                <w:bCs/>
                <w:color w:val="000000"/>
                <w:sz w:val="16"/>
                <w:szCs w:val="16"/>
              </w:rPr>
            </w:pPr>
          </w:p>
        </w:tc>
        <w:tc>
          <w:tcPr>
            <w:tcW w:w="1380" w:type="dxa"/>
            <w:tcBorders>
              <w:top w:val="nil"/>
              <w:left w:val="nil"/>
              <w:bottom w:val="single" w:sz="8" w:space="0" w:color="auto"/>
              <w:right w:val="single" w:sz="8" w:space="0" w:color="auto"/>
            </w:tcBorders>
            <w:shd w:val="clear" w:color="000000" w:fill="D6E3BC"/>
            <w:vAlign w:val="center"/>
            <w:hideMark/>
          </w:tcPr>
          <w:p w:rsidR="009C6D8C" w:rsidRDefault="009C6D8C" w:rsidP="00205636">
            <w:pPr>
              <w:jc w:val="center"/>
              <w:rPr>
                <w:rFonts w:ascii="Arial" w:hAnsi="Arial" w:cs="Arial"/>
                <w:b/>
                <w:bCs/>
                <w:color w:val="000000"/>
                <w:sz w:val="16"/>
                <w:szCs w:val="16"/>
              </w:rPr>
            </w:pPr>
            <w:r>
              <w:rPr>
                <w:rFonts w:ascii="Arial" w:hAnsi="Arial" w:cs="Arial"/>
                <w:b/>
                <w:bCs/>
                <w:color w:val="000000"/>
                <w:sz w:val="16"/>
                <w:szCs w:val="16"/>
              </w:rPr>
              <w:t>v €</w:t>
            </w:r>
          </w:p>
        </w:tc>
        <w:tc>
          <w:tcPr>
            <w:tcW w:w="1323" w:type="dxa"/>
            <w:vMerge/>
            <w:tcBorders>
              <w:top w:val="single" w:sz="8" w:space="0" w:color="auto"/>
              <w:left w:val="single" w:sz="8" w:space="0" w:color="auto"/>
              <w:bottom w:val="single" w:sz="8" w:space="0" w:color="000000"/>
              <w:right w:val="single" w:sz="8" w:space="0" w:color="auto"/>
            </w:tcBorders>
            <w:vAlign w:val="center"/>
            <w:hideMark/>
          </w:tcPr>
          <w:p w:rsidR="009C6D8C" w:rsidRDefault="009C6D8C" w:rsidP="00205636">
            <w:pPr>
              <w:rPr>
                <w:rFonts w:ascii="Arial" w:hAnsi="Arial" w:cs="Arial"/>
                <w:b/>
                <w:bCs/>
                <w:color w:val="000000"/>
                <w:sz w:val="16"/>
                <w:szCs w:val="16"/>
              </w:rPr>
            </w:pPr>
          </w:p>
        </w:tc>
        <w:tc>
          <w:tcPr>
            <w:tcW w:w="1340" w:type="dxa"/>
            <w:vMerge/>
            <w:tcBorders>
              <w:top w:val="single" w:sz="8" w:space="0" w:color="auto"/>
              <w:left w:val="single" w:sz="8" w:space="0" w:color="auto"/>
              <w:bottom w:val="single" w:sz="8" w:space="0" w:color="000000"/>
              <w:right w:val="single" w:sz="8" w:space="0" w:color="auto"/>
            </w:tcBorders>
            <w:vAlign w:val="center"/>
            <w:hideMark/>
          </w:tcPr>
          <w:p w:rsidR="009C6D8C" w:rsidRDefault="009C6D8C" w:rsidP="00205636">
            <w:pPr>
              <w:rPr>
                <w:rFonts w:ascii="Arial" w:hAnsi="Arial" w:cs="Arial"/>
                <w:b/>
                <w:bCs/>
                <w:color w:val="000000"/>
                <w:sz w:val="16"/>
                <w:szCs w:val="16"/>
              </w:rPr>
            </w:pPr>
          </w:p>
        </w:tc>
        <w:tc>
          <w:tcPr>
            <w:tcW w:w="960" w:type="dxa"/>
            <w:vMerge/>
            <w:tcBorders>
              <w:top w:val="single" w:sz="8" w:space="0" w:color="auto"/>
              <w:left w:val="single" w:sz="8" w:space="0" w:color="auto"/>
              <w:bottom w:val="single" w:sz="8" w:space="0" w:color="000000"/>
              <w:right w:val="single" w:sz="8" w:space="0" w:color="auto"/>
            </w:tcBorders>
            <w:vAlign w:val="center"/>
            <w:hideMark/>
          </w:tcPr>
          <w:p w:rsidR="009C6D8C" w:rsidRDefault="009C6D8C" w:rsidP="00205636">
            <w:pPr>
              <w:rPr>
                <w:rFonts w:ascii="Arial" w:hAnsi="Arial" w:cs="Arial"/>
                <w:b/>
                <w:bCs/>
                <w:color w:val="000000"/>
                <w:sz w:val="16"/>
                <w:szCs w:val="16"/>
              </w:rPr>
            </w:pPr>
          </w:p>
        </w:tc>
      </w:tr>
      <w:tr w:rsidR="009C6D8C" w:rsidTr="0039268C">
        <w:trPr>
          <w:trHeight w:val="880"/>
        </w:trPr>
        <w:tc>
          <w:tcPr>
            <w:tcW w:w="1575" w:type="dxa"/>
            <w:tcBorders>
              <w:top w:val="nil"/>
              <w:left w:val="single" w:sz="8" w:space="0" w:color="auto"/>
              <w:bottom w:val="single" w:sz="8" w:space="0" w:color="auto"/>
              <w:right w:val="single" w:sz="8" w:space="0" w:color="auto"/>
            </w:tcBorders>
            <w:shd w:val="clear" w:color="000000" w:fill="EAF1DD"/>
            <w:vAlign w:val="center"/>
            <w:hideMark/>
          </w:tcPr>
          <w:p w:rsidR="009C6D8C" w:rsidRDefault="009C6D8C" w:rsidP="00205636">
            <w:pPr>
              <w:rPr>
                <w:rFonts w:ascii="Arial" w:hAnsi="Arial" w:cs="Arial"/>
                <w:color w:val="000000"/>
                <w:sz w:val="16"/>
                <w:szCs w:val="16"/>
              </w:rPr>
            </w:pPr>
            <w:r>
              <w:rPr>
                <w:rFonts w:ascii="Arial" w:hAnsi="Arial" w:cs="Arial"/>
                <w:color w:val="000000"/>
                <w:sz w:val="16"/>
                <w:szCs w:val="16"/>
              </w:rPr>
              <w:t>HT 45 -Hospodárenie s vodou a jej distribúcia (pitná voda)</w:t>
            </w:r>
          </w:p>
        </w:tc>
        <w:tc>
          <w:tcPr>
            <w:tcW w:w="960" w:type="dxa"/>
            <w:tcBorders>
              <w:top w:val="nil"/>
              <w:left w:val="nil"/>
              <w:bottom w:val="single" w:sz="8" w:space="0" w:color="auto"/>
              <w:right w:val="single" w:sz="8" w:space="0" w:color="auto"/>
            </w:tcBorders>
            <w:shd w:val="clear" w:color="auto" w:fill="auto"/>
            <w:noWrap/>
            <w:vAlign w:val="center"/>
            <w:hideMark/>
          </w:tcPr>
          <w:p w:rsidR="009C6D8C" w:rsidRDefault="009C6D8C" w:rsidP="00205636">
            <w:pPr>
              <w:jc w:val="center"/>
              <w:rPr>
                <w:rFonts w:ascii="Arial" w:hAnsi="Arial" w:cs="Arial"/>
                <w:color w:val="000000"/>
                <w:sz w:val="16"/>
                <w:szCs w:val="16"/>
              </w:rPr>
            </w:pPr>
            <w:r>
              <w:rPr>
                <w:rFonts w:ascii="Arial" w:hAnsi="Arial" w:cs="Arial"/>
                <w:color w:val="000000"/>
                <w:sz w:val="16"/>
                <w:szCs w:val="16"/>
              </w:rPr>
              <w:t>1.1.</w:t>
            </w:r>
          </w:p>
        </w:tc>
        <w:tc>
          <w:tcPr>
            <w:tcW w:w="1460" w:type="dxa"/>
            <w:tcBorders>
              <w:top w:val="nil"/>
              <w:left w:val="nil"/>
              <w:bottom w:val="single" w:sz="8" w:space="0" w:color="auto"/>
              <w:right w:val="single" w:sz="8" w:space="0" w:color="auto"/>
            </w:tcBorders>
            <w:shd w:val="clear" w:color="auto" w:fill="auto"/>
            <w:noWrap/>
            <w:vAlign w:val="center"/>
            <w:hideMark/>
          </w:tcPr>
          <w:p w:rsidR="009C6D8C" w:rsidRDefault="009C6D8C" w:rsidP="00205636">
            <w:pPr>
              <w:jc w:val="center"/>
              <w:rPr>
                <w:rFonts w:ascii="Arial" w:hAnsi="Arial" w:cs="Arial"/>
                <w:color w:val="000000"/>
                <w:sz w:val="16"/>
                <w:szCs w:val="16"/>
              </w:rPr>
            </w:pPr>
            <w:r>
              <w:rPr>
                <w:rFonts w:ascii="Arial" w:hAnsi="Arial" w:cs="Arial"/>
                <w:color w:val="000000"/>
                <w:sz w:val="16"/>
                <w:szCs w:val="16"/>
              </w:rPr>
              <w:t>90 643 065</w:t>
            </w:r>
          </w:p>
        </w:tc>
        <w:tc>
          <w:tcPr>
            <w:tcW w:w="1380" w:type="dxa"/>
            <w:tcBorders>
              <w:top w:val="nil"/>
              <w:left w:val="nil"/>
              <w:bottom w:val="single" w:sz="8" w:space="0" w:color="auto"/>
              <w:right w:val="single" w:sz="8" w:space="0" w:color="auto"/>
            </w:tcBorders>
            <w:shd w:val="clear" w:color="auto" w:fill="auto"/>
            <w:noWrap/>
            <w:vAlign w:val="center"/>
            <w:hideMark/>
          </w:tcPr>
          <w:p w:rsidR="009C6D8C" w:rsidRDefault="009C6D8C" w:rsidP="00205636">
            <w:pPr>
              <w:jc w:val="center"/>
              <w:rPr>
                <w:rFonts w:ascii="Arial" w:hAnsi="Arial" w:cs="Arial"/>
                <w:color w:val="000000"/>
                <w:sz w:val="16"/>
                <w:szCs w:val="16"/>
              </w:rPr>
            </w:pPr>
            <w:r>
              <w:rPr>
                <w:rFonts w:ascii="Arial" w:hAnsi="Arial" w:cs="Arial"/>
                <w:color w:val="000000"/>
                <w:sz w:val="16"/>
                <w:szCs w:val="16"/>
              </w:rPr>
              <w:t>56 466 024</w:t>
            </w:r>
          </w:p>
        </w:tc>
        <w:tc>
          <w:tcPr>
            <w:tcW w:w="1323" w:type="dxa"/>
            <w:tcBorders>
              <w:top w:val="nil"/>
              <w:left w:val="nil"/>
              <w:bottom w:val="single" w:sz="8" w:space="0" w:color="auto"/>
              <w:right w:val="single" w:sz="8" w:space="0" w:color="auto"/>
            </w:tcBorders>
            <w:shd w:val="clear" w:color="auto" w:fill="auto"/>
            <w:noWrap/>
            <w:vAlign w:val="center"/>
            <w:hideMark/>
          </w:tcPr>
          <w:p w:rsidR="009C6D8C" w:rsidRDefault="009C6D8C" w:rsidP="00205636">
            <w:pPr>
              <w:jc w:val="center"/>
              <w:rPr>
                <w:rFonts w:ascii="Arial" w:hAnsi="Arial" w:cs="Arial"/>
                <w:color w:val="000000"/>
                <w:sz w:val="16"/>
                <w:szCs w:val="16"/>
              </w:rPr>
            </w:pPr>
            <w:r>
              <w:rPr>
                <w:rFonts w:ascii="Arial" w:hAnsi="Arial" w:cs="Arial"/>
                <w:color w:val="000000"/>
                <w:sz w:val="16"/>
                <w:szCs w:val="16"/>
              </w:rPr>
              <w:t>62,29%</w:t>
            </w:r>
          </w:p>
        </w:tc>
        <w:tc>
          <w:tcPr>
            <w:tcW w:w="1340" w:type="dxa"/>
            <w:tcBorders>
              <w:top w:val="nil"/>
              <w:left w:val="nil"/>
              <w:bottom w:val="single" w:sz="8" w:space="0" w:color="auto"/>
              <w:right w:val="single" w:sz="8" w:space="0" w:color="auto"/>
            </w:tcBorders>
            <w:shd w:val="clear" w:color="auto" w:fill="auto"/>
            <w:noWrap/>
            <w:vAlign w:val="center"/>
            <w:hideMark/>
          </w:tcPr>
          <w:p w:rsidR="009C6D8C" w:rsidRDefault="009C6D8C" w:rsidP="00205636">
            <w:pPr>
              <w:jc w:val="center"/>
              <w:rPr>
                <w:rFonts w:ascii="Arial" w:hAnsi="Arial" w:cs="Arial"/>
                <w:color w:val="000000"/>
                <w:sz w:val="16"/>
                <w:szCs w:val="16"/>
              </w:rPr>
            </w:pPr>
            <w:r>
              <w:rPr>
                <w:rFonts w:ascii="Arial" w:hAnsi="Arial" w:cs="Arial"/>
                <w:color w:val="000000"/>
                <w:sz w:val="16"/>
                <w:szCs w:val="16"/>
              </w:rPr>
              <w:t>31 707 657</w:t>
            </w:r>
          </w:p>
        </w:tc>
        <w:tc>
          <w:tcPr>
            <w:tcW w:w="960" w:type="dxa"/>
            <w:tcBorders>
              <w:top w:val="nil"/>
              <w:left w:val="nil"/>
              <w:bottom w:val="single" w:sz="8" w:space="0" w:color="auto"/>
              <w:right w:val="single" w:sz="8" w:space="0" w:color="auto"/>
            </w:tcBorders>
            <w:shd w:val="clear" w:color="auto" w:fill="auto"/>
            <w:noWrap/>
            <w:vAlign w:val="center"/>
            <w:hideMark/>
          </w:tcPr>
          <w:p w:rsidR="009C6D8C" w:rsidRDefault="009C6D8C" w:rsidP="00205636">
            <w:pPr>
              <w:jc w:val="center"/>
              <w:rPr>
                <w:rFonts w:ascii="Arial" w:hAnsi="Arial" w:cs="Arial"/>
                <w:color w:val="000000"/>
                <w:sz w:val="16"/>
                <w:szCs w:val="16"/>
              </w:rPr>
            </w:pPr>
            <w:r>
              <w:rPr>
                <w:rFonts w:ascii="Arial" w:hAnsi="Arial" w:cs="Arial"/>
                <w:color w:val="000000"/>
                <w:sz w:val="16"/>
                <w:szCs w:val="16"/>
              </w:rPr>
              <w:t>34,98%</w:t>
            </w:r>
          </w:p>
        </w:tc>
      </w:tr>
      <w:tr w:rsidR="009C6D8C" w:rsidTr="0039268C">
        <w:trPr>
          <w:trHeight w:val="690"/>
        </w:trPr>
        <w:tc>
          <w:tcPr>
            <w:tcW w:w="1575" w:type="dxa"/>
            <w:tcBorders>
              <w:top w:val="nil"/>
              <w:left w:val="single" w:sz="8" w:space="0" w:color="auto"/>
              <w:bottom w:val="single" w:sz="8" w:space="0" w:color="auto"/>
              <w:right w:val="single" w:sz="8" w:space="0" w:color="auto"/>
            </w:tcBorders>
            <w:shd w:val="clear" w:color="000000" w:fill="EAF1DD"/>
            <w:vAlign w:val="center"/>
            <w:hideMark/>
          </w:tcPr>
          <w:p w:rsidR="009C6D8C" w:rsidRDefault="009C6D8C" w:rsidP="00205636">
            <w:pPr>
              <w:rPr>
                <w:rFonts w:ascii="Arial" w:hAnsi="Arial" w:cs="Arial"/>
                <w:color w:val="000000"/>
                <w:sz w:val="16"/>
                <w:szCs w:val="16"/>
              </w:rPr>
            </w:pPr>
            <w:r>
              <w:rPr>
                <w:rFonts w:ascii="Arial" w:hAnsi="Arial" w:cs="Arial"/>
                <w:color w:val="000000"/>
                <w:sz w:val="16"/>
                <w:szCs w:val="16"/>
              </w:rPr>
              <w:t>HT 46 Spracovanie vody (odpadová voda)</w:t>
            </w:r>
          </w:p>
        </w:tc>
        <w:tc>
          <w:tcPr>
            <w:tcW w:w="960" w:type="dxa"/>
            <w:tcBorders>
              <w:top w:val="nil"/>
              <w:left w:val="nil"/>
              <w:bottom w:val="single" w:sz="8" w:space="0" w:color="auto"/>
              <w:right w:val="single" w:sz="8" w:space="0" w:color="auto"/>
            </w:tcBorders>
            <w:shd w:val="clear" w:color="auto" w:fill="auto"/>
            <w:vAlign w:val="center"/>
            <w:hideMark/>
          </w:tcPr>
          <w:p w:rsidR="009C6D8C" w:rsidRDefault="009C6D8C" w:rsidP="00205636">
            <w:pPr>
              <w:jc w:val="center"/>
              <w:rPr>
                <w:rFonts w:ascii="Arial" w:hAnsi="Arial" w:cs="Arial"/>
                <w:color w:val="000000"/>
                <w:sz w:val="16"/>
                <w:szCs w:val="16"/>
              </w:rPr>
            </w:pPr>
            <w:r>
              <w:rPr>
                <w:rFonts w:ascii="Arial" w:hAnsi="Arial" w:cs="Arial"/>
                <w:color w:val="000000"/>
                <w:sz w:val="16"/>
                <w:szCs w:val="16"/>
              </w:rPr>
              <w:t>1.2.</w:t>
            </w:r>
          </w:p>
        </w:tc>
        <w:tc>
          <w:tcPr>
            <w:tcW w:w="1460" w:type="dxa"/>
            <w:tcBorders>
              <w:top w:val="nil"/>
              <w:left w:val="nil"/>
              <w:bottom w:val="single" w:sz="8" w:space="0" w:color="auto"/>
              <w:right w:val="single" w:sz="8" w:space="0" w:color="auto"/>
            </w:tcBorders>
            <w:shd w:val="clear" w:color="auto" w:fill="auto"/>
            <w:noWrap/>
            <w:vAlign w:val="center"/>
            <w:hideMark/>
          </w:tcPr>
          <w:p w:rsidR="009C6D8C" w:rsidRDefault="009C6D8C" w:rsidP="00205636">
            <w:pPr>
              <w:jc w:val="center"/>
              <w:rPr>
                <w:rFonts w:ascii="Arial" w:hAnsi="Arial" w:cs="Arial"/>
                <w:color w:val="000000"/>
                <w:sz w:val="16"/>
                <w:szCs w:val="16"/>
              </w:rPr>
            </w:pPr>
            <w:r>
              <w:rPr>
                <w:rFonts w:ascii="Arial" w:hAnsi="Arial" w:cs="Arial"/>
                <w:color w:val="000000"/>
                <w:sz w:val="16"/>
                <w:szCs w:val="16"/>
              </w:rPr>
              <w:t>800 000 000</w:t>
            </w:r>
          </w:p>
        </w:tc>
        <w:tc>
          <w:tcPr>
            <w:tcW w:w="1380" w:type="dxa"/>
            <w:tcBorders>
              <w:top w:val="nil"/>
              <w:left w:val="nil"/>
              <w:bottom w:val="single" w:sz="8" w:space="0" w:color="auto"/>
              <w:right w:val="single" w:sz="8" w:space="0" w:color="auto"/>
            </w:tcBorders>
            <w:shd w:val="clear" w:color="auto" w:fill="auto"/>
            <w:noWrap/>
            <w:vAlign w:val="center"/>
            <w:hideMark/>
          </w:tcPr>
          <w:p w:rsidR="009C6D8C" w:rsidRDefault="009C6D8C" w:rsidP="00205636">
            <w:pPr>
              <w:jc w:val="center"/>
              <w:rPr>
                <w:rFonts w:ascii="Arial" w:hAnsi="Arial" w:cs="Arial"/>
                <w:color w:val="000000"/>
                <w:sz w:val="16"/>
                <w:szCs w:val="16"/>
              </w:rPr>
            </w:pPr>
            <w:r>
              <w:rPr>
                <w:rFonts w:ascii="Arial" w:hAnsi="Arial" w:cs="Arial"/>
                <w:color w:val="000000"/>
                <w:sz w:val="16"/>
                <w:szCs w:val="16"/>
              </w:rPr>
              <w:t>696 477 993</w:t>
            </w:r>
          </w:p>
        </w:tc>
        <w:tc>
          <w:tcPr>
            <w:tcW w:w="1323" w:type="dxa"/>
            <w:tcBorders>
              <w:top w:val="nil"/>
              <w:left w:val="nil"/>
              <w:bottom w:val="single" w:sz="8" w:space="0" w:color="auto"/>
              <w:right w:val="single" w:sz="8" w:space="0" w:color="auto"/>
            </w:tcBorders>
            <w:shd w:val="clear" w:color="auto" w:fill="auto"/>
            <w:noWrap/>
            <w:vAlign w:val="center"/>
            <w:hideMark/>
          </w:tcPr>
          <w:p w:rsidR="009C6D8C" w:rsidRDefault="009C6D8C" w:rsidP="00205636">
            <w:pPr>
              <w:jc w:val="center"/>
              <w:rPr>
                <w:rFonts w:ascii="Arial" w:hAnsi="Arial" w:cs="Arial"/>
                <w:color w:val="000000"/>
                <w:sz w:val="16"/>
                <w:szCs w:val="16"/>
              </w:rPr>
            </w:pPr>
            <w:r>
              <w:rPr>
                <w:rFonts w:ascii="Arial" w:hAnsi="Arial" w:cs="Arial"/>
                <w:color w:val="000000"/>
                <w:sz w:val="16"/>
                <w:szCs w:val="16"/>
              </w:rPr>
              <w:t>87,06%</w:t>
            </w:r>
          </w:p>
        </w:tc>
        <w:tc>
          <w:tcPr>
            <w:tcW w:w="1340" w:type="dxa"/>
            <w:tcBorders>
              <w:top w:val="nil"/>
              <w:left w:val="nil"/>
              <w:bottom w:val="single" w:sz="8" w:space="0" w:color="auto"/>
              <w:right w:val="single" w:sz="8" w:space="0" w:color="auto"/>
            </w:tcBorders>
            <w:shd w:val="clear" w:color="auto" w:fill="auto"/>
            <w:noWrap/>
            <w:vAlign w:val="center"/>
            <w:hideMark/>
          </w:tcPr>
          <w:p w:rsidR="009C6D8C" w:rsidRDefault="009C6D8C" w:rsidP="00205636">
            <w:pPr>
              <w:jc w:val="center"/>
              <w:rPr>
                <w:rFonts w:ascii="Arial" w:hAnsi="Arial" w:cs="Arial"/>
                <w:color w:val="000000"/>
                <w:sz w:val="16"/>
                <w:szCs w:val="16"/>
              </w:rPr>
            </w:pPr>
            <w:r>
              <w:rPr>
                <w:rFonts w:ascii="Arial" w:hAnsi="Arial" w:cs="Arial"/>
                <w:color w:val="000000"/>
                <w:sz w:val="16"/>
                <w:szCs w:val="16"/>
              </w:rPr>
              <w:t>202 138 436</w:t>
            </w:r>
          </w:p>
        </w:tc>
        <w:tc>
          <w:tcPr>
            <w:tcW w:w="960" w:type="dxa"/>
            <w:tcBorders>
              <w:top w:val="nil"/>
              <w:left w:val="nil"/>
              <w:bottom w:val="single" w:sz="8" w:space="0" w:color="auto"/>
              <w:right w:val="single" w:sz="8" w:space="0" w:color="auto"/>
            </w:tcBorders>
            <w:shd w:val="clear" w:color="auto" w:fill="auto"/>
            <w:noWrap/>
            <w:vAlign w:val="center"/>
            <w:hideMark/>
          </w:tcPr>
          <w:p w:rsidR="009C6D8C" w:rsidRDefault="009C6D8C" w:rsidP="00205636">
            <w:pPr>
              <w:jc w:val="center"/>
              <w:rPr>
                <w:rFonts w:ascii="Arial" w:hAnsi="Arial" w:cs="Arial"/>
                <w:color w:val="000000"/>
                <w:sz w:val="16"/>
                <w:szCs w:val="16"/>
              </w:rPr>
            </w:pPr>
            <w:r>
              <w:rPr>
                <w:rFonts w:ascii="Arial" w:hAnsi="Arial" w:cs="Arial"/>
                <w:color w:val="000000"/>
                <w:sz w:val="16"/>
                <w:szCs w:val="16"/>
              </w:rPr>
              <w:t>25,27%</w:t>
            </w:r>
          </w:p>
        </w:tc>
      </w:tr>
      <w:tr w:rsidR="009C6D8C" w:rsidTr="0039268C">
        <w:trPr>
          <w:trHeight w:val="1140"/>
        </w:trPr>
        <w:tc>
          <w:tcPr>
            <w:tcW w:w="1575" w:type="dxa"/>
            <w:tcBorders>
              <w:top w:val="nil"/>
              <w:left w:val="single" w:sz="8" w:space="0" w:color="auto"/>
              <w:bottom w:val="single" w:sz="8" w:space="0" w:color="auto"/>
              <w:right w:val="single" w:sz="8" w:space="0" w:color="auto"/>
            </w:tcBorders>
            <w:shd w:val="clear" w:color="000000" w:fill="EAF1DD"/>
            <w:vAlign w:val="center"/>
            <w:hideMark/>
          </w:tcPr>
          <w:p w:rsidR="009C6D8C" w:rsidRDefault="009C6D8C" w:rsidP="00205636">
            <w:pPr>
              <w:rPr>
                <w:rFonts w:ascii="Arial" w:hAnsi="Arial" w:cs="Arial"/>
                <w:color w:val="000000"/>
                <w:sz w:val="16"/>
                <w:szCs w:val="16"/>
              </w:rPr>
            </w:pPr>
            <w:r>
              <w:rPr>
                <w:rFonts w:ascii="Arial" w:hAnsi="Arial" w:cs="Arial"/>
                <w:color w:val="000000"/>
                <w:sz w:val="16"/>
                <w:szCs w:val="16"/>
              </w:rPr>
              <w:t>HT 54 Iné opatrenia na zachovanie ŽP a predchádzanie rizikám</w:t>
            </w:r>
          </w:p>
        </w:tc>
        <w:tc>
          <w:tcPr>
            <w:tcW w:w="960" w:type="dxa"/>
            <w:tcBorders>
              <w:top w:val="nil"/>
              <w:left w:val="nil"/>
              <w:bottom w:val="single" w:sz="8" w:space="0" w:color="auto"/>
              <w:right w:val="single" w:sz="8" w:space="0" w:color="auto"/>
            </w:tcBorders>
            <w:shd w:val="clear" w:color="auto" w:fill="auto"/>
            <w:noWrap/>
            <w:vAlign w:val="center"/>
            <w:hideMark/>
          </w:tcPr>
          <w:p w:rsidR="009C6D8C" w:rsidRDefault="009C6D8C" w:rsidP="00205636">
            <w:pPr>
              <w:jc w:val="center"/>
              <w:rPr>
                <w:rFonts w:ascii="Arial" w:hAnsi="Arial" w:cs="Arial"/>
                <w:color w:val="000000"/>
                <w:sz w:val="16"/>
                <w:szCs w:val="16"/>
              </w:rPr>
            </w:pPr>
            <w:r>
              <w:rPr>
                <w:rFonts w:ascii="Arial" w:hAnsi="Arial" w:cs="Arial"/>
                <w:color w:val="000000"/>
                <w:sz w:val="16"/>
                <w:szCs w:val="16"/>
              </w:rPr>
              <w:t>1.3.</w:t>
            </w:r>
          </w:p>
        </w:tc>
        <w:tc>
          <w:tcPr>
            <w:tcW w:w="1460" w:type="dxa"/>
            <w:tcBorders>
              <w:top w:val="nil"/>
              <w:left w:val="nil"/>
              <w:bottom w:val="single" w:sz="8" w:space="0" w:color="auto"/>
              <w:right w:val="single" w:sz="8" w:space="0" w:color="auto"/>
            </w:tcBorders>
            <w:shd w:val="clear" w:color="auto" w:fill="auto"/>
            <w:noWrap/>
            <w:vAlign w:val="center"/>
            <w:hideMark/>
          </w:tcPr>
          <w:p w:rsidR="009C6D8C" w:rsidRDefault="009C6D8C" w:rsidP="00205636">
            <w:pPr>
              <w:jc w:val="center"/>
              <w:rPr>
                <w:rFonts w:ascii="Arial" w:hAnsi="Arial" w:cs="Arial"/>
                <w:color w:val="000000"/>
                <w:sz w:val="16"/>
                <w:szCs w:val="16"/>
              </w:rPr>
            </w:pPr>
            <w:r>
              <w:rPr>
                <w:rFonts w:ascii="Arial" w:hAnsi="Arial" w:cs="Arial"/>
                <w:color w:val="000000"/>
                <w:sz w:val="16"/>
                <w:szCs w:val="16"/>
              </w:rPr>
              <w:t>25 000 000</w:t>
            </w:r>
          </w:p>
        </w:tc>
        <w:tc>
          <w:tcPr>
            <w:tcW w:w="1380" w:type="dxa"/>
            <w:tcBorders>
              <w:top w:val="nil"/>
              <w:left w:val="nil"/>
              <w:bottom w:val="single" w:sz="8" w:space="0" w:color="auto"/>
              <w:right w:val="single" w:sz="8" w:space="0" w:color="auto"/>
            </w:tcBorders>
            <w:shd w:val="clear" w:color="auto" w:fill="auto"/>
            <w:noWrap/>
            <w:vAlign w:val="center"/>
            <w:hideMark/>
          </w:tcPr>
          <w:p w:rsidR="009C6D8C" w:rsidRDefault="009C6D8C" w:rsidP="00205636">
            <w:pPr>
              <w:jc w:val="center"/>
              <w:rPr>
                <w:rFonts w:ascii="Arial" w:hAnsi="Arial" w:cs="Arial"/>
                <w:color w:val="000000"/>
                <w:sz w:val="16"/>
                <w:szCs w:val="16"/>
              </w:rPr>
            </w:pPr>
            <w:r>
              <w:rPr>
                <w:rFonts w:ascii="Arial" w:hAnsi="Arial" w:cs="Arial"/>
                <w:color w:val="000000"/>
                <w:sz w:val="16"/>
                <w:szCs w:val="16"/>
              </w:rPr>
              <w:t>9 570 477</w:t>
            </w:r>
          </w:p>
        </w:tc>
        <w:tc>
          <w:tcPr>
            <w:tcW w:w="1323" w:type="dxa"/>
            <w:tcBorders>
              <w:top w:val="nil"/>
              <w:left w:val="nil"/>
              <w:bottom w:val="single" w:sz="8" w:space="0" w:color="auto"/>
              <w:right w:val="single" w:sz="8" w:space="0" w:color="auto"/>
            </w:tcBorders>
            <w:shd w:val="clear" w:color="auto" w:fill="auto"/>
            <w:noWrap/>
            <w:vAlign w:val="center"/>
            <w:hideMark/>
          </w:tcPr>
          <w:p w:rsidR="009C6D8C" w:rsidRDefault="009C6D8C" w:rsidP="00205636">
            <w:pPr>
              <w:jc w:val="center"/>
              <w:rPr>
                <w:rFonts w:ascii="Arial" w:hAnsi="Arial" w:cs="Arial"/>
                <w:color w:val="000000"/>
                <w:sz w:val="16"/>
                <w:szCs w:val="16"/>
              </w:rPr>
            </w:pPr>
            <w:r>
              <w:rPr>
                <w:rFonts w:ascii="Arial" w:hAnsi="Arial" w:cs="Arial"/>
                <w:color w:val="000000"/>
                <w:sz w:val="16"/>
                <w:szCs w:val="16"/>
              </w:rPr>
              <w:t>38,28%</w:t>
            </w:r>
          </w:p>
        </w:tc>
        <w:tc>
          <w:tcPr>
            <w:tcW w:w="1340" w:type="dxa"/>
            <w:tcBorders>
              <w:top w:val="nil"/>
              <w:left w:val="nil"/>
              <w:bottom w:val="single" w:sz="8" w:space="0" w:color="auto"/>
              <w:right w:val="single" w:sz="8" w:space="0" w:color="auto"/>
            </w:tcBorders>
            <w:shd w:val="clear" w:color="auto" w:fill="auto"/>
            <w:noWrap/>
            <w:vAlign w:val="center"/>
            <w:hideMark/>
          </w:tcPr>
          <w:p w:rsidR="009C6D8C" w:rsidRDefault="009C6D8C" w:rsidP="00205636">
            <w:pPr>
              <w:jc w:val="center"/>
              <w:rPr>
                <w:rFonts w:ascii="Arial" w:hAnsi="Arial" w:cs="Arial"/>
                <w:color w:val="000000"/>
                <w:sz w:val="16"/>
                <w:szCs w:val="16"/>
              </w:rPr>
            </w:pPr>
            <w:r>
              <w:rPr>
                <w:rFonts w:ascii="Arial" w:hAnsi="Arial" w:cs="Arial"/>
                <w:color w:val="000000"/>
                <w:sz w:val="16"/>
                <w:szCs w:val="16"/>
              </w:rPr>
              <w:t>4 881 898</w:t>
            </w:r>
          </w:p>
        </w:tc>
        <w:tc>
          <w:tcPr>
            <w:tcW w:w="960" w:type="dxa"/>
            <w:tcBorders>
              <w:top w:val="nil"/>
              <w:left w:val="nil"/>
              <w:bottom w:val="single" w:sz="8" w:space="0" w:color="auto"/>
              <w:right w:val="single" w:sz="8" w:space="0" w:color="auto"/>
            </w:tcBorders>
            <w:shd w:val="clear" w:color="auto" w:fill="auto"/>
            <w:noWrap/>
            <w:vAlign w:val="center"/>
            <w:hideMark/>
          </w:tcPr>
          <w:p w:rsidR="009C6D8C" w:rsidRDefault="009C6D8C" w:rsidP="00205636">
            <w:pPr>
              <w:jc w:val="center"/>
              <w:rPr>
                <w:rFonts w:ascii="Arial" w:hAnsi="Arial" w:cs="Arial"/>
                <w:color w:val="000000"/>
                <w:sz w:val="16"/>
                <w:szCs w:val="16"/>
              </w:rPr>
            </w:pPr>
            <w:r>
              <w:rPr>
                <w:rFonts w:ascii="Arial" w:hAnsi="Arial" w:cs="Arial"/>
                <w:color w:val="000000"/>
                <w:sz w:val="16"/>
                <w:szCs w:val="16"/>
              </w:rPr>
              <w:t>19,53%</w:t>
            </w:r>
          </w:p>
        </w:tc>
      </w:tr>
      <w:tr w:rsidR="009C6D8C" w:rsidTr="009C6D8C">
        <w:trPr>
          <w:trHeight w:val="315"/>
        </w:trPr>
        <w:tc>
          <w:tcPr>
            <w:tcW w:w="1575" w:type="dxa"/>
            <w:tcBorders>
              <w:top w:val="nil"/>
              <w:left w:val="single" w:sz="8" w:space="0" w:color="auto"/>
              <w:bottom w:val="single" w:sz="8" w:space="0" w:color="auto"/>
              <w:right w:val="single" w:sz="8" w:space="0" w:color="auto"/>
            </w:tcBorders>
            <w:shd w:val="clear" w:color="000000" w:fill="EAF1DD"/>
            <w:vAlign w:val="center"/>
            <w:hideMark/>
          </w:tcPr>
          <w:p w:rsidR="009C6D8C" w:rsidRDefault="009C6D8C" w:rsidP="00205636">
            <w:pPr>
              <w:rPr>
                <w:rFonts w:ascii="Arial" w:hAnsi="Arial" w:cs="Arial"/>
                <w:b/>
                <w:bCs/>
                <w:color w:val="000000"/>
                <w:sz w:val="16"/>
                <w:szCs w:val="16"/>
              </w:rPr>
            </w:pPr>
            <w:r>
              <w:rPr>
                <w:rFonts w:ascii="Arial" w:hAnsi="Arial" w:cs="Arial"/>
                <w:b/>
                <w:bCs/>
                <w:color w:val="000000"/>
                <w:sz w:val="16"/>
                <w:szCs w:val="16"/>
              </w:rPr>
              <w:t>Spolu</w:t>
            </w:r>
          </w:p>
        </w:tc>
        <w:tc>
          <w:tcPr>
            <w:tcW w:w="960" w:type="dxa"/>
            <w:tcBorders>
              <w:top w:val="nil"/>
              <w:left w:val="nil"/>
              <w:bottom w:val="single" w:sz="8" w:space="0" w:color="auto"/>
              <w:right w:val="single" w:sz="8" w:space="0" w:color="auto"/>
            </w:tcBorders>
            <w:shd w:val="clear" w:color="000000" w:fill="EAF1DD"/>
            <w:vAlign w:val="center"/>
            <w:hideMark/>
          </w:tcPr>
          <w:p w:rsidR="009C6D8C" w:rsidRDefault="009C6D8C" w:rsidP="00205636">
            <w:pPr>
              <w:rPr>
                <w:color w:val="000000"/>
                <w:sz w:val="20"/>
                <w:szCs w:val="20"/>
              </w:rPr>
            </w:pPr>
            <w:r>
              <w:rPr>
                <w:color w:val="000000"/>
                <w:sz w:val="20"/>
                <w:szCs w:val="20"/>
              </w:rPr>
              <w:t> </w:t>
            </w:r>
          </w:p>
        </w:tc>
        <w:tc>
          <w:tcPr>
            <w:tcW w:w="1460" w:type="dxa"/>
            <w:tcBorders>
              <w:top w:val="nil"/>
              <w:left w:val="nil"/>
              <w:bottom w:val="single" w:sz="8" w:space="0" w:color="auto"/>
              <w:right w:val="single" w:sz="8" w:space="0" w:color="auto"/>
            </w:tcBorders>
            <w:shd w:val="clear" w:color="000000" w:fill="EAF1DD"/>
            <w:vAlign w:val="center"/>
            <w:hideMark/>
          </w:tcPr>
          <w:p w:rsidR="009C6D8C" w:rsidRDefault="009C6D8C" w:rsidP="00205636">
            <w:pPr>
              <w:jc w:val="center"/>
              <w:rPr>
                <w:rFonts w:ascii="Arial" w:hAnsi="Arial" w:cs="Arial"/>
                <w:b/>
                <w:bCs/>
                <w:color w:val="000000"/>
                <w:sz w:val="16"/>
                <w:szCs w:val="16"/>
              </w:rPr>
            </w:pPr>
            <w:r>
              <w:rPr>
                <w:rFonts w:ascii="Arial" w:hAnsi="Arial" w:cs="Arial"/>
                <w:b/>
                <w:bCs/>
                <w:color w:val="000000"/>
                <w:sz w:val="16"/>
                <w:szCs w:val="16"/>
              </w:rPr>
              <w:t>915 643 065</w:t>
            </w:r>
          </w:p>
        </w:tc>
        <w:tc>
          <w:tcPr>
            <w:tcW w:w="1380" w:type="dxa"/>
            <w:tcBorders>
              <w:top w:val="nil"/>
              <w:left w:val="nil"/>
              <w:bottom w:val="single" w:sz="8" w:space="0" w:color="auto"/>
              <w:right w:val="single" w:sz="8" w:space="0" w:color="auto"/>
            </w:tcBorders>
            <w:shd w:val="clear" w:color="000000" w:fill="EAF1DD"/>
            <w:vAlign w:val="center"/>
            <w:hideMark/>
          </w:tcPr>
          <w:p w:rsidR="009C6D8C" w:rsidRDefault="009C6D8C" w:rsidP="00205636">
            <w:pPr>
              <w:jc w:val="center"/>
              <w:rPr>
                <w:rFonts w:ascii="Arial" w:hAnsi="Arial" w:cs="Arial"/>
                <w:b/>
                <w:bCs/>
                <w:color w:val="000000"/>
                <w:sz w:val="16"/>
                <w:szCs w:val="16"/>
              </w:rPr>
            </w:pPr>
            <w:r>
              <w:rPr>
                <w:rFonts w:ascii="Arial" w:hAnsi="Arial" w:cs="Arial"/>
                <w:b/>
                <w:bCs/>
                <w:color w:val="000000"/>
                <w:sz w:val="16"/>
                <w:szCs w:val="16"/>
              </w:rPr>
              <w:t>762 514 495</w:t>
            </w:r>
          </w:p>
        </w:tc>
        <w:tc>
          <w:tcPr>
            <w:tcW w:w="1323" w:type="dxa"/>
            <w:tcBorders>
              <w:top w:val="nil"/>
              <w:left w:val="nil"/>
              <w:bottom w:val="single" w:sz="8" w:space="0" w:color="auto"/>
              <w:right w:val="single" w:sz="8" w:space="0" w:color="auto"/>
            </w:tcBorders>
            <w:shd w:val="clear" w:color="000000" w:fill="EAF1DD"/>
            <w:vAlign w:val="center"/>
            <w:hideMark/>
          </w:tcPr>
          <w:p w:rsidR="009C6D8C" w:rsidRDefault="009C6D8C" w:rsidP="00205636">
            <w:pPr>
              <w:jc w:val="center"/>
              <w:rPr>
                <w:rFonts w:ascii="Arial" w:hAnsi="Arial" w:cs="Arial"/>
                <w:b/>
                <w:bCs/>
                <w:color w:val="000000"/>
                <w:sz w:val="16"/>
                <w:szCs w:val="16"/>
              </w:rPr>
            </w:pPr>
            <w:r>
              <w:rPr>
                <w:rFonts w:ascii="Arial" w:hAnsi="Arial" w:cs="Arial"/>
                <w:b/>
                <w:bCs/>
                <w:color w:val="000000"/>
                <w:sz w:val="16"/>
                <w:szCs w:val="16"/>
              </w:rPr>
              <w:t>83,28%</w:t>
            </w:r>
          </w:p>
        </w:tc>
        <w:tc>
          <w:tcPr>
            <w:tcW w:w="1340" w:type="dxa"/>
            <w:tcBorders>
              <w:top w:val="nil"/>
              <w:left w:val="nil"/>
              <w:bottom w:val="single" w:sz="8" w:space="0" w:color="auto"/>
              <w:right w:val="single" w:sz="8" w:space="0" w:color="auto"/>
            </w:tcBorders>
            <w:shd w:val="clear" w:color="000000" w:fill="EAF1DD"/>
            <w:vAlign w:val="center"/>
            <w:hideMark/>
          </w:tcPr>
          <w:p w:rsidR="009C6D8C" w:rsidRDefault="009C6D8C" w:rsidP="00205636">
            <w:pPr>
              <w:jc w:val="center"/>
              <w:rPr>
                <w:rFonts w:ascii="Arial" w:hAnsi="Arial" w:cs="Arial"/>
                <w:b/>
                <w:bCs/>
                <w:color w:val="000000"/>
                <w:sz w:val="16"/>
                <w:szCs w:val="16"/>
              </w:rPr>
            </w:pPr>
            <w:r>
              <w:rPr>
                <w:rFonts w:ascii="Arial" w:hAnsi="Arial" w:cs="Arial"/>
                <w:b/>
                <w:bCs/>
                <w:color w:val="000000"/>
                <w:sz w:val="16"/>
                <w:szCs w:val="16"/>
              </w:rPr>
              <w:t>238 727 991</w:t>
            </w:r>
          </w:p>
        </w:tc>
        <w:tc>
          <w:tcPr>
            <w:tcW w:w="960" w:type="dxa"/>
            <w:tcBorders>
              <w:top w:val="nil"/>
              <w:left w:val="nil"/>
              <w:bottom w:val="single" w:sz="8" w:space="0" w:color="auto"/>
              <w:right w:val="single" w:sz="8" w:space="0" w:color="auto"/>
            </w:tcBorders>
            <w:shd w:val="clear" w:color="000000" w:fill="EAF1DD"/>
            <w:vAlign w:val="center"/>
            <w:hideMark/>
          </w:tcPr>
          <w:p w:rsidR="009C6D8C" w:rsidRDefault="009C6D8C" w:rsidP="00205636">
            <w:pPr>
              <w:jc w:val="center"/>
              <w:rPr>
                <w:rFonts w:ascii="Arial" w:hAnsi="Arial" w:cs="Arial"/>
                <w:b/>
                <w:bCs/>
                <w:color w:val="000000"/>
                <w:sz w:val="16"/>
                <w:szCs w:val="16"/>
              </w:rPr>
            </w:pPr>
            <w:r>
              <w:rPr>
                <w:rFonts w:ascii="Arial" w:hAnsi="Arial" w:cs="Arial"/>
                <w:b/>
                <w:bCs/>
                <w:color w:val="000000"/>
                <w:sz w:val="16"/>
                <w:szCs w:val="16"/>
              </w:rPr>
              <w:t>26,07%</w:t>
            </w:r>
          </w:p>
        </w:tc>
      </w:tr>
    </w:tbl>
    <w:p w:rsidR="003E7705" w:rsidRPr="00A322EA" w:rsidRDefault="00000CC9" w:rsidP="00205636">
      <w:pPr>
        <w:pStyle w:val="Zkladntextb"/>
        <w:spacing w:after="0" w:line="360" w:lineRule="auto"/>
        <w:ind w:left="0"/>
        <w:jc w:val="both"/>
        <w:rPr>
          <w:rFonts w:cs="Arial"/>
          <w:sz w:val="18"/>
          <w:szCs w:val="18"/>
          <w:lang w:val="sk-SK"/>
        </w:rPr>
      </w:pPr>
      <w:r>
        <w:rPr>
          <w:rFonts w:cs="Arial"/>
          <w:sz w:val="18"/>
          <w:szCs w:val="18"/>
          <w:lang w:val="sk-SK"/>
        </w:rPr>
        <w:t>Zdroj: RO, ITMS</w:t>
      </w:r>
    </w:p>
    <w:p w:rsidR="00205636" w:rsidRDefault="00205636">
      <w:pPr>
        <w:rPr>
          <w:rFonts w:ascii="Arial" w:hAnsi="Arial" w:cs="Arial"/>
          <w:sz w:val="20"/>
          <w:szCs w:val="20"/>
        </w:rPr>
      </w:pPr>
    </w:p>
    <w:p w:rsidR="004B6DF5" w:rsidRDefault="004B6DF5" w:rsidP="00507035">
      <w:pPr>
        <w:pStyle w:val="Zkladntextb"/>
        <w:spacing w:before="120" w:after="120" w:line="360" w:lineRule="auto"/>
        <w:ind w:left="0"/>
        <w:jc w:val="both"/>
        <w:rPr>
          <w:rFonts w:cs="Arial"/>
          <w:lang w:val="sk-SK"/>
        </w:rPr>
      </w:pPr>
      <w:r w:rsidRPr="006A2BF3">
        <w:rPr>
          <w:rFonts w:cs="Arial"/>
          <w:lang w:val="sk-SK"/>
        </w:rPr>
        <w:t xml:space="preserve">Graf č. </w:t>
      </w:r>
      <w:r w:rsidR="004B2E7A">
        <w:rPr>
          <w:rFonts w:cs="Arial"/>
          <w:lang w:val="sk-SK"/>
        </w:rPr>
        <w:t>2</w:t>
      </w:r>
      <w:r>
        <w:rPr>
          <w:rFonts w:cs="Arial"/>
          <w:lang w:val="sk-SK"/>
        </w:rPr>
        <w:t xml:space="preserve"> </w:t>
      </w:r>
      <w:r w:rsidRPr="006A2BF3">
        <w:rPr>
          <w:rFonts w:cs="Arial"/>
          <w:lang w:val="sk-SK"/>
        </w:rPr>
        <w:t>Operačný cieľ 1.1 - Prioritná téma 45</w:t>
      </w:r>
      <w:r>
        <w:rPr>
          <w:rFonts w:cs="Arial"/>
          <w:lang w:val="sk-SK"/>
        </w:rPr>
        <w:t xml:space="preserve"> Hospodárenie s vodou a jej distribúcia (pitná voda)</w:t>
      </w:r>
    </w:p>
    <w:p w:rsidR="004B6DF5" w:rsidRDefault="00587FAE" w:rsidP="00507035">
      <w:pPr>
        <w:pStyle w:val="Zkladntextb"/>
        <w:spacing w:before="120" w:after="120" w:line="360" w:lineRule="auto"/>
        <w:ind w:left="0"/>
        <w:jc w:val="center"/>
        <w:rPr>
          <w:noProof/>
          <w:lang w:val="sk-SK"/>
        </w:rPr>
      </w:pPr>
      <w:r>
        <w:rPr>
          <w:noProof/>
          <w:lang w:val="sk-SK"/>
        </w:rPr>
        <w:drawing>
          <wp:inline distT="0" distB="0" distL="0" distR="0" wp14:anchorId="5E7A542E" wp14:editId="15FC58BB">
            <wp:extent cx="5088890" cy="3228340"/>
            <wp:effectExtent l="0" t="0" r="0" b="0"/>
            <wp:docPr id="4" name="Objekt 4"/>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36"/>
              </a:graphicData>
            </a:graphic>
          </wp:inline>
        </w:drawing>
      </w:r>
    </w:p>
    <w:tbl>
      <w:tblPr>
        <w:tblpPr w:leftFromText="141" w:rightFromText="141" w:vertAnchor="text" w:horzAnchor="margin" w:tblpY="232"/>
        <w:tblW w:w="1771" w:type="dxa"/>
        <w:tblCellMar>
          <w:left w:w="70" w:type="dxa"/>
          <w:right w:w="70" w:type="dxa"/>
        </w:tblCellMar>
        <w:tblLook w:val="04A0" w:firstRow="1" w:lastRow="0" w:firstColumn="1" w:lastColumn="0" w:noHBand="0" w:noVBand="1"/>
      </w:tblPr>
      <w:tblGrid>
        <w:gridCol w:w="202"/>
        <w:gridCol w:w="1576"/>
      </w:tblGrid>
      <w:tr w:rsidR="004B6DF5" w:rsidRPr="00A322EA" w:rsidTr="00834B2A">
        <w:trPr>
          <w:trHeight w:val="284"/>
        </w:trPr>
        <w:tc>
          <w:tcPr>
            <w:tcW w:w="195" w:type="dxa"/>
            <w:tcBorders>
              <w:top w:val="nil"/>
              <w:left w:val="nil"/>
              <w:bottom w:val="nil"/>
              <w:right w:val="nil"/>
            </w:tcBorders>
            <w:shd w:val="clear" w:color="000000" w:fill="C00000"/>
            <w:noWrap/>
            <w:vAlign w:val="bottom"/>
            <w:hideMark/>
          </w:tcPr>
          <w:p w:rsidR="004B6DF5" w:rsidRPr="00A322EA" w:rsidRDefault="004B6DF5" w:rsidP="00507035">
            <w:pPr>
              <w:spacing w:before="120" w:after="120"/>
              <w:rPr>
                <w:rFonts w:ascii="Arial" w:hAnsi="Arial" w:cs="Arial"/>
                <w:color w:val="000000"/>
                <w:sz w:val="22"/>
                <w:szCs w:val="22"/>
              </w:rPr>
            </w:pPr>
            <w:r w:rsidRPr="00A322EA">
              <w:rPr>
                <w:rFonts w:ascii="Arial" w:hAnsi="Arial" w:cs="Arial"/>
                <w:color w:val="000000"/>
                <w:sz w:val="22"/>
                <w:szCs w:val="22"/>
              </w:rPr>
              <w:t> </w:t>
            </w:r>
          </w:p>
        </w:tc>
        <w:tc>
          <w:tcPr>
            <w:tcW w:w="1576" w:type="dxa"/>
            <w:tcBorders>
              <w:top w:val="nil"/>
              <w:left w:val="nil"/>
              <w:bottom w:val="nil"/>
              <w:right w:val="nil"/>
            </w:tcBorders>
            <w:noWrap/>
            <w:vAlign w:val="center"/>
            <w:hideMark/>
          </w:tcPr>
          <w:p w:rsidR="004B6DF5" w:rsidRPr="00A322EA" w:rsidRDefault="004B6DF5" w:rsidP="00507035">
            <w:pPr>
              <w:spacing w:before="120" w:after="120"/>
              <w:rPr>
                <w:rFonts w:ascii="Arial" w:hAnsi="Arial" w:cs="Arial"/>
                <w:color w:val="000000"/>
                <w:sz w:val="16"/>
                <w:szCs w:val="16"/>
              </w:rPr>
            </w:pPr>
            <w:r w:rsidRPr="00A322EA">
              <w:rPr>
                <w:rFonts w:ascii="Arial" w:hAnsi="Arial" w:cs="Arial"/>
                <w:color w:val="000000"/>
                <w:sz w:val="16"/>
                <w:szCs w:val="16"/>
              </w:rPr>
              <w:t>Úroveň zazmluvnenia</w:t>
            </w:r>
          </w:p>
        </w:tc>
      </w:tr>
      <w:tr w:rsidR="004B6DF5" w:rsidRPr="00A322EA" w:rsidTr="00834B2A">
        <w:trPr>
          <w:trHeight w:val="227"/>
        </w:trPr>
        <w:tc>
          <w:tcPr>
            <w:tcW w:w="195" w:type="dxa"/>
            <w:tcBorders>
              <w:top w:val="nil"/>
              <w:left w:val="nil"/>
              <w:bottom w:val="nil"/>
              <w:right w:val="nil"/>
            </w:tcBorders>
            <w:shd w:val="clear" w:color="000000" w:fill="0070C0"/>
            <w:noWrap/>
            <w:vAlign w:val="bottom"/>
            <w:hideMark/>
          </w:tcPr>
          <w:p w:rsidR="004B6DF5" w:rsidRPr="00A322EA" w:rsidRDefault="004B6DF5" w:rsidP="00507035">
            <w:pPr>
              <w:spacing w:before="120" w:after="120"/>
              <w:rPr>
                <w:rFonts w:ascii="Arial" w:hAnsi="Arial" w:cs="Arial"/>
                <w:color w:val="000000"/>
                <w:sz w:val="22"/>
                <w:szCs w:val="22"/>
              </w:rPr>
            </w:pPr>
            <w:r w:rsidRPr="00A322EA">
              <w:rPr>
                <w:rFonts w:ascii="Arial" w:hAnsi="Arial" w:cs="Arial"/>
                <w:color w:val="000000"/>
                <w:sz w:val="22"/>
                <w:szCs w:val="22"/>
              </w:rPr>
              <w:t> </w:t>
            </w:r>
          </w:p>
        </w:tc>
        <w:tc>
          <w:tcPr>
            <w:tcW w:w="1576" w:type="dxa"/>
            <w:tcBorders>
              <w:top w:val="nil"/>
              <w:left w:val="nil"/>
              <w:bottom w:val="nil"/>
              <w:right w:val="nil"/>
            </w:tcBorders>
            <w:noWrap/>
            <w:vAlign w:val="center"/>
            <w:hideMark/>
          </w:tcPr>
          <w:p w:rsidR="004B6DF5" w:rsidRPr="00A322EA" w:rsidRDefault="004B6DF5" w:rsidP="00507035">
            <w:pPr>
              <w:spacing w:before="120" w:after="120"/>
              <w:rPr>
                <w:rFonts w:ascii="Arial" w:hAnsi="Arial" w:cs="Arial"/>
                <w:color w:val="000000"/>
                <w:sz w:val="16"/>
                <w:szCs w:val="16"/>
              </w:rPr>
            </w:pPr>
            <w:r w:rsidRPr="00A322EA">
              <w:rPr>
                <w:rFonts w:ascii="Arial" w:hAnsi="Arial" w:cs="Arial"/>
                <w:color w:val="000000"/>
                <w:sz w:val="16"/>
                <w:szCs w:val="16"/>
              </w:rPr>
              <w:t>Úroveň čerpania</w:t>
            </w:r>
          </w:p>
        </w:tc>
      </w:tr>
    </w:tbl>
    <w:p w:rsidR="004B6DF5" w:rsidRDefault="004B6DF5" w:rsidP="00507035">
      <w:pPr>
        <w:spacing w:before="120" w:after="120" w:line="360" w:lineRule="auto"/>
        <w:jc w:val="both"/>
        <w:rPr>
          <w:rFonts w:ascii="Arial" w:hAnsi="Arial" w:cs="Arial"/>
          <w:sz w:val="20"/>
          <w:szCs w:val="20"/>
        </w:rPr>
      </w:pPr>
      <w:r w:rsidRPr="006A2BF3">
        <w:rPr>
          <w:rFonts w:ascii="Arial" w:hAnsi="Arial" w:cs="Arial"/>
          <w:sz w:val="20"/>
          <w:szCs w:val="20"/>
        </w:rPr>
        <w:t>Na základe uveden</w:t>
      </w:r>
      <w:r>
        <w:rPr>
          <w:rFonts w:ascii="Arial" w:hAnsi="Arial" w:cs="Arial"/>
          <w:sz w:val="20"/>
          <w:szCs w:val="20"/>
        </w:rPr>
        <w:t>ého</w:t>
      </w:r>
      <w:r w:rsidRPr="006A2BF3">
        <w:rPr>
          <w:rFonts w:ascii="Arial" w:hAnsi="Arial" w:cs="Arial"/>
          <w:sz w:val="20"/>
          <w:szCs w:val="20"/>
        </w:rPr>
        <w:t xml:space="preserve"> grafu je zrejmé, že v rámci HT45 pri úrovni </w:t>
      </w:r>
      <w:r>
        <w:rPr>
          <w:rFonts w:ascii="Arial" w:hAnsi="Arial" w:cs="Arial"/>
          <w:sz w:val="20"/>
          <w:szCs w:val="20"/>
        </w:rPr>
        <w:t>zazmluvnenia</w:t>
      </w:r>
      <w:r w:rsidRPr="006A2BF3">
        <w:rPr>
          <w:rFonts w:ascii="Arial" w:hAnsi="Arial" w:cs="Arial"/>
          <w:sz w:val="20"/>
          <w:szCs w:val="20"/>
        </w:rPr>
        <w:t xml:space="preserve"> alokácie </w:t>
      </w:r>
      <w:r w:rsidR="00B77D91">
        <w:rPr>
          <w:rFonts w:ascii="Arial" w:hAnsi="Arial" w:cs="Arial"/>
          <w:sz w:val="20"/>
          <w:szCs w:val="20"/>
        </w:rPr>
        <w:t>62,29</w:t>
      </w:r>
      <w:r w:rsidR="0072403D">
        <w:rPr>
          <w:rFonts w:ascii="Arial" w:hAnsi="Arial" w:cs="Arial"/>
          <w:sz w:val="20"/>
          <w:szCs w:val="20"/>
        </w:rPr>
        <w:t xml:space="preserve"> </w:t>
      </w:r>
      <w:r w:rsidRPr="006A2BF3">
        <w:rPr>
          <w:rFonts w:ascii="Arial" w:hAnsi="Arial" w:cs="Arial"/>
          <w:sz w:val="20"/>
          <w:szCs w:val="20"/>
        </w:rPr>
        <w:t>%</w:t>
      </w:r>
      <w:r>
        <w:rPr>
          <w:rFonts w:ascii="Arial" w:hAnsi="Arial" w:cs="Arial"/>
          <w:sz w:val="20"/>
          <w:szCs w:val="20"/>
        </w:rPr>
        <w:t xml:space="preserve"> (podiel zazmluvnených projektov HT 45 na celkovej alokácii)</w:t>
      </w:r>
      <w:r w:rsidRPr="006A2BF3">
        <w:rPr>
          <w:rFonts w:ascii="Arial" w:hAnsi="Arial" w:cs="Arial"/>
          <w:sz w:val="20"/>
          <w:szCs w:val="20"/>
        </w:rPr>
        <w:t xml:space="preserve"> dosahujú hodnoty merateľných ukazovateľov st</w:t>
      </w:r>
      <w:r>
        <w:rPr>
          <w:rFonts w:ascii="Arial" w:hAnsi="Arial" w:cs="Arial"/>
          <w:sz w:val="20"/>
          <w:szCs w:val="20"/>
        </w:rPr>
        <w:t xml:space="preserve">anovené v OP úroveň </w:t>
      </w:r>
      <w:r w:rsidR="00B77D91">
        <w:rPr>
          <w:rFonts w:ascii="Arial" w:hAnsi="Arial" w:cs="Arial"/>
          <w:sz w:val="20"/>
          <w:szCs w:val="20"/>
        </w:rPr>
        <w:t>62</w:t>
      </w:r>
      <w:r>
        <w:rPr>
          <w:rFonts w:ascii="Arial" w:hAnsi="Arial" w:cs="Arial"/>
          <w:sz w:val="20"/>
          <w:szCs w:val="20"/>
        </w:rPr>
        <w:t xml:space="preserve">% pri </w:t>
      </w:r>
      <w:r w:rsidRPr="006A2BF3">
        <w:rPr>
          <w:rFonts w:ascii="Arial" w:hAnsi="Arial" w:cs="Arial"/>
          <w:sz w:val="20"/>
          <w:szCs w:val="20"/>
        </w:rPr>
        <w:t>ukazovateli „Dĺžka novovybudovaných rozvodov pitnej vody“ a v rámci hlavného ukazovateľa (</w:t>
      </w:r>
      <w:r w:rsidR="008F2A89">
        <w:rPr>
          <w:rFonts w:ascii="Arial" w:hAnsi="Arial" w:cs="Arial"/>
          <w:sz w:val="20"/>
          <w:szCs w:val="20"/>
        </w:rPr>
        <w:t>CORE</w:t>
      </w:r>
      <w:r w:rsidRPr="006A2BF3">
        <w:rPr>
          <w:rFonts w:ascii="Arial" w:hAnsi="Arial" w:cs="Arial"/>
          <w:sz w:val="20"/>
          <w:szCs w:val="20"/>
        </w:rPr>
        <w:t xml:space="preserve"> ukazovateľa) „Počet obyvateľov pripojených k novovybudovaným rozvodom pitnej vody“ je plánovaná hodnota stanovená v OP splnená. </w:t>
      </w:r>
    </w:p>
    <w:p w:rsidR="0098645F" w:rsidRPr="006A2BF3" w:rsidRDefault="0098645F" w:rsidP="00507035">
      <w:pPr>
        <w:spacing w:before="120" w:after="120" w:line="360" w:lineRule="auto"/>
        <w:jc w:val="both"/>
        <w:rPr>
          <w:rFonts w:ascii="Arial" w:hAnsi="Arial" w:cs="Arial"/>
          <w:sz w:val="20"/>
          <w:szCs w:val="20"/>
        </w:rPr>
      </w:pPr>
      <w:r w:rsidRPr="0098645F">
        <w:rPr>
          <w:rFonts w:ascii="Arial" w:hAnsi="Arial" w:cs="Arial"/>
          <w:sz w:val="20"/>
          <w:szCs w:val="20"/>
        </w:rPr>
        <w:t>V prípade ukazovateľa Dĺžka novovybudovaných rozvodov pitnej vody (bez vodovod. prípojok) je však možné uvažovať po započítaní štyroch schválených veľkých projektov nárast ukazovateľa o 102,1935 km.</w:t>
      </w:r>
    </w:p>
    <w:p w:rsidR="004B6DF5" w:rsidRPr="006A2BF3" w:rsidRDefault="004B6DF5" w:rsidP="00507035">
      <w:pPr>
        <w:spacing w:before="120" w:after="120" w:line="360" w:lineRule="auto"/>
        <w:jc w:val="both"/>
        <w:rPr>
          <w:rFonts w:ascii="Arial" w:hAnsi="Arial" w:cs="Arial"/>
          <w:sz w:val="20"/>
          <w:szCs w:val="20"/>
        </w:rPr>
      </w:pPr>
      <w:r w:rsidRPr="006A2BF3">
        <w:rPr>
          <w:rFonts w:ascii="Arial" w:hAnsi="Arial" w:cs="Arial"/>
          <w:sz w:val="20"/>
          <w:szCs w:val="20"/>
        </w:rPr>
        <w:t xml:space="preserve">Vzájomný pomer finančnej úrovne čerpania danej prioritnej témy na úrovni </w:t>
      </w:r>
      <w:r w:rsidR="002E6E01">
        <w:rPr>
          <w:rFonts w:ascii="Arial" w:hAnsi="Arial" w:cs="Arial"/>
          <w:sz w:val="20"/>
          <w:szCs w:val="20"/>
        </w:rPr>
        <w:t>34,98</w:t>
      </w:r>
      <w:r w:rsidR="0072403D">
        <w:rPr>
          <w:rFonts w:ascii="Arial" w:hAnsi="Arial" w:cs="Arial"/>
          <w:sz w:val="20"/>
          <w:szCs w:val="20"/>
        </w:rPr>
        <w:t xml:space="preserve"> </w:t>
      </w:r>
      <w:r w:rsidRPr="006A2BF3">
        <w:rPr>
          <w:rFonts w:ascii="Arial" w:hAnsi="Arial" w:cs="Arial"/>
          <w:sz w:val="20"/>
          <w:szCs w:val="20"/>
        </w:rPr>
        <w:t>% a fyzického pokroku zazmluvnených projektov odzrkadľuje</w:t>
      </w:r>
      <w:r>
        <w:rPr>
          <w:rFonts w:ascii="Arial" w:hAnsi="Arial" w:cs="Arial"/>
          <w:sz w:val="20"/>
          <w:szCs w:val="20"/>
        </w:rPr>
        <w:t xml:space="preserve"> </w:t>
      </w:r>
      <w:r w:rsidRPr="006A2BF3">
        <w:rPr>
          <w:rFonts w:ascii="Arial" w:hAnsi="Arial" w:cs="Arial"/>
          <w:sz w:val="20"/>
          <w:szCs w:val="20"/>
        </w:rPr>
        <w:t>pokrok v realizácii projektov a možno ho považovať za rovnomerný a primeraný vzhľadom na počet ukončených projektov a projektov v realizácii.</w:t>
      </w:r>
    </w:p>
    <w:p w:rsidR="004B6DF5" w:rsidRPr="006A2BF3" w:rsidRDefault="004B6DF5" w:rsidP="00507035">
      <w:pPr>
        <w:spacing w:before="120" w:after="120" w:line="360" w:lineRule="auto"/>
        <w:jc w:val="both"/>
        <w:rPr>
          <w:rFonts w:ascii="Arial" w:hAnsi="Arial" w:cs="Arial"/>
          <w:sz w:val="20"/>
          <w:szCs w:val="20"/>
        </w:rPr>
      </w:pPr>
      <w:r w:rsidRPr="006A2BF3">
        <w:rPr>
          <w:rFonts w:ascii="Arial" w:hAnsi="Arial" w:cs="Arial"/>
          <w:sz w:val="20"/>
          <w:szCs w:val="20"/>
        </w:rPr>
        <w:t>Úrov</w:t>
      </w:r>
      <w:r>
        <w:rPr>
          <w:rFonts w:ascii="Arial" w:hAnsi="Arial" w:cs="Arial"/>
          <w:sz w:val="20"/>
          <w:szCs w:val="20"/>
        </w:rPr>
        <w:t>eň čerpania alokácie ovplyvňuje fakt, že k 31.12.</w:t>
      </w:r>
      <w:r w:rsidRPr="006A2BF3">
        <w:rPr>
          <w:rFonts w:ascii="Arial" w:hAnsi="Arial" w:cs="Arial"/>
          <w:sz w:val="20"/>
          <w:szCs w:val="20"/>
        </w:rPr>
        <w:t>201</w:t>
      </w:r>
      <w:r w:rsidR="00017396">
        <w:rPr>
          <w:rFonts w:ascii="Arial" w:hAnsi="Arial" w:cs="Arial"/>
          <w:sz w:val="20"/>
          <w:szCs w:val="20"/>
        </w:rPr>
        <w:t>2</w:t>
      </w:r>
      <w:r w:rsidRPr="006A2BF3">
        <w:rPr>
          <w:rFonts w:ascii="Arial" w:hAnsi="Arial" w:cs="Arial"/>
          <w:sz w:val="20"/>
          <w:szCs w:val="20"/>
        </w:rPr>
        <w:t xml:space="preserve"> nebol</w:t>
      </w:r>
      <w:r w:rsidR="00733839">
        <w:rPr>
          <w:rFonts w:ascii="Arial" w:hAnsi="Arial" w:cs="Arial"/>
          <w:sz w:val="20"/>
          <w:szCs w:val="20"/>
        </w:rPr>
        <w:t>i</w:t>
      </w:r>
      <w:r w:rsidRPr="006A2BF3">
        <w:rPr>
          <w:rFonts w:ascii="Arial" w:hAnsi="Arial" w:cs="Arial"/>
          <w:sz w:val="20"/>
          <w:szCs w:val="20"/>
        </w:rPr>
        <w:t xml:space="preserve"> </w:t>
      </w:r>
      <w:r w:rsidR="00017396">
        <w:rPr>
          <w:rFonts w:ascii="Arial" w:hAnsi="Arial" w:cs="Arial"/>
          <w:sz w:val="20"/>
          <w:szCs w:val="20"/>
        </w:rPr>
        <w:t>zazmluvnen</w:t>
      </w:r>
      <w:r w:rsidR="00733839">
        <w:rPr>
          <w:rFonts w:ascii="Arial" w:hAnsi="Arial" w:cs="Arial"/>
          <w:sz w:val="20"/>
          <w:szCs w:val="20"/>
        </w:rPr>
        <w:t>é</w:t>
      </w:r>
      <w:r w:rsidR="00017396" w:rsidRPr="006A2BF3">
        <w:rPr>
          <w:rFonts w:ascii="Arial" w:hAnsi="Arial" w:cs="Arial"/>
          <w:sz w:val="20"/>
          <w:szCs w:val="20"/>
        </w:rPr>
        <w:t xml:space="preserve"> </w:t>
      </w:r>
      <w:r w:rsidR="00733839">
        <w:rPr>
          <w:rFonts w:ascii="Arial" w:hAnsi="Arial" w:cs="Arial"/>
          <w:sz w:val="20"/>
          <w:szCs w:val="20"/>
        </w:rPr>
        <w:t>všetky schválené</w:t>
      </w:r>
      <w:r w:rsidR="00733839" w:rsidRPr="006A2BF3">
        <w:rPr>
          <w:rFonts w:ascii="Arial" w:hAnsi="Arial" w:cs="Arial"/>
          <w:sz w:val="20"/>
          <w:szCs w:val="20"/>
        </w:rPr>
        <w:t xml:space="preserve"> veľk</w:t>
      </w:r>
      <w:r w:rsidR="00733839">
        <w:rPr>
          <w:rFonts w:ascii="Arial" w:hAnsi="Arial" w:cs="Arial"/>
          <w:sz w:val="20"/>
          <w:szCs w:val="20"/>
        </w:rPr>
        <w:t>é</w:t>
      </w:r>
      <w:r w:rsidR="00733839" w:rsidRPr="006A2BF3">
        <w:rPr>
          <w:rFonts w:ascii="Arial" w:hAnsi="Arial" w:cs="Arial"/>
          <w:sz w:val="20"/>
          <w:szCs w:val="20"/>
        </w:rPr>
        <w:t xml:space="preserve"> </w:t>
      </w:r>
      <w:r w:rsidRPr="006A2BF3">
        <w:rPr>
          <w:rFonts w:ascii="Arial" w:hAnsi="Arial" w:cs="Arial"/>
          <w:sz w:val="20"/>
          <w:szCs w:val="20"/>
        </w:rPr>
        <w:t>projekt</w:t>
      </w:r>
      <w:r w:rsidR="00733839">
        <w:rPr>
          <w:rFonts w:ascii="Arial" w:hAnsi="Arial" w:cs="Arial"/>
          <w:sz w:val="20"/>
          <w:szCs w:val="20"/>
        </w:rPr>
        <w:t>y</w:t>
      </w:r>
      <w:r w:rsidRPr="006A2BF3">
        <w:rPr>
          <w:rFonts w:ascii="Arial" w:hAnsi="Arial" w:cs="Arial"/>
          <w:sz w:val="20"/>
          <w:szCs w:val="20"/>
        </w:rPr>
        <w:t xml:space="preserve"> v rámci prioritnej témy 45</w:t>
      </w:r>
      <w:r w:rsidR="00733839">
        <w:rPr>
          <w:rFonts w:ascii="Arial" w:hAnsi="Arial" w:cs="Arial"/>
          <w:sz w:val="20"/>
          <w:szCs w:val="20"/>
        </w:rPr>
        <w:t>, preto neboli z</w:t>
      </w:r>
      <w:r w:rsidRPr="006A2BF3">
        <w:rPr>
          <w:rFonts w:ascii="Arial" w:hAnsi="Arial" w:cs="Arial"/>
          <w:sz w:val="20"/>
          <w:szCs w:val="20"/>
        </w:rPr>
        <w:t> uvedeného dôvodu do grafu zahrnuté predpokladané hodnoty ukazovateľov veľkých projektov ako ani projektov v príprave.</w:t>
      </w:r>
    </w:p>
    <w:p w:rsidR="004B6DF5" w:rsidRPr="00EF3EA8" w:rsidRDefault="004B6DF5" w:rsidP="00507035">
      <w:pPr>
        <w:pStyle w:val="Zkladntextb"/>
        <w:spacing w:before="120" w:after="120" w:line="360" w:lineRule="auto"/>
        <w:ind w:left="0"/>
        <w:jc w:val="both"/>
        <w:rPr>
          <w:rFonts w:cs="Arial"/>
          <w:lang w:val="sk-SK"/>
        </w:rPr>
      </w:pPr>
      <w:r w:rsidRPr="006A2BF3">
        <w:rPr>
          <w:rFonts w:cs="Arial"/>
          <w:lang w:val="sk-SK"/>
        </w:rPr>
        <w:t xml:space="preserve">Vyčlenená alokácia na plánované veľké projekty, ktoré riešia taktiež zásobovanie pitnou vodou, </w:t>
      </w:r>
      <w:r w:rsidR="00C10524">
        <w:rPr>
          <w:rFonts w:cs="Arial"/>
          <w:lang w:val="sk-SK"/>
        </w:rPr>
        <w:t>presun</w:t>
      </w:r>
      <w:r w:rsidR="00B57EE8">
        <w:rPr>
          <w:rFonts w:cs="Arial"/>
          <w:lang w:val="sk-SK"/>
        </w:rPr>
        <w:t xml:space="preserve"> finančných prostriedkov v rámci tém 45 a 46 (viď kapitola 2.4 správy) </w:t>
      </w:r>
      <w:r w:rsidRPr="006A2BF3">
        <w:rPr>
          <w:rFonts w:cs="Arial"/>
          <w:lang w:val="sk-SK"/>
        </w:rPr>
        <w:t>predpokladá 100% mieru naplnenia alokácie na uvedenú prioritnú tému. Pri vyčerpaní alokácie na 100% je taktiež predpoklad dosiahnutia plánovaných hodnôt ukazovateľov OP, nakoľko už v súčasnosti majú vyšší trend v úrovni napĺňania, ako je úroveň čerpania alokácie.</w:t>
      </w:r>
    </w:p>
    <w:p w:rsidR="00205636" w:rsidRDefault="00205636">
      <w:pPr>
        <w:rPr>
          <w:rFonts w:ascii="Arial" w:hAnsi="Arial" w:cs="Arial"/>
          <w:sz w:val="20"/>
          <w:szCs w:val="20"/>
        </w:rPr>
      </w:pPr>
    </w:p>
    <w:p w:rsidR="004B6DF5" w:rsidRDefault="004B2E7A" w:rsidP="00507035">
      <w:pPr>
        <w:pStyle w:val="Zkladntextb"/>
        <w:spacing w:before="120" w:after="120" w:line="360" w:lineRule="auto"/>
        <w:ind w:left="0"/>
        <w:jc w:val="both"/>
        <w:rPr>
          <w:rFonts w:cs="Arial"/>
          <w:lang w:val="sk-SK"/>
        </w:rPr>
      </w:pPr>
      <w:r>
        <w:rPr>
          <w:rFonts w:cs="Arial"/>
          <w:lang w:val="sk-SK"/>
        </w:rPr>
        <w:t>Graf č. 3</w:t>
      </w:r>
      <w:r w:rsidR="004B6DF5">
        <w:rPr>
          <w:rFonts w:cs="Arial"/>
          <w:lang w:val="sk-SK"/>
        </w:rPr>
        <w:t xml:space="preserve"> </w:t>
      </w:r>
      <w:r w:rsidR="004B6DF5" w:rsidRPr="006A2BF3">
        <w:rPr>
          <w:rFonts w:cs="Arial"/>
          <w:lang w:val="sk-SK"/>
        </w:rPr>
        <w:t>Operačný cieľ 1.2 - Prioritná téma 46</w:t>
      </w:r>
      <w:r w:rsidR="004B6DF5">
        <w:rPr>
          <w:rFonts w:cs="Arial"/>
          <w:lang w:val="sk-SK"/>
        </w:rPr>
        <w:t xml:space="preserve"> Spracovanie vody (odpadová voda)</w:t>
      </w:r>
    </w:p>
    <w:p w:rsidR="004B6DF5" w:rsidRDefault="00587FAE" w:rsidP="00507035">
      <w:pPr>
        <w:pStyle w:val="Zkladntextb"/>
        <w:spacing w:before="120" w:after="120" w:line="360" w:lineRule="auto"/>
        <w:ind w:left="0"/>
        <w:jc w:val="center"/>
        <w:rPr>
          <w:noProof/>
          <w:lang w:val="sk-SK"/>
        </w:rPr>
      </w:pPr>
      <w:r>
        <w:rPr>
          <w:noProof/>
          <w:lang w:val="sk-SK"/>
        </w:rPr>
        <w:drawing>
          <wp:inline distT="0" distB="0" distL="0" distR="0" wp14:anchorId="0CE4C69E" wp14:editId="3FA45638">
            <wp:extent cx="5057140" cy="2941955"/>
            <wp:effectExtent l="0" t="0" r="0" b="0"/>
            <wp:docPr id="5" name="Objekt 5"/>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37"/>
              </a:graphicData>
            </a:graphic>
          </wp:inline>
        </w:drawing>
      </w:r>
    </w:p>
    <w:tbl>
      <w:tblPr>
        <w:tblpPr w:leftFromText="141" w:rightFromText="141" w:vertAnchor="text" w:horzAnchor="margin" w:tblpY="232"/>
        <w:tblW w:w="1771" w:type="dxa"/>
        <w:tblCellMar>
          <w:left w:w="70" w:type="dxa"/>
          <w:right w:w="70" w:type="dxa"/>
        </w:tblCellMar>
        <w:tblLook w:val="04A0" w:firstRow="1" w:lastRow="0" w:firstColumn="1" w:lastColumn="0" w:noHBand="0" w:noVBand="1"/>
      </w:tblPr>
      <w:tblGrid>
        <w:gridCol w:w="202"/>
        <w:gridCol w:w="1576"/>
      </w:tblGrid>
      <w:tr w:rsidR="004B6DF5" w:rsidRPr="00A322EA" w:rsidTr="00834B2A">
        <w:trPr>
          <w:trHeight w:val="284"/>
        </w:trPr>
        <w:tc>
          <w:tcPr>
            <w:tcW w:w="195" w:type="dxa"/>
            <w:tcBorders>
              <w:top w:val="nil"/>
              <w:left w:val="nil"/>
              <w:bottom w:val="nil"/>
              <w:right w:val="nil"/>
            </w:tcBorders>
            <w:shd w:val="clear" w:color="000000" w:fill="C00000"/>
            <w:noWrap/>
            <w:vAlign w:val="bottom"/>
            <w:hideMark/>
          </w:tcPr>
          <w:p w:rsidR="004B6DF5" w:rsidRPr="00A322EA" w:rsidRDefault="004B6DF5" w:rsidP="00507035">
            <w:pPr>
              <w:spacing w:before="120" w:after="120"/>
              <w:rPr>
                <w:rFonts w:ascii="Arial" w:hAnsi="Arial" w:cs="Arial"/>
                <w:color w:val="000000"/>
                <w:sz w:val="22"/>
                <w:szCs w:val="22"/>
              </w:rPr>
            </w:pPr>
            <w:r w:rsidRPr="00A322EA">
              <w:rPr>
                <w:rFonts w:ascii="Arial" w:hAnsi="Arial" w:cs="Arial"/>
                <w:color w:val="000000"/>
                <w:sz w:val="22"/>
                <w:szCs w:val="22"/>
              </w:rPr>
              <w:t> </w:t>
            </w:r>
          </w:p>
        </w:tc>
        <w:tc>
          <w:tcPr>
            <w:tcW w:w="1576" w:type="dxa"/>
            <w:tcBorders>
              <w:top w:val="nil"/>
              <w:left w:val="nil"/>
              <w:bottom w:val="nil"/>
              <w:right w:val="nil"/>
            </w:tcBorders>
            <w:noWrap/>
            <w:vAlign w:val="center"/>
            <w:hideMark/>
          </w:tcPr>
          <w:p w:rsidR="004B6DF5" w:rsidRPr="00A322EA" w:rsidRDefault="004B6DF5" w:rsidP="00507035">
            <w:pPr>
              <w:spacing w:before="120" w:after="120"/>
              <w:rPr>
                <w:rFonts w:ascii="Arial" w:hAnsi="Arial" w:cs="Arial"/>
                <w:color w:val="000000"/>
                <w:sz w:val="16"/>
                <w:szCs w:val="16"/>
              </w:rPr>
            </w:pPr>
            <w:r w:rsidRPr="00A322EA">
              <w:rPr>
                <w:rFonts w:ascii="Arial" w:hAnsi="Arial" w:cs="Arial"/>
                <w:color w:val="000000"/>
                <w:sz w:val="16"/>
                <w:szCs w:val="16"/>
              </w:rPr>
              <w:t>Úroveň zazmluvnenia</w:t>
            </w:r>
          </w:p>
        </w:tc>
      </w:tr>
      <w:tr w:rsidR="004B6DF5" w:rsidRPr="00A322EA" w:rsidTr="00834B2A">
        <w:trPr>
          <w:trHeight w:val="227"/>
        </w:trPr>
        <w:tc>
          <w:tcPr>
            <w:tcW w:w="195" w:type="dxa"/>
            <w:tcBorders>
              <w:top w:val="nil"/>
              <w:left w:val="nil"/>
              <w:bottom w:val="nil"/>
              <w:right w:val="nil"/>
            </w:tcBorders>
            <w:shd w:val="clear" w:color="000000" w:fill="0070C0"/>
            <w:noWrap/>
            <w:vAlign w:val="bottom"/>
            <w:hideMark/>
          </w:tcPr>
          <w:p w:rsidR="004B6DF5" w:rsidRPr="00A322EA" w:rsidRDefault="004B6DF5" w:rsidP="00507035">
            <w:pPr>
              <w:spacing w:before="120" w:after="120"/>
              <w:rPr>
                <w:rFonts w:ascii="Arial" w:hAnsi="Arial" w:cs="Arial"/>
                <w:color w:val="000000"/>
                <w:sz w:val="22"/>
                <w:szCs w:val="22"/>
              </w:rPr>
            </w:pPr>
            <w:r w:rsidRPr="00A322EA">
              <w:rPr>
                <w:rFonts w:ascii="Arial" w:hAnsi="Arial" w:cs="Arial"/>
                <w:color w:val="000000"/>
                <w:sz w:val="22"/>
                <w:szCs w:val="22"/>
              </w:rPr>
              <w:t> </w:t>
            </w:r>
          </w:p>
        </w:tc>
        <w:tc>
          <w:tcPr>
            <w:tcW w:w="1576" w:type="dxa"/>
            <w:tcBorders>
              <w:top w:val="nil"/>
              <w:left w:val="nil"/>
              <w:bottom w:val="nil"/>
              <w:right w:val="nil"/>
            </w:tcBorders>
            <w:noWrap/>
            <w:vAlign w:val="center"/>
            <w:hideMark/>
          </w:tcPr>
          <w:p w:rsidR="004B6DF5" w:rsidRPr="00A322EA" w:rsidRDefault="004B6DF5" w:rsidP="00507035">
            <w:pPr>
              <w:spacing w:before="120" w:after="120"/>
              <w:rPr>
                <w:rFonts w:ascii="Arial" w:hAnsi="Arial" w:cs="Arial"/>
                <w:color w:val="000000"/>
                <w:sz w:val="16"/>
                <w:szCs w:val="16"/>
              </w:rPr>
            </w:pPr>
            <w:r w:rsidRPr="00A322EA">
              <w:rPr>
                <w:rFonts w:ascii="Arial" w:hAnsi="Arial" w:cs="Arial"/>
                <w:color w:val="000000"/>
                <w:sz w:val="16"/>
                <w:szCs w:val="16"/>
              </w:rPr>
              <w:t>Úroveň čerpania</w:t>
            </w:r>
          </w:p>
        </w:tc>
      </w:tr>
    </w:tbl>
    <w:p w:rsidR="004B6DF5" w:rsidRPr="006A2BF3" w:rsidRDefault="004B6DF5" w:rsidP="00507035">
      <w:pPr>
        <w:spacing w:before="120" w:after="120" w:line="360" w:lineRule="auto"/>
        <w:jc w:val="both"/>
        <w:rPr>
          <w:rFonts w:ascii="Arial" w:hAnsi="Arial" w:cs="Arial"/>
          <w:sz w:val="20"/>
          <w:szCs w:val="20"/>
        </w:rPr>
      </w:pPr>
      <w:r w:rsidRPr="006A2BF3">
        <w:rPr>
          <w:rFonts w:ascii="Arial" w:hAnsi="Arial" w:cs="Arial"/>
          <w:sz w:val="20"/>
          <w:szCs w:val="20"/>
        </w:rPr>
        <w:t>Ciele prioritnej témy 4</w:t>
      </w:r>
      <w:r>
        <w:rPr>
          <w:rFonts w:ascii="Arial" w:hAnsi="Arial" w:cs="Arial"/>
          <w:sz w:val="20"/>
          <w:szCs w:val="20"/>
        </w:rPr>
        <w:t>6, z ktorej alokácie bolo k 31.12.</w:t>
      </w:r>
      <w:r w:rsidRPr="006A2BF3">
        <w:rPr>
          <w:rFonts w:ascii="Arial" w:hAnsi="Arial" w:cs="Arial"/>
          <w:sz w:val="20"/>
          <w:szCs w:val="20"/>
        </w:rPr>
        <w:t>201</w:t>
      </w:r>
      <w:r w:rsidR="00C10524">
        <w:rPr>
          <w:rFonts w:ascii="Arial" w:hAnsi="Arial" w:cs="Arial"/>
          <w:sz w:val="20"/>
          <w:szCs w:val="20"/>
        </w:rPr>
        <w:t>2</w:t>
      </w:r>
      <w:r w:rsidRPr="006A2BF3">
        <w:rPr>
          <w:rFonts w:ascii="Arial" w:hAnsi="Arial" w:cs="Arial"/>
          <w:sz w:val="20"/>
          <w:szCs w:val="20"/>
        </w:rPr>
        <w:t xml:space="preserve"> zazmluvnených </w:t>
      </w:r>
      <w:r w:rsidR="00A85C36">
        <w:rPr>
          <w:rFonts w:ascii="Arial" w:hAnsi="Arial" w:cs="Arial"/>
          <w:sz w:val="20"/>
          <w:szCs w:val="20"/>
        </w:rPr>
        <w:t>87,06</w:t>
      </w:r>
      <w:r w:rsidR="0072403D">
        <w:rPr>
          <w:rFonts w:ascii="Arial" w:hAnsi="Arial" w:cs="Arial"/>
          <w:sz w:val="20"/>
          <w:szCs w:val="20"/>
        </w:rPr>
        <w:t xml:space="preserve"> </w:t>
      </w:r>
      <w:r w:rsidRPr="006A2BF3">
        <w:rPr>
          <w:rFonts w:ascii="Arial" w:hAnsi="Arial" w:cs="Arial"/>
          <w:sz w:val="20"/>
          <w:szCs w:val="20"/>
        </w:rPr>
        <w:t xml:space="preserve">%, napĺňajú v najväčšej miere ukazovatele „Dĺžka novovybudovaných kanalizačných sietí (bez kanal. prípojok)“ </w:t>
      </w:r>
      <w:r w:rsidR="00A85C36">
        <w:rPr>
          <w:rFonts w:ascii="Arial" w:hAnsi="Arial" w:cs="Arial"/>
          <w:sz w:val="20"/>
          <w:szCs w:val="20"/>
        </w:rPr>
        <w:t>103</w:t>
      </w:r>
      <w:r w:rsidR="0072403D">
        <w:rPr>
          <w:rFonts w:ascii="Arial" w:hAnsi="Arial" w:cs="Arial"/>
          <w:sz w:val="20"/>
          <w:szCs w:val="20"/>
        </w:rPr>
        <w:t xml:space="preserve"> </w:t>
      </w:r>
      <w:r w:rsidRPr="006A2BF3">
        <w:rPr>
          <w:rFonts w:ascii="Arial" w:hAnsi="Arial" w:cs="Arial"/>
          <w:sz w:val="20"/>
          <w:szCs w:val="20"/>
        </w:rPr>
        <w:t xml:space="preserve">% a „Počet novovybudovaných/zrekonštruovaných ČOV“ </w:t>
      </w:r>
      <w:r w:rsidR="008B6AD7">
        <w:rPr>
          <w:rFonts w:ascii="Arial" w:hAnsi="Arial" w:cs="Arial"/>
          <w:sz w:val="20"/>
          <w:szCs w:val="20"/>
        </w:rPr>
        <w:t>93</w:t>
      </w:r>
      <w:r w:rsidR="0072403D">
        <w:rPr>
          <w:rFonts w:ascii="Arial" w:hAnsi="Arial" w:cs="Arial"/>
          <w:sz w:val="20"/>
          <w:szCs w:val="20"/>
        </w:rPr>
        <w:t xml:space="preserve"> </w:t>
      </w:r>
      <w:r w:rsidRPr="006A2BF3">
        <w:rPr>
          <w:rFonts w:ascii="Arial" w:hAnsi="Arial" w:cs="Arial"/>
          <w:sz w:val="20"/>
          <w:szCs w:val="20"/>
        </w:rPr>
        <w:t xml:space="preserve">%. Ukazovateľ „Počet ekvivalentných obyvateľov napojených na novovybudovanú kanalizačnú sieť“ vykazuje úroveň zazmluvnenia </w:t>
      </w:r>
      <w:r w:rsidR="008B6AD7">
        <w:rPr>
          <w:rFonts w:ascii="Arial" w:hAnsi="Arial" w:cs="Arial"/>
          <w:sz w:val="20"/>
          <w:szCs w:val="20"/>
        </w:rPr>
        <w:t>66</w:t>
      </w:r>
      <w:r w:rsidR="0072403D">
        <w:rPr>
          <w:rFonts w:ascii="Arial" w:hAnsi="Arial" w:cs="Arial"/>
          <w:sz w:val="20"/>
          <w:szCs w:val="20"/>
        </w:rPr>
        <w:t xml:space="preserve"> </w:t>
      </w:r>
      <w:r w:rsidRPr="006A2BF3">
        <w:rPr>
          <w:rFonts w:ascii="Arial" w:hAnsi="Arial" w:cs="Arial"/>
          <w:sz w:val="20"/>
          <w:szCs w:val="20"/>
        </w:rPr>
        <w:t>% z plánovanej hodnoty podľa operačného programu.</w:t>
      </w:r>
    </w:p>
    <w:p w:rsidR="004B6DF5" w:rsidRDefault="004B6DF5" w:rsidP="00507035">
      <w:pPr>
        <w:pStyle w:val="Zkladntextb"/>
        <w:spacing w:before="120" w:after="120" w:line="360" w:lineRule="auto"/>
        <w:ind w:left="0"/>
        <w:jc w:val="both"/>
        <w:rPr>
          <w:rFonts w:cs="Arial"/>
          <w:lang w:val="sk-SK"/>
        </w:rPr>
      </w:pPr>
      <w:r w:rsidRPr="006A2BF3">
        <w:rPr>
          <w:rFonts w:cs="Arial"/>
          <w:lang w:val="sk-SK"/>
        </w:rPr>
        <w:t xml:space="preserve">Po </w:t>
      </w:r>
      <w:r w:rsidR="008B6AD7">
        <w:rPr>
          <w:rFonts w:cs="Arial"/>
          <w:lang w:val="sk-SK"/>
        </w:rPr>
        <w:t>zazmluvnení</w:t>
      </w:r>
      <w:r w:rsidR="008B6AD7" w:rsidRPr="006A2BF3">
        <w:rPr>
          <w:rFonts w:cs="Arial"/>
          <w:lang w:val="sk-SK"/>
        </w:rPr>
        <w:t xml:space="preserve"> </w:t>
      </w:r>
      <w:r w:rsidRPr="006A2BF3">
        <w:rPr>
          <w:rFonts w:cs="Arial"/>
          <w:lang w:val="sk-SK"/>
        </w:rPr>
        <w:t>veľkých projektov riešiacich taktiež odvádzanie a čistenie odpadovej vody sa v značnej miere navýši napĺňanie predmetných ukazovateľov. Na základe uvedeného</w:t>
      </w:r>
      <w:r w:rsidR="008B6AD7">
        <w:rPr>
          <w:rFonts w:cs="Arial"/>
          <w:lang w:val="sk-SK"/>
        </w:rPr>
        <w:t>, ako aj revíziou OP ŽP (viď kapitola 2.4 správy)</w:t>
      </w:r>
      <w:r w:rsidRPr="006A2BF3">
        <w:rPr>
          <w:rFonts w:cs="Arial"/>
          <w:lang w:val="sk-SK"/>
        </w:rPr>
        <w:t>možno konštatovať, že trend vývoja operačného cieľa 1.2, resp. prioritnej témy 46 vo vzťahu k čerpaniu alokácie RO predpokladá splnenie stanovených cieľov v tejto oblasti.</w:t>
      </w:r>
    </w:p>
    <w:p w:rsidR="004B6DF5" w:rsidRDefault="004B6DF5" w:rsidP="00507035">
      <w:pPr>
        <w:pStyle w:val="Zkladntextb"/>
        <w:spacing w:before="120" w:after="120" w:line="360" w:lineRule="auto"/>
        <w:ind w:left="0"/>
        <w:jc w:val="both"/>
        <w:rPr>
          <w:rFonts w:cs="Arial"/>
          <w:lang w:val="sk-SK"/>
        </w:rPr>
      </w:pPr>
      <w:r>
        <w:rPr>
          <w:rFonts w:cs="Arial"/>
          <w:lang w:val="sk-SK"/>
        </w:rPr>
        <w:t>N</w:t>
      </w:r>
      <w:r w:rsidRPr="00F30EF8">
        <w:rPr>
          <w:rFonts w:cs="Arial"/>
          <w:lang w:val="sk-SK"/>
        </w:rPr>
        <w:t xml:space="preserve">a národnej úrovni </w:t>
      </w:r>
      <w:r>
        <w:rPr>
          <w:rFonts w:cs="Arial"/>
          <w:lang w:val="sk-SK"/>
        </w:rPr>
        <w:t xml:space="preserve">však </w:t>
      </w:r>
      <w:r w:rsidRPr="00F30EF8">
        <w:rPr>
          <w:rFonts w:cs="Arial"/>
          <w:lang w:val="sk-SK"/>
        </w:rPr>
        <w:t xml:space="preserve">aj naďalej </w:t>
      </w:r>
      <w:r w:rsidR="00D55721">
        <w:rPr>
          <w:rFonts w:cs="Arial"/>
          <w:lang w:val="sk-SK"/>
        </w:rPr>
        <w:t>existuje</w:t>
      </w:r>
      <w:r w:rsidR="00D55721" w:rsidRPr="00F30EF8">
        <w:rPr>
          <w:rFonts w:cs="Arial"/>
          <w:lang w:val="sk-SK"/>
        </w:rPr>
        <w:t xml:space="preserve"> </w:t>
      </w:r>
      <w:r w:rsidRPr="00F30EF8">
        <w:rPr>
          <w:rFonts w:cs="Arial"/>
          <w:lang w:val="sk-SK"/>
        </w:rPr>
        <w:t xml:space="preserve">výrazný deficit disponibilných verejných zdrojov na plnenie záväzkov SR v oblasti odvádzania a čistenia komunálnych odpadových vôd vyplývajúcich zo Zmluvy o pristúpení k EÚ. Napriek tomu, že na operačný </w:t>
      </w:r>
      <w:r>
        <w:rPr>
          <w:rFonts w:cs="Arial"/>
          <w:lang w:val="sk-SK"/>
        </w:rPr>
        <w:t xml:space="preserve">cieľ 1.2 Odvádzanie a čistenie </w:t>
      </w:r>
      <w:r w:rsidRPr="00F30EF8">
        <w:rPr>
          <w:rFonts w:cs="Arial"/>
          <w:lang w:val="sk-SK"/>
        </w:rPr>
        <w:t xml:space="preserve">komunálnych odpadových vôd v zmysle záväzkov SR voči EÚ je v rámci OP ŽP alokovaných 800 mil. EUR z Kohézneho fondu, táto čiastka sa stále javí ako nepostačujúca, nakoľko podľa analýz MŽP SR predložených vláde SR aj po započítaní prostriedkov štátneho rozpočtu a vlastných prostriedkov žiadateľa zostáva vo vzťahu k finančným potrebám na splnenie záväzkov SR ešte stále </w:t>
      </w:r>
      <w:r>
        <w:rPr>
          <w:rFonts w:cs="Arial"/>
          <w:lang w:val="sk-SK"/>
        </w:rPr>
        <w:t xml:space="preserve">značná </w:t>
      </w:r>
      <w:r w:rsidRPr="00F30EF8">
        <w:rPr>
          <w:rFonts w:cs="Arial"/>
          <w:lang w:val="sk-SK"/>
        </w:rPr>
        <w:t>finančná medzera</w:t>
      </w:r>
      <w:r>
        <w:rPr>
          <w:rFonts w:cs="Arial"/>
          <w:lang w:val="sk-SK"/>
        </w:rPr>
        <w:t xml:space="preserve"> </w:t>
      </w:r>
      <w:r w:rsidRPr="00D36DF5">
        <w:rPr>
          <w:rFonts w:cs="Arial"/>
          <w:lang w:val="sk-SK"/>
        </w:rPr>
        <w:t>(Viď „Analýza aktuál</w:t>
      </w:r>
      <w:r w:rsidRPr="000F48E2">
        <w:rPr>
          <w:rFonts w:cs="Arial"/>
          <w:lang w:val="sk-SK"/>
        </w:rPr>
        <w:t xml:space="preserve">neho stavu implementácie Operačného programu Životné prostredie z hľadiska napĺňania cieľov Operačného programu, vrátane návrhov riešení pre efektívnejšiu implementáciu“ zverejnená na </w:t>
      </w:r>
      <w:hyperlink r:id="rId38" w:history="1">
        <w:r w:rsidRPr="00D36DF5">
          <w:rPr>
            <w:rStyle w:val="Hypertextovprepojenie"/>
            <w:rFonts w:cs="Arial"/>
            <w:lang w:val="sk-SK"/>
          </w:rPr>
          <w:t>www.opzp.sk/implementacia-programu/hodnotenie-programu/</w:t>
        </w:r>
      </w:hyperlink>
      <w:r w:rsidRPr="00D36DF5">
        <w:rPr>
          <w:rFonts w:cs="Arial"/>
          <w:lang w:val="sk-SK"/>
        </w:rPr>
        <w:t>).</w:t>
      </w:r>
    </w:p>
    <w:p w:rsidR="004B6DF5" w:rsidRDefault="004B2E7A" w:rsidP="00507035">
      <w:pPr>
        <w:pStyle w:val="Zkladntextb"/>
        <w:spacing w:before="120" w:after="120" w:line="360" w:lineRule="auto"/>
        <w:ind w:left="0"/>
        <w:jc w:val="both"/>
        <w:rPr>
          <w:rFonts w:cs="Arial"/>
          <w:lang w:val="sk-SK"/>
        </w:rPr>
      </w:pPr>
      <w:r>
        <w:rPr>
          <w:rFonts w:cs="Arial"/>
          <w:lang w:val="sk-SK"/>
        </w:rPr>
        <w:t>Graf č. 4</w:t>
      </w:r>
      <w:r w:rsidR="004B6DF5">
        <w:rPr>
          <w:rFonts w:cs="Arial"/>
          <w:lang w:val="sk-SK"/>
        </w:rPr>
        <w:t xml:space="preserve"> </w:t>
      </w:r>
      <w:r w:rsidR="004B6DF5" w:rsidRPr="006A2BF3">
        <w:rPr>
          <w:rFonts w:cs="Arial"/>
          <w:lang w:val="sk-SK"/>
        </w:rPr>
        <w:t>Operačný cieľ 1.3 - Prioritná téma 54</w:t>
      </w:r>
      <w:r w:rsidR="004B6DF5">
        <w:rPr>
          <w:rFonts w:cs="Arial"/>
          <w:lang w:val="sk-SK"/>
        </w:rPr>
        <w:t xml:space="preserve"> Iné opatrenia na zachovanie ŽP a predchádzanie rizikám</w:t>
      </w:r>
    </w:p>
    <w:p w:rsidR="004B6DF5" w:rsidRDefault="00587FAE" w:rsidP="00507035">
      <w:pPr>
        <w:pStyle w:val="Zkladntextb"/>
        <w:spacing w:before="120" w:after="120" w:line="360" w:lineRule="auto"/>
        <w:ind w:left="0"/>
        <w:jc w:val="center"/>
        <w:rPr>
          <w:rFonts w:cs="Arial"/>
          <w:lang w:val="sk-SK"/>
        </w:rPr>
      </w:pPr>
      <w:r>
        <w:rPr>
          <w:noProof/>
          <w:lang w:val="sk-SK"/>
        </w:rPr>
        <w:drawing>
          <wp:inline distT="0" distB="0" distL="0" distR="0" wp14:anchorId="1E8C6C60" wp14:editId="0C26640A">
            <wp:extent cx="5168265" cy="2250440"/>
            <wp:effectExtent l="0" t="0" r="0" b="0"/>
            <wp:docPr id="6" name="Objekt 6"/>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39"/>
              </a:graphicData>
            </a:graphic>
          </wp:inline>
        </w:drawing>
      </w:r>
    </w:p>
    <w:tbl>
      <w:tblPr>
        <w:tblpPr w:leftFromText="141" w:rightFromText="141" w:vertAnchor="text" w:horzAnchor="margin" w:tblpY="232"/>
        <w:tblW w:w="1771" w:type="dxa"/>
        <w:tblCellMar>
          <w:left w:w="70" w:type="dxa"/>
          <w:right w:w="70" w:type="dxa"/>
        </w:tblCellMar>
        <w:tblLook w:val="04A0" w:firstRow="1" w:lastRow="0" w:firstColumn="1" w:lastColumn="0" w:noHBand="0" w:noVBand="1"/>
      </w:tblPr>
      <w:tblGrid>
        <w:gridCol w:w="202"/>
        <w:gridCol w:w="1576"/>
      </w:tblGrid>
      <w:tr w:rsidR="004B6DF5" w:rsidRPr="00A322EA" w:rsidTr="00834B2A">
        <w:trPr>
          <w:trHeight w:val="284"/>
        </w:trPr>
        <w:tc>
          <w:tcPr>
            <w:tcW w:w="195" w:type="dxa"/>
            <w:tcBorders>
              <w:top w:val="nil"/>
              <w:left w:val="nil"/>
              <w:bottom w:val="nil"/>
              <w:right w:val="nil"/>
            </w:tcBorders>
            <w:shd w:val="clear" w:color="000000" w:fill="C00000"/>
            <w:noWrap/>
            <w:vAlign w:val="bottom"/>
            <w:hideMark/>
          </w:tcPr>
          <w:p w:rsidR="004B6DF5" w:rsidRPr="00A322EA" w:rsidRDefault="004B6DF5" w:rsidP="00507035">
            <w:pPr>
              <w:spacing w:before="120" w:after="120"/>
              <w:rPr>
                <w:rFonts w:ascii="Arial" w:hAnsi="Arial" w:cs="Arial"/>
                <w:color w:val="000000"/>
                <w:sz w:val="22"/>
                <w:szCs w:val="22"/>
              </w:rPr>
            </w:pPr>
            <w:r w:rsidRPr="00A322EA">
              <w:rPr>
                <w:rFonts w:ascii="Arial" w:hAnsi="Arial" w:cs="Arial"/>
                <w:color w:val="000000"/>
                <w:sz w:val="22"/>
                <w:szCs w:val="22"/>
              </w:rPr>
              <w:t> </w:t>
            </w:r>
          </w:p>
        </w:tc>
        <w:tc>
          <w:tcPr>
            <w:tcW w:w="1576" w:type="dxa"/>
            <w:tcBorders>
              <w:top w:val="nil"/>
              <w:left w:val="nil"/>
              <w:bottom w:val="nil"/>
              <w:right w:val="nil"/>
            </w:tcBorders>
            <w:noWrap/>
            <w:vAlign w:val="center"/>
            <w:hideMark/>
          </w:tcPr>
          <w:p w:rsidR="004B6DF5" w:rsidRPr="00A322EA" w:rsidRDefault="004B6DF5" w:rsidP="00507035">
            <w:pPr>
              <w:spacing w:before="120" w:after="120"/>
              <w:rPr>
                <w:rFonts w:ascii="Arial" w:hAnsi="Arial" w:cs="Arial"/>
                <w:color w:val="000000"/>
                <w:sz w:val="16"/>
                <w:szCs w:val="16"/>
              </w:rPr>
            </w:pPr>
            <w:r w:rsidRPr="00A322EA">
              <w:rPr>
                <w:rFonts w:ascii="Arial" w:hAnsi="Arial" w:cs="Arial"/>
                <w:color w:val="000000"/>
                <w:sz w:val="16"/>
                <w:szCs w:val="16"/>
              </w:rPr>
              <w:t>Úroveň zazmluvnenia</w:t>
            </w:r>
          </w:p>
        </w:tc>
      </w:tr>
      <w:tr w:rsidR="004B6DF5" w:rsidRPr="00A322EA" w:rsidTr="00834B2A">
        <w:trPr>
          <w:trHeight w:val="227"/>
        </w:trPr>
        <w:tc>
          <w:tcPr>
            <w:tcW w:w="195" w:type="dxa"/>
            <w:tcBorders>
              <w:top w:val="nil"/>
              <w:left w:val="nil"/>
              <w:bottom w:val="nil"/>
              <w:right w:val="nil"/>
            </w:tcBorders>
            <w:shd w:val="clear" w:color="000000" w:fill="0070C0"/>
            <w:noWrap/>
            <w:vAlign w:val="bottom"/>
            <w:hideMark/>
          </w:tcPr>
          <w:p w:rsidR="004B6DF5" w:rsidRPr="00A322EA" w:rsidRDefault="004B6DF5" w:rsidP="00507035">
            <w:pPr>
              <w:spacing w:before="120" w:after="120"/>
              <w:rPr>
                <w:rFonts w:ascii="Arial" w:hAnsi="Arial" w:cs="Arial"/>
                <w:color w:val="000000"/>
                <w:sz w:val="22"/>
                <w:szCs w:val="22"/>
              </w:rPr>
            </w:pPr>
            <w:r w:rsidRPr="00A322EA">
              <w:rPr>
                <w:rFonts w:ascii="Arial" w:hAnsi="Arial" w:cs="Arial"/>
                <w:color w:val="000000"/>
                <w:sz w:val="22"/>
                <w:szCs w:val="22"/>
              </w:rPr>
              <w:t> </w:t>
            </w:r>
          </w:p>
        </w:tc>
        <w:tc>
          <w:tcPr>
            <w:tcW w:w="1576" w:type="dxa"/>
            <w:tcBorders>
              <w:top w:val="nil"/>
              <w:left w:val="nil"/>
              <w:bottom w:val="nil"/>
              <w:right w:val="nil"/>
            </w:tcBorders>
            <w:noWrap/>
            <w:vAlign w:val="center"/>
            <w:hideMark/>
          </w:tcPr>
          <w:p w:rsidR="004B6DF5" w:rsidRPr="00A322EA" w:rsidRDefault="004B6DF5" w:rsidP="00507035">
            <w:pPr>
              <w:spacing w:before="120" w:after="120"/>
              <w:rPr>
                <w:rFonts w:ascii="Arial" w:hAnsi="Arial" w:cs="Arial"/>
                <w:color w:val="000000"/>
                <w:sz w:val="16"/>
                <w:szCs w:val="16"/>
              </w:rPr>
            </w:pPr>
            <w:r w:rsidRPr="00A322EA">
              <w:rPr>
                <w:rFonts w:ascii="Arial" w:hAnsi="Arial" w:cs="Arial"/>
                <w:color w:val="000000"/>
                <w:sz w:val="16"/>
                <w:szCs w:val="16"/>
              </w:rPr>
              <w:t>Úroveň čerpania</w:t>
            </w:r>
          </w:p>
        </w:tc>
      </w:tr>
    </w:tbl>
    <w:p w:rsidR="004B6DF5" w:rsidRDefault="004B6DF5" w:rsidP="00507035">
      <w:pPr>
        <w:spacing w:before="120" w:after="120" w:line="360" w:lineRule="auto"/>
        <w:jc w:val="both"/>
        <w:rPr>
          <w:rFonts w:ascii="Arial" w:hAnsi="Arial" w:cs="Arial"/>
          <w:sz w:val="20"/>
          <w:szCs w:val="20"/>
        </w:rPr>
      </w:pPr>
      <w:r w:rsidRPr="00A322EA">
        <w:rPr>
          <w:rFonts w:ascii="Arial" w:hAnsi="Arial" w:cs="Arial"/>
          <w:sz w:val="20"/>
          <w:szCs w:val="20"/>
        </w:rPr>
        <w:t>Cieľom operačného programu v oblasti prioritnej témy 54 v rámci operačného cieľa 1.3 je do roku 2015 dosiahnuť 100</w:t>
      </w:r>
      <w:r w:rsidR="0072403D">
        <w:rPr>
          <w:rFonts w:ascii="Arial" w:hAnsi="Arial" w:cs="Arial"/>
          <w:sz w:val="20"/>
          <w:szCs w:val="20"/>
        </w:rPr>
        <w:t xml:space="preserve"> </w:t>
      </w:r>
      <w:r w:rsidRPr="00A322EA">
        <w:rPr>
          <w:rFonts w:ascii="Arial" w:hAnsi="Arial" w:cs="Arial"/>
          <w:sz w:val="20"/>
          <w:szCs w:val="20"/>
        </w:rPr>
        <w:t>%-ný súlad monitorovania stavu vôd v SR s požiadavkami Rámcovej smernice o vodách. Predpokladaná cieľová hodnota ukazovateľa zazmluvnených projektov vykazuje hodnotu 100</w:t>
      </w:r>
      <w:r w:rsidR="0072403D">
        <w:rPr>
          <w:rFonts w:ascii="Arial" w:hAnsi="Arial" w:cs="Arial"/>
          <w:sz w:val="20"/>
          <w:szCs w:val="20"/>
        </w:rPr>
        <w:t xml:space="preserve"> </w:t>
      </w:r>
      <w:r w:rsidRPr="00A322EA">
        <w:rPr>
          <w:rFonts w:ascii="Arial" w:hAnsi="Arial" w:cs="Arial"/>
          <w:sz w:val="20"/>
          <w:szCs w:val="20"/>
        </w:rPr>
        <w:t xml:space="preserve">%, nakoľko všetky zazmluvnené projekty v rámci uvedeného operačného cieľa deklarujú, že realizované aktivity sú plne v súlade s Rámcovou smernicou o vodách v období rokov 2008 - 2010. </w:t>
      </w:r>
      <w:r w:rsidR="00D55721">
        <w:rPr>
          <w:rFonts w:ascii="Arial" w:hAnsi="Arial" w:cs="Arial"/>
          <w:sz w:val="20"/>
          <w:szCs w:val="20"/>
        </w:rPr>
        <w:t>Vzhľadom na to, že</w:t>
      </w:r>
      <w:r w:rsidR="00D55721" w:rsidRPr="00A322EA">
        <w:rPr>
          <w:rFonts w:ascii="Arial" w:hAnsi="Arial" w:cs="Arial"/>
          <w:sz w:val="20"/>
          <w:szCs w:val="20"/>
        </w:rPr>
        <w:t xml:space="preserve"> </w:t>
      </w:r>
      <w:r w:rsidR="001010AD">
        <w:rPr>
          <w:rFonts w:ascii="Arial" w:hAnsi="Arial" w:cs="Arial"/>
          <w:sz w:val="20"/>
          <w:szCs w:val="20"/>
        </w:rPr>
        <w:t>k 31.12.2012</w:t>
      </w:r>
      <w:r w:rsidRPr="00A322EA">
        <w:rPr>
          <w:rFonts w:ascii="Arial" w:hAnsi="Arial" w:cs="Arial"/>
          <w:sz w:val="20"/>
          <w:szCs w:val="20"/>
        </w:rPr>
        <w:t xml:space="preserve"> </w:t>
      </w:r>
      <w:r w:rsidR="00D55721">
        <w:rPr>
          <w:rFonts w:ascii="Arial" w:hAnsi="Arial" w:cs="Arial"/>
          <w:sz w:val="20"/>
          <w:szCs w:val="20"/>
        </w:rPr>
        <w:t>boli</w:t>
      </w:r>
      <w:r w:rsidR="001010AD" w:rsidRPr="00A322EA">
        <w:rPr>
          <w:rFonts w:ascii="Arial" w:hAnsi="Arial" w:cs="Arial"/>
          <w:sz w:val="20"/>
          <w:szCs w:val="20"/>
        </w:rPr>
        <w:t xml:space="preserve"> </w:t>
      </w:r>
      <w:r w:rsidR="001010AD">
        <w:rPr>
          <w:rFonts w:ascii="Arial" w:hAnsi="Arial" w:cs="Arial"/>
          <w:sz w:val="20"/>
          <w:szCs w:val="20"/>
        </w:rPr>
        <w:t>dva</w:t>
      </w:r>
      <w:r w:rsidR="001010AD" w:rsidRPr="00A322EA">
        <w:rPr>
          <w:rFonts w:ascii="Arial" w:hAnsi="Arial" w:cs="Arial"/>
          <w:sz w:val="20"/>
          <w:szCs w:val="20"/>
        </w:rPr>
        <w:t xml:space="preserve"> </w:t>
      </w:r>
      <w:r w:rsidRPr="00A322EA">
        <w:rPr>
          <w:rFonts w:ascii="Arial" w:hAnsi="Arial" w:cs="Arial"/>
          <w:sz w:val="20"/>
          <w:szCs w:val="20"/>
        </w:rPr>
        <w:t>projekt</w:t>
      </w:r>
      <w:r w:rsidR="001010AD">
        <w:rPr>
          <w:rFonts w:ascii="Arial" w:hAnsi="Arial" w:cs="Arial"/>
          <w:sz w:val="20"/>
          <w:szCs w:val="20"/>
        </w:rPr>
        <w:t>y</w:t>
      </w:r>
      <w:r w:rsidRPr="00A322EA">
        <w:rPr>
          <w:rFonts w:ascii="Arial" w:hAnsi="Arial" w:cs="Arial"/>
          <w:sz w:val="20"/>
          <w:szCs w:val="20"/>
        </w:rPr>
        <w:t xml:space="preserve"> mimoriadne </w:t>
      </w:r>
      <w:r w:rsidR="001010AD" w:rsidRPr="00A322EA">
        <w:rPr>
          <w:rFonts w:ascii="Arial" w:hAnsi="Arial" w:cs="Arial"/>
          <w:sz w:val="20"/>
          <w:szCs w:val="20"/>
        </w:rPr>
        <w:t>ukončen</w:t>
      </w:r>
      <w:r w:rsidR="001010AD">
        <w:rPr>
          <w:rFonts w:ascii="Arial" w:hAnsi="Arial" w:cs="Arial"/>
          <w:sz w:val="20"/>
          <w:szCs w:val="20"/>
        </w:rPr>
        <w:t>é</w:t>
      </w:r>
      <w:r w:rsidR="00D55721">
        <w:rPr>
          <w:rFonts w:ascii="Arial" w:hAnsi="Arial" w:cs="Arial"/>
          <w:sz w:val="20"/>
          <w:szCs w:val="20"/>
        </w:rPr>
        <w:t xml:space="preserve"> v dôsledku čoho</w:t>
      </w:r>
      <w:r w:rsidR="001010AD" w:rsidRPr="00A322EA">
        <w:rPr>
          <w:rFonts w:ascii="Arial" w:hAnsi="Arial" w:cs="Arial"/>
          <w:sz w:val="20"/>
          <w:szCs w:val="20"/>
        </w:rPr>
        <w:t xml:space="preserve"> </w:t>
      </w:r>
      <w:r w:rsidRPr="00A322EA">
        <w:rPr>
          <w:rFonts w:ascii="Arial" w:hAnsi="Arial" w:cs="Arial"/>
          <w:sz w:val="20"/>
          <w:szCs w:val="20"/>
        </w:rPr>
        <w:t>došlo k poklesu meranej hodnoty sledovaného ukazovateľa</w:t>
      </w:r>
      <w:r w:rsidR="001010AD">
        <w:rPr>
          <w:rFonts w:ascii="Arial" w:hAnsi="Arial" w:cs="Arial"/>
          <w:sz w:val="20"/>
          <w:szCs w:val="20"/>
        </w:rPr>
        <w:t xml:space="preserve"> ako aj hodnoty zazmluvnenia projektov</w:t>
      </w:r>
      <w:r w:rsidR="00D55721">
        <w:rPr>
          <w:rFonts w:ascii="Arial" w:hAnsi="Arial" w:cs="Arial"/>
          <w:sz w:val="20"/>
          <w:szCs w:val="20"/>
        </w:rPr>
        <w:t xml:space="preserve"> (uvedené údaje</w:t>
      </w:r>
      <w:r w:rsidR="001010AD">
        <w:rPr>
          <w:rFonts w:ascii="Arial" w:hAnsi="Arial" w:cs="Arial"/>
          <w:sz w:val="20"/>
          <w:szCs w:val="20"/>
        </w:rPr>
        <w:t xml:space="preserve"> neobsahujú hodnoty mimoriadne ukončených projektov</w:t>
      </w:r>
      <w:r w:rsidR="00D55721">
        <w:rPr>
          <w:rFonts w:ascii="Arial" w:hAnsi="Arial" w:cs="Arial"/>
          <w:sz w:val="20"/>
          <w:szCs w:val="20"/>
        </w:rPr>
        <w:t>)</w:t>
      </w:r>
      <w:r w:rsidRPr="00A322EA">
        <w:rPr>
          <w:rFonts w:ascii="Arial" w:hAnsi="Arial" w:cs="Arial"/>
          <w:sz w:val="20"/>
          <w:szCs w:val="20"/>
        </w:rPr>
        <w:t>.</w:t>
      </w:r>
    </w:p>
    <w:p w:rsidR="00D01D6C" w:rsidRDefault="0098645F" w:rsidP="00D01D6C">
      <w:pPr>
        <w:spacing w:line="360" w:lineRule="auto"/>
        <w:jc w:val="both"/>
        <w:rPr>
          <w:rFonts w:ascii="Arial" w:hAnsi="Arial" w:cs="Arial"/>
          <w:b/>
          <w:sz w:val="20"/>
          <w:szCs w:val="20"/>
        </w:rPr>
      </w:pPr>
      <w:r w:rsidRPr="00D01D6C">
        <w:rPr>
          <w:rFonts w:ascii="Arial" w:hAnsi="Arial" w:cs="Arial"/>
          <w:b/>
          <w:sz w:val="20"/>
          <w:szCs w:val="20"/>
        </w:rPr>
        <w:t>Zhrnutie:</w:t>
      </w:r>
    </w:p>
    <w:p w:rsidR="0098645F" w:rsidRPr="0098645F" w:rsidRDefault="0098645F" w:rsidP="00D01D6C">
      <w:pPr>
        <w:spacing w:line="360" w:lineRule="auto"/>
        <w:jc w:val="both"/>
        <w:rPr>
          <w:rFonts w:ascii="Arial" w:hAnsi="Arial" w:cs="Arial"/>
          <w:sz w:val="20"/>
          <w:szCs w:val="20"/>
        </w:rPr>
      </w:pPr>
      <w:r w:rsidRPr="0098645F">
        <w:rPr>
          <w:rFonts w:ascii="Arial" w:hAnsi="Arial" w:cs="Arial"/>
          <w:sz w:val="20"/>
          <w:szCs w:val="20"/>
        </w:rPr>
        <w:t xml:space="preserve">V rámci prioritnej osi 1 má kľúčový význam operačný cieľ 1.2, keďže aktivity, ktoré sú v rámci neho predmetom podpory, sú zamerané na plnenie záväzkov SR voči EÚ vyplývajúcich z prechodných období na plnenie smernice Rady  91/271/EHS z 21. mája 1991 o čistení komunálnych odpadových vôd, zakotvených priamo v Zmluve o pristúpení k EÚ. Z hľadiska zabezpečenia budúceho finančného a najmä fyzického pokroku v rámci prioritnej osi 1 bola identifikovaná (prostredníctvom interného operatívneho hodnotenia OP ŽP) potreba podpory aktivít v rámci operačného cieľa 1.2 „Odvádzanie a čistenie komunálnych odpadových vôd v zmysle záväzkov SR voči EÚ“, pričom dôvodom je sú jednak záväzky SR vyplývajúce zo Zmluvy o pristúpení k EÚ v oblasti čistenia a odvádzania komunálnych odpadových vôd, vyplývajúcich zo Zmluvy o pristúpení k EÚ v oblasti pokrývajúcej prioritnú tému 46.  </w:t>
      </w:r>
    </w:p>
    <w:p w:rsidR="0098645F" w:rsidRPr="0098645F" w:rsidRDefault="0098645F" w:rsidP="0098645F">
      <w:pPr>
        <w:spacing w:before="120" w:after="120" w:line="360" w:lineRule="auto"/>
        <w:jc w:val="both"/>
        <w:rPr>
          <w:rFonts w:ascii="Arial" w:hAnsi="Arial" w:cs="Arial"/>
          <w:sz w:val="20"/>
          <w:szCs w:val="20"/>
        </w:rPr>
      </w:pPr>
      <w:r w:rsidRPr="0098645F">
        <w:rPr>
          <w:rFonts w:ascii="Arial" w:hAnsi="Arial" w:cs="Arial"/>
          <w:sz w:val="20"/>
          <w:szCs w:val="20"/>
        </w:rPr>
        <w:t>Celková výška presunu (realokácie) finančných prostriedkov v prospech prioritnej témy 46 v rámci prioritnej osi 1 operačného cieľa 1.2 bola navrhnutá vo výške 133 267 646 EUR z toho 113 277 499 EUR zdroje EU. Výška tejto suma realokovaných finančných prostriedkov bola identifikovaná na základe interného operatívneho hodnotenia OP ŽP, pričom suma predstavovala súčet presunu z operačného cieľa 1.1, 1.3, 4.1 až 4.5. Návrh revízie OP ŽP na verziu 4.0, ktorého predmetom bola realokácia finančných prostriedkov, bola schválená Monitorovacím výborom pre OP ŽP  dňa 18.12.2012.</w:t>
      </w:r>
    </w:p>
    <w:p w:rsidR="0098645F" w:rsidRDefault="0098645F" w:rsidP="0098645F">
      <w:pPr>
        <w:spacing w:before="120" w:after="120" w:line="360" w:lineRule="auto"/>
        <w:jc w:val="both"/>
        <w:rPr>
          <w:rFonts w:ascii="Arial" w:hAnsi="Arial" w:cs="Arial"/>
          <w:sz w:val="20"/>
          <w:szCs w:val="20"/>
        </w:rPr>
      </w:pPr>
      <w:r w:rsidRPr="0098645F">
        <w:rPr>
          <w:rFonts w:ascii="Arial" w:hAnsi="Arial" w:cs="Arial"/>
          <w:sz w:val="20"/>
          <w:szCs w:val="20"/>
        </w:rPr>
        <w:t>RO pre OP ŽP očakáva, že dopadom presunu finančných prostriedkov v prospech operačného cieľa 1.2 bude pozitívny vplyv na posilnenia fyzickej i finančnej implementácie, ako aj zvýšenej miery napĺňania merateľných ukazovateľov vzťahujúcich sa k operačnému cieľu 1.2 .</w:t>
      </w:r>
    </w:p>
    <w:p w:rsidR="000A202C" w:rsidRPr="00A322EA" w:rsidRDefault="000A202C" w:rsidP="00507035">
      <w:pPr>
        <w:spacing w:before="120" w:after="120" w:line="360" w:lineRule="auto"/>
        <w:jc w:val="both"/>
        <w:rPr>
          <w:rFonts w:ascii="Arial" w:hAnsi="Arial" w:cs="Arial"/>
          <w:sz w:val="20"/>
          <w:szCs w:val="20"/>
        </w:rPr>
      </w:pPr>
    </w:p>
    <w:p w:rsidR="002416B1" w:rsidRPr="004B33AE" w:rsidRDefault="002416B1" w:rsidP="00507035">
      <w:pPr>
        <w:pStyle w:val="Nadpis2"/>
        <w:spacing w:before="120" w:after="120" w:line="360" w:lineRule="auto"/>
      </w:pPr>
      <w:bookmarkStart w:id="76" w:name="_Toc319573323"/>
      <w:bookmarkEnd w:id="74"/>
      <w:bookmarkEnd w:id="75"/>
      <w:r w:rsidRPr="004B33AE">
        <w:t>3.2. Prioritná os 2 Ochrana pred povodňami</w:t>
      </w:r>
      <w:bookmarkEnd w:id="76"/>
    </w:p>
    <w:p w:rsidR="002416B1" w:rsidRDefault="002416B1" w:rsidP="00507035">
      <w:pPr>
        <w:pStyle w:val="Nadpis3"/>
        <w:spacing w:before="120" w:after="120" w:line="360" w:lineRule="auto"/>
      </w:pPr>
      <w:bookmarkStart w:id="77" w:name="_Toc319573324"/>
      <w:r w:rsidRPr="004B33AE">
        <w:t>3.2.1 Dosiahnutie cieľov a analýza dosiahnutého pokroku</w:t>
      </w:r>
      <w:bookmarkEnd w:id="77"/>
    </w:p>
    <w:p w:rsidR="002416B1" w:rsidRDefault="002416B1" w:rsidP="00507035">
      <w:pPr>
        <w:autoSpaceDE w:val="0"/>
        <w:autoSpaceDN w:val="0"/>
        <w:adjustRightInd w:val="0"/>
        <w:spacing w:before="120" w:after="120" w:line="360" w:lineRule="auto"/>
        <w:jc w:val="both"/>
        <w:rPr>
          <w:rFonts w:ascii="Arial" w:hAnsi="Arial" w:cs="Arial"/>
          <w:sz w:val="20"/>
          <w:szCs w:val="20"/>
        </w:rPr>
      </w:pPr>
      <w:r w:rsidRPr="004B33AE">
        <w:rPr>
          <w:rFonts w:ascii="Arial" w:hAnsi="Arial" w:cs="Arial"/>
          <w:sz w:val="20"/>
          <w:szCs w:val="20"/>
        </w:rPr>
        <w:t>Cieľom prioritnej osi je zabezpečenie komplexnej ochrany</w:t>
      </w:r>
      <w:r>
        <w:rPr>
          <w:rFonts w:ascii="Arial" w:hAnsi="Arial" w:cs="Arial"/>
          <w:sz w:val="20"/>
          <w:szCs w:val="20"/>
        </w:rPr>
        <w:t xml:space="preserve"> územia SR pred povodňami, j</w:t>
      </w:r>
      <w:r w:rsidRPr="004B33AE">
        <w:rPr>
          <w:rFonts w:ascii="Arial" w:hAnsi="Arial" w:cs="Arial"/>
          <w:sz w:val="20"/>
          <w:szCs w:val="20"/>
        </w:rPr>
        <w:t>e zameraná na výrazne znižovanie škôd spôsobených povodňami realizáciou preventívnych opatrení na ochranu pred povodňami</w:t>
      </w:r>
      <w:r>
        <w:rPr>
          <w:rFonts w:ascii="Arial" w:hAnsi="Arial" w:cs="Arial"/>
          <w:sz w:val="20"/>
          <w:szCs w:val="20"/>
        </w:rPr>
        <w:t>.</w:t>
      </w:r>
    </w:p>
    <w:p w:rsidR="00D36DF5" w:rsidRPr="00B71586" w:rsidRDefault="00D36DF5" w:rsidP="00507035">
      <w:pPr>
        <w:autoSpaceDE w:val="0"/>
        <w:autoSpaceDN w:val="0"/>
        <w:adjustRightInd w:val="0"/>
        <w:spacing w:before="120" w:after="120" w:line="360" w:lineRule="auto"/>
        <w:jc w:val="both"/>
        <w:rPr>
          <w:rFonts w:ascii="Arial" w:hAnsi="Arial" w:cs="Arial"/>
          <w:sz w:val="20"/>
          <w:szCs w:val="20"/>
          <w:highlight w:val="yellow"/>
        </w:rPr>
      </w:pPr>
      <w:r w:rsidRPr="00554D07">
        <w:rPr>
          <w:rFonts w:ascii="Arial" w:hAnsi="Arial" w:cs="Arial"/>
          <w:sz w:val="20"/>
          <w:szCs w:val="20"/>
        </w:rPr>
        <w:t>Prioritná os 2 je financovaná z Kohézneho fondu a svojou alokáciou tvorí 6,59</w:t>
      </w:r>
      <w:r w:rsidR="0072403D">
        <w:rPr>
          <w:rFonts w:ascii="Arial" w:hAnsi="Arial" w:cs="Arial"/>
          <w:sz w:val="20"/>
          <w:szCs w:val="20"/>
        </w:rPr>
        <w:t xml:space="preserve"> </w:t>
      </w:r>
      <w:r w:rsidRPr="00554D07">
        <w:rPr>
          <w:rFonts w:ascii="Arial" w:hAnsi="Arial" w:cs="Arial"/>
          <w:sz w:val="20"/>
          <w:szCs w:val="20"/>
        </w:rPr>
        <w:t xml:space="preserve">% celkovej alokácie na operačný </w:t>
      </w:r>
      <w:r w:rsidRPr="002F2A7C">
        <w:rPr>
          <w:rFonts w:ascii="Arial" w:hAnsi="Arial" w:cs="Arial"/>
          <w:sz w:val="20"/>
          <w:szCs w:val="20"/>
        </w:rPr>
        <w:t>program. Podiel prioritnej osi na celkovom čerpaní alokácie za rok 201</w:t>
      </w:r>
      <w:r w:rsidRPr="00B71586">
        <w:rPr>
          <w:rFonts w:ascii="Arial" w:hAnsi="Arial" w:cs="Arial"/>
          <w:sz w:val="20"/>
          <w:szCs w:val="20"/>
        </w:rPr>
        <w:t>2</w:t>
      </w:r>
      <w:r w:rsidRPr="002F2A7C">
        <w:rPr>
          <w:rFonts w:ascii="Arial" w:hAnsi="Arial" w:cs="Arial"/>
          <w:sz w:val="20"/>
          <w:szCs w:val="20"/>
        </w:rPr>
        <w:t xml:space="preserve"> je 5</w:t>
      </w:r>
      <w:r w:rsidRPr="00B71586">
        <w:rPr>
          <w:rFonts w:ascii="Arial" w:hAnsi="Arial" w:cs="Arial"/>
          <w:sz w:val="20"/>
          <w:szCs w:val="20"/>
        </w:rPr>
        <w:t xml:space="preserve"> </w:t>
      </w:r>
      <w:r w:rsidRPr="002F2A7C">
        <w:rPr>
          <w:rFonts w:ascii="Arial" w:hAnsi="Arial" w:cs="Arial"/>
          <w:sz w:val="20"/>
          <w:szCs w:val="20"/>
        </w:rPr>
        <w:t>%.</w:t>
      </w:r>
    </w:p>
    <w:p w:rsidR="00D36DF5" w:rsidRPr="002F2A7C" w:rsidRDefault="00D36DF5" w:rsidP="00507035">
      <w:pPr>
        <w:autoSpaceDE w:val="0"/>
        <w:autoSpaceDN w:val="0"/>
        <w:adjustRightInd w:val="0"/>
        <w:spacing w:before="120" w:after="120" w:line="360" w:lineRule="auto"/>
        <w:jc w:val="both"/>
        <w:rPr>
          <w:rFonts w:ascii="Arial" w:hAnsi="Arial" w:cs="Arial"/>
          <w:sz w:val="20"/>
          <w:szCs w:val="20"/>
        </w:rPr>
      </w:pPr>
      <w:r w:rsidRPr="002F2A7C">
        <w:rPr>
          <w:rFonts w:ascii="Arial" w:hAnsi="Arial" w:cs="Arial"/>
          <w:sz w:val="20"/>
          <w:szCs w:val="20"/>
        </w:rPr>
        <w:t>Úroveň zazmluvnenia prioritnej osi voči alokácii na danú prioritnú os je 7</w:t>
      </w:r>
      <w:r w:rsidRPr="00B71586">
        <w:rPr>
          <w:rFonts w:ascii="Arial" w:hAnsi="Arial" w:cs="Arial"/>
          <w:sz w:val="20"/>
          <w:szCs w:val="20"/>
        </w:rPr>
        <w:t>2</w:t>
      </w:r>
      <w:r w:rsidRPr="002F2A7C">
        <w:rPr>
          <w:rFonts w:ascii="Arial" w:hAnsi="Arial" w:cs="Arial"/>
          <w:sz w:val="20"/>
          <w:szCs w:val="20"/>
        </w:rPr>
        <w:t>,</w:t>
      </w:r>
      <w:r w:rsidRPr="00B71586">
        <w:rPr>
          <w:rFonts w:ascii="Arial" w:hAnsi="Arial" w:cs="Arial"/>
          <w:sz w:val="20"/>
          <w:szCs w:val="20"/>
        </w:rPr>
        <w:t>53</w:t>
      </w:r>
      <w:r w:rsidRPr="002F2A7C">
        <w:rPr>
          <w:rFonts w:ascii="Arial" w:hAnsi="Arial" w:cs="Arial"/>
          <w:sz w:val="20"/>
          <w:szCs w:val="20"/>
        </w:rPr>
        <w:t xml:space="preserve"> %, pričom vyplatené prostriedky prijímateľom tvoria </w:t>
      </w:r>
      <w:r w:rsidRPr="00B71586">
        <w:rPr>
          <w:rFonts w:ascii="Arial" w:hAnsi="Arial" w:cs="Arial"/>
          <w:sz w:val="20"/>
          <w:szCs w:val="20"/>
        </w:rPr>
        <w:t>24</w:t>
      </w:r>
      <w:r w:rsidRPr="002F2A7C">
        <w:rPr>
          <w:rFonts w:ascii="Arial" w:hAnsi="Arial" w:cs="Arial"/>
          <w:sz w:val="20"/>
          <w:szCs w:val="20"/>
        </w:rPr>
        <w:t>,</w:t>
      </w:r>
      <w:r w:rsidRPr="00B71586">
        <w:rPr>
          <w:rFonts w:ascii="Arial" w:hAnsi="Arial" w:cs="Arial"/>
          <w:sz w:val="20"/>
          <w:szCs w:val="20"/>
        </w:rPr>
        <w:t>75</w:t>
      </w:r>
      <w:r w:rsidR="0072403D">
        <w:rPr>
          <w:rFonts w:ascii="Arial" w:hAnsi="Arial" w:cs="Arial"/>
          <w:sz w:val="20"/>
          <w:szCs w:val="20"/>
        </w:rPr>
        <w:t xml:space="preserve"> </w:t>
      </w:r>
      <w:r w:rsidRPr="002F2A7C">
        <w:rPr>
          <w:rFonts w:ascii="Arial" w:hAnsi="Arial" w:cs="Arial"/>
          <w:sz w:val="20"/>
          <w:szCs w:val="20"/>
        </w:rPr>
        <w:t>% voči celkovej alokácii na danú prioritnú os.</w:t>
      </w:r>
    </w:p>
    <w:p w:rsidR="00D36DF5" w:rsidRPr="003E5209" w:rsidRDefault="00294F57" w:rsidP="00507035">
      <w:pPr>
        <w:autoSpaceDE w:val="0"/>
        <w:autoSpaceDN w:val="0"/>
        <w:adjustRightInd w:val="0"/>
        <w:spacing w:before="120" w:after="120" w:line="360" w:lineRule="auto"/>
        <w:jc w:val="both"/>
        <w:rPr>
          <w:rFonts w:ascii="Arial" w:hAnsi="Arial" w:cs="Arial"/>
          <w:sz w:val="20"/>
          <w:szCs w:val="20"/>
        </w:rPr>
      </w:pPr>
      <w:r>
        <w:rPr>
          <w:rFonts w:ascii="Arial" w:hAnsi="Arial" w:cs="Arial"/>
          <w:sz w:val="20"/>
          <w:szCs w:val="20"/>
        </w:rPr>
        <w:t>Na základe</w:t>
      </w:r>
      <w:r w:rsidR="00D36DF5" w:rsidRPr="002F2A7C">
        <w:rPr>
          <w:rFonts w:ascii="Arial" w:hAnsi="Arial" w:cs="Arial"/>
          <w:sz w:val="20"/>
          <w:szCs w:val="20"/>
        </w:rPr>
        <w:t xml:space="preserve"> predpokladaného dosiahnutia plánovaných hodnôt ukazovateľov na úrovni zazmluvnených projektov berúc do úvahy úspešné vyhodnotene výzvy OPŽP-PO2-11-1,</w:t>
      </w:r>
      <w:r>
        <w:rPr>
          <w:rFonts w:ascii="Arial" w:hAnsi="Arial" w:cs="Arial"/>
          <w:sz w:val="20"/>
          <w:szCs w:val="20"/>
        </w:rPr>
        <w:t xml:space="preserve"> je možné považovať</w:t>
      </w:r>
      <w:r w:rsidR="00D36DF5" w:rsidRPr="002F2A7C">
        <w:rPr>
          <w:rFonts w:ascii="Arial" w:hAnsi="Arial" w:cs="Arial"/>
          <w:sz w:val="20"/>
          <w:szCs w:val="20"/>
        </w:rPr>
        <w:t xml:space="preserve"> dosiahnutie plánovaných hodnôt merateľných ukazovateľov na úrovni OP </w:t>
      </w:r>
      <w:r>
        <w:rPr>
          <w:rFonts w:ascii="Arial" w:hAnsi="Arial" w:cs="Arial"/>
          <w:sz w:val="20"/>
          <w:szCs w:val="20"/>
        </w:rPr>
        <w:t>za</w:t>
      </w:r>
      <w:r w:rsidR="00D36DF5" w:rsidRPr="002F2A7C">
        <w:rPr>
          <w:rFonts w:ascii="Arial" w:hAnsi="Arial" w:cs="Arial"/>
          <w:sz w:val="20"/>
          <w:szCs w:val="20"/>
        </w:rPr>
        <w:t xml:space="preserve"> reálne, čo dokazuje</w:t>
      </w:r>
      <w:r>
        <w:rPr>
          <w:rFonts w:ascii="Arial" w:hAnsi="Arial" w:cs="Arial"/>
          <w:sz w:val="20"/>
          <w:szCs w:val="20"/>
        </w:rPr>
        <w:t xml:space="preserve"> aj</w:t>
      </w:r>
      <w:r w:rsidR="00D36DF5" w:rsidRPr="002F2A7C">
        <w:rPr>
          <w:rFonts w:ascii="Arial" w:hAnsi="Arial" w:cs="Arial"/>
          <w:sz w:val="20"/>
          <w:szCs w:val="20"/>
        </w:rPr>
        <w:t xml:space="preserve"> </w:t>
      </w:r>
      <w:r>
        <w:rPr>
          <w:rFonts w:ascii="Arial" w:hAnsi="Arial" w:cs="Arial"/>
          <w:sz w:val="20"/>
          <w:szCs w:val="20"/>
        </w:rPr>
        <w:t>z</w:t>
      </w:r>
      <w:r w:rsidR="00D36DF5" w:rsidRPr="002F2A7C">
        <w:rPr>
          <w:rFonts w:ascii="Arial" w:hAnsi="Arial" w:cs="Arial"/>
          <w:sz w:val="20"/>
          <w:szCs w:val="20"/>
        </w:rPr>
        <w:t>hodnotenie úrovne zazmluvnenia alokovaných finančných prostriedkov za zdroje EÚ vo vzťahu k dosahovaným hodnotám ukazovateľov prioritnej témy, podrobnejšie popísané v časti Plnenie merateľných ukazovateľov.</w:t>
      </w:r>
    </w:p>
    <w:p w:rsidR="002416B1" w:rsidRPr="004B33AE" w:rsidRDefault="002416B1" w:rsidP="00507035">
      <w:pPr>
        <w:autoSpaceDE w:val="0"/>
        <w:autoSpaceDN w:val="0"/>
        <w:adjustRightInd w:val="0"/>
        <w:spacing w:before="120" w:after="120" w:line="360" w:lineRule="auto"/>
        <w:jc w:val="both"/>
        <w:rPr>
          <w:rFonts w:ascii="Arial" w:hAnsi="Arial" w:cs="Arial"/>
          <w:sz w:val="20"/>
          <w:szCs w:val="20"/>
        </w:rPr>
      </w:pPr>
      <w:r w:rsidRPr="003E5209">
        <w:rPr>
          <w:rFonts w:ascii="Arial" w:hAnsi="Arial" w:cs="Arial"/>
          <w:sz w:val="20"/>
          <w:szCs w:val="20"/>
        </w:rPr>
        <w:t xml:space="preserve">Príklady úspešných projektov prioritnej osi </w:t>
      </w:r>
      <w:r>
        <w:rPr>
          <w:rFonts w:ascii="Arial" w:hAnsi="Arial" w:cs="Arial"/>
          <w:sz w:val="20"/>
          <w:szCs w:val="20"/>
        </w:rPr>
        <w:t>2</w:t>
      </w:r>
      <w:r w:rsidRPr="003E5209">
        <w:rPr>
          <w:rFonts w:ascii="Arial" w:hAnsi="Arial" w:cs="Arial"/>
          <w:sz w:val="20"/>
          <w:szCs w:val="20"/>
        </w:rPr>
        <w:t xml:space="preserve">, finančne aj fyzicky ukončených, sú uvedené na </w:t>
      </w:r>
      <w:r w:rsidR="0072403D">
        <w:rPr>
          <w:rFonts w:ascii="Arial" w:hAnsi="Arial" w:cs="Arial"/>
          <w:sz w:val="20"/>
          <w:szCs w:val="20"/>
        </w:rPr>
        <w:t>webovom sídle</w:t>
      </w:r>
      <w:r w:rsidR="005B2A2E">
        <w:rPr>
          <w:rFonts w:ascii="Arial" w:hAnsi="Arial" w:cs="Arial"/>
          <w:sz w:val="20"/>
          <w:szCs w:val="20"/>
        </w:rPr>
        <w:t xml:space="preserve"> </w:t>
      </w:r>
      <w:r w:rsidRPr="003E5209">
        <w:rPr>
          <w:rFonts w:ascii="Arial" w:hAnsi="Arial" w:cs="Arial"/>
          <w:sz w:val="20"/>
          <w:szCs w:val="20"/>
        </w:rPr>
        <w:t xml:space="preserve">OP ŽP, </w:t>
      </w:r>
      <w:hyperlink r:id="rId40" w:history="1">
        <w:r w:rsidRPr="003E5209">
          <w:rPr>
            <w:rStyle w:val="Hypertextovprepojenie"/>
            <w:rFonts w:ascii="Arial" w:hAnsi="Arial" w:cs="Arial"/>
            <w:sz w:val="20"/>
            <w:szCs w:val="20"/>
          </w:rPr>
          <w:t>http://www.opzp.sk/projekty/mapa-vzorovych-uspesne-realizovanych-projektov/</w:t>
        </w:r>
      </w:hyperlink>
      <w:r w:rsidR="00992B1B">
        <w:rPr>
          <w:rFonts w:ascii="Arial" w:hAnsi="Arial" w:cs="Arial"/>
          <w:sz w:val="20"/>
          <w:szCs w:val="20"/>
        </w:rPr>
        <w:t xml:space="preserve"> a sú tiež súčasťou Prílohy č. 10 výročnej správy.</w:t>
      </w:r>
    </w:p>
    <w:p w:rsidR="002416B1" w:rsidRPr="00405454" w:rsidRDefault="002416B1" w:rsidP="00507035">
      <w:pPr>
        <w:spacing w:before="120" w:after="120"/>
      </w:pPr>
    </w:p>
    <w:p w:rsidR="002416B1" w:rsidRPr="004B33AE" w:rsidRDefault="002416B1" w:rsidP="00507035">
      <w:pPr>
        <w:pStyle w:val="Nadpis8"/>
        <w:spacing w:before="120" w:after="120"/>
        <w:rPr>
          <w:rFonts w:ascii="Arial" w:hAnsi="Arial" w:cs="Arial"/>
          <w:b/>
          <w:sz w:val="22"/>
          <w:szCs w:val="22"/>
        </w:rPr>
      </w:pPr>
      <w:r w:rsidRPr="004B33AE">
        <w:rPr>
          <w:rFonts w:ascii="Arial" w:hAnsi="Arial" w:cs="Arial"/>
          <w:b/>
          <w:sz w:val="22"/>
          <w:szCs w:val="22"/>
        </w:rPr>
        <w:t>3.2.1.1 Stav fyzického pokroku prioritnej osi 2</w:t>
      </w:r>
    </w:p>
    <w:p w:rsidR="002416B1" w:rsidRPr="004B33AE" w:rsidRDefault="002416B1" w:rsidP="00507035">
      <w:pPr>
        <w:pStyle w:val="Zkladntextb"/>
        <w:spacing w:before="120" w:after="120" w:line="360" w:lineRule="auto"/>
        <w:ind w:left="0"/>
        <w:jc w:val="both"/>
        <w:rPr>
          <w:highlight w:val="yellow"/>
          <w:lang w:val="sk-SK"/>
        </w:rPr>
      </w:pPr>
      <w:r w:rsidRPr="004B33AE">
        <w:rPr>
          <w:lang w:val="sk-SK"/>
        </w:rPr>
        <w:t>V rámci prioritnej osi 2 Ochrana pred povodňami bolo k 31.12.201</w:t>
      </w:r>
      <w:r w:rsidR="00AE0F73">
        <w:rPr>
          <w:lang w:val="sk-SK"/>
        </w:rPr>
        <w:t>2</w:t>
      </w:r>
      <w:r w:rsidRPr="004B33AE">
        <w:rPr>
          <w:lang w:val="sk-SK"/>
        </w:rPr>
        <w:t xml:space="preserve"> vyhlásených </w:t>
      </w:r>
      <w:r w:rsidR="004F4235">
        <w:rPr>
          <w:lang w:val="sk-SK"/>
        </w:rPr>
        <w:t xml:space="preserve">celkovo </w:t>
      </w:r>
      <w:r w:rsidRPr="004B33AE">
        <w:rPr>
          <w:lang w:val="sk-SK"/>
        </w:rPr>
        <w:t xml:space="preserve">už </w:t>
      </w:r>
      <w:r>
        <w:rPr>
          <w:lang w:val="sk-SK"/>
        </w:rPr>
        <w:t>osem</w:t>
      </w:r>
      <w:r w:rsidRPr="004B33AE">
        <w:rPr>
          <w:lang w:val="sk-SK"/>
        </w:rPr>
        <w:t xml:space="preserve"> výziev na predkladanie žiadostí o NFP v alokácii </w:t>
      </w:r>
      <w:r>
        <w:rPr>
          <w:lang w:val="sk-SK"/>
        </w:rPr>
        <w:t>231 848 505</w:t>
      </w:r>
      <w:r w:rsidRPr="004B33AE">
        <w:rPr>
          <w:lang w:val="sk-SK"/>
        </w:rPr>
        <w:t xml:space="preserve"> EUR</w:t>
      </w:r>
      <w:r w:rsidR="004F4235">
        <w:rPr>
          <w:lang w:val="sk-SK"/>
        </w:rPr>
        <w:t>. V</w:t>
      </w:r>
      <w:r w:rsidRPr="004B33AE">
        <w:rPr>
          <w:lang w:val="sk-SK"/>
        </w:rPr>
        <w:t> priebehu roka 201</w:t>
      </w:r>
      <w:r w:rsidR="00AE0F73">
        <w:rPr>
          <w:lang w:val="sk-SK"/>
        </w:rPr>
        <w:t>2</w:t>
      </w:r>
      <w:r w:rsidRPr="004B33AE">
        <w:rPr>
          <w:lang w:val="sk-SK"/>
        </w:rPr>
        <w:t xml:space="preserve"> </w:t>
      </w:r>
      <w:r w:rsidR="00AE0F73">
        <w:rPr>
          <w:lang w:val="sk-SK"/>
        </w:rPr>
        <w:t>nebola vyhlásená žiadna</w:t>
      </w:r>
      <w:r w:rsidR="00AE0F73" w:rsidRPr="004B33AE">
        <w:rPr>
          <w:lang w:val="sk-SK"/>
        </w:rPr>
        <w:t xml:space="preserve"> </w:t>
      </w:r>
      <w:r w:rsidR="004F4235">
        <w:rPr>
          <w:lang w:val="sk-SK"/>
        </w:rPr>
        <w:t xml:space="preserve">ďalšia </w:t>
      </w:r>
      <w:r w:rsidRPr="004B33AE">
        <w:rPr>
          <w:lang w:val="sk-SK"/>
        </w:rPr>
        <w:t>výzv</w:t>
      </w:r>
      <w:r>
        <w:rPr>
          <w:lang w:val="sk-SK"/>
        </w:rPr>
        <w:t>a</w:t>
      </w:r>
      <w:r w:rsidR="004F4235">
        <w:rPr>
          <w:lang w:val="sk-SK"/>
        </w:rPr>
        <w:t xml:space="preserve"> v rámci tejto prioritnej osi</w:t>
      </w:r>
      <w:r w:rsidRPr="006A2BF3">
        <w:rPr>
          <w:lang w:val="sk-SK"/>
        </w:rPr>
        <w:t>.</w:t>
      </w:r>
    </w:p>
    <w:p w:rsidR="002416B1" w:rsidRPr="004B33AE" w:rsidRDefault="002416B1" w:rsidP="00205636">
      <w:pPr>
        <w:spacing w:line="360" w:lineRule="auto"/>
        <w:rPr>
          <w:rFonts w:ascii="Arial" w:hAnsi="Arial" w:cs="Arial"/>
          <w:sz w:val="20"/>
          <w:szCs w:val="20"/>
          <w:highlight w:val="yellow"/>
        </w:rPr>
      </w:pPr>
      <w:r w:rsidRPr="004B33AE">
        <w:rPr>
          <w:rFonts w:ascii="Arial" w:hAnsi="Arial" w:cs="Arial"/>
          <w:sz w:val="20"/>
          <w:szCs w:val="20"/>
        </w:rPr>
        <w:t xml:space="preserve">Tab. </w:t>
      </w:r>
      <w:r w:rsidRPr="00570976">
        <w:rPr>
          <w:rFonts w:ascii="Arial" w:hAnsi="Arial" w:cs="Arial"/>
          <w:sz w:val="20"/>
          <w:szCs w:val="20"/>
        </w:rPr>
        <w:t xml:space="preserve">č. </w:t>
      </w:r>
      <w:r w:rsidR="007B7519">
        <w:rPr>
          <w:rFonts w:ascii="Arial" w:hAnsi="Arial" w:cs="Arial"/>
          <w:sz w:val="20"/>
          <w:szCs w:val="20"/>
        </w:rPr>
        <w:t>42</w:t>
      </w:r>
      <w:r w:rsidRPr="004B33AE">
        <w:rPr>
          <w:rFonts w:ascii="Arial" w:hAnsi="Arial" w:cs="Arial"/>
          <w:sz w:val="20"/>
          <w:szCs w:val="20"/>
        </w:rPr>
        <w:t>: Stav vyhlasovania výziev prioritnej osi 2 v období 01.01.</w:t>
      </w:r>
      <w:r w:rsidR="007B7519" w:rsidRPr="004B33AE">
        <w:rPr>
          <w:rFonts w:ascii="Arial" w:hAnsi="Arial" w:cs="Arial"/>
          <w:sz w:val="20"/>
          <w:szCs w:val="20"/>
        </w:rPr>
        <w:t>201</w:t>
      </w:r>
      <w:r w:rsidR="007B7519">
        <w:rPr>
          <w:rFonts w:ascii="Arial" w:hAnsi="Arial" w:cs="Arial"/>
          <w:sz w:val="20"/>
          <w:szCs w:val="20"/>
        </w:rPr>
        <w:t>2</w:t>
      </w:r>
      <w:r w:rsidR="007B7519" w:rsidRPr="004B33AE">
        <w:rPr>
          <w:rFonts w:ascii="Arial" w:hAnsi="Arial" w:cs="Arial"/>
          <w:sz w:val="20"/>
          <w:szCs w:val="20"/>
        </w:rPr>
        <w:t xml:space="preserve"> </w:t>
      </w:r>
      <w:r w:rsidRPr="004B33AE">
        <w:rPr>
          <w:rFonts w:ascii="Arial" w:hAnsi="Arial" w:cs="Arial"/>
          <w:sz w:val="20"/>
          <w:szCs w:val="20"/>
        </w:rPr>
        <w:t>– 31.12.</w:t>
      </w:r>
      <w:r w:rsidR="007B7519" w:rsidRPr="004B33AE">
        <w:rPr>
          <w:rFonts w:ascii="Arial" w:hAnsi="Arial" w:cs="Arial"/>
          <w:sz w:val="20"/>
          <w:szCs w:val="20"/>
        </w:rPr>
        <w:t>201</w:t>
      </w:r>
      <w:r w:rsidR="007B7519">
        <w:rPr>
          <w:rFonts w:ascii="Arial" w:hAnsi="Arial" w:cs="Arial"/>
          <w:sz w:val="20"/>
          <w:szCs w:val="20"/>
        </w:rPr>
        <w:t>2</w:t>
      </w:r>
    </w:p>
    <w:tbl>
      <w:tblPr>
        <w:tblW w:w="0" w:type="auto"/>
        <w:tblInd w:w="55" w:type="dxa"/>
        <w:tblLayout w:type="fixed"/>
        <w:tblCellMar>
          <w:left w:w="70" w:type="dxa"/>
          <w:right w:w="70" w:type="dxa"/>
        </w:tblCellMar>
        <w:tblLook w:val="04A0" w:firstRow="1" w:lastRow="0" w:firstColumn="1" w:lastColumn="0" w:noHBand="0" w:noVBand="1"/>
      </w:tblPr>
      <w:tblGrid>
        <w:gridCol w:w="1858"/>
        <w:gridCol w:w="1667"/>
        <w:gridCol w:w="1215"/>
        <w:gridCol w:w="1654"/>
        <w:gridCol w:w="1559"/>
      </w:tblGrid>
      <w:tr w:rsidR="002416B1" w:rsidRPr="006A2BF3" w:rsidTr="003A5E95">
        <w:trPr>
          <w:trHeight w:val="631"/>
        </w:trPr>
        <w:tc>
          <w:tcPr>
            <w:tcW w:w="1858" w:type="dxa"/>
            <w:tcBorders>
              <w:top w:val="single" w:sz="4" w:space="0" w:color="auto"/>
              <w:left w:val="single" w:sz="4" w:space="0" w:color="auto"/>
              <w:bottom w:val="single" w:sz="4" w:space="0" w:color="000000"/>
              <w:right w:val="single" w:sz="4" w:space="0" w:color="auto"/>
            </w:tcBorders>
            <w:shd w:val="clear" w:color="auto" w:fill="D6E3BC"/>
            <w:vAlign w:val="center"/>
          </w:tcPr>
          <w:p w:rsidR="002416B1" w:rsidRPr="006A2BF3" w:rsidRDefault="00076F86" w:rsidP="00205636">
            <w:pPr>
              <w:jc w:val="center"/>
              <w:rPr>
                <w:rFonts w:ascii="Arial" w:hAnsi="Arial" w:cs="Arial"/>
                <w:b/>
                <w:bCs/>
                <w:sz w:val="18"/>
                <w:szCs w:val="18"/>
              </w:rPr>
            </w:pPr>
            <w:r>
              <w:rPr>
                <w:rFonts w:ascii="Arial" w:hAnsi="Arial" w:cs="Arial"/>
                <w:b/>
                <w:bCs/>
                <w:sz w:val="18"/>
                <w:szCs w:val="18"/>
              </w:rPr>
              <w:t>Prioritná os</w:t>
            </w:r>
          </w:p>
        </w:tc>
        <w:tc>
          <w:tcPr>
            <w:tcW w:w="1667" w:type="dxa"/>
            <w:tcBorders>
              <w:top w:val="single" w:sz="4" w:space="0" w:color="auto"/>
              <w:left w:val="single" w:sz="4" w:space="0" w:color="auto"/>
              <w:bottom w:val="single" w:sz="4" w:space="0" w:color="000000"/>
              <w:right w:val="single" w:sz="4" w:space="0" w:color="auto"/>
            </w:tcBorders>
            <w:shd w:val="clear" w:color="auto" w:fill="D6E3BC"/>
            <w:vAlign w:val="center"/>
          </w:tcPr>
          <w:p w:rsidR="002416B1" w:rsidRPr="006A2BF3" w:rsidRDefault="002416B1" w:rsidP="00205636">
            <w:pPr>
              <w:jc w:val="center"/>
              <w:rPr>
                <w:rFonts w:ascii="Arial" w:hAnsi="Arial" w:cs="Arial"/>
                <w:b/>
                <w:bCs/>
                <w:sz w:val="18"/>
                <w:szCs w:val="18"/>
              </w:rPr>
            </w:pPr>
            <w:r w:rsidRPr="006A2BF3">
              <w:rPr>
                <w:rFonts w:ascii="Arial" w:hAnsi="Arial" w:cs="Arial"/>
                <w:b/>
                <w:bCs/>
                <w:sz w:val="18"/>
                <w:szCs w:val="18"/>
              </w:rPr>
              <w:t>Typ výzvy</w:t>
            </w:r>
          </w:p>
        </w:tc>
        <w:tc>
          <w:tcPr>
            <w:tcW w:w="1215" w:type="dxa"/>
            <w:tcBorders>
              <w:top w:val="single" w:sz="4" w:space="0" w:color="auto"/>
              <w:left w:val="single" w:sz="4" w:space="0" w:color="auto"/>
              <w:bottom w:val="single" w:sz="4" w:space="0" w:color="000000"/>
              <w:right w:val="single" w:sz="4" w:space="0" w:color="auto"/>
            </w:tcBorders>
            <w:shd w:val="clear" w:color="auto" w:fill="D6E3BC"/>
            <w:vAlign w:val="center"/>
          </w:tcPr>
          <w:p w:rsidR="002416B1" w:rsidRPr="006A2BF3" w:rsidRDefault="002416B1" w:rsidP="00205636">
            <w:pPr>
              <w:jc w:val="center"/>
              <w:rPr>
                <w:rFonts w:ascii="Arial" w:hAnsi="Arial" w:cs="Arial"/>
                <w:b/>
                <w:bCs/>
                <w:sz w:val="18"/>
                <w:szCs w:val="18"/>
              </w:rPr>
            </w:pPr>
            <w:r w:rsidRPr="006A2BF3">
              <w:rPr>
                <w:rFonts w:ascii="Arial" w:hAnsi="Arial" w:cs="Arial"/>
                <w:b/>
                <w:bCs/>
                <w:sz w:val="18"/>
                <w:szCs w:val="18"/>
              </w:rPr>
              <w:t>Dátum vyhlásenia výzvy</w:t>
            </w:r>
          </w:p>
        </w:tc>
        <w:tc>
          <w:tcPr>
            <w:tcW w:w="1654" w:type="dxa"/>
            <w:tcBorders>
              <w:top w:val="single" w:sz="4" w:space="0" w:color="auto"/>
              <w:left w:val="single" w:sz="4" w:space="0" w:color="auto"/>
              <w:bottom w:val="single" w:sz="4" w:space="0" w:color="000000"/>
              <w:right w:val="single" w:sz="4" w:space="0" w:color="auto"/>
            </w:tcBorders>
            <w:shd w:val="clear" w:color="auto" w:fill="D6E3BC"/>
            <w:vAlign w:val="center"/>
          </w:tcPr>
          <w:p w:rsidR="002416B1" w:rsidRPr="006A2BF3" w:rsidRDefault="002416B1" w:rsidP="00205636">
            <w:pPr>
              <w:jc w:val="center"/>
              <w:rPr>
                <w:rFonts w:ascii="Arial" w:hAnsi="Arial" w:cs="Arial"/>
                <w:b/>
                <w:bCs/>
                <w:sz w:val="18"/>
                <w:szCs w:val="18"/>
              </w:rPr>
            </w:pPr>
            <w:r w:rsidRPr="006A2BF3">
              <w:rPr>
                <w:rFonts w:ascii="Arial" w:hAnsi="Arial" w:cs="Arial"/>
                <w:b/>
                <w:bCs/>
                <w:sz w:val="18"/>
                <w:szCs w:val="18"/>
              </w:rPr>
              <w:t xml:space="preserve">Dátum uzávierky prijímania žiadostí </w:t>
            </w:r>
            <w:r>
              <w:rPr>
                <w:rFonts w:ascii="Arial" w:hAnsi="Arial" w:cs="Arial"/>
                <w:b/>
                <w:bCs/>
                <w:sz w:val="18"/>
                <w:szCs w:val="18"/>
              </w:rPr>
              <w:t xml:space="preserve">o </w:t>
            </w:r>
            <w:r w:rsidRPr="006A2BF3">
              <w:rPr>
                <w:rFonts w:ascii="Arial" w:hAnsi="Arial" w:cs="Arial"/>
                <w:b/>
                <w:bCs/>
                <w:sz w:val="18"/>
                <w:szCs w:val="18"/>
              </w:rPr>
              <w:t>NFP</w:t>
            </w:r>
          </w:p>
        </w:tc>
        <w:tc>
          <w:tcPr>
            <w:tcW w:w="1559" w:type="dxa"/>
            <w:tcBorders>
              <w:top w:val="single" w:sz="4" w:space="0" w:color="auto"/>
              <w:left w:val="nil"/>
              <w:bottom w:val="single" w:sz="4" w:space="0" w:color="000000"/>
              <w:right w:val="single" w:sz="4" w:space="0" w:color="000000"/>
            </w:tcBorders>
            <w:shd w:val="clear" w:color="auto" w:fill="D6E3BC"/>
            <w:vAlign w:val="center"/>
          </w:tcPr>
          <w:p w:rsidR="002416B1" w:rsidRPr="006A2BF3" w:rsidRDefault="002416B1" w:rsidP="00205636">
            <w:pPr>
              <w:jc w:val="center"/>
              <w:rPr>
                <w:rFonts w:ascii="Arial" w:hAnsi="Arial" w:cs="Arial"/>
                <w:b/>
                <w:bCs/>
                <w:sz w:val="18"/>
                <w:szCs w:val="18"/>
              </w:rPr>
            </w:pPr>
            <w:r w:rsidRPr="00A7082B">
              <w:rPr>
                <w:rFonts w:ascii="Arial" w:hAnsi="Arial" w:cs="Arial"/>
                <w:b/>
                <w:bCs/>
                <w:sz w:val="18"/>
                <w:szCs w:val="18"/>
              </w:rPr>
              <w:t>Alokácia FP na výzvu (NFP) v €</w:t>
            </w:r>
          </w:p>
          <w:p w:rsidR="002416B1" w:rsidRPr="006A2BF3" w:rsidRDefault="002416B1" w:rsidP="00205636">
            <w:pPr>
              <w:jc w:val="center"/>
              <w:rPr>
                <w:rFonts w:ascii="Arial" w:hAnsi="Arial" w:cs="Arial"/>
                <w:b/>
                <w:bCs/>
                <w:sz w:val="18"/>
                <w:szCs w:val="18"/>
              </w:rPr>
            </w:pPr>
          </w:p>
        </w:tc>
      </w:tr>
      <w:tr w:rsidR="002416B1" w:rsidRPr="006A2BF3" w:rsidTr="003A5E95">
        <w:trPr>
          <w:trHeight w:val="20"/>
        </w:trPr>
        <w:tc>
          <w:tcPr>
            <w:tcW w:w="1858" w:type="dxa"/>
            <w:tcBorders>
              <w:top w:val="single" w:sz="4" w:space="0" w:color="000000"/>
              <w:left w:val="single" w:sz="4" w:space="0" w:color="auto"/>
              <w:bottom w:val="single" w:sz="4" w:space="0" w:color="auto"/>
              <w:right w:val="single" w:sz="4" w:space="0" w:color="auto"/>
            </w:tcBorders>
            <w:shd w:val="clear" w:color="auto" w:fill="EAF1DD"/>
            <w:noWrap/>
            <w:vAlign w:val="center"/>
          </w:tcPr>
          <w:p w:rsidR="002416B1" w:rsidRPr="006A2BF3" w:rsidRDefault="002416B1" w:rsidP="00205636">
            <w:pPr>
              <w:jc w:val="center"/>
              <w:rPr>
                <w:rFonts w:ascii="Arial" w:hAnsi="Arial" w:cs="Arial"/>
                <w:sz w:val="18"/>
                <w:szCs w:val="18"/>
              </w:rPr>
            </w:pPr>
            <w:r w:rsidRPr="006A2BF3">
              <w:rPr>
                <w:rFonts w:ascii="Arial" w:hAnsi="Arial" w:cs="Arial"/>
                <w:sz w:val="18"/>
                <w:szCs w:val="18"/>
              </w:rPr>
              <w:t>2</w:t>
            </w:r>
          </w:p>
        </w:tc>
        <w:tc>
          <w:tcPr>
            <w:tcW w:w="1667" w:type="dxa"/>
            <w:tcBorders>
              <w:top w:val="nil"/>
              <w:left w:val="nil"/>
              <w:bottom w:val="single" w:sz="4" w:space="0" w:color="auto"/>
              <w:right w:val="single" w:sz="4" w:space="0" w:color="auto"/>
            </w:tcBorders>
            <w:vAlign w:val="center"/>
          </w:tcPr>
          <w:p w:rsidR="002416B1" w:rsidRPr="006A2BF3" w:rsidRDefault="008B4280" w:rsidP="00205636">
            <w:pPr>
              <w:jc w:val="center"/>
              <w:rPr>
                <w:rFonts w:ascii="Arial" w:hAnsi="Arial" w:cs="Arial"/>
                <w:sz w:val="18"/>
                <w:szCs w:val="18"/>
              </w:rPr>
            </w:pPr>
            <w:r>
              <w:rPr>
                <w:rFonts w:ascii="Arial" w:hAnsi="Arial" w:cs="Arial"/>
                <w:sz w:val="18"/>
                <w:szCs w:val="18"/>
              </w:rPr>
              <w:t>-</w:t>
            </w:r>
          </w:p>
        </w:tc>
        <w:tc>
          <w:tcPr>
            <w:tcW w:w="1215" w:type="dxa"/>
            <w:tcBorders>
              <w:top w:val="nil"/>
              <w:left w:val="nil"/>
              <w:bottom w:val="single" w:sz="4" w:space="0" w:color="auto"/>
              <w:right w:val="single" w:sz="4" w:space="0" w:color="auto"/>
            </w:tcBorders>
            <w:noWrap/>
            <w:vAlign w:val="center"/>
          </w:tcPr>
          <w:p w:rsidR="002416B1" w:rsidRPr="006A2BF3" w:rsidRDefault="00076F86" w:rsidP="00205636">
            <w:pPr>
              <w:jc w:val="center"/>
              <w:rPr>
                <w:rFonts w:ascii="Arial" w:hAnsi="Arial" w:cs="Arial"/>
                <w:sz w:val="18"/>
                <w:szCs w:val="18"/>
              </w:rPr>
            </w:pPr>
            <w:r>
              <w:rPr>
                <w:rFonts w:ascii="Arial" w:hAnsi="Arial" w:cs="Arial"/>
                <w:sz w:val="18"/>
                <w:szCs w:val="18"/>
              </w:rPr>
              <w:t>-</w:t>
            </w:r>
          </w:p>
        </w:tc>
        <w:tc>
          <w:tcPr>
            <w:tcW w:w="1654" w:type="dxa"/>
            <w:tcBorders>
              <w:top w:val="nil"/>
              <w:left w:val="nil"/>
              <w:bottom w:val="single" w:sz="4" w:space="0" w:color="auto"/>
              <w:right w:val="single" w:sz="4" w:space="0" w:color="auto"/>
            </w:tcBorders>
            <w:noWrap/>
            <w:vAlign w:val="center"/>
          </w:tcPr>
          <w:p w:rsidR="002416B1" w:rsidRPr="006A2BF3" w:rsidRDefault="00076F86" w:rsidP="00205636">
            <w:pPr>
              <w:jc w:val="center"/>
              <w:rPr>
                <w:rFonts w:ascii="Arial" w:hAnsi="Arial" w:cs="Arial"/>
                <w:sz w:val="18"/>
                <w:szCs w:val="18"/>
              </w:rPr>
            </w:pPr>
            <w:r>
              <w:rPr>
                <w:rFonts w:ascii="Arial" w:hAnsi="Arial" w:cs="Arial"/>
                <w:sz w:val="18"/>
                <w:szCs w:val="18"/>
              </w:rPr>
              <w:t>-</w:t>
            </w:r>
          </w:p>
        </w:tc>
        <w:tc>
          <w:tcPr>
            <w:tcW w:w="1559" w:type="dxa"/>
            <w:tcBorders>
              <w:top w:val="single" w:sz="4" w:space="0" w:color="000000"/>
              <w:left w:val="nil"/>
              <w:bottom w:val="single" w:sz="4" w:space="0" w:color="auto"/>
              <w:right w:val="single" w:sz="4" w:space="0" w:color="auto"/>
            </w:tcBorders>
            <w:noWrap/>
            <w:vAlign w:val="center"/>
          </w:tcPr>
          <w:p w:rsidR="002416B1" w:rsidRPr="006A2BF3" w:rsidRDefault="00076F86" w:rsidP="00205636">
            <w:pPr>
              <w:jc w:val="center"/>
              <w:rPr>
                <w:rFonts w:ascii="Arial" w:hAnsi="Arial" w:cs="Arial"/>
                <w:sz w:val="18"/>
                <w:szCs w:val="18"/>
              </w:rPr>
            </w:pPr>
            <w:r>
              <w:rPr>
                <w:rFonts w:ascii="Arial" w:hAnsi="Arial" w:cs="Arial"/>
                <w:sz w:val="18"/>
                <w:szCs w:val="18"/>
              </w:rPr>
              <w:t> -</w:t>
            </w:r>
          </w:p>
        </w:tc>
      </w:tr>
      <w:tr w:rsidR="002416B1" w:rsidRPr="006A2BF3" w:rsidTr="0039268C">
        <w:trPr>
          <w:trHeight w:val="107"/>
        </w:trPr>
        <w:tc>
          <w:tcPr>
            <w:tcW w:w="1858" w:type="dxa"/>
            <w:tcBorders>
              <w:top w:val="single" w:sz="4" w:space="0" w:color="auto"/>
              <w:left w:val="single" w:sz="4" w:space="0" w:color="auto"/>
              <w:bottom w:val="single" w:sz="4" w:space="0" w:color="auto"/>
              <w:right w:val="single" w:sz="4" w:space="0" w:color="auto"/>
            </w:tcBorders>
            <w:shd w:val="clear" w:color="auto" w:fill="EAF1DD"/>
            <w:vAlign w:val="center"/>
          </w:tcPr>
          <w:p w:rsidR="002416B1" w:rsidRPr="006A2BF3" w:rsidRDefault="002416B1" w:rsidP="00205636">
            <w:pPr>
              <w:rPr>
                <w:rFonts w:ascii="Arial" w:hAnsi="Arial" w:cs="Arial"/>
                <w:b/>
                <w:bCs/>
                <w:sz w:val="18"/>
                <w:szCs w:val="18"/>
              </w:rPr>
            </w:pPr>
            <w:r w:rsidRPr="006A2BF3">
              <w:rPr>
                <w:rFonts w:ascii="Arial" w:hAnsi="Arial" w:cs="Arial"/>
                <w:b/>
                <w:bCs/>
                <w:sz w:val="18"/>
                <w:szCs w:val="18"/>
              </w:rPr>
              <w:t>Celkom</w:t>
            </w:r>
          </w:p>
        </w:tc>
        <w:tc>
          <w:tcPr>
            <w:tcW w:w="1667" w:type="dxa"/>
            <w:tcBorders>
              <w:top w:val="single" w:sz="4" w:space="0" w:color="auto"/>
              <w:left w:val="nil"/>
              <w:bottom w:val="single" w:sz="4" w:space="0" w:color="auto"/>
              <w:right w:val="single" w:sz="4" w:space="0" w:color="auto"/>
            </w:tcBorders>
            <w:shd w:val="clear" w:color="auto" w:fill="EAF1DD"/>
            <w:vAlign w:val="center"/>
          </w:tcPr>
          <w:p w:rsidR="002416B1" w:rsidRPr="006A2BF3" w:rsidRDefault="002416B1" w:rsidP="00205636">
            <w:pPr>
              <w:rPr>
                <w:rFonts w:ascii="Arial" w:hAnsi="Arial" w:cs="Arial"/>
                <w:b/>
                <w:bCs/>
                <w:sz w:val="18"/>
                <w:szCs w:val="18"/>
              </w:rPr>
            </w:pPr>
            <w:r w:rsidRPr="006A2BF3">
              <w:rPr>
                <w:rFonts w:ascii="Arial" w:hAnsi="Arial" w:cs="Arial"/>
                <w:b/>
                <w:bCs/>
                <w:sz w:val="18"/>
                <w:szCs w:val="18"/>
              </w:rPr>
              <w:t> </w:t>
            </w:r>
          </w:p>
        </w:tc>
        <w:tc>
          <w:tcPr>
            <w:tcW w:w="1215" w:type="dxa"/>
            <w:tcBorders>
              <w:top w:val="single" w:sz="4" w:space="0" w:color="auto"/>
              <w:left w:val="nil"/>
              <w:bottom w:val="single" w:sz="4" w:space="0" w:color="auto"/>
              <w:right w:val="single" w:sz="4" w:space="0" w:color="auto"/>
            </w:tcBorders>
            <w:shd w:val="clear" w:color="auto" w:fill="EAF1DD"/>
            <w:vAlign w:val="center"/>
          </w:tcPr>
          <w:p w:rsidR="002416B1" w:rsidRPr="006A2BF3" w:rsidRDefault="002416B1" w:rsidP="00205636">
            <w:pPr>
              <w:rPr>
                <w:rFonts w:ascii="Arial" w:hAnsi="Arial" w:cs="Arial"/>
                <w:b/>
                <w:bCs/>
                <w:sz w:val="18"/>
                <w:szCs w:val="18"/>
              </w:rPr>
            </w:pPr>
            <w:r w:rsidRPr="006A2BF3">
              <w:rPr>
                <w:rFonts w:ascii="Arial" w:hAnsi="Arial" w:cs="Arial"/>
                <w:b/>
                <w:bCs/>
                <w:sz w:val="18"/>
                <w:szCs w:val="18"/>
              </w:rPr>
              <w:t> </w:t>
            </w:r>
          </w:p>
        </w:tc>
        <w:tc>
          <w:tcPr>
            <w:tcW w:w="1654" w:type="dxa"/>
            <w:tcBorders>
              <w:top w:val="single" w:sz="4" w:space="0" w:color="auto"/>
              <w:left w:val="nil"/>
              <w:bottom w:val="single" w:sz="4" w:space="0" w:color="auto"/>
              <w:right w:val="single" w:sz="4" w:space="0" w:color="auto"/>
            </w:tcBorders>
            <w:shd w:val="clear" w:color="auto" w:fill="EAF1DD"/>
            <w:vAlign w:val="center"/>
          </w:tcPr>
          <w:p w:rsidR="002416B1" w:rsidRPr="006A2BF3" w:rsidRDefault="002416B1" w:rsidP="00205636">
            <w:pPr>
              <w:rPr>
                <w:rFonts w:ascii="Arial" w:hAnsi="Arial" w:cs="Arial"/>
                <w:b/>
                <w:bCs/>
                <w:sz w:val="18"/>
                <w:szCs w:val="18"/>
              </w:rPr>
            </w:pPr>
            <w:r w:rsidRPr="006A2BF3">
              <w:rPr>
                <w:rFonts w:ascii="Arial" w:hAnsi="Arial" w:cs="Arial"/>
                <w:b/>
                <w:bCs/>
                <w:sz w:val="18"/>
                <w:szCs w:val="18"/>
              </w:rPr>
              <w:t> </w:t>
            </w:r>
          </w:p>
        </w:tc>
        <w:tc>
          <w:tcPr>
            <w:tcW w:w="1559" w:type="dxa"/>
            <w:tcBorders>
              <w:top w:val="single" w:sz="4" w:space="0" w:color="auto"/>
              <w:left w:val="nil"/>
              <w:bottom w:val="single" w:sz="4" w:space="0" w:color="auto"/>
              <w:right w:val="single" w:sz="4" w:space="0" w:color="auto"/>
            </w:tcBorders>
            <w:shd w:val="clear" w:color="auto" w:fill="EAF1DD"/>
            <w:noWrap/>
            <w:vAlign w:val="center"/>
          </w:tcPr>
          <w:p w:rsidR="002416B1" w:rsidRPr="006A2BF3" w:rsidRDefault="00076F86" w:rsidP="00205636">
            <w:pPr>
              <w:jc w:val="center"/>
              <w:rPr>
                <w:rFonts w:ascii="Arial" w:hAnsi="Arial" w:cs="Arial"/>
                <w:b/>
                <w:bCs/>
                <w:sz w:val="18"/>
                <w:szCs w:val="18"/>
              </w:rPr>
            </w:pPr>
            <w:r>
              <w:rPr>
                <w:rFonts w:ascii="Arial" w:hAnsi="Arial" w:cs="Arial"/>
                <w:b/>
                <w:bCs/>
                <w:sz w:val="18"/>
                <w:szCs w:val="18"/>
              </w:rPr>
              <w:t> -</w:t>
            </w:r>
          </w:p>
        </w:tc>
      </w:tr>
    </w:tbl>
    <w:p w:rsidR="002416B1" w:rsidRPr="006A2BF3" w:rsidRDefault="00000CC9" w:rsidP="00205636">
      <w:pPr>
        <w:pStyle w:val="Zkladntextb"/>
        <w:spacing w:after="0" w:line="360" w:lineRule="auto"/>
        <w:ind w:left="0"/>
        <w:jc w:val="both"/>
        <w:rPr>
          <w:highlight w:val="yellow"/>
          <w:lang w:val="sk-SK"/>
        </w:rPr>
      </w:pPr>
      <w:r>
        <w:rPr>
          <w:rFonts w:cs="Arial"/>
          <w:sz w:val="18"/>
          <w:szCs w:val="18"/>
          <w:lang w:val="sk-SK"/>
        </w:rPr>
        <w:t>Zdroj: RO, ITMS</w:t>
      </w:r>
    </w:p>
    <w:p w:rsidR="002416B1" w:rsidRPr="004B33AE" w:rsidRDefault="002416B1" w:rsidP="00507035">
      <w:pPr>
        <w:pStyle w:val="Zkladntextb"/>
        <w:spacing w:before="120" w:after="120" w:line="360" w:lineRule="auto"/>
        <w:ind w:left="0"/>
        <w:jc w:val="both"/>
        <w:rPr>
          <w:lang w:val="sk-SK"/>
        </w:rPr>
      </w:pPr>
      <w:r w:rsidRPr="006A2BF3">
        <w:rPr>
          <w:lang w:val="sk-SK"/>
        </w:rPr>
        <w:t>V rámci prioritnej osi 2 bolo k 31.12.201</w:t>
      </w:r>
      <w:r w:rsidR="008B4280">
        <w:rPr>
          <w:lang w:val="sk-SK"/>
        </w:rPr>
        <w:t>2</w:t>
      </w:r>
      <w:r w:rsidRPr="004B33AE">
        <w:rPr>
          <w:lang w:val="sk-SK"/>
        </w:rPr>
        <w:t xml:space="preserve"> prijatých celkovo </w:t>
      </w:r>
      <w:r w:rsidR="008B4280">
        <w:rPr>
          <w:lang w:val="sk-SK"/>
        </w:rPr>
        <w:t>391</w:t>
      </w:r>
      <w:r w:rsidR="008B4280" w:rsidRPr="004B33AE">
        <w:rPr>
          <w:lang w:val="sk-SK"/>
        </w:rPr>
        <w:t xml:space="preserve"> </w:t>
      </w:r>
      <w:r w:rsidRPr="004B33AE">
        <w:rPr>
          <w:lang w:val="sk-SK"/>
        </w:rPr>
        <w:t xml:space="preserve">žiadostí o NFP, v objeme požadovaného príspevku </w:t>
      </w:r>
      <w:r w:rsidR="008B4280" w:rsidRPr="00D01D6C">
        <w:rPr>
          <w:lang w:val="sk-SK"/>
        </w:rPr>
        <w:t>510 354 068</w:t>
      </w:r>
      <w:r w:rsidRPr="004B33AE">
        <w:rPr>
          <w:lang w:val="sk-SK"/>
        </w:rPr>
        <w:t xml:space="preserve"> EUR (KF+ŠR), z toho bolo </w:t>
      </w:r>
      <w:r>
        <w:rPr>
          <w:lang w:val="sk-SK"/>
        </w:rPr>
        <w:t>67</w:t>
      </w:r>
      <w:r w:rsidRPr="004B33AE">
        <w:rPr>
          <w:lang w:val="sk-SK"/>
        </w:rPr>
        <w:t xml:space="preserve"> schválených</w:t>
      </w:r>
      <w:r w:rsidR="008B4280">
        <w:rPr>
          <w:lang w:val="sk-SK"/>
        </w:rPr>
        <w:t>,</w:t>
      </w:r>
      <w:r w:rsidRPr="004B33AE">
        <w:rPr>
          <w:lang w:val="sk-SK"/>
        </w:rPr>
        <w:t xml:space="preserve"> </w:t>
      </w:r>
      <w:r w:rsidR="008B4280">
        <w:rPr>
          <w:lang w:val="sk-SK"/>
        </w:rPr>
        <w:t>65 projektov je</w:t>
      </w:r>
      <w:r w:rsidRPr="004B33AE">
        <w:rPr>
          <w:lang w:val="sk-SK"/>
        </w:rPr>
        <w:t xml:space="preserve"> </w:t>
      </w:r>
      <w:r w:rsidR="008B4280" w:rsidRPr="004B33AE">
        <w:rPr>
          <w:lang w:val="sk-SK"/>
        </w:rPr>
        <w:t>zazmluvnen</w:t>
      </w:r>
      <w:r w:rsidR="008B4280">
        <w:rPr>
          <w:lang w:val="sk-SK"/>
        </w:rPr>
        <w:t>ých</w:t>
      </w:r>
      <w:r w:rsidRPr="004B33AE">
        <w:rPr>
          <w:lang w:val="sk-SK"/>
        </w:rPr>
        <w:t xml:space="preserve"> vo výške </w:t>
      </w:r>
      <w:r w:rsidRPr="00D01D6C">
        <w:rPr>
          <w:lang w:val="sk-SK"/>
        </w:rPr>
        <w:t xml:space="preserve">100 </w:t>
      </w:r>
      <w:r w:rsidR="008B4280" w:rsidRPr="00D01D6C">
        <w:rPr>
          <w:lang w:val="sk-SK"/>
        </w:rPr>
        <w:t>041 442</w:t>
      </w:r>
      <w:r w:rsidRPr="004B33AE">
        <w:rPr>
          <w:lang w:val="sk-SK"/>
        </w:rPr>
        <w:t xml:space="preserve"> EUR</w:t>
      </w:r>
      <w:r w:rsidR="0048122A">
        <w:rPr>
          <w:lang w:val="sk-SK"/>
        </w:rPr>
        <w:t>.</w:t>
      </w:r>
    </w:p>
    <w:p w:rsidR="002416B1" w:rsidRDefault="002416B1" w:rsidP="00507035">
      <w:pPr>
        <w:pStyle w:val="Zkladntextb"/>
        <w:spacing w:before="120" w:after="120" w:line="360" w:lineRule="auto"/>
        <w:ind w:left="0"/>
        <w:jc w:val="both"/>
        <w:rPr>
          <w:lang w:val="sk-SK"/>
        </w:rPr>
      </w:pPr>
      <w:r w:rsidRPr="00D36DF5">
        <w:rPr>
          <w:lang w:val="sk-SK"/>
        </w:rPr>
        <w:t xml:space="preserve">Z </w:t>
      </w:r>
      <w:r w:rsidR="008B4280" w:rsidRPr="00B948D5">
        <w:rPr>
          <w:lang w:val="sk-SK"/>
        </w:rPr>
        <w:t xml:space="preserve">27 </w:t>
      </w:r>
      <w:r w:rsidRPr="00B948D5">
        <w:rPr>
          <w:lang w:val="sk-SK"/>
        </w:rPr>
        <w:t>ukončených projektov bol</w:t>
      </w:r>
      <w:r w:rsidR="008B4280" w:rsidRPr="00D70258">
        <w:rPr>
          <w:lang w:val="sk-SK"/>
        </w:rPr>
        <w:t>i</w:t>
      </w:r>
      <w:r w:rsidRPr="00D36DF5">
        <w:rPr>
          <w:lang w:val="sk-SK"/>
        </w:rPr>
        <w:t xml:space="preserve"> </w:t>
      </w:r>
      <w:r w:rsidR="008B4280" w:rsidRPr="00D36DF5">
        <w:rPr>
          <w:lang w:val="sk-SK"/>
        </w:rPr>
        <w:t xml:space="preserve">dva </w:t>
      </w:r>
      <w:r w:rsidRPr="00D36DF5">
        <w:rPr>
          <w:lang w:val="sk-SK"/>
        </w:rPr>
        <w:t xml:space="preserve">mimoriadne </w:t>
      </w:r>
      <w:r w:rsidR="008B4280" w:rsidRPr="00D36DF5">
        <w:rPr>
          <w:lang w:val="sk-SK"/>
        </w:rPr>
        <w:t>ukončené</w:t>
      </w:r>
      <w:r w:rsidRPr="00D36DF5">
        <w:rPr>
          <w:lang w:val="sk-SK"/>
        </w:rPr>
        <w:t>, a to z dôvodu nastania nepredvídateľných okolností na strane prijímateľa. Zmluvný vzťah bol ukončený dohodou</w:t>
      </w:r>
      <w:r w:rsidR="003564E2">
        <w:rPr>
          <w:lang w:val="sk-SK"/>
        </w:rPr>
        <w:t xml:space="preserve"> zmluvných strán</w:t>
      </w:r>
      <w:r w:rsidRPr="00D36DF5">
        <w:rPr>
          <w:lang w:val="sk-SK"/>
        </w:rPr>
        <w:t>.</w:t>
      </w:r>
    </w:p>
    <w:p w:rsidR="002416B1" w:rsidRPr="004B33AE" w:rsidRDefault="002416B1" w:rsidP="00507035">
      <w:pPr>
        <w:pStyle w:val="Zkladntextb"/>
        <w:spacing w:before="120" w:after="120" w:line="360" w:lineRule="auto"/>
        <w:ind w:left="0"/>
        <w:jc w:val="both"/>
        <w:rPr>
          <w:lang w:val="sk-SK"/>
        </w:rPr>
      </w:pPr>
      <w:r w:rsidRPr="00570976">
        <w:rPr>
          <w:lang w:val="sk-SK"/>
        </w:rPr>
        <w:t xml:space="preserve">Tab. č. </w:t>
      </w:r>
      <w:r w:rsidR="007B7519">
        <w:rPr>
          <w:lang w:val="sk-SK"/>
        </w:rPr>
        <w:t>43</w:t>
      </w:r>
      <w:r w:rsidRPr="004B33AE">
        <w:rPr>
          <w:lang w:val="sk-SK"/>
        </w:rPr>
        <w:t xml:space="preserve">: Sledovanie vývoja implementácie prioritnej osi </w:t>
      </w:r>
      <w:r w:rsidR="00AD6BDE">
        <w:rPr>
          <w:lang w:val="sk-SK"/>
        </w:rPr>
        <w:t xml:space="preserve">2 </w:t>
      </w:r>
      <w:r w:rsidRPr="004B33AE">
        <w:rPr>
          <w:lang w:val="sk-SK"/>
        </w:rPr>
        <w:t>k 31.12.201</w:t>
      </w:r>
      <w:r w:rsidR="008B4280">
        <w:rPr>
          <w:lang w:val="sk-SK"/>
        </w:rPr>
        <w:t>2</w:t>
      </w:r>
    </w:p>
    <w:tbl>
      <w:tblPr>
        <w:tblW w:w="5000" w:type="pct"/>
        <w:tblCellMar>
          <w:left w:w="70" w:type="dxa"/>
          <w:right w:w="70" w:type="dxa"/>
        </w:tblCellMar>
        <w:tblLook w:val="04A0" w:firstRow="1" w:lastRow="0" w:firstColumn="1" w:lastColumn="0" w:noHBand="0" w:noVBand="1"/>
      </w:tblPr>
      <w:tblGrid>
        <w:gridCol w:w="1535"/>
        <w:gridCol w:w="1535"/>
        <w:gridCol w:w="1534"/>
        <w:gridCol w:w="1534"/>
        <w:gridCol w:w="1534"/>
        <w:gridCol w:w="1538"/>
      </w:tblGrid>
      <w:tr w:rsidR="00000CC9" w:rsidTr="00000CC9">
        <w:trPr>
          <w:trHeight w:val="915"/>
        </w:trPr>
        <w:tc>
          <w:tcPr>
            <w:tcW w:w="833" w:type="pct"/>
            <w:tcBorders>
              <w:top w:val="single" w:sz="8" w:space="0" w:color="auto"/>
              <w:left w:val="single" w:sz="8" w:space="0" w:color="auto"/>
              <w:bottom w:val="single" w:sz="8" w:space="0" w:color="auto"/>
              <w:right w:val="single" w:sz="8" w:space="0" w:color="auto"/>
            </w:tcBorders>
            <w:shd w:val="clear" w:color="000000" w:fill="D6E3BC"/>
            <w:vAlign w:val="center"/>
            <w:hideMark/>
          </w:tcPr>
          <w:p w:rsidR="00000CC9" w:rsidRDefault="00000CC9">
            <w:pPr>
              <w:jc w:val="center"/>
              <w:rPr>
                <w:rFonts w:ascii="Arial" w:hAnsi="Arial" w:cs="Arial"/>
                <w:b/>
                <w:bCs/>
                <w:color w:val="000000"/>
                <w:sz w:val="16"/>
                <w:szCs w:val="16"/>
              </w:rPr>
            </w:pPr>
            <w:r>
              <w:rPr>
                <w:rFonts w:ascii="Arial" w:hAnsi="Arial" w:cs="Arial"/>
                <w:b/>
                <w:bCs/>
                <w:color w:val="000000"/>
                <w:sz w:val="16"/>
                <w:szCs w:val="16"/>
              </w:rPr>
              <w:t>Hlavná téma</w:t>
            </w:r>
          </w:p>
        </w:tc>
        <w:tc>
          <w:tcPr>
            <w:tcW w:w="833" w:type="pct"/>
            <w:tcBorders>
              <w:top w:val="single" w:sz="8" w:space="0" w:color="auto"/>
              <w:left w:val="nil"/>
              <w:bottom w:val="single" w:sz="8" w:space="0" w:color="auto"/>
              <w:right w:val="single" w:sz="8" w:space="0" w:color="auto"/>
            </w:tcBorders>
            <w:shd w:val="clear" w:color="000000" w:fill="D6E3BC"/>
            <w:vAlign w:val="center"/>
            <w:hideMark/>
          </w:tcPr>
          <w:p w:rsidR="00000CC9" w:rsidRDefault="00000CC9">
            <w:pPr>
              <w:jc w:val="center"/>
              <w:rPr>
                <w:rFonts w:ascii="Arial" w:hAnsi="Arial" w:cs="Arial"/>
                <w:b/>
                <w:bCs/>
                <w:color w:val="000000"/>
                <w:sz w:val="16"/>
                <w:szCs w:val="16"/>
              </w:rPr>
            </w:pPr>
            <w:r>
              <w:rPr>
                <w:rFonts w:ascii="Arial" w:hAnsi="Arial" w:cs="Arial"/>
                <w:b/>
                <w:bCs/>
                <w:color w:val="000000"/>
                <w:sz w:val="16"/>
                <w:szCs w:val="16"/>
              </w:rPr>
              <w:t>Počet prijatých ŽoNFP</w:t>
            </w:r>
          </w:p>
        </w:tc>
        <w:tc>
          <w:tcPr>
            <w:tcW w:w="833" w:type="pct"/>
            <w:tcBorders>
              <w:top w:val="single" w:sz="8" w:space="0" w:color="auto"/>
              <w:left w:val="nil"/>
              <w:bottom w:val="single" w:sz="8" w:space="0" w:color="auto"/>
              <w:right w:val="single" w:sz="8" w:space="0" w:color="auto"/>
            </w:tcBorders>
            <w:shd w:val="clear" w:color="000000" w:fill="D6E3BC"/>
            <w:vAlign w:val="center"/>
            <w:hideMark/>
          </w:tcPr>
          <w:p w:rsidR="00000CC9" w:rsidRDefault="00000CC9">
            <w:pPr>
              <w:jc w:val="center"/>
              <w:rPr>
                <w:rFonts w:ascii="Arial" w:hAnsi="Arial" w:cs="Arial"/>
                <w:b/>
                <w:bCs/>
                <w:color w:val="000000"/>
                <w:sz w:val="16"/>
                <w:szCs w:val="16"/>
              </w:rPr>
            </w:pPr>
            <w:r>
              <w:rPr>
                <w:rFonts w:ascii="Arial" w:hAnsi="Arial" w:cs="Arial"/>
                <w:b/>
                <w:bCs/>
                <w:color w:val="000000"/>
                <w:sz w:val="16"/>
                <w:szCs w:val="16"/>
              </w:rPr>
              <w:t>Počet schválených ŽoNFP</w:t>
            </w:r>
          </w:p>
        </w:tc>
        <w:tc>
          <w:tcPr>
            <w:tcW w:w="833" w:type="pct"/>
            <w:tcBorders>
              <w:top w:val="single" w:sz="8" w:space="0" w:color="auto"/>
              <w:left w:val="nil"/>
              <w:bottom w:val="single" w:sz="8" w:space="0" w:color="auto"/>
              <w:right w:val="single" w:sz="8" w:space="0" w:color="auto"/>
            </w:tcBorders>
            <w:shd w:val="clear" w:color="000000" w:fill="D6E3BC"/>
            <w:vAlign w:val="center"/>
            <w:hideMark/>
          </w:tcPr>
          <w:p w:rsidR="00000CC9" w:rsidRDefault="00000CC9">
            <w:pPr>
              <w:jc w:val="center"/>
              <w:rPr>
                <w:rFonts w:ascii="Arial" w:hAnsi="Arial" w:cs="Arial"/>
                <w:b/>
                <w:bCs/>
                <w:color w:val="000000"/>
                <w:sz w:val="16"/>
                <w:szCs w:val="16"/>
              </w:rPr>
            </w:pPr>
            <w:r>
              <w:rPr>
                <w:rFonts w:ascii="Arial" w:hAnsi="Arial" w:cs="Arial"/>
                <w:b/>
                <w:bCs/>
                <w:color w:val="000000"/>
                <w:sz w:val="16"/>
                <w:szCs w:val="16"/>
              </w:rPr>
              <w:t>Počet zazmluvnených projektov</w:t>
            </w:r>
          </w:p>
        </w:tc>
        <w:tc>
          <w:tcPr>
            <w:tcW w:w="833" w:type="pct"/>
            <w:tcBorders>
              <w:top w:val="single" w:sz="8" w:space="0" w:color="auto"/>
              <w:left w:val="nil"/>
              <w:bottom w:val="single" w:sz="8" w:space="0" w:color="auto"/>
              <w:right w:val="single" w:sz="8" w:space="0" w:color="auto"/>
            </w:tcBorders>
            <w:shd w:val="clear" w:color="000000" w:fill="D6E3BC"/>
            <w:vAlign w:val="center"/>
            <w:hideMark/>
          </w:tcPr>
          <w:p w:rsidR="00000CC9" w:rsidRDefault="00000CC9">
            <w:pPr>
              <w:jc w:val="center"/>
              <w:rPr>
                <w:rFonts w:ascii="Arial" w:hAnsi="Arial" w:cs="Arial"/>
                <w:b/>
                <w:bCs/>
                <w:color w:val="000000"/>
                <w:sz w:val="16"/>
                <w:szCs w:val="16"/>
              </w:rPr>
            </w:pPr>
            <w:r>
              <w:rPr>
                <w:rFonts w:ascii="Arial" w:hAnsi="Arial" w:cs="Arial"/>
                <w:b/>
                <w:bCs/>
                <w:color w:val="000000"/>
                <w:sz w:val="16"/>
                <w:szCs w:val="16"/>
              </w:rPr>
              <w:t>Počet  riadne ukončených projektov</w:t>
            </w:r>
          </w:p>
        </w:tc>
        <w:tc>
          <w:tcPr>
            <w:tcW w:w="833" w:type="pct"/>
            <w:tcBorders>
              <w:top w:val="single" w:sz="8" w:space="0" w:color="auto"/>
              <w:left w:val="nil"/>
              <w:bottom w:val="single" w:sz="8" w:space="0" w:color="auto"/>
              <w:right w:val="single" w:sz="8" w:space="0" w:color="auto"/>
            </w:tcBorders>
            <w:shd w:val="clear" w:color="000000" w:fill="D6E3BC"/>
            <w:vAlign w:val="center"/>
            <w:hideMark/>
          </w:tcPr>
          <w:p w:rsidR="00000CC9" w:rsidRDefault="00000CC9">
            <w:pPr>
              <w:jc w:val="center"/>
              <w:rPr>
                <w:rFonts w:ascii="Arial" w:hAnsi="Arial" w:cs="Arial"/>
                <w:b/>
                <w:bCs/>
                <w:color w:val="000000"/>
                <w:sz w:val="16"/>
                <w:szCs w:val="16"/>
              </w:rPr>
            </w:pPr>
            <w:r>
              <w:rPr>
                <w:rFonts w:ascii="Arial" w:hAnsi="Arial" w:cs="Arial"/>
                <w:b/>
                <w:bCs/>
                <w:color w:val="000000"/>
                <w:sz w:val="16"/>
                <w:szCs w:val="16"/>
              </w:rPr>
              <w:t>Počet mimoriadne ukončených projektov</w:t>
            </w:r>
          </w:p>
        </w:tc>
      </w:tr>
      <w:tr w:rsidR="00000CC9" w:rsidTr="00000CC9">
        <w:trPr>
          <w:trHeight w:val="2040"/>
        </w:trPr>
        <w:tc>
          <w:tcPr>
            <w:tcW w:w="833" w:type="pct"/>
            <w:tcBorders>
              <w:top w:val="nil"/>
              <w:left w:val="single" w:sz="8" w:space="0" w:color="auto"/>
              <w:bottom w:val="single" w:sz="8" w:space="0" w:color="auto"/>
              <w:right w:val="single" w:sz="8" w:space="0" w:color="auto"/>
            </w:tcBorders>
            <w:shd w:val="clear" w:color="auto" w:fill="auto"/>
            <w:vAlign w:val="center"/>
            <w:hideMark/>
          </w:tcPr>
          <w:p w:rsidR="00000CC9" w:rsidRDefault="00000CC9">
            <w:pPr>
              <w:rPr>
                <w:rFonts w:ascii="Arial" w:hAnsi="Arial" w:cs="Arial"/>
                <w:color w:val="000000"/>
                <w:sz w:val="16"/>
                <w:szCs w:val="16"/>
              </w:rPr>
            </w:pPr>
            <w:r>
              <w:rPr>
                <w:rFonts w:ascii="Arial" w:hAnsi="Arial" w:cs="Arial"/>
                <w:color w:val="000000"/>
                <w:sz w:val="16"/>
                <w:szCs w:val="16"/>
              </w:rPr>
              <w:t>53 - Predchádzanie rizikám (vrátane návrhu a realizácie plánov a opatrení na predchádzanie prírodným a technologickým rizikám a ich riadenie)</w:t>
            </w:r>
          </w:p>
        </w:tc>
        <w:tc>
          <w:tcPr>
            <w:tcW w:w="833" w:type="pct"/>
            <w:tcBorders>
              <w:top w:val="nil"/>
              <w:left w:val="nil"/>
              <w:bottom w:val="single" w:sz="8" w:space="0" w:color="auto"/>
              <w:right w:val="single" w:sz="8" w:space="0" w:color="auto"/>
            </w:tcBorders>
            <w:shd w:val="clear" w:color="auto" w:fill="auto"/>
            <w:noWrap/>
            <w:vAlign w:val="center"/>
            <w:hideMark/>
          </w:tcPr>
          <w:p w:rsidR="00000CC9" w:rsidRDefault="00000CC9">
            <w:pPr>
              <w:jc w:val="center"/>
              <w:rPr>
                <w:rFonts w:ascii="Arial" w:hAnsi="Arial" w:cs="Arial"/>
                <w:color w:val="000000"/>
                <w:sz w:val="16"/>
                <w:szCs w:val="16"/>
              </w:rPr>
            </w:pPr>
            <w:r>
              <w:rPr>
                <w:rFonts w:ascii="Arial" w:hAnsi="Arial" w:cs="Arial"/>
                <w:color w:val="000000"/>
                <w:sz w:val="16"/>
                <w:szCs w:val="16"/>
              </w:rPr>
              <w:t>391</w:t>
            </w:r>
          </w:p>
        </w:tc>
        <w:tc>
          <w:tcPr>
            <w:tcW w:w="833" w:type="pct"/>
            <w:tcBorders>
              <w:top w:val="nil"/>
              <w:left w:val="nil"/>
              <w:bottom w:val="single" w:sz="8" w:space="0" w:color="auto"/>
              <w:right w:val="single" w:sz="8" w:space="0" w:color="auto"/>
            </w:tcBorders>
            <w:shd w:val="clear" w:color="auto" w:fill="auto"/>
            <w:noWrap/>
            <w:vAlign w:val="center"/>
            <w:hideMark/>
          </w:tcPr>
          <w:p w:rsidR="00000CC9" w:rsidRDefault="00000CC9">
            <w:pPr>
              <w:jc w:val="center"/>
              <w:rPr>
                <w:rFonts w:ascii="Arial" w:hAnsi="Arial" w:cs="Arial"/>
                <w:color w:val="000000"/>
                <w:sz w:val="16"/>
                <w:szCs w:val="16"/>
              </w:rPr>
            </w:pPr>
            <w:r>
              <w:rPr>
                <w:rFonts w:ascii="Arial" w:hAnsi="Arial" w:cs="Arial"/>
                <w:color w:val="000000"/>
                <w:sz w:val="16"/>
                <w:szCs w:val="16"/>
              </w:rPr>
              <w:t>67</w:t>
            </w:r>
          </w:p>
        </w:tc>
        <w:tc>
          <w:tcPr>
            <w:tcW w:w="833" w:type="pct"/>
            <w:tcBorders>
              <w:top w:val="nil"/>
              <w:left w:val="nil"/>
              <w:bottom w:val="single" w:sz="8" w:space="0" w:color="auto"/>
              <w:right w:val="single" w:sz="8" w:space="0" w:color="auto"/>
            </w:tcBorders>
            <w:shd w:val="clear" w:color="auto" w:fill="auto"/>
            <w:noWrap/>
            <w:vAlign w:val="center"/>
            <w:hideMark/>
          </w:tcPr>
          <w:p w:rsidR="00000CC9" w:rsidRDefault="00000CC9">
            <w:pPr>
              <w:jc w:val="center"/>
              <w:rPr>
                <w:rFonts w:ascii="Arial" w:hAnsi="Arial" w:cs="Arial"/>
                <w:color w:val="000000"/>
                <w:sz w:val="16"/>
                <w:szCs w:val="16"/>
              </w:rPr>
            </w:pPr>
            <w:r>
              <w:rPr>
                <w:rFonts w:ascii="Arial" w:hAnsi="Arial" w:cs="Arial"/>
                <w:color w:val="000000"/>
                <w:sz w:val="16"/>
                <w:szCs w:val="16"/>
              </w:rPr>
              <w:t>67</w:t>
            </w:r>
          </w:p>
        </w:tc>
        <w:tc>
          <w:tcPr>
            <w:tcW w:w="833" w:type="pct"/>
            <w:tcBorders>
              <w:top w:val="nil"/>
              <w:left w:val="nil"/>
              <w:bottom w:val="single" w:sz="8" w:space="0" w:color="auto"/>
              <w:right w:val="single" w:sz="8" w:space="0" w:color="auto"/>
            </w:tcBorders>
            <w:shd w:val="clear" w:color="auto" w:fill="auto"/>
            <w:noWrap/>
            <w:vAlign w:val="center"/>
            <w:hideMark/>
          </w:tcPr>
          <w:p w:rsidR="00000CC9" w:rsidRDefault="00000CC9">
            <w:pPr>
              <w:jc w:val="center"/>
              <w:rPr>
                <w:rFonts w:ascii="Arial" w:hAnsi="Arial" w:cs="Arial"/>
                <w:color w:val="000000"/>
                <w:sz w:val="16"/>
                <w:szCs w:val="16"/>
              </w:rPr>
            </w:pPr>
            <w:r>
              <w:rPr>
                <w:rFonts w:ascii="Arial" w:hAnsi="Arial" w:cs="Arial"/>
                <w:color w:val="000000"/>
                <w:sz w:val="16"/>
                <w:szCs w:val="16"/>
              </w:rPr>
              <w:t>25</w:t>
            </w:r>
          </w:p>
        </w:tc>
        <w:tc>
          <w:tcPr>
            <w:tcW w:w="833" w:type="pct"/>
            <w:tcBorders>
              <w:top w:val="nil"/>
              <w:left w:val="nil"/>
              <w:bottom w:val="single" w:sz="8" w:space="0" w:color="auto"/>
              <w:right w:val="single" w:sz="8" w:space="0" w:color="auto"/>
            </w:tcBorders>
            <w:shd w:val="clear" w:color="auto" w:fill="auto"/>
            <w:noWrap/>
            <w:vAlign w:val="center"/>
            <w:hideMark/>
          </w:tcPr>
          <w:p w:rsidR="00000CC9" w:rsidRDefault="00000CC9">
            <w:pPr>
              <w:jc w:val="center"/>
              <w:rPr>
                <w:rFonts w:ascii="Arial" w:hAnsi="Arial" w:cs="Arial"/>
                <w:color w:val="000000"/>
                <w:sz w:val="16"/>
                <w:szCs w:val="16"/>
              </w:rPr>
            </w:pPr>
            <w:r>
              <w:rPr>
                <w:rFonts w:ascii="Arial" w:hAnsi="Arial" w:cs="Arial"/>
                <w:color w:val="000000"/>
                <w:sz w:val="16"/>
                <w:szCs w:val="16"/>
              </w:rPr>
              <w:t>2</w:t>
            </w:r>
          </w:p>
        </w:tc>
      </w:tr>
      <w:tr w:rsidR="00000CC9" w:rsidTr="00000CC9">
        <w:trPr>
          <w:trHeight w:val="315"/>
        </w:trPr>
        <w:tc>
          <w:tcPr>
            <w:tcW w:w="833" w:type="pct"/>
            <w:tcBorders>
              <w:top w:val="nil"/>
              <w:left w:val="single" w:sz="8" w:space="0" w:color="auto"/>
              <w:bottom w:val="single" w:sz="8" w:space="0" w:color="auto"/>
              <w:right w:val="single" w:sz="8" w:space="0" w:color="auto"/>
            </w:tcBorders>
            <w:shd w:val="clear" w:color="000000" w:fill="EAF1DD"/>
            <w:vAlign w:val="center"/>
            <w:hideMark/>
          </w:tcPr>
          <w:p w:rsidR="00000CC9" w:rsidRDefault="00000CC9">
            <w:pPr>
              <w:rPr>
                <w:rFonts w:ascii="Arial" w:hAnsi="Arial" w:cs="Arial"/>
                <w:b/>
                <w:bCs/>
                <w:color w:val="000000"/>
                <w:sz w:val="16"/>
                <w:szCs w:val="16"/>
              </w:rPr>
            </w:pPr>
            <w:r>
              <w:rPr>
                <w:rFonts w:ascii="Arial" w:hAnsi="Arial" w:cs="Arial"/>
                <w:b/>
                <w:bCs/>
                <w:color w:val="000000"/>
                <w:sz w:val="16"/>
                <w:szCs w:val="16"/>
              </w:rPr>
              <w:t>Celkom</w:t>
            </w:r>
          </w:p>
        </w:tc>
        <w:tc>
          <w:tcPr>
            <w:tcW w:w="833" w:type="pct"/>
            <w:tcBorders>
              <w:top w:val="nil"/>
              <w:left w:val="nil"/>
              <w:bottom w:val="single" w:sz="8" w:space="0" w:color="auto"/>
              <w:right w:val="single" w:sz="8" w:space="0" w:color="auto"/>
            </w:tcBorders>
            <w:shd w:val="clear" w:color="000000" w:fill="EAF1DD"/>
            <w:noWrap/>
            <w:vAlign w:val="center"/>
            <w:hideMark/>
          </w:tcPr>
          <w:p w:rsidR="00000CC9" w:rsidRDefault="00000CC9">
            <w:pPr>
              <w:jc w:val="center"/>
              <w:rPr>
                <w:rFonts w:ascii="Arial" w:hAnsi="Arial" w:cs="Arial"/>
                <w:b/>
                <w:bCs/>
                <w:color w:val="000000"/>
                <w:sz w:val="16"/>
                <w:szCs w:val="16"/>
              </w:rPr>
            </w:pPr>
            <w:r>
              <w:rPr>
                <w:rFonts w:ascii="Arial" w:hAnsi="Arial" w:cs="Arial"/>
                <w:b/>
                <w:bCs/>
                <w:color w:val="000000"/>
                <w:sz w:val="16"/>
                <w:szCs w:val="16"/>
              </w:rPr>
              <w:t>391</w:t>
            </w:r>
          </w:p>
        </w:tc>
        <w:tc>
          <w:tcPr>
            <w:tcW w:w="833" w:type="pct"/>
            <w:tcBorders>
              <w:top w:val="nil"/>
              <w:left w:val="nil"/>
              <w:bottom w:val="single" w:sz="8" w:space="0" w:color="auto"/>
              <w:right w:val="single" w:sz="8" w:space="0" w:color="auto"/>
            </w:tcBorders>
            <w:shd w:val="clear" w:color="000000" w:fill="EAF1DD"/>
            <w:noWrap/>
            <w:vAlign w:val="center"/>
            <w:hideMark/>
          </w:tcPr>
          <w:p w:rsidR="00000CC9" w:rsidRDefault="00000CC9">
            <w:pPr>
              <w:jc w:val="center"/>
              <w:rPr>
                <w:rFonts w:ascii="Arial" w:hAnsi="Arial" w:cs="Arial"/>
                <w:b/>
                <w:bCs/>
                <w:color w:val="000000"/>
                <w:sz w:val="16"/>
                <w:szCs w:val="16"/>
              </w:rPr>
            </w:pPr>
            <w:r>
              <w:rPr>
                <w:rFonts w:ascii="Arial" w:hAnsi="Arial" w:cs="Arial"/>
                <w:b/>
                <w:bCs/>
                <w:color w:val="000000"/>
                <w:sz w:val="16"/>
                <w:szCs w:val="16"/>
              </w:rPr>
              <w:t>67</w:t>
            </w:r>
          </w:p>
        </w:tc>
        <w:tc>
          <w:tcPr>
            <w:tcW w:w="833" w:type="pct"/>
            <w:tcBorders>
              <w:top w:val="nil"/>
              <w:left w:val="nil"/>
              <w:bottom w:val="single" w:sz="8" w:space="0" w:color="auto"/>
              <w:right w:val="single" w:sz="8" w:space="0" w:color="auto"/>
            </w:tcBorders>
            <w:shd w:val="clear" w:color="000000" w:fill="EAF1DD"/>
            <w:noWrap/>
            <w:vAlign w:val="center"/>
            <w:hideMark/>
          </w:tcPr>
          <w:p w:rsidR="00000CC9" w:rsidRDefault="00000CC9">
            <w:pPr>
              <w:jc w:val="center"/>
              <w:rPr>
                <w:rFonts w:ascii="Arial" w:hAnsi="Arial" w:cs="Arial"/>
                <w:b/>
                <w:bCs/>
                <w:color w:val="000000"/>
                <w:sz w:val="16"/>
                <w:szCs w:val="16"/>
              </w:rPr>
            </w:pPr>
            <w:r>
              <w:rPr>
                <w:rFonts w:ascii="Arial" w:hAnsi="Arial" w:cs="Arial"/>
                <w:b/>
                <w:bCs/>
                <w:color w:val="000000"/>
                <w:sz w:val="16"/>
                <w:szCs w:val="16"/>
              </w:rPr>
              <w:t>67</w:t>
            </w:r>
          </w:p>
        </w:tc>
        <w:tc>
          <w:tcPr>
            <w:tcW w:w="833" w:type="pct"/>
            <w:tcBorders>
              <w:top w:val="nil"/>
              <w:left w:val="nil"/>
              <w:bottom w:val="single" w:sz="8" w:space="0" w:color="auto"/>
              <w:right w:val="single" w:sz="8" w:space="0" w:color="auto"/>
            </w:tcBorders>
            <w:shd w:val="clear" w:color="000000" w:fill="EAF1DD"/>
            <w:noWrap/>
            <w:vAlign w:val="center"/>
            <w:hideMark/>
          </w:tcPr>
          <w:p w:rsidR="00000CC9" w:rsidRDefault="00000CC9">
            <w:pPr>
              <w:jc w:val="center"/>
              <w:rPr>
                <w:rFonts w:ascii="Arial" w:hAnsi="Arial" w:cs="Arial"/>
                <w:b/>
                <w:bCs/>
                <w:color w:val="000000"/>
                <w:sz w:val="16"/>
                <w:szCs w:val="16"/>
              </w:rPr>
            </w:pPr>
            <w:r>
              <w:rPr>
                <w:rFonts w:ascii="Arial" w:hAnsi="Arial" w:cs="Arial"/>
                <w:b/>
                <w:bCs/>
                <w:color w:val="000000"/>
                <w:sz w:val="16"/>
                <w:szCs w:val="16"/>
              </w:rPr>
              <w:t>25</w:t>
            </w:r>
          </w:p>
        </w:tc>
        <w:tc>
          <w:tcPr>
            <w:tcW w:w="833" w:type="pct"/>
            <w:tcBorders>
              <w:top w:val="nil"/>
              <w:left w:val="nil"/>
              <w:bottom w:val="single" w:sz="8" w:space="0" w:color="auto"/>
              <w:right w:val="single" w:sz="8" w:space="0" w:color="auto"/>
            </w:tcBorders>
            <w:shd w:val="clear" w:color="000000" w:fill="EAF1DD"/>
            <w:noWrap/>
            <w:vAlign w:val="center"/>
            <w:hideMark/>
          </w:tcPr>
          <w:p w:rsidR="00000CC9" w:rsidRDefault="00000CC9">
            <w:pPr>
              <w:jc w:val="center"/>
              <w:rPr>
                <w:rFonts w:ascii="Arial" w:hAnsi="Arial" w:cs="Arial"/>
                <w:b/>
                <w:bCs/>
                <w:color w:val="000000"/>
                <w:sz w:val="16"/>
                <w:szCs w:val="16"/>
              </w:rPr>
            </w:pPr>
            <w:r>
              <w:rPr>
                <w:rFonts w:ascii="Arial" w:hAnsi="Arial" w:cs="Arial"/>
                <w:b/>
                <w:bCs/>
                <w:color w:val="000000"/>
                <w:sz w:val="16"/>
                <w:szCs w:val="16"/>
              </w:rPr>
              <w:t>2</w:t>
            </w:r>
          </w:p>
        </w:tc>
      </w:tr>
      <w:tr w:rsidR="00000CC9" w:rsidTr="00000CC9">
        <w:trPr>
          <w:trHeight w:val="315"/>
        </w:trPr>
        <w:tc>
          <w:tcPr>
            <w:tcW w:w="5000" w:type="pct"/>
            <w:gridSpan w:val="6"/>
            <w:tcBorders>
              <w:top w:val="single" w:sz="8" w:space="0" w:color="auto"/>
              <w:left w:val="nil"/>
              <w:bottom w:val="single" w:sz="8" w:space="0" w:color="auto"/>
              <w:right w:val="nil"/>
            </w:tcBorders>
            <w:shd w:val="clear" w:color="auto" w:fill="auto"/>
            <w:vAlign w:val="center"/>
            <w:hideMark/>
          </w:tcPr>
          <w:p w:rsidR="00000CC9" w:rsidRDefault="00000CC9">
            <w:pPr>
              <w:rPr>
                <w:rFonts w:ascii="Arial" w:hAnsi="Arial" w:cs="Arial"/>
                <w:b/>
                <w:bCs/>
                <w:i/>
                <w:iCs/>
                <w:color w:val="000000"/>
                <w:sz w:val="16"/>
                <w:szCs w:val="16"/>
              </w:rPr>
            </w:pPr>
            <w:r>
              <w:rPr>
                <w:rFonts w:ascii="Arial" w:hAnsi="Arial" w:cs="Arial"/>
                <w:b/>
                <w:bCs/>
                <w:i/>
                <w:iCs/>
                <w:color w:val="000000"/>
                <w:sz w:val="16"/>
                <w:szCs w:val="16"/>
              </w:rPr>
              <w:t>Finančné vyčíslenie ŠF/KF a ŠR v €</w:t>
            </w:r>
          </w:p>
        </w:tc>
      </w:tr>
      <w:tr w:rsidR="00000CC9" w:rsidTr="00000CC9">
        <w:trPr>
          <w:trHeight w:val="915"/>
        </w:trPr>
        <w:tc>
          <w:tcPr>
            <w:tcW w:w="833" w:type="pct"/>
            <w:tcBorders>
              <w:top w:val="nil"/>
              <w:left w:val="single" w:sz="8" w:space="0" w:color="auto"/>
              <w:bottom w:val="single" w:sz="8" w:space="0" w:color="auto"/>
              <w:right w:val="single" w:sz="8" w:space="0" w:color="auto"/>
            </w:tcBorders>
            <w:shd w:val="clear" w:color="000000" w:fill="D6E3BC"/>
            <w:vAlign w:val="center"/>
            <w:hideMark/>
          </w:tcPr>
          <w:p w:rsidR="00000CC9" w:rsidRDefault="00000CC9">
            <w:pPr>
              <w:jc w:val="center"/>
              <w:rPr>
                <w:rFonts w:ascii="Arial" w:hAnsi="Arial" w:cs="Arial"/>
                <w:b/>
                <w:bCs/>
                <w:color w:val="000000"/>
                <w:sz w:val="16"/>
                <w:szCs w:val="16"/>
              </w:rPr>
            </w:pPr>
            <w:r>
              <w:rPr>
                <w:rFonts w:ascii="Arial" w:hAnsi="Arial" w:cs="Arial"/>
                <w:b/>
                <w:bCs/>
                <w:color w:val="000000"/>
                <w:sz w:val="16"/>
                <w:szCs w:val="16"/>
              </w:rPr>
              <w:t>Hlavná téma</w:t>
            </w:r>
          </w:p>
        </w:tc>
        <w:tc>
          <w:tcPr>
            <w:tcW w:w="833" w:type="pct"/>
            <w:tcBorders>
              <w:top w:val="nil"/>
              <w:left w:val="nil"/>
              <w:bottom w:val="single" w:sz="8" w:space="0" w:color="auto"/>
              <w:right w:val="single" w:sz="8" w:space="0" w:color="auto"/>
            </w:tcBorders>
            <w:shd w:val="clear" w:color="000000" w:fill="D6E3BC"/>
            <w:vAlign w:val="center"/>
            <w:hideMark/>
          </w:tcPr>
          <w:p w:rsidR="00000CC9" w:rsidRDefault="00000CC9">
            <w:pPr>
              <w:jc w:val="center"/>
              <w:rPr>
                <w:rFonts w:ascii="Arial" w:hAnsi="Arial" w:cs="Arial"/>
                <w:b/>
                <w:bCs/>
                <w:color w:val="000000"/>
                <w:sz w:val="16"/>
                <w:szCs w:val="16"/>
              </w:rPr>
            </w:pPr>
            <w:r>
              <w:rPr>
                <w:rFonts w:ascii="Arial" w:hAnsi="Arial" w:cs="Arial"/>
                <w:b/>
                <w:bCs/>
                <w:color w:val="000000"/>
                <w:sz w:val="16"/>
                <w:szCs w:val="16"/>
              </w:rPr>
              <w:t>Výška žiadaného príspevku (NFP)</w:t>
            </w:r>
          </w:p>
        </w:tc>
        <w:tc>
          <w:tcPr>
            <w:tcW w:w="833" w:type="pct"/>
            <w:tcBorders>
              <w:top w:val="nil"/>
              <w:left w:val="nil"/>
              <w:bottom w:val="single" w:sz="8" w:space="0" w:color="auto"/>
              <w:right w:val="single" w:sz="8" w:space="0" w:color="auto"/>
            </w:tcBorders>
            <w:shd w:val="clear" w:color="000000" w:fill="D6E3BC"/>
            <w:vAlign w:val="center"/>
            <w:hideMark/>
          </w:tcPr>
          <w:p w:rsidR="00000CC9" w:rsidRDefault="00000CC9">
            <w:pPr>
              <w:jc w:val="center"/>
              <w:rPr>
                <w:rFonts w:ascii="Arial" w:hAnsi="Arial" w:cs="Arial"/>
                <w:b/>
                <w:bCs/>
                <w:color w:val="000000"/>
                <w:sz w:val="16"/>
                <w:szCs w:val="16"/>
              </w:rPr>
            </w:pPr>
            <w:r>
              <w:rPr>
                <w:rFonts w:ascii="Arial" w:hAnsi="Arial" w:cs="Arial"/>
                <w:b/>
                <w:bCs/>
                <w:color w:val="000000"/>
                <w:sz w:val="16"/>
                <w:szCs w:val="16"/>
              </w:rPr>
              <w:t>Výška schváleného príspevku (NFP)</w:t>
            </w:r>
          </w:p>
        </w:tc>
        <w:tc>
          <w:tcPr>
            <w:tcW w:w="833" w:type="pct"/>
            <w:tcBorders>
              <w:top w:val="nil"/>
              <w:left w:val="nil"/>
              <w:bottom w:val="single" w:sz="8" w:space="0" w:color="auto"/>
              <w:right w:val="single" w:sz="8" w:space="0" w:color="auto"/>
            </w:tcBorders>
            <w:shd w:val="clear" w:color="000000" w:fill="D6E3BC"/>
            <w:vAlign w:val="center"/>
            <w:hideMark/>
          </w:tcPr>
          <w:p w:rsidR="00000CC9" w:rsidRDefault="00000CC9">
            <w:pPr>
              <w:jc w:val="center"/>
              <w:rPr>
                <w:rFonts w:ascii="Arial" w:hAnsi="Arial" w:cs="Arial"/>
                <w:b/>
                <w:bCs/>
                <w:color w:val="000000"/>
                <w:sz w:val="16"/>
                <w:szCs w:val="16"/>
              </w:rPr>
            </w:pPr>
            <w:r>
              <w:rPr>
                <w:rFonts w:ascii="Arial" w:hAnsi="Arial" w:cs="Arial"/>
                <w:b/>
                <w:bCs/>
                <w:color w:val="000000"/>
                <w:sz w:val="16"/>
                <w:szCs w:val="16"/>
              </w:rPr>
              <w:t>Výška zazmluvnených prostriedkov (NFP)</w:t>
            </w:r>
          </w:p>
        </w:tc>
        <w:tc>
          <w:tcPr>
            <w:tcW w:w="833" w:type="pct"/>
            <w:tcBorders>
              <w:top w:val="nil"/>
              <w:left w:val="nil"/>
              <w:bottom w:val="single" w:sz="8" w:space="0" w:color="auto"/>
              <w:right w:val="single" w:sz="8" w:space="0" w:color="auto"/>
            </w:tcBorders>
            <w:shd w:val="clear" w:color="000000" w:fill="D6E3BC"/>
            <w:vAlign w:val="center"/>
            <w:hideMark/>
          </w:tcPr>
          <w:p w:rsidR="00000CC9" w:rsidRDefault="00000CC9">
            <w:pPr>
              <w:jc w:val="center"/>
              <w:rPr>
                <w:rFonts w:ascii="Arial" w:hAnsi="Arial" w:cs="Arial"/>
                <w:b/>
                <w:bCs/>
                <w:color w:val="000000"/>
                <w:sz w:val="16"/>
                <w:szCs w:val="16"/>
              </w:rPr>
            </w:pPr>
            <w:r>
              <w:rPr>
                <w:rFonts w:ascii="Arial" w:hAnsi="Arial" w:cs="Arial"/>
                <w:b/>
                <w:bCs/>
                <w:color w:val="000000"/>
                <w:sz w:val="16"/>
                <w:szCs w:val="16"/>
              </w:rPr>
              <w:t xml:space="preserve">Výška riadne ukončených projektov </w:t>
            </w:r>
            <w:r>
              <w:rPr>
                <w:rFonts w:ascii="Arial" w:hAnsi="Arial" w:cs="Arial"/>
                <w:b/>
                <w:bCs/>
                <w:color w:val="000000"/>
                <w:sz w:val="16"/>
                <w:szCs w:val="16"/>
                <w:vertAlign w:val="superscript"/>
              </w:rPr>
              <w:t>1</w:t>
            </w:r>
          </w:p>
        </w:tc>
        <w:tc>
          <w:tcPr>
            <w:tcW w:w="833" w:type="pct"/>
            <w:tcBorders>
              <w:top w:val="nil"/>
              <w:left w:val="nil"/>
              <w:bottom w:val="single" w:sz="8" w:space="0" w:color="auto"/>
              <w:right w:val="single" w:sz="8" w:space="0" w:color="auto"/>
            </w:tcBorders>
            <w:shd w:val="clear" w:color="000000" w:fill="D6E3BC"/>
            <w:vAlign w:val="center"/>
            <w:hideMark/>
          </w:tcPr>
          <w:p w:rsidR="00000CC9" w:rsidRDefault="00000CC9">
            <w:pPr>
              <w:jc w:val="center"/>
              <w:rPr>
                <w:rFonts w:ascii="Arial" w:hAnsi="Arial" w:cs="Arial"/>
                <w:b/>
                <w:bCs/>
                <w:color w:val="000000"/>
                <w:sz w:val="16"/>
                <w:szCs w:val="16"/>
              </w:rPr>
            </w:pPr>
            <w:r>
              <w:rPr>
                <w:rFonts w:ascii="Arial" w:hAnsi="Arial" w:cs="Arial"/>
                <w:b/>
                <w:bCs/>
                <w:color w:val="000000"/>
                <w:sz w:val="16"/>
                <w:szCs w:val="16"/>
              </w:rPr>
              <w:t>Výška mimoriadne ukončených projektov</w:t>
            </w:r>
          </w:p>
        </w:tc>
      </w:tr>
      <w:tr w:rsidR="00000CC9" w:rsidTr="00000CC9">
        <w:trPr>
          <w:trHeight w:val="2040"/>
        </w:trPr>
        <w:tc>
          <w:tcPr>
            <w:tcW w:w="833" w:type="pct"/>
            <w:tcBorders>
              <w:top w:val="nil"/>
              <w:left w:val="single" w:sz="8" w:space="0" w:color="auto"/>
              <w:bottom w:val="single" w:sz="8" w:space="0" w:color="auto"/>
              <w:right w:val="single" w:sz="8" w:space="0" w:color="auto"/>
            </w:tcBorders>
            <w:shd w:val="clear" w:color="auto" w:fill="auto"/>
            <w:vAlign w:val="center"/>
            <w:hideMark/>
          </w:tcPr>
          <w:p w:rsidR="00000CC9" w:rsidRDefault="00000CC9">
            <w:pPr>
              <w:rPr>
                <w:rFonts w:ascii="Arial" w:hAnsi="Arial" w:cs="Arial"/>
                <w:color w:val="000000"/>
                <w:sz w:val="16"/>
                <w:szCs w:val="16"/>
              </w:rPr>
            </w:pPr>
            <w:r>
              <w:rPr>
                <w:rFonts w:ascii="Arial" w:hAnsi="Arial" w:cs="Arial"/>
                <w:color w:val="000000"/>
                <w:sz w:val="16"/>
                <w:szCs w:val="16"/>
              </w:rPr>
              <w:t>53 - Predchádzanie rizikám (vrátane návrhu a realizácie plánov a opatrení na predchádzanie prírodným a technologickým rizikám a ich riadenie)</w:t>
            </w:r>
          </w:p>
        </w:tc>
        <w:tc>
          <w:tcPr>
            <w:tcW w:w="833" w:type="pct"/>
            <w:tcBorders>
              <w:top w:val="nil"/>
              <w:left w:val="nil"/>
              <w:bottom w:val="single" w:sz="8" w:space="0" w:color="auto"/>
              <w:right w:val="single" w:sz="8" w:space="0" w:color="auto"/>
            </w:tcBorders>
            <w:shd w:val="clear" w:color="auto" w:fill="auto"/>
            <w:noWrap/>
            <w:vAlign w:val="center"/>
            <w:hideMark/>
          </w:tcPr>
          <w:p w:rsidR="00000CC9" w:rsidRDefault="00000CC9">
            <w:pPr>
              <w:jc w:val="center"/>
              <w:rPr>
                <w:rFonts w:ascii="Arial" w:hAnsi="Arial" w:cs="Arial"/>
                <w:color w:val="000000"/>
                <w:sz w:val="16"/>
                <w:szCs w:val="16"/>
              </w:rPr>
            </w:pPr>
            <w:r>
              <w:rPr>
                <w:rFonts w:ascii="Arial" w:hAnsi="Arial" w:cs="Arial"/>
                <w:color w:val="000000"/>
                <w:sz w:val="16"/>
                <w:szCs w:val="16"/>
              </w:rPr>
              <w:t>510 354 068</w:t>
            </w:r>
          </w:p>
        </w:tc>
        <w:tc>
          <w:tcPr>
            <w:tcW w:w="833" w:type="pct"/>
            <w:tcBorders>
              <w:top w:val="nil"/>
              <w:left w:val="nil"/>
              <w:bottom w:val="single" w:sz="8" w:space="0" w:color="auto"/>
              <w:right w:val="single" w:sz="8" w:space="0" w:color="auto"/>
            </w:tcBorders>
            <w:shd w:val="clear" w:color="auto" w:fill="auto"/>
            <w:noWrap/>
            <w:vAlign w:val="center"/>
            <w:hideMark/>
          </w:tcPr>
          <w:p w:rsidR="00000CC9" w:rsidRDefault="00000CC9">
            <w:pPr>
              <w:jc w:val="center"/>
              <w:rPr>
                <w:rFonts w:ascii="Arial" w:hAnsi="Arial" w:cs="Arial"/>
                <w:color w:val="000000"/>
                <w:sz w:val="16"/>
                <w:szCs w:val="16"/>
              </w:rPr>
            </w:pPr>
            <w:r>
              <w:rPr>
                <w:rFonts w:ascii="Arial" w:hAnsi="Arial" w:cs="Arial"/>
                <w:color w:val="000000"/>
                <w:sz w:val="16"/>
                <w:szCs w:val="16"/>
              </w:rPr>
              <w:t>100 692 393</w:t>
            </w:r>
          </w:p>
        </w:tc>
        <w:tc>
          <w:tcPr>
            <w:tcW w:w="833" w:type="pct"/>
            <w:tcBorders>
              <w:top w:val="nil"/>
              <w:left w:val="nil"/>
              <w:bottom w:val="single" w:sz="8" w:space="0" w:color="auto"/>
              <w:right w:val="single" w:sz="8" w:space="0" w:color="auto"/>
            </w:tcBorders>
            <w:shd w:val="clear" w:color="auto" w:fill="auto"/>
            <w:noWrap/>
            <w:vAlign w:val="center"/>
            <w:hideMark/>
          </w:tcPr>
          <w:p w:rsidR="00000CC9" w:rsidRDefault="00000CC9">
            <w:pPr>
              <w:jc w:val="center"/>
              <w:rPr>
                <w:rFonts w:ascii="Arial" w:hAnsi="Arial" w:cs="Arial"/>
                <w:color w:val="000000"/>
                <w:sz w:val="16"/>
                <w:szCs w:val="16"/>
              </w:rPr>
            </w:pPr>
            <w:r>
              <w:rPr>
                <w:rFonts w:ascii="Arial" w:hAnsi="Arial" w:cs="Arial"/>
                <w:color w:val="000000"/>
                <w:sz w:val="16"/>
                <w:szCs w:val="16"/>
              </w:rPr>
              <w:t>100 692 393</w:t>
            </w:r>
          </w:p>
        </w:tc>
        <w:tc>
          <w:tcPr>
            <w:tcW w:w="833" w:type="pct"/>
            <w:tcBorders>
              <w:top w:val="nil"/>
              <w:left w:val="nil"/>
              <w:bottom w:val="single" w:sz="8" w:space="0" w:color="auto"/>
              <w:right w:val="single" w:sz="8" w:space="0" w:color="auto"/>
            </w:tcBorders>
            <w:shd w:val="clear" w:color="auto" w:fill="auto"/>
            <w:noWrap/>
            <w:vAlign w:val="center"/>
            <w:hideMark/>
          </w:tcPr>
          <w:p w:rsidR="00000CC9" w:rsidRDefault="00000CC9">
            <w:pPr>
              <w:jc w:val="center"/>
              <w:rPr>
                <w:rFonts w:ascii="Arial" w:hAnsi="Arial" w:cs="Arial"/>
                <w:color w:val="000000"/>
                <w:sz w:val="16"/>
                <w:szCs w:val="16"/>
              </w:rPr>
            </w:pPr>
            <w:r>
              <w:rPr>
                <w:rFonts w:ascii="Arial" w:hAnsi="Arial" w:cs="Arial"/>
                <w:color w:val="000000"/>
                <w:sz w:val="16"/>
                <w:szCs w:val="16"/>
              </w:rPr>
              <w:t>17 732 727</w:t>
            </w:r>
          </w:p>
        </w:tc>
        <w:tc>
          <w:tcPr>
            <w:tcW w:w="833" w:type="pct"/>
            <w:tcBorders>
              <w:top w:val="nil"/>
              <w:left w:val="nil"/>
              <w:bottom w:val="single" w:sz="8" w:space="0" w:color="auto"/>
              <w:right w:val="single" w:sz="8" w:space="0" w:color="auto"/>
            </w:tcBorders>
            <w:shd w:val="clear" w:color="auto" w:fill="auto"/>
            <w:noWrap/>
            <w:vAlign w:val="center"/>
            <w:hideMark/>
          </w:tcPr>
          <w:p w:rsidR="00000CC9" w:rsidRDefault="00000CC9">
            <w:pPr>
              <w:jc w:val="center"/>
              <w:rPr>
                <w:rFonts w:ascii="Arial" w:hAnsi="Arial" w:cs="Arial"/>
                <w:color w:val="000000"/>
                <w:sz w:val="16"/>
                <w:szCs w:val="16"/>
              </w:rPr>
            </w:pPr>
            <w:r>
              <w:rPr>
                <w:rFonts w:ascii="Arial" w:hAnsi="Arial" w:cs="Arial"/>
                <w:color w:val="000000"/>
                <w:sz w:val="16"/>
                <w:szCs w:val="16"/>
              </w:rPr>
              <w:t>650 950</w:t>
            </w:r>
          </w:p>
        </w:tc>
      </w:tr>
      <w:tr w:rsidR="00000CC9" w:rsidTr="00000CC9">
        <w:trPr>
          <w:trHeight w:val="315"/>
        </w:trPr>
        <w:tc>
          <w:tcPr>
            <w:tcW w:w="833" w:type="pct"/>
            <w:tcBorders>
              <w:top w:val="nil"/>
              <w:left w:val="single" w:sz="8" w:space="0" w:color="auto"/>
              <w:bottom w:val="single" w:sz="8" w:space="0" w:color="auto"/>
              <w:right w:val="single" w:sz="8" w:space="0" w:color="auto"/>
            </w:tcBorders>
            <w:shd w:val="clear" w:color="000000" w:fill="EAF1DD"/>
            <w:vAlign w:val="center"/>
            <w:hideMark/>
          </w:tcPr>
          <w:p w:rsidR="00000CC9" w:rsidRDefault="00000CC9">
            <w:pPr>
              <w:rPr>
                <w:rFonts w:ascii="Arial" w:hAnsi="Arial" w:cs="Arial"/>
                <w:b/>
                <w:bCs/>
                <w:color w:val="000000"/>
                <w:sz w:val="16"/>
                <w:szCs w:val="16"/>
              </w:rPr>
            </w:pPr>
            <w:r>
              <w:rPr>
                <w:rFonts w:ascii="Arial" w:hAnsi="Arial" w:cs="Arial"/>
                <w:b/>
                <w:bCs/>
                <w:color w:val="000000"/>
                <w:sz w:val="16"/>
                <w:szCs w:val="16"/>
              </w:rPr>
              <w:t>Celkom</w:t>
            </w:r>
          </w:p>
        </w:tc>
        <w:tc>
          <w:tcPr>
            <w:tcW w:w="833" w:type="pct"/>
            <w:tcBorders>
              <w:top w:val="nil"/>
              <w:left w:val="nil"/>
              <w:bottom w:val="single" w:sz="8" w:space="0" w:color="auto"/>
              <w:right w:val="single" w:sz="8" w:space="0" w:color="auto"/>
            </w:tcBorders>
            <w:shd w:val="clear" w:color="000000" w:fill="EAF1DD"/>
            <w:noWrap/>
            <w:vAlign w:val="center"/>
            <w:hideMark/>
          </w:tcPr>
          <w:p w:rsidR="00000CC9" w:rsidRDefault="00000CC9">
            <w:pPr>
              <w:jc w:val="center"/>
              <w:rPr>
                <w:rFonts w:ascii="Arial" w:hAnsi="Arial" w:cs="Arial"/>
                <w:b/>
                <w:bCs/>
                <w:color w:val="000000"/>
                <w:sz w:val="16"/>
                <w:szCs w:val="16"/>
              </w:rPr>
            </w:pPr>
            <w:r>
              <w:rPr>
                <w:rFonts w:ascii="Arial" w:hAnsi="Arial" w:cs="Arial"/>
                <w:b/>
                <w:bCs/>
                <w:color w:val="000000"/>
                <w:sz w:val="16"/>
                <w:szCs w:val="16"/>
              </w:rPr>
              <w:t>510 354 068</w:t>
            </w:r>
          </w:p>
        </w:tc>
        <w:tc>
          <w:tcPr>
            <w:tcW w:w="833" w:type="pct"/>
            <w:tcBorders>
              <w:top w:val="nil"/>
              <w:left w:val="nil"/>
              <w:bottom w:val="single" w:sz="8" w:space="0" w:color="auto"/>
              <w:right w:val="single" w:sz="8" w:space="0" w:color="auto"/>
            </w:tcBorders>
            <w:shd w:val="clear" w:color="000000" w:fill="EAF1DD"/>
            <w:noWrap/>
            <w:vAlign w:val="center"/>
            <w:hideMark/>
          </w:tcPr>
          <w:p w:rsidR="00000CC9" w:rsidRDefault="00000CC9">
            <w:pPr>
              <w:jc w:val="center"/>
              <w:rPr>
                <w:rFonts w:ascii="Arial" w:hAnsi="Arial" w:cs="Arial"/>
                <w:b/>
                <w:bCs/>
                <w:color w:val="000000"/>
                <w:sz w:val="16"/>
                <w:szCs w:val="16"/>
              </w:rPr>
            </w:pPr>
            <w:r>
              <w:rPr>
                <w:rFonts w:ascii="Arial" w:hAnsi="Arial" w:cs="Arial"/>
                <w:b/>
                <w:bCs/>
                <w:color w:val="000000"/>
                <w:sz w:val="16"/>
                <w:szCs w:val="16"/>
              </w:rPr>
              <w:t>100 692 393</w:t>
            </w:r>
          </w:p>
        </w:tc>
        <w:tc>
          <w:tcPr>
            <w:tcW w:w="833" w:type="pct"/>
            <w:tcBorders>
              <w:top w:val="nil"/>
              <w:left w:val="nil"/>
              <w:bottom w:val="single" w:sz="8" w:space="0" w:color="auto"/>
              <w:right w:val="single" w:sz="8" w:space="0" w:color="auto"/>
            </w:tcBorders>
            <w:shd w:val="clear" w:color="000000" w:fill="EAF1DD"/>
            <w:noWrap/>
            <w:vAlign w:val="center"/>
            <w:hideMark/>
          </w:tcPr>
          <w:p w:rsidR="00000CC9" w:rsidRDefault="00000CC9">
            <w:pPr>
              <w:jc w:val="center"/>
              <w:rPr>
                <w:rFonts w:ascii="Arial" w:hAnsi="Arial" w:cs="Arial"/>
                <w:b/>
                <w:bCs/>
                <w:color w:val="000000"/>
                <w:sz w:val="16"/>
                <w:szCs w:val="16"/>
              </w:rPr>
            </w:pPr>
            <w:r>
              <w:rPr>
                <w:rFonts w:ascii="Arial" w:hAnsi="Arial" w:cs="Arial"/>
                <w:b/>
                <w:bCs/>
                <w:color w:val="000000"/>
                <w:sz w:val="16"/>
                <w:szCs w:val="16"/>
              </w:rPr>
              <w:t>100 692 393</w:t>
            </w:r>
          </w:p>
        </w:tc>
        <w:tc>
          <w:tcPr>
            <w:tcW w:w="833" w:type="pct"/>
            <w:tcBorders>
              <w:top w:val="nil"/>
              <w:left w:val="nil"/>
              <w:bottom w:val="single" w:sz="8" w:space="0" w:color="auto"/>
              <w:right w:val="single" w:sz="8" w:space="0" w:color="auto"/>
            </w:tcBorders>
            <w:shd w:val="clear" w:color="000000" w:fill="EAF1DD"/>
            <w:noWrap/>
            <w:vAlign w:val="center"/>
            <w:hideMark/>
          </w:tcPr>
          <w:p w:rsidR="00000CC9" w:rsidRDefault="00000CC9">
            <w:pPr>
              <w:jc w:val="center"/>
              <w:rPr>
                <w:rFonts w:ascii="Arial" w:hAnsi="Arial" w:cs="Arial"/>
                <w:b/>
                <w:bCs/>
                <w:color w:val="000000"/>
                <w:sz w:val="16"/>
                <w:szCs w:val="16"/>
              </w:rPr>
            </w:pPr>
            <w:r>
              <w:rPr>
                <w:rFonts w:ascii="Arial" w:hAnsi="Arial" w:cs="Arial"/>
                <w:b/>
                <w:bCs/>
                <w:color w:val="000000"/>
                <w:sz w:val="16"/>
                <w:szCs w:val="16"/>
              </w:rPr>
              <w:t>17 732 727</w:t>
            </w:r>
          </w:p>
        </w:tc>
        <w:tc>
          <w:tcPr>
            <w:tcW w:w="833" w:type="pct"/>
            <w:tcBorders>
              <w:top w:val="nil"/>
              <w:left w:val="nil"/>
              <w:bottom w:val="single" w:sz="8" w:space="0" w:color="auto"/>
              <w:right w:val="single" w:sz="8" w:space="0" w:color="auto"/>
            </w:tcBorders>
            <w:shd w:val="clear" w:color="000000" w:fill="EAF1DD"/>
            <w:noWrap/>
            <w:vAlign w:val="center"/>
            <w:hideMark/>
          </w:tcPr>
          <w:p w:rsidR="00000CC9" w:rsidRDefault="00000CC9">
            <w:pPr>
              <w:jc w:val="center"/>
              <w:rPr>
                <w:rFonts w:ascii="Arial" w:hAnsi="Arial" w:cs="Arial"/>
                <w:b/>
                <w:bCs/>
                <w:color w:val="000000"/>
                <w:sz w:val="16"/>
                <w:szCs w:val="16"/>
              </w:rPr>
            </w:pPr>
            <w:r>
              <w:rPr>
                <w:rFonts w:ascii="Arial" w:hAnsi="Arial" w:cs="Arial"/>
                <w:b/>
                <w:bCs/>
                <w:color w:val="000000"/>
                <w:sz w:val="16"/>
                <w:szCs w:val="16"/>
              </w:rPr>
              <w:t>650 950</w:t>
            </w:r>
          </w:p>
        </w:tc>
      </w:tr>
    </w:tbl>
    <w:p w:rsidR="002416B1" w:rsidRPr="006A2BF3" w:rsidRDefault="00000CC9" w:rsidP="00205636">
      <w:pPr>
        <w:pStyle w:val="Zkladntextb"/>
        <w:spacing w:after="0" w:line="240" w:lineRule="auto"/>
        <w:ind w:left="0"/>
        <w:jc w:val="both"/>
        <w:rPr>
          <w:sz w:val="18"/>
          <w:szCs w:val="18"/>
          <w:lang w:val="sk-SK"/>
        </w:rPr>
      </w:pPr>
      <w:r>
        <w:rPr>
          <w:sz w:val="18"/>
          <w:szCs w:val="18"/>
          <w:lang w:val="sk-SK"/>
        </w:rPr>
        <w:t>Zdroj: RO, ITMS</w:t>
      </w:r>
    </w:p>
    <w:tbl>
      <w:tblPr>
        <w:tblW w:w="9229" w:type="dxa"/>
        <w:tblInd w:w="55" w:type="dxa"/>
        <w:tblCellMar>
          <w:left w:w="70" w:type="dxa"/>
          <w:right w:w="70" w:type="dxa"/>
        </w:tblCellMar>
        <w:tblLook w:val="04A0" w:firstRow="1" w:lastRow="0" w:firstColumn="1" w:lastColumn="0" w:noHBand="0" w:noVBand="1"/>
      </w:tblPr>
      <w:tblGrid>
        <w:gridCol w:w="9229"/>
      </w:tblGrid>
      <w:tr w:rsidR="002416B1" w:rsidRPr="006A2BF3" w:rsidTr="00FA2DAA">
        <w:trPr>
          <w:trHeight w:val="270"/>
        </w:trPr>
        <w:tc>
          <w:tcPr>
            <w:tcW w:w="9229" w:type="dxa"/>
            <w:noWrap/>
            <w:vAlign w:val="bottom"/>
          </w:tcPr>
          <w:p w:rsidR="002416B1" w:rsidRPr="006A2BF3" w:rsidRDefault="002416B1" w:rsidP="00205636">
            <w:pPr>
              <w:rPr>
                <w:rFonts w:ascii="Arial" w:hAnsi="Arial" w:cs="Arial"/>
                <w:i/>
                <w:iCs/>
                <w:sz w:val="18"/>
                <w:szCs w:val="18"/>
              </w:rPr>
            </w:pPr>
            <w:r w:rsidRPr="006A2BF3">
              <w:rPr>
                <w:rFonts w:ascii="Arial" w:hAnsi="Arial" w:cs="Arial"/>
                <w:b/>
                <w:bCs/>
                <w:i/>
                <w:iCs/>
                <w:sz w:val="18"/>
                <w:szCs w:val="18"/>
                <w:vertAlign w:val="superscript"/>
              </w:rPr>
              <w:t>1</w:t>
            </w:r>
            <w:r w:rsidRPr="006A2BF3">
              <w:rPr>
                <w:rFonts w:ascii="Arial" w:hAnsi="Arial" w:cs="Arial"/>
                <w:i/>
                <w:iCs/>
                <w:sz w:val="18"/>
                <w:szCs w:val="18"/>
                <w:vertAlign w:val="superscript"/>
              </w:rPr>
              <w:t xml:space="preserve"> </w:t>
            </w:r>
            <w:r w:rsidRPr="00FA2DAA">
              <w:rPr>
                <w:rFonts w:ascii="Arial" w:hAnsi="Arial" w:cs="Arial"/>
                <w:i/>
                <w:sz w:val="16"/>
                <w:szCs w:val="16"/>
              </w:rPr>
              <w:t>Objem čerpaných prostriedkov NFP</w:t>
            </w:r>
          </w:p>
        </w:tc>
      </w:tr>
      <w:tr w:rsidR="00AD6BDE" w:rsidRPr="006A2BF3" w:rsidTr="00AD6BDE">
        <w:trPr>
          <w:trHeight w:val="270"/>
        </w:trPr>
        <w:tc>
          <w:tcPr>
            <w:tcW w:w="9229" w:type="dxa"/>
            <w:noWrap/>
            <w:vAlign w:val="bottom"/>
          </w:tcPr>
          <w:p w:rsidR="00AD6BDE" w:rsidRPr="006A2BF3" w:rsidRDefault="00AD6BDE" w:rsidP="00205636">
            <w:pPr>
              <w:rPr>
                <w:rFonts w:ascii="Arial" w:hAnsi="Arial" w:cs="Arial"/>
                <w:b/>
                <w:bCs/>
                <w:i/>
                <w:iCs/>
                <w:sz w:val="18"/>
                <w:szCs w:val="18"/>
                <w:vertAlign w:val="superscript"/>
              </w:rPr>
            </w:pPr>
            <w:r w:rsidRPr="000E6169">
              <w:rPr>
                <w:rFonts w:ascii="Arial" w:hAnsi="Arial" w:cs="Arial"/>
                <w:i/>
                <w:sz w:val="16"/>
                <w:szCs w:val="16"/>
              </w:rPr>
              <w:t>Údaje o zazmluvnených projektoch zahŕňajú projekty, ktoré mali k 31.12.201</w:t>
            </w:r>
            <w:r w:rsidR="005A78D7">
              <w:rPr>
                <w:rFonts w:ascii="Arial" w:hAnsi="Arial" w:cs="Arial"/>
                <w:i/>
                <w:sz w:val="16"/>
                <w:szCs w:val="16"/>
              </w:rPr>
              <w:t>2</w:t>
            </w:r>
            <w:r w:rsidRPr="000E6169">
              <w:rPr>
                <w:rFonts w:ascii="Arial" w:hAnsi="Arial" w:cs="Arial"/>
                <w:i/>
                <w:sz w:val="16"/>
                <w:szCs w:val="16"/>
              </w:rPr>
              <w:t xml:space="preserve"> účinnú zmluvu o poskytnutí NFP a boli v realizácii alebo riadne ukončené. Údaje nezahŕňajú mimoriadne ukončené projekty.</w:t>
            </w:r>
          </w:p>
        </w:tc>
      </w:tr>
    </w:tbl>
    <w:p w:rsidR="002416B1" w:rsidRPr="004B33AE" w:rsidRDefault="002416B1" w:rsidP="00507035">
      <w:pPr>
        <w:pStyle w:val="Zkladntextb"/>
        <w:spacing w:before="120" w:after="120" w:line="360" w:lineRule="auto"/>
        <w:ind w:left="0"/>
        <w:jc w:val="both"/>
        <w:rPr>
          <w:lang w:val="sk-SK"/>
        </w:rPr>
      </w:pPr>
      <w:r w:rsidRPr="006A2BF3">
        <w:rPr>
          <w:lang w:val="sk-SK"/>
        </w:rPr>
        <w:t>Podrobný popis dôvodov neschválenia žiadostí v rámci jednotlivých výziev posudzovaných v roku 201</w:t>
      </w:r>
      <w:r w:rsidR="005A78D7">
        <w:rPr>
          <w:lang w:val="sk-SK"/>
        </w:rPr>
        <w:t>2</w:t>
      </w:r>
      <w:r w:rsidRPr="004B33AE">
        <w:rPr>
          <w:lang w:val="sk-SK"/>
        </w:rPr>
        <w:t xml:space="preserve"> je uvedený v kapitole 2.1.1 správy, v časti Dôvody neschválenia a vylúčenia žiadostí o NFP a vykonané opatrenia na predchádzanie pred opakovaním identifikovaných nedostatkov. </w:t>
      </w:r>
    </w:p>
    <w:p w:rsidR="002416B1" w:rsidRPr="00BA1A4F" w:rsidRDefault="002416B1" w:rsidP="00507035">
      <w:pPr>
        <w:spacing w:before="120" w:after="120" w:line="360" w:lineRule="auto"/>
        <w:jc w:val="both"/>
        <w:rPr>
          <w:rFonts w:ascii="Arial" w:hAnsi="Arial" w:cs="Arial"/>
          <w:sz w:val="20"/>
          <w:szCs w:val="20"/>
        </w:rPr>
      </w:pPr>
      <w:r w:rsidRPr="000C481D">
        <w:rPr>
          <w:rFonts w:ascii="Arial" w:hAnsi="Arial" w:cs="Arial"/>
          <w:sz w:val="20"/>
          <w:szCs w:val="20"/>
        </w:rPr>
        <w:t xml:space="preserve">Zoznam schválených projektov s objemom </w:t>
      </w:r>
      <w:r w:rsidRPr="00BA1A4F">
        <w:rPr>
          <w:rFonts w:ascii="Arial" w:hAnsi="Arial" w:cs="Arial"/>
          <w:sz w:val="20"/>
          <w:szCs w:val="20"/>
        </w:rPr>
        <w:t>zazmluvnených prostriedkov k 31.12.201</w:t>
      </w:r>
      <w:r w:rsidR="005A78D7" w:rsidRPr="007818E6">
        <w:rPr>
          <w:rFonts w:ascii="Arial" w:hAnsi="Arial" w:cs="Arial"/>
          <w:sz w:val="20"/>
          <w:szCs w:val="20"/>
        </w:rPr>
        <w:t>2</w:t>
      </w:r>
      <w:r w:rsidRPr="00BA1A4F">
        <w:rPr>
          <w:rFonts w:ascii="Arial" w:hAnsi="Arial" w:cs="Arial"/>
          <w:sz w:val="20"/>
          <w:szCs w:val="20"/>
        </w:rPr>
        <w:t xml:space="preserve"> je zverejnený na </w:t>
      </w:r>
      <w:r w:rsidR="00091E84" w:rsidRPr="00BA1A4F">
        <w:rPr>
          <w:rFonts w:ascii="Arial" w:hAnsi="Arial" w:cs="Arial"/>
          <w:sz w:val="20"/>
          <w:szCs w:val="20"/>
        </w:rPr>
        <w:t>webovom sídle</w:t>
      </w:r>
      <w:r w:rsidRPr="00BA1A4F">
        <w:rPr>
          <w:rFonts w:ascii="Arial" w:hAnsi="Arial" w:cs="Arial"/>
          <w:sz w:val="20"/>
          <w:szCs w:val="20"/>
        </w:rPr>
        <w:t xml:space="preserve"> </w:t>
      </w:r>
      <w:hyperlink r:id="rId41" w:history="1">
        <w:r w:rsidRPr="007818E6">
          <w:rPr>
            <w:rStyle w:val="Hypertextovprepojenie"/>
            <w:rFonts w:ascii="Arial" w:hAnsi="Arial" w:cs="Arial"/>
            <w:sz w:val="20"/>
            <w:szCs w:val="20"/>
          </w:rPr>
          <w:t>http:/</w:t>
        </w:r>
        <w:r w:rsidRPr="00BA1A4F">
          <w:rPr>
            <w:rStyle w:val="Hypertextovprepojenie"/>
            <w:rFonts w:ascii="Arial" w:hAnsi="Arial" w:cs="Arial"/>
            <w:sz w:val="20"/>
            <w:szCs w:val="20"/>
          </w:rPr>
          <w:t>/www.opzp.sk/projekty/zoznam-prijimatelov/</w:t>
        </w:r>
      </w:hyperlink>
      <w:r w:rsidRPr="00BA1A4F">
        <w:rPr>
          <w:rFonts w:ascii="Arial" w:hAnsi="Arial" w:cs="Arial"/>
          <w:sz w:val="20"/>
          <w:szCs w:val="20"/>
        </w:rPr>
        <w:t xml:space="preserve"> </w:t>
      </w:r>
      <w:r w:rsidR="00992B1B" w:rsidRPr="007818E6">
        <w:rPr>
          <w:rFonts w:ascii="Arial" w:hAnsi="Arial" w:cs="Arial"/>
          <w:sz w:val="20"/>
          <w:szCs w:val="20"/>
        </w:rPr>
        <w:t xml:space="preserve">a taktiež </w:t>
      </w:r>
      <w:r w:rsidR="003564E2" w:rsidRPr="00BA1A4F">
        <w:rPr>
          <w:rFonts w:ascii="Arial" w:hAnsi="Arial" w:cs="Arial"/>
          <w:sz w:val="20"/>
          <w:szCs w:val="20"/>
        </w:rPr>
        <w:t xml:space="preserve">je </w:t>
      </w:r>
      <w:r w:rsidR="00992B1B" w:rsidRPr="00BA1A4F">
        <w:rPr>
          <w:rFonts w:ascii="Arial" w:hAnsi="Arial" w:cs="Arial"/>
          <w:sz w:val="20"/>
          <w:szCs w:val="20"/>
        </w:rPr>
        <w:t>zoznam schválených projektov s uvedením stavu k 31.12.201</w:t>
      </w:r>
      <w:r w:rsidR="005A78D7" w:rsidRPr="00BA1A4F">
        <w:rPr>
          <w:rFonts w:ascii="Arial" w:hAnsi="Arial" w:cs="Arial"/>
          <w:sz w:val="20"/>
          <w:szCs w:val="20"/>
        </w:rPr>
        <w:t>2</w:t>
      </w:r>
      <w:r w:rsidR="00992B1B" w:rsidRPr="00BA1A4F">
        <w:rPr>
          <w:rFonts w:ascii="Arial" w:hAnsi="Arial" w:cs="Arial"/>
          <w:sz w:val="20"/>
          <w:szCs w:val="20"/>
        </w:rPr>
        <w:t xml:space="preserve"> súčasťou Prílohy č. 9 výročnej správy.</w:t>
      </w:r>
    </w:p>
    <w:p w:rsidR="002416B1" w:rsidRPr="00BA1A4F" w:rsidRDefault="002416B1" w:rsidP="00507035">
      <w:pPr>
        <w:pStyle w:val="Zkladntextb"/>
        <w:spacing w:before="120" w:after="120" w:line="360" w:lineRule="auto"/>
        <w:ind w:left="0"/>
        <w:rPr>
          <w:b/>
          <w:lang w:val="sk-SK"/>
        </w:rPr>
      </w:pPr>
      <w:r w:rsidRPr="00BA1A4F">
        <w:rPr>
          <w:b/>
          <w:lang w:val="sk-SK"/>
        </w:rPr>
        <w:t>Plnenie fyzických ukazovateľov</w:t>
      </w:r>
    </w:p>
    <w:p w:rsidR="002416B1" w:rsidRPr="00BA1A4F" w:rsidRDefault="002416B1" w:rsidP="00507035">
      <w:pPr>
        <w:pStyle w:val="Zkladntextb"/>
        <w:spacing w:before="120" w:after="120" w:line="360" w:lineRule="auto"/>
        <w:ind w:left="0"/>
        <w:jc w:val="both"/>
        <w:rPr>
          <w:lang w:val="sk-SK"/>
        </w:rPr>
      </w:pPr>
      <w:bookmarkStart w:id="78" w:name="OLE_LINK43"/>
      <w:bookmarkStart w:id="79" w:name="OLE_LINK44"/>
      <w:r w:rsidRPr="00BA1A4F">
        <w:rPr>
          <w:lang w:val="sk-SK"/>
        </w:rPr>
        <w:t xml:space="preserve">Za sledované obdobie riadiaci orgán obdržal od prijímateľov </w:t>
      </w:r>
      <w:r w:rsidR="00204A8D" w:rsidRPr="0039268C">
        <w:rPr>
          <w:lang w:val="sk-SK"/>
        </w:rPr>
        <w:t xml:space="preserve">132 </w:t>
      </w:r>
      <w:r w:rsidRPr="00BA1A4F">
        <w:rPr>
          <w:lang w:val="sk-SK"/>
        </w:rPr>
        <w:t xml:space="preserve">monitorovacích správ projektu, z toho </w:t>
      </w:r>
      <w:r w:rsidR="00204A8D" w:rsidRPr="0039268C">
        <w:rPr>
          <w:lang w:val="sk-SK"/>
        </w:rPr>
        <w:t xml:space="preserve">87 </w:t>
      </w:r>
      <w:r w:rsidRPr="00BA1A4F">
        <w:rPr>
          <w:lang w:val="sk-SK"/>
        </w:rPr>
        <w:t xml:space="preserve">priebežných, </w:t>
      </w:r>
      <w:r w:rsidR="00204A8D" w:rsidRPr="0039268C">
        <w:rPr>
          <w:lang w:val="sk-SK"/>
        </w:rPr>
        <w:t xml:space="preserve">28 </w:t>
      </w:r>
      <w:r w:rsidRPr="00BA1A4F">
        <w:rPr>
          <w:lang w:val="sk-SK"/>
        </w:rPr>
        <w:t>záverečných a </w:t>
      </w:r>
      <w:r w:rsidR="00204A8D" w:rsidRPr="0039268C">
        <w:rPr>
          <w:lang w:val="sk-SK"/>
        </w:rPr>
        <w:t xml:space="preserve">17 </w:t>
      </w:r>
      <w:r w:rsidR="00204A8D" w:rsidRPr="007818E6">
        <w:rPr>
          <w:lang w:val="sk-SK"/>
        </w:rPr>
        <w:t>následných</w:t>
      </w:r>
      <w:r w:rsidRPr="00BA1A4F">
        <w:rPr>
          <w:lang w:val="sk-SK"/>
        </w:rPr>
        <w:t xml:space="preserve">. Na základe týchto správ bolo vyhodnotené plnenie ukazovateľov, a to nasledujúcim spôsobom. </w:t>
      </w:r>
      <w:bookmarkEnd w:id="78"/>
      <w:bookmarkEnd w:id="79"/>
      <w:r w:rsidRPr="00BA1A4F">
        <w:rPr>
          <w:lang w:val="sk-SK"/>
        </w:rPr>
        <w:t>Počet opatrení zameraných na ochranu pred povodňami predstavuje k 31.12.201</w:t>
      </w:r>
      <w:r w:rsidR="00D250A5" w:rsidRPr="00BA1A4F">
        <w:rPr>
          <w:lang w:val="sk-SK"/>
        </w:rPr>
        <w:t>2</w:t>
      </w:r>
      <w:r w:rsidRPr="00BA1A4F">
        <w:rPr>
          <w:lang w:val="sk-SK"/>
        </w:rPr>
        <w:t xml:space="preserve"> hodnotu </w:t>
      </w:r>
      <w:r w:rsidR="00D250A5" w:rsidRPr="00BA1A4F">
        <w:rPr>
          <w:lang w:val="sk-SK"/>
        </w:rPr>
        <w:t>41</w:t>
      </w:r>
      <w:r w:rsidRPr="00BA1A4F">
        <w:rPr>
          <w:lang w:val="sk-SK"/>
        </w:rPr>
        <w:t xml:space="preserve">, čo je </w:t>
      </w:r>
      <w:r w:rsidR="00D250A5" w:rsidRPr="00BA1A4F">
        <w:rPr>
          <w:lang w:val="sk-SK"/>
        </w:rPr>
        <w:t>33</w:t>
      </w:r>
      <w:r w:rsidR="0072403D">
        <w:rPr>
          <w:lang w:val="sk-SK"/>
        </w:rPr>
        <w:t xml:space="preserve"> </w:t>
      </w:r>
      <w:r w:rsidRPr="00BA1A4F">
        <w:rPr>
          <w:lang w:val="sk-SK"/>
        </w:rPr>
        <w:t>% z plánovaného výsledku ku koncu roka 2015</w:t>
      </w:r>
      <w:r w:rsidR="00D250A5" w:rsidRPr="00BA1A4F">
        <w:rPr>
          <w:lang w:val="sk-SK"/>
        </w:rPr>
        <w:t xml:space="preserve"> podľa OP</w:t>
      </w:r>
      <w:r w:rsidRPr="00BA1A4F">
        <w:rPr>
          <w:lang w:val="sk-SK"/>
        </w:rPr>
        <w:t xml:space="preserve"> a Plocha územia so zabezpečenou protipovodňovou ochranou predstavuje </w:t>
      </w:r>
      <w:r w:rsidR="00D250A5" w:rsidRPr="00BA1A4F">
        <w:rPr>
          <w:lang w:val="sk-SK"/>
        </w:rPr>
        <w:t>35,309</w:t>
      </w:r>
      <w:r w:rsidRPr="00BA1A4F">
        <w:rPr>
          <w:lang w:val="sk-SK"/>
        </w:rPr>
        <w:t xml:space="preserve"> km</w:t>
      </w:r>
      <w:r w:rsidRPr="00BA1A4F">
        <w:rPr>
          <w:vertAlign w:val="superscript"/>
          <w:lang w:val="sk-SK"/>
        </w:rPr>
        <w:t>2</w:t>
      </w:r>
      <w:r w:rsidRPr="00BA1A4F">
        <w:rPr>
          <w:lang w:val="sk-SK"/>
        </w:rPr>
        <w:t xml:space="preserve">. </w:t>
      </w:r>
    </w:p>
    <w:p w:rsidR="002416B1" w:rsidRPr="00BA1A4F" w:rsidRDefault="008F2A89" w:rsidP="00507035">
      <w:pPr>
        <w:pStyle w:val="Zkladntextb"/>
        <w:spacing w:before="120" w:after="120" w:line="360" w:lineRule="auto"/>
        <w:ind w:left="0"/>
        <w:jc w:val="both"/>
        <w:rPr>
          <w:lang w:val="sk-SK"/>
        </w:rPr>
      </w:pPr>
      <w:r w:rsidRPr="00BA1A4F">
        <w:rPr>
          <w:lang w:val="sk-SK"/>
        </w:rPr>
        <w:t>CORE</w:t>
      </w:r>
      <w:r w:rsidR="002416B1" w:rsidRPr="00BA1A4F">
        <w:rPr>
          <w:lang w:val="sk-SK"/>
        </w:rPr>
        <w:t xml:space="preserve"> ukazovateľ Počet projektov na prevenciu rizík dosahuje hodnotu </w:t>
      </w:r>
      <w:r w:rsidR="00D250A5" w:rsidRPr="00BA1A4F">
        <w:rPr>
          <w:lang w:val="sk-SK"/>
        </w:rPr>
        <w:t>65</w:t>
      </w:r>
      <w:r w:rsidR="002416B1" w:rsidRPr="00BA1A4F">
        <w:rPr>
          <w:lang w:val="sk-SK"/>
        </w:rPr>
        <w:t xml:space="preserve">, t.j. </w:t>
      </w:r>
      <w:r w:rsidR="00D250A5" w:rsidRPr="00BA1A4F">
        <w:rPr>
          <w:lang w:val="sk-SK"/>
        </w:rPr>
        <w:t>135</w:t>
      </w:r>
      <w:r w:rsidR="0072403D">
        <w:rPr>
          <w:lang w:val="sk-SK"/>
        </w:rPr>
        <w:t xml:space="preserve"> </w:t>
      </w:r>
      <w:r w:rsidR="002416B1" w:rsidRPr="00BA1A4F">
        <w:rPr>
          <w:lang w:val="sk-SK"/>
        </w:rPr>
        <w:t>% z plánovanej cieľovej hodnoty ku koncu programového obdobia.</w:t>
      </w:r>
    </w:p>
    <w:p w:rsidR="002416B1" w:rsidRPr="00BA1A4F" w:rsidRDefault="008F2A89" w:rsidP="00507035">
      <w:pPr>
        <w:pStyle w:val="Zkladntextb"/>
        <w:spacing w:before="120" w:after="120" w:line="360" w:lineRule="auto"/>
        <w:ind w:left="0"/>
        <w:jc w:val="both"/>
        <w:rPr>
          <w:lang w:val="sk-SK"/>
        </w:rPr>
      </w:pPr>
      <w:r w:rsidRPr="00BA1A4F">
        <w:rPr>
          <w:lang w:val="sk-SK"/>
        </w:rPr>
        <w:t>CORE</w:t>
      </w:r>
      <w:r w:rsidR="002416B1" w:rsidRPr="00BA1A4F">
        <w:rPr>
          <w:lang w:val="sk-SK"/>
        </w:rPr>
        <w:t xml:space="preserve"> ukazovateľ Počet novovytvorených pracovných miest </w:t>
      </w:r>
      <w:r w:rsidR="00D250A5" w:rsidRPr="00BA1A4F">
        <w:rPr>
          <w:lang w:val="sk-SK"/>
        </w:rPr>
        <w:t xml:space="preserve">vykazuje </w:t>
      </w:r>
      <w:r w:rsidR="002416B1" w:rsidRPr="00BA1A4F">
        <w:rPr>
          <w:lang w:val="sk-SK"/>
        </w:rPr>
        <w:t>k 31.12.201</w:t>
      </w:r>
      <w:r w:rsidR="00D250A5" w:rsidRPr="00BA1A4F">
        <w:rPr>
          <w:lang w:val="sk-SK"/>
        </w:rPr>
        <w:t>2</w:t>
      </w:r>
      <w:r w:rsidR="002416B1" w:rsidRPr="00BA1A4F">
        <w:rPr>
          <w:lang w:val="sk-SK"/>
        </w:rPr>
        <w:t xml:space="preserve"> hodnotu 0, deklarovaná hodnota zazmluvnených projektov prioritnej osi predstavuje počet 1.</w:t>
      </w:r>
      <w:r w:rsidR="00874579" w:rsidRPr="00BA1A4F">
        <w:rPr>
          <w:lang w:val="sk-SK"/>
        </w:rPr>
        <w:t xml:space="preserve"> Ku koncu sledovaného obdobia je realizáciou projektov 800 osôb chránených pred povodňami, avšak hodnota sa bude zvyšovať, nakoľko zazmluvnené projekty plánujú hodnotu 30</w:t>
      </w:r>
      <w:r w:rsidR="000B59F8" w:rsidRPr="00BA1A4F">
        <w:rPr>
          <w:lang w:val="sk-SK"/>
        </w:rPr>
        <w:t> </w:t>
      </w:r>
      <w:r w:rsidR="00874579" w:rsidRPr="00BA1A4F">
        <w:rPr>
          <w:lang w:val="sk-SK"/>
        </w:rPr>
        <w:t>370</w:t>
      </w:r>
      <w:r w:rsidR="000B59F8" w:rsidRPr="00BA1A4F">
        <w:rPr>
          <w:lang w:val="sk-SK"/>
        </w:rPr>
        <w:t xml:space="preserve"> osôb chránených pred povodňami</w:t>
      </w:r>
      <w:r w:rsidR="00874579" w:rsidRPr="00BA1A4F">
        <w:rPr>
          <w:lang w:val="sk-SK"/>
        </w:rPr>
        <w:t xml:space="preserve">. </w:t>
      </w:r>
    </w:p>
    <w:p w:rsidR="002416B1" w:rsidRPr="00BA1A4F" w:rsidRDefault="002416B1" w:rsidP="00507035">
      <w:pPr>
        <w:pStyle w:val="Zkladntextb"/>
        <w:spacing w:before="120" w:after="120" w:line="360" w:lineRule="auto"/>
        <w:ind w:left="0"/>
        <w:jc w:val="both"/>
        <w:rPr>
          <w:lang w:val="sk-SK"/>
        </w:rPr>
      </w:pPr>
      <w:r w:rsidRPr="00BA1A4F">
        <w:rPr>
          <w:lang w:val="sk-SK"/>
        </w:rPr>
        <w:t xml:space="preserve">Plnenie ukazovateľov za Prioritnú os 2 je uvedený v Prílohe č. 2, ktorá je okrem aktuálneho napĺňania ukazovateľov za jednotlivé roky doplnená taktiež o </w:t>
      </w:r>
      <w:r w:rsidRPr="00BA1A4F">
        <w:rPr>
          <w:rFonts w:cs="Arial"/>
          <w:lang w:val="sk-SK"/>
        </w:rPr>
        <w:t>deklarované cieľové hodnoty projektov v zmysle uzatvorených zmlúv o NFP k 31.12.201</w:t>
      </w:r>
      <w:r w:rsidR="00874579" w:rsidRPr="00BA1A4F">
        <w:rPr>
          <w:rFonts w:cs="Arial"/>
          <w:lang w:val="sk-SK"/>
        </w:rPr>
        <w:t>2</w:t>
      </w:r>
      <w:r w:rsidRPr="00BA1A4F">
        <w:rPr>
          <w:rFonts w:cs="Arial"/>
          <w:lang w:val="sk-SK"/>
        </w:rPr>
        <w:t>.</w:t>
      </w:r>
      <w:r w:rsidR="00D93B85" w:rsidRPr="00BA1A4F">
        <w:rPr>
          <w:rFonts w:ascii="Times New Roman" w:hAnsi="Times New Roman"/>
          <w:sz w:val="24"/>
          <w:szCs w:val="24"/>
          <w:lang w:val="sk-SK"/>
        </w:rPr>
        <w:t xml:space="preserve"> </w:t>
      </w:r>
      <w:r w:rsidR="00D93B85" w:rsidRPr="00BA1A4F">
        <w:rPr>
          <w:rFonts w:cs="Arial"/>
          <w:lang w:val="sk-SK"/>
        </w:rPr>
        <w:t xml:space="preserve">Zoznam </w:t>
      </w:r>
      <w:r w:rsidR="008F2A89" w:rsidRPr="00BA1A4F">
        <w:rPr>
          <w:rFonts w:cs="Arial"/>
          <w:lang w:val="sk-SK"/>
        </w:rPr>
        <w:t>CORE</w:t>
      </w:r>
      <w:r w:rsidR="00D93B85" w:rsidRPr="00BA1A4F">
        <w:rPr>
          <w:rFonts w:cs="Arial"/>
          <w:lang w:val="sk-SK"/>
        </w:rPr>
        <w:t xml:space="preserve"> ukazovateľov reportovaných EK prostredníctvom SFC2007 v rámci Výročnej správy o vykonávaní OP ŽP za rok 201</w:t>
      </w:r>
      <w:r w:rsidR="00874579" w:rsidRPr="00BA1A4F">
        <w:rPr>
          <w:rFonts w:cs="Arial"/>
          <w:lang w:val="sk-SK"/>
        </w:rPr>
        <w:t>2</w:t>
      </w:r>
      <w:r w:rsidR="00D93B85" w:rsidRPr="00BA1A4F">
        <w:rPr>
          <w:rFonts w:cs="Arial"/>
          <w:lang w:val="sk-SK"/>
        </w:rPr>
        <w:t xml:space="preserve"> je súčasťou Prílohy č. 11.</w:t>
      </w:r>
    </w:p>
    <w:p w:rsidR="002416B1" w:rsidRPr="004B33AE" w:rsidRDefault="002416B1" w:rsidP="00507035">
      <w:pPr>
        <w:pStyle w:val="Zkladntextb"/>
        <w:spacing w:before="120" w:after="120" w:line="360" w:lineRule="auto"/>
        <w:ind w:left="0"/>
        <w:jc w:val="both"/>
        <w:rPr>
          <w:lang w:val="sk-SK"/>
        </w:rPr>
      </w:pPr>
      <w:r w:rsidRPr="00BA1A4F">
        <w:rPr>
          <w:lang w:val="sk-SK"/>
        </w:rPr>
        <w:t>Vyššie uvedené ukazovatele odzrkadľujú stav napĺňania cieľa prioritnej</w:t>
      </w:r>
      <w:r w:rsidRPr="004B33AE">
        <w:rPr>
          <w:lang w:val="sk-SK"/>
        </w:rPr>
        <w:t xml:space="preserve"> osi 2 Ochrana pred povodňami, ktorým je zabezpečenie komplexnej ochrany územia SR pred povodňami, a to v súlade s Programom protipovodňovej ochrany SR do roku 2010 (schválený uznesením vlády SR č. 31/2000 a aktualizovaný uznesením vlády SR č. 25/2003), Plánmi manažmentu povodí a Vodného plánu Slovenska. Všeobecným legislatívnym rámcom pre vykonávanie aktivít v oblasti ochrany pred povodňami je smernica Európskeho parlamentu a Rady 2000/60/ES, ktorou sa stanovuje rámec pôsobnosti pre opatrenia Spoločenstva v oblasti vodnej politiky (rámcová smernica o vode) a taktiež</w:t>
      </w:r>
      <w:r w:rsidRPr="004B33AE">
        <w:rPr>
          <w:rFonts w:ascii="Times New Roman" w:hAnsi="Times New Roman"/>
          <w:sz w:val="24"/>
          <w:szCs w:val="24"/>
          <w:lang w:val="sk-SK" w:eastAsia="cs-CZ"/>
        </w:rPr>
        <w:t xml:space="preserve"> </w:t>
      </w:r>
      <w:r w:rsidRPr="004B33AE">
        <w:rPr>
          <w:lang w:val="sk-SK"/>
        </w:rPr>
        <w:t xml:space="preserve">Smernica Európskeho parlamentu a Rady o hodnotení a manažmente povodňových rizík. </w:t>
      </w:r>
    </w:p>
    <w:p w:rsidR="002416B1" w:rsidRPr="004B33AE" w:rsidRDefault="002416B1" w:rsidP="00507035">
      <w:pPr>
        <w:pStyle w:val="Zkladntextb"/>
        <w:spacing w:before="120" w:after="120" w:line="360" w:lineRule="auto"/>
        <w:ind w:left="0"/>
        <w:jc w:val="both"/>
        <w:rPr>
          <w:lang w:val="sk-SK"/>
        </w:rPr>
      </w:pPr>
      <w:r w:rsidRPr="004B33AE">
        <w:rPr>
          <w:lang w:val="sk-SK"/>
        </w:rPr>
        <w:t>Priority vyššie uvedených dokumentov, ako sú zníženie škôd na majetku verejných i súkromných subjektov, spôsobených povodňami, predchádzanie negatívnym dôsledkom povodní v podobe strát na ľudských životoch a ohrozenia zdravia obyvateľstva, obmedzenie ľudskou činnosťou spôsobených nepriaznivých vplyvov na odtokové pomery v povodiach, zabezpečenie prirodzenej schopnosti akumulácie vody revitalizáciou povodí a zabezpečenie manažmentu preventívnych protipovodňových opatrení budú postupne napĺňané realizáciou projektov protipovodňovej ochrany financovaných v rámci prioritnej osi 2 OP ŽP a sledované monitorovaním relevantných fyzických ukazovateľov.</w:t>
      </w:r>
    </w:p>
    <w:p w:rsidR="002416B1" w:rsidRDefault="002416B1" w:rsidP="00507035">
      <w:pPr>
        <w:pStyle w:val="Zkladntextb"/>
        <w:spacing w:before="120" w:after="120" w:line="360" w:lineRule="auto"/>
        <w:ind w:left="0"/>
        <w:jc w:val="both"/>
        <w:rPr>
          <w:lang w:val="sk-SK"/>
        </w:rPr>
      </w:pPr>
      <w:r w:rsidRPr="004B33AE">
        <w:rPr>
          <w:lang w:val="sk-SK"/>
        </w:rPr>
        <w:t>Plnenie stanovených ukazovateľov ovplyvňuje samotný stav projektu (schválený/zazmluvnený/v realizácii), ako aj čerpanie oprávnených výdavkov projektu. Na základe tejto skutočnosti možno teda predpokladať neustále zvyšovanie hodnôt jednotlivých ukazovateľov, a tým napĺňanie relevantných cieľov prioritnej osi.</w:t>
      </w:r>
    </w:p>
    <w:p w:rsidR="002416B1" w:rsidRPr="004B33AE" w:rsidRDefault="002416B1" w:rsidP="00507035">
      <w:pPr>
        <w:pStyle w:val="Nadpis8"/>
        <w:spacing w:before="120" w:after="120"/>
        <w:rPr>
          <w:rFonts w:ascii="Arial" w:hAnsi="Arial" w:cs="Arial"/>
          <w:b/>
          <w:sz w:val="22"/>
          <w:szCs w:val="22"/>
        </w:rPr>
      </w:pPr>
      <w:r w:rsidRPr="004B33AE">
        <w:rPr>
          <w:rFonts w:ascii="Arial" w:hAnsi="Arial" w:cs="Arial"/>
          <w:b/>
          <w:sz w:val="22"/>
          <w:szCs w:val="22"/>
        </w:rPr>
        <w:t>3.2.1.2 Finančná implementácia v rámci prioritnej osi 2</w:t>
      </w:r>
    </w:p>
    <w:p w:rsidR="002416B1" w:rsidRDefault="002416B1" w:rsidP="00507035">
      <w:pPr>
        <w:pStyle w:val="Zkladntextb"/>
        <w:spacing w:before="120" w:after="120" w:line="360" w:lineRule="auto"/>
        <w:ind w:left="0"/>
        <w:jc w:val="both"/>
        <w:rPr>
          <w:lang w:val="sk-SK"/>
        </w:rPr>
      </w:pPr>
      <w:bookmarkStart w:id="80" w:name="OLE_LINK11"/>
      <w:bookmarkStart w:id="81" w:name="OLE_LINK12"/>
      <w:r w:rsidRPr="004B33AE">
        <w:rPr>
          <w:lang w:val="sk-SK"/>
        </w:rPr>
        <w:t>K 31.12.201</w:t>
      </w:r>
      <w:r w:rsidR="006C1CFE">
        <w:rPr>
          <w:lang w:val="sk-SK"/>
        </w:rPr>
        <w:t>2</w:t>
      </w:r>
      <w:r w:rsidRPr="004B33AE">
        <w:rPr>
          <w:lang w:val="sk-SK"/>
        </w:rPr>
        <w:t xml:space="preserve"> boli v rámci uvedenej prioritnej osi vyčerpané prostriedky z Kohézneho fondu vo výške </w:t>
      </w:r>
      <w:r>
        <w:rPr>
          <w:lang w:val="sk-SK"/>
        </w:rPr>
        <w:t>vyše</w:t>
      </w:r>
      <w:r w:rsidRPr="004B33AE">
        <w:rPr>
          <w:lang w:val="sk-SK"/>
        </w:rPr>
        <w:t xml:space="preserve"> </w:t>
      </w:r>
      <w:r w:rsidR="006C1CFE">
        <w:rPr>
          <w:lang w:val="sk-SK"/>
        </w:rPr>
        <w:t>27</w:t>
      </w:r>
      <w:r w:rsidR="006C1CFE" w:rsidRPr="004B33AE">
        <w:rPr>
          <w:lang w:val="sk-SK"/>
        </w:rPr>
        <w:t xml:space="preserve"> </w:t>
      </w:r>
      <w:r w:rsidRPr="004B33AE">
        <w:rPr>
          <w:lang w:val="sk-SK"/>
        </w:rPr>
        <w:t xml:space="preserve">mil. EUR, čo predstavuje </w:t>
      </w:r>
      <w:r w:rsidR="006C1CFE">
        <w:rPr>
          <w:lang w:val="sk-SK"/>
        </w:rPr>
        <w:t>22,52</w:t>
      </w:r>
      <w:r w:rsidR="0072403D">
        <w:rPr>
          <w:lang w:val="sk-SK"/>
        </w:rPr>
        <w:t xml:space="preserve"> </w:t>
      </w:r>
      <w:r w:rsidRPr="004B33AE">
        <w:rPr>
          <w:lang w:val="sk-SK"/>
        </w:rPr>
        <w:t xml:space="preserve">% z celkového záväzku na prioritnú os 2 na toto programové obdobie. </w:t>
      </w:r>
    </w:p>
    <w:p w:rsidR="002416B1" w:rsidRPr="004B33AE" w:rsidRDefault="002416B1" w:rsidP="00205636">
      <w:pPr>
        <w:jc w:val="both"/>
        <w:rPr>
          <w:highlight w:val="yellow"/>
        </w:rPr>
      </w:pPr>
      <w:r w:rsidRPr="00570976">
        <w:rPr>
          <w:rFonts w:ascii="Arial" w:hAnsi="Arial" w:cs="Arial"/>
          <w:sz w:val="20"/>
          <w:szCs w:val="20"/>
        </w:rPr>
        <w:t xml:space="preserve">Tab. č. </w:t>
      </w:r>
      <w:r w:rsidR="007B7519">
        <w:rPr>
          <w:rFonts w:ascii="Arial" w:hAnsi="Arial" w:cs="Arial"/>
          <w:sz w:val="20"/>
          <w:szCs w:val="20"/>
        </w:rPr>
        <w:t>44</w:t>
      </w:r>
      <w:r w:rsidRPr="006A2BF3">
        <w:rPr>
          <w:rFonts w:ascii="Arial" w:hAnsi="Arial" w:cs="Arial"/>
          <w:sz w:val="20"/>
          <w:szCs w:val="20"/>
        </w:rPr>
        <w:t>: Čerpanie prostriedkov Prioritnej osi 2</w:t>
      </w:r>
      <w:r>
        <w:rPr>
          <w:rFonts w:ascii="Arial" w:hAnsi="Arial" w:cs="Arial"/>
          <w:sz w:val="20"/>
          <w:szCs w:val="20"/>
        </w:rPr>
        <w:t xml:space="preserve"> </w:t>
      </w:r>
      <w:r w:rsidR="006C1CFE">
        <w:rPr>
          <w:rFonts w:ascii="Arial" w:hAnsi="Arial" w:cs="Arial"/>
          <w:sz w:val="20"/>
          <w:szCs w:val="20"/>
        </w:rPr>
        <w:t xml:space="preserve">k </w:t>
      </w:r>
      <w:r w:rsidRPr="006A2BF3">
        <w:rPr>
          <w:rFonts w:ascii="Arial" w:hAnsi="Arial" w:cs="Arial"/>
          <w:sz w:val="20"/>
          <w:szCs w:val="20"/>
        </w:rPr>
        <w:t>31.12.201</w:t>
      </w:r>
      <w:r w:rsidR="006C1CFE">
        <w:rPr>
          <w:rFonts w:ascii="Arial" w:hAnsi="Arial" w:cs="Arial"/>
          <w:sz w:val="20"/>
          <w:szCs w:val="20"/>
        </w:rPr>
        <w:t>2</w:t>
      </w:r>
    </w:p>
    <w:tbl>
      <w:tblPr>
        <w:tblW w:w="9141" w:type="dxa"/>
        <w:jc w:val="center"/>
        <w:tblLayout w:type="fixed"/>
        <w:tblCellMar>
          <w:left w:w="70" w:type="dxa"/>
          <w:right w:w="70" w:type="dxa"/>
        </w:tblCellMar>
        <w:tblLook w:val="0000" w:firstRow="0" w:lastRow="0" w:firstColumn="0" w:lastColumn="0" w:noHBand="0" w:noVBand="0"/>
      </w:tblPr>
      <w:tblGrid>
        <w:gridCol w:w="1440"/>
        <w:gridCol w:w="1724"/>
        <w:gridCol w:w="1440"/>
        <w:gridCol w:w="1557"/>
        <w:gridCol w:w="1392"/>
        <w:gridCol w:w="1588"/>
      </w:tblGrid>
      <w:tr w:rsidR="006C1CFE" w:rsidRPr="007F5BD7" w:rsidTr="006A551B">
        <w:trPr>
          <w:trHeight w:val="585"/>
          <w:jc w:val="center"/>
        </w:trPr>
        <w:tc>
          <w:tcPr>
            <w:tcW w:w="1440" w:type="dxa"/>
            <w:vMerge w:val="restart"/>
            <w:tcBorders>
              <w:top w:val="single" w:sz="8" w:space="0" w:color="auto"/>
              <w:left w:val="single" w:sz="8" w:space="0" w:color="auto"/>
              <w:bottom w:val="single" w:sz="4" w:space="0" w:color="auto"/>
              <w:right w:val="single" w:sz="4" w:space="0" w:color="auto"/>
            </w:tcBorders>
            <w:shd w:val="clear" w:color="auto" w:fill="auto"/>
            <w:noWrap/>
            <w:vAlign w:val="center"/>
          </w:tcPr>
          <w:bookmarkEnd w:id="80"/>
          <w:bookmarkEnd w:id="81"/>
          <w:p w:rsidR="006C1CFE" w:rsidRPr="007F5BD7" w:rsidRDefault="006C1CFE" w:rsidP="00205636">
            <w:pPr>
              <w:jc w:val="both"/>
              <w:rPr>
                <w:rFonts w:ascii="Arial" w:hAnsi="Arial" w:cs="Arial"/>
                <w:sz w:val="18"/>
                <w:szCs w:val="18"/>
              </w:rPr>
            </w:pPr>
            <w:r w:rsidRPr="007F5BD7">
              <w:rPr>
                <w:rFonts w:ascii="Arial" w:hAnsi="Arial" w:cs="Arial"/>
                <w:sz w:val="18"/>
                <w:szCs w:val="18"/>
              </w:rPr>
              <w:t> </w:t>
            </w:r>
          </w:p>
        </w:tc>
        <w:tc>
          <w:tcPr>
            <w:tcW w:w="1724" w:type="dxa"/>
            <w:vMerge w:val="restart"/>
            <w:tcBorders>
              <w:top w:val="single" w:sz="8" w:space="0" w:color="auto"/>
              <w:left w:val="single" w:sz="4" w:space="0" w:color="auto"/>
              <w:bottom w:val="single" w:sz="4" w:space="0" w:color="auto"/>
              <w:right w:val="single" w:sz="4" w:space="0" w:color="auto"/>
            </w:tcBorders>
            <w:shd w:val="clear" w:color="auto" w:fill="D6E3BC"/>
            <w:vAlign w:val="center"/>
          </w:tcPr>
          <w:p w:rsidR="006C1CFE" w:rsidRPr="007F5BD7" w:rsidRDefault="006C1CFE" w:rsidP="00205636">
            <w:pPr>
              <w:jc w:val="center"/>
              <w:rPr>
                <w:rFonts w:ascii="Arial" w:hAnsi="Arial" w:cs="Arial"/>
                <w:sz w:val="18"/>
                <w:szCs w:val="18"/>
              </w:rPr>
            </w:pPr>
            <w:r w:rsidRPr="007F5BD7">
              <w:rPr>
                <w:rFonts w:ascii="Arial" w:eastAsia="EUAlbertina-Regular-Identity-H" w:hAnsi="Arial" w:cs="Arial"/>
                <w:sz w:val="18"/>
                <w:szCs w:val="18"/>
              </w:rPr>
              <w:t xml:space="preserve">Záväzok </w:t>
            </w:r>
            <w:r w:rsidRPr="007F5BD7">
              <w:rPr>
                <w:rFonts w:ascii="Arial" w:eastAsia="EUAlbertina-Regular-Identity-H" w:hAnsi="Arial" w:cs="Arial"/>
                <w:sz w:val="18"/>
                <w:szCs w:val="18"/>
              </w:rPr>
              <w:br/>
              <w:t>2007-2013</w:t>
            </w:r>
            <w:r w:rsidRPr="007F5BD7">
              <w:rPr>
                <w:rFonts w:ascii="Arial" w:eastAsia="EUAlbertina-Regular-Identity-H" w:hAnsi="Arial" w:cs="Arial"/>
                <w:sz w:val="18"/>
                <w:szCs w:val="18"/>
              </w:rPr>
              <w:br/>
              <w:t xml:space="preserve"> za EÚ zdroje</w:t>
            </w:r>
            <w:r w:rsidRPr="007F5BD7">
              <w:rPr>
                <w:rFonts w:ascii="Arial" w:eastAsia="EUAlbertina-Regular-Identity-H" w:hAnsi="Arial" w:cs="Arial"/>
                <w:sz w:val="18"/>
                <w:szCs w:val="18"/>
              </w:rPr>
              <w:br/>
            </w:r>
            <w:r w:rsidRPr="007F5BD7">
              <w:rPr>
                <w:rFonts w:ascii="Arial" w:hAnsi="Arial" w:cs="Arial"/>
                <w:sz w:val="18"/>
                <w:szCs w:val="18"/>
              </w:rPr>
              <w:t>v €</w:t>
            </w:r>
          </w:p>
        </w:tc>
        <w:tc>
          <w:tcPr>
            <w:tcW w:w="2997" w:type="dxa"/>
            <w:gridSpan w:val="2"/>
            <w:tcBorders>
              <w:top w:val="single" w:sz="8" w:space="0" w:color="auto"/>
              <w:left w:val="nil"/>
              <w:bottom w:val="single" w:sz="4" w:space="0" w:color="auto"/>
              <w:right w:val="single" w:sz="4" w:space="0" w:color="000000"/>
            </w:tcBorders>
            <w:shd w:val="clear" w:color="auto" w:fill="D6E3BC"/>
            <w:vAlign w:val="center"/>
          </w:tcPr>
          <w:p w:rsidR="006C1CFE" w:rsidRPr="007F5BD7" w:rsidRDefault="006C1CFE" w:rsidP="00205636">
            <w:pPr>
              <w:jc w:val="center"/>
              <w:rPr>
                <w:rFonts w:ascii="Arial" w:hAnsi="Arial" w:cs="Arial"/>
                <w:sz w:val="18"/>
                <w:szCs w:val="18"/>
              </w:rPr>
            </w:pPr>
            <w:r w:rsidRPr="007F5BD7">
              <w:rPr>
                <w:rFonts w:ascii="Arial" w:hAnsi="Arial" w:cs="Arial"/>
                <w:sz w:val="18"/>
                <w:szCs w:val="18"/>
              </w:rPr>
              <w:t>Čerpanie prostriedkov v roku 2012</w:t>
            </w:r>
          </w:p>
          <w:p w:rsidR="006C1CFE" w:rsidRPr="007F5BD7" w:rsidRDefault="006C1CFE" w:rsidP="00205636">
            <w:pPr>
              <w:jc w:val="center"/>
              <w:rPr>
                <w:rFonts w:ascii="Arial" w:hAnsi="Arial" w:cs="Arial"/>
                <w:sz w:val="18"/>
                <w:szCs w:val="18"/>
              </w:rPr>
            </w:pPr>
            <w:r w:rsidRPr="007F5BD7">
              <w:rPr>
                <w:rFonts w:ascii="Arial" w:hAnsi="Arial" w:cs="Arial"/>
                <w:sz w:val="18"/>
                <w:szCs w:val="18"/>
              </w:rPr>
              <w:t>(EU zdroje) v €</w:t>
            </w:r>
          </w:p>
        </w:tc>
        <w:tc>
          <w:tcPr>
            <w:tcW w:w="2980" w:type="dxa"/>
            <w:gridSpan w:val="2"/>
            <w:tcBorders>
              <w:top w:val="single" w:sz="8" w:space="0" w:color="auto"/>
              <w:left w:val="nil"/>
              <w:bottom w:val="single" w:sz="4" w:space="0" w:color="auto"/>
              <w:right w:val="single" w:sz="8" w:space="0" w:color="000000"/>
            </w:tcBorders>
            <w:shd w:val="clear" w:color="auto" w:fill="D6E3BC"/>
            <w:vAlign w:val="center"/>
          </w:tcPr>
          <w:p w:rsidR="006C1CFE" w:rsidRPr="007F5BD7" w:rsidRDefault="006C1CFE" w:rsidP="00205636">
            <w:pPr>
              <w:jc w:val="center"/>
              <w:rPr>
                <w:rFonts w:ascii="Arial" w:hAnsi="Arial" w:cs="Arial"/>
                <w:sz w:val="18"/>
                <w:szCs w:val="18"/>
              </w:rPr>
            </w:pPr>
            <w:r w:rsidRPr="007F5BD7">
              <w:rPr>
                <w:rFonts w:ascii="Arial" w:hAnsi="Arial" w:cs="Arial"/>
                <w:sz w:val="18"/>
                <w:szCs w:val="18"/>
              </w:rPr>
              <w:t xml:space="preserve">Čerpanie prostriedkov kumulatívne </w:t>
            </w:r>
            <w:r w:rsidRPr="007F5BD7">
              <w:rPr>
                <w:rFonts w:ascii="Arial" w:hAnsi="Arial" w:cs="Arial"/>
                <w:sz w:val="18"/>
                <w:szCs w:val="18"/>
              </w:rPr>
              <w:br/>
              <w:t>(EU zdroje) v €</w:t>
            </w:r>
          </w:p>
        </w:tc>
      </w:tr>
      <w:tr w:rsidR="006C1CFE" w:rsidRPr="007F5BD7" w:rsidTr="006A551B">
        <w:trPr>
          <w:trHeight w:val="480"/>
          <w:jc w:val="center"/>
        </w:trPr>
        <w:tc>
          <w:tcPr>
            <w:tcW w:w="1440" w:type="dxa"/>
            <w:vMerge/>
            <w:tcBorders>
              <w:top w:val="single" w:sz="8" w:space="0" w:color="auto"/>
              <w:left w:val="single" w:sz="8" w:space="0" w:color="auto"/>
              <w:bottom w:val="single" w:sz="4" w:space="0" w:color="auto"/>
              <w:right w:val="single" w:sz="4" w:space="0" w:color="auto"/>
            </w:tcBorders>
            <w:shd w:val="clear" w:color="auto" w:fill="auto"/>
            <w:vAlign w:val="center"/>
          </w:tcPr>
          <w:p w:rsidR="006C1CFE" w:rsidRPr="007F5BD7" w:rsidRDefault="006C1CFE" w:rsidP="00205636">
            <w:pPr>
              <w:jc w:val="both"/>
              <w:rPr>
                <w:rFonts w:ascii="Arial" w:hAnsi="Arial" w:cs="Arial"/>
                <w:sz w:val="18"/>
                <w:szCs w:val="18"/>
              </w:rPr>
            </w:pPr>
          </w:p>
        </w:tc>
        <w:tc>
          <w:tcPr>
            <w:tcW w:w="1724" w:type="dxa"/>
            <w:vMerge/>
            <w:tcBorders>
              <w:top w:val="single" w:sz="8" w:space="0" w:color="auto"/>
              <w:left w:val="single" w:sz="4" w:space="0" w:color="auto"/>
              <w:bottom w:val="single" w:sz="4" w:space="0" w:color="auto"/>
              <w:right w:val="single" w:sz="4" w:space="0" w:color="auto"/>
            </w:tcBorders>
            <w:shd w:val="clear" w:color="auto" w:fill="D6E3BC"/>
            <w:vAlign w:val="center"/>
          </w:tcPr>
          <w:p w:rsidR="006C1CFE" w:rsidRPr="007F5BD7" w:rsidRDefault="006C1CFE" w:rsidP="00205636">
            <w:pPr>
              <w:jc w:val="center"/>
              <w:rPr>
                <w:rFonts w:ascii="Arial" w:hAnsi="Arial" w:cs="Arial"/>
                <w:sz w:val="18"/>
                <w:szCs w:val="18"/>
              </w:rPr>
            </w:pPr>
          </w:p>
        </w:tc>
        <w:tc>
          <w:tcPr>
            <w:tcW w:w="1440" w:type="dxa"/>
            <w:tcBorders>
              <w:top w:val="nil"/>
              <w:left w:val="nil"/>
              <w:bottom w:val="single" w:sz="4" w:space="0" w:color="auto"/>
              <w:right w:val="single" w:sz="4" w:space="0" w:color="auto"/>
            </w:tcBorders>
            <w:shd w:val="clear" w:color="auto" w:fill="D6E3BC"/>
            <w:noWrap/>
            <w:vAlign w:val="center"/>
          </w:tcPr>
          <w:p w:rsidR="006C1CFE" w:rsidRPr="007F5BD7" w:rsidRDefault="006C1CFE" w:rsidP="00205636">
            <w:pPr>
              <w:jc w:val="center"/>
              <w:rPr>
                <w:rFonts w:ascii="Arial" w:hAnsi="Arial" w:cs="Arial"/>
                <w:sz w:val="18"/>
                <w:szCs w:val="18"/>
              </w:rPr>
            </w:pPr>
            <w:r w:rsidRPr="007F5BD7">
              <w:rPr>
                <w:rFonts w:ascii="Arial" w:hAnsi="Arial" w:cs="Arial"/>
                <w:sz w:val="18"/>
                <w:szCs w:val="18"/>
              </w:rPr>
              <w:t>Celkom</w:t>
            </w:r>
          </w:p>
        </w:tc>
        <w:tc>
          <w:tcPr>
            <w:tcW w:w="1557" w:type="dxa"/>
            <w:tcBorders>
              <w:top w:val="nil"/>
              <w:left w:val="nil"/>
              <w:bottom w:val="single" w:sz="4" w:space="0" w:color="auto"/>
              <w:right w:val="single" w:sz="4" w:space="0" w:color="auto"/>
            </w:tcBorders>
            <w:shd w:val="clear" w:color="auto" w:fill="D6E3BC"/>
            <w:vAlign w:val="center"/>
          </w:tcPr>
          <w:p w:rsidR="006C1CFE" w:rsidRPr="007F5BD7" w:rsidRDefault="006C1CFE" w:rsidP="00205636">
            <w:pPr>
              <w:jc w:val="center"/>
              <w:rPr>
                <w:rFonts w:ascii="Arial" w:hAnsi="Arial" w:cs="Arial"/>
                <w:sz w:val="18"/>
                <w:szCs w:val="18"/>
              </w:rPr>
            </w:pPr>
            <w:r w:rsidRPr="007F5BD7">
              <w:rPr>
                <w:rFonts w:ascii="Arial" w:hAnsi="Arial" w:cs="Arial"/>
                <w:sz w:val="18"/>
                <w:szCs w:val="18"/>
              </w:rPr>
              <w:t>% zo záväzku</w:t>
            </w:r>
          </w:p>
          <w:p w:rsidR="006C1CFE" w:rsidRPr="007F5BD7" w:rsidRDefault="006C1CFE" w:rsidP="00205636">
            <w:pPr>
              <w:jc w:val="center"/>
              <w:rPr>
                <w:rFonts w:ascii="Arial" w:hAnsi="Arial" w:cs="Arial"/>
                <w:sz w:val="18"/>
                <w:szCs w:val="18"/>
              </w:rPr>
            </w:pPr>
            <w:r w:rsidRPr="007F5BD7">
              <w:rPr>
                <w:rFonts w:ascii="Arial" w:hAnsi="Arial" w:cs="Arial"/>
                <w:sz w:val="18"/>
                <w:szCs w:val="18"/>
              </w:rPr>
              <w:t>2007 - 2013</w:t>
            </w:r>
          </w:p>
        </w:tc>
        <w:tc>
          <w:tcPr>
            <w:tcW w:w="1392" w:type="dxa"/>
            <w:tcBorders>
              <w:top w:val="nil"/>
              <w:left w:val="nil"/>
              <w:bottom w:val="single" w:sz="4" w:space="0" w:color="auto"/>
              <w:right w:val="single" w:sz="4" w:space="0" w:color="auto"/>
            </w:tcBorders>
            <w:shd w:val="clear" w:color="auto" w:fill="D6E3BC"/>
            <w:noWrap/>
            <w:vAlign w:val="center"/>
          </w:tcPr>
          <w:p w:rsidR="006C1CFE" w:rsidRPr="007F5BD7" w:rsidRDefault="006C1CFE" w:rsidP="00205636">
            <w:pPr>
              <w:jc w:val="center"/>
              <w:rPr>
                <w:rFonts w:ascii="Arial" w:hAnsi="Arial" w:cs="Arial"/>
                <w:sz w:val="18"/>
                <w:szCs w:val="18"/>
              </w:rPr>
            </w:pPr>
            <w:r w:rsidRPr="007F5BD7">
              <w:rPr>
                <w:rFonts w:ascii="Arial" w:hAnsi="Arial" w:cs="Arial"/>
                <w:sz w:val="18"/>
                <w:szCs w:val="18"/>
              </w:rPr>
              <w:t>Celkom</w:t>
            </w:r>
          </w:p>
        </w:tc>
        <w:tc>
          <w:tcPr>
            <w:tcW w:w="1588" w:type="dxa"/>
            <w:tcBorders>
              <w:top w:val="nil"/>
              <w:left w:val="nil"/>
              <w:bottom w:val="single" w:sz="4" w:space="0" w:color="auto"/>
              <w:right w:val="single" w:sz="8" w:space="0" w:color="auto"/>
            </w:tcBorders>
            <w:shd w:val="clear" w:color="auto" w:fill="D6E3BC"/>
            <w:vAlign w:val="center"/>
          </w:tcPr>
          <w:p w:rsidR="006C1CFE" w:rsidRPr="007F5BD7" w:rsidRDefault="006C1CFE" w:rsidP="00205636">
            <w:pPr>
              <w:jc w:val="center"/>
              <w:rPr>
                <w:rFonts w:ascii="Arial" w:hAnsi="Arial" w:cs="Arial"/>
                <w:sz w:val="18"/>
                <w:szCs w:val="18"/>
              </w:rPr>
            </w:pPr>
            <w:r w:rsidRPr="007F5BD7">
              <w:rPr>
                <w:rFonts w:ascii="Arial" w:hAnsi="Arial" w:cs="Arial"/>
                <w:sz w:val="18"/>
                <w:szCs w:val="18"/>
              </w:rPr>
              <w:t>% zo záväzku</w:t>
            </w:r>
          </w:p>
          <w:p w:rsidR="006C1CFE" w:rsidRPr="007F5BD7" w:rsidRDefault="006C1CFE" w:rsidP="00205636">
            <w:pPr>
              <w:jc w:val="center"/>
              <w:rPr>
                <w:rFonts w:ascii="Arial" w:hAnsi="Arial" w:cs="Arial"/>
                <w:sz w:val="18"/>
                <w:szCs w:val="18"/>
              </w:rPr>
            </w:pPr>
            <w:r w:rsidRPr="007F5BD7">
              <w:rPr>
                <w:rFonts w:ascii="Arial" w:hAnsi="Arial" w:cs="Arial"/>
                <w:sz w:val="18"/>
                <w:szCs w:val="18"/>
              </w:rPr>
              <w:t>2007 - 2013</w:t>
            </w:r>
          </w:p>
        </w:tc>
      </w:tr>
      <w:tr w:rsidR="006C1CFE" w:rsidRPr="007F5BD7" w:rsidTr="006A551B">
        <w:trPr>
          <w:trHeight w:val="255"/>
          <w:jc w:val="center"/>
        </w:trPr>
        <w:tc>
          <w:tcPr>
            <w:tcW w:w="1440" w:type="dxa"/>
            <w:tcBorders>
              <w:top w:val="single" w:sz="4" w:space="0" w:color="auto"/>
              <w:left w:val="single" w:sz="8" w:space="0" w:color="auto"/>
              <w:bottom w:val="single" w:sz="4" w:space="0" w:color="auto"/>
              <w:right w:val="single" w:sz="4" w:space="0" w:color="auto"/>
            </w:tcBorders>
            <w:shd w:val="clear" w:color="auto" w:fill="auto"/>
            <w:noWrap/>
            <w:vAlign w:val="center"/>
          </w:tcPr>
          <w:p w:rsidR="006C1CFE" w:rsidRPr="00152E99" w:rsidRDefault="006C1CFE" w:rsidP="00205636">
            <w:pPr>
              <w:jc w:val="center"/>
              <w:rPr>
                <w:rFonts w:ascii="Arial" w:hAnsi="Arial" w:cs="Arial"/>
                <w:sz w:val="18"/>
                <w:szCs w:val="18"/>
              </w:rPr>
            </w:pPr>
            <w:r w:rsidRPr="00152E99">
              <w:rPr>
                <w:rFonts w:ascii="Arial" w:hAnsi="Arial" w:cs="Arial"/>
                <w:sz w:val="18"/>
                <w:szCs w:val="18"/>
              </w:rPr>
              <w:t>Prioritná os 2</w:t>
            </w:r>
          </w:p>
        </w:tc>
        <w:tc>
          <w:tcPr>
            <w:tcW w:w="1724" w:type="dxa"/>
            <w:tcBorders>
              <w:top w:val="nil"/>
              <w:left w:val="nil"/>
              <w:bottom w:val="single" w:sz="4" w:space="0" w:color="auto"/>
              <w:right w:val="single" w:sz="4" w:space="0" w:color="auto"/>
            </w:tcBorders>
            <w:shd w:val="clear" w:color="auto" w:fill="auto"/>
            <w:noWrap/>
            <w:vAlign w:val="center"/>
          </w:tcPr>
          <w:p w:rsidR="006C1CFE" w:rsidRPr="00152E99" w:rsidRDefault="006C1CFE" w:rsidP="00205636">
            <w:pPr>
              <w:jc w:val="center"/>
              <w:rPr>
                <w:rFonts w:ascii="Arial" w:hAnsi="Arial" w:cs="Arial"/>
                <w:sz w:val="18"/>
                <w:szCs w:val="18"/>
              </w:rPr>
            </w:pPr>
            <w:r w:rsidRPr="00152E99">
              <w:rPr>
                <w:rFonts w:ascii="Arial" w:hAnsi="Arial" w:cs="Arial"/>
                <w:sz w:val="18"/>
                <w:szCs w:val="18"/>
              </w:rPr>
              <w:t>120 000 000,00</w:t>
            </w:r>
          </w:p>
        </w:tc>
        <w:tc>
          <w:tcPr>
            <w:tcW w:w="1440" w:type="dxa"/>
            <w:tcBorders>
              <w:top w:val="nil"/>
              <w:left w:val="nil"/>
              <w:bottom w:val="single" w:sz="4" w:space="0" w:color="auto"/>
              <w:right w:val="single" w:sz="4" w:space="0" w:color="auto"/>
            </w:tcBorders>
            <w:shd w:val="clear" w:color="auto" w:fill="auto"/>
            <w:noWrap/>
            <w:vAlign w:val="center"/>
          </w:tcPr>
          <w:p w:rsidR="006C1CFE" w:rsidRPr="00152E99" w:rsidRDefault="006C1CFE" w:rsidP="00205636">
            <w:pPr>
              <w:jc w:val="center"/>
              <w:rPr>
                <w:rFonts w:ascii="Arial" w:hAnsi="Arial" w:cs="Arial"/>
                <w:sz w:val="18"/>
                <w:szCs w:val="18"/>
              </w:rPr>
            </w:pPr>
            <w:r w:rsidRPr="00152E99">
              <w:rPr>
                <w:rFonts w:ascii="Arial" w:hAnsi="Arial" w:cs="Arial"/>
                <w:sz w:val="18"/>
                <w:szCs w:val="18"/>
              </w:rPr>
              <w:t>7 774 749,81</w:t>
            </w:r>
          </w:p>
        </w:tc>
        <w:tc>
          <w:tcPr>
            <w:tcW w:w="1557" w:type="dxa"/>
            <w:tcBorders>
              <w:top w:val="nil"/>
              <w:left w:val="nil"/>
              <w:bottom w:val="single" w:sz="4" w:space="0" w:color="auto"/>
              <w:right w:val="single" w:sz="4" w:space="0" w:color="auto"/>
            </w:tcBorders>
            <w:shd w:val="clear" w:color="auto" w:fill="auto"/>
            <w:noWrap/>
            <w:vAlign w:val="center"/>
          </w:tcPr>
          <w:p w:rsidR="006C1CFE" w:rsidRPr="00152E99" w:rsidRDefault="006C1CFE" w:rsidP="00205636">
            <w:pPr>
              <w:jc w:val="center"/>
              <w:rPr>
                <w:rFonts w:ascii="Arial" w:hAnsi="Arial" w:cs="Arial"/>
                <w:sz w:val="18"/>
                <w:szCs w:val="18"/>
              </w:rPr>
            </w:pPr>
            <w:r w:rsidRPr="00152E99">
              <w:rPr>
                <w:rFonts w:ascii="Arial" w:hAnsi="Arial" w:cs="Arial"/>
                <w:sz w:val="18"/>
                <w:szCs w:val="18"/>
              </w:rPr>
              <w:t>6,48%</w:t>
            </w:r>
          </w:p>
        </w:tc>
        <w:tc>
          <w:tcPr>
            <w:tcW w:w="1392" w:type="dxa"/>
            <w:tcBorders>
              <w:top w:val="nil"/>
              <w:left w:val="nil"/>
              <w:bottom w:val="single" w:sz="4" w:space="0" w:color="auto"/>
              <w:right w:val="single" w:sz="4" w:space="0" w:color="auto"/>
            </w:tcBorders>
            <w:shd w:val="clear" w:color="auto" w:fill="auto"/>
            <w:noWrap/>
            <w:vAlign w:val="center"/>
          </w:tcPr>
          <w:p w:rsidR="006C1CFE" w:rsidRPr="00152E99" w:rsidRDefault="006C1CFE" w:rsidP="00205636">
            <w:pPr>
              <w:jc w:val="center"/>
              <w:rPr>
                <w:rFonts w:ascii="Arial" w:hAnsi="Arial" w:cs="Arial"/>
                <w:sz w:val="18"/>
                <w:szCs w:val="18"/>
              </w:rPr>
            </w:pPr>
            <w:r w:rsidRPr="00152E99">
              <w:rPr>
                <w:rFonts w:ascii="Arial" w:hAnsi="Arial" w:cs="Arial"/>
                <w:sz w:val="18"/>
                <w:szCs w:val="18"/>
              </w:rPr>
              <w:t>27 027 653,11</w:t>
            </w:r>
          </w:p>
        </w:tc>
        <w:tc>
          <w:tcPr>
            <w:tcW w:w="1588" w:type="dxa"/>
            <w:tcBorders>
              <w:top w:val="nil"/>
              <w:left w:val="nil"/>
              <w:bottom w:val="single" w:sz="4" w:space="0" w:color="auto"/>
              <w:right w:val="single" w:sz="8" w:space="0" w:color="auto"/>
            </w:tcBorders>
            <w:shd w:val="clear" w:color="auto" w:fill="auto"/>
            <w:noWrap/>
            <w:vAlign w:val="center"/>
          </w:tcPr>
          <w:p w:rsidR="006C1CFE" w:rsidRPr="00152E99" w:rsidRDefault="006C1CFE" w:rsidP="00205636">
            <w:pPr>
              <w:jc w:val="center"/>
              <w:rPr>
                <w:rFonts w:ascii="Arial" w:hAnsi="Arial" w:cs="Arial"/>
                <w:sz w:val="18"/>
                <w:szCs w:val="18"/>
              </w:rPr>
            </w:pPr>
            <w:r w:rsidRPr="00152E99">
              <w:rPr>
                <w:rFonts w:ascii="Arial" w:hAnsi="Arial" w:cs="Arial"/>
                <w:sz w:val="18"/>
                <w:szCs w:val="18"/>
              </w:rPr>
              <w:t>22,52%</w:t>
            </w:r>
          </w:p>
        </w:tc>
      </w:tr>
    </w:tbl>
    <w:p w:rsidR="002416B1" w:rsidRDefault="002416B1" w:rsidP="00205636">
      <w:pPr>
        <w:pStyle w:val="Zkladntextb"/>
        <w:spacing w:after="0"/>
        <w:ind w:left="0"/>
        <w:rPr>
          <w:sz w:val="18"/>
          <w:szCs w:val="18"/>
          <w:lang w:val="sk-SK"/>
        </w:rPr>
      </w:pPr>
      <w:r w:rsidRPr="006A2BF3">
        <w:rPr>
          <w:sz w:val="18"/>
          <w:szCs w:val="18"/>
          <w:lang w:val="sk-SK"/>
        </w:rPr>
        <w:t>Zdroj: CO</w:t>
      </w:r>
    </w:p>
    <w:p w:rsidR="006C1CFE" w:rsidRPr="00152E99" w:rsidRDefault="006C1CFE" w:rsidP="00205636">
      <w:pPr>
        <w:jc w:val="both"/>
        <w:rPr>
          <w:rFonts w:ascii="Arial" w:hAnsi="Arial" w:cs="Arial"/>
          <w:b/>
          <w:bCs/>
          <w:color w:val="000000"/>
          <w:sz w:val="22"/>
          <w:szCs w:val="22"/>
          <w:u w:val="single"/>
        </w:rPr>
      </w:pPr>
      <w:r w:rsidRPr="00152E99">
        <w:rPr>
          <w:rFonts w:ascii="Arial" w:hAnsi="Arial" w:cs="Arial"/>
          <w:i/>
          <w:sz w:val="18"/>
          <w:szCs w:val="18"/>
        </w:rPr>
        <w:t xml:space="preserve">Pozn.: </w:t>
      </w:r>
      <w:r w:rsidRPr="00152E99">
        <w:rPr>
          <w:rFonts w:ascii="Arial" w:hAnsi="Arial" w:cs="Arial"/>
          <w:bCs/>
          <w:i/>
          <w:sz w:val="18"/>
          <w:szCs w:val="18"/>
        </w:rPr>
        <w:t>prehľad výdavkov schválených CO znížených o nezrovnalosti</w:t>
      </w:r>
    </w:p>
    <w:p w:rsidR="009D50F6" w:rsidRDefault="009D50F6">
      <w:pPr>
        <w:rPr>
          <w:rFonts w:ascii="Arial" w:hAnsi="Arial"/>
          <w:sz w:val="20"/>
          <w:szCs w:val="20"/>
        </w:rPr>
      </w:pPr>
      <w:r>
        <w:br w:type="page"/>
      </w:r>
    </w:p>
    <w:p w:rsidR="00D36DF5" w:rsidRPr="004B33AE" w:rsidRDefault="00D36DF5" w:rsidP="00507035">
      <w:pPr>
        <w:pStyle w:val="Zkladntextb"/>
        <w:spacing w:before="120" w:after="120" w:line="360" w:lineRule="auto"/>
        <w:ind w:left="0"/>
        <w:jc w:val="both"/>
        <w:rPr>
          <w:lang w:val="sk-SK"/>
        </w:rPr>
      </w:pPr>
      <w:r w:rsidRPr="006A2BF3">
        <w:rPr>
          <w:lang w:val="sk-SK"/>
        </w:rPr>
        <w:t>V roku 201</w:t>
      </w:r>
      <w:r>
        <w:rPr>
          <w:lang w:val="sk-SK"/>
        </w:rPr>
        <w:t>2</w:t>
      </w:r>
      <w:r w:rsidRPr="004B33AE">
        <w:rPr>
          <w:lang w:val="sk-SK"/>
        </w:rPr>
        <w:t xml:space="preserve"> bolo vyčerpaných </w:t>
      </w:r>
      <w:r>
        <w:rPr>
          <w:lang w:val="sk-SK"/>
        </w:rPr>
        <w:t>takmer 30</w:t>
      </w:r>
      <w:r w:rsidRPr="004B33AE">
        <w:rPr>
          <w:lang w:val="sk-SK"/>
        </w:rPr>
        <w:t xml:space="preserve"> mil. EUR z KF, </w:t>
      </w:r>
      <w:r w:rsidRPr="00546100">
        <w:rPr>
          <w:lang w:val="sk-SK"/>
        </w:rPr>
        <w:t xml:space="preserve">pričom najvyššie čerpanie bolo zaznamenané v rámci </w:t>
      </w:r>
      <w:r w:rsidRPr="00B71586">
        <w:rPr>
          <w:lang w:val="sk-SK"/>
        </w:rPr>
        <w:t>Košického</w:t>
      </w:r>
      <w:r w:rsidRPr="00546100">
        <w:rPr>
          <w:lang w:val="sk-SK"/>
        </w:rPr>
        <w:t xml:space="preserve"> a Prešovského kraja (viď Príloha č. 6).</w:t>
      </w:r>
    </w:p>
    <w:p w:rsidR="00D36DF5" w:rsidRPr="00FD7883" w:rsidRDefault="00D36DF5" w:rsidP="00507035">
      <w:pPr>
        <w:pStyle w:val="Zkladntextb"/>
        <w:spacing w:before="120" w:after="120" w:line="360" w:lineRule="auto"/>
        <w:ind w:left="0"/>
        <w:jc w:val="both"/>
        <w:rPr>
          <w:lang w:val="sk-SK"/>
        </w:rPr>
      </w:pPr>
      <w:r w:rsidRPr="00FD7883">
        <w:rPr>
          <w:lang w:val="sk-SK"/>
        </w:rPr>
        <w:t>Úroveň zazmluvnenia prioritnej osi voči alokácii na danú prioritnú os je 7</w:t>
      </w:r>
      <w:r w:rsidRPr="00B71586">
        <w:rPr>
          <w:lang w:val="sk-SK"/>
        </w:rPr>
        <w:t>2</w:t>
      </w:r>
      <w:r w:rsidRPr="00FD7883">
        <w:rPr>
          <w:lang w:val="sk-SK"/>
        </w:rPr>
        <w:t>,</w:t>
      </w:r>
      <w:r w:rsidRPr="00B71586">
        <w:rPr>
          <w:lang w:val="sk-SK"/>
        </w:rPr>
        <w:t>53</w:t>
      </w:r>
      <w:r w:rsidRPr="00FD7883">
        <w:rPr>
          <w:lang w:val="sk-SK"/>
        </w:rPr>
        <w:t xml:space="preserve"> %, pričom vyplatené prostriedky prijímateľom tvoria </w:t>
      </w:r>
      <w:r w:rsidRPr="00B71586">
        <w:rPr>
          <w:lang w:val="sk-SK"/>
        </w:rPr>
        <w:t>24</w:t>
      </w:r>
      <w:r w:rsidRPr="00FD7883">
        <w:rPr>
          <w:lang w:val="sk-SK"/>
        </w:rPr>
        <w:t>,</w:t>
      </w:r>
      <w:r w:rsidRPr="00B71586">
        <w:rPr>
          <w:lang w:val="sk-SK"/>
        </w:rPr>
        <w:t>75</w:t>
      </w:r>
      <w:r w:rsidR="0072403D">
        <w:rPr>
          <w:lang w:val="sk-SK"/>
        </w:rPr>
        <w:t xml:space="preserve"> </w:t>
      </w:r>
      <w:r w:rsidRPr="00FD7883">
        <w:rPr>
          <w:lang w:val="sk-SK"/>
        </w:rPr>
        <w:t>% voči celkovej alokácii na danú prioritnú os.</w:t>
      </w:r>
    </w:p>
    <w:p w:rsidR="002416B1" w:rsidRPr="00B948D5" w:rsidRDefault="002416B1" w:rsidP="00507035">
      <w:pPr>
        <w:pStyle w:val="Zkladntextb"/>
        <w:spacing w:before="120" w:after="120" w:line="360" w:lineRule="auto"/>
        <w:ind w:left="0"/>
        <w:jc w:val="both"/>
        <w:rPr>
          <w:lang w:val="sk-SK"/>
        </w:rPr>
      </w:pPr>
      <w:r w:rsidRPr="00D36DF5">
        <w:rPr>
          <w:lang w:val="sk-SK"/>
        </w:rPr>
        <w:t xml:space="preserve">V súvislosti s navýšením prostriedkov na ochranu pred povodňami (viď kapitola 2.4 Zmeny v kontexte realizácie OP ŽP), RO vyhlásilo výzvu na preventívne opatrenia na ochranu pred povodňami, čím </w:t>
      </w:r>
      <w:r w:rsidR="000B59F8">
        <w:rPr>
          <w:lang w:val="sk-SK"/>
        </w:rPr>
        <w:t xml:space="preserve">boli </w:t>
      </w:r>
      <w:r w:rsidR="000B59F8" w:rsidRPr="00D36DF5">
        <w:rPr>
          <w:lang w:val="sk-SK"/>
        </w:rPr>
        <w:t>vytvor</w:t>
      </w:r>
      <w:r w:rsidR="000B59F8">
        <w:rPr>
          <w:lang w:val="sk-SK"/>
        </w:rPr>
        <w:t>ené</w:t>
      </w:r>
      <w:r w:rsidR="000B59F8" w:rsidRPr="00D36DF5">
        <w:rPr>
          <w:lang w:val="sk-SK"/>
        </w:rPr>
        <w:t xml:space="preserve"> </w:t>
      </w:r>
      <w:r w:rsidRPr="00D36DF5">
        <w:rPr>
          <w:lang w:val="sk-SK"/>
        </w:rPr>
        <w:t>podmienky pre schvaľova</w:t>
      </w:r>
      <w:r w:rsidRPr="000F48E2">
        <w:rPr>
          <w:lang w:val="sk-SK"/>
        </w:rPr>
        <w:t xml:space="preserve">nie resp. zazmluvňovanie </w:t>
      </w:r>
      <w:r w:rsidR="000B59F8">
        <w:rPr>
          <w:lang w:val="sk-SK"/>
        </w:rPr>
        <w:t>ďalších</w:t>
      </w:r>
      <w:r w:rsidR="000B59F8" w:rsidRPr="000F48E2">
        <w:rPr>
          <w:lang w:val="sk-SK"/>
        </w:rPr>
        <w:t xml:space="preserve"> </w:t>
      </w:r>
      <w:r w:rsidRPr="000F48E2">
        <w:rPr>
          <w:lang w:val="sk-SK"/>
        </w:rPr>
        <w:t>projektov</w:t>
      </w:r>
      <w:r w:rsidR="000B59F8">
        <w:rPr>
          <w:lang w:val="sk-SK"/>
        </w:rPr>
        <w:t>.</w:t>
      </w:r>
    </w:p>
    <w:p w:rsidR="002416B1" w:rsidRPr="004B33AE" w:rsidRDefault="002416B1" w:rsidP="00507035">
      <w:pPr>
        <w:pStyle w:val="Zkladntextb"/>
        <w:spacing w:before="120" w:after="120" w:line="360" w:lineRule="auto"/>
        <w:ind w:left="0"/>
        <w:jc w:val="both"/>
        <w:rPr>
          <w:lang w:val="sk-SK"/>
        </w:rPr>
      </w:pPr>
      <w:r w:rsidRPr="00B948D5">
        <w:rPr>
          <w:lang w:val="sk-SK"/>
        </w:rPr>
        <w:t xml:space="preserve">Výšku čerpania ovplyvňuje taktiež viacero externých faktorov, ktoré sú podrobnejšie popísané v kapitole 2.1.2 Finančná implementácia operačného programu, </w:t>
      </w:r>
      <w:r w:rsidR="000B59F8">
        <w:rPr>
          <w:lang w:val="sk-SK"/>
        </w:rPr>
        <w:t>vrátane</w:t>
      </w:r>
      <w:r w:rsidR="000B59F8" w:rsidRPr="00B948D5">
        <w:rPr>
          <w:lang w:val="sk-SK"/>
        </w:rPr>
        <w:t xml:space="preserve"> </w:t>
      </w:r>
      <w:r w:rsidRPr="00B948D5">
        <w:rPr>
          <w:lang w:val="sk-SK"/>
        </w:rPr>
        <w:t> uveden</w:t>
      </w:r>
      <w:r w:rsidR="000B59F8">
        <w:rPr>
          <w:lang w:val="sk-SK"/>
        </w:rPr>
        <w:t>ia</w:t>
      </w:r>
      <w:r w:rsidRPr="00B948D5">
        <w:rPr>
          <w:lang w:val="sk-SK"/>
        </w:rPr>
        <w:t xml:space="preserve"> </w:t>
      </w:r>
      <w:r w:rsidR="000B59F8">
        <w:rPr>
          <w:lang w:val="sk-SK"/>
        </w:rPr>
        <w:t>p</w:t>
      </w:r>
      <w:r w:rsidRPr="00D70258">
        <w:rPr>
          <w:lang w:val="sk-SK"/>
        </w:rPr>
        <w:t>orovnania skutočného a plánovaného čerpania od 01.01.201</w:t>
      </w:r>
      <w:r w:rsidR="00D36DF5" w:rsidRPr="0039268C">
        <w:rPr>
          <w:lang w:val="sk-SK"/>
        </w:rPr>
        <w:t>2</w:t>
      </w:r>
      <w:r w:rsidRPr="00D36DF5">
        <w:rPr>
          <w:lang w:val="sk-SK"/>
        </w:rPr>
        <w:t xml:space="preserve"> do 31.12.201</w:t>
      </w:r>
      <w:r w:rsidR="00D36DF5" w:rsidRPr="0039268C">
        <w:rPr>
          <w:lang w:val="sk-SK"/>
        </w:rPr>
        <w:t>2</w:t>
      </w:r>
      <w:r w:rsidRPr="00D36DF5">
        <w:rPr>
          <w:lang w:val="sk-SK"/>
        </w:rPr>
        <w:t xml:space="preserve"> spolu za program.</w:t>
      </w:r>
    </w:p>
    <w:p w:rsidR="002416B1" w:rsidRPr="004B33AE" w:rsidRDefault="002416B1" w:rsidP="00507035">
      <w:pPr>
        <w:pStyle w:val="Nadpis3"/>
        <w:spacing w:before="120" w:after="120" w:line="360" w:lineRule="auto"/>
      </w:pPr>
      <w:bookmarkStart w:id="82" w:name="_Toc319573325"/>
      <w:r w:rsidRPr="004B33AE">
        <w:t>3.2.2 Závažné problémy, ktoré sa vyskytli a opatrenia prijaté na ich prekonanie</w:t>
      </w:r>
      <w:bookmarkEnd w:id="82"/>
    </w:p>
    <w:p w:rsidR="002416B1" w:rsidRPr="004B33AE" w:rsidRDefault="002416B1" w:rsidP="00507035">
      <w:pPr>
        <w:spacing w:before="120" w:after="120" w:line="360" w:lineRule="auto"/>
        <w:rPr>
          <w:rFonts w:ascii="Arial" w:hAnsi="Arial" w:cs="Arial"/>
          <w:sz w:val="20"/>
          <w:szCs w:val="20"/>
        </w:rPr>
      </w:pPr>
      <w:r w:rsidRPr="004B33AE">
        <w:rPr>
          <w:rFonts w:ascii="Arial" w:hAnsi="Arial" w:cs="Arial"/>
          <w:sz w:val="20"/>
          <w:szCs w:val="20"/>
        </w:rPr>
        <w:t>V súvislosti s implementáciou Prioritnej osi 2 neboli zaznamenané žiadne závažné problémy.</w:t>
      </w:r>
    </w:p>
    <w:p w:rsidR="0021640D" w:rsidRDefault="0021640D" w:rsidP="00507035">
      <w:pPr>
        <w:spacing w:before="120" w:after="120" w:line="360" w:lineRule="auto"/>
        <w:rPr>
          <w:rFonts w:ascii="Arial" w:hAnsi="Arial" w:cs="Arial"/>
          <w:sz w:val="20"/>
          <w:szCs w:val="20"/>
        </w:rPr>
      </w:pPr>
      <w:r w:rsidRPr="0021640D">
        <w:rPr>
          <w:rFonts w:ascii="Arial" w:hAnsi="Arial" w:cs="Arial"/>
          <w:b/>
          <w:sz w:val="20"/>
          <w:szCs w:val="20"/>
        </w:rPr>
        <w:t xml:space="preserve">Kvalitatívna analýza dosiahnutých výsledkov na úrovni prioritnej osi </w:t>
      </w:r>
      <w:r w:rsidR="008A5AC2">
        <w:rPr>
          <w:rFonts w:ascii="Arial" w:hAnsi="Arial" w:cs="Arial"/>
          <w:b/>
          <w:sz w:val="20"/>
          <w:szCs w:val="20"/>
        </w:rPr>
        <w:t>2</w:t>
      </w:r>
    </w:p>
    <w:p w:rsidR="0021640D" w:rsidRDefault="0021640D" w:rsidP="00507035">
      <w:pPr>
        <w:pStyle w:val="Zkladntextb"/>
        <w:spacing w:before="120" w:after="120" w:line="360" w:lineRule="auto"/>
        <w:ind w:left="0"/>
        <w:jc w:val="both"/>
        <w:rPr>
          <w:i/>
          <w:lang w:val="sk-SK"/>
        </w:rPr>
      </w:pPr>
      <w:r w:rsidRPr="00A322EA">
        <w:rPr>
          <w:i/>
          <w:lang w:val="sk-SK"/>
        </w:rPr>
        <w:t>Zhodnotenie úrovne zazmluvnenia alokovaných finančných prostriedkov za zdroje EÚ vo vzťahu k dosahovaným hodnotám ukazovateľov prioritnej témy</w:t>
      </w:r>
    </w:p>
    <w:p w:rsidR="0021640D" w:rsidRDefault="0021640D" w:rsidP="00507035">
      <w:pPr>
        <w:pStyle w:val="Zkladntextb"/>
        <w:spacing w:before="120" w:after="120" w:line="360" w:lineRule="auto"/>
        <w:ind w:left="0"/>
        <w:jc w:val="both"/>
        <w:rPr>
          <w:rFonts w:cs="Arial"/>
          <w:lang w:val="sk-SK"/>
        </w:rPr>
      </w:pPr>
      <w:r>
        <w:rPr>
          <w:rFonts w:cs="Arial"/>
          <w:lang w:val="sk-SK"/>
        </w:rPr>
        <w:t>Použitá metodika je bližšie popísaná v kapitole 2.1.1 časť Plnenie merateľných ukazovateľov.</w:t>
      </w:r>
    </w:p>
    <w:p w:rsidR="0021640D" w:rsidRDefault="0021640D" w:rsidP="00205636">
      <w:pPr>
        <w:pStyle w:val="Zkladntextb"/>
        <w:spacing w:after="0" w:line="360" w:lineRule="auto"/>
        <w:ind w:left="0"/>
        <w:jc w:val="both"/>
        <w:rPr>
          <w:rFonts w:cs="Arial"/>
          <w:lang w:val="sk-SK"/>
        </w:rPr>
      </w:pPr>
      <w:r>
        <w:rPr>
          <w:rFonts w:cs="Arial"/>
          <w:lang w:val="sk-SK"/>
        </w:rPr>
        <w:t>Tab. č.</w:t>
      </w:r>
      <w:r w:rsidR="007976C6">
        <w:rPr>
          <w:rFonts w:cs="Arial"/>
          <w:lang w:val="sk-SK"/>
        </w:rPr>
        <w:t xml:space="preserve"> </w:t>
      </w:r>
      <w:r w:rsidR="007B7519">
        <w:rPr>
          <w:rFonts w:cs="Arial"/>
          <w:lang w:val="sk-SK"/>
        </w:rPr>
        <w:t xml:space="preserve">45 </w:t>
      </w:r>
      <w:r w:rsidR="00000CC9" w:rsidRPr="00000CC9">
        <w:rPr>
          <w:rFonts w:cs="Arial"/>
          <w:lang w:val="sk-SK"/>
        </w:rPr>
        <w:t>Zhodnotenie úrovne podľa HT</w:t>
      </w:r>
    </w:p>
    <w:tbl>
      <w:tblPr>
        <w:tblW w:w="0" w:type="auto"/>
        <w:tblInd w:w="55" w:type="dxa"/>
        <w:tblCellMar>
          <w:left w:w="70" w:type="dxa"/>
          <w:right w:w="70" w:type="dxa"/>
        </w:tblCellMar>
        <w:tblLook w:val="04A0" w:firstRow="1" w:lastRow="0" w:firstColumn="1" w:lastColumn="0" w:noHBand="0" w:noVBand="1"/>
      </w:tblPr>
      <w:tblGrid>
        <w:gridCol w:w="2206"/>
        <w:gridCol w:w="762"/>
        <w:gridCol w:w="1072"/>
        <w:gridCol w:w="1279"/>
        <w:gridCol w:w="1618"/>
        <w:gridCol w:w="1069"/>
        <w:gridCol w:w="1149"/>
      </w:tblGrid>
      <w:tr w:rsidR="00115DE8" w:rsidTr="0039268C">
        <w:trPr>
          <w:trHeight w:val="646"/>
        </w:trPr>
        <w:tc>
          <w:tcPr>
            <w:tcW w:w="0" w:type="auto"/>
            <w:vMerge w:val="restart"/>
            <w:tcBorders>
              <w:top w:val="single" w:sz="8" w:space="0" w:color="auto"/>
              <w:left w:val="single" w:sz="8" w:space="0" w:color="auto"/>
              <w:bottom w:val="single" w:sz="8" w:space="0" w:color="000000"/>
              <w:right w:val="single" w:sz="8" w:space="0" w:color="auto"/>
            </w:tcBorders>
            <w:shd w:val="clear" w:color="000000" w:fill="D6E3BC"/>
            <w:noWrap/>
            <w:vAlign w:val="center"/>
            <w:hideMark/>
          </w:tcPr>
          <w:p w:rsidR="00115DE8" w:rsidRDefault="00115DE8" w:rsidP="00205636">
            <w:pPr>
              <w:jc w:val="center"/>
              <w:rPr>
                <w:rFonts w:ascii="Arial" w:hAnsi="Arial" w:cs="Arial"/>
                <w:b/>
                <w:bCs/>
                <w:color w:val="000000"/>
                <w:sz w:val="16"/>
                <w:szCs w:val="16"/>
              </w:rPr>
            </w:pPr>
            <w:r>
              <w:rPr>
                <w:rFonts w:ascii="Arial" w:hAnsi="Arial" w:cs="Arial"/>
                <w:b/>
                <w:bCs/>
                <w:color w:val="000000"/>
                <w:sz w:val="16"/>
                <w:szCs w:val="16"/>
              </w:rPr>
              <w:t>Prioritná téma</w:t>
            </w:r>
          </w:p>
        </w:tc>
        <w:tc>
          <w:tcPr>
            <w:tcW w:w="0" w:type="auto"/>
            <w:vMerge w:val="restart"/>
            <w:tcBorders>
              <w:top w:val="single" w:sz="8" w:space="0" w:color="auto"/>
              <w:left w:val="single" w:sz="8" w:space="0" w:color="auto"/>
              <w:bottom w:val="single" w:sz="8" w:space="0" w:color="000000"/>
              <w:right w:val="single" w:sz="8" w:space="0" w:color="auto"/>
            </w:tcBorders>
            <w:shd w:val="clear" w:color="000000" w:fill="D6E3BC"/>
            <w:noWrap/>
            <w:vAlign w:val="center"/>
            <w:hideMark/>
          </w:tcPr>
          <w:p w:rsidR="00115DE8" w:rsidRDefault="00115DE8" w:rsidP="00205636">
            <w:pPr>
              <w:jc w:val="center"/>
              <w:rPr>
                <w:rFonts w:ascii="Arial" w:hAnsi="Arial" w:cs="Arial"/>
                <w:b/>
                <w:bCs/>
                <w:color w:val="000000"/>
                <w:sz w:val="16"/>
                <w:szCs w:val="16"/>
              </w:rPr>
            </w:pPr>
            <w:r>
              <w:rPr>
                <w:rFonts w:ascii="Arial" w:hAnsi="Arial" w:cs="Arial"/>
                <w:b/>
                <w:bCs/>
                <w:color w:val="000000"/>
                <w:sz w:val="16"/>
                <w:szCs w:val="16"/>
              </w:rPr>
              <w:t>Op. Cieľ</w:t>
            </w:r>
          </w:p>
        </w:tc>
        <w:tc>
          <w:tcPr>
            <w:tcW w:w="0" w:type="auto"/>
            <w:tcBorders>
              <w:top w:val="single" w:sz="8" w:space="0" w:color="auto"/>
              <w:left w:val="nil"/>
              <w:bottom w:val="nil"/>
              <w:right w:val="single" w:sz="8" w:space="0" w:color="auto"/>
            </w:tcBorders>
            <w:shd w:val="clear" w:color="000000" w:fill="D6E3BC"/>
            <w:vAlign w:val="center"/>
            <w:hideMark/>
          </w:tcPr>
          <w:p w:rsidR="00115DE8" w:rsidRDefault="00115DE8" w:rsidP="00205636">
            <w:pPr>
              <w:jc w:val="center"/>
              <w:rPr>
                <w:rFonts w:ascii="Arial" w:hAnsi="Arial" w:cs="Arial"/>
                <w:b/>
                <w:bCs/>
                <w:color w:val="000000"/>
                <w:sz w:val="16"/>
                <w:szCs w:val="16"/>
              </w:rPr>
            </w:pPr>
            <w:r>
              <w:rPr>
                <w:rFonts w:ascii="Arial" w:hAnsi="Arial" w:cs="Arial"/>
                <w:b/>
                <w:bCs/>
                <w:color w:val="000000"/>
                <w:sz w:val="16"/>
                <w:szCs w:val="16"/>
              </w:rPr>
              <w:t>Celková alokácia</w:t>
            </w:r>
          </w:p>
        </w:tc>
        <w:tc>
          <w:tcPr>
            <w:tcW w:w="0" w:type="auto"/>
            <w:tcBorders>
              <w:top w:val="single" w:sz="8" w:space="0" w:color="auto"/>
              <w:left w:val="nil"/>
              <w:bottom w:val="nil"/>
              <w:right w:val="single" w:sz="8" w:space="0" w:color="auto"/>
            </w:tcBorders>
            <w:shd w:val="clear" w:color="000000" w:fill="D6E3BC"/>
            <w:vAlign w:val="center"/>
            <w:hideMark/>
          </w:tcPr>
          <w:p w:rsidR="00115DE8" w:rsidRDefault="00115DE8" w:rsidP="00205636">
            <w:pPr>
              <w:jc w:val="center"/>
              <w:rPr>
                <w:rFonts w:ascii="Arial" w:hAnsi="Arial" w:cs="Arial"/>
                <w:b/>
                <w:bCs/>
                <w:color w:val="000000"/>
                <w:sz w:val="16"/>
                <w:szCs w:val="16"/>
              </w:rPr>
            </w:pPr>
            <w:r>
              <w:rPr>
                <w:rFonts w:ascii="Arial" w:hAnsi="Arial" w:cs="Arial"/>
                <w:b/>
                <w:bCs/>
                <w:color w:val="000000"/>
                <w:sz w:val="16"/>
                <w:szCs w:val="16"/>
              </w:rPr>
              <w:t>Suma zazmluvnená (EÚ zdroje)</w:t>
            </w:r>
          </w:p>
        </w:tc>
        <w:tc>
          <w:tcPr>
            <w:tcW w:w="0" w:type="auto"/>
            <w:vMerge w:val="restart"/>
            <w:tcBorders>
              <w:top w:val="single" w:sz="8" w:space="0" w:color="auto"/>
              <w:left w:val="single" w:sz="8" w:space="0" w:color="auto"/>
              <w:bottom w:val="single" w:sz="8" w:space="0" w:color="000000"/>
              <w:right w:val="single" w:sz="8" w:space="0" w:color="auto"/>
            </w:tcBorders>
            <w:shd w:val="clear" w:color="000000" w:fill="D6E3BC"/>
            <w:vAlign w:val="center"/>
            <w:hideMark/>
          </w:tcPr>
          <w:p w:rsidR="00115DE8" w:rsidRDefault="00115DE8" w:rsidP="00205636">
            <w:pPr>
              <w:jc w:val="center"/>
              <w:rPr>
                <w:rFonts w:ascii="Arial" w:hAnsi="Arial" w:cs="Arial"/>
                <w:b/>
                <w:bCs/>
                <w:color w:val="000000"/>
                <w:sz w:val="16"/>
                <w:szCs w:val="16"/>
              </w:rPr>
            </w:pPr>
            <w:r>
              <w:rPr>
                <w:rFonts w:ascii="Arial" w:hAnsi="Arial" w:cs="Arial"/>
                <w:b/>
                <w:bCs/>
                <w:color w:val="000000"/>
                <w:sz w:val="16"/>
                <w:szCs w:val="16"/>
              </w:rPr>
              <w:t xml:space="preserve">Podiel zazmluvnených projektov na celkovej alokácii </w:t>
            </w:r>
          </w:p>
        </w:tc>
        <w:tc>
          <w:tcPr>
            <w:tcW w:w="0" w:type="auto"/>
            <w:tcBorders>
              <w:top w:val="single" w:sz="8" w:space="0" w:color="auto"/>
              <w:left w:val="nil"/>
              <w:bottom w:val="nil"/>
              <w:right w:val="single" w:sz="8" w:space="0" w:color="auto"/>
            </w:tcBorders>
            <w:shd w:val="clear" w:color="000000" w:fill="D6E3BC"/>
            <w:vAlign w:val="center"/>
            <w:hideMark/>
          </w:tcPr>
          <w:p w:rsidR="00115DE8" w:rsidRDefault="00115DE8" w:rsidP="00205636">
            <w:pPr>
              <w:jc w:val="center"/>
              <w:rPr>
                <w:rFonts w:ascii="Arial" w:hAnsi="Arial" w:cs="Arial"/>
                <w:b/>
                <w:bCs/>
                <w:color w:val="000000"/>
                <w:sz w:val="16"/>
                <w:szCs w:val="16"/>
              </w:rPr>
            </w:pPr>
            <w:r>
              <w:rPr>
                <w:rFonts w:ascii="Arial" w:hAnsi="Arial" w:cs="Arial"/>
                <w:b/>
                <w:bCs/>
                <w:color w:val="000000"/>
                <w:sz w:val="16"/>
                <w:szCs w:val="16"/>
              </w:rPr>
              <w:t>Suma čerpaná  (EÚ zdroje)</w:t>
            </w:r>
          </w:p>
        </w:tc>
        <w:tc>
          <w:tcPr>
            <w:tcW w:w="0" w:type="auto"/>
            <w:vMerge w:val="restart"/>
            <w:tcBorders>
              <w:top w:val="single" w:sz="8" w:space="0" w:color="auto"/>
              <w:left w:val="single" w:sz="8" w:space="0" w:color="auto"/>
              <w:bottom w:val="single" w:sz="8" w:space="0" w:color="000000"/>
              <w:right w:val="single" w:sz="8" w:space="0" w:color="auto"/>
            </w:tcBorders>
            <w:shd w:val="clear" w:color="000000" w:fill="D6E3BC"/>
            <w:vAlign w:val="center"/>
            <w:hideMark/>
          </w:tcPr>
          <w:p w:rsidR="00115DE8" w:rsidRDefault="00115DE8" w:rsidP="00205636">
            <w:pPr>
              <w:jc w:val="center"/>
              <w:rPr>
                <w:rFonts w:ascii="Arial" w:hAnsi="Arial" w:cs="Arial"/>
                <w:b/>
                <w:bCs/>
                <w:color w:val="000000"/>
                <w:sz w:val="16"/>
                <w:szCs w:val="16"/>
              </w:rPr>
            </w:pPr>
            <w:r>
              <w:rPr>
                <w:rFonts w:ascii="Arial" w:hAnsi="Arial" w:cs="Arial"/>
                <w:b/>
                <w:bCs/>
                <w:color w:val="000000"/>
                <w:sz w:val="16"/>
                <w:szCs w:val="16"/>
              </w:rPr>
              <w:t>Podiel čerpania projektov na celkovej alokácii</w:t>
            </w:r>
          </w:p>
        </w:tc>
      </w:tr>
      <w:tr w:rsidR="00115DE8" w:rsidTr="00115DE8">
        <w:trPr>
          <w:trHeight w:val="315"/>
        </w:trPr>
        <w:tc>
          <w:tcPr>
            <w:tcW w:w="0" w:type="auto"/>
            <w:vMerge/>
            <w:tcBorders>
              <w:top w:val="single" w:sz="8" w:space="0" w:color="auto"/>
              <w:left w:val="single" w:sz="8" w:space="0" w:color="auto"/>
              <w:bottom w:val="single" w:sz="8" w:space="0" w:color="000000"/>
              <w:right w:val="single" w:sz="8" w:space="0" w:color="auto"/>
            </w:tcBorders>
            <w:vAlign w:val="center"/>
            <w:hideMark/>
          </w:tcPr>
          <w:p w:rsidR="00115DE8" w:rsidRDefault="00115DE8" w:rsidP="00205636">
            <w:pPr>
              <w:rPr>
                <w:rFonts w:ascii="Arial" w:hAnsi="Arial" w:cs="Arial"/>
                <w:b/>
                <w:bCs/>
                <w:color w:val="000000"/>
                <w:sz w:val="16"/>
                <w:szCs w:val="16"/>
              </w:rPr>
            </w:pPr>
          </w:p>
        </w:tc>
        <w:tc>
          <w:tcPr>
            <w:tcW w:w="0" w:type="auto"/>
            <w:vMerge/>
            <w:tcBorders>
              <w:top w:val="single" w:sz="8" w:space="0" w:color="auto"/>
              <w:left w:val="single" w:sz="8" w:space="0" w:color="auto"/>
              <w:bottom w:val="single" w:sz="8" w:space="0" w:color="000000"/>
              <w:right w:val="single" w:sz="8" w:space="0" w:color="auto"/>
            </w:tcBorders>
            <w:vAlign w:val="center"/>
            <w:hideMark/>
          </w:tcPr>
          <w:p w:rsidR="00115DE8" w:rsidRDefault="00115DE8" w:rsidP="00205636">
            <w:pPr>
              <w:rPr>
                <w:rFonts w:ascii="Arial" w:hAnsi="Arial" w:cs="Arial"/>
                <w:b/>
                <w:bCs/>
                <w:color w:val="000000"/>
                <w:sz w:val="16"/>
                <w:szCs w:val="16"/>
              </w:rPr>
            </w:pPr>
          </w:p>
        </w:tc>
        <w:tc>
          <w:tcPr>
            <w:tcW w:w="0" w:type="auto"/>
            <w:tcBorders>
              <w:top w:val="nil"/>
              <w:left w:val="nil"/>
              <w:bottom w:val="single" w:sz="8" w:space="0" w:color="auto"/>
              <w:right w:val="single" w:sz="8" w:space="0" w:color="auto"/>
            </w:tcBorders>
            <w:shd w:val="clear" w:color="000000" w:fill="D6E3BC"/>
            <w:vAlign w:val="center"/>
            <w:hideMark/>
          </w:tcPr>
          <w:p w:rsidR="00115DE8" w:rsidRDefault="00115DE8" w:rsidP="00205636">
            <w:pPr>
              <w:jc w:val="center"/>
              <w:rPr>
                <w:rFonts w:ascii="Arial" w:hAnsi="Arial" w:cs="Arial"/>
                <w:b/>
                <w:bCs/>
                <w:color w:val="000000"/>
                <w:sz w:val="16"/>
                <w:szCs w:val="16"/>
              </w:rPr>
            </w:pPr>
            <w:r>
              <w:rPr>
                <w:rFonts w:ascii="Arial" w:hAnsi="Arial" w:cs="Arial"/>
                <w:b/>
                <w:bCs/>
                <w:color w:val="000000"/>
                <w:sz w:val="16"/>
                <w:szCs w:val="16"/>
              </w:rPr>
              <w:t xml:space="preserve">v </w:t>
            </w:r>
            <w:r>
              <w:rPr>
                <w:rFonts w:ascii="Arial" w:hAnsi="Arial" w:cs="Arial"/>
                <w:color w:val="000000"/>
                <w:sz w:val="16"/>
                <w:szCs w:val="16"/>
              </w:rPr>
              <w:t>€</w:t>
            </w:r>
          </w:p>
        </w:tc>
        <w:tc>
          <w:tcPr>
            <w:tcW w:w="0" w:type="auto"/>
            <w:tcBorders>
              <w:top w:val="nil"/>
              <w:left w:val="nil"/>
              <w:bottom w:val="single" w:sz="8" w:space="0" w:color="auto"/>
              <w:right w:val="single" w:sz="8" w:space="0" w:color="auto"/>
            </w:tcBorders>
            <w:shd w:val="clear" w:color="000000" w:fill="D6E3BC"/>
            <w:vAlign w:val="center"/>
            <w:hideMark/>
          </w:tcPr>
          <w:p w:rsidR="00115DE8" w:rsidRDefault="00115DE8" w:rsidP="00205636">
            <w:pPr>
              <w:jc w:val="center"/>
              <w:rPr>
                <w:rFonts w:ascii="Arial" w:hAnsi="Arial" w:cs="Arial"/>
                <w:b/>
                <w:bCs/>
                <w:color w:val="000000"/>
                <w:sz w:val="16"/>
                <w:szCs w:val="16"/>
              </w:rPr>
            </w:pPr>
            <w:r>
              <w:rPr>
                <w:rFonts w:ascii="Arial" w:hAnsi="Arial" w:cs="Arial"/>
                <w:b/>
                <w:bCs/>
                <w:color w:val="000000"/>
                <w:sz w:val="16"/>
                <w:szCs w:val="16"/>
              </w:rPr>
              <w:t xml:space="preserve">v </w:t>
            </w:r>
            <w:r>
              <w:rPr>
                <w:rFonts w:ascii="Arial" w:hAnsi="Arial" w:cs="Arial"/>
                <w:color w:val="000000"/>
                <w:sz w:val="16"/>
                <w:szCs w:val="16"/>
              </w:rPr>
              <w:t>€</w:t>
            </w:r>
          </w:p>
        </w:tc>
        <w:tc>
          <w:tcPr>
            <w:tcW w:w="0" w:type="auto"/>
            <w:vMerge/>
            <w:tcBorders>
              <w:top w:val="single" w:sz="8" w:space="0" w:color="auto"/>
              <w:left w:val="single" w:sz="8" w:space="0" w:color="auto"/>
              <w:bottom w:val="single" w:sz="8" w:space="0" w:color="000000"/>
              <w:right w:val="single" w:sz="8" w:space="0" w:color="auto"/>
            </w:tcBorders>
            <w:vAlign w:val="center"/>
            <w:hideMark/>
          </w:tcPr>
          <w:p w:rsidR="00115DE8" w:rsidRDefault="00115DE8" w:rsidP="00205636">
            <w:pPr>
              <w:rPr>
                <w:rFonts w:ascii="Arial" w:hAnsi="Arial" w:cs="Arial"/>
                <w:b/>
                <w:bCs/>
                <w:color w:val="000000"/>
                <w:sz w:val="16"/>
                <w:szCs w:val="16"/>
              </w:rPr>
            </w:pPr>
          </w:p>
        </w:tc>
        <w:tc>
          <w:tcPr>
            <w:tcW w:w="0" w:type="auto"/>
            <w:tcBorders>
              <w:top w:val="nil"/>
              <w:left w:val="nil"/>
              <w:bottom w:val="single" w:sz="8" w:space="0" w:color="auto"/>
              <w:right w:val="single" w:sz="8" w:space="0" w:color="auto"/>
            </w:tcBorders>
            <w:shd w:val="clear" w:color="000000" w:fill="D6E3BC"/>
            <w:vAlign w:val="center"/>
            <w:hideMark/>
          </w:tcPr>
          <w:p w:rsidR="00115DE8" w:rsidRDefault="00115DE8" w:rsidP="00205636">
            <w:pPr>
              <w:jc w:val="center"/>
              <w:rPr>
                <w:rFonts w:ascii="Arial" w:hAnsi="Arial" w:cs="Arial"/>
                <w:b/>
                <w:bCs/>
                <w:color w:val="000000"/>
                <w:sz w:val="16"/>
                <w:szCs w:val="16"/>
              </w:rPr>
            </w:pPr>
            <w:r>
              <w:rPr>
                <w:rFonts w:ascii="Arial" w:hAnsi="Arial" w:cs="Arial"/>
                <w:b/>
                <w:bCs/>
                <w:color w:val="000000"/>
                <w:sz w:val="16"/>
                <w:szCs w:val="16"/>
              </w:rPr>
              <w:t xml:space="preserve">v </w:t>
            </w:r>
            <w:r>
              <w:rPr>
                <w:rFonts w:ascii="Arial" w:hAnsi="Arial" w:cs="Arial"/>
                <w:color w:val="000000"/>
                <w:sz w:val="16"/>
                <w:szCs w:val="16"/>
              </w:rPr>
              <w:t>€</w:t>
            </w:r>
          </w:p>
        </w:tc>
        <w:tc>
          <w:tcPr>
            <w:tcW w:w="0" w:type="auto"/>
            <w:vMerge/>
            <w:tcBorders>
              <w:top w:val="single" w:sz="8" w:space="0" w:color="auto"/>
              <w:left w:val="single" w:sz="8" w:space="0" w:color="auto"/>
              <w:bottom w:val="single" w:sz="8" w:space="0" w:color="000000"/>
              <w:right w:val="single" w:sz="8" w:space="0" w:color="auto"/>
            </w:tcBorders>
            <w:vAlign w:val="center"/>
            <w:hideMark/>
          </w:tcPr>
          <w:p w:rsidR="00115DE8" w:rsidRDefault="00115DE8" w:rsidP="00205636">
            <w:pPr>
              <w:rPr>
                <w:rFonts w:ascii="Arial" w:hAnsi="Arial" w:cs="Arial"/>
                <w:b/>
                <w:bCs/>
                <w:color w:val="000000"/>
                <w:sz w:val="16"/>
                <w:szCs w:val="16"/>
              </w:rPr>
            </w:pPr>
          </w:p>
        </w:tc>
      </w:tr>
      <w:tr w:rsidR="00115DE8" w:rsidTr="0039268C">
        <w:trPr>
          <w:trHeight w:val="1203"/>
        </w:trPr>
        <w:tc>
          <w:tcPr>
            <w:tcW w:w="0" w:type="auto"/>
            <w:tcBorders>
              <w:top w:val="nil"/>
              <w:left w:val="single" w:sz="8" w:space="0" w:color="auto"/>
              <w:bottom w:val="single" w:sz="8" w:space="0" w:color="auto"/>
              <w:right w:val="single" w:sz="8" w:space="0" w:color="auto"/>
            </w:tcBorders>
            <w:shd w:val="clear" w:color="000000" w:fill="EAF1DD"/>
            <w:vAlign w:val="center"/>
            <w:hideMark/>
          </w:tcPr>
          <w:p w:rsidR="00115DE8" w:rsidRDefault="00115DE8" w:rsidP="00205636">
            <w:pPr>
              <w:rPr>
                <w:rFonts w:ascii="Arial" w:hAnsi="Arial" w:cs="Arial"/>
                <w:color w:val="000000"/>
                <w:sz w:val="16"/>
                <w:szCs w:val="16"/>
              </w:rPr>
            </w:pPr>
            <w:r>
              <w:rPr>
                <w:rFonts w:ascii="Arial" w:hAnsi="Arial" w:cs="Arial"/>
                <w:color w:val="000000"/>
                <w:sz w:val="16"/>
                <w:szCs w:val="16"/>
              </w:rPr>
              <w:t>HT 53 Predchádzanie rizikám (vrátane návrhu a realizácie plánov a opatrení na predchádzanie prírodným a technologickým rizikám a ich riadenie)</w:t>
            </w:r>
          </w:p>
        </w:tc>
        <w:tc>
          <w:tcPr>
            <w:tcW w:w="0" w:type="auto"/>
            <w:tcBorders>
              <w:top w:val="nil"/>
              <w:left w:val="nil"/>
              <w:bottom w:val="single" w:sz="8" w:space="0" w:color="auto"/>
              <w:right w:val="single" w:sz="8" w:space="0" w:color="auto"/>
            </w:tcBorders>
            <w:shd w:val="clear" w:color="auto" w:fill="auto"/>
            <w:vAlign w:val="center"/>
            <w:hideMark/>
          </w:tcPr>
          <w:p w:rsidR="00115DE8" w:rsidRDefault="00115DE8" w:rsidP="00205636">
            <w:pPr>
              <w:jc w:val="center"/>
              <w:rPr>
                <w:rFonts w:ascii="Arial" w:hAnsi="Arial" w:cs="Arial"/>
                <w:color w:val="000000"/>
                <w:sz w:val="16"/>
                <w:szCs w:val="16"/>
              </w:rPr>
            </w:pPr>
            <w:r>
              <w:rPr>
                <w:rFonts w:ascii="Arial" w:hAnsi="Arial" w:cs="Arial"/>
                <w:color w:val="000000"/>
                <w:sz w:val="16"/>
                <w:szCs w:val="16"/>
              </w:rPr>
              <w:t>2.1</w:t>
            </w:r>
          </w:p>
        </w:tc>
        <w:tc>
          <w:tcPr>
            <w:tcW w:w="0" w:type="auto"/>
            <w:tcBorders>
              <w:top w:val="nil"/>
              <w:left w:val="nil"/>
              <w:bottom w:val="single" w:sz="8" w:space="0" w:color="auto"/>
              <w:right w:val="single" w:sz="8" w:space="0" w:color="auto"/>
            </w:tcBorders>
            <w:shd w:val="clear" w:color="auto" w:fill="auto"/>
            <w:noWrap/>
            <w:vAlign w:val="center"/>
            <w:hideMark/>
          </w:tcPr>
          <w:p w:rsidR="00115DE8" w:rsidRDefault="00115DE8" w:rsidP="00205636">
            <w:pPr>
              <w:jc w:val="center"/>
              <w:rPr>
                <w:rFonts w:ascii="Arial" w:hAnsi="Arial" w:cs="Arial"/>
                <w:color w:val="000000"/>
                <w:sz w:val="16"/>
                <w:szCs w:val="16"/>
              </w:rPr>
            </w:pPr>
            <w:r>
              <w:rPr>
                <w:rFonts w:ascii="Arial" w:hAnsi="Arial" w:cs="Arial"/>
                <w:color w:val="000000"/>
                <w:sz w:val="16"/>
                <w:szCs w:val="16"/>
              </w:rPr>
              <w:t>120 000 000</w:t>
            </w:r>
          </w:p>
        </w:tc>
        <w:tc>
          <w:tcPr>
            <w:tcW w:w="0" w:type="auto"/>
            <w:tcBorders>
              <w:top w:val="nil"/>
              <w:left w:val="nil"/>
              <w:bottom w:val="single" w:sz="8" w:space="0" w:color="auto"/>
              <w:right w:val="single" w:sz="8" w:space="0" w:color="auto"/>
            </w:tcBorders>
            <w:shd w:val="clear" w:color="auto" w:fill="auto"/>
            <w:noWrap/>
            <w:vAlign w:val="center"/>
            <w:hideMark/>
          </w:tcPr>
          <w:p w:rsidR="00115DE8" w:rsidRDefault="00115DE8" w:rsidP="00205636">
            <w:pPr>
              <w:jc w:val="center"/>
              <w:rPr>
                <w:rFonts w:ascii="Arial" w:hAnsi="Arial" w:cs="Arial"/>
                <w:color w:val="000000"/>
                <w:sz w:val="16"/>
                <w:szCs w:val="16"/>
              </w:rPr>
            </w:pPr>
            <w:r>
              <w:rPr>
                <w:rFonts w:ascii="Arial" w:hAnsi="Arial" w:cs="Arial"/>
                <w:color w:val="000000"/>
                <w:sz w:val="16"/>
                <w:szCs w:val="16"/>
              </w:rPr>
              <w:t>87 041 531</w:t>
            </w:r>
          </w:p>
        </w:tc>
        <w:tc>
          <w:tcPr>
            <w:tcW w:w="0" w:type="auto"/>
            <w:tcBorders>
              <w:top w:val="nil"/>
              <w:left w:val="nil"/>
              <w:bottom w:val="single" w:sz="8" w:space="0" w:color="auto"/>
              <w:right w:val="single" w:sz="8" w:space="0" w:color="auto"/>
            </w:tcBorders>
            <w:shd w:val="clear" w:color="auto" w:fill="auto"/>
            <w:noWrap/>
            <w:vAlign w:val="center"/>
            <w:hideMark/>
          </w:tcPr>
          <w:p w:rsidR="00115DE8" w:rsidRDefault="00115DE8" w:rsidP="00205636">
            <w:pPr>
              <w:jc w:val="center"/>
              <w:rPr>
                <w:rFonts w:ascii="Arial" w:hAnsi="Arial" w:cs="Arial"/>
                <w:color w:val="000000"/>
                <w:sz w:val="16"/>
                <w:szCs w:val="16"/>
              </w:rPr>
            </w:pPr>
            <w:r>
              <w:rPr>
                <w:rFonts w:ascii="Arial" w:hAnsi="Arial" w:cs="Arial"/>
                <w:color w:val="000000"/>
                <w:sz w:val="16"/>
                <w:szCs w:val="16"/>
              </w:rPr>
              <w:t>72,53%</w:t>
            </w:r>
          </w:p>
        </w:tc>
        <w:tc>
          <w:tcPr>
            <w:tcW w:w="0" w:type="auto"/>
            <w:tcBorders>
              <w:top w:val="nil"/>
              <w:left w:val="nil"/>
              <w:bottom w:val="single" w:sz="8" w:space="0" w:color="auto"/>
              <w:right w:val="single" w:sz="8" w:space="0" w:color="auto"/>
            </w:tcBorders>
            <w:shd w:val="clear" w:color="auto" w:fill="auto"/>
            <w:noWrap/>
            <w:vAlign w:val="center"/>
            <w:hideMark/>
          </w:tcPr>
          <w:p w:rsidR="00115DE8" w:rsidRDefault="00115DE8" w:rsidP="00205636">
            <w:pPr>
              <w:jc w:val="center"/>
              <w:rPr>
                <w:rFonts w:ascii="Arial" w:hAnsi="Arial" w:cs="Arial"/>
                <w:color w:val="000000"/>
                <w:sz w:val="16"/>
                <w:szCs w:val="16"/>
              </w:rPr>
            </w:pPr>
            <w:r>
              <w:rPr>
                <w:rFonts w:ascii="Arial" w:hAnsi="Arial" w:cs="Arial"/>
                <w:color w:val="000000"/>
                <w:sz w:val="16"/>
                <w:szCs w:val="16"/>
              </w:rPr>
              <w:t>29 694 662</w:t>
            </w:r>
          </w:p>
        </w:tc>
        <w:tc>
          <w:tcPr>
            <w:tcW w:w="0" w:type="auto"/>
            <w:tcBorders>
              <w:top w:val="nil"/>
              <w:left w:val="nil"/>
              <w:bottom w:val="single" w:sz="8" w:space="0" w:color="auto"/>
              <w:right w:val="single" w:sz="8" w:space="0" w:color="auto"/>
            </w:tcBorders>
            <w:shd w:val="clear" w:color="auto" w:fill="auto"/>
            <w:noWrap/>
            <w:vAlign w:val="center"/>
            <w:hideMark/>
          </w:tcPr>
          <w:p w:rsidR="00115DE8" w:rsidRDefault="00115DE8" w:rsidP="00205636">
            <w:pPr>
              <w:jc w:val="center"/>
              <w:rPr>
                <w:rFonts w:ascii="Arial" w:hAnsi="Arial" w:cs="Arial"/>
                <w:color w:val="000000"/>
                <w:sz w:val="16"/>
                <w:szCs w:val="16"/>
              </w:rPr>
            </w:pPr>
            <w:r>
              <w:rPr>
                <w:rFonts w:ascii="Arial" w:hAnsi="Arial" w:cs="Arial"/>
                <w:color w:val="000000"/>
                <w:sz w:val="16"/>
                <w:szCs w:val="16"/>
              </w:rPr>
              <w:t>24,75%</w:t>
            </w:r>
          </w:p>
        </w:tc>
      </w:tr>
    </w:tbl>
    <w:p w:rsidR="0021640D" w:rsidRPr="00A322EA" w:rsidRDefault="00000CC9" w:rsidP="00205636">
      <w:pPr>
        <w:pStyle w:val="Zkladntextb"/>
        <w:spacing w:after="0" w:line="360" w:lineRule="auto"/>
        <w:ind w:left="0"/>
        <w:jc w:val="both"/>
        <w:rPr>
          <w:sz w:val="18"/>
          <w:szCs w:val="18"/>
          <w:lang w:val="sk-SK"/>
        </w:rPr>
      </w:pPr>
      <w:r>
        <w:rPr>
          <w:sz w:val="18"/>
          <w:szCs w:val="18"/>
          <w:lang w:val="sk-SK"/>
        </w:rPr>
        <w:t>Zdroj: RO, ITMS</w:t>
      </w:r>
    </w:p>
    <w:p w:rsidR="00205636" w:rsidRDefault="00205636">
      <w:pPr>
        <w:rPr>
          <w:rFonts w:ascii="Arial" w:hAnsi="Arial" w:cs="Arial"/>
          <w:sz w:val="20"/>
          <w:szCs w:val="20"/>
        </w:rPr>
      </w:pPr>
    </w:p>
    <w:p w:rsidR="00992100" w:rsidRDefault="00992100">
      <w:pPr>
        <w:rPr>
          <w:rFonts w:ascii="Arial" w:hAnsi="Arial" w:cs="Arial"/>
          <w:sz w:val="20"/>
          <w:szCs w:val="20"/>
        </w:rPr>
      </w:pPr>
      <w:r>
        <w:rPr>
          <w:rFonts w:ascii="Arial" w:hAnsi="Arial" w:cs="Arial"/>
          <w:sz w:val="20"/>
          <w:szCs w:val="20"/>
        </w:rPr>
        <w:br w:type="page"/>
      </w:r>
    </w:p>
    <w:p w:rsidR="0021640D" w:rsidRDefault="004B2E7A" w:rsidP="00507035">
      <w:pPr>
        <w:pStyle w:val="Zkladntextb"/>
        <w:spacing w:before="120" w:after="120" w:line="360" w:lineRule="auto"/>
        <w:ind w:left="0"/>
        <w:jc w:val="both"/>
        <w:rPr>
          <w:rFonts w:cs="Arial"/>
          <w:lang w:val="sk-SK"/>
        </w:rPr>
      </w:pPr>
      <w:r>
        <w:rPr>
          <w:rFonts w:cs="Arial"/>
          <w:lang w:val="sk-SK"/>
        </w:rPr>
        <w:t>Graf č. 5</w:t>
      </w:r>
      <w:r w:rsidR="0021640D">
        <w:rPr>
          <w:rFonts w:cs="Arial"/>
          <w:lang w:val="sk-SK"/>
        </w:rPr>
        <w:t xml:space="preserve"> </w:t>
      </w:r>
      <w:r w:rsidR="0021640D" w:rsidRPr="006A2BF3">
        <w:rPr>
          <w:rFonts w:cs="Arial"/>
          <w:lang w:val="sk-SK"/>
        </w:rPr>
        <w:t>Operačný cieľ 2.1 - Prioritná téma 53</w:t>
      </w:r>
      <w:r w:rsidR="0021640D">
        <w:rPr>
          <w:rFonts w:cs="Arial"/>
          <w:lang w:val="sk-SK"/>
        </w:rPr>
        <w:t xml:space="preserve"> Predchádzanie rizikám</w:t>
      </w:r>
    </w:p>
    <w:p w:rsidR="0021640D" w:rsidRDefault="00587FAE" w:rsidP="00507035">
      <w:pPr>
        <w:pStyle w:val="Zkladntextb"/>
        <w:spacing w:before="120" w:after="120" w:line="360" w:lineRule="auto"/>
        <w:ind w:left="0"/>
        <w:jc w:val="center"/>
        <w:rPr>
          <w:rFonts w:cs="Arial"/>
          <w:lang w:val="sk-SK"/>
        </w:rPr>
      </w:pPr>
      <w:r>
        <w:rPr>
          <w:noProof/>
          <w:lang w:val="sk-SK"/>
        </w:rPr>
        <w:drawing>
          <wp:inline distT="0" distB="0" distL="0" distR="0" wp14:anchorId="37D879D9" wp14:editId="06C745BD">
            <wp:extent cx="5979160" cy="3379470"/>
            <wp:effectExtent l="0" t="0" r="0" b="0"/>
            <wp:docPr id="7" name="Objekt 7"/>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42"/>
              </a:graphicData>
            </a:graphic>
          </wp:inline>
        </w:drawing>
      </w:r>
    </w:p>
    <w:tbl>
      <w:tblPr>
        <w:tblpPr w:leftFromText="141" w:rightFromText="141" w:vertAnchor="text" w:horzAnchor="margin" w:tblpY="232"/>
        <w:tblW w:w="1771" w:type="dxa"/>
        <w:tblCellMar>
          <w:left w:w="70" w:type="dxa"/>
          <w:right w:w="70" w:type="dxa"/>
        </w:tblCellMar>
        <w:tblLook w:val="04A0" w:firstRow="1" w:lastRow="0" w:firstColumn="1" w:lastColumn="0" w:noHBand="0" w:noVBand="1"/>
      </w:tblPr>
      <w:tblGrid>
        <w:gridCol w:w="202"/>
        <w:gridCol w:w="1576"/>
      </w:tblGrid>
      <w:tr w:rsidR="0021640D" w:rsidRPr="00A322EA" w:rsidTr="00923048">
        <w:trPr>
          <w:trHeight w:val="284"/>
        </w:trPr>
        <w:tc>
          <w:tcPr>
            <w:tcW w:w="195" w:type="dxa"/>
            <w:tcBorders>
              <w:top w:val="nil"/>
              <w:left w:val="nil"/>
              <w:bottom w:val="nil"/>
              <w:right w:val="nil"/>
            </w:tcBorders>
            <w:shd w:val="clear" w:color="000000" w:fill="C00000"/>
            <w:noWrap/>
            <w:vAlign w:val="bottom"/>
            <w:hideMark/>
          </w:tcPr>
          <w:p w:rsidR="0021640D" w:rsidRPr="00A322EA" w:rsidRDefault="0021640D" w:rsidP="00507035">
            <w:pPr>
              <w:spacing w:before="120" w:after="120"/>
              <w:rPr>
                <w:rFonts w:ascii="Arial" w:hAnsi="Arial" w:cs="Arial"/>
                <w:color w:val="000000"/>
                <w:sz w:val="22"/>
                <w:szCs w:val="22"/>
              </w:rPr>
            </w:pPr>
            <w:r w:rsidRPr="00A322EA">
              <w:rPr>
                <w:rFonts w:ascii="Arial" w:hAnsi="Arial" w:cs="Arial"/>
                <w:color w:val="000000"/>
                <w:sz w:val="22"/>
                <w:szCs w:val="22"/>
              </w:rPr>
              <w:t> </w:t>
            </w:r>
          </w:p>
        </w:tc>
        <w:tc>
          <w:tcPr>
            <w:tcW w:w="1576" w:type="dxa"/>
            <w:tcBorders>
              <w:top w:val="nil"/>
              <w:left w:val="nil"/>
              <w:bottom w:val="nil"/>
              <w:right w:val="nil"/>
            </w:tcBorders>
            <w:noWrap/>
            <w:vAlign w:val="center"/>
            <w:hideMark/>
          </w:tcPr>
          <w:p w:rsidR="0021640D" w:rsidRPr="00A322EA" w:rsidRDefault="0021640D" w:rsidP="00507035">
            <w:pPr>
              <w:spacing w:before="120" w:after="120"/>
              <w:rPr>
                <w:rFonts w:ascii="Arial" w:hAnsi="Arial" w:cs="Arial"/>
                <w:color w:val="000000"/>
                <w:sz w:val="16"/>
                <w:szCs w:val="16"/>
              </w:rPr>
            </w:pPr>
            <w:r w:rsidRPr="00A322EA">
              <w:rPr>
                <w:rFonts w:ascii="Arial" w:hAnsi="Arial" w:cs="Arial"/>
                <w:color w:val="000000"/>
                <w:sz w:val="16"/>
                <w:szCs w:val="16"/>
              </w:rPr>
              <w:t>Úroveň zazmluvnenia</w:t>
            </w:r>
          </w:p>
        </w:tc>
      </w:tr>
      <w:tr w:rsidR="0021640D" w:rsidRPr="00A322EA" w:rsidTr="00923048">
        <w:trPr>
          <w:trHeight w:val="227"/>
        </w:trPr>
        <w:tc>
          <w:tcPr>
            <w:tcW w:w="195" w:type="dxa"/>
            <w:tcBorders>
              <w:top w:val="nil"/>
              <w:left w:val="nil"/>
              <w:bottom w:val="nil"/>
              <w:right w:val="nil"/>
            </w:tcBorders>
            <w:shd w:val="clear" w:color="000000" w:fill="0070C0"/>
            <w:noWrap/>
            <w:vAlign w:val="bottom"/>
            <w:hideMark/>
          </w:tcPr>
          <w:p w:rsidR="0021640D" w:rsidRPr="00A322EA" w:rsidRDefault="0021640D" w:rsidP="00507035">
            <w:pPr>
              <w:spacing w:before="120" w:after="120"/>
              <w:rPr>
                <w:rFonts w:ascii="Arial" w:hAnsi="Arial" w:cs="Arial"/>
                <w:color w:val="000000"/>
                <w:sz w:val="22"/>
                <w:szCs w:val="22"/>
              </w:rPr>
            </w:pPr>
            <w:r w:rsidRPr="00A322EA">
              <w:rPr>
                <w:rFonts w:ascii="Arial" w:hAnsi="Arial" w:cs="Arial"/>
                <w:color w:val="000000"/>
                <w:sz w:val="22"/>
                <w:szCs w:val="22"/>
              </w:rPr>
              <w:t> </w:t>
            </w:r>
          </w:p>
        </w:tc>
        <w:tc>
          <w:tcPr>
            <w:tcW w:w="1576" w:type="dxa"/>
            <w:tcBorders>
              <w:top w:val="nil"/>
              <w:left w:val="nil"/>
              <w:bottom w:val="nil"/>
              <w:right w:val="nil"/>
            </w:tcBorders>
            <w:noWrap/>
            <w:vAlign w:val="center"/>
            <w:hideMark/>
          </w:tcPr>
          <w:p w:rsidR="0021640D" w:rsidRPr="00A322EA" w:rsidRDefault="0021640D" w:rsidP="00507035">
            <w:pPr>
              <w:spacing w:before="120" w:after="120"/>
              <w:rPr>
                <w:rFonts w:ascii="Arial" w:hAnsi="Arial" w:cs="Arial"/>
                <w:color w:val="000000"/>
                <w:sz w:val="16"/>
                <w:szCs w:val="16"/>
              </w:rPr>
            </w:pPr>
            <w:r w:rsidRPr="00A322EA">
              <w:rPr>
                <w:rFonts w:ascii="Arial" w:hAnsi="Arial" w:cs="Arial"/>
                <w:color w:val="000000"/>
                <w:sz w:val="16"/>
                <w:szCs w:val="16"/>
              </w:rPr>
              <w:t>Úroveň čerpania</w:t>
            </w:r>
          </w:p>
        </w:tc>
      </w:tr>
    </w:tbl>
    <w:p w:rsidR="0021640D" w:rsidRPr="006A2BF3" w:rsidRDefault="0021640D" w:rsidP="00507035">
      <w:pPr>
        <w:spacing w:before="120" w:after="120" w:line="360" w:lineRule="auto"/>
        <w:jc w:val="both"/>
        <w:rPr>
          <w:rFonts w:ascii="Arial" w:hAnsi="Arial" w:cs="Arial"/>
          <w:sz w:val="20"/>
          <w:szCs w:val="20"/>
        </w:rPr>
      </w:pPr>
      <w:r w:rsidRPr="006A2BF3">
        <w:rPr>
          <w:rFonts w:ascii="Arial" w:hAnsi="Arial" w:cs="Arial"/>
          <w:sz w:val="20"/>
          <w:szCs w:val="20"/>
        </w:rPr>
        <w:t>V rá</w:t>
      </w:r>
      <w:r>
        <w:rPr>
          <w:rFonts w:ascii="Arial" w:hAnsi="Arial" w:cs="Arial"/>
          <w:sz w:val="20"/>
          <w:szCs w:val="20"/>
        </w:rPr>
        <w:t>mci prioritnej témy 53 je k 31.12.</w:t>
      </w:r>
      <w:r w:rsidRPr="006A2BF3">
        <w:rPr>
          <w:rFonts w:ascii="Arial" w:hAnsi="Arial" w:cs="Arial"/>
          <w:sz w:val="20"/>
          <w:szCs w:val="20"/>
        </w:rPr>
        <w:t>201</w:t>
      </w:r>
      <w:r w:rsidR="00CB25AB">
        <w:rPr>
          <w:rFonts w:ascii="Arial" w:hAnsi="Arial" w:cs="Arial"/>
          <w:sz w:val="20"/>
          <w:szCs w:val="20"/>
        </w:rPr>
        <w:t>2</w:t>
      </w:r>
      <w:r w:rsidRPr="006A2BF3">
        <w:rPr>
          <w:rFonts w:ascii="Arial" w:hAnsi="Arial" w:cs="Arial"/>
          <w:sz w:val="20"/>
          <w:szCs w:val="20"/>
        </w:rPr>
        <w:t xml:space="preserve"> zazmluvnená suma projektov protipovodňovej ochrany na úrovni </w:t>
      </w:r>
      <w:r w:rsidR="005B4AF1">
        <w:rPr>
          <w:rFonts w:ascii="Arial" w:hAnsi="Arial" w:cs="Arial"/>
          <w:sz w:val="20"/>
          <w:szCs w:val="20"/>
        </w:rPr>
        <w:t>72,53</w:t>
      </w:r>
      <w:r w:rsidR="0072403D">
        <w:rPr>
          <w:rFonts w:ascii="Arial" w:hAnsi="Arial" w:cs="Arial"/>
          <w:sz w:val="20"/>
          <w:szCs w:val="20"/>
        </w:rPr>
        <w:t xml:space="preserve"> </w:t>
      </w:r>
      <w:r w:rsidRPr="006A2BF3">
        <w:rPr>
          <w:rFonts w:ascii="Arial" w:hAnsi="Arial" w:cs="Arial"/>
          <w:sz w:val="20"/>
          <w:szCs w:val="20"/>
        </w:rPr>
        <w:t xml:space="preserve">% z celkovej alokácie na prioritnú os 2. V rámci uvedenej sumy vykazuje najvyššiu hodnotu ukazovateľ „Plocha územia so zabezpečenou protipovodňovou ochranou“, a to </w:t>
      </w:r>
      <w:r w:rsidR="005B4AF1">
        <w:rPr>
          <w:rFonts w:ascii="Arial" w:hAnsi="Arial" w:cs="Arial"/>
          <w:sz w:val="20"/>
          <w:szCs w:val="20"/>
        </w:rPr>
        <w:t>349</w:t>
      </w:r>
      <w:r w:rsidR="0072403D">
        <w:rPr>
          <w:rFonts w:ascii="Arial" w:hAnsi="Arial" w:cs="Arial"/>
          <w:sz w:val="20"/>
          <w:szCs w:val="20"/>
        </w:rPr>
        <w:t xml:space="preserve"> </w:t>
      </w:r>
      <w:r w:rsidRPr="006A2BF3">
        <w:rPr>
          <w:rFonts w:ascii="Arial" w:hAnsi="Arial" w:cs="Arial"/>
          <w:sz w:val="20"/>
          <w:szCs w:val="20"/>
        </w:rPr>
        <w:t>% z plánovanej hodnoty</w:t>
      </w:r>
      <w:r w:rsidR="005B4AF1">
        <w:rPr>
          <w:rFonts w:ascii="Arial" w:hAnsi="Arial" w:cs="Arial"/>
          <w:sz w:val="20"/>
          <w:szCs w:val="20"/>
        </w:rPr>
        <w:t xml:space="preserve"> podľa OP</w:t>
      </w:r>
      <w:r w:rsidRPr="006A2BF3">
        <w:rPr>
          <w:rFonts w:ascii="Arial" w:hAnsi="Arial" w:cs="Arial"/>
          <w:sz w:val="20"/>
          <w:szCs w:val="20"/>
        </w:rPr>
        <w:t>, čo jednoznačne dokazuje, že uvedený</w:t>
      </w:r>
      <w:r>
        <w:rPr>
          <w:rFonts w:ascii="Arial" w:hAnsi="Arial" w:cs="Arial"/>
          <w:sz w:val="20"/>
          <w:szCs w:val="20"/>
        </w:rPr>
        <w:t xml:space="preserve"> </w:t>
      </w:r>
      <w:r w:rsidRPr="006A2BF3">
        <w:rPr>
          <w:rFonts w:ascii="Arial" w:hAnsi="Arial" w:cs="Arial"/>
          <w:sz w:val="20"/>
          <w:szCs w:val="20"/>
        </w:rPr>
        <w:t xml:space="preserve">ukazovateľ bude naplnený. V prípade ukazovateľa „Počet opatrení zameraných na ochranu pred povodňami (spolu za projekty)“ </w:t>
      </w:r>
      <w:r w:rsidR="005B4AF1">
        <w:rPr>
          <w:rFonts w:ascii="Arial" w:hAnsi="Arial" w:cs="Arial"/>
          <w:sz w:val="20"/>
          <w:szCs w:val="20"/>
        </w:rPr>
        <w:t>tento je napĺňaný</w:t>
      </w:r>
      <w:r w:rsidRPr="006A2BF3">
        <w:rPr>
          <w:rFonts w:ascii="Arial" w:hAnsi="Arial" w:cs="Arial"/>
          <w:sz w:val="20"/>
          <w:szCs w:val="20"/>
        </w:rPr>
        <w:t xml:space="preserve"> na 60</w:t>
      </w:r>
      <w:r w:rsidR="0072403D">
        <w:rPr>
          <w:rFonts w:ascii="Arial" w:hAnsi="Arial" w:cs="Arial"/>
          <w:sz w:val="20"/>
          <w:szCs w:val="20"/>
        </w:rPr>
        <w:t xml:space="preserve"> </w:t>
      </w:r>
      <w:r w:rsidRPr="006A2BF3">
        <w:rPr>
          <w:rFonts w:ascii="Arial" w:hAnsi="Arial" w:cs="Arial"/>
          <w:sz w:val="20"/>
          <w:szCs w:val="20"/>
        </w:rPr>
        <w:t xml:space="preserve">% </w:t>
      </w:r>
      <w:r w:rsidR="005B4AF1">
        <w:rPr>
          <w:rFonts w:ascii="Arial" w:hAnsi="Arial" w:cs="Arial"/>
          <w:sz w:val="20"/>
          <w:szCs w:val="20"/>
        </w:rPr>
        <w:t>v príp</w:t>
      </w:r>
      <w:r w:rsidR="008A49B4">
        <w:rPr>
          <w:rFonts w:ascii="Arial" w:hAnsi="Arial" w:cs="Arial"/>
          <w:sz w:val="20"/>
          <w:szCs w:val="20"/>
        </w:rPr>
        <w:t>a</w:t>
      </w:r>
      <w:r w:rsidR="005B4AF1">
        <w:rPr>
          <w:rFonts w:ascii="Arial" w:hAnsi="Arial" w:cs="Arial"/>
          <w:sz w:val="20"/>
          <w:szCs w:val="20"/>
        </w:rPr>
        <w:t>de zazmluvnenia plánovanej hodnoty OP</w:t>
      </w:r>
      <w:r w:rsidRPr="006A2BF3">
        <w:rPr>
          <w:rFonts w:ascii="Arial" w:hAnsi="Arial" w:cs="Arial"/>
          <w:sz w:val="20"/>
          <w:szCs w:val="20"/>
        </w:rPr>
        <w:t>.</w:t>
      </w:r>
    </w:p>
    <w:p w:rsidR="0021640D" w:rsidRPr="006A2BF3" w:rsidRDefault="0021640D" w:rsidP="00507035">
      <w:pPr>
        <w:spacing w:before="120" w:after="120" w:line="360" w:lineRule="auto"/>
        <w:jc w:val="both"/>
        <w:rPr>
          <w:rFonts w:ascii="Arial" w:hAnsi="Arial" w:cs="Arial"/>
          <w:sz w:val="20"/>
          <w:szCs w:val="20"/>
        </w:rPr>
      </w:pPr>
      <w:r w:rsidRPr="006A2BF3">
        <w:rPr>
          <w:rFonts w:ascii="Arial" w:hAnsi="Arial" w:cs="Arial"/>
          <w:sz w:val="20"/>
          <w:szCs w:val="20"/>
        </w:rPr>
        <w:t xml:space="preserve"> Ukazovateľ „Počet osôb chránených pred povodňami (spolu za zazmluvnené projekty)“ vykazuje k 31.12.201</w:t>
      </w:r>
      <w:r w:rsidR="005B4AF1">
        <w:rPr>
          <w:rFonts w:ascii="Arial" w:hAnsi="Arial" w:cs="Arial"/>
          <w:sz w:val="20"/>
          <w:szCs w:val="20"/>
        </w:rPr>
        <w:t>2</w:t>
      </w:r>
      <w:r w:rsidRPr="006A2BF3">
        <w:rPr>
          <w:rFonts w:ascii="Arial" w:hAnsi="Arial" w:cs="Arial"/>
          <w:sz w:val="20"/>
          <w:szCs w:val="20"/>
        </w:rPr>
        <w:t xml:space="preserve"> hodnotu 72</w:t>
      </w:r>
      <w:r w:rsidR="0072403D">
        <w:rPr>
          <w:rFonts w:ascii="Arial" w:hAnsi="Arial" w:cs="Arial"/>
          <w:sz w:val="20"/>
          <w:szCs w:val="20"/>
        </w:rPr>
        <w:t xml:space="preserve"> </w:t>
      </w:r>
      <w:r w:rsidRPr="006A2BF3">
        <w:rPr>
          <w:rFonts w:ascii="Arial" w:hAnsi="Arial" w:cs="Arial"/>
          <w:sz w:val="20"/>
          <w:szCs w:val="20"/>
        </w:rPr>
        <w:t>%. Aj napriek tomu, že tento ukazovateľ bol</w:t>
      </w:r>
      <w:r>
        <w:rPr>
          <w:rFonts w:ascii="Arial" w:hAnsi="Arial" w:cs="Arial"/>
          <w:sz w:val="20"/>
          <w:szCs w:val="20"/>
        </w:rPr>
        <w:t xml:space="preserve"> </w:t>
      </w:r>
      <w:r w:rsidRPr="006A2BF3">
        <w:rPr>
          <w:rFonts w:ascii="Arial" w:hAnsi="Arial" w:cs="Arial"/>
          <w:sz w:val="20"/>
          <w:szCs w:val="20"/>
        </w:rPr>
        <w:t xml:space="preserve">zapracovaný do programovej dokumentácie pre OP ŽP až v polovici roka 2010, odkedy začala plynúť povinnosť žiadateľov vykazovať, resp. napĺňať </w:t>
      </w:r>
      <w:r>
        <w:rPr>
          <w:rFonts w:ascii="Arial" w:hAnsi="Arial" w:cs="Arial"/>
          <w:sz w:val="20"/>
          <w:szCs w:val="20"/>
        </w:rPr>
        <w:t xml:space="preserve">jeho hodnotu, </w:t>
      </w:r>
      <w:r w:rsidRPr="006A2BF3">
        <w:rPr>
          <w:rFonts w:ascii="Arial" w:hAnsi="Arial" w:cs="Arial"/>
          <w:sz w:val="20"/>
          <w:szCs w:val="20"/>
        </w:rPr>
        <w:t>zazmluvnenie v priebehu roku 2011</w:t>
      </w:r>
      <w:r w:rsidR="005B4AF1">
        <w:rPr>
          <w:rFonts w:ascii="Arial" w:hAnsi="Arial" w:cs="Arial"/>
          <w:sz w:val="20"/>
          <w:szCs w:val="20"/>
        </w:rPr>
        <w:t xml:space="preserve"> a 2012</w:t>
      </w:r>
      <w:r w:rsidRPr="006A2BF3">
        <w:rPr>
          <w:rFonts w:ascii="Arial" w:hAnsi="Arial" w:cs="Arial"/>
          <w:sz w:val="20"/>
          <w:szCs w:val="20"/>
        </w:rPr>
        <w:t xml:space="preserve"> prispelo k nárastu napĺňania uvedeného ukazovateľa.</w:t>
      </w:r>
    </w:p>
    <w:p w:rsidR="0021640D" w:rsidRDefault="0021640D" w:rsidP="00507035">
      <w:pPr>
        <w:spacing w:before="120" w:after="120" w:line="360" w:lineRule="auto"/>
        <w:jc w:val="both"/>
        <w:rPr>
          <w:rFonts w:ascii="Arial" w:hAnsi="Arial" w:cs="Arial"/>
          <w:sz w:val="20"/>
          <w:szCs w:val="20"/>
        </w:rPr>
      </w:pPr>
      <w:r w:rsidRPr="00A322EA">
        <w:rPr>
          <w:rFonts w:ascii="Arial" w:hAnsi="Arial" w:cs="Arial"/>
          <w:sz w:val="20"/>
          <w:szCs w:val="20"/>
        </w:rPr>
        <w:t xml:space="preserve">Vzájomný pomer finančnej úrovne čerpania danej prioritnej témy na úrovni </w:t>
      </w:r>
      <w:r w:rsidR="00076F86">
        <w:rPr>
          <w:rFonts w:ascii="Arial" w:hAnsi="Arial" w:cs="Arial"/>
          <w:sz w:val="20"/>
          <w:szCs w:val="20"/>
        </w:rPr>
        <w:t>24,75</w:t>
      </w:r>
      <w:r w:rsidR="00F83DB0">
        <w:rPr>
          <w:rFonts w:ascii="Arial" w:hAnsi="Arial" w:cs="Arial"/>
          <w:sz w:val="20"/>
          <w:szCs w:val="20"/>
        </w:rPr>
        <w:t xml:space="preserve"> %</w:t>
      </w:r>
      <w:r w:rsidRPr="00A322EA">
        <w:rPr>
          <w:rFonts w:ascii="Arial" w:hAnsi="Arial" w:cs="Arial"/>
          <w:sz w:val="20"/>
          <w:szCs w:val="20"/>
        </w:rPr>
        <w:t xml:space="preserve"> a fyzického pokroku zazmluvnených projektov na úrovni </w:t>
      </w:r>
      <w:r w:rsidR="00076F86">
        <w:rPr>
          <w:rFonts w:ascii="Arial" w:hAnsi="Arial" w:cs="Arial"/>
          <w:sz w:val="20"/>
          <w:szCs w:val="20"/>
        </w:rPr>
        <w:t>32</w:t>
      </w:r>
      <w:r w:rsidRPr="00A322EA">
        <w:rPr>
          <w:rFonts w:ascii="Arial" w:hAnsi="Arial" w:cs="Arial"/>
          <w:sz w:val="20"/>
          <w:szCs w:val="20"/>
        </w:rPr>
        <w:t>,80</w:t>
      </w:r>
      <w:r w:rsidR="0072403D">
        <w:rPr>
          <w:rFonts w:ascii="Arial" w:hAnsi="Arial" w:cs="Arial"/>
          <w:sz w:val="20"/>
          <w:szCs w:val="20"/>
        </w:rPr>
        <w:t xml:space="preserve"> </w:t>
      </w:r>
      <w:r w:rsidRPr="00A322EA">
        <w:rPr>
          <w:rFonts w:ascii="Arial" w:hAnsi="Arial" w:cs="Arial"/>
          <w:sz w:val="20"/>
          <w:szCs w:val="20"/>
        </w:rPr>
        <w:t>% odzrkadľuje pokrok v realizácii projektov a možno ho považovať za rovnomerný a primeraný vzhľadom na počet ukončených projektov a projektov v realizácii ako aj charakter projektov, kedy finančný pokrok na projektoch je v miernom oneskorení oproti fyzickému pokroku.</w:t>
      </w:r>
    </w:p>
    <w:p w:rsidR="00992100" w:rsidRDefault="00992100">
      <w:pPr>
        <w:rPr>
          <w:rFonts w:ascii="Arial" w:hAnsi="Arial"/>
          <w:color w:val="FF0000"/>
          <w:sz w:val="20"/>
          <w:szCs w:val="20"/>
        </w:rPr>
      </w:pPr>
      <w:r>
        <w:rPr>
          <w:color w:val="FF0000"/>
        </w:rPr>
        <w:br w:type="page"/>
      </w:r>
    </w:p>
    <w:p w:rsidR="0068264B" w:rsidRDefault="0098645F" w:rsidP="0068264B">
      <w:pPr>
        <w:pStyle w:val="Zkladntextb"/>
        <w:spacing w:after="0" w:line="240" w:lineRule="auto"/>
        <w:ind w:left="0"/>
        <w:jc w:val="both"/>
        <w:rPr>
          <w:b/>
          <w:lang w:val="sk-SK"/>
        </w:rPr>
      </w:pPr>
      <w:r w:rsidRPr="00992100">
        <w:rPr>
          <w:b/>
          <w:lang w:val="sk-SK"/>
        </w:rPr>
        <w:t xml:space="preserve">Zhrnutie: </w:t>
      </w:r>
    </w:p>
    <w:p w:rsidR="0098645F" w:rsidRPr="009D50F6" w:rsidRDefault="0098645F" w:rsidP="0068264B">
      <w:pPr>
        <w:pStyle w:val="Zkladntextb"/>
        <w:spacing w:before="120" w:after="0" w:line="360" w:lineRule="auto"/>
        <w:ind w:left="0"/>
        <w:jc w:val="both"/>
        <w:rPr>
          <w:rFonts w:cs="Arial"/>
          <w:szCs w:val="22"/>
          <w:lang w:val="sk-SK"/>
        </w:rPr>
      </w:pPr>
      <w:r w:rsidRPr="009D50F6">
        <w:rPr>
          <w:rFonts w:cs="Arial"/>
          <w:szCs w:val="22"/>
          <w:lang w:val="sk-SK"/>
        </w:rPr>
        <w:t>Predpoklad dosiahnutia plánovaných hodnôt ukazovateľov prioritnej osi 2 je vysoký vzhľadom na plánované cieľové hodnoty zazmluvnených projektov. Vzájomný pomer úrovne finančnej implementácie  (čerpania) prioritnej osi a fyzického pokroku zazmluvnených projektov možno považovať za primeraný.</w:t>
      </w:r>
    </w:p>
    <w:p w:rsidR="0098645F" w:rsidRPr="004B33AE" w:rsidRDefault="0098645F" w:rsidP="0098645F">
      <w:pPr>
        <w:spacing w:before="120" w:after="120" w:line="360" w:lineRule="auto"/>
        <w:jc w:val="both"/>
        <w:rPr>
          <w:rFonts w:ascii="Arial" w:hAnsi="Arial" w:cs="Arial"/>
          <w:sz w:val="20"/>
          <w:szCs w:val="20"/>
        </w:rPr>
      </w:pPr>
    </w:p>
    <w:p w:rsidR="002416B1" w:rsidRPr="004B33AE" w:rsidRDefault="002416B1" w:rsidP="00507035">
      <w:pPr>
        <w:pStyle w:val="Nadpis2"/>
        <w:spacing w:before="120" w:after="120" w:line="360" w:lineRule="auto"/>
      </w:pPr>
      <w:bookmarkStart w:id="83" w:name="_Toc319573326"/>
      <w:r w:rsidRPr="004B33AE">
        <w:t>3.3. Prioritná os 3 Ochrana ovzdušia a minimalizácia nepriaznivých vplyvov zmeny klímy</w:t>
      </w:r>
      <w:bookmarkEnd w:id="83"/>
    </w:p>
    <w:p w:rsidR="002416B1" w:rsidRDefault="002416B1" w:rsidP="00507035">
      <w:pPr>
        <w:pStyle w:val="Nadpis3"/>
        <w:spacing w:before="120" w:after="120" w:line="360" w:lineRule="auto"/>
      </w:pPr>
      <w:bookmarkStart w:id="84" w:name="_Toc319573327"/>
      <w:r w:rsidRPr="004B33AE">
        <w:t>3.3.1 Dosiahnutie cieľov a analýza dosiahnutého pokroku</w:t>
      </w:r>
      <w:bookmarkEnd w:id="84"/>
    </w:p>
    <w:p w:rsidR="002416B1" w:rsidRPr="004B33AE" w:rsidRDefault="002416B1" w:rsidP="00507035">
      <w:pPr>
        <w:spacing w:before="120" w:after="120" w:line="360" w:lineRule="auto"/>
        <w:jc w:val="both"/>
        <w:rPr>
          <w:rFonts w:ascii="Arial" w:hAnsi="Arial" w:cs="Arial"/>
          <w:sz w:val="20"/>
          <w:szCs w:val="20"/>
        </w:rPr>
      </w:pPr>
      <w:r w:rsidRPr="004B33AE">
        <w:rPr>
          <w:rFonts w:ascii="Arial" w:hAnsi="Arial" w:cs="Arial"/>
          <w:sz w:val="20"/>
          <w:szCs w:val="20"/>
        </w:rPr>
        <w:t>Cieľom prioritnej osi je znižovanie emisií základných a ostatných znečisťujúcich látok, minimalizácia nepriaznivých vplyvov zmeny klímy vrátane podpory obnoviteľných zdrojov energie v súlade s legi</w:t>
      </w:r>
      <w:r>
        <w:rPr>
          <w:rFonts w:ascii="Arial" w:hAnsi="Arial" w:cs="Arial"/>
          <w:sz w:val="20"/>
          <w:szCs w:val="20"/>
        </w:rPr>
        <w:t>slatívou EÚ a SR, j</w:t>
      </w:r>
      <w:r w:rsidRPr="004B33AE">
        <w:rPr>
          <w:rFonts w:ascii="Arial" w:hAnsi="Arial" w:cs="Arial"/>
          <w:sz w:val="20"/>
          <w:szCs w:val="20"/>
        </w:rPr>
        <w:t xml:space="preserve">e zameraná na transpozíciu a implementáciu predpisov EÚ, plnenie prijatých medzinárodných záväzkov v oblasti znižovania emisií skleníkových plynov, ako aj na aktivity spojené s transpozíciou a implementáciou smernice 2004/101/ES, ktorou sa mení a dopĺňa smernica 2003/87/ES o vytvorení systému obchodovania s kvótami emisií skleníkových plynov v rámci </w:t>
      </w:r>
      <w:r w:rsidR="008A49B4">
        <w:rPr>
          <w:rFonts w:ascii="Arial" w:hAnsi="Arial" w:cs="Arial"/>
          <w:sz w:val="20"/>
          <w:szCs w:val="20"/>
        </w:rPr>
        <w:t>EÚ</w:t>
      </w:r>
      <w:r w:rsidRPr="004B33AE">
        <w:rPr>
          <w:rFonts w:ascii="Arial" w:hAnsi="Arial" w:cs="Arial"/>
          <w:sz w:val="20"/>
          <w:szCs w:val="20"/>
        </w:rPr>
        <w:t>.</w:t>
      </w:r>
    </w:p>
    <w:p w:rsidR="000F48E2" w:rsidRPr="00B71586" w:rsidRDefault="000F48E2" w:rsidP="00507035">
      <w:pPr>
        <w:spacing w:before="120" w:after="120" w:line="360" w:lineRule="auto"/>
        <w:jc w:val="both"/>
        <w:rPr>
          <w:rFonts w:ascii="Arial" w:hAnsi="Arial" w:cs="Arial"/>
          <w:sz w:val="20"/>
          <w:szCs w:val="20"/>
          <w:highlight w:val="yellow"/>
        </w:rPr>
      </w:pPr>
      <w:r w:rsidRPr="00E44C72">
        <w:rPr>
          <w:rFonts w:ascii="Arial" w:hAnsi="Arial" w:cs="Arial"/>
          <w:sz w:val="20"/>
          <w:szCs w:val="20"/>
        </w:rPr>
        <w:t>Prioritná os 3 je financovaná z Európskeho fondu regionálneho rozvoja a svojou alokáciou tvorí  9,89% celkovej alokácie na operačný program. Podiel prioritnej osi na celkovom čerpaní alokácie za rok 201</w:t>
      </w:r>
      <w:r w:rsidRPr="00B71586">
        <w:rPr>
          <w:rFonts w:ascii="Arial" w:hAnsi="Arial" w:cs="Arial"/>
          <w:sz w:val="20"/>
          <w:szCs w:val="20"/>
        </w:rPr>
        <w:t>2</w:t>
      </w:r>
      <w:r w:rsidRPr="00E44C72">
        <w:rPr>
          <w:rFonts w:ascii="Arial" w:hAnsi="Arial" w:cs="Arial"/>
          <w:sz w:val="20"/>
          <w:szCs w:val="20"/>
        </w:rPr>
        <w:t xml:space="preserve"> je </w:t>
      </w:r>
      <w:r w:rsidRPr="00B71586">
        <w:rPr>
          <w:rFonts w:ascii="Arial" w:hAnsi="Arial" w:cs="Arial"/>
          <w:sz w:val="20"/>
          <w:szCs w:val="20"/>
        </w:rPr>
        <w:t>20,16</w:t>
      </w:r>
      <w:r w:rsidR="0072403D">
        <w:rPr>
          <w:rFonts w:ascii="Arial" w:hAnsi="Arial" w:cs="Arial"/>
          <w:sz w:val="20"/>
          <w:szCs w:val="20"/>
        </w:rPr>
        <w:t xml:space="preserve"> </w:t>
      </w:r>
      <w:r w:rsidRPr="00E44C72">
        <w:rPr>
          <w:rFonts w:ascii="Arial" w:hAnsi="Arial" w:cs="Arial"/>
          <w:sz w:val="20"/>
          <w:szCs w:val="20"/>
        </w:rPr>
        <w:t>%.</w:t>
      </w:r>
    </w:p>
    <w:p w:rsidR="000F48E2" w:rsidRDefault="000F48E2" w:rsidP="00507035">
      <w:pPr>
        <w:spacing w:before="120" w:after="120" w:line="360" w:lineRule="auto"/>
        <w:jc w:val="both"/>
        <w:rPr>
          <w:rFonts w:ascii="Arial" w:hAnsi="Arial" w:cs="Arial"/>
          <w:sz w:val="20"/>
          <w:szCs w:val="20"/>
        </w:rPr>
      </w:pPr>
      <w:r w:rsidRPr="00CB20CA">
        <w:rPr>
          <w:rFonts w:ascii="Arial" w:hAnsi="Arial" w:cs="Arial"/>
          <w:sz w:val="20"/>
          <w:szCs w:val="20"/>
        </w:rPr>
        <w:t xml:space="preserve">Úroveň zazmluvnenia danej prioritnej osi voči alokácii na danú prioritnú os je </w:t>
      </w:r>
      <w:r w:rsidRPr="00B71586">
        <w:rPr>
          <w:rFonts w:ascii="Arial" w:hAnsi="Arial" w:cs="Arial"/>
          <w:sz w:val="20"/>
          <w:szCs w:val="20"/>
        </w:rPr>
        <w:t>79</w:t>
      </w:r>
      <w:r w:rsidRPr="00CB20CA">
        <w:rPr>
          <w:rFonts w:ascii="Arial" w:hAnsi="Arial" w:cs="Arial"/>
          <w:sz w:val="20"/>
          <w:szCs w:val="20"/>
        </w:rPr>
        <w:t>,</w:t>
      </w:r>
      <w:r w:rsidRPr="00B71586">
        <w:rPr>
          <w:rFonts w:ascii="Arial" w:hAnsi="Arial" w:cs="Arial"/>
          <w:sz w:val="20"/>
          <w:szCs w:val="20"/>
        </w:rPr>
        <w:t>5</w:t>
      </w:r>
      <w:r w:rsidRPr="00CB20CA">
        <w:rPr>
          <w:rFonts w:ascii="Arial" w:hAnsi="Arial" w:cs="Arial"/>
          <w:sz w:val="20"/>
          <w:szCs w:val="20"/>
        </w:rPr>
        <w:t>8</w:t>
      </w:r>
      <w:r w:rsidR="0072403D">
        <w:rPr>
          <w:rFonts w:ascii="Arial" w:hAnsi="Arial" w:cs="Arial"/>
          <w:sz w:val="20"/>
          <w:szCs w:val="20"/>
        </w:rPr>
        <w:t xml:space="preserve"> </w:t>
      </w:r>
      <w:r w:rsidRPr="00CB20CA">
        <w:rPr>
          <w:rFonts w:ascii="Arial" w:hAnsi="Arial" w:cs="Arial"/>
          <w:sz w:val="20"/>
          <w:szCs w:val="20"/>
        </w:rPr>
        <w:t xml:space="preserve">%, pričom vyplatené prostriedky prijímateľom tvoria </w:t>
      </w:r>
      <w:r w:rsidRPr="00B71586">
        <w:rPr>
          <w:rFonts w:ascii="Arial" w:hAnsi="Arial" w:cs="Arial"/>
          <w:sz w:val="20"/>
          <w:szCs w:val="20"/>
        </w:rPr>
        <w:t>66</w:t>
      </w:r>
      <w:r w:rsidRPr="00CB20CA">
        <w:rPr>
          <w:rFonts w:ascii="Arial" w:hAnsi="Arial" w:cs="Arial"/>
          <w:sz w:val="20"/>
          <w:szCs w:val="20"/>
        </w:rPr>
        <w:t>,</w:t>
      </w:r>
      <w:r w:rsidRPr="00B71586">
        <w:rPr>
          <w:rFonts w:ascii="Arial" w:hAnsi="Arial" w:cs="Arial"/>
          <w:sz w:val="20"/>
          <w:szCs w:val="20"/>
        </w:rPr>
        <w:t>4</w:t>
      </w:r>
      <w:r w:rsidRPr="00CB20CA">
        <w:rPr>
          <w:rFonts w:ascii="Arial" w:hAnsi="Arial" w:cs="Arial"/>
          <w:sz w:val="20"/>
          <w:szCs w:val="20"/>
        </w:rPr>
        <w:t>7</w:t>
      </w:r>
      <w:r w:rsidR="0072403D">
        <w:rPr>
          <w:rFonts w:ascii="Arial" w:hAnsi="Arial" w:cs="Arial"/>
          <w:sz w:val="20"/>
          <w:szCs w:val="20"/>
        </w:rPr>
        <w:t xml:space="preserve"> </w:t>
      </w:r>
      <w:r w:rsidRPr="00CB20CA">
        <w:rPr>
          <w:rFonts w:ascii="Arial" w:hAnsi="Arial" w:cs="Arial"/>
          <w:sz w:val="20"/>
          <w:szCs w:val="20"/>
        </w:rPr>
        <w:t>% voči celkovej alokácii na danú prioritnú os.</w:t>
      </w:r>
    </w:p>
    <w:p w:rsidR="002416B1" w:rsidRPr="003E5209" w:rsidRDefault="002416B1" w:rsidP="00507035">
      <w:pPr>
        <w:autoSpaceDE w:val="0"/>
        <w:autoSpaceDN w:val="0"/>
        <w:adjustRightInd w:val="0"/>
        <w:spacing w:before="120" w:after="120" w:line="360" w:lineRule="auto"/>
        <w:jc w:val="both"/>
        <w:rPr>
          <w:rFonts w:ascii="Arial" w:hAnsi="Arial" w:cs="Arial"/>
          <w:sz w:val="20"/>
          <w:szCs w:val="20"/>
        </w:rPr>
      </w:pPr>
      <w:r w:rsidRPr="003E5209">
        <w:rPr>
          <w:rFonts w:ascii="Arial" w:hAnsi="Arial" w:cs="Arial"/>
          <w:sz w:val="20"/>
          <w:szCs w:val="20"/>
        </w:rPr>
        <w:t xml:space="preserve">Zhodnotenie úrovne zazmluvnenia alokovaných finančných prostriedkov za zdroje EÚ vo vzťahu k dosahovaným hodnotám ukazovateľov </w:t>
      </w:r>
      <w:r>
        <w:rPr>
          <w:rFonts w:ascii="Arial" w:hAnsi="Arial" w:cs="Arial"/>
          <w:sz w:val="20"/>
          <w:szCs w:val="20"/>
        </w:rPr>
        <w:t>podľa prioritných tém je</w:t>
      </w:r>
      <w:r w:rsidRPr="003E5209">
        <w:rPr>
          <w:rFonts w:ascii="Arial" w:hAnsi="Arial" w:cs="Arial"/>
          <w:sz w:val="20"/>
          <w:szCs w:val="20"/>
        </w:rPr>
        <w:t xml:space="preserve"> podrobnejšie popísané v časti Plnenie merateľných ukazovateľov.</w:t>
      </w:r>
      <w:r>
        <w:rPr>
          <w:rFonts w:ascii="Arial" w:hAnsi="Arial" w:cs="Arial"/>
          <w:sz w:val="20"/>
          <w:szCs w:val="20"/>
        </w:rPr>
        <w:t xml:space="preserve"> Na základe uvedeného RO očakáva naplnenie cieľov prioritnej osi.</w:t>
      </w:r>
    </w:p>
    <w:p w:rsidR="002416B1" w:rsidRPr="003A5E95" w:rsidRDefault="002416B1" w:rsidP="00507035">
      <w:pPr>
        <w:spacing w:before="120" w:after="120" w:line="360" w:lineRule="auto"/>
        <w:jc w:val="both"/>
        <w:rPr>
          <w:rFonts w:ascii="Arial" w:hAnsi="Arial" w:cs="Arial"/>
          <w:sz w:val="20"/>
          <w:szCs w:val="20"/>
        </w:rPr>
      </w:pPr>
      <w:r w:rsidRPr="003E5209">
        <w:rPr>
          <w:rFonts w:ascii="Arial" w:hAnsi="Arial" w:cs="Arial"/>
          <w:sz w:val="20"/>
          <w:szCs w:val="20"/>
        </w:rPr>
        <w:t xml:space="preserve">Príklady úspešných projektov prioritnej osi </w:t>
      </w:r>
      <w:r>
        <w:rPr>
          <w:rFonts w:ascii="Arial" w:hAnsi="Arial" w:cs="Arial"/>
          <w:sz w:val="20"/>
          <w:szCs w:val="20"/>
        </w:rPr>
        <w:t>3</w:t>
      </w:r>
      <w:r w:rsidRPr="003E5209">
        <w:rPr>
          <w:rFonts w:ascii="Arial" w:hAnsi="Arial" w:cs="Arial"/>
          <w:sz w:val="20"/>
          <w:szCs w:val="20"/>
        </w:rPr>
        <w:t xml:space="preserve">, finančne aj fyzicky ukončených, sú uvedené na </w:t>
      </w:r>
      <w:r w:rsidR="0072403D">
        <w:rPr>
          <w:rFonts w:ascii="Arial" w:hAnsi="Arial" w:cs="Arial"/>
          <w:sz w:val="20"/>
          <w:szCs w:val="20"/>
        </w:rPr>
        <w:t xml:space="preserve">webovom sídle </w:t>
      </w:r>
      <w:r w:rsidRPr="003E5209">
        <w:rPr>
          <w:rFonts w:ascii="Arial" w:hAnsi="Arial" w:cs="Arial"/>
          <w:sz w:val="20"/>
          <w:szCs w:val="20"/>
        </w:rPr>
        <w:t xml:space="preserve">OP ŽP, </w:t>
      </w:r>
      <w:hyperlink r:id="rId43" w:history="1">
        <w:r w:rsidRPr="003E5209">
          <w:rPr>
            <w:rStyle w:val="Hypertextovprepojenie"/>
            <w:rFonts w:ascii="Arial" w:hAnsi="Arial" w:cs="Arial"/>
            <w:sz w:val="20"/>
            <w:szCs w:val="20"/>
          </w:rPr>
          <w:t>http://www.opzp.sk/projekty/mapa-vzorovych-uspesne-realizovanych-projektov/</w:t>
        </w:r>
      </w:hyperlink>
      <w:r w:rsidR="00992B1B">
        <w:rPr>
          <w:rFonts w:ascii="Arial" w:hAnsi="Arial" w:cs="Arial"/>
          <w:sz w:val="20"/>
          <w:szCs w:val="20"/>
        </w:rPr>
        <w:t xml:space="preserve"> a tiež sú súčasťou Prílohy č. 10 výročnej správy.</w:t>
      </w:r>
    </w:p>
    <w:p w:rsidR="00992100" w:rsidRDefault="00992100">
      <w:pPr>
        <w:rPr>
          <w:rFonts w:ascii="Arial" w:hAnsi="Arial" w:cs="Arial"/>
          <w:b/>
          <w:i/>
          <w:iCs/>
          <w:sz w:val="22"/>
          <w:szCs w:val="22"/>
        </w:rPr>
      </w:pPr>
      <w:r>
        <w:rPr>
          <w:rFonts w:ascii="Arial" w:hAnsi="Arial" w:cs="Arial"/>
          <w:b/>
          <w:sz w:val="22"/>
          <w:szCs w:val="22"/>
        </w:rPr>
        <w:br w:type="page"/>
      </w:r>
    </w:p>
    <w:p w:rsidR="002416B1" w:rsidRPr="004B33AE" w:rsidRDefault="002416B1" w:rsidP="00507035">
      <w:pPr>
        <w:pStyle w:val="Nadpis8"/>
        <w:spacing w:before="120" w:after="120"/>
        <w:rPr>
          <w:rFonts w:ascii="Arial" w:hAnsi="Arial" w:cs="Arial"/>
          <w:b/>
          <w:sz w:val="22"/>
          <w:szCs w:val="22"/>
        </w:rPr>
      </w:pPr>
      <w:r w:rsidRPr="004B33AE">
        <w:rPr>
          <w:rFonts w:ascii="Arial" w:hAnsi="Arial" w:cs="Arial"/>
          <w:b/>
          <w:sz w:val="22"/>
          <w:szCs w:val="22"/>
        </w:rPr>
        <w:t>3.3.1.1 Stav fyzického pokroku prioritnej osi 3</w:t>
      </w:r>
    </w:p>
    <w:p w:rsidR="0072403D" w:rsidRDefault="002416B1" w:rsidP="00992100">
      <w:pPr>
        <w:pStyle w:val="Zkladntextb"/>
        <w:spacing w:before="120" w:after="120" w:line="360" w:lineRule="auto"/>
        <w:ind w:left="0"/>
        <w:jc w:val="both"/>
        <w:rPr>
          <w:rFonts w:cs="Arial"/>
        </w:rPr>
      </w:pPr>
      <w:r w:rsidRPr="004B33AE">
        <w:rPr>
          <w:lang w:val="sk-SK"/>
        </w:rPr>
        <w:t>V rámci Prioritnej osi 3 bolo k 31.12.201</w:t>
      </w:r>
      <w:r w:rsidR="00076F86">
        <w:rPr>
          <w:lang w:val="sk-SK"/>
        </w:rPr>
        <w:t>2</w:t>
      </w:r>
      <w:r w:rsidRPr="004B33AE">
        <w:rPr>
          <w:lang w:val="sk-SK"/>
        </w:rPr>
        <w:t xml:space="preserve"> vyhlásených už desať výziev na predkladanie žiadostí o NFP v celkovej alokácii</w:t>
      </w:r>
      <w:r>
        <w:rPr>
          <w:lang w:val="sk-SK"/>
        </w:rPr>
        <w:t xml:space="preserve"> </w:t>
      </w:r>
      <w:r w:rsidRPr="004B33AE">
        <w:rPr>
          <w:rFonts w:cs="Arial"/>
          <w:lang w:val="sk-SK"/>
        </w:rPr>
        <w:t>233 698 916</w:t>
      </w:r>
      <w:r w:rsidRPr="004B33AE">
        <w:rPr>
          <w:lang w:val="sk-SK"/>
        </w:rPr>
        <w:t xml:space="preserve"> EUR</w:t>
      </w:r>
      <w:r w:rsidR="00F83DB0">
        <w:rPr>
          <w:lang w:val="sk-SK"/>
        </w:rPr>
        <w:t>.</w:t>
      </w:r>
      <w:r>
        <w:rPr>
          <w:lang w:val="sk-SK"/>
        </w:rPr>
        <w:t xml:space="preserve"> V roku </w:t>
      </w:r>
      <w:r w:rsidR="00076F86">
        <w:rPr>
          <w:lang w:val="sk-SK"/>
        </w:rPr>
        <w:t xml:space="preserve">2012 </w:t>
      </w:r>
      <w:r>
        <w:rPr>
          <w:lang w:val="sk-SK"/>
        </w:rPr>
        <w:t>nebola vyhlásená výzva v rámci prioritnej osi.</w:t>
      </w:r>
    </w:p>
    <w:p w:rsidR="002416B1" w:rsidRPr="004B33AE" w:rsidRDefault="002416B1" w:rsidP="00205636">
      <w:pPr>
        <w:spacing w:line="360" w:lineRule="auto"/>
        <w:rPr>
          <w:rFonts w:ascii="Arial" w:hAnsi="Arial" w:cs="Arial"/>
          <w:sz w:val="20"/>
          <w:szCs w:val="20"/>
          <w:highlight w:val="yellow"/>
        </w:rPr>
      </w:pPr>
      <w:r w:rsidRPr="00570976">
        <w:rPr>
          <w:rFonts w:ascii="Arial" w:hAnsi="Arial" w:cs="Arial"/>
          <w:sz w:val="20"/>
          <w:szCs w:val="20"/>
        </w:rPr>
        <w:t xml:space="preserve">Tab. č. </w:t>
      </w:r>
      <w:r w:rsidR="00254D6C">
        <w:rPr>
          <w:rFonts w:ascii="Arial" w:hAnsi="Arial" w:cs="Arial"/>
          <w:sz w:val="20"/>
          <w:szCs w:val="20"/>
        </w:rPr>
        <w:t>46</w:t>
      </w:r>
      <w:r w:rsidRPr="004B33AE">
        <w:rPr>
          <w:rFonts w:ascii="Arial" w:hAnsi="Arial" w:cs="Arial"/>
          <w:sz w:val="20"/>
          <w:szCs w:val="20"/>
        </w:rPr>
        <w:t>: Stav vyhlasovania výziev prioritnej osi 3 v období 01.01.201</w:t>
      </w:r>
      <w:r w:rsidR="00076F86">
        <w:rPr>
          <w:rFonts w:ascii="Arial" w:hAnsi="Arial" w:cs="Arial"/>
          <w:sz w:val="20"/>
          <w:szCs w:val="20"/>
        </w:rPr>
        <w:t>2</w:t>
      </w:r>
      <w:r w:rsidRPr="004B33AE">
        <w:rPr>
          <w:rFonts w:ascii="Arial" w:hAnsi="Arial" w:cs="Arial"/>
          <w:sz w:val="20"/>
          <w:szCs w:val="20"/>
        </w:rPr>
        <w:t xml:space="preserve"> – 31.12.201</w:t>
      </w:r>
      <w:r w:rsidR="00076F86">
        <w:rPr>
          <w:rFonts w:ascii="Arial" w:hAnsi="Arial" w:cs="Arial"/>
          <w:sz w:val="20"/>
          <w:szCs w:val="20"/>
        </w:rPr>
        <w:t>2</w:t>
      </w:r>
    </w:p>
    <w:tbl>
      <w:tblPr>
        <w:tblW w:w="433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87"/>
        <w:gridCol w:w="2006"/>
        <w:gridCol w:w="1252"/>
        <w:gridCol w:w="1559"/>
        <w:gridCol w:w="1841"/>
      </w:tblGrid>
      <w:tr w:rsidR="002416B1" w:rsidRPr="006A2BF3" w:rsidTr="002A737F">
        <w:trPr>
          <w:trHeight w:val="999"/>
        </w:trPr>
        <w:tc>
          <w:tcPr>
            <w:tcW w:w="862" w:type="pct"/>
            <w:shd w:val="clear" w:color="auto" w:fill="D6E3BC"/>
            <w:vAlign w:val="center"/>
          </w:tcPr>
          <w:p w:rsidR="002416B1" w:rsidRPr="006A2BF3" w:rsidRDefault="002416B1" w:rsidP="00205636">
            <w:pPr>
              <w:jc w:val="center"/>
              <w:rPr>
                <w:rFonts w:ascii="Arial" w:hAnsi="Arial" w:cs="Arial"/>
                <w:b/>
                <w:bCs/>
                <w:sz w:val="18"/>
                <w:szCs w:val="18"/>
              </w:rPr>
            </w:pPr>
            <w:r w:rsidRPr="006A2BF3">
              <w:rPr>
                <w:rFonts w:ascii="Arial" w:hAnsi="Arial" w:cs="Arial"/>
                <w:b/>
                <w:bCs/>
                <w:sz w:val="18"/>
                <w:szCs w:val="18"/>
              </w:rPr>
              <w:t>Prioritná os</w:t>
            </w:r>
          </w:p>
        </w:tc>
        <w:tc>
          <w:tcPr>
            <w:tcW w:w="1247" w:type="pct"/>
            <w:shd w:val="clear" w:color="auto" w:fill="D6E3BC"/>
            <w:vAlign w:val="center"/>
          </w:tcPr>
          <w:p w:rsidR="002416B1" w:rsidRPr="006A2BF3" w:rsidRDefault="002416B1" w:rsidP="00205636">
            <w:pPr>
              <w:jc w:val="center"/>
              <w:rPr>
                <w:rFonts w:ascii="Arial" w:hAnsi="Arial" w:cs="Arial"/>
                <w:b/>
                <w:bCs/>
                <w:sz w:val="18"/>
                <w:szCs w:val="18"/>
              </w:rPr>
            </w:pPr>
            <w:r w:rsidRPr="006A2BF3">
              <w:rPr>
                <w:rFonts w:ascii="Arial" w:hAnsi="Arial" w:cs="Arial"/>
                <w:b/>
                <w:bCs/>
                <w:sz w:val="18"/>
                <w:szCs w:val="18"/>
              </w:rPr>
              <w:t>Typ výzvy</w:t>
            </w:r>
          </w:p>
        </w:tc>
        <w:tc>
          <w:tcPr>
            <w:tcW w:w="778" w:type="pct"/>
            <w:shd w:val="clear" w:color="auto" w:fill="D6E3BC"/>
            <w:vAlign w:val="center"/>
          </w:tcPr>
          <w:p w:rsidR="002416B1" w:rsidRPr="006A2BF3" w:rsidRDefault="002416B1" w:rsidP="00205636">
            <w:pPr>
              <w:jc w:val="center"/>
              <w:rPr>
                <w:rFonts w:ascii="Arial" w:hAnsi="Arial" w:cs="Arial"/>
                <w:b/>
                <w:bCs/>
                <w:sz w:val="18"/>
                <w:szCs w:val="18"/>
              </w:rPr>
            </w:pPr>
            <w:r w:rsidRPr="006A2BF3">
              <w:rPr>
                <w:rFonts w:ascii="Arial" w:hAnsi="Arial" w:cs="Arial"/>
                <w:b/>
                <w:bCs/>
                <w:sz w:val="18"/>
                <w:szCs w:val="18"/>
              </w:rPr>
              <w:t>Dátum vyhlásenia výzvy</w:t>
            </w:r>
          </w:p>
        </w:tc>
        <w:tc>
          <w:tcPr>
            <w:tcW w:w="969" w:type="pct"/>
            <w:shd w:val="clear" w:color="auto" w:fill="D6E3BC"/>
            <w:vAlign w:val="center"/>
          </w:tcPr>
          <w:p w:rsidR="002416B1" w:rsidRPr="006A2BF3" w:rsidRDefault="002416B1" w:rsidP="00205636">
            <w:pPr>
              <w:jc w:val="center"/>
              <w:rPr>
                <w:rFonts w:ascii="Arial" w:hAnsi="Arial" w:cs="Arial"/>
                <w:b/>
                <w:bCs/>
                <w:sz w:val="18"/>
                <w:szCs w:val="18"/>
              </w:rPr>
            </w:pPr>
            <w:r w:rsidRPr="006A2BF3">
              <w:rPr>
                <w:rFonts w:ascii="Arial" w:hAnsi="Arial" w:cs="Arial"/>
                <w:b/>
                <w:bCs/>
                <w:sz w:val="18"/>
                <w:szCs w:val="18"/>
              </w:rPr>
              <w:t xml:space="preserve">Dátum uzávierky prijímania žiadostí </w:t>
            </w:r>
            <w:r>
              <w:rPr>
                <w:rFonts w:ascii="Arial" w:hAnsi="Arial" w:cs="Arial"/>
                <w:b/>
                <w:bCs/>
                <w:sz w:val="18"/>
                <w:szCs w:val="18"/>
              </w:rPr>
              <w:t xml:space="preserve">o </w:t>
            </w:r>
            <w:r w:rsidRPr="006A2BF3">
              <w:rPr>
                <w:rFonts w:ascii="Arial" w:hAnsi="Arial" w:cs="Arial"/>
                <w:b/>
                <w:bCs/>
                <w:sz w:val="18"/>
                <w:szCs w:val="18"/>
              </w:rPr>
              <w:t>NFP</w:t>
            </w:r>
          </w:p>
        </w:tc>
        <w:tc>
          <w:tcPr>
            <w:tcW w:w="1144" w:type="pct"/>
            <w:shd w:val="clear" w:color="auto" w:fill="D6E3BC"/>
            <w:vAlign w:val="center"/>
          </w:tcPr>
          <w:p w:rsidR="002416B1" w:rsidRPr="006A2BF3" w:rsidRDefault="002416B1" w:rsidP="00205636">
            <w:pPr>
              <w:jc w:val="center"/>
              <w:rPr>
                <w:rFonts w:ascii="Arial" w:hAnsi="Arial" w:cs="Arial"/>
                <w:b/>
                <w:bCs/>
                <w:sz w:val="18"/>
                <w:szCs w:val="18"/>
              </w:rPr>
            </w:pPr>
            <w:r w:rsidRPr="00AF16F0">
              <w:rPr>
                <w:rFonts w:ascii="Arial" w:hAnsi="Arial" w:cs="Arial"/>
                <w:b/>
                <w:bCs/>
                <w:sz w:val="18"/>
                <w:szCs w:val="18"/>
              </w:rPr>
              <w:t>Alokácia FP na výzvu (NFP) v €</w:t>
            </w:r>
          </w:p>
          <w:p w:rsidR="002416B1" w:rsidRPr="006A2BF3" w:rsidRDefault="002416B1" w:rsidP="00205636">
            <w:pPr>
              <w:jc w:val="center"/>
              <w:rPr>
                <w:rFonts w:ascii="Arial" w:hAnsi="Arial" w:cs="Arial"/>
                <w:b/>
                <w:bCs/>
                <w:sz w:val="18"/>
                <w:szCs w:val="18"/>
              </w:rPr>
            </w:pPr>
          </w:p>
        </w:tc>
      </w:tr>
      <w:tr w:rsidR="002416B1" w:rsidRPr="006A2BF3" w:rsidTr="003A5E95">
        <w:trPr>
          <w:trHeight w:val="600"/>
        </w:trPr>
        <w:tc>
          <w:tcPr>
            <w:tcW w:w="862" w:type="pct"/>
            <w:shd w:val="clear" w:color="auto" w:fill="EAF1DD"/>
            <w:noWrap/>
            <w:vAlign w:val="center"/>
          </w:tcPr>
          <w:p w:rsidR="002416B1" w:rsidRPr="006A2BF3" w:rsidRDefault="002416B1" w:rsidP="00205636">
            <w:pPr>
              <w:jc w:val="center"/>
              <w:rPr>
                <w:rFonts w:ascii="Arial" w:hAnsi="Arial" w:cs="Arial"/>
                <w:sz w:val="18"/>
                <w:szCs w:val="18"/>
              </w:rPr>
            </w:pPr>
            <w:r w:rsidRPr="006A2BF3">
              <w:rPr>
                <w:rFonts w:ascii="Arial" w:hAnsi="Arial" w:cs="Arial"/>
                <w:sz w:val="18"/>
                <w:szCs w:val="18"/>
              </w:rPr>
              <w:t xml:space="preserve">3 </w:t>
            </w:r>
          </w:p>
        </w:tc>
        <w:tc>
          <w:tcPr>
            <w:tcW w:w="1247" w:type="pct"/>
            <w:vAlign w:val="center"/>
          </w:tcPr>
          <w:p w:rsidR="002416B1" w:rsidRPr="006A2BF3" w:rsidRDefault="002416B1" w:rsidP="00205636">
            <w:pPr>
              <w:jc w:val="center"/>
              <w:rPr>
                <w:rFonts w:ascii="Arial" w:hAnsi="Arial" w:cs="Arial"/>
                <w:sz w:val="18"/>
                <w:szCs w:val="18"/>
              </w:rPr>
            </w:pPr>
            <w:r w:rsidRPr="006A2BF3">
              <w:rPr>
                <w:rFonts w:ascii="Arial" w:hAnsi="Arial" w:cs="Arial"/>
                <w:sz w:val="18"/>
                <w:szCs w:val="18"/>
              </w:rPr>
              <w:t>-</w:t>
            </w:r>
          </w:p>
        </w:tc>
        <w:tc>
          <w:tcPr>
            <w:tcW w:w="778" w:type="pct"/>
            <w:noWrap/>
            <w:vAlign w:val="center"/>
          </w:tcPr>
          <w:p w:rsidR="002416B1" w:rsidRPr="006A2BF3" w:rsidRDefault="002416B1" w:rsidP="00205636">
            <w:pPr>
              <w:jc w:val="center"/>
              <w:rPr>
                <w:rFonts w:ascii="Arial" w:hAnsi="Arial" w:cs="Arial"/>
                <w:sz w:val="18"/>
                <w:szCs w:val="18"/>
              </w:rPr>
            </w:pPr>
            <w:r w:rsidRPr="006A2BF3">
              <w:rPr>
                <w:rFonts w:ascii="Arial" w:hAnsi="Arial" w:cs="Arial"/>
                <w:sz w:val="18"/>
                <w:szCs w:val="18"/>
              </w:rPr>
              <w:t>-</w:t>
            </w:r>
          </w:p>
        </w:tc>
        <w:tc>
          <w:tcPr>
            <w:tcW w:w="969" w:type="pct"/>
            <w:noWrap/>
            <w:vAlign w:val="center"/>
          </w:tcPr>
          <w:p w:rsidR="002416B1" w:rsidRPr="006A2BF3" w:rsidRDefault="002416B1" w:rsidP="00205636">
            <w:pPr>
              <w:jc w:val="center"/>
              <w:rPr>
                <w:rFonts w:ascii="Arial" w:hAnsi="Arial" w:cs="Arial"/>
                <w:sz w:val="18"/>
                <w:szCs w:val="18"/>
              </w:rPr>
            </w:pPr>
            <w:r w:rsidRPr="006A2BF3">
              <w:rPr>
                <w:rFonts w:ascii="Arial" w:hAnsi="Arial" w:cs="Arial"/>
                <w:sz w:val="18"/>
                <w:szCs w:val="18"/>
              </w:rPr>
              <w:t>-</w:t>
            </w:r>
          </w:p>
        </w:tc>
        <w:tc>
          <w:tcPr>
            <w:tcW w:w="1144" w:type="pct"/>
            <w:noWrap/>
            <w:vAlign w:val="center"/>
          </w:tcPr>
          <w:p w:rsidR="002416B1" w:rsidRPr="006A2BF3" w:rsidRDefault="002416B1" w:rsidP="00205636">
            <w:pPr>
              <w:jc w:val="center"/>
              <w:rPr>
                <w:rFonts w:ascii="Arial" w:hAnsi="Arial" w:cs="Arial"/>
                <w:sz w:val="18"/>
                <w:szCs w:val="18"/>
              </w:rPr>
            </w:pPr>
            <w:r w:rsidRPr="006A2BF3">
              <w:rPr>
                <w:rFonts w:ascii="Arial" w:hAnsi="Arial" w:cs="Arial"/>
                <w:sz w:val="18"/>
                <w:szCs w:val="18"/>
              </w:rPr>
              <w:t>-</w:t>
            </w:r>
          </w:p>
        </w:tc>
      </w:tr>
      <w:tr w:rsidR="002416B1" w:rsidRPr="006A2BF3" w:rsidTr="003A5E95">
        <w:trPr>
          <w:trHeight w:val="381"/>
        </w:trPr>
        <w:tc>
          <w:tcPr>
            <w:tcW w:w="862" w:type="pct"/>
            <w:shd w:val="clear" w:color="auto" w:fill="EAF1DD"/>
            <w:vAlign w:val="center"/>
          </w:tcPr>
          <w:p w:rsidR="002416B1" w:rsidRPr="006A2BF3" w:rsidRDefault="002416B1" w:rsidP="00205636">
            <w:pPr>
              <w:rPr>
                <w:rFonts w:ascii="Arial" w:hAnsi="Arial" w:cs="Arial"/>
                <w:b/>
                <w:bCs/>
                <w:sz w:val="18"/>
                <w:szCs w:val="18"/>
              </w:rPr>
            </w:pPr>
            <w:r w:rsidRPr="006A2BF3">
              <w:rPr>
                <w:rFonts w:ascii="Arial" w:hAnsi="Arial" w:cs="Arial"/>
                <w:b/>
                <w:bCs/>
                <w:sz w:val="18"/>
                <w:szCs w:val="18"/>
              </w:rPr>
              <w:t>Celkom</w:t>
            </w:r>
          </w:p>
        </w:tc>
        <w:tc>
          <w:tcPr>
            <w:tcW w:w="1247" w:type="pct"/>
            <w:shd w:val="clear" w:color="auto" w:fill="EAF1DD"/>
            <w:vAlign w:val="center"/>
          </w:tcPr>
          <w:p w:rsidR="002416B1" w:rsidRPr="006A2BF3" w:rsidRDefault="002416B1" w:rsidP="00205636">
            <w:pPr>
              <w:rPr>
                <w:rFonts w:ascii="Arial" w:hAnsi="Arial" w:cs="Arial"/>
                <w:b/>
                <w:bCs/>
                <w:sz w:val="18"/>
                <w:szCs w:val="18"/>
              </w:rPr>
            </w:pPr>
          </w:p>
        </w:tc>
        <w:tc>
          <w:tcPr>
            <w:tcW w:w="778" w:type="pct"/>
            <w:shd w:val="clear" w:color="auto" w:fill="EAF1DD"/>
            <w:vAlign w:val="center"/>
          </w:tcPr>
          <w:p w:rsidR="002416B1" w:rsidRPr="006A2BF3" w:rsidRDefault="002416B1" w:rsidP="00205636">
            <w:pPr>
              <w:jc w:val="center"/>
              <w:rPr>
                <w:rFonts w:ascii="Arial" w:hAnsi="Arial" w:cs="Arial"/>
                <w:b/>
                <w:bCs/>
                <w:sz w:val="18"/>
                <w:szCs w:val="18"/>
              </w:rPr>
            </w:pPr>
          </w:p>
        </w:tc>
        <w:tc>
          <w:tcPr>
            <w:tcW w:w="969" w:type="pct"/>
            <w:shd w:val="clear" w:color="auto" w:fill="EAF1DD"/>
            <w:vAlign w:val="center"/>
          </w:tcPr>
          <w:p w:rsidR="002416B1" w:rsidRPr="006A2BF3" w:rsidRDefault="002416B1" w:rsidP="00205636">
            <w:pPr>
              <w:jc w:val="center"/>
              <w:rPr>
                <w:rFonts w:ascii="Arial" w:hAnsi="Arial" w:cs="Arial"/>
                <w:b/>
                <w:bCs/>
                <w:sz w:val="18"/>
                <w:szCs w:val="18"/>
              </w:rPr>
            </w:pPr>
          </w:p>
        </w:tc>
        <w:tc>
          <w:tcPr>
            <w:tcW w:w="1144" w:type="pct"/>
            <w:shd w:val="clear" w:color="auto" w:fill="EAF1DD"/>
            <w:noWrap/>
            <w:vAlign w:val="center"/>
          </w:tcPr>
          <w:p w:rsidR="002416B1" w:rsidRPr="006A2BF3" w:rsidRDefault="002416B1" w:rsidP="00205636">
            <w:pPr>
              <w:jc w:val="center"/>
              <w:rPr>
                <w:rFonts w:ascii="Arial" w:hAnsi="Arial" w:cs="Arial"/>
                <w:b/>
                <w:bCs/>
                <w:sz w:val="18"/>
                <w:szCs w:val="18"/>
              </w:rPr>
            </w:pPr>
            <w:r w:rsidRPr="006A2BF3">
              <w:rPr>
                <w:rFonts w:ascii="Arial" w:hAnsi="Arial" w:cs="Arial"/>
                <w:b/>
                <w:bCs/>
                <w:sz w:val="18"/>
                <w:szCs w:val="18"/>
              </w:rPr>
              <w:t>0</w:t>
            </w:r>
          </w:p>
        </w:tc>
      </w:tr>
    </w:tbl>
    <w:p w:rsidR="002416B1" w:rsidRPr="006A2BF3" w:rsidRDefault="00000CC9" w:rsidP="00205636">
      <w:pPr>
        <w:pStyle w:val="Zkladntextb"/>
        <w:spacing w:after="0"/>
        <w:ind w:left="0"/>
        <w:rPr>
          <w:b/>
          <w:highlight w:val="yellow"/>
          <w:lang w:val="sk-SK"/>
        </w:rPr>
      </w:pPr>
      <w:r>
        <w:rPr>
          <w:rFonts w:cs="Arial"/>
          <w:sz w:val="18"/>
          <w:szCs w:val="18"/>
          <w:lang w:val="sk-SK"/>
        </w:rPr>
        <w:t>Zdroj: RO, ITMS</w:t>
      </w:r>
    </w:p>
    <w:p w:rsidR="002416B1" w:rsidRPr="004B33AE" w:rsidRDefault="002416B1" w:rsidP="00507035">
      <w:pPr>
        <w:pStyle w:val="Zkladntextb"/>
        <w:spacing w:before="120" w:after="120" w:line="360" w:lineRule="auto"/>
        <w:ind w:left="0"/>
        <w:jc w:val="both"/>
        <w:rPr>
          <w:rFonts w:cs="Arial"/>
          <w:lang w:val="sk-SK"/>
        </w:rPr>
      </w:pPr>
      <w:r w:rsidRPr="006A2BF3">
        <w:rPr>
          <w:lang w:val="sk-SK"/>
        </w:rPr>
        <w:t>K 31.12.201</w:t>
      </w:r>
      <w:r w:rsidR="00076F86">
        <w:rPr>
          <w:lang w:val="sk-SK"/>
        </w:rPr>
        <w:t>2</w:t>
      </w:r>
      <w:r w:rsidRPr="004B33AE">
        <w:rPr>
          <w:lang w:val="sk-SK"/>
        </w:rPr>
        <w:t xml:space="preserve"> bolo na riadiacom orgáne za predmetnú prioritnú os prijatých 326 žiadostí o NFP vo výške </w:t>
      </w:r>
      <w:r w:rsidRPr="004B33AE">
        <w:rPr>
          <w:rFonts w:cs="Arial"/>
          <w:lang w:val="sk-SK"/>
        </w:rPr>
        <w:t xml:space="preserve">464 739 447 </w:t>
      </w:r>
      <w:r w:rsidRPr="004B33AE">
        <w:rPr>
          <w:lang w:val="sk-SK"/>
        </w:rPr>
        <w:t xml:space="preserve">EUR, z toho bolo </w:t>
      </w:r>
      <w:r w:rsidR="0022348A" w:rsidRPr="004B33AE">
        <w:rPr>
          <w:lang w:val="sk-SK"/>
        </w:rPr>
        <w:t>10</w:t>
      </w:r>
      <w:r w:rsidR="0022348A">
        <w:rPr>
          <w:lang w:val="sk-SK"/>
        </w:rPr>
        <w:t>9</w:t>
      </w:r>
      <w:r w:rsidR="0022348A" w:rsidRPr="004B33AE">
        <w:rPr>
          <w:lang w:val="sk-SK"/>
        </w:rPr>
        <w:t xml:space="preserve"> </w:t>
      </w:r>
      <w:r w:rsidRPr="004B33AE">
        <w:rPr>
          <w:lang w:val="sk-SK"/>
        </w:rPr>
        <w:t xml:space="preserve">žiadostí schválených v objeme </w:t>
      </w:r>
      <w:r w:rsidR="0022348A" w:rsidRPr="006A2BF3">
        <w:rPr>
          <w:bCs/>
          <w:lang w:val="sk-SK"/>
        </w:rPr>
        <w:t>1</w:t>
      </w:r>
      <w:r w:rsidR="0022348A">
        <w:rPr>
          <w:bCs/>
          <w:lang w:val="sk-SK"/>
        </w:rPr>
        <w:t>72</w:t>
      </w:r>
      <w:r w:rsidR="0022348A" w:rsidRPr="006A2BF3">
        <w:rPr>
          <w:bCs/>
          <w:lang w:val="sk-SK"/>
        </w:rPr>
        <w:t xml:space="preserve"> </w:t>
      </w:r>
      <w:r w:rsidR="0022348A">
        <w:rPr>
          <w:bCs/>
          <w:lang w:val="sk-SK"/>
        </w:rPr>
        <w:t>598 248</w:t>
      </w:r>
      <w:r w:rsidRPr="004B33AE">
        <w:rPr>
          <w:lang w:val="sk-SK"/>
        </w:rPr>
        <w:t xml:space="preserve"> EUR, </w:t>
      </w:r>
      <w:r>
        <w:rPr>
          <w:rFonts w:cs="Arial"/>
          <w:lang w:val="sk-SK"/>
        </w:rPr>
        <w:t xml:space="preserve">pričom </w:t>
      </w:r>
      <w:r w:rsidR="0022348A">
        <w:rPr>
          <w:rFonts w:cs="Arial"/>
          <w:lang w:val="sk-SK"/>
        </w:rPr>
        <w:t xml:space="preserve">102 </w:t>
      </w:r>
      <w:r w:rsidR="00C354DC">
        <w:rPr>
          <w:rFonts w:cs="Arial"/>
          <w:lang w:val="sk-SK"/>
        </w:rPr>
        <w:t>je zazmluvnených</w:t>
      </w:r>
      <w:r>
        <w:rPr>
          <w:rFonts w:cs="Arial"/>
          <w:lang w:val="sk-SK"/>
        </w:rPr>
        <w:t>,</w:t>
      </w:r>
      <w:r w:rsidRPr="004B33AE">
        <w:rPr>
          <w:rFonts w:cs="Arial"/>
          <w:lang w:val="sk-SK"/>
        </w:rPr>
        <w:t xml:space="preserve"> </w:t>
      </w:r>
      <w:r w:rsidR="0022348A">
        <w:rPr>
          <w:rFonts w:cs="Arial"/>
          <w:lang w:val="sk-SK"/>
        </w:rPr>
        <w:t xml:space="preserve">24 </w:t>
      </w:r>
      <w:r w:rsidRPr="004B33AE">
        <w:rPr>
          <w:rFonts w:cs="Arial"/>
          <w:lang w:val="sk-SK"/>
        </w:rPr>
        <w:t>v realizácii a </w:t>
      </w:r>
      <w:r w:rsidR="0022348A">
        <w:rPr>
          <w:rFonts w:cs="Arial"/>
          <w:lang w:val="sk-SK"/>
        </w:rPr>
        <w:t>78</w:t>
      </w:r>
      <w:r w:rsidR="0022348A" w:rsidRPr="004B33AE">
        <w:rPr>
          <w:rFonts w:cs="Arial"/>
          <w:lang w:val="sk-SK"/>
        </w:rPr>
        <w:t xml:space="preserve"> </w:t>
      </w:r>
      <w:r w:rsidRPr="004B33AE">
        <w:rPr>
          <w:rFonts w:cs="Arial"/>
          <w:lang w:val="sk-SK"/>
        </w:rPr>
        <w:t xml:space="preserve">projektov je </w:t>
      </w:r>
      <w:r w:rsidR="00C354DC">
        <w:rPr>
          <w:rFonts w:cs="Arial"/>
          <w:lang w:val="sk-SK"/>
        </w:rPr>
        <w:t xml:space="preserve">riadne </w:t>
      </w:r>
      <w:r w:rsidRPr="004B33AE">
        <w:rPr>
          <w:rFonts w:cs="Arial"/>
          <w:lang w:val="sk-SK"/>
        </w:rPr>
        <w:t xml:space="preserve">ukončených vo výške čerpaného príspevku </w:t>
      </w:r>
      <w:r w:rsidR="0022348A">
        <w:rPr>
          <w:rFonts w:cs="Arial"/>
          <w:bCs/>
          <w:lang w:val="sk-SK"/>
        </w:rPr>
        <w:t>118 301 171</w:t>
      </w:r>
      <w:r w:rsidRPr="004B33AE">
        <w:rPr>
          <w:rFonts w:cs="Arial"/>
          <w:lang w:val="sk-SK"/>
        </w:rPr>
        <w:t xml:space="preserve"> EUR.</w:t>
      </w:r>
      <w:r w:rsidR="000F48E2">
        <w:rPr>
          <w:rFonts w:cs="Arial"/>
          <w:lang w:val="sk-SK"/>
        </w:rPr>
        <w:t xml:space="preserve"> ( tab. č. 47 )</w:t>
      </w:r>
    </w:p>
    <w:p w:rsidR="002416B1" w:rsidRPr="004B33AE" w:rsidRDefault="002416B1" w:rsidP="00205636">
      <w:pPr>
        <w:pStyle w:val="Zkladntextb"/>
        <w:spacing w:after="0" w:line="360" w:lineRule="auto"/>
        <w:ind w:left="0"/>
        <w:jc w:val="both"/>
        <w:rPr>
          <w:lang w:val="sk-SK"/>
        </w:rPr>
      </w:pPr>
      <w:r w:rsidRPr="00570976">
        <w:rPr>
          <w:lang w:val="sk-SK"/>
        </w:rPr>
        <w:t xml:space="preserve">Tab. č. </w:t>
      </w:r>
      <w:r w:rsidR="00254D6C">
        <w:rPr>
          <w:lang w:val="sk-SK"/>
        </w:rPr>
        <w:t>47</w:t>
      </w:r>
      <w:r w:rsidR="00254D6C" w:rsidRPr="004B33AE">
        <w:rPr>
          <w:lang w:val="sk-SK"/>
        </w:rPr>
        <w:t xml:space="preserve"> </w:t>
      </w:r>
      <w:r w:rsidRPr="004B33AE">
        <w:rPr>
          <w:lang w:val="sk-SK"/>
        </w:rPr>
        <w:t>Sledovanie vývoja implementácie prioritnej osi 3 k 31.12.201</w:t>
      </w:r>
      <w:r w:rsidR="0022348A">
        <w:rPr>
          <w:lang w:val="sk-SK"/>
        </w:rPr>
        <w:t>2</w:t>
      </w:r>
    </w:p>
    <w:tbl>
      <w:tblPr>
        <w:tblW w:w="5000" w:type="pct"/>
        <w:tblCellMar>
          <w:left w:w="70" w:type="dxa"/>
          <w:right w:w="70" w:type="dxa"/>
        </w:tblCellMar>
        <w:tblLook w:val="04A0" w:firstRow="1" w:lastRow="0" w:firstColumn="1" w:lastColumn="0" w:noHBand="0" w:noVBand="1"/>
      </w:tblPr>
      <w:tblGrid>
        <w:gridCol w:w="1660"/>
        <w:gridCol w:w="1488"/>
        <w:gridCol w:w="1347"/>
        <w:gridCol w:w="1534"/>
        <w:gridCol w:w="1628"/>
        <w:gridCol w:w="1553"/>
      </w:tblGrid>
      <w:tr w:rsidR="00AB1F4A" w:rsidTr="000B6E30">
        <w:trPr>
          <w:trHeight w:val="465"/>
        </w:trPr>
        <w:tc>
          <w:tcPr>
            <w:tcW w:w="901" w:type="pct"/>
            <w:tcBorders>
              <w:top w:val="single" w:sz="8" w:space="0" w:color="auto"/>
              <w:left w:val="single" w:sz="8" w:space="0" w:color="auto"/>
              <w:bottom w:val="single" w:sz="8" w:space="0" w:color="auto"/>
              <w:right w:val="single" w:sz="8" w:space="0" w:color="auto"/>
            </w:tcBorders>
            <w:shd w:val="clear" w:color="000000" w:fill="D6E3BC"/>
            <w:vAlign w:val="center"/>
            <w:hideMark/>
          </w:tcPr>
          <w:p w:rsidR="00AB1F4A" w:rsidRDefault="00AB1F4A">
            <w:pPr>
              <w:jc w:val="center"/>
              <w:rPr>
                <w:rFonts w:ascii="Arial" w:hAnsi="Arial" w:cs="Arial"/>
                <w:b/>
                <w:bCs/>
                <w:color w:val="000000"/>
                <w:sz w:val="16"/>
                <w:szCs w:val="16"/>
              </w:rPr>
            </w:pPr>
            <w:r>
              <w:rPr>
                <w:rFonts w:ascii="Arial" w:hAnsi="Arial" w:cs="Arial"/>
                <w:b/>
                <w:bCs/>
                <w:color w:val="000000"/>
                <w:sz w:val="16"/>
                <w:szCs w:val="16"/>
              </w:rPr>
              <w:t>Hlavná téma</w:t>
            </w:r>
          </w:p>
        </w:tc>
        <w:tc>
          <w:tcPr>
            <w:tcW w:w="808" w:type="pct"/>
            <w:tcBorders>
              <w:top w:val="single" w:sz="8" w:space="0" w:color="auto"/>
              <w:left w:val="nil"/>
              <w:bottom w:val="single" w:sz="8" w:space="0" w:color="auto"/>
              <w:right w:val="single" w:sz="8" w:space="0" w:color="auto"/>
            </w:tcBorders>
            <w:shd w:val="clear" w:color="000000" w:fill="D6E3BC"/>
            <w:vAlign w:val="center"/>
            <w:hideMark/>
          </w:tcPr>
          <w:p w:rsidR="00AB1F4A" w:rsidRDefault="00AB1F4A">
            <w:pPr>
              <w:jc w:val="center"/>
              <w:rPr>
                <w:rFonts w:ascii="Arial" w:hAnsi="Arial" w:cs="Arial"/>
                <w:b/>
                <w:bCs/>
                <w:color w:val="000000"/>
                <w:sz w:val="16"/>
                <w:szCs w:val="16"/>
              </w:rPr>
            </w:pPr>
            <w:r>
              <w:rPr>
                <w:rFonts w:ascii="Arial" w:hAnsi="Arial" w:cs="Arial"/>
                <w:b/>
                <w:bCs/>
                <w:color w:val="000000"/>
                <w:sz w:val="16"/>
                <w:szCs w:val="16"/>
              </w:rPr>
              <w:t>Počet prijatých ŽoNFP</w:t>
            </w:r>
          </w:p>
        </w:tc>
        <w:tc>
          <w:tcPr>
            <w:tcW w:w="731" w:type="pct"/>
            <w:tcBorders>
              <w:top w:val="single" w:sz="8" w:space="0" w:color="auto"/>
              <w:left w:val="nil"/>
              <w:bottom w:val="single" w:sz="8" w:space="0" w:color="auto"/>
              <w:right w:val="single" w:sz="8" w:space="0" w:color="auto"/>
            </w:tcBorders>
            <w:shd w:val="clear" w:color="000000" w:fill="D6E3BC"/>
            <w:vAlign w:val="center"/>
            <w:hideMark/>
          </w:tcPr>
          <w:p w:rsidR="00AB1F4A" w:rsidRDefault="00AB1F4A">
            <w:pPr>
              <w:jc w:val="center"/>
              <w:rPr>
                <w:rFonts w:ascii="Arial" w:hAnsi="Arial" w:cs="Arial"/>
                <w:b/>
                <w:bCs/>
                <w:color w:val="000000"/>
                <w:sz w:val="16"/>
                <w:szCs w:val="16"/>
              </w:rPr>
            </w:pPr>
            <w:r>
              <w:rPr>
                <w:rFonts w:ascii="Arial" w:hAnsi="Arial" w:cs="Arial"/>
                <w:b/>
                <w:bCs/>
                <w:color w:val="000000"/>
                <w:sz w:val="16"/>
                <w:szCs w:val="16"/>
              </w:rPr>
              <w:t>Počet schválených ŽoNFP</w:t>
            </w:r>
          </w:p>
        </w:tc>
        <w:tc>
          <w:tcPr>
            <w:tcW w:w="833" w:type="pct"/>
            <w:tcBorders>
              <w:top w:val="single" w:sz="8" w:space="0" w:color="auto"/>
              <w:left w:val="nil"/>
              <w:bottom w:val="single" w:sz="8" w:space="0" w:color="auto"/>
              <w:right w:val="single" w:sz="8" w:space="0" w:color="auto"/>
            </w:tcBorders>
            <w:shd w:val="clear" w:color="000000" w:fill="D6E3BC"/>
            <w:vAlign w:val="center"/>
            <w:hideMark/>
          </w:tcPr>
          <w:p w:rsidR="00AB1F4A" w:rsidRDefault="00AB1F4A">
            <w:pPr>
              <w:jc w:val="center"/>
              <w:rPr>
                <w:rFonts w:ascii="Arial" w:hAnsi="Arial" w:cs="Arial"/>
                <w:b/>
                <w:bCs/>
                <w:color w:val="000000"/>
                <w:sz w:val="16"/>
                <w:szCs w:val="16"/>
              </w:rPr>
            </w:pPr>
            <w:r>
              <w:rPr>
                <w:rFonts w:ascii="Arial" w:hAnsi="Arial" w:cs="Arial"/>
                <w:b/>
                <w:bCs/>
                <w:color w:val="000000"/>
                <w:sz w:val="16"/>
                <w:szCs w:val="16"/>
              </w:rPr>
              <w:t>Počet zazmluvnených projektov</w:t>
            </w:r>
          </w:p>
        </w:tc>
        <w:tc>
          <w:tcPr>
            <w:tcW w:w="884" w:type="pct"/>
            <w:tcBorders>
              <w:top w:val="single" w:sz="8" w:space="0" w:color="auto"/>
              <w:left w:val="nil"/>
              <w:bottom w:val="single" w:sz="8" w:space="0" w:color="auto"/>
              <w:right w:val="single" w:sz="8" w:space="0" w:color="auto"/>
            </w:tcBorders>
            <w:shd w:val="clear" w:color="000000" w:fill="D6E3BC"/>
            <w:vAlign w:val="center"/>
            <w:hideMark/>
          </w:tcPr>
          <w:p w:rsidR="00AB1F4A" w:rsidRDefault="00AB1F4A">
            <w:pPr>
              <w:jc w:val="center"/>
              <w:rPr>
                <w:rFonts w:ascii="Arial" w:hAnsi="Arial" w:cs="Arial"/>
                <w:b/>
                <w:bCs/>
                <w:color w:val="000000"/>
                <w:sz w:val="16"/>
                <w:szCs w:val="16"/>
              </w:rPr>
            </w:pPr>
            <w:r>
              <w:rPr>
                <w:rFonts w:ascii="Arial" w:hAnsi="Arial" w:cs="Arial"/>
                <w:b/>
                <w:bCs/>
                <w:color w:val="000000"/>
                <w:sz w:val="16"/>
                <w:szCs w:val="16"/>
              </w:rPr>
              <w:t>Počet riadne ukončených projektov</w:t>
            </w:r>
          </w:p>
        </w:tc>
        <w:tc>
          <w:tcPr>
            <w:tcW w:w="842" w:type="pct"/>
            <w:tcBorders>
              <w:top w:val="single" w:sz="8" w:space="0" w:color="auto"/>
              <w:left w:val="nil"/>
              <w:bottom w:val="single" w:sz="8" w:space="0" w:color="auto"/>
              <w:right w:val="single" w:sz="8" w:space="0" w:color="auto"/>
            </w:tcBorders>
            <w:shd w:val="clear" w:color="000000" w:fill="D6E3BC"/>
            <w:vAlign w:val="center"/>
            <w:hideMark/>
          </w:tcPr>
          <w:p w:rsidR="00AB1F4A" w:rsidRDefault="00AB1F4A">
            <w:pPr>
              <w:jc w:val="center"/>
              <w:rPr>
                <w:rFonts w:ascii="Arial" w:hAnsi="Arial" w:cs="Arial"/>
                <w:b/>
                <w:bCs/>
                <w:color w:val="000000"/>
                <w:sz w:val="16"/>
                <w:szCs w:val="16"/>
              </w:rPr>
            </w:pPr>
            <w:r>
              <w:rPr>
                <w:rFonts w:ascii="Arial" w:hAnsi="Arial" w:cs="Arial"/>
                <w:b/>
                <w:bCs/>
                <w:color w:val="000000"/>
                <w:sz w:val="16"/>
                <w:szCs w:val="16"/>
              </w:rPr>
              <w:t>Počet mimoriadne ukončených projektov</w:t>
            </w:r>
          </w:p>
        </w:tc>
      </w:tr>
      <w:tr w:rsidR="00AB1F4A" w:rsidTr="000B6E30">
        <w:trPr>
          <w:trHeight w:val="315"/>
        </w:trPr>
        <w:tc>
          <w:tcPr>
            <w:tcW w:w="901" w:type="pct"/>
            <w:tcBorders>
              <w:top w:val="nil"/>
              <w:left w:val="single" w:sz="8" w:space="0" w:color="auto"/>
              <w:bottom w:val="single" w:sz="8" w:space="0" w:color="auto"/>
              <w:right w:val="single" w:sz="8" w:space="0" w:color="auto"/>
            </w:tcBorders>
            <w:shd w:val="clear" w:color="auto" w:fill="auto"/>
            <w:vAlign w:val="center"/>
            <w:hideMark/>
          </w:tcPr>
          <w:p w:rsidR="00AB1F4A" w:rsidRDefault="00AB1F4A">
            <w:pPr>
              <w:rPr>
                <w:rFonts w:ascii="Arial" w:hAnsi="Arial" w:cs="Arial"/>
                <w:color w:val="000000"/>
                <w:sz w:val="16"/>
                <w:szCs w:val="16"/>
              </w:rPr>
            </w:pPr>
            <w:r>
              <w:rPr>
                <w:rFonts w:ascii="Arial" w:hAnsi="Arial" w:cs="Arial"/>
                <w:color w:val="000000"/>
                <w:sz w:val="16"/>
                <w:szCs w:val="16"/>
              </w:rPr>
              <w:t>47 - Kvalita vzduchu</w:t>
            </w:r>
          </w:p>
        </w:tc>
        <w:tc>
          <w:tcPr>
            <w:tcW w:w="808" w:type="pct"/>
            <w:tcBorders>
              <w:top w:val="nil"/>
              <w:left w:val="nil"/>
              <w:bottom w:val="single" w:sz="8" w:space="0" w:color="auto"/>
              <w:right w:val="single" w:sz="8" w:space="0" w:color="auto"/>
            </w:tcBorders>
            <w:shd w:val="clear" w:color="auto" w:fill="auto"/>
            <w:noWrap/>
            <w:vAlign w:val="center"/>
            <w:hideMark/>
          </w:tcPr>
          <w:p w:rsidR="00AB1F4A" w:rsidRDefault="00AB1F4A">
            <w:pPr>
              <w:jc w:val="center"/>
              <w:rPr>
                <w:rFonts w:ascii="Arial" w:hAnsi="Arial" w:cs="Arial"/>
                <w:color w:val="000000"/>
                <w:sz w:val="16"/>
                <w:szCs w:val="16"/>
              </w:rPr>
            </w:pPr>
            <w:r>
              <w:rPr>
                <w:rFonts w:ascii="Arial" w:hAnsi="Arial" w:cs="Arial"/>
                <w:color w:val="000000"/>
                <w:sz w:val="16"/>
                <w:szCs w:val="16"/>
              </w:rPr>
              <w:t>148</w:t>
            </w:r>
          </w:p>
        </w:tc>
        <w:tc>
          <w:tcPr>
            <w:tcW w:w="731" w:type="pct"/>
            <w:tcBorders>
              <w:top w:val="nil"/>
              <w:left w:val="nil"/>
              <w:bottom w:val="single" w:sz="8" w:space="0" w:color="auto"/>
              <w:right w:val="single" w:sz="8" w:space="0" w:color="auto"/>
            </w:tcBorders>
            <w:shd w:val="clear" w:color="auto" w:fill="auto"/>
            <w:noWrap/>
            <w:vAlign w:val="center"/>
            <w:hideMark/>
          </w:tcPr>
          <w:p w:rsidR="00AB1F4A" w:rsidRDefault="00AB1F4A">
            <w:pPr>
              <w:jc w:val="center"/>
              <w:rPr>
                <w:rFonts w:ascii="Arial" w:hAnsi="Arial" w:cs="Arial"/>
                <w:color w:val="000000"/>
                <w:sz w:val="16"/>
                <w:szCs w:val="16"/>
              </w:rPr>
            </w:pPr>
            <w:r>
              <w:rPr>
                <w:rFonts w:ascii="Arial" w:hAnsi="Arial" w:cs="Arial"/>
                <w:color w:val="000000"/>
                <w:sz w:val="16"/>
                <w:szCs w:val="16"/>
              </w:rPr>
              <w:t>67</w:t>
            </w:r>
          </w:p>
        </w:tc>
        <w:tc>
          <w:tcPr>
            <w:tcW w:w="833" w:type="pct"/>
            <w:tcBorders>
              <w:top w:val="nil"/>
              <w:left w:val="nil"/>
              <w:bottom w:val="single" w:sz="8" w:space="0" w:color="auto"/>
              <w:right w:val="single" w:sz="8" w:space="0" w:color="auto"/>
            </w:tcBorders>
            <w:shd w:val="clear" w:color="auto" w:fill="auto"/>
            <w:noWrap/>
            <w:vAlign w:val="center"/>
            <w:hideMark/>
          </w:tcPr>
          <w:p w:rsidR="00AB1F4A" w:rsidRDefault="00AB1F4A">
            <w:pPr>
              <w:jc w:val="center"/>
              <w:rPr>
                <w:rFonts w:ascii="Arial" w:hAnsi="Arial" w:cs="Arial"/>
                <w:color w:val="000000"/>
                <w:sz w:val="16"/>
                <w:szCs w:val="16"/>
              </w:rPr>
            </w:pPr>
            <w:r>
              <w:rPr>
                <w:rFonts w:ascii="Arial" w:hAnsi="Arial" w:cs="Arial"/>
                <w:color w:val="000000"/>
                <w:sz w:val="16"/>
                <w:szCs w:val="16"/>
              </w:rPr>
              <w:t>64</w:t>
            </w:r>
          </w:p>
        </w:tc>
        <w:tc>
          <w:tcPr>
            <w:tcW w:w="884" w:type="pct"/>
            <w:tcBorders>
              <w:top w:val="nil"/>
              <w:left w:val="nil"/>
              <w:bottom w:val="single" w:sz="8" w:space="0" w:color="auto"/>
              <w:right w:val="single" w:sz="8" w:space="0" w:color="auto"/>
            </w:tcBorders>
            <w:shd w:val="clear" w:color="auto" w:fill="auto"/>
            <w:noWrap/>
            <w:vAlign w:val="center"/>
            <w:hideMark/>
          </w:tcPr>
          <w:p w:rsidR="00AB1F4A" w:rsidRDefault="00AB1F4A">
            <w:pPr>
              <w:jc w:val="center"/>
              <w:rPr>
                <w:rFonts w:ascii="Arial" w:hAnsi="Arial" w:cs="Arial"/>
                <w:color w:val="000000"/>
                <w:sz w:val="16"/>
                <w:szCs w:val="16"/>
              </w:rPr>
            </w:pPr>
            <w:r>
              <w:rPr>
                <w:rFonts w:ascii="Arial" w:hAnsi="Arial" w:cs="Arial"/>
                <w:color w:val="000000"/>
                <w:sz w:val="16"/>
                <w:szCs w:val="16"/>
              </w:rPr>
              <w:t>44</w:t>
            </w:r>
          </w:p>
        </w:tc>
        <w:tc>
          <w:tcPr>
            <w:tcW w:w="842" w:type="pct"/>
            <w:tcBorders>
              <w:top w:val="nil"/>
              <w:left w:val="nil"/>
              <w:bottom w:val="single" w:sz="8" w:space="0" w:color="auto"/>
              <w:right w:val="single" w:sz="8" w:space="0" w:color="auto"/>
            </w:tcBorders>
            <w:shd w:val="clear" w:color="auto" w:fill="auto"/>
            <w:noWrap/>
            <w:vAlign w:val="center"/>
            <w:hideMark/>
          </w:tcPr>
          <w:p w:rsidR="00AB1F4A" w:rsidRDefault="00AB1F4A">
            <w:pPr>
              <w:jc w:val="center"/>
              <w:rPr>
                <w:rFonts w:ascii="Arial" w:hAnsi="Arial" w:cs="Arial"/>
                <w:color w:val="000000"/>
                <w:sz w:val="16"/>
                <w:szCs w:val="16"/>
              </w:rPr>
            </w:pPr>
            <w:r>
              <w:rPr>
                <w:rFonts w:ascii="Arial" w:hAnsi="Arial" w:cs="Arial"/>
                <w:color w:val="000000"/>
                <w:sz w:val="16"/>
                <w:szCs w:val="16"/>
              </w:rPr>
              <w:t>3</w:t>
            </w:r>
          </w:p>
        </w:tc>
      </w:tr>
      <w:tr w:rsidR="00AB1F4A" w:rsidTr="000B6E30">
        <w:trPr>
          <w:trHeight w:val="465"/>
        </w:trPr>
        <w:tc>
          <w:tcPr>
            <w:tcW w:w="901" w:type="pct"/>
            <w:tcBorders>
              <w:top w:val="nil"/>
              <w:left w:val="single" w:sz="8" w:space="0" w:color="auto"/>
              <w:bottom w:val="single" w:sz="8" w:space="0" w:color="auto"/>
              <w:right w:val="single" w:sz="8" w:space="0" w:color="auto"/>
            </w:tcBorders>
            <w:shd w:val="clear" w:color="auto" w:fill="auto"/>
            <w:vAlign w:val="center"/>
            <w:hideMark/>
          </w:tcPr>
          <w:p w:rsidR="00AB1F4A" w:rsidRDefault="00AB1F4A">
            <w:pPr>
              <w:rPr>
                <w:rFonts w:ascii="Arial" w:hAnsi="Arial" w:cs="Arial"/>
                <w:color w:val="000000"/>
                <w:sz w:val="16"/>
                <w:szCs w:val="16"/>
              </w:rPr>
            </w:pPr>
            <w:r>
              <w:rPr>
                <w:rFonts w:ascii="Arial" w:hAnsi="Arial" w:cs="Arial"/>
                <w:color w:val="000000"/>
                <w:sz w:val="16"/>
                <w:szCs w:val="16"/>
              </w:rPr>
              <w:t>52 - Podpora čistej mestskej dopravy</w:t>
            </w:r>
          </w:p>
        </w:tc>
        <w:tc>
          <w:tcPr>
            <w:tcW w:w="808" w:type="pct"/>
            <w:tcBorders>
              <w:top w:val="nil"/>
              <w:left w:val="nil"/>
              <w:bottom w:val="single" w:sz="8" w:space="0" w:color="auto"/>
              <w:right w:val="single" w:sz="8" w:space="0" w:color="auto"/>
            </w:tcBorders>
            <w:shd w:val="clear" w:color="auto" w:fill="auto"/>
            <w:noWrap/>
            <w:vAlign w:val="center"/>
            <w:hideMark/>
          </w:tcPr>
          <w:p w:rsidR="00AB1F4A" w:rsidRDefault="00AB1F4A">
            <w:pPr>
              <w:jc w:val="center"/>
              <w:rPr>
                <w:rFonts w:ascii="Arial" w:hAnsi="Arial" w:cs="Arial"/>
                <w:color w:val="000000"/>
                <w:sz w:val="16"/>
                <w:szCs w:val="16"/>
              </w:rPr>
            </w:pPr>
            <w:r>
              <w:rPr>
                <w:rFonts w:ascii="Arial" w:hAnsi="Arial" w:cs="Arial"/>
                <w:color w:val="000000"/>
                <w:sz w:val="16"/>
                <w:szCs w:val="16"/>
              </w:rPr>
              <w:t>17</w:t>
            </w:r>
          </w:p>
        </w:tc>
        <w:tc>
          <w:tcPr>
            <w:tcW w:w="731" w:type="pct"/>
            <w:tcBorders>
              <w:top w:val="nil"/>
              <w:left w:val="nil"/>
              <w:bottom w:val="single" w:sz="8" w:space="0" w:color="auto"/>
              <w:right w:val="single" w:sz="8" w:space="0" w:color="auto"/>
            </w:tcBorders>
            <w:shd w:val="clear" w:color="auto" w:fill="auto"/>
            <w:noWrap/>
            <w:vAlign w:val="center"/>
            <w:hideMark/>
          </w:tcPr>
          <w:p w:rsidR="00AB1F4A" w:rsidRDefault="00AB1F4A">
            <w:pPr>
              <w:jc w:val="center"/>
              <w:rPr>
                <w:rFonts w:ascii="Arial" w:hAnsi="Arial" w:cs="Arial"/>
                <w:color w:val="000000"/>
                <w:sz w:val="16"/>
                <w:szCs w:val="16"/>
              </w:rPr>
            </w:pPr>
            <w:r>
              <w:rPr>
                <w:rFonts w:ascii="Arial" w:hAnsi="Arial" w:cs="Arial"/>
                <w:color w:val="000000"/>
                <w:sz w:val="16"/>
                <w:szCs w:val="16"/>
              </w:rPr>
              <w:t>6</w:t>
            </w:r>
          </w:p>
        </w:tc>
        <w:tc>
          <w:tcPr>
            <w:tcW w:w="833" w:type="pct"/>
            <w:tcBorders>
              <w:top w:val="nil"/>
              <w:left w:val="nil"/>
              <w:bottom w:val="single" w:sz="8" w:space="0" w:color="auto"/>
              <w:right w:val="single" w:sz="8" w:space="0" w:color="auto"/>
            </w:tcBorders>
            <w:shd w:val="clear" w:color="auto" w:fill="auto"/>
            <w:noWrap/>
            <w:vAlign w:val="center"/>
            <w:hideMark/>
          </w:tcPr>
          <w:p w:rsidR="00AB1F4A" w:rsidRDefault="00AB1F4A">
            <w:pPr>
              <w:jc w:val="center"/>
              <w:rPr>
                <w:rFonts w:ascii="Arial" w:hAnsi="Arial" w:cs="Arial"/>
                <w:color w:val="000000"/>
                <w:sz w:val="16"/>
                <w:szCs w:val="16"/>
              </w:rPr>
            </w:pPr>
            <w:r>
              <w:rPr>
                <w:rFonts w:ascii="Arial" w:hAnsi="Arial" w:cs="Arial"/>
                <w:color w:val="000000"/>
                <w:sz w:val="16"/>
                <w:szCs w:val="16"/>
              </w:rPr>
              <w:t>6</w:t>
            </w:r>
          </w:p>
        </w:tc>
        <w:tc>
          <w:tcPr>
            <w:tcW w:w="884" w:type="pct"/>
            <w:tcBorders>
              <w:top w:val="nil"/>
              <w:left w:val="nil"/>
              <w:bottom w:val="single" w:sz="8" w:space="0" w:color="auto"/>
              <w:right w:val="single" w:sz="8" w:space="0" w:color="auto"/>
            </w:tcBorders>
            <w:shd w:val="clear" w:color="auto" w:fill="auto"/>
            <w:noWrap/>
            <w:vAlign w:val="center"/>
            <w:hideMark/>
          </w:tcPr>
          <w:p w:rsidR="00AB1F4A" w:rsidRDefault="00AB1F4A">
            <w:pPr>
              <w:jc w:val="center"/>
              <w:rPr>
                <w:rFonts w:ascii="Arial" w:hAnsi="Arial" w:cs="Arial"/>
                <w:color w:val="000000"/>
                <w:sz w:val="16"/>
                <w:szCs w:val="16"/>
              </w:rPr>
            </w:pPr>
            <w:r>
              <w:rPr>
                <w:rFonts w:ascii="Arial" w:hAnsi="Arial" w:cs="Arial"/>
                <w:color w:val="000000"/>
                <w:sz w:val="16"/>
                <w:szCs w:val="16"/>
              </w:rPr>
              <w:t>5</w:t>
            </w:r>
          </w:p>
        </w:tc>
        <w:tc>
          <w:tcPr>
            <w:tcW w:w="842" w:type="pct"/>
            <w:tcBorders>
              <w:top w:val="nil"/>
              <w:left w:val="nil"/>
              <w:bottom w:val="single" w:sz="8" w:space="0" w:color="auto"/>
              <w:right w:val="single" w:sz="8" w:space="0" w:color="auto"/>
            </w:tcBorders>
            <w:shd w:val="clear" w:color="auto" w:fill="auto"/>
            <w:noWrap/>
            <w:vAlign w:val="center"/>
            <w:hideMark/>
          </w:tcPr>
          <w:p w:rsidR="00AB1F4A" w:rsidRDefault="00AB1F4A">
            <w:pPr>
              <w:jc w:val="center"/>
              <w:rPr>
                <w:rFonts w:ascii="Arial" w:hAnsi="Arial" w:cs="Arial"/>
                <w:color w:val="000000"/>
                <w:sz w:val="16"/>
                <w:szCs w:val="16"/>
              </w:rPr>
            </w:pPr>
            <w:r>
              <w:rPr>
                <w:rFonts w:ascii="Arial" w:hAnsi="Arial" w:cs="Arial"/>
                <w:color w:val="000000"/>
                <w:sz w:val="16"/>
                <w:szCs w:val="16"/>
              </w:rPr>
              <w:t>0</w:t>
            </w:r>
          </w:p>
        </w:tc>
      </w:tr>
      <w:tr w:rsidR="00AB1F4A" w:rsidTr="000B6E30">
        <w:trPr>
          <w:trHeight w:val="915"/>
        </w:trPr>
        <w:tc>
          <w:tcPr>
            <w:tcW w:w="901" w:type="pct"/>
            <w:tcBorders>
              <w:top w:val="nil"/>
              <w:left w:val="single" w:sz="8" w:space="0" w:color="auto"/>
              <w:bottom w:val="single" w:sz="8" w:space="0" w:color="auto"/>
              <w:right w:val="single" w:sz="8" w:space="0" w:color="auto"/>
            </w:tcBorders>
            <w:shd w:val="clear" w:color="auto" w:fill="auto"/>
            <w:vAlign w:val="center"/>
            <w:hideMark/>
          </w:tcPr>
          <w:p w:rsidR="00AB1F4A" w:rsidRDefault="00AB1F4A">
            <w:pPr>
              <w:rPr>
                <w:rFonts w:ascii="Arial" w:hAnsi="Arial" w:cs="Arial"/>
                <w:color w:val="000000"/>
                <w:sz w:val="16"/>
                <w:szCs w:val="16"/>
              </w:rPr>
            </w:pPr>
            <w:r>
              <w:rPr>
                <w:rFonts w:ascii="Arial" w:hAnsi="Arial" w:cs="Arial"/>
                <w:color w:val="000000"/>
                <w:sz w:val="16"/>
                <w:szCs w:val="16"/>
              </w:rPr>
              <w:t>49 - Zmierňovanie klimatickej zmeny a prispôsobovanie sa kliamtickej zmene</w:t>
            </w:r>
          </w:p>
        </w:tc>
        <w:tc>
          <w:tcPr>
            <w:tcW w:w="808" w:type="pct"/>
            <w:tcBorders>
              <w:top w:val="nil"/>
              <w:left w:val="nil"/>
              <w:bottom w:val="single" w:sz="8" w:space="0" w:color="auto"/>
              <w:right w:val="single" w:sz="8" w:space="0" w:color="auto"/>
            </w:tcBorders>
            <w:shd w:val="clear" w:color="auto" w:fill="auto"/>
            <w:noWrap/>
            <w:vAlign w:val="center"/>
            <w:hideMark/>
          </w:tcPr>
          <w:p w:rsidR="00AB1F4A" w:rsidRDefault="00AB1F4A">
            <w:pPr>
              <w:jc w:val="center"/>
              <w:rPr>
                <w:rFonts w:ascii="Arial" w:hAnsi="Arial" w:cs="Arial"/>
                <w:color w:val="000000"/>
                <w:sz w:val="16"/>
                <w:szCs w:val="16"/>
              </w:rPr>
            </w:pPr>
            <w:r>
              <w:rPr>
                <w:rFonts w:ascii="Arial" w:hAnsi="Arial" w:cs="Arial"/>
                <w:color w:val="000000"/>
                <w:sz w:val="16"/>
                <w:szCs w:val="16"/>
              </w:rPr>
              <w:t>161</w:t>
            </w:r>
          </w:p>
        </w:tc>
        <w:tc>
          <w:tcPr>
            <w:tcW w:w="731" w:type="pct"/>
            <w:tcBorders>
              <w:top w:val="nil"/>
              <w:left w:val="nil"/>
              <w:bottom w:val="single" w:sz="8" w:space="0" w:color="auto"/>
              <w:right w:val="single" w:sz="8" w:space="0" w:color="auto"/>
            </w:tcBorders>
            <w:shd w:val="clear" w:color="auto" w:fill="auto"/>
            <w:noWrap/>
            <w:vAlign w:val="center"/>
            <w:hideMark/>
          </w:tcPr>
          <w:p w:rsidR="00AB1F4A" w:rsidRDefault="00AB1F4A">
            <w:pPr>
              <w:jc w:val="center"/>
              <w:rPr>
                <w:rFonts w:ascii="Arial" w:hAnsi="Arial" w:cs="Arial"/>
                <w:color w:val="000000"/>
                <w:sz w:val="16"/>
                <w:szCs w:val="16"/>
              </w:rPr>
            </w:pPr>
            <w:r>
              <w:rPr>
                <w:rFonts w:ascii="Arial" w:hAnsi="Arial" w:cs="Arial"/>
                <w:color w:val="000000"/>
                <w:sz w:val="16"/>
                <w:szCs w:val="16"/>
              </w:rPr>
              <w:t>36</w:t>
            </w:r>
          </w:p>
        </w:tc>
        <w:tc>
          <w:tcPr>
            <w:tcW w:w="833" w:type="pct"/>
            <w:tcBorders>
              <w:top w:val="nil"/>
              <w:left w:val="nil"/>
              <w:bottom w:val="single" w:sz="8" w:space="0" w:color="auto"/>
              <w:right w:val="single" w:sz="8" w:space="0" w:color="auto"/>
            </w:tcBorders>
            <w:shd w:val="clear" w:color="auto" w:fill="auto"/>
            <w:noWrap/>
            <w:vAlign w:val="center"/>
            <w:hideMark/>
          </w:tcPr>
          <w:p w:rsidR="00AB1F4A" w:rsidRDefault="00AB1F4A">
            <w:pPr>
              <w:jc w:val="center"/>
              <w:rPr>
                <w:rFonts w:ascii="Arial" w:hAnsi="Arial" w:cs="Arial"/>
                <w:color w:val="000000"/>
                <w:sz w:val="16"/>
                <w:szCs w:val="16"/>
              </w:rPr>
            </w:pPr>
            <w:r>
              <w:rPr>
                <w:rFonts w:ascii="Arial" w:hAnsi="Arial" w:cs="Arial"/>
                <w:color w:val="000000"/>
                <w:sz w:val="16"/>
                <w:szCs w:val="16"/>
              </w:rPr>
              <w:t>32</w:t>
            </w:r>
          </w:p>
        </w:tc>
        <w:tc>
          <w:tcPr>
            <w:tcW w:w="884" w:type="pct"/>
            <w:tcBorders>
              <w:top w:val="nil"/>
              <w:left w:val="nil"/>
              <w:bottom w:val="single" w:sz="8" w:space="0" w:color="auto"/>
              <w:right w:val="single" w:sz="8" w:space="0" w:color="auto"/>
            </w:tcBorders>
            <w:shd w:val="clear" w:color="auto" w:fill="auto"/>
            <w:noWrap/>
            <w:vAlign w:val="center"/>
            <w:hideMark/>
          </w:tcPr>
          <w:p w:rsidR="00AB1F4A" w:rsidRDefault="00AB1F4A">
            <w:pPr>
              <w:jc w:val="center"/>
              <w:rPr>
                <w:rFonts w:ascii="Arial" w:hAnsi="Arial" w:cs="Arial"/>
                <w:color w:val="000000"/>
                <w:sz w:val="16"/>
                <w:szCs w:val="16"/>
              </w:rPr>
            </w:pPr>
            <w:r>
              <w:rPr>
                <w:rFonts w:ascii="Arial" w:hAnsi="Arial" w:cs="Arial"/>
                <w:color w:val="000000"/>
                <w:sz w:val="16"/>
                <w:szCs w:val="16"/>
              </w:rPr>
              <w:t>29</w:t>
            </w:r>
          </w:p>
        </w:tc>
        <w:tc>
          <w:tcPr>
            <w:tcW w:w="842" w:type="pct"/>
            <w:tcBorders>
              <w:top w:val="nil"/>
              <w:left w:val="nil"/>
              <w:bottom w:val="single" w:sz="8" w:space="0" w:color="auto"/>
              <w:right w:val="single" w:sz="8" w:space="0" w:color="auto"/>
            </w:tcBorders>
            <w:shd w:val="clear" w:color="auto" w:fill="auto"/>
            <w:noWrap/>
            <w:vAlign w:val="center"/>
            <w:hideMark/>
          </w:tcPr>
          <w:p w:rsidR="00AB1F4A" w:rsidRDefault="00AB1F4A">
            <w:pPr>
              <w:jc w:val="center"/>
              <w:rPr>
                <w:rFonts w:ascii="Arial" w:hAnsi="Arial" w:cs="Arial"/>
                <w:color w:val="000000"/>
                <w:sz w:val="16"/>
                <w:szCs w:val="16"/>
              </w:rPr>
            </w:pPr>
            <w:r>
              <w:rPr>
                <w:rFonts w:ascii="Arial" w:hAnsi="Arial" w:cs="Arial"/>
                <w:color w:val="000000"/>
                <w:sz w:val="16"/>
                <w:szCs w:val="16"/>
              </w:rPr>
              <w:t>4</w:t>
            </w:r>
          </w:p>
        </w:tc>
      </w:tr>
      <w:tr w:rsidR="00AB1F4A" w:rsidTr="000B6E30">
        <w:trPr>
          <w:trHeight w:val="315"/>
        </w:trPr>
        <w:tc>
          <w:tcPr>
            <w:tcW w:w="901" w:type="pct"/>
            <w:tcBorders>
              <w:top w:val="nil"/>
              <w:left w:val="single" w:sz="8" w:space="0" w:color="auto"/>
              <w:bottom w:val="single" w:sz="8" w:space="0" w:color="auto"/>
              <w:right w:val="single" w:sz="8" w:space="0" w:color="auto"/>
            </w:tcBorders>
            <w:shd w:val="clear" w:color="000000" w:fill="EAF1DD"/>
            <w:vAlign w:val="center"/>
            <w:hideMark/>
          </w:tcPr>
          <w:p w:rsidR="00AB1F4A" w:rsidRDefault="00AB1F4A">
            <w:pPr>
              <w:rPr>
                <w:rFonts w:ascii="Arial" w:hAnsi="Arial" w:cs="Arial"/>
                <w:b/>
                <w:bCs/>
                <w:color w:val="000000"/>
                <w:sz w:val="16"/>
                <w:szCs w:val="16"/>
              </w:rPr>
            </w:pPr>
            <w:r>
              <w:rPr>
                <w:rFonts w:ascii="Arial" w:hAnsi="Arial" w:cs="Arial"/>
                <w:b/>
                <w:bCs/>
                <w:color w:val="000000"/>
                <w:sz w:val="16"/>
                <w:szCs w:val="16"/>
              </w:rPr>
              <w:t>Celkom</w:t>
            </w:r>
          </w:p>
        </w:tc>
        <w:tc>
          <w:tcPr>
            <w:tcW w:w="808" w:type="pct"/>
            <w:tcBorders>
              <w:top w:val="nil"/>
              <w:left w:val="nil"/>
              <w:bottom w:val="single" w:sz="8" w:space="0" w:color="auto"/>
              <w:right w:val="single" w:sz="8" w:space="0" w:color="auto"/>
            </w:tcBorders>
            <w:shd w:val="clear" w:color="000000" w:fill="EAF1DD"/>
            <w:noWrap/>
            <w:vAlign w:val="center"/>
            <w:hideMark/>
          </w:tcPr>
          <w:p w:rsidR="00AB1F4A" w:rsidRDefault="00AB1F4A">
            <w:pPr>
              <w:jc w:val="center"/>
              <w:rPr>
                <w:rFonts w:ascii="Arial" w:hAnsi="Arial" w:cs="Arial"/>
                <w:b/>
                <w:bCs/>
                <w:color w:val="000000"/>
                <w:sz w:val="16"/>
                <w:szCs w:val="16"/>
              </w:rPr>
            </w:pPr>
            <w:r>
              <w:rPr>
                <w:rFonts w:ascii="Arial" w:hAnsi="Arial" w:cs="Arial"/>
                <w:b/>
                <w:bCs/>
                <w:color w:val="000000"/>
                <w:sz w:val="16"/>
                <w:szCs w:val="16"/>
              </w:rPr>
              <w:t>326</w:t>
            </w:r>
          </w:p>
        </w:tc>
        <w:tc>
          <w:tcPr>
            <w:tcW w:w="731" w:type="pct"/>
            <w:tcBorders>
              <w:top w:val="nil"/>
              <w:left w:val="nil"/>
              <w:bottom w:val="single" w:sz="8" w:space="0" w:color="auto"/>
              <w:right w:val="single" w:sz="8" w:space="0" w:color="auto"/>
            </w:tcBorders>
            <w:shd w:val="clear" w:color="000000" w:fill="EAF1DD"/>
            <w:noWrap/>
            <w:vAlign w:val="center"/>
            <w:hideMark/>
          </w:tcPr>
          <w:p w:rsidR="00AB1F4A" w:rsidRDefault="00AB1F4A">
            <w:pPr>
              <w:jc w:val="center"/>
              <w:rPr>
                <w:rFonts w:ascii="Arial" w:hAnsi="Arial" w:cs="Arial"/>
                <w:b/>
                <w:bCs/>
                <w:color w:val="000000"/>
                <w:sz w:val="16"/>
                <w:szCs w:val="16"/>
              </w:rPr>
            </w:pPr>
            <w:r>
              <w:rPr>
                <w:rFonts w:ascii="Arial" w:hAnsi="Arial" w:cs="Arial"/>
                <w:b/>
                <w:bCs/>
                <w:color w:val="000000"/>
                <w:sz w:val="16"/>
                <w:szCs w:val="16"/>
              </w:rPr>
              <w:t>109</w:t>
            </w:r>
          </w:p>
        </w:tc>
        <w:tc>
          <w:tcPr>
            <w:tcW w:w="833" w:type="pct"/>
            <w:tcBorders>
              <w:top w:val="nil"/>
              <w:left w:val="nil"/>
              <w:bottom w:val="single" w:sz="8" w:space="0" w:color="auto"/>
              <w:right w:val="single" w:sz="8" w:space="0" w:color="auto"/>
            </w:tcBorders>
            <w:shd w:val="clear" w:color="000000" w:fill="EAF1DD"/>
            <w:noWrap/>
            <w:vAlign w:val="center"/>
            <w:hideMark/>
          </w:tcPr>
          <w:p w:rsidR="00AB1F4A" w:rsidRDefault="00AB1F4A">
            <w:pPr>
              <w:jc w:val="center"/>
              <w:rPr>
                <w:rFonts w:ascii="Arial" w:hAnsi="Arial" w:cs="Arial"/>
                <w:b/>
                <w:bCs/>
                <w:color w:val="000000"/>
                <w:sz w:val="16"/>
                <w:szCs w:val="16"/>
              </w:rPr>
            </w:pPr>
            <w:r>
              <w:rPr>
                <w:rFonts w:ascii="Arial" w:hAnsi="Arial" w:cs="Arial"/>
                <w:b/>
                <w:bCs/>
                <w:color w:val="000000"/>
                <w:sz w:val="16"/>
                <w:szCs w:val="16"/>
              </w:rPr>
              <w:t>102</w:t>
            </w:r>
          </w:p>
        </w:tc>
        <w:tc>
          <w:tcPr>
            <w:tcW w:w="884" w:type="pct"/>
            <w:tcBorders>
              <w:top w:val="nil"/>
              <w:left w:val="nil"/>
              <w:bottom w:val="single" w:sz="8" w:space="0" w:color="auto"/>
              <w:right w:val="single" w:sz="8" w:space="0" w:color="auto"/>
            </w:tcBorders>
            <w:shd w:val="clear" w:color="000000" w:fill="EAF1DD"/>
            <w:noWrap/>
            <w:vAlign w:val="center"/>
            <w:hideMark/>
          </w:tcPr>
          <w:p w:rsidR="00AB1F4A" w:rsidRDefault="00AB1F4A">
            <w:pPr>
              <w:jc w:val="center"/>
              <w:rPr>
                <w:rFonts w:ascii="Arial" w:hAnsi="Arial" w:cs="Arial"/>
                <w:b/>
                <w:bCs/>
                <w:color w:val="000000"/>
                <w:sz w:val="16"/>
                <w:szCs w:val="16"/>
              </w:rPr>
            </w:pPr>
            <w:r>
              <w:rPr>
                <w:rFonts w:ascii="Arial" w:hAnsi="Arial" w:cs="Arial"/>
                <w:b/>
                <w:bCs/>
                <w:color w:val="000000"/>
                <w:sz w:val="16"/>
                <w:szCs w:val="16"/>
              </w:rPr>
              <w:t>78</w:t>
            </w:r>
          </w:p>
        </w:tc>
        <w:tc>
          <w:tcPr>
            <w:tcW w:w="842" w:type="pct"/>
            <w:tcBorders>
              <w:top w:val="nil"/>
              <w:left w:val="nil"/>
              <w:bottom w:val="single" w:sz="8" w:space="0" w:color="auto"/>
              <w:right w:val="single" w:sz="8" w:space="0" w:color="auto"/>
            </w:tcBorders>
            <w:shd w:val="clear" w:color="000000" w:fill="EAF1DD"/>
            <w:noWrap/>
            <w:vAlign w:val="center"/>
            <w:hideMark/>
          </w:tcPr>
          <w:p w:rsidR="00AB1F4A" w:rsidRDefault="00AB1F4A">
            <w:pPr>
              <w:jc w:val="center"/>
              <w:rPr>
                <w:rFonts w:ascii="Arial" w:hAnsi="Arial" w:cs="Arial"/>
                <w:b/>
                <w:bCs/>
                <w:color w:val="000000"/>
                <w:sz w:val="16"/>
                <w:szCs w:val="16"/>
              </w:rPr>
            </w:pPr>
            <w:r>
              <w:rPr>
                <w:rFonts w:ascii="Arial" w:hAnsi="Arial" w:cs="Arial"/>
                <w:b/>
                <w:bCs/>
                <w:color w:val="000000"/>
                <w:sz w:val="16"/>
                <w:szCs w:val="16"/>
              </w:rPr>
              <w:t>7</w:t>
            </w:r>
          </w:p>
        </w:tc>
      </w:tr>
      <w:tr w:rsidR="00AB1F4A" w:rsidTr="000B6E30">
        <w:trPr>
          <w:trHeight w:val="315"/>
        </w:trPr>
        <w:tc>
          <w:tcPr>
            <w:tcW w:w="5000" w:type="pct"/>
            <w:gridSpan w:val="6"/>
            <w:tcBorders>
              <w:top w:val="single" w:sz="8" w:space="0" w:color="auto"/>
              <w:left w:val="nil"/>
              <w:bottom w:val="single" w:sz="8" w:space="0" w:color="auto"/>
              <w:right w:val="nil"/>
            </w:tcBorders>
            <w:shd w:val="clear" w:color="auto" w:fill="auto"/>
            <w:vAlign w:val="center"/>
            <w:hideMark/>
          </w:tcPr>
          <w:p w:rsidR="00AB1F4A" w:rsidRDefault="00AB1F4A">
            <w:pPr>
              <w:rPr>
                <w:rFonts w:ascii="Arial" w:hAnsi="Arial" w:cs="Arial"/>
                <w:b/>
                <w:bCs/>
                <w:i/>
                <w:iCs/>
                <w:color w:val="000000"/>
                <w:sz w:val="16"/>
                <w:szCs w:val="16"/>
              </w:rPr>
            </w:pPr>
            <w:r>
              <w:rPr>
                <w:rFonts w:ascii="Arial" w:hAnsi="Arial" w:cs="Arial"/>
                <w:b/>
                <w:bCs/>
                <w:i/>
                <w:iCs/>
                <w:color w:val="000000"/>
                <w:sz w:val="16"/>
                <w:szCs w:val="16"/>
              </w:rPr>
              <w:t>Finančné vyčíslenie ŠF/KF a ŠR v €</w:t>
            </w:r>
          </w:p>
        </w:tc>
      </w:tr>
      <w:tr w:rsidR="00AB1F4A" w:rsidTr="000B6E30">
        <w:trPr>
          <w:trHeight w:val="465"/>
        </w:trPr>
        <w:tc>
          <w:tcPr>
            <w:tcW w:w="901" w:type="pct"/>
            <w:tcBorders>
              <w:top w:val="nil"/>
              <w:left w:val="single" w:sz="8" w:space="0" w:color="auto"/>
              <w:bottom w:val="single" w:sz="8" w:space="0" w:color="auto"/>
              <w:right w:val="single" w:sz="8" w:space="0" w:color="auto"/>
            </w:tcBorders>
            <w:shd w:val="clear" w:color="000000" w:fill="D6E3BC"/>
            <w:vAlign w:val="center"/>
            <w:hideMark/>
          </w:tcPr>
          <w:p w:rsidR="00AB1F4A" w:rsidRDefault="00AB1F4A">
            <w:pPr>
              <w:jc w:val="center"/>
              <w:rPr>
                <w:rFonts w:ascii="Arial" w:hAnsi="Arial" w:cs="Arial"/>
                <w:b/>
                <w:bCs/>
                <w:color w:val="000000"/>
                <w:sz w:val="16"/>
                <w:szCs w:val="16"/>
              </w:rPr>
            </w:pPr>
            <w:r>
              <w:rPr>
                <w:rFonts w:ascii="Arial" w:hAnsi="Arial" w:cs="Arial"/>
                <w:b/>
                <w:bCs/>
                <w:color w:val="000000"/>
                <w:sz w:val="16"/>
                <w:szCs w:val="16"/>
              </w:rPr>
              <w:t>Hlavná téma</w:t>
            </w:r>
          </w:p>
        </w:tc>
        <w:tc>
          <w:tcPr>
            <w:tcW w:w="808" w:type="pct"/>
            <w:tcBorders>
              <w:top w:val="nil"/>
              <w:left w:val="nil"/>
              <w:bottom w:val="single" w:sz="8" w:space="0" w:color="auto"/>
              <w:right w:val="single" w:sz="8" w:space="0" w:color="auto"/>
            </w:tcBorders>
            <w:shd w:val="clear" w:color="000000" w:fill="D6E3BC"/>
            <w:vAlign w:val="center"/>
            <w:hideMark/>
          </w:tcPr>
          <w:p w:rsidR="00AB1F4A" w:rsidRDefault="00AB1F4A">
            <w:pPr>
              <w:jc w:val="center"/>
              <w:rPr>
                <w:rFonts w:ascii="Arial" w:hAnsi="Arial" w:cs="Arial"/>
                <w:b/>
                <w:bCs/>
                <w:color w:val="000000"/>
                <w:sz w:val="16"/>
                <w:szCs w:val="16"/>
              </w:rPr>
            </w:pPr>
            <w:r>
              <w:rPr>
                <w:rFonts w:ascii="Arial" w:hAnsi="Arial" w:cs="Arial"/>
                <w:b/>
                <w:bCs/>
                <w:color w:val="000000"/>
                <w:sz w:val="16"/>
                <w:szCs w:val="16"/>
              </w:rPr>
              <w:t xml:space="preserve">Výška žiadaného príspevku (NFP)  </w:t>
            </w:r>
          </w:p>
        </w:tc>
        <w:tc>
          <w:tcPr>
            <w:tcW w:w="731" w:type="pct"/>
            <w:tcBorders>
              <w:top w:val="nil"/>
              <w:left w:val="nil"/>
              <w:bottom w:val="single" w:sz="8" w:space="0" w:color="auto"/>
              <w:right w:val="single" w:sz="8" w:space="0" w:color="auto"/>
            </w:tcBorders>
            <w:shd w:val="clear" w:color="000000" w:fill="D6E3BC"/>
            <w:vAlign w:val="center"/>
            <w:hideMark/>
          </w:tcPr>
          <w:p w:rsidR="00AB1F4A" w:rsidRDefault="00AB1F4A">
            <w:pPr>
              <w:jc w:val="center"/>
              <w:rPr>
                <w:rFonts w:ascii="Arial" w:hAnsi="Arial" w:cs="Arial"/>
                <w:b/>
                <w:bCs/>
                <w:color w:val="000000"/>
                <w:sz w:val="16"/>
                <w:szCs w:val="16"/>
              </w:rPr>
            </w:pPr>
            <w:r>
              <w:rPr>
                <w:rFonts w:ascii="Arial" w:hAnsi="Arial" w:cs="Arial"/>
                <w:b/>
                <w:bCs/>
                <w:color w:val="000000"/>
                <w:sz w:val="16"/>
                <w:szCs w:val="16"/>
              </w:rPr>
              <w:t xml:space="preserve">Výška schváleného príspevku (NFP) </w:t>
            </w:r>
          </w:p>
        </w:tc>
        <w:tc>
          <w:tcPr>
            <w:tcW w:w="833" w:type="pct"/>
            <w:tcBorders>
              <w:top w:val="nil"/>
              <w:left w:val="nil"/>
              <w:bottom w:val="single" w:sz="8" w:space="0" w:color="auto"/>
              <w:right w:val="single" w:sz="8" w:space="0" w:color="auto"/>
            </w:tcBorders>
            <w:shd w:val="clear" w:color="000000" w:fill="D6E3BC"/>
            <w:vAlign w:val="center"/>
            <w:hideMark/>
          </w:tcPr>
          <w:p w:rsidR="00AB1F4A" w:rsidRDefault="00AB1F4A">
            <w:pPr>
              <w:jc w:val="center"/>
              <w:rPr>
                <w:rFonts w:ascii="Arial" w:hAnsi="Arial" w:cs="Arial"/>
                <w:b/>
                <w:bCs/>
                <w:color w:val="000000"/>
                <w:sz w:val="16"/>
                <w:szCs w:val="16"/>
              </w:rPr>
            </w:pPr>
            <w:r>
              <w:rPr>
                <w:rFonts w:ascii="Arial" w:hAnsi="Arial" w:cs="Arial"/>
                <w:b/>
                <w:bCs/>
                <w:color w:val="000000"/>
                <w:sz w:val="16"/>
                <w:szCs w:val="16"/>
              </w:rPr>
              <w:t>Výška zazmluvnených prostriedkov (NFP)</w:t>
            </w:r>
          </w:p>
        </w:tc>
        <w:tc>
          <w:tcPr>
            <w:tcW w:w="884" w:type="pct"/>
            <w:tcBorders>
              <w:top w:val="nil"/>
              <w:left w:val="nil"/>
              <w:bottom w:val="single" w:sz="8" w:space="0" w:color="auto"/>
              <w:right w:val="single" w:sz="8" w:space="0" w:color="auto"/>
            </w:tcBorders>
            <w:shd w:val="clear" w:color="000000" w:fill="D6E3BC"/>
            <w:vAlign w:val="center"/>
            <w:hideMark/>
          </w:tcPr>
          <w:p w:rsidR="00AB1F4A" w:rsidRDefault="00AB1F4A">
            <w:pPr>
              <w:jc w:val="center"/>
              <w:rPr>
                <w:rFonts w:ascii="Arial" w:hAnsi="Arial" w:cs="Arial"/>
                <w:b/>
                <w:bCs/>
                <w:color w:val="000000"/>
                <w:sz w:val="16"/>
                <w:szCs w:val="16"/>
              </w:rPr>
            </w:pPr>
            <w:r>
              <w:rPr>
                <w:rFonts w:ascii="Arial" w:hAnsi="Arial" w:cs="Arial"/>
                <w:b/>
                <w:bCs/>
                <w:color w:val="000000"/>
                <w:sz w:val="16"/>
                <w:szCs w:val="16"/>
              </w:rPr>
              <w:t xml:space="preserve">Výška riadne ukončených projektov </w:t>
            </w:r>
            <w:r>
              <w:rPr>
                <w:rFonts w:ascii="Arial" w:hAnsi="Arial" w:cs="Arial"/>
                <w:b/>
                <w:bCs/>
                <w:color w:val="000000"/>
                <w:sz w:val="16"/>
                <w:szCs w:val="16"/>
                <w:vertAlign w:val="superscript"/>
              </w:rPr>
              <w:t>1</w:t>
            </w:r>
          </w:p>
        </w:tc>
        <w:tc>
          <w:tcPr>
            <w:tcW w:w="842" w:type="pct"/>
            <w:tcBorders>
              <w:top w:val="nil"/>
              <w:left w:val="nil"/>
              <w:bottom w:val="single" w:sz="8" w:space="0" w:color="auto"/>
              <w:right w:val="single" w:sz="8" w:space="0" w:color="auto"/>
            </w:tcBorders>
            <w:shd w:val="clear" w:color="000000" w:fill="D6E3BC"/>
            <w:vAlign w:val="center"/>
            <w:hideMark/>
          </w:tcPr>
          <w:p w:rsidR="00AB1F4A" w:rsidRDefault="00AB1F4A">
            <w:pPr>
              <w:jc w:val="center"/>
              <w:rPr>
                <w:rFonts w:ascii="Arial" w:hAnsi="Arial" w:cs="Arial"/>
                <w:b/>
                <w:bCs/>
                <w:color w:val="000000"/>
                <w:sz w:val="16"/>
                <w:szCs w:val="16"/>
              </w:rPr>
            </w:pPr>
            <w:r>
              <w:rPr>
                <w:rFonts w:ascii="Arial" w:hAnsi="Arial" w:cs="Arial"/>
                <w:b/>
                <w:bCs/>
                <w:color w:val="000000"/>
                <w:sz w:val="16"/>
                <w:szCs w:val="16"/>
              </w:rPr>
              <w:t>Výška mimoriadne ukončených projektov</w:t>
            </w:r>
          </w:p>
        </w:tc>
      </w:tr>
      <w:tr w:rsidR="00AB1F4A" w:rsidTr="000B6E30">
        <w:trPr>
          <w:trHeight w:val="315"/>
        </w:trPr>
        <w:tc>
          <w:tcPr>
            <w:tcW w:w="901" w:type="pct"/>
            <w:tcBorders>
              <w:top w:val="nil"/>
              <w:left w:val="single" w:sz="8" w:space="0" w:color="auto"/>
              <w:bottom w:val="single" w:sz="8" w:space="0" w:color="auto"/>
              <w:right w:val="single" w:sz="8" w:space="0" w:color="auto"/>
            </w:tcBorders>
            <w:shd w:val="clear" w:color="auto" w:fill="auto"/>
            <w:vAlign w:val="center"/>
            <w:hideMark/>
          </w:tcPr>
          <w:p w:rsidR="00AB1F4A" w:rsidRDefault="00AB1F4A">
            <w:pPr>
              <w:rPr>
                <w:rFonts w:ascii="Arial" w:hAnsi="Arial" w:cs="Arial"/>
                <w:color w:val="000000"/>
                <w:sz w:val="16"/>
                <w:szCs w:val="16"/>
              </w:rPr>
            </w:pPr>
            <w:r>
              <w:rPr>
                <w:rFonts w:ascii="Arial" w:hAnsi="Arial" w:cs="Arial"/>
                <w:color w:val="000000"/>
                <w:sz w:val="16"/>
                <w:szCs w:val="16"/>
              </w:rPr>
              <w:t>47 - Kvalita vzduchu</w:t>
            </w:r>
          </w:p>
        </w:tc>
        <w:tc>
          <w:tcPr>
            <w:tcW w:w="808" w:type="pct"/>
            <w:tcBorders>
              <w:top w:val="nil"/>
              <w:left w:val="nil"/>
              <w:bottom w:val="single" w:sz="8" w:space="0" w:color="auto"/>
              <w:right w:val="single" w:sz="8" w:space="0" w:color="auto"/>
            </w:tcBorders>
            <w:shd w:val="clear" w:color="auto" w:fill="auto"/>
            <w:noWrap/>
            <w:vAlign w:val="center"/>
            <w:hideMark/>
          </w:tcPr>
          <w:p w:rsidR="00AB1F4A" w:rsidRDefault="00AB1F4A">
            <w:pPr>
              <w:jc w:val="center"/>
              <w:rPr>
                <w:rFonts w:ascii="Arial" w:hAnsi="Arial" w:cs="Arial"/>
                <w:color w:val="000000"/>
                <w:sz w:val="16"/>
                <w:szCs w:val="16"/>
              </w:rPr>
            </w:pPr>
            <w:r>
              <w:rPr>
                <w:rFonts w:ascii="Arial" w:hAnsi="Arial" w:cs="Arial"/>
                <w:color w:val="000000"/>
                <w:sz w:val="16"/>
                <w:szCs w:val="16"/>
              </w:rPr>
              <w:t>184 980 296</w:t>
            </w:r>
          </w:p>
        </w:tc>
        <w:tc>
          <w:tcPr>
            <w:tcW w:w="731" w:type="pct"/>
            <w:tcBorders>
              <w:top w:val="nil"/>
              <w:left w:val="nil"/>
              <w:bottom w:val="single" w:sz="8" w:space="0" w:color="auto"/>
              <w:right w:val="single" w:sz="8" w:space="0" w:color="auto"/>
            </w:tcBorders>
            <w:shd w:val="clear" w:color="auto" w:fill="auto"/>
            <w:noWrap/>
            <w:vAlign w:val="center"/>
            <w:hideMark/>
          </w:tcPr>
          <w:p w:rsidR="00AB1F4A" w:rsidRDefault="00AB1F4A">
            <w:pPr>
              <w:jc w:val="center"/>
              <w:rPr>
                <w:rFonts w:ascii="Arial" w:hAnsi="Arial" w:cs="Arial"/>
                <w:color w:val="000000"/>
                <w:sz w:val="16"/>
                <w:szCs w:val="16"/>
              </w:rPr>
            </w:pPr>
            <w:r>
              <w:rPr>
                <w:rFonts w:ascii="Arial" w:hAnsi="Arial" w:cs="Arial"/>
                <w:color w:val="000000"/>
                <w:sz w:val="16"/>
                <w:szCs w:val="16"/>
              </w:rPr>
              <w:t>92 129 550</w:t>
            </w:r>
          </w:p>
        </w:tc>
        <w:tc>
          <w:tcPr>
            <w:tcW w:w="833" w:type="pct"/>
            <w:tcBorders>
              <w:top w:val="nil"/>
              <w:left w:val="nil"/>
              <w:bottom w:val="single" w:sz="8" w:space="0" w:color="auto"/>
              <w:right w:val="single" w:sz="8" w:space="0" w:color="auto"/>
            </w:tcBorders>
            <w:shd w:val="clear" w:color="auto" w:fill="auto"/>
            <w:noWrap/>
            <w:vAlign w:val="center"/>
            <w:hideMark/>
          </w:tcPr>
          <w:p w:rsidR="00AB1F4A" w:rsidRDefault="00AB1F4A">
            <w:pPr>
              <w:jc w:val="center"/>
              <w:rPr>
                <w:rFonts w:ascii="Arial" w:hAnsi="Arial" w:cs="Arial"/>
                <w:color w:val="000000"/>
                <w:sz w:val="16"/>
                <w:szCs w:val="16"/>
              </w:rPr>
            </w:pPr>
            <w:r>
              <w:rPr>
                <w:rFonts w:ascii="Arial" w:hAnsi="Arial" w:cs="Arial"/>
                <w:color w:val="000000"/>
                <w:sz w:val="16"/>
                <w:szCs w:val="16"/>
              </w:rPr>
              <w:t>88 375 122</w:t>
            </w:r>
          </w:p>
        </w:tc>
        <w:tc>
          <w:tcPr>
            <w:tcW w:w="884" w:type="pct"/>
            <w:tcBorders>
              <w:top w:val="nil"/>
              <w:left w:val="nil"/>
              <w:bottom w:val="single" w:sz="8" w:space="0" w:color="auto"/>
              <w:right w:val="single" w:sz="8" w:space="0" w:color="auto"/>
            </w:tcBorders>
            <w:shd w:val="clear" w:color="auto" w:fill="auto"/>
            <w:noWrap/>
            <w:vAlign w:val="center"/>
            <w:hideMark/>
          </w:tcPr>
          <w:p w:rsidR="00AB1F4A" w:rsidRDefault="00AB1F4A">
            <w:pPr>
              <w:jc w:val="center"/>
              <w:rPr>
                <w:rFonts w:ascii="Arial" w:hAnsi="Arial" w:cs="Arial"/>
                <w:color w:val="000000"/>
                <w:sz w:val="16"/>
                <w:szCs w:val="16"/>
              </w:rPr>
            </w:pPr>
            <w:r>
              <w:rPr>
                <w:rFonts w:ascii="Arial" w:hAnsi="Arial" w:cs="Arial"/>
                <w:color w:val="000000"/>
                <w:sz w:val="16"/>
                <w:szCs w:val="16"/>
              </w:rPr>
              <w:t>54 464 264</w:t>
            </w:r>
          </w:p>
        </w:tc>
        <w:tc>
          <w:tcPr>
            <w:tcW w:w="842" w:type="pct"/>
            <w:tcBorders>
              <w:top w:val="nil"/>
              <w:left w:val="nil"/>
              <w:bottom w:val="single" w:sz="8" w:space="0" w:color="auto"/>
              <w:right w:val="single" w:sz="8" w:space="0" w:color="auto"/>
            </w:tcBorders>
            <w:shd w:val="clear" w:color="auto" w:fill="auto"/>
            <w:noWrap/>
            <w:vAlign w:val="center"/>
            <w:hideMark/>
          </w:tcPr>
          <w:p w:rsidR="00AB1F4A" w:rsidRDefault="00AB1F4A">
            <w:pPr>
              <w:jc w:val="center"/>
              <w:rPr>
                <w:rFonts w:ascii="Arial" w:hAnsi="Arial" w:cs="Arial"/>
                <w:color w:val="000000"/>
                <w:sz w:val="16"/>
                <w:szCs w:val="16"/>
              </w:rPr>
            </w:pPr>
            <w:r>
              <w:rPr>
                <w:rFonts w:ascii="Arial" w:hAnsi="Arial" w:cs="Arial"/>
                <w:color w:val="000000"/>
                <w:sz w:val="16"/>
                <w:szCs w:val="16"/>
              </w:rPr>
              <w:t>3 754 428</w:t>
            </w:r>
          </w:p>
        </w:tc>
      </w:tr>
      <w:tr w:rsidR="00AB1F4A" w:rsidTr="000B6E30">
        <w:trPr>
          <w:trHeight w:val="465"/>
        </w:trPr>
        <w:tc>
          <w:tcPr>
            <w:tcW w:w="901" w:type="pct"/>
            <w:tcBorders>
              <w:top w:val="nil"/>
              <w:left w:val="single" w:sz="8" w:space="0" w:color="auto"/>
              <w:bottom w:val="single" w:sz="8" w:space="0" w:color="auto"/>
              <w:right w:val="single" w:sz="8" w:space="0" w:color="auto"/>
            </w:tcBorders>
            <w:shd w:val="clear" w:color="auto" w:fill="auto"/>
            <w:vAlign w:val="center"/>
            <w:hideMark/>
          </w:tcPr>
          <w:p w:rsidR="00AB1F4A" w:rsidRDefault="00AB1F4A">
            <w:pPr>
              <w:rPr>
                <w:rFonts w:ascii="Arial" w:hAnsi="Arial" w:cs="Arial"/>
                <w:color w:val="000000"/>
                <w:sz w:val="16"/>
                <w:szCs w:val="16"/>
              </w:rPr>
            </w:pPr>
            <w:r>
              <w:rPr>
                <w:rFonts w:ascii="Arial" w:hAnsi="Arial" w:cs="Arial"/>
                <w:color w:val="000000"/>
                <w:sz w:val="16"/>
                <w:szCs w:val="16"/>
              </w:rPr>
              <w:t>52 - Podpora čistej mestskej dopravy</w:t>
            </w:r>
          </w:p>
        </w:tc>
        <w:tc>
          <w:tcPr>
            <w:tcW w:w="808" w:type="pct"/>
            <w:tcBorders>
              <w:top w:val="nil"/>
              <w:left w:val="nil"/>
              <w:bottom w:val="single" w:sz="8" w:space="0" w:color="auto"/>
              <w:right w:val="single" w:sz="8" w:space="0" w:color="auto"/>
            </w:tcBorders>
            <w:shd w:val="clear" w:color="auto" w:fill="auto"/>
            <w:noWrap/>
            <w:vAlign w:val="center"/>
            <w:hideMark/>
          </w:tcPr>
          <w:p w:rsidR="00AB1F4A" w:rsidRDefault="00AB1F4A">
            <w:pPr>
              <w:jc w:val="center"/>
              <w:rPr>
                <w:rFonts w:ascii="Arial" w:hAnsi="Arial" w:cs="Arial"/>
                <w:color w:val="000000"/>
                <w:sz w:val="16"/>
                <w:szCs w:val="16"/>
              </w:rPr>
            </w:pPr>
            <w:r>
              <w:rPr>
                <w:rFonts w:ascii="Arial" w:hAnsi="Arial" w:cs="Arial"/>
                <w:color w:val="000000"/>
                <w:sz w:val="16"/>
                <w:szCs w:val="16"/>
              </w:rPr>
              <w:t>113 747 334</w:t>
            </w:r>
          </w:p>
        </w:tc>
        <w:tc>
          <w:tcPr>
            <w:tcW w:w="731" w:type="pct"/>
            <w:tcBorders>
              <w:top w:val="nil"/>
              <w:left w:val="nil"/>
              <w:bottom w:val="single" w:sz="8" w:space="0" w:color="auto"/>
              <w:right w:val="single" w:sz="8" w:space="0" w:color="auto"/>
            </w:tcBorders>
            <w:shd w:val="clear" w:color="auto" w:fill="auto"/>
            <w:noWrap/>
            <w:vAlign w:val="center"/>
            <w:hideMark/>
          </w:tcPr>
          <w:p w:rsidR="00AB1F4A" w:rsidRDefault="00AB1F4A">
            <w:pPr>
              <w:jc w:val="center"/>
              <w:rPr>
                <w:rFonts w:ascii="Arial" w:hAnsi="Arial" w:cs="Arial"/>
                <w:color w:val="000000"/>
                <w:sz w:val="16"/>
                <w:szCs w:val="16"/>
              </w:rPr>
            </w:pPr>
            <w:r>
              <w:rPr>
                <w:rFonts w:ascii="Arial" w:hAnsi="Arial" w:cs="Arial"/>
                <w:color w:val="000000"/>
                <w:sz w:val="16"/>
                <w:szCs w:val="16"/>
              </w:rPr>
              <w:t>37 993 919</w:t>
            </w:r>
          </w:p>
        </w:tc>
        <w:tc>
          <w:tcPr>
            <w:tcW w:w="833" w:type="pct"/>
            <w:tcBorders>
              <w:top w:val="nil"/>
              <w:left w:val="nil"/>
              <w:bottom w:val="single" w:sz="8" w:space="0" w:color="auto"/>
              <w:right w:val="single" w:sz="8" w:space="0" w:color="auto"/>
            </w:tcBorders>
            <w:shd w:val="clear" w:color="auto" w:fill="auto"/>
            <w:noWrap/>
            <w:vAlign w:val="center"/>
            <w:hideMark/>
          </w:tcPr>
          <w:p w:rsidR="00AB1F4A" w:rsidRDefault="00AB1F4A">
            <w:pPr>
              <w:jc w:val="center"/>
              <w:rPr>
                <w:rFonts w:ascii="Arial" w:hAnsi="Arial" w:cs="Arial"/>
                <w:color w:val="000000"/>
                <w:sz w:val="16"/>
                <w:szCs w:val="16"/>
              </w:rPr>
            </w:pPr>
            <w:r>
              <w:rPr>
                <w:rFonts w:ascii="Arial" w:hAnsi="Arial" w:cs="Arial"/>
                <w:color w:val="000000"/>
                <w:sz w:val="16"/>
                <w:szCs w:val="16"/>
              </w:rPr>
              <w:t>37 993 919</w:t>
            </w:r>
          </w:p>
        </w:tc>
        <w:tc>
          <w:tcPr>
            <w:tcW w:w="884" w:type="pct"/>
            <w:tcBorders>
              <w:top w:val="nil"/>
              <w:left w:val="nil"/>
              <w:bottom w:val="single" w:sz="8" w:space="0" w:color="auto"/>
              <w:right w:val="single" w:sz="8" w:space="0" w:color="auto"/>
            </w:tcBorders>
            <w:shd w:val="clear" w:color="auto" w:fill="auto"/>
            <w:noWrap/>
            <w:vAlign w:val="center"/>
            <w:hideMark/>
          </w:tcPr>
          <w:p w:rsidR="00AB1F4A" w:rsidRDefault="00AB1F4A">
            <w:pPr>
              <w:jc w:val="center"/>
              <w:rPr>
                <w:rFonts w:ascii="Arial" w:hAnsi="Arial" w:cs="Arial"/>
                <w:color w:val="000000"/>
                <w:sz w:val="16"/>
                <w:szCs w:val="16"/>
              </w:rPr>
            </w:pPr>
            <w:r>
              <w:rPr>
                <w:rFonts w:ascii="Arial" w:hAnsi="Arial" w:cs="Arial"/>
                <w:color w:val="000000"/>
                <w:sz w:val="16"/>
                <w:szCs w:val="16"/>
              </w:rPr>
              <w:t>31 700 625</w:t>
            </w:r>
          </w:p>
        </w:tc>
        <w:tc>
          <w:tcPr>
            <w:tcW w:w="842" w:type="pct"/>
            <w:tcBorders>
              <w:top w:val="nil"/>
              <w:left w:val="nil"/>
              <w:bottom w:val="single" w:sz="8" w:space="0" w:color="auto"/>
              <w:right w:val="single" w:sz="8" w:space="0" w:color="auto"/>
            </w:tcBorders>
            <w:shd w:val="clear" w:color="auto" w:fill="auto"/>
            <w:noWrap/>
            <w:vAlign w:val="center"/>
            <w:hideMark/>
          </w:tcPr>
          <w:p w:rsidR="00AB1F4A" w:rsidRDefault="00AB1F4A">
            <w:pPr>
              <w:jc w:val="center"/>
              <w:rPr>
                <w:rFonts w:ascii="Arial" w:hAnsi="Arial" w:cs="Arial"/>
                <w:color w:val="000000"/>
                <w:sz w:val="16"/>
                <w:szCs w:val="16"/>
              </w:rPr>
            </w:pPr>
            <w:r>
              <w:rPr>
                <w:rFonts w:ascii="Arial" w:hAnsi="Arial" w:cs="Arial"/>
                <w:color w:val="000000"/>
                <w:sz w:val="16"/>
                <w:szCs w:val="16"/>
              </w:rPr>
              <w:t>0</w:t>
            </w:r>
          </w:p>
        </w:tc>
      </w:tr>
      <w:tr w:rsidR="00AB1F4A" w:rsidTr="000B6E30">
        <w:trPr>
          <w:trHeight w:val="915"/>
        </w:trPr>
        <w:tc>
          <w:tcPr>
            <w:tcW w:w="901" w:type="pct"/>
            <w:tcBorders>
              <w:top w:val="nil"/>
              <w:left w:val="single" w:sz="8" w:space="0" w:color="auto"/>
              <w:bottom w:val="single" w:sz="8" w:space="0" w:color="auto"/>
              <w:right w:val="single" w:sz="8" w:space="0" w:color="auto"/>
            </w:tcBorders>
            <w:shd w:val="clear" w:color="auto" w:fill="auto"/>
            <w:vAlign w:val="center"/>
            <w:hideMark/>
          </w:tcPr>
          <w:p w:rsidR="00AB1F4A" w:rsidRDefault="00AB1F4A">
            <w:pPr>
              <w:rPr>
                <w:rFonts w:ascii="Arial" w:hAnsi="Arial" w:cs="Arial"/>
                <w:color w:val="000000"/>
                <w:sz w:val="16"/>
                <w:szCs w:val="16"/>
              </w:rPr>
            </w:pPr>
            <w:r>
              <w:rPr>
                <w:rFonts w:ascii="Arial" w:hAnsi="Arial" w:cs="Arial"/>
                <w:color w:val="000000"/>
                <w:sz w:val="16"/>
                <w:szCs w:val="16"/>
              </w:rPr>
              <w:t>49 - Zmierňovanie klimatickej zmeny a prispôsobovanie sa klimatickej zmene</w:t>
            </w:r>
          </w:p>
        </w:tc>
        <w:tc>
          <w:tcPr>
            <w:tcW w:w="808" w:type="pct"/>
            <w:tcBorders>
              <w:top w:val="nil"/>
              <w:left w:val="nil"/>
              <w:bottom w:val="single" w:sz="8" w:space="0" w:color="auto"/>
              <w:right w:val="single" w:sz="8" w:space="0" w:color="auto"/>
            </w:tcBorders>
            <w:shd w:val="clear" w:color="auto" w:fill="auto"/>
            <w:noWrap/>
            <w:vAlign w:val="center"/>
            <w:hideMark/>
          </w:tcPr>
          <w:p w:rsidR="00AB1F4A" w:rsidRDefault="00AB1F4A">
            <w:pPr>
              <w:jc w:val="center"/>
              <w:rPr>
                <w:rFonts w:ascii="Arial" w:hAnsi="Arial" w:cs="Arial"/>
                <w:color w:val="000000"/>
                <w:sz w:val="16"/>
                <w:szCs w:val="16"/>
              </w:rPr>
            </w:pPr>
            <w:r>
              <w:rPr>
                <w:rFonts w:ascii="Arial" w:hAnsi="Arial" w:cs="Arial"/>
                <w:color w:val="000000"/>
                <w:sz w:val="16"/>
                <w:szCs w:val="16"/>
              </w:rPr>
              <w:t>166 011 816</w:t>
            </w:r>
          </w:p>
        </w:tc>
        <w:tc>
          <w:tcPr>
            <w:tcW w:w="731" w:type="pct"/>
            <w:tcBorders>
              <w:top w:val="nil"/>
              <w:left w:val="nil"/>
              <w:bottom w:val="single" w:sz="8" w:space="0" w:color="auto"/>
              <w:right w:val="single" w:sz="8" w:space="0" w:color="auto"/>
            </w:tcBorders>
            <w:shd w:val="clear" w:color="auto" w:fill="auto"/>
            <w:noWrap/>
            <w:vAlign w:val="center"/>
            <w:hideMark/>
          </w:tcPr>
          <w:p w:rsidR="00AB1F4A" w:rsidRDefault="00AB1F4A">
            <w:pPr>
              <w:jc w:val="center"/>
              <w:rPr>
                <w:rFonts w:ascii="Arial" w:hAnsi="Arial" w:cs="Arial"/>
                <w:color w:val="000000"/>
                <w:sz w:val="16"/>
                <w:szCs w:val="16"/>
              </w:rPr>
            </w:pPr>
            <w:r>
              <w:rPr>
                <w:rFonts w:ascii="Arial" w:hAnsi="Arial" w:cs="Arial"/>
                <w:color w:val="000000"/>
                <w:sz w:val="16"/>
                <w:szCs w:val="16"/>
              </w:rPr>
              <w:t>42 474 778</w:t>
            </w:r>
          </w:p>
        </w:tc>
        <w:tc>
          <w:tcPr>
            <w:tcW w:w="833" w:type="pct"/>
            <w:tcBorders>
              <w:top w:val="nil"/>
              <w:left w:val="nil"/>
              <w:bottom w:val="single" w:sz="8" w:space="0" w:color="auto"/>
              <w:right w:val="single" w:sz="8" w:space="0" w:color="auto"/>
            </w:tcBorders>
            <w:shd w:val="clear" w:color="auto" w:fill="auto"/>
            <w:noWrap/>
            <w:vAlign w:val="center"/>
            <w:hideMark/>
          </w:tcPr>
          <w:p w:rsidR="00AB1F4A" w:rsidRDefault="00AB1F4A">
            <w:pPr>
              <w:jc w:val="center"/>
              <w:rPr>
                <w:rFonts w:ascii="Arial" w:hAnsi="Arial" w:cs="Arial"/>
                <w:color w:val="000000"/>
                <w:sz w:val="16"/>
                <w:szCs w:val="16"/>
              </w:rPr>
            </w:pPr>
            <w:r>
              <w:rPr>
                <w:rFonts w:ascii="Arial" w:hAnsi="Arial" w:cs="Arial"/>
                <w:color w:val="000000"/>
                <w:sz w:val="16"/>
                <w:szCs w:val="16"/>
              </w:rPr>
              <w:t>37 595 770</w:t>
            </w:r>
          </w:p>
        </w:tc>
        <w:tc>
          <w:tcPr>
            <w:tcW w:w="884" w:type="pct"/>
            <w:tcBorders>
              <w:top w:val="nil"/>
              <w:left w:val="nil"/>
              <w:bottom w:val="single" w:sz="8" w:space="0" w:color="auto"/>
              <w:right w:val="single" w:sz="8" w:space="0" w:color="auto"/>
            </w:tcBorders>
            <w:shd w:val="clear" w:color="auto" w:fill="auto"/>
            <w:noWrap/>
            <w:vAlign w:val="center"/>
            <w:hideMark/>
          </w:tcPr>
          <w:p w:rsidR="00AB1F4A" w:rsidRDefault="00AB1F4A">
            <w:pPr>
              <w:jc w:val="center"/>
              <w:rPr>
                <w:rFonts w:ascii="Arial" w:hAnsi="Arial" w:cs="Arial"/>
                <w:color w:val="000000"/>
                <w:sz w:val="16"/>
                <w:szCs w:val="16"/>
              </w:rPr>
            </w:pPr>
            <w:r>
              <w:rPr>
                <w:rFonts w:ascii="Arial" w:hAnsi="Arial" w:cs="Arial"/>
                <w:color w:val="000000"/>
                <w:sz w:val="16"/>
                <w:szCs w:val="16"/>
              </w:rPr>
              <w:t>32 136 282</w:t>
            </w:r>
          </w:p>
        </w:tc>
        <w:tc>
          <w:tcPr>
            <w:tcW w:w="842" w:type="pct"/>
            <w:tcBorders>
              <w:top w:val="nil"/>
              <w:left w:val="nil"/>
              <w:bottom w:val="single" w:sz="8" w:space="0" w:color="auto"/>
              <w:right w:val="single" w:sz="8" w:space="0" w:color="auto"/>
            </w:tcBorders>
            <w:shd w:val="clear" w:color="auto" w:fill="auto"/>
            <w:noWrap/>
            <w:vAlign w:val="center"/>
            <w:hideMark/>
          </w:tcPr>
          <w:p w:rsidR="00AB1F4A" w:rsidRDefault="00AB1F4A">
            <w:pPr>
              <w:jc w:val="center"/>
              <w:rPr>
                <w:rFonts w:ascii="Arial" w:hAnsi="Arial" w:cs="Arial"/>
                <w:color w:val="000000"/>
                <w:sz w:val="16"/>
                <w:szCs w:val="16"/>
              </w:rPr>
            </w:pPr>
            <w:r>
              <w:rPr>
                <w:rFonts w:ascii="Arial" w:hAnsi="Arial" w:cs="Arial"/>
                <w:color w:val="000000"/>
                <w:sz w:val="16"/>
                <w:szCs w:val="16"/>
              </w:rPr>
              <w:t>4 813 057</w:t>
            </w:r>
          </w:p>
        </w:tc>
      </w:tr>
      <w:tr w:rsidR="00AB1F4A" w:rsidTr="000B6E30">
        <w:trPr>
          <w:trHeight w:val="315"/>
        </w:trPr>
        <w:tc>
          <w:tcPr>
            <w:tcW w:w="901" w:type="pct"/>
            <w:tcBorders>
              <w:top w:val="nil"/>
              <w:left w:val="single" w:sz="8" w:space="0" w:color="auto"/>
              <w:bottom w:val="single" w:sz="8" w:space="0" w:color="auto"/>
              <w:right w:val="single" w:sz="8" w:space="0" w:color="auto"/>
            </w:tcBorders>
            <w:shd w:val="clear" w:color="000000" w:fill="EAF1DD"/>
            <w:vAlign w:val="center"/>
            <w:hideMark/>
          </w:tcPr>
          <w:p w:rsidR="00AB1F4A" w:rsidRDefault="00AB1F4A">
            <w:pPr>
              <w:rPr>
                <w:rFonts w:ascii="Arial" w:hAnsi="Arial" w:cs="Arial"/>
                <w:b/>
                <w:bCs/>
                <w:color w:val="000000"/>
                <w:sz w:val="16"/>
                <w:szCs w:val="16"/>
              </w:rPr>
            </w:pPr>
            <w:r>
              <w:rPr>
                <w:rFonts w:ascii="Arial" w:hAnsi="Arial" w:cs="Arial"/>
                <w:b/>
                <w:bCs/>
                <w:color w:val="000000"/>
                <w:sz w:val="16"/>
                <w:szCs w:val="16"/>
              </w:rPr>
              <w:t>Celkom</w:t>
            </w:r>
          </w:p>
        </w:tc>
        <w:tc>
          <w:tcPr>
            <w:tcW w:w="808" w:type="pct"/>
            <w:tcBorders>
              <w:top w:val="nil"/>
              <w:left w:val="nil"/>
              <w:bottom w:val="single" w:sz="8" w:space="0" w:color="auto"/>
              <w:right w:val="single" w:sz="8" w:space="0" w:color="auto"/>
            </w:tcBorders>
            <w:shd w:val="clear" w:color="000000" w:fill="EAF1DD"/>
            <w:noWrap/>
            <w:vAlign w:val="center"/>
            <w:hideMark/>
          </w:tcPr>
          <w:p w:rsidR="00AB1F4A" w:rsidRDefault="00AB1F4A">
            <w:pPr>
              <w:jc w:val="center"/>
              <w:rPr>
                <w:rFonts w:ascii="Arial" w:hAnsi="Arial" w:cs="Arial"/>
                <w:b/>
                <w:bCs/>
                <w:color w:val="000000"/>
                <w:sz w:val="16"/>
                <w:szCs w:val="16"/>
              </w:rPr>
            </w:pPr>
            <w:r>
              <w:rPr>
                <w:rFonts w:ascii="Arial" w:hAnsi="Arial" w:cs="Arial"/>
                <w:b/>
                <w:bCs/>
                <w:color w:val="000000"/>
                <w:sz w:val="16"/>
                <w:szCs w:val="16"/>
              </w:rPr>
              <w:t>464 739 447</w:t>
            </w:r>
          </w:p>
        </w:tc>
        <w:tc>
          <w:tcPr>
            <w:tcW w:w="731" w:type="pct"/>
            <w:tcBorders>
              <w:top w:val="nil"/>
              <w:left w:val="nil"/>
              <w:bottom w:val="single" w:sz="8" w:space="0" w:color="auto"/>
              <w:right w:val="single" w:sz="8" w:space="0" w:color="auto"/>
            </w:tcBorders>
            <w:shd w:val="clear" w:color="000000" w:fill="EAF1DD"/>
            <w:noWrap/>
            <w:vAlign w:val="center"/>
            <w:hideMark/>
          </w:tcPr>
          <w:p w:rsidR="00AB1F4A" w:rsidRDefault="00AB1F4A">
            <w:pPr>
              <w:jc w:val="center"/>
              <w:rPr>
                <w:rFonts w:ascii="Arial" w:hAnsi="Arial" w:cs="Arial"/>
                <w:b/>
                <w:bCs/>
                <w:color w:val="000000"/>
                <w:sz w:val="16"/>
                <w:szCs w:val="16"/>
              </w:rPr>
            </w:pPr>
            <w:r>
              <w:rPr>
                <w:rFonts w:ascii="Arial" w:hAnsi="Arial" w:cs="Arial"/>
                <w:b/>
                <w:bCs/>
                <w:color w:val="000000"/>
                <w:sz w:val="16"/>
                <w:szCs w:val="16"/>
              </w:rPr>
              <w:t>172 598 248</w:t>
            </w:r>
          </w:p>
        </w:tc>
        <w:tc>
          <w:tcPr>
            <w:tcW w:w="833" w:type="pct"/>
            <w:tcBorders>
              <w:top w:val="nil"/>
              <w:left w:val="nil"/>
              <w:bottom w:val="single" w:sz="8" w:space="0" w:color="auto"/>
              <w:right w:val="single" w:sz="8" w:space="0" w:color="auto"/>
            </w:tcBorders>
            <w:shd w:val="clear" w:color="000000" w:fill="EAF1DD"/>
            <w:noWrap/>
            <w:vAlign w:val="center"/>
            <w:hideMark/>
          </w:tcPr>
          <w:p w:rsidR="00AB1F4A" w:rsidRDefault="00AB1F4A">
            <w:pPr>
              <w:jc w:val="center"/>
              <w:rPr>
                <w:rFonts w:ascii="Arial" w:hAnsi="Arial" w:cs="Arial"/>
                <w:b/>
                <w:bCs/>
                <w:color w:val="000000"/>
                <w:sz w:val="16"/>
                <w:szCs w:val="16"/>
              </w:rPr>
            </w:pPr>
            <w:r>
              <w:rPr>
                <w:rFonts w:ascii="Arial" w:hAnsi="Arial" w:cs="Arial"/>
                <w:b/>
                <w:bCs/>
                <w:color w:val="000000"/>
                <w:sz w:val="16"/>
                <w:szCs w:val="16"/>
              </w:rPr>
              <w:t>163 964 811</w:t>
            </w:r>
          </w:p>
        </w:tc>
        <w:tc>
          <w:tcPr>
            <w:tcW w:w="884" w:type="pct"/>
            <w:tcBorders>
              <w:top w:val="nil"/>
              <w:left w:val="nil"/>
              <w:bottom w:val="single" w:sz="8" w:space="0" w:color="auto"/>
              <w:right w:val="single" w:sz="8" w:space="0" w:color="auto"/>
            </w:tcBorders>
            <w:shd w:val="clear" w:color="000000" w:fill="EAF1DD"/>
            <w:noWrap/>
            <w:vAlign w:val="center"/>
            <w:hideMark/>
          </w:tcPr>
          <w:p w:rsidR="00AB1F4A" w:rsidRDefault="00AB1F4A">
            <w:pPr>
              <w:jc w:val="center"/>
              <w:rPr>
                <w:rFonts w:ascii="Arial" w:hAnsi="Arial" w:cs="Arial"/>
                <w:b/>
                <w:bCs/>
                <w:color w:val="000000"/>
                <w:sz w:val="16"/>
                <w:szCs w:val="16"/>
              </w:rPr>
            </w:pPr>
            <w:r>
              <w:rPr>
                <w:rFonts w:ascii="Arial" w:hAnsi="Arial" w:cs="Arial"/>
                <w:b/>
                <w:bCs/>
                <w:color w:val="000000"/>
                <w:sz w:val="16"/>
                <w:szCs w:val="16"/>
              </w:rPr>
              <w:t>118 301 171</w:t>
            </w:r>
          </w:p>
        </w:tc>
        <w:tc>
          <w:tcPr>
            <w:tcW w:w="842" w:type="pct"/>
            <w:tcBorders>
              <w:top w:val="nil"/>
              <w:left w:val="nil"/>
              <w:bottom w:val="single" w:sz="8" w:space="0" w:color="auto"/>
              <w:right w:val="single" w:sz="8" w:space="0" w:color="auto"/>
            </w:tcBorders>
            <w:shd w:val="clear" w:color="000000" w:fill="EAF1DD"/>
            <w:noWrap/>
            <w:vAlign w:val="center"/>
            <w:hideMark/>
          </w:tcPr>
          <w:p w:rsidR="00AB1F4A" w:rsidRDefault="00AB1F4A">
            <w:pPr>
              <w:jc w:val="center"/>
              <w:rPr>
                <w:rFonts w:ascii="Arial" w:hAnsi="Arial" w:cs="Arial"/>
                <w:b/>
                <w:bCs/>
                <w:color w:val="000000"/>
                <w:sz w:val="16"/>
                <w:szCs w:val="16"/>
              </w:rPr>
            </w:pPr>
            <w:r>
              <w:rPr>
                <w:rFonts w:ascii="Arial" w:hAnsi="Arial" w:cs="Arial"/>
                <w:b/>
                <w:bCs/>
                <w:color w:val="000000"/>
                <w:sz w:val="16"/>
                <w:szCs w:val="16"/>
              </w:rPr>
              <w:t>8 567 484</w:t>
            </w:r>
          </w:p>
        </w:tc>
      </w:tr>
    </w:tbl>
    <w:p w:rsidR="002416B1" w:rsidRPr="006A2BF3" w:rsidRDefault="00000CC9" w:rsidP="00205636">
      <w:pPr>
        <w:pStyle w:val="Zkladntextb"/>
        <w:spacing w:after="0" w:line="360" w:lineRule="auto"/>
        <w:ind w:left="0"/>
        <w:jc w:val="both"/>
        <w:rPr>
          <w:sz w:val="18"/>
          <w:szCs w:val="18"/>
          <w:lang w:val="sk-SK"/>
        </w:rPr>
      </w:pPr>
      <w:r>
        <w:rPr>
          <w:sz w:val="18"/>
          <w:szCs w:val="18"/>
          <w:lang w:val="sk-SK"/>
        </w:rPr>
        <w:t>Zdroj: RO, ITMS</w:t>
      </w:r>
    </w:p>
    <w:tbl>
      <w:tblPr>
        <w:tblW w:w="9229" w:type="dxa"/>
        <w:tblInd w:w="55" w:type="dxa"/>
        <w:tblCellMar>
          <w:left w:w="70" w:type="dxa"/>
          <w:right w:w="70" w:type="dxa"/>
        </w:tblCellMar>
        <w:tblLook w:val="04A0" w:firstRow="1" w:lastRow="0" w:firstColumn="1" w:lastColumn="0" w:noHBand="0" w:noVBand="1"/>
      </w:tblPr>
      <w:tblGrid>
        <w:gridCol w:w="9229"/>
      </w:tblGrid>
      <w:tr w:rsidR="002416B1" w:rsidRPr="00C42FC5" w:rsidTr="00FA2DAA">
        <w:trPr>
          <w:trHeight w:val="270"/>
        </w:trPr>
        <w:tc>
          <w:tcPr>
            <w:tcW w:w="9229" w:type="dxa"/>
            <w:noWrap/>
            <w:vAlign w:val="bottom"/>
          </w:tcPr>
          <w:p w:rsidR="002416B1" w:rsidRPr="00C42FC5" w:rsidRDefault="002416B1" w:rsidP="00205636">
            <w:pPr>
              <w:rPr>
                <w:rFonts w:ascii="Arial" w:hAnsi="Arial" w:cs="Arial"/>
                <w:i/>
                <w:iCs/>
                <w:sz w:val="16"/>
                <w:szCs w:val="16"/>
              </w:rPr>
            </w:pPr>
            <w:r w:rsidRPr="00C42FC5">
              <w:rPr>
                <w:rFonts w:ascii="Arial" w:hAnsi="Arial" w:cs="Arial"/>
                <w:b/>
                <w:bCs/>
                <w:i/>
                <w:iCs/>
                <w:sz w:val="16"/>
                <w:szCs w:val="16"/>
                <w:vertAlign w:val="superscript"/>
              </w:rPr>
              <w:t>1</w:t>
            </w:r>
            <w:r w:rsidRPr="00C42FC5">
              <w:rPr>
                <w:rFonts w:ascii="Arial" w:hAnsi="Arial" w:cs="Arial"/>
                <w:i/>
                <w:iCs/>
                <w:sz w:val="16"/>
                <w:szCs w:val="16"/>
                <w:vertAlign w:val="superscript"/>
              </w:rPr>
              <w:t xml:space="preserve"> </w:t>
            </w:r>
            <w:r w:rsidRPr="00C42FC5">
              <w:rPr>
                <w:rFonts w:ascii="Arial" w:hAnsi="Arial" w:cs="Arial"/>
                <w:i/>
                <w:iCs/>
                <w:sz w:val="16"/>
                <w:szCs w:val="16"/>
              </w:rPr>
              <w:t>Objem čerpaných prostriedkov NFP</w:t>
            </w:r>
          </w:p>
        </w:tc>
      </w:tr>
      <w:tr w:rsidR="00C67ED2" w:rsidRPr="00C42FC5" w:rsidTr="00C67ED2">
        <w:trPr>
          <w:trHeight w:val="270"/>
        </w:trPr>
        <w:tc>
          <w:tcPr>
            <w:tcW w:w="9229" w:type="dxa"/>
            <w:noWrap/>
            <w:vAlign w:val="bottom"/>
          </w:tcPr>
          <w:p w:rsidR="00C67ED2" w:rsidRPr="00C42FC5" w:rsidRDefault="00C67ED2" w:rsidP="00205636">
            <w:pPr>
              <w:rPr>
                <w:rFonts w:ascii="Arial" w:hAnsi="Arial" w:cs="Arial"/>
                <w:b/>
                <w:bCs/>
                <w:i/>
                <w:iCs/>
                <w:sz w:val="16"/>
                <w:szCs w:val="16"/>
                <w:vertAlign w:val="superscript"/>
              </w:rPr>
            </w:pPr>
            <w:bookmarkStart w:id="85" w:name="OLE_LINK5"/>
            <w:bookmarkStart w:id="86" w:name="OLE_LINK6"/>
            <w:r w:rsidRPr="000E6169">
              <w:rPr>
                <w:rFonts w:ascii="Arial" w:hAnsi="Arial" w:cs="Arial"/>
                <w:i/>
                <w:sz w:val="16"/>
                <w:szCs w:val="16"/>
              </w:rPr>
              <w:t>Údaje o zazmluvnených projektoch zahŕňajú projekty, ktoré mali k 31.12.201</w:t>
            </w:r>
            <w:r w:rsidR="001246DF">
              <w:rPr>
                <w:rFonts w:ascii="Arial" w:hAnsi="Arial" w:cs="Arial"/>
                <w:i/>
                <w:sz w:val="16"/>
                <w:szCs w:val="16"/>
              </w:rPr>
              <w:t>2</w:t>
            </w:r>
            <w:r w:rsidRPr="000E6169">
              <w:rPr>
                <w:rFonts w:ascii="Arial" w:hAnsi="Arial" w:cs="Arial"/>
                <w:i/>
                <w:sz w:val="16"/>
                <w:szCs w:val="16"/>
              </w:rPr>
              <w:t xml:space="preserve"> účinnú zmluvu o poskytnutí NFP a boli v realizácii alebo riadne ukončené. Údaje nezahŕňajú mimoriadne ukončené projekty.</w:t>
            </w:r>
            <w:bookmarkEnd w:id="85"/>
            <w:bookmarkEnd w:id="86"/>
          </w:p>
        </w:tc>
      </w:tr>
    </w:tbl>
    <w:p w:rsidR="000F48E2" w:rsidRPr="004B33AE" w:rsidRDefault="000F48E2" w:rsidP="00507035">
      <w:pPr>
        <w:pStyle w:val="Zkladntextb"/>
        <w:spacing w:before="120" w:after="120" w:line="360" w:lineRule="auto"/>
        <w:ind w:left="0"/>
        <w:jc w:val="both"/>
        <w:rPr>
          <w:lang w:val="sk-SK"/>
        </w:rPr>
      </w:pPr>
      <w:r w:rsidRPr="008B166F">
        <w:rPr>
          <w:lang w:val="sk-SK"/>
        </w:rPr>
        <w:t>Z </w:t>
      </w:r>
      <w:r w:rsidRPr="00B71586">
        <w:rPr>
          <w:lang w:val="sk-SK"/>
        </w:rPr>
        <w:t>85</w:t>
      </w:r>
      <w:r w:rsidRPr="008B166F">
        <w:rPr>
          <w:lang w:val="sk-SK"/>
        </w:rPr>
        <w:t xml:space="preserve"> ukončených projektov bol</w:t>
      </w:r>
      <w:r w:rsidRPr="00B71586">
        <w:rPr>
          <w:lang w:val="sk-SK"/>
        </w:rPr>
        <w:t>o</w:t>
      </w:r>
      <w:r w:rsidRPr="008B166F">
        <w:rPr>
          <w:lang w:val="sk-SK"/>
        </w:rPr>
        <w:t xml:space="preserve"> </w:t>
      </w:r>
      <w:r w:rsidRPr="00B71586">
        <w:rPr>
          <w:lang w:val="sk-SK"/>
        </w:rPr>
        <w:t>sedem</w:t>
      </w:r>
      <w:r w:rsidRPr="008B166F">
        <w:rPr>
          <w:lang w:val="sk-SK"/>
        </w:rPr>
        <w:t xml:space="preserve"> mimoriadne ukončen</w:t>
      </w:r>
      <w:r w:rsidRPr="00B71586">
        <w:rPr>
          <w:lang w:val="sk-SK"/>
        </w:rPr>
        <w:t>ých projektov</w:t>
      </w:r>
      <w:r w:rsidRPr="008B166F">
        <w:rPr>
          <w:lang w:val="sk-SK"/>
        </w:rPr>
        <w:t>, a to najmä z dôvodu nepreukázania schopnosti spolufinancovania projektu</w:t>
      </w:r>
      <w:r w:rsidR="008A49B4">
        <w:rPr>
          <w:lang w:val="sk-SK"/>
        </w:rPr>
        <w:t xml:space="preserve"> zo strany prijímateľa</w:t>
      </w:r>
      <w:r w:rsidRPr="008B166F">
        <w:rPr>
          <w:lang w:val="sk-SK"/>
        </w:rPr>
        <w:t>.</w:t>
      </w:r>
    </w:p>
    <w:p w:rsidR="002416B1" w:rsidRPr="004B33AE" w:rsidRDefault="002416B1" w:rsidP="00507035">
      <w:pPr>
        <w:pStyle w:val="Zkladntextb"/>
        <w:spacing w:before="120" w:after="120" w:line="360" w:lineRule="auto"/>
        <w:ind w:left="0"/>
        <w:jc w:val="both"/>
        <w:rPr>
          <w:lang w:val="sk-SK"/>
        </w:rPr>
      </w:pPr>
      <w:r w:rsidRPr="004B33AE">
        <w:rPr>
          <w:lang w:val="sk-SK"/>
        </w:rPr>
        <w:t>Podrobný popis dôvodov neschválenia žiadostí v rámci jednotlivých výziev posudzovaných v roku 201</w:t>
      </w:r>
      <w:r w:rsidR="001246DF">
        <w:rPr>
          <w:lang w:val="sk-SK"/>
        </w:rPr>
        <w:t>2</w:t>
      </w:r>
      <w:r w:rsidRPr="004B33AE">
        <w:rPr>
          <w:lang w:val="sk-SK"/>
        </w:rPr>
        <w:t xml:space="preserve"> je uvedený </w:t>
      </w:r>
      <w:bookmarkStart w:id="87" w:name="OLE_LINK24"/>
      <w:bookmarkStart w:id="88" w:name="OLE_LINK25"/>
      <w:r w:rsidRPr="004B33AE">
        <w:rPr>
          <w:lang w:val="sk-SK"/>
        </w:rPr>
        <w:t>v kapitole 2.1.1 správy, v časti Dôvody neschválenia a vylúčenia žiadostí o NFP a vykonané opatrenia na predchádzanie pred opakovaním identifikovaných nedostatkov.</w:t>
      </w:r>
      <w:bookmarkEnd w:id="87"/>
      <w:bookmarkEnd w:id="88"/>
      <w:r w:rsidRPr="004B33AE">
        <w:rPr>
          <w:lang w:val="sk-SK"/>
        </w:rPr>
        <w:t xml:space="preserve"> </w:t>
      </w:r>
    </w:p>
    <w:p w:rsidR="002416B1" w:rsidRPr="00BA1A4F" w:rsidRDefault="002416B1" w:rsidP="00507035">
      <w:pPr>
        <w:spacing w:before="120" w:after="120" w:line="360" w:lineRule="auto"/>
        <w:jc w:val="both"/>
        <w:rPr>
          <w:rFonts w:ascii="Arial" w:hAnsi="Arial" w:cs="Arial"/>
          <w:sz w:val="20"/>
          <w:szCs w:val="20"/>
        </w:rPr>
      </w:pPr>
      <w:r w:rsidRPr="000C481D">
        <w:rPr>
          <w:rFonts w:ascii="Arial" w:hAnsi="Arial" w:cs="Arial"/>
          <w:sz w:val="20"/>
          <w:szCs w:val="20"/>
        </w:rPr>
        <w:t xml:space="preserve">Zoznam schválených projektov s objemom </w:t>
      </w:r>
      <w:r w:rsidRPr="00BA1A4F">
        <w:rPr>
          <w:rFonts w:ascii="Arial" w:hAnsi="Arial" w:cs="Arial"/>
          <w:sz w:val="20"/>
          <w:szCs w:val="20"/>
        </w:rPr>
        <w:t>zazmluvnených prostriedkov k 31.12.201</w:t>
      </w:r>
      <w:r w:rsidR="001246DF" w:rsidRPr="007818E6">
        <w:rPr>
          <w:rFonts w:ascii="Arial" w:hAnsi="Arial" w:cs="Arial"/>
          <w:sz w:val="20"/>
          <w:szCs w:val="20"/>
        </w:rPr>
        <w:t>2</w:t>
      </w:r>
      <w:r w:rsidRPr="00BA1A4F">
        <w:rPr>
          <w:rFonts w:ascii="Arial" w:hAnsi="Arial" w:cs="Arial"/>
          <w:sz w:val="20"/>
          <w:szCs w:val="20"/>
        </w:rPr>
        <w:t xml:space="preserve"> je zverejnený na </w:t>
      </w:r>
      <w:r w:rsidR="00091E84" w:rsidRPr="00BA1A4F">
        <w:rPr>
          <w:rFonts w:ascii="Arial" w:hAnsi="Arial" w:cs="Arial"/>
          <w:sz w:val="20"/>
          <w:szCs w:val="20"/>
        </w:rPr>
        <w:t>webovom sídle</w:t>
      </w:r>
      <w:r w:rsidRPr="00BA1A4F">
        <w:rPr>
          <w:rFonts w:ascii="Arial" w:hAnsi="Arial" w:cs="Arial"/>
          <w:sz w:val="20"/>
          <w:szCs w:val="20"/>
        </w:rPr>
        <w:t xml:space="preserve"> </w:t>
      </w:r>
      <w:hyperlink r:id="rId44" w:history="1">
        <w:r w:rsidRPr="00BA1A4F">
          <w:rPr>
            <w:rStyle w:val="Hypertextovprepojenie"/>
            <w:rFonts w:ascii="Arial" w:hAnsi="Arial" w:cs="Arial"/>
            <w:sz w:val="20"/>
            <w:szCs w:val="20"/>
          </w:rPr>
          <w:t>http://www.opzp.sk/projekty/zoznam-prijimatelov/</w:t>
        </w:r>
      </w:hyperlink>
      <w:r w:rsidRPr="00BA1A4F">
        <w:rPr>
          <w:rFonts w:ascii="Arial" w:hAnsi="Arial" w:cs="Arial"/>
          <w:sz w:val="20"/>
          <w:szCs w:val="20"/>
        </w:rPr>
        <w:t xml:space="preserve"> </w:t>
      </w:r>
      <w:r w:rsidR="007D7EAE" w:rsidRPr="00BA1A4F">
        <w:rPr>
          <w:rFonts w:ascii="Arial" w:hAnsi="Arial" w:cs="Arial"/>
          <w:sz w:val="20"/>
          <w:szCs w:val="20"/>
        </w:rPr>
        <w:t>a taktiež zoznam schválených projektov s uvedením stavu k 31.12.201</w:t>
      </w:r>
      <w:r w:rsidR="001246DF" w:rsidRPr="00BA1A4F">
        <w:rPr>
          <w:rFonts w:ascii="Arial" w:hAnsi="Arial" w:cs="Arial"/>
          <w:sz w:val="20"/>
          <w:szCs w:val="20"/>
        </w:rPr>
        <w:t>2</w:t>
      </w:r>
      <w:r w:rsidR="007D7EAE" w:rsidRPr="00BA1A4F">
        <w:rPr>
          <w:rFonts w:ascii="Arial" w:hAnsi="Arial" w:cs="Arial"/>
          <w:sz w:val="20"/>
          <w:szCs w:val="20"/>
        </w:rPr>
        <w:t xml:space="preserve"> je súčasťou Prílohy č. 9 výročnej správy.</w:t>
      </w:r>
    </w:p>
    <w:p w:rsidR="002416B1" w:rsidRPr="00BA1A4F" w:rsidRDefault="002416B1" w:rsidP="00507035">
      <w:pPr>
        <w:pStyle w:val="Zkladntextb"/>
        <w:spacing w:before="120" w:after="120" w:line="360" w:lineRule="auto"/>
        <w:ind w:left="0"/>
        <w:rPr>
          <w:b/>
          <w:lang w:val="sk-SK"/>
        </w:rPr>
      </w:pPr>
      <w:r w:rsidRPr="00BA1A4F">
        <w:rPr>
          <w:b/>
          <w:lang w:val="sk-SK"/>
        </w:rPr>
        <w:t>Plnenie fyzických ukazovateľov</w:t>
      </w:r>
    </w:p>
    <w:p w:rsidR="002416B1" w:rsidRPr="004B33AE" w:rsidRDefault="002416B1" w:rsidP="00507035">
      <w:pPr>
        <w:pStyle w:val="Zkladntextb"/>
        <w:spacing w:before="120" w:after="120" w:line="360" w:lineRule="auto"/>
        <w:ind w:left="0"/>
        <w:jc w:val="both"/>
        <w:rPr>
          <w:lang w:val="sk-SK"/>
        </w:rPr>
      </w:pPr>
      <w:r w:rsidRPr="00BA1A4F">
        <w:rPr>
          <w:lang w:val="sk-SK"/>
        </w:rPr>
        <w:t>Plnenie ukazovateľov v rámci prioritnej osi 3 je uvedené v Prílohe č. 2.</w:t>
      </w:r>
      <w:r w:rsidRPr="00BA1A4F">
        <w:rPr>
          <w:rFonts w:ascii="Times New Roman" w:hAnsi="Times New Roman" w:cs="Arial"/>
          <w:sz w:val="24"/>
          <w:szCs w:val="24"/>
          <w:lang w:val="sk-SK"/>
        </w:rPr>
        <w:t xml:space="preserve"> </w:t>
      </w:r>
      <w:r w:rsidRPr="00BA1A4F">
        <w:rPr>
          <w:lang w:val="sk-SK"/>
        </w:rPr>
        <w:t>ktorá je okrem aktuálneho napĺňania ukazovateľov za jednotlivé roky doplnená taktiež o deklarované cieľové hodnoty projektov v zmysle uzatvorených zmlúv o NFP k 31.12.201</w:t>
      </w:r>
      <w:r w:rsidR="00723D48" w:rsidRPr="00BA1A4F">
        <w:rPr>
          <w:lang w:val="sk-SK"/>
        </w:rPr>
        <w:t>2</w:t>
      </w:r>
      <w:r w:rsidRPr="00BA1A4F">
        <w:rPr>
          <w:lang w:val="sk-SK"/>
        </w:rPr>
        <w:t xml:space="preserve">. </w:t>
      </w:r>
      <w:r w:rsidR="00D93B85" w:rsidRPr="00BA1A4F">
        <w:rPr>
          <w:lang w:val="sk-SK"/>
        </w:rPr>
        <w:t xml:space="preserve">Zoznam </w:t>
      </w:r>
      <w:r w:rsidR="008F2A89" w:rsidRPr="00BA1A4F">
        <w:rPr>
          <w:lang w:val="sk-SK"/>
        </w:rPr>
        <w:t>CORE</w:t>
      </w:r>
      <w:r w:rsidR="00D93B85" w:rsidRPr="00BA1A4F">
        <w:rPr>
          <w:lang w:val="sk-SK"/>
        </w:rPr>
        <w:t xml:space="preserve"> ukazovateľov reportovaných EK prostredníctvom SFC2007 v rámci Výročnej správy o vykonávaní OP ŽP za rok 201</w:t>
      </w:r>
      <w:r w:rsidR="00723D48" w:rsidRPr="00BA1A4F">
        <w:rPr>
          <w:lang w:val="sk-SK"/>
        </w:rPr>
        <w:t>2</w:t>
      </w:r>
      <w:r w:rsidR="00D93B85" w:rsidRPr="00BA1A4F">
        <w:rPr>
          <w:lang w:val="sk-SK"/>
        </w:rPr>
        <w:t xml:space="preserve"> je súčasťou Prílohy č. 11.</w:t>
      </w:r>
    </w:p>
    <w:p w:rsidR="002416B1" w:rsidRPr="004B33AE" w:rsidRDefault="002416B1" w:rsidP="00507035">
      <w:pPr>
        <w:pStyle w:val="Zkladntextb"/>
        <w:spacing w:before="120" w:after="120" w:line="360" w:lineRule="auto"/>
        <w:ind w:left="0"/>
        <w:jc w:val="both"/>
        <w:rPr>
          <w:lang w:val="sk-SK"/>
        </w:rPr>
      </w:pPr>
      <w:r w:rsidRPr="00204A8D">
        <w:rPr>
          <w:lang w:val="sk-SK"/>
        </w:rPr>
        <w:t xml:space="preserve">Ukazovatele boli vyhodnotené na základe </w:t>
      </w:r>
      <w:r w:rsidR="00194C45">
        <w:rPr>
          <w:lang w:val="sk-SK"/>
        </w:rPr>
        <w:t>doručených</w:t>
      </w:r>
      <w:r w:rsidR="00194C45" w:rsidRPr="00204A8D">
        <w:rPr>
          <w:lang w:val="sk-SK"/>
        </w:rPr>
        <w:t xml:space="preserve"> </w:t>
      </w:r>
      <w:r w:rsidRPr="00204A8D">
        <w:rPr>
          <w:lang w:val="sk-SK"/>
        </w:rPr>
        <w:t>monitorovacích správ projektu od žiadateľov tak, ako im to vyplýva zo zmluvy o poskytnutí nenávratného finančného príspevku. V rámci prioritnej osi 3 bolo za sledované obdobie roka 201</w:t>
      </w:r>
      <w:r w:rsidR="00204A8D" w:rsidRPr="0039268C">
        <w:rPr>
          <w:lang w:val="sk-SK"/>
        </w:rPr>
        <w:t>2</w:t>
      </w:r>
      <w:r w:rsidRPr="00204A8D">
        <w:rPr>
          <w:lang w:val="sk-SK"/>
        </w:rPr>
        <w:t xml:space="preserve"> na riadiaci orgán doručených </w:t>
      </w:r>
      <w:r w:rsidR="00204A8D" w:rsidRPr="0039268C">
        <w:rPr>
          <w:lang w:val="sk-SK"/>
        </w:rPr>
        <w:t xml:space="preserve">97 </w:t>
      </w:r>
      <w:r w:rsidRPr="00204A8D">
        <w:rPr>
          <w:lang w:val="sk-SK"/>
        </w:rPr>
        <w:t xml:space="preserve">monitorovacích správ projektu, z toho </w:t>
      </w:r>
      <w:r w:rsidR="00204A8D" w:rsidRPr="0039268C">
        <w:rPr>
          <w:lang w:val="sk-SK"/>
        </w:rPr>
        <w:t xml:space="preserve">35 </w:t>
      </w:r>
      <w:r w:rsidRPr="00204A8D">
        <w:rPr>
          <w:lang w:val="sk-SK"/>
        </w:rPr>
        <w:t xml:space="preserve">priebežných, </w:t>
      </w:r>
      <w:r w:rsidR="00204A8D" w:rsidRPr="0039268C">
        <w:rPr>
          <w:lang w:val="sk-SK"/>
        </w:rPr>
        <w:t xml:space="preserve">33 </w:t>
      </w:r>
      <w:r w:rsidRPr="00204A8D">
        <w:rPr>
          <w:lang w:val="sk-SK"/>
        </w:rPr>
        <w:t>záverečných a </w:t>
      </w:r>
      <w:r w:rsidR="00204A8D" w:rsidRPr="0039268C">
        <w:rPr>
          <w:lang w:val="sk-SK"/>
        </w:rPr>
        <w:t>2</w:t>
      </w:r>
      <w:r w:rsidRPr="00204A8D">
        <w:rPr>
          <w:lang w:val="sk-SK"/>
        </w:rPr>
        <w:t>9 následných.</w:t>
      </w:r>
      <w:r w:rsidRPr="004B33AE">
        <w:rPr>
          <w:lang w:val="sk-SK"/>
        </w:rPr>
        <w:t xml:space="preserve"> K 31.12.201</w:t>
      </w:r>
      <w:r w:rsidR="00723D48">
        <w:rPr>
          <w:lang w:val="sk-SK"/>
        </w:rPr>
        <w:t>2</w:t>
      </w:r>
      <w:r w:rsidRPr="004B33AE">
        <w:rPr>
          <w:lang w:val="sk-SK"/>
        </w:rPr>
        <w:t xml:space="preserve"> bolo vďaka realizácii projektov s príspevkom z OP ŽP podporených </w:t>
      </w:r>
      <w:r w:rsidR="00A03CA3">
        <w:rPr>
          <w:lang w:val="sk-SK"/>
        </w:rPr>
        <w:t>29</w:t>
      </w:r>
      <w:r w:rsidR="00A03CA3" w:rsidRPr="004B33AE">
        <w:rPr>
          <w:lang w:val="sk-SK"/>
        </w:rPr>
        <w:t xml:space="preserve"> </w:t>
      </w:r>
      <w:r w:rsidR="0098645F">
        <w:rPr>
          <w:lang w:val="sk-SK"/>
        </w:rPr>
        <w:t xml:space="preserve"> oprávnených </w:t>
      </w:r>
      <w:r w:rsidRPr="004B33AE">
        <w:rPr>
          <w:lang w:val="sk-SK"/>
        </w:rPr>
        <w:t xml:space="preserve">aktivít zameraných na znižovanie znečisťovania ovzdušia a podporených štúdií a analýz, </w:t>
      </w:r>
      <w:r>
        <w:rPr>
          <w:lang w:val="sk-SK"/>
        </w:rPr>
        <w:t xml:space="preserve">čo predstavuje takmer </w:t>
      </w:r>
      <w:r w:rsidR="0098645F">
        <w:rPr>
          <w:lang w:val="sk-SK"/>
        </w:rPr>
        <w:t xml:space="preserve">100 </w:t>
      </w:r>
      <w:r>
        <w:rPr>
          <w:lang w:val="sk-SK"/>
        </w:rPr>
        <w:t>%</w:t>
      </w:r>
      <w:r w:rsidRPr="004B33AE">
        <w:rPr>
          <w:lang w:val="sk-SK"/>
        </w:rPr>
        <w:t> plánovan</w:t>
      </w:r>
      <w:r>
        <w:rPr>
          <w:lang w:val="sk-SK"/>
        </w:rPr>
        <w:t>ej</w:t>
      </w:r>
      <w:r w:rsidRPr="004B33AE">
        <w:rPr>
          <w:lang w:val="sk-SK"/>
        </w:rPr>
        <w:t xml:space="preserve"> cieľov</w:t>
      </w:r>
      <w:r>
        <w:rPr>
          <w:lang w:val="sk-SK"/>
        </w:rPr>
        <w:t>ej</w:t>
      </w:r>
      <w:r w:rsidRPr="004B33AE">
        <w:rPr>
          <w:lang w:val="sk-SK"/>
        </w:rPr>
        <w:t xml:space="preserve"> hodnot</w:t>
      </w:r>
      <w:r>
        <w:rPr>
          <w:lang w:val="sk-SK"/>
        </w:rPr>
        <w:t>y</w:t>
      </w:r>
      <w:r w:rsidRPr="004B33AE">
        <w:rPr>
          <w:lang w:val="sk-SK"/>
        </w:rPr>
        <w:t xml:space="preserve"> na rok 2015</w:t>
      </w:r>
      <w:r w:rsidR="00A03CA3">
        <w:rPr>
          <w:lang w:val="sk-SK"/>
        </w:rPr>
        <w:t xml:space="preserve"> podľa OP</w:t>
      </w:r>
      <w:r w:rsidRPr="004B33AE">
        <w:rPr>
          <w:lang w:val="sk-SK"/>
        </w:rPr>
        <w:t xml:space="preserve">, zmodernizovaných a novo nainštalovaných </w:t>
      </w:r>
      <w:r>
        <w:rPr>
          <w:lang w:val="sk-SK"/>
        </w:rPr>
        <w:t>27</w:t>
      </w:r>
      <w:r w:rsidRPr="004B33AE">
        <w:rPr>
          <w:lang w:val="sk-SK"/>
        </w:rPr>
        <w:t xml:space="preserve"> staníc Národnej monitorovacej siete kvality ovzdušia, čo prekračuje z plánovaný počet ku koncu roka 2015. </w:t>
      </w:r>
    </w:p>
    <w:p w:rsidR="00FB5076" w:rsidRPr="00FA2DAA" w:rsidRDefault="002416B1" w:rsidP="00507035">
      <w:pPr>
        <w:pStyle w:val="Zkladntextb"/>
        <w:spacing w:before="120" w:after="120" w:line="360" w:lineRule="auto"/>
        <w:ind w:left="0"/>
        <w:jc w:val="both"/>
        <w:rPr>
          <w:lang w:val="sk-SK"/>
        </w:rPr>
      </w:pPr>
      <w:r w:rsidRPr="00FA2DAA">
        <w:rPr>
          <w:lang w:val="sk-SK"/>
        </w:rPr>
        <w:t xml:space="preserve">V rámci monitorovania </w:t>
      </w:r>
      <w:r w:rsidR="008F2A89">
        <w:rPr>
          <w:lang w:val="sk-SK"/>
        </w:rPr>
        <w:t>CORE</w:t>
      </w:r>
      <w:r w:rsidRPr="00FA2DAA">
        <w:rPr>
          <w:lang w:val="sk-SK"/>
        </w:rPr>
        <w:t xml:space="preserve"> ukazovateľov možno uviesť, že realizáciou projektov v rámci prioritnej osi bolo podporených </w:t>
      </w:r>
      <w:r w:rsidR="00EA6471" w:rsidRPr="00FA2DAA">
        <w:rPr>
          <w:lang w:val="sk-SK"/>
        </w:rPr>
        <w:t>3</w:t>
      </w:r>
      <w:r w:rsidR="00EA6471">
        <w:rPr>
          <w:lang w:val="sk-SK"/>
        </w:rPr>
        <w:t>2</w:t>
      </w:r>
      <w:r w:rsidR="00EA6471" w:rsidRPr="00FA2DAA">
        <w:rPr>
          <w:lang w:val="sk-SK"/>
        </w:rPr>
        <w:t xml:space="preserve"> </w:t>
      </w:r>
      <w:r w:rsidRPr="00FA2DAA">
        <w:rPr>
          <w:lang w:val="sk-SK"/>
        </w:rPr>
        <w:t>projektov zameraných na obnoviteľné zdroje energie</w:t>
      </w:r>
      <w:r w:rsidR="00FE08D0" w:rsidRPr="00FA2DAA">
        <w:rPr>
          <w:lang w:val="sk-SK"/>
        </w:rPr>
        <w:t>.</w:t>
      </w:r>
      <w:r w:rsidRPr="00FA2DAA">
        <w:rPr>
          <w:lang w:val="sk-SK"/>
        </w:rPr>
        <w:t xml:space="preserve"> </w:t>
      </w:r>
    </w:p>
    <w:p w:rsidR="00FB5076" w:rsidRDefault="00CC326C" w:rsidP="00507035">
      <w:pPr>
        <w:pStyle w:val="Zkladntextb"/>
        <w:spacing w:before="120" w:after="120" w:line="360" w:lineRule="auto"/>
        <w:ind w:left="0"/>
        <w:jc w:val="both"/>
        <w:rPr>
          <w:lang w:val="sk-SK"/>
        </w:rPr>
      </w:pPr>
      <w:r w:rsidRPr="00FA2DAA">
        <w:rPr>
          <w:lang w:val="sk-SK"/>
        </w:rPr>
        <w:t xml:space="preserve">Celkovo na zlepšenie kvality ovzdušia bolo podporených </w:t>
      </w:r>
      <w:r w:rsidR="00EA6471" w:rsidRPr="00FA2DAA">
        <w:rPr>
          <w:lang w:val="sk-SK"/>
        </w:rPr>
        <w:t>10</w:t>
      </w:r>
      <w:r w:rsidR="00EA6471">
        <w:rPr>
          <w:lang w:val="sk-SK"/>
        </w:rPr>
        <w:t>2</w:t>
      </w:r>
      <w:r w:rsidR="00EA6471" w:rsidRPr="00FA2DAA">
        <w:rPr>
          <w:lang w:val="sk-SK"/>
        </w:rPr>
        <w:t xml:space="preserve"> </w:t>
      </w:r>
      <w:r w:rsidRPr="00FA2DAA">
        <w:rPr>
          <w:lang w:val="sk-SK"/>
        </w:rPr>
        <w:t>projektov.</w:t>
      </w:r>
      <w:r w:rsidR="002416B1" w:rsidRPr="004B33AE">
        <w:rPr>
          <w:lang w:val="sk-SK"/>
        </w:rPr>
        <w:t xml:space="preserve"> </w:t>
      </w:r>
    </w:p>
    <w:p w:rsidR="002416B1" w:rsidRPr="004B33AE" w:rsidRDefault="008F2A89" w:rsidP="00507035">
      <w:pPr>
        <w:pStyle w:val="Zkladntextb"/>
        <w:spacing w:before="120" w:after="120" w:line="360" w:lineRule="auto"/>
        <w:ind w:left="0"/>
        <w:jc w:val="both"/>
        <w:rPr>
          <w:lang w:val="sk-SK"/>
        </w:rPr>
      </w:pPr>
      <w:r>
        <w:rPr>
          <w:lang w:val="sk-SK"/>
        </w:rPr>
        <w:t>CORE</w:t>
      </w:r>
      <w:r w:rsidR="002416B1" w:rsidRPr="004B33AE">
        <w:rPr>
          <w:lang w:val="sk-SK"/>
        </w:rPr>
        <w:t xml:space="preserve"> ukazovateľ Počet novovytvorených pracovných miest vykazuje k 31.12.201</w:t>
      </w:r>
      <w:r w:rsidR="00EA6471">
        <w:rPr>
          <w:lang w:val="sk-SK"/>
        </w:rPr>
        <w:t>2</w:t>
      </w:r>
      <w:r w:rsidR="002416B1" w:rsidRPr="004B33AE">
        <w:rPr>
          <w:lang w:val="sk-SK"/>
        </w:rPr>
        <w:t xml:space="preserve"> hodnotu </w:t>
      </w:r>
      <w:r w:rsidR="00EA6471">
        <w:rPr>
          <w:lang w:val="sk-SK"/>
        </w:rPr>
        <w:t>5</w:t>
      </w:r>
      <w:r w:rsidR="00AF5B9B">
        <w:rPr>
          <w:lang w:val="sk-SK"/>
        </w:rPr>
        <w:t xml:space="preserve"> </w:t>
      </w:r>
      <w:r w:rsidR="00A25C22">
        <w:rPr>
          <w:lang w:val="sk-SK"/>
        </w:rPr>
        <w:t xml:space="preserve">Dosiahnutá hodnota </w:t>
      </w:r>
      <w:r w:rsidR="00AF5B9B">
        <w:rPr>
          <w:lang w:val="sk-SK"/>
        </w:rPr>
        <w:t xml:space="preserve">meraného ukazovateľa </w:t>
      </w:r>
      <w:r w:rsidR="00B41AB0">
        <w:rPr>
          <w:lang w:val="sk-SK"/>
        </w:rPr>
        <w:t>vyplýva aj zo skutočnosti, že OP ŽP nie je primárne zameraný na podporu vytvárania pracovných miest. Rozdiel oproti plánovanej hodnote súvisí s menším dopytom zo strany veľkých podnikov, ktoré predstavujú najväčší potenciál pre vytváranie pracovných miest</w:t>
      </w:r>
      <w:r w:rsidR="00AF5B9B">
        <w:rPr>
          <w:lang w:val="sk-SK"/>
        </w:rPr>
        <w:t>,</w:t>
      </w:r>
      <w:r w:rsidR="00B41AB0">
        <w:rPr>
          <w:lang w:val="sk-SK"/>
        </w:rPr>
        <w:t xml:space="preserve"> avšak vzťahujú sa na ne väčšie obmedzenia vyplývajúce z pravidiel pre poskytovanie štátnej pomoci. Nakoľko RO v roku 2013 plánuje vyhlásiť ďalšie výzvy v rámci PO3, predpokladá sa ďalšie navýšenie hodnoty meraného ukazovateľa.</w:t>
      </w:r>
    </w:p>
    <w:p w:rsidR="002416B1" w:rsidRPr="004B33AE" w:rsidRDefault="002416B1" w:rsidP="00507035">
      <w:pPr>
        <w:autoSpaceDE w:val="0"/>
        <w:autoSpaceDN w:val="0"/>
        <w:adjustRightInd w:val="0"/>
        <w:spacing w:before="120" w:after="120" w:line="360" w:lineRule="auto"/>
        <w:jc w:val="both"/>
        <w:rPr>
          <w:rFonts w:ascii="Arial" w:hAnsi="Arial"/>
          <w:sz w:val="20"/>
          <w:szCs w:val="20"/>
          <w:highlight w:val="cyan"/>
        </w:rPr>
      </w:pPr>
      <w:r w:rsidRPr="004B33AE">
        <w:rPr>
          <w:rFonts w:ascii="Arial" w:hAnsi="Arial"/>
          <w:sz w:val="20"/>
          <w:szCs w:val="20"/>
        </w:rPr>
        <w:t>Prostredníctvom vybraných merateľných ukazovateľov sa sleduje príspevok realizovaných projektov k napĺňaniu cieľov programu, najmä špecifického cieľa prioritnej osi č. 3, ktorým je znižovanie emisií základných a ostatných znečisťujúcich látok a minimalizácia nepriaznivých vplyvov zmeny klímy vrátane podpory obnoviteľných zdrojov energie v súlade s legislatívou EÚ a SR. Tento cieľ priamo nadväzuje na ciele definované</w:t>
      </w:r>
      <w:r>
        <w:rPr>
          <w:rFonts w:ascii="Arial" w:hAnsi="Arial"/>
          <w:sz w:val="20"/>
          <w:szCs w:val="20"/>
        </w:rPr>
        <w:t xml:space="preserve"> </w:t>
      </w:r>
      <w:r w:rsidRPr="004B33AE">
        <w:rPr>
          <w:rFonts w:ascii="Arial" w:hAnsi="Arial"/>
          <w:sz w:val="20"/>
          <w:szCs w:val="20"/>
        </w:rPr>
        <w:t>v Tematickej stratégii pre znečistenie ovzdušia, v súlade so smernicami EÚ, najmä smernicou č. 2001/80/ES o obmedzení emisií určitých znečisťujúcich látok do ovzdušia , smernicou č. 96/62/ES o posudzovaní a riadení kvality ovzdušia, smernicou</w:t>
      </w:r>
      <w:r>
        <w:rPr>
          <w:rFonts w:ascii="Arial" w:hAnsi="Arial"/>
          <w:sz w:val="20"/>
          <w:szCs w:val="20"/>
        </w:rPr>
        <w:t xml:space="preserve"> </w:t>
      </w:r>
      <w:r w:rsidRPr="004B33AE">
        <w:rPr>
          <w:rFonts w:ascii="Arial" w:hAnsi="Arial"/>
          <w:sz w:val="20"/>
          <w:szCs w:val="20"/>
        </w:rPr>
        <w:t>č. 2004/42/ES o obmedzení emisií prchavých organických zlúčenín. Realizácia podporovaných aktivít tiež prispeje k plneniu požiadaviek v zmysle novelizácie smernice č. 2001/81/ES o národných emisných stropoch pre určité látky znečisťujúce ovzdušie. Aktivity v oblasti monitorovania ovzdušia zároveň prispievajú k plneniu povinností vyplývajúcich z Dohovoru o diaľkovom znečisťovaní ovzdušia prechádzajúcom hranicami štátov.</w:t>
      </w:r>
    </w:p>
    <w:p w:rsidR="002416B1" w:rsidRDefault="002416B1" w:rsidP="00507035">
      <w:pPr>
        <w:pStyle w:val="Zkladntextb"/>
        <w:spacing w:before="120" w:after="120" w:line="360" w:lineRule="auto"/>
        <w:ind w:left="0"/>
        <w:jc w:val="both"/>
        <w:rPr>
          <w:szCs w:val="24"/>
          <w:lang w:val="sk-SK"/>
        </w:rPr>
      </w:pPr>
      <w:r w:rsidRPr="004B33AE">
        <w:rPr>
          <w:lang w:val="sk-SK"/>
        </w:rPr>
        <w:t>Plnenie stanovených ukazovateľov ovplyvňuje samotný stav projektu (schválený/zazmluvnený/v realizácii), ako aj čerpanie oprávnených výdavkov projektu. Na základe tejto skutočnosti možno teda predpokladať neustále zvyšovanie hodnôt jednotlivých ukazovateľov</w:t>
      </w:r>
      <w:r w:rsidRPr="004B33AE">
        <w:rPr>
          <w:szCs w:val="24"/>
          <w:lang w:val="sk-SK"/>
        </w:rPr>
        <w:t>, a tým plnenia relevantných cieľov prioritnej osi.</w:t>
      </w:r>
    </w:p>
    <w:p w:rsidR="002416B1" w:rsidRPr="004B33AE" w:rsidRDefault="002416B1" w:rsidP="00507035">
      <w:pPr>
        <w:pStyle w:val="Nadpis8"/>
        <w:spacing w:before="120" w:after="120"/>
        <w:rPr>
          <w:rFonts w:ascii="Arial" w:hAnsi="Arial" w:cs="Arial"/>
          <w:b/>
          <w:sz w:val="22"/>
          <w:szCs w:val="22"/>
        </w:rPr>
      </w:pPr>
      <w:r w:rsidRPr="004B33AE">
        <w:rPr>
          <w:rFonts w:ascii="Arial" w:hAnsi="Arial" w:cs="Arial"/>
          <w:b/>
          <w:sz w:val="22"/>
          <w:szCs w:val="22"/>
        </w:rPr>
        <w:t>3.3.1.2 Finančná implementácia v rámci prioritnej osi 3</w:t>
      </w:r>
      <w:r w:rsidR="0072403D">
        <w:rPr>
          <w:rFonts w:ascii="Arial" w:hAnsi="Arial" w:cs="Arial"/>
          <w:b/>
          <w:sz w:val="22"/>
          <w:szCs w:val="22"/>
        </w:rPr>
        <w:t xml:space="preserve"> </w:t>
      </w:r>
    </w:p>
    <w:p w:rsidR="002416B1" w:rsidRDefault="002416B1" w:rsidP="00507035">
      <w:pPr>
        <w:spacing w:before="120" w:after="120" w:line="360" w:lineRule="auto"/>
        <w:jc w:val="both"/>
        <w:rPr>
          <w:rFonts w:ascii="Arial" w:hAnsi="Arial" w:cs="Arial"/>
          <w:sz w:val="20"/>
          <w:szCs w:val="20"/>
        </w:rPr>
      </w:pPr>
      <w:r w:rsidRPr="004B33AE">
        <w:rPr>
          <w:rFonts w:ascii="Arial" w:hAnsi="Arial" w:cs="Arial"/>
          <w:sz w:val="20"/>
          <w:szCs w:val="20"/>
        </w:rPr>
        <w:t>K 31.12.201</w:t>
      </w:r>
      <w:r w:rsidR="0053037C">
        <w:rPr>
          <w:rFonts w:ascii="Arial" w:hAnsi="Arial" w:cs="Arial"/>
          <w:sz w:val="20"/>
          <w:szCs w:val="20"/>
        </w:rPr>
        <w:t>2</w:t>
      </w:r>
      <w:r w:rsidRPr="004B33AE">
        <w:rPr>
          <w:rFonts w:ascii="Arial" w:hAnsi="Arial" w:cs="Arial"/>
          <w:sz w:val="20"/>
          <w:szCs w:val="20"/>
        </w:rPr>
        <w:t xml:space="preserve"> došlo v rámci prioritnej osi k čerpaniu finančných prostriedkov z ERDF v objeme takmer </w:t>
      </w:r>
      <w:r w:rsidR="0053037C">
        <w:rPr>
          <w:rFonts w:ascii="Arial" w:hAnsi="Arial" w:cs="Arial"/>
          <w:sz w:val="20"/>
          <w:szCs w:val="20"/>
        </w:rPr>
        <w:t>112</w:t>
      </w:r>
      <w:r w:rsidR="0053037C" w:rsidRPr="004B33AE">
        <w:rPr>
          <w:rFonts w:ascii="Arial" w:hAnsi="Arial" w:cs="Arial"/>
          <w:sz w:val="20"/>
          <w:szCs w:val="20"/>
        </w:rPr>
        <w:t xml:space="preserve"> </w:t>
      </w:r>
      <w:r w:rsidRPr="004B33AE">
        <w:rPr>
          <w:rFonts w:ascii="Arial" w:hAnsi="Arial" w:cs="Arial"/>
          <w:sz w:val="20"/>
          <w:szCs w:val="20"/>
        </w:rPr>
        <w:t xml:space="preserve">miliónov EUR, čo predstavuje </w:t>
      </w:r>
      <w:r w:rsidR="0053037C">
        <w:rPr>
          <w:rFonts w:ascii="Arial" w:hAnsi="Arial" w:cs="Arial"/>
          <w:sz w:val="20"/>
          <w:szCs w:val="20"/>
        </w:rPr>
        <w:t>62,20</w:t>
      </w:r>
      <w:r w:rsidRPr="004B33AE">
        <w:rPr>
          <w:rFonts w:ascii="Arial" w:hAnsi="Arial" w:cs="Arial"/>
          <w:sz w:val="20"/>
          <w:szCs w:val="20"/>
        </w:rPr>
        <w:t>% zo záväzku na programové obdobie pre túto prioritnú os.</w:t>
      </w:r>
    </w:p>
    <w:p w:rsidR="002416B1" w:rsidRPr="004B33AE" w:rsidRDefault="002416B1" w:rsidP="00205636">
      <w:pPr>
        <w:spacing w:line="360" w:lineRule="auto"/>
        <w:jc w:val="both"/>
        <w:rPr>
          <w:rFonts w:ascii="Arial" w:hAnsi="Arial" w:cs="Arial"/>
          <w:sz w:val="20"/>
          <w:szCs w:val="20"/>
        </w:rPr>
      </w:pPr>
      <w:r w:rsidRPr="00570976">
        <w:rPr>
          <w:rFonts w:ascii="Arial" w:hAnsi="Arial" w:cs="Arial"/>
          <w:sz w:val="20"/>
          <w:szCs w:val="20"/>
        </w:rPr>
        <w:t xml:space="preserve">Tab. č. </w:t>
      </w:r>
      <w:r w:rsidR="00254D6C">
        <w:rPr>
          <w:rFonts w:ascii="Arial" w:hAnsi="Arial" w:cs="Arial"/>
          <w:sz w:val="20"/>
          <w:szCs w:val="20"/>
        </w:rPr>
        <w:t>48</w:t>
      </w:r>
      <w:r w:rsidRPr="00C42FC5">
        <w:rPr>
          <w:rFonts w:ascii="Arial" w:hAnsi="Arial" w:cs="Arial"/>
          <w:sz w:val="20"/>
          <w:szCs w:val="20"/>
        </w:rPr>
        <w:t>: Čerpanie prostriedkov prioritnej osi 3 k 31.12.</w:t>
      </w:r>
      <w:r w:rsidR="00110E60">
        <w:rPr>
          <w:rFonts w:ascii="Arial" w:hAnsi="Arial" w:cs="Arial"/>
          <w:sz w:val="20"/>
          <w:szCs w:val="20"/>
        </w:rPr>
        <w:t>2012</w:t>
      </w:r>
      <w:r w:rsidRPr="00C42FC5">
        <w:rPr>
          <w:rFonts w:ascii="Arial" w:hAnsi="Arial" w:cs="Arial"/>
          <w:b/>
          <w:sz w:val="20"/>
          <w:szCs w:val="20"/>
        </w:rPr>
        <w:t> </w:t>
      </w:r>
    </w:p>
    <w:tbl>
      <w:tblPr>
        <w:tblW w:w="9141" w:type="dxa"/>
        <w:jc w:val="center"/>
        <w:tblLayout w:type="fixed"/>
        <w:tblCellMar>
          <w:left w:w="70" w:type="dxa"/>
          <w:right w:w="70" w:type="dxa"/>
        </w:tblCellMar>
        <w:tblLook w:val="0000" w:firstRow="0" w:lastRow="0" w:firstColumn="0" w:lastColumn="0" w:noHBand="0" w:noVBand="0"/>
      </w:tblPr>
      <w:tblGrid>
        <w:gridCol w:w="1440"/>
        <w:gridCol w:w="1724"/>
        <w:gridCol w:w="1440"/>
        <w:gridCol w:w="1557"/>
        <w:gridCol w:w="1392"/>
        <w:gridCol w:w="1588"/>
      </w:tblGrid>
      <w:tr w:rsidR="0053037C" w:rsidRPr="007F5BD7" w:rsidTr="006A551B">
        <w:trPr>
          <w:trHeight w:val="585"/>
          <w:jc w:val="center"/>
        </w:trPr>
        <w:tc>
          <w:tcPr>
            <w:tcW w:w="1440" w:type="dxa"/>
            <w:vMerge w:val="restart"/>
            <w:tcBorders>
              <w:top w:val="single" w:sz="8" w:space="0" w:color="auto"/>
              <w:left w:val="single" w:sz="8" w:space="0" w:color="auto"/>
              <w:bottom w:val="single" w:sz="4" w:space="0" w:color="auto"/>
              <w:right w:val="single" w:sz="4" w:space="0" w:color="auto"/>
            </w:tcBorders>
            <w:shd w:val="clear" w:color="auto" w:fill="auto"/>
            <w:noWrap/>
            <w:vAlign w:val="center"/>
          </w:tcPr>
          <w:p w:rsidR="0053037C" w:rsidRPr="007F5BD7" w:rsidRDefault="0053037C" w:rsidP="00205636">
            <w:pPr>
              <w:jc w:val="both"/>
              <w:rPr>
                <w:rFonts w:ascii="Arial" w:hAnsi="Arial" w:cs="Arial"/>
                <w:sz w:val="18"/>
                <w:szCs w:val="18"/>
              </w:rPr>
            </w:pPr>
            <w:r w:rsidRPr="007F5BD7">
              <w:rPr>
                <w:rFonts w:ascii="Arial" w:hAnsi="Arial" w:cs="Arial"/>
                <w:sz w:val="18"/>
                <w:szCs w:val="18"/>
              </w:rPr>
              <w:t> </w:t>
            </w:r>
          </w:p>
        </w:tc>
        <w:tc>
          <w:tcPr>
            <w:tcW w:w="1724" w:type="dxa"/>
            <w:vMerge w:val="restart"/>
            <w:tcBorders>
              <w:top w:val="single" w:sz="8" w:space="0" w:color="auto"/>
              <w:left w:val="single" w:sz="4" w:space="0" w:color="auto"/>
              <w:bottom w:val="single" w:sz="4" w:space="0" w:color="auto"/>
              <w:right w:val="single" w:sz="4" w:space="0" w:color="auto"/>
            </w:tcBorders>
            <w:shd w:val="clear" w:color="auto" w:fill="D6E3BC"/>
            <w:vAlign w:val="center"/>
          </w:tcPr>
          <w:p w:rsidR="0053037C" w:rsidRPr="007F5BD7" w:rsidRDefault="0053037C" w:rsidP="00205636">
            <w:pPr>
              <w:jc w:val="center"/>
              <w:rPr>
                <w:rFonts w:ascii="Arial" w:hAnsi="Arial" w:cs="Arial"/>
                <w:sz w:val="18"/>
                <w:szCs w:val="18"/>
              </w:rPr>
            </w:pPr>
            <w:r w:rsidRPr="007F5BD7">
              <w:rPr>
                <w:rFonts w:ascii="Arial" w:eastAsia="EUAlbertina-Regular-Identity-H" w:hAnsi="Arial" w:cs="Arial"/>
                <w:sz w:val="18"/>
                <w:szCs w:val="18"/>
              </w:rPr>
              <w:t xml:space="preserve">Záväzok </w:t>
            </w:r>
            <w:r w:rsidRPr="007F5BD7">
              <w:rPr>
                <w:rFonts w:ascii="Arial" w:eastAsia="EUAlbertina-Regular-Identity-H" w:hAnsi="Arial" w:cs="Arial"/>
                <w:sz w:val="18"/>
                <w:szCs w:val="18"/>
              </w:rPr>
              <w:br/>
              <w:t>2007-2013</w:t>
            </w:r>
            <w:r w:rsidRPr="007F5BD7">
              <w:rPr>
                <w:rFonts w:ascii="Arial" w:eastAsia="EUAlbertina-Regular-Identity-H" w:hAnsi="Arial" w:cs="Arial"/>
                <w:sz w:val="18"/>
                <w:szCs w:val="18"/>
              </w:rPr>
              <w:br/>
              <w:t xml:space="preserve"> za EÚ zdroje</w:t>
            </w:r>
            <w:r w:rsidRPr="007F5BD7">
              <w:rPr>
                <w:rFonts w:ascii="Arial" w:eastAsia="EUAlbertina-Regular-Identity-H" w:hAnsi="Arial" w:cs="Arial"/>
                <w:sz w:val="18"/>
                <w:szCs w:val="18"/>
              </w:rPr>
              <w:br/>
            </w:r>
            <w:r w:rsidRPr="007F5BD7">
              <w:rPr>
                <w:rFonts w:ascii="Arial" w:hAnsi="Arial" w:cs="Arial"/>
                <w:sz w:val="18"/>
                <w:szCs w:val="18"/>
              </w:rPr>
              <w:t>v €</w:t>
            </w:r>
          </w:p>
        </w:tc>
        <w:tc>
          <w:tcPr>
            <w:tcW w:w="2997" w:type="dxa"/>
            <w:gridSpan w:val="2"/>
            <w:tcBorders>
              <w:top w:val="single" w:sz="8" w:space="0" w:color="auto"/>
              <w:left w:val="nil"/>
              <w:bottom w:val="single" w:sz="4" w:space="0" w:color="auto"/>
              <w:right w:val="single" w:sz="4" w:space="0" w:color="000000"/>
            </w:tcBorders>
            <w:shd w:val="clear" w:color="auto" w:fill="D6E3BC"/>
            <w:vAlign w:val="center"/>
          </w:tcPr>
          <w:p w:rsidR="0053037C" w:rsidRPr="007F5BD7" w:rsidRDefault="0053037C" w:rsidP="00205636">
            <w:pPr>
              <w:jc w:val="center"/>
              <w:rPr>
                <w:rFonts w:ascii="Arial" w:hAnsi="Arial" w:cs="Arial"/>
                <w:sz w:val="18"/>
                <w:szCs w:val="18"/>
              </w:rPr>
            </w:pPr>
            <w:r w:rsidRPr="007F5BD7">
              <w:rPr>
                <w:rFonts w:ascii="Arial" w:hAnsi="Arial" w:cs="Arial"/>
                <w:sz w:val="18"/>
                <w:szCs w:val="18"/>
              </w:rPr>
              <w:t>Čerpanie prostriedkov v roku 2012</w:t>
            </w:r>
          </w:p>
          <w:p w:rsidR="0053037C" w:rsidRPr="007F5BD7" w:rsidRDefault="0053037C" w:rsidP="00205636">
            <w:pPr>
              <w:jc w:val="center"/>
              <w:rPr>
                <w:rFonts w:ascii="Arial" w:hAnsi="Arial" w:cs="Arial"/>
                <w:sz w:val="18"/>
                <w:szCs w:val="18"/>
              </w:rPr>
            </w:pPr>
            <w:r w:rsidRPr="007F5BD7">
              <w:rPr>
                <w:rFonts w:ascii="Arial" w:hAnsi="Arial" w:cs="Arial"/>
                <w:sz w:val="18"/>
                <w:szCs w:val="18"/>
              </w:rPr>
              <w:t>(EU zdroje) v €</w:t>
            </w:r>
          </w:p>
        </w:tc>
        <w:tc>
          <w:tcPr>
            <w:tcW w:w="2980" w:type="dxa"/>
            <w:gridSpan w:val="2"/>
            <w:tcBorders>
              <w:top w:val="single" w:sz="8" w:space="0" w:color="auto"/>
              <w:left w:val="nil"/>
              <w:bottom w:val="single" w:sz="4" w:space="0" w:color="auto"/>
              <w:right w:val="single" w:sz="8" w:space="0" w:color="000000"/>
            </w:tcBorders>
            <w:shd w:val="clear" w:color="auto" w:fill="D6E3BC"/>
            <w:vAlign w:val="center"/>
          </w:tcPr>
          <w:p w:rsidR="0053037C" w:rsidRPr="007F5BD7" w:rsidRDefault="0053037C" w:rsidP="00205636">
            <w:pPr>
              <w:jc w:val="center"/>
              <w:rPr>
                <w:rFonts w:ascii="Arial" w:hAnsi="Arial" w:cs="Arial"/>
                <w:sz w:val="18"/>
                <w:szCs w:val="18"/>
              </w:rPr>
            </w:pPr>
            <w:r w:rsidRPr="007F5BD7">
              <w:rPr>
                <w:rFonts w:ascii="Arial" w:hAnsi="Arial" w:cs="Arial"/>
                <w:sz w:val="18"/>
                <w:szCs w:val="18"/>
              </w:rPr>
              <w:t xml:space="preserve">Čerpanie prostriedkov kumulatívne </w:t>
            </w:r>
            <w:r w:rsidRPr="007F5BD7">
              <w:rPr>
                <w:rFonts w:ascii="Arial" w:hAnsi="Arial" w:cs="Arial"/>
                <w:sz w:val="18"/>
                <w:szCs w:val="18"/>
              </w:rPr>
              <w:br/>
              <w:t>(EU zdroje) v €</w:t>
            </w:r>
          </w:p>
        </w:tc>
      </w:tr>
      <w:tr w:rsidR="0053037C" w:rsidRPr="007F5BD7" w:rsidTr="006A551B">
        <w:trPr>
          <w:trHeight w:val="480"/>
          <w:jc w:val="center"/>
        </w:trPr>
        <w:tc>
          <w:tcPr>
            <w:tcW w:w="1440" w:type="dxa"/>
            <w:vMerge/>
            <w:tcBorders>
              <w:top w:val="single" w:sz="8" w:space="0" w:color="auto"/>
              <w:left w:val="single" w:sz="8" w:space="0" w:color="auto"/>
              <w:bottom w:val="single" w:sz="4" w:space="0" w:color="auto"/>
              <w:right w:val="single" w:sz="4" w:space="0" w:color="auto"/>
            </w:tcBorders>
            <w:shd w:val="clear" w:color="auto" w:fill="auto"/>
            <w:vAlign w:val="center"/>
          </w:tcPr>
          <w:p w:rsidR="0053037C" w:rsidRPr="007F5BD7" w:rsidRDefault="0053037C" w:rsidP="00205636">
            <w:pPr>
              <w:jc w:val="both"/>
              <w:rPr>
                <w:rFonts w:ascii="Arial" w:hAnsi="Arial" w:cs="Arial"/>
                <w:sz w:val="18"/>
                <w:szCs w:val="18"/>
              </w:rPr>
            </w:pPr>
          </w:p>
        </w:tc>
        <w:tc>
          <w:tcPr>
            <w:tcW w:w="1724" w:type="dxa"/>
            <w:vMerge/>
            <w:tcBorders>
              <w:top w:val="single" w:sz="8" w:space="0" w:color="auto"/>
              <w:left w:val="single" w:sz="4" w:space="0" w:color="auto"/>
              <w:bottom w:val="single" w:sz="4" w:space="0" w:color="auto"/>
              <w:right w:val="single" w:sz="4" w:space="0" w:color="auto"/>
            </w:tcBorders>
            <w:shd w:val="clear" w:color="auto" w:fill="D6E3BC"/>
            <w:vAlign w:val="center"/>
          </w:tcPr>
          <w:p w:rsidR="0053037C" w:rsidRPr="007F5BD7" w:rsidRDefault="0053037C" w:rsidP="00205636">
            <w:pPr>
              <w:jc w:val="center"/>
              <w:rPr>
                <w:rFonts w:ascii="Arial" w:hAnsi="Arial" w:cs="Arial"/>
                <w:sz w:val="18"/>
                <w:szCs w:val="18"/>
              </w:rPr>
            </w:pPr>
          </w:p>
        </w:tc>
        <w:tc>
          <w:tcPr>
            <w:tcW w:w="1440" w:type="dxa"/>
            <w:tcBorders>
              <w:top w:val="nil"/>
              <w:left w:val="nil"/>
              <w:bottom w:val="single" w:sz="4" w:space="0" w:color="auto"/>
              <w:right w:val="single" w:sz="4" w:space="0" w:color="auto"/>
            </w:tcBorders>
            <w:shd w:val="clear" w:color="auto" w:fill="D6E3BC"/>
            <w:noWrap/>
            <w:vAlign w:val="center"/>
          </w:tcPr>
          <w:p w:rsidR="0053037C" w:rsidRPr="007F5BD7" w:rsidRDefault="0053037C" w:rsidP="00205636">
            <w:pPr>
              <w:jc w:val="center"/>
              <w:rPr>
                <w:rFonts w:ascii="Arial" w:hAnsi="Arial" w:cs="Arial"/>
                <w:sz w:val="18"/>
                <w:szCs w:val="18"/>
              </w:rPr>
            </w:pPr>
            <w:r w:rsidRPr="007F5BD7">
              <w:rPr>
                <w:rFonts w:ascii="Arial" w:hAnsi="Arial" w:cs="Arial"/>
                <w:sz w:val="18"/>
                <w:szCs w:val="18"/>
              </w:rPr>
              <w:t>Celkom</w:t>
            </w:r>
          </w:p>
        </w:tc>
        <w:tc>
          <w:tcPr>
            <w:tcW w:w="1557" w:type="dxa"/>
            <w:tcBorders>
              <w:top w:val="nil"/>
              <w:left w:val="nil"/>
              <w:bottom w:val="single" w:sz="4" w:space="0" w:color="auto"/>
              <w:right w:val="single" w:sz="4" w:space="0" w:color="auto"/>
            </w:tcBorders>
            <w:shd w:val="clear" w:color="auto" w:fill="D6E3BC"/>
            <w:vAlign w:val="center"/>
          </w:tcPr>
          <w:p w:rsidR="0053037C" w:rsidRPr="007F5BD7" w:rsidRDefault="0053037C" w:rsidP="00205636">
            <w:pPr>
              <w:jc w:val="center"/>
              <w:rPr>
                <w:rFonts w:ascii="Arial" w:hAnsi="Arial" w:cs="Arial"/>
                <w:sz w:val="18"/>
                <w:szCs w:val="18"/>
              </w:rPr>
            </w:pPr>
            <w:r w:rsidRPr="007F5BD7">
              <w:rPr>
                <w:rFonts w:ascii="Arial" w:hAnsi="Arial" w:cs="Arial"/>
                <w:sz w:val="18"/>
                <w:szCs w:val="18"/>
              </w:rPr>
              <w:t>% zo záväzku</w:t>
            </w:r>
          </w:p>
          <w:p w:rsidR="0053037C" w:rsidRPr="007F5BD7" w:rsidRDefault="0053037C" w:rsidP="00205636">
            <w:pPr>
              <w:jc w:val="center"/>
              <w:rPr>
                <w:rFonts w:ascii="Arial" w:hAnsi="Arial" w:cs="Arial"/>
                <w:sz w:val="18"/>
                <w:szCs w:val="18"/>
              </w:rPr>
            </w:pPr>
            <w:r w:rsidRPr="007F5BD7">
              <w:rPr>
                <w:rFonts w:ascii="Arial" w:hAnsi="Arial" w:cs="Arial"/>
                <w:sz w:val="18"/>
                <w:szCs w:val="18"/>
              </w:rPr>
              <w:t>2007 - 2013</w:t>
            </w:r>
          </w:p>
        </w:tc>
        <w:tc>
          <w:tcPr>
            <w:tcW w:w="1392" w:type="dxa"/>
            <w:tcBorders>
              <w:top w:val="nil"/>
              <w:left w:val="nil"/>
              <w:bottom w:val="single" w:sz="4" w:space="0" w:color="auto"/>
              <w:right w:val="single" w:sz="4" w:space="0" w:color="auto"/>
            </w:tcBorders>
            <w:shd w:val="clear" w:color="auto" w:fill="D6E3BC"/>
            <w:noWrap/>
            <w:vAlign w:val="center"/>
          </w:tcPr>
          <w:p w:rsidR="0053037C" w:rsidRPr="007F5BD7" w:rsidRDefault="0053037C" w:rsidP="00205636">
            <w:pPr>
              <w:jc w:val="center"/>
              <w:rPr>
                <w:rFonts w:ascii="Arial" w:hAnsi="Arial" w:cs="Arial"/>
                <w:sz w:val="18"/>
                <w:szCs w:val="18"/>
              </w:rPr>
            </w:pPr>
            <w:r w:rsidRPr="007F5BD7">
              <w:rPr>
                <w:rFonts w:ascii="Arial" w:hAnsi="Arial" w:cs="Arial"/>
                <w:sz w:val="18"/>
                <w:szCs w:val="18"/>
              </w:rPr>
              <w:t>Celkom</w:t>
            </w:r>
          </w:p>
        </w:tc>
        <w:tc>
          <w:tcPr>
            <w:tcW w:w="1588" w:type="dxa"/>
            <w:tcBorders>
              <w:top w:val="nil"/>
              <w:left w:val="nil"/>
              <w:bottom w:val="single" w:sz="4" w:space="0" w:color="auto"/>
              <w:right w:val="single" w:sz="8" w:space="0" w:color="auto"/>
            </w:tcBorders>
            <w:shd w:val="clear" w:color="auto" w:fill="D6E3BC"/>
            <w:vAlign w:val="center"/>
          </w:tcPr>
          <w:p w:rsidR="0053037C" w:rsidRPr="007F5BD7" w:rsidRDefault="0053037C" w:rsidP="00205636">
            <w:pPr>
              <w:jc w:val="center"/>
              <w:rPr>
                <w:rFonts w:ascii="Arial" w:hAnsi="Arial" w:cs="Arial"/>
                <w:sz w:val="18"/>
                <w:szCs w:val="18"/>
              </w:rPr>
            </w:pPr>
            <w:r w:rsidRPr="007F5BD7">
              <w:rPr>
                <w:rFonts w:ascii="Arial" w:hAnsi="Arial" w:cs="Arial"/>
                <w:sz w:val="18"/>
                <w:szCs w:val="18"/>
              </w:rPr>
              <w:t>% zo záväzku</w:t>
            </w:r>
          </w:p>
          <w:p w:rsidR="0053037C" w:rsidRPr="007F5BD7" w:rsidRDefault="0053037C" w:rsidP="00205636">
            <w:pPr>
              <w:jc w:val="center"/>
              <w:rPr>
                <w:rFonts w:ascii="Arial" w:hAnsi="Arial" w:cs="Arial"/>
                <w:sz w:val="18"/>
                <w:szCs w:val="18"/>
              </w:rPr>
            </w:pPr>
            <w:r w:rsidRPr="007F5BD7">
              <w:rPr>
                <w:rFonts w:ascii="Arial" w:hAnsi="Arial" w:cs="Arial"/>
                <w:sz w:val="18"/>
                <w:szCs w:val="18"/>
              </w:rPr>
              <w:t>2007 - 2013</w:t>
            </w:r>
          </w:p>
        </w:tc>
      </w:tr>
      <w:tr w:rsidR="0053037C" w:rsidRPr="007F5BD7" w:rsidTr="006A551B">
        <w:trPr>
          <w:trHeight w:val="255"/>
          <w:jc w:val="center"/>
        </w:trPr>
        <w:tc>
          <w:tcPr>
            <w:tcW w:w="1440" w:type="dxa"/>
            <w:tcBorders>
              <w:top w:val="single" w:sz="4" w:space="0" w:color="auto"/>
              <w:left w:val="single" w:sz="8" w:space="0" w:color="auto"/>
              <w:bottom w:val="single" w:sz="4" w:space="0" w:color="auto"/>
              <w:right w:val="single" w:sz="4" w:space="0" w:color="auto"/>
            </w:tcBorders>
            <w:shd w:val="clear" w:color="auto" w:fill="auto"/>
            <w:noWrap/>
            <w:vAlign w:val="center"/>
          </w:tcPr>
          <w:p w:rsidR="0053037C" w:rsidRPr="001B08DA" w:rsidRDefault="0053037C" w:rsidP="00205636">
            <w:pPr>
              <w:jc w:val="center"/>
              <w:rPr>
                <w:rFonts w:ascii="Arial" w:hAnsi="Arial" w:cs="Arial"/>
                <w:sz w:val="18"/>
                <w:szCs w:val="18"/>
              </w:rPr>
            </w:pPr>
            <w:r w:rsidRPr="001B08DA">
              <w:rPr>
                <w:rFonts w:ascii="Arial" w:hAnsi="Arial" w:cs="Arial"/>
                <w:sz w:val="18"/>
                <w:szCs w:val="18"/>
              </w:rPr>
              <w:t>Prioritná os 3</w:t>
            </w:r>
          </w:p>
        </w:tc>
        <w:tc>
          <w:tcPr>
            <w:tcW w:w="1724" w:type="dxa"/>
            <w:tcBorders>
              <w:top w:val="nil"/>
              <w:left w:val="nil"/>
              <w:bottom w:val="single" w:sz="4" w:space="0" w:color="auto"/>
              <w:right w:val="single" w:sz="4" w:space="0" w:color="auto"/>
            </w:tcBorders>
            <w:shd w:val="clear" w:color="auto" w:fill="auto"/>
            <w:noWrap/>
            <w:vAlign w:val="center"/>
          </w:tcPr>
          <w:p w:rsidR="0053037C" w:rsidRPr="001B08DA" w:rsidRDefault="0053037C" w:rsidP="00205636">
            <w:pPr>
              <w:jc w:val="center"/>
              <w:rPr>
                <w:rFonts w:ascii="Arial" w:hAnsi="Arial" w:cs="Arial"/>
                <w:sz w:val="18"/>
                <w:szCs w:val="18"/>
              </w:rPr>
            </w:pPr>
            <w:r w:rsidRPr="001B08DA">
              <w:rPr>
                <w:rFonts w:ascii="Arial" w:hAnsi="Arial" w:cs="Arial"/>
                <w:sz w:val="18"/>
                <w:szCs w:val="18"/>
              </w:rPr>
              <w:t>180 000 000,00</w:t>
            </w:r>
          </w:p>
        </w:tc>
        <w:tc>
          <w:tcPr>
            <w:tcW w:w="1440" w:type="dxa"/>
            <w:tcBorders>
              <w:top w:val="nil"/>
              <w:left w:val="nil"/>
              <w:bottom w:val="single" w:sz="4" w:space="0" w:color="auto"/>
              <w:right w:val="single" w:sz="4" w:space="0" w:color="auto"/>
            </w:tcBorders>
            <w:shd w:val="clear" w:color="auto" w:fill="auto"/>
            <w:noWrap/>
            <w:vAlign w:val="center"/>
          </w:tcPr>
          <w:p w:rsidR="0053037C" w:rsidRPr="001B08DA" w:rsidRDefault="0053037C" w:rsidP="00205636">
            <w:pPr>
              <w:jc w:val="center"/>
              <w:rPr>
                <w:rFonts w:ascii="Arial" w:hAnsi="Arial" w:cs="Arial"/>
                <w:color w:val="000000"/>
                <w:sz w:val="18"/>
                <w:szCs w:val="18"/>
              </w:rPr>
            </w:pPr>
            <w:r w:rsidRPr="001B08DA">
              <w:rPr>
                <w:rFonts w:ascii="Arial" w:hAnsi="Arial" w:cs="Arial"/>
                <w:color w:val="000000"/>
                <w:sz w:val="18"/>
                <w:szCs w:val="18"/>
              </w:rPr>
              <w:t>34 146 700,67</w:t>
            </w:r>
          </w:p>
        </w:tc>
        <w:tc>
          <w:tcPr>
            <w:tcW w:w="1557" w:type="dxa"/>
            <w:tcBorders>
              <w:top w:val="nil"/>
              <w:left w:val="nil"/>
              <w:bottom w:val="single" w:sz="4" w:space="0" w:color="auto"/>
              <w:right w:val="single" w:sz="4" w:space="0" w:color="auto"/>
            </w:tcBorders>
            <w:shd w:val="clear" w:color="auto" w:fill="auto"/>
            <w:noWrap/>
            <w:vAlign w:val="center"/>
          </w:tcPr>
          <w:p w:rsidR="0053037C" w:rsidRPr="001B08DA" w:rsidRDefault="0053037C" w:rsidP="00205636">
            <w:pPr>
              <w:jc w:val="center"/>
              <w:rPr>
                <w:rFonts w:ascii="Arial" w:hAnsi="Arial" w:cs="Arial"/>
                <w:color w:val="000000"/>
                <w:sz w:val="18"/>
                <w:szCs w:val="18"/>
              </w:rPr>
            </w:pPr>
            <w:r w:rsidRPr="001B08DA">
              <w:rPr>
                <w:rFonts w:ascii="Arial" w:hAnsi="Arial" w:cs="Arial"/>
                <w:color w:val="000000"/>
                <w:sz w:val="18"/>
                <w:szCs w:val="18"/>
              </w:rPr>
              <w:t>18,97%</w:t>
            </w:r>
          </w:p>
        </w:tc>
        <w:tc>
          <w:tcPr>
            <w:tcW w:w="1392" w:type="dxa"/>
            <w:tcBorders>
              <w:top w:val="nil"/>
              <w:left w:val="nil"/>
              <w:bottom w:val="single" w:sz="4" w:space="0" w:color="auto"/>
              <w:right w:val="single" w:sz="4" w:space="0" w:color="auto"/>
            </w:tcBorders>
            <w:shd w:val="clear" w:color="auto" w:fill="auto"/>
            <w:noWrap/>
            <w:vAlign w:val="center"/>
          </w:tcPr>
          <w:p w:rsidR="0053037C" w:rsidRPr="001B08DA" w:rsidRDefault="0053037C" w:rsidP="00205636">
            <w:pPr>
              <w:jc w:val="center"/>
              <w:rPr>
                <w:rFonts w:ascii="Arial" w:hAnsi="Arial" w:cs="Arial"/>
                <w:color w:val="000000"/>
                <w:sz w:val="18"/>
                <w:szCs w:val="18"/>
              </w:rPr>
            </w:pPr>
            <w:r w:rsidRPr="001B08DA">
              <w:rPr>
                <w:rFonts w:ascii="Arial" w:hAnsi="Arial" w:cs="Arial"/>
                <w:color w:val="000000"/>
                <w:sz w:val="18"/>
                <w:szCs w:val="18"/>
              </w:rPr>
              <w:t>111 957 822,83</w:t>
            </w:r>
          </w:p>
        </w:tc>
        <w:tc>
          <w:tcPr>
            <w:tcW w:w="1588" w:type="dxa"/>
            <w:tcBorders>
              <w:top w:val="nil"/>
              <w:left w:val="nil"/>
              <w:bottom w:val="single" w:sz="4" w:space="0" w:color="auto"/>
              <w:right w:val="single" w:sz="8" w:space="0" w:color="auto"/>
            </w:tcBorders>
            <w:shd w:val="clear" w:color="auto" w:fill="auto"/>
            <w:noWrap/>
            <w:vAlign w:val="center"/>
          </w:tcPr>
          <w:p w:rsidR="0053037C" w:rsidRPr="001B08DA" w:rsidRDefault="0053037C" w:rsidP="00205636">
            <w:pPr>
              <w:jc w:val="center"/>
              <w:rPr>
                <w:rFonts w:ascii="Arial" w:hAnsi="Arial" w:cs="Arial"/>
                <w:color w:val="000000"/>
                <w:sz w:val="18"/>
                <w:szCs w:val="18"/>
              </w:rPr>
            </w:pPr>
            <w:r w:rsidRPr="001B08DA">
              <w:rPr>
                <w:rFonts w:ascii="Arial" w:hAnsi="Arial" w:cs="Arial"/>
                <w:color w:val="000000"/>
                <w:sz w:val="18"/>
                <w:szCs w:val="18"/>
              </w:rPr>
              <w:t>62,20%</w:t>
            </w:r>
          </w:p>
        </w:tc>
      </w:tr>
    </w:tbl>
    <w:p w:rsidR="002416B1" w:rsidRDefault="002416B1" w:rsidP="00205636">
      <w:pPr>
        <w:pStyle w:val="Zkladntextb"/>
        <w:spacing w:after="0"/>
        <w:ind w:left="0"/>
        <w:rPr>
          <w:sz w:val="18"/>
          <w:szCs w:val="18"/>
          <w:lang w:val="sk-SK"/>
        </w:rPr>
      </w:pPr>
      <w:r w:rsidRPr="006A2BF3">
        <w:rPr>
          <w:sz w:val="18"/>
          <w:szCs w:val="18"/>
          <w:lang w:val="sk-SK"/>
        </w:rPr>
        <w:t>Zdroj: CO</w:t>
      </w:r>
    </w:p>
    <w:p w:rsidR="004D4FE1" w:rsidRPr="006A2BF3" w:rsidRDefault="004D4FE1" w:rsidP="00205636">
      <w:pPr>
        <w:jc w:val="both"/>
        <w:rPr>
          <w:sz w:val="18"/>
          <w:szCs w:val="18"/>
        </w:rPr>
      </w:pPr>
      <w:r w:rsidRPr="00152E99">
        <w:rPr>
          <w:rFonts w:ascii="Arial" w:hAnsi="Arial" w:cs="Arial"/>
          <w:i/>
          <w:sz w:val="18"/>
          <w:szCs w:val="18"/>
        </w:rPr>
        <w:t xml:space="preserve">Pozn.: </w:t>
      </w:r>
      <w:r w:rsidRPr="00152E99">
        <w:rPr>
          <w:rFonts w:ascii="Arial" w:hAnsi="Arial" w:cs="Arial"/>
          <w:bCs/>
          <w:i/>
          <w:sz w:val="18"/>
          <w:szCs w:val="18"/>
        </w:rPr>
        <w:t>prehľad výdavkov schválených CO znížených o nezrovnalosti</w:t>
      </w:r>
    </w:p>
    <w:p w:rsidR="002416B1" w:rsidRPr="0039268C" w:rsidRDefault="002416B1" w:rsidP="00507035">
      <w:pPr>
        <w:pStyle w:val="Zkladntextb"/>
        <w:spacing w:before="120" w:after="120" w:line="360" w:lineRule="auto"/>
        <w:ind w:left="0"/>
        <w:jc w:val="both"/>
        <w:rPr>
          <w:highlight w:val="yellow"/>
          <w:lang w:val="sk-SK"/>
        </w:rPr>
      </w:pPr>
      <w:r w:rsidRPr="006A2BF3">
        <w:rPr>
          <w:lang w:val="sk-SK"/>
        </w:rPr>
        <w:t>V roku 201</w:t>
      </w:r>
      <w:r w:rsidR="0053037C">
        <w:rPr>
          <w:lang w:val="sk-SK"/>
        </w:rPr>
        <w:t>2</w:t>
      </w:r>
      <w:r w:rsidRPr="004B33AE">
        <w:rPr>
          <w:lang w:val="sk-SK"/>
        </w:rPr>
        <w:t xml:space="preserve"> bolo vyčerpaných </w:t>
      </w:r>
      <w:r>
        <w:rPr>
          <w:lang w:val="sk-SK"/>
        </w:rPr>
        <w:t>vyše</w:t>
      </w:r>
      <w:r w:rsidRPr="004B33AE">
        <w:rPr>
          <w:lang w:val="sk-SK"/>
        </w:rPr>
        <w:t xml:space="preserve"> </w:t>
      </w:r>
      <w:r w:rsidR="0053037C">
        <w:rPr>
          <w:lang w:val="sk-SK"/>
        </w:rPr>
        <w:t>34</w:t>
      </w:r>
      <w:r w:rsidR="0053037C" w:rsidRPr="004B33AE">
        <w:rPr>
          <w:lang w:val="sk-SK"/>
        </w:rPr>
        <w:t xml:space="preserve"> </w:t>
      </w:r>
      <w:r w:rsidRPr="004B33AE">
        <w:rPr>
          <w:lang w:val="sk-SK"/>
        </w:rPr>
        <w:t>mil. EUR z </w:t>
      </w:r>
      <w:r>
        <w:rPr>
          <w:lang w:val="sk-SK"/>
        </w:rPr>
        <w:t>ERDF</w:t>
      </w:r>
      <w:r w:rsidRPr="004B33AE">
        <w:rPr>
          <w:lang w:val="sk-SK"/>
        </w:rPr>
        <w:t xml:space="preserve">, </w:t>
      </w:r>
      <w:r w:rsidRPr="000F48E2">
        <w:rPr>
          <w:lang w:val="sk-SK"/>
        </w:rPr>
        <w:t>najvyššie čerpanie prostriedkov bolo zaznamenané v rámci Prešovského a Banskobystrického kraja (viď Príloha č. 6).</w:t>
      </w:r>
    </w:p>
    <w:p w:rsidR="000F48E2" w:rsidRPr="00297DEE" w:rsidRDefault="000F48E2" w:rsidP="00507035">
      <w:pPr>
        <w:pStyle w:val="Zkladntextb"/>
        <w:spacing w:before="120" w:after="120" w:line="360" w:lineRule="auto"/>
        <w:ind w:left="0"/>
        <w:jc w:val="both"/>
        <w:rPr>
          <w:lang w:val="sk-SK"/>
        </w:rPr>
      </w:pPr>
      <w:r w:rsidRPr="00297DEE">
        <w:rPr>
          <w:lang w:val="sk-SK"/>
        </w:rPr>
        <w:t>V rámci prioritnej témy 47 Kvalita vzduchu bolo k 31.12.201</w:t>
      </w:r>
      <w:r w:rsidRPr="00B71586">
        <w:rPr>
          <w:lang w:val="sk-SK"/>
        </w:rPr>
        <w:t>2</w:t>
      </w:r>
      <w:r w:rsidRPr="00297DEE">
        <w:rPr>
          <w:lang w:val="sk-SK"/>
        </w:rPr>
        <w:t xml:space="preserve"> vyčerpaných vyše </w:t>
      </w:r>
      <w:r w:rsidRPr="00B71586">
        <w:rPr>
          <w:lang w:val="sk-SK"/>
        </w:rPr>
        <w:t>61</w:t>
      </w:r>
      <w:r w:rsidRPr="00297DEE">
        <w:rPr>
          <w:lang w:val="sk-SK"/>
        </w:rPr>
        <w:t>,</w:t>
      </w:r>
      <w:r w:rsidRPr="00B71586">
        <w:rPr>
          <w:lang w:val="sk-SK"/>
        </w:rPr>
        <w:t>3</w:t>
      </w:r>
      <w:r w:rsidRPr="00297DEE">
        <w:rPr>
          <w:lang w:val="sk-SK"/>
        </w:rPr>
        <w:t xml:space="preserve"> mil. EUR z ERDF, čo predstavuje </w:t>
      </w:r>
      <w:r w:rsidRPr="00B71586">
        <w:rPr>
          <w:lang w:val="sk-SK"/>
        </w:rPr>
        <w:t>56</w:t>
      </w:r>
      <w:r w:rsidRPr="00297DEE">
        <w:rPr>
          <w:lang w:val="sk-SK"/>
        </w:rPr>
        <w:t>,</w:t>
      </w:r>
      <w:r w:rsidRPr="00B71586">
        <w:rPr>
          <w:lang w:val="sk-SK"/>
        </w:rPr>
        <w:t>86</w:t>
      </w:r>
      <w:r w:rsidR="0072403D">
        <w:rPr>
          <w:lang w:val="sk-SK"/>
        </w:rPr>
        <w:t xml:space="preserve"> </w:t>
      </w:r>
      <w:r w:rsidRPr="00297DEE">
        <w:rPr>
          <w:lang w:val="sk-SK"/>
        </w:rPr>
        <w:t>% z alokácie na prioritnú tému</w:t>
      </w:r>
      <w:r w:rsidRPr="00B71586">
        <w:rPr>
          <w:lang w:val="sk-SK"/>
        </w:rPr>
        <w:t>.</w:t>
      </w:r>
      <w:r w:rsidRPr="00297DEE">
        <w:rPr>
          <w:lang w:val="sk-SK"/>
        </w:rPr>
        <w:t xml:space="preserve"> </w:t>
      </w:r>
      <w:r w:rsidRPr="00B71586">
        <w:rPr>
          <w:lang w:val="sk-SK"/>
        </w:rPr>
        <w:t xml:space="preserve">Za prioritnú tému 49 Zmierňovanie klimatickej zmeny a prispôsobovanie sa klimatickej zmene </w:t>
      </w:r>
      <w:r w:rsidRPr="00297DEE">
        <w:rPr>
          <w:lang w:val="sk-SK"/>
        </w:rPr>
        <w:t xml:space="preserve">bolo vyčerpaných </w:t>
      </w:r>
      <w:r w:rsidRPr="00B71586">
        <w:rPr>
          <w:lang w:val="sk-SK"/>
        </w:rPr>
        <w:t>takmer 31 mil. EUR</w:t>
      </w:r>
      <w:r w:rsidRPr="00297DEE">
        <w:rPr>
          <w:lang w:val="sk-SK"/>
        </w:rPr>
        <w:t xml:space="preserve">, čo je </w:t>
      </w:r>
      <w:r w:rsidRPr="00B71586">
        <w:rPr>
          <w:lang w:val="sk-SK"/>
        </w:rPr>
        <w:t>77</w:t>
      </w:r>
      <w:r w:rsidRPr="00297DEE">
        <w:rPr>
          <w:lang w:val="sk-SK"/>
        </w:rPr>
        <w:t>,</w:t>
      </w:r>
      <w:r w:rsidRPr="00B71586">
        <w:rPr>
          <w:lang w:val="sk-SK"/>
        </w:rPr>
        <w:t>88</w:t>
      </w:r>
      <w:r w:rsidRPr="00297DEE">
        <w:rPr>
          <w:lang w:val="sk-SK"/>
        </w:rPr>
        <w:t xml:space="preserve">% z alokácie a v rámci témy 52 Podpora čistej mestskej dopravy </w:t>
      </w:r>
      <w:r w:rsidRPr="00B71586">
        <w:rPr>
          <w:lang w:val="sk-SK"/>
        </w:rPr>
        <w:t>27</w:t>
      </w:r>
      <w:r w:rsidRPr="00297DEE">
        <w:rPr>
          <w:lang w:val="sk-SK"/>
        </w:rPr>
        <w:t>,</w:t>
      </w:r>
      <w:r w:rsidRPr="00B71586">
        <w:rPr>
          <w:lang w:val="sk-SK"/>
        </w:rPr>
        <w:t>34</w:t>
      </w:r>
      <w:r w:rsidRPr="00297DEE">
        <w:rPr>
          <w:lang w:val="sk-SK"/>
        </w:rPr>
        <w:t xml:space="preserve"> mil. EUR z ERDF. </w:t>
      </w:r>
    </w:p>
    <w:p w:rsidR="009D50F6" w:rsidRDefault="002416B1" w:rsidP="00507035">
      <w:pPr>
        <w:pStyle w:val="Zkladntextb"/>
        <w:spacing w:before="120" w:after="120" w:line="360" w:lineRule="auto"/>
        <w:ind w:left="0"/>
        <w:jc w:val="both"/>
        <w:rPr>
          <w:lang w:val="sk-SK"/>
        </w:rPr>
      </w:pPr>
      <w:r w:rsidRPr="000F48E2">
        <w:rPr>
          <w:lang w:val="sk-SK"/>
        </w:rPr>
        <w:t>Stav čerpania ovplyvňuje viacero externých faktorov ako aj faktorov v samotnej implementácii. Tieto sú podrobnejšie popísané v kapitole 2.1.2 Finančná implementácia operačného programu, aj s uvedením Porovnania skutočného a plánovaného čerpania od 01.01.201</w:t>
      </w:r>
      <w:r w:rsidR="000F48E2" w:rsidRPr="0039268C">
        <w:rPr>
          <w:lang w:val="sk-SK"/>
        </w:rPr>
        <w:t>2</w:t>
      </w:r>
      <w:r w:rsidRPr="000F48E2">
        <w:rPr>
          <w:lang w:val="sk-SK"/>
        </w:rPr>
        <w:t xml:space="preserve"> do 31.12.201</w:t>
      </w:r>
      <w:r w:rsidR="000F48E2" w:rsidRPr="0039268C">
        <w:rPr>
          <w:lang w:val="sk-SK"/>
        </w:rPr>
        <w:t>2</w:t>
      </w:r>
      <w:r w:rsidRPr="000F48E2">
        <w:rPr>
          <w:lang w:val="sk-SK"/>
        </w:rPr>
        <w:t xml:space="preserve"> spolu za program. Z uvedených dôvodov</w:t>
      </w:r>
      <w:r w:rsidRPr="00B948D5">
        <w:rPr>
          <w:lang w:val="sk-SK"/>
        </w:rPr>
        <w:t xml:space="preserve"> ovplyvňujú čerpanie v rámci PO 3 najmä náročnosť a parametre v samotnej realizácii investičných projektov, čo neumožňuje rýchle čerpanie v prvých fázach realizácie. </w:t>
      </w:r>
      <w:r w:rsidR="000F48E2" w:rsidRPr="004B2603">
        <w:rPr>
          <w:lang w:val="sk-SK"/>
        </w:rPr>
        <w:t>Nakoľko úroveň zazmluvnenia alokácie prioritnej osi voči alokácii na danú prioritnú os</w:t>
      </w:r>
      <w:r w:rsidR="000F48E2" w:rsidRPr="004B2603" w:rsidDel="00B818C2">
        <w:rPr>
          <w:lang w:val="sk-SK"/>
        </w:rPr>
        <w:t xml:space="preserve"> </w:t>
      </w:r>
      <w:r w:rsidR="000F48E2" w:rsidRPr="004B2603">
        <w:rPr>
          <w:lang w:val="sk-SK"/>
        </w:rPr>
        <w:t xml:space="preserve">predstavuje </w:t>
      </w:r>
      <w:r w:rsidR="000F48E2" w:rsidRPr="00B71586">
        <w:rPr>
          <w:lang w:val="sk-SK"/>
        </w:rPr>
        <w:t>79</w:t>
      </w:r>
      <w:r w:rsidR="000F48E2" w:rsidRPr="004B2603">
        <w:rPr>
          <w:lang w:val="sk-SK"/>
        </w:rPr>
        <w:t>,</w:t>
      </w:r>
      <w:r w:rsidR="000F48E2" w:rsidRPr="00B71586">
        <w:rPr>
          <w:lang w:val="sk-SK"/>
        </w:rPr>
        <w:t>5</w:t>
      </w:r>
      <w:r w:rsidR="000F48E2" w:rsidRPr="004B2603">
        <w:rPr>
          <w:lang w:val="sk-SK"/>
        </w:rPr>
        <w:t xml:space="preserve">8 %, pričom vyplatené prostriedky prijímateľom tvoria </w:t>
      </w:r>
      <w:r w:rsidR="000F48E2" w:rsidRPr="00B71586">
        <w:rPr>
          <w:lang w:val="sk-SK"/>
        </w:rPr>
        <w:t>66</w:t>
      </w:r>
      <w:r w:rsidR="000F48E2" w:rsidRPr="004B2603">
        <w:rPr>
          <w:lang w:val="sk-SK"/>
        </w:rPr>
        <w:t>,</w:t>
      </w:r>
      <w:r w:rsidR="000F48E2" w:rsidRPr="00B71586">
        <w:rPr>
          <w:lang w:val="sk-SK"/>
        </w:rPr>
        <w:t>4</w:t>
      </w:r>
      <w:r w:rsidR="000F48E2" w:rsidRPr="004B2603">
        <w:rPr>
          <w:lang w:val="sk-SK"/>
        </w:rPr>
        <w:t>7</w:t>
      </w:r>
      <w:r w:rsidR="0072403D">
        <w:rPr>
          <w:lang w:val="sk-SK"/>
        </w:rPr>
        <w:t xml:space="preserve"> </w:t>
      </w:r>
      <w:r w:rsidR="000F48E2" w:rsidRPr="004B2603">
        <w:rPr>
          <w:lang w:val="sk-SK"/>
        </w:rPr>
        <w:t>% voči celkovej alokácii na danú prioritnú os, riadiaci orgán predpokladá neustále zvyšovanie čerpania v rámci podporených projektov.</w:t>
      </w:r>
    </w:p>
    <w:p w:rsidR="009D50F6" w:rsidRDefault="009D50F6">
      <w:pPr>
        <w:rPr>
          <w:rFonts w:ascii="Arial" w:hAnsi="Arial"/>
          <w:sz w:val="20"/>
          <w:szCs w:val="20"/>
        </w:rPr>
      </w:pPr>
      <w:r>
        <w:br w:type="page"/>
      </w:r>
    </w:p>
    <w:p w:rsidR="00194C45" w:rsidRDefault="00194C45" w:rsidP="00507035">
      <w:pPr>
        <w:pStyle w:val="Zkladntextb"/>
        <w:spacing w:before="120" w:after="120" w:line="360" w:lineRule="auto"/>
        <w:ind w:left="0"/>
        <w:jc w:val="both"/>
        <w:rPr>
          <w:lang w:val="sk-SK"/>
        </w:rPr>
      </w:pPr>
    </w:p>
    <w:p w:rsidR="002416B1" w:rsidRPr="0039268C" w:rsidRDefault="000F48E2" w:rsidP="009D50F6">
      <w:pPr>
        <w:pStyle w:val="Nadpis3"/>
        <w:spacing w:before="120" w:after="120" w:line="360" w:lineRule="auto"/>
      </w:pPr>
      <w:r w:rsidRPr="004B33AE">
        <w:t xml:space="preserve"> </w:t>
      </w:r>
      <w:bookmarkStart w:id="89" w:name="_Toc319573328"/>
      <w:r w:rsidR="002416B1" w:rsidRPr="0039268C">
        <w:t>3.3.2 Závažné problémy, ktoré sa vyskytli a opatrenia prijaté na ich prekonanie</w:t>
      </w:r>
      <w:bookmarkEnd w:id="89"/>
    </w:p>
    <w:p w:rsidR="002416B1" w:rsidRDefault="002416B1" w:rsidP="00507035">
      <w:pPr>
        <w:spacing w:before="120" w:after="120" w:line="360" w:lineRule="auto"/>
        <w:jc w:val="both"/>
        <w:rPr>
          <w:rFonts w:ascii="Arial" w:hAnsi="Arial" w:cs="Arial"/>
          <w:sz w:val="20"/>
          <w:szCs w:val="20"/>
        </w:rPr>
      </w:pPr>
      <w:r w:rsidRPr="004B33AE">
        <w:rPr>
          <w:rFonts w:ascii="Arial" w:hAnsi="Arial" w:cs="Arial"/>
          <w:sz w:val="20"/>
          <w:szCs w:val="20"/>
        </w:rPr>
        <w:t xml:space="preserve">V súvislosti s implementáciou Prioritnej osi 3 neboli zaznamenané žiadne závažné problémy. </w:t>
      </w:r>
    </w:p>
    <w:p w:rsidR="008A5AC2" w:rsidRDefault="008A5AC2" w:rsidP="00507035">
      <w:pPr>
        <w:spacing w:before="120" w:after="120" w:line="360" w:lineRule="auto"/>
        <w:rPr>
          <w:rFonts w:ascii="Arial" w:hAnsi="Arial" w:cs="Arial"/>
          <w:sz w:val="20"/>
          <w:szCs w:val="20"/>
        </w:rPr>
      </w:pPr>
      <w:r w:rsidRPr="008A5AC2">
        <w:rPr>
          <w:rFonts w:ascii="Arial" w:hAnsi="Arial" w:cs="Arial"/>
          <w:b/>
          <w:sz w:val="20"/>
          <w:szCs w:val="20"/>
        </w:rPr>
        <w:t xml:space="preserve">Kvalitatívna analýza dosiahnutých výsledkov na úrovni prioritnej osi </w:t>
      </w:r>
      <w:r w:rsidR="000E362B">
        <w:rPr>
          <w:rFonts w:ascii="Arial" w:hAnsi="Arial" w:cs="Arial"/>
          <w:b/>
          <w:sz w:val="20"/>
          <w:szCs w:val="20"/>
        </w:rPr>
        <w:t>3</w:t>
      </w:r>
    </w:p>
    <w:p w:rsidR="008A5AC2" w:rsidRDefault="008A5AC2" w:rsidP="00507035">
      <w:pPr>
        <w:spacing w:before="120" w:after="120" w:line="360" w:lineRule="auto"/>
        <w:jc w:val="both"/>
        <w:rPr>
          <w:rFonts w:ascii="Arial" w:hAnsi="Arial" w:cs="Arial"/>
          <w:i/>
          <w:sz w:val="20"/>
          <w:szCs w:val="20"/>
        </w:rPr>
      </w:pPr>
      <w:r w:rsidRPr="00A322EA">
        <w:rPr>
          <w:rFonts w:ascii="Arial" w:hAnsi="Arial" w:cs="Arial"/>
          <w:i/>
          <w:sz w:val="20"/>
          <w:szCs w:val="20"/>
        </w:rPr>
        <w:t>Zhodnotenie úrovne zazmluvnenia alokovaných finančných prostriedkov za zdroje EÚ vo vzťahu k dosahovaným hodnotám ukazovateľov podľa prioritných tém</w:t>
      </w:r>
    </w:p>
    <w:p w:rsidR="008A5AC2" w:rsidRPr="00A322EA" w:rsidRDefault="008A5AC2" w:rsidP="00507035">
      <w:pPr>
        <w:spacing w:before="120" w:after="120" w:line="360" w:lineRule="auto"/>
        <w:jc w:val="both"/>
        <w:rPr>
          <w:rFonts w:ascii="Arial" w:hAnsi="Arial" w:cs="Arial"/>
          <w:sz w:val="20"/>
          <w:szCs w:val="20"/>
        </w:rPr>
      </w:pPr>
      <w:r w:rsidRPr="00A322EA">
        <w:rPr>
          <w:rFonts w:ascii="Arial" w:hAnsi="Arial" w:cs="Arial"/>
          <w:sz w:val="20"/>
          <w:szCs w:val="20"/>
        </w:rPr>
        <w:t>Použitá metodika je bližšie popísaná v kapitole 2.1.1 časť Plnenie merateľných ukazovateľov.</w:t>
      </w:r>
    </w:p>
    <w:p w:rsidR="008A5AC2" w:rsidRDefault="008A5AC2" w:rsidP="00205636">
      <w:pPr>
        <w:spacing w:line="360" w:lineRule="auto"/>
        <w:rPr>
          <w:rFonts w:ascii="Arial" w:hAnsi="Arial" w:cs="Arial"/>
          <w:sz w:val="20"/>
          <w:szCs w:val="20"/>
        </w:rPr>
      </w:pPr>
      <w:r w:rsidRPr="00570976">
        <w:rPr>
          <w:rFonts w:ascii="Arial" w:hAnsi="Arial" w:cs="Arial"/>
          <w:sz w:val="20"/>
          <w:szCs w:val="20"/>
        </w:rPr>
        <w:t>Tab. č.</w:t>
      </w:r>
      <w:r w:rsidR="007976C6" w:rsidRPr="00570976">
        <w:rPr>
          <w:rFonts w:ascii="Arial" w:hAnsi="Arial" w:cs="Arial"/>
          <w:sz w:val="20"/>
          <w:szCs w:val="20"/>
        </w:rPr>
        <w:t xml:space="preserve"> </w:t>
      </w:r>
      <w:r w:rsidR="00254D6C">
        <w:rPr>
          <w:rFonts w:ascii="Arial" w:hAnsi="Arial" w:cs="Arial"/>
          <w:sz w:val="20"/>
          <w:szCs w:val="20"/>
        </w:rPr>
        <w:t xml:space="preserve">49 </w:t>
      </w:r>
      <w:r w:rsidR="000B6E30" w:rsidRPr="000B6E30">
        <w:rPr>
          <w:rFonts w:ascii="Arial" w:hAnsi="Arial" w:cs="Arial"/>
          <w:sz w:val="20"/>
          <w:szCs w:val="20"/>
        </w:rPr>
        <w:t>Zhodnotenie úrovne</w:t>
      </w:r>
      <w:r w:rsidR="000B6E30">
        <w:rPr>
          <w:rFonts w:ascii="Arial" w:hAnsi="Arial" w:cs="Arial"/>
          <w:sz w:val="20"/>
          <w:szCs w:val="20"/>
        </w:rPr>
        <w:t xml:space="preserve"> podľa HT</w:t>
      </w:r>
    </w:p>
    <w:tbl>
      <w:tblPr>
        <w:tblW w:w="8987" w:type="dxa"/>
        <w:tblInd w:w="55" w:type="dxa"/>
        <w:tblCellMar>
          <w:left w:w="70" w:type="dxa"/>
          <w:right w:w="70" w:type="dxa"/>
        </w:tblCellMar>
        <w:tblLook w:val="04A0" w:firstRow="1" w:lastRow="0" w:firstColumn="1" w:lastColumn="0" w:noHBand="0" w:noVBand="1"/>
      </w:tblPr>
      <w:tblGrid>
        <w:gridCol w:w="1575"/>
        <w:gridCol w:w="850"/>
        <w:gridCol w:w="1276"/>
        <w:gridCol w:w="1420"/>
        <w:gridCol w:w="1480"/>
        <w:gridCol w:w="1352"/>
        <w:gridCol w:w="1034"/>
      </w:tblGrid>
      <w:tr w:rsidR="00EA6471" w:rsidTr="0039268C">
        <w:trPr>
          <w:trHeight w:val="722"/>
        </w:trPr>
        <w:tc>
          <w:tcPr>
            <w:tcW w:w="1575" w:type="dxa"/>
            <w:vMerge w:val="restart"/>
            <w:tcBorders>
              <w:top w:val="single" w:sz="8" w:space="0" w:color="auto"/>
              <w:left w:val="single" w:sz="8" w:space="0" w:color="auto"/>
              <w:bottom w:val="single" w:sz="8" w:space="0" w:color="000000"/>
              <w:right w:val="single" w:sz="8" w:space="0" w:color="auto"/>
            </w:tcBorders>
            <w:shd w:val="clear" w:color="000000" w:fill="D6E3BC"/>
            <w:noWrap/>
            <w:vAlign w:val="center"/>
            <w:hideMark/>
          </w:tcPr>
          <w:p w:rsidR="00EA6471" w:rsidRDefault="00EA6471" w:rsidP="00205636">
            <w:pPr>
              <w:jc w:val="center"/>
              <w:rPr>
                <w:rFonts w:ascii="Arial" w:hAnsi="Arial" w:cs="Arial"/>
                <w:b/>
                <w:bCs/>
                <w:color w:val="000000"/>
                <w:sz w:val="16"/>
                <w:szCs w:val="16"/>
              </w:rPr>
            </w:pPr>
            <w:r>
              <w:rPr>
                <w:rFonts w:ascii="Arial" w:hAnsi="Arial" w:cs="Arial"/>
                <w:b/>
                <w:bCs/>
                <w:color w:val="000000"/>
                <w:sz w:val="16"/>
                <w:szCs w:val="16"/>
              </w:rPr>
              <w:t>Prioritná téma</w:t>
            </w:r>
          </w:p>
        </w:tc>
        <w:tc>
          <w:tcPr>
            <w:tcW w:w="850" w:type="dxa"/>
            <w:vMerge w:val="restart"/>
            <w:tcBorders>
              <w:top w:val="single" w:sz="8" w:space="0" w:color="auto"/>
              <w:left w:val="single" w:sz="8" w:space="0" w:color="auto"/>
              <w:bottom w:val="single" w:sz="8" w:space="0" w:color="000000"/>
              <w:right w:val="single" w:sz="8" w:space="0" w:color="auto"/>
            </w:tcBorders>
            <w:shd w:val="clear" w:color="000000" w:fill="D6E3BC"/>
            <w:noWrap/>
            <w:vAlign w:val="center"/>
            <w:hideMark/>
          </w:tcPr>
          <w:p w:rsidR="00EA6471" w:rsidRDefault="00EA6471" w:rsidP="00205636">
            <w:pPr>
              <w:jc w:val="center"/>
              <w:rPr>
                <w:rFonts w:ascii="Arial" w:hAnsi="Arial" w:cs="Arial"/>
                <w:b/>
                <w:bCs/>
                <w:color w:val="000000"/>
                <w:sz w:val="16"/>
                <w:szCs w:val="16"/>
              </w:rPr>
            </w:pPr>
            <w:r>
              <w:rPr>
                <w:rFonts w:ascii="Arial" w:hAnsi="Arial" w:cs="Arial"/>
                <w:b/>
                <w:bCs/>
                <w:color w:val="000000"/>
                <w:sz w:val="16"/>
                <w:szCs w:val="16"/>
              </w:rPr>
              <w:t>Op. Cieľ</w:t>
            </w:r>
          </w:p>
        </w:tc>
        <w:tc>
          <w:tcPr>
            <w:tcW w:w="1276" w:type="dxa"/>
            <w:tcBorders>
              <w:top w:val="single" w:sz="8" w:space="0" w:color="auto"/>
              <w:left w:val="nil"/>
              <w:bottom w:val="nil"/>
              <w:right w:val="single" w:sz="8" w:space="0" w:color="auto"/>
            </w:tcBorders>
            <w:shd w:val="clear" w:color="000000" w:fill="D6E3BC"/>
            <w:vAlign w:val="center"/>
            <w:hideMark/>
          </w:tcPr>
          <w:p w:rsidR="00EA6471" w:rsidRDefault="00EA6471" w:rsidP="00205636">
            <w:pPr>
              <w:jc w:val="center"/>
              <w:rPr>
                <w:rFonts w:ascii="Arial" w:hAnsi="Arial" w:cs="Arial"/>
                <w:b/>
                <w:bCs/>
                <w:color w:val="000000"/>
                <w:sz w:val="16"/>
                <w:szCs w:val="16"/>
              </w:rPr>
            </w:pPr>
            <w:r>
              <w:rPr>
                <w:rFonts w:ascii="Arial" w:hAnsi="Arial" w:cs="Arial"/>
                <w:b/>
                <w:bCs/>
                <w:color w:val="000000"/>
                <w:sz w:val="16"/>
                <w:szCs w:val="16"/>
              </w:rPr>
              <w:t>Celková alokácia</w:t>
            </w:r>
          </w:p>
        </w:tc>
        <w:tc>
          <w:tcPr>
            <w:tcW w:w="1420" w:type="dxa"/>
            <w:tcBorders>
              <w:top w:val="single" w:sz="8" w:space="0" w:color="auto"/>
              <w:left w:val="nil"/>
              <w:bottom w:val="nil"/>
              <w:right w:val="single" w:sz="8" w:space="0" w:color="auto"/>
            </w:tcBorders>
            <w:shd w:val="clear" w:color="000000" w:fill="D6E3BC"/>
            <w:vAlign w:val="center"/>
            <w:hideMark/>
          </w:tcPr>
          <w:p w:rsidR="00EA6471" w:rsidRDefault="00EA6471" w:rsidP="00205636">
            <w:pPr>
              <w:jc w:val="center"/>
              <w:rPr>
                <w:rFonts w:ascii="Arial" w:hAnsi="Arial" w:cs="Arial"/>
                <w:b/>
                <w:bCs/>
                <w:color w:val="000000"/>
                <w:sz w:val="16"/>
                <w:szCs w:val="16"/>
              </w:rPr>
            </w:pPr>
            <w:r>
              <w:rPr>
                <w:rFonts w:ascii="Arial" w:hAnsi="Arial" w:cs="Arial"/>
                <w:b/>
                <w:bCs/>
                <w:color w:val="000000"/>
                <w:sz w:val="16"/>
                <w:szCs w:val="16"/>
              </w:rPr>
              <w:t>Suma zazmluvnená (EÚ zdroje)</w:t>
            </w:r>
          </w:p>
        </w:tc>
        <w:tc>
          <w:tcPr>
            <w:tcW w:w="1480" w:type="dxa"/>
            <w:vMerge w:val="restart"/>
            <w:tcBorders>
              <w:top w:val="single" w:sz="8" w:space="0" w:color="auto"/>
              <w:left w:val="single" w:sz="8" w:space="0" w:color="auto"/>
              <w:bottom w:val="single" w:sz="8" w:space="0" w:color="000000"/>
              <w:right w:val="single" w:sz="8" w:space="0" w:color="auto"/>
            </w:tcBorders>
            <w:shd w:val="clear" w:color="000000" w:fill="D6E3BC"/>
            <w:vAlign w:val="center"/>
            <w:hideMark/>
          </w:tcPr>
          <w:p w:rsidR="00EA6471" w:rsidRDefault="00EA6471" w:rsidP="00205636">
            <w:pPr>
              <w:jc w:val="center"/>
              <w:rPr>
                <w:rFonts w:ascii="Arial" w:hAnsi="Arial" w:cs="Arial"/>
                <w:b/>
                <w:bCs/>
                <w:color w:val="000000"/>
                <w:sz w:val="16"/>
                <w:szCs w:val="16"/>
              </w:rPr>
            </w:pPr>
            <w:r>
              <w:rPr>
                <w:rFonts w:ascii="Arial" w:hAnsi="Arial" w:cs="Arial"/>
                <w:b/>
                <w:bCs/>
                <w:color w:val="000000"/>
                <w:sz w:val="16"/>
                <w:szCs w:val="16"/>
              </w:rPr>
              <w:t xml:space="preserve">Podiel zazmluvnených projektov na celkovej alokácii </w:t>
            </w:r>
          </w:p>
        </w:tc>
        <w:tc>
          <w:tcPr>
            <w:tcW w:w="1352" w:type="dxa"/>
            <w:tcBorders>
              <w:top w:val="single" w:sz="8" w:space="0" w:color="auto"/>
              <w:left w:val="nil"/>
              <w:bottom w:val="nil"/>
              <w:right w:val="single" w:sz="8" w:space="0" w:color="auto"/>
            </w:tcBorders>
            <w:shd w:val="clear" w:color="000000" w:fill="D6E3BC"/>
            <w:vAlign w:val="center"/>
            <w:hideMark/>
          </w:tcPr>
          <w:p w:rsidR="00EA6471" w:rsidRDefault="00EA6471" w:rsidP="00205636">
            <w:pPr>
              <w:jc w:val="center"/>
              <w:rPr>
                <w:rFonts w:ascii="Arial" w:hAnsi="Arial" w:cs="Arial"/>
                <w:b/>
                <w:bCs/>
                <w:color w:val="000000"/>
                <w:sz w:val="16"/>
                <w:szCs w:val="16"/>
              </w:rPr>
            </w:pPr>
            <w:r>
              <w:rPr>
                <w:rFonts w:ascii="Arial" w:hAnsi="Arial" w:cs="Arial"/>
                <w:b/>
                <w:bCs/>
                <w:color w:val="000000"/>
                <w:sz w:val="16"/>
                <w:szCs w:val="16"/>
              </w:rPr>
              <w:t>Suma čerpaná  (EÚ zdroje)</w:t>
            </w:r>
          </w:p>
        </w:tc>
        <w:tc>
          <w:tcPr>
            <w:tcW w:w="1034" w:type="dxa"/>
            <w:vMerge w:val="restart"/>
            <w:tcBorders>
              <w:top w:val="single" w:sz="8" w:space="0" w:color="auto"/>
              <w:left w:val="single" w:sz="8" w:space="0" w:color="auto"/>
              <w:bottom w:val="single" w:sz="8" w:space="0" w:color="000000"/>
              <w:right w:val="single" w:sz="8" w:space="0" w:color="auto"/>
            </w:tcBorders>
            <w:shd w:val="clear" w:color="000000" w:fill="D6E3BC"/>
            <w:vAlign w:val="center"/>
            <w:hideMark/>
          </w:tcPr>
          <w:p w:rsidR="00EA6471" w:rsidRDefault="00EA6471" w:rsidP="00205636">
            <w:pPr>
              <w:jc w:val="center"/>
              <w:rPr>
                <w:rFonts w:ascii="Arial" w:hAnsi="Arial" w:cs="Arial"/>
                <w:b/>
                <w:bCs/>
                <w:color w:val="000000"/>
                <w:sz w:val="16"/>
                <w:szCs w:val="16"/>
              </w:rPr>
            </w:pPr>
            <w:r>
              <w:rPr>
                <w:rFonts w:ascii="Arial" w:hAnsi="Arial" w:cs="Arial"/>
                <w:b/>
                <w:bCs/>
                <w:color w:val="000000"/>
                <w:sz w:val="16"/>
                <w:szCs w:val="16"/>
              </w:rPr>
              <w:t>Podiel čerpania projektov na celkovej alokácii</w:t>
            </w:r>
          </w:p>
        </w:tc>
      </w:tr>
      <w:tr w:rsidR="00913582" w:rsidTr="0039268C">
        <w:trPr>
          <w:trHeight w:val="315"/>
        </w:trPr>
        <w:tc>
          <w:tcPr>
            <w:tcW w:w="1575" w:type="dxa"/>
            <w:vMerge/>
            <w:tcBorders>
              <w:top w:val="single" w:sz="8" w:space="0" w:color="auto"/>
              <w:left w:val="single" w:sz="8" w:space="0" w:color="auto"/>
              <w:bottom w:val="single" w:sz="8" w:space="0" w:color="000000"/>
              <w:right w:val="single" w:sz="8" w:space="0" w:color="auto"/>
            </w:tcBorders>
            <w:vAlign w:val="center"/>
            <w:hideMark/>
          </w:tcPr>
          <w:p w:rsidR="00EA6471" w:rsidRDefault="00EA6471" w:rsidP="00205636">
            <w:pPr>
              <w:rPr>
                <w:rFonts w:ascii="Arial" w:hAnsi="Arial" w:cs="Arial"/>
                <w:b/>
                <w:bCs/>
                <w:color w:val="000000"/>
                <w:sz w:val="16"/>
                <w:szCs w:val="16"/>
              </w:rPr>
            </w:pPr>
          </w:p>
        </w:tc>
        <w:tc>
          <w:tcPr>
            <w:tcW w:w="850" w:type="dxa"/>
            <w:vMerge/>
            <w:tcBorders>
              <w:top w:val="single" w:sz="8" w:space="0" w:color="auto"/>
              <w:left w:val="single" w:sz="8" w:space="0" w:color="auto"/>
              <w:bottom w:val="single" w:sz="8" w:space="0" w:color="000000"/>
              <w:right w:val="single" w:sz="8" w:space="0" w:color="auto"/>
            </w:tcBorders>
            <w:vAlign w:val="center"/>
            <w:hideMark/>
          </w:tcPr>
          <w:p w:rsidR="00EA6471" w:rsidRDefault="00EA6471" w:rsidP="00205636">
            <w:pPr>
              <w:rPr>
                <w:rFonts w:ascii="Arial" w:hAnsi="Arial" w:cs="Arial"/>
                <w:b/>
                <w:bCs/>
                <w:color w:val="000000"/>
                <w:sz w:val="16"/>
                <w:szCs w:val="16"/>
              </w:rPr>
            </w:pPr>
          </w:p>
        </w:tc>
        <w:tc>
          <w:tcPr>
            <w:tcW w:w="1276" w:type="dxa"/>
            <w:tcBorders>
              <w:top w:val="nil"/>
              <w:left w:val="nil"/>
              <w:bottom w:val="single" w:sz="8" w:space="0" w:color="auto"/>
              <w:right w:val="single" w:sz="8" w:space="0" w:color="auto"/>
            </w:tcBorders>
            <w:shd w:val="clear" w:color="000000" w:fill="D6E3BC"/>
            <w:vAlign w:val="center"/>
            <w:hideMark/>
          </w:tcPr>
          <w:p w:rsidR="00EA6471" w:rsidRDefault="00EA6471" w:rsidP="00205636">
            <w:pPr>
              <w:jc w:val="center"/>
              <w:rPr>
                <w:rFonts w:ascii="Arial" w:hAnsi="Arial" w:cs="Arial"/>
                <w:b/>
                <w:bCs/>
                <w:color w:val="000000"/>
                <w:sz w:val="16"/>
                <w:szCs w:val="16"/>
              </w:rPr>
            </w:pPr>
            <w:r>
              <w:rPr>
                <w:rFonts w:ascii="Arial" w:hAnsi="Arial" w:cs="Arial"/>
                <w:b/>
                <w:bCs/>
                <w:color w:val="000000"/>
                <w:sz w:val="16"/>
                <w:szCs w:val="16"/>
              </w:rPr>
              <w:t xml:space="preserve">v </w:t>
            </w:r>
            <w:r>
              <w:rPr>
                <w:rFonts w:ascii="Arial" w:hAnsi="Arial" w:cs="Arial"/>
                <w:color w:val="000000"/>
                <w:sz w:val="16"/>
                <w:szCs w:val="16"/>
              </w:rPr>
              <w:t>€</w:t>
            </w:r>
          </w:p>
        </w:tc>
        <w:tc>
          <w:tcPr>
            <w:tcW w:w="1420" w:type="dxa"/>
            <w:tcBorders>
              <w:top w:val="nil"/>
              <w:left w:val="nil"/>
              <w:bottom w:val="single" w:sz="8" w:space="0" w:color="auto"/>
              <w:right w:val="single" w:sz="8" w:space="0" w:color="auto"/>
            </w:tcBorders>
            <w:shd w:val="clear" w:color="000000" w:fill="D6E3BC"/>
            <w:vAlign w:val="center"/>
            <w:hideMark/>
          </w:tcPr>
          <w:p w:rsidR="00EA6471" w:rsidRDefault="00EA6471" w:rsidP="00205636">
            <w:pPr>
              <w:jc w:val="center"/>
              <w:rPr>
                <w:rFonts w:ascii="Arial" w:hAnsi="Arial" w:cs="Arial"/>
                <w:b/>
                <w:bCs/>
                <w:color w:val="000000"/>
                <w:sz w:val="16"/>
                <w:szCs w:val="16"/>
              </w:rPr>
            </w:pPr>
            <w:r>
              <w:rPr>
                <w:rFonts w:ascii="Arial" w:hAnsi="Arial" w:cs="Arial"/>
                <w:b/>
                <w:bCs/>
                <w:color w:val="000000"/>
                <w:sz w:val="16"/>
                <w:szCs w:val="16"/>
              </w:rPr>
              <w:t xml:space="preserve">v </w:t>
            </w:r>
            <w:r>
              <w:rPr>
                <w:rFonts w:ascii="Arial" w:hAnsi="Arial" w:cs="Arial"/>
                <w:color w:val="000000"/>
                <w:sz w:val="16"/>
                <w:szCs w:val="16"/>
              </w:rPr>
              <w:t>€</w:t>
            </w:r>
          </w:p>
        </w:tc>
        <w:tc>
          <w:tcPr>
            <w:tcW w:w="1480" w:type="dxa"/>
            <w:vMerge/>
            <w:tcBorders>
              <w:top w:val="single" w:sz="8" w:space="0" w:color="auto"/>
              <w:left w:val="single" w:sz="8" w:space="0" w:color="auto"/>
              <w:bottom w:val="single" w:sz="8" w:space="0" w:color="000000"/>
              <w:right w:val="single" w:sz="8" w:space="0" w:color="auto"/>
            </w:tcBorders>
            <w:vAlign w:val="center"/>
            <w:hideMark/>
          </w:tcPr>
          <w:p w:rsidR="00EA6471" w:rsidRDefault="00EA6471" w:rsidP="00205636">
            <w:pPr>
              <w:rPr>
                <w:rFonts w:ascii="Arial" w:hAnsi="Arial" w:cs="Arial"/>
                <w:b/>
                <w:bCs/>
                <w:color w:val="000000"/>
                <w:sz w:val="16"/>
                <w:szCs w:val="16"/>
              </w:rPr>
            </w:pPr>
          </w:p>
        </w:tc>
        <w:tc>
          <w:tcPr>
            <w:tcW w:w="1352" w:type="dxa"/>
            <w:tcBorders>
              <w:top w:val="nil"/>
              <w:left w:val="nil"/>
              <w:bottom w:val="single" w:sz="8" w:space="0" w:color="auto"/>
              <w:right w:val="single" w:sz="8" w:space="0" w:color="auto"/>
            </w:tcBorders>
            <w:shd w:val="clear" w:color="000000" w:fill="D6E3BC"/>
            <w:vAlign w:val="center"/>
            <w:hideMark/>
          </w:tcPr>
          <w:p w:rsidR="00EA6471" w:rsidRDefault="00EA6471" w:rsidP="00205636">
            <w:pPr>
              <w:jc w:val="center"/>
              <w:rPr>
                <w:rFonts w:ascii="Arial" w:hAnsi="Arial" w:cs="Arial"/>
                <w:b/>
                <w:bCs/>
                <w:color w:val="000000"/>
                <w:sz w:val="16"/>
                <w:szCs w:val="16"/>
              </w:rPr>
            </w:pPr>
            <w:r>
              <w:rPr>
                <w:rFonts w:ascii="Arial" w:hAnsi="Arial" w:cs="Arial"/>
                <w:b/>
                <w:bCs/>
                <w:color w:val="000000"/>
                <w:sz w:val="16"/>
                <w:szCs w:val="16"/>
              </w:rPr>
              <w:t xml:space="preserve">v </w:t>
            </w:r>
            <w:r>
              <w:rPr>
                <w:rFonts w:ascii="Arial" w:hAnsi="Arial" w:cs="Arial"/>
                <w:color w:val="000000"/>
                <w:sz w:val="16"/>
                <w:szCs w:val="16"/>
              </w:rPr>
              <w:t>€</w:t>
            </w:r>
          </w:p>
        </w:tc>
        <w:tc>
          <w:tcPr>
            <w:tcW w:w="1034" w:type="dxa"/>
            <w:vMerge/>
            <w:tcBorders>
              <w:top w:val="single" w:sz="8" w:space="0" w:color="auto"/>
              <w:left w:val="single" w:sz="8" w:space="0" w:color="auto"/>
              <w:bottom w:val="single" w:sz="8" w:space="0" w:color="000000"/>
              <w:right w:val="single" w:sz="8" w:space="0" w:color="auto"/>
            </w:tcBorders>
            <w:vAlign w:val="center"/>
            <w:hideMark/>
          </w:tcPr>
          <w:p w:rsidR="00EA6471" w:rsidRDefault="00EA6471" w:rsidP="00205636">
            <w:pPr>
              <w:rPr>
                <w:rFonts w:ascii="Arial" w:hAnsi="Arial" w:cs="Arial"/>
                <w:b/>
                <w:bCs/>
                <w:color w:val="000000"/>
                <w:sz w:val="16"/>
                <w:szCs w:val="16"/>
              </w:rPr>
            </w:pPr>
          </w:p>
        </w:tc>
      </w:tr>
      <w:tr w:rsidR="00913582" w:rsidTr="0039268C">
        <w:trPr>
          <w:trHeight w:val="496"/>
        </w:trPr>
        <w:tc>
          <w:tcPr>
            <w:tcW w:w="1575" w:type="dxa"/>
            <w:tcBorders>
              <w:top w:val="nil"/>
              <w:left w:val="single" w:sz="8" w:space="0" w:color="auto"/>
              <w:bottom w:val="single" w:sz="8" w:space="0" w:color="auto"/>
              <w:right w:val="single" w:sz="8" w:space="0" w:color="auto"/>
            </w:tcBorders>
            <w:shd w:val="clear" w:color="000000" w:fill="EAF1DD"/>
            <w:vAlign w:val="center"/>
            <w:hideMark/>
          </w:tcPr>
          <w:p w:rsidR="00EA6471" w:rsidRDefault="00EA6471" w:rsidP="00205636">
            <w:pPr>
              <w:rPr>
                <w:rFonts w:ascii="Arial" w:hAnsi="Arial" w:cs="Arial"/>
                <w:color w:val="000000"/>
                <w:sz w:val="16"/>
                <w:szCs w:val="16"/>
              </w:rPr>
            </w:pPr>
            <w:r>
              <w:rPr>
                <w:rFonts w:ascii="Arial" w:hAnsi="Arial" w:cs="Arial"/>
                <w:color w:val="000000"/>
                <w:sz w:val="16"/>
                <w:szCs w:val="16"/>
              </w:rPr>
              <w:t>HT 47 Kvalita vzduchu</w:t>
            </w:r>
          </w:p>
        </w:tc>
        <w:tc>
          <w:tcPr>
            <w:tcW w:w="850" w:type="dxa"/>
            <w:tcBorders>
              <w:top w:val="nil"/>
              <w:left w:val="nil"/>
              <w:bottom w:val="single" w:sz="8" w:space="0" w:color="auto"/>
              <w:right w:val="single" w:sz="8" w:space="0" w:color="auto"/>
            </w:tcBorders>
            <w:shd w:val="clear" w:color="auto" w:fill="auto"/>
            <w:vAlign w:val="center"/>
            <w:hideMark/>
          </w:tcPr>
          <w:p w:rsidR="00EA6471" w:rsidRDefault="00EA6471" w:rsidP="00205636">
            <w:pPr>
              <w:jc w:val="center"/>
              <w:rPr>
                <w:rFonts w:ascii="Arial" w:hAnsi="Arial" w:cs="Arial"/>
                <w:color w:val="000000"/>
                <w:sz w:val="16"/>
                <w:szCs w:val="16"/>
              </w:rPr>
            </w:pPr>
            <w:r>
              <w:rPr>
                <w:rFonts w:ascii="Arial" w:hAnsi="Arial" w:cs="Arial"/>
                <w:color w:val="000000"/>
                <w:sz w:val="16"/>
                <w:szCs w:val="16"/>
              </w:rPr>
              <w:t>3.1.</w:t>
            </w:r>
          </w:p>
        </w:tc>
        <w:tc>
          <w:tcPr>
            <w:tcW w:w="1276" w:type="dxa"/>
            <w:tcBorders>
              <w:top w:val="nil"/>
              <w:left w:val="nil"/>
              <w:bottom w:val="single" w:sz="8" w:space="0" w:color="auto"/>
              <w:right w:val="single" w:sz="8" w:space="0" w:color="auto"/>
            </w:tcBorders>
            <w:shd w:val="clear" w:color="auto" w:fill="auto"/>
            <w:noWrap/>
            <w:vAlign w:val="center"/>
            <w:hideMark/>
          </w:tcPr>
          <w:p w:rsidR="00EA6471" w:rsidRDefault="00EA6471" w:rsidP="00205636">
            <w:pPr>
              <w:jc w:val="center"/>
              <w:rPr>
                <w:rFonts w:ascii="Arial" w:hAnsi="Arial" w:cs="Arial"/>
                <w:color w:val="000000"/>
                <w:sz w:val="16"/>
                <w:szCs w:val="16"/>
              </w:rPr>
            </w:pPr>
            <w:r>
              <w:rPr>
                <w:rFonts w:ascii="Arial" w:hAnsi="Arial" w:cs="Arial"/>
                <w:color w:val="000000"/>
                <w:sz w:val="16"/>
                <w:szCs w:val="16"/>
              </w:rPr>
              <w:t>107 800 000</w:t>
            </w:r>
          </w:p>
        </w:tc>
        <w:tc>
          <w:tcPr>
            <w:tcW w:w="1420" w:type="dxa"/>
            <w:tcBorders>
              <w:top w:val="nil"/>
              <w:left w:val="nil"/>
              <w:bottom w:val="single" w:sz="8" w:space="0" w:color="auto"/>
              <w:right w:val="single" w:sz="8" w:space="0" w:color="auto"/>
            </w:tcBorders>
            <w:shd w:val="clear" w:color="auto" w:fill="auto"/>
            <w:noWrap/>
            <w:vAlign w:val="center"/>
            <w:hideMark/>
          </w:tcPr>
          <w:p w:rsidR="00EA6471" w:rsidRDefault="00EA6471" w:rsidP="00205636">
            <w:pPr>
              <w:jc w:val="center"/>
              <w:rPr>
                <w:rFonts w:ascii="Arial" w:hAnsi="Arial" w:cs="Arial"/>
                <w:color w:val="000000"/>
                <w:sz w:val="16"/>
                <w:szCs w:val="16"/>
              </w:rPr>
            </w:pPr>
            <w:r>
              <w:rPr>
                <w:rFonts w:ascii="Arial" w:hAnsi="Arial" w:cs="Arial"/>
                <w:color w:val="000000"/>
                <w:sz w:val="16"/>
                <w:szCs w:val="16"/>
              </w:rPr>
              <w:t>77 577 627</w:t>
            </w:r>
          </w:p>
        </w:tc>
        <w:tc>
          <w:tcPr>
            <w:tcW w:w="1480" w:type="dxa"/>
            <w:tcBorders>
              <w:top w:val="nil"/>
              <w:left w:val="nil"/>
              <w:bottom w:val="single" w:sz="8" w:space="0" w:color="auto"/>
              <w:right w:val="single" w:sz="8" w:space="0" w:color="auto"/>
            </w:tcBorders>
            <w:shd w:val="clear" w:color="auto" w:fill="auto"/>
            <w:noWrap/>
            <w:vAlign w:val="center"/>
            <w:hideMark/>
          </w:tcPr>
          <w:p w:rsidR="00EA6471" w:rsidRDefault="00EA6471" w:rsidP="00205636">
            <w:pPr>
              <w:jc w:val="center"/>
              <w:rPr>
                <w:rFonts w:ascii="Arial" w:hAnsi="Arial" w:cs="Arial"/>
                <w:color w:val="000000"/>
                <w:sz w:val="16"/>
                <w:szCs w:val="16"/>
              </w:rPr>
            </w:pPr>
            <w:r>
              <w:rPr>
                <w:rFonts w:ascii="Arial" w:hAnsi="Arial" w:cs="Arial"/>
                <w:color w:val="000000"/>
                <w:sz w:val="16"/>
                <w:szCs w:val="16"/>
              </w:rPr>
              <w:t>71,96%</w:t>
            </w:r>
          </w:p>
        </w:tc>
        <w:tc>
          <w:tcPr>
            <w:tcW w:w="1352" w:type="dxa"/>
            <w:tcBorders>
              <w:top w:val="nil"/>
              <w:left w:val="nil"/>
              <w:bottom w:val="single" w:sz="8" w:space="0" w:color="auto"/>
              <w:right w:val="single" w:sz="8" w:space="0" w:color="auto"/>
            </w:tcBorders>
            <w:shd w:val="clear" w:color="auto" w:fill="auto"/>
            <w:noWrap/>
            <w:vAlign w:val="center"/>
            <w:hideMark/>
          </w:tcPr>
          <w:p w:rsidR="00EA6471" w:rsidRDefault="00EA6471" w:rsidP="00205636">
            <w:pPr>
              <w:jc w:val="center"/>
              <w:rPr>
                <w:rFonts w:ascii="Arial" w:hAnsi="Arial" w:cs="Arial"/>
                <w:color w:val="000000"/>
                <w:sz w:val="16"/>
                <w:szCs w:val="16"/>
              </w:rPr>
            </w:pPr>
            <w:r>
              <w:rPr>
                <w:rFonts w:ascii="Arial" w:hAnsi="Arial" w:cs="Arial"/>
                <w:color w:val="000000"/>
                <w:sz w:val="16"/>
                <w:szCs w:val="16"/>
              </w:rPr>
              <w:t>61 295 188</w:t>
            </w:r>
          </w:p>
        </w:tc>
        <w:tc>
          <w:tcPr>
            <w:tcW w:w="1034" w:type="dxa"/>
            <w:tcBorders>
              <w:top w:val="nil"/>
              <w:left w:val="nil"/>
              <w:bottom w:val="single" w:sz="8" w:space="0" w:color="auto"/>
              <w:right w:val="single" w:sz="8" w:space="0" w:color="auto"/>
            </w:tcBorders>
            <w:shd w:val="clear" w:color="auto" w:fill="auto"/>
            <w:noWrap/>
            <w:vAlign w:val="center"/>
            <w:hideMark/>
          </w:tcPr>
          <w:p w:rsidR="00EA6471" w:rsidRDefault="00EA6471" w:rsidP="00205636">
            <w:pPr>
              <w:jc w:val="center"/>
              <w:rPr>
                <w:rFonts w:ascii="Arial" w:hAnsi="Arial" w:cs="Arial"/>
                <w:color w:val="000000"/>
                <w:sz w:val="16"/>
                <w:szCs w:val="16"/>
              </w:rPr>
            </w:pPr>
            <w:r>
              <w:rPr>
                <w:rFonts w:ascii="Arial" w:hAnsi="Arial" w:cs="Arial"/>
                <w:color w:val="000000"/>
                <w:sz w:val="16"/>
                <w:szCs w:val="16"/>
              </w:rPr>
              <w:t>56,86%</w:t>
            </w:r>
          </w:p>
        </w:tc>
      </w:tr>
      <w:tr w:rsidR="00913582" w:rsidTr="0039268C">
        <w:trPr>
          <w:trHeight w:val="1113"/>
        </w:trPr>
        <w:tc>
          <w:tcPr>
            <w:tcW w:w="1575" w:type="dxa"/>
            <w:tcBorders>
              <w:top w:val="nil"/>
              <w:left w:val="single" w:sz="8" w:space="0" w:color="auto"/>
              <w:bottom w:val="single" w:sz="8" w:space="0" w:color="auto"/>
              <w:right w:val="single" w:sz="8" w:space="0" w:color="auto"/>
            </w:tcBorders>
            <w:shd w:val="clear" w:color="000000" w:fill="EAF1DD"/>
            <w:vAlign w:val="center"/>
            <w:hideMark/>
          </w:tcPr>
          <w:p w:rsidR="00EA6471" w:rsidRDefault="00EA6471" w:rsidP="00205636">
            <w:pPr>
              <w:rPr>
                <w:rFonts w:ascii="Arial" w:hAnsi="Arial" w:cs="Arial"/>
                <w:color w:val="000000"/>
                <w:sz w:val="16"/>
                <w:szCs w:val="16"/>
              </w:rPr>
            </w:pPr>
            <w:r>
              <w:rPr>
                <w:rFonts w:ascii="Arial" w:hAnsi="Arial" w:cs="Arial"/>
                <w:color w:val="000000"/>
                <w:sz w:val="16"/>
                <w:szCs w:val="16"/>
              </w:rPr>
              <w:t>HT 49 Zmierňovanie klimatickej zmeny a prispôsobovanie sa klimatickej zmene</w:t>
            </w:r>
          </w:p>
        </w:tc>
        <w:tc>
          <w:tcPr>
            <w:tcW w:w="850" w:type="dxa"/>
            <w:tcBorders>
              <w:top w:val="nil"/>
              <w:left w:val="nil"/>
              <w:bottom w:val="single" w:sz="8" w:space="0" w:color="auto"/>
              <w:right w:val="single" w:sz="8" w:space="0" w:color="auto"/>
            </w:tcBorders>
            <w:shd w:val="clear" w:color="auto" w:fill="auto"/>
            <w:vAlign w:val="center"/>
            <w:hideMark/>
          </w:tcPr>
          <w:p w:rsidR="00EA6471" w:rsidRDefault="00EA6471" w:rsidP="00205636">
            <w:pPr>
              <w:jc w:val="center"/>
              <w:rPr>
                <w:rFonts w:ascii="Arial" w:hAnsi="Arial" w:cs="Arial"/>
                <w:color w:val="000000"/>
                <w:sz w:val="16"/>
                <w:szCs w:val="16"/>
              </w:rPr>
            </w:pPr>
            <w:r>
              <w:rPr>
                <w:rFonts w:ascii="Arial" w:hAnsi="Arial" w:cs="Arial"/>
                <w:color w:val="000000"/>
                <w:sz w:val="16"/>
                <w:szCs w:val="16"/>
              </w:rPr>
              <w:t>3.2.</w:t>
            </w:r>
          </w:p>
        </w:tc>
        <w:tc>
          <w:tcPr>
            <w:tcW w:w="1276" w:type="dxa"/>
            <w:tcBorders>
              <w:top w:val="nil"/>
              <w:left w:val="nil"/>
              <w:bottom w:val="single" w:sz="8" w:space="0" w:color="auto"/>
              <w:right w:val="single" w:sz="8" w:space="0" w:color="auto"/>
            </w:tcBorders>
            <w:shd w:val="clear" w:color="auto" w:fill="auto"/>
            <w:noWrap/>
            <w:vAlign w:val="center"/>
            <w:hideMark/>
          </w:tcPr>
          <w:p w:rsidR="00EA6471" w:rsidRDefault="00EA6471" w:rsidP="00205636">
            <w:pPr>
              <w:jc w:val="center"/>
              <w:rPr>
                <w:rFonts w:ascii="Arial" w:hAnsi="Arial" w:cs="Arial"/>
                <w:color w:val="000000"/>
                <w:sz w:val="16"/>
                <w:szCs w:val="16"/>
              </w:rPr>
            </w:pPr>
            <w:r>
              <w:rPr>
                <w:rFonts w:ascii="Arial" w:hAnsi="Arial" w:cs="Arial"/>
                <w:color w:val="000000"/>
                <w:sz w:val="16"/>
                <w:szCs w:val="16"/>
              </w:rPr>
              <w:t>39 800 000</w:t>
            </w:r>
          </w:p>
        </w:tc>
        <w:tc>
          <w:tcPr>
            <w:tcW w:w="1420" w:type="dxa"/>
            <w:tcBorders>
              <w:top w:val="nil"/>
              <w:left w:val="nil"/>
              <w:bottom w:val="single" w:sz="8" w:space="0" w:color="auto"/>
              <w:right w:val="single" w:sz="8" w:space="0" w:color="auto"/>
            </w:tcBorders>
            <w:shd w:val="clear" w:color="auto" w:fill="auto"/>
            <w:noWrap/>
            <w:vAlign w:val="center"/>
            <w:hideMark/>
          </w:tcPr>
          <w:p w:rsidR="00EA6471" w:rsidRDefault="00EA6471" w:rsidP="00205636">
            <w:pPr>
              <w:jc w:val="center"/>
              <w:rPr>
                <w:rFonts w:ascii="Arial" w:hAnsi="Arial" w:cs="Arial"/>
                <w:color w:val="000000"/>
                <w:sz w:val="16"/>
                <w:szCs w:val="16"/>
              </w:rPr>
            </w:pPr>
            <w:r>
              <w:rPr>
                <w:rFonts w:ascii="Arial" w:hAnsi="Arial" w:cs="Arial"/>
                <w:color w:val="000000"/>
                <w:sz w:val="16"/>
                <w:szCs w:val="16"/>
              </w:rPr>
              <w:t>32 970 533</w:t>
            </w:r>
          </w:p>
        </w:tc>
        <w:tc>
          <w:tcPr>
            <w:tcW w:w="1480" w:type="dxa"/>
            <w:tcBorders>
              <w:top w:val="nil"/>
              <w:left w:val="nil"/>
              <w:bottom w:val="single" w:sz="8" w:space="0" w:color="auto"/>
              <w:right w:val="single" w:sz="8" w:space="0" w:color="auto"/>
            </w:tcBorders>
            <w:shd w:val="clear" w:color="auto" w:fill="auto"/>
            <w:noWrap/>
            <w:vAlign w:val="center"/>
            <w:hideMark/>
          </w:tcPr>
          <w:p w:rsidR="00EA6471" w:rsidRDefault="00EA6471" w:rsidP="00205636">
            <w:pPr>
              <w:jc w:val="center"/>
              <w:rPr>
                <w:rFonts w:ascii="Arial" w:hAnsi="Arial" w:cs="Arial"/>
                <w:color w:val="000000"/>
                <w:sz w:val="16"/>
                <w:szCs w:val="16"/>
              </w:rPr>
            </w:pPr>
            <w:r>
              <w:rPr>
                <w:rFonts w:ascii="Arial" w:hAnsi="Arial" w:cs="Arial"/>
                <w:color w:val="000000"/>
                <w:sz w:val="16"/>
                <w:szCs w:val="16"/>
              </w:rPr>
              <w:t>82,84%</w:t>
            </w:r>
          </w:p>
        </w:tc>
        <w:tc>
          <w:tcPr>
            <w:tcW w:w="1352" w:type="dxa"/>
            <w:tcBorders>
              <w:top w:val="nil"/>
              <w:left w:val="nil"/>
              <w:bottom w:val="single" w:sz="8" w:space="0" w:color="auto"/>
              <w:right w:val="single" w:sz="8" w:space="0" w:color="auto"/>
            </w:tcBorders>
            <w:shd w:val="clear" w:color="auto" w:fill="auto"/>
            <w:noWrap/>
            <w:vAlign w:val="center"/>
            <w:hideMark/>
          </w:tcPr>
          <w:p w:rsidR="00EA6471" w:rsidRDefault="00EA6471" w:rsidP="00205636">
            <w:pPr>
              <w:jc w:val="center"/>
              <w:rPr>
                <w:rFonts w:ascii="Arial" w:hAnsi="Arial" w:cs="Arial"/>
                <w:color w:val="000000"/>
                <w:sz w:val="16"/>
                <w:szCs w:val="16"/>
              </w:rPr>
            </w:pPr>
            <w:r>
              <w:rPr>
                <w:rFonts w:ascii="Arial" w:hAnsi="Arial" w:cs="Arial"/>
                <w:color w:val="000000"/>
                <w:sz w:val="16"/>
                <w:szCs w:val="16"/>
              </w:rPr>
              <w:t>30 997 148</w:t>
            </w:r>
          </w:p>
        </w:tc>
        <w:tc>
          <w:tcPr>
            <w:tcW w:w="1034" w:type="dxa"/>
            <w:tcBorders>
              <w:top w:val="nil"/>
              <w:left w:val="nil"/>
              <w:bottom w:val="single" w:sz="8" w:space="0" w:color="auto"/>
              <w:right w:val="single" w:sz="8" w:space="0" w:color="auto"/>
            </w:tcBorders>
            <w:shd w:val="clear" w:color="auto" w:fill="auto"/>
            <w:noWrap/>
            <w:vAlign w:val="center"/>
            <w:hideMark/>
          </w:tcPr>
          <w:p w:rsidR="00EA6471" w:rsidRDefault="00EA6471" w:rsidP="00205636">
            <w:pPr>
              <w:jc w:val="center"/>
              <w:rPr>
                <w:rFonts w:ascii="Arial" w:hAnsi="Arial" w:cs="Arial"/>
                <w:color w:val="000000"/>
                <w:sz w:val="16"/>
                <w:szCs w:val="16"/>
              </w:rPr>
            </w:pPr>
            <w:r>
              <w:rPr>
                <w:rFonts w:ascii="Arial" w:hAnsi="Arial" w:cs="Arial"/>
                <w:color w:val="000000"/>
                <w:sz w:val="16"/>
                <w:szCs w:val="16"/>
              </w:rPr>
              <w:t>77,88%</w:t>
            </w:r>
          </w:p>
        </w:tc>
      </w:tr>
      <w:tr w:rsidR="00913582" w:rsidTr="0039268C">
        <w:trPr>
          <w:trHeight w:val="693"/>
        </w:trPr>
        <w:tc>
          <w:tcPr>
            <w:tcW w:w="1575" w:type="dxa"/>
            <w:tcBorders>
              <w:top w:val="nil"/>
              <w:left w:val="single" w:sz="8" w:space="0" w:color="auto"/>
              <w:bottom w:val="single" w:sz="8" w:space="0" w:color="auto"/>
              <w:right w:val="single" w:sz="8" w:space="0" w:color="auto"/>
            </w:tcBorders>
            <w:shd w:val="clear" w:color="000000" w:fill="EAF1DD"/>
            <w:vAlign w:val="center"/>
            <w:hideMark/>
          </w:tcPr>
          <w:p w:rsidR="00EA6471" w:rsidRDefault="00EA6471" w:rsidP="00205636">
            <w:pPr>
              <w:rPr>
                <w:rFonts w:ascii="Arial" w:hAnsi="Arial" w:cs="Arial"/>
                <w:color w:val="000000"/>
                <w:sz w:val="16"/>
                <w:szCs w:val="16"/>
              </w:rPr>
            </w:pPr>
            <w:r>
              <w:rPr>
                <w:rFonts w:ascii="Arial" w:hAnsi="Arial" w:cs="Arial"/>
                <w:color w:val="000000"/>
                <w:sz w:val="16"/>
                <w:szCs w:val="16"/>
              </w:rPr>
              <w:t>HT 52 Podpora čistej mestskej dopravy</w:t>
            </w:r>
          </w:p>
        </w:tc>
        <w:tc>
          <w:tcPr>
            <w:tcW w:w="850" w:type="dxa"/>
            <w:tcBorders>
              <w:top w:val="nil"/>
              <w:left w:val="nil"/>
              <w:bottom w:val="single" w:sz="8" w:space="0" w:color="auto"/>
              <w:right w:val="single" w:sz="8" w:space="0" w:color="auto"/>
            </w:tcBorders>
            <w:shd w:val="clear" w:color="auto" w:fill="auto"/>
            <w:vAlign w:val="center"/>
            <w:hideMark/>
          </w:tcPr>
          <w:p w:rsidR="00EA6471" w:rsidRDefault="00EA6471" w:rsidP="00205636">
            <w:pPr>
              <w:jc w:val="center"/>
              <w:rPr>
                <w:rFonts w:ascii="Arial" w:hAnsi="Arial" w:cs="Arial"/>
                <w:color w:val="000000"/>
                <w:sz w:val="16"/>
                <w:szCs w:val="16"/>
              </w:rPr>
            </w:pPr>
            <w:r>
              <w:rPr>
                <w:rFonts w:ascii="Arial" w:hAnsi="Arial" w:cs="Arial"/>
                <w:color w:val="000000"/>
                <w:sz w:val="16"/>
                <w:szCs w:val="16"/>
              </w:rPr>
              <w:t>3.1.</w:t>
            </w:r>
          </w:p>
        </w:tc>
        <w:tc>
          <w:tcPr>
            <w:tcW w:w="1276" w:type="dxa"/>
            <w:tcBorders>
              <w:top w:val="nil"/>
              <w:left w:val="nil"/>
              <w:bottom w:val="single" w:sz="8" w:space="0" w:color="auto"/>
              <w:right w:val="single" w:sz="8" w:space="0" w:color="auto"/>
            </w:tcBorders>
            <w:shd w:val="clear" w:color="auto" w:fill="auto"/>
            <w:noWrap/>
            <w:vAlign w:val="center"/>
            <w:hideMark/>
          </w:tcPr>
          <w:p w:rsidR="00EA6471" w:rsidRDefault="00EA6471" w:rsidP="00205636">
            <w:pPr>
              <w:jc w:val="center"/>
              <w:rPr>
                <w:rFonts w:ascii="Arial" w:hAnsi="Arial" w:cs="Arial"/>
                <w:color w:val="000000"/>
                <w:sz w:val="16"/>
                <w:szCs w:val="16"/>
              </w:rPr>
            </w:pPr>
            <w:r>
              <w:rPr>
                <w:rFonts w:ascii="Arial" w:hAnsi="Arial" w:cs="Arial"/>
                <w:color w:val="000000"/>
                <w:sz w:val="16"/>
                <w:szCs w:val="16"/>
              </w:rPr>
              <w:t>32 400 000</w:t>
            </w:r>
          </w:p>
        </w:tc>
        <w:tc>
          <w:tcPr>
            <w:tcW w:w="1420" w:type="dxa"/>
            <w:tcBorders>
              <w:top w:val="nil"/>
              <w:left w:val="nil"/>
              <w:bottom w:val="single" w:sz="8" w:space="0" w:color="auto"/>
              <w:right w:val="single" w:sz="8" w:space="0" w:color="auto"/>
            </w:tcBorders>
            <w:shd w:val="clear" w:color="auto" w:fill="auto"/>
            <w:noWrap/>
            <w:vAlign w:val="center"/>
            <w:hideMark/>
          </w:tcPr>
          <w:p w:rsidR="00EA6471" w:rsidRDefault="00EA6471" w:rsidP="00205636">
            <w:pPr>
              <w:jc w:val="center"/>
              <w:rPr>
                <w:rFonts w:ascii="Arial" w:hAnsi="Arial" w:cs="Arial"/>
                <w:color w:val="000000"/>
                <w:sz w:val="16"/>
                <w:szCs w:val="16"/>
              </w:rPr>
            </w:pPr>
            <w:r>
              <w:rPr>
                <w:rFonts w:ascii="Arial" w:hAnsi="Arial" w:cs="Arial"/>
                <w:color w:val="000000"/>
                <w:sz w:val="16"/>
                <w:szCs w:val="16"/>
              </w:rPr>
              <w:t>32 702 373</w:t>
            </w:r>
          </w:p>
        </w:tc>
        <w:tc>
          <w:tcPr>
            <w:tcW w:w="1480" w:type="dxa"/>
            <w:tcBorders>
              <w:top w:val="nil"/>
              <w:left w:val="nil"/>
              <w:bottom w:val="single" w:sz="8" w:space="0" w:color="auto"/>
              <w:right w:val="single" w:sz="8" w:space="0" w:color="auto"/>
            </w:tcBorders>
            <w:shd w:val="clear" w:color="auto" w:fill="auto"/>
            <w:noWrap/>
            <w:vAlign w:val="center"/>
            <w:hideMark/>
          </w:tcPr>
          <w:p w:rsidR="00EA6471" w:rsidRDefault="00EA6471" w:rsidP="00205636">
            <w:pPr>
              <w:jc w:val="center"/>
              <w:rPr>
                <w:rFonts w:ascii="Arial" w:hAnsi="Arial" w:cs="Arial"/>
                <w:color w:val="000000"/>
                <w:sz w:val="16"/>
                <w:szCs w:val="16"/>
              </w:rPr>
            </w:pPr>
            <w:r>
              <w:rPr>
                <w:rFonts w:ascii="Arial" w:hAnsi="Arial" w:cs="Arial"/>
                <w:color w:val="000000"/>
                <w:sz w:val="16"/>
                <w:szCs w:val="16"/>
              </w:rPr>
              <w:t>100,93%</w:t>
            </w:r>
          </w:p>
        </w:tc>
        <w:tc>
          <w:tcPr>
            <w:tcW w:w="1352" w:type="dxa"/>
            <w:tcBorders>
              <w:top w:val="nil"/>
              <w:left w:val="nil"/>
              <w:bottom w:val="single" w:sz="8" w:space="0" w:color="auto"/>
              <w:right w:val="single" w:sz="8" w:space="0" w:color="auto"/>
            </w:tcBorders>
            <w:shd w:val="clear" w:color="auto" w:fill="auto"/>
            <w:noWrap/>
            <w:vAlign w:val="center"/>
            <w:hideMark/>
          </w:tcPr>
          <w:p w:rsidR="00EA6471" w:rsidRDefault="00EA6471" w:rsidP="00205636">
            <w:pPr>
              <w:jc w:val="center"/>
              <w:rPr>
                <w:rFonts w:ascii="Arial" w:hAnsi="Arial" w:cs="Arial"/>
                <w:color w:val="000000"/>
                <w:sz w:val="16"/>
                <w:szCs w:val="16"/>
              </w:rPr>
            </w:pPr>
            <w:r>
              <w:rPr>
                <w:rFonts w:ascii="Arial" w:hAnsi="Arial" w:cs="Arial"/>
                <w:color w:val="000000"/>
                <w:sz w:val="16"/>
                <w:szCs w:val="16"/>
              </w:rPr>
              <w:t>27 349 097</w:t>
            </w:r>
          </w:p>
        </w:tc>
        <w:tc>
          <w:tcPr>
            <w:tcW w:w="1034" w:type="dxa"/>
            <w:tcBorders>
              <w:top w:val="nil"/>
              <w:left w:val="nil"/>
              <w:bottom w:val="single" w:sz="8" w:space="0" w:color="auto"/>
              <w:right w:val="single" w:sz="8" w:space="0" w:color="auto"/>
            </w:tcBorders>
            <w:shd w:val="clear" w:color="auto" w:fill="auto"/>
            <w:noWrap/>
            <w:vAlign w:val="center"/>
            <w:hideMark/>
          </w:tcPr>
          <w:p w:rsidR="00EA6471" w:rsidRDefault="00EA6471" w:rsidP="00205636">
            <w:pPr>
              <w:jc w:val="center"/>
              <w:rPr>
                <w:rFonts w:ascii="Arial" w:hAnsi="Arial" w:cs="Arial"/>
                <w:color w:val="000000"/>
                <w:sz w:val="16"/>
                <w:szCs w:val="16"/>
              </w:rPr>
            </w:pPr>
            <w:r>
              <w:rPr>
                <w:rFonts w:ascii="Arial" w:hAnsi="Arial" w:cs="Arial"/>
                <w:color w:val="000000"/>
                <w:sz w:val="16"/>
                <w:szCs w:val="16"/>
              </w:rPr>
              <w:t>84,41%</w:t>
            </w:r>
          </w:p>
        </w:tc>
      </w:tr>
      <w:tr w:rsidR="00913582" w:rsidTr="0039268C">
        <w:trPr>
          <w:trHeight w:val="315"/>
        </w:trPr>
        <w:tc>
          <w:tcPr>
            <w:tcW w:w="1575" w:type="dxa"/>
            <w:tcBorders>
              <w:top w:val="nil"/>
              <w:left w:val="single" w:sz="8" w:space="0" w:color="auto"/>
              <w:bottom w:val="single" w:sz="8" w:space="0" w:color="auto"/>
              <w:right w:val="single" w:sz="8" w:space="0" w:color="auto"/>
            </w:tcBorders>
            <w:shd w:val="clear" w:color="000000" w:fill="EAF1DD"/>
            <w:vAlign w:val="center"/>
            <w:hideMark/>
          </w:tcPr>
          <w:p w:rsidR="00EA6471" w:rsidRDefault="00EA6471" w:rsidP="00205636">
            <w:pPr>
              <w:rPr>
                <w:rFonts w:ascii="Arial" w:hAnsi="Arial" w:cs="Arial"/>
                <w:b/>
                <w:bCs/>
                <w:color w:val="000000"/>
                <w:sz w:val="16"/>
                <w:szCs w:val="16"/>
              </w:rPr>
            </w:pPr>
            <w:r>
              <w:rPr>
                <w:rFonts w:ascii="Arial" w:hAnsi="Arial" w:cs="Arial"/>
                <w:b/>
                <w:bCs/>
                <w:color w:val="000000"/>
                <w:sz w:val="16"/>
                <w:szCs w:val="16"/>
              </w:rPr>
              <w:t>Spolu</w:t>
            </w:r>
          </w:p>
        </w:tc>
        <w:tc>
          <w:tcPr>
            <w:tcW w:w="850" w:type="dxa"/>
            <w:tcBorders>
              <w:top w:val="nil"/>
              <w:left w:val="nil"/>
              <w:bottom w:val="single" w:sz="8" w:space="0" w:color="auto"/>
              <w:right w:val="single" w:sz="8" w:space="0" w:color="auto"/>
            </w:tcBorders>
            <w:shd w:val="clear" w:color="000000" w:fill="EAF1DD"/>
            <w:vAlign w:val="center"/>
            <w:hideMark/>
          </w:tcPr>
          <w:p w:rsidR="00EA6471" w:rsidRDefault="00EA6471" w:rsidP="00205636">
            <w:pPr>
              <w:jc w:val="center"/>
              <w:rPr>
                <w:rFonts w:ascii="Arial" w:hAnsi="Arial" w:cs="Arial"/>
                <w:b/>
                <w:bCs/>
                <w:color w:val="000000"/>
                <w:sz w:val="16"/>
                <w:szCs w:val="16"/>
              </w:rPr>
            </w:pPr>
            <w:r>
              <w:rPr>
                <w:rFonts w:ascii="Arial" w:hAnsi="Arial" w:cs="Arial"/>
                <w:b/>
                <w:bCs/>
                <w:color w:val="000000"/>
                <w:sz w:val="16"/>
                <w:szCs w:val="16"/>
              </w:rPr>
              <w:t> </w:t>
            </w:r>
          </w:p>
        </w:tc>
        <w:tc>
          <w:tcPr>
            <w:tcW w:w="1276" w:type="dxa"/>
            <w:tcBorders>
              <w:top w:val="nil"/>
              <w:left w:val="nil"/>
              <w:bottom w:val="single" w:sz="8" w:space="0" w:color="auto"/>
              <w:right w:val="single" w:sz="8" w:space="0" w:color="auto"/>
            </w:tcBorders>
            <w:shd w:val="clear" w:color="000000" w:fill="EAF1DD"/>
            <w:noWrap/>
            <w:vAlign w:val="center"/>
            <w:hideMark/>
          </w:tcPr>
          <w:p w:rsidR="00EA6471" w:rsidRDefault="00EA6471" w:rsidP="00205636">
            <w:pPr>
              <w:jc w:val="center"/>
              <w:rPr>
                <w:rFonts w:ascii="Arial" w:hAnsi="Arial" w:cs="Arial"/>
                <w:b/>
                <w:bCs/>
                <w:color w:val="000000"/>
                <w:sz w:val="16"/>
                <w:szCs w:val="16"/>
              </w:rPr>
            </w:pPr>
            <w:r>
              <w:rPr>
                <w:rFonts w:ascii="Arial" w:hAnsi="Arial" w:cs="Arial"/>
                <w:b/>
                <w:bCs/>
                <w:color w:val="000000"/>
                <w:sz w:val="16"/>
                <w:szCs w:val="16"/>
              </w:rPr>
              <w:t>180 000 000</w:t>
            </w:r>
          </w:p>
        </w:tc>
        <w:tc>
          <w:tcPr>
            <w:tcW w:w="1420" w:type="dxa"/>
            <w:tcBorders>
              <w:top w:val="nil"/>
              <w:left w:val="nil"/>
              <w:bottom w:val="single" w:sz="8" w:space="0" w:color="auto"/>
              <w:right w:val="single" w:sz="8" w:space="0" w:color="auto"/>
            </w:tcBorders>
            <w:shd w:val="clear" w:color="000000" w:fill="EAF1DD"/>
            <w:vAlign w:val="center"/>
            <w:hideMark/>
          </w:tcPr>
          <w:p w:rsidR="00EA6471" w:rsidRDefault="00EA6471" w:rsidP="00205636">
            <w:pPr>
              <w:jc w:val="center"/>
              <w:rPr>
                <w:rFonts w:ascii="Arial" w:hAnsi="Arial" w:cs="Arial"/>
                <w:b/>
                <w:bCs/>
                <w:color w:val="000000"/>
                <w:sz w:val="16"/>
                <w:szCs w:val="16"/>
              </w:rPr>
            </w:pPr>
            <w:r>
              <w:rPr>
                <w:rFonts w:ascii="Arial" w:hAnsi="Arial" w:cs="Arial"/>
                <w:b/>
                <w:bCs/>
                <w:color w:val="000000"/>
                <w:sz w:val="16"/>
                <w:szCs w:val="16"/>
              </w:rPr>
              <w:t>143 250 532</w:t>
            </w:r>
          </w:p>
        </w:tc>
        <w:tc>
          <w:tcPr>
            <w:tcW w:w="1480" w:type="dxa"/>
            <w:tcBorders>
              <w:top w:val="nil"/>
              <w:left w:val="nil"/>
              <w:bottom w:val="single" w:sz="8" w:space="0" w:color="auto"/>
              <w:right w:val="single" w:sz="8" w:space="0" w:color="auto"/>
            </w:tcBorders>
            <w:shd w:val="clear" w:color="000000" w:fill="EAF1DD"/>
            <w:noWrap/>
            <w:vAlign w:val="center"/>
            <w:hideMark/>
          </w:tcPr>
          <w:p w:rsidR="00EA6471" w:rsidRDefault="00EA6471" w:rsidP="00205636">
            <w:pPr>
              <w:jc w:val="center"/>
              <w:rPr>
                <w:rFonts w:ascii="Arial" w:hAnsi="Arial" w:cs="Arial"/>
                <w:b/>
                <w:bCs/>
                <w:color w:val="000000"/>
                <w:sz w:val="16"/>
                <w:szCs w:val="16"/>
              </w:rPr>
            </w:pPr>
            <w:r>
              <w:rPr>
                <w:rFonts w:ascii="Arial" w:hAnsi="Arial" w:cs="Arial"/>
                <w:b/>
                <w:bCs/>
                <w:color w:val="000000"/>
                <w:sz w:val="16"/>
                <w:szCs w:val="16"/>
              </w:rPr>
              <w:t>79,58%</w:t>
            </w:r>
          </w:p>
        </w:tc>
        <w:tc>
          <w:tcPr>
            <w:tcW w:w="1352" w:type="dxa"/>
            <w:tcBorders>
              <w:top w:val="nil"/>
              <w:left w:val="nil"/>
              <w:bottom w:val="single" w:sz="8" w:space="0" w:color="auto"/>
              <w:right w:val="single" w:sz="8" w:space="0" w:color="auto"/>
            </w:tcBorders>
            <w:shd w:val="clear" w:color="000000" w:fill="EAF1DD"/>
            <w:vAlign w:val="center"/>
            <w:hideMark/>
          </w:tcPr>
          <w:p w:rsidR="00EA6471" w:rsidRDefault="00EA6471" w:rsidP="00205636">
            <w:pPr>
              <w:jc w:val="center"/>
              <w:rPr>
                <w:rFonts w:ascii="Arial" w:hAnsi="Arial" w:cs="Arial"/>
                <w:b/>
                <w:bCs/>
                <w:color w:val="000000"/>
                <w:sz w:val="16"/>
                <w:szCs w:val="16"/>
              </w:rPr>
            </w:pPr>
            <w:r>
              <w:rPr>
                <w:rFonts w:ascii="Arial" w:hAnsi="Arial" w:cs="Arial"/>
                <w:b/>
                <w:bCs/>
                <w:color w:val="000000"/>
                <w:sz w:val="16"/>
                <w:szCs w:val="16"/>
              </w:rPr>
              <w:t>119 641 433</w:t>
            </w:r>
          </w:p>
        </w:tc>
        <w:tc>
          <w:tcPr>
            <w:tcW w:w="1034" w:type="dxa"/>
            <w:tcBorders>
              <w:top w:val="nil"/>
              <w:left w:val="nil"/>
              <w:bottom w:val="single" w:sz="8" w:space="0" w:color="auto"/>
              <w:right w:val="single" w:sz="8" w:space="0" w:color="auto"/>
            </w:tcBorders>
            <w:shd w:val="clear" w:color="000000" w:fill="EAF1DD"/>
            <w:noWrap/>
            <w:vAlign w:val="center"/>
            <w:hideMark/>
          </w:tcPr>
          <w:p w:rsidR="00EA6471" w:rsidRDefault="00EA6471" w:rsidP="00205636">
            <w:pPr>
              <w:jc w:val="center"/>
              <w:rPr>
                <w:rFonts w:ascii="Arial" w:hAnsi="Arial" w:cs="Arial"/>
                <w:b/>
                <w:bCs/>
                <w:color w:val="000000"/>
                <w:sz w:val="16"/>
                <w:szCs w:val="16"/>
              </w:rPr>
            </w:pPr>
            <w:r>
              <w:rPr>
                <w:rFonts w:ascii="Arial" w:hAnsi="Arial" w:cs="Arial"/>
                <w:b/>
                <w:bCs/>
                <w:color w:val="000000"/>
                <w:sz w:val="16"/>
                <w:szCs w:val="16"/>
              </w:rPr>
              <w:t>66,47%</w:t>
            </w:r>
          </w:p>
        </w:tc>
      </w:tr>
    </w:tbl>
    <w:p w:rsidR="008A5AC2" w:rsidRPr="00A322EA" w:rsidRDefault="00000CC9" w:rsidP="00205636">
      <w:pPr>
        <w:spacing w:line="360" w:lineRule="auto"/>
        <w:rPr>
          <w:rFonts w:ascii="Arial" w:hAnsi="Arial" w:cs="Arial"/>
          <w:sz w:val="18"/>
          <w:szCs w:val="18"/>
        </w:rPr>
      </w:pPr>
      <w:r>
        <w:rPr>
          <w:rFonts w:ascii="Arial" w:hAnsi="Arial" w:cs="Arial"/>
          <w:sz w:val="18"/>
          <w:szCs w:val="18"/>
        </w:rPr>
        <w:t>Zdroj: RO, ITMS</w:t>
      </w:r>
    </w:p>
    <w:p w:rsidR="00992100" w:rsidRDefault="00992100">
      <w:pPr>
        <w:rPr>
          <w:rFonts w:ascii="Arial" w:hAnsi="Arial" w:cs="Arial"/>
          <w:sz w:val="20"/>
          <w:szCs w:val="20"/>
        </w:rPr>
      </w:pPr>
      <w:r>
        <w:rPr>
          <w:rFonts w:ascii="Arial" w:hAnsi="Arial" w:cs="Arial"/>
          <w:sz w:val="20"/>
          <w:szCs w:val="20"/>
        </w:rPr>
        <w:br w:type="page"/>
      </w:r>
    </w:p>
    <w:p w:rsidR="0072403D" w:rsidRDefault="0072403D" w:rsidP="00507035">
      <w:pPr>
        <w:spacing w:before="120" w:after="120"/>
        <w:rPr>
          <w:rFonts w:ascii="Arial" w:hAnsi="Arial" w:cs="Arial"/>
          <w:sz w:val="20"/>
          <w:szCs w:val="20"/>
        </w:rPr>
      </w:pPr>
    </w:p>
    <w:p w:rsidR="008A5AC2" w:rsidRPr="008A5AC2" w:rsidRDefault="004B2E7A" w:rsidP="00507035">
      <w:pPr>
        <w:spacing w:before="120" w:after="120" w:line="360" w:lineRule="auto"/>
        <w:jc w:val="both"/>
        <w:rPr>
          <w:rFonts w:ascii="Arial" w:hAnsi="Arial" w:cs="Arial"/>
          <w:sz w:val="20"/>
          <w:szCs w:val="20"/>
        </w:rPr>
      </w:pPr>
      <w:r>
        <w:rPr>
          <w:rFonts w:ascii="Arial" w:hAnsi="Arial" w:cs="Arial"/>
          <w:sz w:val="20"/>
          <w:szCs w:val="20"/>
        </w:rPr>
        <w:t>Graf č. 6</w:t>
      </w:r>
      <w:r w:rsidR="008A5AC2" w:rsidRPr="008A5AC2">
        <w:rPr>
          <w:rFonts w:ascii="Arial" w:hAnsi="Arial" w:cs="Arial"/>
          <w:sz w:val="20"/>
          <w:szCs w:val="20"/>
        </w:rPr>
        <w:t xml:space="preserve"> Operačný cieľ 3.1 - Prioritná téma 47 Kvalita vzduchu a 52 Podpora čistej mestskej dopravy</w:t>
      </w:r>
    </w:p>
    <w:p w:rsidR="008A5AC2" w:rsidRPr="008A5AC2" w:rsidRDefault="00587FAE" w:rsidP="00507035">
      <w:pPr>
        <w:spacing w:before="120" w:after="120" w:line="360" w:lineRule="auto"/>
        <w:jc w:val="center"/>
        <w:rPr>
          <w:rFonts w:ascii="Arial" w:hAnsi="Arial" w:cs="Arial"/>
          <w:sz w:val="20"/>
          <w:szCs w:val="20"/>
        </w:rPr>
      </w:pPr>
      <w:r>
        <w:rPr>
          <w:noProof/>
        </w:rPr>
        <w:drawing>
          <wp:inline distT="0" distB="0" distL="0" distR="0" wp14:anchorId="25CB1736" wp14:editId="7B464B41">
            <wp:extent cx="5915660" cy="4047490"/>
            <wp:effectExtent l="0" t="0" r="27940" b="10160"/>
            <wp:docPr id="8" name="Objekt 8"/>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45"/>
              </a:graphicData>
            </a:graphic>
          </wp:inline>
        </w:drawing>
      </w:r>
    </w:p>
    <w:tbl>
      <w:tblPr>
        <w:tblpPr w:leftFromText="141" w:rightFromText="141" w:vertAnchor="text" w:horzAnchor="margin" w:tblpY="232"/>
        <w:tblW w:w="1771" w:type="dxa"/>
        <w:tblCellMar>
          <w:left w:w="70" w:type="dxa"/>
          <w:right w:w="70" w:type="dxa"/>
        </w:tblCellMar>
        <w:tblLook w:val="04A0" w:firstRow="1" w:lastRow="0" w:firstColumn="1" w:lastColumn="0" w:noHBand="0" w:noVBand="1"/>
      </w:tblPr>
      <w:tblGrid>
        <w:gridCol w:w="196"/>
        <w:gridCol w:w="1576"/>
      </w:tblGrid>
      <w:tr w:rsidR="008A5AC2" w:rsidRPr="008A5AC2" w:rsidTr="00923048">
        <w:trPr>
          <w:trHeight w:val="284"/>
        </w:trPr>
        <w:tc>
          <w:tcPr>
            <w:tcW w:w="195" w:type="dxa"/>
            <w:tcBorders>
              <w:top w:val="nil"/>
              <w:left w:val="nil"/>
              <w:bottom w:val="nil"/>
              <w:right w:val="nil"/>
            </w:tcBorders>
            <w:shd w:val="clear" w:color="000000" w:fill="C00000"/>
            <w:noWrap/>
            <w:vAlign w:val="bottom"/>
            <w:hideMark/>
          </w:tcPr>
          <w:p w:rsidR="008A5AC2" w:rsidRPr="008A5AC2" w:rsidRDefault="008A5AC2" w:rsidP="00507035">
            <w:pPr>
              <w:spacing w:before="120" w:after="120" w:line="360" w:lineRule="auto"/>
              <w:rPr>
                <w:rFonts w:ascii="Arial" w:hAnsi="Arial" w:cs="Arial"/>
                <w:sz w:val="20"/>
                <w:szCs w:val="20"/>
              </w:rPr>
            </w:pPr>
            <w:r w:rsidRPr="008A5AC2">
              <w:rPr>
                <w:rFonts w:ascii="Arial" w:hAnsi="Arial" w:cs="Arial"/>
                <w:sz w:val="20"/>
                <w:szCs w:val="20"/>
              </w:rPr>
              <w:t> </w:t>
            </w:r>
          </w:p>
        </w:tc>
        <w:tc>
          <w:tcPr>
            <w:tcW w:w="1576" w:type="dxa"/>
            <w:tcBorders>
              <w:top w:val="nil"/>
              <w:left w:val="nil"/>
              <w:bottom w:val="nil"/>
              <w:right w:val="nil"/>
            </w:tcBorders>
            <w:noWrap/>
            <w:vAlign w:val="center"/>
            <w:hideMark/>
          </w:tcPr>
          <w:p w:rsidR="008A5AC2" w:rsidRPr="00A322EA" w:rsidRDefault="008A5AC2" w:rsidP="00507035">
            <w:pPr>
              <w:spacing w:before="120" w:after="120"/>
              <w:rPr>
                <w:rFonts w:ascii="Arial" w:hAnsi="Arial" w:cs="Arial"/>
                <w:sz w:val="16"/>
                <w:szCs w:val="16"/>
              </w:rPr>
            </w:pPr>
            <w:r w:rsidRPr="00A322EA">
              <w:rPr>
                <w:rFonts w:ascii="Arial" w:hAnsi="Arial" w:cs="Arial"/>
                <w:sz w:val="16"/>
                <w:szCs w:val="16"/>
              </w:rPr>
              <w:t>Úroveň zazmluvnenia</w:t>
            </w:r>
          </w:p>
        </w:tc>
      </w:tr>
      <w:tr w:rsidR="008A5AC2" w:rsidRPr="008A5AC2" w:rsidTr="00923048">
        <w:trPr>
          <w:trHeight w:val="227"/>
        </w:trPr>
        <w:tc>
          <w:tcPr>
            <w:tcW w:w="195" w:type="dxa"/>
            <w:tcBorders>
              <w:top w:val="nil"/>
              <w:left w:val="nil"/>
              <w:bottom w:val="nil"/>
              <w:right w:val="nil"/>
            </w:tcBorders>
            <w:shd w:val="clear" w:color="000000" w:fill="0070C0"/>
            <w:noWrap/>
            <w:vAlign w:val="bottom"/>
            <w:hideMark/>
          </w:tcPr>
          <w:p w:rsidR="008A5AC2" w:rsidRPr="008A5AC2" w:rsidRDefault="008A5AC2" w:rsidP="00507035">
            <w:pPr>
              <w:spacing w:before="120" w:after="120" w:line="360" w:lineRule="auto"/>
              <w:rPr>
                <w:rFonts w:ascii="Arial" w:hAnsi="Arial" w:cs="Arial"/>
                <w:sz w:val="20"/>
                <w:szCs w:val="20"/>
              </w:rPr>
            </w:pPr>
            <w:r w:rsidRPr="008A5AC2">
              <w:rPr>
                <w:rFonts w:ascii="Arial" w:hAnsi="Arial" w:cs="Arial"/>
                <w:sz w:val="20"/>
                <w:szCs w:val="20"/>
              </w:rPr>
              <w:t> </w:t>
            </w:r>
          </w:p>
        </w:tc>
        <w:tc>
          <w:tcPr>
            <w:tcW w:w="1576" w:type="dxa"/>
            <w:tcBorders>
              <w:top w:val="nil"/>
              <w:left w:val="nil"/>
              <w:bottom w:val="nil"/>
              <w:right w:val="nil"/>
            </w:tcBorders>
            <w:noWrap/>
            <w:vAlign w:val="center"/>
            <w:hideMark/>
          </w:tcPr>
          <w:p w:rsidR="008A5AC2" w:rsidRPr="00A322EA" w:rsidRDefault="008A5AC2" w:rsidP="00507035">
            <w:pPr>
              <w:spacing w:before="120" w:after="120"/>
              <w:rPr>
                <w:rFonts w:ascii="Arial" w:hAnsi="Arial" w:cs="Arial"/>
                <w:sz w:val="16"/>
                <w:szCs w:val="16"/>
              </w:rPr>
            </w:pPr>
            <w:r w:rsidRPr="00A322EA">
              <w:rPr>
                <w:rFonts w:ascii="Arial" w:hAnsi="Arial" w:cs="Arial"/>
                <w:sz w:val="16"/>
                <w:szCs w:val="16"/>
              </w:rPr>
              <w:t>Úroveň čerpania</w:t>
            </w:r>
          </w:p>
        </w:tc>
      </w:tr>
    </w:tbl>
    <w:p w:rsidR="008A5AC2" w:rsidRPr="008A5AC2" w:rsidRDefault="008A5AC2" w:rsidP="00507035">
      <w:pPr>
        <w:spacing w:before="120" w:after="120" w:line="360" w:lineRule="auto"/>
        <w:jc w:val="both"/>
        <w:rPr>
          <w:rFonts w:ascii="Arial" w:hAnsi="Arial" w:cs="Arial"/>
          <w:sz w:val="20"/>
          <w:szCs w:val="20"/>
        </w:rPr>
      </w:pPr>
      <w:r w:rsidRPr="008A5AC2">
        <w:rPr>
          <w:rFonts w:ascii="Arial" w:hAnsi="Arial" w:cs="Arial"/>
          <w:sz w:val="20"/>
          <w:szCs w:val="20"/>
        </w:rPr>
        <w:t xml:space="preserve">Operačný cieľ 3.1 prispieva k napĺňaniu dvoch prioritných tém: HT47 Kvalita vzduchu a HT52 Podpora čistej mestskej dopravy. Úroveň zazmluvnenia alokácie prioritnej témy HT47 je </w:t>
      </w:r>
      <w:r w:rsidR="00273C2D">
        <w:rPr>
          <w:rFonts w:ascii="Arial" w:hAnsi="Arial" w:cs="Arial"/>
          <w:sz w:val="20"/>
          <w:szCs w:val="20"/>
        </w:rPr>
        <w:t>71,96</w:t>
      </w:r>
      <w:r w:rsidR="00194C45">
        <w:rPr>
          <w:rFonts w:ascii="Arial" w:hAnsi="Arial" w:cs="Arial"/>
          <w:sz w:val="20"/>
          <w:szCs w:val="20"/>
        </w:rPr>
        <w:t xml:space="preserve"> </w:t>
      </w:r>
      <w:r w:rsidRPr="008A5AC2">
        <w:rPr>
          <w:rFonts w:ascii="Arial" w:hAnsi="Arial" w:cs="Arial"/>
          <w:sz w:val="20"/>
          <w:szCs w:val="20"/>
        </w:rPr>
        <w:t>%, v prípade prioritnej témy HT52 je zazmluvnených 100,93</w:t>
      </w:r>
      <w:r w:rsidR="00194C45">
        <w:rPr>
          <w:rFonts w:ascii="Arial" w:hAnsi="Arial" w:cs="Arial"/>
          <w:sz w:val="20"/>
          <w:szCs w:val="20"/>
        </w:rPr>
        <w:t xml:space="preserve"> </w:t>
      </w:r>
      <w:r w:rsidRPr="008A5AC2">
        <w:rPr>
          <w:rFonts w:ascii="Arial" w:hAnsi="Arial" w:cs="Arial"/>
          <w:sz w:val="20"/>
          <w:szCs w:val="20"/>
        </w:rPr>
        <w:t>% danej alokácie. Mierne prečerpanie prioritnej témy HT52 neohrozí plynulú implementáciu projektov, nakoľko RO berie do úvahy prípadné nedočerpanie finančných prostriedkov alebo vratky v rámci danej prioritnej témy v priebehu implementácie.</w:t>
      </w:r>
    </w:p>
    <w:p w:rsidR="00C31195" w:rsidRPr="00992100" w:rsidRDefault="008A5AC2" w:rsidP="00507035">
      <w:pPr>
        <w:spacing w:before="120" w:after="120" w:line="360" w:lineRule="auto"/>
        <w:jc w:val="both"/>
        <w:rPr>
          <w:rFonts w:ascii="Arial" w:hAnsi="Arial" w:cs="Arial"/>
          <w:sz w:val="20"/>
          <w:szCs w:val="20"/>
        </w:rPr>
      </w:pPr>
      <w:r w:rsidRPr="008A5AC2">
        <w:rPr>
          <w:rFonts w:ascii="Arial" w:hAnsi="Arial" w:cs="Arial"/>
          <w:sz w:val="20"/>
          <w:szCs w:val="20"/>
        </w:rPr>
        <w:t>Pri niektorých ukazovateľoch sledovaných na úrovni operačného cieľa 3.1 ku koncu roka 201</w:t>
      </w:r>
      <w:r w:rsidR="00273C2D">
        <w:rPr>
          <w:rFonts w:ascii="Arial" w:hAnsi="Arial" w:cs="Arial"/>
          <w:sz w:val="20"/>
          <w:szCs w:val="20"/>
        </w:rPr>
        <w:t>2</w:t>
      </w:r>
      <w:r w:rsidRPr="008A5AC2">
        <w:rPr>
          <w:rFonts w:ascii="Arial" w:hAnsi="Arial" w:cs="Arial"/>
          <w:sz w:val="20"/>
          <w:szCs w:val="20"/>
        </w:rPr>
        <w:t xml:space="preserve"> došlo k miernemu zníženiu plánovaných hodnôt ukazovateľov, ktoré sú spôsobené mimoriadnym ukončením projektov. Plánovaná hodnota ukazovateľa „Počet podporených aktivít zameraných na znižovanie znečistenia ovzdušia a počet podporených štúdií a analýz“ je naplnený na 10</w:t>
      </w:r>
      <w:r w:rsidR="00273C2D">
        <w:rPr>
          <w:rFonts w:ascii="Arial" w:hAnsi="Arial" w:cs="Arial"/>
          <w:sz w:val="20"/>
          <w:szCs w:val="20"/>
        </w:rPr>
        <w:t>7</w:t>
      </w:r>
      <w:r w:rsidR="00194C45">
        <w:rPr>
          <w:rFonts w:ascii="Arial" w:hAnsi="Arial" w:cs="Arial"/>
          <w:sz w:val="20"/>
          <w:szCs w:val="20"/>
        </w:rPr>
        <w:t xml:space="preserve"> </w:t>
      </w:r>
      <w:r w:rsidRPr="008A5AC2">
        <w:rPr>
          <w:rFonts w:ascii="Arial" w:hAnsi="Arial" w:cs="Arial"/>
          <w:sz w:val="20"/>
          <w:szCs w:val="20"/>
        </w:rPr>
        <w:t>%, ukazovateľ „Zníženie emisií znečisťujúcich látok prepočítané na referenčné tony SO2“ podľa údajov zo schválených projektov dosiahne ich realizáciou zníženie o 42,59</w:t>
      </w:r>
      <w:r w:rsidR="0072403D">
        <w:rPr>
          <w:rFonts w:ascii="Arial" w:hAnsi="Arial" w:cs="Arial"/>
          <w:sz w:val="20"/>
          <w:szCs w:val="20"/>
        </w:rPr>
        <w:t xml:space="preserve"> </w:t>
      </w:r>
      <w:r w:rsidRPr="008A5AC2">
        <w:rPr>
          <w:rFonts w:ascii="Arial" w:hAnsi="Arial" w:cs="Arial"/>
          <w:sz w:val="20"/>
          <w:szCs w:val="20"/>
        </w:rPr>
        <w:t>% oproti plánovanej hodnote zníženia o</w:t>
      </w:r>
      <w:r w:rsidR="00194C45">
        <w:rPr>
          <w:rFonts w:ascii="Arial" w:hAnsi="Arial" w:cs="Arial"/>
          <w:sz w:val="20"/>
          <w:szCs w:val="20"/>
        </w:rPr>
        <w:t> </w:t>
      </w:r>
      <w:r w:rsidRPr="008A5AC2">
        <w:rPr>
          <w:rFonts w:ascii="Arial" w:hAnsi="Arial" w:cs="Arial"/>
          <w:sz w:val="20"/>
          <w:szCs w:val="20"/>
        </w:rPr>
        <w:t>30</w:t>
      </w:r>
      <w:r w:rsidR="00194C45">
        <w:rPr>
          <w:rFonts w:ascii="Arial" w:hAnsi="Arial" w:cs="Arial"/>
          <w:sz w:val="20"/>
          <w:szCs w:val="20"/>
        </w:rPr>
        <w:t xml:space="preserve"> </w:t>
      </w:r>
      <w:r w:rsidRPr="008A5AC2">
        <w:rPr>
          <w:rFonts w:ascii="Arial" w:hAnsi="Arial" w:cs="Arial"/>
          <w:sz w:val="20"/>
          <w:szCs w:val="20"/>
        </w:rPr>
        <w:t xml:space="preserve">% (spolu za podporené projekty), čo možno považovať za pozitívny vývoj. </w:t>
      </w:r>
      <w:r w:rsidR="00C31195" w:rsidRPr="00992100">
        <w:rPr>
          <w:rFonts w:ascii="Arial" w:hAnsi="Arial" w:cs="Arial"/>
          <w:sz w:val="20"/>
          <w:szCs w:val="20"/>
        </w:rPr>
        <w:t>V prípade tohto ukazovateľa je možno predpokladať naplnenie ukazovateľa po ukončení realizácie projektov, čo vyplýva z charakteru podporených projektov.</w:t>
      </w:r>
    </w:p>
    <w:p w:rsidR="008A5AC2" w:rsidRPr="008A5AC2" w:rsidRDefault="008A5AC2" w:rsidP="00507035">
      <w:pPr>
        <w:spacing w:before="120" w:after="120" w:line="360" w:lineRule="auto"/>
        <w:jc w:val="both"/>
        <w:rPr>
          <w:rFonts w:ascii="Arial" w:hAnsi="Arial" w:cs="Arial"/>
          <w:sz w:val="20"/>
          <w:szCs w:val="20"/>
        </w:rPr>
      </w:pPr>
      <w:r w:rsidRPr="008A5AC2">
        <w:rPr>
          <w:rFonts w:ascii="Arial" w:hAnsi="Arial" w:cs="Arial"/>
          <w:sz w:val="20"/>
          <w:szCs w:val="20"/>
        </w:rPr>
        <w:t>Uspokojivé je tiež plnenie ukazovateľa „Počet zmodernizovaných a novo nainštalovaných monitorovacích staníc Národnej monitorovacej siete kvality ovzdušia“, ktoré dosahuje 108%.</w:t>
      </w:r>
    </w:p>
    <w:p w:rsidR="008A5AC2" w:rsidRPr="008A5AC2" w:rsidRDefault="008A5AC2" w:rsidP="00531FDB">
      <w:pPr>
        <w:spacing w:before="120" w:after="120" w:line="360" w:lineRule="auto"/>
        <w:jc w:val="both"/>
        <w:rPr>
          <w:rFonts w:ascii="Arial" w:hAnsi="Arial" w:cs="Arial"/>
          <w:sz w:val="20"/>
          <w:szCs w:val="20"/>
        </w:rPr>
      </w:pPr>
      <w:r w:rsidRPr="008A5AC2">
        <w:rPr>
          <w:rFonts w:ascii="Arial" w:hAnsi="Arial" w:cs="Arial"/>
          <w:sz w:val="20"/>
          <w:szCs w:val="20"/>
        </w:rPr>
        <w:t>V prípade ukazovateľa „Zníženie emisií prchavých organických látok (spolu za jednotlivé projekty)“ je nutné konštatovať, že RO nezaznamenal očakávaný dopyt zo strany žiadateľov realizovať tento typ aktivít. V rámci vyhlásených výziev na operačný cieľ 3.1, ktorý zahŕňa aj skupinu aktivít 1B „Zavádzanie progresívnych technológií a technických opatrení na znižovanie emisií prchavých organických látok</w:t>
      </w:r>
      <w:r w:rsidR="00531FDB">
        <w:rPr>
          <w:rFonts w:ascii="Arial" w:hAnsi="Arial" w:cs="Arial"/>
          <w:sz w:val="20"/>
          <w:szCs w:val="20"/>
        </w:rPr>
        <w:t xml:space="preserve"> (VOC)</w:t>
      </w:r>
      <w:r w:rsidRPr="008A5AC2">
        <w:rPr>
          <w:rFonts w:ascii="Arial" w:hAnsi="Arial" w:cs="Arial"/>
          <w:sz w:val="20"/>
          <w:szCs w:val="20"/>
        </w:rPr>
        <w:t xml:space="preserve">“ nebol </w:t>
      </w:r>
      <w:r w:rsidR="00A94497">
        <w:rPr>
          <w:rFonts w:ascii="Arial" w:hAnsi="Arial" w:cs="Arial"/>
          <w:sz w:val="20"/>
          <w:szCs w:val="20"/>
        </w:rPr>
        <w:t xml:space="preserve">zo strany potenciálnych žiadateľov </w:t>
      </w:r>
      <w:r w:rsidR="00531FDB">
        <w:rPr>
          <w:rFonts w:ascii="Arial" w:hAnsi="Arial" w:cs="Arial"/>
          <w:sz w:val="20"/>
          <w:szCs w:val="20"/>
        </w:rPr>
        <w:t xml:space="preserve">zaznamenaný očakávaný dopyt, t.j. nebola </w:t>
      </w:r>
      <w:r w:rsidRPr="008A5AC2">
        <w:rPr>
          <w:rFonts w:ascii="Arial" w:hAnsi="Arial" w:cs="Arial"/>
          <w:sz w:val="20"/>
          <w:szCs w:val="20"/>
        </w:rPr>
        <w:t>predložen</w:t>
      </w:r>
      <w:r w:rsidR="00531FDB">
        <w:rPr>
          <w:rFonts w:ascii="Arial" w:hAnsi="Arial" w:cs="Arial"/>
          <w:sz w:val="20"/>
          <w:szCs w:val="20"/>
        </w:rPr>
        <w:t>á ani jedna žiadosť o NFP</w:t>
      </w:r>
      <w:r w:rsidRPr="008A5AC2">
        <w:rPr>
          <w:rFonts w:ascii="Arial" w:hAnsi="Arial" w:cs="Arial"/>
          <w:sz w:val="20"/>
          <w:szCs w:val="20"/>
        </w:rPr>
        <w:t xml:space="preserve">. </w:t>
      </w:r>
      <w:r w:rsidR="00531FDB">
        <w:rPr>
          <w:rFonts w:ascii="Arial" w:hAnsi="Arial" w:cs="Arial"/>
          <w:sz w:val="20"/>
          <w:szCs w:val="20"/>
        </w:rPr>
        <w:t xml:space="preserve">Táto situácia môže byť v značnej miere ovplyvnená skutočnosťou, že  </w:t>
      </w:r>
      <w:r w:rsidR="00531FDB" w:rsidRPr="00531FDB">
        <w:rPr>
          <w:rFonts w:ascii="Arial" w:hAnsi="Arial" w:cs="Arial"/>
          <w:sz w:val="20"/>
          <w:szCs w:val="20"/>
        </w:rPr>
        <w:t xml:space="preserve">väčšina projektov podlieha schéme štátnej pomoci </w:t>
      </w:r>
      <w:r w:rsidR="00531FDB">
        <w:rPr>
          <w:rFonts w:ascii="Arial" w:hAnsi="Arial" w:cs="Arial"/>
          <w:sz w:val="20"/>
          <w:szCs w:val="20"/>
        </w:rPr>
        <w:t>na ochranu životného prostredia a</w:t>
      </w:r>
      <w:r w:rsidR="00531FDB" w:rsidRPr="00531FDB">
        <w:rPr>
          <w:rFonts w:ascii="Arial" w:hAnsi="Arial" w:cs="Arial"/>
          <w:sz w:val="20"/>
          <w:szCs w:val="20"/>
        </w:rPr>
        <w:t xml:space="preserve"> výška oprávnených výdavkov</w:t>
      </w:r>
      <w:r w:rsidR="00531FDB">
        <w:rPr>
          <w:rFonts w:ascii="Arial" w:hAnsi="Arial" w:cs="Arial"/>
          <w:sz w:val="20"/>
          <w:szCs w:val="20"/>
        </w:rPr>
        <w:t xml:space="preserve"> v zmysle tejto schémy</w:t>
      </w:r>
      <w:r w:rsidR="00531FDB" w:rsidRPr="00531FDB">
        <w:rPr>
          <w:rFonts w:ascii="Arial" w:hAnsi="Arial" w:cs="Arial"/>
          <w:sz w:val="20"/>
          <w:szCs w:val="20"/>
        </w:rPr>
        <w:t xml:space="preserve"> je značne obmedzená, čo pre oprávnených prijímateľov nepredstavuje dostatočnú motiváciu na predloženie žiadosti o</w:t>
      </w:r>
      <w:r w:rsidR="00531FDB">
        <w:rPr>
          <w:rFonts w:ascii="Arial" w:hAnsi="Arial" w:cs="Arial"/>
          <w:sz w:val="20"/>
          <w:szCs w:val="20"/>
        </w:rPr>
        <w:t> </w:t>
      </w:r>
      <w:r w:rsidR="00531FDB" w:rsidRPr="00531FDB">
        <w:rPr>
          <w:rFonts w:ascii="Arial" w:hAnsi="Arial" w:cs="Arial"/>
          <w:sz w:val="20"/>
          <w:szCs w:val="20"/>
        </w:rPr>
        <w:t>NFP</w:t>
      </w:r>
      <w:r w:rsidR="00531FDB">
        <w:rPr>
          <w:rFonts w:ascii="Arial" w:hAnsi="Arial" w:cs="Arial"/>
          <w:sz w:val="20"/>
          <w:szCs w:val="20"/>
        </w:rPr>
        <w:t xml:space="preserve">. Zároveň je potrebné uviesť, že termíny na zosúladenie sa </w:t>
      </w:r>
      <w:r w:rsidR="00531FDB" w:rsidRPr="00531FDB">
        <w:rPr>
          <w:rFonts w:ascii="Arial" w:hAnsi="Arial" w:cs="Arial"/>
          <w:sz w:val="20"/>
          <w:szCs w:val="20"/>
        </w:rPr>
        <w:t>s požiadavkami smerníc, na ktoré sú zamerané jednotlivé aktivity v oblasti znižovania emisií VOC</w:t>
      </w:r>
      <w:r w:rsidR="00531FDB">
        <w:rPr>
          <w:rFonts w:ascii="Arial" w:hAnsi="Arial" w:cs="Arial"/>
          <w:sz w:val="20"/>
          <w:szCs w:val="20"/>
        </w:rPr>
        <w:t>,</w:t>
      </w:r>
      <w:r w:rsidR="00531FDB" w:rsidRPr="00531FDB">
        <w:rPr>
          <w:rFonts w:ascii="Arial" w:hAnsi="Arial" w:cs="Arial"/>
          <w:sz w:val="20"/>
          <w:szCs w:val="20"/>
        </w:rPr>
        <w:t xml:space="preserve"> </w:t>
      </w:r>
      <w:r w:rsidR="00531FDB">
        <w:rPr>
          <w:rFonts w:ascii="Arial" w:hAnsi="Arial" w:cs="Arial"/>
          <w:sz w:val="20"/>
          <w:szCs w:val="20"/>
        </w:rPr>
        <w:t>už uplynuli</w:t>
      </w:r>
      <w:r w:rsidR="00D53D79">
        <w:rPr>
          <w:rFonts w:ascii="Arial" w:hAnsi="Arial" w:cs="Arial"/>
          <w:sz w:val="20"/>
          <w:szCs w:val="20"/>
        </w:rPr>
        <w:t xml:space="preserve"> a vyhlásenie ďalších výziev so zameraním na uvedené aktivity by tak nebolo relevantné</w:t>
      </w:r>
      <w:r w:rsidR="00531FDB" w:rsidRPr="00531FDB">
        <w:rPr>
          <w:rFonts w:ascii="Arial" w:hAnsi="Arial" w:cs="Arial"/>
          <w:sz w:val="20"/>
          <w:szCs w:val="20"/>
        </w:rPr>
        <w:t>.</w:t>
      </w:r>
    </w:p>
    <w:p w:rsidR="00531FDB" w:rsidRDefault="00531FDB" w:rsidP="00531FDB"/>
    <w:p w:rsidR="008A5AC2" w:rsidRPr="008A5AC2" w:rsidRDefault="008A5AC2" w:rsidP="00C20B88">
      <w:pPr>
        <w:spacing w:before="120" w:after="120" w:line="360" w:lineRule="auto"/>
        <w:jc w:val="both"/>
        <w:rPr>
          <w:rFonts w:ascii="Arial" w:hAnsi="Arial" w:cs="Arial"/>
          <w:sz w:val="20"/>
          <w:szCs w:val="20"/>
        </w:rPr>
      </w:pPr>
      <w:r w:rsidRPr="008A5AC2">
        <w:rPr>
          <w:rFonts w:ascii="Arial" w:hAnsi="Arial" w:cs="Arial"/>
          <w:sz w:val="20"/>
          <w:szCs w:val="20"/>
        </w:rPr>
        <w:t>Z pohľadu príspevku k prioritnej téme HT52 Podpora čistej mestskej dopravy je na úrovni programu sledovaný ukazovateľ „Počet projektov zameraných na ekologizáciu verejnej dopravy v oblastiach vyžadujúcich osobitnú ochranu ovzdušia“. Plánovaná hodnota 8 projektov ekologizácie verejnej dopravy bola ku koncu roka 201</w:t>
      </w:r>
      <w:r w:rsidR="00D94F33">
        <w:rPr>
          <w:rFonts w:ascii="Arial" w:hAnsi="Arial" w:cs="Arial"/>
          <w:sz w:val="20"/>
          <w:szCs w:val="20"/>
        </w:rPr>
        <w:t>2</w:t>
      </w:r>
      <w:r w:rsidRPr="008A5AC2">
        <w:rPr>
          <w:rFonts w:ascii="Arial" w:hAnsi="Arial" w:cs="Arial"/>
          <w:sz w:val="20"/>
          <w:szCs w:val="20"/>
        </w:rPr>
        <w:t xml:space="preserve"> dosiahnutá na 75% podporou 6 schválených projektov.</w:t>
      </w:r>
      <w:r w:rsidR="008B1447">
        <w:rPr>
          <w:rFonts w:ascii="Arial" w:hAnsi="Arial" w:cs="Arial"/>
          <w:sz w:val="20"/>
          <w:szCs w:val="20"/>
        </w:rPr>
        <w:t xml:space="preserve"> RO v ďalšom období</w:t>
      </w:r>
      <w:r w:rsidR="00C20B88">
        <w:rPr>
          <w:rFonts w:ascii="Arial" w:hAnsi="Arial" w:cs="Arial"/>
          <w:sz w:val="20"/>
          <w:szCs w:val="20"/>
        </w:rPr>
        <w:t>,</w:t>
      </w:r>
      <w:r w:rsidR="008B1447">
        <w:rPr>
          <w:rFonts w:ascii="Arial" w:hAnsi="Arial" w:cs="Arial"/>
          <w:sz w:val="20"/>
          <w:szCs w:val="20"/>
        </w:rPr>
        <w:t xml:space="preserve"> </w:t>
      </w:r>
      <w:r w:rsidR="00C20B88">
        <w:rPr>
          <w:rFonts w:ascii="Arial" w:hAnsi="Arial" w:cs="Arial"/>
          <w:sz w:val="20"/>
          <w:szCs w:val="20"/>
        </w:rPr>
        <w:t xml:space="preserve">v závislosti od stavu implementácie OP ŽP, </w:t>
      </w:r>
      <w:r w:rsidR="008B1447">
        <w:rPr>
          <w:rFonts w:ascii="Arial" w:hAnsi="Arial" w:cs="Arial"/>
          <w:sz w:val="20"/>
          <w:szCs w:val="20"/>
        </w:rPr>
        <w:t xml:space="preserve">zváži možnosť </w:t>
      </w:r>
      <w:r w:rsidR="00C20B88">
        <w:rPr>
          <w:rFonts w:ascii="Arial" w:hAnsi="Arial" w:cs="Arial"/>
          <w:sz w:val="20"/>
          <w:szCs w:val="20"/>
        </w:rPr>
        <w:t xml:space="preserve">a potrebu </w:t>
      </w:r>
      <w:r w:rsidR="008B1447">
        <w:rPr>
          <w:rFonts w:ascii="Arial" w:hAnsi="Arial" w:cs="Arial"/>
          <w:sz w:val="20"/>
          <w:szCs w:val="20"/>
        </w:rPr>
        <w:t xml:space="preserve">vyhlásenia </w:t>
      </w:r>
      <w:r w:rsidR="00C20B88">
        <w:rPr>
          <w:rFonts w:ascii="Arial" w:hAnsi="Arial" w:cs="Arial"/>
          <w:sz w:val="20"/>
          <w:szCs w:val="20"/>
        </w:rPr>
        <w:t xml:space="preserve">ďalšej </w:t>
      </w:r>
      <w:r w:rsidR="008B1447">
        <w:rPr>
          <w:rFonts w:ascii="Arial" w:hAnsi="Arial" w:cs="Arial"/>
          <w:sz w:val="20"/>
          <w:szCs w:val="20"/>
        </w:rPr>
        <w:t xml:space="preserve">výzvy na predmetný typ aktivít </w:t>
      </w:r>
      <w:r w:rsidR="0050527B">
        <w:rPr>
          <w:rFonts w:ascii="Arial" w:hAnsi="Arial" w:cs="Arial"/>
          <w:sz w:val="20"/>
          <w:szCs w:val="20"/>
        </w:rPr>
        <w:t xml:space="preserve">so zameraním na oblasti riadenia kvality ovzdušia </w:t>
      </w:r>
      <w:r w:rsidR="008B1447">
        <w:rPr>
          <w:rFonts w:ascii="Arial" w:hAnsi="Arial" w:cs="Arial"/>
          <w:sz w:val="20"/>
          <w:szCs w:val="20"/>
        </w:rPr>
        <w:t>s cieľom dosiahnuť stanovené hodnoty merateľného ukazovateľa</w:t>
      </w:r>
      <w:r w:rsidR="00C20B88">
        <w:rPr>
          <w:rFonts w:ascii="Arial" w:hAnsi="Arial" w:cs="Arial"/>
          <w:sz w:val="20"/>
          <w:szCs w:val="20"/>
        </w:rPr>
        <w:t>.</w:t>
      </w:r>
    </w:p>
    <w:p w:rsidR="008A5AC2" w:rsidRPr="008A5AC2" w:rsidRDefault="004B2E7A" w:rsidP="00507035">
      <w:pPr>
        <w:spacing w:before="120" w:after="120" w:line="360" w:lineRule="auto"/>
        <w:rPr>
          <w:rFonts w:ascii="Arial" w:hAnsi="Arial" w:cs="Arial"/>
          <w:sz w:val="20"/>
          <w:szCs w:val="20"/>
        </w:rPr>
      </w:pPr>
      <w:r>
        <w:rPr>
          <w:rFonts w:ascii="Arial" w:hAnsi="Arial" w:cs="Arial"/>
          <w:sz w:val="20"/>
          <w:szCs w:val="20"/>
        </w:rPr>
        <w:t>Graf č. 7</w:t>
      </w:r>
      <w:r w:rsidR="008A5AC2" w:rsidRPr="008A5AC2">
        <w:rPr>
          <w:rFonts w:ascii="Arial" w:hAnsi="Arial" w:cs="Arial"/>
          <w:sz w:val="20"/>
          <w:szCs w:val="20"/>
        </w:rPr>
        <w:t xml:space="preserve"> Operačný cieľ 3.2 - Prioritná téma 49 Zmierňovanie klimatickej zmeny</w:t>
      </w:r>
    </w:p>
    <w:p w:rsidR="008A5AC2" w:rsidRPr="008A5AC2" w:rsidRDefault="00587FAE" w:rsidP="00507035">
      <w:pPr>
        <w:spacing w:before="120" w:after="120" w:line="360" w:lineRule="auto"/>
        <w:rPr>
          <w:rFonts w:ascii="Arial" w:hAnsi="Arial" w:cs="Arial"/>
          <w:sz w:val="20"/>
          <w:szCs w:val="20"/>
        </w:rPr>
      </w:pPr>
      <w:r>
        <w:rPr>
          <w:noProof/>
        </w:rPr>
        <w:drawing>
          <wp:inline distT="0" distB="0" distL="0" distR="0" wp14:anchorId="52C1F83E" wp14:editId="765D577C">
            <wp:extent cx="5574182" cy="3664916"/>
            <wp:effectExtent l="0" t="0" r="26670" b="12065"/>
            <wp:docPr id="9" name="Objekt 9"/>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46"/>
              </a:graphicData>
            </a:graphic>
          </wp:inline>
        </w:drawing>
      </w:r>
    </w:p>
    <w:tbl>
      <w:tblPr>
        <w:tblpPr w:leftFromText="141" w:rightFromText="141" w:vertAnchor="text" w:horzAnchor="margin" w:tblpY="232"/>
        <w:tblW w:w="1771" w:type="dxa"/>
        <w:tblCellMar>
          <w:left w:w="70" w:type="dxa"/>
          <w:right w:w="70" w:type="dxa"/>
        </w:tblCellMar>
        <w:tblLook w:val="04A0" w:firstRow="1" w:lastRow="0" w:firstColumn="1" w:lastColumn="0" w:noHBand="0" w:noVBand="1"/>
      </w:tblPr>
      <w:tblGrid>
        <w:gridCol w:w="195"/>
        <w:gridCol w:w="1576"/>
      </w:tblGrid>
      <w:tr w:rsidR="008A5AC2" w:rsidRPr="00A322EA" w:rsidTr="00923048">
        <w:trPr>
          <w:trHeight w:val="284"/>
        </w:trPr>
        <w:tc>
          <w:tcPr>
            <w:tcW w:w="195" w:type="dxa"/>
            <w:tcBorders>
              <w:top w:val="nil"/>
              <w:left w:val="nil"/>
              <w:bottom w:val="nil"/>
              <w:right w:val="nil"/>
            </w:tcBorders>
            <w:shd w:val="clear" w:color="000000" w:fill="C00000"/>
            <w:noWrap/>
            <w:vAlign w:val="bottom"/>
            <w:hideMark/>
          </w:tcPr>
          <w:p w:rsidR="008A5AC2" w:rsidRPr="00A322EA" w:rsidRDefault="008A5AC2" w:rsidP="00507035">
            <w:pPr>
              <w:spacing w:before="120" w:after="120"/>
              <w:rPr>
                <w:rFonts w:ascii="Arial" w:hAnsi="Arial" w:cs="Arial"/>
                <w:sz w:val="16"/>
                <w:szCs w:val="16"/>
              </w:rPr>
            </w:pPr>
            <w:r w:rsidRPr="00A322EA">
              <w:rPr>
                <w:rFonts w:ascii="Arial" w:hAnsi="Arial" w:cs="Arial"/>
                <w:sz w:val="16"/>
                <w:szCs w:val="16"/>
              </w:rPr>
              <w:t> </w:t>
            </w:r>
          </w:p>
        </w:tc>
        <w:tc>
          <w:tcPr>
            <w:tcW w:w="1576" w:type="dxa"/>
            <w:tcBorders>
              <w:top w:val="nil"/>
              <w:left w:val="nil"/>
              <w:bottom w:val="nil"/>
              <w:right w:val="nil"/>
            </w:tcBorders>
            <w:noWrap/>
            <w:vAlign w:val="center"/>
            <w:hideMark/>
          </w:tcPr>
          <w:p w:rsidR="008A5AC2" w:rsidRPr="00A322EA" w:rsidRDefault="008A5AC2" w:rsidP="00507035">
            <w:pPr>
              <w:spacing w:before="120" w:after="120"/>
              <w:rPr>
                <w:rFonts w:ascii="Arial" w:hAnsi="Arial" w:cs="Arial"/>
                <w:sz w:val="16"/>
                <w:szCs w:val="16"/>
              </w:rPr>
            </w:pPr>
            <w:r w:rsidRPr="00A322EA">
              <w:rPr>
                <w:rFonts w:ascii="Arial" w:hAnsi="Arial" w:cs="Arial"/>
                <w:sz w:val="16"/>
                <w:szCs w:val="16"/>
              </w:rPr>
              <w:t>Úroveň zazmluvnenia</w:t>
            </w:r>
          </w:p>
        </w:tc>
      </w:tr>
      <w:tr w:rsidR="008A5AC2" w:rsidRPr="00A322EA" w:rsidTr="00923048">
        <w:trPr>
          <w:trHeight w:val="227"/>
        </w:trPr>
        <w:tc>
          <w:tcPr>
            <w:tcW w:w="195" w:type="dxa"/>
            <w:tcBorders>
              <w:top w:val="nil"/>
              <w:left w:val="nil"/>
              <w:bottom w:val="nil"/>
              <w:right w:val="nil"/>
            </w:tcBorders>
            <w:shd w:val="clear" w:color="000000" w:fill="0070C0"/>
            <w:noWrap/>
            <w:vAlign w:val="bottom"/>
            <w:hideMark/>
          </w:tcPr>
          <w:p w:rsidR="008A5AC2" w:rsidRPr="00A322EA" w:rsidRDefault="008A5AC2" w:rsidP="00507035">
            <w:pPr>
              <w:spacing w:before="120" w:after="120"/>
              <w:rPr>
                <w:rFonts w:ascii="Arial" w:hAnsi="Arial" w:cs="Arial"/>
                <w:sz w:val="16"/>
                <w:szCs w:val="16"/>
              </w:rPr>
            </w:pPr>
            <w:r w:rsidRPr="00A322EA">
              <w:rPr>
                <w:rFonts w:ascii="Arial" w:hAnsi="Arial" w:cs="Arial"/>
                <w:sz w:val="16"/>
                <w:szCs w:val="16"/>
              </w:rPr>
              <w:t> </w:t>
            </w:r>
          </w:p>
        </w:tc>
        <w:tc>
          <w:tcPr>
            <w:tcW w:w="1576" w:type="dxa"/>
            <w:tcBorders>
              <w:top w:val="nil"/>
              <w:left w:val="nil"/>
              <w:bottom w:val="nil"/>
              <w:right w:val="nil"/>
            </w:tcBorders>
            <w:noWrap/>
            <w:vAlign w:val="center"/>
            <w:hideMark/>
          </w:tcPr>
          <w:p w:rsidR="008A5AC2" w:rsidRPr="00A322EA" w:rsidRDefault="008A5AC2" w:rsidP="00507035">
            <w:pPr>
              <w:spacing w:before="120" w:after="120"/>
              <w:rPr>
                <w:rFonts w:ascii="Arial" w:hAnsi="Arial" w:cs="Arial"/>
                <w:sz w:val="16"/>
                <w:szCs w:val="16"/>
              </w:rPr>
            </w:pPr>
            <w:r w:rsidRPr="00A322EA">
              <w:rPr>
                <w:rFonts w:ascii="Arial" w:hAnsi="Arial" w:cs="Arial"/>
                <w:sz w:val="16"/>
                <w:szCs w:val="16"/>
              </w:rPr>
              <w:t>Úroveň čerpania</w:t>
            </w:r>
          </w:p>
        </w:tc>
      </w:tr>
    </w:tbl>
    <w:p w:rsidR="008A5AC2" w:rsidRPr="008A5AC2" w:rsidRDefault="008A5AC2" w:rsidP="00507035">
      <w:pPr>
        <w:spacing w:before="120" w:after="120" w:line="360" w:lineRule="auto"/>
        <w:jc w:val="both"/>
        <w:rPr>
          <w:rFonts w:ascii="Arial" w:hAnsi="Arial" w:cs="Arial"/>
          <w:sz w:val="20"/>
          <w:szCs w:val="20"/>
        </w:rPr>
      </w:pPr>
      <w:r w:rsidRPr="008A5AC2">
        <w:rPr>
          <w:rFonts w:ascii="Arial" w:hAnsi="Arial" w:cs="Arial"/>
          <w:sz w:val="20"/>
          <w:szCs w:val="20"/>
        </w:rPr>
        <w:t xml:space="preserve">Operačný cieľ 3.2 prispieva k napĺňaniu prioritnej témy HT49 Zmierňovanie klimatickej zmeny a prispôsobovanie sa klimatickej zmene prostredníctvom projektov zameraných na znižovanie emisií skleníkových plynov a projektov zameraných na podporu obnoviteľných zdrojov energie. Úroveň zazmluvnenia alokácie prioritnej témy HT49 je </w:t>
      </w:r>
      <w:r w:rsidR="00D5192E">
        <w:rPr>
          <w:rFonts w:ascii="Arial" w:hAnsi="Arial" w:cs="Arial"/>
          <w:sz w:val="20"/>
          <w:szCs w:val="20"/>
        </w:rPr>
        <w:t>82,84</w:t>
      </w:r>
      <w:r w:rsidRPr="008A5AC2">
        <w:rPr>
          <w:rFonts w:ascii="Arial" w:hAnsi="Arial" w:cs="Arial"/>
          <w:sz w:val="20"/>
          <w:szCs w:val="20"/>
        </w:rPr>
        <w:t>%.</w:t>
      </w:r>
    </w:p>
    <w:p w:rsidR="008A5AC2" w:rsidRPr="008A5AC2" w:rsidRDefault="008A5AC2" w:rsidP="00507035">
      <w:pPr>
        <w:spacing w:before="120" w:after="120" w:line="360" w:lineRule="auto"/>
        <w:jc w:val="both"/>
        <w:rPr>
          <w:rFonts w:ascii="Arial" w:hAnsi="Arial" w:cs="Arial"/>
          <w:sz w:val="20"/>
          <w:szCs w:val="20"/>
        </w:rPr>
      </w:pPr>
      <w:r w:rsidRPr="008A5AC2">
        <w:rPr>
          <w:rFonts w:ascii="Arial" w:hAnsi="Arial" w:cs="Arial"/>
          <w:sz w:val="20"/>
          <w:szCs w:val="20"/>
        </w:rPr>
        <w:t>V priebehu implementácie operačného programu bol zaznamenaný zvýšený záujem zo strany žiadateľov o projekty zmeny palivovej základne lokálnych zdrojov tepla v prospech obnoviteľných zdrojov energie (najmä biomasa), čo súvisí s celkovou situáciou a trendmi v rámci podpory obnoviteľných zdrojov energie v oblasti výroby tepla aj na lokálnej úrovni. Ukazovateľ „Počet aktivít na znižovanie emisií skleníkových plynov a zmenu palivovej základne energetických zdrojov na výrobu tepla a teplej vody v prospech obnoviteľných zdrojov energie a počet podporných štúdií a programov“ bol preto v porovnaní s cieľom, ktorý bol stanovený na základe situácie v predošlom programovom období, výrazne prekročený a dosahuje 340</w:t>
      </w:r>
      <w:r w:rsidR="0072403D">
        <w:rPr>
          <w:rFonts w:ascii="Arial" w:hAnsi="Arial" w:cs="Arial"/>
          <w:sz w:val="20"/>
          <w:szCs w:val="20"/>
        </w:rPr>
        <w:t xml:space="preserve"> </w:t>
      </w:r>
      <w:r w:rsidRPr="008A5AC2">
        <w:rPr>
          <w:rFonts w:ascii="Arial" w:hAnsi="Arial" w:cs="Arial"/>
          <w:sz w:val="20"/>
          <w:szCs w:val="20"/>
        </w:rPr>
        <w:t>%. Rovnako bol v tejto súvislosti výrazne prekročený ukazovateľ „Zníženie emisií skleníkových plynov (spolu za jednotlivé projekty)“. Cieľová hodnota ukazovateľa, ktorá predstavuje odhad spoločného príspevku projektov realizovaných v rámci OP ŽP, bola stanovená na 15</w:t>
      </w:r>
      <w:r w:rsidR="0072403D">
        <w:rPr>
          <w:rFonts w:ascii="Arial" w:hAnsi="Arial" w:cs="Arial"/>
          <w:sz w:val="20"/>
          <w:szCs w:val="20"/>
        </w:rPr>
        <w:t xml:space="preserve"> </w:t>
      </w:r>
      <w:r w:rsidRPr="008A5AC2">
        <w:rPr>
          <w:rFonts w:ascii="Arial" w:hAnsi="Arial" w:cs="Arial"/>
          <w:sz w:val="20"/>
          <w:szCs w:val="20"/>
        </w:rPr>
        <w:t>% na základe porovnania s dosiahnutými hodnotami v predošlom programovom období (13</w:t>
      </w:r>
      <w:r w:rsidR="0072403D">
        <w:rPr>
          <w:rFonts w:ascii="Arial" w:hAnsi="Arial" w:cs="Arial"/>
          <w:sz w:val="20"/>
          <w:szCs w:val="20"/>
        </w:rPr>
        <w:t xml:space="preserve"> </w:t>
      </w:r>
      <w:r w:rsidRPr="008A5AC2">
        <w:rPr>
          <w:rFonts w:ascii="Arial" w:hAnsi="Arial" w:cs="Arial"/>
          <w:sz w:val="20"/>
          <w:szCs w:val="20"/>
        </w:rPr>
        <w:t>%). V súvislosti s množstvom realizovaných projektov zmeny palivovej základne z uhlia na OZE dochádza k výraznému zníženiu emisií skleníkových plynov na konkrétnom zdroji (v priemere 94</w:t>
      </w:r>
      <w:r w:rsidR="0072403D">
        <w:rPr>
          <w:rFonts w:ascii="Arial" w:hAnsi="Arial" w:cs="Arial"/>
          <w:sz w:val="20"/>
          <w:szCs w:val="20"/>
        </w:rPr>
        <w:t> </w:t>
      </w:r>
      <w:r w:rsidRPr="008A5AC2">
        <w:rPr>
          <w:rFonts w:ascii="Arial" w:hAnsi="Arial" w:cs="Arial"/>
          <w:sz w:val="20"/>
          <w:szCs w:val="20"/>
        </w:rPr>
        <w:t xml:space="preserve">%), preto boli plánované hodnoty percentuálneho zníženia emisií na úrovni projektov výrazne prekročené. Rovnako v prípade ukazovateľa „Zvýšený inštalovaný výkon zariadenia zodpovedajúci obnoviteľným zdrojom energie“ došlo na úrovni projektov k prekročeniu plánovaných hodnôt a daný ukazovateľ bol naplnený na </w:t>
      </w:r>
      <w:r w:rsidR="00F92355">
        <w:rPr>
          <w:rFonts w:ascii="Arial" w:hAnsi="Arial" w:cs="Arial"/>
          <w:sz w:val="20"/>
          <w:szCs w:val="20"/>
        </w:rPr>
        <w:t>379</w:t>
      </w:r>
      <w:r w:rsidR="0072403D">
        <w:rPr>
          <w:rFonts w:ascii="Arial" w:hAnsi="Arial" w:cs="Arial"/>
          <w:sz w:val="20"/>
          <w:szCs w:val="20"/>
        </w:rPr>
        <w:t xml:space="preserve"> </w:t>
      </w:r>
      <w:r w:rsidRPr="008A5AC2">
        <w:rPr>
          <w:rFonts w:ascii="Arial" w:hAnsi="Arial" w:cs="Arial"/>
          <w:sz w:val="20"/>
          <w:szCs w:val="20"/>
        </w:rPr>
        <w:t>%.</w:t>
      </w:r>
    </w:p>
    <w:p w:rsidR="008A5AC2" w:rsidRPr="008A5AC2" w:rsidRDefault="008A5AC2" w:rsidP="00507035">
      <w:pPr>
        <w:spacing w:before="120" w:after="120" w:line="360" w:lineRule="auto"/>
        <w:jc w:val="both"/>
        <w:rPr>
          <w:rFonts w:ascii="Arial" w:hAnsi="Arial" w:cs="Arial"/>
          <w:sz w:val="20"/>
          <w:szCs w:val="20"/>
        </w:rPr>
      </w:pPr>
      <w:r w:rsidRPr="008A5AC2">
        <w:rPr>
          <w:rFonts w:ascii="Arial" w:hAnsi="Arial" w:cs="Arial"/>
          <w:sz w:val="20"/>
          <w:szCs w:val="20"/>
        </w:rPr>
        <w:t xml:space="preserve">Plnenie ukazovateľa „Redukcia emisií skleníkových plynov“ v tis. ton bude realizáciou dosiaľ schválených projektov dosiahnuté na </w:t>
      </w:r>
      <w:r w:rsidR="00F92355">
        <w:rPr>
          <w:rFonts w:ascii="Arial" w:hAnsi="Arial" w:cs="Arial"/>
          <w:sz w:val="20"/>
          <w:szCs w:val="20"/>
        </w:rPr>
        <w:t>37,27</w:t>
      </w:r>
      <w:r w:rsidRPr="008A5AC2">
        <w:rPr>
          <w:rFonts w:ascii="Arial" w:hAnsi="Arial" w:cs="Arial"/>
          <w:sz w:val="20"/>
          <w:szCs w:val="20"/>
        </w:rPr>
        <w:t xml:space="preserve">%. Plnenie uvedeného ukazovateľa je výrazne ovplyvnené prevahou menších projektov zmeny palivovej základne lokálnych zdrojov znečisťovania ovzdušia realizovaných najmä subjektmi verejného sektora (mestá, obce). Zapojenie významných znečisťovateľov do istej miery ovplyvňujú pravidlá poskytovania štátnej pomoci. </w:t>
      </w:r>
    </w:p>
    <w:p w:rsidR="00093A4C" w:rsidRDefault="008A5AC2" w:rsidP="00D01D6C">
      <w:pPr>
        <w:spacing w:before="120" w:after="120" w:line="360" w:lineRule="auto"/>
        <w:jc w:val="both"/>
        <w:rPr>
          <w:rFonts w:ascii="Arial" w:hAnsi="Arial" w:cs="Arial"/>
          <w:sz w:val="20"/>
          <w:szCs w:val="20"/>
        </w:rPr>
      </w:pPr>
      <w:r w:rsidRPr="008A5AC2">
        <w:rPr>
          <w:rFonts w:ascii="Arial" w:hAnsi="Arial" w:cs="Arial"/>
          <w:sz w:val="20"/>
          <w:szCs w:val="20"/>
        </w:rPr>
        <w:t>S </w:t>
      </w:r>
      <w:r w:rsidRPr="00D01D6C">
        <w:rPr>
          <w:rFonts w:ascii="Arial" w:hAnsi="Arial" w:cs="Arial"/>
          <w:sz w:val="20"/>
          <w:szCs w:val="20"/>
        </w:rPr>
        <w:t>cieľom zabezpečiť 100%-né naplnenie úrovne zazmluvnenia prioritnej osi 3, ako aj zabezpečiť naplnenie plánovaných hodnôt ukazovateľov stanovených v operačnom programe RO plánuje v priebehu roku 201</w:t>
      </w:r>
      <w:r w:rsidR="00F92355" w:rsidRPr="00D01D6C">
        <w:rPr>
          <w:rFonts w:ascii="Arial" w:hAnsi="Arial" w:cs="Arial"/>
          <w:sz w:val="20"/>
          <w:szCs w:val="20"/>
        </w:rPr>
        <w:t>3</w:t>
      </w:r>
      <w:r w:rsidRPr="00D01D6C">
        <w:rPr>
          <w:rFonts w:ascii="Arial" w:hAnsi="Arial" w:cs="Arial"/>
          <w:sz w:val="20"/>
          <w:szCs w:val="20"/>
        </w:rPr>
        <w:t xml:space="preserve"> vyhlásiť </w:t>
      </w:r>
      <w:r w:rsidR="00093A4C">
        <w:rPr>
          <w:rFonts w:ascii="Arial" w:hAnsi="Arial" w:cs="Arial"/>
          <w:sz w:val="20"/>
          <w:szCs w:val="20"/>
        </w:rPr>
        <w:t xml:space="preserve">ďalšie </w:t>
      </w:r>
      <w:r w:rsidRPr="00D01D6C">
        <w:rPr>
          <w:rFonts w:ascii="Arial" w:hAnsi="Arial" w:cs="Arial"/>
          <w:sz w:val="20"/>
          <w:szCs w:val="20"/>
        </w:rPr>
        <w:t>výzv</w:t>
      </w:r>
      <w:r w:rsidR="00093A4C">
        <w:rPr>
          <w:rFonts w:ascii="Arial" w:hAnsi="Arial" w:cs="Arial"/>
          <w:sz w:val="20"/>
          <w:szCs w:val="20"/>
        </w:rPr>
        <w:t>y</w:t>
      </w:r>
      <w:r w:rsidRPr="00D01D6C">
        <w:rPr>
          <w:rFonts w:ascii="Arial" w:hAnsi="Arial" w:cs="Arial"/>
          <w:sz w:val="20"/>
          <w:szCs w:val="20"/>
        </w:rPr>
        <w:t xml:space="preserve"> v rámci danej prioritnej osi</w:t>
      </w:r>
      <w:r w:rsidR="00093A4C">
        <w:rPr>
          <w:rFonts w:ascii="Arial" w:hAnsi="Arial" w:cs="Arial"/>
          <w:sz w:val="20"/>
          <w:szCs w:val="20"/>
        </w:rPr>
        <w:t>.</w:t>
      </w:r>
    </w:p>
    <w:p w:rsidR="00093A4C" w:rsidRDefault="00093A4C" w:rsidP="00D01D6C">
      <w:pPr>
        <w:spacing w:before="120" w:after="120" w:line="360" w:lineRule="auto"/>
        <w:jc w:val="both"/>
        <w:rPr>
          <w:rFonts w:ascii="Arial" w:hAnsi="Arial" w:cs="Arial"/>
          <w:sz w:val="20"/>
          <w:szCs w:val="20"/>
        </w:rPr>
      </w:pPr>
      <w:r>
        <w:rPr>
          <w:rFonts w:ascii="Arial" w:hAnsi="Arial" w:cs="Arial"/>
          <w:sz w:val="20"/>
          <w:szCs w:val="20"/>
        </w:rPr>
        <w:t xml:space="preserve">V rámci operačného cieľa 3.1, </w:t>
      </w:r>
      <w:r w:rsidRPr="00093A4C">
        <w:rPr>
          <w:rFonts w:ascii="Arial" w:hAnsi="Arial" w:cs="Arial"/>
          <w:sz w:val="20"/>
          <w:szCs w:val="20"/>
        </w:rPr>
        <w:t>vzhľadom na potrebu zabezpečiť splnenie sprísnených požiadaviek podľa nových predpisov EÚ</w:t>
      </w:r>
      <w:r>
        <w:rPr>
          <w:rFonts w:ascii="Arial" w:hAnsi="Arial" w:cs="Arial"/>
          <w:sz w:val="20"/>
          <w:szCs w:val="20"/>
        </w:rPr>
        <w:t xml:space="preserve"> najmä so zameraním na </w:t>
      </w:r>
      <w:r w:rsidRPr="00093A4C">
        <w:rPr>
          <w:rFonts w:ascii="Arial" w:hAnsi="Arial" w:cs="Arial"/>
          <w:sz w:val="20"/>
          <w:szCs w:val="20"/>
        </w:rPr>
        <w:t>podpor</w:t>
      </w:r>
      <w:r>
        <w:rPr>
          <w:rFonts w:ascii="Arial" w:hAnsi="Arial" w:cs="Arial"/>
          <w:sz w:val="20"/>
          <w:szCs w:val="20"/>
        </w:rPr>
        <w:t>u</w:t>
      </w:r>
      <w:r w:rsidRPr="00093A4C">
        <w:rPr>
          <w:rFonts w:ascii="Arial" w:hAnsi="Arial" w:cs="Arial"/>
          <w:sz w:val="20"/>
          <w:szCs w:val="20"/>
        </w:rPr>
        <w:t xml:space="preserve"> projektov </w:t>
      </w:r>
      <w:r>
        <w:rPr>
          <w:rFonts w:ascii="Arial" w:hAnsi="Arial" w:cs="Arial"/>
          <w:sz w:val="20"/>
          <w:szCs w:val="20"/>
        </w:rPr>
        <w:t xml:space="preserve">realizovaných na väčších zdrojoch znečistenia ovzdušia, ktoré predstavujú vysoký potenciál </w:t>
      </w:r>
      <w:r w:rsidRPr="00093A4C">
        <w:rPr>
          <w:rFonts w:ascii="Arial" w:hAnsi="Arial" w:cs="Arial"/>
          <w:sz w:val="20"/>
          <w:szCs w:val="20"/>
        </w:rPr>
        <w:t>napĺňania ukazovateľov znižovani</w:t>
      </w:r>
      <w:r>
        <w:rPr>
          <w:rFonts w:ascii="Arial" w:hAnsi="Arial" w:cs="Arial"/>
          <w:sz w:val="20"/>
          <w:szCs w:val="20"/>
        </w:rPr>
        <w:t xml:space="preserve">a emisií znečisťujúcich látok. </w:t>
      </w:r>
    </w:p>
    <w:p w:rsidR="008A5AC2" w:rsidRPr="00D01D6C" w:rsidRDefault="00093A4C" w:rsidP="00D01D6C">
      <w:pPr>
        <w:spacing w:before="120" w:after="120" w:line="360" w:lineRule="auto"/>
        <w:jc w:val="both"/>
        <w:rPr>
          <w:rFonts w:ascii="Arial" w:hAnsi="Arial" w:cs="Arial"/>
          <w:sz w:val="20"/>
          <w:szCs w:val="20"/>
        </w:rPr>
      </w:pPr>
      <w:r>
        <w:rPr>
          <w:rFonts w:ascii="Arial" w:hAnsi="Arial" w:cs="Arial"/>
          <w:sz w:val="20"/>
          <w:szCs w:val="20"/>
        </w:rPr>
        <w:t xml:space="preserve">Rovnako v rámci operačného cieľa 3.2 plánuje RO vyhlásiť výzvu so zameraním na projekty s potenciálom významným spôsobom prispieť najmä k plneniu core ukazovateľa </w:t>
      </w:r>
      <w:r w:rsidRPr="008A5AC2">
        <w:rPr>
          <w:rFonts w:ascii="Arial" w:hAnsi="Arial" w:cs="Arial"/>
          <w:sz w:val="20"/>
          <w:szCs w:val="20"/>
        </w:rPr>
        <w:t>„Redukcia emisií skleníkových plynov“</w:t>
      </w:r>
      <w:r>
        <w:rPr>
          <w:rFonts w:ascii="Arial" w:hAnsi="Arial" w:cs="Arial"/>
          <w:sz w:val="20"/>
          <w:szCs w:val="20"/>
        </w:rPr>
        <w:t>, t.j. projekty v rámci skupiny aktivít</w:t>
      </w:r>
      <w:r w:rsidR="00C96D36">
        <w:rPr>
          <w:rFonts w:ascii="Arial" w:hAnsi="Arial" w:cs="Arial"/>
          <w:sz w:val="20"/>
          <w:szCs w:val="20"/>
        </w:rPr>
        <w:t xml:space="preserve"> I.B.</w:t>
      </w:r>
    </w:p>
    <w:p w:rsidR="00C31195" w:rsidRPr="00D01D6C" w:rsidRDefault="00C31195" w:rsidP="00D01D6C">
      <w:pPr>
        <w:tabs>
          <w:tab w:val="left" w:pos="1336"/>
        </w:tabs>
        <w:spacing w:before="120" w:after="120" w:line="360" w:lineRule="auto"/>
        <w:jc w:val="both"/>
        <w:rPr>
          <w:rFonts w:ascii="Arial" w:hAnsi="Arial" w:cs="Arial"/>
          <w:b/>
          <w:sz w:val="20"/>
          <w:szCs w:val="20"/>
        </w:rPr>
      </w:pPr>
      <w:r w:rsidRPr="00D01D6C">
        <w:rPr>
          <w:rFonts w:ascii="Arial" w:hAnsi="Arial" w:cs="Arial"/>
          <w:b/>
          <w:sz w:val="20"/>
          <w:szCs w:val="20"/>
        </w:rPr>
        <w:t>Zhrnutie:</w:t>
      </w:r>
      <w:r w:rsidR="00D01D6C" w:rsidRPr="00D01D6C">
        <w:rPr>
          <w:rFonts w:ascii="Arial" w:hAnsi="Arial" w:cs="Arial"/>
          <w:b/>
          <w:sz w:val="20"/>
          <w:szCs w:val="20"/>
        </w:rPr>
        <w:tab/>
      </w:r>
    </w:p>
    <w:p w:rsidR="00C31195" w:rsidRPr="00D01D6C" w:rsidRDefault="00C31195" w:rsidP="00D01D6C">
      <w:pPr>
        <w:spacing w:before="120" w:after="120" w:line="360" w:lineRule="auto"/>
        <w:jc w:val="both"/>
        <w:rPr>
          <w:rFonts w:ascii="Arial" w:hAnsi="Arial" w:cs="Arial"/>
          <w:sz w:val="20"/>
          <w:szCs w:val="20"/>
        </w:rPr>
      </w:pPr>
      <w:r w:rsidRPr="00D01D6C">
        <w:rPr>
          <w:rFonts w:ascii="Arial" w:hAnsi="Arial" w:cs="Arial"/>
          <w:sz w:val="20"/>
          <w:szCs w:val="20"/>
        </w:rPr>
        <w:t>Vzhľadom k</w:t>
      </w:r>
      <w:r w:rsidRPr="00992100">
        <w:rPr>
          <w:rFonts w:ascii="Arial" w:hAnsi="Arial" w:cs="Arial"/>
          <w:sz w:val="20"/>
          <w:szCs w:val="20"/>
        </w:rPr>
        <w:t xml:space="preserve"> stavu fyzického pokroku prioritnej osi 3 je žiaduca podpora aktivít, v rámci ktorých hrozí riziko nenaplnenia plánovaných hodnôt merateľných ukazovateľov a ktoré sú zároveň významné z hľadiska potreby </w:t>
      </w:r>
      <w:r w:rsidRPr="00D01D6C">
        <w:rPr>
          <w:rFonts w:ascii="Arial" w:hAnsi="Arial" w:cs="Arial"/>
          <w:sz w:val="20"/>
          <w:szCs w:val="20"/>
        </w:rPr>
        <w:t xml:space="preserve">zabezpečiť plnenie sprísnených požiadaviek podľa nových predpisov EÚ (napr. </w:t>
      </w:r>
    </w:p>
    <w:p w:rsidR="00C31195" w:rsidRPr="00D01D6C" w:rsidRDefault="00C31195" w:rsidP="00D01D6C">
      <w:pPr>
        <w:spacing w:before="120" w:after="120" w:line="360" w:lineRule="auto"/>
        <w:jc w:val="both"/>
        <w:rPr>
          <w:rFonts w:ascii="Arial" w:hAnsi="Arial" w:cs="Arial"/>
          <w:sz w:val="20"/>
          <w:szCs w:val="20"/>
        </w:rPr>
      </w:pPr>
      <w:r w:rsidRPr="00D01D6C">
        <w:rPr>
          <w:rFonts w:ascii="Arial" w:hAnsi="Arial" w:cs="Arial"/>
          <w:sz w:val="20"/>
          <w:szCs w:val="20"/>
        </w:rPr>
        <w:t xml:space="preserve">oblasti riadenia kvality ovzdušia). </w:t>
      </w:r>
    </w:p>
    <w:p w:rsidR="00C31195" w:rsidRPr="00992100" w:rsidRDefault="00C31195" w:rsidP="00507035">
      <w:pPr>
        <w:spacing w:before="120" w:after="120" w:line="360" w:lineRule="auto"/>
        <w:jc w:val="both"/>
        <w:rPr>
          <w:rFonts w:ascii="Arial" w:hAnsi="Arial" w:cs="Arial"/>
          <w:sz w:val="20"/>
          <w:szCs w:val="20"/>
        </w:rPr>
      </w:pPr>
    </w:p>
    <w:p w:rsidR="000A202C" w:rsidRPr="004B33AE" w:rsidRDefault="000A202C" w:rsidP="00507035">
      <w:pPr>
        <w:spacing w:before="120" w:after="120" w:line="360" w:lineRule="auto"/>
        <w:jc w:val="both"/>
        <w:rPr>
          <w:rFonts w:ascii="Arial" w:hAnsi="Arial" w:cs="Arial"/>
          <w:sz w:val="20"/>
          <w:szCs w:val="20"/>
        </w:rPr>
      </w:pPr>
    </w:p>
    <w:p w:rsidR="002416B1" w:rsidRPr="004B33AE" w:rsidRDefault="002416B1" w:rsidP="00507035">
      <w:pPr>
        <w:pStyle w:val="Nadpis2"/>
        <w:spacing w:before="120" w:after="120" w:line="360" w:lineRule="auto"/>
      </w:pPr>
      <w:bookmarkStart w:id="90" w:name="_Toc319573329"/>
      <w:r w:rsidRPr="004B33AE">
        <w:t>3.4. Prioritná os 4 Odpadové hospodárstvo</w:t>
      </w:r>
      <w:bookmarkEnd w:id="90"/>
    </w:p>
    <w:p w:rsidR="002416B1" w:rsidRDefault="002416B1" w:rsidP="00507035">
      <w:pPr>
        <w:pStyle w:val="Nadpis3"/>
        <w:spacing w:before="120" w:after="120" w:line="360" w:lineRule="auto"/>
        <w:jc w:val="both"/>
      </w:pPr>
      <w:bookmarkStart w:id="91" w:name="_Toc319573330"/>
      <w:r w:rsidRPr="004B33AE">
        <w:t>3.4.1 Dosiahnutie cieľov a analýza dosiahnutého pokroku</w:t>
      </w:r>
      <w:bookmarkEnd w:id="91"/>
    </w:p>
    <w:p w:rsidR="002416B1" w:rsidRDefault="002416B1" w:rsidP="00507035">
      <w:pPr>
        <w:spacing w:before="120" w:after="120" w:line="360" w:lineRule="auto"/>
        <w:jc w:val="both"/>
        <w:rPr>
          <w:rFonts w:ascii="Arial" w:hAnsi="Arial" w:cs="Arial"/>
          <w:sz w:val="20"/>
          <w:szCs w:val="20"/>
        </w:rPr>
      </w:pPr>
      <w:r w:rsidRPr="004B33AE">
        <w:rPr>
          <w:rFonts w:ascii="Arial" w:hAnsi="Arial" w:cs="Arial"/>
          <w:sz w:val="20"/>
          <w:szCs w:val="20"/>
        </w:rPr>
        <w:t>Cieľom prioritnej osi je dobudovanie infraštruktúry odpadového hospodárstva SR v zmysle právnych predpisov EÚ a SR, znižovanie a eliminácia negatívnych vplyvov environmentálnych záťaží a skládok odpadov na zdravie ľudí a ekosystémy. Prioritná os je zameraná na zavádzanie nových a zefektívňovanie jestvujúcich systémov separovaného zberu komunálnych odpadov, na zvýšenie množstva zhodnocovaných odpadov, na znižovanie nebezpečných vlastností odpadov a nakladanie s nebezpečnými odpadmi, zabezpečenie riešenia problematiky environmentálnych záťaží a na uzatváranie a rekultiváciu skládok odpadov.</w:t>
      </w:r>
    </w:p>
    <w:p w:rsidR="00B948D5" w:rsidRPr="00654EBE" w:rsidRDefault="002416B1" w:rsidP="00507035">
      <w:pPr>
        <w:spacing w:before="120" w:after="120" w:line="360" w:lineRule="auto"/>
        <w:jc w:val="both"/>
        <w:rPr>
          <w:rFonts w:ascii="Arial" w:hAnsi="Arial" w:cs="Arial"/>
          <w:sz w:val="20"/>
          <w:szCs w:val="20"/>
        </w:rPr>
      </w:pPr>
      <w:r w:rsidRPr="003A5E95">
        <w:rPr>
          <w:rFonts w:ascii="Arial" w:hAnsi="Arial" w:cs="Arial"/>
          <w:sz w:val="20"/>
          <w:szCs w:val="20"/>
        </w:rPr>
        <w:t>Prioritná os č. 4 je financovaná z Kohézneho fondu a svojou alokáciou tvorí takmer 26,65</w:t>
      </w:r>
      <w:r w:rsidR="00361030">
        <w:rPr>
          <w:rFonts w:ascii="Arial" w:hAnsi="Arial" w:cs="Arial"/>
          <w:sz w:val="20"/>
          <w:szCs w:val="20"/>
        </w:rPr>
        <w:t xml:space="preserve"> </w:t>
      </w:r>
      <w:r w:rsidRPr="003A5E95">
        <w:rPr>
          <w:rFonts w:ascii="Arial" w:hAnsi="Arial" w:cs="Arial"/>
          <w:sz w:val="20"/>
          <w:szCs w:val="20"/>
        </w:rPr>
        <w:t xml:space="preserve">% celkovej alokácie na operačný program. </w:t>
      </w:r>
    </w:p>
    <w:p w:rsidR="00B948D5" w:rsidRPr="00654EBE" w:rsidRDefault="00B948D5" w:rsidP="00507035">
      <w:pPr>
        <w:spacing w:before="120" w:after="120" w:line="360" w:lineRule="auto"/>
        <w:jc w:val="both"/>
        <w:rPr>
          <w:rFonts w:ascii="Arial" w:hAnsi="Arial" w:cs="Arial"/>
          <w:sz w:val="20"/>
          <w:szCs w:val="20"/>
        </w:rPr>
      </w:pPr>
      <w:r w:rsidRPr="00654EBE">
        <w:rPr>
          <w:rFonts w:ascii="Arial" w:hAnsi="Arial" w:cs="Arial"/>
          <w:sz w:val="20"/>
          <w:szCs w:val="20"/>
        </w:rPr>
        <w:t>Podiel prioritnej osi na celkovom čerpaní alokácie za rok 201</w:t>
      </w:r>
      <w:r w:rsidRPr="00B71586">
        <w:rPr>
          <w:rFonts w:ascii="Arial" w:hAnsi="Arial" w:cs="Arial"/>
          <w:sz w:val="20"/>
          <w:szCs w:val="20"/>
        </w:rPr>
        <w:t>2</w:t>
      </w:r>
      <w:r w:rsidRPr="00654EBE">
        <w:rPr>
          <w:rFonts w:ascii="Arial" w:hAnsi="Arial" w:cs="Arial"/>
          <w:sz w:val="20"/>
          <w:szCs w:val="20"/>
        </w:rPr>
        <w:t xml:space="preserve"> je </w:t>
      </w:r>
      <w:r w:rsidRPr="00B71586">
        <w:rPr>
          <w:rFonts w:ascii="Arial" w:hAnsi="Arial" w:cs="Arial"/>
          <w:sz w:val="20"/>
          <w:szCs w:val="20"/>
        </w:rPr>
        <w:t>30,46</w:t>
      </w:r>
      <w:r w:rsidR="00361030">
        <w:rPr>
          <w:rFonts w:ascii="Arial" w:hAnsi="Arial" w:cs="Arial"/>
          <w:sz w:val="20"/>
          <w:szCs w:val="20"/>
        </w:rPr>
        <w:t xml:space="preserve"> </w:t>
      </w:r>
      <w:r w:rsidRPr="00654EBE">
        <w:rPr>
          <w:rFonts w:ascii="Arial" w:hAnsi="Arial" w:cs="Arial"/>
          <w:sz w:val="20"/>
          <w:szCs w:val="20"/>
        </w:rPr>
        <w:t>%.</w:t>
      </w:r>
    </w:p>
    <w:p w:rsidR="00B948D5" w:rsidRDefault="00B948D5" w:rsidP="00507035">
      <w:pPr>
        <w:spacing w:before="120" w:after="120" w:line="360" w:lineRule="auto"/>
        <w:jc w:val="both"/>
        <w:rPr>
          <w:rFonts w:ascii="Arial" w:hAnsi="Arial" w:cs="Arial"/>
          <w:sz w:val="20"/>
          <w:szCs w:val="20"/>
        </w:rPr>
      </w:pPr>
      <w:r w:rsidRPr="00654EBE">
        <w:rPr>
          <w:rFonts w:ascii="Arial" w:hAnsi="Arial" w:cs="Arial"/>
          <w:sz w:val="20"/>
          <w:szCs w:val="20"/>
        </w:rPr>
        <w:t>Úroveň zazmluvnenia prioritnej osi voči alokácii na danú prioritnú os je 6</w:t>
      </w:r>
      <w:r w:rsidRPr="00B71586">
        <w:rPr>
          <w:rFonts w:ascii="Arial" w:hAnsi="Arial" w:cs="Arial"/>
          <w:sz w:val="20"/>
          <w:szCs w:val="20"/>
        </w:rPr>
        <w:t>4</w:t>
      </w:r>
      <w:r w:rsidRPr="00654EBE">
        <w:rPr>
          <w:rFonts w:ascii="Arial" w:hAnsi="Arial" w:cs="Arial"/>
          <w:sz w:val="20"/>
          <w:szCs w:val="20"/>
        </w:rPr>
        <w:t>,</w:t>
      </w:r>
      <w:r w:rsidRPr="00B71586">
        <w:rPr>
          <w:rFonts w:ascii="Arial" w:hAnsi="Arial" w:cs="Arial"/>
          <w:sz w:val="20"/>
          <w:szCs w:val="20"/>
        </w:rPr>
        <w:t>4</w:t>
      </w:r>
      <w:r w:rsidRPr="00654EBE">
        <w:rPr>
          <w:rFonts w:ascii="Arial" w:hAnsi="Arial" w:cs="Arial"/>
          <w:sz w:val="20"/>
          <w:szCs w:val="20"/>
        </w:rPr>
        <w:t xml:space="preserve">7 %, pričom vyplatené prostriedky prijímateľom tvoria </w:t>
      </w:r>
      <w:r w:rsidRPr="00B71586">
        <w:rPr>
          <w:rFonts w:ascii="Arial" w:hAnsi="Arial" w:cs="Arial"/>
          <w:sz w:val="20"/>
          <w:szCs w:val="20"/>
        </w:rPr>
        <w:t>37</w:t>
      </w:r>
      <w:r w:rsidRPr="00654EBE">
        <w:rPr>
          <w:rFonts w:ascii="Arial" w:hAnsi="Arial" w:cs="Arial"/>
          <w:sz w:val="20"/>
          <w:szCs w:val="20"/>
        </w:rPr>
        <w:t>,</w:t>
      </w:r>
      <w:r w:rsidRPr="00B71586">
        <w:rPr>
          <w:rFonts w:ascii="Arial" w:hAnsi="Arial" w:cs="Arial"/>
          <w:sz w:val="20"/>
          <w:szCs w:val="20"/>
        </w:rPr>
        <w:t>28</w:t>
      </w:r>
      <w:r w:rsidRPr="00654EBE">
        <w:rPr>
          <w:rFonts w:ascii="Arial" w:hAnsi="Arial" w:cs="Arial"/>
          <w:sz w:val="20"/>
          <w:szCs w:val="20"/>
        </w:rPr>
        <w:t>% voči celkovej alokácii na danú prioritnú os.</w:t>
      </w:r>
    </w:p>
    <w:p w:rsidR="002416B1" w:rsidRPr="002A737F" w:rsidRDefault="002416B1" w:rsidP="00507035">
      <w:pPr>
        <w:spacing w:before="120" w:after="120" w:line="360" w:lineRule="auto"/>
        <w:jc w:val="both"/>
        <w:rPr>
          <w:rFonts w:ascii="Arial" w:hAnsi="Arial" w:cs="Arial"/>
          <w:sz w:val="20"/>
          <w:szCs w:val="20"/>
        </w:rPr>
      </w:pPr>
      <w:r w:rsidRPr="004A36A9">
        <w:rPr>
          <w:rFonts w:ascii="Arial" w:hAnsi="Arial" w:cs="Arial"/>
          <w:sz w:val="20"/>
          <w:szCs w:val="20"/>
        </w:rPr>
        <w:t>V rámci prioritnej osi 4 je predpoklad napĺňania ukazovateľov priaznivý, čím sa predpokladá dosiahnutie príslušných ukazovateľov operačného programu.</w:t>
      </w:r>
      <w:r>
        <w:rPr>
          <w:rFonts w:ascii="Arial" w:hAnsi="Arial" w:cs="Arial"/>
          <w:sz w:val="20"/>
          <w:szCs w:val="20"/>
        </w:rPr>
        <w:t xml:space="preserve"> </w:t>
      </w:r>
      <w:r w:rsidRPr="002A737F">
        <w:rPr>
          <w:rFonts w:ascii="Arial" w:hAnsi="Arial" w:cs="Arial"/>
          <w:sz w:val="20"/>
          <w:szCs w:val="20"/>
        </w:rPr>
        <w:t>Zhodnotenie úrovne zazmluvnenia alokovaných finančných prostriedkov za zdroje EÚ vo vzťahu k dosahovaným hodnotám ukazovateľov podľa prioritných tém je podrobnejšie popísané v časti Plnenie merateľných ukazovateľov. Na základe uvedeného RO očakáva naplnenie cieľov prioritnej osi.</w:t>
      </w:r>
    </w:p>
    <w:p w:rsidR="002416B1" w:rsidRDefault="002416B1" w:rsidP="00507035">
      <w:pPr>
        <w:spacing w:before="120" w:after="120" w:line="360" w:lineRule="auto"/>
        <w:jc w:val="both"/>
        <w:rPr>
          <w:rFonts w:ascii="Arial" w:hAnsi="Arial" w:cs="Arial"/>
          <w:sz w:val="20"/>
          <w:szCs w:val="20"/>
        </w:rPr>
      </w:pPr>
      <w:r w:rsidRPr="002A737F">
        <w:rPr>
          <w:rFonts w:ascii="Arial" w:hAnsi="Arial" w:cs="Arial"/>
          <w:sz w:val="20"/>
          <w:szCs w:val="20"/>
        </w:rPr>
        <w:t>Príklady úspešných projektov</w:t>
      </w:r>
      <w:r>
        <w:rPr>
          <w:rFonts w:ascii="Arial" w:hAnsi="Arial" w:cs="Arial"/>
          <w:sz w:val="20"/>
          <w:szCs w:val="20"/>
        </w:rPr>
        <w:t xml:space="preserve"> prioritnej osi 4</w:t>
      </w:r>
      <w:r w:rsidRPr="002A737F">
        <w:rPr>
          <w:rFonts w:ascii="Arial" w:hAnsi="Arial" w:cs="Arial"/>
          <w:sz w:val="20"/>
          <w:szCs w:val="20"/>
        </w:rPr>
        <w:t xml:space="preserve">, finančne aj fyzicky ukončených, sú uvedené na </w:t>
      </w:r>
      <w:r w:rsidR="00361030">
        <w:rPr>
          <w:rFonts w:ascii="Arial" w:hAnsi="Arial" w:cs="Arial"/>
          <w:sz w:val="20"/>
          <w:szCs w:val="20"/>
        </w:rPr>
        <w:t>webovom sídle</w:t>
      </w:r>
      <w:r w:rsidR="00361030" w:rsidRPr="002A737F">
        <w:rPr>
          <w:rFonts w:ascii="Arial" w:hAnsi="Arial" w:cs="Arial"/>
          <w:sz w:val="20"/>
          <w:szCs w:val="20"/>
        </w:rPr>
        <w:t xml:space="preserve"> </w:t>
      </w:r>
      <w:r w:rsidRPr="002A737F">
        <w:rPr>
          <w:rFonts w:ascii="Arial" w:hAnsi="Arial" w:cs="Arial"/>
          <w:sz w:val="20"/>
          <w:szCs w:val="20"/>
        </w:rPr>
        <w:t xml:space="preserve">OP ŽP, </w:t>
      </w:r>
      <w:hyperlink r:id="rId47" w:history="1">
        <w:r w:rsidRPr="002A737F">
          <w:rPr>
            <w:rStyle w:val="Hypertextovprepojenie"/>
            <w:rFonts w:ascii="Arial" w:hAnsi="Arial" w:cs="Arial"/>
            <w:sz w:val="20"/>
            <w:szCs w:val="20"/>
          </w:rPr>
          <w:t>http://www.opzp.sk/projekty/mapa-vzorovych-uspesne-realizovanych-projektov/</w:t>
        </w:r>
      </w:hyperlink>
      <w:r w:rsidR="007D7EAE">
        <w:rPr>
          <w:rFonts w:ascii="Arial" w:hAnsi="Arial" w:cs="Arial"/>
          <w:sz w:val="20"/>
          <w:szCs w:val="20"/>
        </w:rPr>
        <w:t xml:space="preserve"> a tiež sú súčasťou Prílohy č. 10 výročnej správy.</w:t>
      </w:r>
    </w:p>
    <w:p w:rsidR="002416B1" w:rsidRPr="004B33AE" w:rsidRDefault="002416B1" w:rsidP="00507035">
      <w:pPr>
        <w:pStyle w:val="Nadpis8"/>
        <w:spacing w:before="120" w:after="120"/>
        <w:rPr>
          <w:rFonts w:ascii="Arial" w:hAnsi="Arial" w:cs="Arial"/>
          <w:b/>
          <w:sz w:val="22"/>
          <w:szCs w:val="22"/>
        </w:rPr>
      </w:pPr>
      <w:r w:rsidRPr="004B33AE">
        <w:rPr>
          <w:rFonts w:ascii="Arial" w:hAnsi="Arial" w:cs="Arial"/>
          <w:b/>
          <w:sz w:val="22"/>
          <w:szCs w:val="22"/>
        </w:rPr>
        <w:t>3.4.1.1 Stav fyzického pokroku prioritnej osi 4</w:t>
      </w:r>
    </w:p>
    <w:p w:rsidR="002416B1" w:rsidRPr="004B33AE" w:rsidRDefault="002416B1" w:rsidP="00617FE5">
      <w:pPr>
        <w:pStyle w:val="Zkladntextb"/>
        <w:spacing w:after="0" w:line="360" w:lineRule="auto"/>
        <w:ind w:left="0"/>
        <w:jc w:val="both"/>
        <w:rPr>
          <w:highlight w:val="yellow"/>
          <w:lang w:val="sk-SK"/>
        </w:rPr>
      </w:pPr>
      <w:r w:rsidRPr="004B33AE">
        <w:rPr>
          <w:lang w:val="sk-SK"/>
        </w:rPr>
        <w:t>V rámci Prioritnej osi 4 Odpadové hospodárstvo bolo od začiatku programovacieho obdobia vyhlásených už 1</w:t>
      </w:r>
      <w:r w:rsidR="003C607D">
        <w:rPr>
          <w:lang w:val="sk-SK"/>
        </w:rPr>
        <w:t>6</w:t>
      </w:r>
      <w:r w:rsidRPr="004B33AE">
        <w:rPr>
          <w:lang w:val="sk-SK"/>
        </w:rPr>
        <w:t xml:space="preserve"> výziev na predkladanie žiadostí o NFP v celkovej alokácii </w:t>
      </w:r>
      <w:r w:rsidR="00343FCC">
        <w:rPr>
          <w:lang w:val="sk-SK"/>
        </w:rPr>
        <w:t>660 853 923</w:t>
      </w:r>
      <w:r w:rsidRPr="004B33AE">
        <w:rPr>
          <w:lang w:val="sk-SK"/>
        </w:rPr>
        <w:t xml:space="preserve"> EUR</w:t>
      </w:r>
      <w:r>
        <w:rPr>
          <w:lang w:val="sk-SK"/>
        </w:rPr>
        <w:t>.</w:t>
      </w:r>
      <w:r w:rsidRPr="004B33AE">
        <w:rPr>
          <w:lang w:val="sk-SK"/>
        </w:rPr>
        <w:t xml:space="preserve"> </w:t>
      </w:r>
      <w:r>
        <w:rPr>
          <w:lang w:val="sk-SK"/>
        </w:rPr>
        <w:t>V</w:t>
      </w:r>
      <w:r w:rsidRPr="004B33AE">
        <w:rPr>
          <w:lang w:val="sk-SK"/>
        </w:rPr>
        <w:t> roku 201</w:t>
      </w:r>
      <w:r w:rsidR="00343FCC">
        <w:rPr>
          <w:lang w:val="sk-SK"/>
        </w:rPr>
        <w:t>2</w:t>
      </w:r>
      <w:r w:rsidRPr="004B33AE">
        <w:rPr>
          <w:lang w:val="sk-SK"/>
        </w:rPr>
        <w:t xml:space="preserve"> </w:t>
      </w:r>
      <w:r>
        <w:rPr>
          <w:lang w:val="sk-SK"/>
        </w:rPr>
        <w:t xml:space="preserve">RO zverejnil </w:t>
      </w:r>
      <w:r w:rsidR="00343FCC">
        <w:rPr>
          <w:lang w:val="sk-SK"/>
        </w:rPr>
        <w:t xml:space="preserve">1 výzvu </w:t>
      </w:r>
      <w:r>
        <w:rPr>
          <w:lang w:val="sk-SK"/>
        </w:rPr>
        <w:t>v</w:t>
      </w:r>
      <w:r w:rsidRPr="004B33AE">
        <w:rPr>
          <w:lang w:val="sk-SK"/>
        </w:rPr>
        <w:t xml:space="preserve"> alokácii </w:t>
      </w:r>
      <w:r w:rsidR="00343FCC">
        <w:rPr>
          <w:lang w:val="sk-SK"/>
        </w:rPr>
        <w:t>48 000 000</w:t>
      </w:r>
      <w:r w:rsidRPr="004B33AE">
        <w:rPr>
          <w:lang w:val="sk-SK"/>
        </w:rPr>
        <w:t xml:space="preserve"> EUR</w:t>
      </w:r>
      <w:r w:rsidR="007A2602">
        <w:rPr>
          <w:lang w:val="sk-SK"/>
        </w:rPr>
        <w:t xml:space="preserve"> </w:t>
      </w:r>
      <w:r>
        <w:rPr>
          <w:rFonts w:cs="Arial"/>
          <w:lang w:val="sk-SK"/>
        </w:rPr>
        <w:t xml:space="preserve">pre </w:t>
      </w:r>
      <w:r w:rsidR="00343FCC">
        <w:rPr>
          <w:rFonts w:cs="Arial"/>
          <w:lang w:val="sk-SK"/>
        </w:rPr>
        <w:t xml:space="preserve">operačný </w:t>
      </w:r>
      <w:r>
        <w:rPr>
          <w:rFonts w:cs="Arial"/>
          <w:lang w:val="sk-SK"/>
        </w:rPr>
        <w:t>cie</w:t>
      </w:r>
      <w:r w:rsidR="00343FCC">
        <w:rPr>
          <w:rFonts w:cs="Arial"/>
          <w:lang w:val="sk-SK"/>
        </w:rPr>
        <w:t>ľ</w:t>
      </w:r>
      <w:r>
        <w:rPr>
          <w:rFonts w:cs="Arial"/>
          <w:lang w:val="sk-SK"/>
        </w:rPr>
        <w:t xml:space="preserve"> </w:t>
      </w:r>
      <w:r w:rsidR="00343FCC">
        <w:rPr>
          <w:rFonts w:cs="Arial"/>
          <w:lang w:val="sk-SK"/>
        </w:rPr>
        <w:t>4.4</w:t>
      </w:r>
      <w:r w:rsidR="00071450">
        <w:rPr>
          <w:rFonts w:cs="Arial"/>
          <w:lang w:val="sk-SK"/>
        </w:rPr>
        <w:t xml:space="preserve"> (environmentálne záťaže)</w:t>
      </w:r>
      <w:r w:rsidRPr="00147BBB">
        <w:rPr>
          <w:rFonts w:cs="Arial"/>
          <w:bCs/>
          <w:lang w:val="sk-SK"/>
        </w:rPr>
        <w:t>.</w:t>
      </w:r>
    </w:p>
    <w:p w:rsidR="002416B1" w:rsidRPr="004B33AE" w:rsidRDefault="002416B1" w:rsidP="00617FE5">
      <w:pPr>
        <w:jc w:val="both"/>
        <w:rPr>
          <w:rFonts w:ascii="Arial" w:hAnsi="Arial" w:cs="Arial"/>
          <w:sz w:val="20"/>
          <w:szCs w:val="20"/>
          <w:highlight w:val="yellow"/>
        </w:rPr>
      </w:pPr>
      <w:r w:rsidRPr="00307BED">
        <w:rPr>
          <w:rFonts w:ascii="Arial" w:hAnsi="Arial" w:cs="Arial"/>
          <w:sz w:val="20"/>
          <w:szCs w:val="20"/>
        </w:rPr>
        <w:t xml:space="preserve">Tab. č. </w:t>
      </w:r>
      <w:r w:rsidR="00254D6C">
        <w:rPr>
          <w:rFonts w:ascii="Arial" w:hAnsi="Arial" w:cs="Arial"/>
          <w:sz w:val="20"/>
          <w:szCs w:val="20"/>
        </w:rPr>
        <w:t>50</w:t>
      </w:r>
      <w:r w:rsidRPr="004B33AE">
        <w:rPr>
          <w:rFonts w:ascii="Arial" w:hAnsi="Arial" w:cs="Arial"/>
          <w:sz w:val="20"/>
          <w:szCs w:val="20"/>
        </w:rPr>
        <w:t>: Stav vyhlasovania výziev prioritnej osi 4 v období 01.01.201</w:t>
      </w:r>
      <w:r w:rsidR="00343FCC">
        <w:rPr>
          <w:rFonts w:ascii="Arial" w:hAnsi="Arial" w:cs="Arial"/>
          <w:sz w:val="20"/>
          <w:szCs w:val="20"/>
        </w:rPr>
        <w:t>2</w:t>
      </w:r>
      <w:r w:rsidRPr="004B33AE">
        <w:rPr>
          <w:rFonts w:ascii="Arial" w:hAnsi="Arial" w:cs="Arial"/>
          <w:sz w:val="20"/>
          <w:szCs w:val="20"/>
        </w:rPr>
        <w:t xml:space="preserve"> – 31.12.201</w:t>
      </w:r>
      <w:r w:rsidR="00343FCC">
        <w:rPr>
          <w:rFonts w:ascii="Arial" w:hAnsi="Arial" w:cs="Arial"/>
          <w:sz w:val="20"/>
          <w:szCs w:val="20"/>
        </w:rPr>
        <w:t>2</w:t>
      </w:r>
    </w:p>
    <w:tbl>
      <w:tblPr>
        <w:tblW w:w="0" w:type="auto"/>
        <w:tblInd w:w="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982"/>
        <w:gridCol w:w="2591"/>
        <w:gridCol w:w="1746"/>
        <w:gridCol w:w="2660"/>
        <w:gridCol w:w="1176"/>
      </w:tblGrid>
      <w:tr w:rsidR="00343FCC" w:rsidRPr="006A2BF3" w:rsidTr="003A5E95">
        <w:trPr>
          <w:trHeight w:val="1151"/>
        </w:trPr>
        <w:tc>
          <w:tcPr>
            <w:tcW w:w="0" w:type="auto"/>
            <w:shd w:val="clear" w:color="auto" w:fill="D6E3BC"/>
            <w:vAlign w:val="center"/>
          </w:tcPr>
          <w:p w:rsidR="002416B1" w:rsidRPr="006A2BF3" w:rsidRDefault="002416B1" w:rsidP="00205636">
            <w:pPr>
              <w:jc w:val="center"/>
              <w:rPr>
                <w:rFonts w:ascii="Arial" w:hAnsi="Arial" w:cs="Arial"/>
                <w:b/>
                <w:bCs/>
                <w:sz w:val="18"/>
                <w:szCs w:val="18"/>
              </w:rPr>
            </w:pPr>
            <w:r w:rsidRPr="006A2BF3">
              <w:rPr>
                <w:rFonts w:ascii="Arial" w:hAnsi="Arial" w:cs="Arial"/>
                <w:b/>
                <w:bCs/>
                <w:sz w:val="18"/>
                <w:szCs w:val="18"/>
              </w:rPr>
              <w:t>Opatrenie</w:t>
            </w:r>
          </w:p>
        </w:tc>
        <w:tc>
          <w:tcPr>
            <w:tcW w:w="0" w:type="auto"/>
            <w:shd w:val="clear" w:color="auto" w:fill="D6E3BC"/>
            <w:vAlign w:val="center"/>
          </w:tcPr>
          <w:p w:rsidR="002416B1" w:rsidRPr="006A2BF3" w:rsidRDefault="002416B1" w:rsidP="00205636">
            <w:pPr>
              <w:jc w:val="center"/>
              <w:rPr>
                <w:rFonts w:ascii="Arial" w:hAnsi="Arial" w:cs="Arial"/>
                <w:b/>
                <w:bCs/>
                <w:sz w:val="18"/>
                <w:szCs w:val="18"/>
              </w:rPr>
            </w:pPr>
            <w:r w:rsidRPr="006A2BF3">
              <w:rPr>
                <w:rFonts w:ascii="Arial" w:hAnsi="Arial" w:cs="Arial"/>
                <w:b/>
                <w:bCs/>
                <w:sz w:val="18"/>
                <w:szCs w:val="18"/>
              </w:rPr>
              <w:t>Typ výzvy</w:t>
            </w:r>
          </w:p>
        </w:tc>
        <w:tc>
          <w:tcPr>
            <w:tcW w:w="0" w:type="auto"/>
            <w:shd w:val="clear" w:color="auto" w:fill="D6E3BC"/>
            <w:vAlign w:val="center"/>
          </w:tcPr>
          <w:p w:rsidR="002416B1" w:rsidRPr="006A2BF3" w:rsidRDefault="002416B1" w:rsidP="00205636">
            <w:pPr>
              <w:jc w:val="center"/>
              <w:rPr>
                <w:rFonts w:ascii="Arial" w:hAnsi="Arial" w:cs="Arial"/>
                <w:b/>
                <w:bCs/>
                <w:sz w:val="18"/>
                <w:szCs w:val="18"/>
              </w:rPr>
            </w:pPr>
            <w:r w:rsidRPr="006A2BF3">
              <w:rPr>
                <w:rFonts w:ascii="Arial" w:hAnsi="Arial" w:cs="Arial"/>
                <w:b/>
                <w:bCs/>
                <w:sz w:val="18"/>
                <w:szCs w:val="18"/>
              </w:rPr>
              <w:t>Dátum vyhlásenia výzvy</w:t>
            </w:r>
          </w:p>
        </w:tc>
        <w:tc>
          <w:tcPr>
            <w:tcW w:w="0" w:type="auto"/>
            <w:shd w:val="clear" w:color="auto" w:fill="D6E3BC"/>
            <w:vAlign w:val="center"/>
          </w:tcPr>
          <w:p w:rsidR="002416B1" w:rsidRPr="006A2BF3" w:rsidRDefault="002416B1" w:rsidP="00205636">
            <w:pPr>
              <w:jc w:val="center"/>
              <w:rPr>
                <w:rFonts w:ascii="Arial" w:hAnsi="Arial" w:cs="Arial"/>
                <w:b/>
                <w:bCs/>
                <w:sz w:val="18"/>
                <w:szCs w:val="18"/>
              </w:rPr>
            </w:pPr>
            <w:r w:rsidRPr="006A2BF3">
              <w:rPr>
                <w:rFonts w:ascii="Arial" w:hAnsi="Arial" w:cs="Arial"/>
                <w:b/>
                <w:bCs/>
                <w:sz w:val="18"/>
                <w:szCs w:val="18"/>
              </w:rPr>
              <w:t xml:space="preserve">Dátum uzávierky prijímania žiadostí </w:t>
            </w:r>
            <w:r>
              <w:rPr>
                <w:rFonts w:ascii="Arial" w:hAnsi="Arial" w:cs="Arial"/>
                <w:b/>
                <w:bCs/>
                <w:sz w:val="18"/>
                <w:szCs w:val="18"/>
              </w:rPr>
              <w:t xml:space="preserve">o </w:t>
            </w:r>
            <w:r w:rsidRPr="006A2BF3">
              <w:rPr>
                <w:rFonts w:ascii="Arial" w:hAnsi="Arial" w:cs="Arial"/>
                <w:b/>
                <w:bCs/>
                <w:sz w:val="18"/>
                <w:szCs w:val="18"/>
              </w:rPr>
              <w:t>NFP</w:t>
            </w:r>
          </w:p>
        </w:tc>
        <w:tc>
          <w:tcPr>
            <w:tcW w:w="1176" w:type="dxa"/>
            <w:shd w:val="clear" w:color="auto" w:fill="D6E3BC"/>
            <w:vAlign w:val="center"/>
          </w:tcPr>
          <w:p w:rsidR="002416B1" w:rsidRPr="006A2BF3" w:rsidRDefault="002416B1" w:rsidP="00205636">
            <w:pPr>
              <w:jc w:val="center"/>
              <w:rPr>
                <w:rFonts w:ascii="Arial" w:hAnsi="Arial" w:cs="Arial"/>
                <w:b/>
                <w:bCs/>
                <w:sz w:val="18"/>
                <w:szCs w:val="18"/>
              </w:rPr>
            </w:pPr>
            <w:r w:rsidRPr="002A737F">
              <w:rPr>
                <w:rFonts w:ascii="Arial" w:hAnsi="Arial" w:cs="Arial"/>
                <w:b/>
                <w:bCs/>
                <w:sz w:val="18"/>
                <w:szCs w:val="18"/>
              </w:rPr>
              <w:t>Alokácia FP na výzvu (NFP) v €</w:t>
            </w:r>
          </w:p>
          <w:p w:rsidR="002416B1" w:rsidRPr="006A2BF3" w:rsidRDefault="002416B1" w:rsidP="00205636">
            <w:pPr>
              <w:jc w:val="center"/>
              <w:rPr>
                <w:rFonts w:ascii="Arial" w:hAnsi="Arial" w:cs="Arial"/>
                <w:b/>
                <w:bCs/>
                <w:sz w:val="18"/>
                <w:szCs w:val="18"/>
              </w:rPr>
            </w:pPr>
          </w:p>
        </w:tc>
      </w:tr>
      <w:tr w:rsidR="00343FCC" w:rsidRPr="006A2BF3" w:rsidTr="003A5E95">
        <w:trPr>
          <w:trHeight w:val="600"/>
        </w:trPr>
        <w:tc>
          <w:tcPr>
            <w:tcW w:w="0" w:type="auto"/>
            <w:shd w:val="clear" w:color="auto" w:fill="EAF1DD"/>
            <w:noWrap/>
            <w:vAlign w:val="center"/>
          </w:tcPr>
          <w:p w:rsidR="002416B1" w:rsidRPr="006A2BF3" w:rsidRDefault="002416B1" w:rsidP="00205636">
            <w:pPr>
              <w:jc w:val="center"/>
              <w:rPr>
                <w:rFonts w:ascii="Arial" w:hAnsi="Arial" w:cs="Arial"/>
                <w:sz w:val="18"/>
                <w:szCs w:val="18"/>
              </w:rPr>
            </w:pPr>
            <w:r w:rsidRPr="006A2BF3">
              <w:rPr>
                <w:rFonts w:ascii="Arial" w:hAnsi="Arial" w:cs="Arial"/>
                <w:sz w:val="18"/>
                <w:szCs w:val="18"/>
              </w:rPr>
              <w:t>4.4.</w:t>
            </w:r>
          </w:p>
        </w:tc>
        <w:tc>
          <w:tcPr>
            <w:tcW w:w="0" w:type="auto"/>
            <w:vAlign w:val="center"/>
          </w:tcPr>
          <w:p w:rsidR="002416B1" w:rsidRPr="006A2BF3" w:rsidRDefault="002416B1" w:rsidP="00205636">
            <w:pPr>
              <w:jc w:val="center"/>
              <w:rPr>
                <w:rFonts w:ascii="Arial" w:hAnsi="Arial" w:cs="Arial"/>
                <w:sz w:val="18"/>
                <w:szCs w:val="18"/>
              </w:rPr>
            </w:pPr>
            <w:r w:rsidRPr="006A2BF3">
              <w:rPr>
                <w:rFonts w:ascii="Arial" w:hAnsi="Arial" w:cs="Arial"/>
                <w:sz w:val="18"/>
                <w:szCs w:val="18"/>
              </w:rPr>
              <w:t>OPŽP-PO4-</w:t>
            </w:r>
            <w:r w:rsidR="00343FCC" w:rsidRPr="006A2BF3">
              <w:rPr>
                <w:rFonts w:ascii="Arial" w:hAnsi="Arial" w:cs="Arial"/>
                <w:sz w:val="18"/>
                <w:szCs w:val="18"/>
              </w:rPr>
              <w:t>1</w:t>
            </w:r>
            <w:r w:rsidR="00343FCC">
              <w:rPr>
                <w:rFonts w:ascii="Arial" w:hAnsi="Arial" w:cs="Arial"/>
                <w:sz w:val="18"/>
                <w:szCs w:val="18"/>
              </w:rPr>
              <w:t>2</w:t>
            </w:r>
            <w:r w:rsidRPr="006A2BF3">
              <w:rPr>
                <w:rFonts w:ascii="Arial" w:hAnsi="Arial" w:cs="Arial"/>
                <w:sz w:val="18"/>
                <w:szCs w:val="18"/>
              </w:rPr>
              <w:t>-</w:t>
            </w:r>
            <w:r w:rsidR="00343FCC">
              <w:rPr>
                <w:rFonts w:ascii="Arial" w:hAnsi="Arial" w:cs="Arial"/>
                <w:sz w:val="18"/>
                <w:szCs w:val="18"/>
              </w:rPr>
              <w:t>1</w:t>
            </w:r>
            <w:r w:rsidRPr="006A2BF3">
              <w:rPr>
                <w:rFonts w:ascii="Arial" w:hAnsi="Arial" w:cs="Arial"/>
                <w:sz w:val="18"/>
                <w:szCs w:val="18"/>
              </w:rPr>
              <w:t xml:space="preserve"> - časovo ohraničená výzva</w:t>
            </w:r>
          </w:p>
        </w:tc>
        <w:tc>
          <w:tcPr>
            <w:tcW w:w="0" w:type="auto"/>
            <w:noWrap/>
            <w:vAlign w:val="center"/>
          </w:tcPr>
          <w:p w:rsidR="002416B1" w:rsidRPr="006A2BF3" w:rsidRDefault="00343FCC" w:rsidP="00205636">
            <w:pPr>
              <w:jc w:val="center"/>
              <w:rPr>
                <w:rFonts w:ascii="Arial" w:hAnsi="Arial" w:cs="Arial"/>
                <w:sz w:val="18"/>
                <w:szCs w:val="18"/>
              </w:rPr>
            </w:pPr>
            <w:r>
              <w:rPr>
                <w:rFonts w:ascii="Arial" w:hAnsi="Arial" w:cs="Arial"/>
                <w:sz w:val="18"/>
                <w:szCs w:val="18"/>
              </w:rPr>
              <w:t>30.11.2012</w:t>
            </w:r>
          </w:p>
        </w:tc>
        <w:tc>
          <w:tcPr>
            <w:tcW w:w="0" w:type="auto"/>
            <w:noWrap/>
            <w:vAlign w:val="center"/>
          </w:tcPr>
          <w:p w:rsidR="002416B1" w:rsidRPr="006A2BF3" w:rsidRDefault="00343FCC" w:rsidP="00205636">
            <w:pPr>
              <w:jc w:val="center"/>
              <w:rPr>
                <w:rFonts w:ascii="Arial" w:hAnsi="Arial" w:cs="Arial"/>
                <w:sz w:val="18"/>
                <w:szCs w:val="18"/>
              </w:rPr>
            </w:pPr>
            <w:r>
              <w:rPr>
                <w:rFonts w:ascii="Arial" w:hAnsi="Arial" w:cs="Arial"/>
                <w:sz w:val="18"/>
                <w:szCs w:val="18"/>
              </w:rPr>
              <w:t>04.03.2013</w:t>
            </w:r>
          </w:p>
        </w:tc>
        <w:tc>
          <w:tcPr>
            <w:tcW w:w="0" w:type="auto"/>
            <w:noWrap/>
            <w:vAlign w:val="center"/>
          </w:tcPr>
          <w:p w:rsidR="002416B1" w:rsidRPr="006A2BF3" w:rsidRDefault="00343FCC" w:rsidP="00205636">
            <w:pPr>
              <w:jc w:val="center"/>
              <w:rPr>
                <w:rFonts w:ascii="Arial" w:hAnsi="Arial" w:cs="Arial"/>
                <w:sz w:val="18"/>
                <w:szCs w:val="18"/>
              </w:rPr>
            </w:pPr>
            <w:r>
              <w:rPr>
                <w:rFonts w:ascii="Arial" w:hAnsi="Arial" w:cs="Arial"/>
                <w:sz w:val="18"/>
                <w:szCs w:val="18"/>
              </w:rPr>
              <w:t>4</w:t>
            </w:r>
            <w:r w:rsidRPr="006A2BF3">
              <w:rPr>
                <w:rFonts w:ascii="Arial" w:hAnsi="Arial" w:cs="Arial"/>
                <w:sz w:val="18"/>
                <w:szCs w:val="18"/>
              </w:rPr>
              <w:t xml:space="preserve">8 </w:t>
            </w:r>
            <w:r w:rsidR="002416B1" w:rsidRPr="006A2BF3">
              <w:rPr>
                <w:rFonts w:ascii="Arial" w:hAnsi="Arial" w:cs="Arial"/>
                <w:sz w:val="18"/>
                <w:szCs w:val="18"/>
              </w:rPr>
              <w:t>000 000</w:t>
            </w:r>
          </w:p>
        </w:tc>
      </w:tr>
      <w:tr w:rsidR="00343FCC" w:rsidRPr="006A2BF3" w:rsidTr="003A5E95">
        <w:trPr>
          <w:trHeight w:val="437"/>
        </w:trPr>
        <w:tc>
          <w:tcPr>
            <w:tcW w:w="0" w:type="auto"/>
            <w:shd w:val="clear" w:color="auto" w:fill="EAF1DD"/>
            <w:vAlign w:val="center"/>
          </w:tcPr>
          <w:p w:rsidR="002416B1" w:rsidRPr="006A2BF3" w:rsidRDefault="002416B1" w:rsidP="00205636">
            <w:pPr>
              <w:rPr>
                <w:rFonts w:ascii="Arial" w:hAnsi="Arial" w:cs="Arial"/>
                <w:b/>
                <w:bCs/>
                <w:sz w:val="18"/>
                <w:szCs w:val="18"/>
              </w:rPr>
            </w:pPr>
            <w:r w:rsidRPr="006A2BF3">
              <w:rPr>
                <w:rFonts w:ascii="Arial" w:hAnsi="Arial" w:cs="Arial"/>
                <w:b/>
                <w:bCs/>
                <w:sz w:val="18"/>
                <w:szCs w:val="18"/>
              </w:rPr>
              <w:t>Celkom</w:t>
            </w:r>
          </w:p>
        </w:tc>
        <w:tc>
          <w:tcPr>
            <w:tcW w:w="0" w:type="auto"/>
            <w:shd w:val="clear" w:color="auto" w:fill="EAF1DD"/>
            <w:vAlign w:val="center"/>
          </w:tcPr>
          <w:p w:rsidR="002416B1" w:rsidRPr="006A2BF3" w:rsidRDefault="002416B1" w:rsidP="00205636">
            <w:pPr>
              <w:rPr>
                <w:rFonts w:ascii="Arial" w:hAnsi="Arial" w:cs="Arial"/>
                <w:b/>
                <w:bCs/>
                <w:sz w:val="18"/>
                <w:szCs w:val="18"/>
              </w:rPr>
            </w:pPr>
            <w:r w:rsidRPr="006A2BF3">
              <w:rPr>
                <w:rFonts w:ascii="Arial" w:hAnsi="Arial" w:cs="Arial"/>
                <w:b/>
                <w:bCs/>
                <w:sz w:val="18"/>
                <w:szCs w:val="18"/>
              </w:rPr>
              <w:t> </w:t>
            </w:r>
          </w:p>
        </w:tc>
        <w:tc>
          <w:tcPr>
            <w:tcW w:w="0" w:type="auto"/>
            <w:shd w:val="clear" w:color="auto" w:fill="EAF1DD"/>
            <w:vAlign w:val="center"/>
          </w:tcPr>
          <w:p w:rsidR="002416B1" w:rsidRPr="006A2BF3" w:rsidRDefault="002416B1" w:rsidP="00205636">
            <w:pPr>
              <w:rPr>
                <w:rFonts w:ascii="Arial" w:hAnsi="Arial" w:cs="Arial"/>
                <w:b/>
                <w:bCs/>
                <w:sz w:val="18"/>
                <w:szCs w:val="18"/>
              </w:rPr>
            </w:pPr>
            <w:r w:rsidRPr="006A2BF3">
              <w:rPr>
                <w:rFonts w:ascii="Arial" w:hAnsi="Arial" w:cs="Arial"/>
                <w:b/>
                <w:bCs/>
                <w:sz w:val="18"/>
                <w:szCs w:val="18"/>
              </w:rPr>
              <w:t> </w:t>
            </w:r>
          </w:p>
        </w:tc>
        <w:tc>
          <w:tcPr>
            <w:tcW w:w="0" w:type="auto"/>
            <w:shd w:val="clear" w:color="auto" w:fill="EAF1DD"/>
            <w:vAlign w:val="center"/>
          </w:tcPr>
          <w:p w:rsidR="002416B1" w:rsidRPr="006A2BF3" w:rsidRDefault="002416B1" w:rsidP="00205636">
            <w:pPr>
              <w:rPr>
                <w:rFonts w:ascii="Arial" w:hAnsi="Arial" w:cs="Arial"/>
                <w:b/>
                <w:bCs/>
                <w:sz w:val="18"/>
                <w:szCs w:val="18"/>
              </w:rPr>
            </w:pPr>
            <w:r w:rsidRPr="006A2BF3">
              <w:rPr>
                <w:rFonts w:ascii="Arial" w:hAnsi="Arial" w:cs="Arial"/>
                <w:b/>
                <w:bCs/>
                <w:sz w:val="18"/>
                <w:szCs w:val="18"/>
              </w:rPr>
              <w:t> </w:t>
            </w:r>
          </w:p>
        </w:tc>
        <w:tc>
          <w:tcPr>
            <w:tcW w:w="0" w:type="auto"/>
            <w:shd w:val="clear" w:color="auto" w:fill="EAF1DD"/>
            <w:noWrap/>
            <w:vAlign w:val="center"/>
          </w:tcPr>
          <w:p w:rsidR="002416B1" w:rsidRPr="006A2BF3" w:rsidRDefault="00343FCC" w:rsidP="00205636">
            <w:pPr>
              <w:jc w:val="right"/>
              <w:rPr>
                <w:rFonts w:ascii="Arial" w:hAnsi="Arial" w:cs="Arial"/>
                <w:b/>
                <w:bCs/>
                <w:sz w:val="18"/>
                <w:szCs w:val="18"/>
              </w:rPr>
            </w:pPr>
            <w:r>
              <w:rPr>
                <w:rFonts w:ascii="Arial" w:hAnsi="Arial" w:cs="Arial"/>
                <w:b/>
                <w:bCs/>
                <w:sz w:val="18"/>
                <w:szCs w:val="18"/>
              </w:rPr>
              <w:t>48</w:t>
            </w:r>
            <w:r w:rsidRPr="006A2BF3">
              <w:rPr>
                <w:rFonts w:ascii="Arial" w:hAnsi="Arial" w:cs="Arial"/>
                <w:b/>
                <w:bCs/>
                <w:sz w:val="18"/>
                <w:szCs w:val="18"/>
              </w:rPr>
              <w:t xml:space="preserve"> </w:t>
            </w:r>
            <w:r w:rsidR="002416B1" w:rsidRPr="006A2BF3">
              <w:rPr>
                <w:rFonts w:ascii="Arial" w:hAnsi="Arial" w:cs="Arial"/>
                <w:b/>
                <w:bCs/>
                <w:sz w:val="18"/>
                <w:szCs w:val="18"/>
              </w:rPr>
              <w:t>000 000</w:t>
            </w:r>
          </w:p>
        </w:tc>
      </w:tr>
    </w:tbl>
    <w:p w:rsidR="002416B1" w:rsidRPr="004B33AE" w:rsidRDefault="00000CC9" w:rsidP="00617FE5">
      <w:pPr>
        <w:pStyle w:val="Zkladntextb"/>
        <w:spacing w:after="0" w:line="240" w:lineRule="auto"/>
        <w:ind w:left="0"/>
        <w:jc w:val="both"/>
        <w:rPr>
          <w:rFonts w:cs="Arial"/>
          <w:sz w:val="18"/>
          <w:szCs w:val="18"/>
        </w:rPr>
      </w:pPr>
      <w:r>
        <w:rPr>
          <w:rFonts w:cs="Arial"/>
          <w:sz w:val="18"/>
          <w:szCs w:val="18"/>
          <w:lang w:val="sk-SK"/>
        </w:rPr>
        <w:t>Zdroj: RO, ITMS</w:t>
      </w:r>
    </w:p>
    <w:p w:rsidR="00E4620C" w:rsidRDefault="002416B1" w:rsidP="00507035">
      <w:pPr>
        <w:pStyle w:val="Zkladntextb"/>
        <w:spacing w:before="120" w:after="120" w:line="360" w:lineRule="auto"/>
        <w:ind w:left="0"/>
        <w:jc w:val="both"/>
        <w:rPr>
          <w:rFonts w:cs="Arial"/>
          <w:lang w:val="sk-SK"/>
        </w:rPr>
      </w:pPr>
      <w:r w:rsidRPr="004B33AE">
        <w:rPr>
          <w:lang w:val="sk-SK"/>
        </w:rPr>
        <w:t>Celkovo bolo k 31.12.201</w:t>
      </w:r>
      <w:r w:rsidR="00343FCC">
        <w:rPr>
          <w:lang w:val="sk-SK"/>
        </w:rPr>
        <w:t>2</w:t>
      </w:r>
      <w:r w:rsidRPr="004B33AE">
        <w:rPr>
          <w:lang w:val="sk-SK"/>
        </w:rPr>
        <w:t xml:space="preserve"> na MŽP SR v rámci predmetnej prioritnej osi zaregistrovaných </w:t>
      </w:r>
      <w:r w:rsidR="00E4620C">
        <w:rPr>
          <w:lang w:val="sk-SK"/>
        </w:rPr>
        <w:t>1474</w:t>
      </w:r>
      <w:r w:rsidR="00E4620C" w:rsidRPr="004B33AE">
        <w:rPr>
          <w:lang w:val="sk-SK"/>
        </w:rPr>
        <w:t xml:space="preserve"> </w:t>
      </w:r>
      <w:r w:rsidRPr="004B33AE">
        <w:rPr>
          <w:lang w:val="sk-SK"/>
        </w:rPr>
        <w:t xml:space="preserve">žiadostí vo výške požadovaného NFP </w:t>
      </w:r>
      <w:r w:rsidRPr="004B33AE">
        <w:rPr>
          <w:rFonts w:cs="Arial"/>
          <w:lang w:val="sk-SK"/>
        </w:rPr>
        <w:t xml:space="preserve">1 </w:t>
      </w:r>
      <w:r w:rsidR="00E4620C">
        <w:rPr>
          <w:rFonts w:cs="Arial"/>
          <w:lang w:val="sk-SK"/>
        </w:rPr>
        <w:t>744 294 202</w:t>
      </w:r>
      <w:r w:rsidRPr="004B33AE">
        <w:rPr>
          <w:lang w:val="sk-SK"/>
        </w:rPr>
        <w:t xml:space="preserve"> EUR, </w:t>
      </w:r>
      <w:r w:rsidR="00E4620C">
        <w:rPr>
          <w:lang w:val="sk-SK"/>
        </w:rPr>
        <w:t>215</w:t>
      </w:r>
      <w:r w:rsidR="00E4620C" w:rsidRPr="004B33AE">
        <w:rPr>
          <w:lang w:val="sk-SK"/>
        </w:rPr>
        <w:t xml:space="preserve"> </w:t>
      </w:r>
      <w:r w:rsidRPr="004B33AE">
        <w:rPr>
          <w:lang w:val="sk-SK"/>
        </w:rPr>
        <w:t xml:space="preserve">projektov je zazmluvnených v objeme </w:t>
      </w:r>
      <w:r w:rsidR="00E4620C">
        <w:rPr>
          <w:lang w:val="sk-SK"/>
        </w:rPr>
        <w:t>355 177 676</w:t>
      </w:r>
      <w:r w:rsidRPr="004B33AE">
        <w:rPr>
          <w:lang w:val="sk-SK"/>
        </w:rPr>
        <w:t xml:space="preserve"> EUR, z toho </w:t>
      </w:r>
      <w:r w:rsidR="00E4620C" w:rsidRPr="004B33AE">
        <w:rPr>
          <w:lang w:val="sk-SK"/>
        </w:rPr>
        <w:t>1</w:t>
      </w:r>
      <w:r w:rsidR="00E4620C">
        <w:rPr>
          <w:lang w:val="sk-SK"/>
        </w:rPr>
        <w:t>97</w:t>
      </w:r>
      <w:r w:rsidR="00E4620C" w:rsidRPr="004B33AE">
        <w:rPr>
          <w:lang w:val="sk-SK"/>
        </w:rPr>
        <w:t xml:space="preserve"> </w:t>
      </w:r>
      <w:r w:rsidRPr="004B33AE">
        <w:rPr>
          <w:lang w:val="sk-SK"/>
        </w:rPr>
        <w:t xml:space="preserve">v realizácii. </w:t>
      </w:r>
      <w:r>
        <w:rPr>
          <w:rFonts w:cs="Arial"/>
          <w:lang w:val="sk-SK"/>
        </w:rPr>
        <w:t xml:space="preserve">Zo </w:t>
      </w:r>
      <w:r w:rsidR="00E4620C">
        <w:rPr>
          <w:rFonts w:cs="Arial"/>
          <w:lang w:val="sk-SK"/>
        </w:rPr>
        <w:t xml:space="preserve">125 </w:t>
      </w:r>
      <w:r>
        <w:rPr>
          <w:rFonts w:cs="Arial"/>
          <w:lang w:val="sk-SK"/>
        </w:rPr>
        <w:t>ukončených projektov bol</w:t>
      </w:r>
      <w:r w:rsidR="00E4620C">
        <w:rPr>
          <w:rFonts w:cs="Arial"/>
          <w:lang w:val="sk-SK"/>
        </w:rPr>
        <w:t>o</w:t>
      </w:r>
      <w:r>
        <w:rPr>
          <w:rFonts w:cs="Arial"/>
          <w:lang w:val="sk-SK"/>
        </w:rPr>
        <w:t xml:space="preserve"> </w:t>
      </w:r>
      <w:r w:rsidR="00E4620C">
        <w:rPr>
          <w:rFonts w:cs="Arial"/>
          <w:lang w:val="sk-SK"/>
        </w:rPr>
        <w:t xml:space="preserve">7 </w:t>
      </w:r>
      <w:r>
        <w:rPr>
          <w:rFonts w:cs="Arial"/>
          <w:lang w:val="sk-SK"/>
        </w:rPr>
        <w:t xml:space="preserve">mimoriadne </w:t>
      </w:r>
      <w:r w:rsidR="00E205CC">
        <w:rPr>
          <w:rFonts w:cs="Arial"/>
          <w:lang w:val="sk-SK"/>
        </w:rPr>
        <w:t>ukončené</w:t>
      </w:r>
      <w:r>
        <w:rPr>
          <w:rFonts w:cs="Arial"/>
          <w:lang w:val="sk-SK"/>
        </w:rPr>
        <w:t xml:space="preserve">, </w:t>
      </w:r>
      <w:r w:rsidRPr="00B948D5">
        <w:rPr>
          <w:rFonts w:cs="Arial"/>
          <w:lang w:val="sk-SK"/>
        </w:rPr>
        <w:t>najmä formou odstúpenia od zmluvy o</w:t>
      </w:r>
      <w:r w:rsidR="00B948D5">
        <w:rPr>
          <w:rFonts w:cs="Arial"/>
          <w:lang w:val="sk-SK"/>
        </w:rPr>
        <w:t> </w:t>
      </w:r>
      <w:r w:rsidRPr="00B948D5">
        <w:rPr>
          <w:rFonts w:cs="Arial"/>
          <w:lang w:val="sk-SK"/>
        </w:rPr>
        <w:t>NFP</w:t>
      </w:r>
      <w:r w:rsidR="00B948D5">
        <w:rPr>
          <w:rFonts w:cs="Arial"/>
          <w:lang w:val="sk-SK"/>
        </w:rPr>
        <w:t>.</w:t>
      </w:r>
      <w:r w:rsidR="00042600">
        <w:rPr>
          <w:rFonts w:cs="Arial"/>
          <w:lang w:val="sk-SK"/>
        </w:rPr>
        <w:t xml:space="preserve"> </w:t>
      </w:r>
    </w:p>
    <w:p w:rsidR="002416B1" w:rsidRPr="004B33AE" w:rsidRDefault="002416B1" w:rsidP="00205636">
      <w:pPr>
        <w:pStyle w:val="Zkladntextb"/>
        <w:spacing w:after="0" w:line="360" w:lineRule="auto"/>
        <w:ind w:left="0"/>
        <w:jc w:val="both"/>
        <w:rPr>
          <w:lang w:val="sk-SK"/>
        </w:rPr>
      </w:pPr>
      <w:r w:rsidRPr="004B33AE">
        <w:rPr>
          <w:lang w:val="sk-SK"/>
        </w:rPr>
        <w:t xml:space="preserve">Tab. č. </w:t>
      </w:r>
      <w:r w:rsidR="00254D6C">
        <w:rPr>
          <w:lang w:val="sk-SK"/>
        </w:rPr>
        <w:t>51</w:t>
      </w:r>
      <w:r w:rsidRPr="004B33AE">
        <w:rPr>
          <w:lang w:val="sk-SK"/>
        </w:rPr>
        <w:t>: Sledovanie vývoja implementácie prioritnej osi 4 k 31.12.201</w:t>
      </w:r>
      <w:r w:rsidR="00E4620C">
        <w:rPr>
          <w:lang w:val="sk-SK"/>
        </w:rPr>
        <w:t>2</w:t>
      </w:r>
    </w:p>
    <w:tbl>
      <w:tblPr>
        <w:tblW w:w="5000" w:type="pct"/>
        <w:tblCellMar>
          <w:left w:w="70" w:type="dxa"/>
          <w:right w:w="70" w:type="dxa"/>
        </w:tblCellMar>
        <w:tblLook w:val="04A0" w:firstRow="1" w:lastRow="0" w:firstColumn="1" w:lastColumn="0" w:noHBand="0" w:noVBand="1"/>
      </w:tblPr>
      <w:tblGrid>
        <w:gridCol w:w="1535"/>
        <w:gridCol w:w="1535"/>
        <w:gridCol w:w="1534"/>
        <w:gridCol w:w="1534"/>
        <w:gridCol w:w="1534"/>
        <w:gridCol w:w="1538"/>
      </w:tblGrid>
      <w:tr w:rsidR="000B6E30" w:rsidTr="000B6E30">
        <w:trPr>
          <w:trHeight w:val="465"/>
        </w:trPr>
        <w:tc>
          <w:tcPr>
            <w:tcW w:w="833" w:type="pct"/>
            <w:tcBorders>
              <w:top w:val="single" w:sz="8" w:space="0" w:color="auto"/>
              <w:left w:val="single" w:sz="8" w:space="0" w:color="auto"/>
              <w:bottom w:val="single" w:sz="8" w:space="0" w:color="auto"/>
              <w:right w:val="single" w:sz="8" w:space="0" w:color="auto"/>
            </w:tcBorders>
            <w:shd w:val="clear" w:color="000000" w:fill="D6E3BC"/>
            <w:vAlign w:val="center"/>
            <w:hideMark/>
          </w:tcPr>
          <w:p w:rsidR="000B6E30" w:rsidRDefault="000B6E30">
            <w:pPr>
              <w:jc w:val="center"/>
              <w:rPr>
                <w:rFonts w:ascii="Arial" w:hAnsi="Arial" w:cs="Arial"/>
                <w:b/>
                <w:bCs/>
                <w:color w:val="000000"/>
                <w:sz w:val="16"/>
                <w:szCs w:val="16"/>
              </w:rPr>
            </w:pPr>
            <w:r>
              <w:rPr>
                <w:rFonts w:ascii="Arial" w:hAnsi="Arial" w:cs="Arial"/>
                <w:b/>
                <w:bCs/>
                <w:color w:val="000000"/>
                <w:sz w:val="16"/>
                <w:szCs w:val="16"/>
              </w:rPr>
              <w:t>Hlavná téma</w:t>
            </w:r>
          </w:p>
        </w:tc>
        <w:tc>
          <w:tcPr>
            <w:tcW w:w="833" w:type="pct"/>
            <w:tcBorders>
              <w:top w:val="single" w:sz="8" w:space="0" w:color="auto"/>
              <w:left w:val="nil"/>
              <w:bottom w:val="single" w:sz="8" w:space="0" w:color="auto"/>
              <w:right w:val="single" w:sz="8" w:space="0" w:color="auto"/>
            </w:tcBorders>
            <w:shd w:val="clear" w:color="000000" w:fill="D6E3BC"/>
            <w:vAlign w:val="center"/>
            <w:hideMark/>
          </w:tcPr>
          <w:p w:rsidR="000B6E30" w:rsidRDefault="000B6E30">
            <w:pPr>
              <w:jc w:val="center"/>
              <w:rPr>
                <w:rFonts w:ascii="Arial" w:hAnsi="Arial" w:cs="Arial"/>
                <w:b/>
                <w:bCs/>
                <w:color w:val="000000"/>
                <w:sz w:val="16"/>
                <w:szCs w:val="16"/>
              </w:rPr>
            </w:pPr>
            <w:r>
              <w:rPr>
                <w:rFonts w:ascii="Arial" w:hAnsi="Arial" w:cs="Arial"/>
                <w:b/>
                <w:bCs/>
                <w:color w:val="000000"/>
                <w:sz w:val="16"/>
                <w:szCs w:val="16"/>
              </w:rPr>
              <w:t>Počet prijatých ŽoNFP</w:t>
            </w:r>
          </w:p>
        </w:tc>
        <w:tc>
          <w:tcPr>
            <w:tcW w:w="833" w:type="pct"/>
            <w:tcBorders>
              <w:top w:val="single" w:sz="8" w:space="0" w:color="auto"/>
              <w:left w:val="nil"/>
              <w:bottom w:val="single" w:sz="8" w:space="0" w:color="auto"/>
              <w:right w:val="single" w:sz="8" w:space="0" w:color="auto"/>
            </w:tcBorders>
            <w:shd w:val="clear" w:color="000000" w:fill="D6E3BC"/>
            <w:vAlign w:val="center"/>
            <w:hideMark/>
          </w:tcPr>
          <w:p w:rsidR="000B6E30" w:rsidRDefault="000B6E30">
            <w:pPr>
              <w:jc w:val="center"/>
              <w:rPr>
                <w:rFonts w:ascii="Arial" w:hAnsi="Arial" w:cs="Arial"/>
                <w:b/>
                <w:bCs/>
                <w:color w:val="000000"/>
                <w:sz w:val="16"/>
                <w:szCs w:val="16"/>
              </w:rPr>
            </w:pPr>
            <w:r>
              <w:rPr>
                <w:rFonts w:ascii="Arial" w:hAnsi="Arial" w:cs="Arial"/>
                <w:b/>
                <w:bCs/>
                <w:color w:val="000000"/>
                <w:sz w:val="16"/>
                <w:szCs w:val="16"/>
              </w:rPr>
              <w:t>Počet schválených ŽoNFP</w:t>
            </w:r>
          </w:p>
        </w:tc>
        <w:tc>
          <w:tcPr>
            <w:tcW w:w="833" w:type="pct"/>
            <w:tcBorders>
              <w:top w:val="single" w:sz="8" w:space="0" w:color="auto"/>
              <w:left w:val="nil"/>
              <w:bottom w:val="single" w:sz="8" w:space="0" w:color="auto"/>
              <w:right w:val="single" w:sz="8" w:space="0" w:color="auto"/>
            </w:tcBorders>
            <w:shd w:val="clear" w:color="000000" w:fill="D6E3BC"/>
            <w:vAlign w:val="center"/>
            <w:hideMark/>
          </w:tcPr>
          <w:p w:rsidR="000B6E30" w:rsidRDefault="000B6E30">
            <w:pPr>
              <w:jc w:val="center"/>
              <w:rPr>
                <w:rFonts w:ascii="Arial" w:hAnsi="Arial" w:cs="Arial"/>
                <w:b/>
                <w:bCs/>
                <w:color w:val="000000"/>
                <w:sz w:val="16"/>
                <w:szCs w:val="16"/>
              </w:rPr>
            </w:pPr>
            <w:r>
              <w:rPr>
                <w:rFonts w:ascii="Arial" w:hAnsi="Arial" w:cs="Arial"/>
                <w:b/>
                <w:bCs/>
                <w:color w:val="000000"/>
                <w:sz w:val="16"/>
                <w:szCs w:val="16"/>
              </w:rPr>
              <w:t>Počet zazmluvnených projektov</w:t>
            </w:r>
          </w:p>
        </w:tc>
        <w:tc>
          <w:tcPr>
            <w:tcW w:w="833" w:type="pct"/>
            <w:tcBorders>
              <w:top w:val="single" w:sz="8" w:space="0" w:color="auto"/>
              <w:left w:val="nil"/>
              <w:bottom w:val="single" w:sz="8" w:space="0" w:color="auto"/>
              <w:right w:val="single" w:sz="8" w:space="0" w:color="auto"/>
            </w:tcBorders>
            <w:shd w:val="clear" w:color="000000" w:fill="D6E3BC"/>
            <w:vAlign w:val="center"/>
            <w:hideMark/>
          </w:tcPr>
          <w:p w:rsidR="000B6E30" w:rsidRDefault="000B6E30">
            <w:pPr>
              <w:jc w:val="center"/>
              <w:rPr>
                <w:rFonts w:ascii="Arial" w:hAnsi="Arial" w:cs="Arial"/>
                <w:b/>
                <w:bCs/>
                <w:color w:val="000000"/>
                <w:sz w:val="16"/>
                <w:szCs w:val="16"/>
              </w:rPr>
            </w:pPr>
            <w:r>
              <w:rPr>
                <w:rFonts w:ascii="Arial" w:hAnsi="Arial" w:cs="Arial"/>
                <w:b/>
                <w:bCs/>
                <w:color w:val="000000"/>
                <w:sz w:val="16"/>
                <w:szCs w:val="16"/>
              </w:rPr>
              <w:t>Počet riadne ukončených projektov</w:t>
            </w:r>
          </w:p>
        </w:tc>
        <w:tc>
          <w:tcPr>
            <w:tcW w:w="833" w:type="pct"/>
            <w:tcBorders>
              <w:top w:val="single" w:sz="8" w:space="0" w:color="auto"/>
              <w:left w:val="nil"/>
              <w:bottom w:val="single" w:sz="8" w:space="0" w:color="auto"/>
              <w:right w:val="single" w:sz="8" w:space="0" w:color="auto"/>
            </w:tcBorders>
            <w:shd w:val="clear" w:color="000000" w:fill="D6E3BC"/>
            <w:vAlign w:val="center"/>
            <w:hideMark/>
          </w:tcPr>
          <w:p w:rsidR="000B6E30" w:rsidRDefault="000B6E30">
            <w:pPr>
              <w:jc w:val="center"/>
              <w:rPr>
                <w:rFonts w:ascii="Arial" w:hAnsi="Arial" w:cs="Arial"/>
                <w:b/>
                <w:bCs/>
                <w:color w:val="000000"/>
                <w:sz w:val="16"/>
                <w:szCs w:val="16"/>
              </w:rPr>
            </w:pPr>
            <w:r>
              <w:rPr>
                <w:rFonts w:ascii="Arial" w:hAnsi="Arial" w:cs="Arial"/>
                <w:b/>
                <w:bCs/>
                <w:color w:val="000000"/>
                <w:sz w:val="16"/>
                <w:szCs w:val="16"/>
              </w:rPr>
              <w:t>Počet mimoriadne ukončených projektov</w:t>
            </w:r>
          </w:p>
        </w:tc>
      </w:tr>
      <w:tr w:rsidR="000B6E30" w:rsidTr="000B6E30">
        <w:trPr>
          <w:trHeight w:val="465"/>
        </w:trPr>
        <w:tc>
          <w:tcPr>
            <w:tcW w:w="833" w:type="pct"/>
            <w:tcBorders>
              <w:top w:val="nil"/>
              <w:left w:val="single" w:sz="8" w:space="0" w:color="auto"/>
              <w:bottom w:val="single" w:sz="8" w:space="0" w:color="auto"/>
              <w:right w:val="single" w:sz="8" w:space="0" w:color="auto"/>
            </w:tcBorders>
            <w:shd w:val="clear" w:color="auto" w:fill="auto"/>
            <w:vAlign w:val="center"/>
            <w:hideMark/>
          </w:tcPr>
          <w:p w:rsidR="000B6E30" w:rsidRDefault="000B6E30">
            <w:pPr>
              <w:rPr>
                <w:rFonts w:ascii="Arial" w:hAnsi="Arial" w:cs="Arial"/>
                <w:color w:val="000000"/>
                <w:sz w:val="16"/>
                <w:szCs w:val="16"/>
              </w:rPr>
            </w:pPr>
            <w:r>
              <w:rPr>
                <w:rFonts w:ascii="Arial" w:hAnsi="Arial" w:cs="Arial"/>
                <w:color w:val="000000"/>
                <w:sz w:val="16"/>
                <w:szCs w:val="16"/>
              </w:rPr>
              <w:t>44 - Hospodárenie s domácim a priemyselným odpadom</w:t>
            </w:r>
          </w:p>
        </w:tc>
        <w:tc>
          <w:tcPr>
            <w:tcW w:w="833" w:type="pct"/>
            <w:tcBorders>
              <w:top w:val="nil"/>
              <w:left w:val="nil"/>
              <w:bottom w:val="single" w:sz="8" w:space="0" w:color="auto"/>
              <w:right w:val="single" w:sz="8" w:space="0" w:color="auto"/>
            </w:tcBorders>
            <w:shd w:val="clear" w:color="auto" w:fill="auto"/>
            <w:noWrap/>
            <w:vAlign w:val="center"/>
            <w:hideMark/>
          </w:tcPr>
          <w:p w:rsidR="000B6E30" w:rsidRDefault="000B6E30">
            <w:pPr>
              <w:jc w:val="center"/>
              <w:rPr>
                <w:rFonts w:ascii="Arial" w:hAnsi="Arial" w:cs="Arial"/>
                <w:color w:val="000000"/>
                <w:sz w:val="16"/>
                <w:szCs w:val="16"/>
              </w:rPr>
            </w:pPr>
            <w:r>
              <w:rPr>
                <w:rFonts w:ascii="Arial" w:hAnsi="Arial" w:cs="Arial"/>
                <w:color w:val="000000"/>
                <w:sz w:val="16"/>
                <w:szCs w:val="16"/>
              </w:rPr>
              <w:t>1466</w:t>
            </w:r>
          </w:p>
        </w:tc>
        <w:tc>
          <w:tcPr>
            <w:tcW w:w="833" w:type="pct"/>
            <w:tcBorders>
              <w:top w:val="nil"/>
              <w:left w:val="nil"/>
              <w:bottom w:val="single" w:sz="8" w:space="0" w:color="auto"/>
              <w:right w:val="single" w:sz="8" w:space="0" w:color="auto"/>
            </w:tcBorders>
            <w:shd w:val="clear" w:color="auto" w:fill="auto"/>
            <w:noWrap/>
            <w:vAlign w:val="center"/>
            <w:hideMark/>
          </w:tcPr>
          <w:p w:rsidR="000B6E30" w:rsidRDefault="000B6E30">
            <w:pPr>
              <w:jc w:val="center"/>
              <w:rPr>
                <w:rFonts w:ascii="Arial" w:hAnsi="Arial" w:cs="Arial"/>
                <w:color w:val="000000"/>
                <w:sz w:val="16"/>
                <w:szCs w:val="16"/>
              </w:rPr>
            </w:pPr>
            <w:r>
              <w:rPr>
                <w:rFonts w:ascii="Arial" w:hAnsi="Arial" w:cs="Arial"/>
                <w:color w:val="000000"/>
                <w:sz w:val="16"/>
                <w:szCs w:val="16"/>
              </w:rPr>
              <w:t>261</w:t>
            </w:r>
          </w:p>
        </w:tc>
        <w:tc>
          <w:tcPr>
            <w:tcW w:w="833" w:type="pct"/>
            <w:tcBorders>
              <w:top w:val="nil"/>
              <w:left w:val="nil"/>
              <w:bottom w:val="single" w:sz="8" w:space="0" w:color="auto"/>
              <w:right w:val="single" w:sz="8" w:space="0" w:color="auto"/>
            </w:tcBorders>
            <w:shd w:val="clear" w:color="auto" w:fill="auto"/>
            <w:noWrap/>
            <w:vAlign w:val="center"/>
            <w:hideMark/>
          </w:tcPr>
          <w:p w:rsidR="000B6E30" w:rsidRDefault="000B6E30">
            <w:pPr>
              <w:jc w:val="center"/>
              <w:rPr>
                <w:rFonts w:ascii="Arial" w:hAnsi="Arial" w:cs="Arial"/>
                <w:color w:val="000000"/>
                <w:sz w:val="16"/>
                <w:szCs w:val="16"/>
              </w:rPr>
            </w:pPr>
            <w:r>
              <w:rPr>
                <w:rFonts w:ascii="Arial" w:hAnsi="Arial" w:cs="Arial"/>
                <w:color w:val="000000"/>
                <w:sz w:val="16"/>
                <w:szCs w:val="16"/>
              </w:rPr>
              <w:t>210</w:t>
            </w:r>
          </w:p>
        </w:tc>
        <w:tc>
          <w:tcPr>
            <w:tcW w:w="833" w:type="pct"/>
            <w:tcBorders>
              <w:top w:val="nil"/>
              <w:left w:val="nil"/>
              <w:bottom w:val="single" w:sz="8" w:space="0" w:color="auto"/>
              <w:right w:val="single" w:sz="8" w:space="0" w:color="auto"/>
            </w:tcBorders>
            <w:shd w:val="clear" w:color="auto" w:fill="auto"/>
            <w:noWrap/>
            <w:vAlign w:val="center"/>
            <w:hideMark/>
          </w:tcPr>
          <w:p w:rsidR="000B6E30" w:rsidRDefault="000B6E30">
            <w:pPr>
              <w:jc w:val="center"/>
              <w:rPr>
                <w:rFonts w:ascii="Arial" w:hAnsi="Arial" w:cs="Arial"/>
                <w:color w:val="000000"/>
                <w:sz w:val="16"/>
                <w:szCs w:val="16"/>
              </w:rPr>
            </w:pPr>
            <w:r>
              <w:rPr>
                <w:rFonts w:ascii="Arial" w:hAnsi="Arial" w:cs="Arial"/>
                <w:color w:val="000000"/>
                <w:sz w:val="16"/>
                <w:szCs w:val="16"/>
              </w:rPr>
              <w:t>116</w:t>
            </w:r>
          </w:p>
        </w:tc>
        <w:tc>
          <w:tcPr>
            <w:tcW w:w="833" w:type="pct"/>
            <w:tcBorders>
              <w:top w:val="nil"/>
              <w:left w:val="nil"/>
              <w:bottom w:val="single" w:sz="8" w:space="0" w:color="auto"/>
              <w:right w:val="single" w:sz="8" w:space="0" w:color="auto"/>
            </w:tcBorders>
            <w:shd w:val="clear" w:color="auto" w:fill="auto"/>
            <w:noWrap/>
            <w:vAlign w:val="center"/>
            <w:hideMark/>
          </w:tcPr>
          <w:p w:rsidR="000B6E30" w:rsidRDefault="000B6E30">
            <w:pPr>
              <w:jc w:val="center"/>
              <w:rPr>
                <w:rFonts w:ascii="Arial" w:hAnsi="Arial" w:cs="Arial"/>
                <w:color w:val="000000"/>
                <w:sz w:val="16"/>
                <w:szCs w:val="16"/>
              </w:rPr>
            </w:pPr>
            <w:r>
              <w:rPr>
                <w:rFonts w:ascii="Arial" w:hAnsi="Arial" w:cs="Arial"/>
                <w:color w:val="000000"/>
                <w:sz w:val="16"/>
                <w:szCs w:val="16"/>
              </w:rPr>
              <w:t>7</w:t>
            </w:r>
          </w:p>
        </w:tc>
      </w:tr>
      <w:tr w:rsidR="000B6E30" w:rsidTr="000B6E30">
        <w:trPr>
          <w:trHeight w:val="690"/>
        </w:trPr>
        <w:tc>
          <w:tcPr>
            <w:tcW w:w="833" w:type="pct"/>
            <w:tcBorders>
              <w:top w:val="nil"/>
              <w:left w:val="single" w:sz="8" w:space="0" w:color="auto"/>
              <w:bottom w:val="single" w:sz="8" w:space="0" w:color="auto"/>
              <w:right w:val="single" w:sz="8" w:space="0" w:color="auto"/>
            </w:tcBorders>
            <w:shd w:val="clear" w:color="auto" w:fill="auto"/>
            <w:vAlign w:val="center"/>
            <w:hideMark/>
          </w:tcPr>
          <w:p w:rsidR="000B6E30" w:rsidRDefault="000B6E30">
            <w:pPr>
              <w:rPr>
                <w:rFonts w:ascii="Arial" w:hAnsi="Arial" w:cs="Arial"/>
                <w:color w:val="000000"/>
                <w:sz w:val="16"/>
                <w:szCs w:val="16"/>
              </w:rPr>
            </w:pPr>
            <w:r>
              <w:rPr>
                <w:rFonts w:ascii="Arial" w:hAnsi="Arial" w:cs="Arial"/>
                <w:color w:val="000000"/>
                <w:sz w:val="16"/>
                <w:szCs w:val="16"/>
              </w:rPr>
              <w:t>50 - Ozdravovanie priemyselných lokalít a kontaminovanej pôdy</w:t>
            </w:r>
          </w:p>
        </w:tc>
        <w:tc>
          <w:tcPr>
            <w:tcW w:w="833" w:type="pct"/>
            <w:tcBorders>
              <w:top w:val="nil"/>
              <w:left w:val="nil"/>
              <w:bottom w:val="single" w:sz="8" w:space="0" w:color="auto"/>
              <w:right w:val="single" w:sz="8" w:space="0" w:color="auto"/>
            </w:tcBorders>
            <w:shd w:val="clear" w:color="auto" w:fill="auto"/>
            <w:noWrap/>
            <w:vAlign w:val="center"/>
            <w:hideMark/>
          </w:tcPr>
          <w:p w:rsidR="000B6E30" w:rsidRDefault="000B6E30">
            <w:pPr>
              <w:jc w:val="center"/>
              <w:rPr>
                <w:rFonts w:ascii="Arial" w:hAnsi="Arial" w:cs="Arial"/>
                <w:color w:val="000000"/>
                <w:sz w:val="16"/>
                <w:szCs w:val="16"/>
              </w:rPr>
            </w:pPr>
            <w:r>
              <w:rPr>
                <w:rFonts w:ascii="Arial" w:hAnsi="Arial" w:cs="Arial"/>
                <w:color w:val="000000"/>
                <w:sz w:val="16"/>
                <w:szCs w:val="16"/>
              </w:rPr>
              <w:t>8</w:t>
            </w:r>
          </w:p>
        </w:tc>
        <w:tc>
          <w:tcPr>
            <w:tcW w:w="833" w:type="pct"/>
            <w:tcBorders>
              <w:top w:val="nil"/>
              <w:left w:val="nil"/>
              <w:bottom w:val="single" w:sz="8" w:space="0" w:color="auto"/>
              <w:right w:val="single" w:sz="8" w:space="0" w:color="auto"/>
            </w:tcBorders>
            <w:shd w:val="clear" w:color="auto" w:fill="auto"/>
            <w:noWrap/>
            <w:vAlign w:val="center"/>
            <w:hideMark/>
          </w:tcPr>
          <w:p w:rsidR="000B6E30" w:rsidRDefault="000B6E30">
            <w:pPr>
              <w:jc w:val="center"/>
              <w:rPr>
                <w:rFonts w:ascii="Arial" w:hAnsi="Arial" w:cs="Arial"/>
                <w:color w:val="000000"/>
                <w:sz w:val="16"/>
                <w:szCs w:val="16"/>
              </w:rPr>
            </w:pPr>
            <w:r>
              <w:rPr>
                <w:rFonts w:ascii="Arial" w:hAnsi="Arial" w:cs="Arial"/>
                <w:color w:val="000000"/>
                <w:sz w:val="16"/>
                <w:szCs w:val="16"/>
              </w:rPr>
              <w:t>6</w:t>
            </w:r>
          </w:p>
        </w:tc>
        <w:tc>
          <w:tcPr>
            <w:tcW w:w="833" w:type="pct"/>
            <w:tcBorders>
              <w:top w:val="nil"/>
              <w:left w:val="nil"/>
              <w:bottom w:val="single" w:sz="8" w:space="0" w:color="auto"/>
              <w:right w:val="single" w:sz="8" w:space="0" w:color="auto"/>
            </w:tcBorders>
            <w:shd w:val="clear" w:color="auto" w:fill="auto"/>
            <w:noWrap/>
            <w:vAlign w:val="center"/>
            <w:hideMark/>
          </w:tcPr>
          <w:p w:rsidR="000B6E30" w:rsidRDefault="000B6E30">
            <w:pPr>
              <w:jc w:val="center"/>
              <w:rPr>
                <w:rFonts w:ascii="Arial" w:hAnsi="Arial" w:cs="Arial"/>
                <w:color w:val="000000"/>
                <w:sz w:val="16"/>
                <w:szCs w:val="16"/>
              </w:rPr>
            </w:pPr>
            <w:r>
              <w:rPr>
                <w:rFonts w:ascii="Arial" w:hAnsi="Arial" w:cs="Arial"/>
                <w:color w:val="000000"/>
                <w:sz w:val="16"/>
                <w:szCs w:val="16"/>
              </w:rPr>
              <w:t>5</w:t>
            </w:r>
          </w:p>
        </w:tc>
        <w:tc>
          <w:tcPr>
            <w:tcW w:w="833" w:type="pct"/>
            <w:tcBorders>
              <w:top w:val="nil"/>
              <w:left w:val="nil"/>
              <w:bottom w:val="single" w:sz="8" w:space="0" w:color="auto"/>
              <w:right w:val="single" w:sz="8" w:space="0" w:color="auto"/>
            </w:tcBorders>
            <w:shd w:val="clear" w:color="auto" w:fill="auto"/>
            <w:noWrap/>
            <w:vAlign w:val="center"/>
            <w:hideMark/>
          </w:tcPr>
          <w:p w:rsidR="000B6E30" w:rsidRDefault="000B6E30">
            <w:pPr>
              <w:jc w:val="center"/>
              <w:rPr>
                <w:rFonts w:ascii="Arial" w:hAnsi="Arial" w:cs="Arial"/>
                <w:color w:val="000000"/>
                <w:sz w:val="16"/>
                <w:szCs w:val="16"/>
              </w:rPr>
            </w:pPr>
            <w:r>
              <w:rPr>
                <w:rFonts w:ascii="Arial" w:hAnsi="Arial" w:cs="Arial"/>
                <w:color w:val="000000"/>
                <w:sz w:val="16"/>
                <w:szCs w:val="16"/>
              </w:rPr>
              <w:t>2</w:t>
            </w:r>
          </w:p>
        </w:tc>
        <w:tc>
          <w:tcPr>
            <w:tcW w:w="833" w:type="pct"/>
            <w:tcBorders>
              <w:top w:val="nil"/>
              <w:left w:val="nil"/>
              <w:bottom w:val="single" w:sz="8" w:space="0" w:color="auto"/>
              <w:right w:val="single" w:sz="8" w:space="0" w:color="auto"/>
            </w:tcBorders>
            <w:shd w:val="clear" w:color="auto" w:fill="auto"/>
            <w:noWrap/>
            <w:vAlign w:val="center"/>
            <w:hideMark/>
          </w:tcPr>
          <w:p w:rsidR="000B6E30" w:rsidRDefault="000B6E30">
            <w:pPr>
              <w:jc w:val="center"/>
              <w:rPr>
                <w:rFonts w:ascii="Arial" w:hAnsi="Arial" w:cs="Arial"/>
                <w:color w:val="000000"/>
                <w:sz w:val="16"/>
                <w:szCs w:val="16"/>
              </w:rPr>
            </w:pPr>
            <w:r>
              <w:rPr>
                <w:rFonts w:ascii="Arial" w:hAnsi="Arial" w:cs="Arial"/>
                <w:color w:val="000000"/>
                <w:sz w:val="16"/>
                <w:szCs w:val="16"/>
              </w:rPr>
              <w:t>0</w:t>
            </w:r>
          </w:p>
        </w:tc>
      </w:tr>
      <w:tr w:rsidR="000B6E30" w:rsidTr="000B6E30">
        <w:trPr>
          <w:trHeight w:val="315"/>
        </w:trPr>
        <w:tc>
          <w:tcPr>
            <w:tcW w:w="833" w:type="pct"/>
            <w:tcBorders>
              <w:top w:val="nil"/>
              <w:left w:val="single" w:sz="8" w:space="0" w:color="auto"/>
              <w:bottom w:val="single" w:sz="8" w:space="0" w:color="auto"/>
              <w:right w:val="single" w:sz="8" w:space="0" w:color="auto"/>
            </w:tcBorders>
            <w:shd w:val="clear" w:color="000000" w:fill="EAF1DD"/>
            <w:vAlign w:val="center"/>
            <w:hideMark/>
          </w:tcPr>
          <w:p w:rsidR="000B6E30" w:rsidRDefault="000B6E30">
            <w:pPr>
              <w:jc w:val="center"/>
              <w:rPr>
                <w:rFonts w:ascii="Arial" w:hAnsi="Arial" w:cs="Arial"/>
                <w:b/>
                <w:bCs/>
                <w:color w:val="000000"/>
                <w:sz w:val="16"/>
                <w:szCs w:val="16"/>
              </w:rPr>
            </w:pPr>
            <w:r>
              <w:rPr>
                <w:rFonts w:ascii="Arial" w:hAnsi="Arial" w:cs="Arial"/>
                <w:b/>
                <w:bCs/>
                <w:color w:val="000000"/>
                <w:sz w:val="16"/>
                <w:szCs w:val="16"/>
              </w:rPr>
              <w:t>Celkom</w:t>
            </w:r>
          </w:p>
        </w:tc>
        <w:tc>
          <w:tcPr>
            <w:tcW w:w="833" w:type="pct"/>
            <w:tcBorders>
              <w:top w:val="nil"/>
              <w:left w:val="nil"/>
              <w:bottom w:val="single" w:sz="8" w:space="0" w:color="auto"/>
              <w:right w:val="single" w:sz="8" w:space="0" w:color="auto"/>
            </w:tcBorders>
            <w:shd w:val="clear" w:color="000000" w:fill="EAF1DD"/>
            <w:noWrap/>
            <w:vAlign w:val="center"/>
            <w:hideMark/>
          </w:tcPr>
          <w:p w:rsidR="000B6E30" w:rsidRDefault="000B6E30">
            <w:pPr>
              <w:jc w:val="center"/>
              <w:rPr>
                <w:rFonts w:ascii="Arial" w:hAnsi="Arial" w:cs="Arial"/>
                <w:b/>
                <w:bCs/>
                <w:color w:val="000000"/>
                <w:sz w:val="16"/>
                <w:szCs w:val="16"/>
              </w:rPr>
            </w:pPr>
            <w:r>
              <w:rPr>
                <w:rFonts w:ascii="Arial" w:hAnsi="Arial" w:cs="Arial"/>
                <w:b/>
                <w:bCs/>
                <w:color w:val="000000"/>
                <w:sz w:val="16"/>
                <w:szCs w:val="16"/>
              </w:rPr>
              <w:t>1474</w:t>
            </w:r>
          </w:p>
        </w:tc>
        <w:tc>
          <w:tcPr>
            <w:tcW w:w="833" w:type="pct"/>
            <w:tcBorders>
              <w:top w:val="nil"/>
              <w:left w:val="nil"/>
              <w:bottom w:val="single" w:sz="8" w:space="0" w:color="auto"/>
              <w:right w:val="single" w:sz="8" w:space="0" w:color="auto"/>
            </w:tcBorders>
            <w:shd w:val="clear" w:color="000000" w:fill="EAF1DD"/>
            <w:noWrap/>
            <w:vAlign w:val="center"/>
            <w:hideMark/>
          </w:tcPr>
          <w:p w:rsidR="000B6E30" w:rsidRDefault="000B6E30">
            <w:pPr>
              <w:jc w:val="center"/>
              <w:rPr>
                <w:rFonts w:ascii="Arial" w:hAnsi="Arial" w:cs="Arial"/>
                <w:b/>
                <w:bCs/>
                <w:color w:val="000000"/>
                <w:sz w:val="16"/>
                <w:szCs w:val="16"/>
              </w:rPr>
            </w:pPr>
            <w:r>
              <w:rPr>
                <w:rFonts w:ascii="Arial" w:hAnsi="Arial" w:cs="Arial"/>
                <w:b/>
                <w:bCs/>
                <w:color w:val="000000"/>
                <w:sz w:val="16"/>
                <w:szCs w:val="16"/>
              </w:rPr>
              <w:t>267</w:t>
            </w:r>
          </w:p>
        </w:tc>
        <w:tc>
          <w:tcPr>
            <w:tcW w:w="833" w:type="pct"/>
            <w:tcBorders>
              <w:top w:val="nil"/>
              <w:left w:val="nil"/>
              <w:bottom w:val="single" w:sz="8" w:space="0" w:color="auto"/>
              <w:right w:val="single" w:sz="8" w:space="0" w:color="auto"/>
            </w:tcBorders>
            <w:shd w:val="clear" w:color="000000" w:fill="EAF1DD"/>
            <w:noWrap/>
            <w:vAlign w:val="center"/>
            <w:hideMark/>
          </w:tcPr>
          <w:p w:rsidR="000B6E30" w:rsidRDefault="000B6E30">
            <w:pPr>
              <w:jc w:val="center"/>
              <w:rPr>
                <w:rFonts w:ascii="Arial" w:hAnsi="Arial" w:cs="Arial"/>
                <w:b/>
                <w:bCs/>
                <w:color w:val="000000"/>
                <w:sz w:val="16"/>
                <w:szCs w:val="16"/>
              </w:rPr>
            </w:pPr>
            <w:r>
              <w:rPr>
                <w:rFonts w:ascii="Arial" w:hAnsi="Arial" w:cs="Arial"/>
                <w:b/>
                <w:bCs/>
                <w:color w:val="000000"/>
                <w:sz w:val="16"/>
                <w:szCs w:val="16"/>
              </w:rPr>
              <w:t>215</w:t>
            </w:r>
          </w:p>
        </w:tc>
        <w:tc>
          <w:tcPr>
            <w:tcW w:w="833" w:type="pct"/>
            <w:tcBorders>
              <w:top w:val="nil"/>
              <w:left w:val="nil"/>
              <w:bottom w:val="single" w:sz="8" w:space="0" w:color="auto"/>
              <w:right w:val="single" w:sz="8" w:space="0" w:color="auto"/>
            </w:tcBorders>
            <w:shd w:val="clear" w:color="000000" w:fill="EAF1DD"/>
            <w:noWrap/>
            <w:vAlign w:val="center"/>
            <w:hideMark/>
          </w:tcPr>
          <w:p w:rsidR="000B6E30" w:rsidRDefault="000B6E30">
            <w:pPr>
              <w:jc w:val="center"/>
              <w:rPr>
                <w:rFonts w:ascii="Arial" w:hAnsi="Arial" w:cs="Arial"/>
                <w:b/>
                <w:bCs/>
                <w:color w:val="000000"/>
                <w:sz w:val="16"/>
                <w:szCs w:val="16"/>
              </w:rPr>
            </w:pPr>
            <w:r>
              <w:rPr>
                <w:rFonts w:ascii="Arial" w:hAnsi="Arial" w:cs="Arial"/>
                <w:b/>
                <w:bCs/>
                <w:color w:val="000000"/>
                <w:sz w:val="16"/>
                <w:szCs w:val="16"/>
              </w:rPr>
              <w:t>118</w:t>
            </w:r>
          </w:p>
        </w:tc>
        <w:tc>
          <w:tcPr>
            <w:tcW w:w="833" w:type="pct"/>
            <w:tcBorders>
              <w:top w:val="nil"/>
              <w:left w:val="nil"/>
              <w:bottom w:val="single" w:sz="8" w:space="0" w:color="auto"/>
              <w:right w:val="single" w:sz="8" w:space="0" w:color="auto"/>
            </w:tcBorders>
            <w:shd w:val="clear" w:color="000000" w:fill="EAF1DD"/>
            <w:noWrap/>
            <w:vAlign w:val="center"/>
            <w:hideMark/>
          </w:tcPr>
          <w:p w:rsidR="000B6E30" w:rsidRDefault="000B6E30">
            <w:pPr>
              <w:jc w:val="center"/>
              <w:rPr>
                <w:rFonts w:ascii="Arial" w:hAnsi="Arial" w:cs="Arial"/>
                <w:b/>
                <w:bCs/>
                <w:color w:val="000000"/>
                <w:sz w:val="16"/>
                <w:szCs w:val="16"/>
              </w:rPr>
            </w:pPr>
            <w:r>
              <w:rPr>
                <w:rFonts w:ascii="Arial" w:hAnsi="Arial" w:cs="Arial"/>
                <w:b/>
                <w:bCs/>
                <w:color w:val="000000"/>
                <w:sz w:val="16"/>
                <w:szCs w:val="16"/>
              </w:rPr>
              <w:t>7</w:t>
            </w:r>
          </w:p>
        </w:tc>
      </w:tr>
      <w:tr w:rsidR="000B6E30" w:rsidTr="000B6E30">
        <w:trPr>
          <w:trHeight w:val="315"/>
        </w:trPr>
        <w:tc>
          <w:tcPr>
            <w:tcW w:w="5000" w:type="pct"/>
            <w:gridSpan w:val="6"/>
            <w:tcBorders>
              <w:top w:val="single" w:sz="8" w:space="0" w:color="auto"/>
              <w:left w:val="nil"/>
              <w:bottom w:val="single" w:sz="8" w:space="0" w:color="auto"/>
              <w:right w:val="nil"/>
            </w:tcBorders>
            <w:shd w:val="clear" w:color="auto" w:fill="auto"/>
            <w:vAlign w:val="center"/>
            <w:hideMark/>
          </w:tcPr>
          <w:p w:rsidR="000B6E30" w:rsidRDefault="000B6E30" w:rsidP="000B6E30">
            <w:pPr>
              <w:rPr>
                <w:rFonts w:ascii="Arial" w:hAnsi="Arial" w:cs="Arial"/>
                <w:b/>
                <w:bCs/>
                <w:i/>
                <w:iCs/>
                <w:color w:val="000000"/>
                <w:sz w:val="16"/>
                <w:szCs w:val="16"/>
              </w:rPr>
            </w:pPr>
            <w:r>
              <w:rPr>
                <w:rFonts w:ascii="Arial" w:hAnsi="Arial" w:cs="Arial"/>
                <w:b/>
                <w:bCs/>
                <w:i/>
                <w:iCs/>
                <w:color w:val="000000"/>
                <w:sz w:val="16"/>
                <w:szCs w:val="16"/>
              </w:rPr>
              <w:t>Finančné vyčíslenie ŠF/KF a ŠR v €</w:t>
            </w:r>
          </w:p>
        </w:tc>
      </w:tr>
      <w:tr w:rsidR="000B6E30" w:rsidTr="000B6E30">
        <w:trPr>
          <w:trHeight w:val="465"/>
        </w:trPr>
        <w:tc>
          <w:tcPr>
            <w:tcW w:w="833" w:type="pct"/>
            <w:tcBorders>
              <w:top w:val="nil"/>
              <w:left w:val="single" w:sz="8" w:space="0" w:color="auto"/>
              <w:bottom w:val="single" w:sz="8" w:space="0" w:color="auto"/>
              <w:right w:val="single" w:sz="8" w:space="0" w:color="auto"/>
            </w:tcBorders>
            <w:shd w:val="clear" w:color="000000" w:fill="D6E3BC"/>
            <w:vAlign w:val="center"/>
            <w:hideMark/>
          </w:tcPr>
          <w:p w:rsidR="000B6E30" w:rsidRDefault="000B6E30">
            <w:pPr>
              <w:jc w:val="center"/>
              <w:rPr>
                <w:rFonts w:ascii="Arial" w:hAnsi="Arial" w:cs="Arial"/>
                <w:b/>
                <w:bCs/>
                <w:color w:val="000000"/>
                <w:sz w:val="16"/>
                <w:szCs w:val="16"/>
              </w:rPr>
            </w:pPr>
            <w:r>
              <w:rPr>
                <w:rFonts w:ascii="Arial" w:hAnsi="Arial" w:cs="Arial"/>
                <w:b/>
                <w:bCs/>
                <w:color w:val="000000"/>
                <w:sz w:val="16"/>
                <w:szCs w:val="16"/>
              </w:rPr>
              <w:t>Hlavná téma</w:t>
            </w:r>
          </w:p>
        </w:tc>
        <w:tc>
          <w:tcPr>
            <w:tcW w:w="833" w:type="pct"/>
            <w:tcBorders>
              <w:top w:val="nil"/>
              <w:left w:val="nil"/>
              <w:bottom w:val="single" w:sz="8" w:space="0" w:color="auto"/>
              <w:right w:val="single" w:sz="8" w:space="0" w:color="auto"/>
            </w:tcBorders>
            <w:shd w:val="clear" w:color="000000" w:fill="D6E3BC"/>
            <w:vAlign w:val="center"/>
            <w:hideMark/>
          </w:tcPr>
          <w:p w:rsidR="000B6E30" w:rsidRDefault="000B6E30">
            <w:pPr>
              <w:jc w:val="center"/>
              <w:rPr>
                <w:rFonts w:ascii="Arial" w:hAnsi="Arial" w:cs="Arial"/>
                <w:b/>
                <w:bCs/>
                <w:color w:val="000000"/>
                <w:sz w:val="16"/>
                <w:szCs w:val="16"/>
              </w:rPr>
            </w:pPr>
            <w:r>
              <w:rPr>
                <w:rFonts w:ascii="Arial" w:hAnsi="Arial" w:cs="Arial"/>
                <w:b/>
                <w:bCs/>
                <w:color w:val="000000"/>
                <w:sz w:val="16"/>
                <w:szCs w:val="16"/>
              </w:rPr>
              <w:t xml:space="preserve">Výška žiadaného príspevku (NFP)  </w:t>
            </w:r>
          </w:p>
        </w:tc>
        <w:tc>
          <w:tcPr>
            <w:tcW w:w="833" w:type="pct"/>
            <w:tcBorders>
              <w:top w:val="nil"/>
              <w:left w:val="nil"/>
              <w:bottom w:val="single" w:sz="8" w:space="0" w:color="auto"/>
              <w:right w:val="single" w:sz="8" w:space="0" w:color="auto"/>
            </w:tcBorders>
            <w:shd w:val="clear" w:color="000000" w:fill="D6E3BC"/>
            <w:vAlign w:val="center"/>
            <w:hideMark/>
          </w:tcPr>
          <w:p w:rsidR="000B6E30" w:rsidRDefault="000B6E30">
            <w:pPr>
              <w:jc w:val="center"/>
              <w:rPr>
                <w:rFonts w:ascii="Arial" w:hAnsi="Arial" w:cs="Arial"/>
                <w:b/>
                <w:bCs/>
                <w:color w:val="000000"/>
                <w:sz w:val="16"/>
                <w:szCs w:val="16"/>
              </w:rPr>
            </w:pPr>
            <w:r>
              <w:rPr>
                <w:rFonts w:ascii="Arial" w:hAnsi="Arial" w:cs="Arial"/>
                <w:b/>
                <w:bCs/>
                <w:color w:val="000000"/>
                <w:sz w:val="16"/>
                <w:szCs w:val="16"/>
              </w:rPr>
              <w:t xml:space="preserve">Výška schváleného príspevku (NFP) </w:t>
            </w:r>
          </w:p>
        </w:tc>
        <w:tc>
          <w:tcPr>
            <w:tcW w:w="833" w:type="pct"/>
            <w:tcBorders>
              <w:top w:val="nil"/>
              <w:left w:val="nil"/>
              <w:bottom w:val="single" w:sz="8" w:space="0" w:color="auto"/>
              <w:right w:val="single" w:sz="8" w:space="0" w:color="auto"/>
            </w:tcBorders>
            <w:shd w:val="clear" w:color="000000" w:fill="D6E3BC"/>
            <w:vAlign w:val="center"/>
            <w:hideMark/>
          </w:tcPr>
          <w:p w:rsidR="000B6E30" w:rsidRDefault="000B6E30">
            <w:pPr>
              <w:jc w:val="center"/>
              <w:rPr>
                <w:rFonts w:ascii="Arial" w:hAnsi="Arial" w:cs="Arial"/>
                <w:b/>
                <w:bCs/>
                <w:color w:val="000000"/>
                <w:sz w:val="16"/>
                <w:szCs w:val="16"/>
              </w:rPr>
            </w:pPr>
            <w:r>
              <w:rPr>
                <w:rFonts w:ascii="Arial" w:hAnsi="Arial" w:cs="Arial"/>
                <w:b/>
                <w:bCs/>
                <w:color w:val="000000"/>
                <w:sz w:val="16"/>
                <w:szCs w:val="16"/>
              </w:rPr>
              <w:t>Výška zazmluvnených prostriedkov (NFP)</w:t>
            </w:r>
          </w:p>
        </w:tc>
        <w:tc>
          <w:tcPr>
            <w:tcW w:w="833" w:type="pct"/>
            <w:tcBorders>
              <w:top w:val="nil"/>
              <w:left w:val="nil"/>
              <w:bottom w:val="single" w:sz="8" w:space="0" w:color="auto"/>
              <w:right w:val="single" w:sz="8" w:space="0" w:color="auto"/>
            </w:tcBorders>
            <w:shd w:val="clear" w:color="000000" w:fill="D6E3BC"/>
            <w:vAlign w:val="center"/>
            <w:hideMark/>
          </w:tcPr>
          <w:p w:rsidR="000B6E30" w:rsidRDefault="000B6E30">
            <w:pPr>
              <w:jc w:val="center"/>
              <w:rPr>
                <w:rFonts w:ascii="Arial" w:hAnsi="Arial" w:cs="Arial"/>
                <w:b/>
                <w:bCs/>
                <w:color w:val="000000"/>
                <w:sz w:val="16"/>
                <w:szCs w:val="16"/>
              </w:rPr>
            </w:pPr>
            <w:r>
              <w:rPr>
                <w:rFonts w:ascii="Arial" w:hAnsi="Arial" w:cs="Arial"/>
                <w:b/>
                <w:bCs/>
                <w:color w:val="000000"/>
                <w:sz w:val="16"/>
                <w:szCs w:val="16"/>
              </w:rPr>
              <w:t xml:space="preserve">Výška riadne ukončených projektov </w:t>
            </w:r>
            <w:r>
              <w:rPr>
                <w:rFonts w:ascii="Arial" w:hAnsi="Arial" w:cs="Arial"/>
                <w:b/>
                <w:bCs/>
                <w:color w:val="000000"/>
                <w:sz w:val="16"/>
                <w:szCs w:val="16"/>
                <w:vertAlign w:val="superscript"/>
              </w:rPr>
              <w:t>1</w:t>
            </w:r>
          </w:p>
        </w:tc>
        <w:tc>
          <w:tcPr>
            <w:tcW w:w="833" w:type="pct"/>
            <w:tcBorders>
              <w:top w:val="nil"/>
              <w:left w:val="nil"/>
              <w:bottom w:val="single" w:sz="8" w:space="0" w:color="auto"/>
              <w:right w:val="single" w:sz="8" w:space="0" w:color="auto"/>
            </w:tcBorders>
            <w:shd w:val="clear" w:color="000000" w:fill="D6E3BC"/>
            <w:vAlign w:val="center"/>
            <w:hideMark/>
          </w:tcPr>
          <w:p w:rsidR="000B6E30" w:rsidRDefault="000B6E30">
            <w:pPr>
              <w:jc w:val="center"/>
              <w:rPr>
                <w:rFonts w:ascii="Arial" w:hAnsi="Arial" w:cs="Arial"/>
                <w:b/>
                <w:bCs/>
                <w:color w:val="000000"/>
                <w:sz w:val="16"/>
                <w:szCs w:val="16"/>
              </w:rPr>
            </w:pPr>
            <w:r>
              <w:rPr>
                <w:rFonts w:ascii="Arial" w:hAnsi="Arial" w:cs="Arial"/>
                <w:b/>
                <w:bCs/>
                <w:color w:val="000000"/>
                <w:sz w:val="16"/>
                <w:szCs w:val="16"/>
              </w:rPr>
              <w:t>Výška mimoriadne ukončených projektov</w:t>
            </w:r>
          </w:p>
        </w:tc>
      </w:tr>
      <w:tr w:rsidR="000B6E30" w:rsidTr="000B6E30">
        <w:trPr>
          <w:trHeight w:val="465"/>
        </w:trPr>
        <w:tc>
          <w:tcPr>
            <w:tcW w:w="833" w:type="pct"/>
            <w:tcBorders>
              <w:top w:val="nil"/>
              <w:left w:val="single" w:sz="8" w:space="0" w:color="auto"/>
              <w:bottom w:val="single" w:sz="8" w:space="0" w:color="auto"/>
              <w:right w:val="single" w:sz="8" w:space="0" w:color="auto"/>
            </w:tcBorders>
            <w:shd w:val="clear" w:color="auto" w:fill="auto"/>
            <w:vAlign w:val="center"/>
            <w:hideMark/>
          </w:tcPr>
          <w:p w:rsidR="000B6E30" w:rsidRDefault="000B6E30">
            <w:pPr>
              <w:rPr>
                <w:rFonts w:ascii="Arial" w:hAnsi="Arial" w:cs="Arial"/>
                <w:color w:val="000000"/>
                <w:sz w:val="16"/>
                <w:szCs w:val="16"/>
              </w:rPr>
            </w:pPr>
            <w:r>
              <w:rPr>
                <w:rFonts w:ascii="Arial" w:hAnsi="Arial" w:cs="Arial"/>
                <w:color w:val="000000"/>
                <w:sz w:val="16"/>
                <w:szCs w:val="16"/>
              </w:rPr>
              <w:t>44 - Hospodárenie s domácim a priemyselným odpadom</w:t>
            </w:r>
          </w:p>
        </w:tc>
        <w:tc>
          <w:tcPr>
            <w:tcW w:w="833" w:type="pct"/>
            <w:tcBorders>
              <w:top w:val="nil"/>
              <w:left w:val="nil"/>
              <w:bottom w:val="single" w:sz="8" w:space="0" w:color="auto"/>
              <w:right w:val="single" w:sz="8" w:space="0" w:color="auto"/>
            </w:tcBorders>
            <w:shd w:val="clear" w:color="auto" w:fill="auto"/>
            <w:noWrap/>
            <w:vAlign w:val="center"/>
            <w:hideMark/>
          </w:tcPr>
          <w:p w:rsidR="000B6E30" w:rsidRDefault="000B6E30">
            <w:pPr>
              <w:jc w:val="center"/>
              <w:rPr>
                <w:rFonts w:ascii="Arial" w:hAnsi="Arial" w:cs="Arial"/>
                <w:color w:val="000000"/>
                <w:sz w:val="16"/>
                <w:szCs w:val="16"/>
              </w:rPr>
            </w:pPr>
            <w:r>
              <w:rPr>
                <w:rFonts w:ascii="Arial" w:hAnsi="Arial" w:cs="Arial"/>
                <w:color w:val="000000"/>
                <w:sz w:val="16"/>
                <w:szCs w:val="16"/>
              </w:rPr>
              <w:t>1 725 365 755</w:t>
            </w:r>
          </w:p>
        </w:tc>
        <w:tc>
          <w:tcPr>
            <w:tcW w:w="833" w:type="pct"/>
            <w:tcBorders>
              <w:top w:val="nil"/>
              <w:left w:val="nil"/>
              <w:bottom w:val="single" w:sz="8" w:space="0" w:color="auto"/>
              <w:right w:val="single" w:sz="8" w:space="0" w:color="auto"/>
            </w:tcBorders>
            <w:shd w:val="clear" w:color="auto" w:fill="auto"/>
            <w:noWrap/>
            <w:vAlign w:val="center"/>
            <w:hideMark/>
          </w:tcPr>
          <w:p w:rsidR="000B6E30" w:rsidRDefault="000B6E30">
            <w:pPr>
              <w:jc w:val="center"/>
              <w:rPr>
                <w:rFonts w:ascii="Arial" w:hAnsi="Arial" w:cs="Arial"/>
                <w:color w:val="000000"/>
                <w:sz w:val="16"/>
                <w:szCs w:val="16"/>
              </w:rPr>
            </w:pPr>
            <w:r>
              <w:rPr>
                <w:rFonts w:ascii="Arial" w:hAnsi="Arial" w:cs="Arial"/>
                <w:color w:val="000000"/>
                <w:sz w:val="16"/>
                <w:szCs w:val="16"/>
              </w:rPr>
              <w:t>396 827 377</w:t>
            </w:r>
          </w:p>
        </w:tc>
        <w:tc>
          <w:tcPr>
            <w:tcW w:w="833" w:type="pct"/>
            <w:tcBorders>
              <w:top w:val="nil"/>
              <w:left w:val="nil"/>
              <w:bottom w:val="single" w:sz="8" w:space="0" w:color="auto"/>
              <w:right w:val="single" w:sz="8" w:space="0" w:color="auto"/>
            </w:tcBorders>
            <w:shd w:val="clear" w:color="auto" w:fill="auto"/>
            <w:noWrap/>
            <w:vAlign w:val="center"/>
            <w:hideMark/>
          </w:tcPr>
          <w:p w:rsidR="000B6E30" w:rsidRDefault="000B6E30">
            <w:pPr>
              <w:jc w:val="center"/>
              <w:rPr>
                <w:rFonts w:ascii="Arial" w:hAnsi="Arial" w:cs="Arial"/>
                <w:color w:val="000000"/>
                <w:sz w:val="16"/>
                <w:szCs w:val="16"/>
              </w:rPr>
            </w:pPr>
            <w:r>
              <w:rPr>
                <w:rFonts w:ascii="Arial" w:hAnsi="Arial" w:cs="Arial"/>
                <w:color w:val="000000"/>
                <w:sz w:val="16"/>
                <w:szCs w:val="16"/>
              </w:rPr>
              <w:t>337 194 613</w:t>
            </w:r>
          </w:p>
        </w:tc>
        <w:tc>
          <w:tcPr>
            <w:tcW w:w="833" w:type="pct"/>
            <w:tcBorders>
              <w:top w:val="nil"/>
              <w:left w:val="nil"/>
              <w:bottom w:val="single" w:sz="8" w:space="0" w:color="auto"/>
              <w:right w:val="single" w:sz="8" w:space="0" w:color="auto"/>
            </w:tcBorders>
            <w:shd w:val="clear" w:color="auto" w:fill="auto"/>
            <w:noWrap/>
            <w:vAlign w:val="center"/>
            <w:hideMark/>
          </w:tcPr>
          <w:p w:rsidR="000B6E30" w:rsidRDefault="000B6E30">
            <w:pPr>
              <w:jc w:val="center"/>
              <w:rPr>
                <w:rFonts w:ascii="Arial" w:hAnsi="Arial" w:cs="Arial"/>
                <w:color w:val="000000"/>
                <w:sz w:val="16"/>
                <w:szCs w:val="16"/>
              </w:rPr>
            </w:pPr>
            <w:r>
              <w:rPr>
                <w:rFonts w:ascii="Arial" w:hAnsi="Arial" w:cs="Arial"/>
                <w:color w:val="000000"/>
                <w:sz w:val="16"/>
                <w:szCs w:val="16"/>
              </w:rPr>
              <w:t>128 230 387</w:t>
            </w:r>
          </w:p>
        </w:tc>
        <w:tc>
          <w:tcPr>
            <w:tcW w:w="833" w:type="pct"/>
            <w:tcBorders>
              <w:top w:val="nil"/>
              <w:left w:val="nil"/>
              <w:bottom w:val="single" w:sz="8" w:space="0" w:color="auto"/>
              <w:right w:val="single" w:sz="8" w:space="0" w:color="auto"/>
            </w:tcBorders>
            <w:shd w:val="clear" w:color="auto" w:fill="auto"/>
            <w:noWrap/>
            <w:vAlign w:val="center"/>
            <w:hideMark/>
          </w:tcPr>
          <w:p w:rsidR="000B6E30" w:rsidRDefault="000B6E30">
            <w:pPr>
              <w:jc w:val="center"/>
              <w:rPr>
                <w:rFonts w:ascii="Arial" w:hAnsi="Arial" w:cs="Arial"/>
                <w:color w:val="000000"/>
                <w:sz w:val="16"/>
                <w:szCs w:val="16"/>
              </w:rPr>
            </w:pPr>
            <w:r>
              <w:rPr>
                <w:rFonts w:ascii="Arial" w:hAnsi="Arial" w:cs="Arial"/>
                <w:color w:val="000000"/>
                <w:sz w:val="16"/>
                <w:szCs w:val="16"/>
              </w:rPr>
              <w:t>12 563 753</w:t>
            </w:r>
          </w:p>
        </w:tc>
      </w:tr>
      <w:tr w:rsidR="000B6E30" w:rsidTr="000B6E30">
        <w:trPr>
          <w:trHeight w:val="690"/>
        </w:trPr>
        <w:tc>
          <w:tcPr>
            <w:tcW w:w="833" w:type="pct"/>
            <w:tcBorders>
              <w:top w:val="nil"/>
              <w:left w:val="single" w:sz="8" w:space="0" w:color="auto"/>
              <w:bottom w:val="single" w:sz="8" w:space="0" w:color="auto"/>
              <w:right w:val="single" w:sz="8" w:space="0" w:color="auto"/>
            </w:tcBorders>
            <w:shd w:val="clear" w:color="auto" w:fill="auto"/>
            <w:vAlign w:val="center"/>
            <w:hideMark/>
          </w:tcPr>
          <w:p w:rsidR="000B6E30" w:rsidRDefault="000B6E30">
            <w:pPr>
              <w:rPr>
                <w:rFonts w:ascii="Arial" w:hAnsi="Arial" w:cs="Arial"/>
                <w:color w:val="000000"/>
                <w:sz w:val="16"/>
                <w:szCs w:val="16"/>
              </w:rPr>
            </w:pPr>
            <w:r>
              <w:rPr>
                <w:rFonts w:ascii="Arial" w:hAnsi="Arial" w:cs="Arial"/>
                <w:color w:val="000000"/>
                <w:sz w:val="16"/>
                <w:szCs w:val="16"/>
              </w:rPr>
              <w:t>50 - Ozdravovanie priemyselných lokalít a kontaminovanej pôdy</w:t>
            </w:r>
          </w:p>
        </w:tc>
        <w:tc>
          <w:tcPr>
            <w:tcW w:w="833" w:type="pct"/>
            <w:tcBorders>
              <w:top w:val="nil"/>
              <w:left w:val="nil"/>
              <w:bottom w:val="single" w:sz="8" w:space="0" w:color="auto"/>
              <w:right w:val="single" w:sz="8" w:space="0" w:color="auto"/>
            </w:tcBorders>
            <w:shd w:val="clear" w:color="auto" w:fill="auto"/>
            <w:noWrap/>
            <w:vAlign w:val="center"/>
            <w:hideMark/>
          </w:tcPr>
          <w:p w:rsidR="000B6E30" w:rsidRDefault="000B6E30">
            <w:pPr>
              <w:jc w:val="center"/>
              <w:rPr>
                <w:rFonts w:ascii="Arial" w:hAnsi="Arial" w:cs="Arial"/>
                <w:color w:val="000000"/>
                <w:sz w:val="16"/>
                <w:szCs w:val="16"/>
              </w:rPr>
            </w:pPr>
            <w:r>
              <w:rPr>
                <w:rFonts w:ascii="Arial" w:hAnsi="Arial" w:cs="Arial"/>
                <w:color w:val="000000"/>
                <w:sz w:val="16"/>
                <w:szCs w:val="16"/>
              </w:rPr>
              <w:t>18 928 447</w:t>
            </w:r>
          </w:p>
        </w:tc>
        <w:tc>
          <w:tcPr>
            <w:tcW w:w="833" w:type="pct"/>
            <w:tcBorders>
              <w:top w:val="nil"/>
              <w:left w:val="nil"/>
              <w:bottom w:val="single" w:sz="8" w:space="0" w:color="auto"/>
              <w:right w:val="single" w:sz="8" w:space="0" w:color="auto"/>
            </w:tcBorders>
            <w:shd w:val="clear" w:color="auto" w:fill="auto"/>
            <w:noWrap/>
            <w:vAlign w:val="center"/>
            <w:hideMark/>
          </w:tcPr>
          <w:p w:rsidR="000B6E30" w:rsidRDefault="000B6E30">
            <w:pPr>
              <w:jc w:val="center"/>
              <w:rPr>
                <w:rFonts w:ascii="Arial" w:hAnsi="Arial" w:cs="Arial"/>
                <w:color w:val="000000"/>
                <w:sz w:val="16"/>
                <w:szCs w:val="16"/>
              </w:rPr>
            </w:pPr>
            <w:r>
              <w:rPr>
                <w:rFonts w:ascii="Arial" w:hAnsi="Arial" w:cs="Arial"/>
                <w:color w:val="000000"/>
                <w:sz w:val="16"/>
                <w:szCs w:val="16"/>
              </w:rPr>
              <w:t>18 416 859</w:t>
            </w:r>
          </w:p>
        </w:tc>
        <w:tc>
          <w:tcPr>
            <w:tcW w:w="833" w:type="pct"/>
            <w:tcBorders>
              <w:top w:val="nil"/>
              <w:left w:val="nil"/>
              <w:bottom w:val="single" w:sz="8" w:space="0" w:color="auto"/>
              <w:right w:val="single" w:sz="8" w:space="0" w:color="auto"/>
            </w:tcBorders>
            <w:shd w:val="clear" w:color="auto" w:fill="auto"/>
            <w:noWrap/>
            <w:vAlign w:val="center"/>
            <w:hideMark/>
          </w:tcPr>
          <w:p w:rsidR="000B6E30" w:rsidRDefault="000B6E30">
            <w:pPr>
              <w:jc w:val="center"/>
              <w:rPr>
                <w:rFonts w:ascii="Arial" w:hAnsi="Arial" w:cs="Arial"/>
                <w:color w:val="000000"/>
                <w:sz w:val="16"/>
                <w:szCs w:val="16"/>
              </w:rPr>
            </w:pPr>
            <w:r>
              <w:rPr>
                <w:rFonts w:ascii="Arial" w:hAnsi="Arial" w:cs="Arial"/>
                <w:color w:val="000000"/>
                <w:sz w:val="16"/>
                <w:szCs w:val="16"/>
              </w:rPr>
              <w:t>17 983 063</w:t>
            </w:r>
          </w:p>
        </w:tc>
        <w:tc>
          <w:tcPr>
            <w:tcW w:w="833" w:type="pct"/>
            <w:tcBorders>
              <w:top w:val="nil"/>
              <w:left w:val="nil"/>
              <w:bottom w:val="single" w:sz="8" w:space="0" w:color="auto"/>
              <w:right w:val="single" w:sz="8" w:space="0" w:color="auto"/>
            </w:tcBorders>
            <w:shd w:val="clear" w:color="auto" w:fill="auto"/>
            <w:noWrap/>
            <w:vAlign w:val="center"/>
            <w:hideMark/>
          </w:tcPr>
          <w:p w:rsidR="000B6E30" w:rsidRDefault="000B6E30">
            <w:pPr>
              <w:jc w:val="center"/>
              <w:rPr>
                <w:rFonts w:ascii="Arial" w:hAnsi="Arial" w:cs="Arial"/>
                <w:color w:val="000000"/>
                <w:sz w:val="16"/>
                <w:szCs w:val="16"/>
              </w:rPr>
            </w:pPr>
            <w:r>
              <w:rPr>
                <w:rFonts w:ascii="Arial" w:hAnsi="Arial" w:cs="Arial"/>
                <w:color w:val="000000"/>
                <w:sz w:val="16"/>
                <w:szCs w:val="16"/>
              </w:rPr>
              <w:t>433 356</w:t>
            </w:r>
          </w:p>
        </w:tc>
        <w:tc>
          <w:tcPr>
            <w:tcW w:w="833" w:type="pct"/>
            <w:tcBorders>
              <w:top w:val="nil"/>
              <w:left w:val="nil"/>
              <w:bottom w:val="single" w:sz="8" w:space="0" w:color="auto"/>
              <w:right w:val="single" w:sz="8" w:space="0" w:color="auto"/>
            </w:tcBorders>
            <w:shd w:val="clear" w:color="auto" w:fill="auto"/>
            <w:noWrap/>
            <w:vAlign w:val="center"/>
            <w:hideMark/>
          </w:tcPr>
          <w:p w:rsidR="000B6E30" w:rsidRDefault="000B6E30">
            <w:pPr>
              <w:jc w:val="center"/>
              <w:rPr>
                <w:rFonts w:ascii="Arial" w:hAnsi="Arial" w:cs="Arial"/>
                <w:color w:val="000000"/>
                <w:sz w:val="16"/>
                <w:szCs w:val="16"/>
              </w:rPr>
            </w:pPr>
            <w:r>
              <w:rPr>
                <w:rFonts w:ascii="Arial" w:hAnsi="Arial" w:cs="Arial"/>
                <w:color w:val="000000"/>
                <w:sz w:val="16"/>
                <w:szCs w:val="16"/>
              </w:rPr>
              <w:t>0</w:t>
            </w:r>
          </w:p>
        </w:tc>
      </w:tr>
      <w:tr w:rsidR="000B6E30" w:rsidTr="000B6E30">
        <w:trPr>
          <w:trHeight w:val="315"/>
        </w:trPr>
        <w:tc>
          <w:tcPr>
            <w:tcW w:w="833" w:type="pct"/>
            <w:tcBorders>
              <w:top w:val="nil"/>
              <w:left w:val="single" w:sz="8" w:space="0" w:color="auto"/>
              <w:bottom w:val="single" w:sz="8" w:space="0" w:color="auto"/>
              <w:right w:val="single" w:sz="8" w:space="0" w:color="auto"/>
            </w:tcBorders>
            <w:shd w:val="clear" w:color="000000" w:fill="EAF1DD"/>
            <w:vAlign w:val="center"/>
            <w:hideMark/>
          </w:tcPr>
          <w:p w:rsidR="000B6E30" w:rsidRDefault="000B6E30">
            <w:pPr>
              <w:jc w:val="center"/>
              <w:rPr>
                <w:rFonts w:ascii="Arial" w:hAnsi="Arial" w:cs="Arial"/>
                <w:b/>
                <w:bCs/>
                <w:color w:val="000000"/>
                <w:sz w:val="16"/>
                <w:szCs w:val="16"/>
              </w:rPr>
            </w:pPr>
            <w:r>
              <w:rPr>
                <w:rFonts w:ascii="Arial" w:hAnsi="Arial" w:cs="Arial"/>
                <w:b/>
                <w:bCs/>
                <w:color w:val="000000"/>
                <w:sz w:val="16"/>
                <w:szCs w:val="16"/>
              </w:rPr>
              <w:t>Celkom</w:t>
            </w:r>
          </w:p>
        </w:tc>
        <w:tc>
          <w:tcPr>
            <w:tcW w:w="833" w:type="pct"/>
            <w:tcBorders>
              <w:top w:val="nil"/>
              <w:left w:val="nil"/>
              <w:bottom w:val="single" w:sz="8" w:space="0" w:color="auto"/>
              <w:right w:val="single" w:sz="8" w:space="0" w:color="auto"/>
            </w:tcBorders>
            <w:shd w:val="clear" w:color="000000" w:fill="EAF1DD"/>
            <w:noWrap/>
            <w:vAlign w:val="center"/>
            <w:hideMark/>
          </w:tcPr>
          <w:p w:rsidR="000B6E30" w:rsidRDefault="000B6E30">
            <w:pPr>
              <w:jc w:val="center"/>
              <w:rPr>
                <w:rFonts w:ascii="Arial" w:hAnsi="Arial" w:cs="Arial"/>
                <w:b/>
                <w:bCs/>
                <w:color w:val="000000"/>
                <w:sz w:val="16"/>
                <w:szCs w:val="16"/>
              </w:rPr>
            </w:pPr>
            <w:r>
              <w:rPr>
                <w:rFonts w:ascii="Arial" w:hAnsi="Arial" w:cs="Arial"/>
                <w:b/>
                <w:bCs/>
                <w:color w:val="000000"/>
                <w:sz w:val="16"/>
                <w:szCs w:val="16"/>
              </w:rPr>
              <w:t>1 744 294 202</w:t>
            </w:r>
          </w:p>
        </w:tc>
        <w:tc>
          <w:tcPr>
            <w:tcW w:w="833" w:type="pct"/>
            <w:tcBorders>
              <w:top w:val="nil"/>
              <w:left w:val="nil"/>
              <w:bottom w:val="single" w:sz="8" w:space="0" w:color="auto"/>
              <w:right w:val="single" w:sz="8" w:space="0" w:color="auto"/>
            </w:tcBorders>
            <w:shd w:val="clear" w:color="000000" w:fill="EAF1DD"/>
            <w:noWrap/>
            <w:vAlign w:val="center"/>
            <w:hideMark/>
          </w:tcPr>
          <w:p w:rsidR="000B6E30" w:rsidRDefault="000B6E30">
            <w:pPr>
              <w:jc w:val="center"/>
              <w:rPr>
                <w:rFonts w:ascii="Arial" w:hAnsi="Arial" w:cs="Arial"/>
                <w:b/>
                <w:bCs/>
                <w:color w:val="000000"/>
                <w:sz w:val="16"/>
                <w:szCs w:val="16"/>
              </w:rPr>
            </w:pPr>
            <w:r>
              <w:rPr>
                <w:rFonts w:ascii="Arial" w:hAnsi="Arial" w:cs="Arial"/>
                <w:b/>
                <w:bCs/>
                <w:color w:val="000000"/>
                <w:sz w:val="16"/>
                <w:szCs w:val="16"/>
              </w:rPr>
              <w:t>415 244 236</w:t>
            </w:r>
          </w:p>
        </w:tc>
        <w:tc>
          <w:tcPr>
            <w:tcW w:w="833" w:type="pct"/>
            <w:tcBorders>
              <w:top w:val="nil"/>
              <w:left w:val="nil"/>
              <w:bottom w:val="single" w:sz="8" w:space="0" w:color="auto"/>
              <w:right w:val="single" w:sz="8" w:space="0" w:color="auto"/>
            </w:tcBorders>
            <w:shd w:val="clear" w:color="000000" w:fill="EAF1DD"/>
            <w:noWrap/>
            <w:vAlign w:val="center"/>
            <w:hideMark/>
          </w:tcPr>
          <w:p w:rsidR="000B6E30" w:rsidRDefault="000B6E30">
            <w:pPr>
              <w:jc w:val="center"/>
              <w:rPr>
                <w:rFonts w:ascii="Arial" w:hAnsi="Arial" w:cs="Arial"/>
                <w:b/>
                <w:bCs/>
                <w:color w:val="000000"/>
                <w:sz w:val="16"/>
                <w:szCs w:val="16"/>
              </w:rPr>
            </w:pPr>
            <w:r>
              <w:rPr>
                <w:rFonts w:ascii="Arial" w:hAnsi="Arial" w:cs="Arial"/>
                <w:b/>
                <w:bCs/>
                <w:color w:val="000000"/>
                <w:sz w:val="16"/>
                <w:szCs w:val="16"/>
              </w:rPr>
              <w:t>355 177 676</w:t>
            </w:r>
          </w:p>
        </w:tc>
        <w:tc>
          <w:tcPr>
            <w:tcW w:w="833" w:type="pct"/>
            <w:tcBorders>
              <w:top w:val="nil"/>
              <w:left w:val="nil"/>
              <w:bottom w:val="single" w:sz="8" w:space="0" w:color="auto"/>
              <w:right w:val="single" w:sz="8" w:space="0" w:color="auto"/>
            </w:tcBorders>
            <w:shd w:val="clear" w:color="000000" w:fill="EAF1DD"/>
            <w:noWrap/>
            <w:vAlign w:val="center"/>
            <w:hideMark/>
          </w:tcPr>
          <w:p w:rsidR="000B6E30" w:rsidRDefault="000B6E30">
            <w:pPr>
              <w:jc w:val="center"/>
              <w:rPr>
                <w:rFonts w:ascii="Arial" w:hAnsi="Arial" w:cs="Arial"/>
                <w:b/>
                <w:bCs/>
                <w:color w:val="000000"/>
                <w:sz w:val="16"/>
                <w:szCs w:val="16"/>
              </w:rPr>
            </w:pPr>
            <w:r>
              <w:rPr>
                <w:rFonts w:ascii="Arial" w:hAnsi="Arial" w:cs="Arial"/>
                <w:b/>
                <w:bCs/>
                <w:color w:val="000000"/>
                <w:sz w:val="16"/>
                <w:szCs w:val="16"/>
              </w:rPr>
              <w:t>128 663 743</w:t>
            </w:r>
          </w:p>
        </w:tc>
        <w:tc>
          <w:tcPr>
            <w:tcW w:w="833" w:type="pct"/>
            <w:tcBorders>
              <w:top w:val="nil"/>
              <w:left w:val="nil"/>
              <w:bottom w:val="single" w:sz="8" w:space="0" w:color="auto"/>
              <w:right w:val="single" w:sz="8" w:space="0" w:color="auto"/>
            </w:tcBorders>
            <w:shd w:val="clear" w:color="000000" w:fill="EAF1DD"/>
            <w:noWrap/>
            <w:vAlign w:val="center"/>
            <w:hideMark/>
          </w:tcPr>
          <w:p w:rsidR="000B6E30" w:rsidRDefault="000B6E30">
            <w:pPr>
              <w:jc w:val="center"/>
              <w:rPr>
                <w:rFonts w:ascii="Arial" w:hAnsi="Arial" w:cs="Arial"/>
                <w:b/>
                <w:bCs/>
                <w:color w:val="000000"/>
                <w:sz w:val="16"/>
                <w:szCs w:val="16"/>
              </w:rPr>
            </w:pPr>
            <w:r>
              <w:rPr>
                <w:rFonts w:ascii="Arial" w:hAnsi="Arial" w:cs="Arial"/>
                <w:b/>
                <w:bCs/>
                <w:color w:val="000000"/>
                <w:sz w:val="16"/>
                <w:szCs w:val="16"/>
              </w:rPr>
              <w:t>12 563 753</w:t>
            </w:r>
          </w:p>
        </w:tc>
      </w:tr>
    </w:tbl>
    <w:p w:rsidR="002416B1" w:rsidRPr="006A2BF3" w:rsidRDefault="00C3627B" w:rsidP="00205636">
      <w:pPr>
        <w:pStyle w:val="Zkladntextb"/>
        <w:spacing w:after="0" w:line="360" w:lineRule="auto"/>
        <w:ind w:left="0"/>
        <w:jc w:val="both"/>
        <w:rPr>
          <w:sz w:val="18"/>
          <w:szCs w:val="18"/>
          <w:lang w:val="sk-SK"/>
        </w:rPr>
      </w:pPr>
      <w:r w:rsidRPr="006A2BF3">
        <w:rPr>
          <w:sz w:val="18"/>
          <w:szCs w:val="18"/>
          <w:lang w:val="sk-SK"/>
        </w:rPr>
        <w:t xml:space="preserve"> </w:t>
      </w:r>
      <w:r w:rsidR="00000CC9">
        <w:rPr>
          <w:sz w:val="18"/>
          <w:szCs w:val="18"/>
          <w:lang w:val="sk-SK"/>
        </w:rPr>
        <w:t>Zdroj: RO, ITMS</w:t>
      </w:r>
    </w:p>
    <w:tbl>
      <w:tblPr>
        <w:tblW w:w="7797" w:type="dxa"/>
        <w:tblInd w:w="55" w:type="dxa"/>
        <w:tblCellMar>
          <w:left w:w="70" w:type="dxa"/>
          <w:right w:w="70" w:type="dxa"/>
        </w:tblCellMar>
        <w:tblLook w:val="04A0" w:firstRow="1" w:lastRow="0" w:firstColumn="1" w:lastColumn="0" w:noHBand="0" w:noVBand="1"/>
      </w:tblPr>
      <w:tblGrid>
        <w:gridCol w:w="7797"/>
      </w:tblGrid>
      <w:tr w:rsidR="002416B1" w:rsidRPr="006A2BF3" w:rsidTr="007D7C7C">
        <w:trPr>
          <w:trHeight w:val="270"/>
        </w:trPr>
        <w:tc>
          <w:tcPr>
            <w:tcW w:w="7797" w:type="dxa"/>
            <w:noWrap/>
            <w:vAlign w:val="bottom"/>
          </w:tcPr>
          <w:p w:rsidR="002416B1" w:rsidRPr="006A2BF3" w:rsidRDefault="002416B1" w:rsidP="00205636">
            <w:pPr>
              <w:rPr>
                <w:rFonts w:ascii="Arial" w:hAnsi="Arial" w:cs="Arial"/>
                <w:i/>
                <w:iCs/>
                <w:sz w:val="18"/>
                <w:szCs w:val="18"/>
              </w:rPr>
            </w:pPr>
            <w:r w:rsidRPr="006A2BF3">
              <w:rPr>
                <w:rFonts w:ascii="Arial" w:hAnsi="Arial" w:cs="Arial"/>
                <w:b/>
                <w:bCs/>
                <w:i/>
                <w:iCs/>
                <w:sz w:val="18"/>
                <w:szCs w:val="18"/>
                <w:vertAlign w:val="superscript"/>
              </w:rPr>
              <w:t>1</w:t>
            </w:r>
            <w:r w:rsidRPr="006A2BF3">
              <w:rPr>
                <w:rFonts w:ascii="Arial" w:hAnsi="Arial" w:cs="Arial"/>
                <w:i/>
                <w:iCs/>
                <w:sz w:val="18"/>
                <w:szCs w:val="18"/>
                <w:vertAlign w:val="superscript"/>
              </w:rPr>
              <w:t xml:space="preserve"> </w:t>
            </w:r>
            <w:r w:rsidRPr="00FA2DAA">
              <w:rPr>
                <w:rFonts w:ascii="Arial" w:hAnsi="Arial" w:cs="Arial"/>
                <w:i/>
                <w:sz w:val="16"/>
                <w:szCs w:val="16"/>
              </w:rPr>
              <w:t>Objem čerpaných prostriedkov NFP</w:t>
            </w:r>
          </w:p>
        </w:tc>
      </w:tr>
      <w:tr w:rsidR="00D54F01" w:rsidRPr="006A2BF3" w:rsidTr="007D7C7C">
        <w:trPr>
          <w:trHeight w:val="270"/>
        </w:trPr>
        <w:tc>
          <w:tcPr>
            <w:tcW w:w="7797" w:type="dxa"/>
            <w:noWrap/>
            <w:vAlign w:val="bottom"/>
          </w:tcPr>
          <w:p w:rsidR="00D54F01" w:rsidRPr="006A2BF3" w:rsidRDefault="00D54F01" w:rsidP="00110E60">
            <w:pPr>
              <w:rPr>
                <w:rFonts w:ascii="Arial" w:hAnsi="Arial" w:cs="Arial"/>
                <w:b/>
                <w:bCs/>
                <w:i/>
                <w:iCs/>
                <w:sz w:val="18"/>
                <w:szCs w:val="18"/>
                <w:vertAlign w:val="superscript"/>
              </w:rPr>
            </w:pPr>
            <w:r w:rsidRPr="000E6169">
              <w:rPr>
                <w:rFonts w:ascii="Arial" w:hAnsi="Arial" w:cs="Arial"/>
                <w:i/>
                <w:sz w:val="16"/>
                <w:szCs w:val="16"/>
              </w:rPr>
              <w:t>Údaje o zazmluvnených projektoch zahŕňajú projekty, ktoré mali k 31.12.</w:t>
            </w:r>
            <w:r w:rsidR="00110E60">
              <w:rPr>
                <w:rFonts w:ascii="Arial" w:hAnsi="Arial" w:cs="Arial"/>
                <w:i/>
                <w:sz w:val="16"/>
                <w:szCs w:val="16"/>
              </w:rPr>
              <w:t>2012</w:t>
            </w:r>
            <w:r w:rsidRPr="000E6169">
              <w:rPr>
                <w:rFonts w:ascii="Arial" w:hAnsi="Arial" w:cs="Arial"/>
                <w:i/>
                <w:sz w:val="16"/>
                <w:szCs w:val="16"/>
              </w:rPr>
              <w:t xml:space="preserve"> účinnú zmluvu o poskytnutí NFP a boli v realizácii alebo riadne ukončené. Údaje nezahŕňajú mimoriadne ukončené projekty.</w:t>
            </w:r>
          </w:p>
        </w:tc>
      </w:tr>
    </w:tbl>
    <w:p w:rsidR="00B948D5" w:rsidRPr="00A143BD" w:rsidRDefault="00B948D5" w:rsidP="00507035">
      <w:pPr>
        <w:pStyle w:val="Zkladntextb"/>
        <w:spacing w:before="120" w:after="120" w:line="360" w:lineRule="auto"/>
        <w:ind w:left="0"/>
        <w:jc w:val="both"/>
        <w:rPr>
          <w:lang w:val="sk-SK"/>
        </w:rPr>
      </w:pPr>
      <w:r w:rsidRPr="00B043DB">
        <w:rPr>
          <w:lang w:val="sk-SK"/>
        </w:rPr>
        <w:t xml:space="preserve">Výška vrátených prostriedkov v rámci projektov predstavuje celkovo </w:t>
      </w:r>
      <w:r w:rsidRPr="00B043DB">
        <w:rPr>
          <w:rFonts w:cs="Arial"/>
          <w:bCs/>
          <w:sz w:val="18"/>
          <w:szCs w:val="18"/>
          <w:lang w:val="sk-SK"/>
        </w:rPr>
        <w:t>4 615 495,03</w:t>
      </w:r>
      <w:r w:rsidRPr="00B71586" w:rsidDel="00B043DB">
        <w:rPr>
          <w:rFonts w:cs="Arial"/>
          <w:bCs/>
          <w:sz w:val="18"/>
          <w:szCs w:val="18"/>
          <w:lang w:val="sk-SK"/>
        </w:rPr>
        <w:t xml:space="preserve"> </w:t>
      </w:r>
      <w:r w:rsidRPr="00B043DB">
        <w:rPr>
          <w:lang w:val="sk-SK"/>
        </w:rPr>
        <w:t>EUR, pričom dôvodom vrátenia bolo porušenie zákona č. 25/2006 Z. z. o verejnom obstarávaní, porušenie ustanovenia nariadenia Komisie (ES) č. 1628/2006 a rozpor so Schémou štátnej pomoci pre zlepšenie a rozvoj infraštruktúry.</w:t>
      </w:r>
    </w:p>
    <w:p w:rsidR="002416B1" w:rsidRPr="00BA1A4F" w:rsidRDefault="002416B1" w:rsidP="00507035">
      <w:pPr>
        <w:spacing w:before="120" w:after="120" w:line="360" w:lineRule="auto"/>
        <w:jc w:val="both"/>
        <w:rPr>
          <w:rFonts w:ascii="Arial" w:hAnsi="Arial" w:cs="Arial"/>
          <w:sz w:val="20"/>
          <w:szCs w:val="20"/>
        </w:rPr>
      </w:pPr>
      <w:r w:rsidRPr="000C481D">
        <w:rPr>
          <w:rFonts w:ascii="Arial" w:hAnsi="Arial" w:cs="Arial"/>
          <w:sz w:val="20"/>
          <w:szCs w:val="20"/>
        </w:rPr>
        <w:t>Zoznam schválených projektov s objemom zazmluvnených prostriedkov k 31.12.201</w:t>
      </w:r>
      <w:r w:rsidR="00FA356A">
        <w:rPr>
          <w:rFonts w:ascii="Arial" w:hAnsi="Arial" w:cs="Arial"/>
          <w:sz w:val="20"/>
          <w:szCs w:val="20"/>
        </w:rPr>
        <w:t>2</w:t>
      </w:r>
      <w:r w:rsidRPr="000C481D">
        <w:rPr>
          <w:rFonts w:ascii="Arial" w:hAnsi="Arial" w:cs="Arial"/>
          <w:sz w:val="20"/>
          <w:szCs w:val="20"/>
        </w:rPr>
        <w:t xml:space="preserve"> je zverejnený na </w:t>
      </w:r>
      <w:r w:rsidR="00091E84">
        <w:rPr>
          <w:rFonts w:ascii="Arial" w:hAnsi="Arial" w:cs="Arial"/>
          <w:sz w:val="20"/>
          <w:szCs w:val="20"/>
        </w:rPr>
        <w:t>webovom sídle</w:t>
      </w:r>
      <w:r w:rsidRPr="000C481D">
        <w:rPr>
          <w:rFonts w:ascii="Arial" w:hAnsi="Arial" w:cs="Arial"/>
          <w:sz w:val="20"/>
          <w:szCs w:val="20"/>
        </w:rPr>
        <w:t xml:space="preserve"> </w:t>
      </w:r>
      <w:hyperlink r:id="rId48" w:history="1">
        <w:r w:rsidRPr="007818E6">
          <w:rPr>
            <w:rStyle w:val="Hypertextovprepojenie"/>
            <w:rFonts w:ascii="Arial" w:hAnsi="Arial" w:cs="Arial"/>
            <w:sz w:val="20"/>
            <w:szCs w:val="20"/>
          </w:rPr>
          <w:t>http://www.opzp.sk/projekty/zoznam-prijimatelov/</w:t>
        </w:r>
      </w:hyperlink>
      <w:r w:rsidRPr="00BA1A4F">
        <w:rPr>
          <w:rFonts w:ascii="Arial" w:hAnsi="Arial" w:cs="Arial"/>
          <w:sz w:val="20"/>
          <w:szCs w:val="20"/>
        </w:rPr>
        <w:t xml:space="preserve"> </w:t>
      </w:r>
      <w:r w:rsidR="007D7EAE" w:rsidRPr="007818E6">
        <w:rPr>
          <w:rFonts w:ascii="Arial" w:hAnsi="Arial" w:cs="Arial"/>
          <w:sz w:val="20"/>
          <w:szCs w:val="20"/>
        </w:rPr>
        <w:t>a taktiež zoznam schválených projektov s uveden</w:t>
      </w:r>
      <w:r w:rsidR="007D7EAE" w:rsidRPr="00BA1A4F">
        <w:rPr>
          <w:rFonts w:ascii="Arial" w:hAnsi="Arial" w:cs="Arial"/>
          <w:sz w:val="20"/>
          <w:szCs w:val="20"/>
        </w:rPr>
        <w:t>ím stavu k 31.12.201</w:t>
      </w:r>
      <w:r w:rsidR="00FA356A" w:rsidRPr="00BA1A4F">
        <w:rPr>
          <w:rFonts w:ascii="Arial" w:hAnsi="Arial" w:cs="Arial"/>
          <w:sz w:val="20"/>
          <w:szCs w:val="20"/>
        </w:rPr>
        <w:t>2</w:t>
      </w:r>
      <w:r w:rsidR="007D7EAE" w:rsidRPr="00BA1A4F">
        <w:rPr>
          <w:rFonts w:ascii="Arial" w:hAnsi="Arial" w:cs="Arial"/>
          <w:sz w:val="20"/>
          <w:szCs w:val="20"/>
        </w:rPr>
        <w:t xml:space="preserve"> je súčasťou Prílohy č. 9 výročnej správy.</w:t>
      </w:r>
    </w:p>
    <w:p w:rsidR="00617FE5" w:rsidRDefault="002416B1" w:rsidP="00507035">
      <w:pPr>
        <w:pStyle w:val="Zkladntextb"/>
        <w:spacing w:before="120" w:after="120" w:line="360" w:lineRule="auto"/>
        <w:ind w:left="0"/>
        <w:jc w:val="both"/>
        <w:rPr>
          <w:lang w:val="sk-SK"/>
        </w:rPr>
      </w:pPr>
      <w:r w:rsidRPr="00BA1A4F">
        <w:rPr>
          <w:lang w:val="sk-SK"/>
        </w:rPr>
        <w:t xml:space="preserve">Najvýznamnejšie dôvody zamietnutia žiadostí o NFP v rámci PO4 sú uvedené v Analýze dôvodov neschválenia a vylúčenia žiadostí o NFP v kapitole 2.1.1 správy, v časti Dôvody neschválenia a vylúčenia žiadostí o NFP a vykonané opatrenia na predchádzanie pred opakovaním identifikovaných nedostatkov. </w:t>
      </w:r>
    </w:p>
    <w:p w:rsidR="00617FE5" w:rsidRDefault="00617FE5">
      <w:pPr>
        <w:rPr>
          <w:rFonts w:ascii="Arial" w:hAnsi="Arial"/>
          <w:sz w:val="20"/>
          <w:szCs w:val="20"/>
        </w:rPr>
      </w:pPr>
      <w:r>
        <w:br w:type="page"/>
      </w:r>
    </w:p>
    <w:p w:rsidR="002416B1" w:rsidRPr="00BA1A4F" w:rsidRDefault="002416B1" w:rsidP="00507035">
      <w:pPr>
        <w:pStyle w:val="Zkladntextb"/>
        <w:spacing w:before="120" w:after="120" w:line="360" w:lineRule="auto"/>
        <w:ind w:left="0"/>
        <w:jc w:val="both"/>
        <w:rPr>
          <w:b/>
          <w:lang w:val="sk-SK"/>
        </w:rPr>
      </w:pPr>
      <w:r w:rsidRPr="00BA1A4F">
        <w:rPr>
          <w:b/>
          <w:lang w:val="sk-SK"/>
        </w:rPr>
        <w:t>Plnenie fyzických ukazovateľov</w:t>
      </w:r>
    </w:p>
    <w:p w:rsidR="002416B1" w:rsidRPr="00BA1A4F" w:rsidRDefault="002416B1" w:rsidP="00507035">
      <w:pPr>
        <w:pStyle w:val="Zkladntextb"/>
        <w:spacing w:before="120" w:after="120" w:line="360" w:lineRule="auto"/>
        <w:ind w:left="0"/>
        <w:jc w:val="both"/>
        <w:rPr>
          <w:lang w:val="sk-SK"/>
        </w:rPr>
      </w:pPr>
      <w:r w:rsidRPr="00BA1A4F">
        <w:rPr>
          <w:lang w:val="sk-SK"/>
        </w:rPr>
        <w:t xml:space="preserve">Plnenie ukazovateľov v rámci prioritnej osi 4 je uvedené v Prílohe č. 2, ktorá je okrem aktuálneho napĺňania ukazovateľov za jednotlivé roky doplnená taktiež o </w:t>
      </w:r>
      <w:r w:rsidRPr="00BA1A4F">
        <w:rPr>
          <w:rFonts w:cs="Arial"/>
          <w:lang w:val="sk-SK"/>
        </w:rPr>
        <w:t>deklarované cieľové hodnoty projektov v zmysle uzatvorených zmlúv o NFP k 31.12.201</w:t>
      </w:r>
      <w:r w:rsidR="00FA356A" w:rsidRPr="00BA1A4F">
        <w:rPr>
          <w:rFonts w:cs="Arial"/>
          <w:lang w:val="sk-SK"/>
        </w:rPr>
        <w:t>2</w:t>
      </w:r>
      <w:r w:rsidRPr="00BA1A4F">
        <w:rPr>
          <w:rFonts w:cs="Arial"/>
          <w:lang w:val="sk-SK"/>
        </w:rPr>
        <w:t>.</w:t>
      </w:r>
      <w:r w:rsidR="00D93B85" w:rsidRPr="00BA1A4F">
        <w:rPr>
          <w:rFonts w:ascii="Times New Roman" w:hAnsi="Times New Roman"/>
          <w:sz w:val="24"/>
          <w:szCs w:val="24"/>
          <w:lang w:val="sk-SK"/>
        </w:rPr>
        <w:t xml:space="preserve"> </w:t>
      </w:r>
      <w:r w:rsidR="00D93B85" w:rsidRPr="00BA1A4F">
        <w:rPr>
          <w:rFonts w:cs="Arial"/>
          <w:lang w:val="sk-SK"/>
        </w:rPr>
        <w:t xml:space="preserve">Zoznam </w:t>
      </w:r>
      <w:r w:rsidR="008F2A89" w:rsidRPr="00BA1A4F">
        <w:rPr>
          <w:rFonts w:cs="Arial"/>
          <w:lang w:val="sk-SK"/>
        </w:rPr>
        <w:t>CORE</w:t>
      </w:r>
      <w:r w:rsidR="00D93B85" w:rsidRPr="00BA1A4F">
        <w:rPr>
          <w:rFonts w:cs="Arial"/>
          <w:lang w:val="sk-SK"/>
        </w:rPr>
        <w:t xml:space="preserve"> ukazovateľov reportovaných EK prostredníctvom SFC2007 v rámci Výročnej správy o vykonávaní OP ŽP za rok 201</w:t>
      </w:r>
      <w:r w:rsidR="00FA356A" w:rsidRPr="00BA1A4F">
        <w:rPr>
          <w:rFonts w:cs="Arial"/>
          <w:lang w:val="sk-SK"/>
        </w:rPr>
        <w:t>2</w:t>
      </w:r>
      <w:r w:rsidR="00D93B85" w:rsidRPr="00BA1A4F">
        <w:rPr>
          <w:rFonts w:cs="Arial"/>
          <w:lang w:val="sk-SK"/>
        </w:rPr>
        <w:t xml:space="preserve"> je súčasťou Prílohy č. 11.</w:t>
      </w:r>
    </w:p>
    <w:p w:rsidR="002416B1" w:rsidRPr="004B33AE" w:rsidRDefault="002416B1" w:rsidP="00507035">
      <w:pPr>
        <w:pStyle w:val="Zkladntextb"/>
        <w:spacing w:before="120" w:after="120" w:line="360" w:lineRule="auto"/>
        <w:ind w:left="0"/>
        <w:jc w:val="both"/>
        <w:rPr>
          <w:lang w:val="sk-SK"/>
        </w:rPr>
      </w:pPr>
      <w:r w:rsidRPr="00BA1A4F">
        <w:rPr>
          <w:lang w:val="sk-SK"/>
        </w:rPr>
        <w:t xml:space="preserve">Ukazovatele boli vyhodnotené na základe </w:t>
      </w:r>
      <w:r w:rsidR="007A2602" w:rsidRPr="00BA1A4F">
        <w:rPr>
          <w:lang w:val="sk-SK"/>
        </w:rPr>
        <w:t xml:space="preserve">doručených </w:t>
      </w:r>
      <w:r w:rsidRPr="00BA1A4F">
        <w:rPr>
          <w:lang w:val="sk-SK"/>
        </w:rPr>
        <w:t>monitorovacích správ projektu od žiadateľov tak, ako im to vyplýva zo zmluvy o poskytnutí nenávratného finančného pr</w:t>
      </w:r>
      <w:r w:rsidRPr="004B33AE">
        <w:rPr>
          <w:lang w:val="sk-SK"/>
        </w:rPr>
        <w:t xml:space="preserve">íspevku. </w:t>
      </w:r>
      <w:r w:rsidRPr="00204A8D">
        <w:rPr>
          <w:lang w:val="sk-SK"/>
        </w:rPr>
        <w:t>V rámci prioritnej osi 4 bolo v roku 201</w:t>
      </w:r>
      <w:r w:rsidR="00204A8D" w:rsidRPr="0039268C">
        <w:rPr>
          <w:lang w:val="sk-SK"/>
        </w:rPr>
        <w:t>2</w:t>
      </w:r>
      <w:r w:rsidRPr="00204A8D">
        <w:rPr>
          <w:lang w:val="sk-SK"/>
        </w:rPr>
        <w:t xml:space="preserve"> na riadiaci orgán doručených </w:t>
      </w:r>
      <w:r w:rsidR="00204A8D" w:rsidRPr="0039268C">
        <w:rPr>
          <w:lang w:val="sk-SK"/>
        </w:rPr>
        <w:t xml:space="preserve">294 </w:t>
      </w:r>
      <w:r w:rsidRPr="00204A8D">
        <w:rPr>
          <w:lang w:val="sk-SK"/>
        </w:rPr>
        <w:t xml:space="preserve">monitorovacích správ projektu, z toho </w:t>
      </w:r>
      <w:r w:rsidR="00204A8D" w:rsidRPr="0039268C">
        <w:rPr>
          <w:lang w:val="sk-SK"/>
        </w:rPr>
        <w:t xml:space="preserve">179 </w:t>
      </w:r>
      <w:r w:rsidRPr="00204A8D">
        <w:rPr>
          <w:lang w:val="sk-SK"/>
        </w:rPr>
        <w:t>priebežných, </w:t>
      </w:r>
      <w:r w:rsidR="00204A8D" w:rsidRPr="00204A8D">
        <w:rPr>
          <w:lang w:val="sk-SK"/>
        </w:rPr>
        <w:t xml:space="preserve">52 </w:t>
      </w:r>
      <w:r w:rsidRPr="00204A8D">
        <w:rPr>
          <w:lang w:val="sk-SK"/>
        </w:rPr>
        <w:t>záverečných a </w:t>
      </w:r>
      <w:r w:rsidR="00204A8D" w:rsidRPr="0039268C">
        <w:rPr>
          <w:lang w:val="sk-SK"/>
        </w:rPr>
        <w:t xml:space="preserve">63 </w:t>
      </w:r>
      <w:r w:rsidRPr="00204A8D">
        <w:rPr>
          <w:lang w:val="sk-SK"/>
        </w:rPr>
        <w:t>následných.</w:t>
      </w:r>
      <w:r w:rsidRPr="004B33AE">
        <w:rPr>
          <w:lang w:val="sk-SK"/>
        </w:rPr>
        <w:t xml:space="preserve"> K 31.12.201</w:t>
      </w:r>
      <w:r w:rsidR="00FA356A">
        <w:rPr>
          <w:lang w:val="sk-SK"/>
        </w:rPr>
        <w:t>2</w:t>
      </w:r>
      <w:r w:rsidRPr="004B33AE">
        <w:rPr>
          <w:lang w:val="sk-SK"/>
        </w:rPr>
        <w:t xml:space="preserve"> bolo vďaka realizácii projektov s príspevkom z OP ŽP vybudovaných/zmodernizovaných </w:t>
      </w:r>
      <w:r w:rsidR="00FA356A">
        <w:rPr>
          <w:lang w:val="sk-SK"/>
        </w:rPr>
        <w:t>89</w:t>
      </w:r>
      <w:r w:rsidR="00FA356A" w:rsidRPr="004B33AE">
        <w:rPr>
          <w:lang w:val="sk-SK"/>
        </w:rPr>
        <w:t xml:space="preserve"> </w:t>
      </w:r>
      <w:r w:rsidRPr="004B33AE">
        <w:rPr>
          <w:lang w:val="sk-SK"/>
        </w:rPr>
        <w:t xml:space="preserve">zariadení na separovaný zber, </w:t>
      </w:r>
      <w:r w:rsidR="00FA356A">
        <w:rPr>
          <w:lang w:val="sk-SK"/>
        </w:rPr>
        <w:t>83</w:t>
      </w:r>
      <w:r w:rsidR="00FA356A" w:rsidRPr="004B33AE">
        <w:rPr>
          <w:lang w:val="sk-SK"/>
        </w:rPr>
        <w:t xml:space="preserve"> </w:t>
      </w:r>
      <w:r w:rsidRPr="004B33AE">
        <w:rPr>
          <w:lang w:val="sk-SK"/>
        </w:rPr>
        <w:t>zariadení na materiálové zhodnocovanie odpadov, t.j. hodnoty presahujú plánovaný počet v rámci cieľa k roku 2015</w:t>
      </w:r>
      <w:r w:rsidR="00FA356A">
        <w:rPr>
          <w:lang w:val="sk-SK"/>
        </w:rPr>
        <w:t xml:space="preserve"> </w:t>
      </w:r>
      <w:r w:rsidRPr="004B33AE">
        <w:rPr>
          <w:lang w:val="sk-SK"/>
        </w:rPr>
        <w:t>a </w:t>
      </w:r>
      <w:r w:rsidR="00FA356A">
        <w:rPr>
          <w:lang w:val="sk-SK"/>
        </w:rPr>
        <w:t>8</w:t>
      </w:r>
      <w:r w:rsidR="00FA356A" w:rsidRPr="004B33AE">
        <w:rPr>
          <w:lang w:val="sk-SK"/>
        </w:rPr>
        <w:t xml:space="preserve"> </w:t>
      </w:r>
      <w:r w:rsidRPr="004B33AE">
        <w:rPr>
          <w:lang w:val="sk-SK"/>
        </w:rPr>
        <w:t>zariadení na nakladanie s nebezpečnými odpadmi. Prostredníctvom projektov z OP ŽP bolo ku koncu roka 201</w:t>
      </w:r>
      <w:r w:rsidR="00FA356A">
        <w:rPr>
          <w:lang w:val="sk-SK"/>
        </w:rPr>
        <w:t>2</w:t>
      </w:r>
      <w:r w:rsidRPr="004B33AE">
        <w:rPr>
          <w:lang w:val="sk-SK"/>
        </w:rPr>
        <w:t xml:space="preserve"> uzatvorených a zrekultivovaných </w:t>
      </w:r>
      <w:r w:rsidR="00FA356A">
        <w:rPr>
          <w:lang w:val="sk-SK"/>
        </w:rPr>
        <w:t>44</w:t>
      </w:r>
      <w:r w:rsidR="00FA356A" w:rsidRPr="004B33AE">
        <w:rPr>
          <w:lang w:val="sk-SK"/>
        </w:rPr>
        <w:t xml:space="preserve"> </w:t>
      </w:r>
      <w:r w:rsidRPr="004B33AE">
        <w:rPr>
          <w:lang w:val="sk-SK"/>
        </w:rPr>
        <w:t xml:space="preserve">skládok, čo predstavuje </w:t>
      </w:r>
      <w:r>
        <w:rPr>
          <w:lang w:val="sk-SK"/>
        </w:rPr>
        <w:t xml:space="preserve">vyše </w:t>
      </w:r>
      <w:r w:rsidRPr="004B33AE">
        <w:rPr>
          <w:lang w:val="sk-SK"/>
        </w:rPr>
        <w:t>polovicu z plánovanej cieľovej hodnoty k roku 2015.</w:t>
      </w:r>
    </w:p>
    <w:p w:rsidR="00291824" w:rsidRPr="004B33AE" w:rsidRDefault="00291824" w:rsidP="00507035">
      <w:pPr>
        <w:pStyle w:val="Zkladntextb"/>
        <w:spacing w:before="120" w:after="120" w:line="360" w:lineRule="auto"/>
        <w:ind w:left="0"/>
        <w:jc w:val="both"/>
        <w:rPr>
          <w:lang w:val="sk-SK"/>
        </w:rPr>
      </w:pPr>
      <w:r w:rsidRPr="004B33AE">
        <w:rPr>
          <w:lang w:val="sk-SK"/>
        </w:rPr>
        <w:t xml:space="preserve">Realizáciou </w:t>
      </w:r>
      <w:r>
        <w:rPr>
          <w:lang w:val="sk-SK"/>
        </w:rPr>
        <w:t xml:space="preserve">všetkých </w:t>
      </w:r>
      <w:r w:rsidRPr="004B33AE">
        <w:rPr>
          <w:lang w:val="sk-SK"/>
        </w:rPr>
        <w:t xml:space="preserve">projektov </w:t>
      </w:r>
      <w:r>
        <w:rPr>
          <w:lang w:val="sk-SK"/>
        </w:rPr>
        <w:t xml:space="preserve">v rámci PO4 </w:t>
      </w:r>
      <w:r w:rsidRPr="004B33AE">
        <w:rPr>
          <w:lang w:val="sk-SK"/>
        </w:rPr>
        <w:t xml:space="preserve">bolo vytvorených </w:t>
      </w:r>
      <w:r w:rsidR="00737B4E">
        <w:rPr>
          <w:lang w:val="sk-SK"/>
        </w:rPr>
        <w:t>39</w:t>
      </w:r>
      <w:r w:rsidR="00737B4E" w:rsidRPr="004B33AE">
        <w:rPr>
          <w:lang w:val="sk-SK"/>
        </w:rPr>
        <w:t xml:space="preserve"> </w:t>
      </w:r>
      <w:r w:rsidRPr="004B33AE">
        <w:rPr>
          <w:lang w:val="sk-SK"/>
        </w:rPr>
        <w:t>pracovných miest.</w:t>
      </w:r>
    </w:p>
    <w:p w:rsidR="00F766B4" w:rsidRDefault="008F2A89" w:rsidP="00507035">
      <w:pPr>
        <w:pStyle w:val="Zkladntextb"/>
        <w:spacing w:before="120" w:after="120" w:line="360" w:lineRule="auto"/>
        <w:ind w:left="0"/>
        <w:jc w:val="both"/>
        <w:rPr>
          <w:lang w:val="sk-SK"/>
        </w:rPr>
      </w:pPr>
      <w:r>
        <w:rPr>
          <w:lang w:val="sk-SK"/>
        </w:rPr>
        <w:t>CORE</w:t>
      </w:r>
      <w:r w:rsidR="002416B1" w:rsidRPr="004B33AE">
        <w:rPr>
          <w:lang w:val="sk-SK"/>
        </w:rPr>
        <w:t xml:space="preserve"> ukazovateľ Počet projektov priamej investičnej podpory malých a stredných podnikov dosahuje hodnotu </w:t>
      </w:r>
      <w:r w:rsidR="00737B4E">
        <w:rPr>
          <w:lang w:val="sk-SK"/>
        </w:rPr>
        <w:t>38</w:t>
      </w:r>
      <w:r w:rsidR="002416B1" w:rsidRPr="004B33AE">
        <w:rPr>
          <w:lang w:val="sk-SK"/>
        </w:rPr>
        <w:t xml:space="preserve">, ktorá prekračuje plánovaný cieľ k roku 2015. </w:t>
      </w:r>
    </w:p>
    <w:p w:rsidR="002416B1" w:rsidRPr="004B33AE" w:rsidRDefault="002416B1" w:rsidP="00507035">
      <w:pPr>
        <w:pStyle w:val="Zkladntextb"/>
        <w:spacing w:before="120" w:after="120" w:line="360" w:lineRule="auto"/>
        <w:ind w:left="0"/>
        <w:jc w:val="both"/>
        <w:rPr>
          <w:lang w:val="sk-SK"/>
        </w:rPr>
      </w:pPr>
      <w:r w:rsidRPr="004B33AE">
        <w:rPr>
          <w:lang w:val="sk-SK"/>
        </w:rPr>
        <w:t xml:space="preserve">Sledované ukazovatele sú vyhodnocované za účelom monitorovania pokroku v napĺňaní cieľov prioritnej osi 4, ktoré vyplývajú z hierarchie cieľov v oblasti odpadového hospodárstva SR zakotvenej v koncepčných dokumentoch EÚ a SR (Program odpadového hospodárstva SR) a zároveň rešpektujú prechodné obdobia a iné termínované požiadavky vyplývajúce z legislatívy EÚ, ktorých plnenie je pre SR záväzné, a to najmä z nasledovných smerníc: smernica </w:t>
      </w:r>
      <w:r w:rsidRPr="004B33AE">
        <w:rPr>
          <w:szCs w:val="24"/>
          <w:lang w:val="sk-SK"/>
        </w:rPr>
        <w:t>2004/12/ES Európskeho parlamentu a Rady z 11. februára 2004, ktorou sa mení a dopĺňa smernica 94/62/ES o obaloch a odpadoch z obalov v platnom znení, ako aj v súlade so smernicou Európskeho parlamentu a Rady 2005/20/ES z 9. marca 2005, smernica Európskeho parlamentu a Rady 2000/76/ES zo 4. decembra 2000 o spaľovaní odpadov v platnom znení, smernica Európskeho parlamentu a Rady 2002/96/ES z 27. januára 2003 o odpade z elektrických a elektronických zariadení v platnom znení</w:t>
      </w:r>
      <w:r w:rsidRPr="004B33AE">
        <w:rPr>
          <w:lang w:val="sk-SK"/>
        </w:rPr>
        <w:t xml:space="preserve">, </w:t>
      </w:r>
      <w:r w:rsidRPr="004B33AE">
        <w:rPr>
          <w:szCs w:val="24"/>
          <w:lang w:val="sk-SK"/>
        </w:rPr>
        <w:t>smernica Rady 1999/31/ES z 26. apríla 1999 o skládkach odpadov v platnom znení atď.</w:t>
      </w:r>
    </w:p>
    <w:p w:rsidR="009D50F6" w:rsidRDefault="002416B1" w:rsidP="00507035">
      <w:pPr>
        <w:pStyle w:val="Zkladntextb"/>
        <w:spacing w:before="120" w:after="120" w:line="360" w:lineRule="auto"/>
        <w:ind w:left="0"/>
        <w:jc w:val="both"/>
        <w:rPr>
          <w:lang w:val="sk-SK"/>
        </w:rPr>
      </w:pPr>
      <w:r w:rsidRPr="004B33AE">
        <w:rPr>
          <w:lang w:val="sk-SK"/>
        </w:rPr>
        <w:t>Plnenie stanovených ukazovateľov ovplyvňuje samotný stav projektu (schválený/zazmluvnený/v realizácii), ako aj čerpanie oprávnených výdavkov projektu. Na základe tejto skutočnosti možno teda predpokladať neustále zvyšovanie hodnôt jednotlivých ukazovateľov, a tým napĺňanie relevantných cieľov prioritnej osi.</w:t>
      </w:r>
    </w:p>
    <w:p w:rsidR="009D50F6" w:rsidRDefault="009D50F6">
      <w:pPr>
        <w:rPr>
          <w:rFonts w:ascii="Arial" w:hAnsi="Arial"/>
          <w:sz w:val="20"/>
          <w:szCs w:val="20"/>
        </w:rPr>
      </w:pPr>
      <w:r>
        <w:br w:type="page"/>
      </w:r>
    </w:p>
    <w:p w:rsidR="002416B1" w:rsidRDefault="002416B1" w:rsidP="00507035">
      <w:pPr>
        <w:pStyle w:val="Zkladntextb"/>
        <w:spacing w:before="120" w:after="120" w:line="360" w:lineRule="auto"/>
        <w:ind w:left="0"/>
        <w:jc w:val="both"/>
        <w:rPr>
          <w:lang w:val="sk-SK"/>
        </w:rPr>
      </w:pPr>
    </w:p>
    <w:p w:rsidR="002416B1" w:rsidRPr="004B33AE" w:rsidRDefault="002416B1" w:rsidP="00507035">
      <w:pPr>
        <w:pStyle w:val="Nadpis8"/>
        <w:spacing w:before="120" w:after="120" w:line="360" w:lineRule="auto"/>
        <w:jc w:val="both"/>
        <w:rPr>
          <w:rFonts w:ascii="Arial" w:hAnsi="Arial" w:cs="Arial"/>
          <w:b/>
          <w:sz w:val="22"/>
          <w:szCs w:val="22"/>
        </w:rPr>
      </w:pPr>
      <w:r w:rsidRPr="004B33AE">
        <w:rPr>
          <w:rFonts w:ascii="Arial" w:hAnsi="Arial" w:cs="Arial"/>
          <w:b/>
          <w:sz w:val="22"/>
          <w:szCs w:val="22"/>
        </w:rPr>
        <w:t>3.4.1.2 Finančná implementácia v rámci prioritnej osi 4</w:t>
      </w:r>
    </w:p>
    <w:p w:rsidR="002416B1" w:rsidRDefault="002416B1" w:rsidP="00507035">
      <w:pPr>
        <w:spacing w:before="120" w:after="120" w:line="360" w:lineRule="auto"/>
        <w:jc w:val="both"/>
        <w:rPr>
          <w:rFonts w:ascii="Arial" w:hAnsi="Arial" w:cs="Arial"/>
          <w:sz w:val="20"/>
          <w:szCs w:val="20"/>
        </w:rPr>
      </w:pPr>
      <w:r w:rsidRPr="004B33AE">
        <w:rPr>
          <w:rFonts w:ascii="Arial" w:hAnsi="Arial" w:cs="Arial"/>
          <w:sz w:val="20"/>
          <w:szCs w:val="20"/>
        </w:rPr>
        <w:t>K 31.12.201</w:t>
      </w:r>
      <w:r w:rsidR="004D4FE1">
        <w:rPr>
          <w:rFonts w:ascii="Arial" w:hAnsi="Arial" w:cs="Arial"/>
          <w:sz w:val="20"/>
          <w:szCs w:val="20"/>
        </w:rPr>
        <w:t>2</w:t>
      </w:r>
      <w:r w:rsidRPr="004B33AE">
        <w:rPr>
          <w:rFonts w:ascii="Arial" w:hAnsi="Arial" w:cs="Arial"/>
          <w:sz w:val="20"/>
          <w:szCs w:val="20"/>
        </w:rPr>
        <w:t xml:space="preserve"> boli vyčerpané prostriedky z Kohézneho fondu pre prioritnú os 4 v objeme</w:t>
      </w:r>
      <w:r>
        <w:rPr>
          <w:rFonts w:ascii="Arial" w:hAnsi="Arial" w:cs="Arial"/>
          <w:sz w:val="20"/>
          <w:szCs w:val="20"/>
        </w:rPr>
        <w:t xml:space="preserve"> </w:t>
      </w:r>
      <w:r w:rsidRPr="004B33AE">
        <w:rPr>
          <w:rFonts w:ascii="Arial" w:hAnsi="Arial" w:cs="Arial"/>
          <w:sz w:val="20"/>
          <w:szCs w:val="20"/>
        </w:rPr>
        <w:t>takmer</w:t>
      </w:r>
      <w:r>
        <w:rPr>
          <w:rFonts w:ascii="Arial" w:hAnsi="Arial" w:cs="Arial"/>
          <w:sz w:val="20"/>
          <w:szCs w:val="20"/>
        </w:rPr>
        <w:t xml:space="preserve"> </w:t>
      </w:r>
      <w:r w:rsidR="004D4FE1">
        <w:rPr>
          <w:rFonts w:ascii="Arial" w:hAnsi="Arial" w:cs="Arial"/>
          <w:sz w:val="20"/>
          <w:szCs w:val="20"/>
        </w:rPr>
        <w:t>169</w:t>
      </w:r>
      <w:r w:rsidRPr="004B33AE">
        <w:rPr>
          <w:rFonts w:ascii="Arial" w:hAnsi="Arial" w:cs="Arial"/>
          <w:sz w:val="20"/>
          <w:szCs w:val="20"/>
        </w:rPr>
        <w:t xml:space="preserve"> miliónov EUR, čo predstavuje </w:t>
      </w:r>
      <w:r w:rsidR="004D4FE1">
        <w:rPr>
          <w:rFonts w:ascii="Arial" w:hAnsi="Arial" w:cs="Arial"/>
          <w:sz w:val="20"/>
          <w:szCs w:val="20"/>
        </w:rPr>
        <w:t>34,76</w:t>
      </w:r>
      <w:r w:rsidRPr="004B33AE">
        <w:rPr>
          <w:rFonts w:ascii="Arial" w:hAnsi="Arial" w:cs="Arial"/>
          <w:sz w:val="20"/>
          <w:szCs w:val="20"/>
        </w:rPr>
        <w:t>% zo záväzku na prioritnú os na roky 2007-2013</w:t>
      </w:r>
      <w:r>
        <w:rPr>
          <w:rFonts w:ascii="Arial" w:hAnsi="Arial" w:cs="Arial"/>
          <w:sz w:val="20"/>
          <w:szCs w:val="20"/>
        </w:rPr>
        <w:t>.</w:t>
      </w:r>
    </w:p>
    <w:p w:rsidR="002416B1" w:rsidRPr="004B33AE" w:rsidRDefault="002416B1" w:rsidP="00205636">
      <w:pPr>
        <w:spacing w:line="360" w:lineRule="auto"/>
        <w:jc w:val="both"/>
        <w:rPr>
          <w:rFonts w:ascii="Arial" w:hAnsi="Arial" w:cs="Arial"/>
          <w:sz w:val="20"/>
          <w:szCs w:val="20"/>
          <w:highlight w:val="yellow"/>
        </w:rPr>
      </w:pPr>
      <w:r w:rsidRPr="00307BED">
        <w:rPr>
          <w:rFonts w:ascii="Arial" w:hAnsi="Arial" w:cs="Arial"/>
          <w:sz w:val="20"/>
          <w:szCs w:val="20"/>
        </w:rPr>
        <w:t xml:space="preserve">Tab. </w:t>
      </w:r>
      <w:r w:rsidRPr="00992100">
        <w:rPr>
          <w:rFonts w:ascii="Arial" w:hAnsi="Arial" w:cs="Arial"/>
          <w:sz w:val="20"/>
          <w:szCs w:val="20"/>
        </w:rPr>
        <w:t xml:space="preserve">č. </w:t>
      </w:r>
      <w:r w:rsidR="00254D6C">
        <w:rPr>
          <w:rFonts w:ascii="Arial" w:hAnsi="Arial" w:cs="Arial"/>
          <w:sz w:val="20"/>
          <w:szCs w:val="20"/>
        </w:rPr>
        <w:t>52</w:t>
      </w:r>
      <w:r w:rsidRPr="00992100">
        <w:rPr>
          <w:rFonts w:ascii="Arial" w:hAnsi="Arial" w:cs="Arial"/>
          <w:sz w:val="20"/>
          <w:szCs w:val="20"/>
        </w:rPr>
        <w:t>: Čerpanie</w:t>
      </w:r>
      <w:r w:rsidRPr="00C42FC5">
        <w:rPr>
          <w:rFonts w:ascii="Arial" w:hAnsi="Arial" w:cs="Arial"/>
          <w:sz w:val="20"/>
          <w:szCs w:val="20"/>
        </w:rPr>
        <w:t xml:space="preserve"> prostriedk</w:t>
      </w:r>
      <w:r>
        <w:rPr>
          <w:rFonts w:ascii="Arial" w:hAnsi="Arial" w:cs="Arial"/>
          <w:sz w:val="20"/>
          <w:szCs w:val="20"/>
        </w:rPr>
        <w:t>ov prioritnej osi 4 k 31.12.201</w:t>
      </w:r>
      <w:r w:rsidR="004D4FE1" w:rsidRPr="00E57A5C">
        <w:rPr>
          <w:rFonts w:ascii="Arial" w:hAnsi="Arial" w:cs="Arial"/>
          <w:sz w:val="20"/>
          <w:szCs w:val="20"/>
        </w:rPr>
        <w:t>2</w:t>
      </w:r>
    </w:p>
    <w:tbl>
      <w:tblPr>
        <w:tblW w:w="9141" w:type="dxa"/>
        <w:jc w:val="center"/>
        <w:tblLayout w:type="fixed"/>
        <w:tblCellMar>
          <w:left w:w="70" w:type="dxa"/>
          <w:right w:w="70" w:type="dxa"/>
        </w:tblCellMar>
        <w:tblLook w:val="0000" w:firstRow="0" w:lastRow="0" w:firstColumn="0" w:lastColumn="0" w:noHBand="0" w:noVBand="0"/>
      </w:tblPr>
      <w:tblGrid>
        <w:gridCol w:w="1440"/>
        <w:gridCol w:w="1724"/>
        <w:gridCol w:w="1440"/>
        <w:gridCol w:w="1557"/>
        <w:gridCol w:w="1392"/>
        <w:gridCol w:w="1588"/>
      </w:tblGrid>
      <w:tr w:rsidR="0053037C" w:rsidRPr="007F5BD7" w:rsidTr="006A551B">
        <w:trPr>
          <w:trHeight w:val="585"/>
          <w:jc w:val="center"/>
        </w:trPr>
        <w:tc>
          <w:tcPr>
            <w:tcW w:w="1440" w:type="dxa"/>
            <w:vMerge w:val="restart"/>
            <w:tcBorders>
              <w:top w:val="single" w:sz="8" w:space="0" w:color="auto"/>
              <w:left w:val="single" w:sz="8" w:space="0" w:color="auto"/>
              <w:bottom w:val="single" w:sz="4" w:space="0" w:color="auto"/>
              <w:right w:val="single" w:sz="4" w:space="0" w:color="auto"/>
            </w:tcBorders>
            <w:shd w:val="clear" w:color="auto" w:fill="auto"/>
            <w:noWrap/>
            <w:vAlign w:val="center"/>
          </w:tcPr>
          <w:p w:rsidR="0053037C" w:rsidRPr="007F5BD7" w:rsidRDefault="0053037C" w:rsidP="00205636">
            <w:pPr>
              <w:jc w:val="both"/>
              <w:rPr>
                <w:rFonts w:ascii="Arial" w:hAnsi="Arial" w:cs="Arial"/>
                <w:sz w:val="18"/>
                <w:szCs w:val="18"/>
              </w:rPr>
            </w:pPr>
            <w:r w:rsidRPr="007F5BD7">
              <w:rPr>
                <w:rFonts w:ascii="Arial" w:hAnsi="Arial" w:cs="Arial"/>
                <w:sz w:val="18"/>
                <w:szCs w:val="18"/>
              </w:rPr>
              <w:t> </w:t>
            </w:r>
          </w:p>
        </w:tc>
        <w:tc>
          <w:tcPr>
            <w:tcW w:w="1724" w:type="dxa"/>
            <w:vMerge w:val="restart"/>
            <w:tcBorders>
              <w:top w:val="single" w:sz="8" w:space="0" w:color="auto"/>
              <w:left w:val="single" w:sz="4" w:space="0" w:color="auto"/>
              <w:bottom w:val="single" w:sz="4" w:space="0" w:color="auto"/>
              <w:right w:val="single" w:sz="4" w:space="0" w:color="auto"/>
            </w:tcBorders>
            <w:shd w:val="clear" w:color="auto" w:fill="D6E3BC"/>
            <w:vAlign w:val="center"/>
          </w:tcPr>
          <w:p w:rsidR="0053037C" w:rsidRPr="007F5BD7" w:rsidRDefault="0053037C" w:rsidP="00205636">
            <w:pPr>
              <w:jc w:val="center"/>
              <w:rPr>
                <w:rFonts w:ascii="Arial" w:hAnsi="Arial" w:cs="Arial"/>
                <w:sz w:val="18"/>
                <w:szCs w:val="18"/>
              </w:rPr>
            </w:pPr>
            <w:r w:rsidRPr="007F5BD7">
              <w:rPr>
                <w:rFonts w:ascii="Arial" w:eastAsia="EUAlbertina-Regular-Identity-H" w:hAnsi="Arial" w:cs="Arial"/>
                <w:sz w:val="18"/>
                <w:szCs w:val="18"/>
              </w:rPr>
              <w:t xml:space="preserve">Záväzok </w:t>
            </w:r>
            <w:r w:rsidRPr="007F5BD7">
              <w:rPr>
                <w:rFonts w:ascii="Arial" w:eastAsia="EUAlbertina-Regular-Identity-H" w:hAnsi="Arial" w:cs="Arial"/>
                <w:sz w:val="18"/>
                <w:szCs w:val="18"/>
              </w:rPr>
              <w:br/>
              <w:t>2007-2013</w:t>
            </w:r>
            <w:r w:rsidRPr="007F5BD7">
              <w:rPr>
                <w:rFonts w:ascii="Arial" w:eastAsia="EUAlbertina-Regular-Identity-H" w:hAnsi="Arial" w:cs="Arial"/>
                <w:sz w:val="18"/>
                <w:szCs w:val="18"/>
              </w:rPr>
              <w:br/>
              <w:t xml:space="preserve"> za EÚ zdroje</w:t>
            </w:r>
            <w:r w:rsidRPr="007F5BD7">
              <w:rPr>
                <w:rFonts w:ascii="Arial" w:eastAsia="EUAlbertina-Regular-Identity-H" w:hAnsi="Arial" w:cs="Arial"/>
                <w:sz w:val="18"/>
                <w:szCs w:val="18"/>
              </w:rPr>
              <w:br/>
            </w:r>
            <w:r w:rsidRPr="007F5BD7">
              <w:rPr>
                <w:rFonts w:ascii="Arial" w:hAnsi="Arial" w:cs="Arial"/>
                <w:sz w:val="18"/>
                <w:szCs w:val="18"/>
              </w:rPr>
              <w:t>v €</w:t>
            </w:r>
          </w:p>
        </w:tc>
        <w:tc>
          <w:tcPr>
            <w:tcW w:w="2997" w:type="dxa"/>
            <w:gridSpan w:val="2"/>
            <w:tcBorders>
              <w:top w:val="single" w:sz="8" w:space="0" w:color="auto"/>
              <w:left w:val="nil"/>
              <w:bottom w:val="single" w:sz="4" w:space="0" w:color="auto"/>
              <w:right w:val="single" w:sz="4" w:space="0" w:color="000000"/>
            </w:tcBorders>
            <w:shd w:val="clear" w:color="auto" w:fill="D6E3BC"/>
            <w:vAlign w:val="center"/>
          </w:tcPr>
          <w:p w:rsidR="0053037C" w:rsidRPr="007F5BD7" w:rsidRDefault="0053037C" w:rsidP="00205636">
            <w:pPr>
              <w:jc w:val="center"/>
              <w:rPr>
                <w:rFonts w:ascii="Arial" w:hAnsi="Arial" w:cs="Arial"/>
                <w:sz w:val="18"/>
                <w:szCs w:val="18"/>
              </w:rPr>
            </w:pPr>
            <w:r w:rsidRPr="007F5BD7">
              <w:rPr>
                <w:rFonts w:ascii="Arial" w:hAnsi="Arial" w:cs="Arial"/>
                <w:sz w:val="18"/>
                <w:szCs w:val="18"/>
              </w:rPr>
              <w:t>Čerpanie prostriedkov v roku 2012</w:t>
            </w:r>
          </w:p>
          <w:p w:rsidR="0053037C" w:rsidRPr="007F5BD7" w:rsidRDefault="0053037C" w:rsidP="00205636">
            <w:pPr>
              <w:jc w:val="center"/>
              <w:rPr>
                <w:rFonts w:ascii="Arial" w:hAnsi="Arial" w:cs="Arial"/>
                <w:sz w:val="18"/>
                <w:szCs w:val="18"/>
              </w:rPr>
            </w:pPr>
            <w:r w:rsidRPr="007F5BD7">
              <w:rPr>
                <w:rFonts w:ascii="Arial" w:hAnsi="Arial" w:cs="Arial"/>
                <w:sz w:val="18"/>
                <w:szCs w:val="18"/>
              </w:rPr>
              <w:t>(EU zdroje) v €</w:t>
            </w:r>
          </w:p>
        </w:tc>
        <w:tc>
          <w:tcPr>
            <w:tcW w:w="2980" w:type="dxa"/>
            <w:gridSpan w:val="2"/>
            <w:tcBorders>
              <w:top w:val="single" w:sz="8" w:space="0" w:color="auto"/>
              <w:left w:val="nil"/>
              <w:bottom w:val="single" w:sz="4" w:space="0" w:color="auto"/>
              <w:right w:val="single" w:sz="8" w:space="0" w:color="000000"/>
            </w:tcBorders>
            <w:shd w:val="clear" w:color="auto" w:fill="D6E3BC"/>
            <w:vAlign w:val="center"/>
          </w:tcPr>
          <w:p w:rsidR="0053037C" w:rsidRPr="007F5BD7" w:rsidRDefault="0053037C" w:rsidP="00205636">
            <w:pPr>
              <w:jc w:val="center"/>
              <w:rPr>
                <w:rFonts w:ascii="Arial" w:hAnsi="Arial" w:cs="Arial"/>
                <w:sz w:val="18"/>
                <w:szCs w:val="18"/>
              </w:rPr>
            </w:pPr>
            <w:r w:rsidRPr="007F5BD7">
              <w:rPr>
                <w:rFonts w:ascii="Arial" w:hAnsi="Arial" w:cs="Arial"/>
                <w:sz w:val="18"/>
                <w:szCs w:val="18"/>
              </w:rPr>
              <w:t xml:space="preserve">Čerpanie prostriedkov kumulatívne </w:t>
            </w:r>
            <w:r w:rsidRPr="007F5BD7">
              <w:rPr>
                <w:rFonts w:ascii="Arial" w:hAnsi="Arial" w:cs="Arial"/>
                <w:sz w:val="18"/>
                <w:szCs w:val="18"/>
              </w:rPr>
              <w:br/>
              <w:t>(EU zdroje) v €</w:t>
            </w:r>
          </w:p>
        </w:tc>
      </w:tr>
      <w:tr w:rsidR="0053037C" w:rsidRPr="007F5BD7" w:rsidTr="006A551B">
        <w:trPr>
          <w:trHeight w:val="480"/>
          <w:jc w:val="center"/>
        </w:trPr>
        <w:tc>
          <w:tcPr>
            <w:tcW w:w="1440" w:type="dxa"/>
            <w:vMerge/>
            <w:tcBorders>
              <w:top w:val="single" w:sz="8" w:space="0" w:color="auto"/>
              <w:left w:val="single" w:sz="8" w:space="0" w:color="auto"/>
              <w:bottom w:val="single" w:sz="4" w:space="0" w:color="auto"/>
              <w:right w:val="single" w:sz="4" w:space="0" w:color="auto"/>
            </w:tcBorders>
            <w:shd w:val="clear" w:color="auto" w:fill="auto"/>
            <w:vAlign w:val="center"/>
          </w:tcPr>
          <w:p w:rsidR="0053037C" w:rsidRPr="007F5BD7" w:rsidRDefault="0053037C" w:rsidP="00205636">
            <w:pPr>
              <w:jc w:val="both"/>
              <w:rPr>
                <w:rFonts w:ascii="Arial" w:hAnsi="Arial" w:cs="Arial"/>
                <w:sz w:val="18"/>
                <w:szCs w:val="18"/>
              </w:rPr>
            </w:pPr>
          </w:p>
        </w:tc>
        <w:tc>
          <w:tcPr>
            <w:tcW w:w="1724" w:type="dxa"/>
            <w:vMerge/>
            <w:tcBorders>
              <w:top w:val="single" w:sz="8" w:space="0" w:color="auto"/>
              <w:left w:val="single" w:sz="4" w:space="0" w:color="auto"/>
              <w:bottom w:val="single" w:sz="4" w:space="0" w:color="auto"/>
              <w:right w:val="single" w:sz="4" w:space="0" w:color="auto"/>
            </w:tcBorders>
            <w:shd w:val="clear" w:color="auto" w:fill="D6E3BC"/>
            <w:vAlign w:val="center"/>
          </w:tcPr>
          <w:p w:rsidR="0053037C" w:rsidRPr="007F5BD7" w:rsidRDefault="0053037C" w:rsidP="00205636">
            <w:pPr>
              <w:jc w:val="center"/>
              <w:rPr>
                <w:rFonts w:ascii="Arial" w:hAnsi="Arial" w:cs="Arial"/>
                <w:sz w:val="18"/>
                <w:szCs w:val="18"/>
              </w:rPr>
            </w:pPr>
          </w:p>
        </w:tc>
        <w:tc>
          <w:tcPr>
            <w:tcW w:w="1440" w:type="dxa"/>
            <w:tcBorders>
              <w:top w:val="nil"/>
              <w:left w:val="nil"/>
              <w:bottom w:val="single" w:sz="4" w:space="0" w:color="auto"/>
              <w:right w:val="single" w:sz="4" w:space="0" w:color="auto"/>
            </w:tcBorders>
            <w:shd w:val="clear" w:color="auto" w:fill="D6E3BC"/>
            <w:noWrap/>
            <w:vAlign w:val="center"/>
          </w:tcPr>
          <w:p w:rsidR="0053037C" w:rsidRPr="007F5BD7" w:rsidRDefault="0053037C" w:rsidP="00205636">
            <w:pPr>
              <w:jc w:val="center"/>
              <w:rPr>
                <w:rFonts w:ascii="Arial" w:hAnsi="Arial" w:cs="Arial"/>
                <w:sz w:val="18"/>
                <w:szCs w:val="18"/>
              </w:rPr>
            </w:pPr>
            <w:r w:rsidRPr="007F5BD7">
              <w:rPr>
                <w:rFonts w:ascii="Arial" w:hAnsi="Arial" w:cs="Arial"/>
                <w:sz w:val="18"/>
                <w:szCs w:val="18"/>
              </w:rPr>
              <w:t>Celkom</w:t>
            </w:r>
          </w:p>
        </w:tc>
        <w:tc>
          <w:tcPr>
            <w:tcW w:w="1557" w:type="dxa"/>
            <w:tcBorders>
              <w:top w:val="nil"/>
              <w:left w:val="nil"/>
              <w:bottom w:val="single" w:sz="4" w:space="0" w:color="auto"/>
              <w:right w:val="single" w:sz="4" w:space="0" w:color="auto"/>
            </w:tcBorders>
            <w:shd w:val="clear" w:color="auto" w:fill="D6E3BC"/>
            <w:vAlign w:val="center"/>
          </w:tcPr>
          <w:p w:rsidR="0053037C" w:rsidRPr="007F5BD7" w:rsidRDefault="0053037C" w:rsidP="00205636">
            <w:pPr>
              <w:jc w:val="center"/>
              <w:rPr>
                <w:rFonts w:ascii="Arial" w:hAnsi="Arial" w:cs="Arial"/>
                <w:sz w:val="18"/>
                <w:szCs w:val="18"/>
              </w:rPr>
            </w:pPr>
            <w:r w:rsidRPr="007F5BD7">
              <w:rPr>
                <w:rFonts w:ascii="Arial" w:hAnsi="Arial" w:cs="Arial"/>
                <w:sz w:val="18"/>
                <w:szCs w:val="18"/>
              </w:rPr>
              <w:t>% zo záväzku</w:t>
            </w:r>
          </w:p>
          <w:p w:rsidR="0053037C" w:rsidRPr="007F5BD7" w:rsidRDefault="0053037C" w:rsidP="00205636">
            <w:pPr>
              <w:jc w:val="center"/>
              <w:rPr>
                <w:rFonts w:ascii="Arial" w:hAnsi="Arial" w:cs="Arial"/>
                <w:sz w:val="18"/>
                <w:szCs w:val="18"/>
              </w:rPr>
            </w:pPr>
            <w:r w:rsidRPr="007F5BD7">
              <w:rPr>
                <w:rFonts w:ascii="Arial" w:hAnsi="Arial" w:cs="Arial"/>
                <w:sz w:val="18"/>
                <w:szCs w:val="18"/>
              </w:rPr>
              <w:t>2007 - 2013</w:t>
            </w:r>
          </w:p>
        </w:tc>
        <w:tc>
          <w:tcPr>
            <w:tcW w:w="1392" w:type="dxa"/>
            <w:tcBorders>
              <w:top w:val="nil"/>
              <w:left w:val="nil"/>
              <w:bottom w:val="single" w:sz="4" w:space="0" w:color="auto"/>
              <w:right w:val="single" w:sz="4" w:space="0" w:color="auto"/>
            </w:tcBorders>
            <w:shd w:val="clear" w:color="auto" w:fill="D6E3BC"/>
            <w:noWrap/>
            <w:vAlign w:val="center"/>
          </w:tcPr>
          <w:p w:rsidR="0053037C" w:rsidRPr="007F5BD7" w:rsidRDefault="0053037C" w:rsidP="00205636">
            <w:pPr>
              <w:jc w:val="center"/>
              <w:rPr>
                <w:rFonts w:ascii="Arial" w:hAnsi="Arial" w:cs="Arial"/>
                <w:sz w:val="18"/>
                <w:szCs w:val="18"/>
              </w:rPr>
            </w:pPr>
            <w:r w:rsidRPr="007F5BD7">
              <w:rPr>
                <w:rFonts w:ascii="Arial" w:hAnsi="Arial" w:cs="Arial"/>
                <w:sz w:val="18"/>
                <w:szCs w:val="18"/>
              </w:rPr>
              <w:t>Celkom</w:t>
            </w:r>
          </w:p>
        </w:tc>
        <w:tc>
          <w:tcPr>
            <w:tcW w:w="1588" w:type="dxa"/>
            <w:tcBorders>
              <w:top w:val="nil"/>
              <w:left w:val="nil"/>
              <w:bottom w:val="single" w:sz="4" w:space="0" w:color="auto"/>
              <w:right w:val="single" w:sz="8" w:space="0" w:color="auto"/>
            </w:tcBorders>
            <w:shd w:val="clear" w:color="auto" w:fill="D6E3BC"/>
            <w:vAlign w:val="center"/>
          </w:tcPr>
          <w:p w:rsidR="0053037C" w:rsidRPr="007F5BD7" w:rsidRDefault="0053037C" w:rsidP="00205636">
            <w:pPr>
              <w:jc w:val="center"/>
              <w:rPr>
                <w:rFonts w:ascii="Arial" w:hAnsi="Arial" w:cs="Arial"/>
                <w:sz w:val="18"/>
                <w:szCs w:val="18"/>
              </w:rPr>
            </w:pPr>
            <w:r w:rsidRPr="007F5BD7">
              <w:rPr>
                <w:rFonts w:ascii="Arial" w:hAnsi="Arial" w:cs="Arial"/>
                <w:sz w:val="18"/>
                <w:szCs w:val="18"/>
              </w:rPr>
              <w:t>% zo záväzku</w:t>
            </w:r>
          </w:p>
          <w:p w:rsidR="0053037C" w:rsidRPr="007F5BD7" w:rsidRDefault="0053037C" w:rsidP="00205636">
            <w:pPr>
              <w:jc w:val="center"/>
              <w:rPr>
                <w:rFonts w:ascii="Arial" w:hAnsi="Arial" w:cs="Arial"/>
                <w:sz w:val="18"/>
                <w:szCs w:val="18"/>
              </w:rPr>
            </w:pPr>
            <w:r w:rsidRPr="007F5BD7">
              <w:rPr>
                <w:rFonts w:ascii="Arial" w:hAnsi="Arial" w:cs="Arial"/>
                <w:sz w:val="18"/>
                <w:szCs w:val="18"/>
              </w:rPr>
              <w:t>2007 - 2013</w:t>
            </w:r>
          </w:p>
        </w:tc>
      </w:tr>
      <w:tr w:rsidR="0053037C" w:rsidRPr="007F5BD7" w:rsidTr="006A551B">
        <w:trPr>
          <w:trHeight w:val="255"/>
          <w:jc w:val="center"/>
        </w:trPr>
        <w:tc>
          <w:tcPr>
            <w:tcW w:w="1440" w:type="dxa"/>
            <w:tcBorders>
              <w:top w:val="single" w:sz="4" w:space="0" w:color="auto"/>
              <w:left w:val="single" w:sz="8" w:space="0" w:color="auto"/>
              <w:bottom w:val="single" w:sz="4" w:space="0" w:color="auto"/>
              <w:right w:val="single" w:sz="4" w:space="0" w:color="auto"/>
            </w:tcBorders>
            <w:shd w:val="clear" w:color="auto" w:fill="auto"/>
            <w:noWrap/>
            <w:vAlign w:val="center"/>
          </w:tcPr>
          <w:p w:rsidR="0053037C" w:rsidRPr="001B08DA" w:rsidRDefault="0053037C" w:rsidP="00205636">
            <w:pPr>
              <w:jc w:val="center"/>
              <w:rPr>
                <w:rFonts w:ascii="Arial" w:hAnsi="Arial" w:cs="Arial"/>
                <w:sz w:val="18"/>
                <w:szCs w:val="18"/>
              </w:rPr>
            </w:pPr>
            <w:r w:rsidRPr="001B08DA">
              <w:rPr>
                <w:rFonts w:ascii="Arial" w:hAnsi="Arial" w:cs="Arial"/>
                <w:sz w:val="18"/>
                <w:szCs w:val="18"/>
              </w:rPr>
              <w:t>Prioritná os 4</w:t>
            </w:r>
          </w:p>
        </w:tc>
        <w:tc>
          <w:tcPr>
            <w:tcW w:w="1724" w:type="dxa"/>
            <w:tcBorders>
              <w:top w:val="nil"/>
              <w:left w:val="nil"/>
              <w:bottom w:val="single" w:sz="4" w:space="0" w:color="auto"/>
              <w:right w:val="single" w:sz="4" w:space="0" w:color="auto"/>
            </w:tcBorders>
            <w:shd w:val="clear" w:color="auto" w:fill="auto"/>
            <w:noWrap/>
            <w:vAlign w:val="center"/>
          </w:tcPr>
          <w:p w:rsidR="0053037C" w:rsidRPr="001B08DA" w:rsidRDefault="0053037C" w:rsidP="00205636">
            <w:pPr>
              <w:jc w:val="center"/>
              <w:rPr>
                <w:rFonts w:ascii="Arial" w:hAnsi="Arial" w:cs="Arial"/>
                <w:sz w:val="18"/>
                <w:szCs w:val="18"/>
              </w:rPr>
            </w:pPr>
            <w:r w:rsidRPr="001B08DA">
              <w:rPr>
                <w:rFonts w:ascii="Arial" w:hAnsi="Arial" w:cs="Arial"/>
                <w:sz w:val="18"/>
                <w:szCs w:val="18"/>
              </w:rPr>
              <w:t>485 000 000,00</w:t>
            </w:r>
          </w:p>
        </w:tc>
        <w:tc>
          <w:tcPr>
            <w:tcW w:w="1440" w:type="dxa"/>
            <w:tcBorders>
              <w:top w:val="nil"/>
              <w:left w:val="nil"/>
              <w:bottom w:val="single" w:sz="4" w:space="0" w:color="auto"/>
              <w:right w:val="single" w:sz="4" w:space="0" w:color="auto"/>
            </w:tcBorders>
            <w:shd w:val="clear" w:color="auto" w:fill="auto"/>
            <w:noWrap/>
            <w:vAlign w:val="center"/>
          </w:tcPr>
          <w:p w:rsidR="0053037C" w:rsidRPr="001B08DA" w:rsidRDefault="0053037C" w:rsidP="00205636">
            <w:pPr>
              <w:jc w:val="center"/>
              <w:rPr>
                <w:rFonts w:ascii="Arial" w:hAnsi="Arial" w:cs="Arial"/>
                <w:color w:val="000000"/>
                <w:sz w:val="18"/>
                <w:szCs w:val="18"/>
              </w:rPr>
            </w:pPr>
            <w:r w:rsidRPr="001B08DA">
              <w:rPr>
                <w:rFonts w:ascii="Arial" w:hAnsi="Arial" w:cs="Arial"/>
                <w:color w:val="000000"/>
                <w:sz w:val="18"/>
                <w:szCs w:val="18"/>
              </w:rPr>
              <w:t>66 771 800,69</w:t>
            </w:r>
          </w:p>
        </w:tc>
        <w:tc>
          <w:tcPr>
            <w:tcW w:w="1557" w:type="dxa"/>
            <w:tcBorders>
              <w:top w:val="nil"/>
              <w:left w:val="nil"/>
              <w:bottom w:val="single" w:sz="4" w:space="0" w:color="auto"/>
              <w:right w:val="single" w:sz="4" w:space="0" w:color="auto"/>
            </w:tcBorders>
            <w:shd w:val="clear" w:color="auto" w:fill="auto"/>
            <w:noWrap/>
            <w:vAlign w:val="center"/>
          </w:tcPr>
          <w:p w:rsidR="0053037C" w:rsidRPr="001B08DA" w:rsidRDefault="0053037C" w:rsidP="00205636">
            <w:pPr>
              <w:jc w:val="center"/>
              <w:rPr>
                <w:rFonts w:ascii="Arial" w:hAnsi="Arial" w:cs="Arial"/>
                <w:color w:val="000000"/>
                <w:sz w:val="18"/>
                <w:szCs w:val="18"/>
              </w:rPr>
            </w:pPr>
            <w:r w:rsidRPr="001B08DA">
              <w:rPr>
                <w:rFonts w:ascii="Arial" w:hAnsi="Arial" w:cs="Arial"/>
                <w:color w:val="000000"/>
                <w:sz w:val="18"/>
                <w:szCs w:val="18"/>
              </w:rPr>
              <w:t>13,77%</w:t>
            </w:r>
          </w:p>
        </w:tc>
        <w:tc>
          <w:tcPr>
            <w:tcW w:w="1392" w:type="dxa"/>
            <w:tcBorders>
              <w:top w:val="nil"/>
              <w:left w:val="nil"/>
              <w:bottom w:val="single" w:sz="4" w:space="0" w:color="auto"/>
              <w:right w:val="single" w:sz="4" w:space="0" w:color="auto"/>
            </w:tcBorders>
            <w:shd w:val="clear" w:color="auto" w:fill="auto"/>
            <w:noWrap/>
            <w:vAlign w:val="center"/>
          </w:tcPr>
          <w:p w:rsidR="0053037C" w:rsidRPr="001B08DA" w:rsidRDefault="0053037C" w:rsidP="00205636">
            <w:pPr>
              <w:jc w:val="center"/>
              <w:rPr>
                <w:rFonts w:ascii="Arial" w:hAnsi="Arial" w:cs="Arial"/>
                <w:color w:val="000000"/>
                <w:sz w:val="18"/>
                <w:szCs w:val="18"/>
              </w:rPr>
            </w:pPr>
            <w:r w:rsidRPr="001B08DA">
              <w:rPr>
                <w:rFonts w:ascii="Arial" w:hAnsi="Arial" w:cs="Arial"/>
                <w:color w:val="000000"/>
                <w:sz w:val="18"/>
                <w:szCs w:val="18"/>
              </w:rPr>
              <w:t>168 569 362,50</w:t>
            </w:r>
          </w:p>
        </w:tc>
        <w:tc>
          <w:tcPr>
            <w:tcW w:w="1588" w:type="dxa"/>
            <w:tcBorders>
              <w:top w:val="nil"/>
              <w:left w:val="nil"/>
              <w:bottom w:val="single" w:sz="4" w:space="0" w:color="auto"/>
              <w:right w:val="single" w:sz="8" w:space="0" w:color="auto"/>
            </w:tcBorders>
            <w:shd w:val="clear" w:color="auto" w:fill="auto"/>
            <w:noWrap/>
            <w:vAlign w:val="center"/>
          </w:tcPr>
          <w:p w:rsidR="0053037C" w:rsidRPr="001B08DA" w:rsidRDefault="0053037C" w:rsidP="00205636">
            <w:pPr>
              <w:jc w:val="center"/>
              <w:rPr>
                <w:rFonts w:ascii="Arial" w:hAnsi="Arial" w:cs="Arial"/>
                <w:color w:val="000000"/>
                <w:sz w:val="18"/>
                <w:szCs w:val="18"/>
              </w:rPr>
            </w:pPr>
            <w:r w:rsidRPr="001B08DA">
              <w:rPr>
                <w:rFonts w:ascii="Arial" w:hAnsi="Arial" w:cs="Arial"/>
                <w:color w:val="000000"/>
                <w:sz w:val="18"/>
                <w:szCs w:val="18"/>
              </w:rPr>
              <w:t>34,76%</w:t>
            </w:r>
          </w:p>
        </w:tc>
      </w:tr>
    </w:tbl>
    <w:p w:rsidR="002416B1" w:rsidRDefault="002416B1" w:rsidP="00205636">
      <w:pPr>
        <w:pStyle w:val="Zkladntextb"/>
        <w:spacing w:after="0"/>
        <w:ind w:left="0"/>
        <w:rPr>
          <w:sz w:val="18"/>
          <w:szCs w:val="18"/>
          <w:lang w:val="sk-SK"/>
        </w:rPr>
      </w:pPr>
      <w:r w:rsidRPr="006A2BF3">
        <w:rPr>
          <w:sz w:val="18"/>
          <w:szCs w:val="18"/>
          <w:lang w:val="sk-SK"/>
        </w:rPr>
        <w:t>Zdroj: CO</w:t>
      </w:r>
    </w:p>
    <w:p w:rsidR="004D4FE1" w:rsidRPr="006A2BF3" w:rsidRDefault="004D4FE1" w:rsidP="00205636">
      <w:pPr>
        <w:jc w:val="both"/>
        <w:rPr>
          <w:sz w:val="18"/>
          <w:szCs w:val="18"/>
        </w:rPr>
      </w:pPr>
      <w:r w:rsidRPr="00152E99">
        <w:rPr>
          <w:rFonts w:ascii="Arial" w:hAnsi="Arial" w:cs="Arial"/>
          <w:i/>
          <w:sz w:val="18"/>
          <w:szCs w:val="18"/>
        </w:rPr>
        <w:t xml:space="preserve">Pozn.: </w:t>
      </w:r>
      <w:r w:rsidRPr="00152E99">
        <w:rPr>
          <w:rFonts w:ascii="Arial" w:hAnsi="Arial" w:cs="Arial"/>
          <w:bCs/>
          <w:i/>
          <w:sz w:val="18"/>
          <w:szCs w:val="18"/>
        </w:rPr>
        <w:t>prehľad výdavkov schválených CO znížených o nezrovnalosti</w:t>
      </w:r>
    </w:p>
    <w:p w:rsidR="002416B1" w:rsidRPr="0039268C" w:rsidRDefault="002416B1" w:rsidP="00507035">
      <w:pPr>
        <w:pStyle w:val="Zkladntextb"/>
        <w:spacing w:before="120" w:after="120" w:line="360" w:lineRule="auto"/>
        <w:ind w:left="0"/>
        <w:jc w:val="both"/>
        <w:rPr>
          <w:highlight w:val="yellow"/>
          <w:lang w:val="sk-SK"/>
        </w:rPr>
      </w:pPr>
      <w:r w:rsidRPr="006A2BF3">
        <w:rPr>
          <w:lang w:val="sk-SK"/>
        </w:rPr>
        <w:t>V roku 201</w:t>
      </w:r>
      <w:r w:rsidR="004D4FE1">
        <w:rPr>
          <w:lang w:val="sk-SK"/>
        </w:rPr>
        <w:t>2</w:t>
      </w:r>
      <w:r w:rsidRPr="004B33AE">
        <w:rPr>
          <w:lang w:val="sk-SK"/>
        </w:rPr>
        <w:t xml:space="preserve"> dosiahlo čerpanie úroveň </w:t>
      </w:r>
      <w:r>
        <w:rPr>
          <w:lang w:val="sk-SK"/>
        </w:rPr>
        <w:t xml:space="preserve">takmer </w:t>
      </w:r>
      <w:r w:rsidR="004D4FE1">
        <w:rPr>
          <w:lang w:val="sk-SK"/>
        </w:rPr>
        <w:t>67</w:t>
      </w:r>
      <w:r w:rsidR="004D4FE1" w:rsidRPr="004B33AE">
        <w:rPr>
          <w:lang w:val="sk-SK"/>
        </w:rPr>
        <w:t xml:space="preserve"> </w:t>
      </w:r>
      <w:r w:rsidRPr="004B33AE">
        <w:rPr>
          <w:lang w:val="sk-SK"/>
        </w:rPr>
        <w:t xml:space="preserve">mil. EUR, </w:t>
      </w:r>
      <w:r w:rsidRPr="009A7459">
        <w:rPr>
          <w:lang w:val="sk-SK"/>
        </w:rPr>
        <w:t>Najvyššie čerpanie bolo zaznamenané v Banskobystrickom a Trenčianskom kraji (viď Príloha č. 6 správy).</w:t>
      </w:r>
    </w:p>
    <w:p w:rsidR="009A7459" w:rsidRPr="00524598" w:rsidRDefault="009A7459" w:rsidP="00507035">
      <w:pPr>
        <w:pStyle w:val="Zkladntextb"/>
        <w:spacing w:before="120" w:after="120" w:line="360" w:lineRule="auto"/>
        <w:ind w:left="0"/>
        <w:jc w:val="both"/>
        <w:rPr>
          <w:lang w:val="sk-SK"/>
        </w:rPr>
      </w:pPr>
      <w:r w:rsidRPr="00524598">
        <w:rPr>
          <w:lang w:val="sk-SK"/>
        </w:rPr>
        <w:t>K 31.12.201</w:t>
      </w:r>
      <w:r w:rsidRPr="00B71586">
        <w:rPr>
          <w:lang w:val="sk-SK"/>
        </w:rPr>
        <w:t>2</w:t>
      </w:r>
      <w:r w:rsidRPr="00524598">
        <w:rPr>
          <w:lang w:val="sk-SK"/>
        </w:rPr>
        <w:t xml:space="preserve"> bolo v rámci prioritnej témy 44 Hospodárenie s domácim a priemyselným odpadom vyčerpaných viac než </w:t>
      </w:r>
      <w:r w:rsidRPr="00B71586">
        <w:rPr>
          <w:lang w:val="sk-SK"/>
        </w:rPr>
        <w:t>180</w:t>
      </w:r>
      <w:r w:rsidRPr="00524598">
        <w:rPr>
          <w:lang w:val="sk-SK"/>
        </w:rPr>
        <w:t xml:space="preserve"> mil. EUR z KF, čo predstavuje </w:t>
      </w:r>
      <w:r w:rsidRPr="00B71586">
        <w:rPr>
          <w:lang w:val="sk-SK"/>
        </w:rPr>
        <w:t xml:space="preserve">48,86 </w:t>
      </w:r>
      <w:r w:rsidRPr="00524598">
        <w:rPr>
          <w:lang w:val="sk-SK"/>
        </w:rPr>
        <w:t xml:space="preserve">% z alokácie na uvedenú prioritnú tému, v rámci témy 50 Ozdravovanie priemyselných lokalít a kontaminovanej pôdy došlo k čerpaniu vo výške takmer </w:t>
      </w:r>
      <w:r w:rsidRPr="00B71586">
        <w:rPr>
          <w:lang w:val="sk-SK"/>
        </w:rPr>
        <w:t xml:space="preserve">721 </w:t>
      </w:r>
      <w:r w:rsidRPr="00524598">
        <w:rPr>
          <w:lang w:val="sk-SK"/>
        </w:rPr>
        <w:t>tisíc EUR.</w:t>
      </w:r>
    </w:p>
    <w:p w:rsidR="009A7459" w:rsidRPr="00C14D3B" w:rsidRDefault="009A7459" w:rsidP="00507035">
      <w:pPr>
        <w:pStyle w:val="Zkladntextb"/>
        <w:spacing w:before="120" w:after="120" w:line="360" w:lineRule="auto"/>
        <w:ind w:left="0"/>
        <w:jc w:val="both"/>
        <w:rPr>
          <w:lang w:val="sk-SK"/>
        </w:rPr>
      </w:pPr>
      <w:r w:rsidRPr="00C14D3B">
        <w:rPr>
          <w:lang w:val="sk-SK"/>
        </w:rPr>
        <w:t>Samotné čerpanie v rámci PO 4 ovplyvňuje čerpanie alokácie na prioritnú tému 50 v dôsledku zdĺhavého legislatívneho procesu v oblasti environmentálnych záťaží. Avšak úroveň zazmluvnenia alokácie pre prioritnú os predstavuje 6</w:t>
      </w:r>
      <w:r w:rsidRPr="00B71586">
        <w:rPr>
          <w:lang w:val="sk-SK"/>
        </w:rPr>
        <w:t>4</w:t>
      </w:r>
      <w:r w:rsidRPr="00C14D3B">
        <w:rPr>
          <w:lang w:val="sk-SK"/>
        </w:rPr>
        <w:t>,</w:t>
      </w:r>
      <w:r w:rsidRPr="00B71586">
        <w:rPr>
          <w:lang w:val="sk-SK"/>
        </w:rPr>
        <w:t>47</w:t>
      </w:r>
      <w:r w:rsidRPr="00C14D3B">
        <w:rPr>
          <w:lang w:val="sk-SK"/>
        </w:rPr>
        <w:t xml:space="preserve">% a vyplatené prostriedky prijímateľom tvoria </w:t>
      </w:r>
      <w:r w:rsidRPr="00B71586">
        <w:rPr>
          <w:lang w:val="sk-SK"/>
        </w:rPr>
        <w:t>37,28</w:t>
      </w:r>
      <w:r w:rsidRPr="00C14D3B">
        <w:rPr>
          <w:lang w:val="sk-SK"/>
        </w:rPr>
        <w:t>% voči celkovej alokácii na danú prioritnú os.</w:t>
      </w:r>
    </w:p>
    <w:p w:rsidR="009A7459" w:rsidRPr="004B33AE" w:rsidRDefault="009A7459" w:rsidP="00507035">
      <w:pPr>
        <w:pStyle w:val="Zkladntextb"/>
        <w:spacing w:before="120" w:after="120" w:line="360" w:lineRule="auto"/>
        <w:ind w:left="0"/>
        <w:jc w:val="both"/>
        <w:rPr>
          <w:lang w:val="sk-SK"/>
        </w:rPr>
      </w:pPr>
      <w:r w:rsidRPr="00C14D3B">
        <w:rPr>
          <w:lang w:val="sk-SK"/>
        </w:rPr>
        <w:t>Ďalšie faktory tak externé ako aj faktory v samotnej implementácii, ktoré ovplyvňujú stav čerpania sú podrobnejšie popísané v kapitole 2.1.2 Finančná implementácia operačného programu, aj s uvedením Porovnania skutočného a plánovaného čerpania od 01.01.201</w:t>
      </w:r>
      <w:r w:rsidRPr="00B71586">
        <w:rPr>
          <w:lang w:val="sk-SK"/>
        </w:rPr>
        <w:t>2</w:t>
      </w:r>
      <w:r w:rsidRPr="00C14D3B">
        <w:rPr>
          <w:lang w:val="sk-SK"/>
        </w:rPr>
        <w:t xml:space="preserve"> do 31.12.201</w:t>
      </w:r>
      <w:r w:rsidRPr="00B71586">
        <w:rPr>
          <w:lang w:val="sk-SK"/>
        </w:rPr>
        <w:t>2</w:t>
      </w:r>
      <w:r w:rsidRPr="00C14D3B">
        <w:rPr>
          <w:lang w:val="sk-SK"/>
        </w:rPr>
        <w:t xml:space="preserve"> spolu za program.</w:t>
      </w:r>
    </w:p>
    <w:p w:rsidR="002416B1" w:rsidRPr="004B33AE" w:rsidRDefault="002416B1" w:rsidP="00507035">
      <w:pPr>
        <w:pStyle w:val="Nadpis3"/>
        <w:spacing w:before="120" w:after="120" w:line="360" w:lineRule="auto"/>
      </w:pPr>
      <w:bookmarkStart w:id="92" w:name="_Toc319573331"/>
      <w:r w:rsidRPr="004B33AE">
        <w:t>3.4.2 Závažné problémy, ktoré sa vyskytli a opatrenia prijaté na ich prekonanie</w:t>
      </w:r>
      <w:bookmarkEnd w:id="92"/>
    </w:p>
    <w:p w:rsidR="002416B1" w:rsidRDefault="002416B1" w:rsidP="00507035">
      <w:pPr>
        <w:spacing w:before="120" w:after="120" w:line="360" w:lineRule="auto"/>
        <w:jc w:val="both"/>
        <w:rPr>
          <w:rFonts w:ascii="Arial" w:hAnsi="Arial" w:cs="Arial"/>
          <w:sz w:val="20"/>
          <w:szCs w:val="20"/>
        </w:rPr>
      </w:pPr>
      <w:r w:rsidRPr="004B33AE">
        <w:rPr>
          <w:rFonts w:ascii="Arial" w:hAnsi="Arial" w:cs="Arial"/>
          <w:sz w:val="20"/>
          <w:szCs w:val="20"/>
        </w:rPr>
        <w:t>V súvislosti s implementáciou Prioritnej osi 4 neboli zaznamenané žiadne závažné problémy, avšak zdĺhavý legislatívny proces v oblasti environmentálnych záťaží ovplyvňoval samotné zazmluvňovanie resp. čerpanie v rámci prioritnej osi</w:t>
      </w:r>
      <w:r>
        <w:rPr>
          <w:rFonts w:ascii="Arial" w:hAnsi="Arial" w:cs="Arial"/>
          <w:sz w:val="20"/>
          <w:szCs w:val="20"/>
        </w:rPr>
        <w:t>.</w:t>
      </w:r>
    </w:p>
    <w:p w:rsidR="002416B1" w:rsidRPr="006A2BF3" w:rsidRDefault="002416B1" w:rsidP="00507035">
      <w:pPr>
        <w:spacing w:before="120" w:after="120" w:line="360" w:lineRule="auto"/>
        <w:jc w:val="both"/>
        <w:rPr>
          <w:rFonts w:ascii="Arial" w:hAnsi="Arial" w:cs="Arial"/>
          <w:iCs/>
          <w:sz w:val="20"/>
          <w:szCs w:val="20"/>
        </w:rPr>
      </w:pPr>
      <w:r w:rsidRPr="006A2BF3">
        <w:rPr>
          <w:rFonts w:ascii="Arial" w:hAnsi="Arial" w:cs="Arial"/>
          <w:iCs/>
          <w:sz w:val="20"/>
          <w:szCs w:val="20"/>
        </w:rPr>
        <w:t>Základným predpokladom pre vyhlásenie výzvy na predkladanie žiadostí o NFP v rámci prioritnej osi 4 Odpadové hospodárstvo, operačný cieľ 4.4 Riešenie problematiky environmentálnych záťaží vrátane ich odstraňovania bolo prijatie základnej právnej úpravy v oblasti environmentálnych záťaží, čo bolo zabezpečené zákonom č. 409/2011 Z.</w:t>
      </w:r>
      <w:r w:rsidR="00A852DC">
        <w:rPr>
          <w:rFonts w:ascii="Arial" w:hAnsi="Arial" w:cs="Arial"/>
          <w:iCs/>
          <w:sz w:val="20"/>
          <w:szCs w:val="20"/>
        </w:rPr>
        <w:t xml:space="preserve"> </w:t>
      </w:r>
      <w:r w:rsidRPr="006A2BF3">
        <w:rPr>
          <w:rFonts w:ascii="Arial" w:hAnsi="Arial" w:cs="Arial"/>
          <w:iCs/>
          <w:sz w:val="20"/>
          <w:szCs w:val="20"/>
        </w:rPr>
        <w:t xml:space="preserve">z. o niektorých opatreniach na úseku environmentálnej záťaže a o zmene a doplnení niektorých zákonov, ktorý bol zverejnený v zbierke zákonov dňa 21.10.2011 a účinnosť nadobudol dňa </w:t>
      </w:r>
      <w:r>
        <w:rPr>
          <w:rFonts w:ascii="Arial" w:hAnsi="Arial" w:cs="Arial"/>
          <w:iCs/>
          <w:sz w:val="20"/>
          <w:szCs w:val="20"/>
        </w:rPr>
        <w:t>0</w:t>
      </w:r>
      <w:r w:rsidRPr="006A2BF3">
        <w:rPr>
          <w:rFonts w:ascii="Arial" w:hAnsi="Arial" w:cs="Arial"/>
          <w:iCs/>
          <w:sz w:val="20"/>
          <w:szCs w:val="20"/>
        </w:rPr>
        <w:t>1.</w:t>
      </w:r>
      <w:r>
        <w:rPr>
          <w:rFonts w:ascii="Arial" w:hAnsi="Arial" w:cs="Arial"/>
          <w:iCs/>
          <w:sz w:val="20"/>
          <w:szCs w:val="20"/>
        </w:rPr>
        <w:t>0</w:t>
      </w:r>
      <w:r w:rsidRPr="006A2BF3">
        <w:rPr>
          <w:rFonts w:ascii="Arial" w:hAnsi="Arial" w:cs="Arial"/>
          <w:iCs/>
          <w:sz w:val="20"/>
          <w:szCs w:val="20"/>
        </w:rPr>
        <w:t>1.2012. Predmetným zákonom boli ustanovené a) práva a povinnosti osôb pri identifikácii environmentálnej záťaže; b) spôsob určenia povinnej osoby na úseku environmentálnej záťaže; c) práva a povinnosti pôvodcu environmentálnej záťaže, povinnej osoby a ministerstva, ktorého pôsobnosť</w:t>
      </w:r>
      <w:r>
        <w:rPr>
          <w:rFonts w:ascii="Arial" w:hAnsi="Arial" w:cs="Arial"/>
          <w:iCs/>
          <w:sz w:val="20"/>
          <w:szCs w:val="20"/>
        </w:rPr>
        <w:t xml:space="preserve"> </w:t>
      </w:r>
      <w:r w:rsidRPr="006A2BF3">
        <w:rPr>
          <w:rFonts w:ascii="Arial" w:hAnsi="Arial" w:cs="Arial"/>
          <w:iCs/>
          <w:sz w:val="20"/>
          <w:szCs w:val="20"/>
        </w:rPr>
        <w:t>súvisí s činnosťou, ktorá viedla k vzniku environmentálnej záťaže; d) pôsobnosť orgánov štátnej správy na úseku environmentálnej záťaže, ako aj e) sankcie za porušenie povinností podľa tohto zákona.</w:t>
      </w:r>
    </w:p>
    <w:p w:rsidR="00677AF1" w:rsidRPr="0039268C" w:rsidRDefault="002416B1" w:rsidP="00507035">
      <w:pPr>
        <w:spacing w:before="120" w:after="120" w:line="360" w:lineRule="auto"/>
        <w:jc w:val="both"/>
        <w:rPr>
          <w:rFonts w:ascii="Arial" w:hAnsi="Arial" w:cs="Arial"/>
          <w:iCs/>
          <w:sz w:val="20"/>
          <w:szCs w:val="20"/>
        </w:rPr>
      </w:pPr>
      <w:r w:rsidRPr="006A2BF3">
        <w:rPr>
          <w:rFonts w:ascii="Arial" w:hAnsi="Arial" w:cs="Arial"/>
          <w:iCs/>
          <w:sz w:val="20"/>
          <w:szCs w:val="20"/>
        </w:rPr>
        <w:t>Po schválení predmetného zákona bolo možné vypracovať dokumentáciu k predmetnej výzve v rámci operačného cieľa 4.4 a jej následnému vyhláseniu. V</w:t>
      </w:r>
      <w:r w:rsidR="00677AF1">
        <w:rPr>
          <w:rFonts w:ascii="Arial" w:hAnsi="Arial" w:cs="Arial"/>
          <w:iCs/>
          <w:sz w:val="20"/>
          <w:szCs w:val="20"/>
        </w:rPr>
        <w:t> roku 2011 bola</w:t>
      </w:r>
      <w:r w:rsidR="00677AF1" w:rsidRPr="006A2BF3">
        <w:rPr>
          <w:rFonts w:ascii="Arial" w:hAnsi="Arial" w:cs="Arial"/>
          <w:iCs/>
          <w:sz w:val="20"/>
          <w:szCs w:val="20"/>
        </w:rPr>
        <w:t xml:space="preserve"> </w:t>
      </w:r>
      <w:r w:rsidRPr="006A2BF3">
        <w:rPr>
          <w:rFonts w:ascii="Arial" w:hAnsi="Arial" w:cs="Arial"/>
          <w:iCs/>
          <w:sz w:val="20"/>
          <w:szCs w:val="20"/>
        </w:rPr>
        <w:t xml:space="preserve">vyhlásená výzva zameraná na podrobný prieskum pravdepodobných environmentálnych záťaží a prieskum environmentálnych záťaží, vrátane vypracovania analýz rizika, štúdií uskutočniteľnosti a programov sanácie na Slovensku, vybudovanie monitorovacích systémov pre najrizikovejšie environmentálne záťaže, ako aj prácu s verejnosťou, osvetu a propagáciu aktivít týkajúcich sa sanácie environmentálnych záťaží. </w:t>
      </w:r>
      <w:r w:rsidR="00677AF1">
        <w:rPr>
          <w:rFonts w:ascii="Arial" w:hAnsi="Arial" w:cs="Arial"/>
          <w:iCs/>
          <w:sz w:val="20"/>
          <w:szCs w:val="20"/>
        </w:rPr>
        <w:t>Koncom roka 2012 bola vyhlásená výzva na</w:t>
      </w:r>
      <w:r w:rsidRPr="006A2BF3">
        <w:rPr>
          <w:rFonts w:ascii="Arial" w:hAnsi="Arial" w:cs="Arial"/>
          <w:iCs/>
          <w:sz w:val="20"/>
          <w:szCs w:val="20"/>
        </w:rPr>
        <w:t xml:space="preserve"> sanáciu environmentálnych </w:t>
      </w:r>
      <w:r w:rsidR="004207D5">
        <w:rPr>
          <w:rFonts w:ascii="Arial" w:hAnsi="Arial" w:cs="Arial"/>
          <w:iCs/>
          <w:sz w:val="20"/>
          <w:szCs w:val="20"/>
        </w:rPr>
        <w:t>záťaží,</w:t>
      </w:r>
      <w:r w:rsidR="00677AF1" w:rsidRPr="0039268C">
        <w:rPr>
          <w:rFonts w:ascii="Arial" w:hAnsi="Arial" w:cs="Arial"/>
          <w:iCs/>
          <w:sz w:val="20"/>
          <w:szCs w:val="20"/>
        </w:rPr>
        <w:t>, predstavujúcich vysoké riziko pre ľudské zdravie a životné prostredie, v súlade s určenými prioritami, najmä so Štátnym programom sanácie environmentálnych záťaží (na obdobie 2010 – 2015), schváleným uznesením vlády S</w:t>
      </w:r>
      <w:r w:rsidR="00677AF1" w:rsidRPr="00677AF1">
        <w:rPr>
          <w:rFonts w:ascii="Arial" w:hAnsi="Arial" w:cs="Arial"/>
          <w:iCs/>
          <w:sz w:val="20"/>
          <w:szCs w:val="20"/>
        </w:rPr>
        <w:t>lovenskej republiky č. 153/2010</w:t>
      </w:r>
      <w:r w:rsidR="00677AF1">
        <w:rPr>
          <w:rFonts w:ascii="Arial" w:hAnsi="Arial" w:cs="Arial"/>
          <w:iCs/>
          <w:sz w:val="20"/>
          <w:szCs w:val="20"/>
        </w:rPr>
        <w:t xml:space="preserve">, </w:t>
      </w:r>
      <w:r w:rsidR="00677AF1" w:rsidRPr="0039268C">
        <w:rPr>
          <w:rFonts w:ascii="Arial" w:hAnsi="Arial" w:cs="Arial"/>
          <w:iCs/>
          <w:sz w:val="20"/>
          <w:szCs w:val="20"/>
        </w:rPr>
        <w:t>V rámci predmetnej výzvy sú oprávnenými žiadateľmi príslušné ministerstvá</w:t>
      </w:r>
      <w:r w:rsidR="00D20795">
        <w:rPr>
          <w:rFonts w:ascii="Arial" w:hAnsi="Arial" w:cs="Arial"/>
          <w:iCs/>
          <w:sz w:val="20"/>
          <w:szCs w:val="20"/>
        </w:rPr>
        <w:t xml:space="preserve">, ktoré </w:t>
      </w:r>
      <w:r w:rsidR="00677AF1" w:rsidRPr="0039268C">
        <w:rPr>
          <w:rFonts w:ascii="Arial" w:hAnsi="Arial" w:cs="Arial"/>
          <w:iCs/>
          <w:sz w:val="20"/>
          <w:szCs w:val="20"/>
        </w:rPr>
        <w:t xml:space="preserve"> v zmysle § 5 ods. 7 zákona č. 409/2011 Z. z.</w:t>
      </w:r>
      <w:r w:rsidR="00D20795">
        <w:rPr>
          <w:rFonts w:ascii="Arial" w:hAnsi="Arial" w:cs="Arial"/>
          <w:iCs/>
          <w:sz w:val="20"/>
          <w:szCs w:val="20"/>
        </w:rPr>
        <w:t xml:space="preserve"> majú zabezpečiť </w:t>
      </w:r>
      <w:r w:rsidR="004207D5">
        <w:rPr>
          <w:rFonts w:ascii="Arial" w:hAnsi="Arial" w:cs="Arial"/>
          <w:iCs/>
          <w:sz w:val="20"/>
          <w:szCs w:val="20"/>
        </w:rPr>
        <w:t xml:space="preserve">vykonanie povinností povinnej osoby </w:t>
      </w:r>
      <w:r w:rsidR="00D20795">
        <w:rPr>
          <w:rFonts w:ascii="Arial" w:hAnsi="Arial" w:cs="Arial"/>
          <w:iCs/>
          <w:sz w:val="20"/>
          <w:szCs w:val="20"/>
        </w:rPr>
        <w:t xml:space="preserve"> </w:t>
      </w:r>
      <w:r w:rsidR="004207D5">
        <w:rPr>
          <w:rFonts w:ascii="Arial" w:hAnsi="Arial" w:cs="Arial"/>
          <w:iCs/>
          <w:sz w:val="20"/>
          <w:szCs w:val="20"/>
        </w:rPr>
        <w:t>v</w:t>
      </w:r>
      <w:r w:rsidR="00BE312F">
        <w:rPr>
          <w:rFonts w:ascii="Arial" w:hAnsi="Arial" w:cs="Arial"/>
          <w:iCs/>
          <w:sz w:val="20"/>
          <w:szCs w:val="20"/>
        </w:rPr>
        <w:t> </w:t>
      </w:r>
      <w:r w:rsidR="004207D5">
        <w:rPr>
          <w:rFonts w:ascii="Arial" w:hAnsi="Arial" w:cs="Arial"/>
          <w:iCs/>
          <w:sz w:val="20"/>
          <w:szCs w:val="20"/>
        </w:rPr>
        <w:t>prípadoch</w:t>
      </w:r>
      <w:r w:rsidR="00BE312F">
        <w:rPr>
          <w:rFonts w:ascii="Arial" w:hAnsi="Arial" w:cs="Arial"/>
          <w:iCs/>
          <w:sz w:val="20"/>
          <w:szCs w:val="20"/>
        </w:rPr>
        <w:t>,</w:t>
      </w:r>
      <w:r w:rsidR="004207D5">
        <w:rPr>
          <w:rFonts w:ascii="Arial" w:hAnsi="Arial" w:cs="Arial"/>
          <w:iCs/>
          <w:sz w:val="20"/>
          <w:szCs w:val="20"/>
        </w:rPr>
        <w:t xml:space="preserve"> </w:t>
      </w:r>
      <w:r w:rsidR="00895A58">
        <w:rPr>
          <w:rFonts w:ascii="Arial" w:hAnsi="Arial" w:cs="Arial"/>
          <w:iCs/>
          <w:sz w:val="20"/>
          <w:szCs w:val="20"/>
        </w:rPr>
        <w:t>ak povinnú osobu nie je možné určiť</w:t>
      </w:r>
      <w:r w:rsidR="00BE312F">
        <w:rPr>
          <w:rFonts w:ascii="Arial" w:hAnsi="Arial" w:cs="Arial"/>
          <w:iCs/>
          <w:sz w:val="20"/>
          <w:szCs w:val="20"/>
        </w:rPr>
        <w:t>.</w:t>
      </w:r>
      <w:r w:rsidR="00895A58" w:rsidRPr="00BE312F">
        <w:rPr>
          <w:rFonts w:ascii="Arial" w:hAnsi="Arial" w:cs="Arial"/>
          <w:iCs/>
          <w:sz w:val="20"/>
          <w:szCs w:val="20"/>
        </w:rPr>
        <w:t xml:space="preserve"> </w:t>
      </w:r>
    </w:p>
    <w:p w:rsidR="00EF0B04" w:rsidRDefault="00EF0B04" w:rsidP="00507035">
      <w:pPr>
        <w:pStyle w:val="Zkladntextb"/>
        <w:spacing w:before="120" w:after="120" w:line="360" w:lineRule="auto"/>
        <w:ind w:left="0"/>
        <w:jc w:val="both"/>
        <w:rPr>
          <w:b/>
          <w:lang w:val="sk-SK"/>
        </w:rPr>
      </w:pPr>
      <w:r w:rsidRPr="00EF0B04">
        <w:rPr>
          <w:b/>
          <w:lang w:val="sk-SK"/>
        </w:rPr>
        <w:t>Kvalitatívna analýza dosiahnutých výsledkov na úrovni prioritnej osi</w:t>
      </w:r>
      <w:r>
        <w:rPr>
          <w:b/>
          <w:lang w:val="sk-SK"/>
        </w:rPr>
        <w:t xml:space="preserve"> 4</w:t>
      </w:r>
    </w:p>
    <w:p w:rsidR="00EF0B04" w:rsidRPr="00A322EA" w:rsidRDefault="00EF0B04" w:rsidP="00507035">
      <w:pPr>
        <w:pStyle w:val="Zkladntextb"/>
        <w:spacing w:before="120" w:after="120" w:line="360" w:lineRule="auto"/>
        <w:ind w:left="0"/>
        <w:jc w:val="both"/>
        <w:rPr>
          <w:i/>
          <w:lang w:val="sk-SK"/>
        </w:rPr>
      </w:pPr>
      <w:r w:rsidRPr="00A322EA">
        <w:rPr>
          <w:i/>
          <w:lang w:val="sk-SK"/>
        </w:rPr>
        <w:t>Zhodnotenie úrovne zazmluvnenia alokovaných finančných prostriedkov za zdroje EÚ vo vzťahu k dosahovaným hodnotám ukazovateľov podľa prioritných tém</w:t>
      </w:r>
    </w:p>
    <w:p w:rsidR="00EF0B04" w:rsidRPr="004542F4" w:rsidRDefault="00EF0B04" w:rsidP="00507035">
      <w:pPr>
        <w:spacing w:before="120" w:after="120" w:line="360" w:lineRule="auto"/>
        <w:jc w:val="both"/>
        <w:rPr>
          <w:rFonts w:ascii="Arial" w:hAnsi="Arial" w:cs="Arial"/>
          <w:sz w:val="20"/>
          <w:szCs w:val="20"/>
        </w:rPr>
      </w:pPr>
      <w:r w:rsidRPr="004542F4">
        <w:rPr>
          <w:rFonts w:ascii="Arial" w:hAnsi="Arial" w:cs="Arial"/>
          <w:sz w:val="20"/>
          <w:szCs w:val="20"/>
        </w:rPr>
        <w:t>Použitá metodika je bližšie popísaná v kapitole 2.1.1 časť Plnenie merateľných ukazovateľov.</w:t>
      </w:r>
    </w:p>
    <w:p w:rsidR="00384C6B" w:rsidRDefault="00EF0B04" w:rsidP="00205636">
      <w:pPr>
        <w:pStyle w:val="Zkladntextb"/>
        <w:spacing w:after="0" w:line="360" w:lineRule="auto"/>
        <w:ind w:left="0"/>
        <w:jc w:val="both"/>
        <w:rPr>
          <w:rFonts w:cs="Arial"/>
        </w:rPr>
      </w:pPr>
      <w:r w:rsidRPr="00307BED">
        <w:rPr>
          <w:rFonts w:cs="Arial"/>
        </w:rPr>
        <w:t>Tab. č.</w:t>
      </w:r>
      <w:r w:rsidR="007976C6" w:rsidRPr="00307BED">
        <w:rPr>
          <w:rFonts w:cs="Arial"/>
        </w:rPr>
        <w:t xml:space="preserve"> </w:t>
      </w:r>
      <w:r w:rsidR="00254D6C">
        <w:rPr>
          <w:rFonts w:cs="Arial"/>
        </w:rPr>
        <w:t xml:space="preserve">53 </w:t>
      </w:r>
      <w:r w:rsidR="000B6E30" w:rsidRPr="000B6E30">
        <w:rPr>
          <w:rFonts w:cs="Arial"/>
        </w:rPr>
        <w:t>Zhodnotenie úrovne</w:t>
      </w:r>
      <w:r w:rsidR="000B6E30">
        <w:rPr>
          <w:rFonts w:cs="Arial"/>
        </w:rPr>
        <w:t xml:space="preserve"> podľa HT</w:t>
      </w:r>
    </w:p>
    <w:tbl>
      <w:tblPr>
        <w:tblW w:w="8710" w:type="dxa"/>
        <w:tblInd w:w="55" w:type="dxa"/>
        <w:tblCellMar>
          <w:left w:w="70" w:type="dxa"/>
          <w:right w:w="70" w:type="dxa"/>
        </w:tblCellMar>
        <w:tblLook w:val="04A0" w:firstRow="1" w:lastRow="0" w:firstColumn="1" w:lastColumn="0" w:noHBand="0" w:noVBand="1"/>
      </w:tblPr>
      <w:tblGrid>
        <w:gridCol w:w="1380"/>
        <w:gridCol w:w="1180"/>
        <w:gridCol w:w="1316"/>
        <w:gridCol w:w="1253"/>
        <w:gridCol w:w="1323"/>
        <w:gridCol w:w="1334"/>
        <w:gridCol w:w="924"/>
      </w:tblGrid>
      <w:tr w:rsidR="004D4FE1" w:rsidTr="006A551B">
        <w:trPr>
          <w:trHeight w:val="1121"/>
        </w:trPr>
        <w:tc>
          <w:tcPr>
            <w:tcW w:w="1380" w:type="dxa"/>
            <w:tcBorders>
              <w:top w:val="single" w:sz="8" w:space="0" w:color="auto"/>
              <w:left w:val="single" w:sz="8" w:space="0" w:color="auto"/>
              <w:bottom w:val="single" w:sz="8" w:space="0" w:color="000000"/>
              <w:right w:val="single" w:sz="8" w:space="0" w:color="auto"/>
            </w:tcBorders>
            <w:shd w:val="clear" w:color="000000" w:fill="D6E3BC"/>
            <w:noWrap/>
            <w:vAlign w:val="center"/>
            <w:hideMark/>
          </w:tcPr>
          <w:p w:rsidR="004D4FE1" w:rsidRDefault="004D4FE1" w:rsidP="00205636">
            <w:pPr>
              <w:jc w:val="center"/>
              <w:rPr>
                <w:rFonts w:ascii="Arial" w:hAnsi="Arial" w:cs="Arial"/>
                <w:b/>
                <w:bCs/>
                <w:color w:val="000000"/>
                <w:sz w:val="16"/>
                <w:szCs w:val="16"/>
              </w:rPr>
            </w:pPr>
            <w:r>
              <w:rPr>
                <w:rFonts w:ascii="Arial" w:hAnsi="Arial" w:cs="Arial"/>
                <w:b/>
                <w:bCs/>
                <w:color w:val="000000"/>
                <w:sz w:val="16"/>
                <w:szCs w:val="16"/>
              </w:rPr>
              <w:t>Prioritná téma</w:t>
            </w:r>
          </w:p>
        </w:tc>
        <w:tc>
          <w:tcPr>
            <w:tcW w:w="1180" w:type="dxa"/>
            <w:tcBorders>
              <w:top w:val="single" w:sz="8" w:space="0" w:color="auto"/>
              <w:left w:val="single" w:sz="8" w:space="0" w:color="auto"/>
              <w:bottom w:val="single" w:sz="8" w:space="0" w:color="000000"/>
              <w:right w:val="single" w:sz="8" w:space="0" w:color="auto"/>
            </w:tcBorders>
            <w:shd w:val="clear" w:color="000000" w:fill="D6E3BC"/>
            <w:noWrap/>
            <w:vAlign w:val="center"/>
            <w:hideMark/>
          </w:tcPr>
          <w:p w:rsidR="004D4FE1" w:rsidRDefault="004D4FE1" w:rsidP="00205636">
            <w:pPr>
              <w:jc w:val="center"/>
              <w:rPr>
                <w:rFonts w:ascii="Arial" w:hAnsi="Arial" w:cs="Arial"/>
                <w:b/>
                <w:bCs/>
                <w:color w:val="000000"/>
                <w:sz w:val="16"/>
                <w:szCs w:val="16"/>
              </w:rPr>
            </w:pPr>
            <w:r>
              <w:rPr>
                <w:rFonts w:ascii="Arial" w:hAnsi="Arial" w:cs="Arial"/>
                <w:b/>
                <w:bCs/>
                <w:color w:val="000000"/>
                <w:sz w:val="16"/>
                <w:szCs w:val="16"/>
              </w:rPr>
              <w:t>Op. Cieľ</w:t>
            </w:r>
          </w:p>
        </w:tc>
        <w:tc>
          <w:tcPr>
            <w:tcW w:w="1316" w:type="dxa"/>
            <w:tcBorders>
              <w:top w:val="single" w:sz="8" w:space="0" w:color="auto"/>
              <w:left w:val="nil"/>
              <w:right w:val="single" w:sz="8" w:space="0" w:color="auto"/>
            </w:tcBorders>
            <w:shd w:val="clear" w:color="000000" w:fill="D6E3BC"/>
            <w:vAlign w:val="center"/>
            <w:hideMark/>
          </w:tcPr>
          <w:p w:rsidR="004D4FE1" w:rsidRDefault="004D4FE1" w:rsidP="00205636">
            <w:pPr>
              <w:jc w:val="center"/>
              <w:rPr>
                <w:rFonts w:ascii="Arial" w:hAnsi="Arial" w:cs="Arial"/>
                <w:b/>
                <w:bCs/>
                <w:color w:val="000000"/>
                <w:sz w:val="16"/>
                <w:szCs w:val="16"/>
              </w:rPr>
            </w:pPr>
            <w:r>
              <w:rPr>
                <w:rFonts w:ascii="Arial" w:hAnsi="Arial" w:cs="Arial"/>
                <w:b/>
                <w:bCs/>
                <w:color w:val="000000"/>
                <w:sz w:val="16"/>
                <w:szCs w:val="16"/>
              </w:rPr>
              <w:t>Celková alokácia</w:t>
            </w:r>
          </w:p>
          <w:p w:rsidR="004D4FE1" w:rsidRDefault="004D4FE1" w:rsidP="00205636">
            <w:pPr>
              <w:jc w:val="center"/>
              <w:rPr>
                <w:rFonts w:ascii="Arial" w:hAnsi="Arial" w:cs="Arial"/>
                <w:b/>
                <w:bCs/>
                <w:color w:val="000000"/>
                <w:sz w:val="16"/>
                <w:szCs w:val="16"/>
              </w:rPr>
            </w:pPr>
            <w:r>
              <w:rPr>
                <w:rFonts w:ascii="Arial" w:hAnsi="Arial" w:cs="Arial"/>
                <w:b/>
                <w:bCs/>
                <w:color w:val="000000"/>
                <w:sz w:val="16"/>
                <w:szCs w:val="16"/>
              </w:rPr>
              <w:t xml:space="preserve">v </w:t>
            </w:r>
            <w:r>
              <w:rPr>
                <w:rFonts w:ascii="Arial" w:hAnsi="Arial" w:cs="Arial"/>
                <w:color w:val="000000"/>
                <w:sz w:val="16"/>
                <w:szCs w:val="16"/>
              </w:rPr>
              <w:t>€</w:t>
            </w:r>
          </w:p>
          <w:p w:rsidR="004D4FE1" w:rsidRDefault="004D4FE1" w:rsidP="00205636">
            <w:pPr>
              <w:rPr>
                <w:rFonts w:ascii="Arial" w:hAnsi="Arial" w:cs="Arial"/>
                <w:b/>
                <w:bCs/>
                <w:color w:val="000000"/>
                <w:sz w:val="16"/>
                <w:szCs w:val="16"/>
              </w:rPr>
            </w:pPr>
            <w:r>
              <w:rPr>
                <w:rFonts w:ascii="Calibri" w:hAnsi="Calibri" w:cs="Calibri"/>
                <w:color w:val="000000"/>
                <w:sz w:val="22"/>
                <w:szCs w:val="22"/>
              </w:rPr>
              <w:t> </w:t>
            </w:r>
          </w:p>
        </w:tc>
        <w:tc>
          <w:tcPr>
            <w:tcW w:w="1253" w:type="dxa"/>
            <w:tcBorders>
              <w:top w:val="single" w:sz="8" w:space="0" w:color="auto"/>
              <w:left w:val="nil"/>
              <w:right w:val="single" w:sz="8" w:space="0" w:color="auto"/>
            </w:tcBorders>
            <w:shd w:val="clear" w:color="000000" w:fill="D6E3BC"/>
            <w:vAlign w:val="center"/>
            <w:hideMark/>
          </w:tcPr>
          <w:p w:rsidR="004D4FE1" w:rsidRDefault="004D4FE1" w:rsidP="00205636">
            <w:pPr>
              <w:jc w:val="center"/>
              <w:rPr>
                <w:rFonts w:ascii="Arial" w:hAnsi="Arial" w:cs="Arial"/>
                <w:b/>
                <w:bCs/>
                <w:color w:val="000000"/>
                <w:sz w:val="16"/>
                <w:szCs w:val="16"/>
              </w:rPr>
            </w:pPr>
            <w:r>
              <w:rPr>
                <w:rFonts w:ascii="Arial" w:hAnsi="Arial" w:cs="Arial"/>
                <w:b/>
                <w:bCs/>
                <w:color w:val="000000"/>
                <w:sz w:val="16"/>
                <w:szCs w:val="16"/>
              </w:rPr>
              <w:t>Suma zazmluvnená (EÚ zdroje)</w:t>
            </w:r>
          </w:p>
          <w:p w:rsidR="004D4FE1" w:rsidRDefault="004D4FE1" w:rsidP="00205636">
            <w:pPr>
              <w:jc w:val="center"/>
              <w:rPr>
                <w:rFonts w:ascii="Arial" w:hAnsi="Arial" w:cs="Arial"/>
                <w:b/>
                <w:bCs/>
                <w:color w:val="000000"/>
                <w:sz w:val="16"/>
                <w:szCs w:val="16"/>
              </w:rPr>
            </w:pPr>
            <w:r>
              <w:rPr>
                <w:rFonts w:ascii="Arial" w:hAnsi="Arial" w:cs="Arial"/>
                <w:b/>
                <w:bCs/>
                <w:color w:val="000000"/>
                <w:sz w:val="16"/>
                <w:szCs w:val="16"/>
              </w:rPr>
              <w:t xml:space="preserve">v </w:t>
            </w:r>
            <w:r>
              <w:rPr>
                <w:rFonts w:ascii="Arial" w:hAnsi="Arial" w:cs="Arial"/>
                <w:color w:val="000000"/>
                <w:sz w:val="16"/>
                <w:szCs w:val="16"/>
              </w:rPr>
              <w:t>€</w:t>
            </w:r>
          </w:p>
          <w:p w:rsidR="004D4FE1" w:rsidRDefault="004D4FE1" w:rsidP="00205636">
            <w:pPr>
              <w:rPr>
                <w:rFonts w:ascii="Arial" w:hAnsi="Arial" w:cs="Arial"/>
                <w:b/>
                <w:bCs/>
                <w:color w:val="000000"/>
                <w:sz w:val="16"/>
                <w:szCs w:val="16"/>
              </w:rPr>
            </w:pPr>
            <w:r>
              <w:rPr>
                <w:rFonts w:ascii="Calibri" w:hAnsi="Calibri" w:cs="Calibri"/>
                <w:color w:val="000000"/>
                <w:sz w:val="22"/>
                <w:szCs w:val="22"/>
              </w:rPr>
              <w:t> </w:t>
            </w:r>
          </w:p>
        </w:tc>
        <w:tc>
          <w:tcPr>
            <w:tcW w:w="1323" w:type="dxa"/>
            <w:tcBorders>
              <w:top w:val="single" w:sz="8" w:space="0" w:color="auto"/>
              <w:left w:val="single" w:sz="8" w:space="0" w:color="auto"/>
              <w:bottom w:val="single" w:sz="8" w:space="0" w:color="000000"/>
              <w:right w:val="single" w:sz="8" w:space="0" w:color="auto"/>
            </w:tcBorders>
            <w:shd w:val="clear" w:color="000000" w:fill="D6E3BC"/>
            <w:vAlign w:val="center"/>
            <w:hideMark/>
          </w:tcPr>
          <w:p w:rsidR="004D4FE1" w:rsidRDefault="004D4FE1" w:rsidP="00205636">
            <w:pPr>
              <w:jc w:val="center"/>
              <w:rPr>
                <w:rFonts w:ascii="Arial" w:hAnsi="Arial" w:cs="Arial"/>
                <w:b/>
                <w:bCs/>
                <w:color w:val="000000"/>
                <w:sz w:val="16"/>
                <w:szCs w:val="16"/>
              </w:rPr>
            </w:pPr>
            <w:r>
              <w:rPr>
                <w:rFonts w:ascii="Arial" w:hAnsi="Arial" w:cs="Arial"/>
                <w:b/>
                <w:bCs/>
                <w:color w:val="000000"/>
                <w:sz w:val="16"/>
                <w:szCs w:val="16"/>
              </w:rPr>
              <w:t xml:space="preserve">Podiel zazmluvnených projektov na celkovej alokácii </w:t>
            </w:r>
          </w:p>
        </w:tc>
        <w:tc>
          <w:tcPr>
            <w:tcW w:w="1334" w:type="dxa"/>
            <w:tcBorders>
              <w:top w:val="single" w:sz="8" w:space="0" w:color="auto"/>
              <w:left w:val="nil"/>
              <w:right w:val="single" w:sz="8" w:space="0" w:color="auto"/>
            </w:tcBorders>
            <w:shd w:val="clear" w:color="000000" w:fill="D6E3BC"/>
            <w:vAlign w:val="center"/>
            <w:hideMark/>
          </w:tcPr>
          <w:p w:rsidR="004D4FE1" w:rsidRDefault="004D4FE1" w:rsidP="00205636">
            <w:pPr>
              <w:jc w:val="center"/>
              <w:rPr>
                <w:rFonts w:ascii="Arial" w:hAnsi="Arial" w:cs="Arial"/>
                <w:b/>
                <w:bCs/>
                <w:color w:val="000000"/>
                <w:sz w:val="16"/>
                <w:szCs w:val="16"/>
              </w:rPr>
            </w:pPr>
            <w:r>
              <w:rPr>
                <w:rFonts w:ascii="Arial" w:hAnsi="Arial" w:cs="Arial"/>
                <w:b/>
                <w:bCs/>
                <w:color w:val="000000"/>
                <w:sz w:val="16"/>
                <w:szCs w:val="16"/>
              </w:rPr>
              <w:t xml:space="preserve">Suma čerpaná </w:t>
            </w:r>
          </w:p>
          <w:p w:rsidR="004D4FE1" w:rsidRDefault="004D4FE1" w:rsidP="00205636">
            <w:pPr>
              <w:jc w:val="center"/>
              <w:rPr>
                <w:rFonts w:ascii="Arial" w:hAnsi="Arial" w:cs="Arial"/>
                <w:b/>
                <w:bCs/>
                <w:color w:val="000000"/>
                <w:sz w:val="16"/>
                <w:szCs w:val="16"/>
              </w:rPr>
            </w:pPr>
            <w:r>
              <w:rPr>
                <w:rFonts w:ascii="Arial" w:hAnsi="Arial" w:cs="Arial"/>
                <w:b/>
                <w:bCs/>
                <w:color w:val="000000"/>
                <w:sz w:val="16"/>
                <w:szCs w:val="16"/>
              </w:rPr>
              <w:t>(EÚ zdroje)</w:t>
            </w:r>
          </w:p>
          <w:p w:rsidR="004D4FE1" w:rsidRDefault="004D4FE1" w:rsidP="00205636">
            <w:pPr>
              <w:jc w:val="center"/>
              <w:rPr>
                <w:rFonts w:ascii="Arial" w:hAnsi="Arial" w:cs="Arial"/>
                <w:b/>
                <w:bCs/>
                <w:color w:val="000000"/>
                <w:sz w:val="16"/>
                <w:szCs w:val="16"/>
              </w:rPr>
            </w:pPr>
            <w:r>
              <w:rPr>
                <w:rFonts w:ascii="Arial" w:hAnsi="Arial" w:cs="Arial"/>
                <w:b/>
                <w:bCs/>
                <w:color w:val="000000"/>
                <w:sz w:val="16"/>
                <w:szCs w:val="16"/>
              </w:rPr>
              <w:t xml:space="preserve">v </w:t>
            </w:r>
            <w:r>
              <w:rPr>
                <w:rFonts w:ascii="Arial" w:hAnsi="Arial" w:cs="Arial"/>
                <w:color w:val="000000"/>
                <w:sz w:val="16"/>
                <w:szCs w:val="16"/>
              </w:rPr>
              <w:t>€</w:t>
            </w:r>
          </w:p>
        </w:tc>
        <w:tc>
          <w:tcPr>
            <w:tcW w:w="924" w:type="dxa"/>
            <w:tcBorders>
              <w:top w:val="single" w:sz="8" w:space="0" w:color="auto"/>
              <w:left w:val="single" w:sz="8" w:space="0" w:color="auto"/>
              <w:bottom w:val="single" w:sz="8" w:space="0" w:color="000000"/>
              <w:right w:val="single" w:sz="8" w:space="0" w:color="auto"/>
            </w:tcBorders>
            <w:shd w:val="clear" w:color="000000" w:fill="D6E3BC"/>
            <w:vAlign w:val="center"/>
            <w:hideMark/>
          </w:tcPr>
          <w:p w:rsidR="004D4FE1" w:rsidRDefault="004D4FE1" w:rsidP="00205636">
            <w:pPr>
              <w:jc w:val="center"/>
              <w:rPr>
                <w:rFonts w:ascii="Arial" w:hAnsi="Arial" w:cs="Arial"/>
                <w:b/>
                <w:bCs/>
                <w:color w:val="000000"/>
                <w:sz w:val="16"/>
                <w:szCs w:val="16"/>
              </w:rPr>
            </w:pPr>
            <w:r>
              <w:rPr>
                <w:rFonts w:ascii="Arial" w:hAnsi="Arial" w:cs="Arial"/>
                <w:b/>
                <w:bCs/>
                <w:color w:val="000000"/>
                <w:sz w:val="16"/>
                <w:szCs w:val="16"/>
              </w:rPr>
              <w:t>Podiel čerpania projektov na celkovej alokácii</w:t>
            </w:r>
          </w:p>
        </w:tc>
      </w:tr>
      <w:tr w:rsidR="00384C6B" w:rsidTr="00384C6B">
        <w:trPr>
          <w:trHeight w:val="1035"/>
        </w:trPr>
        <w:tc>
          <w:tcPr>
            <w:tcW w:w="1380" w:type="dxa"/>
            <w:vMerge w:val="restart"/>
            <w:tcBorders>
              <w:top w:val="nil"/>
              <w:left w:val="single" w:sz="8" w:space="0" w:color="auto"/>
              <w:bottom w:val="single" w:sz="8" w:space="0" w:color="000000"/>
              <w:right w:val="single" w:sz="8" w:space="0" w:color="auto"/>
            </w:tcBorders>
            <w:shd w:val="clear" w:color="000000" w:fill="EAF1DD"/>
            <w:vAlign w:val="center"/>
            <w:hideMark/>
          </w:tcPr>
          <w:p w:rsidR="00384C6B" w:rsidRDefault="00384C6B" w:rsidP="00205636">
            <w:pPr>
              <w:rPr>
                <w:rFonts w:ascii="Arial" w:hAnsi="Arial" w:cs="Arial"/>
                <w:color w:val="000000"/>
                <w:sz w:val="16"/>
                <w:szCs w:val="16"/>
              </w:rPr>
            </w:pPr>
            <w:r>
              <w:rPr>
                <w:rFonts w:ascii="Arial" w:hAnsi="Arial" w:cs="Arial"/>
                <w:color w:val="000000"/>
                <w:sz w:val="16"/>
                <w:szCs w:val="16"/>
              </w:rPr>
              <w:t>HT 44 Hospodárenie s domácim a priemyselným odpadom</w:t>
            </w:r>
          </w:p>
        </w:tc>
        <w:tc>
          <w:tcPr>
            <w:tcW w:w="1180" w:type="dxa"/>
            <w:vMerge w:val="restart"/>
            <w:tcBorders>
              <w:top w:val="nil"/>
              <w:left w:val="single" w:sz="8" w:space="0" w:color="auto"/>
              <w:bottom w:val="single" w:sz="8" w:space="0" w:color="000000"/>
              <w:right w:val="single" w:sz="8" w:space="0" w:color="auto"/>
            </w:tcBorders>
            <w:shd w:val="clear" w:color="auto" w:fill="auto"/>
            <w:vAlign w:val="center"/>
            <w:hideMark/>
          </w:tcPr>
          <w:p w:rsidR="00384C6B" w:rsidRDefault="00384C6B" w:rsidP="00205636">
            <w:pPr>
              <w:jc w:val="center"/>
              <w:rPr>
                <w:rFonts w:ascii="Arial" w:hAnsi="Arial" w:cs="Arial"/>
                <w:color w:val="000000"/>
                <w:sz w:val="16"/>
                <w:szCs w:val="16"/>
              </w:rPr>
            </w:pPr>
            <w:r>
              <w:rPr>
                <w:rFonts w:ascii="Arial" w:hAnsi="Arial" w:cs="Arial"/>
                <w:color w:val="000000"/>
                <w:sz w:val="16"/>
                <w:szCs w:val="16"/>
              </w:rPr>
              <w:t>4.1+4.2. +4.3+4.5</w:t>
            </w:r>
          </w:p>
        </w:tc>
        <w:tc>
          <w:tcPr>
            <w:tcW w:w="1316" w:type="dxa"/>
            <w:vMerge w:val="restart"/>
            <w:tcBorders>
              <w:top w:val="single" w:sz="8" w:space="0" w:color="auto"/>
              <w:left w:val="single" w:sz="8" w:space="0" w:color="auto"/>
              <w:bottom w:val="single" w:sz="8" w:space="0" w:color="000000"/>
              <w:right w:val="single" w:sz="8" w:space="0" w:color="auto"/>
            </w:tcBorders>
            <w:shd w:val="clear" w:color="auto" w:fill="auto"/>
            <w:noWrap/>
            <w:vAlign w:val="center"/>
            <w:hideMark/>
          </w:tcPr>
          <w:p w:rsidR="00384C6B" w:rsidRDefault="00384C6B" w:rsidP="00205636">
            <w:pPr>
              <w:jc w:val="center"/>
              <w:rPr>
                <w:rFonts w:ascii="Arial" w:hAnsi="Arial" w:cs="Arial"/>
                <w:color w:val="000000"/>
                <w:sz w:val="16"/>
                <w:szCs w:val="16"/>
              </w:rPr>
            </w:pPr>
            <w:r>
              <w:rPr>
                <w:rFonts w:ascii="Arial" w:hAnsi="Arial" w:cs="Arial"/>
                <w:color w:val="000000"/>
                <w:sz w:val="16"/>
                <w:szCs w:val="16"/>
              </w:rPr>
              <w:t>368 600 000</w:t>
            </w:r>
          </w:p>
        </w:tc>
        <w:tc>
          <w:tcPr>
            <w:tcW w:w="1253" w:type="dxa"/>
            <w:vMerge w:val="restart"/>
            <w:tcBorders>
              <w:top w:val="single" w:sz="8" w:space="0" w:color="auto"/>
              <w:left w:val="single" w:sz="8" w:space="0" w:color="auto"/>
              <w:bottom w:val="single" w:sz="8" w:space="0" w:color="000000"/>
              <w:right w:val="single" w:sz="8" w:space="0" w:color="auto"/>
            </w:tcBorders>
            <w:shd w:val="clear" w:color="auto" w:fill="auto"/>
            <w:noWrap/>
            <w:vAlign w:val="center"/>
            <w:hideMark/>
          </w:tcPr>
          <w:p w:rsidR="00384C6B" w:rsidRDefault="00384C6B" w:rsidP="00205636">
            <w:pPr>
              <w:jc w:val="center"/>
              <w:rPr>
                <w:rFonts w:ascii="Arial" w:hAnsi="Arial" w:cs="Arial"/>
                <w:color w:val="000000"/>
                <w:sz w:val="16"/>
                <w:szCs w:val="16"/>
              </w:rPr>
            </w:pPr>
            <w:r>
              <w:rPr>
                <w:rFonts w:ascii="Arial" w:hAnsi="Arial" w:cs="Arial"/>
                <w:color w:val="000000"/>
                <w:sz w:val="16"/>
                <w:szCs w:val="16"/>
              </w:rPr>
              <w:t>297 380 293</w:t>
            </w:r>
          </w:p>
        </w:tc>
        <w:tc>
          <w:tcPr>
            <w:tcW w:w="1323" w:type="dxa"/>
            <w:vMerge w:val="restart"/>
            <w:tcBorders>
              <w:top w:val="nil"/>
              <w:left w:val="single" w:sz="8" w:space="0" w:color="auto"/>
              <w:bottom w:val="single" w:sz="8" w:space="0" w:color="000000"/>
              <w:right w:val="single" w:sz="8" w:space="0" w:color="auto"/>
            </w:tcBorders>
            <w:shd w:val="clear" w:color="auto" w:fill="auto"/>
            <w:noWrap/>
            <w:vAlign w:val="center"/>
            <w:hideMark/>
          </w:tcPr>
          <w:p w:rsidR="00384C6B" w:rsidRDefault="00384C6B" w:rsidP="00205636">
            <w:pPr>
              <w:jc w:val="center"/>
              <w:rPr>
                <w:rFonts w:ascii="Arial" w:hAnsi="Arial" w:cs="Arial"/>
                <w:color w:val="000000"/>
                <w:sz w:val="16"/>
                <w:szCs w:val="16"/>
              </w:rPr>
            </w:pPr>
            <w:r>
              <w:rPr>
                <w:rFonts w:ascii="Arial" w:hAnsi="Arial" w:cs="Arial"/>
                <w:color w:val="000000"/>
                <w:sz w:val="16"/>
                <w:szCs w:val="16"/>
              </w:rPr>
              <w:t>80,68%</w:t>
            </w:r>
          </w:p>
        </w:tc>
        <w:tc>
          <w:tcPr>
            <w:tcW w:w="1334" w:type="dxa"/>
            <w:vMerge w:val="restart"/>
            <w:tcBorders>
              <w:top w:val="single" w:sz="8" w:space="0" w:color="auto"/>
              <w:left w:val="single" w:sz="8" w:space="0" w:color="auto"/>
              <w:bottom w:val="single" w:sz="8" w:space="0" w:color="000000"/>
              <w:right w:val="single" w:sz="8" w:space="0" w:color="auto"/>
            </w:tcBorders>
            <w:shd w:val="clear" w:color="auto" w:fill="auto"/>
            <w:noWrap/>
            <w:vAlign w:val="center"/>
            <w:hideMark/>
          </w:tcPr>
          <w:p w:rsidR="00384C6B" w:rsidRDefault="00384C6B" w:rsidP="00205636">
            <w:pPr>
              <w:jc w:val="center"/>
              <w:rPr>
                <w:rFonts w:ascii="Arial" w:hAnsi="Arial" w:cs="Arial"/>
                <w:color w:val="000000"/>
                <w:sz w:val="16"/>
                <w:szCs w:val="16"/>
              </w:rPr>
            </w:pPr>
            <w:r>
              <w:rPr>
                <w:rFonts w:ascii="Arial" w:hAnsi="Arial" w:cs="Arial"/>
                <w:color w:val="000000"/>
                <w:sz w:val="16"/>
                <w:szCs w:val="16"/>
              </w:rPr>
              <w:t>180 090 864</w:t>
            </w:r>
          </w:p>
        </w:tc>
        <w:tc>
          <w:tcPr>
            <w:tcW w:w="924" w:type="dxa"/>
            <w:vMerge w:val="restart"/>
            <w:tcBorders>
              <w:top w:val="nil"/>
              <w:left w:val="single" w:sz="8" w:space="0" w:color="auto"/>
              <w:bottom w:val="single" w:sz="8" w:space="0" w:color="000000"/>
              <w:right w:val="single" w:sz="8" w:space="0" w:color="auto"/>
            </w:tcBorders>
            <w:shd w:val="clear" w:color="auto" w:fill="auto"/>
            <w:noWrap/>
            <w:vAlign w:val="center"/>
            <w:hideMark/>
          </w:tcPr>
          <w:p w:rsidR="00384C6B" w:rsidRDefault="00384C6B" w:rsidP="00205636">
            <w:pPr>
              <w:jc w:val="center"/>
              <w:rPr>
                <w:rFonts w:ascii="Arial" w:hAnsi="Arial" w:cs="Arial"/>
                <w:color w:val="000000"/>
                <w:sz w:val="16"/>
                <w:szCs w:val="16"/>
              </w:rPr>
            </w:pPr>
            <w:r>
              <w:rPr>
                <w:rFonts w:ascii="Arial" w:hAnsi="Arial" w:cs="Arial"/>
                <w:color w:val="000000"/>
                <w:sz w:val="16"/>
                <w:szCs w:val="16"/>
              </w:rPr>
              <w:t>48,86%</w:t>
            </w:r>
          </w:p>
        </w:tc>
      </w:tr>
      <w:tr w:rsidR="00384C6B" w:rsidTr="00384C6B">
        <w:trPr>
          <w:trHeight w:val="424"/>
        </w:trPr>
        <w:tc>
          <w:tcPr>
            <w:tcW w:w="1380" w:type="dxa"/>
            <w:vMerge/>
            <w:tcBorders>
              <w:top w:val="nil"/>
              <w:left w:val="single" w:sz="8" w:space="0" w:color="auto"/>
              <w:bottom w:val="single" w:sz="8" w:space="0" w:color="000000"/>
              <w:right w:val="single" w:sz="8" w:space="0" w:color="auto"/>
            </w:tcBorders>
            <w:vAlign w:val="center"/>
            <w:hideMark/>
          </w:tcPr>
          <w:p w:rsidR="00384C6B" w:rsidRDefault="00384C6B" w:rsidP="00205636">
            <w:pPr>
              <w:rPr>
                <w:rFonts w:ascii="Arial" w:hAnsi="Arial" w:cs="Arial"/>
                <w:color w:val="000000"/>
                <w:sz w:val="16"/>
                <w:szCs w:val="16"/>
              </w:rPr>
            </w:pPr>
          </w:p>
        </w:tc>
        <w:tc>
          <w:tcPr>
            <w:tcW w:w="1180" w:type="dxa"/>
            <w:vMerge/>
            <w:tcBorders>
              <w:top w:val="nil"/>
              <w:left w:val="single" w:sz="8" w:space="0" w:color="auto"/>
              <w:bottom w:val="single" w:sz="8" w:space="0" w:color="000000"/>
              <w:right w:val="single" w:sz="8" w:space="0" w:color="auto"/>
            </w:tcBorders>
            <w:vAlign w:val="center"/>
            <w:hideMark/>
          </w:tcPr>
          <w:p w:rsidR="00384C6B" w:rsidRDefault="00384C6B" w:rsidP="00205636">
            <w:pPr>
              <w:rPr>
                <w:rFonts w:ascii="Arial" w:hAnsi="Arial" w:cs="Arial"/>
                <w:color w:val="000000"/>
                <w:sz w:val="16"/>
                <w:szCs w:val="16"/>
              </w:rPr>
            </w:pPr>
          </w:p>
        </w:tc>
        <w:tc>
          <w:tcPr>
            <w:tcW w:w="1316" w:type="dxa"/>
            <w:vMerge/>
            <w:tcBorders>
              <w:top w:val="nil"/>
              <w:left w:val="single" w:sz="8" w:space="0" w:color="auto"/>
              <w:bottom w:val="single" w:sz="8" w:space="0" w:color="000000"/>
              <w:right w:val="single" w:sz="8" w:space="0" w:color="auto"/>
            </w:tcBorders>
            <w:vAlign w:val="center"/>
            <w:hideMark/>
          </w:tcPr>
          <w:p w:rsidR="00384C6B" w:rsidRDefault="00384C6B" w:rsidP="00205636">
            <w:pPr>
              <w:rPr>
                <w:rFonts w:ascii="Arial" w:hAnsi="Arial" w:cs="Arial"/>
                <w:color w:val="000000"/>
                <w:sz w:val="16"/>
                <w:szCs w:val="16"/>
              </w:rPr>
            </w:pPr>
          </w:p>
        </w:tc>
        <w:tc>
          <w:tcPr>
            <w:tcW w:w="1253" w:type="dxa"/>
            <w:vMerge/>
            <w:tcBorders>
              <w:top w:val="nil"/>
              <w:left w:val="single" w:sz="8" w:space="0" w:color="auto"/>
              <w:bottom w:val="single" w:sz="8" w:space="0" w:color="000000"/>
              <w:right w:val="single" w:sz="8" w:space="0" w:color="auto"/>
            </w:tcBorders>
            <w:vAlign w:val="center"/>
            <w:hideMark/>
          </w:tcPr>
          <w:p w:rsidR="00384C6B" w:rsidRDefault="00384C6B" w:rsidP="00205636">
            <w:pPr>
              <w:rPr>
                <w:rFonts w:ascii="Arial" w:hAnsi="Arial" w:cs="Arial"/>
                <w:color w:val="000000"/>
                <w:sz w:val="16"/>
                <w:szCs w:val="16"/>
              </w:rPr>
            </w:pPr>
          </w:p>
        </w:tc>
        <w:tc>
          <w:tcPr>
            <w:tcW w:w="1323" w:type="dxa"/>
            <w:vMerge/>
            <w:tcBorders>
              <w:top w:val="nil"/>
              <w:left w:val="single" w:sz="8" w:space="0" w:color="auto"/>
              <w:bottom w:val="single" w:sz="8" w:space="0" w:color="000000"/>
              <w:right w:val="single" w:sz="8" w:space="0" w:color="auto"/>
            </w:tcBorders>
            <w:vAlign w:val="center"/>
            <w:hideMark/>
          </w:tcPr>
          <w:p w:rsidR="00384C6B" w:rsidRDefault="00384C6B" w:rsidP="00205636">
            <w:pPr>
              <w:rPr>
                <w:rFonts w:ascii="Arial" w:hAnsi="Arial" w:cs="Arial"/>
                <w:color w:val="000000"/>
                <w:sz w:val="16"/>
                <w:szCs w:val="16"/>
              </w:rPr>
            </w:pPr>
          </w:p>
        </w:tc>
        <w:tc>
          <w:tcPr>
            <w:tcW w:w="1334" w:type="dxa"/>
            <w:vMerge/>
            <w:tcBorders>
              <w:top w:val="nil"/>
              <w:left w:val="single" w:sz="8" w:space="0" w:color="auto"/>
              <w:bottom w:val="single" w:sz="8" w:space="0" w:color="000000"/>
              <w:right w:val="single" w:sz="8" w:space="0" w:color="auto"/>
            </w:tcBorders>
            <w:vAlign w:val="center"/>
            <w:hideMark/>
          </w:tcPr>
          <w:p w:rsidR="00384C6B" w:rsidRDefault="00384C6B" w:rsidP="00205636">
            <w:pPr>
              <w:rPr>
                <w:rFonts w:ascii="Arial" w:hAnsi="Arial" w:cs="Arial"/>
                <w:color w:val="000000"/>
                <w:sz w:val="16"/>
                <w:szCs w:val="16"/>
              </w:rPr>
            </w:pPr>
          </w:p>
        </w:tc>
        <w:tc>
          <w:tcPr>
            <w:tcW w:w="924" w:type="dxa"/>
            <w:vMerge/>
            <w:tcBorders>
              <w:top w:val="nil"/>
              <w:left w:val="single" w:sz="8" w:space="0" w:color="auto"/>
              <w:bottom w:val="single" w:sz="8" w:space="0" w:color="000000"/>
              <w:right w:val="single" w:sz="8" w:space="0" w:color="auto"/>
            </w:tcBorders>
            <w:vAlign w:val="center"/>
            <w:hideMark/>
          </w:tcPr>
          <w:p w:rsidR="00384C6B" w:rsidRDefault="00384C6B" w:rsidP="00205636">
            <w:pPr>
              <w:rPr>
                <w:rFonts w:ascii="Arial" w:hAnsi="Arial" w:cs="Arial"/>
                <w:color w:val="000000"/>
                <w:sz w:val="16"/>
                <w:szCs w:val="16"/>
              </w:rPr>
            </w:pPr>
          </w:p>
        </w:tc>
      </w:tr>
      <w:tr w:rsidR="00384C6B" w:rsidTr="00384C6B">
        <w:trPr>
          <w:trHeight w:val="1190"/>
        </w:trPr>
        <w:tc>
          <w:tcPr>
            <w:tcW w:w="1380" w:type="dxa"/>
            <w:tcBorders>
              <w:top w:val="nil"/>
              <w:left w:val="single" w:sz="8" w:space="0" w:color="auto"/>
              <w:bottom w:val="single" w:sz="8" w:space="0" w:color="auto"/>
              <w:right w:val="single" w:sz="8" w:space="0" w:color="auto"/>
            </w:tcBorders>
            <w:shd w:val="clear" w:color="000000" w:fill="EAF1DD"/>
            <w:vAlign w:val="center"/>
            <w:hideMark/>
          </w:tcPr>
          <w:p w:rsidR="00384C6B" w:rsidRDefault="00384C6B" w:rsidP="00205636">
            <w:pPr>
              <w:rPr>
                <w:rFonts w:ascii="Arial" w:hAnsi="Arial" w:cs="Arial"/>
                <w:color w:val="000000"/>
                <w:sz w:val="16"/>
                <w:szCs w:val="16"/>
              </w:rPr>
            </w:pPr>
            <w:r>
              <w:rPr>
                <w:rFonts w:ascii="Arial" w:hAnsi="Arial" w:cs="Arial"/>
                <w:color w:val="000000"/>
                <w:sz w:val="16"/>
                <w:szCs w:val="16"/>
              </w:rPr>
              <w:t>HT 50 Ozdravovanie priemyselných lokalít a kontaminovanej pôdy</w:t>
            </w:r>
          </w:p>
        </w:tc>
        <w:tc>
          <w:tcPr>
            <w:tcW w:w="1180" w:type="dxa"/>
            <w:tcBorders>
              <w:top w:val="nil"/>
              <w:left w:val="nil"/>
              <w:bottom w:val="single" w:sz="8" w:space="0" w:color="auto"/>
              <w:right w:val="single" w:sz="8" w:space="0" w:color="auto"/>
            </w:tcBorders>
            <w:shd w:val="clear" w:color="auto" w:fill="auto"/>
            <w:vAlign w:val="center"/>
            <w:hideMark/>
          </w:tcPr>
          <w:p w:rsidR="00384C6B" w:rsidRDefault="00384C6B" w:rsidP="00205636">
            <w:pPr>
              <w:jc w:val="center"/>
              <w:rPr>
                <w:rFonts w:ascii="Arial" w:hAnsi="Arial" w:cs="Arial"/>
                <w:color w:val="000000"/>
                <w:sz w:val="16"/>
                <w:szCs w:val="16"/>
              </w:rPr>
            </w:pPr>
            <w:r>
              <w:rPr>
                <w:rFonts w:ascii="Arial" w:hAnsi="Arial" w:cs="Arial"/>
                <w:color w:val="000000"/>
                <w:sz w:val="16"/>
                <w:szCs w:val="16"/>
              </w:rPr>
              <w:t>4.4.</w:t>
            </w:r>
          </w:p>
        </w:tc>
        <w:tc>
          <w:tcPr>
            <w:tcW w:w="1316" w:type="dxa"/>
            <w:tcBorders>
              <w:top w:val="nil"/>
              <w:left w:val="nil"/>
              <w:bottom w:val="single" w:sz="8" w:space="0" w:color="auto"/>
              <w:right w:val="single" w:sz="8" w:space="0" w:color="auto"/>
            </w:tcBorders>
            <w:shd w:val="clear" w:color="auto" w:fill="auto"/>
            <w:noWrap/>
            <w:vAlign w:val="center"/>
            <w:hideMark/>
          </w:tcPr>
          <w:p w:rsidR="00384C6B" w:rsidRDefault="00384C6B" w:rsidP="00205636">
            <w:pPr>
              <w:jc w:val="center"/>
              <w:rPr>
                <w:rFonts w:ascii="Arial" w:hAnsi="Arial" w:cs="Arial"/>
                <w:color w:val="000000"/>
                <w:sz w:val="16"/>
                <w:szCs w:val="16"/>
              </w:rPr>
            </w:pPr>
            <w:r>
              <w:rPr>
                <w:rFonts w:ascii="Arial" w:hAnsi="Arial" w:cs="Arial"/>
                <w:color w:val="000000"/>
                <w:sz w:val="16"/>
                <w:szCs w:val="16"/>
              </w:rPr>
              <w:t>116 400 000</w:t>
            </w:r>
          </w:p>
        </w:tc>
        <w:tc>
          <w:tcPr>
            <w:tcW w:w="1253" w:type="dxa"/>
            <w:tcBorders>
              <w:top w:val="nil"/>
              <w:left w:val="nil"/>
              <w:bottom w:val="single" w:sz="8" w:space="0" w:color="auto"/>
              <w:right w:val="single" w:sz="8" w:space="0" w:color="auto"/>
            </w:tcBorders>
            <w:shd w:val="clear" w:color="auto" w:fill="auto"/>
            <w:noWrap/>
            <w:vAlign w:val="center"/>
            <w:hideMark/>
          </w:tcPr>
          <w:p w:rsidR="00384C6B" w:rsidRDefault="00384C6B" w:rsidP="00205636">
            <w:pPr>
              <w:jc w:val="center"/>
              <w:rPr>
                <w:rFonts w:ascii="Arial" w:hAnsi="Arial" w:cs="Arial"/>
                <w:color w:val="000000"/>
                <w:sz w:val="16"/>
                <w:szCs w:val="16"/>
              </w:rPr>
            </w:pPr>
            <w:r>
              <w:rPr>
                <w:rFonts w:ascii="Arial" w:hAnsi="Arial" w:cs="Arial"/>
                <w:color w:val="000000"/>
                <w:sz w:val="16"/>
                <w:szCs w:val="16"/>
              </w:rPr>
              <w:t>15 285 604</w:t>
            </w:r>
          </w:p>
        </w:tc>
        <w:tc>
          <w:tcPr>
            <w:tcW w:w="1323" w:type="dxa"/>
            <w:tcBorders>
              <w:top w:val="nil"/>
              <w:left w:val="nil"/>
              <w:bottom w:val="single" w:sz="8" w:space="0" w:color="auto"/>
              <w:right w:val="single" w:sz="8" w:space="0" w:color="auto"/>
            </w:tcBorders>
            <w:shd w:val="clear" w:color="auto" w:fill="auto"/>
            <w:noWrap/>
            <w:vAlign w:val="center"/>
            <w:hideMark/>
          </w:tcPr>
          <w:p w:rsidR="00384C6B" w:rsidRDefault="00384C6B" w:rsidP="00205636">
            <w:pPr>
              <w:jc w:val="center"/>
              <w:rPr>
                <w:rFonts w:ascii="Arial" w:hAnsi="Arial" w:cs="Arial"/>
                <w:color w:val="000000"/>
                <w:sz w:val="16"/>
                <w:szCs w:val="16"/>
              </w:rPr>
            </w:pPr>
            <w:r>
              <w:rPr>
                <w:rFonts w:ascii="Arial" w:hAnsi="Arial" w:cs="Arial"/>
                <w:color w:val="000000"/>
                <w:sz w:val="16"/>
                <w:szCs w:val="16"/>
              </w:rPr>
              <w:t>13,13%</w:t>
            </w:r>
          </w:p>
        </w:tc>
        <w:tc>
          <w:tcPr>
            <w:tcW w:w="1334" w:type="dxa"/>
            <w:tcBorders>
              <w:top w:val="nil"/>
              <w:left w:val="nil"/>
              <w:bottom w:val="single" w:sz="8" w:space="0" w:color="auto"/>
              <w:right w:val="single" w:sz="8" w:space="0" w:color="auto"/>
            </w:tcBorders>
            <w:shd w:val="clear" w:color="auto" w:fill="auto"/>
            <w:noWrap/>
            <w:vAlign w:val="center"/>
            <w:hideMark/>
          </w:tcPr>
          <w:p w:rsidR="00384C6B" w:rsidRDefault="00384C6B" w:rsidP="00205636">
            <w:pPr>
              <w:jc w:val="center"/>
              <w:rPr>
                <w:rFonts w:ascii="Arial" w:hAnsi="Arial" w:cs="Arial"/>
                <w:color w:val="000000"/>
                <w:sz w:val="16"/>
                <w:szCs w:val="16"/>
              </w:rPr>
            </w:pPr>
            <w:r>
              <w:rPr>
                <w:rFonts w:ascii="Arial" w:hAnsi="Arial" w:cs="Arial"/>
                <w:color w:val="000000"/>
                <w:sz w:val="16"/>
                <w:szCs w:val="16"/>
              </w:rPr>
              <w:t>721 306</w:t>
            </w:r>
          </w:p>
        </w:tc>
        <w:tc>
          <w:tcPr>
            <w:tcW w:w="924" w:type="dxa"/>
            <w:tcBorders>
              <w:top w:val="nil"/>
              <w:left w:val="nil"/>
              <w:bottom w:val="single" w:sz="8" w:space="0" w:color="auto"/>
              <w:right w:val="single" w:sz="8" w:space="0" w:color="auto"/>
            </w:tcBorders>
            <w:shd w:val="clear" w:color="auto" w:fill="auto"/>
            <w:noWrap/>
            <w:vAlign w:val="center"/>
            <w:hideMark/>
          </w:tcPr>
          <w:p w:rsidR="00384C6B" w:rsidRDefault="00384C6B" w:rsidP="00205636">
            <w:pPr>
              <w:jc w:val="center"/>
              <w:rPr>
                <w:rFonts w:ascii="Arial" w:hAnsi="Arial" w:cs="Arial"/>
                <w:color w:val="000000"/>
                <w:sz w:val="16"/>
                <w:szCs w:val="16"/>
              </w:rPr>
            </w:pPr>
            <w:r>
              <w:rPr>
                <w:rFonts w:ascii="Arial" w:hAnsi="Arial" w:cs="Arial"/>
                <w:color w:val="000000"/>
                <w:sz w:val="16"/>
                <w:szCs w:val="16"/>
              </w:rPr>
              <w:t>0,62%</w:t>
            </w:r>
          </w:p>
        </w:tc>
      </w:tr>
      <w:tr w:rsidR="00384C6B" w:rsidTr="00384C6B">
        <w:trPr>
          <w:trHeight w:val="315"/>
        </w:trPr>
        <w:tc>
          <w:tcPr>
            <w:tcW w:w="1380" w:type="dxa"/>
            <w:tcBorders>
              <w:top w:val="nil"/>
              <w:left w:val="single" w:sz="8" w:space="0" w:color="auto"/>
              <w:bottom w:val="single" w:sz="8" w:space="0" w:color="auto"/>
              <w:right w:val="single" w:sz="8" w:space="0" w:color="auto"/>
            </w:tcBorders>
            <w:shd w:val="clear" w:color="000000" w:fill="EAF1DD"/>
            <w:vAlign w:val="center"/>
            <w:hideMark/>
          </w:tcPr>
          <w:p w:rsidR="00384C6B" w:rsidRDefault="00384C6B" w:rsidP="00205636">
            <w:pPr>
              <w:rPr>
                <w:rFonts w:ascii="Arial" w:hAnsi="Arial" w:cs="Arial"/>
                <w:b/>
                <w:bCs/>
                <w:color w:val="000000"/>
                <w:sz w:val="16"/>
                <w:szCs w:val="16"/>
              </w:rPr>
            </w:pPr>
            <w:r>
              <w:rPr>
                <w:rFonts w:ascii="Arial" w:hAnsi="Arial" w:cs="Arial"/>
                <w:b/>
                <w:bCs/>
                <w:color w:val="000000"/>
                <w:sz w:val="16"/>
                <w:szCs w:val="16"/>
              </w:rPr>
              <w:t>Spolu</w:t>
            </w:r>
          </w:p>
        </w:tc>
        <w:tc>
          <w:tcPr>
            <w:tcW w:w="1180" w:type="dxa"/>
            <w:tcBorders>
              <w:top w:val="nil"/>
              <w:left w:val="nil"/>
              <w:bottom w:val="single" w:sz="8" w:space="0" w:color="auto"/>
              <w:right w:val="single" w:sz="8" w:space="0" w:color="auto"/>
            </w:tcBorders>
            <w:shd w:val="clear" w:color="000000" w:fill="EAF1DD"/>
            <w:noWrap/>
            <w:vAlign w:val="center"/>
            <w:hideMark/>
          </w:tcPr>
          <w:p w:rsidR="00384C6B" w:rsidRDefault="00384C6B" w:rsidP="00205636">
            <w:pPr>
              <w:jc w:val="center"/>
              <w:rPr>
                <w:rFonts w:ascii="Arial" w:hAnsi="Arial" w:cs="Arial"/>
                <w:b/>
                <w:bCs/>
                <w:color w:val="000000"/>
                <w:sz w:val="16"/>
                <w:szCs w:val="16"/>
              </w:rPr>
            </w:pPr>
            <w:r>
              <w:rPr>
                <w:rFonts w:ascii="Arial" w:hAnsi="Arial" w:cs="Arial"/>
                <w:b/>
                <w:bCs/>
                <w:color w:val="000000"/>
                <w:sz w:val="16"/>
                <w:szCs w:val="16"/>
              </w:rPr>
              <w:t> </w:t>
            </w:r>
          </w:p>
        </w:tc>
        <w:tc>
          <w:tcPr>
            <w:tcW w:w="1316" w:type="dxa"/>
            <w:tcBorders>
              <w:top w:val="nil"/>
              <w:left w:val="nil"/>
              <w:bottom w:val="single" w:sz="8" w:space="0" w:color="auto"/>
              <w:right w:val="single" w:sz="8" w:space="0" w:color="auto"/>
            </w:tcBorders>
            <w:shd w:val="clear" w:color="000000" w:fill="EAF1DD"/>
            <w:noWrap/>
            <w:vAlign w:val="center"/>
            <w:hideMark/>
          </w:tcPr>
          <w:p w:rsidR="00384C6B" w:rsidRDefault="00384C6B" w:rsidP="00205636">
            <w:pPr>
              <w:jc w:val="center"/>
              <w:rPr>
                <w:rFonts w:ascii="Arial" w:hAnsi="Arial" w:cs="Arial"/>
                <w:b/>
                <w:bCs/>
                <w:color w:val="000000"/>
                <w:sz w:val="16"/>
                <w:szCs w:val="16"/>
              </w:rPr>
            </w:pPr>
            <w:r>
              <w:rPr>
                <w:rFonts w:ascii="Arial" w:hAnsi="Arial" w:cs="Arial"/>
                <w:b/>
                <w:bCs/>
                <w:color w:val="000000"/>
                <w:sz w:val="16"/>
                <w:szCs w:val="16"/>
              </w:rPr>
              <w:t>485 000 000</w:t>
            </w:r>
          </w:p>
        </w:tc>
        <w:tc>
          <w:tcPr>
            <w:tcW w:w="1253" w:type="dxa"/>
            <w:tcBorders>
              <w:top w:val="nil"/>
              <w:left w:val="nil"/>
              <w:bottom w:val="single" w:sz="8" w:space="0" w:color="auto"/>
              <w:right w:val="single" w:sz="8" w:space="0" w:color="auto"/>
            </w:tcBorders>
            <w:shd w:val="clear" w:color="000000" w:fill="EAF1DD"/>
            <w:noWrap/>
            <w:vAlign w:val="center"/>
            <w:hideMark/>
          </w:tcPr>
          <w:p w:rsidR="00384C6B" w:rsidRDefault="00384C6B" w:rsidP="00205636">
            <w:pPr>
              <w:jc w:val="center"/>
              <w:rPr>
                <w:rFonts w:ascii="Arial" w:hAnsi="Arial" w:cs="Arial"/>
                <w:b/>
                <w:bCs/>
                <w:color w:val="000000"/>
                <w:sz w:val="16"/>
                <w:szCs w:val="16"/>
              </w:rPr>
            </w:pPr>
            <w:r>
              <w:rPr>
                <w:rFonts w:ascii="Arial" w:hAnsi="Arial" w:cs="Arial"/>
                <w:b/>
                <w:bCs/>
                <w:color w:val="000000"/>
                <w:sz w:val="16"/>
                <w:szCs w:val="16"/>
              </w:rPr>
              <w:t>312 665 897</w:t>
            </w:r>
          </w:p>
        </w:tc>
        <w:tc>
          <w:tcPr>
            <w:tcW w:w="1323" w:type="dxa"/>
            <w:tcBorders>
              <w:top w:val="nil"/>
              <w:left w:val="nil"/>
              <w:bottom w:val="single" w:sz="8" w:space="0" w:color="auto"/>
              <w:right w:val="single" w:sz="8" w:space="0" w:color="auto"/>
            </w:tcBorders>
            <w:shd w:val="clear" w:color="000000" w:fill="EAF1DD"/>
            <w:noWrap/>
            <w:vAlign w:val="center"/>
            <w:hideMark/>
          </w:tcPr>
          <w:p w:rsidR="00384C6B" w:rsidRDefault="00384C6B" w:rsidP="00205636">
            <w:pPr>
              <w:jc w:val="center"/>
              <w:rPr>
                <w:rFonts w:ascii="Arial" w:hAnsi="Arial" w:cs="Arial"/>
                <w:b/>
                <w:bCs/>
                <w:color w:val="000000"/>
                <w:sz w:val="16"/>
                <w:szCs w:val="16"/>
              </w:rPr>
            </w:pPr>
            <w:r>
              <w:rPr>
                <w:rFonts w:ascii="Arial" w:hAnsi="Arial" w:cs="Arial"/>
                <w:b/>
                <w:bCs/>
                <w:color w:val="000000"/>
                <w:sz w:val="16"/>
                <w:szCs w:val="16"/>
              </w:rPr>
              <w:t>64,47%</w:t>
            </w:r>
          </w:p>
        </w:tc>
        <w:tc>
          <w:tcPr>
            <w:tcW w:w="1334" w:type="dxa"/>
            <w:tcBorders>
              <w:top w:val="nil"/>
              <w:left w:val="nil"/>
              <w:bottom w:val="single" w:sz="8" w:space="0" w:color="auto"/>
              <w:right w:val="single" w:sz="8" w:space="0" w:color="auto"/>
            </w:tcBorders>
            <w:shd w:val="clear" w:color="000000" w:fill="EAF1DD"/>
            <w:noWrap/>
            <w:vAlign w:val="center"/>
            <w:hideMark/>
          </w:tcPr>
          <w:p w:rsidR="00384C6B" w:rsidRDefault="00384C6B" w:rsidP="00205636">
            <w:pPr>
              <w:jc w:val="center"/>
              <w:rPr>
                <w:rFonts w:ascii="Arial" w:hAnsi="Arial" w:cs="Arial"/>
                <w:b/>
                <w:bCs/>
                <w:color w:val="000000"/>
                <w:sz w:val="16"/>
                <w:szCs w:val="16"/>
              </w:rPr>
            </w:pPr>
            <w:r>
              <w:rPr>
                <w:rFonts w:ascii="Arial" w:hAnsi="Arial" w:cs="Arial"/>
                <w:b/>
                <w:bCs/>
                <w:color w:val="000000"/>
                <w:sz w:val="16"/>
                <w:szCs w:val="16"/>
              </w:rPr>
              <w:t>180 812 171</w:t>
            </w:r>
          </w:p>
        </w:tc>
        <w:tc>
          <w:tcPr>
            <w:tcW w:w="924" w:type="dxa"/>
            <w:tcBorders>
              <w:top w:val="nil"/>
              <w:left w:val="nil"/>
              <w:bottom w:val="single" w:sz="8" w:space="0" w:color="auto"/>
              <w:right w:val="single" w:sz="8" w:space="0" w:color="auto"/>
            </w:tcBorders>
            <w:shd w:val="clear" w:color="000000" w:fill="EAF1DD"/>
            <w:noWrap/>
            <w:vAlign w:val="center"/>
            <w:hideMark/>
          </w:tcPr>
          <w:p w:rsidR="00384C6B" w:rsidRDefault="00384C6B" w:rsidP="00205636">
            <w:pPr>
              <w:jc w:val="center"/>
              <w:rPr>
                <w:rFonts w:ascii="Arial" w:hAnsi="Arial" w:cs="Arial"/>
                <w:b/>
                <w:bCs/>
                <w:color w:val="000000"/>
                <w:sz w:val="16"/>
                <w:szCs w:val="16"/>
              </w:rPr>
            </w:pPr>
            <w:r>
              <w:rPr>
                <w:rFonts w:ascii="Arial" w:hAnsi="Arial" w:cs="Arial"/>
                <w:b/>
                <w:bCs/>
                <w:color w:val="000000"/>
                <w:sz w:val="16"/>
                <w:szCs w:val="16"/>
              </w:rPr>
              <w:t>37,28%</w:t>
            </w:r>
          </w:p>
        </w:tc>
      </w:tr>
    </w:tbl>
    <w:p w:rsidR="00EF0B04" w:rsidRPr="00A322EA" w:rsidRDefault="00000CC9" w:rsidP="00205636">
      <w:pPr>
        <w:pStyle w:val="Zkladntextb"/>
        <w:spacing w:after="0" w:line="360" w:lineRule="auto"/>
        <w:ind w:left="0"/>
        <w:jc w:val="both"/>
        <w:rPr>
          <w:rFonts w:cs="Arial"/>
          <w:sz w:val="18"/>
          <w:szCs w:val="18"/>
          <w:lang w:val="sk-SK"/>
        </w:rPr>
      </w:pPr>
      <w:r>
        <w:rPr>
          <w:rFonts w:cs="Arial"/>
          <w:sz w:val="18"/>
          <w:szCs w:val="18"/>
          <w:lang w:val="sk-SK"/>
        </w:rPr>
        <w:t>Zdroj: RO, ITMS</w:t>
      </w:r>
    </w:p>
    <w:p w:rsidR="00617FE5" w:rsidRDefault="00617FE5">
      <w:pPr>
        <w:rPr>
          <w:rFonts w:ascii="Arial" w:hAnsi="Arial" w:cs="Arial"/>
          <w:sz w:val="20"/>
          <w:szCs w:val="20"/>
        </w:rPr>
      </w:pPr>
      <w:r>
        <w:rPr>
          <w:rFonts w:cs="Arial"/>
        </w:rPr>
        <w:br w:type="page"/>
      </w:r>
    </w:p>
    <w:p w:rsidR="00EF0B04" w:rsidRDefault="004B2E7A" w:rsidP="00507035">
      <w:pPr>
        <w:pStyle w:val="Zkladntextb"/>
        <w:spacing w:before="120" w:after="120" w:line="360" w:lineRule="auto"/>
        <w:ind w:left="0"/>
        <w:jc w:val="both"/>
        <w:rPr>
          <w:rFonts w:cs="Arial"/>
          <w:lang w:val="sk-SK"/>
        </w:rPr>
      </w:pPr>
      <w:r>
        <w:rPr>
          <w:rFonts w:cs="Arial"/>
          <w:lang w:val="sk-SK"/>
        </w:rPr>
        <w:t>Graf č. 8</w:t>
      </w:r>
      <w:r w:rsidR="00EF0B04">
        <w:rPr>
          <w:rFonts w:cs="Arial"/>
          <w:lang w:val="sk-SK"/>
        </w:rPr>
        <w:t xml:space="preserve"> </w:t>
      </w:r>
      <w:r w:rsidR="00EF0B04" w:rsidRPr="006A2BF3">
        <w:rPr>
          <w:rFonts w:cs="Arial"/>
          <w:lang w:val="sk-SK"/>
        </w:rPr>
        <w:t>Operačný cieľ 4.1 - Prioritná téma 44</w:t>
      </w:r>
      <w:r w:rsidR="00EF0B04">
        <w:rPr>
          <w:rFonts w:cs="Arial"/>
          <w:lang w:val="sk-SK"/>
        </w:rPr>
        <w:t xml:space="preserve"> Hospodárenie s domácim a priemyselným odpadom</w:t>
      </w:r>
    </w:p>
    <w:p w:rsidR="00EF0B04" w:rsidRDefault="00587FAE" w:rsidP="00507035">
      <w:pPr>
        <w:pStyle w:val="Zkladntextb"/>
        <w:spacing w:before="120" w:after="120" w:line="360" w:lineRule="auto"/>
        <w:ind w:left="0"/>
        <w:jc w:val="center"/>
        <w:rPr>
          <w:rFonts w:cs="Arial"/>
          <w:lang w:val="sk-SK"/>
        </w:rPr>
      </w:pPr>
      <w:r>
        <w:rPr>
          <w:noProof/>
          <w:lang w:val="sk-SK"/>
        </w:rPr>
        <w:drawing>
          <wp:inline distT="0" distB="0" distL="0" distR="0" wp14:anchorId="75F21EA3" wp14:editId="648E5750">
            <wp:extent cx="5542280" cy="2838450"/>
            <wp:effectExtent l="0" t="0" r="0" b="0"/>
            <wp:docPr id="10" name="Objekt 10"/>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49"/>
              </a:graphicData>
            </a:graphic>
          </wp:inline>
        </w:drawing>
      </w:r>
    </w:p>
    <w:tbl>
      <w:tblPr>
        <w:tblpPr w:leftFromText="141" w:rightFromText="141" w:vertAnchor="text" w:horzAnchor="margin" w:tblpY="232"/>
        <w:tblW w:w="1771" w:type="dxa"/>
        <w:tblCellMar>
          <w:left w:w="70" w:type="dxa"/>
          <w:right w:w="70" w:type="dxa"/>
        </w:tblCellMar>
        <w:tblLook w:val="04A0" w:firstRow="1" w:lastRow="0" w:firstColumn="1" w:lastColumn="0" w:noHBand="0" w:noVBand="1"/>
      </w:tblPr>
      <w:tblGrid>
        <w:gridCol w:w="202"/>
        <w:gridCol w:w="1576"/>
      </w:tblGrid>
      <w:tr w:rsidR="00EF0B04" w:rsidRPr="00A322EA" w:rsidTr="00923048">
        <w:trPr>
          <w:trHeight w:val="284"/>
        </w:trPr>
        <w:tc>
          <w:tcPr>
            <w:tcW w:w="195" w:type="dxa"/>
            <w:tcBorders>
              <w:top w:val="nil"/>
              <w:left w:val="nil"/>
              <w:bottom w:val="nil"/>
              <w:right w:val="nil"/>
            </w:tcBorders>
            <w:shd w:val="clear" w:color="000000" w:fill="C00000"/>
            <w:noWrap/>
            <w:vAlign w:val="bottom"/>
            <w:hideMark/>
          </w:tcPr>
          <w:p w:rsidR="00EF0B04" w:rsidRPr="00A322EA" w:rsidRDefault="00EF0B04" w:rsidP="00507035">
            <w:pPr>
              <w:spacing w:before="120" w:after="120"/>
              <w:rPr>
                <w:rFonts w:ascii="Arial" w:hAnsi="Arial" w:cs="Arial"/>
                <w:color w:val="000000"/>
                <w:sz w:val="22"/>
                <w:szCs w:val="22"/>
              </w:rPr>
            </w:pPr>
            <w:r w:rsidRPr="00A322EA">
              <w:rPr>
                <w:rFonts w:ascii="Arial" w:hAnsi="Arial" w:cs="Arial"/>
                <w:color w:val="000000"/>
                <w:sz w:val="22"/>
                <w:szCs w:val="22"/>
              </w:rPr>
              <w:t> </w:t>
            </w:r>
          </w:p>
        </w:tc>
        <w:tc>
          <w:tcPr>
            <w:tcW w:w="1576" w:type="dxa"/>
            <w:tcBorders>
              <w:top w:val="nil"/>
              <w:left w:val="nil"/>
              <w:bottom w:val="nil"/>
              <w:right w:val="nil"/>
            </w:tcBorders>
            <w:noWrap/>
            <w:vAlign w:val="center"/>
            <w:hideMark/>
          </w:tcPr>
          <w:p w:rsidR="00EF0B04" w:rsidRPr="00A322EA" w:rsidRDefault="00EF0B04" w:rsidP="00507035">
            <w:pPr>
              <w:spacing w:before="120" w:after="120"/>
              <w:rPr>
                <w:rFonts w:ascii="Arial" w:hAnsi="Arial" w:cs="Arial"/>
                <w:color w:val="000000"/>
                <w:sz w:val="16"/>
                <w:szCs w:val="16"/>
              </w:rPr>
            </w:pPr>
            <w:r w:rsidRPr="00A322EA">
              <w:rPr>
                <w:rFonts w:ascii="Arial" w:hAnsi="Arial" w:cs="Arial"/>
                <w:color w:val="000000"/>
                <w:sz w:val="16"/>
                <w:szCs w:val="16"/>
              </w:rPr>
              <w:t>Úroveň zazmluvnenia</w:t>
            </w:r>
          </w:p>
        </w:tc>
      </w:tr>
      <w:tr w:rsidR="00EF0B04" w:rsidRPr="00A322EA" w:rsidTr="00923048">
        <w:trPr>
          <w:trHeight w:val="227"/>
        </w:trPr>
        <w:tc>
          <w:tcPr>
            <w:tcW w:w="195" w:type="dxa"/>
            <w:tcBorders>
              <w:top w:val="nil"/>
              <w:left w:val="nil"/>
              <w:bottom w:val="nil"/>
              <w:right w:val="nil"/>
            </w:tcBorders>
            <w:shd w:val="clear" w:color="000000" w:fill="0070C0"/>
            <w:noWrap/>
            <w:vAlign w:val="bottom"/>
            <w:hideMark/>
          </w:tcPr>
          <w:p w:rsidR="00EF0B04" w:rsidRPr="00A322EA" w:rsidRDefault="00EF0B04" w:rsidP="00507035">
            <w:pPr>
              <w:spacing w:before="120" w:after="120"/>
              <w:rPr>
                <w:rFonts w:ascii="Arial" w:hAnsi="Arial" w:cs="Arial"/>
                <w:color w:val="000000"/>
                <w:sz w:val="22"/>
                <w:szCs w:val="22"/>
              </w:rPr>
            </w:pPr>
          </w:p>
        </w:tc>
        <w:tc>
          <w:tcPr>
            <w:tcW w:w="1576" w:type="dxa"/>
            <w:tcBorders>
              <w:top w:val="nil"/>
              <w:left w:val="nil"/>
              <w:bottom w:val="nil"/>
              <w:right w:val="nil"/>
            </w:tcBorders>
            <w:noWrap/>
            <w:vAlign w:val="center"/>
            <w:hideMark/>
          </w:tcPr>
          <w:p w:rsidR="00EF0B04" w:rsidRPr="00A322EA" w:rsidRDefault="00EF0B04" w:rsidP="00507035">
            <w:pPr>
              <w:spacing w:before="120" w:after="120"/>
              <w:rPr>
                <w:rFonts w:ascii="Arial" w:hAnsi="Arial" w:cs="Arial"/>
                <w:color w:val="000000"/>
                <w:sz w:val="16"/>
                <w:szCs w:val="16"/>
              </w:rPr>
            </w:pPr>
            <w:r w:rsidRPr="00A322EA">
              <w:rPr>
                <w:rFonts w:ascii="Arial" w:hAnsi="Arial" w:cs="Arial"/>
                <w:color w:val="000000"/>
                <w:sz w:val="16"/>
                <w:szCs w:val="16"/>
              </w:rPr>
              <w:t>Úroveň čerpania</w:t>
            </w:r>
          </w:p>
        </w:tc>
      </w:tr>
    </w:tbl>
    <w:p w:rsidR="00EF0B04" w:rsidRDefault="00EF0B04" w:rsidP="00507035">
      <w:pPr>
        <w:pStyle w:val="Zkladntextb"/>
        <w:spacing w:before="120" w:after="120" w:line="360" w:lineRule="auto"/>
        <w:ind w:left="0"/>
        <w:jc w:val="both"/>
        <w:rPr>
          <w:lang w:val="sk-SK"/>
        </w:rPr>
      </w:pPr>
      <w:r>
        <w:rPr>
          <w:lang w:val="sk-SK"/>
        </w:rPr>
        <w:t xml:space="preserve">Implementáciu OP na úrovni </w:t>
      </w:r>
      <w:r w:rsidRPr="00D64816">
        <w:rPr>
          <w:lang w:val="sk-SK"/>
        </w:rPr>
        <w:t>operačného cieľa 4.1 možno z</w:t>
      </w:r>
      <w:r>
        <w:rPr>
          <w:lang w:val="sk-SK"/>
        </w:rPr>
        <w:t xml:space="preserve"> </w:t>
      </w:r>
      <w:r w:rsidRPr="00D64816">
        <w:rPr>
          <w:lang w:val="sk-SK"/>
        </w:rPr>
        <w:t xml:space="preserve">hľadiska pomeru medzi </w:t>
      </w:r>
      <w:r>
        <w:rPr>
          <w:lang w:val="sk-SK"/>
        </w:rPr>
        <w:t>zazmluvnením alokácie v rámci HT 44</w:t>
      </w:r>
      <w:r w:rsidRPr="00D64816">
        <w:rPr>
          <w:lang w:val="sk-SK"/>
        </w:rPr>
        <w:t xml:space="preserve"> a</w:t>
      </w:r>
      <w:r>
        <w:rPr>
          <w:lang w:val="sk-SK"/>
        </w:rPr>
        <w:t xml:space="preserve"> </w:t>
      </w:r>
      <w:r w:rsidRPr="00D64816">
        <w:rPr>
          <w:lang w:val="sk-SK"/>
        </w:rPr>
        <w:t>dosahovaním cieľových hodnôt merateľných ukazova</w:t>
      </w:r>
      <w:r>
        <w:rPr>
          <w:lang w:val="sk-SK"/>
        </w:rPr>
        <w:t xml:space="preserve">teľov hodnotiť ako uspokojivú. </w:t>
      </w:r>
      <w:r w:rsidRPr="00D64816">
        <w:rPr>
          <w:lang w:val="sk-SK"/>
        </w:rPr>
        <w:t>Na základe porovnania podielu zazmluvnených projektov na alokácii na HT 44 a</w:t>
      </w:r>
      <w:r>
        <w:rPr>
          <w:lang w:val="sk-SK"/>
        </w:rPr>
        <w:t xml:space="preserve"> </w:t>
      </w:r>
      <w:r w:rsidRPr="00D64816">
        <w:rPr>
          <w:lang w:val="sk-SK"/>
        </w:rPr>
        <w:t>podielu plánovanej predpokladanej cieľovej hodnoty ukazovateľa „Množstvo vyseparovaných komunálnych odpadov (spolu za projekty)“ u</w:t>
      </w:r>
      <w:r>
        <w:rPr>
          <w:lang w:val="sk-SK"/>
        </w:rPr>
        <w:t xml:space="preserve"> </w:t>
      </w:r>
      <w:r w:rsidRPr="00D64816">
        <w:rPr>
          <w:lang w:val="sk-SK"/>
        </w:rPr>
        <w:t xml:space="preserve">zazmluvnených projektov je možné v ďalšom období reálne očakávať naplnenie plánovanej hodnoty tohto ukazovateľa, </w:t>
      </w:r>
      <w:r w:rsidR="00A25B9A">
        <w:rPr>
          <w:lang w:val="sk-SK"/>
        </w:rPr>
        <w:t>vzhľadom na to, že</w:t>
      </w:r>
      <w:r w:rsidR="00A25B9A" w:rsidRPr="00D64816">
        <w:rPr>
          <w:lang w:val="sk-SK"/>
        </w:rPr>
        <w:t xml:space="preserve"> </w:t>
      </w:r>
      <w:r w:rsidRPr="00D64816">
        <w:rPr>
          <w:lang w:val="sk-SK"/>
        </w:rPr>
        <w:t xml:space="preserve">ku dňu vypracovania výročnej správy </w:t>
      </w:r>
      <w:r w:rsidR="009D1F32">
        <w:rPr>
          <w:lang w:val="sk-SK"/>
        </w:rPr>
        <w:t>dosahuje hodnotu 96%</w:t>
      </w:r>
      <w:r w:rsidRPr="00D64816">
        <w:rPr>
          <w:lang w:val="sk-SK"/>
        </w:rPr>
        <w:t xml:space="preserve">. </w:t>
      </w:r>
    </w:p>
    <w:p w:rsidR="00EF0B04" w:rsidRDefault="00EF0B04" w:rsidP="00507035">
      <w:pPr>
        <w:pStyle w:val="Zkladntextb"/>
        <w:spacing w:before="120" w:after="120" w:line="360" w:lineRule="auto"/>
        <w:ind w:left="0"/>
        <w:jc w:val="both"/>
        <w:rPr>
          <w:lang w:val="sk-SK"/>
        </w:rPr>
      </w:pPr>
      <w:r>
        <w:rPr>
          <w:lang w:val="sk-SK"/>
        </w:rPr>
        <w:t>P</w:t>
      </w:r>
      <w:r w:rsidRPr="00D64816">
        <w:rPr>
          <w:lang w:val="sk-SK"/>
        </w:rPr>
        <w:t>lánovaná hodnota ukazovateľa „Počet vybudovaných a</w:t>
      </w:r>
      <w:r>
        <w:rPr>
          <w:lang w:val="sk-SK"/>
        </w:rPr>
        <w:t xml:space="preserve"> </w:t>
      </w:r>
      <w:r w:rsidRPr="00D64816">
        <w:rPr>
          <w:lang w:val="sk-SK"/>
        </w:rPr>
        <w:t xml:space="preserve">zmodernizovaných zariadení na separovaný zber“ bola dosiahnutá už v priebehu roka 2011. </w:t>
      </w:r>
      <w:r w:rsidR="00A25B9A">
        <w:rPr>
          <w:lang w:val="sk-SK"/>
        </w:rPr>
        <w:t>V</w:t>
      </w:r>
      <w:r w:rsidRPr="00D64816">
        <w:rPr>
          <w:lang w:val="sk-SK"/>
        </w:rPr>
        <w:t> roku 201</w:t>
      </w:r>
      <w:r w:rsidR="009D1F32">
        <w:rPr>
          <w:lang w:val="sk-SK"/>
        </w:rPr>
        <w:t>2</w:t>
      </w:r>
      <w:r w:rsidRPr="00D64816">
        <w:rPr>
          <w:lang w:val="sk-SK"/>
        </w:rPr>
        <w:t xml:space="preserve"> meraná hodnota daného ukazovateľa bola naplnená na </w:t>
      </w:r>
      <w:r w:rsidR="009D1F32">
        <w:rPr>
          <w:lang w:val="sk-SK"/>
        </w:rPr>
        <w:t>217</w:t>
      </w:r>
      <w:r w:rsidRPr="00D64816">
        <w:rPr>
          <w:lang w:val="sk-SK"/>
        </w:rPr>
        <w:t xml:space="preserve">%. Berúc do úvahy fakt, že finančné čerpanie danej prioritnej témy je na úrovni </w:t>
      </w:r>
      <w:r w:rsidR="009D1F32">
        <w:rPr>
          <w:lang w:val="sk-SK"/>
        </w:rPr>
        <w:t>48,86</w:t>
      </w:r>
      <w:r w:rsidRPr="00D64816">
        <w:rPr>
          <w:lang w:val="sk-SK"/>
        </w:rPr>
        <w:t>% možno fyzický pokrok ukazovateľa výstupu „Počet vybudovaných a zmodernizovaných zariadení na separovaný zber“ považovať za viac ako uspokojivý. Meraná hodnota ukazovateľa výsledku odzrkadľuje reálny stav na projektoch a jeho naplnenie možno očakávať až po skončení realizácie projektov a predložení následných monitorovacích správ.</w:t>
      </w:r>
    </w:p>
    <w:p w:rsidR="00147BBB" w:rsidRDefault="00147BBB" w:rsidP="00507035">
      <w:pPr>
        <w:pStyle w:val="Zkladntextb"/>
        <w:spacing w:before="120" w:after="120" w:line="360" w:lineRule="auto"/>
        <w:ind w:left="0"/>
        <w:jc w:val="both"/>
        <w:rPr>
          <w:rFonts w:cs="Arial"/>
          <w:lang w:val="sk-SK"/>
        </w:rPr>
      </w:pPr>
    </w:p>
    <w:p w:rsidR="00361030" w:rsidRDefault="00361030" w:rsidP="00507035">
      <w:pPr>
        <w:spacing w:before="120" w:after="120"/>
        <w:rPr>
          <w:rFonts w:ascii="Arial" w:hAnsi="Arial" w:cs="Arial"/>
          <w:sz w:val="20"/>
          <w:szCs w:val="20"/>
        </w:rPr>
      </w:pPr>
      <w:r>
        <w:rPr>
          <w:rFonts w:cs="Arial"/>
        </w:rPr>
        <w:br w:type="page"/>
      </w:r>
    </w:p>
    <w:p w:rsidR="00EF0B04" w:rsidRDefault="004B2E7A" w:rsidP="00507035">
      <w:pPr>
        <w:pStyle w:val="Zkladntextb"/>
        <w:spacing w:before="120" w:after="120" w:line="360" w:lineRule="auto"/>
        <w:ind w:left="0"/>
        <w:jc w:val="both"/>
        <w:rPr>
          <w:rFonts w:cs="Arial"/>
          <w:lang w:val="sk-SK"/>
        </w:rPr>
      </w:pPr>
      <w:r>
        <w:rPr>
          <w:rFonts w:cs="Arial"/>
          <w:lang w:val="sk-SK"/>
        </w:rPr>
        <w:t>Graf č. 9</w:t>
      </w:r>
      <w:r w:rsidR="00EF0B04">
        <w:rPr>
          <w:rFonts w:cs="Arial"/>
          <w:lang w:val="sk-SK"/>
        </w:rPr>
        <w:t xml:space="preserve"> </w:t>
      </w:r>
      <w:r w:rsidR="00EF0B04" w:rsidRPr="006A2BF3">
        <w:rPr>
          <w:rFonts w:cs="Arial"/>
          <w:lang w:val="sk-SK"/>
        </w:rPr>
        <w:t>Operačný cieľ 4.2 - Prioritná téma 44</w:t>
      </w:r>
      <w:r w:rsidR="00EF0B04">
        <w:rPr>
          <w:rFonts w:cs="Arial"/>
          <w:lang w:val="sk-SK"/>
        </w:rPr>
        <w:t xml:space="preserve"> Hospodárenie s domácim a priemyselným odpadom</w:t>
      </w:r>
    </w:p>
    <w:p w:rsidR="00EF0B04" w:rsidRDefault="00587FAE" w:rsidP="00507035">
      <w:pPr>
        <w:pStyle w:val="Zkladntextb"/>
        <w:spacing w:before="120" w:after="120" w:line="360" w:lineRule="auto"/>
        <w:ind w:left="0"/>
        <w:jc w:val="center"/>
        <w:rPr>
          <w:rFonts w:cs="Arial"/>
          <w:lang w:val="sk-SK"/>
        </w:rPr>
      </w:pPr>
      <w:r>
        <w:rPr>
          <w:noProof/>
          <w:lang w:val="sk-SK"/>
        </w:rPr>
        <w:drawing>
          <wp:inline distT="0" distB="0" distL="0" distR="0" wp14:anchorId="43B87AE5" wp14:editId="174F6D13">
            <wp:extent cx="5152390" cy="3315970"/>
            <wp:effectExtent l="0" t="0" r="0" b="0"/>
            <wp:docPr id="11" name="Objekt 1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50"/>
              </a:graphicData>
            </a:graphic>
          </wp:inline>
        </w:drawing>
      </w:r>
    </w:p>
    <w:tbl>
      <w:tblPr>
        <w:tblpPr w:leftFromText="141" w:rightFromText="141" w:vertAnchor="text" w:horzAnchor="margin" w:tblpY="232"/>
        <w:tblW w:w="1771" w:type="dxa"/>
        <w:tblCellMar>
          <w:left w:w="70" w:type="dxa"/>
          <w:right w:w="70" w:type="dxa"/>
        </w:tblCellMar>
        <w:tblLook w:val="04A0" w:firstRow="1" w:lastRow="0" w:firstColumn="1" w:lastColumn="0" w:noHBand="0" w:noVBand="1"/>
      </w:tblPr>
      <w:tblGrid>
        <w:gridCol w:w="202"/>
        <w:gridCol w:w="1576"/>
      </w:tblGrid>
      <w:tr w:rsidR="00EF0B04" w:rsidRPr="00A322EA" w:rsidTr="00923048">
        <w:trPr>
          <w:trHeight w:val="284"/>
        </w:trPr>
        <w:tc>
          <w:tcPr>
            <w:tcW w:w="195" w:type="dxa"/>
            <w:tcBorders>
              <w:top w:val="nil"/>
              <w:left w:val="nil"/>
              <w:bottom w:val="nil"/>
              <w:right w:val="nil"/>
            </w:tcBorders>
            <w:shd w:val="clear" w:color="000000" w:fill="C00000"/>
            <w:noWrap/>
            <w:vAlign w:val="bottom"/>
            <w:hideMark/>
          </w:tcPr>
          <w:p w:rsidR="00EF0B04" w:rsidRPr="00A322EA" w:rsidRDefault="00EF0B04" w:rsidP="00507035">
            <w:pPr>
              <w:spacing w:before="120" w:after="120"/>
              <w:rPr>
                <w:rFonts w:ascii="Arial" w:hAnsi="Arial" w:cs="Arial"/>
                <w:color w:val="000000"/>
                <w:sz w:val="22"/>
                <w:szCs w:val="22"/>
              </w:rPr>
            </w:pPr>
            <w:r w:rsidRPr="00A322EA">
              <w:rPr>
                <w:rFonts w:ascii="Arial" w:hAnsi="Arial" w:cs="Arial"/>
                <w:color w:val="000000"/>
                <w:sz w:val="22"/>
                <w:szCs w:val="22"/>
              </w:rPr>
              <w:t> </w:t>
            </w:r>
          </w:p>
        </w:tc>
        <w:tc>
          <w:tcPr>
            <w:tcW w:w="1576" w:type="dxa"/>
            <w:tcBorders>
              <w:top w:val="nil"/>
              <w:left w:val="nil"/>
              <w:bottom w:val="nil"/>
              <w:right w:val="nil"/>
            </w:tcBorders>
            <w:noWrap/>
            <w:vAlign w:val="center"/>
            <w:hideMark/>
          </w:tcPr>
          <w:p w:rsidR="00EF0B04" w:rsidRPr="00A322EA" w:rsidRDefault="00EF0B04" w:rsidP="00507035">
            <w:pPr>
              <w:spacing w:before="120" w:after="120"/>
              <w:rPr>
                <w:rFonts w:ascii="Arial" w:hAnsi="Arial" w:cs="Arial"/>
                <w:color w:val="000000"/>
                <w:sz w:val="16"/>
                <w:szCs w:val="16"/>
              </w:rPr>
            </w:pPr>
            <w:r w:rsidRPr="00A322EA">
              <w:rPr>
                <w:rFonts w:ascii="Arial" w:hAnsi="Arial" w:cs="Arial"/>
                <w:color w:val="000000"/>
                <w:sz w:val="16"/>
                <w:szCs w:val="16"/>
              </w:rPr>
              <w:t>Úroveň zazmluvnenia</w:t>
            </w:r>
          </w:p>
        </w:tc>
      </w:tr>
      <w:tr w:rsidR="00EF0B04" w:rsidRPr="00A322EA" w:rsidTr="00923048">
        <w:trPr>
          <w:trHeight w:val="227"/>
        </w:trPr>
        <w:tc>
          <w:tcPr>
            <w:tcW w:w="195" w:type="dxa"/>
            <w:tcBorders>
              <w:top w:val="nil"/>
              <w:left w:val="nil"/>
              <w:bottom w:val="nil"/>
              <w:right w:val="nil"/>
            </w:tcBorders>
            <w:shd w:val="clear" w:color="000000" w:fill="0070C0"/>
            <w:noWrap/>
            <w:vAlign w:val="bottom"/>
            <w:hideMark/>
          </w:tcPr>
          <w:p w:rsidR="00EF0B04" w:rsidRPr="00A322EA" w:rsidRDefault="00EF0B04" w:rsidP="00507035">
            <w:pPr>
              <w:spacing w:before="120" w:after="120"/>
              <w:rPr>
                <w:rFonts w:ascii="Arial" w:hAnsi="Arial" w:cs="Arial"/>
                <w:color w:val="000000"/>
                <w:sz w:val="22"/>
                <w:szCs w:val="22"/>
              </w:rPr>
            </w:pPr>
            <w:r w:rsidRPr="00A322EA">
              <w:rPr>
                <w:rFonts w:ascii="Arial" w:hAnsi="Arial" w:cs="Arial"/>
                <w:color w:val="000000"/>
                <w:sz w:val="22"/>
                <w:szCs w:val="22"/>
              </w:rPr>
              <w:t> </w:t>
            </w:r>
          </w:p>
        </w:tc>
        <w:tc>
          <w:tcPr>
            <w:tcW w:w="1576" w:type="dxa"/>
            <w:tcBorders>
              <w:top w:val="nil"/>
              <w:left w:val="nil"/>
              <w:bottom w:val="nil"/>
              <w:right w:val="nil"/>
            </w:tcBorders>
            <w:noWrap/>
            <w:vAlign w:val="center"/>
            <w:hideMark/>
          </w:tcPr>
          <w:p w:rsidR="00EF0B04" w:rsidRPr="00A322EA" w:rsidRDefault="00EF0B04" w:rsidP="00507035">
            <w:pPr>
              <w:spacing w:before="120" w:after="120"/>
              <w:rPr>
                <w:rFonts w:ascii="Arial" w:hAnsi="Arial" w:cs="Arial"/>
                <w:color w:val="000000"/>
                <w:sz w:val="16"/>
                <w:szCs w:val="16"/>
              </w:rPr>
            </w:pPr>
            <w:r w:rsidRPr="00A322EA">
              <w:rPr>
                <w:rFonts w:ascii="Arial" w:hAnsi="Arial" w:cs="Arial"/>
                <w:color w:val="000000"/>
                <w:sz w:val="16"/>
                <w:szCs w:val="16"/>
              </w:rPr>
              <w:t>Úroveň čerpania</w:t>
            </w:r>
          </w:p>
        </w:tc>
      </w:tr>
    </w:tbl>
    <w:p w:rsidR="00EF0B04" w:rsidRPr="006A2BF3" w:rsidRDefault="00EF0B04" w:rsidP="00507035">
      <w:pPr>
        <w:spacing w:before="120" w:after="120" w:line="360" w:lineRule="auto"/>
        <w:jc w:val="both"/>
        <w:rPr>
          <w:rFonts w:ascii="Arial" w:hAnsi="Arial" w:cs="Arial"/>
          <w:sz w:val="20"/>
          <w:szCs w:val="20"/>
        </w:rPr>
      </w:pPr>
      <w:r w:rsidRPr="006A2BF3">
        <w:rPr>
          <w:rFonts w:ascii="Arial" w:hAnsi="Arial" w:cs="Arial"/>
          <w:sz w:val="20"/>
          <w:szCs w:val="20"/>
        </w:rPr>
        <w:t>Taktiež v rámci operačného cieľa 4.2 možno hodnotiť implementáciu OP ako vyhovujúcu. Hoci predpokladaná cieľová hodnota ukazovateľa „Počet vybudovaných alebo zmodernizovaných zariadení na energetické zhodnocovanie odpadov“ u</w:t>
      </w:r>
      <w:r>
        <w:rPr>
          <w:rFonts w:ascii="Arial" w:hAnsi="Arial" w:cs="Arial"/>
          <w:sz w:val="20"/>
          <w:szCs w:val="20"/>
        </w:rPr>
        <w:t xml:space="preserve"> </w:t>
      </w:r>
      <w:r w:rsidRPr="006A2BF3">
        <w:rPr>
          <w:rFonts w:ascii="Arial" w:hAnsi="Arial" w:cs="Arial"/>
          <w:sz w:val="20"/>
          <w:szCs w:val="20"/>
        </w:rPr>
        <w:t>zazmluvnených projektov v r</w:t>
      </w:r>
      <w:r>
        <w:rPr>
          <w:rFonts w:ascii="Arial" w:hAnsi="Arial" w:cs="Arial"/>
          <w:sz w:val="20"/>
          <w:szCs w:val="20"/>
        </w:rPr>
        <w:t>oku 201</w:t>
      </w:r>
      <w:r w:rsidR="00D7426C">
        <w:rPr>
          <w:rFonts w:ascii="Arial" w:hAnsi="Arial" w:cs="Arial"/>
          <w:sz w:val="20"/>
          <w:szCs w:val="20"/>
        </w:rPr>
        <w:t>2</w:t>
      </w:r>
      <w:r>
        <w:rPr>
          <w:rFonts w:ascii="Arial" w:hAnsi="Arial" w:cs="Arial"/>
          <w:sz w:val="20"/>
          <w:szCs w:val="20"/>
        </w:rPr>
        <w:t xml:space="preserve"> nedosiahla plánovanú </w:t>
      </w:r>
      <w:r w:rsidRPr="006A2BF3">
        <w:rPr>
          <w:rFonts w:ascii="Arial" w:hAnsi="Arial" w:cs="Arial"/>
          <w:sz w:val="20"/>
          <w:szCs w:val="20"/>
        </w:rPr>
        <w:t xml:space="preserve">hodnotu daného ukazovateľa, predpokladaná cieľová hodnota ukazovateľa „Množstvo energeticky zhodnotených odpadov (spolu za projekty)“ presahuje plánovanú hodnotu stanovenú na úrovni OP. Taktiež predpokladané cieľové hodnoty ukazovateľov stanovených pre oblasť materiálového zhodnotenia odpadov v priebehu sledovaného obdobia presiahli ich plánovanú </w:t>
      </w:r>
      <w:r>
        <w:rPr>
          <w:rFonts w:ascii="Arial" w:hAnsi="Arial" w:cs="Arial"/>
          <w:sz w:val="20"/>
          <w:szCs w:val="20"/>
        </w:rPr>
        <w:t xml:space="preserve">hodnotu. Vzhľadom na zameranie </w:t>
      </w:r>
      <w:r w:rsidRPr="006A2BF3">
        <w:rPr>
          <w:rFonts w:ascii="Arial" w:hAnsi="Arial" w:cs="Arial"/>
          <w:sz w:val="20"/>
          <w:szCs w:val="20"/>
        </w:rPr>
        <w:t>operačného cieľa 4.2 na zvýšenie množstva zhodnocovaných odpadov, pričom prioritne sú podporované projekty zamerané na mater</w:t>
      </w:r>
      <w:r>
        <w:rPr>
          <w:rFonts w:ascii="Arial" w:hAnsi="Arial" w:cs="Arial"/>
          <w:sz w:val="20"/>
          <w:szCs w:val="20"/>
        </w:rPr>
        <w:t xml:space="preserve">iálové zhodnotenie, teda možno </w:t>
      </w:r>
      <w:r w:rsidRPr="006A2BF3">
        <w:rPr>
          <w:rFonts w:ascii="Arial" w:hAnsi="Arial" w:cs="Arial"/>
          <w:sz w:val="20"/>
          <w:szCs w:val="20"/>
        </w:rPr>
        <w:t>konštatovať, že realizáciou zazmluvnených projektov dôjde k naplneniu cieľov</w:t>
      </w:r>
      <w:r>
        <w:rPr>
          <w:rFonts w:ascii="Arial" w:hAnsi="Arial" w:cs="Arial"/>
          <w:sz w:val="20"/>
          <w:szCs w:val="20"/>
        </w:rPr>
        <w:t xml:space="preserve"> </w:t>
      </w:r>
      <w:r w:rsidRPr="006A2BF3">
        <w:rPr>
          <w:rFonts w:ascii="Arial" w:hAnsi="Arial" w:cs="Arial"/>
          <w:sz w:val="20"/>
          <w:szCs w:val="20"/>
        </w:rPr>
        <w:t xml:space="preserve">operačného cieľa 4.2. </w:t>
      </w:r>
    </w:p>
    <w:p w:rsidR="00EF0B04" w:rsidRDefault="00EF0B04" w:rsidP="00507035">
      <w:pPr>
        <w:pStyle w:val="Zkladntextb"/>
        <w:spacing w:before="120" w:after="120" w:line="360" w:lineRule="auto"/>
        <w:ind w:left="0"/>
        <w:jc w:val="both"/>
        <w:rPr>
          <w:rFonts w:cs="Arial"/>
          <w:lang w:val="sk-SK"/>
        </w:rPr>
      </w:pPr>
      <w:r w:rsidRPr="006A2BF3">
        <w:rPr>
          <w:rFonts w:cs="Arial"/>
          <w:lang w:val="sk-SK"/>
        </w:rPr>
        <w:t xml:space="preserve">Berúc do úvahy fakt, že finančné čerpanie danej prioritnej témy je na úrovni </w:t>
      </w:r>
      <w:r w:rsidR="00D7426C">
        <w:rPr>
          <w:rFonts w:cs="Arial"/>
          <w:lang w:val="sk-SK"/>
        </w:rPr>
        <w:t>48,86</w:t>
      </w:r>
      <w:r w:rsidR="000B284A">
        <w:rPr>
          <w:rFonts w:cs="Arial"/>
          <w:lang w:val="sk-SK"/>
        </w:rPr>
        <w:t xml:space="preserve"> </w:t>
      </w:r>
      <w:r w:rsidRPr="006A2BF3">
        <w:rPr>
          <w:rFonts w:cs="Arial"/>
          <w:lang w:val="sk-SK"/>
        </w:rPr>
        <w:t xml:space="preserve">% možno fyzický pokrok ukazovateľa výstupu na úrovni </w:t>
      </w:r>
      <w:r w:rsidR="00D7426C">
        <w:rPr>
          <w:rFonts w:cs="Arial"/>
          <w:lang w:val="sk-SK"/>
        </w:rPr>
        <w:t>276,7</w:t>
      </w:r>
      <w:r w:rsidR="000B284A">
        <w:rPr>
          <w:rFonts w:cs="Arial"/>
          <w:lang w:val="sk-SK"/>
        </w:rPr>
        <w:t xml:space="preserve"> </w:t>
      </w:r>
      <w:r w:rsidRPr="006A2BF3">
        <w:rPr>
          <w:rFonts w:cs="Arial"/>
          <w:lang w:val="sk-SK"/>
        </w:rPr>
        <w:t xml:space="preserve">% „Počet vybudovaných a zmodernizovaných zariadení na materiálové zhodnotenie odpadov“ považovať za viac ako uspokojivý. </w:t>
      </w:r>
    </w:p>
    <w:p w:rsidR="000B284A" w:rsidRDefault="000B284A" w:rsidP="00507035">
      <w:pPr>
        <w:spacing w:before="120" w:after="120"/>
        <w:rPr>
          <w:rFonts w:ascii="Arial" w:hAnsi="Arial" w:cs="Arial"/>
          <w:sz w:val="20"/>
          <w:szCs w:val="20"/>
        </w:rPr>
      </w:pPr>
      <w:r>
        <w:rPr>
          <w:rFonts w:cs="Arial"/>
        </w:rPr>
        <w:br w:type="page"/>
      </w:r>
    </w:p>
    <w:p w:rsidR="00EF0B04" w:rsidRDefault="004B2E7A" w:rsidP="00507035">
      <w:pPr>
        <w:pStyle w:val="Zkladntextb"/>
        <w:spacing w:before="120" w:after="120" w:line="360" w:lineRule="auto"/>
        <w:ind w:left="0"/>
        <w:jc w:val="both"/>
        <w:rPr>
          <w:rFonts w:cs="Arial"/>
          <w:lang w:val="sk-SK"/>
        </w:rPr>
      </w:pPr>
      <w:r>
        <w:rPr>
          <w:rFonts w:cs="Arial"/>
          <w:lang w:val="sk-SK"/>
        </w:rPr>
        <w:t>Graf č. 10</w:t>
      </w:r>
      <w:r w:rsidR="00EF0B04">
        <w:rPr>
          <w:rFonts w:cs="Arial"/>
          <w:lang w:val="sk-SK"/>
        </w:rPr>
        <w:t xml:space="preserve"> </w:t>
      </w:r>
      <w:r w:rsidR="00EF0B04" w:rsidRPr="006A2BF3">
        <w:rPr>
          <w:rFonts w:cs="Arial"/>
          <w:lang w:val="sk-SK"/>
        </w:rPr>
        <w:t>Operačný cieľ 4.3 - Prioritná téma 44</w:t>
      </w:r>
      <w:r w:rsidR="00EF0B04">
        <w:rPr>
          <w:rFonts w:cs="Arial"/>
          <w:lang w:val="sk-SK"/>
        </w:rPr>
        <w:t xml:space="preserve"> Hospodárenie s domácim a priemyselným odpadom</w:t>
      </w:r>
    </w:p>
    <w:p w:rsidR="00EF0B04" w:rsidRDefault="00587FAE" w:rsidP="00507035">
      <w:pPr>
        <w:pStyle w:val="Zkladntextb"/>
        <w:spacing w:before="120" w:after="120" w:line="360" w:lineRule="auto"/>
        <w:ind w:left="0"/>
        <w:jc w:val="center"/>
        <w:rPr>
          <w:rFonts w:cs="Arial"/>
          <w:lang w:val="sk-SK"/>
        </w:rPr>
      </w:pPr>
      <w:r>
        <w:rPr>
          <w:noProof/>
          <w:lang w:val="sk-SK"/>
        </w:rPr>
        <w:drawing>
          <wp:inline distT="0" distB="0" distL="0" distR="0" wp14:anchorId="5D182920" wp14:editId="02EE8573">
            <wp:extent cx="5470525" cy="2759075"/>
            <wp:effectExtent l="0" t="0" r="0" b="0"/>
            <wp:docPr id="12" name="Objekt 12"/>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51"/>
              </a:graphicData>
            </a:graphic>
          </wp:inline>
        </w:drawing>
      </w:r>
    </w:p>
    <w:tbl>
      <w:tblPr>
        <w:tblpPr w:leftFromText="141" w:rightFromText="141" w:vertAnchor="text" w:horzAnchor="margin" w:tblpY="232"/>
        <w:tblW w:w="1771" w:type="dxa"/>
        <w:tblCellMar>
          <w:left w:w="70" w:type="dxa"/>
          <w:right w:w="70" w:type="dxa"/>
        </w:tblCellMar>
        <w:tblLook w:val="04A0" w:firstRow="1" w:lastRow="0" w:firstColumn="1" w:lastColumn="0" w:noHBand="0" w:noVBand="1"/>
      </w:tblPr>
      <w:tblGrid>
        <w:gridCol w:w="202"/>
        <w:gridCol w:w="1576"/>
      </w:tblGrid>
      <w:tr w:rsidR="00EF0B04" w:rsidRPr="00A322EA" w:rsidTr="00923048">
        <w:trPr>
          <w:trHeight w:val="284"/>
        </w:trPr>
        <w:tc>
          <w:tcPr>
            <w:tcW w:w="195" w:type="dxa"/>
            <w:tcBorders>
              <w:top w:val="nil"/>
              <w:left w:val="nil"/>
              <w:bottom w:val="nil"/>
              <w:right w:val="nil"/>
            </w:tcBorders>
            <w:shd w:val="clear" w:color="000000" w:fill="C00000"/>
            <w:noWrap/>
            <w:vAlign w:val="bottom"/>
            <w:hideMark/>
          </w:tcPr>
          <w:p w:rsidR="00EF0B04" w:rsidRPr="00A322EA" w:rsidRDefault="00EF0B04" w:rsidP="00507035">
            <w:pPr>
              <w:spacing w:before="120" w:after="120"/>
              <w:rPr>
                <w:rFonts w:ascii="Arial" w:hAnsi="Arial" w:cs="Arial"/>
                <w:color w:val="000000"/>
                <w:sz w:val="22"/>
                <w:szCs w:val="22"/>
              </w:rPr>
            </w:pPr>
            <w:r w:rsidRPr="00A322EA">
              <w:rPr>
                <w:rFonts w:ascii="Arial" w:hAnsi="Arial" w:cs="Arial"/>
                <w:color w:val="000000"/>
                <w:sz w:val="22"/>
                <w:szCs w:val="22"/>
              </w:rPr>
              <w:t> </w:t>
            </w:r>
          </w:p>
        </w:tc>
        <w:tc>
          <w:tcPr>
            <w:tcW w:w="1576" w:type="dxa"/>
            <w:tcBorders>
              <w:top w:val="nil"/>
              <w:left w:val="nil"/>
              <w:bottom w:val="nil"/>
              <w:right w:val="nil"/>
            </w:tcBorders>
            <w:noWrap/>
            <w:vAlign w:val="center"/>
            <w:hideMark/>
          </w:tcPr>
          <w:p w:rsidR="00EF0B04" w:rsidRPr="00A322EA" w:rsidRDefault="00EF0B04" w:rsidP="00507035">
            <w:pPr>
              <w:spacing w:before="120" w:after="120"/>
              <w:rPr>
                <w:rFonts w:ascii="Arial" w:hAnsi="Arial" w:cs="Arial"/>
                <w:color w:val="000000"/>
                <w:sz w:val="16"/>
                <w:szCs w:val="16"/>
              </w:rPr>
            </w:pPr>
            <w:r w:rsidRPr="00A322EA">
              <w:rPr>
                <w:rFonts w:ascii="Arial" w:hAnsi="Arial" w:cs="Arial"/>
                <w:color w:val="000000"/>
                <w:sz w:val="16"/>
                <w:szCs w:val="16"/>
              </w:rPr>
              <w:t>Úroveň zazmluvnenia</w:t>
            </w:r>
          </w:p>
        </w:tc>
      </w:tr>
      <w:tr w:rsidR="00EF0B04" w:rsidRPr="00A322EA" w:rsidTr="00923048">
        <w:trPr>
          <w:trHeight w:val="227"/>
        </w:trPr>
        <w:tc>
          <w:tcPr>
            <w:tcW w:w="195" w:type="dxa"/>
            <w:tcBorders>
              <w:top w:val="nil"/>
              <w:left w:val="nil"/>
              <w:bottom w:val="nil"/>
              <w:right w:val="nil"/>
            </w:tcBorders>
            <w:shd w:val="clear" w:color="000000" w:fill="0070C0"/>
            <w:noWrap/>
            <w:vAlign w:val="bottom"/>
            <w:hideMark/>
          </w:tcPr>
          <w:p w:rsidR="00EF0B04" w:rsidRPr="00A322EA" w:rsidRDefault="00EF0B04" w:rsidP="00507035">
            <w:pPr>
              <w:spacing w:before="120" w:after="120"/>
              <w:rPr>
                <w:rFonts w:ascii="Arial" w:hAnsi="Arial" w:cs="Arial"/>
                <w:color w:val="000000"/>
                <w:sz w:val="22"/>
                <w:szCs w:val="22"/>
              </w:rPr>
            </w:pPr>
            <w:r w:rsidRPr="00A322EA">
              <w:rPr>
                <w:rFonts w:ascii="Arial" w:hAnsi="Arial" w:cs="Arial"/>
                <w:color w:val="000000"/>
                <w:sz w:val="22"/>
                <w:szCs w:val="22"/>
              </w:rPr>
              <w:t> </w:t>
            </w:r>
          </w:p>
        </w:tc>
        <w:tc>
          <w:tcPr>
            <w:tcW w:w="1576" w:type="dxa"/>
            <w:tcBorders>
              <w:top w:val="nil"/>
              <w:left w:val="nil"/>
              <w:bottom w:val="nil"/>
              <w:right w:val="nil"/>
            </w:tcBorders>
            <w:noWrap/>
            <w:vAlign w:val="center"/>
            <w:hideMark/>
          </w:tcPr>
          <w:p w:rsidR="00EF0B04" w:rsidRPr="00A322EA" w:rsidRDefault="00EF0B04" w:rsidP="00507035">
            <w:pPr>
              <w:spacing w:before="120" w:after="120"/>
              <w:rPr>
                <w:rFonts w:ascii="Arial" w:hAnsi="Arial" w:cs="Arial"/>
                <w:color w:val="000000"/>
                <w:sz w:val="16"/>
                <w:szCs w:val="16"/>
              </w:rPr>
            </w:pPr>
            <w:r w:rsidRPr="00A322EA">
              <w:rPr>
                <w:rFonts w:ascii="Arial" w:hAnsi="Arial" w:cs="Arial"/>
                <w:color w:val="000000"/>
                <w:sz w:val="16"/>
                <w:szCs w:val="16"/>
              </w:rPr>
              <w:t>Úroveň čerpania</w:t>
            </w:r>
          </w:p>
        </w:tc>
      </w:tr>
    </w:tbl>
    <w:p w:rsidR="00EF0B04" w:rsidRPr="006A2BF3" w:rsidRDefault="00EF0B04" w:rsidP="00507035">
      <w:pPr>
        <w:spacing w:before="120" w:after="120" w:line="360" w:lineRule="auto"/>
        <w:jc w:val="both"/>
        <w:rPr>
          <w:rFonts w:ascii="Arial" w:hAnsi="Arial" w:cs="Arial"/>
          <w:sz w:val="20"/>
          <w:szCs w:val="20"/>
        </w:rPr>
      </w:pPr>
      <w:r w:rsidRPr="006A2BF3">
        <w:rPr>
          <w:rFonts w:ascii="Arial" w:hAnsi="Arial" w:cs="Arial"/>
          <w:sz w:val="20"/>
          <w:szCs w:val="20"/>
        </w:rPr>
        <w:t xml:space="preserve">Na úrovni operačného cieľa 4.3 pri stave </w:t>
      </w:r>
      <w:r w:rsidR="002A006B">
        <w:rPr>
          <w:rFonts w:ascii="Arial" w:hAnsi="Arial" w:cs="Arial"/>
          <w:sz w:val="20"/>
          <w:szCs w:val="20"/>
        </w:rPr>
        <w:t>zazmluvnenia</w:t>
      </w:r>
      <w:r w:rsidR="002A006B" w:rsidRPr="006A2BF3">
        <w:rPr>
          <w:rFonts w:ascii="Arial" w:hAnsi="Arial" w:cs="Arial"/>
          <w:sz w:val="20"/>
          <w:szCs w:val="20"/>
        </w:rPr>
        <w:t xml:space="preserve"> </w:t>
      </w:r>
      <w:r w:rsidRPr="006A2BF3">
        <w:rPr>
          <w:rFonts w:ascii="Arial" w:hAnsi="Arial" w:cs="Arial"/>
          <w:sz w:val="20"/>
          <w:szCs w:val="20"/>
        </w:rPr>
        <w:t xml:space="preserve">alokácie pre HT44 na </w:t>
      </w:r>
      <w:r w:rsidR="002A006B">
        <w:rPr>
          <w:rFonts w:ascii="Arial" w:hAnsi="Arial" w:cs="Arial"/>
          <w:sz w:val="20"/>
          <w:szCs w:val="20"/>
        </w:rPr>
        <w:t>80,68</w:t>
      </w:r>
      <w:r w:rsidR="000B284A">
        <w:rPr>
          <w:rFonts w:ascii="Arial" w:hAnsi="Arial" w:cs="Arial"/>
          <w:sz w:val="20"/>
          <w:szCs w:val="20"/>
        </w:rPr>
        <w:t xml:space="preserve"> </w:t>
      </w:r>
      <w:r w:rsidRPr="006A2BF3">
        <w:rPr>
          <w:rFonts w:ascii="Arial" w:hAnsi="Arial" w:cs="Arial"/>
          <w:sz w:val="20"/>
          <w:szCs w:val="20"/>
        </w:rPr>
        <w:t xml:space="preserve">% dosiahol ukazovateľ „Podiel zneškodnených NO v rámci projektov na celkovom vyprodukovanom množstve NO v rámci SR“ úroveň </w:t>
      </w:r>
      <w:r w:rsidR="002A006B">
        <w:rPr>
          <w:rFonts w:ascii="Arial" w:hAnsi="Arial" w:cs="Arial"/>
          <w:sz w:val="20"/>
          <w:szCs w:val="20"/>
        </w:rPr>
        <w:t>3,75</w:t>
      </w:r>
      <w:r w:rsidR="000B284A">
        <w:rPr>
          <w:rFonts w:ascii="Arial" w:hAnsi="Arial" w:cs="Arial"/>
          <w:sz w:val="20"/>
          <w:szCs w:val="20"/>
        </w:rPr>
        <w:t xml:space="preserve"> </w:t>
      </w:r>
      <w:r w:rsidRPr="006A2BF3">
        <w:rPr>
          <w:rFonts w:ascii="Arial" w:hAnsi="Arial" w:cs="Arial"/>
          <w:sz w:val="20"/>
          <w:szCs w:val="20"/>
        </w:rPr>
        <w:t xml:space="preserve">%, čo možno vzhľadom na plánovanú hodnotu ukazovateľa podľa operačného programu hodnotiť ako nedostatočné. </w:t>
      </w:r>
    </w:p>
    <w:p w:rsidR="00EF0B04" w:rsidRPr="006A2BF3" w:rsidRDefault="00EF0B04" w:rsidP="00507035">
      <w:pPr>
        <w:spacing w:before="120" w:after="120" w:line="360" w:lineRule="auto"/>
        <w:jc w:val="both"/>
        <w:rPr>
          <w:rFonts w:ascii="Arial" w:hAnsi="Arial" w:cs="Arial"/>
          <w:sz w:val="20"/>
          <w:szCs w:val="20"/>
        </w:rPr>
      </w:pPr>
      <w:r w:rsidRPr="006A2BF3">
        <w:rPr>
          <w:rFonts w:ascii="Arial" w:hAnsi="Arial" w:cs="Arial"/>
          <w:sz w:val="20"/>
          <w:szCs w:val="20"/>
        </w:rPr>
        <w:t>Predpokladaná cieľová hodnota ukazovateľa „Podiel zhodnotených NO v rámci projektov na celkovom vyprodukovanom množstve NO v rámci SR“ ku koncu roka 201</w:t>
      </w:r>
      <w:r w:rsidR="002A006B">
        <w:rPr>
          <w:rFonts w:ascii="Arial" w:hAnsi="Arial" w:cs="Arial"/>
          <w:sz w:val="20"/>
          <w:szCs w:val="20"/>
        </w:rPr>
        <w:t>2</w:t>
      </w:r>
      <w:r w:rsidRPr="006A2BF3">
        <w:rPr>
          <w:rFonts w:ascii="Arial" w:hAnsi="Arial" w:cs="Arial"/>
          <w:sz w:val="20"/>
          <w:szCs w:val="20"/>
        </w:rPr>
        <w:t xml:space="preserve"> predstavuje </w:t>
      </w:r>
      <w:r w:rsidR="002A006B">
        <w:rPr>
          <w:rFonts w:ascii="Arial" w:hAnsi="Arial" w:cs="Arial"/>
          <w:sz w:val="20"/>
          <w:szCs w:val="20"/>
        </w:rPr>
        <w:t>67,8</w:t>
      </w:r>
      <w:r w:rsidR="0065734F">
        <w:rPr>
          <w:rFonts w:ascii="Arial" w:hAnsi="Arial" w:cs="Arial"/>
          <w:sz w:val="20"/>
          <w:szCs w:val="20"/>
        </w:rPr>
        <w:t xml:space="preserve"> </w:t>
      </w:r>
      <w:r w:rsidRPr="006A2BF3">
        <w:rPr>
          <w:rFonts w:ascii="Arial" w:hAnsi="Arial" w:cs="Arial"/>
          <w:sz w:val="20"/>
          <w:szCs w:val="20"/>
        </w:rPr>
        <w:t xml:space="preserve">% plánovanej hodnoty. </w:t>
      </w:r>
    </w:p>
    <w:p w:rsidR="00EF0B04" w:rsidRPr="006A2BF3" w:rsidRDefault="00EF0B04" w:rsidP="00507035">
      <w:pPr>
        <w:spacing w:before="120" w:after="120" w:line="360" w:lineRule="auto"/>
        <w:jc w:val="both"/>
        <w:rPr>
          <w:rFonts w:ascii="Arial" w:hAnsi="Arial" w:cs="Arial"/>
          <w:sz w:val="20"/>
          <w:szCs w:val="20"/>
        </w:rPr>
      </w:pPr>
      <w:r w:rsidRPr="006A2BF3">
        <w:rPr>
          <w:rFonts w:ascii="Arial" w:hAnsi="Arial" w:cs="Arial"/>
          <w:sz w:val="20"/>
          <w:szCs w:val="20"/>
        </w:rPr>
        <w:t>Pri oboch týchto podielových ukazovateľoch sú plánované hodnoty zazmluvnených projektov podmienené vývojom štatistického ukazovateľa – Celkové množstvo vyprodukovaných</w:t>
      </w:r>
      <w:r>
        <w:rPr>
          <w:rFonts w:ascii="Arial" w:hAnsi="Arial" w:cs="Arial"/>
          <w:sz w:val="20"/>
          <w:szCs w:val="20"/>
        </w:rPr>
        <w:t xml:space="preserve"> </w:t>
      </w:r>
      <w:r w:rsidRPr="006A2BF3">
        <w:rPr>
          <w:rFonts w:ascii="Arial" w:hAnsi="Arial" w:cs="Arial"/>
          <w:sz w:val="20"/>
          <w:szCs w:val="20"/>
        </w:rPr>
        <w:t>nebezpečných odpadov v rámci SR, čo má za následok, že plánovaná hodnota sa mení v závislosti od výšky vyprodukovaného množstva nebezpečných odpadov v rámci SR.</w:t>
      </w:r>
    </w:p>
    <w:p w:rsidR="00EF0B04" w:rsidRPr="006A2BF3" w:rsidRDefault="00EF0B04" w:rsidP="00507035">
      <w:pPr>
        <w:spacing w:before="120" w:after="120" w:line="360" w:lineRule="auto"/>
        <w:jc w:val="both"/>
        <w:rPr>
          <w:rFonts w:ascii="Arial" w:hAnsi="Arial" w:cs="Arial"/>
          <w:sz w:val="20"/>
          <w:szCs w:val="20"/>
        </w:rPr>
      </w:pPr>
      <w:r w:rsidRPr="006A2BF3">
        <w:rPr>
          <w:rFonts w:ascii="Arial" w:hAnsi="Arial" w:cs="Arial"/>
          <w:sz w:val="20"/>
          <w:szCs w:val="20"/>
        </w:rPr>
        <w:t>Ukazovateľ „Počet vybudovaných zariadení na nakladanie s nebezpečnými odpadmi“ dosiahol k</w:t>
      </w:r>
      <w:r>
        <w:rPr>
          <w:rFonts w:ascii="Arial" w:hAnsi="Arial" w:cs="Arial"/>
          <w:sz w:val="20"/>
          <w:szCs w:val="20"/>
        </w:rPr>
        <w:t xml:space="preserve"> </w:t>
      </w:r>
      <w:r w:rsidRPr="006A2BF3">
        <w:rPr>
          <w:rFonts w:ascii="Arial" w:hAnsi="Arial" w:cs="Arial"/>
          <w:sz w:val="20"/>
          <w:szCs w:val="20"/>
        </w:rPr>
        <w:t>31.12.201</w:t>
      </w:r>
      <w:r w:rsidR="002A006B">
        <w:rPr>
          <w:rFonts w:ascii="Arial" w:hAnsi="Arial" w:cs="Arial"/>
          <w:sz w:val="20"/>
          <w:szCs w:val="20"/>
        </w:rPr>
        <w:t>2</w:t>
      </w:r>
      <w:r w:rsidRPr="006A2BF3">
        <w:rPr>
          <w:rFonts w:ascii="Arial" w:hAnsi="Arial" w:cs="Arial"/>
          <w:sz w:val="20"/>
          <w:szCs w:val="20"/>
        </w:rPr>
        <w:t xml:space="preserve"> u</w:t>
      </w:r>
      <w:r>
        <w:rPr>
          <w:rFonts w:ascii="Arial" w:hAnsi="Arial" w:cs="Arial"/>
          <w:sz w:val="20"/>
          <w:szCs w:val="20"/>
        </w:rPr>
        <w:t xml:space="preserve"> </w:t>
      </w:r>
      <w:r w:rsidRPr="006A2BF3">
        <w:rPr>
          <w:rFonts w:ascii="Arial" w:hAnsi="Arial" w:cs="Arial"/>
          <w:sz w:val="20"/>
          <w:szCs w:val="20"/>
        </w:rPr>
        <w:t>zazmluvnených projektov úroveň 75</w:t>
      </w:r>
      <w:r w:rsidR="0065734F">
        <w:rPr>
          <w:rFonts w:ascii="Arial" w:hAnsi="Arial" w:cs="Arial"/>
          <w:sz w:val="20"/>
          <w:szCs w:val="20"/>
        </w:rPr>
        <w:t xml:space="preserve"> </w:t>
      </w:r>
      <w:r w:rsidRPr="006A2BF3">
        <w:rPr>
          <w:rFonts w:ascii="Arial" w:hAnsi="Arial" w:cs="Arial"/>
          <w:sz w:val="20"/>
          <w:szCs w:val="20"/>
        </w:rPr>
        <w:t>% plánovanej hodnoty. V prípade oboch</w:t>
      </w:r>
      <w:r>
        <w:rPr>
          <w:rFonts w:ascii="Arial" w:hAnsi="Arial" w:cs="Arial"/>
          <w:sz w:val="20"/>
          <w:szCs w:val="20"/>
        </w:rPr>
        <w:t xml:space="preserve"> </w:t>
      </w:r>
      <w:r w:rsidRPr="006A2BF3">
        <w:rPr>
          <w:rFonts w:ascii="Arial" w:hAnsi="Arial" w:cs="Arial"/>
          <w:sz w:val="20"/>
          <w:szCs w:val="20"/>
        </w:rPr>
        <w:t>ukazovateľov je teda predpoklad, že pri vyčerpaní alokácie dôjde k naplneniu ich plánovaných hodnôt.</w:t>
      </w:r>
    </w:p>
    <w:p w:rsidR="00EF0B04" w:rsidRPr="00A322EA" w:rsidRDefault="00EF0B04" w:rsidP="00507035">
      <w:pPr>
        <w:pStyle w:val="Zkladntextb"/>
        <w:spacing w:before="120" w:after="120" w:line="360" w:lineRule="auto"/>
        <w:ind w:left="0"/>
        <w:jc w:val="both"/>
        <w:rPr>
          <w:rFonts w:cs="Arial"/>
          <w:lang w:val="sk-SK"/>
        </w:rPr>
      </w:pPr>
      <w:r w:rsidRPr="009A7459">
        <w:rPr>
          <w:rFonts w:cs="Arial"/>
          <w:lang w:val="sk-SK"/>
        </w:rPr>
        <w:t>V druhej polovici programového obdobia RO plánuje vyhlásiť výzvu pre operačný cieľ 4.3 na projekty zamerané na zhodnocovanie a zneškodňovanie nebezpečných odpadov, tak aby sa zabezpečilo naplnenie plánovanej hodnoty daného ukazovateľa.</w:t>
      </w:r>
      <w:r w:rsidR="002C60C3">
        <w:rPr>
          <w:rStyle w:val="Odkaznapoznmkupodiarou"/>
          <w:rFonts w:cs="Arial"/>
          <w:lang w:val="sk-SK"/>
        </w:rPr>
        <w:footnoteReference w:id="11"/>
      </w:r>
    </w:p>
    <w:p w:rsidR="0065734F" w:rsidRDefault="0065734F" w:rsidP="00507035">
      <w:pPr>
        <w:spacing w:before="120" w:after="120"/>
        <w:rPr>
          <w:rFonts w:ascii="Arial" w:hAnsi="Arial" w:cs="Arial"/>
          <w:sz w:val="20"/>
          <w:szCs w:val="20"/>
        </w:rPr>
      </w:pPr>
      <w:r>
        <w:rPr>
          <w:rFonts w:cs="Arial"/>
        </w:rPr>
        <w:br w:type="page"/>
      </w:r>
    </w:p>
    <w:p w:rsidR="00EF0B04" w:rsidRDefault="004B2E7A" w:rsidP="00507035">
      <w:pPr>
        <w:pStyle w:val="Zkladntextb"/>
        <w:spacing w:before="120" w:after="120" w:line="360" w:lineRule="auto"/>
        <w:ind w:left="0"/>
        <w:jc w:val="both"/>
        <w:rPr>
          <w:rFonts w:cs="Arial"/>
          <w:lang w:val="sk-SK"/>
        </w:rPr>
      </w:pPr>
      <w:r>
        <w:rPr>
          <w:rFonts w:cs="Arial"/>
          <w:lang w:val="sk-SK"/>
        </w:rPr>
        <w:t>Graf č. 11</w:t>
      </w:r>
      <w:r w:rsidR="00EF0B04">
        <w:rPr>
          <w:rFonts w:cs="Arial"/>
          <w:lang w:val="sk-SK"/>
        </w:rPr>
        <w:t xml:space="preserve"> </w:t>
      </w:r>
      <w:r w:rsidR="00EF0B04" w:rsidRPr="006A2BF3">
        <w:rPr>
          <w:rFonts w:cs="Arial"/>
          <w:lang w:val="sk-SK"/>
        </w:rPr>
        <w:t xml:space="preserve">Prioritná téma </w:t>
      </w:r>
      <w:r w:rsidR="00EF0B04">
        <w:rPr>
          <w:rFonts w:cs="Arial"/>
          <w:lang w:val="sk-SK"/>
        </w:rPr>
        <w:t>50 Ozdravovanie priemyselných lokalít a kontaminovanej pôdy</w:t>
      </w:r>
    </w:p>
    <w:p w:rsidR="00EF0B04" w:rsidRDefault="00587FAE" w:rsidP="00507035">
      <w:pPr>
        <w:pStyle w:val="Zkladntextb"/>
        <w:spacing w:before="120" w:after="120" w:line="360" w:lineRule="auto"/>
        <w:ind w:left="0"/>
        <w:jc w:val="center"/>
        <w:rPr>
          <w:rFonts w:cs="Arial"/>
          <w:lang w:val="sk-SK"/>
        </w:rPr>
      </w:pPr>
      <w:r>
        <w:rPr>
          <w:noProof/>
          <w:lang w:val="sk-SK"/>
        </w:rPr>
        <w:drawing>
          <wp:inline distT="0" distB="0" distL="0" distR="0" wp14:anchorId="13823192" wp14:editId="04B468A4">
            <wp:extent cx="5009515" cy="2989580"/>
            <wp:effectExtent l="0" t="0" r="19685" b="20320"/>
            <wp:docPr id="13" name="Objekt 13"/>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52"/>
              </a:graphicData>
            </a:graphic>
          </wp:inline>
        </w:drawing>
      </w:r>
    </w:p>
    <w:tbl>
      <w:tblPr>
        <w:tblpPr w:leftFromText="141" w:rightFromText="141" w:vertAnchor="text" w:horzAnchor="margin" w:tblpY="232"/>
        <w:tblW w:w="1771" w:type="dxa"/>
        <w:tblCellMar>
          <w:left w:w="70" w:type="dxa"/>
          <w:right w:w="70" w:type="dxa"/>
        </w:tblCellMar>
        <w:tblLook w:val="04A0" w:firstRow="1" w:lastRow="0" w:firstColumn="1" w:lastColumn="0" w:noHBand="0" w:noVBand="1"/>
      </w:tblPr>
      <w:tblGrid>
        <w:gridCol w:w="202"/>
        <w:gridCol w:w="1576"/>
      </w:tblGrid>
      <w:tr w:rsidR="00EF0B04" w:rsidRPr="00A322EA" w:rsidTr="00923048">
        <w:trPr>
          <w:trHeight w:val="284"/>
        </w:trPr>
        <w:tc>
          <w:tcPr>
            <w:tcW w:w="195" w:type="dxa"/>
            <w:tcBorders>
              <w:top w:val="nil"/>
              <w:left w:val="nil"/>
              <w:bottom w:val="nil"/>
              <w:right w:val="nil"/>
            </w:tcBorders>
            <w:shd w:val="clear" w:color="000000" w:fill="C00000"/>
            <w:noWrap/>
            <w:vAlign w:val="bottom"/>
            <w:hideMark/>
          </w:tcPr>
          <w:p w:rsidR="00EF0B04" w:rsidRPr="00A322EA" w:rsidRDefault="00EF0B04" w:rsidP="00507035">
            <w:pPr>
              <w:spacing w:before="120" w:after="120"/>
              <w:rPr>
                <w:rFonts w:ascii="Arial" w:hAnsi="Arial" w:cs="Arial"/>
                <w:color w:val="000000"/>
                <w:sz w:val="22"/>
                <w:szCs w:val="22"/>
              </w:rPr>
            </w:pPr>
            <w:r w:rsidRPr="00A322EA">
              <w:rPr>
                <w:rFonts w:ascii="Arial" w:hAnsi="Arial" w:cs="Arial"/>
                <w:color w:val="000000"/>
                <w:sz w:val="22"/>
                <w:szCs w:val="22"/>
              </w:rPr>
              <w:t> </w:t>
            </w:r>
          </w:p>
        </w:tc>
        <w:tc>
          <w:tcPr>
            <w:tcW w:w="1576" w:type="dxa"/>
            <w:tcBorders>
              <w:top w:val="nil"/>
              <w:left w:val="nil"/>
              <w:bottom w:val="nil"/>
              <w:right w:val="nil"/>
            </w:tcBorders>
            <w:noWrap/>
            <w:vAlign w:val="center"/>
            <w:hideMark/>
          </w:tcPr>
          <w:p w:rsidR="00EF0B04" w:rsidRPr="00A322EA" w:rsidRDefault="00EF0B04" w:rsidP="00507035">
            <w:pPr>
              <w:spacing w:before="120" w:after="120"/>
              <w:rPr>
                <w:rFonts w:ascii="Arial" w:hAnsi="Arial" w:cs="Arial"/>
                <w:color w:val="000000"/>
                <w:sz w:val="16"/>
                <w:szCs w:val="16"/>
              </w:rPr>
            </w:pPr>
            <w:r w:rsidRPr="00A322EA">
              <w:rPr>
                <w:rFonts w:ascii="Arial" w:hAnsi="Arial" w:cs="Arial"/>
                <w:color w:val="000000"/>
                <w:sz w:val="16"/>
                <w:szCs w:val="16"/>
              </w:rPr>
              <w:t>Úroveň zazmluvnenia</w:t>
            </w:r>
          </w:p>
        </w:tc>
      </w:tr>
      <w:tr w:rsidR="00EF0B04" w:rsidRPr="00A322EA" w:rsidTr="00923048">
        <w:trPr>
          <w:trHeight w:val="227"/>
        </w:trPr>
        <w:tc>
          <w:tcPr>
            <w:tcW w:w="195" w:type="dxa"/>
            <w:tcBorders>
              <w:top w:val="nil"/>
              <w:left w:val="nil"/>
              <w:bottom w:val="nil"/>
              <w:right w:val="nil"/>
            </w:tcBorders>
            <w:shd w:val="clear" w:color="000000" w:fill="0070C0"/>
            <w:noWrap/>
            <w:vAlign w:val="bottom"/>
            <w:hideMark/>
          </w:tcPr>
          <w:p w:rsidR="00EF0B04" w:rsidRPr="00A322EA" w:rsidRDefault="00EF0B04" w:rsidP="00507035">
            <w:pPr>
              <w:spacing w:before="120" w:after="120"/>
              <w:rPr>
                <w:rFonts w:ascii="Arial" w:hAnsi="Arial" w:cs="Arial"/>
                <w:color w:val="000000"/>
                <w:sz w:val="22"/>
                <w:szCs w:val="22"/>
              </w:rPr>
            </w:pPr>
            <w:r w:rsidRPr="00A322EA">
              <w:rPr>
                <w:rFonts w:ascii="Arial" w:hAnsi="Arial" w:cs="Arial"/>
                <w:color w:val="000000"/>
                <w:sz w:val="22"/>
                <w:szCs w:val="22"/>
              </w:rPr>
              <w:t> </w:t>
            </w:r>
          </w:p>
        </w:tc>
        <w:tc>
          <w:tcPr>
            <w:tcW w:w="1576" w:type="dxa"/>
            <w:tcBorders>
              <w:top w:val="nil"/>
              <w:left w:val="nil"/>
              <w:bottom w:val="nil"/>
              <w:right w:val="nil"/>
            </w:tcBorders>
            <w:noWrap/>
            <w:vAlign w:val="center"/>
            <w:hideMark/>
          </w:tcPr>
          <w:p w:rsidR="00EF0B04" w:rsidRPr="00A322EA" w:rsidRDefault="00EF0B04" w:rsidP="00507035">
            <w:pPr>
              <w:spacing w:before="120" w:after="120"/>
              <w:rPr>
                <w:rFonts w:ascii="Arial" w:hAnsi="Arial" w:cs="Arial"/>
                <w:color w:val="000000"/>
                <w:sz w:val="16"/>
                <w:szCs w:val="16"/>
              </w:rPr>
            </w:pPr>
            <w:r w:rsidRPr="00A322EA">
              <w:rPr>
                <w:rFonts w:ascii="Arial" w:hAnsi="Arial" w:cs="Arial"/>
                <w:color w:val="000000"/>
                <w:sz w:val="16"/>
                <w:szCs w:val="16"/>
              </w:rPr>
              <w:t>Úroveň čerpania</w:t>
            </w:r>
          </w:p>
        </w:tc>
      </w:tr>
    </w:tbl>
    <w:p w:rsidR="00EF0B04" w:rsidRPr="006A2BF3" w:rsidRDefault="00EF0B04" w:rsidP="00507035">
      <w:pPr>
        <w:spacing w:before="120" w:after="120" w:line="360" w:lineRule="auto"/>
        <w:jc w:val="both"/>
        <w:rPr>
          <w:rFonts w:ascii="Arial" w:hAnsi="Arial" w:cs="Arial"/>
          <w:sz w:val="20"/>
          <w:szCs w:val="20"/>
        </w:rPr>
      </w:pPr>
      <w:r w:rsidRPr="00E57A5C">
        <w:rPr>
          <w:rFonts w:ascii="Arial" w:hAnsi="Arial" w:cs="Arial"/>
          <w:sz w:val="20"/>
          <w:szCs w:val="20"/>
        </w:rPr>
        <w:t>Veľmi nízka úroveň čerpania na úrovni HT50 je spôsobená zdĺhavosťou legislatívneho procesu pripravovanej právnej úpravy environmentálnych záťaží. V rámci operačného cieľa 4.4 boli k 31.12.2011 zazmluvnené tri projekty, ktorých predmetom bolo vypracovanie Atlasu sanačných metód</w:t>
      </w:r>
      <w:r w:rsidRPr="006A2BF3">
        <w:rPr>
          <w:rFonts w:ascii="Arial" w:hAnsi="Arial" w:cs="Arial"/>
          <w:sz w:val="20"/>
          <w:szCs w:val="20"/>
        </w:rPr>
        <w:t xml:space="preserve"> environmentálnych záťaží, vypracovanie regionálnych štúdií hodnotenia dopadov environmentálnych záťaží a dobudovanie Informačného systému environmentálnych záťaží. Z tohto dôvodu sú predpokladané ci</w:t>
      </w:r>
      <w:r>
        <w:rPr>
          <w:rFonts w:ascii="Arial" w:hAnsi="Arial" w:cs="Arial"/>
          <w:sz w:val="20"/>
          <w:szCs w:val="20"/>
        </w:rPr>
        <w:t xml:space="preserve">eľové hodnoty oboch </w:t>
      </w:r>
      <w:r w:rsidRPr="006A2BF3">
        <w:rPr>
          <w:rFonts w:ascii="Arial" w:hAnsi="Arial" w:cs="Arial"/>
          <w:sz w:val="20"/>
          <w:szCs w:val="20"/>
        </w:rPr>
        <w:t xml:space="preserve">ukazovateľov zameraných na samotnú sanáciu environmentálnych záťaží zatiaľ nulové. </w:t>
      </w:r>
      <w:r w:rsidR="00C31195" w:rsidRPr="00C31195">
        <w:rPr>
          <w:rFonts w:ascii="Arial" w:hAnsi="Arial" w:cs="Arial"/>
          <w:sz w:val="20"/>
          <w:szCs w:val="20"/>
        </w:rPr>
        <w:t>Problémy s fyzickou realizáciou u aktivít sanácie environmentálnych záťaží v rámci operačného cieľa 4.4 boli spôsobené predovšetkým komplikáciami pri príprave a oneskoreným prijatím právnej úpravy v oblasti sanácie environmentálnych záťaží, ako aj pri  zabezpečení súladu poskytovania pomoci na sanáciu environmentálnych záťaží s princípom „znečisťovateľ platí“ a pravidlami štátnej pomoci.</w:t>
      </w:r>
    </w:p>
    <w:p w:rsidR="00EF0B04" w:rsidRDefault="00EF0B04" w:rsidP="00507035">
      <w:pPr>
        <w:pStyle w:val="Zkladntextb"/>
        <w:spacing w:before="120" w:after="120" w:line="360" w:lineRule="auto"/>
        <w:ind w:left="0"/>
        <w:jc w:val="both"/>
        <w:rPr>
          <w:rFonts w:cs="Arial"/>
          <w:lang w:val="sk-SK"/>
        </w:rPr>
      </w:pPr>
      <w:r w:rsidRPr="006A2BF3">
        <w:rPr>
          <w:rFonts w:cs="Arial"/>
          <w:lang w:val="sk-SK"/>
        </w:rPr>
        <w:t xml:space="preserve">RO </w:t>
      </w:r>
      <w:r w:rsidR="00C31195">
        <w:rPr>
          <w:rFonts w:cs="Arial"/>
          <w:lang w:val="sk-SK"/>
        </w:rPr>
        <w:t xml:space="preserve">však </w:t>
      </w:r>
      <w:r w:rsidRPr="006A2BF3">
        <w:rPr>
          <w:rFonts w:cs="Arial"/>
          <w:lang w:val="sk-SK"/>
        </w:rPr>
        <w:t>vyhlásilo</w:t>
      </w:r>
      <w:r>
        <w:rPr>
          <w:rFonts w:cs="Arial"/>
          <w:lang w:val="sk-SK"/>
        </w:rPr>
        <w:t xml:space="preserve"> v priebehu roku 201</w:t>
      </w:r>
      <w:r w:rsidR="00C16B35">
        <w:rPr>
          <w:rFonts w:cs="Arial"/>
          <w:lang w:val="sk-SK"/>
        </w:rPr>
        <w:t>2</w:t>
      </w:r>
      <w:r>
        <w:rPr>
          <w:rFonts w:cs="Arial"/>
          <w:lang w:val="sk-SK"/>
        </w:rPr>
        <w:t xml:space="preserve"> výzvu na </w:t>
      </w:r>
      <w:r w:rsidRPr="006A2BF3">
        <w:rPr>
          <w:rFonts w:cs="Arial"/>
          <w:lang w:val="sk-SK"/>
        </w:rPr>
        <w:t>operačný cieľ 4.4 v nadväznosti na účinnosť novej právnej úpravy environmentálnych záťaží najmä v súvislosti s aplikáciou princípu „znečisťovateľ platí“ tak, aby došlo k naplneniu cieľov stanovených v jeho rámci.</w:t>
      </w:r>
    </w:p>
    <w:p w:rsidR="0065734F" w:rsidRDefault="0065734F" w:rsidP="00507035">
      <w:pPr>
        <w:spacing w:before="120" w:after="120"/>
        <w:rPr>
          <w:rFonts w:ascii="Arial" w:hAnsi="Arial" w:cs="Arial"/>
          <w:sz w:val="20"/>
          <w:szCs w:val="20"/>
        </w:rPr>
      </w:pPr>
      <w:r>
        <w:rPr>
          <w:rFonts w:cs="Arial"/>
        </w:rPr>
        <w:br w:type="page"/>
      </w:r>
    </w:p>
    <w:p w:rsidR="00EF0B04" w:rsidRDefault="004B2E7A" w:rsidP="00507035">
      <w:pPr>
        <w:pStyle w:val="Zkladntextb"/>
        <w:spacing w:before="120" w:after="120" w:line="360" w:lineRule="auto"/>
        <w:ind w:left="0"/>
        <w:jc w:val="both"/>
        <w:rPr>
          <w:rFonts w:cs="Arial"/>
          <w:lang w:val="sk-SK"/>
        </w:rPr>
      </w:pPr>
      <w:r>
        <w:rPr>
          <w:rFonts w:cs="Arial"/>
          <w:lang w:val="sk-SK"/>
        </w:rPr>
        <w:t>Graf č. 12</w:t>
      </w:r>
      <w:r w:rsidR="00EF0B04">
        <w:rPr>
          <w:rFonts w:cs="Arial"/>
          <w:lang w:val="sk-SK"/>
        </w:rPr>
        <w:t xml:space="preserve"> </w:t>
      </w:r>
      <w:r w:rsidR="00EF0B04" w:rsidRPr="006A2BF3">
        <w:rPr>
          <w:rFonts w:cs="Arial"/>
          <w:lang w:val="sk-SK"/>
        </w:rPr>
        <w:t xml:space="preserve">Operačný cieľ 4.5 - Prioritná téma </w:t>
      </w:r>
      <w:r w:rsidR="00EF0B04">
        <w:rPr>
          <w:rFonts w:cs="Arial"/>
          <w:lang w:val="sk-SK"/>
        </w:rPr>
        <w:t>44 Hospodárenie s domácim a priemyselným odpadom</w:t>
      </w:r>
    </w:p>
    <w:p w:rsidR="00EF0B04" w:rsidRDefault="00587FAE" w:rsidP="00507035">
      <w:pPr>
        <w:pStyle w:val="Zkladntextb"/>
        <w:spacing w:before="120" w:after="120" w:line="360" w:lineRule="auto"/>
        <w:ind w:left="0"/>
        <w:jc w:val="center"/>
        <w:rPr>
          <w:rFonts w:cs="Arial"/>
          <w:lang w:val="sk-SK"/>
        </w:rPr>
      </w:pPr>
      <w:r>
        <w:rPr>
          <w:noProof/>
          <w:lang w:val="sk-SK"/>
        </w:rPr>
        <w:drawing>
          <wp:inline distT="0" distB="0" distL="0" distR="0" wp14:anchorId="181F0158" wp14:editId="7883556C">
            <wp:extent cx="5430520" cy="2981960"/>
            <wp:effectExtent l="0" t="0" r="0" b="0"/>
            <wp:docPr id="14" name="Objekt 14"/>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53"/>
              </a:graphicData>
            </a:graphic>
          </wp:inline>
        </w:drawing>
      </w:r>
    </w:p>
    <w:tbl>
      <w:tblPr>
        <w:tblpPr w:leftFromText="141" w:rightFromText="141" w:vertAnchor="text" w:horzAnchor="margin" w:tblpY="232"/>
        <w:tblW w:w="1771" w:type="dxa"/>
        <w:tblCellMar>
          <w:left w:w="70" w:type="dxa"/>
          <w:right w:w="70" w:type="dxa"/>
        </w:tblCellMar>
        <w:tblLook w:val="04A0" w:firstRow="1" w:lastRow="0" w:firstColumn="1" w:lastColumn="0" w:noHBand="0" w:noVBand="1"/>
      </w:tblPr>
      <w:tblGrid>
        <w:gridCol w:w="202"/>
        <w:gridCol w:w="1576"/>
      </w:tblGrid>
      <w:tr w:rsidR="00EF0B04" w:rsidRPr="00A322EA" w:rsidTr="00923048">
        <w:trPr>
          <w:trHeight w:val="284"/>
        </w:trPr>
        <w:tc>
          <w:tcPr>
            <w:tcW w:w="195" w:type="dxa"/>
            <w:tcBorders>
              <w:top w:val="nil"/>
              <w:left w:val="nil"/>
              <w:bottom w:val="nil"/>
              <w:right w:val="nil"/>
            </w:tcBorders>
            <w:shd w:val="clear" w:color="000000" w:fill="C00000"/>
            <w:noWrap/>
            <w:vAlign w:val="bottom"/>
            <w:hideMark/>
          </w:tcPr>
          <w:p w:rsidR="00EF0B04" w:rsidRPr="00A322EA" w:rsidRDefault="00EF0B04" w:rsidP="00507035">
            <w:pPr>
              <w:spacing w:before="120" w:after="120"/>
              <w:rPr>
                <w:rFonts w:ascii="Arial" w:hAnsi="Arial" w:cs="Arial"/>
                <w:color w:val="000000"/>
                <w:sz w:val="22"/>
                <w:szCs w:val="22"/>
              </w:rPr>
            </w:pPr>
            <w:r w:rsidRPr="00A322EA">
              <w:rPr>
                <w:rFonts w:ascii="Arial" w:hAnsi="Arial" w:cs="Arial"/>
                <w:color w:val="000000"/>
                <w:sz w:val="22"/>
                <w:szCs w:val="22"/>
              </w:rPr>
              <w:t> </w:t>
            </w:r>
          </w:p>
        </w:tc>
        <w:tc>
          <w:tcPr>
            <w:tcW w:w="1576" w:type="dxa"/>
            <w:tcBorders>
              <w:top w:val="nil"/>
              <w:left w:val="nil"/>
              <w:bottom w:val="nil"/>
              <w:right w:val="nil"/>
            </w:tcBorders>
            <w:noWrap/>
            <w:vAlign w:val="center"/>
            <w:hideMark/>
          </w:tcPr>
          <w:p w:rsidR="00EF0B04" w:rsidRPr="00A322EA" w:rsidRDefault="00EF0B04" w:rsidP="00507035">
            <w:pPr>
              <w:spacing w:before="120" w:after="120"/>
              <w:rPr>
                <w:rFonts w:ascii="Arial" w:hAnsi="Arial" w:cs="Arial"/>
                <w:color w:val="000000"/>
                <w:sz w:val="16"/>
                <w:szCs w:val="16"/>
              </w:rPr>
            </w:pPr>
            <w:r w:rsidRPr="00A322EA">
              <w:rPr>
                <w:rFonts w:ascii="Arial" w:hAnsi="Arial" w:cs="Arial"/>
                <w:color w:val="000000"/>
                <w:sz w:val="16"/>
                <w:szCs w:val="16"/>
              </w:rPr>
              <w:t>Úroveň zazmluvnenia</w:t>
            </w:r>
          </w:p>
        </w:tc>
      </w:tr>
      <w:tr w:rsidR="00EF0B04" w:rsidRPr="00A322EA" w:rsidTr="00923048">
        <w:trPr>
          <w:trHeight w:val="227"/>
        </w:trPr>
        <w:tc>
          <w:tcPr>
            <w:tcW w:w="195" w:type="dxa"/>
            <w:tcBorders>
              <w:top w:val="nil"/>
              <w:left w:val="nil"/>
              <w:bottom w:val="nil"/>
              <w:right w:val="nil"/>
            </w:tcBorders>
            <w:shd w:val="clear" w:color="000000" w:fill="0070C0"/>
            <w:noWrap/>
            <w:vAlign w:val="bottom"/>
            <w:hideMark/>
          </w:tcPr>
          <w:p w:rsidR="00EF0B04" w:rsidRPr="00A322EA" w:rsidRDefault="00EF0B04" w:rsidP="00507035">
            <w:pPr>
              <w:spacing w:before="120" w:after="120"/>
              <w:rPr>
                <w:rFonts w:ascii="Arial" w:hAnsi="Arial" w:cs="Arial"/>
                <w:color w:val="000000"/>
                <w:sz w:val="22"/>
                <w:szCs w:val="22"/>
              </w:rPr>
            </w:pPr>
            <w:r w:rsidRPr="00A322EA">
              <w:rPr>
                <w:rFonts w:ascii="Arial" w:hAnsi="Arial" w:cs="Arial"/>
                <w:color w:val="000000"/>
                <w:sz w:val="22"/>
                <w:szCs w:val="22"/>
              </w:rPr>
              <w:t> </w:t>
            </w:r>
          </w:p>
        </w:tc>
        <w:tc>
          <w:tcPr>
            <w:tcW w:w="1576" w:type="dxa"/>
            <w:tcBorders>
              <w:top w:val="nil"/>
              <w:left w:val="nil"/>
              <w:bottom w:val="nil"/>
              <w:right w:val="nil"/>
            </w:tcBorders>
            <w:noWrap/>
            <w:vAlign w:val="center"/>
            <w:hideMark/>
          </w:tcPr>
          <w:p w:rsidR="00EF0B04" w:rsidRPr="00A322EA" w:rsidRDefault="00EF0B04" w:rsidP="00507035">
            <w:pPr>
              <w:spacing w:before="120" w:after="120"/>
              <w:rPr>
                <w:rFonts w:ascii="Arial" w:hAnsi="Arial" w:cs="Arial"/>
                <w:color w:val="000000"/>
                <w:sz w:val="16"/>
                <w:szCs w:val="16"/>
              </w:rPr>
            </w:pPr>
            <w:r w:rsidRPr="00A322EA">
              <w:rPr>
                <w:rFonts w:ascii="Arial" w:hAnsi="Arial" w:cs="Arial"/>
                <w:color w:val="000000"/>
                <w:sz w:val="16"/>
                <w:szCs w:val="16"/>
              </w:rPr>
              <w:t>Úroveň čerpania</w:t>
            </w:r>
          </w:p>
        </w:tc>
      </w:tr>
    </w:tbl>
    <w:p w:rsidR="00EF0B04" w:rsidRPr="006A2BF3" w:rsidRDefault="00EF0B04" w:rsidP="00507035">
      <w:pPr>
        <w:spacing w:before="120" w:after="120" w:line="360" w:lineRule="auto"/>
        <w:jc w:val="both"/>
        <w:rPr>
          <w:rFonts w:ascii="Arial" w:hAnsi="Arial" w:cs="Arial"/>
          <w:sz w:val="20"/>
          <w:szCs w:val="20"/>
        </w:rPr>
      </w:pPr>
      <w:r w:rsidRPr="006A2BF3">
        <w:rPr>
          <w:rFonts w:ascii="Arial" w:hAnsi="Arial" w:cs="Arial"/>
          <w:sz w:val="20"/>
          <w:szCs w:val="20"/>
        </w:rPr>
        <w:t xml:space="preserve">Porovnaním </w:t>
      </w:r>
      <w:r>
        <w:rPr>
          <w:rFonts w:ascii="Arial" w:hAnsi="Arial" w:cs="Arial"/>
          <w:sz w:val="20"/>
          <w:szCs w:val="20"/>
        </w:rPr>
        <w:t xml:space="preserve">zazmluvnenia alokácie v rámci HT44 </w:t>
      </w:r>
      <w:r w:rsidRPr="006A2BF3">
        <w:rPr>
          <w:rFonts w:ascii="Arial" w:hAnsi="Arial" w:cs="Arial"/>
          <w:sz w:val="20"/>
          <w:szCs w:val="20"/>
        </w:rPr>
        <w:t>a</w:t>
      </w:r>
      <w:r>
        <w:rPr>
          <w:rFonts w:ascii="Arial" w:hAnsi="Arial" w:cs="Arial"/>
          <w:sz w:val="20"/>
          <w:szCs w:val="20"/>
        </w:rPr>
        <w:t xml:space="preserve"> </w:t>
      </w:r>
      <w:r w:rsidRPr="006A2BF3">
        <w:rPr>
          <w:rFonts w:ascii="Arial" w:hAnsi="Arial" w:cs="Arial"/>
          <w:sz w:val="20"/>
          <w:szCs w:val="20"/>
        </w:rPr>
        <w:t>cieľových hodnôt oboch príslušných ukazovateľov je zrejmé, že implementácia OP na úrovni operačného cieľa 4.5 je vyhovujúca.</w:t>
      </w:r>
    </w:p>
    <w:p w:rsidR="009A7459" w:rsidRPr="00CE2C8B" w:rsidRDefault="009A7459" w:rsidP="00507035">
      <w:pPr>
        <w:spacing w:before="120" w:after="120" w:line="360" w:lineRule="auto"/>
        <w:jc w:val="both"/>
        <w:rPr>
          <w:rFonts w:ascii="Arial" w:hAnsi="Arial" w:cs="Arial"/>
          <w:sz w:val="20"/>
          <w:szCs w:val="20"/>
        </w:rPr>
      </w:pPr>
      <w:r w:rsidRPr="00CE2C8B">
        <w:rPr>
          <w:rFonts w:ascii="Arial" w:hAnsi="Arial" w:cs="Arial"/>
          <w:sz w:val="20"/>
          <w:szCs w:val="20"/>
        </w:rPr>
        <w:t>Keďže pod HT44 spadajú operačné ciele 4.1, 4.2, 4.3 a 4.5, už v súčasnosti možno na základe miery napĺňania plánovaných merateľných ukazovateľov vo vzťahu k úrovni čerpania k 31.12.201</w:t>
      </w:r>
      <w:r w:rsidRPr="00B71586">
        <w:rPr>
          <w:rFonts w:ascii="Arial" w:hAnsi="Arial" w:cs="Arial"/>
          <w:sz w:val="20"/>
          <w:szCs w:val="20"/>
        </w:rPr>
        <w:t>2</w:t>
      </w:r>
      <w:r w:rsidRPr="00CE2C8B">
        <w:rPr>
          <w:rFonts w:ascii="Arial" w:hAnsi="Arial" w:cs="Arial"/>
          <w:sz w:val="20"/>
          <w:szCs w:val="20"/>
        </w:rPr>
        <w:t xml:space="preserve"> skonštatovať, že pri vyčerpaní alokácie na HT44 dôjde k dosiahnutiu hodnôt ukazovateľov stanovených v OP. </w:t>
      </w:r>
    </w:p>
    <w:p w:rsidR="009A7459" w:rsidRDefault="009A7459" w:rsidP="00507035">
      <w:pPr>
        <w:spacing w:before="120" w:after="120" w:line="360" w:lineRule="auto"/>
        <w:jc w:val="both"/>
        <w:rPr>
          <w:rFonts w:ascii="Arial" w:hAnsi="Arial" w:cs="Arial"/>
          <w:sz w:val="20"/>
          <w:szCs w:val="20"/>
        </w:rPr>
      </w:pPr>
      <w:r w:rsidRPr="0034582F">
        <w:rPr>
          <w:rFonts w:ascii="Arial" w:hAnsi="Arial" w:cs="Arial"/>
          <w:sz w:val="20"/>
          <w:szCs w:val="20"/>
        </w:rPr>
        <w:t xml:space="preserve">Vzájomný pomer finančnej úrovne čerpania danej prioritnej témy na úrovni </w:t>
      </w:r>
      <w:r w:rsidRPr="00B71586">
        <w:rPr>
          <w:rFonts w:ascii="Arial" w:hAnsi="Arial" w:cs="Arial"/>
          <w:sz w:val="20"/>
          <w:szCs w:val="20"/>
        </w:rPr>
        <w:t>48</w:t>
      </w:r>
      <w:r w:rsidRPr="0034582F">
        <w:rPr>
          <w:rFonts w:ascii="Arial" w:hAnsi="Arial" w:cs="Arial"/>
          <w:sz w:val="20"/>
          <w:szCs w:val="20"/>
        </w:rPr>
        <w:t>,</w:t>
      </w:r>
      <w:r w:rsidRPr="00B71586">
        <w:rPr>
          <w:rFonts w:ascii="Arial" w:hAnsi="Arial" w:cs="Arial"/>
          <w:sz w:val="20"/>
          <w:szCs w:val="20"/>
        </w:rPr>
        <w:t>86</w:t>
      </w:r>
      <w:r w:rsidR="0065734F">
        <w:rPr>
          <w:rFonts w:ascii="Arial" w:hAnsi="Arial" w:cs="Arial"/>
          <w:sz w:val="20"/>
          <w:szCs w:val="20"/>
        </w:rPr>
        <w:t xml:space="preserve"> </w:t>
      </w:r>
      <w:r w:rsidRPr="0034582F">
        <w:rPr>
          <w:rFonts w:ascii="Arial" w:hAnsi="Arial" w:cs="Arial"/>
          <w:sz w:val="20"/>
          <w:szCs w:val="20"/>
        </w:rPr>
        <w:t xml:space="preserve">% a fyzického pokroku zazmluvnených projektov na úrovni </w:t>
      </w:r>
      <w:r w:rsidRPr="00B71586">
        <w:rPr>
          <w:rFonts w:ascii="Arial" w:hAnsi="Arial" w:cs="Arial"/>
          <w:sz w:val="20"/>
          <w:szCs w:val="20"/>
        </w:rPr>
        <w:t>29</w:t>
      </w:r>
      <w:r w:rsidRPr="0034582F">
        <w:rPr>
          <w:rFonts w:ascii="Arial" w:hAnsi="Arial" w:cs="Arial"/>
          <w:sz w:val="20"/>
          <w:szCs w:val="20"/>
        </w:rPr>
        <w:t>,</w:t>
      </w:r>
      <w:r w:rsidRPr="00B71586">
        <w:rPr>
          <w:rFonts w:ascii="Arial" w:hAnsi="Arial" w:cs="Arial"/>
          <w:sz w:val="20"/>
          <w:szCs w:val="20"/>
        </w:rPr>
        <w:t>4</w:t>
      </w:r>
      <w:r w:rsidR="0065734F">
        <w:rPr>
          <w:rFonts w:ascii="Arial" w:hAnsi="Arial" w:cs="Arial"/>
          <w:sz w:val="20"/>
          <w:szCs w:val="20"/>
        </w:rPr>
        <w:t xml:space="preserve"> </w:t>
      </w:r>
      <w:r w:rsidRPr="0034582F">
        <w:rPr>
          <w:rFonts w:ascii="Arial" w:hAnsi="Arial" w:cs="Arial"/>
          <w:sz w:val="20"/>
          <w:szCs w:val="20"/>
        </w:rPr>
        <w:t>% odzrkadľuje pokrok v realizácii projektov a možno ho považovať za rovnomerný a primeraný vzhľadom na počet ukončených projektov a projektov v realizácii ako aj charakter projektov, kedy finančný pokrok na projektoch je v miernom oneskorení oproti fyzickému pokroku.</w:t>
      </w:r>
    </w:p>
    <w:p w:rsidR="00C31195" w:rsidRPr="00E57A5C" w:rsidRDefault="00C31195" w:rsidP="00C31195">
      <w:pPr>
        <w:spacing w:before="120" w:line="360" w:lineRule="auto"/>
        <w:jc w:val="both"/>
        <w:rPr>
          <w:rFonts w:ascii="Arial" w:hAnsi="Arial" w:cs="Arial"/>
          <w:b/>
          <w:sz w:val="20"/>
          <w:szCs w:val="20"/>
        </w:rPr>
      </w:pPr>
      <w:bookmarkStart w:id="93" w:name="_Toc319573332"/>
      <w:r w:rsidRPr="00E57A5C">
        <w:rPr>
          <w:rFonts w:ascii="Arial" w:hAnsi="Arial" w:cs="Arial"/>
          <w:b/>
          <w:sz w:val="20"/>
          <w:szCs w:val="20"/>
        </w:rPr>
        <w:t>Zhrnutie:</w:t>
      </w:r>
    </w:p>
    <w:p w:rsidR="00C31195" w:rsidRPr="00593253" w:rsidRDefault="00C31195" w:rsidP="00C31195">
      <w:pPr>
        <w:spacing w:before="120" w:line="360" w:lineRule="auto"/>
        <w:jc w:val="both"/>
        <w:rPr>
          <w:rFonts w:ascii="Arial" w:hAnsi="Arial" w:cs="Arial"/>
          <w:sz w:val="20"/>
          <w:szCs w:val="20"/>
        </w:rPr>
      </w:pPr>
      <w:r w:rsidRPr="00593253">
        <w:rPr>
          <w:rFonts w:ascii="Arial" w:hAnsi="Arial" w:cs="Arial"/>
          <w:sz w:val="20"/>
          <w:szCs w:val="20"/>
        </w:rPr>
        <w:t xml:space="preserve">Absorpčnú kapacitu výziev možno vo väčšine prípadov hodnotiť ako pomerne vysokú. </w:t>
      </w:r>
    </w:p>
    <w:p w:rsidR="00C31195" w:rsidRPr="00593253" w:rsidRDefault="00C31195" w:rsidP="00C31195">
      <w:pPr>
        <w:spacing w:before="120" w:line="360" w:lineRule="auto"/>
        <w:jc w:val="both"/>
        <w:rPr>
          <w:rFonts w:ascii="Arial" w:hAnsi="Arial" w:cs="Arial"/>
          <w:sz w:val="20"/>
          <w:szCs w:val="20"/>
        </w:rPr>
      </w:pPr>
      <w:r w:rsidRPr="00593253">
        <w:rPr>
          <w:rFonts w:ascii="Arial" w:hAnsi="Arial" w:cs="Arial"/>
          <w:sz w:val="20"/>
          <w:szCs w:val="20"/>
        </w:rPr>
        <w:t>Nižšia absorpčná kapacita bola zaznamenaná iba v prípade operačného cieľa 4.3 a 4.4. Vzhľadom k limitovanej možnosti poskytnúť pomoc z fondov EÚ na odstránenie environmentálnej záťaže v prípade, ak jej pôvodca nie je známy alebo ho nemožno prinútiť, aby znášal náklady na odstránenie znečistenia (rešpektovanie zásady „znečisťovateľ platí“), vzhľadom k cieľovým hodnotám viacerých merateľných ukazovateľov je možné vyhodnotiť prioritne po ukončení realizácie projektov. Na základe interného hodnotenia OP ŽP v roku 2012 vyplynulo, že voľné disponibilné finančné prostriedky PO4 je možné využiť v prospech PO1, pričom z hľadiska reálnej využiteľnosti pôvodne alokovaných prostriedkov na PO 4, predovšetkým na aktivity v rámci operačného cieľa 4.4, bol navrhovaný objem presunu (realokácie) z PO4 v prospech PO1(operačného cieľa 1.2) 83 140 000 EUR (zdroje KF). Táto suma tvorila súčasť celkového objemu presunutých finančných prostriedkov (113 277 499 EUR) v prospech aktivít na odvádzanie a čistenie komunálnych odpadových vôd v zmysle záväzkov SR voči EÚ (prioritná téma 46 Spracovanie vody (odpadová voda)), ktorý bol schválený Monitorovacím výborom pre OP ŽP dňa 18.12.2012.</w:t>
      </w:r>
    </w:p>
    <w:p w:rsidR="00205636" w:rsidRDefault="00C31195" w:rsidP="00992100">
      <w:pPr>
        <w:spacing w:before="120" w:line="360" w:lineRule="auto"/>
        <w:jc w:val="both"/>
        <w:rPr>
          <w:rFonts w:ascii="Arial" w:hAnsi="Arial" w:cs="Arial"/>
          <w:sz w:val="20"/>
          <w:szCs w:val="20"/>
        </w:rPr>
      </w:pPr>
      <w:r w:rsidRPr="00593253">
        <w:rPr>
          <w:rFonts w:ascii="Arial" w:hAnsi="Arial" w:cs="Arial"/>
          <w:sz w:val="20"/>
          <w:szCs w:val="20"/>
        </w:rPr>
        <w:t>RO pre OP ŽP očakáva, že znížení disponibilnej alokácie pre OP4 sa limituje rizika nedočerpania zdrojov v rámci operačného cieľa 4.4. Znížením disponibilnej alokácie zároveň nevnáša riziko neplnenia cieľov PO4, nakoľko zazmluvnené projekty PO4 majú stanovené ciele, ktorými by mali zabezpečiť naplnenie stanovených hodnôt ukazovateľov po ukončení realizácie projektov a zároveň z dôvodu zníženia hodnôt merateľných ukazovateľov PO4 alikvotne výške zníženia disponibilnej alokácie v rámci PO4 OP ŽP verzie 4.0 schválenej MV pre OP ŽP dňa 18.12.2012.</w:t>
      </w:r>
    </w:p>
    <w:p w:rsidR="00992100" w:rsidRDefault="00992100" w:rsidP="00992100">
      <w:pPr>
        <w:spacing w:before="120" w:line="360" w:lineRule="auto"/>
        <w:jc w:val="both"/>
        <w:rPr>
          <w:rFonts w:ascii="Arial" w:hAnsi="Arial"/>
          <w:b/>
          <w:bCs/>
          <w:iCs/>
          <w:sz w:val="28"/>
          <w:szCs w:val="28"/>
        </w:rPr>
      </w:pPr>
    </w:p>
    <w:p w:rsidR="002416B1" w:rsidRPr="004B33AE" w:rsidRDefault="002416B1" w:rsidP="00507035">
      <w:pPr>
        <w:pStyle w:val="Nadpis2"/>
        <w:spacing w:before="120" w:after="120" w:line="360" w:lineRule="auto"/>
      </w:pPr>
      <w:r w:rsidRPr="004B33AE">
        <w:t>3.5. Prioritná os 5 Ochrana a regenerácia prírodného prostredia a krajiny</w:t>
      </w:r>
      <w:bookmarkEnd w:id="93"/>
    </w:p>
    <w:p w:rsidR="002416B1" w:rsidRDefault="002416B1" w:rsidP="00507035">
      <w:pPr>
        <w:pStyle w:val="Nadpis3"/>
        <w:spacing w:before="120" w:after="120" w:line="360" w:lineRule="auto"/>
      </w:pPr>
      <w:bookmarkStart w:id="94" w:name="_Toc319573333"/>
      <w:r w:rsidRPr="004B33AE">
        <w:t>3.5.1 Dosiahnutie cieľov a analýza dosiahnutého pokroku</w:t>
      </w:r>
      <w:bookmarkEnd w:id="94"/>
    </w:p>
    <w:p w:rsidR="002416B1" w:rsidRPr="004B33AE" w:rsidRDefault="002416B1" w:rsidP="00507035">
      <w:pPr>
        <w:spacing w:before="120" w:after="120" w:line="360" w:lineRule="auto"/>
        <w:jc w:val="both"/>
        <w:rPr>
          <w:rFonts w:ascii="Arial" w:hAnsi="Arial" w:cs="Arial"/>
          <w:sz w:val="20"/>
          <w:szCs w:val="20"/>
        </w:rPr>
      </w:pPr>
      <w:r w:rsidRPr="004B33AE">
        <w:rPr>
          <w:rFonts w:ascii="Arial" w:hAnsi="Arial" w:cs="Arial"/>
          <w:sz w:val="20"/>
          <w:szCs w:val="20"/>
        </w:rPr>
        <w:t>Cieľom prioritnej osi je dobudovanie sústavy chránených území NATURA 2000 a infraštruktúry ochrany prírody SR v zmysle právnych predpisov EÚ a SR. Prioritná os je zameraná na dosiahnutie alebo zachovanie priaznivého stavu druhov a biotopov európskeho významu, najmä prostredníctvom sústavy NATURA 2000, materiálne a personálne dobudovanie oprávnených organizácií a monitoring stavu zmien krajiny, ako aj na zlepšovanie environmentálneho povedomia verejnosti a vlastníkov územia.</w:t>
      </w:r>
    </w:p>
    <w:p w:rsidR="00D70258" w:rsidRPr="00CE2C8B" w:rsidRDefault="002416B1" w:rsidP="00507035">
      <w:pPr>
        <w:spacing w:before="120" w:after="120" w:line="360" w:lineRule="auto"/>
        <w:jc w:val="both"/>
        <w:rPr>
          <w:rFonts w:ascii="Arial" w:hAnsi="Arial" w:cs="Arial"/>
          <w:sz w:val="20"/>
          <w:szCs w:val="20"/>
        </w:rPr>
      </w:pPr>
      <w:r w:rsidRPr="00D70258">
        <w:rPr>
          <w:rFonts w:ascii="Arial" w:hAnsi="Arial" w:cs="Arial"/>
          <w:sz w:val="20"/>
          <w:szCs w:val="20"/>
        </w:rPr>
        <w:t>Prioritná os 5 je financovaná z Európskeho fondu regionálneho rozvoja a svojou alokáciou tvorí 2,79</w:t>
      </w:r>
      <w:r w:rsidR="0065734F">
        <w:rPr>
          <w:rFonts w:ascii="Arial" w:hAnsi="Arial" w:cs="Arial"/>
          <w:sz w:val="20"/>
          <w:szCs w:val="20"/>
        </w:rPr>
        <w:t> </w:t>
      </w:r>
      <w:r w:rsidRPr="00D70258">
        <w:rPr>
          <w:rFonts w:ascii="Arial" w:hAnsi="Arial" w:cs="Arial"/>
          <w:sz w:val="20"/>
          <w:szCs w:val="20"/>
        </w:rPr>
        <w:t xml:space="preserve">% celkovej alokácie na operačný program. </w:t>
      </w:r>
    </w:p>
    <w:p w:rsidR="00D70258" w:rsidRPr="00CE2C8B" w:rsidRDefault="00D70258" w:rsidP="00507035">
      <w:pPr>
        <w:spacing w:before="120" w:after="120" w:line="360" w:lineRule="auto"/>
        <w:jc w:val="both"/>
        <w:rPr>
          <w:rFonts w:ascii="Arial" w:hAnsi="Arial" w:cs="Arial"/>
          <w:sz w:val="20"/>
          <w:szCs w:val="20"/>
        </w:rPr>
      </w:pPr>
      <w:r w:rsidRPr="00CE2C8B">
        <w:rPr>
          <w:rFonts w:ascii="Arial" w:hAnsi="Arial" w:cs="Arial"/>
          <w:sz w:val="20"/>
          <w:szCs w:val="20"/>
        </w:rPr>
        <w:t>Podiel uvedenej prioritnej osi na celkovom čerpaní alokácie za rok 201</w:t>
      </w:r>
      <w:r w:rsidRPr="00B71586">
        <w:rPr>
          <w:rFonts w:ascii="Arial" w:hAnsi="Arial" w:cs="Arial"/>
          <w:sz w:val="20"/>
          <w:szCs w:val="20"/>
        </w:rPr>
        <w:t>2</w:t>
      </w:r>
      <w:r w:rsidRPr="00CE2C8B">
        <w:rPr>
          <w:rFonts w:ascii="Arial" w:hAnsi="Arial" w:cs="Arial"/>
          <w:sz w:val="20"/>
          <w:szCs w:val="20"/>
        </w:rPr>
        <w:t xml:space="preserve"> je </w:t>
      </w:r>
      <w:r w:rsidRPr="00B71586">
        <w:rPr>
          <w:rFonts w:ascii="Arial" w:hAnsi="Arial" w:cs="Arial"/>
          <w:sz w:val="20"/>
          <w:szCs w:val="20"/>
        </w:rPr>
        <w:t>1</w:t>
      </w:r>
      <w:r w:rsidRPr="00CE2C8B">
        <w:rPr>
          <w:rFonts w:ascii="Arial" w:hAnsi="Arial" w:cs="Arial"/>
          <w:sz w:val="20"/>
          <w:szCs w:val="20"/>
        </w:rPr>
        <w:t>,8</w:t>
      </w:r>
      <w:r w:rsidRPr="00B71586">
        <w:rPr>
          <w:rFonts w:ascii="Arial" w:hAnsi="Arial" w:cs="Arial"/>
          <w:sz w:val="20"/>
          <w:szCs w:val="20"/>
        </w:rPr>
        <w:t>2</w:t>
      </w:r>
      <w:r w:rsidR="0065734F">
        <w:rPr>
          <w:rFonts w:ascii="Arial" w:hAnsi="Arial" w:cs="Arial"/>
          <w:sz w:val="20"/>
          <w:szCs w:val="20"/>
        </w:rPr>
        <w:t xml:space="preserve"> </w:t>
      </w:r>
      <w:r w:rsidRPr="00CE2C8B">
        <w:rPr>
          <w:rFonts w:ascii="Arial" w:hAnsi="Arial" w:cs="Arial"/>
          <w:sz w:val="20"/>
          <w:szCs w:val="20"/>
        </w:rPr>
        <w:t>%.</w:t>
      </w:r>
    </w:p>
    <w:p w:rsidR="00D70258" w:rsidRDefault="00D70258" w:rsidP="00507035">
      <w:pPr>
        <w:spacing w:before="120" w:after="120" w:line="360" w:lineRule="auto"/>
        <w:jc w:val="both"/>
        <w:rPr>
          <w:rFonts w:ascii="Arial" w:hAnsi="Arial" w:cs="Arial"/>
          <w:sz w:val="20"/>
          <w:szCs w:val="20"/>
        </w:rPr>
      </w:pPr>
      <w:r w:rsidRPr="00CE2C8B">
        <w:rPr>
          <w:rFonts w:ascii="Arial" w:hAnsi="Arial" w:cs="Arial"/>
          <w:sz w:val="20"/>
          <w:szCs w:val="20"/>
        </w:rPr>
        <w:t xml:space="preserve">Úroveň zazmluvnenia prioritnej osi voči alokácii na danú prioritnú os je </w:t>
      </w:r>
      <w:r w:rsidRPr="00B71586">
        <w:rPr>
          <w:rFonts w:ascii="Arial" w:hAnsi="Arial" w:cs="Arial"/>
          <w:sz w:val="20"/>
          <w:szCs w:val="20"/>
        </w:rPr>
        <w:t>84</w:t>
      </w:r>
      <w:r w:rsidRPr="00CE2C8B">
        <w:rPr>
          <w:rFonts w:ascii="Arial" w:hAnsi="Arial" w:cs="Arial"/>
          <w:sz w:val="20"/>
          <w:szCs w:val="20"/>
        </w:rPr>
        <w:t>,</w:t>
      </w:r>
      <w:r w:rsidRPr="00B71586">
        <w:rPr>
          <w:rFonts w:ascii="Arial" w:hAnsi="Arial" w:cs="Arial"/>
          <w:sz w:val="20"/>
          <w:szCs w:val="20"/>
        </w:rPr>
        <w:t>3</w:t>
      </w:r>
      <w:r w:rsidRPr="00CE2C8B">
        <w:rPr>
          <w:rFonts w:ascii="Arial" w:hAnsi="Arial" w:cs="Arial"/>
          <w:sz w:val="20"/>
          <w:szCs w:val="20"/>
        </w:rPr>
        <w:t xml:space="preserve"> %, pričom vyplatené prostriedky prijímateľom tvoria </w:t>
      </w:r>
      <w:r w:rsidRPr="00B71586">
        <w:rPr>
          <w:rFonts w:ascii="Arial" w:hAnsi="Arial" w:cs="Arial"/>
          <w:sz w:val="20"/>
          <w:szCs w:val="20"/>
        </w:rPr>
        <w:t>21</w:t>
      </w:r>
      <w:r w:rsidRPr="00CE2C8B">
        <w:rPr>
          <w:rFonts w:ascii="Arial" w:hAnsi="Arial" w:cs="Arial"/>
          <w:sz w:val="20"/>
          <w:szCs w:val="20"/>
        </w:rPr>
        <w:t>,</w:t>
      </w:r>
      <w:r w:rsidRPr="00B71586">
        <w:rPr>
          <w:rFonts w:ascii="Arial" w:hAnsi="Arial" w:cs="Arial"/>
          <w:sz w:val="20"/>
          <w:szCs w:val="20"/>
        </w:rPr>
        <w:t>25</w:t>
      </w:r>
      <w:r w:rsidR="0065734F">
        <w:rPr>
          <w:rFonts w:ascii="Arial" w:hAnsi="Arial" w:cs="Arial"/>
          <w:sz w:val="20"/>
          <w:szCs w:val="20"/>
        </w:rPr>
        <w:t xml:space="preserve"> </w:t>
      </w:r>
      <w:r w:rsidRPr="00CE2C8B">
        <w:rPr>
          <w:rFonts w:ascii="Arial" w:hAnsi="Arial" w:cs="Arial"/>
          <w:sz w:val="20"/>
          <w:szCs w:val="20"/>
        </w:rPr>
        <w:t>% voči celkovej alokácii na danú prioritnú os.</w:t>
      </w:r>
    </w:p>
    <w:p w:rsidR="002416B1" w:rsidRPr="002A737F" w:rsidRDefault="002416B1" w:rsidP="00507035">
      <w:pPr>
        <w:spacing w:before="120" w:after="120" w:line="360" w:lineRule="auto"/>
        <w:jc w:val="both"/>
        <w:rPr>
          <w:rFonts w:ascii="Arial" w:hAnsi="Arial" w:cs="Arial"/>
          <w:sz w:val="20"/>
          <w:szCs w:val="20"/>
        </w:rPr>
      </w:pPr>
      <w:r w:rsidRPr="002A737F">
        <w:rPr>
          <w:rFonts w:ascii="Arial" w:hAnsi="Arial" w:cs="Arial"/>
          <w:sz w:val="20"/>
          <w:szCs w:val="20"/>
        </w:rPr>
        <w:t>Zhodnotenie úrovne zazmluvnenia alokovaných finančných prostriedkov za zdroje EÚ vo vzťahu k dosahovaným hodnotám ukazovateľov podľa prioritných tém je podrobnejšie popísané v časti Plnenie merateľných ukazovateľov. Na základe uvedeného RO očakáva naplnenie cieľov prioritnej osi.</w:t>
      </w:r>
    </w:p>
    <w:p w:rsidR="002416B1" w:rsidRDefault="002416B1" w:rsidP="00507035">
      <w:pPr>
        <w:spacing w:before="120" w:after="120" w:line="360" w:lineRule="auto"/>
        <w:jc w:val="both"/>
        <w:rPr>
          <w:rFonts w:ascii="Arial" w:hAnsi="Arial" w:cs="Arial"/>
          <w:sz w:val="20"/>
          <w:szCs w:val="20"/>
        </w:rPr>
      </w:pPr>
      <w:r w:rsidRPr="002A737F">
        <w:rPr>
          <w:rFonts w:ascii="Arial" w:hAnsi="Arial" w:cs="Arial"/>
          <w:sz w:val="20"/>
          <w:szCs w:val="20"/>
        </w:rPr>
        <w:t>Príklady úspešných projektov</w:t>
      </w:r>
      <w:r>
        <w:rPr>
          <w:rFonts w:ascii="Arial" w:hAnsi="Arial" w:cs="Arial"/>
          <w:sz w:val="20"/>
          <w:szCs w:val="20"/>
        </w:rPr>
        <w:t xml:space="preserve"> prioritnej osi 5</w:t>
      </w:r>
      <w:r w:rsidRPr="002A737F">
        <w:rPr>
          <w:rFonts w:ascii="Arial" w:hAnsi="Arial" w:cs="Arial"/>
          <w:sz w:val="20"/>
          <w:szCs w:val="20"/>
        </w:rPr>
        <w:t xml:space="preserve">, finančne aj fyzicky ukončených, sú uvedené na </w:t>
      </w:r>
      <w:r w:rsidR="0065734F">
        <w:rPr>
          <w:rFonts w:ascii="Arial" w:hAnsi="Arial" w:cs="Arial"/>
          <w:sz w:val="20"/>
          <w:szCs w:val="20"/>
        </w:rPr>
        <w:t>webovom sídle</w:t>
      </w:r>
      <w:r w:rsidR="0065734F" w:rsidRPr="002A737F">
        <w:rPr>
          <w:rFonts w:ascii="Arial" w:hAnsi="Arial" w:cs="Arial"/>
          <w:sz w:val="20"/>
          <w:szCs w:val="20"/>
        </w:rPr>
        <w:t xml:space="preserve"> </w:t>
      </w:r>
      <w:r w:rsidRPr="002A737F">
        <w:rPr>
          <w:rFonts w:ascii="Arial" w:hAnsi="Arial" w:cs="Arial"/>
          <w:sz w:val="20"/>
          <w:szCs w:val="20"/>
        </w:rPr>
        <w:t xml:space="preserve">OP ŽP, </w:t>
      </w:r>
      <w:hyperlink r:id="rId54" w:history="1">
        <w:r w:rsidRPr="002A737F">
          <w:rPr>
            <w:rStyle w:val="Hypertextovprepojenie"/>
            <w:rFonts w:ascii="Arial" w:hAnsi="Arial" w:cs="Arial"/>
            <w:sz w:val="20"/>
            <w:szCs w:val="20"/>
          </w:rPr>
          <w:t>http://www.opzp.sk/projekty/mapa-vzorovych-uspesne-realizovanych-projektov/</w:t>
        </w:r>
      </w:hyperlink>
      <w:r w:rsidR="007D7EAE">
        <w:rPr>
          <w:rFonts w:ascii="Arial" w:hAnsi="Arial" w:cs="Arial"/>
          <w:sz w:val="20"/>
          <w:szCs w:val="20"/>
        </w:rPr>
        <w:t xml:space="preserve"> a tiež sú súčasťou Prílohy č. 10 výročnej správy.</w:t>
      </w:r>
    </w:p>
    <w:p w:rsidR="002416B1" w:rsidRPr="004B33AE" w:rsidRDefault="002416B1" w:rsidP="00507035">
      <w:pPr>
        <w:pStyle w:val="Nadpis8"/>
        <w:spacing w:before="120" w:after="120"/>
        <w:rPr>
          <w:rFonts w:ascii="Arial" w:hAnsi="Arial" w:cs="Arial"/>
          <w:b/>
          <w:sz w:val="22"/>
          <w:szCs w:val="22"/>
        </w:rPr>
      </w:pPr>
      <w:r w:rsidRPr="004B33AE">
        <w:rPr>
          <w:rFonts w:ascii="Arial" w:hAnsi="Arial" w:cs="Arial"/>
          <w:b/>
          <w:sz w:val="22"/>
          <w:szCs w:val="22"/>
        </w:rPr>
        <w:t>3.5.1.1 Stav fyzického pokroku prioritnej osi 5</w:t>
      </w:r>
    </w:p>
    <w:p w:rsidR="002416B1" w:rsidRPr="004B33AE" w:rsidRDefault="002416B1" w:rsidP="00507035">
      <w:pPr>
        <w:pStyle w:val="Zkladntextb"/>
        <w:spacing w:before="120" w:after="120" w:line="360" w:lineRule="auto"/>
        <w:ind w:left="0"/>
        <w:jc w:val="both"/>
        <w:rPr>
          <w:lang w:val="sk-SK"/>
        </w:rPr>
      </w:pPr>
      <w:r w:rsidRPr="004B33AE">
        <w:rPr>
          <w:lang w:val="sk-SK"/>
        </w:rPr>
        <w:t>K 31.12.201</w:t>
      </w:r>
      <w:r w:rsidR="00DD197D">
        <w:rPr>
          <w:lang w:val="sk-SK"/>
        </w:rPr>
        <w:t>2</w:t>
      </w:r>
      <w:r w:rsidRPr="004B33AE">
        <w:rPr>
          <w:lang w:val="sk-SK"/>
        </w:rPr>
        <w:t xml:space="preserve"> bol</w:t>
      </w:r>
      <w:r w:rsidR="00044CE9">
        <w:rPr>
          <w:lang w:val="sk-SK"/>
        </w:rPr>
        <w:t>o</w:t>
      </w:r>
      <w:r w:rsidRPr="004B33AE">
        <w:rPr>
          <w:lang w:val="sk-SK"/>
        </w:rPr>
        <w:t xml:space="preserve"> v rámci Prioritnej osi 5 Ochrana a regenerácia prírodného prostredia a krajiny </w:t>
      </w:r>
      <w:r w:rsidR="00044CE9" w:rsidRPr="004B33AE">
        <w:rPr>
          <w:lang w:val="sk-SK"/>
        </w:rPr>
        <w:t>vyhlásen</w:t>
      </w:r>
      <w:r w:rsidR="00044CE9">
        <w:rPr>
          <w:lang w:val="sk-SK"/>
        </w:rPr>
        <w:t>ých</w:t>
      </w:r>
      <w:r w:rsidR="00044CE9" w:rsidRPr="004B33AE">
        <w:rPr>
          <w:lang w:val="sk-SK"/>
        </w:rPr>
        <w:t xml:space="preserve"> </w:t>
      </w:r>
      <w:r w:rsidR="00044CE9">
        <w:rPr>
          <w:lang w:val="sk-SK"/>
        </w:rPr>
        <w:t>päť</w:t>
      </w:r>
      <w:r w:rsidR="00044CE9" w:rsidRPr="004B33AE">
        <w:rPr>
          <w:lang w:val="sk-SK"/>
        </w:rPr>
        <w:t xml:space="preserve"> výz</w:t>
      </w:r>
      <w:r w:rsidR="00044CE9">
        <w:rPr>
          <w:lang w:val="sk-SK"/>
        </w:rPr>
        <w:t>iev</w:t>
      </w:r>
      <w:r w:rsidR="00044CE9" w:rsidRPr="004B33AE">
        <w:rPr>
          <w:lang w:val="sk-SK"/>
        </w:rPr>
        <w:t xml:space="preserve"> </w:t>
      </w:r>
      <w:r w:rsidRPr="004B33AE">
        <w:rPr>
          <w:lang w:val="sk-SK"/>
        </w:rPr>
        <w:t xml:space="preserve">na predkladanie žiadostí o NFP v celkovej alokácii </w:t>
      </w:r>
      <w:r w:rsidR="00044CE9">
        <w:rPr>
          <w:lang w:val="sk-SK"/>
        </w:rPr>
        <w:t>80 706 623</w:t>
      </w:r>
      <w:r w:rsidRPr="004B33AE">
        <w:rPr>
          <w:lang w:val="sk-SK"/>
        </w:rPr>
        <w:t xml:space="preserve"> EUR. V roku 201</w:t>
      </w:r>
      <w:r w:rsidR="00044CE9">
        <w:rPr>
          <w:lang w:val="sk-SK"/>
        </w:rPr>
        <w:t>2</w:t>
      </w:r>
      <w:r w:rsidRPr="004B33AE">
        <w:rPr>
          <w:lang w:val="sk-SK"/>
        </w:rPr>
        <w:t xml:space="preserve"> bola zverejnená výzva </w:t>
      </w:r>
      <w:r w:rsidR="00DC2A19" w:rsidRPr="00DC2A19">
        <w:rPr>
          <w:lang w:val="sk-SK"/>
        </w:rPr>
        <w:t>na podporu aktivít operačného cieľa 5.1 (programy starostlivosti, programy záchrany druhov) vo výške 10 166 729</w:t>
      </w:r>
      <w:r w:rsidR="00DC2A19">
        <w:rPr>
          <w:lang w:val="sk-SK"/>
        </w:rPr>
        <w:t xml:space="preserve"> EUR</w:t>
      </w:r>
      <w:r w:rsidR="005B1A4B">
        <w:rPr>
          <w:lang w:val="sk-SK"/>
        </w:rPr>
        <w:t>. Ďalšie informácie o tejto výzve sú uvedené v nasledovnej</w:t>
      </w:r>
      <w:r w:rsidR="00DC2A19">
        <w:rPr>
          <w:lang w:val="sk-SK"/>
        </w:rPr>
        <w:t xml:space="preserve"> tabuľk</w:t>
      </w:r>
      <w:r w:rsidR="005B1A4B">
        <w:rPr>
          <w:lang w:val="sk-SK"/>
        </w:rPr>
        <w:t>e:</w:t>
      </w:r>
    </w:p>
    <w:p w:rsidR="00205636" w:rsidRDefault="00205636">
      <w:pPr>
        <w:rPr>
          <w:rFonts w:ascii="Arial" w:hAnsi="Arial" w:cs="Arial"/>
          <w:sz w:val="20"/>
          <w:szCs w:val="20"/>
        </w:rPr>
      </w:pPr>
    </w:p>
    <w:p w:rsidR="002416B1" w:rsidRPr="004B33AE" w:rsidRDefault="002416B1" w:rsidP="00205636">
      <w:pPr>
        <w:spacing w:line="360" w:lineRule="auto"/>
        <w:rPr>
          <w:rFonts w:ascii="Arial" w:hAnsi="Arial" w:cs="Arial"/>
          <w:sz w:val="20"/>
          <w:szCs w:val="20"/>
          <w:highlight w:val="yellow"/>
        </w:rPr>
      </w:pPr>
      <w:r w:rsidRPr="004B33AE">
        <w:rPr>
          <w:rFonts w:ascii="Arial" w:hAnsi="Arial" w:cs="Arial"/>
          <w:sz w:val="20"/>
          <w:szCs w:val="20"/>
        </w:rPr>
        <w:t xml:space="preserve">Tab. č. </w:t>
      </w:r>
      <w:r w:rsidR="00254D6C">
        <w:rPr>
          <w:rFonts w:ascii="Arial" w:hAnsi="Arial" w:cs="Arial"/>
          <w:sz w:val="20"/>
          <w:szCs w:val="20"/>
        </w:rPr>
        <w:t>54</w:t>
      </w:r>
      <w:r w:rsidRPr="004B33AE">
        <w:rPr>
          <w:rFonts w:ascii="Arial" w:hAnsi="Arial" w:cs="Arial"/>
          <w:sz w:val="20"/>
          <w:szCs w:val="20"/>
        </w:rPr>
        <w:t>: Stav vyhlasovania výziev prioritnej osi 5 v období 01.01.201</w:t>
      </w:r>
      <w:r w:rsidR="00DC2A19">
        <w:rPr>
          <w:rFonts w:ascii="Arial" w:hAnsi="Arial" w:cs="Arial"/>
          <w:sz w:val="20"/>
          <w:szCs w:val="20"/>
        </w:rPr>
        <w:t>2</w:t>
      </w:r>
      <w:r w:rsidRPr="004B33AE">
        <w:rPr>
          <w:rFonts w:ascii="Arial" w:hAnsi="Arial" w:cs="Arial"/>
          <w:sz w:val="20"/>
          <w:szCs w:val="20"/>
        </w:rPr>
        <w:t xml:space="preserve"> – 31.12.201</w:t>
      </w:r>
      <w:r w:rsidR="00DC2A19">
        <w:rPr>
          <w:rFonts w:ascii="Arial" w:hAnsi="Arial" w:cs="Arial"/>
          <w:sz w:val="20"/>
          <w:szCs w:val="20"/>
        </w:rPr>
        <w:t>2</w:t>
      </w:r>
    </w:p>
    <w:tbl>
      <w:tblPr>
        <w:tblW w:w="425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61"/>
        <w:gridCol w:w="2162"/>
        <w:gridCol w:w="1137"/>
        <w:gridCol w:w="1249"/>
        <w:gridCol w:w="1295"/>
      </w:tblGrid>
      <w:tr w:rsidR="002416B1" w:rsidRPr="006A2BF3" w:rsidTr="002113A1">
        <w:trPr>
          <w:trHeight w:val="1115"/>
        </w:trPr>
        <w:tc>
          <w:tcPr>
            <w:tcW w:w="707" w:type="pct"/>
            <w:shd w:val="clear" w:color="auto" w:fill="D6E3BC"/>
            <w:vAlign w:val="center"/>
          </w:tcPr>
          <w:p w:rsidR="002416B1" w:rsidRPr="006A2BF3" w:rsidRDefault="00DC2A19" w:rsidP="00205636">
            <w:pPr>
              <w:jc w:val="center"/>
              <w:rPr>
                <w:rFonts w:ascii="Arial" w:hAnsi="Arial" w:cs="Arial"/>
                <w:b/>
                <w:bCs/>
                <w:sz w:val="18"/>
                <w:szCs w:val="18"/>
              </w:rPr>
            </w:pPr>
            <w:r>
              <w:rPr>
                <w:rFonts w:ascii="Arial" w:hAnsi="Arial" w:cs="Arial"/>
                <w:b/>
                <w:bCs/>
                <w:sz w:val="18"/>
                <w:szCs w:val="18"/>
              </w:rPr>
              <w:t>Opatrenie</w:t>
            </w:r>
          </w:p>
        </w:tc>
        <w:tc>
          <w:tcPr>
            <w:tcW w:w="1196" w:type="pct"/>
            <w:shd w:val="clear" w:color="auto" w:fill="D6E3BC"/>
            <w:vAlign w:val="center"/>
          </w:tcPr>
          <w:p w:rsidR="002416B1" w:rsidRPr="006A2BF3" w:rsidRDefault="002416B1" w:rsidP="00205636">
            <w:pPr>
              <w:jc w:val="center"/>
              <w:rPr>
                <w:rFonts w:ascii="Arial" w:hAnsi="Arial" w:cs="Arial"/>
                <w:b/>
                <w:bCs/>
                <w:sz w:val="18"/>
                <w:szCs w:val="18"/>
              </w:rPr>
            </w:pPr>
            <w:r w:rsidRPr="006A2BF3">
              <w:rPr>
                <w:rFonts w:ascii="Arial" w:hAnsi="Arial" w:cs="Arial"/>
                <w:b/>
                <w:bCs/>
                <w:sz w:val="18"/>
                <w:szCs w:val="18"/>
              </w:rPr>
              <w:t>Typ výzvy</w:t>
            </w:r>
          </w:p>
        </w:tc>
        <w:tc>
          <w:tcPr>
            <w:tcW w:w="856" w:type="pct"/>
            <w:shd w:val="clear" w:color="auto" w:fill="D6E3BC"/>
            <w:vAlign w:val="center"/>
          </w:tcPr>
          <w:p w:rsidR="002416B1" w:rsidRPr="006A2BF3" w:rsidRDefault="002416B1" w:rsidP="00205636">
            <w:pPr>
              <w:jc w:val="center"/>
              <w:rPr>
                <w:rFonts w:ascii="Arial" w:hAnsi="Arial" w:cs="Arial"/>
                <w:b/>
                <w:bCs/>
                <w:sz w:val="18"/>
                <w:szCs w:val="18"/>
              </w:rPr>
            </w:pPr>
            <w:r w:rsidRPr="006A2BF3">
              <w:rPr>
                <w:rFonts w:ascii="Arial" w:hAnsi="Arial" w:cs="Arial"/>
                <w:b/>
                <w:bCs/>
                <w:sz w:val="18"/>
                <w:szCs w:val="18"/>
              </w:rPr>
              <w:t>Dátum vyhlásenia výzvy</w:t>
            </w:r>
          </w:p>
        </w:tc>
        <w:tc>
          <w:tcPr>
            <w:tcW w:w="1166" w:type="pct"/>
            <w:shd w:val="clear" w:color="auto" w:fill="D6E3BC"/>
            <w:vAlign w:val="center"/>
          </w:tcPr>
          <w:p w:rsidR="002416B1" w:rsidRPr="006A2BF3" w:rsidRDefault="002416B1" w:rsidP="00205636">
            <w:pPr>
              <w:jc w:val="center"/>
              <w:rPr>
                <w:rFonts w:ascii="Arial" w:hAnsi="Arial" w:cs="Arial"/>
                <w:b/>
                <w:bCs/>
                <w:sz w:val="18"/>
                <w:szCs w:val="18"/>
              </w:rPr>
            </w:pPr>
            <w:r w:rsidRPr="006A2BF3">
              <w:rPr>
                <w:rFonts w:ascii="Arial" w:hAnsi="Arial" w:cs="Arial"/>
                <w:b/>
                <w:bCs/>
                <w:sz w:val="18"/>
                <w:szCs w:val="18"/>
              </w:rPr>
              <w:t xml:space="preserve">Dátum uzávierky prijímania žiadostí </w:t>
            </w:r>
            <w:r>
              <w:rPr>
                <w:rFonts w:ascii="Arial" w:hAnsi="Arial" w:cs="Arial"/>
                <w:b/>
                <w:bCs/>
                <w:sz w:val="18"/>
                <w:szCs w:val="18"/>
              </w:rPr>
              <w:t xml:space="preserve">o </w:t>
            </w:r>
            <w:r w:rsidRPr="006A2BF3">
              <w:rPr>
                <w:rFonts w:ascii="Arial" w:hAnsi="Arial" w:cs="Arial"/>
                <w:b/>
                <w:bCs/>
                <w:sz w:val="18"/>
                <w:szCs w:val="18"/>
              </w:rPr>
              <w:t>NFP</w:t>
            </w:r>
          </w:p>
        </w:tc>
        <w:tc>
          <w:tcPr>
            <w:tcW w:w="1076" w:type="pct"/>
            <w:shd w:val="clear" w:color="auto" w:fill="D6E3BC"/>
            <w:vAlign w:val="center"/>
          </w:tcPr>
          <w:p w:rsidR="002416B1" w:rsidRPr="006A2BF3" w:rsidRDefault="002416B1" w:rsidP="00205636">
            <w:pPr>
              <w:jc w:val="center"/>
              <w:rPr>
                <w:rFonts w:ascii="Arial" w:hAnsi="Arial" w:cs="Arial"/>
                <w:b/>
                <w:bCs/>
                <w:sz w:val="18"/>
                <w:szCs w:val="18"/>
              </w:rPr>
            </w:pPr>
            <w:r w:rsidRPr="002A737F">
              <w:rPr>
                <w:rFonts w:ascii="Arial" w:hAnsi="Arial" w:cs="Arial"/>
                <w:b/>
                <w:bCs/>
                <w:sz w:val="18"/>
                <w:szCs w:val="18"/>
              </w:rPr>
              <w:t>Alokácia FP na výzvu (NFP) v €</w:t>
            </w:r>
          </w:p>
        </w:tc>
      </w:tr>
      <w:tr w:rsidR="002416B1" w:rsidRPr="006A2BF3" w:rsidTr="002113A1">
        <w:tblPrEx>
          <w:tblCellMar>
            <w:left w:w="70" w:type="dxa"/>
            <w:right w:w="70" w:type="dxa"/>
          </w:tblCellMar>
        </w:tblPrEx>
        <w:trPr>
          <w:trHeight w:val="377"/>
        </w:trPr>
        <w:tc>
          <w:tcPr>
            <w:tcW w:w="707" w:type="pct"/>
            <w:shd w:val="clear" w:color="auto" w:fill="EAF1DD"/>
            <w:noWrap/>
            <w:vAlign w:val="center"/>
          </w:tcPr>
          <w:p w:rsidR="002416B1" w:rsidRDefault="002416B1" w:rsidP="00205636">
            <w:pPr>
              <w:jc w:val="center"/>
              <w:rPr>
                <w:rFonts w:ascii="Arial" w:hAnsi="Arial" w:cs="Arial"/>
                <w:sz w:val="18"/>
                <w:szCs w:val="18"/>
              </w:rPr>
            </w:pPr>
            <w:r w:rsidRPr="006A2BF3">
              <w:rPr>
                <w:rFonts w:ascii="Arial" w:hAnsi="Arial" w:cs="Arial"/>
                <w:sz w:val="18"/>
                <w:szCs w:val="18"/>
              </w:rPr>
              <w:t>5</w:t>
            </w:r>
            <w:r w:rsidR="00DC2A19">
              <w:rPr>
                <w:rFonts w:ascii="Arial" w:hAnsi="Arial" w:cs="Arial"/>
                <w:sz w:val="18"/>
                <w:szCs w:val="18"/>
              </w:rPr>
              <w:t>.1</w:t>
            </w:r>
          </w:p>
          <w:p w:rsidR="00DC2A19" w:rsidRPr="006A2BF3" w:rsidRDefault="00DC2A19" w:rsidP="00205636">
            <w:pPr>
              <w:jc w:val="center"/>
              <w:rPr>
                <w:rFonts w:ascii="Arial" w:hAnsi="Arial" w:cs="Arial"/>
                <w:sz w:val="18"/>
                <w:szCs w:val="18"/>
              </w:rPr>
            </w:pPr>
            <w:r>
              <w:rPr>
                <w:rFonts w:ascii="Arial" w:hAnsi="Arial" w:cs="Arial"/>
                <w:sz w:val="18"/>
                <w:szCs w:val="18"/>
              </w:rPr>
              <w:t>(programy starostlivosti)</w:t>
            </w:r>
          </w:p>
        </w:tc>
        <w:tc>
          <w:tcPr>
            <w:tcW w:w="1196" w:type="pct"/>
            <w:noWrap/>
            <w:vAlign w:val="center"/>
          </w:tcPr>
          <w:p w:rsidR="002416B1" w:rsidRDefault="00DC2A19" w:rsidP="00205636">
            <w:pPr>
              <w:jc w:val="center"/>
              <w:rPr>
                <w:rFonts w:ascii="Arial" w:hAnsi="Arial" w:cs="Arial"/>
                <w:sz w:val="18"/>
                <w:szCs w:val="18"/>
              </w:rPr>
            </w:pPr>
            <w:r>
              <w:rPr>
                <w:rFonts w:ascii="Arial" w:hAnsi="Arial" w:cs="Arial"/>
                <w:sz w:val="18"/>
                <w:szCs w:val="18"/>
              </w:rPr>
              <w:t>OP ŽP-PO5-12-1</w:t>
            </w:r>
          </w:p>
          <w:p w:rsidR="00DC2A19" w:rsidRPr="006A2BF3" w:rsidRDefault="00DC2A19" w:rsidP="00205636">
            <w:pPr>
              <w:jc w:val="center"/>
              <w:rPr>
                <w:rFonts w:ascii="Arial" w:hAnsi="Arial" w:cs="Arial"/>
                <w:sz w:val="18"/>
                <w:szCs w:val="18"/>
              </w:rPr>
            </w:pPr>
            <w:r w:rsidRPr="006A2BF3">
              <w:rPr>
                <w:rFonts w:ascii="Arial" w:hAnsi="Arial" w:cs="Arial"/>
                <w:sz w:val="18"/>
                <w:szCs w:val="18"/>
              </w:rPr>
              <w:t>časovo ohraničená výzva</w:t>
            </w:r>
          </w:p>
        </w:tc>
        <w:tc>
          <w:tcPr>
            <w:tcW w:w="856" w:type="pct"/>
            <w:noWrap/>
            <w:vAlign w:val="center"/>
          </w:tcPr>
          <w:p w:rsidR="002416B1" w:rsidRPr="006A2BF3" w:rsidRDefault="00DC2A19" w:rsidP="00205636">
            <w:pPr>
              <w:jc w:val="center"/>
              <w:rPr>
                <w:rFonts w:ascii="Arial" w:hAnsi="Arial" w:cs="Arial"/>
                <w:sz w:val="18"/>
                <w:szCs w:val="18"/>
              </w:rPr>
            </w:pPr>
            <w:r>
              <w:rPr>
                <w:rFonts w:ascii="Arial" w:hAnsi="Arial" w:cs="Arial"/>
                <w:sz w:val="18"/>
                <w:szCs w:val="18"/>
              </w:rPr>
              <w:t>30.11.2012</w:t>
            </w:r>
          </w:p>
        </w:tc>
        <w:tc>
          <w:tcPr>
            <w:tcW w:w="1166" w:type="pct"/>
            <w:noWrap/>
            <w:vAlign w:val="center"/>
          </w:tcPr>
          <w:p w:rsidR="002416B1" w:rsidRPr="006A2BF3" w:rsidRDefault="00DC2A19" w:rsidP="00205636">
            <w:pPr>
              <w:jc w:val="center"/>
              <w:rPr>
                <w:rFonts w:ascii="Arial" w:hAnsi="Arial" w:cs="Arial"/>
                <w:sz w:val="18"/>
                <w:szCs w:val="18"/>
              </w:rPr>
            </w:pPr>
            <w:r>
              <w:rPr>
                <w:rFonts w:ascii="Arial" w:hAnsi="Arial" w:cs="Arial"/>
                <w:sz w:val="18"/>
                <w:szCs w:val="18"/>
              </w:rPr>
              <w:t>04.03.2012</w:t>
            </w:r>
          </w:p>
        </w:tc>
        <w:tc>
          <w:tcPr>
            <w:tcW w:w="1076" w:type="pct"/>
            <w:noWrap/>
            <w:vAlign w:val="center"/>
          </w:tcPr>
          <w:p w:rsidR="002416B1" w:rsidRPr="006A2BF3" w:rsidRDefault="00DC2A19" w:rsidP="00205636">
            <w:pPr>
              <w:jc w:val="center"/>
              <w:rPr>
                <w:rFonts w:ascii="Arial" w:hAnsi="Arial" w:cs="Arial"/>
                <w:sz w:val="18"/>
                <w:szCs w:val="18"/>
              </w:rPr>
            </w:pPr>
            <w:r>
              <w:rPr>
                <w:rFonts w:ascii="Arial" w:hAnsi="Arial" w:cs="Arial"/>
                <w:sz w:val="18"/>
                <w:szCs w:val="18"/>
              </w:rPr>
              <w:t>10 166 729</w:t>
            </w:r>
          </w:p>
        </w:tc>
      </w:tr>
      <w:tr w:rsidR="002416B1" w:rsidRPr="006A2BF3" w:rsidTr="002113A1">
        <w:tblPrEx>
          <w:tblCellMar>
            <w:left w:w="70" w:type="dxa"/>
            <w:right w:w="70" w:type="dxa"/>
          </w:tblCellMar>
        </w:tblPrEx>
        <w:trPr>
          <w:trHeight w:val="426"/>
        </w:trPr>
        <w:tc>
          <w:tcPr>
            <w:tcW w:w="707" w:type="pct"/>
            <w:shd w:val="clear" w:color="auto" w:fill="EAF1DD"/>
            <w:vAlign w:val="center"/>
          </w:tcPr>
          <w:p w:rsidR="002416B1" w:rsidRPr="006A2BF3" w:rsidRDefault="002416B1" w:rsidP="00205636">
            <w:pPr>
              <w:rPr>
                <w:rFonts w:ascii="Arial" w:hAnsi="Arial" w:cs="Arial"/>
                <w:b/>
                <w:bCs/>
                <w:sz w:val="18"/>
                <w:szCs w:val="18"/>
              </w:rPr>
            </w:pPr>
            <w:r w:rsidRPr="006A2BF3">
              <w:rPr>
                <w:rFonts w:ascii="Arial" w:hAnsi="Arial" w:cs="Arial"/>
                <w:b/>
                <w:bCs/>
                <w:sz w:val="18"/>
                <w:szCs w:val="18"/>
              </w:rPr>
              <w:t>Celkom</w:t>
            </w:r>
          </w:p>
        </w:tc>
        <w:tc>
          <w:tcPr>
            <w:tcW w:w="1196" w:type="pct"/>
            <w:shd w:val="clear" w:color="auto" w:fill="EAF1DD"/>
            <w:vAlign w:val="center"/>
          </w:tcPr>
          <w:p w:rsidR="002416B1" w:rsidRPr="006A2BF3" w:rsidRDefault="002416B1" w:rsidP="00205636">
            <w:pPr>
              <w:rPr>
                <w:rFonts w:ascii="Arial" w:hAnsi="Arial" w:cs="Arial"/>
                <w:b/>
                <w:bCs/>
                <w:sz w:val="18"/>
                <w:szCs w:val="18"/>
              </w:rPr>
            </w:pPr>
            <w:r w:rsidRPr="006A2BF3">
              <w:rPr>
                <w:rFonts w:ascii="Arial" w:hAnsi="Arial" w:cs="Arial"/>
                <w:b/>
                <w:bCs/>
                <w:sz w:val="18"/>
                <w:szCs w:val="18"/>
              </w:rPr>
              <w:t> </w:t>
            </w:r>
          </w:p>
        </w:tc>
        <w:tc>
          <w:tcPr>
            <w:tcW w:w="856" w:type="pct"/>
            <w:shd w:val="clear" w:color="auto" w:fill="EAF1DD"/>
            <w:vAlign w:val="center"/>
          </w:tcPr>
          <w:p w:rsidR="002416B1" w:rsidRPr="006A2BF3" w:rsidRDefault="002416B1" w:rsidP="00205636">
            <w:pPr>
              <w:jc w:val="center"/>
              <w:rPr>
                <w:rFonts w:ascii="Arial" w:hAnsi="Arial" w:cs="Arial"/>
                <w:b/>
                <w:bCs/>
                <w:sz w:val="18"/>
                <w:szCs w:val="18"/>
              </w:rPr>
            </w:pPr>
          </w:p>
        </w:tc>
        <w:tc>
          <w:tcPr>
            <w:tcW w:w="1166" w:type="pct"/>
            <w:shd w:val="clear" w:color="auto" w:fill="EAF1DD"/>
            <w:vAlign w:val="center"/>
          </w:tcPr>
          <w:p w:rsidR="002416B1" w:rsidRPr="006A2BF3" w:rsidRDefault="002416B1" w:rsidP="00205636">
            <w:pPr>
              <w:jc w:val="center"/>
              <w:rPr>
                <w:rFonts w:ascii="Arial" w:hAnsi="Arial" w:cs="Arial"/>
                <w:b/>
                <w:bCs/>
                <w:sz w:val="18"/>
                <w:szCs w:val="18"/>
              </w:rPr>
            </w:pPr>
          </w:p>
        </w:tc>
        <w:tc>
          <w:tcPr>
            <w:tcW w:w="1076" w:type="pct"/>
            <w:shd w:val="clear" w:color="auto" w:fill="EAF1DD"/>
            <w:noWrap/>
            <w:vAlign w:val="center"/>
          </w:tcPr>
          <w:p w:rsidR="002416B1" w:rsidRPr="006A2BF3" w:rsidRDefault="00DC2A19" w:rsidP="00205636">
            <w:pPr>
              <w:jc w:val="center"/>
              <w:rPr>
                <w:rFonts w:ascii="Arial" w:hAnsi="Arial" w:cs="Arial"/>
                <w:b/>
                <w:bCs/>
                <w:sz w:val="18"/>
                <w:szCs w:val="18"/>
              </w:rPr>
            </w:pPr>
            <w:r w:rsidRPr="00DC2A19">
              <w:rPr>
                <w:rFonts w:ascii="Arial" w:hAnsi="Arial" w:cs="Arial"/>
                <w:b/>
                <w:bCs/>
                <w:sz w:val="18"/>
                <w:szCs w:val="18"/>
              </w:rPr>
              <w:t>10 166 729</w:t>
            </w:r>
          </w:p>
        </w:tc>
      </w:tr>
    </w:tbl>
    <w:p w:rsidR="002416B1" w:rsidRPr="006A2BF3" w:rsidRDefault="00000CC9" w:rsidP="00205636">
      <w:pPr>
        <w:pStyle w:val="Zkladntextb"/>
        <w:spacing w:after="0" w:line="360" w:lineRule="auto"/>
        <w:ind w:left="0"/>
        <w:rPr>
          <w:b/>
          <w:highlight w:val="yellow"/>
          <w:lang w:val="sk-SK"/>
        </w:rPr>
      </w:pPr>
      <w:r>
        <w:rPr>
          <w:rFonts w:cs="Arial"/>
          <w:sz w:val="18"/>
          <w:szCs w:val="18"/>
          <w:lang w:val="sk-SK"/>
        </w:rPr>
        <w:t>Zdroj: RO, ITMS</w:t>
      </w:r>
    </w:p>
    <w:p w:rsidR="002416B1" w:rsidRPr="004B33AE" w:rsidRDefault="002416B1" w:rsidP="00507035">
      <w:pPr>
        <w:pStyle w:val="Zkladntextb"/>
        <w:spacing w:before="120" w:after="120" w:line="360" w:lineRule="auto"/>
        <w:ind w:left="0"/>
        <w:jc w:val="both"/>
        <w:rPr>
          <w:lang w:val="sk-SK"/>
        </w:rPr>
      </w:pPr>
      <w:r w:rsidRPr="006A2BF3">
        <w:rPr>
          <w:lang w:val="sk-SK"/>
        </w:rPr>
        <w:t>V rámci Prioritnej osi 5 bolo ku koncu roka 201</w:t>
      </w:r>
      <w:r w:rsidR="009B1645">
        <w:rPr>
          <w:lang w:val="sk-SK"/>
        </w:rPr>
        <w:t>2</w:t>
      </w:r>
      <w:r w:rsidRPr="004B33AE">
        <w:rPr>
          <w:lang w:val="sk-SK"/>
        </w:rPr>
        <w:t xml:space="preserve"> zaregistrovaných 60 projektov vo výške požadovaného NFP 76 948 755 EUR, z toho </w:t>
      </w:r>
      <w:bookmarkStart w:id="95" w:name="OLE_LINK9"/>
      <w:r w:rsidRPr="004B33AE">
        <w:rPr>
          <w:lang w:val="sk-SK"/>
        </w:rPr>
        <w:t>bolo schválených 40 žiadostí o NFP vo výške schváleného NFP 55 962 888 EUR</w:t>
      </w:r>
      <w:bookmarkEnd w:id="95"/>
      <w:r w:rsidRPr="004B33AE">
        <w:rPr>
          <w:lang w:val="sk-SK"/>
        </w:rPr>
        <w:t>. K 31.12.201</w:t>
      </w:r>
      <w:r w:rsidR="009B1645">
        <w:rPr>
          <w:lang w:val="sk-SK"/>
        </w:rPr>
        <w:t>2</w:t>
      </w:r>
      <w:r w:rsidRPr="004B33AE">
        <w:rPr>
          <w:lang w:val="sk-SK"/>
        </w:rPr>
        <w:t xml:space="preserve"> je </w:t>
      </w:r>
      <w:r w:rsidR="009B1645">
        <w:rPr>
          <w:lang w:val="sk-SK"/>
        </w:rPr>
        <w:t>36</w:t>
      </w:r>
      <w:r w:rsidR="009B1645" w:rsidRPr="004B33AE">
        <w:rPr>
          <w:lang w:val="sk-SK"/>
        </w:rPr>
        <w:t xml:space="preserve"> </w:t>
      </w:r>
      <w:r w:rsidRPr="004B33AE">
        <w:rPr>
          <w:lang w:val="sk-SK"/>
        </w:rPr>
        <w:t xml:space="preserve">projektov zazmluvnených vo výške </w:t>
      </w:r>
      <w:r w:rsidR="009B1645">
        <w:rPr>
          <w:lang w:val="sk-SK"/>
        </w:rPr>
        <w:t>50 340 690</w:t>
      </w:r>
      <w:r w:rsidRPr="004B33AE">
        <w:rPr>
          <w:lang w:val="sk-SK"/>
        </w:rPr>
        <w:t xml:space="preserve"> EUR,</w:t>
      </w:r>
      <w:r>
        <w:rPr>
          <w:lang w:val="sk-SK"/>
        </w:rPr>
        <w:t xml:space="preserve"> </w:t>
      </w:r>
      <w:r w:rsidR="009B1645">
        <w:rPr>
          <w:lang w:val="sk-SK"/>
        </w:rPr>
        <w:t>28</w:t>
      </w:r>
      <w:r w:rsidR="009B1645" w:rsidRPr="004B33AE">
        <w:rPr>
          <w:lang w:val="sk-SK"/>
        </w:rPr>
        <w:t xml:space="preserve"> </w:t>
      </w:r>
      <w:r w:rsidRPr="004B33AE">
        <w:rPr>
          <w:lang w:val="sk-SK"/>
        </w:rPr>
        <w:t>v realizácii a </w:t>
      </w:r>
      <w:r w:rsidR="009B1645">
        <w:rPr>
          <w:lang w:val="sk-SK"/>
        </w:rPr>
        <w:t>8</w:t>
      </w:r>
      <w:r w:rsidR="009B1645" w:rsidRPr="004B33AE">
        <w:rPr>
          <w:lang w:val="sk-SK"/>
        </w:rPr>
        <w:t xml:space="preserve"> </w:t>
      </w:r>
      <w:r w:rsidRPr="004B33AE">
        <w:rPr>
          <w:lang w:val="sk-SK"/>
        </w:rPr>
        <w:t>projekt</w:t>
      </w:r>
      <w:r w:rsidR="009B1645">
        <w:rPr>
          <w:lang w:val="sk-SK"/>
        </w:rPr>
        <w:t>ov</w:t>
      </w:r>
      <w:r w:rsidRPr="004B33AE">
        <w:rPr>
          <w:lang w:val="sk-SK"/>
        </w:rPr>
        <w:t xml:space="preserve"> </w:t>
      </w:r>
      <w:r w:rsidR="009B1645">
        <w:rPr>
          <w:lang w:val="sk-SK"/>
        </w:rPr>
        <w:t>je</w:t>
      </w:r>
      <w:r w:rsidR="009B1645" w:rsidRPr="004B33AE">
        <w:rPr>
          <w:lang w:val="sk-SK"/>
        </w:rPr>
        <w:t xml:space="preserve"> </w:t>
      </w:r>
      <w:r w:rsidR="004A4BBE">
        <w:rPr>
          <w:lang w:val="sk-SK"/>
        </w:rPr>
        <w:t xml:space="preserve">riadne </w:t>
      </w:r>
      <w:r w:rsidR="009B1645" w:rsidRPr="004B33AE">
        <w:rPr>
          <w:lang w:val="sk-SK"/>
        </w:rPr>
        <w:t>ukončen</w:t>
      </w:r>
      <w:r w:rsidR="009B1645">
        <w:rPr>
          <w:lang w:val="sk-SK"/>
        </w:rPr>
        <w:t>ých</w:t>
      </w:r>
      <w:r w:rsidR="009B1645" w:rsidRPr="004B33AE">
        <w:rPr>
          <w:lang w:val="sk-SK"/>
        </w:rPr>
        <w:t xml:space="preserve"> </w:t>
      </w:r>
      <w:r w:rsidRPr="004B33AE">
        <w:rPr>
          <w:lang w:val="sk-SK"/>
        </w:rPr>
        <w:t xml:space="preserve">vo výške čerpaných prostriedkov </w:t>
      </w:r>
      <w:r w:rsidR="009B1645">
        <w:rPr>
          <w:lang w:val="sk-SK"/>
        </w:rPr>
        <w:t>2 661 389</w:t>
      </w:r>
      <w:r w:rsidRPr="004B33AE">
        <w:rPr>
          <w:lang w:val="sk-SK"/>
        </w:rPr>
        <w:t xml:space="preserve"> EUR</w:t>
      </w:r>
      <w:r w:rsidR="004A4BBE">
        <w:rPr>
          <w:lang w:val="sk-SK"/>
        </w:rPr>
        <w:t>.</w:t>
      </w:r>
      <w:r w:rsidRPr="004B33AE">
        <w:rPr>
          <w:lang w:val="sk-SK"/>
        </w:rPr>
        <w:t xml:space="preserve"> </w:t>
      </w:r>
      <w:r w:rsidR="009B1645">
        <w:rPr>
          <w:lang w:val="sk-SK"/>
        </w:rPr>
        <w:t>Štyri</w:t>
      </w:r>
      <w:r w:rsidR="009B1645" w:rsidRPr="004B33AE">
        <w:rPr>
          <w:lang w:val="sk-SK"/>
        </w:rPr>
        <w:t xml:space="preserve"> </w:t>
      </w:r>
      <w:r w:rsidRPr="004B33AE">
        <w:rPr>
          <w:lang w:val="sk-SK"/>
        </w:rPr>
        <w:t>projekt</w:t>
      </w:r>
      <w:r w:rsidR="009B1645">
        <w:rPr>
          <w:lang w:val="sk-SK"/>
        </w:rPr>
        <w:t>y</w:t>
      </w:r>
      <w:r w:rsidRPr="004B33AE">
        <w:rPr>
          <w:lang w:val="sk-SK"/>
        </w:rPr>
        <w:t xml:space="preserve"> bol</w:t>
      </w:r>
      <w:r w:rsidR="009B1645">
        <w:rPr>
          <w:lang w:val="sk-SK"/>
        </w:rPr>
        <w:t>i</w:t>
      </w:r>
      <w:r w:rsidRPr="004B33AE">
        <w:rPr>
          <w:lang w:val="sk-SK"/>
        </w:rPr>
        <w:t xml:space="preserve"> mimoriadne </w:t>
      </w:r>
      <w:r w:rsidR="009B1645" w:rsidRPr="00D70258">
        <w:rPr>
          <w:lang w:val="sk-SK"/>
        </w:rPr>
        <w:t xml:space="preserve">ukončené </w:t>
      </w:r>
      <w:r w:rsidRPr="00D70258">
        <w:rPr>
          <w:lang w:val="sk-SK"/>
        </w:rPr>
        <w:t>dohodou o ukončení zmluvného vzťahu z dôvodu problematického zabezpečenia odborných podkladov od externých inštitúcií, potrebných pre úspešnú realizáciu projektu a v jednom prípade nedošlo k realizácii žiadnej aktivity v zmysle zmluvy o</w:t>
      </w:r>
      <w:r w:rsidR="00205636">
        <w:rPr>
          <w:lang w:val="sk-SK"/>
        </w:rPr>
        <w:t xml:space="preserve"> poskytnutí</w:t>
      </w:r>
      <w:r w:rsidRPr="00D70258">
        <w:rPr>
          <w:lang w:val="sk-SK"/>
        </w:rPr>
        <w:t> NFP.</w:t>
      </w:r>
    </w:p>
    <w:p w:rsidR="002416B1" w:rsidRPr="004B33AE" w:rsidRDefault="002416B1" w:rsidP="00205636">
      <w:pPr>
        <w:pStyle w:val="Zkladntextb"/>
        <w:spacing w:after="0" w:line="360" w:lineRule="auto"/>
        <w:ind w:left="0"/>
        <w:jc w:val="both"/>
        <w:rPr>
          <w:lang w:val="sk-SK"/>
        </w:rPr>
      </w:pPr>
      <w:r w:rsidRPr="004B33AE">
        <w:rPr>
          <w:lang w:val="sk-SK"/>
        </w:rPr>
        <w:t xml:space="preserve">Tab. č. </w:t>
      </w:r>
      <w:r w:rsidR="00254D6C">
        <w:rPr>
          <w:lang w:val="sk-SK"/>
        </w:rPr>
        <w:t>55</w:t>
      </w:r>
      <w:r w:rsidRPr="004B33AE">
        <w:rPr>
          <w:lang w:val="sk-SK"/>
        </w:rPr>
        <w:t>: Sledovanie vývoja implementácie prioritnej osi 5 k 31.12.201</w:t>
      </w:r>
      <w:r w:rsidR="00096FE2">
        <w:rPr>
          <w:lang w:val="sk-SK"/>
        </w:rPr>
        <w:t>2</w:t>
      </w:r>
    </w:p>
    <w:tbl>
      <w:tblPr>
        <w:tblW w:w="5000" w:type="pct"/>
        <w:tblCellMar>
          <w:left w:w="70" w:type="dxa"/>
          <w:right w:w="70" w:type="dxa"/>
        </w:tblCellMar>
        <w:tblLook w:val="04A0" w:firstRow="1" w:lastRow="0" w:firstColumn="1" w:lastColumn="0" w:noHBand="0" w:noVBand="1"/>
      </w:tblPr>
      <w:tblGrid>
        <w:gridCol w:w="1840"/>
        <w:gridCol w:w="1299"/>
        <w:gridCol w:w="1396"/>
        <w:gridCol w:w="1610"/>
        <w:gridCol w:w="1450"/>
        <w:gridCol w:w="1615"/>
      </w:tblGrid>
      <w:tr w:rsidR="000B6E30" w:rsidTr="000B6E30">
        <w:trPr>
          <w:trHeight w:val="315"/>
        </w:trPr>
        <w:tc>
          <w:tcPr>
            <w:tcW w:w="999" w:type="pct"/>
            <w:tcBorders>
              <w:top w:val="single" w:sz="8" w:space="0" w:color="auto"/>
              <w:left w:val="single" w:sz="8" w:space="0" w:color="auto"/>
              <w:bottom w:val="single" w:sz="8" w:space="0" w:color="auto"/>
              <w:right w:val="single" w:sz="8" w:space="0" w:color="auto"/>
            </w:tcBorders>
            <w:shd w:val="clear" w:color="000000" w:fill="D6E3BC"/>
            <w:vAlign w:val="center"/>
            <w:hideMark/>
          </w:tcPr>
          <w:p w:rsidR="000B6E30" w:rsidRDefault="000B6E30">
            <w:pPr>
              <w:jc w:val="center"/>
              <w:rPr>
                <w:rFonts w:ascii="Arial" w:hAnsi="Arial" w:cs="Arial"/>
                <w:b/>
                <w:bCs/>
                <w:color w:val="000000"/>
                <w:sz w:val="16"/>
                <w:szCs w:val="16"/>
              </w:rPr>
            </w:pPr>
            <w:r>
              <w:rPr>
                <w:rFonts w:ascii="Arial" w:hAnsi="Arial" w:cs="Arial"/>
                <w:b/>
                <w:bCs/>
                <w:color w:val="000000"/>
                <w:sz w:val="16"/>
                <w:szCs w:val="16"/>
              </w:rPr>
              <w:t>Hlavná téma</w:t>
            </w:r>
          </w:p>
        </w:tc>
        <w:tc>
          <w:tcPr>
            <w:tcW w:w="705" w:type="pct"/>
            <w:tcBorders>
              <w:top w:val="single" w:sz="8" w:space="0" w:color="auto"/>
              <w:left w:val="nil"/>
              <w:bottom w:val="single" w:sz="8" w:space="0" w:color="auto"/>
              <w:right w:val="single" w:sz="8" w:space="0" w:color="auto"/>
            </w:tcBorders>
            <w:shd w:val="clear" w:color="000000" w:fill="D6E3BC"/>
            <w:vAlign w:val="center"/>
            <w:hideMark/>
          </w:tcPr>
          <w:p w:rsidR="000B6E30" w:rsidRDefault="000B6E30">
            <w:pPr>
              <w:jc w:val="center"/>
              <w:rPr>
                <w:rFonts w:ascii="Arial" w:hAnsi="Arial" w:cs="Arial"/>
                <w:b/>
                <w:bCs/>
                <w:color w:val="000000"/>
                <w:sz w:val="16"/>
                <w:szCs w:val="16"/>
              </w:rPr>
            </w:pPr>
            <w:r>
              <w:rPr>
                <w:rFonts w:ascii="Arial" w:hAnsi="Arial" w:cs="Arial"/>
                <w:b/>
                <w:bCs/>
                <w:color w:val="000000"/>
                <w:sz w:val="16"/>
                <w:szCs w:val="16"/>
              </w:rPr>
              <w:t>Počet prijatých ŽoNFP</w:t>
            </w:r>
          </w:p>
        </w:tc>
        <w:tc>
          <w:tcPr>
            <w:tcW w:w="758" w:type="pct"/>
            <w:tcBorders>
              <w:top w:val="single" w:sz="8" w:space="0" w:color="auto"/>
              <w:left w:val="nil"/>
              <w:bottom w:val="single" w:sz="8" w:space="0" w:color="auto"/>
              <w:right w:val="single" w:sz="8" w:space="0" w:color="auto"/>
            </w:tcBorders>
            <w:shd w:val="clear" w:color="000000" w:fill="D6E3BC"/>
            <w:vAlign w:val="center"/>
            <w:hideMark/>
          </w:tcPr>
          <w:p w:rsidR="000B6E30" w:rsidRDefault="000B6E30">
            <w:pPr>
              <w:jc w:val="center"/>
              <w:rPr>
                <w:rFonts w:ascii="Arial" w:hAnsi="Arial" w:cs="Arial"/>
                <w:b/>
                <w:bCs/>
                <w:color w:val="000000"/>
                <w:sz w:val="16"/>
                <w:szCs w:val="16"/>
              </w:rPr>
            </w:pPr>
            <w:r>
              <w:rPr>
                <w:rFonts w:ascii="Arial" w:hAnsi="Arial" w:cs="Arial"/>
                <w:b/>
                <w:bCs/>
                <w:color w:val="000000"/>
                <w:sz w:val="16"/>
                <w:szCs w:val="16"/>
              </w:rPr>
              <w:t>Počet schválených ŽoNFP</w:t>
            </w:r>
          </w:p>
        </w:tc>
        <w:tc>
          <w:tcPr>
            <w:tcW w:w="874" w:type="pct"/>
            <w:tcBorders>
              <w:top w:val="single" w:sz="8" w:space="0" w:color="auto"/>
              <w:left w:val="nil"/>
              <w:bottom w:val="single" w:sz="8" w:space="0" w:color="auto"/>
              <w:right w:val="single" w:sz="8" w:space="0" w:color="auto"/>
            </w:tcBorders>
            <w:shd w:val="clear" w:color="000000" w:fill="D6E3BC"/>
            <w:vAlign w:val="center"/>
            <w:hideMark/>
          </w:tcPr>
          <w:p w:rsidR="000B6E30" w:rsidRDefault="000B6E30">
            <w:pPr>
              <w:jc w:val="center"/>
              <w:rPr>
                <w:rFonts w:ascii="Arial" w:hAnsi="Arial" w:cs="Arial"/>
                <w:b/>
                <w:bCs/>
                <w:color w:val="000000"/>
                <w:sz w:val="16"/>
                <w:szCs w:val="16"/>
              </w:rPr>
            </w:pPr>
            <w:r>
              <w:rPr>
                <w:rFonts w:ascii="Arial" w:hAnsi="Arial" w:cs="Arial"/>
                <w:b/>
                <w:bCs/>
                <w:color w:val="000000"/>
                <w:sz w:val="16"/>
                <w:szCs w:val="16"/>
              </w:rPr>
              <w:t>Počet zazmluvnených projektov</w:t>
            </w:r>
          </w:p>
        </w:tc>
        <w:tc>
          <w:tcPr>
            <w:tcW w:w="787" w:type="pct"/>
            <w:tcBorders>
              <w:top w:val="single" w:sz="8" w:space="0" w:color="auto"/>
              <w:left w:val="nil"/>
              <w:bottom w:val="single" w:sz="8" w:space="0" w:color="auto"/>
              <w:right w:val="single" w:sz="8" w:space="0" w:color="auto"/>
            </w:tcBorders>
            <w:shd w:val="clear" w:color="000000" w:fill="D6E3BC"/>
            <w:vAlign w:val="center"/>
            <w:hideMark/>
          </w:tcPr>
          <w:p w:rsidR="000B6E30" w:rsidRDefault="000B6E30">
            <w:pPr>
              <w:jc w:val="center"/>
              <w:rPr>
                <w:rFonts w:ascii="Arial" w:hAnsi="Arial" w:cs="Arial"/>
                <w:b/>
                <w:bCs/>
                <w:color w:val="000000"/>
                <w:sz w:val="16"/>
                <w:szCs w:val="16"/>
              </w:rPr>
            </w:pPr>
            <w:r>
              <w:rPr>
                <w:rFonts w:ascii="Arial" w:hAnsi="Arial" w:cs="Arial"/>
                <w:b/>
                <w:bCs/>
                <w:color w:val="000000"/>
                <w:sz w:val="16"/>
                <w:szCs w:val="16"/>
              </w:rPr>
              <w:t>Počet riadne ukončených projektov</w:t>
            </w:r>
          </w:p>
        </w:tc>
        <w:tc>
          <w:tcPr>
            <w:tcW w:w="878" w:type="pct"/>
            <w:tcBorders>
              <w:top w:val="single" w:sz="8" w:space="0" w:color="auto"/>
              <w:left w:val="nil"/>
              <w:bottom w:val="single" w:sz="8" w:space="0" w:color="auto"/>
              <w:right w:val="single" w:sz="8" w:space="0" w:color="auto"/>
            </w:tcBorders>
            <w:shd w:val="clear" w:color="000000" w:fill="D6E3BC"/>
            <w:vAlign w:val="center"/>
            <w:hideMark/>
          </w:tcPr>
          <w:p w:rsidR="000B6E30" w:rsidRDefault="000B6E30">
            <w:pPr>
              <w:jc w:val="center"/>
              <w:rPr>
                <w:rFonts w:ascii="Arial" w:hAnsi="Arial" w:cs="Arial"/>
                <w:b/>
                <w:bCs/>
                <w:color w:val="000000"/>
                <w:sz w:val="16"/>
                <w:szCs w:val="16"/>
              </w:rPr>
            </w:pPr>
            <w:r>
              <w:rPr>
                <w:rFonts w:ascii="Arial" w:hAnsi="Arial" w:cs="Arial"/>
                <w:b/>
                <w:bCs/>
                <w:color w:val="000000"/>
                <w:sz w:val="16"/>
                <w:szCs w:val="16"/>
              </w:rPr>
              <w:t>Počet mimoriadne ukončených projektov</w:t>
            </w:r>
          </w:p>
        </w:tc>
      </w:tr>
      <w:tr w:rsidR="000B6E30" w:rsidTr="000B6E30">
        <w:trPr>
          <w:trHeight w:val="300"/>
        </w:trPr>
        <w:tc>
          <w:tcPr>
            <w:tcW w:w="999" w:type="pct"/>
            <w:vMerge w:val="restart"/>
            <w:tcBorders>
              <w:top w:val="nil"/>
              <w:left w:val="single" w:sz="8" w:space="0" w:color="auto"/>
              <w:bottom w:val="single" w:sz="8" w:space="0" w:color="000000"/>
              <w:right w:val="single" w:sz="8" w:space="0" w:color="auto"/>
            </w:tcBorders>
            <w:shd w:val="clear" w:color="auto" w:fill="auto"/>
            <w:vAlign w:val="center"/>
            <w:hideMark/>
          </w:tcPr>
          <w:p w:rsidR="000B6E30" w:rsidRDefault="000B6E30">
            <w:pPr>
              <w:rPr>
                <w:rFonts w:ascii="Arial" w:hAnsi="Arial" w:cs="Arial"/>
                <w:color w:val="000000"/>
                <w:sz w:val="16"/>
                <w:szCs w:val="16"/>
              </w:rPr>
            </w:pPr>
            <w:r>
              <w:rPr>
                <w:rFonts w:ascii="Arial" w:hAnsi="Arial" w:cs="Arial"/>
                <w:color w:val="000000"/>
                <w:sz w:val="16"/>
                <w:szCs w:val="16"/>
              </w:rPr>
              <w:t>54 - Iné opatrenia na zachovanie životného prostredia a predchádzanie rizikám</w:t>
            </w:r>
          </w:p>
        </w:tc>
        <w:tc>
          <w:tcPr>
            <w:tcW w:w="705" w:type="pct"/>
            <w:tcBorders>
              <w:top w:val="nil"/>
              <w:left w:val="nil"/>
              <w:bottom w:val="nil"/>
              <w:right w:val="single" w:sz="8" w:space="0" w:color="auto"/>
            </w:tcBorders>
            <w:shd w:val="clear" w:color="auto" w:fill="auto"/>
            <w:noWrap/>
            <w:vAlign w:val="center"/>
            <w:hideMark/>
          </w:tcPr>
          <w:p w:rsidR="000B6E30" w:rsidRDefault="000B6E30">
            <w:pPr>
              <w:jc w:val="center"/>
              <w:rPr>
                <w:rFonts w:ascii="Arial" w:hAnsi="Arial" w:cs="Arial"/>
                <w:color w:val="000000"/>
                <w:sz w:val="16"/>
                <w:szCs w:val="16"/>
              </w:rPr>
            </w:pPr>
            <w:r>
              <w:rPr>
                <w:rFonts w:ascii="Arial" w:hAnsi="Arial" w:cs="Arial"/>
                <w:color w:val="000000"/>
                <w:sz w:val="16"/>
                <w:szCs w:val="16"/>
              </w:rPr>
              <w:t>27</w:t>
            </w:r>
          </w:p>
        </w:tc>
        <w:tc>
          <w:tcPr>
            <w:tcW w:w="758" w:type="pct"/>
            <w:tcBorders>
              <w:top w:val="nil"/>
              <w:left w:val="nil"/>
              <w:bottom w:val="nil"/>
              <w:right w:val="single" w:sz="8" w:space="0" w:color="auto"/>
            </w:tcBorders>
            <w:shd w:val="clear" w:color="auto" w:fill="auto"/>
            <w:noWrap/>
            <w:vAlign w:val="center"/>
            <w:hideMark/>
          </w:tcPr>
          <w:p w:rsidR="000B6E30" w:rsidRDefault="000B6E30">
            <w:pPr>
              <w:jc w:val="center"/>
              <w:rPr>
                <w:rFonts w:ascii="Arial" w:hAnsi="Arial" w:cs="Arial"/>
                <w:color w:val="000000"/>
                <w:sz w:val="16"/>
                <w:szCs w:val="16"/>
              </w:rPr>
            </w:pPr>
            <w:r>
              <w:rPr>
                <w:rFonts w:ascii="Arial" w:hAnsi="Arial" w:cs="Arial"/>
                <w:color w:val="000000"/>
                <w:sz w:val="16"/>
                <w:szCs w:val="16"/>
              </w:rPr>
              <w:t>19</w:t>
            </w:r>
          </w:p>
        </w:tc>
        <w:tc>
          <w:tcPr>
            <w:tcW w:w="874" w:type="pct"/>
            <w:tcBorders>
              <w:top w:val="nil"/>
              <w:left w:val="nil"/>
              <w:bottom w:val="nil"/>
              <w:right w:val="single" w:sz="8" w:space="0" w:color="auto"/>
            </w:tcBorders>
            <w:shd w:val="clear" w:color="auto" w:fill="auto"/>
            <w:noWrap/>
            <w:vAlign w:val="center"/>
            <w:hideMark/>
          </w:tcPr>
          <w:p w:rsidR="000B6E30" w:rsidRDefault="000B6E30">
            <w:pPr>
              <w:jc w:val="center"/>
              <w:rPr>
                <w:rFonts w:ascii="Arial" w:hAnsi="Arial" w:cs="Arial"/>
                <w:color w:val="000000"/>
                <w:sz w:val="16"/>
                <w:szCs w:val="16"/>
              </w:rPr>
            </w:pPr>
            <w:r>
              <w:rPr>
                <w:rFonts w:ascii="Arial" w:hAnsi="Arial" w:cs="Arial"/>
                <w:color w:val="000000"/>
                <w:sz w:val="16"/>
                <w:szCs w:val="16"/>
              </w:rPr>
              <w:t>18</w:t>
            </w:r>
          </w:p>
        </w:tc>
        <w:tc>
          <w:tcPr>
            <w:tcW w:w="787" w:type="pct"/>
            <w:vMerge w:val="restart"/>
            <w:tcBorders>
              <w:top w:val="nil"/>
              <w:left w:val="single" w:sz="8" w:space="0" w:color="auto"/>
              <w:bottom w:val="single" w:sz="8" w:space="0" w:color="000000"/>
              <w:right w:val="single" w:sz="8" w:space="0" w:color="auto"/>
            </w:tcBorders>
            <w:shd w:val="clear" w:color="auto" w:fill="auto"/>
            <w:noWrap/>
            <w:vAlign w:val="center"/>
            <w:hideMark/>
          </w:tcPr>
          <w:p w:rsidR="000B6E30" w:rsidRDefault="000B6E30">
            <w:pPr>
              <w:jc w:val="center"/>
              <w:rPr>
                <w:rFonts w:ascii="Arial" w:hAnsi="Arial" w:cs="Arial"/>
                <w:color w:val="000000"/>
                <w:sz w:val="16"/>
                <w:szCs w:val="16"/>
              </w:rPr>
            </w:pPr>
            <w:r>
              <w:rPr>
                <w:rFonts w:ascii="Arial" w:hAnsi="Arial" w:cs="Arial"/>
                <w:color w:val="000000"/>
                <w:sz w:val="16"/>
                <w:szCs w:val="16"/>
              </w:rPr>
              <w:t>4</w:t>
            </w:r>
          </w:p>
        </w:tc>
        <w:tc>
          <w:tcPr>
            <w:tcW w:w="878" w:type="pct"/>
            <w:vMerge w:val="restart"/>
            <w:tcBorders>
              <w:top w:val="nil"/>
              <w:left w:val="single" w:sz="8" w:space="0" w:color="auto"/>
              <w:bottom w:val="single" w:sz="8" w:space="0" w:color="000000"/>
              <w:right w:val="single" w:sz="8" w:space="0" w:color="auto"/>
            </w:tcBorders>
            <w:shd w:val="clear" w:color="auto" w:fill="auto"/>
            <w:noWrap/>
            <w:vAlign w:val="center"/>
            <w:hideMark/>
          </w:tcPr>
          <w:p w:rsidR="000B6E30" w:rsidRDefault="000B6E30">
            <w:pPr>
              <w:jc w:val="center"/>
              <w:rPr>
                <w:rFonts w:ascii="Arial" w:hAnsi="Arial" w:cs="Arial"/>
                <w:color w:val="000000"/>
                <w:sz w:val="16"/>
                <w:szCs w:val="16"/>
              </w:rPr>
            </w:pPr>
            <w:r>
              <w:rPr>
                <w:rFonts w:ascii="Arial" w:hAnsi="Arial" w:cs="Arial"/>
                <w:color w:val="000000"/>
                <w:sz w:val="16"/>
                <w:szCs w:val="16"/>
              </w:rPr>
              <w:t>1</w:t>
            </w:r>
          </w:p>
        </w:tc>
      </w:tr>
      <w:tr w:rsidR="000B6E30" w:rsidTr="000B6E30">
        <w:trPr>
          <w:trHeight w:val="315"/>
        </w:trPr>
        <w:tc>
          <w:tcPr>
            <w:tcW w:w="999" w:type="pct"/>
            <w:vMerge/>
            <w:tcBorders>
              <w:top w:val="nil"/>
              <w:left w:val="single" w:sz="8" w:space="0" w:color="auto"/>
              <w:bottom w:val="single" w:sz="8" w:space="0" w:color="000000"/>
              <w:right w:val="single" w:sz="8" w:space="0" w:color="auto"/>
            </w:tcBorders>
            <w:vAlign w:val="center"/>
            <w:hideMark/>
          </w:tcPr>
          <w:p w:rsidR="000B6E30" w:rsidRDefault="000B6E30">
            <w:pPr>
              <w:rPr>
                <w:rFonts w:ascii="Arial" w:hAnsi="Arial" w:cs="Arial"/>
                <w:color w:val="000000"/>
                <w:sz w:val="16"/>
                <w:szCs w:val="16"/>
              </w:rPr>
            </w:pPr>
          </w:p>
        </w:tc>
        <w:tc>
          <w:tcPr>
            <w:tcW w:w="705" w:type="pct"/>
            <w:tcBorders>
              <w:top w:val="nil"/>
              <w:left w:val="nil"/>
              <w:bottom w:val="single" w:sz="8" w:space="0" w:color="auto"/>
              <w:right w:val="single" w:sz="8" w:space="0" w:color="auto"/>
            </w:tcBorders>
            <w:shd w:val="clear" w:color="auto" w:fill="auto"/>
            <w:noWrap/>
            <w:vAlign w:val="center"/>
            <w:hideMark/>
          </w:tcPr>
          <w:p w:rsidR="000B6E30" w:rsidRDefault="000B6E30">
            <w:pPr>
              <w:jc w:val="center"/>
              <w:rPr>
                <w:rFonts w:ascii="Arial" w:hAnsi="Arial" w:cs="Arial"/>
                <w:color w:val="000000"/>
                <w:sz w:val="16"/>
                <w:szCs w:val="16"/>
              </w:rPr>
            </w:pPr>
            <w:r>
              <w:rPr>
                <w:rFonts w:ascii="Arial" w:hAnsi="Arial" w:cs="Arial"/>
                <w:color w:val="000000"/>
                <w:sz w:val="16"/>
                <w:szCs w:val="16"/>
              </w:rPr>
              <w:t>(vrátane 13)</w:t>
            </w:r>
            <w:r>
              <w:rPr>
                <w:rFonts w:ascii="Arial" w:hAnsi="Arial" w:cs="Arial"/>
                <w:color w:val="000000"/>
                <w:sz w:val="16"/>
                <w:szCs w:val="16"/>
                <w:vertAlign w:val="superscript"/>
              </w:rPr>
              <w:t>2</w:t>
            </w:r>
          </w:p>
        </w:tc>
        <w:tc>
          <w:tcPr>
            <w:tcW w:w="758" w:type="pct"/>
            <w:tcBorders>
              <w:top w:val="nil"/>
              <w:left w:val="nil"/>
              <w:bottom w:val="single" w:sz="8" w:space="0" w:color="auto"/>
              <w:right w:val="single" w:sz="8" w:space="0" w:color="auto"/>
            </w:tcBorders>
            <w:shd w:val="clear" w:color="auto" w:fill="auto"/>
            <w:noWrap/>
            <w:vAlign w:val="center"/>
            <w:hideMark/>
          </w:tcPr>
          <w:p w:rsidR="000B6E30" w:rsidRDefault="000B6E30">
            <w:pPr>
              <w:jc w:val="center"/>
              <w:rPr>
                <w:rFonts w:ascii="Arial" w:hAnsi="Arial" w:cs="Arial"/>
                <w:color w:val="000000"/>
                <w:sz w:val="16"/>
                <w:szCs w:val="16"/>
              </w:rPr>
            </w:pPr>
            <w:r>
              <w:rPr>
                <w:rFonts w:ascii="Arial" w:hAnsi="Arial" w:cs="Arial"/>
                <w:color w:val="000000"/>
                <w:sz w:val="16"/>
                <w:szCs w:val="16"/>
              </w:rPr>
              <w:t>(vrátane 9)</w:t>
            </w:r>
            <w:r>
              <w:rPr>
                <w:rFonts w:ascii="Arial" w:hAnsi="Arial" w:cs="Arial"/>
                <w:color w:val="000000"/>
                <w:sz w:val="16"/>
                <w:szCs w:val="16"/>
                <w:vertAlign w:val="superscript"/>
              </w:rPr>
              <w:t>2</w:t>
            </w:r>
          </w:p>
        </w:tc>
        <w:tc>
          <w:tcPr>
            <w:tcW w:w="874" w:type="pct"/>
            <w:tcBorders>
              <w:top w:val="nil"/>
              <w:left w:val="nil"/>
              <w:bottom w:val="single" w:sz="8" w:space="0" w:color="auto"/>
              <w:right w:val="single" w:sz="8" w:space="0" w:color="auto"/>
            </w:tcBorders>
            <w:shd w:val="clear" w:color="auto" w:fill="auto"/>
            <w:noWrap/>
            <w:vAlign w:val="center"/>
            <w:hideMark/>
          </w:tcPr>
          <w:p w:rsidR="000B6E30" w:rsidRDefault="000B6E30">
            <w:pPr>
              <w:jc w:val="center"/>
              <w:rPr>
                <w:rFonts w:ascii="Arial" w:hAnsi="Arial" w:cs="Arial"/>
                <w:color w:val="000000"/>
                <w:sz w:val="16"/>
                <w:szCs w:val="16"/>
              </w:rPr>
            </w:pPr>
            <w:r>
              <w:rPr>
                <w:rFonts w:ascii="Arial" w:hAnsi="Arial" w:cs="Arial"/>
                <w:color w:val="000000"/>
                <w:sz w:val="16"/>
                <w:szCs w:val="16"/>
              </w:rPr>
              <w:t>(vrátane 9)</w:t>
            </w:r>
            <w:r>
              <w:rPr>
                <w:rFonts w:ascii="Arial" w:hAnsi="Arial" w:cs="Arial"/>
                <w:color w:val="000000"/>
                <w:sz w:val="16"/>
                <w:szCs w:val="16"/>
                <w:vertAlign w:val="superscript"/>
              </w:rPr>
              <w:t>2</w:t>
            </w:r>
          </w:p>
        </w:tc>
        <w:tc>
          <w:tcPr>
            <w:tcW w:w="787" w:type="pct"/>
            <w:vMerge/>
            <w:tcBorders>
              <w:top w:val="nil"/>
              <w:left w:val="single" w:sz="8" w:space="0" w:color="auto"/>
              <w:bottom w:val="single" w:sz="8" w:space="0" w:color="000000"/>
              <w:right w:val="single" w:sz="8" w:space="0" w:color="auto"/>
            </w:tcBorders>
            <w:vAlign w:val="center"/>
            <w:hideMark/>
          </w:tcPr>
          <w:p w:rsidR="000B6E30" w:rsidRDefault="000B6E30">
            <w:pPr>
              <w:rPr>
                <w:rFonts w:ascii="Arial" w:hAnsi="Arial" w:cs="Arial"/>
                <w:color w:val="000000"/>
                <w:sz w:val="16"/>
                <w:szCs w:val="16"/>
              </w:rPr>
            </w:pPr>
          </w:p>
        </w:tc>
        <w:tc>
          <w:tcPr>
            <w:tcW w:w="878" w:type="pct"/>
            <w:vMerge/>
            <w:tcBorders>
              <w:top w:val="nil"/>
              <w:left w:val="single" w:sz="8" w:space="0" w:color="auto"/>
              <w:bottom w:val="single" w:sz="8" w:space="0" w:color="000000"/>
              <w:right w:val="single" w:sz="8" w:space="0" w:color="auto"/>
            </w:tcBorders>
            <w:vAlign w:val="center"/>
            <w:hideMark/>
          </w:tcPr>
          <w:p w:rsidR="000B6E30" w:rsidRDefault="000B6E30">
            <w:pPr>
              <w:rPr>
                <w:rFonts w:ascii="Arial" w:hAnsi="Arial" w:cs="Arial"/>
                <w:color w:val="000000"/>
                <w:sz w:val="16"/>
                <w:szCs w:val="16"/>
              </w:rPr>
            </w:pPr>
          </w:p>
        </w:tc>
      </w:tr>
      <w:tr w:rsidR="000B6E30" w:rsidTr="000B6E30">
        <w:trPr>
          <w:trHeight w:val="300"/>
        </w:trPr>
        <w:tc>
          <w:tcPr>
            <w:tcW w:w="999" w:type="pct"/>
            <w:vMerge w:val="restart"/>
            <w:tcBorders>
              <w:top w:val="nil"/>
              <w:left w:val="single" w:sz="8" w:space="0" w:color="auto"/>
              <w:bottom w:val="single" w:sz="8" w:space="0" w:color="000000"/>
              <w:right w:val="single" w:sz="8" w:space="0" w:color="auto"/>
            </w:tcBorders>
            <w:shd w:val="clear" w:color="auto" w:fill="auto"/>
            <w:vAlign w:val="center"/>
            <w:hideMark/>
          </w:tcPr>
          <w:p w:rsidR="000B6E30" w:rsidRDefault="000B6E30">
            <w:pPr>
              <w:rPr>
                <w:rFonts w:ascii="Arial" w:hAnsi="Arial" w:cs="Arial"/>
                <w:color w:val="000000"/>
                <w:sz w:val="16"/>
                <w:szCs w:val="16"/>
              </w:rPr>
            </w:pPr>
            <w:r>
              <w:rPr>
                <w:rFonts w:ascii="Arial" w:hAnsi="Arial" w:cs="Arial"/>
                <w:color w:val="000000"/>
                <w:sz w:val="16"/>
                <w:szCs w:val="16"/>
              </w:rPr>
              <w:t>51 - Podpora biodiverzity a ochrana prírody (vrátane NATURA 2000)</w:t>
            </w:r>
          </w:p>
        </w:tc>
        <w:tc>
          <w:tcPr>
            <w:tcW w:w="705" w:type="pct"/>
            <w:tcBorders>
              <w:top w:val="nil"/>
              <w:left w:val="nil"/>
              <w:bottom w:val="nil"/>
              <w:right w:val="single" w:sz="8" w:space="0" w:color="auto"/>
            </w:tcBorders>
            <w:shd w:val="clear" w:color="auto" w:fill="auto"/>
            <w:noWrap/>
            <w:vAlign w:val="center"/>
            <w:hideMark/>
          </w:tcPr>
          <w:p w:rsidR="000B6E30" w:rsidRDefault="000B6E30">
            <w:pPr>
              <w:jc w:val="center"/>
              <w:rPr>
                <w:rFonts w:ascii="Arial" w:hAnsi="Arial" w:cs="Arial"/>
                <w:color w:val="000000"/>
                <w:sz w:val="16"/>
                <w:szCs w:val="16"/>
              </w:rPr>
            </w:pPr>
            <w:r>
              <w:rPr>
                <w:rFonts w:ascii="Arial" w:hAnsi="Arial" w:cs="Arial"/>
                <w:color w:val="000000"/>
                <w:sz w:val="16"/>
                <w:szCs w:val="16"/>
              </w:rPr>
              <w:t>46</w:t>
            </w:r>
          </w:p>
        </w:tc>
        <w:tc>
          <w:tcPr>
            <w:tcW w:w="758" w:type="pct"/>
            <w:tcBorders>
              <w:top w:val="nil"/>
              <w:left w:val="nil"/>
              <w:bottom w:val="nil"/>
              <w:right w:val="single" w:sz="8" w:space="0" w:color="auto"/>
            </w:tcBorders>
            <w:shd w:val="clear" w:color="auto" w:fill="auto"/>
            <w:noWrap/>
            <w:vAlign w:val="center"/>
            <w:hideMark/>
          </w:tcPr>
          <w:p w:rsidR="000B6E30" w:rsidRDefault="000B6E30">
            <w:pPr>
              <w:jc w:val="center"/>
              <w:rPr>
                <w:rFonts w:ascii="Arial" w:hAnsi="Arial" w:cs="Arial"/>
                <w:color w:val="000000"/>
                <w:sz w:val="16"/>
                <w:szCs w:val="16"/>
              </w:rPr>
            </w:pPr>
            <w:r>
              <w:rPr>
                <w:rFonts w:ascii="Arial" w:hAnsi="Arial" w:cs="Arial"/>
                <w:color w:val="000000"/>
                <w:sz w:val="16"/>
                <w:szCs w:val="16"/>
              </w:rPr>
              <w:t>30</w:t>
            </w:r>
          </w:p>
        </w:tc>
        <w:tc>
          <w:tcPr>
            <w:tcW w:w="874" w:type="pct"/>
            <w:tcBorders>
              <w:top w:val="nil"/>
              <w:left w:val="nil"/>
              <w:bottom w:val="nil"/>
              <w:right w:val="single" w:sz="8" w:space="0" w:color="auto"/>
            </w:tcBorders>
            <w:shd w:val="clear" w:color="auto" w:fill="auto"/>
            <w:noWrap/>
            <w:vAlign w:val="center"/>
            <w:hideMark/>
          </w:tcPr>
          <w:p w:rsidR="000B6E30" w:rsidRDefault="000B6E30">
            <w:pPr>
              <w:jc w:val="center"/>
              <w:rPr>
                <w:rFonts w:ascii="Arial" w:hAnsi="Arial" w:cs="Arial"/>
                <w:color w:val="000000"/>
                <w:sz w:val="16"/>
                <w:szCs w:val="16"/>
              </w:rPr>
            </w:pPr>
            <w:r>
              <w:rPr>
                <w:rFonts w:ascii="Arial" w:hAnsi="Arial" w:cs="Arial"/>
                <w:color w:val="000000"/>
                <w:sz w:val="16"/>
                <w:szCs w:val="16"/>
              </w:rPr>
              <w:t>27</w:t>
            </w:r>
          </w:p>
        </w:tc>
        <w:tc>
          <w:tcPr>
            <w:tcW w:w="787" w:type="pct"/>
            <w:vMerge w:val="restart"/>
            <w:tcBorders>
              <w:top w:val="nil"/>
              <w:left w:val="single" w:sz="8" w:space="0" w:color="auto"/>
              <w:bottom w:val="single" w:sz="8" w:space="0" w:color="000000"/>
              <w:right w:val="single" w:sz="8" w:space="0" w:color="auto"/>
            </w:tcBorders>
            <w:shd w:val="clear" w:color="auto" w:fill="auto"/>
            <w:noWrap/>
            <w:vAlign w:val="center"/>
            <w:hideMark/>
          </w:tcPr>
          <w:p w:rsidR="000B6E30" w:rsidRDefault="000B6E30">
            <w:pPr>
              <w:jc w:val="center"/>
              <w:rPr>
                <w:rFonts w:ascii="Arial" w:hAnsi="Arial" w:cs="Arial"/>
                <w:color w:val="000000"/>
                <w:sz w:val="16"/>
                <w:szCs w:val="16"/>
              </w:rPr>
            </w:pPr>
            <w:r>
              <w:rPr>
                <w:rFonts w:ascii="Arial" w:hAnsi="Arial" w:cs="Arial"/>
                <w:color w:val="000000"/>
                <w:sz w:val="16"/>
                <w:szCs w:val="16"/>
              </w:rPr>
              <w:t>4</w:t>
            </w:r>
          </w:p>
        </w:tc>
        <w:tc>
          <w:tcPr>
            <w:tcW w:w="878" w:type="pct"/>
            <w:vMerge w:val="restart"/>
            <w:tcBorders>
              <w:top w:val="nil"/>
              <w:left w:val="single" w:sz="8" w:space="0" w:color="auto"/>
              <w:bottom w:val="single" w:sz="8" w:space="0" w:color="000000"/>
              <w:right w:val="single" w:sz="8" w:space="0" w:color="auto"/>
            </w:tcBorders>
            <w:shd w:val="clear" w:color="auto" w:fill="auto"/>
            <w:noWrap/>
            <w:vAlign w:val="center"/>
            <w:hideMark/>
          </w:tcPr>
          <w:p w:rsidR="000B6E30" w:rsidRDefault="000B6E30">
            <w:pPr>
              <w:jc w:val="center"/>
              <w:rPr>
                <w:rFonts w:ascii="Arial" w:hAnsi="Arial" w:cs="Arial"/>
                <w:color w:val="000000"/>
                <w:sz w:val="16"/>
                <w:szCs w:val="16"/>
              </w:rPr>
            </w:pPr>
            <w:r>
              <w:rPr>
                <w:rFonts w:ascii="Arial" w:hAnsi="Arial" w:cs="Arial"/>
                <w:color w:val="000000"/>
                <w:sz w:val="16"/>
                <w:szCs w:val="16"/>
              </w:rPr>
              <w:t>3</w:t>
            </w:r>
          </w:p>
        </w:tc>
      </w:tr>
      <w:tr w:rsidR="000B6E30" w:rsidTr="000B6E30">
        <w:trPr>
          <w:trHeight w:val="315"/>
        </w:trPr>
        <w:tc>
          <w:tcPr>
            <w:tcW w:w="999" w:type="pct"/>
            <w:vMerge/>
            <w:tcBorders>
              <w:top w:val="nil"/>
              <w:left w:val="single" w:sz="8" w:space="0" w:color="auto"/>
              <w:bottom w:val="single" w:sz="8" w:space="0" w:color="000000"/>
              <w:right w:val="single" w:sz="8" w:space="0" w:color="auto"/>
            </w:tcBorders>
            <w:vAlign w:val="center"/>
            <w:hideMark/>
          </w:tcPr>
          <w:p w:rsidR="000B6E30" w:rsidRDefault="000B6E30">
            <w:pPr>
              <w:rPr>
                <w:rFonts w:ascii="Arial" w:hAnsi="Arial" w:cs="Arial"/>
                <w:color w:val="000000"/>
                <w:sz w:val="16"/>
                <w:szCs w:val="16"/>
              </w:rPr>
            </w:pPr>
          </w:p>
        </w:tc>
        <w:tc>
          <w:tcPr>
            <w:tcW w:w="705" w:type="pct"/>
            <w:tcBorders>
              <w:top w:val="nil"/>
              <w:left w:val="nil"/>
              <w:bottom w:val="single" w:sz="8" w:space="0" w:color="auto"/>
              <w:right w:val="single" w:sz="8" w:space="0" w:color="auto"/>
            </w:tcBorders>
            <w:shd w:val="clear" w:color="auto" w:fill="auto"/>
            <w:noWrap/>
            <w:vAlign w:val="center"/>
            <w:hideMark/>
          </w:tcPr>
          <w:p w:rsidR="000B6E30" w:rsidRDefault="000B6E30">
            <w:pPr>
              <w:jc w:val="center"/>
              <w:rPr>
                <w:rFonts w:ascii="Arial" w:hAnsi="Arial" w:cs="Arial"/>
                <w:color w:val="000000"/>
                <w:sz w:val="16"/>
                <w:szCs w:val="16"/>
              </w:rPr>
            </w:pPr>
            <w:r>
              <w:rPr>
                <w:rFonts w:ascii="Arial" w:hAnsi="Arial" w:cs="Arial"/>
                <w:color w:val="000000"/>
                <w:sz w:val="16"/>
                <w:szCs w:val="16"/>
              </w:rPr>
              <w:t>(vrátane 13)</w:t>
            </w:r>
            <w:r>
              <w:rPr>
                <w:rFonts w:ascii="Arial" w:hAnsi="Arial" w:cs="Arial"/>
                <w:color w:val="000000"/>
                <w:sz w:val="16"/>
                <w:szCs w:val="16"/>
                <w:vertAlign w:val="superscript"/>
              </w:rPr>
              <w:t>2</w:t>
            </w:r>
          </w:p>
        </w:tc>
        <w:tc>
          <w:tcPr>
            <w:tcW w:w="758" w:type="pct"/>
            <w:tcBorders>
              <w:top w:val="nil"/>
              <w:left w:val="nil"/>
              <w:bottom w:val="single" w:sz="8" w:space="0" w:color="auto"/>
              <w:right w:val="single" w:sz="8" w:space="0" w:color="auto"/>
            </w:tcBorders>
            <w:shd w:val="clear" w:color="auto" w:fill="auto"/>
            <w:noWrap/>
            <w:vAlign w:val="center"/>
            <w:hideMark/>
          </w:tcPr>
          <w:p w:rsidR="000B6E30" w:rsidRDefault="000B6E30">
            <w:pPr>
              <w:jc w:val="center"/>
              <w:rPr>
                <w:rFonts w:ascii="Arial" w:hAnsi="Arial" w:cs="Arial"/>
                <w:color w:val="000000"/>
                <w:sz w:val="16"/>
                <w:szCs w:val="16"/>
              </w:rPr>
            </w:pPr>
            <w:r>
              <w:rPr>
                <w:rFonts w:ascii="Arial" w:hAnsi="Arial" w:cs="Arial"/>
                <w:color w:val="000000"/>
                <w:sz w:val="16"/>
                <w:szCs w:val="16"/>
              </w:rPr>
              <w:t>(vrátane 9)</w:t>
            </w:r>
            <w:r>
              <w:rPr>
                <w:rFonts w:ascii="Arial" w:hAnsi="Arial" w:cs="Arial"/>
                <w:color w:val="000000"/>
                <w:sz w:val="16"/>
                <w:szCs w:val="16"/>
                <w:vertAlign w:val="superscript"/>
              </w:rPr>
              <w:t>2</w:t>
            </w:r>
          </w:p>
        </w:tc>
        <w:tc>
          <w:tcPr>
            <w:tcW w:w="874" w:type="pct"/>
            <w:tcBorders>
              <w:top w:val="nil"/>
              <w:left w:val="nil"/>
              <w:bottom w:val="single" w:sz="8" w:space="0" w:color="auto"/>
              <w:right w:val="single" w:sz="8" w:space="0" w:color="auto"/>
            </w:tcBorders>
            <w:shd w:val="clear" w:color="auto" w:fill="auto"/>
            <w:noWrap/>
            <w:vAlign w:val="center"/>
            <w:hideMark/>
          </w:tcPr>
          <w:p w:rsidR="000B6E30" w:rsidRDefault="000B6E30">
            <w:pPr>
              <w:jc w:val="center"/>
              <w:rPr>
                <w:rFonts w:ascii="Arial" w:hAnsi="Arial" w:cs="Arial"/>
                <w:color w:val="000000"/>
                <w:sz w:val="16"/>
                <w:szCs w:val="16"/>
              </w:rPr>
            </w:pPr>
            <w:r>
              <w:rPr>
                <w:rFonts w:ascii="Arial" w:hAnsi="Arial" w:cs="Arial"/>
                <w:color w:val="000000"/>
                <w:sz w:val="16"/>
                <w:szCs w:val="16"/>
              </w:rPr>
              <w:t>(vrátane 9)</w:t>
            </w:r>
            <w:r>
              <w:rPr>
                <w:rFonts w:ascii="Arial" w:hAnsi="Arial" w:cs="Arial"/>
                <w:color w:val="000000"/>
                <w:sz w:val="16"/>
                <w:szCs w:val="16"/>
                <w:vertAlign w:val="superscript"/>
              </w:rPr>
              <w:t>2</w:t>
            </w:r>
          </w:p>
        </w:tc>
        <w:tc>
          <w:tcPr>
            <w:tcW w:w="787" w:type="pct"/>
            <w:vMerge/>
            <w:tcBorders>
              <w:top w:val="nil"/>
              <w:left w:val="single" w:sz="8" w:space="0" w:color="auto"/>
              <w:bottom w:val="single" w:sz="8" w:space="0" w:color="000000"/>
              <w:right w:val="single" w:sz="8" w:space="0" w:color="auto"/>
            </w:tcBorders>
            <w:vAlign w:val="center"/>
            <w:hideMark/>
          </w:tcPr>
          <w:p w:rsidR="000B6E30" w:rsidRDefault="000B6E30">
            <w:pPr>
              <w:rPr>
                <w:rFonts w:ascii="Arial" w:hAnsi="Arial" w:cs="Arial"/>
                <w:color w:val="000000"/>
                <w:sz w:val="16"/>
                <w:szCs w:val="16"/>
              </w:rPr>
            </w:pPr>
          </w:p>
        </w:tc>
        <w:tc>
          <w:tcPr>
            <w:tcW w:w="878" w:type="pct"/>
            <w:vMerge/>
            <w:tcBorders>
              <w:top w:val="nil"/>
              <w:left w:val="single" w:sz="8" w:space="0" w:color="auto"/>
              <w:bottom w:val="single" w:sz="8" w:space="0" w:color="000000"/>
              <w:right w:val="single" w:sz="8" w:space="0" w:color="auto"/>
            </w:tcBorders>
            <w:vAlign w:val="center"/>
            <w:hideMark/>
          </w:tcPr>
          <w:p w:rsidR="000B6E30" w:rsidRDefault="000B6E30">
            <w:pPr>
              <w:rPr>
                <w:rFonts w:ascii="Arial" w:hAnsi="Arial" w:cs="Arial"/>
                <w:color w:val="000000"/>
                <w:sz w:val="16"/>
                <w:szCs w:val="16"/>
              </w:rPr>
            </w:pPr>
          </w:p>
        </w:tc>
      </w:tr>
      <w:tr w:rsidR="000B6E30" w:rsidTr="000B6E30">
        <w:trPr>
          <w:trHeight w:val="315"/>
        </w:trPr>
        <w:tc>
          <w:tcPr>
            <w:tcW w:w="999" w:type="pct"/>
            <w:tcBorders>
              <w:top w:val="nil"/>
              <w:left w:val="single" w:sz="8" w:space="0" w:color="auto"/>
              <w:bottom w:val="single" w:sz="8" w:space="0" w:color="auto"/>
              <w:right w:val="single" w:sz="8" w:space="0" w:color="auto"/>
            </w:tcBorders>
            <w:shd w:val="clear" w:color="000000" w:fill="EAF1DD"/>
            <w:vAlign w:val="center"/>
            <w:hideMark/>
          </w:tcPr>
          <w:p w:rsidR="000B6E30" w:rsidRDefault="000B6E30">
            <w:pPr>
              <w:rPr>
                <w:rFonts w:ascii="Arial" w:hAnsi="Arial" w:cs="Arial"/>
                <w:b/>
                <w:bCs/>
                <w:color w:val="000000"/>
                <w:sz w:val="16"/>
                <w:szCs w:val="16"/>
              </w:rPr>
            </w:pPr>
            <w:r>
              <w:rPr>
                <w:rFonts w:ascii="Arial" w:hAnsi="Arial" w:cs="Arial"/>
                <w:b/>
                <w:bCs/>
                <w:color w:val="000000"/>
                <w:sz w:val="16"/>
                <w:szCs w:val="16"/>
              </w:rPr>
              <w:t>Celkom</w:t>
            </w:r>
          </w:p>
        </w:tc>
        <w:tc>
          <w:tcPr>
            <w:tcW w:w="705" w:type="pct"/>
            <w:tcBorders>
              <w:top w:val="nil"/>
              <w:left w:val="nil"/>
              <w:bottom w:val="single" w:sz="8" w:space="0" w:color="auto"/>
              <w:right w:val="single" w:sz="8" w:space="0" w:color="auto"/>
            </w:tcBorders>
            <w:shd w:val="clear" w:color="000000" w:fill="EAF1DD"/>
            <w:noWrap/>
            <w:vAlign w:val="center"/>
            <w:hideMark/>
          </w:tcPr>
          <w:p w:rsidR="000B6E30" w:rsidRDefault="000B6E30">
            <w:pPr>
              <w:jc w:val="center"/>
              <w:rPr>
                <w:rFonts w:ascii="Arial" w:hAnsi="Arial" w:cs="Arial"/>
                <w:b/>
                <w:bCs/>
                <w:color w:val="000000"/>
                <w:sz w:val="16"/>
                <w:szCs w:val="16"/>
              </w:rPr>
            </w:pPr>
            <w:r>
              <w:rPr>
                <w:rFonts w:ascii="Arial" w:hAnsi="Arial" w:cs="Arial"/>
                <w:b/>
                <w:bCs/>
                <w:color w:val="000000"/>
                <w:sz w:val="16"/>
                <w:szCs w:val="16"/>
              </w:rPr>
              <w:t>60</w:t>
            </w:r>
          </w:p>
        </w:tc>
        <w:tc>
          <w:tcPr>
            <w:tcW w:w="758" w:type="pct"/>
            <w:tcBorders>
              <w:top w:val="nil"/>
              <w:left w:val="nil"/>
              <w:bottom w:val="single" w:sz="8" w:space="0" w:color="auto"/>
              <w:right w:val="single" w:sz="8" w:space="0" w:color="auto"/>
            </w:tcBorders>
            <w:shd w:val="clear" w:color="000000" w:fill="EAF1DD"/>
            <w:noWrap/>
            <w:vAlign w:val="center"/>
            <w:hideMark/>
          </w:tcPr>
          <w:p w:rsidR="000B6E30" w:rsidRDefault="000B6E30">
            <w:pPr>
              <w:jc w:val="center"/>
              <w:rPr>
                <w:rFonts w:ascii="Arial" w:hAnsi="Arial" w:cs="Arial"/>
                <w:b/>
                <w:bCs/>
                <w:color w:val="000000"/>
                <w:sz w:val="16"/>
                <w:szCs w:val="16"/>
              </w:rPr>
            </w:pPr>
            <w:r>
              <w:rPr>
                <w:rFonts w:ascii="Arial" w:hAnsi="Arial" w:cs="Arial"/>
                <w:b/>
                <w:bCs/>
                <w:color w:val="000000"/>
                <w:sz w:val="16"/>
                <w:szCs w:val="16"/>
              </w:rPr>
              <w:t>40</w:t>
            </w:r>
          </w:p>
        </w:tc>
        <w:tc>
          <w:tcPr>
            <w:tcW w:w="874" w:type="pct"/>
            <w:tcBorders>
              <w:top w:val="nil"/>
              <w:left w:val="nil"/>
              <w:bottom w:val="single" w:sz="8" w:space="0" w:color="auto"/>
              <w:right w:val="single" w:sz="8" w:space="0" w:color="auto"/>
            </w:tcBorders>
            <w:shd w:val="clear" w:color="000000" w:fill="EAF1DD"/>
            <w:noWrap/>
            <w:vAlign w:val="center"/>
            <w:hideMark/>
          </w:tcPr>
          <w:p w:rsidR="000B6E30" w:rsidRDefault="000B6E30">
            <w:pPr>
              <w:jc w:val="center"/>
              <w:rPr>
                <w:rFonts w:ascii="Arial" w:hAnsi="Arial" w:cs="Arial"/>
                <w:b/>
                <w:bCs/>
                <w:color w:val="000000"/>
                <w:sz w:val="16"/>
                <w:szCs w:val="16"/>
              </w:rPr>
            </w:pPr>
            <w:r>
              <w:rPr>
                <w:rFonts w:ascii="Arial" w:hAnsi="Arial" w:cs="Arial"/>
                <w:b/>
                <w:bCs/>
                <w:color w:val="000000"/>
                <w:sz w:val="16"/>
                <w:szCs w:val="16"/>
              </w:rPr>
              <w:t>36</w:t>
            </w:r>
          </w:p>
        </w:tc>
        <w:tc>
          <w:tcPr>
            <w:tcW w:w="787" w:type="pct"/>
            <w:tcBorders>
              <w:top w:val="nil"/>
              <w:left w:val="nil"/>
              <w:bottom w:val="single" w:sz="8" w:space="0" w:color="auto"/>
              <w:right w:val="single" w:sz="8" w:space="0" w:color="auto"/>
            </w:tcBorders>
            <w:shd w:val="clear" w:color="000000" w:fill="EAF1DD"/>
            <w:noWrap/>
            <w:vAlign w:val="center"/>
            <w:hideMark/>
          </w:tcPr>
          <w:p w:rsidR="000B6E30" w:rsidRDefault="000B6E30">
            <w:pPr>
              <w:jc w:val="center"/>
              <w:rPr>
                <w:rFonts w:ascii="Arial" w:hAnsi="Arial" w:cs="Arial"/>
                <w:b/>
                <w:bCs/>
                <w:color w:val="000000"/>
                <w:sz w:val="16"/>
                <w:szCs w:val="16"/>
              </w:rPr>
            </w:pPr>
            <w:r>
              <w:rPr>
                <w:rFonts w:ascii="Arial" w:hAnsi="Arial" w:cs="Arial"/>
                <w:b/>
                <w:bCs/>
                <w:color w:val="000000"/>
                <w:sz w:val="16"/>
                <w:szCs w:val="16"/>
              </w:rPr>
              <w:t>8</w:t>
            </w:r>
          </w:p>
        </w:tc>
        <w:tc>
          <w:tcPr>
            <w:tcW w:w="878" w:type="pct"/>
            <w:tcBorders>
              <w:top w:val="nil"/>
              <w:left w:val="nil"/>
              <w:bottom w:val="single" w:sz="8" w:space="0" w:color="auto"/>
              <w:right w:val="single" w:sz="8" w:space="0" w:color="auto"/>
            </w:tcBorders>
            <w:shd w:val="clear" w:color="000000" w:fill="EAF1DD"/>
            <w:noWrap/>
            <w:vAlign w:val="center"/>
            <w:hideMark/>
          </w:tcPr>
          <w:p w:rsidR="000B6E30" w:rsidRDefault="000B6E30">
            <w:pPr>
              <w:jc w:val="center"/>
              <w:rPr>
                <w:rFonts w:ascii="Arial" w:hAnsi="Arial" w:cs="Arial"/>
                <w:b/>
                <w:bCs/>
                <w:color w:val="000000"/>
                <w:sz w:val="16"/>
                <w:szCs w:val="16"/>
              </w:rPr>
            </w:pPr>
            <w:r>
              <w:rPr>
                <w:rFonts w:ascii="Arial" w:hAnsi="Arial" w:cs="Arial"/>
                <w:b/>
                <w:bCs/>
                <w:color w:val="000000"/>
                <w:sz w:val="16"/>
                <w:szCs w:val="16"/>
              </w:rPr>
              <w:t>4</w:t>
            </w:r>
          </w:p>
        </w:tc>
      </w:tr>
      <w:tr w:rsidR="000B6E30" w:rsidTr="000B6E30">
        <w:trPr>
          <w:trHeight w:val="315"/>
        </w:trPr>
        <w:tc>
          <w:tcPr>
            <w:tcW w:w="5000" w:type="pct"/>
            <w:gridSpan w:val="6"/>
            <w:tcBorders>
              <w:top w:val="single" w:sz="8" w:space="0" w:color="auto"/>
              <w:left w:val="nil"/>
              <w:bottom w:val="single" w:sz="8" w:space="0" w:color="auto"/>
              <w:right w:val="nil"/>
            </w:tcBorders>
            <w:shd w:val="clear" w:color="auto" w:fill="auto"/>
            <w:vAlign w:val="center"/>
            <w:hideMark/>
          </w:tcPr>
          <w:p w:rsidR="000B6E30" w:rsidRDefault="000B6E30">
            <w:pPr>
              <w:rPr>
                <w:rFonts w:ascii="Arial" w:hAnsi="Arial" w:cs="Arial"/>
                <w:b/>
                <w:bCs/>
                <w:i/>
                <w:iCs/>
                <w:color w:val="000000"/>
                <w:sz w:val="16"/>
                <w:szCs w:val="16"/>
              </w:rPr>
            </w:pPr>
            <w:r>
              <w:rPr>
                <w:rFonts w:ascii="Arial" w:hAnsi="Arial" w:cs="Arial"/>
                <w:b/>
                <w:bCs/>
                <w:i/>
                <w:iCs/>
                <w:color w:val="000000"/>
                <w:sz w:val="16"/>
                <w:szCs w:val="16"/>
              </w:rPr>
              <w:t>Finančné vyčíslenie ŠF/KF a ŠR v €</w:t>
            </w:r>
          </w:p>
        </w:tc>
      </w:tr>
      <w:tr w:rsidR="000B6E30" w:rsidTr="000B6E30">
        <w:trPr>
          <w:trHeight w:val="315"/>
        </w:trPr>
        <w:tc>
          <w:tcPr>
            <w:tcW w:w="999" w:type="pct"/>
            <w:tcBorders>
              <w:top w:val="nil"/>
              <w:left w:val="single" w:sz="8" w:space="0" w:color="auto"/>
              <w:bottom w:val="single" w:sz="8" w:space="0" w:color="auto"/>
              <w:right w:val="single" w:sz="8" w:space="0" w:color="auto"/>
            </w:tcBorders>
            <w:shd w:val="clear" w:color="000000" w:fill="D6E3BC"/>
            <w:vAlign w:val="center"/>
            <w:hideMark/>
          </w:tcPr>
          <w:p w:rsidR="000B6E30" w:rsidRDefault="000B6E30">
            <w:pPr>
              <w:jc w:val="center"/>
              <w:rPr>
                <w:rFonts w:ascii="Arial" w:hAnsi="Arial" w:cs="Arial"/>
                <w:b/>
                <w:bCs/>
                <w:color w:val="000000"/>
                <w:sz w:val="16"/>
                <w:szCs w:val="16"/>
              </w:rPr>
            </w:pPr>
            <w:r>
              <w:rPr>
                <w:rFonts w:ascii="Arial" w:hAnsi="Arial" w:cs="Arial"/>
                <w:b/>
                <w:bCs/>
                <w:color w:val="000000"/>
                <w:sz w:val="16"/>
                <w:szCs w:val="16"/>
              </w:rPr>
              <w:t>Hlavná téma</w:t>
            </w:r>
          </w:p>
        </w:tc>
        <w:tc>
          <w:tcPr>
            <w:tcW w:w="705" w:type="pct"/>
            <w:tcBorders>
              <w:top w:val="nil"/>
              <w:left w:val="nil"/>
              <w:bottom w:val="single" w:sz="8" w:space="0" w:color="auto"/>
              <w:right w:val="single" w:sz="8" w:space="0" w:color="auto"/>
            </w:tcBorders>
            <w:shd w:val="clear" w:color="000000" w:fill="D6E3BC"/>
            <w:vAlign w:val="center"/>
            <w:hideMark/>
          </w:tcPr>
          <w:p w:rsidR="000B6E30" w:rsidRDefault="000B6E30">
            <w:pPr>
              <w:jc w:val="center"/>
              <w:rPr>
                <w:rFonts w:ascii="Arial" w:hAnsi="Arial" w:cs="Arial"/>
                <w:b/>
                <w:bCs/>
                <w:color w:val="000000"/>
                <w:sz w:val="16"/>
                <w:szCs w:val="16"/>
              </w:rPr>
            </w:pPr>
            <w:r>
              <w:rPr>
                <w:rFonts w:ascii="Arial" w:hAnsi="Arial" w:cs="Arial"/>
                <w:b/>
                <w:bCs/>
                <w:color w:val="000000"/>
                <w:sz w:val="16"/>
                <w:szCs w:val="16"/>
              </w:rPr>
              <w:t xml:space="preserve">Výška žiadaného príspevku (NFP)  </w:t>
            </w:r>
          </w:p>
        </w:tc>
        <w:tc>
          <w:tcPr>
            <w:tcW w:w="758" w:type="pct"/>
            <w:tcBorders>
              <w:top w:val="nil"/>
              <w:left w:val="nil"/>
              <w:bottom w:val="single" w:sz="8" w:space="0" w:color="auto"/>
              <w:right w:val="single" w:sz="8" w:space="0" w:color="auto"/>
            </w:tcBorders>
            <w:shd w:val="clear" w:color="000000" w:fill="D6E3BC"/>
            <w:vAlign w:val="center"/>
            <w:hideMark/>
          </w:tcPr>
          <w:p w:rsidR="000B6E30" w:rsidRDefault="000B6E30">
            <w:pPr>
              <w:jc w:val="center"/>
              <w:rPr>
                <w:rFonts w:ascii="Arial" w:hAnsi="Arial" w:cs="Arial"/>
                <w:b/>
                <w:bCs/>
                <w:color w:val="000000"/>
                <w:sz w:val="16"/>
                <w:szCs w:val="16"/>
              </w:rPr>
            </w:pPr>
            <w:r>
              <w:rPr>
                <w:rFonts w:ascii="Arial" w:hAnsi="Arial" w:cs="Arial"/>
                <w:b/>
                <w:bCs/>
                <w:color w:val="000000"/>
                <w:sz w:val="16"/>
                <w:szCs w:val="16"/>
              </w:rPr>
              <w:t xml:space="preserve">Výška schváleného príspevku (NFP) </w:t>
            </w:r>
          </w:p>
        </w:tc>
        <w:tc>
          <w:tcPr>
            <w:tcW w:w="874" w:type="pct"/>
            <w:tcBorders>
              <w:top w:val="nil"/>
              <w:left w:val="nil"/>
              <w:bottom w:val="single" w:sz="8" w:space="0" w:color="auto"/>
              <w:right w:val="single" w:sz="8" w:space="0" w:color="auto"/>
            </w:tcBorders>
            <w:shd w:val="clear" w:color="000000" w:fill="D6E3BC"/>
            <w:vAlign w:val="center"/>
            <w:hideMark/>
          </w:tcPr>
          <w:p w:rsidR="000B6E30" w:rsidRDefault="000B6E30">
            <w:pPr>
              <w:jc w:val="center"/>
              <w:rPr>
                <w:rFonts w:ascii="Arial" w:hAnsi="Arial" w:cs="Arial"/>
                <w:b/>
                <w:bCs/>
                <w:color w:val="000000"/>
                <w:sz w:val="16"/>
                <w:szCs w:val="16"/>
              </w:rPr>
            </w:pPr>
            <w:r>
              <w:rPr>
                <w:rFonts w:ascii="Arial" w:hAnsi="Arial" w:cs="Arial"/>
                <w:b/>
                <w:bCs/>
                <w:color w:val="000000"/>
                <w:sz w:val="16"/>
                <w:szCs w:val="16"/>
              </w:rPr>
              <w:t>Výška zazmluvnených prostriedkov (NFP)</w:t>
            </w:r>
          </w:p>
        </w:tc>
        <w:tc>
          <w:tcPr>
            <w:tcW w:w="787" w:type="pct"/>
            <w:tcBorders>
              <w:top w:val="nil"/>
              <w:left w:val="nil"/>
              <w:bottom w:val="single" w:sz="8" w:space="0" w:color="auto"/>
              <w:right w:val="single" w:sz="8" w:space="0" w:color="auto"/>
            </w:tcBorders>
            <w:shd w:val="clear" w:color="000000" w:fill="D6E3BC"/>
            <w:vAlign w:val="center"/>
            <w:hideMark/>
          </w:tcPr>
          <w:p w:rsidR="000B6E30" w:rsidRDefault="000B6E30">
            <w:pPr>
              <w:jc w:val="center"/>
              <w:rPr>
                <w:rFonts w:ascii="Arial" w:hAnsi="Arial" w:cs="Arial"/>
                <w:b/>
                <w:bCs/>
                <w:color w:val="000000"/>
                <w:sz w:val="16"/>
                <w:szCs w:val="16"/>
              </w:rPr>
            </w:pPr>
            <w:r>
              <w:rPr>
                <w:rFonts w:ascii="Arial" w:hAnsi="Arial" w:cs="Arial"/>
                <w:b/>
                <w:bCs/>
                <w:color w:val="000000"/>
                <w:sz w:val="16"/>
                <w:szCs w:val="16"/>
              </w:rPr>
              <w:t xml:space="preserve">Výška riadne ukončených projektov </w:t>
            </w:r>
            <w:r>
              <w:rPr>
                <w:rFonts w:ascii="Arial" w:hAnsi="Arial" w:cs="Arial"/>
                <w:b/>
                <w:bCs/>
                <w:color w:val="000000"/>
                <w:sz w:val="16"/>
                <w:szCs w:val="16"/>
                <w:vertAlign w:val="superscript"/>
              </w:rPr>
              <w:t>1</w:t>
            </w:r>
          </w:p>
        </w:tc>
        <w:tc>
          <w:tcPr>
            <w:tcW w:w="878" w:type="pct"/>
            <w:tcBorders>
              <w:top w:val="nil"/>
              <w:left w:val="nil"/>
              <w:bottom w:val="single" w:sz="8" w:space="0" w:color="auto"/>
              <w:right w:val="single" w:sz="8" w:space="0" w:color="auto"/>
            </w:tcBorders>
            <w:shd w:val="clear" w:color="000000" w:fill="D6E3BC"/>
            <w:vAlign w:val="center"/>
            <w:hideMark/>
          </w:tcPr>
          <w:p w:rsidR="000B6E30" w:rsidRDefault="000B6E30">
            <w:pPr>
              <w:jc w:val="center"/>
              <w:rPr>
                <w:rFonts w:ascii="Arial" w:hAnsi="Arial" w:cs="Arial"/>
                <w:b/>
                <w:bCs/>
                <w:color w:val="000000"/>
                <w:sz w:val="16"/>
                <w:szCs w:val="16"/>
              </w:rPr>
            </w:pPr>
            <w:r>
              <w:rPr>
                <w:rFonts w:ascii="Arial" w:hAnsi="Arial" w:cs="Arial"/>
                <w:b/>
                <w:bCs/>
                <w:color w:val="000000"/>
                <w:sz w:val="16"/>
                <w:szCs w:val="16"/>
              </w:rPr>
              <w:t>Výška mimoriadne ukončených projektov</w:t>
            </w:r>
          </w:p>
        </w:tc>
      </w:tr>
      <w:tr w:rsidR="000B6E30" w:rsidTr="000B6E30">
        <w:trPr>
          <w:trHeight w:val="465"/>
        </w:trPr>
        <w:tc>
          <w:tcPr>
            <w:tcW w:w="999" w:type="pct"/>
            <w:tcBorders>
              <w:top w:val="nil"/>
              <w:left w:val="single" w:sz="8" w:space="0" w:color="auto"/>
              <w:bottom w:val="single" w:sz="8" w:space="0" w:color="auto"/>
              <w:right w:val="single" w:sz="8" w:space="0" w:color="auto"/>
            </w:tcBorders>
            <w:shd w:val="clear" w:color="auto" w:fill="auto"/>
            <w:vAlign w:val="center"/>
            <w:hideMark/>
          </w:tcPr>
          <w:p w:rsidR="000B6E30" w:rsidRDefault="000B6E30">
            <w:pPr>
              <w:rPr>
                <w:rFonts w:ascii="Arial" w:hAnsi="Arial" w:cs="Arial"/>
                <w:color w:val="000000"/>
                <w:sz w:val="16"/>
                <w:szCs w:val="16"/>
              </w:rPr>
            </w:pPr>
            <w:r>
              <w:rPr>
                <w:rFonts w:ascii="Arial" w:hAnsi="Arial" w:cs="Arial"/>
                <w:color w:val="000000"/>
                <w:sz w:val="16"/>
                <w:szCs w:val="16"/>
              </w:rPr>
              <w:t>54 - Iné opatrenia na zachovanie životného prostredia a predchádzanie rizikám</w:t>
            </w:r>
          </w:p>
        </w:tc>
        <w:tc>
          <w:tcPr>
            <w:tcW w:w="705" w:type="pct"/>
            <w:tcBorders>
              <w:top w:val="nil"/>
              <w:left w:val="nil"/>
              <w:bottom w:val="single" w:sz="8" w:space="0" w:color="auto"/>
              <w:right w:val="single" w:sz="8" w:space="0" w:color="auto"/>
            </w:tcBorders>
            <w:shd w:val="clear" w:color="auto" w:fill="auto"/>
            <w:noWrap/>
            <w:vAlign w:val="center"/>
            <w:hideMark/>
          </w:tcPr>
          <w:p w:rsidR="000B6E30" w:rsidRDefault="000B6E30">
            <w:pPr>
              <w:jc w:val="center"/>
              <w:rPr>
                <w:rFonts w:ascii="Arial" w:hAnsi="Arial" w:cs="Arial"/>
                <w:color w:val="000000"/>
                <w:sz w:val="16"/>
                <w:szCs w:val="16"/>
              </w:rPr>
            </w:pPr>
            <w:r>
              <w:rPr>
                <w:rFonts w:ascii="Arial" w:hAnsi="Arial" w:cs="Arial"/>
                <w:color w:val="000000"/>
                <w:sz w:val="16"/>
                <w:szCs w:val="16"/>
              </w:rPr>
              <w:t>24 776 150</w:t>
            </w:r>
          </w:p>
        </w:tc>
        <w:tc>
          <w:tcPr>
            <w:tcW w:w="758" w:type="pct"/>
            <w:tcBorders>
              <w:top w:val="nil"/>
              <w:left w:val="nil"/>
              <w:bottom w:val="single" w:sz="8" w:space="0" w:color="auto"/>
              <w:right w:val="single" w:sz="8" w:space="0" w:color="auto"/>
            </w:tcBorders>
            <w:shd w:val="clear" w:color="auto" w:fill="auto"/>
            <w:noWrap/>
            <w:vAlign w:val="center"/>
            <w:hideMark/>
          </w:tcPr>
          <w:p w:rsidR="000B6E30" w:rsidRDefault="000B6E30">
            <w:pPr>
              <w:jc w:val="center"/>
              <w:rPr>
                <w:rFonts w:ascii="Arial" w:hAnsi="Arial" w:cs="Arial"/>
                <w:color w:val="000000"/>
                <w:sz w:val="16"/>
                <w:szCs w:val="16"/>
              </w:rPr>
            </w:pPr>
            <w:r>
              <w:rPr>
                <w:rFonts w:ascii="Arial" w:hAnsi="Arial" w:cs="Arial"/>
                <w:color w:val="000000"/>
                <w:sz w:val="16"/>
                <w:szCs w:val="16"/>
              </w:rPr>
              <w:t>17 703 243</w:t>
            </w:r>
          </w:p>
        </w:tc>
        <w:tc>
          <w:tcPr>
            <w:tcW w:w="874" w:type="pct"/>
            <w:tcBorders>
              <w:top w:val="nil"/>
              <w:left w:val="nil"/>
              <w:bottom w:val="single" w:sz="8" w:space="0" w:color="auto"/>
              <w:right w:val="single" w:sz="8" w:space="0" w:color="auto"/>
            </w:tcBorders>
            <w:shd w:val="clear" w:color="auto" w:fill="auto"/>
            <w:noWrap/>
            <w:vAlign w:val="center"/>
            <w:hideMark/>
          </w:tcPr>
          <w:p w:rsidR="000B6E30" w:rsidRDefault="000B6E30">
            <w:pPr>
              <w:jc w:val="center"/>
              <w:rPr>
                <w:rFonts w:ascii="Arial" w:hAnsi="Arial" w:cs="Arial"/>
                <w:color w:val="000000"/>
                <w:sz w:val="16"/>
                <w:szCs w:val="16"/>
              </w:rPr>
            </w:pPr>
            <w:r>
              <w:rPr>
                <w:rFonts w:ascii="Arial" w:hAnsi="Arial" w:cs="Arial"/>
                <w:color w:val="000000"/>
                <w:sz w:val="16"/>
                <w:szCs w:val="16"/>
              </w:rPr>
              <w:t>16 438 618</w:t>
            </w:r>
          </w:p>
        </w:tc>
        <w:tc>
          <w:tcPr>
            <w:tcW w:w="787" w:type="pct"/>
            <w:tcBorders>
              <w:top w:val="nil"/>
              <w:left w:val="nil"/>
              <w:bottom w:val="single" w:sz="8" w:space="0" w:color="auto"/>
              <w:right w:val="single" w:sz="8" w:space="0" w:color="auto"/>
            </w:tcBorders>
            <w:shd w:val="clear" w:color="auto" w:fill="auto"/>
            <w:noWrap/>
            <w:vAlign w:val="center"/>
            <w:hideMark/>
          </w:tcPr>
          <w:p w:rsidR="000B6E30" w:rsidRDefault="000B6E30">
            <w:pPr>
              <w:jc w:val="center"/>
              <w:rPr>
                <w:rFonts w:ascii="Arial" w:hAnsi="Arial" w:cs="Arial"/>
                <w:color w:val="000000"/>
                <w:sz w:val="16"/>
                <w:szCs w:val="16"/>
              </w:rPr>
            </w:pPr>
            <w:r>
              <w:rPr>
                <w:rFonts w:ascii="Arial" w:hAnsi="Arial" w:cs="Arial"/>
                <w:color w:val="000000"/>
                <w:sz w:val="16"/>
                <w:szCs w:val="16"/>
              </w:rPr>
              <w:t>1 474 181</w:t>
            </w:r>
          </w:p>
        </w:tc>
        <w:tc>
          <w:tcPr>
            <w:tcW w:w="878" w:type="pct"/>
            <w:tcBorders>
              <w:top w:val="nil"/>
              <w:left w:val="nil"/>
              <w:bottom w:val="single" w:sz="8" w:space="0" w:color="auto"/>
              <w:right w:val="single" w:sz="8" w:space="0" w:color="auto"/>
            </w:tcBorders>
            <w:shd w:val="clear" w:color="auto" w:fill="auto"/>
            <w:noWrap/>
            <w:vAlign w:val="center"/>
            <w:hideMark/>
          </w:tcPr>
          <w:p w:rsidR="000B6E30" w:rsidRDefault="000B6E30">
            <w:pPr>
              <w:jc w:val="center"/>
              <w:rPr>
                <w:rFonts w:ascii="Arial" w:hAnsi="Arial" w:cs="Arial"/>
                <w:color w:val="000000"/>
                <w:sz w:val="16"/>
                <w:szCs w:val="16"/>
              </w:rPr>
            </w:pPr>
            <w:r>
              <w:rPr>
                <w:rFonts w:ascii="Arial" w:hAnsi="Arial" w:cs="Arial"/>
                <w:color w:val="000000"/>
                <w:sz w:val="16"/>
                <w:szCs w:val="16"/>
              </w:rPr>
              <w:t>1 264 626</w:t>
            </w:r>
          </w:p>
        </w:tc>
      </w:tr>
      <w:tr w:rsidR="000B6E30" w:rsidTr="000B6E30">
        <w:trPr>
          <w:trHeight w:val="465"/>
        </w:trPr>
        <w:tc>
          <w:tcPr>
            <w:tcW w:w="999" w:type="pct"/>
            <w:tcBorders>
              <w:top w:val="nil"/>
              <w:left w:val="single" w:sz="8" w:space="0" w:color="auto"/>
              <w:bottom w:val="single" w:sz="8" w:space="0" w:color="auto"/>
              <w:right w:val="single" w:sz="8" w:space="0" w:color="auto"/>
            </w:tcBorders>
            <w:shd w:val="clear" w:color="auto" w:fill="auto"/>
            <w:vAlign w:val="center"/>
            <w:hideMark/>
          </w:tcPr>
          <w:p w:rsidR="000B6E30" w:rsidRDefault="000B6E30">
            <w:pPr>
              <w:rPr>
                <w:rFonts w:ascii="Arial" w:hAnsi="Arial" w:cs="Arial"/>
                <w:color w:val="000000"/>
                <w:sz w:val="16"/>
                <w:szCs w:val="16"/>
              </w:rPr>
            </w:pPr>
            <w:r>
              <w:rPr>
                <w:rFonts w:ascii="Arial" w:hAnsi="Arial" w:cs="Arial"/>
                <w:color w:val="000000"/>
                <w:sz w:val="16"/>
                <w:szCs w:val="16"/>
              </w:rPr>
              <w:t>51 - Podpora biodiverzity a ochrana prírody (vrátane NATURA 2000)</w:t>
            </w:r>
          </w:p>
        </w:tc>
        <w:tc>
          <w:tcPr>
            <w:tcW w:w="705" w:type="pct"/>
            <w:tcBorders>
              <w:top w:val="nil"/>
              <w:left w:val="nil"/>
              <w:bottom w:val="single" w:sz="8" w:space="0" w:color="auto"/>
              <w:right w:val="single" w:sz="8" w:space="0" w:color="auto"/>
            </w:tcBorders>
            <w:shd w:val="clear" w:color="auto" w:fill="auto"/>
            <w:noWrap/>
            <w:vAlign w:val="center"/>
            <w:hideMark/>
          </w:tcPr>
          <w:p w:rsidR="000B6E30" w:rsidRDefault="000B6E30">
            <w:pPr>
              <w:jc w:val="center"/>
              <w:rPr>
                <w:rFonts w:ascii="Arial" w:hAnsi="Arial" w:cs="Arial"/>
                <w:color w:val="000000"/>
                <w:sz w:val="16"/>
                <w:szCs w:val="16"/>
              </w:rPr>
            </w:pPr>
            <w:r>
              <w:rPr>
                <w:rFonts w:ascii="Arial" w:hAnsi="Arial" w:cs="Arial"/>
                <w:color w:val="000000"/>
                <w:sz w:val="16"/>
                <w:szCs w:val="16"/>
              </w:rPr>
              <w:t>52 172 605</w:t>
            </w:r>
          </w:p>
        </w:tc>
        <w:tc>
          <w:tcPr>
            <w:tcW w:w="758" w:type="pct"/>
            <w:tcBorders>
              <w:top w:val="nil"/>
              <w:left w:val="nil"/>
              <w:bottom w:val="single" w:sz="8" w:space="0" w:color="auto"/>
              <w:right w:val="single" w:sz="8" w:space="0" w:color="auto"/>
            </w:tcBorders>
            <w:shd w:val="clear" w:color="auto" w:fill="auto"/>
            <w:noWrap/>
            <w:vAlign w:val="center"/>
            <w:hideMark/>
          </w:tcPr>
          <w:p w:rsidR="000B6E30" w:rsidRDefault="000B6E30">
            <w:pPr>
              <w:jc w:val="center"/>
              <w:rPr>
                <w:rFonts w:ascii="Arial" w:hAnsi="Arial" w:cs="Arial"/>
                <w:color w:val="000000"/>
                <w:sz w:val="16"/>
                <w:szCs w:val="16"/>
              </w:rPr>
            </w:pPr>
            <w:r>
              <w:rPr>
                <w:rFonts w:ascii="Arial" w:hAnsi="Arial" w:cs="Arial"/>
                <w:color w:val="000000"/>
                <w:sz w:val="16"/>
                <w:szCs w:val="16"/>
              </w:rPr>
              <w:t>38 259 644</w:t>
            </w:r>
          </w:p>
        </w:tc>
        <w:tc>
          <w:tcPr>
            <w:tcW w:w="874" w:type="pct"/>
            <w:tcBorders>
              <w:top w:val="nil"/>
              <w:left w:val="nil"/>
              <w:bottom w:val="single" w:sz="8" w:space="0" w:color="auto"/>
              <w:right w:val="single" w:sz="8" w:space="0" w:color="auto"/>
            </w:tcBorders>
            <w:shd w:val="clear" w:color="auto" w:fill="auto"/>
            <w:noWrap/>
            <w:vAlign w:val="center"/>
            <w:hideMark/>
          </w:tcPr>
          <w:p w:rsidR="000B6E30" w:rsidRDefault="000B6E30">
            <w:pPr>
              <w:jc w:val="center"/>
              <w:rPr>
                <w:rFonts w:ascii="Arial" w:hAnsi="Arial" w:cs="Arial"/>
                <w:color w:val="000000"/>
                <w:sz w:val="16"/>
                <w:szCs w:val="16"/>
              </w:rPr>
            </w:pPr>
            <w:r>
              <w:rPr>
                <w:rFonts w:ascii="Arial" w:hAnsi="Arial" w:cs="Arial"/>
                <w:color w:val="000000"/>
                <w:sz w:val="16"/>
                <w:szCs w:val="16"/>
              </w:rPr>
              <w:t>33 902 073</w:t>
            </w:r>
          </w:p>
        </w:tc>
        <w:tc>
          <w:tcPr>
            <w:tcW w:w="787" w:type="pct"/>
            <w:tcBorders>
              <w:top w:val="nil"/>
              <w:left w:val="nil"/>
              <w:bottom w:val="single" w:sz="8" w:space="0" w:color="auto"/>
              <w:right w:val="single" w:sz="8" w:space="0" w:color="auto"/>
            </w:tcBorders>
            <w:shd w:val="clear" w:color="auto" w:fill="auto"/>
            <w:noWrap/>
            <w:vAlign w:val="center"/>
            <w:hideMark/>
          </w:tcPr>
          <w:p w:rsidR="000B6E30" w:rsidRDefault="000B6E30">
            <w:pPr>
              <w:jc w:val="center"/>
              <w:rPr>
                <w:rFonts w:ascii="Arial" w:hAnsi="Arial" w:cs="Arial"/>
                <w:color w:val="000000"/>
                <w:sz w:val="16"/>
                <w:szCs w:val="16"/>
              </w:rPr>
            </w:pPr>
            <w:r>
              <w:rPr>
                <w:rFonts w:ascii="Arial" w:hAnsi="Arial" w:cs="Arial"/>
                <w:color w:val="000000"/>
                <w:sz w:val="16"/>
                <w:szCs w:val="16"/>
              </w:rPr>
              <w:t>1 187 208</w:t>
            </w:r>
          </w:p>
        </w:tc>
        <w:tc>
          <w:tcPr>
            <w:tcW w:w="878" w:type="pct"/>
            <w:tcBorders>
              <w:top w:val="nil"/>
              <w:left w:val="nil"/>
              <w:bottom w:val="single" w:sz="8" w:space="0" w:color="auto"/>
              <w:right w:val="single" w:sz="8" w:space="0" w:color="auto"/>
            </w:tcBorders>
            <w:shd w:val="clear" w:color="auto" w:fill="auto"/>
            <w:noWrap/>
            <w:vAlign w:val="center"/>
            <w:hideMark/>
          </w:tcPr>
          <w:p w:rsidR="000B6E30" w:rsidRDefault="000B6E30">
            <w:pPr>
              <w:jc w:val="center"/>
              <w:rPr>
                <w:rFonts w:ascii="Arial" w:hAnsi="Arial" w:cs="Arial"/>
                <w:color w:val="000000"/>
                <w:sz w:val="16"/>
                <w:szCs w:val="16"/>
              </w:rPr>
            </w:pPr>
            <w:r>
              <w:rPr>
                <w:rFonts w:ascii="Arial" w:hAnsi="Arial" w:cs="Arial"/>
                <w:color w:val="000000"/>
                <w:sz w:val="16"/>
                <w:szCs w:val="16"/>
              </w:rPr>
              <w:t>4 355 014</w:t>
            </w:r>
          </w:p>
        </w:tc>
      </w:tr>
      <w:tr w:rsidR="000B6E30" w:rsidTr="000B6E30">
        <w:trPr>
          <w:trHeight w:val="315"/>
        </w:trPr>
        <w:tc>
          <w:tcPr>
            <w:tcW w:w="999" w:type="pct"/>
            <w:tcBorders>
              <w:top w:val="nil"/>
              <w:left w:val="single" w:sz="8" w:space="0" w:color="auto"/>
              <w:bottom w:val="single" w:sz="8" w:space="0" w:color="auto"/>
              <w:right w:val="single" w:sz="8" w:space="0" w:color="auto"/>
            </w:tcBorders>
            <w:shd w:val="clear" w:color="000000" w:fill="EAF1DD"/>
            <w:vAlign w:val="center"/>
            <w:hideMark/>
          </w:tcPr>
          <w:p w:rsidR="000B6E30" w:rsidRDefault="000B6E30">
            <w:pPr>
              <w:rPr>
                <w:rFonts w:ascii="Arial" w:hAnsi="Arial" w:cs="Arial"/>
                <w:b/>
                <w:bCs/>
                <w:color w:val="000000"/>
                <w:sz w:val="16"/>
                <w:szCs w:val="16"/>
              </w:rPr>
            </w:pPr>
            <w:r>
              <w:rPr>
                <w:rFonts w:ascii="Arial" w:hAnsi="Arial" w:cs="Arial"/>
                <w:b/>
                <w:bCs/>
                <w:color w:val="000000"/>
                <w:sz w:val="16"/>
                <w:szCs w:val="16"/>
              </w:rPr>
              <w:t>Celkom</w:t>
            </w:r>
          </w:p>
        </w:tc>
        <w:tc>
          <w:tcPr>
            <w:tcW w:w="705" w:type="pct"/>
            <w:tcBorders>
              <w:top w:val="nil"/>
              <w:left w:val="nil"/>
              <w:bottom w:val="single" w:sz="8" w:space="0" w:color="auto"/>
              <w:right w:val="single" w:sz="8" w:space="0" w:color="auto"/>
            </w:tcBorders>
            <w:shd w:val="clear" w:color="000000" w:fill="EAF1DD"/>
            <w:noWrap/>
            <w:vAlign w:val="center"/>
            <w:hideMark/>
          </w:tcPr>
          <w:p w:rsidR="000B6E30" w:rsidRDefault="000B6E30">
            <w:pPr>
              <w:jc w:val="center"/>
              <w:rPr>
                <w:rFonts w:ascii="Arial" w:hAnsi="Arial" w:cs="Arial"/>
                <w:b/>
                <w:bCs/>
                <w:color w:val="000000"/>
                <w:sz w:val="16"/>
                <w:szCs w:val="16"/>
              </w:rPr>
            </w:pPr>
            <w:r>
              <w:rPr>
                <w:rFonts w:ascii="Arial" w:hAnsi="Arial" w:cs="Arial"/>
                <w:b/>
                <w:bCs/>
                <w:color w:val="000000"/>
                <w:sz w:val="16"/>
                <w:szCs w:val="16"/>
              </w:rPr>
              <w:t>76 948 755</w:t>
            </w:r>
          </w:p>
        </w:tc>
        <w:tc>
          <w:tcPr>
            <w:tcW w:w="758" w:type="pct"/>
            <w:tcBorders>
              <w:top w:val="nil"/>
              <w:left w:val="nil"/>
              <w:bottom w:val="single" w:sz="8" w:space="0" w:color="auto"/>
              <w:right w:val="single" w:sz="8" w:space="0" w:color="auto"/>
            </w:tcBorders>
            <w:shd w:val="clear" w:color="000000" w:fill="EAF1DD"/>
            <w:noWrap/>
            <w:vAlign w:val="center"/>
            <w:hideMark/>
          </w:tcPr>
          <w:p w:rsidR="000B6E30" w:rsidRDefault="000B6E30">
            <w:pPr>
              <w:jc w:val="center"/>
              <w:rPr>
                <w:rFonts w:ascii="Arial" w:hAnsi="Arial" w:cs="Arial"/>
                <w:b/>
                <w:bCs/>
                <w:color w:val="000000"/>
                <w:sz w:val="16"/>
                <w:szCs w:val="16"/>
              </w:rPr>
            </w:pPr>
            <w:r>
              <w:rPr>
                <w:rFonts w:ascii="Arial" w:hAnsi="Arial" w:cs="Arial"/>
                <w:b/>
                <w:bCs/>
                <w:color w:val="000000"/>
                <w:sz w:val="16"/>
                <w:szCs w:val="16"/>
              </w:rPr>
              <w:t>55 962 888</w:t>
            </w:r>
          </w:p>
        </w:tc>
        <w:tc>
          <w:tcPr>
            <w:tcW w:w="874" w:type="pct"/>
            <w:tcBorders>
              <w:top w:val="nil"/>
              <w:left w:val="nil"/>
              <w:bottom w:val="single" w:sz="8" w:space="0" w:color="auto"/>
              <w:right w:val="single" w:sz="8" w:space="0" w:color="auto"/>
            </w:tcBorders>
            <w:shd w:val="clear" w:color="000000" w:fill="EAF1DD"/>
            <w:noWrap/>
            <w:vAlign w:val="center"/>
            <w:hideMark/>
          </w:tcPr>
          <w:p w:rsidR="000B6E30" w:rsidRDefault="000B6E30">
            <w:pPr>
              <w:jc w:val="center"/>
              <w:rPr>
                <w:rFonts w:ascii="Arial" w:hAnsi="Arial" w:cs="Arial"/>
                <w:b/>
                <w:bCs/>
                <w:color w:val="000000"/>
                <w:sz w:val="16"/>
                <w:szCs w:val="16"/>
              </w:rPr>
            </w:pPr>
            <w:r>
              <w:rPr>
                <w:rFonts w:ascii="Arial" w:hAnsi="Arial" w:cs="Arial"/>
                <w:b/>
                <w:bCs/>
                <w:color w:val="000000"/>
                <w:sz w:val="16"/>
                <w:szCs w:val="16"/>
              </w:rPr>
              <w:t>50 340 690</w:t>
            </w:r>
          </w:p>
        </w:tc>
        <w:tc>
          <w:tcPr>
            <w:tcW w:w="787" w:type="pct"/>
            <w:tcBorders>
              <w:top w:val="nil"/>
              <w:left w:val="nil"/>
              <w:bottom w:val="single" w:sz="8" w:space="0" w:color="auto"/>
              <w:right w:val="single" w:sz="8" w:space="0" w:color="auto"/>
            </w:tcBorders>
            <w:shd w:val="clear" w:color="000000" w:fill="EAF1DD"/>
            <w:noWrap/>
            <w:vAlign w:val="center"/>
            <w:hideMark/>
          </w:tcPr>
          <w:p w:rsidR="000B6E30" w:rsidRDefault="000B6E30">
            <w:pPr>
              <w:jc w:val="center"/>
              <w:rPr>
                <w:rFonts w:ascii="Arial" w:hAnsi="Arial" w:cs="Arial"/>
                <w:b/>
                <w:bCs/>
                <w:color w:val="000000"/>
                <w:sz w:val="16"/>
                <w:szCs w:val="16"/>
              </w:rPr>
            </w:pPr>
            <w:r>
              <w:rPr>
                <w:rFonts w:ascii="Arial" w:hAnsi="Arial" w:cs="Arial"/>
                <w:b/>
                <w:bCs/>
                <w:color w:val="000000"/>
                <w:sz w:val="16"/>
                <w:szCs w:val="16"/>
              </w:rPr>
              <w:t>2 661 389</w:t>
            </w:r>
          </w:p>
        </w:tc>
        <w:tc>
          <w:tcPr>
            <w:tcW w:w="878" w:type="pct"/>
            <w:tcBorders>
              <w:top w:val="nil"/>
              <w:left w:val="nil"/>
              <w:bottom w:val="single" w:sz="8" w:space="0" w:color="auto"/>
              <w:right w:val="single" w:sz="8" w:space="0" w:color="auto"/>
            </w:tcBorders>
            <w:shd w:val="clear" w:color="000000" w:fill="EAF1DD"/>
            <w:noWrap/>
            <w:vAlign w:val="center"/>
            <w:hideMark/>
          </w:tcPr>
          <w:p w:rsidR="000B6E30" w:rsidRDefault="000B6E30">
            <w:pPr>
              <w:jc w:val="center"/>
              <w:rPr>
                <w:rFonts w:ascii="Arial" w:hAnsi="Arial" w:cs="Arial"/>
                <w:b/>
                <w:bCs/>
                <w:color w:val="000000"/>
                <w:sz w:val="16"/>
                <w:szCs w:val="16"/>
              </w:rPr>
            </w:pPr>
            <w:r>
              <w:rPr>
                <w:rFonts w:ascii="Arial" w:hAnsi="Arial" w:cs="Arial"/>
                <w:b/>
                <w:bCs/>
                <w:color w:val="000000"/>
                <w:sz w:val="16"/>
                <w:szCs w:val="16"/>
              </w:rPr>
              <w:t>5 619 640</w:t>
            </w:r>
          </w:p>
        </w:tc>
      </w:tr>
    </w:tbl>
    <w:p w:rsidR="002416B1" w:rsidRPr="006A2BF3" w:rsidRDefault="00000CC9" w:rsidP="00205636">
      <w:pPr>
        <w:pStyle w:val="Zkladntextb"/>
        <w:spacing w:after="0" w:line="360" w:lineRule="auto"/>
        <w:ind w:left="0"/>
        <w:jc w:val="both"/>
        <w:rPr>
          <w:sz w:val="18"/>
          <w:szCs w:val="18"/>
          <w:lang w:val="sk-SK"/>
        </w:rPr>
      </w:pPr>
      <w:r>
        <w:rPr>
          <w:sz w:val="18"/>
          <w:szCs w:val="18"/>
          <w:lang w:val="sk-SK"/>
        </w:rPr>
        <w:t>Zdroj: RO, ITMS</w:t>
      </w:r>
    </w:p>
    <w:tbl>
      <w:tblPr>
        <w:tblW w:w="9371" w:type="dxa"/>
        <w:tblInd w:w="55" w:type="dxa"/>
        <w:tblCellMar>
          <w:left w:w="70" w:type="dxa"/>
          <w:right w:w="70" w:type="dxa"/>
        </w:tblCellMar>
        <w:tblLook w:val="04A0" w:firstRow="1" w:lastRow="0" w:firstColumn="1" w:lastColumn="0" w:noHBand="0" w:noVBand="1"/>
      </w:tblPr>
      <w:tblGrid>
        <w:gridCol w:w="9371"/>
      </w:tblGrid>
      <w:tr w:rsidR="002416B1" w:rsidRPr="006A2BF3" w:rsidTr="00FA2DAA">
        <w:trPr>
          <w:trHeight w:val="270"/>
        </w:trPr>
        <w:tc>
          <w:tcPr>
            <w:tcW w:w="9371" w:type="dxa"/>
            <w:noWrap/>
            <w:vAlign w:val="bottom"/>
          </w:tcPr>
          <w:p w:rsidR="002416B1" w:rsidRPr="00FA2DAA" w:rsidRDefault="002416B1" w:rsidP="00205636">
            <w:pPr>
              <w:rPr>
                <w:rFonts w:ascii="Arial" w:hAnsi="Arial" w:cs="Arial"/>
                <w:i/>
                <w:sz w:val="16"/>
                <w:szCs w:val="16"/>
              </w:rPr>
            </w:pPr>
            <w:r w:rsidRPr="00FA2DAA">
              <w:rPr>
                <w:rFonts w:ascii="Arial" w:hAnsi="Arial" w:cs="Arial"/>
                <w:i/>
                <w:sz w:val="16"/>
                <w:szCs w:val="16"/>
              </w:rPr>
              <w:t>1 Objem čerpaných prostriedkov NFP</w:t>
            </w:r>
          </w:p>
        </w:tc>
      </w:tr>
      <w:tr w:rsidR="002416B1" w:rsidRPr="006A2BF3" w:rsidTr="00FA2DAA">
        <w:trPr>
          <w:trHeight w:val="270"/>
        </w:trPr>
        <w:tc>
          <w:tcPr>
            <w:tcW w:w="9371" w:type="dxa"/>
            <w:noWrap/>
            <w:vAlign w:val="bottom"/>
          </w:tcPr>
          <w:p w:rsidR="002416B1" w:rsidRPr="00FA2DAA" w:rsidRDefault="002416B1" w:rsidP="00205636">
            <w:pPr>
              <w:rPr>
                <w:rFonts w:ascii="Arial" w:hAnsi="Arial" w:cs="Arial"/>
                <w:i/>
                <w:sz w:val="16"/>
                <w:szCs w:val="16"/>
              </w:rPr>
            </w:pPr>
            <w:r w:rsidRPr="00FA2DAA">
              <w:rPr>
                <w:rFonts w:ascii="Arial" w:hAnsi="Arial" w:cs="Arial"/>
                <w:i/>
                <w:sz w:val="16"/>
                <w:szCs w:val="16"/>
              </w:rPr>
              <w:t>2 počet vrátane - vyjadruje počet projektov, ktoré prispievajú k naplneniu oboch tém</w:t>
            </w:r>
          </w:p>
        </w:tc>
      </w:tr>
      <w:tr w:rsidR="00BB6984" w:rsidRPr="006A2BF3" w:rsidTr="00FA2DAA">
        <w:trPr>
          <w:trHeight w:val="270"/>
        </w:trPr>
        <w:tc>
          <w:tcPr>
            <w:tcW w:w="9371" w:type="dxa"/>
            <w:noWrap/>
            <w:vAlign w:val="bottom"/>
          </w:tcPr>
          <w:p w:rsidR="00BB6984" w:rsidRPr="006A2BF3" w:rsidRDefault="00BB6984" w:rsidP="00205636">
            <w:pPr>
              <w:rPr>
                <w:rFonts w:ascii="Arial" w:hAnsi="Arial" w:cs="Arial"/>
                <w:b/>
                <w:bCs/>
                <w:sz w:val="18"/>
                <w:szCs w:val="18"/>
                <w:vertAlign w:val="superscript"/>
              </w:rPr>
            </w:pPr>
            <w:r w:rsidRPr="000E6169">
              <w:rPr>
                <w:rFonts w:ascii="Arial" w:hAnsi="Arial" w:cs="Arial"/>
                <w:i/>
                <w:sz w:val="16"/>
                <w:szCs w:val="16"/>
              </w:rPr>
              <w:t>Údaje o zazmluvnených projektoch zahŕňajú projekty, ktoré mali k 31.12.201</w:t>
            </w:r>
            <w:r w:rsidR="0066393F">
              <w:rPr>
                <w:rFonts w:ascii="Arial" w:hAnsi="Arial" w:cs="Arial"/>
                <w:i/>
                <w:sz w:val="16"/>
                <w:szCs w:val="16"/>
              </w:rPr>
              <w:t>2</w:t>
            </w:r>
            <w:r w:rsidRPr="000E6169">
              <w:rPr>
                <w:rFonts w:ascii="Arial" w:hAnsi="Arial" w:cs="Arial"/>
                <w:i/>
                <w:sz w:val="16"/>
                <w:szCs w:val="16"/>
              </w:rPr>
              <w:t xml:space="preserve"> účinnú zmluvu o poskytnutí NFP a boli v realizácii alebo riadne ukončené. Údaje nezahŕňajú mimoriadne ukončené projekty.</w:t>
            </w:r>
          </w:p>
        </w:tc>
      </w:tr>
    </w:tbl>
    <w:p w:rsidR="002416B1" w:rsidRPr="004B33AE" w:rsidRDefault="002416B1" w:rsidP="00507035">
      <w:pPr>
        <w:pStyle w:val="Zkladntextb"/>
        <w:spacing w:before="120" w:after="120" w:line="360" w:lineRule="auto"/>
        <w:ind w:left="0"/>
        <w:jc w:val="both"/>
        <w:rPr>
          <w:sz w:val="18"/>
          <w:szCs w:val="18"/>
          <w:lang w:val="sk-SK"/>
        </w:rPr>
      </w:pPr>
    </w:p>
    <w:p w:rsidR="002416B1" w:rsidRPr="00BA1A4F" w:rsidRDefault="002416B1" w:rsidP="00507035">
      <w:pPr>
        <w:spacing w:before="120" w:after="120" w:line="360" w:lineRule="auto"/>
        <w:jc w:val="both"/>
        <w:rPr>
          <w:rFonts w:ascii="Arial" w:hAnsi="Arial" w:cs="Arial"/>
          <w:sz w:val="20"/>
          <w:szCs w:val="20"/>
        </w:rPr>
      </w:pPr>
      <w:r w:rsidRPr="000C481D">
        <w:rPr>
          <w:rFonts w:ascii="Arial" w:hAnsi="Arial" w:cs="Arial"/>
          <w:sz w:val="20"/>
          <w:szCs w:val="20"/>
        </w:rPr>
        <w:t>Zoznam schválených projektov s </w:t>
      </w:r>
      <w:r w:rsidRPr="00BA1A4F">
        <w:rPr>
          <w:rFonts w:ascii="Arial" w:hAnsi="Arial" w:cs="Arial"/>
          <w:sz w:val="20"/>
          <w:szCs w:val="20"/>
        </w:rPr>
        <w:t>objemom zazmluvnených prostriedkov k 31.12.201</w:t>
      </w:r>
      <w:r w:rsidR="0066393F" w:rsidRPr="007818E6">
        <w:rPr>
          <w:rFonts w:ascii="Arial" w:hAnsi="Arial" w:cs="Arial"/>
          <w:sz w:val="20"/>
          <w:szCs w:val="20"/>
        </w:rPr>
        <w:t>2</w:t>
      </w:r>
      <w:r w:rsidRPr="00BA1A4F">
        <w:rPr>
          <w:rFonts w:ascii="Arial" w:hAnsi="Arial" w:cs="Arial"/>
          <w:sz w:val="20"/>
          <w:szCs w:val="20"/>
        </w:rPr>
        <w:t xml:space="preserve"> je zverejnený na </w:t>
      </w:r>
      <w:r w:rsidR="00091E84" w:rsidRPr="00BA1A4F">
        <w:rPr>
          <w:rFonts w:ascii="Arial" w:hAnsi="Arial" w:cs="Arial"/>
          <w:sz w:val="20"/>
          <w:szCs w:val="20"/>
        </w:rPr>
        <w:t>webovom sídle</w:t>
      </w:r>
      <w:r w:rsidRPr="00BA1A4F">
        <w:rPr>
          <w:rFonts w:ascii="Arial" w:hAnsi="Arial" w:cs="Arial"/>
          <w:sz w:val="20"/>
          <w:szCs w:val="20"/>
        </w:rPr>
        <w:t xml:space="preserve"> </w:t>
      </w:r>
      <w:hyperlink r:id="rId55" w:history="1">
        <w:r w:rsidRPr="007818E6">
          <w:rPr>
            <w:rStyle w:val="Hypertextovprepojenie"/>
            <w:rFonts w:ascii="Arial" w:hAnsi="Arial" w:cs="Arial"/>
            <w:sz w:val="20"/>
            <w:szCs w:val="20"/>
          </w:rPr>
          <w:t>http://www.opzp.sk/projekty/zoz</w:t>
        </w:r>
        <w:r w:rsidRPr="00BA1A4F">
          <w:rPr>
            <w:rStyle w:val="Hypertextovprepojenie"/>
            <w:rFonts w:ascii="Arial" w:hAnsi="Arial" w:cs="Arial"/>
            <w:sz w:val="20"/>
            <w:szCs w:val="20"/>
          </w:rPr>
          <w:t>nam-prijimatelov/</w:t>
        </w:r>
      </w:hyperlink>
      <w:r w:rsidRPr="00BA1A4F">
        <w:rPr>
          <w:rFonts w:ascii="Arial" w:hAnsi="Arial" w:cs="Arial"/>
          <w:sz w:val="20"/>
          <w:szCs w:val="20"/>
        </w:rPr>
        <w:t xml:space="preserve"> </w:t>
      </w:r>
      <w:r w:rsidR="007D7EAE" w:rsidRPr="007818E6">
        <w:rPr>
          <w:rFonts w:ascii="Arial" w:hAnsi="Arial" w:cs="Arial"/>
          <w:sz w:val="20"/>
          <w:szCs w:val="20"/>
        </w:rPr>
        <w:t xml:space="preserve">a taktiež </w:t>
      </w:r>
      <w:r w:rsidR="006435AC" w:rsidRPr="00BA1A4F">
        <w:rPr>
          <w:rFonts w:ascii="Arial" w:hAnsi="Arial" w:cs="Arial"/>
          <w:sz w:val="20"/>
          <w:szCs w:val="20"/>
        </w:rPr>
        <w:t xml:space="preserve">je </w:t>
      </w:r>
      <w:r w:rsidR="007D7EAE" w:rsidRPr="00BA1A4F">
        <w:rPr>
          <w:rFonts w:ascii="Arial" w:hAnsi="Arial" w:cs="Arial"/>
          <w:sz w:val="20"/>
          <w:szCs w:val="20"/>
        </w:rPr>
        <w:t>zoznam schválených projektov s uvedením stavu k 31.12.201</w:t>
      </w:r>
      <w:r w:rsidR="0066393F" w:rsidRPr="00BA1A4F">
        <w:rPr>
          <w:rFonts w:ascii="Arial" w:hAnsi="Arial" w:cs="Arial"/>
          <w:sz w:val="20"/>
          <w:szCs w:val="20"/>
        </w:rPr>
        <w:t>2</w:t>
      </w:r>
      <w:r w:rsidR="007D7EAE" w:rsidRPr="00BA1A4F">
        <w:rPr>
          <w:rFonts w:ascii="Arial" w:hAnsi="Arial" w:cs="Arial"/>
          <w:sz w:val="20"/>
          <w:szCs w:val="20"/>
        </w:rPr>
        <w:t xml:space="preserve"> j súčasťou Prílohy č. 9 výročnej správy.</w:t>
      </w:r>
    </w:p>
    <w:p w:rsidR="002416B1" w:rsidRPr="00BA1A4F" w:rsidRDefault="002416B1" w:rsidP="00507035">
      <w:pPr>
        <w:pStyle w:val="Zkladntextb"/>
        <w:spacing w:before="120" w:after="120" w:line="360" w:lineRule="auto"/>
        <w:ind w:left="0"/>
        <w:jc w:val="both"/>
        <w:rPr>
          <w:lang w:val="sk-SK"/>
        </w:rPr>
      </w:pPr>
      <w:r w:rsidRPr="00BA1A4F">
        <w:rPr>
          <w:lang w:val="sk-SK"/>
        </w:rPr>
        <w:t xml:space="preserve">Najčastejšie dôvody neschválenia žiadostí o NFP v rámci Prioritnej osi 5 sú podrobnejšie uvedené kapitole 2.1.1 správy, v časti Dôvody neschválenia a vylúčenia žiadostí o NFP a vykonané opatrenia na predchádzanie pred opakovaním identifikovaných nedostatkov. </w:t>
      </w:r>
    </w:p>
    <w:p w:rsidR="002416B1" w:rsidRPr="00BA1A4F" w:rsidRDefault="002416B1" w:rsidP="00507035">
      <w:pPr>
        <w:pStyle w:val="Zkladntextb"/>
        <w:spacing w:before="120" w:after="120"/>
        <w:ind w:left="0"/>
        <w:rPr>
          <w:b/>
          <w:lang w:val="sk-SK"/>
        </w:rPr>
      </w:pPr>
      <w:r w:rsidRPr="00BA1A4F">
        <w:rPr>
          <w:b/>
          <w:lang w:val="sk-SK"/>
        </w:rPr>
        <w:t>Plnenie fyzických ukazovateľov</w:t>
      </w:r>
    </w:p>
    <w:p w:rsidR="002416B1" w:rsidRPr="004B33AE" w:rsidRDefault="002416B1" w:rsidP="00507035">
      <w:pPr>
        <w:pStyle w:val="Zkladntextb"/>
        <w:spacing w:before="120" w:after="120" w:line="360" w:lineRule="auto"/>
        <w:ind w:left="0"/>
        <w:jc w:val="both"/>
        <w:rPr>
          <w:rFonts w:cs="Arial"/>
          <w:lang w:val="sk-SK" w:eastAsia="cs-CZ"/>
        </w:rPr>
      </w:pPr>
      <w:r w:rsidRPr="00BA1A4F">
        <w:rPr>
          <w:rFonts w:cs="Arial"/>
          <w:lang w:val="sk-SK" w:eastAsia="cs-CZ"/>
        </w:rPr>
        <w:t xml:space="preserve">Plnenie ukazovateľov za Prioritnú os 5 je uvedené v Prílohe č. 2 správy. </w:t>
      </w:r>
      <w:bookmarkStart w:id="96" w:name="OLE_LINK54"/>
      <w:bookmarkStart w:id="97" w:name="OLE_LINK55"/>
      <w:r w:rsidR="00D93B85" w:rsidRPr="00BA1A4F">
        <w:rPr>
          <w:rFonts w:cs="Arial"/>
          <w:lang w:val="sk-SK" w:eastAsia="cs-CZ"/>
        </w:rPr>
        <w:t xml:space="preserve">Zoznam </w:t>
      </w:r>
      <w:r w:rsidR="008F2A89" w:rsidRPr="00BA1A4F">
        <w:rPr>
          <w:rFonts w:cs="Arial"/>
          <w:lang w:val="sk-SK" w:eastAsia="cs-CZ"/>
        </w:rPr>
        <w:t>CORE</w:t>
      </w:r>
      <w:r w:rsidR="00D93B85" w:rsidRPr="00BA1A4F">
        <w:rPr>
          <w:rFonts w:cs="Arial"/>
          <w:lang w:val="sk-SK" w:eastAsia="cs-CZ"/>
        </w:rPr>
        <w:t xml:space="preserve"> ukazovateľov reportovaných EK prostredníctvom SFC2007 v rámci Výročnej správy o vykonávaní OP ŽP za rok 201</w:t>
      </w:r>
      <w:r w:rsidR="0066393F" w:rsidRPr="00BA1A4F">
        <w:rPr>
          <w:rFonts w:cs="Arial"/>
          <w:lang w:val="sk-SK" w:eastAsia="cs-CZ"/>
        </w:rPr>
        <w:t>2</w:t>
      </w:r>
      <w:r w:rsidR="00D93B85" w:rsidRPr="00BA1A4F">
        <w:rPr>
          <w:rFonts w:cs="Arial"/>
          <w:lang w:val="sk-SK" w:eastAsia="cs-CZ"/>
        </w:rPr>
        <w:t xml:space="preserve"> je súčasťou Prílohy č. 11. </w:t>
      </w:r>
      <w:r w:rsidRPr="00BA1A4F">
        <w:rPr>
          <w:rFonts w:cs="Arial"/>
          <w:lang w:val="sk-SK" w:eastAsia="cs-CZ"/>
        </w:rPr>
        <w:t>V roku 201</w:t>
      </w:r>
      <w:r w:rsidR="0066393F" w:rsidRPr="00BA1A4F">
        <w:rPr>
          <w:rFonts w:cs="Arial"/>
          <w:lang w:val="sk-SK" w:eastAsia="cs-CZ"/>
        </w:rPr>
        <w:t>2</w:t>
      </w:r>
      <w:r w:rsidRPr="00BA1A4F">
        <w:rPr>
          <w:rFonts w:cs="Arial"/>
          <w:lang w:val="sk-SK" w:eastAsia="cs-CZ"/>
        </w:rPr>
        <w:t xml:space="preserve"> riadiaci orgán obdržal</w:t>
      </w:r>
      <w:r w:rsidRPr="00B42DF2">
        <w:rPr>
          <w:rFonts w:cs="Arial"/>
          <w:lang w:val="sk-SK" w:eastAsia="cs-CZ"/>
        </w:rPr>
        <w:t xml:space="preserve"> od prijímateľov </w:t>
      </w:r>
      <w:r w:rsidR="00B42DF2" w:rsidRPr="0039268C">
        <w:rPr>
          <w:rFonts w:cs="Arial"/>
          <w:lang w:val="sk-SK" w:eastAsia="cs-CZ"/>
        </w:rPr>
        <w:t xml:space="preserve">58 </w:t>
      </w:r>
      <w:r w:rsidRPr="00B42DF2">
        <w:rPr>
          <w:rFonts w:cs="Arial"/>
          <w:lang w:val="sk-SK" w:eastAsia="cs-CZ"/>
        </w:rPr>
        <w:t xml:space="preserve">monitorovacích správ projektu, z toho </w:t>
      </w:r>
      <w:r w:rsidR="00B42DF2" w:rsidRPr="0039268C">
        <w:rPr>
          <w:rFonts w:cs="Arial"/>
          <w:lang w:val="sk-SK" w:eastAsia="cs-CZ"/>
        </w:rPr>
        <w:t xml:space="preserve">50 </w:t>
      </w:r>
      <w:r w:rsidRPr="00B42DF2">
        <w:rPr>
          <w:rFonts w:cs="Arial"/>
          <w:lang w:val="sk-SK" w:eastAsia="cs-CZ"/>
        </w:rPr>
        <w:t>priebežných, </w:t>
      </w:r>
      <w:r w:rsidR="00B42DF2" w:rsidRPr="0039268C">
        <w:rPr>
          <w:rFonts w:cs="Arial"/>
          <w:lang w:val="sk-SK" w:eastAsia="cs-CZ"/>
        </w:rPr>
        <w:t xml:space="preserve">7 </w:t>
      </w:r>
      <w:r w:rsidR="00B42DF2" w:rsidRPr="00B42DF2">
        <w:rPr>
          <w:rFonts w:cs="Arial"/>
          <w:lang w:val="sk-SK" w:eastAsia="cs-CZ"/>
        </w:rPr>
        <w:t xml:space="preserve">záverečných </w:t>
      </w:r>
      <w:r w:rsidRPr="00B42DF2">
        <w:rPr>
          <w:rFonts w:cs="Arial"/>
          <w:lang w:val="sk-SK" w:eastAsia="cs-CZ"/>
        </w:rPr>
        <w:t>a jednu následnú, na základe ktorých bolo vyhodnotené plnenie ukazovateľov</w:t>
      </w:r>
      <w:bookmarkEnd w:id="96"/>
      <w:bookmarkEnd w:id="97"/>
      <w:r w:rsidRPr="00B42DF2">
        <w:rPr>
          <w:rFonts w:cs="Arial"/>
          <w:lang w:val="sk-SK" w:eastAsia="cs-CZ"/>
        </w:rPr>
        <w:t>, a to nasledujúcim spôsobom.</w:t>
      </w:r>
      <w:r w:rsidRPr="004B33AE">
        <w:rPr>
          <w:rFonts w:cs="Arial"/>
          <w:lang w:val="sk-SK" w:eastAsia="cs-CZ"/>
        </w:rPr>
        <w:t xml:space="preserve"> Ku koncu roka 201</w:t>
      </w:r>
      <w:r w:rsidR="0066393F">
        <w:rPr>
          <w:rFonts w:cs="Arial"/>
          <w:lang w:val="sk-SK" w:eastAsia="cs-CZ"/>
        </w:rPr>
        <w:t>2</w:t>
      </w:r>
      <w:r w:rsidRPr="004B33AE">
        <w:rPr>
          <w:rFonts w:cs="Arial"/>
          <w:lang w:val="sk-SK" w:eastAsia="cs-CZ"/>
        </w:rPr>
        <w:t xml:space="preserve"> bolo zrealizovaných </w:t>
      </w:r>
      <w:r w:rsidR="0066393F">
        <w:rPr>
          <w:rFonts w:cs="Arial"/>
          <w:lang w:val="sk-SK" w:eastAsia="cs-CZ"/>
        </w:rPr>
        <w:t>311</w:t>
      </w:r>
      <w:r w:rsidR="0066393F" w:rsidRPr="004B33AE">
        <w:rPr>
          <w:rFonts w:cs="Arial"/>
          <w:lang w:val="sk-SK" w:eastAsia="cs-CZ"/>
        </w:rPr>
        <w:t xml:space="preserve"> </w:t>
      </w:r>
      <w:r w:rsidRPr="004B33AE">
        <w:rPr>
          <w:rFonts w:cs="Arial"/>
          <w:lang w:val="sk-SK" w:eastAsia="cs-CZ"/>
        </w:rPr>
        <w:t>podujatí zameraných na zvýšenie informovanosti, propagáciu, výchovu k ochrane prírody a</w:t>
      </w:r>
      <w:r w:rsidR="0066393F">
        <w:rPr>
          <w:rFonts w:cs="Arial"/>
          <w:lang w:val="sk-SK" w:eastAsia="cs-CZ"/>
        </w:rPr>
        <w:t> </w:t>
      </w:r>
      <w:r w:rsidRPr="004B33AE">
        <w:rPr>
          <w:rFonts w:cs="Arial"/>
          <w:lang w:val="sk-SK" w:eastAsia="cs-CZ"/>
        </w:rPr>
        <w:t>vzdelávanie</w:t>
      </w:r>
      <w:r w:rsidR="0066393F">
        <w:rPr>
          <w:rFonts w:cs="Arial"/>
          <w:lang w:val="sk-SK" w:eastAsia="cs-CZ"/>
        </w:rPr>
        <w:t xml:space="preserve">, </w:t>
      </w:r>
      <w:r w:rsidRPr="004B33AE">
        <w:rPr>
          <w:rFonts w:cs="Arial"/>
          <w:lang w:val="sk-SK" w:eastAsia="cs-CZ"/>
        </w:rPr>
        <w:t>bol</w:t>
      </w:r>
      <w:r w:rsidR="0066393F">
        <w:rPr>
          <w:rFonts w:cs="Arial"/>
          <w:lang w:val="sk-SK" w:eastAsia="cs-CZ"/>
        </w:rPr>
        <w:t>o</w:t>
      </w:r>
      <w:r w:rsidRPr="004B33AE">
        <w:rPr>
          <w:rFonts w:cs="Arial"/>
          <w:lang w:val="sk-SK" w:eastAsia="cs-CZ"/>
        </w:rPr>
        <w:t xml:space="preserve"> dobudovan</w:t>
      </w:r>
      <w:r>
        <w:rPr>
          <w:rFonts w:cs="Arial"/>
          <w:lang w:val="sk-SK" w:eastAsia="cs-CZ"/>
        </w:rPr>
        <w:t>ých</w:t>
      </w:r>
      <w:r w:rsidRPr="004B33AE">
        <w:rPr>
          <w:rFonts w:cs="Arial"/>
          <w:lang w:val="sk-SK" w:eastAsia="cs-CZ"/>
        </w:rPr>
        <w:t>/zrekonštruovan</w:t>
      </w:r>
      <w:r>
        <w:rPr>
          <w:rFonts w:cs="Arial"/>
          <w:lang w:val="sk-SK" w:eastAsia="cs-CZ"/>
        </w:rPr>
        <w:t>ých</w:t>
      </w:r>
      <w:r w:rsidRPr="004B33AE">
        <w:rPr>
          <w:rFonts w:cs="Arial"/>
          <w:lang w:val="sk-SK" w:eastAsia="cs-CZ"/>
        </w:rPr>
        <w:t xml:space="preserve"> </w:t>
      </w:r>
      <w:r w:rsidR="0066393F">
        <w:rPr>
          <w:rFonts w:cs="Arial"/>
          <w:lang w:val="sk-SK" w:eastAsia="cs-CZ"/>
        </w:rPr>
        <w:t>19</w:t>
      </w:r>
      <w:r w:rsidR="0066393F" w:rsidRPr="004B33AE">
        <w:rPr>
          <w:rFonts w:cs="Arial"/>
          <w:lang w:val="sk-SK" w:eastAsia="cs-CZ"/>
        </w:rPr>
        <w:t xml:space="preserve"> </w:t>
      </w:r>
      <w:r w:rsidRPr="004B33AE">
        <w:rPr>
          <w:rFonts w:cs="Arial"/>
          <w:lang w:val="sk-SK" w:eastAsia="cs-CZ"/>
        </w:rPr>
        <w:t>zariaden</w:t>
      </w:r>
      <w:r>
        <w:rPr>
          <w:rFonts w:cs="Arial"/>
          <w:lang w:val="sk-SK" w:eastAsia="cs-CZ"/>
        </w:rPr>
        <w:t>í</w:t>
      </w:r>
      <w:r w:rsidRPr="004B33AE">
        <w:rPr>
          <w:rFonts w:cs="Arial"/>
          <w:lang w:val="sk-SK" w:eastAsia="cs-CZ"/>
        </w:rPr>
        <w:t xml:space="preserve"> pre účely ochrany prírody a krajiny na </w:t>
      </w:r>
      <w:r w:rsidR="0066393F">
        <w:rPr>
          <w:rFonts w:cs="Arial"/>
          <w:lang w:val="sk-SK" w:eastAsia="cs-CZ"/>
        </w:rPr>
        <w:t>4,35</w:t>
      </w:r>
      <w:r w:rsidRPr="004B33AE">
        <w:rPr>
          <w:rFonts w:cs="Arial"/>
          <w:lang w:val="sk-SK" w:eastAsia="cs-CZ"/>
        </w:rPr>
        <w:t>%-tách plochy z celkového počtu chránených území, pre ktoré boli vybudované alebo zrekonštruované zariadenia.</w:t>
      </w:r>
    </w:p>
    <w:p w:rsidR="002416B1" w:rsidRPr="004B33AE" w:rsidRDefault="008F2A89" w:rsidP="00507035">
      <w:pPr>
        <w:pStyle w:val="Zkladntextb"/>
        <w:spacing w:before="120" w:after="120" w:line="360" w:lineRule="auto"/>
        <w:ind w:left="0"/>
        <w:jc w:val="both"/>
        <w:rPr>
          <w:lang w:val="sk-SK"/>
        </w:rPr>
      </w:pPr>
      <w:r>
        <w:rPr>
          <w:lang w:val="sk-SK"/>
        </w:rPr>
        <w:t>CORE</w:t>
      </w:r>
      <w:r w:rsidR="002416B1" w:rsidRPr="004B33AE">
        <w:rPr>
          <w:lang w:val="sk-SK"/>
        </w:rPr>
        <w:t xml:space="preserve"> ukazovateľ Počet novovytvorených pracovných miest vykazuje k 31.12.201</w:t>
      </w:r>
      <w:r w:rsidR="0066393F">
        <w:rPr>
          <w:lang w:val="sk-SK"/>
        </w:rPr>
        <w:t>2</w:t>
      </w:r>
      <w:r w:rsidR="002416B1" w:rsidRPr="004B33AE">
        <w:rPr>
          <w:lang w:val="sk-SK"/>
        </w:rPr>
        <w:t xml:space="preserve"> hodnotu 0</w:t>
      </w:r>
      <w:r w:rsidR="002416B1">
        <w:rPr>
          <w:lang w:val="sk-SK"/>
        </w:rPr>
        <w:t>.</w:t>
      </w:r>
    </w:p>
    <w:p w:rsidR="002416B1" w:rsidRPr="004B33AE" w:rsidRDefault="002416B1" w:rsidP="00507035">
      <w:pPr>
        <w:pStyle w:val="Zkladntextb"/>
        <w:spacing w:before="120" w:after="120" w:line="360" w:lineRule="auto"/>
        <w:ind w:left="0"/>
        <w:jc w:val="both"/>
        <w:rPr>
          <w:rFonts w:cs="Arial"/>
          <w:lang w:val="sk-SK" w:eastAsia="cs-CZ"/>
        </w:rPr>
      </w:pPr>
      <w:r w:rsidRPr="004B33AE">
        <w:rPr>
          <w:rFonts w:cs="Arial"/>
          <w:lang w:val="sk-SK" w:eastAsia="cs-CZ"/>
        </w:rPr>
        <w:t xml:space="preserve">Napĺňanie relevantných fyzických ukazovateľov vypovedá o príspevku projektov k napĺňaniu jednotlivých cieľov prioritnej osi, medzi ktoré patrí najmä dobudovanie sústavy chránených území NATURA 2000 a infraštruktúry ochrany prírody SR v zmysle právnych predpisov EÚ. Realizácia projektov financovaných v rámci operačných cieľov 5.1, 5.2 a 5.3 prispeje teda k zabezpečeniu plnenia právnych predpisov EÚ, z ktorých vychádza budovanie sústavy NATURA 2000, a to: smernice Rady </w:t>
      </w:r>
      <w:r w:rsidRPr="004B33AE">
        <w:rPr>
          <w:rFonts w:cs="Arial"/>
          <w:bCs/>
          <w:lang w:val="sk-SK" w:eastAsia="cs-CZ"/>
        </w:rPr>
        <w:t>2009/147/ES</w:t>
      </w:r>
      <w:r w:rsidRPr="004B33AE">
        <w:rPr>
          <w:rFonts w:cs="Arial"/>
          <w:lang w:val="sk-SK" w:eastAsia="cs-CZ"/>
        </w:rPr>
        <w:t xml:space="preserve"> z 2. apríla 1979 o ochrane voľne žijúceho vtáctva v platnom znení, smernice Rady 1992/43/EHS z 21. mája 1992 o ochrane prirodzených biotopov a voľne žijúcich živočíchov v platnom znení a smernice Rady 1999/ES z 29. marca 1999 o chove voľne žijúcich živočíchov v zoologických záhradách. </w:t>
      </w:r>
    </w:p>
    <w:p w:rsidR="002416B1" w:rsidRPr="004B33AE" w:rsidRDefault="002416B1" w:rsidP="00507035">
      <w:pPr>
        <w:pStyle w:val="Zkladntextb"/>
        <w:spacing w:before="120" w:after="120" w:line="360" w:lineRule="auto"/>
        <w:ind w:left="0"/>
        <w:jc w:val="both"/>
        <w:rPr>
          <w:lang w:val="sk-SK"/>
        </w:rPr>
      </w:pPr>
      <w:r w:rsidRPr="004B33AE">
        <w:rPr>
          <w:lang w:val="sk-SK"/>
        </w:rPr>
        <w:t xml:space="preserve">Plnenie stanovených ukazovateľov ovplyvňuje samotný stav projektu (schválený/zazmluvnený/v realizácii), ako aj čerpanie oprávnených výdavkov projektu. Na základe tejto skutočnosti možno teda predpokladať neustále zvyšovanie hodnôt jednotlivých ukazovateľov, a tým napĺňanie relevantných cieľov prioritnej osi. Deklarované </w:t>
      </w:r>
      <w:r w:rsidRPr="004B33AE">
        <w:rPr>
          <w:rFonts w:cs="Arial"/>
          <w:lang w:val="sk-SK"/>
        </w:rPr>
        <w:t>cieľové hodnoty projektov v zmysle uzatvorených zmlúv o</w:t>
      </w:r>
      <w:r w:rsidR="0065734F">
        <w:rPr>
          <w:rFonts w:cs="Arial"/>
          <w:lang w:val="sk-SK"/>
        </w:rPr>
        <w:t xml:space="preserve"> poskytnutí</w:t>
      </w:r>
      <w:r w:rsidRPr="004B33AE">
        <w:rPr>
          <w:rFonts w:cs="Arial"/>
          <w:lang w:val="sk-SK"/>
        </w:rPr>
        <w:t xml:space="preserve"> NFP k 31.12.201</w:t>
      </w:r>
      <w:r w:rsidR="004F7356">
        <w:rPr>
          <w:rFonts w:cs="Arial"/>
          <w:lang w:val="sk-SK"/>
        </w:rPr>
        <w:t>2</w:t>
      </w:r>
      <w:r w:rsidRPr="004B33AE">
        <w:rPr>
          <w:rFonts w:cs="Arial"/>
          <w:lang w:val="sk-SK"/>
        </w:rPr>
        <w:t xml:space="preserve"> sú uvedené v Prílohe č. 2 výročnej správy.</w:t>
      </w:r>
    </w:p>
    <w:p w:rsidR="002416B1" w:rsidRPr="004B33AE" w:rsidRDefault="002416B1" w:rsidP="00507035">
      <w:pPr>
        <w:pStyle w:val="Nadpis8"/>
        <w:spacing w:before="120" w:after="120"/>
        <w:rPr>
          <w:rFonts w:ascii="Arial" w:hAnsi="Arial" w:cs="Arial"/>
          <w:b/>
          <w:sz w:val="22"/>
          <w:szCs w:val="22"/>
        </w:rPr>
      </w:pPr>
      <w:r w:rsidRPr="004B33AE">
        <w:rPr>
          <w:rFonts w:ascii="Arial" w:hAnsi="Arial" w:cs="Arial"/>
          <w:b/>
          <w:sz w:val="22"/>
          <w:szCs w:val="22"/>
        </w:rPr>
        <w:t>3.5.1.2 Finančná implementácia v rámci prioritnej osi 5</w:t>
      </w:r>
    </w:p>
    <w:p w:rsidR="002416B1" w:rsidRDefault="002416B1" w:rsidP="00507035">
      <w:pPr>
        <w:pStyle w:val="Zkladntextb"/>
        <w:spacing w:before="120" w:after="120" w:line="360" w:lineRule="auto"/>
        <w:ind w:left="0"/>
        <w:jc w:val="both"/>
        <w:rPr>
          <w:lang w:val="sk-SK"/>
        </w:rPr>
      </w:pPr>
      <w:r w:rsidRPr="004B33AE">
        <w:rPr>
          <w:lang w:val="sk-SK"/>
        </w:rPr>
        <w:t>K 31.12.201</w:t>
      </w:r>
      <w:r w:rsidR="00061E3D">
        <w:rPr>
          <w:lang w:val="sk-SK"/>
        </w:rPr>
        <w:t>2</w:t>
      </w:r>
      <w:r w:rsidRPr="004B33AE">
        <w:rPr>
          <w:lang w:val="sk-SK"/>
        </w:rPr>
        <w:t xml:space="preserve"> bolo vyčerpaných vyše </w:t>
      </w:r>
      <w:r w:rsidR="00061E3D">
        <w:rPr>
          <w:lang w:val="sk-SK"/>
        </w:rPr>
        <w:t>9,8</w:t>
      </w:r>
      <w:r w:rsidRPr="004B33AE">
        <w:rPr>
          <w:lang w:val="sk-SK"/>
        </w:rPr>
        <w:t xml:space="preserve"> miliónov EUR, čo predstavuje </w:t>
      </w:r>
      <w:r w:rsidR="00061E3D">
        <w:rPr>
          <w:lang w:val="sk-SK"/>
        </w:rPr>
        <w:t>19,47</w:t>
      </w:r>
      <w:r w:rsidR="0065734F">
        <w:rPr>
          <w:lang w:val="sk-SK"/>
        </w:rPr>
        <w:t xml:space="preserve"> </w:t>
      </w:r>
      <w:r w:rsidRPr="004B33AE">
        <w:rPr>
          <w:lang w:val="sk-SK"/>
        </w:rPr>
        <w:t>% zo záväzku na prioritnú os na celé programové obdobie.</w:t>
      </w:r>
    </w:p>
    <w:p w:rsidR="002416B1" w:rsidRPr="004B33AE" w:rsidRDefault="002416B1" w:rsidP="00205636">
      <w:pPr>
        <w:pStyle w:val="Zkladntextb"/>
        <w:spacing w:after="0" w:line="360" w:lineRule="auto"/>
        <w:ind w:left="0"/>
        <w:jc w:val="both"/>
        <w:rPr>
          <w:rFonts w:cs="Arial"/>
          <w:lang w:val="sk-SK"/>
        </w:rPr>
      </w:pPr>
      <w:r w:rsidRPr="004B33AE">
        <w:rPr>
          <w:rFonts w:cs="Arial"/>
        </w:rPr>
        <w:t xml:space="preserve">Tab. č. </w:t>
      </w:r>
      <w:r w:rsidR="00254D6C">
        <w:rPr>
          <w:rFonts w:cs="Arial"/>
        </w:rPr>
        <w:t>56</w:t>
      </w:r>
      <w:r w:rsidRPr="004B33AE">
        <w:rPr>
          <w:rFonts w:cs="Arial"/>
        </w:rPr>
        <w:t xml:space="preserve">: </w:t>
      </w:r>
      <w:r w:rsidRPr="00E072F7">
        <w:rPr>
          <w:rFonts w:cs="Arial"/>
          <w:lang w:val="sk-SK"/>
        </w:rPr>
        <w:t>Čerpanie prostriedkov prioritnej osi</w:t>
      </w:r>
      <w:r w:rsidRPr="004B33AE">
        <w:rPr>
          <w:rFonts w:cs="Arial"/>
        </w:rPr>
        <w:t xml:space="preserve"> 5 k 31.12.201</w:t>
      </w:r>
      <w:r w:rsidR="00061E3D">
        <w:rPr>
          <w:rFonts w:cs="Arial"/>
        </w:rPr>
        <w:t>2</w:t>
      </w:r>
    </w:p>
    <w:tbl>
      <w:tblPr>
        <w:tblW w:w="9141" w:type="dxa"/>
        <w:jc w:val="center"/>
        <w:tblLayout w:type="fixed"/>
        <w:tblCellMar>
          <w:left w:w="70" w:type="dxa"/>
          <w:right w:w="70" w:type="dxa"/>
        </w:tblCellMar>
        <w:tblLook w:val="0000" w:firstRow="0" w:lastRow="0" w:firstColumn="0" w:lastColumn="0" w:noHBand="0" w:noVBand="0"/>
      </w:tblPr>
      <w:tblGrid>
        <w:gridCol w:w="1440"/>
        <w:gridCol w:w="1724"/>
        <w:gridCol w:w="1440"/>
        <w:gridCol w:w="1557"/>
        <w:gridCol w:w="1392"/>
        <w:gridCol w:w="1588"/>
      </w:tblGrid>
      <w:tr w:rsidR="00061E3D" w:rsidRPr="007F5BD7" w:rsidTr="006A551B">
        <w:trPr>
          <w:trHeight w:val="585"/>
          <w:jc w:val="center"/>
        </w:trPr>
        <w:tc>
          <w:tcPr>
            <w:tcW w:w="1440" w:type="dxa"/>
            <w:vMerge w:val="restart"/>
            <w:tcBorders>
              <w:top w:val="single" w:sz="8" w:space="0" w:color="auto"/>
              <w:left w:val="single" w:sz="8" w:space="0" w:color="auto"/>
              <w:bottom w:val="single" w:sz="4" w:space="0" w:color="auto"/>
              <w:right w:val="single" w:sz="4" w:space="0" w:color="auto"/>
            </w:tcBorders>
            <w:shd w:val="clear" w:color="auto" w:fill="auto"/>
            <w:noWrap/>
            <w:vAlign w:val="center"/>
          </w:tcPr>
          <w:p w:rsidR="00061E3D" w:rsidRPr="007F5BD7" w:rsidRDefault="00061E3D" w:rsidP="00205636">
            <w:pPr>
              <w:jc w:val="both"/>
              <w:rPr>
                <w:rFonts w:ascii="Arial" w:hAnsi="Arial" w:cs="Arial"/>
                <w:sz w:val="18"/>
                <w:szCs w:val="18"/>
              </w:rPr>
            </w:pPr>
            <w:bookmarkStart w:id="98" w:name="OLE_LINK29"/>
            <w:bookmarkStart w:id="99" w:name="OLE_LINK30"/>
            <w:r w:rsidRPr="007F5BD7">
              <w:rPr>
                <w:rFonts w:ascii="Arial" w:hAnsi="Arial" w:cs="Arial"/>
                <w:sz w:val="18"/>
                <w:szCs w:val="18"/>
              </w:rPr>
              <w:t> </w:t>
            </w:r>
          </w:p>
        </w:tc>
        <w:tc>
          <w:tcPr>
            <w:tcW w:w="1724" w:type="dxa"/>
            <w:vMerge w:val="restart"/>
            <w:tcBorders>
              <w:top w:val="single" w:sz="8" w:space="0" w:color="auto"/>
              <w:left w:val="single" w:sz="4" w:space="0" w:color="auto"/>
              <w:bottom w:val="single" w:sz="4" w:space="0" w:color="auto"/>
              <w:right w:val="single" w:sz="4" w:space="0" w:color="auto"/>
            </w:tcBorders>
            <w:shd w:val="clear" w:color="auto" w:fill="D6E3BC"/>
            <w:vAlign w:val="center"/>
          </w:tcPr>
          <w:p w:rsidR="00061E3D" w:rsidRPr="007F5BD7" w:rsidRDefault="00061E3D" w:rsidP="00205636">
            <w:pPr>
              <w:jc w:val="center"/>
              <w:rPr>
                <w:rFonts w:ascii="Arial" w:hAnsi="Arial" w:cs="Arial"/>
                <w:sz w:val="18"/>
                <w:szCs w:val="18"/>
              </w:rPr>
            </w:pPr>
            <w:r w:rsidRPr="007F5BD7">
              <w:rPr>
                <w:rFonts w:ascii="Arial" w:eastAsia="EUAlbertina-Regular-Identity-H" w:hAnsi="Arial" w:cs="Arial"/>
                <w:sz w:val="18"/>
                <w:szCs w:val="18"/>
              </w:rPr>
              <w:t xml:space="preserve">Záväzok </w:t>
            </w:r>
            <w:r w:rsidRPr="007F5BD7">
              <w:rPr>
                <w:rFonts w:ascii="Arial" w:eastAsia="EUAlbertina-Regular-Identity-H" w:hAnsi="Arial" w:cs="Arial"/>
                <w:sz w:val="18"/>
                <w:szCs w:val="18"/>
              </w:rPr>
              <w:br/>
              <w:t>2007-2013</w:t>
            </w:r>
            <w:r w:rsidRPr="007F5BD7">
              <w:rPr>
                <w:rFonts w:ascii="Arial" w:eastAsia="EUAlbertina-Regular-Identity-H" w:hAnsi="Arial" w:cs="Arial"/>
                <w:sz w:val="18"/>
                <w:szCs w:val="18"/>
              </w:rPr>
              <w:br/>
              <w:t xml:space="preserve"> za EÚ zdroje</w:t>
            </w:r>
            <w:r w:rsidRPr="007F5BD7">
              <w:rPr>
                <w:rFonts w:ascii="Arial" w:eastAsia="EUAlbertina-Regular-Identity-H" w:hAnsi="Arial" w:cs="Arial"/>
                <w:sz w:val="18"/>
                <w:szCs w:val="18"/>
              </w:rPr>
              <w:br/>
            </w:r>
            <w:r w:rsidRPr="007F5BD7">
              <w:rPr>
                <w:rFonts w:ascii="Arial" w:hAnsi="Arial" w:cs="Arial"/>
                <w:sz w:val="18"/>
                <w:szCs w:val="18"/>
              </w:rPr>
              <w:t>v €</w:t>
            </w:r>
          </w:p>
        </w:tc>
        <w:tc>
          <w:tcPr>
            <w:tcW w:w="2997" w:type="dxa"/>
            <w:gridSpan w:val="2"/>
            <w:tcBorders>
              <w:top w:val="single" w:sz="8" w:space="0" w:color="auto"/>
              <w:left w:val="nil"/>
              <w:bottom w:val="single" w:sz="4" w:space="0" w:color="auto"/>
              <w:right w:val="single" w:sz="4" w:space="0" w:color="000000"/>
            </w:tcBorders>
            <w:shd w:val="clear" w:color="auto" w:fill="D6E3BC"/>
            <w:vAlign w:val="center"/>
          </w:tcPr>
          <w:p w:rsidR="00061E3D" w:rsidRPr="007F5BD7" w:rsidRDefault="00061E3D" w:rsidP="00205636">
            <w:pPr>
              <w:jc w:val="center"/>
              <w:rPr>
                <w:rFonts w:ascii="Arial" w:hAnsi="Arial" w:cs="Arial"/>
                <w:sz w:val="18"/>
                <w:szCs w:val="18"/>
              </w:rPr>
            </w:pPr>
            <w:r w:rsidRPr="007F5BD7">
              <w:rPr>
                <w:rFonts w:ascii="Arial" w:hAnsi="Arial" w:cs="Arial"/>
                <w:sz w:val="18"/>
                <w:szCs w:val="18"/>
              </w:rPr>
              <w:t>Čerpanie prostriedkov v roku 2012</w:t>
            </w:r>
          </w:p>
          <w:p w:rsidR="00061E3D" w:rsidRPr="007F5BD7" w:rsidRDefault="00061E3D" w:rsidP="00205636">
            <w:pPr>
              <w:jc w:val="center"/>
              <w:rPr>
                <w:rFonts w:ascii="Arial" w:hAnsi="Arial" w:cs="Arial"/>
                <w:sz w:val="18"/>
                <w:szCs w:val="18"/>
              </w:rPr>
            </w:pPr>
            <w:r w:rsidRPr="007F5BD7">
              <w:rPr>
                <w:rFonts w:ascii="Arial" w:hAnsi="Arial" w:cs="Arial"/>
                <w:sz w:val="18"/>
                <w:szCs w:val="18"/>
              </w:rPr>
              <w:t>(EU zdroje) v €</w:t>
            </w:r>
          </w:p>
        </w:tc>
        <w:tc>
          <w:tcPr>
            <w:tcW w:w="2980" w:type="dxa"/>
            <w:gridSpan w:val="2"/>
            <w:tcBorders>
              <w:top w:val="single" w:sz="8" w:space="0" w:color="auto"/>
              <w:left w:val="nil"/>
              <w:bottom w:val="single" w:sz="4" w:space="0" w:color="auto"/>
              <w:right w:val="single" w:sz="8" w:space="0" w:color="000000"/>
            </w:tcBorders>
            <w:shd w:val="clear" w:color="auto" w:fill="D6E3BC"/>
            <w:vAlign w:val="center"/>
          </w:tcPr>
          <w:p w:rsidR="00061E3D" w:rsidRPr="007F5BD7" w:rsidRDefault="00061E3D" w:rsidP="00205636">
            <w:pPr>
              <w:jc w:val="center"/>
              <w:rPr>
                <w:rFonts w:ascii="Arial" w:hAnsi="Arial" w:cs="Arial"/>
                <w:sz w:val="18"/>
                <w:szCs w:val="18"/>
              </w:rPr>
            </w:pPr>
            <w:r w:rsidRPr="007F5BD7">
              <w:rPr>
                <w:rFonts w:ascii="Arial" w:hAnsi="Arial" w:cs="Arial"/>
                <w:sz w:val="18"/>
                <w:szCs w:val="18"/>
              </w:rPr>
              <w:t xml:space="preserve">Čerpanie prostriedkov kumulatívne </w:t>
            </w:r>
            <w:r w:rsidRPr="007F5BD7">
              <w:rPr>
                <w:rFonts w:ascii="Arial" w:hAnsi="Arial" w:cs="Arial"/>
                <w:sz w:val="18"/>
                <w:szCs w:val="18"/>
              </w:rPr>
              <w:br/>
              <w:t>(EU zdroje) v €</w:t>
            </w:r>
          </w:p>
        </w:tc>
      </w:tr>
      <w:tr w:rsidR="00061E3D" w:rsidRPr="007F5BD7" w:rsidTr="006A551B">
        <w:trPr>
          <w:trHeight w:val="480"/>
          <w:jc w:val="center"/>
        </w:trPr>
        <w:tc>
          <w:tcPr>
            <w:tcW w:w="1440" w:type="dxa"/>
            <w:vMerge/>
            <w:tcBorders>
              <w:top w:val="single" w:sz="8" w:space="0" w:color="auto"/>
              <w:left w:val="single" w:sz="8" w:space="0" w:color="auto"/>
              <w:bottom w:val="single" w:sz="4" w:space="0" w:color="auto"/>
              <w:right w:val="single" w:sz="4" w:space="0" w:color="auto"/>
            </w:tcBorders>
            <w:shd w:val="clear" w:color="auto" w:fill="auto"/>
            <w:vAlign w:val="center"/>
          </w:tcPr>
          <w:p w:rsidR="00061E3D" w:rsidRPr="007F5BD7" w:rsidRDefault="00061E3D" w:rsidP="00205636">
            <w:pPr>
              <w:jc w:val="both"/>
              <w:rPr>
                <w:rFonts w:ascii="Arial" w:hAnsi="Arial" w:cs="Arial"/>
                <w:sz w:val="18"/>
                <w:szCs w:val="18"/>
              </w:rPr>
            </w:pPr>
          </w:p>
        </w:tc>
        <w:tc>
          <w:tcPr>
            <w:tcW w:w="1724" w:type="dxa"/>
            <w:vMerge/>
            <w:tcBorders>
              <w:top w:val="single" w:sz="8" w:space="0" w:color="auto"/>
              <w:left w:val="single" w:sz="4" w:space="0" w:color="auto"/>
              <w:bottom w:val="single" w:sz="4" w:space="0" w:color="auto"/>
              <w:right w:val="single" w:sz="4" w:space="0" w:color="auto"/>
            </w:tcBorders>
            <w:shd w:val="clear" w:color="auto" w:fill="D6E3BC"/>
            <w:vAlign w:val="center"/>
          </w:tcPr>
          <w:p w:rsidR="00061E3D" w:rsidRPr="007F5BD7" w:rsidRDefault="00061E3D" w:rsidP="00205636">
            <w:pPr>
              <w:jc w:val="center"/>
              <w:rPr>
                <w:rFonts w:ascii="Arial" w:hAnsi="Arial" w:cs="Arial"/>
                <w:sz w:val="18"/>
                <w:szCs w:val="18"/>
              </w:rPr>
            </w:pPr>
          </w:p>
        </w:tc>
        <w:tc>
          <w:tcPr>
            <w:tcW w:w="1440" w:type="dxa"/>
            <w:tcBorders>
              <w:top w:val="nil"/>
              <w:left w:val="nil"/>
              <w:bottom w:val="single" w:sz="4" w:space="0" w:color="auto"/>
              <w:right w:val="single" w:sz="4" w:space="0" w:color="auto"/>
            </w:tcBorders>
            <w:shd w:val="clear" w:color="auto" w:fill="D6E3BC"/>
            <w:noWrap/>
            <w:vAlign w:val="center"/>
          </w:tcPr>
          <w:p w:rsidR="00061E3D" w:rsidRPr="007F5BD7" w:rsidRDefault="00061E3D" w:rsidP="00205636">
            <w:pPr>
              <w:jc w:val="center"/>
              <w:rPr>
                <w:rFonts w:ascii="Arial" w:hAnsi="Arial" w:cs="Arial"/>
                <w:sz w:val="18"/>
                <w:szCs w:val="18"/>
              </w:rPr>
            </w:pPr>
            <w:r w:rsidRPr="007F5BD7">
              <w:rPr>
                <w:rFonts w:ascii="Arial" w:hAnsi="Arial" w:cs="Arial"/>
                <w:sz w:val="18"/>
                <w:szCs w:val="18"/>
              </w:rPr>
              <w:t>Celkom</w:t>
            </w:r>
          </w:p>
        </w:tc>
        <w:tc>
          <w:tcPr>
            <w:tcW w:w="1557" w:type="dxa"/>
            <w:tcBorders>
              <w:top w:val="nil"/>
              <w:left w:val="nil"/>
              <w:bottom w:val="single" w:sz="4" w:space="0" w:color="auto"/>
              <w:right w:val="single" w:sz="4" w:space="0" w:color="auto"/>
            </w:tcBorders>
            <w:shd w:val="clear" w:color="auto" w:fill="D6E3BC"/>
            <w:vAlign w:val="center"/>
          </w:tcPr>
          <w:p w:rsidR="00061E3D" w:rsidRPr="007F5BD7" w:rsidRDefault="00061E3D" w:rsidP="00205636">
            <w:pPr>
              <w:jc w:val="center"/>
              <w:rPr>
                <w:rFonts w:ascii="Arial" w:hAnsi="Arial" w:cs="Arial"/>
                <w:sz w:val="18"/>
                <w:szCs w:val="18"/>
              </w:rPr>
            </w:pPr>
            <w:r w:rsidRPr="007F5BD7">
              <w:rPr>
                <w:rFonts w:ascii="Arial" w:hAnsi="Arial" w:cs="Arial"/>
                <w:sz w:val="18"/>
                <w:szCs w:val="18"/>
              </w:rPr>
              <w:t>% zo záväzku</w:t>
            </w:r>
          </w:p>
          <w:p w:rsidR="00061E3D" w:rsidRPr="007F5BD7" w:rsidRDefault="00061E3D" w:rsidP="00205636">
            <w:pPr>
              <w:jc w:val="center"/>
              <w:rPr>
                <w:rFonts w:ascii="Arial" w:hAnsi="Arial" w:cs="Arial"/>
                <w:sz w:val="18"/>
                <w:szCs w:val="18"/>
              </w:rPr>
            </w:pPr>
            <w:r w:rsidRPr="007F5BD7">
              <w:rPr>
                <w:rFonts w:ascii="Arial" w:hAnsi="Arial" w:cs="Arial"/>
                <w:sz w:val="18"/>
                <w:szCs w:val="18"/>
              </w:rPr>
              <w:t>2007 - 2013</w:t>
            </w:r>
          </w:p>
        </w:tc>
        <w:tc>
          <w:tcPr>
            <w:tcW w:w="1392" w:type="dxa"/>
            <w:tcBorders>
              <w:top w:val="nil"/>
              <w:left w:val="nil"/>
              <w:bottom w:val="single" w:sz="4" w:space="0" w:color="auto"/>
              <w:right w:val="single" w:sz="4" w:space="0" w:color="auto"/>
            </w:tcBorders>
            <w:shd w:val="clear" w:color="auto" w:fill="D6E3BC"/>
            <w:noWrap/>
            <w:vAlign w:val="center"/>
          </w:tcPr>
          <w:p w:rsidR="00061E3D" w:rsidRPr="007F5BD7" w:rsidRDefault="00061E3D" w:rsidP="00205636">
            <w:pPr>
              <w:jc w:val="center"/>
              <w:rPr>
                <w:rFonts w:ascii="Arial" w:hAnsi="Arial" w:cs="Arial"/>
                <w:sz w:val="18"/>
                <w:szCs w:val="18"/>
              </w:rPr>
            </w:pPr>
            <w:r w:rsidRPr="007F5BD7">
              <w:rPr>
                <w:rFonts w:ascii="Arial" w:hAnsi="Arial" w:cs="Arial"/>
                <w:sz w:val="18"/>
                <w:szCs w:val="18"/>
              </w:rPr>
              <w:t>Celkom</w:t>
            </w:r>
          </w:p>
        </w:tc>
        <w:tc>
          <w:tcPr>
            <w:tcW w:w="1588" w:type="dxa"/>
            <w:tcBorders>
              <w:top w:val="nil"/>
              <w:left w:val="nil"/>
              <w:bottom w:val="single" w:sz="4" w:space="0" w:color="auto"/>
              <w:right w:val="single" w:sz="8" w:space="0" w:color="auto"/>
            </w:tcBorders>
            <w:shd w:val="clear" w:color="auto" w:fill="D6E3BC"/>
            <w:vAlign w:val="center"/>
          </w:tcPr>
          <w:p w:rsidR="00061E3D" w:rsidRPr="007F5BD7" w:rsidRDefault="00061E3D" w:rsidP="00205636">
            <w:pPr>
              <w:jc w:val="center"/>
              <w:rPr>
                <w:rFonts w:ascii="Arial" w:hAnsi="Arial" w:cs="Arial"/>
                <w:sz w:val="18"/>
                <w:szCs w:val="18"/>
              </w:rPr>
            </w:pPr>
            <w:r w:rsidRPr="007F5BD7">
              <w:rPr>
                <w:rFonts w:ascii="Arial" w:hAnsi="Arial" w:cs="Arial"/>
                <w:sz w:val="18"/>
                <w:szCs w:val="18"/>
              </w:rPr>
              <w:t>% zo záväzku</w:t>
            </w:r>
          </w:p>
          <w:p w:rsidR="00061E3D" w:rsidRPr="007F5BD7" w:rsidRDefault="00061E3D" w:rsidP="00205636">
            <w:pPr>
              <w:jc w:val="center"/>
              <w:rPr>
                <w:rFonts w:ascii="Arial" w:hAnsi="Arial" w:cs="Arial"/>
                <w:sz w:val="18"/>
                <w:szCs w:val="18"/>
              </w:rPr>
            </w:pPr>
            <w:r w:rsidRPr="007F5BD7">
              <w:rPr>
                <w:rFonts w:ascii="Arial" w:hAnsi="Arial" w:cs="Arial"/>
                <w:sz w:val="18"/>
                <w:szCs w:val="18"/>
              </w:rPr>
              <w:t>2007 - 2013</w:t>
            </w:r>
          </w:p>
        </w:tc>
      </w:tr>
      <w:tr w:rsidR="00061E3D" w:rsidRPr="007F5BD7" w:rsidTr="006A551B">
        <w:trPr>
          <w:trHeight w:val="255"/>
          <w:jc w:val="center"/>
        </w:trPr>
        <w:tc>
          <w:tcPr>
            <w:tcW w:w="1440" w:type="dxa"/>
            <w:tcBorders>
              <w:top w:val="single" w:sz="4" w:space="0" w:color="auto"/>
              <w:left w:val="single" w:sz="8" w:space="0" w:color="auto"/>
              <w:bottom w:val="single" w:sz="4" w:space="0" w:color="auto"/>
              <w:right w:val="single" w:sz="4" w:space="0" w:color="auto"/>
            </w:tcBorders>
            <w:shd w:val="clear" w:color="auto" w:fill="auto"/>
            <w:noWrap/>
            <w:vAlign w:val="center"/>
          </w:tcPr>
          <w:p w:rsidR="00061E3D" w:rsidRPr="001C06C0" w:rsidRDefault="00061E3D" w:rsidP="00205636">
            <w:pPr>
              <w:jc w:val="center"/>
              <w:rPr>
                <w:rFonts w:ascii="Arial" w:hAnsi="Arial" w:cs="Arial"/>
                <w:sz w:val="18"/>
                <w:szCs w:val="18"/>
              </w:rPr>
            </w:pPr>
            <w:r w:rsidRPr="001C06C0">
              <w:rPr>
                <w:rFonts w:ascii="Arial" w:hAnsi="Arial" w:cs="Arial"/>
                <w:sz w:val="18"/>
                <w:szCs w:val="18"/>
              </w:rPr>
              <w:t>Prioritná os 5</w:t>
            </w:r>
          </w:p>
        </w:tc>
        <w:tc>
          <w:tcPr>
            <w:tcW w:w="1724" w:type="dxa"/>
            <w:tcBorders>
              <w:top w:val="nil"/>
              <w:left w:val="nil"/>
              <w:bottom w:val="single" w:sz="4" w:space="0" w:color="auto"/>
              <w:right w:val="single" w:sz="4" w:space="0" w:color="auto"/>
            </w:tcBorders>
            <w:shd w:val="clear" w:color="auto" w:fill="auto"/>
            <w:noWrap/>
            <w:vAlign w:val="center"/>
          </w:tcPr>
          <w:p w:rsidR="00061E3D" w:rsidRPr="001C06C0" w:rsidRDefault="00061E3D" w:rsidP="00205636">
            <w:pPr>
              <w:jc w:val="center"/>
              <w:rPr>
                <w:rFonts w:ascii="Arial" w:hAnsi="Arial" w:cs="Arial"/>
                <w:sz w:val="18"/>
                <w:szCs w:val="18"/>
              </w:rPr>
            </w:pPr>
            <w:r w:rsidRPr="001C06C0">
              <w:rPr>
                <w:rFonts w:ascii="Arial" w:hAnsi="Arial" w:cs="Arial"/>
                <w:sz w:val="18"/>
                <w:szCs w:val="18"/>
              </w:rPr>
              <w:t>50 756 935,00</w:t>
            </w:r>
          </w:p>
        </w:tc>
        <w:tc>
          <w:tcPr>
            <w:tcW w:w="1440" w:type="dxa"/>
            <w:tcBorders>
              <w:top w:val="nil"/>
              <w:left w:val="nil"/>
              <w:bottom w:val="single" w:sz="4" w:space="0" w:color="auto"/>
              <w:right w:val="single" w:sz="4" w:space="0" w:color="auto"/>
            </w:tcBorders>
            <w:shd w:val="clear" w:color="auto" w:fill="auto"/>
            <w:noWrap/>
            <w:vAlign w:val="center"/>
          </w:tcPr>
          <w:p w:rsidR="00061E3D" w:rsidRPr="001C06C0" w:rsidRDefault="00061E3D" w:rsidP="00205636">
            <w:pPr>
              <w:jc w:val="center"/>
              <w:rPr>
                <w:rFonts w:ascii="Arial" w:hAnsi="Arial" w:cs="Arial"/>
                <w:color w:val="000000"/>
                <w:sz w:val="18"/>
                <w:szCs w:val="18"/>
              </w:rPr>
            </w:pPr>
            <w:r w:rsidRPr="001C06C0">
              <w:rPr>
                <w:rFonts w:ascii="Arial" w:hAnsi="Arial" w:cs="Arial"/>
                <w:color w:val="000000"/>
                <w:sz w:val="18"/>
                <w:szCs w:val="18"/>
              </w:rPr>
              <w:t>4 111 374,66</w:t>
            </w:r>
          </w:p>
        </w:tc>
        <w:tc>
          <w:tcPr>
            <w:tcW w:w="1557" w:type="dxa"/>
            <w:tcBorders>
              <w:top w:val="nil"/>
              <w:left w:val="nil"/>
              <w:bottom w:val="single" w:sz="4" w:space="0" w:color="auto"/>
              <w:right w:val="single" w:sz="4" w:space="0" w:color="auto"/>
            </w:tcBorders>
            <w:shd w:val="clear" w:color="auto" w:fill="auto"/>
            <w:noWrap/>
            <w:vAlign w:val="center"/>
          </w:tcPr>
          <w:p w:rsidR="00061E3D" w:rsidRPr="001C06C0" w:rsidRDefault="00061E3D" w:rsidP="00205636">
            <w:pPr>
              <w:jc w:val="center"/>
              <w:rPr>
                <w:rFonts w:ascii="Arial" w:hAnsi="Arial" w:cs="Arial"/>
                <w:color w:val="000000"/>
                <w:sz w:val="18"/>
                <w:szCs w:val="18"/>
              </w:rPr>
            </w:pPr>
            <w:r w:rsidRPr="001C06C0">
              <w:rPr>
                <w:rFonts w:ascii="Arial" w:hAnsi="Arial" w:cs="Arial"/>
                <w:color w:val="000000"/>
                <w:sz w:val="18"/>
                <w:szCs w:val="18"/>
              </w:rPr>
              <w:t>8,10%</w:t>
            </w:r>
          </w:p>
        </w:tc>
        <w:tc>
          <w:tcPr>
            <w:tcW w:w="1392" w:type="dxa"/>
            <w:tcBorders>
              <w:top w:val="nil"/>
              <w:left w:val="nil"/>
              <w:bottom w:val="single" w:sz="4" w:space="0" w:color="auto"/>
              <w:right w:val="single" w:sz="4" w:space="0" w:color="auto"/>
            </w:tcBorders>
            <w:shd w:val="clear" w:color="auto" w:fill="auto"/>
            <w:noWrap/>
            <w:vAlign w:val="center"/>
          </w:tcPr>
          <w:p w:rsidR="00061E3D" w:rsidRPr="001C06C0" w:rsidRDefault="00061E3D" w:rsidP="00205636">
            <w:pPr>
              <w:jc w:val="center"/>
              <w:rPr>
                <w:rFonts w:ascii="Arial" w:hAnsi="Arial" w:cs="Arial"/>
                <w:color w:val="000000"/>
                <w:sz w:val="18"/>
                <w:szCs w:val="18"/>
              </w:rPr>
            </w:pPr>
            <w:r w:rsidRPr="001C06C0">
              <w:rPr>
                <w:rFonts w:ascii="Arial" w:hAnsi="Arial" w:cs="Arial"/>
                <w:color w:val="000000"/>
                <w:sz w:val="18"/>
                <w:szCs w:val="18"/>
              </w:rPr>
              <w:t>9 879 961,40</w:t>
            </w:r>
          </w:p>
        </w:tc>
        <w:tc>
          <w:tcPr>
            <w:tcW w:w="1588" w:type="dxa"/>
            <w:tcBorders>
              <w:top w:val="nil"/>
              <w:left w:val="nil"/>
              <w:bottom w:val="single" w:sz="4" w:space="0" w:color="auto"/>
              <w:right w:val="single" w:sz="8" w:space="0" w:color="auto"/>
            </w:tcBorders>
            <w:shd w:val="clear" w:color="auto" w:fill="auto"/>
            <w:noWrap/>
            <w:vAlign w:val="center"/>
          </w:tcPr>
          <w:p w:rsidR="00061E3D" w:rsidRPr="001C06C0" w:rsidRDefault="00061E3D" w:rsidP="00205636">
            <w:pPr>
              <w:jc w:val="center"/>
              <w:rPr>
                <w:rFonts w:ascii="Arial" w:hAnsi="Arial" w:cs="Arial"/>
                <w:color w:val="000000"/>
                <w:sz w:val="18"/>
                <w:szCs w:val="18"/>
              </w:rPr>
            </w:pPr>
            <w:r w:rsidRPr="001C06C0">
              <w:rPr>
                <w:rFonts w:ascii="Arial" w:hAnsi="Arial" w:cs="Arial"/>
                <w:color w:val="000000"/>
                <w:sz w:val="18"/>
                <w:szCs w:val="18"/>
              </w:rPr>
              <w:t>19,47%</w:t>
            </w:r>
          </w:p>
        </w:tc>
      </w:tr>
    </w:tbl>
    <w:p w:rsidR="002416B1" w:rsidRDefault="002416B1" w:rsidP="00205636">
      <w:pPr>
        <w:pStyle w:val="Zkladntextb"/>
        <w:spacing w:after="0"/>
        <w:ind w:left="0"/>
        <w:rPr>
          <w:sz w:val="18"/>
          <w:szCs w:val="18"/>
          <w:lang w:val="sk-SK"/>
        </w:rPr>
      </w:pPr>
      <w:r w:rsidRPr="006A2BF3">
        <w:rPr>
          <w:sz w:val="18"/>
          <w:szCs w:val="18"/>
          <w:lang w:val="sk-SK"/>
        </w:rPr>
        <w:t>Zdroj: CO</w:t>
      </w:r>
    </w:p>
    <w:p w:rsidR="00061E3D" w:rsidRPr="006A2BF3" w:rsidRDefault="00061E3D" w:rsidP="00205636">
      <w:pPr>
        <w:jc w:val="both"/>
        <w:rPr>
          <w:sz w:val="18"/>
          <w:szCs w:val="18"/>
        </w:rPr>
      </w:pPr>
      <w:r w:rsidRPr="00152E99">
        <w:rPr>
          <w:rFonts w:ascii="Arial" w:hAnsi="Arial" w:cs="Arial"/>
          <w:i/>
          <w:sz w:val="18"/>
          <w:szCs w:val="18"/>
        </w:rPr>
        <w:t xml:space="preserve">Pozn.: </w:t>
      </w:r>
      <w:r w:rsidRPr="00152E99">
        <w:rPr>
          <w:rFonts w:ascii="Arial" w:hAnsi="Arial" w:cs="Arial"/>
          <w:bCs/>
          <w:i/>
          <w:sz w:val="18"/>
          <w:szCs w:val="18"/>
        </w:rPr>
        <w:t>prehľad výdavkov schválených CO znížených o nezrovnalosti</w:t>
      </w:r>
    </w:p>
    <w:bookmarkEnd w:id="98"/>
    <w:bookmarkEnd w:id="99"/>
    <w:p w:rsidR="0065734F" w:rsidRDefault="0065734F" w:rsidP="00205636">
      <w:pPr>
        <w:rPr>
          <w:rFonts w:ascii="Arial" w:hAnsi="Arial"/>
          <w:sz w:val="20"/>
          <w:szCs w:val="20"/>
        </w:rPr>
      </w:pPr>
    </w:p>
    <w:p w:rsidR="002416B1" w:rsidRPr="0039268C" w:rsidRDefault="002416B1" w:rsidP="00507035">
      <w:pPr>
        <w:pStyle w:val="Zkladntextb"/>
        <w:spacing w:before="120" w:after="120" w:line="360" w:lineRule="auto"/>
        <w:ind w:left="0"/>
        <w:jc w:val="both"/>
        <w:rPr>
          <w:highlight w:val="yellow"/>
          <w:lang w:val="sk-SK"/>
        </w:rPr>
      </w:pPr>
      <w:r w:rsidRPr="006A2BF3">
        <w:rPr>
          <w:lang w:val="sk-SK"/>
        </w:rPr>
        <w:t>V roku 201</w:t>
      </w:r>
      <w:r w:rsidR="00061E3D">
        <w:rPr>
          <w:lang w:val="sk-SK"/>
        </w:rPr>
        <w:t>2</w:t>
      </w:r>
      <w:r w:rsidRPr="004B33AE">
        <w:rPr>
          <w:lang w:val="sk-SK"/>
        </w:rPr>
        <w:t xml:space="preserve"> bolo v rámci prioritnej osi vyčerpaných vyše </w:t>
      </w:r>
      <w:r w:rsidR="00061E3D">
        <w:rPr>
          <w:lang w:val="sk-SK"/>
        </w:rPr>
        <w:t>4</w:t>
      </w:r>
      <w:r w:rsidRPr="004B33AE">
        <w:rPr>
          <w:lang w:val="sk-SK"/>
        </w:rPr>
        <w:t xml:space="preserve"> mil. EUR z ERDF</w:t>
      </w:r>
      <w:r w:rsidRPr="00D70258">
        <w:rPr>
          <w:lang w:val="sk-SK"/>
        </w:rPr>
        <w:t>, najvyššie čerpanie bolo v rámci Žilinského a Košického kraja (viď Príloha č. 6 správy).</w:t>
      </w:r>
    </w:p>
    <w:p w:rsidR="00D70258" w:rsidRPr="00182D6B" w:rsidRDefault="00D70258" w:rsidP="00507035">
      <w:pPr>
        <w:pStyle w:val="Zkladntextb"/>
        <w:spacing w:before="120" w:after="120" w:line="360" w:lineRule="auto"/>
        <w:ind w:left="0"/>
        <w:jc w:val="both"/>
        <w:rPr>
          <w:lang w:val="sk-SK"/>
        </w:rPr>
      </w:pPr>
      <w:r w:rsidRPr="00182D6B">
        <w:rPr>
          <w:lang w:val="sk-SK"/>
        </w:rPr>
        <w:t xml:space="preserve">V rozdelení na prioritné témy bolo v rámci témy 51 Podpora biodiverzity a ochrana prírody (vrátane Natura 2000) vyčerpaných viac než </w:t>
      </w:r>
      <w:r w:rsidRPr="00B71586">
        <w:rPr>
          <w:lang w:val="sk-SK"/>
        </w:rPr>
        <w:t>5</w:t>
      </w:r>
      <w:r w:rsidRPr="00182D6B">
        <w:rPr>
          <w:lang w:val="sk-SK"/>
        </w:rPr>
        <w:t>,</w:t>
      </w:r>
      <w:r w:rsidRPr="00B71586">
        <w:rPr>
          <w:lang w:val="sk-SK"/>
        </w:rPr>
        <w:t>1</w:t>
      </w:r>
      <w:r w:rsidRPr="00182D6B">
        <w:rPr>
          <w:lang w:val="sk-SK"/>
        </w:rPr>
        <w:t xml:space="preserve"> mil. EUR z ERDF, v rámci prioritnej témy 54 Iné opatrenia na zachovanie ŽP a predchádzanie rizikám, prioritnej osi 5 dosiahlo čerpanie hodnotu vyše </w:t>
      </w:r>
      <w:r w:rsidRPr="00B71586">
        <w:rPr>
          <w:lang w:val="sk-SK"/>
        </w:rPr>
        <w:t>5</w:t>
      </w:r>
      <w:r w:rsidRPr="00182D6B">
        <w:rPr>
          <w:lang w:val="sk-SK"/>
        </w:rPr>
        <w:t>,</w:t>
      </w:r>
      <w:r w:rsidRPr="00B71586">
        <w:rPr>
          <w:lang w:val="sk-SK"/>
        </w:rPr>
        <w:t>67</w:t>
      </w:r>
      <w:r w:rsidRPr="00182D6B">
        <w:rPr>
          <w:lang w:val="sk-SK"/>
        </w:rPr>
        <w:t xml:space="preserve"> mil. EUR.</w:t>
      </w:r>
    </w:p>
    <w:p w:rsidR="002416B1" w:rsidRPr="004B33AE" w:rsidRDefault="00D70258" w:rsidP="00507035">
      <w:pPr>
        <w:pStyle w:val="Zkladntextb"/>
        <w:spacing w:before="120" w:after="120" w:line="360" w:lineRule="auto"/>
        <w:ind w:left="0"/>
        <w:jc w:val="both"/>
        <w:rPr>
          <w:lang w:val="sk-SK"/>
        </w:rPr>
      </w:pPr>
      <w:r w:rsidRPr="00182D6B">
        <w:rPr>
          <w:lang w:val="sk-SK"/>
        </w:rPr>
        <w:t>Úroveň zazmluvnenia alokácie na prioritnú os predstavuje k 31.12.201</w:t>
      </w:r>
      <w:r w:rsidRPr="00B71586">
        <w:rPr>
          <w:lang w:val="sk-SK"/>
        </w:rPr>
        <w:t>2</w:t>
      </w:r>
      <w:r w:rsidRPr="00182D6B">
        <w:rPr>
          <w:lang w:val="sk-SK"/>
        </w:rPr>
        <w:t xml:space="preserve"> </w:t>
      </w:r>
      <w:r w:rsidRPr="00B71586">
        <w:rPr>
          <w:lang w:val="sk-SK"/>
        </w:rPr>
        <w:t>84</w:t>
      </w:r>
      <w:r w:rsidRPr="00182D6B">
        <w:rPr>
          <w:lang w:val="sk-SK"/>
        </w:rPr>
        <w:t>,</w:t>
      </w:r>
      <w:r w:rsidRPr="00B71586">
        <w:rPr>
          <w:lang w:val="sk-SK"/>
        </w:rPr>
        <w:t>3</w:t>
      </w:r>
      <w:r w:rsidRPr="00182D6B">
        <w:rPr>
          <w:lang w:val="sk-SK"/>
        </w:rPr>
        <w:t xml:space="preserve"> %, pričom vyplatené prostriedky prijímateľom tvoria </w:t>
      </w:r>
      <w:r w:rsidRPr="00B71586">
        <w:rPr>
          <w:lang w:val="sk-SK"/>
        </w:rPr>
        <w:t>21</w:t>
      </w:r>
      <w:r w:rsidRPr="00182D6B">
        <w:rPr>
          <w:lang w:val="sk-SK"/>
        </w:rPr>
        <w:t>,</w:t>
      </w:r>
      <w:r w:rsidRPr="00B71586">
        <w:rPr>
          <w:lang w:val="sk-SK"/>
        </w:rPr>
        <w:t>25</w:t>
      </w:r>
      <w:r w:rsidR="0065734F">
        <w:rPr>
          <w:lang w:val="sk-SK"/>
        </w:rPr>
        <w:t xml:space="preserve"> </w:t>
      </w:r>
      <w:r w:rsidRPr="00182D6B">
        <w:rPr>
          <w:lang w:val="sk-SK"/>
        </w:rPr>
        <w:t>% voči celkovej alokácii na danú prioritnú os. Samotný stav čerpania ovplyvňuje viacero externých faktorov ako aj faktorov v samotnej implementácii</w:t>
      </w:r>
      <w:r w:rsidR="006435AC">
        <w:rPr>
          <w:lang w:val="sk-SK"/>
        </w:rPr>
        <w:t>, ktoré</w:t>
      </w:r>
      <w:r w:rsidRPr="00182D6B">
        <w:rPr>
          <w:lang w:val="sk-SK"/>
        </w:rPr>
        <w:t xml:space="preserve"> sú podrobnejšie popísané v </w:t>
      </w:r>
      <w:r w:rsidRPr="00205084">
        <w:rPr>
          <w:lang w:val="sk-SK"/>
        </w:rPr>
        <w:t>kapitole 2.1.2 Finančná implementácia operačného</w:t>
      </w:r>
      <w:r w:rsidRPr="00182D6B">
        <w:rPr>
          <w:lang w:val="sk-SK"/>
        </w:rPr>
        <w:t xml:space="preserve"> programu, aj </w:t>
      </w:r>
      <w:r w:rsidRPr="00BA1A4F">
        <w:rPr>
          <w:lang w:val="sk-SK"/>
        </w:rPr>
        <w:t>s uvedením Porovnania skutočného a plánovaného čerpania od 01.01.201</w:t>
      </w:r>
      <w:r w:rsidRPr="007818E6">
        <w:rPr>
          <w:lang w:val="sk-SK"/>
        </w:rPr>
        <w:t>2</w:t>
      </w:r>
      <w:r w:rsidRPr="0039268C">
        <w:rPr>
          <w:lang w:val="sk-SK"/>
        </w:rPr>
        <w:t xml:space="preserve"> do 31.12.2012 spolu za program</w:t>
      </w:r>
      <w:r w:rsidR="002416B1" w:rsidRPr="00BA1A4F">
        <w:rPr>
          <w:lang w:val="sk-SK"/>
        </w:rPr>
        <w:t xml:space="preserve">. </w:t>
      </w:r>
      <w:r w:rsidR="00051F33" w:rsidRPr="00BA1A4F">
        <w:rPr>
          <w:lang w:val="sk-SK"/>
        </w:rPr>
        <w:t>Za n</w:t>
      </w:r>
      <w:r w:rsidR="002416B1" w:rsidRPr="00BA1A4F">
        <w:rPr>
          <w:lang w:val="sk-SK"/>
        </w:rPr>
        <w:t>ajvýraznejší faktor</w:t>
      </w:r>
      <w:r w:rsidR="00051F33" w:rsidRPr="00BA1A4F">
        <w:rPr>
          <w:lang w:val="sk-SK"/>
        </w:rPr>
        <w:t xml:space="preserve"> </w:t>
      </w:r>
      <w:r w:rsidR="002416B1" w:rsidRPr="00BA1A4F">
        <w:rPr>
          <w:lang w:val="sk-SK"/>
        </w:rPr>
        <w:t xml:space="preserve">ovplyvňujúci čerpanie PO 5 </w:t>
      </w:r>
      <w:r w:rsidR="00051F33" w:rsidRPr="00BA1A4F">
        <w:rPr>
          <w:lang w:val="sk-SK"/>
        </w:rPr>
        <w:t>možno považovať vykonanie</w:t>
      </w:r>
      <w:r w:rsidR="002416B1" w:rsidRPr="00BA1A4F">
        <w:rPr>
          <w:lang w:val="sk-SK"/>
        </w:rPr>
        <w:t xml:space="preserve"> verejn</w:t>
      </w:r>
      <w:r w:rsidR="00051F33" w:rsidRPr="00BA1A4F">
        <w:rPr>
          <w:lang w:val="sk-SK"/>
        </w:rPr>
        <w:t>ého</w:t>
      </w:r>
      <w:r w:rsidR="002416B1" w:rsidRPr="00BA1A4F">
        <w:rPr>
          <w:lang w:val="sk-SK"/>
        </w:rPr>
        <w:t xml:space="preserve"> </w:t>
      </w:r>
      <w:r w:rsidR="00051F33" w:rsidRPr="00BA1A4F">
        <w:rPr>
          <w:lang w:val="sk-SK"/>
        </w:rPr>
        <w:t>obstarávania</w:t>
      </w:r>
      <w:r w:rsidR="00051F33">
        <w:rPr>
          <w:lang w:val="sk-SK"/>
        </w:rPr>
        <w:t xml:space="preserve"> dôsledku čoho častokrát dochádza k </w:t>
      </w:r>
      <w:r w:rsidR="002416B1" w:rsidRPr="00D70258">
        <w:rPr>
          <w:lang w:val="sk-SK"/>
        </w:rPr>
        <w:t>predlž</w:t>
      </w:r>
      <w:r w:rsidR="00051F33">
        <w:rPr>
          <w:lang w:val="sk-SK"/>
        </w:rPr>
        <w:t>ovaniu</w:t>
      </w:r>
      <w:r w:rsidR="002416B1" w:rsidRPr="00D70258">
        <w:rPr>
          <w:lang w:val="sk-SK"/>
        </w:rPr>
        <w:t xml:space="preserve"> realizáci</w:t>
      </w:r>
      <w:r w:rsidR="00051F33">
        <w:rPr>
          <w:lang w:val="sk-SK"/>
        </w:rPr>
        <w:t>e</w:t>
      </w:r>
      <w:r w:rsidR="002416B1" w:rsidRPr="00D70258">
        <w:rPr>
          <w:lang w:val="sk-SK"/>
        </w:rPr>
        <w:t xml:space="preserve"> projektov a spôsobuje nedostatky v žiadostiach o platbu predkladaných prijímateľmi.</w:t>
      </w:r>
    </w:p>
    <w:p w:rsidR="002416B1" w:rsidRPr="004B33AE" w:rsidRDefault="002416B1" w:rsidP="00593253">
      <w:pPr>
        <w:pStyle w:val="Nadpis3"/>
        <w:spacing w:before="120" w:after="120" w:line="360" w:lineRule="auto"/>
        <w:jc w:val="both"/>
      </w:pPr>
      <w:bookmarkStart w:id="100" w:name="_Toc319573334"/>
      <w:r w:rsidRPr="004B33AE">
        <w:t>3.5.2 Závažné problémy, ktoré sa vyskytli a opatrenia prijaté na ich prekonanie</w:t>
      </w:r>
      <w:bookmarkEnd w:id="100"/>
    </w:p>
    <w:p w:rsidR="002416B1" w:rsidRPr="006A2BF3" w:rsidRDefault="002416B1" w:rsidP="00992100">
      <w:pPr>
        <w:spacing w:before="120" w:after="120" w:line="360" w:lineRule="auto"/>
        <w:jc w:val="both"/>
        <w:rPr>
          <w:rFonts w:ascii="Arial" w:hAnsi="Arial" w:cs="Arial"/>
          <w:sz w:val="20"/>
          <w:szCs w:val="20"/>
        </w:rPr>
      </w:pPr>
      <w:r w:rsidRPr="006A2BF3">
        <w:rPr>
          <w:rFonts w:ascii="Arial" w:hAnsi="Arial" w:cs="Arial"/>
          <w:sz w:val="20"/>
          <w:szCs w:val="20"/>
        </w:rPr>
        <w:t>V súvislosti s implementáciou Prioritnej osi 5 neboli zaznamenané žiadne závažné problémy</w:t>
      </w:r>
      <w:r w:rsidR="00C31195">
        <w:rPr>
          <w:rFonts w:ascii="Arial" w:hAnsi="Arial" w:cs="Arial"/>
          <w:sz w:val="20"/>
          <w:szCs w:val="20"/>
        </w:rPr>
        <w:t xml:space="preserve"> </w:t>
      </w:r>
      <w:r w:rsidR="00C31195" w:rsidRPr="00992100">
        <w:rPr>
          <w:rFonts w:ascii="Arial" w:hAnsi="Arial" w:cs="Arial"/>
          <w:sz w:val="20"/>
          <w:szCs w:val="20"/>
        </w:rPr>
        <w:t>s výnimkou plnenia niektorých merateľných ukazovateľov výstupu a výsledku operačného cieľa 5.1.</w:t>
      </w:r>
      <w:r w:rsidRPr="00992100">
        <w:rPr>
          <w:rFonts w:ascii="Arial" w:hAnsi="Arial" w:cs="Arial"/>
          <w:sz w:val="20"/>
          <w:szCs w:val="20"/>
        </w:rPr>
        <w:t xml:space="preserve"> </w:t>
      </w:r>
    </w:p>
    <w:p w:rsidR="00617873" w:rsidRDefault="00617873" w:rsidP="00507035">
      <w:pPr>
        <w:pStyle w:val="Zkladntextb"/>
        <w:spacing w:before="120" w:after="120" w:line="360" w:lineRule="auto"/>
        <w:ind w:left="0"/>
        <w:jc w:val="both"/>
        <w:rPr>
          <w:b/>
          <w:lang w:val="sk-SK"/>
        </w:rPr>
      </w:pPr>
      <w:r w:rsidRPr="00EF0B04">
        <w:rPr>
          <w:b/>
          <w:lang w:val="sk-SK"/>
        </w:rPr>
        <w:t>Kvalitatívna analýza dosiahnutých výsledkov na úrovni prioritnej osi</w:t>
      </w:r>
      <w:r>
        <w:rPr>
          <w:b/>
          <w:lang w:val="sk-SK"/>
        </w:rPr>
        <w:t xml:space="preserve"> 5</w:t>
      </w:r>
    </w:p>
    <w:p w:rsidR="00617873" w:rsidRPr="004542F4" w:rsidRDefault="00617873" w:rsidP="00507035">
      <w:pPr>
        <w:pStyle w:val="Zkladntextb"/>
        <w:spacing w:before="120" w:after="120" w:line="360" w:lineRule="auto"/>
        <w:ind w:left="0"/>
        <w:jc w:val="both"/>
        <w:rPr>
          <w:i/>
          <w:lang w:val="sk-SK"/>
        </w:rPr>
      </w:pPr>
      <w:r w:rsidRPr="004542F4">
        <w:rPr>
          <w:i/>
          <w:lang w:val="sk-SK"/>
        </w:rPr>
        <w:t>Zhodnotenie úrovne zazmluvnenia alokovaných finančných prostriedkov za zdroje EÚ vo vzťahu k dosahovaným hodnotám ukazovateľov podľa prioritných tém</w:t>
      </w:r>
    </w:p>
    <w:p w:rsidR="00617873" w:rsidRPr="004542F4" w:rsidRDefault="00617873" w:rsidP="00507035">
      <w:pPr>
        <w:spacing w:before="120" w:after="120" w:line="360" w:lineRule="auto"/>
        <w:jc w:val="both"/>
        <w:rPr>
          <w:rFonts w:ascii="Arial" w:hAnsi="Arial" w:cs="Arial"/>
          <w:sz w:val="20"/>
          <w:szCs w:val="20"/>
        </w:rPr>
      </w:pPr>
      <w:r w:rsidRPr="004542F4">
        <w:rPr>
          <w:rFonts w:ascii="Arial" w:hAnsi="Arial" w:cs="Arial"/>
          <w:sz w:val="20"/>
          <w:szCs w:val="20"/>
        </w:rPr>
        <w:t>Použitá metodika je bližšie popísaná v kapitole 2.1.1 časť Plnenie merateľných ukazovateľov.</w:t>
      </w:r>
    </w:p>
    <w:p w:rsidR="00617873" w:rsidRDefault="00617873" w:rsidP="00205636">
      <w:pPr>
        <w:pStyle w:val="Zkladntextb"/>
        <w:spacing w:after="0" w:line="360" w:lineRule="auto"/>
        <w:ind w:left="0"/>
        <w:jc w:val="both"/>
        <w:rPr>
          <w:rFonts w:cs="Arial"/>
        </w:rPr>
      </w:pPr>
      <w:r w:rsidRPr="00307BED">
        <w:rPr>
          <w:rFonts w:cs="Arial"/>
        </w:rPr>
        <w:t>Tab. č.</w:t>
      </w:r>
      <w:r w:rsidR="007976C6" w:rsidRPr="00307BED">
        <w:rPr>
          <w:rFonts w:cs="Arial"/>
        </w:rPr>
        <w:t xml:space="preserve"> </w:t>
      </w:r>
      <w:r w:rsidR="00254D6C">
        <w:rPr>
          <w:rFonts w:cs="Arial"/>
        </w:rPr>
        <w:t xml:space="preserve">57 </w:t>
      </w:r>
      <w:r w:rsidR="000B6E30" w:rsidRPr="000B6E30">
        <w:rPr>
          <w:rFonts w:cs="Arial"/>
        </w:rPr>
        <w:t>Zhodnotenie úrovne</w:t>
      </w:r>
      <w:r w:rsidR="000B6E30">
        <w:rPr>
          <w:rFonts w:cs="Arial"/>
        </w:rPr>
        <w:t xml:space="preserve"> podľa HT</w:t>
      </w:r>
    </w:p>
    <w:tbl>
      <w:tblPr>
        <w:tblW w:w="8816" w:type="dxa"/>
        <w:tblInd w:w="55" w:type="dxa"/>
        <w:tblCellMar>
          <w:left w:w="70" w:type="dxa"/>
          <w:right w:w="70" w:type="dxa"/>
        </w:tblCellMar>
        <w:tblLook w:val="04A0" w:firstRow="1" w:lastRow="0" w:firstColumn="1" w:lastColumn="0" w:noHBand="0" w:noVBand="1"/>
      </w:tblPr>
      <w:tblGrid>
        <w:gridCol w:w="1520"/>
        <w:gridCol w:w="960"/>
        <w:gridCol w:w="1120"/>
        <w:gridCol w:w="1136"/>
        <w:gridCol w:w="1560"/>
        <w:gridCol w:w="1160"/>
        <w:gridCol w:w="1360"/>
      </w:tblGrid>
      <w:tr w:rsidR="009C7FEB" w:rsidTr="0039268C">
        <w:trPr>
          <w:trHeight w:val="966"/>
        </w:trPr>
        <w:tc>
          <w:tcPr>
            <w:tcW w:w="1520" w:type="dxa"/>
            <w:tcBorders>
              <w:top w:val="single" w:sz="8" w:space="0" w:color="auto"/>
              <w:left w:val="single" w:sz="8" w:space="0" w:color="auto"/>
              <w:bottom w:val="single" w:sz="8" w:space="0" w:color="000000"/>
              <w:right w:val="single" w:sz="8" w:space="0" w:color="auto"/>
            </w:tcBorders>
            <w:shd w:val="clear" w:color="000000" w:fill="D6E3BC"/>
            <w:noWrap/>
            <w:vAlign w:val="center"/>
            <w:hideMark/>
          </w:tcPr>
          <w:p w:rsidR="009C7FEB" w:rsidRDefault="009C7FEB" w:rsidP="00205636">
            <w:pPr>
              <w:jc w:val="center"/>
              <w:rPr>
                <w:rFonts w:ascii="Arial" w:hAnsi="Arial" w:cs="Arial"/>
                <w:b/>
                <w:bCs/>
                <w:color w:val="000000"/>
                <w:sz w:val="16"/>
                <w:szCs w:val="16"/>
              </w:rPr>
            </w:pPr>
            <w:r>
              <w:rPr>
                <w:rFonts w:ascii="Arial" w:hAnsi="Arial" w:cs="Arial"/>
                <w:b/>
                <w:bCs/>
                <w:color w:val="000000"/>
                <w:sz w:val="16"/>
                <w:szCs w:val="16"/>
              </w:rPr>
              <w:t>Prioritná téma</w:t>
            </w:r>
          </w:p>
        </w:tc>
        <w:tc>
          <w:tcPr>
            <w:tcW w:w="960" w:type="dxa"/>
            <w:tcBorders>
              <w:top w:val="single" w:sz="8" w:space="0" w:color="auto"/>
              <w:left w:val="single" w:sz="8" w:space="0" w:color="auto"/>
              <w:bottom w:val="single" w:sz="8" w:space="0" w:color="000000"/>
              <w:right w:val="single" w:sz="8" w:space="0" w:color="auto"/>
            </w:tcBorders>
            <w:shd w:val="clear" w:color="000000" w:fill="D6E3BC"/>
            <w:noWrap/>
            <w:vAlign w:val="center"/>
            <w:hideMark/>
          </w:tcPr>
          <w:p w:rsidR="009C7FEB" w:rsidRDefault="009C7FEB" w:rsidP="00205636">
            <w:pPr>
              <w:jc w:val="center"/>
              <w:rPr>
                <w:rFonts w:ascii="Arial" w:hAnsi="Arial" w:cs="Arial"/>
                <w:b/>
                <w:bCs/>
                <w:color w:val="000000"/>
                <w:sz w:val="16"/>
                <w:szCs w:val="16"/>
              </w:rPr>
            </w:pPr>
            <w:r>
              <w:rPr>
                <w:rFonts w:ascii="Arial" w:hAnsi="Arial" w:cs="Arial"/>
                <w:b/>
                <w:bCs/>
                <w:color w:val="000000"/>
                <w:sz w:val="16"/>
                <w:szCs w:val="16"/>
              </w:rPr>
              <w:t>Op. Cieľ</w:t>
            </w:r>
          </w:p>
        </w:tc>
        <w:tc>
          <w:tcPr>
            <w:tcW w:w="1120" w:type="dxa"/>
            <w:tcBorders>
              <w:top w:val="single" w:sz="8" w:space="0" w:color="auto"/>
              <w:left w:val="nil"/>
              <w:bottom w:val="single" w:sz="8" w:space="0" w:color="auto"/>
              <w:right w:val="single" w:sz="8" w:space="0" w:color="auto"/>
            </w:tcBorders>
            <w:shd w:val="clear" w:color="000000" w:fill="D6E3BC"/>
            <w:vAlign w:val="center"/>
            <w:hideMark/>
          </w:tcPr>
          <w:p w:rsidR="009C7FEB" w:rsidRDefault="009C7FEB" w:rsidP="00205636">
            <w:pPr>
              <w:jc w:val="center"/>
              <w:rPr>
                <w:rFonts w:ascii="Arial" w:hAnsi="Arial" w:cs="Arial"/>
                <w:b/>
                <w:bCs/>
                <w:color w:val="000000"/>
                <w:sz w:val="16"/>
                <w:szCs w:val="16"/>
              </w:rPr>
            </w:pPr>
            <w:r>
              <w:rPr>
                <w:rFonts w:ascii="Arial" w:hAnsi="Arial" w:cs="Arial"/>
                <w:b/>
                <w:bCs/>
                <w:color w:val="000000"/>
                <w:sz w:val="16"/>
                <w:szCs w:val="16"/>
              </w:rPr>
              <w:t>Celková alokácia</w:t>
            </w:r>
          </w:p>
          <w:p w:rsidR="009C7FEB" w:rsidRDefault="009C7FEB" w:rsidP="00205636">
            <w:pPr>
              <w:jc w:val="center"/>
              <w:rPr>
                <w:rFonts w:ascii="Arial" w:hAnsi="Arial" w:cs="Arial"/>
                <w:b/>
                <w:bCs/>
                <w:color w:val="000000"/>
                <w:sz w:val="16"/>
                <w:szCs w:val="16"/>
              </w:rPr>
            </w:pPr>
            <w:r>
              <w:rPr>
                <w:rFonts w:ascii="Arial" w:hAnsi="Arial" w:cs="Arial"/>
                <w:b/>
                <w:bCs/>
                <w:color w:val="000000"/>
                <w:sz w:val="16"/>
                <w:szCs w:val="16"/>
              </w:rPr>
              <w:t xml:space="preserve">v </w:t>
            </w:r>
            <w:r>
              <w:rPr>
                <w:rFonts w:ascii="Arial" w:hAnsi="Arial" w:cs="Arial"/>
                <w:color w:val="000000"/>
                <w:sz w:val="16"/>
                <w:szCs w:val="16"/>
              </w:rPr>
              <w:t>€</w:t>
            </w:r>
          </w:p>
        </w:tc>
        <w:tc>
          <w:tcPr>
            <w:tcW w:w="1136" w:type="dxa"/>
            <w:tcBorders>
              <w:top w:val="single" w:sz="8" w:space="0" w:color="auto"/>
              <w:left w:val="nil"/>
              <w:bottom w:val="single" w:sz="8" w:space="0" w:color="auto"/>
              <w:right w:val="single" w:sz="8" w:space="0" w:color="auto"/>
            </w:tcBorders>
            <w:shd w:val="clear" w:color="000000" w:fill="D6E3BC"/>
            <w:vAlign w:val="center"/>
            <w:hideMark/>
          </w:tcPr>
          <w:p w:rsidR="009C7FEB" w:rsidRDefault="009C7FEB" w:rsidP="00205636">
            <w:pPr>
              <w:jc w:val="center"/>
              <w:rPr>
                <w:rFonts w:ascii="Arial" w:hAnsi="Arial" w:cs="Arial"/>
                <w:b/>
                <w:bCs/>
                <w:color w:val="000000"/>
                <w:sz w:val="16"/>
                <w:szCs w:val="16"/>
              </w:rPr>
            </w:pPr>
            <w:r>
              <w:rPr>
                <w:rFonts w:ascii="Arial" w:hAnsi="Arial" w:cs="Arial"/>
                <w:b/>
                <w:bCs/>
                <w:color w:val="000000"/>
                <w:sz w:val="16"/>
                <w:szCs w:val="16"/>
              </w:rPr>
              <w:t>Suma zazmluvnená (EÚ zdroje)</w:t>
            </w:r>
          </w:p>
          <w:p w:rsidR="009C7FEB" w:rsidRDefault="009C7FEB" w:rsidP="00205636">
            <w:pPr>
              <w:jc w:val="center"/>
              <w:rPr>
                <w:rFonts w:ascii="Arial" w:hAnsi="Arial" w:cs="Arial"/>
                <w:b/>
                <w:bCs/>
                <w:color w:val="000000"/>
                <w:sz w:val="16"/>
                <w:szCs w:val="16"/>
              </w:rPr>
            </w:pPr>
            <w:r>
              <w:rPr>
                <w:rFonts w:ascii="Arial" w:hAnsi="Arial" w:cs="Arial"/>
                <w:b/>
                <w:bCs/>
                <w:color w:val="000000"/>
                <w:sz w:val="16"/>
                <w:szCs w:val="16"/>
              </w:rPr>
              <w:t xml:space="preserve">v </w:t>
            </w:r>
            <w:r>
              <w:rPr>
                <w:rFonts w:ascii="Arial" w:hAnsi="Arial" w:cs="Arial"/>
                <w:color w:val="000000"/>
                <w:sz w:val="16"/>
                <w:szCs w:val="16"/>
              </w:rPr>
              <w:t>€</w:t>
            </w:r>
          </w:p>
        </w:tc>
        <w:tc>
          <w:tcPr>
            <w:tcW w:w="1560" w:type="dxa"/>
            <w:tcBorders>
              <w:top w:val="single" w:sz="8" w:space="0" w:color="auto"/>
              <w:left w:val="single" w:sz="8" w:space="0" w:color="auto"/>
              <w:bottom w:val="single" w:sz="8" w:space="0" w:color="000000"/>
              <w:right w:val="single" w:sz="8" w:space="0" w:color="auto"/>
            </w:tcBorders>
            <w:shd w:val="clear" w:color="000000" w:fill="D6E3BC"/>
            <w:vAlign w:val="center"/>
            <w:hideMark/>
          </w:tcPr>
          <w:p w:rsidR="009C7FEB" w:rsidRDefault="009C7FEB" w:rsidP="00205636">
            <w:pPr>
              <w:jc w:val="center"/>
              <w:rPr>
                <w:rFonts w:ascii="Arial" w:hAnsi="Arial" w:cs="Arial"/>
                <w:b/>
                <w:bCs/>
                <w:color w:val="000000"/>
                <w:sz w:val="16"/>
                <w:szCs w:val="16"/>
              </w:rPr>
            </w:pPr>
            <w:r>
              <w:rPr>
                <w:rFonts w:ascii="Arial" w:hAnsi="Arial" w:cs="Arial"/>
                <w:b/>
                <w:bCs/>
                <w:color w:val="000000"/>
                <w:sz w:val="16"/>
                <w:szCs w:val="16"/>
              </w:rPr>
              <w:t xml:space="preserve">Podiel zazmluvnených projektov na celkovej alokácii </w:t>
            </w:r>
          </w:p>
        </w:tc>
        <w:tc>
          <w:tcPr>
            <w:tcW w:w="1160" w:type="dxa"/>
            <w:tcBorders>
              <w:top w:val="single" w:sz="8" w:space="0" w:color="auto"/>
              <w:left w:val="nil"/>
              <w:bottom w:val="single" w:sz="8" w:space="0" w:color="auto"/>
              <w:right w:val="single" w:sz="8" w:space="0" w:color="auto"/>
            </w:tcBorders>
            <w:shd w:val="clear" w:color="000000" w:fill="D6E3BC"/>
            <w:vAlign w:val="center"/>
            <w:hideMark/>
          </w:tcPr>
          <w:p w:rsidR="009C7FEB" w:rsidRDefault="009C7FEB" w:rsidP="00205636">
            <w:pPr>
              <w:jc w:val="center"/>
              <w:rPr>
                <w:rFonts w:ascii="Arial" w:hAnsi="Arial" w:cs="Arial"/>
                <w:b/>
                <w:bCs/>
                <w:color w:val="000000"/>
                <w:sz w:val="16"/>
                <w:szCs w:val="16"/>
              </w:rPr>
            </w:pPr>
            <w:r>
              <w:rPr>
                <w:rFonts w:ascii="Arial" w:hAnsi="Arial" w:cs="Arial"/>
                <w:b/>
                <w:bCs/>
                <w:color w:val="000000"/>
                <w:sz w:val="16"/>
                <w:szCs w:val="16"/>
              </w:rPr>
              <w:t xml:space="preserve">Suma čerpaná </w:t>
            </w:r>
          </w:p>
          <w:p w:rsidR="009C7FEB" w:rsidRDefault="009C7FEB" w:rsidP="00205636">
            <w:pPr>
              <w:jc w:val="center"/>
              <w:rPr>
                <w:rFonts w:ascii="Arial" w:hAnsi="Arial" w:cs="Arial"/>
                <w:b/>
                <w:bCs/>
                <w:color w:val="000000"/>
                <w:sz w:val="16"/>
                <w:szCs w:val="16"/>
              </w:rPr>
            </w:pPr>
            <w:r>
              <w:rPr>
                <w:rFonts w:ascii="Arial" w:hAnsi="Arial" w:cs="Arial"/>
                <w:b/>
                <w:bCs/>
                <w:color w:val="000000"/>
                <w:sz w:val="16"/>
                <w:szCs w:val="16"/>
              </w:rPr>
              <w:t>(EÚ zdroje)</w:t>
            </w:r>
          </w:p>
          <w:p w:rsidR="009C7FEB" w:rsidRDefault="009C7FEB" w:rsidP="00205636">
            <w:pPr>
              <w:jc w:val="center"/>
              <w:rPr>
                <w:rFonts w:ascii="Arial" w:hAnsi="Arial" w:cs="Arial"/>
                <w:b/>
                <w:bCs/>
                <w:color w:val="000000"/>
                <w:sz w:val="16"/>
                <w:szCs w:val="16"/>
              </w:rPr>
            </w:pPr>
            <w:r>
              <w:rPr>
                <w:rFonts w:ascii="Arial" w:hAnsi="Arial" w:cs="Arial"/>
                <w:b/>
                <w:bCs/>
                <w:color w:val="000000"/>
                <w:sz w:val="16"/>
                <w:szCs w:val="16"/>
              </w:rPr>
              <w:t xml:space="preserve">v </w:t>
            </w:r>
            <w:r>
              <w:rPr>
                <w:rFonts w:ascii="Arial" w:hAnsi="Arial" w:cs="Arial"/>
                <w:color w:val="000000"/>
                <w:sz w:val="16"/>
                <w:szCs w:val="16"/>
              </w:rPr>
              <w:t>€</w:t>
            </w:r>
          </w:p>
        </w:tc>
        <w:tc>
          <w:tcPr>
            <w:tcW w:w="1360" w:type="dxa"/>
            <w:tcBorders>
              <w:top w:val="single" w:sz="8" w:space="0" w:color="auto"/>
              <w:left w:val="single" w:sz="8" w:space="0" w:color="auto"/>
              <w:bottom w:val="single" w:sz="8" w:space="0" w:color="000000"/>
              <w:right w:val="single" w:sz="8" w:space="0" w:color="auto"/>
            </w:tcBorders>
            <w:shd w:val="clear" w:color="000000" w:fill="D6E3BC"/>
            <w:vAlign w:val="center"/>
            <w:hideMark/>
          </w:tcPr>
          <w:p w:rsidR="009C7FEB" w:rsidRDefault="009C7FEB" w:rsidP="00205636">
            <w:pPr>
              <w:jc w:val="center"/>
              <w:rPr>
                <w:rFonts w:ascii="Arial" w:hAnsi="Arial" w:cs="Arial"/>
                <w:b/>
                <w:bCs/>
                <w:color w:val="000000"/>
                <w:sz w:val="16"/>
                <w:szCs w:val="16"/>
              </w:rPr>
            </w:pPr>
            <w:r>
              <w:rPr>
                <w:rFonts w:ascii="Arial" w:hAnsi="Arial" w:cs="Arial"/>
                <w:b/>
                <w:bCs/>
                <w:color w:val="000000"/>
                <w:sz w:val="16"/>
                <w:szCs w:val="16"/>
              </w:rPr>
              <w:t>Podiel čerpania projektov na celkovej alokácii</w:t>
            </w:r>
          </w:p>
        </w:tc>
      </w:tr>
      <w:tr w:rsidR="009C7FEB" w:rsidTr="0039268C">
        <w:trPr>
          <w:trHeight w:val="1140"/>
        </w:trPr>
        <w:tc>
          <w:tcPr>
            <w:tcW w:w="1520" w:type="dxa"/>
            <w:tcBorders>
              <w:top w:val="nil"/>
              <w:left w:val="single" w:sz="8" w:space="0" w:color="auto"/>
              <w:bottom w:val="single" w:sz="8" w:space="0" w:color="auto"/>
              <w:right w:val="single" w:sz="8" w:space="0" w:color="auto"/>
            </w:tcBorders>
            <w:shd w:val="clear" w:color="000000" w:fill="EAF1DD"/>
            <w:vAlign w:val="center"/>
            <w:hideMark/>
          </w:tcPr>
          <w:p w:rsidR="009C7FEB" w:rsidRDefault="009C7FEB" w:rsidP="00205636">
            <w:pPr>
              <w:rPr>
                <w:rFonts w:ascii="Arial" w:hAnsi="Arial" w:cs="Arial"/>
                <w:color w:val="000000"/>
                <w:sz w:val="16"/>
                <w:szCs w:val="16"/>
              </w:rPr>
            </w:pPr>
            <w:r>
              <w:rPr>
                <w:rFonts w:ascii="Arial" w:hAnsi="Arial" w:cs="Arial"/>
                <w:color w:val="000000"/>
                <w:sz w:val="16"/>
                <w:szCs w:val="16"/>
              </w:rPr>
              <w:t>HT 51  Podpora biodiverzity a ochrana prírody (vrátane Natura 2000)</w:t>
            </w:r>
          </w:p>
        </w:tc>
        <w:tc>
          <w:tcPr>
            <w:tcW w:w="960" w:type="dxa"/>
            <w:tcBorders>
              <w:top w:val="nil"/>
              <w:left w:val="nil"/>
              <w:bottom w:val="single" w:sz="8" w:space="0" w:color="auto"/>
              <w:right w:val="single" w:sz="8" w:space="0" w:color="auto"/>
            </w:tcBorders>
            <w:shd w:val="clear" w:color="auto" w:fill="auto"/>
            <w:vAlign w:val="center"/>
            <w:hideMark/>
          </w:tcPr>
          <w:p w:rsidR="009C7FEB" w:rsidRDefault="009C7FEB" w:rsidP="00205636">
            <w:pPr>
              <w:jc w:val="center"/>
              <w:rPr>
                <w:rFonts w:ascii="Arial" w:hAnsi="Arial" w:cs="Arial"/>
                <w:color w:val="000000"/>
                <w:sz w:val="16"/>
                <w:szCs w:val="16"/>
              </w:rPr>
            </w:pPr>
            <w:r>
              <w:rPr>
                <w:rFonts w:ascii="Arial" w:hAnsi="Arial" w:cs="Arial"/>
                <w:color w:val="000000"/>
                <w:sz w:val="16"/>
                <w:szCs w:val="16"/>
              </w:rPr>
              <w:t>5.1.+5.3</w:t>
            </w:r>
          </w:p>
        </w:tc>
        <w:tc>
          <w:tcPr>
            <w:tcW w:w="1120" w:type="dxa"/>
            <w:tcBorders>
              <w:top w:val="single" w:sz="8" w:space="0" w:color="auto"/>
              <w:left w:val="nil"/>
              <w:bottom w:val="single" w:sz="8" w:space="0" w:color="auto"/>
              <w:right w:val="single" w:sz="8" w:space="0" w:color="auto"/>
            </w:tcBorders>
            <w:shd w:val="clear" w:color="auto" w:fill="auto"/>
            <w:noWrap/>
            <w:vAlign w:val="center"/>
            <w:hideMark/>
          </w:tcPr>
          <w:p w:rsidR="009C7FEB" w:rsidRDefault="009C7FEB" w:rsidP="00205636">
            <w:pPr>
              <w:jc w:val="center"/>
              <w:rPr>
                <w:rFonts w:ascii="Arial" w:hAnsi="Arial" w:cs="Arial"/>
                <w:color w:val="000000"/>
                <w:sz w:val="16"/>
                <w:szCs w:val="16"/>
              </w:rPr>
            </w:pPr>
            <w:r>
              <w:rPr>
                <w:rFonts w:ascii="Arial" w:hAnsi="Arial" w:cs="Arial"/>
                <w:color w:val="000000"/>
                <w:sz w:val="16"/>
                <w:szCs w:val="16"/>
              </w:rPr>
              <w:t>30 454 161</w:t>
            </w:r>
          </w:p>
        </w:tc>
        <w:tc>
          <w:tcPr>
            <w:tcW w:w="1136" w:type="dxa"/>
            <w:tcBorders>
              <w:top w:val="single" w:sz="8" w:space="0" w:color="auto"/>
              <w:left w:val="nil"/>
              <w:bottom w:val="single" w:sz="8" w:space="0" w:color="auto"/>
              <w:right w:val="single" w:sz="8" w:space="0" w:color="auto"/>
            </w:tcBorders>
            <w:shd w:val="clear" w:color="auto" w:fill="auto"/>
            <w:noWrap/>
            <w:vAlign w:val="center"/>
            <w:hideMark/>
          </w:tcPr>
          <w:p w:rsidR="009C7FEB" w:rsidRDefault="009C7FEB" w:rsidP="00205636">
            <w:pPr>
              <w:jc w:val="center"/>
              <w:rPr>
                <w:rFonts w:ascii="Arial" w:hAnsi="Arial" w:cs="Arial"/>
                <w:color w:val="000000"/>
                <w:sz w:val="16"/>
                <w:szCs w:val="16"/>
              </w:rPr>
            </w:pPr>
            <w:r>
              <w:rPr>
                <w:rFonts w:ascii="Arial" w:hAnsi="Arial" w:cs="Arial"/>
                <w:color w:val="000000"/>
                <w:sz w:val="16"/>
                <w:szCs w:val="16"/>
              </w:rPr>
              <w:t>28 816 762</w:t>
            </w:r>
          </w:p>
        </w:tc>
        <w:tc>
          <w:tcPr>
            <w:tcW w:w="1560" w:type="dxa"/>
            <w:tcBorders>
              <w:top w:val="nil"/>
              <w:left w:val="nil"/>
              <w:bottom w:val="single" w:sz="8" w:space="0" w:color="auto"/>
              <w:right w:val="single" w:sz="8" w:space="0" w:color="auto"/>
            </w:tcBorders>
            <w:shd w:val="clear" w:color="auto" w:fill="auto"/>
            <w:noWrap/>
            <w:vAlign w:val="center"/>
            <w:hideMark/>
          </w:tcPr>
          <w:p w:rsidR="009C7FEB" w:rsidRDefault="009C7FEB" w:rsidP="00205636">
            <w:pPr>
              <w:jc w:val="center"/>
              <w:rPr>
                <w:rFonts w:ascii="Arial" w:hAnsi="Arial" w:cs="Arial"/>
                <w:color w:val="000000"/>
                <w:sz w:val="16"/>
                <w:szCs w:val="16"/>
              </w:rPr>
            </w:pPr>
            <w:r>
              <w:rPr>
                <w:rFonts w:ascii="Arial" w:hAnsi="Arial" w:cs="Arial"/>
                <w:color w:val="000000"/>
                <w:sz w:val="16"/>
                <w:szCs w:val="16"/>
              </w:rPr>
              <w:t>94,62%</w:t>
            </w:r>
          </w:p>
        </w:tc>
        <w:tc>
          <w:tcPr>
            <w:tcW w:w="1160" w:type="dxa"/>
            <w:tcBorders>
              <w:top w:val="single" w:sz="8" w:space="0" w:color="auto"/>
              <w:left w:val="nil"/>
              <w:bottom w:val="single" w:sz="8" w:space="0" w:color="auto"/>
              <w:right w:val="single" w:sz="8" w:space="0" w:color="auto"/>
            </w:tcBorders>
            <w:shd w:val="clear" w:color="auto" w:fill="auto"/>
            <w:noWrap/>
            <w:vAlign w:val="center"/>
            <w:hideMark/>
          </w:tcPr>
          <w:p w:rsidR="009C7FEB" w:rsidRDefault="009C7FEB" w:rsidP="00205636">
            <w:pPr>
              <w:jc w:val="center"/>
              <w:rPr>
                <w:rFonts w:ascii="Arial" w:hAnsi="Arial" w:cs="Arial"/>
                <w:color w:val="000000"/>
                <w:sz w:val="16"/>
                <w:szCs w:val="16"/>
              </w:rPr>
            </w:pPr>
            <w:r>
              <w:rPr>
                <w:rFonts w:ascii="Arial" w:hAnsi="Arial" w:cs="Arial"/>
                <w:color w:val="000000"/>
                <w:sz w:val="16"/>
                <w:szCs w:val="16"/>
              </w:rPr>
              <w:t>5 116 342</w:t>
            </w:r>
          </w:p>
        </w:tc>
        <w:tc>
          <w:tcPr>
            <w:tcW w:w="1360" w:type="dxa"/>
            <w:tcBorders>
              <w:top w:val="nil"/>
              <w:left w:val="nil"/>
              <w:bottom w:val="single" w:sz="8" w:space="0" w:color="auto"/>
              <w:right w:val="single" w:sz="8" w:space="0" w:color="auto"/>
            </w:tcBorders>
            <w:shd w:val="clear" w:color="auto" w:fill="auto"/>
            <w:noWrap/>
            <w:vAlign w:val="center"/>
            <w:hideMark/>
          </w:tcPr>
          <w:p w:rsidR="009C7FEB" w:rsidRDefault="009C7FEB" w:rsidP="00205636">
            <w:pPr>
              <w:jc w:val="center"/>
              <w:rPr>
                <w:rFonts w:ascii="Arial" w:hAnsi="Arial" w:cs="Arial"/>
                <w:color w:val="000000"/>
                <w:sz w:val="16"/>
                <w:szCs w:val="16"/>
              </w:rPr>
            </w:pPr>
            <w:r>
              <w:rPr>
                <w:rFonts w:ascii="Arial" w:hAnsi="Arial" w:cs="Arial"/>
                <w:color w:val="000000"/>
                <w:sz w:val="16"/>
                <w:szCs w:val="16"/>
              </w:rPr>
              <w:t>16,80%</w:t>
            </w:r>
          </w:p>
        </w:tc>
      </w:tr>
      <w:tr w:rsidR="009C7FEB" w:rsidTr="009C7FEB">
        <w:trPr>
          <w:trHeight w:val="915"/>
        </w:trPr>
        <w:tc>
          <w:tcPr>
            <w:tcW w:w="1520" w:type="dxa"/>
            <w:tcBorders>
              <w:top w:val="nil"/>
              <w:left w:val="single" w:sz="8" w:space="0" w:color="auto"/>
              <w:bottom w:val="single" w:sz="8" w:space="0" w:color="auto"/>
              <w:right w:val="single" w:sz="8" w:space="0" w:color="auto"/>
            </w:tcBorders>
            <w:shd w:val="clear" w:color="000000" w:fill="EAF1DD"/>
            <w:vAlign w:val="center"/>
            <w:hideMark/>
          </w:tcPr>
          <w:p w:rsidR="009C7FEB" w:rsidRDefault="009C7FEB" w:rsidP="00205636">
            <w:pPr>
              <w:rPr>
                <w:rFonts w:ascii="Arial" w:hAnsi="Arial" w:cs="Arial"/>
                <w:color w:val="000000"/>
                <w:sz w:val="16"/>
                <w:szCs w:val="16"/>
              </w:rPr>
            </w:pPr>
            <w:r>
              <w:rPr>
                <w:rFonts w:ascii="Arial" w:hAnsi="Arial" w:cs="Arial"/>
                <w:color w:val="000000"/>
                <w:sz w:val="16"/>
                <w:szCs w:val="16"/>
              </w:rPr>
              <w:t>HT 54 Iné opatrenia na zachovanie ŽP a predchádzanie rizikám</w:t>
            </w:r>
          </w:p>
        </w:tc>
        <w:tc>
          <w:tcPr>
            <w:tcW w:w="960" w:type="dxa"/>
            <w:tcBorders>
              <w:top w:val="nil"/>
              <w:left w:val="nil"/>
              <w:bottom w:val="single" w:sz="8" w:space="0" w:color="auto"/>
              <w:right w:val="single" w:sz="8" w:space="0" w:color="auto"/>
            </w:tcBorders>
            <w:shd w:val="clear" w:color="auto" w:fill="auto"/>
            <w:vAlign w:val="center"/>
            <w:hideMark/>
          </w:tcPr>
          <w:p w:rsidR="009C7FEB" w:rsidRDefault="009C7FEB" w:rsidP="00205636">
            <w:pPr>
              <w:jc w:val="center"/>
              <w:rPr>
                <w:rFonts w:ascii="Arial" w:hAnsi="Arial" w:cs="Arial"/>
                <w:color w:val="000000"/>
                <w:sz w:val="16"/>
                <w:szCs w:val="16"/>
              </w:rPr>
            </w:pPr>
            <w:r>
              <w:rPr>
                <w:rFonts w:ascii="Arial" w:hAnsi="Arial" w:cs="Arial"/>
                <w:color w:val="000000"/>
                <w:sz w:val="16"/>
                <w:szCs w:val="16"/>
              </w:rPr>
              <w:t>5.2</w:t>
            </w:r>
          </w:p>
        </w:tc>
        <w:tc>
          <w:tcPr>
            <w:tcW w:w="1120" w:type="dxa"/>
            <w:tcBorders>
              <w:top w:val="nil"/>
              <w:left w:val="nil"/>
              <w:bottom w:val="single" w:sz="8" w:space="0" w:color="auto"/>
              <w:right w:val="single" w:sz="8" w:space="0" w:color="auto"/>
            </w:tcBorders>
            <w:shd w:val="clear" w:color="auto" w:fill="auto"/>
            <w:noWrap/>
            <w:vAlign w:val="center"/>
            <w:hideMark/>
          </w:tcPr>
          <w:p w:rsidR="009C7FEB" w:rsidRDefault="009C7FEB" w:rsidP="00205636">
            <w:pPr>
              <w:jc w:val="center"/>
              <w:rPr>
                <w:rFonts w:ascii="Arial" w:hAnsi="Arial" w:cs="Arial"/>
                <w:color w:val="000000"/>
                <w:sz w:val="16"/>
                <w:szCs w:val="16"/>
              </w:rPr>
            </w:pPr>
            <w:r>
              <w:rPr>
                <w:rFonts w:ascii="Arial" w:hAnsi="Arial" w:cs="Arial"/>
                <w:color w:val="000000"/>
                <w:sz w:val="16"/>
                <w:szCs w:val="16"/>
              </w:rPr>
              <w:t>20 302 774</w:t>
            </w:r>
          </w:p>
        </w:tc>
        <w:tc>
          <w:tcPr>
            <w:tcW w:w="1136" w:type="dxa"/>
            <w:tcBorders>
              <w:top w:val="nil"/>
              <w:left w:val="nil"/>
              <w:bottom w:val="single" w:sz="8" w:space="0" w:color="auto"/>
              <w:right w:val="single" w:sz="8" w:space="0" w:color="auto"/>
            </w:tcBorders>
            <w:shd w:val="clear" w:color="auto" w:fill="auto"/>
            <w:noWrap/>
            <w:vAlign w:val="center"/>
            <w:hideMark/>
          </w:tcPr>
          <w:p w:rsidR="009C7FEB" w:rsidRDefault="009C7FEB" w:rsidP="00205636">
            <w:pPr>
              <w:jc w:val="center"/>
              <w:rPr>
                <w:rFonts w:ascii="Arial" w:hAnsi="Arial" w:cs="Arial"/>
                <w:color w:val="000000"/>
                <w:sz w:val="16"/>
                <w:szCs w:val="16"/>
              </w:rPr>
            </w:pPr>
            <w:r>
              <w:rPr>
                <w:rFonts w:ascii="Arial" w:hAnsi="Arial" w:cs="Arial"/>
                <w:color w:val="000000"/>
                <w:sz w:val="16"/>
                <w:szCs w:val="16"/>
              </w:rPr>
              <w:t>13 972 825</w:t>
            </w:r>
          </w:p>
        </w:tc>
        <w:tc>
          <w:tcPr>
            <w:tcW w:w="1560" w:type="dxa"/>
            <w:tcBorders>
              <w:top w:val="nil"/>
              <w:left w:val="nil"/>
              <w:bottom w:val="single" w:sz="8" w:space="0" w:color="auto"/>
              <w:right w:val="single" w:sz="8" w:space="0" w:color="auto"/>
            </w:tcBorders>
            <w:shd w:val="clear" w:color="auto" w:fill="auto"/>
            <w:noWrap/>
            <w:vAlign w:val="center"/>
            <w:hideMark/>
          </w:tcPr>
          <w:p w:rsidR="009C7FEB" w:rsidRDefault="009C7FEB" w:rsidP="00205636">
            <w:pPr>
              <w:jc w:val="center"/>
              <w:rPr>
                <w:rFonts w:ascii="Arial" w:hAnsi="Arial" w:cs="Arial"/>
                <w:color w:val="000000"/>
                <w:sz w:val="16"/>
                <w:szCs w:val="16"/>
              </w:rPr>
            </w:pPr>
            <w:r>
              <w:rPr>
                <w:rFonts w:ascii="Arial" w:hAnsi="Arial" w:cs="Arial"/>
                <w:color w:val="000000"/>
                <w:sz w:val="16"/>
                <w:szCs w:val="16"/>
              </w:rPr>
              <w:t>68,82%</w:t>
            </w:r>
          </w:p>
        </w:tc>
        <w:tc>
          <w:tcPr>
            <w:tcW w:w="1160" w:type="dxa"/>
            <w:tcBorders>
              <w:top w:val="nil"/>
              <w:left w:val="nil"/>
              <w:bottom w:val="single" w:sz="8" w:space="0" w:color="auto"/>
              <w:right w:val="single" w:sz="8" w:space="0" w:color="auto"/>
            </w:tcBorders>
            <w:shd w:val="clear" w:color="auto" w:fill="auto"/>
            <w:noWrap/>
            <w:vAlign w:val="center"/>
            <w:hideMark/>
          </w:tcPr>
          <w:p w:rsidR="009C7FEB" w:rsidRDefault="009C7FEB" w:rsidP="00205636">
            <w:pPr>
              <w:jc w:val="center"/>
              <w:rPr>
                <w:rFonts w:ascii="Arial" w:hAnsi="Arial" w:cs="Arial"/>
                <w:color w:val="000000"/>
                <w:sz w:val="16"/>
                <w:szCs w:val="16"/>
              </w:rPr>
            </w:pPr>
            <w:r>
              <w:rPr>
                <w:rFonts w:ascii="Arial" w:hAnsi="Arial" w:cs="Arial"/>
                <w:color w:val="000000"/>
                <w:sz w:val="16"/>
                <w:szCs w:val="16"/>
              </w:rPr>
              <w:t>5 671 358</w:t>
            </w:r>
          </w:p>
        </w:tc>
        <w:tc>
          <w:tcPr>
            <w:tcW w:w="1360" w:type="dxa"/>
            <w:tcBorders>
              <w:top w:val="nil"/>
              <w:left w:val="nil"/>
              <w:bottom w:val="single" w:sz="8" w:space="0" w:color="auto"/>
              <w:right w:val="single" w:sz="8" w:space="0" w:color="auto"/>
            </w:tcBorders>
            <w:shd w:val="clear" w:color="auto" w:fill="auto"/>
            <w:noWrap/>
            <w:vAlign w:val="center"/>
            <w:hideMark/>
          </w:tcPr>
          <w:p w:rsidR="009C7FEB" w:rsidRDefault="009C7FEB" w:rsidP="00205636">
            <w:pPr>
              <w:jc w:val="center"/>
              <w:rPr>
                <w:rFonts w:ascii="Arial" w:hAnsi="Arial" w:cs="Arial"/>
                <w:color w:val="000000"/>
                <w:sz w:val="16"/>
                <w:szCs w:val="16"/>
              </w:rPr>
            </w:pPr>
            <w:r>
              <w:rPr>
                <w:rFonts w:ascii="Arial" w:hAnsi="Arial" w:cs="Arial"/>
                <w:color w:val="000000"/>
                <w:sz w:val="16"/>
                <w:szCs w:val="16"/>
              </w:rPr>
              <w:t>27,93%</w:t>
            </w:r>
          </w:p>
        </w:tc>
      </w:tr>
      <w:tr w:rsidR="009C7FEB" w:rsidTr="009C7FEB">
        <w:trPr>
          <w:trHeight w:val="315"/>
        </w:trPr>
        <w:tc>
          <w:tcPr>
            <w:tcW w:w="1520" w:type="dxa"/>
            <w:tcBorders>
              <w:top w:val="nil"/>
              <w:left w:val="single" w:sz="8" w:space="0" w:color="auto"/>
              <w:bottom w:val="single" w:sz="8" w:space="0" w:color="auto"/>
              <w:right w:val="single" w:sz="8" w:space="0" w:color="auto"/>
            </w:tcBorders>
            <w:shd w:val="clear" w:color="000000" w:fill="EAF1DD"/>
            <w:vAlign w:val="center"/>
            <w:hideMark/>
          </w:tcPr>
          <w:p w:rsidR="009C7FEB" w:rsidRDefault="009C7FEB" w:rsidP="00205636">
            <w:pPr>
              <w:rPr>
                <w:rFonts w:ascii="Arial" w:hAnsi="Arial" w:cs="Arial"/>
                <w:b/>
                <w:bCs/>
                <w:color w:val="000000"/>
                <w:sz w:val="16"/>
                <w:szCs w:val="16"/>
              </w:rPr>
            </w:pPr>
            <w:r>
              <w:rPr>
                <w:rFonts w:ascii="Arial" w:hAnsi="Arial" w:cs="Arial"/>
                <w:b/>
                <w:bCs/>
                <w:color w:val="000000"/>
                <w:sz w:val="16"/>
                <w:szCs w:val="16"/>
              </w:rPr>
              <w:t>SPOLU</w:t>
            </w:r>
          </w:p>
        </w:tc>
        <w:tc>
          <w:tcPr>
            <w:tcW w:w="960" w:type="dxa"/>
            <w:tcBorders>
              <w:top w:val="nil"/>
              <w:left w:val="nil"/>
              <w:bottom w:val="single" w:sz="8" w:space="0" w:color="auto"/>
              <w:right w:val="single" w:sz="8" w:space="0" w:color="auto"/>
            </w:tcBorders>
            <w:shd w:val="clear" w:color="000000" w:fill="EAF1DD"/>
            <w:vAlign w:val="center"/>
            <w:hideMark/>
          </w:tcPr>
          <w:p w:rsidR="009C7FEB" w:rsidRDefault="009C7FEB" w:rsidP="00205636">
            <w:pPr>
              <w:rPr>
                <w:color w:val="000000"/>
                <w:sz w:val="20"/>
                <w:szCs w:val="20"/>
              </w:rPr>
            </w:pPr>
            <w:r>
              <w:rPr>
                <w:color w:val="000000"/>
                <w:sz w:val="20"/>
                <w:szCs w:val="20"/>
              </w:rPr>
              <w:t> </w:t>
            </w:r>
          </w:p>
        </w:tc>
        <w:tc>
          <w:tcPr>
            <w:tcW w:w="1120" w:type="dxa"/>
            <w:tcBorders>
              <w:top w:val="nil"/>
              <w:left w:val="nil"/>
              <w:bottom w:val="single" w:sz="8" w:space="0" w:color="auto"/>
              <w:right w:val="single" w:sz="8" w:space="0" w:color="auto"/>
            </w:tcBorders>
            <w:shd w:val="clear" w:color="000000" w:fill="EAF1DD"/>
            <w:noWrap/>
            <w:vAlign w:val="center"/>
            <w:hideMark/>
          </w:tcPr>
          <w:p w:rsidR="009C7FEB" w:rsidRDefault="009C7FEB" w:rsidP="00205636">
            <w:pPr>
              <w:jc w:val="center"/>
              <w:rPr>
                <w:rFonts w:ascii="Arial" w:hAnsi="Arial" w:cs="Arial"/>
                <w:b/>
                <w:bCs/>
                <w:color w:val="000000"/>
                <w:sz w:val="16"/>
                <w:szCs w:val="16"/>
              </w:rPr>
            </w:pPr>
            <w:r>
              <w:rPr>
                <w:rFonts w:ascii="Arial" w:hAnsi="Arial" w:cs="Arial"/>
                <w:b/>
                <w:bCs/>
                <w:color w:val="000000"/>
                <w:sz w:val="16"/>
                <w:szCs w:val="16"/>
              </w:rPr>
              <w:t>50 756 935</w:t>
            </w:r>
          </w:p>
        </w:tc>
        <w:tc>
          <w:tcPr>
            <w:tcW w:w="1136" w:type="dxa"/>
            <w:tcBorders>
              <w:top w:val="nil"/>
              <w:left w:val="nil"/>
              <w:bottom w:val="single" w:sz="8" w:space="0" w:color="auto"/>
              <w:right w:val="single" w:sz="8" w:space="0" w:color="auto"/>
            </w:tcBorders>
            <w:shd w:val="clear" w:color="000000" w:fill="EAF1DD"/>
            <w:noWrap/>
            <w:vAlign w:val="center"/>
            <w:hideMark/>
          </w:tcPr>
          <w:p w:rsidR="009C7FEB" w:rsidRDefault="009C7FEB" w:rsidP="00205636">
            <w:pPr>
              <w:jc w:val="center"/>
              <w:rPr>
                <w:rFonts w:ascii="Arial" w:hAnsi="Arial" w:cs="Arial"/>
                <w:b/>
                <w:bCs/>
                <w:color w:val="000000"/>
                <w:sz w:val="16"/>
                <w:szCs w:val="16"/>
              </w:rPr>
            </w:pPr>
            <w:r>
              <w:rPr>
                <w:rFonts w:ascii="Arial" w:hAnsi="Arial" w:cs="Arial"/>
                <w:b/>
                <w:bCs/>
                <w:color w:val="000000"/>
                <w:sz w:val="16"/>
                <w:szCs w:val="16"/>
              </w:rPr>
              <w:t>42 789 587</w:t>
            </w:r>
          </w:p>
        </w:tc>
        <w:tc>
          <w:tcPr>
            <w:tcW w:w="1560" w:type="dxa"/>
            <w:tcBorders>
              <w:top w:val="nil"/>
              <w:left w:val="nil"/>
              <w:bottom w:val="single" w:sz="8" w:space="0" w:color="auto"/>
              <w:right w:val="single" w:sz="8" w:space="0" w:color="auto"/>
            </w:tcBorders>
            <w:shd w:val="clear" w:color="000000" w:fill="EAF1DD"/>
            <w:noWrap/>
            <w:vAlign w:val="center"/>
            <w:hideMark/>
          </w:tcPr>
          <w:p w:rsidR="009C7FEB" w:rsidRDefault="009C7FEB" w:rsidP="00205636">
            <w:pPr>
              <w:jc w:val="center"/>
              <w:rPr>
                <w:rFonts w:ascii="Arial" w:hAnsi="Arial" w:cs="Arial"/>
                <w:b/>
                <w:bCs/>
                <w:color w:val="000000"/>
                <w:sz w:val="16"/>
                <w:szCs w:val="16"/>
              </w:rPr>
            </w:pPr>
            <w:r>
              <w:rPr>
                <w:rFonts w:ascii="Arial" w:hAnsi="Arial" w:cs="Arial"/>
                <w:b/>
                <w:bCs/>
                <w:color w:val="000000"/>
                <w:sz w:val="16"/>
                <w:szCs w:val="16"/>
              </w:rPr>
              <w:t>84,30%</w:t>
            </w:r>
          </w:p>
        </w:tc>
        <w:tc>
          <w:tcPr>
            <w:tcW w:w="1160" w:type="dxa"/>
            <w:tcBorders>
              <w:top w:val="nil"/>
              <w:left w:val="nil"/>
              <w:bottom w:val="single" w:sz="8" w:space="0" w:color="auto"/>
              <w:right w:val="single" w:sz="8" w:space="0" w:color="auto"/>
            </w:tcBorders>
            <w:shd w:val="clear" w:color="000000" w:fill="EAF1DD"/>
            <w:noWrap/>
            <w:vAlign w:val="center"/>
            <w:hideMark/>
          </w:tcPr>
          <w:p w:rsidR="009C7FEB" w:rsidRDefault="009C7FEB" w:rsidP="00205636">
            <w:pPr>
              <w:jc w:val="center"/>
              <w:rPr>
                <w:rFonts w:ascii="Arial" w:hAnsi="Arial" w:cs="Arial"/>
                <w:b/>
                <w:bCs/>
                <w:color w:val="000000"/>
                <w:sz w:val="16"/>
                <w:szCs w:val="16"/>
              </w:rPr>
            </w:pPr>
            <w:r>
              <w:rPr>
                <w:rFonts w:ascii="Arial" w:hAnsi="Arial" w:cs="Arial"/>
                <w:b/>
                <w:bCs/>
                <w:color w:val="000000"/>
                <w:sz w:val="16"/>
                <w:szCs w:val="16"/>
              </w:rPr>
              <w:t>10 787 701</w:t>
            </w:r>
          </w:p>
        </w:tc>
        <w:tc>
          <w:tcPr>
            <w:tcW w:w="1360" w:type="dxa"/>
            <w:tcBorders>
              <w:top w:val="nil"/>
              <w:left w:val="nil"/>
              <w:bottom w:val="single" w:sz="8" w:space="0" w:color="auto"/>
              <w:right w:val="single" w:sz="8" w:space="0" w:color="auto"/>
            </w:tcBorders>
            <w:shd w:val="clear" w:color="000000" w:fill="EAF1DD"/>
            <w:noWrap/>
            <w:vAlign w:val="center"/>
            <w:hideMark/>
          </w:tcPr>
          <w:p w:rsidR="009C7FEB" w:rsidRDefault="009C7FEB" w:rsidP="00205636">
            <w:pPr>
              <w:jc w:val="center"/>
              <w:rPr>
                <w:rFonts w:ascii="Arial" w:hAnsi="Arial" w:cs="Arial"/>
                <w:b/>
                <w:bCs/>
                <w:color w:val="000000"/>
                <w:sz w:val="16"/>
                <w:szCs w:val="16"/>
              </w:rPr>
            </w:pPr>
            <w:r>
              <w:rPr>
                <w:rFonts w:ascii="Arial" w:hAnsi="Arial" w:cs="Arial"/>
                <w:b/>
                <w:bCs/>
                <w:color w:val="000000"/>
                <w:sz w:val="16"/>
                <w:szCs w:val="16"/>
              </w:rPr>
              <w:t>21,25%</w:t>
            </w:r>
          </w:p>
        </w:tc>
      </w:tr>
    </w:tbl>
    <w:p w:rsidR="00617873" w:rsidRPr="00A322EA" w:rsidRDefault="00000CC9" w:rsidP="00205636">
      <w:pPr>
        <w:pStyle w:val="Zkladntextb"/>
        <w:spacing w:after="0" w:line="360" w:lineRule="auto"/>
        <w:ind w:left="0"/>
        <w:jc w:val="both"/>
        <w:rPr>
          <w:rFonts w:cs="Arial"/>
          <w:sz w:val="18"/>
          <w:szCs w:val="18"/>
        </w:rPr>
      </w:pPr>
      <w:r>
        <w:rPr>
          <w:rFonts w:cs="Arial"/>
          <w:sz w:val="18"/>
          <w:szCs w:val="18"/>
          <w:lang w:val="sk-SK"/>
        </w:rPr>
        <w:t>Zdroj: RO, ITMS</w:t>
      </w:r>
    </w:p>
    <w:p w:rsidR="00617873" w:rsidRDefault="004B2E7A" w:rsidP="00507035">
      <w:pPr>
        <w:pStyle w:val="Zkladntextb"/>
        <w:spacing w:before="120" w:after="120" w:line="360" w:lineRule="auto"/>
        <w:ind w:left="0"/>
        <w:jc w:val="both"/>
        <w:rPr>
          <w:rFonts w:cs="Arial"/>
          <w:lang w:val="sk-SK"/>
        </w:rPr>
      </w:pPr>
      <w:r>
        <w:rPr>
          <w:rFonts w:cs="Arial"/>
          <w:lang w:val="sk-SK"/>
        </w:rPr>
        <w:t>Graf č. 13</w:t>
      </w:r>
      <w:r w:rsidR="00617873">
        <w:rPr>
          <w:rFonts w:cs="Arial"/>
          <w:lang w:val="sk-SK"/>
        </w:rPr>
        <w:t xml:space="preserve"> </w:t>
      </w:r>
      <w:r w:rsidR="00617873" w:rsidRPr="006A2BF3">
        <w:rPr>
          <w:rFonts w:cs="Arial"/>
          <w:lang w:val="sk-SK"/>
        </w:rPr>
        <w:t xml:space="preserve">Operačný cieľ 5.1 - Prioritná téma </w:t>
      </w:r>
      <w:r w:rsidR="00617873">
        <w:rPr>
          <w:rFonts w:cs="Arial"/>
          <w:lang w:val="sk-SK"/>
        </w:rPr>
        <w:t xml:space="preserve">51 </w:t>
      </w:r>
      <w:bookmarkStart w:id="101" w:name="OLE_LINK37"/>
      <w:r w:rsidR="00617873">
        <w:rPr>
          <w:rFonts w:cs="Arial"/>
          <w:lang w:val="sk-SK"/>
        </w:rPr>
        <w:t>Podpora biodiverzity a ochrana prírody</w:t>
      </w:r>
      <w:bookmarkEnd w:id="101"/>
    </w:p>
    <w:p w:rsidR="00617873" w:rsidRDefault="00587FAE" w:rsidP="00507035">
      <w:pPr>
        <w:pStyle w:val="Zkladntextb"/>
        <w:spacing w:before="120" w:after="120" w:line="360" w:lineRule="auto"/>
        <w:ind w:left="0"/>
        <w:jc w:val="center"/>
        <w:rPr>
          <w:rFonts w:cs="Arial"/>
          <w:lang w:val="sk-SK"/>
        </w:rPr>
      </w:pPr>
      <w:r>
        <w:rPr>
          <w:noProof/>
          <w:lang w:val="sk-SK"/>
        </w:rPr>
        <w:drawing>
          <wp:inline distT="0" distB="0" distL="0" distR="0" wp14:anchorId="617102DF" wp14:editId="478821C4">
            <wp:extent cx="5979160" cy="3117215"/>
            <wp:effectExtent l="0" t="0" r="0" b="0"/>
            <wp:docPr id="15" name="Objekt 15"/>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56"/>
              </a:graphicData>
            </a:graphic>
          </wp:inline>
        </w:drawing>
      </w:r>
    </w:p>
    <w:tbl>
      <w:tblPr>
        <w:tblpPr w:leftFromText="141" w:rightFromText="141" w:vertAnchor="text" w:horzAnchor="margin" w:tblpY="232"/>
        <w:tblW w:w="1771" w:type="dxa"/>
        <w:tblCellMar>
          <w:left w:w="70" w:type="dxa"/>
          <w:right w:w="70" w:type="dxa"/>
        </w:tblCellMar>
        <w:tblLook w:val="04A0" w:firstRow="1" w:lastRow="0" w:firstColumn="1" w:lastColumn="0" w:noHBand="0" w:noVBand="1"/>
      </w:tblPr>
      <w:tblGrid>
        <w:gridCol w:w="202"/>
        <w:gridCol w:w="1576"/>
      </w:tblGrid>
      <w:tr w:rsidR="00617873" w:rsidRPr="00A322EA" w:rsidTr="00923048">
        <w:trPr>
          <w:trHeight w:val="284"/>
        </w:trPr>
        <w:tc>
          <w:tcPr>
            <w:tcW w:w="195" w:type="dxa"/>
            <w:tcBorders>
              <w:top w:val="nil"/>
              <w:left w:val="nil"/>
              <w:bottom w:val="nil"/>
              <w:right w:val="nil"/>
            </w:tcBorders>
            <w:shd w:val="clear" w:color="000000" w:fill="C00000"/>
            <w:noWrap/>
            <w:vAlign w:val="bottom"/>
            <w:hideMark/>
          </w:tcPr>
          <w:p w:rsidR="00617873" w:rsidRPr="00A322EA" w:rsidRDefault="00617873" w:rsidP="00507035">
            <w:pPr>
              <w:spacing w:before="120" w:after="120"/>
              <w:rPr>
                <w:rFonts w:ascii="Arial" w:hAnsi="Arial" w:cs="Arial"/>
                <w:color w:val="000000"/>
                <w:sz w:val="22"/>
                <w:szCs w:val="22"/>
              </w:rPr>
            </w:pPr>
            <w:r w:rsidRPr="00A322EA">
              <w:rPr>
                <w:rFonts w:ascii="Arial" w:hAnsi="Arial" w:cs="Arial"/>
                <w:color w:val="000000"/>
                <w:sz w:val="22"/>
                <w:szCs w:val="22"/>
              </w:rPr>
              <w:t> </w:t>
            </w:r>
          </w:p>
        </w:tc>
        <w:tc>
          <w:tcPr>
            <w:tcW w:w="1576" w:type="dxa"/>
            <w:tcBorders>
              <w:top w:val="nil"/>
              <w:left w:val="nil"/>
              <w:bottom w:val="nil"/>
              <w:right w:val="nil"/>
            </w:tcBorders>
            <w:noWrap/>
            <w:vAlign w:val="center"/>
            <w:hideMark/>
          </w:tcPr>
          <w:p w:rsidR="00617873" w:rsidRPr="00A322EA" w:rsidRDefault="00617873" w:rsidP="00507035">
            <w:pPr>
              <w:spacing w:before="120" w:after="120"/>
              <w:rPr>
                <w:rFonts w:ascii="Arial" w:hAnsi="Arial" w:cs="Arial"/>
                <w:color w:val="000000"/>
                <w:sz w:val="16"/>
                <w:szCs w:val="16"/>
              </w:rPr>
            </w:pPr>
            <w:r w:rsidRPr="00A322EA">
              <w:rPr>
                <w:rFonts w:ascii="Arial" w:hAnsi="Arial" w:cs="Arial"/>
                <w:color w:val="000000"/>
                <w:sz w:val="16"/>
                <w:szCs w:val="16"/>
              </w:rPr>
              <w:t>Úroveň zazmluvnenia</w:t>
            </w:r>
          </w:p>
        </w:tc>
      </w:tr>
      <w:tr w:rsidR="00617873" w:rsidRPr="00A322EA" w:rsidTr="00923048">
        <w:trPr>
          <w:trHeight w:val="227"/>
        </w:trPr>
        <w:tc>
          <w:tcPr>
            <w:tcW w:w="195" w:type="dxa"/>
            <w:tcBorders>
              <w:top w:val="nil"/>
              <w:left w:val="nil"/>
              <w:bottom w:val="nil"/>
              <w:right w:val="nil"/>
            </w:tcBorders>
            <w:shd w:val="clear" w:color="000000" w:fill="0070C0"/>
            <w:noWrap/>
            <w:vAlign w:val="bottom"/>
            <w:hideMark/>
          </w:tcPr>
          <w:p w:rsidR="00617873" w:rsidRPr="00A322EA" w:rsidRDefault="00617873" w:rsidP="00507035">
            <w:pPr>
              <w:spacing w:before="120" w:after="120"/>
              <w:rPr>
                <w:rFonts w:ascii="Arial" w:hAnsi="Arial" w:cs="Arial"/>
                <w:color w:val="000000"/>
                <w:sz w:val="22"/>
                <w:szCs w:val="22"/>
              </w:rPr>
            </w:pPr>
            <w:r w:rsidRPr="00A322EA">
              <w:rPr>
                <w:rFonts w:ascii="Arial" w:hAnsi="Arial" w:cs="Arial"/>
                <w:color w:val="000000"/>
                <w:sz w:val="22"/>
                <w:szCs w:val="22"/>
              </w:rPr>
              <w:t> </w:t>
            </w:r>
          </w:p>
        </w:tc>
        <w:tc>
          <w:tcPr>
            <w:tcW w:w="1576" w:type="dxa"/>
            <w:tcBorders>
              <w:top w:val="nil"/>
              <w:left w:val="nil"/>
              <w:bottom w:val="nil"/>
              <w:right w:val="nil"/>
            </w:tcBorders>
            <w:noWrap/>
            <w:vAlign w:val="center"/>
            <w:hideMark/>
          </w:tcPr>
          <w:p w:rsidR="00617873" w:rsidRPr="00A322EA" w:rsidRDefault="00617873" w:rsidP="00507035">
            <w:pPr>
              <w:spacing w:before="120" w:after="120"/>
              <w:rPr>
                <w:rFonts w:ascii="Arial" w:hAnsi="Arial" w:cs="Arial"/>
                <w:color w:val="000000"/>
                <w:sz w:val="16"/>
                <w:szCs w:val="16"/>
              </w:rPr>
            </w:pPr>
            <w:r w:rsidRPr="00A322EA">
              <w:rPr>
                <w:rFonts w:ascii="Arial" w:hAnsi="Arial" w:cs="Arial"/>
                <w:color w:val="000000"/>
                <w:sz w:val="16"/>
                <w:szCs w:val="16"/>
              </w:rPr>
              <w:t>Úroveň čerpania</w:t>
            </w:r>
          </w:p>
        </w:tc>
      </w:tr>
    </w:tbl>
    <w:p w:rsidR="00617873" w:rsidRPr="006A2BF3" w:rsidRDefault="00617873" w:rsidP="00507035">
      <w:pPr>
        <w:spacing w:before="120" w:after="120" w:line="360" w:lineRule="auto"/>
        <w:jc w:val="both"/>
        <w:rPr>
          <w:rFonts w:ascii="Arial" w:hAnsi="Arial" w:cs="Arial"/>
          <w:sz w:val="20"/>
          <w:szCs w:val="20"/>
        </w:rPr>
      </w:pPr>
      <w:r w:rsidRPr="006A2BF3">
        <w:rPr>
          <w:rFonts w:ascii="Arial" w:hAnsi="Arial" w:cs="Arial"/>
          <w:sz w:val="20"/>
          <w:szCs w:val="20"/>
        </w:rPr>
        <w:t>Na základe uvedeného prehľadu je zrejmé, že úroveň čer</w:t>
      </w:r>
      <w:r>
        <w:rPr>
          <w:rFonts w:ascii="Arial" w:hAnsi="Arial" w:cs="Arial"/>
          <w:sz w:val="20"/>
          <w:szCs w:val="20"/>
        </w:rPr>
        <w:t>pania alokácie m</w:t>
      </w:r>
      <w:r w:rsidR="006012AE">
        <w:rPr>
          <w:rFonts w:ascii="Arial" w:hAnsi="Arial" w:cs="Arial"/>
          <w:sz w:val="20"/>
          <w:szCs w:val="20"/>
        </w:rPr>
        <w:t>á</w:t>
      </w:r>
      <w:r>
        <w:rPr>
          <w:rFonts w:ascii="Arial" w:hAnsi="Arial" w:cs="Arial"/>
          <w:sz w:val="20"/>
          <w:szCs w:val="20"/>
        </w:rPr>
        <w:t xml:space="preserve"> vyšší trend, </w:t>
      </w:r>
      <w:r w:rsidRPr="006A2BF3">
        <w:rPr>
          <w:rFonts w:ascii="Arial" w:hAnsi="Arial" w:cs="Arial"/>
          <w:sz w:val="20"/>
          <w:szCs w:val="20"/>
        </w:rPr>
        <w:t xml:space="preserve">než je úroveň napĺňania plánovaných hodnôt merateľných </w:t>
      </w:r>
      <w:r>
        <w:rPr>
          <w:rFonts w:ascii="Arial" w:hAnsi="Arial" w:cs="Arial"/>
          <w:sz w:val="20"/>
          <w:szCs w:val="20"/>
        </w:rPr>
        <w:t xml:space="preserve">ukazovateľov stanovených v OP. </w:t>
      </w:r>
      <w:r w:rsidRPr="006A2BF3">
        <w:rPr>
          <w:rFonts w:ascii="Arial" w:hAnsi="Arial" w:cs="Arial"/>
          <w:sz w:val="20"/>
          <w:szCs w:val="20"/>
        </w:rPr>
        <w:t>Prekročenie čerpania alokácie oproti roku 2010 je spôsobené opravou vzájomného pomeru prioritných tém na schválených projektov a to hlavne medzi prioritnou témou HT51 a HT54.</w:t>
      </w:r>
    </w:p>
    <w:p w:rsidR="00617873" w:rsidRPr="006A2BF3" w:rsidRDefault="00617873" w:rsidP="00507035">
      <w:pPr>
        <w:spacing w:before="120" w:after="120" w:line="360" w:lineRule="auto"/>
        <w:jc w:val="both"/>
        <w:rPr>
          <w:rFonts w:ascii="Arial" w:hAnsi="Arial" w:cs="Arial"/>
          <w:sz w:val="20"/>
          <w:szCs w:val="20"/>
        </w:rPr>
      </w:pPr>
      <w:r w:rsidRPr="006A2BF3">
        <w:rPr>
          <w:rFonts w:ascii="Arial" w:hAnsi="Arial" w:cs="Arial"/>
          <w:sz w:val="20"/>
          <w:szCs w:val="20"/>
        </w:rPr>
        <w:t xml:space="preserve">Pri dosiahnutí </w:t>
      </w:r>
      <w:r w:rsidR="00AF7256">
        <w:rPr>
          <w:rFonts w:ascii="Arial" w:hAnsi="Arial" w:cs="Arial"/>
          <w:sz w:val="20"/>
          <w:szCs w:val="20"/>
        </w:rPr>
        <w:t>94,62</w:t>
      </w:r>
      <w:r w:rsidRPr="006A2BF3">
        <w:rPr>
          <w:rFonts w:ascii="Arial" w:hAnsi="Arial" w:cs="Arial"/>
          <w:sz w:val="20"/>
          <w:szCs w:val="20"/>
        </w:rPr>
        <w:t xml:space="preserve">% úrovne </w:t>
      </w:r>
      <w:r w:rsidR="00AF7256">
        <w:rPr>
          <w:rFonts w:ascii="Arial" w:hAnsi="Arial" w:cs="Arial"/>
          <w:sz w:val="20"/>
          <w:szCs w:val="20"/>
        </w:rPr>
        <w:t>zazmluvnenia</w:t>
      </w:r>
      <w:r w:rsidR="00AF7256" w:rsidRPr="006A2BF3">
        <w:rPr>
          <w:rFonts w:ascii="Arial" w:hAnsi="Arial" w:cs="Arial"/>
          <w:sz w:val="20"/>
          <w:szCs w:val="20"/>
        </w:rPr>
        <w:t xml:space="preserve"> </w:t>
      </w:r>
      <w:r w:rsidRPr="006A2BF3">
        <w:rPr>
          <w:rFonts w:ascii="Arial" w:hAnsi="Arial" w:cs="Arial"/>
          <w:sz w:val="20"/>
          <w:szCs w:val="20"/>
        </w:rPr>
        <w:t>alokácie prioritnej témy HT51 väčšina merateľných ukazovateľov</w:t>
      </w:r>
      <w:r>
        <w:rPr>
          <w:rFonts w:ascii="Arial" w:hAnsi="Arial" w:cs="Arial"/>
          <w:sz w:val="20"/>
          <w:szCs w:val="20"/>
        </w:rPr>
        <w:t xml:space="preserve"> nedosahuje požadovanú úroveň. Aj napriek tomu, že RO </w:t>
      </w:r>
      <w:r w:rsidRPr="006A2BF3">
        <w:rPr>
          <w:rFonts w:ascii="Arial" w:hAnsi="Arial" w:cs="Arial"/>
          <w:sz w:val="20"/>
          <w:szCs w:val="20"/>
        </w:rPr>
        <w:t>pre dan</w:t>
      </w:r>
      <w:r>
        <w:rPr>
          <w:rFonts w:ascii="Arial" w:hAnsi="Arial" w:cs="Arial"/>
          <w:sz w:val="20"/>
          <w:szCs w:val="20"/>
        </w:rPr>
        <w:t xml:space="preserve">ý operačný cieľ vyhlásil </w:t>
      </w:r>
      <w:r w:rsidRPr="006A2BF3">
        <w:rPr>
          <w:rFonts w:ascii="Arial" w:hAnsi="Arial" w:cs="Arial"/>
          <w:sz w:val="20"/>
          <w:szCs w:val="20"/>
        </w:rPr>
        <w:t>výzvy, úrovňou a charakterom schválených projektov nedošlo k naplneniu plánovaných hodnôt, okrem ukazovateľa počet chránených druhov, aj napriek vysokej miere zazmluvnenia. Dôvodom uvedeného stavu bol aj fakt, že prijímatelia predkladali vo väčšej miere projekty zamerané na operačné ciele 5.2 a 5.3, prípadne na kombináciu všetkých operačných cieľov</w:t>
      </w:r>
      <w:r>
        <w:rPr>
          <w:rFonts w:ascii="Arial" w:hAnsi="Arial" w:cs="Arial"/>
          <w:sz w:val="20"/>
          <w:szCs w:val="20"/>
        </w:rPr>
        <w:t xml:space="preserve"> s nižším zameraním na plnenie </w:t>
      </w:r>
      <w:r w:rsidRPr="006A2BF3">
        <w:rPr>
          <w:rFonts w:ascii="Arial" w:hAnsi="Arial" w:cs="Arial"/>
          <w:sz w:val="20"/>
          <w:szCs w:val="20"/>
        </w:rPr>
        <w:t>ukazovateľov v oblasti vypracovaných dokumentov starostlivosti o ú</w:t>
      </w:r>
      <w:r>
        <w:rPr>
          <w:rFonts w:ascii="Arial" w:hAnsi="Arial" w:cs="Arial"/>
          <w:sz w:val="20"/>
          <w:szCs w:val="20"/>
        </w:rPr>
        <w:t xml:space="preserve">zemia. </w:t>
      </w:r>
      <w:r w:rsidR="006012AE">
        <w:rPr>
          <w:rFonts w:ascii="Arial" w:hAnsi="Arial" w:cs="Arial"/>
          <w:sz w:val="20"/>
          <w:szCs w:val="20"/>
        </w:rPr>
        <w:t xml:space="preserve">Vzhľadom na to, že </w:t>
      </w:r>
      <w:r w:rsidRPr="006A2BF3">
        <w:rPr>
          <w:rFonts w:ascii="Arial" w:hAnsi="Arial" w:cs="Arial"/>
          <w:sz w:val="20"/>
          <w:szCs w:val="20"/>
        </w:rPr>
        <w:t xml:space="preserve">ukazovateľ „Počet realizovaných dokumentov starostlivosti o územia“ je priamo naviazaný na vypracovanie dokumentov starostlivosti o územia, nebolo ho možné v predložených projektoch naplniť. </w:t>
      </w:r>
    </w:p>
    <w:p w:rsidR="00617873" w:rsidRDefault="00617873" w:rsidP="00507035">
      <w:pPr>
        <w:pStyle w:val="Zkladntextb"/>
        <w:spacing w:before="120" w:after="120" w:line="360" w:lineRule="auto"/>
        <w:ind w:left="0"/>
        <w:jc w:val="both"/>
        <w:rPr>
          <w:rFonts w:cs="Arial"/>
          <w:lang w:val="sk-SK"/>
        </w:rPr>
      </w:pPr>
      <w:r w:rsidRPr="006A2BF3">
        <w:rPr>
          <w:rFonts w:cs="Arial"/>
          <w:lang w:val="sk-SK"/>
        </w:rPr>
        <w:t xml:space="preserve">S cieľom zabezpečiť v čo najväčšej miere naplnenie stanovených hodnôt ukazovateľov </w:t>
      </w:r>
      <w:r w:rsidRPr="00D70258">
        <w:rPr>
          <w:rFonts w:cs="Arial"/>
          <w:lang w:val="sk-SK"/>
        </w:rPr>
        <w:t xml:space="preserve">RO v roku 2012 </w:t>
      </w:r>
      <w:r w:rsidR="00DF30C3">
        <w:rPr>
          <w:rFonts w:cs="Arial"/>
          <w:lang w:val="sk-SK"/>
        </w:rPr>
        <w:t>pristúpil</w:t>
      </w:r>
      <w:r w:rsidRPr="00D70258">
        <w:rPr>
          <w:rFonts w:cs="Arial"/>
          <w:lang w:val="sk-SK"/>
        </w:rPr>
        <w:t xml:space="preserve"> k rokovaniam ohľadom možného presunu nevyčerpanej sumy z prioritnej témy HT54 do prioritnej témy HT51. Následne </w:t>
      </w:r>
      <w:r w:rsidR="00DF30C3">
        <w:rPr>
          <w:rFonts w:cs="Arial"/>
          <w:lang w:val="sk-SK"/>
        </w:rPr>
        <w:t>prebehli</w:t>
      </w:r>
      <w:r w:rsidRPr="00D70258">
        <w:rPr>
          <w:rFonts w:cs="Arial"/>
          <w:lang w:val="sk-SK"/>
        </w:rPr>
        <w:t xml:space="preserve"> rokovania v spolupráci so Sekciou ochrany prírody a tvorby krajiny a ŠOP SR za účelom prípravy takých projektov, ktoré by boli v čo najväčšej miere zamerané na napĺňanie ukazovateľov operačného cieľa 5.1 a k samotnému vyhláseniu výzvy v rámci operačného cieľa 5.1.</w:t>
      </w:r>
    </w:p>
    <w:p w:rsidR="00617873" w:rsidRDefault="004B2E7A" w:rsidP="00507035">
      <w:pPr>
        <w:pStyle w:val="Zkladntextb"/>
        <w:spacing w:before="120" w:after="120" w:line="360" w:lineRule="auto"/>
        <w:ind w:left="0"/>
        <w:jc w:val="both"/>
        <w:rPr>
          <w:rFonts w:cs="Arial"/>
          <w:lang w:val="sk-SK"/>
        </w:rPr>
      </w:pPr>
      <w:r>
        <w:rPr>
          <w:rFonts w:cs="Arial"/>
          <w:lang w:val="sk-SK"/>
        </w:rPr>
        <w:t>Graf č. 14</w:t>
      </w:r>
      <w:r w:rsidR="00617873">
        <w:rPr>
          <w:rFonts w:cs="Arial"/>
          <w:lang w:val="sk-SK"/>
        </w:rPr>
        <w:t xml:space="preserve"> </w:t>
      </w:r>
      <w:r w:rsidR="00617873" w:rsidRPr="006A2BF3">
        <w:rPr>
          <w:rFonts w:cs="Arial"/>
          <w:lang w:val="sk-SK"/>
        </w:rPr>
        <w:t xml:space="preserve">Operačný cieľ 5.2 - Prioritná téma </w:t>
      </w:r>
      <w:r w:rsidR="00617873">
        <w:rPr>
          <w:rFonts w:cs="Arial"/>
          <w:lang w:val="sk-SK"/>
        </w:rPr>
        <w:t>54 Iné opatrenia na zachovanie ŽP a predchádzanie rizikám</w:t>
      </w:r>
    </w:p>
    <w:p w:rsidR="00617873" w:rsidRDefault="00587FAE" w:rsidP="00507035">
      <w:pPr>
        <w:pStyle w:val="Zkladntextb"/>
        <w:spacing w:before="120" w:after="120" w:line="360" w:lineRule="auto"/>
        <w:ind w:left="0"/>
        <w:jc w:val="center"/>
        <w:rPr>
          <w:rFonts w:cs="Arial"/>
          <w:lang w:val="sk-SK"/>
        </w:rPr>
      </w:pPr>
      <w:r>
        <w:rPr>
          <w:noProof/>
          <w:lang w:val="sk-SK"/>
        </w:rPr>
        <w:drawing>
          <wp:inline distT="0" distB="0" distL="0" distR="0" wp14:anchorId="4C84469A" wp14:editId="09955917">
            <wp:extent cx="4710989" cy="3723437"/>
            <wp:effectExtent l="0" t="0" r="13970" b="10795"/>
            <wp:docPr id="16" name="Objekt 16"/>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57"/>
              </a:graphicData>
            </a:graphic>
          </wp:inline>
        </w:drawing>
      </w:r>
    </w:p>
    <w:tbl>
      <w:tblPr>
        <w:tblpPr w:leftFromText="141" w:rightFromText="141" w:vertAnchor="text" w:horzAnchor="margin" w:tblpY="232"/>
        <w:tblW w:w="1771" w:type="dxa"/>
        <w:tblCellMar>
          <w:left w:w="70" w:type="dxa"/>
          <w:right w:w="70" w:type="dxa"/>
        </w:tblCellMar>
        <w:tblLook w:val="04A0" w:firstRow="1" w:lastRow="0" w:firstColumn="1" w:lastColumn="0" w:noHBand="0" w:noVBand="1"/>
      </w:tblPr>
      <w:tblGrid>
        <w:gridCol w:w="202"/>
        <w:gridCol w:w="1576"/>
      </w:tblGrid>
      <w:tr w:rsidR="00617873" w:rsidRPr="00A322EA" w:rsidTr="00923048">
        <w:trPr>
          <w:trHeight w:val="284"/>
        </w:trPr>
        <w:tc>
          <w:tcPr>
            <w:tcW w:w="195" w:type="dxa"/>
            <w:tcBorders>
              <w:top w:val="nil"/>
              <w:left w:val="nil"/>
              <w:bottom w:val="nil"/>
              <w:right w:val="nil"/>
            </w:tcBorders>
            <w:shd w:val="clear" w:color="000000" w:fill="C00000"/>
            <w:noWrap/>
            <w:vAlign w:val="bottom"/>
            <w:hideMark/>
          </w:tcPr>
          <w:p w:rsidR="00617873" w:rsidRPr="00A322EA" w:rsidRDefault="00617873" w:rsidP="00507035">
            <w:pPr>
              <w:spacing w:before="120" w:after="120"/>
              <w:rPr>
                <w:rFonts w:ascii="Arial" w:hAnsi="Arial" w:cs="Arial"/>
                <w:color w:val="000000"/>
                <w:sz w:val="22"/>
                <w:szCs w:val="22"/>
              </w:rPr>
            </w:pPr>
            <w:r w:rsidRPr="00A322EA">
              <w:rPr>
                <w:rFonts w:ascii="Arial" w:hAnsi="Arial" w:cs="Arial"/>
                <w:color w:val="000000"/>
                <w:sz w:val="22"/>
                <w:szCs w:val="22"/>
              </w:rPr>
              <w:t> </w:t>
            </w:r>
          </w:p>
        </w:tc>
        <w:tc>
          <w:tcPr>
            <w:tcW w:w="1576" w:type="dxa"/>
            <w:tcBorders>
              <w:top w:val="nil"/>
              <w:left w:val="nil"/>
              <w:bottom w:val="nil"/>
              <w:right w:val="nil"/>
            </w:tcBorders>
            <w:noWrap/>
            <w:vAlign w:val="center"/>
            <w:hideMark/>
          </w:tcPr>
          <w:p w:rsidR="00617873" w:rsidRPr="00A322EA" w:rsidRDefault="00617873" w:rsidP="00507035">
            <w:pPr>
              <w:spacing w:before="120" w:after="120"/>
              <w:rPr>
                <w:rFonts w:ascii="Arial" w:hAnsi="Arial" w:cs="Arial"/>
                <w:color w:val="000000"/>
                <w:sz w:val="16"/>
                <w:szCs w:val="16"/>
              </w:rPr>
            </w:pPr>
            <w:r w:rsidRPr="00A322EA">
              <w:rPr>
                <w:rFonts w:ascii="Arial" w:hAnsi="Arial" w:cs="Arial"/>
                <w:color w:val="000000"/>
                <w:sz w:val="16"/>
                <w:szCs w:val="16"/>
              </w:rPr>
              <w:t>Úroveň zazmluvnenia</w:t>
            </w:r>
          </w:p>
        </w:tc>
      </w:tr>
      <w:tr w:rsidR="00617873" w:rsidRPr="00A322EA" w:rsidTr="00923048">
        <w:trPr>
          <w:trHeight w:val="227"/>
        </w:trPr>
        <w:tc>
          <w:tcPr>
            <w:tcW w:w="195" w:type="dxa"/>
            <w:tcBorders>
              <w:top w:val="nil"/>
              <w:left w:val="nil"/>
              <w:bottom w:val="nil"/>
              <w:right w:val="nil"/>
            </w:tcBorders>
            <w:shd w:val="clear" w:color="000000" w:fill="0070C0"/>
            <w:noWrap/>
            <w:vAlign w:val="bottom"/>
            <w:hideMark/>
          </w:tcPr>
          <w:p w:rsidR="00617873" w:rsidRPr="00A322EA" w:rsidRDefault="00617873" w:rsidP="00507035">
            <w:pPr>
              <w:spacing w:before="120" w:after="120"/>
              <w:rPr>
                <w:rFonts w:ascii="Arial" w:hAnsi="Arial" w:cs="Arial"/>
                <w:color w:val="000000"/>
                <w:sz w:val="22"/>
                <w:szCs w:val="22"/>
              </w:rPr>
            </w:pPr>
            <w:r w:rsidRPr="00A322EA">
              <w:rPr>
                <w:rFonts w:ascii="Arial" w:hAnsi="Arial" w:cs="Arial"/>
                <w:color w:val="000000"/>
                <w:sz w:val="22"/>
                <w:szCs w:val="22"/>
              </w:rPr>
              <w:t> </w:t>
            </w:r>
          </w:p>
        </w:tc>
        <w:tc>
          <w:tcPr>
            <w:tcW w:w="1576" w:type="dxa"/>
            <w:tcBorders>
              <w:top w:val="nil"/>
              <w:left w:val="nil"/>
              <w:bottom w:val="nil"/>
              <w:right w:val="nil"/>
            </w:tcBorders>
            <w:noWrap/>
            <w:vAlign w:val="center"/>
            <w:hideMark/>
          </w:tcPr>
          <w:p w:rsidR="00617873" w:rsidRPr="00A322EA" w:rsidRDefault="00617873" w:rsidP="00507035">
            <w:pPr>
              <w:spacing w:before="120" w:after="120"/>
              <w:rPr>
                <w:rFonts w:ascii="Arial" w:hAnsi="Arial" w:cs="Arial"/>
                <w:color w:val="000000"/>
                <w:sz w:val="16"/>
                <w:szCs w:val="16"/>
              </w:rPr>
            </w:pPr>
            <w:r w:rsidRPr="00A322EA">
              <w:rPr>
                <w:rFonts w:ascii="Arial" w:hAnsi="Arial" w:cs="Arial"/>
                <w:color w:val="000000"/>
                <w:sz w:val="16"/>
                <w:szCs w:val="16"/>
              </w:rPr>
              <w:t>Úroveň čerpania</w:t>
            </w:r>
          </w:p>
        </w:tc>
      </w:tr>
    </w:tbl>
    <w:p w:rsidR="00617873" w:rsidRPr="006A2BF3" w:rsidRDefault="00617873" w:rsidP="00507035">
      <w:pPr>
        <w:spacing w:before="120" w:after="120" w:line="360" w:lineRule="auto"/>
        <w:jc w:val="both"/>
        <w:rPr>
          <w:rFonts w:ascii="Arial" w:hAnsi="Arial" w:cs="Arial"/>
          <w:sz w:val="20"/>
          <w:szCs w:val="20"/>
        </w:rPr>
      </w:pPr>
      <w:r w:rsidRPr="006A2BF3">
        <w:rPr>
          <w:rFonts w:ascii="Arial" w:hAnsi="Arial" w:cs="Arial"/>
          <w:sz w:val="20"/>
          <w:szCs w:val="20"/>
        </w:rPr>
        <w:t xml:space="preserve">Úroveň </w:t>
      </w:r>
      <w:r>
        <w:rPr>
          <w:rFonts w:ascii="Arial" w:hAnsi="Arial" w:cs="Arial"/>
          <w:sz w:val="20"/>
          <w:szCs w:val="20"/>
        </w:rPr>
        <w:t>zazmluvnenia</w:t>
      </w:r>
      <w:r w:rsidRPr="006A2BF3">
        <w:rPr>
          <w:rFonts w:ascii="Arial" w:hAnsi="Arial" w:cs="Arial"/>
          <w:sz w:val="20"/>
          <w:szCs w:val="20"/>
        </w:rPr>
        <w:t xml:space="preserve"> alokácie prioritnej témy HT54</w:t>
      </w:r>
      <w:r>
        <w:rPr>
          <w:rFonts w:ascii="Arial" w:hAnsi="Arial" w:cs="Arial"/>
          <w:sz w:val="20"/>
          <w:szCs w:val="20"/>
        </w:rPr>
        <w:t xml:space="preserve"> </w:t>
      </w:r>
      <w:r w:rsidRPr="006A2BF3">
        <w:rPr>
          <w:rFonts w:ascii="Arial" w:hAnsi="Arial" w:cs="Arial"/>
          <w:sz w:val="20"/>
          <w:szCs w:val="20"/>
        </w:rPr>
        <w:t xml:space="preserve">predstavuje </w:t>
      </w:r>
      <w:r w:rsidR="00EF75B4">
        <w:rPr>
          <w:rFonts w:ascii="Arial" w:hAnsi="Arial" w:cs="Arial"/>
          <w:sz w:val="20"/>
          <w:szCs w:val="20"/>
        </w:rPr>
        <w:t>68,82</w:t>
      </w:r>
      <w:r w:rsidR="0065734F">
        <w:rPr>
          <w:rFonts w:ascii="Arial" w:hAnsi="Arial" w:cs="Arial"/>
          <w:sz w:val="20"/>
          <w:szCs w:val="20"/>
        </w:rPr>
        <w:t xml:space="preserve"> </w:t>
      </w:r>
      <w:r w:rsidRPr="006A2BF3">
        <w:rPr>
          <w:rFonts w:ascii="Arial" w:hAnsi="Arial" w:cs="Arial"/>
          <w:sz w:val="20"/>
          <w:szCs w:val="20"/>
        </w:rPr>
        <w:t xml:space="preserve">%, pričom hodnoty merateľných ukazovateľov stanovené v operačnom programe pre operačný cieľ </w:t>
      </w:r>
      <w:r>
        <w:rPr>
          <w:rFonts w:ascii="Arial" w:hAnsi="Arial" w:cs="Arial"/>
          <w:sz w:val="20"/>
          <w:szCs w:val="20"/>
        </w:rPr>
        <w:t>5.2 dosahujú 43,48</w:t>
      </w:r>
      <w:r w:rsidR="0065734F">
        <w:rPr>
          <w:rFonts w:ascii="Arial" w:hAnsi="Arial" w:cs="Arial"/>
          <w:sz w:val="20"/>
          <w:szCs w:val="20"/>
        </w:rPr>
        <w:t xml:space="preserve"> </w:t>
      </w:r>
      <w:r>
        <w:rPr>
          <w:rFonts w:ascii="Arial" w:hAnsi="Arial" w:cs="Arial"/>
          <w:sz w:val="20"/>
          <w:szCs w:val="20"/>
        </w:rPr>
        <w:t xml:space="preserve">% v prípade </w:t>
      </w:r>
      <w:r w:rsidRPr="006A2BF3">
        <w:rPr>
          <w:rFonts w:ascii="Arial" w:hAnsi="Arial" w:cs="Arial"/>
          <w:sz w:val="20"/>
          <w:szCs w:val="20"/>
        </w:rPr>
        <w:t>ukazovateľa „Percento z celkového počtu chránených území, pre ktoré boli vybudované alebo zrekonštruovan</w:t>
      </w:r>
      <w:r>
        <w:rPr>
          <w:rFonts w:ascii="Arial" w:hAnsi="Arial" w:cs="Arial"/>
          <w:sz w:val="20"/>
          <w:szCs w:val="20"/>
        </w:rPr>
        <w:t>é zariadenia“, a hodnotu 22</w:t>
      </w:r>
      <w:r w:rsidR="00EF75B4">
        <w:rPr>
          <w:rFonts w:ascii="Arial" w:hAnsi="Arial" w:cs="Arial"/>
          <w:sz w:val="20"/>
          <w:szCs w:val="20"/>
        </w:rPr>
        <w:t>6</w:t>
      </w:r>
      <w:r w:rsidR="0065734F">
        <w:rPr>
          <w:rFonts w:ascii="Arial" w:hAnsi="Arial" w:cs="Arial"/>
          <w:sz w:val="20"/>
          <w:szCs w:val="20"/>
        </w:rPr>
        <w:t xml:space="preserve"> </w:t>
      </w:r>
      <w:r>
        <w:rPr>
          <w:rFonts w:ascii="Arial" w:hAnsi="Arial" w:cs="Arial"/>
          <w:sz w:val="20"/>
          <w:szCs w:val="20"/>
        </w:rPr>
        <w:t xml:space="preserve">% v prípade </w:t>
      </w:r>
      <w:r w:rsidRPr="006A2BF3">
        <w:rPr>
          <w:rFonts w:ascii="Arial" w:hAnsi="Arial" w:cs="Arial"/>
          <w:sz w:val="20"/>
          <w:szCs w:val="20"/>
        </w:rPr>
        <w:t>ukazovateľa „Počet vybudovaných alebo zrekonštruovaných zariadení pre účely ochrany prírody a krajiny“, čím bola plánovaná hodnota stanovená</w:t>
      </w:r>
      <w:r>
        <w:rPr>
          <w:rFonts w:ascii="Arial" w:hAnsi="Arial" w:cs="Arial"/>
          <w:sz w:val="20"/>
          <w:szCs w:val="20"/>
        </w:rPr>
        <w:t xml:space="preserve"> v operačnom programe splnená. </w:t>
      </w:r>
      <w:r w:rsidRPr="006A2BF3">
        <w:rPr>
          <w:rFonts w:ascii="Arial" w:hAnsi="Arial" w:cs="Arial"/>
          <w:sz w:val="20"/>
          <w:szCs w:val="20"/>
        </w:rPr>
        <w:t>Ukazovateľ „Percento z celkového počtu území, pre ktoré boli vybudované alebo zrekonštruované zariadenia“ vykazuje nižšiu mieru naplnenia, čo je spôsobené tým, že v rámci jedného chráneného územia bolo realizovaných viac projektov pri rovnakej ploche chráneného územia.</w:t>
      </w:r>
    </w:p>
    <w:p w:rsidR="00617873" w:rsidRPr="006A2BF3" w:rsidRDefault="00617873" w:rsidP="00507035">
      <w:pPr>
        <w:spacing w:before="120" w:after="120" w:line="360" w:lineRule="auto"/>
        <w:jc w:val="both"/>
        <w:rPr>
          <w:rFonts w:ascii="Arial" w:hAnsi="Arial" w:cs="Arial"/>
          <w:sz w:val="20"/>
          <w:szCs w:val="20"/>
        </w:rPr>
      </w:pPr>
      <w:r w:rsidRPr="00DF30C3">
        <w:rPr>
          <w:rFonts w:ascii="Arial" w:hAnsi="Arial" w:cs="Arial"/>
          <w:sz w:val="20"/>
          <w:szCs w:val="20"/>
        </w:rPr>
        <w:t>V dôsledku nevyhovujúceho vývoja napĺňania ukazovateľov operačného cieľa 5.1 a jeho nedostatočnej zvyšnej alokácie plánuje RO v roku 2012 presun prostriedkov z prioritnej témy HT54 do prioritnej témy HT51 tak, aby mohla byť vyhlásená výzva na operačný cieľ 5.1 za účelom zvýšenia napĺňania hodnôt i ukazovateľov.</w:t>
      </w:r>
    </w:p>
    <w:p w:rsidR="00617873" w:rsidRDefault="00617873" w:rsidP="00507035">
      <w:pPr>
        <w:pStyle w:val="Zkladntextb"/>
        <w:spacing w:before="120" w:after="120" w:line="360" w:lineRule="auto"/>
        <w:ind w:left="0"/>
        <w:jc w:val="both"/>
        <w:rPr>
          <w:rFonts w:cs="Arial"/>
          <w:lang w:val="sk-SK"/>
        </w:rPr>
      </w:pPr>
      <w:r w:rsidRPr="006A2BF3">
        <w:rPr>
          <w:rFonts w:cs="Arial"/>
          <w:lang w:val="sk-SK"/>
        </w:rPr>
        <w:t xml:space="preserve">Vzájomný pomer finančnej úrovne čerpania danej prioritnej témy na úrovni </w:t>
      </w:r>
      <w:r w:rsidR="00EF75B4">
        <w:rPr>
          <w:rFonts w:cs="Arial"/>
          <w:lang w:val="sk-SK"/>
        </w:rPr>
        <w:t>27,93</w:t>
      </w:r>
      <w:r w:rsidRPr="006A2BF3">
        <w:rPr>
          <w:rFonts w:cs="Arial"/>
          <w:lang w:val="sk-SK"/>
        </w:rPr>
        <w:t>% a fyzického pokroku zazmluvnených projekto</w:t>
      </w:r>
      <w:r>
        <w:rPr>
          <w:rFonts w:cs="Arial"/>
          <w:lang w:val="sk-SK"/>
        </w:rPr>
        <w:t xml:space="preserve">v odzrkadľuje </w:t>
      </w:r>
      <w:r w:rsidRPr="006A2BF3">
        <w:rPr>
          <w:rFonts w:cs="Arial"/>
          <w:lang w:val="sk-SK"/>
        </w:rPr>
        <w:t>pokrok v realizácii projektov a možno ho považovať za rovnomerný a primeraný vzhľadom na počet ukončených projektov a projektov v realizácii ako aj charakter projektov, kedy finančný pokrok na projektoch je v miernom oneskorení oproti fyzickému pokroku.</w:t>
      </w:r>
    </w:p>
    <w:p w:rsidR="00617873" w:rsidRDefault="004B2E7A" w:rsidP="00507035">
      <w:pPr>
        <w:pStyle w:val="Zkladntextb"/>
        <w:spacing w:before="120" w:after="120" w:line="360" w:lineRule="auto"/>
        <w:ind w:left="0"/>
        <w:jc w:val="both"/>
        <w:rPr>
          <w:rFonts w:cs="Arial"/>
          <w:lang w:val="sk-SK"/>
        </w:rPr>
      </w:pPr>
      <w:r>
        <w:rPr>
          <w:rFonts w:cs="Arial"/>
          <w:lang w:val="sk-SK"/>
        </w:rPr>
        <w:t>Graf č. 15</w:t>
      </w:r>
      <w:r w:rsidR="00617873">
        <w:rPr>
          <w:rFonts w:cs="Arial"/>
          <w:lang w:val="sk-SK"/>
        </w:rPr>
        <w:t xml:space="preserve"> </w:t>
      </w:r>
      <w:r w:rsidR="00617873" w:rsidRPr="006A2BF3">
        <w:rPr>
          <w:rFonts w:cs="Arial"/>
          <w:lang w:val="sk-SK"/>
        </w:rPr>
        <w:t xml:space="preserve">Operačný cieľ 5.3 - Prioritná téma </w:t>
      </w:r>
      <w:r w:rsidR="00617873">
        <w:rPr>
          <w:rFonts w:cs="Arial"/>
          <w:lang w:val="sk-SK"/>
        </w:rPr>
        <w:t>51 Podpora biodiverzity a ochrana prírody</w:t>
      </w:r>
    </w:p>
    <w:p w:rsidR="00617873" w:rsidRDefault="00587FAE" w:rsidP="00507035">
      <w:pPr>
        <w:pStyle w:val="Zkladntextb"/>
        <w:spacing w:before="120" w:after="120" w:line="360" w:lineRule="auto"/>
        <w:ind w:left="0"/>
        <w:jc w:val="center"/>
        <w:rPr>
          <w:rFonts w:cs="Arial"/>
          <w:lang w:val="sk-SK"/>
        </w:rPr>
      </w:pPr>
      <w:r>
        <w:rPr>
          <w:noProof/>
          <w:lang w:val="sk-SK"/>
        </w:rPr>
        <w:drawing>
          <wp:inline distT="0" distB="0" distL="0" distR="0" wp14:anchorId="41878459" wp14:editId="06ED1EA1">
            <wp:extent cx="5120640" cy="2545690"/>
            <wp:effectExtent l="0" t="0" r="22860" b="26670"/>
            <wp:docPr id="17" name="Objekt 17"/>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58"/>
              </a:graphicData>
            </a:graphic>
          </wp:inline>
        </w:drawing>
      </w:r>
    </w:p>
    <w:tbl>
      <w:tblPr>
        <w:tblpPr w:leftFromText="141" w:rightFromText="141" w:vertAnchor="text" w:horzAnchor="margin" w:tblpY="232"/>
        <w:tblW w:w="1771" w:type="dxa"/>
        <w:tblCellMar>
          <w:left w:w="70" w:type="dxa"/>
          <w:right w:w="70" w:type="dxa"/>
        </w:tblCellMar>
        <w:tblLook w:val="04A0" w:firstRow="1" w:lastRow="0" w:firstColumn="1" w:lastColumn="0" w:noHBand="0" w:noVBand="1"/>
      </w:tblPr>
      <w:tblGrid>
        <w:gridCol w:w="202"/>
        <w:gridCol w:w="1576"/>
      </w:tblGrid>
      <w:tr w:rsidR="00617873" w:rsidRPr="00A322EA" w:rsidTr="00923048">
        <w:trPr>
          <w:trHeight w:val="284"/>
        </w:trPr>
        <w:tc>
          <w:tcPr>
            <w:tcW w:w="195" w:type="dxa"/>
            <w:tcBorders>
              <w:top w:val="nil"/>
              <w:left w:val="nil"/>
              <w:bottom w:val="nil"/>
              <w:right w:val="nil"/>
            </w:tcBorders>
            <w:shd w:val="clear" w:color="000000" w:fill="C00000"/>
            <w:noWrap/>
            <w:vAlign w:val="bottom"/>
            <w:hideMark/>
          </w:tcPr>
          <w:p w:rsidR="00617873" w:rsidRPr="00A322EA" w:rsidRDefault="00617873" w:rsidP="00507035">
            <w:pPr>
              <w:spacing w:before="120" w:after="120"/>
              <w:rPr>
                <w:rFonts w:ascii="Arial" w:hAnsi="Arial" w:cs="Arial"/>
                <w:color w:val="000000"/>
                <w:sz w:val="22"/>
                <w:szCs w:val="22"/>
              </w:rPr>
            </w:pPr>
            <w:r w:rsidRPr="00A322EA">
              <w:rPr>
                <w:rFonts w:ascii="Arial" w:hAnsi="Arial" w:cs="Arial"/>
                <w:color w:val="000000"/>
                <w:sz w:val="22"/>
                <w:szCs w:val="22"/>
              </w:rPr>
              <w:t> </w:t>
            </w:r>
          </w:p>
        </w:tc>
        <w:tc>
          <w:tcPr>
            <w:tcW w:w="1576" w:type="dxa"/>
            <w:tcBorders>
              <w:top w:val="nil"/>
              <w:left w:val="nil"/>
              <w:bottom w:val="nil"/>
              <w:right w:val="nil"/>
            </w:tcBorders>
            <w:noWrap/>
            <w:vAlign w:val="center"/>
            <w:hideMark/>
          </w:tcPr>
          <w:p w:rsidR="00617873" w:rsidRPr="00A322EA" w:rsidRDefault="00617873" w:rsidP="00507035">
            <w:pPr>
              <w:spacing w:before="120" w:after="120"/>
              <w:rPr>
                <w:rFonts w:ascii="Arial" w:hAnsi="Arial" w:cs="Arial"/>
                <w:color w:val="000000"/>
                <w:sz w:val="16"/>
                <w:szCs w:val="16"/>
              </w:rPr>
            </w:pPr>
            <w:r w:rsidRPr="00A322EA">
              <w:rPr>
                <w:rFonts w:ascii="Arial" w:hAnsi="Arial" w:cs="Arial"/>
                <w:color w:val="000000"/>
                <w:sz w:val="16"/>
                <w:szCs w:val="16"/>
              </w:rPr>
              <w:t>Úroveň zazmluvnenia</w:t>
            </w:r>
          </w:p>
        </w:tc>
      </w:tr>
      <w:tr w:rsidR="00617873" w:rsidRPr="00A322EA" w:rsidTr="00923048">
        <w:trPr>
          <w:trHeight w:val="227"/>
        </w:trPr>
        <w:tc>
          <w:tcPr>
            <w:tcW w:w="195" w:type="dxa"/>
            <w:tcBorders>
              <w:top w:val="nil"/>
              <w:left w:val="nil"/>
              <w:bottom w:val="nil"/>
              <w:right w:val="nil"/>
            </w:tcBorders>
            <w:shd w:val="clear" w:color="000000" w:fill="0070C0"/>
            <w:noWrap/>
            <w:vAlign w:val="bottom"/>
            <w:hideMark/>
          </w:tcPr>
          <w:p w:rsidR="00617873" w:rsidRPr="00A322EA" w:rsidRDefault="00617873" w:rsidP="00507035">
            <w:pPr>
              <w:spacing w:before="120" w:after="120"/>
              <w:rPr>
                <w:rFonts w:ascii="Arial" w:hAnsi="Arial" w:cs="Arial"/>
                <w:color w:val="000000"/>
                <w:sz w:val="22"/>
                <w:szCs w:val="22"/>
              </w:rPr>
            </w:pPr>
            <w:r w:rsidRPr="00A322EA">
              <w:rPr>
                <w:rFonts w:ascii="Arial" w:hAnsi="Arial" w:cs="Arial"/>
                <w:color w:val="000000"/>
                <w:sz w:val="22"/>
                <w:szCs w:val="22"/>
              </w:rPr>
              <w:t> </w:t>
            </w:r>
          </w:p>
        </w:tc>
        <w:tc>
          <w:tcPr>
            <w:tcW w:w="1576" w:type="dxa"/>
            <w:tcBorders>
              <w:top w:val="nil"/>
              <w:left w:val="nil"/>
              <w:bottom w:val="nil"/>
              <w:right w:val="nil"/>
            </w:tcBorders>
            <w:noWrap/>
            <w:vAlign w:val="center"/>
            <w:hideMark/>
          </w:tcPr>
          <w:p w:rsidR="00617873" w:rsidRPr="00A322EA" w:rsidRDefault="00617873" w:rsidP="00507035">
            <w:pPr>
              <w:spacing w:before="120" w:after="120"/>
              <w:rPr>
                <w:rFonts w:ascii="Arial" w:hAnsi="Arial" w:cs="Arial"/>
                <w:color w:val="000000"/>
                <w:sz w:val="16"/>
                <w:szCs w:val="16"/>
              </w:rPr>
            </w:pPr>
            <w:r w:rsidRPr="00A322EA">
              <w:rPr>
                <w:rFonts w:ascii="Arial" w:hAnsi="Arial" w:cs="Arial"/>
                <w:color w:val="000000"/>
                <w:sz w:val="16"/>
                <w:szCs w:val="16"/>
              </w:rPr>
              <w:t>Úroveň čerpania</w:t>
            </w:r>
          </w:p>
        </w:tc>
      </w:tr>
    </w:tbl>
    <w:p w:rsidR="00617873" w:rsidRPr="006A2BF3" w:rsidRDefault="00617873" w:rsidP="00507035">
      <w:pPr>
        <w:spacing w:before="120" w:after="120" w:line="360" w:lineRule="auto"/>
        <w:jc w:val="both"/>
        <w:rPr>
          <w:rFonts w:ascii="Arial" w:hAnsi="Arial" w:cs="Arial"/>
          <w:sz w:val="20"/>
          <w:szCs w:val="20"/>
        </w:rPr>
      </w:pPr>
      <w:r w:rsidRPr="006A2BF3">
        <w:rPr>
          <w:rFonts w:ascii="Arial" w:hAnsi="Arial" w:cs="Arial"/>
          <w:sz w:val="20"/>
          <w:szCs w:val="20"/>
        </w:rPr>
        <w:t xml:space="preserve">Úroveň </w:t>
      </w:r>
      <w:r>
        <w:rPr>
          <w:rFonts w:ascii="Arial" w:hAnsi="Arial" w:cs="Arial"/>
          <w:sz w:val="20"/>
          <w:szCs w:val="20"/>
        </w:rPr>
        <w:t>zazmluvnenia</w:t>
      </w:r>
      <w:r w:rsidRPr="006A2BF3">
        <w:rPr>
          <w:rFonts w:ascii="Arial" w:hAnsi="Arial" w:cs="Arial"/>
          <w:sz w:val="20"/>
          <w:szCs w:val="20"/>
        </w:rPr>
        <w:t xml:space="preserve"> alokácie prioritnej témy </w:t>
      </w:r>
      <w:r>
        <w:rPr>
          <w:rFonts w:ascii="Arial" w:hAnsi="Arial" w:cs="Arial"/>
          <w:sz w:val="20"/>
          <w:szCs w:val="20"/>
        </w:rPr>
        <w:t xml:space="preserve">HT51 predstavuje </w:t>
      </w:r>
      <w:r w:rsidR="00355359">
        <w:rPr>
          <w:rFonts w:ascii="Arial" w:hAnsi="Arial" w:cs="Arial"/>
          <w:sz w:val="20"/>
          <w:szCs w:val="20"/>
        </w:rPr>
        <w:t>94,62</w:t>
      </w:r>
      <w:r w:rsidR="0065734F">
        <w:rPr>
          <w:rFonts w:ascii="Arial" w:hAnsi="Arial" w:cs="Arial"/>
          <w:sz w:val="20"/>
          <w:szCs w:val="20"/>
        </w:rPr>
        <w:t xml:space="preserve"> </w:t>
      </w:r>
      <w:r w:rsidRPr="006A2BF3">
        <w:rPr>
          <w:rFonts w:ascii="Arial" w:hAnsi="Arial" w:cs="Arial"/>
          <w:sz w:val="20"/>
          <w:szCs w:val="20"/>
        </w:rPr>
        <w:t>%, pričom hodnoty merateľných ukazovateľov stanovené v operačnom programe pre operač</w:t>
      </w:r>
      <w:r>
        <w:rPr>
          <w:rFonts w:ascii="Arial" w:hAnsi="Arial" w:cs="Arial"/>
          <w:sz w:val="20"/>
          <w:szCs w:val="20"/>
        </w:rPr>
        <w:t>ný cieľ 5.</w:t>
      </w:r>
      <w:r w:rsidRPr="001540E7">
        <w:rPr>
          <w:rFonts w:ascii="Arial" w:hAnsi="Arial" w:cs="Arial"/>
          <w:sz w:val="20"/>
          <w:szCs w:val="20"/>
        </w:rPr>
        <w:t>3 dosahujú v prípade ukazovateľa “Počet informovaných subjektov“ hodnotu 1124,</w:t>
      </w:r>
      <w:r w:rsidR="00355359" w:rsidRPr="001540E7" w:rsidDel="00355359">
        <w:rPr>
          <w:rFonts w:ascii="Arial" w:hAnsi="Arial" w:cs="Arial"/>
          <w:sz w:val="20"/>
          <w:szCs w:val="20"/>
        </w:rPr>
        <w:t xml:space="preserve"> </w:t>
      </w:r>
      <w:r w:rsidRPr="001540E7">
        <w:rPr>
          <w:rFonts w:ascii="Arial" w:hAnsi="Arial" w:cs="Arial"/>
          <w:sz w:val="20"/>
          <w:szCs w:val="20"/>
        </w:rPr>
        <w:t>% a v prípade ukazovateľa „Počet realizovaných aktivít (podujatí) zameraných na zvýšenie informovanosti,</w:t>
      </w:r>
      <w:r w:rsidRPr="006A2BF3">
        <w:rPr>
          <w:rFonts w:ascii="Arial" w:hAnsi="Arial" w:cs="Arial"/>
          <w:sz w:val="20"/>
          <w:szCs w:val="20"/>
        </w:rPr>
        <w:t xml:space="preserve"> propagáciu, výchovu k ochrane prírody a vzdelávanie“ </w:t>
      </w:r>
      <w:r>
        <w:rPr>
          <w:rFonts w:ascii="Arial" w:hAnsi="Arial" w:cs="Arial"/>
          <w:sz w:val="20"/>
          <w:szCs w:val="20"/>
        </w:rPr>
        <w:t xml:space="preserve">hodnotu </w:t>
      </w:r>
      <w:r w:rsidR="00355359">
        <w:rPr>
          <w:rFonts w:ascii="Arial" w:hAnsi="Arial" w:cs="Arial"/>
          <w:sz w:val="20"/>
          <w:szCs w:val="20"/>
        </w:rPr>
        <w:t>27</w:t>
      </w:r>
      <w:r w:rsidR="0065734F">
        <w:rPr>
          <w:rFonts w:ascii="Arial" w:hAnsi="Arial" w:cs="Arial"/>
          <w:sz w:val="20"/>
          <w:szCs w:val="20"/>
        </w:rPr>
        <w:t xml:space="preserve"> </w:t>
      </w:r>
      <w:r>
        <w:rPr>
          <w:rFonts w:ascii="Arial" w:hAnsi="Arial" w:cs="Arial"/>
          <w:sz w:val="20"/>
          <w:szCs w:val="20"/>
        </w:rPr>
        <w:t xml:space="preserve">%. </w:t>
      </w:r>
    </w:p>
    <w:p w:rsidR="00617873" w:rsidRDefault="00617873" w:rsidP="00507035">
      <w:pPr>
        <w:pStyle w:val="Zkladntextb"/>
        <w:spacing w:before="120" w:after="120" w:line="360" w:lineRule="auto"/>
        <w:ind w:left="0"/>
        <w:jc w:val="both"/>
        <w:rPr>
          <w:rFonts w:cs="Arial"/>
          <w:lang w:val="sk-SK"/>
        </w:rPr>
      </w:pPr>
      <w:r w:rsidRPr="006A2BF3">
        <w:rPr>
          <w:rFonts w:cs="Arial"/>
          <w:lang w:val="sk-SK"/>
        </w:rPr>
        <w:t xml:space="preserve">Trend vývoja v rámci uvedeného operačného cieľa možno považovať za vyhovujúci, nakoľko aj napriek nižšiemu počtu zrealizovaných aktivít bol informovaný mnohonásobne väčší počet subjektov, ako bolo plánované v operačnom programe. Vzájomný pomer finančnej úrovne čerpania danej prioritnej témy na úrovni </w:t>
      </w:r>
      <w:r w:rsidR="00355359">
        <w:rPr>
          <w:rFonts w:cs="Arial"/>
          <w:lang w:val="sk-SK"/>
        </w:rPr>
        <w:t>16,80</w:t>
      </w:r>
      <w:r w:rsidR="0065734F">
        <w:rPr>
          <w:rFonts w:cs="Arial"/>
          <w:lang w:val="sk-SK"/>
        </w:rPr>
        <w:t xml:space="preserve"> </w:t>
      </w:r>
      <w:r w:rsidRPr="006A2BF3">
        <w:rPr>
          <w:rFonts w:cs="Arial"/>
          <w:lang w:val="sk-SK"/>
        </w:rPr>
        <w:t>% a fyzického pokroku zazmluvnených projekto</w:t>
      </w:r>
      <w:r>
        <w:rPr>
          <w:rFonts w:cs="Arial"/>
          <w:lang w:val="sk-SK"/>
        </w:rPr>
        <w:t xml:space="preserve">v na úrovni </w:t>
      </w:r>
      <w:r w:rsidR="00355359">
        <w:rPr>
          <w:rFonts w:cs="Arial"/>
          <w:lang w:val="sk-SK"/>
        </w:rPr>
        <w:t>16,63</w:t>
      </w:r>
      <w:r w:rsidR="0065734F">
        <w:rPr>
          <w:rFonts w:cs="Arial"/>
          <w:lang w:val="sk-SK"/>
        </w:rPr>
        <w:t xml:space="preserve"> </w:t>
      </w:r>
      <w:r>
        <w:rPr>
          <w:rFonts w:cs="Arial"/>
          <w:lang w:val="sk-SK"/>
        </w:rPr>
        <w:t xml:space="preserve">% odzrkadľuje </w:t>
      </w:r>
      <w:r w:rsidRPr="006A2BF3">
        <w:rPr>
          <w:rFonts w:cs="Arial"/>
          <w:lang w:val="sk-SK"/>
        </w:rPr>
        <w:t xml:space="preserve">pokrok v realizácii projektov a možno ho považovať za rovnomerný a primeraný vzhľadom na počet ukončených projektov a projektov v realizácii ako aj charakter projektov, kedy finančný pokrok na projektoch je v miernom oneskorení oproti fyzickému pokroku. Naplnenie ukazovateľa výsledku „Počet informovaných subjektov“ možno očakávať až po predložení následných monitorovacích správ ukončených projektov. </w:t>
      </w:r>
    </w:p>
    <w:p w:rsidR="00C31195" w:rsidRPr="00992100" w:rsidRDefault="00C31195" w:rsidP="00C31195">
      <w:pPr>
        <w:spacing w:before="120" w:line="360" w:lineRule="auto"/>
        <w:jc w:val="both"/>
        <w:rPr>
          <w:rFonts w:ascii="Arial" w:hAnsi="Arial" w:cs="Arial"/>
          <w:sz w:val="20"/>
        </w:rPr>
      </w:pPr>
      <w:r w:rsidRPr="00992100">
        <w:rPr>
          <w:rFonts w:ascii="Arial" w:hAnsi="Arial" w:cs="Arial"/>
          <w:sz w:val="20"/>
        </w:rPr>
        <w:t>Zhrnutie:</w:t>
      </w:r>
    </w:p>
    <w:p w:rsidR="00C31195" w:rsidRPr="00992100" w:rsidRDefault="00C31195" w:rsidP="00C31195">
      <w:pPr>
        <w:spacing w:before="120" w:line="360" w:lineRule="auto"/>
        <w:jc w:val="both"/>
        <w:rPr>
          <w:rFonts w:ascii="Arial" w:hAnsi="Arial" w:cs="Arial"/>
          <w:sz w:val="20"/>
        </w:rPr>
      </w:pPr>
      <w:r w:rsidRPr="00992100">
        <w:rPr>
          <w:rFonts w:ascii="Arial" w:hAnsi="Arial" w:cs="Arial"/>
          <w:sz w:val="20"/>
        </w:rPr>
        <w:t xml:space="preserve">Plnenie merateľných ukazovateľov  v rámci prioritnej osi 5 nebolo rovnomerné. Plánovaná hodnota merateľného ukazovateľa  výstupu „počet vybudovaných, alebo zrekonštruovaných zariadení pre účely ochrany prírody a krajiny“ v rámci operačného cieľa 5.2 bola ku konca roka 2012 viac ako dvojnásobne prekročená, na druhej strane merateľné ukazovatele  vzťahujúce sa k operačnému cieľu 5.1 (HT 51 Podpora biodiverzity a ochrana prírody, vrátane NATURA 2000): „počet vypracovaných dokumentov starostlivosti o územia“ a „počet realizovaných dokumentov starostlivosti o územia“ vykazujú predpokladanú úroveň naplnenia v percentuálnom vyjadrení len 4 % </w:t>
      </w:r>
      <w:r w:rsidRPr="00992100">
        <w:rPr>
          <w:rFonts w:ascii="Arial" w:hAnsi="Arial" w:cs="Arial"/>
          <w:sz w:val="20"/>
        </w:rPr>
        <w:br/>
        <w:t xml:space="preserve">pri prvom merateľnom ukazovateli  a pri druhom merateľnom ukazovateli dokonca nulové naplnenie. Stav pri merateľných ukazovateľov výsledku vzťahujúcich sa k operačnému cieľu 5.1 je podobný.  </w:t>
      </w:r>
    </w:p>
    <w:p w:rsidR="00C31195" w:rsidRPr="00992100" w:rsidRDefault="00C31195" w:rsidP="00C31195">
      <w:pPr>
        <w:autoSpaceDE w:val="0"/>
        <w:autoSpaceDN w:val="0"/>
        <w:adjustRightInd w:val="0"/>
        <w:spacing w:before="120" w:line="360" w:lineRule="auto"/>
        <w:jc w:val="both"/>
        <w:rPr>
          <w:rFonts w:ascii="Arial" w:hAnsi="Arial" w:cs="Arial"/>
          <w:sz w:val="20"/>
        </w:rPr>
      </w:pPr>
      <w:r w:rsidRPr="00992100">
        <w:rPr>
          <w:rFonts w:ascii="Arial" w:hAnsi="Arial" w:cs="Arial"/>
          <w:sz w:val="20"/>
        </w:rPr>
        <w:t>V rámci prioritnej osi 5 boli teda zaznamenané problémy, týkajúce sa:</w:t>
      </w:r>
    </w:p>
    <w:p w:rsidR="00C31195" w:rsidRPr="00992100" w:rsidRDefault="00C31195" w:rsidP="001540E7">
      <w:pPr>
        <w:numPr>
          <w:ilvl w:val="1"/>
          <w:numId w:val="70"/>
        </w:numPr>
        <w:autoSpaceDE w:val="0"/>
        <w:autoSpaceDN w:val="0"/>
        <w:adjustRightInd w:val="0"/>
        <w:spacing w:before="120" w:line="360" w:lineRule="auto"/>
        <w:ind w:left="709" w:hanging="283"/>
        <w:jc w:val="both"/>
        <w:rPr>
          <w:rFonts w:ascii="Arial" w:hAnsi="Arial" w:cs="Arial"/>
          <w:sz w:val="20"/>
          <w:szCs w:val="22"/>
        </w:rPr>
      </w:pPr>
      <w:r w:rsidRPr="00992100">
        <w:rPr>
          <w:rFonts w:ascii="Arial" w:hAnsi="Arial" w:cs="Arial"/>
          <w:sz w:val="20"/>
          <w:szCs w:val="22"/>
        </w:rPr>
        <w:t xml:space="preserve">napĺňania cieľových hodnôt </w:t>
      </w:r>
      <w:r w:rsidRPr="00992100">
        <w:rPr>
          <w:rFonts w:ascii="Arial" w:hAnsi="Arial" w:cs="Arial"/>
          <w:sz w:val="20"/>
        </w:rPr>
        <w:t xml:space="preserve">merateľných ukazovateľov  </w:t>
      </w:r>
      <w:r w:rsidRPr="00992100">
        <w:rPr>
          <w:rFonts w:ascii="Arial" w:hAnsi="Arial" w:cs="Arial"/>
          <w:sz w:val="20"/>
          <w:szCs w:val="22"/>
        </w:rPr>
        <w:t xml:space="preserve">v rámci operačného cieľa 5.1, ktorý je nízky; </w:t>
      </w:r>
    </w:p>
    <w:p w:rsidR="00C31195" w:rsidRPr="00992100" w:rsidRDefault="00C31195" w:rsidP="001540E7">
      <w:pPr>
        <w:numPr>
          <w:ilvl w:val="1"/>
          <w:numId w:val="70"/>
        </w:numPr>
        <w:autoSpaceDE w:val="0"/>
        <w:autoSpaceDN w:val="0"/>
        <w:adjustRightInd w:val="0"/>
        <w:spacing w:before="120" w:line="360" w:lineRule="auto"/>
        <w:ind w:left="709" w:hanging="283"/>
        <w:jc w:val="both"/>
        <w:rPr>
          <w:rFonts w:ascii="Arial" w:hAnsi="Arial" w:cs="Arial"/>
          <w:sz w:val="20"/>
          <w:szCs w:val="22"/>
        </w:rPr>
      </w:pPr>
      <w:r w:rsidRPr="00992100">
        <w:rPr>
          <w:rFonts w:ascii="Arial" w:hAnsi="Arial" w:cs="Arial"/>
          <w:sz w:val="20"/>
          <w:szCs w:val="22"/>
        </w:rPr>
        <w:t>ohrozenia plnenia stanovených cieľov PO 5, ťažiskom ktorej sú aktivity prispievajúce k   dobudovaniu sústavy chránených území NATURA 2000;</w:t>
      </w:r>
    </w:p>
    <w:p w:rsidR="00C31195" w:rsidRPr="00992100" w:rsidRDefault="00C31195" w:rsidP="001540E7">
      <w:pPr>
        <w:numPr>
          <w:ilvl w:val="1"/>
          <w:numId w:val="70"/>
        </w:numPr>
        <w:autoSpaceDE w:val="0"/>
        <w:autoSpaceDN w:val="0"/>
        <w:adjustRightInd w:val="0"/>
        <w:spacing w:before="120" w:line="360" w:lineRule="auto"/>
        <w:ind w:left="709" w:hanging="283"/>
        <w:jc w:val="both"/>
        <w:rPr>
          <w:rFonts w:ascii="Arial" w:hAnsi="Arial" w:cs="Arial"/>
          <w:sz w:val="20"/>
          <w:szCs w:val="22"/>
        </w:rPr>
      </w:pPr>
      <w:r w:rsidRPr="00992100">
        <w:rPr>
          <w:rFonts w:ascii="Arial" w:hAnsi="Arial" w:cs="Arial"/>
          <w:sz w:val="20"/>
          <w:szCs w:val="22"/>
        </w:rPr>
        <w:t>absencie disponibilných prostriedkov v rámci indikatívnej alokácie na prioritnú tému 51  - Podpora     biodiverzity a ochrana prírody (vrátane NATURA 2000)..</w:t>
      </w:r>
    </w:p>
    <w:p w:rsidR="00C31195" w:rsidRPr="00992100" w:rsidRDefault="00C31195" w:rsidP="00C31195">
      <w:pPr>
        <w:spacing w:before="120" w:line="360" w:lineRule="auto"/>
        <w:jc w:val="both"/>
        <w:rPr>
          <w:rFonts w:ascii="Arial" w:hAnsi="Arial" w:cs="Arial"/>
          <w:sz w:val="16"/>
          <w:szCs w:val="20"/>
        </w:rPr>
      </w:pPr>
    </w:p>
    <w:p w:rsidR="00C31195" w:rsidRPr="00992100" w:rsidRDefault="00C31195" w:rsidP="00C31195">
      <w:pPr>
        <w:spacing w:before="120" w:line="360" w:lineRule="auto"/>
        <w:jc w:val="both"/>
        <w:rPr>
          <w:rFonts w:ascii="Arial" w:hAnsi="Arial" w:cs="Arial"/>
          <w:sz w:val="20"/>
          <w:szCs w:val="20"/>
        </w:rPr>
      </w:pPr>
      <w:r w:rsidRPr="00992100">
        <w:rPr>
          <w:rFonts w:ascii="Arial" w:hAnsi="Arial" w:cs="Arial"/>
          <w:sz w:val="20"/>
          <w:szCs w:val="20"/>
        </w:rPr>
        <w:t xml:space="preserve">V rámci riešenia vzniknutého problému RO pre OP ŽP navrhlo úpravy indikatívneho rozdelenia príspevku z fondov do kategórií pomoci podľa prioritných tém v rámci prioritnej osi 5 Ochrana a regenerácia prírodného prostredia a krajiny, ktoré vyplynuli najmä z úrovne napĺňania ukazovateľov v rámci uvedenej prioritnej osi. V revidovanom znení OP ŽP sa upravili indikatívne sumy zo zdrojov ERDF na prioritné témy 51 Podpora biodiverzity a ochrana prírody (vrátane NATURA 2000) a 54 Iné opatrenia na zachovanie životného prostredia a predchádzanie rizikám, a to v prospech prioritnej témy 51 Podpora biodiverzity a ochrana prírody (vrátane NATURA 2000). Financovanie prioritnej témy  51 je pre dosahovanie cieľov prioritnej osi 5 a napĺňanie jej ukazovateľov kľúčové, keďže sa viaže k operačnému cieľu 5.1 Zabezpečenie priaznivého stavu biotopov a druhov prostredníctvom vypracovania a  realizácie programov starostlivosti o chránené územia vrátane území NATURA 2000 a ťažiskovým aktivitám a ukazovateľom, t.j. vypracovaným programom starostlivosti o chránené územia a realizovaným programom starostlivosti.  Indikatívny príspevok z ERDF bol znížený (v rámci operačného cieľa 5.2) o sumu 6 670 938 a zároveň o rovnakú sumu bol navýšený Indikatívny príspevok zo zdrojov EÚ (Európskeho fondu regionálneho rozvoja – ďalej len „ERDF“) na prioritnú tému 51 Podpora biodiverzity a ochrana prírody (vrátane NATURA 2000) bol navýšený o sumu 6 670 938 EUR, o ktorú bol zároveň znížený indikatívny príspevok zo zdrojov EÚ (ERDF) na prioritnú tému 54 Iné opatrenia na zachovanie životného prostredia a predchádzanie rizikám. K prioritnej téme 54 sa v rámci prioritnej osi 5 Ochrana a regenerácia prírodného prostredia a krajiny vzťahujú operačné ciele 5.2 Zlepšenie infraštruktúry ochrany prírody a krajiny prostredníctvom budovania a rozvoja zariadení ochrany prírody a krajiny a 5.3 Zlepšenie informovanosti a environmentálneho povedomia verejnosti, vrátane posilnenia spolupráce a komunikácie so zainteresovanými skupinami, v rámci ktorých sú už cieľové hodnoty ukazovateľov naplnené, resp. prekročené. Úprava o podstatnú presúvanú časť finančných prostriedkov (z operačného cieľa 5.3) – 6 329 949 EUR bola schválená Monitorovacím výborom pre OP ŽP dňa 3. 5. 2012 písomným postupom pre prijatie rozhodnutia č. 8. </w:t>
      </w:r>
      <w:r w:rsidRPr="00992100">
        <w:rPr>
          <w:rFonts w:ascii="Arial" w:hAnsi="Arial" w:cs="Arial"/>
          <w:bCs/>
          <w:sz w:val="20"/>
          <w:szCs w:val="20"/>
        </w:rPr>
        <w:t xml:space="preserve">                                                                                     </w:t>
      </w:r>
    </w:p>
    <w:p w:rsidR="00C31195" w:rsidRPr="00992100" w:rsidRDefault="00C31195" w:rsidP="00C31195">
      <w:pPr>
        <w:spacing w:before="120" w:line="360" w:lineRule="auto"/>
        <w:jc w:val="both"/>
        <w:rPr>
          <w:rFonts w:ascii="Arial" w:hAnsi="Arial" w:cs="Arial"/>
          <w:sz w:val="20"/>
        </w:rPr>
      </w:pPr>
      <w:r w:rsidRPr="00992100">
        <w:rPr>
          <w:rFonts w:ascii="Arial" w:hAnsi="Arial" w:cs="Arial"/>
          <w:sz w:val="20"/>
        </w:rPr>
        <w:t>Ďalší presun finančných prostriedkov zo zdrojov ERDF v sume 340 989 EUR z prioritnej témy 54 (operačného cieľa 5.2) do prioritnej témy 51 bol navrhnutý v súlade s prípravou výzvy v rámci prioritnej osi 5 Ochrana a regenerácia prírodného prostredia a krajiny prioritnej témy 51 Podpora biodiverzity a ochrana prírody (vrátane NATURA 2000). Realokácia v sume 340 989 EUR z prioritnej témy 54 do prioritnej témy 51 bola schválená MV pre OP ŽP dňa 18.12.2012.</w:t>
      </w:r>
    </w:p>
    <w:p w:rsidR="00C31195" w:rsidRPr="00992100" w:rsidRDefault="00C31195" w:rsidP="00992100">
      <w:pPr>
        <w:spacing w:before="120" w:line="360" w:lineRule="auto"/>
        <w:jc w:val="both"/>
        <w:rPr>
          <w:rFonts w:ascii="Arial" w:hAnsi="Arial" w:cs="Arial"/>
          <w:sz w:val="20"/>
        </w:rPr>
      </w:pPr>
      <w:r w:rsidRPr="00992100">
        <w:rPr>
          <w:rFonts w:ascii="Arial" w:hAnsi="Arial" w:cs="Arial"/>
          <w:sz w:val="20"/>
        </w:rPr>
        <w:t>RO pre OP ŽP očakáva, že vyhlásenie výzvy v rámci operatívneho cieľa 5.1 zabezpečí podmienky pre realizáciu takých projektov, ktoré by boli v čo najvyššej miere zamerané na napĺňanie merateľných ukazovateľov operačného cieľa 5.1.</w:t>
      </w:r>
    </w:p>
    <w:p w:rsidR="002416B1" w:rsidRPr="006A2BF3" w:rsidRDefault="002416B1" w:rsidP="00507035">
      <w:pPr>
        <w:pStyle w:val="Nadpis2"/>
        <w:spacing w:before="120" w:after="120" w:line="360" w:lineRule="auto"/>
      </w:pPr>
      <w:bookmarkStart w:id="102" w:name="_Toc319573335"/>
      <w:r w:rsidRPr="006A2BF3">
        <w:t>3.6. Prioritná os 6 Technická pomoc</w:t>
      </w:r>
      <w:bookmarkEnd w:id="102"/>
    </w:p>
    <w:p w:rsidR="002416B1" w:rsidRDefault="002416B1" w:rsidP="00507035">
      <w:pPr>
        <w:pStyle w:val="Nadpis3"/>
        <w:spacing w:before="120" w:after="120" w:line="360" w:lineRule="auto"/>
      </w:pPr>
      <w:bookmarkStart w:id="103" w:name="_Toc319573336"/>
      <w:r w:rsidRPr="006A2BF3">
        <w:t>3.6.1 Dosiahnutie cieľov a analýza dosiahnutého pokroku</w:t>
      </w:r>
      <w:bookmarkEnd w:id="103"/>
    </w:p>
    <w:p w:rsidR="002416B1" w:rsidRDefault="002416B1" w:rsidP="00507035">
      <w:pPr>
        <w:spacing w:before="120" w:after="120" w:line="360" w:lineRule="auto"/>
        <w:jc w:val="both"/>
        <w:rPr>
          <w:rFonts w:ascii="Arial" w:hAnsi="Arial" w:cs="Arial"/>
          <w:sz w:val="20"/>
          <w:szCs w:val="20"/>
        </w:rPr>
      </w:pPr>
      <w:r w:rsidRPr="003A5E95">
        <w:rPr>
          <w:rFonts w:ascii="Arial" w:hAnsi="Arial" w:cs="Arial"/>
          <w:sz w:val="20"/>
          <w:szCs w:val="20"/>
        </w:rPr>
        <w:t>Cieľom a zameraním prioritnej osi je zabezpečenie efektívneho procesu riadenia a implementácie OP ŽP v súlade s nárokmi kladenými na administratívne štruktúry zodpovedné za realizáciu operačného programu, a to prostredníctvom podpory prípravných, riadiacich, monitorovacích, hodnotiacich, informačných a kontrolných aktivít týkajúcich sa OP ŽP spolu s aktivitami slúžiacimi na posilnenie administratívnych kapacít, ktoré zabezpečujú programovanie, riadenie, implementáciu, finančné riadenie, hodnotenie a monitorovanie, kontrolu a audit OP ŽP.</w:t>
      </w:r>
    </w:p>
    <w:p w:rsidR="00D70258" w:rsidRPr="001350DA" w:rsidRDefault="002416B1" w:rsidP="00507035">
      <w:pPr>
        <w:spacing w:before="120" w:after="120" w:line="360" w:lineRule="auto"/>
        <w:jc w:val="both"/>
        <w:rPr>
          <w:rFonts w:ascii="Arial" w:hAnsi="Arial" w:cs="Arial"/>
          <w:sz w:val="20"/>
          <w:szCs w:val="20"/>
        </w:rPr>
      </w:pPr>
      <w:r w:rsidRPr="00D70258">
        <w:rPr>
          <w:rFonts w:ascii="Arial" w:hAnsi="Arial" w:cs="Arial"/>
          <w:sz w:val="20"/>
          <w:szCs w:val="20"/>
        </w:rPr>
        <w:t>Prioritná os 6 je financovaná z Kohézneho fondu a svojou alokáciou tvorí 2,67</w:t>
      </w:r>
      <w:r w:rsidR="0065734F">
        <w:rPr>
          <w:rFonts w:ascii="Arial" w:hAnsi="Arial" w:cs="Arial"/>
          <w:sz w:val="20"/>
          <w:szCs w:val="20"/>
        </w:rPr>
        <w:t xml:space="preserve"> </w:t>
      </w:r>
      <w:r w:rsidRPr="00D70258">
        <w:rPr>
          <w:rFonts w:ascii="Arial" w:hAnsi="Arial" w:cs="Arial"/>
          <w:sz w:val="20"/>
          <w:szCs w:val="20"/>
        </w:rPr>
        <w:t xml:space="preserve">% celkovej alokácie na operačný program. </w:t>
      </w:r>
    </w:p>
    <w:p w:rsidR="00D70258" w:rsidRPr="001350DA" w:rsidRDefault="00D70258" w:rsidP="00507035">
      <w:pPr>
        <w:spacing w:before="120" w:after="120" w:line="360" w:lineRule="auto"/>
        <w:jc w:val="both"/>
        <w:rPr>
          <w:rFonts w:ascii="Arial" w:hAnsi="Arial" w:cs="Arial"/>
          <w:sz w:val="20"/>
          <w:szCs w:val="20"/>
        </w:rPr>
      </w:pPr>
      <w:r w:rsidRPr="001350DA">
        <w:rPr>
          <w:rFonts w:ascii="Arial" w:hAnsi="Arial" w:cs="Arial"/>
          <w:sz w:val="20"/>
          <w:szCs w:val="20"/>
        </w:rPr>
        <w:t>Podiel uvedenej prioritnej osi na celkovom čerpaní alokácie za rok 201</w:t>
      </w:r>
      <w:r w:rsidRPr="00B71586">
        <w:rPr>
          <w:rFonts w:ascii="Arial" w:hAnsi="Arial" w:cs="Arial"/>
          <w:sz w:val="20"/>
          <w:szCs w:val="20"/>
        </w:rPr>
        <w:t>2</w:t>
      </w:r>
      <w:r w:rsidRPr="001350DA">
        <w:rPr>
          <w:rFonts w:ascii="Arial" w:hAnsi="Arial" w:cs="Arial"/>
          <w:sz w:val="20"/>
          <w:szCs w:val="20"/>
        </w:rPr>
        <w:t xml:space="preserve"> je </w:t>
      </w:r>
      <w:r>
        <w:rPr>
          <w:rFonts w:ascii="Arial" w:hAnsi="Arial" w:cs="Arial"/>
          <w:sz w:val="20"/>
          <w:szCs w:val="20"/>
        </w:rPr>
        <w:t>3</w:t>
      </w:r>
      <w:r w:rsidRPr="001350DA">
        <w:rPr>
          <w:rFonts w:ascii="Arial" w:hAnsi="Arial" w:cs="Arial"/>
          <w:sz w:val="20"/>
          <w:szCs w:val="20"/>
        </w:rPr>
        <w:t>,</w:t>
      </w:r>
      <w:r>
        <w:rPr>
          <w:rFonts w:ascii="Arial" w:hAnsi="Arial" w:cs="Arial"/>
          <w:sz w:val="20"/>
          <w:szCs w:val="20"/>
        </w:rPr>
        <w:t>96</w:t>
      </w:r>
      <w:r w:rsidR="0065734F">
        <w:rPr>
          <w:rFonts w:ascii="Arial" w:hAnsi="Arial" w:cs="Arial"/>
          <w:sz w:val="20"/>
          <w:szCs w:val="20"/>
        </w:rPr>
        <w:t xml:space="preserve"> </w:t>
      </w:r>
      <w:r w:rsidRPr="001350DA">
        <w:rPr>
          <w:rFonts w:ascii="Arial" w:hAnsi="Arial" w:cs="Arial"/>
          <w:sz w:val="20"/>
          <w:szCs w:val="20"/>
        </w:rPr>
        <w:t>%.</w:t>
      </w:r>
    </w:p>
    <w:p w:rsidR="00D70258" w:rsidRPr="001350DA" w:rsidRDefault="00D70258" w:rsidP="00507035">
      <w:pPr>
        <w:spacing w:before="120" w:after="120" w:line="360" w:lineRule="auto"/>
        <w:jc w:val="both"/>
        <w:rPr>
          <w:rFonts w:ascii="Arial" w:hAnsi="Arial" w:cs="Arial"/>
          <w:sz w:val="20"/>
          <w:szCs w:val="20"/>
        </w:rPr>
      </w:pPr>
      <w:r w:rsidRPr="001350DA">
        <w:rPr>
          <w:rFonts w:ascii="Arial" w:hAnsi="Arial" w:cs="Arial"/>
          <w:sz w:val="20"/>
          <w:szCs w:val="20"/>
        </w:rPr>
        <w:t xml:space="preserve">Úroveň zazmluvnenia prioritnej osi voči alokácii na danú prioritnú os je </w:t>
      </w:r>
      <w:r>
        <w:rPr>
          <w:rFonts w:ascii="Arial" w:hAnsi="Arial" w:cs="Arial"/>
          <w:sz w:val="20"/>
          <w:szCs w:val="20"/>
        </w:rPr>
        <w:t>8</w:t>
      </w:r>
      <w:r w:rsidRPr="001350DA">
        <w:rPr>
          <w:rFonts w:ascii="Arial" w:hAnsi="Arial" w:cs="Arial"/>
          <w:sz w:val="20"/>
          <w:szCs w:val="20"/>
        </w:rPr>
        <w:t>5,</w:t>
      </w:r>
      <w:r>
        <w:rPr>
          <w:rFonts w:ascii="Arial" w:hAnsi="Arial" w:cs="Arial"/>
          <w:sz w:val="20"/>
          <w:szCs w:val="20"/>
        </w:rPr>
        <w:t>77</w:t>
      </w:r>
      <w:r w:rsidR="0065734F">
        <w:rPr>
          <w:rFonts w:ascii="Arial" w:hAnsi="Arial" w:cs="Arial"/>
          <w:sz w:val="20"/>
          <w:szCs w:val="20"/>
        </w:rPr>
        <w:t xml:space="preserve"> </w:t>
      </w:r>
      <w:r w:rsidRPr="001350DA">
        <w:rPr>
          <w:rFonts w:ascii="Arial" w:hAnsi="Arial" w:cs="Arial"/>
          <w:sz w:val="20"/>
          <w:szCs w:val="20"/>
        </w:rPr>
        <w:t xml:space="preserve">%, pričom vyplatené prostriedky prijímateľom tvoria </w:t>
      </w:r>
      <w:r>
        <w:rPr>
          <w:rFonts w:ascii="Arial" w:hAnsi="Arial" w:cs="Arial"/>
          <w:sz w:val="20"/>
          <w:szCs w:val="20"/>
        </w:rPr>
        <w:t>48,36</w:t>
      </w:r>
      <w:r w:rsidR="0065734F">
        <w:rPr>
          <w:rFonts w:ascii="Arial" w:hAnsi="Arial" w:cs="Arial"/>
          <w:sz w:val="20"/>
          <w:szCs w:val="20"/>
        </w:rPr>
        <w:t xml:space="preserve"> </w:t>
      </w:r>
      <w:r w:rsidRPr="001350DA">
        <w:rPr>
          <w:rFonts w:ascii="Arial" w:hAnsi="Arial" w:cs="Arial"/>
          <w:sz w:val="20"/>
          <w:szCs w:val="20"/>
        </w:rPr>
        <w:t>% voči celkovej alokácii na danú prioritnú os.</w:t>
      </w:r>
    </w:p>
    <w:p w:rsidR="002416B1" w:rsidRDefault="002416B1" w:rsidP="00507035">
      <w:pPr>
        <w:spacing w:before="120" w:after="120" w:line="360" w:lineRule="auto"/>
        <w:jc w:val="both"/>
        <w:rPr>
          <w:rFonts w:ascii="Arial" w:hAnsi="Arial" w:cs="Arial"/>
          <w:sz w:val="20"/>
          <w:szCs w:val="20"/>
        </w:rPr>
      </w:pPr>
      <w:r w:rsidRPr="00FD4FF4">
        <w:rPr>
          <w:rFonts w:ascii="Arial" w:hAnsi="Arial" w:cs="Arial"/>
          <w:sz w:val="20"/>
          <w:szCs w:val="20"/>
        </w:rPr>
        <w:t xml:space="preserve">V nadväznosti na čerpanie finančných prostriedkov v rámci jednotlivých prioritných tém prioritnej osi 6  je možné celkovo vyhodnotiť napĺňanie </w:t>
      </w:r>
      <w:r>
        <w:rPr>
          <w:rFonts w:ascii="Arial" w:hAnsi="Arial" w:cs="Arial"/>
          <w:sz w:val="20"/>
          <w:szCs w:val="20"/>
        </w:rPr>
        <w:t xml:space="preserve"> </w:t>
      </w:r>
      <w:r w:rsidR="0065734F">
        <w:rPr>
          <w:rFonts w:ascii="Arial" w:hAnsi="Arial" w:cs="Arial"/>
          <w:sz w:val="20"/>
          <w:szCs w:val="20"/>
        </w:rPr>
        <w:t>u</w:t>
      </w:r>
      <w:r w:rsidRPr="00FD4FF4">
        <w:rPr>
          <w:rFonts w:ascii="Arial" w:hAnsi="Arial" w:cs="Arial"/>
          <w:sz w:val="20"/>
          <w:szCs w:val="20"/>
        </w:rPr>
        <w:t>kazovateľov ako úspešné.</w:t>
      </w:r>
      <w:r>
        <w:rPr>
          <w:rFonts w:ascii="Arial" w:hAnsi="Arial" w:cs="Arial"/>
          <w:sz w:val="20"/>
          <w:szCs w:val="20"/>
        </w:rPr>
        <w:t xml:space="preserve"> </w:t>
      </w:r>
      <w:r w:rsidRPr="00FD4FF4">
        <w:rPr>
          <w:rFonts w:ascii="Arial" w:hAnsi="Arial" w:cs="Arial"/>
          <w:sz w:val="20"/>
          <w:szCs w:val="20"/>
        </w:rPr>
        <w:t xml:space="preserve">Zhodnotenie úrovne zazmluvnenia alokovaných finančných prostriedkov za zdroje EÚ vo vzťahu k dosahovaným hodnotám ukazovateľov podľa prioritných tém je podrobnejšie popísané v časti Plnenie merateľných ukazovateľov. </w:t>
      </w:r>
    </w:p>
    <w:p w:rsidR="002416B1" w:rsidRPr="006A2BF3" w:rsidRDefault="002416B1" w:rsidP="00507035">
      <w:pPr>
        <w:pStyle w:val="Nadpis8"/>
        <w:spacing w:before="120" w:after="120"/>
        <w:rPr>
          <w:rFonts w:ascii="Arial" w:hAnsi="Arial" w:cs="Arial"/>
          <w:b/>
          <w:sz w:val="22"/>
          <w:szCs w:val="22"/>
        </w:rPr>
      </w:pPr>
      <w:r w:rsidRPr="006A2BF3">
        <w:rPr>
          <w:rFonts w:ascii="Arial" w:hAnsi="Arial" w:cs="Arial"/>
          <w:b/>
          <w:sz w:val="22"/>
          <w:szCs w:val="22"/>
        </w:rPr>
        <w:t>3.6.1.1 Stav fyzického pokroku prioritnej osi 6</w:t>
      </w:r>
    </w:p>
    <w:p w:rsidR="002416B1" w:rsidRPr="004A3D0F" w:rsidRDefault="002416B1" w:rsidP="00507035">
      <w:pPr>
        <w:spacing w:before="120" w:after="120" w:line="360" w:lineRule="auto"/>
        <w:jc w:val="both"/>
        <w:rPr>
          <w:rFonts w:ascii="Arial" w:hAnsi="Arial" w:cs="Arial"/>
          <w:sz w:val="20"/>
          <w:szCs w:val="20"/>
        </w:rPr>
      </w:pPr>
      <w:r w:rsidRPr="006A2BF3">
        <w:rPr>
          <w:rFonts w:ascii="Arial" w:hAnsi="Arial" w:cs="Arial"/>
          <w:sz w:val="20"/>
          <w:szCs w:val="20"/>
        </w:rPr>
        <w:t>K 31.12.201</w:t>
      </w:r>
      <w:r w:rsidR="00A13E4B">
        <w:rPr>
          <w:rFonts w:ascii="Arial" w:hAnsi="Arial" w:cs="Arial"/>
          <w:sz w:val="20"/>
          <w:szCs w:val="20"/>
        </w:rPr>
        <w:t>2</w:t>
      </w:r>
      <w:r w:rsidRPr="004B33AE">
        <w:rPr>
          <w:rFonts w:ascii="Arial" w:hAnsi="Arial" w:cs="Arial"/>
          <w:sz w:val="20"/>
          <w:szCs w:val="20"/>
        </w:rPr>
        <w:t xml:space="preserve"> boli zverejnené celkovo </w:t>
      </w:r>
      <w:r w:rsidR="00A13E4B">
        <w:rPr>
          <w:rFonts w:ascii="Arial" w:hAnsi="Arial" w:cs="Arial"/>
          <w:sz w:val="20"/>
          <w:szCs w:val="20"/>
        </w:rPr>
        <w:t>4</w:t>
      </w:r>
      <w:r w:rsidR="00A13E4B" w:rsidRPr="004B33AE">
        <w:rPr>
          <w:rFonts w:ascii="Arial" w:hAnsi="Arial" w:cs="Arial"/>
          <w:sz w:val="20"/>
          <w:szCs w:val="20"/>
        </w:rPr>
        <w:t xml:space="preserve"> </w:t>
      </w:r>
      <w:r w:rsidRPr="004B33AE">
        <w:rPr>
          <w:rFonts w:ascii="Arial" w:hAnsi="Arial" w:cs="Arial"/>
          <w:sz w:val="20"/>
          <w:szCs w:val="20"/>
        </w:rPr>
        <w:t xml:space="preserve">priebežné oznamy </w:t>
      </w:r>
      <w:r w:rsidRPr="004B33AE">
        <w:rPr>
          <w:rFonts w:ascii="Arial" w:hAnsi="Arial" w:cs="Arial"/>
          <w:bCs/>
          <w:sz w:val="20"/>
          <w:szCs w:val="20"/>
        </w:rPr>
        <w:t>o možnosti predkladať žiadosti o NFP v rámci prioritnej osi</w:t>
      </w:r>
      <w:r>
        <w:rPr>
          <w:rFonts w:ascii="Arial" w:hAnsi="Arial" w:cs="Arial"/>
          <w:bCs/>
          <w:sz w:val="20"/>
          <w:szCs w:val="20"/>
        </w:rPr>
        <w:t>, s celkovou alokáciou</w:t>
      </w:r>
      <w:r w:rsidRPr="006A2BF3">
        <w:rPr>
          <w:rFonts w:ascii="Verdana" w:hAnsi="Verdana"/>
          <w:bCs/>
          <w:color w:val="FFFFFF"/>
          <w:sz w:val="16"/>
          <w:szCs w:val="16"/>
        </w:rPr>
        <w:t xml:space="preserve"> </w:t>
      </w:r>
      <w:r w:rsidR="00A13E4B">
        <w:rPr>
          <w:rFonts w:ascii="Arial" w:hAnsi="Arial" w:cs="Arial"/>
          <w:bCs/>
          <w:sz w:val="20"/>
          <w:szCs w:val="20"/>
        </w:rPr>
        <w:t>131 271 037</w:t>
      </w:r>
      <w:r w:rsidR="00657657">
        <w:rPr>
          <w:rFonts w:ascii="Arial" w:hAnsi="Arial" w:cs="Arial"/>
          <w:bCs/>
          <w:sz w:val="20"/>
          <w:szCs w:val="20"/>
        </w:rPr>
        <w:t xml:space="preserve"> </w:t>
      </w:r>
      <w:r>
        <w:rPr>
          <w:rFonts w:ascii="Arial" w:hAnsi="Arial" w:cs="Arial"/>
          <w:bCs/>
          <w:sz w:val="20"/>
          <w:szCs w:val="20"/>
        </w:rPr>
        <w:t>EUR.</w:t>
      </w:r>
    </w:p>
    <w:p w:rsidR="002416B1" w:rsidRPr="004B33AE" w:rsidRDefault="002416B1" w:rsidP="00205636">
      <w:pPr>
        <w:spacing w:line="360" w:lineRule="auto"/>
        <w:rPr>
          <w:rFonts w:ascii="Arial" w:hAnsi="Arial" w:cs="Arial"/>
          <w:sz w:val="20"/>
          <w:szCs w:val="20"/>
          <w:highlight w:val="yellow"/>
        </w:rPr>
      </w:pPr>
      <w:r w:rsidRPr="004B33AE">
        <w:rPr>
          <w:rFonts w:ascii="Arial" w:hAnsi="Arial" w:cs="Arial"/>
          <w:sz w:val="20"/>
          <w:szCs w:val="20"/>
        </w:rPr>
        <w:t xml:space="preserve">Tab. č. </w:t>
      </w:r>
      <w:r w:rsidR="00254D6C">
        <w:rPr>
          <w:rFonts w:ascii="Arial" w:hAnsi="Arial" w:cs="Arial"/>
          <w:sz w:val="20"/>
          <w:szCs w:val="20"/>
        </w:rPr>
        <w:t>58</w:t>
      </w:r>
      <w:r w:rsidRPr="004B33AE">
        <w:rPr>
          <w:rFonts w:ascii="Arial" w:hAnsi="Arial" w:cs="Arial"/>
          <w:sz w:val="20"/>
          <w:szCs w:val="20"/>
        </w:rPr>
        <w:t>: Stav vyhlasovania výziev prioritnej osi 6 v období 01.01.201</w:t>
      </w:r>
      <w:r w:rsidR="00A13E4B">
        <w:rPr>
          <w:rFonts w:ascii="Arial" w:hAnsi="Arial" w:cs="Arial"/>
          <w:sz w:val="20"/>
          <w:szCs w:val="20"/>
        </w:rPr>
        <w:t>2</w:t>
      </w:r>
      <w:r w:rsidRPr="004B33AE">
        <w:rPr>
          <w:rFonts w:ascii="Arial" w:hAnsi="Arial" w:cs="Arial"/>
          <w:sz w:val="20"/>
          <w:szCs w:val="20"/>
        </w:rPr>
        <w:t xml:space="preserve"> – 31.12.201</w:t>
      </w:r>
      <w:r w:rsidR="00A13E4B">
        <w:rPr>
          <w:rFonts w:ascii="Arial" w:hAnsi="Arial" w:cs="Arial"/>
          <w:sz w:val="20"/>
          <w:szCs w:val="20"/>
        </w:rPr>
        <w:t>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1008"/>
        <w:gridCol w:w="1417"/>
        <w:gridCol w:w="1418"/>
        <w:gridCol w:w="2126"/>
        <w:gridCol w:w="1843"/>
      </w:tblGrid>
      <w:tr w:rsidR="002416B1" w:rsidRPr="006A2BF3" w:rsidTr="003A5E95">
        <w:trPr>
          <w:trHeight w:val="631"/>
        </w:trPr>
        <w:tc>
          <w:tcPr>
            <w:tcW w:w="1008" w:type="dxa"/>
            <w:shd w:val="clear" w:color="auto" w:fill="D6E3BC"/>
            <w:tcMar>
              <w:top w:w="15" w:type="dxa"/>
              <w:left w:w="15" w:type="dxa"/>
              <w:bottom w:w="0" w:type="dxa"/>
              <w:right w:w="15" w:type="dxa"/>
            </w:tcMar>
            <w:vAlign w:val="center"/>
          </w:tcPr>
          <w:p w:rsidR="002416B1" w:rsidRPr="006A2BF3" w:rsidRDefault="002416B1" w:rsidP="00205636">
            <w:pPr>
              <w:jc w:val="center"/>
              <w:rPr>
                <w:rFonts w:ascii="Arial" w:hAnsi="Arial" w:cs="Arial"/>
                <w:b/>
                <w:bCs/>
                <w:sz w:val="18"/>
                <w:szCs w:val="18"/>
              </w:rPr>
            </w:pPr>
            <w:r w:rsidRPr="006A2BF3">
              <w:rPr>
                <w:rFonts w:ascii="Arial" w:hAnsi="Arial" w:cs="Arial"/>
                <w:b/>
                <w:bCs/>
                <w:sz w:val="18"/>
                <w:szCs w:val="18"/>
              </w:rPr>
              <w:t>Opatrenie</w:t>
            </w:r>
          </w:p>
        </w:tc>
        <w:tc>
          <w:tcPr>
            <w:tcW w:w="1417" w:type="dxa"/>
            <w:shd w:val="clear" w:color="auto" w:fill="D6E3BC"/>
            <w:tcMar>
              <w:top w:w="15" w:type="dxa"/>
              <w:left w:w="15" w:type="dxa"/>
              <w:bottom w:w="0" w:type="dxa"/>
              <w:right w:w="15" w:type="dxa"/>
            </w:tcMar>
            <w:vAlign w:val="center"/>
          </w:tcPr>
          <w:p w:rsidR="002416B1" w:rsidRPr="006A2BF3" w:rsidRDefault="002416B1" w:rsidP="00205636">
            <w:pPr>
              <w:jc w:val="center"/>
              <w:rPr>
                <w:rFonts w:ascii="Arial" w:hAnsi="Arial" w:cs="Arial"/>
                <w:b/>
                <w:bCs/>
                <w:sz w:val="18"/>
                <w:szCs w:val="18"/>
              </w:rPr>
            </w:pPr>
            <w:r w:rsidRPr="006A2BF3">
              <w:rPr>
                <w:rFonts w:ascii="Arial" w:hAnsi="Arial" w:cs="Arial"/>
                <w:b/>
                <w:bCs/>
                <w:sz w:val="18"/>
                <w:szCs w:val="18"/>
              </w:rPr>
              <w:t>Typ výzvy</w:t>
            </w:r>
          </w:p>
        </w:tc>
        <w:tc>
          <w:tcPr>
            <w:tcW w:w="1418" w:type="dxa"/>
            <w:shd w:val="clear" w:color="auto" w:fill="D6E3BC"/>
            <w:tcMar>
              <w:top w:w="15" w:type="dxa"/>
              <w:left w:w="15" w:type="dxa"/>
              <w:bottom w:w="0" w:type="dxa"/>
              <w:right w:w="15" w:type="dxa"/>
            </w:tcMar>
            <w:vAlign w:val="center"/>
          </w:tcPr>
          <w:p w:rsidR="002416B1" w:rsidRPr="006A2BF3" w:rsidRDefault="002416B1" w:rsidP="00205636">
            <w:pPr>
              <w:jc w:val="center"/>
              <w:rPr>
                <w:rFonts w:ascii="Arial" w:hAnsi="Arial" w:cs="Arial"/>
                <w:b/>
                <w:bCs/>
                <w:sz w:val="18"/>
                <w:szCs w:val="18"/>
              </w:rPr>
            </w:pPr>
            <w:r w:rsidRPr="006A2BF3">
              <w:rPr>
                <w:rFonts w:ascii="Arial" w:hAnsi="Arial" w:cs="Arial"/>
                <w:b/>
                <w:bCs/>
                <w:sz w:val="18"/>
                <w:szCs w:val="18"/>
              </w:rPr>
              <w:t>Dátum vyhlásenia výzvy</w:t>
            </w:r>
          </w:p>
        </w:tc>
        <w:tc>
          <w:tcPr>
            <w:tcW w:w="2126" w:type="dxa"/>
            <w:shd w:val="clear" w:color="auto" w:fill="D6E3BC"/>
            <w:tcMar>
              <w:top w:w="15" w:type="dxa"/>
              <w:left w:w="15" w:type="dxa"/>
              <w:bottom w:w="0" w:type="dxa"/>
              <w:right w:w="15" w:type="dxa"/>
            </w:tcMar>
            <w:vAlign w:val="center"/>
          </w:tcPr>
          <w:p w:rsidR="002416B1" w:rsidRPr="006A2BF3" w:rsidRDefault="002416B1" w:rsidP="00205636">
            <w:pPr>
              <w:jc w:val="center"/>
              <w:rPr>
                <w:rFonts w:ascii="Arial" w:hAnsi="Arial" w:cs="Arial"/>
                <w:b/>
                <w:bCs/>
                <w:sz w:val="18"/>
                <w:szCs w:val="18"/>
              </w:rPr>
            </w:pPr>
            <w:r w:rsidRPr="006A2BF3">
              <w:rPr>
                <w:rFonts w:ascii="Arial" w:hAnsi="Arial" w:cs="Arial"/>
                <w:b/>
                <w:bCs/>
                <w:sz w:val="18"/>
                <w:szCs w:val="18"/>
              </w:rPr>
              <w:t xml:space="preserve">Dátum uzávierky prijímania žiadostí </w:t>
            </w:r>
            <w:r>
              <w:rPr>
                <w:rFonts w:ascii="Arial" w:hAnsi="Arial" w:cs="Arial"/>
                <w:b/>
                <w:bCs/>
                <w:sz w:val="18"/>
                <w:szCs w:val="18"/>
              </w:rPr>
              <w:t xml:space="preserve">o </w:t>
            </w:r>
            <w:r w:rsidRPr="006A2BF3">
              <w:rPr>
                <w:rFonts w:ascii="Arial" w:hAnsi="Arial" w:cs="Arial"/>
                <w:b/>
                <w:bCs/>
                <w:sz w:val="18"/>
                <w:szCs w:val="18"/>
              </w:rPr>
              <w:t>NFP</w:t>
            </w:r>
          </w:p>
        </w:tc>
        <w:tc>
          <w:tcPr>
            <w:tcW w:w="1843" w:type="dxa"/>
            <w:shd w:val="clear" w:color="auto" w:fill="D6E3BC"/>
            <w:tcMar>
              <w:top w:w="15" w:type="dxa"/>
              <w:left w:w="15" w:type="dxa"/>
              <w:bottom w:w="0" w:type="dxa"/>
              <w:right w:w="15" w:type="dxa"/>
            </w:tcMar>
            <w:vAlign w:val="center"/>
          </w:tcPr>
          <w:p w:rsidR="002416B1" w:rsidRPr="006A2BF3" w:rsidRDefault="002416B1" w:rsidP="00205636">
            <w:pPr>
              <w:jc w:val="center"/>
              <w:rPr>
                <w:rFonts w:ascii="Arial" w:hAnsi="Arial" w:cs="Arial"/>
                <w:b/>
                <w:bCs/>
                <w:sz w:val="18"/>
                <w:szCs w:val="18"/>
              </w:rPr>
            </w:pPr>
            <w:r w:rsidRPr="00FD4FF4">
              <w:rPr>
                <w:rFonts w:ascii="Arial" w:hAnsi="Arial" w:cs="Arial"/>
                <w:b/>
                <w:bCs/>
                <w:sz w:val="18"/>
                <w:szCs w:val="18"/>
              </w:rPr>
              <w:t>Alokácia FP na výzvu (NFP) v €</w:t>
            </w:r>
          </w:p>
        </w:tc>
      </w:tr>
      <w:tr w:rsidR="002416B1" w:rsidRPr="006A2BF3" w:rsidTr="003A5E95">
        <w:trPr>
          <w:trHeight w:val="348"/>
        </w:trPr>
        <w:tc>
          <w:tcPr>
            <w:tcW w:w="1008" w:type="dxa"/>
            <w:shd w:val="clear" w:color="auto" w:fill="EAF1DD"/>
            <w:noWrap/>
            <w:tcMar>
              <w:top w:w="15" w:type="dxa"/>
              <w:left w:w="15" w:type="dxa"/>
              <w:bottom w:w="0" w:type="dxa"/>
              <w:right w:w="15" w:type="dxa"/>
            </w:tcMar>
            <w:vAlign w:val="center"/>
          </w:tcPr>
          <w:p w:rsidR="002416B1" w:rsidRPr="006A2BF3" w:rsidRDefault="002416B1" w:rsidP="00205636">
            <w:pPr>
              <w:jc w:val="center"/>
              <w:rPr>
                <w:rFonts w:ascii="Arial" w:hAnsi="Arial" w:cs="Arial"/>
                <w:sz w:val="18"/>
                <w:szCs w:val="18"/>
              </w:rPr>
            </w:pPr>
            <w:r w:rsidRPr="006A2BF3">
              <w:rPr>
                <w:rFonts w:ascii="Arial" w:hAnsi="Arial" w:cs="Arial"/>
                <w:sz w:val="18"/>
                <w:szCs w:val="18"/>
              </w:rPr>
              <w:t>6</w:t>
            </w:r>
          </w:p>
        </w:tc>
        <w:tc>
          <w:tcPr>
            <w:tcW w:w="1417" w:type="dxa"/>
            <w:noWrap/>
            <w:tcMar>
              <w:top w:w="15" w:type="dxa"/>
              <w:left w:w="15" w:type="dxa"/>
              <w:bottom w:w="0" w:type="dxa"/>
              <w:right w:w="15" w:type="dxa"/>
            </w:tcMar>
            <w:vAlign w:val="center"/>
          </w:tcPr>
          <w:p w:rsidR="002416B1" w:rsidRPr="006A2BF3" w:rsidRDefault="002416B1" w:rsidP="00205636">
            <w:pPr>
              <w:jc w:val="center"/>
              <w:rPr>
                <w:rFonts w:ascii="Arial" w:hAnsi="Arial" w:cs="Arial"/>
                <w:sz w:val="18"/>
                <w:szCs w:val="18"/>
              </w:rPr>
            </w:pPr>
            <w:r w:rsidRPr="006A2BF3">
              <w:rPr>
                <w:rFonts w:ascii="Arial" w:hAnsi="Arial" w:cs="Arial"/>
                <w:sz w:val="18"/>
                <w:szCs w:val="18"/>
              </w:rPr>
              <w:t>OPŽP-PO6-1</w:t>
            </w:r>
            <w:r w:rsidR="00A13E4B">
              <w:rPr>
                <w:rFonts w:ascii="Arial" w:hAnsi="Arial" w:cs="Arial"/>
                <w:sz w:val="18"/>
                <w:szCs w:val="18"/>
              </w:rPr>
              <w:t>2</w:t>
            </w:r>
            <w:r w:rsidRPr="006A2BF3">
              <w:rPr>
                <w:rFonts w:ascii="Arial" w:hAnsi="Arial" w:cs="Arial"/>
                <w:sz w:val="18"/>
                <w:szCs w:val="18"/>
              </w:rPr>
              <w:t>-1</w:t>
            </w:r>
          </w:p>
        </w:tc>
        <w:tc>
          <w:tcPr>
            <w:tcW w:w="1418" w:type="dxa"/>
            <w:noWrap/>
            <w:tcMar>
              <w:top w:w="15" w:type="dxa"/>
              <w:left w:w="15" w:type="dxa"/>
              <w:bottom w:w="0" w:type="dxa"/>
              <w:right w:w="15" w:type="dxa"/>
            </w:tcMar>
            <w:vAlign w:val="center"/>
          </w:tcPr>
          <w:p w:rsidR="002416B1" w:rsidRPr="006A2BF3" w:rsidRDefault="00A13E4B" w:rsidP="00205636">
            <w:pPr>
              <w:jc w:val="center"/>
              <w:rPr>
                <w:rFonts w:ascii="Arial" w:hAnsi="Arial" w:cs="Arial"/>
                <w:sz w:val="18"/>
                <w:szCs w:val="18"/>
              </w:rPr>
            </w:pPr>
            <w:r>
              <w:rPr>
                <w:rFonts w:ascii="Arial" w:hAnsi="Arial" w:cs="Arial"/>
                <w:sz w:val="18"/>
                <w:szCs w:val="18"/>
              </w:rPr>
              <w:t>10</w:t>
            </w:r>
            <w:r w:rsidR="002416B1" w:rsidRPr="006A2BF3">
              <w:rPr>
                <w:rFonts w:ascii="Arial" w:hAnsi="Arial" w:cs="Arial"/>
                <w:sz w:val="18"/>
                <w:szCs w:val="18"/>
              </w:rPr>
              <w:t>.2.201</w:t>
            </w:r>
            <w:r>
              <w:rPr>
                <w:rFonts w:ascii="Arial" w:hAnsi="Arial" w:cs="Arial"/>
                <w:sz w:val="18"/>
                <w:szCs w:val="18"/>
              </w:rPr>
              <w:t>2</w:t>
            </w:r>
          </w:p>
        </w:tc>
        <w:tc>
          <w:tcPr>
            <w:tcW w:w="2126" w:type="dxa"/>
            <w:noWrap/>
            <w:tcMar>
              <w:top w:w="15" w:type="dxa"/>
              <w:left w:w="15" w:type="dxa"/>
              <w:bottom w:w="0" w:type="dxa"/>
              <w:right w:w="15" w:type="dxa"/>
            </w:tcMar>
            <w:vAlign w:val="center"/>
          </w:tcPr>
          <w:p w:rsidR="002416B1" w:rsidRPr="006A2BF3" w:rsidRDefault="002416B1" w:rsidP="00205636">
            <w:pPr>
              <w:jc w:val="center"/>
              <w:rPr>
                <w:rFonts w:ascii="Arial" w:hAnsi="Arial" w:cs="Arial"/>
                <w:sz w:val="18"/>
                <w:szCs w:val="18"/>
              </w:rPr>
            </w:pPr>
            <w:r w:rsidRPr="006A2BF3">
              <w:rPr>
                <w:rFonts w:ascii="Arial" w:hAnsi="Arial" w:cs="Arial"/>
                <w:sz w:val="18"/>
                <w:szCs w:val="18"/>
              </w:rPr>
              <w:t>31.12.201</w:t>
            </w:r>
            <w:r w:rsidR="00A13E4B">
              <w:rPr>
                <w:rFonts w:ascii="Arial" w:hAnsi="Arial" w:cs="Arial"/>
                <w:sz w:val="18"/>
                <w:szCs w:val="18"/>
              </w:rPr>
              <w:t>2</w:t>
            </w:r>
          </w:p>
        </w:tc>
        <w:tc>
          <w:tcPr>
            <w:tcW w:w="1843" w:type="dxa"/>
            <w:noWrap/>
            <w:tcMar>
              <w:top w:w="15" w:type="dxa"/>
              <w:left w:w="15" w:type="dxa"/>
              <w:bottom w:w="0" w:type="dxa"/>
              <w:right w:w="15" w:type="dxa"/>
            </w:tcMar>
            <w:vAlign w:val="center"/>
          </w:tcPr>
          <w:p w:rsidR="002416B1" w:rsidRPr="006A2BF3" w:rsidRDefault="00A13E4B" w:rsidP="00205636">
            <w:pPr>
              <w:jc w:val="center"/>
              <w:rPr>
                <w:rFonts w:ascii="Arial" w:hAnsi="Arial" w:cs="Arial"/>
                <w:sz w:val="18"/>
                <w:szCs w:val="18"/>
              </w:rPr>
            </w:pPr>
            <w:r>
              <w:rPr>
                <w:rFonts w:ascii="Arial" w:hAnsi="Arial" w:cs="Arial"/>
                <w:sz w:val="18"/>
                <w:szCs w:val="18"/>
              </w:rPr>
              <w:t>15 340</w:t>
            </w:r>
            <w:r w:rsidR="002416B1" w:rsidRPr="006A2BF3">
              <w:rPr>
                <w:rFonts w:ascii="Arial" w:hAnsi="Arial" w:cs="Arial"/>
                <w:sz w:val="18"/>
                <w:szCs w:val="18"/>
              </w:rPr>
              <w:t xml:space="preserve"> 000</w:t>
            </w:r>
          </w:p>
        </w:tc>
      </w:tr>
      <w:tr w:rsidR="002416B1" w:rsidRPr="006A2BF3" w:rsidTr="003A5E95">
        <w:trPr>
          <w:trHeight w:val="380"/>
        </w:trPr>
        <w:tc>
          <w:tcPr>
            <w:tcW w:w="1008" w:type="dxa"/>
            <w:shd w:val="clear" w:color="auto" w:fill="EAF1DD"/>
            <w:tcMar>
              <w:top w:w="15" w:type="dxa"/>
              <w:left w:w="15" w:type="dxa"/>
              <w:bottom w:w="0" w:type="dxa"/>
              <w:right w:w="15" w:type="dxa"/>
            </w:tcMar>
            <w:vAlign w:val="center"/>
          </w:tcPr>
          <w:p w:rsidR="002416B1" w:rsidRPr="006A2BF3" w:rsidRDefault="002416B1" w:rsidP="00205636">
            <w:pPr>
              <w:rPr>
                <w:rFonts w:ascii="Arial" w:hAnsi="Arial" w:cs="Arial"/>
                <w:b/>
                <w:bCs/>
                <w:sz w:val="18"/>
                <w:szCs w:val="18"/>
              </w:rPr>
            </w:pPr>
            <w:r w:rsidRPr="006A2BF3">
              <w:rPr>
                <w:rFonts w:ascii="Arial" w:hAnsi="Arial" w:cs="Arial"/>
                <w:b/>
                <w:bCs/>
                <w:sz w:val="18"/>
                <w:szCs w:val="18"/>
              </w:rPr>
              <w:t>Celkom</w:t>
            </w:r>
          </w:p>
        </w:tc>
        <w:tc>
          <w:tcPr>
            <w:tcW w:w="1417" w:type="dxa"/>
            <w:shd w:val="clear" w:color="auto" w:fill="EAF1DD"/>
            <w:tcMar>
              <w:top w:w="15" w:type="dxa"/>
              <w:left w:w="15" w:type="dxa"/>
              <w:bottom w:w="0" w:type="dxa"/>
              <w:right w:w="15" w:type="dxa"/>
            </w:tcMar>
            <w:vAlign w:val="center"/>
          </w:tcPr>
          <w:p w:rsidR="002416B1" w:rsidRPr="006A2BF3" w:rsidRDefault="002416B1" w:rsidP="00205636">
            <w:pPr>
              <w:rPr>
                <w:rFonts w:ascii="Arial" w:hAnsi="Arial" w:cs="Arial"/>
                <w:b/>
                <w:bCs/>
                <w:sz w:val="18"/>
                <w:szCs w:val="18"/>
              </w:rPr>
            </w:pPr>
            <w:r w:rsidRPr="006A2BF3">
              <w:rPr>
                <w:rFonts w:ascii="Arial" w:hAnsi="Arial" w:cs="Arial"/>
                <w:b/>
                <w:bCs/>
                <w:sz w:val="18"/>
                <w:szCs w:val="18"/>
              </w:rPr>
              <w:t> </w:t>
            </w:r>
          </w:p>
        </w:tc>
        <w:tc>
          <w:tcPr>
            <w:tcW w:w="1418" w:type="dxa"/>
            <w:shd w:val="clear" w:color="auto" w:fill="EAF1DD"/>
            <w:tcMar>
              <w:top w:w="15" w:type="dxa"/>
              <w:left w:w="15" w:type="dxa"/>
              <w:bottom w:w="0" w:type="dxa"/>
              <w:right w:w="15" w:type="dxa"/>
            </w:tcMar>
            <w:vAlign w:val="center"/>
          </w:tcPr>
          <w:p w:rsidR="002416B1" w:rsidRPr="006A2BF3" w:rsidRDefault="002416B1" w:rsidP="00205636">
            <w:pPr>
              <w:rPr>
                <w:rFonts w:ascii="Arial" w:hAnsi="Arial" w:cs="Arial"/>
                <w:b/>
                <w:bCs/>
                <w:sz w:val="18"/>
                <w:szCs w:val="18"/>
              </w:rPr>
            </w:pPr>
            <w:r w:rsidRPr="006A2BF3">
              <w:rPr>
                <w:rFonts w:ascii="Arial" w:hAnsi="Arial" w:cs="Arial"/>
                <w:b/>
                <w:bCs/>
                <w:sz w:val="18"/>
                <w:szCs w:val="18"/>
              </w:rPr>
              <w:t> </w:t>
            </w:r>
          </w:p>
        </w:tc>
        <w:tc>
          <w:tcPr>
            <w:tcW w:w="2126" w:type="dxa"/>
            <w:shd w:val="clear" w:color="auto" w:fill="EAF1DD"/>
            <w:tcMar>
              <w:top w:w="15" w:type="dxa"/>
              <w:left w:w="15" w:type="dxa"/>
              <w:bottom w:w="0" w:type="dxa"/>
              <w:right w:w="15" w:type="dxa"/>
            </w:tcMar>
            <w:vAlign w:val="center"/>
          </w:tcPr>
          <w:p w:rsidR="002416B1" w:rsidRPr="006A2BF3" w:rsidRDefault="002416B1" w:rsidP="00205636">
            <w:pPr>
              <w:rPr>
                <w:rFonts w:ascii="Arial" w:hAnsi="Arial" w:cs="Arial"/>
                <w:b/>
                <w:bCs/>
                <w:sz w:val="18"/>
                <w:szCs w:val="18"/>
              </w:rPr>
            </w:pPr>
            <w:r w:rsidRPr="006A2BF3">
              <w:rPr>
                <w:rFonts w:ascii="Arial" w:hAnsi="Arial" w:cs="Arial"/>
                <w:b/>
                <w:bCs/>
                <w:sz w:val="18"/>
                <w:szCs w:val="18"/>
              </w:rPr>
              <w:t> </w:t>
            </w:r>
          </w:p>
        </w:tc>
        <w:tc>
          <w:tcPr>
            <w:tcW w:w="1843" w:type="dxa"/>
            <w:shd w:val="clear" w:color="auto" w:fill="EAF1DD"/>
            <w:noWrap/>
            <w:tcMar>
              <w:top w:w="15" w:type="dxa"/>
              <w:left w:w="15" w:type="dxa"/>
              <w:bottom w:w="0" w:type="dxa"/>
              <w:right w:w="15" w:type="dxa"/>
            </w:tcMar>
            <w:vAlign w:val="center"/>
          </w:tcPr>
          <w:p w:rsidR="002416B1" w:rsidRPr="006A2BF3" w:rsidRDefault="00A13E4B" w:rsidP="00205636">
            <w:pPr>
              <w:jc w:val="center"/>
              <w:rPr>
                <w:rFonts w:ascii="Arial" w:hAnsi="Arial" w:cs="Arial"/>
                <w:b/>
                <w:bCs/>
                <w:sz w:val="18"/>
                <w:szCs w:val="18"/>
              </w:rPr>
            </w:pPr>
            <w:r>
              <w:rPr>
                <w:rFonts w:ascii="Arial" w:hAnsi="Arial" w:cs="Arial"/>
                <w:b/>
                <w:bCs/>
                <w:sz w:val="18"/>
                <w:szCs w:val="18"/>
              </w:rPr>
              <w:t>15 340</w:t>
            </w:r>
            <w:r w:rsidR="002416B1" w:rsidRPr="006A2BF3">
              <w:rPr>
                <w:rFonts w:ascii="Arial" w:hAnsi="Arial" w:cs="Arial"/>
                <w:b/>
                <w:bCs/>
                <w:sz w:val="18"/>
                <w:szCs w:val="18"/>
              </w:rPr>
              <w:t xml:space="preserve"> 000</w:t>
            </w:r>
          </w:p>
        </w:tc>
      </w:tr>
    </w:tbl>
    <w:p w:rsidR="002416B1" w:rsidRPr="006A2BF3" w:rsidRDefault="002416B1" w:rsidP="00205636">
      <w:pPr>
        <w:pStyle w:val="Zkladntextb"/>
        <w:spacing w:after="0" w:line="360" w:lineRule="auto"/>
        <w:ind w:left="0"/>
        <w:jc w:val="both"/>
        <w:rPr>
          <w:bCs/>
          <w:highlight w:val="cyan"/>
          <w:lang w:val="sk-SK"/>
        </w:rPr>
      </w:pPr>
      <w:r w:rsidRPr="006A2BF3">
        <w:rPr>
          <w:rFonts w:cs="Arial"/>
          <w:sz w:val="18"/>
          <w:szCs w:val="18"/>
          <w:lang w:val="sk-SK"/>
        </w:rPr>
        <w:t xml:space="preserve"> </w:t>
      </w:r>
      <w:r w:rsidR="00000CC9">
        <w:rPr>
          <w:rFonts w:cs="Arial"/>
          <w:sz w:val="18"/>
          <w:szCs w:val="18"/>
          <w:lang w:val="sk-SK"/>
        </w:rPr>
        <w:t>Zdroj: RO, ITMS</w:t>
      </w:r>
    </w:p>
    <w:p w:rsidR="002416B1" w:rsidRDefault="002416B1" w:rsidP="00507035">
      <w:pPr>
        <w:pStyle w:val="Zkladntextb"/>
        <w:spacing w:before="120" w:after="120" w:line="360" w:lineRule="auto"/>
        <w:ind w:left="0"/>
        <w:jc w:val="both"/>
        <w:rPr>
          <w:bCs/>
          <w:lang w:val="sk-SK"/>
        </w:rPr>
      </w:pPr>
      <w:r w:rsidRPr="006A2BF3">
        <w:rPr>
          <w:bCs/>
          <w:lang w:val="sk-SK"/>
        </w:rPr>
        <w:t>K 31.12.201</w:t>
      </w:r>
      <w:r w:rsidR="00A13E4B">
        <w:rPr>
          <w:bCs/>
          <w:lang w:val="sk-SK"/>
        </w:rPr>
        <w:t>2</w:t>
      </w:r>
      <w:r w:rsidRPr="004B33AE">
        <w:rPr>
          <w:bCs/>
          <w:lang w:val="sk-SK"/>
        </w:rPr>
        <w:t xml:space="preserve"> bolo podaných celkovo </w:t>
      </w:r>
      <w:r>
        <w:rPr>
          <w:bCs/>
          <w:lang w:val="sk-SK"/>
        </w:rPr>
        <w:t>1</w:t>
      </w:r>
      <w:r w:rsidR="00A13E4B">
        <w:rPr>
          <w:bCs/>
          <w:lang w:val="sk-SK"/>
        </w:rPr>
        <w:t>5</w:t>
      </w:r>
      <w:r w:rsidRPr="004B33AE">
        <w:rPr>
          <w:bCs/>
          <w:lang w:val="sk-SK"/>
        </w:rPr>
        <w:t xml:space="preserve"> projektov vo výške </w:t>
      </w:r>
      <w:r w:rsidR="00A13E4B">
        <w:rPr>
          <w:bCs/>
          <w:lang w:val="sk-SK"/>
        </w:rPr>
        <w:t>49 037 583</w:t>
      </w:r>
      <w:r w:rsidRPr="004A3D0F">
        <w:rPr>
          <w:bCs/>
          <w:lang w:val="sk-SK"/>
        </w:rPr>
        <w:t xml:space="preserve"> EUR, žiadateľom bolo MŽP SR a</w:t>
      </w:r>
      <w:r>
        <w:rPr>
          <w:bCs/>
          <w:lang w:val="sk-SK"/>
        </w:rPr>
        <w:t xml:space="preserve"> </w:t>
      </w:r>
      <w:r w:rsidRPr="004A3D0F">
        <w:rPr>
          <w:bCs/>
          <w:lang w:val="sk-SK"/>
        </w:rPr>
        <w:t xml:space="preserve">SAŽP. Schválené </w:t>
      </w:r>
      <w:r>
        <w:rPr>
          <w:bCs/>
          <w:lang w:val="sk-SK"/>
        </w:rPr>
        <w:t>a </w:t>
      </w:r>
      <w:r w:rsidRPr="004B33AE">
        <w:rPr>
          <w:bCs/>
          <w:lang w:val="sk-SK"/>
        </w:rPr>
        <w:t>zazmluvnené</w:t>
      </w:r>
      <w:r>
        <w:rPr>
          <w:bCs/>
          <w:lang w:val="sk-SK"/>
        </w:rPr>
        <w:t xml:space="preserve"> boli všetky projekty v</w:t>
      </w:r>
      <w:r w:rsidR="005658F8">
        <w:rPr>
          <w:bCs/>
          <w:lang w:val="sk-SK"/>
        </w:rPr>
        <w:t>o</w:t>
      </w:r>
      <w:r>
        <w:rPr>
          <w:bCs/>
          <w:lang w:val="sk-SK"/>
        </w:rPr>
        <w:t>  výške</w:t>
      </w:r>
      <w:r w:rsidR="005658F8">
        <w:rPr>
          <w:bCs/>
          <w:lang w:val="sk-SK"/>
        </w:rPr>
        <w:t xml:space="preserve"> 37 707 242 EUR</w:t>
      </w:r>
      <w:r w:rsidRPr="004B33AE">
        <w:rPr>
          <w:bCs/>
          <w:lang w:val="sk-SK"/>
        </w:rPr>
        <w:t xml:space="preserve">, </w:t>
      </w:r>
      <w:r w:rsidR="00A13E4B">
        <w:rPr>
          <w:bCs/>
          <w:lang w:val="sk-SK"/>
        </w:rPr>
        <w:t xml:space="preserve">7 </w:t>
      </w:r>
      <w:r>
        <w:rPr>
          <w:bCs/>
          <w:lang w:val="sk-SK"/>
        </w:rPr>
        <w:t>je</w:t>
      </w:r>
      <w:r w:rsidRPr="004B33AE">
        <w:rPr>
          <w:bCs/>
          <w:lang w:val="sk-SK"/>
        </w:rPr>
        <w:t xml:space="preserve"> v</w:t>
      </w:r>
      <w:r>
        <w:rPr>
          <w:bCs/>
          <w:lang w:val="sk-SK"/>
        </w:rPr>
        <w:t> </w:t>
      </w:r>
      <w:r w:rsidRPr="004B33AE">
        <w:rPr>
          <w:bCs/>
          <w:lang w:val="sk-SK"/>
        </w:rPr>
        <w:t>realizácii</w:t>
      </w:r>
      <w:r>
        <w:rPr>
          <w:bCs/>
          <w:lang w:val="sk-SK"/>
        </w:rPr>
        <w:t xml:space="preserve">. Zo </w:t>
      </w:r>
      <w:r w:rsidR="005658F8">
        <w:rPr>
          <w:bCs/>
          <w:lang w:val="sk-SK"/>
        </w:rPr>
        <w:t>18</w:t>
      </w:r>
      <w:r>
        <w:rPr>
          <w:bCs/>
          <w:lang w:val="sk-SK"/>
        </w:rPr>
        <w:t xml:space="preserve">-tich ukončených projektov bolo 10 mimoriadne ukončených </w:t>
      </w:r>
      <w:r w:rsidRPr="00A30D2B">
        <w:rPr>
          <w:bCs/>
          <w:lang w:val="sk-SK"/>
        </w:rPr>
        <w:t>v súvislosti s delimitáciou MŽP SR a zmene IČO prijímateľa. Násle</w:t>
      </w:r>
      <w:r>
        <w:rPr>
          <w:bCs/>
          <w:lang w:val="sk-SK"/>
        </w:rPr>
        <w:t>dne došlo k vytvoreniu následníckych projektov</w:t>
      </w:r>
      <w:r w:rsidRPr="00A30D2B">
        <w:rPr>
          <w:bCs/>
          <w:lang w:val="sk-SK"/>
        </w:rPr>
        <w:t xml:space="preserve"> v ITMS.</w:t>
      </w:r>
      <w:r w:rsidRPr="004B33AE">
        <w:rPr>
          <w:bCs/>
          <w:lang w:val="sk-SK"/>
        </w:rPr>
        <w:t xml:space="preserve"> </w:t>
      </w:r>
    </w:p>
    <w:p w:rsidR="002416B1" w:rsidRPr="0039268C" w:rsidRDefault="002416B1" w:rsidP="00507035">
      <w:pPr>
        <w:pStyle w:val="Zkladntextb"/>
        <w:spacing w:before="120" w:after="120" w:line="360" w:lineRule="auto"/>
        <w:ind w:left="0"/>
        <w:jc w:val="both"/>
        <w:rPr>
          <w:bCs/>
          <w:lang w:val="sk-SK"/>
        </w:rPr>
      </w:pPr>
      <w:r w:rsidRPr="00D70258">
        <w:rPr>
          <w:bCs/>
          <w:lang w:val="sk-SK"/>
        </w:rPr>
        <w:t xml:space="preserve">K vráteniu finančných prostriedkov došlo v šiestich prípadoch, z dôvodu nedôsledného administratívneho overovania postupov verejného obstarávania, porušenie </w:t>
      </w:r>
      <w:r w:rsidR="0038420F">
        <w:rPr>
          <w:bCs/>
          <w:lang w:val="sk-SK"/>
        </w:rPr>
        <w:t>č</w:t>
      </w:r>
      <w:r w:rsidRPr="00D70258">
        <w:rPr>
          <w:bCs/>
          <w:lang w:val="sk-SK"/>
        </w:rPr>
        <w:t>lánku 15 Všeobecných zmluvných podmienok k Zmluve o poskytnutí NFP a formálneho vysporiadania finančných prostriedkov v ITMS v súvislosti s delimitáciou MŽP SR.</w:t>
      </w:r>
    </w:p>
    <w:p w:rsidR="007607F8" w:rsidRPr="006A2BF3" w:rsidRDefault="002416B1" w:rsidP="00205636">
      <w:pPr>
        <w:pStyle w:val="Zkladntextb"/>
        <w:spacing w:after="0" w:line="360" w:lineRule="auto"/>
        <w:ind w:left="0"/>
        <w:jc w:val="both"/>
        <w:rPr>
          <w:bCs/>
          <w:sz w:val="18"/>
          <w:szCs w:val="18"/>
          <w:lang w:val="sk-SK"/>
        </w:rPr>
      </w:pPr>
      <w:r w:rsidRPr="004B33AE">
        <w:rPr>
          <w:bCs/>
          <w:lang w:val="sk-SK"/>
        </w:rPr>
        <w:t xml:space="preserve">Tab. č. </w:t>
      </w:r>
      <w:r w:rsidR="00254D6C">
        <w:rPr>
          <w:bCs/>
          <w:lang w:val="sk-SK"/>
        </w:rPr>
        <w:t>59</w:t>
      </w:r>
      <w:r w:rsidRPr="004B33AE">
        <w:rPr>
          <w:bCs/>
          <w:lang w:val="sk-SK"/>
        </w:rPr>
        <w:t>: Sledovanie vývoja implementácie prioritnej osi 6 k 31.12.201</w:t>
      </w:r>
      <w:r w:rsidR="005658F8">
        <w:rPr>
          <w:bCs/>
          <w:lang w:val="sk-SK"/>
        </w:rPr>
        <w:t>2</w:t>
      </w:r>
    </w:p>
    <w:tbl>
      <w:tblPr>
        <w:tblW w:w="5000" w:type="pct"/>
        <w:tblCellMar>
          <w:left w:w="70" w:type="dxa"/>
          <w:right w:w="70" w:type="dxa"/>
        </w:tblCellMar>
        <w:tblLook w:val="04A0" w:firstRow="1" w:lastRow="0" w:firstColumn="1" w:lastColumn="0" w:noHBand="0" w:noVBand="1"/>
      </w:tblPr>
      <w:tblGrid>
        <w:gridCol w:w="1535"/>
        <w:gridCol w:w="1535"/>
        <w:gridCol w:w="1534"/>
        <w:gridCol w:w="1534"/>
        <w:gridCol w:w="1534"/>
        <w:gridCol w:w="1538"/>
      </w:tblGrid>
      <w:tr w:rsidR="000B6E30" w:rsidTr="000B6E30">
        <w:trPr>
          <w:trHeight w:val="465"/>
        </w:trPr>
        <w:tc>
          <w:tcPr>
            <w:tcW w:w="833" w:type="pct"/>
            <w:tcBorders>
              <w:top w:val="single" w:sz="8" w:space="0" w:color="auto"/>
              <w:left w:val="single" w:sz="8" w:space="0" w:color="auto"/>
              <w:bottom w:val="single" w:sz="8" w:space="0" w:color="auto"/>
              <w:right w:val="single" w:sz="8" w:space="0" w:color="auto"/>
            </w:tcBorders>
            <w:shd w:val="clear" w:color="000000" w:fill="D6E3BC"/>
            <w:vAlign w:val="center"/>
            <w:hideMark/>
          </w:tcPr>
          <w:p w:rsidR="000B6E30" w:rsidRDefault="000B6E30">
            <w:pPr>
              <w:jc w:val="center"/>
              <w:rPr>
                <w:rFonts w:ascii="Arial" w:hAnsi="Arial" w:cs="Arial"/>
                <w:b/>
                <w:bCs/>
                <w:color w:val="000000"/>
                <w:sz w:val="16"/>
                <w:szCs w:val="16"/>
              </w:rPr>
            </w:pPr>
            <w:r>
              <w:rPr>
                <w:rFonts w:ascii="Arial" w:hAnsi="Arial" w:cs="Arial"/>
                <w:b/>
                <w:bCs/>
                <w:color w:val="000000"/>
                <w:sz w:val="16"/>
                <w:szCs w:val="16"/>
              </w:rPr>
              <w:t>Hlavná téma</w:t>
            </w:r>
          </w:p>
        </w:tc>
        <w:tc>
          <w:tcPr>
            <w:tcW w:w="833" w:type="pct"/>
            <w:tcBorders>
              <w:top w:val="single" w:sz="8" w:space="0" w:color="auto"/>
              <w:left w:val="nil"/>
              <w:bottom w:val="single" w:sz="8" w:space="0" w:color="auto"/>
              <w:right w:val="single" w:sz="8" w:space="0" w:color="auto"/>
            </w:tcBorders>
            <w:shd w:val="clear" w:color="000000" w:fill="D6E3BC"/>
            <w:vAlign w:val="center"/>
            <w:hideMark/>
          </w:tcPr>
          <w:p w:rsidR="000B6E30" w:rsidRDefault="000B6E30">
            <w:pPr>
              <w:jc w:val="center"/>
              <w:rPr>
                <w:rFonts w:ascii="Arial" w:hAnsi="Arial" w:cs="Arial"/>
                <w:b/>
                <w:bCs/>
                <w:color w:val="000000"/>
                <w:sz w:val="16"/>
                <w:szCs w:val="16"/>
              </w:rPr>
            </w:pPr>
            <w:r>
              <w:rPr>
                <w:rFonts w:ascii="Arial" w:hAnsi="Arial" w:cs="Arial"/>
                <w:b/>
                <w:bCs/>
                <w:color w:val="000000"/>
                <w:sz w:val="16"/>
                <w:szCs w:val="16"/>
              </w:rPr>
              <w:t>Počet prijatých ŽoNFP</w:t>
            </w:r>
          </w:p>
        </w:tc>
        <w:tc>
          <w:tcPr>
            <w:tcW w:w="833" w:type="pct"/>
            <w:tcBorders>
              <w:top w:val="single" w:sz="8" w:space="0" w:color="auto"/>
              <w:left w:val="nil"/>
              <w:bottom w:val="single" w:sz="8" w:space="0" w:color="auto"/>
              <w:right w:val="single" w:sz="8" w:space="0" w:color="auto"/>
            </w:tcBorders>
            <w:shd w:val="clear" w:color="000000" w:fill="D6E3BC"/>
            <w:vAlign w:val="center"/>
            <w:hideMark/>
          </w:tcPr>
          <w:p w:rsidR="000B6E30" w:rsidRDefault="000B6E30">
            <w:pPr>
              <w:jc w:val="center"/>
              <w:rPr>
                <w:rFonts w:ascii="Arial" w:hAnsi="Arial" w:cs="Arial"/>
                <w:b/>
                <w:bCs/>
                <w:color w:val="000000"/>
                <w:sz w:val="16"/>
                <w:szCs w:val="16"/>
              </w:rPr>
            </w:pPr>
            <w:r>
              <w:rPr>
                <w:rFonts w:ascii="Arial" w:hAnsi="Arial" w:cs="Arial"/>
                <w:b/>
                <w:bCs/>
                <w:color w:val="000000"/>
                <w:sz w:val="16"/>
                <w:szCs w:val="16"/>
              </w:rPr>
              <w:t>Počet schválených ŽoNFP</w:t>
            </w:r>
          </w:p>
        </w:tc>
        <w:tc>
          <w:tcPr>
            <w:tcW w:w="833" w:type="pct"/>
            <w:tcBorders>
              <w:top w:val="single" w:sz="8" w:space="0" w:color="auto"/>
              <w:left w:val="nil"/>
              <w:bottom w:val="single" w:sz="8" w:space="0" w:color="auto"/>
              <w:right w:val="single" w:sz="8" w:space="0" w:color="auto"/>
            </w:tcBorders>
            <w:shd w:val="clear" w:color="000000" w:fill="D6E3BC"/>
            <w:vAlign w:val="center"/>
            <w:hideMark/>
          </w:tcPr>
          <w:p w:rsidR="000B6E30" w:rsidRDefault="000B6E30">
            <w:pPr>
              <w:jc w:val="center"/>
              <w:rPr>
                <w:rFonts w:ascii="Arial" w:hAnsi="Arial" w:cs="Arial"/>
                <w:b/>
                <w:bCs/>
                <w:color w:val="000000"/>
                <w:sz w:val="16"/>
                <w:szCs w:val="16"/>
              </w:rPr>
            </w:pPr>
            <w:r>
              <w:rPr>
                <w:rFonts w:ascii="Arial" w:hAnsi="Arial" w:cs="Arial"/>
                <w:b/>
                <w:bCs/>
                <w:color w:val="000000"/>
                <w:sz w:val="16"/>
                <w:szCs w:val="16"/>
              </w:rPr>
              <w:t xml:space="preserve">Počet zazmluvnených projektov </w:t>
            </w:r>
            <w:r>
              <w:rPr>
                <w:rFonts w:ascii="Arial" w:hAnsi="Arial" w:cs="Arial"/>
                <w:b/>
                <w:bCs/>
                <w:color w:val="000000"/>
                <w:sz w:val="16"/>
                <w:szCs w:val="16"/>
                <w:vertAlign w:val="superscript"/>
              </w:rPr>
              <w:t>2</w:t>
            </w:r>
          </w:p>
        </w:tc>
        <w:tc>
          <w:tcPr>
            <w:tcW w:w="833" w:type="pct"/>
            <w:tcBorders>
              <w:top w:val="single" w:sz="8" w:space="0" w:color="auto"/>
              <w:left w:val="nil"/>
              <w:bottom w:val="single" w:sz="8" w:space="0" w:color="auto"/>
              <w:right w:val="single" w:sz="8" w:space="0" w:color="auto"/>
            </w:tcBorders>
            <w:shd w:val="clear" w:color="000000" w:fill="D6E3BC"/>
            <w:vAlign w:val="center"/>
            <w:hideMark/>
          </w:tcPr>
          <w:p w:rsidR="000B6E30" w:rsidRDefault="000B6E30">
            <w:pPr>
              <w:jc w:val="center"/>
              <w:rPr>
                <w:rFonts w:ascii="Arial" w:hAnsi="Arial" w:cs="Arial"/>
                <w:b/>
                <w:bCs/>
                <w:color w:val="000000"/>
                <w:sz w:val="16"/>
                <w:szCs w:val="16"/>
              </w:rPr>
            </w:pPr>
            <w:r>
              <w:rPr>
                <w:rFonts w:ascii="Arial" w:hAnsi="Arial" w:cs="Arial"/>
                <w:b/>
                <w:bCs/>
                <w:color w:val="000000"/>
                <w:sz w:val="16"/>
                <w:szCs w:val="16"/>
              </w:rPr>
              <w:t xml:space="preserve">Počet ukončených projektov </w:t>
            </w:r>
            <w:r>
              <w:rPr>
                <w:rFonts w:ascii="Arial" w:hAnsi="Arial" w:cs="Arial"/>
                <w:b/>
                <w:bCs/>
                <w:color w:val="000000"/>
                <w:sz w:val="16"/>
                <w:szCs w:val="16"/>
                <w:vertAlign w:val="superscript"/>
              </w:rPr>
              <w:t>3</w:t>
            </w:r>
          </w:p>
        </w:tc>
        <w:tc>
          <w:tcPr>
            <w:tcW w:w="833" w:type="pct"/>
            <w:tcBorders>
              <w:top w:val="single" w:sz="8" w:space="0" w:color="auto"/>
              <w:left w:val="nil"/>
              <w:bottom w:val="single" w:sz="8" w:space="0" w:color="auto"/>
              <w:right w:val="single" w:sz="8" w:space="0" w:color="auto"/>
            </w:tcBorders>
            <w:shd w:val="clear" w:color="000000" w:fill="D6E3BC"/>
            <w:vAlign w:val="center"/>
            <w:hideMark/>
          </w:tcPr>
          <w:p w:rsidR="000B6E30" w:rsidRDefault="000B6E30">
            <w:pPr>
              <w:jc w:val="center"/>
              <w:rPr>
                <w:rFonts w:ascii="Arial" w:hAnsi="Arial" w:cs="Arial"/>
                <w:b/>
                <w:bCs/>
                <w:color w:val="000000"/>
                <w:sz w:val="16"/>
                <w:szCs w:val="16"/>
              </w:rPr>
            </w:pPr>
            <w:r>
              <w:rPr>
                <w:rFonts w:ascii="Arial" w:hAnsi="Arial" w:cs="Arial"/>
                <w:b/>
                <w:bCs/>
                <w:color w:val="000000"/>
                <w:sz w:val="16"/>
                <w:szCs w:val="16"/>
              </w:rPr>
              <w:t>Počet mimoriadne ukončených projektov</w:t>
            </w:r>
          </w:p>
        </w:tc>
      </w:tr>
      <w:tr w:rsidR="000B6E30" w:rsidTr="000B6E30">
        <w:trPr>
          <w:trHeight w:val="465"/>
        </w:trPr>
        <w:tc>
          <w:tcPr>
            <w:tcW w:w="833" w:type="pct"/>
            <w:tcBorders>
              <w:top w:val="nil"/>
              <w:left w:val="single" w:sz="8" w:space="0" w:color="auto"/>
              <w:bottom w:val="single" w:sz="8" w:space="0" w:color="auto"/>
              <w:right w:val="single" w:sz="8" w:space="0" w:color="auto"/>
            </w:tcBorders>
            <w:shd w:val="clear" w:color="auto" w:fill="auto"/>
            <w:vAlign w:val="center"/>
            <w:hideMark/>
          </w:tcPr>
          <w:p w:rsidR="000B6E30" w:rsidRDefault="000B6E30">
            <w:pPr>
              <w:rPr>
                <w:rFonts w:ascii="Arial" w:hAnsi="Arial" w:cs="Arial"/>
                <w:color w:val="000000"/>
                <w:sz w:val="16"/>
                <w:szCs w:val="16"/>
              </w:rPr>
            </w:pPr>
            <w:r>
              <w:rPr>
                <w:rFonts w:ascii="Arial" w:hAnsi="Arial" w:cs="Arial"/>
                <w:color w:val="000000"/>
                <w:sz w:val="16"/>
                <w:szCs w:val="16"/>
              </w:rPr>
              <w:t>86 - Hodnotenie a štúdie, informácie a komunikácia</w:t>
            </w:r>
          </w:p>
        </w:tc>
        <w:tc>
          <w:tcPr>
            <w:tcW w:w="833" w:type="pct"/>
            <w:tcBorders>
              <w:top w:val="nil"/>
              <w:left w:val="nil"/>
              <w:bottom w:val="single" w:sz="8" w:space="0" w:color="auto"/>
              <w:right w:val="single" w:sz="8" w:space="0" w:color="auto"/>
            </w:tcBorders>
            <w:shd w:val="clear" w:color="auto" w:fill="auto"/>
            <w:noWrap/>
            <w:vAlign w:val="center"/>
            <w:hideMark/>
          </w:tcPr>
          <w:p w:rsidR="000B6E30" w:rsidRDefault="000B6E30">
            <w:pPr>
              <w:jc w:val="center"/>
              <w:rPr>
                <w:rFonts w:ascii="Arial" w:hAnsi="Arial" w:cs="Arial"/>
                <w:color w:val="000000"/>
                <w:sz w:val="16"/>
                <w:szCs w:val="16"/>
              </w:rPr>
            </w:pPr>
            <w:r>
              <w:rPr>
                <w:rFonts w:ascii="Arial" w:hAnsi="Arial" w:cs="Arial"/>
                <w:color w:val="000000"/>
                <w:sz w:val="16"/>
                <w:szCs w:val="16"/>
              </w:rPr>
              <w:t>4</w:t>
            </w:r>
          </w:p>
        </w:tc>
        <w:tc>
          <w:tcPr>
            <w:tcW w:w="833" w:type="pct"/>
            <w:tcBorders>
              <w:top w:val="nil"/>
              <w:left w:val="nil"/>
              <w:bottom w:val="single" w:sz="8" w:space="0" w:color="auto"/>
              <w:right w:val="single" w:sz="8" w:space="0" w:color="auto"/>
            </w:tcBorders>
            <w:shd w:val="clear" w:color="auto" w:fill="auto"/>
            <w:noWrap/>
            <w:vAlign w:val="center"/>
            <w:hideMark/>
          </w:tcPr>
          <w:p w:rsidR="000B6E30" w:rsidRDefault="000B6E30">
            <w:pPr>
              <w:jc w:val="center"/>
              <w:rPr>
                <w:rFonts w:ascii="Arial" w:hAnsi="Arial" w:cs="Arial"/>
                <w:color w:val="000000"/>
                <w:sz w:val="16"/>
                <w:szCs w:val="16"/>
              </w:rPr>
            </w:pPr>
            <w:r>
              <w:rPr>
                <w:rFonts w:ascii="Arial" w:hAnsi="Arial" w:cs="Arial"/>
                <w:color w:val="000000"/>
                <w:sz w:val="16"/>
                <w:szCs w:val="16"/>
              </w:rPr>
              <w:t>4</w:t>
            </w:r>
          </w:p>
        </w:tc>
        <w:tc>
          <w:tcPr>
            <w:tcW w:w="833" w:type="pct"/>
            <w:tcBorders>
              <w:top w:val="nil"/>
              <w:left w:val="nil"/>
              <w:bottom w:val="single" w:sz="8" w:space="0" w:color="auto"/>
              <w:right w:val="single" w:sz="8" w:space="0" w:color="auto"/>
            </w:tcBorders>
            <w:shd w:val="clear" w:color="auto" w:fill="auto"/>
            <w:noWrap/>
            <w:vAlign w:val="center"/>
            <w:hideMark/>
          </w:tcPr>
          <w:p w:rsidR="000B6E30" w:rsidRDefault="000B6E30">
            <w:pPr>
              <w:jc w:val="center"/>
              <w:rPr>
                <w:rFonts w:ascii="Arial" w:hAnsi="Arial" w:cs="Arial"/>
                <w:color w:val="000000"/>
                <w:sz w:val="16"/>
                <w:szCs w:val="16"/>
              </w:rPr>
            </w:pPr>
            <w:r>
              <w:rPr>
                <w:rFonts w:ascii="Arial" w:hAnsi="Arial" w:cs="Arial"/>
                <w:color w:val="000000"/>
                <w:sz w:val="16"/>
                <w:szCs w:val="16"/>
              </w:rPr>
              <w:t>4</w:t>
            </w:r>
          </w:p>
        </w:tc>
        <w:tc>
          <w:tcPr>
            <w:tcW w:w="833" w:type="pct"/>
            <w:tcBorders>
              <w:top w:val="nil"/>
              <w:left w:val="nil"/>
              <w:bottom w:val="single" w:sz="8" w:space="0" w:color="auto"/>
              <w:right w:val="single" w:sz="8" w:space="0" w:color="auto"/>
            </w:tcBorders>
            <w:shd w:val="clear" w:color="auto" w:fill="auto"/>
            <w:noWrap/>
            <w:vAlign w:val="center"/>
            <w:hideMark/>
          </w:tcPr>
          <w:p w:rsidR="000B6E30" w:rsidRDefault="000B6E30">
            <w:pPr>
              <w:jc w:val="center"/>
              <w:rPr>
                <w:rFonts w:ascii="Arial" w:hAnsi="Arial" w:cs="Arial"/>
                <w:color w:val="000000"/>
                <w:sz w:val="16"/>
                <w:szCs w:val="16"/>
              </w:rPr>
            </w:pPr>
            <w:r>
              <w:rPr>
                <w:rFonts w:ascii="Arial" w:hAnsi="Arial" w:cs="Arial"/>
                <w:color w:val="000000"/>
                <w:sz w:val="16"/>
                <w:szCs w:val="16"/>
              </w:rPr>
              <w:t>2</w:t>
            </w:r>
          </w:p>
        </w:tc>
        <w:tc>
          <w:tcPr>
            <w:tcW w:w="833" w:type="pct"/>
            <w:tcBorders>
              <w:top w:val="nil"/>
              <w:left w:val="nil"/>
              <w:bottom w:val="single" w:sz="8" w:space="0" w:color="auto"/>
              <w:right w:val="single" w:sz="8" w:space="0" w:color="auto"/>
            </w:tcBorders>
            <w:shd w:val="clear" w:color="auto" w:fill="auto"/>
            <w:noWrap/>
            <w:vAlign w:val="center"/>
            <w:hideMark/>
          </w:tcPr>
          <w:p w:rsidR="000B6E30" w:rsidRDefault="000B6E30">
            <w:pPr>
              <w:jc w:val="center"/>
              <w:rPr>
                <w:rFonts w:ascii="Arial" w:hAnsi="Arial" w:cs="Arial"/>
                <w:color w:val="000000"/>
                <w:sz w:val="16"/>
                <w:szCs w:val="16"/>
              </w:rPr>
            </w:pPr>
            <w:r>
              <w:rPr>
                <w:rFonts w:ascii="Arial" w:hAnsi="Arial" w:cs="Arial"/>
                <w:color w:val="000000"/>
                <w:sz w:val="16"/>
                <w:szCs w:val="16"/>
              </w:rPr>
              <w:t>2</w:t>
            </w:r>
          </w:p>
        </w:tc>
      </w:tr>
      <w:tr w:rsidR="000B6E30" w:rsidTr="000B6E30">
        <w:trPr>
          <w:trHeight w:val="465"/>
        </w:trPr>
        <w:tc>
          <w:tcPr>
            <w:tcW w:w="833" w:type="pct"/>
            <w:tcBorders>
              <w:top w:val="nil"/>
              <w:left w:val="single" w:sz="8" w:space="0" w:color="auto"/>
              <w:bottom w:val="single" w:sz="8" w:space="0" w:color="auto"/>
              <w:right w:val="single" w:sz="8" w:space="0" w:color="auto"/>
            </w:tcBorders>
            <w:shd w:val="clear" w:color="auto" w:fill="auto"/>
            <w:vAlign w:val="center"/>
            <w:hideMark/>
          </w:tcPr>
          <w:p w:rsidR="000B6E30" w:rsidRDefault="000B6E30">
            <w:pPr>
              <w:rPr>
                <w:rFonts w:ascii="Arial" w:hAnsi="Arial" w:cs="Arial"/>
                <w:color w:val="000000"/>
                <w:sz w:val="16"/>
                <w:szCs w:val="16"/>
              </w:rPr>
            </w:pPr>
            <w:r>
              <w:rPr>
                <w:rFonts w:ascii="Arial" w:hAnsi="Arial" w:cs="Arial"/>
                <w:color w:val="000000"/>
                <w:sz w:val="16"/>
                <w:szCs w:val="16"/>
              </w:rPr>
              <w:t>85 - Príprava, vykonávanie, monitorovanie a kontrola</w:t>
            </w:r>
          </w:p>
        </w:tc>
        <w:tc>
          <w:tcPr>
            <w:tcW w:w="833" w:type="pct"/>
            <w:tcBorders>
              <w:top w:val="nil"/>
              <w:left w:val="nil"/>
              <w:bottom w:val="single" w:sz="8" w:space="0" w:color="auto"/>
              <w:right w:val="single" w:sz="8" w:space="0" w:color="auto"/>
            </w:tcBorders>
            <w:shd w:val="clear" w:color="auto" w:fill="auto"/>
            <w:noWrap/>
            <w:vAlign w:val="center"/>
            <w:hideMark/>
          </w:tcPr>
          <w:p w:rsidR="000B6E30" w:rsidRDefault="000B6E30">
            <w:pPr>
              <w:jc w:val="center"/>
              <w:rPr>
                <w:rFonts w:ascii="Arial" w:hAnsi="Arial" w:cs="Arial"/>
                <w:color w:val="000000"/>
                <w:sz w:val="16"/>
                <w:szCs w:val="16"/>
              </w:rPr>
            </w:pPr>
            <w:r>
              <w:rPr>
                <w:rFonts w:ascii="Arial" w:hAnsi="Arial" w:cs="Arial"/>
                <w:color w:val="000000"/>
                <w:sz w:val="16"/>
                <w:szCs w:val="16"/>
              </w:rPr>
              <w:t>11</w:t>
            </w:r>
          </w:p>
        </w:tc>
        <w:tc>
          <w:tcPr>
            <w:tcW w:w="833" w:type="pct"/>
            <w:tcBorders>
              <w:top w:val="nil"/>
              <w:left w:val="nil"/>
              <w:bottom w:val="single" w:sz="8" w:space="0" w:color="auto"/>
              <w:right w:val="single" w:sz="8" w:space="0" w:color="auto"/>
            </w:tcBorders>
            <w:shd w:val="clear" w:color="auto" w:fill="auto"/>
            <w:noWrap/>
            <w:vAlign w:val="center"/>
            <w:hideMark/>
          </w:tcPr>
          <w:p w:rsidR="000B6E30" w:rsidRDefault="000B6E30">
            <w:pPr>
              <w:jc w:val="center"/>
              <w:rPr>
                <w:rFonts w:ascii="Arial" w:hAnsi="Arial" w:cs="Arial"/>
                <w:color w:val="000000"/>
                <w:sz w:val="16"/>
                <w:szCs w:val="16"/>
              </w:rPr>
            </w:pPr>
            <w:r>
              <w:rPr>
                <w:rFonts w:ascii="Arial" w:hAnsi="Arial" w:cs="Arial"/>
                <w:color w:val="000000"/>
                <w:sz w:val="16"/>
                <w:szCs w:val="16"/>
              </w:rPr>
              <w:t>11</w:t>
            </w:r>
          </w:p>
        </w:tc>
        <w:tc>
          <w:tcPr>
            <w:tcW w:w="833" w:type="pct"/>
            <w:tcBorders>
              <w:top w:val="nil"/>
              <w:left w:val="nil"/>
              <w:bottom w:val="single" w:sz="8" w:space="0" w:color="auto"/>
              <w:right w:val="single" w:sz="8" w:space="0" w:color="auto"/>
            </w:tcBorders>
            <w:shd w:val="clear" w:color="auto" w:fill="auto"/>
            <w:noWrap/>
            <w:vAlign w:val="center"/>
            <w:hideMark/>
          </w:tcPr>
          <w:p w:rsidR="000B6E30" w:rsidRDefault="000B6E30">
            <w:pPr>
              <w:jc w:val="center"/>
              <w:rPr>
                <w:rFonts w:ascii="Arial" w:hAnsi="Arial" w:cs="Arial"/>
                <w:color w:val="000000"/>
                <w:sz w:val="16"/>
                <w:szCs w:val="16"/>
              </w:rPr>
            </w:pPr>
            <w:r>
              <w:rPr>
                <w:rFonts w:ascii="Arial" w:hAnsi="Arial" w:cs="Arial"/>
                <w:color w:val="000000"/>
                <w:sz w:val="16"/>
                <w:szCs w:val="16"/>
              </w:rPr>
              <w:t>11</w:t>
            </w:r>
          </w:p>
        </w:tc>
        <w:tc>
          <w:tcPr>
            <w:tcW w:w="833" w:type="pct"/>
            <w:tcBorders>
              <w:top w:val="nil"/>
              <w:left w:val="nil"/>
              <w:bottom w:val="single" w:sz="8" w:space="0" w:color="auto"/>
              <w:right w:val="single" w:sz="8" w:space="0" w:color="auto"/>
            </w:tcBorders>
            <w:shd w:val="clear" w:color="auto" w:fill="auto"/>
            <w:noWrap/>
            <w:vAlign w:val="center"/>
            <w:hideMark/>
          </w:tcPr>
          <w:p w:rsidR="000B6E30" w:rsidRDefault="000B6E30">
            <w:pPr>
              <w:jc w:val="center"/>
              <w:rPr>
                <w:rFonts w:ascii="Arial" w:hAnsi="Arial" w:cs="Arial"/>
                <w:color w:val="000000"/>
                <w:sz w:val="16"/>
                <w:szCs w:val="16"/>
              </w:rPr>
            </w:pPr>
            <w:r>
              <w:rPr>
                <w:rFonts w:ascii="Arial" w:hAnsi="Arial" w:cs="Arial"/>
                <w:color w:val="000000"/>
                <w:sz w:val="16"/>
                <w:szCs w:val="16"/>
              </w:rPr>
              <w:t>6</w:t>
            </w:r>
          </w:p>
        </w:tc>
        <w:tc>
          <w:tcPr>
            <w:tcW w:w="833" w:type="pct"/>
            <w:tcBorders>
              <w:top w:val="nil"/>
              <w:left w:val="nil"/>
              <w:bottom w:val="single" w:sz="8" w:space="0" w:color="auto"/>
              <w:right w:val="single" w:sz="8" w:space="0" w:color="auto"/>
            </w:tcBorders>
            <w:shd w:val="clear" w:color="auto" w:fill="auto"/>
            <w:noWrap/>
            <w:vAlign w:val="center"/>
            <w:hideMark/>
          </w:tcPr>
          <w:p w:rsidR="000B6E30" w:rsidRDefault="000B6E30">
            <w:pPr>
              <w:jc w:val="center"/>
              <w:rPr>
                <w:rFonts w:ascii="Arial" w:hAnsi="Arial" w:cs="Arial"/>
                <w:color w:val="000000"/>
                <w:sz w:val="16"/>
                <w:szCs w:val="16"/>
              </w:rPr>
            </w:pPr>
            <w:r>
              <w:rPr>
                <w:rFonts w:ascii="Arial" w:hAnsi="Arial" w:cs="Arial"/>
                <w:color w:val="000000"/>
                <w:sz w:val="16"/>
                <w:szCs w:val="16"/>
              </w:rPr>
              <w:t>4</w:t>
            </w:r>
          </w:p>
        </w:tc>
      </w:tr>
      <w:tr w:rsidR="000B6E30" w:rsidTr="000B6E30">
        <w:trPr>
          <w:trHeight w:val="315"/>
        </w:trPr>
        <w:tc>
          <w:tcPr>
            <w:tcW w:w="833" w:type="pct"/>
            <w:tcBorders>
              <w:top w:val="nil"/>
              <w:left w:val="single" w:sz="8" w:space="0" w:color="auto"/>
              <w:bottom w:val="single" w:sz="8" w:space="0" w:color="auto"/>
              <w:right w:val="single" w:sz="8" w:space="0" w:color="auto"/>
            </w:tcBorders>
            <w:shd w:val="clear" w:color="000000" w:fill="EAF1DD"/>
            <w:vAlign w:val="center"/>
            <w:hideMark/>
          </w:tcPr>
          <w:p w:rsidR="000B6E30" w:rsidRDefault="000B6E30">
            <w:pPr>
              <w:rPr>
                <w:rFonts w:ascii="Arial" w:hAnsi="Arial" w:cs="Arial"/>
                <w:b/>
                <w:bCs/>
                <w:color w:val="000000"/>
                <w:sz w:val="16"/>
                <w:szCs w:val="16"/>
              </w:rPr>
            </w:pPr>
            <w:r>
              <w:rPr>
                <w:rFonts w:ascii="Arial" w:hAnsi="Arial" w:cs="Arial"/>
                <w:b/>
                <w:bCs/>
                <w:color w:val="000000"/>
                <w:sz w:val="16"/>
                <w:szCs w:val="16"/>
              </w:rPr>
              <w:t>Celkom</w:t>
            </w:r>
          </w:p>
        </w:tc>
        <w:tc>
          <w:tcPr>
            <w:tcW w:w="833" w:type="pct"/>
            <w:tcBorders>
              <w:top w:val="nil"/>
              <w:left w:val="nil"/>
              <w:bottom w:val="single" w:sz="8" w:space="0" w:color="auto"/>
              <w:right w:val="single" w:sz="8" w:space="0" w:color="auto"/>
            </w:tcBorders>
            <w:shd w:val="clear" w:color="000000" w:fill="EAF1DD"/>
            <w:noWrap/>
            <w:vAlign w:val="center"/>
            <w:hideMark/>
          </w:tcPr>
          <w:p w:rsidR="000B6E30" w:rsidRDefault="000B6E30">
            <w:pPr>
              <w:jc w:val="center"/>
              <w:rPr>
                <w:rFonts w:ascii="Arial" w:hAnsi="Arial" w:cs="Arial"/>
                <w:b/>
                <w:bCs/>
                <w:color w:val="000000"/>
                <w:sz w:val="16"/>
                <w:szCs w:val="16"/>
              </w:rPr>
            </w:pPr>
            <w:r>
              <w:rPr>
                <w:rFonts w:ascii="Arial" w:hAnsi="Arial" w:cs="Arial"/>
                <w:b/>
                <w:bCs/>
                <w:color w:val="000000"/>
                <w:sz w:val="16"/>
                <w:szCs w:val="16"/>
              </w:rPr>
              <w:t>15</w:t>
            </w:r>
          </w:p>
        </w:tc>
        <w:tc>
          <w:tcPr>
            <w:tcW w:w="833" w:type="pct"/>
            <w:tcBorders>
              <w:top w:val="nil"/>
              <w:left w:val="nil"/>
              <w:bottom w:val="single" w:sz="8" w:space="0" w:color="auto"/>
              <w:right w:val="single" w:sz="8" w:space="0" w:color="auto"/>
            </w:tcBorders>
            <w:shd w:val="clear" w:color="000000" w:fill="EAF1DD"/>
            <w:noWrap/>
            <w:vAlign w:val="center"/>
            <w:hideMark/>
          </w:tcPr>
          <w:p w:rsidR="000B6E30" w:rsidRDefault="000B6E30">
            <w:pPr>
              <w:jc w:val="center"/>
              <w:rPr>
                <w:rFonts w:ascii="Arial" w:hAnsi="Arial" w:cs="Arial"/>
                <w:b/>
                <w:bCs/>
                <w:color w:val="000000"/>
                <w:sz w:val="16"/>
                <w:szCs w:val="16"/>
              </w:rPr>
            </w:pPr>
            <w:r>
              <w:rPr>
                <w:rFonts w:ascii="Arial" w:hAnsi="Arial" w:cs="Arial"/>
                <w:b/>
                <w:bCs/>
                <w:color w:val="000000"/>
                <w:sz w:val="16"/>
                <w:szCs w:val="16"/>
              </w:rPr>
              <w:t>15</w:t>
            </w:r>
          </w:p>
        </w:tc>
        <w:tc>
          <w:tcPr>
            <w:tcW w:w="833" w:type="pct"/>
            <w:tcBorders>
              <w:top w:val="nil"/>
              <w:left w:val="nil"/>
              <w:bottom w:val="single" w:sz="8" w:space="0" w:color="auto"/>
              <w:right w:val="single" w:sz="8" w:space="0" w:color="auto"/>
            </w:tcBorders>
            <w:shd w:val="clear" w:color="000000" w:fill="EAF1DD"/>
            <w:noWrap/>
            <w:vAlign w:val="center"/>
            <w:hideMark/>
          </w:tcPr>
          <w:p w:rsidR="000B6E30" w:rsidRDefault="000B6E30">
            <w:pPr>
              <w:jc w:val="center"/>
              <w:rPr>
                <w:rFonts w:ascii="Arial" w:hAnsi="Arial" w:cs="Arial"/>
                <w:b/>
                <w:bCs/>
                <w:color w:val="000000"/>
                <w:sz w:val="16"/>
                <w:szCs w:val="16"/>
              </w:rPr>
            </w:pPr>
            <w:r>
              <w:rPr>
                <w:rFonts w:ascii="Arial" w:hAnsi="Arial" w:cs="Arial"/>
                <w:b/>
                <w:bCs/>
                <w:color w:val="000000"/>
                <w:sz w:val="16"/>
                <w:szCs w:val="16"/>
              </w:rPr>
              <w:t>15</w:t>
            </w:r>
          </w:p>
        </w:tc>
        <w:tc>
          <w:tcPr>
            <w:tcW w:w="833" w:type="pct"/>
            <w:tcBorders>
              <w:top w:val="nil"/>
              <w:left w:val="nil"/>
              <w:bottom w:val="single" w:sz="8" w:space="0" w:color="auto"/>
              <w:right w:val="single" w:sz="8" w:space="0" w:color="auto"/>
            </w:tcBorders>
            <w:shd w:val="clear" w:color="000000" w:fill="EAF1DD"/>
            <w:noWrap/>
            <w:vAlign w:val="center"/>
            <w:hideMark/>
          </w:tcPr>
          <w:p w:rsidR="000B6E30" w:rsidRDefault="000B6E30">
            <w:pPr>
              <w:jc w:val="center"/>
              <w:rPr>
                <w:rFonts w:ascii="Arial" w:hAnsi="Arial" w:cs="Arial"/>
                <w:b/>
                <w:bCs/>
                <w:color w:val="000000"/>
                <w:sz w:val="16"/>
                <w:szCs w:val="16"/>
              </w:rPr>
            </w:pPr>
            <w:r>
              <w:rPr>
                <w:rFonts w:ascii="Arial" w:hAnsi="Arial" w:cs="Arial"/>
                <w:b/>
                <w:bCs/>
                <w:color w:val="000000"/>
                <w:sz w:val="16"/>
                <w:szCs w:val="16"/>
              </w:rPr>
              <w:t>8</w:t>
            </w:r>
          </w:p>
        </w:tc>
        <w:tc>
          <w:tcPr>
            <w:tcW w:w="833" w:type="pct"/>
            <w:tcBorders>
              <w:top w:val="nil"/>
              <w:left w:val="nil"/>
              <w:bottom w:val="single" w:sz="8" w:space="0" w:color="auto"/>
              <w:right w:val="single" w:sz="8" w:space="0" w:color="auto"/>
            </w:tcBorders>
            <w:shd w:val="clear" w:color="000000" w:fill="EAF1DD"/>
            <w:noWrap/>
            <w:vAlign w:val="center"/>
            <w:hideMark/>
          </w:tcPr>
          <w:p w:rsidR="000B6E30" w:rsidRDefault="000B6E30">
            <w:pPr>
              <w:jc w:val="center"/>
              <w:rPr>
                <w:rFonts w:ascii="Arial" w:hAnsi="Arial" w:cs="Arial"/>
                <w:b/>
                <w:bCs/>
                <w:color w:val="000000"/>
                <w:sz w:val="16"/>
                <w:szCs w:val="16"/>
              </w:rPr>
            </w:pPr>
            <w:r>
              <w:rPr>
                <w:rFonts w:ascii="Arial" w:hAnsi="Arial" w:cs="Arial"/>
                <w:b/>
                <w:bCs/>
                <w:color w:val="000000"/>
                <w:sz w:val="16"/>
                <w:szCs w:val="16"/>
              </w:rPr>
              <w:t>6</w:t>
            </w:r>
          </w:p>
        </w:tc>
      </w:tr>
      <w:tr w:rsidR="000B6E30" w:rsidTr="000B6E30">
        <w:trPr>
          <w:trHeight w:val="315"/>
        </w:trPr>
        <w:tc>
          <w:tcPr>
            <w:tcW w:w="5000" w:type="pct"/>
            <w:gridSpan w:val="6"/>
            <w:tcBorders>
              <w:top w:val="single" w:sz="8" w:space="0" w:color="auto"/>
              <w:left w:val="nil"/>
              <w:bottom w:val="single" w:sz="8" w:space="0" w:color="auto"/>
              <w:right w:val="nil"/>
            </w:tcBorders>
            <w:shd w:val="clear" w:color="auto" w:fill="auto"/>
            <w:vAlign w:val="center"/>
            <w:hideMark/>
          </w:tcPr>
          <w:p w:rsidR="000B6E30" w:rsidRDefault="000B6E30">
            <w:pPr>
              <w:rPr>
                <w:rFonts w:ascii="Arial" w:hAnsi="Arial" w:cs="Arial"/>
                <w:b/>
                <w:bCs/>
                <w:i/>
                <w:iCs/>
                <w:color w:val="000000"/>
                <w:sz w:val="16"/>
                <w:szCs w:val="16"/>
              </w:rPr>
            </w:pPr>
            <w:r>
              <w:rPr>
                <w:rFonts w:ascii="Arial" w:hAnsi="Arial" w:cs="Arial"/>
                <w:b/>
                <w:bCs/>
                <w:i/>
                <w:iCs/>
                <w:color w:val="000000"/>
                <w:sz w:val="16"/>
                <w:szCs w:val="16"/>
              </w:rPr>
              <w:t>Finančné vyčíslenie ŠF/KF a ŠR v €</w:t>
            </w:r>
          </w:p>
        </w:tc>
      </w:tr>
      <w:tr w:rsidR="000B6E30" w:rsidTr="000B6E30">
        <w:trPr>
          <w:trHeight w:val="465"/>
        </w:trPr>
        <w:tc>
          <w:tcPr>
            <w:tcW w:w="833" w:type="pct"/>
            <w:tcBorders>
              <w:top w:val="nil"/>
              <w:left w:val="single" w:sz="8" w:space="0" w:color="auto"/>
              <w:bottom w:val="single" w:sz="8" w:space="0" w:color="auto"/>
              <w:right w:val="single" w:sz="8" w:space="0" w:color="auto"/>
            </w:tcBorders>
            <w:shd w:val="clear" w:color="000000" w:fill="D6E3BC"/>
            <w:vAlign w:val="center"/>
            <w:hideMark/>
          </w:tcPr>
          <w:p w:rsidR="000B6E30" w:rsidRDefault="000B6E30">
            <w:pPr>
              <w:jc w:val="center"/>
              <w:rPr>
                <w:rFonts w:ascii="Arial" w:hAnsi="Arial" w:cs="Arial"/>
                <w:b/>
                <w:bCs/>
                <w:color w:val="000000"/>
                <w:sz w:val="16"/>
                <w:szCs w:val="16"/>
              </w:rPr>
            </w:pPr>
            <w:r>
              <w:rPr>
                <w:rFonts w:ascii="Arial" w:hAnsi="Arial" w:cs="Arial"/>
                <w:b/>
                <w:bCs/>
                <w:color w:val="000000"/>
                <w:sz w:val="16"/>
                <w:szCs w:val="16"/>
              </w:rPr>
              <w:t>Hlavná téma</w:t>
            </w:r>
          </w:p>
        </w:tc>
        <w:tc>
          <w:tcPr>
            <w:tcW w:w="833" w:type="pct"/>
            <w:tcBorders>
              <w:top w:val="nil"/>
              <w:left w:val="nil"/>
              <w:bottom w:val="single" w:sz="8" w:space="0" w:color="auto"/>
              <w:right w:val="single" w:sz="8" w:space="0" w:color="auto"/>
            </w:tcBorders>
            <w:shd w:val="clear" w:color="000000" w:fill="D6E3BC"/>
            <w:vAlign w:val="center"/>
            <w:hideMark/>
          </w:tcPr>
          <w:p w:rsidR="000B6E30" w:rsidRDefault="000B6E30">
            <w:pPr>
              <w:jc w:val="center"/>
              <w:rPr>
                <w:rFonts w:ascii="Arial" w:hAnsi="Arial" w:cs="Arial"/>
                <w:b/>
                <w:bCs/>
                <w:color w:val="000000"/>
                <w:sz w:val="16"/>
                <w:szCs w:val="16"/>
              </w:rPr>
            </w:pPr>
            <w:r>
              <w:rPr>
                <w:rFonts w:ascii="Arial" w:hAnsi="Arial" w:cs="Arial"/>
                <w:b/>
                <w:bCs/>
                <w:color w:val="000000"/>
                <w:sz w:val="16"/>
                <w:szCs w:val="16"/>
              </w:rPr>
              <w:t xml:space="preserve">Výška žiadaného príspevku (NFP)  </w:t>
            </w:r>
          </w:p>
        </w:tc>
        <w:tc>
          <w:tcPr>
            <w:tcW w:w="833" w:type="pct"/>
            <w:tcBorders>
              <w:top w:val="nil"/>
              <w:left w:val="nil"/>
              <w:bottom w:val="single" w:sz="8" w:space="0" w:color="auto"/>
              <w:right w:val="single" w:sz="8" w:space="0" w:color="auto"/>
            </w:tcBorders>
            <w:shd w:val="clear" w:color="000000" w:fill="D6E3BC"/>
            <w:vAlign w:val="center"/>
            <w:hideMark/>
          </w:tcPr>
          <w:p w:rsidR="000B6E30" w:rsidRDefault="000B6E30">
            <w:pPr>
              <w:jc w:val="center"/>
              <w:rPr>
                <w:rFonts w:ascii="Arial" w:hAnsi="Arial" w:cs="Arial"/>
                <w:b/>
                <w:bCs/>
                <w:color w:val="000000"/>
                <w:sz w:val="16"/>
                <w:szCs w:val="16"/>
              </w:rPr>
            </w:pPr>
            <w:r>
              <w:rPr>
                <w:rFonts w:ascii="Arial" w:hAnsi="Arial" w:cs="Arial"/>
                <w:b/>
                <w:bCs/>
                <w:color w:val="000000"/>
                <w:sz w:val="16"/>
                <w:szCs w:val="16"/>
              </w:rPr>
              <w:t xml:space="preserve">Výška schváleného príspevku (NFP) </w:t>
            </w:r>
          </w:p>
        </w:tc>
        <w:tc>
          <w:tcPr>
            <w:tcW w:w="833" w:type="pct"/>
            <w:tcBorders>
              <w:top w:val="nil"/>
              <w:left w:val="nil"/>
              <w:bottom w:val="single" w:sz="8" w:space="0" w:color="auto"/>
              <w:right w:val="single" w:sz="8" w:space="0" w:color="auto"/>
            </w:tcBorders>
            <w:shd w:val="clear" w:color="000000" w:fill="D6E3BC"/>
            <w:vAlign w:val="center"/>
            <w:hideMark/>
          </w:tcPr>
          <w:p w:rsidR="000B6E30" w:rsidRDefault="000B6E30">
            <w:pPr>
              <w:jc w:val="center"/>
              <w:rPr>
                <w:rFonts w:ascii="Arial" w:hAnsi="Arial" w:cs="Arial"/>
                <w:b/>
                <w:bCs/>
                <w:color w:val="000000"/>
                <w:sz w:val="16"/>
                <w:szCs w:val="16"/>
              </w:rPr>
            </w:pPr>
            <w:r>
              <w:rPr>
                <w:rFonts w:ascii="Arial" w:hAnsi="Arial" w:cs="Arial"/>
                <w:b/>
                <w:bCs/>
                <w:color w:val="000000"/>
                <w:sz w:val="16"/>
                <w:szCs w:val="16"/>
              </w:rPr>
              <w:t>Výška zazmluvnených prostriedkov (NFP)</w:t>
            </w:r>
          </w:p>
        </w:tc>
        <w:tc>
          <w:tcPr>
            <w:tcW w:w="833" w:type="pct"/>
            <w:tcBorders>
              <w:top w:val="nil"/>
              <w:left w:val="nil"/>
              <w:bottom w:val="single" w:sz="8" w:space="0" w:color="auto"/>
              <w:right w:val="single" w:sz="8" w:space="0" w:color="auto"/>
            </w:tcBorders>
            <w:shd w:val="clear" w:color="000000" w:fill="D6E3BC"/>
            <w:vAlign w:val="center"/>
            <w:hideMark/>
          </w:tcPr>
          <w:p w:rsidR="000B6E30" w:rsidRDefault="000B6E30">
            <w:pPr>
              <w:jc w:val="center"/>
              <w:rPr>
                <w:rFonts w:ascii="Arial" w:hAnsi="Arial" w:cs="Arial"/>
                <w:b/>
                <w:bCs/>
                <w:color w:val="000000"/>
                <w:sz w:val="16"/>
                <w:szCs w:val="16"/>
              </w:rPr>
            </w:pPr>
            <w:r>
              <w:rPr>
                <w:rFonts w:ascii="Arial" w:hAnsi="Arial" w:cs="Arial"/>
                <w:b/>
                <w:bCs/>
                <w:color w:val="000000"/>
                <w:sz w:val="16"/>
                <w:szCs w:val="16"/>
              </w:rPr>
              <w:t xml:space="preserve">Výška ukončených projektov </w:t>
            </w:r>
            <w:r>
              <w:rPr>
                <w:rFonts w:ascii="Arial" w:hAnsi="Arial" w:cs="Arial"/>
                <w:b/>
                <w:bCs/>
                <w:color w:val="000000"/>
                <w:sz w:val="16"/>
                <w:szCs w:val="16"/>
                <w:vertAlign w:val="superscript"/>
              </w:rPr>
              <w:t>1</w:t>
            </w:r>
          </w:p>
        </w:tc>
        <w:tc>
          <w:tcPr>
            <w:tcW w:w="833" w:type="pct"/>
            <w:tcBorders>
              <w:top w:val="nil"/>
              <w:left w:val="nil"/>
              <w:bottom w:val="single" w:sz="8" w:space="0" w:color="auto"/>
              <w:right w:val="single" w:sz="8" w:space="0" w:color="auto"/>
            </w:tcBorders>
            <w:shd w:val="clear" w:color="000000" w:fill="D6E3BC"/>
            <w:vAlign w:val="center"/>
            <w:hideMark/>
          </w:tcPr>
          <w:p w:rsidR="000B6E30" w:rsidRDefault="000B6E30">
            <w:pPr>
              <w:jc w:val="center"/>
              <w:rPr>
                <w:rFonts w:ascii="Arial" w:hAnsi="Arial" w:cs="Arial"/>
                <w:b/>
                <w:bCs/>
                <w:color w:val="000000"/>
                <w:sz w:val="16"/>
                <w:szCs w:val="16"/>
              </w:rPr>
            </w:pPr>
            <w:r>
              <w:rPr>
                <w:rFonts w:ascii="Arial" w:hAnsi="Arial" w:cs="Arial"/>
                <w:b/>
                <w:bCs/>
                <w:color w:val="000000"/>
                <w:sz w:val="16"/>
                <w:szCs w:val="16"/>
              </w:rPr>
              <w:t>Výška ukončených projektov</w:t>
            </w:r>
          </w:p>
        </w:tc>
      </w:tr>
      <w:tr w:rsidR="000B6E30" w:rsidTr="000B6E30">
        <w:trPr>
          <w:trHeight w:val="465"/>
        </w:trPr>
        <w:tc>
          <w:tcPr>
            <w:tcW w:w="833" w:type="pct"/>
            <w:tcBorders>
              <w:top w:val="nil"/>
              <w:left w:val="single" w:sz="8" w:space="0" w:color="auto"/>
              <w:bottom w:val="single" w:sz="8" w:space="0" w:color="auto"/>
              <w:right w:val="single" w:sz="8" w:space="0" w:color="auto"/>
            </w:tcBorders>
            <w:shd w:val="clear" w:color="auto" w:fill="auto"/>
            <w:vAlign w:val="center"/>
            <w:hideMark/>
          </w:tcPr>
          <w:p w:rsidR="000B6E30" w:rsidRDefault="000B6E30">
            <w:pPr>
              <w:rPr>
                <w:rFonts w:ascii="Arial" w:hAnsi="Arial" w:cs="Arial"/>
                <w:color w:val="000000"/>
                <w:sz w:val="16"/>
                <w:szCs w:val="16"/>
              </w:rPr>
            </w:pPr>
            <w:r>
              <w:rPr>
                <w:rFonts w:ascii="Arial" w:hAnsi="Arial" w:cs="Arial"/>
                <w:color w:val="000000"/>
                <w:sz w:val="16"/>
                <w:szCs w:val="16"/>
              </w:rPr>
              <w:t>86 - Hodnotenie a štúdie, informácie a komunikácia</w:t>
            </w:r>
          </w:p>
        </w:tc>
        <w:tc>
          <w:tcPr>
            <w:tcW w:w="833" w:type="pct"/>
            <w:tcBorders>
              <w:top w:val="nil"/>
              <w:left w:val="nil"/>
              <w:bottom w:val="single" w:sz="8" w:space="0" w:color="auto"/>
              <w:right w:val="single" w:sz="8" w:space="0" w:color="auto"/>
            </w:tcBorders>
            <w:shd w:val="clear" w:color="auto" w:fill="auto"/>
            <w:noWrap/>
            <w:vAlign w:val="center"/>
            <w:hideMark/>
          </w:tcPr>
          <w:p w:rsidR="000B6E30" w:rsidRDefault="000B6E30">
            <w:pPr>
              <w:jc w:val="right"/>
              <w:rPr>
                <w:rFonts w:ascii="Arial" w:hAnsi="Arial" w:cs="Arial"/>
                <w:color w:val="000000"/>
                <w:sz w:val="16"/>
                <w:szCs w:val="16"/>
              </w:rPr>
            </w:pPr>
            <w:r>
              <w:rPr>
                <w:rFonts w:ascii="Arial" w:hAnsi="Arial" w:cs="Arial"/>
                <w:color w:val="000000"/>
                <w:sz w:val="16"/>
                <w:szCs w:val="16"/>
              </w:rPr>
              <w:t>14 692 762</w:t>
            </w:r>
          </w:p>
        </w:tc>
        <w:tc>
          <w:tcPr>
            <w:tcW w:w="833" w:type="pct"/>
            <w:tcBorders>
              <w:top w:val="nil"/>
              <w:left w:val="nil"/>
              <w:bottom w:val="single" w:sz="8" w:space="0" w:color="auto"/>
              <w:right w:val="single" w:sz="8" w:space="0" w:color="auto"/>
            </w:tcBorders>
            <w:shd w:val="clear" w:color="auto" w:fill="auto"/>
            <w:noWrap/>
            <w:vAlign w:val="center"/>
            <w:hideMark/>
          </w:tcPr>
          <w:p w:rsidR="000B6E30" w:rsidRDefault="000B6E30">
            <w:pPr>
              <w:jc w:val="center"/>
              <w:rPr>
                <w:rFonts w:ascii="Arial" w:hAnsi="Arial" w:cs="Arial"/>
                <w:color w:val="000000"/>
                <w:sz w:val="16"/>
                <w:szCs w:val="16"/>
              </w:rPr>
            </w:pPr>
            <w:r>
              <w:rPr>
                <w:rFonts w:ascii="Arial" w:hAnsi="Arial" w:cs="Arial"/>
                <w:color w:val="000000"/>
                <w:sz w:val="16"/>
                <w:szCs w:val="16"/>
              </w:rPr>
              <w:t>14 692 762</w:t>
            </w:r>
          </w:p>
        </w:tc>
        <w:tc>
          <w:tcPr>
            <w:tcW w:w="833" w:type="pct"/>
            <w:tcBorders>
              <w:top w:val="nil"/>
              <w:left w:val="nil"/>
              <w:bottom w:val="single" w:sz="8" w:space="0" w:color="auto"/>
              <w:right w:val="single" w:sz="8" w:space="0" w:color="auto"/>
            </w:tcBorders>
            <w:shd w:val="clear" w:color="auto" w:fill="auto"/>
            <w:noWrap/>
            <w:vAlign w:val="center"/>
            <w:hideMark/>
          </w:tcPr>
          <w:p w:rsidR="000B6E30" w:rsidRDefault="000B6E30">
            <w:pPr>
              <w:jc w:val="center"/>
              <w:rPr>
                <w:rFonts w:ascii="Arial" w:hAnsi="Arial" w:cs="Arial"/>
                <w:color w:val="000000"/>
                <w:sz w:val="16"/>
                <w:szCs w:val="16"/>
              </w:rPr>
            </w:pPr>
            <w:r>
              <w:rPr>
                <w:rFonts w:ascii="Arial" w:hAnsi="Arial" w:cs="Arial"/>
                <w:color w:val="000000"/>
                <w:sz w:val="16"/>
                <w:szCs w:val="16"/>
              </w:rPr>
              <w:t>11 229 430</w:t>
            </w:r>
          </w:p>
        </w:tc>
        <w:tc>
          <w:tcPr>
            <w:tcW w:w="833" w:type="pct"/>
            <w:tcBorders>
              <w:top w:val="nil"/>
              <w:left w:val="nil"/>
              <w:bottom w:val="single" w:sz="8" w:space="0" w:color="auto"/>
              <w:right w:val="single" w:sz="8" w:space="0" w:color="auto"/>
            </w:tcBorders>
            <w:shd w:val="clear" w:color="auto" w:fill="auto"/>
            <w:noWrap/>
            <w:vAlign w:val="center"/>
            <w:hideMark/>
          </w:tcPr>
          <w:p w:rsidR="000B6E30" w:rsidRDefault="000B6E30">
            <w:pPr>
              <w:jc w:val="center"/>
              <w:rPr>
                <w:rFonts w:ascii="Arial" w:hAnsi="Arial" w:cs="Arial"/>
                <w:color w:val="000000"/>
                <w:sz w:val="16"/>
                <w:szCs w:val="16"/>
              </w:rPr>
            </w:pPr>
            <w:r>
              <w:rPr>
                <w:rFonts w:ascii="Arial" w:hAnsi="Arial" w:cs="Arial"/>
                <w:color w:val="000000"/>
                <w:sz w:val="16"/>
                <w:szCs w:val="16"/>
              </w:rPr>
              <w:t>6 621 843</w:t>
            </w:r>
          </w:p>
        </w:tc>
        <w:tc>
          <w:tcPr>
            <w:tcW w:w="833" w:type="pct"/>
            <w:tcBorders>
              <w:top w:val="nil"/>
              <w:left w:val="nil"/>
              <w:bottom w:val="single" w:sz="8" w:space="0" w:color="auto"/>
              <w:right w:val="single" w:sz="8" w:space="0" w:color="auto"/>
            </w:tcBorders>
            <w:shd w:val="clear" w:color="auto" w:fill="auto"/>
            <w:noWrap/>
            <w:vAlign w:val="center"/>
            <w:hideMark/>
          </w:tcPr>
          <w:p w:rsidR="000B6E30" w:rsidRDefault="000B6E30">
            <w:pPr>
              <w:jc w:val="center"/>
              <w:rPr>
                <w:rFonts w:ascii="Arial" w:hAnsi="Arial" w:cs="Arial"/>
                <w:color w:val="000000"/>
                <w:sz w:val="16"/>
                <w:szCs w:val="16"/>
              </w:rPr>
            </w:pPr>
            <w:r>
              <w:rPr>
                <w:rFonts w:ascii="Arial" w:hAnsi="Arial" w:cs="Arial"/>
                <w:color w:val="000000"/>
                <w:sz w:val="16"/>
                <w:szCs w:val="16"/>
              </w:rPr>
              <w:t>3 463 333</w:t>
            </w:r>
          </w:p>
        </w:tc>
      </w:tr>
      <w:tr w:rsidR="000B6E30" w:rsidTr="000B6E30">
        <w:trPr>
          <w:trHeight w:val="465"/>
        </w:trPr>
        <w:tc>
          <w:tcPr>
            <w:tcW w:w="833" w:type="pct"/>
            <w:tcBorders>
              <w:top w:val="nil"/>
              <w:left w:val="single" w:sz="8" w:space="0" w:color="auto"/>
              <w:bottom w:val="single" w:sz="8" w:space="0" w:color="auto"/>
              <w:right w:val="single" w:sz="8" w:space="0" w:color="auto"/>
            </w:tcBorders>
            <w:shd w:val="clear" w:color="auto" w:fill="auto"/>
            <w:vAlign w:val="center"/>
            <w:hideMark/>
          </w:tcPr>
          <w:p w:rsidR="000B6E30" w:rsidRDefault="000B6E30">
            <w:pPr>
              <w:rPr>
                <w:rFonts w:ascii="Arial" w:hAnsi="Arial" w:cs="Arial"/>
                <w:color w:val="000000"/>
                <w:sz w:val="16"/>
                <w:szCs w:val="16"/>
              </w:rPr>
            </w:pPr>
            <w:r>
              <w:rPr>
                <w:rFonts w:ascii="Arial" w:hAnsi="Arial" w:cs="Arial"/>
                <w:color w:val="000000"/>
                <w:sz w:val="16"/>
                <w:szCs w:val="16"/>
              </w:rPr>
              <w:t>85 - Príprava, vykonávanie, monitorovanie a kontrola</w:t>
            </w:r>
          </w:p>
        </w:tc>
        <w:tc>
          <w:tcPr>
            <w:tcW w:w="833" w:type="pct"/>
            <w:tcBorders>
              <w:top w:val="nil"/>
              <w:left w:val="nil"/>
              <w:bottom w:val="single" w:sz="8" w:space="0" w:color="auto"/>
              <w:right w:val="single" w:sz="8" w:space="0" w:color="auto"/>
            </w:tcBorders>
            <w:shd w:val="clear" w:color="auto" w:fill="auto"/>
            <w:noWrap/>
            <w:vAlign w:val="center"/>
            <w:hideMark/>
          </w:tcPr>
          <w:p w:rsidR="000B6E30" w:rsidRDefault="000B6E30">
            <w:pPr>
              <w:jc w:val="right"/>
              <w:rPr>
                <w:rFonts w:ascii="Arial" w:hAnsi="Arial" w:cs="Arial"/>
                <w:color w:val="000000"/>
                <w:sz w:val="16"/>
                <w:szCs w:val="16"/>
              </w:rPr>
            </w:pPr>
            <w:r>
              <w:rPr>
                <w:rFonts w:ascii="Arial" w:hAnsi="Arial" w:cs="Arial"/>
                <w:color w:val="000000"/>
                <w:sz w:val="16"/>
                <w:szCs w:val="16"/>
              </w:rPr>
              <w:t>34 344 821</w:t>
            </w:r>
          </w:p>
        </w:tc>
        <w:tc>
          <w:tcPr>
            <w:tcW w:w="833" w:type="pct"/>
            <w:tcBorders>
              <w:top w:val="nil"/>
              <w:left w:val="nil"/>
              <w:bottom w:val="single" w:sz="8" w:space="0" w:color="auto"/>
              <w:right w:val="single" w:sz="8" w:space="0" w:color="auto"/>
            </w:tcBorders>
            <w:shd w:val="clear" w:color="auto" w:fill="auto"/>
            <w:noWrap/>
            <w:vAlign w:val="center"/>
            <w:hideMark/>
          </w:tcPr>
          <w:p w:rsidR="000B6E30" w:rsidRDefault="000B6E30">
            <w:pPr>
              <w:jc w:val="center"/>
              <w:rPr>
                <w:rFonts w:ascii="Arial" w:hAnsi="Arial" w:cs="Arial"/>
                <w:color w:val="000000"/>
                <w:sz w:val="16"/>
                <w:szCs w:val="16"/>
              </w:rPr>
            </w:pPr>
            <w:r>
              <w:rPr>
                <w:rFonts w:ascii="Arial" w:hAnsi="Arial" w:cs="Arial"/>
                <w:color w:val="000000"/>
                <w:sz w:val="16"/>
                <w:szCs w:val="16"/>
              </w:rPr>
              <w:t>34 344 821</w:t>
            </w:r>
          </w:p>
        </w:tc>
        <w:tc>
          <w:tcPr>
            <w:tcW w:w="833" w:type="pct"/>
            <w:tcBorders>
              <w:top w:val="nil"/>
              <w:left w:val="nil"/>
              <w:bottom w:val="single" w:sz="8" w:space="0" w:color="auto"/>
              <w:right w:val="single" w:sz="8" w:space="0" w:color="auto"/>
            </w:tcBorders>
            <w:shd w:val="clear" w:color="auto" w:fill="auto"/>
            <w:noWrap/>
            <w:vAlign w:val="center"/>
            <w:hideMark/>
          </w:tcPr>
          <w:p w:rsidR="000B6E30" w:rsidRDefault="000B6E30">
            <w:pPr>
              <w:jc w:val="center"/>
              <w:rPr>
                <w:rFonts w:ascii="Arial" w:hAnsi="Arial" w:cs="Arial"/>
                <w:color w:val="000000"/>
                <w:sz w:val="16"/>
                <w:szCs w:val="16"/>
              </w:rPr>
            </w:pPr>
            <w:r>
              <w:rPr>
                <w:rFonts w:ascii="Arial" w:hAnsi="Arial" w:cs="Arial"/>
                <w:color w:val="000000"/>
                <w:sz w:val="16"/>
                <w:szCs w:val="16"/>
              </w:rPr>
              <w:t>26 477 812</w:t>
            </w:r>
          </w:p>
        </w:tc>
        <w:tc>
          <w:tcPr>
            <w:tcW w:w="833" w:type="pct"/>
            <w:tcBorders>
              <w:top w:val="nil"/>
              <w:left w:val="nil"/>
              <w:bottom w:val="single" w:sz="8" w:space="0" w:color="auto"/>
              <w:right w:val="single" w:sz="8" w:space="0" w:color="auto"/>
            </w:tcBorders>
            <w:shd w:val="clear" w:color="auto" w:fill="auto"/>
            <w:noWrap/>
            <w:vAlign w:val="center"/>
            <w:hideMark/>
          </w:tcPr>
          <w:p w:rsidR="000B6E30" w:rsidRDefault="000B6E30">
            <w:pPr>
              <w:jc w:val="center"/>
              <w:rPr>
                <w:rFonts w:ascii="Arial" w:hAnsi="Arial" w:cs="Arial"/>
                <w:color w:val="000000"/>
                <w:sz w:val="16"/>
                <w:szCs w:val="16"/>
              </w:rPr>
            </w:pPr>
            <w:r>
              <w:rPr>
                <w:rFonts w:ascii="Arial" w:hAnsi="Arial" w:cs="Arial"/>
                <w:color w:val="000000"/>
                <w:sz w:val="16"/>
                <w:szCs w:val="16"/>
              </w:rPr>
              <w:t>6 737 454</w:t>
            </w:r>
          </w:p>
        </w:tc>
        <w:tc>
          <w:tcPr>
            <w:tcW w:w="833" w:type="pct"/>
            <w:tcBorders>
              <w:top w:val="nil"/>
              <w:left w:val="nil"/>
              <w:bottom w:val="single" w:sz="8" w:space="0" w:color="auto"/>
              <w:right w:val="single" w:sz="8" w:space="0" w:color="auto"/>
            </w:tcBorders>
            <w:shd w:val="clear" w:color="auto" w:fill="auto"/>
            <w:noWrap/>
            <w:vAlign w:val="center"/>
            <w:hideMark/>
          </w:tcPr>
          <w:p w:rsidR="000B6E30" w:rsidRDefault="000B6E30">
            <w:pPr>
              <w:jc w:val="center"/>
              <w:rPr>
                <w:rFonts w:ascii="Arial" w:hAnsi="Arial" w:cs="Arial"/>
                <w:color w:val="000000"/>
                <w:sz w:val="16"/>
                <w:szCs w:val="16"/>
              </w:rPr>
            </w:pPr>
            <w:r>
              <w:rPr>
                <w:rFonts w:ascii="Arial" w:hAnsi="Arial" w:cs="Arial"/>
                <w:color w:val="000000"/>
                <w:sz w:val="16"/>
                <w:szCs w:val="16"/>
              </w:rPr>
              <w:t>7 867 009</w:t>
            </w:r>
          </w:p>
        </w:tc>
      </w:tr>
      <w:tr w:rsidR="000B6E30" w:rsidTr="000B6E30">
        <w:trPr>
          <w:trHeight w:val="315"/>
        </w:trPr>
        <w:tc>
          <w:tcPr>
            <w:tcW w:w="833" w:type="pct"/>
            <w:tcBorders>
              <w:top w:val="nil"/>
              <w:left w:val="single" w:sz="8" w:space="0" w:color="auto"/>
              <w:bottom w:val="single" w:sz="8" w:space="0" w:color="auto"/>
              <w:right w:val="single" w:sz="8" w:space="0" w:color="auto"/>
            </w:tcBorders>
            <w:shd w:val="clear" w:color="000000" w:fill="EAF1DD"/>
            <w:vAlign w:val="center"/>
            <w:hideMark/>
          </w:tcPr>
          <w:p w:rsidR="000B6E30" w:rsidRDefault="000B6E30">
            <w:pPr>
              <w:rPr>
                <w:rFonts w:ascii="Arial" w:hAnsi="Arial" w:cs="Arial"/>
                <w:b/>
                <w:bCs/>
                <w:color w:val="000000"/>
                <w:sz w:val="16"/>
                <w:szCs w:val="16"/>
              </w:rPr>
            </w:pPr>
            <w:r>
              <w:rPr>
                <w:rFonts w:ascii="Arial" w:hAnsi="Arial" w:cs="Arial"/>
                <w:b/>
                <w:bCs/>
                <w:color w:val="000000"/>
                <w:sz w:val="16"/>
                <w:szCs w:val="16"/>
              </w:rPr>
              <w:t>Celkom</w:t>
            </w:r>
          </w:p>
        </w:tc>
        <w:tc>
          <w:tcPr>
            <w:tcW w:w="833" w:type="pct"/>
            <w:tcBorders>
              <w:top w:val="nil"/>
              <w:left w:val="nil"/>
              <w:bottom w:val="single" w:sz="8" w:space="0" w:color="auto"/>
              <w:right w:val="single" w:sz="8" w:space="0" w:color="auto"/>
            </w:tcBorders>
            <w:shd w:val="clear" w:color="000000" w:fill="EAF1DD"/>
            <w:noWrap/>
            <w:vAlign w:val="center"/>
            <w:hideMark/>
          </w:tcPr>
          <w:p w:rsidR="000B6E30" w:rsidRDefault="000B6E30">
            <w:pPr>
              <w:jc w:val="right"/>
              <w:rPr>
                <w:rFonts w:ascii="Arial" w:hAnsi="Arial" w:cs="Arial"/>
                <w:b/>
                <w:bCs/>
                <w:color w:val="000000"/>
                <w:sz w:val="16"/>
                <w:szCs w:val="16"/>
              </w:rPr>
            </w:pPr>
            <w:r>
              <w:rPr>
                <w:rFonts w:ascii="Arial" w:hAnsi="Arial" w:cs="Arial"/>
                <w:b/>
                <w:bCs/>
                <w:color w:val="000000"/>
                <w:sz w:val="16"/>
                <w:szCs w:val="16"/>
              </w:rPr>
              <w:t>49 037 583</w:t>
            </w:r>
          </w:p>
        </w:tc>
        <w:tc>
          <w:tcPr>
            <w:tcW w:w="833" w:type="pct"/>
            <w:tcBorders>
              <w:top w:val="nil"/>
              <w:left w:val="nil"/>
              <w:bottom w:val="single" w:sz="8" w:space="0" w:color="auto"/>
              <w:right w:val="single" w:sz="8" w:space="0" w:color="auto"/>
            </w:tcBorders>
            <w:shd w:val="clear" w:color="000000" w:fill="EAF1DD"/>
            <w:noWrap/>
            <w:vAlign w:val="center"/>
            <w:hideMark/>
          </w:tcPr>
          <w:p w:rsidR="000B6E30" w:rsidRDefault="000B6E30">
            <w:pPr>
              <w:jc w:val="center"/>
              <w:rPr>
                <w:rFonts w:ascii="Arial" w:hAnsi="Arial" w:cs="Arial"/>
                <w:b/>
                <w:bCs/>
                <w:color w:val="000000"/>
                <w:sz w:val="16"/>
                <w:szCs w:val="16"/>
              </w:rPr>
            </w:pPr>
            <w:r>
              <w:rPr>
                <w:rFonts w:ascii="Arial" w:hAnsi="Arial" w:cs="Arial"/>
                <w:b/>
                <w:bCs/>
                <w:color w:val="000000"/>
                <w:sz w:val="16"/>
                <w:szCs w:val="16"/>
              </w:rPr>
              <w:t>49 037 583</w:t>
            </w:r>
          </w:p>
        </w:tc>
        <w:tc>
          <w:tcPr>
            <w:tcW w:w="833" w:type="pct"/>
            <w:tcBorders>
              <w:top w:val="nil"/>
              <w:left w:val="nil"/>
              <w:bottom w:val="single" w:sz="8" w:space="0" w:color="auto"/>
              <w:right w:val="single" w:sz="8" w:space="0" w:color="auto"/>
            </w:tcBorders>
            <w:shd w:val="clear" w:color="000000" w:fill="EAF1DD"/>
            <w:noWrap/>
            <w:vAlign w:val="center"/>
            <w:hideMark/>
          </w:tcPr>
          <w:p w:rsidR="000B6E30" w:rsidRDefault="000B6E30">
            <w:pPr>
              <w:jc w:val="center"/>
              <w:rPr>
                <w:rFonts w:ascii="Arial" w:hAnsi="Arial" w:cs="Arial"/>
                <w:b/>
                <w:bCs/>
                <w:color w:val="000000"/>
                <w:sz w:val="16"/>
                <w:szCs w:val="16"/>
              </w:rPr>
            </w:pPr>
            <w:r>
              <w:rPr>
                <w:rFonts w:ascii="Arial" w:hAnsi="Arial" w:cs="Arial"/>
                <w:b/>
                <w:bCs/>
                <w:color w:val="000000"/>
                <w:sz w:val="16"/>
                <w:szCs w:val="16"/>
              </w:rPr>
              <w:t>37 707 242</w:t>
            </w:r>
          </w:p>
        </w:tc>
        <w:tc>
          <w:tcPr>
            <w:tcW w:w="833" w:type="pct"/>
            <w:tcBorders>
              <w:top w:val="nil"/>
              <w:left w:val="nil"/>
              <w:bottom w:val="single" w:sz="8" w:space="0" w:color="auto"/>
              <w:right w:val="single" w:sz="8" w:space="0" w:color="auto"/>
            </w:tcBorders>
            <w:shd w:val="clear" w:color="000000" w:fill="EAF1DD"/>
            <w:noWrap/>
            <w:vAlign w:val="center"/>
            <w:hideMark/>
          </w:tcPr>
          <w:p w:rsidR="000B6E30" w:rsidRDefault="000B6E30">
            <w:pPr>
              <w:jc w:val="center"/>
              <w:rPr>
                <w:rFonts w:ascii="Arial" w:hAnsi="Arial" w:cs="Arial"/>
                <w:b/>
                <w:bCs/>
                <w:color w:val="000000"/>
                <w:sz w:val="16"/>
                <w:szCs w:val="16"/>
              </w:rPr>
            </w:pPr>
            <w:r>
              <w:rPr>
                <w:rFonts w:ascii="Arial" w:hAnsi="Arial" w:cs="Arial"/>
                <w:b/>
                <w:bCs/>
                <w:color w:val="000000"/>
                <w:sz w:val="16"/>
                <w:szCs w:val="16"/>
              </w:rPr>
              <w:t>13 359 296</w:t>
            </w:r>
          </w:p>
        </w:tc>
        <w:tc>
          <w:tcPr>
            <w:tcW w:w="833" w:type="pct"/>
            <w:tcBorders>
              <w:top w:val="nil"/>
              <w:left w:val="nil"/>
              <w:bottom w:val="single" w:sz="8" w:space="0" w:color="auto"/>
              <w:right w:val="single" w:sz="8" w:space="0" w:color="auto"/>
            </w:tcBorders>
            <w:shd w:val="clear" w:color="000000" w:fill="EAF1DD"/>
            <w:noWrap/>
            <w:vAlign w:val="center"/>
            <w:hideMark/>
          </w:tcPr>
          <w:p w:rsidR="000B6E30" w:rsidRDefault="000B6E30">
            <w:pPr>
              <w:jc w:val="center"/>
              <w:rPr>
                <w:rFonts w:ascii="Arial" w:hAnsi="Arial" w:cs="Arial"/>
                <w:b/>
                <w:bCs/>
                <w:color w:val="000000"/>
                <w:sz w:val="16"/>
                <w:szCs w:val="16"/>
              </w:rPr>
            </w:pPr>
            <w:r>
              <w:rPr>
                <w:rFonts w:ascii="Arial" w:hAnsi="Arial" w:cs="Arial"/>
                <w:b/>
                <w:bCs/>
                <w:color w:val="000000"/>
                <w:sz w:val="16"/>
                <w:szCs w:val="16"/>
              </w:rPr>
              <w:t>11 330 342</w:t>
            </w:r>
          </w:p>
        </w:tc>
      </w:tr>
    </w:tbl>
    <w:p w:rsidR="002416B1" w:rsidRPr="006A2BF3" w:rsidRDefault="00000CC9" w:rsidP="00205636">
      <w:pPr>
        <w:pStyle w:val="Zkladntextb"/>
        <w:spacing w:after="0" w:line="360" w:lineRule="auto"/>
        <w:ind w:left="0"/>
        <w:jc w:val="both"/>
        <w:rPr>
          <w:bCs/>
          <w:sz w:val="18"/>
          <w:szCs w:val="18"/>
          <w:lang w:val="sk-SK"/>
        </w:rPr>
      </w:pPr>
      <w:r>
        <w:rPr>
          <w:bCs/>
          <w:sz w:val="18"/>
          <w:szCs w:val="18"/>
          <w:lang w:val="sk-SK"/>
        </w:rPr>
        <w:t>Zdroj: RO, ITMS</w:t>
      </w:r>
    </w:p>
    <w:tbl>
      <w:tblPr>
        <w:tblW w:w="9436" w:type="dxa"/>
        <w:tblInd w:w="55" w:type="dxa"/>
        <w:tblCellMar>
          <w:left w:w="70" w:type="dxa"/>
          <w:right w:w="70" w:type="dxa"/>
        </w:tblCellMar>
        <w:tblLook w:val="04A0" w:firstRow="1" w:lastRow="0" w:firstColumn="1" w:lastColumn="0" w:noHBand="0" w:noVBand="1"/>
      </w:tblPr>
      <w:tblGrid>
        <w:gridCol w:w="9436"/>
      </w:tblGrid>
      <w:tr w:rsidR="002416B1" w:rsidRPr="006A2BF3" w:rsidTr="006A2BF3">
        <w:trPr>
          <w:trHeight w:val="270"/>
        </w:trPr>
        <w:tc>
          <w:tcPr>
            <w:tcW w:w="9436" w:type="dxa"/>
            <w:tcBorders>
              <w:left w:val="nil"/>
              <w:bottom w:val="nil"/>
              <w:right w:val="nil"/>
            </w:tcBorders>
            <w:noWrap/>
            <w:vAlign w:val="bottom"/>
          </w:tcPr>
          <w:p w:rsidR="002416B1" w:rsidRPr="006A2BF3" w:rsidRDefault="002416B1" w:rsidP="00205636">
            <w:pPr>
              <w:rPr>
                <w:rFonts w:ascii="Arial" w:hAnsi="Arial" w:cs="Arial"/>
                <w:i/>
                <w:iCs/>
                <w:sz w:val="16"/>
                <w:szCs w:val="16"/>
              </w:rPr>
            </w:pPr>
            <w:r w:rsidRPr="006A2BF3">
              <w:rPr>
                <w:rFonts w:ascii="Arial" w:hAnsi="Arial" w:cs="Arial"/>
                <w:b/>
                <w:bCs/>
                <w:i/>
                <w:iCs/>
                <w:sz w:val="16"/>
                <w:szCs w:val="16"/>
                <w:vertAlign w:val="superscript"/>
              </w:rPr>
              <w:t>1</w:t>
            </w:r>
            <w:r w:rsidRPr="006A2BF3">
              <w:rPr>
                <w:rFonts w:ascii="Arial" w:hAnsi="Arial" w:cs="Arial"/>
                <w:i/>
                <w:iCs/>
                <w:sz w:val="16"/>
                <w:szCs w:val="16"/>
                <w:vertAlign w:val="superscript"/>
              </w:rPr>
              <w:t xml:space="preserve"> </w:t>
            </w:r>
            <w:r w:rsidRPr="006A2BF3">
              <w:rPr>
                <w:rFonts w:ascii="Arial" w:hAnsi="Arial" w:cs="Arial"/>
                <w:i/>
                <w:iCs/>
                <w:sz w:val="16"/>
                <w:szCs w:val="16"/>
              </w:rPr>
              <w:t>Objem čerpaných prostriedkov NFP</w:t>
            </w:r>
          </w:p>
        </w:tc>
      </w:tr>
      <w:tr w:rsidR="002416B1" w:rsidRPr="006A2BF3" w:rsidTr="002B27B2">
        <w:trPr>
          <w:trHeight w:val="270"/>
        </w:trPr>
        <w:tc>
          <w:tcPr>
            <w:tcW w:w="9436" w:type="dxa"/>
            <w:tcBorders>
              <w:top w:val="nil"/>
              <w:left w:val="nil"/>
              <w:bottom w:val="nil"/>
              <w:right w:val="nil"/>
            </w:tcBorders>
            <w:noWrap/>
            <w:vAlign w:val="bottom"/>
          </w:tcPr>
          <w:p w:rsidR="002416B1" w:rsidRPr="006A2BF3" w:rsidRDefault="007607F8" w:rsidP="00205636">
            <w:pPr>
              <w:rPr>
                <w:rFonts w:ascii="Arial" w:hAnsi="Arial" w:cs="Arial"/>
                <w:sz w:val="16"/>
                <w:szCs w:val="16"/>
              </w:rPr>
            </w:pPr>
            <w:r w:rsidRPr="000E6169">
              <w:rPr>
                <w:rFonts w:ascii="Arial" w:hAnsi="Arial" w:cs="Arial"/>
                <w:i/>
                <w:sz w:val="16"/>
                <w:szCs w:val="16"/>
              </w:rPr>
              <w:t>Údaje o zazmluvnených projektoch zahŕňajú projekty, ktoré mali k 31.12.201</w:t>
            </w:r>
            <w:r w:rsidR="006F3BE0">
              <w:rPr>
                <w:rFonts w:ascii="Arial" w:hAnsi="Arial" w:cs="Arial"/>
                <w:i/>
                <w:sz w:val="16"/>
                <w:szCs w:val="16"/>
              </w:rPr>
              <w:t>2</w:t>
            </w:r>
            <w:r w:rsidRPr="000E6169">
              <w:rPr>
                <w:rFonts w:ascii="Arial" w:hAnsi="Arial" w:cs="Arial"/>
                <w:i/>
                <w:sz w:val="16"/>
                <w:szCs w:val="16"/>
              </w:rPr>
              <w:t xml:space="preserve"> účinnú zmluvu o poskytnutí NFP a boli v realizácii alebo riadne ukončené. Údaje nezahŕňajú mimoriadne ukončené projekty.</w:t>
            </w:r>
          </w:p>
        </w:tc>
      </w:tr>
      <w:tr w:rsidR="00590E1E" w:rsidRPr="006A2BF3" w:rsidTr="002B27B2">
        <w:trPr>
          <w:trHeight w:val="270"/>
        </w:trPr>
        <w:tc>
          <w:tcPr>
            <w:tcW w:w="9436" w:type="dxa"/>
            <w:tcBorders>
              <w:top w:val="nil"/>
              <w:left w:val="nil"/>
              <w:bottom w:val="nil"/>
              <w:right w:val="nil"/>
            </w:tcBorders>
            <w:noWrap/>
            <w:vAlign w:val="bottom"/>
          </w:tcPr>
          <w:p w:rsidR="00590E1E" w:rsidRPr="000E6169" w:rsidRDefault="00590E1E" w:rsidP="00205636">
            <w:pPr>
              <w:rPr>
                <w:rFonts w:ascii="Arial" w:hAnsi="Arial" w:cs="Arial"/>
                <w:i/>
                <w:sz w:val="16"/>
                <w:szCs w:val="16"/>
              </w:rPr>
            </w:pPr>
            <w:r>
              <w:rPr>
                <w:rFonts w:ascii="Arial" w:hAnsi="Arial" w:cs="Arial"/>
                <w:i/>
                <w:sz w:val="16"/>
                <w:szCs w:val="16"/>
              </w:rPr>
              <w:t>V rámci mimoriadne ukončených projektov sa jedná o projekty vzniknuté v rámci delimitácie MŽP SR</w:t>
            </w:r>
          </w:p>
        </w:tc>
      </w:tr>
    </w:tbl>
    <w:p w:rsidR="00205636" w:rsidRDefault="00205636" w:rsidP="00507035">
      <w:pPr>
        <w:spacing w:before="120" w:after="120" w:line="360" w:lineRule="auto"/>
        <w:jc w:val="both"/>
        <w:rPr>
          <w:rFonts w:ascii="Arial" w:hAnsi="Arial" w:cs="Arial"/>
          <w:sz w:val="20"/>
          <w:szCs w:val="20"/>
        </w:rPr>
      </w:pPr>
    </w:p>
    <w:p w:rsidR="002416B1" w:rsidRPr="00BA1A4F" w:rsidRDefault="002416B1" w:rsidP="00507035">
      <w:pPr>
        <w:spacing w:before="120" w:after="120" w:line="360" w:lineRule="auto"/>
        <w:jc w:val="both"/>
        <w:rPr>
          <w:rFonts w:ascii="Arial" w:hAnsi="Arial" w:cs="Arial"/>
          <w:sz w:val="20"/>
          <w:szCs w:val="20"/>
        </w:rPr>
      </w:pPr>
      <w:r w:rsidRPr="000C481D">
        <w:rPr>
          <w:rFonts w:ascii="Arial" w:hAnsi="Arial" w:cs="Arial"/>
          <w:sz w:val="20"/>
          <w:szCs w:val="20"/>
        </w:rPr>
        <w:t xml:space="preserve">Zoznam schválených projektov s objemom </w:t>
      </w:r>
      <w:r w:rsidRPr="00BA1A4F">
        <w:rPr>
          <w:rFonts w:ascii="Arial" w:hAnsi="Arial" w:cs="Arial"/>
          <w:sz w:val="20"/>
          <w:szCs w:val="20"/>
        </w:rPr>
        <w:t>zazmluvnených prostriedkov k 31.12.201</w:t>
      </w:r>
      <w:r w:rsidR="006F3BE0" w:rsidRPr="007818E6">
        <w:rPr>
          <w:rFonts w:ascii="Arial" w:hAnsi="Arial" w:cs="Arial"/>
          <w:sz w:val="20"/>
          <w:szCs w:val="20"/>
        </w:rPr>
        <w:t>2</w:t>
      </w:r>
      <w:r w:rsidRPr="00BA1A4F">
        <w:rPr>
          <w:rFonts w:ascii="Arial" w:hAnsi="Arial" w:cs="Arial"/>
          <w:sz w:val="20"/>
          <w:szCs w:val="20"/>
        </w:rPr>
        <w:t xml:space="preserve"> je zverejnený na </w:t>
      </w:r>
      <w:r w:rsidR="00091E84" w:rsidRPr="00BA1A4F">
        <w:rPr>
          <w:rFonts w:ascii="Arial" w:hAnsi="Arial" w:cs="Arial"/>
          <w:sz w:val="20"/>
          <w:szCs w:val="20"/>
        </w:rPr>
        <w:t>webovom sídle</w:t>
      </w:r>
      <w:r w:rsidRPr="00BA1A4F">
        <w:rPr>
          <w:rFonts w:ascii="Arial" w:hAnsi="Arial" w:cs="Arial"/>
          <w:sz w:val="20"/>
          <w:szCs w:val="20"/>
        </w:rPr>
        <w:t xml:space="preserve"> </w:t>
      </w:r>
      <w:hyperlink r:id="rId59" w:history="1">
        <w:r w:rsidRPr="007818E6">
          <w:rPr>
            <w:rStyle w:val="Hypertextovprepojenie"/>
            <w:rFonts w:ascii="Arial" w:hAnsi="Arial" w:cs="Arial"/>
            <w:sz w:val="20"/>
            <w:szCs w:val="20"/>
          </w:rPr>
          <w:t>http://www.opzp.sk/projekty/zoznam-prijimatelov/</w:t>
        </w:r>
      </w:hyperlink>
      <w:r w:rsidRPr="00BA1A4F">
        <w:rPr>
          <w:rFonts w:ascii="Arial" w:hAnsi="Arial" w:cs="Arial"/>
          <w:sz w:val="20"/>
          <w:szCs w:val="20"/>
        </w:rPr>
        <w:t xml:space="preserve"> </w:t>
      </w:r>
      <w:r w:rsidR="007D7EAE" w:rsidRPr="007818E6">
        <w:rPr>
          <w:rFonts w:ascii="Arial" w:hAnsi="Arial" w:cs="Arial"/>
          <w:sz w:val="20"/>
          <w:szCs w:val="20"/>
        </w:rPr>
        <w:t>a</w:t>
      </w:r>
      <w:r w:rsidR="0038420F" w:rsidRPr="00BA1A4F">
        <w:rPr>
          <w:rFonts w:ascii="Arial" w:hAnsi="Arial" w:cs="Arial"/>
          <w:sz w:val="20"/>
          <w:szCs w:val="20"/>
        </w:rPr>
        <w:t> </w:t>
      </w:r>
      <w:r w:rsidR="007D7EAE" w:rsidRPr="00BA1A4F">
        <w:rPr>
          <w:rFonts w:ascii="Arial" w:hAnsi="Arial" w:cs="Arial"/>
          <w:sz w:val="20"/>
          <w:szCs w:val="20"/>
        </w:rPr>
        <w:t>taktiež</w:t>
      </w:r>
      <w:r w:rsidR="0038420F" w:rsidRPr="00BA1A4F">
        <w:rPr>
          <w:rFonts w:ascii="Arial" w:hAnsi="Arial" w:cs="Arial"/>
          <w:sz w:val="20"/>
          <w:szCs w:val="20"/>
        </w:rPr>
        <w:t xml:space="preserve"> je</w:t>
      </w:r>
      <w:r w:rsidR="007D7EAE" w:rsidRPr="00BA1A4F">
        <w:rPr>
          <w:rFonts w:ascii="Arial" w:hAnsi="Arial" w:cs="Arial"/>
          <w:sz w:val="20"/>
          <w:szCs w:val="20"/>
        </w:rPr>
        <w:t xml:space="preserve"> zoznam schválených projektov s uvedením stavu k 31.12.201</w:t>
      </w:r>
      <w:r w:rsidR="006F3BE0" w:rsidRPr="00BA1A4F">
        <w:rPr>
          <w:rFonts w:ascii="Arial" w:hAnsi="Arial" w:cs="Arial"/>
          <w:sz w:val="20"/>
          <w:szCs w:val="20"/>
        </w:rPr>
        <w:t>2</w:t>
      </w:r>
      <w:r w:rsidR="007D7EAE" w:rsidRPr="00BA1A4F">
        <w:rPr>
          <w:rFonts w:ascii="Arial" w:hAnsi="Arial" w:cs="Arial"/>
          <w:sz w:val="20"/>
          <w:szCs w:val="20"/>
        </w:rPr>
        <w:t xml:space="preserve"> súčasťou Prílohy č. 9 výročnej správy.</w:t>
      </w:r>
    </w:p>
    <w:p w:rsidR="002416B1" w:rsidRPr="004B33AE" w:rsidRDefault="002416B1" w:rsidP="00507035">
      <w:pPr>
        <w:pStyle w:val="Zkladntextb"/>
        <w:spacing w:before="120" w:after="120"/>
        <w:ind w:left="0"/>
        <w:rPr>
          <w:b/>
          <w:lang w:val="sk-SK"/>
        </w:rPr>
      </w:pPr>
      <w:r w:rsidRPr="00BA1A4F">
        <w:rPr>
          <w:b/>
          <w:lang w:val="sk-SK"/>
        </w:rPr>
        <w:t>Plnenie fyzických ukazovateľov</w:t>
      </w:r>
    </w:p>
    <w:p w:rsidR="002416B1" w:rsidRDefault="002416B1" w:rsidP="00507035">
      <w:pPr>
        <w:pStyle w:val="Zkladntextb"/>
        <w:spacing w:before="120" w:after="120" w:line="360" w:lineRule="auto"/>
        <w:ind w:left="0"/>
        <w:jc w:val="both"/>
        <w:rPr>
          <w:rFonts w:cs="Arial"/>
          <w:lang w:val="sk-SK" w:eastAsia="cs-CZ"/>
        </w:rPr>
      </w:pPr>
      <w:r w:rsidRPr="004B33AE">
        <w:rPr>
          <w:rFonts w:cs="Arial"/>
          <w:lang w:val="sk-SK" w:eastAsia="cs-CZ"/>
        </w:rPr>
        <w:t xml:space="preserve">Plnenie ukazovateľov za Prioritnú os 6 je uvedené v Prílohe č. 2 správy. </w:t>
      </w:r>
      <w:r w:rsidRPr="00B42DF2">
        <w:rPr>
          <w:rFonts w:cs="Arial"/>
          <w:lang w:val="sk-SK" w:eastAsia="cs-CZ"/>
        </w:rPr>
        <w:t>V roku 201</w:t>
      </w:r>
      <w:r w:rsidR="00B42DF2" w:rsidRPr="0039268C">
        <w:rPr>
          <w:rFonts w:cs="Arial"/>
          <w:lang w:val="sk-SK" w:eastAsia="cs-CZ"/>
        </w:rPr>
        <w:t>2</w:t>
      </w:r>
      <w:r w:rsidRPr="00B42DF2">
        <w:rPr>
          <w:rFonts w:cs="Arial"/>
          <w:lang w:val="sk-SK" w:eastAsia="cs-CZ"/>
        </w:rPr>
        <w:t xml:space="preserve"> </w:t>
      </w:r>
      <w:r w:rsidR="0065734F">
        <w:rPr>
          <w:rFonts w:cs="Arial"/>
          <w:lang w:val="sk-SK" w:eastAsia="cs-CZ"/>
        </w:rPr>
        <w:t>RO</w:t>
      </w:r>
      <w:r w:rsidRPr="00B42DF2">
        <w:rPr>
          <w:rFonts w:cs="Arial"/>
          <w:lang w:val="sk-SK" w:eastAsia="cs-CZ"/>
        </w:rPr>
        <w:t xml:space="preserve"> obdržal od prijímateľov </w:t>
      </w:r>
      <w:r w:rsidR="00B42DF2" w:rsidRPr="0039268C">
        <w:rPr>
          <w:rFonts w:cs="Arial"/>
          <w:lang w:val="sk-SK" w:eastAsia="cs-CZ"/>
        </w:rPr>
        <w:t xml:space="preserve">10 </w:t>
      </w:r>
      <w:r w:rsidRPr="00B42DF2">
        <w:rPr>
          <w:rFonts w:cs="Arial"/>
          <w:lang w:val="sk-SK" w:eastAsia="cs-CZ"/>
        </w:rPr>
        <w:t>monitorovacích správ priebežných</w:t>
      </w:r>
      <w:r w:rsidR="00B42DF2" w:rsidRPr="0039268C">
        <w:rPr>
          <w:rFonts w:cs="Arial"/>
          <w:lang w:val="sk-SK" w:eastAsia="cs-CZ"/>
        </w:rPr>
        <w:t>,</w:t>
      </w:r>
      <w:r w:rsidRPr="00B42DF2">
        <w:rPr>
          <w:rFonts w:cs="Arial"/>
          <w:lang w:val="sk-SK" w:eastAsia="cs-CZ"/>
        </w:rPr>
        <w:t xml:space="preserve"> na základe ktorých bolo vyhodnotené plnenie ukazovateľov.</w:t>
      </w:r>
      <w:r w:rsidRPr="004B33AE">
        <w:rPr>
          <w:rFonts w:cs="Arial"/>
          <w:lang w:val="sk-SK" w:eastAsia="cs-CZ"/>
        </w:rPr>
        <w:t xml:space="preserve"> K 31.12.201</w:t>
      </w:r>
      <w:r w:rsidR="006F3BE0">
        <w:rPr>
          <w:rFonts w:cs="Arial"/>
          <w:lang w:val="sk-SK" w:eastAsia="cs-CZ"/>
        </w:rPr>
        <w:t>2</w:t>
      </w:r>
      <w:r w:rsidRPr="004B33AE">
        <w:rPr>
          <w:rFonts w:cs="Arial"/>
          <w:lang w:val="sk-SK" w:eastAsia="cs-CZ"/>
        </w:rPr>
        <w:t xml:space="preserve"> bolo zrealizovaných </w:t>
      </w:r>
      <w:r w:rsidR="006F3BE0" w:rsidRPr="004B33AE">
        <w:rPr>
          <w:rFonts w:cs="Arial"/>
          <w:lang w:val="sk-SK" w:eastAsia="cs-CZ"/>
        </w:rPr>
        <w:t>1</w:t>
      </w:r>
      <w:r w:rsidR="006F3BE0">
        <w:rPr>
          <w:rFonts w:cs="Arial"/>
          <w:lang w:val="sk-SK" w:eastAsia="cs-CZ"/>
        </w:rPr>
        <w:t>79</w:t>
      </w:r>
      <w:r w:rsidR="006F3BE0" w:rsidRPr="004B33AE">
        <w:rPr>
          <w:rFonts w:cs="Arial"/>
          <w:lang w:val="sk-SK" w:eastAsia="cs-CZ"/>
        </w:rPr>
        <w:t xml:space="preserve"> </w:t>
      </w:r>
      <w:r w:rsidRPr="004B33AE">
        <w:rPr>
          <w:rFonts w:cs="Arial"/>
          <w:lang w:val="sk-SK" w:eastAsia="cs-CZ"/>
        </w:rPr>
        <w:t xml:space="preserve">akcií na informovanie verejnosti o OP ŽP. </w:t>
      </w:r>
      <w:r w:rsidR="006F3BE0" w:rsidRPr="004B33AE">
        <w:rPr>
          <w:rFonts w:cs="Arial"/>
          <w:lang w:val="sk-SK" w:eastAsia="cs-CZ"/>
        </w:rPr>
        <w:t>1</w:t>
      </w:r>
      <w:r w:rsidR="006F3BE0">
        <w:rPr>
          <w:rFonts w:cs="Arial"/>
          <w:lang w:val="sk-SK" w:eastAsia="cs-CZ"/>
        </w:rPr>
        <w:t>45</w:t>
      </w:r>
      <w:r w:rsidR="006F3BE0" w:rsidRPr="004B33AE">
        <w:rPr>
          <w:rFonts w:cs="Arial"/>
          <w:lang w:val="sk-SK" w:eastAsia="cs-CZ"/>
        </w:rPr>
        <w:t xml:space="preserve"> </w:t>
      </w:r>
      <w:r w:rsidRPr="004B33AE">
        <w:rPr>
          <w:rFonts w:cs="Arial"/>
          <w:lang w:val="sk-SK" w:eastAsia="cs-CZ"/>
        </w:rPr>
        <w:t xml:space="preserve">zamestnancom boli platy hradené z Technickej asistencie, z toho bolo </w:t>
      </w:r>
      <w:r w:rsidR="006F3BE0">
        <w:rPr>
          <w:rFonts w:cs="Arial"/>
          <w:lang w:val="sk-SK" w:eastAsia="cs-CZ"/>
        </w:rPr>
        <w:t>65</w:t>
      </w:r>
      <w:r w:rsidR="006F3BE0" w:rsidRPr="004B33AE">
        <w:rPr>
          <w:rFonts w:cs="Arial"/>
          <w:lang w:val="sk-SK" w:eastAsia="cs-CZ"/>
        </w:rPr>
        <w:t xml:space="preserve"> </w:t>
      </w:r>
      <w:r w:rsidRPr="004B33AE">
        <w:rPr>
          <w:rFonts w:cs="Arial"/>
          <w:lang w:val="sk-SK" w:eastAsia="cs-CZ"/>
        </w:rPr>
        <w:t>mužov a </w:t>
      </w:r>
      <w:r w:rsidR="006F3BE0" w:rsidRPr="004B33AE">
        <w:rPr>
          <w:rFonts w:cs="Arial"/>
          <w:lang w:val="sk-SK" w:eastAsia="cs-CZ"/>
        </w:rPr>
        <w:t>8</w:t>
      </w:r>
      <w:r w:rsidR="006F3BE0">
        <w:rPr>
          <w:rFonts w:cs="Arial"/>
          <w:lang w:val="sk-SK" w:eastAsia="cs-CZ"/>
        </w:rPr>
        <w:t>0</w:t>
      </w:r>
      <w:r w:rsidR="006F3BE0" w:rsidRPr="004B33AE">
        <w:rPr>
          <w:rFonts w:cs="Arial"/>
          <w:lang w:val="sk-SK" w:eastAsia="cs-CZ"/>
        </w:rPr>
        <w:t xml:space="preserve"> </w:t>
      </w:r>
      <w:r w:rsidRPr="004B33AE">
        <w:rPr>
          <w:rFonts w:cs="Arial"/>
          <w:lang w:val="sk-SK" w:eastAsia="cs-CZ"/>
        </w:rPr>
        <w:t xml:space="preserve">žien. </w:t>
      </w:r>
      <w:r w:rsidR="008F2A89">
        <w:rPr>
          <w:rFonts w:cs="Arial"/>
          <w:lang w:val="sk-SK" w:eastAsia="cs-CZ"/>
        </w:rPr>
        <w:t>CORE</w:t>
      </w:r>
      <w:r w:rsidRPr="004B33AE">
        <w:rPr>
          <w:rFonts w:cs="Arial"/>
          <w:lang w:val="sk-SK" w:eastAsia="cs-CZ"/>
        </w:rPr>
        <w:t xml:space="preserve"> ukazovateľ Počet novovytvorených pracovných miest vykazuje k 31.12.201</w:t>
      </w:r>
      <w:r w:rsidR="006F3BE0">
        <w:rPr>
          <w:rFonts w:cs="Arial"/>
          <w:lang w:val="sk-SK" w:eastAsia="cs-CZ"/>
        </w:rPr>
        <w:t>2</w:t>
      </w:r>
      <w:r w:rsidRPr="004B33AE">
        <w:rPr>
          <w:rFonts w:cs="Arial"/>
          <w:lang w:val="sk-SK" w:eastAsia="cs-CZ"/>
        </w:rPr>
        <w:t xml:space="preserve"> hodnotu </w:t>
      </w:r>
      <w:r w:rsidR="006F3BE0">
        <w:rPr>
          <w:rFonts w:cs="Arial"/>
          <w:lang w:val="sk-SK" w:eastAsia="cs-CZ"/>
        </w:rPr>
        <w:t>36</w:t>
      </w:r>
      <w:r w:rsidRPr="004B33AE">
        <w:rPr>
          <w:rFonts w:cs="Arial"/>
          <w:lang w:val="sk-SK" w:eastAsia="cs-CZ"/>
        </w:rPr>
        <w:t>.</w:t>
      </w:r>
    </w:p>
    <w:p w:rsidR="00992100" w:rsidRPr="004B33AE" w:rsidRDefault="00992100" w:rsidP="00507035">
      <w:pPr>
        <w:pStyle w:val="Zkladntextb"/>
        <w:spacing w:before="120" w:after="120" w:line="360" w:lineRule="auto"/>
        <w:ind w:left="0"/>
        <w:jc w:val="both"/>
        <w:rPr>
          <w:rFonts w:cs="Arial"/>
          <w:lang w:val="sk-SK" w:eastAsia="cs-CZ"/>
        </w:rPr>
      </w:pPr>
    </w:p>
    <w:p w:rsidR="002416B1" w:rsidRPr="004B33AE" w:rsidRDefault="002416B1" w:rsidP="00507035">
      <w:pPr>
        <w:pStyle w:val="Nadpis8"/>
        <w:spacing w:before="120" w:after="120"/>
        <w:rPr>
          <w:rFonts w:ascii="Arial" w:hAnsi="Arial" w:cs="Arial"/>
          <w:b/>
          <w:sz w:val="22"/>
          <w:szCs w:val="22"/>
        </w:rPr>
      </w:pPr>
      <w:r w:rsidRPr="004B33AE">
        <w:rPr>
          <w:rFonts w:ascii="Arial" w:hAnsi="Arial" w:cs="Arial"/>
          <w:b/>
          <w:sz w:val="22"/>
          <w:szCs w:val="22"/>
        </w:rPr>
        <w:t>3.6.1.2 Finančná implementácia v rámci prioritnej osi 6</w:t>
      </w:r>
    </w:p>
    <w:p w:rsidR="002416B1" w:rsidRDefault="00F466F7" w:rsidP="00507035">
      <w:pPr>
        <w:pStyle w:val="Zkladntextb"/>
        <w:spacing w:before="120" w:after="120" w:line="360" w:lineRule="auto"/>
        <w:ind w:left="0"/>
        <w:jc w:val="both"/>
        <w:rPr>
          <w:lang w:val="sk-SK"/>
        </w:rPr>
      </w:pPr>
      <w:r w:rsidRPr="004B33AE">
        <w:rPr>
          <w:lang w:val="sk-SK"/>
        </w:rPr>
        <w:t>K 31.12.201</w:t>
      </w:r>
      <w:r>
        <w:rPr>
          <w:lang w:val="sk-SK"/>
        </w:rPr>
        <w:t>2</w:t>
      </w:r>
      <w:r w:rsidRPr="004B33AE">
        <w:rPr>
          <w:lang w:val="sk-SK"/>
        </w:rPr>
        <w:t xml:space="preserve"> bolo vyčerpaných</w:t>
      </w:r>
      <w:r w:rsidR="002416B1" w:rsidRPr="004B33AE">
        <w:rPr>
          <w:lang w:val="sk-SK"/>
        </w:rPr>
        <w:t xml:space="preserve"> z Kohézneho fondu </w:t>
      </w:r>
      <w:r w:rsidR="00062BCC">
        <w:rPr>
          <w:lang w:val="sk-SK"/>
        </w:rPr>
        <w:t> vyše 3,5 mil.</w:t>
      </w:r>
      <w:r w:rsidR="002416B1" w:rsidRPr="004B33AE">
        <w:rPr>
          <w:lang w:val="sk-SK"/>
        </w:rPr>
        <w:t xml:space="preserve"> EUR, čo predstavuje </w:t>
      </w:r>
      <w:r w:rsidR="00062BCC">
        <w:rPr>
          <w:lang w:val="sk-SK"/>
        </w:rPr>
        <w:t>7,29</w:t>
      </w:r>
      <w:r w:rsidR="0065734F">
        <w:rPr>
          <w:lang w:val="sk-SK"/>
        </w:rPr>
        <w:t xml:space="preserve"> </w:t>
      </w:r>
      <w:r w:rsidR="002416B1" w:rsidRPr="004B33AE">
        <w:rPr>
          <w:lang w:val="sk-SK"/>
        </w:rPr>
        <w:t>% z celkového záväzku na programové obdobie 2007-2013 pre predmetnú prioritnú os, kumulatívne predstavuje vyčerpaná suma k 31.12.201</w:t>
      </w:r>
      <w:r w:rsidR="00062BCC">
        <w:rPr>
          <w:lang w:val="sk-SK"/>
        </w:rPr>
        <w:t>2</w:t>
      </w:r>
      <w:r w:rsidR="002416B1" w:rsidRPr="004B33AE">
        <w:rPr>
          <w:lang w:val="sk-SK"/>
        </w:rPr>
        <w:t xml:space="preserve"> </w:t>
      </w:r>
      <w:r w:rsidR="00062BCC">
        <w:rPr>
          <w:lang w:val="sk-SK"/>
        </w:rPr>
        <w:t>48,23</w:t>
      </w:r>
      <w:r w:rsidR="0065734F">
        <w:rPr>
          <w:lang w:val="sk-SK"/>
        </w:rPr>
        <w:t xml:space="preserve"> </w:t>
      </w:r>
      <w:r w:rsidR="002416B1" w:rsidRPr="004B33AE">
        <w:rPr>
          <w:lang w:val="sk-SK"/>
        </w:rPr>
        <w:t>% zo záväzku.</w:t>
      </w:r>
    </w:p>
    <w:p w:rsidR="002416B1" w:rsidRPr="004B33AE" w:rsidRDefault="002416B1" w:rsidP="00205636">
      <w:pPr>
        <w:pStyle w:val="Zkladntextb"/>
        <w:spacing w:after="0" w:line="360" w:lineRule="auto"/>
        <w:ind w:left="0"/>
        <w:jc w:val="both"/>
        <w:rPr>
          <w:lang w:val="sk-SK"/>
        </w:rPr>
      </w:pPr>
      <w:r w:rsidRPr="00C42FC5">
        <w:rPr>
          <w:lang w:val="sk-SK"/>
        </w:rPr>
        <w:t xml:space="preserve">Tab. č. </w:t>
      </w:r>
      <w:r w:rsidR="00254D6C">
        <w:rPr>
          <w:lang w:val="sk-SK"/>
        </w:rPr>
        <w:t>60</w:t>
      </w:r>
      <w:r w:rsidRPr="00C42FC5">
        <w:rPr>
          <w:lang w:val="sk-SK"/>
        </w:rPr>
        <w:t>: Čerpanie prostriedkov prioritnej osi 6 k 31.12.201</w:t>
      </w:r>
      <w:r w:rsidR="00062BCC">
        <w:rPr>
          <w:lang w:val="sk-SK"/>
        </w:rPr>
        <w:t>2</w:t>
      </w:r>
    </w:p>
    <w:tbl>
      <w:tblPr>
        <w:tblW w:w="9141" w:type="dxa"/>
        <w:jc w:val="center"/>
        <w:tblLayout w:type="fixed"/>
        <w:tblCellMar>
          <w:left w:w="70" w:type="dxa"/>
          <w:right w:w="70" w:type="dxa"/>
        </w:tblCellMar>
        <w:tblLook w:val="0000" w:firstRow="0" w:lastRow="0" w:firstColumn="0" w:lastColumn="0" w:noHBand="0" w:noVBand="0"/>
      </w:tblPr>
      <w:tblGrid>
        <w:gridCol w:w="1440"/>
        <w:gridCol w:w="1724"/>
        <w:gridCol w:w="1440"/>
        <w:gridCol w:w="1557"/>
        <w:gridCol w:w="1392"/>
        <w:gridCol w:w="1588"/>
      </w:tblGrid>
      <w:tr w:rsidR="00061E3D" w:rsidRPr="007F5BD7" w:rsidTr="006A551B">
        <w:trPr>
          <w:trHeight w:val="585"/>
          <w:jc w:val="center"/>
        </w:trPr>
        <w:tc>
          <w:tcPr>
            <w:tcW w:w="1440" w:type="dxa"/>
            <w:vMerge w:val="restart"/>
            <w:tcBorders>
              <w:top w:val="single" w:sz="8" w:space="0" w:color="auto"/>
              <w:left w:val="single" w:sz="8" w:space="0" w:color="auto"/>
              <w:bottom w:val="single" w:sz="4" w:space="0" w:color="auto"/>
              <w:right w:val="single" w:sz="4" w:space="0" w:color="auto"/>
            </w:tcBorders>
            <w:shd w:val="clear" w:color="auto" w:fill="auto"/>
            <w:noWrap/>
            <w:vAlign w:val="center"/>
          </w:tcPr>
          <w:p w:rsidR="00061E3D" w:rsidRPr="007F5BD7" w:rsidRDefault="00061E3D" w:rsidP="00205636">
            <w:pPr>
              <w:jc w:val="both"/>
              <w:rPr>
                <w:rFonts w:ascii="Arial" w:hAnsi="Arial" w:cs="Arial"/>
                <w:sz w:val="18"/>
                <w:szCs w:val="18"/>
              </w:rPr>
            </w:pPr>
            <w:r w:rsidRPr="007F5BD7">
              <w:rPr>
                <w:rFonts w:ascii="Arial" w:hAnsi="Arial" w:cs="Arial"/>
                <w:sz w:val="18"/>
                <w:szCs w:val="18"/>
              </w:rPr>
              <w:t> </w:t>
            </w:r>
          </w:p>
        </w:tc>
        <w:tc>
          <w:tcPr>
            <w:tcW w:w="1724" w:type="dxa"/>
            <w:vMerge w:val="restart"/>
            <w:tcBorders>
              <w:top w:val="single" w:sz="8" w:space="0" w:color="auto"/>
              <w:left w:val="single" w:sz="4" w:space="0" w:color="auto"/>
              <w:bottom w:val="single" w:sz="4" w:space="0" w:color="auto"/>
              <w:right w:val="single" w:sz="4" w:space="0" w:color="auto"/>
            </w:tcBorders>
            <w:shd w:val="clear" w:color="auto" w:fill="D6E3BC"/>
            <w:vAlign w:val="center"/>
          </w:tcPr>
          <w:p w:rsidR="00061E3D" w:rsidRPr="007F5BD7" w:rsidRDefault="00061E3D" w:rsidP="00205636">
            <w:pPr>
              <w:jc w:val="center"/>
              <w:rPr>
                <w:rFonts w:ascii="Arial" w:hAnsi="Arial" w:cs="Arial"/>
                <w:sz w:val="18"/>
                <w:szCs w:val="18"/>
              </w:rPr>
            </w:pPr>
            <w:r w:rsidRPr="007F5BD7">
              <w:rPr>
                <w:rFonts w:ascii="Arial" w:eastAsia="EUAlbertina-Regular-Identity-H" w:hAnsi="Arial" w:cs="Arial"/>
                <w:sz w:val="18"/>
                <w:szCs w:val="18"/>
              </w:rPr>
              <w:t xml:space="preserve">Záväzok </w:t>
            </w:r>
            <w:r w:rsidRPr="007F5BD7">
              <w:rPr>
                <w:rFonts w:ascii="Arial" w:eastAsia="EUAlbertina-Regular-Identity-H" w:hAnsi="Arial" w:cs="Arial"/>
                <w:sz w:val="18"/>
                <w:szCs w:val="18"/>
              </w:rPr>
              <w:br/>
              <w:t>2007-2013</w:t>
            </w:r>
            <w:r w:rsidRPr="007F5BD7">
              <w:rPr>
                <w:rFonts w:ascii="Arial" w:eastAsia="EUAlbertina-Regular-Identity-H" w:hAnsi="Arial" w:cs="Arial"/>
                <w:sz w:val="18"/>
                <w:szCs w:val="18"/>
              </w:rPr>
              <w:br/>
              <w:t xml:space="preserve"> za EÚ zdroje</w:t>
            </w:r>
            <w:r w:rsidRPr="007F5BD7">
              <w:rPr>
                <w:rFonts w:ascii="Arial" w:eastAsia="EUAlbertina-Regular-Identity-H" w:hAnsi="Arial" w:cs="Arial"/>
                <w:sz w:val="18"/>
                <w:szCs w:val="18"/>
              </w:rPr>
              <w:br/>
            </w:r>
            <w:r w:rsidRPr="007F5BD7">
              <w:rPr>
                <w:rFonts w:ascii="Arial" w:hAnsi="Arial" w:cs="Arial"/>
                <w:sz w:val="18"/>
                <w:szCs w:val="18"/>
              </w:rPr>
              <w:t>v €</w:t>
            </w:r>
          </w:p>
        </w:tc>
        <w:tc>
          <w:tcPr>
            <w:tcW w:w="2997" w:type="dxa"/>
            <w:gridSpan w:val="2"/>
            <w:tcBorders>
              <w:top w:val="single" w:sz="8" w:space="0" w:color="auto"/>
              <w:left w:val="nil"/>
              <w:bottom w:val="single" w:sz="4" w:space="0" w:color="auto"/>
              <w:right w:val="single" w:sz="4" w:space="0" w:color="000000"/>
            </w:tcBorders>
            <w:shd w:val="clear" w:color="auto" w:fill="D6E3BC"/>
            <w:vAlign w:val="center"/>
          </w:tcPr>
          <w:p w:rsidR="00061E3D" w:rsidRPr="007F5BD7" w:rsidRDefault="00061E3D" w:rsidP="00205636">
            <w:pPr>
              <w:jc w:val="center"/>
              <w:rPr>
                <w:rFonts w:ascii="Arial" w:hAnsi="Arial" w:cs="Arial"/>
                <w:sz w:val="18"/>
                <w:szCs w:val="18"/>
              </w:rPr>
            </w:pPr>
            <w:r w:rsidRPr="007F5BD7">
              <w:rPr>
                <w:rFonts w:ascii="Arial" w:hAnsi="Arial" w:cs="Arial"/>
                <w:sz w:val="18"/>
                <w:szCs w:val="18"/>
              </w:rPr>
              <w:t>Čerpanie prostriedkov v roku 2012</w:t>
            </w:r>
          </w:p>
          <w:p w:rsidR="00061E3D" w:rsidRPr="007F5BD7" w:rsidRDefault="00061E3D" w:rsidP="00205636">
            <w:pPr>
              <w:jc w:val="center"/>
              <w:rPr>
                <w:rFonts w:ascii="Arial" w:hAnsi="Arial" w:cs="Arial"/>
                <w:sz w:val="18"/>
                <w:szCs w:val="18"/>
              </w:rPr>
            </w:pPr>
            <w:r w:rsidRPr="007F5BD7">
              <w:rPr>
                <w:rFonts w:ascii="Arial" w:hAnsi="Arial" w:cs="Arial"/>
                <w:sz w:val="18"/>
                <w:szCs w:val="18"/>
              </w:rPr>
              <w:t>(EU zdroje) v €</w:t>
            </w:r>
          </w:p>
        </w:tc>
        <w:tc>
          <w:tcPr>
            <w:tcW w:w="2980" w:type="dxa"/>
            <w:gridSpan w:val="2"/>
            <w:tcBorders>
              <w:top w:val="single" w:sz="8" w:space="0" w:color="auto"/>
              <w:left w:val="nil"/>
              <w:bottom w:val="single" w:sz="4" w:space="0" w:color="auto"/>
              <w:right w:val="single" w:sz="8" w:space="0" w:color="000000"/>
            </w:tcBorders>
            <w:shd w:val="clear" w:color="auto" w:fill="D6E3BC"/>
            <w:vAlign w:val="center"/>
          </w:tcPr>
          <w:p w:rsidR="00061E3D" w:rsidRPr="007F5BD7" w:rsidRDefault="00061E3D" w:rsidP="00205636">
            <w:pPr>
              <w:jc w:val="center"/>
              <w:rPr>
                <w:rFonts w:ascii="Arial" w:hAnsi="Arial" w:cs="Arial"/>
                <w:sz w:val="18"/>
                <w:szCs w:val="18"/>
              </w:rPr>
            </w:pPr>
            <w:r w:rsidRPr="007F5BD7">
              <w:rPr>
                <w:rFonts w:ascii="Arial" w:hAnsi="Arial" w:cs="Arial"/>
                <w:sz w:val="18"/>
                <w:szCs w:val="18"/>
              </w:rPr>
              <w:t xml:space="preserve">Čerpanie prostriedkov kumulatívne </w:t>
            </w:r>
            <w:r w:rsidRPr="007F5BD7">
              <w:rPr>
                <w:rFonts w:ascii="Arial" w:hAnsi="Arial" w:cs="Arial"/>
                <w:sz w:val="18"/>
                <w:szCs w:val="18"/>
              </w:rPr>
              <w:br/>
              <w:t>(EU zdroje) v €</w:t>
            </w:r>
          </w:p>
        </w:tc>
      </w:tr>
      <w:tr w:rsidR="00061E3D" w:rsidRPr="007F5BD7" w:rsidTr="006A551B">
        <w:trPr>
          <w:trHeight w:val="480"/>
          <w:jc w:val="center"/>
        </w:trPr>
        <w:tc>
          <w:tcPr>
            <w:tcW w:w="1440" w:type="dxa"/>
            <w:vMerge/>
            <w:tcBorders>
              <w:top w:val="single" w:sz="8" w:space="0" w:color="auto"/>
              <w:left w:val="single" w:sz="8" w:space="0" w:color="auto"/>
              <w:bottom w:val="single" w:sz="4" w:space="0" w:color="auto"/>
              <w:right w:val="single" w:sz="4" w:space="0" w:color="auto"/>
            </w:tcBorders>
            <w:shd w:val="clear" w:color="auto" w:fill="auto"/>
            <w:vAlign w:val="center"/>
          </w:tcPr>
          <w:p w:rsidR="00061E3D" w:rsidRPr="007F5BD7" w:rsidRDefault="00061E3D" w:rsidP="00205636">
            <w:pPr>
              <w:jc w:val="both"/>
              <w:rPr>
                <w:rFonts w:ascii="Arial" w:hAnsi="Arial" w:cs="Arial"/>
                <w:sz w:val="18"/>
                <w:szCs w:val="18"/>
              </w:rPr>
            </w:pPr>
          </w:p>
        </w:tc>
        <w:tc>
          <w:tcPr>
            <w:tcW w:w="1724" w:type="dxa"/>
            <w:vMerge/>
            <w:tcBorders>
              <w:top w:val="single" w:sz="8" w:space="0" w:color="auto"/>
              <w:left w:val="single" w:sz="4" w:space="0" w:color="auto"/>
              <w:bottom w:val="single" w:sz="4" w:space="0" w:color="auto"/>
              <w:right w:val="single" w:sz="4" w:space="0" w:color="auto"/>
            </w:tcBorders>
            <w:shd w:val="clear" w:color="auto" w:fill="D6E3BC"/>
            <w:vAlign w:val="center"/>
          </w:tcPr>
          <w:p w:rsidR="00061E3D" w:rsidRPr="007F5BD7" w:rsidRDefault="00061E3D" w:rsidP="00205636">
            <w:pPr>
              <w:jc w:val="center"/>
              <w:rPr>
                <w:rFonts w:ascii="Arial" w:hAnsi="Arial" w:cs="Arial"/>
                <w:sz w:val="18"/>
                <w:szCs w:val="18"/>
              </w:rPr>
            </w:pPr>
          </w:p>
        </w:tc>
        <w:tc>
          <w:tcPr>
            <w:tcW w:w="1440" w:type="dxa"/>
            <w:tcBorders>
              <w:top w:val="nil"/>
              <w:left w:val="nil"/>
              <w:bottom w:val="single" w:sz="4" w:space="0" w:color="auto"/>
              <w:right w:val="single" w:sz="4" w:space="0" w:color="auto"/>
            </w:tcBorders>
            <w:shd w:val="clear" w:color="auto" w:fill="D6E3BC"/>
            <w:noWrap/>
            <w:vAlign w:val="center"/>
          </w:tcPr>
          <w:p w:rsidR="00061E3D" w:rsidRPr="007F5BD7" w:rsidRDefault="00061E3D" w:rsidP="00205636">
            <w:pPr>
              <w:jc w:val="center"/>
              <w:rPr>
                <w:rFonts w:ascii="Arial" w:hAnsi="Arial" w:cs="Arial"/>
                <w:sz w:val="18"/>
                <w:szCs w:val="18"/>
              </w:rPr>
            </w:pPr>
            <w:r w:rsidRPr="007F5BD7">
              <w:rPr>
                <w:rFonts w:ascii="Arial" w:hAnsi="Arial" w:cs="Arial"/>
                <w:sz w:val="18"/>
                <w:szCs w:val="18"/>
              </w:rPr>
              <w:t>Celkom</w:t>
            </w:r>
          </w:p>
        </w:tc>
        <w:tc>
          <w:tcPr>
            <w:tcW w:w="1557" w:type="dxa"/>
            <w:tcBorders>
              <w:top w:val="nil"/>
              <w:left w:val="nil"/>
              <w:bottom w:val="single" w:sz="4" w:space="0" w:color="auto"/>
              <w:right w:val="single" w:sz="4" w:space="0" w:color="auto"/>
            </w:tcBorders>
            <w:shd w:val="clear" w:color="auto" w:fill="D6E3BC"/>
            <w:vAlign w:val="center"/>
          </w:tcPr>
          <w:p w:rsidR="00061E3D" w:rsidRPr="007F5BD7" w:rsidRDefault="00061E3D" w:rsidP="00205636">
            <w:pPr>
              <w:jc w:val="center"/>
              <w:rPr>
                <w:rFonts w:ascii="Arial" w:hAnsi="Arial" w:cs="Arial"/>
                <w:sz w:val="18"/>
                <w:szCs w:val="18"/>
              </w:rPr>
            </w:pPr>
            <w:r w:rsidRPr="007F5BD7">
              <w:rPr>
                <w:rFonts w:ascii="Arial" w:hAnsi="Arial" w:cs="Arial"/>
                <w:sz w:val="18"/>
                <w:szCs w:val="18"/>
              </w:rPr>
              <w:t>% zo záväzku</w:t>
            </w:r>
          </w:p>
          <w:p w:rsidR="00061E3D" w:rsidRPr="007F5BD7" w:rsidRDefault="00061E3D" w:rsidP="00205636">
            <w:pPr>
              <w:jc w:val="center"/>
              <w:rPr>
                <w:rFonts w:ascii="Arial" w:hAnsi="Arial" w:cs="Arial"/>
                <w:sz w:val="18"/>
                <w:szCs w:val="18"/>
              </w:rPr>
            </w:pPr>
            <w:r w:rsidRPr="007F5BD7">
              <w:rPr>
                <w:rFonts w:ascii="Arial" w:hAnsi="Arial" w:cs="Arial"/>
                <w:sz w:val="18"/>
                <w:szCs w:val="18"/>
              </w:rPr>
              <w:t>2007 - 2013</w:t>
            </w:r>
          </w:p>
        </w:tc>
        <w:tc>
          <w:tcPr>
            <w:tcW w:w="1392" w:type="dxa"/>
            <w:tcBorders>
              <w:top w:val="nil"/>
              <w:left w:val="nil"/>
              <w:bottom w:val="single" w:sz="4" w:space="0" w:color="auto"/>
              <w:right w:val="single" w:sz="4" w:space="0" w:color="auto"/>
            </w:tcBorders>
            <w:shd w:val="clear" w:color="auto" w:fill="D6E3BC"/>
            <w:noWrap/>
            <w:vAlign w:val="center"/>
          </w:tcPr>
          <w:p w:rsidR="00061E3D" w:rsidRPr="007F5BD7" w:rsidRDefault="00061E3D" w:rsidP="00205636">
            <w:pPr>
              <w:jc w:val="center"/>
              <w:rPr>
                <w:rFonts w:ascii="Arial" w:hAnsi="Arial" w:cs="Arial"/>
                <w:sz w:val="18"/>
                <w:szCs w:val="18"/>
              </w:rPr>
            </w:pPr>
            <w:r w:rsidRPr="007F5BD7">
              <w:rPr>
                <w:rFonts w:ascii="Arial" w:hAnsi="Arial" w:cs="Arial"/>
                <w:sz w:val="18"/>
                <w:szCs w:val="18"/>
              </w:rPr>
              <w:t>Celkom</w:t>
            </w:r>
          </w:p>
        </w:tc>
        <w:tc>
          <w:tcPr>
            <w:tcW w:w="1588" w:type="dxa"/>
            <w:tcBorders>
              <w:top w:val="nil"/>
              <w:left w:val="nil"/>
              <w:bottom w:val="single" w:sz="4" w:space="0" w:color="auto"/>
              <w:right w:val="single" w:sz="8" w:space="0" w:color="auto"/>
            </w:tcBorders>
            <w:shd w:val="clear" w:color="auto" w:fill="D6E3BC"/>
            <w:vAlign w:val="center"/>
          </w:tcPr>
          <w:p w:rsidR="00061E3D" w:rsidRPr="007F5BD7" w:rsidRDefault="00061E3D" w:rsidP="00205636">
            <w:pPr>
              <w:jc w:val="center"/>
              <w:rPr>
                <w:rFonts w:ascii="Arial" w:hAnsi="Arial" w:cs="Arial"/>
                <w:sz w:val="18"/>
                <w:szCs w:val="18"/>
              </w:rPr>
            </w:pPr>
            <w:r w:rsidRPr="007F5BD7">
              <w:rPr>
                <w:rFonts w:ascii="Arial" w:hAnsi="Arial" w:cs="Arial"/>
                <w:sz w:val="18"/>
                <w:szCs w:val="18"/>
              </w:rPr>
              <w:t>% zo záväzku</w:t>
            </w:r>
          </w:p>
          <w:p w:rsidR="00061E3D" w:rsidRPr="007F5BD7" w:rsidRDefault="00061E3D" w:rsidP="00205636">
            <w:pPr>
              <w:jc w:val="center"/>
              <w:rPr>
                <w:rFonts w:ascii="Arial" w:hAnsi="Arial" w:cs="Arial"/>
                <w:sz w:val="18"/>
                <w:szCs w:val="18"/>
              </w:rPr>
            </w:pPr>
            <w:r w:rsidRPr="007F5BD7">
              <w:rPr>
                <w:rFonts w:ascii="Arial" w:hAnsi="Arial" w:cs="Arial"/>
                <w:sz w:val="18"/>
                <w:szCs w:val="18"/>
              </w:rPr>
              <w:t>2007 - 2013</w:t>
            </w:r>
          </w:p>
        </w:tc>
      </w:tr>
      <w:tr w:rsidR="00061E3D" w:rsidRPr="007F5BD7" w:rsidTr="006A551B">
        <w:trPr>
          <w:trHeight w:val="255"/>
          <w:jc w:val="center"/>
        </w:trPr>
        <w:tc>
          <w:tcPr>
            <w:tcW w:w="1440" w:type="dxa"/>
            <w:tcBorders>
              <w:top w:val="single" w:sz="4" w:space="0" w:color="auto"/>
              <w:left w:val="single" w:sz="8" w:space="0" w:color="auto"/>
              <w:bottom w:val="single" w:sz="4" w:space="0" w:color="auto"/>
              <w:right w:val="single" w:sz="4" w:space="0" w:color="auto"/>
            </w:tcBorders>
            <w:shd w:val="clear" w:color="auto" w:fill="auto"/>
            <w:noWrap/>
            <w:vAlign w:val="center"/>
          </w:tcPr>
          <w:p w:rsidR="00061E3D" w:rsidRPr="001C06C0" w:rsidRDefault="00061E3D" w:rsidP="00205636">
            <w:pPr>
              <w:jc w:val="center"/>
              <w:rPr>
                <w:rFonts w:ascii="Arial" w:hAnsi="Arial" w:cs="Arial"/>
                <w:sz w:val="18"/>
                <w:szCs w:val="18"/>
              </w:rPr>
            </w:pPr>
            <w:r w:rsidRPr="001C06C0">
              <w:rPr>
                <w:rFonts w:ascii="Arial" w:hAnsi="Arial" w:cs="Arial"/>
                <w:sz w:val="18"/>
                <w:szCs w:val="18"/>
              </w:rPr>
              <w:t>Prioritná os 6</w:t>
            </w:r>
          </w:p>
        </w:tc>
        <w:tc>
          <w:tcPr>
            <w:tcW w:w="1724" w:type="dxa"/>
            <w:tcBorders>
              <w:top w:val="nil"/>
              <w:left w:val="nil"/>
              <w:bottom w:val="single" w:sz="4" w:space="0" w:color="auto"/>
              <w:right w:val="single" w:sz="4" w:space="0" w:color="auto"/>
            </w:tcBorders>
            <w:shd w:val="clear" w:color="auto" w:fill="auto"/>
            <w:noWrap/>
            <w:vAlign w:val="center"/>
          </w:tcPr>
          <w:p w:rsidR="00061E3D" w:rsidRPr="001C06C0" w:rsidRDefault="00061E3D" w:rsidP="00205636">
            <w:pPr>
              <w:jc w:val="center"/>
              <w:rPr>
                <w:rFonts w:ascii="Arial" w:hAnsi="Arial" w:cs="Arial"/>
                <w:sz w:val="18"/>
                <w:szCs w:val="18"/>
              </w:rPr>
            </w:pPr>
            <w:r w:rsidRPr="001C06C0">
              <w:rPr>
                <w:rFonts w:ascii="Arial" w:hAnsi="Arial" w:cs="Arial"/>
                <w:sz w:val="18"/>
                <w:szCs w:val="18"/>
              </w:rPr>
              <w:t>48 600 000,00</w:t>
            </w:r>
          </w:p>
        </w:tc>
        <w:tc>
          <w:tcPr>
            <w:tcW w:w="1440" w:type="dxa"/>
            <w:tcBorders>
              <w:top w:val="nil"/>
              <w:left w:val="nil"/>
              <w:bottom w:val="single" w:sz="4" w:space="0" w:color="auto"/>
              <w:right w:val="single" w:sz="4" w:space="0" w:color="auto"/>
            </w:tcBorders>
            <w:shd w:val="clear" w:color="auto" w:fill="auto"/>
            <w:noWrap/>
            <w:vAlign w:val="center"/>
          </w:tcPr>
          <w:p w:rsidR="00061E3D" w:rsidRPr="001C06C0" w:rsidRDefault="00061E3D" w:rsidP="00205636">
            <w:pPr>
              <w:jc w:val="center"/>
              <w:rPr>
                <w:rFonts w:ascii="Arial" w:hAnsi="Arial" w:cs="Arial"/>
                <w:color w:val="000000"/>
                <w:sz w:val="18"/>
                <w:szCs w:val="18"/>
              </w:rPr>
            </w:pPr>
            <w:r w:rsidRPr="001C06C0">
              <w:rPr>
                <w:rFonts w:ascii="Arial" w:hAnsi="Arial" w:cs="Arial"/>
                <w:color w:val="000000"/>
                <w:sz w:val="18"/>
                <w:szCs w:val="18"/>
              </w:rPr>
              <w:t>3 541 453,72</w:t>
            </w:r>
          </w:p>
        </w:tc>
        <w:tc>
          <w:tcPr>
            <w:tcW w:w="1557" w:type="dxa"/>
            <w:tcBorders>
              <w:top w:val="nil"/>
              <w:left w:val="nil"/>
              <w:bottom w:val="single" w:sz="4" w:space="0" w:color="auto"/>
              <w:right w:val="single" w:sz="4" w:space="0" w:color="auto"/>
            </w:tcBorders>
            <w:shd w:val="clear" w:color="auto" w:fill="auto"/>
            <w:noWrap/>
            <w:vAlign w:val="center"/>
          </w:tcPr>
          <w:p w:rsidR="00061E3D" w:rsidRPr="001C06C0" w:rsidRDefault="00061E3D" w:rsidP="00205636">
            <w:pPr>
              <w:jc w:val="center"/>
              <w:rPr>
                <w:rFonts w:ascii="Arial" w:hAnsi="Arial" w:cs="Arial"/>
                <w:color w:val="000000"/>
                <w:sz w:val="18"/>
                <w:szCs w:val="18"/>
              </w:rPr>
            </w:pPr>
            <w:r w:rsidRPr="001C06C0">
              <w:rPr>
                <w:rFonts w:ascii="Arial" w:hAnsi="Arial" w:cs="Arial"/>
                <w:color w:val="000000"/>
                <w:sz w:val="18"/>
                <w:szCs w:val="18"/>
              </w:rPr>
              <w:t>7,29%</w:t>
            </w:r>
          </w:p>
        </w:tc>
        <w:tc>
          <w:tcPr>
            <w:tcW w:w="1392" w:type="dxa"/>
            <w:tcBorders>
              <w:top w:val="nil"/>
              <w:left w:val="nil"/>
              <w:bottom w:val="single" w:sz="4" w:space="0" w:color="auto"/>
              <w:right w:val="single" w:sz="4" w:space="0" w:color="auto"/>
            </w:tcBorders>
            <w:shd w:val="clear" w:color="auto" w:fill="auto"/>
            <w:noWrap/>
            <w:vAlign w:val="center"/>
          </w:tcPr>
          <w:p w:rsidR="00061E3D" w:rsidRPr="001C06C0" w:rsidRDefault="00061E3D" w:rsidP="00205636">
            <w:pPr>
              <w:jc w:val="center"/>
              <w:rPr>
                <w:rFonts w:ascii="Arial" w:hAnsi="Arial" w:cs="Arial"/>
                <w:color w:val="000000"/>
                <w:sz w:val="18"/>
                <w:szCs w:val="18"/>
              </w:rPr>
            </w:pPr>
            <w:r w:rsidRPr="001C06C0">
              <w:rPr>
                <w:rFonts w:ascii="Arial" w:hAnsi="Arial" w:cs="Arial"/>
                <w:color w:val="000000"/>
                <w:sz w:val="18"/>
                <w:szCs w:val="18"/>
              </w:rPr>
              <w:t>23 441 779,84</w:t>
            </w:r>
          </w:p>
        </w:tc>
        <w:tc>
          <w:tcPr>
            <w:tcW w:w="1588" w:type="dxa"/>
            <w:tcBorders>
              <w:top w:val="nil"/>
              <w:left w:val="nil"/>
              <w:bottom w:val="single" w:sz="4" w:space="0" w:color="auto"/>
              <w:right w:val="single" w:sz="8" w:space="0" w:color="auto"/>
            </w:tcBorders>
            <w:shd w:val="clear" w:color="auto" w:fill="auto"/>
            <w:noWrap/>
            <w:vAlign w:val="center"/>
          </w:tcPr>
          <w:p w:rsidR="00061E3D" w:rsidRPr="001C06C0" w:rsidRDefault="00061E3D" w:rsidP="00205636">
            <w:pPr>
              <w:jc w:val="center"/>
              <w:rPr>
                <w:rFonts w:ascii="Arial" w:hAnsi="Arial" w:cs="Arial"/>
                <w:color w:val="000000"/>
                <w:sz w:val="18"/>
                <w:szCs w:val="18"/>
              </w:rPr>
            </w:pPr>
            <w:r w:rsidRPr="001C06C0">
              <w:rPr>
                <w:rFonts w:ascii="Arial" w:hAnsi="Arial" w:cs="Arial"/>
                <w:color w:val="000000"/>
                <w:sz w:val="18"/>
                <w:szCs w:val="18"/>
              </w:rPr>
              <w:t>48,23%</w:t>
            </w:r>
          </w:p>
        </w:tc>
      </w:tr>
    </w:tbl>
    <w:p w:rsidR="002416B1" w:rsidRPr="006A2BF3" w:rsidRDefault="002416B1" w:rsidP="00205636">
      <w:pPr>
        <w:pStyle w:val="Zkladntextb"/>
        <w:spacing w:after="0"/>
        <w:ind w:left="0"/>
        <w:rPr>
          <w:sz w:val="18"/>
          <w:szCs w:val="18"/>
          <w:lang w:val="sk-SK"/>
        </w:rPr>
      </w:pPr>
      <w:r w:rsidRPr="006A2BF3">
        <w:rPr>
          <w:sz w:val="18"/>
          <w:szCs w:val="18"/>
          <w:lang w:val="sk-SK"/>
        </w:rPr>
        <w:t>Zdroj: CO</w:t>
      </w:r>
    </w:p>
    <w:p w:rsidR="00D70258" w:rsidRPr="00B71586" w:rsidRDefault="00D70258" w:rsidP="00507035">
      <w:pPr>
        <w:pStyle w:val="Zkladntextb"/>
        <w:spacing w:before="120" w:after="120" w:line="360" w:lineRule="auto"/>
        <w:ind w:left="0"/>
        <w:jc w:val="both"/>
        <w:rPr>
          <w:highlight w:val="yellow"/>
          <w:lang w:val="sk-SK"/>
        </w:rPr>
      </w:pPr>
      <w:r w:rsidRPr="001A40ED">
        <w:rPr>
          <w:lang w:val="sk-SK"/>
        </w:rPr>
        <w:t>V rámci prioritnej témy 85 Príprava, vykonávanie, monitorovanie a kontrola bolo k 31.12.201</w:t>
      </w:r>
      <w:r w:rsidRPr="00B71586">
        <w:rPr>
          <w:lang w:val="sk-SK"/>
        </w:rPr>
        <w:t>2</w:t>
      </w:r>
      <w:r w:rsidRPr="001A40ED">
        <w:rPr>
          <w:lang w:val="sk-SK"/>
        </w:rPr>
        <w:t xml:space="preserve"> vyčerpaných viac než </w:t>
      </w:r>
      <w:r>
        <w:rPr>
          <w:lang w:val="sk-SK"/>
        </w:rPr>
        <w:t>14</w:t>
      </w:r>
      <w:r w:rsidRPr="00B71586">
        <w:rPr>
          <w:lang w:val="sk-SK"/>
        </w:rPr>
        <w:t>,</w:t>
      </w:r>
      <w:r>
        <w:rPr>
          <w:lang w:val="sk-SK"/>
        </w:rPr>
        <w:t>9</w:t>
      </w:r>
      <w:r w:rsidRPr="001A40ED">
        <w:rPr>
          <w:lang w:val="sk-SK"/>
        </w:rPr>
        <w:t xml:space="preserve"> mil. EUR z KF, čo predstavuje </w:t>
      </w:r>
      <w:r>
        <w:rPr>
          <w:lang w:val="sk-SK"/>
        </w:rPr>
        <w:t>45,92</w:t>
      </w:r>
      <w:r w:rsidR="0065734F">
        <w:rPr>
          <w:lang w:val="sk-SK"/>
        </w:rPr>
        <w:t xml:space="preserve"> </w:t>
      </w:r>
      <w:r w:rsidRPr="001A40ED">
        <w:rPr>
          <w:lang w:val="sk-SK"/>
        </w:rPr>
        <w:t xml:space="preserve">% z alokácie na uvedenú tému, v rámci témy 86 Hodnotenie a štúdie; informácie a komunikácia sa vyčerpalo takmer </w:t>
      </w:r>
      <w:r>
        <w:rPr>
          <w:lang w:val="sk-SK"/>
        </w:rPr>
        <w:t>8,6</w:t>
      </w:r>
      <w:r w:rsidRPr="001A40ED">
        <w:rPr>
          <w:lang w:val="sk-SK"/>
        </w:rPr>
        <w:t xml:space="preserve"> mil. EUR, t.j. </w:t>
      </w:r>
      <w:r w:rsidRPr="00B71586">
        <w:rPr>
          <w:lang w:val="sk-SK"/>
        </w:rPr>
        <w:t>5</w:t>
      </w:r>
      <w:r>
        <w:rPr>
          <w:lang w:val="sk-SK"/>
        </w:rPr>
        <w:t>3</w:t>
      </w:r>
      <w:r w:rsidRPr="001A40ED">
        <w:rPr>
          <w:lang w:val="sk-SK"/>
        </w:rPr>
        <w:t>,</w:t>
      </w:r>
      <w:r>
        <w:rPr>
          <w:lang w:val="sk-SK"/>
        </w:rPr>
        <w:t>28</w:t>
      </w:r>
      <w:r w:rsidR="0065734F">
        <w:rPr>
          <w:lang w:val="sk-SK"/>
        </w:rPr>
        <w:t xml:space="preserve"> </w:t>
      </w:r>
      <w:r w:rsidRPr="00E25AEE">
        <w:rPr>
          <w:lang w:val="sk-SK"/>
        </w:rPr>
        <w:t>% z alokácie na prioritnú tému. Úroveň zazmluvnenia prioritnej osi voči alokácii na danú prioritnú os je 85,</w:t>
      </w:r>
      <w:r w:rsidRPr="00B71586">
        <w:rPr>
          <w:lang w:val="sk-SK"/>
        </w:rPr>
        <w:t>77</w:t>
      </w:r>
      <w:r w:rsidR="0065734F">
        <w:rPr>
          <w:lang w:val="sk-SK"/>
        </w:rPr>
        <w:t xml:space="preserve"> </w:t>
      </w:r>
      <w:r w:rsidRPr="00E25AEE">
        <w:rPr>
          <w:lang w:val="sk-SK"/>
        </w:rPr>
        <w:t>% a vyplatené prostriedky prijímateľom tvoria 4</w:t>
      </w:r>
      <w:r w:rsidRPr="00B71586">
        <w:rPr>
          <w:lang w:val="sk-SK"/>
        </w:rPr>
        <w:t>8</w:t>
      </w:r>
      <w:r w:rsidRPr="00E25AEE">
        <w:rPr>
          <w:lang w:val="sk-SK"/>
        </w:rPr>
        <w:t>,</w:t>
      </w:r>
      <w:r w:rsidRPr="00B71586">
        <w:rPr>
          <w:lang w:val="sk-SK"/>
        </w:rPr>
        <w:t>36</w:t>
      </w:r>
      <w:r w:rsidR="0065734F">
        <w:rPr>
          <w:lang w:val="sk-SK"/>
        </w:rPr>
        <w:t xml:space="preserve"> </w:t>
      </w:r>
      <w:r w:rsidRPr="00E25AEE">
        <w:rPr>
          <w:lang w:val="sk-SK"/>
        </w:rPr>
        <w:t>% voči celkovej alokácii na danú prioritnú os.</w:t>
      </w:r>
    </w:p>
    <w:p w:rsidR="00205636" w:rsidRDefault="00D70258" w:rsidP="00507035">
      <w:pPr>
        <w:pStyle w:val="Zkladntextb"/>
        <w:spacing w:before="120" w:after="120" w:line="360" w:lineRule="auto"/>
        <w:ind w:left="0"/>
        <w:jc w:val="both"/>
        <w:rPr>
          <w:lang w:val="sk-SK"/>
        </w:rPr>
      </w:pPr>
      <w:r w:rsidRPr="002D5096">
        <w:rPr>
          <w:lang w:val="sk-SK"/>
        </w:rPr>
        <w:t>Stav samotného čerpania ovplyvňuje viacero externých faktorov ako aj faktorov v samotnej implementácii</w:t>
      </w:r>
      <w:r w:rsidR="0038420F">
        <w:rPr>
          <w:lang w:val="sk-SK"/>
        </w:rPr>
        <w:t>, ktoré</w:t>
      </w:r>
      <w:r w:rsidRPr="002D5096">
        <w:rPr>
          <w:lang w:val="sk-SK"/>
        </w:rPr>
        <w:t xml:space="preserve"> sú podrobnejšie popísané v </w:t>
      </w:r>
      <w:r w:rsidRPr="00205084">
        <w:rPr>
          <w:lang w:val="sk-SK"/>
        </w:rPr>
        <w:t>kapitole 2.1.2 Finančná implementácia operačného</w:t>
      </w:r>
      <w:r w:rsidRPr="002D5096">
        <w:rPr>
          <w:lang w:val="sk-SK"/>
        </w:rPr>
        <w:t xml:space="preserve"> programu, </w:t>
      </w:r>
      <w:r w:rsidR="0038420F">
        <w:rPr>
          <w:lang w:val="sk-SK"/>
        </w:rPr>
        <w:t>vrátane</w:t>
      </w:r>
      <w:r w:rsidRPr="002D5096">
        <w:rPr>
          <w:lang w:val="sk-SK"/>
        </w:rPr>
        <w:t> uveden</w:t>
      </w:r>
      <w:r w:rsidR="0038420F">
        <w:rPr>
          <w:lang w:val="sk-SK"/>
        </w:rPr>
        <w:t>ia</w:t>
      </w:r>
      <w:r w:rsidRPr="002D5096">
        <w:rPr>
          <w:lang w:val="sk-SK"/>
        </w:rPr>
        <w:t xml:space="preserve"> </w:t>
      </w:r>
      <w:r w:rsidR="0038420F">
        <w:rPr>
          <w:lang w:val="sk-SK"/>
        </w:rPr>
        <w:t>p</w:t>
      </w:r>
      <w:r w:rsidRPr="002D5096">
        <w:rPr>
          <w:lang w:val="sk-SK"/>
        </w:rPr>
        <w:t>orovnania skutočného a plánovaného čerpania od 01.01.201</w:t>
      </w:r>
      <w:r>
        <w:rPr>
          <w:lang w:val="sk-SK"/>
        </w:rPr>
        <w:t>2</w:t>
      </w:r>
      <w:r w:rsidRPr="002D5096">
        <w:rPr>
          <w:lang w:val="sk-SK"/>
        </w:rPr>
        <w:t xml:space="preserve"> do 31.12.201</w:t>
      </w:r>
      <w:r>
        <w:rPr>
          <w:lang w:val="sk-SK"/>
        </w:rPr>
        <w:t>2</w:t>
      </w:r>
      <w:r w:rsidRPr="002D5096">
        <w:rPr>
          <w:lang w:val="sk-SK"/>
        </w:rPr>
        <w:t xml:space="preserve"> spolu za program</w:t>
      </w:r>
      <w:r w:rsidR="0038420F">
        <w:rPr>
          <w:lang w:val="sk-SK"/>
        </w:rPr>
        <w:t xml:space="preserve">. </w:t>
      </w:r>
      <w:r w:rsidR="002416B1" w:rsidRPr="004B33AE">
        <w:rPr>
          <w:lang w:val="sk-SK"/>
        </w:rPr>
        <w:t>Podrobnejší prehľad využitia prostriedkov technickej pomoci podľa prioritných činností k 31.12.201</w:t>
      </w:r>
      <w:r w:rsidR="00062BCC">
        <w:rPr>
          <w:lang w:val="sk-SK"/>
        </w:rPr>
        <w:t>2</w:t>
      </w:r>
      <w:r w:rsidR="002416B1" w:rsidRPr="004B33AE">
        <w:rPr>
          <w:lang w:val="sk-SK"/>
        </w:rPr>
        <w:t xml:space="preserve"> je uvedený v časti 6. správy.</w:t>
      </w:r>
    </w:p>
    <w:p w:rsidR="00205636" w:rsidRDefault="00205636">
      <w:pPr>
        <w:rPr>
          <w:rFonts w:ascii="Arial" w:hAnsi="Arial"/>
          <w:sz w:val="20"/>
          <w:szCs w:val="20"/>
        </w:rPr>
      </w:pPr>
    </w:p>
    <w:p w:rsidR="002416B1" w:rsidRPr="004B33AE" w:rsidRDefault="002416B1" w:rsidP="00507035">
      <w:pPr>
        <w:pStyle w:val="Nadpis3"/>
        <w:spacing w:before="120" w:after="120"/>
      </w:pPr>
      <w:bookmarkStart w:id="104" w:name="_Toc319573337"/>
      <w:r w:rsidRPr="004B33AE">
        <w:t>3.6.2 Závažné problémy, ktoré sa vyskytli a opatrenia prijaté na ich prekonanie</w:t>
      </w:r>
      <w:bookmarkEnd w:id="104"/>
    </w:p>
    <w:p w:rsidR="001540E7" w:rsidRDefault="001540E7" w:rsidP="00507035">
      <w:pPr>
        <w:spacing w:before="120" w:after="120" w:line="360" w:lineRule="auto"/>
        <w:jc w:val="both"/>
        <w:rPr>
          <w:rFonts w:ascii="Arial" w:hAnsi="Arial"/>
          <w:sz w:val="20"/>
          <w:szCs w:val="20"/>
        </w:rPr>
      </w:pPr>
    </w:p>
    <w:p w:rsidR="00DC4E72" w:rsidRPr="00DC4E72" w:rsidRDefault="008953FA" w:rsidP="00507035">
      <w:pPr>
        <w:spacing w:before="120" w:after="120" w:line="360" w:lineRule="auto"/>
        <w:jc w:val="both"/>
        <w:rPr>
          <w:rFonts w:ascii="Arial" w:hAnsi="Arial"/>
          <w:sz w:val="20"/>
          <w:szCs w:val="20"/>
        </w:rPr>
      </w:pPr>
      <w:r>
        <w:rPr>
          <w:rFonts w:ascii="Arial" w:hAnsi="Arial"/>
          <w:sz w:val="20"/>
          <w:szCs w:val="20"/>
        </w:rPr>
        <w:t>Implementáciu PO 6 ovplyvnilo v roku 2012 niekoľko faktorov.</w:t>
      </w:r>
      <w:r w:rsidR="001540E7">
        <w:rPr>
          <w:rFonts w:ascii="Arial" w:hAnsi="Arial"/>
          <w:sz w:val="20"/>
          <w:szCs w:val="20"/>
        </w:rPr>
        <w:t xml:space="preserve"> </w:t>
      </w:r>
      <w:r w:rsidR="00DC4E72" w:rsidRPr="00DC4E72">
        <w:rPr>
          <w:rFonts w:ascii="Arial" w:hAnsi="Arial"/>
          <w:sz w:val="20"/>
          <w:szCs w:val="20"/>
        </w:rPr>
        <w:t>Čerpanie finančných prostriedkov na projekte technickej pomoci „Modernizácia techniky, služieb IKT a materiálno-technické zabezpečenie riadenia a implementácie OP ŽP“ je za rok 2012 cca 3,8</w:t>
      </w:r>
      <w:r w:rsidR="0065734F">
        <w:rPr>
          <w:rFonts w:ascii="Arial" w:hAnsi="Arial"/>
          <w:sz w:val="20"/>
          <w:szCs w:val="20"/>
        </w:rPr>
        <w:t xml:space="preserve"> </w:t>
      </w:r>
      <w:r w:rsidR="00DC4E72" w:rsidRPr="00DC4E72">
        <w:rPr>
          <w:rFonts w:ascii="Arial" w:hAnsi="Arial"/>
          <w:sz w:val="20"/>
          <w:szCs w:val="20"/>
        </w:rPr>
        <w:t>%. Tento stav je zapríčinený nezrealizovaným verejným obstarávaním. O</w:t>
      </w:r>
      <w:r>
        <w:rPr>
          <w:rFonts w:ascii="Arial" w:hAnsi="Arial"/>
          <w:sz w:val="20"/>
          <w:szCs w:val="20"/>
        </w:rPr>
        <w:t>dbor technickej pomoci v rámci RO</w:t>
      </w:r>
      <w:r w:rsidR="00DC4E72" w:rsidRPr="00DC4E72">
        <w:rPr>
          <w:rFonts w:ascii="Arial" w:hAnsi="Arial"/>
          <w:sz w:val="20"/>
          <w:szCs w:val="20"/>
        </w:rPr>
        <w:t xml:space="preserve"> v priebehu roku 2012 pripravil niekoľko verzií podkladov k verejnému obstarávaniu (opis predmetu zákazky, špecifikácia), no k vyhláseniu súťaže nedošlo. Relevantným opatrením je vyhlásiť verejné obstarávanie na dodanie tovarov a služieb v uvedenej oblasti.</w:t>
      </w:r>
    </w:p>
    <w:p w:rsidR="00DC4E72" w:rsidRPr="00DC4E72" w:rsidRDefault="00DC4E72" w:rsidP="00507035">
      <w:pPr>
        <w:spacing w:before="120" w:after="120" w:line="360" w:lineRule="auto"/>
        <w:jc w:val="both"/>
        <w:rPr>
          <w:rFonts w:ascii="Arial" w:hAnsi="Arial"/>
          <w:sz w:val="20"/>
          <w:szCs w:val="20"/>
        </w:rPr>
      </w:pPr>
      <w:r w:rsidRPr="00DC4E72">
        <w:rPr>
          <w:rFonts w:ascii="Arial" w:hAnsi="Arial"/>
          <w:sz w:val="20"/>
          <w:szCs w:val="20"/>
        </w:rPr>
        <w:t>Došlo k pozastaveniu účasti zamestnancov RO na školeniach z dôvodu nezrealizovaného verejného obstarávania na prepravu zamestnancov a zároveň neexistuje koncepcia pre efektívny proces vzdelávania, hodnotenia a odmeňovania zamestnancov. OTP vypracoval a predložil Koncepciu na riešenie uvedenej situácie. Relevantným opatrením je vykonať verejné obstarávanie na prepravu zamestnancov na vybrané školenia a tiež verejné obstarávanie na dodanie Koncepcie.</w:t>
      </w:r>
    </w:p>
    <w:p w:rsidR="00DC4E72" w:rsidRPr="00DC4E72" w:rsidRDefault="00DC4E72" w:rsidP="00507035">
      <w:pPr>
        <w:spacing w:before="120" w:after="120" w:line="360" w:lineRule="auto"/>
        <w:jc w:val="both"/>
        <w:rPr>
          <w:rFonts w:ascii="Arial" w:hAnsi="Arial"/>
          <w:sz w:val="20"/>
          <w:szCs w:val="20"/>
        </w:rPr>
      </w:pPr>
      <w:r w:rsidRPr="00DC4E72">
        <w:rPr>
          <w:rFonts w:ascii="Arial" w:hAnsi="Arial"/>
          <w:sz w:val="20"/>
          <w:szCs w:val="20"/>
        </w:rPr>
        <w:t>Plán verejných obstarávaní nebol realizovaný v priebehu rokov 2011</w:t>
      </w:r>
      <w:r w:rsidR="008953FA">
        <w:rPr>
          <w:rFonts w:ascii="Arial" w:hAnsi="Arial"/>
          <w:sz w:val="20"/>
          <w:szCs w:val="20"/>
        </w:rPr>
        <w:t xml:space="preserve"> </w:t>
      </w:r>
      <w:r w:rsidRPr="00DC4E72">
        <w:rPr>
          <w:rFonts w:ascii="Arial" w:hAnsi="Arial"/>
          <w:sz w:val="20"/>
          <w:szCs w:val="20"/>
        </w:rPr>
        <w:t>-</w:t>
      </w:r>
      <w:r w:rsidR="008953FA">
        <w:rPr>
          <w:rFonts w:ascii="Arial" w:hAnsi="Arial"/>
          <w:sz w:val="20"/>
          <w:szCs w:val="20"/>
        </w:rPr>
        <w:t xml:space="preserve"> </w:t>
      </w:r>
      <w:r w:rsidRPr="00DC4E72">
        <w:rPr>
          <w:rFonts w:ascii="Arial" w:hAnsi="Arial"/>
          <w:sz w:val="20"/>
          <w:szCs w:val="20"/>
        </w:rPr>
        <w:t>2012, čo ohrozuje plynulú implementáciu OP ŽP, týka sa to aj oblasti obstarania hodnotenia (ex-ante pre prípravu ďalšieho programového obdobia, priebežné hodnotenia OP ŽP, záverečné hodnotenie OP ŽP), technické vybavenie, vzdelávanie, propagácia OP ŽP atď. Relevantným opatrením je schváliť a zrealizovať plán verejných obstarávaní na rok 2013.</w:t>
      </w:r>
    </w:p>
    <w:p w:rsidR="00DC4E72" w:rsidRPr="00DC4E72" w:rsidRDefault="00DC4E72" w:rsidP="00507035">
      <w:pPr>
        <w:spacing w:before="120" w:after="120" w:line="360" w:lineRule="auto"/>
        <w:jc w:val="both"/>
        <w:rPr>
          <w:rFonts w:ascii="Arial" w:hAnsi="Arial"/>
          <w:sz w:val="20"/>
          <w:szCs w:val="20"/>
        </w:rPr>
      </w:pPr>
      <w:r w:rsidRPr="00DC4E72">
        <w:rPr>
          <w:rFonts w:ascii="Arial" w:hAnsi="Arial"/>
          <w:sz w:val="20"/>
          <w:szCs w:val="20"/>
        </w:rPr>
        <w:t>Zistenia z auditov poukazujú na nezabezpečenie systému archívu, registratúrneho systému v zmysle pravidiel na technické priestory. Vedeniu MŽP SR bol predložený v roku 2010, 2011 aj v roku 2012 popis problémových oblastí, ktoré ovplyvňujú pracovné podmienky zamestnancov RO a majú negatívny dopad na prioritnú os č.</w:t>
      </w:r>
      <w:r w:rsidR="008953FA">
        <w:rPr>
          <w:rFonts w:ascii="Arial" w:hAnsi="Arial"/>
          <w:sz w:val="20"/>
          <w:szCs w:val="20"/>
        </w:rPr>
        <w:t xml:space="preserve"> </w:t>
      </w:r>
      <w:r w:rsidRPr="00DC4E72">
        <w:rPr>
          <w:rFonts w:ascii="Arial" w:hAnsi="Arial"/>
          <w:sz w:val="20"/>
          <w:szCs w:val="20"/>
        </w:rPr>
        <w:t xml:space="preserve">6 spolu  s návrhom riešenia a systémom financovania. </w:t>
      </w:r>
    </w:p>
    <w:p w:rsidR="00DC4E72" w:rsidRPr="00DC4E72" w:rsidRDefault="00DC4E72" w:rsidP="00507035">
      <w:pPr>
        <w:spacing w:before="120" w:after="120" w:line="360" w:lineRule="auto"/>
        <w:jc w:val="both"/>
        <w:rPr>
          <w:rFonts w:ascii="Arial" w:hAnsi="Arial"/>
          <w:sz w:val="20"/>
          <w:szCs w:val="20"/>
        </w:rPr>
      </w:pPr>
      <w:r w:rsidRPr="00DC4E72">
        <w:rPr>
          <w:rFonts w:ascii="Arial" w:hAnsi="Arial"/>
          <w:sz w:val="20"/>
          <w:szCs w:val="20"/>
        </w:rPr>
        <w:t>Zo strany EK bola vznesená požiadavka na overenie oprávnenosti výdavkov, na základe ktorej RO  v roku 2012 vykonal spätné overenie v období do 16.11.2011.</w:t>
      </w:r>
    </w:p>
    <w:p w:rsidR="002416B1" w:rsidRPr="004B33AE" w:rsidRDefault="002416B1" w:rsidP="00507035">
      <w:pPr>
        <w:spacing w:before="120" w:after="120" w:line="360" w:lineRule="auto"/>
        <w:jc w:val="both"/>
        <w:rPr>
          <w:rFonts w:ascii="Arial" w:hAnsi="Arial" w:cs="Arial"/>
          <w:sz w:val="20"/>
          <w:szCs w:val="20"/>
        </w:rPr>
      </w:pPr>
      <w:r>
        <w:rPr>
          <w:rFonts w:ascii="Arial" w:hAnsi="Arial" w:cs="Arial"/>
          <w:sz w:val="20"/>
          <w:szCs w:val="20"/>
        </w:rPr>
        <w:t xml:space="preserve">Tab. č. </w:t>
      </w:r>
      <w:r w:rsidR="00254D6C">
        <w:rPr>
          <w:rFonts w:ascii="Arial" w:hAnsi="Arial" w:cs="Arial"/>
          <w:sz w:val="20"/>
          <w:szCs w:val="20"/>
        </w:rPr>
        <w:t>61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22"/>
        <w:gridCol w:w="2726"/>
        <w:gridCol w:w="2738"/>
      </w:tblGrid>
      <w:tr w:rsidR="00536040" w:rsidRPr="00536040" w:rsidTr="00536040">
        <w:trPr>
          <w:trHeight w:val="420"/>
        </w:trPr>
        <w:tc>
          <w:tcPr>
            <w:tcW w:w="6912" w:type="dxa"/>
            <w:shd w:val="clear" w:color="auto" w:fill="D6E3BC"/>
            <w:vAlign w:val="center"/>
          </w:tcPr>
          <w:p w:rsidR="00DC4E72" w:rsidRPr="00536040" w:rsidRDefault="00DC4E72" w:rsidP="00507035">
            <w:pPr>
              <w:spacing w:before="120" w:after="120"/>
              <w:jc w:val="both"/>
              <w:rPr>
                <w:rFonts w:ascii="Arial" w:eastAsia="Calibri" w:hAnsi="Arial" w:cs="Arial"/>
                <w:b/>
                <w:sz w:val="18"/>
                <w:szCs w:val="18"/>
                <w:lang w:eastAsia="en-US"/>
              </w:rPr>
            </w:pPr>
            <w:bookmarkStart w:id="105" w:name="_Toc319573338"/>
            <w:r w:rsidRPr="00536040">
              <w:rPr>
                <w:rFonts w:ascii="Arial" w:eastAsia="Calibri" w:hAnsi="Arial" w:cs="Arial"/>
                <w:b/>
                <w:sz w:val="18"/>
                <w:szCs w:val="18"/>
                <w:lang w:eastAsia="en-US"/>
              </w:rPr>
              <w:t>Identifikované problémy</w:t>
            </w:r>
          </w:p>
        </w:tc>
        <w:tc>
          <w:tcPr>
            <w:tcW w:w="4536" w:type="dxa"/>
            <w:shd w:val="clear" w:color="auto" w:fill="D6E3BC"/>
            <w:vAlign w:val="center"/>
          </w:tcPr>
          <w:p w:rsidR="00DC4E72" w:rsidRPr="00536040" w:rsidRDefault="00DC4E72" w:rsidP="00507035">
            <w:pPr>
              <w:spacing w:before="120" w:after="120"/>
              <w:jc w:val="both"/>
              <w:rPr>
                <w:rFonts w:ascii="Arial" w:eastAsia="Calibri" w:hAnsi="Arial" w:cs="Arial"/>
                <w:b/>
                <w:sz w:val="18"/>
                <w:szCs w:val="18"/>
                <w:lang w:eastAsia="en-US"/>
              </w:rPr>
            </w:pPr>
            <w:r w:rsidRPr="00536040">
              <w:rPr>
                <w:rFonts w:ascii="Arial" w:eastAsia="Calibri" w:hAnsi="Arial" w:cs="Arial"/>
                <w:b/>
                <w:sz w:val="18"/>
                <w:szCs w:val="18"/>
                <w:lang w:eastAsia="en-US"/>
              </w:rPr>
              <w:t xml:space="preserve">Prijaté opatrenia </w:t>
            </w:r>
          </w:p>
        </w:tc>
        <w:tc>
          <w:tcPr>
            <w:tcW w:w="4394" w:type="dxa"/>
            <w:shd w:val="clear" w:color="auto" w:fill="D6E3BC"/>
            <w:vAlign w:val="center"/>
          </w:tcPr>
          <w:p w:rsidR="00DC4E72" w:rsidRPr="00536040" w:rsidRDefault="00DC4E72" w:rsidP="00507035">
            <w:pPr>
              <w:spacing w:before="120" w:after="120"/>
              <w:jc w:val="both"/>
              <w:rPr>
                <w:rFonts w:ascii="Arial" w:eastAsia="Calibri" w:hAnsi="Arial" w:cs="Arial"/>
                <w:b/>
                <w:sz w:val="18"/>
                <w:szCs w:val="18"/>
                <w:lang w:eastAsia="en-US"/>
              </w:rPr>
            </w:pPr>
            <w:r w:rsidRPr="00536040">
              <w:rPr>
                <w:rFonts w:ascii="Arial" w:eastAsia="Calibri" w:hAnsi="Arial" w:cs="Arial"/>
                <w:b/>
                <w:sz w:val="18"/>
                <w:szCs w:val="18"/>
                <w:lang w:eastAsia="en-US"/>
              </w:rPr>
              <w:t>Odpočet prijatých opatrení</w:t>
            </w:r>
          </w:p>
        </w:tc>
      </w:tr>
      <w:tr w:rsidR="00536040" w:rsidRPr="00536040" w:rsidTr="00536040">
        <w:tc>
          <w:tcPr>
            <w:tcW w:w="6912" w:type="dxa"/>
            <w:shd w:val="clear" w:color="auto" w:fill="auto"/>
            <w:vAlign w:val="center"/>
          </w:tcPr>
          <w:p w:rsidR="00DC4E72" w:rsidRPr="009D50F6" w:rsidRDefault="009D50F6" w:rsidP="009D50F6">
            <w:pPr>
              <w:spacing w:before="120" w:after="120"/>
              <w:jc w:val="both"/>
              <w:rPr>
                <w:rFonts w:ascii="Arial" w:eastAsia="Calibri" w:hAnsi="Arial" w:cs="Arial"/>
                <w:sz w:val="18"/>
                <w:szCs w:val="18"/>
              </w:rPr>
            </w:pPr>
            <w:r w:rsidRPr="009D50F6">
              <w:rPr>
                <w:rFonts w:ascii="Arial" w:eastAsia="Calibri" w:hAnsi="Arial" w:cs="Arial"/>
                <w:b/>
                <w:sz w:val="18"/>
                <w:szCs w:val="18"/>
              </w:rPr>
              <w:t>1)</w:t>
            </w:r>
            <w:r>
              <w:rPr>
                <w:rFonts w:ascii="Arial" w:eastAsia="Calibri" w:hAnsi="Arial" w:cs="Arial"/>
                <w:sz w:val="18"/>
                <w:szCs w:val="18"/>
              </w:rPr>
              <w:t> </w:t>
            </w:r>
            <w:r w:rsidR="00DC4E72" w:rsidRPr="009D50F6">
              <w:rPr>
                <w:rFonts w:ascii="Arial" w:eastAsia="Calibri" w:hAnsi="Arial" w:cs="Arial"/>
                <w:sz w:val="18"/>
                <w:szCs w:val="18"/>
              </w:rPr>
              <w:t>Plány verejných obstarávaní, pripravované pre odbor verejného obstarávania a prevádzky (ďalej len „OVOaP“) boli vypracované v súlade s internými predpismi rezortu, a na základe aktuálnych potrieb sekcie environmentálnych programov a projektov (ďalej len „SEPP“). Predložené plány verejného obstarávania pre roky 2011, 2012 a 2013 prakticky tri roky kopírujú rovnaké požiadavky na obstaranie zákaziek s nízkou hodnotou, podprahových, podlimitných a nadlimitných zákaziek. 90 % predmetných zákaziek nebola obstaraná. SEPP je v situácii, kedy je priamo ohrozená implementácia Operačného programu Životné prostredie (ďalej len „OP ŽP“). Neobstarané tovary a služby: hodnotenia, analýzy, technické zabezpečenie - výpočtová technika, kancelárske potreby v celom rozsahu, kancelársky a archivačný nábytok, dopravné služby do zahraničia, tlmočenie a preklady, služby spojené s vozovým parkom, mobilná komunikácia a vzdelávanie.</w:t>
            </w:r>
          </w:p>
          <w:p w:rsidR="009D50F6" w:rsidRDefault="009D50F6" w:rsidP="009D50F6">
            <w:pPr>
              <w:pStyle w:val="Odsekzoznamu"/>
              <w:spacing w:before="120" w:after="120"/>
              <w:ind w:left="915"/>
              <w:jc w:val="both"/>
              <w:rPr>
                <w:rFonts w:ascii="Arial" w:eastAsia="Calibri" w:hAnsi="Arial" w:cs="Arial"/>
                <w:sz w:val="18"/>
                <w:szCs w:val="18"/>
              </w:rPr>
            </w:pPr>
          </w:p>
          <w:p w:rsidR="009D50F6" w:rsidRDefault="009D50F6" w:rsidP="009D50F6">
            <w:pPr>
              <w:pStyle w:val="Odsekzoznamu"/>
              <w:spacing w:before="120" w:after="120"/>
              <w:ind w:left="915"/>
              <w:jc w:val="both"/>
              <w:rPr>
                <w:rFonts w:ascii="Arial" w:eastAsia="Calibri" w:hAnsi="Arial" w:cs="Arial"/>
                <w:sz w:val="18"/>
                <w:szCs w:val="18"/>
              </w:rPr>
            </w:pPr>
          </w:p>
          <w:p w:rsidR="009D50F6" w:rsidRPr="009D50F6" w:rsidRDefault="009D50F6" w:rsidP="009D50F6">
            <w:pPr>
              <w:pStyle w:val="Odsekzoznamu"/>
              <w:spacing w:before="120" w:after="120"/>
              <w:ind w:left="915"/>
              <w:jc w:val="both"/>
              <w:rPr>
                <w:rFonts w:ascii="Arial" w:eastAsia="Calibri" w:hAnsi="Arial" w:cs="Arial"/>
                <w:sz w:val="18"/>
                <w:szCs w:val="18"/>
              </w:rPr>
            </w:pPr>
          </w:p>
          <w:p w:rsidR="00DC4E72" w:rsidRPr="00536040" w:rsidRDefault="00DC4E72" w:rsidP="00507035">
            <w:pPr>
              <w:spacing w:before="120" w:after="120"/>
              <w:jc w:val="both"/>
              <w:rPr>
                <w:rFonts w:ascii="Arial" w:eastAsia="Calibri" w:hAnsi="Arial" w:cs="Arial"/>
                <w:sz w:val="18"/>
                <w:szCs w:val="18"/>
                <w:lang w:eastAsia="en-US"/>
              </w:rPr>
            </w:pPr>
            <w:r w:rsidRPr="00536040">
              <w:rPr>
                <w:rFonts w:ascii="Arial" w:eastAsia="Calibri" w:hAnsi="Arial" w:cs="Arial"/>
                <w:b/>
                <w:sz w:val="18"/>
                <w:szCs w:val="18"/>
                <w:lang w:eastAsia="en-US"/>
              </w:rPr>
              <w:t xml:space="preserve">2) </w:t>
            </w:r>
            <w:r w:rsidRPr="00536040">
              <w:rPr>
                <w:rFonts w:ascii="Arial" w:eastAsia="Calibri" w:hAnsi="Arial" w:cs="Arial"/>
                <w:sz w:val="18"/>
                <w:szCs w:val="18"/>
                <w:lang w:eastAsia="en-US"/>
              </w:rPr>
              <w:t>V roku 2012 bolo pre potreby SEPP vyhlásené jedno verejné obstarávanie na kancelárske počítače, s hodnotou nad 9 999 EUR bez DPH. Pri príprave podprahovej zákazky na nákup kancelárskych počítačov pre MŽP SR, bola podstatná časť procesov zabezpečovaná zamestnancami odboru technickej pomoci.</w:t>
            </w:r>
          </w:p>
          <w:p w:rsidR="00DC4E72" w:rsidRDefault="00DC4E72" w:rsidP="00307BED">
            <w:pPr>
              <w:spacing w:before="120" w:after="240"/>
              <w:jc w:val="both"/>
              <w:rPr>
                <w:rFonts w:ascii="Arial" w:eastAsia="Calibri" w:hAnsi="Arial" w:cs="Arial"/>
                <w:b/>
                <w:sz w:val="18"/>
                <w:szCs w:val="18"/>
                <w:lang w:eastAsia="en-US"/>
              </w:rPr>
            </w:pPr>
          </w:p>
          <w:p w:rsidR="00992100" w:rsidRPr="00536040" w:rsidRDefault="00992100" w:rsidP="00307BED">
            <w:pPr>
              <w:spacing w:before="120" w:after="240"/>
              <w:jc w:val="both"/>
              <w:rPr>
                <w:rFonts w:ascii="Arial" w:eastAsia="Calibri" w:hAnsi="Arial" w:cs="Arial"/>
                <w:b/>
                <w:sz w:val="18"/>
                <w:szCs w:val="18"/>
                <w:lang w:eastAsia="en-US"/>
              </w:rPr>
            </w:pPr>
          </w:p>
          <w:p w:rsidR="00DC4E72" w:rsidRPr="00536040" w:rsidRDefault="00DC4E72" w:rsidP="00507035">
            <w:pPr>
              <w:spacing w:before="120" w:after="120"/>
              <w:jc w:val="both"/>
              <w:rPr>
                <w:rFonts w:ascii="Arial" w:eastAsia="Calibri" w:hAnsi="Arial" w:cs="Arial"/>
                <w:sz w:val="18"/>
                <w:szCs w:val="18"/>
                <w:lang w:eastAsia="en-US"/>
              </w:rPr>
            </w:pPr>
            <w:r w:rsidRPr="00536040">
              <w:rPr>
                <w:rFonts w:ascii="Arial" w:eastAsia="Calibri" w:hAnsi="Arial" w:cs="Arial"/>
                <w:b/>
                <w:sz w:val="18"/>
                <w:szCs w:val="18"/>
                <w:lang w:eastAsia="en-US"/>
              </w:rPr>
              <w:t>3)</w:t>
            </w:r>
            <w:r w:rsidRPr="00536040">
              <w:rPr>
                <w:rFonts w:ascii="Arial" w:eastAsia="Calibri" w:hAnsi="Arial" w:cs="Arial"/>
                <w:sz w:val="18"/>
                <w:szCs w:val="18"/>
                <w:lang w:eastAsia="en-US"/>
              </w:rPr>
              <w:t xml:space="preserve"> Na OVOaP nie je/nebola do dnešného dňa zamestnaná ani jedna odborne spôsobilá osoba na verejné obstarávanie, pričom verejné obstarávanie na predmet zákazky „Komplexná optimalizácia procesov verejného obstarávania“ bola vyhlásená až 8.11.2012</w:t>
            </w:r>
          </w:p>
          <w:p w:rsidR="00DC4E72" w:rsidRPr="00536040" w:rsidRDefault="00DC4E72" w:rsidP="00507035">
            <w:pPr>
              <w:spacing w:before="120" w:after="120"/>
              <w:jc w:val="both"/>
              <w:rPr>
                <w:rFonts w:ascii="Arial" w:eastAsia="Calibri" w:hAnsi="Arial" w:cs="Arial"/>
                <w:sz w:val="18"/>
                <w:szCs w:val="18"/>
                <w:lang w:eastAsia="en-US"/>
              </w:rPr>
            </w:pPr>
          </w:p>
          <w:p w:rsidR="00DC4E72" w:rsidRPr="00536040" w:rsidRDefault="00DC4E72" w:rsidP="00507035">
            <w:pPr>
              <w:spacing w:before="120" w:after="120"/>
              <w:jc w:val="both"/>
              <w:rPr>
                <w:rFonts w:ascii="Arial" w:eastAsia="Calibri" w:hAnsi="Arial" w:cs="Arial"/>
                <w:sz w:val="18"/>
                <w:szCs w:val="18"/>
                <w:lang w:eastAsia="en-US"/>
              </w:rPr>
            </w:pPr>
          </w:p>
          <w:p w:rsidR="00DC4E72" w:rsidRPr="00536040" w:rsidRDefault="00DC4E72" w:rsidP="00507035">
            <w:pPr>
              <w:spacing w:before="120" w:after="120"/>
              <w:jc w:val="both"/>
              <w:rPr>
                <w:rFonts w:ascii="Arial" w:eastAsia="Calibri" w:hAnsi="Arial" w:cs="Arial"/>
                <w:sz w:val="18"/>
                <w:szCs w:val="18"/>
                <w:lang w:eastAsia="en-US"/>
              </w:rPr>
            </w:pPr>
          </w:p>
          <w:p w:rsidR="00DC4E72" w:rsidRPr="00536040" w:rsidRDefault="00DC4E72" w:rsidP="00507035">
            <w:pPr>
              <w:spacing w:before="120" w:after="120"/>
              <w:jc w:val="both"/>
              <w:rPr>
                <w:rFonts w:ascii="Arial" w:eastAsia="Calibri" w:hAnsi="Arial" w:cs="Arial"/>
                <w:sz w:val="18"/>
                <w:szCs w:val="18"/>
                <w:lang w:eastAsia="en-US"/>
              </w:rPr>
            </w:pPr>
          </w:p>
          <w:p w:rsidR="00DC4E72" w:rsidRPr="00536040" w:rsidRDefault="00DC4E72" w:rsidP="00507035">
            <w:pPr>
              <w:spacing w:before="120" w:after="120"/>
              <w:jc w:val="both"/>
              <w:rPr>
                <w:rFonts w:ascii="Arial" w:eastAsia="Calibri" w:hAnsi="Arial" w:cs="Arial"/>
                <w:b/>
                <w:sz w:val="18"/>
                <w:szCs w:val="18"/>
                <w:lang w:eastAsia="en-US"/>
              </w:rPr>
            </w:pPr>
          </w:p>
          <w:p w:rsidR="00DC4E72" w:rsidRPr="00536040" w:rsidRDefault="00DC4E72" w:rsidP="00507035">
            <w:pPr>
              <w:spacing w:before="120" w:after="120"/>
              <w:jc w:val="both"/>
              <w:rPr>
                <w:rFonts w:ascii="Arial" w:eastAsia="Calibri" w:hAnsi="Arial" w:cs="Arial"/>
                <w:sz w:val="18"/>
                <w:szCs w:val="18"/>
                <w:lang w:eastAsia="en-US"/>
              </w:rPr>
            </w:pPr>
            <w:r w:rsidRPr="00536040">
              <w:rPr>
                <w:rFonts w:ascii="Arial" w:eastAsia="Calibri" w:hAnsi="Arial" w:cs="Arial"/>
                <w:b/>
                <w:sz w:val="18"/>
                <w:szCs w:val="18"/>
                <w:lang w:eastAsia="en-US"/>
              </w:rPr>
              <w:t>4)</w:t>
            </w:r>
            <w:r w:rsidRPr="00536040">
              <w:rPr>
                <w:rFonts w:ascii="Arial" w:eastAsia="Calibri" w:hAnsi="Arial" w:cs="Arial"/>
                <w:sz w:val="18"/>
                <w:szCs w:val="18"/>
                <w:lang w:eastAsia="en-US"/>
              </w:rPr>
              <w:t xml:space="preserve"> Pri obstarávaní jazykového vzdelávania pre zamestnancov MŽP SR boli súťažné podklady a oznámenie o vyhlásení verejného obstarávania schválené ex-ante kontrolou prijímateľa – Riadiacim orgánom </w:t>
            </w:r>
            <w:r w:rsidR="00305160">
              <w:rPr>
                <w:rFonts w:ascii="Arial" w:eastAsia="Calibri" w:hAnsi="Arial" w:cs="Arial"/>
                <w:sz w:val="18"/>
                <w:szCs w:val="18"/>
                <w:lang w:eastAsia="en-US"/>
              </w:rPr>
              <w:t>OP ŽP</w:t>
            </w:r>
            <w:r w:rsidR="000236A4">
              <w:rPr>
                <w:rFonts w:ascii="Arial" w:eastAsia="Calibri" w:hAnsi="Arial" w:cs="Arial"/>
                <w:sz w:val="18"/>
                <w:szCs w:val="18"/>
                <w:lang w:eastAsia="en-US"/>
              </w:rPr>
              <w:t>OP ŽP</w:t>
            </w:r>
            <w:r w:rsidRPr="00536040">
              <w:rPr>
                <w:rFonts w:ascii="Arial" w:eastAsia="Calibri" w:hAnsi="Arial" w:cs="Arial"/>
                <w:sz w:val="18"/>
                <w:szCs w:val="18"/>
                <w:lang w:eastAsia="en-US"/>
              </w:rPr>
              <w:t>.    Súťaž nebola vyhlásená</w:t>
            </w:r>
          </w:p>
          <w:p w:rsidR="00DC4E72" w:rsidRPr="00536040" w:rsidRDefault="00DC4E72" w:rsidP="00507035">
            <w:pPr>
              <w:spacing w:before="120" w:after="120"/>
              <w:jc w:val="both"/>
              <w:rPr>
                <w:rFonts w:ascii="Arial" w:eastAsia="Calibri" w:hAnsi="Arial" w:cs="Arial"/>
                <w:b/>
                <w:sz w:val="18"/>
                <w:szCs w:val="18"/>
                <w:lang w:eastAsia="en-US"/>
              </w:rPr>
            </w:pPr>
          </w:p>
          <w:p w:rsidR="00DC4E72" w:rsidRPr="00536040" w:rsidRDefault="00DC4E72" w:rsidP="00507035">
            <w:pPr>
              <w:spacing w:before="120" w:after="120"/>
              <w:jc w:val="both"/>
              <w:rPr>
                <w:rFonts w:ascii="Arial" w:eastAsia="Calibri" w:hAnsi="Arial" w:cs="Arial"/>
                <w:sz w:val="18"/>
                <w:szCs w:val="18"/>
                <w:lang w:eastAsia="en-US"/>
              </w:rPr>
            </w:pPr>
            <w:r w:rsidRPr="00536040">
              <w:rPr>
                <w:rFonts w:ascii="Arial" w:eastAsia="Calibri" w:hAnsi="Arial" w:cs="Arial"/>
                <w:b/>
                <w:sz w:val="18"/>
                <w:szCs w:val="18"/>
                <w:lang w:eastAsia="en-US"/>
              </w:rPr>
              <w:t xml:space="preserve">5) </w:t>
            </w:r>
            <w:r w:rsidRPr="00536040">
              <w:rPr>
                <w:rFonts w:ascii="Arial" w:eastAsia="Calibri" w:hAnsi="Arial" w:cs="Arial"/>
                <w:sz w:val="18"/>
                <w:szCs w:val="18"/>
                <w:lang w:eastAsia="en-US"/>
              </w:rPr>
              <w:t>Vzhľadom na</w:t>
            </w:r>
            <w:r w:rsidRPr="00536040">
              <w:rPr>
                <w:rFonts w:ascii="Arial" w:eastAsia="Calibri" w:hAnsi="Arial" w:cs="Arial"/>
                <w:b/>
                <w:sz w:val="18"/>
                <w:szCs w:val="18"/>
                <w:lang w:eastAsia="en-US"/>
              </w:rPr>
              <w:t xml:space="preserve"> </w:t>
            </w:r>
            <w:r w:rsidRPr="00536040">
              <w:rPr>
                <w:rFonts w:ascii="Arial" w:eastAsia="Calibri" w:hAnsi="Arial" w:cs="Arial"/>
                <w:sz w:val="18"/>
                <w:szCs w:val="18"/>
                <w:lang w:eastAsia="en-US"/>
              </w:rPr>
              <w:t>veľký objem projektovej dokumentácie sme požiadali vedúceho služobného úradu o určenie priestoru, kde by bolo možné zriadiť registratúrne depo pre potreby SEPP. Vytipovaný priestor v suteréne nám však nebol pridelený.</w:t>
            </w:r>
          </w:p>
          <w:p w:rsidR="00DC4E72" w:rsidRDefault="00DC4E72" w:rsidP="00507035">
            <w:pPr>
              <w:spacing w:before="120" w:after="120"/>
              <w:jc w:val="both"/>
              <w:rPr>
                <w:rFonts w:ascii="Arial" w:eastAsia="Calibri" w:hAnsi="Arial" w:cs="Arial"/>
                <w:sz w:val="18"/>
                <w:szCs w:val="18"/>
                <w:lang w:eastAsia="en-US"/>
              </w:rPr>
            </w:pPr>
          </w:p>
          <w:p w:rsidR="009D50F6" w:rsidRDefault="009D50F6" w:rsidP="00507035">
            <w:pPr>
              <w:spacing w:before="120" w:after="120"/>
              <w:jc w:val="both"/>
              <w:rPr>
                <w:rFonts w:ascii="Arial" w:eastAsia="Calibri" w:hAnsi="Arial" w:cs="Arial"/>
                <w:sz w:val="18"/>
                <w:szCs w:val="18"/>
                <w:lang w:eastAsia="en-US"/>
              </w:rPr>
            </w:pPr>
          </w:p>
          <w:p w:rsidR="00DC4E72" w:rsidRPr="00536040" w:rsidRDefault="00DC4E72" w:rsidP="00507035">
            <w:pPr>
              <w:spacing w:before="120" w:after="120"/>
              <w:jc w:val="both"/>
              <w:rPr>
                <w:rFonts w:ascii="Arial" w:eastAsia="Calibri" w:hAnsi="Arial" w:cs="Arial"/>
                <w:sz w:val="18"/>
                <w:szCs w:val="18"/>
                <w:lang w:eastAsia="en-US"/>
              </w:rPr>
            </w:pPr>
            <w:r w:rsidRPr="00536040">
              <w:rPr>
                <w:rFonts w:ascii="Arial" w:eastAsia="Calibri" w:hAnsi="Arial" w:cs="Arial"/>
                <w:b/>
                <w:sz w:val="18"/>
                <w:szCs w:val="18"/>
                <w:lang w:eastAsia="en-US"/>
              </w:rPr>
              <w:t>6)</w:t>
            </w:r>
            <w:r w:rsidRPr="00536040">
              <w:rPr>
                <w:rFonts w:ascii="Arial" w:eastAsia="Calibri" w:hAnsi="Arial" w:cs="Arial"/>
                <w:sz w:val="18"/>
                <w:szCs w:val="18"/>
                <w:lang w:eastAsia="en-US"/>
              </w:rPr>
              <w:t xml:space="preserve"> Kontinuálne vzdelávanie a zvyšovanie odbornosti v oblasti verejného obstarávania ako požiadavka auditov na OP ŽP. </w:t>
            </w:r>
          </w:p>
          <w:p w:rsidR="00DC4E72" w:rsidRPr="00536040" w:rsidRDefault="00DC4E72" w:rsidP="00507035">
            <w:pPr>
              <w:spacing w:before="120" w:after="120"/>
              <w:jc w:val="both"/>
              <w:rPr>
                <w:rFonts w:ascii="Arial" w:eastAsia="Calibri" w:hAnsi="Arial" w:cs="Arial"/>
                <w:sz w:val="18"/>
                <w:szCs w:val="18"/>
                <w:lang w:eastAsia="en-US"/>
              </w:rPr>
            </w:pPr>
          </w:p>
        </w:tc>
        <w:tc>
          <w:tcPr>
            <w:tcW w:w="4536" w:type="dxa"/>
            <w:shd w:val="clear" w:color="auto" w:fill="auto"/>
            <w:vAlign w:val="center"/>
          </w:tcPr>
          <w:p w:rsidR="00DC4E72" w:rsidRPr="00536040" w:rsidRDefault="00DC4E72" w:rsidP="001540E7">
            <w:pPr>
              <w:numPr>
                <w:ilvl w:val="0"/>
                <w:numId w:val="42"/>
              </w:numPr>
              <w:tabs>
                <w:tab w:val="left" w:pos="317"/>
              </w:tabs>
              <w:spacing w:before="120" w:after="120"/>
              <w:ind w:left="34" w:firstLine="0"/>
              <w:contextualSpacing/>
              <w:jc w:val="both"/>
              <w:rPr>
                <w:rFonts w:ascii="Arial" w:eastAsia="Calibri" w:hAnsi="Arial" w:cs="Arial"/>
                <w:sz w:val="18"/>
                <w:szCs w:val="18"/>
                <w:lang w:eastAsia="en-US"/>
              </w:rPr>
            </w:pPr>
            <w:r w:rsidRPr="00536040">
              <w:rPr>
                <w:rFonts w:ascii="Arial" w:eastAsia="Calibri" w:hAnsi="Arial" w:cs="Arial"/>
                <w:sz w:val="18"/>
                <w:szCs w:val="18"/>
                <w:lang w:eastAsia="en-US"/>
              </w:rPr>
              <w:t>Požiadavka na udelenie výnimky z internej smernice MŽP SR. V zmysle Smernice MŽP SR z 25.05.2011 č. 5/2011-1.9 požiadal odbor technickej pomoci (ďalej len „OTP“) o udelenie výnimky, aby si SEPP mohla prieskumy trhu na zákazky s nízkou hodnotou realizovať vo vlastnej réžii. Od 31.05.2012 boli prieskumy trhu pre potreby SEPP realizované na OTP, riaditeľ OVOaP bol informovaný o každom prieskume elektronickou formou, a každý prieskum pred vyhlásením schválil.</w:t>
            </w:r>
          </w:p>
          <w:p w:rsidR="00DC4E72" w:rsidRDefault="00DC4E72" w:rsidP="00507035">
            <w:pPr>
              <w:spacing w:before="120" w:after="120"/>
              <w:ind w:left="34"/>
              <w:jc w:val="both"/>
              <w:rPr>
                <w:rFonts w:ascii="Arial" w:eastAsia="Calibri" w:hAnsi="Arial" w:cs="Arial"/>
                <w:b/>
                <w:sz w:val="18"/>
                <w:szCs w:val="18"/>
                <w:lang w:eastAsia="en-US"/>
              </w:rPr>
            </w:pPr>
          </w:p>
          <w:p w:rsidR="00307BED" w:rsidRDefault="00307BED" w:rsidP="00507035">
            <w:pPr>
              <w:spacing w:before="120" w:after="120"/>
              <w:ind w:left="34"/>
              <w:jc w:val="both"/>
              <w:rPr>
                <w:rFonts w:ascii="Arial" w:eastAsia="Calibri" w:hAnsi="Arial" w:cs="Arial"/>
                <w:b/>
                <w:sz w:val="18"/>
                <w:szCs w:val="18"/>
                <w:lang w:eastAsia="en-US"/>
              </w:rPr>
            </w:pPr>
          </w:p>
          <w:p w:rsidR="00307BED" w:rsidRDefault="00307BED" w:rsidP="00507035">
            <w:pPr>
              <w:spacing w:before="120" w:after="120"/>
              <w:ind w:left="34"/>
              <w:jc w:val="both"/>
              <w:rPr>
                <w:rFonts w:ascii="Arial" w:eastAsia="Calibri" w:hAnsi="Arial" w:cs="Arial"/>
                <w:b/>
                <w:sz w:val="18"/>
                <w:szCs w:val="18"/>
                <w:lang w:eastAsia="en-US"/>
              </w:rPr>
            </w:pPr>
          </w:p>
          <w:p w:rsidR="00307BED" w:rsidRDefault="00307BED" w:rsidP="00507035">
            <w:pPr>
              <w:spacing w:before="120" w:after="120"/>
              <w:ind w:left="34"/>
              <w:jc w:val="both"/>
              <w:rPr>
                <w:rFonts w:ascii="Arial" w:eastAsia="Calibri" w:hAnsi="Arial" w:cs="Arial"/>
                <w:b/>
                <w:sz w:val="18"/>
                <w:szCs w:val="18"/>
                <w:lang w:eastAsia="en-US"/>
              </w:rPr>
            </w:pPr>
          </w:p>
          <w:p w:rsidR="009D50F6" w:rsidRDefault="009D50F6" w:rsidP="00507035">
            <w:pPr>
              <w:spacing w:before="120" w:after="120"/>
              <w:ind w:left="34"/>
              <w:jc w:val="both"/>
              <w:rPr>
                <w:rFonts w:ascii="Arial" w:eastAsia="Calibri" w:hAnsi="Arial" w:cs="Arial"/>
                <w:b/>
                <w:sz w:val="18"/>
                <w:szCs w:val="18"/>
                <w:lang w:eastAsia="en-US"/>
              </w:rPr>
            </w:pPr>
          </w:p>
          <w:p w:rsidR="004145AE" w:rsidRDefault="004145AE" w:rsidP="00507035">
            <w:pPr>
              <w:spacing w:before="120" w:after="120"/>
              <w:ind w:left="34"/>
              <w:jc w:val="both"/>
              <w:rPr>
                <w:rFonts w:ascii="Arial" w:eastAsia="Calibri" w:hAnsi="Arial" w:cs="Arial"/>
                <w:b/>
                <w:sz w:val="18"/>
                <w:szCs w:val="18"/>
                <w:lang w:eastAsia="en-US"/>
              </w:rPr>
            </w:pPr>
          </w:p>
          <w:p w:rsidR="009D50F6" w:rsidRPr="00536040" w:rsidRDefault="009D50F6" w:rsidP="00507035">
            <w:pPr>
              <w:spacing w:before="120" w:after="120"/>
              <w:ind w:left="34"/>
              <w:jc w:val="both"/>
              <w:rPr>
                <w:rFonts w:ascii="Arial" w:eastAsia="Calibri" w:hAnsi="Arial" w:cs="Arial"/>
                <w:b/>
                <w:sz w:val="18"/>
                <w:szCs w:val="18"/>
                <w:lang w:eastAsia="en-US"/>
              </w:rPr>
            </w:pPr>
          </w:p>
          <w:p w:rsidR="00DC4E72" w:rsidRPr="00536040" w:rsidRDefault="00DC4E72" w:rsidP="00507035">
            <w:pPr>
              <w:spacing w:before="120" w:after="120"/>
              <w:ind w:left="34"/>
              <w:jc w:val="both"/>
              <w:rPr>
                <w:rFonts w:ascii="Arial" w:eastAsia="Calibri" w:hAnsi="Arial" w:cs="Arial"/>
                <w:sz w:val="18"/>
                <w:szCs w:val="18"/>
                <w:lang w:eastAsia="en-US"/>
              </w:rPr>
            </w:pPr>
            <w:r w:rsidRPr="00536040">
              <w:rPr>
                <w:rFonts w:ascii="Arial" w:eastAsia="Calibri" w:hAnsi="Arial" w:cs="Arial"/>
                <w:b/>
                <w:sz w:val="18"/>
                <w:szCs w:val="18"/>
                <w:lang w:eastAsia="en-US"/>
              </w:rPr>
              <w:t xml:space="preserve">2) </w:t>
            </w:r>
            <w:r w:rsidRPr="00536040">
              <w:rPr>
                <w:rFonts w:ascii="Arial" w:eastAsia="Calibri" w:hAnsi="Arial" w:cs="Arial"/>
                <w:sz w:val="18"/>
                <w:szCs w:val="18"/>
                <w:lang w:eastAsia="en-US"/>
              </w:rPr>
              <w:t>OVOaP začal vo veci zákaziek s vyššou hodnotou ako 9 999 EUR bez DPH spolupracovať s externým dodávateľom služieb v oblasti verejného obstarávania.</w:t>
            </w:r>
          </w:p>
          <w:p w:rsidR="00DC4E72" w:rsidRPr="00536040" w:rsidRDefault="00DC4E72" w:rsidP="00507035">
            <w:pPr>
              <w:spacing w:before="120" w:after="120"/>
              <w:ind w:left="33"/>
              <w:jc w:val="both"/>
              <w:rPr>
                <w:rFonts w:ascii="Arial" w:eastAsia="Calibri" w:hAnsi="Arial" w:cs="Arial"/>
                <w:sz w:val="18"/>
                <w:szCs w:val="18"/>
                <w:lang w:eastAsia="en-US"/>
              </w:rPr>
            </w:pPr>
          </w:p>
          <w:p w:rsidR="00992100" w:rsidRDefault="00992100" w:rsidP="00507035">
            <w:pPr>
              <w:spacing w:before="120" w:after="120"/>
              <w:jc w:val="both"/>
              <w:rPr>
                <w:rFonts w:ascii="Arial" w:eastAsia="Calibri" w:hAnsi="Arial" w:cs="Arial"/>
                <w:b/>
                <w:sz w:val="18"/>
                <w:szCs w:val="18"/>
                <w:lang w:eastAsia="en-US"/>
              </w:rPr>
            </w:pPr>
          </w:p>
          <w:p w:rsidR="00992100" w:rsidRDefault="00992100" w:rsidP="00507035">
            <w:pPr>
              <w:spacing w:before="120" w:after="120"/>
              <w:jc w:val="both"/>
              <w:rPr>
                <w:rFonts w:ascii="Arial" w:eastAsia="Calibri" w:hAnsi="Arial" w:cs="Arial"/>
                <w:b/>
                <w:sz w:val="18"/>
                <w:szCs w:val="18"/>
                <w:lang w:eastAsia="en-US"/>
              </w:rPr>
            </w:pPr>
          </w:p>
          <w:p w:rsidR="00992100" w:rsidRDefault="00992100" w:rsidP="00507035">
            <w:pPr>
              <w:spacing w:before="120" w:after="120"/>
              <w:jc w:val="both"/>
              <w:rPr>
                <w:rFonts w:ascii="Arial" w:eastAsia="Calibri" w:hAnsi="Arial" w:cs="Arial"/>
                <w:b/>
                <w:sz w:val="18"/>
                <w:szCs w:val="18"/>
                <w:lang w:eastAsia="en-US"/>
              </w:rPr>
            </w:pPr>
          </w:p>
          <w:p w:rsidR="00DC4E72" w:rsidRPr="00536040" w:rsidRDefault="00DC4E72" w:rsidP="00507035">
            <w:pPr>
              <w:spacing w:before="120" w:after="120"/>
              <w:jc w:val="both"/>
              <w:rPr>
                <w:rFonts w:ascii="Arial" w:eastAsia="Calibri" w:hAnsi="Arial" w:cs="Arial"/>
                <w:sz w:val="18"/>
                <w:szCs w:val="18"/>
                <w:lang w:eastAsia="en-US"/>
              </w:rPr>
            </w:pPr>
            <w:r w:rsidRPr="00536040">
              <w:rPr>
                <w:rFonts w:ascii="Arial" w:eastAsia="Calibri" w:hAnsi="Arial" w:cs="Arial"/>
                <w:b/>
                <w:sz w:val="18"/>
                <w:szCs w:val="18"/>
                <w:lang w:eastAsia="en-US"/>
              </w:rPr>
              <w:t xml:space="preserve">3) </w:t>
            </w:r>
            <w:r w:rsidRPr="00536040">
              <w:rPr>
                <w:rFonts w:ascii="Arial" w:eastAsia="Calibri" w:hAnsi="Arial" w:cs="Arial"/>
                <w:sz w:val="18"/>
                <w:szCs w:val="18"/>
                <w:lang w:eastAsia="en-US"/>
              </w:rPr>
              <w:t xml:space="preserve">V roku 2012 došlo k personálnemu posilneniu OVOaP na úseku verejného obstarávania. Nikto z novoprijatých zamestnancov nemá  odbornú spôsobilosť pre verejné obstarávanie (ďalej len „OSO“). Na základe uvedeného verejného obstarávania začal OVOaP obstarávať podprahové, podlimitné a nadlimitné zákazky. </w:t>
            </w:r>
          </w:p>
          <w:p w:rsidR="00DC4E72" w:rsidRPr="00536040" w:rsidRDefault="00DC4E72" w:rsidP="00507035">
            <w:pPr>
              <w:spacing w:before="120" w:after="120"/>
              <w:jc w:val="both"/>
              <w:rPr>
                <w:rFonts w:ascii="Arial" w:eastAsia="Calibri" w:hAnsi="Arial" w:cs="Arial"/>
                <w:b/>
                <w:sz w:val="18"/>
                <w:szCs w:val="18"/>
                <w:lang w:eastAsia="en-US"/>
              </w:rPr>
            </w:pPr>
          </w:p>
          <w:p w:rsidR="00DC4E72" w:rsidRPr="00536040" w:rsidRDefault="00DC4E72" w:rsidP="00507035">
            <w:pPr>
              <w:spacing w:before="120" w:after="120"/>
              <w:jc w:val="both"/>
              <w:rPr>
                <w:rFonts w:ascii="Arial" w:eastAsia="Calibri" w:hAnsi="Arial" w:cs="Arial"/>
                <w:sz w:val="18"/>
                <w:szCs w:val="18"/>
                <w:lang w:eastAsia="en-US"/>
              </w:rPr>
            </w:pPr>
            <w:r w:rsidRPr="00536040">
              <w:rPr>
                <w:rFonts w:ascii="Arial" w:eastAsia="Calibri" w:hAnsi="Arial" w:cs="Arial"/>
                <w:b/>
                <w:sz w:val="18"/>
                <w:szCs w:val="18"/>
                <w:lang w:eastAsia="en-US"/>
              </w:rPr>
              <w:t xml:space="preserve">4) </w:t>
            </w:r>
            <w:r w:rsidRPr="00536040">
              <w:rPr>
                <w:rFonts w:ascii="Arial" w:eastAsia="Calibri" w:hAnsi="Arial" w:cs="Arial"/>
                <w:sz w:val="18"/>
                <w:szCs w:val="18"/>
                <w:lang w:eastAsia="en-US"/>
              </w:rPr>
              <w:t>Vzdelávacie kurzy sú plne v kompetencii Osobného úradu (ďalej len „OÚ“).</w:t>
            </w:r>
          </w:p>
          <w:p w:rsidR="00DC4E72" w:rsidRPr="00536040" w:rsidRDefault="00DC4E72" w:rsidP="00507035">
            <w:pPr>
              <w:spacing w:before="120" w:after="120"/>
              <w:jc w:val="both"/>
              <w:rPr>
                <w:rFonts w:ascii="Arial" w:eastAsia="Calibri" w:hAnsi="Arial" w:cs="Arial"/>
                <w:sz w:val="18"/>
                <w:szCs w:val="18"/>
                <w:lang w:eastAsia="en-US"/>
              </w:rPr>
            </w:pPr>
          </w:p>
          <w:p w:rsidR="00DC4E72" w:rsidRPr="00536040" w:rsidRDefault="00DC4E72" w:rsidP="00507035">
            <w:pPr>
              <w:spacing w:before="120" w:after="120"/>
              <w:jc w:val="both"/>
              <w:rPr>
                <w:rFonts w:ascii="Arial" w:eastAsia="Calibri" w:hAnsi="Arial" w:cs="Arial"/>
                <w:sz w:val="18"/>
                <w:szCs w:val="18"/>
                <w:lang w:eastAsia="en-US"/>
              </w:rPr>
            </w:pPr>
          </w:p>
          <w:p w:rsidR="00205636" w:rsidRDefault="00205636" w:rsidP="00507035">
            <w:pPr>
              <w:spacing w:before="120" w:after="120"/>
              <w:jc w:val="both"/>
              <w:rPr>
                <w:rFonts w:ascii="Arial" w:eastAsia="Calibri" w:hAnsi="Arial" w:cs="Arial"/>
                <w:b/>
                <w:sz w:val="18"/>
                <w:szCs w:val="18"/>
                <w:lang w:eastAsia="en-US"/>
              </w:rPr>
            </w:pPr>
          </w:p>
          <w:p w:rsidR="00DC4E72" w:rsidRPr="00536040" w:rsidRDefault="00DC4E72" w:rsidP="00507035">
            <w:pPr>
              <w:spacing w:before="120" w:after="120"/>
              <w:jc w:val="both"/>
              <w:rPr>
                <w:rFonts w:ascii="Arial" w:eastAsia="Calibri" w:hAnsi="Arial" w:cs="Arial"/>
                <w:sz w:val="18"/>
                <w:szCs w:val="18"/>
                <w:lang w:eastAsia="en-US"/>
              </w:rPr>
            </w:pPr>
            <w:r w:rsidRPr="00536040">
              <w:rPr>
                <w:rFonts w:ascii="Arial" w:eastAsia="Calibri" w:hAnsi="Arial" w:cs="Arial"/>
                <w:b/>
                <w:sz w:val="18"/>
                <w:szCs w:val="18"/>
                <w:lang w:eastAsia="en-US"/>
              </w:rPr>
              <w:t xml:space="preserve">5) </w:t>
            </w:r>
            <w:r w:rsidRPr="00536040">
              <w:rPr>
                <w:rFonts w:ascii="Arial" w:eastAsia="Calibri" w:hAnsi="Arial" w:cs="Arial"/>
                <w:sz w:val="18"/>
                <w:szCs w:val="18"/>
                <w:lang w:eastAsia="en-US"/>
              </w:rPr>
              <w:t>OTP zabezpečil kompletnú dokumentáciu k verejnému obstarávaniu na zákazku s nízkou hodnotou, na základe ktorej OVOaP obstaral 105 archívnych skríň pre potreby uskladnenia originálov podaných projektov žiadateľmi.</w:t>
            </w:r>
          </w:p>
          <w:p w:rsidR="00DC4E72" w:rsidRDefault="00DC4E72" w:rsidP="00507035">
            <w:pPr>
              <w:spacing w:before="120" w:after="120"/>
              <w:jc w:val="both"/>
              <w:rPr>
                <w:rFonts w:ascii="Arial" w:eastAsia="Calibri" w:hAnsi="Arial" w:cs="Arial"/>
                <w:sz w:val="18"/>
                <w:szCs w:val="18"/>
                <w:lang w:eastAsia="en-US"/>
              </w:rPr>
            </w:pPr>
          </w:p>
          <w:p w:rsidR="00DC4E72" w:rsidRPr="00536040" w:rsidRDefault="00DC4E72" w:rsidP="00507035">
            <w:pPr>
              <w:spacing w:before="120" w:after="120"/>
              <w:jc w:val="both"/>
              <w:rPr>
                <w:rFonts w:ascii="Arial" w:eastAsia="Calibri" w:hAnsi="Arial" w:cs="Arial"/>
                <w:sz w:val="18"/>
                <w:szCs w:val="18"/>
                <w:lang w:eastAsia="en-US"/>
              </w:rPr>
            </w:pPr>
            <w:r w:rsidRPr="00536040">
              <w:rPr>
                <w:rFonts w:ascii="Arial" w:eastAsia="Calibri" w:hAnsi="Arial" w:cs="Arial"/>
                <w:b/>
                <w:sz w:val="18"/>
                <w:szCs w:val="18"/>
                <w:lang w:eastAsia="en-US"/>
              </w:rPr>
              <w:t xml:space="preserve">6) </w:t>
            </w:r>
            <w:r w:rsidRPr="00536040">
              <w:rPr>
                <w:rFonts w:ascii="Arial" w:eastAsia="Calibri" w:hAnsi="Arial" w:cs="Arial"/>
                <w:sz w:val="18"/>
                <w:szCs w:val="18"/>
                <w:lang w:eastAsia="en-US"/>
              </w:rPr>
              <w:t>OTP na základe udelenej výnimky zo Smernice MŽP SR z 25.05.2011 č. 5/2011-1.9  zabezpečil prieskumom trhu dodávateľa na školenie odbornej prípravy na získanie OSO. Školenie sa uskutočnilo v dňoch 17.-18.-19.10.2012 a 12.11.2012. Skúška pred komisiou z ÚVO SR dňa 12.2.2013</w:t>
            </w:r>
          </w:p>
        </w:tc>
        <w:tc>
          <w:tcPr>
            <w:tcW w:w="4394" w:type="dxa"/>
            <w:shd w:val="clear" w:color="auto" w:fill="auto"/>
            <w:vAlign w:val="center"/>
          </w:tcPr>
          <w:p w:rsidR="00DC4E72" w:rsidRDefault="00DC4E72" w:rsidP="00507035">
            <w:pPr>
              <w:spacing w:before="120" w:after="120"/>
              <w:jc w:val="both"/>
              <w:rPr>
                <w:rFonts w:ascii="Arial" w:eastAsia="Calibri" w:hAnsi="Arial" w:cs="Arial"/>
                <w:sz w:val="18"/>
                <w:szCs w:val="18"/>
                <w:lang w:eastAsia="en-US"/>
              </w:rPr>
            </w:pPr>
            <w:r w:rsidRPr="00536040">
              <w:rPr>
                <w:rFonts w:ascii="Arial" w:eastAsia="Calibri" w:hAnsi="Arial" w:cs="Arial"/>
                <w:b/>
                <w:sz w:val="18"/>
                <w:szCs w:val="18"/>
                <w:lang w:eastAsia="en-US"/>
              </w:rPr>
              <w:t xml:space="preserve">1) </w:t>
            </w:r>
            <w:r w:rsidRPr="00536040">
              <w:rPr>
                <w:rFonts w:ascii="Arial" w:eastAsia="Calibri" w:hAnsi="Arial" w:cs="Arial"/>
                <w:sz w:val="18"/>
                <w:szCs w:val="18"/>
                <w:lang w:eastAsia="en-US"/>
              </w:rPr>
              <w:t>Realizáciou vlastných prieskumov trhu</w:t>
            </w:r>
            <w:r w:rsidRPr="00536040">
              <w:rPr>
                <w:rFonts w:ascii="Arial" w:eastAsia="Calibri" w:hAnsi="Arial" w:cs="Arial"/>
                <w:b/>
                <w:sz w:val="18"/>
                <w:szCs w:val="18"/>
                <w:lang w:eastAsia="en-US"/>
              </w:rPr>
              <w:t xml:space="preserve"> </w:t>
            </w:r>
            <w:r w:rsidRPr="00536040">
              <w:rPr>
                <w:rFonts w:ascii="Arial" w:eastAsia="Calibri" w:hAnsi="Arial" w:cs="Arial"/>
                <w:sz w:val="18"/>
                <w:szCs w:val="18"/>
                <w:lang w:eastAsia="en-US"/>
              </w:rPr>
              <w:t xml:space="preserve">zabezpečoval OTP ad hoc tlmočenie a preklady, občerstvenie, nákup kancelárskych potrieb, nákup ochranných pracovných pomôcok, prelitrovanie osobných automobilov, školenie pre získanie OSO, školenie v oblasti verejného obstarávania (zrušené pre zaneprázdnenosť zamestnancov  opätovne zrealizované v roku 2013), elektro pre SEPP – obstaranie skartovacích strojov. Opatrenie však riešilo len prieskumy trhu s nízkou hodnotou do 9 999 EUR bez DPH. </w:t>
            </w:r>
          </w:p>
          <w:p w:rsidR="009D50F6" w:rsidRDefault="009D50F6" w:rsidP="00507035">
            <w:pPr>
              <w:spacing w:before="120" w:after="120"/>
              <w:jc w:val="both"/>
              <w:rPr>
                <w:rFonts w:ascii="Arial" w:eastAsia="Calibri" w:hAnsi="Arial" w:cs="Arial"/>
                <w:b/>
                <w:sz w:val="18"/>
                <w:szCs w:val="18"/>
                <w:lang w:eastAsia="en-US"/>
              </w:rPr>
            </w:pPr>
          </w:p>
          <w:p w:rsidR="000559C2" w:rsidRDefault="000559C2" w:rsidP="00507035">
            <w:pPr>
              <w:spacing w:before="120" w:after="120"/>
              <w:jc w:val="both"/>
              <w:rPr>
                <w:rFonts w:ascii="Arial" w:eastAsia="Calibri" w:hAnsi="Arial" w:cs="Arial"/>
                <w:b/>
                <w:sz w:val="18"/>
                <w:szCs w:val="18"/>
                <w:lang w:eastAsia="en-US"/>
              </w:rPr>
            </w:pPr>
          </w:p>
          <w:p w:rsidR="000559C2" w:rsidRDefault="000559C2" w:rsidP="00507035">
            <w:pPr>
              <w:spacing w:before="120" w:after="120"/>
              <w:jc w:val="both"/>
              <w:rPr>
                <w:rFonts w:ascii="Arial" w:eastAsia="Calibri" w:hAnsi="Arial" w:cs="Arial"/>
                <w:b/>
                <w:sz w:val="18"/>
                <w:szCs w:val="18"/>
                <w:lang w:eastAsia="en-US"/>
              </w:rPr>
            </w:pPr>
          </w:p>
          <w:p w:rsidR="000559C2" w:rsidRDefault="000559C2" w:rsidP="00507035">
            <w:pPr>
              <w:spacing w:before="120" w:after="120"/>
              <w:jc w:val="both"/>
              <w:rPr>
                <w:rFonts w:ascii="Arial" w:eastAsia="Calibri" w:hAnsi="Arial" w:cs="Arial"/>
                <w:b/>
                <w:sz w:val="18"/>
                <w:szCs w:val="18"/>
                <w:lang w:eastAsia="en-US"/>
              </w:rPr>
            </w:pPr>
          </w:p>
          <w:p w:rsidR="000559C2" w:rsidRDefault="000559C2" w:rsidP="00507035">
            <w:pPr>
              <w:spacing w:before="120" w:after="120"/>
              <w:jc w:val="both"/>
              <w:rPr>
                <w:rFonts w:ascii="Arial" w:eastAsia="Calibri" w:hAnsi="Arial" w:cs="Arial"/>
                <w:b/>
                <w:sz w:val="18"/>
                <w:szCs w:val="18"/>
                <w:lang w:eastAsia="en-US"/>
              </w:rPr>
            </w:pPr>
          </w:p>
          <w:p w:rsidR="00DC4E72" w:rsidRDefault="00DC4E72" w:rsidP="00507035">
            <w:pPr>
              <w:spacing w:before="120" w:after="120"/>
              <w:jc w:val="both"/>
              <w:rPr>
                <w:rFonts w:ascii="Arial" w:eastAsia="Calibri" w:hAnsi="Arial" w:cs="Arial"/>
                <w:sz w:val="18"/>
                <w:szCs w:val="18"/>
                <w:lang w:eastAsia="en-US"/>
              </w:rPr>
            </w:pPr>
            <w:r w:rsidRPr="00536040">
              <w:rPr>
                <w:rFonts w:ascii="Arial" w:eastAsia="Calibri" w:hAnsi="Arial" w:cs="Arial"/>
                <w:b/>
                <w:sz w:val="18"/>
                <w:szCs w:val="18"/>
                <w:lang w:eastAsia="en-US"/>
              </w:rPr>
              <w:t xml:space="preserve">2) </w:t>
            </w:r>
            <w:r w:rsidRPr="00536040">
              <w:rPr>
                <w:rFonts w:ascii="Arial" w:eastAsia="Calibri" w:hAnsi="Arial" w:cs="Arial"/>
                <w:sz w:val="18"/>
                <w:szCs w:val="18"/>
                <w:lang w:eastAsia="en-US"/>
              </w:rPr>
              <w:t xml:space="preserve">Prijímateľ OTP pripravil kompletnú dokumentáciu k verejnému obstarávaniu kancelárske počítače. OVOaP v spolupráci s externým dodávateľom zabezpečil obstaranie 48 ks kancelárskych počítačov, ktoré po dodaní nahradili starú výpočtovú techniku z roku 2006. </w:t>
            </w:r>
          </w:p>
          <w:p w:rsidR="00205636" w:rsidRDefault="00205636" w:rsidP="00507035">
            <w:pPr>
              <w:spacing w:before="120" w:after="120"/>
              <w:jc w:val="both"/>
              <w:rPr>
                <w:rFonts w:ascii="Arial" w:eastAsia="Calibri" w:hAnsi="Arial" w:cs="Arial"/>
                <w:b/>
                <w:sz w:val="18"/>
                <w:szCs w:val="18"/>
                <w:lang w:eastAsia="en-US"/>
              </w:rPr>
            </w:pPr>
          </w:p>
          <w:p w:rsidR="004145AE" w:rsidRDefault="004145AE" w:rsidP="00507035">
            <w:pPr>
              <w:spacing w:before="120" w:after="120"/>
              <w:jc w:val="both"/>
              <w:rPr>
                <w:rFonts w:ascii="Arial" w:eastAsia="Calibri" w:hAnsi="Arial" w:cs="Arial"/>
                <w:b/>
                <w:sz w:val="18"/>
                <w:szCs w:val="18"/>
                <w:lang w:eastAsia="en-US"/>
              </w:rPr>
            </w:pPr>
          </w:p>
          <w:p w:rsidR="00DC4E72" w:rsidRPr="00536040" w:rsidRDefault="00DC4E72" w:rsidP="00507035">
            <w:pPr>
              <w:spacing w:before="120" w:after="120"/>
              <w:jc w:val="both"/>
              <w:rPr>
                <w:rFonts w:ascii="Arial" w:eastAsia="Calibri" w:hAnsi="Arial" w:cs="Arial"/>
                <w:sz w:val="18"/>
                <w:szCs w:val="18"/>
                <w:lang w:eastAsia="en-US"/>
              </w:rPr>
            </w:pPr>
            <w:r w:rsidRPr="00536040">
              <w:rPr>
                <w:rFonts w:ascii="Arial" w:eastAsia="Calibri" w:hAnsi="Arial" w:cs="Arial"/>
                <w:b/>
                <w:sz w:val="18"/>
                <w:szCs w:val="18"/>
                <w:lang w:eastAsia="en-US"/>
              </w:rPr>
              <w:t xml:space="preserve">3) </w:t>
            </w:r>
            <w:r w:rsidRPr="00536040">
              <w:rPr>
                <w:rFonts w:ascii="Arial" w:eastAsia="Calibri" w:hAnsi="Arial" w:cs="Arial"/>
                <w:sz w:val="18"/>
                <w:szCs w:val="18"/>
                <w:lang w:eastAsia="en-US"/>
              </w:rPr>
              <w:t>Personálne otázky OVOaP sú plne v kompetencii  riaditeľa útvaru. V spolupráci s externým dodávateľom bolo vykonané jedno verejné obstarávanie, pričom  príprava dokumentácie bola zabezpečená na OTP.</w:t>
            </w:r>
          </w:p>
          <w:p w:rsidR="00DC4E72" w:rsidRPr="00536040" w:rsidRDefault="00DC4E72" w:rsidP="00507035">
            <w:pPr>
              <w:spacing w:before="120" w:after="120"/>
              <w:jc w:val="both"/>
              <w:rPr>
                <w:rFonts w:ascii="Arial" w:eastAsia="Calibri" w:hAnsi="Arial" w:cs="Arial"/>
                <w:sz w:val="18"/>
                <w:szCs w:val="18"/>
                <w:lang w:eastAsia="en-US"/>
              </w:rPr>
            </w:pPr>
          </w:p>
          <w:p w:rsidR="00DC4E72" w:rsidRPr="00536040" w:rsidRDefault="00DC4E72" w:rsidP="00507035">
            <w:pPr>
              <w:spacing w:before="120" w:after="120"/>
              <w:jc w:val="both"/>
              <w:rPr>
                <w:rFonts w:ascii="Arial" w:eastAsia="Calibri" w:hAnsi="Arial" w:cs="Arial"/>
                <w:sz w:val="18"/>
                <w:szCs w:val="18"/>
                <w:lang w:eastAsia="en-US"/>
              </w:rPr>
            </w:pPr>
          </w:p>
          <w:p w:rsidR="00DC4E72" w:rsidRDefault="00DC4E72" w:rsidP="00507035">
            <w:pPr>
              <w:spacing w:before="120" w:after="120"/>
              <w:jc w:val="both"/>
              <w:rPr>
                <w:rFonts w:ascii="Arial" w:eastAsia="Calibri" w:hAnsi="Arial" w:cs="Arial"/>
                <w:sz w:val="18"/>
                <w:szCs w:val="18"/>
                <w:lang w:eastAsia="en-US"/>
              </w:rPr>
            </w:pPr>
          </w:p>
          <w:p w:rsidR="00D967E2" w:rsidRPr="00536040" w:rsidRDefault="00D967E2" w:rsidP="00507035">
            <w:pPr>
              <w:spacing w:before="120" w:after="120"/>
              <w:jc w:val="both"/>
              <w:rPr>
                <w:rFonts w:ascii="Arial" w:eastAsia="Calibri" w:hAnsi="Arial" w:cs="Arial"/>
                <w:sz w:val="18"/>
                <w:szCs w:val="18"/>
                <w:lang w:eastAsia="en-US"/>
              </w:rPr>
            </w:pPr>
          </w:p>
          <w:p w:rsidR="00DC4E72" w:rsidRPr="00536040" w:rsidRDefault="00DC4E72" w:rsidP="00507035">
            <w:pPr>
              <w:spacing w:before="120" w:after="120"/>
              <w:jc w:val="both"/>
              <w:rPr>
                <w:rFonts w:ascii="Arial" w:eastAsia="Calibri" w:hAnsi="Arial" w:cs="Arial"/>
                <w:b/>
                <w:sz w:val="18"/>
                <w:szCs w:val="18"/>
                <w:lang w:eastAsia="en-US"/>
              </w:rPr>
            </w:pPr>
          </w:p>
          <w:p w:rsidR="00DC4E72" w:rsidRPr="00536040" w:rsidRDefault="00DC4E72" w:rsidP="00507035">
            <w:pPr>
              <w:spacing w:before="120" w:after="120"/>
              <w:jc w:val="both"/>
              <w:rPr>
                <w:rFonts w:ascii="Arial" w:eastAsia="Calibri" w:hAnsi="Arial" w:cs="Arial"/>
                <w:b/>
                <w:sz w:val="18"/>
                <w:szCs w:val="18"/>
                <w:lang w:eastAsia="en-US"/>
              </w:rPr>
            </w:pPr>
            <w:r w:rsidRPr="00536040">
              <w:rPr>
                <w:rFonts w:ascii="Arial" w:eastAsia="Calibri" w:hAnsi="Arial" w:cs="Arial"/>
                <w:b/>
                <w:sz w:val="18"/>
                <w:szCs w:val="18"/>
                <w:lang w:eastAsia="en-US"/>
              </w:rPr>
              <w:t xml:space="preserve">4) </w:t>
            </w:r>
            <w:r w:rsidRPr="00536040">
              <w:rPr>
                <w:rFonts w:ascii="Arial" w:eastAsia="Calibri" w:hAnsi="Arial" w:cs="Arial"/>
                <w:sz w:val="18"/>
                <w:szCs w:val="18"/>
                <w:lang w:eastAsia="en-US"/>
              </w:rPr>
              <w:t>OTP žiadalo spätnú väzbu od OÚ  bezvýsledne.</w:t>
            </w:r>
          </w:p>
          <w:p w:rsidR="00DC4E72" w:rsidRPr="00536040" w:rsidRDefault="00DC4E72" w:rsidP="00507035">
            <w:pPr>
              <w:spacing w:before="120" w:after="120"/>
              <w:jc w:val="both"/>
              <w:rPr>
                <w:rFonts w:ascii="Arial" w:eastAsia="Calibri" w:hAnsi="Arial" w:cs="Arial"/>
                <w:sz w:val="18"/>
                <w:szCs w:val="18"/>
                <w:lang w:eastAsia="en-US"/>
              </w:rPr>
            </w:pPr>
          </w:p>
          <w:p w:rsidR="00DC4E72" w:rsidRPr="00536040" w:rsidRDefault="00DC4E72" w:rsidP="00507035">
            <w:pPr>
              <w:spacing w:before="120" w:after="120"/>
              <w:jc w:val="both"/>
              <w:rPr>
                <w:rFonts w:ascii="Arial" w:eastAsia="Calibri" w:hAnsi="Arial" w:cs="Arial"/>
                <w:sz w:val="18"/>
                <w:szCs w:val="18"/>
                <w:lang w:eastAsia="en-US"/>
              </w:rPr>
            </w:pPr>
          </w:p>
          <w:p w:rsidR="00DC4E72" w:rsidRPr="00536040" w:rsidRDefault="00DC4E72" w:rsidP="00507035">
            <w:pPr>
              <w:spacing w:before="120" w:after="120"/>
              <w:jc w:val="both"/>
              <w:rPr>
                <w:rFonts w:ascii="Arial" w:eastAsia="Calibri" w:hAnsi="Arial" w:cs="Arial"/>
                <w:sz w:val="18"/>
                <w:szCs w:val="18"/>
                <w:lang w:eastAsia="en-US"/>
              </w:rPr>
            </w:pPr>
            <w:r w:rsidRPr="00536040">
              <w:rPr>
                <w:rFonts w:ascii="Arial" w:eastAsia="Calibri" w:hAnsi="Arial" w:cs="Arial"/>
                <w:b/>
                <w:sz w:val="18"/>
                <w:szCs w:val="18"/>
                <w:lang w:eastAsia="en-US"/>
              </w:rPr>
              <w:t xml:space="preserve">5) </w:t>
            </w:r>
            <w:r w:rsidRPr="00536040">
              <w:rPr>
                <w:rFonts w:ascii="Arial" w:eastAsia="Calibri" w:hAnsi="Arial" w:cs="Arial"/>
                <w:sz w:val="18"/>
                <w:szCs w:val="18"/>
                <w:lang w:eastAsia="en-US"/>
              </w:rPr>
              <w:t xml:space="preserve">V závere roka 2012 je kapacita obstaraných archívnych skríň plne obsadená. Na žiadosť o určenie priestoru na zriadenie registratúrneho depa pre potreby SEPP nebola doručená žiadna odpoveď.  </w:t>
            </w:r>
          </w:p>
          <w:p w:rsidR="00205636" w:rsidRDefault="00DC4E72" w:rsidP="00205636">
            <w:pPr>
              <w:spacing w:before="120" w:after="120"/>
              <w:jc w:val="both"/>
              <w:rPr>
                <w:rFonts w:ascii="Arial" w:eastAsia="Calibri" w:hAnsi="Arial" w:cs="Arial"/>
                <w:sz w:val="18"/>
                <w:szCs w:val="18"/>
                <w:lang w:eastAsia="en-US"/>
              </w:rPr>
            </w:pPr>
            <w:r w:rsidRPr="00536040">
              <w:rPr>
                <w:rFonts w:ascii="Arial" w:eastAsia="Calibri" w:hAnsi="Arial" w:cs="Arial"/>
                <w:sz w:val="18"/>
                <w:szCs w:val="18"/>
                <w:lang w:eastAsia="en-US"/>
              </w:rPr>
              <w:t xml:space="preserve"> </w:t>
            </w:r>
          </w:p>
          <w:p w:rsidR="00DC4E72" w:rsidRPr="00536040" w:rsidRDefault="00DC4E72" w:rsidP="00205636">
            <w:pPr>
              <w:spacing w:before="120" w:after="120"/>
              <w:jc w:val="both"/>
              <w:rPr>
                <w:rFonts w:ascii="Arial" w:eastAsia="Calibri" w:hAnsi="Arial" w:cs="Arial"/>
                <w:sz w:val="18"/>
                <w:szCs w:val="18"/>
                <w:lang w:eastAsia="en-US"/>
              </w:rPr>
            </w:pPr>
            <w:r w:rsidRPr="00536040">
              <w:rPr>
                <w:rFonts w:ascii="Arial" w:eastAsia="Calibri" w:hAnsi="Arial" w:cs="Arial"/>
                <w:b/>
                <w:sz w:val="18"/>
                <w:szCs w:val="18"/>
                <w:lang w:eastAsia="en-US"/>
              </w:rPr>
              <w:t xml:space="preserve">6) </w:t>
            </w:r>
            <w:r w:rsidRPr="00536040">
              <w:rPr>
                <w:rFonts w:ascii="Arial" w:eastAsia="Calibri" w:hAnsi="Arial" w:cs="Arial"/>
                <w:sz w:val="18"/>
                <w:szCs w:val="18"/>
                <w:lang w:eastAsia="en-US"/>
              </w:rPr>
              <w:t>Zo 14 zúčastnených zamestnancov SEPP na školení odbornej prípravy na získanie OSO sa skúšky zúčastnilo 12 zamestnancov. Všetci zúčastnení úspešne skúšku absolvovali a môžu požiadať o zapísanie do zoznamu OSO.</w:t>
            </w:r>
          </w:p>
        </w:tc>
      </w:tr>
    </w:tbl>
    <w:p w:rsidR="00DC4E72" w:rsidRDefault="00DC4E72" w:rsidP="00507035">
      <w:pPr>
        <w:pStyle w:val="Zkladntextb"/>
        <w:spacing w:before="120" w:after="120" w:line="360" w:lineRule="auto"/>
        <w:ind w:left="0"/>
        <w:jc w:val="both"/>
        <w:rPr>
          <w:b/>
          <w:lang w:val="sk-SK"/>
        </w:rPr>
      </w:pPr>
    </w:p>
    <w:p w:rsidR="00B02893" w:rsidRDefault="00B02893" w:rsidP="00507035">
      <w:pPr>
        <w:pStyle w:val="Zkladntextb"/>
        <w:spacing w:before="120" w:after="120" w:line="360" w:lineRule="auto"/>
        <w:ind w:left="0"/>
        <w:jc w:val="both"/>
        <w:rPr>
          <w:b/>
          <w:lang w:val="sk-SK"/>
        </w:rPr>
      </w:pPr>
      <w:r w:rsidRPr="00EF0B04">
        <w:rPr>
          <w:b/>
          <w:lang w:val="sk-SK"/>
        </w:rPr>
        <w:t>Kvalitatívna analýza dosiahnutých výsledkov na úrovni prioritnej osi</w:t>
      </w:r>
      <w:r>
        <w:rPr>
          <w:b/>
          <w:lang w:val="sk-SK"/>
        </w:rPr>
        <w:t xml:space="preserve"> 6</w:t>
      </w:r>
    </w:p>
    <w:p w:rsidR="00B02893" w:rsidRPr="004542F4" w:rsidRDefault="00B02893" w:rsidP="00507035">
      <w:pPr>
        <w:pStyle w:val="Zkladntextb"/>
        <w:spacing w:before="120" w:after="120" w:line="360" w:lineRule="auto"/>
        <w:ind w:left="0"/>
        <w:jc w:val="both"/>
        <w:rPr>
          <w:i/>
          <w:lang w:val="sk-SK"/>
        </w:rPr>
      </w:pPr>
      <w:r w:rsidRPr="004542F4">
        <w:rPr>
          <w:i/>
          <w:lang w:val="sk-SK"/>
        </w:rPr>
        <w:t>Zhodnotenie úrovne zazmluvnenia alokovaných finančných prostriedkov za zdroje EÚ vo vzťahu k dosahovaným hodnotám ukazovateľov podľa prioritných tém</w:t>
      </w:r>
    </w:p>
    <w:p w:rsidR="00B02893" w:rsidRPr="004542F4" w:rsidRDefault="00B02893" w:rsidP="00507035">
      <w:pPr>
        <w:spacing w:before="120" w:after="120" w:line="360" w:lineRule="auto"/>
        <w:jc w:val="both"/>
        <w:rPr>
          <w:rFonts w:ascii="Arial" w:hAnsi="Arial" w:cs="Arial"/>
          <w:sz w:val="20"/>
          <w:szCs w:val="20"/>
        </w:rPr>
      </w:pPr>
      <w:r w:rsidRPr="004542F4">
        <w:rPr>
          <w:rFonts w:ascii="Arial" w:hAnsi="Arial" w:cs="Arial"/>
          <w:sz w:val="20"/>
          <w:szCs w:val="20"/>
        </w:rPr>
        <w:t>Použitá metodika je bližšie popísaná v kapitole 2.1.1 časť Plnenie merateľných ukazovateľov.</w:t>
      </w:r>
    </w:p>
    <w:p w:rsidR="006F3BE0" w:rsidRDefault="00B02893" w:rsidP="00205636">
      <w:pPr>
        <w:pStyle w:val="Zkladntextb"/>
        <w:spacing w:after="0" w:line="360" w:lineRule="auto"/>
        <w:ind w:left="0"/>
        <w:jc w:val="both"/>
        <w:rPr>
          <w:rFonts w:cs="Arial"/>
        </w:rPr>
      </w:pPr>
      <w:r>
        <w:rPr>
          <w:rFonts w:cs="Arial"/>
        </w:rPr>
        <w:t>Tab. č.</w:t>
      </w:r>
      <w:r w:rsidR="007976C6">
        <w:rPr>
          <w:rFonts w:cs="Arial"/>
        </w:rPr>
        <w:t xml:space="preserve"> </w:t>
      </w:r>
      <w:r w:rsidR="00254D6C">
        <w:rPr>
          <w:rFonts w:cs="Arial"/>
        </w:rPr>
        <w:t xml:space="preserve">62 </w:t>
      </w:r>
      <w:r w:rsidR="000B6E30" w:rsidRPr="000B6E30">
        <w:rPr>
          <w:rFonts w:cs="Arial"/>
        </w:rPr>
        <w:t>Zhodnotenie úrovne</w:t>
      </w:r>
      <w:r w:rsidR="000B6E30">
        <w:rPr>
          <w:rFonts w:cs="Arial"/>
        </w:rPr>
        <w:t xml:space="preserve"> podľa HT</w:t>
      </w:r>
    </w:p>
    <w:tbl>
      <w:tblPr>
        <w:tblW w:w="8260" w:type="dxa"/>
        <w:tblInd w:w="55" w:type="dxa"/>
        <w:tblCellMar>
          <w:left w:w="70" w:type="dxa"/>
          <w:right w:w="70" w:type="dxa"/>
        </w:tblCellMar>
        <w:tblLook w:val="04A0" w:firstRow="1" w:lastRow="0" w:firstColumn="1" w:lastColumn="0" w:noHBand="0" w:noVBand="1"/>
      </w:tblPr>
      <w:tblGrid>
        <w:gridCol w:w="1600"/>
        <w:gridCol w:w="1360"/>
        <w:gridCol w:w="1380"/>
        <w:gridCol w:w="1340"/>
        <w:gridCol w:w="1280"/>
        <w:gridCol w:w="1300"/>
      </w:tblGrid>
      <w:tr w:rsidR="006F3BE0" w:rsidTr="0039268C">
        <w:trPr>
          <w:trHeight w:val="1105"/>
        </w:trPr>
        <w:tc>
          <w:tcPr>
            <w:tcW w:w="1600" w:type="dxa"/>
            <w:tcBorders>
              <w:top w:val="single" w:sz="8" w:space="0" w:color="auto"/>
              <w:left w:val="single" w:sz="8" w:space="0" w:color="auto"/>
              <w:bottom w:val="single" w:sz="8" w:space="0" w:color="000000"/>
              <w:right w:val="single" w:sz="8" w:space="0" w:color="auto"/>
            </w:tcBorders>
            <w:shd w:val="clear" w:color="000000" w:fill="D6E3BC"/>
            <w:noWrap/>
            <w:vAlign w:val="center"/>
            <w:hideMark/>
          </w:tcPr>
          <w:p w:rsidR="006F3BE0" w:rsidRDefault="006F3BE0" w:rsidP="00205636">
            <w:pPr>
              <w:jc w:val="center"/>
              <w:rPr>
                <w:rFonts w:ascii="Arial" w:hAnsi="Arial" w:cs="Arial"/>
                <w:b/>
                <w:bCs/>
                <w:color w:val="000000"/>
                <w:sz w:val="16"/>
                <w:szCs w:val="16"/>
              </w:rPr>
            </w:pPr>
            <w:r>
              <w:rPr>
                <w:rFonts w:ascii="Arial" w:hAnsi="Arial" w:cs="Arial"/>
                <w:b/>
                <w:bCs/>
                <w:color w:val="000000"/>
                <w:sz w:val="16"/>
                <w:szCs w:val="16"/>
              </w:rPr>
              <w:t>Prioritná téma</w:t>
            </w:r>
          </w:p>
        </w:tc>
        <w:tc>
          <w:tcPr>
            <w:tcW w:w="1360" w:type="dxa"/>
            <w:tcBorders>
              <w:top w:val="single" w:sz="8" w:space="0" w:color="auto"/>
              <w:left w:val="nil"/>
              <w:bottom w:val="single" w:sz="8" w:space="0" w:color="auto"/>
              <w:right w:val="single" w:sz="8" w:space="0" w:color="auto"/>
            </w:tcBorders>
            <w:shd w:val="clear" w:color="000000" w:fill="D6E3BC"/>
            <w:vAlign w:val="center"/>
            <w:hideMark/>
          </w:tcPr>
          <w:p w:rsidR="006F3BE0" w:rsidRDefault="006F3BE0" w:rsidP="00205636">
            <w:pPr>
              <w:jc w:val="center"/>
              <w:rPr>
                <w:rFonts w:ascii="Arial" w:hAnsi="Arial" w:cs="Arial"/>
                <w:b/>
                <w:bCs/>
                <w:color w:val="000000"/>
                <w:sz w:val="16"/>
                <w:szCs w:val="16"/>
              </w:rPr>
            </w:pPr>
            <w:r>
              <w:rPr>
                <w:rFonts w:ascii="Arial" w:hAnsi="Arial" w:cs="Arial"/>
                <w:b/>
                <w:bCs/>
                <w:color w:val="000000"/>
                <w:sz w:val="16"/>
                <w:szCs w:val="16"/>
              </w:rPr>
              <w:t>Celková alokácia</w:t>
            </w:r>
          </w:p>
          <w:p w:rsidR="006F3BE0" w:rsidRDefault="006F3BE0" w:rsidP="00205636">
            <w:pPr>
              <w:jc w:val="center"/>
              <w:rPr>
                <w:rFonts w:ascii="Arial" w:hAnsi="Arial" w:cs="Arial"/>
                <w:b/>
                <w:bCs/>
                <w:color w:val="000000"/>
                <w:sz w:val="16"/>
                <w:szCs w:val="16"/>
              </w:rPr>
            </w:pPr>
            <w:r>
              <w:rPr>
                <w:rFonts w:ascii="Arial" w:hAnsi="Arial" w:cs="Arial"/>
                <w:b/>
                <w:bCs/>
                <w:color w:val="000000"/>
                <w:sz w:val="16"/>
                <w:szCs w:val="16"/>
              </w:rPr>
              <w:t>v €</w:t>
            </w:r>
          </w:p>
          <w:p w:rsidR="006F3BE0" w:rsidRDefault="006F3BE0" w:rsidP="00205636">
            <w:pPr>
              <w:rPr>
                <w:rFonts w:ascii="Arial" w:hAnsi="Arial" w:cs="Arial"/>
                <w:b/>
                <w:bCs/>
                <w:color w:val="000000"/>
                <w:sz w:val="16"/>
                <w:szCs w:val="16"/>
              </w:rPr>
            </w:pPr>
            <w:r>
              <w:rPr>
                <w:rFonts w:ascii="Calibri" w:hAnsi="Calibri" w:cs="Calibri"/>
                <w:color w:val="000000"/>
                <w:sz w:val="22"/>
                <w:szCs w:val="22"/>
              </w:rPr>
              <w:t> </w:t>
            </w:r>
          </w:p>
        </w:tc>
        <w:tc>
          <w:tcPr>
            <w:tcW w:w="1380" w:type="dxa"/>
            <w:tcBorders>
              <w:top w:val="single" w:sz="8" w:space="0" w:color="auto"/>
              <w:left w:val="nil"/>
              <w:bottom w:val="single" w:sz="8" w:space="0" w:color="auto"/>
              <w:right w:val="single" w:sz="8" w:space="0" w:color="auto"/>
            </w:tcBorders>
            <w:shd w:val="clear" w:color="000000" w:fill="D6E3BC"/>
            <w:vAlign w:val="center"/>
            <w:hideMark/>
          </w:tcPr>
          <w:p w:rsidR="006F3BE0" w:rsidRDefault="006F3BE0" w:rsidP="00205636">
            <w:pPr>
              <w:jc w:val="center"/>
              <w:rPr>
                <w:rFonts w:ascii="Arial" w:hAnsi="Arial" w:cs="Arial"/>
                <w:b/>
                <w:bCs/>
                <w:color w:val="000000"/>
                <w:sz w:val="16"/>
                <w:szCs w:val="16"/>
              </w:rPr>
            </w:pPr>
            <w:r>
              <w:rPr>
                <w:rFonts w:ascii="Arial" w:hAnsi="Arial" w:cs="Arial"/>
                <w:b/>
                <w:bCs/>
                <w:color w:val="000000"/>
                <w:sz w:val="16"/>
                <w:szCs w:val="16"/>
              </w:rPr>
              <w:t xml:space="preserve">Suma zazmluvnená </w:t>
            </w:r>
          </w:p>
          <w:p w:rsidR="006F3BE0" w:rsidRDefault="006F3BE0" w:rsidP="00205636">
            <w:pPr>
              <w:jc w:val="center"/>
              <w:rPr>
                <w:rFonts w:ascii="Arial" w:hAnsi="Arial" w:cs="Arial"/>
                <w:b/>
                <w:bCs/>
                <w:color w:val="000000"/>
                <w:sz w:val="16"/>
                <w:szCs w:val="16"/>
              </w:rPr>
            </w:pPr>
            <w:r>
              <w:rPr>
                <w:rFonts w:ascii="Arial" w:hAnsi="Arial" w:cs="Arial"/>
                <w:b/>
                <w:bCs/>
                <w:color w:val="000000"/>
                <w:sz w:val="16"/>
                <w:szCs w:val="16"/>
              </w:rPr>
              <w:t>(EÚ zdroje)</w:t>
            </w:r>
          </w:p>
          <w:p w:rsidR="006F3BE0" w:rsidRDefault="006F3BE0" w:rsidP="00205636">
            <w:pPr>
              <w:jc w:val="center"/>
              <w:rPr>
                <w:rFonts w:ascii="Arial" w:hAnsi="Arial" w:cs="Arial"/>
                <w:b/>
                <w:bCs/>
                <w:color w:val="000000"/>
                <w:sz w:val="16"/>
                <w:szCs w:val="16"/>
              </w:rPr>
            </w:pPr>
            <w:r>
              <w:rPr>
                <w:rFonts w:ascii="Arial" w:hAnsi="Arial" w:cs="Arial"/>
                <w:b/>
                <w:bCs/>
                <w:color w:val="000000"/>
                <w:sz w:val="16"/>
                <w:szCs w:val="16"/>
              </w:rPr>
              <w:t>v €</w:t>
            </w:r>
          </w:p>
        </w:tc>
        <w:tc>
          <w:tcPr>
            <w:tcW w:w="1340" w:type="dxa"/>
            <w:tcBorders>
              <w:top w:val="single" w:sz="8" w:space="0" w:color="auto"/>
              <w:left w:val="single" w:sz="8" w:space="0" w:color="auto"/>
              <w:bottom w:val="single" w:sz="8" w:space="0" w:color="000000"/>
              <w:right w:val="single" w:sz="8" w:space="0" w:color="auto"/>
            </w:tcBorders>
            <w:shd w:val="clear" w:color="000000" w:fill="D6E3BC"/>
            <w:vAlign w:val="center"/>
            <w:hideMark/>
          </w:tcPr>
          <w:p w:rsidR="006F3BE0" w:rsidRDefault="006F3BE0" w:rsidP="00205636">
            <w:pPr>
              <w:jc w:val="center"/>
              <w:rPr>
                <w:rFonts w:ascii="Arial" w:hAnsi="Arial" w:cs="Arial"/>
                <w:b/>
                <w:bCs/>
                <w:color w:val="000000"/>
                <w:sz w:val="16"/>
                <w:szCs w:val="16"/>
              </w:rPr>
            </w:pPr>
            <w:r>
              <w:rPr>
                <w:rFonts w:ascii="Arial" w:hAnsi="Arial" w:cs="Arial"/>
                <w:b/>
                <w:bCs/>
                <w:color w:val="000000"/>
                <w:sz w:val="16"/>
                <w:szCs w:val="16"/>
              </w:rPr>
              <w:t xml:space="preserve">Podiel zazmluvnených projektov na celkovej alokácii </w:t>
            </w:r>
          </w:p>
        </w:tc>
        <w:tc>
          <w:tcPr>
            <w:tcW w:w="1280" w:type="dxa"/>
            <w:tcBorders>
              <w:top w:val="single" w:sz="8" w:space="0" w:color="auto"/>
              <w:left w:val="nil"/>
              <w:bottom w:val="single" w:sz="8" w:space="0" w:color="auto"/>
              <w:right w:val="single" w:sz="8" w:space="0" w:color="auto"/>
            </w:tcBorders>
            <w:shd w:val="clear" w:color="000000" w:fill="D6E3BC"/>
            <w:vAlign w:val="center"/>
            <w:hideMark/>
          </w:tcPr>
          <w:p w:rsidR="006F3BE0" w:rsidRDefault="006F3BE0" w:rsidP="00205636">
            <w:pPr>
              <w:jc w:val="center"/>
              <w:rPr>
                <w:rFonts w:ascii="Arial" w:hAnsi="Arial" w:cs="Arial"/>
                <w:b/>
                <w:bCs/>
                <w:color w:val="000000"/>
                <w:sz w:val="16"/>
                <w:szCs w:val="16"/>
              </w:rPr>
            </w:pPr>
            <w:r>
              <w:rPr>
                <w:rFonts w:ascii="Arial" w:hAnsi="Arial" w:cs="Arial"/>
                <w:b/>
                <w:bCs/>
                <w:color w:val="000000"/>
                <w:sz w:val="16"/>
                <w:szCs w:val="16"/>
              </w:rPr>
              <w:t>Suma čerpaná (EÚ zdroje)</w:t>
            </w:r>
          </w:p>
          <w:p w:rsidR="006F3BE0" w:rsidRDefault="006F3BE0" w:rsidP="00205636">
            <w:pPr>
              <w:jc w:val="center"/>
              <w:rPr>
                <w:rFonts w:ascii="Arial" w:hAnsi="Arial" w:cs="Arial"/>
                <w:b/>
                <w:bCs/>
                <w:color w:val="000000"/>
                <w:sz w:val="16"/>
                <w:szCs w:val="16"/>
              </w:rPr>
            </w:pPr>
            <w:r>
              <w:rPr>
                <w:rFonts w:ascii="Arial" w:hAnsi="Arial" w:cs="Arial"/>
                <w:b/>
                <w:bCs/>
                <w:color w:val="000000"/>
                <w:sz w:val="16"/>
                <w:szCs w:val="16"/>
              </w:rPr>
              <w:t>v €</w:t>
            </w:r>
          </w:p>
        </w:tc>
        <w:tc>
          <w:tcPr>
            <w:tcW w:w="1300" w:type="dxa"/>
            <w:tcBorders>
              <w:top w:val="single" w:sz="8" w:space="0" w:color="auto"/>
              <w:left w:val="single" w:sz="8" w:space="0" w:color="auto"/>
              <w:bottom w:val="single" w:sz="8" w:space="0" w:color="000000"/>
              <w:right w:val="single" w:sz="8" w:space="0" w:color="auto"/>
            </w:tcBorders>
            <w:shd w:val="clear" w:color="000000" w:fill="D6E3BC"/>
            <w:vAlign w:val="center"/>
            <w:hideMark/>
          </w:tcPr>
          <w:p w:rsidR="006F3BE0" w:rsidRDefault="006F3BE0" w:rsidP="00205636">
            <w:pPr>
              <w:jc w:val="center"/>
              <w:rPr>
                <w:rFonts w:ascii="Arial" w:hAnsi="Arial" w:cs="Arial"/>
                <w:b/>
                <w:bCs/>
                <w:color w:val="000000"/>
                <w:sz w:val="16"/>
                <w:szCs w:val="16"/>
              </w:rPr>
            </w:pPr>
            <w:r>
              <w:rPr>
                <w:rFonts w:ascii="Arial" w:hAnsi="Arial" w:cs="Arial"/>
                <w:b/>
                <w:bCs/>
                <w:color w:val="000000"/>
                <w:sz w:val="16"/>
                <w:szCs w:val="16"/>
              </w:rPr>
              <w:t>Podiel čerpania projektov na celkovej alokácii</w:t>
            </w:r>
          </w:p>
        </w:tc>
      </w:tr>
      <w:tr w:rsidR="00D70258" w:rsidTr="0039268C">
        <w:trPr>
          <w:trHeight w:val="901"/>
        </w:trPr>
        <w:tc>
          <w:tcPr>
            <w:tcW w:w="1600" w:type="dxa"/>
            <w:tcBorders>
              <w:top w:val="nil"/>
              <w:left w:val="single" w:sz="8" w:space="0" w:color="auto"/>
              <w:bottom w:val="single" w:sz="8" w:space="0" w:color="auto"/>
              <w:right w:val="single" w:sz="8" w:space="0" w:color="auto"/>
            </w:tcBorders>
            <w:shd w:val="clear" w:color="000000" w:fill="EAF1DD"/>
            <w:vAlign w:val="center"/>
            <w:hideMark/>
          </w:tcPr>
          <w:p w:rsidR="00D70258" w:rsidRDefault="00D70258" w:rsidP="00205636">
            <w:pPr>
              <w:rPr>
                <w:rFonts w:ascii="Arial" w:hAnsi="Arial" w:cs="Arial"/>
                <w:color w:val="000000"/>
                <w:sz w:val="16"/>
                <w:szCs w:val="16"/>
              </w:rPr>
            </w:pPr>
            <w:r>
              <w:rPr>
                <w:rFonts w:ascii="Arial" w:hAnsi="Arial" w:cs="Arial"/>
                <w:color w:val="000000"/>
                <w:sz w:val="16"/>
                <w:szCs w:val="16"/>
              </w:rPr>
              <w:t>HT 85 Príprava, vykonávanie, monitorovanie a kontrola</w:t>
            </w:r>
          </w:p>
        </w:tc>
        <w:tc>
          <w:tcPr>
            <w:tcW w:w="1360" w:type="dxa"/>
            <w:tcBorders>
              <w:top w:val="single" w:sz="8" w:space="0" w:color="auto"/>
              <w:left w:val="nil"/>
              <w:bottom w:val="single" w:sz="8" w:space="0" w:color="auto"/>
              <w:right w:val="single" w:sz="8" w:space="0" w:color="auto"/>
            </w:tcBorders>
            <w:shd w:val="clear" w:color="auto" w:fill="auto"/>
            <w:noWrap/>
            <w:vAlign w:val="center"/>
            <w:hideMark/>
          </w:tcPr>
          <w:p w:rsidR="00D70258" w:rsidRDefault="00D70258" w:rsidP="00205636">
            <w:pPr>
              <w:jc w:val="center"/>
              <w:rPr>
                <w:rFonts w:ascii="Arial" w:hAnsi="Arial" w:cs="Arial"/>
                <w:color w:val="000000"/>
                <w:sz w:val="16"/>
                <w:szCs w:val="16"/>
              </w:rPr>
            </w:pPr>
            <w:r>
              <w:rPr>
                <w:rFonts w:ascii="Arial" w:hAnsi="Arial" w:cs="Arial"/>
                <w:color w:val="000000"/>
                <w:sz w:val="16"/>
                <w:szCs w:val="16"/>
              </w:rPr>
              <w:t>32 500 000</w:t>
            </w:r>
          </w:p>
        </w:tc>
        <w:tc>
          <w:tcPr>
            <w:tcW w:w="1380" w:type="dxa"/>
            <w:tcBorders>
              <w:top w:val="single" w:sz="8" w:space="0" w:color="auto"/>
              <w:left w:val="nil"/>
              <w:bottom w:val="single" w:sz="8" w:space="0" w:color="auto"/>
              <w:right w:val="single" w:sz="8" w:space="0" w:color="auto"/>
            </w:tcBorders>
            <w:shd w:val="clear" w:color="auto" w:fill="auto"/>
            <w:noWrap/>
            <w:vAlign w:val="center"/>
            <w:hideMark/>
          </w:tcPr>
          <w:p w:rsidR="00D70258" w:rsidRDefault="00D70258" w:rsidP="00205636">
            <w:pPr>
              <w:jc w:val="center"/>
              <w:rPr>
                <w:rFonts w:ascii="Arial" w:hAnsi="Arial" w:cs="Arial"/>
                <w:color w:val="000000"/>
                <w:sz w:val="16"/>
                <w:szCs w:val="16"/>
              </w:rPr>
            </w:pPr>
            <w:r w:rsidRPr="00B71586">
              <w:rPr>
                <w:rFonts w:ascii="Arial" w:hAnsi="Arial" w:cs="Arial"/>
                <w:color w:val="000000"/>
                <w:sz w:val="16"/>
                <w:szCs w:val="16"/>
              </w:rPr>
              <w:t>29 193 098</w:t>
            </w:r>
          </w:p>
        </w:tc>
        <w:tc>
          <w:tcPr>
            <w:tcW w:w="1340" w:type="dxa"/>
            <w:tcBorders>
              <w:top w:val="nil"/>
              <w:left w:val="nil"/>
              <w:bottom w:val="single" w:sz="8" w:space="0" w:color="auto"/>
              <w:right w:val="single" w:sz="8" w:space="0" w:color="auto"/>
            </w:tcBorders>
            <w:shd w:val="clear" w:color="auto" w:fill="auto"/>
            <w:noWrap/>
            <w:vAlign w:val="center"/>
            <w:hideMark/>
          </w:tcPr>
          <w:p w:rsidR="00D70258" w:rsidRDefault="00D70258" w:rsidP="00205636">
            <w:pPr>
              <w:jc w:val="center"/>
              <w:rPr>
                <w:rFonts w:ascii="Arial" w:hAnsi="Arial" w:cs="Arial"/>
                <w:color w:val="000000"/>
                <w:sz w:val="16"/>
                <w:szCs w:val="16"/>
              </w:rPr>
            </w:pPr>
            <w:r w:rsidRPr="00B71586">
              <w:rPr>
                <w:rFonts w:ascii="Arial" w:hAnsi="Arial" w:cs="Arial"/>
                <w:color w:val="000000"/>
                <w:sz w:val="16"/>
                <w:szCs w:val="16"/>
              </w:rPr>
              <w:t>89,82%</w:t>
            </w:r>
          </w:p>
        </w:tc>
        <w:tc>
          <w:tcPr>
            <w:tcW w:w="1280" w:type="dxa"/>
            <w:tcBorders>
              <w:top w:val="single" w:sz="8" w:space="0" w:color="auto"/>
              <w:left w:val="nil"/>
              <w:bottom w:val="single" w:sz="8" w:space="0" w:color="auto"/>
              <w:right w:val="single" w:sz="8" w:space="0" w:color="auto"/>
            </w:tcBorders>
            <w:shd w:val="clear" w:color="auto" w:fill="auto"/>
            <w:noWrap/>
            <w:vAlign w:val="center"/>
            <w:hideMark/>
          </w:tcPr>
          <w:p w:rsidR="00D70258" w:rsidRDefault="00D70258" w:rsidP="00205636">
            <w:pPr>
              <w:jc w:val="center"/>
              <w:rPr>
                <w:rFonts w:ascii="Arial" w:hAnsi="Arial" w:cs="Arial"/>
                <w:color w:val="000000"/>
                <w:sz w:val="16"/>
                <w:szCs w:val="16"/>
              </w:rPr>
            </w:pPr>
            <w:r w:rsidRPr="00B71586">
              <w:rPr>
                <w:rFonts w:ascii="Arial" w:hAnsi="Arial" w:cs="Arial"/>
                <w:color w:val="000000"/>
                <w:sz w:val="16"/>
                <w:szCs w:val="16"/>
              </w:rPr>
              <w:t>14 925 031</w:t>
            </w:r>
          </w:p>
        </w:tc>
        <w:tc>
          <w:tcPr>
            <w:tcW w:w="1300" w:type="dxa"/>
            <w:tcBorders>
              <w:top w:val="nil"/>
              <w:left w:val="nil"/>
              <w:bottom w:val="single" w:sz="8" w:space="0" w:color="auto"/>
              <w:right w:val="single" w:sz="8" w:space="0" w:color="auto"/>
            </w:tcBorders>
            <w:shd w:val="clear" w:color="auto" w:fill="auto"/>
            <w:noWrap/>
            <w:vAlign w:val="center"/>
            <w:hideMark/>
          </w:tcPr>
          <w:p w:rsidR="00D70258" w:rsidRDefault="00D70258" w:rsidP="00205636">
            <w:pPr>
              <w:jc w:val="center"/>
              <w:rPr>
                <w:rFonts w:ascii="Arial" w:hAnsi="Arial" w:cs="Arial"/>
                <w:color w:val="000000"/>
                <w:sz w:val="16"/>
                <w:szCs w:val="16"/>
              </w:rPr>
            </w:pPr>
            <w:r w:rsidRPr="00B71586">
              <w:rPr>
                <w:rFonts w:ascii="Arial" w:hAnsi="Arial" w:cs="Arial"/>
                <w:color w:val="000000"/>
                <w:sz w:val="16"/>
                <w:szCs w:val="16"/>
              </w:rPr>
              <w:t>45,92%</w:t>
            </w:r>
          </w:p>
        </w:tc>
      </w:tr>
      <w:tr w:rsidR="00D70258" w:rsidTr="0039268C">
        <w:trPr>
          <w:trHeight w:val="844"/>
        </w:trPr>
        <w:tc>
          <w:tcPr>
            <w:tcW w:w="1600" w:type="dxa"/>
            <w:tcBorders>
              <w:top w:val="nil"/>
              <w:left w:val="single" w:sz="8" w:space="0" w:color="auto"/>
              <w:bottom w:val="single" w:sz="8" w:space="0" w:color="auto"/>
              <w:right w:val="single" w:sz="8" w:space="0" w:color="auto"/>
            </w:tcBorders>
            <w:shd w:val="clear" w:color="000000" w:fill="EAF1DD"/>
            <w:vAlign w:val="center"/>
            <w:hideMark/>
          </w:tcPr>
          <w:p w:rsidR="00D70258" w:rsidRDefault="00D70258" w:rsidP="00205636">
            <w:pPr>
              <w:rPr>
                <w:rFonts w:ascii="Arial" w:hAnsi="Arial" w:cs="Arial"/>
                <w:color w:val="000000"/>
                <w:sz w:val="16"/>
                <w:szCs w:val="16"/>
              </w:rPr>
            </w:pPr>
            <w:r>
              <w:rPr>
                <w:rFonts w:ascii="Arial" w:hAnsi="Arial" w:cs="Arial"/>
                <w:color w:val="000000"/>
                <w:sz w:val="16"/>
                <w:szCs w:val="16"/>
              </w:rPr>
              <w:t>HT 86 Hodnotenie a štúdie, informácie a komunikácia</w:t>
            </w:r>
          </w:p>
        </w:tc>
        <w:tc>
          <w:tcPr>
            <w:tcW w:w="1360" w:type="dxa"/>
            <w:tcBorders>
              <w:top w:val="nil"/>
              <w:left w:val="nil"/>
              <w:bottom w:val="single" w:sz="8" w:space="0" w:color="auto"/>
              <w:right w:val="single" w:sz="8" w:space="0" w:color="auto"/>
            </w:tcBorders>
            <w:shd w:val="clear" w:color="auto" w:fill="auto"/>
            <w:noWrap/>
            <w:vAlign w:val="center"/>
            <w:hideMark/>
          </w:tcPr>
          <w:p w:rsidR="00D70258" w:rsidRDefault="00D70258" w:rsidP="00205636">
            <w:pPr>
              <w:jc w:val="center"/>
              <w:rPr>
                <w:rFonts w:ascii="Arial" w:hAnsi="Arial" w:cs="Arial"/>
                <w:color w:val="000000"/>
                <w:sz w:val="16"/>
                <w:szCs w:val="16"/>
              </w:rPr>
            </w:pPr>
            <w:r>
              <w:rPr>
                <w:rFonts w:ascii="Arial" w:hAnsi="Arial" w:cs="Arial"/>
                <w:color w:val="000000"/>
                <w:sz w:val="16"/>
                <w:szCs w:val="16"/>
              </w:rPr>
              <w:t>16 100 000</w:t>
            </w:r>
          </w:p>
        </w:tc>
        <w:tc>
          <w:tcPr>
            <w:tcW w:w="1380" w:type="dxa"/>
            <w:tcBorders>
              <w:top w:val="nil"/>
              <w:left w:val="nil"/>
              <w:bottom w:val="single" w:sz="8" w:space="0" w:color="auto"/>
              <w:right w:val="single" w:sz="8" w:space="0" w:color="auto"/>
            </w:tcBorders>
            <w:shd w:val="clear" w:color="auto" w:fill="auto"/>
            <w:noWrap/>
            <w:vAlign w:val="center"/>
            <w:hideMark/>
          </w:tcPr>
          <w:p w:rsidR="00D70258" w:rsidRDefault="00D70258" w:rsidP="00205636">
            <w:pPr>
              <w:jc w:val="center"/>
              <w:rPr>
                <w:rFonts w:ascii="Arial" w:hAnsi="Arial" w:cs="Arial"/>
                <w:color w:val="000000"/>
                <w:sz w:val="16"/>
                <w:szCs w:val="16"/>
              </w:rPr>
            </w:pPr>
            <w:r w:rsidRPr="00B71586">
              <w:rPr>
                <w:rFonts w:ascii="Arial" w:hAnsi="Arial" w:cs="Arial"/>
                <w:color w:val="000000"/>
                <w:sz w:val="16"/>
                <w:szCs w:val="16"/>
              </w:rPr>
              <w:t>12 488 848</w:t>
            </w:r>
          </w:p>
        </w:tc>
        <w:tc>
          <w:tcPr>
            <w:tcW w:w="1340" w:type="dxa"/>
            <w:tcBorders>
              <w:top w:val="nil"/>
              <w:left w:val="nil"/>
              <w:bottom w:val="single" w:sz="8" w:space="0" w:color="auto"/>
              <w:right w:val="single" w:sz="8" w:space="0" w:color="auto"/>
            </w:tcBorders>
            <w:shd w:val="clear" w:color="auto" w:fill="auto"/>
            <w:noWrap/>
            <w:vAlign w:val="center"/>
            <w:hideMark/>
          </w:tcPr>
          <w:p w:rsidR="00D70258" w:rsidRDefault="00D70258" w:rsidP="00205636">
            <w:pPr>
              <w:jc w:val="center"/>
              <w:rPr>
                <w:rFonts w:ascii="Arial" w:hAnsi="Arial" w:cs="Arial"/>
                <w:color w:val="000000"/>
                <w:sz w:val="16"/>
                <w:szCs w:val="16"/>
              </w:rPr>
            </w:pPr>
            <w:r w:rsidRPr="00B71586">
              <w:rPr>
                <w:rFonts w:ascii="Arial" w:hAnsi="Arial" w:cs="Arial"/>
                <w:color w:val="000000"/>
                <w:sz w:val="16"/>
                <w:szCs w:val="16"/>
              </w:rPr>
              <w:t>77,57%</w:t>
            </w:r>
          </w:p>
        </w:tc>
        <w:tc>
          <w:tcPr>
            <w:tcW w:w="1280" w:type="dxa"/>
            <w:tcBorders>
              <w:top w:val="nil"/>
              <w:left w:val="nil"/>
              <w:bottom w:val="single" w:sz="8" w:space="0" w:color="auto"/>
              <w:right w:val="single" w:sz="8" w:space="0" w:color="auto"/>
            </w:tcBorders>
            <w:shd w:val="clear" w:color="auto" w:fill="auto"/>
            <w:noWrap/>
            <w:vAlign w:val="center"/>
            <w:hideMark/>
          </w:tcPr>
          <w:p w:rsidR="00D70258" w:rsidRDefault="00D70258" w:rsidP="00205636">
            <w:pPr>
              <w:jc w:val="center"/>
              <w:rPr>
                <w:rFonts w:ascii="Arial" w:hAnsi="Arial" w:cs="Arial"/>
                <w:color w:val="000000"/>
                <w:sz w:val="16"/>
                <w:szCs w:val="16"/>
              </w:rPr>
            </w:pPr>
            <w:r w:rsidRPr="00B71586">
              <w:rPr>
                <w:rFonts w:ascii="Arial" w:hAnsi="Arial" w:cs="Arial"/>
                <w:color w:val="000000"/>
                <w:sz w:val="16"/>
                <w:szCs w:val="16"/>
              </w:rPr>
              <w:t>8 578 400</w:t>
            </w:r>
          </w:p>
        </w:tc>
        <w:tc>
          <w:tcPr>
            <w:tcW w:w="1300" w:type="dxa"/>
            <w:tcBorders>
              <w:top w:val="nil"/>
              <w:left w:val="nil"/>
              <w:bottom w:val="single" w:sz="8" w:space="0" w:color="auto"/>
              <w:right w:val="single" w:sz="8" w:space="0" w:color="auto"/>
            </w:tcBorders>
            <w:shd w:val="clear" w:color="auto" w:fill="auto"/>
            <w:noWrap/>
            <w:vAlign w:val="center"/>
            <w:hideMark/>
          </w:tcPr>
          <w:p w:rsidR="00D70258" w:rsidRDefault="00D70258" w:rsidP="00205636">
            <w:pPr>
              <w:jc w:val="center"/>
              <w:rPr>
                <w:rFonts w:ascii="Arial" w:hAnsi="Arial" w:cs="Arial"/>
                <w:color w:val="000000"/>
                <w:sz w:val="16"/>
                <w:szCs w:val="16"/>
              </w:rPr>
            </w:pPr>
            <w:r w:rsidRPr="00B71586">
              <w:rPr>
                <w:rFonts w:ascii="Arial" w:hAnsi="Arial" w:cs="Arial"/>
                <w:color w:val="000000"/>
                <w:sz w:val="16"/>
                <w:szCs w:val="16"/>
              </w:rPr>
              <w:t>53,28%</w:t>
            </w:r>
          </w:p>
        </w:tc>
      </w:tr>
      <w:tr w:rsidR="00D70258" w:rsidTr="006F3BE0">
        <w:trPr>
          <w:trHeight w:val="315"/>
        </w:trPr>
        <w:tc>
          <w:tcPr>
            <w:tcW w:w="1600" w:type="dxa"/>
            <w:tcBorders>
              <w:top w:val="nil"/>
              <w:left w:val="single" w:sz="8" w:space="0" w:color="auto"/>
              <w:bottom w:val="single" w:sz="8" w:space="0" w:color="auto"/>
              <w:right w:val="single" w:sz="8" w:space="0" w:color="auto"/>
            </w:tcBorders>
            <w:shd w:val="clear" w:color="000000" w:fill="EAF1DD"/>
            <w:vAlign w:val="center"/>
            <w:hideMark/>
          </w:tcPr>
          <w:p w:rsidR="00D70258" w:rsidRDefault="00D70258" w:rsidP="00205636">
            <w:pPr>
              <w:rPr>
                <w:rFonts w:ascii="Arial" w:hAnsi="Arial" w:cs="Arial"/>
                <w:b/>
                <w:bCs/>
                <w:color w:val="000000"/>
                <w:sz w:val="16"/>
                <w:szCs w:val="16"/>
              </w:rPr>
            </w:pPr>
            <w:r>
              <w:rPr>
                <w:rFonts w:ascii="Arial" w:hAnsi="Arial" w:cs="Arial"/>
                <w:b/>
                <w:bCs/>
                <w:color w:val="000000"/>
                <w:sz w:val="16"/>
                <w:szCs w:val="16"/>
              </w:rPr>
              <w:t>Spolu</w:t>
            </w:r>
          </w:p>
        </w:tc>
        <w:tc>
          <w:tcPr>
            <w:tcW w:w="1360" w:type="dxa"/>
            <w:tcBorders>
              <w:top w:val="nil"/>
              <w:left w:val="nil"/>
              <w:bottom w:val="single" w:sz="8" w:space="0" w:color="auto"/>
              <w:right w:val="single" w:sz="8" w:space="0" w:color="auto"/>
            </w:tcBorders>
            <w:shd w:val="clear" w:color="000000" w:fill="EAF1DD"/>
            <w:noWrap/>
            <w:vAlign w:val="center"/>
            <w:hideMark/>
          </w:tcPr>
          <w:p w:rsidR="00D70258" w:rsidRDefault="00D70258" w:rsidP="00205636">
            <w:pPr>
              <w:jc w:val="center"/>
              <w:rPr>
                <w:rFonts w:ascii="Arial" w:hAnsi="Arial" w:cs="Arial"/>
                <w:b/>
                <w:bCs/>
                <w:color w:val="000000"/>
                <w:sz w:val="16"/>
                <w:szCs w:val="16"/>
              </w:rPr>
            </w:pPr>
            <w:r>
              <w:rPr>
                <w:rFonts w:ascii="Arial" w:hAnsi="Arial" w:cs="Arial"/>
                <w:b/>
                <w:bCs/>
                <w:color w:val="000000"/>
                <w:sz w:val="16"/>
                <w:szCs w:val="16"/>
              </w:rPr>
              <w:t>48 600 000</w:t>
            </w:r>
          </w:p>
        </w:tc>
        <w:tc>
          <w:tcPr>
            <w:tcW w:w="1380" w:type="dxa"/>
            <w:tcBorders>
              <w:top w:val="nil"/>
              <w:left w:val="nil"/>
              <w:bottom w:val="single" w:sz="8" w:space="0" w:color="auto"/>
              <w:right w:val="single" w:sz="8" w:space="0" w:color="auto"/>
            </w:tcBorders>
            <w:shd w:val="clear" w:color="000000" w:fill="EAF1DD"/>
            <w:noWrap/>
            <w:vAlign w:val="center"/>
            <w:hideMark/>
          </w:tcPr>
          <w:p w:rsidR="00D70258" w:rsidRDefault="00D70258" w:rsidP="00205636">
            <w:pPr>
              <w:jc w:val="center"/>
              <w:rPr>
                <w:rFonts w:ascii="Arial" w:hAnsi="Arial" w:cs="Arial"/>
                <w:b/>
                <w:bCs/>
                <w:color w:val="000000"/>
                <w:sz w:val="16"/>
                <w:szCs w:val="16"/>
              </w:rPr>
            </w:pPr>
            <w:r w:rsidRPr="00B71586">
              <w:rPr>
                <w:rFonts w:ascii="Arial" w:hAnsi="Arial" w:cs="Arial"/>
                <w:b/>
                <w:color w:val="000000"/>
                <w:sz w:val="16"/>
                <w:szCs w:val="16"/>
              </w:rPr>
              <w:t>41 681 946</w:t>
            </w:r>
          </w:p>
        </w:tc>
        <w:tc>
          <w:tcPr>
            <w:tcW w:w="1340" w:type="dxa"/>
            <w:tcBorders>
              <w:top w:val="nil"/>
              <w:left w:val="nil"/>
              <w:bottom w:val="single" w:sz="8" w:space="0" w:color="auto"/>
              <w:right w:val="single" w:sz="8" w:space="0" w:color="auto"/>
            </w:tcBorders>
            <w:shd w:val="clear" w:color="000000" w:fill="EAF1DD"/>
            <w:noWrap/>
            <w:vAlign w:val="center"/>
            <w:hideMark/>
          </w:tcPr>
          <w:p w:rsidR="00D70258" w:rsidRDefault="00D70258" w:rsidP="00205636">
            <w:pPr>
              <w:jc w:val="center"/>
              <w:rPr>
                <w:rFonts w:ascii="Arial" w:hAnsi="Arial" w:cs="Arial"/>
                <w:b/>
                <w:bCs/>
                <w:color w:val="000000"/>
                <w:sz w:val="16"/>
                <w:szCs w:val="16"/>
              </w:rPr>
            </w:pPr>
            <w:r w:rsidRPr="00B71586">
              <w:rPr>
                <w:rFonts w:ascii="Arial" w:hAnsi="Arial" w:cs="Arial"/>
                <w:b/>
                <w:color w:val="000000"/>
                <w:sz w:val="16"/>
                <w:szCs w:val="16"/>
              </w:rPr>
              <w:t>85,77%</w:t>
            </w:r>
          </w:p>
        </w:tc>
        <w:tc>
          <w:tcPr>
            <w:tcW w:w="1280" w:type="dxa"/>
            <w:tcBorders>
              <w:top w:val="nil"/>
              <w:left w:val="nil"/>
              <w:bottom w:val="single" w:sz="8" w:space="0" w:color="auto"/>
              <w:right w:val="single" w:sz="8" w:space="0" w:color="auto"/>
            </w:tcBorders>
            <w:shd w:val="clear" w:color="000000" w:fill="EAF1DD"/>
            <w:noWrap/>
            <w:vAlign w:val="center"/>
            <w:hideMark/>
          </w:tcPr>
          <w:p w:rsidR="00D70258" w:rsidRDefault="00D70258" w:rsidP="00205636">
            <w:pPr>
              <w:jc w:val="center"/>
              <w:rPr>
                <w:rFonts w:ascii="Arial" w:hAnsi="Arial" w:cs="Arial"/>
                <w:b/>
                <w:bCs/>
                <w:color w:val="000000"/>
                <w:sz w:val="16"/>
                <w:szCs w:val="16"/>
              </w:rPr>
            </w:pPr>
            <w:r w:rsidRPr="00B71586">
              <w:rPr>
                <w:rFonts w:ascii="Arial" w:hAnsi="Arial" w:cs="Arial"/>
                <w:b/>
                <w:color w:val="000000"/>
                <w:sz w:val="16"/>
                <w:szCs w:val="16"/>
              </w:rPr>
              <w:t>23 503 431</w:t>
            </w:r>
          </w:p>
        </w:tc>
        <w:tc>
          <w:tcPr>
            <w:tcW w:w="1300" w:type="dxa"/>
            <w:tcBorders>
              <w:top w:val="nil"/>
              <w:left w:val="nil"/>
              <w:bottom w:val="single" w:sz="8" w:space="0" w:color="auto"/>
              <w:right w:val="single" w:sz="8" w:space="0" w:color="auto"/>
            </w:tcBorders>
            <w:shd w:val="clear" w:color="000000" w:fill="EAF1DD"/>
            <w:noWrap/>
            <w:vAlign w:val="center"/>
            <w:hideMark/>
          </w:tcPr>
          <w:p w:rsidR="00D70258" w:rsidRDefault="00D70258" w:rsidP="00205636">
            <w:pPr>
              <w:jc w:val="center"/>
              <w:rPr>
                <w:rFonts w:ascii="Arial" w:hAnsi="Arial" w:cs="Arial"/>
                <w:b/>
                <w:bCs/>
                <w:color w:val="000000"/>
                <w:sz w:val="16"/>
                <w:szCs w:val="16"/>
              </w:rPr>
            </w:pPr>
            <w:r w:rsidRPr="00B71586">
              <w:rPr>
                <w:rFonts w:ascii="Arial" w:hAnsi="Arial" w:cs="Arial"/>
                <w:b/>
                <w:color w:val="000000"/>
                <w:sz w:val="16"/>
                <w:szCs w:val="16"/>
              </w:rPr>
              <w:t>48,36%</w:t>
            </w:r>
          </w:p>
        </w:tc>
      </w:tr>
    </w:tbl>
    <w:p w:rsidR="00B02893" w:rsidRPr="00A322EA" w:rsidRDefault="00000CC9" w:rsidP="00507035">
      <w:pPr>
        <w:pStyle w:val="Zkladntextb"/>
        <w:spacing w:before="120" w:after="120" w:line="360" w:lineRule="auto"/>
        <w:ind w:left="0"/>
        <w:jc w:val="both"/>
        <w:rPr>
          <w:sz w:val="18"/>
          <w:szCs w:val="18"/>
          <w:lang w:val="sk-SK"/>
        </w:rPr>
      </w:pPr>
      <w:r>
        <w:rPr>
          <w:sz w:val="18"/>
          <w:szCs w:val="18"/>
          <w:lang w:val="sk-SK"/>
        </w:rPr>
        <w:t>Zdroj: RO, ITMS</w:t>
      </w:r>
    </w:p>
    <w:p w:rsidR="00205636" w:rsidRDefault="00205636">
      <w:pPr>
        <w:rPr>
          <w:rFonts w:ascii="Arial" w:hAnsi="Arial" w:cs="Arial"/>
          <w:sz w:val="20"/>
          <w:szCs w:val="20"/>
        </w:rPr>
      </w:pPr>
      <w:r>
        <w:rPr>
          <w:rFonts w:cs="Arial"/>
        </w:rPr>
        <w:br w:type="page"/>
      </w:r>
    </w:p>
    <w:p w:rsidR="00B02893" w:rsidRDefault="004B2E7A" w:rsidP="00507035">
      <w:pPr>
        <w:pStyle w:val="Zkladntextb"/>
        <w:spacing w:before="120" w:after="120" w:line="360" w:lineRule="auto"/>
        <w:ind w:left="0"/>
        <w:jc w:val="both"/>
        <w:rPr>
          <w:rFonts w:cs="Arial"/>
          <w:lang w:val="sk-SK"/>
        </w:rPr>
      </w:pPr>
      <w:r>
        <w:rPr>
          <w:rFonts w:cs="Arial"/>
          <w:lang w:val="sk-SK"/>
        </w:rPr>
        <w:t>Graf č. 16</w:t>
      </w:r>
      <w:r w:rsidR="00B02893">
        <w:rPr>
          <w:rFonts w:cs="Arial"/>
          <w:lang w:val="sk-SK"/>
        </w:rPr>
        <w:t xml:space="preserve"> </w:t>
      </w:r>
      <w:r w:rsidR="00B02893" w:rsidRPr="006A2BF3">
        <w:rPr>
          <w:rFonts w:cs="Arial"/>
          <w:lang w:val="sk-SK"/>
        </w:rPr>
        <w:t xml:space="preserve">Prioritná os </w:t>
      </w:r>
      <w:r w:rsidR="00B02893">
        <w:rPr>
          <w:rFonts w:cs="Arial"/>
          <w:lang w:val="sk-SK"/>
        </w:rPr>
        <w:t xml:space="preserve">6 </w:t>
      </w:r>
      <w:r w:rsidR="00B02893" w:rsidRPr="006A2BF3">
        <w:rPr>
          <w:rFonts w:cs="Arial"/>
          <w:lang w:val="sk-SK"/>
        </w:rPr>
        <w:t xml:space="preserve">- Prioritné témy </w:t>
      </w:r>
      <w:r w:rsidR="00B02893">
        <w:rPr>
          <w:rFonts w:cs="Arial"/>
          <w:lang w:val="sk-SK"/>
        </w:rPr>
        <w:t>85 Príprava, vykonávanie, monitorovanie a kontrola a 86 Hodnotenie a štúdie, informácie a komunikácia</w:t>
      </w:r>
    </w:p>
    <w:p w:rsidR="00B02893" w:rsidRDefault="00587FAE" w:rsidP="00507035">
      <w:pPr>
        <w:pStyle w:val="Zkladntextb"/>
        <w:spacing w:before="120" w:after="120" w:line="360" w:lineRule="auto"/>
        <w:ind w:left="0"/>
        <w:jc w:val="center"/>
        <w:rPr>
          <w:rFonts w:cs="Arial"/>
          <w:lang w:val="sk-SK"/>
        </w:rPr>
      </w:pPr>
      <w:r>
        <w:rPr>
          <w:noProof/>
          <w:lang w:val="sk-SK"/>
        </w:rPr>
        <w:drawing>
          <wp:inline distT="0" distB="0" distL="0" distR="0" wp14:anchorId="51BCC73A" wp14:editId="5233D383">
            <wp:extent cx="5494655" cy="2950210"/>
            <wp:effectExtent l="0" t="0" r="0" b="0"/>
            <wp:docPr id="18" name="Objekt 18"/>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60"/>
              </a:graphicData>
            </a:graphic>
          </wp:inline>
        </w:drawing>
      </w:r>
    </w:p>
    <w:tbl>
      <w:tblPr>
        <w:tblpPr w:leftFromText="141" w:rightFromText="141" w:vertAnchor="text" w:horzAnchor="margin" w:tblpY="232"/>
        <w:tblW w:w="1771" w:type="dxa"/>
        <w:tblCellMar>
          <w:left w:w="70" w:type="dxa"/>
          <w:right w:w="70" w:type="dxa"/>
        </w:tblCellMar>
        <w:tblLook w:val="04A0" w:firstRow="1" w:lastRow="0" w:firstColumn="1" w:lastColumn="0" w:noHBand="0" w:noVBand="1"/>
      </w:tblPr>
      <w:tblGrid>
        <w:gridCol w:w="202"/>
        <w:gridCol w:w="1576"/>
      </w:tblGrid>
      <w:tr w:rsidR="00B02893" w:rsidRPr="00A322EA" w:rsidTr="00923048">
        <w:trPr>
          <w:trHeight w:val="284"/>
        </w:trPr>
        <w:tc>
          <w:tcPr>
            <w:tcW w:w="195" w:type="dxa"/>
            <w:tcBorders>
              <w:top w:val="nil"/>
              <w:left w:val="nil"/>
              <w:bottom w:val="nil"/>
              <w:right w:val="nil"/>
            </w:tcBorders>
            <w:shd w:val="clear" w:color="000000" w:fill="C00000"/>
            <w:noWrap/>
            <w:vAlign w:val="bottom"/>
            <w:hideMark/>
          </w:tcPr>
          <w:p w:rsidR="00B02893" w:rsidRPr="00A322EA" w:rsidRDefault="00B02893" w:rsidP="00507035">
            <w:pPr>
              <w:spacing w:before="120" w:after="120"/>
              <w:rPr>
                <w:rFonts w:ascii="Arial" w:hAnsi="Arial" w:cs="Arial"/>
                <w:color w:val="000000"/>
                <w:sz w:val="22"/>
                <w:szCs w:val="22"/>
              </w:rPr>
            </w:pPr>
            <w:r w:rsidRPr="00A322EA">
              <w:rPr>
                <w:rFonts w:ascii="Arial" w:hAnsi="Arial" w:cs="Arial"/>
                <w:color w:val="000000"/>
                <w:sz w:val="22"/>
                <w:szCs w:val="22"/>
              </w:rPr>
              <w:t> </w:t>
            </w:r>
          </w:p>
        </w:tc>
        <w:tc>
          <w:tcPr>
            <w:tcW w:w="1576" w:type="dxa"/>
            <w:tcBorders>
              <w:top w:val="nil"/>
              <w:left w:val="nil"/>
              <w:bottom w:val="nil"/>
              <w:right w:val="nil"/>
            </w:tcBorders>
            <w:noWrap/>
            <w:vAlign w:val="center"/>
            <w:hideMark/>
          </w:tcPr>
          <w:p w:rsidR="00B02893" w:rsidRPr="00A322EA" w:rsidRDefault="00B02893" w:rsidP="00507035">
            <w:pPr>
              <w:spacing w:before="120" w:after="120"/>
              <w:rPr>
                <w:rFonts w:ascii="Arial" w:hAnsi="Arial" w:cs="Arial"/>
                <w:color w:val="000000"/>
                <w:sz w:val="16"/>
                <w:szCs w:val="16"/>
              </w:rPr>
            </w:pPr>
            <w:r w:rsidRPr="00A322EA">
              <w:rPr>
                <w:rFonts w:ascii="Arial" w:hAnsi="Arial" w:cs="Arial"/>
                <w:color w:val="000000"/>
                <w:sz w:val="16"/>
                <w:szCs w:val="16"/>
              </w:rPr>
              <w:t>Úroveň zazmluvnenia</w:t>
            </w:r>
          </w:p>
        </w:tc>
      </w:tr>
      <w:tr w:rsidR="00B02893" w:rsidRPr="00A322EA" w:rsidTr="00923048">
        <w:trPr>
          <w:trHeight w:val="227"/>
        </w:trPr>
        <w:tc>
          <w:tcPr>
            <w:tcW w:w="195" w:type="dxa"/>
            <w:tcBorders>
              <w:top w:val="nil"/>
              <w:left w:val="nil"/>
              <w:bottom w:val="nil"/>
              <w:right w:val="nil"/>
            </w:tcBorders>
            <w:shd w:val="clear" w:color="000000" w:fill="0070C0"/>
            <w:noWrap/>
            <w:vAlign w:val="bottom"/>
            <w:hideMark/>
          </w:tcPr>
          <w:p w:rsidR="00B02893" w:rsidRPr="00A322EA" w:rsidRDefault="00B02893" w:rsidP="00507035">
            <w:pPr>
              <w:spacing w:before="120" w:after="120"/>
              <w:rPr>
                <w:rFonts w:ascii="Arial" w:hAnsi="Arial" w:cs="Arial"/>
                <w:color w:val="000000"/>
                <w:sz w:val="22"/>
                <w:szCs w:val="22"/>
              </w:rPr>
            </w:pPr>
            <w:r w:rsidRPr="00A322EA">
              <w:rPr>
                <w:rFonts w:ascii="Arial" w:hAnsi="Arial" w:cs="Arial"/>
                <w:color w:val="000000"/>
                <w:sz w:val="22"/>
                <w:szCs w:val="22"/>
              </w:rPr>
              <w:t> </w:t>
            </w:r>
          </w:p>
        </w:tc>
        <w:tc>
          <w:tcPr>
            <w:tcW w:w="1576" w:type="dxa"/>
            <w:tcBorders>
              <w:top w:val="nil"/>
              <w:left w:val="nil"/>
              <w:bottom w:val="nil"/>
              <w:right w:val="nil"/>
            </w:tcBorders>
            <w:noWrap/>
            <w:vAlign w:val="center"/>
            <w:hideMark/>
          </w:tcPr>
          <w:p w:rsidR="00B02893" w:rsidRPr="00A322EA" w:rsidRDefault="00B02893" w:rsidP="00507035">
            <w:pPr>
              <w:spacing w:before="120" w:after="120"/>
              <w:rPr>
                <w:rFonts w:ascii="Arial" w:hAnsi="Arial" w:cs="Arial"/>
                <w:color w:val="000000"/>
                <w:sz w:val="16"/>
                <w:szCs w:val="16"/>
              </w:rPr>
            </w:pPr>
            <w:r w:rsidRPr="00A322EA">
              <w:rPr>
                <w:rFonts w:ascii="Arial" w:hAnsi="Arial" w:cs="Arial"/>
                <w:color w:val="000000"/>
                <w:sz w:val="16"/>
                <w:szCs w:val="16"/>
              </w:rPr>
              <w:t>Úroveň čerpania</w:t>
            </w:r>
          </w:p>
        </w:tc>
      </w:tr>
    </w:tbl>
    <w:p w:rsidR="00B02893" w:rsidRPr="006A2BF3" w:rsidRDefault="00B02893" w:rsidP="00507035">
      <w:pPr>
        <w:spacing w:before="120" w:after="120" w:line="360" w:lineRule="auto"/>
        <w:jc w:val="both"/>
        <w:rPr>
          <w:rFonts w:ascii="Arial" w:hAnsi="Arial" w:cs="Arial"/>
          <w:sz w:val="20"/>
          <w:szCs w:val="20"/>
        </w:rPr>
      </w:pPr>
      <w:r w:rsidRPr="006A2BF3">
        <w:rPr>
          <w:rFonts w:ascii="Arial" w:hAnsi="Arial" w:cs="Arial"/>
          <w:sz w:val="20"/>
          <w:szCs w:val="20"/>
        </w:rPr>
        <w:t>V rá</w:t>
      </w:r>
      <w:r>
        <w:rPr>
          <w:rFonts w:ascii="Arial" w:hAnsi="Arial" w:cs="Arial"/>
          <w:sz w:val="20"/>
          <w:szCs w:val="20"/>
        </w:rPr>
        <w:t>mci prioritnej témy 85 je k 31.12.</w:t>
      </w:r>
      <w:r w:rsidRPr="006A2BF3">
        <w:rPr>
          <w:rFonts w:ascii="Arial" w:hAnsi="Arial" w:cs="Arial"/>
          <w:sz w:val="20"/>
          <w:szCs w:val="20"/>
        </w:rPr>
        <w:t>201</w:t>
      </w:r>
      <w:r w:rsidR="005C4A89">
        <w:rPr>
          <w:rFonts w:ascii="Arial" w:hAnsi="Arial" w:cs="Arial"/>
          <w:sz w:val="20"/>
          <w:szCs w:val="20"/>
        </w:rPr>
        <w:t>2</w:t>
      </w:r>
      <w:r w:rsidRPr="006A2BF3">
        <w:rPr>
          <w:rFonts w:ascii="Arial" w:hAnsi="Arial" w:cs="Arial"/>
          <w:sz w:val="20"/>
          <w:szCs w:val="20"/>
        </w:rPr>
        <w:t xml:space="preserve"> zazmluvnená suma projektov na úrovni </w:t>
      </w:r>
      <w:r w:rsidR="005C4A89">
        <w:rPr>
          <w:rFonts w:ascii="Arial" w:hAnsi="Arial" w:cs="Arial"/>
          <w:sz w:val="20"/>
          <w:szCs w:val="20"/>
        </w:rPr>
        <w:t>69,25</w:t>
      </w:r>
      <w:r w:rsidRPr="006A2BF3">
        <w:rPr>
          <w:rFonts w:ascii="Arial" w:hAnsi="Arial" w:cs="Arial"/>
          <w:sz w:val="20"/>
          <w:szCs w:val="20"/>
        </w:rPr>
        <w:t>% z celkovej alokácie na prioritnú os 6. V rámci uve</w:t>
      </w:r>
      <w:r>
        <w:rPr>
          <w:rFonts w:ascii="Arial" w:hAnsi="Arial" w:cs="Arial"/>
          <w:sz w:val="20"/>
          <w:szCs w:val="20"/>
        </w:rPr>
        <w:t xml:space="preserve">denej prioritnej témy vykazuje </w:t>
      </w:r>
      <w:r w:rsidRPr="006A2BF3">
        <w:rPr>
          <w:rFonts w:ascii="Arial" w:hAnsi="Arial" w:cs="Arial"/>
          <w:sz w:val="20"/>
          <w:szCs w:val="20"/>
        </w:rPr>
        <w:t xml:space="preserve">ukazovateľ „Počet zamestnancov, ktorých platy sú hradené z TA“ hodnotu </w:t>
      </w:r>
      <w:r w:rsidR="005C4A89">
        <w:rPr>
          <w:rFonts w:ascii="Arial" w:hAnsi="Arial" w:cs="Arial"/>
          <w:sz w:val="20"/>
          <w:szCs w:val="20"/>
        </w:rPr>
        <w:t>96,67</w:t>
      </w:r>
      <w:r w:rsidR="0065734F">
        <w:rPr>
          <w:rFonts w:ascii="Arial" w:hAnsi="Arial" w:cs="Arial"/>
          <w:sz w:val="20"/>
          <w:szCs w:val="20"/>
        </w:rPr>
        <w:t xml:space="preserve"> </w:t>
      </w:r>
      <w:r w:rsidRPr="006A2BF3">
        <w:rPr>
          <w:rFonts w:ascii="Arial" w:hAnsi="Arial" w:cs="Arial"/>
          <w:sz w:val="20"/>
          <w:szCs w:val="20"/>
        </w:rPr>
        <w:t xml:space="preserve">% z plánovanej hodnoty, čo dokazuje, že uvedený ukazovateľ bol </w:t>
      </w:r>
      <w:r w:rsidR="005C4A89">
        <w:rPr>
          <w:rFonts w:ascii="Arial" w:hAnsi="Arial" w:cs="Arial"/>
          <w:sz w:val="20"/>
          <w:szCs w:val="20"/>
        </w:rPr>
        <w:t xml:space="preserve">takmer </w:t>
      </w:r>
      <w:r w:rsidRPr="006A2BF3">
        <w:rPr>
          <w:rFonts w:ascii="Arial" w:hAnsi="Arial" w:cs="Arial"/>
          <w:sz w:val="20"/>
          <w:szCs w:val="20"/>
        </w:rPr>
        <w:t>naplnený. Rovnako</w:t>
      </w:r>
      <w:r>
        <w:rPr>
          <w:rFonts w:ascii="Arial" w:hAnsi="Arial" w:cs="Arial"/>
          <w:sz w:val="20"/>
          <w:szCs w:val="20"/>
        </w:rPr>
        <w:t xml:space="preserve"> je možné vyhodnotiť napĺňanie </w:t>
      </w:r>
      <w:r w:rsidRPr="006A2BF3">
        <w:rPr>
          <w:rFonts w:ascii="Arial" w:hAnsi="Arial" w:cs="Arial"/>
          <w:sz w:val="20"/>
          <w:szCs w:val="20"/>
        </w:rPr>
        <w:t xml:space="preserve">ukazovateľa „Počet novovytvorených pracovných miest“, kde je vykazovaná hodnota </w:t>
      </w:r>
      <w:r w:rsidR="005C4A89">
        <w:rPr>
          <w:rFonts w:ascii="Arial" w:hAnsi="Arial" w:cs="Arial"/>
          <w:sz w:val="20"/>
          <w:szCs w:val="20"/>
        </w:rPr>
        <w:t>87,80</w:t>
      </w:r>
      <w:r w:rsidR="0065734F">
        <w:rPr>
          <w:rFonts w:ascii="Arial" w:hAnsi="Arial" w:cs="Arial"/>
          <w:sz w:val="20"/>
          <w:szCs w:val="20"/>
        </w:rPr>
        <w:t xml:space="preserve"> </w:t>
      </w:r>
      <w:r w:rsidR="005C4A89">
        <w:rPr>
          <w:rFonts w:ascii="Arial" w:hAnsi="Arial" w:cs="Arial"/>
          <w:sz w:val="20"/>
          <w:szCs w:val="20"/>
        </w:rPr>
        <w:t>%</w:t>
      </w:r>
      <w:r w:rsidRPr="006A2BF3">
        <w:rPr>
          <w:rFonts w:ascii="Arial" w:hAnsi="Arial" w:cs="Arial"/>
          <w:sz w:val="20"/>
          <w:szCs w:val="20"/>
        </w:rPr>
        <w:t xml:space="preserve"> z plánovanej hodnoty. Uvedené dva</w:t>
      </w:r>
      <w:r>
        <w:rPr>
          <w:rFonts w:ascii="Arial" w:hAnsi="Arial" w:cs="Arial"/>
          <w:sz w:val="20"/>
          <w:szCs w:val="20"/>
        </w:rPr>
        <w:t xml:space="preserve"> ukazovatele sú navzájom úzko prepojené, </w:t>
      </w:r>
      <w:r w:rsidRPr="006A2BF3">
        <w:rPr>
          <w:rFonts w:ascii="Arial" w:hAnsi="Arial" w:cs="Arial"/>
          <w:sz w:val="20"/>
          <w:szCs w:val="20"/>
        </w:rPr>
        <w:t>a to tak, že ukazovateľ „počet zamestnancov, ktorých platy sú hradené z TA“ obsahuje východiskovú hodnotu pracovných miest z predchádzajúceho programového obdobia (109), t.j. hodnota 150 zamestnancov tvorí nárast o 41 zamestnancov, ktorý predstavuje plánovanú hodnotu indikátora „počet novovytvorených pracovných miest“.</w:t>
      </w:r>
    </w:p>
    <w:p w:rsidR="00B02893" w:rsidRPr="006A2BF3" w:rsidRDefault="00B02893" w:rsidP="00507035">
      <w:pPr>
        <w:spacing w:before="120" w:after="120" w:line="360" w:lineRule="auto"/>
        <w:jc w:val="both"/>
        <w:rPr>
          <w:rFonts w:ascii="Arial" w:hAnsi="Arial" w:cs="Arial"/>
          <w:sz w:val="20"/>
          <w:szCs w:val="20"/>
        </w:rPr>
      </w:pPr>
      <w:r w:rsidRPr="006A2BF3">
        <w:rPr>
          <w:rFonts w:ascii="Arial" w:hAnsi="Arial" w:cs="Arial"/>
          <w:sz w:val="20"/>
          <w:szCs w:val="20"/>
        </w:rPr>
        <w:t>Prekročenie naplnených hodnôt uvedených ukazovateľov vyplýva zo skutočnosti, že i ukazovatele stanovené v operačnom programe nekorešpondujú s hodnotami schválenými</w:t>
      </w:r>
      <w:r>
        <w:rPr>
          <w:rFonts w:ascii="Arial" w:hAnsi="Arial" w:cs="Arial"/>
          <w:sz w:val="20"/>
          <w:szCs w:val="20"/>
        </w:rPr>
        <w:t xml:space="preserve"> </w:t>
      </w:r>
      <w:r w:rsidRPr="006A2BF3">
        <w:rPr>
          <w:rFonts w:ascii="Arial" w:hAnsi="Arial" w:cs="Arial"/>
          <w:sz w:val="20"/>
          <w:szCs w:val="20"/>
        </w:rPr>
        <w:t>uznesením vlády SR</w:t>
      </w:r>
      <w:r w:rsidRPr="006A2BF3">
        <w:rPr>
          <w:rFonts w:ascii="Arial" w:hAnsi="Arial" w:cs="Arial"/>
          <w:sz w:val="20"/>
          <w:szCs w:val="20"/>
        </w:rPr>
        <w:br/>
        <w:t>č. 396/2007, kde bol v rámci administratívnych kapacít schválený počet zamestnancov, podieľajúcich sa na implementácii OP ŽP, vo výške 160. Uvedená skutočnosť bola premietnutá do projektov</w:t>
      </w:r>
      <w:r>
        <w:rPr>
          <w:rFonts w:ascii="Arial" w:hAnsi="Arial" w:cs="Arial"/>
          <w:sz w:val="20"/>
          <w:szCs w:val="20"/>
        </w:rPr>
        <w:t xml:space="preserve"> </w:t>
      </w:r>
      <w:r w:rsidRPr="006A2BF3">
        <w:rPr>
          <w:rFonts w:ascii="Arial" w:hAnsi="Arial" w:cs="Arial"/>
          <w:sz w:val="20"/>
          <w:szCs w:val="20"/>
        </w:rPr>
        <w:t>technickej pomoci, kde boli cieľové hodnoty merateľných ukazovateľov stanovené v súlade s uznesením vlády.</w:t>
      </w:r>
    </w:p>
    <w:p w:rsidR="00B02893" w:rsidRPr="006A2BF3" w:rsidRDefault="00B02893" w:rsidP="00507035">
      <w:pPr>
        <w:spacing w:before="120" w:after="120" w:line="360" w:lineRule="auto"/>
        <w:jc w:val="both"/>
        <w:rPr>
          <w:rStyle w:val="Heading1Char"/>
          <w:rFonts w:ascii="Arial" w:hAnsi="Arial" w:cs="Arial"/>
          <w:sz w:val="20"/>
          <w:szCs w:val="20"/>
        </w:rPr>
      </w:pPr>
      <w:r w:rsidRPr="006A2BF3">
        <w:rPr>
          <w:rFonts w:ascii="Arial" w:hAnsi="Arial" w:cs="Arial"/>
          <w:sz w:val="20"/>
          <w:szCs w:val="20"/>
        </w:rPr>
        <w:t xml:space="preserve">V rámci </w:t>
      </w:r>
      <w:r>
        <w:rPr>
          <w:rFonts w:ascii="Arial" w:hAnsi="Arial" w:cs="Arial"/>
          <w:sz w:val="20"/>
          <w:szCs w:val="20"/>
        </w:rPr>
        <w:t>prioritnej témy 86 je k 31 12.</w:t>
      </w:r>
      <w:r w:rsidRPr="006A2BF3">
        <w:rPr>
          <w:rFonts w:ascii="Arial" w:hAnsi="Arial" w:cs="Arial"/>
          <w:sz w:val="20"/>
          <w:szCs w:val="20"/>
        </w:rPr>
        <w:t>201</w:t>
      </w:r>
      <w:r w:rsidR="00E75B4E">
        <w:rPr>
          <w:rFonts w:ascii="Arial" w:hAnsi="Arial" w:cs="Arial"/>
          <w:sz w:val="20"/>
          <w:szCs w:val="20"/>
        </w:rPr>
        <w:t>2</w:t>
      </w:r>
      <w:r w:rsidRPr="006A2BF3">
        <w:rPr>
          <w:rFonts w:ascii="Arial" w:hAnsi="Arial" w:cs="Arial"/>
          <w:sz w:val="20"/>
          <w:szCs w:val="20"/>
        </w:rPr>
        <w:t xml:space="preserve"> zazmluvnená suma projektov na úrovni </w:t>
      </w:r>
      <w:r w:rsidR="00E75B4E">
        <w:rPr>
          <w:rFonts w:ascii="Arial" w:hAnsi="Arial" w:cs="Arial"/>
          <w:sz w:val="20"/>
          <w:szCs w:val="20"/>
        </w:rPr>
        <w:t>59,29</w:t>
      </w:r>
      <w:r w:rsidR="0065734F">
        <w:rPr>
          <w:rFonts w:ascii="Arial" w:hAnsi="Arial" w:cs="Arial"/>
          <w:sz w:val="20"/>
          <w:szCs w:val="20"/>
        </w:rPr>
        <w:t xml:space="preserve"> </w:t>
      </w:r>
      <w:r w:rsidRPr="006A2BF3">
        <w:rPr>
          <w:rFonts w:ascii="Arial" w:hAnsi="Arial" w:cs="Arial"/>
          <w:sz w:val="20"/>
          <w:szCs w:val="20"/>
        </w:rPr>
        <w:t xml:space="preserve">% z celkovej alokácie na uvedenú prioritnú tému v rámci prioritnej osi 6. Ukazovateľ, sledovaný v rámci predmetnej prioritnej témy, a to Počet zrealizovaných akcií na informovanie verejnosti o OP ŽP, vykazuje hodnotu </w:t>
      </w:r>
      <w:r w:rsidR="00E75B4E">
        <w:rPr>
          <w:rFonts w:ascii="Arial" w:hAnsi="Arial" w:cs="Arial"/>
          <w:sz w:val="20"/>
          <w:szCs w:val="20"/>
        </w:rPr>
        <w:t>447,5</w:t>
      </w:r>
      <w:r w:rsidR="0065734F">
        <w:rPr>
          <w:rFonts w:ascii="Arial" w:hAnsi="Arial" w:cs="Arial"/>
          <w:sz w:val="20"/>
          <w:szCs w:val="20"/>
        </w:rPr>
        <w:t xml:space="preserve"> </w:t>
      </w:r>
      <w:r w:rsidRPr="006A2BF3">
        <w:rPr>
          <w:rFonts w:ascii="Arial" w:hAnsi="Arial" w:cs="Arial"/>
          <w:sz w:val="20"/>
          <w:szCs w:val="20"/>
        </w:rPr>
        <w:t xml:space="preserve">% z plánovanej hodnoty, čo poukazuje na jeho napĺňanie Naplnená hodnota daného </w:t>
      </w:r>
      <w:r w:rsidR="006A6673">
        <w:rPr>
          <w:rFonts w:ascii="Arial" w:hAnsi="Arial" w:cs="Arial"/>
          <w:sz w:val="20"/>
          <w:szCs w:val="20"/>
        </w:rPr>
        <w:t>ukazovateľa</w:t>
      </w:r>
      <w:r w:rsidR="006A6673" w:rsidRPr="006A2BF3">
        <w:rPr>
          <w:rFonts w:ascii="Arial" w:hAnsi="Arial" w:cs="Arial"/>
          <w:sz w:val="20"/>
          <w:szCs w:val="20"/>
        </w:rPr>
        <w:t xml:space="preserve"> </w:t>
      </w:r>
      <w:r w:rsidRPr="006A2BF3">
        <w:rPr>
          <w:rFonts w:ascii="Arial" w:hAnsi="Arial" w:cs="Arial"/>
          <w:sz w:val="20"/>
          <w:szCs w:val="20"/>
        </w:rPr>
        <w:t>bola p</w:t>
      </w:r>
      <w:r>
        <w:rPr>
          <w:rFonts w:ascii="Arial" w:hAnsi="Arial" w:cs="Arial"/>
          <w:sz w:val="20"/>
          <w:szCs w:val="20"/>
        </w:rPr>
        <w:t xml:space="preserve">rekročená z dôvodu, že hodnota </w:t>
      </w:r>
      <w:r w:rsidRPr="006A2BF3">
        <w:rPr>
          <w:rFonts w:ascii="Arial" w:hAnsi="Arial" w:cs="Arial"/>
          <w:sz w:val="20"/>
          <w:szCs w:val="20"/>
        </w:rPr>
        <w:t>ukazovateľa v operačnom programe odzrkadľovala len údaje za Riadiaci orgán, nie za všetky oprávnené subjekty v rámci</w:t>
      </w:r>
      <w:r>
        <w:rPr>
          <w:rFonts w:ascii="Arial" w:hAnsi="Arial" w:cs="Arial"/>
          <w:sz w:val="20"/>
          <w:szCs w:val="20"/>
        </w:rPr>
        <w:t xml:space="preserve"> </w:t>
      </w:r>
      <w:r w:rsidRPr="006A2BF3">
        <w:rPr>
          <w:rFonts w:ascii="Arial" w:hAnsi="Arial" w:cs="Arial"/>
          <w:sz w:val="20"/>
          <w:szCs w:val="20"/>
        </w:rPr>
        <w:t>prioritnej osi 6.</w:t>
      </w:r>
    </w:p>
    <w:p w:rsidR="00B02893" w:rsidRDefault="00B02893" w:rsidP="00507035">
      <w:pPr>
        <w:pStyle w:val="Zkladntextb"/>
        <w:spacing w:before="120" w:after="120" w:line="360" w:lineRule="auto"/>
        <w:ind w:left="0"/>
        <w:jc w:val="both"/>
        <w:rPr>
          <w:rFonts w:cs="Arial"/>
          <w:lang w:val="sk-SK"/>
        </w:rPr>
      </w:pPr>
      <w:r w:rsidRPr="006A2BF3">
        <w:rPr>
          <w:rFonts w:cs="Arial"/>
          <w:lang w:val="sk-SK"/>
        </w:rPr>
        <w:t>V nadväznosti na čerpanie finančných prostriedkov v rámci jednotlivých prioritných tém prioritnej osi 6</w:t>
      </w:r>
      <w:r>
        <w:rPr>
          <w:rFonts w:cs="Arial"/>
          <w:lang w:val="sk-SK"/>
        </w:rPr>
        <w:t xml:space="preserve"> </w:t>
      </w:r>
      <w:r w:rsidRPr="006A2BF3">
        <w:rPr>
          <w:rFonts w:cs="Arial"/>
          <w:lang w:val="sk-SK"/>
        </w:rPr>
        <w:t>je možné celkov</w:t>
      </w:r>
      <w:r>
        <w:rPr>
          <w:rFonts w:cs="Arial"/>
          <w:lang w:val="sk-SK"/>
        </w:rPr>
        <w:t xml:space="preserve">o vyhodnotiť napĺňanie </w:t>
      </w:r>
      <w:r w:rsidRPr="006A2BF3">
        <w:rPr>
          <w:rFonts w:cs="Arial"/>
          <w:lang w:val="sk-SK"/>
        </w:rPr>
        <w:t>ukazovateľov ako úspešné.</w:t>
      </w:r>
    </w:p>
    <w:p w:rsidR="00205636" w:rsidRDefault="00205636" w:rsidP="00507035">
      <w:pPr>
        <w:pStyle w:val="Zkladntextb"/>
        <w:spacing w:before="120" w:after="120" w:line="360" w:lineRule="auto"/>
        <w:ind w:left="0"/>
        <w:jc w:val="both"/>
        <w:rPr>
          <w:rFonts w:cs="Arial"/>
          <w:lang w:val="sk-SK"/>
        </w:rPr>
      </w:pPr>
    </w:p>
    <w:p w:rsidR="002416B1" w:rsidRDefault="002416B1" w:rsidP="00507035">
      <w:pPr>
        <w:pStyle w:val="Nadpis2"/>
        <w:spacing w:before="120" w:after="120" w:line="360" w:lineRule="auto"/>
      </w:pPr>
      <w:r>
        <w:t>3.7. Prioritná os 7</w:t>
      </w:r>
      <w:r w:rsidRPr="004B33AE">
        <w:t xml:space="preserve"> </w:t>
      </w:r>
      <w:r w:rsidRPr="006A2BF3">
        <w:t xml:space="preserve">Budovanie </w:t>
      </w:r>
      <w:bookmarkStart w:id="106" w:name="OLE_LINK38"/>
      <w:bookmarkStart w:id="107" w:name="OLE_LINK45"/>
      <w:r w:rsidRPr="006A2BF3">
        <w:t>povodňového varovného a predpovedného systému</w:t>
      </w:r>
      <w:bookmarkEnd w:id="105"/>
      <w:bookmarkEnd w:id="106"/>
      <w:bookmarkEnd w:id="107"/>
    </w:p>
    <w:p w:rsidR="002416B1" w:rsidRPr="006A2BF3" w:rsidRDefault="002416B1" w:rsidP="00507035">
      <w:pPr>
        <w:spacing w:before="120" w:after="120" w:line="360" w:lineRule="auto"/>
        <w:jc w:val="both"/>
        <w:rPr>
          <w:rFonts w:ascii="Arial" w:hAnsi="Arial" w:cs="Arial"/>
          <w:sz w:val="20"/>
          <w:szCs w:val="20"/>
        </w:rPr>
      </w:pPr>
      <w:r>
        <w:rPr>
          <w:rFonts w:ascii="Arial" w:hAnsi="Arial" w:cs="Arial"/>
          <w:sz w:val="20"/>
          <w:szCs w:val="20"/>
        </w:rPr>
        <w:t>Cieľom prioritnej osi je z</w:t>
      </w:r>
      <w:r w:rsidRPr="006A2BF3">
        <w:rPr>
          <w:rFonts w:ascii="Arial" w:hAnsi="Arial" w:cs="Arial"/>
          <w:sz w:val="20"/>
          <w:szCs w:val="20"/>
        </w:rPr>
        <w:t>abezpečenie prevencie a zníženie rizika ohrozenia obyvateľstva povodňami a</w:t>
      </w:r>
      <w:r>
        <w:rPr>
          <w:rFonts w:ascii="Arial" w:hAnsi="Arial" w:cs="Arial"/>
          <w:sz w:val="20"/>
          <w:szCs w:val="20"/>
        </w:rPr>
        <w:t> </w:t>
      </w:r>
      <w:r w:rsidRPr="006A2BF3">
        <w:rPr>
          <w:rFonts w:ascii="Arial" w:hAnsi="Arial" w:cs="Arial"/>
          <w:sz w:val="20"/>
          <w:szCs w:val="20"/>
        </w:rPr>
        <w:t>vzniku</w:t>
      </w:r>
      <w:r>
        <w:rPr>
          <w:rFonts w:ascii="Arial" w:hAnsi="Arial" w:cs="Arial"/>
          <w:sz w:val="20"/>
          <w:szCs w:val="20"/>
        </w:rPr>
        <w:t xml:space="preserve"> </w:t>
      </w:r>
      <w:r w:rsidRPr="006A2BF3">
        <w:rPr>
          <w:rFonts w:ascii="Arial" w:hAnsi="Arial" w:cs="Arial"/>
          <w:sz w:val="20"/>
          <w:szCs w:val="20"/>
        </w:rPr>
        <w:t>povodňových škôd</w:t>
      </w:r>
      <w:r>
        <w:rPr>
          <w:rFonts w:ascii="Arial" w:hAnsi="Arial" w:cs="Arial"/>
          <w:sz w:val="20"/>
          <w:szCs w:val="20"/>
        </w:rPr>
        <w:t>.</w:t>
      </w:r>
    </w:p>
    <w:p w:rsidR="002416B1" w:rsidRDefault="002416B1" w:rsidP="00507035">
      <w:pPr>
        <w:pStyle w:val="Nadpis3"/>
        <w:spacing w:before="120" w:after="120" w:line="360" w:lineRule="auto"/>
      </w:pPr>
      <w:bookmarkStart w:id="108" w:name="_Toc319573339"/>
      <w:r>
        <w:t>3.7</w:t>
      </w:r>
      <w:r w:rsidRPr="004B33AE">
        <w:t>.1 Dosiahnutie cieľov a analýza dosiahnutého pokroku</w:t>
      </w:r>
      <w:bookmarkEnd w:id="108"/>
    </w:p>
    <w:p w:rsidR="002416B1" w:rsidRDefault="002416B1" w:rsidP="00507035">
      <w:pPr>
        <w:pStyle w:val="Nadpis8"/>
        <w:spacing w:before="120" w:after="120"/>
        <w:rPr>
          <w:rFonts w:ascii="Arial" w:hAnsi="Arial" w:cs="Arial"/>
          <w:b/>
          <w:sz w:val="22"/>
          <w:szCs w:val="22"/>
        </w:rPr>
      </w:pPr>
      <w:r>
        <w:rPr>
          <w:rFonts w:ascii="Arial" w:hAnsi="Arial" w:cs="Arial"/>
          <w:b/>
          <w:sz w:val="22"/>
          <w:szCs w:val="22"/>
        </w:rPr>
        <w:t>3.7</w:t>
      </w:r>
      <w:r w:rsidRPr="004B33AE">
        <w:rPr>
          <w:rFonts w:ascii="Arial" w:hAnsi="Arial" w:cs="Arial"/>
          <w:b/>
          <w:sz w:val="22"/>
          <w:szCs w:val="22"/>
        </w:rPr>
        <w:t>.1.1 Stav fy</w:t>
      </w:r>
      <w:r>
        <w:rPr>
          <w:rFonts w:ascii="Arial" w:hAnsi="Arial" w:cs="Arial"/>
          <w:b/>
          <w:sz w:val="22"/>
          <w:szCs w:val="22"/>
        </w:rPr>
        <w:t>zického pokroku prioritnej osi 7</w:t>
      </w:r>
    </w:p>
    <w:p w:rsidR="002416B1" w:rsidRDefault="002416B1" w:rsidP="00507035">
      <w:pPr>
        <w:spacing w:before="120" w:after="120" w:line="360" w:lineRule="auto"/>
        <w:rPr>
          <w:rFonts w:ascii="Arial" w:hAnsi="Arial" w:cs="Arial"/>
          <w:sz w:val="20"/>
          <w:szCs w:val="20"/>
        </w:rPr>
      </w:pPr>
      <w:r w:rsidRPr="00D00968">
        <w:rPr>
          <w:rFonts w:ascii="Arial" w:hAnsi="Arial" w:cs="Arial"/>
          <w:sz w:val="20"/>
          <w:szCs w:val="20"/>
        </w:rPr>
        <w:t>Prioritná os č. 7 je financovaná z Európskeho fondu regionálneho rozvoja a svojou alokáciou tvorí 1,10</w:t>
      </w:r>
      <w:r w:rsidR="0065734F">
        <w:rPr>
          <w:rFonts w:ascii="Arial" w:hAnsi="Arial" w:cs="Arial"/>
          <w:sz w:val="20"/>
          <w:szCs w:val="20"/>
        </w:rPr>
        <w:t xml:space="preserve"> </w:t>
      </w:r>
      <w:r w:rsidRPr="00D00968">
        <w:rPr>
          <w:rFonts w:ascii="Arial" w:hAnsi="Arial" w:cs="Arial"/>
          <w:sz w:val="20"/>
          <w:szCs w:val="20"/>
        </w:rPr>
        <w:t>% celkovej alokácie na operačný program.</w:t>
      </w:r>
      <w:r w:rsidR="00E75B4E">
        <w:rPr>
          <w:rFonts w:ascii="Arial" w:hAnsi="Arial" w:cs="Arial"/>
          <w:sz w:val="20"/>
          <w:szCs w:val="20"/>
        </w:rPr>
        <w:t xml:space="preserve"> V roku 2012 bola vyhlásená výzva na predkladanie žiadostí o NFP, v zmysle nižšie uvedenej tabuľky.</w:t>
      </w:r>
    </w:p>
    <w:p w:rsidR="002416B1" w:rsidRPr="004B33AE" w:rsidRDefault="002416B1" w:rsidP="00205636">
      <w:pPr>
        <w:spacing w:line="360" w:lineRule="auto"/>
        <w:rPr>
          <w:rFonts w:ascii="Arial" w:hAnsi="Arial" w:cs="Arial"/>
          <w:sz w:val="20"/>
          <w:szCs w:val="20"/>
          <w:highlight w:val="yellow"/>
        </w:rPr>
      </w:pPr>
      <w:r w:rsidRPr="004B33AE">
        <w:rPr>
          <w:rFonts w:ascii="Arial" w:hAnsi="Arial" w:cs="Arial"/>
          <w:sz w:val="20"/>
          <w:szCs w:val="20"/>
        </w:rPr>
        <w:t xml:space="preserve">Tab. č. </w:t>
      </w:r>
      <w:r w:rsidR="00254D6C">
        <w:rPr>
          <w:rFonts w:ascii="Arial" w:hAnsi="Arial" w:cs="Arial"/>
          <w:sz w:val="20"/>
          <w:szCs w:val="20"/>
        </w:rPr>
        <w:t>63</w:t>
      </w:r>
      <w:r w:rsidRPr="004B33AE">
        <w:rPr>
          <w:rFonts w:ascii="Arial" w:hAnsi="Arial" w:cs="Arial"/>
          <w:sz w:val="20"/>
          <w:szCs w:val="20"/>
        </w:rPr>
        <w:t xml:space="preserve">: Stav vyhlasovania výziev prioritnej osi </w:t>
      </w:r>
      <w:r>
        <w:rPr>
          <w:rFonts w:ascii="Arial" w:hAnsi="Arial" w:cs="Arial"/>
          <w:sz w:val="20"/>
          <w:szCs w:val="20"/>
        </w:rPr>
        <w:t>7</w:t>
      </w:r>
      <w:r w:rsidRPr="004B33AE">
        <w:rPr>
          <w:rFonts w:ascii="Arial" w:hAnsi="Arial" w:cs="Arial"/>
          <w:sz w:val="20"/>
          <w:szCs w:val="20"/>
        </w:rPr>
        <w:t xml:space="preserve"> v období 01.01.201</w:t>
      </w:r>
      <w:r w:rsidR="00E75B4E">
        <w:rPr>
          <w:rFonts w:ascii="Arial" w:hAnsi="Arial" w:cs="Arial"/>
          <w:sz w:val="20"/>
          <w:szCs w:val="20"/>
        </w:rPr>
        <w:t>2</w:t>
      </w:r>
      <w:r w:rsidRPr="004B33AE">
        <w:rPr>
          <w:rFonts w:ascii="Arial" w:hAnsi="Arial" w:cs="Arial"/>
          <w:sz w:val="20"/>
          <w:szCs w:val="20"/>
        </w:rPr>
        <w:t xml:space="preserve"> – 31.12.201</w:t>
      </w:r>
      <w:r w:rsidR="00E75B4E">
        <w:rPr>
          <w:rFonts w:ascii="Arial" w:hAnsi="Arial" w:cs="Arial"/>
          <w:sz w:val="20"/>
          <w:szCs w:val="20"/>
        </w:rPr>
        <w:t>2</w:t>
      </w:r>
    </w:p>
    <w:tbl>
      <w:tblPr>
        <w:tblW w:w="425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87"/>
        <w:gridCol w:w="2008"/>
        <w:gridCol w:w="1250"/>
        <w:gridCol w:w="1699"/>
        <w:gridCol w:w="1560"/>
      </w:tblGrid>
      <w:tr w:rsidR="002416B1" w:rsidRPr="004B33AE" w:rsidTr="003A5E95">
        <w:trPr>
          <w:trHeight w:val="999"/>
        </w:trPr>
        <w:tc>
          <w:tcPr>
            <w:tcW w:w="877" w:type="pct"/>
            <w:shd w:val="clear" w:color="auto" w:fill="D6E3BC"/>
            <w:vAlign w:val="center"/>
          </w:tcPr>
          <w:p w:rsidR="002416B1" w:rsidRPr="004B33AE" w:rsidRDefault="002416B1" w:rsidP="00205636">
            <w:pPr>
              <w:jc w:val="center"/>
              <w:rPr>
                <w:rFonts w:ascii="Arial" w:hAnsi="Arial" w:cs="Arial"/>
                <w:b/>
                <w:bCs/>
                <w:sz w:val="18"/>
                <w:szCs w:val="18"/>
              </w:rPr>
            </w:pPr>
            <w:r w:rsidRPr="004B33AE">
              <w:rPr>
                <w:rFonts w:ascii="Arial" w:hAnsi="Arial" w:cs="Arial"/>
                <w:b/>
                <w:bCs/>
                <w:sz w:val="18"/>
                <w:szCs w:val="18"/>
              </w:rPr>
              <w:t>Prioritná os</w:t>
            </w:r>
          </w:p>
        </w:tc>
        <w:tc>
          <w:tcPr>
            <w:tcW w:w="1270" w:type="pct"/>
            <w:shd w:val="clear" w:color="auto" w:fill="D6E3BC"/>
            <w:vAlign w:val="center"/>
          </w:tcPr>
          <w:p w:rsidR="002416B1" w:rsidRPr="004B33AE" w:rsidRDefault="002416B1" w:rsidP="00205636">
            <w:pPr>
              <w:jc w:val="center"/>
              <w:rPr>
                <w:rFonts w:ascii="Arial" w:hAnsi="Arial" w:cs="Arial"/>
                <w:b/>
                <w:bCs/>
                <w:sz w:val="18"/>
                <w:szCs w:val="18"/>
              </w:rPr>
            </w:pPr>
            <w:r w:rsidRPr="004B33AE">
              <w:rPr>
                <w:rFonts w:ascii="Arial" w:hAnsi="Arial" w:cs="Arial"/>
                <w:b/>
                <w:bCs/>
                <w:sz w:val="18"/>
                <w:szCs w:val="18"/>
              </w:rPr>
              <w:t>Typ výzvy</w:t>
            </w:r>
          </w:p>
        </w:tc>
        <w:tc>
          <w:tcPr>
            <w:tcW w:w="791" w:type="pct"/>
            <w:shd w:val="clear" w:color="auto" w:fill="D6E3BC"/>
            <w:vAlign w:val="center"/>
          </w:tcPr>
          <w:p w:rsidR="002416B1" w:rsidRPr="004B33AE" w:rsidRDefault="002416B1" w:rsidP="00205636">
            <w:pPr>
              <w:jc w:val="center"/>
              <w:rPr>
                <w:rFonts w:ascii="Arial" w:hAnsi="Arial" w:cs="Arial"/>
                <w:b/>
                <w:bCs/>
                <w:sz w:val="18"/>
                <w:szCs w:val="18"/>
              </w:rPr>
            </w:pPr>
            <w:r w:rsidRPr="004B33AE">
              <w:rPr>
                <w:rFonts w:ascii="Arial" w:hAnsi="Arial" w:cs="Arial"/>
                <w:b/>
                <w:bCs/>
                <w:sz w:val="18"/>
                <w:szCs w:val="18"/>
              </w:rPr>
              <w:t>Dátum vyhlásenia výzvy</w:t>
            </w:r>
          </w:p>
        </w:tc>
        <w:tc>
          <w:tcPr>
            <w:tcW w:w="1075" w:type="pct"/>
            <w:shd w:val="clear" w:color="auto" w:fill="D6E3BC"/>
            <w:vAlign w:val="center"/>
          </w:tcPr>
          <w:p w:rsidR="002416B1" w:rsidRPr="004B33AE" w:rsidRDefault="002416B1" w:rsidP="00205636">
            <w:pPr>
              <w:jc w:val="center"/>
              <w:rPr>
                <w:rFonts w:ascii="Arial" w:hAnsi="Arial" w:cs="Arial"/>
                <w:b/>
                <w:bCs/>
                <w:sz w:val="18"/>
                <w:szCs w:val="18"/>
              </w:rPr>
            </w:pPr>
            <w:r w:rsidRPr="004B33AE">
              <w:rPr>
                <w:rFonts w:ascii="Arial" w:hAnsi="Arial" w:cs="Arial"/>
                <w:b/>
                <w:bCs/>
                <w:sz w:val="18"/>
                <w:szCs w:val="18"/>
              </w:rPr>
              <w:t xml:space="preserve">Dátum uzávierky prijímania žiadostí </w:t>
            </w:r>
            <w:r>
              <w:rPr>
                <w:rFonts w:ascii="Arial" w:hAnsi="Arial" w:cs="Arial"/>
                <w:b/>
                <w:bCs/>
                <w:sz w:val="18"/>
                <w:szCs w:val="18"/>
              </w:rPr>
              <w:t xml:space="preserve">o </w:t>
            </w:r>
            <w:r w:rsidRPr="004B33AE">
              <w:rPr>
                <w:rFonts w:ascii="Arial" w:hAnsi="Arial" w:cs="Arial"/>
                <w:b/>
                <w:bCs/>
                <w:sz w:val="18"/>
                <w:szCs w:val="18"/>
              </w:rPr>
              <w:t>NFP</w:t>
            </w:r>
          </w:p>
        </w:tc>
        <w:tc>
          <w:tcPr>
            <w:tcW w:w="987" w:type="pct"/>
            <w:shd w:val="clear" w:color="auto" w:fill="D6E3BC"/>
            <w:vAlign w:val="center"/>
          </w:tcPr>
          <w:p w:rsidR="002416B1" w:rsidRPr="004B33AE" w:rsidRDefault="002416B1" w:rsidP="00205636">
            <w:pPr>
              <w:jc w:val="center"/>
              <w:rPr>
                <w:rFonts w:ascii="Arial" w:hAnsi="Arial" w:cs="Arial"/>
                <w:b/>
                <w:bCs/>
                <w:sz w:val="18"/>
                <w:szCs w:val="18"/>
              </w:rPr>
            </w:pPr>
            <w:r w:rsidRPr="000954BB">
              <w:rPr>
                <w:rFonts w:ascii="Arial" w:hAnsi="Arial" w:cs="Arial"/>
                <w:b/>
                <w:bCs/>
                <w:sz w:val="18"/>
                <w:szCs w:val="18"/>
              </w:rPr>
              <w:t>Alokácia FP na výzvu (NFP) v €</w:t>
            </w:r>
          </w:p>
        </w:tc>
      </w:tr>
      <w:tr w:rsidR="002416B1" w:rsidRPr="004B33AE" w:rsidTr="003A5E95">
        <w:trPr>
          <w:trHeight w:val="600"/>
        </w:trPr>
        <w:tc>
          <w:tcPr>
            <w:tcW w:w="877" w:type="pct"/>
            <w:shd w:val="clear" w:color="auto" w:fill="EAF1DD"/>
            <w:noWrap/>
            <w:vAlign w:val="center"/>
          </w:tcPr>
          <w:p w:rsidR="002416B1" w:rsidRPr="004B33AE" w:rsidRDefault="002416B1" w:rsidP="00205636">
            <w:pPr>
              <w:jc w:val="center"/>
              <w:rPr>
                <w:rFonts w:ascii="Arial" w:hAnsi="Arial" w:cs="Arial"/>
                <w:sz w:val="18"/>
                <w:szCs w:val="18"/>
              </w:rPr>
            </w:pPr>
            <w:r>
              <w:rPr>
                <w:rFonts w:ascii="Arial" w:hAnsi="Arial" w:cs="Arial"/>
                <w:sz w:val="18"/>
                <w:szCs w:val="18"/>
              </w:rPr>
              <w:t>7</w:t>
            </w:r>
            <w:r w:rsidRPr="004B33AE">
              <w:rPr>
                <w:rFonts w:ascii="Arial" w:hAnsi="Arial" w:cs="Arial"/>
                <w:sz w:val="18"/>
                <w:szCs w:val="18"/>
              </w:rPr>
              <w:t xml:space="preserve"> </w:t>
            </w:r>
          </w:p>
        </w:tc>
        <w:tc>
          <w:tcPr>
            <w:tcW w:w="1270" w:type="pct"/>
            <w:vAlign w:val="center"/>
          </w:tcPr>
          <w:p w:rsidR="002416B1" w:rsidRDefault="00E75B4E" w:rsidP="00205636">
            <w:pPr>
              <w:jc w:val="center"/>
              <w:rPr>
                <w:rFonts w:ascii="Arial" w:hAnsi="Arial" w:cs="Arial"/>
                <w:sz w:val="18"/>
                <w:szCs w:val="18"/>
              </w:rPr>
            </w:pPr>
            <w:r>
              <w:rPr>
                <w:rFonts w:ascii="Arial" w:hAnsi="Arial" w:cs="Arial"/>
                <w:sz w:val="18"/>
                <w:szCs w:val="18"/>
              </w:rPr>
              <w:t>OPŽP-PO7-12-1</w:t>
            </w:r>
          </w:p>
          <w:p w:rsidR="00E75B4E" w:rsidRPr="004B33AE" w:rsidRDefault="00E75B4E" w:rsidP="00205636">
            <w:pPr>
              <w:jc w:val="center"/>
              <w:rPr>
                <w:rFonts w:ascii="Arial" w:hAnsi="Arial" w:cs="Arial"/>
                <w:sz w:val="18"/>
                <w:szCs w:val="18"/>
              </w:rPr>
            </w:pPr>
            <w:r>
              <w:rPr>
                <w:rFonts w:ascii="Arial" w:hAnsi="Arial" w:cs="Arial"/>
                <w:sz w:val="18"/>
                <w:szCs w:val="18"/>
              </w:rPr>
              <w:t>časovo ohraničená výzva</w:t>
            </w:r>
          </w:p>
        </w:tc>
        <w:tc>
          <w:tcPr>
            <w:tcW w:w="791" w:type="pct"/>
            <w:noWrap/>
            <w:vAlign w:val="center"/>
          </w:tcPr>
          <w:p w:rsidR="002416B1" w:rsidRPr="004B33AE" w:rsidRDefault="00E75B4E" w:rsidP="00205636">
            <w:pPr>
              <w:jc w:val="center"/>
              <w:rPr>
                <w:rFonts w:ascii="Arial" w:hAnsi="Arial" w:cs="Arial"/>
                <w:sz w:val="18"/>
                <w:szCs w:val="18"/>
              </w:rPr>
            </w:pPr>
            <w:r>
              <w:rPr>
                <w:rFonts w:ascii="Arial" w:hAnsi="Arial" w:cs="Arial"/>
                <w:sz w:val="18"/>
                <w:szCs w:val="18"/>
              </w:rPr>
              <w:t>31.10.2012</w:t>
            </w:r>
          </w:p>
        </w:tc>
        <w:tc>
          <w:tcPr>
            <w:tcW w:w="1075" w:type="pct"/>
            <w:noWrap/>
            <w:vAlign w:val="center"/>
          </w:tcPr>
          <w:p w:rsidR="002416B1" w:rsidRPr="004B33AE" w:rsidRDefault="00E75B4E" w:rsidP="00205636">
            <w:pPr>
              <w:jc w:val="center"/>
              <w:rPr>
                <w:rFonts w:ascii="Arial" w:hAnsi="Arial" w:cs="Arial"/>
                <w:sz w:val="18"/>
                <w:szCs w:val="18"/>
              </w:rPr>
            </w:pPr>
            <w:r>
              <w:rPr>
                <w:rFonts w:ascii="Arial" w:hAnsi="Arial" w:cs="Arial"/>
                <w:sz w:val="18"/>
                <w:szCs w:val="18"/>
              </w:rPr>
              <w:t>30.06.2013</w:t>
            </w:r>
          </w:p>
        </w:tc>
        <w:tc>
          <w:tcPr>
            <w:tcW w:w="987" w:type="pct"/>
            <w:noWrap/>
            <w:vAlign w:val="center"/>
          </w:tcPr>
          <w:p w:rsidR="002416B1" w:rsidRPr="004B33AE" w:rsidRDefault="00E75B4E" w:rsidP="00205636">
            <w:pPr>
              <w:jc w:val="center"/>
              <w:rPr>
                <w:rFonts w:ascii="Arial" w:hAnsi="Arial" w:cs="Arial"/>
                <w:sz w:val="18"/>
                <w:szCs w:val="18"/>
              </w:rPr>
            </w:pPr>
            <w:r>
              <w:rPr>
                <w:rFonts w:ascii="Arial" w:hAnsi="Arial" w:cs="Arial"/>
                <w:sz w:val="18"/>
                <w:szCs w:val="18"/>
              </w:rPr>
              <w:t>23 529 412</w:t>
            </w:r>
          </w:p>
        </w:tc>
      </w:tr>
      <w:tr w:rsidR="002416B1" w:rsidRPr="004B33AE" w:rsidTr="003A5E95">
        <w:trPr>
          <w:trHeight w:val="381"/>
        </w:trPr>
        <w:tc>
          <w:tcPr>
            <w:tcW w:w="877" w:type="pct"/>
            <w:shd w:val="clear" w:color="auto" w:fill="EAF1DD"/>
            <w:vAlign w:val="center"/>
          </w:tcPr>
          <w:p w:rsidR="002416B1" w:rsidRPr="004B33AE" w:rsidRDefault="002416B1" w:rsidP="00205636">
            <w:pPr>
              <w:rPr>
                <w:rFonts w:ascii="Arial" w:hAnsi="Arial" w:cs="Arial"/>
                <w:b/>
                <w:bCs/>
                <w:sz w:val="18"/>
                <w:szCs w:val="18"/>
              </w:rPr>
            </w:pPr>
            <w:r w:rsidRPr="004B33AE">
              <w:rPr>
                <w:rFonts w:ascii="Arial" w:hAnsi="Arial" w:cs="Arial"/>
                <w:b/>
                <w:bCs/>
                <w:sz w:val="18"/>
                <w:szCs w:val="18"/>
              </w:rPr>
              <w:t>Celkom</w:t>
            </w:r>
          </w:p>
        </w:tc>
        <w:tc>
          <w:tcPr>
            <w:tcW w:w="1270" w:type="pct"/>
            <w:shd w:val="clear" w:color="auto" w:fill="EAF1DD"/>
            <w:vAlign w:val="center"/>
          </w:tcPr>
          <w:p w:rsidR="002416B1" w:rsidRPr="004B33AE" w:rsidRDefault="002416B1" w:rsidP="00205636">
            <w:pPr>
              <w:rPr>
                <w:rFonts w:ascii="Arial" w:hAnsi="Arial" w:cs="Arial"/>
                <w:b/>
                <w:bCs/>
                <w:sz w:val="18"/>
                <w:szCs w:val="18"/>
              </w:rPr>
            </w:pPr>
          </w:p>
        </w:tc>
        <w:tc>
          <w:tcPr>
            <w:tcW w:w="791" w:type="pct"/>
            <w:shd w:val="clear" w:color="auto" w:fill="EAF1DD"/>
            <w:vAlign w:val="center"/>
          </w:tcPr>
          <w:p w:rsidR="002416B1" w:rsidRPr="004B33AE" w:rsidRDefault="002416B1" w:rsidP="00205636">
            <w:pPr>
              <w:jc w:val="center"/>
              <w:rPr>
                <w:rFonts w:ascii="Arial" w:hAnsi="Arial" w:cs="Arial"/>
                <w:b/>
                <w:bCs/>
                <w:sz w:val="18"/>
                <w:szCs w:val="18"/>
              </w:rPr>
            </w:pPr>
          </w:p>
        </w:tc>
        <w:tc>
          <w:tcPr>
            <w:tcW w:w="1075" w:type="pct"/>
            <w:shd w:val="clear" w:color="auto" w:fill="EAF1DD"/>
            <w:vAlign w:val="center"/>
          </w:tcPr>
          <w:p w:rsidR="002416B1" w:rsidRPr="004B33AE" w:rsidRDefault="002416B1" w:rsidP="00205636">
            <w:pPr>
              <w:jc w:val="center"/>
              <w:rPr>
                <w:rFonts w:ascii="Arial" w:hAnsi="Arial" w:cs="Arial"/>
                <w:b/>
                <w:bCs/>
                <w:sz w:val="18"/>
                <w:szCs w:val="18"/>
              </w:rPr>
            </w:pPr>
          </w:p>
        </w:tc>
        <w:tc>
          <w:tcPr>
            <w:tcW w:w="987" w:type="pct"/>
            <w:shd w:val="clear" w:color="auto" w:fill="EAF1DD"/>
            <w:noWrap/>
            <w:vAlign w:val="center"/>
          </w:tcPr>
          <w:p w:rsidR="002416B1" w:rsidRPr="004B33AE" w:rsidRDefault="002416B1" w:rsidP="00205636">
            <w:pPr>
              <w:jc w:val="center"/>
              <w:rPr>
                <w:rFonts w:ascii="Arial" w:hAnsi="Arial" w:cs="Arial"/>
                <w:b/>
                <w:bCs/>
                <w:sz w:val="18"/>
                <w:szCs w:val="18"/>
              </w:rPr>
            </w:pPr>
            <w:r w:rsidRPr="004B33AE">
              <w:rPr>
                <w:rFonts w:ascii="Arial" w:hAnsi="Arial" w:cs="Arial"/>
                <w:b/>
                <w:bCs/>
                <w:sz w:val="18"/>
                <w:szCs w:val="18"/>
              </w:rPr>
              <w:t>0</w:t>
            </w:r>
          </w:p>
        </w:tc>
      </w:tr>
    </w:tbl>
    <w:p w:rsidR="002416B1" w:rsidRPr="006A2BF3" w:rsidRDefault="00000CC9" w:rsidP="00205636">
      <w:pPr>
        <w:rPr>
          <w:rFonts w:ascii="Arial" w:hAnsi="Arial" w:cs="Arial"/>
        </w:rPr>
      </w:pPr>
      <w:r>
        <w:rPr>
          <w:rFonts w:ascii="Arial" w:hAnsi="Arial" w:cs="Arial"/>
          <w:sz w:val="18"/>
          <w:szCs w:val="18"/>
        </w:rPr>
        <w:t>Zdroj: RO, ITMS</w:t>
      </w:r>
    </w:p>
    <w:p w:rsidR="00205636" w:rsidRDefault="00205636" w:rsidP="00507035">
      <w:pPr>
        <w:spacing w:before="120" w:after="120" w:line="360" w:lineRule="auto"/>
        <w:jc w:val="both"/>
        <w:rPr>
          <w:rFonts w:ascii="Arial" w:hAnsi="Arial"/>
          <w:sz w:val="20"/>
          <w:szCs w:val="20"/>
        </w:rPr>
      </w:pPr>
    </w:p>
    <w:p w:rsidR="002416B1" w:rsidRDefault="00B1224C" w:rsidP="00507035">
      <w:pPr>
        <w:spacing w:before="120" w:after="120" w:line="360" w:lineRule="auto"/>
        <w:jc w:val="both"/>
        <w:rPr>
          <w:rFonts w:ascii="Arial" w:hAnsi="Arial"/>
          <w:sz w:val="20"/>
          <w:szCs w:val="20"/>
        </w:rPr>
      </w:pPr>
      <w:r w:rsidRPr="00D70258">
        <w:rPr>
          <w:rFonts w:ascii="Arial" w:hAnsi="Arial"/>
          <w:sz w:val="20"/>
          <w:szCs w:val="20"/>
        </w:rPr>
        <w:t>Vzhľadom na termín uzavretia danej výzvy nebola k 31.12.2012 predložená žiadna žiadosť o</w:t>
      </w:r>
      <w:r w:rsidR="00D70258" w:rsidRPr="0039268C">
        <w:rPr>
          <w:rFonts w:ascii="Arial" w:hAnsi="Arial"/>
          <w:sz w:val="20"/>
          <w:szCs w:val="20"/>
        </w:rPr>
        <w:t> </w:t>
      </w:r>
      <w:r w:rsidRPr="00D70258">
        <w:rPr>
          <w:rFonts w:ascii="Arial" w:hAnsi="Arial"/>
          <w:sz w:val="20"/>
          <w:szCs w:val="20"/>
        </w:rPr>
        <w:t>NFP</w:t>
      </w:r>
      <w:r w:rsidR="00D70258" w:rsidRPr="00D70258">
        <w:rPr>
          <w:rFonts w:ascii="Arial" w:hAnsi="Arial"/>
          <w:sz w:val="20"/>
          <w:szCs w:val="20"/>
        </w:rPr>
        <w:t>.</w:t>
      </w:r>
    </w:p>
    <w:p w:rsidR="002416B1" w:rsidRDefault="002416B1" w:rsidP="00507035">
      <w:pPr>
        <w:spacing w:before="120" w:after="120" w:line="360" w:lineRule="auto"/>
        <w:jc w:val="both"/>
        <w:rPr>
          <w:rFonts w:ascii="Arial" w:hAnsi="Arial"/>
          <w:b/>
          <w:sz w:val="20"/>
          <w:szCs w:val="20"/>
        </w:rPr>
      </w:pPr>
      <w:r w:rsidRPr="00FD4FF4">
        <w:rPr>
          <w:rFonts w:ascii="Arial" w:hAnsi="Arial"/>
          <w:b/>
          <w:sz w:val="20"/>
          <w:szCs w:val="20"/>
        </w:rPr>
        <w:t>Plnenie fyzických ukazovateľov</w:t>
      </w:r>
    </w:p>
    <w:p w:rsidR="002416B1" w:rsidRDefault="002416B1" w:rsidP="00507035">
      <w:pPr>
        <w:spacing w:before="120" w:after="120" w:line="360" w:lineRule="auto"/>
        <w:jc w:val="both"/>
        <w:rPr>
          <w:rFonts w:ascii="Arial" w:hAnsi="Arial"/>
          <w:sz w:val="20"/>
          <w:szCs w:val="20"/>
        </w:rPr>
      </w:pPr>
      <w:r>
        <w:rPr>
          <w:rFonts w:ascii="Arial" w:hAnsi="Arial"/>
          <w:sz w:val="20"/>
          <w:szCs w:val="20"/>
        </w:rPr>
        <w:t>Vzhľadom na skutočnosť, že v rámci prioritnej osi 7 neboli k 31.12.201</w:t>
      </w:r>
      <w:r w:rsidR="00B1224C">
        <w:rPr>
          <w:rFonts w:ascii="Arial" w:hAnsi="Arial"/>
          <w:sz w:val="20"/>
          <w:szCs w:val="20"/>
        </w:rPr>
        <w:t>2</w:t>
      </w:r>
      <w:r>
        <w:rPr>
          <w:rFonts w:ascii="Arial" w:hAnsi="Arial"/>
          <w:sz w:val="20"/>
          <w:szCs w:val="20"/>
        </w:rPr>
        <w:t xml:space="preserve"> schválené žiadne žiadosti o NFP, nie je možné monitorovať </w:t>
      </w:r>
      <w:r w:rsidR="0062541C">
        <w:rPr>
          <w:rFonts w:ascii="Arial" w:hAnsi="Arial"/>
          <w:sz w:val="20"/>
          <w:szCs w:val="20"/>
        </w:rPr>
        <w:t xml:space="preserve">merateľné ukazovatele </w:t>
      </w:r>
      <w:r>
        <w:rPr>
          <w:rFonts w:ascii="Arial" w:hAnsi="Arial"/>
          <w:sz w:val="20"/>
          <w:szCs w:val="20"/>
        </w:rPr>
        <w:t>súvisiace s predmetnou osou.</w:t>
      </w:r>
    </w:p>
    <w:p w:rsidR="002416B1" w:rsidRPr="004B33AE" w:rsidRDefault="002416B1" w:rsidP="00507035">
      <w:pPr>
        <w:pStyle w:val="Nadpis8"/>
        <w:spacing w:before="120" w:after="120"/>
        <w:rPr>
          <w:rFonts w:ascii="Arial" w:hAnsi="Arial" w:cs="Arial"/>
          <w:b/>
          <w:sz w:val="22"/>
          <w:szCs w:val="22"/>
        </w:rPr>
      </w:pPr>
      <w:r>
        <w:rPr>
          <w:rFonts w:ascii="Arial" w:hAnsi="Arial" w:cs="Arial"/>
          <w:b/>
          <w:sz w:val="22"/>
          <w:szCs w:val="22"/>
        </w:rPr>
        <w:t>3.7</w:t>
      </w:r>
      <w:r w:rsidRPr="004B33AE">
        <w:rPr>
          <w:rFonts w:ascii="Arial" w:hAnsi="Arial" w:cs="Arial"/>
          <w:b/>
          <w:sz w:val="22"/>
          <w:szCs w:val="22"/>
        </w:rPr>
        <w:t>.1.</w:t>
      </w:r>
      <w:r>
        <w:rPr>
          <w:rFonts w:ascii="Arial" w:hAnsi="Arial" w:cs="Arial"/>
          <w:b/>
          <w:sz w:val="22"/>
          <w:szCs w:val="22"/>
        </w:rPr>
        <w:t>2</w:t>
      </w:r>
      <w:r w:rsidRPr="004B33AE">
        <w:rPr>
          <w:rFonts w:ascii="Arial" w:hAnsi="Arial" w:cs="Arial"/>
          <w:b/>
          <w:sz w:val="22"/>
          <w:szCs w:val="22"/>
        </w:rPr>
        <w:t xml:space="preserve"> </w:t>
      </w:r>
      <w:r>
        <w:rPr>
          <w:rFonts w:ascii="Arial" w:hAnsi="Arial" w:cs="Arial"/>
          <w:b/>
          <w:sz w:val="22"/>
          <w:szCs w:val="22"/>
        </w:rPr>
        <w:t>Finančná implementácia v rámci prioritnej osi 7</w:t>
      </w:r>
    </w:p>
    <w:p w:rsidR="002416B1" w:rsidRPr="006A2BF3" w:rsidRDefault="002416B1" w:rsidP="00507035">
      <w:pPr>
        <w:spacing w:before="120" w:after="120" w:line="360" w:lineRule="auto"/>
        <w:rPr>
          <w:rFonts w:ascii="Arial" w:hAnsi="Arial" w:cs="Arial"/>
          <w:sz w:val="20"/>
          <w:szCs w:val="20"/>
        </w:rPr>
      </w:pPr>
      <w:r>
        <w:rPr>
          <w:rFonts w:ascii="Arial" w:hAnsi="Arial" w:cs="Arial"/>
          <w:sz w:val="20"/>
          <w:szCs w:val="20"/>
        </w:rPr>
        <w:t>Vzhľadom na vyššie uvedené skutočnosti, k 31.12.201</w:t>
      </w:r>
      <w:r w:rsidR="00B1224C">
        <w:rPr>
          <w:rFonts w:ascii="Arial" w:hAnsi="Arial" w:cs="Arial"/>
          <w:sz w:val="20"/>
          <w:szCs w:val="20"/>
        </w:rPr>
        <w:t>2</w:t>
      </w:r>
      <w:r>
        <w:rPr>
          <w:rFonts w:ascii="Arial" w:hAnsi="Arial" w:cs="Arial"/>
          <w:sz w:val="20"/>
          <w:szCs w:val="20"/>
        </w:rPr>
        <w:t xml:space="preserve"> nedošlo k finančnej implementácii prioritnej osi 7.</w:t>
      </w:r>
    </w:p>
    <w:p w:rsidR="002416B1" w:rsidRPr="00A322EA" w:rsidRDefault="00726169" w:rsidP="00507035">
      <w:pPr>
        <w:spacing w:before="120" w:after="120" w:line="360" w:lineRule="auto"/>
        <w:rPr>
          <w:rFonts w:ascii="Arial" w:hAnsi="Arial" w:cs="Arial"/>
          <w:b/>
          <w:sz w:val="20"/>
          <w:szCs w:val="20"/>
        </w:rPr>
      </w:pPr>
      <w:r w:rsidRPr="00A322EA">
        <w:rPr>
          <w:rFonts w:ascii="Arial" w:hAnsi="Arial" w:cs="Arial"/>
          <w:b/>
          <w:sz w:val="20"/>
          <w:szCs w:val="20"/>
        </w:rPr>
        <w:t>Kvalitatívna analýza dosiahnutých výsledkov na úrovni prioritnej osi 7</w:t>
      </w:r>
    </w:p>
    <w:p w:rsidR="001048A5" w:rsidRDefault="001048A5" w:rsidP="00507035">
      <w:pPr>
        <w:spacing w:before="120" w:after="120" w:line="360" w:lineRule="auto"/>
        <w:rPr>
          <w:rFonts w:ascii="Arial" w:hAnsi="Arial" w:cs="Arial"/>
          <w:i/>
          <w:sz w:val="20"/>
          <w:szCs w:val="20"/>
        </w:rPr>
      </w:pPr>
      <w:r w:rsidRPr="00A322EA">
        <w:rPr>
          <w:rFonts w:ascii="Arial" w:hAnsi="Arial" w:cs="Arial"/>
          <w:i/>
          <w:sz w:val="20"/>
          <w:szCs w:val="20"/>
        </w:rPr>
        <w:t>Zhodnotenie úrovne zazmluvnenia alokovaných finančných prostriedkov za zdroje EÚ vo vzťahu k dosahovaným hodnotám ukazovateľov podľa prioritných tém</w:t>
      </w:r>
    </w:p>
    <w:p w:rsidR="00AC246A" w:rsidRPr="00A322EA" w:rsidRDefault="00AC246A" w:rsidP="00205636">
      <w:pPr>
        <w:spacing w:line="360" w:lineRule="auto"/>
        <w:rPr>
          <w:rFonts w:ascii="Arial" w:hAnsi="Arial" w:cs="Arial"/>
          <w:sz w:val="20"/>
          <w:szCs w:val="20"/>
        </w:rPr>
      </w:pPr>
      <w:r w:rsidRPr="009D50F6">
        <w:rPr>
          <w:rFonts w:ascii="Arial" w:hAnsi="Arial" w:cs="Arial"/>
          <w:sz w:val="20"/>
          <w:szCs w:val="20"/>
        </w:rPr>
        <w:t>Tab. č.</w:t>
      </w:r>
      <w:r w:rsidR="007976C6" w:rsidRPr="009D50F6">
        <w:rPr>
          <w:rFonts w:ascii="Arial" w:hAnsi="Arial" w:cs="Arial"/>
          <w:sz w:val="20"/>
          <w:szCs w:val="20"/>
        </w:rPr>
        <w:t xml:space="preserve"> </w:t>
      </w:r>
      <w:r w:rsidR="00254D6C">
        <w:rPr>
          <w:rFonts w:ascii="Arial" w:hAnsi="Arial" w:cs="Arial"/>
          <w:sz w:val="20"/>
          <w:szCs w:val="20"/>
        </w:rPr>
        <w:t>64</w:t>
      </w:r>
      <w:r w:rsidR="00254D6C" w:rsidRPr="009D50F6">
        <w:rPr>
          <w:rFonts w:ascii="Arial" w:hAnsi="Arial" w:cs="Arial"/>
          <w:sz w:val="20"/>
          <w:szCs w:val="20"/>
        </w:rPr>
        <w:t xml:space="preserve"> </w:t>
      </w:r>
      <w:r w:rsidR="000B6E30" w:rsidRPr="009D50F6">
        <w:rPr>
          <w:rFonts w:ascii="Arial" w:hAnsi="Arial" w:cs="Arial"/>
          <w:sz w:val="20"/>
          <w:szCs w:val="20"/>
        </w:rPr>
        <w:t>Zhodnotenie</w:t>
      </w:r>
      <w:r w:rsidR="000B6E30" w:rsidRPr="000B6E30">
        <w:rPr>
          <w:rFonts w:ascii="Arial" w:hAnsi="Arial" w:cs="Arial"/>
          <w:sz w:val="20"/>
          <w:szCs w:val="20"/>
        </w:rPr>
        <w:t xml:space="preserve"> úrovne</w:t>
      </w:r>
      <w:r w:rsidR="000B6E30">
        <w:rPr>
          <w:rFonts w:ascii="Arial" w:hAnsi="Arial" w:cs="Arial"/>
          <w:sz w:val="20"/>
          <w:szCs w:val="20"/>
        </w:rPr>
        <w:t xml:space="preserve"> podľa HT</w:t>
      </w:r>
    </w:p>
    <w:tbl>
      <w:tblPr>
        <w:tblW w:w="0" w:type="auto"/>
        <w:tblInd w:w="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603"/>
        <w:gridCol w:w="762"/>
        <w:gridCol w:w="1128"/>
        <w:gridCol w:w="1424"/>
        <w:gridCol w:w="1436"/>
        <w:gridCol w:w="1394"/>
        <w:gridCol w:w="1408"/>
      </w:tblGrid>
      <w:tr w:rsidR="001048A5" w:rsidRPr="00A322EA" w:rsidTr="00CB6982">
        <w:trPr>
          <w:trHeight w:val="1066"/>
        </w:trPr>
        <w:tc>
          <w:tcPr>
            <w:tcW w:w="0" w:type="auto"/>
            <w:tcBorders>
              <w:bottom w:val="single" w:sz="4" w:space="0" w:color="auto"/>
            </w:tcBorders>
            <w:shd w:val="clear" w:color="auto" w:fill="D6E3BC"/>
            <w:noWrap/>
            <w:vAlign w:val="center"/>
            <w:hideMark/>
          </w:tcPr>
          <w:p w:rsidR="001048A5" w:rsidRPr="00A322EA" w:rsidRDefault="001048A5" w:rsidP="00205636">
            <w:pPr>
              <w:jc w:val="center"/>
              <w:rPr>
                <w:rFonts w:ascii="Arial" w:hAnsi="Arial" w:cs="Arial"/>
                <w:b/>
                <w:bCs/>
                <w:sz w:val="16"/>
                <w:szCs w:val="16"/>
              </w:rPr>
            </w:pPr>
            <w:r w:rsidRPr="00A322EA">
              <w:rPr>
                <w:rFonts w:ascii="Arial" w:hAnsi="Arial" w:cs="Arial"/>
                <w:b/>
                <w:bCs/>
                <w:sz w:val="16"/>
                <w:szCs w:val="16"/>
              </w:rPr>
              <w:t>Prioritná téma</w:t>
            </w:r>
          </w:p>
        </w:tc>
        <w:tc>
          <w:tcPr>
            <w:tcW w:w="0" w:type="auto"/>
            <w:shd w:val="clear" w:color="auto" w:fill="D6E3BC"/>
            <w:noWrap/>
            <w:vAlign w:val="center"/>
            <w:hideMark/>
          </w:tcPr>
          <w:p w:rsidR="001048A5" w:rsidRPr="00A322EA" w:rsidRDefault="001048A5" w:rsidP="00205636">
            <w:pPr>
              <w:jc w:val="center"/>
              <w:rPr>
                <w:rFonts w:ascii="Arial" w:hAnsi="Arial" w:cs="Arial"/>
                <w:b/>
                <w:bCs/>
                <w:sz w:val="16"/>
                <w:szCs w:val="16"/>
              </w:rPr>
            </w:pPr>
            <w:r w:rsidRPr="00A322EA">
              <w:rPr>
                <w:rFonts w:ascii="Arial" w:hAnsi="Arial" w:cs="Arial"/>
                <w:b/>
                <w:bCs/>
                <w:sz w:val="16"/>
                <w:szCs w:val="16"/>
              </w:rPr>
              <w:t>Op. Cieľ</w:t>
            </w:r>
          </w:p>
        </w:tc>
        <w:tc>
          <w:tcPr>
            <w:tcW w:w="0" w:type="auto"/>
            <w:shd w:val="clear" w:color="auto" w:fill="D6E3BC"/>
            <w:vAlign w:val="center"/>
            <w:hideMark/>
          </w:tcPr>
          <w:p w:rsidR="001048A5" w:rsidRDefault="001048A5" w:rsidP="00205636">
            <w:pPr>
              <w:jc w:val="center"/>
              <w:rPr>
                <w:rFonts w:ascii="Arial" w:hAnsi="Arial" w:cs="Arial"/>
                <w:b/>
                <w:bCs/>
                <w:sz w:val="16"/>
                <w:szCs w:val="16"/>
              </w:rPr>
            </w:pPr>
            <w:r w:rsidRPr="00A322EA">
              <w:rPr>
                <w:rFonts w:ascii="Arial" w:hAnsi="Arial" w:cs="Arial"/>
                <w:b/>
                <w:bCs/>
                <w:sz w:val="16"/>
                <w:szCs w:val="16"/>
              </w:rPr>
              <w:t>Celková alokácia</w:t>
            </w:r>
          </w:p>
          <w:p w:rsidR="001048A5" w:rsidRPr="00A322EA" w:rsidRDefault="001048A5" w:rsidP="00205636">
            <w:pPr>
              <w:jc w:val="center"/>
              <w:rPr>
                <w:rFonts w:ascii="Arial" w:hAnsi="Arial" w:cs="Arial"/>
                <w:b/>
                <w:bCs/>
                <w:sz w:val="16"/>
                <w:szCs w:val="16"/>
              </w:rPr>
            </w:pPr>
            <w:r>
              <w:rPr>
                <w:rFonts w:ascii="Arial" w:hAnsi="Arial" w:cs="Arial"/>
                <w:b/>
                <w:bCs/>
                <w:sz w:val="16"/>
                <w:szCs w:val="16"/>
              </w:rPr>
              <w:t xml:space="preserve">v </w:t>
            </w:r>
            <w:r w:rsidRPr="004542F4">
              <w:rPr>
                <w:rFonts w:ascii="Arial" w:hAnsi="Arial" w:cs="Arial"/>
                <w:b/>
                <w:bCs/>
                <w:sz w:val="16"/>
                <w:szCs w:val="16"/>
              </w:rPr>
              <w:t>€</w:t>
            </w:r>
          </w:p>
        </w:tc>
        <w:tc>
          <w:tcPr>
            <w:tcW w:w="0" w:type="auto"/>
            <w:shd w:val="clear" w:color="auto" w:fill="D6E3BC"/>
            <w:vAlign w:val="center"/>
            <w:hideMark/>
          </w:tcPr>
          <w:p w:rsidR="001048A5" w:rsidRDefault="001048A5" w:rsidP="00205636">
            <w:pPr>
              <w:jc w:val="center"/>
              <w:rPr>
                <w:rFonts w:ascii="Arial" w:hAnsi="Arial" w:cs="Arial"/>
                <w:b/>
                <w:bCs/>
                <w:sz w:val="16"/>
                <w:szCs w:val="16"/>
              </w:rPr>
            </w:pPr>
            <w:r w:rsidRPr="00A322EA">
              <w:rPr>
                <w:rFonts w:ascii="Arial" w:hAnsi="Arial" w:cs="Arial"/>
                <w:b/>
                <w:bCs/>
                <w:sz w:val="16"/>
                <w:szCs w:val="16"/>
              </w:rPr>
              <w:t>Suma zazmluvnená (EÚ zdroje)</w:t>
            </w:r>
          </w:p>
          <w:p w:rsidR="001048A5" w:rsidRPr="00A322EA" w:rsidRDefault="001048A5" w:rsidP="00205636">
            <w:pPr>
              <w:jc w:val="center"/>
              <w:rPr>
                <w:rFonts w:ascii="Arial" w:hAnsi="Arial" w:cs="Arial"/>
                <w:b/>
                <w:bCs/>
                <w:sz w:val="16"/>
                <w:szCs w:val="16"/>
              </w:rPr>
            </w:pPr>
            <w:r>
              <w:rPr>
                <w:rFonts w:ascii="Arial" w:hAnsi="Arial" w:cs="Arial"/>
                <w:b/>
                <w:bCs/>
                <w:sz w:val="16"/>
                <w:szCs w:val="16"/>
              </w:rPr>
              <w:t xml:space="preserve">v </w:t>
            </w:r>
            <w:r w:rsidRPr="004542F4">
              <w:rPr>
                <w:rFonts w:ascii="Arial" w:hAnsi="Arial" w:cs="Arial"/>
                <w:b/>
                <w:bCs/>
                <w:sz w:val="16"/>
                <w:szCs w:val="16"/>
              </w:rPr>
              <w:t>€</w:t>
            </w:r>
          </w:p>
        </w:tc>
        <w:tc>
          <w:tcPr>
            <w:tcW w:w="0" w:type="auto"/>
            <w:shd w:val="clear" w:color="auto" w:fill="D6E3BC"/>
            <w:vAlign w:val="center"/>
            <w:hideMark/>
          </w:tcPr>
          <w:p w:rsidR="001048A5" w:rsidRPr="00A322EA" w:rsidRDefault="001048A5" w:rsidP="00205636">
            <w:pPr>
              <w:jc w:val="center"/>
              <w:rPr>
                <w:rFonts w:ascii="Arial" w:hAnsi="Arial" w:cs="Arial"/>
                <w:b/>
                <w:bCs/>
                <w:sz w:val="16"/>
                <w:szCs w:val="16"/>
              </w:rPr>
            </w:pPr>
            <w:r w:rsidRPr="00A322EA">
              <w:rPr>
                <w:rFonts w:ascii="Arial" w:hAnsi="Arial" w:cs="Arial"/>
                <w:b/>
                <w:bCs/>
                <w:sz w:val="16"/>
                <w:szCs w:val="16"/>
              </w:rPr>
              <w:t xml:space="preserve">Podiel zazmluvnených projektov na celkovej alokácii </w:t>
            </w:r>
          </w:p>
        </w:tc>
        <w:tc>
          <w:tcPr>
            <w:tcW w:w="0" w:type="auto"/>
            <w:shd w:val="clear" w:color="auto" w:fill="D6E3BC"/>
            <w:vAlign w:val="center"/>
            <w:hideMark/>
          </w:tcPr>
          <w:p w:rsidR="001048A5" w:rsidRDefault="001048A5" w:rsidP="00205636">
            <w:pPr>
              <w:jc w:val="center"/>
              <w:rPr>
                <w:rFonts w:ascii="Arial" w:hAnsi="Arial" w:cs="Arial"/>
                <w:b/>
                <w:bCs/>
                <w:sz w:val="16"/>
                <w:szCs w:val="16"/>
              </w:rPr>
            </w:pPr>
            <w:r w:rsidRPr="00A322EA">
              <w:rPr>
                <w:rFonts w:ascii="Arial" w:hAnsi="Arial" w:cs="Arial"/>
                <w:b/>
                <w:bCs/>
                <w:sz w:val="16"/>
                <w:szCs w:val="16"/>
              </w:rPr>
              <w:t>Suma čerpaná  (EÚ zdroje)</w:t>
            </w:r>
          </w:p>
          <w:p w:rsidR="001048A5" w:rsidRPr="00A322EA" w:rsidRDefault="001048A5" w:rsidP="00205636">
            <w:pPr>
              <w:jc w:val="center"/>
              <w:rPr>
                <w:rFonts w:ascii="Arial" w:hAnsi="Arial" w:cs="Arial"/>
                <w:b/>
                <w:bCs/>
                <w:sz w:val="16"/>
                <w:szCs w:val="16"/>
              </w:rPr>
            </w:pPr>
            <w:r>
              <w:rPr>
                <w:rFonts w:ascii="Arial" w:hAnsi="Arial" w:cs="Arial"/>
                <w:b/>
                <w:bCs/>
                <w:sz w:val="16"/>
                <w:szCs w:val="16"/>
              </w:rPr>
              <w:t xml:space="preserve">v </w:t>
            </w:r>
            <w:r w:rsidRPr="004542F4">
              <w:rPr>
                <w:rFonts w:ascii="Arial" w:hAnsi="Arial" w:cs="Arial"/>
                <w:b/>
                <w:bCs/>
                <w:sz w:val="16"/>
                <w:szCs w:val="16"/>
              </w:rPr>
              <w:t>€</w:t>
            </w:r>
          </w:p>
        </w:tc>
        <w:tc>
          <w:tcPr>
            <w:tcW w:w="0" w:type="auto"/>
            <w:shd w:val="clear" w:color="auto" w:fill="D6E3BC"/>
            <w:vAlign w:val="center"/>
            <w:hideMark/>
          </w:tcPr>
          <w:p w:rsidR="001048A5" w:rsidRPr="00A322EA" w:rsidRDefault="001048A5" w:rsidP="00205636">
            <w:pPr>
              <w:jc w:val="center"/>
              <w:rPr>
                <w:rFonts w:ascii="Arial" w:hAnsi="Arial" w:cs="Arial"/>
                <w:b/>
                <w:bCs/>
                <w:sz w:val="16"/>
                <w:szCs w:val="16"/>
              </w:rPr>
            </w:pPr>
            <w:r w:rsidRPr="00A322EA">
              <w:rPr>
                <w:rFonts w:ascii="Arial" w:hAnsi="Arial" w:cs="Arial"/>
                <w:b/>
                <w:bCs/>
                <w:sz w:val="16"/>
                <w:szCs w:val="16"/>
              </w:rPr>
              <w:t>Podiel čerpania projektov na celkovej alokácii</w:t>
            </w:r>
          </w:p>
        </w:tc>
      </w:tr>
      <w:tr w:rsidR="001048A5" w:rsidRPr="00A322EA" w:rsidTr="00A322EA">
        <w:trPr>
          <w:trHeight w:val="20"/>
        </w:trPr>
        <w:tc>
          <w:tcPr>
            <w:tcW w:w="0" w:type="auto"/>
            <w:shd w:val="clear" w:color="auto" w:fill="EAF1DD"/>
            <w:vAlign w:val="center"/>
            <w:hideMark/>
          </w:tcPr>
          <w:p w:rsidR="001048A5" w:rsidRPr="00A322EA" w:rsidRDefault="001048A5" w:rsidP="00205636">
            <w:pPr>
              <w:rPr>
                <w:rFonts w:ascii="Arial" w:hAnsi="Arial" w:cs="Arial"/>
                <w:sz w:val="16"/>
                <w:szCs w:val="16"/>
              </w:rPr>
            </w:pPr>
            <w:r w:rsidRPr="001048A5">
              <w:rPr>
                <w:rFonts w:ascii="Arial" w:hAnsi="Arial" w:cs="Arial"/>
                <w:sz w:val="16"/>
                <w:szCs w:val="16"/>
              </w:rPr>
              <w:t>HT 53 Predchádzanie rizikám (vrátane návrhu a</w:t>
            </w:r>
            <w:r>
              <w:rPr>
                <w:rFonts w:ascii="Arial" w:hAnsi="Arial" w:cs="Arial"/>
                <w:sz w:val="16"/>
                <w:szCs w:val="16"/>
              </w:rPr>
              <w:t> </w:t>
            </w:r>
            <w:r w:rsidRPr="001048A5">
              <w:rPr>
                <w:rFonts w:ascii="Arial" w:hAnsi="Arial" w:cs="Arial"/>
                <w:sz w:val="16"/>
                <w:szCs w:val="16"/>
              </w:rPr>
              <w:t>realizácie plánov a</w:t>
            </w:r>
            <w:r>
              <w:rPr>
                <w:rFonts w:ascii="Arial" w:hAnsi="Arial" w:cs="Arial"/>
                <w:sz w:val="16"/>
                <w:szCs w:val="16"/>
              </w:rPr>
              <w:t> </w:t>
            </w:r>
            <w:r w:rsidRPr="001048A5">
              <w:rPr>
                <w:rFonts w:ascii="Arial" w:hAnsi="Arial" w:cs="Arial"/>
                <w:sz w:val="16"/>
                <w:szCs w:val="16"/>
              </w:rPr>
              <w:t>opatrení na predchádzanie prírodným a</w:t>
            </w:r>
            <w:r>
              <w:rPr>
                <w:rFonts w:ascii="Arial" w:hAnsi="Arial" w:cs="Arial"/>
                <w:sz w:val="16"/>
                <w:szCs w:val="16"/>
              </w:rPr>
              <w:t> </w:t>
            </w:r>
            <w:r w:rsidRPr="001048A5">
              <w:rPr>
                <w:rFonts w:ascii="Arial" w:hAnsi="Arial" w:cs="Arial"/>
                <w:sz w:val="16"/>
                <w:szCs w:val="16"/>
              </w:rPr>
              <w:t>technologickým rizikám a</w:t>
            </w:r>
            <w:r>
              <w:rPr>
                <w:rFonts w:ascii="Arial" w:hAnsi="Arial" w:cs="Arial"/>
                <w:sz w:val="16"/>
                <w:szCs w:val="16"/>
              </w:rPr>
              <w:t> </w:t>
            </w:r>
            <w:r w:rsidRPr="001048A5">
              <w:rPr>
                <w:rFonts w:ascii="Arial" w:hAnsi="Arial" w:cs="Arial"/>
                <w:sz w:val="16"/>
                <w:szCs w:val="16"/>
              </w:rPr>
              <w:t>ich riadenie)</w:t>
            </w:r>
          </w:p>
        </w:tc>
        <w:tc>
          <w:tcPr>
            <w:tcW w:w="0" w:type="auto"/>
            <w:shd w:val="clear" w:color="auto" w:fill="auto"/>
            <w:vAlign w:val="center"/>
            <w:hideMark/>
          </w:tcPr>
          <w:p w:rsidR="001048A5" w:rsidRPr="00A322EA" w:rsidRDefault="001048A5" w:rsidP="00205636">
            <w:pPr>
              <w:jc w:val="center"/>
              <w:rPr>
                <w:rFonts w:ascii="Arial" w:hAnsi="Arial" w:cs="Arial"/>
                <w:sz w:val="16"/>
                <w:szCs w:val="16"/>
              </w:rPr>
            </w:pPr>
            <w:r w:rsidRPr="00A322EA">
              <w:rPr>
                <w:rFonts w:ascii="Arial" w:hAnsi="Arial" w:cs="Arial"/>
                <w:sz w:val="16"/>
                <w:szCs w:val="16"/>
              </w:rPr>
              <w:t>7.1.</w:t>
            </w:r>
          </w:p>
        </w:tc>
        <w:tc>
          <w:tcPr>
            <w:tcW w:w="0" w:type="auto"/>
            <w:shd w:val="clear" w:color="auto" w:fill="auto"/>
            <w:noWrap/>
            <w:vAlign w:val="center"/>
            <w:hideMark/>
          </w:tcPr>
          <w:p w:rsidR="001048A5" w:rsidRPr="00A322EA" w:rsidRDefault="001048A5" w:rsidP="00205636">
            <w:pPr>
              <w:jc w:val="center"/>
              <w:rPr>
                <w:rFonts w:ascii="Arial" w:hAnsi="Arial" w:cs="Arial"/>
                <w:sz w:val="16"/>
                <w:szCs w:val="16"/>
              </w:rPr>
            </w:pPr>
            <w:r w:rsidRPr="00A322EA">
              <w:rPr>
                <w:rFonts w:ascii="Arial" w:hAnsi="Arial" w:cs="Arial"/>
                <w:sz w:val="16"/>
                <w:szCs w:val="16"/>
              </w:rPr>
              <w:t>20 000 000 €</w:t>
            </w:r>
          </w:p>
        </w:tc>
        <w:tc>
          <w:tcPr>
            <w:tcW w:w="0" w:type="auto"/>
            <w:shd w:val="clear" w:color="auto" w:fill="auto"/>
            <w:noWrap/>
            <w:vAlign w:val="center"/>
            <w:hideMark/>
          </w:tcPr>
          <w:p w:rsidR="001048A5" w:rsidRPr="00A322EA" w:rsidRDefault="001048A5" w:rsidP="00205636">
            <w:pPr>
              <w:jc w:val="center"/>
              <w:rPr>
                <w:rFonts w:ascii="Arial" w:hAnsi="Arial" w:cs="Arial"/>
                <w:sz w:val="16"/>
                <w:szCs w:val="16"/>
              </w:rPr>
            </w:pPr>
            <w:r w:rsidRPr="00A322EA">
              <w:rPr>
                <w:rFonts w:ascii="Arial" w:hAnsi="Arial" w:cs="Arial"/>
                <w:sz w:val="16"/>
                <w:szCs w:val="16"/>
              </w:rPr>
              <w:t>0 €</w:t>
            </w:r>
          </w:p>
        </w:tc>
        <w:tc>
          <w:tcPr>
            <w:tcW w:w="0" w:type="auto"/>
            <w:shd w:val="clear" w:color="auto" w:fill="auto"/>
            <w:noWrap/>
            <w:vAlign w:val="center"/>
            <w:hideMark/>
          </w:tcPr>
          <w:p w:rsidR="001048A5" w:rsidRPr="00A322EA" w:rsidRDefault="001048A5" w:rsidP="00205636">
            <w:pPr>
              <w:jc w:val="center"/>
              <w:rPr>
                <w:rFonts w:ascii="Arial" w:hAnsi="Arial" w:cs="Arial"/>
                <w:sz w:val="16"/>
                <w:szCs w:val="16"/>
              </w:rPr>
            </w:pPr>
            <w:r w:rsidRPr="00A322EA">
              <w:rPr>
                <w:rFonts w:ascii="Arial" w:hAnsi="Arial" w:cs="Arial"/>
                <w:sz w:val="16"/>
                <w:szCs w:val="16"/>
              </w:rPr>
              <w:t>0,00%</w:t>
            </w:r>
          </w:p>
        </w:tc>
        <w:tc>
          <w:tcPr>
            <w:tcW w:w="0" w:type="auto"/>
            <w:shd w:val="clear" w:color="auto" w:fill="auto"/>
            <w:noWrap/>
            <w:vAlign w:val="center"/>
            <w:hideMark/>
          </w:tcPr>
          <w:p w:rsidR="001048A5" w:rsidRPr="00A322EA" w:rsidRDefault="001048A5" w:rsidP="00205636">
            <w:pPr>
              <w:jc w:val="center"/>
              <w:rPr>
                <w:rFonts w:ascii="Arial" w:hAnsi="Arial" w:cs="Arial"/>
                <w:sz w:val="16"/>
                <w:szCs w:val="16"/>
              </w:rPr>
            </w:pPr>
            <w:r w:rsidRPr="00A322EA">
              <w:rPr>
                <w:rFonts w:ascii="Arial" w:hAnsi="Arial" w:cs="Arial"/>
                <w:sz w:val="16"/>
                <w:szCs w:val="16"/>
              </w:rPr>
              <w:t>0 €</w:t>
            </w:r>
          </w:p>
        </w:tc>
        <w:tc>
          <w:tcPr>
            <w:tcW w:w="0" w:type="auto"/>
            <w:shd w:val="clear" w:color="auto" w:fill="auto"/>
            <w:noWrap/>
            <w:vAlign w:val="center"/>
            <w:hideMark/>
          </w:tcPr>
          <w:p w:rsidR="001048A5" w:rsidRPr="00A322EA" w:rsidRDefault="001048A5" w:rsidP="00205636">
            <w:pPr>
              <w:jc w:val="center"/>
              <w:rPr>
                <w:rFonts w:ascii="Arial" w:hAnsi="Arial" w:cs="Arial"/>
                <w:sz w:val="16"/>
                <w:szCs w:val="16"/>
              </w:rPr>
            </w:pPr>
            <w:r w:rsidRPr="00A322EA">
              <w:rPr>
                <w:rFonts w:ascii="Arial" w:hAnsi="Arial" w:cs="Arial"/>
                <w:sz w:val="16"/>
                <w:szCs w:val="16"/>
              </w:rPr>
              <w:t>0,00%</w:t>
            </w:r>
          </w:p>
        </w:tc>
      </w:tr>
      <w:tr w:rsidR="001048A5" w:rsidRPr="00A322EA" w:rsidTr="00CE2F75">
        <w:trPr>
          <w:trHeight w:val="20"/>
        </w:trPr>
        <w:tc>
          <w:tcPr>
            <w:tcW w:w="0" w:type="auto"/>
            <w:tcBorders>
              <w:bottom w:val="single" w:sz="4" w:space="0" w:color="auto"/>
            </w:tcBorders>
            <w:shd w:val="clear" w:color="auto" w:fill="D6E3BC"/>
            <w:noWrap/>
            <w:vAlign w:val="center"/>
            <w:hideMark/>
          </w:tcPr>
          <w:p w:rsidR="001048A5" w:rsidRPr="00A322EA" w:rsidRDefault="001048A5" w:rsidP="00205636">
            <w:pPr>
              <w:jc w:val="center"/>
              <w:rPr>
                <w:rFonts w:ascii="Arial" w:hAnsi="Arial" w:cs="Arial"/>
                <w:b/>
                <w:bCs/>
                <w:sz w:val="16"/>
                <w:szCs w:val="16"/>
              </w:rPr>
            </w:pPr>
            <w:r w:rsidRPr="00A322EA">
              <w:rPr>
                <w:rFonts w:ascii="Arial" w:hAnsi="Arial" w:cs="Arial"/>
                <w:b/>
                <w:bCs/>
                <w:sz w:val="16"/>
                <w:szCs w:val="16"/>
              </w:rPr>
              <w:t>Indikátory</w:t>
            </w:r>
          </w:p>
        </w:tc>
        <w:tc>
          <w:tcPr>
            <w:tcW w:w="0" w:type="auto"/>
            <w:shd w:val="clear" w:color="auto" w:fill="D6E3BC"/>
            <w:noWrap/>
            <w:vAlign w:val="center"/>
            <w:hideMark/>
          </w:tcPr>
          <w:p w:rsidR="001048A5" w:rsidRPr="00A322EA" w:rsidRDefault="001048A5" w:rsidP="00205636">
            <w:pPr>
              <w:jc w:val="center"/>
              <w:rPr>
                <w:rFonts w:ascii="Arial" w:hAnsi="Arial" w:cs="Arial"/>
                <w:b/>
                <w:bCs/>
                <w:sz w:val="16"/>
                <w:szCs w:val="16"/>
              </w:rPr>
            </w:pPr>
            <w:r w:rsidRPr="00A322EA">
              <w:rPr>
                <w:rFonts w:ascii="Arial" w:hAnsi="Arial" w:cs="Arial"/>
                <w:b/>
                <w:bCs/>
                <w:sz w:val="16"/>
                <w:szCs w:val="16"/>
              </w:rPr>
              <w:t>MJ</w:t>
            </w:r>
          </w:p>
        </w:tc>
        <w:tc>
          <w:tcPr>
            <w:tcW w:w="0" w:type="auto"/>
            <w:shd w:val="clear" w:color="auto" w:fill="D6E3BC"/>
            <w:vAlign w:val="center"/>
            <w:hideMark/>
          </w:tcPr>
          <w:p w:rsidR="001048A5" w:rsidRPr="00A322EA" w:rsidRDefault="001048A5" w:rsidP="00205636">
            <w:pPr>
              <w:jc w:val="center"/>
              <w:rPr>
                <w:rFonts w:ascii="Arial" w:hAnsi="Arial" w:cs="Arial"/>
                <w:b/>
                <w:bCs/>
                <w:sz w:val="16"/>
                <w:szCs w:val="16"/>
              </w:rPr>
            </w:pPr>
            <w:r w:rsidRPr="00A322EA">
              <w:rPr>
                <w:rFonts w:ascii="Arial" w:hAnsi="Arial" w:cs="Arial"/>
                <w:b/>
                <w:bCs/>
                <w:sz w:val="16"/>
                <w:szCs w:val="16"/>
              </w:rPr>
              <w:t>Plánovaná hodnota indikátora podľa OP</w:t>
            </w:r>
          </w:p>
        </w:tc>
        <w:tc>
          <w:tcPr>
            <w:tcW w:w="0" w:type="auto"/>
            <w:shd w:val="clear" w:color="auto" w:fill="D6E3BC"/>
            <w:vAlign w:val="center"/>
            <w:hideMark/>
          </w:tcPr>
          <w:p w:rsidR="001048A5" w:rsidRPr="00A322EA" w:rsidRDefault="001048A5" w:rsidP="00205636">
            <w:pPr>
              <w:jc w:val="center"/>
              <w:rPr>
                <w:rFonts w:ascii="Arial" w:hAnsi="Arial" w:cs="Arial"/>
                <w:b/>
                <w:bCs/>
                <w:sz w:val="16"/>
                <w:szCs w:val="16"/>
              </w:rPr>
            </w:pPr>
            <w:r w:rsidRPr="00A322EA">
              <w:rPr>
                <w:rFonts w:ascii="Arial" w:hAnsi="Arial" w:cs="Arial"/>
                <w:b/>
                <w:bCs/>
                <w:sz w:val="16"/>
                <w:szCs w:val="16"/>
              </w:rPr>
              <w:t>Predpokladaná cieľová hodnota indikátora zazmluvnených projektov</w:t>
            </w:r>
          </w:p>
        </w:tc>
        <w:tc>
          <w:tcPr>
            <w:tcW w:w="0" w:type="auto"/>
            <w:shd w:val="clear" w:color="auto" w:fill="D6E3BC"/>
            <w:vAlign w:val="center"/>
            <w:hideMark/>
          </w:tcPr>
          <w:p w:rsidR="001048A5" w:rsidRPr="00A322EA" w:rsidRDefault="001048A5" w:rsidP="00205636">
            <w:pPr>
              <w:jc w:val="center"/>
              <w:rPr>
                <w:rFonts w:ascii="Arial" w:hAnsi="Arial" w:cs="Arial"/>
                <w:b/>
                <w:bCs/>
                <w:sz w:val="16"/>
                <w:szCs w:val="16"/>
              </w:rPr>
            </w:pPr>
            <w:r w:rsidRPr="00A322EA">
              <w:rPr>
                <w:rFonts w:ascii="Arial" w:hAnsi="Arial" w:cs="Arial"/>
                <w:b/>
                <w:bCs/>
                <w:sz w:val="16"/>
                <w:szCs w:val="16"/>
              </w:rPr>
              <w:t>Podiel plánovaných hodnôt indikátorov zazmluvnených projektoch voči OP</w:t>
            </w:r>
          </w:p>
        </w:tc>
        <w:tc>
          <w:tcPr>
            <w:tcW w:w="0" w:type="auto"/>
            <w:shd w:val="clear" w:color="auto" w:fill="D6E3BC"/>
            <w:vAlign w:val="center"/>
            <w:hideMark/>
          </w:tcPr>
          <w:p w:rsidR="001048A5" w:rsidRPr="00A322EA" w:rsidRDefault="001048A5" w:rsidP="00205636">
            <w:pPr>
              <w:jc w:val="center"/>
              <w:rPr>
                <w:rFonts w:ascii="Arial" w:hAnsi="Arial" w:cs="Arial"/>
                <w:b/>
                <w:bCs/>
                <w:sz w:val="16"/>
                <w:szCs w:val="16"/>
              </w:rPr>
            </w:pPr>
            <w:r w:rsidRPr="00A322EA">
              <w:rPr>
                <w:rFonts w:ascii="Arial" w:hAnsi="Arial" w:cs="Arial"/>
                <w:b/>
                <w:bCs/>
                <w:sz w:val="16"/>
                <w:szCs w:val="16"/>
              </w:rPr>
              <w:t>Meraná hodnota indikátora zazmluvnených projektov</w:t>
            </w:r>
          </w:p>
        </w:tc>
        <w:tc>
          <w:tcPr>
            <w:tcW w:w="0" w:type="auto"/>
            <w:shd w:val="clear" w:color="auto" w:fill="D6E3BC"/>
            <w:vAlign w:val="center"/>
            <w:hideMark/>
          </w:tcPr>
          <w:p w:rsidR="001048A5" w:rsidRPr="00A322EA" w:rsidRDefault="001048A5" w:rsidP="00205636">
            <w:pPr>
              <w:jc w:val="center"/>
              <w:rPr>
                <w:rFonts w:ascii="Arial" w:hAnsi="Arial" w:cs="Arial"/>
                <w:b/>
                <w:bCs/>
                <w:sz w:val="16"/>
                <w:szCs w:val="16"/>
              </w:rPr>
            </w:pPr>
            <w:r w:rsidRPr="00A322EA">
              <w:rPr>
                <w:rFonts w:ascii="Arial" w:hAnsi="Arial" w:cs="Arial"/>
                <w:b/>
                <w:bCs/>
                <w:sz w:val="16"/>
                <w:szCs w:val="16"/>
              </w:rPr>
              <w:t>Podiel meraných hodnôt zazmluvnených projektoch voči OP</w:t>
            </w:r>
          </w:p>
        </w:tc>
      </w:tr>
      <w:tr w:rsidR="001048A5" w:rsidRPr="00A322EA" w:rsidTr="00A322EA">
        <w:trPr>
          <w:trHeight w:val="20"/>
        </w:trPr>
        <w:tc>
          <w:tcPr>
            <w:tcW w:w="0" w:type="auto"/>
            <w:shd w:val="clear" w:color="auto" w:fill="EAF1DD"/>
            <w:vAlign w:val="center"/>
            <w:hideMark/>
          </w:tcPr>
          <w:p w:rsidR="001048A5" w:rsidRPr="00A322EA" w:rsidRDefault="001048A5" w:rsidP="00205636">
            <w:pPr>
              <w:rPr>
                <w:rFonts w:ascii="Arial" w:hAnsi="Arial" w:cs="Arial"/>
                <w:sz w:val="16"/>
                <w:szCs w:val="16"/>
              </w:rPr>
            </w:pPr>
            <w:r w:rsidRPr="00A322EA">
              <w:rPr>
                <w:rFonts w:ascii="Arial" w:hAnsi="Arial" w:cs="Arial"/>
                <w:sz w:val="16"/>
                <w:szCs w:val="16"/>
              </w:rPr>
              <w:t>Počet vydaných hydrologických predpovedí, varovaní a</w:t>
            </w:r>
            <w:r>
              <w:rPr>
                <w:rFonts w:ascii="Arial" w:hAnsi="Arial" w:cs="Arial"/>
                <w:sz w:val="16"/>
                <w:szCs w:val="16"/>
              </w:rPr>
              <w:t> </w:t>
            </w:r>
            <w:r w:rsidRPr="00A322EA">
              <w:rPr>
                <w:rFonts w:ascii="Arial" w:hAnsi="Arial" w:cs="Arial"/>
                <w:sz w:val="16"/>
                <w:szCs w:val="16"/>
              </w:rPr>
              <w:t>výstrah</w:t>
            </w:r>
          </w:p>
        </w:tc>
        <w:tc>
          <w:tcPr>
            <w:tcW w:w="0" w:type="auto"/>
            <w:shd w:val="clear" w:color="auto" w:fill="auto"/>
            <w:noWrap/>
            <w:vAlign w:val="center"/>
            <w:hideMark/>
          </w:tcPr>
          <w:p w:rsidR="001048A5" w:rsidRPr="00A322EA" w:rsidRDefault="001048A5" w:rsidP="00205636">
            <w:pPr>
              <w:jc w:val="center"/>
              <w:rPr>
                <w:rFonts w:ascii="Arial" w:hAnsi="Arial" w:cs="Arial"/>
                <w:sz w:val="16"/>
                <w:szCs w:val="16"/>
              </w:rPr>
            </w:pPr>
            <w:r w:rsidRPr="00A322EA">
              <w:rPr>
                <w:rFonts w:ascii="Arial" w:hAnsi="Arial" w:cs="Arial"/>
                <w:sz w:val="16"/>
                <w:szCs w:val="16"/>
              </w:rPr>
              <w:t>počet</w:t>
            </w:r>
          </w:p>
        </w:tc>
        <w:tc>
          <w:tcPr>
            <w:tcW w:w="0" w:type="auto"/>
            <w:shd w:val="clear" w:color="auto" w:fill="auto"/>
            <w:noWrap/>
            <w:vAlign w:val="center"/>
            <w:hideMark/>
          </w:tcPr>
          <w:p w:rsidR="001048A5" w:rsidRPr="00A322EA" w:rsidRDefault="001048A5" w:rsidP="00205636">
            <w:pPr>
              <w:jc w:val="center"/>
              <w:rPr>
                <w:rFonts w:ascii="Arial" w:hAnsi="Arial" w:cs="Arial"/>
                <w:sz w:val="16"/>
                <w:szCs w:val="16"/>
              </w:rPr>
            </w:pPr>
            <w:r w:rsidRPr="00A322EA">
              <w:rPr>
                <w:rFonts w:ascii="Arial" w:hAnsi="Arial" w:cs="Arial"/>
                <w:sz w:val="16"/>
                <w:szCs w:val="16"/>
              </w:rPr>
              <w:t>7 800</w:t>
            </w:r>
          </w:p>
        </w:tc>
        <w:tc>
          <w:tcPr>
            <w:tcW w:w="0" w:type="auto"/>
            <w:shd w:val="clear" w:color="auto" w:fill="auto"/>
            <w:noWrap/>
            <w:vAlign w:val="center"/>
            <w:hideMark/>
          </w:tcPr>
          <w:p w:rsidR="001048A5" w:rsidRPr="00A322EA" w:rsidRDefault="001048A5" w:rsidP="00205636">
            <w:pPr>
              <w:jc w:val="center"/>
              <w:rPr>
                <w:rFonts w:ascii="Arial" w:hAnsi="Arial" w:cs="Arial"/>
                <w:sz w:val="16"/>
                <w:szCs w:val="16"/>
              </w:rPr>
            </w:pPr>
            <w:r w:rsidRPr="00A322EA">
              <w:rPr>
                <w:rFonts w:ascii="Arial" w:hAnsi="Arial" w:cs="Arial"/>
                <w:sz w:val="16"/>
                <w:szCs w:val="16"/>
              </w:rPr>
              <w:t>0</w:t>
            </w:r>
          </w:p>
        </w:tc>
        <w:tc>
          <w:tcPr>
            <w:tcW w:w="0" w:type="auto"/>
            <w:shd w:val="clear" w:color="auto" w:fill="auto"/>
            <w:noWrap/>
            <w:vAlign w:val="center"/>
            <w:hideMark/>
          </w:tcPr>
          <w:p w:rsidR="001048A5" w:rsidRPr="00A322EA" w:rsidRDefault="001048A5" w:rsidP="00205636">
            <w:pPr>
              <w:jc w:val="center"/>
              <w:rPr>
                <w:rFonts w:ascii="Arial" w:hAnsi="Arial" w:cs="Arial"/>
                <w:sz w:val="16"/>
                <w:szCs w:val="16"/>
              </w:rPr>
            </w:pPr>
            <w:r w:rsidRPr="00A322EA">
              <w:rPr>
                <w:rFonts w:ascii="Arial" w:hAnsi="Arial" w:cs="Arial"/>
                <w:sz w:val="16"/>
                <w:szCs w:val="16"/>
              </w:rPr>
              <w:t>0,00%</w:t>
            </w:r>
          </w:p>
        </w:tc>
        <w:tc>
          <w:tcPr>
            <w:tcW w:w="0" w:type="auto"/>
            <w:shd w:val="clear" w:color="auto" w:fill="auto"/>
            <w:noWrap/>
            <w:vAlign w:val="center"/>
            <w:hideMark/>
          </w:tcPr>
          <w:p w:rsidR="001048A5" w:rsidRPr="00A322EA" w:rsidRDefault="001048A5" w:rsidP="00205636">
            <w:pPr>
              <w:jc w:val="center"/>
              <w:rPr>
                <w:rFonts w:ascii="Arial" w:hAnsi="Arial" w:cs="Arial"/>
                <w:sz w:val="16"/>
                <w:szCs w:val="16"/>
              </w:rPr>
            </w:pPr>
            <w:r w:rsidRPr="00A322EA">
              <w:rPr>
                <w:rFonts w:ascii="Arial" w:hAnsi="Arial" w:cs="Arial"/>
                <w:sz w:val="16"/>
                <w:szCs w:val="16"/>
              </w:rPr>
              <w:t>0</w:t>
            </w:r>
          </w:p>
        </w:tc>
        <w:tc>
          <w:tcPr>
            <w:tcW w:w="0" w:type="auto"/>
            <w:shd w:val="clear" w:color="auto" w:fill="auto"/>
            <w:noWrap/>
            <w:vAlign w:val="center"/>
            <w:hideMark/>
          </w:tcPr>
          <w:p w:rsidR="001048A5" w:rsidRPr="00A322EA" w:rsidRDefault="001048A5" w:rsidP="00205636">
            <w:pPr>
              <w:jc w:val="center"/>
              <w:rPr>
                <w:rFonts w:ascii="Arial" w:hAnsi="Arial" w:cs="Arial"/>
                <w:sz w:val="16"/>
                <w:szCs w:val="16"/>
              </w:rPr>
            </w:pPr>
            <w:r w:rsidRPr="00A322EA">
              <w:rPr>
                <w:rFonts w:ascii="Arial" w:hAnsi="Arial" w:cs="Arial"/>
                <w:sz w:val="16"/>
                <w:szCs w:val="16"/>
              </w:rPr>
              <w:t>0,00%</w:t>
            </w:r>
          </w:p>
        </w:tc>
      </w:tr>
      <w:tr w:rsidR="001048A5" w:rsidRPr="00A322EA" w:rsidTr="00A322EA">
        <w:trPr>
          <w:trHeight w:val="20"/>
        </w:trPr>
        <w:tc>
          <w:tcPr>
            <w:tcW w:w="0" w:type="auto"/>
            <w:shd w:val="clear" w:color="auto" w:fill="EAF1DD"/>
            <w:vAlign w:val="center"/>
            <w:hideMark/>
          </w:tcPr>
          <w:p w:rsidR="001048A5" w:rsidRPr="00A322EA" w:rsidRDefault="001048A5" w:rsidP="00205636">
            <w:pPr>
              <w:rPr>
                <w:rFonts w:ascii="Arial" w:hAnsi="Arial" w:cs="Arial"/>
                <w:sz w:val="16"/>
                <w:szCs w:val="16"/>
              </w:rPr>
            </w:pPr>
            <w:r w:rsidRPr="00A322EA">
              <w:rPr>
                <w:rFonts w:ascii="Arial" w:hAnsi="Arial" w:cs="Arial"/>
                <w:sz w:val="16"/>
                <w:szCs w:val="16"/>
              </w:rPr>
              <w:t>Počet inštitúcií napojených na POVAPSYS</w:t>
            </w:r>
          </w:p>
        </w:tc>
        <w:tc>
          <w:tcPr>
            <w:tcW w:w="0" w:type="auto"/>
            <w:shd w:val="clear" w:color="auto" w:fill="auto"/>
            <w:noWrap/>
            <w:vAlign w:val="center"/>
            <w:hideMark/>
          </w:tcPr>
          <w:p w:rsidR="001048A5" w:rsidRPr="00A322EA" w:rsidRDefault="001048A5" w:rsidP="00205636">
            <w:pPr>
              <w:jc w:val="center"/>
              <w:rPr>
                <w:rFonts w:ascii="Arial" w:hAnsi="Arial" w:cs="Arial"/>
                <w:sz w:val="16"/>
                <w:szCs w:val="16"/>
              </w:rPr>
            </w:pPr>
            <w:r w:rsidRPr="00A322EA">
              <w:rPr>
                <w:rFonts w:ascii="Arial" w:hAnsi="Arial" w:cs="Arial"/>
                <w:sz w:val="16"/>
                <w:szCs w:val="16"/>
              </w:rPr>
              <w:t>počet</w:t>
            </w:r>
          </w:p>
        </w:tc>
        <w:tc>
          <w:tcPr>
            <w:tcW w:w="0" w:type="auto"/>
            <w:shd w:val="clear" w:color="auto" w:fill="auto"/>
            <w:noWrap/>
            <w:vAlign w:val="center"/>
            <w:hideMark/>
          </w:tcPr>
          <w:p w:rsidR="001048A5" w:rsidRPr="00A322EA" w:rsidRDefault="001048A5" w:rsidP="00205636">
            <w:pPr>
              <w:jc w:val="center"/>
              <w:rPr>
                <w:rFonts w:ascii="Arial" w:hAnsi="Arial" w:cs="Arial"/>
                <w:sz w:val="16"/>
                <w:szCs w:val="16"/>
              </w:rPr>
            </w:pPr>
            <w:r w:rsidRPr="00A322EA">
              <w:rPr>
                <w:rFonts w:ascii="Arial" w:hAnsi="Arial" w:cs="Arial"/>
                <w:sz w:val="16"/>
                <w:szCs w:val="16"/>
              </w:rPr>
              <w:t>2</w:t>
            </w:r>
          </w:p>
        </w:tc>
        <w:tc>
          <w:tcPr>
            <w:tcW w:w="0" w:type="auto"/>
            <w:shd w:val="clear" w:color="auto" w:fill="auto"/>
            <w:noWrap/>
            <w:vAlign w:val="center"/>
            <w:hideMark/>
          </w:tcPr>
          <w:p w:rsidR="001048A5" w:rsidRPr="00A322EA" w:rsidRDefault="001048A5" w:rsidP="00205636">
            <w:pPr>
              <w:jc w:val="center"/>
              <w:rPr>
                <w:rFonts w:ascii="Arial" w:hAnsi="Arial" w:cs="Arial"/>
                <w:sz w:val="16"/>
                <w:szCs w:val="16"/>
              </w:rPr>
            </w:pPr>
            <w:r w:rsidRPr="00A322EA">
              <w:rPr>
                <w:rFonts w:ascii="Arial" w:hAnsi="Arial" w:cs="Arial"/>
                <w:sz w:val="16"/>
                <w:szCs w:val="16"/>
              </w:rPr>
              <w:t>0</w:t>
            </w:r>
          </w:p>
        </w:tc>
        <w:tc>
          <w:tcPr>
            <w:tcW w:w="0" w:type="auto"/>
            <w:shd w:val="clear" w:color="auto" w:fill="auto"/>
            <w:noWrap/>
            <w:vAlign w:val="center"/>
            <w:hideMark/>
          </w:tcPr>
          <w:p w:rsidR="001048A5" w:rsidRPr="00A322EA" w:rsidRDefault="001048A5" w:rsidP="00205636">
            <w:pPr>
              <w:jc w:val="center"/>
              <w:rPr>
                <w:rFonts w:ascii="Arial" w:hAnsi="Arial" w:cs="Arial"/>
                <w:sz w:val="16"/>
                <w:szCs w:val="16"/>
              </w:rPr>
            </w:pPr>
            <w:r w:rsidRPr="00A322EA">
              <w:rPr>
                <w:rFonts w:ascii="Arial" w:hAnsi="Arial" w:cs="Arial"/>
                <w:sz w:val="16"/>
                <w:szCs w:val="16"/>
              </w:rPr>
              <w:t>0,00%</w:t>
            </w:r>
          </w:p>
        </w:tc>
        <w:tc>
          <w:tcPr>
            <w:tcW w:w="0" w:type="auto"/>
            <w:shd w:val="clear" w:color="auto" w:fill="auto"/>
            <w:noWrap/>
            <w:vAlign w:val="center"/>
            <w:hideMark/>
          </w:tcPr>
          <w:p w:rsidR="001048A5" w:rsidRPr="00A322EA" w:rsidRDefault="001048A5" w:rsidP="00205636">
            <w:pPr>
              <w:jc w:val="center"/>
              <w:rPr>
                <w:rFonts w:ascii="Arial" w:hAnsi="Arial" w:cs="Arial"/>
                <w:sz w:val="16"/>
                <w:szCs w:val="16"/>
              </w:rPr>
            </w:pPr>
            <w:r w:rsidRPr="00A322EA">
              <w:rPr>
                <w:rFonts w:ascii="Arial" w:hAnsi="Arial" w:cs="Arial"/>
                <w:sz w:val="16"/>
                <w:szCs w:val="16"/>
              </w:rPr>
              <w:t>0</w:t>
            </w:r>
          </w:p>
        </w:tc>
        <w:tc>
          <w:tcPr>
            <w:tcW w:w="0" w:type="auto"/>
            <w:shd w:val="clear" w:color="auto" w:fill="auto"/>
            <w:noWrap/>
            <w:vAlign w:val="center"/>
            <w:hideMark/>
          </w:tcPr>
          <w:p w:rsidR="001048A5" w:rsidRPr="00A322EA" w:rsidRDefault="001048A5" w:rsidP="00205636">
            <w:pPr>
              <w:jc w:val="center"/>
              <w:rPr>
                <w:rFonts w:ascii="Arial" w:hAnsi="Arial" w:cs="Arial"/>
                <w:sz w:val="16"/>
                <w:szCs w:val="16"/>
              </w:rPr>
            </w:pPr>
            <w:r w:rsidRPr="00A322EA">
              <w:rPr>
                <w:rFonts w:ascii="Arial" w:hAnsi="Arial" w:cs="Arial"/>
                <w:sz w:val="16"/>
                <w:szCs w:val="16"/>
              </w:rPr>
              <w:t>0,00%</w:t>
            </w:r>
          </w:p>
        </w:tc>
      </w:tr>
    </w:tbl>
    <w:p w:rsidR="00726169" w:rsidRPr="00A322EA" w:rsidRDefault="00000CC9" w:rsidP="00205636">
      <w:pPr>
        <w:spacing w:line="360" w:lineRule="auto"/>
        <w:rPr>
          <w:rFonts w:ascii="Arial" w:hAnsi="Arial" w:cs="Arial"/>
          <w:sz w:val="18"/>
          <w:szCs w:val="18"/>
        </w:rPr>
      </w:pPr>
      <w:r>
        <w:rPr>
          <w:rFonts w:ascii="Arial" w:hAnsi="Arial" w:cs="Arial"/>
          <w:sz w:val="18"/>
          <w:szCs w:val="18"/>
        </w:rPr>
        <w:t>Zdroj: RO, ITMS</w:t>
      </w:r>
    </w:p>
    <w:p w:rsidR="00726169" w:rsidRDefault="00AC246A" w:rsidP="00507035">
      <w:pPr>
        <w:spacing w:before="120" w:after="120" w:line="360" w:lineRule="auto"/>
        <w:jc w:val="both"/>
        <w:rPr>
          <w:rFonts w:ascii="Arial" w:hAnsi="Arial" w:cs="Arial"/>
          <w:sz w:val="20"/>
          <w:szCs w:val="20"/>
        </w:rPr>
      </w:pPr>
      <w:r w:rsidRPr="00AC246A">
        <w:rPr>
          <w:rFonts w:ascii="Arial" w:hAnsi="Arial" w:cs="Arial"/>
          <w:sz w:val="20"/>
          <w:szCs w:val="20"/>
        </w:rPr>
        <w:t>Nakoľko k 31. 12. 201</w:t>
      </w:r>
      <w:r w:rsidR="00B1224C">
        <w:rPr>
          <w:rFonts w:ascii="Arial" w:hAnsi="Arial" w:cs="Arial"/>
          <w:sz w:val="20"/>
          <w:szCs w:val="20"/>
        </w:rPr>
        <w:t>2</w:t>
      </w:r>
      <w:r w:rsidRPr="00AC246A">
        <w:rPr>
          <w:rFonts w:ascii="Arial" w:hAnsi="Arial" w:cs="Arial"/>
          <w:sz w:val="20"/>
          <w:szCs w:val="20"/>
        </w:rPr>
        <w:t xml:space="preserve"> nebol schválený projekt na vybudovanie POVAPSYS, nie je možné vyhodnotiť vzťah čerpania prideleného príspevku </w:t>
      </w:r>
      <w:r w:rsidR="0062541C">
        <w:rPr>
          <w:rFonts w:ascii="Arial" w:hAnsi="Arial" w:cs="Arial"/>
          <w:sz w:val="20"/>
          <w:szCs w:val="20"/>
        </w:rPr>
        <w:t>EÚ</w:t>
      </w:r>
      <w:r w:rsidR="0062541C" w:rsidRPr="00AC246A">
        <w:rPr>
          <w:rFonts w:ascii="Arial" w:hAnsi="Arial" w:cs="Arial"/>
          <w:sz w:val="20"/>
          <w:szCs w:val="20"/>
        </w:rPr>
        <w:t xml:space="preserve"> </w:t>
      </w:r>
      <w:r w:rsidRPr="00AC246A">
        <w:rPr>
          <w:rFonts w:ascii="Arial" w:hAnsi="Arial" w:cs="Arial"/>
          <w:sz w:val="20"/>
          <w:szCs w:val="20"/>
        </w:rPr>
        <w:t>v rámci prioritnej témy HT53 na úrovni danej prioritnej osi a dosiahnutia plánovanej hodnoty merateľných ukazovateľov stanovených v rámci dotknutej prioritnej osi</w:t>
      </w:r>
      <w:r>
        <w:rPr>
          <w:rFonts w:ascii="Arial" w:hAnsi="Arial" w:cs="Arial"/>
          <w:sz w:val="20"/>
          <w:szCs w:val="20"/>
        </w:rPr>
        <w:t>.</w:t>
      </w:r>
    </w:p>
    <w:p w:rsidR="00C31195" w:rsidRPr="00992100" w:rsidRDefault="00C31195" w:rsidP="00C31195">
      <w:pPr>
        <w:spacing w:before="120" w:line="360" w:lineRule="auto"/>
        <w:jc w:val="both"/>
        <w:rPr>
          <w:rFonts w:ascii="Arial" w:hAnsi="Arial" w:cs="Arial"/>
          <w:sz w:val="20"/>
          <w:szCs w:val="20"/>
        </w:rPr>
      </w:pPr>
      <w:r w:rsidRPr="00992100">
        <w:rPr>
          <w:rFonts w:ascii="Arial" w:hAnsi="Arial" w:cs="Arial"/>
          <w:sz w:val="20"/>
          <w:szCs w:val="20"/>
        </w:rPr>
        <w:t>Zhrnutie:</w:t>
      </w:r>
    </w:p>
    <w:p w:rsidR="00C31195" w:rsidRPr="00992100" w:rsidRDefault="00C31195" w:rsidP="00C31195">
      <w:pPr>
        <w:spacing w:before="120" w:line="360" w:lineRule="auto"/>
        <w:jc w:val="both"/>
        <w:rPr>
          <w:rStyle w:val="Textzstupnhosymbolu"/>
          <w:rFonts w:ascii="Arial" w:hAnsi="Arial" w:cs="Arial"/>
          <w:color w:val="auto"/>
          <w:sz w:val="20"/>
          <w:szCs w:val="20"/>
        </w:rPr>
      </w:pPr>
      <w:r w:rsidRPr="00992100">
        <w:rPr>
          <w:rStyle w:val="Textzstupnhosymbolu"/>
          <w:rFonts w:ascii="Arial" w:hAnsi="Arial" w:cs="Arial"/>
          <w:b/>
          <w:color w:val="auto"/>
          <w:sz w:val="20"/>
          <w:szCs w:val="20"/>
        </w:rPr>
        <w:t xml:space="preserve">Riziko nevyčerpania celej alokácie OP ŽP prioritnej osi 7 </w:t>
      </w:r>
      <w:r w:rsidRPr="00992100">
        <w:rPr>
          <w:rStyle w:val="Textzstupnhosymbolu"/>
          <w:rFonts w:ascii="Arial" w:hAnsi="Arial" w:cs="Arial"/>
          <w:color w:val="auto"/>
          <w:sz w:val="20"/>
          <w:szCs w:val="20"/>
        </w:rPr>
        <w:t>a nenaplnenie stanovených cieľov a výsledkov OP ŽP je eliminované prostredníctvom nasledovných opatrení:</w:t>
      </w:r>
    </w:p>
    <w:p w:rsidR="00C31195" w:rsidRPr="00992100" w:rsidRDefault="00C31195" w:rsidP="001540E7">
      <w:pPr>
        <w:pStyle w:val="Odsekzoznamu"/>
        <w:numPr>
          <w:ilvl w:val="0"/>
          <w:numId w:val="71"/>
        </w:numPr>
        <w:spacing w:before="120" w:after="0" w:line="360" w:lineRule="auto"/>
        <w:ind w:left="381"/>
        <w:jc w:val="both"/>
        <w:rPr>
          <w:rStyle w:val="Textzstupnhosymbolu"/>
          <w:rFonts w:ascii="Arial" w:hAnsi="Arial" w:cs="Arial"/>
          <w:color w:val="auto"/>
          <w:sz w:val="20"/>
          <w:szCs w:val="20"/>
          <w:lang w:eastAsia="sk-SK"/>
        </w:rPr>
      </w:pPr>
      <w:r w:rsidRPr="00992100">
        <w:rPr>
          <w:rStyle w:val="Textzstupnhosymbolu"/>
          <w:rFonts w:ascii="Arial" w:hAnsi="Arial" w:cs="Arial"/>
          <w:color w:val="auto"/>
          <w:sz w:val="20"/>
          <w:szCs w:val="20"/>
        </w:rPr>
        <w:t>zabezpečenia finančných prostriedkov na spolufinancovanie „pro rata“ časti (11,22% = 2 973 524,40 eur)</w:t>
      </w:r>
      <w:r w:rsidRPr="00992100">
        <w:rPr>
          <w:rFonts w:ascii="Arial" w:hAnsi="Arial" w:cs="Arial"/>
          <w:sz w:val="20"/>
          <w:szCs w:val="20"/>
        </w:rPr>
        <w:t xml:space="preserve"> </w:t>
      </w:r>
      <w:r w:rsidRPr="00992100">
        <w:rPr>
          <w:rStyle w:val="Textzstupnhosymbolu"/>
          <w:rFonts w:ascii="Arial" w:hAnsi="Arial" w:cs="Arial"/>
          <w:color w:val="auto"/>
          <w:sz w:val="20"/>
          <w:szCs w:val="20"/>
        </w:rPr>
        <w:t xml:space="preserve"> projektu POVAPSYS, prostredníctvom ktorého je PO 7 implementovaná </w:t>
      </w:r>
    </w:p>
    <w:p w:rsidR="00C31195" w:rsidRPr="00992100" w:rsidRDefault="00C31195" w:rsidP="001540E7">
      <w:pPr>
        <w:pStyle w:val="Odsekzoznamu"/>
        <w:numPr>
          <w:ilvl w:val="0"/>
          <w:numId w:val="71"/>
        </w:numPr>
        <w:spacing w:before="120" w:after="0" w:line="360" w:lineRule="auto"/>
        <w:ind w:left="381"/>
        <w:rPr>
          <w:rStyle w:val="Textzstupnhosymbolu"/>
          <w:rFonts w:ascii="Arial" w:hAnsi="Arial" w:cs="Arial"/>
          <w:color w:val="auto"/>
          <w:sz w:val="20"/>
          <w:szCs w:val="20"/>
          <w:lang w:eastAsia="sk-SK"/>
        </w:rPr>
      </w:pPr>
      <w:r w:rsidRPr="00992100">
        <w:rPr>
          <w:rStyle w:val="Textzstupnhosymbolu"/>
          <w:rFonts w:ascii="Arial" w:hAnsi="Arial" w:cs="Arial"/>
          <w:color w:val="auto"/>
          <w:sz w:val="20"/>
          <w:szCs w:val="20"/>
        </w:rPr>
        <w:t xml:space="preserve">zavedenia systému </w:t>
      </w:r>
      <w:r w:rsidRPr="00992100">
        <w:rPr>
          <w:rFonts w:ascii="Arial" w:hAnsi="Arial" w:cs="Arial"/>
          <w:sz w:val="20"/>
          <w:szCs w:val="20"/>
        </w:rPr>
        <w:t>monitorovania p</w:t>
      </w:r>
      <w:r w:rsidRPr="00992100">
        <w:rPr>
          <w:rStyle w:val="Textzstupnhosymbolu"/>
          <w:rFonts w:ascii="Arial" w:hAnsi="Arial" w:cs="Arial"/>
          <w:color w:val="auto"/>
          <w:sz w:val="20"/>
          <w:szCs w:val="20"/>
        </w:rPr>
        <w:t>okroku prípravy projektu POVAPSYS</w:t>
      </w:r>
    </w:p>
    <w:p w:rsidR="00C31195" w:rsidRPr="00992100" w:rsidRDefault="00C31195" w:rsidP="00C31195">
      <w:pPr>
        <w:pStyle w:val="Odsekzoznamu"/>
        <w:spacing w:before="120" w:after="0" w:line="360" w:lineRule="auto"/>
        <w:ind w:left="381"/>
        <w:rPr>
          <w:rStyle w:val="Textzstupnhosymbolu"/>
          <w:rFonts w:ascii="Arial" w:hAnsi="Arial" w:cs="Arial"/>
          <w:color w:val="auto"/>
          <w:sz w:val="20"/>
          <w:szCs w:val="20"/>
        </w:rPr>
      </w:pPr>
    </w:p>
    <w:p w:rsidR="00C31195" w:rsidRPr="00992100" w:rsidRDefault="00C31195" w:rsidP="00992100">
      <w:pPr>
        <w:spacing w:before="120" w:line="360" w:lineRule="auto"/>
        <w:ind w:firstLine="381"/>
        <w:jc w:val="both"/>
        <w:rPr>
          <w:rStyle w:val="Textzstupnhosymbolu"/>
          <w:rFonts w:ascii="Arial" w:hAnsi="Arial" w:cs="Arial"/>
          <w:color w:val="auto"/>
          <w:sz w:val="20"/>
          <w:szCs w:val="20"/>
        </w:rPr>
      </w:pPr>
      <w:r w:rsidRPr="00992100">
        <w:rPr>
          <w:rFonts w:ascii="Arial" w:hAnsi="Arial" w:cs="Arial"/>
          <w:sz w:val="20"/>
          <w:szCs w:val="20"/>
        </w:rPr>
        <w:t xml:space="preserve">Uvedené opatrenia </w:t>
      </w:r>
      <w:r w:rsidRPr="00992100">
        <w:rPr>
          <w:rStyle w:val="hps"/>
          <w:rFonts w:ascii="Arial" w:hAnsi="Arial" w:cs="Arial"/>
          <w:sz w:val="20"/>
          <w:szCs w:val="20"/>
        </w:rPr>
        <w:t>sa priebežne plnia.</w:t>
      </w:r>
    </w:p>
    <w:p w:rsidR="00C31195" w:rsidRPr="00992100" w:rsidRDefault="00C31195" w:rsidP="00C31195">
      <w:pPr>
        <w:spacing w:before="120" w:line="360" w:lineRule="auto"/>
        <w:jc w:val="both"/>
        <w:rPr>
          <w:rFonts w:ascii="Arial" w:hAnsi="Arial" w:cs="Arial"/>
          <w:sz w:val="20"/>
          <w:szCs w:val="20"/>
        </w:rPr>
      </w:pPr>
      <w:r w:rsidRPr="00992100">
        <w:rPr>
          <w:rFonts w:ascii="Arial" w:hAnsi="Arial" w:cs="Arial"/>
          <w:sz w:val="20"/>
          <w:szCs w:val="20"/>
        </w:rPr>
        <w:t xml:space="preserve">S cieľom zabezpečiť plnenie uvedených opatrením bol riadiacim orgánom vypracovaný </w:t>
      </w:r>
      <w:r w:rsidRPr="00992100">
        <w:rPr>
          <w:rFonts w:ascii="Arial" w:hAnsi="Arial" w:cs="Arial"/>
          <w:b/>
          <w:sz w:val="20"/>
          <w:szCs w:val="20"/>
        </w:rPr>
        <w:t xml:space="preserve">materiál k zabezpečeniu implementácie projektu POVAPSYS v rámci OP ŽP, schválený uznesením porady vedenia MŽP SR č. 160 zo dňa 27.9.2012, </w:t>
      </w:r>
      <w:r w:rsidRPr="00992100">
        <w:rPr>
          <w:rFonts w:ascii="Arial" w:hAnsi="Arial" w:cs="Arial"/>
          <w:sz w:val="20"/>
          <w:szCs w:val="20"/>
        </w:rPr>
        <w:t>ktorým boli zároveň SHMÚ a relevantným útvarom MŽP SR uložené konkrétne úlohy na zabezpečenie včasnej a úspešnej implementácie projektu POVAPSYS.</w:t>
      </w:r>
    </w:p>
    <w:p w:rsidR="00C31195" w:rsidRPr="00992100" w:rsidRDefault="00C31195" w:rsidP="00C31195">
      <w:pPr>
        <w:spacing w:before="120" w:line="360" w:lineRule="auto"/>
        <w:ind w:left="381"/>
        <w:jc w:val="both"/>
        <w:rPr>
          <w:rFonts w:ascii="Arial" w:hAnsi="Arial" w:cs="Arial"/>
          <w:b/>
          <w:sz w:val="20"/>
          <w:szCs w:val="20"/>
        </w:rPr>
      </w:pPr>
    </w:p>
    <w:p w:rsidR="00C31195" w:rsidRPr="00992100" w:rsidRDefault="00C31195" w:rsidP="00C31195">
      <w:pPr>
        <w:spacing w:before="120" w:after="120" w:line="360" w:lineRule="auto"/>
        <w:jc w:val="both"/>
        <w:rPr>
          <w:rFonts w:ascii="Arial" w:hAnsi="Arial" w:cs="Arial"/>
          <w:sz w:val="20"/>
          <w:szCs w:val="20"/>
        </w:rPr>
      </w:pPr>
      <w:r w:rsidRPr="00992100">
        <w:rPr>
          <w:rFonts w:ascii="Arial" w:hAnsi="Arial" w:cs="Arial"/>
          <w:b/>
          <w:sz w:val="20"/>
          <w:szCs w:val="20"/>
        </w:rPr>
        <w:t xml:space="preserve">Očakávaným dopadom </w:t>
      </w:r>
      <w:r w:rsidRPr="00992100">
        <w:rPr>
          <w:rFonts w:ascii="Arial" w:hAnsi="Arial" w:cs="Arial"/>
          <w:sz w:val="20"/>
          <w:szCs w:val="20"/>
        </w:rPr>
        <w:t xml:space="preserve">prijatých opatrení za predpokladu zabezpečenia </w:t>
      </w:r>
      <w:r w:rsidRPr="00992100">
        <w:rPr>
          <w:rStyle w:val="Textzstupnhosymbolu"/>
          <w:rFonts w:ascii="Arial" w:hAnsi="Arial" w:cs="Arial"/>
          <w:color w:val="auto"/>
          <w:sz w:val="20"/>
          <w:szCs w:val="20"/>
        </w:rPr>
        <w:t xml:space="preserve">finančných prostriedkov </w:t>
      </w:r>
      <w:r w:rsidRPr="00992100">
        <w:rPr>
          <w:rStyle w:val="Textzstupnhosymbolu"/>
          <w:rFonts w:ascii="Arial" w:hAnsi="Arial" w:cs="Arial"/>
          <w:color w:val="auto"/>
          <w:sz w:val="20"/>
          <w:szCs w:val="20"/>
        </w:rPr>
        <w:br/>
        <w:t>na spolufinancovanie neoprávnenej „pro rata“ časti alokácie PO 7</w:t>
      </w:r>
      <w:r w:rsidRPr="00992100">
        <w:rPr>
          <w:rFonts w:ascii="Arial" w:hAnsi="Arial" w:cs="Arial"/>
          <w:sz w:val="20"/>
          <w:szCs w:val="20"/>
        </w:rPr>
        <w:t>je</w:t>
      </w:r>
      <w:r w:rsidRPr="00992100">
        <w:rPr>
          <w:rFonts w:ascii="Arial" w:hAnsi="Arial" w:cs="Arial"/>
          <w:b/>
          <w:sz w:val="20"/>
          <w:szCs w:val="20"/>
        </w:rPr>
        <w:t xml:space="preserve"> </w:t>
      </w:r>
      <w:r w:rsidRPr="00992100">
        <w:rPr>
          <w:rFonts w:ascii="Arial" w:hAnsi="Arial" w:cs="Arial"/>
          <w:sz w:val="20"/>
          <w:szCs w:val="20"/>
        </w:rPr>
        <w:t>zabezpečenie úspešnej implementácie prioritnej osi 7.</w:t>
      </w:r>
    </w:p>
    <w:p w:rsidR="002416B1" w:rsidRPr="004B33AE" w:rsidRDefault="002416B1" w:rsidP="00507035">
      <w:pPr>
        <w:pStyle w:val="Nadpis1"/>
        <w:spacing w:before="120" w:after="120" w:line="360" w:lineRule="auto"/>
      </w:pPr>
      <w:bookmarkStart w:id="109" w:name="_Toc319573340"/>
      <w:r w:rsidRPr="004B33AE">
        <w:t>4. Horizontálne priority</w:t>
      </w:r>
      <w:bookmarkEnd w:id="109"/>
      <w:r w:rsidRPr="004B33AE">
        <w:t xml:space="preserve"> </w:t>
      </w:r>
    </w:p>
    <w:p w:rsidR="002416B1" w:rsidRPr="004B33AE" w:rsidRDefault="002416B1" w:rsidP="00507035">
      <w:pPr>
        <w:pStyle w:val="Nadpis2"/>
        <w:spacing w:before="120" w:after="120" w:line="360" w:lineRule="auto"/>
      </w:pPr>
      <w:bookmarkStart w:id="110" w:name="_Toc319573341"/>
      <w:r w:rsidRPr="004B33AE">
        <w:t>4.</w:t>
      </w:r>
      <w:r w:rsidRPr="00D94BE3">
        <w:t>1 Horizontálna priorita Informačná spoločnosť</w:t>
      </w:r>
      <w:bookmarkEnd w:id="110"/>
    </w:p>
    <w:p w:rsidR="001F70A5" w:rsidRPr="0039268C" w:rsidRDefault="001F70A5" w:rsidP="00507035">
      <w:pPr>
        <w:spacing w:before="120" w:after="120" w:line="360" w:lineRule="auto"/>
        <w:jc w:val="both"/>
        <w:rPr>
          <w:rFonts w:ascii="Arial" w:hAnsi="Arial" w:cs="Arial"/>
          <w:sz w:val="20"/>
          <w:szCs w:val="20"/>
        </w:rPr>
      </w:pPr>
      <w:r w:rsidRPr="0039268C">
        <w:rPr>
          <w:rFonts w:ascii="Arial" w:hAnsi="Arial" w:cs="Arial"/>
          <w:sz w:val="20"/>
          <w:szCs w:val="20"/>
        </w:rPr>
        <w:t>Hlavným cieľom horizontálnej priority Informačná spoločnosť (ďalej len „HP IS“) je podpora vyššej efektívnosti, transparentnosti a kvality implementácie priorít NSRR v dôsledku zavádzania a využívania prostriedkov IKT. Špecifické ciele HP IS sú zamerané na informačnú gramotnosť, efektívnu elektronizáciu verejnej správy a širokú dostupnosť internetu. Implementácia HP IS posilňuje synergické prepojenie OP a zabezpečuje, aby aktivity podporované na základe konkrétnych projektov zohľadňovali IS vo všetkých jej aspektoch.</w:t>
      </w:r>
    </w:p>
    <w:p w:rsidR="001F70A5" w:rsidRPr="00D15F0C" w:rsidRDefault="001F70A5" w:rsidP="00507035">
      <w:pPr>
        <w:spacing w:before="120" w:after="120" w:line="360" w:lineRule="auto"/>
        <w:jc w:val="both"/>
        <w:rPr>
          <w:szCs w:val="20"/>
        </w:rPr>
      </w:pPr>
      <w:r w:rsidRPr="0039268C">
        <w:rPr>
          <w:rFonts w:ascii="Arial" w:hAnsi="Arial" w:cs="Arial"/>
          <w:sz w:val="20"/>
          <w:szCs w:val="20"/>
        </w:rPr>
        <w:t>Koordinátor HP IS je zapojený do systému riadenia a kontroly ŠF a KF na úrovni NSRR v súlade s ustanoveniami Nariadenia Rady (ES) 1083/2006 a rozhodnutím vlády SR. Inštitucionálnym koordinátorom HP IS je Úrad vlády SR, odbor prierezových priorít,  ktorý v súlade s uplatňovaním princípu partnerstva a s cieľom zabezpečenia koordinovaného postupu všetkých RO pri implementácii HP IS vedie Pracovnú skupinu pre HP IS.</w:t>
      </w:r>
    </w:p>
    <w:p w:rsidR="001F70A5" w:rsidRPr="0039268C" w:rsidRDefault="002416B1" w:rsidP="008216A0">
      <w:pPr>
        <w:autoSpaceDE w:val="0"/>
        <w:autoSpaceDN w:val="0"/>
        <w:adjustRightInd w:val="0"/>
        <w:jc w:val="both"/>
        <w:rPr>
          <w:rFonts w:ascii="Arial" w:hAnsi="Arial" w:cs="Arial"/>
          <w:sz w:val="20"/>
          <w:szCs w:val="20"/>
        </w:rPr>
      </w:pPr>
      <w:r w:rsidRPr="00236377">
        <w:rPr>
          <w:rFonts w:ascii="Arial" w:hAnsi="Arial" w:cs="Arial"/>
          <w:color w:val="000000"/>
          <w:sz w:val="20"/>
          <w:szCs w:val="20"/>
        </w:rPr>
        <w:t>.</w:t>
      </w:r>
      <w:r w:rsidR="001F70A5" w:rsidRPr="0039268C">
        <w:rPr>
          <w:rFonts w:ascii="Arial" w:hAnsi="Arial" w:cs="Arial"/>
          <w:sz w:val="20"/>
          <w:szCs w:val="20"/>
        </w:rPr>
        <w:t xml:space="preserve"> </w:t>
      </w:r>
      <w:r w:rsidR="00236377" w:rsidRPr="0039268C">
        <w:rPr>
          <w:rFonts w:ascii="Arial" w:hAnsi="Arial" w:cs="Arial"/>
          <w:sz w:val="20"/>
          <w:szCs w:val="20"/>
        </w:rPr>
        <w:t xml:space="preserve"> Tab. č. </w:t>
      </w:r>
      <w:r w:rsidR="00254D6C">
        <w:rPr>
          <w:rFonts w:ascii="Arial" w:hAnsi="Arial" w:cs="Arial"/>
          <w:sz w:val="20"/>
          <w:szCs w:val="20"/>
        </w:rPr>
        <w:t>65</w:t>
      </w:r>
      <w:r w:rsidR="00236377" w:rsidRPr="0039268C">
        <w:rPr>
          <w:rFonts w:ascii="Arial" w:hAnsi="Arial" w:cs="Arial"/>
          <w:sz w:val="20"/>
          <w:szCs w:val="20"/>
        </w:rPr>
        <w:t xml:space="preserve">: </w:t>
      </w:r>
      <w:r w:rsidR="001F70A5" w:rsidRPr="0039268C">
        <w:rPr>
          <w:rFonts w:ascii="Arial" w:hAnsi="Arial" w:cs="Arial"/>
          <w:sz w:val="20"/>
          <w:szCs w:val="20"/>
        </w:rPr>
        <w:t>Zasadnutia a aktivity Pracovnej skupiny pre HP IS</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18"/>
        <w:gridCol w:w="3680"/>
        <w:gridCol w:w="4080"/>
      </w:tblGrid>
      <w:tr w:rsidR="001F70A5" w:rsidRPr="001F70A5" w:rsidTr="00D62AE1">
        <w:tc>
          <w:tcPr>
            <w:tcW w:w="1418" w:type="dxa"/>
            <w:tcBorders>
              <w:bottom w:val="single" w:sz="4" w:space="0" w:color="auto"/>
            </w:tcBorders>
            <w:shd w:val="clear" w:color="auto" w:fill="00FFFF"/>
          </w:tcPr>
          <w:p w:rsidR="001F70A5" w:rsidRPr="0039268C" w:rsidRDefault="001F70A5" w:rsidP="008216A0">
            <w:pPr>
              <w:jc w:val="both"/>
              <w:rPr>
                <w:rFonts w:ascii="Arial" w:hAnsi="Arial" w:cs="Arial"/>
                <w:b/>
                <w:sz w:val="16"/>
                <w:szCs w:val="16"/>
              </w:rPr>
            </w:pPr>
            <w:r w:rsidRPr="0039268C">
              <w:rPr>
                <w:rFonts w:ascii="Arial" w:hAnsi="Arial" w:cs="Arial"/>
                <w:b/>
                <w:sz w:val="16"/>
                <w:szCs w:val="16"/>
              </w:rPr>
              <w:t xml:space="preserve">Dátum </w:t>
            </w:r>
          </w:p>
          <w:p w:rsidR="001F70A5" w:rsidRPr="0039268C" w:rsidRDefault="001F70A5" w:rsidP="008216A0">
            <w:pPr>
              <w:jc w:val="both"/>
              <w:rPr>
                <w:rFonts w:ascii="Arial" w:hAnsi="Arial" w:cs="Arial"/>
                <w:b/>
                <w:sz w:val="16"/>
                <w:szCs w:val="16"/>
              </w:rPr>
            </w:pPr>
          </w:p>
        </w:tc>
        <w:tc>
          <w:tcPr>
            <w:tcW w:w="3681" w:type="dxa"/>
            <w:shd w:val="clear" w:color="auto" w:fill="00FFFF"/>
          </w:tcPr>
          <w:p w:rsidR="001F70A5" w:rsidRPr="0039268C" w:rsidRDefault="001F70A5" w:rsidP="008216A0">
            <w:pPr>
              <w:jc w:val="both"/>
              <w:rPr>
                <w:rFonts w:ascii="Arial" w:hAnsi="Arial" w:cs="Arial"/>
                <w:b/>
                <w:sz w:val="16"/>
                <w:szCs w:val="16"/>
              </w:rPr>
            </w:pPr>
            <w:r w:rsidRPr="0039268C">
              <w:rPr>
                <w:rFonts w:ascii="Arial" w:hAnsi="Arial" w:cs="Arial"/>
                <w:b/>
                <w:sz w:val="16"/>
                <w:szCs w:val="16"/>
              </w:rPr>
              <w:t>Dôvod</w:t>
            </w:r>
          </w:p>
        </w:tc>
        <w:tc>
          <w:tcPr>
            <w:tcW w:w="4081" w:type="dxa"/>
            <w:shd w:val="clear" w:color="auto" w:fill="00FFFF"/>
          </w:tcPr>
          <w:p w:rsidR="001F70A5" w:rsidRPr="0039268C" w:rsidRDefault="001F70A5" w:rsidP="008216A0">
            <w:pPr>
              <w:jc w:val="both"/>
              <w:rPr>
                <w:rFonts w:ascii="Arial" w:hAnsi="Arial" w:cs="Arial"/>
                <w:b/>
                <w:sz w:val="16"/>
                <w:szCs w:val="16"/>
              </w:rPr>
            </w:pPr>
            <w:r w:rsidRPr="0039268C">
              <w:rPr>
                <w:rFonts w:ascii="Arial" w:hAnsi="Arial" w:cs="Arial"/>
                <w:b/>
                <w:sz w:val="16"/>
                <w:szCs w:val="16"/>
              </w:rPr>
              <w:t>Závery</w:t>
            </w:r>
          </w:p>
        </w:tc>
      </w:tr>
      <w:tr w:rsidR="001F70A5" w:rsidRPr="001F70A5" w:rsidTr="00D62AE1">
        <w:tc>
          <w:tcPr>
            <w:tcW w:w="1418" w:type="dxa"/>
            <w:shd w:val="clear" w:color="auto" w:fill="CCFFFF"/>
          </w:tcPr>
          <w:p w:rsidR="001F70A5" w:rsidRPr="0039268C" w:rsidRDefault="001F70A5" w:rsidP="008216A0">
            <w:pPr>
              <w:jc w:val="both"/>
              <w:rPr>
                <w:rFonts w:ascii="Arial" w:hAnsi="Arial" w:cs="Arial"/>
                <w:sz w:val="16"/>
                <w:szCs w:val="16"/>
              </w:rPr>
            </w:pPr>
            <w:r w:rsidRPr="0039268C">
              <w:rPr>
                <w:rFonts w:ascii="Arial" w:hAnsi="Arial" w:cs="Arial"/>
                <w:sz w:val="16"/>
                <w:szCs w:val="16"/>
              </w:rPr>
              <w:t>28.02.2012</w:t>
            </w:r>
          </w:p>
          <w:p w:rsidR="001F70A5" w:rsidRPr="0039268C" w:rsidRDefault="001F70A5" w:rsidP="008216A0">
            <w:pPr>
              <w:jc w:val="both"/>
              <w:rPr>
                <w:rFonts w:ascii="Arial" w:hAnsi="Arial" w:cs="Arial"/>
                <w:sz w:val="16"/>
                <w:szCs w:val="16"/>
              </w:rPr>
            </w:pPr>
            <w:r w:rsidRPr="0039268C">
              <w:rPr>
                <w:rFonts w:ascii="Arial" w:hAnsi="Arial" w:cs="Arial"/>
                <w:sz w:val="16"/>
                <w:szCs w:val="16"/>
              </w:rPr>
              <w:t>zasadnutie PS</w:t>
            </w:r>
          </w:p>
        </w:tc>
        <w:tc>
          <w:tcPr>
            <w:tcW w:w="3681" w:type="dxa"/>
          </w:tcPr>
          <w:p w:rsidR="001F70A5" w:rsidRPr="0039268C" w:rsidRDefault="001F70A5" w:rsidP="008216A0">
            <w:pPr>
              <w:jc w:val="both"/>
              <w:rPr>
                <w:rFonts w:ascii="Arial" w:hAnsi="Arial" w:cs="Arial"/>
                <w:sz w:val="16"/>
                <w:szCs w:val="16"/>
              </w:rPr>
            </w:pPr>
            <w:r w:rsidRPr="0039268C">
              <w:rPr>
                <w:rFonts w:ascii="Arial" w:hAnsi="Arial" w:cs="Arial"/>
                <w:sz w:val="16"/>
                <w:szCs w:val="16"/>
              </w:rPr>
              <w:t>aktualizácia webového sídla koordinátora, aktualizácia Systému riadenia ŠF a KF, verzia 4.5, časti týkajúce sa HP, monitorovanie projektov s príspevkom OP k HP IS, informácie k spracovaniu podkladov o príspevku OP k HP IS,  princípy partnerstva a viacúrovňového riadenia pri realizácii politík Stratégie Európa 2020 a rozpočtu Stratégie Európa 2020</w:t>
            </w:r>
          </w:p>
          <w:p w:rsidR="001F70A5" w:rsidRPr="0039268C" w:rsidRDefault="001F70A5" w:rsidP="008216A0">
            <w:pPr>
              <w:jc w:val="both"/>
              <w:rPr>
                <w:rFonts w:ascii="Arial" w:hAnsi="Arial" w:cs="Arial"/>
                <w:sz w:val="16"/>
                <w:szCs w:val="16"/>
              </w:rPr>
            </w:pPr>
          </w:p>
        </w:tc>
        <w:tc>
          <w:tcPr>
            <w:tcW w:w="4081" w:type="dxa"/>
          </w:tcPr>
          <w:p w:rsidR="001F70A5" w:rsidRPr="0039268C" w:rsidRDefault="001F70A5" w:rsidP="008216A0">
            <w:pPr>
              <w:jc w:val="both"/>
              <w:rPr>
                <w:rFonts w:ascii="Arial" w:hAnsi="Arial" w:cs="Arial"/>
                <w:sz w:val="16"/>
                <w:szCs w:val="16"/>
              </w:rPr>
            </w:pPr>
            <w:r w:rsidRPr="0039268C">
              <w:rPr>
                <w:rFonts w:ascii="Arial" w:hAnsi="Arial" w:cs="Arial"/>
                <w:sz w:val="16"/>
                <w:szCs w:val="16"/>
              </w:rPr>
              <w:t xml:space="preserve">s RO OP prediskutované zmeny v Systéme riadenia ŠF a KF a spolupráca pri príprave výročných správ OP / HP IS 2011 </w:t>
            </w:r>
          </w:p>
        </w:tc>
      </w:tr>
      <w:tr w:rsidR="001F70A5" w:rsidRPr="001F70A5" w:rsidTr="00D62AE1">
        <w:tc>
          <w:tcPr>
            <w:tcW w:w="1418" w:type="dxa"/>
            <w:shd w:val="clear" w:color="auto" w:fill="CCFFFF"/>
          </w:tcPr>
          <w:p w:rsidR="001F70A5" w:rsidRPr="0039268C" w:rsidRDefault="001F70A5" w:rsidP="008216A0">
            <w:pPr>
              <w:jc w:val="both"/>
              <w:rPr>
                <w:rFonts w:ascii="Arial" w:hAnsi="Arial" w:cs="Arial"/>
                <w:sz w:val="16"/>
                <w:szCs w:val="16"/>
              </w:rPr>
            </w:pPr>
            <w:r w:rsidRPr="0039268C">
              <w:rPr>
                <w:rFonts w:ascii="Arial" w:hAnsi="Arial" w:cs="Arial"/>
                <w:sz w:val="16"/>
                <w:szCs w:val="16"/>
              </w:rPr>
              <w:t>30.07.2012</w:t>
            </w:r>
          </w:p>
          <w:p w:rsidR="001F70A5" w:rsidRPr="0039268C" w:rsidRDefault="001F70A5" w:rsidP="008216A0">
            <w:pPr>
              <w:jc w:val="both"/>
              <w:rPr>
                <w:rFonts w:ascii="Arial" w:hAnsi="Arial" w:cs="Arial"/>
                <w:sz w:val="16"/>
                <w:szCs w:val="16"/>
              </w:rPr>
            </w:pPr>
            <w:r w:rsidRPr="0039268C">
              <w:rPr>
                <w:rFonts w:ascii="Arial" w:hAnsi="Arial" w:cs="Arial"/>
                <w:sz w:val="16"/>
                <w:szCs w:val="16"/>
              </w:rPr>
              <w:t>rozhodovanie per-rollam</w:t>
            </w:r>
          </w:p>
        </w:tc>
        <w:tc>
          <w:tcPr>
            <w:tcW w:w="3681" w:type="dxa"/>
          </w:tcPr>
          <w:p w:rsidR="001F70A5" w:rsidRPr="0039268C" w:rsidRDefault="001F70A5" w:rsidP="008216A0">
            <w:pPr>
              <w:jc w:val="both"/>
              <w:rPr>
                <w:rFonts w:ascii="Arial" w:hAnsi="Arial" w:cs="Arial"/>
                <w:sz w:val="16"/>
                <w:szCs w:val="16"/>
              </w:rPr>
            </w:pPr>
            <w:r w:rsidRPr="0039268C">
              <w:rPr>
                <w:rFonts w:ascii="Arial" w:hAnsi="Arial" w:cs="Arial"/>
                <w:sz w:val="16"/>
                <w:szCs w:val="16"/>
              </w:rPr>
              <w:t xml:space="preserve">aktualizácia Systému koordinácie implementácie HP IS na roky 2007 – 2013, verzia 6.2 </w:t>
            </w:r>
          </w:p>
          <w:p w:rsidR="001F70A5" w:rsidRPr="0039268C" w:rsidRDefault="001F70A5" w:rsidP="008216A0">
            <w:pPr>
              <w:jc w:val="both"/>
              <w:rPr>
                <w:rFonts w:ascii="Arial" w:hAnsi="Arial" w:cs="Arial"/>
                <w:sz w:val="16"/>
                <w:szCs w:val="16"/>
              </w:rPr>
            </w:pPr>
          </w:p>
        </w:tc>
        <w:tc>
          <w:tcPr>
            <w:tcW w:w="4081" w:type="dxa"/>
          </w:tcPr>
          <w:p w:rsidR="001F70A5" w:rsidRPr="0039268C" w:rsidRDefault="001F70A5" w:rsidP="008216A0">
            <w:pPr>
              <w:jc w:val="both"/>
              <w:rPr>
                <w:rFonts w:ascii="Arial" w:hAnsi="Arial" w:cs="Arial"/>
                <w:sz w:val="16"/>
                <w:szCs w:val="16"/>
              </w:rPr>
            </w:pPr>
            <w:r w:rsidRPr="0039268C">
              <w:rPr>
                <w:rFonts w:ascii="Arial" w:hAnsi="Arial" w:cs="Arial"/>
                <w:sz w:val="16"/>
                <w:szCs w:val="16"/>
              </w:rPr>
              <w:t>schválenie SKI HP IS na roky 2007 – 2013, v. 6.2</w:t>
            </w:r>
          </w:p>
        </w:tc>
      </w:tr>
      <w:tr w:rsidR="001F70A5" w:rsidRPr="001F70A5" w:rsidTr="00D62AE1">
        <w:tc>
          <w:tcPr>
            <w:tcW w:w="1418" w:type="dxa"/>
            <w:shd w:val="clear" w:color="auto" w:fill="CCFFFF"/>
          </w:tcPr>
          <w:p w:rsidR="001F70A5" w:rsidRPr="0039268C" w:rsidRDefault="001F70A5" w:rsidP="008216A0">
            <w:pPr>
              <w:jc w:val="both"/>
              <w:rPr>
                <w:rFonts w:ascii="Arial" w:hAnsi="Arial" w:cs="Arial"/>
                <w:sz w:val="16"/>
                <w:szCs w:val="16"/>
              </w:rPr>
            </w:pPr>
            <w:r w:rsidRPr="0039268C">
              <w:rPr>
                <w:rFonts w:ascii="Arial" w:hAnsi="Arial" w:cs="Arial"/>
                <w:sz w:val="16"/>
                <w:szCs w:val="16"/>
              </w:rPr>
              <w:t>12.12. 2012  príprava na rozhodovanie per-rollam</w:t>
            </w:r>
          </w:p>
        </w:tc>
        <w:tc>
          <w:tcPr>
            <w:tcW w:w="3681" w:type="dxa"/>
          </w:tcPr>
          <w:p w:rsidR="001F70A5" w:rsidRPr="0039268C" w:rsidRDefault="001F70A5" w:rsidP="008216A0">
            <w:pPr>
              <w:jc w:val="both"/>
              <w:rPr>
                <w:rFonts w:ascii="Arial" w:hAnsi="Arial" w:cs="Arial"/>
                <w:sz w:val="16"/>
                <w:szCs w:val="16"/>
              </w:rPr>
            </w:pPr>
            <w:r w:rsidRPr="0039268C">
              <w:rPr>
                <w:rFonts w:ascii="Arial" w:hAnsi="Arial" w:cs="Arial"/>
                <w:sz w:val="16"/>
                <w:szCs w:val="16"/>
              </w:rPr>
              <w:t xml:space="preserve">koordinátor v spolupráci s RO OP aktualizoval prílohy č. 2 a 3 Systému koordinácie HP IS na roky 2007-2013. Návrh aktualizovaných príloh bol 12.12.2012 zaslaný na pripomienkovanie členom pracovnej skupiny HP IS </w:t>
            </w:r>
          </w:p>
          <w:p w:rsidR="001F70A5" w:rsidRPr="0039268C" w:rsidRDefault="001F70A5" w:rsidP="008216A0">
            <w:pPr>
              <w:jc w:val="both"/>
              <w:rPr>
                <w:rFonts w:ascii="Arial" w:hAnsi="Arial" w:cs="Arial"/>
                <w:sz w:val="16"/>
                <w:szCs w:val="16"/>
              </w:rPr>
            </w:pPr>
          </w:p>
        </w:tc>
        <w:tc>
          <w:tcPr>
            <w:tcW w:w="4081" w:type="dxa"/>
          </w:tcPr>
          <w:p w:rsidR="001F70A5" w:rsidRPr="0039268C" w:rsidRDefault="001F70A5" w:rsidP="008216A0">
            <w:pPr>
              <w:jc w:val="both"/>
              <w:rPr>
                <w:rFonts w:ascii="Arial" w:hAnsi="Arial" w:cs="Arial"/>
                <w:sz w:val="16"/>
                <w:szCs w:val="16"/>
              </w:rPr>
            </w:pPr>
            <w:r w:rsidRPr="0039268C">
              <w:rPr>
                <w:rFonts w:ascii="Arial" w:hAnsi="Arial" w:cs="Arial"/>
                <w:sz w:val="16"/>
                <w:szCs w:val="16"/>
              </w:rPr>
              <w:t>po zapracovaní pripomienok RO OP sa očakáva schválenie per-rollam v januári 2013</w:t>
            </w:r>
          </w:p>
        </w:tc>
      </w:tr>
    </w:tbl>
    <w:p w:rsidR="007A427E" w:rsidRDefault="007A427E" w:rsidP="00507035">
      <w:pPr>
        <w:spacing w:before="120" w:after="120"/>
        <w:jc w:val="both"/>
        <w:rPr>
          <w:rFonts w:ascii="Arial" w:hAnsi="Arial" w:cs="Arial"/>
          <w:sz w:val="20"/>
          <w:szCs w:val="20"/>
        </w:rPr>
      </w:pPr>
    </w:p>
    <w:p w:rsidR="001F70A5" w:rsidRDefault="001F70A5" w:rsidP="00507035">
      <w:pPr>
        <w:spacing w:before="120" w:after="120"/>
        <w:jc w:val="both"/>
        <w:rPr>
          <w:rFonts w:ascii="Arial" w:hAnsi="Arial" w:cs="Arial"/>
          <w:sz w:val="20"/>
          <w:szCs w:val="20"/>
        </w:rPr>
      </w:pPr>
      <w:r w:rsidRPr="0039268C">
        <w:rPr>
          <w:rFonts w:ascii="Arial" w:hAnsi="Arial" w:cs="Arial"/>
          <w:sz w:val="20"/>
          <w:szCs w:val="20"/>
        </w:rPr>
        <w:t>V období roku 2012 koordinátor zabezpečoval celý rad úloh súvisiacich s implementáciou HP IS:</w:t>
      </w:r>
    </w:p>
    <w:p w:rsidR="001F70A5" w:rsidRPr="0039268C" w:rsidRDefault="001F70A5" w:rsidP="00507035">
      <w:pPr>
        <w:spacing w:before="120" w:after="120"/>
        <w:jc w:val="both"/>
        <w:rPr>
          <w:rFonts w:ascii="Arial" w:hAnsi="Arial" w:cs="Arial"/>
          <w:b/>
          <w:i/>
          <w:sz w:val="20"/>
          <w:szCs w:val="20"/>
        </w:rPr>
      </w:pPr>
      <w:r w:rsidRPr="0039268C">
        <w:rPr>
          <w:rFonts w:ascii="Arial" w:hAnsi="Arial" w:cs="Arial"/>
          <w:b/>
          <w:i/>
          <w:sz w:val="20"/>
          <w:szCs w:val="20"/>
        </w:rPr>
        <w:t>koordinačná a metodická činnosť</w:t>
      </w:r>
    </w:p>
    <w:p w:rsidR="001F70A5" w:rsidRPr="0039268C" w:rsidRDefault="001F70A5" w:rsidP="001540E7">
      <w:pPr>
        <w:numPr>
          <w:ilvl w:val="0"/>
          <w:numId w:val="58"/>
        </w:numPr>
        <w:tabs>
          <w:tab w:val="clear" w:pos="720"/>
          <w:tab w:val="num" w:pos="360"/>
        </w:tabs>
        <w:spacing w:line="360" w:lineRule="auto"/>
        <w:ind w:left="357" w:hanging="357"/>
        <w:jc w:val="both"/>
        <w:rPr>
          <w:rFonts w:ascii="Arial" w:hAnsi="Arial" w:cs="Arial"/>
          <w:sz w:val="20"/>
          <w:szCs w:val="20"/>
        </w:rPr>
      </w:pPr>
      <w:r w:rsidRPr="0039268C">
        <w:rPr>
          <w:rFonts w:ascii="Arial" w:hAnsi="Arial" w:cs="Arial"/>
          <w:sz w:val="20"/>
          <w:szCs w:val="20"/>
        </w:rPr>
        <w:t>priebežne poskytoval metodické vedenie, poradenstvo a konzultácie pre RO v súvislosti s implementáciou HP IS</w:t>
      </w:r>
      <w:r w:rsidR="000D360F">
        <w:rPr>
          <w:rFonts w:ascii="Arial" w:hAnsi="Arial" w:cs="Arial"/>
          <w:sz w:val="20"/>
          <w:szCs w:val="20"/>
        </w:rPr>
        <w:t>;</w:t>
      </w:r>
    </w:p>
    <w:p w:rsidR="001F70A5" w:rsidRPr="0039268C" w:rsidRDefault="001F70A5" w:rsidP="001540E7">
      <w:pPr>
        <w:numPr>
          <w:ilvl w:val="0"/>
          <w:numId w:val="58"/>
        </w:numPr>
        <w:tabs>
          <w:tab w:val="clear" w:pos="720"/>
          <w:tab w:val="num" w:pos="360"/>
        </w:tabs>
        <w:spacing w:line="360" w:lineRule="auto"/>
        <w:ind w:left="357" w:hanging="357"/>
        <w:jc w:val="both"/>
        <w:rPr>
          <w:rFonts w:ascii="Arial" w:hAnsi="Arial" w:cs="Arial"/>
          <w:sz w:val="20"/>
          <w:szCs w:val="20"/>
        </w:rPr>
      </w:pPr>
      <w:r w:rsidRPr="0039268C">
        <w:rPr>
          <w:rFonts w:ascii="Arial" w:hAnsi="Arial" w:cs="Arial"/>
          <w:sz w:val="20"/>
          <w:szCs w:val="20"/>
        </w:rPr>
        <w:t>aktualizoval Systém koordinácie implementácie HP IS (v</w:t>
      </w:r>
      <w:r w:rsidR="000D360F">
        <w:rPr>
          <w:rFonts w:ascii="Arial" w:hAnsi="Arial" w:cs="Arial"/>
          <w:sz w:val="20"/>
          <w:szCs w:val="20"/>
        </w:rPr>
        <w:t>erzia 6.2 platná od 1. 8. 2012);</w:t>
      </w:r>
      <w:r w:rsidRPr="0039268C">
        <w:rPr>
          <w:rFonts w:ascii="Arial" w:hAnsi="Arial" w:cs="Arial"/>
          <w:sz w:val="20"/>
          <w:szCs w:val="20"/>
        </w:rPr>
        <w:t xml:space="preserve"> </w:t>
      </w:r>
    </w:p>
    <w:p w:rsidR="001F70A5" w:rsidRPr="0039268C" w:rsidRDefault="001F70A5" w:rsidP="001540E7">
      <w:pPr>
        <w:numPr>
          <w:ilvl w:val="0"/>
          <w:numId w:val="58"/>
        </w:numPr>
        <w:tabs>
          <w:tab w:val="clear" w:pos="720"/>
          <w:tab w:val="num" w:pos="360"/>
        </w:tabs>
        <w:spacing w:line="360" w:lineRule="auto"/>
        <w:ind w:left="357" w:hanging="357"/>
        <w:jc w:val="both"/>
        <w:rPr>
          <w:rFonts w:ascii="Arial" w:hAnsi="Arial" w:cs="Arial"/>
          <w:sz w:val="20"/>
          <w:szCs w:val="20"/>
        </w:rPr>
      </w:pPr>
      <w:r w:rsidRPr="0039268C">
        <w:rPr>
          <w:rFonts w:ascii="Arial" w:hAnsi="Arial" w:cs="Arial"/>
          <w:sz w:val="20"/>
          <w:szCs w:val="20"/>
        </w:rPr>
        <w:t>priebežne sa vyjadroval k návrhom revízií OP a ich programových manuálov</w:t>
      </w:r>
      <w:r w:rsidR="000D360F">
        <w:rPr>
          <w:rFonts w:ascii="Arial" w:hAnsi="Arial" w:cs="Arial"/>
          <w:sz w:val="20"/>
          <w:szCs w:val="20"/>
        </w:rPr>
        <w:t>;</w:t>
      </w:r>
      <w:r w:rsidRPr="0039268C">
        <w:rPr>
          <w:rFonts w:ascii="Arial" w:hAnsi="Arial" w:cs="Arial"/>
          <w:sz w:val="20"/>
          <w:szCs w:val="20"/>
        </w:rPr>
        <w:t xml:space="preserve"> </w:t>
      </w:r>
    </w:p>
    <w:p w:rsidR="001F70A5" w:rsidRPr="0039268C" w:rsidRDefault="001F70A5" w:rsidP="001540E7">
      <w:pPr>
        <w:numPr>
          <w:ilvl w:val="0"/>
          <w:numId w:val="58"/>
        </w:numPr>
        <w:tabs>
          <w:tab w:val="clear" w:pos="720"/>
          <w:tab w:val="num" w:pos="360"/>
        </w:tabs>
        <w:spacing w:line="360" w:lineRule="auto"/>
        <w:ind w:left="357" w:hanging="357"/>
        <w:jc w:val="both"/>
        <w:rPr>
          <w:rFonts w:ascii="Arial" w:hAnsi="Arial" w:cs="Arial"/>
          <w:sz w:val="20"/>
          <w:szCs w:val="20"/>
        </w:rPr>
      </w:pPr>
      <w:r w:rsidRPr="0039268C">
        <w:rPr>
          <w:rFonts w:ascii="Arial" w:hAnsi="Arial" w:cs="Arial"/>
          <w:sz w:val="20"/>
          <w:szCs w:val="20"/>
        </w:rPr>
        <w:t>pripomienkoval celý rad dokumentov CKO a jednotlivých RO OP nad rámec vyššie citovaných dokumentov (napr. aktualizácia systému riadenia ŠF a KF, odpočet plnenia Joint Road Map, ex ante kondiconality v návrhu všeobecného nariadenia pre programové obdobie 2014-2020,</w:t>
      </w:r>
      <w:r w:rsidRPr="0039268C">
        <w:rPr>
          <w:rFonts w:ascii="Arial" w:hAnsi="Arial" w:cs="Arial"/>
          <w:bCs/>
          <w:sz w:val="20"/>
          <w:szCs w:val="20"/>
        </w:rPr>
        <w:t xml:space="preserve"> </w:t>
      </w:r>
      <w:r w:rsidRPr="0039268C">
        <w:rPr>
          <w:rFonts w:ascii="Arial" w:hAnsi="Arial" w:cs="Arial"/>
          <w:sz w:val="20"/>
          <w:szCs w:val="20"/>
        </w:rPr>
        <w:t>materiál CKO Návrh základných princípov na prípravu Partnerskej dohody na programové obdobie 2014 -2020,  Informácia o postupe prác pri negociačnom procese k návrhom legislatívnych predpisov a strategických dokumentov EÚ a SR k politike súdržnosti,  Hodnotenie kvality kategorizačných údajov a kľúčových ukazovateľov pre EFRR/KF vykazovaných v SFC2007 v nadväznosti na výročné implementačné správy za r. 2011 a prípravu strategickej správy v  r.  2012, návrhy štatútov, atď.)</w:t>
      </w:r>
      <w:r w:rsidR="000D360F">
        <w:rPr>
          <w:rFonts w:ascii="Arial" w:hAnsi="Arial" w:cs="Arial"/>
          <w:sz w:val="20"/>
          <w:szCs w:val="20"/>
        </w:rPr>
        <w:t>;</w:t>
      </w:r>
    </w:p>
    <w:p w:rsidR="001F70A5" w:rsidRPr="0039268C" w:rsidRDefault="001F70A5" w:rsidP="001540E7">
      <w:pPr>
        <w:numPr>
          <w:ilvl w:val="0"/>
          <w:numId w:val="58"/>
        </w:numPr>
        <w:tabs>
          <w:tab w:val="clear" w:pos="720"/>
          <w:tab w:val="num" w:pos="360"/>
        </w:tabs>
        <w:spacing w:line="360" w:lineRule="auto"/>
        <w:ind w:left="357"/>
        <w:jc w:val="both"/>
        <w:rPr>
          <w:rFonts w:ascii="Arial" w:hAnsi="Arial" w:cs="Arial"/>
          <w:b/>
          <w:i/>
          <w:sz w:val="20"/>
          <w:szCs w:val="20"/>
        </w:rPr>
      </w:pPr>
      <w:r w:rsidRPr="0039268C">
        <w:rPr>
          <w:rFonts w:ascii="Arial" w:hAnsi="Arial" w:cs="Arial"/>
          <w:sz w:val="20"/>
          <w:szCs w:val="20"/>
        </w:rPr>
        <w:t xml:space="preserve">aktívne sa podieľal na práci RKS CKO v súvislosti s prípravou nariadení pre fondy </w:t>
      </w:r>
      <w:r w:rsidR="000D360F">
        <w:rPr>
          <w:rFonts w:ascii="Arial" w:hAnsi="Arial" w:cs="Arial"/>
          <w:sz w:val="20"/>
          <w:szCs w:val="20"/>
        </w:rPr>
        <w:t>EÚ na obdobie rokov 2014 – 2020;</w:t>
      </w:r>
    </w:p>
    <w:p w:rsidR="001F70A5" w:rsidRPr="0039268C" w:rsidRDefault="001F70A5" w:rsidP="001540E7">
      <w:pPr>
        <w:numPr>
          <w:ilvl w:val="0"/>
          <w:numId w:val="58"/>
        </w:numPr>
        <w:tabs>
          <w:tab w:val="clear" w:pos="720"/>
          <w:tab w:val="num" w:pos="360"/>
        </w:tabs>
        <w:spacing w:line="360" w:lineRule="auto"/>
        <w:ind w:left="357"/>
        <w:jc w:val="both"/>
        <w:rPr>
          <w:rFonts w:ascii="Arial" w:hAnsi="Arial" w:cs="Arial"/>
          <w:b/>
          <w:i/>
          <w:sz w:val="20"/>
          <w:szCs w:val="20"/>
        </w:rPr>
      </w:pPr>
      <w:r w:rsidRPr="0039268C">
        <w:rPr>
          <w:rFonts w:ascii="Arial" w:hAnsi="Arial" w:cs="Arial"/>
          <w:sz w:val="20"/>
          <w:szCs w:val="20"/>
        </w:rPr>
        <w:t>participoval na vytvorení a činnosti Rady vlády SR pre prípravu Partnerskej dohody na roky 2014 – 2020</w:t>
      </w:r>
      <w:r w:rsidR="000D360F">
        <w:rPr>
          <w:rFonts w:ascii="Arial" w:hAnsi="Arial" w:cs="Arial"/>
          <w:sz w:val="20"/>
          <w:szCs w:val="20"/>
        </w:rPr>
        <w:t>;</w:t>
      </w:r>
      <w:r w:rsidRPr="0039268C">
        <w:rPr>
          <w:rFonts w:ascii="Arial" w:hAnsi="Arial" w:cs="Arial"/>
          <w:sz w:val="20"/>
          <w:szCs w:val="20"/>
        </w:rPr>
        <w:t xml:space="preserve"> </w:t>
      </w:r>
    </w:p>
    <w:p w:rsidR="001F70A5" w:rsidRPr="0039268C" w:rsidRDefault="001F70A5" w:rsidP="001540E7">
      <w:pPr>
        <w:numPr>
          <w:ilvl w:val="0"/>
          <w:numId w:val="58"/>
        </w:numPr>
        <w:tabs>
          <w:tab w:val="clear" w:pos="720"/>
          <w:tab w:val="num" w:pos="360"/>
        </w:tabs>
        <w:spacing w:line="360" w:lineRule="auto"/>
        <w:ind w:left="357"/>
        <w:jc w:val="both"/>
        <w:rPr>
          <w:rFonts w:ascii="Arial" w:hAnsi="Arial" w:cs="Arial"/>
          <w:b/>
          <w:i/>
          <w:sz w:val="20"/>
          <w:szCs w:val="20"/>
        </w:rPr>
      </w:pPr>
      <w:r w:rsidRPr="0039268C">
        <w:rPr>
          <w:rFonts w:ascii="Arial" w:hAnsi="Arial" w:cs="Arial"/>
          <w:sz w:val="20"/>
          <w:szCs w:val="20"/>
        </w:rPr>
        <w:t xml:space="preserve">z pozície výkonného pracoviska jedného z dvoch národných koordinátorov SR sa podieľal na zabezpečovaní implementácie  stratégie Európa 2020 v SR s osobitným dôrazom na priemet stratégie do systému ŠF a KF v rámci obdobia 2007 – 2013 a pri príprave európskych štrukturálnych a investičných fondov budúceho programového obdobia 2014 </w:t>
      </w:r>
      <w:r w:rsidR="000D360F">
        <w:rPr>
          <w:rFonts w:ascii="Arial" w:hAnsi="Arial" w:cs="Arial"/>
          <w:sz w:val="20"/>
          <w:szCs w:val="20"/>
        </w:rPr>
        <w:t>–</w:t>
      </w:r>
      <w:r w:rsidRPr="0039268C">
        <w:rPr>
          <w:rFonts w:ascii="Arial" w:hAnsi="Arial" w:cs="Arial"/>
          <w:sz w:val="20"/>
          <w:szCs w:val="20"/>
        </w:rPr>
        <w:t xml:space="preserve"> 2020</w:t>
      </w:r>
      <w:r w:rsidR="000D360F">
        <w:rPr>
          <w:rFonts w:ascii="Arial" w:hAnsi="Arial" w:cs="Arial"/>
          <w:sz w:val="20"/>
          <w:szCs w:val="20"/>
        </w:rPr>
        <w:t>;</w:t>
      </w:r>
    </w:p>
    <w:p w:rsidR="001F70A5" w:rsidRPr="0039268C" w:rsidRDefault="001F70A5" w:rsidP="001540E7">
      <w:pPr>
        <w:numPr>
          <w:ilvl w:val="0"/>
          <w:numId w:val="58"/>
        </w:numPr>
        <w:tabs>
          <w:tab w:val="clear" w:pos="720"/>
          <w:tab w:val="num" w:pos="360"/>
        </w:tabs>
        <w:spacing w:line="360" w:lineRule="auto"/>
        <w:ind w:left="357"/>
        <w:jc w:val="both"/>
        <w:rPr>
          <w:rFonts w:ascii="Arial" w:hAnsi="Arial" w:cs="Arial"/>
          <w:b/>
          <w:i/>
          <w:sz w:val="20"/>
          <w:szCs w:val="20"/>
        </w:rPr>
      </w:pPr>
      <w:r w:rsidRPr="0039268C">
        <w:rPr>
          <w:rFonts w:ascii="Arial" w:hAnsi="Arial" w:cs="Arial"/>
          <w:sz w:val="20"/>
          <w:szCs w:val="20"/>
        </w:rPr>
        <w:t>z pozície národného koordinátora sa podieľal na zabezpečovaní aktivít v rámci stratégie EÚ pre dunajský región v záujme dosiahnutia  strategickejšieho  a integrovanejšieho  prístupu k územnému rozvoju, aplikujúc širší regionálny a makroregionálny - podunajský kontex,  s osobitným dôrazom na priemet stratégie do systému európskych štrukturálnych a investičných</w:t>
      </w:r>
      <w:r w:rsidR="000D360F">
        <w:rPr>
          <w:rFonts w:ascii="Arial" w:hAnsi="Arial" w:cs="Arial"/>
          <w:sz w:val="20"/>
          <w:szCs w:val="20"/>
        </w:rPr>
        <w:t xml:space="preserve"> fondov pre obdobie 2014 – 2020;</w:t>
      </w:r>
    </w:p>
    <w:p w:rsidR="001F70A5" w:rsidRPr="0039268C" w:rsidRDefault="001F70A5" w:rsidP="00507035">
      <w:pPr>
        <w:spacing w:before="120" w:after="120"/>
        <w:jc w:val="both"/>
        <w:rPr>
          <w:rFonts w:ascii="Arial" w:hAnsi="Arial" w:cs="Arial"/>
          <w:b/>
          <w:i/>
          <w:sz w:val="20"/>
          <w:szCs w:val="20"/>
        </w:rPr>
      </w:pPr>
    </w:p>
    <w:p w:rsidR="001F70A5" w:rsidRPr="0039268C" w:rsidRDefault="001F70A5" w:rsidP="00507035">
      <w:pPr>
        <w:spacing w:before="120" w:after="120"/>
        <w:jc w:val="both"/>
        <w:rPr>
          <w:rFonts w:ascii="Arial" w:hAnsi="Arial" w:cs="Arial"/>
          <w:b/>
          <w:i/>
          <w:sz w:val="20"/>
          <w:szCs w:val="20"/>
        </w:rPr>
      </w:pPr>
      <w:r w:rsidRPr="0039268C">
        <w:rPr>
          <w:rFonts w:ascii="Arial" w:hAnsi="Arial" w:cs="Arial"/>
          <w:b/>
          <w:i/>
          <w:sz w:val="20"/>
          <w:szCs w:val="20"/>
        </w:rPr>
        <w:t>monitorovanie</w:t>
      </w:r>
    </w:p>
    <w:p w:rsidR="001F70A5" w:rsidRPr="0039268C" w:rsidRDefault="001F70A5" w:rsidP="001540E7">
      <w:pPr>
        <w:numPr>
          <w:ilvl w:val="0"/>
          <w:numId w:val="58"/>
        </w:numPr>
        <w:tabs>
          <w:tab w:val="clear" w:pos="720"/>
          <w:tab w:val="num" w:pos="360"/>
        </w:tabs>
        <w:spacing w:line="360" w:lineRule="auto"/>
        <w:ind w:left="357" w:hanging="357"/>
        <w:jc w:val="both"/>
        <w:rPr>
          <w:rFonts w:ascii="Arial" w:hAnsi="Arial" w:cs="Arial"/>
          <w:sz w:val="20"/>
          <w:szCs w:val="20"/>
        </w:rPr>
      </w:pPr>
      <w:r w:rsidRPr="0039268C">
        <w:rPr>
          <w:rFonts w:ascii="Arial" w:hAnsi="Arial" w:cs="Arial"/>
          <w:sz w:val="20"/>
          <w:szCs w:val="20"/>
        </w:rPr>
        <w:t>priebežne sa vyjadroval k dokumentácii výziev v rámci jednotlivých OP so zameraním na súlad informácií so SKI HP IS (predovšetkým ukazovatele relevancie k HP, hodnotiace a výberové kritériá)</w:t>
      </w:r>
      <w:r w:rsidR="000D360F">
        <w:rPr>
          <w:rFonts w:ascii="Arial" w:hAnsi="Arial" w:cs="Arial"/>
          <w:sz w:val="20"/>
          <w:szCs w:val="20"/>
        </w:rPr>
        <w:t>;</w:t>
      </w:r>
    </w:p>
    <w:p w:rsidR="001F70A5" w:rsidRPr="0039268C" w:rsidRDefault="001F70A5" w:rsidP="001540E7">
      <w:pPr>
        <w:numPr>
          <w:ilvl w:val="0"/>
          <w:numId w:val="58"/>
        </w:numPr>
        <w:tabs>
          <w:tab w:val="clear" w:pos="720"/>
          <w:tab w:val="num" w:pos="360"/>
        </w:tabs>
        <w:spacing w:line="360" w:lineRule="auto"/>
        <w:ind w:left="357" w:hanging="357"/>
        <w:jc w:val="both"/>
        <w:rPr>
          <w:rFonts w:ascii="Arial" w:hAnsi="Arial" w:cs="Arial"/>
          <w:sz w:val="20"/>
          <w:szCs w:val="20"/>
        </w:rPr>
      </w:pPr>
      <w:r w:rsidRPr="0039268C">
        <w:rPr>
          <w:rFonts w:ascii="Arial" w:hAnsi="Arial" w:cs="Arial"/>
          <w:sz w:val="20"/>
          <w:szCs w:val="20"/>
        </w:rPr>
        <w:t>priebežne monitoroval ŽoNFP a zazmluvnené projekty v rámci jednotlivých OP,  pričom využíval neverejnú časť ITMS (</w:t>
      </w:r>
      <w:r w:rsidR="008F2A89">
        <w:rPr>
          <w:rFonts w:ascii="Arial" w:hAnsi="Arial" w:cs="Arial"/>
          <w:sz w:val="20"/>
          <w:szCs w:val="20"/>
        </w:rPr>
        <w:t>CORE</w:t>
      </w:r>
      <w:r w:rsidRPr="0039268C">
        <w:rPr>
          <w:rFonts w:ascii="Arial" w:hAnsi="Arial" w:cs="Arial"/>
          <w:sz w:val="20"/>
          <w:szCs w:val="20"/>
        </w:rPr>
        <w:t>) a definovanú vizibilitu HP7</w:t>
      </w:r>
      <w:r w:rsidR="000D360F">
        <w:rPr>
          <w:rFonts w:ascii="Arial" w:hAnsi="Arial" w:cs="Arial"/>
          <w:sz w:val="20"/>
          <w:szCs w:val="20"/>
        </w:rPr>
        <w:t>;</w:t>
      </w:r>
      <w:r w:rsidRPr="0039268C">
        <w:rPr>
          <w:rFonts w:ascii="Arial" w:hAnsi="Arial" w:cs="Arial"/>
          <w:sz w:val="20"/>
          <w:szCs w:val="20"/>
        </w:rPr>
        <w:t xml:space="preserve"> </w:t>
      </w:r>
    </w:p>
    <w:p w:rsidR="001F70A5" w:rsidRPr="0039268C" w:rsidRDefault="001F70A5" w:rsidP="001540E7">
      <w:pPr>
        <w:numPr>
          <w:ilvl w:val="0"/>
          <w:numId w:val="58"/>
        </w:numPr>
        <w:tabs>
          <w:tab w:val="clear" w:pos="720"/>
          <w:tab w:val="num" w:pos="360"/>
        </w:tabs>
        <w:spacing w:line="360" w:lineRule="auto"/>
        <w:ind w:left="357" w:hanging="357"/>
        <w:jc w:val="both"/>
        <w:rPr>
          <w:rFonts w:ascii="Arial" w:hAnsi="Arial" w:cs="Arial"/>
          <w:sz w:val="20"/>
          <w:szCs w:val="20"/>
        </w:rPr>
      </w:pPr>
      <w:r w:rsidRPr="0039268C">
        <w:rPr>
          <w:rFonts w:ascii="Arial" w:hAnsi="Arial" w:cs="Arial"/>
          <w:sz w:val="20"/>
          <w:szCs w:val="20"/>
        </w:rPr>
        <w:t>vypracoval Výročnú správu HP IS za rok 2011, na čo využil informácie RO, výsledky svojej monitorovacej činnosti a bilaterálne rokovania s príslušnými RO OP zamerané na vzájomné zosúladenie údajov</w:t>
      </w:r>
      <w:r w:rsidR="000D360F">
        <w:rPr>
          <w:rFonts w:ascii="Arial" w:hAnsi="Arial" w:cs="Arial"/>
          <w:sz w:val="20"/>
          <w:szCs w:val="20"/>
        </w:rPr>
        <w:t>;</w:t>
      </w:r>
    </w:p>
    <w:p w:rsidR="001F70A5" w:rsidRPr="0039268C" w:rsidRDefault="001F70A5" w:rsidP="001540E7">
      <w:pPr>
        <w:numPr>
          <w:ilvl w:val="0"/>
          <w:numId w:val="58"/>
        </w:numPr>
        <w:tabs>
          <w:tab w:val="clear" w:pos="720"/>
          <w:tab w:val="num" w:pos="360"/>
        </w:tabs>
        <w:spacing w:line="360" w:lineRule="auto"/>
        <w:ind w:left="357" w:hanging="357"/>
        <w:jc w:val="both"/>
        <w:rPr>
          <w:rFonts w:ascii="Arial" w:hAnsi="Arial" w:cs="Arial"/>
          <w:sz w:val="20"/>
          <w:szCs w:val="20"/>
        </w:rPr>
      </w:pPr>
      <w:r w:rsidRPr="0039268C">
        <w:rPr>
          <w:rFonts w:ascii="Arial" w:hAnsi="Arial" w:cs="Arial"/>
          <w:sz w:val="20"/>
          <w:szCs w:val="20"/>
        </w:rPr>
        <w:t>vyjadroval sa k návrhom výročných správ jednotlivých OP za rok 2011 z pohľadu zodpovednosti koordinátora HP IS</w:t>
      </w:r>
      <w:r w:rsidR="000D360F">
        <w:rPr>
          <w:rFonts w:ascii="Arial" w:hAnsi="Arial" w:cs="Arial"/>
          <w:sz w:val="20"/>
          <w:szCs w:val="20"/>
        </w:rPr>
        <w:t>;</w:t>
      </w:r>
    </w:p>
    <w:p w:rsidR="001F70A5" w:rsidRPr="0039268C" w:rsidRDefault="001F70A5" w:rsidP="001540E7">
      <w:pPr>
        <w:numPr>
          <w:ilvl w:val="0"/>
          <w:numId w:val="58"/>
        </w:numPr>
        <w:tabs>
          <w:tab w:val="clear" w:pos="720"/>
          <w:tab w:val="num" w:pos="360"/>
        </w:tabs>
        <w:spacing w:line="360" w:lineRule="auto"/>
        <w:ind w:left="357" w:hanging="357"/>
        <w:jc w:val="both"/>
        <w:rPr>
          <w:rFonts w:ascii="Arial" w:hAnsi="Arial" w:cs="Arial"/>
          <w:sz w:val="20"/>
          <w:szCs w:val="20"/>
        </w:rPr>
      </w:pPr>
      <w:r w:rsidRPr="0039268C">
        <w:rPr>
          <w:rFonts w:ascii="Arial" w:hAnsi="Arial" w:cs="Arial"/>
          <w:sz w:val="20"/>
          <w:szCs w:val="20"/>
        </w:rPr>
        <w:t>súčasne ako výkonné pracovisko jedného z dvoch národných koordinátorov stratégie Európa 2020  osobitnú pozornosť venoval kapitole o príspevku k Lisabonskému procesu / stratégii Európa 2020 v návrhoch VS OP a poskytol príslušným RO svoje námety na úpravy a doplnenie, hlavne o konkretizáciu vzťahu príslušného OP k jednotlivým atribútom stratégie Európa 2020 – k prioritám, cieľom, hlavným iniciatívam, k integrovaným usmerneniam pre stratégiu, k špecifickým odporúčaniam EÚ pre jednotlivé krajiny, k základnému národnému dokumentu stratégie – Národnému programu reforiem SR, a to aj cez  napĺňanie ukazovateľov a cieľov príslušných OP a cez príklady dobrej praxe</w:t>
      </w:r>
      <w:r w:rsidR="000D360F">
        <w:rPr>
          <w:rFonts w:ascii="Arial" w:hAnsi="Arial" w:cs="Arial"/>
          <w:sz w:val="20"/>
          <w:szCs w:val="20"/>
        </w:rPr>
        <w:t>;</w:t>
      </w:r>
    </w:p>
    <w:p w:rsidR="001F70A5" w:rsidRPr="0039268C" w:rsidRDefault="001F70A5" w:rsidP="001540E7">
      <w:pPr>
        <w:numPr>
          <w:ilvl w:val="0"/>
          <w:numId w:val="58"/>
        </w:numPr>
        <w:tabs>
          <w:tab w:val="clear" w:pos="720"/>
          <w:tab w:val="num" w:pos="360"/>
        </w:tabs>
        <w:spacing w:line="360" w:lineRule="auto"/>
        <w:ind w:left="357" w:hanging="357"/>
        <w:jc w:val="both"/>
        <w:rPr>
          <w:rFonts w:ascii="Arial" w:hAnsi="Arial" w:cs="Arial"/>
          <w:sz w:val="20"/>
          <w:szCs w:val="20"/>
        </w:rPr>
      </w:pPr>
      <w:r w:rsidRPr="0039268C">
        <w:rPr>
          <w:rFonts w:ascii="Arial" w:hAnsi="Arial" w:cs="Arial"/>
          <w:sz w:val="20"/>
          <w:szCs w:val="20"/>
        </w:rPr>
        <w:t>pripravil podklady do Výročnej správy o vykonávaní NSRR za rok 2011 -  časť horizontálnych priorít, ako aj časti príspevku k Lisabonskej agende / ku stratégii Európa 2020 a časti týkajúcej sa stratégie EÚ pre dunajský región</w:t>
      </w:r>
      <w:r w:rsidR="000D360F">
        <w:rPr>
          <w:rFonts w:ascii="Arial" w:hAnsi="Arial" w:cs="Arial"/>
          <w:sz w:val="20"/>
          <w:szCs w:val="20"/>
        </w:rPr>
        <w:t>;</w:t>
      </w:r>
    </w:p>
    <w:p w:rsidR="001F70A5" w:rsidRPr="0039268C" w:rsidRDefault="001F70A5" w:rsidP="001540E7">
      <w:pPr>
        <w:numPr>
          <w:ilvl w:val="0"/>
          <w:numId w:val="58"/>
        </w:numPr>
        <w:tabs>
          <w:tab w:val="clear" w:pos="720"/>
          <w:tab w:val="num" w:pos="360"/>
        </w:tabs>
        <w:spacing w:line="360" w:lineRule="auto"/>
        <w:ind w:left="357" w:hanging="357"/>
        <w:jc w:val="both"/>
        <w:rPr>
          <w:rFonts w:ascii="Arial" w:hAnsi="Arial" w:cs="Arial"/>
          <w:sz w:val="20"/>
          <w:szCs w:val="20"/>
        </w:rPr>
      </w:pPr>
      <w:r w:rsidRPr="0039268C">
        <w:rPr>
          <w:rFonts w:ascii="Arial" w:hAnsi="Arial" w:cs="Arial"/>
          <w:sz w:val="20"/>
          <w:szCs w:val="20"/>
        </w:rPr>
        <w:t>zúčastňoval sa zasadnutí monitorovacích výborov jednotlivých OP a Národného monitorovacieho výboru pre NSRR, v rámci ktorých pripomienkoval dokumenty z pohľadu implementácie HP IS</w:t>
      </w:r>
    </w:p>
    <w:p w:rsidR="008216A0" w:rsidRDefault="001F70A5" w:rsidP="001540E7">
      <w:pPr>
        <w:numPr>
          <w:ilvl w:val="0"/>
          <w:numId w:val="58"/>
        </w:numPr>
        <w:tabs>
          <w:tab w:val="clear" w:pos="720"/>
          <w:tab w:val="num" w:pos="360"/>
        </w:tabs>
        <w:spacing w:line="360" w:lineRule="auto"/>
        <w:ind w:left="357"/>
        <w:jc w:val="both"/>
        <w:rPr>
          <w:rFonts w:ascii="Arial" w:hAnsi="Arial" w:cs="Arial"/>
          <w:sz w:val="20"/>
          <w:szCs w:val="20"/>
        </w:rPr>
      </w:pPr>
      <w:r w:rsidRPr="0039268C">
        <w:rPr>
          <w:rFonts w:ascii="Arial" w:hAnsi="Arial" w:cs="Arial"/>
          <w:sz w:val="20"/>
          <w:szCs w:val="20"/>
        </w:rPr>
        <w:t>zúčastňoval sa rokovaní interných dozorných monitorovacích výborov</w:t>
      </w:r>
      <w:r w:rsidR="000D360F">
        <w:rPr>
          <w:rFonts w:ascii="Arial" w:hAnsi="Arial" w:cs="Arial"/>
          <w:sz w:val="20"/>
          <w:szCs w:val="20"/>
        </w:rPr>
        <w:t>;</w:t>
      </w:r>
    </w:p>
    <w:p w:rsidR="008216A0" w:rsidRDefault="008216A0" w:rsidP="000D360F">
      <w:pPr>
        <w:spacing w:line="360" w:lineRule="auto"/>
        <w:rPr>
          <w:rFonts w:ascii="Arial" w:hAnsi="Arial" w:cs="Arial"/>
          <w:sz w:val="20"/>
          <w:szCs w:val="20"/>
        </w:rPr>
      </w:pPr>
    </w:p>
    <w:p w:rsidR="001F70A5" w:rsidRPr="0039268C" w:rsidRDefault="001F70A5" w:rsidP="00507035">
      <w:pPr>
        <w:spacing w:before="120" w:after="120"/>
        <w:jc w:val="both"/>
        <w:rPr>
          <w:rFonts w:ascii="Arial" w:hAnsi="Arial" w:cs="Arial"/>
          <w:b/>
          <w:i/>
          <w:sz w:val="20"/>
          <w:szCs w:val="20"/>
        </w:rPr>
      </w:pPr>
      <w:r w:rsidRPr="0039268C">
        <w:rPr>
          <w:rFonts w:ascii="Arial" w:hAnsi="Arial" w:cs="Arial"/>
          <w:b/>
          <w:i/>
          <w:sz w:val="20"/>
          <w:szCs w:val="20"/>
        </w:rPr>
        <w:t>hodnotenie</w:t>
      </w:r>
    </w:p>
    <w:p w:rsidR="001F70A5" w:rsidRPr="0039268C" w:rsidRDefault="001F70A5" w:rsidP="001540E7">
      <w:pPr>
        <w:numPr>
          <w:ilvl w:val="0"/>
          <w:numId w:val="58"/>
        </w:numPr>
        <w:tabs>
          <w:tab w:val="clear" w:pos="720"/>
          <w:tab w:val="num" w:pos="360"/>
        </w:tabs>
        <w:spacing w:line="360" w:lineRule="auto"/>
        <w:ind w:left="357" w:hanging="357"/>
        <w:jc w:val="both"/>
        <w:rPr>
          <w:rFonts w:ascii="Arial" w:hAnsi="Arial" w:cs="Arial"/>
          <w:sz w:val="20"/>
          <w:szCs w:val="20"/>
        </w:rPr>
      </w:pPr>
      <w:r w:rsidRPr="0039268C">
        <w:rPr>
          <w:rFonts w:ascii="Arial" w:hAnsi="Arial" w:cs="Arial"/>
          <w:sz w:val="20"/>
          <w:szCs w:val="20"/>
        </w:rPr>
        <w:t>realizoval interné hodnotenie ako súčasť výročnej správy HP IS, ktoré sa vykonáva priebežne na úrovni každého OP/prioritnej osi/opatrenia a má operatívny charakter</w:t>
      </w:r>
      <w:r w:rsidR="000D360F">
        <w:rPr>
          <w:rFonts w:ascii="Arial" w:hAnsi="Arial" w:cs="Arial"/>
          <w:sz w:val="20"/>
          <w:szCs w:val="20"/>
        </w:rPr>
        <w:t>;</w:t>
      </w:r>
    </w:p>
    <w:p w:rsidR="001F70A5" w:rsidRPr="0039268C" w:rsidRDefault="001F70A5" w:rsidP="001540E7">
      <w:pPr>
        <w:numPr>
          <w:ilvl w:val="0"/>
          <w:numId w:val="58"/>
        </w:numPr>
        <w:tabs>
          <w:tab w:val="clear" w:pos="720"/>
          <w:tab w:val="num" w:pos="360"/>
        </w:tabs>
        <w:spacing w:line="360" w:lineRule="auto"/>
        <w:ind w:left="357" w:hanging="357"/>
        <w:jc w:val="both"/>
        <w:rPr>
          <w:rFonts w:ascii="Arial" w:hAnsi="Arial" w:cs="Arial"/>
          <w:sz w:val="20"/>
          <w:szCs w:val="20"/>
        </w:rPr>
      </w:pPr>
      <w:r w:rsidRPr="0039268C">
        <w:rPr>
          <w:rFonts w:ascii="Arial" w:hAnsi="Arial" w:cs="Arial"/>
          <w:sz w:val="20"/>
          <w:szCs w:val="20"/>
        </w:rPr>
        <w:t>pripomienkoval námety EK na systém hodnotení v budúcom období 2014 – 2020</w:t>
      </w:r>
      <w:r w:rsidR="000D360F">
        <w:rPr>
          <w:rFonts w:ascii="Arial" w:hAnsi="Arial" w:cs="Arial"/>
          <w:sz w:val="20"/>
          <w:szCs w:val="20"/>
        </w:rPr>
        <w:t>;</w:t>
      </w:r>
    </w:p>
    <w:p w:rsidR="001F70A5" w:rsidRPr="0039268C" w:rsidRDefault="001F70A5" w:rsidP="001540E7">
      <w:pPr>
        <w:numPr>
          <w:ilvl w:val="0"/>
          <w:numId w:val="58"/>
        </w:numPr>
        <w:tabs>
          <w:tab w:val="clear" w:pos="720"/>
          <w:tab w:val="num" w:pos="360"/>
        </w:tabs>
        <w:spacing w:line="360" w:lineRule="auto"/>
        <w:ind w:left="357" w:hanging="357"/>
        <w:jc w:val="both"/>
        <w:rPr>
          <w:rFonts w:ascii="Arial" w:hAnsi="Arial" w:cs="Arial"/>
          <w:sz w:val="20"/>
          <w:szCs w:val="20"/>
        </w:rPr>
      </w:pPr>
      <w:r w:rsidRPr="0039268C">
        <w:rPr>
          <w:rFonts w:ascii="Arial" w:hAnsi="Arial" w:cs="Arial"/>
          <w:sz w:val="20"/>
          <w:szCs w:val="20"/>
        </w:rPr>
        <w:t xml:space="preserve">aktívne sa zúčastňoval podujatí CKO organizovaných v rámci prípravy systému hodnotenia  v budúcom období 2014 </w:t>
      </w:r>
      <w:r w:rsidR="000D360F">
        <w:rPr>
          <w:rFonts w:ascii="Arial" w:hAnsi="Arial" w:cs="Arial"/>
          <w:sz w:val="20"/>
          <w:szCs w:val="20"/>
        </w:rPr>
        <w:t>–</w:t>
      </w:r>
      <w:r w:rsidRPr="0039268C">
        <w:rPr>
          <w:rFonts w:ascii="Arial" w:hAnsi="Arial" w:cs="Arial"/>
          <w:sz w:val="20"/>
          <w:szCs w:val="20"/>
        </w:rPr>
        <w:t xml:space="preserve"> 2020</w:t>
      </w:r>
      <w:r w:rsidR="000D360F">
        <w:rPr>
          <w:rFonts w:ascii="Arial" w:hAnsi="Arial" w:cs="Arial"/>
          <w:sz w:val="20"/>
          <w:szCs w:val="20"/>
        </w:rPr>
        <w:t>;</w:t>
      </w:r>
    </w:p>
    <w:p w:rsidR="001F70A5" w:rsidRPr="0039268C" w:rsidRDefault="001F70A5" w:rsidP="001540E7">
      <w:pPr>
        <w:numPr>
          <w:ilvl w:val="0"/>
          <w:numId w:val="58"/>
        </w:numPr>
        <w:tabs>
          <w:tab w:val="clear" w:pos="720"/>
          <w:tab w:val="num" w:pos="360"/>
        </w:tabs>
        <w:spacing w:line="360" w:lineRule="auto"/>
        <w:ind w:left="357"/>
        <w:jc w:val="both"/>
        <w:rPr>
          <w:rFonts w:ascii="Arial" w:hAnsi="Arial" w:cs="Arial"/>
          <w:sz w:val="20"/>
          <w:szCs w:val="20"/>
        </w:rPr>
      </w:pPr>
      <w:r w:rsidRPr="0039268C">
        <w:rPr>
          <w:rFonts w:ascii="Arial" w:hAnsi="Arial" w:cs="Arial"/>
          <w:sz w:val="20"/>
          <w:szCs w:val="20"/>
        </w:rPr>
        <w:t>zúčastňoval sa na pracovných stretnutiach členov pracovnej skupiny pre hodnotenie organizovanej CKO</w:t>
      </w:r>
      <w:r w:rsidR="000D360F">
        <w:rPr>
          <w:rFonts w:ascii="Arial" w:hAnsi="Arial" w:cs="Arial"/>
          <w:sz w:val="20"/>
          <w:szCs w:val="20"/>
        </w:rPr>
        <w:t>;</w:t>
      </w:r>
    </w:p>
    <w:p w:rsidR="001F70A5" w:rsidRPr="0039268C" w:rsidRDefault="001F70A5" w:rsidP="008216A0">
      <w:pPr>
        <w:spacing w:before="120" w:after="120" w:line="360" w:lineRule="auto"/>
        <w:jc w:val="both"/>
        <w:rPr>
          <w:rFonts w:ascii="Arial" w:hAnsi="Arial" w:cs="Arial"/>
          <w:b/>
          <w:i/>
          <w:sz w:val="20"/>
          <w:szCs w:val="20"/>
        </w:rPr>
      </w:pPr>
      <w:r w:rsidRPr="0039268C">
        <w:rPr>
          <w:rFonts w:ascii="Arial" w:hAnsi="Arial" w:cs="Arial"/>
          <w:b/>
          <w:i/>
          <w:sz w:val="20"/>
          <w:szCs w:val="20"/>
        </w:rPr>
        <w:t>publicita a informovanosť</w:t>
      </w:r>
    </w:p>
    <w:p w:rsidR="001F70A5" w:rsidRPr="0039268C" w:rsidRDefault="001F70A5" w:rsidP="001540E7">
      <w:pPr>
        <w:numPr>
          <w:ilvl w:val="0"/>
          <w:numId w:val="58"/>
        </w:numPr>
        <w:tabs>
          <w:tab w:val="clear" w:pos="720"/>
          <w:tab w:val="num" w:pos="360"/>
        </w:tabs>
        <w:spacing w:line="360" w:lineRule="auto"/>
        <w:ind w:left="360" w:hanging="357"/>
        <w:jc w:val="both"/>
        <w:rPr>
          <w:rFonts w:ascii="Arial" w:hAnsi="Arial" w:cs="Arial"/>
          <w:sz w:val="20"/>
          <w:szCs w:val="20"/>
        </w:rPr>
      </w:pPr>
      <w:r w:rsidRPr="0039268C">
        <w:rPr>
          <w:rFonts w:ascii="Arial" w:hAnsi="Arial" w:cs="Arial"/>
          <w:sz w:val="20"/>
          <w:szCs w:val="20"/>
        </w:rPr>
        <w:t>poskytoval telefonické a písomné informácie o implementácii HP IS pre CKO, RO, SORO, koordinátorov HP VÚC a prijímateľov NFP</w:t>
      </w:r>
      <w:r w:rsidR="000D360F">
        <w:rPr>
          <w:rFonts w:ascii="Arial" w:hAnsi="Arial" w:cs="Arial"/>
          <w:sz w:val="20"/>
          <w:szCs w:val="20"/>
        </w:rPr>
        <w:t>;</w:t>
      </w:r>
      <w:r w:rsidRPr="0039268C">
        <w:rPr>
          <w:rFonts w:ascii="Arial" w:hAnsi="Arial" w:cs="Arial"/>
          <w:sz w:val="20"/>
          <w:szCs w:val="20"/>
        </w:rPr>
        <w:t xml:space="preserve"> </w:t>
      </w:r>
    </w:p>
    <w:p w:rsidR="001F70A5" w:rsidRPr="0039268C" w:rsidRDefault="001F70A5" w:rsidP="001540E7">
      <w:pPr>
        <w:numPr>
          <w:ilvl w:val="0"/>
          <w:numId w:val="58"/>
        </w:numPr>
        <w:tabs>
          <w:tab w:val="clear" w:pos="720"/>
          <w:tab w:val="num" w:pos="360"/>
        </w:tabs>
        <w:spacing w:line="360" w:lineRule="auto"/>
        <w:ind w:left="360" w:hanging="357"/>
        <w:jc w:val="both"/>
        <w:rPr>
          <w:rFonts w:ascii="Arial" w:hAnsi="Arial" w:cs="Arial"/>
          <w:sz w:val="20"/>
          <w:szCs w:val="20"/>
        </w:rPr>
      </w:pPr>
      <w:r w:rsidRPr="0039268C">
        <w:rPr>
          <w:rFonts w:ascii="Arial" w:hAnsi="Arial" w:cs="Arial"/>
          <w:sz w:val="20"/>
          <w:szCs w:val="20"/>
        </w:rPr>
        <w:t>priebežne aktualizoval informácie a zverejňoval dokumenty týkajúce sa HP IS, stratégie Európa 2020, Dunajskej stratégie a činnosti Rady vlády SR pre prípravu Partnerskej dohody na roky 2014 – 2020 na svojom webovom sídle</w:t>
      </w:r>
      <w:r w:rsidR="000D360F">
        <w:rPr>
          <w:rFonts w:ascii="Arial" w:hAnsi="Arial" w:cs="Arial"/>
          <w:sz w:val="20"/>
          <w:szCs w:val="20"/>
        </w:rPr>
        <w:t>;</w:t>
      </w:r>
      <w:r w:rsidR="000D360F">
        <w:rPr>
          <w:rFonts w:ascii="Arial" w:hAnsi="Arial" w:cs="Arial"/>
          <w:sz w:val="20"/>
          <w:szCs w:val="20"/>
        </w:rPr>
        <w:tab/>
      </w:r>
    </w:p>
    <w:p w:rsidR="001F70A5" w:rsidRDefault="001F70A5" w:rsidP="000D360F">
      <w:pPr>
        <w:spacing w:line="360" w:lineRule="auto"/>
        <w:jc w:val="both"/>
        <w:rPr>
          <w:rFonts w:ascii="Arial" w:hAnsi="Arial" w:cs="Arial"/>
          <w:sz w:val="20"/>
          <w:szCs w:val="20"/>
        </w:rPr>
      </w:pPr>
      <w:r w:rsidRPr="0039268C">
        <w:rPr>
          <w:rFonts w:ascii="Arial" w:hAnsi="Arial" w:cs="Arial"/>
          <w:sz w:val="20"/>
          <w:szCs w:val="20"/>
        </w:rPr>
        <w:t>podieľal sa na činnosti pracovnej skupiny pre publicitu vedenej CKO.</w:t>
      </w:r>
    </w:p>
    <w:p w:rsidR="000D360F" w:rsidRPr="00992100" w:rsidRDefault="000D360F" w:rsidP="00992100">
      <w:pPr>
        <w:spacing w:before="120" w:after="200" w:line="360" w:lineRule="auto"/>
        <w:jc w:val="both"/>
        <w:rPr>
          <w:rFonts w:ascii="Arial" w:hAnsi="Arial" w:cs="Arial"/>
          <w:sz w:val="20"/>
          <w:szCs w:val="20"/>
        </w:rPr>
      </w:pPr>
      <w:r w:rsidRPr="00992100">
        <w:rPr>
          <w:rFonts w:ascii="Arial" w:hAnsi="Arial" w:cs="Arial"/>
          <w:sz w:val="20"/>
          <w:szCs w:val="20"/>
        </w:rPr>
        <w:t>Okrem nižšie uvedeného príspevku OP ŽP k HP IS meraného prostredníctvom plnenia ukazovateľov,  príspevkom k HP IS je aj objem finančných prostriedkov priamo vynaložených na IKT v rámci PO 3,4,5 a 7 bez ohľadu na deklarovaný príspevok žiadateľov/prijímateľov.</w:t>
      </w:r>
    </w:p>
    <w:p w:rsidR="00992100" w:rsidRDefault="00992100">
      <w:pPr>
        <w:rPr>
          <w:rFonts w:ascii="Arial" w:eastAsia="EUAlbertina-Regular-Identity-H" w:hAnsi="Arial" w:cs="Arial"/>
          <w:bCs/>
          <w:sz w:val="20"/>
          <w:szCs w:val="20"/>
          <w:lang w:eastAsia="cs-CZ"/>
        </w:rPr>
      </w:pPr>
      <w:r>
        <w:rPr>
          <w:b/>
          <w:szCs w:val="20"/>
        </w:rPr>
        <w:br w:type="page"/>
      </w:r>
    </w:p>
    <w:p w:rsidR="00BE4E4B" w:rsidRPr="0039268C" w:rsidRDefault="00236377" w:rsidP="008216A0">
      <w:pPr>
        <w:pStyle w:val="MP2"/>
        <w:rPr>
          <w:b w:val="0"/>
          <w:sz w:val="22"/>
          <w:szCs w:val="22"/>
        </w:rPr>
      </w:pPr>
      <w:r w:rsidRPr="0039268C">
        <w:rPr>
          <w:b w:val="0"/>
          <w:szCs w:val="20"/>
        </w:rPr>
        <w:t xml:space="preserve">Tab. č. </w:t>
      </w:r>
      <w:r w:rsidR="00254D6C">
        <w:rPr>
          <w:b w:val="0"/>
          <w:szCs w:val="20"/>
        </w:rPr>
        <w:t>66</w:t>
      </w:r>
      <w:r w:rsidRPr="0039268C">
        <w:rPr>
          <w:b w:val="0"/>
          <w:szCs w:val="20"/>
        </w:rPr>
        <w:t xml:space="preserve">: </w:t>
      </w:r>
      <w:r w:rsidR="00BE4E4B" w:rsidRPr="0039268C">
        <w:rPr>
          <w:b w:val="0"/>
          <w:szCs w:val="20"/>
        </w:rPr>
        <w:t>Výdavky zazmluvnené a čerpané na IKT ŽP k 31.12.2012</w:t>
      </w:r>
    </w:p>
    <w:tbl>
      <w:tblPr>
        <w:tblW w:w="9654" w:type="dxa"/>
        <w:tblInd w:w="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3740"/>
        <w:gridCol w:w="3079"/>
        <w:gridCol w:w="2835"/>
      </w:tblGrid>
      <w:tr w:rsidR="00BE4E4B" w:rsidRPr="00BE4E4B" w:rsidTr="00D62AE1">
        <w:trPr>
          <w:trHeight w:val="1440"/>
        </w:trPr>
        <w:tc>
          <w:tcPr>
            <w:tcW w:w="3740" w:type="dxa"/>
            <w:shd w:val="clear" w:color="000000" w:fill="CCFFFF"/>
            <w:vAlign w:val="center"/>
            <w:hideMark/>
          </w:tcPr>
          <w:p w:rsidR="00BE4E4B" w:rsidRPr="0039268C" w:rsidRDefault="00BE4E4B" w:rsidP="008216A0">
            <w:pPr>
              <w:jc w:val="center"/>
              <w:rPr>
                <w:rFonts w:ascii="Arial" w:hAnsi="Arial" w:cs="Arial"/>
                <w:sz w:val="18"/>
                <w:szCs w:val="18"/>
              </w:rPr>
            </w:pPr>
            <w:r w:rsidRPr="0039268C">
              <w:rPr>
                <w:rFonts w:ascii="Arial" w:hAnsi="Arial" w:cs="Arial"/>
                <w:b/>
                <w:bCs/>
                <w:sz w:val="18"/>
                <w:szCs w:val="18"/>
              </w:rPr>
              <w:t>Skupina výdavkov (IKT) 2012</w:t>
            </w:r>
          </w:p>
        </w:tc>
        <w:tc>
          <w:tcPr>
            <w:tcW w:w="3079" w:type="dxa"/>
            <w:shd w:val="clear" w:color="000000" w:fill="CCFFFF"/>
            <w:vAlign w:val="center"/>
            <w:hideMark/>
          </w:tcPr>
          <w:p w:rsidR="00BE4E4B" w:rsidRPr="0039268C" w:rsidRDefault="00BE4E4B" w:rsidP="008216A0">
            <w:pPr>
              <w:jc w:val="center"/>
              <w:rPr>
                <w:rFonts w:ascii="Arial" w:hAnsi="Arial" w:cs="Arial"/>
                <w:b/>
                <w:bCs/>
                <w:sz w:val="18"/>
                <w:szCs w:val="18"/>
              </w:rPr>
            </w:pPr>
            <w:r w:rsidRPr="0039268C">
              <w:rPr>
                <w:rFonts w:ascii="Arial" w:hAnsi="Arial" w:cs="Arial"/>
                <w:b/>
                <w:bCs/>
                <w:sz w:val="18"/>
                <w:szCs w:val="18"/>
              </w:rPr>
              <w:t>Objem v zazmluvnených projektoch</w:t>
            </w:r>
            <w:r w:rsidRPr="0039268C">
              <w:rPr>
                <w:rFonts w:ascii="Arial" w:hAnsi="Arial" w:cs="Arial"/>
                <w:b/>
                <w:bCs/>
                <w:color w:val="FF0000"/>
                <w:sz w:val="18"/>
                <w:szCs w:val="18"/>
              </w:rPr>
              <w:t xml:space="preserve">        </w:t>
            </w:r>
            <w:r w:rsidRPr="0039268C">
              <w:rPr>
                <w:rFonts w:ascii="Arial" w:hAnsi="Arial" w:cs="Arial"/>
                <w:b/>
                <w:bCs/>
                <w:sz w:val="18"/>
                <w:szCs w:val="18"/>
              </w:rPr>
              <w:t>(EUR)</w:t>
            </w:r>
          </w:p>
        </w:tc>
        <w:tc>
          <w:tcPr>
            <w:tcW w:w="2835" w:type="dxa"/>
            <w:shd w:val="clear" w:color="000000" w:fill="CCFFFF"/>
            <w:vAlign w:val="center"/>
            <w:hideMark/>
          </w:tcPr>
          <w:p w:rsidR="00BE4E4B" w:rsidRPr="0039268C" w:rsidRDefault="00BE4E4B" w:rsidP="008216A0">
            <w:pPr>
              <w:jc w:val="center"/>
              <w:rPr>
                <w:rFonts w:ascii="Arial" w:hAnsi="Arial" w:cs="Arial"/>
                <w:b/>
                <w:bCs/>
                <w:sz w:val="18"/>
                <w:szCs w:val="18"/>
              </w:rPr>
            </w:pPr>
            <w:r w:rsidRPr="0039268C">
              <w:rPr>
                <w:rFonts w:ascii="Arial" w:hAnsi="Arial" w:cs="Arial"/>
                <w:b/>
                <w:bCs/>
                <w:sz w:val="18"/>
                <w:szCs w:val="18"/>
              </w:rPr>
              <w:t>Čerpaná suma (EUR)</w:t>
            </w:r>
          </w:p>
        </w:tc>
      </w:tr>
      <w:tr w:rsidR="00BE4E4B" w:rsidRPr="00BE4E4B" w:rsidTr="00D62AE1">
        <w:trPr>
          <w:trHeight w:val="255"/>
        </w:trPr>
        <w:tc>
          <w:tcPr>
            <w:tcW w:w="3740" w:type="dxa"/>
            <w:shd w:val="clear" w:color="auto" w:fill="auto"/>
            <w:vAlign w:val="center"/>
            <w:hideMark/>
          </w:tcPr>
          <w:p w:rsidR="00BE4E4B" w:rsidRPr="0039268C" w:rsidRDefault="00BE4E4B" w:rsidP="008216A0">
            <w:pPr>
              <w:rPr>
                <w:rFonts w:ascii="Arial" w:hAnsi="Arial" w:cs="Arial"/>
                <w:sz w:val="18"/>
                <w:szCs w:val="18"/>
              </w:rPr>
            </w:pPr>
            <w:r w:rsidRPr="0039268C">
              <w:rPr>
                <w:rFonts w:ascii="Arial" w:hAnsi="Arial" w:cs="Arial"/>
                <w:sz w:val="18"/>
                <w:szCs w:val="18"/>
              </w:rPr>
              <w:t>633002 Materiál Výpočtová technika</w:t>
            </w:r>
          </w:p>
        </w:tc>
        <w:tc>
          <w:tcPr>
            <w:tcW w:w="3079" w:type="dxa"/>
            <w:shd w:val="clear" w:color="auto" w:fill="auto"/>
            <w:vAlign w:val="bottom"/>
          </w:tcPr>
          <w:p w:rsidR="00BE4E4B" w:rsidRPr="0039268C" w:rsidRDefault="00BE4E4B" w:rsidP="008216A0">
            <w:pPr>
              <w:jc w:val="right"/>
              <w:rPr>
                <w:rFonts w:ascii="Arial" w:hAnsi="Arial" w:cs="Arial"/>
                <w:sz w:val="18"/>
                <w:szCs w:val="18"/>
              </w:rPr>
            </w:pPr>
            <w:r w:rsidRPr="0039268C">
              <w:rPr>
                <w:rFonts w:ascii="Arial" w:hAnsi="Arial" w:cs="Arial"/>
                <w:sz w:val="18"/>
                <w:szCs w:val="18"/>
              </w:rPr>
              <w:t>270032,85</w:t>
            </w:r>
          </w:p>
        </w:tc>
        <w:tc>
          <w:tcPr>
            <w:tcW w:w="2835" w:type="dxa"/>
            <w:shd w:val="clear" w:color="auto" w:fill="auto"/>
            <w:vAlign w:val="bottom"/>
          </w:tcPr>
          <w:p w:rsidR="00BE4E4B" w:rsidRPr="0039268C" w:rsidRDefault="00BE4E4B" w:rsidP="008216A0">
            <w:pPr>
              <w:jc w:val="right"/>
              <w:rPr>
                <w:rFonts w:ascii="Arial" w:hAnsi="Arial" w:cs="Arial"/>
                <w:sz w:val="18"/>
                <w:szCs w:val="18"/>
              </w:rPr>
            </w:pPr>
            <w:r w:rsidRPr="0039268C">
              <w:rPr>
                <w:rFonts w:ascii="Arial" w:hAnsi="Arial" w:cs="Arial"/>
                <w:sz w:val="18"/>
                <w:szCs w:val="18"/>
              </w:rPr>
              <w:t>32828,17</w:t>
            </w:r>
          </w:p>
        </w:tc>
      </w:tr>
      <w:tr w:rsidR="00BE4E4B" w:rsidRPr="00BE4E4B" w:rsidTr="00D62AE1">
        <w:trPr>
          <w:trHeight w:val="255"/>
        </w:trPr>
        <w:tc>
          <w:tcPr>
            <w:tcW w:w="3740" w:type="dxa"/>
            <w:shd w:val="clear" w:color="auto" w:fill="auto"/>
            <w:vAlign w:val="center"/>
            <w:hideMark/>
          </w:tcPr>
          <w:p w:rsidR="00BE4E4B" w:rsidRPr="0039268C" w:rsidRDefault="00BE4E4B" w:rsidP="008216A0">
            <w:pPr>
              <w:rPr>
                <w:rFonts w:ascii="Arial" w:hAnsi="Arial" w:cs="Arial"/>
                <w:sz w:val="18"/>
                <w:szCs w:val="18"/>
              </w:rPr>
            </w:pPr>
            <w:r w:rsidRPr="0039268C">
              <w:rPr>
                <w:rFonts w:ascii="Arial" w:hAnsi="Arial" w:cs="Arial"/>
                <w:sz w:val="18"/>
                <w:szCs w:val="18"/>
              </w:rPr>
              <w:t>633003 Materiál Telekomunikačná technika</w:t>
            </w:r>
          </w:p>
        </w:tc>
        <w:tc>
          <w:tcPr>
            <w:tcW w:w="3079" w:type="dxa"/>
            <w:shd w:val="clear" w:color="auto" w:fill="auto"/>
            <w:vAlign w:val="bottom"/>
          </w:tcPr>
          <w:p w:rsidR="00BE4E4B" w:rsidRPr="0039268C" w:rsidRDefault="00BE4E4B" w:rsidP="008216A0">
            <w:pPr>
              <w:jc w:val="right"/>
              <w:rPr>
                <w:rFonts w:ascii="Arial" w:hAnsi="Arial" w:cs="Arial"/>
                <w:sz w:val="18"/>
                <w:szCs w:val="18"/>
              </w:rPr>
            </w:pPr>
            <w:r w:rsidRPr="0039268C">
              <w:rPr>
                <w:rFonts w:ascii="Arial" w:hAnsi="Arial" w:cs="Arial"/>
                <w:sz w:val="18"/>
                <w:szCs w:val="18"/>
              </w:rPr>
              <w:t>4832,23</w:t>
            </w:r>
          </w:p>
        </w:tc>
        <w:tc>
          <w:tcPr>
            <w:tcW w:w="2835" w:type="dxa"/>
            <w:shd w:val="clear" w:color="auto" w:fill="auto"/>
            <w:vAlign w:val="bottom"/>
          </w:tcPr>
          <w:p w:rsidR="00BE4E4B" w:rsidRPr="0039268C" w:rsidRDefault="00BE4E4B" w:rsidP="008216A0">
            <w:pPr>
              <w:jc w:val="right"/>
              <w:rPr>
                <w:rFonts w:ascii="Arial" w:hAnsi="Arial" w:cs="Arial"/>
                <w:sz w:val="18"/>
                <w:szCs w:val="18"/>
              </w:rPr>
            </w:pPr>
            <w:r w:rsidRPr="0039268C">
              <w:rPr>
                <w:rFonts w:ascii="Arial" w:hAnsi="Arial" w:cs="Arial"/>
                <w:sz w:val="18"/>
                <w:szCs w:val="18"/>
              </w:rPr>
              <w:t>3924,98</w:t>
            </w:r>
          </w:p>
        </w:tc>
      </w:tr>
      <w:tr w:rsidR="00BE4E4B" w:rsidRPr="00BE4E4B" w:rsidTr="00D62AE1">
        <w:trPr>
          <w:trHeight w:val="255"/>
        </w:trPr>
        <w:tc>
          <w:tcPr>
            <w:tcW w:w="3740" w:type="dxa"/>
            <w:shd w:val="clear" w:color="auto" w:fill="auto"/>
            <w:vAlign w:val="center"/>
            <w:hideMark/>
          </w:tcPr>
          <w:p w:rsidR="00BE4E4B" w:rsidRPr="0039268C" w:rsidRDefault="00BE4E4B" w:rsidP="008216A0">
            <w:pPr>
              <w:rPr>
                <w:rFonts w:ascii="Arial" w:hAnsi="Arial" w:cs="Arial"/>
                <w:sz w:val="18"/>
                <w:szCs w:val="18"/>
              </w:rPr>
            </w:pPr>
            <w:r w:rsidRPr="0039268C">
              <w:rPr>
                <w:rFonts w:ascii="Arial" w:hAnsi="Arial" w:cs="Arial"/>
                <w:sz w:val="18"/>
                <w:szCs w:val="18"/>
              </w:rPr>
              <w:t>633013 Materiál Softvér</w:t>
            </w:r>
          </w:p>
        </w:tc>
        <w:tc>
          <w:tcPr>
            <w:tcW w:w="3079" w:type="dxa"/>
            <w:shd w:val="clear" w:color="auto" w:fill="auto"/>
            <w:vAlign w:val="bottom"/>
          </w:tcPr>
          <w:p w:rsidR="00BE4E4B" w:rsidRPr="0039268C" w:rsidRDefault="00BE4E4B" w:rsidP="008216A0">
            <w:pPr>
              <w:jc w:val="right"/>
              <w:rPr>
                <w:rFonts w:ascii="Arial" w:hAnsi="Arial" w:cs="Arial"/>
                <w:sz w:val="18"/>
                <w:szCs w:val="18"/>
              </w:rPr>
            </w:pPr>
            <w:r w:rsidRPr="0039268C">
              <w:rPr>
                <w:rFonts w:ascii="Arial" w:hAnsi="Arial" w:cs="Arial"/>
                <w:sz w:val="18"/>
                <w:szCs w:val="18"/>
              </w:rPr>
              <w:t>137944,94</w:t>
            </w:r>
          </w:p>
        </w:tc>
        <w:tc>
          <w:tcPr>
            <w:tcW w:w="2835" w:type="dxa"/>
            <w:shd w:val="clear" w:color="auto" w:fill="auto"/>
            <w:vAlign w:val="bottom"/>
          </w:tcPr>
          <w:p w:rsidR="00BE4E4B" w:rsidRPr="0039268C" w:rsidRDefault="00BE4E4B" w:rsidP="008216A0">
            <w:pPr>
              <w:jc w:val="right"/>
              <w:rPr>
                <w:rFonts w:ascii="Arial" w:hAnsi="Arial" w:cs="Arial"/>
                <w:sz w:val="18"/>
                <w:szCs w:val="18"/>
              </w:rPr>
            </w:pPr>
            <w:r w:rsidRPr="0039268C">
              <w:rPr>
                <w:rFonts w:ascii="Arial" w:hAnsi="Arial" w:cs="Arial"/>
                <w:sz w:val="18"/>
                <w:szCs w:val="18"/>
              </w:rPr>
              <w:t>20936,65</w:t>
            </w:r>
          </w:p>
        </w:tc>
      </w:tr>
      <w:tr w:rsidR="00BE4E4B" w:rsidRPr="00BE4E4B" w:rsidTr="00D62AE1">
        <w:trPr>
          <w:trHeight w:val="255"/>
        </w:trPr>
        <w:tc>
          <w:tcPr>
            <w:tcW w:w="3740" w:type="dxa"/>
            <w:shd w:val="clear" w:color="auto" w:fill="auto"/>
            <w:noWrap/>
            <w:vAlign w:val="bottom"/>
            <w:hideMark/>
          </w:tcPr>
          <w:p w:rsidR="00BE4E4B" w:rsidRPr="0039268C" w:rsidRDefault="00BE4E4B" w:rsidP="008216A0">
            <w:pPr>
              <w:rPr>
                <w:rFonts w:ascii="Arial" w:hAnsi="Arial" w:cs="Arial"/>
                <w:sz w:val="18"/>
                <w:szCs w:val="18"/>
              </w:rPr>
            </w:pPr>
            <w:r w:rsidRPr="0039268C">
              <w:rPr>
                <w:rFonts w:ascii="Arial" w:hAnsi="Arial" w:cs="Arial"/>
                <w:sz w:val="18"/>
                <w:szCs w:val="18"/>
              </w:rPr>
              <w:t>633019 Materiál Komunikačná infraštruktúra</w:t>
            </w:r>
          </w:p>
        </w:tc>
        <w:tc>
          <w:tcPr>
            <w:tcW w:w="3079" w:type="dxa"/>
            <w:shd w:val="clear" w:color="auto" w:fill="auto"/>
            <w:vAlign w:val="center"/>
          </w:tcPr>
          <w:p w:rsidR="00BE4E4B" w:rsidRPr="0039268C" w:rsidRDefault="00BE4E4B" w:rsidP="008216A0">
            <w:pPr>
              <w:jc w:val="right"/>
              <w:rPr>
                <w:rFonts w:ascii="Arial" w:hAnsi="Arial" w:cs="Arial"/>
                <w:sz w:val="18"/>
                <w:szCs w:val="18"/>
              </w:rPr>
            </w:pPr>
            <w:r w:rsidRPr="0039268C">
              <w:rPr>
                <w:rFonts w:ascii="Arial" w:hAnsi="Arial" w:cs="Arial"/>
                <w:sz w:val="18"/>
                <w:szCs w:val="18"/>
              </w:rPr>
              <w:t>0,00</w:t>
            </w:r>
          </w:p>
        </w:tc>
        <w:tc>
          <w:tcPr>
            <w:tcW w:w="2835" w:type="dxa"/>
            <w:shd w:val="clear" w:color="auto" w:fill="auto"/>
            <w:vAlign w:val="center"/>
          </w:tcPr>
          <w:p w:rsidR="00BE4E4B" w:rsidRPr="0039268C" w:rsidRDefault="00BE4E4B" w:rsidP="008216A0">
            <w:pPr>
              <w:jc w:val="right"/>
              <w:rPr>
                <w:rFonts w:ascii="Arial" w:hAnsi="Arial" w:cs="Arial"/>
                <w:sz w:val="18"/>
                <w:szCs w:val="18"/>
              </w:rPr>
            </w:pPr>
            <w:r w:rsidRPr="0039268C">
              <w:rPr>
                <w:rFonts w:ascii="Arial" w:hAnsi="Arial" w:cs="Arial"/>
                <w:sz w:val="18"/>
                <w:szCs w:val="18"/>
              </w:rPr>
              <w:t>0,00</w:t>
            </w:r>
          </w:p>
        </w:tc>
      </w:tr>
      <w:tr w:rsidR="00BE4E4B" w:rsidRPr="00BE4E4B" w:rsidTr="00D62AE1">
        <w:trPr>
          <w:trHeight w:val="255"/>
        </w:trPr>
        <w:tc>
          <w:tcPr>
            <w:tcW w:w="3740" w:type="dxa"/>
            <w:shd w:val="clear" w:color="auto" w:fill="auto"/>
            <w:vAlign w:val="center"/>
            <w:hideMark/>
          </w:tcPr>
          <w:p w:rsidR="00BE4E4B" w:rsidRPr="0039268C" w:rsidRDefault="00BE4E4B" w:rsidP="008216A0">
            <w:pPr>
              <w:jc w:val="right"/>
              <w:rPr>
                <w:rFonts w:ascii="Arial" w:hAnsi="Arial" w:cs="Arial"/>
                <w:i/>
                <w:iCs/>
                <w:sz w:val="18"/>
                <w:szCs w:val="18"/>
              </w:rPr>
            </w:pPr>
            <w:r w:rsidRPr="0039268C">
              <w:rPr>
                <w:rFonts w:ascii="Arial" w:hAnsi="Arial" w:cs="Arial"/>
                <w:i/>
                <w:iCs/>
                <w:sz w:val="18"/>
                <w:szCs w:val="18"/>
              </w:rPr>
              <w:t>633</w:t>
            </w:r>
          </w:p>
        </w:tc>
        <w:tc>
          <w:tcPr>
            <w:tcW w:w="3079" w:type="dxa"/>
            <w:shd w:val="clear" w:color="auto" w:fill="auto"/>
            <w:vAlign w:val="center"/>
          </w:tcPr>
          <w:p w:rsidR="00BE4E4B" w:rsidRPr="0039268C" w:rsidRDefault="00BE4E4B" w:rsidP="008216A0">
            <w:pPr>
              <w:jc w:val="right"/>
              <w:rPr>
                <w:rFonts w:ascii="Arial" w:hAnsi="Arial" w:cs="Arial"/>
                <w:b/>
                <w:bCs/>
                <w:i/>
                <w:iCs/>
                <w:sz w:val="18"/>
                <w:szCs w:val="18"/>
              </w:rPr>
            </w:pPr>
            <w:r w:rsidRPr="0039268C">
              <w:rPr>
                <w:rFonts w:ascii="Arial" w:hAnsi="Arial" w:cs="Arial"/>
                <w:b/>
                <w:bCs/>
                <w:i/>
                <w:iCs/>
                <w:sz w:val="18"/>
                <w:szCs w:val="18"/>
              </w:rPr>
              <w:t>412 810,02</w:t>
            </w:r>
          </w:p>
        </w:tc>
        <w:tc>
          <w:tcPr>
            <w:tcW w:w="2835" w:type="dxa"/>
            <w:shd w:val="clear" w:color="auto" w:fill="auto"/>
            <w:vAlign w:val="center"/>
          </w:tcPr>
          <w:p w:rsidR="00BE4E4B" w:rsidRPr="0039268C" w:rsidRDefault="00BE4E4B" w:rsidP="008216A0">
            <w:pPr>
              <w:jc w:val="right"/>
              <w:rPr>
                <w:rFonts w:ascii="Arial" w:hAnsi="Arial" w:cs="Arial"/>
                <w:b/>
                <w:bCs/>
                <w:i/>
                <w:iCs/>
                <w:sz w:val="18"/>
                <w:szCs w:val="18"/>
              </w:rPr>
            </w:pPr>
            <w:r w:rsidRPr="0039268C">
              <w:rPr>
                <w:rFonts w:ascii="Arial" w:hAnsi="Arial" w:cs="Arial"/>
                <w:b/>
                <w:bCs/>
                <w:i/>
                <w:iCs/>
                <w:sz w:val="18"/>
                <w:szCs w:val="18"/>
              </w:rPr>
              <w:t>57 689,80</w:t>
            </w:r>
          </w:p>
        </w:tc>
      </w:tr>
      <w:tr w:rsidR="00BE4E4B" w:rsidRPr="00BE4E4B" w:rsidTr="00D62AE1">
        <w:trPr>
          <w:trHeight w:val="255"/>
        </w:trPr>
        <w:tc>
          <w:tcPr>
            <w:tcW w:w="3740" w:type="dxa"/>
            <w:shd w:val="clear" w:color="auto" w:fill="auto"/>
            <w:vAlign w:val="center"/>
            <w:hideMark/>
          </w:tcPr>
          <w:p w:rsidR="00BE4E4B" w:rsidRPr="0039268C" w:rsidRDefault="00BE4E4B" w:rsidP="008216A0">
            <w:pPr>
              <w:rPr>
                <w:rFonts w:ascii="Arial" w:hAnsi="Arial" w:cs="Arial"/>
                <w:sz w:val="18"/>
                <w:szCs w:val="18"/>
              </w:rPr>
            </w:pPr>
            <w:r w:rsidRPr="0039268C">
              <w:rPr>
                <w:rFonts w:ascii="Arial" w:hAnsi="Arial" w:cs="Arial"/>
                <w:sz w:val="18"/>
                <w:szCs w:val="18"/>
              </w:rPr>
              <w:t>711003  Nákup softvéru</w:t>
            </w:r>
          </w:p>
        </w:tc>
        <w:tc>
          <w:tcPr>
            <w:tcW w:w="3079" w:type="dxa"/>
            <w:shd w:val="clear" w:color="auto" w:fill="auto"/>
            <w:noWrap/>
            <w:vAlign w:val="bottom"/>
          </w:tcPr>
          <w:p w:rsidR="00BE4E4B" w:rsidRPr="0039268C" w:rsidRDefault="00BE4E4B" w:rsidP="008216A0">
            <w:pPr>
              <w:jc w:val="right"/>
              <w:rPr>
                <w:rFonts w:ascii="Arial" w:hAnsi="Arial" w:cs="Arial"/>
                <w:sz w:val="18"/>
                <w:szCs w:val="18"/>
              </w:rPr>
            </w:pPr>
            <w:r w:rsidRPr="0039268C">
              <w:rPr>
                <w:rFonts w:ascii="Arial" w:hAnsi="Arial" w:cs="Arial"/>
                <w:sz w:val="18"/>
                <w:szCs w:val="18"/>
              </w:rPr>
              <w:t>4541222,99</w:t>
            </w:r>
          </w:p>
        </w:tc>
        <w:tc>
          <w:tcPr>
            <w:tcW w:w="2835" w:type="dxa"/>
            <w:shd w:val="clear" w:color="auto" w:fill="auto"/>
            <w:noWrap/>
            <w:vAlign w:val="bottom"/>
          </w:tcPr>
          <w:p w:rsidR="00BE4E4B" w:rsidRPr="0039268C" w:rsidRDefault="00BE4E4B" w:rsidP="008216A0">
            <w:pPr>
              <w:jc w:val="right"/>
              <w:rPr>
                <w:rFonts w:ascii="Arial" w:hAnsi="Arial" w:cs="Arial"/>
                <w:sz w:val="18"/>
                <w:szCs w:val="18"/>
              </w:rPr>
            </w:pPr>
            <w:r w:rsidRPr="0039268C">
              <w:rPr>
                <w:rFonts w:ascii="Arial" w:hAnsi="Arial" w:cs="Arial"/>
                <w:sz w:val="18"/>
                <w:szCs w:val="18"/>
              </w:rPr>
              <w:t>3022051,55</w:t>
            </w:r>
          </w:p>
        </w:tc>
      </w:tr>
      <w:tr w:rsidR="00BE4E4B" w:rsidRPr="00BE4E4B" w:rsidTr="00D62AE1">
        <w:trPr>
          <w:trHeight w:val="255"/>
        </w:trPr>
        <w:tc>
          <w:tcPr>
            <w:tcW w:w="3740" w:type="dxa"/>
            <w:shd w:val="clear" w:color="auto" w:fill="auto"/>
            <w:vAlign w:val="center"/>
            <w:hideMark/>
          </w:tcPr>
          <w:p w:rsidR="00BE4E4B" w:rsidRPr="0039268C" w:rsidRDefault="00BE4E4B" w:rsidP="008216A0">
            <w:pPr>
              <w:jc w:val="right"/>
              <w:rPr>
                <w:rFonts w:ascii="Arial" w:hAnsi="Arial" w:cs="Arial"/>
                <w:i/>
                <w:iCs/>
                <w:sz w:val="18"/>
                <w:szCs w:val="18"/>
              </w:rPr>
            </w:pPr>
            <w:r w:rsidRPr="0039268C">
              <w:rPr>
                <w:rFonts w:ascii="Arial" w:hAnsi="Arial" w:cs="Arial"/>
                <w:i/>
                <w:iCs/>
                <w:sz w:val="18"/>
                <w:szCs w:val="18"/>
              </w:rPr>
              <w:t>711</w:t>
            </w:r>
          </w:p>
        </w:tc>
        <w:tc>
          <w:tcPr>
            <w:tcW w:w="3079" w:type="dxa"/>
            <w:shd w:val="clear" w:color="auto" w:fill="auto"/>
            <w:vAlign w:val="center"/>
          </w:tcPr>
          <w:p w:rsidR="00BE4E4B" w:rsidRPr="0039268C" w:rsidRDefault="00BE4E4B" w:rsidP="008216A0">
            <w:pPr>
              <w:jc w:val="right"/>
              <w:rPr>
                <w:rFonts w:ascii="Arial" w:hAnsi="Arial" w:cs="Arial"/>
                <w:b/>
                <w:bCs/>
                <w:i/>
                <w:iCs/>
                <w:sz w:val="18"/>
                <w:szCs w:val="18"/>
              </w:rPr>
            </w:pPr>
            <w:r w:rsidRPr="0039268C">
              <w:rPr>
                <w:rFonts w:ascii="Arial" w:hAnsi="Arial" w:cs="Arial"/>
                <w:b/>
                <w:bCs/>
                <w:i/>
                <w:iCs/>
                <w:sz w:val="18"/>
                <w:szCs w:val="18"/>
              </w:rPr>
              <w:t>4 541 222,99</w:t>
            </w:r>
          </w:p>
        </w:tc>
        <w:tc>
          <w:tcPr>
            <w:tcW w:w="2835" w:type="dxa"/>
            <w:shd w:val="clear" w:color="auto" w:fill="auto"/>
            <w:vAlign w:val="center"/>
          </w:tcPr>
          <w:p w:rsidR="00BE4E4B" w:rsidRPr="0039268C" w:rsidRDefault="00BE4E4B" w:rsidP="008216A0">
            <w:pPr>
              <w:jc w:val="right"/>
              <w:rPr>
                <w:rFonts w:ascii="Arial" w:hAnsi="Arial" w:cs="Arial"/>
                <w:b/>
                <w:bCs/>
                <w:i/>
                <w:iCs/>
                <w:sz w:val="18"/>
                <w:szCs w:val="18"/>
              </w:rPr>
            </w:pPr>
            <w:r w:rsidRPr="0039268C">
              <w:rPr>
                <w:rFonts w:ascii="Arial" w:hAnsi="Arial" w:cs="Arial"/>
                <w:b/>
                <w:bCs/>
                <w:i/>
                <w:iCs/>
                <w:sz w:val="18"/>
                <w:szCs w:val="18"/>
              </w:rPr>
              <w:t>3 022 051,55</w:t>
            </w:r>
          </w:p>
        </w:tc>
      </w:tr>
      <w:tr w:rsidR="00BE4E4B" w:rsidRPr="00BE4E4B" w:rsidTr="00D62AE1">
        <w:trPr>
          <w:trHeight w:val="255"/>
        </w:trPr>
        <w:tc>
          <w:tcPr>
            <w:tcW w:w="3740" w:type="dxa"/>
            <w:shd w:val="clear" w:color="auto" w:fill="auto"/>
            <w:vAlign w:val="center"/>
            <w:hideMark/>
          </w:tcPr>
          <w:p w:rsidR="00BE4E4B" w:rsidRPr="0039268C" w:rsidRDefault="00BE4E4B" w:rsidP="008216A0">
            <w:pPr>
              <w:rPr>
                <w:rFonts w:ascii="Arial" w:hAnsi="Arial" w:cs="Arial"/>
                <w:sz w:val="18"/>
                <w:szCs w:val="18"/>
              </w:rPr>
            </w:pPr>
            <w:r w:rsidRPr="0039268C">
              <w:rPr>
                <w:rFonts w:ascii="Arial" w:hAnsi="Arial" w:cs="Arial"/>
                <w:sz w:val="18"/>
                <w:szCs w:val="18"/>
              </w:rPr>
              <w:t>713002  Nákup výpočtovej techniky</w:t>
            </w:r>
          </w:p>
        </w:tc>
        <w:tc>
          <w:tcPr>
            <w:tcW w:w="3079" w:type="dxa"/>
            <w:shd w:val="clear" w:color="auto" w:fill="auto"/>
            <w:vAlign w:val="bottom"/>
          </w:tcPr>
          <w:p w:rsidR="00BE4E4B" w:rsidRPr="0039268C" w:rsidRDefault="00BE4E4B" w:rsidP="008216A0">
            <w:pPr>
              <w:jc w:val="right"/>
              <w:rPr>
                <w:rFonts w:ascii="Arial" w:hAnsi="Arial" w:cs="Arial"/>
                <w:sz w:val="18"/>
                <w:szCs w:val="18"/>
              </w:rPr>
            </w:pPr>
            <w:r w:rsidRPr="0039268C">
              <w:rPr>
                <w:rFonts w:ascii="Arial" w:hAnsi="Arial" w:cs="Arial"/>
                <w:sz w:val="18"/>
                <w:szCs w:val="18"/>
              </w:rPr>
              <w:t>2716967,7</w:t>
            </w:r>
          </w:p>
        </w:tc>
        <w:tc>
          <w:tcPr>
            <w:tcW w:w="2835" w:type="dxa"/>
            <w:shd w:val="clear" w:color="auto" w:fill="auto"/>
            <w:vAlign w:val="bottom"/>
          </w:tcPr>
          <w:p w:rsidR="00BE4E4B" w:rsidRPr="0039268C" w:rsidRDefault="00BE4E4B" w:rsidP="008216A0">
            <w:pPr>
              <w:jc w:val="right"/>
              <w:rPr>
                <w:rFonts w:ascii="Arial" w:hAnsi="Arial" w:cs="Arial"/>
                <w:sz w:val="18"/>
                <w:szCs w:val="18"/>
              </w:rPr>
            </w:pPr>
            <w:r w:rsidRPr="0039268C">
              <w:rPr>
                <w:rFonts w:ascii="Arial" w:hAnsi="Arial" w:cs="Arial"/>
                <w:sz w:val="18"/>
                <w:szCs w:val="18"/>
              </w:rPr>
              <w:t>1550304,16</w:t>
            </w:r>
          </w:p>
        </w:tc>
      </w:tr>
      <w:tr w:rsidR="00BE4E4B" w:rsidRPr="00BE4E4B" w:rsidTr="00D62AE1">
        <w:trPr>
          <w:trHeight w:val="255"/>
        </w:trPr>
        <w:tc>
          <w:tcPr>
            <w:tcW w:w="3740" w:type="dxa"/>
            <w:shd w:val="clear" w:color="auto" w:fill="auto"/>
            <w:vAlign w:val="center"/>
            <w:hideMark/>
          </w:tcPr>
          <w:p w:rsidR="00BE4E4B" w:rsidRPr="0039268C" w:rsidRDefault="00BE4E4B" w:rsidP="008216A0">
            <w:pPr>
              <w:rPr>
                <w:rFonts w:ascii="Arial" w:hAnsi="Arial" w:cs="Arial"/>
                <w:sz w:val="18"/>
                <w:szCs w:val="18"/>
              </w:rPr>
            </w:pPr>
            <w:r w:rsidRPr="0039268C">
              <w:rPr>
                <w:rFonts w:ascii="Arial" w:hAnsi="Arial" w:cs="Arial"/>
                <w:sz w:val="18"/>
                <w:szCs w:val="18"/>
              </w:rPr>
              <w:t>713003  Nákup telekomunikačnej techniky</w:t>
            </w:r>
          </w:p>
        </w:tc>
        <w:tc>
          <w:tcPr>
            <w:tcW w:w="3079" w:type="dxa"/>
            <w:shd w:val="clear" w:color="auto" w:fill="auto"/>
            <w:vAlign w:val="bottom"/>
          </w:tcPr>
          <w:p w:rsidR="00BE4E4B" w:rsidRPr="0039268C" w:rsidRDefault="00BE4E4B" w:rsidP="008216A0">
            <w:pPr>
              <w:jc w:val="right"/>
              <w:rPr>
                <w:rFonts w:ascii="Arial" w:hAnsi="Arial" w:cs="Arial"/>
                <w:sz w:val="18"/>
                <w:szCs w:val="18"/>
              </w:rPr>
            </w:pPr>
            <w:r w:rsidRPr="0039268C">
              <w:rPr>
                <w:rFonts w:ascii="Arial" w:hAnsi="Arial" w:cs="Arial"/>
                <w:sz w:val="18"/>
                <w:szCs w:val="18"/>
              </w:rPr>
              <w:t>26358,19</w:t>
            </w:r>
          </w:p>
        </w:tc>
        <w:tc>
          <w:tcPr>
            <w:tcW w:w="2835" w:type="dxa"/>
            <w:shd w:val="clear" w:color="auto" w:fill="auto"/>
            <w:vAlign w:val="bottom"/>
          </w:tcPr>
          <w:p w:rsidR="00BE4E4B" w:rsidRPr="0039268C" w:rsidRDefault="00BE4E4B" w:rsidP="008216A0">
            <w:pPr>
              <w:jc w:val="right"/>
              <w:rPr>
                <w:rFonts w:ascii="Arial" w:hAnsi="Arial" w:cs="Arial"/>
                <w:sz w:val="18"/>
                <w:szCs w:val="18"/>
              </w:rPr>
            </w:pPr>
            <w:r w:rsidRPr="0039268C">
              <w:rPr>
                <w:rFonts w:ascii="Arial" w:hAnsi="Arial" w:cs="Arial"/>
                <w:sz w:val="18"/>
                <w:szCs w:val="18"/>
              </w:rPr>
              <w:t>3530,73</w:t>
            </w:r>
          </w:p>
        </w:tc>
      </w:tr>
      <w:tr w:rsidR="00BE4E4B" w:rsidRPr="00BE4E4B" w:rsidTr="00D62AE1">
        <w:trPr>
          <w:trHeight w:val="255"/>
        </w:trPr>
        <w:tc>
          <w:tcPr>
            <w:tcW w:w="3740" w:type="dxa"/>
            <w:shd w:val="clear" w:color="auto" w:fill="auto"/>
            <w:noWrap/>
            <w:vAlign w:val="bottom"/>
            <w:hideMark/>
          </w:tcPr>
          <w:p w:rsidR="00BE4E4B" w:rsidRPr="0039268C" w:rsidRDefault="00BE4E4B" w:rsidP="008216A0">
            <w:pPr>
              <w:rPr>
                <w:rFonts w:ascii="Arial" w:hAnsi="Arial" w:cs="Arial"/>
                <w:sz w:val="18"/>
                <w:szCs w:val="18"/>
              </w:rPr>
            </w:pPr>
            <w:r w:rsidRPr="0039268C">
              <w:rPr>
                <w:rFonts w:ascii="Arial" w:hAnsi="Arial" w:cs="Arial"/>
                <w:sz w:val="18"/>
                <w:szCs w:val="18"/>
              </w:rPr>
              <w:t xml:space="preserve">713006  Nákup komunikačnej infraštruktúry </w:t>
            </w:r>
          </w:p>
        </w:tc>
        <w:tc>
          <w:tcPr>
            <w:tcW w:w="3079" w:type="dxa"/>
            <w:shd w:val="clear" w:color="auto" w:fill="auto"/>
            <w:vAlign w:val="center"/>
          </w:tcPr>
          <w:p w:rsidR="00BE4E4B" w:rsidRPr="0039268C" w:rsidRDefault="00BE4E4B" w:rsidP="008216A0">
            <w:pPr>
              <w:jc w:val="right"/>
              <w:rPr>
                <w:rFonts w:ascii="Arial" w:hAnsi="Arial" w:cs="Arial"/>
                <w:sz w:val="18"/>
                <w:szCs w:val="18"/>
              </w:rPr>
            </w:pPr>
            <w:r w:rsidRPr="0039268C">
              <w:rPr>
                <w:rFonts w:ascii="Arial" w:hAnsi="Arial" w:cs="Arial"/>
                <w:sz w:val="18"/>
                <w:szCs w:val="18"/>
              </w:rPr>
              <w:t>0,00</w:t>
            </w:r>
          </w:p>
        </w:tc>
        <w:tc>
          <w:tcPr>
            <w:tcW w:w="2835" w:type="dxa"/>
            <w:shd w:val="clear" w:color="auto" w:fill="auto"/>
            <w:vAlign w:val="center"/>
          </w:tcPr>
          <w:p w:rsidR="00BE4E4B" w:rsidRPr="0039268C" w:rsidRDefault="00BE4E4B" w:rsidP="008216A0">
            <w:pPr>
              <w:jc w:val="right"/>
              <w:rPr>
                <w:rFonts w:ascii="Arial" w:hAnsi="Arial" w:cs="Arial"/>
                <w:sz w:val="18"/>
                <w:szCs w:val="18"/>
              </w:rPr>
            </w:pPr>
            <w:r w:rsidRPr="0039268C">
              <w:rPr>
                <w:rFonts w:ascii="Arial" w:hAnsi="Arial" w:cs="Arial"/>
                <w:sz w:val="18"/>
                <w:szCs w:val="18"/>
              </w:rPr>
              <w:t>0,00</w:t>
            </w:r>
          </w:p>
        </w:tc>
      </w:tr>
      <w:tr w:rsidR="00BE4E4B" w:rsidRPr="00BE4E4B" w:rsidTr="00D62AE1">
        <w:trPr>
          <w:trHeight w:val="255"/>
        </w:trPr>
        <w:tc>
          <w:tcPr>
            <w:tcW w:w="3740" w:type="dxa"/>
            <w:shd w:val="clear" w:color="auto" w:fill="auto"/>
            <w:vAlign w:val="center"/>
            <w:hideMark/>
          </w:tcPr>
          <w:p w:rsidR="00BE4E4B" w:rsidRPr="0039268C" w:rsidRDefault="00BE4E4B" w:rsidP="008216A0">
            <w:pPr>
              <w:jc w:val="right"/>
              <w:rPr>
                <w:rFonts w:ascii="Arial" w:hAnsi="Arial" w:cs="Arial"/>
                <w:i/>
                <w:iCs/>
                <w:sz w:val="18"/>
                <w:szCs w:val="18"/>
              </w:rPr>
            </w:pPr>
            <w:r w:rsidRPr="0039268C">
              <w:rPr>
                <w:rFonts w:ascii="Arial" w:hAnsi="Arial" w:cs="Arial"/>
                <w:i/>
                <w:iCs/>
                <w:sz w:val="18"/>
                <w:szCs w:val="18"/>
              </w:rPr>
              <w:t>713</w:t>
            </w:r>
          </w:p>
        </w:tc>
        <w:tc>
          <w:tcPr>
            <w:tcW w:w="3079" w:type="dxa"/>
            <w:shd w:val="clear" w:color="auto" w:fill="auto"/>
            <w:vAlign w:val="center"/>
          </w:tcPr>
          <w:p w:rsidR="00BE4E4B" w:rsidRPr="0039268C" w:rsidRDefault="00BE4E4B" w:rsidP="008216A0">
            <w:pPr>
              <w:jc w:val="right"/>
              <w:rPr>
                <w:rFonts w:ascii="Arial" w:hAnsi="Arial" w:cs="Arial"/>
                <w:b/>
                <w:bCs/>
                <w:i/>
                <w:iCs/>
                <w:sz w:val="18"/>
                <w:szCs w:val="18"/>
              </w:rPr>
            </w:pPr>
            <w:r w:rsidRPr="0039268C">
              <w:rPr>
                <w:rFonts w:ascii="Arial" w:hAnsi="Arial" w:cs="Arial"/>
                <w:b/>
                <w:bCs/>
                <w:i/>
                <w:iCs/>
                <w:sz w:val="18"/>
                <w:szCs w:val="18"/>
              </w:rPr>
              <w:t>2 743 325,89</w:t>
            </w:r>
          </w:p>
        </w:tc>
        <w:tc>
          <w:tcPr>
            <w:tcW w:w="2835" w:type="dxa"/>
            <w:shd w:val="clear" w:color="auto" w:fill="auto"/>
            <w:vAlign w:val="center"/>
          </w:tcPr>
          <w:p w:rsidR="00BE4E4B" w:rsidRPr="0039268C" w:rsidRDefault="00BE4E4B" w:rsidP="008216A0">
            <w:pPr>
              <w:jc w:val="right"/>
              <w:rPr>
                <w:rFonts w:ascii="Arial" w:hAnsi="Arial" w:cs="Arial"/>
                <w:b/>
                <w:bCs/>
                <w:i/>
                <w:iCs/>
                <w:sz w:val="18"/>
                <w:szCs w:val="18"/>
              </w:rPr>
            </w:pPr>
            <w:r w:rsidRPr="0039268C">
              <w:rPr>
                <w:rFonts w:ascii="Arial" w:hAnsi="Arial" w:cs="Arial"/>
                <w:b/>
                <w:bCs/>
                <w:i/>
                <w:iCs/>
                <w:sz w:val="18"/>
                <w:szCs w:val="18"/>
              </w:rPr>
              <w:t>1 553 834,89</w:t>
            </w:r>
          </w:p>
        </w:tc>
      </w:tr>
      <w:tr w:rsidR="00BE4E4B" w:rsidRPr="00BE4E4B" w:rsidTr="00D62AE1">
        <w:trPr>
          <w:trHeight w:val="255"/>
        </w:trPr>
        <w:tc>
          <w:tcPr>
            <w:tcW w:w="3740" w:type="dxa"/>
            <w:shd w:val="clear" w:color="000000" w:fill="CCFFFF"/>
            <w:vAlign w:val="center"/>
            <w:hideMark/>
          </w:tcPr>
          <w:p w:rsidR="00BE4E4B" w:rsidRPr="0039268C" w:rsidRDefault="00BE4E4B" w:rsidP="008216A0">
            <w:pPr>
              <w:rPr>
                <w:rFonts w:ascii="Arial" w:hAnsi="Arial" w:cs="Arial"/>
                <w:b/>
                <w:bCs/>
                <w:sz w:val="18"/>
                <w:szCs w:val="18"/>
              </w:rPr>
            </w:pPr>
            <w:r w:rsidRPr="0039268C">
              <w:rPr>
                <w:rFonts w:ascii="Arial" w:hAnsi="Arial" w:cs="Arial"/>
                <w:b/>
                <w:bCs/>
                <w:sz w:val="18"/>
                <w:szCs w:val="18"/>
              </w:rPr>
              <w:t>Celkom</w:t>
            </w:r>
          </w:p>
        </w:tc>
        <w:tc>
          <w:tcPr>
            <w:tcW w:w="3079" w:type="dxa"/>
            <w:shd w:val="clear" w:color="000000" w:fill="CCFFFF"/>
            <w:vAlign w:val="center"/>
          </w:tcPr>
          <w:p w:rsidR="00BE4E4B" w:rsidRPr="0039268C" w:rsidRDefault="00BE4E4B" w:rsidP="008216A0">
            <w:pPr>
              <w:jc w:val="right"/>
              <w:rPr>
                <w:rFonts w:ascii="Arial" w:hAnsi="Arial" w:cs="Arial"/>
                <w:b/>
                <w:bCs/>
                <w:sz w:val="18"/>
                <w:szCs w:val="18"/>
              </w:rPr>
            </w:pPr>
            <w:r w:rsidRPr="0039268C">
              <w:rPr>
                <w:rFonts w:ascii="Arial" w:hAnsi="Arial" w:cs="Arial"/>
                <w:b/>
                <w:bCs/>
                <w:sz w:val="18"/>
                <w:szCs w:val="18"/>
              </w:rPr>
              <w:t>7 697 358,90</w:t>
            </w:r>
          </w:p>
        </w:tc>
        <w:tc>
          <w:tcPr>
            <w:tcW w:w="2835" w:type="dxa"/>
            <w:shd w:val="clear" w:color="000000" w:fill="CCFFFF"/>
            <w:vAlign w:val="center"/>
          </w:tcPr>
          <w:p w:rsidR="00BE4E4B" w:rsidRPr="0039268C" w:rsidRDefault="00BE4E4B" w:rsidP="008216A0">
            <w:pPr>
              <w:jc w:val="right"/>
              <w:rPr>
                <w:rFonts w:ascii="Arial" w:hAnsi="Arial" w:cs="Arial"/>
                <w:b/>
                <w:bCs/>
                <w:sz w:val="18"/>
                <w:szCs w:val="18"/>
              </w:rPr>
            </w:pPr>
            <w:r w:rsidRPr="0039268C">
              <w:rPr>
                <w:rFonts w:ascii="Arial" w:hAnsi="Arial" w:cs="Arial"/>
                <w:b/>
                <w:bCs/>
                <w:sz w:val="18"/>
                <w:szCs w:val="18"/>
              </w:rPr>
              <w:t>4 633 576,24</w:t>
            </w:r>
          </w:p>
        </w:tc>
      </w:tr>
    </w:tbl>
    <w:p w:rsidR="000D360F" w:rsidRPr="00992100" w:rsidRDefault="000D360F" w:rsidP="000D360F">
      <w:pPr>
        <w:pStyle w:val="MP2"/>
        <w:spacing w:after="200"/>
        <w:rPr>
          <w:b w:val="0"/>
          <w:sz w:val="18"/>
          <w:szCs w:val="18"/>
        </w:rPr>
      </w:pPr>
      <w:r w:rsidRPr="00992100">
        <w:rPr>
          <w:b w:val="0"/>
          <w:sz w:val="18"/>
          <w:szCs w:val="18"/>
        </w:rPr>
        <w:t>Zdroj koordinátor HP IS, 2012</w:t>
      </w:r>
    </w:p>
    <w:p w:rsidR="00BE4E4B" w:rsidRDefault="00BE4E4B" w:rsidP="008216A0">
      <w:pPr>
        <w:pStyle w:val="MP2"/>
        <w:rPr>
          <w:sz w:val="22"/>
          <w:szCs w:val="22"/>
        </w:rPr>
      </w:pPr>
    </w:p>
    <w:p w:rsidR="002416B1" w:rsidRPr="00D80296" w:rsidRDefault="002416B1" w:rsidP="00507035">
      <w:pPr>
        <w:spacing w:before="120" w:after="120"/>
        <w:jc w:val="both"/>
        <w:rPr>
          <w:rFonts w:ascii="Arial" w:hAnsi="Arial" w:cs="Arial"/>
          <w:sz w:val="20"/>
          <w:szCs w:val="20"/>
        </w:rPr>
      </w:pPr>
      <w:r w:rsidRPr="00D80296">
        <w:rPr>
          <w:rFonts w:ascii="Arial" w:hAnsi="Arial" w:cs="Arial"/>
          <w:sz w:val="20"/>
          <w:szCs w:val="20"/>
        </w:rPr>
        <w:t xml:space="preserve">Tab. č. </w:t>
      </w:r>
      <w:r w:rsidR="00254D6C">
        <w:rPr>
          <w:rFonts w:ascii="Arial" w:hAnsi="Arial" w:cs="Arial"/>
          <w:sz w:val="20"/>
          <w:szCs w:val="20"/>
        </w:rPr>
        <w:t>67</w:t>
      </w:r>
      <w:r w:rsidRPr="00D80296">
        <w:rPr>
          <w:rFonts w:ascii="Arial" w:hAnsi="Arial" w:cs="Arial"/>
          <w:sz w:val="20"/>
          <w:szCs w:val="20"/>
        </w:rPr>
        <w:t>: Stav zazmluvnenia HP IS podľa NUTS III k 31.12.201</w:t>
      </w:r>
      <w:r w:rsidR="00D80296">
        <w:rPr>
          <w:rFonts w:ascii="Arial" w:hAnsi="Arial" w:cs="Arial"/>
          <w:sz w:val="20"/>
          <w:szCs w:val="20"/>
        </w:rPr>
        <w:t>2</w:t>
      </w:r>
    </w:p>
    <w:tbl>
      <w:tblPr>
        <w:tblW w:w="0" w:type="auto"/>
        <w:tblInd w:w="55" w:type="dxa"/>
        <w:tblCellMar>
          <w:left w:w="70" w:type="dxa"/>
          <w:right w:w="70" w:type="dxa"/>
        </w:tblCellMar>
        <w:tblLook w:val="04A0" w:firstRow="1" w:lastRow="0" w:firstColumn="1" w:lastColumn="0" w:noHBand="0" w:noVBand="1"/>
      </w:tblPr>
      <w:tblGrid>
        <w:gridCol w:w="1522"/>
        <w:gridCol w:w="1438"/>
        <w:gridCol w:w="1526"/>
        <w:gridCol w:w="1493"/>
        <w:gridCol w:w="1581"/>
        <w:gridCol w:w="1595"/>
      </w:tblGrid>
      <w:tr w:rsidR="002416B1" w:rsidRPr="00D80296" w:rsidTr="000D360F">
        <w:trPr>
          <w:trHeight w:val="20"/>
        </w:trPr>
        <w:tc>
          <w:tcPr>
            <w:tcW w:w="0" w:type="auto"/>
            <w:tcBorders>
              <w:top w:val="single" w:sz="4" w:space="0" w:color="auto"/>
              <w:left w:val="single" w:sz="4" w:space="0" w:color="auto"/>
              <w:bottom w:val="single" w:sz="4" w:space="0" w:color="auto"/>
              <w:right w:val="single" w:sz="4" w:space="0" w:color="auto"/>
            </w:tcBorders>
            <w:shd w:val="clear" w:color="auto" w:fill="B6DDE8" w:themeFill="accent5" w:themeFillTint="66"/>
            <w:vAlign w:val="center"/>
          </w:tcPr>
          <w:p w:rsidR="002416B1" w:rsidRPr="00D80296" w:rsidRDefault="002416B1" w:rsidP="00507035">
            <w:pPr>
              <w:spacing w:before="120" w:after="120"/>
              <w:jc w:val="center"/>
              <w:rPr>
                <w:rFonts w:ascii="Arial" w:hAnsi="Arial" w:cs="Arial"/>
                <w:b/>
                <w:bCs/>
                <w:sz w:val="16"/>
                <w:szCs w:val="16"/>
              </w:rPr>
            </w:pPr>
            <w:r w:rsidRPr="00D80296">
              <w:rPr>
                <w:rFonts w:ascii="Arial" w:hAnsi="Arial" w:cs="Arial"/>
                <w:b/>
                <w:bCs/>
                <w:sz w:val="16"/>
                <w:szCs w:val="16"/>
              </w:rPr>
              <w:t>Územie NUTS III</w:t>
            </w:r>
          </w:p>
        </w:tc>
        <w:tc>
          <w:tcPr>
            <w:tcW w:w="0" w:type="auto"/>
            <w:tcBorders>
              <w:top w:val="single" w:sz="4" w:space="0" w:color="auto"/>
              <w:left w:val="nil"/>
              <w:bottom w:val="single" w:sz="4" w:space="0" w:color="auto"/>
              <w:right w:val="single" w:sz="4" w:space="0" w:color="auto"/>
            </w:tcBorders>
            <w:shd w:val="clear" w:color="auto" w:fill="B6DDE8" w:themeFill="accent5" w:themeFillTint="66"/>
            <w:vAlign w:val="center"/>
          </w:tcPr>
          <w:p w:rsidR="002416B1" w:rsidRPr="00D80296" w:rsidRDefault="002416B1" w:rsidP="00507035">
            <w:pPr>
              <w:spacing w:before="120" w:after="120"/>
              <w:jc w:val="center"/>
              <w:rPr>
                <w:rFonts w:ascii="Arial" w:hAnsi="Arial" w:cs="Arial"/>
                <w:b/>
                <w:bCs/>
                <w:sz w:val="16"/>
                <w:szCs w:val="16"/>
              </w:rPr>
            </w:pPr>
            <w:r w:rsidRPr="00D80296">
              <w:rPr>
                <w:rFonts w:ascii="Arial" w:hAnsi="Arial" w:cs="Arial"/>
                <w:b/>
                <w:bCs/>
                <w:sz w:val="16"/>
                <w:szCs w:val="16"/>
              </w:rPr>
              <w:t>Počet zazmluvnených projektov celkovo</w:t>
            </w:r>
          </w:p>
        </w:tc>
        <w:tc>
          <w:tcPr>
            <w:tcW w:w="0" w:type="auto"/>
            <w:tcBorders>
              <w:top w:val="single" w:sz="4" w:space="0" w:color="auto"/>
              <w:left w:val="nil"/>
              <w:bottom w:val="single" w:sz="4" w:space="0" w:color="auto"/>
              <w:right w:val="single" w:sz="4" w:space="0" w:color="auto"/>
            </w:tcBorders>
            <w:shd w:val="clear" w:color="auto" w:fill="B6DDE8" w:themeFill="accent5" w:themeFillTint="66"/>
            <w:vAlign w:val="center"/>
          </w:tcPr>
          <w:p w:rsidR="002416B1" w:rsidRPr="00D80296" w:rsidRDefault="002416B1" w:rsidP="00507035">
            <w:pPr>
              <w:spacing w:before="120" w:after="120"/>
              <w:jc w:val="center"/>
              <w:rPr>
                <w:rFonts w:ascii="Arial" w:hAnsi="Arial" w:cs="Arial"/>
                <w:b/>
                <w:bCs/>
                <w:sz w:val="16"/>
                <w:szCs w:val="16"/>
              </w:rPr>
            </w:pPr>
            <w:r w:rsidRPr="00D80296">
              <w:rPr>
                <w:rFonts w:ascii="Arial" w:hAnsi="Arial" w:cs="Arial"/>
                <w:b/>
                <w:bCs/>
                <w:sz w:val="16"/>
                <w:szCs w:val="16"/>
              </w:rPr>
              <w:t>Celková výška zazmluvnených prostriedkov v € (EU zdroje)</w:t>
            </w:r>
          </w:p>
        </w:tc>
        <w:tc>
          <w:tcPr>
            <w:tcW w:w="0" w:type="auto"/>
            <w:tcBorders>
              <w:top w:val="single" w:sz="4" w:space="0" w:color="auto"/>
              <w:left w:val="nil"/>
              <w:bottom w:val="single" w:sz="4" w:space="0" w:color="auto"/>
              <w:right w:val="single" w:sz="4" w:space="0" w:color="auto"/>
            </w:tcBorders>
            <w:shd w:val="clear" w:color="auto" w:fill="B6DDE8" w:themeFill="accent5" w:themeFillTint="66"/>
            <w:vAlign w:val="center"/>
          </w:tcPr>
          <w:p w:rsidR="002416B1" w:rsidRPr="00D80296" w:rsidRDefault="002416B1" w:rsidP="00507035">
            <w:pPr>
              <w:spacing w:before="120" w:after="120"/>
              <w:jc w:val="center"/>
              <w:rPr>
                <w:rFonts w:ascii="Arial" w:hAnsi="Arial" w:cs="Arial"/>
                <w:b/>
                <w:bCs/>
                <w:sz w:val="16"/>
                <w:szCs w:val="16"/>
              </w:rPr>
            </w:pPr>
            <w:r w:rsidRPr="00D80296">
              <w:rPr>
                <w:rFonts w:ascii="Arial" w:hAnsi="Arial" w:cs="Arial"/>
                <w:b/>
                <w:bCs/>
                <w:sz w:val="16"/>
                <w:szCs w:val="16"/>
              </w:rPr>
              <w:t>Počet zazmluvnených projektov s príspevkom HP IS</w:t>
            </w:r>
          </w:p>
        </w:tc>
        <w:tc>
          <w:tcPr>
            <w:tcW w:w="0" w:type="auto"/>
            <w:tcBorders>
              <w:top w:val="single" w:sz="4" w:space="0" w:color="auto"/>
              <w:left w:val="nil"/>
              <w:bottom w:val="single" w:sz="4" w:space="0" w:color="auto"/>
              <w:right w:val="single" w:sz="4" w:space="0" w:color="auto"/>
            </w:tcBorders>
            <w:shd w:val="clear" w:color="auto" w:fill="B6DDE8" w:themeFill="accent5" w:themeFillTint="66"/>
            <w:vAlign w:val="center"/>
          </w:tcPr>
          <w:p w:rsidR="002416B1" w:rsidRPr="00D80296" w:rsidRDefault="002416B1" w:rsidP="00507035">
            <w:pPr>
              <w:spacing w:before="120" w:after="120"/>
              <w:jc w:val="center"/>
              <w:rPr>
                <w:rFonts w:ascii="Arial" w:hAnsi="Arial" w:cs="Arial"/>
                <w:b/>
                <w:bCs/>
                <w:sz w:val="16"/>
                <w:szCs w:val="16"/>
              </w:rPr>
            </w:pPr>
            <w:r w:rsidRPr="00D80296">
              <w:rPr>
                <w:rFonts w:ascii="Arial" w:hAnsi="Arial" w:cs="Arial"/>
                <w:b/>
                <w:bCs/>
                <w:sz w:val="16"/>
                <w:szCs w:val="16"/>
              </w:rPr>
              <w:t>Výška zazmluvnených prostriedkov v € s príspevkom HP IS (EU zdroje)</w:t>
            </w:r>
          </w:p>
        </w:tc>
        <w:tc>
          <w:tcPr>
            <w:tcW w:w="0" w:type="auto"/>
            <w:tcBorders>
              <w:top w:val="single" w:sz="4" w:space="0" w:color="auto"/>
              <w:left w:val="nil"/>
              <w:bottom w:val="single" w:sz="4" w:space="0" w:color="auto"/>
              <w:right w:val="single" w:sz="4" w:space="0" w:color="auto"/>
            </w:tcBorders>
            <w:shd w:val="clear" w:color="auto" w:fill="B6DDE8" w:themeFill="accent5" w:themeFillTint="66"/>
            <w:vAlign w:val="center"/>
          </w:tcPr>
          <w:p w:rsidR="002416B1" w:rsidRPr="00D80296" w:rsidRDefault="002416B1" w:rsidP="00507035">
            <w:pPr>
              <w:spacing w:before="120" w:after="120"/>
              <w:jc w:val="center"/>
              <w:rPr>
                <w:rFonts w:ascii="Arial" w:hAnsi="Arial" w:cs="Arial"/>
                <w:b/>
                <w:bCs/>
                <w:sz w:val="16"/>
                <w:szCs w:val="16"/>
              </w:rPr>
            </w:pPr>
            <w:r w:rsidRPr="00D80296">
              <w:rPr>
                <w:rFonts w:ascii="Arial" w:hAnsi="Arial" w:cs="Arial"/>
                <w:b/>
                <w:bCs/>
                <w:sz w:val="16"/>
                <w:szCs w:val="16"/>
              </w:rPr>
              <w:t>% zazmluvnenia k HP IS z celkového objemu zazmluvnených prostriedkov</w:t>
            </w:r>
          </w:p>
        </w:tc>
      </w:tr>
      <w:tr w:rsidR="002416B1" w:rsidRPr="00D80296" w:rsidTr="006A2BF3">
        <w:trPr>
          <w:trHeight w:val="20"/>
        </w:trPr>
        <w:tc>
          <w:tcPr>
            <w:tcW w:w="0" w:type="auto"/>
            <w:tcBorders>
              <w:top w:val="single" w:sz="4" w:space="0" w:color="auto"/>
              <w:left w:val="single" w:sz="4" w:space="0" w:color="auto"/>
              <w:bottom w:val="single" w:sz="4" w:space="0" w:color="auto"/>
              <w:right w:val="single" w:sz="4" w:space="0" w:color="auto"/>
            </w:tcBorders>
            <w:shd w:val="clear" w:color="000000" w:fill="EAF1DD"/>
            <w:vAlign w:val="center"/>
          </w:tcPr>
          <w:p w:rsidR="002416B1" w:rsidRPr="00D80296" w:rsidRDefault="002416B1" w:rsidP="00507035">
            <w:pPr>
              <w:spacing w:before="120" w:after="120"/>
              <w:jc w:val="center"/>
              <w:rPr>
                <w:rFonts w:ascii="Arial" w:hAnsi="Arial" w:cs="Arial"/>
                <w:sz w:val="18"/>
                <w:szCs w:val="18"/>
              </w:rPr>
            </w:pPr>
            <w:r w:rsidRPr="00D80296">
              <w:rPr>
                <w:rFonts w:ascii="Arial" w:hAnsi="Arial" w:cs="Arial"/>
                <w:sz w:val="18"/>
                <w:szCs w:val="18"/>
              </w:rPr>
              <w:t>A</w:t>
            </w:r>
          </w:p>
        </w:tc>
        <w:tc>
          <w:tcPr>
            <w:tcW w:w="0" w:type="auto"/>
            <w:tcBorders>
              <w:top w:val="single" w:sz="4" w:space="0" w:color="auto"/>
              <w:left w:val="nil"/>
              <w:bottom w:val="single" w:sz="4" w:space="0" w:color="auto"/>
              <w:right w:val="single" w:sz="4" w:space="0" w:color="auto"/>
            </w:tcBorders>
            <w:shd w:val="clear" w:color="000000" w:fill="EAF1DD"/>
            <w:vAlign w:val="center"/>
          </w:tcPr>
          <w:p w:rsidR="002416B1" w:rsidRPr="00D80296" w:rsidRDefault="002416B1" w:rsidP="00507035">
            <w:pPr>
              <w:spacing w:before="120" w:after="120"/>
              <w:jc w:val="center"/>
              <w:rPr>
                <w:rFonts w:ascii="Arial" w:hAnsi="Arial" w:cs="Arial"/>
                <w:sz w:val="18"/>
                <w:szCs w:val="18"/>
              </w:rPr>
            </w:pPr>
            <w:r w:rsidRPr="00D80296">
              <w:rPr>
                <w:rFonts w:ascii="Arial" w:hAnsi="Arial" w:cs="Arial"/>
                <w:sz w:val="18"/>
                <w:szCs w:val="18"/>
              </w:rPr>
              <w:t>B</w:t>
            </w:r>
          </w:p>
        </w:tc>
        <w:tc>
          <w:tcPr>
            <w:tcW w:w="0" w:type="auto"/>
            <w:tcBorders>
              <w:top w:val="single" w:sz="4" w:space="0" w:color="auto"/>
              <w:left w:val="nil"/>
              <w:bottom w:val="single" w:sz="4" w:space="0" w:color="auto"/>
              <w:right w:val="single" w:sz="4" w:space="0" w:color="auto"/>
            </w:tcBorders>
            <w:shd w:val="clear" w:color="000000" w:fill="EAF1DD"/>
            <w:vAlign w:val="center"/>
          </w:tcPr>
          <w:p w:rsidR="002416B1" w:rsidRPr="00D80296" w:rsidRDefault="002416B1" w:rsidP="00507035">
            <w:pPr>
              <w:spacing w:before="120" w:after="120"/>
              <w:jc w:val="center"/>
              <w:rPr>
                <w:rFonts w:ascii="Arial" w:hAnsi="Arial" w:cs="Arial"/>
                <w:sz w:val="18"/>
                <w:szCs w:val="18"/>
              </w:rPr>
            </w:pPr>
            <w:r w:rsidRPr="00D80296">
              <w:rPr>
                <w:rFonts w:ascii="Arial" w:hAnsi="Arial" w:cs="Arial"/>
                <w:sz w:val="18"/>
                <w:szCs w:val="18"/>
              </w:rPr>
              <w:t>C</w:t>
            </w:r>
          </w:p>
        </w:tc>
        <w:tc>
          <w:tcPr>
            <w:tcW w:w="0" w:type="auto"/>
            <w:tcBorders>
              <w:top w:val="single" w:sz="4" w:space="0" w:color="auto"/>
              <w:left w:val="nil"/>
              <w:bottom w:val="single" w:sz="4" w:space="0" w:color="auto"/>
              <w:right w:val="single" w:sz="4" w:space="0" w:color="auto"/>
            </w:tcBorders>
            <w:shd w:val="clear" w:color="000000" w:fill="EAF1DD"/>
            <w:vAlign w:val="center"/>
          </w:tcPr>
          <w:p w:rsidR="002416B1" w:rsidRPr="00D80296" w:rsidRDefault="002416B1" w:rsidP="00507035">
            <w:pPr>
              <w:spacing w:before="120" w:after="120"/>
              <w:jc w:val="center"/>
              <w:rPr>
                <w:rFonts w:ascii="Arial" w:hAnsi="Arial" w:cs="Arial"/>
                <w:sz w:val="18"/>
                <w:szCs w:val="18"/>
              </w:rPr>
            </w:pPr>
            <w:r w:rsidRPr="00D80296">
              <w:rPr>
                <w:rFonts w:ascii="Arial" w:hAnsi="Arial" w:cs="Arial"/>
                <w:sz w:val="18"/>
                <w:szCs w:val="18"/>
              </w:rPr>
              <w:t>D</w:t>
            </w:r>
          </w:p>
        </w:tc>
        <w:tc>
          <w:tcPr>
            <w:tcW w:w="0" w:type="auto"/>
            <w:tcBorders>
              <w:top w:val="single" w:sz="4" w:space="0" w:color="auto"/>
              <w:left w:val="nil"/>
              <w:bottom w:val="single" w:sz="4" w:space="0" w:color="auto"/>
              <w:right w:val="single" w:sz="4" w:space="0" w:color="auto"/>
            </w:tcBorders>
            <w:shd w:val="clear" w:color="000000" w:fill="EAF1DD"/>
            <w:vAlign w:val="center"/>
          </w:tcPr>
          <w:p w:rsidR="002416B1" w:rsidRPr="00D80296" w:rsidRDefault="002416B1" w:rsidP="00507035">
            <w:pPr>
              <w:spacing w:before="120" w:after="120"/>
              <w:jc w:val="center"/>
              <w:rPr>
                <w:rFonts w:ascii="Arial" w:hAnsi="Arial" w:cs="Arial"/>
                <w:sz w:val="18"/>
                <w:szCs w:val="18"/>
              </w:rPr>
            </w:pPr>
            <w:r w:rsidRPr="00D80296">
              <w:rPr>
                <w:rFonts w:ascii="Arial" w:hAnsi="Arial" w:cs="Arial"/>
                <w:sz w:val="18"/>
                <w:szCs w:val="18"/>
              </w:rPr>
              <w:t>E</w:t>
            </w:r>
          </w:p>
        </w:tc>
        <w:tc>
          <w:tcPr>
            <w:tcW w:w="0" w:type="auto"/>
            <w:tcBorders>
              <w:top w:val="single" w:sz="4" w:space="0" w:color="auto"/>
              <w:left w:val="nil"/>
              <w:bottom w:val="single" w:sz="4" w:space="0" w:color="auto"/>
              <w:right w:val="single" w:sz="4" w:space="0" w:color="auto"/>
            </w:tcBorders>
            <w:shd w:val="clear" w:color="000000" w:fill="EAF1DD"/>
            <w:vAlign w:val="center"/>
          </w:tcPr>
          <w:p w:rsidR="002416B1" w:rsidRPr="00D80296" w:rsidRDefault="002416B1" w:rsidP="00507035">
            <w:pPr>
              <w:spacing w:before="120" w:after="120"/>
              <w:jc w:val="center"/>
              <w:rPr>
                <w:rFonts w:ascii="Arial" w:hAnsi="Arial" w:cs="Arial"/>
                <w:sz w:val="18"/>
                <w:szCs w:val="18"/>
              </w:rPr>
            </w:pPr>
            <w:r w:rsidRPr="00D80296">
              <w:rPr>
                <w:rFonts w:ascii="Arial" w:hAnsi="Arial" w:cs="Arial"/>
                <w:sz w:val="18"/>
                <w:szCs w:val="18"/>
              </w:rPr>
              <w:t>F=E/C</w:t>
            </w:r>
          </w:p>
        </w:tc>
      </w:tr>
      <w:tr w:rsidR="004646E3" w:rsidRPr="00D80296" w:rsidTr="006A2BF3">
        <w:trPr>
          <w:trHeight w:val="20"/>
        </w:trPr>
        <w:tc>
          <w:tcPr>
            <w:tcW w:w="0" w:type="auto"/>
            <w:tcBorders>
              <w:top w:val="nil"/>
              <w:left w:val="single" w:sz="4" w:space="0" w:color="auto"/>
              <w:bottom w:val="single" w:sz="4" w:space="0" w:color="auto"/>
              <w:right w:val="single" w:sz="4" w:space="0" w:color="auto"/>
            </w:tcBorders>
            <w:vAlign w:val="center"/>
          </w:tcPr>
          <w:p w:rsidR="004646E3" w:rsidRPr="00D80296" w:rsidRDefault="004646E3" w:rsidP="00507035">
            <w:pPr>
              <w:spacing w:before="120" w:after="120"/>
              <w:rPr>
                <w:rFonts w:ascii="Arial" w:hAnsi="Arial" w:cs="Arial"/>
                <w:sz w:val="18"/>
                <w:szCs w:val="18"/>
              </w:rPr>
            </w:pPr>
            <w:r w:rsidRPr="00D80296">
              <w:rPr>
                <w:rFonts w:ascii="Arial" w:hAnsi="Arial" w:cs="Arial"/>
                <w:sz w:val="18"/>
                <w:szCs w:val="18"/>
              </w:rPr>
              <w:t>Bratislavský</w:t>
            </w:r>
          </w:p>
        </w:tc>
        <w:tc>
          <w:tcPr>
            <w:tcW w:w="0" w:type="auto"/>
            <w:tcBorders>
              <w:top w:val="nil"/>
              <w:left w:val="nil"/>
              <w:bottom w:val="single" w:sz="4" w:space="0" w:color="auto"/>
              <w:right w:val="single" w:sz="4" w:space="0" w:color="auto"/>
            </w:tcBorders>
            <w:vAlign w:val="center"/>
          </w:tcPr>
          <w:p w:rsidR="004646E3" w:rsidRPr="00D80296" w:rsidRDefault="004646E3" w:rsidP="00507035">
            <w:pPr>
              <w:spacing w:before="120" w:after="120"/>
              <w:jc w:val="center"/>
              <w:rPr>
                <w:rFonts w:ascii="Arial" w:hAnsi="Arial" w:cs="Arial"/>
                <w:sz w:val="20"/>
                <w:szCs w:val="20"/>
              </w:rPr>
            </w:pPr>
            <w:r w:rsidRPr="00D80296">
              <w:rPr>
                <w:rFonts w:ascii="Arial" w:hAnsi="Arial" w:cs="Arial"/>
                <w:sz w:val="20"/>
                <w:szCs w:val="20"/>
              </w:rPr>
              <w:t>24</w:t>
            </w:r>
          </w:p>
        </w:tc>
        <w:tc>
          <w:tcPr>
            <w:tcW w:w="0" w:type="auto"/>
            <w:tcBorders>
              <w:top w:val="nil"/>
              <w:left w:val="nil"/>
              <w:bottom w:val="single" w:sz="4" w:space="0" w:color="auto"/>
              <w:right w:val="single" w:sz="4" w:space="0" w:color="auto"/>
            </w:tcBorders>
            <w:vAlign w:val="center"/>
          </w:tcPr>
          <w:p w:rsidR="004646E3" w:rsidRPr="00D80296" w:rsidRDefault="004646E3" w:rsidP="00507035">
            <w:pPr>
              <w:spacing w:before="120" w:after="120"/>
              <w:jc w:val="center"/>
              <w:rPr>
                <w:rFonts w:ascii="Arial" w:hAnsi="Arial" w:cs="Arial"/>
                <w:sz w:val="20"/>
                <w:szCs w:val="20"/>
              </w:rPr>
            </w:pPr>
            <w:r w:rsidRPr="00D80296">
              <w:rPr>
                <w:rFonts w:ascii="Arial" w:hAnsi="Arial" w:cs="Arial"/>
                <w:color w:val="000000"/>
                <w:sz w:val="20"/>
                <w:szCs w:val="20"/>
              </w:rPr>
              <w:t>91 886 795</w:t>
            </w:r>
          </w:p>
        </w:tc>
        <w:tc>
          <w:tcPr>
            <w:tcW w:w="0" w:type="auto"/>
            <w:tcBorders>
              <w:top w:val="nil"/>
              <w:left w:val="nil"/>
              <w:bottom w:val="single" w:sz="4" w:space="0" w:color="auto"/>
              <w:right w:val="single" w:sz="4" w:space="0" w:color="auto"/>
            </w:tcBorders>
            <w:vAlign w:val="center"/>
          </w:tcPr>
          <w:p w:rsidR="004646E3" w:rsidRPr="00D80296" w:rsidRDefault="004646E3" w:rsidP="00507035">
            <w:pPr>
              <w:spacing w:before="120" w:after="120"/>
              <w:jc w:val="center"/>
              <w:rPr>
                <w:rFonts w:ascii="Arial" w:hAnsi="Arial" w:cs="Arial"/>
                <w:sz w:val="20"/>
                <w:szCs w:val="20"/>
              </w:rPr>
            </w:pPr>
            <w:r w:rsidRPr="00D80296">
              <w:rPr>
                <w:rFonts w:ascii="Arial" w:hAnsi="Arial" w:cs="Arial"/>
                <w:color w:val="000000"/>
                <w:sz w:val="20"/>
                <w:szCs w:val="20"/>
              </w:rPr>
              <w:t>1</w:t>
            </w:r>
          </w:p>
        </w:tc>
        <w:tc>
          <w:tcPr>
            <w:tcW w:w="0" w:type="auto"/>
            <w:tcBorders>
              <w:top w:val="nil"/>
              <w:left w:val="nil"/>
              <w:bottom w:val="single" w:sz="4" w:space="0" w:color="auto"/>
              <w:right w:val="single" w:sz="4" w:space="0" w:color="auto"/>
            </w:tcBorders>
            <w:vAlign w:val="center"/>
          </w:tcPr>
          <w:p w:rsidR="004646E3" w:rsidRPr="00D80296" w:rsidRDefault="004646E3" w:rsidP="00507035">
            <w:pPr>
              <w:spacing w:before="120" w:after="120"/>
              <w:jc w:val="center"/>
              <w:rPr>
                <w:rFonts w:ascii="Arial" w:hAnsi="Arial" w:cs="Arial"/>
                <w:sz w:val="20"/>
                <w:szCs w:val="20"/>
              </w:rPr>
            </w:pPr>
            <w:r w:rsidRPr="00D80296">
              <w:rPr>
                <w:rFonts w:ascii="Arial" w:hAnsi="Arial" w:cs="Arial"/>
                <w:color w:val="000000"/>
                <w:sz w:val="20"/>
                <w:szCs w:val="20"/>
              </w:rPr>
              <w:t>10 249 258</w:t>
            </w:r>
          </w:p>
        </w:tc>
        <w:tc>
          <w:tcPr>
            <w:tcW w:w="0" w:type="auto"/>
            <w:tcBorders>
              <w:top w:val="nil"/>
              <w:left w:val="nil"/>
              <w:bottom w:val="single" w:sz="4" w:space="0" w:color="auto"/>
              <w:right w:val="single" w:sz="4" w:space="0" w:color="auto"/>
            </w:tcBorders>
            <w:vAlign w:val="center"/>
          </w:tcPr>
          <w:p w:rsidR="004646E3" w:rsidRPr="00D80296" w:rsidRDefault="004646E3" w:rsidP="00507035">
            <w:pPr>
              <w:spacing w:before="120" w:after="120"/>
              <w:jc w:val="center"/>
              <w:rPr>
                <w:rFonts w:ascii="Arial" w:hAnsi="Arial" w:cs="Arial"/>
                <w:sz w:val="20"/>
                <w:szCs w:val="20"/>
              </w:rPr>
            </w:pPr>
            <w:r w:rsidRPr="00D80296">
              <w:rPr>
                <w:rFonts w:ascii="Arial" w:hAnsi="Arial" w:cs="Arial"/>
                <w:color w:val="000000"/>
                <w:sz w:val="20"/>
                <w:szCs w:val="20"/>
              </w:rPr>
              <w:t>11,15%</w:t>
            </w:r>
          </w:p>
        </w:tc>
      </w:tr>
      <w:tr w:rsidR="004646E3" w:rsidRPr="00D80296" w:rsidTr="006A2BF3">
        <w:trPr>
          <w:trHeight w:val="20"/>
        </w:trPr>
        <w:tc>
          <w:tcPr>
            <w:tcW w:w="0" w:type="auto"/>
            <w:tcBorders>
              <w:top w:val="nil"/>
              <w:left w:val="single" w:sz="4" w:space="0" w:color="auto"/>
              <w:bottom w:val="single" w:sz="4" w:space="0" w:color="auto"/>
              <w:right w:val="single" w:sz="4" w:space="0" w:color="auto"/>
            </w:tcBorders>
            <w:vAlign w:val="center"/>
          </w:tcPr>
          <w:p w:rsidR="004646E3" w:rsidRPr="00D80296" w:rsidRDefault="004646E3" w:rsidP="00507035">
            <w:pPr>
              <w:spacing w:before="120" w:after="120"/>
              <w:rPr>
                <w:rFonts w:ascii="Arial" w:hAnsi="Arial" w:cs="Arial"/>
                <w:sz w:val="18"/>
                <w:szCs w:val="18"/>
              </w:rPr>
            </w:pPr>
            <w:r w:rsidRPr="00D80296">
              <w:rPr>
                <w:rFonts w:ascii="Arial" w:hAnsi="Arial" w:cs="Arial"/>
                <w:sz w:val="18"/>
                <w:szCs w:val="18"/>
              </w:rPr>
              <w:t>Trnavský</w:t>
            </w:r>
          </w:p>
        </w:tc>
        <w:tc>
          <w:tcPr>
            <w:tcW w:w="0" w:type="auto"/>
            <w:tcBorders>
              <w:top w:val="nil"/>
              <w:left w:val="nil"/>
              <w:bottom w:val="single" w:sz="4" w:space="0" w:color="auto"/>
              <w:right w:val="single" w:sz="4" w:space="0" w:color="auto"/>
            </w:tcBorders>
            <w:vAlign w:val="center"/>
          </w:tcPr>
          <w:p w:rsidR="004646E3" w:rsidRPr="00D80296" w:rsidRDefault="004646E3" w:rsidP="00507035">
            <w:pPr>
              <w:spacing w:before="120" w:after="120"/>
              <w:jc w:val="center"/>
              <w:rPr>
                <w:rFonts w:ascii="Arial" w:hAnsi="Arial" w:cs="Arial"/>
                <w:sz w:val="20"/>
                <w:szCs w:val="20"/>
              </w:rPr>
            </w:pPr>
            <w:r w:rsidRPr="00D80296">
              <w:rPr>
                <w:rFonts w:ascii="Arial" w:hAnsi="Arial" w:cs="Arial"/>
                <w:sz w:val="20"/>
                <w:szCs w:val="20"/>
              </w:rPr>
              <w:t>61</w:t>
            </w:r>
          </w:p>
        </w:tc>
        <w:tc>
          <w:tcPr>
            <w:tcW w:w="0" w:type="auto"/>
            <w:tcBorders>
              <w:top w:val="nil"/>
              <w:left w:val="nil"/>
              <w:bottom w:val="single" w:sz="4" w:space="0" w:color="auto"/>
              <w:right w:val="single" w:sz="4" w:space="0" w:color="auto"/>
            </w:tcBorders>
            <w:vAlign w:val="center"/>
          </w:tcPr>
          <w:p w:rsidR="004646E3" w:rsidRPr="00D80296" w:rsidRDefault="004646E3" w:rsidP="00507035">
            <w:pPr>
              <w:spacing w:before="120" w:after="120"/>
              <w:jc w:val="center"/>
              <w:rPr>
                <w:rFonts w:ascii="Arial" w:hAnsi="Arial" w:cs="Arial"/>
                <w:sz w:val="20"/>
                <w:szCs w:val="20"/>
              </w:rPr>
            </w:pPr>
            <w:r w:rsidRPr="00D80296">
              <w:rPr>
                <w:rFonts w:ascii="Arial" w:hAnsi="Arial" w:cs="Arial"/>
                <w:color w:val="000000"/>
                <w:sz w:val="20"/>
                <w:szCs w:val="20"/>
              </w:rPr>
              <w:t>134 264 173</w:t>
            </w:r>
          </w:p>
        </w:tc>
        <w:tc>
          <w:tcPr>
            <w:tcW w:w="0" w:type="auto"/>
            <w:tcBorders>
              <w:top w:val="nil"/>
              <w:left w:val="nil"/>
              <w:bottom w:val="single" w:sz="4" w:space="0" w:color="auto"/>
              <w:right w:val="single" w:sz="4" w:space="0" w:color="auto"/>
            </w:tcBorders>
            <w:vAlign w:val="center"/>
          </w:tcPr>
          <w:p w:rsidR="004646E3" w:rsidRPr="00D80296" w:rsidRDefault="004646E3" w:rsidP="00507035">
            <w:pPr>
              <w:spacing w:before="120" w:after="120"/>
              <w:jc w:val="center"/>
              <w:rPr>
                <w:rFonts w:ascii="Arial" w:hAnsi="Arial" w:cs="Arial"/>
                <w:sz w:val="20"/>
                <w:szCs w:val="20"/>
              </w:rPr>
            </w:pPr>
            <w:r w:rsidRPr="00D80296">
              <w:rPr>
                <w:rFonts w:ascii="Arial" w:hAnsi="Arial" w:cs="Arial"/>
                <w:color w:val="000000"/>
                <w:sz w:val="20"/>
                <w:szCs w:val="20"/>
              </w:rPr>
              <w:t>3</w:t>
            </w:r>
          </w:p>
        </w:tc>
        <w:tc>
          <w:tcPr>
            <w:tcW w:w="0" w:type="auto"/>
            <w:tcBorders>
              <w:top w:val="nil"/>
              <w:left w:val="nil"/>
              <w:bottom w:val="single" w:sz="4" w:space="0" w:color="auto"/>
              <w:right w:val="single" w:sz="4" w:space="0" w:color="auto"/>
            </w:tcBorders>
            <w:vAlign w:val="center"/>
          </w:tcPr>
          <w:p w:rsidR="004646E3" w:rsidRPr="00D80296" w:rsidRDefault="004646E3" w:rsidP="00507035">
            <w:pPr>
              <w:spacing w:before="120" w:after="120"/>
              <w:jc w:val="center"/>
              <w:rPr>
                <w:rFonts w:ascii="Arial" w:hAnsi="Arial" w:cs="Arial"/>
                <w:sz w:val="20"/>
                <w:szCs w:val="20"/>
              </w:rPr>
            </w:pPr>
            <w:r w:rsidRPr="00D80296">
              <w:rPr>
                <w:rFonts w:ascii="Arial" w:hAnsi="Arial" w:cs="Arial"/>
                <w:color w:val="000000"/>
                <w:sz w:val="20"/>
                <w:szCs w:val="20"/>
              </w:rPr>
              <w:t>706 666</w:t>
            </w:r>
          </w:p>
        </w:tc>
        <w:tc>
          <w:tcPr>
            <w:tcW w:w="0" w:type="auto"/>
            <w:tcBorders>
              <w:top w:val="nil"/>
              <w:left w:val="nil"/>
              <w:bottom w:val="single" w:sz="4" w:space="0" w:color="auto"/>
              <w:right w:val="single" w:sz="4" w:space="0" w:color="auto"/>
            </w:tcBorders>
            <w:vAlign w:val="center"/>
          </w:tcPr>
          <w:p w:rsidR="004646E3" w:rsidRPr="00D80296" w:rsidRDefault="004646E3" w:rsidP="00507035">
            <w:pPr>
              <w:spacing w:before="120" w:after="120"/>
              <w:jc w:val="center"/>
              <w:rPr>
                <w:rFonts w:ascii="Arial" w:hAnsi="Arial" w:cs="Arial"/>
                <w:sz w:val="20"/>
                <w:szCs w:val="20"/>
              </w:rPr>
            </w:pPr>
            <w:r w:rsidRPr="00D80296">
              <w:rPr>
                <w:rFonts w:ascii="Arial" w:hAnsi="Arial" w:cs="Arial"/>
                <w:color w:val="000000"/>
                <w:sz w:val="20"/>
                <w:szCs w:val="20"/>
              </w:rPr>
              <w:t>0,53%</w:t>
            </w:r>
          </w:p>
        </w:tc>
      </w:tr>
      <w:tr w:rsidR="004646E3" w:rsidRPr="00D80296" w:rsidTr="006A2BF3">
        <w:trPr>
          <w:trHeight w:val="20"/>
        </w:trPr>
        <w:tc>
          <w:tcPr>
            <w:tcW w:w="0" w:type="auto"/>
            <w:tcBorders>
              <w:top w:val="nil"/>
              <w:left w:val="single" w:sz="4" w:space="0" w:color="auto"/>
              <w:bottom w:val="single" w:sz="4" w:space="0" w:color="auto"/>
              <w:right w:val="single" w:sz="4" w:space="0" w:color="auto"/>
            </w:tcBorders>
            <w:vAlign w:val="center"/>
          </w:tcPr>
          <w:p w:rsidR="004646E3" w:rsidRPr="00D80296" w:rsidRDefault="004646E3" w:rsidP="00507035">
            <w:pPr>
              <w:spacing w:before="120" w:after="120"/>
              <w:rPr>
                <w:rFonts w:ascii="Arial" w:hAnsi="Arial" w:cs="Arial"/>
                <w:sz w:val="18"/>
                <w:szCs w:val="18"/>
              </w:rPr>
            </w:pPr>
            <w:r w:rsidRPr="00D80296">
              <w:rPr>
                <w:rFonts w:ascii="Arial" w:hAnsi="Arial" w:cs="Arial"/>
                <w:sz w:val="18"/>
                <w:szCs w:val="18"/>
              </w:rPr>
              <w:t>Trenčiansky</w:t>
            </w:r>
          </w:p>
        </w:tc>
        <w:tc>
          <w:tcPr>
            <w:tcW w:w="0" w:type="auto"/>
            <w:tcBorders>
              <w:top w:val="nil"/>
              <w:left w:val="nil"/>
              <w:bottom w:val="single" w:sz="4" w:space="0" w:color="auto"/>
              <w:right w:val="single" w:sz="4" w:space="0" w:color="auto"/>
            </w:tcBorders>
            <w:vAlign w:val="center"/>
          </w:tcPr>
          <w:p w:rsidR="004646E3" w:rsidRPr="00D80296" w:rsidRDefault="004646E3" w:rsidP="00507035">
            <w:pPr>
              <w:spacing w:before="120" w:after="120"/>
              <w:jc w:val="center"/>
              <w:rPr>
                <w:rFonts w:ascii="Arial" w:hAnsi="Arial" w:cs="Arial"/>
                <w:sz w:val="20"/>
                <w:szCs w:val="20"/>
              </w:rPr>
            </w:pPr>
            <w:r w:rsidRPr="00D80296">
              <w:rPr>
                <w:rFonts w:ascii="Arial" w:hAnsi="Arial" w:cs="Arial"/>
                <w:sz w:val="20"/>
                <w:szCs w:val="20"/>
              </w:rPr>
              <w:t>58</w:t>
            </w:r>
          </w:p>
        </w:tc>
        <w:tc>
          <w:tcPr>
            <w:tcW w:w="0" w:type="auto"/>
            <w:tcBorders>
              <w:top w:val="nil"/>
              <w:left w:val="nil"/>
              <w:bottom w:val="single" w:sz="4" w:space="0" w:color="auto"/>
              <w:right w:val="single" w:sz="4" w:space="0" w:color="auto"/>
            </w:tcBorders>
            <w:vAlign w:val="center"/>
          </w:tcPr>
          <w:p w:rsidR="004646E3" w:rsidRPr="00D80296" w:rsidRDefault="004646E3" w:rsidP="00507035">
            <w:pPr>
              <w:spacing w:before="120" w:after="120"/>
              <w:jc w:val="center"/>
              <w:rPr>
                <w:rFonts w:ascii="Arial" w:hAnsi="Arial" w:cs="Arial"/>
                <w:sz w:val="20"/>
                <w:szCs w:val="20"/>
              </w:rPr>
            </w:pPr>
            <w:r w:rsidRPr="00D80296">
              <w:rPr>
                <w:rFonts w:ascii="Arial" w:hAnsi="Arial" w:cs="Arial"/>
                <w:color w:val="000000"/>
                <w:sz w:val="20"/>
                <w:szCs w:val="20"/>
              </w:rPr>
              <w:t>158 781 106</w:t>
            </w:r>
          </w:p>
        </w:tc>
        <w:tc>
          <w:tcPr>
            <w:tcW w:w="0" w:type="auto"/>
            <w:tcBorders>
              <w:top w:val="nil"/>
              <w:left w:val="nil"/>
              <w:bottom w:val="single" w:sz="4" w:space="0" w:color="auto"/>
              <w:right w:val="single" w:sz="4" w:space="0" w:color="auto"/>
            </w:tcBorders>
            <w:vAlign w:val="center"/>
          </w:tcPr>
          <w:p w:rsidR="004646E3" w:rsidRPr="00D80296" w:rsidRDefault="004646E3" w:rsidP="00507035">
            <w:pPr>
              <w:spacing w:before="120" w:after="120"/>
              <w:jc w:val="center"/>
              <w:rPr>
                <w:rFonts w:ascii="Arial" w:hAnsi="Arial" w:cs="Arial"/>
                <w:sz w:val="20"/>
                <w:szCs w:val="20"/>
              </w:rPr>
            </w:pPr>
            <w:r w:rsidRPr="00D80296">
              <w:rPr>
                <w:rFonts w:ascii="Arial" w:hAnsi="Arial" w:cs="Arial"/>
                <w:color w:val="000000"/>
                <w:sz w:val="20"/>
                <w:szCs w:val="20"/>
              </w:rPr>
              <w:t>5</w:t>
            </w:r>
          </w:p>
        </w:tc>
        <w:tc>
          <w:tcPr>
            <w:tcW w:w="0" w:type="auto"/>
            <w:tcBorders>
              <w:top w:val="nil"/>
              <w:left w:val="nil"/>
              <w:bottom w:val="single" w:sz="4" w:space="0" w:color="auto"/>
              <w:right w:val="single" w:sz="4" w:space="0" w:color="auto"/>
            </w:tcBorders>
            <w:vAlign w:val="center"/>
          </w:tcPr>
          <w:p w:rsidR="004646E3" w:rsidRPr="00D80296" w:rsidRDefault="004646E3" w:rsidP="00507035">
            <w:pPr>
              <w:spacing w:before="120" w:after="120"/>
              <w:jc w:val="center"/>
              <w:rPr>
                <w:rFonts w:ascii="Arial" w:hAnsi="Arial" w:cs="Arial"/>
                <w:sz w:val="20"/>
                <w:szCs w:val="20"/>
              </w:rPr>
            </w:pPr>
            <w:r w:rsidRPr="00D80296">
              <w:rPr>
                <w:rFonts w:ascii="Arial" w:hAnsi="Arial" w:cs="Arial"/>
                <w:color w:val="000000"/>
                <w:sz w:val="20"/>
                <w:szCs w:val="20"/>
              </w:rPr>
              <w:t>10 657 956</w:t>
            </w:r>
          </w:p>
        </w:tc>
        <w:tc>
          <w:tcPr>
            <w:tcW w:w="0" w:type="auto"/>
            <w:tcBorders>
              <w:top w:val="nil"/>
              <w:left w:val="nil"/>
              <w:bottom w:val="single" w:sz="4" w:space="0" w:color="auto"/>
              <w:right w:val="single" w:sz="4" w:space="0" w:color="auto"/>
            </w:tcBorders>
            <w:vAlign w:val="center"/>
          </w:tcPr>
          <w:p w:rsidR="004646E3" w:rsidRPr="00D80296" w:rsidRDefault="004646E3" w:rsidP="00507035">
            <w:pPr>
              <w:spacing w:before="120" w:after="120"/>
              <w:jc w:val="center"/>
              <w:rPr>
                <w:rFonts w:ascii="Arial" w:hAnsi="Arial" w:cs="Arial"/>
                <w:sz w:val="20"/>
                <w:szCs w:val="20"/>
              </w:rPr>
            </w:pPr>
            <w:r w:rsidRPr="00D80296">
              <w:rPr>
                <w:rFonts w:ascii="Arial" w:hAnsi="Arial" w:cs="Arial"/>
                <w:color w:val="000000"/>
                <w:sz w:val="20"/>
                <w:szCs w:val="20"/>
              </w:rPr>
              <w:t>6,71%</w:t>
            </w:r>
          </w:p>
        </w:tc>
      </w:tr>
      <w:tr w:rsidR="004646E3" w:rsidRPr="00D80296" w:rsidTr="006A2BF3">
        <w:trPr>
          <w:trHeight w:val="20"/>
        </w:trPr>
        <w:tc>
          <w:tcPr>
            <w:tcW w:w="0" w:type="auto"/>
            <w:tcBorders>
              <w:top w:val="nil"/>
              <w:left w:val="single" w:sz="4" w:space="0" w:color="auto"/>
              <w:bottom w:val="single" w:sz="4" w:space="0" w:color="auto"/>
              <w:right w:val="single" w:sz="4" w:space="0" w:color="auto"/>
            </w:tcBorders>
            <w:vAlign w:val="center"/>
          </w:tcPr>
          <w:p w:rsidR="004646E3" w:rsidRPr="00D80296" w:rsidRDefault="004646E3" w:rsidP="00507035">
            <w:pPr>
              <w:spacing w:before="120" w:after="120"/>
              <w:rPr>
                <w:rFonts w:ascii="Arial" w:hAnsi="Arial" w:cs="Arial"/>
                <w:sz w:val="18"/>
                <w:szCs w:val="18"/>
              </w:rPr>
            </w:pPr>
            <w:r w:rsidRPr="00D80296">
              <w:rPr>
                <w:rFonts w:ascii="Arial" w:hAnsi="Arial" w:cs="Arial"/>
                <w:sz w:val="18"/>
                <w:szCs w:val="18"/>
              </w:rPr>
              <w:t>Nitriansky</w:t>
            </w:r>
          </w:p>
        </w:tc>
        <w:tc>
          <w:tcPr>
            <w:tcW w:w="0" w:type="auto"/>
            <w:tcBorders>
              <w:top w:val="nil"/>
              <w:left w:val="nil"/>
              <w:bottom w:val="single" w:sz="4" w:space="0" w:color="auto"/>
              <w:right w:val="single" w:sz="4" w:space="0" w:color="auto"/>
            </w:tcBorders>
            <w:vAlign w:val="center"/>
          </w:tcPr>
          <w:p w:rsidR="004646E3" w:rsidRPr="00D80296" w:rsidRDefault="004646E3" w:rsidP="00507035">
            <w:pPr>
              <w:spacing w:before="120" w:after="120"/>
              <w:jc w:val="center"/>
              <w:rPr>
                <w:rFonts w:ascii="Arial" w:hAnsi="Arial" w:cs="Arial"/>
                <w:sz w:val="20"/>
                <w:szCs w:val="20"/>
              </w:rPr>
            </w:pPr>
            <w:r w:rsidRPr="00D80296">
              <w:rPr>
                <w:rFonts w:ascii="Arial" w:hAnsi="Arial" w:cs="Arial"/>
                <w:sz w:val="20"/>
                <w:szCs w:val="20"/>
              </w:rPr>
              <w:t>58</w:t>
            </w:r>
          </w:p>
        </w:tc>
        <w:tc>
          <w:tcPr>
            <w:tcW w:w="0" w:type="auto"/>
            <w:tcBorders>
              <w:top w:val="nil"/>
              <w:left w:val="nil"/>
              <w:bottom w:val="single" w:sz="4" w:space="0" w:color="auto"/>
              <w:right w:val="single" w:sz="4" w:space="0" w:color="auto"/>
            </w:tcBorders>
            <w:vAlign w:val="center"/>
          </w:tcPr>
          <w:p w:rsidR="004646E3" w:rsidRPr="00D80296" w:rsidRDefault="004646E3" w:rsidP="00507035">
            <w:pPr>
              <w:spacing w:before="120" w:after="120"/>
              <w:jc w:val="center"/>
              <w:rPr>
                <w:rFonts w:ascii="Arial" w:hAnsi="Arial" w:cs="Arial"/>
                <w:sz w:val="20"/>
                <w:szCs w:val="20"/>
              </w:rPr>
            </w:pPr>
            <w:r w:rsidRPr="00D80296">
              <w:rPr>
                <w:rFonts w:ascii="Arial" w:hAnsi="Arial" w:cs="Arial"/>
                <w:color w:val="000000"/>
                <w:sz w:val="20"/>
                <w:szCs w:val="20"/>
              </w:rPr>
              <w:t>135 965 100</w:t>
            </w:r>
          </w:p>
        </w:tc>
        <w:tc>
          <w:tcPr>
            <w:tcW w:w="0" w:type="auto"/>
            <w:tcBorders>
              <w:top w:val="nil"/>
              <w:left w:val="nil"/>
              <w:bottom w:val="single" w:sz="4" w:space="0" w:color="auto"/>
              <w:right w:val="single" w:sz="4" w:space="0" w:color="auto"/>
            </w:tcBorders>
            <w:vAlign w:val="center"/>
          </w:tcPr>
          <w:p w:rsidR="004646E3" w:rsidRPr="00D80296" w:rsidRDefault="004646E3" w:rsidP="00507035">
            <w:pPr>
              <w:spacing w:before="120" w:after="120"/>
              <w:jc w:val="center"/>
              <w:rPr>
                <w:rFonts w:ascii="Arial" w:hAnsi="Arial" w:cs="Arial"/>
                <w:sz w:val="20"/>
                <w:szCs w:val="20"/>
              </w:rPr>
            </w:pPr>
            <w:r w:rsidRPr="00D80296">
              <w:rPr>
                <w:rFonts w:ascii="Arial" w:hAnsi="Arial" w:cs="Arial"/>
                <w:color w:val="000000"/>
                <w:sz w:val="20"/>
                <w:szCs w:val="20"/>
              </w:rPr>
              <w:t>2</w:t>
            </w:r>
          </w:p>
        </w:tc>
        <w:tc>
          <w:tcPr>
            <w:tcW w:w="0" w:type="auto"/>
            <w:tcBorders>
              <w:top w:val="nil"/>
              <w:left w:val="nil"/>
              <w:bottom w:val="single" w:sz="4" w:space="0" w:color="auto"/>
              <w:right w:val="single" w:sz="4" w:space="0" w:color="auto"/>
            </w:tcBorders>
            <w:vAlign w:val="center"/>
          </w:tcPr>
          <w:p w:rsidR="004646E3" w:rsidRPr="00D80296" w:rsidRDefault="004646E3" w:rsidP="00507035">
            <w:pPr>
              <w:spacing w:before="120" w:after="120"/>
              <w:jc w:val="center"/>
              <w:rPr>
                <w:rFonts w:ascii="Arial" w:hAnsi="Arial" w:cs="Arial"/>
                <w:sz w:val="20"/>
                <w:szCs w:val="20"/>
              </w:rPr>
            </w:pPr>
            <w:r w:rsidRPr="00D80296">
              <w:rPr>
                <w:rFonts w:ascii="Arial" w:hAnsi="Arial" w:cs="Arial"/>
                <w:color w:val="000000"/>
                <w:sz w:val="20"/>
                <w:szCs w:val="20"/>
              </w:rPr>
              <w:t>3 533 592</w:t>
            </w:r>
          </w:p>
        </w:tc>
        <w:tc>
          <w:tcPr>
            <w:tcW w:w="0" w:type="auto"/>
            <w:tcBorders>
              <w:top w:val="nil"/>
              <w:left w:val="nil"/>
              <w:bottom w:val="single" w:sz="4" w:space="0" w:color="auto"/>
              <w:right w:val="single" w:sz="4" w:space="0" w:color="auto"/>
            </w:tcBorders>
            <w:vAlign w:val="center"/>
          </w:tcPr>
          <w:p w:rsidR="004646E3" w:rsidRPr="00D80296" w:rsidRDefault="004646E3" w:rsidP="00507035">
            <w:pPr>
              <w:spacing w:before="120" w:after="120"/>
              <w:jc w:val="center"/>
              <w:rPr>
                <w:rFonts w:ascii="Arial" w:hAnsi="Arial" w:cs="Arial"/>
                <w:sz w:val="20"/>
                <w:szCs w:val="20"/>
              </w:rPr>
            </w:pPr>
            <w:r w:rsidRPr="00D80296">
              <w:rPr>
                <w:rFonts w:ascii="Arial" w:hAnsi="Arial" w:cs="Arial"/>
                <w:color w:val="000000"/>
                <w:sz w:val="20"/>
                <w:szCs w:val="20"/>
              </w:rPr>
              <w:t>2,60%</w:t>
            </w:r>
          </w:p>
        </w:tc>
      </w:tr>
      <w:tr w:rsidR="004646E3" w:rsidRPr="00D80296" w:rsidTr="006A2BF3">
        <w:trPr>
          <w:trHeight w:val="20"/>
        </w:trPr>
        <w:tc>
          <w:tcPr>
            <w:tcW w:w="0" w:type="auto"/>
            <w:tcBorders>
              <w:top w:val="nil"/>
              <w:left w:val="single" w:sz="4" w:space="0" w:color="auto"/>
              <w:bottom w:val="single" w:sz="4" w:space="0" w:color="auto"/>
              <w:right w:val="single" w:sz="4" w:space="0" w:color="auto"/>
            </w:tcBorders>
            <w:vAlign w:val="center"/>
          </w:tcPr>
          <w:p w:rsidR="004646E3" w:rsidRPr="00D80296" w:rsidRDefault="004646E3" w:rsidP="00507035">
            <w:pPr>
              <w:spacing w:before="120" w:after="120"/>
              <w:rPr>
                <w:rFonts w:ascii="Arial" w:hAnsi="Arial" w:cs="Arial"/>
                <w:sz w:val="18"/>
                <w:szCs w:val="18"/>
              </w:rPr>
            </w:pPr>
            <w:r w:rsidRPr="00D80296">
              <w:rPr>
                <w:rFonts w:ascii="Arial" w:hAnsi="Arial" w:cs="Arial"/>
                <w:sz w:val="18"/>
                <w:szCs w:val="18"/>
              </w:rPr>
              <w:t>Žilinský</w:t>
            </w:r>
          </w:p>
        </w:tc>
        <w:tc>
          <w:tcPr>
            <w:tcW w:w="0" w:type="auto"/>
            <w:tcBorders>
              <w:top w:val="nil"/>
              <w:left w:val="nil"/>
              <w:bottom w:val="single" w:sz="4" w:space="0" w:color="auto"/>
              <w:right w:val="single" w:sz="4" w:space="0" w:color="auto"/>
            </w:tcBorders>
            <w:vAlign w:val="center"/>
          </w:tcPr>
          <w:p w:rsidR="004646E3" w:rsidRPr="00D80296" w:rsidRDefault="004646E3" w:rsidP="00507035">
            <w:pPr>
              <w:spacing w:before="120" w:after="120"/>
              <w:jc w:val="center"/>
              <w:rPr>
                <w:rFonts w:ascii="Arial" w:hAnsi="Arial" w:cs="Arial"/>
                <w:sz w:val="20"/>
                <w:szCs w:val="20"/>
              </w:rPr>
            </w:pPr>
            <w:r w:rsidRPr="00D80296">
              <w:rPr>
                <w:rFonts w:ascii="Arial" w:hAnsi="Arial" w:cs="Arial"/>
                <w:sz w:val="20"/>
                <w:szCs w:val="20"/>
              </w:rPr>
              <w:t>91</w:t>
            </w:r>
          </w:p>
        </w:tc>
        <w:tc>
          <w:tcPr>
            <w:tcW w:w="0" w:type="auto"/>
            <w:tcBorders>
              <w:top w:val="nil"/>
              <w:left w:val="nil"/>
              <w:bottom w:val="single" w:sz="4" w:space="0" w:color="auto"/>
              <w:right w:val="single" w:sz="4" w:space="0" w:color="auto"/>
            </w:tcBorders>
            <w:vAlign w:val="center"/>
          </w:tcPr>
          <w:p w:rsidR="004646E3" w:rsidRPr="00D80296" w:rsidRDefault="004646E3" w:rsidP="00507035">
            <w:pPr>
              <w:spacing w:before="120" w:after="120"/>
              <w:jc w:val="center"/>
              <w:rPr>
                <w:rFonts w:ascii="Arial" w:hAnsi="Arial" w:cs="Arial"/>
                <w:sz w:val="20"/>
                <w:szCs w:val="20"/>
              </w:rPr>
            </w:pPr>
            <w:r w:rsidRPr="00D80296">
              <w:rPr>
                <w:rFonts w:ascii="Arial" w:hAnsi="Arial" w:cs="Arial"/>
                <w:color w:val="000000"/>
                <w:sz w:val="20"/>
                <w:szCs w:val="20"/>
              </w:rPr>
              <w:t>210 772 262</w:t>
            </w:r>
          </w:p>
        </w:tc>
        <w:tc>
          <w:tcPr>
            <w:tcW w:w="0" w:type="auto"/>
            <w:tcBorders>
              <w:top w:val="nil"/>
              <w:left w:val="nil"/>
              <w:bottom w:val="single" w:sz="4" w:space="0" w:color="auto"/>
              <w:right w:val="single" w:sz="4" w:space="0" w:color="auto"/>
            </w:tcBorders>
            <w:vAlign w:val="center"/>
          </w:tcPr>
          <w:p w:rsidR="004646E3" w:rsidRPr="00D80296" w:rsidRDefault="004646E3" w:rsidP="00507035">
            <w:pPr>
              <w:spacing w:before="120" w:after="120"/>
              <w:jc w:val="center"/>
              <w:rPr>
                <w:rFonts w:ascii="Arial" w:hAnsi="Arial" w:cs="Arial"/>
                <w:sz w:val="20"/>
                <w:szCs w:val="20"/>
              </w:rPr>
            </w:pPr>
            <w:r w:rsidRPr="00D80296">
              <w:rPr>
                <w:rFonts w:ascii="Arial" w:hAnsi="Arial" w:cs="Arial"/>
                <w:color w:val="000000"/>
                <w:sz w:val="20"/>
                <w:szCs w:val="20"/>
              </w:rPr>
              <w:t>14</w:t>
            </w:r>
          </w:p>
        </w:tc>
        <w:tc>
          <w:tcPr>
            <w:tcW w:w="0" w:type="auto"/>
            <w:tcBorders>
              <w:top w:val="nil"/>
              <w:left w:val="nil"/>
              <w:bottom w:val="single" w:sz="4" w:space="0" w:color="auto"/>
              <w:right w:val="single" w:sz="4" w:space="0" w:color="auto"/>
            </w:tcBorders>
            <w:vAlign w:val="center"/>
          </w:tcPr>
          <w:p w:rsidR="004646E3" w:rsidRPr="00D80296" w:rsidRDefault="004646E3" w:rsidP="00507035">
            <w:pPr>
              <w:spacing w:before="120" w:after="120"/>
              <w:jc w:val="center"/>
              <w:rPr>
                <w:rFonts w:ascii="Arial" w:hAnsi="Arial" w:cs="Arial"/>
                <w:sz w:val="20"/>
                <w:szCs w:val="20"/>
              </w:rPr>
            </w:pPr>
            <w:r w:rsidRPr="00D80296">
              <w:rPr>
                <w:rFonts w:ascii="Arial" w:hAnsi="Arial" w:cs="Arial"/>
                <w:color w:val="000000"/>
                <w:sz w:val="20"/>
                <w:szCs w:val="20"/>
              </w:rPr>
              <w:t>43 932 004</w:t>
            </w:r>
          </w:p>
        </w:tc>
        <w:tc>
          <w:tcPr>
            <w:tcW w:w="0" w:type="auto"/>
            <w:tcBorders>
              <w:top w:val="nil"/>
              <w:left w:val="nil"/>
              <w:bottom w:val="single" w:sz="4" w:space="0" w:color="auto"/>
              <w:right w:val="single" w:sz="4" w:space="0" w:color="auto"/>
            </w:tcBorders>
            <w:vAlign w:val="center"/>
          </w:tcPr>
          <w:p w:rsidR="004646E3" w:rsidRPr="00D80296" w:rsidRDefault="004646E3" w:rsidP="00507035">
            <w:pPr>
              <w:spacing w:before="120" w:after="120"/>
              <w:jc w:val="center"/>
              <w:rPr>
                <w:rFonts w:ascii="Arial" w:hAnsi="Arial" w:cs="Arial"/>
                <w:sz w:val="20"/>
                <w:szCs w:val="20"/>
              </w:rPr>
            </w:pPr>
            <w:r w:rsidRPr="00D80296">
              <w:rPr>
                <w:rFonts w:ascii="Arial" w:hAnsi="Arial" w:cs="Arial"/>
                <w:color w:val="000000"/>
                <w:sz w:val="20"/>
                <w:szCs w:val="20"/>
              </w:rPr>
              <w:t>20,84%</w:t>
            </w:r>
          </w:p>
        </w:tc>
      </w:tr>
      <w:tr w:rsidR="004646E3" w:rsidRPr="00D80296" w:rsidTr="006A2BF3">
        <w:trPr>
          <w:trHeight w:val="20"/>
        </w:trPr>
        <w:tc>
          <w:tcPr>
            <w:tcW w:w="0" w:type="auto"/>
            <w:tcBorders>
              <w:top w:val="nil"/>
              <w:left w:val="single" w:sz="4" w:space="0" w:color="auto"/>
              <w:bottom w:val="single" w:sz="4" w:space="0" w:color="auto"/>
              <w:right w:val="single" w:sz="4" w:space="0" w:color="auto"/>
            </w:tcBorders>
            <w:vAlign w:val="center"/>
          </w:tcPr>
          <w:p w:rsidR="004646E3" w:rsidRPr="00D80296" w:rsidRDefault="004646E3" w:rsidP="00507035">
            <w:pPr>
              <w:spacing w:before="120" w:after="120"/>
              <w:rPr>
                <w:rFonts w:ascii="Arial" w:hAnsi="Arial" w:cs="Arial"/>
                <w:sz w:val="18"/>
                <w:szCs w:val="18"/>
              </w:rPr>
            </w:pPr>
            <w:r w:rsidRPr="00D80296">
              <w:rPr>
                <w:rFonts w:ascii="Arial" w:hAnsi="Arial" w:cs="Arial"/>
                <w:sz w:val="18"/>
                <w:szCs w:val="18"/>
              </w:rPr>
              <w:t>Banskobystrický</w:t>
            </w:r>
          </w:p>
        </w:tc>
        <w:tc>
          <w:tcPr>
            <w:tcW w:w="0" w:type="auto"/>
            <w:tcBorders>
              <w:top w:val="nil"/>
              <w:left w:val="nil"/>
              <w:bottom w:val="single" w:sz="4" w:space="0" w:color="auto"/>
              <w:right w:val="single" w:sz="4" w:space="0" w:color="auto"/>
            </w:tcBorders>
            <w:vAlign w:val="center"/>
          </w:tcPr>
          <w:p w:rsidR="004646E3" w:rsidRPr="00D80296" w:rsidRDefault="004646E3" w:rsidP="00507035">
            <w:pPr>
              <w:spacing w:before="120" w:after="120"/>
              <w:jc w:val="center"/>
              <w:rPr>
                <w:rFonts w:ascii="Arial" w:hAnsi="Arial" w:cs="Arial"/>
                <w:sz w:val="20"/>
                <w:szCs w:val="20"/>
              </w:rPr>
            </w:pPr>
            <w:r w:rsidRPr="00D80296">
              <w:rPr>
                <w:rFonts w:ascii="Arial" w:hAnsi="Arial" w:cs="Arial"/>
                <w:sz w:val="20"/>
                <w:szCs w:val="20"/>
              </w:rPr>
              <w:t>77</w:t>
            </w:r>
          </w:p>
        </w:tc>
        <w:tc>
          <w:tcPr>
            <w:tcW w:w="0" w:type="auto"/>
            <w:tcBorders>
              <w:top w:val="nil"/>
              <w:left w:val="nil"/>
              <w:bottom w:val="single" w:sz="4" w:space="0" w:color="auto"/>
              <w:right w:val="single" w:sz="4" w:space="0" w:color="auto"/>
            </w:tcBorders>
            <w:vAlign w:val="center"/>
          </w:tcPr>
          <w:p w:rsidR="004646E3" w:rsidRPr="00D80296" w:rsidRDefault="004646E3" w:rsidP="00507035">
            <w:pPr>
              <w:spacing w:before="120" w:after="120"/>
              <w:jc w:val="center"/>
              <w:rPr>
                <w:rFonts w:ascii="Arial" w:hAnsi="Arial" w:cs="Arial"/>
                <w:sz w:val="20"/>
                <w:szCs w:val="20"/>
              </w:rPr>
            </w:pPr>
            <w:r w:rsidRPr="00D80296">
              <w:rPr>
                <w:rFonts w:ascii="Arial" w:hAnsi="Arial" w:cs="Arial"/>
                <w:color w:val="000000"/>
                <w:sz w:val="20"/>
                <w:szCs w:val="20"/>
              </w:rPr>
              <w:t>173 017 188</w:t>
            </w:r>
          </w:p>
        </w:tc>
        <w:tc>
          <w:tcPr>
            <w:tcW w:w="0" w:type="auto"/>
            <w:tcBorders>
              <w:top w:val="nil"/>
              <w:left w:val="nil"/>
              <w:bottom w:val="single" w:sz="4" w:space="0" w:color="auto"/>
              <w:right w:val="single" w:sz="4" w:space="0" w:color="auto"/>
            </w:tcBorders>
            <w:vAlign w:val="center"/>
          </w:tcPr>
          <w:p w:rsidR="004646E3" w:rsidRPr="00D80296" w:rsidRDefault="004646E3" w:rsidP="00507035">
            <w:pPr>
              <w:spacing w:before="120" w:after="120"/>
              <w:jc w:val="center"/>
              <w:rPr>
                <w:rFonts w:ascii="Arial" w:hAnsi="Arial" w:cs="Arial"/>
                <w:sz w:val="20"/>
                <w:szCs w:val="20"/>
              </w:rPr>
            </w:pPr>
            <w:r w:rsidRPr="00D80296">
              <w:rPr>
                <w:rFonts w:ascii="Arial" w:hAnsi="Arial" w:cs="Arial"/>
                <w:color w:val="000000"/>
                <w:sz w:val="20"/>
                <w:szCs w:val="20"/>
              </w:rPr>
              <w:t>7</w:t>
            </w:r>
          </w:p>
        </w:tc>
        <w:tc>
          <w:tcPr>
            <w:tcW w:w="0" w:type="auto"/>
            <w:tcBorders>
              <w:top w:val="nil"/>
              <w:left w:val="nil"/>
              <w:bottom w:val="single" w:sz="4" w:space="0" w:color="auto"/>
              <w:right w:val="single" w:sz="4" w:space="0" w:color="auto"/>
            </w:tcBorders>
            <w:vAlign w:val="center"/>
          </w:tcPr>
          <w:p w:rsidR="004646E3" w:rsidRPr="00D80296" w:rsidRDefault="004646E3" w:rsidP="00507035">
            <w:pPr>
              <w:spacing w:before="120" w:after="120"/>
              <w:jc w:val="center"/>
              <w:rPr>
                <w:rFonts w:ascii="Arial" w:hAnsi="Arial" w:cs="Arial"/>
                <w:sz w:val="20"/>
                <w:szCs w:val="20"/>
              </w:rPr>
            </w:pPr>
            <w:r w:rsidRPr="00D80296">
              <w:rPr>
                <w:rFonts w:ascii="Arial" w:hAnsi="Arial" w:cs="Arial"/>
                <w:color w:val="000000"/>
                <w:sz w:val="20"/>
                <w:szCs w:val="20"/>
              </w:rPr>
              <w:t>31 808 342</w:t>
            </w:r>
          </w:p>
        </w:tc>
        <w:tc>
          <w:tcPr>
            <w:tcW w:w="0" w:type="auto"/>
            <w:tcBorders>
              <w:top w:val="nil"/>
              <w:left w:val="nil"/>
              <w:bottom w:val="single" w:sz="4" w:space="0" w:color="auto"/>
              <w:right w:val="single" w:sz="4" w:space="0" w:color="auto"/>
            </w:tcBorders>
            <w:vAlign w:val="center"/>
          </w:tcPr>
          <w:p w:rsidR="004646E3" w:rsidRPr="00D80296" w:rsidRDefault="004646E3" w:rsidP="00507035">
            <w:pPr>
              <w:spacing w:before="120" w:after="120"/>
              <w:jc w:val="center"/>
              <w:rPr>
                <w:rFonts w:ascii="Arial" w:hAnsi="Arial" w:cs="Arial"/>
                <w:sz w:val="20"/>
                <w:szCs w:val="20"/>
              </w:rPr>
            </w:pPr>
            <w:r w:rsidRPr="00D80296">
              <w:rPr>
                <w:rFonts w:ascii="Arial" w:hAnsi="Arial" w:cs="Arial"/>
                <w:color w:val="000000"/>
                <w:sz w:val="20"/>
                <w:szCs w:val="20"/>
              </w:rPr>
              <w:t>18,38%</w:t>
            </w:r>
          </w:p>
        </w:tc>
      </w:tr>
      <w:tr w:rsidR="004646E3" w:rsidRPr="00D80296" w:rsidTr="006A2BF3">
        <w:trPr>
          <w:trHeight w:val="20"/>
        </w:trPr>
        <w:tc>
          <w:tcPr>
            <w:tcW w:w="0" w:type="auto"/>
            <w:tcBorders>
              <w:top w:val="nil"/>
              <w:left w:val="single" w:sz="4" w:space="0" w:color="auto"/>
              <w:bottom w:val="single" w:sz="4" w:space="0" w:color="auto"/>
              <w:right w:val="single" w:sz="4" w:space="0" w:color="auto"/>
            </w:tcBorders>
            <w:vAlign w:val="center"/>
          </w:tcPr>
          <w:p w:rsidR="004646E3" w:rsidRPr="00D80296" w:rsidRDefault="004646E3" w:rsidP="00507035">
            <w:pPr>
              <w:spacing w:before="120" w:after="120"/>
              <w:rPr>
                <w:rFonts w:ascii="Arial" w:hAnsi="Arial" w:cs="Arial"/>
                <w:sz w:val="18"/>
                <w:szCs w:val="18"/>
              </w:rPr>
            </w:pPr>
            <w:r w:rsidRPr="00D80296">
              <w:rPr>
                <w:rFonts w:ascii="Arial" w:hAnsi="Arial" w:cs="Arial"/>
                <w:sz w:val="18"/>
                <w:szCs w:val="18"/>
              </w:rPr>
              <w:t>Prešovský</w:t>
            </w:r>
          </w:p>
        </w:tc>
        <w:tc>
          <w:tcPr>
            <w:tcW w:w="0" w:type="auto"/>
            <w:tcBorders>
              <w:top w:val="nil"/>
              <w:left w:val="nil"/>
              <w:bottom w:val="single" w:sz="4" w:space="0" w:color="auto"/>
              <w:right w:val="single" w:sz="4" w:space="0" w:color="auto"/>
            </w:tcBorders>
            <w:vAlign w:val="center"/>
          </w:tcPr>
          <w:p w:rsidR="004646E3" w:rsidRPr="00D80296" w:rsidRDefault="004646E3" w:rsidP="00507035">
            <w:pPr>
              <w:spacing w:before="120" w:after="120"/>
              <w:jc w:val="center"/>
              <w:rPr>
                <w:rFonts w:ascii="Arial" w:hAnsi="Arial" w:cs="Arial"/>
                <w:sz w:val="20"/>
                <w:szCs w:val="20"/>
              </w:rPr>
            </w:pPr>
            <w:r w:rsidRPr="00D80296">
              <w:rPr>
                <w:rFonts w:ascii="Arial" w:hAnsi="Arial" w:cs="Arial"/>
                <w:sz w:val="20"/>
                <w:szCs w:val="20"/>
              </w:rPr>
              <w:t>110</w:t>
            </w:r>
          </w:p>
        </w:tc>
        <w:tc>
          <w:tcPr>
            <w:tcW w:w="0" w:type="auto"/>
            <w:tcBorders>
              <w:top w:val="nil"/>
              <w:left w:val="nil"/>
              <w:bottom w:val="single" w:sz="4" w:space="0" w:color="auto"/>
              <w:right w:val="single" w:sz="4" w:space="0" w:color="auto"/>
            </w:tcBorders>
            <w:vAlign w:val="center"/>
          </w:tcPr>
          <w:p w:rsidR="004646E3" w:rsidRPr="00D80296" w:rsidRDefault="004646E3" w:rsidP="00507035">
            <w:pPr>
              <w:spacing w:before="120" w:after="120"/>
              <w:jc w:val="center"/>
              <w:rPr>
                <w:rFonts w:ascii="Arial" w:hAnsi="Arial" w:cs="Arial"/>
                <w:sz w:val="20"/>
                <w:szCs w:val="20"/>
              </w:rPr>
            </w:pPr>
            <w:r w:rsidRPr="00D80296">
              <w:rPr>
                <w:rFonts w:ascii="Arial" w:hAnsi="Arial" w:cs="Arial"/>
                <w:color w:val="000000"/>
                <w:sz w:val="20"/>
                <w:szCs w:val="20"/>
              </w:rPr>
              <w:t>213 992 971</w:t>
            </w:r>
          </w:p>
        </w:tc>
        <w:tc>
          <w:tcPr>
            <w:tcW w:w="0" w:type="auto"/>
            <w:tcBorders>
              <w:top w:val="nil"/>
              <w:left w:val="nil"/>
              <w:bottom w:val="single" w:sz="4" w:space="0" w:color="auto"/>
              <w:right w:val="single" w:sz="4" w:space="0" w:color="auto"/>
            </w:tcBorders>
            <w:vAlign w:val="center"/>
          </w:tcPr>
          <w:p w:rsidR="004646E3" w:rsidRPr="00D80296" w:rsidRDefault="004646E3" w:rsidP="00507035">
            <w:pPr>
              <w:spacing w:before="120" w:after="120"/>
              <w:jc w:val="center"/>
              <w:rPr>
                <w:rFonts w:ascii="Arial" w:hAnsi="Arial" w:cs="Arial"/>
                <w:sz w:val="20"/>
                <w:szCs w:val="20"/>
              </w:rPr>
            </w:pPr>
            <w:r w:rsidRPr="00D80296">
              <w:rPr>
                <w:rFonts w:ascii="Arial" w:hAnsi="Arial" w:cs="Arial"/>
                <w:color w:val="000000"/>
                <w:sz w:val="20"/>
                <w:szCs w:val="20"/>
              </w:rPr>
              <w:t>10</w:t>
            </w:r>
          </w:p>
        </w:tc>
        <w:tc>
          <w:tcPr>
            <w:tcW w:w="0" w:type="auto"/>
            <w:tcBorders>
              <w:top w:val="nil"/>
              <w:left w:val="nil"/>
              <w:bottom w:val="single" w:sz="4" w:space="0" w:color="auto"/>
              <w:right w:val="single" w:sz="4" w:space="0" w:color="auto"/>
            </w:tcBorders>
            <w:vAlign w:val="center"/>
          </w:tcPr>
          <w:p w:rsidR="004646E3" w:rsidRPr="00D80296" w:rsidRDefault="004646E3" w:rsidP="00507035">
            <w:pPr>
              <w:spacing w:before="120" w:after="120"/>
              <w:jc w:val="center"/>
              <w:rPr>
                <w:rFonts w:ascii="Arial" w:hAnsi="Arial" w:cs="Arial"/>
                <w:sz w:val="20"/>
                <w:szCs w:val="20"/>
              </w:rPr>
            </w:pPr>
            <w:r w:rsidRPr="00D80296">
              <w:rPr>
                <w:rFonts w:ascii="Arial" w:hAnsi="Arial" w:cs="Arial"/>
                <w:color w:val="000000"/>
                <w:sz w:val="20"/>
                <w:szCs w:val="20"/>
              </w:rPr>
              <w:t>15 818 196</w:t>
            </w:r>
          </w:p>
        </w:tc>
        <w:tc>
          <w:tcPr>
            <w:tcW w:w="0" w:type="auto"/>
            <w:tcBorders>
              <w:top w:val="nil"/>
              <w:left w:val="nil"/>
              <w:bottom w:val="single" w:sz="4" w:space="0" w:color="auto"/>
              <w:right w:val="single" w:sz="4" w:space="0" w:color="auto"/>
            </w:tcBorders>
            <w:vAlign w:val="center"/>
          </w:tcPr>
          <w:p w:rsidR="004646E3" w:rsidRPr="00D80296" w:rsidRDefault="004646E3" w:rsidP="00507035">
            <w:pPr>
              <w:spacing w:before="120" w:after="120"/>
              <w:jc w:val="center"/>
              <w:rPr>
                <w:rFonts w:ascii="Arial" w:hAnsi="Arial" w:cs="Arial"/>
                <w:sz w:val="20"/>
                <w:szCs w:val="20"/>
              </w:rPr>
            </w:pPr>
            <w:r w:rsidRPr="00D80296">
              <w:rPr>
                <w:rFonts w:ascii="Arial" w:hAnsi="Arial" w:cs="Arial"/>
                <w:color w:val="000000"/>
                <w:sz w:val="20"/>
                <w:szCs w:val="20"/>
              </w:rPr>
              <w:t>7,39%</w:t>
            </w:r>
          </w:p>
        </w:tc>
      </w:tr>
      <w:tr w:rsidR="004646E3" w:rsidRPr="00D80296" w:rsidTr="006A2BF3">
        <w:trPr>
          <w:trHeight w:val="20"/>
        </w:trPr>
        <w:tc>
          <w:tcPr>
            <w:tcW w:w="0" w:type="auto"/>
            <w:tcBorders>
              <w:top w:val="nil"/>
              <w:left w:val="single" w:sz="4" w:space="0" w:color="auto"/>
              <w:bottom w:val="single" w:sz="4" w:space="0" w:color="auto"/>
              <w:right w:val="single" w:sz="4" w:space="0" w:color="auto"/>
            </w:tcBorders>
            <w:vAlign w:val="center"/>
          </w:tcPr>
          <w:p w:rsidR="004646E3" w:rsidRPr="00D80296" w:rsidRDefault="004646E3" w:rsidP="00507035">
            <w:pPr>
              <w:spacing w:before="120" w:after="120"/>
              <w:rPr>
                <w:rFonts w:ascii="Arial" w:hAnsi="Arial" w:cs="Arial"/>
                <w:sz w:val="18"/>
                <w:szCs w:val="18"/>
              </w:rPr>
            </w:pPr>
            <w:r w:rsidRPr="00D80296">
              <w:rPr>
                <w:rFonts w:ascii="Arial" w:hAnsi="Arial" w:cs="Arial"/>
                <w:sz w:val="18"/>
                <w:szCs w:val="18"/>
              </w:rPr>
              <w:t>Košický</w:t>
            </w:r>
          </w:p>
        </w:tc>
        <w:tc>
          <w:tcPr>
            <w:tcW w:w="0" w:type="auto"/>
            <w:tcBorders>
              <w:top w:val="nil"/>
              <w:left w:val="nil"/>
              <w:bottom w:val="single" w:sz="4" w:space="0" w:color="auto"/>
              <w:right w:val="single" w:sz="4" w:space="0" w:color="auto"/>
            </w:tcBorders>
            <w:vAlign w:val="center"/>
          </w:tcPr>
          <w:p w:rsidR="004646E3" w:rsidRPr="00D80296" w:rsidRDefault="004646E3" w:rsidP="00507035">
            <w:pPr>
              <w:spacing w:before="120" w:after="120"/>
              <w:jc w:val="center"/>
              <w:rPr>
                <w:rFonts w:ascii="Arial" w:hAnsi="Arial" w:cs="Arial"/>
                <w:sz w:val="20"/>
                <w:szCs w:val="20"/>
              </w:rPr>
            </w:pPr>
            <w:r w:rsidRPr="00D80296">
              <w:rPr>
                <w:rFonts w:ascii="Arial" w:hAnsi="Arial" w:cs="Arial"/>
                <w:sz w:val="20"/>
                <w:szCs w:val="20"/>
              </w:rPr>
              <w:t>60</w:t>
            </w:r>
          </w:p>
        </w:tc>
        <w:tc>
          <w:tcPr>
            <w:tcW w:w="0" w:type="auto"/>
            <w:tcBorders>
              <w:top w:val="nil"/>
              <w:left w:val="nil"/>
              <w:bottom w:val="single" w:sz="4" w:space="0" w:color="auto"/>
              <w:right w:val="single" w:sz="4" w:space="0" w:color="auto"/>
            </w:tcBorders>
            <w:vAlign w:val="center"/>
          </w:tcPr>
          <w:p w:rsidR="004646E3" w:rsidRPr="00D80296" w:rsidRDefault="004646E3" w:rsidP="00507035">
            <w:pPr>
              <w:spacing w:before="120" w:after="120"/>
              <w:jc w:val="center"/>
              <w:rPr>
                <w:rFonts w:ascii="Arial" w:hAnsi="Arial" w:cs="Arial"/>
                <w:sz w:val="20"/>
                <w:szCs w:val="20"/>
              </w:rPr>
            </w:pPr>
            <w:r w:rsidRPr="00D80296">
              <w:rPr>
                <w:rFonts w:ascii="Arial" w:hAnsi="Arial" w:cs="Arial"/>
                <w:color w:val="000000"/>
                <w:sz w:val="20"/>
                <w:szCs w:val="20"/>
              </w:rPr>
              <w:t>127 453 234</w:t>
            </w:r>
          </w:p>
        </w:tc>
        <w:tc>
          <w:tcPr>
            <w:tcW w:w="0" w:type="auto"/>
            <w:tcBorders>
              <w:top w:val="nil"/>
              <w:left w:val="nil"/>
              <w:bottom w:val="single" w:sz="4" w:space="0" w:color="auto"/>
              <w:right w:val="single" w:sz="4" w:space="0" w:color="auto"/>
            </w:tcBorders>
            <w:vAlign w:val="center"/>
          </w:tcPr>
          <w:p w:rsidR="004646E3" w:rsidRPr="00D80296" w:rsidRDefault="004646E3" w:rsidP="00507035">
            <w:pPr>
              <w:spacing w:before="120" w:after="120"/>
              <w:jc w:val="center"/>
              <w:rPr>
                <w:rFonts w:ascii="Arial" w:hAnsi="Arial" w:cs="Arial"/>
                <w:sz w:val="20"/>
                <w:szCs w:val="20"/>
              </w:rPr>
            </w:pPr>
            <w:r w:rsidRPr="00D80296">
              <w:rPr>
                <w:rFonts w:ascii="Arial" w:hAnsi="Arial" w:cs="Arial"/>
                <w:color w:val="000000"/>
                <w:sz w:val="20"/>
                <w:szCs w:val="20"/>
              </w:rPr>
              <w:t>2</w:t>
            </w:r>
          </w:p>
        </w:tc>
        <w:tc>
          <w:tcPr>
            <w:tcW w:w="0" w:type="auto"/>
            <w:tcBorders>
              <w:top w:val="nil"/>
              <w:left w:val="nil"/>
              <w:bottom w:val="single" w:sz="4" w:space="0" w:color="auto"/>
              <w:right w:val="single" w:sz="4" w:space="0" w:color="auto"/>
            </w:tcBorders>
            <w:vAlign w:val="center"/>
          </w:tcPr>
          <w:p w:rsidR="004646E3" w:rsidRPr="00D80296" w:rsidRDefault="004646E3" w:rsidP="00507035">
            <w:pPr>
              <w:spacing w:before="120" w:after="120"/>
              <w:jc w:val="center"/>
              <w:rPr>
                <w:rFonts w:ascii="Arial" w:hAnsi="Arial" w:cs="Arial"/>
                <w:sz w:val="20"/>
                <w:szCs w:val="20"/>
              </w:rPr>
            </w:pPr>
            <w:r w:rsidRPr="00D80296">
              <w:rPr>
                <w:rFonts w:ascii="Arial" w:hAnsi="Arial" w:cs="Arial"/>
                <w:color w:val="000000"/>
                <w:sz w:val="20"/>
                <w:szCs w:val="20"/>
              </w:rPr>
              <w:t>10 125 871</w:t>
            </w:r>
          </w:p>
        </w:tc>
        <w:tc>
          <w:tcPr>
            <w:tcW w:w="0" w:type="auto"/>
            <w:tcBorders>
              <w:top w:val="nil"/>
              <w:left w:val="nil"/>
              <w:bottom w:val="single" w:sz="4" w:space="0" w:color="auto"/>
              <w:right w:val="single" w:sz="4" w:space="0" w:color="auto"/>
            </w:tcBorders>
            <w:vAlign w:val="center"/>
          </w:tcPr>
          <w:p w:rsidR="004646E3" w:rsidRPr="00D80296" w:rsidRDefault="004646E3" w:rsidP="00507035">
            <w:pPr>
              <w:spacing w:before="120" w:after="120"/>
              <w:jc w:val="center"/>
              <w:rPr>
                <w:rFonts w:ascii="Arial" w:hAnsi="Arial" w:cs="Arial"/>
                <w:sz w:val="20"/>
                <w:szCs w:val="20"/>
              </w:rPr>
            </w:pPr>
            <w:r w:rsidRPr="00D80296">
              <w:rPr>
                <w:rFonts w:ascii="Arial" w:hAnsi="Arial" w:cs="Arial"/>
                <w:color w:val="000000"/>
                <w:sz w:val="20"/>
                <w:szCs w:val="20"/>
              </w:rPr>
              <w:t>7,94%</w:t>
            </w:r>
          </w:p>
        </w:tc>
      </w:tr>
      <w:tr w:rsidR="004646E3" w:rsidRPr="00D80296" w:rsidTr="006A2BF3">
        <w:trPr>
          <w:trHeight w:val="20"/>
        </w:trPr>
        <w:tc>
          <w:tcPr>
            <w:tcW w:w="0" w:type="auto"/>
            <w:tcBorders>
              <w:top w:val="single" w:sz="4" w:space="0" w:color="auto"/>
              <w:left w:val="single" w:sz="4" w:space="0" w:color="auto"/>
              <w:bottom w:val="single" w:sz="4" w:space="0" w:color="auto"/>
              <w:right w:val="single" w:sz="4" w:space="0" w:color="auto"/>
            </w:tcBorders>
            <w:shd w:val="clear" w:color="000000" w:fill="auto"/>
            <w:vAlign w:val="center"/>
          </w:tcPr>
          <w:p w:rsidR="004646E3" w:rsidRPr="00D80296" w:rsidRDefault="004646E3" w:rsidP="00507035">
            <w:pPr>
              <w:spacing w:before="120" w:after="120"/>
              <w:rPr>
                <w:rFonts w:ascii="Arial" w:hAnsi="Arial" w:cs="Arial"/>
                <w:sz w:val="18"/>
                <w:szCs w:val="18"/>
              </w:rPr>
            </w:pPr>
            <w:r w:rsidRPr="00D80296">
              <w:rPr>
                <w:rFonts w:ascii="Arial" w:hAnsi="Arial" w:cs="Arial"/>
                <w:sz w:val="18"/>
                <w:szCs w:val="18"/>
              </w:rPr>
              <w:t>Projekty nezaradené do NUTS III</w:t>
            </w:r>
          </w:p>
        </w:tc>
        <w:tc>
          <w:tcPr>
            <w:tcW w:w="0" w:type="auto"/>
            <w:tcBorders>
              <w:top w:val="single" w:sz="4" w:space="0" w:color="auto"/>
              <w:left w:val="nil"/>
              <w:bottom w:val="single" w:sz="4" w:space="0" w:color="auto"/>
              <w:right w:val="single" w:sz="4" w:space="0" w:color="auto"/>
            </w:tcBorders>
            <w:shd w:val="clear" w:color="000000" w:fill="auto"/>
            <w:vAlign w:val="center"/>
          </w:tcPr>
          <w:p w:rsidR="004646E3" w:rsidRPr="00D80296" w:rsidRDefault="004646E3" w:rsidP="00507035">
            <w:pPr>
              <w:spacing w:before="120" w:after="120"/>
              <w:jc w:val="center"/>
              <w:rPr>
                <w:rFonts w:ascii="Arial" w:hAnsi="Arial" w:cs="Arial"/>
                <w:sz w:val="20"/>
                <w:szCs w:val="20"/>
              </w:rPr>
            </w:pPr>
            <w:r w:rsidRPr="00D80296">
              <w:rPr>
                <w:rFonts w:ascii="Arial" w:hAnsi="Arial" w:cs="Arial"/>
                <w:sz w:val="20"/>
                <w:szCs w:val="20"/>
              </w:rPr>
              <w:t>42</w:t>
            </w:r>
          </w:p>
        </w:tc>
        <w:tc>
          <w:tcPr>
            <w:tcW w:w="0" w:type="auto"/>
            <w:tcBorders>
              <w:top w:val="single" w:sz="4" w:space="0" w:color="auto"/>
              <w:left w:val="nil"/>
              <w:bottom w:val="single" w:sz="4" w:space="0" w:color="auto"/>
              <w:right w:val="single" w:sz="4" w:space="0" w:color="auto"/>
            </w:tcBorders>
            <w:shd w:val="clear" w:color="000000" w:fill="auto"/>
            <w:vAlign w:val="center"/>
          </w:tcPr>
          <w:p w:rsidR="004646E3" w:rsidRPr="00D80296" w:rsidRDefault="004646E3" w:rsidP="00507035">
            <w:pPr>
              <w:spacing w:before="120" w:after="120"/>
              <w:jc w:val="center"/>
              <w:rPr>
                <w:rFonts w:ascii="Arial" w:hAnsi="Arial" w:cs="Arial"/>
                <w:sz w:val="20"/>
                <w:szCs w:val="20"/>
              </w:rPr>
            </w:pPr>
            <w:r w:rsidRPr="00D80296">
              <w:rPr>
                <w:rFonts w:ascii="Arial" w:hAnsi="Arial" w:cs="Arial"/>
                <w:color w:val="000000"/>
                <w:sz w:val="20"/>
                <w:szCs w:val="20"/>
              </w:rPr>
              <w:t>134 180 369</w:t>
            </w:r>
          </w:p>
        </w:tc>
        <w:tc>
          <w:tcPr>
            <w:tcW w:w="0" w:type="auto"/>
            <w:tcBorders>
              <w:top w:val="single" w:sz="4" w:space="0" w:color="auto"/>
              <w:left w:val="nil"/>
              <w:bottom w:val="single" w:sz="4" w:space="0" w:color="auto"/>
              <w:right w:val="single" w:sz="4" w:space="0" w:color="auto"/>
            </w:tcBorders>
            <w:shd w:val="clear" w:color="000000" w:fill="auto"/>
            <w:vAlign w:val="center"/>
          </w:tcPr>
          <w:p w:rsidR="004646E3" w:rsidRPr="00D80296" w:rsidRDefault="004646E3" w:rsidP="00507035">
            <w:pPr>
              <w:spacing w:before="120" w:after="120"/>
              <w:jc w:val="center"/>
              <w:rPr>
                <w:rFonts w:ascii="Arial" w:hAnsi="Arial" w:cs="Arial"/>
                <w:sz w:val="20"/>
                <w:szCs w:val="20"/>
              </w:rPr>
            </w:pPr>
            <w:r w:rsidRPr="00D80296">
              <w:rPr>
                <w:rFonts w:ascii="Arial" w:hAnsi="Arial" w:cs="Arial"/>
                <w:color w:val="000000"/>
                <w:sz w:val="20"/>
                <w:szCs w:val="20"/>
              </w:rPr>
              <w:t>14</w:t>
            </w:r>
          </w:p>
        </w:tc>
        <w:tc>
          <w:tcPr>
            <w:tcW w:w="0" w:type="auto"/>
            <w:tcBorders>
              <w:top w:val="single" w:sz="4" w:space="0" w:color="auto"/>
              <w:left w:val="nil"/>
              <w:bottom w:val="single" w:sz="4" w:space="0" w:color="auto"/>
              <w:right w:val="single" w:sz="4" w:space="0" w:color="auto"/>
            </w:tcBorders>
            <w:shd w:val="clear" w:color="000000" w:fill="auto"/>
            <w:vAlign w:val="center"/>
          </w:tcPr>
          <w:p w:rsidR="004646E3" w:rsidRPr="00D80296" w:rsidRDefault="004646E3" w:rsidP="00507035">
            <w:pPr>
              <w:spacing w:before="120" w:after="120"/>
              <w:jc w:val="center"/>
              <w:rPr>
                <w:rFonts w:ascii="Arial" w:hAnsi="Arial" w:cs="Arial"/>
                <w:sz w:val="20"/>
                <w:szCs w:val="20"/>
              </w:rPr>
            </w:pPr>
            <w:r w:rsidRPr="00D80296">
              <w:rPr>
                <w:rFonts w:ascii="Arial" w:hAnsi="Arial" w:cs="Arial"/>
                <w:color w:val="000000"/>
                <w:sz w:val="20"/>
                <w:szCs w:val="20"/>
              </w:rPr>
              <w:t>22 281 227</w:t>
            </w:r>
          </w:p>
        </w:tc>
        <w:tc>
          <w:tcPr>
            <w:tcW w:w="0" w:type="auto"/>
            <w:tcBorders>
              <w:top w:val="single" w:sz="4" w:space="0" w:color="auto"/>
              <w:left w:val="nil"/>
              <w:bottom w:val="single" w:sz="4" w:space="0" w:color="auto"/>
              <w:right w:val="single" w:sz="4" w:space="0" w:color="auto"/>
            </w:tcBorders>
            <w:shd w:val="clear" w:color="000000" w:fill="auto"/>
            <w:vAlign w:val="center"/>
          </w:tcPr>
          <w:p w:rsidR="004646E3" w:rsidRPr="00D80296" w:rsidRDefault="004646E3" w:rsidP="00507035">
            <w:pPr>
              <w:spacing w:before="120" w:after="120"/>
              <w:jc w:val="center"/>
              <w:rPr>
                <w:rFonts w:ascii="Arial" w:hAnsi="Arial" w:cs="Arial"/>
                <w:sz w:val="20"/>
                <w:szCs w:val="20"/>
              </w:rPr>
            </w:pPr>
            <w:r w:rsidRPr="00D80296">
              <w:rPr>
                <w:rFonts w:ascii="Arial" w:hAnsi="Arial" w:cs="Arial"/>
                <w:color w:val="000000"/>
                <w:sz w:val="20"/>
                <w:szCs w:val="20"/>
              </w:rPr>
              <w:t>16,61%</w:t>
            </w:r>
          </w:p>
        </w:tc>
      </w:tr>
      <w:tr w:rsidR="004646E3" w:rsidRPr="00D80296" w:rsidTr="006A2BF3">
        <w:trPr>
          <w:trHeight w:val="20"/>
        </w:trPr>
        <w:tc>
          <w:tcPr>
            <w:tcW w:w="0" w:type="auto"/>
            <w:tcBorders>
              <w:top w:val="single" w:sz="4" w:space="0" w:color="auto"/>
              <w:left w:val="single" w:sz="4" w:space="0" w:color="auto"/>
              <w:bottom w:val="single" w:sz="4" w:space="0" w:color="auto"/>
              <w:right w:val="single" w:sz="4" w:space="0" w:color="auto"/>
            </w:tcBorders>
            <w:shd w:val="clear" w:color="000000" w:fill="EAF1DD"/>
            <w:vAlign w:val="center"/>
          </w:tcPr>
          <w:p w:rsidR="004646E3" w:rsidRPr="00D80296" w:rsidRDefault="004646E3" w:rsidP="008216A0">
            <w:pPr>
              <w:jc w:val="right"/>
              <w:rPr>
                <w:rFonts w:ascii="Arial" w:hAnsi="Arial" w:cs="Arial"/>
                <w:b/>
                <w:bCs/>
                <w:sz w:val="20"/>
                <w:szCs w:val="20"/>
              </w:rPr>
            </w:pPr>
            <w:r w:rsidRPr="00D80296">
              <w:rPr>
                <w:rFonts w:ascii="Arial" w:hAnsi="Arial" w:cs="Arial"/>
                <w:b/>
                <w:bCs/>
                <w:sz w:val="20"/>
                <w:szCs w:val="20"/>
              </w:rPr>
              <w:t>Spolu</w:t>
            </w:r>
          </w:p>
        </w:tc>
        <w:tc>
          <w:tcPr>
            <w:tcW w:w="0" w:type="auto"/>
            <w:tcBorders>
              <w:top w:val="single" w:sz="4" w:space="0" w:color="auto"/>
              <w:left w:val="nil"/>
              <w:bottom w:val="single" w:sz="4" w:space="0" w:color="auto"/>
              <w:right w:val="single" w:sz="4" w:space="0" w:color="auto"/>
            </w:tcBorders>
            <w:shd w:val="clear" w:color="000000" w:fill="EAF1DD"/>
            <w:vAlign w:val="center"/>
          </w:tcPr>
          <w:p w:rsidR="004646E3" w:rsidRPr="00D80296" w:rsidRDefault="004646E3" w:rsidP="008216A0">
            <w:pPr>
              <w:jc w:val="center"/>
              <w:rPr>
                <w:rFonts w:ascii="Arial" w:hAnsi="Arial" w:cs="Arial"/>
                <w:b/>
                <w:bCs/>
                <w:sz w:val="20"/>
                <w:szCs w:val="20"/>
              </w:rPr>
            </w:pPr>
            <w:r w:rsidRPr="00D80296">
              <w:rPr>
                <w:rFonts w:ascii="Arial" w:hAnsi="Arial" w:cs="Arial"/>
                <w:b/>
                <w:bCs/>
                <w:color w:val="000000"/>
                <w:sz w:val="20"/>
                <w:szCs w:val="20"/>
              </w:rPr>
              <w:t>581</w:t>
            </w:r>
          </w:p>
        </w:tc>
        <w:tc>
          <w:tcPr>
            <w:tcW w:w="0" w:type="auto"/>
            <w:tcBorders>
              <w:top w:val="single" w:sz="4" w:space="0" w:color="auto"/>
              <w:left w:val="nil"/>
              <w:bottom w:val="single" w:sz="4" w:space="0" w:color="auto"/>
              <w:right w:val="single" w:sz="4" w:space="0" w:color="auto"/>
            </w:tcBorders>
            <w:shd w:val="clear" w:color="000000" w:fill="EAF1DD"/>
            <w:vAlign w:val="center"/>
          </w:tcPr>
          <w:p w:rsidR="004646E3" w:rsidRPr="00D80296" w:rsidRDefault="004646E3" w:rsidP="008216A0">
            <w:pPr>
              <w:jc w:val="center"/>
              <w:rPr>
                <w:rFonts w:ascii="Arial" w:hAnsi="Arial" w:cs="Arial"/>
                <w:b/>
                <w:bCs/>
                <w:sz w:val="20"/>
                <w:szCs w:val="20"/>
              </w:rPr>
            </w:pPr>
            <w:r w:rsidRPr="00D80296">
              <w:rPr>
                <w:rFonts w:ascii="Arial" w:hAnsi="Arial" w:cs="Arial"/>
                <w:b/>
                <w:bCs/>
                <w:color w:val="000000"/>
                <w:sz w:val="20"/>
                <w:szCs w:val="20"/>
              </w:rPr>
              <w:t>1 380 313 198</w:t>
            </w:r>
          </w:p>
        </w:tc>
        <w:tc>
          <w:tcPr>
            <w:tcW w:w="0" w:type="auto"/>
            <w:tcBorders>
              <w:top w:val="single" w:sz="4" w:space="0" w:color="auto"/>
              <w:left w:val="nil"/>
              <w:bottom w:val="single" w:sz="4" w:space="0" w:color="auto"/>
              <w:right w:val="single" w:sz="4" w:space="0" w:color="auto"/>
            </w:tcBorders>
            <w:shd w:val="clear" w:color="000000" w:fill="EAF1DD"/>
            <w:vAlign w:val="center"/>
          </w:tcPr>
          <w:p w:rsidR="004646E3" w:rsidRPr="00D80296" w:rsidRDefault="004646E3" w:rsidP="008216A0">
            <w:pPr>
              <w:jc w:val="center"/>
              <w:rPr>
                <w:rFonts w:ascii="Arial" w:hAnsi="Arial" w:cs="Arial"/>
                <w:b/>
                <w:bCs/>
                <w:sz w:val="20"/>
                <w:szCs w:val="20"/>
              </w:rPr>
            </w:pPr>
            <w:r w:rsidRPr="00D80296">
              <w:rPr>
                <w:rFonts w:ascii="Arial" w:hAnsi="Arial" w:cs="Arial"/>
                <w:b/>
                <w:bCs/>
                <w:color w:val="000000"/>
                <w:sz w:val="20"/>
                <w:szCs w:val="20"/>
              </w:rPr>
              <w:t>58</w:t>
            </w:r>
          </w:p>
        </w:tc>
        <w:tc>
          <w:tcPr>
            <w:tcW w:w="0" w:type="auto"/>
            <w:tcBorders>
              <w:top w:val="single" w:sz="4" w:space="0" w:color="auto"/>
              <w:left w:val="nil"/>
              <w:bottom w:val="single" w:sz="4" w:space="0" w:color="auto"/>
              <w:right w:val="single" w:sz="4" w:space="0" w:color="auto"/>
            </w:tcBorders>
            <w:shd w:val="clear" w:color="000000" w:fill="EAF1DD"/>
            <w:vAlign w:val="center"/>
          </w:tcPr>
          <w:p w:rsidR="004646E3" w:rsidRPr="00D80296" w:rsidRDefault="004646E3" w:rsidP="008216A0">
            <w:pPr>
              <w:jc w:val="center"/>
              <w:rPr>
                <w:rFonts w:ascii="Arial" w:hAnsi="Arial" w:cs="Arial"/>
                <w:b/>
                <w:bCs/>
                <w:sz w:val="20"/>
                <w:szCs w:val="20"/>
              </w:rPr>
            </w:pPr>
            <w:r w:rsidRPr="00D80296">
              <w:rPr>
                <w:rFonts w:ascii="Arial" w:hAnsi="Arial" w:cs="Arial"/>
                <w:b/>
                <w:bCs/>
                <w:color w:val="000000"/>
                <w:sz w:val="20"/>
                <w:szCs w:val="20"/>
              </w:rPr>
              <w:t>149 113 113</w:t>
            </w:r>
          </w:p>
        </w:tc>
        <w:tc>
          <w:tcPr>
            <w:tcW w:w="0" w:type="auto"/>
            <w:tcBorders>
              <w:top w:val="single" w:sz="4" w:space="0" w:color="auto"/>
              <w:left w:val="nil"/>
              <w:bottom w:val="single" w:sz="4" w:space="0" w:color="auto"/>
              <w:right w:val="single" w:sz="4" w:space="0" w:color="auto"/>
            </w:tcBorders>
            <w:shd w:val="clear" w:color="000000" w:fill="EAF1DD"/>
            <w:vAlign w:val="center"/>
          </w:tcPr>
          <w:p w:rsidR="004646E3" w:rsidRPr="00D80296" w:rsidRDefault="004646E3" w:rsidP="008216A0">
            <w:pPr>
              <w:jc w:val="center"/>
              <w:rPr>
                <w:rFonts w:ascii="Arial" w:hAnsi="Arial" w:cs="Arial"/>
                <w:b/>
                <w:sz w:val="20"/>
                <w:szCs w:val="20"/>
              </w:rPr>
            </w:pPr>
            <w:r w:rsidRPr="00D80296">
              <w:rPr>
                <w:rFonts w:ascii="Arial" w:hAnsi="Arial" w:cs="Arial"/>
                <w:color w:val="000000"/>
                <w:sz w:val="20"/>
                <w:szCs w:val="20"/>
              </w:rPr>
              <w:t>10,80%</w:t>
            </w:r>
          </w:p>
        </w:tc>
      </w:tr>
    </w:tbl>
    <w:p w:rsidR="002416B1" w:rsidRPr="00D80296" w:rsidRDefault="00000CC9" w:rsidP="008216A0">
      <w:pPr>
        <w:rPr>
          <w:rFonts w:ascii="Arial" w:hAnsi="Arial" w:cs="Arial"/>
          <w:sz w:val="18"/>
          <w:szCs w:val="18"/>
        </w:rPr>
      </w:pPr>
      <w:r>
        <w:rPr>
          <w:rFonts w:ascii="Arial" w:hAnsi="Arial" w:cs="Arial"/>
          <w:sz w:val="18"/>
          <w:szCs w:val="18"/>
        </w:rPr>
        <w:t>Zdroj: RO, ITMS</w:t>
      </w:r>
    </w:p>
    <w:p w:rsidR="008216A0" w:rsidRDefault="002416B1" w:rsidP="00EF0531">
      <w:pPr>
        <w:spacing w:before="120" w:after="120" w:line="360" w:lineRule="auto"/>
        <w:jc w:val="both"/>
        <w:rPr>
          <w:rFonts w:ascii="Arial" w:hAnsi="Arial" w:cs="Arial"/>
          <w:sz w:val="20"/>
          <w:szCs w:val="20"/>
        </w:rPr>
      </w:pPr>
      <w:r w:rsidRPr="00D80296">
        <w:rPr>
          <w:rFonts w:ascii="Arial" w:hAnsi="Arial" w:cs="Arial"/>
          <w:sz w:val="20"/>
          <w:szCs w:val="20"/>
        </w:rPr>
        <w:t>Vyššie uvedená tabuľka pojednáva o príspevku zazmluvnených projektov k horizontálnej priorite Informačná spoločn</w:t>
      </w:r>
      <w:r w:rsidR="000D2FA3" w:rsidRPr="00D80296">
        <w:rPr>
          <w:rFonts w:ascii="Arial" w:hAnsi="Arial" w:cs="Arial"/>
          <w:sz w:val="20"/>
          <w:szCs w:val="20"/>
        </w:rPr>
        <w:t>osť v rámci jednotlivých krajov, z uvedených dôvodov zahŕňa zazmluvnené projekty, ktoré sú v realizácii a</w:t>
      </w:r>
      <w:r w:rsidR="0017741A" w:rsidRPr="00D80296">
        <w:rPr>
          <w:rFonts w:ascii="Arial" w:hAnsi="Arial" w:cs="Arial"/>
          <w:sz w:val="20"/>
          <w:szCs w:val="20"/>
        </w:rPr>
        <w:t xml:space="preserve"> tiež </w:t>
      </w:r>
      <w:r w:rsidR="000D2FA3" w:rsidRPr="00D80296">
        <w:rPr>
          <w:rFonts w:ascii="Arial" w:hAnsi="Arial" w:cs="Arial"/>
          <w:sz w:val="20"/>
          <w:szCs w:val="20"/>
        </w:rPr>
        <w:t>projekty ukončené.</w:t>
      </w:r>
      <w:r w:rsidRPr="00D80296">
        <w:rPr>
          <w:rFonts w:ascii="Arial" w:hAnsi="Arial" w:cs="Arial"/>
          <w:sz w:val="20"/>
          <w:szCs w:val="20"/>
        </w:rPr>
        <w:t xml:space="preserve"> Je potrebné zdôrazniť, že v rámci OP ŽP ide o projekty s nepriamym dopadom na HP IS, keďže ich aktivity nie sú priamo orientované na informačnú spoločnosť a zazmluvnené prostriedky nebudú v plnej výške vynaložené na napĺňanie cieľov HP IS.</w:t>
      </w:r>
    </w:p>
    <w:p w:rsidR="002416B1" w:rsidRPr="00DF4CF3" w:rsidRDefault="002416B1" w:rsidP="008216A0">
      <w:pPr>
        <w:spacing w:line="360" w:lineRule="auto"/>
        <w:jc w:val="both"/>
        <w:rPr>
          <w:rFonts w:ascii="Arial" w:hAnsi="Arial" w:cs="Arial"/>
          <w:sz w:val="20"/>
          <w:szCs w:val="20"/>
        </w:rPr>
      </w:pPr>
      <w:r w:rsidRPr="00DF4CF3">
        <w:rPr>
          <w:rFonts w:ascii="Arial" w:hAnsi="Arial" w:cs="Arial"/>
          <w:sz w:val="20"/>
          <w:szCs w:val="20"/>
        </w:rPr>
        <w:t xml:space="preserve">Tab. č. </w:t>
      </w:r>
      <w:r w:rsidR="00254D6C">
        <w:rPr>
          <w:rFonts w:ascii="Arial" w:hAnsi="Arial" w:cs="Arial"/>
          <w:sz w:val="20"/>
          <w:szCs w:val="20"/>
        </w:rPr>
        <w:t>68</w:t>
      </w:r>
      <w:r w:rsidRPr="00DF4CF3">
        <w:rPr>
          <w:rFonts w:ascii="Arial" w:hAnsi="Arial" w:cs="Arial"/>
          <w:sz w:val="20"/>
          <w:szCs w:val="20"/>
        </w:rPr>
        <w:t>: Plnenie fyzických ukazovateľov HP IS na úrovni prioritnej osi k 31.12.201</w:t>
      </w:r>
      <w:r w:rsidR="00D80296" w:rsidRPr="0039268C">
        <w:rPr>
          <w:rFonts w:ascii="Arial" w:hAnsi="Arial" w:cs="Arial"/>
          <w:sz w:val="20"/>
          <w:szCs w:val="20"/>
        </w:rPr>
        <w:t>2</w:t>
      </w:r>
    </w:p>
    <w:tbl>
      <w:tblPr>
        <w:tblW w:w="9170" w:type="dxa"/>
        <w:tblInd w:w="55" w:type="dxa"/>
        <w:tblLayout w:type="fixed"/>
        <w:tblCellMar>
          <w:left w:w="70" w:type="dxa"/>
          <w:right w:w="70" w:type="dxa"/>
        </w:tblCellMar>
        <w:tblLook w:val="04A0" w:firstRow="1" w:lastRow="0" w:firstColumn="1" w:lastColumn="0" w:noHBand="0" w:noVBand="1"/>
      </w:tblPr>
      <w:tblGrid>
        <w:gridCol w:w="1858"/>
        <w:gridCol w:w="1233"/>
        <w:gridCol w:w="496"/>
        <w:gridCol w:w="496"/>
        <w:gridCol w:w="496"/>
        <w:gridCol w:w="496"/>
        <w:gridCol w:w="496"/>
        <w:gridCol w:w="496"/>
        <w:gridCol w:w="496"/>
        <w:gridCol w:w="496"/>
        <w:gridCol w:w="496"/>
        <w:gridCol w:w="585"/>
        <w:gridCol w:w="1030"/>
      </w:tblGrid>
      <w:tr w:rsidR="002416B1" w:rsidRPr="00DF4CF3" w:rsidTr="000D360F">
        <w:trPr>
          <w:trHeight w:val="402"/>
        </w:trPr>
        <w:tc>
          <w:tcPr>
            <w:tcW w:w="3091" w:type="dxa"/>
            <w:gridSpan w:val="2"/>
            <w:tcBorders>
              <w:top w:val="single" w:sz="4" w:space="0" w:color="auto"/>
              <w:left w:val="single" w:sz="4" w:space="0" w:color="auto"/>
              <w:bottom w:val="single" w:sz="4" w:space="0" w:color="auto"/>
              <w:right w:val="single" w:sz="4" w:space="0" w:color="000000"/>
            </w:tcBorders>
            <w:shd w:val="clear" w:color="auto" w:fill="B6DDE8" w:themeFill="accent5" w:themeFillTint="66"/>
            <w:noWrap/>
            <w:vAlign w:val="center"/>
          </w:tcPr>
          <w:p w:rsidR="002416B1" w:rsidRPr="00DF4CF3" w:rsidRDefault="002416B1" w:rsidP="008216A0">
            <w:pPr>
              <w:jc w:val="center"/>
              <w:rPr>
                <w:rFonts w:ascii="Arial" w:hAnsi="Arial" w:cs="Arial"/>
                <w:b/>
                <w:bCs/>
                <w:sz w:val="16"/>
                <w:szCs w:val="16"/>
              </w:rPr>
            </w:pPr>
            <w:r w:rsidRPr="00DF4CF3">
              <w:rPr>
                <w:rFonts w:ascii="Arial" w:hAnsi="Arial" w:cs="Arial"/>
                <w:b/>
                <w:bCs/>
                <w:sz w:val="16"/>
                <w:szCs w:val="16"/>
              </w:rPr>
              <w:t>Ukazovatele</w:t>
            </w:r>
          </w:p>
        </w:tc>
        <w:tc>
          <w:tcPr>
            <w:tcW w:w="496" w:type="dxa"/>
            <w:tcBorders>
              <w:top w:val="single" w:sz="4" w:space="0" w:color="auto"/>
              <w:left w:val="nil"/>
              <w:bottom w:val="single" w:sz="4" w:space="0" w:color="auto"/>
              <w:right w:val="single" w:sz="4" w:space="0" w:color="auto"/>
            </w:tcBorders>
            <w:shd w:val="clear" w:color="auto" w:fill="B6DDE8" w:themeFill="accent5" w:themeFillTint="66"/>
            <w:noWrap/>
            <w:vAlign w:val="center"/>
          </w:tcPr>
          <w:p w:rsidR="002416B1" w:rsidRPr="00DF4CF3" w:rsidRDefault="002416B1" w:rsidP="008216A0">
            <w:pPr>
              <w:jc w:val="center"/>
              <w:rPr>
                <w:rFonts w:ascii="Arial" w:hAnsi="Arial" w:cs="Arial"/>
                <w:b/>
                <w:bCs/>
                <w:sz w:val="16"/>
                <w:szCs w:val="16"/>
              </w:rPr>
            </w:pPr>
            <w:r w:rsidRPr="00DF4CF3">
              <w:rPr>
                <w:rFonts w:ascii="Arial" w:hAnsi="Arial" w:cs="Arial"/>
                <w:b/>
                <w:bCs/>
                <w:sz w:val="16"/>
                <w:szCs w:val="16"/>
              </w:rPr>
              <w:t>2007</w:t>
            </w:r>
          </w:p>
        </w:tc>
        <w:tc>
          <w:tcPr>
            <w:tcW w:w="496" w:type="dxa"/>
            <w:tcBorders>
              <w:top w:val="single" w:sz="4" w:space="0" w:color="auto"/>
              <w:left w:val="nil"/>
              <w:bottom w:val="single" w:sz="4" w:space="0" w:color="auto"/>
              <w:right w:val="single" w:sz="4" w:space="0" w:color="auto"/>
            </w:tcBorders>
            <w:shd w:val="clear" w:color="auto" w:fill="B6DDE8" w:themeFill="accent5" w:themeFillTint="66"/>
            <w:noWrap/>
            <w:vAlign w:val="center"/>
          </w:tcPr>
          <w:p w:rsidR="002416B1" w:rsidRPr="00DF4CF3" w:rsidRDefault="002416B1" w:rsidP="008216A0">
            <w:pPr>
              <w:jc w:val="center"/>
              <w:rPr>
                <w:rFonts w:ascii="Arial" w:hAnsi="Arial" w:cs="Arial"/>
                <w:b/>
                <w:bCs/>
                <w:sz w:val="16"/>
                <w:szCs w:val="16"/>
              </w:rPr>
            </w:pPr>
            <w:r w:rsidRPr="00DF4CF3">
              <w:rPr>
                <w:rFonts w:ascii="Arial" w:hAnsi="Arial" w:cs="Arial"/>
                <w:b/>
                <w:bCs/>
                <w:sz w:val="16"/>
                <w:szCs w:val="16"/>
              </w:rPr>
              <w:t>2008</w:t>
            </w:r>
          </w:p>
        </w:tc>
        <w:tc>
          <w:tcPr>
            <w:tcW w:w="496" w:type="dxa"/>
            <w:tcBorders>
              <w:top w:val="single" w:sz="4" w:space="0" w:color="auto"/>
              <w:left w:val="nil"/>
              <w:bottom w:val="single" w:sz="4" w:space="0" w:color="auto"/>
              <w:right w:val="single" w:sz="4" w:space="0" w:color="auto"/>
            </w:tcBorders>
            <w:shd w:val="clear" w:color="auto" w:fill="B6DDE8" w:themeFill="accent5" w:themeFillTint="66"/>
            <w:noWrap/>
            <w:vAlign w:val="center"/>
          </w:tcPr>
          <w:p w:rsidR="002416B1" w:rsidRPr="00DF4CF3" w:rsidRDefault="002416B1" w:rsidP="008216A0">
            <w:pPr>
              <w:jc w:val="center"/>
              <w:rPr>
                <w:rFonts w:ascii="Arial" w:hAnsi="Arial" w:cs="Arial"/>
                <w:b/>
                <w:bCs/>
                <w:sz w:val="16"/>
                <w:szCs w:val="16"/>
              </w:rPr>
            </w:pPr>
            <w:r w:rsidRPr="00DF4CF3">
              <w:rPr>
                <w:rFonts w:ascii="Arial" w:hAnsi="Arial" w:cs="Arial"/>
                <w:b/>
                <w:bCs/>
                <w:sz w:val="16"/>
                <w:szCs w:val="16"/>
              </w:rPr>
              <w:t>2009</w:t>
            </w:r>
          </w:p>
        </w:tc>
        <w:tc>
          <w:tcPr>
            <w:tcW w:w="496" w:type="dxa"/>
            <w:tcBorders>
              <w:top w:val="single" w:sz="4" w:space="0" w:color="auto"/>
              <w:left w:val="nil"/>
              <w:bottom w:val="single" w:sz="4" w:space="0" w:color="auto"/>
              <w:right w:val="single" w:sz="4" w:space="0" w:color="auto"/>
            </w:tcBorders>
            <w:shd w:val="clear" w:color="auto" w:fill="B6DDE8" w:themeFill="accent5" w:themeFillTint="66"/>
            <w:noWrap/>
            <w:vAlign w:val="center"/>
          </w:tcPr>
          <w:p w:rsidR="002416B1" w:rsidRPr="00DF4CF3" w:rsidRDefault="002416B1" w:rsidP="008216A0">
            <w:pPr>
              <w:jc w:val="center"/>
              <w:rPr>
                <w:rFonts w:ascii="Arial" w:hAnsi="Arial" w:cs="Arial"/>
                <w:b/>
                <w:bCs/>
                <w:sz w:val="16"/>
                <w:szCs w:val="16"/>
              </w:rPr>
            </w:pPr>
            <w:r w:rsidRPr="00DF4CF3">
              <w:rPr>
                <w:rFonts w:ascii="Arial" w:hAnsi="Arial" w:cs="Arial"/>
                <w:b/>
                <w:bCs/>
                <w:sz w:val="16"/>
                <w:szCs w:val="16"/>
              </w:rPr>
              <w:t>2010</w:t>
            </w:r>
          </w:p>
        </w:tc>
        <w:tc>
          <w:tcPr>
            <w:tcW w:w="496" w:type="dxa"/>
            <w:tcBorders>
              <w:top w:val="single" w:sz="4" w:space="0" w:color="auto"/>
              <w:left w:val="nil"/>
              <w:bottom w:val="single" w:sz="4" w:space="0" w:color="auto"/>
              <w:right w:val="single" w:sz="4" w:space="0" w:color="auto"/>
            </w:tcBorders>
            <w:shd w:val="clear" w:color="auto" w:fill="B6DDE8" w:themeFill="accent5" w:themeFillTint="66"/>
            <w:noWrap/>
            <w:vAlign w:val="center"/>
          </w:tcPr>
          <w:p w:rsidR="002416B1" w:rsidRPr="00DF4CF3" w:rsidRDefault="002416B1" w:rsidP="008216A0">
            <w:pPr>
              <w:jc w:val="center"/>
              <w:rPr>
                <w:rFonts w:ascii="Arial" w:hAnsi="Arial" w:cs="Arial"/>
                <w:b/>
                <w:bCs/>
                <w:sz w:val="16"/>
                <w:szCs w:val="16"/>
              </w:rPr>
            </w:pPr>
            <w:r w:rsidRPr="00DF4CF3">
              <w:rPr>
                <w:rFonts w:ascii="Arial" w:hAnsi="Arial" w:cs="Arial"/>
                <w:b/>
                <w:bCs/>
                <w:sz w:val="16"/>
                <w:szCs w:val="16"/>
              </w:rPr>
              <w:t>2011</w:t>
            </w:r>
          </w:p>
        </w:tc>
        <w:tc>
          <w:tcPr>
            <w:tcW w:w="496" w:type="dxa"/>
            <w:tcBorders>
              <w:top w:val="single" w:sz="4" w:space="0" w:color="auto"/>
              <w:left w:val="nil"/>
              <w:bottom w:val="single" w:sz="4" w:space="0" w:color="auto"/>
              <w:right w:val="single" w:sz="4" w:space="0" w:color="auto"/>
            </w:tcBorders>
            <w:shd w:val="clear" w:color="auto" w:fill="B6DDE8" w:themeFill="accent5" w:themeFillTint="66"/>
            <w:noWrap/>
            <w:vAlign w:val="center"/>
          </w:tcPr>
          <w:p w:rsidR="002416B1" w:rsidRPr="00DF4CF3" w:rsidRDefault="002416B1" w:rsidP="008216A0">
            <w:pPr>
              <w:jc w:val="center"/>
              <w:rPr>
                <w:rFonts w:ascii="Arial" w:hAnsi="Arial" w:cs="Arial"/>
                <w:b/>
                <w:bCs/>
                <w:sz w:val="16"/>
                <w:szCs w:val="16"/>
              </w:rPr>
            </w:pPr>
            <w:r w:rsidRPr="00DF4CF3">
              <w:rPr>
                <w:rFonts w:ascii="Arial" w:hAnsi="Arial" w:cs="Arial"/>
                <w:b/>
                <w:bCs/>
                <w:sz w:val="16"/>
                <w:szCs w:val="16"/>
              </w:rPr>
              <w:t>2012</w:t>
            </w:r>
          </w:p>
        </w:tc>
        <w:tc>
          <w:tcPr>
            <w:tcW w:w="496" w:type="dxa"/>
            <w:tcBorders>
              <w:top w:val="single" w:sz="4" w:space="0" w:color="auto"/>
              <w:left w:val="nil"/>
              <w:bottom w:val="single" w:sz="4" w:space="0" w:color="auto"/>
              <w:right w:val="single" w:sz="4" w:space="0" w:color="auto"/>
            </w:tcBorders>
            <w:shd w:val="clear" w:color="auto" w:fill="B6DDE8" w:themeFill="accent5" w:themeFillTint="66"/>
            <w:noWrap/>
            <w:vAlign w:val="center"/>
          </w:tcPr>
          <w:p w:rsidR="002416B1" w:rsidRPr="00DF4CF3" w:rsidRDefault="002416B1" w:rsidP="008216A0">
            <w:pPr>
              <w:jc w:val="center"/>
              <w:rPr>
                <w:rFonts w:ascii="Arial" w:hAnsi="Arial" w:cs="Arial"/>
                <w:b/>
                <w:bCs/>
                <w:sz w:val="16"/>
                <w:szCs w:val="16"/>
              </w:rPr>
            </w:pPr>
            <w:r w:rsidRPr="00DF4CF3">
              <w:rPr>
                <w:rFonts w:ascii="Arial" w:hAnsi="Arial" w:cs="Arial"/>
                <w:b/>
                <w:bCs/>
                <w:sz w:val="16"/>
                <w:szCs w:val="16"/>
              </w:rPr>
              <w:t>2013</w:t>
            </w:r>
          </w:p>
        </w:tc>
        <w:tc>
          <w:tcPr>
            <w:tcW w:w="496" w:type="dxa"/>
            <w:tcBorders>
              <w:top w:val="single" w:sz="4" w:space="0" w:color="auto"/>
              <w:left w:val="nil"/>
              <w:bottom w:val="single" w:sz="4" w:space="0" w:color="auto"/>
              <w:right w:val="single" w:sz="4" w:space="0" w:color="auto"/>
            </w:tcBorders>
            <w:shd w:val="clear" w:color="auto" w:fill="B6DDE8" w:themeFill="accent5" w:themeFillTint="66"/>
            <w:noWrap/>
            <w:vAlign w:val="center"/>
          </w:tcPr>
          <w:p w:rsidR="002416B1" w:rsidRPr="00DF4CF3" w:rsidRDefault="002416B1" w:rsidP="008216A0">
            <w:pPr>
              <w:jc w:val="center"/>
              <w:rPr>
                <w:rFonts w:ascii="Arial" w:hAnsi="Arial" w:cs="Arial"/>
                <w:b/>
                <w:bCs/>
                <w:sz w:val="16"/>
                <w:szCs w:val="16"/>
              </w:rPr>
            </w:pPr>
            <w:r w:rsidRPr="00DF4CF3">
              <w:rPr>
                <w:rFonts w:ascii="Arial" w:hAnsi="Arial" w:cs="Arial"/>
                <w:b/>
                <w:bCs/>
                <w:sz w:val="16"/>
                <w:szCs w:val="16"/>
              </w:rPr>
              <w:t>2014</w:t>
            </w:r>
          </w:p>
        </w:tc>
        <w:tc>
          <w:tcPr>
            <w:tcW w:w="496" w:type="dxa"/>
            <w:tcBorders>
              <w:top w:val="single" w:sz="4" w:space="0" w:color="auto"/>
              <w:left w:val="nil"/>
              <w:bottom w:val="single" w:sz="4" w:space="0" w:color="auto"/>
              <w:right w:val="single" w:sz="4" w:space="0" w:color="auto"/>
            </w:tcBorders>
            <w:shd w:val="clear" w:color="auto" w:fill="B6DDE8" w:themeFill="accent5" w:themeFillTint="66"/>
            <w:noWrap/>
            <w:vAlign w:val="center"/>
          </w:tcPr>
          <w:p w:rsidR="002416B1" w:rsidRPr="00DF4CF3" w:rsidRDefault="002416B1" w:rsidP="008216A0">
            <w:pPr>
              <w:jc w:val="center"/>
              <w:rPr>
                <w:rFonts w:ascii="Arial" w:hAnsi="Arial" w:cs="Arial"/>
                <w:b/>
                <w:bCs/>
                <w:sz w:val="16"/>
                <w:szCs w:val="16"/>
              </w:rPr>
            </w:pPr>
            <w:r w:rsidRPr="00DF4CF3">
              <w:rPr>
                <w:rFonts w:ascii="Arial" w:hAnsi="Arial" w:cs="Arial"/>
                <w:b/>
                <w:bCs/>
                <w:sz w:val="16"/>
                <w:szCs w:val="16"/>
              </w:rPr>
              <w:t>2015</w:t>
            </w:r>
          </w:p>
        </w:tc>
        <w:tc>
          <w:tcPr>
            <w:tcW w:w="585" w:type="dxa"/>
            <w:tcBorders>
              <w:top w:val="single" w:sz="4" w:space="0" w:color="auto"/>
              <w:left w:val="nil"/>
              <w:bottom w:val="single" w:sz="4" w:space="0" w:color="auto"/>
              <w:right w:val="single" w:sz="4" w:space="0" w:color="auto"/>
            </w:tcBorders>
            <w:shd w:val="clear" w:color="auto" w:fill="B6DDE8" w:themeFill="accent5" w:themeFillTint="66"/>
            <w:noWrap/>
            <w:vAlign w:val="center"/>
          </w:tcPr>
          <w:p w:rsidR="002416B1" w:rsidRPr="00DF4CF3" w:rsidRDefault="000D360F" w:rsidP="008216A0">
            <w:pPr>
              <w:jc w:val="center"/>
              <w:rPr>
                <w:rFonts w:ascii="Arial" w:hAnsi="Arial" w:cs="Arial"/>
                <w:b/>
                <w:bCs/>
                <w:sz w:val="16"/>
                <w:szCs w:val="16"/>
              </w:rPr>
            </w:pPr>
            <w:r>
              <w:rPr>
                <w:rFonts w:ascii="Arial" w:hAnsi="Arial" w:cs="Arial"/>
                <w:b/>
                <w:bCs/>
                <w:sz w:val="16"/>
                <w:szCs w:val="16"/>
              </w:rPr>
              <w:t>Celkom</w:t>
            </w:r>
          </w:p>
        </w:tc>
        <w:tc>
          <w:tcPr>
            <w:tcW w:w="1030" w:type="dxa"/>
            <w:tcBorders>
              <w:top w:val="single" w:sz="4" w:space="0" w:color="auto"/>
              <w:left w:val="nil"/>
              <w:bottom w:val="single" w:sz="4" w:space="0" w:color="auto"/>
              <w:right w:val="single" w:sz="4" w:space="0" w:color="auto"/>
            </w:tcBorders>
            <w:shd w:val="clear" w:color="auto" w:fill="B6DDE8" w:themeFill="accent5" w:themeFillTint="66"/>
            <w:noWrap/>
            <w:vAlign w:val="center"/>
          </w:tcPr>
          <w:p w:rsidR="002416B1" w:rsidRPr="00DF4CF3" w:rsidRDefault="002416B1" w:rsidP="008216A0">
            <w:pPr>
              <w:jc w:val="center"/>
              <w:rPr>
                <w:rFonts w:ascii="Arial" w:hAnsi="Arial" w:cs="Arial"/>
                <w:b/>
                <w:bCs/>
                <w:sz w:val="16"/>
                <w:szCs w:val="16"/>
              </w:rPr>
            </w:pPr>
            <w:r w:rsidRPr="00DF4CF3">
              <w:rPr>
                <w:rFonts w:ascii="Arial" w:hAnsi="Arial" w:cs="Arial"/>
                <w:b/>
                <w:bCs/>
                <w:sz w:val="16"/>
                <w:szCs w:val="16"/>
              </w:rPr>
              <w:t>Komentár</w:t>
            </w:r>
            <w:r w:rsidRPr="00DF4CF3">
              <w:rPr>
                <w:rFonts w:ascii="Arial" w:hAnsi="Arial" w:cs="Arial"/>
                <w:b/>
                <w:bCs/>
                <w:sz w:val="16"/>
                <w:szCs w:val="16"/>
                <w:vertAlign w:val="superscript"/>
              </w:rPr>
              <w:t>1</w:t>
            </w:r>
          </w:p>
        </w:tc>
      </w:tr>
      <w:tr w:rsidR="002416B1" w:rsidRPr="00DF4CF3" w:rsidTr="006A2BF3">
        <w:trPr>
          <w:trHeight w:val="300"/>
        </w:trPr>
        <w:tc>
          <w:tcPr>
            <w:tcW w:w="9170" w:type="dxa"/>
            <w:gridSpan w:val="13"/>
            <w:tcBorders>
              <w:top w:val="single" w:sz="4" w:space="0" w:color="auto"/>
              <w:left w:val="single" w:sz="4" w:space="0" w:color="auto"/>
              <w:bottom w:val="single" w:sz="4" w:space="0" w:color="auto"/>
              <w:right w:val="single" w:sz="4" w:space="0" w:color="000000"/>
            </w:tcBorders>
            <w:shd w:val="clear" w:color="auto" w:fill="EAF1DD"/>
            <w:noWrap/>
            <w:vAlign w:val="center"/>
          </w:tcPr>
          <w:p w:rsidR="002416B1" w:rsidRPr="00DF4CF3" w:rsidRDefault="002416B1" w:rsidP="008216A0">
            <w:pPr>
              <w:rPr>
                <w:rFonts w:ascii="Arial" w:hAnsi="Arial" w:cs="Arial"/>
                <w:b/>
                <w:bCs/>
                <w:sz w:val="16"/>
                <w:szCs w:val="16"/>
              </w:rPr>
            </w:pPr>
            <w:r w:rsidRPr="00DF4CF3">
              <w:rPr>
                <w:rFonts w:ascii="Arial" w:hAnsi="Arial" w:cs="Arial"/>
                <w:b/>
                <w:bCs/>
                <w:sz w:val="16"/>
                <w:szCs w:val="16"/>
              </w:rPr>
              <w:t>Prioritná os 3 - Ochrana ovzdušia a minimalizácia nepriaznivých vplyvov zmeny klímy</w:t>
            </w:r>
          </w:p>
        </w:tc>
      </w:tr>
      <w:tr w:rsidR="00632479" w:rsidRPr="00DF4CF3" w:rsidTr="006A2BF3">
        <w:trPr>
          <w:trHeight w:val="300"/>
        </w:trPr>
        <w:tc>
          <w:tcPr>
            <w:tcW w:w="1858" w:type="dxa"/>
            <w:vMerge w:val="restart"/>
            <w:tcBorders>
              <w:top w:val="nil"/>
              <w:left w:val="single" w:sz="4" w:space="0" w:color="auto"/>
              <w:bottom w:val="single" w:sz="4" w:space="0" w:color="000000"/>
              <w:right w:val="single" w:sz="4" w:space="0" w:color="auto"/>
            </w:tcBorders>
            <w:vAlign w:val="center"/>
          </w:tcPr>
          <w:p w:rsidR="00632479" w:rsidRDefault="00632479" w:rsidP="008216A0">
            <w:pPr>
              <w:rPr>
                <w:rFonts w:ascii="Arial" w:hAnsi="Arial" w:cs="Arial"/>
                <w:sz w:val="16"/>
                <w:szCs w:val="16"/>
              </w:rPr>
            </w:pPr>
            <w:r w:rsidRPr="00DF4CF3">
              <w:rPr>
                <w:rFonts w:ascii="Arial" w:hAnsi="Arial" w:cs="Arial"/>
                <w:sz w:val="16"/>
                <w:szCs w:val="16"/>
              </w:rPr>
              <w:t>Počet zmodernizovaných a novo nainštalovaných monitorovacích staníc Národnej monitorovacej siete kvality ovzdušia [počet]</w:t>
            </w:r>
          </w:p>
          <w:p w:rsidR="000D360F" w:rsidRPr="00DF4CF3" w:rsidRDefault="000D360F" w:rsidP="008216A0">
            <w:pPr>
              <w:rPr>
                <w:rFonts w:ascii="Arial" w:hAnsi="Arial" w:cs="Arial"/>
                <w:sz w:val="16"/>
                <w:szCs w:val="16"/>
              </w:rPr>
            </w:pPr>
            <w:r>
              <w:rPr>
                <w:rFonts w:ascii="Arial" w:hAnsi="Arial" w:cs="Arial"/>
                <w:sz w:val="16"/>
                <w:szCs w:val="16"/>
              </w:rPr>
              <w:t>výsledok</w:t>
            </w:r>
          </w:p>
        </w:tc>
        <w:tc>
          <w:tcPr>
            <w:tcW w:w="1233" w:type="dxa"/>
            <w:tcBorders>
              <w:top w:val="nil"/>
              <w:left w:val="nil"/>
              <w:bottom w:val="dotted" w:sz="4" w:space="0" w:color="auto"/>
              <w:right w:val="single" w:sz="4" w:space="0" w:color="auto"/>
            </w:tcBorders>
            <w:noWrap/>
            <w:vAlign w:val="center"/>
          </w:tcPr>
          <w:p w:rsidR="00632479" w:rsidRPr="00DF4CF3" w:rsidRDefault="00632479" w:rsidP="008216A0">
            <w:pPr>
              <w:rPr>
                <w:rFonts w:ascii="Arial" w:hAnsi="Arial" w:cs="Arial"/>
                <w:sz w:val="16"/>
                <w:szCs w:val="16"/>
              </w:rPr>
            </w:pPr>
            <w:r w:rsidRPr="00DF4CF3">
              <w:rPr>
                <w:rFonts w:ascii="Arial" w:hAnsi="Arial" w:cs="Arial"/>
                <w:sz w:val="16"/>
                <w:szCs w:val="16"/>
              </w:rPr>
              <w:t>Dosiahnutý výsledok</w:t>
            </w:r>
          </w:p>
        </w:tc>
        <w:tc>
          <w:tcPr>
            <w:tcW w:w="496" w:type="dxa"/>
            <w:tcBorders>
              <w:top w:val="nil"/>
              <w:left w:val="nil"/>
              <w:bottom w:val="dotted" w:sz="4" w:space="0" w:color="auto"/>
              <w:right w:val="dotted" w:sz="4" w:space="0" w:color="auto"/>
            </w:tcBorders>
            <w:noWrap/>
            <w:vAlign w:val="center"/>
          </w:tcPr>
          <w:p w:rsidR="00632479" w:rsidRPr="00DF4CF3" w:rsidRDefault="00632479" w:rsidP="008216A0">
            <w:pPr>
              <w:jc w:val="center"/>
              <w:rPr>
                <w:rFonts w:ascii="Arial" w:hAnsi="Arial" w:cs="Arial"/>
                <w:b/>
                <w:bCs/>
                <w:sz w:val="16"/>
                <w:szCs w:val="16"/>
              </w:rPr>
            </w:pPr>
            <w:r w:rsidRPr="00DF4CF3">
              <w:rPr>
                <w:rFonts w:ascii="Arial" w:hAnsi="Arial" w:cs="Arial"/>
                <w:b/>
                <w:bCs/>
                <w:sz w:val="16"/>
                <w:szCs w:val="16"/>
              </w:rPr>
              <w:t>0</w:t>
            </w:r>
          </w:p>
        </w:tc>
        <w:tc>
          <w:tcPr>
            <w:tcW w:w="496" w:type="dxa"/>
            <w:tcBorders>
              <w:top w:val="nil"/>
              <w:left w:val="nil"/>
              <w:bottom w:val="dotted" w:sz="4" w:space="0" w:color="auto"/>
              <w:right w:val="dotted" w:sz="4" w:space="0" w:color="auto"/>
            </w:tcBorders>
            <w:noWrap/>
            <w:vAlign w:val="center"/>
          </w:tcPr>
          <w:p w:rsidR="00632479" w:rsidRPr="00DF4CF3" w:rsidRDefault="00632479" w:rsidP="008216A0">
            <w:pPr>
              <w:jc w:val="center"/>
              <w:rPr>
                <w:rFonts w:ascii="Arial" w:hAnsi="Arial" w:cs="Arial"/>
                <w:b/>
                <w:bCs/>
                <w:sz w:val="16"/>
                <w:szCs w:val="16"/>
              </w:rPr>
            </w:pPr>
            <w:r w:rsidRPr="00DF4CF3">
              <w:rPr>
                <w:rFonts w:ascii="Arial" w:hAnsi="Arial" w:cs="Arial"/>
                <w:b/>
                <w:bCs/>
                <w:sz w:val="16"/>
                <w:szCs w:val="16"/>
              </w:rPr>
              <w:t>0</w:t>
            </w:r>
          </w:p>
        </w:tc>
        <w:tc>
          <w:tcPr>
            <w:tcW w:w="496" w:type="dxa"/>
            <w:tcBorders>
              <w:top w:val="nil"/>
              <w:left w:val="nil"/>
              <w:bottom w:val="dotted" w:sz="4" w:space="0" w:color="auto"/>
              <w:right w:val="dotted" w:sz="4" w:space="0" w:color="auto"/>
            </w:tcBorders>
            <w:noWrap/>
            <w:vAlign w:val="center"/>
          </w:tcPr>
          <w:p w:rsidR="00632479" w:rsidRPr="00DF4CF3" w:rsidRDefault="00632479" w:rsidP="008216A0">
            <w:pPr>
              <w:jc w:val="center"/>
              <w:rPr>
                <w:rFonts w:ascii="Arial" w:hAnsi="Arial" w:cs="Arial"/>
                <w:b/>
                <w:bCs/>
                <w:sz w:val="16"/>
                <w:szCs w:val="16"/>
              </w:rPr>
            </w:pPr>
            <w:r w:rsidRPr="00DF4CF3">
              <w:rPr>
                <w:rFonts w:ascii="Arial" w:hAnsi="Arial" w:cs="Arial"/>
                <w:b/>
                <w:bCs/>
                <w:sz w:val="16"/>
                <w:szCs w:val="16"/>
              </w:rPr>
              <w:t>0</w:t>
            </w:r>
          </w:p>
        </w:tc>
        <w:tc>
          <w:tcPr>
            <w:tcW w:w="496" w:type="dxa"/>
            <w:tcBorders>
              <w:top w:val="nil"/>
              <w:left w:val="nil"/>
              <w:bottom w:val="dotted" w:sz="4" w:space="0" w:color="auto"/>
              <w:right w:val="dotted" w:sz="4" w:space="0" w:color="auto"/>
            </w:tcBorders>
            <w:noWrap/>
            <w:vAlign w:val="center"/>
          </w:tcPr>
          <w:p w:rsidR="00632479" w:rsidRPr="00DF4CF3" w:rsidRDefault="00632479" w:rsidP="008216A0">
            <w:pPr>
              <w:jc w:val="center"/>
              <w:rPr>
                <w:rFonts w:ascii="Arial" w:hAnsi="Arial" w:cs="Arial"/>
                <w:b/>
                <w:bCs/>
                <w:sz w:val="16"/>
                <w:szCs w:val="16"/>
              </w:rPr>
            </w:pPr>
            <w:r w:rsidRPr="00DF4CF3">
              <w:rPr>
                <w:rFonts w:ascii="Arial" w:hAnsi="Arial" w:cs="Arial"/>
                <w:b/>
                <w:bCs/>
                <w:sz w:val="16"/>
                <w:szCs w:val="16"/>
              </w:rPr>
              <w:t>27</w:t>
            </w:r>
          </w:p>
        </w:tc>
        <w:tc>
          <w:tcPr>
            <w:tcW w:w="496" w:type="dxa"/>
            <w:tcBorders>
              <w:top w:val="nil"/>
              <w:left w:val="nil"/>
              <w:bottom w:val="dotted" w:sz="4" w:space="0" w:color="auto"/>
              <w:right w:val="dotted" w:sz="4" w:space="0" w:color="auto"/>
            </w:tcBorders>
            <w:noWrap/>
            <w:vAlign w:val="center"/>
          </w:tcPr>
          <w:p w:rsidR="00632479" w:rsidRPr="00DF4CF3" w:rsidRDefault="00632479" w:rsidP="008216A0">
            <w:pPr>
              <w:jc w:val="center"/>
              <w:rPr>
                <w:rFonts w:ascii="Arial" w:hAnsi="Arial" w:cs="Arial"/>
                <w:b/>
                <w:bCs/>
                <w:sz w:val="16"/>
                <w:szCs w:val="16"/>
              </w:rPr>
            </w:pPr>
            <w:r w:rsidRPr="00DF4CF3">
              <w:rPr>
                <w:rFonts w:ascii="Arial" w:hAnsi="Arial" w:cs="Arial"/>
                <w:b/>
                <w:bCs/>
                <w:sz w:val="16"/>
                <w:szCs w:val="16"/>
              </w:rPr>
              <w:t>27</w:t>
            </w:r>
          </w:p>
        </w:tc>
        <w:tc>
          <w:tcPr>
            <w:tcW w:w="496" w:type="dxa"/>
            <w:tcBorders>
              <w:top w:val="nil"/>
              <w:left w:val="nil"/>
              <w:bottom w:val="dotted" w:sz="4" w:space="0" w:color="auto"/>
              <w:right w:val="dotted" w:sz="4" w:space="0" w:color="auto"/>
            </w:tcBorders>
            <w:noWrap/>
            <w:vAlign w:val="center"/>
          </w:tcPr>
          <w:p w:rsidR="00632479" w:rsidRPr="00DF4CF3" w:rsidRDefault="00632479" w:rsidP="008216A0">
            <w:pPr>
              <w:jc w:val="center"/>
              <w:rPr>
                <w:rFonts w:ascii="Arial" w:hAnsi="Arial" w:cs="Arial"/>
                <w:i/>
                <w:iCs/>
                <w:sz w:val="16"/>
                <w:szCs w:val="16"/>
              </w:rPr>
            </w:pPr>
            <w:r w:rsidRPr="00DF4CF3">
              <w:rPr>
                <w:rFonts w:ascii="Arial" w:hAnsi="Arial" w:cs="Arial"/>
                <w:i/>
                <w:iCs/>
                <w:color w:val="000000"/>
                <w:sz w:val="16"/>
                <w:szCs w:val="16"/>
              </w:rPr>
              <w:t>27</w:t>
            </w:r>
          </w:p>
        </w:tc>
        <w:tc>
          <w:tcPr>
            <w:tcW w:w="496" w:type="dxa"/>
            <w:tcBorders>
              <w:top w:val="nil"/>
              <w:left w:val="nil"/>
              <w:bottom w:val="dotted" w:sz="4" w:space="0" w:color="auto"/>
              <w:right w:val="dotted" w:sz="4" w:space="0" w:color="auto"/>
            </w:tcBorders>
            <w:noWrap/>
            <w:vAlign w:val="center"/>
          </w:tcPr>
          <w:p w:rsidR="00632479" w:rsidRPr="00DF4CF3" w:rsidRDefault="00632479" w:rsidP="008216A0">
            <w:pPr>
              <w:jc w:val="center"/>
              <w:rPr>
                <w:rFonts w:ascii="Arial" w:hAnsi="Arial" w:cs="Arial"/>
                <w:i/>
                <w:iCs/>
                <w:sz w:val="16"/>
                <w:szCs w:val="16"/>
              </w:rPr>
            </w:pPr>
            <w:r w:rsidRPr="00DF4CF3">
              <w:rPr>
                <w:rFonts w:ascii="Arial" w:hAnsi="Arial" w:cs="Arial"/>
                <w:i/>
                <w:iCs/>
                <w:sz w:val="16"/>
                <w:szCs w:val="16"/>
              </w:rPr>
              <w:t>N/A</w:t>
            </w:r>
          </w:p>
        </w:tc>
        <w:tc>
          <w:tcPr>
            <w:tcW w:w="496" w:type="dxa"/>
            <w:tcBorders>
              <w:top w:val="nil"/>
              <w:left w:val="nil"/>
              <w:bottom w:val="dotted" w:sz="4" w:space="0" w:color="auto"/>
              <w:right w:val="dotted" w:sz="4" w:space="0" w:color="auto"/>
            </w:tcBorders>
            <w:noWrap/>
            <w:vAlign w:val="center"/>
          </w:tcPr>
          <w:p w:rsidR="00632479" w:rsidRPr="00DF4CF3" w:rsidRDefault="00632479" w:rsidP="008216A0">
            <w:pPr>
              <w:jc w:val="center"/>
              <w:rPr>
                <w:rFonts w:ascii="Arial" w:hAnsi="Arial" w:cs="Arial"/>
                <w:i/>
                <w:iCs/>
                <w:sz w:val="16"/>
                <w:szCs w:val="16"/>
              </w:rPr>
            </w:pPr>
            <w:r w:rsidRPr="00DF4CF3">
              <w:rPr>
                <w:rFonts w:ascii="Arial" w:hAnsi="Arial" w:cs="Arial"/>
                <w:i/>
                <w:iCs/>
                <w:sz w:val="16"/>
                <w:szCs w:val="16"/>
              </w:rPr>
              <w:t>N/A</w:t>
            </w:r>
          </w:p>
        </w:tc>
        <w:tc>
          <w:tcPr>
            <w:tcW w:w="496" w:type="dxa"/>
            <w:tcBorders>
              <w:top w:val="nil"/>
              <w:left w:val="nil"/>
              <w:bottom w:val="dotted" w:sz="4" w:space="0" w:color="auto"/>
              <w:right w:val="dotted" w:sz="4" w:space="0" w:color="auto"/>
            </w:tcBorders>
            <w:noWrap/>
            <w:vAlign w:val="center"/>
          </w:tcPr>
          <w:p w:rsidR="00632479" w:rsidRPr="00DF4CF3" w:rsidRDefault="00632479" w:rsidP="008216A0">
            <w:pPr>
              <w:jc w:val="center"/>
              <w:rPr>
                <w:rFonts w:ascii="Arial" w:hAnsi="Arial" w:cs="Arial"/>
                <w:i/>
                <w:iCs/>
                <w:sz w:val="16"/>
                <w:szCs w:val="16"/>
              </w:rPr>
            </w:pPr>
            <w:r w:rsidRPr="00DF4CF3">
              <w:rPr>
                <w:rFonts w:ascii="Arial" w:hAnsi="Arial" w:cs="Arial"/>
                <w:i/>
                <w:iCs/>
                <w:sz w:val="16"/>
                <w:szCs w:val="16"/>
              </w:rPr>
              <w:t>N/A</w:t>
            </w:r>
          </w:p>
        </w:tc>
        <w:tc>
          <w:tcPr>
            <w:tcW w:w="585" w:type="dxa"/>
            <w:tcBorders>
              <w:top w:val="nil"/>
              <w:left w:val="nil"/>
              <w:bottom w:val="dotted" w:sz="4" w:space="0" w:color="auto"/>
              <w:right w:val="dotted" w:sz="4" w:space="0" w:color="auto"/>
            </w:tcBorders>
            <w:noWrap/>
            <w:vAlign w:val="center"/>
          </w:tcPr>
          <w:p w:rsidR="00632479" w:rsidRPr="00DF4CF3" w:rsidRDefault="00632479" w:rsidP="008216A0">
            <w:pPr>
              <w:jc w:val="center"/>
              <w:rPr>
                <w:rFonts w:ascii="Arial" w:hAnsi="Arial" w:cs="Arial"/>
                <w:b/>
                <w:bCs/>
                <w:sz w:val="16"/>
                <w:szCs w:val="16"/>
              </w:rPr>
            </w:pPr>
            <w:r w:rsidRPr="00DF4CF3">
              <w:rPr>
                <w:rFonts w:ascii="Arial" w:hAnsi="Arial" w:cs="Arial"/>
                <w:b/>
                <w:bCs/>
                <w:sz w:val="16"/>
                <w:szCs w:val="16"/>
              </w:rPr>
              <w:t>27</w:t>
            </w:r>
          </w:p>
        </w:tc>
        <w:tc>
          <w:tcPr>
            <w:tcW w:w="1030" w:type="dxa"/>
            <w:tcBorders>
              <w:top w:val="nil"/>
              <w:left w:val="nil"/>
              <w:bottom w:val="dotted" w:sz="4" w:space="0" w:color="auto"/>
              <w:right w:val="single" w:sz="4" w:space="0" w:color="auto"/>
            </w:tcBorders>
            <w:noWrap/>
            <w:vAlign w:val="center"/>
          </w:tcPr>
          <w:p w:rsidR="00632479" w:rsidRPr="00DF4CF3" w:rsidRDefault="00632479" w:rsidP="008216A0">
            <w:pPr>
              <w:jc w:val="center"/>
              <w:rPr>
                <w:rFonts w:ascii="Arial" w:hAnsi="Arial" w:cs="Arial"/>
                <w:sz w:val="16"/>
                <w:szCs w:val="16"/>
              </w:rPr>
            </w:pPr>
          </w:p>
        </w:tc>
      </w:tr>
      <w:tr w:rsidR="00632479" w:rsidRPr="00DF4CF3" w:rsidTr="006A2BF3">
        <w:trPr>
          <w:trHeight w:val="300"/>
        </w:trPr>
        <w:tc>
          <w:tcPr>
            <w:tcW w:w="1858" w:type="dxa"/>
            <w:vMerge/>
            <w:tcBorders>
              <w:top w:val="single" w:sz="4" w:space="0" w:color="000000"/>
              <w:left w:val="single" w:sz="4" w:space="0" w:color="auto"/>
              <w:bottom w:val="single" w:sz="4" w:space="0" w:color="000000"/>
              <w:right w:val="single" w:sz="4" w:space="0" w:color="auto"/>
            </w:tcBorders>
            <w:vAlign w:val="center"/>
          </w:tcPr>
          <w:p w:rsidR="00632479" w:rsidRPr="00DF4CF3" w:rsidRDefault="00632479" w:rsidP="008216A0">
            <w:pPr>
              <w:rPr>
                <w:rFonts w:ascii="Arial" w:hAnsi="Arial" w:cs="Arial"/>
                <w:sz w:val="16"/>
                <w:szCs w:val="16"/>
              </w:rPr>
            </w:pPr>
          </w:p>
        </w:tc>
        <w:tc>
          <w:tcPr>
            <w:tcW w:w="1233" w:type="dxa"/>
            <w:tcBorders>
              <w:top w:val="nil"/>
              <w:left w:val="nil"/>
              <w:bottom w:val="dotted" w:sz="4" w:space="0" w:color="auto"/>
              <w:right w:val="single" w:sz="4" w:space="0" w:color="auto"/>
            </w:tcBorders>
            <w:noWrap/>
            <w:vAlign w:val="center"/>
          </w:tcPr>
          <w:p w:rsidR="00632479" w:rsidRPr="00DF4CF3" w:rsidRDefault="00632479" w:rsidP="008216A0">
            <w:pPr>
              <w:rPr>
                <w:rFonts w:ascii="Arial" w:hAnsi="Arial" w:cs="Arial"/>
                <w:sz w:val="16"/>
                <w:szCs w:val="16"/>
              </w:rPr>
            </w:pPr>
            <w:r w:rsidRPr="00DF4CF3">
              <w:rPr>
                <w:rFonts w:ascii="Arial" w:hAnsi="Arial" w:cs="Arial"/>
                <w:sz w:val="16"/>
                <w:szCs w:val="16"/>
              </w:rPr>
              <w:t>Cieľ</w:t>
            </w:r>
          </w:p>
        </w:tc>
        <w:tc>
          <w:tcPr>
            <w:tcW w:w="496" w:type="dxa"/>
            <w:tcBorders>
              <w:top w:val="nil"/>
              <w:left w:val="nil"/>
              <w:bottom w:val="dotted" w:sz="4" w:space="0" w:color="auto"/>
              <w:right w:val="dotted" w:sz="4" w:space="0" w:color="auto"/>
            </w:tcBorders>
            <w:noWrap/>
            <w:vAlign w:val="center"/>
          </w:tcPr>
          <w:p w:rsidR="00632479" w:rsidRPr="00DF4CF3" w:rsidRDefault="00632479" w:rsidP="008216A0">
            <w:pPr>
              <w:jc w:val="center"/>
              <w:rPr>
                <w:rFonts w:ascii="Arial" w:hAnsi="Arial" w:cs="Arial"/>
                <w:i/>
                <w:iCs/>
                <w:sz w:val="16"/>
                <w:szCs w:val="16"/>
              </w:rPr>
            </w:pPr>
            <w:r w:rsidRPr="00DF4CF3">
              <w:rPr>
                <w:rFonts w:ascii="Arial" w:hAnsi="Arial" w:cs="Arial"/>
                <w:i/>
                <w:iCs/>
                <w:sz w:val="16"/>
                <w:szCs w:val="16"/>
              </w:rPr>
              <w:t>N/A</w:t>
            </w:r>
          </w:p>
        </w:tc>
        <w:tc>
          <w:tcPr>
            <w:tcW w:w="496" w:type="dxa"/>
            <w:tcBorders>
              <w:top w:val="nil"/>
              <w:left w:val="nil"/>
              <w:bottom w:val="dotted" w:sz="4" w:space="0" w:color="auto"/>
              <w:right w:val="dotted" w:sz="4" w:space="0" w:color="auto"/>
            </w:tcBorders>
            <w:noWrap/>
            <w:vAlign w:val="center"/>
          </w:tcPr>
          <w:p w:rsidR="00632479" w:rsidRPr="00DF4CF3" w:rsidRDefault="00632479" w:rsidP="008216A0">
            <w:pPr>
              <w:jc w:val="center"/>
              <w:rPr>
                <w:rFonts w:ascii="Arial" w:hAnsi="Arial" w:cs="Arial"/>
                <w:i/>
                <w:iCs/>
                <w:sz w:val="16"/>
                <w:szCs w:val="16"/>
              </w:rPr>
            </w:pPr>
            <w:r w:rsidRPr="00DF4CF3">
              <w:rPr>
                <w:rFonts w:ascii="Arial" w:hAnsi="Arial" w:cs="Arial"/>
                <w:i/>
                <w:iCs/>
                <w:sz w:val="16"/>
                <w:szCs w:val="16"/>
              </w:rPr>
              <w:t>N/A</w:t>
            </w:r>
          </w:p>
        </w:tc>
        <w:tc>
          <w:tcPr>
            <w:tcW w:w="496" w:type="dxa"/>
            <w:tcBorders>
              <w:top w:val="nil"/>
              <w:left w:val="nil"/>
              <w:bottom w:val="dotted" w:sz="4" w:space="0" w:color="auto"/>
              <w:right w:val="dotted" w:sz="4" w:space="0" w:color="auto"/>
            </w:tcBorders>
            <w:noWrap/>
            <w:vAlign w:val="center"/>
          </w:tcPr>
          <w:p w:rsidR="00632479" w:rsidRPr="00DF4CF3" w:rsidRDefault="00632479" w:rsidP="008216A0">
            <w:pPr>
              <w:jc w:val="center"/>
              <w:rPr>
                <w:rFonts w:ascii="Arial" w:hAnsi="Arial" w:cs="Arial"/>
                <w:i/>
                <w:iCs/>
                <w:sz w:val="16"/>
                <w:szCs w:val="16"/>
              </w:rPr>
            </w:pPr>
            <w:r w:rsidRPr="00DF4CF3">
              <w:rPr>
                <w:rFonts w:ascii="Arial" w:hAnsi="Arial" w:cs="Arial"/>
                <w:i/>
                <w:iCs/>
                <w:sz w:val="16"/>
                <w:szCs w:val="16"/>
              </w:rPr>
              <w:t>N/A</w:t>
            </w:r>
          </w:p>
        </w:tc>
        <w:tc>
          <w:tcPr>
            <w:tcW w:w="496" w:type="dxa"/>
            <w:tcBorders>
              <w:top w:val="nil"/>
              <w:left w:val="nil"/>
              <w:bottom w:val="dotted" w:sz="4" w:space="0" w:color="auto"/>
              <w:right w:val="dotted" w:sz="4" w:space="0" w:color="auto"/>
            </w:tcBorders>
            <w:noWrap/>
            <w:vAlign w:val="center"/>
          </w:tcPr>
          <w:p w:rsidR="00632479" w:rsidRPr="00DF4CF3" w:rsidRDefault="00632479" w:rsidP="008216A0">
            <w:pPr>
              <w:jc w:val="center"/>
              <w:rPr>
                <w:rFonts w:ascii="Arial" w:hAnsi="Arial" w:cs="Arial"/>
                <w:i/>
                <w:iCs/>
                <w:sz w:val="16"/>
                <w:szCs w:val="16"/>
              </w:rPr>
            </w:pPr>
            <w:r w:rsidRPr="00DF4CF3">
              <w:rPr>
                <w:rFonts w:ascii="Arial" w:hAnsi="Arial" w:cs="Arial"/>
                <w:i/>
                <w:iCs/>
                <w:sz w:val="16"/>
                <w:szCs w:val="16"/>
              </w:rPr>
              <w:t>N/A</w:t>
            </w:r>
          </w:p>
        </w:tc>
        <w:tc>
          <w:tcPr>
            <w:tcW w:w="496" w:type="dxa"/>
            <w:tcBorders>
              <w:top w:val="nil"/>
              <w:left w:val="nil"/>
              <w:bottom w:val="dotted" w:sz="4" w:space="0" w:color="auto"/>
              <w:right w:val="dotted" w:sz="4" w:space="0" w:color="auto"/>
            </w:tcBorders>
            <w:noWrap/>
            <w:vAlign w:val="center"/>
          </w:tcPr>
          <w:p w:rsidR="00632479" w:rsidRPr="00DF4CF3" w:rsidRDefault="00632479" w:rsidP="008216A0">
            <w:pPr>
              <w:jc w:val="center"/>
              <w:rPr>
                <w:rFonts w:ascii="Arial" w:hAnsi="Arial" w:cs="Arial"/>
                <w:i/>
                <w:iCs/>
                <w:sz w:val="16"/>
                <w:szCs w:val="16"/>
              </w:rPr>
            </w:pPr>
            <w:r w:rsidRPr="00DF4CF3">
              <w:rPr>
                <w:rFonts w:ascii="Arial" w:hAnsi="Arial" w:cs="Arial"/>
                <w:i/>
                <w:iCs/>
                <w:sz w:val="16"/>
                <w:szCs w:val="16"/>
              </w:rPr>
              <w:t>N/A</w:t>
            </w:r>
          </w:p>
        </w:tc>
        <w:tc>
          <w:tcPr>
            <w:tcW w:w="496" w:type="dxa"/>
            <w:tcBorders>
              <w:top w:val="nil"/>
              <w:left w:val="nil"/>
              <w:bottom w:val="dotted" w:sz="4" w:space="0" w:color="auto"/>
              <w:right w:val="dotted" w:sz="4" w:space="0" w:color="auto"/>
            </w:tcBorders>
            <w:noWrap/>
            <w:vAlign w:val="center"/>
          </w:tcPr>
          <w:p w:rsidR="00632479" w:rsidRPr="00DF4CF3" w:rsidRDefault="00632479" w:rsidP="008216A0">
            <w:pPr>
              <w:jc w:val="center"/>
              <w:rPr>
                <w:rFonts w:ascii="Arial" w:hAnsi="Arial" w:cs="Arial"/>
                <w:i/>
                <w:iCs/>
                <w:sz w:val="16"/>
                <w:szCs w:val="16"/>
              </w:rPr>
            </w:pPr>
            <w:r w:rsidRPr="00DF4CF3">
              <w:rPr>
                <w:rFonts w:ascii="Arial" w:hAnsi="Arial" w:cs="Arial"/>
                <w:i/>
                <w:iCs/>
                <w:color w:val="000000"/>
                <w:sz w:val="16"/>
                <w:szCs w:val="16"/>
              </w:rPr>
              <w:t>N/A</w:t>
            </w:r>
          </w:p>
        </w:tc>
        <w:tc>
          <w:tcPr>
            <w:tcW w:w="496" w:type="dxa"/>
            <w:tcBorders>
              <w:top w:val="nil"/>
              <w:left w:val="nil"/>
              <w:bottom w:val="dotted" w:sz="4" w:space="0" w:color="auto"/>
              <w:right w:val="dotted" w:sz="4" w:space="0" w:color="auto"/>
            </w:tcBorders>
            <w:noWrap/>
            <w:vAlign w:val="center"/>
          </w:tcPr>
          <w:p w:rsidR="00632479" w:rsidRPr="00DF4CF3" w:rsidRDefault="00632479" w:rsidP="008216A0">
            <w:pPr>
              <w:jc w:val="center"/>
              <w:rPr>
                <w:rFonts w:ascii="Arial" w:hAnsi="Arial" w:cs="Arial"/>
                <w:i/>
                <w:iCs/>
                <w:sz w:val="16"/>
                <w:szCs w:val="16"/>
              </w:rPr>
            </w:pPr>
            <w:r w:rsidRPr="00DF4CF3">
              <w:rPr>
                <w:rFonts w:ascii="Arial" w:hAnsi="Arial" w:cs="Arial"/>
                <w:i/>
                <w:iCs/>
                <w:sz w:val="16"/>
                <w:szCs w:val="16"/>
              </w:rPr>
              <w:t>N/A</w:t>
            </w:r>
          </w:p>
        </w:tc>
        <w:tc>
          <w:tcPr>
            <w:tcW w:w="496" w:type="dxa"/>
            <w:tcBorders>
              <w:top w:val="nil"/>
              <w:left w:val="nil"/>
              <w:bottom w:val="dotted" w:sz="4" w:space="0" w:color="auto"/>
              <w:right w:val="dotted" w:sz="4" w:space="0" w:color="auto"/>
            </w:tcBorders>
            <w:noWrap/>
            <w:vAlign w:val="center"/>
          </w:tcPr>
          <w:p w:rsidR="00632479" w:rsidRPr="00DF4CF3" w:rsidRDefault="00632479" w:rsidP="008216A0">
            <w:pPr>
              <w:jc w:val="center"/>
              <w:rPr>
                <w:rFonts w:ascii="Arial" w:hAnsi="Arial" w:cs="Arial"/>
                <w:i/>
                <w:iCs/>
                <w:sz w:val="16"/>
                <w:szCs w:val="16"/>
              </w:rPr>
            </w:pPr>
            <w:r w:rsidRPr="00DF4CF3">
              <w:rPr>
                <w:rFonts w:ascii="Arial" w:hAnsi="Arial" w:cs="Arial"/>
                <w:i/>
                <w:iCs/>
                <w:sz w:val="16"/>
                <w:szCs w:val="16"/>
              </w:rPr>
              <w:t>N/A</w:t>
            </w:r>
          </w:p>
        </w:tc>
        <w:tc>
          <w:tcPr>
            <w:tcW w:w="496" w:type="dxa"/>
            <w:tcBorders>
              <w:top w:val="nil"/>
              <w:left w:val="nil"/>
              <w:bottom w:val="dotted" w:sz="4" w:space="0" w:color="auto"/>
              <w:right w:val="dotted" w:sz="4" w:space="0" w:color="auto"/>
            </w:tcBorders>
            <w:noWrap/>
            <w:vAlign w:val="center"/>
          </w:tcPr>
          <w:p w:rsidR="00632479" w:rsidRPr="00DF4CF3" w:rsidRDefault="00632479" w:rsidP="008216A0">
            <w:pPr>
              <w:jc w:val="center"/>
              <w:rPr>
                <w:rFonts w:ascii="Arial" w:hAnsi="Arial" w:cs="Arial"/>
                <w:b/>
                <w:bCs/>
                <w:sz w:val="16"/>
                <w:szCs w:val="16"/>
              </w:rPr>
            </w:pPr>
            <w:r w:rsidRPr="00DF4CF3">
              <w:rPr>
                <w:rFonts w:ascii="Arial" w:hAnsi="Arial" w:cs="Arial"/>
                <w:b/>
                <w:bCs/>
                <w:sz w:val="16"/>
                <w:szCs w:val="16"/>
              </w:rPr>
              <w:t>25</w:t>
            </w:r>
          </w:p>
        </w:tc>
        <w:tc>
          <w:tcPr>
            <w:tcW w:w="585" w:type="dxa"/>
            <w:tcBorders>
              <w:top w:val="nil"/>
              <w:left w:val="nil"/>
              <w:bottom w:val="dotted" w:sz="4" w:space="0" w:color="auto"/>
              <w:right w:val="dotted" w:sz="4" w:space="0" w:color="auto"/>
            </w:tcBorders>
            <w:noWrap/>
            <w:vAlign w:val="center"/>
          </w:tcPr>
          <w:p w:rsidR="00632479" w:rsidRPr="00DF4CF3" w:rsidRDefault="00632479" w:rsidP="008216A0">
            <w:pPr>
              <w:jc w:val="center"/>
              <w:rPr>
                <w:rFonts w:ascii="Arial" w:hAnsi="Arial" w:cs="Arial"/>
                <w:b/>
                <w:bCs/>
                <w:sz w:val="16"/>
                <w:szCs w:val="16"/>
              </w:rPr>
            </w:pPr>
            <w:r w:rsidRPr="00DF4CF3">
              <w:rPr>
                <w:rFonts w:ascii="Arial" w:hAnsi="Arial" w:cs="Arial"/>
                <w:b/>
                <w:bCs/>
                <w:sz w:val="16"/>
                <w:szCs w:val="16"/>
              </w:rPr>
              <w:t>25</w:t>
            </w:r>
          </w:p>
        </w:tc>
        <w:tc>
          <w:tcPr>
            <w:tcW w:w="1030" w:type="dxa"/>
            <w:tcBorders>
              <w:top w:val="nil"/>
              <w:left w:val="nil"/>
              <w:bottom w:val="dotted" w:sz="4" w:space="0" w:color="auto"/>
              <w:right w:val="single" w:sz="4" w:space="0" w:color="auto"/>
            </w:tcBorders>
            <w:noWrap/>
            <w:vAlign w:val="center"/>
          </w:tcPr>
          <w:p w:rsidR="00632479" w:rsidRPr="00DF4CF3" w:rsidRDefault="00632479" w:rsidP="008216A0">
            <w:pPr>
              <w:jc w:val="center"/>
              <w:rPr>
                <w:rFonts w:ascii="Arial" w:hAnsi="Arial" w:cs="Arial"/>
                <w:i/>
                <w:iCs/>
                <w:sz w:val="16"/>
                <w:szCs w:val="16"/>
              </w:rPr>
            </w:pPr>
            <w:r w:rsidRPr="00DF4CF3">
              <w:rPr>
                <w:rFonts w:ascii="Arial" w:hAnsi="Arial" w:cs="Arial"/>
                <w:i/>
                <w:iCs/>
                <w:sz w:val="16"/>
                <w:szCs w:val="16"/>
              </w:rPr>
              <w:t>27</w:t>
            </w:r>
          </w:p>
        </w:tc>
      </w:tr>
      <w:tr w:rsidR="00632479" w:rsidRPr="00DF4CF3" w:rsidTr="006A2BF3">
        <w:trPr>
          <w:trHeight w:val="360"/>
        </w:trPr>
        <w:tc>
          <w:tcPr>
            <w:tcW w:w="1858" w:type="dxa"/>
            <w:vMerge/>
            <w:tcBorders>
              <w:top w:val="single" w:sz="4" w:space="0" w:color="000000"/>
              <w:left w:val="single" w:sz="4" w:space="0" w:color="auto"/>
              <w:bottom w:val="single" w:sz="4" w:space="0" w:color="000000"/>
              <w:right w:val="single" w:sz="4" w:space="0" w:color="auto"/>
            </w:tcBorders>
            <w:vAlign w:val="center"/>
          </w:tcPr>
          <w:p w:rsidR="00632479" w:rsidRPr="00DF4CF3" w:rsidRDefault="00632479" w:rsidP="008216A0">
            <w:pPr>
              <w:rPr>
                <w:rFonts w:ascii="Arial" w:hAnsi="Arial" w:cs="Arial"/>
                <w:sz w:val="16"/>
                <w:szCs w:val="16"/>
              </w:rPr>
            </w:pPr>
          </w:p>
        </w:tc>
        <w:tc>
          <w:tcPr>
            <w:tcW w:w="1233" w:type="dxa"/>
            <w:tcBorders>
              <w:top w:val="nil"/>
              <w:left w:val="nil"/>
              <w:bottom w:val="single" w:sz="4" w:space="0" w:color="auto"/>
              <w:right w:val="single" w:sz="4" w:space="0" w:color="auto"/>
            </w:tcBorders>
            <w:noWrap/>
            <w:vAlign w:val="center"/>
          </w:tcPr>
          <w:p w:rsidR="00632479" w:rsidRPr="00DF4CF3" w:rsidRDefault="00632479" w:rsidP="008216A0">
            <w:pPr>
              <w:rPr>
                <w:rFonts w:ascii="Arial" w:hAnsi="Arial" w:cs="Arial"/>
                <w:sz w:val="16"/>
                <w:szCs w:val="16"/>
              </w:rPr>
            </w:pPr>
            <w:r w:rsidRPr="00DF4CF3">
              <w:rPr>
                <w:rFonts w:ascii="Arial" w:hAnsi="Arial" w:cs="Arial"/>
                <w:sz w:val="16"/>
                <w:szCs w:val="16"/>
              </w:rPr>
              <w:t>Východisko</w:t>
            </w:r>
          </w:p>
        </w:tc>
        <w:tc>
          <w:tcPr>
            <w:tcW w:w="496" w:type="dxa"/>
            <w:tcBorders>
              <w:top w:val="nil"/>
              <w:left w:val="nil"/>
              <w:bottom w:val="single" w:sz="4" w:space="0" w:color="auto"/>
              <w:right w:val="dotted" w:sz="4" w:space="0" w:color="auto"/>
            </w:tcBorders>
            <w:noWrap/>
            <w:vAlign w:val="center"/>
          </w:tcPr>
          <w:p w:rsidR="00632479" w:rsidRPr="00DF4CF3" w:rsidRDefault="00632479" w:rsidP="008216A0">
            <w:pPr>
              <w:jc w:val="center"/>
              <w:rPr>
                <w:rFonts w:ascii="Arial" w:hAnsi="Arial" w:cs="Arial"/>
                <w:b/>
                <w:bCs/>
                <w:sz w:val="16"/>
                <w:szCs w:val="16"/>
              </w:rPr>
            </w:pPr>
            <w:r w:rsidRPr="00DF4CF3">
              <w:rPr>
                <w:rFonts w:ascii="Arial" w:hAnsi="Arial" w:cs="Arial"/>
                <w:b/>
                <w:bCs/>
                <w:sz w:val="16"/>
                <w:szCs w:val="16"/>
              </w:rPr>
              <w:t>0</w:t>
            </w:r>
          </w:p>
        </w:tc>
        <w:tc>
          <w:tcPr>
            <w:tcW w:w="496" w:type="dxa"/>
            <w:tcBorders>
              <w:top w:val="nil"/>
              <w:left w:val="nil"/>
              <w:bottom w:val="single" w:sz="4" w:space="0" w:color="auto"/>
              <w:right w:val="dotted" w:sz="4" w:space="0" w:color="auto"/>
            </w:tcBorders>
            <w:noWrap/>
            <w:vAlign w:val="center"/>
          </w:tcPr>
          <w:p w:rsidR="00632479" w:rsidRPr="00DF4CF3" w:rsidRDefault="00632479" w:rsidP="008216A0">
            <w:pPr>
              <w:jc w:val="center"/>
              <w:rPr>
                <w:rFonts w:ascii="Arial" w:hAnsi="Arial" w:cs="Arial"/>
                <w:i/>
                <w:iCs/>
                <w:sz w:val="16"/>
                <w:szCs w:val="16"/>
              </w:rPr>
            </w:pPr>
            <w:r w:rsidRPr="00DF4CF3">
              <w:rPr>
                <w:rFonts w:ascii="Arial" w:hAnsi="Arial" w:cs="Arial"/>
                <w:i/>
                <w:iCs/>
                <w:sz w:val="16"/>
                <w:szCs w:val="16"/>
              </w:rPr>
              <w:t>N/A</w:t>
            </w:r>
          </w:p>
        </w:tc>
        <w:tc>
          <w:tcPr>
            <w:tcW w:w="496" w:type="dxa"/>
            <w:tcBorders>
              <w:top w:val="nil"/>
              <w:left w:val="nil"/>
              <w:bottom w:val="single" w:sz="4" w:space="0" w:color="auto"/>
              <w:right w:val="dotted" w:sz="4" w:space="0" w:color="auto"/>
            </w:tcBorders>
            <w:noWrap/>
            <w:vAlign w:val="center"/>
          </w:tcPr>
          <w:p w:rsidR="00632479" w:rsidRPr="00DF4CF3" w:rsidRDefault="00632479" w:rsidP="008216A0">
            <w:pPr>
              <w:jc w:val="center"/>
              <w:rPr>
                <w:rFonts w:ascii="Arial" w:hAnsi="Arial" w:cs="Arial"/>
                <w:i/>
                <w:iCs/>
                <w:sz w:val="16"/>
                <w:szCs w:val="16"/>
              </w:rPr>
            </w:pPr>
            <w:r w:rsidRPr="00DF4CF3">
              <w:rPr>
                <w:rFonts w:ascii="Arial" w:hAnsi="Arial" w:cs="Arial"/>
                <w:i/>
                <w:iCs/>
                <w:sz w:val="16"/>
                <w:szCs w:val="16"/>
              </w:rPr>
              <w:t>N/A</w:t>
            </w:r>
          </w:p>
        </w:tc>
        <w:tc>
          <w:tcPr>
            <w:tcW w:w="496" w:type="dxa"/>
            <w:tcBorders>
              <w:top w:val="nil"/>
              <w:left w:val="nil"/>
              <w:bottom w:val="single" w:sz="4" w:space="0" w:color="auto"/>
              <w:right w:val="dotted" w:sz="4" w:space="0" w:color="auto"/>
            </w:tcBorders>
            <w:noWrap/>
            <w:vAlign w:val="center"/>
          </w:tcPr>
          <w:p w:rsidR="00632479" w:rsidRPr="00DF4CF3" w:rsidRDefault="00632479" w:rsidP="008216A0">
            <w:pPr>
              <w:jc w:val="center"/>
              <w:rPr>
                <w:rFonts w:ascii="Arial" w:hAnsi="Arial" w:cs="Arial"/>
                <w:i/>
                <w:iCs/>
                <w:sz w:val="16"/>
                <w:szCs w:val="16"/>
              </w:rPr>
            </w:pPr>
            <w:r w:rsidRPr="00DF4CF3">
              <w:rPr>
                <w:rFonts w:ascii="Arial" w:hAnsi="Arial" w:cs="Arial"/>
                <w:i/>
                <w:iCs/>
                <w:sz w:val="16"/>
                <w:szCs w:val="16"/>
              </w:rPr>
              <w:t>N/A</w:t>
            </w:r>
          </w:p>
        </w:tc>
        <w:tc>
          <w:tcPr>
            <w:tcW w:w="496" w:type="dxa"/>
            <w:tcBorders>
              <w:top w:val="nil"/>
              <w:left w:val="nil"/>
              <w:bottom w:val="single" w:sz="4" w:space="0" w:color="auto"/>
              <w:right w:val="dotted" w:sz="4" w:space="0" w:color="auto"/>
            </w:tcBorders>
            <w:noWrap/>
            <w:vAlign w:val="center"/>
          </w:tcPr>
          <w:p w:rsidR="00632479" w:rsidRPr="00DF4CF3" w:rsidRDefault="00632479" w:rsidP="008216A0">
            <w:pPr>
              <w:jc w:val="center"/>
              <w:rPr>
                <w:rFonts w:ascii="Arial" w:hAnsi="Arial" w:cs="Arial"/>
                <w:i/>
                <w:iCs/>
                <w:sz w:val="16"/>
                <w:szCs w:val="16"/>
              </w:rPr>
            </w:pPr>
            <w:r w:rsidRPr="00DF4CF3">
              <w:rPr>
                <w:rFonts w:ascii="Arial" w:hAnsi="Arial" w:cs="Arial"/>
                <w:i/>
                <w:iCs/>
                <w:sz w:val="16"/>
                <w:szCs w:val="16"/>
              </w:rPr>
              <w:t>N/A</w:t>
            </w:r>
          </w:p>
        </w:tc>
        <w:tc>
          <w:tcPr>
            <w:tcW w:w="496" w:type="dxa"/>
            <w:tcBorders>
              <w:top w:val="nil"/>
              <w:left w:val="nil"/>
              <w:bottom w:val="single" w:sz="4" w:space="0" w:color="auto"/>
              <w:right w:val="dotted" w:sz="4" w:space="0" w:color="auto"/>
            </w:tcBorders>
            <w:noWrap/>
            <w:vAlign w:val="center"/>
          </w:tcPr>
          <w:p w:rsidR="00632479" w:rsidRPr="00DF4CF3" w:rsidRDefault="00632479" w:rsidP="008216A0">
            <w:pPr>
              <w:jc w:val="center"/>
              <w:rPr>
                <w:rFonts w:ascii="Arial" w:hAnsi="Arial" w:cs="Arial"/>
                <w:i/>
                <w:iCs/>
                <w:sz w:val="16"/>
                <w:szCs w:val="16"/>
              </w:rPr>
            </w:pPr>
            <w:r w:rsidRPr="00DF4CF3">
              <w:rPr>
                <w:rFonts w:ascii="Arial" w:hAnsi="Arial" w:cs="Arial"/>
                <w:i/>
                <w:iCs/>
                <w:color w:val="000000"/>
                <w:sz w:val="16"/>
                <w:szCs w:val="16"/>
              </w:rPr>
              <w:t>N/A</w:t>
            </w:r>
          </w:p>
        </w:tc>
        <w:tc>
          <w:tcPr>
            <w:tcW w:w="496" w:type="dxa"/>
            <w:tcBorders>
              <w:top w:val="nil"/>
              <w:left w:val="nil"/>
              <w:bottom w:val="single" w:sz="4" w:space="0" w:color="auto"/>
              <w:right w:val="dotted" w:sz="4" w:space="0" w:color="auto"/>
            </w:tcBorders>
            <w:noWrap/>
            <w:vAlign w:val="center"/>
          </w:tcPr>
          <w:p w:rsidR="00632479" w:rsidRPr="00DF4CF3" w:rsidRDefault="00632479" w:rsidP="008216A0">
            <w:pPr>
              <w:jc w:val="center"/>
              <w:rPr>
                <w:rFonts w:ascii="Arial" w:hAnsi="Arial" w:cs="Arial"/>
                <w:i/>
                <w:iCs/>
                <w:sz w:val="16"/>
                <w:szCs w:val="16"/>
              </w:rPr>
            </w:pPr>
            <w:r w:rsidRPr="00DF4CF3">
              <w:rPr>
                <w:rFonts w:ascii="Arial" w:hAnsi="Arial" w:cs="Arial"/>
                <w:i/>
                <w:iCs/>
                <w:sz w:val="16"/>
                <w:szCs w:val="16"/>
              </w:rPr>
              <w:t>N/A</w:t>
            </w:r>
          </w:p>
        </w:tc>
        <w:tc>
          <w:tcPr>
            <w:tcW w:w="496" w:type="dxa"/>
            <w:tcBorders>
              <w:top w:val="nil"/>
              <w:left w:val="nil"/>
              <w:bottom w:val="single" w:sz="4" w:space="0" w:color="auto"/>
              <w:right w:val="dotted" w:sz="4" w:space="0" w:color="auto"/>
            </w:tcBorders>
            <w:noWrap/>
            <w:vAlign w:val="center"/>
          </w:tcPr>
          <w:p w:rsidR="00632479" w:rsidRPr="00DF4CF3" w:rsidRDefault="00632479" w:rsidP="008216A0">
            <w:pPr>
              <w:jc w:val="center"/>
              <w:rPr>
                <w:rFonts w:ascii="Arial" w:hAnsi="Arial" w:cs="Arial"/>
                <w:i/>
                <w:iCs/>
                <w:sz w:val="16"/>
                <w:szCs w:val="16"/>
              </w:rPr>
            </w:pPr>
            <w:r w:rsidRPr="00DF4CF3">
              <w:rPr>
                <w:rFonts w:ascii="Arial" w:hAnsi="Arial" w:cs="Arial"/>
                <w:i/>
                <w:iCs/>
                <w:sz w:val="16"/>
                <w:szCs w:val="16"/>
              </w:rPr>
              <w:t>N/A</w:t>
            </w:r>
          </w:p>
        </w:tc>
        <w:tc>
          <w:tcPr>
            <w:tcW w:w="496" w:type="dxa"/>
            <w:tcBorders>
              <w:top w:val="nil"/>
              <w:left w:val="nil"/>
              <w:bottom w:val="single" w:sz="4" w:space="0" w:color="auto"/>
              <w:right w:val="dotted" w:sz="4" w:space="0" w:color="auto"/>
            </w:tcBorders>
            <w:noWrap/>
            <w:vAlign w:val="center"/>
          </w:tcPr>
          <w:p w:rsidR="00632479" w:rsidRPr="00DF4CF3" w:rsidRDefault="00632479" w:rsidP="008216A0">
            <w:pPr>
              <w:jc w:val="center"/>
              <w:rPr>
                <w:rFonts w:ascii="Arial" w:hAnsi="Arial" w:cs="Arial"/>
                <w:i/>
                <w:iCs/>
                <w:sz w:val="16"/>
                <w:szCs w:val="16"/>
              </w:rPr>
            </w:pPr>
            <w:r w:rsidRPr="00DF4CF3">
              <w:rPr>
                <w:rFonts w:ascii="Arial" w:hAnsi="Arial" w:cs="Arial"/>
                <w:i/>
                <w:iCs/>
                <w:sz w:val="16"/>
                <w:szCs w:val="16"/>
              </w:rPr>
              <w:t>N/A</w:t>
            </w:r>
          </w:p>
        </w:tc>
        <w:tc>
          <w:tcPr>
            <w:tcW w:w="585" w:type="dxa"/>
            <w:tcBorders>
              <w:top w:val="nil"/>
              <w:left w:val="nil"/>
              <w:bottom w:val="single" w:sz="4" w:space="0" w:color="auto"/>
              <w:right w:val="dotted" w:sz="4" w:space="0" w:color="auto"/>
            </w:tcBorders>
            <w:noWrap/>
            <w:vAlign w:val="center"/>
          </w:tcPr>
          <w:p w:rsidR="00632479" w:rsidRPr="00DF4CF3" w:rsidRDefault="00632479" w:rsidP="008216A0">
            <w:pPr>
              <w:jc w:val="center"/>
              <w:rPr>
                <w:rFonts w:ascii="Arial" w:hAnsi="Arial" w:cs="Arial"/>
                <w:b/>
                <w:bCs/>
                <w:sz w:val="16"/>
                <w:szCs w:val="16"/>
              </w:rPr>
            </w:pPr>
            <w:r w:rsidRPr="00DF4CF3">
              <w:rPr>
                <w:rFonts w:ascii="Arial" w:hAnsi="Arial" w:cs="Arial"/>
                <w:b/>
                <w:bCs/>
                <w:sz w:val="16"/>
                <w:szCs w:val="16"/>
              </w:rPr>
              <w:t>0</w:t>
            </w:r>
          </w:p>
        </w:tc>
        <w:tc>
          <w:tcPr>
            <w:tcW w:w="1030" w:type="dxa"/>
            <w:tcBorders>
              <w:top w:val="nil"/>
              <w:left w:val="nil"/>
              <w:bottom w:val="single" w:sz="4" w:space="0" w:color="auto"/>
              <w:right w:val="single" w:sz="4" w:space="0" w:color="auto"/>
            </w:tcBorders>
            <w:noWrap/>
            <w:vAlign w:val="center"/>
          </w:tcPr>
          <w:p w:rsidR="00632479" w:rsidRPr="00DF4CF3" w:rsidRDefault="00632479" w:rsidP="008216A0">
            <w:pPr>
              <w:jc w:val="center"/>
              <w:rPr>
                <w:rFonts w:ascii="Arial" w:hAnsi="Arial" w:cs="Arial"/>
                <w:sz w:val="16"/>
                <w:szCs w:val="16"/>
              </w:rPr>
            </w:pPr>
          </w:p>
        </w:tc>
      </w:tr>
      <w:tr w:rsidR="00632479" w:rsidRPr="00DF4CF3" w:rsidTr="006A2BF3">
        <w:trPr>
          <w:trHeight w:val="300"/>
        </w:trPr>
        <w:tc>
          <w:tcPr>
            <w:tcW w:w="1858" w:type="dxa"/>
            <w:vMerge w:val="restart"/>
            <w:tcBorders>
              <w:top w:val="single" w:sz="4" w:space="0" w:color="000000"/>
              <w:left w:val="single" w:sz="4" w:space="0" w:color="auto"/>
              <w:bottom w:val="single" w:sz="4" w:space="0" w:color="000000"/>
              <w:right w:val="single" w:sz="4" w:space="0" w:color="auto"/>
            </w:tcBorders>
            <w:vAlign w:val="center"/>
          </w:tcPr>
          <w:p w:rsidR="00632479" w:rsidRDefault="00632479" w:rsidP="008216A0">
            <w:pPr>
              <w:rPr>
                <w:rFonts w:ascii="Arial" w:hAnsi="Arial" w:cs="Arial"/>
                <w:sz w:val="16"/>
                <w:szCs w:val="16"/>
              </w:rPr>
            </w:pPr>
            <w:r w:rsidRPr="00DF4CF3">
              <w:rPr>
                <w:rFonts w:ascii="Arial" w:hAnsi="Arial" w:cs="Arial"/>
                <w:sz w:val="16"/>
                <w:szCs w:val="16"/>
              </w:rPr>
              <w:t>Počet nových resp. zdokonalených softvérov [počet]</w:t>
            </w:r>
          </w:p>
          <w:p w:rsidR="000D360F" w:rsidRPr="00DF4CF3" w:rsidRDefault="000D360F" w:rsidP="008216A0">
            <w:pPr>
              <w:rPr>
                <w:rFonts w:ascii="Arial" w:hAnsi="Arial" w:cs="Arial"/>
                <w:sz w:val="16"/>
                <w:szCs w:val="16"/>
              </w:rPr>
            </w:pPr>
            <w:r>
              <w:rPr>
                <w:rFonts w:ascii="Arial" w:hAnsi="Arial" w:cs="Arial"/>
                <w:sz w:val="16"/>
                <w:szCs w:val="16"/>
              </w:rPr>
              <w:t>výsledok</w:t>
            </w:r>
          </w:p>
        </w:tc>
        <w:tc>
          <w:tcPr>
            <w:tcW w:w="1233" w:type="dxa"/>
            <w:tcBorders>
              <w:top w:val="nil"/>
              <w:left w:val="nil"/>
              <w:bottom w:val="dotted" w:sz="4" w:space="0" w:color="auto"/>
              <w:right w:val="single" w:sz="4" w:space="0" w:color="auto"/>
            </w:tcBorders>
            <w:noWrap/>
            <w:vAlign w:val="center"/>
          </w:tcPr>
          <w:p w:rsidR="00632479" w:rsidRPr="00DF4CF3" w:rsidRDefault="00632479" w:rsidP="008216A0">
            <w:pPr>
              <w:rPr>
                <w:rFonts w:ascii="Arial" w:hAnsi="Arial" w:cs="Arial"/>
                <w:sz w:val="16"/>
                <w:szCs w:val="16"/>
              </w:rPr>
            </w:pPr>
            <w:r w:rsidRPr="00DF4CF3">
              <w:rPr>
                <w:rFonts w:ascii="Arial" w:hAnsi="Arial" w:cs="Arial"/>
                <w:sz w:val="16"/>
                <w:szCs w:val="16"/>
              </w:rPr>
              <w:t>Dosiahnutý výsledok</w:t>
            </w:r>
          </w:p>
        </w:tc>
        <w:tc>
          <w:tcPr>
            <w:tcW w:w="496" w:type="dxa"/>
            <w:tcBorders>
              <w:top w:val="nil"/>
              <w:left w:val="nil"/>
              <w:bottom w:val="dotted" w:sz="4" w:space="0" w:color="auto"/>
              <w:right w:val="dotted" w:sz="4" w:space="0" w:color="auto"/>
            </w:tcBorders>
            <w:noWrap/>
            <w:vAlign w:val="center"/>
          </w:tcPr>
          <w:p w:rsidR="00632479" w:rsidRPr="00DF4CF3" w:rsidRDefault="00632479" w:rsidP="008216A0">
            <w:pPr>
              <w:jc w:val="center"/>
              <w:rPr>
                <w:rFonts w:ascii="Arial" w:hAnsi="Arial" w:cs="Arial"/>
                <w:b/>
                <w:bCs/>
                <w:sz w:val="16"/>
                <w:szCs w:val="16"/>
              </w:rPr>
            </w:pPr>
            <w:r w:rsidRPr="00DF4CF3">
              <w:rPr>
                <w:rFonts w:ascii="Arial" w:hAnsi="Arial" w:cs="Arial"/>
                <w:b/>
                <w:bCs/>
                <w:sz w:val="16"/>
                <w:szCs w:val="16"/>
              </w:rPr>
              <w:t>0</w:t>
            </w:r>
          </w:p>
        </w:tc>
        <w:tc>
          <w:tcPr>
            <w:tcW w:w="496" w:type="dxa"/>
            <w:tcBorders>
              <w:top w:val="nil"/>
              <w:left w:val="nil"/>
              <w:bottom w:val="dotted" w:sz="4" w:space="0" w:color="auto"/>
              <w:right w:val="dotted" w:sz="4" w:space="0" w:color="auto"/>
            </w:tcBorders>
            <w:noWrap/>
            <w:vAlign w:val="center"/>
          </w:tcPr>
          <w:p w:rsidR="00632479" w:rsidRPr="00DF4CF3" w:rsidRDefault="00632479" w:rsidP="008216A0">
            <w:pPr>
              <w:jc w:val="center"/>
              <w:rPr>
                <w:rFonts w:ascii="Arial" w:hAnsi="Arial" w:cs="Arial"/>
                <w:b/>
                <w:bCs/>
                <w:sz w:val="16"/>
                <w:szCs w:val="16"/>
              </w:rPr>
            </w:pPr>
            <w:r w:rsidRPr="00DF4CF3">
              <w:rPr>
                <w:rFonts w:ascii="Arial" w:hAnsi="Arial" w:cs="Arial"/>
                <w:b/>
                <w:bCs/>
                <w:sz w:val="16"/>
                <w:szCs w:val="16"/>
              </w:rPr>
              <w:t>0</w:t>
            </w:r>
          </w:p>
        </w:tc>
        <w:tc>
          <w:tcPr>
            <w:tcW w:w="496" w:type="dxa"/>
            <w:tcBorders>
              <w:top w:val="nil"/>
              <w:left w:val="nil"/>
              <w:bottom w:val="dotted" w:sz="4" w:space="0" w:color="auto"/>
              <w:right w:val="dotted" w:sz="4" w:space="0" w:color="auto"/>
            </w:tcBorders>
            <w:noWrap/>
            <w:vAlign w:val="center"/>
          </w:tcPr>
          <w:p w:rsidR="00632479" w:rsidRPr="00DF4CF3" w:rsidRDefault="00632479" w:rsidP="008216A0">
            <w:pPr>
              <w:jc w:val="center"/>
              <w:rPr>
                <w:rFonts w:ascii="Arial" w:hAnsi="Arial" w:cs="Arial"/>
                <w:b/>
                <w:bCs/>
                <w:sz w:val="16"/>
                <w:szCs w:val="16"/>
              </w:rPr>
            </w:pPr>
            <w:r w:rsidRPr="00DF4CF3">
              <w:rPr>
                <w:rFonts w:ascii="Arial" w:hAnsi="Arial" w:cs="Arial"/>
                <w:b/>
                <w:bCs/>
                <w:sz w:val="16"/>
                <w:szCs w:val="16"/>
              </w:rPr>
              <w:t>0</w:t>
            </w:r>
          </w:p>
        </w:tc>
        <w:tc>
          <w:tcPr>
            <w:tcW w:w="496" w:type="dxa"/>
            <w:tcBorders>
              <w:top w:val="nil"/>
              <w:left w:val="nil"/>
              <w:bottom w:val="dotted" w:sz="4" w:space="0" w:color="auto"/>
              <w:right w:val="dotted" w:sz="4" w:space="0" w:color="auto"/>
            </w:tcBorders>
            <w:noWrap/>
            <w:vAlign w:val="center"/>
          </w:tcPr>
          <w:p w:rsidR="00632479" w:rsidRPr="00DF4CF3" w:rsidRDefault="00632479" w:rsidP="008216A0">
            <w:pPr>
              <w:jc w:val="center"/>
              <w:rPr>
                <w:rFonts w:ascii="Arial" w:hAnsi="Arial" w:cs="Arial"/>
                <w:b/>
                <w:bCs/>
                <w:sz w:val="16"/>
                <w:szCs w:val="16"/>
              </w:rPr>
            </w:pPr>
            <w:r w:rsidRPr="00DF4CF3">
              <w:rPr>
                <w:rFonts w:ascii="Arial" w:hAnsi="Arial" w:cs="Arial"/>
                <w:b/>
                <w:bCs/>
                <w:sz w:val="16"/>
                <w:szCs w:val="16"/>
              </w:rPr>
              <w:t>0</w:t>
            </w:r>
          </w:p>
        </w:tc>
        <w:tc>
          <w:tcPr>
            <w:tcW w:w="496" w:type="dxa"/>
            <w:tcBorders>
              <w:top w:val="nil"/>
              <w:left w:val="nil"/>
              <w:bottom w:val="dotted" w:sz="4" w:space="0" w:color="auto"/>
              <w:right w:val="dotted" w:sz="4" w:space="0" w:color="auto"/>
            </w:tcBorders>
            <w:noWrap/>
            <w:vAlign w:val="center"/>
          </w:tcPr>
          <w:p w:rsidR="00632479" w:rsidRPr="00DF4CF3" w:rsidRDefault="00632479" w:rsidP="008216A0">
            <w:pPr>
              <w:jc w:val="center"/>
              <w:rPr>
                <w:rFonts w:ascii="Arial" w:hAnsi="Arial" w:cs="Arial"/>
                <w:b/>
                <w:bCs/>
                <w:sz w:val="16"/>
                <w:szCs w:val="16"/>
              </w:rPr>
            </w:pPr>
            <w:r w:rsidRPr="00DF4CF3">
              <w:rPr>
                <w:rFonts w:ascii="Arial" w:hAnsi="Arial" w:cs="Arial"/>
                <w:b/>
                <w:bCs/>
                <w:sz w:val="16"/>
                <w:szCs w:val="16"/>
              </w:rPr>
              <w:t>0</w:t>
            </w:r>
          </w:p>
        </w:tc>
        <w:tc>
          <w:tcPr>
            <w:tcW w:w="496" w:type="dxa"/>
            <w:tcBorders>
              <w:top w:val="nil"/>
              <w:left w:val="nil"/>
              <w:bottom w:val="dotted" w:sz="4" w:space="0" w:color="auto"/>
              <w:right w:val="dotted" w:sz="4" w:space="0" w:color="auto"/>
            </w:tcBorders>
            <w:noWrap/>
            <w:vAlign w:val="center"/>
          </w:tcPr>
          <w:p w:rsidR="00632479" w:rsidRPr="00DF4CF3" w:rsidRDefault="00632479" w:rsidP="008216A0">
            <w:pPr>
              <w:jc w:val="center"/>
              <w:rPr>
                <w:rFonts w:ascii="Arial" w:hAnsi="Arial" w:cs="Arial"/>
                <w:i/>
                <w:iCs/>
                <w:sz w:val="16"/>
                <w:szCs w:val="16"/>
              </w:rPr>
            </w:pPr>
            <w:r w:rsidRPr="00DF4CF3">
              <w:rPr>
                <w:rFonts w:ascii="Arial" w:hAnsi="Arial" w:cs="Arial"/>
                <w:i/>
                <w:iCs/>
                <w:color w:val="000000"/>
                <w:sz w:val="16"/>
                <w:szCs w:val="16"/>
              </w:rPr>
              <w:t>1</w:t>
            </w:r>
          </w:p>
        </w:tc>
        <w:tc>
          <w:tcPr>
            <w:tcW w:w="496" w:type="dxa"/>
            <w:tcBorders>
              <w:top w:val="nil"/>
              <w:left w:val="nil"/>
              <w:bottom w:val="dotted" w:sz="4" w:space="0" w:color="auto"/>
              <w:right w:val="dotted" w:sz="4" w:space="0" w:color="auto"/>
            </w:tcBorders>
            <w:noWrap/>
            <w:vAlign w:val="center"/>
          </w:tcPr>
          <w:p w:rsidR="00632479" w:rsidRPr="00DF4CF3" w:rsidRDefault="00632479" w:rsidP="008216A0">
            <w:pPr>
              <w:jc w:val="center"/>
              <w:rPr>
                <w:rFonts w:ascii="Arial" w:hAnsi="Arial" w:cs="Arial"/>
                <w:i/>
                <w:iCs/>
                <w:sz w:val="16"/>
                <w:szCs w:val="16"/>
              </w:rPr>
            </w:pPr>
            <w:r w:rsidRPr="00DF4CF3">
              <w:rPr>
                <w:rFonts w:ascii="Arial" w:hAnsi="Arial" w:cs="Arial"/>
                <w:i/>
                <w:iCs/>
                <w:sz w:val="16"/>
                <w:szCs w:val="16"/>
              </w:rPr>
              <w:t>N/A</w:t>
            </w:r>
          </w:p>
        </w:tc>
        <w:tc>
          <w:tcPr>
            <w:tcW w:w="496" w:type="dxa"/>
            <w:tcBorders>
              <w:top w:val="nil"/>
              <w:left w:val="nil"/>
              <w:bottom w:val="dotted" w:sz="4" w:space="0" w:color="auto"/>
              <w:right w:val="dotted" w:sz="4" w:space="0" w:color="auto"/>
            </w:tcBorders>
            <w:noWrap/>
            <w:vAlign w:val="center"/>
          </w:tcPr>
          <w:p w:rsidR="00632479" w:rsidRPr="00DF4CF3" w:rsidRDefault="00632479" w:rsidP="008216A0">
            <w:pPr>
              <w:jc w:val="center"/>
              <w:rPr>
                <w:rFonts w:ascii="Arial" w:hAnsi="Arial" w:cs="Arial"/>
                <w:i/>
                <w:iCs/>
                <w:sz w:val="16"/>
                <w:szCs w:val="16"/>
              </w:rPr>
            </w:pPr>
            <w:r w:rsidRPr="00DF4CF3">
              <w:rPr>
                <w:rFonts w:ascii="Arial" w:hAnsi="Arial" w:cs="Arial"/>
                <w:i/>
                <w:iCs/>
                <w:sz w:val="16"/>
                <w:szCs w:val="16"/>
              </w:rPr>
              <w:t>N/A</w:t>
            </w:r>
          </w:p>
        </w:tc>
        <w:tc>
          <w:tcPr>
            <w:tcW w:w="496" w:type="dxa"/>
            <w:tcBorders>
              <w:top w:val="nil"/>
              <w:left w:val="nil"/>
              <w:bottom w:val="dotted" w:sz="4" w:space="0" w:color="auto"/>
              <w:right w:val="dotted" w:sz="4" w:space="0" w:color="auto"/>
            </w:tcBorders>
            <w:noWrap/>
            <w:vAlign w:val="center"/>
          </w:tcPr>
          <w:p w:rsidR="00632479" w:rsidRPr="00DF4CF3" w:rsidRDefault="00632479" w:rsidP="008216A0">
            <w:pPr>
              <w:jc w:val="center"/>
              <w:rPr>
                <w:rFonts w:ascii="Arial" w:hAnsi="Arial" w:cs="Arial"/>
                <w:i/>
                <w:iCs/>
                <w:sz w:val="16"/>
                <w:szCs w:val="16"/>
              </w:rPr>
            </w:pPr>
            <w:r w:rsidRPr="00DF4CF3">
              <w:rPr>
                <w:rFonts w:ascii="Arial" w:hAnsi="Arial" w:cs="Arial"/>
                <w:i/>
                <w:iCs/>
                <w:sz w:val="16"/>
                <w:szCs w:val="16"/>
              </w:rPr>
              <w:t>N/A</w:t>
            </w:r>
          </w:p>
        </w:tc>
        <w:tc>
          <w:tcPr>
            <w:tcW w:w="585" w:type="dxa"/>
            <w:tcBorders>
              <w:top w:val="nil"/>
              <w:left w:val="nil"/>
              <w:bottom w:val="dotted" w:sz="4" w:space="0" w:color="auto"/>
              <w:right w:val="dotted" w:sz="4" w:space="0" w:color="auto"/>
            </w:tcBorders>
            <w:noWrap/>
            <w:vAlign w:val="center"/>
          </w:tcPr>
          <w:p w:rsidR="00632479" w:rsidRPr="00DF4CF3" w:rsidRDefault="00632479" w:rsidP="008216A0">
            <w:pPr>
              <w:jc w:val="center"/>
              <w:rPr>
                <w:rFonts w:ascii="Arial" w:hAnsi="Arial" w:cs="Arial"/>
                <w:b/>
                <w:bCs/>
                <w:sz w:val="16"/>
                <w:szCs w:val="16"/>
              </w:rPr>
            </w:pPr>
            <w:r w:rsidRPr="00DF4CF3">
              <w:rPr>
                <w:rFonts w:ascii="Arial" w:hAnsi="Arial" w:cs="Arial"/>
                <w:b/>
                <w:bCs/>
                <w:sz w:val="16"/>
                <w:szCs w:val="16"/>
              </w:rPr>
              <w:t>0</w:t>
            </w:r>
          </w:p>
        </w:tc>
        <w:tc>
          <w:tcPr>
            <w:tcW w:w="1030" w:type="dxa"/>
            <w:tcBorders>
              <w:top w:val="nil"/>
              <w:left w:val="nil"/>
              <w:bottom w:val="dotted" w:sz="4" w:space="0" w:color="auto"/>
              <w:right w:val="single" w:sz="4" w:space="0" w:color="auto"/>
            </w:tcBorders>
            <w:noWrap/>
            <w:vAlign w:val="center"/>
          </w:tcPr>
          <w:p w:rsidR="00632479" w:rsidRPr="00DF4CF3" w:rsidRDefault="00632479" w:rsidP="008216A0">
            <w:pPr>
              <w:jc w:val="center"/>
              <w:rPr>
                <w:rFonts w:ascii="Arial" w:hAnsi="Arial" w:cs="Arial"/>
                <w:sz w:val="16"/>
                <w:szCs w:val="16"/>
              </w:rPr>
            </w:pPr>
          </w:p>
        </w:tc>
      </w:tr>
      <w:tr w:rsidR="00632479" w:rsidRPr="00DF4CF3" w:rsidTr="006A2BF3">
        <w:trPr>
          <w:trHeight w:val="300"/>
        </w:trPr>
        <w:tc>
          <w:tcPr>
            <w:tcW w:w="1858" w:type="dxa"/>
            <w:vMerge/>
            <w:tcBorders>
              <w:top w:val="single" w:sz="4" w:space="0" w:color="000000"/>
              <w:left w:val="single" w:sz="4" w:space="0" w:color="auto"/>
              <w:bottom w:val="single" w:sz="4" w:space="0" w:color="000000"/>
              <w:right w:val="single" w:sz="4" w:space="0" w:color="auto"/>
            </w:tcBorders>
            <w:vAlign w:val="center"/>
          </w:tcPr>
          <w:p w:rsidR="00632479" w:rsidRPr="00DF4CF3" w:rsidRDefault="00632479" w:rsidP="008216A0">
            <w:pPr>
              <w:rPr>
                <w:rFonts w:ascii="Arial" w:hAnsi="Arial" w:cs="Arial"/>
                <w:sz w:val="16"/>
                <w:szCs w:val="16"/>
              </w:rPr>
            </w:pPr>
          </w:p>
        </w:tc>
        <w:tc>
          <w:tcPr>
            <w:tcW w:w="1233" w:type="dxa"/>
            <w:tcBorders>
              <w:top w:val="nil"/>
              <w:left w:val="nil"/>
              <w:bottom w:val="dotted" w:sz="4" w:space="0" w:color="auto"/>
              <w:right w:val="single" w:sz="4" w:space="0" w:color="auto"/>
            </w:tcBorders>
            <w:noWrap/>
            <w:vAlign w:val="center"/>
          </w:tcPr>
          <w:p w:rsidR="00632479" w:rsidRPr="00DF4CF3" w:rsidRDefault="00632479" w:rsidP="008216A0">
            <w:pPr>
              <w:rPr>
                <w:rFonts w:ascii="Arial" w:hAnsi="Arial" w:cs="Arial"/>
                <w:sz w:val="16"/>
                <w:szCs w:val="16"/>
              </w:rPr>
            </w:pPr>
            <w:r w:rsidRPr="00DF4CF3">
              <w:rPr>
                <w:rFonts w:ascii="Arial" w:hAnsi="Arial" w:cs="Arial"/>
                <w:sz w:val="16"/>
                <w:szCs w:val="16"/>
              </w:rPr>
              <w:t>Cieľ</w:t>
            </w:r>
          </w:p>
        </w:tc>
        <w:tc>
          <w:tcPr>
            <w:tcW w:w="496" w:type="dxa"/>
            <w:tcBorders>
              <w:top w:val="nil"/>
              <w:left w:val="nil"/>
              <w:bottom w:val="dotted" w:sz="4" w:space="0" w:color="auto"/>
              <w:right w:val="dotted" w:sz="4" w:space="0" w:color="auto"/>
            </w:tcBorders>
            <w:noWrap/>
            <w:vAlign w:val="center"/>
          </w:tcPr>
          <w:p w:rsidR="00632479" w:rsidRPr="00DF4CF3" w:rsidRDefault="00632479" w:rsidP="008216A0">
            <w:pPr>
              <w:jc w:val="center"/>
              <w:rPr>
                <w:rFonts w:ascii="Arial" w:hAnsi="Arial" w:cs="Arial"/>
                <w:i/>
                <w:iCs/>
                <w:sz w:val="16"/>
                <w:szCs w:val="16"/>
              </w:rPr>
            </w:pPr>
            <w:r w:rsidRPr="00DF4CF3">
              <w:rPr>
                <w:rFonts w:ascii="Arial" w:hAnsi="Arial" w:cs="Arial"/>
                <w:i/>
                <w:iCs/>
                <w:sz w:val="16"/>
                <w:szCs w:val="16"/>
              </w:rPr>
              <w:t>N/A</w:t>
            </w:r>
          </w:p>
        </w:tc>
        <w:tc>
          <w:tcPr>
            <w:tcW w:w="496" w:type="dxa"/>
            <w:tcBorders>
              <w:top w:val="nil"/>
              <w:left w:val="nil"/>
              <w:bottom w:val="dotted" w:sz="4" w:space="0" w:color="auto"/>
              <w:right w:val="dotted" w:sz="4" w:space="0" w:color="auto"/>
            </w:tcBorders>
            <w:noWrap/>
            <w:vAlign w:val="center"/>
          </w:tcPr>
          <w:p w:rsidR="00632479" w:rsidRPr="00DF4CF3" w:rsidRDefault="00632479" w:rsidP="008216A0">
            <w:pPr>
              <w:jc w:val="center"/>
              <w:rPr>
                <w:rFonts w:ascii="Arial" w:hAnsi="Arial" w:cs="Arial"/>
                <w:i/>
                <w:iCs/>
                <w:sz w:val="16"/>
                <w:szCs w:val="16"/>
              </w:rPr>
            </w:pPr>
            <w:r w:rsidRPr="00DF4CF3">
              <w:rPr>
                <w:rFonts w:ascii="Arial" w:hAnsi="Arial" w:cs="Arial"/>
                <w:i/>
                <w:iCs/>
                <w:sz w:val="16"/>
                <w:szCs w:val="16"/>
              </w:rPr>
              <w:t>N/A</w:t>
            </w:r>
          </w:p>
        </w:tc>
        <w:tc>
          <w:tcPr>
            <w:tcW w:w="496" w:type="dxa"/>
            <w:tcBorders>
              <w:top w:val="nil"/>
              <w:left w:val="nil"/>
              <w:bottom w:val="dotted" w:sz="4" w:space="0" w:color="auto"/>
              <w:right w:val="dotted" w:sz="4" w:space="0" w:color="auto"/>
            </w:tcBorders>
            <w:noWrap/>
            <w:vAlign w:val="center"/>
          </w:tcPr>
          <w:p w:rsidR="00632479" w:rsidRPr="00DF4CF3" w:rsidRDefault="00632479" w:rsidP="008216A0">
            <w:pPr>
              <w:jc w:val="center"/>
              <w:rPr>
                <w:rFonts w:ascii="Arial" w:hAnsi="Arial" w:cs="Arial"/>
                <w:i/>
                <w:iCs/>
                <w:sz w:val="16"/>
                <w:szCs w:val="16"/>
              </w:rPr>
            </w:pPr>
            <w:r w:rsidRPr="00DF4CF3">
              <w:rPr>
                <w:rFonts w:ascii="Arial" w:hAnsi="Arial" w:cs="Arial"/>
                <w:i/>
                <w:iCs/>
                <w:sz w:val="16"/>
                <w:szCs w:val="16"/>
              </w:rPr>
              <w:t>N/A</w:t>
            </w:r>
          </w:p>
        </w:tc>
        <w:tc>
          <w:tcPr>
            <w:tcW w:w="496" w:type="dxa"/>
            <w:tcBorders>
              <w:top w:val="nil"/>
              <w:left w:val="nil"/>
              <w:bottom w:val="dotted" w:sz="4" w:space="0" w:color="auto"/>
              <w:right w:val="dotted" w:sz="4" w:space="0" w:color="auto"/>
            </w:tcBorders>
            <w:noWrap/>
            <w:vAlign w:val="center"/>
          </w:tcPr>
          <w:p w:rsidR="00632479" w:rsidRPr="00DF4CF3" w:rsidRDefault="00632479" w:rsidP="008216A0">
            <w:pPr>
              <w:jc w:val="center"/>
              <w:rPr>
                <w:rFonts w:ascii="Arial" w:hAnsi="Arial" w:cs="Arial"/>
                <w:i/>
                <w:iCs/>
                <w:sz w:val="16"/>
                <w:szCs w:val="16"/>
              </w:rPr>
            </w:pPr>
            <w:r w:rsidRPr="00DF4CF3">
              <w:rPr>
                <w:rFonts w:ascii="Arial" w:hAnsi="Arial" w:cs="Arial"/>
                <w:i/>
                <w:iCs/>
                <w:sz w:val="16"/>
                <w:szCs w:val="16"/>
              </w:rPr>
              <w:t>N/A</w:t>
            </w:r>
          </w:p>
        </w:tc>
        <w:tc>
          <w:tcPr>
            <w:tcW w:w="496" w:type="dxa"/>
            <w:tcBorders>
              <w:top w:val="nil"/>
              <w:left w:val="nil"/>
              <w:bottom w:val="dotted" w:sz="4" w:space="0" w:color="auto"/>
              <w:right w:val="dotted" w:sz="4" w:space="0" w:color="auto"/>
            </w:tcBorders>
            <w:noWrap/>
            <w:vAlign w:val="center"/>
          </w:tcPr>
          <w:p w:rsidR="00632479" w:rsidRPr="00DF4CF3" w:rsidRDefault="00632479" w:rsidP="008216A0">
            <w:pPr>
              <w:jc w:val="center"/>
              <w:rPr>
                <w:rFonts w:ascii="Arial" w:hAnsi="Arial" w:cs="Arial"/>
                <w:i/>
                <w:iCs/>
                <w:sz w:val="16"/>
                <w:szCs w:val="16"/>
              </w:rPr>
            </w:pPr>
            <w:r w:rsidRPr="00DF4CF3">
              <w:rPr>
                <w:rFonts w:ascii="Arial" w:hAnsi="Arial" w:cs="Arial"/>
                <w:i/>
                <w:iCs/>
                <w:sz w:val="16"/>
                <w:szCs w:val="16"/>
              </w:rPr>
              <w:t>N/A</w:t>
            </w:r>
          </w:p>
        </w:tc>
        <w:tc>
          <w:tcPr>
            <w:tcW w:w="496" w:type="dxa"/>
            <w:tcBorders>
              <w:top w:val="nil"/>
              <w:left w:val="nil"/>
              <w:bottom w:val="dotted" w:sz="4" w:space="0" w:color="auto"/>
              <w:right w:val="dotted" w:sz="4" w:space="0" w:color="auto"/>
            </w:tcBorders>
            <w:noWrap/>
            <w:vAlign w:val="center"/>
          </w:tcPr>
          <w:p w:rsidR="00632479" w:rsidRPr="00DF4CF3" w:rsidRDefault="00632479" w:rsidP="008216A0">
            <w:pPr>
              <w:jc w:val="center"/>
              <w:rPr>
                <w:rFonts w:ascii="Arial" w:hAnsi="Arial" w:cs="Arial"/>
                <w:i/>
                <w:iCs/>
                <w:sz w:val="16"/>
                <w:szCs w:val="16"/>
              </w:rPr>
            </w:pPr>
            <w:r w:rsidRPr="00DF4CF3">
              <w:rPr>
                <w:rFonts w:ascii="Arial" w:hAnsi="Arial" w:cs="Arial"/>
                <w:i/>
                <w:iCs/>
                <w:color w:val="000000"/>
                <w:sz w:val="16"/>
                <w:szCs w:val="16"/>
              </w:rPr>
              <w:t>N/A</w:t>
            </w:r>
          </w:p>
        </w:tc>
        <w:tc>
          <w:tcPr>
            <w:tcW w:w="496" w:type="dxa"/>
            <w:tcBorders>
              <w:top w:val="nil"/>
              <w:left w:val="nil"/>
              <w:bottom w:val="dotted" w:sz="4" w:space="0" w:color="auto"/>
              <w:right w:val="dotted" w:sz="4" w:space="0" w:color="auto"/>
            </w:tcBorders>
            <w:noWrap/>
            <w:vAlign w:val="center"/>
          </w:tcPr>
          <w:p w:rsidR="00632479" w:rsidRPr="00DF4CF3" w:rsidRDefault="00632479" w:rsidP="008216A0">
            <w:pPr>
              <w:jc w:val="center"/>
              <w:rPr>
                <w:rFonts w:ascii="Arial" w:hAnsi="Arial" w:cs="Arial"/>
                <w:i/>
                <w:iCs/>
                <w:sz w:val="16"/>
                <w:szCs w:val="16"/>
              </w:rPr>
            </w:pPr>
            <w:r w:rsidRPr="00DF4CF3">
              <w:rPr>
                <w:rFonts w:ascii="Arial" w:hAnsi="Arial" w:cs="Arial"/>
                <w:i/>
                <w:iCs/>
                <w:sz w:val="16"/>
                <w:szCs w:val="16"/>
              </w:rPr>
              <w:t>N/A</w:t>
            </w:r>
          </w:p>
        </w:tc>
        <w:tc>
          <w:tcPr>
            <w:tcW w:w="496" w:type="dxa"/>
            <w:tcBorders>
              <w:top w:val="nil"/>
              <w:left w:val="nil"/>
              <w:bottom w:val="dotted" w:sz="4" w:space="0" w:color="auto"/>
              <w:right w:val="dotted" w:sz="4" w:space="0" w:color="auto"/>
            </w:tcBorders>
            <w:noWrap/>
            <w:vAlign w:val="center"/>
          </w:tcPr>
          <w:p w:rsidR="00632479" w:rsidRPr="00DF4CF3" w:rsidRDefault="00632479" w:rsidP="008216A0">
            <w:pPr>
              <w:jc w:val="center"/>
              <w:rPr>
                <w:rFonts w:ascii="Arial" w:hAnsi="Arial" w:cs="Arial"/>
                <w:i/>
                <w:iCs/>
                <w:sz w:val="16"/>
                <w:szCs w:val="16"/>
              </w:rPr>
            </w:pPr>
            <w:r w:rsidRPr="00DF4CF3">
              <w:rPr>
                <w:rFonts w:ascii="Arial" w:hAnsi="Arial" w:cs="Arial"/>
                <w:i/>
                <w:iCs/>
                <w:sz w:val="16"/>
                <w:szCs w:val="16"/>
              </w:rPr>
              <w:t>N/A</w:t>
            </w:r>
          </w:p>
        </w:tc>
        <w:tc>
          <w:tcPr>
            <w:tcW w:w="496" w:type="dxa"/>
            <w:tcBorders>
              <w:top w:val="nil"/>
              <w:left w:val="nil"/>
              <w:bottom w:val="dotted" w:sz="4" w:space="0" w:color="auto"/>
              <w:right w:val="dotted" w:sz="4" w:space="0" w:color="auto"/>
            </w:tcBorders>
            <w:noWrap/>
            <w:vAlign w:val="center"/>
          </w:tcPr>
          <w:p w:rsidR="00632479" w:rsidRPr="00DF4CF3" w:rsidRDefault="00632479" w:rsidP="008216A0">
            <w:pPr>
              <w:jc w:val="center"/>
              <w:rPr>
                <w:rFonts w:ascii="Arial" w:hAnsi="Arial" w:cs="Arial"/>
                <w:b/>
                <w:bCs/>
                <w:sz w:val="16"/>
                <w:szCs w:val="16"/>
              </w:rPr>
            </w:pPr>
            <w:r w:rsidRPr="00DF4CF3">
              <w:rPr>
                <w:rFonts w:ascii="Arial" w:hAnsi="Arial" w:cs="Arial"/>
                <w:b/>
                <w:bCs/>
                <w:sz w:val="16"/>
                <w:szCs w:val="16"/>
              </w:rPr>
              <w:t>2</w:t>
            </w:r>
          </w:p>
        </w:tc>
        <w:tc>
          <w:tcPr>
            <w:tcW w:w="585" w:type="dxa"/>
            <w:tcBorders>
              <w:top w:val="nil"/>
              <w:left w:val="nil"/>
              <w:bottom w:val="dotted" w:sz="4" w:space="0" w:color="auto"/>
              <w:right w:val="dotted" w:sz="4" w:space="0" w:color="auto"/>
            </w:tcBorders>
            <w:noWrap/>
            <w:vAlign w:val="center"/>
          </w:tcPr>
          <w:p w:rsidR="00632479" w:rsidRPr="00DF4CF3" w:rsidRDefault="00632479" w:rsidP="008216A0">
            <w:pPr>
              <w:jc w:val="center"/>
              <w:rPr>
                <w:rFonts w:ascii="Arial" w:hAnsi="Arial" w:cs="Arial"/>
                <w:b/>
                <w:bCs/>
                <w:sz w:val="16"/>
                <w:szCs w:val="16"/>
              </w:rPr>
            </w:pPr>
            <w:r w:rsidRPr="00DF4CF3">
              <w:rPr>
                <w:rFonts w:ascii="Arial" w:hAnsi="Arial" w:cs="Arial"/>
                <w:b/>
                <w:bCs/>
                <w:sz w:val="16"/>
                <w:szCs w:val="16"/>
              </w:rPr>
              <w:t>2</w:t>
            </w:r>
          </w:p>
        </w:tc>
        <w:tc>
          <w:tcPr>
            <w:tcW w:w="1030" w:type="dxa"/>
            <w:tcBorders>
              <w:top w:val="nil"/>
              <w:left w:val="nil"/>
              <w:bottom w:val="dotted" w:sz="4" w:space="0" w:color="auto"/>
              <w:right w:val="single" w:sz="4" w:space="0" w:color="auto"/>
            </w:tcBorders>
            <w:noWrap/>
            <w:vAlign w:val="center"/>
          </w:tcPr>
          <w:p w:rsidR="00632479" w:rsidRPr="00DF4CF3" w:rsidRDefault="00632479" w:rsidP="008216A0">
            <w:pPr>
              <w:jc w:val="center"/>
              <w:rPr>
                <w:rFonts w:ascii="Arial" w:hAnsi="Arial" w:cs="Arial"/>
                <w:i/>
                <w:iCs/>
                <w:sz w:val="16"/>
                <w:szCs w:val="16"/>
              </w:rPr>
            </w:pPr>
            <w:r w:rsidRPr="00DF4CF3">
              <w:rPr>
                <w:rFonts w:ascii="Arial" w:hAnsi="Arial" w:cs="Arial"/>
                <w:i/>
                <w:iCs/>
                <w:sz w:val="16"/>
                <w:szCs w:val="16"/>
              </w:rPr>
              <w:t>1</w:t>
            </w:r>
          </w:p>
        </w:tc>
      </w:tr>
      <w:tr w:rsidR="00632479" w:rsidRPr="00DF4CF3" w:rsidTr="006A2BF3">
        <w:trPr>
          <w:trHeight w:val="300"/>
        </w:trPr>
        <w:tc>
          <w:tcPr>
            <w:tcW w:w="1858" w:type="dxa"/>
            <w:vMerge/>
            <w:tcBorders>
              <w:top w:val="single" w:sz="4" w:space="0" w:color="000000"/>
              <w:left w:val="single" w:sz="4" w:space="0" w:color="auto"/>
              <w:bottom w:val="single" w:sz="4" w:space="0" w:color="000000"/>
              <w:right w:val="single" w:sz="4" w:space="0" w:color="auto"/>
            </w:tcBorders>
            <w:vAlign w:val="center"/>
          </w:tcPr>
          <w:p w:rsidR="00632479" w:rsidRPr="00DF4CF3" w:rsidRDefault="00632479" w:rsidP="008216A0">
            <w:pPr>
              <w:rPr>
                <w:rFonts w:ascii="Arial" w:hAnsi="Arial" w:cs="Arial"/>
                <w:sz w:val="16"/>
                <w:szCs w:val="16"/>
              </w:rPr>
            </w:pPr>
          </w:p>
        </w:tc>
        <w:tc>
          <w:tcPr>
            <w:tcW w:w="1233" w:type="dxa"/>
            <w:tcBorders>
              <w:top w:val="nil"/>
              <w:left w:val="nil"/>
              <w:bottom w:val="single" w:sz="4" w:space="0" w:color="auto"/>
              <w:right w:val="single" w:sz="4" w:space="0" w:color="auto"/>
            </w:tcBorders>
            <w:noWrap/>
            <w:vAlign w:val="center"/>
          </w:tcPr>
          <w:p w:rsidR="00632479" w:rsidRPr="00DF4CF3" w:rsidRDefault="00632479" w:rsidP="008216A0">
            <w:pPr>
              <w:rPr>
                <w:rFonts w:ascii="Arial" w:hAnsi="Arial" w:cs="Arial"/>
                <w:sz w:val="16"/>
                <w:szCs w:val="16"/>
              </w:rPr>
            </w:pPr>
            <w:r w:rsidRPr="00DF4CF3">
              <w:rPr>
                <w:rFonts w:ascii="Arial" w:hAnsi="Arial" w:cs="Arial"/>
                <w:sz w:val="16"/>
                <w:szCs w:val="16"/>
              </w:rPr>
              <w:t>Východisko</w:t>
            </w:r>
          </w:p>
        </w:tc>
        <w:tc>
          <w:tcPr>
            <w:tcW w:w="496" w:type="dxa"/>
            <w:tcBorders>
              <w:top w:val="nil"/>
              <w:left w:val="nil"/>
              <w:bottom w:val="single" w:sz="4" w:space="0" w:color="auto"/>
              <w:right w:val="dotted" w:sz="4" w:space="0" w:color="auto"/>
            </w:tcBorders>
            <w:noWrap/>
            <w:vAlign w:val="center"/>
          </w:tcPr>
          <w:p w:rsidR="00632479" w:rsidRPr="00DF4CF3" w:rsidRDefault="00632479" w:rsidP="008216A0">
            <w:pPr>
              <w:jc w:val="center"/>
              <w:rPr>
                <w:rFonts w:ascii="Arial" w:hAnsi="Arial" w:cs="Arial"/>
                <w:b/>
                <w:bCs/>
                <w:sz w:val="16"/>
                <w:szCs w:val="16"/>
              </w:rPr>
            </w:pPr>
            <w:r w:rsidRPr="00DF4CF3">
              <w:rPr>
                <w:rFonts w:ascii="Arial" w:hAnsi="Arial" w:cs="Arial"/>
                <w:b/>
                <w:bCs/>
                <w:sz w:val="16"/>
                <w:szCs w:val="16"/>
              </w:rPr>
              <w:t>0</w:t>
            </w:r>
          </w:p>
        </w:tc>
        <w:tc>
          <w:tcPr>
            <w:tcW w:w="496" w:type="dxa"/>
            <w:tcBorders>
              <w:top w:val="nil"/>
              <w:left w:val="nil"/>
              <w:bottom w:val="single" w:sz="4" w:space="0" w:color="auto"/>
              <w:right w:val="dotted" w:sz="4" w:space="0" w:color="auto"/>
            </w:tcBorders>
            <w:noWrap/>
            <w:vAlign w:val="center"/>
          </w:tcPr>
          <w:p w:rsidR="00632479" w:rsidRPr="00DF4CF3" w:rsidRDefault="00632479" w:rsidP="008216A0">
            <w:pPr>
              <w:jc w:val="center"/>
              <w:rPr>
                <w:rFonts w:ascii="Arial" w:hAnsi="Arial" w:cs="Arial"/>
                <w:i/>
                <w:iCs/>
                <w:sz w:val="16"/>
                <w:szCs w:val="16"/>
              </w:rPr>
            </w:pPr>
            <w:r w:rsidRPr="00DF4CF3">
              <w:rPr>
                <w:rFonts w:ascii="Arial" w:hAnsi="Arial" w:cs="Arial"/>
                <w:i/>
                <w:iCs/>
                <w:sz w:val="16"/>
                <w:szCs w:val="16"/>
              </w:rPr>
              <w:t>N/A</w:t>
            </w:r>
          </w:p>
        </w:tc>
        <w:tc>
          <w:tcPr>
            <w:tcW w:w="496" w:type="dxa"/>
            <w:tcBorders>
              <w:top w:val="nil"/>
              <w:left w:val="nil"/>
              <w:bottom w:val="single" w:sz="4" w:space="0" w:color="auto"/>
              <w:right w:val="dotted" w:sz="4" w:space="0" w:color="auto"/>
            </w:tcBorders>
            <w:noWrap/>
            <w:vAlign w:val="center"/>
          </w:tcPr>
          <w:p w:rsidR="00632479" w:rsidRPr="00DF4CF3" w:rsidRDefault="00632479" w:rsidP="008216A0">
            <w:pPr>
              <w:jc w:val="center"/>
              <w:rPr>
                <w:rFonts w:ascii="Arial" w:hAnsi="Arial" w:cs="Arial"/>
                <w:i/>
                <w:iCs/>
                <w:sz w:val="16"/>
                <w:szCs w:val="16"/>
              </w:rPr>
            </w:pPr>
            <w:r w:rsidRPr="00DF4CF3">
              <w:rPr>
                <w:rFonts w:ascii="Arial" w:hAnsi="Arial" w:cs="Arial"/>
                <w:i/>
                <w:iCs/>
                <w:sz w:val="16"/>
                <w:szCs w:val="16"/>
              </w:rPr>
              <w:t>N/A</w:t>
            </w:r>
          </w:p>
        </w:tc>
        <w:tc>
          <w:tcPr>
            <w:tcW w:w="496" w:type="dxa"/>
            <w:tcBorders>
              <w:top w:val="nil"/>
              <w:left w:val="nil"/>
              <w:bottom w:val="single" w:sz="4" w:space="0" w:color="auto"/>
              <w:right w:val="dotted" w:sz="4" w:space="0" w:color="auto"/>
            </w:tcBorders>
            <w:noWrap/>
            <w:vAlign w:val="center"/>
          </w:tcPr>
          <w:p w:rsidR="00632479" w:rsidRPr="00DF4CF3" w:rsidRDefault="00632479" w:rsidP="008216A0">
            <w:pPr>
              <w:jc w:val="center"/>
              <w:rPr>
                <w:rFonts w:ascii="Arial" w:hAnsi="Arial" w:cs="Arial"/>
                <w:i/>
                <w:iCs/>
                <w:sz w:val="16"/>
                <w:szCs w:val="16"/>
              </w:rPr>
            </w:pPr>
            <w:r w:rsidRPr="00DF4CF3">
              <w:rPr>
                <w:rFonts w:ascii="Arial" w:hAnsi="Arial" w:cs="Arial"/>
                <w:i/>
                <w:iCs/>
                <w:sz w:val="16"/>
                <w:szCs w:val="16"/>
              </w:rPr>
              <w:t>N/A</w:t>
            </w:r>
          </w:p>
        </w:tc>
        <w:tc>
          <w:tcPr>
            <w:tcW w:w="496" w:type="dxa"/>
            <w:tcBorders>
              <w:top w:val="nil"/>
              <w:left w:val="nil"/>
              <w:bottom w:val="single" w:sz="4" w:space="0" w:color="auto"/>
              <w:right w:val="dotted" w:sz="4" w:space="0" w:color="auto"/>
            </w:tcBorders>
            <w:noWrap/>
            <w:vAlign w:val="center"/>
          </w:tcPr>
          <w:p w:rsidR="00632479" w:rsidRPr="00DF4CF3" w:rsidRDefault="00632479" w:rsidP="008216A0">
            <w:pPr>
              <w:jc w:val="center"/>
              <w:rPr>
                <w:rFonts w:ascii="Arial" w:hAnsi="Arial" w:cs="Arial"/>
                <w:i/>
                <w:iCs/>
                <w:sz w:val="16"/>
                <w:szCs w:val="16"/>
              </w:rPr>
            </w:pPr>
            <w:r w:rsidRPr="00DF4CF3">
              <w:rPr>
                <w:rFonts w:ascii="Arial" w:hAnsi="Arial" w:cs="Arial"/>
                <w:i/>
                <w:iCs/>
                <w:sz w:val="16"/>
                <w:szCs w:val="16"/>
              </w:rPr>
              <w:t>N/A</w:t>
            </w:r>
          </w:p>
        </w:tc>
        <w:tc>
          <w:tcPr>
            <w:tcW w:w="496" w:type="dxa"/>
            <w:tcBorders>
              <w:top w:val="nil"/>
              <w:left w:val="nil"/>
              <w:bottom w:val="single" w:sz="4" w:space="0" w:color="auto"/>
              <w:right w:val="dotted" w:sz="4" w:space="0" w:color="auto"/>
            </w:tcBorders>
            <w:noWrap/>
            <w:vAlign w:val="center"/>
          </w:tcPr>
          <w:p w:rsidR="00632479" w:rsidRPr="00DF4CF3" w:rsidRDefault="00632479" w:rsidP="008216A0">
            <w:pPr>
              <w:jc w:val="center"/>
              <w:rPr>
                <w:rFonts w:ascii="Arial" w:hAnsi="Arial" w:cs="Arial"/>
                <w:i/>
                <w:iCs/>
                <w:sz w:val="16"/>
                <w:szCs w:val="16"/>
              </w:rPr>
            </w:pPr>
            <w:r w:rsidRPr="00DF4CF3">
              <w:rPr>
                <w:rFonts w:ascii="Arial" w:hAnsi="Arial" w:cs="Arial"/>
                <w:i/>
                <w:iCs/>
                <w:color w:val="000000"/>
                <w:sz w:val="16"/>
                <w:szCs w:val="16"/>
              </w:rPr>
              <w:t>N/A</w:t>
            </w:r>
          </w:p>
        </w:tc>
        <w:tc>
          <w:tcPr>
            <w:tcW w:w="496" w:type="dxa"/>
            <w:tcBorders>
              <w:top w:val="nil"/>
              <w:left w:val="nil"/>
              <w:bottom w:val="single" w:sz="4" w:space="0" w:color="auto"/>
              <w:right w:val="dotted" w:sz="4" w:space="0" w:color="auto"/>
            </w:tcBorders>
            <w:noWrap/>
            <w:vAlign w:val="center"/>
          </w:tcPr>
          <w:p w:rsidR="00632479" w:rsidRPr="00DF4CF3" w:rsidRDefault="00632479" w:rsidP="008216A0">
            <w:pPr>
              <w:jc w:val="center"/>
              <w:rPr>
                <w:rFonts w:ascii="Arial" w:hAnsi="Arial" w:cs="Arial"/>
                <w:i/>
                <w:iCs/>
                <w:sz w:val="16"/>
                <w:szCs w:val="16"/>
              </w:rPr>
            </w:pPr>
            <w:r w:rsidRPr="00DF4CF3">
              <w:rPr>
                <w:rFonts w:ascii="Arial" w:hAnsi="Arial" w:cs="Arial"/>
                <w:i/>
                <w:iCs/>
                <w:sz w:val="16"/>
                <w:szCs w:val="16"/>
              </w:rPr>
              <w:t>N/A</w:t>
            </w:r>
          </w:p>
        </w:tc>
        <w:tc>
          <w:tcPr>
            <w:tcW w:w="496" w:type="dxa"/>
            <w:tcBorders>
              <w:top w:val="nil"/>
              <w:left w:val="nil"/>
              <w:bottom w:val="single" w:sz="4" w:space="0" w:color="auto"/>
              <w:right w:val="dotted" w:sz="4" w:space="0" w:color="auto"/>
            </w:tcBorders>
            <w:noWrap/>
            <w:vAlign w:val="center"/>
          </w:tcPr>
          <w:p w:rsidR="00632479" w:rsidRPr="00DF4CF3" w:rsidRDefault="00632479" w:rsidP="008216A0">
            <w:pPr>
              <w:jc w:val="center"/>
              <w:rPr>
                <w:rFonts w:ascii="Arial" w:hAnsi="Arial" w:cs="Arial"/>
                <w:i/>
                <w:iCs/>
                <w:sz w:val="16"/>
                <w:szCs w:val="16"/>
              </w:rPr>
            </w:pPr>
            <w:r w:rsidRPr="00DF4CF3">
              <w:rPr>
                <w:rFonts w:ascii="Arial" w:hAnsi="Arial" w:cs="Arial"/>
                <w:i/>
                <w:iCs/>
                <w:sz w:val="16"/>
                <w:szCs w:val="16"/>
              </w:rPr>
              <w:t>N/A</w:t>
            </w:r>
          </w:p>
        </w:tc>
        <w:tc>
          <w:tcPr>
            <w:tcW w:w="496" w:type="dxa"/>
            <w:tcBorders>
              <w:top w:val="nil"/>
              <w:left w:val="nil"/>
              <w:bottom w:val="single" w:sz="4" w:space="0" w:color="auto"/>
              <w:right w:val="dotted" w:sz="4" w:space="0" w:color="auto"/>
            </w:tcBorders>
            <w:noWrap/>
            <w:vAlign w:val="center"/>
          </w:tcPr>
          <w:p w:rsidR="00632479" w:rsidRPr="00DF4CF3" w:rsidRDefault="00632479" w:rsidP="008216A0">
            <w:pPr>
              <w:jc w:val="center"/>
              <w:rPr>
                <w:rFonts w:ascii="Arial" w:hAnsi="Arial" w:cs="Arial"/>
                <w:i/>
                <w:iCs/>
                <w:sz w:val="16"/>
                <w:szCs w:val="16"/>
              </w:rPr>
            </w:pPr>
            <w:r w:rsidRPr="00DF4CF3">
              <w:rPr>
                <w:rFonts w:ascii="Arial" w:hAnsi="Arial" w:cs="Arial"/>
                <w:i/>
                <w:iCs/>
                <w:sz w:val="16"/>
                <w:szCs w:val="16"/>
              </w:rPr>
              <w:t>N/A</w:t>
            </w:r>
          </w:p>
        </w:tc>
        <w:tc>
          <w:tcPr>
            <w:tcW w:w="585" w:type="dxa"/>
            <w:tcBorders>
              <w:top w:val="nil"/>
              <w:left w:val="nil"/>
              <w:bottom w:val="single" w:sz="4" w:space="0" w:color="auto"/>
              <w:right w:val="dotted" w:sz="4" w:space="0" w:color="auto"/>
            </w:tcBorders>
            <w:noWrap/>
            <w:vAlign w:val="center"/>
          </w:tcPr>
          <w:p w:rsidR="00632479" w:rsidRPr="00DF4CF3" w:rsidRDefault="00632479" w:rsidP="008216A0">
            <w:pPr>
              <w:jc w:val="center"/>
              <w:rPr>
                <w:rFonts w:ascii="Arial" w:hAnsi="Arial" w:cs="Arial"/>
                <w:b/>
                <w:bCs/>
                <w:sz w:val="16"/>
                <w:szCs w:val="16"/>
              </w:rPr>
            </w:pPr>
            <w:r w:rsidRPr="00DF4CF3">
              <w:rPr>
                <w:rFonts w:ascii="Arial" w:hAnsi="Arial" w:cs="Arial"/>
                <w:b/>
                <w:bCs/>
                <w:sz w:val="16"/>
                <w:szCs w:val="16"/>
              </w:rPr>
              <w:t>0</w:t>
            </w:r>
          </w:p>
        </w:tc>
        <w:tc>
          <w:tcPr>
            <w:tcW w:w="1030" w:type="dxa"/>
            <w:tcBorders>
              <w:top w:val="nil"/>
              <w:left w:val="nil"/>
              <w:bottom w:val="single" w:sz="4" w:space="0" w:color="auto"/>
              <w:right w:val="single" w:sz="4" w:space="0" w:color="auto"/>
            </w:tcBorders>
            <w:noWrap/>
            <w:vAlign w:val="center"/>
          </w:tcPr>
          <w:p w:rsidR="00632479" w:rsidRPr="00DF4CF3" w:rsidRDefault="00632479" w:rsidP="008216A0">
            <w:pPr>
              <w:jc w:val="center"/>
              <w:rPr>
                <w:rFonts w:ascii="Arial" w:hAnsi="Arial" w:cs="Arial"/>
                <w:sz w:val="16"/>
                <w:szCs w:val="16"/>
              </w:rPr>
            </w:pPr>
          </w:p>
        </w:tc>
      </w:tr>
      <w:tr w:rsidR="00632479" w:rsidRPr="00DF4CF3" w:rsidTr="006A2BF3">
        <w:trPr>
          <w:trHeight w:val="300"/>
        </w:trPr>
        <w:tc>
          <w:tcPr>
            <w:tcW w:w="1858" w:type="dxa"/>
            <w:vMerge w:val="restart"/>
            <w:tcBorders>
              <w:top w:val="single" w:sz="4" w:space="0" w:color="000000"/>
              <w:left w:val="single" w:sz="4" w:space="0" w:color="auto"/>
              <w:bottom w:val="single" w:sz="4" w:space="0" w:color="000000"/>
              <w:right w:val="single" w:sz="4" w:space="0" w:color="auto"/>
            </w:tcBorders>
            <w:vAlign w:val="center"/>
          </w:tcPr>
          <w:p w:rsidR="00632479" w:rsidRDefault="00632479" w:rsidP="008216A0">
            <w:pPr>
              <w:rPr>
                <w:rFonts w:ascii="Arial" w:hAnsi="Arial" w:cs="Arial"/>
                <w:sz w:val="16"/>
                <w:szCs w:val="16"/>
              </w:rPr>
            </w:pPr>
            <w:r w:rsidRPr="00DF4CF3">
              <w:rPr>
                <w:rFonts w:ascii="Arial" w:hAnsi="Arial" w:cs="Arial"/>
                <w:sz w:val="16"/>
                <w:szCs w:val="16"/>
              </w:rPr>
              <w:t>Počet zjednotených systémov prenosu dát z NMSKO (Národnej monitorovacej siete kvality ovzdušia) do centrálnej databázy [počet]</w:t>
            </w:r>
          </w:p>
          <w:p w:rsidR="000D360F" w:rsidRPr="00DF4CF3" w:rsidRDefault="000D360F" w:rsidP="008216A0">
            <w:pPr>
              <w:rPr>
                <w:rFonts w:ascii="Arial" w:hAnsi="Arial" w:cs="Arial"/>
                <w:sz w:val="16"/>
                <w:szCs w:val="16"/>
              </w:rPr>
            </w:pPr>
            <w:r>
              <w:rPr>
                <w:rFonts w:ascii="Arial" w:hAnsi="Arial" w:cs="Arial"/>
                <w:sz w:val="16"/>
                <w:szCs w:val="16"/>
              </w:rPr>
              <w:t>výsledok</w:t>
            </w:r>
          </w:p>
        </w:tc>
        <w:tc>
          <w:tcPr>
            <w:tcW w:w="1233" w:type="dxa"/>
            <w:tcBorders>
              <w:top w:val="nil"/>
              <w:left w:val="nil"/>
              <w:bottom w:val="dotted" w:sz="4" w:space="0" w:color="auto"/>
              <w:right w:val="single" w:sz="4" w:space="0" w:color="auto"/>
            </w:tcBorders>
            <w:noWrap/>
            <w:vAlign w:val="center"/>
          </w:tcPr>
          <w:p w:rsidR="00632479" w:rsidRPr="00DF4CF3" w:rsidRDefault="00632479" w:rsidP="008216A0">
            <w:pPr>
              <w:rPr>
                <w:rFonts w:ascii="Arial" w:hAnsi="Arial" w:cs="Arial"/>
                <w:sz w:val="16"/>
                <w:szCs w:val="16"/>
              </w:rPr>
            </w:pPr>
            <w:r w:rsidRPr="00DF4CF3">
              <w:rPr>
                <w:rFonts w:ascii="Arial" w:hAnsi="Arial" w:cs="Arial"/>
                <w:sz w:val="16"/>
                <w:szCs w:val="16"/>
              </w:rPr>
              <w:t>Dosiahnutý výsledok</w:t>
            </w:r>
          </w:p>
        </w:tc>
        <w:tc>
          <w:tcPr>
            <w:tcW w:w="496" w:type="dxa"/>
            <w:tcBorders>
              <w:top w:val="nil"/>
              <w:left w:val="nil"/>
              <w:bottom w:val="dotted" w:sz="4" w:space="0" w:color="auto"/>
              <w:right w:val="dotted" w:sz="4" w:space="0" w:color="auto"/>
            </w:tcBorders>
            <w:noWrap/>
            <w:vAlign w:val="center"/>
          </w:tcPr>
          <w:p w:rsidR="00632479" w:rsidRPr="00DF4CF3" w:rsidRDefault="00632479" w:rsidP="008216A0">
            <w:pPr>
              <w:jc w:val="center"/>
              <w:rPr>
                <w:rFonts w:ascii="Arial" w:hAnsi="Arial" w:cs="Arial"/>
                <w:b/>
                <w:bCs/>
                <w:sz w:val="16"/>
                <w:szCs w:val="16"/>
              </w:rPr>
            </w:pPr>
            <w:r w:rsidRPr="00DF4CF3">
              <w:rPr>
                <w:rFonts w:ascii="Arial" w:hAnsi="Arial" w:cs="Arial"/>
                <w:b/>
                <w:bCs/>
                <w:sz w:val="16"/>
                <w:szCs w:val="16"/>
              </w:rPr>
              <w:t>0</w:t>
            </w:r>
          </w:p>
        </w:tc>
        <w:tc>
          <w:tcPr>
            <w:tcW w:w="496" w:type="dxa"/>
            <w:tcBorders>
              <w:top w:val="nil"/>
              <w:left w:val="nil"/>
              <w:bottom w:val="dotted" w:sz="4" w:space="0" w:color="auto"/>
              <w:right w:val="dotted" w:sz="4" w:space="0" w:color="auto"/>
            </w:tcBorders>
            <w:noWrap/>
            <w:vAlign w:val="center"/>
          </w:tcPr>
          <w:p w:rsidR="00632479" w:rsidRPr="00DF4CF3" w:rsidRDefault="00632479" w:rsidP="008216A0">
            <w:pPr>
              <w:jc w:val="center"/>
              <w:rPr>
                <w:rFonts w:ascii="Arial" w:hAnsi="Arial" w:cs="Arial"/>
                <w:b/>
                <w:bCs/>
                <w:sz w:val="16"/>
                <w:szCs w:val="16"/>
              </w:rPr>
            </w:pPr>
            <w:r w:rsidRPr="00DF4CF3">
              <w:rPr>
                <w:rFonts w:ascii="Arial" w:hAnsi="Arial" w:cs="Arial"/>
                <w:b/>
                <w:bCs/>
                <w:sz w:val="16"/>
                <w:szCs w:val="16"/>
              </w:rPr>
              <w:t>0</w:t>
            </w:r>
          </w:p>
        </w:tc>
        <w:tc>
          <w:tcPr>
            <w:tcW w:w="496" w:type="dxa"/>
            <w:tcBorders>
              <w:top w:val="nil"/>
              <w:left w:val="nil"/>
              <w:bottom w:val="dotted" w:sz="4" w:space="0" w:color="auto"/>
              <w:right w:val="dotted" w:sz="4" w:space="0" w:color="auto"/>
            </w:tcBorders>
            <w:noWrap/>
            <w:vAlign w:val="center"/>
          </w:tcPr>
          <w:p w:rsidR="00632479" w:rsidRPr="00DF4CF3" w:rsidRDefault="00632479" w:rsidP="008216A0">
            <w:pPr>
              <w:jc w:val="center"/>
              <w:rPr>
                <w:rFonts w:ascii="Arial" w:hAnsi="Arial" w:cs="Arial"/>
                <w:b/>
                <w:bCs/>
                <w:sz w:val="16"/>
                <w:szCs w:val="16"/>
              </w:rPr>
            </w:pPr>
            <w:r w:rsidRPr="00DF4CF3">
              <w:rPr>
                <w:rFonts w:ascii="Arial" w:hAnsi="Arial" w:cs="Arial"/>
                <w:b/>
                <w:bCs/>
                <w:sz w:val="16"/>
                <w:szCs w:val="16"/>
              </w:rPr>
              <w:t>0</w:t>
            </w:r>
          </w:p>
        </w:tc>
        <w:tc>
          <w:tcPr>
            <w:tcW w:w="496" w:type="dxa"/>
            <w:tcBorders>
              <w:top w:val="nil"/>
              <w:left w:val="nil"/>
              <w:bottom w:val="dotted" w:sz="4" w:space="0" w:color="auto"/>
              <w:right w:val="dotted" w:sz="4" w:space="0" w:color="auto"/>
            </w:tcBorders>
            <w:noWrap/>
            <w:vAlign w:val="center"/>
          </w:tcPr>
          <w:p w:rsidR="00632479" w:rsidRPr="00DF4CF3" w:rsidRDefault="00632479" w:rsidP="008216A0">
            <w:pPr>
              <w:jc w:val="center"/>
              <w:rPr>
                <w:rFonts w:ascii="Arial" w:hAnsi="Arial" w:cs="Arial"/>
                <w:b/>
                <w:bCs/>
                <w:sz w:val="16"/>
                <w:szCs w:val="16"/>
              </w:rPr>
            </w:pPr>
            <w:r w:rsidRPr="00DF4CF3">
              <w:rPr>
                <w:rFonts w:ascii="Arial" w:hAnsi="Arial" w:cs="Arial"/>
                <w:b/>
                <w:bCs/>
                <w:sz w:val="16"/>
                <w:szCs w:val="16"/>
              </w:rPr>
              <w:t>0</w:t>
            </w:r>
          </w:p>
        </w:tc>
        <w:tc>
          <w:tcPr>
            <w:tcW w:w="496" w:type="dxa"/>
            <w:tcBorders>
              <w:top w:val="nil"/>
              <w:left w:val="nil"/>
              <w:bottom w:val="dotted" w:sz="4" w:space="0" w:color="auto"/>
              <w:right w:val="dotted" w:sz="4" w:space="0" w:color="auto"/>
            </w:tcBorders>
            <w:noWrap/>
            <w:vAlign w:val="center"/>
          </w:tcPr>
          <w:p w:rsidR="00632479" w:rsidRPr="00DF4CF3" w:rsidRDefault="00632479" w:rsidP="008216A0">
            <w:pPr>
              <w:jc w:val="center"/>
              <w:rPr>
                <w:rFonts w:ascii="Arial" w:hAnsi="Arial" w:cs="Arial"/>
                <w:b/>
                <w:bCs/>
                <w:sz w:val="16"/>
                <w:szCs w:val="16"/>
              </w:rPr>
            </w:pPr>
            <w:r w:rsidRPr="00DF4CF3">
              <w:rPr>
                <w:rFonts w:ascii="Arial" w:hAnsi="Arial" w:cs="Arial"/>
                <w:b/>
                <w:bCs/>
                <w:sz w:val="16"/>
                <w:szCs w:val="16"/>
              </w:rPr>
              <w:t>1</w:t>
            </w:r>
          </w:p>
        </w:tc>
        <w:tc>
          <w:tcPr>
            <w:tcW w:w="496" w:type="dxa"/>
            <w:tcBorders>
              <w:top w:val="nil"/>
              <w:left w:val="nil"/>
              <w:bottom w:val="dotted" w:sz="4" w:space="0" w:color="auto"/>
              <w:right w:val="dotted" w:sz="4" w:space="0" w:color="auto"/>
            </w:tcBorders>
            <w:noWrap/>
            <w:vAlign w:val="center"/>
          </w:tcPr>
          <w:p w:rsidR="00632479" w:rsidRPr="00DF4CF3" w:rsidRDefault="00632479" w:rsidP="008216A0">
            <w:pPr>
              <w:jc w:val="center"/>
              <w:rPr>
                <w:rFonts w:ascii="Arial" w:hAnsi="Arial" w:cs="Arial"/>
                <w:i/>
                <w:iCs/>
                <w:sz w:val="16"/>
                <w:szCs w:val="16"/>
              </w:rPr>
            </w:pPr>
            <w:r w:rsidRPr="00DF4CF3">
              <w:rPr>
                <w:rFonts w:ascii="Arial" w:hAnsi="Arial" w:cs="Arial"/>
                <w:i/>
                <w:iCs/>
                <w:color w:val="000000"/>
                <w:sz w:val="16"/>
                <w:szCs w:val="16"/>
              </w:rPr>
              <w:t>1</w:t>
            </w:r>
          </w:p>
        </w:tc>
        <w:tc>
          <w:tcPr>
            <w:tcW w:w="496" w:type="dxa"/>
            <w:tcBorders>
              <w:top w:val="nil"/>
              <w:left w:val="nil"/>
              <w:bottom w:val="dotted" w:sz="4" w:space="0" w:color="auto"/>
              <w:right w:val="dotted" w:sz="4" w:space="0" w:color="auto"/>
            </w:tcBorders>
            <w:noWrap/>
            <w:vAlign w:val="center"/>
          </w:tcPr>
          <w:p w:rsidR="00632479" w:rsidRPr="00DF4CF3" w:rsidRDefault="00632479" w:rsidP="008216A0">
            <w:pPr>
              <w:jc w:val="center"/>
              <w:rPr>
                <w:rFonts w:ascii="Arial" w:hAnsi="Arial" w:cs="Arial"/>
                <w:i/>
                <w:iCs/>
                <w:sz w:val="16"/>
                <w:szCs w:val="16"/>
              </w:rPr>
            </w:pPr>
            <w:r w:rsidRPr="00DF4CF3">
              <w:rPr>
                <w:rFonts w:ascii="Arial" w:hAnsi="Arial" w:cs="Arial"/>
                <w:i/>
                <w:iCs/>
                <w:sz w:val="16"/>
                <w:szCs w:val="16"/>
              </w:rPr>
              <w:t>N/A</w:t>
            </w:r>
          </w:p>
        </w:tc>
        <w:tc>
          <w:tcPr>
            <w:tcW w:w="496" w:type="dxa"/>
            <w:tcBorders>
              <w:top w:val="nil"/>
              <w:left w:val="nil"/>
              <w:bottom w:val="dotted" w:sz="4" w:space="0" w:color="auto"/>
              <w:right w:val="dotted" w:sz="4" w:space="0" w:color="auto"/>
            </w:tcBorders>
            <w:noWrap/>
            <w:vAlign w:val="center"/>
          </w:tcPr>
          <w:p w:rsidR="00632479" w:rsidRPr="00DF4CF3" w:rsidRDefault="00632479" w:rsidP="008216A0">
            <w:pPr>
              <w:jc w:val="center"/>
              <w:rPr>
                <w:rFonts w:ascii="Arial" w:hAnsi="Arial" w:cs="Arial"/>
                <w:i/>
                <w:iCs/>
                <w:sz w:val="16"/>
                <w:szCs w:val="16"/>
              </w:rPr>
            </w:pPr>
            <w:r w:rsidRPr="00DF4CF3">
              <w:rPr>
                <w:rFonts w:ascii="Arial" w:hAnsi="Arial" w:cs="Arial"/>
                <w:i/>
                <w:iCs/>
                <w:sz w:val="16"/>
                <w:szCs w:val="16"/>
              </w:rPr>
              <w:t>N/A</w:t>
            </w:r>
          </w:p>
        </w:tc>
        <w:tc>
          <w:tcPr>
            <w:tcW w:w="496" w:type="dxa"/>
            <w:tcBorders>
              <w:top w:val="nil"/>
              <w:left w:val="nil"/>
              <w:bottom w:val="dotted" w:sz="4" w:space="0" w:color="auto"/>
              <w:right w:val="dotted" w:sz="4" w:space="0" w:color="auto"/>
            </w:tcBorders>
            <w:noWrap/>
            <w:vAlign w:val="center"/>
          </w:tcPr>
          <w:p w:rsidR="00632479" w:rsidRPr="00DF4CF3" w:rsidRDefault="00632479" w:rsidP="008216A0">
            <w:pPr>
              <w:jc w:val="center"/>
              <w:rPr>
                <w:rFonts w:ascii="Arial" w:hAnsi="Arial" w:cs="Arial"/>
                <w:i/>
                <w:iCs/>
                <w:sz w:val="16"/>
                <w:szCs w:val="16"/>
              </w:rPr>
            </w:pPr>
            <w:r w:rsidRPr="00DF4CF3">
              <w:rPr>
                <w:rFonts w:ascii="Arial" w:hAnsi="Arial" w:cs="Arial"/>
                <w:i/>
                <w:iCs/>
                <w:sz w:val="16"/>
                <w:szCs w:val="16"/>
              </w:rPr>
              <w:t>N/A</w:t>
            </w:r>
          </w:p>
        </w:tc>
        <w:tc>
          <w:tcPr>
            <w:tcW w:w="585" w:type="dxa"/>
            <w:tcBorders>
              <w:top w:val="nil"/>
              <w:left w:val="nil"/>
              <w:bottom w:val="dotted" w:sz="4" w:space="0" w:color="auto"/>
              <w:right w:val="dotted" w:sz="4" w:space="0" w:color="auto"/>
            </w:tcBorders>
            <w:noWrap/>
            <w:vAlign w:val="center"/>
          </w:tcPr>
          <w:p w:rsidR="00632479" w:rsidRPr="00DF4CF3" w:rsidRDefault="00632479" w:rsidP="008216A0">
            <w:pPr>
              <w:jc w:val="center"/>
              <w:rPr>
                <w:rFonts w:ascii="Arial" w:hAnsi="Arial" w:cs="Arial"/>
                <w:b/>
                <w:bCs/>
                <w:sz w:val="16"/>
                <w:szCs w:val="16"/>
              </w:rPr>
            </w:pPr>
            <w:r w:rsidRPr="00DF4CF3">
              <w:rPr>
                <w:rFonts w:ascii="Arial" w:hAnsi="Arial" w:cs="Arial"/>
                <w:b/>
                <w:bCs/>
                <w:sz w:val="16"/>
                <w:szCs w:val="16"/>
              </w:rPr>
              <w:t>1</w:t>
            </w:r>
          </w:p>
        </w:tc>
        <w:tc>
          <w:tcPr>
            <w:tcW w:w="1030" w:type="dxa"/>
            <w:tcBorders>
              <w:top w:val="nil"/>
              <w:left w:val="nil"/>
              <w:bottom w:val="dotted" w:sz="4" w:space="0" w:color="auto"/>
              <w:right w:val="single" w:sz="4" w:space="0" w:color="auto"/>
            </w:tcBorders>
            <w:noWrap/>
            <w:vAlign w:val="center"/>
          </w:tcPr>
          <w:p w:rsidR="00632479" w:rsidRPr="00DF4CF3" w:rsidRDefault="00632479" w:rsidP="008216A0">
            <w:pPr>
              <w:jc w:val="center"/>
              <w:rPr>
                <w:rFonts w:ascii="Arial" w:hAnsi="Arial" w:cs="Arial"/>
                <w:sz w:val="16"/>
                <w:szCs w:val="16"/>
              </w:rPr>
            </w:pPr>
          </w:p>
        </w:tc>
      </w:tr>
      <w:tr w:rsidR="00632479" w:rsidRPr="00DF4CF3" w:rsidTr="006A2BF3">
        <w:trPr>
          <w:trHeight w:val="300"/>
        </w:trPr>
        <w:tc>
          <w:tcPr>
            <w:tcW w:w="1858" w:type="dxa"/>
            <w:vMerge/>
            <w:tcBorders>
              <w:top w:val="single" w:sz="4" w:space="0" w:color="000000"/>
              <w:left w:val="single" w:sz="4" w:space="0" w:color="auto"/>
              <w:bottom w:val="single" w:sz="4" w:space="0" w:color="000000"/>
              <w:right w:val="single" w:sz="4" w:space="0" w:color="auto"/>
            </w:tcBorders>
            <w:vAlign w:val="center"/>
          </w:tcPr>
          <w:p w:rsidR="00632479" w:rsidRPr="00DF4CF3" w:rsidRDefault="00632479" w:rsidP="008216A0">
            <w:pPr>
              <w:rPr>
                <w:rFonts w:ascii="Arial" w:hAnsi="Arial" w:cs="Arial"/>
                <w:sz w:val="16"/>
                <w:szCs w:val="16"/>
              </w:rPr>
            </w:pPr>
          </w:p>
        </w:tc>
        <w:tc>
          <w:tcPr>
            <w:tcW w:w="1233" w:type="dxa"/>
            <w:tcBorders>
              <w:top w:val="nil"/>
              <w:left w:val="nil"/>
              <w:bottom w:val="dotted" w:sz="4" w:space="0" w:color="auto"/>
              <w:right w:val="single" w:sz="4" w:space="0" w:color="auto"/>
            </w:tcBorders>
            <w:noWrap/>
            <w:vAlign w:val="center"/>
          </w:tcPr>
          <w:p w:rsidR="00632479" w:rsidRPr="00DF4CF3" w:rsidRDefault="00632479" w:rsidP="008216A0">
            <w:pPr>
              <w:rPr>
                <w:rFonts w:ascii="Arial" w:hAnsi="Arial" w:cs="Arial"/>
                <w:sz w:val="16"/>
                <w:szCs w:val="16"/>
              </w:rPr>
            </w:pPr>
            <w:r w:rsidRPr="00DF4CF3">
              <w:rPr>
                <w:rFonts w:ascii="Arial" w:hAnsi="Arial" w:cs="Arial"/>
                <w:sz w:val="16"/>
                <w:szCs w:val="16"/>
              </w:rPr>
              <w:t>Cieľ</w:t>
            </w:r>
          </w:p>
        </w:tc>
        <w:tc>
          <w:tcPr>
            <w:tcW w:w="496" w:type="dxa"/>
            <w:tcBorders>
              <w:top w:val="nil"/>
              <w:left w:val="nil"/>
              <w:bottom w:val="dotted" w:sz="4" w:space="0" w:color="auto"/>
              <w:right w:val="dotted" w:sz="4" w:space="0" w:color="auto"/>
            </w:tcBorders>
            <w:noWrap/>
            <w:vAlign w:val="center"/>
          </w:tcPr>
          <w:p w:rsidR="00632479" w:rsidRPr="00DF4CF3" w:rsidRDefault="00632479" w:rsidP="008216A0">
            <w:pPr>
              <w:jc w:val="center"/>
              <w:rPr>
                <w:rFonts w:ascii="Arial" w:hAnsi="Arial" w:cs="Arial"/>
                <w:i/>
                <w:iCs/>
                <w:sz w:val="16"/>
                <w:szCs w:val="16"/>
              </w:rPr>
            </w:pPr>
            <w:r w:rsidRPr="00DF4CF3">
              <w:rPr>
                <w:rFonts w:ascii="Arial" w:hAnsi="Arial" w:cs="Arial"/>
                <w:i/>
                <w:iCs/>
                <w:sz w:val="16"/>
                <w:szCs w:val="16"/>
              </w:rPr>
              <w:t>N/A</w:t>
            </w:r>
          </w:p>
        </w:tc>
        <w:tc>
          <w:tcPr>
            <w:tcW w:w="496" w:type="dxa"/>
            <w:tcBorders>
              <w:top w:val="nil"/>
              <w:left w:val="nil"/>
              <w:bottom w:val="dotted" w:sz="4" w:space="0" w:color="auto"/>
              <w:right w:val="dotted" w:sz="4" w:space="0" w:color="auto"/>
            </w:tcBorders>
            <w:noWrap/>
            <w:vAlign w:val="center"/>
          </w:tcPr>
          <w:p w:rsidR="00632479" w:rsidRPr="00DF4CF3" w:rsidRDefault="00632479" w:rsidP="008216A0">
            <w:pPr>
              <w:jc w:val="center"/>
              <w:rPr>
                <w:rFonts w:ascii="Arial" w:hAnsi="Arial" w:cs="Arial"/>
                <w:i/>
                <w:iCs/>
                <w:sz w:val="16"/>
                <w:szCs w:val="16"/>
              </w:rPr>
            </w:pPr>
            <w:r w:rsidRPr="00DF4CF3">
              <w:rPr>
                <w:rFonts w:ascii="Arial" w:hAnsi="Arial" w:cs="Arial"/>
                <w:i/>
                <w:iCs/>
                <w:sz w:val="16"/>
                <w:szCs w:val="16"/>
              </w:rPr>
              <w:t>N/A</w:t>
            </w:r>
          </w:p>
        </w:tc>
        <w:tc>
          <w:tcPr>
            <w:tcW w:w="496" w:type="dxa"/>
            <w:tcBorders>
              <w:top w:val="nil"/>
              <w:left w:val="nil"/>
              <w:bottom w:val="dotted" w:sz="4" w:space="0" w:color="auto"/>
              <w:right w:val="dotted" w:sz="4" w:space="0" w:color="auto"/>
            </w:tcBorders>
            <w:noWrap/>
            <w:vAlign w:val="center"/>
          </w:tcPr>
          <w:p w:rsidR="00632479" w:rsidRPr="00DF4CF3" w:rsidRDefault="00632479" w:rsidP="008216A0">
            <w:pPr>
              <w:jc w:val="center"/>
              <w:rPr>
                <w:rFonts w:ascii="Arial" w:hAnsi="Arial" w:cs="Arial"/>
                <w:i/>
                <w:iCs/>
                <w:sz w:val="16"/>
                <w:szCs w:val="16"/>
              </w:rPr>
            </w:pPr>
            <w:r w:rsidRPr="00DF4CF3">
              <w:rPr>
                <w:rFonts w:ascii="Arial" w:hAnsi="Arial" w:cs="Arial"/>
                <w:i/>
                <w:iCs/>
                <w:sz w:val="16"/>
                <w:szCs w:val="16"/>
              </w:rPr>
              <w:t>N/A</w:t>
            </w:r>
          </w:p>
        </w:tc>
        <w:tc>
          <w:tcPr>
            <w:tcW w:w="496" w:type="dxa"/>
            <w:tcBorders>
              <w:top w:val="nil"/>
              <w:left w:val="nil"/>
              <w:bottom w:val="dotted" w:sz="4" w:space="0" w:color="auto"/>
              <w:right w:val="dotted" w:sz="4" w:space="0" w:color="auto"/>
            </w:tcBorders>
            <w:noWrap/>
            <w:vAlign w:val="center"/>
          </w:tcPr>
          <w:p w:rsidR="00632479" w:rsidRPr="00DF4CF3" w:rsidRDefault="00632479" w:rsidP="008216A0">
            <w:pPr>
              <w:jc w:val="center"/>
              <w:rPr>
                <w:rFonts w:ascii="Arial" w:hAnsi="Arial" w:cs="Arial"/>
                <w:i/>
                <w:iCs/>
                <w:sz w:val="16"/>
                <w:szCs w:val="16"/>
              </w:rPr>
            </w:pPr>
            <w:r w:rsidRPr="00DF4CF3">
              <w:rPr>
                <w:rFonts w:ascii="Arial" w:hAnsi="Arial" w:cs="Arial"/>
                <w:i/>
                <w:iCs/>
                <w:sz w:val="16"/>
                <w:szCs w:val="16"/>
              </w:rPr>
              <w:t>N/A</w:t>
            </w:r>
          </w:p>
        </w:tc>
        <w:tc>
          <w:tcPr>
            <w:tcW w:w="496" w:type="dxa"/>
            <w:tcBorders>
              <w:top w:val="nil"/>
              <w:left w:val="nil"/>
              <w:bottom w:val="dotted" w:sz="4" w:space="0" w:color="auto"/>
              <w:right w:val="dotted" w:sz="4" w:space="0" w:color="auto"/>
            </w:tcBorders>
            <w:noWrap/>
            <w:vAlign w:val="center"/>
          </w:tcPr>
          <w:p w:rsidR="00632479" w:rsidRPr="00DF4CF3" w:rsidRDefault="00632479" w:rsidP="008216A0">
            <w:pPr>
              <w:jc w:val="center"/>
              <w:rPr>
                <w:rFonts w:ascii="Arial" w:hAnsi="Arial" w:cs="Arial"/>
                <w:i/>
                <w:iCs/>
                <w:sz w:val="16"/>
                <w:szCs w:val="16"/>
              </w:rPr>
            </w:pPr>
            <w:r w:rsidRPr="00DF4CF3">
              <w:rPr>
                <w:rFonts w:ascii="Arial" w:hAnsi="Arial" w:cs="Arial"/>
                <w:i/>
                <w:iCs/>
                <w:sz w:val="16"/>
                <w:szCs w:val="16"/>
              </w:rPr>
              <w:t>N/A</w:t>
            </w:r>
          </w:p>
        </w:tc>
        <w:tc>
          <w:tcPr>
            <w:tcW w:w="496" w:type="dxa"/>
            <w:tcBorders>
              <w:top w:val="nil"/>
              <w:left w:val="nil"/>
              <w:bottom w:val="dotted" w:sz="4" w:space="0" w:color="auto"/>
              <w:right w:val="dotted" w:sz="4" w:space="0" w:color="auto"/>
            </w:tcBorders>
            <w:noWrap/>
            <w:vAlign w:val="center"/>
          </w:tcPr>
          <w:p w:rsidR="00632479" w:rsidRPr="00DF4CF3" w:rsidRDefault="00632479" w:rsidP="008216A0">
            <w:pPr>
              <w:jc w:val="center"/>
              <w:rPr>
                <w:rFonts w:ascii="Arial" w:hAnsi="Arial" w:cs="Arial"/>
                <w:i/>
                <w:iCs/>
                <w:sz w:val="16"/>
                <w:szCs w:val="16"/>
              </w:rPr>
            </w:pPr>
            <w:r w:rsidRPr="00DF4CF3">
              <w:rPr>
                <w:rFonts w:ascii="Arial" w:hAnsi="Arial" w:cs="Arial"/>
                <w:i/>
                <w:iCs/>
                <w:color w:val="000000"/>
                <w:sz w:val="16"/>
                <w:szCs w:val="16"/>
              </w:rPr>
              <w:t>N/A</w:t>
            </w:r>
          </w:p>
        </w:tc>
        <w:tc>
          <w:tcPr>
            <w:tcW w:w="496" w:type="dxa"/>
            <w:tcBorders>
              <w:top w:val="nil"/>
              <w:left w:val="nil"/>
              <w:bottom w:val="dotted" w:sz="4" w:space="0" w:color="auto"/>
              <w:right w:val="dotted" w:sz="4" w:space="0" w:color="auto"/>
            </w:tcBorders>
            <w:noWrap/>
            <w:vAlign w:val="center"/>
          </w:tcPr>
          <w:p w:rsidR="00632479" w:rsidRPr="00DF4CF3" w:rsidRDefault="00632479" w:rsidP="008216A0">
            <w:pPr>
              <w:jc w:val="center"/>
              <w:rPr>
                <w:rFonts w:ascii="Arial" w:hAnsi="Arial" w:cs="Arial"/>
                <w:i/>
                <w:iCs/>
                <w:sz w:val="16"/>
                <w:szCs w:val="16"/>
              </w:rPr>
            </w:pPr>
            <w:r w:rsidRPr="00DF4CF3">
              <w:rPr>
                <w:rFonts w:ascii="Arial" w:hAnsi="Arial" w:cs="Arial"/>
                <w:i/>
                <w:iCs/>
                <w:sz w:val="16"/>
                <w:szCs w:val="16"/>
              </w:rPr>
              <w:t>N/A</w:t>
            </w:r>
          </w:p>
        </w:tc>
        <w:tc>
          <w:tcPr>
            <w:tcW w:w="496" w:type="dxa"/>
            <w:tcBorders>
              <w:top w:val="nil"/>
              <w:left w:val="nil"/>
              <w:bottom w:val="dotted" w:sz="4" w:space="0" w:color="auto"/>
              <w:right w:val="dotted" w:sz="4" w:space="0" w:color="auto"/>
            </w:tcBorders>
            <w:noWrap/>
            <w:vAlign w:val="center"/>
          </w:tcPr>
          <w:p w:rsidR="00632479" w:rsidRPr="00DF4CF3" w:rsidRDefault="00632479" w:rsidP="008216A0">
            <w:pPr>
              <w:jc w:val="center"/>
              <w:rPr>
                <w:rFonts w:ascii="Arial" w:hAnsi="Arial" w:cs="Arial"/>
                <w:i/>
                <w:iCs/>
                <w:sz w:val="16"/>
                <w:szCs w:val="16"/>
              </w:rPr>
            </w:pPr>
            <w:r w:rsidRPr="00DF4CF3">
              <w:rPr>
                <w:rFonts w:ascii="Arial" w:hAnsi="Arial" w:cs="Arial"/>
                <w:i/>
                <w:iCs/>
                <w:sz w:val="16"/>
                <w:szCs w:val="16"/>
              </w:rPr>
              <w:t>N/A</w:t>
            </w:r>
          </w:p>
        </w:tc>
        <w:tc>
          <w:tcPr>
            <w:tcW w:w="496" w:type="dxa"/>
            <w:tcBorders>
              <w:top w:val="nil"/>
              <w:left w:val="nil"/>
              <w:bottom w:val="dotted" w:sz="4" w:space="0" w:color="auto"/>
              <w:right w:val="dotted" w:sz="4" w:space="0" w:color="auto"/>
            </w:tcBorders>
            <w:noWrap/>
            <w:vAlign w:val="center"/>
          </w:tcPr>
          <w:p w:rsidR="00632479" w:rsidRPr="00DF4CF3" w:rsidRDefault="00632479" w:rsidP="008216A0">
            <w:pPr>
              <w:jc w:val="center"/>
              <w:rPr>
                <w:rFonts w:ascii="Arial" w:hAnsi="Arial" w:cs="Arial"/>
                <w:b/>
                <w:bCs/>
                <w:sz w:val="16"/>
                <w:szCs w:val="16"/>
              </w:rPr>
            </w:pPr>
            <w:r w:rsidRPr="00DF4CF3">
              <w:rPr>
                <w:rFonts w:ascii="Arial" w:hAnsi="Arial" w:cs="Arial"/>
                <w:b/>
                <w:bCs/>
                <w:sz w:val="16"/>
                <w:szCs w:val="16"/>
              </w:rPr>
              <w:t>1</w:t>
            </w:r>
          </w:p>
        </w:tc>
        <w:tc>
          <w:tcPr>
            <w:tcW w:w="585" w:type="dxa"/>
            <w:tcBorders>
              <w:top w:val="nil"/>
              <w:left w:val="nil"/>
              <w:bottom w:val="dotted" w:sz="4" w:space="0" w:color="auto"/>
              <w:right w:val="dotted" w:sz="4" w:space="0" w:color="auto"/>
            </w:tcBorders>
            <w:noWrap/>
            <w:vAlign w:val="center"/>
          </w:tcPr>
          <w:p w:rsidR="00632479" w:rsidRPr="00DF4CF3" w:rsidRDefault="00632479" w:rsidP="008216A0">
            <w:pPr>
              <w:jc w:val="center"/>
              <w:rPr>
                <w:rFonts w:ascii="Arial" w:hAnsi="Arial" w:cs="Arial"/>
                <w:b/>
                <w:bCs/>
                <w:sz w:val="16"/>
                <w:szCs w:val="16"/>
              </w:rPr>
            </w:pPr>
            <w:r w:rsidRPr="00DF4CF3">
              <w:rPr>
                <w:rFonts w:ascii="Arial" w:hAnsi="Arial" w:cs="Arial"/>
                <w:b/>
                <w:bCs/>
                <w:sz w:val="16"/>
                <w:szCs w:val="16"/>
              </w:rPr>
              <w:t>1</w:t>
            </w:r>
          </w:p>
        </w:tc>
        <w:tc>
          <w:tcPr>
            <w:tcW w:w="1030" w:type="dxa"/>
            <w:tcBorders>
              <w:top w:val="nil"/>
              <w:left w:val="nil"/>
              <w:bottom w:val="dotted" w:sz="4" w:space="0" w:color="auto"/>
              <w:right w:val="single" w:sz="4" w:space="0" w:color="auto"/>
            </w:tcBorders>
            <w:noWrap/>
            <w:vAlign w:val="center"/>
          </w:tcPr>
          <w:p w:rsidR="00632479" w:rsidRPr="00DF4CF3" w:rsidRDefault="00632479" w:rsidP="008216A0">
            <w:pPr>
              <w:jc w:val="center"/>
              <w:rPr>
                <w:rFonts w:ascii="Arial" w:hAnsi="Arial" w:cs="Arial"/>
                <w:i/>
                <w:iCs/>
                <w:sz w:val="16"/>
                <w:szCs w:val="16"/>
              </w:rPr>
            </w:pPr>
            <w:r w:rsidRPr="00DF4CF3">
              <w:rPr>
                <w:rFonts w:ascii="Arial" w:hAnsi="Arial" w:cs="Arial"/>
                <w:i/>
                <w:iCs/>
                <w:sz w:val="16"/>
                <w:szCs w:val="16"/>
              </w:rPr>
              <w:t>1</w:t>
            </w:r>
          </w:p>
        </w:tc>
      </w:tr>
      <w:tr w:rsidR="00632479" w:rsidRPr="00DF4CF3" w:rsidTr="006A2BF3">
        <w:trPr>
          <w:trHeight w:val="300"/>
        </w:trPr>
        <w:tc>
          <w:tcPr>
            <w:tcW w:w="1858" w:type="dxa"/>
            <w:vMerge/>
            <w:tcBorders>
              <w:top w:val="single" w:sz="4" w:space="0" w:color="000000"/>
              <w:left w:val="single" w:sz="4" w:space="0" w:color="auto"/>
              <w:bottom w:val="single" w:sz="4" w:space="0" w:color="000000"/>
              <w:right w:val="single" w:sz="4" w:space="0" w:color="auto"/>
            </w:tcBorders>
            <w:vAlign w:val="center"/>
          </w:tcPr>
          <w:p w:rsidR="00632479" w:rsidRPr="00DF4CF3" w:rsidRDefault="00632479" w:rsidP="008216A0">
            <w:pPr>
              <w:rPr>
                <w:rFonts w:ascii="Arial" w:hAnsi="Arial" w:cs="Arial"/>
                <w:sz w:val="16"/>
                <w:szCs w:val="16"/>
              </w:rPr>
            </w:pPr>
          </w:p>
        </w:tc>
        <w:tc>
          <w:tcPr>
            <w:tcW w:w="1233" w:type="dxa"/>
            <w:tcBorders>
              <w:top w:val="nil"/>
              <w:left w:val="nil"/>
              <w:bottom w:val="single" w:sz="4" w:space="0" w:color="auto"/>
              <w:right w:val="single" w:sz="4" w:space="0" w:color="auto"/>
            </w:tcBorders>
            <w:noWrap/>
            <w:vAlign w:val="center"/>
          </w:tcPr>
          <w:p w:rsidR="00632479" w:rsidRPr="00DF4CF3" w:rsidRDefault="00632479" w:rsidP="008216A0">
            <w:pPr>
              <w:rPr>
                <w:rFonts w:ascii="Arial" w:hAnsi="Arial" w:cs="Arial"/>
                <w:sz w:val="16"/>
                <w:szCs w:val="16"/>
              </w:rPr>
            </w:pPr>
            <w:r w:rsidRPr="00DF4CF3">
              <w:rPr>
                <w:rFonts w:ascii="Arial" w:hAnsi="Arial" w:cs="Arial"/>
                <w:sz w:val="16"/>
                <w:szCs w:val="16"/>
              </w:rPr>
              <w:t>Východisko</w:t>
            </w:r>
          </w:p>
        </w:tc>
        <w:tc>
          <w:tcPr>
            <w:tcW w:w="496" w:type="dxa"/>
            <w:tcBorders>
              <w:top w:val="nil"/>
              <w:left w:val="nil"/>
              <w:bottom w:val="single" w:sz="4" w:space="0" w:color="auto"/>
              <w:right w:val="dotted" w:sz="4" w:space="0" w:color="auto"/>
            </w:tcBorders>
            <w:noWrap/>
            <w:vAlign w:val="center"/>
          </w:tcPr>
          <w:p w:rsidR="00632479" w:rsidRPr="00DF4CF3" w:rsidRDefault="00632479" w:rsidP="008216A0">
            <w:pPr>
              <w:jc w:val="center"/>
              <w:rPr>
                <w:rFonts w:ascii="Arial" w:hAnsi="Arial" w:cs="Arial"/>
                <w:b/>
                <w:bCs/>
                <w:sz w:val="16"/>
                <w:szCs w:val="16"/>
              </w:rPr>
            </w:pPr>
            <w:r w:rsidRPr="00DF4CF3">
              <w:rPr>
                <w:rFonts w:ascii="Arial" w:hAnsi="Arial" w:cs="Arial"/>
                <w:b/>
                <w:bCs/>
                <w:sz w:val="16"/>
                <w:szCs w:val="16"/>
              </w:rPr>
              <w:t>0</w:t>
            </w:r>
          </w:p>
        </w:tc>
        <w:tc>
          <w:tcPr>
            <w:tcW w:w="496" w:type="dxa"/>
            <w:tcBorders>
              <w:top w:val="nil"/>
              <w:left w:val="nil"/>
              <w:bottom w:val="single" w:sz="4" w:space="0" w:color="auto"/>
              <w:right w:val="dotted" w:sz="4" w:space="0" w:color="auto"/>
            </w:tcBorders>
            <w:noWrap/>
            <w:vAlign w:val="center"/>
          </w:tcPr>
          <w:p w:rsidR="00632479" w:rsidRPr="00DF4CF3" w:rsidRDefault="00632479" w:rsidP="008216A0">
            <w:pPr>
              <w:jc w:val="center"/>
              <w:rPr>
                <w:rFonts w:ascii="Arial" w:hAnsi="Arial" w:cs="Arial"/>
                <w:i/>
                <w:iCs/>
                <w:sz w:val="16"/>
                <w:szCs w:val="16"/>
              </w:rPr>
            </w:pPr>
            <w:r w:rsidRPr="00DF4CF3">
              <w:rPr>
                <w:rFonts w:ascii="Arial" w:hAnsi="Arial" w:cs="Arial"/>
                <w:i/>
                <w:iCs/>
                <w:sz w:val="16"/>
                <w:szCs w:val="16"/>
              </w:rPr>
              <w:t>N/A</w:t>
            </w:r>
          </w:p>
        </w:tc>
        <w:tc>
          <w:tcPr>
            <w:tcW w:w="496" w:type="dxa"/>
            <w:tcBorders>
              <w:top w:val="nil"/>
              <w:left w:val="nil"/>
              <w:bottom w:val="single" w:sz="4" w:space="0" w:color="auto"/>
              <w:right w:val="dotted" w:sz="4" w:space="0" w:color="auto"/>
            </w:tcBorders>
            <w:noWrap/>
            <w:vAlign w:val="center"/>
          </w:tcPr>
          <w:p w:rsidR="00632479" w:rsidRPr="00DF4CF3" w:rsidRDefault="00632479" w:rsidP="008216A0">
            <w:pPr>
              <w:jc w:val="center"/>
              <w:rPr>
                <w:rFonts w:ascii="Arial" w:hAnsi="Arial" w:cs="Arial"/>
                <w:i/>
                <w:iCs/>
                <w:sz w:val="16"/>
                <w:szCs w:val="16"/>
              </w:rPr>
            </w:pPr>
            <w:r w:rsidRPr="00DF4CF3">
              <w:rPr>
                <w:rFonts w:ascii="Arial" w:hAnsi="Arial" w:cs="Arial"/>
                <w:i/>
                <w:iCs/>
                <w:sz w:val="16"/>
                <w:szCs w:val="16"/>
              </w:rPr>
              <w:t>N/A</w:t>
            </w:r>
          </w:p>
        </w:tc>
        <w:tc>
          <w:tcPr>
            <w:tcW w:w="496" w:type="dxa"/>
            <w:tcBorders>
              <w:top w:val="nil"/>
              <w:left w:val="nil"/>
              <w:bottom w:val="single" w:sz="4" w:space="0" w:color="auto"/>
              <w:right w:val="dotted" w:sz="4" w:space="0" w:color="auto"/>
            </w:tcBorders>
            <w:noWrap/>
            <w:vAlign w:val="center"/>
          </w:tcPr>
          <w:p w:rsidR="00632479" w:rsidRPr="00DF4CF3" w:rsidRDefault="00632479" w:rsidP="008216A0">
            <w:pPr>
              <w:jc w:val="center"/>
              <w:rPr>
                <w:rFonts w:ascii="Arial" w:hAnsi="Arial" w:cs="Arial"/>
                <w:i/>
                <w:iCs/>
                <w:sz w:val="16"/>
                <w:szCs w:val="16"/>
              </w:rPr>
            </w:pPr>
            <w:r w:rsidRPr="00DF4CF3">
              <w:rPr>
                <w:rFonts w:ascii="Arial" w:hAnsi="Arial" w:cs="Arial"/>
                <w:i/>
                <w:iCs/>
                <w:sz w:val="16"/>
                <w:szCs w:val="16"/>
              </w:rPr>
              <w:t>N/A</w:t>
            </w:r>
          </w:p>
        </w:tc>
        <w:tc>
          <w:tcPr>
            <w:tcW w:w="496" w:type="dxa"/>
            <w:tcBorders>
              <w:top w:val="nil"/>
              <w:left w:val="nil"/>
              <w:bottom w:val="single" w:sz="4" w:space="0" w:color="auto"/>
              <w:right w:val="dotted" w:sz="4" w:space="0" w:color="auto"/>
            </w:tcBorders>
            <w:noWrap/>
            <w:vAlign w:val="center"/>
          </w:tcPr>
          <w:p w:rsidR="00632479" w:rsidRPr="00DF4CF3" w:rsidRDefault="00632479" w:rsidP="008216A0">
            <w:pPr>
              <w:jc w:val="center"/>
              <w:rPr>
                <w:rFonts w:ascii="Arial" w:hAnsi="Arial" w:cs="Arial"/>
                <w:i/>
                <w:iCs/>
                <w:sz w:val="16"/>
                <w:szCs w:val="16"/>
              </w:rPr>
            </w:pPr>
            <w:r w:rsidRPr="00DF4CF3">
              <w:rPr>
                <w:rFonts w:ascii="Arial" w:hAnsi="Arial" w:cs="Arial"/>
                <w:i/>
                <w:iCs/>
                <w:sz w:val="16"/>
                <w:szCs w:val="16"/>
              </w:rPr>
              <w:t>N/A</w:t>
            </w:r>
          </w:p>
        </w:tc>
        <w:tc>
          <w:tcPr>
            <w:tcW w:w="496" w:type="dxa"/>
            <w:tcBorders>
              <w:top w:val="nil"/>
              <w:left w:val="nil"/>
              <w:bottom w:val="single" w:sz="4" w:space="0" w:color="auto"/>
              <w:right w:val="dotted" w:sz="4" w:space="0" w:color="auto"/>
            </w:tcBorders>
            <w:noWrap/>
            <w:vAlign w:val="center"/>
          </w:tcPr>
          <w:p w:rsidR="00632479" w:rsidRPr="00DF4CF3" w:rsidRDefault="00632479" w:rsidP="008216A0">
            <w:pPr>
              <w:jc w:val="center"/>
              <w:rPr>
                <w:rFonts w:ascii="Arial" w:hAnsi="Arial" w:cs="Arial"/>
                <w:i/>
                <w:iCs/>
                <w:sz w:val="16"/>
                <w:szCs w:val="16"/>
              </w:rPr>
            </w:pPr>
            <w:r w:rsidRPr="00DF4CF3">
              <w:rPr>
                <w:rFonts w:ascii="Arial" w:hAnsi="Arial" w:cs="Arial"/>
                <w:i/>
                <w:iCs/>
                <w:color w:val="000000"/>
                <w:sz w:val="16"/>
                <w:szCs w:val="16"/>
              </w:rPr>
              <w:t>N/A</w:t>
            </w:r>
          </w:p>
        </w:tc>
        <w:tc>
          <w:tcPr>
            <w:tcW w:w="496" w:type="dxa"/>
            <w:tcBorders>
              <w:top w:val="nil"/>
              <w:left w:val="nil"/>
              <w:bottom w:val="single" w:sz="4" w:space="0" w:color="auto"/>
              <w:right w:val="dotted" w:sz="4" w:space="0" w:color="auto"/>
            </w:tcBorders>
            <w:noWrap/>
            <w:vAlign w:val="center"/>
          </w:tcPr>
          <w:p w:rsidR="00632479" w:rsidRPr="00DF4CF3" w:rsidRDefault="00632479" w:rsidP="008216A0">
            <w:pPr>
              <w:jc w:val="center"/>
              <w:rPr>
                <w:rFonts w:ascii="Arial" w:hAnsi="Arial" w:cs="Arial"/>
                <w:i/>
                <w:iCs/>
                <w:sz w:val="16"/>
                <w:szCs w:val="16"/>
              </w:rPr>
            </w:pPr>
            <w:r w:rsidRPr="00DF4CF3">
              <w:rPr>
                <w:rFonts w:ascii="Arial" w:hAnsi="Arial" w:cs="Arial"/>
                <w:i/>
                <w:iCs/>
                <w:sz w:val="16"/>
                <w:szCs w:val="16"/>
              </w:rPr>
              <w:t>N/A</w:t>
            </w:r>
          </w:p>
        </w:tc>
        <w:tc>
          <w:tcPr>
            <w:tcW w:w="496" w:type="dxa"/>
            <w:tcBorders>
              <w:top w:val="nil"/>
              <w:left w:val="nil"/>
              <w:bottom w:val="single" w:sz="4" w:space="0" w:color="auto"/>
              <w:right w:val="dotted" w:sz="4" w:space="0" w:color="auto"/>
            </w:tcBorders>
            <w:noWrap/>
            <w:vAlign w:val="center"/>
          </w:tcPr>
          <w:p w:rsidR="00632479" w:rsidRPr="00DF4CF3" w:rsidRDefault="00632479" w:rsidP="008216A0">
            <w:pPr>
              <w:jc w:val="center"/>
              <w:rPr>
                <w:rFonts w:ascii="Arial" w:hAnsi="Arial" w:cs="Arial"/>
                <w:i/>
                <w:iCs/>
                <w:sz w:val="16"/>
                <w:szCs w:val="16"/>
              </w:rPr>
            </w:pPr>
            <w:r w:rsidRPr="00DF4CF3">
              <w:rPr>
                <w:rFonts w:ascii="Arial" w:hAnsi="Arial" w:cs="Arial"/>
                <w:i/>
                <w:iCs/>
                <w:sz w:val="16"/>
                <w:szCs w:val="16"/>
              </w:rPr>
              <w:t>N/A</w:t>
            </w:r>
          </w:p>
        </w:tc>
        <w:tc>
          <w:tcPr>
            <w:tcW w:w="496" w:type="dxa"/>
            <w:tcBorders>
              <w:top w:val="nil"/>
              <w:left w:val="nil"/>
              <w:bottom w:val="single" w:sz="4" w:space="0" w:color="auto"/>
              <w:right w:val="dotted" w:sz="4" w:space="0" w:color="auto"/>
            </w:tcBorders>
            <w:noWrap/>
            <w:vAlign w:val="center"/>
          </w:tcPr>
          <w:p w:rsidR="00632479" w:rsidRPr="00DF4CF3" w:rsidRDefault="00632479" w:rsidP="008216A0">
            <w:pPr>
              <w:jc w:val="center"/>
              <w:rPr>
                <w:rFonts w:ascii="Arial" w:hAnsi="Arial" w:cs="Arial"/>
                <w:i/>
                <w:iCs/>
                <w:sz w:val="16"/>
                <w:szCs w:val="16"/>
              </w:rPr>
            </w:pPr>
            <w:r w:rsidRPr="00DF4CF3">
              <w:rPr>
                <w:rFonts w:ascii="Arial" w:hAnsi="Arial" w:cs="Arial"/>
                <w:i/>
                <w:iCs/>
                <w:sz w:val="16"/>
                <w:szCs w:val="16"/>
              </w:rPr>
              <w:t>N/A</w:t>
            </w:r>
          </w:p>
        </w:tc>
        <w:tc>
          <w:tcPr>
            <w:tcW w:w="585" w:type="dxa"/>
            <w:tcBorders>
              <w:top w:val="nil"/>
              <w:left w:val="nil"/>
              <w:bottom w:val="single" w:sz="4" w:space="0" w:color="auto"/>
              <w:right w:val="dotted" w:sz="4" w:space="0" w:color="auto"/>
            </w:tcBorders>
            <w:noWrap/>
            <w:vAlign w:val="center"/>
          </w:tcPr>
          <w:p w:rsidR="00632479" w:rsidRPr="00DF4CF3" w:rsidRDefault="00632479" w:rsidP="008216A0">
            <w:pPr>
              <w:jc w:val="center"/>
              <w:rPr>
                <w:rFonts w:ascii="Arial" w:hAnsi="Arial" w:cs="Arial"/>
                <w:b/>
                <w:bCs/>
                <w:sz w:val="16"/>
                <w:szCs w:val="16"/>
              </w:rPr>
            </w:pPr>
            <w:r w:rsidRPr="00DF4CF3">
              <w:rPr>
                <w:rFonts w:ascii="Arial" w:hAnsi="Arial" w:cs="Arial"/>
                <w:b/>
                <w:bCs/>
                <w:sz w:val="16"/>
                <w:szCs w:val="16"/>
              </w:rPr>
              <w:t>0</w:t>
            </w:r>
          </w:p>
        </w:tc>
        <w:tc>
          <w:tcPr>
            <w:tcW w:w="1030" w:type="dxa"/>
            <w:tcBorders>
              <w:top w:val="nil"/>
              <w:left w:val="nil"/>
              <w:bottom w:val="single" w:sz="4" w:space="0" w:color="auto"/>
              <w:right w:val="single" w:sz="4" w:space="0" w:color="auto"/>
            </w:tcBorders>
            <w:noWrap/>
            <w:vAlign w:val="center"/>
          </w:tcPr>
          <w:p w:rsidR="00632479" w:rsidRPr="00DF4CF3" w:rsidRDefault="00632479" w:rsidP="008216A0">
            <w:pPr>
              <w:jc w:val="center"/>
              <w:rPr>
                <w:rFonts w:ascii="Arial" w:hAnsi="Arial" w:cs="Arial"/>
                <w:sz w:val="16"/>
                <w:szCs w:val="16"/>
              </w:rPr>
            </w:pPr>
          </w:p>
        </w:tc>
      </w:tr>
      <w:tr w:rsidR="002416B1" w:rsidRPr="00DF4CF3" w:rsidTr="006A2BF3">
        <w:trPr>
          <w:trHeight w:val="300"/>
        </w:trPr>
        <w:tc>
          <w:tcPr>
            <w:tcW w:w="9170" w:type="dxa"/>
            <w:gridSpan w:val="13"/>
            <w:tcBorders>
              <w:top w:val="single" w:sz="4" w:space="0" w:color="auto"/>
              <w:left w:val="single" w:sz="4" w:space="0" w:color="auto"/>
              <w:bottom w:val="single" w:sz="4" w:space="0" w:color="auto"/>
              <w:right w:val="single" w:sz="4" w:space="0" w:color="000000"/>
            </w:tcBorders>
            <w:shd w:val="clear" w:color="auto" w:fill="EAF1DD"/>
            <w:noWrap/>
            <w:vAlign w:val="center"/>
          </w:tcPr>
          <w:p w:rsidR="002416B1" w:rsidRPr="00DF4CF3" w:rsidRDefault="002416B1" w:rsidP="008216A0">
            <w:pPr>
              <w:rPr>
                <w:rFonts w:ascii="Arial" w:hAnsi="Arial" w:cs="Arial"/>
                <w:b/>
                <w:bCs/>
                <w:sz w:val="16"/>
                <w:szCs w:val="16"/>
              </w:rPr>
            </w:pPr>
            <w:r w:rsidRPr="00DF4CF3">
              <w:rPr>
                <w:rFonts w:ascii="Arial" w:hAnsi="Arial" w:cs="Arial"/>
                <w:b/>
                <w:bCs/>
                <w:sz w:val="16"/>
                <w:szCs w:val="16"/>
              </w:rPr>
              <w:t>Prioritná os 4 - Odpadové hospodárstvo</w:t>
            </w:r>
          </w:p>
        </w:tc>
      </w:tr>
      <w:tr w:rsidR="00632479" w:rsidRPr="00DF4CF3" w:rsidTr="006A2BF3">
        <w:trPr>
          <w:trHeight w:val="300"/>
        </w:trPr>
        <w:tc>
          <w:tcPr>
            <w:tcW w:w="1858" w:type="dxa"/>
            <w:vMerge w:val="restart"/>
            <w:tcBorders>
              <w:top w:val="nil"/>
              <w:left w:val="single" w:sz="4" w:space="0" w:color="auto"/>
              <w:bottom w:val="single" w:sz="4" w:space="0" w:color="auto"/>
              <w:right w:val="single" w:sz="4" w:space="0" w:color="auto"/>
            </w:tcBorders>
            <w:vAlign w:val="center"/>
          </w:tcPr>
          <w:p w:rsidR="00632479" w:rsidRDefault="00632479" w:rsidP="008216A0">
            <w:pPr>
              <w:rPr>
                <w:rFonts w:ascii="Arial" w:hAnsi="Arial" w:cs="Arial"/>
                <w:sz w:val="16"/>
                <w:szCs w:val="16"/>
              </w:rPr>
            </w:pPr>
            <w:r w:rsidRPr="00DF4CF3">
              <w:rPr>
                <w:rFonts w:ascii="Arial" w:hAnsi="Arial" w:cs="Arial"/>
                <w:sz w:val="16"/>
                <w:szCs w:val="16"/>
              </w:rPr>
              <w:t>Počet zavedených Informačných systémov environmentálnych záťaží ako súčasti informačného systému verejnej správy [počet]</w:t>
            </w:r>
          </w:p>
          <w:p w:rsidR="000D360F" w:rsidRPr="00DF4CF3" w:rsidRDefault="000D360F" w:rsidP="008216A0">
            <w:pPr>
              <w:rPr>
                <w:rFonts w:ascii="Arial" w:hAnsi="Arial" w:cs="Arial"/>
                <w:sz w:val="16"/>
                <w:szCs w:val="16"/>
              </w:rPr>
            </w:pPr>
            <w:r>
              <w:rPr>
                <w:rFonts w:ascii="Arial" w:hAnsi="Arial" w:cs="Arial"/>
                <w:sz w:val="16"/>
                <w:szCs w:val="16"/>
              </w:rPr>
              <w:t>výsledok</w:t>
            </w:r>
          </w:p>
        </w:tc>
        <w:tc>
          <w:tcPr>
            <w:tcW w:w="1233" w:type="dxa"/>
            <w:tcBorders>
              <w:top w:val="nil"/>
              <w:left w:val="nil"/>
              <w:bottom w:val="dotted" w:sz="4" w:space="0" w:color="auto"/>
              <w:right w:val="single" w:sz="4" w:space="0" w:color="auto"/>
            </w:tcBorders>
            <w:noWrap/>
            <w:vAlign w:val="center"/>
          </w:tcPr>
          <w:p w:rsidR="00632479" w:rsidRPr="00DF4CF3" w:rsidRDefault="00632479" w:rsidP="008216A0">
            <w:pPr>
              <w:rPr>
                <w:rFonts w:ascii="Arial" w:hAnsi="Arial" w:cs="Arial"/>
                <w:sz w:val="16"/>
                <w:szCs w:val="16"/>
              </w:rPr>
            </w:pPr>
            <w:r w:rsidRPr="00DF4CF3">
              <w:rPr>
                <w:rFonts w:ascii="Arial" w:hAnsi="Arial" w:cs="Arial"/>
                <w:sz w:val="16"/>
                <w:szCs w:val="16"/>
              </w:rPr>
              <w:t>Dosiahnutý výsledok</w:t>
            </w:r>
          </w:p>
        </w:tc>
        <w:tc>
          <w:tcPr>
            <w:tcW w:w="496" w:type="dxa"/>
            <w:tcBorders>
              <w:top w:val="nil"/>
              <w:left w:val="nil"/>
              <w:bottom w:val="dotted" w:sz="4" w:space="0" w:color="auto"/>
              <w:right w:val="dotted" w:sz="4" w:space="0" w:color="auto"/>
            </w:tcBorders>
            <w:noWrap/>
            <w:vAlign w:val="center"/>
          </w:tcPr>
          <w:p w:rsidR="00632479" w:rsidRPr="00DF4CF3" w:rsidRDefault="00632479" w:rsidP="008216A0">
            <w:pPr>
              <w:jc w:val="center"/>
              <w:rPr>
                <w:rFonts w:ascii="Arial" w:hAnsi="Arial" w:cs="Arial"/>
                <w:b/>
                <w:bCs/>
                <w:sz w:val="16"/>
                <w:szCs w:val="16"/>
              </w:rPr>
            </w:pPr>
            <w:r w:rsidRPr="00DF4CF3">
              <w:rPr>
                <w:rFonts w:ascii="Arial" w:hAnsi="Arial" w:cs="Arial"/>
                <w:b/>
                <w:bCs/>
                <w:sz w:val="16"/>
                <w:szCs w:val="16"/>
              </w:rPr>
              <w:t>0</w:t>
            </w:r>
          </w:p>
        </w:tc>
        <w:tc>
          <w:tcPr>
            <w:tcW w:w="496" w:type="dxa"/>
            <w:tcBorders>
              <w:top w:val="nil"/>
              <w:left w:val="nil"/>
              <w:bottom w:val="dotted" w:sz="4" w:space="0" w:color="auto"/>
              <w:right w:val="dotted" w:sz="4" w:space="0" w:color="auto"/>
            </w:tcBorders>
            <w:noWrap/>
            <w:vAlign w:val="center"/>
          </w:tcPr>
          <w:p w:rsidR="00632479" w:rsidRPr="00DF4CF3" w:rsidRDefault="00632479" w:rsidP="008216A0">
            <w:pPr>
              <w:jc w:val="center"/>
              <w:rPr>
                <w:rFonts w:ascii="Arial" w:hAnsi="Arial" w:cs="Arial"/>
                <w:b/>
                <w:bCs/>
                <w:sz w:val="16"/>
                <w:szCs w:val="16"/>
              </w:rPr>
            </w:pPr>
            <w:r w:rsidRPr="00DF4CF3">
              <w:rPr>
                <w:rFonts w:ascii="Arial" w:hAnsi="Arial" w:cs="Arial"/>
                <w:b/>
                <w:bCs/>
                <w:sz w:val="16"/>
                <w:szCs w:val="16"/>
              </w:rPr>
              <w:t>0</w:t>
            </w:r>
          </w:p>
        </w:tc>
        <w:tc>
          <w:tcPr>
            <w:tcW w:w="496" w:type="dxa"/>
            <w:tcBorders>
              <w:top w:val="nil"/>
              <w:left w:val="nil"/>
              <w:bottom w:val="dotted" w:sz="4" w:space="0" w:color="auto"/>
              <w:right w:val="dotted" w:sz="4" w:space="0" w:color="auto"/>
            </w:tcBorders>
            <w:noWrap/>
            <w:vAlign w:val="center"/>
          </w:tcPr>
          <w:p w:rsidR="00632479" w:rsidRPr="00DF4CF3" w:rsidRDefault="00632479" w:rsidP="008216A0">
            <w:pPr>
              <w:jc w:val="center"/>
              <w:rPr>
                <w:rFonts w:ascii="Arial" w:hAnsi="Arial" w:cs="Arial"/>
                <w:b/>
                <w:bCs/>
                <w:sz w:val="16"/>
                <w:szCs w:val="16"/>
              </w:rPr>
            </w:pPr>
            <w:r w:rsidRPr="00DF4CF3">
              <w:rPr>
                <w:rFonts w:ascii="Arial" w:hAnsi="Arial" w:cs="Arial"/>
                <w:b/>
                <w:bCs/>
                <w:sz w:val="16"/>
                <w:szCs w:val="16"/>
              </w:rPr>
              <w:t>0</w:t>
            </w:r>
          </w:p>
        </w:tc>
        <w:tc>
          <w:tcPr>
            <w:tcW w:w="496" w:type="dxa"/>
            <w:tcBorders>
              <w:top w:val="nil"/>
              <w:left w:val="nil"/>
              <w:bottom w:val="dotted" w:sz="4" w:space="0" w:color="auto"/>
              <w:right w:val="dotted" w:sz="4" w:space="0" w:color="auto"/>
            </w:tcBorders>
            <w:noWrap/>
            <w:vAlign w:val="center"/>
          </w:tcPr>
          <w:p w:rsidR="00632479" w:rsidRPr="00DF4CF3" w:rsidRDefault="00632479" w:rsidP="008216A0">
            <w:pPr>
              <w:jc w:val="center"/>
              <w:rPr>
                <w:rFonts w:ascii="Arial" w:hAnsi="Arial" w:cs="Arial"/>
                <w:b/>
                <w:bCs/>
                <w:sz w:val="16"/>
                <w:szCs w:val="16"/>
              </w:rPr>
            </w:pPr>
            <w:r w:rsidRPr="00DF4CF3">
              <w:rPr>
                <w:rFonts w:ascii="Arial" w:hAnsi="Arial" w:cs="Arial"/>
                <w:b/>
                <w:bCs/>
                <w:sz w:val="16"/>
                <w:szCs w:val="16"/>
              </w:rPr>
              <w:t>0</w:t>
            </w:r>
          </w:p>
        </w:tc>
        <w:tc>
          <w:tcPr>
            <w:tcW w:w="496" w:type="dxa"/>
            <w:tcBorders>
              <w:top w:val="nil"/>
              <w:left w:val="nil"/>
              <w:bottom w:val="dotted" w:sz="4" w:space="0" w:color="auto"/>
              <w:right w:val="dotted" w:sz="4" w:space="0" w:color="auto"/>
            </w:tcBorders>
            <w:noWrap/>
            <w:vAlign w:val="center"/>
          </w:tcPr>
          <w:p w:rsidR="00632479" w:rsidRPr="00DF4CF3" w:rsidRDefault="00632479" w:rsidP="008216A0">
            <w:pPr>
              <w:jc w:val="center"/>
              <w:rPr>
                <w:rFonts w:ascii="Arial" w:hAnsi="Arial" w:cs="Arial"/>
                <w:b/>
                <w:bCs/>
                <w:sz w:val="16"/>
                <w:szCs w:val="16"/>
              </w:rPr>
            </w:pPr>
            <w:r w:rsidRPr="00DF4CF3">
              <w:rPr>
                <w:rFonts w:ascii="Arial" w:hAnsi="Arial" w:cs="Arial"/>
                <w:b/>
                <w:bCs/>
                <w:sz w:val="16"/>
                <w:szCs w:val="16"/>
              </w:rPr>
              <w:t>1</w:t>
            </w:r>
          </w:p>
        </w:tc>
        <w:tc>
          <w:tcPr>
            <w:tcW w:w="496" w:type="dxa"/>
            <w:tcBorders>
              <w:top w:val="nil"/>
              <w:left w:val="nil"/>
              <w:bottom w:val="dotted" w:sz="4" w:space="0" w:color="auto"/>
              <w:right w:val="dotted" w:sz="4" w:space="0" w:color="auto"/>
            </w:tcBorders>
            <w:noWrap/>
            <w:vAlign w:val="center"/>
          </w:tcPr>
          <w:p w:rsidR="00632479" w:rsidRPr="00DF4CF3" w:rsidRDefault="00632479" w:rsidP="008216A0">
            <w:pPr>
              <w:jc w:val="center"/>
              <w:rPr>
                <w:rFonts w:ascii="Arial" w:hAnsi="Arial" w:cs="Arial"/>
                <w:i/>
                <w:iCs/>
                <w:sz w:val="16"/>
                <w:szCs w:val="16"/>
              </w:rPr>
            </w:pPr>
            <w:r w:rsidRPr="00DF4CF3">
              <w:rPr>
                <w:rFonts w:ascii="Arial" w:hAnsi="Arial" w:cs="Arial"/>
                <w:i/>
                <w:iCs/>
                <w:color w:val="000000"/>
                <w:sz w:val="16"/>
                <w:szCs w:val="16"/>
              </w:rPr>
              <w:t>1</w:t>
            </w:r>
          </w:p>
        </w:tc>
        <w:tc>
          <w:tcPr>
            <w:tcW w:w="496" w:type="dxa"/>
            <w:tcBorders>
              <w:top w:val="nil"/>
              <w:left w:val="nil"/>
              <w:bottom w:val="dotted" w:sz="4" w:space="0" w:color="auto"/>
              <w:right w:val="dotted" w:sz="4" w:space="0" w:color="auto"/>
            </w:tcBorders>
            <w:noWrap/>
            <w:vAlign w:val="center"/>
          </w:tcPr>
          <w:p w:rsidR="00632479" w:rsidRPr="00DF4CF3" w:rsidRDefault="00632479" w:rsidP="008216A0">
            <w:pPr>
              <w:jc w:val="center"/>
              <w:rPr>
                <w:rFonts w:ascii="Arial" w:hAnsi="Arial" w:cs="Arial"/>
                <w:i/>
                <w:iCs/>
                <w:sz w:val="16"/>
                <w:szCs w:val="16"/>
              </w:rPr>
            </w:pPr>
            <w:r w:rsidRPr="00DF4CF3">
              <w:rPr>
                <w:rFonts w:ascii="Arial" w:hAnsi="Arial" w:cs="Arial"/>
                <w:i/>
                <w:iCs/>
                <w:sz w:val="16"/>
                <w:szCs w:val="16"/>
              </w:rPr>
              <w:t>N/A</w:t>
            </w:r>
          </w:p>
        </w:tc>
        <w:tc>
          <w:tcPr>
            <w:tcW w:w="496" w:type="dxa"/>
            <w:tcBorders>
              <w:top w:val="nil"/>
              <w:left w:val="nil"/>
              <w:bottom w:val="dotted" w:sz="4" w:space="0" w:color="auto"/>
              <w:right w:val="dotted" w:sz="4" w:space="0" w:color="auto"/>
            </w:tcBorders>
            <w:noWrap/>
            <w:vAlign w:val="center"/>
          </w:tcPr>
          <w:p w:rsidR="00632479" w:rsidRPr="00DF4CF3" w:rsidRDefault="00632479" w:rsidP="008216A0">
            <w:pPr>
              <w:jc w:val="center"/>
              <w:rPr>
                <w:rFonts w:ascii="Arial" w:hAnsi="Arial" w:cs="Arial"/>
                <w:i/>
                <w:iCs/>
                <w:sz w:val="16"/>
                <w:szCs w:val="16"/>
              </w:rPr>
            </w:pPr>
            <w:r w:rsidRPr="00DF4CF3">
              <w:rPr>
                <w:rFonts w:ascii="Arial" w:hAnsi="Arial" w:cs="Arial"/>
                <w:i/>
                <w:iCs/>
                <w:sz w:val="16"/>
                <w:szCs w:val="16"/>
              </w:rPr>
              <w:t>N/A</w:t>
            </w:r>
          </w:p>
        </w:tc>
        <w:tc>
          <w:tcPr>
            <w:tcW w:w="496" w:type="dxa"/>
            <w:tcBorders>
              <w:top w:val="nil"/>
              <w:left w:val="nil"/>
              <w:bottom w:val="dotted" w:sz="4" w:space="0" w:color="auto"/>
              <w:right w:val="dotted" w:sz="4" w:space="0" w:color="auto"/>
            </w:tcBorders>
            <w:noWrap/>
            <w:vAlign w:val="center"/>
          </w:tcPr>
          <w:p w:rsidR="00632479" w:rsidRPr="00DF4CF3" w:rsidRDefault="00632479" w:rsidP="008216A0">
            <w:pPr>
              <w:jc w:val="center"/>
              <w:rPr>
                <w:rFonts w:ascii="Arial" w:hAnsi="Arial" w:cs="Arial"/>
                <w:i/>
                <w:iCs/>
                <w:sz w:val="16"/>
                <w:szCs w:val="16"/>
              </w:rPr>
            </w:pPr>
            <w:r w:rsidRPr="00DF4CF3">
              <w:rPr>
                <w:rFonts w:ascii="Arial" w:hAnsi="Arial" w:cs="Arial"/>
                <w:i/>
                <w:iCs/>
                <w:sz w:val="16"/>
                <w:szCs w:val="16"/>
              </w:rPr>
              <w:t>N/A</w:t>
            </w:r>
          </w:p>
        </w:tc>
        <w:tc>
          <w:tcPr>
            <w:tcW w:w="585" w:type="dxa"/>
            <w:tcBorders>
              <w:top w:val="nil"/>
              <w:left w:val="nil"/>
              <w:bottom w:val="dotted" w:sz="4" w:space="0" w:color="auto"/>
              <w:right w:val="dotted" w:sz="4" w:space="0" w:color="auto"/>
            </w:tcBorders>
            <w:noWrap/>
            <w:vAlign w:val="center"/>
          </w:tcPr>
          <w:p w:rsidR="00632479" w:rsidRPr="00DF4CF3" w:rsidRDefault="00632479" w:rsidP="008216A0">
            <w:pPr>
              <w:jc w:val="center"/>
              <w:rPr>
                <w:rFonts w:ascii="Arial" w:hAnsi="Arial" w:cs="Arial"/>
                <w:b/>
                <w:bCs/>
                <w:sz w:val="16"/>
                <w:szCs w:val="16"/>
              </w:rPr>
            </w:pPr>
            <w:r w:rsidRPr="00DF4CF3">
              <w:rPr>
                <w:rFonts w:ascii="Arial" w:hAnsi="Arial" w:cs="Arial"/>
                <w:b/>
                <w:bCs/>
                <w:sz w:val="16"/>
                <w:szCs w:val="16"/>
              </w:rPr>
              <w:t>1</w:t>
            </w:r>
          </w:p>
        </w:tc>
        <w:tc>
          <w:tcPr>
            <w:tcW w:w="1030" w:type="dxa"/>
            <w:tcBorders>
              <w:top w:val="nil"/>
              <w:left w:val="nil"/>
              <w:bottom w:val="dotted" w:sz="4" w:space="0" w:color="auto"/>
              <w:right w:val="single" w:sz="4" w:space="0" w:color="auto"/>
            </w:tcBorders>
            <w:noWrap/>
            <w:vAlign w:val="center"/>
          </w:tcPr>
          <w:p w:rsidR="00632479" w:rsidRPr="00DF4CF3" w:rsidRDefault="00632479" w:rsidP="008216A0">
            <w:pPr>
              <w:jc w:val="center"/>
              <w:rPr>
                <w:rFonts w:ascii="Arial" w:hAnsi="Arial" w:cs="Arial"/>
                <w:sz w:val="16"/>
                <w:szCs w:val="16"/>
              </w:rPr>
            </w:pPr>
          </w:p>
        </w:tc>
      </w:tr>
      <w:tr w:rsidR="00632479" w:rsidRPr="00DF4CF3" w:rsidTr="006A2BF3">
        <w:trPr>
          <w:trHeight w:val="300"/>
        </w:trPr>
        <w:tc>
          <w:tcPr>
            <w:tcW w:w="1858" w:type="dxa"/>
            <w:vMerge/>
            <w:tcBorders>
              <w:top w:val="single" w:sz="4" w:space="0" w:color="auto"/>
              <w:left w:val="single" w:sz="4" w:space="0" w:color="auto"/>
              <w:bottom w:val="single" w:sz="4" w:space="0" w:color="auto"/>
              <w:right w:val="single" w:sz="4" w:space="0" w:color="auto"/>
            </w:tcBorders>
            <w:vAlign w:val="center"/>
          </w:tcPr>
          <w:p w:rsidR="00632479" w:rsidRPr="00DF4CF3" w:rsidRDefault="00632479" w:rsidP="008216A0">
            <w:pPr>
              <w:rPr>
                <w:rFonts w:ascii="Arial" w:hAnsi="Arial" w:cs="Arial"/>
                <w:sz w:val="16"/>
                <w:szCs w:val="16"/>
              </w:rPr>
            </w:pPr>
          </w:p>
        </w:tc>
        <w:tc>
          <w:tcPr>
            <w:tcW w:w="1233" w:type="dxa"/>
            <w:tcBorders>
              <w:top w:val="nil"/>
              <w:left w:val="nil"/>
              <w:bottom w:val="dotted" w:sz="4" w:space="0" w:color="auto"/>
              <w:right w:val="single" w:sz="4" w:space="0" w:color="auto"/>
            </w:tcBorders>
            <w:noWrap/>
            <w:vAlign w:val="center"/>
          </w:tcPr>
          <w:p w:rsidR="00632479" w:rsidRPr="00DF4CF3" w:rsidRDefault="00632479" w:rsidP="008216A0">
            <w:pPr>
              <w:rPr>
                <w:rFonts w:ascii="Arial" w:hAnsi="Arial" w:cs="Arial"/>
                <w:sz w:val="16"/>
                <w:szCs w:val="16"/>
              </w:rPr>
            </w:pPr>
            <w:r w:rsidRPr="00DF4CF3">
              <w:rPr>
                <w:rFonts w:ascii="Arial" w:hAnsi="Arial" w:cs="Arial"/>
                <w:sz w:val="16"/>
                <w:szCs w:val="16"/>
              </w:rPr>
              <w:t>Cieľ</w:t>
            </w:r>
          </w:p>
        </w:tc>
        <w:tc>
          <w:tcPr>
            <w:tcW w:w="496" w:type="dxa"/>
            <w:tcBorders>
              <w:top w:val="nil"/>
              <w:left w:val="nil"/>
              <w:bottom w:val="dotted" w:sz="4" w:space="0" w:color="auto"/>
              <w:right w:val="dotted" w:sz="4" w:space="0" w:color="auto"/>
            </w:tcBorders>
            <w:noWrap/>
            <w:vAlign w:val="center"/>
          </w:tcPr>
          <w:p w:rsidR="00632479" w:rsidRPr="00DF4CF3" w:rsidRDefault="00632479" w:rsidP="008216A0">
            <w:pPr>
              <w:jc w:val="center"/>
              <w:rPr>
                <w:rFonts w:ascii="Arial" w:hAnsi="Arial" w:cs="Arial"/>
                <w:i/>
                <w:iCs/>
                <w:sz w:val="16"/>
                <w:szCs w:val="16"/>
              </w:rPr>
            </w:pPr>
            <w:r w:rsidRPr="00DF4CF3">
              <w:rPr>
                <w:rFonts w:ascii="Arial" w:hAnsi="Arial" w:cs="Arial"/>
                <w:i/>
                <w:iCs/>
                <w:sz w:val="16"/>
                <w:szCs w:val="16"/>
              </w:rPr>
              <w:t>N/A</w:t>
            </w:r>
          </w:p>
        </w:tc>
        <w:tc>
          <w:tcPr>
            <w:tcW w:w="496" w:type="dxa"/>
            <w:tcBorders>
              <w:top w:val="nil"/>
              <w:left w:val="nil"/>
              <w:bottom w:val="dotted" w:sz="4" w:space="0" w:color="auto"/>
              <w:right w:val="dotted" w:sz="4" w:space="0" w:color="auto"/>
            </w:tcBorders>
            <w:noWrap/>
            <w:vAlign w:val="center"/>
          </w:tcPr>
          <w:p w:rsidR="00632479" w:rsidRPr="00DF4CF3" w:rsidRDefault="00632479" w:rsidP="008216A0">
            <w:pPr>
              <w:jc w:val="center"/>
              <w:rPr>
                <w:rFonts w:ascii="Arial" w:hAnsi="Arial" w:cs="Arial"/>
                <w:i/>
                <w:iCs/>
                <w:sz w:val="16"/>
                <w:szCs w:val="16"/>
              </w:rPr>
            </w:pPr>
            <w:r w:rsidRPr="00DF4CF3">
              <w:rPr>
                <w:rFonts w:ascii="Arial" w:hAnsi="Arial" w:cs="Arial"/>
                <w:i/>
                <w:iCs/>
                <w:sz w:val="16"/>
                <w:szCs w:val="16"/>
              </w:rPr>
              <w:t>N/A</w:t>
            </w:r>
          </w:p>
        </w:tc>
        <w:tc>
          <w:tcPr>
            <w:tcW w:w="496" w:type="dxa"/>
            <w:tcBorders>
              <w:top w:val="nil"/>
              <w:left w:val="nil"/>
              <w:bottom w:val="dotted" w:sz="4" w:space="0" w:color="auto"/>
              <w:right w:val="dotted" w:sz="4" w:space="0" w:color="auto"/>
            </w:tcBorders>
            <w:noWrap/>
            <w:vAlign w:val="center"/>
          </w:tcPr>
          <w:p w:rsidR="00632479" w:rsidRPr="00DF4CF3" w:rsidRDefault="00632479" w:rsidP="008216A0">
            <w:pPr>
              <w:jc w:val="center"/>
              <w:rPr>
                <w:rFonts w:ascii="Arial" w:hAnsi="Arial" w:cs="Arial"/>
                <w:i/>
                <w:iCs/>
                <w:sz w:val="16"/>
                <w:szCs w:val="16"/>
              </w:rPr>
            </w:pPr>
            <w:r w:rsidRPr="00DF4CF3">
              <w:rPr>
                <w:rFonts w:ascii="Arial" w:hAnsi="Arial" w:cs="Arial"/>
                <w:i/>
                <w:iCs/>
                <w:sz w:val="16"/>
                <w:szCs w:val="16"/>
              </w:rPr>
              <w:t>N/A</w:t>
            </w:r>
          </w:p>
        </w:tc>
        <w:tc>
          <w:tcPr>
            <w:tcW w:w="496" w:type="dxa"/>
            <w:tcBorders>
              <w:top w:val="nil"/>
              <w:left w:val="nil"/>
              <w:bottom w:val="dotted" w:sz="4" w:space="0" w:color="auto"/>
              <w:right w:val="dotted" w:sz="4" w:space="0" w:color="auto"/>
            </w:tcBorders>
            <w:noWrap/>
            <w:vAlign w:val="center"/>
          </w:tcPr>
          <w:p w:rsidR="00632479" w:rsidRPr="00DF4CF3" w:rsidRDefault="00632479" w:rsidP="008216A0">
            <w:pPr>
              <w:jc w:val="center"/>
              <w:rPr>
                <w:rFonts w:ascii="Arial" w:hAnsi="Arial" w:cs="Arial"/>
                <w:i/>
                <w:iCs/>
                <w:sz w:val="16"/>
                <w:szCs w:val="16"/>
              </w:rPr>
            </w:pPr>
            <w:r w:rsidRPr="00DF4CF3">
              <w:rPr>
                <w:rFonts w:ascii="Arial" w:hAnsi="Arial" w:cs="Arial"/>
                <w:i/>
                <w:iCs/>
                <w:sz w:val="16"/>
                <w:szCs w:val="16"/>
              </w:rPr>
              <w:t>N/A</w:t>
            </w:r>
          </w:p>
        </w:tc>
        <w:tc>
          <w:tcPr>
            <w:tcW w:w="496" w:type="dxa"/>
            <w:tcBorders>
              <w:top w:val="nil"/>
              <w:left w:val="nil"/>
              <w:bottom w:val="dotted" w:sz="4" w:space="0" w:color="auto"/>
              <w:right w:val="dotted" w:sz="4" w:space="0" w:color="auto"/>
            </w:tcBorders>
            <w:noWrap/>
            <w:vAlign w:val="center"/>
          </w:tcPr>
          <w:p w:rsidR="00632479" w:rsidRPr="00DF4CF3" w:rsidRDefault="00632479" w:rsidP="008216A0">
            <w:pPr>
              <w:jc w:val="center"/>
              <w:rPr>
                <w:rFonts w:ascii="Arial" w:hAnsi="Arial" w:cs="Arial"/>
                <w:i/>
                <w:iCs/>
                <w:sz w:val="16"/>
                <w:szCs w:val="16"/>
              </w:rPr>
            </w:pPr>
            <w:r w:rsidRPr="00DF4CF3">
              <w:rPr>
                <w:rFonts w:ascii="Arial" w:hAnsi="Arial" w:cs="Arial"/>
                <w:i/>
                <w:iCs/>
                <w:sz w:val="16"/>
                <w:szCs w:val="16"/>
              </w:rPr>
              <w:t>N/A</w:t>
            </w:r>
          </w:p>
        </w:tc>
        <w:tc>
          <w:tcPr>
            <w:tcW w:w="496" w:type="dxa"/>
            <w:tcBorders>
              <w:top w:val="nil"/>
              <w:left w:val="nil"/>
              <w:bottom w:val="dotted" w:sz="4" w:space="0" w:color="auto"/>
              <w:right w:val="dotted" w:sz="4" w:space="0" w:color="auto"/>
            </w:tcBorders>
            <w:noWrap/>
            <w:vAlign w:val="center"/>
          </w:tcPr>
          <w:p w:rsidR="00632479" w:rsidRPr="00DF4CF3" w:rsidRDefault="00632479" w:rsidP="008216A0">
            <w:pPr>
              <w:jc w:val="center"/>
              <w:rPr>
                <w:rFonts w:ascii="Arial" w:hAnsi="Arial" w:cs="Arial"/>
                <w:i/>
                <w:iCs/>
                <w:sz w:val="16"/>
                <w:szCs w:val="16"/>
              </w:rPr>
            </w:pPr>
            <w:r w:rsidRPr="00DF4CF3">
              <w:rPr>
                <w:rFonts w:ascii="Arial" w:hAnsi="Arial" w:cs="Arial"/>
                <w:i/>
                <w:iCs/>
                <w:color w:val="000000"/>
                <w:sz w:val="16"/>
                <w:szCs w:val="16"/>
              </w:rPr>
              <w:t>N/A</w:t>
            </w:r>
          </w:p>
        </w:tc>
        <w:tc>
          <w:tcPr>
            <w:tcW w:w="496" w:type="dxa"/>
            <w:tcBorders>
              <w:top w:val="nil"/>
              <w:left w:val="nil"/>
              <w:bottom w:val="dotted" w:sz="4" w:space="0" w:color="auto"/>
              <w:right w:val="dotted" w:sz="4" w:space="0" w:color="auto"/>
            </w:tcBorders>
            <w:noWrap/>
            <w:vAlign w:val="center"/>
          </w:tcPr>
          <w:p w:rsidR="00632479" w:rsidRPr="00DF4CF3" w:rsidRDefault="00632479" w:rsidP="008216A0">
            <w:pPr>
              <w:jc w:val="center"/>
              <w:rPr>
                <w:rFonts w:ascii="Arial" w:hAnsi="Arial" w:cs="Arial"/>
                <w:i/>
                <w:iCs/>
                <w:sz w:val="16"/>
                <w:szCs w:val="16"/>
              </w:rPr>
            </w:pPr>
            <w:r w:rsidRPr="00DF4CF3">
              <w:rPr>
                <w:rFonts w:ascii="Arial" w:hAnsi="Arial" w:cs="Arial"/>
                <w:i/>
                <w:iCs/>
                <w:sz w:val="16"/>
                <w:szCs w:val="16"/>
              </w:rPr>
              <w:t>N/A</w:t>
            </w:r>
          </w:p>
        </w:tc>
        <w:tc>
          <w:tcPr>
            <w:tcW w:w="496" w:type="dxa"/>
            <w:tcBorders>
              <w:top w:val="nil"/>
              <w:left w:val="nil"/>
              <w:bottom w:val="dotted" w:sz="4" w:space="0" w:color="auto"/>
              <w:right w:val="dotted" w:sz="4" w:space="0" w:color="auto"/>
            </w:tcBorders>
            <w:noWrap/>
            <w:vAlign w:val="center"/>
          </w:tcPr>
          <w:p w:rsidR="00632479" w:rsidRPr="00DF4CF3" w:rsidRDefault="00632479" w:rsidP="008216A0">
            <w:pPr>
              <w:jc w:val="center"/>
              <w:rPr>
                <w:rFonts w:ascii="Arial" w:hAnsi="Arial" w:cs="Arial"/>
                <w:i/>
                <w:iCs/>
                <w:sz w:val="16"/>
                <w:szCs w:val="16"/>
              </w:rPr>
            </w:pPr>
            <w:r w:rsidRPr="00DF4CF3">
              <w:rPr>
                <w:rFonts w:ascii="Arial" w:hAnsi="Arial" w:cs="Arial"/>
                <w:i/>
                <w:iCs/>
                <w:sz w:val="16"/>
                <w:szCs w:val="16"/>
              </w:rPr>
              <w:t>N/A</w:t>
            </w:r>
          </w:p>
        </w:tc>
        <w:tc>
          <w:tcPr>
            <w:tcW w:w="496" w:type="dxa"/>
            <w:tcBorders>
              <w:top w:val="nil"/>
              <w:left w:val="nil"/>
              <w:bottom w:val="dotted" w:sz="4" w:space="0" w:color="auto"/>
              <w:right w:val="dotted" w:sz="4" w:space="0" w:color="auto"/>
            </w:tcBorders>
            <w:noWrap/>
            <w:vAlign w:val="center"/>
          </w:tcPr>
          <w:p w:rsidR="00632479" w:rsidRPr="00DF4CF3" w:rsidRDefault="00632479" w:rsidP="008216A0">
            <w:pPr>
              <w:jc w:val="center"/>
              <w:rPr>
                <w:rFonts w:ascii="Arial" w:hAnsi="Arial" w:cs="Arial"/>
                <w:b/>
                <w:bCs/>
                <w:sz w:val="16"/>
                <w:szCs w:val="16"/>
              </w:rPr>
            </w:pPr>
            <w:r w:rsidRPr="00DF4CF3">
              <w:rPr>
                <w:rFonts w:ascii="Arial" w:hAnsi="Arial" w:cs="Arial"/>
                <w:b/>
                <w:bCs/>
                <w:sz w:val="16"/>
                <w:szCs w:val="16"/>
              </w:rPr>
              <w:t>1</w:t>
            </w:r>
          </w:p>
        </w:tc>
        <w:tc>
          <w:tcPr>
            <w:tcW w:w="585" w:type="dxa"/>
            <w:tcBorders>
              <w:top w:val="nil"/>
              <w:left w:val="nil"/>
              <w:bottom w:val="dotted" w:sz="4" w:space="0" w:color="auto"/>
              <w:right w:val="dotted" w:sz="4" w:space="0" w:color="auto"/>
            </w:tcBorders>
            <w:noWrap/>
            <w:vAlign w:val="center"/>
          </w:tcPr>
          <w:p w:rsidR="00632479" w:rsidRPr="00DF4CF3" w:rsidRDefault="00632479" w:rsidP="008216A0">
            <w:pPr>
              <w:jc w:val="center"/>
              <w:rPr>
                <w:rFonts w:ascii="Arial" w:hAnsi="Arial" w:cs="Arial"/>
                <w:b/>
                <w:bCs/>
                <w:sz w:val="16"/>
                <w:szCs w:val="16"/>
              </w:rPr>
            </w:pPr>
            <w:r w:rsidRPr="00DF4CF3">
              <w:rPr>
                <w:rFonts w:ascii="Arial" w:hAnsi="Arial" w:cs="Arial"/>
                <w:b/>
                <w:bCs/>
                <w:sz w:val="16"/>
                <w:szCs w:val="16"/>
              </w:rPr>
              <w:t>1</w:t>
            </w:r>
          </w:p>
        </w:tc>
        <w:tc>
          <w:tcPr>
            <w:tcW w:w="1030" w:type="dxa"/>
            <w:tcBorders>
              <w:top w:val="nil"/>
              <w:left w:val="nil"/>
              <w:bottom w:val="dotted" w:sz="4" w:space="0" w:color="auto"/>
              <w:right w:val="single" w:sz="4" w:space="0" w:color="auto"/>
            </w:tcBorders>
            <w:noWrap/>
            <w:vAlign w:val="center"/>
          </w:tcPr>
          <w:p w:rsidR="00632479" w:rsidRPr="00DF4CF3" w:rsidRDefault="00632479" w:rsidP="008216A0">
            <w:pPr>
              <w:jc w:val="center"/>
              <w:rPr>
                <w:rFonts w:ascii="Arial" w:hAnsi="Arial" w:cs="Arial"/>
                <w:i/>
                <w:iCs/>
                <w:sz w:val="16"/>
                <w:szCs w:val="16"/>
              </w:rPr>
            </w:pPr>
            <w:r w:rsidRPr="00DF4CF3">
              <w:rPr>
                <w:rFonts w:ascii="Arial" w:hAnsi="Arial" w:cs="Arial"/>
                <w:i/>
                <w:iCs/>
                <w:sz w:val="16"/>
                <w:szCs w:val="16"/>
              </w:rPr>
              <w:t>1</w:t>
            </w:r>
          </w:p>
        </w:tc>
      </w:tr>
      <w:tr w:rsidR="00632479" w:rsidRPr="00DF4CF3" w:rsidTr="006A2BF3">
        <w:trPr>
          <w:trHeight w:val="300"/>
        </w:trPr>
        <w:tc>
          <w:tcPr>
            <w:tcW w:w="1858" w:type="dxa"/>
            <w:vMerge/>
            <w:tcBorders>
              <w:top w:val="single" w:sz="4" w:space="0" w:color="auto"/>
              <w:left w:val="single" w:sz="4" w:space="0" w:color="auto"/>
              <w:bottom w:val="single" w:sz="4" w:space="0" w:color="auto"/>
              <w:right w:val="single" w:sz="4" w:space="0" w:color="auto"/>
            </w:tcBorders>
            <w:vAlign w:val="center"/>
          </w:tcPr>
          <w:p w:rsidR="00632479" w:rsidRPr="00DF4CF3" w:rsidRDefault="00632479" w:rsidP="008216A0">
            <w:pPr>
              <w:rPr>
                <w:rFonts w:ascii="Arial" w:hAnsi="Arial" w:cs="Arial"/>
                <w:sz w:val="16"/>
                <w:szCs w:val="16"/>
              </w:rPr>
            </w:pPr>
          </w:p>
        </w:tc>
        <w:tc>
          <w:tcPr>
            <w:tcW w:w="1233" w:type="dxa"/>
            <w:tcBorders>
              <w:top w:val="nil"/>
              <w:left w:val="nil"/>
              <w:bottom w:val="single" w:sz="4" w:space="0" w:color="auto"/>
              <w:right w:val="single" w:sz="4" w:space="0" w:color="auto"/>
            </w:tcBorders>
            <w:noWrap/>
            <w:vAlign w:val="center"/>
          </w:tcPr>
          <w:p w:rsidR="00632479" w:rsidRPr="00DF4CF3" w:rsidRDefault="00632479" w:rsidP="008216A0">
            <w:pPr>
              <w:rPr>
                <w:rFonts w:ascii="Arial" w:hAnsi="Arial" w:cs="Arial"/>
                <w:sz w:val="16"/>
                <w:szCs w:val="16"/>
              </w:rPr>
            </w:pPr>
            <w:r w:rsidRPr="00DF4CF3">
              <w:rPr>
                <w:rFonts w:ascii="Arial" w:hAnsi="Arial" w:cs="Arial"/>
                <w:sz w:val="16"/>
                <w:szCs w:val="16"/>
              </w:rPr>
              <w:t>Východisko</w:t>
            </w:r>
          </w:p>
        </w:tc>
        <w:tc>
          <w:tcPr>
            <w:tcW w:w="496" w:type="dxa"/>
            <w:tcBorders>
              <w:top w:val="nil"/>
              <w:left w:val="nil"/>
              <w:bottom w:val="single" w:sz="4" w:space="0" w:color="auto"/>
              <w:right w:val="dotted" w:sz="4" w:space="0" w:color="auto"/>
            </w:tcBorders>
            <w:noWrap/>
            <w:vAlign w:val="center"/>
          </w:tcPr>
          <w:p w:rsidR="00632479" w:rsidRPr="00DF4CF3" w:rsidRDefault="00632479" w:rsidP="008216A0">
            <w:pPr>
              <w:jc w:val="center"/>
              <w:rPr>
                <w:rFonts w:ascii="Arial" w:hAnsi="Arial" w:cs="Arial"/>
                <w:b/>
                <w:bCs/>
                <w:sz w:val="16"/>
                <w:szCs w:val="16"/>
              </w:rPr>
            </w:pPr>
            <w:r w:rsidRPr="00DF4CF3">
              <w:rPr>
                <w:rFonts w:ascii="Arial" w:hAnsi="Arial" w:cs="Arial"/>
                <w:b/>
                <w:bCs/>
                <w:sz w:val="16"/>
                <w:szCs w:val="16"/>
              </w:rPr>
              <w:t>0</w:t>
            </w:r>
          </w:p>
        </w:tc>
        <w:tc>
          <w:tcPr>
            <w:tcW w:w="496" w:type="dxa"/>
            <w:tcBorders>
              <w:top w:val="nil"/>
              <w:left w:val="nil"/>
              <w:bottom w:val="single" w:sz="4" w:space="0" w:color="auto"/>
              <w:right w:val="dotted" w:sz="4" w:space="0" w:color="auto"/>
            </w:tcBorders>
            <w:noWrap/>
            <w:vAlign w:val="center"/>
          </w:tcPr>
          <w:p w:rsidR="00632479" w:rsidRPr="00DF4CF3" w:rsidRDefault="00632479" w:rsidP="008216A0">
            <w:pPr>
              <w:jc w:val="center"/>
              <w:rPr>
                <w:rFonts w:ascii="Arial" w:hAnsi="Arial" w:cs="Arial"/>
                <w:i/>
                <w:iCs/>
                <w:sz w:val="16"/>
                <w:szCs w:val="16"/>
              </w:rPr>
            </w:pPr>
            <w:r w:rsidRPr="00DF4CF3">
              <w:rPr>
                <w:rFonts w:ascii="Arial" w:hAnsi="Arial" w:cs="Arial"/>
                <w:i/>
                <w:iCs/>
                <w:sz w:val="16"/>
                <w:szCs w:val="16"/>
              </w:rPr>
              <w:t>N/A</w:t>
            </w:r>
          </w:p>
        </w:tc>
        <w:tc>
          <w:tcPr>
            <w:tcW w:w="496" w:type="dxa"/>
            <w:tcBorders>
              <w:top w:val="nil"/>
              <w:left w:val="nil"/>
              <w:bottom w:val="single" w:sz="4" w:space="0" w:color="auto"/>
              <w:right w:val="dotted" w:sz="4" w:space="0" w:color="auto"/>
            </w:tcBorders>
            <w:noWrap/>
            <w:vAlign w:val="center"/>
          </w:tcPr>
          <w:p w:rsidR="00632479" w:rsidRPr="00DF4CF3" w:rsidRDefault="00632479" w:rsidP="008216A0">
            <w:pPr>
              <w:jc w:val="center"/>
              <w:rPr>
                <w:rFonts w:ascii="Arial" w:hAnsi="Arial" w:cs="Arial"/>
                <w:i/>
                <w:iCs/>
                <w:sz w:val="16"/>
                <w:szCs w:val="16"/>
              </w:rPr>
            </w:pPr>
            <w:r w:rsidRPr="00DF4CF3">
              <w:rPr>
                <w:rFonts w:ascii="Arial" w:hAnsi="Arial" w:cs="Arial"/>
                <w:i/>
                <w:iCs/>
                <w:sz w:val="16"/>
                <w:szCs w:val="16"/>
              </w:rPr>
              <w:t>N/A</w:t>
            </w:r>
          </w:p>
        </w:tc>
        <w:tc>
          <w:tcPr>
            <w:tcW w:w="496" w:type="dxa"/>
            <w:tcBorders>
              <w:top w:val="nil"/>
              <w:left w:val="nil"/>
              <w:bottom w:val="single" w:sz="4" w:space="0" w:color="auto"/>
              <w:right w:val="dotted" w:sz="4" w:space="0" w:color="auto"/>
            </w:tcBorders>
            <w:noWrap/>
            <w:vAlign w:val="center"/>
          </w:tcPr>
          <w:p w:rsidR="00632479" w:rsidRPr="00DF4CF3" w:rsidRDefault="00632479" w:rsidP="008216A0">
            <w:pPr>
              <w:jc w:val="center"/>
              <w:rPr>
                <w:rFonts w:ascii="Arial" w:hAnsi="Arial" w:cs="Arial"/>
                <w:i/>
                <w:iCs/>
                <w:sz w:val="16"/>
                <w:szCs w:val="16"/>
              </w:rPr>
            </w:pPr>
            <w:r w:rsidRPr="00DF4CF3">
              <w:rPr>
                <w:rFonts w:ascii="Arial" w:hAnsi="Arial" w:cs="Arial"/>
                <w:i/>
                <w:iCs/>
                <w:sz w:val="16"/>
                <w:szCs w:val="16"/>
              </w:rPr>
              <w:t>N/A</w:t>
            </w:r>
          </w:p>
        </w:tc>
        <w:tc>
          <w:tcPr>
            <w:tcW w:w="496" w:type="dxa"/>
            <w:tcBorders>
              <w:top w:val="nil"/>
              <w:left w:val="nil"/>
              <w:bottom w:val="single" w:sz="4" w:space="0" w:color="auto"/>
              <w:right w:val="dotted" w:sz="4" w:space="0" w:color="auto"/>
            </w:tcBorders>
            <w:noWrap/>
            <w:vAlign w:val="center"/>
          </w:tcPr>
          <w:p w:rsidR="00632479" w:rsidRPr="00DF4CF3" w:rsidRDefault="00632479" w:rsidP="008216A0">
            <w:pPr>
              <w:jc w:val="center"/>
              <w:rPr>
                <w:rFonts w:ascii="Arial" w:hAnsi="Arial" w:cs="Arial"/>
                <w:i/>
                <w:iCs/>
                <w:sz w:val="16"/>
                <w:szCs w:val="16"/>
              </w:rPr>
            </w:pPr>
            <w:r w:rsidRPr="00DF4CF3">
              <w:rPr>
                <w:rFonts w:ascii="Arial" w:hAnsi="Arial" w:cs="Arial"/>
                <w:i/>
                <w:iCs/>
                <w:sz w:val="16"/>
                <w:szCs w:val="16"/>
              </w:rPr>
              <w:t>N/A</w:t>
            </w:r>
          </w:p>
        </w:tc>
        <w:tc>
          <w:tcPr>
            <w:tcW w:w="496" w:type="dxa"/>
            <w:tcBorders>
              <w:top w:val="nil"/>
              <w:left w:val="nil"/>
              <w:bottom w:val="single" w:sz="4" w:space="0" w:color="auto"/>
              <w:right w:val="dotted" w:sz="4" w:space="0" w:color="auto"/>
            </w:tcBorders>
            <w:noWrap/>
            <w:vAlign w:val="center"/>
          </w:tcPr>
          <w:p w:rsidR="00632479" w:rsidRPr="00DF4CF3" w:rsidRDefault="00632479" w:rsidP="008216A0">
            <w:pPr>
              <w:jc w:val="center"/>
              <w:rPr>
                <w:rFonts w:ascii="Arial" w:hAnsi="Arial" w:cs="Arial"/>
                <w:i/>
                <w:iCs/>
                <w:sz w:val="16"/>
                <w:szCs w:val="16"/>
              </w:rPr>
            </w:pPr>
            <w:r w:rsidRPr="00DF4CF3">
              <w:rPr>
                <w:rFonts w:ascii="Arial" w:hAnsi="Arial" w:cs="Arial"/>
                <w:i/>
                <w:iCs/>
                <w:color w:val="000000"/>
                <w:sz w:val="16"/>
                <w:szCs w:val="16"/>
              </w:rPr>
              <w:t>N/A</w:t>
            </w:r>
          </w:p>
        </w:tc>
        <w:tc>
          <w:tcPr>
            <w:tcW w:w="496" w:type="dxa"/>
            <w:tcBorders>
              <w:top w:val="nil"/>
              <w:left w:val="nil"/>
              <w:bottom w:val="single" w:sz="4" w:space="0" w:color="auto"/>
              <w:right w:val="dotted" w:sz="4" w:space="0" w:color="auto"/>
            </w:tcBorders>
            <w:noWrap/>
            <w:vAlign w:val="center"/>
          </w:tcPr>
          <w:p w:rsidR="00632479" w:rsidRPr="00DF4CF3" w:rsidRDefault="00632479" w:rsidP="008216A0">
            <w:pPr>
              <w:jc w:val="center"/>
              <w:rPr>
                <w:rFonts w:ascii="Arial" w:hAnsi="Arial" w:cs="Arial"/>
                <w:i/>
                <w:iCs/>
                <w:sz w:val="16"/>
                <w:szCs w:val="16"/>
              </w:rPr>
            </w:pPr>
            <w:r w:rsidRPr="00DF4CF3">
              <w:rPr>
                <w:rFonts w:ascii="Arial" w:hAnsi="Arial" w:cs="Arial"/>
                <w:i/>
                <w:iCs/>
                <w:sz w:val="16"/>
                <w:szCs w:val="16"/>
              </w:rPr>
              <w:t>N/A</w:t>
            </w:r>
          </w:p>
        </w:tc>
        <w:tc>
          <w:tcPr>
            <w:tcW w:w="496" w:type="dxa"/>
            <w:tcBorders>
              <w:top w:val="nil"/>
              <w:left w:val="nil"/>
              <w:bottom w:val="single" w:sz="4" w:space="0" w:color="auto"/>
              <w:right w:val="dotted" w:sz="4" w:space="0" w:color="auto"/>
            </w:tcBorders>
            <w:noWrap/>
            <w:vAlign w:val="center"/>
          </w:tcPr>
          <w:p w:rsidR="00632479" w:rsidRPr="00DF4CF3" w:rsidRDefault="00632479" w:rsidP="008216A0">
            <w:pPr>
              <w:jc w:val="center"/>
              <w:rPr>
                <w:rFonts w:ascii="Arial" w:hAnsi="Arial" w:cs="Arial"/>
                <w:i/>
                <w:iCs/>
                <w:sz w:val="16"/>
                <w:szCs w:val="16"/>
              </w:rPr>
            </w:pPr>
            <w:r w:rsidRPr="00DF4CF3">
              <w:rPr>
                <w:rFonts w:ascii="Arial" w:hAnsi="Arial" w:cs="Arial"/>
                <w:i/>
                <w:iCs/>
                <w:sz w:val="16"/>
                <w:szCs w:val="16"/>
              </w:rPr>
              <w:t>N/A</w:t>
            </w:r>
          </w:p>
        </w:tc>
        <w:tc>
          <w:tcPr>
            <w:tcW w:w="496" w:type="dxa"/>
            <w:tcBorders>
              <w:top w:val="nil"/>
              <w:left w:val="nil"/>
              <w:bottom w:val="single" w:sz="4" w:space="0" w:color="auto"/>
              <w:right w:val="dotted" w:sz="4" w:space="0" w:color="auto"/>
            </w:tcBorders>
            <w:noWrap/>
            <w:vAlign w:val="center"/>
          </w:tcPr>
          <w:p w:rsidR="00632479" w:rsidRPr="00DF4CF3" w:rsidRDefault="00632479" w:rsidP="008216A0">
            <w:pPr>
              <w:jc w:val="center"/>
              <w:rPr>
                <w:rFonts w:ascii="Arial" w:hAnsi="Arial" w:cs="Arial"/>
                <w:i/>
                <w:iCs/>
                <w:sz w:val="16"/>
                <w:szCs w:val="16"/>
              </w:rPr>
            </w:pPr>
            <w:r w:rsidRPr="00DF4CF3">
              <w:rPr>
                <w:rFonts w:ascii="Arial" w:hAnsi="Arial" w:cs="Arial"/>
                <w:i/>
                <w:iCs/>
                <w:sz w:val="16"/>
                <w:szCs w:val="16"/>
              </w:rPr>
              <w:t>N/A</w:t>
            </w:r>
          </w:p>
        </w:tc>
        <w:tc>
          <w:tcPr>
            <w:tcW w:w="585" w:type="dxa"/>
            <w:tcBorders>
              <w:top w:val="nil"/>
              <w:left w:val="nil"/>
              <w:bottom w:val="single" w:sz="4" w:space="0" w:color="auto"/>
              <w:right w:val="dotted" w:sz="4" w:space="0" w:color="auto"/>
            </w:tcBorders>
            <w:noWrap/>
            <w:vAlign w:val="center"/>
          </w:tcPr>
          <w:p w:rsidR="00632479" w:rsidRPr="00DF4CF3" w:rsidRDefault="00632479" w:rsidP="008216A0">
            <w:pPr>
              <w:jc w:val="center"/>
              <w:rPr>
                <w:rFonts w:ascii="Arial" w:hAnsi="Arial" w:cs="Arial"/>
                <w:b/>
                <w:bCs/>
                <w:sz w:val="16"/>
                <w:szCs w:val="16"/>
              </w:rPr>
            </w:pPr>
            <w:r w:rsidRPr="00DF4CF3">
              <w:rPr>
                <w:rFonts w:ascii="Arial" w:hAnsi="Arial" w:cs="Arial"/>
                <w:b/>
                <w:bCs/>
                <w:sz w:val="16"/>
                <w:szCs w:val="16"/>
              </w:rPr>
              <w:t>0</w:t>
            </w:r>
          </w:p>
        </w:tc>
        <w:tc>
          <w:tcPr>
            <w:tcW w:w="1030" w:type="dxa"/>
            <w:tcBorders>
              <w:top w:val="nil"/>
              <w:left w:val="nil"/>
              <w:bottom w:val="single" w:sz="4" w:space="0" w:color="auto"/>
              <w:right w:val="single" w:sz="4" w:space="0" w:color="auto"/>
            </w:tcBorders>
            <w:noWrap/>
            <w:vAlign w:val="center"/>
          </w:tcPr>
          <w:p w:rsidR="00632479" w:rsidRPr="00DF4CF3" w:rsidRDefault="00632479" w:rsidP="008216A0">
            <w:pPr>
              <w:jc w:val="center"/>
              <w:rPr>
                <w:rFonts w:ascii="Arial" w:hAnsi="Arial" w:cs="Arial"/>
                <w:sz w:val="16"/>
                <w:szCs w:val="16"/>
              </w:rPr>
            </w:pPr>
          </w:p>
        </w:tc>
      </w:tr>
      <w:tr w:rsidR="002416B1" w:rsidRPr="00DF4CF3" w:rsidTr="006A2BF3">
        <w:trPr>
          <w:trHeight w:val="300"/>
        </w:trPr>
        <w:tc>
          <w:tcPr>
            <w:tcW w:w="9170" w:type="dxa"/>
            <w:gridSpan w:val="13"/>
            <w:tcBorders>
              <w:top w:val="single" w:sz="4" w:space="0" w:color="auto"/>
              <w:left w:val="single" w:sz="4" w:space="0" w:color="auto"/>
              <w:bottom w:val="single" w:sz="4" w:space="0" w:color="auto"/>
              <w:right w:val="single" w:sz="4" w:space="0" w:color="000000"/>
            </w:tcBorders>
            <w:shd w:val="clear" w:color="auto" w:fill="EAF1DD"/>
            <w:noWrap/>
            <w:vAlign w:val="center"/>
          </w:tcPr>
          <w:p w:rsidR="002416B1" w:rsidRPr="00DF4CF3" w:rsidRDefault="002416B1" w:rsidP="008216A0">
            <w:pPr>
              <w:rPr>
                <w:rFonts w:ascii="Arial" w:hAnsi="Arial" w:cs="Arial"/>
                <w:b/>
                <w:bCs/>
                <w:sz w:val="16"/>
                <w:szCs w:val="16"/>
              </w:rPr>
            </w:pPr>
            <w:r w:rsidRPr="00DF4CF3">
              <w:rPr>
                <w:rFonts w:ascii="Arial" w:hAnsi="Arial" w:cs="Arial"/>
                <w:b/>
                <w:bCs/>
                <w:sz w:val="16"/>
                <w:szCs w:val="16"/>
              </w:rPr>
              <w:t>Prioritná os 5 - Ochrana a regenerácia prírodného prostredia a krajiny</w:t>
            </w:r>
          </w:p>
        </w:tc>
      </w:tr>
      <w:tr w:rsidR="00632479" w:rsidRPr="00DF4CF3" w:rsidTr="006A2BF3">
        <w:trPr>
          <w:trHeight w:val="300"/>
        </w:trPr>
        <w:tc>
          <w:tcPr>
            <w:tcW w:w="1858" w:type="dxa"/>
            <w:vMerge w:val="restart"/>
            <w:tcBorders>
              <w:top w:val="nil"/>
              <w:left w:val="single" w:sz="4" w:space="0" w:color="auto"/>
              <w:bottom w:val="single" w:sz="4" w:space="0" w:color="000000"/>
              <w:right w:val="single" w:sz="4" w:space="0" w:color="auto"/>
            </w:tcBorders>
            <w:vAlign w:val="center"/>
          </w:tcPr>
          <w:p w:rsidR="00632479" w:rsidRDefault="00632479" w:rsidP="008216A0">
            <w:pPr>
              <w:rPr>
                <w:rFonts w:ascii="Arial" w:hAnsi="Arial" w:cs="Arial"/>
                <w:sz w:val="16"/>
                <w:szCs w:val="16"/>
              </w:rPr>
            </w:pPr>
            <w:r w:rsidRPr="00DF4CF3">
              <w:rPr>
                <w:rFonts w:ascii="Arial" w:hAnsi="Arial" w:cs="Arial"/>
                <w:sz w:val="16"/>
                <w:szCs w:val="16"/>
              </w:rPr>
              <w:t>Počet vytvorených čiastkových databáz informačného systému (pre skupiny rastlín, živočíchov, biotopov) [počet]</w:t>
            </w:r>
          </w:p>
          <w:p w:rsidR="000D360F" w:rsidRPr="00DF4CF3" w:rsidRDefault="000D360F" w:rsidP="008216A0">
            <w:pPr>
              <w:rPr>
                <w:rFonts w:ascii="Arial" w:hAnsi="Arial" w:cs="Arial"/>
                <w:sz w:val="16"/>
                <w:szCs w:val="16"/>
              </w:rPr>
            </w:pPr>
            <w:r>
              <w:rPr>
                <w:rFonts w:ascii="Arial" w:hAnsi="Arial" w:cs="Arial"/>
                <w:sz w:val="16"/>
                <w:szCs w:val="16"/>
              </w:rPr>
              <w:t>výsledok</w:t>
            </w:r>
          </w:p>
        </w:tc>
        <w:tc>
          <w:tcPr>
            <w:tcW w:w="1233" w:type="dxa"/>
            <w:tcBorders>
              <w:top w:val="nil"/>
              <w:left w:val="nil"/>
              <w:bottom w:val="dotted" w:sz="4" w:space="0" w:color="auto"/>
              <w:right w:val="single" w:sz="4" w:space="0" w:color="auto"/>
            </w:tcBorders>
            <w:noWrap/>
            <w:vAlign w:val="center"/>
          </w:tcPr>
          <w:p w:rsidR="00632479" w:rsidRPr="00DF4CF3" w:rsidRDefault="00632479" w:rsidP="008216A0">
            <w:pPr>
              <w:rPr>
                <w:rFonts w:ascii="Arial" w:hAnsi="Arial" w:cs="Arial"/>
                <w:sz w:val="16"/>
                <w:szCs w:val="16"/>
              </w:rPr>
            </w:pPr>
            <w:r w:rsidRPr="00DF4CF3">
              <w:rPr>
                <w:rFonts w:ascii="Arial" w:hAnsi="Arial" w:cs="Arial"/>
                <w:sz w:val="16"/>
                <w:szCs w:val="16"/>
              </w:rPr>
              <w:t>Dosiahnutý výsledok</w:t>
            </w:r>
          </w:p>
        </w:tc>
        <w:tc>
          <w:tcPr>
            <w:tcW w:w="496" w:type="dxa"/>
            <w:tcBorders>
              <w:top w:val="nil"/>
              <w:left w:val="nil"/>
              <w:bottom w:val="dotted" w:sz="4" w:space="0" w:color="auto"/>
              <w:right w:val="dotted" w:sz="4" w:space="0" w:color="auto"/>
            </w:tcBorders>
            <w:noWrap/>
            <w:vAlign w:val="center"/>
          </w:tcPr>
          <w:p w:rsidR="00632479" w:rsidRPr="00DF4CF3" w:rsidRDefault="00632479" w:rsidP="008216A0">
            <w:pPr>
              <w:jc w:val="center"/>
              <w:rPr>
                <w:rFonts w:ascii="Arial" w:hAnsi="Arial" w:cs="Arial"/>
                <w:b/>
                <w:bCs/>
                <w:sz w:val="16"/>
                <w:szCs w:val="16"/>
              </w:rPr>
            </w:pPr>
            <w:r w:rsidRPr="00DF4CF3">
              <w:rPr>
                <w:rFonts w:ascii="Arial" w:hAnsi="Arial" w:cs="Arial"/>
                <w:b/>
                <w:bCs/>
                <w:sz w:val="16"/>
                <w:szCs w:val="16"/>
              </w:rPr>
              <w:t>0</w:t>
            </w:r>
          </w:p>
        </w:tc>
        <w:tc>
          <w:tcPr>
            <w:tcW w:w="496" w:type="dxa"/>
            <w:tcBorders>
              <w:top w:val="nil"/>
              <w:left w:val="nil"/>
              <w:bottom w:val="dotted" w:sz="4" w:space="0" w:color="auto"/>
              <w:right w:val="dotted" w:sz="4" w:space="0" w:color="auto"/>
            </w:tcBorders>
            <w:noWrap/>
            <w:vAlign w:val="center"/>
          </w:tcPr>
          <w:p w:rsidR="00632479" w:rsidRPr="00DF4CF3" w:rsidRDefault="00632479" w:rsidP="008216A0">
            <w:pPr>
              <w:jc w:val="center"/>
              <w:rPr>
                <w:rFonts w:ascii="Arial" w:hAnsi="Arial" w:cs="Arial"/>
                <w:b/>
                <w:bCs/>
                <w:sz w:val="16"/>
                <w:szCs w:val="16"/>
              </w:rPr>
            </w:pPr>
            <w:r w:rsidRPr="00DF4CF3">
              <w:rPr>
                <w:rFonts w:ascii="Arial" w:hAnsi="Arial" w:cs="Arial"/>
                <w:b/>
                <w:bCs/>
                <w:sz w:val="16"/>
                <w:szCs w:val="16"/>
              </w:rPr>
              <w:t>0</w:t>
            </w:r>
          </w:p>
        </w:tc>
        <w:tc>
          <w:tcPr>
            <w:tcW w:w="496" w:type="dxa"/>
            <w:tcBorders>
              <w:top w:val="nil"/>
              <w:left w:val="nil"/>
              <w:bottom w:val="dotted" w:sz="4" w:space="0" w:color="auto"/>
              <w:right w:val="dotted" w:sz="4" w:space="0" w:color="auto"/>
            </w:tcBorders>
            <w:noWrap/>
            <w:vAlign w:val="center"/>
          </w:tcPr>
          <w:p w:rsidR="00632479" w:rsidRPr="00DF4CF3" w:rsidRDefault="00632479" w:rsidP="008216A0">
            <w:pPr>
              <w:jc w:val="center"/>
              <w:rPr>
                <w:rFonts w:ascii="Arial" w:hAnsi="Arial" w:cs="Arial"/>
                <w:b/>
                <w:bCs/>
                <w:sz w:val="16"/>
                <w:szCs w:val="16"/>
              </w:rPr>
            </w:pPr>
            <w:r w:rsidRPr="00DF4CF3">
              <w:rPr>
                <w:rFonts w:ascii="Arial" w:hAnsi="Arial" w:cs="Arial"/>
                <w:b/>
                <w:bCs/>
                <w:sz w:val="16"/>
                <w:szCs w:val="16"/>
              </w:rPr>
              <w:t>0</w:t>
            </w:r>
          </w:p>
        </w:tc>
        <w:tc>
          <w:tcPr>
            <w:tcW w:w="496" w:type="dxa"/>
            <w:tcBorders>
              <w:top w:val="nil"/>
              <w:left w:val="nil"/>
              <w:bottom w:val="dotted" w:sz="4" w:space="0" w:color="auto"/>
              <w:right w:val="dotted" w:sz="4" w:space="0" w:color="auto"/>
            </w:tcBorders>
            <w:noWrap/>
            <w:vAlign w:val="center"/>
          </w:tcPr>
          <w:p w:rsidR="00632479" w:rsidRPr="00DF4CF3" w:rsidRDefault="00632479" w:rsidP="008216A0">
            <w:pPr>
              <w:jc w:val="center"/>
              <w:rPr>
                <w:rFonts w:ascii="Arial" w:hAnsi="Arial" w:cs="Arial"/>
                <w:b/>
                <w:bCs/>
                <w:sz w:val="16"/>
                <w:szCs w:val="16"/>
              </w:rPr>
            </w:pPr>
            <w:r w:rsidRPr="00DF4CF3">
              <w:rPr>
                <w:rFonts w:ascii="Arial" w:hAnsi="Arial" w:cs="Arial"/>
                <w:b/>
                <w:bCs/>
                <w:sz w:val="16"/>
                <w:szCs w:val="16"/>
              </w:rPr>
              <w:t>0,50</w:t>
            </w:r>
          </w:p>
        </w:tc>
        <w:tc>
          <w:tcPr>
            <w:tcW w:w="496" w:type="dxa"/>
            <w:tcBorders>
              <w:top w:val="nil"/>
              <w:left w:val="nil"/>
              <w:bottom w:val="dotted" w:sz="4" w:space="0" w:color="auto"/>
              <w:right w:val="dotted" w:sz="4" w:space="0" w:color="auto"/>
            </w:tcBorders>
            <w:noWrap/>
            <w:vAlign w:val="center"/>
          </w:tcPr>
          <w:p w:rsidR="00632479" w:rsidRPr="00DF4CF3" w:rsidRDefault="00632479" w:rsidP="008216A0">
            <w:pPr>
              <w:jc w:val="center"/>
              <w:rPr>
                <w:rFonts w:ascii="Arial" w:hAnsi="Arial" w:cs="Arial"/>
                <w:b/>
                <w:bCs/>
                <w:sz w:val="16"/>
                <w:szCs w:val="16"/>
              </w:rPr>
            </w:pPr>
            <w:r w:rsidRPr="00DF4CF3">
              <w:rPr>
                <w:rFonts w:ascii="Arial" w:hAnsi="Arial" w:cs="Arial"/>
                <w:b/>
                <w:bCs/>
                <w:sz w:val="16"/>
                <w:szCs w:val="16"/>
              </w:rPr>
              <w:t>1,00</w:t>
            </w:r>
          </w:p>
        </w:tc>
        <w:tc>
          <w:tcPr>
            <w:tcW w:w="496" w:type="dxa"/>
            <w:tcBorders>
              <w:top w:val="nil"/>
              <w:left w:val="nil"/>
              <w:bottom w:val="dotted" w:sz="4" w:space="0" w:color="auto"/>
              <w:right w:val="dotted" w:sz="4" w:space="0" w:color="auto"/>
            </w:tcBorders>
            <w:noWrap/>
            <w:vAlign w:val="center"/>
          </w:tcPr>
          <w:p w:rsidR="00632479" w:rsidRPr="00DF4CF3" w:rsidRDefault="00632479" w:rsidP="008216A0">
            <w:pPr>
              <w:jc w:val="center"/>
              <w:rPr>
                <w:rFonts w:ascii="Arial" w:hAnsi="Arial" w:cs="Arial"/>
                <w:i/>
                <w:iCs/>
                <w:sz w:val="16"/>
                <w:szCs w:val="16"/>
              </w:rPr>
            </w:pPr>
            <w:r w:rsidRPr="00DF4CF3">
              <w:rPr>
                <w:rFonts w:ascii="Arial" w:hAnsi="Arial" w:cs="Arial"/>
                <w:i/>
                <w:iCs/>
                <w:color w:val="000000"/>
                <w:sz w:val="16"/>
                <w:szCs w:val="16"/>
              </w:rPr>
              <w:t>3,3</w:t>
            </w:r>
          </w:p>
        </w:tc>
        <w:tc>
          <w:tcPr>
            <w:tcW w:w="496" w:type="dxa"/>
            <w:tcBorders>
              <w:top w:val="nil"/>
              <w:left w:val="nil"/>
              <w:bottom w:val="dotted" w:sz="4" w:space="0" w:color="auto"/>
              <w:right w:val="dotted" w:sz="4" w:space="0" w:color="auto"/>
            </w:tcBorders>
            <w:noWrap/>
            <w:vAlign w:val="center"/>
          </w:tcPr>
          <w:p w:rsidR="00632479" w:rsidRPr="00DF4CF3" w:rsidRDefault="00632479" w:rsidP="008216A0">
            <w:pPr>
              <w:jc w:val="center"/>
              <w:rPr>
                <w:rFonts w:ascii="Arial" w:hAnsi="Arial" w:cs="Arial"/>
                <w:i/>
                <w:iCs/>
                <w:sz w:val="16"/>
                <w:szCs w:val="16"/>
              </w:rPr>
            </w:pPr>
            <w:r w:rsidRPr="00DF4CF3">
              <w:rPr>
                <w:rFonts w:ascii="Arial" w:hAnsi="Arial" w:cs="Arial"/>
                <w:i/>
                <w:iCs/>
                <w:sz w:val="16"/>
                <w:szCs w:val="16"/>
              </w:rPr>
              <w:t>N/A</w:t>
            </w:r>
          </w:p>
        </w:tc>
        <w:tc>
          <w:tcPr>
            <w:tcW w:w="496" w:type="dxa"/>
            <w:tcBorders>
              <w:top w:val="nil"/>
              <w:left w:val="nil"/>
              <w:bottom w:val="dotted" w:sz="4" w:space="0" w:color="auto"/>
              <w:right w:val="dotted" w:sz="4" w:space="0" w:color="auto"/>
            </w:tcBorders>
            <w:noWrap/>
            <w:vAlign w:val="center"/>
          </w:tcPr>
          <w:p w:rsidR="00632479" w:rsidRPr="00DF4CF3" w:rsidRDefault="00632479" w:rsidP="008216A0">
            <w:pPr>
              <w:jc w:val="center"/>
              <w:rPr>
                <w:rFonts w:ascii="Arial" w:hAnsi="Arial" w:cs="Arial"/>
                <w:i/>
                <w:iCs/>
                <w:sz w:val="16"/>
                <w:szCs w:val="16"/>
              </w:rPr>
            </w:pPr>
            <w:r w:rsidRPr="00DF4CF3">
              <w:rPr>
                <w:rFonts w:ascii="Arial" w:hAnsi="Arial" w:cs="Arial"/>
                <w:i/>
                <w:iCs/>
                <w:sz w:val="16"/>
                <w:szCs w:val="16"/>
              </w:rPr>
              <w:t>N/A</w:t>
            </w:r>
          </w:p>
        </w:tc>
        <w:tc>
          <w:tcPr>
            <w:tcW w:w="496" w:type="dxa"/>
            <w:tcBorders>
              <w:top w:val="nil"/>
              <w:left w:val="nil"/>
              <w:bottom w:val="dotted" w:sz="4" w:space="0" w:color="auto"/>
              <w:right w:val="dotted" w:sz="4" w:space="0" w:color="auto"/>
            </w:tcBorders>
            <w:noWrap/>
            <w:vAlign w:val="center"/>
          </w:tcPr>
          <w:p w:rsidR="00632479" w:rsidRPr="00DF4CF3" w:rsidRDefault="00632479" w:rsidP="008216A0">
            <w:pPr>
              <w:jc w:val="center"/>
              <w:rPr>
                <w:rFonts w:ascii="Arial" w:hAnsi="Arial" w:cs="Arial"/>
                <w:i/>
                <w:iCs/>
                <w:sz w:val="16"/>
                <w:szCs w:val="16"/>
              </w:rPr>
            </w:pPr>
            <w:r w:rsidRPr="00DF4CF3">
              <w:rPr>
                <w:rFonts w:ascii="Arial" w:hAnsi="Arial" w:cs="Arial"/>
                <w:i/>
                <w:iCs/>
                <w:sz w:val="16"/>
                <w:szCs w:val="16"/>
              </w:rPr>
              <w:t>N/A</w:t>
            </w:r>
          </w:p>
        </w:tc>
        <w:tc>
          <w:tcPr>
            <w:tcW w:w="585" w:type="dxa"/>
            <w:tcBorders>
              <w:top w:val="nil"/>
              <w:left w:val="nil"/>
              <w:bottom w:val="dotted" w:sz="4" w:space="0" w:color="auto"/>
              <w:right w:val="dotted" w:sz="4" w:space="0" w:color="auto"/>
            </w:tcBorders>
            <w:noWrap/>
            <w:vAlign w:val="center"/>
          </w:tcPr>
          <w:p w:rsidR="00632479" w:rsidRPr="00DF4CF3" w:rsidRDefault="00632479" w:rsidP="008216A0">
            <w:pPr>
              <w:jc w:val="center"/>
              <w:rPr>
                <w:rFonts w:ascii="Arial" w:hAnsi="Arial" w:cs="Arial"/>
                <w:b/>
                <w:bCs/>
                <w:sz w:val="16"/>
                <w:szCs w:val="16"/>
              </w:rPr>
            </w:pPr>
            <w:r w:rsidRPr="00DF4CF3">
              <w:rPr>
                <w:rFonts w:ascii="Arial" w:hAnsi="Arial" w:cs="Arial"/>
                <w:b/>
                <w:bCs/>
                <w:sz w:val="16"/>
                <w:szCs w:val="16"/>
              </w:rPr>
              <w:t>1,00</w:t>
            </w:r>
          </w:p>
        </w:tc>
        <w:tc>
          <w:tcPr>
            <w:tcW w:w="1030" w:type="dxa"/>
            <w:tcBorders>
              <w:top w:val="nil"/>
              <w:left w:val="nil"/>
              <w:bottom w:val="dotted" w:sz="4" w:space="0" w:color="auto"/>
              <w:right w:val="single" w:sz="4" w:space="0" w:color="auto"/>
            </w:tcBorders>
            <w:noWrap/>
            <w:vAlign w:val="center"/>
          </w:tcPr>
          <w:p w:rsidR="00632479" w:rsidRPr="00DF4CF3" w:rsidRDefault="00632479" w:rsidP="008216A0">
            <w:pPr>
              <w:jc w:val="center"/>
              <w:rPr>
                <w:rFonts w:ascii="Arial" w:hAnsi="Arial" w:cs="Arial"/>
                <w:sz w:val="16"/>
                <w:szCs w:val="16"/>
              </w:rPr>
            </w:pPr>
          </w:p>
        </w:tc>
      </w:tr>
      <w:tr w:rsidR="00632479" w:rsidRPr="00DF4CF3" w:rsidTr="006A2BF3">
        <w:trPr>
          <w:trHeight w:val="300"/>
        </w:trPr>
        <w:tc>
          <w:tcPr>
            <w:tcW w:w="1858" w:type="dxa"/>
            <w:vMerge/>
            <w:tcBorders>
              <w:top w:val="single" w:sz="4" w:space="0" w:color="000000"/>
              <w:left w:val="single" w:sz="4" w:space="0" w:color="auto"/>
              <w:bottom w:val="single" w:sz="4" w:space="0" w:color="000000"/>
              <w:right w:val="single" w:sz="4" w:space="0" w:color="auto"/>
            </w:tcBorders>
            <w:vAlign w:val="center"/>
          </w:tcPr>
          <w:p w:rsidR="00632479" w:rsidRPr="00DF4CF3" w:rsidRDefault="00632479" w:rsidP="008216A0">
            <w:pPr>
              <w:rPr>
                <w:rFonts w:ascii="Arial" w:hAnsi="Arial" w:cs="Arial"/>
                <w:sz w:val="16"/>
                <w:szCs w:val="16"/>
              </w:rPr>
            </w:pPr>
          </w:p>
        </w:tc>
        <w:tc>
          <w:tcPr>
            <w:tcW w:w="1233" w:type="dxa"/>
            <w:tcBorders>
              <w:top w:val="nil"/>
              <w:left w:val="nil"/>
              <w:bottom w:val="dotted" w:sz="4" w:space="0" w:color="auto"/>
              <w:right w:val="single" w:sz="4" w:space="0" w:color="auto"/>
            </w:tcBorders>
            <w:noWrap/>
            <w:vAlign w:val="center"/>
          </w:tcPr>
          <w:p w:rsidR="00632479" w:rsidRPr="00DF4CF3" w:rsidRDefault="00632479" w:rsidP="008216A0">
            <w:pPr>
              <w:rPr>
                <w:rFonts w:ascii="Arial" w:hAnsi="Arial" w:cs="Arial"/>
                <w:sz w:val="16"/>
                <w:szCs w:val="16"/>
              </w:rPr>
            </w:pPr>
            <w:r w:rsidRPr="00DF4CF3">
              <w:rPr>
                <w:rFonts w:ascii="Arial" w:hAnsi="Arial" w:cs="Arial"/>
                <w:sz w:val="16"/>
                <w:szCs w:val="16"/>
              </w:rPr>
              <w:t>Cieľ</w:t>
            </w:r>
          </w:p>
        </w:tc>
        <w:tc>
          <w:tcPr>
            <w:tcW w:w="496" w:type="dxa"/>
            <w:tcBorders>
              <w:top w:val="nil"/>
              <w:left w:val="nil"/>
              <w:bottom w:val="dotted" w:sz="4" w:space="0" w:color="auto"/>
              <w:right w:val="dotted" w:sz="4" w:space="0" w:color="auto"/>
            </w:tcBorders>
            <w:noWrap/>
            <w:vAlign w:val="center"/>
          </w:tcPr>
          <w:p w:rsidR="00632479" w:rsidRPr="00DF4CF3" w:rsidRDefault="00632479" w:rsidP="008216A0">
            <w:pPr>
              <w:jc w:val="center"/>
              <w:rPr>
                <w:rFonts w:ascii="Arial" w:hAnsi="Arial" w:cs="Arial"/>
                <w:i/>
                <w:iCs/>
                <w:sz w:val="16"/>
                <w:szCs w:val="16"/>
              </w:rPr>
            </w:pPr>
            <w:r w:rsidRPr="00DF4CF3">
              <w:rPr>
                <w:rFonts w:ascii="Arial" w:hAnsi="Arial" w:cs="Arial"/>
                <w:i/>
                <w:iCs/>
                <w:sz w:val="16"/>
                <w:szCs w:val="16"/>
              </w:rPr>
              <w:t>N/A</w:t>
            </w:r>
          </w:p>
        </w:tc>
        <w:tc>
          <w:tcPr>
            <w:tcW w:w="496" w:type="dxa"/>
            <w:tcBorders>
              <w:top w:val="nil"/>
              <w:left w:val="nil"/>
              <w:bottom w:val="dotted" w:sz="4" w:space="0" w:color="auto"/>
              <w:right w:val="dotted" w:sz="4" w:space="0" w:color="auto"/>
            </w:tcBorders>
            <w:noWrap/>
            <w:vAlign w:val="center"/>
          </w:tcPr>
          <w:p w:rsidR="00632479" w:rsidRPr="00DF4CF3" w:rsidRDefault="00632479" w:rsidP="008216A0">
            <w:pPr>
              <w:jc w:val="center"/>
              <w:rPr>
                <w:rFonts w:ascii="Arial" w:hAnsi="Arial" w:cs="Arial"/>
                <w:i/>
                <w:iCs/>
                <w:sz w:val="16"/>
                <w:szCs w:val="16"/>
              </w:rPr>
            </w:pPr>
            <w:r w:rsidRPr="00DF4CF3">
              <w:rPr>
                <w:rFonts w:ascii="Arial" w:hAnsi="Arial" w:cs="Arial"/>
                <w:i/>
                <w:iCs/>
                <w:sz w:val="16"/>
                <w:szCs w:val="16"/>
              </w:rPr>
              <w:t>N/A</w:t>
            </w:r>
          </w:p>
        </w:tc>
        <w:tc>
          <w:tcPr>
            <w:tcW w:w="496" w:type="dxa"/>
            <w:tcBorders>
              <w:top w:val="nil"/>
              <w:left w:val="nil"/>
              <w:bottom w:val="dotted" w:sz="4" w:space="0" w:color="auto"/>
              <w:right w:val="dotted" w:sz="4" w:space="0" w:color="auto"/>
            </w:tcBorders>
            <w:noWrap/>
            <w:vAlign w:val="center"/>
          </w:tcPr>
          <w:p w:rsidR="00632479" w:rsidRPr="00DF4CF3" w:rsidRDefault="00632479" w:rsidP="008216A0">
            <w:pPr>
              <w:jc w:val="center"/>
              <w:rPr>
                <w:rFonts w:ascii="Arial" w:hAnsi="Arial" w:cs="Arial"/>
                <w:i/>
                <w:iCs/>
                <w:sz w:val="16"/>
                <w:szCs w:val="16"/>
              </w:rPr>
            </w:pPr>
            <w:r w:rsidRPr="00DF4CF3">
              <w:rPr>
                <w:rFonts w:ascii="Arial" w:hAnsi="Arial" w:cs="Arial"/>
                <w:i/>
                <w:iCs/>
                <w:sz w:val="16"/>
                <w:szCs w:val="16"/>
              </w:rPr>
              <w:t>N/A</w:t>
            </w:r>
          </w:p>
        </w:tc>
        <w:tc>
          <w:tcPr>
            <w:tcW w:w="496" w:type="dxa"/>
            <w:tcBorders>
              <w:top w:val="nil"/>
              <w:left w:val="nil"/>
              <w:bottom w:val="dotted" w:sz="4" w:space="0" w:color="auto"/>
              <w:right w:val="dotted" w:sz="4" w:space="0" w:color="auto"/>
            </w:tcBorders>
            <w:noWrap/>
            <w:vAlign w:val="center"/>
          </w:tcPr>
          <w:p w:rsidR="00632479" w:rsidRPr="00DF4CF3" w:rsidRDefault="00632479" w:rsidP="008216A0">
            <w:pPr>
              <w:jc w:val="center"/>
              <w:rPr>
                <w:rFonts w:ascii="Arial" w:hAnsi="Arial" w:cs="Arial"/>
                <w:i/>
                <w:iCs/>
                <w:sz w:val="16"/>
                <w:szCs w:val="16"/>
              </w:rPr>
            </w:pPr>
            <w:r w:rsidRPr="00DF4CF3">
              <w:rPr>
                <w:rFonts w:ascii="Arial" w:hAnsi="Arial" w:cs="Arial"/>
                <w:i/>
                <w:iCs/>
                <w:sz w:val="16"/>
                <w:szCs w:val="16"/>
              </w:rPr>
              <w:t>N/A</w:t>
            </w:r>
          </w:p>
        </w:tc>
        <w:tc>
          <w:tcPr>
            <w:tcW w:w="496" w:type="dxa"/>
            <w:tcBorders>
              <w:top w:val="nil"/>
              <w:left w:val="nil"/>
              <w:bottom w:val="dotted" w:sz="4" w:space="0" w:color="auto"/>
              <w:right w:val="dotted" w:sz="4" w:space="0" w:color="auto"/>
            </w:tcBorders>
            <w:noWrap/>
            <w:vAlign w:val="center"/>
          </w:tcPr>
          <w:p w:rsidR="00632479" w:rsidRPr="00DF4CF3" w:rsidRDefault="00632479" w:rsidP="008216A0">
            <w:pPr>
              <w:jc w:val="center"/>
              <w:rPr>
                <w:rFonts w:ascii="Arial" w:hAnsi="Arial" w:cs="Arial"/>
                <w:i/>
                <w:iCs/>
                <w:sz w:val="16"/>
                <w:szCs w:val="16"/>
              </w:rPr>
            </w:pPr>
            <w:r w:rsidRPr="00DF4CF3">
              <w:rPr>
                <w:rFonts w:ascii="Arial" w:hAnsi="Arial" w:cs="Arial"/>
                <w:i/>
                <w:iCs/>
                <w:sz w:val="16"/>
                <w:szCs w:val="16"/>
              </w:rPr>
              <w:t>N/A</w:t>
            </w:r>
          </w:p>
        </w:tc>
        <w:tc>
          <w:tcPr>
            <w:tcW w:w="496" w:type="dxa"/>
            <w:tcBorders>
              <w:top w:val="nil"/>
              <w:left w:val="nil"/>
              <w:bottom w:val="dotted" w:sz="4" w:space="0" w:color="auto"/>
              <w:right w:val="dotted" w:sz="4" w:space="0" w:color="auto"/>
            </w:tcBorders>
            <w:noWrap/>
            <w:vAlign w:val="center"/>
          </w:tcPr>
          <w:p w:rsidR="00632479" w:rsidRPr="00DF4CF3" w:rsidRDefault="00632479" w:rsidP="008216A0">
            <w:pPr>
              <w:jc w:val="center"/>
              <w:rPr>
                <w:rFonts w:ascii="Arial" w:hAnsi="Arial" w:cs="Arial"/>
                <w:i/>
                <w:iCs/>
                <w:sz w:val="16"/>
                <w:szCs w:val="16"/>
              </w:rPr>
            </w:pPr>
            <w:r w:rsidRPr="00DF4CF3">
              <w:rPr>
                <w:rFonts w:ascii="Arial" w:hAnsi="Arial" w:cs="Arial"/>
                <w:i/>
                <w:iCs/>
                <w:color w:val="000000"/>
                <w:sz w:val="16"/>
                <w:szCs w:val="16"/>
              </w:rPr>
              <w:t>N/A</w:t>
            </w:r>
          </w:p>
        </w:tc>
        <w:tc>
          <w:tcPr>
            <w:tcW w:w="496" w:type="dxa"/>
            <w:tcBorders>
              <w:top w:val="nil"/>
              <w:left w:val="nil"/>
              <w:bottom w:val="dotted" w:sz="4" w:space="0" w:color="auto"/>
              <w:right w:val="dotted" w:sz="4" w:space="0" w:color="auto"/>
            </w:tcBorders>
            <w:noWrap/>
            <w:vAlign w:val="center"/>
          </w:tcPr>
          <w:p w:rsidR="00632479" w:rsidRPr="00DF4CF3" w:rsidRDefault="00632479" w:rsidP="008216A0">
            <w:pPr>
              <w:jc w:val="center"/>
              <w:rPr>
                <w:rFonts w:ascii="Arial" w:hAnsi="Arial" w:cs="Arial"/>
                <w:i/>
                <w:iCs/>
                <w:sz w:val="16"/>
                <w:szCs w:val="16"/>
              </w:rPr>
            </w:pPr>
            <w:r w:rsidRPr="00DF4CF3">
              <w:rPr>
                <w:rFonts w:ascii="Arial" w:hAnsi="Arial" w:cs="Arial"/>
                <w:i/>
                <w:iCs/>
                <w:sz w:val="16"/>
                <w:szCs w:val="16"/>
              </w:rPr>
              <w:t>N/A</w:t>
            </w:r>
          </w:p>
        </w:tc>
        <w:tc>
          <w:tcPr>
            <w:tcW w:w="496" w:type="dxa"/>
            <w:tcBorders>
              <w:top w:val="nil"/>
              <w:left w:val="nil"/>
              <w:bottom w:val="dotted" w:sz="4" w:space="0" w:color="auto"/>
              <w:right w:val="dotted" w:sz="4" w:space="0" w:color="auto"/>
            </w:tcBorders>
            <w:noWrap/>
            <w:vAlign w:val="center"/>
          </w:tcPr>
          <w:p w:rsidR="00632479" w:rsidRPr="00DF4CF3" w:rsidRDefault="00632479" w:rsidP="008216A0">
            <w:pPr>
              <w:jc w:val="center"/>
              <w:rPr>
                <w:rFonts w:ascii="Arial" w:hAnsi="Arial" w:cs="Arial"/>
                <w:i/>
                <w:iCs/>
                <w:sz w:val="16"/>
                <w:szCs w:val="16"/>
              </w:rPr>
            </w:pPr>
            <w:r w:rsidRPr="00DF4CF3">
              <w:rPr>
                <w:rFonts w:ascii="Arial" w:hAnsi="Arial" w:cs="Arial"/>
                <w:i/>
                <w:iCs/>
                <w:sz w:val="16"/>
                <w:szCs w:val="16"/>
              </w:rPr>
              <w:t>N/A</w:t>
            </w:r>
          </w:p>
        </w:tc>
        <w:tc>
          <w:tcPr>
            <w:tcW w:w="496" w:type="dxa"/>
            <w:tcBorders>
              <w:top w:val="nil"/>
              <w:left w:val="nil"/>
              <w:bottom w:val="dotted" w:sz="4" w:space="0" w:color="auto"/>
              <w:right w:val="dotted" w:sz="4" w:space="0" w:color="auto"/>
            </w:tcBorders>
            <w:noWrap/>
            <w:vAlign w:val="center"/>
          </w:tcPr>
          <w:p w:rsidR="00632479" w:rsidRPr="00DF4CF3" w:rsidRDefault="00632479" w:rsidP="008216A0">
            <w:pPr>
              <w:jc w:val="center"/>
              <w:rPr>
                <w:rFonts w:ascii="Arial" w:hAnsi="Arial" w:cs="Arial"/>
                <w:b/>
                <w:bCs/>
                <w:sz w:val="16"/>
                <w:szCs w:val="16"/>
              </w:rPr>
            </w:pPr>
            <w:r w:rsidRPr="00DF4CF3">
              <w:rPr>
                <w:rFonts w:ascii="Arial" w:hAnsi="Arial" w:cs="Arial"/>
                <w:b/>
                <w:bCs/>
                <w:sz w:val="16"/>
                <w:szCs w:val="16"/>
              </w:rPr>
              <w:t>10</w:t>
            </w:r>
          </w:p>
        </w:tc>
        <w:tc>
          <w:tcPr>
            <w:tcW w:w="585" w:type="dxa"/>
            <w:tcBorders>
              <w:top w:val="nil"/>
              <w:left w:val="nil"/>
              <w:bottom w:val="dotted" w:sz="4" w:space="0" w:color="auto"/>
              <w:right w:val="dotted" w:sz="4" w:space="0" w:color="auto"/>
            </w:tcBorders>
            <w:noWrap/>
            <w:vAlign w:val="center"/>
          </w:tcPr>
          <w:p w:rsidR="00632479" w:rsidRPr="00DF4CF3" w:rsidRDefault="00632479" w:rsidP="008216A0">
            <w:pPr>
              <w:jc w:val="center"/>
              <w:rPr>
                <w:rFonts w:ascii="Arial" w:hAnsi="Arial" w:cs="Arial"/>
                <w:b/>
                <w:bCs/>
                <w:sz w:val="16"/>
                <w:szCs w:val="16"/>
              </w:rPr>
            </w:pPr>
            <w:r w:rsidRPr="00DF4CF3">
              <w:rPr>
                <w:rFonts w:ascii="Arial" w:hAnsi="Arial" w:cs="Arial"/>
                <w:b/>
                <w:bCs/>
                <w:sz w:val="16"/>
                <w:szCs w:val="16"/>
              </w:rPr>
              <w:t>10</w:t>
            </w:r>
          </w:p>
        </w:tc>
        <w:tc>
          <w:tcPr>
            <w:tcW w:w="1030" w:type="dxa"/>
            <w:tcBorders>
              <w:top w:val="nil"/>
              <w:left w:val="nil"/>
              <w:bottom w:val="dotted" w:sz="4" w:space="0" w:color="auto"/>
              <w:right w:val="single" w:sz="4" w:space="0" w:color="auto"/>
            </w:tcBorders>
            <w:noWrap/>
            <w:vAlign w:val="center"/>
          </w:tcPr>
          <w:p w:rsidR="00632479" w:rsidRPr="00DF4CF3" w:rsidRDefault="00632479" w:rsidP="008216A0">
            <w:pPr>
              <w:jc w:val="center"/>
              <w:rPr>
                <w:rFonts w:ascii="Arial" w:hAnsi="Arial" w:cs="Arial"/>
                <w:i/>
                <w:iCs/>
                <w:sz w:val="16"/>
                <w:szCs w:val="16"/>
              </w:rPr>
            </w:pPr>
            <w:r w:rsidRPr="00DF4CF3">
              <w:rPr>
                <w:rFonts w:ascii="Arial" w:hAnsi="Arial" w:cs="Arial"/>
                <w:i/>
                <w:iCs/>
                <w:sz w:val="16"/>
                <w:szCs w:val="16"/>
              </w:rPr>
              <w:t>1</w:t>
            </w:r>
            <w:r w:rsidRPr="0039268C">
              <w:rPr>
                <w:rFonts w:ascii="Arial" w:hAnsi="Arial" w:cs="Arial"/>
                <w:i/>
                <w:iCs/>
                <w:sz w:val="16"/>
                <w:szCs w:val="16"/>
              </w:rPr>
              <w:t>4</w:t>
            </w:r>
          </w:p>
        </w:tc>
      </w:tr>
      <w:tr w:rsidR="00632479" w:rsidRPr="00DF4CF3" w:rsidTr="006A2BF3">
        <w:trPr>
          <w:trHeight w:val="300"/>
        </w:trPr>
        <w:tc>
          <w:tcPr>
            <w:tcW w:w="1858" w:type="dxa"/>
            <w:vMerge/>
            <w:tcBorders>
              <w:top w:val="single" w:sz="4" w:space="0" w:color="000000"/>
              <w:left w:val="single" w:sz="4" w:space="0" w:color="auto"/>
              <w:bottom w:val="single" w:sz="4" w:space="0" w:color="000000"/>
              <w:right w:val="single" w:sz="4" w:space="0" w:color="auto"/>
            </w:tcBorders>
            <w:vAlign w:val="center"/>
          </w:tcPr>
          <w:p w:rsidR="00632479" w:rsidRPr="00DF4CF3" w:rsidRDefault="00632479" w:rsidP="008216A0">
            <w:pPr>
              <w:rPr>
                <w:rFonts w:ascii="Arial" w:hAnsi="Arial" w:cs="Arial"/>
                <w:sz w:val="16"/>
                <w:szCs w:val="16"/>
              </w:rPr>
            </w:pPr>
          </w:p>
        </w:tc>
        <w:tc>
          <w:tcPr>
            <w:tcW w:w="1233" w:type="dxa"/>
            <w:tcBorders>
              <w:top w:val="nil"/>
              <w:left w:val="nil"/>
              <w:bottom w:val="single" w:sz="4" w:space="0" w:color="auto"/>
              <w:right w:val="single" w:sz="4" w:space="0" w:color="auto"/>
            </w:tcBorders>
            <w:noWrap/>
            <w:vAlign w:val="center"/>
          </w:tcPr>
          <w:p w:rsidR="00632479" w:rsidRPr="00DF4CF3" w:rsidRDefault="00632479" w:rsidP="008216A0">
            <w:pPr>
              <w:rPr>
                <w:rFonts w:ascii="Arial" w:hAnsi="Arial" w:cs="Arial"/>
                <w:sz w:val="16"/>
                <w:szCs w:val="16"/>
              </w:rPr>
            </w:pPr>
            <w:r w:rsidRPr="00DF4CF3">
              <w:rPr>
                <w:rFonts w:ascii="Arial" w:hAnsi="Arial" w:cs="Arial"/>
                <w:sz w:val="16"/>
                <w:szCs w:val="16"/>
              </w:rPr>
              <w:t>Východisko</w:t>
            </w:r>
          </w:p>
        </w:tc>
        <w:tc>
          <w:tcPr>
            <w:tcW w:w="496" w:type="dxa"/>
            <w:tcBorders>
              <w:top w:val="nil"/>
              <w:left w:val="nil"/>
              <w:bottom w:val="single" w:sz="4" w:space="0" w:color="auto"/>
              <w:right w:val="dotted" w:sz="4" w:space="0" w:color="auto"/>
            </w:tcBorders>
            <w:noWrap/>
            <w:vAlign w:val="center"/>
          </w:tcPr>
          <w:p w:rsidR="00632479" w:rsidRPr="00DF4CF3" w:rsidRDefault="00632479" w:rsidP="008216A0">
            <w:pPr>
              <w:jc w:val="center"/>
              <w:rPr>
                <w:rFonts w:ascii="Arial" w:hAnsi="Arial" w:cs="Arial"/>
                <w:b/>
                <w:bCs/>
                <w:sz w:val="16"/>
                <w:szCs w:val="16"/>
              </w:rPr>
            </w:pPr>
            <w:r w:rsidRPr="00DF4CF3">
              <w:rPr>
                <w:rFonts w:ascii="Arial" w:hAnsi="Arial" w:cs="Arial"/>
                <w:b/>
                <w:bCs/>
                <w:sz w:val="16"/>
                <w:szCs w:val="16"/>
              </w:rPr>
              <w:t>0</w:t>
            </w:r>
          </w:p>
        </w:tc>
        <w:tc>
          <w:tcPr>
            <w:tcW w:w="496" w:type="dxa"/>
            <w:tcBorders>
              <w:top w:val="nil"/>
              <w:left w:val="nil"/>
              <w:bottom w:val="single" w:sz="4" w:space="0" w:color="auto"/>
              <w:right w:val="dotted" w:sz="4" w:space="0" w:color="auto"/>
            </w:tcBorders>
            <w:noWrap/>
            <w:vAlign w:val="center"/>
          </w:tcPr>
          <w:p w:rsidR="00632479" w:rsidRPr="00DF4CF3" w:rsidRDefault="00632479" w:rsidP="008216A0">
            <w:pPr>
              <w:jc w:val="center"/>
              <w:rPr>
                <w:rFonts w:ascii="Arial" w:hAnsi="Arial" w:cs="Arial"/>
                <w:i/>
                <w:iCs/>
                <w:sz w:val="16"/>
                <w:szCs w:val="16"/>
              </w:rPr>
            </w:pPr>
            <w:r w:rsidRPr="00DF4CF3">
              <w:rPr>
                <w:rFonts w:ascii="Arial" w:hAnsi="Arial" w:cs="Arial"/>
                <w:i/>
                <w:iCs/>
                <w:sz w:val="16"/>
                <w:szCs w:val="16"/>
              </w:rPr>
              <w:t>N/A</w:t>
            </w:r>
          </w:p>
        </w:tc>
        <w:tc>
          <w:tcPr>
            <w:tcW w:w="496" w:type="dxa"/>
            <w:tcBorders>
              <w:top w:val="nil"/>
              <w:left w:val="nil"/>
              <w:bottom w:val="single" w:sz="4" w:space="0" w:color="auto"/>
              <w:right w:val="dotted" w:sz="4" w:space="0" w:color="auto"/>
            </w:tcBorders>
            <w:noWrap/>
            <w:vAlign w:val="center"/>
          </w:tcPr>
          <w:p w:rsidR="00632479" w:rsidRPr="00DF4CF3" w:rsidRDefault="00632479" w:rsidP="008216A0">
            <w:pPr>
              <w:jc w:val="center"/>
              <w:rPr>
                <w:rFonts w:ascii="Arial" w:hAnsi="Arial" w:cs="Arial"/>
                <w:i/>
                <w:iCs/>
                <w:sz w:val="16"/>
                <w:szCs w:val="16"/>
              </w:rPr>
            </w:pPr>
            <w:r w:rsidRPr="00DF4CF3">
              <w:rPr>
                <w:rFonts w:ascii="Arial" w:hAnsi="Arial" w:cs="Arial"/>
                <w:i/>
                <w:iCs/>
                <w:sz w:val="16"/>
                <w:szCs w:val="16"/>
              </w:rPr>
              <w:t>N/A</w:t>
            </w:r>
          </w:p>
        </w:tc>
        <w:tc>
          <w:tcPr>
            <w:tcW w:w="496" w:type="dxa"/>
            <w:tcBorders>
              <w:top w:val="nil"/>
              <w:left w:val="nil"/>
              <w:bottom w:val="single" w:sz="4" w:space="0" w:color="auto"/>
              <w:right w:val="dotted" w:sz="4" w:space="0" w:color="auto"/>
            </w:tcBorders>
            <w:noWrap/>
            <w:vAlign w:val="center"/>
          </w:tcPr>
          <w:p w:rsidR="00632479" w:rsidRPr="00DF4CF3" w:rsidRDefault="00632479" w:rsidP="008216A0">
            <w:pPr>
              <w:jc w:val="center"/>
              <w:rPr>
                <w:rFonts w:ascii="Arial" w:hAnsi="Arial" w:cs="Arial"/>
                <w:i/>
                <w:iCs/>
                <w:sz w:val="16"/>
                <w:szCs w:val="16"/>
              </w:rPr>
            </w:pPr>
            <w:r w:rsidRPr="00DF4CF3">
              <w:rPr>
                <w:rFonts w:ascii="Arial" w:hAnsi="Arial" w:cs="Arial"/>
                <w:i/>
                <w:iCs/>
                <w:sz w:val="16"/>
                <w:szCs w:val="16"/>
              </w:rPr>
              <w:t>N/A</w:t>
            </w:r>
          </w:p>
        </w:tc>
        <w:tc>
          <w:tcPr>
            <w:tcW w:w="496" w:type="dxa"/>
            <w:tcBorders>
              <w:top w:val="nil"/>
              <w:left w:val="nil"/>
              <w:bottom w:val="single" w:sz="4" w:space="0" w:color="auto"/>
              <w:right w:val="dotted" w:sz="4" w:space="0" w:color="auto"/>
            </w:tcBorders>
            <w:noWrap/>
            <w:vAlign w:val="center"/>
          </w:tcPr>
          <w:p w:rsidR="00632479" w:rsidRPr="00DF4CF3" w:rsidRDefault="00632479" w:rsidP="008216A0">
            <w:pPr>
              <w:jc w:val="center"/>
              <w:rPr>
                <w:rFonts w:ascii="Arial" w:hAnsi="Arial" w:cs="Arial"/>
                <w:i/>
                <w:iCs/>
                <w:sz w:val="16"/>
                <w:szCs w:val="16"/>
              </w:rPr>
            </w:pPr>
            <w:r w:rsidRPr="00DF4CF3">
              <w:rPr>
                <w:rFonts w:ascii="Arial" w:hAnsi="Arial" w:cs="Arial"/>
                <w:i/>
                <w:iCs/>
                <w:sz w:val="16"/>
                <w:szCs w:val="16"/>
              </w:rPr>
              <w:t>N/A</w:t>
            </w:r>
          </w:p>
        </w:tc>
        <w:tc>
          <w:tcPr>
            <w:tcW w:w="496" w:type="dxa"/>
            <w:tcBorders>
              <w:top w:val="nil"/>
              <w:left w:val="nil"/>
              <w:bottom w:val="single" w:sz="4" w:space="0" w:color="auto"/>
              <w:right w:val="dotted" w:sz="4" w:space="0" w:color="auto"/>
            </w:tcBorders>
            <w:noWrap/>
            <w:vAlign w:val="center"/>
          </w:tcPr>
          <w:p w:rsidR="00632479" w:rsidRPr="00DF4CF3" w:rsidRDefault="00632479" w:rsidP="008216A0">
            <w:pPr>
              <w:jc w:val="center"/>
              <w:rPr>
                <w:rFonts w:ascii="Arial" w:hAnsi="Arial" w:cs="Arial"/>
                <w:i/>
                <w:iCs/>
                <w:sz w:val="16"/>
                <w:szCs w:val="16"/>
              </w:rPr>
            </w:pPr>
            <w:r w:rsidRPr="00DF4CF3">
              <w:rPr>
                <w:rFonts w:ascii="Arial" w:hAnsi="Arial" w:cs="Arial"/>
                <w:i/>
                <w:iCs/>
                <w:color w:val="000000"/>
                <w:sz w:val="16"/>
                <w:szCs w:val="16"/>
              </w:rPr>
              <w:t>N/A</w:t>
            </w:r>
          </w:p>
        </w:tc>
        <w:tc>
          <w:tcPr>
            <w:tcW w:w="496" w:type="dxa"/>
            <w:tcBorders>
              <w:top w:val="nil"/>
              <w:left w:val="nil"/>
              <w:bottom w:val="single" w:sz="4" w:space="0" w:color="auto"/>
              <w:right w:val="dotted" w:sz="4" w:space="0" w:color="auto"/>
            </w:tcBorders>
            <w:noWrap/>
            <w:vAlign w:val="center"/>
          </w:tcPr>
          <w:p w:rsidR="00632479" w:rsidRPr="00DF4CF3" w:rsidRDefault="00632479" w:rsidP="008216A0">
            <w:pPr>
              <w:jc w:val="center"/>
              <w:rPr>
                <w:rFonts w:ascii="Arial" w:hAnsi="Arial" w:cs="Arial"/>
                <w:i/>
                <w:iCs/>
                <w:sz w:val="16"/>
                <w:szCs w:val="16"/>
              </w:rPr>
            </w:pPr>
            <w:r w:rsidRPr="00DF4CF3">
              <w:rPr>
                <w:rFonts w:ascii="Arial" w:hAnsi="Arial" w:cs="Arial"/>
                <w:i/>
                <w:iCs/>
                <w:sz w:val="16"/>
                <w:szCs w:val="16"/>
              </w:rPr>
              <w:t>N/A</w:t>
            </w:r>
          </w:p>
        </w:tc>
        <w:tc>
          <w:tcPr>
            <w:tcW w:w="496" w:type="dxa"/>
            <w:tcBorders>
              <w:top w:val="nil"/>
              <w:left w:val="nil"/>
              <w:bottom w:val="single" w:sz="4" w:space="0" w:color="auto"/>
              <w:right w:val="dotted" w:sz="4" w:space="0" w:color="auto"/>
            </w:tcBorders>
            <w:noWrap/>
            <w:vAlign w:val="center"/>
          </w:tcPr>
          <w:p w:rsidR="00632479" w:rsidRPr="00DF4CF3" w:rsidRDefault="00632479" w:rsidP="008216A0">
            <w:pPr>
              <w:jc w:val="center"/>
              <w:rPr>
                <w:rFonts w:ascii="Arial" w:hAnsi="Arial" w:cs="Arial"/>
                <w:i/>
                <w:iCs/>
                <w:sz w:val="16"/>
                <w:szCs w:val="16"/>
              </w:rPr>
            </w:pPr>
            <w:r w:rsidRPr="00DF4CF3">
              <w:rPr>
                <w:rFonts w:ascii="Arial" w:hAnsi="Arial" w:cs="Arial"/>
                <w:i/>
                <w:iCs/>
                <w:sz w:val="16"/>
                <w:szCs w:val="16"/>
              </w:rPr>
              <w:t>N/A</w:t>
            </w:r>
          </w:p>
        </w:tc>
        <w:tc>
          <w:tcPr>
            <w:tcW w:w="496" w:type="dxa"/>
            <w:tcBorders>
              <w:top w:val="nil"/>
              <w:left w:val="nil"/>
              <w:bottom w:val="single" w:sz="4" w:space="0" w:color="auto"/>
              <w:right w:val="dotted" w:sz="4" w:space="0" w:color="auto"/>
            </w:tcBorders>
            <w:noWrap/>
            <w:vAlign w:val="center"/>
          </w:tcPr>
          <w:p w:rsidR="00632479" w:rsidRPr="00DF4CF3" w:rsidRDefault="00632479" w:rsidP="008216A0">
            <w:pPr>
              <w:jc w:val="center"/>
              <w:rPr>
                <w:rFonts w:ascii="Arial" w:hAnsi="Arial" w:cs="Arial"/>
                <w:i/>
                <w:iCs/>
                <w:sz w:val="16"/>
                <w:szCs w:val="16"/>
              </w:rPr>
            </w:pPr>
            <w:r w:rsidRPr="00DF4CF3">
              <w:rPr>
                <w:rFonts w:ascii="Arial" w:hAnsi="Arial" w:cs="Arial"/>
                <w:i/>
                <w:iCs/>
                <w:sz w:val="16"/>
                <w:szCs w:val="16"/>
              </w:rPr>
              <w:t>N/A</w:t>
            </w:r>
          </w:p>
        </w:tc>
        <w:tc>
          <w:tcPr>
            <w:tcW w:w="585" w:type="dxa"/>
            <w:tcBorders>
              <w:top w:val="nil"/>
              <w:left w:val="nil"/>
              <w:bottom w:val="single" w:sz="4" w:space="0" w:color="auto"/>
              <w:right w:val="dotted" w:sz="4" w:space="0" w:color="auto"/>
            </w:tcBorders>
            <w:noWrap/>
            <w:vAlign w:val="center"/>
          </w:tcPr>
          <w:p w:rsidR="00632479" w:rsidRPr="00DF4CF3" w:rsidRDefault="00632479" w:rsidP="008216A0">
            <w:pPr>
              <w:jc w:val="center"/>
              <w:rPr>
                <w:rFonts w:ascii="Arial" w:hAnsi="Arial" w:cs="Arial"/>
                <w:b/>
                <w:bCs/>
                <w:sz w:val="16"/>
                <w:szCs w:val="16"/>
              </w:rPr>
            </w:pPr>
            <w:r w:rsidRPr="00DF4CF3">
              <w:rPr>
                <w:rFonts w:ascii="Arial" w:hAnsi="Arial" w:cs="Arial"/>
                <w:b/>
                <w:bCs/>
                <w:sz w:val="16"/>
                <w:szCs w:val="16"/>
              </w:rPr>
              <w:t>0</w:t>
            </w:r>
          </w:p>
        </w:tc>
        <w:tc>
          <w:tcPr>
            <w:tcW w:w="1030" w:type="dxa"/>
            <w:tcBorders>
              <w:top w:val="nil"/>
              <w:left w:val="nil"/>
              <w:bottom w:val="single" w:sz="4" w:space="0" w:color="auto"/>
              <w:right w:val="single" w:sz="4" w:space="0" w:color="auto"/>
            </w:tcBorders>
            <w:noWrap/>
            <w:vAlign w:val="center"/>
          </w:tcPr>
          <w:p w:rsidR="00632479" w:rsidRPr="00DF4CF3" w:rsidRDefault="00632479" w:rsidP="008216A0">
            <w:pPr>
              <w:jc w:val="center"/>
              <w:rPr>
                <w:rFonts w:ascii="Arial" w:hAnsi="Arial" w:cs="Arial"/>
                <w:sz w:val="16"/>
                <w:szCs w:val="16"/>
              </w:rPr>
            </w:pPr>
          </w:p>
        </w:tc>
      </w:tr>
      <w:tr w:rsidR="002416B1" w:rsidRPr="00DF4CF3" w:rsidTr="006A2BF3">
        <w:trPr>
          <w:trHeight w:val="300"/>
        </w:trPr>
        <w:tc>
          <w:tcPr>
            <w:tcW w:w="1858" w:type="dxa"/>
            <w:vMerge w:val="restart"/>
            <w:tcBorders>
              <w:top w:val="single" w:sz="4" w:space="0" w:color="000000"/>
              <w:left w:val="single" w:sz="4" w:space="0" w:color="auto"/>
              <w:bottom w:val="single" w:sz="4" w:space="0" w:color="000000"/>
              <w:right w:val="single" w:sz="4" w:space="0" w:color="auto"/>
            </w:tcBorders>
            <w:vAlign w:val="center"/>
          </w:tcPr>
          <w:p w:rsidR="002416B1" w:rsidRDefault="002416B1" w:rsidP="008216A0">
            <w:pPr>
              <w:rPr>
                <w:rFonts w:ascii="Arial" w:hAnsi="Arial" w:cs="Arial"/>
                <w:sz w:val="16"/>
                <w:szCs w:val="16"/>
              </w:rPr>
            </w:pPr>
            <w:r w:rsidRPr="00DF4CF3">
              <w:rPr>
                <w:rFonts w:ascii="Arial" w:hAnsi="Arial" w:cs="Arial"/>
                <w:sz w:val="16"/>
                <w:szCs w:val="16"/>
              </w:rPr>
              <w:t xml:space="preserve">Počet druhov rastlín a živočíchov a typov biotopov, ktoré sú súčasťou informačného systému monitoringu biotopov a druhov </w:t>
            </w:r>
            <w:r w:rsidR="0046010F" w:rsidRPr="00DF4CF3">
              <w:rPr>
                <w:rFonts w:ascii="Arial" w:hAnsi="Arial" w:cs="Arial"/>
                <w:sz w:val="16"/>
                <w:szCs w:val="16"/>
              </w:rPr>
              <w:t xml:space="preserve"> [počet]</w:t>
            </w:r>
          </w:p>
          <w:p w:rsidR="000D360F" w:rsidRPr="00DF4CF3" w:rsidRDefault="000D360F" w:rsidP="008216A0">
            <w:pPr>
              <w:rPr>
                <w:rFonts w:ascii="Arial" w:hAnsi="Arial" w:cs="Arial"/>
                <w:sz w:val="16"/>
                <w:szCs w:val="16"/>
              </w:rPr>
            </w:pPr>
            <w:r>
              <w:rPr>
                <w:rFonts w:ascii="Arial" w:hAnsi="Arial" w:cs="Arial"/>
                <w:sz w:val="16"/>
                <w:szCs w:val="16"/>
              </w:rPr>
              <w:t>dopad</w:t>
            </w:r>
          </w:p>
        </w:tc>
        <w:tc>
          <w:tcPr>
            <w:tcW w:w="1233" w:type="dxa"/>
            <w:tcBorders>
              <w:top w:val="nil"/>
              <w:left w:val="nil"/>
              <w:bottom w:val="dotted" w:sz="4" w:space="0" w:color="auto"/>
              <w:right w:val="single" w:sz="4" w:space="0" w:color="auto"/>
            </w:tcBorders>
            <w:noWrap/>
            <w:vAlign w:val="center"/>
          </w:tcPr>
          <w:p w:rsidR="002416B1" w:rsidRPr="00DF4CF3" w:rsidRDefault="002416B1" w:rsidP="008216A0">
            <w:pPr>
              <w:rPr>
                <w:rFonts w:ascii="Arial" w:hAnsi="Arial" w:cs="Arial"/>
                <w:sz w:val="16"/>
                <w:szCs w:val="16"/>
              </w:rPr>
            </w:pPr>
            <w:r w:rsidRPr="00DF4CF3">
              <w:rPr>
                <w:rFonts w:ascii="Arial" w:hAnsi="Arial" w:cs="Arial"/>
                <w:sz w:val="16"/>
                <w:szCs w:val="16"/>
              </w:rPr>
              <w:t>Dosiahnutý výsledok</w:t>
            </w:r>
          </w:p>
        </w:tc>
        <w:tc>
          <w:tcPr>
            <w:tcW w:w="496" w:type="dxa"/>
            <w:tcBorders>
              <w:top w:val="nil"/>
              <w:left w:val="nil"/>
              <w:bottom w:val="dotted" w:sz="4" w:space="0" w:color="auto"/>
              <w:right w:val="dotted" w:sz="4" w:space="0" w:color="auto"/>
            </w:tcBorders>
            <w:noWrap/>
            <w:vAlign w:val="center"/>
          </w:tcPr>
          <w:p w:rsidR="002416B1" w:rsidRPr="00DF4CF3" w:rsidRDefault="002416B1" w:rsidP="008216A0">
            <w:pPr>
              <w:jc w:val="center"/>
              <w:rPr>
                <w:rFonts w:ascii="Arial" w:hAnsi="Arial" w:cs="Arial"/>
                <w:b/>
                <w:bCs/>
                <w:sz w:val="16"/>
                <w:szCs w:val="16"/>
              </w:rPr>
            </w:pPr>
            <w:r w:rsidRPr="00DF4CF3">
              <w:rPr>
                <w:rFonts w:ascii="Arial" w:hAnsi="Arial" w:cs="Arial"/>
                <w:b/>
                <w:bCs/>
                <w:sz w:val="16"/>
                <w:szCs w:val="16"/>
              </w:rPr>
              <w:t>0</w:t>
            </w:r>
          </w:p>
        </w:tc>
        <w:tc>
          <w:tcPr>
            <w:tcW w:w="496" w:type="dxa"/>
            <w:tcBorders>
              <w:top w:val="nil"/>
              <w:left w:val="nil"/>
              <w:bottom w:val="dotted" w:sz="4" w:space="0" w:color="auto"/>
              <w:right w:val="dotted" w:sz="4" w:space="0" w:color="auto"/>
            </w:tcBorders>
            <w:noWrap/>
            <w:vAlign w:val="center"/>
          </w:tcPr>
          <w:p w:rsidR="002416B1" w:rsidRPr="00DF4CF3" w:rsidRDefault="002416B1" w:rsidP="008216A0">
            <w:pPr>
              <w:jc w:val="center"/>
              <w:rPr>
                <w:rFonts w:ascii="Arial" w:hAnsi="Arial" w:cs="Arial"/>
                <w:b/>
                <w:bCs/>
                <w:sz w:val="16"/>
                <w:szCs w:val="16"/>
              </w:rPr>
            </w:pPr>
            <w:r w:rsidRPr="00DF4CF3">
              <w:rPr>
                <w:rFonts w:ascii="Arial" w:hAnsi="Arial" w:cs="Arial"/>
                <w:b/>
                <w:bCs/>
                <w:sz w:val="16"/>
                <w:szCs w:val="16"/>
              </w:rPr>
              <w:t>0</w:t>
            </w:r>
          </w:p>
        </w:tc>
        <w:tc>
          <w:tcPr>
            <w:tcW w:w="496" w:type="dxa"/>
            <w:tcBorders>
              <w:top w:val="nil"/>
              <w:left w:val="nil"/>
              <w:bottom w:val="dotted" w:sz="4" w:space="0" w:color="auto"/>
              <w:right w:val="dotted" w:sz="4" w:space="0" w:color="auto"/>
            </w:tcBorders>
            <w:noWrap/>
            <w:vAlign w:val="center"/>
          </w:tcPr>
          <w:p w:rsidR="002416B1" w:rsidRPr="00DF4CF3" w:rsidRDefault="002416B1" w:rsidP="008216A0">
            <w:pPr>
              <w:jc w:val="center"/>
              <w:rPr>
                <w:rFonts w:ascii="Arial" w:hAnsi="Arial" w:cs="Arial"/>
                <w:b/>
                <w:bCs/>
                <w:sz w:val="16"/>
                <w:szCs w:val="16"/>
              </w:rPr>
            </w:pPr>
            <w:r w:rsidRPr="00DF4CF3">
              <w:rPr>
                <w:rFonts w:ascii="Arial" w:hAnsi="Arial" w:cs="Arial"/>
                <w:b/>
                <w:bCs/>
                <w:sz w:val="16"/>
                <w:szCs w:val="16"/>
              </w:rPr>
              <w:t>0</w:t>
            </w:r>
          </w:p>
        </w:tc>
        <w:tc>
          <w:tcPr>
            <w:tcW w:w="496" w:type="dxa"/>
            <w:tcBorders>
              <w:top w:val="nil"/>
              <w:left w:val="nil"/>
              <w:bottom w:val="dotted" w:sz="4" w:space="0" w:color="auto"/>
              <w:right w:val="dotted" w:sz="4" w:space="0" w:color="auto"/>
            </w:tcBorders>
            <w:noWrap/>
            <w:vAlign w:val="center"/>
          </w:tcPr>
          <w:p w:rsidR="002416B1" w:rsidRPr="00DF4CF3" w:rsidRDefault="002416B1" w:rsidP="008216A0">
            <w:pPr>
              <w:jc w:val="center"/>
              <w:rPr>
                <w:rFonts w:ascii="Arial" w:hAnsi="Arial" w:cs="Arial"/>
                <w:b/>
                <w:bCs/>
                <w:sz w:val="16"/>
                <w:szCs w:val="16"/>
              </w:rPr>
            </w:pPr>
            <w:r w:rsidRPr="00DF4CF3">
              <w:rPr>
                <w:rFonts w:ascii="Arial" w:hAnsi="Arial" w:cs="Arial"/>
                <w:b/>
                <w:bCs/>
                <w:sz w:val="16"/>
                <w:szCs w:val="16"/>
              </w:rPr>
              <w:t>0</w:t>
            </w:r>
          </w:p>
        </w:tc>
        <w:tc>
          <w:tcPr>
            <w:tcW w:w="496" w:type="dxa"/>
            <w:tcBorders>
              <w:top w:val="nil"/>
              <w:left w:val="nil"/>
              <w:bottom w:val="dotted" w:sz="4" w:space="0" w:color="auto"/>
              <w:right w:val="dotted" w:sz="4" w:space="0" w:color="auto"/>
            </w:tcBorders>
            <w:noWrap/>
            <w:vAlign w:val="center"/>
          </w:tcPr>
          <w:p w:rsidR="002416B1" w:rsidRPr="00DF4CF3" w:rsidRDefault="002416B1" w:rsidP="008216A0">
            <w:pPr>
              <w:jc w:val="center"/>
              <w:rPr>
                <w:rFonts w:ascii="Arial" w:hAnsi="Arial" w:cs="Arial"/>
                <w:b/>
                <w:bCs/>
                <w:sz w:val="16"/>
                <w:szCs w:val="16"/>
              </w:rPr>
            </w:pPr>
            <w:r w:rsidRPr="00DF4CF3">
              <w:rPr>
                <w:rFonts w:ascii="Arial" w:hAnsi="Arial" w:cs="Arial"/>
                <w:b/>
                <w:bCs/>
                <w:sz w:val="16"/>
                <w:szCs w:val="16"/>
              </w:rPr>
              <w:t>0</w:t>
            </w:r>
          </w:p>
        </w:tc>
        <w:tc>
          <w:tcPr>
            <w:tcW w:w="496" w:type="dxa"/>
            <w:tcBorders>
              <w:top w:val="nil"/>
              <w:left w:val="nil"/>
              <w:bottom w:val="dotted" w:sz="4" w:space="0" w:color="auto"/>
              <w:right w:val="dotted" w:sz="4" w:space="0" w:color="auto"/>
            </w:tcBorders>
            <w:noWrap/>
            <w:vAlign w:val="center"/>
          </w:tcPr>
          <w:p w:rsidR="002416B1" w:rsidRPr="00C03EF2" w:rsidRDefault="00632479" w:rsidP="008216A0">
            <w:pPr>
              <w:jc w:val="center"/>
              <w:rPr>
                <w:rFonts w:ascii="Arial" w:hAnsi="Arial" w:cs="Arial"/>
                <w:i/>
                <w:iCs/>
                <w:sz w:val="16"/>
                <w:szCs w:val="16"/>
              </w:rPr>
            </w:pPr>
            <w:r w:rsidRPr="0039268C">
              <w:rPr>
                <w:rFonts w:ascii="Arial" w:hAnsi="Arial" w:cs="Arial"/>
                <w:i/>
                <w:iCs/>
                <w:sz w:val="16"/>
                <w:szCs w:val="16"/>
              </w:rPr>
              <w:t>0</w:t>
            </w:r>
          </w:p>
        </w:tc>
        <w:tc>
          <w:tcPr>
            <w:tcW w:w="496" w:type="dxa"/>
            <w:tcBorders>
              <w:top w:val="nil"/>
              <w:left w:val="nil"/>
              <w:bottom w:val="dotted" w:sz="4" w:space="0" w:color="auto"/>
              <w:right w:val="dotted" w:sz="4" w:space="0" w:color="auto"/>
            </w:tcBorders>
            <w:noWrap/>
            <w:vAlign w:val="center"/>
          </w:tcPr>
          <w:p w:rsidR="002416B1" w:rsidRPr="00DF4CF3" w:rsidRDefault="002416B1" w:rsidP="008216A0">
            <w:pPr>
              <w:jc w:val="center"/>
              <w:rPr>
                <w:rFonts w:ascii="Arial" w:hAnsi="Arial" w:cs="Arial"/>
                <w:i/>
                <w:iCs/>
                <w:sz w:val="16"/>
                <w:szCs w:val="16"/>
              </w:rPr>
            </w:pPr>
            <w:r w:rsidRPr="00DF4CF3">
              <w:rPr>
                <w:rFonts w:ascii="Arial" w:hAnsi="Arial" w:cs="Arial"/>
                <w:i/>
                <w:iCs/>
                <w:sz w:val="16"/>
                <w:szCs w:val="16"/>
              </w:rPr>
              <w:t>N/A</w:t>
            </w:r>
          </w:p>
        </w:tc>
        <w:tc>
          <w:tcPr>
            <w:tcW w:w="496" w:type="dxa"/>
            <w:tcBorders>
              <w:top w:val="nil"/>
              <w:left w:val="nil"/>
              <w:bottom w:val="dotted" w:sz="4" w:space="0" w:color="auto"/>
              <w:right w:val="dotted" w:sz="4" w:space="0" w:color="auto"/>
            </w:tcBorders>
            <w:noWrap/>
            <w:vAlign w:val="center"/>
          </w:tcPr>
          <w:p w:rsidR="002416B1" w:rsidRPr="00DF4CF3" w:rsidRDefault="002416B1" w:rsidP="008216A0">
            <w:pPr>
              <w:jc w:val="center"/>
              <w:rPr>
                <w:rFonts w:ascii="Arial" w:hAnsi="Arial" w:cs="Arial"/>
                <w:i/>
                <w:iCs/>
                <w:sz w:val="16"/>
                <w:szCs w:val="16"/>
              </w:rPr>
            </w:pPr>
            <w:r w:rsidRPr="00DF4CF3">
              <w:rPr>
                <w:rFonts w:ascii="Arial" w:hAnsi="Arial" w:cs="Arial"/>
                <w:i/>
                <w:iCs/>
                <w:sz w:val="16"/>
                <w:szCs w:val="16"/>
              </w:rPr>
              <w:t>N/A</w:t>
            </w:r>
          </w:p>
        </w:tc>
        <w:tc>
          <w:tcPr>
            <w:tcW w:w="496" w:type="dxa"/>
            <w:tcBorders>
              <w:top w:val="nil"/>
              <w:left w:val="nil"/>
              <w:bottom w:val="dotted" w:sz="4" w:space="0" w:color="auto"/>
              <w:right w:val="dotted" w:sz="4" w:space="0" w:color="auto"/>
            </w:tcBorders>
            <w:noWrap/>
            <w:vAlign w:val="center"/>
          </w:tcPr>
          <w:p w:rsidR="002416B1" w:rsidRPr="00DF4CF3" w:rsidRDefault="002416B1" w:rsidP="008216A0">
            <w:pPr>
              <w:jc w:val="center"/>
              <w:rPr>
                <w:rFonts w:ascii="Arial" w:hAnsi="Arial" w:cs="Arial"/>
                <w:i/>
                <w:iCs/>
                <w:sz w:val="16"/>
                <w:szCs w:val="16"/>
              </w:rPr>
            </w:pPr>
            <w:r w:rsidRPr="00DF4CF3">
              <w:rPr>
                <w:rFonts w:ascii="Arial" w:hAnsi="Arial" w:cs="Arial"/>
                <w:i/>
                <w:iCs/>
                <w:sz w:val="16"/>
                <w:szCs w:val="16"/>
              </w:rPr>
              <w:t>N/A</w:t>
            </w:r>
          </w:p>
        </w:tc>
        <w:tc>
          <w:tcPr>
            <w:tcW w:w="585" w:type="dxa"/>
            <w:tcBorders>
              <w:top w:val="nil"/>
              <w:left w:val="nil"/>
              <w:bottom w:val="dotted" w:sz="4" w:space="0" w:color="auto"/>
              <w:right w:val="dotted" w:sz="4" w:space="0" w:color="auto"/>
            </w:tcBorders>
            <w:noWrap/>
            <w:vAlign w:val="center"/>
          </w:tcPr>
          <w:p w:rsidR="002416B1" w:rsidRPr="00DF4CF3" w:rsidRDefault="002416B1" w:rsidP="008216A0">
            <w:pPr>
              <w:jc w:val="center"/>
              <w:rPr>
                <w:rFonts w:ascii="Arial" w:hAnsi="Arial" w:cs="Arial"/>
                <w:b/>
                <w:bCs/>
                <w:sz w:val="16"/>
                <w:szCs w:val="16"/>
              </w:rPr>
            </w:pPr>
            <w:r w:rsidRPr="00DF4CF3">
              <w:rPr>
                <w:rFonts w:ascii="Arial" w:hAnsi="Arial" w:cs="Arial"/>
                <w:b/>
                <w:bCs/>
                <w:sz w:val="16"/>
                <w:szCs w:val="16"/>
              </w:rPr>
              <w:t>0</w:t>
            </w:r>
          </w:p>
        </w:tc>
        <w:tc>
          <w:tcPr>
            <w:tcW w:w="1030" w:type="dxa"/>
            <w:tcBorders>
              <w:top w:val="nil"/>
              <w:left w:val="nil"/>
              <w:bottom w:val="dotted" w:sz="4" w:space="0" w:color="auto"/>
              <w:right w:val="single" w:sz="4" w:space="0" w:color="auto"/>
            </w:tcBorders>
            <w:noWrap/>
            <w:vAlign w:val="center"/>
          </w:tcPr>
          <w:p w:rsidR="002416B1" w:rsidRPr="00DF4CF3" w:rsidRDefault="002416B1" w:rsidP="008216A0">
            <w:pPr>
              <w:jc w:val="center"/>
              <w:rPr>
                <w:rFonts w:ascii="Arial" w:hAnsi="Arial" w:cs="Arial"/>
                <w:sz w:val="16"/>
                <w:szCs w:val="16"/>
              </w:rPr>
            </w:pPr>
          </w:p>
        </w:tc>
      </w:tr>
      <w:tr w:rsidR="002416B1" w:rsidRPr="00DF4CF3" w:rsidTr="006A2BF3">
        <w:trPr>
          <w:trHeight w:val="300"/>
        </w:trPr>
        <w:tc>
          <w:tcPr>
            <w:tcW w:w="1858" w:type="dxa"/>
            <w:vMerge/>
            <w:tcBorders>
              <w:top w:val="single" w:sz="4" w:space="0" w:color="000000"/>
              <w:left w:val="single" w:sz="4" w:space="0" w:color="auto"/>
              <w:bottom w:val="single" w:sz="4" w:space="0" w:color="000000"/>
              <w:right w:val="single" w:sz="4" w:space="0" w:color="auto"/>
            </w:tcBorders>
            <w:vAlign w:val="center"/>
          </w:tcPr>
          <w:p w:rsidR="002416B1" w:rsidRPr="00DF4CF3" w:rsidRDefault="002416B1" w:rsidP="008216A0">
            <w:pPr>
              <w:rPr>
                <w:rFonts w:ascii="Arial" w:hAnsi="Arial" w:cs="Arial"/>
                <w:sz w:val="16"/>
                <w:szCs w:val="16"/>
              </w:rPr>
            </w:pPr>
          </w:p>
        </w:tc>
        <w:tc>
          <w:tcPr>
            <w:tcW w:w="1233" w:type="dxa"/>
            <w:tcBorders>
              <w:top w:val="nil"/>
              <w:left w:val="nil"/>
              <w:bottom w:val="dotted" w:sz="4" w:space="0" w:color="auto"/>
              <w:right w:val="single" w:sz="4" w:space="0" w:color="auto"/>
            </w:tcBorders>
            <w:noWrap/>
            <w:vAlign w:val="center"/>
          </w:tcPr>
          <w:p w:rsidR="002416B1" w:rsidRPr="00DF4CF3" w:rsidRDefault="002416B1" w:rsidP="008216A0">
            <w:pPr>
              <w:rPr>
                <w:rFonts w:ascii="Arial" w:hAnsi="Arial" w:cs="Arial"/>
                <w:sz w:val="16"/>
                <w:szCs w:val="16"/>
              </w:rPr>
            </w:pPr>
            <w:r w:rsidRPr="00DF4CF3">
              <w:rPr>
                <w:rFonts w:ascii="Arial" w:hAnsi="Arial" w:cs="Arial"/>
                <w:sz w:val="16"/>
                <w:szCs w:val="16"/>
              </w:rPr>
              <w:t>Cieľ</w:t>
            </w:r>
          </w:p>
        </w:tc>
        <w:tc>
          <w:tcPr>
            <w:tcW w:w="496" w:type="dxa"/>
            <w:tcBorders>
              <w:top w:val="nil"/>
              <w:left w:val="nil"/>
              <w:bottom w:val="dotted" w:sz="4" w:space="0" w:color="auto"/>
              <w:right w:val="dotted" w:sz="4" w:space="0" w:color="auto"/>
            </w:tcBorders>
            <w:noWrap/>
            <w:vAlign w:val="center"/>
          </w:tcPr>
          <w:p w:rsidR="002416B1" w:rsidRPr="00DF4CF3" w:rsidRDefault="002416B1" w:rsidP="008216A0">
            <w:pPr>
              <w:jc w:val="center"/>
              <w:rPr>
                <w:rFonts w:ascii="Arial" w:hAnsi="Arial" w:cs="Arial"/>
                <w:i/>
                <w:iCs/>
                <w:sz w:val="16"/>
                <w:szCs w:val="16"/>
              </w:rPr>
            </w:pPr>
            <w:r w:rsidRPr="00DF4CF3">
              <w:rPr>
                <w:rFonts w:ascii="Arial" w:hAnsi="Arial" w:cs="Arial"/>
                <w:i/>
                <w:iCs/>
                <w:sz w:val="16"/>
                <w:szCs w:val="16"/>
              </w:rPr>
              <w:t>N/A</w:t>
            </w:r>
          </w:p>
        </w:tc>
        <w:tc>
          <w:tcPr>
            <w:tcW w:w="496" w:type="dxa"/>
            <w:tcBorders>
              <w:top w:val="nil"/>
              <w:left w:val="nil"/>
              <w:bottom w:val="dotted" w:sz="4" w:space="0" w:color="auto"/>
              <w:right w:val="dotted" w:sz="4" w:space="0" w:color="auto"/>
            </w:tcBorders>
            <w:noWrap/>
            <w:vAlign w:val="center"/>
          </w:tcPr>
          <w:p w:rsidR="002416B1" w:rsidRPr="00DF4CF3" w:rsidRDefault="002416B1" w:rsidP="008216A0">
            <w:pPr>
              <w:jc w:val="center"/>
              <w:rPr>
                <w:rFonts w:ascii="Arial" w:hAnsi="Arial" w:cs="Arial"/>
                <w:i/>
                <w:iCs/>
                <w:sz w:val="16"/>
                <w:szCs w:val="16"/>
              </w:rPr>
            </w:pPr>
            <w:r w:rsidRPr="00DF4CF3">
              <w:rPr>
                <w:rFonts w:ascii="Arial" w:hAnsi="Arial" w:cs="Arial"/>
                <w:i/>
                <w:iCs/>
                <w:sz w:val="16"/>
                <w:szCs w:val="16"/>
              </w:rPr>
              <w:t>N/A</w:t>
            </w:r>
          </w:p>
        </w:tc>
        <w:tc>
          <w:tcPr>
            <w:tcW w:w="496" w:type="dxa"/>
            <w:tcBorders>
              <w:top w:val="nil"/>
              <w:left w:val="nil"/>
              <w:bottom w:val="dotted" w:sz="4" w:space="0" w:color="auto"/>
              <w:right w:val="dotted" w:sz="4" w:space="0" w:color="auto"/>
            </w:tcBorders>
            <w:noWrap/>
            <w:vAlign w:val="center"/>
          </w:tcPr>
          <w:p w:rsidR="002416B1" w:rsidRPr="00DF4CF3" w:rsidRDefault="002416B1" w:rsidP="008216A0">
            <w:pPr>
              <w:jc w:val="center"/>
              <w:rPr>
                <w:rFonts w:ascii="Arial" w:hAnsi="Arial" w:cs="Arial"/>
                <w:i/>
                <w:iCs/>
                <w:sz w:val="16"/>
                <w:szCs w:val="16"/>
              </w:rPr>
            </w:pPr>
            <w:r w:rsidRPr="00DF4CF3">
              <w:rPr>
                <w:rFonts w:ascii="Arial" w:hAnsi="Arial" w:cs="Arial"/>
                <w:i/>
                <w:iCs/>
                <w:sz w:val="16"/>
                <w:szCs w:val="16"/>
              </w:rPr>
              <w:t>N/A</w:t>
            </w:r>
          </w:p>
        </w:tc>
        <w:tc>
          <w:tcPr>
            <w:tcW w:w="496" w:type="dxa"/>
            <w:tcBorders>
              <w:top w:val="nil"/>
              <w:left w:val="nil"/>
              <w:bottom w:val="dotted" w:sz="4" w:space="0" w:color="auto"/>
              <w:right w:val="dotted" w:sz="4" w:space="0" w:color="auto"/>
            </w:tcBorders>
            <w:noWrap/>
            <w:vAlign w:val="center"/>
          </w:tcPr>
          <w:p w:rsidR="002416B1" w:rsidRPr="00DF4CF3" w:rsidRDefault="002416B1" w:rsidP="008216A0">
            <w:pPr>
              <w:jc w:val="center"/>
              <w:rPr>
                <w:rFonts w:ascii="Arial" w:hAnsi="Arial" w:cs="Arial"/>
                <w:i/>
                <w:iCs/>
                <w:sz w:val="16"/>
                <w:szCs w:val="16"/>
              </w:rPr>
            </w:pPr>
            <w:r w:rsidRPr="00DF4CF3">
              <w:rPr>
                <w:rFonts w:ascii="Arial" w:hAnsi="Arial" w:cs="Arial"/>
                <w:i/>
                <w:iCs/>
                <w:sz w:val="16"/>
                <w:szCs w:val="16"/>
              </w:rPr>
              <w:t>N/A</w:t>
            </w:r>
          </w:p>
        </w:tc>
        <w:tc>
          <w:tcPr>
            <w:tcW w:w="496" w:type="dxa"/>
            <w:tcBorders>
              <w:top w:val="nil"/>
              <w:left w:val="nil"/>
              <w:bottom w:val="dotted" w:sz="4" w:space="0" w:color="auto"/>
              <w:right w:val="dotted" w:sz="4" w:space="0" w:color="auto"/>
            </w:tcBorders>
            <w:noWrap/>
            <w:vAlign w:val="center"/>
          </w:tcPr>
          <w:p w:rsidR="002416B1" w:rsidRPr="00DF4CF3" w:rsidRDefault="002416B1" w:rsidP="008216A0">
            <w:pPr>
              <w:jc w:val="center"/>
              <w:rPr>
                <w:rFonts w:ascii="Arial" w:hAnsi="Arial" w:cs="Arial"/>
                <w:i/>
                <w:iCs/>
                <w:sz w:val="16"/>
                <w:szCs w:val="16"/>
              </w:rPr>
            </w:pPr>
            <w:r w:rsidRPr="00DF4CF3">
              <w:rPr>
                <w:rFonts w:ascii="Arial" w:hAnsi="Arial" w:cs="Arial"/>
                <w:i/>
                <w:iCs/>
                <w:sz w:val="16"/>
                <w:szCs w:val="16"/>
              </w:rPr>
              <w:t>N/A</w:t>
            </w:r>
          </w:p>
        </w:tc>
        <w:tc>
          <w:tcPr>
            <w:tcW w:w="496" w:type="dxa"/>
            <w:tcBorders>
              <w:top w:val="nil"/>
              <w:left w:val="nil"/>
              <w:bottom w:val="dotted" w:sz="4" w:space="0" w:color="auto"/>
              <w:right w:val="dotted" w:sz="4" w:space="0" w:color="auto"/>
            </w:tcBorders>
            <w:noWrap/>
            <w:vAlign w:val="center"/>
          </w:tcPr>
          <w:p w:rsidR="002416B1" w:rsidRPr="00DF4CF3" w:rsidRDefault="002416B1" w:rsidP="008216A0">
            <w:pPr>
              <w:jc w:val="center"/>
              <w:rPr>
                <w:rFonts w:ascii="Arial" w:hAnsi="Arial" w:cs="Arial"/>
                <w:i/>
                <w:iCs/>
                <w:sz w:val="16"/>
                <w:szCs w:val="16"/>
              </w:rPr>
            </w:pPr>
            <w:r w:rsidRPr="00DF4CF3">
              <w:rPr>
                <w:rFonts w:ascii="Arial" w:hAnsi="Arial" w:cs="Arial"/>
                <w:i/>
                <w:iCs/>
                <w:sz w:val="16"/>
                <w:szCs w:val="16"/>
              </w:rPr>
              <w:t>N/A</w:t>
            </w:r>
          </w:p>
        </w:tc>
        <w:tc>
          <w:tcPr>
            <w:tcW w:w="496" w:type="dxa"/>
            <w:tcBorders>
              <w:top w:val="nil"/>
              <w:left w:val="nil"/>
              <w:bottom w:val="dotted" w:sz="4" w:space="0" w:color="auto"/>
              <w:right w:val="dotted" w:sz="4" w:space="0" w:color="auto"/>
            </w:tcBorders>
            <w:noWrap/>
            <w:vAlign w:val="center"/>
          </w:tcPr>
          <w:p w:rsidR="002416B1" w:rsidRPr="00DF4CF3" w:rsidRDefault="002416B1" w:rsidP="008216A0">
            <w:pPr>
              <w:jc w:val="center"/>
              <w:rPr>
                <w:rFonts w:ascii="Arial" w:hAnsi="Arial" w:cs="Arial"/>
                <w:i/>
                <w:iCs/>
                <w:sz w:val="16"/>
                <w:szCs w:val="16"/>
              </w:rPr>
            </w:pPr>
            <w:r w:rsidRPr="00DF4CF3">
              <w:rPr>
                <w:rFonts w:ascii="Arial" w:hAnsi="Arial" w:cs="Arial"/>
                <w:i/>
                <w:iCs/>
                <w:sz w:val="16"/>
                <w:szCs w:val="16"/>
              </w:rPr>
              <w:t>N/A</w:t>
            </w:r>
          </w:p>
        </w:tc>
        <w:tc>
          <w:tcPr>
            <w:tcW w:w="496" w:type="dxa"/>
            <w:tcBorders>
              <w:top w:val="nil"/>
              <w:left w:val="nil"/>
              <w:bottom w:val="dotted" w:sz="4" w:space="0" w:color="auto"/>
              <w:right w:val="dotted" w:sz="4" w:space="0" w:color="auto"/>
            </w:tcBorders>
            <w:noWrap/>
            <w:vAlign w:val="center"/>
          </w:tcPr>
          <w:p w:rsidR="002416B1" w:rsidRPr="00DF4CF3" w:rsidRDefault="002416B1" w:rsidP="008216A0">
            <w:pPr>
              <w:jc w:val="center"/>
              <w:rPr>
                <w:rFonts w:ascii="Arial" w:hAnsi="Arial" w:cs="Arial"/>
                <w:i/>
                <w:iCs/>
                <w:sz w:val="16"/>
                <w:szCs w:val="16"/>
              </w:rPr>
            </w:pPr>
            <w:r w:rsidRPr="00DF4CF3">
              <w:rPr>
                <w:rFonts w:ascii="Arial" w:hAnsi="Arial" w:cs="Arial"/>
                <w:i/>
                <w:iCs/>
                <w:sz w:val="16"/>
                <w:szCs w:val="16"/>
              </w:rPr>
              <w:t>N/A</w:t>
            </w:r>
          </w:p>
        </w:tc>
        <w:tc>
          <w:tcPr>
            <w:tcW w:w="496" w:type="dxa"/>
            <w:tcBorders>
              <w:top w:val="nil"/>
              <w:left w:val="nil"/>
              <w:bottom w:val="dotted" w:sz="4" w:space="0" w:color="auto"/>
              <w:right w:val="dotted" w:sz="4" w:space="0" w:color="auto"/>
            </w:tcBorders>
            <w:noWrap/>
            <w:vAlign w:val="center"/>
          </w:tcPr>
          <w:p w:rsidR="002416B1" w:rsidRPr="00DF4CF3" w:rsidRDefault="00C3279F" w:rsidP="008216A0">
            <w:pPr>
              <w:jc w:val="center"/>
              <w:rPr>
                <w:rFonts w:ascii="Arial" w:hAnsi="Arial" w:cs="Arial"/>
                <w:b/>
                <w:bCs/>
                <w:sz w:val="16"/>
                <w:szCs w:val="16"/>
              </w:rPr>
            </w:pPr>
            <w:r w:rsidRPr="00DF4CF3">
              <w:rPr>
                <w:rFonts w:ascii="Arial" w:hAnsi="Arial" w:cs="Arial"/>
                <w:b/>
                <w:bCs/>
                <w:sz w:val="16"/>
                <w:szCs w:val="16"/>
              </w:rPr>
              <w:t>350</w:t>
            </w:r>
          </w:p>
        </w:tc>
        <w:tc>
          <w:tcPr>
            <w:tcW w:w="585" w:type="dxa"/>
            <w:tcBorders>
              <w:top w:val="nil"/>
              <w:left w:val="nil"/>
              <w:bottom w:val="dotted" w:sz="4" w:space="0" w:color="auto"/>
              <w:right w:val="dotted" w:sz="4" w:space="0" w:color="auto"/>
            </w:tcBorders>
            <w:noWrap/>
            <w:vAlign w:val="center"/>
          </w:tcPr>
          <w:p w:rsidR="002416B1" w:rsidRPr="00DF4CF3" w:rsidRDefault="00C3279F" w:rsidP="008216A0">
            <w:pPr>
              <w:jc w:val="center"/>
              <w:rPr>
                <w:rFonts w:ascii="Arial" w:hAnsi="Arial" w:cs="Arial"/>
                <w:b/>
                <w:bCs/>
                <w:sz w:val="16"/>
                <w:szCs w:val="16"/>
              </w:rPr>
            </w:pPr>
            <w:r w:rsidRPr="00DF4CF3">
              <w:rPr>
                <w:rFonts w:ascii="Arial" w:hAnsi="Arial" w:cs="Arial"/>
                <w:b/>
                <w:bCs/>
                <w:sz w:val="16"/>
                <w:szCs w:val="16"/>
              </w:rPr>
              <w:t>350</w:t>
            </w:r>
          </w:p>
        </w:tc>
        <w:tc>
          <w:tcPr>
            <w:tcW w:w="1030" w:type="dxa"/>
            <w:tcBorders>
              <w:top w:val="nil"/>
              <w:left w:val="nil"/>
              <w:bottom w:val="dotted" w:sz="4" w:space="0" w:color="auto"/>
              <w:right w:val="single" w:sz="4" w:space="0" w:color="auto"/>
            </w:tcBorders>
            <w:noWrap/>
            <w:vAlign w:val="center"/>
          </w:tcPr>
          <w:p w:rsidR="002416B1" w:rsidRPr="00DF4CF3" w:rsidRDefault="002416B1" w:rsidP="008216A0">
            <w:pPr>
              <w:jc w:val="center"/>
              <w:rPr>
                <w:rFonts w:ascii="Arial" w:hAnsi="Arial" w:cs="Arial"/>
                <w:i/>
                <w:iCs/>
                <w:sz w:val="16"/>
                <w:szCs w:val="16"/>
              </w:rPr>
            </w:pPr>
            <w:r w:rsidRPr="00DF4CF3">
              <w:rPr>
                <w:rFonts w:ascii="Arial" w:hAnsi="Arial" w:cs="Arial"/>
                <w:i/>
                <w:iCs/>
                <w:sz w:val="16"/>
                <w:szCs w:val="16"/>
              </w:rPr>
              <w:t>359</w:t>
            </w:r>
          </w:p>
        </w:tc>
      </w:tr>
      <w:tr w:rsidR="002416B1" w:rsidRPr="00DF4CF3" w:rsidTr="006A2BF3">
        <w:trPr>
          <w:trHeight w:val="300"/>
        </w:trPr>
        <w:tc>
          <w:tcPr>
            <w:tcW w:w="1858" w:type="dxa"/>
            <w:vMerge/>
            <w:tcBorders>
              <w:top w:val="single" w:sz="4" w:space="0" w:color="000000"/>
              <w:left w:val="single" w:sz="4" w:space="0" w:color="auto"/>
              <w:bottom w:val="single" w:sz="4" w:space="0" w:color="000000"/>
              <w:right w:val="single" w:sz="4" w:space="0" w:color="auto"/>
            </w:tcBorders>
            <w:vAlign w:val="center"/>
          </w:tcPr>
          <w:p w:rsidR="002416B1" w:rsidRPr="00DF4CF3" w:rsidRDefault="002416B1" w:rsidP="008216A0">
            <w:pPr>
              <w:rPr>
                <w:rFonts w:ascii="Arial" w:hAnsi="Arial" w:cs="Arial"/>
                <w:sz w:val="16"/>
                <w:szCs w:val="16"/>
              </w:rPr>
            </w:pPr>
          </w:p>
        </w:tc>
        <w:tc>
          <w:tcPr>
            <w:tcW w:w="1233" w:type="dxa"/>
            <w:tcBorders>
              <w:top w:val="nil"/>
              <w:left w:val="nil"/>
              <w:bottom w:val="single" w:sz="4" w:space="0" w:color="auto"/>
              <w:right w:val="single" w:sz="4" w:space="0" w:color="auto"/>
            </w:tcBorders>
            <w:noWrap/>
            <w:vAlign w:val="center"/>
          </w:tcPr>
          <w:p w:rsidR="002416B1" w:rsidRPr="00DF4CF3" w:rsidRDefault="002416B1" w:rsidP="008216A0">
            <w:pPr>
              <w:rPr>
                <w:rFonts w:ascii="Arial" w:hAnsi="Arial" w:cs="Arial"/>
                <w:sz w:val="16"/>
                <w:szCs w:val="16"/>
              </w:rPr>
            </w:pPr>
            <w:r w:rsidRPr="00DF4CF3">
              <w:rPr>
                <w:rFonts w:ascii="Arial" w:hAnsi="Arial" w:cs="Arial"/>
                <w:sz w:val="16"/>
                <w:szCs w:val="16"/>
              </w:rPr>
              <w:t>Východisko</w:t>
            </w:r>
          </w:p>
        </w:tc>
        <w:tc>
          <w:tcPr>
            <w:tcW w:w="496" w:type="dxa"/>
            <w:tcBorders>
              <w:top w:val="nil"/>
              <w:left w:val="nil"/>
              <w:bottom w:val="single" w:sz="4" w:space="0" w:color="auto"/>
              <w:right w:val="dotted" w:sz="4" w:space="0" w:color="auto"/>
            </w:tcBorders>
            <w:noWrap/>
            <w:vAlign w:val="center"/>
          </w:tcPr>
          <w:p w:rsidR="002416B1" w:rsidRPr="00DF4CF3" w:rsidRDefault="002416B1" w:rsidP="008216A0">
            <w:pPr>
              <w:jc w:val="center"/>
              <w:rPr>
                <w:rFonts w:ascii="Arial" w:hAnsi="Arial" w:cs="Arial"/>
                <w:b/>
                <w:bCs/>
                <w:sz w:val="16"/>
                <w:szCs w:val="16"/>
              </w:rPr>
            </w:pPr>
            <w:r w:rsidRPr="00DF4CF3">
              <w:rPr>
                <w:rFonts w:ascii="Arial" w:hAnsi="Arial" w:cs="Arial"/>
                <w:b/>
                <w:bCs/>
                <w:sz w:val="16"/>
                <w:szCs w:val="16"/>
              </w:rPr>
              <w:t>0</w:t>
            </w:r>
          </w:p>
        </w:tc>
        <w:tc>
          <w:tcPr>
            <w:tcW w:w="496" w:type="dxa"/>
            <w:tcBorders>
              <w:top w:val="nil"/>
              <w:left w:val="nil"/>
              <w:bottom w:val="single" w:sz="4" w:space="0" w:color="auto"/>
              <w:right w:val="dotted" w:sz="4" w:space="0" w:color="auto"/>
            </w:tcBorders>
            <w:noWrap/>
            <w:vAlign w:val="center"/>
          </w:tcPr>
          <w:p w:rsidR="002416B1" w:rsidRPr="00DF4CF3" w:rsidRDefault="002416B1" w:rsidP="008216A0">
            <w:pPr>
              <w:jc w:val="center"/>
              <w:rPr>
                <w:rFonts w:ascii="Arial" w:hAnsi="Arial" w:cs="Arial"/>
                <w:i/>
                <w:iCs/>
                <w:sz w:val="16"/>
                <w:szCs w:val="16"/>
              </w:rPr>
            </w:pPr>
            <w:r w:rsidRPr="00DF4CF3">
              <w:rPr>
                <w:rFonts w:ascii="Arial" w:hAnsi="Arial" w:cs="Arial"/>
                <w:i/>
                <w:iCs/>
                <w:sz w:val="16"/>
                <w:szCs w:val="16"/>
              </w:rPr>
              <w:t>N/A</w:t>
            </w:r>
          </w:p>
        </w:tc>
        <w:tc>
          <w:tcPr>
            <w:tcW w:w="496" w:type="dxa"/>
            <w:tcBorders>
              <w:top w:val="nil"/>
              <w:left w:val="nil"/>
              <w:bottom w:val="single" w:sz="4" w:space="0" w:color="auto"/>
              <w:right w:val="dotted" w:sz="4" w:space="0" w:color="auto"/>
            </w:tcBorders>
            <w:noWrap/>
            <w:vAlign w:val="center"/>
          </w:tcPr>
          <w:p w:rsidR="002416B1" w:rsidRPr="00DF4CF3" w:rsidRDefault="002416B1" w:rsidP="008216A0">
            <w:pPr>
              <w:jc w:val="center"/>
              <w:rPr>
                <w:rFonts w:ascii="Arial" w:hAnsi="Arial" w:cs="Arial"/>
                <w:i/>
                <w:iCs/>
                <w:sz w:val="16"/>
                <w:szCs w:val="16"/>
              </w:rPr>
            </w:pPr>
            <w:r w:rsidRPr="00DF4CF3">
              <w:rPr>
                <w:rFonts w:ascii="Arial" w:hAnsi="Arial" w:cs="Arial"/>
                <w:i/>
                <w:iCs/>
                <w:sz w:val="16"/>
                <w:szCs w:val="16"/>
              </w:rPr>
              <w:t>N/A</w:t>
            </w:r>
          </w:p>
        </w:tc>
        <w:tc>
          <w:tcPr>
            <w:tcW w:w="496" w:type="dxa"/>
            <w:tcBorders>
              <w:top w:val="nil"/>
              <w:left w:val="nil"/>
              <w:bottom w:val="single" w:sz="4" w:space="0" w:color="auto"/>
              <w:right w:val="dotted" w:sz="4" w:space="0" w:color="auto"/>
            </w:tcBorders>
            <w:noWrap/>
            <w:vAlign w:val="center"/>
          </w:tcPr>
          <w:p w:rsidR="002416B1" w:rsidRPr="00DF4CF3" w:rsidRDefault="002416B1" w:rsidP="008216A0">
            <w:pPr>
              <w:jc w:val="center"/>
              <w:rPr>
                <w:rFonts w:ascii="Arial" w:hAnsi="Arial" w:cs="Arial"/>
                <w:i/>
                <w:iCs/>
                <w:sz w:val="16"/>
                <w:szCs w:val="16"/>
              </w:rPr>
            </w:pPr>
            <w:r w:rsidRPr="00DF4CF3">
              <w:rPr>
                <w:rFonts w:ascii="Arial" w:hAnsi="Arial" w:cs="Arial"/>
                <w:i/>
                <w:iCs/>
                <w:sz w:val="16"/>
                <w:szCs w:val="16"/>
              </w:rPr>
              <w:t>N/A</w:t>
            </w:r>
          </w:p>
        </w:tc>
        <w:tc>
          <w:tcPr>
            <w:tcW w:w="496" w:type="dxa"/>
            <w:tcBorders>
              <w:top w:val="nil"/>
              <w:left w:val="nil"/>
              <w:bottom w:val="single" w:sz="4" w:space="0" w:color="auto"/>
              <w:right w:val="dotted" w:sz="4" w:space="0" w:color="auto"/>
            </w:tcBorders>
            <w:noWrap/>
            <w:vAlign w:val="center"/>
          </w:tcPr>
          <w:p w:rsidR="002416B1" w:rsidRPr="00DF4CF3" w:rsidRDefault="002416B1" w:rsidP="008216A0">
            <w:pPr>
              <w:jc w:val="center"/>
              <w:rPr>
                <w:rFonts w:ascii="Arial" w:hAnsi="Arial" w:cs="Arial"/>
                <w:i/>
                <w:iCs/>
                <w:sz w:val="16"/>
                <w:szCs w:val="16"/>
              </w:rPr>
            </w:pPr>
            <w:r w:rsidRPr="00DF4CF3">
              <w:rPr>
                <w:rFonts w:ascii="Arial" w:hAnsi="Arial" w:cs="Arial"/>
                <w:i/>
                <w:iCs/>
                <w:sz w:val="16"/>
                <w:szCs w:val="16"/>
              </w:rPr>
              <w:t>N/A</w:t>
            </w:r>
          </w:p>
        </w:tc>
        <w:tc>
          <w:tcPr>
            <w:tcW w:w="496" w:type="dxa"/>
            <w:tcBorders>
              <w:top w:val="nil"/>
              <w:left w:val="nil"/>
              <w:bottom w:val="single" w:sz="4" w:space="0" w:color="auto"/>
              <w:right w:val="dotted" w:sz="4" w:space="0" w:color="auto"/>
            </w:tcBorders>
            <w:noWrap/>
            <w:vAlign w:val="center"/>
          </w:tcPr>
          <w:p w:rsidR="002416B1" w:rsidRPr="00DF4CF3" w:rsidRDefault="002416B1" w:rsidP="008216A0">
            <w:pPr>
              <w:jc w:val="center"/>
              <w:rPr>
                <w:rFonts w:ascii="Arial" w:hAnsi="Arial" w:cs="Arial"/>
                <w:i/>
                <w:iCs/>
                <w:sz w:val="16"/>
                <w:szCs w:val="16"/>
              </w:rPr>
            </w:pPr>
            <w:r w:rsidRPr="00DF4CF3">
              <w:rPr>
                <w:rFonts w:ascii="Arial" w:hAnsi="Arial" w:cs="Arial"/>
                <w:i/>
                <w:iCs/>
                <w:sz w:val="16"/>
                <w:szCs w:val="16"/>
              </w:rPr>
              <w:t>N/A</w:t>
            </w:r>
          </w:p>
        </w:tc>
        <w:tc>
          <w:tcPr>
            <w:tcW w:w="496" w:type="dxa"/>
            <w:tcBorders>
              <w:top w:val="nil"/>
              <w:left w:val="nil"/>
              <w:bottom w:val="single" w:sz="4" w:space="0" w:color="auto"/>
              <w:right w:val="dotted" w:sz="4" w:space="0" w:color="auto"/>
            </w:tcBorders>
            <w:noWrap/>
            <w:vAlign w:val="center"/>
          </w:tcPr>
          <w:p w:rsidR="002416B1" w:rsidRPr="00DF4CF3" w:rsidRDefault="002416B1" w:rsidP="008216A0">
            <w:pPr>
              <w:jc w:val="center"/>
              <w:rPr>
                <w:rFonts w:ascii="Arial" w:hAnsi="Arial" w:cs="Arial"/>
                <w:i/>
                <w:iCs/>
                <w:sz w:val="16"/>
                <w:szCs w:val="16"/>
              </w:rPr>
            </w:pPr>
            <w:r w:rsidRPr="00DF4CF3">
              <w:rPr>
                <w:rFonts w:ascii="Arial" w:hAnsi="Arial" w:cs="Arial"/>
                <w:i/>
                <w:iCs/>
                <w:sz w:val="16"/>
                <w:szCs w:val="16"/>
              </w:rPr>
              <w:t>N/A</w:t>
            </w:r>
          </w:p>
        </w:tc>
        <w:tc>
          <w:tcPr>
            <w:tcW w:w="496" w:type="dxa"/>
            <w:tcBorders>
              <w:top w:val="nil"/>
              <w:left w:val="nil"/>
              <w:bottom w:val="single" w:sz="4" w:space="0" w:color="auto"/>
              <w:right w:val="dotted" w:sz="4" w:space="0" w:color="auto"/>
            </w:tcBorders>
            <w:noWrap/>
            <w:vAlign w:val="center"/>
          </w:tcPr>
          <w:p w:rsidR="002416B1" w:rsidRPr="00DF4CF3" w:rsidRDefault="002416B1" w:rsidP="008216A0">
            <w:pPr>
              <w:jc w:val="center"/>
              <w:rPr>
                <w:rFonts w:ascii="Arial" w:hAnsi="Arial" w:cs="Arial"/>
                <w:i/>
                <w:iCs/>
                <w:sz w:val="16"/>
                <w:szCs w:val="16"/>
              </w:rPr>
            </w:pPr>
            <w:r w:rsidRPr="00DF4CF3">
              <w:rPr>
                <w:rFonts w:ascii="Arial" w:hAnsi="Arial" w:cs="Arial"/>
                <w:i/>
                <w:iCs/>
                <w:sz w:val="16"/>
                <w:szCs w:val="16"/>
              </w:rPr>
              <w:t>N/A</w:t>
            </w:r>
          </w:p>
        </w:tc>
        <w:tc>
          <w:tcPr>
            <w:tcW w:w="496" w:type="dxa"/>
            <w:tcBorders>
              <w:top w:val="nil"/>
              <w:left w:val="nil"/>
              <w:bottom w:val="single" w:sz="4" w:space="0" w:color="auto"/>
              <w:right w:val="dotted" w:sz="4" w:space="0" w:color="auto"/>
            </w:tcBorders>
            <w:noWrap/>
            <w:vAlign w:val="center"/>
          </w:tcPr>
          <w:p w:rsidR="002416B1" w:rsidRPr="00DF4CF3" w:rsidRDefault="002416B1" w:rsidP="008216A0">
            <w:pPr>
              <w:jc w:val="center"/>
              <w:rPr>
                <w:rFonts w:ascii="Arial" w:hAnsi="Arial" w:cs="Arial"/>
                <w:i/>
                <w:iCs/>
                <w:sz w:val="16"/>
                <w:szCs w:val="16"/>
              </w:rPr>
            </w:pPr>
            <w:r w:rsidRPr="00DF4CF3">
              <w:rPr>
                <w:rFonts w:ascii="Arial" w:hAnsi="Arial" w:cs="Arial"/>
                <w:i/>
                <w:iCs/>
                <w:sz w:val="16"/>
                <w:szCs w:val="16"/>
              </w:rPr>
              <w:t>N/A</w:t>
            </w:r>
          </w:p>
        </w:tc>
        <w:tc>
          <w:tcPr>
            <w:tcW w:w="585" w:type="dxa"/>
            <w:tcBorders>
              <w:top w:val="nil"/>
              <w:left w:val="nil"/>
              <w:bottom w:val="single" w:sz="4" w:space="0" w:color="auto"/>
              <w:right w:val="dotted" w:sz="4" w:space="0" w:color="auto"/>
            </w:tcBorders>
            <w:noWrap/>
            <w:vAlign w:val="center"/>
          </w:tcPr>
          <w:p w:rsidR="002416B1" w:rsidRPr="00DF4CF3" w:rsidRDefault="002416B1" w:rsidP="008216A0">
            <w:pPr>
              <w:jc w:val="center"/>
              <w:rPr>
                <w:rFonts w:ascii="Arial" w:hAnsi="Arial" w:cs="Arial"/>
                <w:b/>
                <w:bCs/>
                <w:sz w:val="16"/>
                <w:szCs w:val="16"/>
              </w:rPr>
            </w:pPr>
            <w:r w:rsidRPr="00DF4CF3">
              <w:rPr>
                <w:rFonts w:ascii="Arial" w:hAnsi="Arial" w:cs="Arial"/>
                <w:b/>
                <w:bCs/>
                <w:sz w:val="16"/>
                <w:szCs w:val="16"/>
              </w:rPr>
              <w:t>0</w:t>
            </w:r>
          </w:p>
        </w:tc>
        <w:tc>
          <w:tcPr>
            <w:tcW w:w="1030" w:type="dxa"/>
            <w:tcBorders>
              <w:top w:val="nil"/>
              <w:left w:val="nil"/>
              <w:bottom w:val="single" w:sz="4" w:space="0" w:color="auto"/>
              <w:right w:val="single" w:sz="4" w:space="0" w:color="auto"/>
            </w:tcBorders>
            <w:noWrap/>
            <w:vAlign w:val="center"/>
          </w:tcPr>
          <w:p w:rsidR="002416B1" w:rsidRPr="00DF4CF3" w:rsidRDefault="002416B1" w:rsidP="008216A0">
            <w:pPr>
              <w:jc w:val="center"/>
              <w:rPr>
                <w:rFonts w:ascii="Arial" w:hAnsi="Arial" w:cs="Arial"/>
                <w:sz w:val="16"/>
                <w:szCs w:val="16"/>
              </w:rPr>
            </w:pPr>
          </w:p>
        </w:tc>
      </w:tr>
      <w:tr w:rsidR="000D360F" w:rsidRPr="00DF4CF3" w:rsidTr="000D360F">
        <w:trPr>
          <w:trHeight w:val="255"/>
        </w:trPr>
        <w:tc>
          <w:tcPr>
            <w:tcW w:w="9170" w:type="dxa"/>
            <w:gridSpan w:val="13"/>
            <w:tcBorders>
              <w:top w:val="single" w:sz="4" w:space="0" w:color="auto"/>
              <w:left w:val="single" w:sz="4" w:space="0" w:color="auto"/>
              <w:bottom w:val="single" w:sz="4" w:space="0" w:color="auto"/>
              <w:right w:val="single" w:sz="4" w:space="0" w:color="000000"/>
            </w:tcBorders>
            <w:shd w:val="clear" w:color="000000" w:fill="EAF1DD"/>
            <w:noWrap/>
            <w:vAlign w:val="center"/>
          </w:tcPr>
          <w:p w:rsidR="000D360F" w:rsidRPr="00DF4CF3" w:rsidRDefault="000D360F" w:rsidP="000D360F">
            <w:pPr>
              <w:rPr>
                <w:rFonts w:ascii="Arial" w:hAnsi="Arial" w:cs="Arial"/>
                <w:b/>
                <w:bCs/>
                <w:sz w:val="16"/>
                <w:szCs w:val="16"/>
              </w:rPr>
            </w:pPr>
            <w:r w:rsidRPr="00EF0531">
              <w:rPr>
                <w:rFonts w:ascii="Arial" w:hAnsi="Arial" w:cs="Arial"/>
                <w:b/>
                <w:bCs/>
                <w:sz w:val="16"/>
                <w:szCs w:val="16"/>
              </w:rPr>
              <w:t>Prioritná os 7 - Budovanie povodňového varovného a predpovedného systému</w:t>
            </w:r>
          </w:p>
        </w:tc>
      </w:tr>
      <w:tr w:rsidR="000D360F" w:rsidRPr="00DF4CF3" w:rsidTr="000D360F">
        <w:trPr>
          <w:trHeight w:val="300"/>
        </w:trPr>
        <w:tc>
          <w:tcPr>
            <w:tcW w:w="1858" w:type="dxa"/>
            <w:vMerge w:val="restart"/>
            <w:tcBorders>
              <w:top w:val="nil"/>
              <w:left w:val="single" w:sz="4" w:space="0" w:color="auto"/>
              <w:bottom w:val="single" w:sz="4" w:space="0" w:color="auto"/>
              <w:right w:val="single" w:sz="4" w:space="0" w:color="auto"/>
            </w:tcBorders>
            <w:vAlign w:val="center"/>
          </w:tcPr>
          <w:p w:rsidR="000D360F" w:rsidRPr="00DF4CF3" w:rsidRDefault="000D360F" w:rsidP="000D360F">
            <w:pPr>
              <w:rPr>
                <w:rFonts w:ascii="Arial" w:hAnsi="Arial" w:cs="Arial"/>
                <w:sz w:val="16"/>
                <w:szCs w:val="16"/>
              </w:rPr>
            </w:pPr>
            <w:r w:rsidRPr="00DF4CF3">
              <w:rPr>
                <w:rFonts w:ascii="Arial" w:hAnsi="Arial" w:cs="Arial"/>
                <w:sz w:val="16"/>
                <w:szCs w:val="16"/>
              </w:rPr>
              <w:t>Počet inštitúcií napojených na POVAPSYS [počet]</w:t>
            </w:r>
          </w:p>
        </w:tc>
        <w:tc>
          <w:tcPr>
            <w:tcW w:w="1233" w:type="dxa"/>
            <w:tcBorders>
              <w:top w:val="nil"/>
              <w:left w:val="nil"/>
              <w:bottom w:val="dotted" w:sz="4" w:space="0" w:color="auto"/>
              <w:right w:val="single" w:sz="4" w:space="0" w:color="auto"/>
            </w:tcBorders>
            <w:noWrap/>
            <w:vAlign w:val="center"/>
          </w:tcPr>
          <w:p w:rsidR="000D360F" w:rsidRPr="00DF4CF3" w:rsidRDefault="000D360F" w:rsidP="000D360F">
            <w:pPr>
              <w:rPr>
                <w:rFonts w:ascii="Arial" w:hAnsi="Arial" w:cs="Arial"/>
                <w:sz w:val="16"/>
                <w:szCs w:val="16"/>
              </w:rPr>
            </w:pPr>
            <w:r w:rsidRPr="00DF4CF3">
              <w:rPr>
                <w:rFonts w:ascii="Arial" w:hAnsi="Arial" w:cs="Arial"/>
                <w:sz w:val="16"/>
                <w:szCs w:val="16"/>
              </w:rPr>
              <w:t>Dosiahnutý výsledok</w:t>
            </w:r>
          </w:p>
        </w:tc>
        <w:tc>
          <w:tcPr>
            <w:tcW w:w="496" w:type="dxa"/>
            <w:tcBorders>
              <w:top w:val="nil"/>
              <w:left w:val="nil"/>
              <w:bottom w:val="dotted" w:sz="4" w:space="0" w:color="auto"/>
              <w:right w:val="dotted" w:sz="4" w:space="0" w:color="auto"/>
            </w:tcBorders>
            <w:noWrap/>
            <w:vAlign w:val="center"/>
          </w:tcPr>
          <w:p w:rsidR="000D360F" w:rsidRPr="00DF4CF3" w:rsidRDefault="000D360F" w:rsidP="000D360F">
            <w:pPr>
              <w:jc w:val="center"/>
              <w:rPr>
                <w:rFonts w:ascii="Arial" w:hAnsi="Arial" w:cs="Arial"/>
                <w:b/>
                <w:bCs/>
                <w:sz w:val="16"/>
                <w:szCs w:val="16"/>
              </w:rPr>
            </w:pPr>
            <w:r w:rsidRPr="00DF4CF3">
              <w:rPr>
                <w:rFonts w:ascii="Arial" w:hAnsi="Arial" w:cs="Arial"/>
                <w:b/>
                <w:bCs/>
                <w:sz w:val="16"/>
                <w:szCs w:val="16"/>
              </w:rPr>
              <w:t>0</w:t>
            </w:r>
          </w:p>
        </w:tc>
        <w:tc>
          <w:tcPr>
            <w:tcW w:w="496" w:type="dxa"/>
            <w:tcBorders>
              <w:top w:val="nil"/>
              <w:left w:val="nil"/>
              <w:bottom w:val="dotted" w:sz="4" w:space="0" w:color="auto"/>
              <w:right w:val="dotted" w:sz="4" w:space="0" w:color="auto"/>
            </w:tcBorders>
            <w:noWrap/>
            <w:vAlign w:val="center"/>
          </w:tcPr>
          <w:p w:rsidR="000D360F" w:rsidRPr="00DF4CF3" w:rsidRDefault="000D360F" w:rsidP="000D360F">
            <w:pPr>
              <w:jc w:val="center"/>
              <w:rPr>
                <w:rFonts w:ascii="Arial" w:hAnsi="Arial" w:cs="Arial"/>
                <w:b/>
                <w:bCs/>
                <w:sz w:val="16"/>
                <w:szCs w:val="16"/>
              </w:rPr>
            </w:pPr>
            <w:r w:rsidRPr="00DF4CF3">
              <w:rPr>
                <w:rFonts w:ascii="Arial" w:hAnsi="Arial" w:cs="Arial"/>
                <w:b/>
                <w:bCs/>
                <w:sz w:val="16"/>
                <w:szCs w:val="16"/>
              </w:rPr>
              <w:t>0</w:t>
            </w:r>
          </w:p>
        </w:tc>
        <w:tc>
          <w:tcPr>
            <w:tcW w:w="496" w:type="dxa"/>
            <w:tcBorders>
              <w:top w:val="nil"/>
              <w:left w:val="nil"/>
              <w:bottom w:val="dotted" w:sz="4" w:space="0" w:color="auto"/>
              <w:right w:val="dotted" w:sz="4" w:space="0" w:color="auto"/>
            </w:tcBorders>
            <w:noWrap/>
            <w:vAlign w:val="center"/>
          </w:tcPr>
          <w:p w:rsidR="000D360F" w:rsidRPr="00DF4CF3" w:rsidRDefault="000D360F" w:rsidP="000D360F">
            <w:pPr>
              <w:jc w:val="center"/>
              <w:rPr>
                <w:rFonts w:ascii="Arial" w:hAnsi="Arial" w:cs="Arial"/>
                <w:b/>
                <w:bCs/>
                <w:sz w:val="16"/>
                <w:szCs w:val="16"/>
              </w:rPr>
            </w:pPr>
            <w:r w:rsidRPr="00DF4CF3">
              <w:rPr>
                <w:rFonts w:ascii="Arial" w:hAnsi="Arial" w:cs="Arial"/>
                <w:b/>
                <w:bCs/>
                <w:sz w:val="16"/>
                <w:szCs w:val="16"/>
              </w:rPr>
              <w:t>0</w:t>
            </w:r>
          </w:p>
        </w:tc>
        <w:tc>
          <w:tcPr>
            <w:tcW w:w="496" w:type="dxa"/>
            <w:tcBorders>
              <w:top w:val="nil"/>
              <w:left w:val="nil"/>
              <w:bottom w:val="dotted" w:sz="4" w:space="0" w:color="auto"/>
              <w:right w:val="dotted" w:sz="4" w:space="0" w:color="auto"/>
            </w:tcBorders>
            <w:noWrap/>
            <w:vAlign w:val="center"/>
          </w:tcPr>
          <w:p w:rsidR="000D360F" w:rsidRPr="00DF4CF3" w:rsidRDefault="000D360F" w:rsidP="000D360F">
            <w:pPr>
              <w:jc w:val="center"/>
              <w:rPr>
                <w:rFonts w:ascii="Arial" w:hAnsi="Arial" w:cs="Arial"/>
                <w:b/>
                <w:bCs/>
                <w:sz w:val="16"/>
                <w:szCs w:val="16"/>
              </w:rPr>
            </w:pPr>
            <w:r w:rsidRPr="00DF4CF3">
              <w:rPr>
                <w:rFonts w:ascii="Arial" w:hAnsi="Arial" w:cs="Arial"/>
                <w:b/>
                <w:bCs/>
                <w:sz w:val="16"/>
                <w:szCs w:val="16"/>
              </w:rPr>
              <w:t>0</w:t>
            </w:r>
          </w:p>
        </w:tc>
        <w:tc>
          <w:tcPr>
            <w:tcW w:w="496" w:type="dxa"/>
            <w:tcBorders>
              <w:top w:val="nil"/>
              <w:left w:val="nil"/>
              <w:bottom w:val="dotted" w:sz="4" w:space="0" w:color="auto"/>
              <w:right w:val="dotted" w:sz="4" w:space="0" w:color="auto"/>
            </w:tcBorders>
            <w:noWrap/>
            <w:vAlign w:val="center"/>
          </w:tcPr>
          <w:p w:rsidR="000D360F" w:rsidRPr="00DF4CF3" w:rsidRDefault="000D360F" w:rsidP="000D360F">
            <w:pPr>
              <w:jc w:val="center"/>
              <w:rPr>
                <w:rFonts w:ascii="Arial" w:hAnsi="Arial" w:cs="Arial"/>
                <w:b/>
                <w:bCs/>
                <w:sz w:val="16"/>
                <w:szCs w:val="16"/>
              </w:rPr>
            </w:pPr>
            <w:r w:rsidRPr="00DF4CF3">
              <w:rPr>
                <w:rFonts w:ascii="Arial" w:hAnsi="Arial" w:cs="Arial"/>
                <w:b/>
                <w:bCs/>
                <w:sz w:val="16"/>
                <w:szCs w:val="16"/>
              </w:rPr>
              <w:t>0</w:t>
            </w:r>
          </w:p>
        </w:tc>
        <w:tc>
          <w:tcPr>
            <w:tcW w:w="496" w:type="dxa"/>
            <w:tcBorders>
              <w:top w:val="nil"/>
              <w:left w:val="nil"/>
              <w:bottom w:val="dotted" w:sz="4" w:space="0" w:color="auto"/>
              <w:right w:val="dotted" w:sz="4" w:space="0" w:color="auto"/>
            </w:tcBorders>
            <w:noWrap/>
            <w:vAlign w:val="center"/>
          </w:tcPr>
          <w:p w:rsidR="000D360F" w:rsidRPr="00DF4CF3" w:rsidRDefault="000D360F" w:rsidP="000D360F">
            <w:pPr>
              <w:jc w:val="center"/>
              <w:rPr>
                <w:rFonts w:ascii="Arial" w:hAnsi="Arial" w:cs="Arial"/>
                <w:i/>
                <w:iCs/>
                <w:sz w:val="16"/>
                <w:szCs w:val="16"/>
              </w:rPr>
            </w:pPr>
            <w:r w:rsidRPr="00DF4CF3">
              <w:rPr>
                <w:rFonts w:ascii="Arial" w:hAnsi="Arial" w:cs="Arial"/>
                <w:i/>
                <w:iCs/>
                <w:color w:val="000000"/>
                <w:sz w:val="16"/>
                <w:szCs w:val="16"/>
              </w:rPr>
              <w:t>0</w:t>
            </w:r>
          </w:p>
        </w:tc>
        <w:tc>
          <w:tcPr>
            <w:tcW w:w="496" w:type="dxa"/>
            <w:tcBorders>
              <w:top w:val="nil"/>
              <w:left w:val="nil"/>
              <w:bottom w:val="dotted" w:sz="4" w:space="0" w:color="auto"/>
              <w:right w:val="dotted" w:sz="4" w:space="0" w:color="auto"/>
            </w:tcBorders>
            <w:noWrap/>
            <w:vAlign w:val="center"/>
          </w:tcPr>
          <w:p w:rsidR="000D360F" w:rsidRPr="00DF4CF3" w:rsidRDefault="000D360F" w:rsidP="000D360F">
            <w:pPr>
              <w:jc w:val="center"/>
              <w:rPr>
                <w:rFonts w:ascii="Arial" w:hAnsi="Arial" w:cs="Arial"/>
                <w:i/>
                <w:iCs/>
                <w:sz w:val="16"/>
                <w:szCs w:val="16"/>
              </w:rPr>
            </w:pPr>
            <w:r w:rsidRPr="00DF4CF3">
              <w:rPr>
                <w:rFonts w:ascii="Arial" w:hAnsi="Arial" w:cs="Arial"/>
                <w:i/>
                <w:iCs/>
                <w:sz w:val="16"/>
                <w:szCs w:val="16"/>
              </w:rPr>
              <w:t>N/A</w:t>
            </w:r>
          </w:p>
        </w:tc>
        <w:tc>
          <w:tcPr>
            <w:tcW w:w="496" w:type="dxa"/>
            <w:tcBorders>
              <w:top w:val="nil"/>
              <w:left w:val="nil"/>
              <w:bottom w:val="dotted" w:sz="4" w:space="0" w:color="auto"/>
              <w:right w:val="dotted" w:sz="4" w:space="0" w:color="auto"/>
            </w:tcBorders>
            <w:noWrap/>
            <w:vAlign w:val="center"/>
          </w:tcPr>
          <w:p w:rsidR="000D360F" w:rsidRPr="00DF4CF3" w:rsidRDefault="000D360F" w:rsidP="000D360F">
            <w:pPr>
              <w:jc w:val="center"/>
              <w:rPr>
                <w:rFonts w:ascii="Arial" w:hAnsi="Arial" w:cs="Arial"/>
                <w:i/>
                <w:iCs/>
                <w:sz w:val="16"/>
                <w:szCs w:val="16"/>
              </w:rPr>
            </w:pPr>
            <w:r w:rsidRPr="00DF4CF3">
              <w:rPr>
                <w:rFonts w:ascii="Arial" w:hAnsi="Arial" w:cs="Arial"/>
                <w:i/>
                <w:iCs/>
                <w:sz w:val="16"/>
                <w:szCs w:val="16"/>
              </w:rPr>
              <w:t>N/A</w:t>
            </w:r>
          </w:p>
        </w:tc>
        <w:tc>
          <w:tcPr>
            <w:tcW w:w="496" w:type="dxa"/>
            <w:tcBorders>
              <w:top w:val="nil"/>
              <w:left w:val="nil"/>
              <w:bottom w:val="dotted" w:sz="4" w:space="0" w:color="auto"/>
              <w:right w:val="dotted" w:sz="4" w:space="0" w:color="auto"/>
            </w:tcBorders>
            <w:noWrap/>
            <w:vAlign w:val="center"/>
          </w:tcPr>
          <w:p w:rsidR="000D360F" w:rsidRPr="00DF4CF3" w:rsidRDefault="000D360F" w:rsidP="000D360F">
            <w:pPr>
              <w:jc w:val="center"/>
              <w:rPr>
                <w:rFonts w:ascii="Arial" w:hAnsi="Arial" w:cs="Arial"/>
                <w:i/>
                <w:iCs/>
                <w:sz w:val="16"/>
                <w:szCs w:val="16"/>
              </w:rPr>
            </w:pPr>
            <w:r w:rsidRPr="00DF4CF3">
              <w:rPr>
                <w:rFonts w:ascii="Arial" w:hAnsi="Arial" w:cs="Arial"/>
                <w:i/>
                <w:iCs/>
                <w:sz w:val="16"/>
                <w:szCs w:val="16"/>
              </w:rPr>
              <w:t>N/A</w:t>
            </w:r>
          </w:p>
        </w:tc>
        <w:tc>
          <w:tcPr>
            <w:tcW w:w="585" w:type="dxa"/>
            <w:tcBorders>
              <w:top w:val="nil"/>
              <w:left w:val="nil"/>
              <w:bottom w:val="dotted" w:sz="4" w:space="0" w:color="auto"/>
              <w:right w:val="dotted" w:sz="4" w:space="0" w:color="auto"/>
            </w:tcBorders>
            <w:noWrap/>
            <w:vAlign w:val="center"/>
          </w:tcPr>
          <w:p w:rsidR="000D360F" w:rsidRPr="00DF4CF3" w:rsidRDefault="000D360F" w:rsidP="000D360F">
            <w:pPr>
              <w:jc w:val="center"/>
              <w:rPr>
                <w:rFonts w:ascii="Arial" w:hAnsi="Arial" w:cs="Arial"/>
                <w:b/>
                <w:bCs/>
                <w:sz w:val="16"/>
                <w:szCs w:val="16"/>
              </w:rPr>
            </w:pPr>
            <w:r w:rsidRPr="00DF4CF3">
              <w:rPr>
                <w:rFonts w:ascii="Arial" w:hAnsi="Arial" w:cs="Arial"/>
                <w:b/>
                <w:bCs/>
                <w:sz w:val="16"/>
                <w:szCs w:val="16"/>
              </w:rPr>
              <w:t>0</w:t>
            </w:r>
          </w:p>
        </w:tc>
        <w:tc>
          <w:tcPr>
            <w:tcW w:w="1030" w:type="dxa"/>
            <w:vMerge w:val="restart"/>
            <w:tcBorders>
              <w:top w:val="nil"/>
              <w:left w:val="dotted" w:sz="4" w:space="0" w:color="auto"/>
              <w:bottom w:val="single" w:sz="4" w:space="0" w:color="000000"/>
              <w:right w:val="single" w:sz="4" w:space="0" w:color="auto"/>
            </w:tcBorders>
            <w:vAlign w:val="center"/>
          </w:tcPr>
          <w:p w:rsidR="000D360F" w:rsidRPr="00DF4CF3" w:rsidRDefault="000D360F" w:rsidP="000D360F">
            <w:pPr>
              <w:jc w:val="center"/>
              <w:rPr>
                <w:rFonts w:ascii="Arial" w:hAnsi="Arial" w:cs="Arial"/>
                <w:i/>
                <w:iCs/>
                <w:sz w:val="16"/>
                <w:szCs w:val="16"/>
              </w:rPr>
            </w:pPr>
            <w:r w:rsidRPr="00DF4CF3">
              <w:rPr>
                <w:rFonts w:ascii="Arial" w:hAnsi="Arial" w:cs="Arial"/>
                <w:i/>
                <w:iCs/>
                <w:sz w:val="16"/>
                <w:szCs w:val="16"/>
              </w:rPr>
              <w:t>neschválený žiaden projekt</w:t>
            </w:r>
          </w:p>
        </w:tc>
      </w:tr>
      <w:tr w:rsidR="000D360F" w:rsidRPr="00DF4CF3" w:rsidTr="000D360F">
        <w:trPr>
          <w:trHeight w:val="300"/>
        </w:trPr>
        <w:tc>
          <w:tcPr>
            <w:tcW w:w="1858" w:type="dxa"/>
            <w:vMerge/>
            <w:tcBorders>
              <w:top w:val="single" w:sz="4" w:space="0" w:color="auto"/>
              <w:left w:val="single" w:sz="4" w:space="0" w:color="auto"/>
              <w:bottom w:val="single" w:sz="4" w:space="0" w:color="auto"/>
              <w:right w:val="single" w:sz="4" w:space="0" w:color="auto"/>
            </w:tcBorders>
            <w:vAlign w:val="center"/>
          </w:tcPr>
          <w:p w:rsidR="000D360F" w:rsidRPr="00DF4CF3" w:rsidRDefault="000D360F" w:rsidP="000D360F">
            <w:pPr>
              <w:rPr>
                <w:rFonts w:ascii="Arial" w:hAnsi="Arial" w:cs="Arial"/>
                <w:sz w:val="16"/>
                <w:szCs w:val="16"/>
              </w:rPr>
            </w:pPr>
          </w:p>
        </w:tc>
        <w:tc>
          <w:tcPr>
            <w:tcW w:w="1233" w:type="dxa"/>
            <w:tcBorders>
              <w:top w:val="nil"/>
              <w:left w:val="nil"/>
              <w:bottom w:val="dotted" w:sz="4" w:space="0" w:color="auto"/>
              <w:right w:val="single" w:sz="4" w:space="0" w:color="auto"/>
            </w:tcBorders>
            <w:noWrap/>
            <w:vAlign w:val="center"/>
          </w:tcPr>
          <w:p w:rsidR="000D360F" w:rsidRPr="00DF4CF3" w:rsidRDefault="000D360F" w:rsidP="000D360F">
            <w:pPr>
              <w:rPr>
                <w:rFonts w:ascii="Arial" w:hAnsi="Arial" w:cs="Arial"/>
                <w:sz w:val="16"/>
                <w:szCs w:val="16"/>
              </w:rPr>
            </w:pPr>
            <w:r w:rsidRPr="00DF4CF3">
              <w:rPr>
                <w:rFonts w:ascii="Arial" w:hAnsi="Arial" w:cs="Arial"/>
                <w:sz w:val="16"/>
                <w:szCs w:val="16"/>
              </w:rPr>
              <w:t>Cieľ</w:t>
            </w:r>
          </w:p>
        </w:tc>
        <w:tc>
          <w:tcPr>
            <w:tcW w:w="496" w:type="dxa"/>
            <w:tcBorders>
              <w:top w:val="nil"/>
              <w:left w:val="nil"/>
              <w:bottom w:val="dotted" w:sz="4" w:space="0" w:color="auto"/>
              <w:right w:val="dotted" w:sz="4" w:space="0" w:color="auto"/>
            </w:tcBorders>
            <w:noWrap/>
            <w:vAlign w:val="center"/>
          </w:tcPr>
          <w:p w:rsidR="000D360F" w:rsidRPr="00DF4CF3" w:rsidRDefault="000D360F" w:rsidP="000D360F">
            <w:pPr>
              <w:jc w:val="center"/>
              <w:rPr>
                <w:rFonts w:ascii="Arial" w:hAnsi="Arial" w:cs="Arial"/>
                <w:i/>
                <w:iCs/>
                <w:sz w:val="16"/>
                <w:szCs w:val="16"/>
              </w:rPr>
            </w:pPr>
            <w:r w:rsidRPr="00DF4CF3">
              <w:rPr>
                <w:rFonts w:ascii="Arial" w:hAnsi="Arial" w:cs="Arial"/>
                <w:i/>
                <w:iCs/>
                <w:sz w:val="16"/>
                <w:szCs w:val="16"/>
              </w:rPr>
              <w:t>N/A</w:t>
            </w:r>
          </w:p>
        </w:tc>
        <w:tc>
          <w:tcPr>
            <w:tcW w:w="496" w:type="dxa"/>
            <w:tcBorders>
              <w:top w:val="nil"/>
              <w:left w:val="nil"/>
              <w:bottom w:val="dotted" w:sz="4" w:space="0" w:color="auto"/>
              <w:right w:val="dotted" w:sz="4" w:space="0" w:color="auto"/>
            </w:tcBorders>
            <w:noWrap/>
            <w:vAlign w:val="center"/>
          </w:tcPr>
          <w:p w:rsidR="000D360F" w:rsidRPr="00DF4CF3" w:rsidRDefault="000D360F" w:rsidP="000D360F">
            <w:pPr>
              <w:jc w:val="center"/>
              <w:rPr>
                <w:rFonts w:ascii="Arial" w:hAnsi="Arial" w:cs="Arial"/>
                <w:i/>
                <w:iCs/>
                <w:sz w:val="16"/>
                <w:szCs w:val="16"/>
              </w:rPr>
            </w:pPr>
            <w:r w:rsidRPr="00DF4CF3">
              <w:rPr>
                <w:rFonts w:ascii="Arial" w:hAnsi="Arial" w:cs="Arial"/>
                <w:i/>
                <w:iCs/>
                <w:sz w:val="16"/>
                <w:szCs w:val="16"/>
              </w:rPr>
              <w:t>N/A</w:t>
            </w:r>
          </w:p>
        </w:tc>
        <w:tc>
          <w:tcPr>
            <w:tcW w:w="496" w:type="dxa"/>
            <w:tcBorders>
              <w:top w:val="nil"/>
              <w:left w:val="nil"/>
              <w:bottom w:val="dotted" w:sz="4" w:space="0" w:color="auto"/>
              <w:right w:val="dotted" w:sz="4" w:space="0" w:color="auto"/>
            </w:tcBorders>
            <w:noWrap/>
            <w:vAlign w:val="center"/>
          </w:tcPr>
          <w:p w:rsidR="000D360F" w:rsidRPr="00DF4CF3" w:rsidRDefault="000D360F" w:rsidP="000D360F">
            <w:pPr>
              <w:jc w:val="center"/>
              <w:rPr>
                <w:rFonts w:ascii="Arial" w:hAnsi="Arial" w:cs="Arial"/>
                <w:i/>
                <w:iCs/>
                <w:sz w:val="16"/>
                <w:szCs w:val="16"/>
              </w:rPr>
            </w:pPr>
            <w:r w:rsidRPr="00DF4CF3">
              <w:rPr>
                <w:rFonts w:ascii="Arial" w:hAnsi="Arial" w:cs="Arial"/>
                <w:i/>
                <w:iCs/>
                <w:sz w:val="16"/>
                <w:szCs w:val="16"/>
              </w:rPr>
              <w:t>N/A</w:t>
            </w:r>
          </w:p>
        </w:tc>
        <w:tc>
          <w:tcPr>
            <w:tcW w:w="496" w:type="dxa"/>
            <w:tcBorders>
              <w:top w:val="nil"/>
              <w:left w:val="nil"/>
              <w:bottom w:val="dotted" w:sz="4" w:space="0" w:color="auto"/>
              <w:right w:val="dotted" w:sz="4" w:space="0" w:color="auto"/>
            </w:tcBorders>
            <w:noWrap/>
            <w:vAlign w:val="center"/>
          </w:tcPr>
          <w:p w:rsidR="000D360F" w:rsidRPr="00DF4CF3" w:rsidRDefault="000D360F" w:rsidP="000D360F">
            <w:pPr>
              <w:jc w:val="center"/>
              <w:rPr>
                <w:rFonts w:ascii="Arial" w:hAnsi="Arial" w:cs="Arial"/>
                <w:i/>
                <w:iCs/>
                <w:sz w:val="16"/>
                <w:szCs w:val="16"/>
              </w:rPr>
            </w:pPr>
            <w:r w:rsidRPr="00DF4CF3">
              <w:rPr>
                <w:rFonts w:ascii="Arial" w:hAnsi="Arial" w:cs="Arial"/>
                <w:i/>
                <w:iCs/>
                <w:sz w:val="16"/>
                <w:szCs w:val="16"/>
              </w:rPr>
              <w:t>N/A</w:t>
            </w:r>
          </w:p>
        </w:tc>
        <w:tc>
          <w:tcPr>
            <w:tcW w:w="496" w:type="dxa"/>
            <w:tcBorders>
              <w:top w:val="nil"/>
              <w:left w:val="nil"/>
              <w:bottom w:val="dotted" w:sz="4" w:space="0" w:color="auto"/>
              <w:right w:val="dotted" w:sz="4" w:space="0" w:color="auto"/>
            </w:tcBorders>
            <w:noWrap/>
            <w:vAlign w:val="center"/>
          </w:tcPr>
          <w:p w:rsidR="000D360F" w:rsidRPr="00DF4CF3" w:rsidRDefault="000D360F" w:rsidP="000D360F">
            <w:pPr>
              <w:jc w:val="center"/>
              <w:rPr>
                <w:rFonts w:ascii="Arial" w:hAnsi="Arial" w:cs="Arial"/>
                <w:i/>
                <w:iCs/>
                <w:sz w:val="16"/>
                <w:szCs w:val="16"/>
              </w:rPr>
            </w:pPr>
            <w:r w:rsidRPr="00DF4CF3">
              <w:rPr>
                <w:rFonts w:ascii="Arial" w:hAnsi="Arial" w:cs="Arial"/>
                <w:i/>
                <w:iCs/>
                <w:sz w:val="16"/>
                <w:szCs w:val="16"/>
              </w:rPr>
              <w:t>N/A</w:t>
            </w:r>
          </w:p>
        </w:tc>
        <w:tc>
          <w:tcPr>
            <w:tcW w:w="496" w:type="dxa"/>
            <w:tcBorders>
              <w:top w:val="nil"/>
              <w:left w:val="nil"/>
              <w:bottom w:val="dotted" w:sz="4" w:space="0" w:color="auto"/>
              <w:right w:val="dotted" w:sz="4" w:space="0" w:color="auto"/>
            </w:tcBorders>
            <w:noWrap/>
            <w:vAlign w:val="center"/>
          </w:tcPr>
          <w:p w:rsidR="000D360F" w:rsidRPr="00DF4CF3" w:rsidRDefault="000D360F" w:rsidP="000D360F">
            <w:pPr>
              <w:jc w:val="center"/>
              <w:rPr>
                <w:rFonts w:ascii="Arial" w:hAnsi="Arial" w:cs="Arial"/>
                <w:i/>
                <w:iCs/>
                <w:sz w:val="16"/>
                <w:szCs w:val="16"/>
              </w:rPr>
            </w:pPr>
            <w:r w:rsidRPr="00DF4CF3">
              <w:rPr>
                <w:rFonts w:ascii="Arial" w:hAnsi="Arial" w:cs="Arial"/>
                <w:i/>
                <w:iCs/>
                <w:color w:val="000000"/>
                <w:sz w:val="16"/>
                <w:szCs w:val="16"/>
              </w:rPr>
              <w:t>N/A</w:t>
            </w:r>
          </w:p>
        </w:tc>
        <w:tc>
          <w:tcPr>
            <w:tcW w:w="496" w:type="dxa"/>
            <w:tcBorders>
              <w:top w:val="nil"/>
              <w:left w:val="nil"/>
              <w:bottom w:val="dotted" w:sz="4" w:space="0" w:color="auto"/>
              <w:right w:val="dotted" w:sz="4" w:space="0" w:color="auto"/>
            </w:tcBorders>
            <w:noWrap/>
            <w:vAlign w:val="center"/>
          </w:tcPr>
          <w:p w:rsidR="000D360F" w:rsidRPr="00DF4CF3" w:rsidRDefault="000D360F" w:rsidP="000D360F">
            <w:pPr>
              <w:jc w:val="center"/>
              <w:rPr>
                <w:rFonts w:ascii="Arial" w:hAnsi="Arial" w:cs="Arial"/>
                <w:i/>
                <w:iCs/>
                <w:sz w:val="16"/>
                <w:szCs w:val="16"/>
              </w:rPr>
            </w:pPr>
            <w:r w:rsidRPr="00DF4CF3">
              <w:rPr>
                <w:rFonts w:ascii="Arial" w:hAnsi="Arial" w:cs="Arial"/>
                <w:i/>
                <w:iCs/>
                <w:sz w:val="16"/>
                <w:szCs w:val="16"/>
              </w:rPr>
              <w:t>N/A</w:t>
            </w:r>
          </w:p>
        </w:tc>
        <w:tc>
          <w:tcPr>
            <w:tcW w:w="496" w:type="dxa"/>
            <w:tcBorders>
              <w:top w:val="nil"/>
              <w:left w:val="nil"/>
              <w:bottom w:val="dotted" w:sz="4" w:space="0" w:color="auto"/>
              <w:right w:val="dotted" w:sz="4" w:space="0" w:color="auto"/>
            </w:tcBorders>
            <w:noWrap/>
            <w:vAlign w:val="center"/>
          </w:tcPr>
          <w:p w:rsidR="000D360F" w:rsidRPr="00DF4CF3" w:rsidRDefault="000D360F" w:rsidP="000D360F">
            <w:pPr>
              <w:jc w:val="center"/>
              <w:rPr>
                <w:rFonts w:ascii="Arial" w:hAnsi="Arial" w:cs="Arial"/>
                <w:i/>
                <w:iCs/>
                <w:sz w:val="16"/>
                <w:szCs w:val="16"/>
              </w:rPr>
            </w:pPr>
            <w:r w:rsidRPr="00DF4CF3">
              <w:rPr>
                <w:rFonts w:ascii="Arial" w:hAnsi="Arial" w:cs="Arial"/>
                <w:i/>
                <w:iCs/>
                <w:sz w:val="16"/>
                <w:szCs w:val="16"/>
              </w:rPr>
              <w:t>N/A</w:t>
            </w:r>
          </w:p>
        </w:tc>
        <w:tc>
          <w:tcPr>
            <w:tcW w:w="496" w:type="dxa"/>
            <w:tcBorders>
              <w:top w:val="nil"/>
              <w:left w:val="nil"/>
              <w:bottom w:val="dotted" w:sz="4" w:space="0" w:color="auto"/>
              <w:right w:val="dotted" w:sz="4" w:space="0" w:color="auto"/>
            </w:tcBorders>
            <w:noWrap/>
            <w:vAlign w:val="center"/>
          </w:tcPr>
          <w:p w:rsidR="000D360F" w:rsidRPr="00DF4CF3" w:rsidRDefault="000D360F" w:rsidP="000D360F">
            <w:pPr>
              <w:jc w:val="center"/>
              <w:rPr>
                <w:rFonts w:ascii="Arial" w:hAnsi="Arial" w:cs="Arial"/>
                <w:b/>
                <w:bCs/>
                <w:sz w:val="16"/>
                <w:szCs w:val="16"/>
              </w:rPr>
            </w:pPr>
            <w:r w:rsidRPr="00DF4CF3">
              <w:rPr>
                <w:rFonts w:ascii="Arial" w:hAnsi="Arial" w:cs="Arial"/>
                <w:b/>
                <w:bCs/>
                <w:sz w:val="16"/>
                <w:szCs w:val="16"/>
              </w:rPr>
              <w:t>3</w:t>
            </w:r>
          </w:p>
        </w:tc>
        <w:tc>
          <w:tcPr>
            <w:tcW w:w="585" w:type="dxa"/>
            <w:tcBorders>
              <w:top w:val="nil"/>
              <w:left w:val="nil"/>
              <w:bottom w:val="dotted" w:sz="4" w:space="0" w:color="auto"/>
              <w:right w:val="dotted" w:sz="4" w:space="0" w:color="auto"/>
            </w:tcBorders>
            <w:noWrap/>
            <w:vAlign w:val="center"/>
          </w:tcPr>
          <w:p w:rsidR="000D360F" w:rsidRPr="00DF4CF3" w:rsidRDefault="000D360F" w:rsidP="000D360F">
            <w:pPr>
              <w:jc w:val="center"/>
              <w:rPr>
                <w:rFonts w:ascii="Arial" w:hAnsi="Arial" w:cs="Arial"/>
                <w:b/>
                <w:bCs/>
                <w:sz w:val="16"/>
                <w:szCs w:val="16"/>
              </w:rPr>
            </w:pPr>
            <w:r w:rsidRPr="00DF4CF3">
              <w:rPr>
                <w:rFonts w:ascii="Arial" w:hAnsi="Arial" w:cs="Arial"/>
                <w:b/>
                <w:bCs/>
                <w:sz w:val="16"/>
                <w:szCs w:val="16"/>
              </w:rPr>
              <w:t>3</w:t>
            </w:r>
          </w:p>
        </w:tc>
        <w:tc>
          <w:tcPr>
            <w:tcW w:w="1030" w:type="dxa"/>
            <w:vMerge/>
            <w:tcBorders>
              <w:top w:val="nil"/>
              <w:left w:val="dotted" w:sz="4" w:space="0" w:color="auto"/>
              <w:bottom w:val="single" w:sz="4" w:space="0" w:color="000000"/>
              <w:right w:val="single" w:sz="4" w:space="0" w:color="auto"/>
            </w:tcBorders>
            <w:vAlign w:val="center"/>
          </w:tcPr>
          <w:p w:rsidR="000D360F" w:rsidRPr="00DF4CF3" w:rsidRDefault="000D360F" w:rsidP="000D360F">
            <w:pPr>
              <w:jc w:val="center"/>
              <w:rPr>
                <w:rFonts w:ascii="Arial" w:hAnsi="Arial" w:cs="Arial"/>
                <w:i/>
                <w:iCs/>
                <w:sz w:val="16"/>
                <w:szCs w:val="16"/>
              </w:rPr>
            </w:pPr>
          </w:p>
        </w:tc>
      </w:tr>
      <w:tr w:rsidR="000D360F" w:rsidRPr="00DF4CF3" w:rsidTr="000D360F">
        <w:trPr>
          <w:trHeight w:val="300"/>
        </w:trPr>
        <w:tc>
          <w:tcPr>
            <w:tcW w:w="1858" w:type="dxa"/>
            <w:vMerge/>
            <w:tcBorders>
              <w:top w:val="single" w:sz="4" w:space="0" w:color="auto"/>
              <w:left w:val="single" w:sz="4" w:space="0" w:color="auto"/>
              <w:bottom w:val="single" w:sz="4" w:space="0" w:color="auto"/>
              <w:right w:val="single" w:sz="4" w:space="0" w:color="auto"/>
            </w:tcBorders>
            <w:vAlign w:val="center"/>
          </w:tcPr>
          <w:p w:rsidR="000D360F" w:rsidRPr="00DF4CF3" w:rsidRDefault="000D360F" w:rsidP="000D360F">
            <w:pPr>
              <w:rPr>
                <w:rFonts w:ascii="Arial" w:hAnsi="Arial" w:cs="Arial"/>
                <w:sz w:val="16"/>
                <w:szCs w:val="16"/>
              </w:rPr>
            </w:pPr>
          </w:p>
        </w:tc>
        <w:tc>
          <w:tcPr>
            <w:tcW w:w="1233" w:type="dxa"/>
            <w:tcBorders>
              <w:top w:val="nil"/>
              <w:left w:val="nil"/>
              <w:bottom w:val="single" w:sz="4" w:space="0" w:color="auto"/>
              <w:right w:val="single" w:sz="4" w:space="0" w:color="auto"/>
            </w:tcBorders>
            <w:noWrap/>
            <w:vAlign w:val="center"/>
          </w:tcPr>
          <w:p w:rsidR="000D360F" w:rsidRPr="00DF4CF3" w:rsidRDefault="000D360F" w:rsidP="000D360F">
            <w:pPr>
              <w:rPr>
                <w:rFonts w:ascii="Arial" w:hAnsi="Arial" w:cs="Arial"/>
                <w:sz w:val="16"/>
                <w:szCs w:val="16"/>
              </w:rPr>
            </w:pPr>
            <w:r w:rsidRPr="00DF4CF3">
              <w:rPr>
                <w:rFonts w:ascii="Arial" w:hAnsi="Arial" w:cs="Arial"/>
                <w:sz w:val="16"/>
                <w:szCs w:val="16"/>
              </w:rPr>
              <w:t>Východisko</w:t>
            </w:r>
          </w:p>
        </w:tc>
        <w:tc>
          <w:tcPr>
            <w:tcW w:w="496" w:type="dxa"/>
            <w:tcBorders>
              <w:top w:val="nil"/>
              <w:left w:val="nil"/>
              <w:bottom w:val="single" w:sz="4" w:space="0" w:color="auto"/>
              <w:right w:val="dotted" w:sz="4" w:space="0" w:color="auto"/>
            </w:tcBorders>
            <w:noWrap/>
            <w:vAlign w:val="center"/>
          </w:tcPr>
          <w:p w:rsidR="000D360F" w:rsidRPr="00DF4CF3" w:rsidRDefault="000D360F" w:rsidP="000D360F">
            <w:pPr>
              <w:jc w:val="center"/>
              <w:rPr>
                <w:rFonts w:ascii="Arial" w:hAnsi="Arial" w:cs="Arial"/>
                <w:b/>
                <w:bCs/>
                <w:sz w:val="16"/>
                <w:szCs w:val="16"/>
              </w:rPr>
            </w:pPr>
            <w:r w:rsidRPr="00DF4CF3">
              <w:rPr>
                <w:rFonts w:ascii="Arial" w:hAnsi="Arial" w:cs="Arial"/>
                <w:b/>
                <w:bCs/>
                <w:sz w:val="16"/>
                <w:szCs w:val="16"/>
              </w:rPr>
              <w:t>1</w:t>
            </w:r>
          </w:p>
        </w:tc>
        <w:tc>
          <w:tcPr>
            <w:tcW w:w="496" w:type="dxa"/>
            <w:tcBorders>
              <w:top w:val="nil"/>
              <w:left w:val="nil"/>
              <w:bottom w:val="single" w:sz="4" w:space="0" w:color="auto"/>
              <w:right w:val="dotted" w:sz="4" w:space="0" w:color="auto"/>
            </w:tcBorders>
            <w:noWrap/>
            <w:vAlign w:val="center"/>
          </w:tcPr>
          <w:p w:rsidR="000D360F" w:rsidRPr="00DF4CF3" w:rsidRDefault="000D360F" w:rsidP="000D360F">
            <w:pPr>
              <w:jc w:val="center"/>
              <w:rPr>
                <w:rFonts w:ascii="Arial" w:hAnsi="Arial" w:cs="Arial"/>
                <w:i/>
                <w:iCs/>
                <w:sz w:val="16"/>
                <w:szCs w:val="16"/>
              </w:rPr>
            </w:pPr>
            <w:r w:rsidRPr="00DF4CF3">
              <w:rPr>
                <w:rFonts w:ascii="Arial" w:hAnsi="Arial" w:cs="Arial"/>
                <w:i/>
                <w:iCs/>
                <w:sz w:val="16"/>
                <w:szCs w:val="16"/>
              </w:rPr>
              <w:t>N/A</w:t>
            </w:r>
          </w:p>
        </w:tc>
        <w:tc>
          <w:tcPr>
            <w:tcW w:w="496" w:type="dxa"/>
            <w:tcBorders>
              <w:top w:val="nil"/>
              <w:left w:val="nil"/>
              <w:bottom w:val="single" w:sz="4" w:space="0" w:color="auto"/>
              <w:right w:val="dotted" w:sz="4" w:space="0" w:color="auto"/>
            </w:tcBorders>
            <w:noWrap/>
            <w:vAlign w:val="center"/>
          </w:tcPr>
          <w:p w:rsidR="000D360F" w:rsidRPr="00DF4CF3" w:rsidRDefault="000D360F" w:rsidP="000D360F">
            <w:pPr>
              <w:jc w:val="center"/>
              <w:rPr>
                <w:rFonts w:ascii="Arial" w:hAnsi="Arial" w:cs="Arial"/>
                <w:i/>
                <w:iCs/>
                <w:sz w:val="16"/>
                <w:szCs w:val="16"/>
              </w:rPr>
            </w:pPr>
            <w:r w:rsidRPr="00DF4CF3">
              <w:rPr>
                <w:rFonts w:ascii="Arial" w:hAnsi="Arial" w:cs="Arial"/>
                <w:i/>
                <w:iCs/>
                <w:sz w:val="16"/>
                <w:szCs w:val="16"/>
              </w:rPr>
              <w:t>N/A</w:t>
            </w:r>
          </w:p>
        </w:tc>
        <w:tc>
          <w:tcPr>
            <w:tcW w:w="496" w:type="dxa"/>
            <w:tcBorders>
              <w:top w:val="nil"/>
              <w:left w:val="nil"/>
              <w:bottom w:val="single" w:sz="4" w:space="0" w:color="auto"/>
              <w:right w:val="dotted" w:sz="4" w:space="0" w:color="auto"/>
            </w:tcBorders>
            <w:noWrap/>
            <w:vAlign w:val="center"/>
          </w:tcPr>
          <w:p w:rsidR="000D360F" w:rsidRPr="00DF4CF3" w:rsidRDefault="000D360F" w:rsidP="000D360F">
            <w:pPr>
              <w:jc w:val="center"/>
              <w:rPr>
                <w:rFonts w:ascii="Arial" w:hAnsi="Arial" w:cs="Arial"/>
                <w:i/>
                <w:iCs/>
                <w:sz w:val="16"/>
                <w:szCs w:val="16"/>
              </w:rPr>
            </w:pPr>
            <w:r w:rsidRPr="00DF4CF3">
              <w:rPr>
                <w:rFonts w:ascii="Arial" w:hAnsi="Arial" w:cs="Arial"/>
                <w:i/>
                <w:iCs/>
                <w:sz w:val="16"/>
                <w:szCs w:val="16"/>
              </w:rPr>
              <w:t>N/A</w:t>
            </w:r>
          </w:p>
        </w:tc>
        <w:tc>
          <w:tcPr>
            <w:tcW w:w="496" w:type="dxa"/>
            <w:tcBorders>
              <w:top w:val="nil"/>
              <w:left w:val="nil"/>
              <w:bottom w:val="single" w:sz="4" w:space="0" w:color="auto"/>
              <w:right w:val="dotted" w:sz="4" w:space="0" w:color="auto"/>
            </w:tcBorders>
            <w:noWrap/>
            <w:vAlign w:val="center"/>
          </w:tcPr>
          <w:p w:rsidR="000D360F" w:rsidRPr="00DF4CF3" w:rsidRDefault="000D360F" w:rsidP="000D360F">
            <w:pPr>
              <w:jc w:val="center"/>
              <w:rPr>
                <w:rFonts w:ascii="Arial" w:hAnsi="Arial" w:cs="Arial"/>
                <w:i/>
                <w:iCs/>
                <w:sz w:val="16"/>
                <w:szCs w:val="16"/>
              </w:rPr>
            </w:pPr>
            <w:r w:rsidRPr="00DF4CF3">
              <w:rPr>
                <w:rFonts w:ascii="Arial" w:hAnsi="Arial" w:cs="Arial"/>
                <w:i/>
                <w:iCs/>
                <w:sz w:val="16"/>
                <w:szCs w:val="16"/>
              </w:rPr>
              <w:t>N/A</w:t>
            </w:r>
          </w:p>
        </w:tc>
        <w:tc>
          <w:tcPr>
            <w:tcW w:w="496" w:type="dxa"/>
            <w:tcBorders>
              <w:top w:val="nil"/>
              <w:left w:val="nil"/>
              <w:bottom w:val="single" w:sz="4" w:space="0" w:color="auto"/>
              <w:right w:val="dotted" w:sz="4" w:space="0" w:color="auto"/>
            </w:tcBorders>
            <w:noWrap/>
            <w:vAlign w:val="center"/>
          </w:tcPr>
          <w:p w:rsidR="000D360F" w:rsidRPr="00DF4CF3" w:rsidRDefault="000D360F" w:rsidP="000D360F">
            <w:pPr>
              <w:jc w:val="center"/>
              <w:rPr>
                <w:rFonts w:ascii="Arial" w:hAnsi="Arial" w:cs="Arial"/>
                <w:i/>
                <w:iCs/>
                <w:sz w:val="16"/>
                <w:szCs w:val="16"/>
              </w:rPr>
            </w:pPr>
            <w:r w:rsidRPr="00DF4CF3">
              <w:rPr>
                <w:rFonts w:ascii="Arial" w:hAnsi="Arial" w:cs="Arial"/>
                <w:i/>
                <w:iCs/>
                <w:color w:val="000000"/>
                <w:sz w:val="16"/>
                <w:szCs w:val="16"/>
              </w:rPr>
              <w:t>N/A</w:t>
            </w:r>
          </w:p>
        </w:tc>
        <w:tc>
          <w:tcPr>
            <w:tcW w:w="496" w:type="dxa"/>
            <w:tcBorders>
              <w:top w:val="nil"/>
              <w:left w:val="nil"/>
              <w:bottom w:val="single" w:sz="4" w:space="0" w:color="auto"/>
              <w:right w:val="dotted" w:sz="4" w:space="0" w:color="auto"/>
            </w:tcBorders>
            <w:noWrap/>
            <w:vAlign w:val="center"/>
          </w:tcPr>
          <w:p w:rsidR="000D360F" w:rsidRPr="00DF4CF3" w:rsidRDefault="000D360F" w:rsidP="000D360F">
            <w:pPr>
              <w:jc w:val="center"/>
              <w:rPr>
                <w:rFonts w:ascii="Arial" w:hAnsi="Arial" w:cs="Arial"/>
                <w:i/>
                <w:iCs/>
                <w:sz w:val="16"/>
                <w:szCs w:val="16"/>
              </w:rPr>
            </w:pPr>
            <w:r w:rsidRPr="00DF4CF3">
              <w:rPr>
                <w:rFonts w:ascii="Arial" w:hAnsi="Arial" w:cs="Arial"/>
                <w:i/>
                <w:iCs/>
                <w:sz w:val="16"/>
                <w:szCs w:val="16"/>
              </w:rPr>
              <w:t>N/A</w:t>
            </w:r>
          </w:p>
        </w:tc>
        <w:tc>
          <w:tcPr>
            <w:tcW w:w="496" w:type="dxa"/>
            <w:tcBorders>
              <w:top w:val="nil"/>
              <w:left w:val="nil"/>
              <w:bottom w:val="single" w:sz="4" w:space="0" w:color="auto"/>
              <w:right w:val="dotted" w:sz="4" w:space="0" w:color="auto"/>
            </w:tcBorders>
            <w:noWrap/>
            <w:vAlign w:val="center"/>
          </w:tcPr>
          <w:p w:rsidR="000D360F" w:rsidRPr="00DF4CF3" w:rsidRDefault="000D360F" w:rsidP="000D360F">
            <w:pPr>
              <w:jc w:val="center"/>
              <w:rPr>
                <w:rFonts w:ascii="Arial" w:hAnsi="Arial" w:cs="Arial"/>
                <w:i/>
                <w:iCs/>
                <w:sz w:val="16"/>
                <w:szCs w:val="16"/>
              </w:rPr>
            </w:pPr>
            <w:r w:rsidRPr="00DF4CF3">
              <w:rPr>
                <w:rFonts w:ascii="Arial" w:hAnsi="Arial" w:cs="Arial"/>
                <w:i/>
                <w:iCs/>
                <w:sz w:val="16"/>
                <w:szCs w:val="16"/>
              </w:rPr>
              <w:t>N/A</w:t>
            </w:r>
          </w:p>
        </w:tc>
        <w:tc>
          <w:tcPr>
            <w:tcW w:w="496" w:type="dxa"/>
            <w:tcBorders>
              <w:top w:val="nil"/>
              <w:left w:val="nil"/>
              <w:bottom w:val="single" w:sz="4" w:space="0" w:color="auto"/>
              <w:right w:val="dotted" w:sz="4" w:space="0" w:color="auto"/>
            </w:tcBorders>
            <w:noWrap/>
            <w:vAlign w:val="center"/>
          </w:tcPr>
          <w:p w:rsidR="000D360F" w:rsidRPr="00DF4CF3" w:rsidRDefault="000D360F" w:rsidP="000D360F">
            <w:pPr>
              <w:jc w:val="center"/>
              <w:rPr>
                <w:rFonts w:ascii="Arial" w:hAnsi="Arial" w:cs="Arial"/>
                <w:i/>
                <w:iCs/>
                <w:sz w:val="16"/>
                <w:szCs w:val="16"/>
              </w:rPr>
            </w:pPr>
            <w:r w:rsidRPr="00DF4CF3">
              <w:rPr>
                <w:rFonts w:ascii="Arial" w:hAnsi="Arial" w:cs="Arial"/>
                <w:i/>
                <w:iCs/>
                <w:sz w:val="16"/>
                <w:szCs w:val="16"/>
              </w:rPr>
              <w:t>N/A</w:t>
            </w:r>
          </w:p>
        </w:tc>
        <w:tc>
          <w:tcPr>
            <w:tcW w:w="585" w:type="dxa"/>
            <w:tcBorders>
              <w:top w:val="nil"/>
              <w:left w:val="nil"/>
              <w:bottom w:val="single" w:sz="4" w:space="0" w:color="auto"/>
              <w:right w:val="dotted" w:sz="4" w:space="0" w:color="auto"/>
            </w:tcBorders>
            <w:noWrap/>
            <w:vAlign w:val="center"/>
          </w:tcPr>
          <w:p w:rsidR="000D360F" w:rsidRPr="00DF4CF3" w:rsidRDefault="000D360F" w:rsidP="000D360F">
            <w:pPr>
              <w:jc w:val="center"/>
              <w:rPr>
                <w:rFonts w:ascii="Arial" w:hAnsi="Arial" w:cs="Arial"/>
                <w:b/>
                <w:bCs/>
                <w:sz w:val="16"/>
                <w:szCs w:val="16"/>
              </w:rPr>
            </w:pPr>
            <w:r w:rsidRPr="00DF4CF3">
              <w:rPr>
                <w:rFonts w:ascii="Arial" w:hAnsi="Arial" w:cs="Arial"/>
                <w:b/>
                <w:bCs/>
                <w:sz w:val="16"/>
                <w:szCs w:val="16"/>
              </w:rPr>
              <w:t>1</w:t>
            </w:r>
          </w:p>
        </w:tc>
        <w:tc>
          <w:tcPr>
            <w:tcW w:w="1030" w:type="dxa"/>
            <w:vMerge/>
            <w:tcBorders>
              <w:top w:val="nil"/>
              <w:left w:val="dotted" w:sz="4" w:space="0" w:color="auto"/>
              <w:bottom w:val="single" w:sz="4" w:space="0" w:color="auto"/>
              <w:right w:val="single" w:sz="4" w:space="0" w:color="auto"/>
            </w:tcBorders>
            <w:vAlign w:val="center"/>
          </w:tcPr>
          <w:p w:rsidR="000D360F" w:rsidRPr="00DF4CF3" w:rsidRDefault="000D360F" w:rsidP="000D360F">
            <w:pPr>
              <w:jc w:val="center"/>
              <w:rPr>
                <w:rFonts w:ascii="Arial" w:hAnsi="Arial" w:cs="Arial"/>
                <w:i/>
                <w:iCs/>
                <w:sz w:val="16"/>
                <w:szCs w:val="16"/>
              </w:rPr>
            </w:pPr>
          </w:p>
        </w:tc>
      </w:tr>
    </w:tbl>
    <w:p w:rsidR="000D360F" w:rsidRPr="00EF0531" w:rsidRDefault="00000CC9" w:rsidP="000D360F">
      <w:pPr>
        <w:spacing w:line="360" w:lineRule="auto"/>
        <w:jc w:val="both"/>
        <w:rPr>
          <w:rFonts w:ascii="Arial" w:hAnsi="Arial" w:cs="Arial"/>
          <w:sz w:val="18"/>
          <w:szCs w:val="18"/>
        </w:rPr>
      </w:pPr>
      <w:r>
        <w:rPr>
          <w:rFonts w:ascii="Arial" w:hAnsi="Arial" w:cs="Arial"/>
          <w:sz w:val="18"/>
          <w:szCs w:val="18"/>
        </w:rPr>
        <w:t>Zdroj: RO, ITMS</w:t>
      </w:r>
    </w:p>
    <w:p w:rsidR="002416B1" w:rsidRPr="00DF4CF3" w:rsidRDefault="002416B1" w:rsidP="008216A0">
      <w:pPr>
        <w:spacing w:line="360" w:lineRule="auto"/>
        <w:jc w:val="both"/>
        <w:rPr>
          <w:rFonts w:ascii="Arial" w:hAnsi="Arial" w:cs="Arial"/>
          <w:sz w:val="18"/>
          <w:szCs w:val="18"/>
        </w:rPr>
      </w:pPr>
    </w:p>
    <w:p w:rsidR="002416B1" w:rsidRPr="00EF0531" w:rsidRDefault="002416B1" w:rsidP="008216A0">
      <w:pPr>
        <w:spacing w:line="360" w:lineRule="auto"/>
        <w:jc w:val="both"/>
        <w:rPr>
          <w:rFonts w:ascii="Arial" w:hAnsi="Arial" w:cs="Arial"/>
          <w:i/>
          <w:sz w:val="16"/>
          <w:szCs w:val="16"/>
        </w:rPr>
      </w:pPr>
      <w:r w:rsidRPr="00DF4CF3">
        <w:rPr>
          <w:rFonts w:ascii="Arial" w:hAnsi="Arial" w:cs="Arial"/>
          <w:i/>
          <w:sz w:val="16"/>
          <w:szCs w:val="16"/>
        </w:rPr>
        <w:t xml:space="preserve">1 - Údaj </w:t>
      </w:r>
      <w:r w:rsidRPr="00EF0531">
        <w:rPr>
          <w:rFonts w:ascii="Arial" w:hAnsi="Arial" w:cs="Arial"/>
          <w:i/>
          <w:sz w:val="16"/>
          <w:szCs w:val="16"/>
        </w:rPr>
        <w:t>obsahuje deklarovanú cieľovú hodnotu projektov v zmysle zmluvy o NFP k 31.12.</w:t>
      </w:r>
      <w:r w:rsidR="004A7083" w:rsidRPr="00EF0531">
        <w:rPr>
          <w:rFonts w:ascii="Arial" w:hAnsi="Arial" w:cs="Arial"/>
          <w:i/>
          <w:sz w:val="16"/>
          <w:szCs w:val="16"/>
        </w:rPr>
        <w:t>2012</w:t>
      </w:r>
      <w:r w:rsidRPr="00EF0531">
        <w:rPr>
          <w:rFonts w:ascii="Arial" w:hAnsi="Arial" w:cs="Arial"/>
          <w:i/>
          <w:sz w:val="16"/>
          <w:szCs w:val="16"/>
        </w:rPr>
        <w:t xml:space="preserve">. Hodnota ukazovateľa dopadu na úrovni projektov sa vykazuje na základe následných monitorovacích správ, ktoré sú predkladané rok po skončení realizácie projektu. </w:t>
      </w:r>
      <w:r w:rsidR="004A7083" w:rsidRPr="00EF0531">
        <w:rPr>
          <w:rFonts w:ascii="Arial" w:hAnsi="Arial" w:cs="Arial"/>
          <w:i/>
          <w:sz w:val="16"/>
          <w:szCs w:val="16"/>
        </w:rPr>
        <w:t xml:space="preserve">Hodnota ukazovateľa výsledku na úrovni projektov sa vykazuje na základe záverečných monitorovacích správ, ktoré sú predkladané po skončení realizácie projektu </w:t>
      </w:r>
      <w:r w:rsidRPr="00EF0531">
        <w:rPr>
          <w:rFonts w:ascii="Arial" w:hAnsi="Arial" w:cs="Arial"/>
          <w:i/>
          <w:sz w:val="16"/>
          <w:szCs w:val="16"/>
        </w:rPr>
        <w:t>V súčasnosti prebieha realizácia projektov.</w:t>
      </w:r>
    </w:p>
    <w:p w:rsidR="00644D1A" w:rsidRPr="00EF0531" w:rsidRDefault="00644D1A" w:rsidP="008216A0">
      <w:pPr>
        <w:spacing w:line="360" w:lineRule="auto"/>
        <w:jc w:val="both"/>
        <w:rPr>
          <w:rFonts w:ascii="Arial" w:hAnsi="Arial" w:cs="Arial"/>
          <w:i/>
          <w:iCs/>
          <w:sz w:val="16"/>
          <w:szCs w:val="16"/>
        </w:rPr>
      </w:pPr>
      <w:r w:rsidRPr="00EF0531">
        <w:rPr>
          <w:rFonts w:ascii="Arial" w:hAnsi="Arial" w:cs="Arial"/>
          <w:i/>
          <w:iCs/>
          <w:sz w:val="16"/>
          <w:szCs w:val="16"/>
        </w:rPr>
        <w:t>V</w:t>
      </w:r>
      <w:r w:rsidR="00BA6D8C" w:rsidRPr="00EF0531">
        <w:rPr>
          <w:rFonts w:ascii="Arial" w:hAnsi="Arial" w:cs="Arial"/>
          <w:i/>
          <w:iCs/>
          <w:sz w:val="16"/>
          <w:szCs w:val="16"/>
        </w:rPr>
        <w:t> prípade v</w:t>
      </w:r>
      <w:r w:rsidRPr="00EF0531">
        <w:rPr>
          <w:rFonts w:ascii="Arial" w:hAnsi="Arial" w:cs="Arial"/>
          <w:i/>
          <w:iCs/>
          <w:sz w:val="16"/>
          <w:szCs w:val="16"/>
        </w:rPr>
        <w:t>ýchodiskov</w:t>
      </w:r>
      <w:r w:rsidR="00BA6D8C" w:rsidRPr="00EF0531">
        <w:rPr>
          <w:rFonts w:ascii="Arial" w:hAnsi="Arial" w:cs="Arial"/>
          <w:i/>
          <w:iCs/>
          <w:sz w:val="16"/>
          <w:szCs w:val="16"/>
        </w:rPr>
        <w:t>ých</w:t>
      </w:r>
      <w:r w:rsidRPr="00EF0531">
        <w:rPr>
          <w:rFonts w:ascii="Arial" w:hAnsi="Arial" w:cs="Arial"/>
          <w:i/>
          <w:iCs/>
          <w:sz w:val="16"/>
          <w:szCs w:val="16"/>
        </w:rPr>
        <w:t xml:space="preserve"> a cieľov</w:t>
      </w:r>
      <w:r w:rsidR="00BA6D8C" w:rsidRPr="00EF0531">
        <w:rPr>
          <w:rFonts w:ascii="Arial" w:hAnsi="Arial" w:cs="Arial"/>
          <w:i/>
          <w:iCs/>
          <w:sz w:val="16"/>
          <w:szCs w:val="16"/>
        </w:rPr>
        <w:t>ých</w:t>
      </w:r>
      <w:r w:rsidRPr="00EF0531">
        <w:rPr>
          <w:rFonts w:ascii="Arial" w:hAnsi="Arial" w:cs="Arial"/>
          <w:i/>
          <w:iCs/>
          <w:sz w:val="16"/>
          <w:szCs w:val="16"/>
        </w:rPr>
        <w:t xml:space="preserve"> hodn</w:t>
      </w:r>
      <w:r w:rsidR="00BA6D8C" w:rsidRPr="00EF0531">
        <w:rPr>
          <w:rFonts w:ascii="Arial" w:hAnsi="Arial" w:cs="Arial"/>
          <w:i/>
          <w:iCs/>
          <w:sz w:val="16"/>
          <w:szCs w:val="16"/>
        </w:rPr>
        <w:t>ô</w:t>
      </w:r>
      <w:r w:rsidRPr="00EF0531">
        <w:rPr>
          <w:rFonts w:ascii="Arial" w:hAnsi="Arial" w:cs="Arial"/>
          <w:i/>
          <w:iCs/>
          <w:sz w:val="16"/>
          <w:szCs w:val="16"/>
        </w:rPr>
        <w:t xml:space="preserve">t ukazovateľov </w:t>
      </w:r>
      <w:r w:rsidR="00BA6D8C" w:rsidRPr="00EF0531">
        <w:rPr>
          <w:rFonts w:ascii="Arial" w:hAnsi="Arial" w:cs="Arial"/>
          <w:i/>
          <w:iCs/>
          <w:sz w:val="16"/>
          <w:szCs w:val="16"/>
        </w:rPr>
        <w:t>s</w:t>
      </w:r>
      <w:r w:rsidRPr="00EF0531">
        <w:rPr>
          <w:rFonts w:ascii="Arial" w:hAnsi="Arial" w:cs="Arial"/>
          <w:i/>
          <w:iCs/>
          <w:sz w:val="16"/>
          <w:szCs w:val="16"/>
        </w:rPr>
        <w:t xml:space="preserve">a jedná o hodnoty </w:t>
      </w:r>
      <w:r w:rsidR="002533BA" w:rsidRPr="00EF0531">
        <w:rPr>
          <w:rFonts w:ascii="Arial" w:hAnsi="Arial" w:cs="Arial"/>
          <w:i/>
          <w:iCs/>
          <w:sz w:val="16"/>
          <w:szCs w:val="16"/>
        </w:rPr>
        <w:t xml:space="preserve">len </w:t>
      </w:r>
      <w:r w:rsidRPr="00EF0531">
        <w:rPr>
          <w:rFonts w:ascii="Arial" w:hAnsi="Arial" w:cs="Arial"/>
          <w:i/>
          <w:iCs/>
          <w:sz w:val="16"/>
          <w:szCs w:val="16"/>
        </w:rPr>
        <w:t>projektov OP ŽP s relevanciou k HP IS.</w:t>
      </w:r>
    </w:p>
    <w:p w:rsidR="008216A0" w:rsidRPr="00EF0531" w:rsidRDefault="00644D1A" w:rsidP="008216A0">
      <w:pPr>
        <w:spacing w:line="360" w:lineRule="auto"/>
        <w:jc w:val="both"/>
        <w:rPr>
          <w:rFonts w:ascii="Arial" w:hAnsi="Arial" w:cs="Arial"/>
          <w:i/>
          <w:iCs/>
          <w:sz w:val="16"/>
          <w:szCs w:val="16"/>
        </w:rPr>
      </w:pPr>
      <w:r w:rsidRPr="00EF0531">
        <w:rPr>
          <w:rFonts w:ascii="Arial" w:hAnsi="Arial" w:cs="Arial"/>
          <w:i/>
          <w:iCs/>
          <w:sz w:val="16"/>
          <w:szCs w:val="16"/>
        </w:rPr>
        <w:t>V prípade, že hodnoty „dosiahnutý výsledok“ vyššie uvedených ukazovateľov sú menšie než hodnoty ukazovateľov, ktoré sa vykazujú na úrovni OP ŽP, je to z dôvodu, že v prípade vyššie uvedených ukazovateľov sa jedná o hodnoty projektov, ktoré si vykázali relevanciu k HP IS.</w:t>
      </w:r>
    </w:p>
    <w:p w:rsidR="004A7083" w:rsidRPr="00EF0531" w:rsidRDefault="004A7083" w:rsidP="004A7083">
      <w:pPr>
        <w:spacing w:before="240" w:after="120" w:line="360" w:lineRule="auto"/>
        <w:jc w:val="both"/>
        <w:rPr>
          <w:rFonts w:ascii="Arial" w:hAnsi="Arial" w:cs="Arial"/>
          <w:sz w:val="20"/>
          <w:szCs w:val="20"/>
          <w:u w:val="single"/>
        </w:rPr>
      </w:pPr>
      <w:r w:rsidRPr="00EF0531">
        <w:rPr>
          <w:rFonts w:ascii="Arial" w:hAnsi="Arial" w:cs="Arial"/>
          <w:sz w:val="20"/>
          <w:szCs w:val="20"/>
          <w:u w:val="single"/>
        </w:rPr>
        <w:t xml:space="preserve">Príspevok OP ŽP k napĺňaniu špecifických a čiastkových cieľov HP IS </w:t>
      </w:r>
    </w:p>
    <w:p w:rsidR="004A7083" w:rsidRPr="00EF0531" w:rsidRDefault="004A7083" w:rsidP="004A7083">
      <w:pPr>
        <w:spacing w:before="120" w:line="360" w:lineRule="auto"/>
        <w:jc w:val="both"/>
        <w:rPr>
          <w:rFonts w:ascii="Arial" w:hAnsi="Arial" w:cs="Arial"/>
          <w:sz w:val="20"/>
          <w:szCs w:val="20"/>
        </w:rPr>
      </w:pPr>
      <w:r w:rsidRPr="00EF0531">
        <w:rPr>
          <w:rFonts w:ascii="Arial" w:hAnsi="Arial" w:cs="Arial"/>
          <w:sz w:val="20"/>
          <w:szCs w:val="20"/>
        </w:rPr>
        <w:t xml:space="preserve">Relevancia opatrení 3.1 Ochrana ovzdušia, 4.4 Riešenie environmentálnych záťaží vrátane ich odstraňovania a 5.1 Zabezpečenie priaznivého stavu biotopov a druhov prostredníctvom vypracovania a realizácie programov starostlivosti o chránené územia vrátane území NATURA 2000 a programov záchrany pre kriticky ohrozené druhy rastlín, živočíchov a území vrátane realizácie monitoringu druhov a biotopov k cieľom HP IS bola identifikovaná v rámci špecifického cieľa HP IS  </w:t>
      </w:r>
      <w:r w:rsidRPr="00EF0531">
        <w:rPr>
          <w:rFonts w:ascii="Arial" w:hAnsi="Arial" w:cs="Arial"/>
          <w:i/>
          <w:sz w:val="20"/>
          <w:szCs w:val="20"/>
        </w:rPr>
        <w:t>Efektívna elektronizácia verejnej správy</w:t>
      </w:r>
      <w:r w:rsidRPr="00EF0531">
        <w:rPr>
          <w:rFonts w:ascii="Arial" w:hAnsi="Arial" w:cs="Arial"/>
          <w:sz w:val="20"/>
          <w:szCs w:val="20"/>
        </w:rPr>
        <w:t> napĺňaním čiastkových cieľov:</w:t>
      </w:r>
    </w:p>
    <w:p w:rsidR="004A7083" w:rsidRPr="00EF0531" w:rsidRDefault="004A7083" w:rsidP="001540E7">
      <w:pPr>
        <w:pStyle w:val="Odsekzoznamu"/>
        <w:numPr>
          <w:ilvl w:val="0"/>
          <w:numId w:val="64"/>
        </w:numPr>
        <w:spacing w:before="120" w:after="0" w:line="360" w:lineRule="auto"/>
        <w:ind w:left="357" w:hanging="357"/>
        <w:jc w:val="both"/>
        <w:rPr>
          <w:rFonts w:ascii="Arial" w:hAnsi="Arial" w:cs="Arial"/>
          <w:i/>
          <w:sz w:val="20"/>
          <w:szCs w:val="20"/>
        </w:rPr>
      </w:pPr>
      <w:r w:rsidRPr="00EF0531">
        <w:rPr>
          <w:rFonts w:ascii="Arial" w:hAnsi="Arial" w:cs="Arial"/>
          <w:i/>
          <w:sz w:val="20"/>
          <w:szCs w:val="20"/>
        </w:rPr>
        <w:t>zavedením elektronizácie procesov,</w:t>
      </w:r>
    </w:p>
    <w:p w:rsidR="004A7083" w:rsidRPr="00EF0531" w:rsidRDefault="004A7083" w:rsidP="001540E7">
      <w:pPr>
        <w:pStyle w:val="Odsekzoznamu"/>
        <w:numPr>
          <w:ilvl w:val="0"/>
          <w:numId w:val="64"/>
        </w:numPr>
        <w:spacing w:before="120" w:after="0" w:line="360" w:lineRule="auto"/>
        <w:ind w:left="357" w:hanging="357"/>
        <w:jc w:val="both"/>
        <w:rPr>
          <w:rFonts w:ascii="Arial" w:hAnsi="Arial" w:cs="Arial"/>
          <w:i/>
          <w:sz w:val="20"/>
          <w:szCs w:val="20"/>
        </w:rPr>
      </w:pPr>
      <w:r w:rsidRPr="00EF0531">
        <w:rPr>
          <w:rFonts w:ascii="Arial" w:hAnsi="Arial" w:cs="Arial"/>
          <w:i/>
          <w:sz w:val="20"/>
          <w:szCs w:val="20"/>
        </w:rPr>
        <w:t>zvýšením spokojnosti občanov, podnikateľov a ostatnej verejnosti s verejnou správou,</w:t>
      </w:r>
    </w:p>
    <w:p w:rsidR="004A7083" w:rsidRPr="00EF0531" w:rsidRDefault="004A7083" w:rsidP="001540E7">
      <w:pPr>
        <w:pStyle w:val="Odsekzoznamu"/>
        <w:numPr>
          <w:ilvl w:val="0"/>
          <w:numId w:val="64"/>
        </w:numPr>
        <w:spacing w:before="120" w:after="0" w:line="360" w:lineRule="auto"/>
        <w:ind w:left="357" w:hanging="357"/>
        <w:jc w:val="both"/>
        <w:rPr>
          <w:rFonts w:ascii="Arial" w:hAnsi="Arial" w:cs="Arial"/>
          <w:i/>
          <w:sz w:val="20"/>
          <w:szCs w:val="20"/>
        </w:rPr>
      </w:pPr>
      <w:r w:rsidRPr="00EF0531">
        <w:rPr>
          <w:rFonts w:ascii="Arial" w:hAnsi="Arial" w:cs="Arial"/>
          <w:i/>
          <w:sz w:val="20"/>
          <w:szCs w:val="20"/>
        </w:rPr>
        <w:t>zefektívnením a zvýšením efektívnosti verejnej správy.</w:t>
      </w:r>
    </w:p>
    <w:p w:rsidR="004A7083" w:rsidRPr="00EF0531" w:rsidRDefault="004A7083" w:rsidP="004A7083">
      <w:pPr>
        <w:spacing w:before="120" w:line="360" w:lineRule="auto"/>
        <w:jc w:val="both"/>
        <w:rPr>
          <w:rFonts w:ascii="Arial" w:hAnsi="Arial" w:cs="Arial"/>
          <w:i/>
          <w:sz w:val="20"/>
          <w:szCs w:val="20"/>
        </w:rPr>
      </w:pPr>
      <w:r w:rsidRPr="00EF0531">
        <w:rPr>
          <w:rFonts w:ascii="Arial" w:hAnsi="Arial" w:cs="Arial"/>
          <w:sz w:val="20"/>
          <w:szCs w:val="20"/>
        </w:rPr>
        <w:t>Pri ukazovateľoch „</w:t>
      </w:r>
      <w:r w:rsidRPr="00EF0531">
        <w:rPr>
          <w:rFonts w:ascii="Arial" w:hAnsi="Arial" w:cs="Arial"/>
          <w:i/>
          <w:sz w:val="20"/>
          <w:szCs w:val="20"/>
        </w:rPr>
        <w:t>Počet zjednotených systémov prenosu dát z NMSKO (Národnej monitorovacej siete kvality ovzdušia) do centrálnej databázy</w:t>
      </w:r>
      <w:r w:rsidRPr="00EF0531">
        <w:rPr>
          <w:rFonts w:ascii="Arial" w:hAnsi="Arial" w:cs="Arial"/>
          <w:sz w:val="20"/>
          <w:szCs w:val="20"/>
        </w:rPr>
        <w:t>“ a „</w:t>
      </w:r>
      <w:r w:rsidRPr="00EF0531">
        <w:rPr>
          <w:rFonts w:ascii="Arial" w:hAnsi="Arial" w:cs="Arial"/>
          <w:i/>
          <w:sz w:val="20"/>
          <w:szCs w:val="20"/>
        </w:rPr>
        <w:t>Počet zavedených Informačných systémov environmentálnych záťaží ako súčasti informačného systému verejnej správy</w:t>
      </w:r>
      <w:r w:rsidRPr="00EF0531">
        <w:rPr>
          <w:rFonts w:ascii="Arial" w:hAnsi="Arial" w:cs="Arial"/>
          <w:sz w:val="20"/>
          <w:szCs w:val="20"/>
        </w:rPr>
        <w:t>“ došlo k splneniu stanovenej cieľovej hodnoty. Ukazovateľ „</w:t>
      </w:r>
      <w:r w:rsidRPr="00EF0531">
        <w:rPr>
          <w:rFonts w:ascii="Arial" w:hAnsi="Arial" w:cs="Arial"/>
          <w:i/>
          <w:sz w:val="20"/>
          <w:szCs w:val="20"/>
        </w:rPr>
        <w:t xml:space="preserve">Počet zmodernizovaných a novo nainštalovaných monitorovacích staníc Národnej monitorovacej siete kvality ovzdušia“ </w:t>
      </w:r>
      <w:r w:rsidRPr="00EF0531">
        <w:rPr>
          <w:rFonts w:ascii="Arial" w:hAnsi="Arial" w:cs="Arial"/>
          <w:sz w:val="20"/>
          <w:szCs w:val="20"/>
        </w:rPr>
        <w:t>už dosiahol deklarovanú hodnotu prijímateľmi (27) a splnil na 108 % cieľovú hodnotu OP (25).</w:t>
      </w:r>
    </w:p>
    <w:p w:rsidR="004A7083" w:rsidRPr="00EF0531" w:rsidRDefault="004A7083" w:rsidP="004A7083">
      <w:pPr>
        <w:spacing w:before="120" w:line="360" w:lineRule="auto"/>
        <w:jc w:val="both"/>
        <w:rPr>
          <w:rFonts w:ascii="Arial" w:hAnsi="Arial" w:cs="Arial"/>
          <w:sz w:val="20"/>
          <w:szCs w:val="20"/>
        </w:rPr>
      </w:pPr>
      <w:r w:rsidRPr="00EF0531">
        <w:rPr>
          <w:rFonts w:ascii="Arial" w:hAnsi="Arial" w:cs="Arial"/>
          <w:sz w:val="20"/>
          <w:szCs w:val="20"/>
        </w:rPr>
        <w:t xml:space="preserve">Relevancia opatrení 5.1 Zabezpečenie priaznivého stavu biotopov a druhov prostredníctvom vypracovania a realizácie programov starostlivosti o chránené územia vrátane území NATURA 2000 a programov záchrany pre kriticky ohrozené druhy rastlín živočíchov a území vrátane realizácie monitoringu druhov a biotopov a 5.2 Zlepšenie infraštruktúry ochrany prírody a krajiny prostredníctvom budovania a rozvoja zariadení ochrany prírody a krajiny vrátane zavedenia monitorovacích systémov za účelom plnenia národných a medzinárodných záväzkov boli identifikované v rámci špecifických cieľov HP IS 2 </w:t>
      </w:r>
      <w:r w:rsidRPr="00EF0531">
        <w:rPr>
          <w:rFonts w:ascii="Arial" w:hAnsi="Arial" w:cs="Arial"/>
          <w:i/>
          <w:sz w:val="20"/>
          <w:szCs w:val="20"/>
        </w:rPr>
        <w:t>Efektívna elektronizácia verejnej správy</w:t>
      </w:r>
      <w:r w:rsidRPr="00EF0531">
        <w:rPr>
          <w:rFonts w:ascii="Arial" w:hAnsi="Arial" w:cs="Arial"/>
          <w:sz w:val="20"/>
          <w:szCs w:val="20"/>
        </w:rPr>
        <w:t xml:space="preserve"> a HP IS 3 </w:t>
      </w:r>
      <w:r w:rsidRPr="00EF0531">
        <w:rPr>
          <w:rFonts w:ascii="Arial" w:hAnsi="Arial" w:cs="Arial"/>
          <w:i/>
          <w:sz w:val="20"/>
          <w:szCs w:val="20"/>
        </w:rPr>
        <w:t>Široká dostupnosť internetu</w:t>
      </w:r>
      <w:r w:rsidRPr="00EF0531">
        <w:rPr>
          <w:rFonts w:ascii="Arial" w:hAnsi="Arial" w:cs="Arial"/>
          <w:sz w:val="20"/>
          <w:szCs w:val="20"/>
        </w:rPr>
        <w:t>. Plnenie opatrenia 5.1 je zabezpečované prostredníctvom ukazovateľa a jeho meraných hodnôt „</w:t>
      </w:r>
      <w:r w:rsidRPr="00EF0531">
        <w:rPr>
          <w:rFonts w:ascii="Arial" w:hAnsi="Arial" w:cs="Arial"/>
          <w:i/>
          <w:sz w:val="20"/>
          <w:szCs w:val="20"/>
        </w:rPr>
        <w:t>Počet vytvorených čiastkových databáz informačného systému (pre skupinu rastlín, živočíchov, biotopov)“.</w:t>
      </w:r>
      <w:r w:rsidRPr="00EF0531">
        <w:rPr>
          <w:rFonts w:ascii="Arial" w:hAnsi="Arial" w:cs="Arial"/>
          <w:sz w:val="20"/>
          <w:szCs w:val="20"/>
        </w:rPr>
        <w:t xml:space="preserve"> Meraná hodnota tohto ukazovateľa k 31.12.2012 je na úrovni 3,3 a na základe deklarovaných hodnôt prijímateľmi pomoci z uzavretých zmlúv možno očakávať naplnenie ukazovateľa v počte 14 vytvorených čiastkových databáz informačného systému. V budúcom období možno očakávať výrazný progres v plnení opatrenia 5.2 prostredníctvom merateľného ukazovateľa „</w:t>
      </w:r>
      <w:r w:rsidRPr="00EF0531">
        <w:rPr>
          <w:rFonts w:ascii="Arial" w:hAnsi="Arial" w:cs="Arial"/>
          <w:i/>
          <w:sz w:val="20"/>
          <w:szCs w:val="20"/>
        </w:rPr>
        <w:t xml:space="preserve">Počet druhov rastlín a živočíchov a typov biotopov, ktoré sú súčasťou informačného systému monitoringu biotopov a druhov“, </w:t>
      </w:r>
      <w:r w:rsidRPr="00EF0531">
        <w:rPr>
          <w:rFonts w:ascii="Arial" w:hAnsi="Arial" w:cs="Arial"/>
          <w:sz w:val="20"/>
          <w:szCs w:val="20"/>
        </w:rPr>
        <w:t>nakoľko očakávaná hodnota tohto ukazovateľa deklarovaná prijímateľmi pomoci na  základe uzatvorených zmlúv je na úrovni 359.</w:t>
      </w:r>
    </w:p>
    <w:p w:rsidR="00F94008" w:rsidRPr="00EF0531" w:rsidRDefault="004A7083" w:rsidP="004A7083">
      <w:pPr>
        <w:spacing w:before="120" w:line="360" w:lineRule="auto"/>
        <w:jc w:val="both"/>
        <w:rPr>
          <w:rFonts w:ascii="Arial" w:hAnsi="Arial" w:cs="Arial"/>
          <w:sz w:val="20"/>
          <w:szCs w:val="20"/>
        </w:rPr>
      </w:pPr>
      <w:r w:rsidRPr="00EF0531">
        <w:rPr>
          <w:rFonts w:ascii="Arial" w:hAnsi="Arial" w:cs="Arial"/>
          <w:sz w:val="20"/>
          <w:szCs w:val="20"/>
        </w:rPr>
        <w:t xml:space="preserve">Pôvodný operačný cieľ 2.2 Vybudovanie povodňového varovného a predpovedného systému POVAPSYS je po schválení revízie OP ŽP EK zo dňa 9.6.2011 samostatnou PO 7 Budovanie povodňového varovného a predpovedného systému (POVAPSYS). PO prispieva k napĺňaniu špecifických cieľov HP IS 2 </w:t>
      </w:r>
      <w:r w:rsidRPr="00EF0531">
        <w:rPr>
          <w:rFonts w:ascii="Arial" w:hAnsi="Arial" w:cs="Arial"/>
          <w:i/>
          <w:sz w:val="20"/>
          <w:szCs w:val="20"/>
        </w:rPr>
        <w:t>Efektívna elektronizácia verejnej správy</w:t>
      </w:r>
      <w:r w:rsidRPr="00EF0531">
        <w:rPr>
          <w:rFonts w:ascii="Arial" w:hAnsi="Arial" w:cs="Arial"/>
          <w:sz w:val="20"/>
          <w:szCs w:val="20"/>
        </w:rPr>
        <w:t xml:space="preserve"> a HP IS 3 </w:t>
      </w:r>
      <w:r w:rsidRPr="00EF0531">
        <w:rPr>
          <w:rFonts w:ascii="Arial" w:hAnsi="Arial" w:cs="Arial"/>
          <w:i/>
          <w:sz w:val="20"/>
          <w:szCs w:val="20"/>
        </w:rPr>
        <w:t>Široká dostupnosť internetu</w:t>
      </w:r>
      <w:r w:rsidRPr="00EF0531">
        <w:rPr>
          <w:rFonts w:ascii="Arial" w:hAnsi="Arial" w:cs="Arial"/>
          <w:sz w:val="20"/>
          <w:szCs w:val="20"/>
        </w:rPr>
        <w:t xml:space="preserve">. </w:t>
      </w:r>
      <w:r w:rsidR="00F94008" w:rsidRPr="00EF0531">
        <w:rPr>
          <w:rFonts w:ascii="Arial" w:hAnsi="Arial" w:cs="Arial"/>
          <w:sz w:val="20"/>
          <w:szCs w:val="20"/>
        </w:rPr>
        <w:t>Výzva v rámci PO 7 bola vyhlásená k 31.10.2012 a k 31</w:t>
      </w:r>
      <w:r w:rsidRPr="00EF0531">
        <w:rPr>
          <w:rFonts w:ascii="Arial" w:hAnsi="Arial" w:cs="Arial"/>
          <w:sz w:val="20"/>
          <w:szCs w:val="20"/>
        </w:rPr>
        <w:t xml:space="preserve">.12.2012 </w:t>
      </w:r>
      <w:r w:rsidR="00F94008" w:rsidRPr="00EF0531">
        <w:rPr>
          <w:rFonts w:ascii="Arial" w:hAnsi="Arial" w:cs="Arial"/>
          <w:sz w:val="20"/>
          <w:szCs w:val="20"/>
        </w:rPr>
        <w:t>nebola predmetná výzva uzavretá.</w:t>
      </w:r>
    </w:p>
    <w:p w:rsidR="002416B1" w:rsidRPr="00EF0531" w:rsidRDefault="002416B1" w:rsidP="00F94008">
      <w:pPr>
        <w:rPr>
          <w:rFonts w:ascii="Arial" w:hAnsi="Arial" w:cs="Arial"/>
          <w:sz w:val="20"/>
          <w:szCs w:val="20"/>
        </w:rPr>
      </w:pPr>
      <w:r w:rsidRPr="00EF0531">
        <w:rPr>
          <w:rFonts w:ascii="Arial" w:hAnsi="Arial" w:cs="Arial"/>
          <w:sz w:val="20"/>
          <w:szCs w:val="20"/>
        </w:rPr>
        <w:t xml:space="preserve">Tab. č. </w:t>
      </w:r>
      <w:r w:rsidR="00254D6C">
        <w:rPr>
          <w:rFonts w:ascii="Arial" w:hAnsi="Arial" w:cs="Arial"/>
          <w:sz w:val="20"/>
          <w:szCs w:val="20"/>
        </w:rPr>
        <w:t>69</w:t>
      </w:r>
      <w:r w:rsidRPr="00EF0531">
        <w:rPr>
          <w:rFonts w:ascii="Arial" w:hAnsi="Arial" w:cs="Arial"/>
          <w:sz w:val="20"/>
          <w:szCs w:val="20"/>
        </w:rPr>
        <w:t>: Plnenie fyzických ukazovateľov HP IS na úrovni NSRR k 31.12.201</w:t>
      </w:r>
      <w:r w:rsidR="00C7475B" w:rsidRPr="00EF0531">
        <w:rPr>
          <w:rFonts w:ascii="Arial" w:hAnsi="Arial" w:cs="Arial"/>
          <w:sz w:val="20"/>
          <w:szCs w:val="20"/>
        </w:rPr>
        <w:t>2</w:t>
      </w:r>
    </w:p>
    <w:tbl>
      <w:tblPr>
        <w:tblW w:w="9639" w:type="dxa"/>
        <w:tblInd w:w="55" w:type="dxa"/>
        <w:tblCellMar>
          <w:left w:w="70" w:type="dxa"/>
          <w:right w:w="70" w:type="dxa"/>
        </w:tblCellMar>
        <w:tblLook w:val="04A0" w:firstRow="1" w:lastRow="0" w:firstColumn="1" w:lastColumn="0" w:noHBand="0" w:noVBand="1"/>
      </w:tblPr>
      <w:tblGrid>
        <w:gridCol w:w="1048"/>
        <w:gridCol w:w="959"/>
        <w:gridCol w:w="518"/>
        <w:gridCol w:w="518"/>
        <w:gridCol w:w="777"/>
        <w:gridCol w:w="778"/>
        <w:gridCol w:w="907"/>
        <w:gridCol w:w="630"/>
        <w:gridCol w:w="518"/>
        <w:gridCol w:w="518"/>
        <w:gridCol w:w="719"/>
        <w:gridCol w:w="777"/>
        <w:gridCol w:w="1075"/>
      </w:tblGrid>
      <w:tr w:rsidR="002416B1" w:rsidRPr="00EF0531" w:rsidTr="00632479">
        <w:trPr>
          <w:trHeight w:val="402"/>
        </w:trPr>
        <w:tc>
          <w:tcPr>
            <w:tcW w:w="2007" w:type="dxa"/>
            <w:gridSpan w:val="2"/>
            <w:tcBorders>
              <w:top w:val="single" w:sz="4" w:space="0" w:color="auto"/>
              <w:left w:val="single" w:sz="4" w:space="0" w:color="auto"/>
              <w:bottom w:val="single" w:sz="4" w:space="0" w:color="auto"/>
              <w:right w:val="single" w:sz="4" w:space="0" w:color="000000"/>
            </w:tcBorders>
            <w:shd w:val="clear" w:color="000000" w:fill="D6E3BC"/>
            <w:noWrap/>
            <w:vAlign w:val="center"/>
          </w:tcPr>
          <w:p w:rsidR="002416B1" w:rsidRPr="00EF0531" w:rsidRDefault="002416B1" w:rsidP="008216A0">
            <w:pPr>
              <w:jc w:val="center"/>
              <w:rPr>
                <w:rFonts w:ascii="Arial" w:hAnsi="Arial" w:cs="Arial"/>
                <w:b/>
                <w:bCs/>
                <w:sz w:val="16"/>
                <w:szCs w:val="16"/>
              </w:rPr>
            </w:pPr>
            <w:r w:rsidRPr="00EF0531">
              <w:rPr>
                <w:rFonts w:ascii="Arial" w:hAnsi="Arial" w:cs="Arial"/>
                <w:b/>
                <w:bCs/>
                <w:sz w:val="16"/>
                <w:szCs w:val="16"/>
              </w:rPr>
              <w:t>Ukazovatele</w:t>
            </w:r>
          </w:p>
        </w:tc>
        <w:tc>
          <w:tcPr>
            <w:tcW w:w="518" w:type="dxa"/>
            <w:tcBorders>
              <w:top w:val="single" w:sz="4" w:space="0" w:color="auto"/>
              <w:left w:val="nil"/>
              <w:bottom w:val="nil"/>
              <w:right w:val="single" w:sz="4" w:space="0" w:color="auto"/>
            </w:tcBorders>
            <w:shd w:val="clear" w:color="000000" w:fill="D6E3BC"/>
            <w:noWrap/>
            <w:vAlign w:val="center"/>
          </w:tcPr>
          <w:p w:rsidR="002416B1" w:rsidRPr="00EF0531" w:rsidRDefault="002416B1" w:rsidP="008216A0">
            <w:pPr>
              <w:jc w:val="center"/>
              <w:rPr>
                <w:rFonts w:ascii="Arial" w:hAnsi="Arial" w:cs="Arial"/>
                <w:b/>
                <w:bCs/>
                <w:sz w:val="16"/>
                <w:szCs w:val="16"/>
              </w:rPr>
            </w:pPr>
            <w:r w:rsidRPr="00EF0531">
              <w:rPr>
                <w:rFonts w:ascii="Arial" w:hAnsi="Arial" w:cs="Arial"/>
                <w:b/>
                <w:bCs/>
                <w:sz w:val="16"/>
                <w:szCs w:val="16"/>
              </w:rPr>
              <w:t>2007</w:t>
            </w:r>
          </w:p>
        </w:tc>
        <w:tc>
          <w:tcPr>
            <w:tcW w:w="518" w:type="dxa"/>
            <w:tcBorders>
              <w:top w:val="single" w:sz="4" w:space="0" w:color="auto"/>
              <w:left w:val="nil"/>
              <w:bottom w:val="single" w:sz="4" w:space="0" w:color="auto"/>
              <w:right w:val="single" w:sz="4" w:space="0" w:color="auto"/>
            </w:tcBorders>
            <w:shd w:val="clear" w:color="000000" w:fill="D6E3BC"/>
            <w:noWrap/>
            <w:vAlign w:val="center"/>
          </w:tcPr>
          <w:p w:rsidR="002416B1" w:rsidRPr="00EF0531" w:rsidRDefault="002416B1" w:rsidP="008216A0">
            <w:pPr>
              <w:jc w:val="center"/>
              <w:rPr>
                <w:rFonts w:ascii="Arial" w:hAnsi="Arial" w:cs="Arial"/>
                <w:b/>
                <w:bCs/>
                <w:sz w:val="16"/>
                <w:szCs w:val="16"/>
              </w:rPr>
            </w:pPr>
            <w:r w:rsidRPr="00EF0531">
              <w:rPr>
                <w:rFonts w:ascii="Arial" w:hAnsi="Arial" w:cs="Arial"/>
                <w:b/>
                <w:bCs/>
                <w:sz w:val="16"/>
                <w:szCs w:val="16"/>
              </w:rPr>
              <w:t>2008</w:t>
            </w:r>
          </w:p>
        </w:tc>
        <w:tc>
          <w:tcPr>
            <w:tcW w:w="777" w:type="dxa"/>
            <w:tcBorders>
              <w:top w:val="single" w:sz="4" w:space="0" w:color="auto"/>
              <w:left w:val="nil"/>
              <w:bottom w:val="nil"/>
              <w:right w:val="single" w:sz="4" w:space="0" w:color="auto"/>
            </w:tcBorders>
            <w:shd w:val="clear" w:color="000000" w:fill="D6E3BC"/>
            <w:noWrap/>
            <w:vAlign w:val="center"/>
          </w:tcPr>
          <w:p w:rsidR="002416B1" w:rsidRPr="00EF0531" w:rsidRDefault="002416B1" w:rsidP="008216A0">
            <w:pPr>
              <w:jc w:val="center"/>
              <w:rPr>
                <w:rFonts w:ascii="Arial" w:hAnsi="Arial" w:cs="Arial"/>
                <w:b/>
                <w:bCs/>
                <w:sz w:val="16"/>
                <w:szCs w:val="16"/>
              </w:rPr>
            </w:pPr>
            <w:r w:rsidRPr="00EF0531">
              <w:rPr>
                <w:rFonts w:ascii="Arial" w:hAnsi="Arial" w:cs="Arial"/>
                <w:b/>
                <w:bCs/>
                <w:sz w:val="16"/>
                <w:szCs w:val="16"/>
              </w:rPr>
              <w:t>2009</w:t>
            </w:r>
          </w:p>
        </w:tc>
        <w:tc>
          <w:tcPr>
            <w:tcW w:w="778" w:type="dxa"/>
            <w:tcBorders>
              <w:top w:val="single" w:sz="4" w:space="0" w:color="auto"/>
              <w:left w:val="nil"/>
              <w:bottom w:val="nil"/>
              <w:right w:val="single" w:sz="4" w:space="0" w:color="auto"/>
            </w:tcBorders>
            <w:shd w:val="clear" w:color="000000" w:fill="D6E3BC"/>
            <w:noWrap/>
            <w:vAlign w:val="center"/>
          </w:tcPr>
          <w:p w:rsidR="002416B1" w:rsidRPr="00EF0531" w:rsidRDefault="002416B1" w:rsidP="008216A0">
            <w:pPr>
              <w:jc w:val="center"/>
              <w:rPr>
                <w:rFonts w:ascii="Arial" w:hAnsi="Arial" w:cs="Arial"/>
                <w:b/>
                <w:bCs/>
                <w:sz w:val="16"/>
                <w:szCs w:val="16"/>
              </w:rPr>
            </w:pPr>
            <w:r w:rsidRPr="00EF0531">
              <w:rPr>
                <w:rFonts w:ascii="Arial" w:hAnsi="Arial" w:cs="Arial"/>
                <w:b/>
                <w:bCs/>
                <w:sz w:val="16"/>
                <w:szCs w:val="16"/>
              </w:rPr>
              <w:t>2010</w:t>
            </w:r>
          </w:p>
        </w:tc>
        <w:tc>
          <w:tcPr>
            <w:tcW w:w="907" w:type="dxa"/>
            <w:tcBorders>
              <w:top w:val="single" w:sz="4" w:space="0" w:color="auto"/>
              <w:left w:val="nil"/>
              <w:bottom w:val="nil"/>
              <w:right w:val="single" w:sz="4" w:space="0" w:color="auto"/>
            </w:tcBorders>
            <w:shd w:val="clear" w:color="000000" w:fill="D6E3BC"/>
            <w:noWrap/>
            <w:vAlign w:val="center"/>
          </w:tcPr>
          <w:p w:rsidR="002416B1" w:rsidRPr="00EF0531" w:rsidRDefault="002416B1" w:rsidP="008216A0">
            <w:pPr>
              <w:jc w:val="center"/>
              <w:rPr>
                <w:rFonts w:ascii="Arial" w:hAnsi="Arial" w:cs="Arial"/>
                <w:b/>
                <w:bCs/>
                <w:sz w:val="16"/>
                <w:szCs w:val="16"/>
              </w:rPr>
            </w:pPr>
            <w:r w:rsidRPr="00EF0531">
              <w:rPr>
                <w:rFonts w:ascii="Arial" w:hAnsi="Arial" w:cs="Arial"/>
                <w:b/>
                <w:bCs/>
                <w:sz w:val="16"/>
                <w:szCs w:val="16"/>
              </w:rPr>
              <w:t>2011</w:t>
            </w:r>
          </w:p>
        </w:tc>
        <w:tc>
          <w:tcPr>
            <w:tcW w:w="585" w:type="dxa"/>
            <w:tcBorders>
              <w:top w:val="single" w:sz="4" w:space="0" w:color="auto"/>
              <w:left w:val="nil"/>
              <w:bottom w:val="nil"/>
              <w:right w:val="single" w:sz="4" w:space="0" w:color="auto"/>
            </w:tcBorders>
            <w:shd w:val="clear" w:color="000000" w:fill="D6E3BC"/>
            <w:noWrap/>
            <w:vAlign w:val="center"/>
          </w:tcPr>
          <w:p w:rsidR="002416B1" w:rsidRPr="00EF0531" w:rsidRDefault="002416B1" w:rsidP="008216A0">
            <w:pPr>
              <w:jc w:val="center"/>
              <w:rPr>
                <w:rFonts w:ascii="Arial" w:hAnsi="Arial" w:cs="Arial"/>
                <w:b/>
                <w:bCs/>
                <w:sz w:val="16"/>
                <w:szCs w:val="16"/>
              </w:rPr>
            </w:pPr>
            <w:r w:rsidRPr="00EF0531">
              <w:rPr>
                <w:rFonts w:ascii="Arial" w:hAnsi="Arial" w:cs="Arial"/>
                <w:b/>
                <w:bCs/>
                <w:sz w:val="16"/>
                <w:szCs w:val="16"/>
              </w:rPr>
              <w:t>2012</w:t>
            </w:r>
          </w:p>
        </w:tc>
        <w:tc>
          <w:tcPr>
            <w:tcW w:w="518" w:type="dxa"/>
            <w:tcBorders>
              <w:top w:val="single" w:sz="4" w:space="0" w:color="auto"/>
              <w:left w:val="nil"/>
              <w:bottom w:val="nil"/>
              <w:right w:val="single" w:sz="4" w:space="0" w:color="auto"/>
            </w:tcBorders>
            <w:shd w:val="clear" w:color="000000" w:fill="D6E3BC"/>
            <w:noWrap/>
            <w:vAlign w:val="center"/>
          </w:tcPr>
          <w:p w:rsidR="002416B1" w:rsidRPr="00EF0531" w:rsidRDefault="002416B1" w:rsidP="008216A0">
            <w:pPr>
              <w:jc w:val="center"/>
              <w:rPr>
                <w:rFonts w:ascii="Arial" w:hAnsi="Arial" w:cs="Arial"/>
                <w:b/>
                <w:bCs/>
                <w:sz w:val="16"/>
                <w:szCs w:val="16"/>
              </w:rPr>
            </w:pPr>
            <w:r w:rsidRPr="00EF0531">
              <w:rPr>
                <w:rFonts w:ascii="Arial" w:hAnsi="Arial" w:cs="Arial"/>
                <w:b/>
                <w:bCs/>
                <w:sz w:val="16"/>
                <w:szCs w:val="16"/>
              </w:rPr>
              <w:t>2013</w:t>
            </w:r>
          </w:p>
        </w:tc>
        <w:tc>
          <w:tcPr>
            <w:tcW w:w="518" w:type="dxa"/>
            <w:tcBorders>
              <w:top w:val="single" w:sz="4" w:space="0" w:color="auto"/>
              <w:left w:val="nil"/>
              <w:bottom w:val="nil"/>
              <w:right w:val="single" w:sz="4" w:space="0" w:color="auto"/>
            </w:tcBorders>
            <w:shd w:val="clear" w:color="000000" w:fill="D6E3BC"/>
            <w:noWrap/>
            <w:vAlign w:val="center"/>
          </w:tcPr>
          <w:p w:rsidR="002416B1" w:rsidRPr="00EF0531" w:rsidRDefault="002416B1" w:rsidP="008216A0">
            <w:pPr>
              <w:jc w:val="center"/>
              <w:rPr>
                <w:rFonts w:ascii="Arial" w:hAnsi="Arial" w:cs="Arial"/>
                <w:b/>
                <w:bCs/>
                <w:sz w:val="16"/>
                <w:szCs w:val="16"/>
              </w:rPr>
            </w:pPr>
            <w:r w:rsidRPr="00EF0531">
              <w:rPr>
                <w:rFonts w:ascii="Arial" w:hAnsi="Arial" w:cs="Arial"/>
                <w:b/>
                <w:bCs/>
                <w:sz w:val="16"/>
                <w:szCs w:val="16"/>
              </w:rPr>
              <w:t>2014</w:t>
            </w:r>
          </w:p>
        </w:tc>
        <w:tc>
          <w:tcPr>
            <w:tcW w:w="719" w:type="dxa"/>
            <w:tcBorders>
              <w:top w:val="single" w:sz="4" w:space="0" w:color="auto"/>
              <w:left w:val="nil"/>
              <w:bottom w:val="nil"/>
              <w:right w:val="single" w:sz="4" w:space="0" w:color="auto"/>
            </w:tcBorders>
            <w:shd w:val="clear" w:color="000000" w:fill="D6E3BC"/>
            <w:noWrap/>
            <w:vAlign w:val="center"/>
          </w:tcPr>
          <w:p w:rsidR="002416B1" w:rsidRPr="00EF0531" w:rsidRDefault="002416B1" w:rsidP="008216A0">
            <w:pPr>
              <w:jc w:val="center"/>
              <w:rPr>
                <w:rFonts w:ascii="Arial" w:hAnsi="Arial" w:cs="Arial"/>
                <w:b/>
                <w:bCs/>
                <w:sz w:val="16"/>
                <w:szCs w:val="16"/>
              </w:rPr>
            </w:pPr>
            <w:r w:rsidRPr="00EF0531">
              <w:rPr>
                <w:rFonts w:ascii="Arial" w:hAnsi="Arial" w:cs="Arial"/>
                <w:b/>
                <w:bCs/>
                <w:sz w:val="16"/>
                <w:szCs w:val="16"/>
              </w:rPr>
              <w:t>2015</w:t>
            </w:r>
          </w:p>
        </w:tc>
        <w:tc>
          <w:tcPr>
            <w:tcW w:w="777" w:type="dxa"/>
            <w:tcBorders>
              <w:top w:val="single" w:sz="4" w:space="0" w:color="auto"/>
              <w:left w:val="nil"/>
              <w:bottom w:val="nil"/>
              <w:right w:val="single" w:sz="4" w:space="0" w:color="auto"/>
            </w:tcBorders>
            <w:shd w:val="clear" w:color="000000" w:fill="D6E3BC"/>
            <w:noWrap/>
            <w:vAlign w:val="center"/>
          </w:tcPr>
          <w:p w:rsidR="002416B1" w:rsidRPr="00EF0531" w:rsidRDefault="00F94008" w:rsidP="008216A0">
            <w:pPr>
              <w:jc w:val="center"/>
              <w:rPr>
                <w:rFonts w:ascii="Arial" w:hAnsi="Arial" w:cs="Arial"/>
                <w:b/>
                <w:bCs/>
                <w:sz w:val="16"/>
                <w:szCs w:val="16"/>
              </w:rPr>
            </w:pPr>
            <w:r w:rsidRPr="00EF0531">
              <w:rPr>
                <w:rFonts w:ascii="Arial" w:hAnsi="Arial" w:cs="Arial"/>
                <w:b/>
                <w:bCs/>
                <w:sz w:val="16"/>
                <w:szCs w:val="16"/>
              </w:rPr>
              <w:t>Celkom</w:t>
            </w:r>
          </w:p>
        </w:tc>
        <w:tc>
          <w:tcPr>
            <w:tcW w:w="1017" w:type="dxa"/>
            <w:tcBorders>
              <w:top w:val="single" w:sz="4" w:space="0" w:color="auto"/>
              <w:left w:val="nil"/>
              <w:bottom w:val="nil"/>
              <w:right w:val="single" w:sz="4" w:space="0" w:color="auto"/>
            </w:tcBorders>
            <w:shd w:val="clear" w:color="000000" w:fill="D6E3BC"/>
            <w:noWrap/>
            <w:vAlign w:val="center"/>
          </w:tcPr>
          <w:p w:rsidR="002416B1" w:rsidRPr="00EF0531" w:rsidRDefault="002416B1" w:rsidP="008216A0">
            <w:pPr>
              <w:jc w:val="center"/>
              <w:rPr>
                <w:rFonts w:ascii="Arial" w:hAnsi="Arial" w:cs="Arial"/>
                <w:b/>
                <w:bCs/>
                <w:sz w:val="16"/>
                <w:szCs w:val="16"/>
                <w:vertAlign w:val="superscript"/>
              </w:rPr>
            </w:pPr>
            <w:r w:rsidRPr="00EF0531">
              <w:rPr>
                <w:rFonts w:ascii="Arial" w:hAnsi="Arial" w:cs="Arial"/>
                <w:b/>
                <w:bCs/>
                <w:sz w:val="16"/>
                <w:szCs w:val="16"/>
              </w:rPr>
              <w:t>Komentár</w:t>
            </w:r>
            <w:r w:rsidR="00BA6D8C" w:rsidRPr="00EF0531">
              <w:rPr>
                <w:rFonts w:ascii="Arial" w:hAnsi="Arial" w:cs="Arial"/>
                <w:b/>
                <w:bCs/>
                <w:sz w:val="16"/>
                <w:szCs w:val="16"/>
                <w:vertAlign w:val="superscript"/>
              </w:rPr>
              <w:t>1</w:t>
            </w:r>
          </w:p>
        </w:tc>
      </w:tr>
      <w:tr w:rsidR="002416B1" w:rsidRPr="00EF0531" w:rsidTr="00632479">
        <w:trPr>
          <w:trHeight w:val="545"/>
        </w:trPr>
        <w:tc>
          <w:tcPr>
            <w:tcW w:w="1048" w:type="dxa"/>
            <w:vMerge w:val="restart"/>
            <w:tcBorders>
              <w:top w:val="single" w:sz="4" w:space="0" w:color="auto"/>
              <w:left w:val="single" w:sz="4" w:space="0" w:color="auto"/>
              <w:bottom w:val="single" w:sz="4" w:space="0" w:color="000000"/>
              <w:right w:val="single" w:sz="4" w:space="0" w:color="auto"/>
            </w:tcBorders>
            <w:vAlign w:val="center"/>
          </w:tcPr>
          <w:p w:rsidR="002416B1" w:rsidRPr="00EF0531" w:rsidRDefault="002416B1" w:rsidP="00F94008">
            <w:pPr>
              <w:rPr>
                <w:rFonts w:ascii="Arial" w:hAnsi="Arial" w:cs="Arial"/>
                <w:sz w:val="16"/>
                <w:szCs w:val="16"/>
              </w:rPr>
            </w:pPr>
            <w:r w:rsidRPr="00EF0531">
              <w:rPr>
                <w:rFonts w:ascii="Arial" w:hAnsi="Arial" w:cs="Arial"/>
                <w:sz w:val="16"/>
                <w:szCs w:val="16"/>
              </w:rPr>
              <w:t xml:space="preserve">Počet projektov s príspevkom k </w:t>
            </w:r>
            <w:r w:rsidR="00F94008" w:rsidRPr="00EF0531">
              <w:rPr>
                <w:rFonts w:ascii="Arial" w:hAnsi="Arial" w:cs="Arial"/>
                <w:sz w:val="16"/>
                <w:szCs w:val="16"/>
              </w:rPr>
              <w:t>HP IS</w:t>
            </w:r>
            <w:r w:rsidR="0046010F" w:rsidRPr="00EF0531">
              <w:rPr>
                <w:rFonts w:ascii="Arial" w:hAnsi="Arial" w:cs="Arial"/>
                <w:sz w:val="16"/>
                <w:szCs w:val="16"/>
              </w:rPr>
              <w:t xml:space="preserve"> [počet]</w:t>
            </w:r>
          </w:p>
          <w:p w:rsidR="00F94008" w:rsidRPr="00EF0531" w:rsidRDefault="00F94008" w:rsidP="00F94008">
            <w:pPr>
              <w:rPr>
                <w:rFonts w:ascii="Arial" w:hAnsi="Arial" w:cs="Arial"/>
                <w:sz w:val="16"/>
                <w:szCs w:val="16"/>
              </w:rPr>
            </w:pPr>
            <w:r w:rsidRPr="00EF0531">
              <w:rPr>
                <w:rFonts w:ascii="Arial" w:hAnsi="Arial" w:cs="Arial"/>
                <w:sz w:val="16"/>
                <w:szCs w:val="16"/>
              </w:rPr>
              <w:t>výsledok</w:t>
            </w:r>
          </w:p>
        </w:tc>
        <w:tc>
          <w:tcPr>
            <w:tcW w:w="959" w:type="dxa"/>
            <w:tcBorders>
              <w:top w:val="single" w:sz="4" w:space="0" w:color="auto"/>
              <w:left w:val="nil"/>
              <w:bottom w:val="dotted" w:sz="4" w:space="0" w:color="auto"/>
              <w:right w:val="single" w:sz="4" w:space="0" w:color="auto"/>
            </w:tcBorders>
            <w:noWrap/>
            <w:vAlign w:val="center"/>
          </w:tcPr>
          <w:p w:rsidR="002416B1" w:rsidRPr="00EF0531" w:rsidRDefault="002416B1" w:rsidP="008216A0">
            <w:pPr>
              <w:rPr>
                <w:rFonts w:ascii="Arial" w:hAnsi="Arial" w:cs="Arial"/>
                <w:sz w:val="16"/>
                <w:szCs w:val="16"/>
              </w:rPr>
            </w:pPr>
            <w:r w:rsidRPr="00EF0531">
              <w:rPr>
                <w:rFonts w:ascii="Arial" w:hAnsi="Arial" w:cs="Arial"/>
                <w:sz w:val="16"/>
                <w:szCs w:val="16"/>
              </w:rPr>
              <w:t>Dosiahnutý výsledok</w:t>
            </w:r>
          </w:p>
        </w:tc>
        <w:tc>
          <w:tcPr>
            <w:tcW w:w="518" w:type="dxa"/>
            <w:tcBorders>
              <w:top w:val="single" w:sz="4" w:space="0" w:color="auto"/>
              <w:left w:val="nil"/>
              <w:bottom w:val="dotted" w:sz="4" w:space="0" w:color="auto"/>
              <w:right w:val="dotted" w:sz="4" w:space="0" w:color="auto"/>
            </w:tcBorders>
            <w:noWrap/>
            <w:vAlign w:val="center"/>
          </w:tcPr>
          <w:p w:rsidR="002416B1" w:rsidRPr="00EF0531" w:rsidRDefault="002416B1" w:rsidP="008216A0">
            <w:pPr>
              <w:jc w:val="center"/>
              <w:rPr>
                <w:rFonts w:ascii="Arial" w:hAnsi="Arial" w:cs="Arial"/>
                <w:b/>
                <w:bCs/>
                <w:sz w:val="16"/>
                <w:szCs w:val="16"/>
              </w:rPr>
            </w:pPr>
            <w:r w:rsidRPr="00EF0531">
              <w:rPr>
                <w:rFonts w:ascii="Arial" w:hAnsi="Arial" w:cs="Arial"/>
                <w:b/>
                <w:bCs/>
                <w:sz w:val="16"/>
                <w:szCs w:val="16"/>
              </w:rPr>
              <w:t>0</w:t>
            </w:r>
          </w:p>
        </w:tc>
        <w:tc>
          <w:tcPr>
            <w:tcW w:w="518" w:type="dxa"/>
            <w:tcBorders>
              <w:top w:val="nil"/>
              <w:left w:val="nil"/>
              <w:bottom w:val="dotted" w:sz="4" w:space="0" w:color="auto"/>
              <w:right w:val="dotted" w:sz="4" w:space="0" w:color="auto"/>
            </w:tcBorders>
            <w:noWrap/>
            <w:vAlign w:val="center"/>
          </w:tcPr>
          <w:p w:rsidR="002416B1" w:rsidRPr="00EF0531" w:rsidRDefault="002416B1" w:rsidP="008216A0">
            <w:pPr>
              <w:jc w:val="center"/>
              <w:rPr>
                <w:rFonts w:ascii="Arial" w:hAnsi="Arial" w:cs="Arial"/>
                <w:b/>
                <w:bCs/>
                <w:sz w:val="16"/>
                <w:szCs w:val="16"/>
              </w:rPr>
            </w:pPr>
            <w:r w:rsidRPr="00EF0531">
              <w:rPr>
                <w:rFonts w:ascii="Arial" w:hAnsi="Arial" w:cs="Arial"/>
                <w:b/>
                <w:bCs/>
                <w:sz w:val="16"/>
                <w:szCs w:val="16"/>
              </w:rPr>
              <w:t>0</w:t>
            </w:r>
          </w:p>
        </w:tc>
        <w:tc>
          <w:tcPr>
            <w:tcW w:w="777" w:type="dxa"/>
            <w:tcBorders>
              <w:top w:val="single" w:sz="4" w:space="0" w:color="auto"/>
              <w:left w:val="nil"/>
              <w:bottom w:val="dotted" w:sz="4" w:space="0" w:color="auto"/>
              <w:right w:val="dotted" w:sz="4" w:space="0" w:color="auto"/>
            </w:tcBorders>
            <w:noWrap/>
            <w:vAlign w:val="center"/>
          </w:tcPr>
          <w:p w:rsidR="002416B1" w:rsidRPr="00EF0531" w:rsidRDefault="002416B1" w:rsidP="008216A0">
            <w:pPr>
              <w:jc w:val="center"/>
              <w:rPr>
                <w:rFonts w:ascii="Arial" w:hAnsi="Arial" w:cs="Arial"/>
                <w:b/>
                <w:bCs/>
                <w:sz w:val="16"/>
                <w:szCs w:val="16"/>
              </w:rPr>
            </w:pPr>
            <w:r w:rsidRPr="00EF0531">
              <w:rPr>
                <w:rFonts w:ascii="Arial" w:hAnsi="Arial" w:cs="Arial"/>
                <w:b/>
                <w:bCs/>
                <w:sz w:val="16"/>
                <w:szCs w:val="16"/>
              </w:rPr>
              <w:t>17</w:t>
            </w:r>
          </w:p>
        </w:tc>
        <w:tc>
          <w:tcPr>
            <w:tcW w:w="778" w:type="dxa"/>
            <w:tcBorders>
              <w:top w:val="single" w:sz="4" w:space="0" w:color="auto"/>
              <w:left w:val="nil"/>
              <w:bottom w:val="dotted" w:sz="4" w:space="0" w:color="auto"/>
              <w:right w:val="dotted" w:sz="4" w:space="0" w:color="auto"/>
            </w:tcBorders>
            <w:noWrap/>
            <w:vAlign w:val="center"/>
          </w:tcPr>
          <w:p w:rsidR="002416B1" w:rsidRPr="00EF0531" w:rsidRDefault="002416B1" w:rsidP="008216A0">
            <w:pPr>
              <w:jc w:val="center"/>
              <w:rPr>
                <w:rFonts w:ascii="Arial" w:hAnsi="Arial" w:cs="Arial"/>
                <w:b/>
                <w:bCs/>
                <w:sz w:val="16"/>
                <w:szCs w:val="16"/>
              </w:rPr>
            </w:pPr>
            <w:r w:rsidRPr="00EF0531">
              <w:rPr>
                <w:rFonts w:ascii="Arial" w:hAnsi="Arial" w:cs="Arial"/>
                <w:b/>
                <w:bCs/>
                <w:sz w:val="16"/>
                <w:szCs w:val="16"/>
              </w:rPr>
              <w:t>57</w:t>
            </w:r>
          </w:p>
        </w:tc>
        <w:tc>
          <w:tcPr>
            <w:tcW w:w="907" w:type="dxa"/>
            <w:tcBorders>
              <w:top w:val="single" w:sz="4" w:space="0" w:color="auto"/>
              <w:left w:val="nil"/>
              <w:bottom w:val="dotted" w:sz="4" w:space="0" w:color="auto"/>
              <w:right w:val="dotted" w:sz="4" w:space="0" w:color="auto"/>
            </w:tcBorders>
            <w:noWrap/>
            <w:vAlign w:val="center"/>
          </w:tcPr>
          <w:p w:rsidR="002416B1" w:rsidRPr="00EF0531" w:rsidRDefault="002416B1" w:rsidP="008216A0">
            <w:pPr>
              <w:jc w:val="center"/>
              <w:rPr>
                <w:rFonts w:ascii="Arial" w:hAnsi="Arial" w:cs="Arial"/>
                <w:b/>
                <w:bCs/>
                <w:sz w:val="16"/>
                <w:szCs w:val="16"/>
              </w:rPr>
            </w:pPr>
            <w:r w:rsidRPr="00EF0531">
              <w:rPr>
                <w:rFonts w:ascii="Arial" w:hAnsi="Arial" w:cs="Arial"/>
                <w:b/>
                <w:bCs/>
                <w:sz w:val="16"/>
                <w:szCs w:val="16"/>
              </w:rPr>
              <w:t>61</w:t>
            </w:r>
          </w:p>
        </w:tc>
        <w:tc>
          <w:tcPr>
            <w:tcW w:w="585" w:type="dxa"/>
            <w:tcBorders>
              <w:top w:val="single" w:sz="4" w:space="0" w:color="auto"/>
              <w:left w:val="nil"/>
              <w:bottom w:val="dotted" w:sz="4" w:space="0" w:color="auto"/>
              <w:right w:val="dotted" w:sz="4" w:space="0" w:color="auto"/>
            </w:tcBorders>
            <w:noWrap/>
            <w:vAlign w:val="center"/>
          </w:tcPr>
          <w:p w:rsidR="002416B1" w:rsidRPr="00EF0531" w:rsidRDefault="00F94008" w:rsidP="008216A0">
            <w:pPr>
              <w:jc w:val="center"/>
              <w:rPr>
                <w:rFonts w:ascii="Arial" w:hAnsi="Arial" w:cs="Arial"/>
                <w:i/>
                <w:iCs/>
                <w:sz w:val="16"/>
                <w:szCs w:val="16"/>
              </w:rPr>
            </w:pPr>
            <w:r w:rsidRPr="00EF0531">
              <w:rPr>
                <w:rFonts w:ascii="Arial" w:hAnsi="Arial" w:cs="Arial"/>
                <w:i/>
                <w:iCs/>
                <w:sz w:val="16"/>
                <w:szCs w:val="16"/>
              </w:rPr>
              <w:t>58</w:t>
            </w:r>
          </w:p>
        </w:tc>
        <w:tc>
          <w:tcPr>
            <w:tcW w:w="518" w:type="dxa"/>
            <w:tcBorders>
              <w:top w:val="single" w:sz="4" w:space="0" w:color="auto"/>
              <w:left w:val="nil"/>
              <w:bottom w:val="dotted" w:sz="4" w:space="0" w:color="auto"/>
              <w:right w:val="dotted" w:sz="4" w:space="0" w:color="auto"/>
            </w:tcBorders>
            <w:noWrap/>
            <w:vAlign w:val="center"/>
          </w:tcPr>
          <w:p w:rsidR="002416B1" w:rsidRPr="00EF0531" w:rsidRDefault="002416B1" w:rsidP="008216A0">
            <w:pPr>
              <w:jc w:val="center"/>
              <w:rPr>
                <w:rFonts w:ascii="Arial" w:hAnsi="Arial" w:cs="Arial"/>
                <w:i/>
                <w:iCs/>
                <w:sz w:val="16"/>
                <w:szCs w:val="16"/>
              </w:rPr>
            </w:pPr>
            <w:r w:rsidRPr="00EF0531">
              <w:rPr>
                <w:rFonts w:ascii="Arial" w:hAnsi="Arial" w:cs="Arial"/>
                <w:i/>
                <w:iCs/>
                <w:sz w:val="16"/>
                <w:szCs w:val="16"/>
              </w:rPr>
              <w:t>N/A</w:t>
            </w:r>
          </w:p>
        </w:tc>
        <w:tc>
          <w:tcPr>
            <w:tcW w:w="518" w:type="dxa"/>
            <w:tcBorders>
              <w:top w:val="single" w:sz="4" w:space="0" w:color="auto"/>
              <w:left w:val="nil"/>
              <w:bottom w:val="dotted" w:sz="4" w:space="0" w:color="auto"/>
              <w:right w:val="dotted" w:sz="4" w:space="0" w:color="auto"/>
            </w:tcBorders>
            <w:noWrap/>
            <w:vAlign w:val="center"/>
          </w:tcPr>
          <w:p w:rsidR="002416B1" w:rsidRPr="00EF0531" w:rsidRDefault="002416B1" w:rsidP="008216A0">
            <w:pPr>
              <w:jc w:val="center"/>
              <w:rPr>
                <w:rFonts w:ascii="Arial" w:hAnsi="Arial" w:cs="Arial"/>
                <w:i/>
                <w:iCs/>
                <w:sz w:val="16"/>
                <w:szCs w:val="16"/>
              </w:rPr>
            </w:pPr>
            <w:r w:rsidRPr="00EF0531">
              <w:rPr>
                <w:rFonts w:ascii="Arial" w:hAnsi="Arial" w:cs="Arial"/>
                <w:i/>
                <w:iCs/>
                <w:sz w:val="16"/>
                <w:szCs w:val="16"/>
              </w:rPr>
              <w:t>N/A</w:t>
            </w:r>
          </w:p>
        </w:tc>
        <w:tc>
          <w:tcPr>
            <w:tcW w:w="719" w:type="dxa"/>
            <w:tcBorders>
              <w:top w:val="single" w:sz="4" w:space="0" w:color="auto"/>
              <w:left w:val="nil"/>
              <w:bottom w:val="dotted" w:sz="4" w:space="0" w:color="auto"/>
              <w:right w:val="dotted" w:sz="4" w:space="0" w:color="auto"/>
            </w:tcBorders>
            <w:noWrap/>
            <w:vAlign w:val="center"/>
          </w:tcPr>
          <w:p w:rsidR="002416B1" w:rsidRPr="00EF0531" w:rsidRDefault="002416B1" w:rsidP="008216A0">
            <w:pPr>
              <w:jc w:val="center"/>
              <w:rPr>
                <w:rFonts w:ascii="Arial" w:hAnsi="Arial" w:cs="Arial"/>
                <w:i/>
                <w:iCs/>
                <w:sz w:val="16"/>
                <w:szCs w:val="16"/>
              </w:rPr>
            </w:pPr>
            <w:r w:rsidRPr="00EF0531">
              <w:rPr>
                <w:rFonts w:ascii="Arial" w:hAnsi="Arial" w:cs="Arial"/>
                <w:i/>
                <w:iCs/>
                <w:sz w:val="16"/>
                <w:szCs w:val="16"/>
              </w:rPr>
              <w:t>N/A</w:t>
            </w:r>
          </w:p>
        </w:tc>
        <w:tc>
          <w:tcPr>
            <w:tcW w:w="777" w:type="dxa"/>
            <w:tcBorders>
              <w:top w:val="single" w:sz="4" w:space="0" w:color="auto"/>
              <w:left w:val="nil"/>
              <w:bottom w:val="dotted" w:sz="4" w:space="0" w:color="auto"/>
              <w:right w:val="dotted" w:sz="4" w:space="0" w:color="auto"/>
            </w:tcBorders>
            <w:noWrap/>
            <w:vAlign w:val="center"/>
          </w:tcPr>
          <w:p w:rsidR="002416B1" w:rsidRPr="00EF0531" w:rsidRDefault="00F94008" w:rsidP="008216A0">
            <w:pPr>
              <w:jc w:val="center"/>
              <w:rPr>
                <w:rFonts w:ascii="Arial" w:hAnsi="Arial" w:cs="Arial"/>
                <w:b/>
                <w:bCs/>
                <w:sz w:val="16"/>
                <w:szCs w:val="16"/>
              </w:rPr>
            </w:pPr>
            <w:r w:rsidRPr="00EF0531">
              <w:rPr>
                <w:rFonts w:ascii="Arial" w:hAnsi="Arial" w:cs="Arial"/>
                <w:b/>
                <w:bCs/>
                <w:sz w:val="16"/>
                <w:szCs w:val="16"/>
              </w:rPr>
              <w:t>58</w:t>
            </w:r>
          </w:p>
        </w:tc>
        <w:tc>
          <w:tcPr>
            <w:tcW w:w="1017" w:type="dxa"/>
            <w:tcBorders>
              <w:top w:val="single" w:sz="4" w:space="0" w:color="auto"/>
              <w:left w:val="nil"/>
              <w:bottom w:val="dotted" w:sz="4" w:space="0" w:color="auto"/>
              <w:right w:val="single" w:sz="4" w:space="0" w:color="auto"/>
            </w:tcBorders>
            <w:noWrap/>
            <w:vAlign w:val="center"/>
          </w:tcPr>
          <w:p w:rsidR="002416B1" w:rsidRPr="00EF0531" w:rsidRDefault="00C75D58" w:rsidP="008216A0">
            <w:pPr>
              <w:jc w:val="center"/>
              <w:rPr>
                <w:rFonts w:ascii="Arial" w:hAnsi="Arial" w:cs="Arial"/>
                <w:sz w:val="16"/>
                <w:szCs w:val="16"/>
              </w:rPr>
            </w:pPr>
            <w:r>
              <w:rPr>
                <w:rFonts w:ascii="Arial" w:hAnsi="Arial" w:cs="Arial"/>
                <w:sz w:val="16"/>
                <w:szCs w:val="16"/>
              </w:rPr>
              <w:t>Riadne ukončených projektov 23</w:t>
            </w:r>
          </w:p>
        </w:tc>
      </w:tr>
      <w:tr w:rsidR="002416B1" w:rsidRPr="00EF0531" w:rsidTr="00632479">
        <w:trPr>
          <w:trHeight w:val="734"/>
        </w:trPr>
        <w:tc>
          <w:tcPr>
            <w:tcW w:w="1048" w:type="dxa"/>
            <w:vMerge/>
            <w:tcBorders>
              <w:top w:val="single" w:sz="4" w:space="0" w:color="auto"/>
              <w:left w:val="single" w:sz="4" w:space="0" w:color="auto"/>
              <w:bottom w:val="single" w:sz="4" w:space="0" w:color="000000"/>
              <w:right w:val="single" w:sz="4" w:space="0" w:color="auto"/>
            </w:tcBorders>
            <w:vAlign w:val="center"/>
          </w:tcPr>
          <w:p w:rsidR="002416B1" w:rsidRPr="00EF0531" w:rsidRDefault="002416B1" w:rsidP="008216A0">
            <w:pPr>
              <w:rPr>
                <w:rFonts w:ascii="Arial" w:hAnsi="Arial" w:cs="Arial"/>
                <w:sz w:val="16"/>
                <w:szCs w:val="16"/>
              </w:rPr>
            </w:pPr>
          </w:p>
        </w:tc>
        <w:tc>
          <w:tcPr>
            <w:tcW w:w="959" w:type="dxa"/>
            <w:tcBorders>
              <w:top w:val="nil"/>
              <w:left w:val="nil"/>
              <w:bottom w:val="dotted" w:sz="4" w:space="0" w:color="auto"/>
              <w:right w:val="single" w:sz="4" w:space="0" w:color="auto"/>
            </w:tcBorders>
            <w:noWrap/>
            <w:vAlign w:val="center"/>
          </w:tcPr>
          <w:p w:rsidR="002416B1" w:rsidRPr="00EF0531" w:rsidRDefault="002416B1" w:rsidP="008216A0">
            <w:pPr>
              <w:rPr>
                <w:rFonts w:ascii="Arial" w:hAnsi="Arial" w:cs="Arial"/>
                <w:sz w:val="16"/>
                <w:szCs w:val="16"/>
              </w:rPr>
            </w:pPr>
            <w:r w:rsidRPr="00EF0531">
              <w:rPr>
                <w:rFonts w:ascii="Arial" w:hAnsi="Arial" w:cs="Arial"/>
                <w:sz w:val="16"/>
                <w:szCs w:val="16"/>
              </w:rPr>
              <w:t>Cieľ</w:t>
            </w:r>
          </w:p>
        </w:tc>
        <w:tc>
          <w:tcPr>
            <w:tcW w:w="518" w:type="dxa"/>
            <w:tcBorders>
              <w:top w:val="nil"/>
              <w:left w:val="nil"/>
              <w:bottom w:val="dotted" w:sz="4" w:space="0" w:color="auto"/>
              <w:right w:val="dotted" w:sz="4" w:space="0" w:color="auto"/>
            </w:tcBorders>
            <w:noWrap/>
            <w:vAlign w:val="center"/>
          </w:tcPr>
          <w:p w:rsidR="002416B1" w:rsidRPr="00EF0531" w:rsidRDefault="002416B1" w:rsidP="008216A0">
            <w:pPr>
              <w:jc w:val="center"/>
              <w:rPr>
                <w:rFonts w:ascii="Arial" w:hAnsi="Arial" w:cs="Arial"/>
                <w:i/>
                <w:iCs/>
                <w:sz w:val="16"/>
                <w:szCs w:val="16"/>
              </w:rPr>
            </w:pPr>
            <w:r w:rsidRPr="00EF0531">
              <w:rPr>
                <w:rFonts w:ascii="Arial" w:hAnsi="Arial" w:cs="Arial"/>
                <w:i/>
                <w:iCs/>
                <w:sz w:val="16"/>
                <w:szCs w:val="16"/>
              </w:rPr>
              <w:t>N/A</w:t>
            </w:r>
          </w:p>
        </w:tc>
        <w:tc>
          <w:tcPr>
            <w:tcW w:w="518" w:type="dxa"/>
            <w:tcBorders>
              <w:top w:val="nil"/>
              <w:left w:val="nil"/>
              <w:bottom w:val="dotted" w:sz="4" w:space="0" w:color="auto"/>
              <w:right w:val="dotted" w:sz="4" w:space="0" w:color="auto"/>
            </w:tcBorders>
            <w:noWrap/>
            <w:vAlign w:val="center"/>
          </w:tcPr>
          <w:p w:rsidR="002416B1" w:rsidRPr="00EF0531" w:rsidRDefault="002416B1" w:rsidP="008216A0">
            <w:pPr>
              <w:jc w:val="center"/>
              <w:rPr>
                <w:rFonts w:ascii="Arial" w:hAnsi="Arial" w:cs="Arial"/>
                <w:i/>
                <w:iCs/>
                <w:sz w:val="16"/>
                <w:szCs w:val="16"/>
              </w:rPr>
            </w:pPr>
            <w:r w:rsidRPr="00EF0531">
              <w:rPr>
                <w:rFonts w:ascii="Arial" w:hAnsi="Arial" w:cs="Arial"/>
                <w:i/>
                <w:iCs/>
                <w:sz w:val="16"/>
                <w:szCs w:val="16"/>
              </w:rPr>
              <w:t>N/A</w:t>
            </w:r>
          </w:p>
        </w:tc>
        <w:tc>
          <w:tcPr>
            <w:tcW w:w="777" w:type="dxa"/>
            <w:tcBorders>
              <w:top w:val="nil"/>
              <w:left w:val="nil"/>
              <w:bottom w:val="dotted" w:sz="4" w:space="0" w:color="auto"/>
              <w:right w:val="dotted" w:sz="4" w:space="0" w:color="auto"/>
            </w:tcBorders>
            <w:noWrap/>
            <w:vAlign w:val="center"/>
          </w:tcPr>
          <w:p w:rsidR="002416B1" w:rsidRPr="00EF0531" w:rsidRDefault="002416B1" w:rsidP="008216A0">
            <w:pPr>
              <w:jc w:val="center"/>
              <w:rPr>
                <w:rFonts w:ascii="Arial" w:hAnsi="Arial" w:cs="Arial"/>
                <w:i/>
                <w:iCs/>
                <w:sz w:val="16"/>
                <w:szCs w:val="16"/>
              </w:rPr>
            </w:pPr>
            <w:r w:rsidRPr="00EF0531">
              <w:rPr>
                <w:rFonts w:ascii="Arial" w:hAnsi="Arial" w:cs="Arial"/>
                <w:i/>
                <w:iCs/>
                <w:sz w:val="16"/>
                <w:szCs w:val="16"/>
              </w:rPr>
              <w:t>N/A</w:t>
            </w:r>
          </w:p>
        </w:tc>
        <w:tc>
          <w:tcPr>
            <w:tcW w:w="778" w:type="dxa"/>
            <w:tcBorders>
              <w:top w:val="nil"/>
              <w:left w:val="nil"/>
              <w:bottom w:val="dotted" w:sz="4" w:space="0" w:color="auto"/>
              <w:right w:val="dotted" w:sz="4" w:space="0" w:color="auto"/>
            </w:tcBorders>
            <w:noWrap/>
            <w:vAlign w:val="center"/>
          </w:tcPr>
          <w:p w:rsidR="002416B1" w:rsidRPr="00EF0531" w:rsidRDefault="002416B1" w:rsidP="008216A0">
            <w:pPr>
              <w:jc w:val="center"/>
              <w:rPr>
                <w:rFonts w:ascii="Arial" w:hAnsi="Arial" w:cs="Arial"/>
                <w:i/>
                <w:iCs/>
                <w:sz w:val="16"/>
                <w:szCs w:val="16"/>
              </w:rPr>
            </w:pPr>
            <w:r w:rsidRPr="00EF0531">
              <w:rPr>
                <w:rFonts w:ascii="Arial" w:hAnsi="Arial" w:cs="Arial"/>
                <w:i/>
                <w:iCs/>
                <w:sz w:val="16"/>
                <w:szCs w:val="16"/>
              </w:rPr>
              <w:t>N/A</w:t>
            </w:r>
          </w:p>
        </w:tc>
        <w:tc>
          <w:tcPr>
            <w:tcW w:w="907" w:type="dxa"/>
            <w:tcBorders>
              <w:top w:val="nil"/>
              <w:left w:val="nil"/>
              <w:bottom w:val="dotted" w:sz="4" w:space="0" w:color="auto"/>
              <w:right w:val="dotted" w:sz="4" w:space="0" w:color="auto"/>
            </w:tcBorders>
            <w:noWrap/>
            <w:vAlign w:val="center"/>
          </w:tcPr>
          <w:p w:rsidR="002416B1" w:rsidRPr="00EF0531" w:rsidRDefault="002416B1" w:rsidP="008216A0">
            <w:pPr>
              <w:jc w:val="center"/>
              <w:rPr>
                <w:rFonts w:ascii="Arial" w:hAnsi="Arial" w:cs="Arial"/>
                <w:i/>
                <w:iCs/>
                <w:sz w:val="16"/>
                <w:szCs w:val="16"/>
              </w:rPr>
            </w:pPr>
            <w:r w:rsidRPr="00EF0531">
              <w:rPr>
                <w:rFonts w:ascii="Arial" w:hAnsi="Arial" w:cs="Arial"/>
                <w:i/>
                <w:iCs/>
                <w:sz w:val="16"/>
                <w:szCs w:val="16"/>
              </w:rPr>
              <w:t>N/A</w:t>
            </w:r>
          </w:p>
        </w:tc>
        <w:tc>
          <w:tcPr>
            <w:tcW w:w="585" w:type="dxa"/>
            <w:tcBorders>
              <w:top w:val="nil"/>
              <w:left w:val="nil"/>
              <w:bottom w:val="dotted" w:sz="4" w:space="0" w:color="auto"/>
              <w:right w:val="dotted" w:sz="4" w:space="0" w:color="auto"/>
            </w:tcBorders>
            <w:noWrap/>
            <w:vAlign w:val="center"/>
          </w:tcPr>
          <w:p w:rsidR="002416B1" w:rsidRPr="00EF0531" w:rsidRDefault="002416B1" w:rsidP="008216A0">
            <w:pPr>
              <w:jc w:val="center"/>
              <w:rPr>
                <w:rFonts w:ascii="Arial" w:hAnsi="Arial" w:cs="Arial"/>
                <w:i/>
                <w:iCs/>
                <w:sz w:val="16"/>
                <w:szCs w:val="16"/>
              </w:rPr>
            </w:pPr>
            <w:r w:rsidRPr="00EF0531">
              <w:rPr>
                <w:rFonts w:ascii="Arial" w:hAnsi="Arial" w:cs="Arial"/>
                <w:i/>
                <w:iCs/>
                <w:sz w:val="16"/>
                <w:szCs w:val="16"/>
              </w:rPr>
              <w:t>N/A</w:t>
            </w:r>
          </w:p>
        </w:tc>
        <w:tc>
          <w:tcPr>
            <w:tcW w:w="518" w:type="dxa"/>
            <w:tcBorders>
              <w:top w:val="nil"/>
              <w:left w:val="nil"/>
              <w:bottom w:val="dotted" w:sz="4" w:space="0" w:color="auto"/>
              <w:right w:val="dotted" w:sz="4" w:space="0" w:color="auto"/>
            </w:tcBorders>
            <w:noWrap/>
            <w:vAlign w:val="center"/>
          </w:tcPr>
          <w:p w:rsidR="002416B1" w:rsidRPr="00EF0531" w:rsidRDefault="002416B1" w:rsidP="008216A0">
            <w:pPr>
              <w:jc w:val="center"/>
              <w:rPr>
                <w:rFonts w:ascii="Arial" w:hAnsi="Arial" w:cs="Arial"/>
                <w:i/>
                <w:iCs/>
                <w:sz w:val="16"/>
                <w:szCs w:val="16"/>
              </w:rPr>
            </w:pPr>
            <w:r w:rsidRPr="00EF0531">
              <w:rPr>
                <w:rFonts w:ascii="Arial" w:hAnsi="Arial" w:cs="Arial"/>
                <w:i/>
                <w:iCs/>
                <w:sz w:val="16"/>
                <w:szCs w:val="16"/>
              </w:rPr>
              <w:t>N/A</w:t>
            </w:r>
          </w:p>
        </w:tc>
        <w:tc>
          <w:tcPr>
            <w:tcW w:w="518" w:type="dxa"/>
            <w:tcBorders>
              <w:top w:val="nil"/>
              <w:left w:val="nil"/>
              <w:bottom w:val="dotted" w:sz="4" w:space="0" w:color="auto"/>
              <w:right w:val="dotted" w:sz="4" w:space="0" w:color="auto"/>
            </w:tcBorders>
            <w:noWrap/>
            <w:vAlign w:val="center"/>
          </w:tcPr>
          <w:p w:rsidR="002416B1" w:rsidRPr="00EF0531" w:rsidRDefault="002416B1" w:rsidP="008216A0">
            <w:pPr>
              <w:jc w:val="center"/>
              <w:rPr>
                <w:rFonts w:ascii="Arial" w:hAnsi="Arial" w:cs="Arial"/>
                <w:i/>
                <w:iCs/>
                <w:sz w:val="16"/>
                <w:szCs w:val="16"/>
              </w:rPr>
            </w:pPr>
            <w:r w:rsidRPr="00EF0531">
              <w:rPr>
                <w:rFonts w:ascii="Arial" w:hAnsi="Arial" w:cs="Arial"/>
                <w:i/>
                <w:iCs/>
                <w:sz w:val="16"/>
                <w:szCs w:val="16"/>
              </w:rPr>
              <w:t>N/A</w:t>
            </w:r>
          </w:p>
        </w:tc>
        <w:tc>
          <w:tcPr>
            <w:tcW w:w="719" w:type="dxa"/>
            <w:tcBorders>
              <w:top w:val="nil"/>
              <w:left w:val="nil"/>
              <w:bottom w:val="dotted" w:sz="4" w:space="0" w:color="auto"/>
              <w:right w:val="dotted" w:sz="4" w:space="0" w:color="auto"/>
            </w:tcBorders>
            <w:noWrap/>
            <w:vAlign w:val="center"/>
          </w:tcPr>
          <w:p w:rsidR="002416B1" w:rsidRPr="00EF0531" w:rsidRDefault="002F623B" w:rsidP="008216A0">
            <w:pPr>
              <w:jc w:val="center"/>
              <w:rPr>
                <w:rFonts w:ascii="Arial" w:hAnsi="Arial" w:cs="Arial"/>
                <w:b/>
                <w:bCs/>
                <w:sz w:val="16"/>
                <w:szCs w:val="16"/>
              </w:rPr>
            </w:pPr>
            <w:r w:rsidRPr="00EF0531">
              <w:rPr>
                <w:rFonts w:ascii="Arial" w:hAnsi="Arial" w:cs="Arial"/>
                <w:b/>
                <w:bCs/>
                <w:sz w:val="16"/>
                <w:szCs w:val="16"/>
              </w:rPr>
              <w:t>63</w:t>
            </w:r>
          </w:p>
        </w:tc>
        <w:tc>
          <w:tcPr>
            <w:tcW w:w="777" w:type="dxa"/>
            <w:tcBorders>
              <w:top w:val="nil"/>
              <w:left w:val="nil"/>
              <w:bottom w:val="dotted" w:sz="4" w:space="0" w:color="auto"/>
              <w:right w:val="dotted" w:sz="4" w:space="0" w:color="auto"/>
            </w:tcBorders>
            <w:noWrap/>
            <w:vAlign w:val="center"/>
          </w:tcPr>
          <w:p w:rsidR="002416B1" w:rsidRPr="00EF0531" w:rsidRDefault="002F623B" w:rsidP="008216A0">
            <w:pPr>
              <w:jc w:val="center"/>
              <w:rPr>
                <w:rFonts w:ascii="Arial" w:hAnsi="Arial" w:cs="Arial"/>
                <w:b/>
                <w:bCs/>
                <w:sz w:val="16"/>
                <w:szCs w:val="16"/>
              </w:rPr>
            </w:pPr>
            <w:r w:rsidRPr="00EF0531">
              <w:rPr>
                <w:rFonts w:ascii="Arial" w:hAnsi="Arial" w:cs="Arial"/>
                <w:b/>
                <w:bCs/>
                <w:sz w:val="16"/>
                <w:szCs w:val="16"/>
              </w:rPr>
              <w:t>63</w:t>
            </w:r>
          </w:p>
        </w:tc>
        <w:tc>
          <w:tcPr>
            <w:tcW w:w="1017" w:type="dxa"/>
            <w:tcBorders>
              <w:top w:val="nil"/>
              <w:left w:val="nil"/>
              <w:bottom w:val="dotted" w:sz="4" w:space="0" w:color="auto"/>
              <w:right w:val="single" w:sz="4" w:space="0" w:color="auto"/>
            </w:tcBorders>
            <w:noWrap/>
            <w:vAlign w:val="center"/>
          </w:tcPr>
          <w:p w:rsidR="002416B1" w:rsidRPr="00EF0531" w:rsidRDefault="002416B1" w:rsidP="008216A0">
            <w:pPr>
              <w:jc w:val="center"/>
              <w:rPr>
                <w:rFonts w:ascii="Arial" w:hAnsi="Arial" w:cs="Arial"/>
                <w:sz w:val="16"/>
                <w:szCs w:val="16"/>
              </w:rPr>
            </w:pPr>
          </w:p>
        </w:tc>
      </w:tr>
      <w:tr w:rsidR="002416B1" w:rsidRPr="00EF0531" w:rsidTr="00632479">
        <w:trPr>
          <w:trHeight w:val="300"/>
        </w:trPr>
        <w:tc>
          <w:tcPr>
            <w:tcW w:w="1048" w:type="dxa"/>
            <w:vMerge/>
            <w:tcBorders>
              <w:top w:val="single" w:sz="4" w:space="0" w:color="auto"/>
              <w:left w:val="single" w:sz="4" w:space="0" w:color="auto"/>
              <w:bottom w:val="single" w:sz="4" w:space="0" w:color="000000"/>
              <w:right w:val="single" w:sz="4" w:space="0" w:color="auto"/>
            </w:tcBorders>
            <w:vAlign w:val="center"/>
          </w:tcPr>
          <w:p w:rsidR="002416B1" w:rsidRPr="00EF0531" w:rsidRDefault="002416B1" w:rsidP="008216A0">
            <w:pPr>
              <w:rPr>
                <w:rFonts w:ascii="Arial" w:hAnsi="Arial" w:cs="Arial"/>
                <w:sz w:val="16"/>
                <w:szCs w:val="16"/>
              </w:rPr>
            </w:pPr>
          </w:p>
        </w:tc>
        <w:tc>
          <w:tcPr>
            <w:tcW w:w="959" w:type="dxa"/>
            <w:tcBorders>
              <w:top w:val="nil"/>
              <w:left w:val="nil"/>
              <w:bottom w:val="single" w:sz="4" w:space="0" w:color="auto"/>
              <w:right w:val="single" w:sz="4" w:space="0" w:color="auto"/>
            </w:tcBorders>
            <w:noWrap/>
            <w:vAlign w:val="center"/>
          </w:tcPr>
          <w:p w:rsidR="002416B1" w:rsidRPr="00EF0531" w:rsidRDefault="002416B1" w:rsidP="008216A0">
            <w:pPr>
              <w:rPr>
                <w:rFonts w:ascii="Arial" w:hAnsi="Arial" w:cs="Arial"/>
                <w:sz w:val="16"/>
                <w:szCs w:val="16"/>
              </w:rPr>
            </w:pPr>
            <w:r w:rsidRPr="00EF0531">
              <w:rPr>
                <w:rFonts w:ascii="Arial" w:hAnsi="Arial" w:cs="Arial"/>
                <w:sz w:val="16"/>
                <w:szCs w:val="16"/>
              </w:rPr>
              <w:t>Východisko</w:t>
            </w:r>
          </w:p>
        </w:tc>
        <w:tc>
          <w:tcPr>
            <w:tcW w:w="518" w:type="dxa"/>
            <w:tcBorders>
              <w:top w:val="nil"/>
              <w:left w:val="nil"/>
              <w:bottom w:val="single" w:sz="4" w:space="0" w:color="auto"/>
              <w:right w:val="dotted" w:sz="4" w:space="0" w:color="auto"/>
            </w:tcBorders>
            <w:noWrap/>
            <w:vAlign w:val="center"/>
          </w:tcPr>
          <w:p w:rsidR="002416B1" w:rsidRPr="00EF0531" w:rsidRDefault="002416B1" w:rsidP="008216A0">
            <w:pPr>
              <w:jc w:val="center"/>
              <w:rPr>
                <w:rFonts w:ascii="Arial" w:hAnsi="Arial" w:cs="Arial"/>
                <w:b/>
                <w:bCs/>
                <w:sz w:val="16"/>
                <w:szCs w:val="16"/>
              </w:rPr>
            </w:pPr>
            <w:r w:rsidRPr="00EF0531">
              <w:rPr>
                <w:rFonts w:ascii="Arial" w:hAnsi="Arial" w:cs="Arial"/>
                <w:b/>
                <w:bCs/>
                <w:sz w:val="16"/>
                <w:szCs w:val="16"/>
              </w:rPr>
              <w:t>0</w:t>
            </w:r>
          </w:p>
        </w:tc>
        <w:tc>
          <w:tcPr>
            <w:tcW w:w="518" w:type="dxa"/>
            <w:tcBorders>
              <w:top w:val="nil"/>
              <w:left w:val="nil"/>
              <w:bottom w:val="single" w:sz="4" w:space="0" w:color="auto"/>
              <w:right w:val="dotted" w:sz="4" w:space="0" w:color="auto"/>
            </w:tcBorders>
            <w:noWrap/>
            <w:vAlign w:val="center"/>
          </w:tcPr>
          <w:p w:rsidR="002416B1" w:rsidRPr="00EF0531" w:rsidRDefault="002416B1" w:rsidP="008216A0">
            <w:pPr>
              <w:jc w:val="center"/>
              <w:rPr>
                <w:rFonts w:ascii="Arial" w:hAnsi="Arial" w:cs="Arial"/>
                <w:i/>
                <w:iCs/>
                <w:sz w:val="16"/>
                <w:szCs w:val="16"/>
              </w:rPr>
            </w:pPr>
            <w:r w:rsidRPr="00EF0531">
              <w:rPr>
                <w:rFonts w:ascii="Arial" w:hAnsi="Arial" w:cs="Arial"/>
                <w:i/>
                <w:iCs/>
                <w:sz w:val="16"/>
                <w:szCs w:val="16"/>
              </w:rPr>
              <w:t>N/A</w:t>
            </w:r>
          </w:p>
        </w:tc>
        <w:tc>
          <w:tcPr>
            <w:tcW w:w="777" w:type="dxa"/>
            <w:tcBorders>
              <w:top w:val="nil"/>
              <w:left w:val="nil"/>
              <w:bottom w:val="single" w:sz="4" w:space="0" w:color="auto"/>
              <w:right w:val="dotted" w:sz="4" w:space="0" w:color="auto"/>
            </w:tcBorders>
            <w:noWrap/>
            <w:vAlign w:val="center"/>
          </w:tcPr>
          <w:p w:rsidR="002416B1" w:rsidRPr="00EF0531" w:rsidRDefault="002416B1" w:rsidP="008216A0">
            <w:pPr>
              <w:jc w:val="center"/>
              <w:rPr>
                <w:rFonts w:ascii="Arial" w:hAnsi="Arial" w:cs="Arial"/>
                <w:i/>
                <w:iCs/>
                <w:sz w:val="16"/>
                <w:szCs w:val="16"/>
              </w:rPr>
            </w:pPr>
            <w:r w:rsidRPr="00EF0531">
              <w:rPr>
                <w:rFonts w:ascii="Arial" w:hAnsi="Arial" w:cs="Arial"/>
                <w:i/>
                <w:iCs/>
                <w:sz w:val="16"/>
                <w:szCs w:val="16"/>
              </w:rPr>
              <w:t>N/A</w:t>
            </w:r>
          </w:p>
        </w:tc>
        <w:tc>
          <w:tcPr>
            <w:tcW w:w="778" w:type="dxa"/>
            <w:tcBorders>
              <w:top w:val="nil"/>
              <w:left w:val="nil"/>
              <w:bottom w:val="single" w:sz="4" w:space="0" w:color="auto"/>
              <w:right w:val="dotted" w:sz="4" w:space="0" w:color="auto"/>
            </w:tcBorders>
            <w:noWrap/>
            <w:vAlign w:val="center"/>
          </w:tcPr>
          <w:p w:rsidR="002416B1" w:rsidRPr="00EF0531" w:rsidRDefault="002416B1" w:rsidP="008216A0">
            <w:pPr>
              <w:jc w:val="center"/>
              <w:rPr>
                <w:rFonts w:ascii="Arial" w:hAnsi="Arial" w:cs="Arial"/>
                <w:i/>
                <w:iCs/>
                <w:sz w:val="16"/>
                <w:szCs w:val="16"/>
              </w:rPr>
            </w:pPr>
            <w:r w:rsidRPr="00EF0531">
              <w:rPr>
                <w:rFonts w:ascii="Arial" w:hAnsi="Arial" w:cs="Arial"/>
                <w:i/>
                <w:iCs/>
                <w:sz w:val="16"/>
                <w:szCs w:val="16"/>
              </w:rPr>
              <w:t>N/A</w:t>
            </w:r>
          </w:p>
        </w:tc>
        <w:tc>
          <w:tcPr>
            <w:tcW w:w="907" w:type="dxa"/>
            <w:tcBorders>
              <w:top w:val="nil"/>
              <w:left w:val="nil"/>
              <w:bottom w:val="single" w:sz="4" w:space="0" w:color="auto"/>
              <w:right w:val="dotted" w:sz="4" w:space="0" w:color="auto"/>
            </w:tcBorders>
            <w:noWrap/>
            <w:vAlign w:val="center"/>
          </w:tcPr>
          <w:p w:rsidR="002416B1" w:rsidRPr="00EF0531" w:rsidRDefault="002416B1" w:rsidP="008216A0">
            <w:pPr>
              <w:jc w:val="center"/>
              <w:rPr>
                <w:rFonts w:ascii="Arial" w:hAnsi="Arial" w:cs="Arial"/>
                <w:i/>
                <w:iCs/>
                <w:sz w:val="16"/>
                <w:szCs w:val="16"/>
              </w:rPr>
            </w:pPr>
            <w:r w:rsidRPr="00EF0531">
              <w:rPr>
                <w:rFonts w:ascii="Arial" w:hAnsi="Arial" w:cs="Arial"/>
                <w:i/>
                <w:iCs/>
                <w:sz w:val="16"/>
                <w:szCs w:val="16"/>
              </w:rPr>
              <w:t>N/A</w:t>
            </w:r>
          </w:p>
        </w:tc>
        <w:tc>
          <w:tcPr>
            <w:tcW w:w="585" w:type="dxa"/>
            <w:tcBorders>
              <w:top w:val="nil"/>
              <w:left w:val="nil"/>
              <w:bottom w:val="single" w:sz="4" w:space="0" w:color="auto"/>
              <w:right w:val="dotted" w:sz="4" w:space="0" w:color="auto"/>
            </w:tcBorders>
            <w:noWrap/>
            <w:vAlign w:val="center"/>
          </w:tcPr>
          <w:p w:rsidR="002416B1" w:rsidRPr="00EF0531" w:rsidRDefault="002416B1" w:rsidP="008216A0">
            <w:pPr>
              <w:jc w:val="center"/>
              <w:rPr>
                <w:rFonts w:ascii="Arial" w:hAnsi="Arial" w:cs="Arial"/>
                <w:i/>
                <w:iCs/>
                <w:sz w:val="16"/>
                <w:szCs w:val="16"/>
              </w:rPr>
            </w:pPr>
            <w:r w:rsidRPr="00EF0531">
              <w:rPr>
                <w:rFonts w:ascii="Arial" w:hAnsi="Arial" w:cs="Arial"/>
                <w:i/>
                <w:iCs/>
                <w:sz w:val="16"/>
                <w:szCs w:val="16"/>
              </w:rPr>
              <w:t>N/A</w:t>
            </w:r>
          </w:p>
        </w:tc>
        <w:tc>
          <w:tcPr>
            <w:tcW w:w="518" w:type="dxa"/>
            <w:tcBorders>
              <w:top w:val="nil"/>
              <w:left w:val="nil"/>
              <w:bottom w:val="single" w:sz="4" w:space="0" w:color="auto"/>
              <w:right w:val="dotted" w:sz="4" w:space="0" w:color="auto"/>
            </w:tcBorders>
            <w:noWrap/>
            <w:vAlign w:val="center"/>
          </w:tcPr>
          <w:p w:rsidR="002416B1" w:rsidRPr="00EF0531" w:rsidRDefault="002416B1" w:rsidP="008216A0">
            <w:pPr>
              <w:jc w:val="center"/>
              <w:rPr>
                <w:rFonts w:ascii="Arial" w:hAnsi="Arial" w:cs="Arial"/>
                <w:i/>
                <w:iCs/>
                <w:sz w:val="16"/>
                <w:szCs w:val="16"/>
              </w:rPr>
            </w:pPr>
            <w:r w:rsidRPr="00EF0531">
              <w:rPr>
                <w:rFonts w:ascii="Arial" w:hAnsi="Arial" w:cs="Arial"/>
                <w:i/>
                <w:iCs/>
                <w:sz w:val="16"/>
                <w:szCs w:val="16"/>
              </w:rPr>
              <w:t>N/A</w:t>
            </w:r>
          </w:p>
        </w:tc>
        <w:tc>
          <w:tcPr>
            <w:tcW w:w="518" w:type="dxa"/>
            <w:tcBorders>
              <w:top w:val="nil"/>
              <w:left w:val="nil"/>
              <w:bottom w:val="single" w:sz="4" w:space="0" w:color="auto"/>
              <w:right w:val="dotted" w:sz="4" w:space="0" w:color="auto"/>
            </w:tcBorders>
            <w:noWrap/>
            <w:vAlign w:val="center"/>
          </w:tcPr>
          <w:p w:rsidR="002416B1" w:rsidRPr="00EF0531" w:rsidRDefault="002416B1" w:rsidP="008216A0">
            <w:pPr>
              <w:jc w:val="center"/>
              <w:rPr>
                <w:rFonts w:ascii="Arial" w:hAnsi="Arial" w:cs="Arial"/>
                <w:i/>
                <w:iCs/>
                <w:sz w:val="16"/>
                <w:szCs w:val="16"/>
              </w:rPr>
            </w:pPr>
            <w:r w:rsidRPr="00EF0531">
              <w:rPr>
                <w:rFonts w:ascii="Arial" w:hAnsi="Arial" w:cs="Arial"/>
                <w:i/>
                <w:iCs/>
                <w:sz w:val="16"/>
                <w:szCs w:val="16"/>
              </w:rPr>
              <w:t>N/A</w:t>
            </w:r>
          </w:p>
        </w:tc>
        <w:tc>
          <w:tcPr>
            <w:tcW w:w="719" w:type="dxa"/>
            <w:tcBorders>
              <w:top w:val="nil"/>
              <w:left w:val="nil"/>
              <w:bottom w:val="single" w:sz="4" w:space="0" w:color="auto"/>
              <w:right w:val="dotted" w:sz="4" w:space="0" w:color="auto"/>
            </w:tcBorders>
            <w:noWrap/>
            <w:vAlign w:val="center"/>
          </w:tcPr>
          <w:p w:rsidR="002416B1" w:rsidRPr="00EF0531" w:rsidRDefault="002416B1" w:rsidP="008216A0">
            <w:pPr>
              <w:jc w:val="center"/>
              <w:rPr>
                <w:rFonts w:ascii="Arial" w:hAnsi="Arial" w:cs="Arial"/>
                <w:i/>
                <w:iCs/>
                <w:sz w:val="16"/>
                <w:szCs w:val="16"/>
              </w:rPr>
            </w:pPr>
            <w:r w:rsidRPr="00EF0531">
              <w:rPr>
                <w:rFonts w:ascii="Arial" w:hAnsi="Arial" w:cs="Arial"/>
                <w:i/>
                <w:iCs/>
                <w:sz w:val="16"/>
                <w:szCs w:val="16"/>
              </w:rPr>
              <w:t>N/A</w:t>
            </w:r>
          </w:p>
        </w:tc>
        <w:tc>
          <w:tcPr>
            <w:tcW w:w="777" w:type="dxa"/>
            <w:tcBorders>
              <w:top w:val="nil"/>
              <w:left w:val="nil"/>
              <w:bottom w:val="single" w:sz="4" w:space="0" w:color="auto"/>
              <w:right w:val="dotted" w:sz="4" w:space="0" w:color="auto"/>
            </w:tcBorders>
            <w:noWrap/>
            <w:vAlign w:val="center"/>
          </w:tcPr>
          <w:p w:rsidR="002416B1" w:rsidRPr="00EF0531" w:rsidRDefault="002416B1" w:rsidP="008216A0">
            <w:pPr>
              <w:jc w:val="center"/>
              <w:rPr>
                <w:rFonts w:ascii="Arial" w:hAnsi="Arial" w:cs="Arial"/>
                <w:b/>
                <w:bCs/>
                <w:sz w:val="16"/>
                <w:szCs w:val="16"/>
              </w:rPr>
            </w:pPr>
            <w:r w:rsidRPr="00EF0531">
              <w:rPr>
                <w:rFonts w:ascii="Arial" w:hAnsi="Arial" w:cs="Arial"/>
                <w:b/>
                <w:bCs/>
                <w:sz w:val="16"/>
                <w:szCs w:val="16"/>
              </w:rPr>
              <w:t>0</w:t>
            </w:r>
          </w:p>
        </w:tc>
        <w:tc>
          <w:tcPr>
            <w:tcW w:w="1017" w:type="dxa"/>
            <w:tcBorders>
              <w:top w:val="nil"/>
              <w:left w:val="nil"/>
              <w:bottom w:val="single" w:sz="4" w:space="0" w:color="auto"/>
              <w:right w:val="single" w:sz="4" w:space="0" w:color="auto"/>
            </w:tcBorders>
            <w:noWrap/>
            <w:vAlign w:val="center"/>
          </w:tcPr>
          <w:p w:rsidR="002416B1" w:rsidRPr="00EF0531" w:rsidRDefault="002416B1" w:rsidP="008216A0">
            <w:pPr>
              <w:jc w:val="center"/>
              <w:rPr>
                <w:rFonts w:ascii="Arial" w:hAnsi="Arial" w:cs="Arial"/>
                <w:sz w:val="16"/>
                <w:szCs w:val="16"/>
              </w:rPr>
            </w:pPr>
          </w:p>
        </w:tc>
      </w:tr>
      <w:tr w:rsidR="00632479" w:rsidRPr="00EF0531" w:rsidTr="00632479">
        <w:trPr>
          <w:trHeight w:val="711"/>
        </w:trPr>
        <w:tc>
          <w:tcPr>
            <w:tcW w:w="1048" w:type="dxa"/>
            <w:vMerge w:val="restart"/>
            <w:tcBorders>
              <w:top w:val="nil"/>
              <w:left w:val="single" w:sz="4" w:space="0" w:color="auto"/>
              <w:bottom w:val="single" w:sz="4" w:space="0" w:color="000000"/>
              <w:right w:val="single" w:sz="4" w:space="0" w:color="auto"/>
            </w:tcBorders>
            <w:vAlign w:val="center"/>
          </w:tcPr>
          <w:p w:rsidR="00632479" w:rsidRPr="00EF0531" w:rsidRDefault="00632479" w:rsidP="00F94008">
            <w:pPr>
              <w:rPr>
                <w:rFonts w:ascii="Arial" w:hAnsi="Arial" w:cs="Arial"/>
                <w:sz w:val="16"/>
                <w:szCs w:val="16"/>
              </w:rPr>
            </w:pPr>
            <w:r w:rsidRPr="00EF0531">
              <w:rPr>
                <w:rFonts w:ascii="Arial" w:hAnsi="Arial" w:cs="Arial"/>
                <w:sz w:val="16"/>
                <w:szCs w:val="16"/>
              </w:rPr>
              <w:t xml:space="preserve">Objem finančných prostriedkov projektov s príspevkom k </w:t>
            </w:r>
            <w:r w:rsidR="00F94008" w:rsidRPr="00EF0531">
              <w:rPr>
                <w:rFonts w:ascii="Arial" w:hAnsi="Arial" w:cs="Arial"/>
                <w:sz w:val="16"/>
                <w:szCs w:val="16"/>
              </w:rPr>
              <w:t>HP IS</w:t>
            </w:r>
            <w:r w:rsidRPr="00EF0531">
              <w:rPr>
                <w:rFonts w:ascii="Arial" w:hAnsi="Arial" w:cs="Arial"/>
                <w:sz w:val="16"/>
                <w:szCs w:val="16"/>
              </w:rPr>
              <w:t xml:space="preserve"> [</w:t>
            </w:r>
            <w:r w:rsidR="00F94008" w:rsidRPr="00EF0531">
              <w:rPr>
                <w:rFonts w:ascii="Arial" w:hAnsi="Arial" w:cs="Arial"/>
                <w:sz w:val="16"/>
                <w:szCs w:val="16"/>
              </w:rPr>
              <w:t xml:space="preserve">mil. </w:t>
            </w:r>
            <w:r w:rsidRPr="00EF0531">
              <w:rPr>
                <w:rFonts w:ascii="Arial" w:hAnsi="Arial" w:cs="Arial"/>
                <w:sz w:val="16"/>
                <w:szCs w:val="16"/>
              </w:rPr>
              <w:t>EUR]</w:t>
            </w:r>
          </w:p>
        </w:tc>
        <w:tc>
          <w:tcPr>
            <w:tcW w:w="959" w:type="dxa"/>
            <w:tcBorders>
              <w:top w:val="nil"/>
              <w:left w:val="nil"/>
              <w:bottom w:val="dotted" w:sz="4" w:space="0" w:color="auto"/>
              <w:right w:val="single" w:sz="4" w:space="0" w:color="auto"/>
            </w:tcBorders>
            <w:noWrap/>
            <w:vAlign w:val="center"/>
          </w:tcPr>
          <w:p w:rsidR="00632479" w:rsidRPr="00EF0531" w:rsidRDefault="00632479" w:rsidP="008216A0">
            <w:pPr>
              <w:rPr>
                <w:rFonts w:ascii="Arial" w:hAnsi="Arial" w:cs="Arial"/>
                <w:sz w:val="16"/>
                <w:szCs w:val="16"/>
              </w:rPr>
            </w:pPr>
            <w:r w:rsidRPr="00EF0531">
              <w:rPr>
                <w:rFonts w:ascii="Arial" w:hAnsi="Arial" w:cs="Arial"/>
                <w:sz w:val="16"/>
                <w:szCs w:val="16"/>
              </w:rPr>
              <w:t>Dosiahnutý výsledok</w:t>
            </w:r>
          </w:p>
        </w:tc>
        <w:tc>
          <w:tcPr>
            <w:tcW w:w="518" w:type="dxa"/>
            <w:tcBorders>
              <w:top w:val="nil"/>
              <w:left w:val="nil"/>
              <w:bottom w:val="dotted" w:sz="4" w:space="0" w:color="auto"/>
              <w:right w:val="dotted" w:sz="4" w:space="0" w:color="auto"/>
            </w:tcBorders>
            <w:noWrap/>
            <w:vAlign w:val="center"/>
          </w:tcPr>
          <w:p w:rsidR="00632479" w:rsidRPr="00EF0531" w:rsidRDefault="00632479" w:rsidP="008216A0">
            <w:pPr>
              <w:jc w:val="center"/>
              <w:rPr>
                <w:rFonts w:ascii="Arial" w:hAnsi="Arial" w:cs="Arial"/>
                <w:b/>
                <w:bCs/>
                <w:sz w:val="16"/>
                <w:szCs w:val="16"/>
              </w:rPr>
            </w:pPr>
            <w:r w:rsidRPr="00EF0531">
              <w:rPr>
                <w:rFonts w:ascii="Arial" w:hAnsi="Arial" w:cs="Arial"/>
                <w:b/>
                <w:bCs/>
                <w:sz w:val="16"/>
                <w:szCs w:val="16"/>
              </w:rPr>
              <w:t>0</w:t>
            </w:r>
          </w:p>
        </w:tc>
        <w:tc>
          <w:tcPr>
            <w:tcW w:w="518" w:type="dxa"/>
            <w:tcBorders>
              <w:top w:val="nil"/>
              <w:left w:val="nil"/>
              <w:bottom w:val="dotted" w:sz="4" w:space="0" w:color="auto"/>
              <w:right w:val="dotted" w:sz="4" w:space="0" w:color="auto"/>
            </w:tcBorders>
            <w:noWrap/>
            <w:vAlign w:val="center"/>
          </w:tcPr>
          <w:p w:rsidR="00632479" w:rsidRPr="00EF0531" w:rsidRDefault="00632479" w:rsidP="008216A0">
            <w:pPr>
              <w:jc w:val="center"/>
              <w:rPr>
                <w:rFonts w:ascii="Arial" w:hAnsi="Arial" w:cs="Arial"/>
                <w:b/>
                <w:bCs/>
                <w:sz w:val="16"/>
                <w:szCs w:val="16"/>
              </w:rPr>
            </w:pPr>
            <w:r w:rsidRPr="00EF0531">
              <w:rPr>
                <w:rFonts w:ascii="Arial" w:hAnsi="Arial" w:cs="Arial"/>
                <w:b/>
                <w:bCs/>
                <w:sz w:val="16"/>
                <w:szCs w:val="16"/>
              </w:rPr>
              <w:t>0</w:t>
            </w:r>
          </w:p>
        </w:tc>
        <w:tc>
          <w:tcPr>
            <w:tcW w:w="777" w:type="dxa"/>
            <w:tcBorders>
              <w:top w:val="nil"/>
              <w:left w:val="nil"/>
              <w:bottom w:val="dotted" w:sz="4" w:space="0" w:color="auto"/>
              <w:right w:val="dotted" w:sz="4" w:space="0" w:color="auto"/>
            </w:tcBorders>
            <w:noWrap/>
            <w:vAlign w:val="center"/>
          </w:tcPr>
          <w:p w:rsidR="00632479" w:rsidRPr="00EF0531" w:rsidRDefault="00632479" w:rsidP="00F94008">
            <w:pPr>
              <w:jc w:val="center"/>
              <w:rPr>
                <w:rFonts w:ascii="Arial" w:hAnsi="Arial" w:cs="Arial"/>
                <w:b/>
                <w:bCs/>
                <w:sz w:val="16"/>
                <w:szCs w:val="16"/>
              </w:rPr>
            </w:pPr>
            <w:r w:rsidRPr="00EF0531">
              <w:rPr>
                <w:rFonts w:ascii="Arial" w:hAnsi="Arial" w:cs="Arial"/>
                <w:b/>
                <w:bCs/>
                <w:sz w:val="16"/>
                <w:szCs w:val="16"/>
              </w:rPr>
              <w:t>31</w:t>
            </w:r>
            <w:r w:rsidR="00F94008" w:rsidRPr="00EF0531">
              <w:rPr>
                <w:rFonts w:ascii="Arial" w:hAnsi="Arial" w:cs="Arial"/>
                <w:b/>
                <w:bCs/>
                <w:sz w:val="16"/>
                <w:szCs w:val="16"/>
              </w:rPr>
              <w:t>,62</w:t>
            </w:r>
          </w:p>
        </w:tc>
        <w:tc>
          <w:tcPr>
            <w:tcW w:w="778" w:type="dxa"/>
            <w:tcBorders>
              <w:top w:val="nil"/>
              <w:left w:val="nil"/>
              <w:bottom w:val="dotted" w:sz="4" w:space="0" w:color="auto"/>
              <w:right w:val="dotted" w:sz="4" w:space="0" w:color="auto"/>
            </w:tcBorders>
            <w:noWrap/>
            <w:vAlign w:val="center"/>
          </w:tcPr>
          <w:p w:rsidR="00632479" w:rsidRPr="00EF0531" w:rsidRDefault="00632479" w:rsidP="00F94008">
            <w:pPr>
              <w:jc w:val="center"/>
              <w:rPr>
                <w:rFonts w:ascii="Arial" w:hAnsi="Arial" w:cs="Arial"/>
                <w:b/>
                <w:bCs/>
                <w:sz w:val="16"/>
                <w:szCs w:val="16"/>
              </w:rPr>
            </w:pPr>
            <w:r w:rsidRPr="00EF0531">
              <w:rPr>
                <w:rFonts w:ascii="Arial" w:hAnsi="Arial" w:cs="Arial"/>
                <w:b/>
                <w:bCs/>
                <w:sz w:val="16"/>
                <w:szCs w:val="16"/>
              </w:rPr>
              <w:t>148</w:t>
            </w:r>
            <w:r w:rsidR="00F94008" w:rsidRPr="00EF0531">
              <w:rPr>
                <w:rFonts w:ascii="Arial" w:hAnsi="Arial" w:cs="Arial"/>
                <w:b/>
                <w:bCs/>
                <w:sz w:val="16"/>
                <w:szCs w:val="16"/>
              </w:rPr>
              <w:t>,27</w:t>
            </w:r>
          </w:p>
        </w:tc>
        <w:tc>
          <w:tcPr>
            <w:tcW w:w="907" w:type="dxa"/>
            <w:tcBorders>
              <w:top w:val="nil"/>
              <w:left w:val="nil"/>
              <w:bottom w:val="dotted" w:sz="4" w:space="0" w:color="auto"/>
              <w:right w:val="dotted" w:sz="4" w:space="0" w:color="auto"/>
            </w:tcBorders>
            <w:noWrap/>
            <w:vAlign w:val="center"/>
          </w:tcPr>
          <w:p w:rsidR="00632479" w:rsidRPr="00EF0531" w:rsidRDefault="00632479" w:rsidP="00F94008">
            <w:pPr>
              <w:jc w:val="center"/>
              <w:rPr>
                <w:rFonts w:ascii="Arial" w:hAnsi="Arial" w:cs="Arial"/>
                <w:b/>
                <w:bCs/>
                <w:sz w:val="16"/>
                <w:szCs w:val="16"/>
              </w:rPr>
            </w:pPr>
            <w:r w:rsidRPr="00EF0531">
              <w:rPr>
                <w:rFonts w:ascii="Arial" w:hAnsi="Arial" w:cs="Arial"/>
                <w:b/>
                <w:bCs/>
                <w:sz w:val="16"/>
                <w:szCs w:val="16"/>
              </w:rPr>
              <w:t>15</w:t>
            </w:r>
            <w:r w:rsidR="00F94008" w:rsidRPr="00EF0531">
              <w:rPr>
                <w:rFonts w:ascii="Arial" w:hAnsi="Arial" w:cs="Arial"/>
                <w:b/>
                <w:bCs/>
                <w:sz w:val="16"/>
                <w:szCs w:val="16"/>
              </w:rPr>
              <w:t>3</w:t>
            </w:r>
          </w:p>
        </w:tc>
        <w:tc>
          <w:tcPr>
            <w:tcW w:w="585" w:type="dxa"/>
            <w:tcBorders>
              <w:top w:val="nil"/>
              <w:left w:val="nil"/>
              <w:bottom w:val="dotted" w:sz="4" w:space="0" w:color="auto"/>
              <w:right w:val="dotted" w:sz="4" w:space="0" w:color="auto"/>
            </w:tcBorders>
            <w:noWrap/>
            <w:vAlign w:val="center"/>
          </w:tcPr>
          <w:p w:rsidR="00632479" w:rsidRPr="00EF0531" w:rsidRDefault="00F94008" w:rsidP="008216A0">
            <w:pPr>
              <w:jc w:val="center"/>
              <w:rPr>
                <w:rFonts w:ascii="Arial" w:hAnsi="Arial" w:cs="Arial"/>
                <w:i/>
                <w:iCs/>
                <w:sz w:val="16"/>
                <w:szCs w:val="16"/>
              </w:rPr>
            </w:pPr>
            <w:r w:rsidRPr="00EF0531">
              <w:rPr>
                <w:rFonts w:ascii="Arial" w:hAnsi="Arial" w:cs="Arial"/>
                <w:i/>
                <w:iCs/>
                <w:sz w:val="16"/>
                <w:szCs w:val="16"/>
              </w:rPr>
              <w:t>149,11</w:t>
            </w:r>
            <w:r w:rsidR="00632479" w:rsidRPr="00EF0531">
              <w:rPr>
                <w:rFonts w:ascii="Arial" w:hAnsi="Arial" w:cs="Arial"/>
                <w:i/>
                <w:iCs/>
                <w:sz w:val="16"/>
                <w:szCs w:val="16"/>
              </w:rPr>
              <w:t xml:space="preserve">   </w:t>
            </w:r>
          </w:p>
        </w:tc>
        <w:tc>
          <w:tcPr>
            <w:tcW w:w="518" w:type="dxa"/>
            <w:tcBorders>
              <w:top w:val="nil"/>
              <w:left w:val="nil"/>
              <w:bottom w:val="dotted" w:sz="4" w:space="0" w:color="auto"/>
              <w:right w:val="dotted" w:sz="4" w:space="0" w:color="auto"/>
            </w:tcBorders>
            <w:noWrap/>
            <w:vAlign w:val="center"/>
          </w:tcPr>
          <w:p w:rsidR="00632479" w:rsidRPr="00EF0531" w:rsidRDefault="00632479" w:rsidP="008216A0">
            <w:pPr>
              <w:jc w:val="center"/>
              <w:rPr>
                <w:rFonts w:ascii="Arial" w:hAnsi="Arial" w:cs="Arial"/>
                <w:i/>
                <w:iCs/>
                <w:sz w:val="16"/>
                <w:szCs w:val="16"/>
              </w:rPr>
            </w:pPr>
            <w:r w:rsidRPr="00EF0531">
              <w:rPr>
                <w:rFonts w:ascii="Arial" w:hAnsi="Arial" w:cs="Arial"/>
                <w:i/>
                <w:iCs/>
                <w:sz w:val="16"/>
                <w:szCs w:val="16"/>
              </w:rPr>
              <w:t>N/A</w:t>
            </w:r>
          </w:p>
        </w:tc>
        <w:tc>
          <w:tcPr>
            <w:tcW w:w="518" w:type="dxa"/>
            <w:tcBorders>
              <w:top w:val="nil"/>
              <w:left w:val="nil"/>
              <w:bottom w:val="dotted" w:sz="4" w:space="0" w:color="auto"/>
              <w:right w:val="dotted" w:sz="4" w:space="0" w:color="auto"/>
            </w:tcBorders>
            <w:noWrap/>
            <w:vAlign w:val="center"/>
          </w:tcPr>
          <w:p w:rsidR="00632479" w:rsidRPr="00EF0531" w:rsidRDefault="00632479" w:rsidP="008216A0">
            <w:pPr>
              <w:jc w:val="center"/>
              <w:rPr>
                <w:rFonts w:ascii="Arial" w:hAnsi="Arial" w:cs="Arial"/>
                <w:i/>
                <w:iCs/>
                <w:sz w:val="16"/>
                <w:szCs w:val="16"/>
              </w:rPr>
            </w:pPr>
            <w:r w:rsidRPr="00EF0531">
              <w:rPr>
                <w:rFonts w:ascii="Arial" w:hAnsi="Arial" w:cs="Arial"/>
                <w:i/>
                <w:iCs/>
                <w:sz w:val="16"/>
                <w:szCs w:val="16"/>
              </w:rPr>
              <w:t>N/A</w:t>
            </w:r>
          </w:p>
        </w:tc>
        <w:tc>
          <w:tcPr>
            <w:tcW w:w="719" w:type="dxa"/>
            <w:tcBorders>
              <w:top w:val="nil"/>
              <w:left w:val="nil"/>
              <w:bottom w:val="dotted" w:sz="4" w:space="0" w:color="auto"/>
              <w:right w:val="dotted" w:sz="4" w:space="0" w:color="auto"/>
            </w:tcBorders>
            <w:noWrap/>
            <w:vAlign w:val="center"/>
          </w:tcPr>
          <w:p w:rsidR="00632479" w:rsidRPr="00EF0531" w:rsidRDefault="00632479" w:rsidP="008216A0">
            <w:pPr>
              <w:jc w:val="center"/>
              <w:rPr>
                <w:rFonts w:ascii="Arial" w:hAnsi="Arial" w:cs="Arial"/>
                <w:i/>
                <w:iCs/>
                <w:sz w:val="16"/>
                <w:szCs w:val="16"/>
              </w:rPr>
            </w:pPr>
            <w:r w:rsidRPr="00EF0531">
              <w:rPr>
                <w:rFonts w:ascii="Arial" w:hAnsi="Arial" w:cs="Arial"/>
                <w:i/>
                <w:iCs/>
                <w:sz w:val="16"/>
                <w:szCs w:val="16"/>
              </w:rPr>
              <w:t>N/A</w:t>
            </w:r>
          </w:p>
        </w:tc>
        <w:tc>
          <w:tcPr>
            <w:tcW w:w="777" w:type="dxa"/>
            <w:tcBorders>
              <w:top w:val="nil"/>
              <w:left w:val="nil"/>
              <w:bottom w:val="dotted" w:sz="4" w:space="0" w:color="auto"/>
              <w:right w:val="dotted" w:sz="4" w:space="0" w:color="auto"/>
            </w:tcBorders>
            <w:noWrap/>
            <w:vAlign w:val="center"/>
          </w:tcPr>
          <w:p w:rsidR="00632479" w:rsidRPr="00EF0531" w:rsidRDefault="00F94008" w:rsidP="008216A0">
            <w:pPr>
              <w:jc w:val="center"/>
              <w:rPr>
                <w:rFonts w:ascii="Arial" w:hAnsi="Arial" w:cs="Arial"/>
                <w:b/>
                <w:bCs/>
                <w:sz w:val="16"/>
                <w:szCs w:val="16"/>
              </w:rPr>
            </w:pPr>
            <w:r w:rsidRPr="00EF0531">
              <w:rPr>
                <w:rFonts w:ascii="Arial" w:hAnsi="Arial" w:cs="Arial"/>
                <w:b/>
                <w:bCs/>
                <w:sz w:val="16"/>
                <w:szCs w:val="16"/>
              </w:rPr>
              <w:t>149,11</w:t>
            </w:r>
          </w:p>
        </w:tc>
        <w:tc>
          <w:tcPr>
            <w:tcW w:w="1017" w:type="dxa"/>
            <w:tcBorders>
              <w:top w:val="nil"/>
              <w:left w:val="nil"/>
              <w:bottom w:val="dotted" w:sz="4" w:space="0" w:color="auto"/>
              <w:right w:val="single" w:sz="4" w:space="0" w:color="auto"/>
            </w:tcBorders>
            <w:noWrap/>
            <w:vAlign w:val="center"/>
          </w:tcPr>
          <w:p w:rsidR="00632479" w:rsidRPr="00EF0531" w:rsidRDefault="00632479" w:rsidP="008216A0">
            <w:pPr>
              <w:jc w:val="center"/>
              <w:rPr>
                <w:rFonts w:ascii="Arial" w:hAnsi="Arial" w:cs="Arial"/>
                <w:i/>
                <w:iCs/>
                <w:sz w:val="16"/>
                <w:szCs w:val="16"/>
              </w:rPr>
            </w:pPr>
            <w:r w:rsidRPr="00EF0531">
              <w:rPr>
                <w:rFonts w:ascii="Arial" w:hAnsi="Arial" w:cs="Arial"/>
                <w:i/>
                <w:iCs/>
                <w:sz w:val="16"/>
                <w:szCs w:val="16"/>
              </w:rPr>
              <w:t>EÚ+ŠR+VZ</w:t>
            </w:r>
          </w:p>
        </w:tc>
      </w:tr>
      <w:tr w:rsidR="00632479" w:rsidRPr="00EF0531" w:rsidTr="00632479">
        <w:trPr>
          <w:trHeight w:val="758"/>
        </w:trPr>
        <w:tc>
          <w:tcPr>
            <w:tcW w:w="1048" w:type="dxa"/>
            <w:vMerge/>
            <w:tcBorders>
              <w:top w:val="nil"/>
              <w:left w:val="single" w:sz="4" w:space="0" w:color="auto"/>
              <w:bottom w:val="single" w:sz="4" w:space="0" w:color="000000"/>
              <w:right w:val="single" w:sz="4" w:space="0" w:color="auto"/>
            </w:tcBorders>
            <w:vAlign w:val="center"/>
          </w:tcPr>
          <w:p w:rsidR="00632479" w:rsidRPr="00EF0531" w:rsidRDefault="00632479" w:rsidP="008216A0">
            <w:pPr>
              <w:rPr>
                <w:rFonts w:ascii="Arial" w:hAnsi="Arial" w:cs="Arial"/>
                <w:sz w:val="16"/>
                <w:szCs w:val="16"/>
              </w:rPr>
            </w:pPr>
          </w:p>
        </w:tc>
        <w:tc>
          <w:tcPr>
            <w:tcW w:w="959" w:type="dxa"/>
            <w:tcBorders>
              <w:top w:val="nil"/>
              <w:left w:val="nil"/>
              <w:bottom w:val="dotted" w:sz="4" w:space="0" w:color="auto"/>
              <w:right w:val="single" w:sz="4" w:space="0" w:color="auto"/>
            </w:tcBorders>
            <w:noWrap/>
            <w:vAlign w:val="center"/>
          </w:tcPr>
          <w:p w:rsidR="00632479" w:rsidRPr="00EF0531" w:rsidRDefault="00632479" w:rsidP="008216A0">
            <w:pPr>
              <w:rPr>
                <w:rFonts w:ascii="Arial" w:hAnsi="Arial" w:cs="Arial"/>
                <w:sz w:val="16"/>
                <w:szCs w:val="16"/>
              </w:rPr>
            </w:pPr>
            <w:r w:rsidRPr="00EF0531">
              <w:rPr>
                <w:rFonts w:ascii="Arial" w:hAnsi="Arial" w:cs="Arial"/>
                <w:sz w:val="16"/>
                <w:szCs w:val="16"/>
              </w:rPr>
              <w:t>Cieľ</w:t>
            </w:r>
          </w:p>
        </w:tc>
        <w:tc>
          <w:tcPr>
            <w:tcW w:w="518" w:type="dxa"/>
            <w:tcBorders>
              <w:top w:val="nil"/>
              <w:left w:val="nil"/>
              <w:bottom w:val="dotted" w:sz="4" w:space="0" w:color="auto"/>
              <w:right w:val="dotted" w:sz="4" w:space="0" w:color="auto"/>
            </w:tcBorders>
            <w:noWrap/>
            <w:vAlign w:val="center"/>
          </w:tcPr>
          <w:p w:rsidR="00632479" w:rsidRPr="00EF0531" w:rsidRDefault="00632479" w:rsidP="008216A0">
            <w:pPr>
              <w:jc w:val="center"/>
              <w:rPr>
                <w:rFonts w:ascii="Arial" w:hAnsi="Arial" w:cs="Arial"/>
                <w:i/>
                <w:iCs/>
                <w:sz w:val="16"/>
                <w:szCs w:val="16"/>
              </w:rPr>
            </w:pPr>
            <w:r w:rsidRPr="00EF0531">
              <w:rPr>
                <w:rFonts w:ascii="Arial" w:hAnsi="Arial" w:cs="Arial"/>
                <w:i/>
                <w:iCs/>
                <w:sz w:val="16"/>
                <w:szCs w:val="16"/>
              </w:rPr>
              <w:t>N/A</w:t>
            </w:r>
          </w:p>
        </w:tc>
        <w:tc>
          <w:tcPr>
            <w:tcW w:w="518" w:type="dxa"/>
            <w:tcBorders>
              <w:top w:val="nil"/>
              <w:left w:val="nil"/>
              <w:bottom w:val="dotted" w:sz="4" w:space="0" w:color="auto"/>
              <w:right w:val="dotted" w:sz="4" w:space="0" w:color="auto"/>
            </w:tcBorders>
            <w:noWrap/>
            <w:vAlign w:val="center"/>
          </w:tcPr>
          <w:p w:rsidR="00632479" w:rsidRPr="00EF0531" w:rsidRDefault="00632479" w:rsidP="008216A0">
            <w:pPr>
              <w:jc w:val="center"/>
              <w:rPr>
                <w:rFonts w:ascii="Arial" w:hAnsi="Arial" w:cs="Arial"/>
                <w:i/>
                <w:iCs/>
                <w:sz w:val="16"/>
                <w:szCs w:val="16"/>
              </w:rPr>
            </w:pPr>
            <w:r w:rsidRPr="00EF0531">
              <w:rPr>
                <w:rFonts w:ascii="Arial" w:hAnsi="Arial" w:cs="Arial"/>
                <w:i/>
                <w:iCs/>
                <w:sz w:val="16"/>
                <w:szCs w:val="16"/>
              </w:rPr>
              <w:t>N/A</w:t>
            </w:r>
          </w:p>
        </w:tc>
        <w:tc>
          <w:tcPr>
            <w:tcW w:w="777" w:type="dxa"/>
            <w:tcBorders>
              <w:top w:val="nil"/>
              <w:left w:val="nil"/>
              <w:bottom w:val="dotted" w:sz="4" w:space="0" w:color="auto"/>
              <w:right w:val="dotted" w:sz="4" w:space="0" w:color="auto"/>
            </w:tcBorders>
            <w:noWrap/>
            <w:vAlign w:val="center"/>
          </w:tcPr>
          <w:p w:rsidR="00632479" w:rsidRPr="00EF0531" w:rsidRDefault="00632479" w:rsidP="008216A0">
            <w:pPr>
              <w:jc w:val="center"/>
              <w:rPr>
                <w:rFonts w:ascii="Arial" w:hAnsi="Arial" w:cs="Arial"/>
                <w:i/>
                <w:iCs/>
                <w:sz w:val="16"/>
                <w:szCs w:val="16"/>
              </w:rPr>
            </w:pPr>
            <w:r w:rsidRPr="00EF0531">
              <w:rPr>
                <w:rFonts w:ascii="Arial" w:hAnsi="Arial" w:cs="Arial"/>
                <w:i/>
                <w:iCs/>
                <w:sz w:val="16"/>
                <w:szCs w:val="16"/>
              </w:rPr>
              <w:t>N/A</w:t>
            </w:r>
          </w:p>
        </w:tc>
        <w:tc>
          <w:tcPr>
            <w:tcW w:w="778" w:type="dxa"/>
            <w:tcBorders>
              <w:top w:val="nil"/>
              <w:left w:val="nil"/>
              <w:bottom w:val="dotted" w:sz="4" w:space="0" w:color="auto"/>
              <w:right w:val="dotted" w:sz="4" w:space="0" w:color="auto"/>
            </w:tcBorders>
            <w:noWrap/>
            <w:vAlign w:val="center"/>
          </w:tcPr>
          <w:p w:rsidR="00632479" w:rsidRPr="00EF0531" w:rsidRDefault="00632479" w:rsidP="008216A0">
            <w:pPr>
              <w:jc w:val="center"/>
              <w:rPr>
                <w:rFonts w:ascii="Arial" w:hAnsi="Arial" w:cs="Arial"/>
                <w:i/>
                <w:iCs/>
                <w:sz w:val="16"/>
                <w:szCs w:val="16"/>
              </w:rPr>
            </w:pPr>
            <w:r w:rsidRPr="00EF0531">
              <w:rPr>
                <w:rFonts w:ascii="Arial" w:hAnsi="Arial" w:cs="Arial"/>
                <w:i/>
                <w:iCs/>
                <w:sz w:val="16"/>
                <w:szCs w:val="16"/>
              </w:rPr>
              <w:t>N/A</w:t>
            </w:r>
          </w:p>
        </w:tc>
        <w:tc>
          <w:tcPr>
            <w:tcW w:w="907" w:type="dxa"/>
            <w:tcBorders>
              <w:top w:val="nil"/>
              <w:left w:val="nil"/>
              <w:bottom w:val="dotted" w:sz="4" w:space="0" w:color="auto"/>
              <w:right w:val="dotted" w:sz="4" w:space="0" w:color="auto"/>
            </w:tcBorders>
            <w:noWrap/>
            <w:vAlign w:val="center"/>
          </w:tcPr>
          <w:p w:rsidR="00632479" w:rsidRPr="00EF0531" w:rsidRDefault="00632479" w:rsidP="008216A0">
            <w:pPr>
              <w:jc w:val="center"/>
              <w:rPr>
                <w:rFonts w:ascii="Arial" w:hAnsi="Arial" w:cs="Arial"/>
                <w:i/>
                <w:iCs/>
                <w:sz w:val="16"/>
                <w:szCs w:val="16"/>
              </w:rPr>
            </w:pPr>
            <w:r w:rsidRPr="00EF0531">
              <w:rPr>
                <w:rFonts w:ascii="Arial" w:hAnsi="Arial" w:cs="Arial"/>
                <w:i/>
                <w:iCs/>
                <w:sz w:val="16"/>
                <w:szCs w:val="16"/>
              </w:rPr>
              <w:t>N/A</w:t>
            </w:r>
          </w:p>
        </w:tc>
        <w:tc>
          <w:tcPr>
            <w:tcW w:w="585" w:type="dxa"/>
            <w:tcBorders>
              <w:top w:val="nil"/>
              <w:left w:val="nil"/>
              <w:bottom w:val="dotted" w:sz="4" w:space="0" w:color="auto"/>
              <w:right w:val="dotted" w:sz="4" w:space="0" w:color="auto"/>
            </w:tcBorders>
            <w:noWrap/>
            <w:vAlign w:val="center"/>
          </w:tcPr>
          <w:p w:rsidR="00632479" w:rsidRPr="00EF0531" w:rsidRDefault="00632479" w:rsidP="008216A0">
            <w:pPr>
              <w:jc w:val="center"/>
              <w:rPr>
                <w:rFonts w:ascii="Arial" w:hAnsi="Arial" w:cs="Arial"/>
                <w:i/>
                <w:iCs/>
                <w:sz w:val="16"/>
                <w:szCs w:val="16"/>
              </w:rPr>
            </w:pPr>
            <w:r w:rsidRPr="00EF0531">
              <w:rPr>
                <w:rFonts w:ascii="Arial" w:hAnsi="Arial" w:cs="Arial"/>
                <w:i/>
                <w:iCs/>
                <w:sz w:val="16"/>
                <w:szCs w:val="16"/>
              </w:rPr>
              <w:t>N/A</w:t>
            </w:r>
          </w:p>
        </w:tc>
        <w:tc>
          <w:tcPr>
            <w:tcW w:w="518" w:type="dxa"/>
            <w:tcBorders>
              <w:top w:val="nil"/>
              <w:left w:val="nil"/>
              <w:bottom w:val="dotted" w:sz="4" w:space="0" w:color="auto"/>
              <w:right w:val="dotted" w:sz="4" w:space="0" w:color="auto"/>
            </w:tcBorders>
            <w:noWrap/>
            <w:vAlign w:val="center"/>
          </w:tcPr>
          <w:p w:rsidR="00632479" w:rsidRPr="00EF0531" w:rsidRDefault="00632479" w:rsidP="008216A0">
            <w:pPr>
              <w:jc w:val="center"/>
              <w:rPr>
                <w:rFonts w:ascii="Arial" w:hAnsi="Arial" w:cs="Arial"/>
                <w:i/>
                <w:iCs/>
                <w:sz w:val="16"/>
                <w:szCs w:val="16"/>
              </w:rPr>
            </w:pPr>
            <w:r w:rsidRPr="00EF0531">
              <w:rPr>
                <w:rFonts w:ascii="Arial" w:hAnsi="Arial" w:cs="Arial"/>
                <w:i/>
                <w:iCs/>
                <w:sz w:val="16"/>
                <w:szCs w:val="16"/>
              </w:rPr>
              <w:t>N/A</w:t>
            </w:r>
          </w:p>
        </w:tc>
        <w:tc>
          <w:tcPr>
            <w:tcW w:w="518" w:type="dxa"/>
            <w:tcBorders>
              <w:top w:val="nil"/>
              <w:left w:val="nil"/>
              <w:bottom w:val="dotted" w:sz="4" w:space="0" w:color="auto"/>
              <w:right w:val="dotted" w:sz="4" w:space="0" w:color="auto"/>
            </w:tcBorders>
            <w:noWrap/>
            <w:vAlign w:val="center"/>
          </w:tcPr>
          <w:p w:rsidR="00632479" w:rsidRPr="00EF0531" w:rsidRDefault="00632479" w:rsidP="008216A0">
            <w:pPr>
              <w:jc w:val="center"/>
              <w:rPr>
                <w:rFonts w:ascii="Arial" w:hAnsi="Arial" w:cs="Arial"/>
                <w:i/>
                <w:iCs/>
                <w:sz w:val="16"/>
                <w:szCs w:val="16"/>
              </w:rPr>
            </w:pPr>
            <w:r w:rsidRPr="00EF0531">
              <w:rPr>
                <w:rFonts w:ascii="Arial" w:hAnsi="Arial" w:cs="Arial"/>
                <w:i/>
                <w:iCs/>
                <w:sz w:val="16"/>
                <w:szCs w:val="16"/>
              </w:rPr>
              <w:t>N/A</w:t>
            </w:r>
          </w:p>
        </w:tc>
        <w:tc>
          <w:tcPr>
            <w:tcW w:w="719" w:type="dxa"/>
            <w:tcBorders>
              <w:top w:val="nil"/>
              <w:left w:val="nil"/>
              <w:bottom w:val="dotted" w:sz="4" w:space="0" w:color="auto"/>
              <w:right w:val="dotted" w:sz="4" w:space="0" w:color="auto"/>
            </w:tcBorders>
            <w:noWrap/>
            <w:vAlign w:val="center"/>
          </w:tcPr>
          <w:p w:rsidR="00632479" w:rsidRPr="00EF0531" w:rsidRDefault="00632479" w:rsidP="008216A0">
            <w:pPr>
              <w:jc w:val="center"/>
              <w:rPr>
                <w:rFonts w:ascii="Arial" w:hAnsi="Arial" w:cs="Arial"/>
                <w:b/>
                <w:bCs/>
                <w:sz w:val="16"/>
                <w:szCs w:val="16"/>
              </w:rPr>
            </w:pPr>
            <w:r w:rsidRPr="00EF0531">
              <w:rPr>
                <w:rFonts w:ascii="Arial" w:hAnsi="Arial" w:cs="Arial"/>
                <w:b/>
                <w:bCs/>
                <w:sz w:val="16"/>
                <w:szCs w:val="16"/>
              </w:rPr>
              <w:t>200</w:t>
            </w:r>
            <w:r w:rsidR="00F466F7">
              <w:rPr>
                <w:rFonts w:ascii="Arial" w:hAnsi="Arial" w:cs="Arial"/>
                <w:b/>
                <w:bCs/>
                <w:sz w:val="16"/>
                <w:szCs w:val="16"/>
              </w:rPr>
              <w:t>,</w:t>
            </w:r>
            <w:r w:rsidRPr="00EF0531">
              <w:rPr>
                <w:rFonts w:ascii="Arial" w:hAnsi="Arial" w:cs="Arial"/>
                <w:b/>
                <w:bCs/>
                <w:sz w:val="16"/>
                <w:szCs w:val="16"/>
              </w:rPr>
              <w:t> 00</w:t>
            </w:r>
          </w:p>
        </w:tc>
        <w:tc>
          <w:tcPr>
            <w:tcW w:w="777" w:type="dxa"/>
            <w:tcBorders>
              <w:top w:val="nil"/>
              <w:left w:val="nil"/>
              <w:bottom w:val="dotted" w:sz="4" w:space="0" w:color="auto"/>
              <w:right w:val="dotted" w:sz="4" w:space="0" w:color="auto"/>
            </w:tcBorders>
            <w:noWrap/>
            <w:vAlign w:val="center"/>
          </w:tcPr>
          <w:p w:rsidR="00632479" w:rsidRPr="00EF0531" w:rsidRDefault="00632479" w:rsidP="008216A0">
            <w:pPr>
              <w:jc w:val="center"/>
              <w:rPr>
                <w:rFonts w:ascii="Arial" w:hAnsi="Arial" w:cs="Arial"/>
                <w:b/>
                <w:bCs/>
                <w:sz w:val="16"/>
                <w:szCs w:val="16"/>
              </w:rPr>
            </w:pPr>
            <w:r w:rsidRPr="00EF0531">
              <w:rPr>
                <w:rFonts w:ascii="Arial" w:hAnsi="Arial" w:cs="Arial"/>
                <w:b/>
                <w:bCs/>
                <w:sz w:val="16"/>
                <w:szCs w:val="16"/>
              </w:rPr>
              <w:t>200</w:t>
            </w:r>
            <w:r w:rsidR="00F466F7">
              <w:rPr>
                <w:rFonts w:ascii="Arial" w:hAnsi="Arial" w:cs="Arial"/>
                <w:b/>
                <w:bCs/>
                <w:sz w:val="16"/>
                <w:szCs w:val="16"/>
              </w:rPr>
              <w:t>,</w:t>
            </w:r>
            <w:r w:rsidRPr="00EF0531">
              <w:rPr>
                <w:rFonts w:ascii="Arial" w:hAnsi="Arial" w:cs="Arial"/>
                <w:b/>
                <w:bCs/>
                <w:sz w:val="16"/>
                <w:szCs w:val="16"/>
              </w:rPr>
              <w:t> 0</w:t>
            </w:r>
            <w:r w:rsidR="0090252C">
              <w:rPr>
                <w:rFonts w:ascii="Arial" w:hAnsi="Arial" w:cs="Arial"/>
                <w:b/>
                <w:bCs/>
                <w:sz w:val="16"/>
                <w:szCs w:val="16"/>
              </w:rPr>
              <w:t>0</w:t>
            </w:r>
          </w:p>
        </w:tc>
        <w:tc>
          <w:tcPr>
            <w:tcW w:w="1017" w:type="dxa"/>
            <w:tcBorders>
              <w:top w:val="nil"/>
              <w:left w:val="nil"/>
              <w:bottom w:val="dotted" w:sz="4" w:space="0" w:color="auto"/>
              <w:right w:val="single" w:sz="4" w:space="0" w:color="auto"/>
            </w:tcBorders>
            <w:noWrap/>
            <w:vAlign w:val="center"/>
          </w:tcPr>
          <w:p w:rsidR="00632479" w:rsidRDefault="00E26EE3" w:rsidP="008216A0">
            <w:pPr>
              <w:jc w:val="center"/>
              <w:rPr>
                <w:rFonts w:ascii="Arial" w:hAnsi="Arial" w:cs="Arial"/>
                <w:i/>
                <w:iCs/>
                <w:sz w:val="16"/>
                <w:szCs w:val="16"/>
              </w:rPr>
            </w:pPr>
            <w:r>
              <w:rPr>
                <w:rFonts w:ascii="Arial" w:hAnsi="Arial" w:cs="Arial"/>
                <w:i/>
                <w:iCs/>
                <w:sz w:val="16"/>
                <w:szCs w:val="16"/>
              </w:rPr>
              <w:t>185</w:t>
            </w:r>
            <w:r w:rsidR="00F466F7">
              <w:rPr>
                <w:rFonts w:ascii="Arial" w:hAnsi="Arial" w:cs="Arial"/>
                <w:i/>
                <w:iCs/>
                <w:sz w:val="16"/>
                <w:szCs w:val="16"/>
              </w:rPr>
              <w:t>,</w:t>
            </w:r>
            <w:r>
              <w:rPr>
                <w:rFonts w:ascii="Arial" w:hAnsi="Arial" w:cs="Arial"/>
                <w:i/>
                <w:iCs/>
                <w:sz w:val="16"/>
                <w:szCs w:val="16"/>
              </w:rPr>
              <w:t xml:space="preserve"> 443</w:t>
            </w:r>
            <w:r w:rsidR="00F466F7">
              <w:rPr>
                <w:rFonts w:ascii="Arial" w:hAnsi="Arial" w:cs="Arial"/>
                <w:i/>
                <w:iCs/>
                <w:sz w:val="16"/>
                <w:szCs w:val="16"/>
              </w:rPr>
              <w:t> </w:t>
            </w:r>
            <w:r>
              <w:rPr>
                <w:rFonts w:ascii="Arial" w:hAnsi="Arial" w:cs="Arial"/>
                <w:i/>
                <w:iCs/>
                <w:sz w:val="16"/>
                <w:szCs w:val="16"/>
              </w:rPr>
              <w:t>073</w:t>
            </w:r>
            <w:r w:rsidR="00F466F7">
              <w:rPr>
                <w:rFonts w:ascii="Arial" w:hAnsi="Arial" w:cs="Arial"/>
                <w:i/>
                <w:iCs/>
                <w:sz w:val="16"/>
                <w:szCs w:val="16"/>
              </w:rPr>
              <w:t xml:space="preserve"> </w:t>
            </w:r>
            <w:r>
              <w:rPr>
                <w:rFonts w:ascii="Arial" w:hAnsi="Arial" w:cs="Arial"/>
                <w:i/>
                <w:iCs/>
                <w:sz w:val="16"/>
                <w:szCs w:val="16"/>
              </w:rPr>
              <w:t>60</w:t>
            </w:r>
          </w:p>
          <w:p w:rsidR="00E26EE3" w:rsidRDefault="00E26EE3" w:rsidP="008216A0">
            <w:pPr>
              <w:jc w:val="center"/>
              <w:rPr>
                <w:rFonts w:ascii="Arial" w:hAnsi="Arial" w:cs="Arial"/>
                <w:i/>
                <w:iCs/>
                <w:sz w:val="16"/>
                <w:szCs w:val="16"/>
              </w:rPr>
            </w:pPr>
            <w:r>
              <w:rPr>
                <w:rFonts w:ascii="Arial" w:hAnsi="Arial" w:cs="Arial"/>
                <w:i/>
                <w:iCs/>
                <w:sz w:val="16"/>
                <w:szCs w:val="16"/>
              </w:rPr>
              <w:t>Z toho EU zdroj</w:t>
            </w:r>
          </w:p>
          <w:p w:rsidR="00E26EE3" w:rsidRPr="00EF0531" w:rsidRDefault="00E26EE3" w:rsidP="008216A0">
            <w:pPr>
              <w:jc w:val="center"/>
              <w:rPr>
                <w:rFonts w:ascii="Arial" w:hAnsi="Arial" w:cs="Arial"/>
                <w:i/>
                <w:iCs/>
                <w:sz w:val="16"/>
                <w:szCs w:val="16"/>
              </w:rPr>
            </w:pPr>
            <w:r>
              <w:rPr>
                <w:rFonts w:ascii="Arial" w:hAnsi="Arial" w:cs="Arial"/>
                <w:i/>
                <w:iCs/>
                <w:sz w:val="16"/>
                <w:szCs w:val="16"/>
              </w:rPr>
              <w:t>149</w:t>
            </w:r>
            <w:r w:rsidR="00F466F7">
              <w:rPr>
                <w:rFonts w:ascii="Arial" w:hAnsi="Arial" w:cs="Arial"/>
                <w:i/>
                <w:iCs/>
                <w:sz w:val="16"/>
                <w:szCs w:val="16"/>
              </w:rPr>
              <w:t>,</w:t>
            </w:r>
            <w:r>
              <w:rPr>
                <w:rFonts w:ascii="Arial" w:hAnsi="Arial" w:cs="Arial"/>
                <w:i/>
                <w:iCs/>
                <w:sz w:val="16"/>
                <w:szCs w:val="16"/>
              </w:rPr>
              <w:t> 113</w:t>
            </w:r>
            <w:r w:rsidR="00F466F7">
              <w:rPr>
                <w:rFonts w:ascii="Arial" w:hAnsi="Arial" w:cs="Arial"/>
                <w:i/>
                <w:iCs/>
                <w:sz w:val="16"/>
                <w:szCs w:val="16"/>
              </w:rPr>
              <w:t> </w:t>
            </w:r>
            <w:r>
              <w:rPr>
                <w:rFonts w:ascii="Arial" w:hAnsi="Arial" w:cs="Arial"/>
                <w:i/>
                <w:iCs/>
                <w:sz w:val="16"/>
                <w:szCs w:val="16"/>
              </w:rPr>
              <w:t>112</w:t>
            </w:r>
            <w:r w:rsidR="00F466F7">
              <w:rPr>
                <w:rFonts w:ascii="Arial" w:hAnsi="Arial" w:cs="Arial"/>
                <w:i/>
                <w:iCs/>
                <w:sz w:val="16"/>
                <w:szCs w:val="16"/>
              </w:rPr>
              <w:t xml:space="preserve"> </w:t>
            </w:r>
            <w:r>
              <w:rPr>
                <w:rFonts w:ascii="Arial" w:hAnsi="Arial" w:cs="Arial"/>
                <w:i/>
                <w:iCs/>
                <w:sz w:val="16"/>
                <w:szCs w:val="16"/>
              </w:rPr>
              <w:t>80</w:t>
            </w:r>
          </w:p>
        </w:tc>
      </w:tr>
      <w:tr w:rsidR="00632479" w:rsidRPr="00EF0531" w:rsidTr="00632479">
        <w:trPr>
          <w:trHeight w:val="300"/>
        </w:trPr>
        <w:tc>
          <w:tcPr>
            <w:tcW w:w="1048" w:type="dxa"/>
            <w:vMerge/>
            <w:tcBorders>
              <w:top w:val="nil"/>
              <w:left w:val="single" w:sz="4" w:space="0" w:color="auto"/>
              <w:bottom w:val="single" w:sz="4" w:space="0" w:color="000000"/>
              <w:right w:val="single" w:sz="4" w:space="0" w:color="auto"/>
            </w:tcBorders>
            <w:vAlign w:val="center"/>
          </w:tcPr>
          <w:p w:rsidR="00632479" w:rsidRPr="00EF0531" w:rsidRDefault="00632479" w:rsidP="008216A0">
            <w:pPr>
              <w:rPr>
                <w:rFonts w:ascii="Arial" w:hAnsi="Arial" w:cs="Arial"/>
                <w:sz w:val="16"/>
                <w:szCs w:val="16"/>
              </w:rPr>
            </w:pPr>
          </w:p>
        </w:tc>
        <w:tc>
          <w:tcPr>
            <w:tcW w:w="959" w:type="dxa"/>
            <w:tcBorders>
              <w:top w:val="nil"/>
              <w:left w:val="nil"/>
              <w:bottom w:val="single" w:sz="4" w:space="0" w:color="auto"/>
              <w:right w:val="single" w:sz="4" w:space="0" w:color="auto"/>
            </w:tcBorders>
            <w:noWrap/>
            <w:vAlign w:val="center"/>
          </w:tcPr>
          <w:p w:rsidR="00632479" w:rsidRPr="00EF0531" w:rsidRDefault="00632479" w:rsidP="008216A0">
            <w:pPr>
              <w:rPr>
                <w:rFonts w:ascii="Arial" w:hAnsi="Arial" w:cs="Arial"/>
                <w:sz w:val="16"/>
                <w:szCs w:val="16"/>
              </w:rPr>
            </w:pPr>
            <w:r w:rsidRPr="00EF0531">
              <w:rPr>
                <w:rFonts w:ascii="Arial" w:hAnsi="Arial" w:cs="Arial"/>
                <w:sz w:val="16"/>
                <w:szCs w:val="16"/>
              </w:rPr>
              <w:t>Východisko</w:t>
            </w:r>
          </w:p>
        </w:tc>
        <w:tc>
          <w:tcPr>
            <w:tcW w:w="518" w:type="dxa"/>
            <w:tcBorders>
              <w:top w:val="nil"/>
              <w:left w:val="nil"/>
              <w:bottom w:val="single" w:sz="4" w:space="0" w:color="auto"/>
              <w:right w:val="dotted" w:sz="4" w:space="0" w:color="auto"/>
            </w:tcBorders>
            <w:noWrap/>
            <w:vAlign w:val="center"/>
          </w:tcPr>
          <w:p w:rsidR="00632479" w:rsidRPr="00EF0531" w:rsidRDefault="00632479" w:rsidP="008216A0">
            <w:pPr>
              <w:jc w:val="center"/>
              <w:rPr>
                <w:rFonts w:ascii="Arial" w:hAnsi="Arial" w:cs="Arial"/>
                <w:b/>
                <w:bCs/>
                <w:sz w:val="16"/>
                <w:szCs w:val="16"/>
              </w:rPr>
            </w:pPr>
            <w:r w:rsidRPr="00EF0531">
              <w:rPr>
                <w:rFonts w:ascii="Arial" w:hAnsi="Arial" w:cs="Arial"/>
                <w:b/>
                <w:bCs/>
                <w:sz w:val="16"/>
                <w:szCs w:val="16"/>
              </w:rPr>
              <w:t>0</w:t>
            </w:r>
          </w:p>
        </w:tc>
        <w:tc>
          <w:tcPr>
            <w:tcW w:w="518" w:type="dxa"/>
            <w:tcBorders>
              <w:top w:val="nil"/>
              <w:left w:val="nil"/>
              <w:bottom w:val="single" w:sz="4" w:space="0" w:color="auto"/>
              <w:right w:val="dotted" w:sz="4" w:space="0" w:color="auto"/>
            </w:tcBorders>
            <w:noWrap/>
            <w:vAlign w:val="center"/>
          </w:tcPr>
          <w:p w:rsidR="00632479" w:rsidRPr="00EF0531" w:rsidRDefault="00632479" w:rsidP="008216A0">
            <w:pPr>
              <w:jc w:val="center"/>
              <w:rPr>
                <w:rFonts w:ascii="Arial" w:hAnsi="Arial" w:cs="Arial"/>
                <w:i/>
                <w:iCs/>
                <w:sz w:val="16"/>
                <w:szCs w:val="16"/>
              </w:rPr>
            </w:pPr>
            <w:r w:rsidRPr="00EF0531">
              <w:rPr>
                <w:rFonts w:ascii="Arial" w:hAnsi="Arial" w:cs="Arial"/>
                <w:i/>
                <w:iCs/>
                <w:sz w:val="16"/>
                <w:szCs w:val="16"/>
              </w:rPr>
              <w:t>N/A</w:t>
            </w:r>
          </w:p>
        </w:tc>
        <w:tc>
          <w:tcPr>
            <w:tcW w:w="777" w:type="dxa"/>
            <w:tcBorders>
              <w:top w:val="nil"/>
              <w:left w:val="nil"/>
              <w:bottom w:val="single" w:sz="4" w:space="0" w:color="auto"/>
              <w:right w:val="dotted" w:sz="4" w:space="0" w:color="auto"/>
            </w:tcBorders>
            <w:noWrap/>
            <w:vAlign w:val="center"/>
          </w:tcPr>
          <w:p w:rsidR="00632479" w:rsidRPr="00EF0531" w:rsidRDefault="00632479" w:rsidP="008216A0">
            <w:pPr>
              <w:jc w:val="center"/>
              <w:rPr>
                <w:rFonts w:ascii="Arial" w:hAnsi="Arial" w:cs="Arial"/>
                <w:i/>
                <w:iCs/>
                <w:sz w:val="16"/>
                <w:szCs w:val="16"/>
              </w:rPr>
            </w:pPr>
            <w:r w:rsidRPr="00EF0531">
              <w:rPr>
                <w:rFonts w:ascii="Arial" w:hAnsi="Arial" w:cs="Arial"/>
                <w:i/>
                <w:iCs/>
                <w:sz w:val="16"/>
                <w:szCs w:val="16"/>
              </w:rPr>
              <w:t>N/A</w:t>
            </w:r>
          </w:p>
        </w:tc>
        <w:tc>
          <w:tcPr>
            <w:tcW w:w="778" w:type="dxa"/>
            <w:tcBorders>
              <w:top w:val="nil"/>
              <w:left w:val="nil"/>
              <w:bottom w:val="single" w:sz="4" w:space="0" w:color="auto"/>
              <w:right w:val="dotted" w:sz="4" w:space="0" w:color="auto"/>
            </w:tcBorders>
            <w:noWrap/>
            <w:vAlign w:val="center"/>
          </w:tcPr>
          <w:p w:rsidR="00632479" w:rsidRPr="00EF0531" w:rsidRDefault="00632479" w:rsidP="008216A0">
            <w:pPr>
              <w:jc w:val="center"/>
              <w:rPr>
                <w:rFonts w:ascii="Arial" w:hAnsi="Arial" w:cs="Arial"/>
                <w:i/>
                <w:iCs/>
                <w:sz w:val="16"/>
                <w:szCs w:val="16"/>
              </w:rPr>
            </w:pPr>
            <w:r w:rsidRPr="00EF0531">
              <w:rPr>
                <w:rFonts w:ascii="Arial" w:hAnsi="Arial" w:cs="Arial"/>
                <w:i/>
                <w:iCs/>
                <w:sz w:val="16"/>
                <w:szCs w:val="16"/>
              </w:rPr>
              <w:t>N/A</w:t>
            </w:r>
          </w:p>
        </w:tc>
        <w:tc>
          <w:tcPr>
            <w:tcW w:w="907" w:type="dxa"/>
            <w:tcBorders>
              <w:top w:val="nil"/>
              <w:left w:val="nil"/>
              <w:bottom w:val="single" w:sz="4" w:space="0" w:color="auto"/>
              <w:right w:val="dotted" w:sz="4" w:space="0" w:color="auto"/>
            </w:tcBorders>
            <w:noWrap/>
            <w:vAlign w:val="center"/>
          </w:tcPr>
          <w:p w:rsidR="00632479" w:rsidRPr="00EF0531" w:rsidRDefault="00632479" w:rsidP="008216A0">
            <w:pPr>
              <w:jc w:val="center"/>
              <w:rPr>
                <w:rFonts w:ascii="Arial" w:hAnsi="Arial" w:cs="Arial"/>
                <w:i/>
                <w:iCs/>
                <w:sz w:val="16"/>
                <w:szCs w:val="16"/>
              </w:rPr>
            </w:pPr>
            <w:r w:rsidRPr="00EF0531">
              <w:rPr>
                <w:rFonts w:ascii="Arial" w:hAnsi="Arial" w:cs="Arial"/>
                <w:i/>
                <w:iCs/>
                <w:sz w:val="16"/>
                <w:szCs w:val="16"/>
              </w:rPr>
              <w:t>N/A</w:t>
            </w:r>
          </w:p>
        </w:tc>
        <w:tc>
          <w:tcPr>
            <w:tcW w:w="585" w:type="dxa"/>
            <w:tcBorders>
              <w:top w:val="nil"/>
              <w:left w:val="nil"/>
              <w:bottom w:val="single" w:sz="4" w:space="0" w:color="auto"/>
              <w:right w:val="dotted" w:sz="4" w:space="0" w:color="auto"/>
            </w:tcBorders>
            <w:noWrap/>
            <w:vAlign w:val="center"/>
          </w:tcPr>
          <w:p w:rsidR="00632479" w:rsidRPr="00EF0531" w:rsidRDefault="00632479" w:rsidP="008216A0">
            <w:pPr>
              <w:jc w:val="center"/>
              <w:rPr>
                <w:rFonts w:ascii="Arial" w:hAnsi="Arial" w:cs="Arial"/>
                <w:i/>
                <w:iCs/>
                <w:sz w:val="16"/>
                <w:szCs w:val="16"/>
              </w:rPr>
            </w:pPr>
            <w:r w:rsidRPr="00EF0531">
              <w:rPr>
                <w:rFonts w:ascii="Arial" w:hAnsi="Arial" w:cs="Arial"/>
                <w:i/>
                <w:iCs/>
                <w:sz w:val="16"/>
                <w:szCs w:val="16"/>
              </w:rPr>
              <w:t>N/A</w:t>
            </w:r>
          </w:p>
        </w:tc>
        <w:tc>
          <w:tcPr>
            <w:tcW w:w="518" w:type="dxa"/>
            <w:tcBorders>
              <w:top w:val="nil"/>
              <w:left w:val="nil"/>
              <w:bottom w:val="single" w:sz="4" w:space="0" w:color="auto"/>
              <w:right w:val="dotted" w:sz="4" w:space="0" w:color="auto"/>
            </w:tcBorders>
            <w:noWrap/>
            <w:vAlign w:val="center"/>
          </w:tcPr>
          <w:p w:rsidR="00632479" w:rsidRPr="00EF0531" w:rsidRDefault="00632479" w:rsidP="008216A0">
            <w:pPr>
              <w:jc w:val="center"/>
              <w:rPr>
                <w:rFonts w:ascii="Arial" w:hAnsi="Arial" w:cs="Arial"/>
                <w:i/>
                <w:iCs/>
                <w:sz w:val="16"/>
                <w:szCs w:val="16"/>
              </w:rPr>
            </w:pPr>
            <w:r w:rsidRPr="00EF0531">
              <w:rPr>
                <w:rFonts w:ascii="Arial" w:hAnsi="Arial" w:cs="Arial"/>
                <w:i/>
                <w:iCs/>
                <w:sz w:val="16"/>
                <w:szCs w:val="16"/>
              </w:rPr>
              <w:t>N/A</w:t>
            </w:r>
          </w:p>
        </w:tc>
        <w:tc>
          <w:tcPr>
            <w:tcW w:w="518" w:type="dxa"/>
            <w:tcBorders>
              <w:top w:val="nil"/>
              <w:left w:val="nil"/>
              <w:bottom w:val="single" w:sz="4" w:space="0" w:color="auto"/>
              <w:right w:val="dotted" w:sz="4" w:space="0" w:color="auto"/>
            </w:tcBorders>
            <w:noWrap/>
            <w:vAlign w:val="center"/>
          </w:tcPr>
          <w:p w:rsidR="00632479" w:rsidRPr="00EF0531" w:rsidRDefault="00632479" w:rsidP="008216A0">
            <w:pPr>
              <w:jc w:val="center"/>
              <w:rPr>
                <w:rFonts w:ascii="Arial" w:hAnsi="Arial" w:cs="Arial"/>
                <w:i/>
                <w:iCs/>
                <w:sz w:val="16"/>
                <w:szCs w:val="16"/>
              </w:rPr>
            </w:pPr>
            <w:r w:rsidRPr="00EF0531">
              <w:rPr>
                <w:rFonts w:ascii="Arial" w:hAnsi="Arial" w:cs="Arial"/>
                <w:i/>
                <w:iCs/>
                <w:sz w:val="16"/>
                <w:szCs w:val="16"/>
              </w:rPr>
              <w:t>N/A</w:t>
            </w:r>
          </w:p>
        </w:tc>
        <w:tc>
          <w:tcPr>
            <w:tcW w:w="719" w:type="dxa"/>
            <w:tcBorders>
              <w:top w:val="nil"/>
              <w:left w:val="nil"/>
              <w:bottom w:val="single" w:sz="4" w:space="0" w:color="auto"/>
              <w:right w:val="dotted" w:sz="4" w:space="0" w:color="auto"/>
            </w:tcBorders>
            <w:noWrap/>
            <w:vAlign w:val="center"/>
          </w:tcPr>
          <w:p w:rsidR="00632479" w:rsidRPr="00EF0531" w:rsidRDefault="00632479" w:rsidP="008216A0">
            <w:pPr>
              <w:jc w:val="center"/>
              <w:rPr>
                <w:rFonts w:ascii="Arial" w:hAnsi="Arial" w:cs="Arial"/>
                <w:i/>
                <w:iCs/>
                <w:sz w:val="16"/>
                <w:szCs w:val="16"/>
              </w:rPr>
            </w:pPr>
            <w:r w:rsidRPr="00EF0531">
              <w:rPr>
                <w:rFonts w:ascii="Arial" w:hAnsi="Arial" w:cs="Arial"/>
                <w:i/>
                <w:iCs/>
                <w:sz w:val="16"/>
                <w:szCs w:val="16"/>
              </w:rPr>
              <w:t>N/A</w:t>
            </w:r>
          </w:p>
        </w:tc>
        <w:tc>
          <w:tcPr>
            <w:tcW w:w="777" w:type="dxa"/>
            <w:tcBorders>
              <w:top w:val="nil"/>
              <w:left w:val="nil"/>
              <w:bottom w:val="single" w:sz="4" w:space="0" w:color="auto"/>
              <w:right w:val="dotted" w:sz="4" w:space="0" w:color="auto"/>
            </w:tcBorders>
            <w:noWrap/>
            <w:vAlign w:val="center"/>
          </w:tcPr>
          <w:p w:rsidR="00632479" w:rsidRPr="00EF0531" w:rsidRDefault="00632479" w:rsidP="008216A0">
            <w:pPr>
              <w:jc w:val="center"/>
              <w:rPr>
                <w:rFonts w:ascii="Arial" w:hAnsi="Arial" w:cs="Arial"/>
                <w:b/>
                <w:bCs/>
                <w:sz w:val="16"/>
                <w:szCs w:val="16"/>
              </w:rPr>
            </w:pPr>
            <w:r w:rsidRPr="00EF0531">
              <w:rPr>
                <w:rFonts w:ascii="Arial" w:hAnsi="Arial" w:cs="Arial"/>
                <w:b/>
                <w:bCs/>
                <w:sz w:val="16"/>
                <w:szCs w:val="16"/>
              </w:rPr>
              <w:t>0</w:t>
            </w:r>
          </w:p>
        </w:tc>
        <w:tc>
          <w:tcPr>
            <w:tcW w:w="1017" w:type="dxa"/>
            <w:tcBorders>
              <w:top w:val="nil"/>
              <w:left w:val="nil"/>
              <w:bottom w:val="single" w:sz="4" w:space="0" w:color="auto"/>
              <w:right w:val="single" w:sz="4" w:space="0" w:color="auto"/>
            </w:tcBorders>
            <w:noWrap/>
            <w:vAlign w:val="center"/>
          </w:tcPr>
          <w:p w:rsidR="00632479" w:rsidRPr="00EF0531" w:rsidRDefault="00632479" w:rsidP="008216A0">
            <w:pPr>
              <w:jc w:val="center"/>
              <w:rPr>
                <w:rFonts w:ascii="Arial" w:hAnsi="Arial" w:cs="Arial"/>
                <w:sz w:val="16"/>
                <w:szCs w:val="16"/>
              </w:rPr>
            </w:pPr>
          </w:p>
        </w:tc>
      </w:tr>
    </w:tbl>
    <w:p w:rsidR="00F94008" w:rsidRPr="00EF0531" w:rsidRDefault="00000CC9" w:rsidP="00F94008">
      <w:pPr>
        <w:spacing w:line="360" w:lineRule="auto"/>
        <w:jc w:val="both"/>
        <w:rPr>
          <w:rFonts w:ascii="Arial" w:hAnsi="Arial" w:cs="Arial"/>
          <w:sz w:val="18"/>
          <w:szCs w:val="18"/>
        </w:rPr>
      </w:pPr>
      <w:r>
        <w:rPr>
          <w:rFonts w:ascii="Arial" w:hAnsi="Arial" w:cs="Arial"/>
          <w:sz w:val="18"/>
          <w:szCs w:val="18"/>
        </w:rPr>
        <w:t>Zdroj: RO, ITMS</w:t>
      </w:r>
      <w:r w:rsidR="00F94008" w:rsidRPr="00EF0531">
        <w:rPr>
          <w:rFonts w:ascii="Arial" w:hAnsi="Arial" w:cs="Arial"/>
          <w:sz w:val="18"/>
          <w:szCs w:val="18"/>
        </w:rPr>
        <w:t>, RO  2012</w:t>
      </w:r>
      <w:r w:rsidR="00F466F7">
        <w:rPr>
          <w:rFonts w:ascii="Arial" w:hAnsi="Arial" w:cs="Arial"/>
          <w:sz w:val="18"/>
          <w:szCs w:val="18"/>
        </w:rPr>
        <w:t xml:space="preserve"> </w:t>
      </w:r>
    </w:p>
    <w:p w:rsidR="002416B1" w:rsidRPr="00DF4CF3" w:rsidRDefault="002416B1" w:rsidP="008216A0">
      <w:pPr>
        <w:spacing w:line="360" w:lineRule="auto"/>
        <w:jc w:val="both"/>
        <w:rPr>
          <w:rFonts w:ascii="Arial" w:hAnsi="Arial" w:cs="Arial"/>
          <w:sz w:val="18"/>
          <w:szCs w:val="18"/>
        </w:rPr>
      </w:pPr>
    </w:p>
    <w:p w:rsidR="00BA6D8C" w:rsidRPr="00DF4CF3" w:rsidRDefault="00BA6D8C" w:rsidP="008216A0">
      <w:pPr>
        <w:spacing w:line="360" w:lineRule="auto"/>
        <w:jc w:val="both"/>
        <w:rPr>
          <w:rFonts w:ascii="Arial" w:hAnsi="Arial" w:cs="Arial"/>
          <w:i/>
          <w:iCs/>
          <w:sz w:val="16"/>
          <w:szCs w:val="16"/>
        </w:rPr>
      </w:pPr>
      <w:r w:rsidRPr="00DF4CF3">
        <w:rPr>
          <w:rFonts w:ascii="Arial" w:hAnsi="Arial" w:cs="Arial"/>
          <w:i/>
          <w:iCs/>
          <w:sz w:val="16"/>
          <w:szCs w:val="16"/>
        </w:rPr>
        <w:t>1 - Údaj obsahuje deklarovanú cieľovú hodnotu projektov v zmysle zmluvy o NFP k 31.12.201</w:t>
      </w:r>
      <w:r w:rsidR="00D80296" w:rsidRPr="0039268C">
        <w:rPr>
          <w:rFonts w:ascii="Arial" w:hAnsi="Arial" w:cs="Arial"/>
          <w:i/>
          <w:iCs/>
          <w:sz w:val="16"/>
          <w:szCs w:val="16"/>
        </w:rPr>
        <w:t>2</w:t>
      </w:r>
      <w:r w:rsidRPr="00DF4CF3">
        <w:rPr>
          <w:rFonts w:ascii="Arial" w:hAnsi="Arial" w:cs="Arial"/>
          <w:i/>
          <w:iCs/>
          <w:sz w:val="16"/>
          <w:szCs w:val="16"/>
        </w:rPr>
        <w:t xml:space="preserve">. </w:t>
      </w:r>
    </w:p>
    <w:p w:rsidR="002416B1" w:rsidRPr="00DF4CF3" w:rsidRDefault="00BA6D8C" w:rsidP="00E474F1">
      <w:pPr>
        <w:spacing w:line="360" w:lineRule="auto"/>
        <w:jc w:val="both"/>
        <w:rPr>
          <w:rFonts w:ascii="Arial" w:hAnsi="Arial" w:cs="Arial"/>
          <w:i/>
          <w:iCs/>
          <w:sz w:val="16"/>
          <w:szCs w:val="16"/>
        </w:rPr>
      </w:pPr>
      <w:r w:rsidRPr="00DF4CF3">
        <w:rPr>
          <w:rFonts w:ascii="Arial" w:hAnsi="Arial" w:cs="Arial"/>
          <w:i/>
          <w:iCs/>
          <w:sz w:val="16"/>
          <w:szCs w:val="16"/>
        </w:rPr>
        <w:t xml:space="preserve">Merané hodnoty ukazovateľov charakteru "počet </w:t>
      </w:r>
      <w:r w:rsidRPr="00EF0531">
        <w:rPr>
          <w:rFonts w:ascii="Arial" w:hAnsi="Arial" w:cs="Arial"/>
          <w:i/>
          <w:iCs/>
          <w:sz w:val="16"/>
          <w:szCs w:val="16"/>
        </w:rPr>
        <w:t>projektov"</w:t>
      </w:r>
      <w:r w:rsidR="00E474F1" w:rsidRPr="00EF0531">
        <w:rPr>
          <w:rFonts w:ascii="Arial" w:hAnsi="Arial" w:cs="Arial"/>
          <w:i/>
          <w:iCs/>
          <w:sz w:val="16"/>
          <w:szCs w:val="16"/>
        </w:rPr>
        <w:t xml:space="preserve"> a „objem finančných prostriedkov“ </w:t>
      </w:r>
      <w:r w:rsidRPr="00EF0531">
        <w:rPr>
          <w:rFonts w:ascii="Arial" w:hAnsi="Arial" w:cs="Arial"/>
          <w:i/>
          <w:iCs/>
          <w:sz w:val="16"/>
          <w:szCs w:val="16"/>
        </w:rPr>
        <w:t xml:space="preserve"> predstavujú </w:t>
      </w:r>
      <w:r w:rsidRPr="00DF4CF3">
        <w:rPr>
          <w:rFonts w:ascii="Arial" w:hAnsi="Arial" w:cs="Arial"/>
          <w:i/>
          <w:iCs/>
          <w:sz w:val="16"/>
          <w:szCs w:val="16"/>
        </w:rPr>
        <w:t xml:space="preserve">hodnoty zazmluvnených projektov. </w:t>
      </w:r>
    </w:p>
    <w:p w:rsidR="00B01A34" w:rsidRDefault="00B01A34" w:rsidP="008216A0">
      <w:pPr>
        <w:spacing w:line="360" w:lineRule="auto"/>
        <w:rPr>
          <w:rFonts w:ascii="Arial" w:hAnsi="Arial" w:cs="Arial"/>
          <w:i/>
          <w:iCs/>
          <w:sz w:val="16"/>
          <w:szCs w:val="16"/>
        </w:rPr>
      </w:pPr>
      <w:r w:rsidRPr="00DF4CF3">
        <w:rPr>
          <w:rFonts w:ascii="Arial" w:hAnsi="Arial" w:cs="Arial"/>
          <w:i/>
          <w:iCs/>
          <w:sz w:val="16"/>
          <w:szCs w:val="16"/>
        </w:rPr>
        <w:t>V prípade východiskových a cieľových hodnôt ukazovateľov sa jedná o hodnoty len projektov OP ŽP s relevanciou k HP IS.</w:t>
      </w:r>
    </w:p>
    <w:p w:rsidR="00E474F1" w:rsidRPr="00EF0531" w:rsidRDefault="00E474F1" w:rsidP="00E474F1">
      <w:pPr>
        <w:spacing w:before="120" w:line="360" w:lineRule="auto"/>
        <w:jc w:val="both"/>
        <w:rPr>
          <w:rFonts w:ascii="Arial" w:hAnsi="Arial" w:cs="Arial"/>
          <w:iCs/>
          <w:sz w:val="20"/>
          <w:szCs w:val="20"/>
        </w:rPr>
      </w:pPr>
      <w:r w:rsidRPr="00EF0531">
        <w:rPr>
          <w:rFonts w:ascii="Arial" w:hAnsi="Arial" w:cs="Arial"/>
          <w:iCs/>
          <w:sz w:val="20"/>
          <w:szCs w:val="20"/>
        </w:rPr>
        <w:t>Príspevok OP ŽP k napĺňaniu HP IS je prostredníctvom tých projektov, ktorých súčasťou sú v súvislosti s realizáciou ich hlavného cieľa tiež aktivity spojené s nákupom, vývojom alebo prevádzkou hardware, software, zavádzaním a využívaním informačno-komunikačných technológií, využitím internetu a podporou šírenia informácií elektronickou formou. Jedná sa o aktivity v oblasti nákupu a prevádzky technologickej a aplikačnej infraštruktúry, lokálnych a špecializovaných sietí a rozvoj elektronických služieb v špecifických oblastiach. Uvedené aktivity podporujú svojím zameraním špecifický cieľ 2 HP IS Efektívna elektronizácia verejnej správy.</w:t>
      </w:r>
    </w:p>
    <w:p w:rsidR="00E474F1" w:rsidRPr="00EF0531" w:rsidRDefault="00E474F1" w:rsidP="00E474F1">
      <w:pPr>
        <w:spacing w:before="120" w:line="360" w:lineRule="auto"/>
        <w:jc w:val="both"/>
        <w:rPr>
          <w:rFonts w:ascii="Arial" w:hAnsi="Arial" w:cs="Arial"/>
          <w:i/>
          <w:iCs/>
          <w:sz w:val="16"/>
          <w:szCs w:val="16"/>
        </w:rPr>
      </w:pPr>
      <w:r w:rsidRPr="00EF0531">
        <w:rPr>
          <w:rFonts w:ascii="Arial" w:hAnsi="Arial" w:cs="Arial"/>
          <w:iCs/>
          <w:sz w:val="20"/>
          <w:szCs w:val="20"/>
        </w:rPr>
        <w:t>Z hľadiska stavu implementácie OP ŽP, resp. realizácie/prípravy zazmluvnených projektov, je možné vyhodnocovať plnenie ukazovateľov za rok 2012, ako aj príspevok PO k napĺňaniu špecifických a čiastkových cieľov HP IS. Ku koncu roka 2012 bolo v rámci OP ŽP zazmluvnených 58 projektov prispievajúcich k napĺňaniu HP IS na úrovni NSRR v objeme 149,11 mil. EUR (EÚ zdroje).</w:t>
      </w:r>
    </w:p>
    <w:p w:rsidR="000D2FA3" w:rsidRPr="00FA2DAA" w:rsidRDefault="000D2FA3" w:rsidP="00507035">
      <w:pPr>
        <w:spacing w:before="120" w:after="120" w:line="360" w:lineRule="auto"/>
        <w:rPr>
          <w:rFonts w:ascii="Arial" w:hAnsi="Arial" w:cs="Arial"/>
          <w:i/>
          <w:iCs/>
          <w:sz w:val="16"/>
          <w:szCs w:val="16"/>
        </w:rPr>
      </w:pPr>
    </w:p>
    <w:p w:rsidR="002416B1" w:rsidRPr="001540E7" w:rsidRDefault="002416B1" w:rsidP="00507035">
      <w:pPr>
        <w:pStyle w:val="Nadpis2"/>
        <w:spacing w:before="120" w:after="120"/>
      </w:pPr>
      <w:bookmarkStart w:id="111" w:name="_Toc319573342"/>
      <w:bookmarkStart w:id="112" w:name="OLE_LINK16"/>
      <w:bookmarkStart w:id="113" w:name="OLE_LINK28"/>
      <w:r w:rsidRPr="001540E7">
        <w:t>4.2 Horizontálna priorita Marginalizované rómske komunity</w:t>
      </w:r>
      <w:bookmarkEnd w:id="111"/>
    </w:p>
    <w:p w:rsidR="001540E7" w:rsidRDefault="00881054" w:rsidP="00881054">
      <w:pPr>
        <w:spacing w:line="360" w:lineRule="auto"/>
        <w:jc w:val="both"/>
        <w:rPr>
          <w:rFonts w:ascii="Arial" w:hAnsi="Arial" w:cs="Arial"/>
          <w:sz w:val="20"/>
          <w:szCs w:val="20"/>
        </w:rPr>
      </w:pPr>
      <w:r w:rsidRPr="001540E7">
        <w:rPr>
          <w:rFonts w:ascii="Arial" w:hAnsi="Arial" w:cs="Arial"/>
          <w:sz w:val="20"/>
          <w:szCs w:val="20"/>
        </w:rPr>
        <w:t xml:space="preserve"> </w:t>
      </w:r>
    </w:p>
    <w:p w:rsidR="00881054" w:rsidRPr="00FA1F10" w:rsidRDefault="00881054" w:rsidP="00881054">
      <w:pPr>
        <w:spacing w:line="360" w:lineRule="auto"/>
        <w:jc w:val="both"/>
        <w:rPr>
          <w:rFonts w:ascii="Arial" w:hAnsi="Arial" w:cs="Arial"/>
          <w:sz w:val="20"/>
          <w:szCs w:val="20"/>
        </w:rPr>
      </w:pPr>
      <w:r w:rsidRPr="001540E7">
        <w:rPr>
          <w:rFonts w:ascii="Arial" w:hAnsi="Arial" w:cs="Arial"/>
          <w:sz w:val="20"/>
          <w:szCs w:val="20"/>
        </w:rPr>
        <w:t>Cieľom HP MRK je zvýšenie zamestnanosti a vzdelanostnej úrovne príslušníkov MRK a zlepšenie ich životných podmienok. Cieľom OP ŽP je najmä podpora schopnosti Slovenskej republiky</w:t>
      </w:r>
      <w:r w:rsidRPr="00FA1F10">
        <w:rPr>
          <w:rFonts w:ascii="Arial" w:hAnsi="Arial" w:cs="Arial"/>
          <w:sz w:val="20"/>
          <w:szCs w:val="20"/>
        </w:rPr>
        <w:t xml:space="preserve"> plniť prechodné obdobia k jednotlivým smerniciam v sektore životného prostredia, ku ktorým sa zaviazala podpísaním Zmluvy o pristúpení k EÚ v ochrane vôd, ovzdušia, prírody a v oblasti odpadového hospodárstva. Pri dodržaní existujúceho legislatívneho rámca a zásad udržateľnosti projektov majú jednotlivé prioritné osi OP ŽP potenciál podieľať sa aj na implementácii horizontálnej priority marginalizované rómske komunity tak prostredníctvom dopytovo</w:t>
      </w:r>
      <w:r>
        <w:rPr>
          <w:rFonts w:ascii="Arial" w:hAnsi="Arial" w:cs="Arial"/>
          <w:sz w:val="20"/>
          <w:szCs w:val="20"/>
        </w:rPr>
        <w:t xml:space="preserve"> </w:t>
      </w:r>
      <w:r w:rsidRPr="00FA1F10">
        <w:rPr>
          <w:rFonts w:ascii="Arial" w:hAnsi="Arial" w:cs="Arial"/>
          <w:sz w:val="20"/>
          <w:szCs w:val="20"/>
        </w:rPr>
        <w:t>-</w:t>
      </w:r>
      <w:r>
        <w:rPr>
          <w:rFonts w:ascii="Arial" w:hAnsi="Arial" w:cs="Arial"/>
          <w:sz w:val="20"/>
          <w:szCs w:val="20"/>
        </w:rPr>
        <w:t xml:space="preserve"> </w:t>
      </w:r>
      <w:r w:rsidRPr="00FA1F10">
        <w:rPr>
          <w:rFonts w:ascii="Arial" w:hAnsi="Arial" w:cs="Arial"/>
          <w:sz w:val="20"/>
          <w:szCs w:val="20"/>
        </w:rPr>
        <w:t>orientovaných projektov, ako aj v rámci projektov komplexného prístupu v oblasti odpadového hospodárstva. Prioritné osi OP ŽP sú zamerané na zlepšenie životného prostredia a životných podmienok obyvateľstva prostredníctvom zabezpečenia jeho prístupu k environmentálnej infraštruktúre, čo sa vzťahuje i na MRK. V tomto zmysle má OP ŽP ambície prispieť k zlepšeniu životných podmienok marginalizovaných rómskych komunít, čím prispeje k napĺňaniu cieľov HP MRK.</w:t>
      </w:r>
    </w:p>
    <w:p w:rsidR="00881054" w:rsidRPr="00FA1F10" w:rsidRDefault="00881054" w:rsidP="00881054">
      <w:pPr>
        <w:spacing w:line="360" w:lineRule="auto"/>
        <w:jc w:val="both"/>
        <w:rPr>
          <w:rFonts w:ascii="Arial" w:hAnsi="Arial" w:cs="Arial"/>
          <w:sz w:val="20"/>
          <w:szCs w:val="20"/>
        </w:rPr>
      </w:pPr>
    </w:p>
    <w:p w:rsidR="00881054" w:rsidRPr="00FA1F10" w:rsidRDefault="00881054" w:rsidP="00881054">
      <w:pPr>
        <w:spacing w:line="360" w:lineRule="auto"/>
        <w:jc w:val="both"/>
        <w:rPr>
          <w:rFonts w:ascii="Arial" w:hAnsi="Arial" w:cs="Arial"/>
          <w:sz w:val="20"/>
          <w:szCs w:val="20"/>
        </w:rPr>
      </w:pPr>
      <w:r w:rsidRPr="00FA1F10">
        <w:rPr>
          <w:rFonts w:ascii="Arial" w:hAnsi="Arial" w:cs="Arial"/>
          <w:sz w:val="20"/>
          <w:szCs w:val="20"/>
        </w:rPr>
        <w:t>OP ŽP prispieva k napĺňaniu cieľov HP MRK v prioritných oblastiach – špecifických cieľoch „Zamestnanosť“ a „Bývanie“ prostredníctvom prioritnej osi 1: Integrovaná ochrana a racionálne využívanie vôd a prioritnej osi 4. Odpadové hospodárstvo.</w:t>
      </w:r>
    </w:p>
    <w:p w:rsidR="00881054" w:rsidRPr="00FA1F10" w:rsidRDefault="00881054" w:rsidP="00881054">
      <w:pPr>
        <w:spacing w:line="360" w:lineRule="auto"/>
        <w:jc w:val="both"/>
        <w:rPr>
          <w:rFonts w:ascii="Arial" w:hAnsi="Arial" w:cs="Arial"/>
          <w:sz w:val="20"/>
          <w:szCs w:val="20"/>
        </w:rPr>
      </w:pPr>
      <w:r w:rsidRPr="00FA1F10">
        <w:rPr>
          <w:rFonts w:ascii="Arial" w:hAnsi="Arial" w:cs="Arial"/>
          <w:sz w:val="20"/>
          <w:szCs w:val="20"/>
        </w:rPr>
        <w:t xml:space="preserve">V rámci operačného cieľa 1.1 Zásobovanie obyvateľstva pitnou vodou z verejných vodovodov je cieľom zabezpečenie prístupu čo možno najväčšieho počtu obyvateľov k pitnej vode a zabezpečenie obslužnosti územia pitnou vodou z verejného vodovodu v dostatočnej kvalite a kvantite. </w:t>
      </w:r>
    </w:p>
    <w:p w:rsidR="00881054" w:rsidRPr="00FA1F10" w:rsidRDefault="00881054" w:rsidP="00881054">
      <w:pPr>
        <w:spacing w:line="360" w:lineRule="auto"/>
        <w:jc w:val="both"/>
        <w:rPr>
          <w:rFonts w:ascii="Arial" w:hAnsi="Arial" w:cs="Arial"/>
          <w:sz w:val="20"/>
          <w:szCs w:val="20"/>
        </w:rPr>
      </w:pPr>
      <w:r w:rsidRPr="00FA1F10">
        <w:rPr>
          <w:rFonts w:ascii="Arial" w:hAnsi="Arial" w:cs="Arial"/>
          <w:sz w:val="20"/>
          <w:szCs w:val="20"/>
        </w:rPr>
        <w:t>V rámci operačného cieľa 1.2 Odvádzanie a čistenie komunálnych odpadových vôd v zmysle záväzkov SR voči EÚ je cieľom zvýšenie počtu obyvateľov žijúcich v domoch pripojených na verejnú kanalizáciu a obslužnosti územia vo vzťahu k odvádzaniu a čisteniu komunálnych odpadových vôd ako základnej environmentálnej službe vodného hospodárstva v súlade so záväzkami SR vyplývajúcimi zo Zmluvy o pristúpení SR k EÚ.</w:t>
      </w:r>
    </w:p>
    <w:p w:rsidR="00881054" w:rsidRPr="00FA1F10" w:rsidRDefault="00881054" w:rsidP="00881054">
      <w:pPr>
        <w:spacing w:line="360" w:lineRule="auto"/>
        <w:jc w:val="both"/>
        <w:rPr>
          <w:rFonts w:ascii="Arial" w:hAnsi="Arial" w:cs="Arial"/>
          <w:sz w:val="20"/>
          <w:szCs w:val="20"/>
        </w:rPr>
      </w:pPr>
      <w:r w:rsidRPr="00FA1F10">
        <w:rPr>
          <w:rFonts w:ascii="Arial" w:hAnsi="Arial" w:cs="Arial"/>
          <w:sz w:val="20"/>
          <w:szCs w:val="20"/>
        </w:rPr>
        <w:t>V rámci operačného cieľa 4.1 Podpora aktivít v oblasti separovaného zberu je podporované zavádzanie nových a zefektívňovanie jestvujúcich systémov separovaného zberu komunálneho odpadu na základe vytvorenia koncepčných východísk separovaného zberu, ako aj dotrieďovanie vyseparovaných zložiek z komunálneho odpadu a zmesového komunálneho odpadu.</w:t>
      </w:r>
    </w:p>
    <w:p w:rsidR="00881054" w:rsidRPr="00FA1F10" w:rsidRDefault="00881054" w:rsidP="00881054">
      <w:pPr>
        <w:spacing w:line="360" w:lineRule="auto"/>
        <w:jc w:val="both"/>
        <w:rPr>
          <w:rFonts w:ascii="Arial" w:hAnsi="Arial" w:cs="Arial"/>
          <w:sz w:val="20"/>
          <w:szCs w:val="20"/>
        </w:rPr>
      </w:pPr>
      <w:r w:rsidRPr="00FA1F10">
        <w:rPr>
          <w:rFonts w:ascii="Arial" w:hAnsi="Arial" w:cs="Arial"/>
          <w:sz w:val="20"/>
          <w:szCs w:val="20"/>
        </w:rPr>
        <w:t>V rámci operačného cieľa 4.2 Podpora aktivít na zhodnocovanie odpadov sú podporované úprava vyseparovaných zložiek odpadov pred ich zhodnotením alebo environmentálne vhodným zneškodnením, zhodnocovanie odpadov vrátane ich mechanicko-biologickej alebo termickej úpravy, zvýšenie miery recyklácie podporou nových alebo zvýšenie kvality výstupných produktov dobudovaním existujúcich BAT technológií v oblasti zhodnocovania odpadov a aktivity zamerané na energetické zhodnocovanie odpadov.</w:t>
      </w:r>
    </w:p>
    <w:p w:rsidR="00881054" w:rsidRDefault="00881054" w:rsidP="00881054">
      <w:pPr>
        <w:spacing w:line="360" w:lineRule="auto"/>
        <w:jc w:val="both"/>
        <w:rPr>
          <w:rFonts w:ascii="Arial" w:hAnsi="Arial" w:cs="Arial"/>
          <w:sz w:val="20"/>
          <w:szCs w:val="20"/>
        </w:rPr>
      </w:pPr>
      <w:r w:rsidRPr="00FA1F10">
        <w:rPr>
          <w:rFonts w:ascii="Arial" w:hAnsi="Arial" w:cs="Arial"/>
          <w:sz w:val="20"/>
          <w:szCs w:val="20"/>
        </w:rPr>
        <w:t>V oblasti zamestnanosti môže byť výstupom uvedených aktivít aj vytváranie pracovných miest cielene pre MRK. V oblasti bývania sú aktivity zamerané na zásobovanie pitnou vodou a odkanalizovanie, ako aj na separovaný zber odpadov a na zvýšenie množstva zhodnocovaných odpadov, čo má na komunálnej úrovni priaznivý vplyv na životné podmienky obyvateľstva.</w:t>
      </w:r>
    </w:p>
    <w:p w:rsidR="00881054" w:rsidRPr="00FA1F10" w:rsidRDefault="00881054" w:rsidP="00881054">
      <w:pPr>
        <w:spacing w:line="360" w:lineRule="auto"/>
        <w:jc w:val="both"/>
        <w:rPr>
          <w:rFonts w:ascii="Arial" w:hAnsi="Arial" w:cs="Arial"/>
          <w:sz w:val="20"/>
          <w:szCs w:val="20"/>
        </w:rPr>
      </w:pPr>
    </w:p>
    <w:p w:rsidR="00881054" w:rsidRPr="00FA1F10" w:rsidRDefault="00881054" w:rsidP="00881054">
      <w:pPr>
        <w:spacing w:line="360" w:lineRule="auto"/>
        <w:jc w:val="both"/>
        <w:rPr>
          <w:rFonts w:ascii="Arial" w:hAnsi="Arial" w:cs="Arial"/>
          <w:i/>
          <w:sz w:val="20"/>
          <w:szCs w:val="20"/>
        </w:rPr>
      </w:pPr>
      <w:r w:rsidRPr="00FA1F10">
        <w:rPr>
          <w:rFonts w:ascii="Arial" w:hAnsi="Arial" w:cs="Arial"/>
          <w:i/>
          <w:sz w:val="20"/>
          <w:szCs w:val="20"/>
        </w:rPr>
        <w:t>Ukazovatele OP ŽP relevantné k HP MRK – úroveň NSRR:</w:t>
      </w:r>
    </w:p>
    <w:p w:rsidR="00881054" w:rsidRPr="00FA1F10" w:rsidRDefault="00881054" w:rsidP="00881054">
      <w:pPr>
        <w:spacing w:line="360" w:lineRule="auto"/>
        <w:jc w:val="both"/>
        <w:rPr>
          <w:rFonts w:ascii="Arial" w:hAnsi="Arial" w:cs="Arial"/>
          <w:sz w:val="20"/>
          <w:szCs w:val="20"/>
        </w:rPr>
      </w:pPr>
      <w:r w:rsidRPr="00FA1F10">
        <w:rPr>
          <w:rFonts w:ascii="Arial" w:hAnsi="Arial" w:cs="Arial"/>
          <w:sz w:val="20"/>
          <w:szCs w:val="20"/>
        </w:rPr>
        <w:t>Hodnota projektov cielene zameraných na MRK [EUR] - výstup</w:t>
      </w:r>
    </w:p>
    <w:p w:rsidR="00881054" w:rsidRPr="00FA1F10" w:rsidRDefault="00881054" w:rsidP="00881054">
      <w:pPr>
        <w:spacing w:line="360" w:lineRule="auto"/>
        <w:jc w:val="both"/>
        <w:rPr>
          <w:rFonts w:ascii="Arial" w:hAnsi="Arial" w:cs="Arial"/>
          <w:sz w:val="20"/>
          <w:szCs w:val="20"/>
        </w:rPr>
      </w:pPr>
      <w:r w:rsidRPr="00FA1F10">
        <w:rPr>
          <w:rFonts w:ascii="Arial" w:hAnsi="Arial" w:cs="Arial"/>
          <w:sz w:val="20"/>
          <w:szCs w:val="20"/>
        </w:rPr>
        <w:t>Počet projektov cielene zameraných na MRK [počet] - výstup</w:t>
      </w:r>
    </w:p>
    <w:p w:rsidR="00881054" w:rsidRPr="00FA1F10" w:rsidRDefault="00881054" w:rsidP="00881054">
      <w:pPr>
        <w:spacing w:line="360" w:lineRule="auto"/>
        <w:jc w:val="both"/>
        <w:rPr>
          <w:rFonts w:ascii="Arial" w:hAnsi="Arial" w:cs="Arial"/>
          <w:sz w:val="20"/>
          <w:szCs w:val="20"/>
        </w:rPr>
      </w:pPr>
      <w:r w:rsidRPr="00FA1F10">
        <w:rPr>
          <w:rFonts w:ascii="Arial" w:hAnsi="Arial" w:cs="Arial"/>
          <w:sz w:val="20"/>
          <w:szCs w:val="20"/>
        </w:rPr>
        <w:t>Počet vytvorených pracovných miest cielene pre MRK [počet] – výsledok</w:t>
      </w:r>
    </w:p>
    <w:p w:rsidR="00881054" w:rsidRPr="00FA1F10" w:rsidRDefault="00881054" w:rsidP="00881054">
      <w:pPr>
        <w:spacing w:line="360" w:lineRule="auto"/>
        <w:jc w:val="both"/>
        <w:rPr>
          <w:rFonts w:ascii="Arial" w:hAnsi="Arial" w:cs="Arial"/>
          <w:sz w:val="20"/>
          <w:szCs w:val="20"/>
        </w:rPr>
      </w:pPr>
    </w:p>
    <w:p w:rsidR="00881054" w:rsidRPr="00FA1F10" w:rsidRDefault="00881054" w:rsidP="00881054">
      <w:pPr>
        <w:spacing w:line="360" w:lineRule="auto"/>
        <w:jc w:val="both"/>
        <w:rPr>
          <w:rFonts w:ascii="Arial" w:hAnsi="Arial" w:cs="Arial"/>
          <w:sz w:val="20"/>
          <w:szCs w:val="20"/>
        </w:rPr>
      </w:pPr>
      <w:r w:rsidRPr="00FA1F10">
        <w:rPr>
          <w:rFonts w:ascii="Arial" w:hAnsi="Arial" w:cs="Arial"/>
          <w:sz w:val="20"/>
          <w:szCs w:val="20"/>
          <w:u w:val="single"/>
        </w:rPr>
        <w:t>Za proces koordinácie a implementácie HP MRK zodpovedá</w:t>
      </w:r>
      <w:r w:rsidRPr="00FA1F10">
        <w:rPr>
          <w:rFonts w:ascii="Arial" w:hAnsi="Arial" w:cs="Arial"/>
          <w:sz w:val="20"/>
          <w:szCs w:val="20"/>
        </w:rPr>
        <w:t xml:space="preserve"> Úrad splnomocnenca vlády SR pre rómske komunity (ďalej len „ÚSVRK“), odbor koordinácie HP MRK, ktorý je od 1. septembra 2012 v zmysle uznesenia vlády Slovenskej republiky č. 308 z 27. júna 2012 zaradený do pôsobnosti Ministerstva vnútra Slovenskej republiky.</w:t>
      </w:r>
    </w:p>
    <w:p w:rsidR="00881054" w:rsidRPr="00FA1F10" w:rsidRDefault="00881054" w:rsidP="00881054">
      <w:pPr>
        <w:spacing w:line="360" w:lineRule="auto"/>
        <w:jc w:val="both"/>
        <w:rPr>
          <w:rFonts w:ascii="Arial" w:hAnsi="Arial" w:cs="Arial"/>
          <w:sz w:val="20"/>
          <w:szCs w:val="20"/>
        </w:rPr>
      </w:pPr>
      <w:r w:rsidRPr="00FA1F10">
        <w:rPr>
          <w:rFonts w:ascii="Arial" w:hAnsi="Arial" w:cs="Arial"/>
          <w:sz w:val="20"/>
          <w:szCs w:val="20"/>
        </w:rPr>
        <w:t>Spolupráca medzi Riadiacim orgánom pre OP ŽP a koordinátorom HP MRK je okrem bilaterálnych pracovných stretnutí na rôznych úrovniach zabezpečená aj formou vzájomnej účasti zástupcov oboch strán v oficiálne ustanovených platformách.</w:t>
      </w:r>
    </w:p>
    <w:p w:rsidR="00881054" w:rsidRPr="00FA1F10" w:rsidRDefault="00881054" w:rsidP="00881054">
      <w:pPr>
        <w:spacing w:line="360" w:lineRule="auto"/>
        <w:jc w:val="both"/>
        <w:rPr>
          <w:rFonts w:ascii="Arial" w:hAnsi="Arial" w:cs="Arial"/>
          <w:sz w:val="20"/>
          <w:szCs w:val="20"/>
        </w:rPr>
      </w:pPr>
      <w:r w:rsidRPr="00FA1F10">
        <w:rPr>
          <w:rFonts w:ascii="Arial" w:hAnsi="Arial" w:cs="Arial"/>
          <w:sz w:val="20"/>
          <w:szCs w:val="20"/>
        </w:rPr>
        <w:t>MŽP SR ako Riadiaci orgán pre OP ŽP spolupracuje s ÚSVRK pri napĺňaní HP MRK prostredníctvom využívania fondov Európskej únie v programovom období 2007-2013, a to zvlášť pri:</w:t>
      </w:r>
    </w:p>
    <w:p w:rsidR="00881054" w:rsidRPr="00FA1F10" w:rsidRDefault="00881054" w:rsidP="001540E7">
      <w:pPr>
        <w:numPr>
          <w:ilvl w:val="0"/>
          <w:numId w:val="7"/>
        </w:numPr>
        <w:spacing w:line="360" w:lineRule="auto"/>
        <w:jc w:val="both"/>
        <w:rPr>
          <w:rFonts w:ascii="Arial" w:hAnsi="Arial" w:cs="Arial"/>
          <w:sz w:val="20"/>
          <w:szCs w:val="20"/>
        </w:rPr>
      </w:pPr>
      <w:r w:rsidRPr="00FA1F10">
        <w:rPr>
          <w:rFonts w:ascii="Arial" w:hAnsi="Arial" w:cs="Arial"/>
          <w:sz w:val="20"/>
          <w:szCs w:val="20"/>
        </w:rPr>
        <w:t>dopytovo</w:t>
      </w:r>
      <w:r>
        <w:rPr>
          <w:rFonts w:ascii="Arial" w:hAnsi="Arial" w:cs="Arial"/>
          <w:sz w:val="20"/>
          <w:szCs w:val="20"/>
        </w:rPr>
        <w:t xml:space="preserve"> </w:t>
      </w:r>
      <w:r w:rsidRPr="00FA1F10">
        <w:rPr>
          <w:rFonts w:ascii="Arial" w:hAnsi="Arial" w:cs="Arial"/>
          <w:sz w:val="20"/>
          <w:szCs w:val="20"/>
        </w:rPr>
        <w:t>-</w:t>
      </w:r>
      <w:r>
        <w:rPr>
          <w:rFonts w:ascii="Arial" w:hAnsi="Arial" w:cs="Arial"/>
          <w:sz w:val="20"/>
          <w:szCs w:val="20"/>
        </w:rPr>
        <w:t xml:space="preserve"> </w:t>
      </w:r>
      <w:r w:rsidRPr="00FA1F10">
        <w:rPr>
          <w:rFonts w:ascii="Arial" w:hAnsi="Arial" w:cs="Arial"/>
          <w:sz w:val="20"/>
          <w:szCs w:val="20"/>
        </w:rPr>
        <w:t>orientovaných projektoch a</w:t>
      </w:r>
    </w:p>
    <w:p w:rsidR="00881054" w:rsidRPr="00FA1F10" w:rsidRDefault="00881054" w:rsidP="001540E7">
      <w:pPr>
        <w:numPr>
          <w:ilvl w:val="0"/>
          <w:numId w:val="7"/>
        </w:numPr>
        <w:spacing w:line="360" w:lineRule="auto"/>
        <w:jc w:val="both"/>
        <w:rPr>
          <w:rFonts w:ascii="Arial" w:hAnsi="Arial" w:cs="Arial"/>
          <w:sz w:val="20"/>
          <w:szCs w:val="20"/>
        </w:rPr>
      </w:pPr>
      <w:r w:rsidRPr="00FA1F10">
        <w:rPr>
          <w:rFonts w:ascii="Arial" w:hAnsi="Arial" w:cs="Arial"/>
          <w:sz w:val="20"/>
          <w:szCs w:val="20"/>
        </w:rPr>
        <w:t>projektoch komplexného prístupu, ktoré budú výsledkom schválených lokálnych stratégií komplexného prístupu (ďalej len „LSKxP“). V rámci OP ŽP sú projekty z LSKxP implementované v prioritnej osi 4. Odpadové hospodárstvo – operačný cieľ 1. Podpora aktivít v oblasti separovaného zberu odpadov a operačný cieľ 2. Podpora aktivít na zhodnocovanie odpadov.</w:t>
      </w:r>
    </w:p>
    <w:p w:rsidR="00881054" w:rsidRPr="00FA1F10" w:rsidRDefault="00881054" w:rsidP="00881054">
      <w:pPr>
        <w:spacing w:line="360" w:lineRule="auto"/>
        <w:jc w:val="both"/>
        <w:rPr>
          <w:rFonts w:ascii="Arial" w:hAnsi="Arial" w:cs="Arial"/>
          <w:sz w:val="20"/>
          <w:szCs w:val="20"/>
        </w:rPr>
      </w:pPr>
    </w:p>
    <w:p w:rsidR="00881054" w:rsidRPr="00FA1F10" w:rsidRDefault="00881054" w:rsidP="00881054">
      <w:pPr>
        <w:spacing w:line="360" w:lineRule="auto"/>
        <w:jc w:val="both"/>
        <w:rPr>
          <w:rFonts w:ascii="Arial" w:hAnsi="Arial" w:cs="Arial"/>
          <w:sz w:val="20"/>
          <w:szCs w:val="20"/>
        </w:rPr>
      </w:pPr>
      <w:r w:rsidRPr="00FA1F10">
        <w:rPr>
          <w:rFonts w:ascii="Arial" w:hAnsi="Arial" w:cs="Arial"/>
          <w:sz w:val="20"/>
          <w:szCs w:val="20"/>
        </w:rPr>
        <w:t>Spolupráca Riadiaceho orgánu OP ŽP a koordinátora HP MRK:</w:t>
      </w:r>
    </w:p>
    <w:p w:rsidR="00881054" w:rsidRPr="00FA1F10" w:rsidRDefault="00881054" w:rsidP="00881054">
      <w:pPr>
        <w:spacing w:line="360" w:lineRule="auto"/>
        <w:jc w:val="both"/>
        <w:rPr>
          <w:rFonts w:ascii="Arial" w:hAnsi="Arial" w:cs="Arial"/>
          <w:sz w:val="20"/>
          <w:szCs w:val="20"/>
        </w:rPr>
      </w:pPr>
      <w:r w:rsidRPr="001540E7">
        <w:rPr>
          <w:rFonts w:ascii="Arial" w:hAnsi="Arial" w:cs="Arial"/>
          <w:noProof/>
          <w:sz w:val="20"/>
          <w:szCs w:val="20"/>
        </w:rPr>
        <mc:AlternateContent>
          <mc:Choice Requires="wps">
            <w:drawing>
              <wp:anchor distT="0" distB="0" distL="114300" distR="114300" simplePos="0" relativeHeight="251664384" behindDoc="0" locked="0" layoutInCell="1" allowOverlap="1" wp14:anchorId="29462175" wp14:editId="027E4951">
                <wp:simplePos x="0" y="0"/>
                <wp:positionH relativeFrom="column">
                  <wp:posOffset>0</wp:posOffset>
                </wp:positionH>
                <wp:positionV relativeFrom="paragraph">
                  <wp:posOffset>1270</wp:posOffset>
                </wp:positionV>
                <wp:extent cx="2514600" cy="1432560"/>
                <wp:effectExtent l="0" t="0" r="19050" b="15240"/>
                <wp:wrapNone/>
                <wp:docPr id="27" name="Obdĺžnik 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14600" cy="1432560"/>
                        </a:xfrm>
                        <a:prstGeom prst="rect">
                          <a:avLst/>
                        </a:prstGeom>
                        <a:solidFill>
                          <a:srgbClr val="FFFFFF"/>
                        </a:solidFill>
                        <a:ln w="9525">
                          <a:solidFill>
                            <a:srgbClr val="000000"/>
                          </a:solidFill>
                          <a:miter lim="800000"/>
                          <a:headEnd/>
                          <a:tailEnd/>
                        </a:ln>
                      </wps:spPr>
                      <wps:txbx>
                        <w:txbxContent>
                          <w:p w:rsidR="00E61207" w:rsidRPr="005159D8" w:rsidRDefault="00E61207" w:rsidP="00881054">
                            <w:pPr>
                              <w:spacing w:after="120"/>
                              <w:rPr>
                                <w:rFonts w:ascii="Arial" w:hAnsi="Arial" w:cs="Arial"/>
                                <w:sz w:val="20"/>
                                <w:szCs w:val="20"/>
                              </w:rPr>
                            </w:pPr>
                            <w:r w:rsidRPr="005159D8">
                              <w:rPr>
                                <w:rFonts w:ascii="Arial" w:hAnsi="Arial" w:cs="Arial"/>
                                <w:sz w:val="20"/>
                                <w:szCs w:val="20"/>
                              </w:rPr>
                              <w:t>Koordinátor HP MRK:</w:t>
                            </w:r>
                          </w:p>
                          <w:p w:rsidR="00E61207" w:rsidRDefault="00E61207" w:rsidP="001540E7">
                            <w:pPr>
                              <w:numPr>
                                <w:ilvl w:val="0"/>
                                <w:numId w:val="11"/>
                              </w:numPr>
                              <w:tabs>
                                <w:tab w:val="clear" w:pos="720"/>
                                <w:tab w:val="num" w:pos="180"/>
                              </w:tabs>
                              <w:ind w:left="180" w:hanging="180"/>
                              <w:rPr>
                                <w:rFonts w:ascii="Arial" w:hAnsi="Arial" w:cs="Arial"/>
                                <w:sz w:val="20"/>
                                <w:szCs w:val="20"/>
                              </w:rPr>
                            </w:pPr>
                            <w:r w:rsidRPr="005159D8">
                              <w:rPr>
                                <w:rFonts w:ascii="Arial" w:hAnsi="Arial" w:cs="Arial"/>
                                <w:sz w:val="20"/>
                                <w:szCs w:val="20"/>
                              </w:rPr>
                              <w:t xml:space="preserve">členstvo v Monitorovacom výbore </w:t>
                            </w:r>
                            <w:r>
                              <w:rPr>
                                <w:rFonts w:ascii="Arial" w:hAnsi="Arial" w:cs="Arial"/>
                                <w:sz w:val="20"/>
                                <w:szCs w:val="20"/>
                              </w:rPr>
                              <w:t>OP ŽP</w:t>
                            </w:r>
                          </w:p>
                          <w:p w:rsidR="00E61207" w:rsidRPr="005159D8" w:rsidRDefault="00E61207" w:rsidP="001540E7">
                            <w:pPr>
                              <w:numPr>
                                <w:ilvl w:val="0"/>
                                <w:numId w:val="11"/>
                              </w:numPr>
                              <w:tabs>
                                <w:tab w:val="clear" w:pos="720"/>
                                <w:tab w:val="num" w:pos="180"/>
                              </w:tabs>
                              <w:ind w:left="180" w:hanging="180"/>
                              <w:rPr>
                                <w:rFonts w:ascii="Arial" w:hAnsi="Arial" w:cs="Arial"/>
                                <w:sz w:val="20"/>
                                <w:szCs w:val="20"/>
                              </w:rPr>
                            </w:pPr>
                            <w:r>
                              <w:rPr>
                                <w:rFonts w:ascii="Arial" w:hAnsi="Arial" w:cs="Arial"/>
                                <w:sz w:val="20"/>
                                <w:szCs w:val="20"/>
                              </w:rPr>
                              <w:t>bilaterálne pracovné stretnutia s Riadiacim orgánom OP ŽP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27" o:spid="_x0000_s1028" style="position:absolute;left:0;text-align:left;margin-left:0;margin-top:.1pt;width:198pt;height:112.8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qohONgIAAFIEAAAOAAAAZHJzL2Uyb0RvYy54bWysVM2O0zAQviPxDpbvND+03d2o6WrVpQhp&#10;YVdaeADHdhJrHduM3abl0Thwgvdi4rSlC5wQOVgez/jzzPfNZHG96zTZSvDKmpJmk5QSabgVyjQl&#10;/fRx/eqSEh+YEUxbI0u6l55eL1++WPSukLltrRYSCIIYX/SupG0IrkgSz1vZMT+xThp01hY6FtCE&#10;JhHAekTvdJKn6TzpLQgHlkvv8fR2dNJlxK9rycN9XXsZiC4p5hbiCnGthjVZLljRAHOt4oc02D9k&#10;0TFl8NET1C0LjGxA/QHVKQ7W2zpMuO0SW9eKy1gDVpOlv1Xz2DInYy1Ijncnmvz/g+Uftg9AlChp&#10;fkGJYR1qdF+J719/fDPqieAhMtQ7X2Dgo3uAoUbv7ix/8sTYVctMI28AbN9KJjCvbIhPnl0YDI9X&#10;SdW/twLx2SbYSNauhm4ARBrILmqyP2kid4FwPMxn2XSeonQcfdn0dT6bR9USVhyvO/DhrbQdGTYl&#10;BRQ9wrPtnQ9DOqw4hsT0rVZirbSOBjTVSgPZMmyQdfxiBVjleZg2pC/p1SyfReRnPn8OkcbvbxCd&#10;CtjpWnUlvTwFsWLg7Y0RsQ8DU3rcY8raHIgcuBs1CLtqN2p1VKWyYo/Mgh0bGwcRN62FL5T02NQl&#10;9Z83DCQl+p1Bda6y6XSYgmhMZxc5GnDuqc49zHCEKmmgZNyuwjg5GweqafGlLLJh7A0qWqvI9aD2&#10;mNUhfWzcKMFhyIbJOLdj1K9fwfInAAAA//8DAFBLAwQUAAYACAAAACEAYWAxL9oAAAAFAQAADwAA&#10;AGRycy9kb3ducmV2LnhtbEyPQU+DQBCF7yb+h82YeLOLNDYtsjRGUxOPLb14G9gRUHaWsEuL/nrH&#10;kz1+eZP3vsm3s+vVicbQeTZwv0hAEdfedtwYOJa7uzWoEJEt9p7JwDcF2BbXVzlm1p95T6dDbJSU&#10;cMjQQBvjkGkd6pYchoUfiCX78KPDKDg22o54lnLX6zRJVtphx7LQ4kDPLdVfh8kZqLr0iD/78jVx&#10;m90yvs3l5/T+Ysztzfz0CCrSHP+P4U9f1KEQp8pPbIPqDcgj0UAKSrLlZiVYCaYPa9BFri/ti18A&#10;AAD//wMAUEsBAi0AFAAGAAgAAAAhALaDOJL+AAAA4QEAABMAAAAAAAAAAAAAAAAAAAAAAFtDb250&#10;ZW50X1R5cGVzXS54bWxQSwECLQAUAAYACAAAACEAOP0h/9YAAACUAQAACwAAAAAAAAAAAAAAAAAv&#10;AQAAX3JlbHMvLnJlbHNQSwECLQAUAAYACAAAACEAVaqITjYCAABSBAAADgAAAAAAAAAAAAAAAAAu&#10;AgAAZHJzL2Uyb0RvYy54bWxQSwECLQAUAAYACAAAACEAYWAxL9oAAAAFAQAADwAAAAAAAAAAAAAA&#10;AACQBAAAZHJzL2Rvd25yZXYueG1sUEsFBgAAAAAEAAQA8wAAAJcFAAAAAA==&#10;">
                <v:textbox>
                  <w:txbxContent>
                    <w:p w:rsidR="00E61207" w:rsidRPr="005159D8" w:rsidRDefault="00E61207" w:rsidP="00881054">
                      <w:pPr>
                        <w:spacing w:after="120"/>
                        <w:rPr>
                          <w:rFonts w:ascii="Arial" w:hAnsi="Arial" w:cs="Arial"/>
                          <w:sz w:val="20"/>
                          <w:szCs w:val="20"/>
                        </w:rPr>
                      </w:pPr>
                      <w:r w:rsidRPr="005159D8">
                        <w:rPr>
                          <w:rFonts w:ascii="Arial" w:hAnsi="Arial" w:cs="Arial"/>
                          <w:sz w:val="20"/>
                          <w:szCs w:val="20"/>
                        </w:rPr>
                        <w:t>Koordinátor HP MRK:</w:t>
                      </w:r>
                    </w:p>
                    <w:p w:rsidR="00E61207" w:rsidRDefault="00E61207" w:rsidP="001540E7">
                      <w:pPr>
                        <w:numPr>
                          <w:ilvl w:val="0"/>
                          <w:numId w:val="11"/>
                        </w:numPr>
                        <w:tabs>
                          <w:tab w:val="clear" w:pos="720"/>
                          <w:tab w:val="num" w:pos="180"/>
                        </w:tabs>
                        <w:ind w:left="180" w:hanging="180"/>
                        <w:rPr>
                          <w:rFonts w:ascii="Arial" w:hAnsi="Arial" w:cs="Arial"/>
                          <w:sz w:val="20"/>
                          <w:szCs w:val="20"/>
                        </w:rPr>
                      </w:pPr>
                      <w:r w:rsidRPr="005159D8">
                        <w:rPr>
                          <w:rFonts w:ascii="Arial" w:hAnsi="Arial" w:cs="Arial"/>
                          <w:sz w:val="20"/>
                          <w:szCs w:val="20"/>
                        </w:rPr>
                        <w:t xml:space="preserve">členstvo v Monitorovacom výbore </w:t>
                      </w:r>
                      <w:r>
                        <w:rPr>
                          <w:rFonts w:ascii="Arial" w:hAnsi="Arial" w:cs="Arial"/>
                          <w:sz w:val="20"/>
                          <w:szCs w:val="20"/>
                        </w:rPr>
                        <w:t>OP ŽP</w:t>
                      </w:r>
                    </w:p>
                    <w:p w:rsidR="00E61207" w:rsidRPr="005159D8" w:rsidRDefault="00E61207" w:rsidP="001540E7">
                      <w:pPr>
                        <w:numPr>
                          <w:ilvl w:val="0"/>
                          <w:numId w:val="11"/>
                        </w:numPr>
                        <w:tabs>
                          <w:tab w:val="clear" w:pos="720"/>
                          <w:tab w:val="num" w:pos="180"/>
                        </w:tabs>
                        <w:ind w:left="180" w:hanging="180"/>
                        <w:rPr>
                          <w:rFonts w:ascii="Arial" w:hAnsi="Arial" w:cs="Arial"/>
                          <w:sz w:val="20"/>
                          <w:szCs w:val="20"/>
                        </w:rPr>
                      </w:pPr>
                      <w:r>
                        <w:rPr>
                          <w:rFonts w:ascii="Arial" w:hAnsi="Arial" w:cs="Arial"/>
                          <w:sz w:val="20"/>
                          <w:szCs w:val="20"/>
                        </w:rPr>
                        <w:t>bilaterálne pracovné stretnutia s Riadiacim orgánom OP ŽP</w:t>
                      </w:r>
                    </w:p>
                  </w:txbxContent>
                </v:textbox>
              </v:rect>
            </w:pict>
          </mc:Fallback>
        </mc:AlternateContent>
      </w:r>
      <w:r w:rsidRPr="001540E7">
        <w:rPr>
          <w:rFonts w:ascii="Arial" w:hAnsi="Arial" w:cs="Arial"/>
          <w:noProof/>
          <w:sz w:val="20"/>
          <w:szCs w:val="20"/>
        </w:rPr>
        <mc:AlternateContent>
          <mc:Choice Requires="wps">
            <w:drawing>
              <wp:anchor distT="0" distB="0" distL="114300" distR="114300" simplePos="0" relativeHeight="251665408" behindDoc="0" locked="0" layoutInCell="1" allowOverlap="1" wp14:anchorId="41CF6AAA" wp14:editId="4D3BC51D">
                <wp:simplePos x="0" y="0"/>
                <wp:positionH relativeFrom="column">
                  <wp:posOffset>2743200</wp:posOffset>
                </wp:positionH>
                <wp:positionV relativeFrom="paragraph">
                  <wp:posOffset>1270</wp:posOffset>
                </wp:positionV>
                <wp:extent cx="2971800" cy="1544320"/>
                <wp:effectExtent l="0" t="0" r="19050" b="17780"/>
                <wp:wrapNone/>
                <wp:docPr id="28" name="Obdĺžnik 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971800" cy="1544320"/>
                        </a:xfrm>
                        <a:prstGeom prst="rect">
                          <a:avLst/>
                        </a:prstGeom>
                        <a:solidFill>
                          <a:srgbClr val="FFFFFF"/>
                        </a:solidFill>
                        <a:ln w="9525">
                          <a:solidFill>
                            <a:srgbClr val="000000"/>
                          </a:solidFill>
                          <a:miter lim="800000"/>
                          <a:headEnd/>
                          <a:tailEnd/>
                        </a:ln>
                      </wps:spPr>
                      <wps:txbx>
                        <w:txbxContent>
                          <w:p w:rsidR="00E61207" w:rsidRPr="005159D8" w:rsidRDefault="00E61207" w:rsidP="00881054">
                            <w:pPr>
                              <w:spacing w:after="120"/>
                              <w:rPr>
                                <w:rFonts w:ascii="Arial" w:hAnsi="Arial" w:cs="Arial"/>
                                <w:sz w:val="20"/>
                                <w:szCs w:val="20"/>
                              </w:rPr>
                            </w:pPr>
                            <w:r w:rsidRPr="005159D8">
                              <w:rPr>
                                <w:rFonts w:ascii="Arial" w:hAnsi="Arial" w:cs="Arial"/>
                                <w:sz w:val="20"/>
                                <w:szCs w:val="20"/>
                              </w:rPr>
                              <w:t xml:space="preserve">Riadiaci orgán </w:t>
                            </w:r>
                            <w:r>
                              <w:rPr>
                                <w:rFonts w:ascii="Arial" w:hAnsi="Arial" w:cs="Arial"/>
                                <w:sz w:val="20"/>
                                <w:szCs w:val="20"/>
                              </w:rPr>
                              <w:t>OP ŽP</w:t>
                            </w:r>
                            <w:r w:rsidRPr="005159D8">
                              <w:rPr>
                                <w:rFonts w:ascii="Arial" w:hAnsi="Arial" w:cs="Arial"/>
                                <w:sz w:val="20"/>
                                <w:szCs w:val="20"/>
                              </w:rPr>
                              <w:t>:</w:t>
                            </w:r>
                          </w:p>
                          <w:p w:rsidR="00E61207" w:rsidRPr="005159D8" w:rsidRDefault="00E61207" w:rsidP="001540E7">
                            <w:pPr>
                              <w:numPr>
                                <w:ilvl w:val="0"/>
                                <w:numId w:val="11"/>
                              </w:numPr>
                              <w:tabs>
                                <w:tab w:val="clear" w:pos="720"/>
                                <w:tab w:val="num" w:pos="180"/>
                              </w:tabs>
                              <w:ind w:left="180" w:hanging="180"/>
                              <w:rPr>
                                <w:rFonts w:ascii="Arial" w:hAnsi="Arial" w:cs="Arial"/>
                                <w:sz w:val="20"/>
                                <w:szCs w:val="20"/>
                              </w:rPr>
                            </w:pPr>
                            <w:r w:rsidRPr="005159D8">
                              <w:rPr>
                                <w:rFonts w:ascii="Arial" w:hAnsi="Arial" w:cs="Arial"/>
                                <w:sz w:val="20"/>
                                <w:szCs w:val="20"/>
                              </w:rPr>
                              <w:t>členstvo v Pracovnej skupine pre HP MRK</w:t>
                            </w:r>
                          </w:p>
                          <w:p w:rsidR="00E61207" w:rsidRPr="005159D8" w:rsidRDefault="00E61207" w:rsidP="001540E7">
                            <w:pPr>
                              <w:numPr>
                                <w:ilvl w:val="0"/>
                                <w:numId w:val="11"/>
                              </w:numPr>
                              <w:tabs>
                                <w:tab w:val="clear" w:pos="720"/>
                                <w:tab w:val="num" w:pos="180"/>
                              </w:tabs>
                              <w:ind w:left="180" w:hanging="180"/>
                              <w:rPr>
                                <w:rFonts w:ascii="Arial" w:hAnsi="Arial" w:cs="Arial"/>
                                <w:sz w:val="20"/>
                                <w:szCs w:val="20"/>
                              </w:rPr>
                            </w:pPr>
                            <w:r w:rsidRPr="005159D8">
                              <w:rPr>
                                <w:rFonts w:ascii="Arial" w:hAnsi="Arial" w:cs="Arial"/>
                                <w:sz w:val="20"/>
                                <w:szCs w:val="20"/>
                              </w:rPr>
                              <w:t xml:space="preserve">členstvo v Monitorovacej skupine komplexného prístupu </w:t>
                            </w:r>
                          </w:p>
                          <w:p w:rsidR="00E61207" w:rsidRDefault="00E61207" w:rsidP="001540E7">
                            <w:pPr>
                              <w:numPr>
                                <w:ilvl w:val="0"/>
                                <w:numId w:val="11"/>
                              </w:numPr>
                              <w:tabs>
                                <w:tab w:val="clear" w:pos="720"/>
                                <w:tab w:val="num" w:pos="180"/>
                              </w:tabs>
                              <w:ind w:left="180" w:hanging="180"/>
                              <w:rPr>
                                <w:rFonts w:ascii="Arial" w:hAnsi="Arial" w:cs="Arial"/>
                                <w:sz w:val="20"/>
                                <w:szCs w:val="20"/>
                              </w:rPr>
                            </w:pPr>
                            <w:r w:rsidRPr="005159D8">
                              <w:rPr>
                                <w:rFonts w:ascii="Arial" w:hAnsi="Arial" w:cs="Arial"/>
                                <w:sz w:val="20"/>
                                <w:szCs w:val="20"/>
                              </w:rPr>
                              <w:t>členstvo v Medzirezortnej hodnotiacej a výberovej komisii pre Lokálne stratégie</w:t>
                            </w:r>
                            <w:r w:rsidRPr="00ED7FF5">
                              <w:rPr>
                                <w:rFonts w:ascii="Arial" w:hAnsi="Arial" w:cs="Arial"/>
                                <w:sz w:val="20"/>
                                <w:szCs w:val="20"/>
                              </w:rPr>
                              <w:t xml:space="preserve"> komplexného prístupu </w:t>
                            </w:r>
                          </w:p>
                          <w:p w:rsidR="00E61207" w:rsidRPr="00F53D41" w:rsidRDefault="00E61207" w:rsidP="001540E7">
                            <w:pPr>
                              <w:numPr>
                                <w:ilvl w:val="0"/>
                                <w:numId w:val="11"/>
                              </w:numPr>
                              <w:tabs>
                                <w:tab w:val="clear" w:pos="720"/>
                                <w:tab w:val="num" w:pos="180"/>
                              </w:tabs>
                              <w:ind w:left="180" w:hanging="180"/>
                              <w:rPr>
                                <w:rFonts w:ascii="Arial Narrow" w:hAnsi="Arial Narrow"/>
                              </w:rPr>
                            </w:pPr>
                            <w:r w:rsidRPr="00F53D41">
                              <w:rPr>
                                <w:rFonts w:ascii="Arial" w:hAnsi="Arial" w:cs="Arial"/>
                                <w:sz w:val="20"/>
                                <w:szCs w:val="20"/>
                              </w:rPr>
                              <w:t>bilaterálne pracovné stretnutia s koordinátorom HP MRK</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Obdĺžnik 28" o:spid="_x0000_s1029" style="position:absolute;left:0;text-align:left;margin-left:3in;margin-top:.1pt;width:234pt;height:121.6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GyOTOAIAAFIEAAAOAAAAZHJzL2Uyb0RvYy54bWysVM1u2zAMvg/YOwi6L/5psjZGnKJIl2FA&#10;txbo9gCyLNtCZUmjlNjZo+3Q0/Zeo5Q0TbedhukgiCL1mfw+0ovLsVdkK8BJo0uaTVJKhOamlrot&#10;6ZfP6zcXlDjPdM2U0aKkO+Ho5fL1q8VgC5GbzqhaAEEQ7YrBlrTz3hZJ4ngneuYmxgqNzsZAzzya&#10;0CY1sAHRe5Xkafo2GQzUFgwXzuHt9d5JlxG/aQT3t03jhCeqpJibjzvEvQp7slywogVmO8kPabB/&#10;yKJnUuNHj1DXzDOyAfkHVC85GGcaP+GmT0zTSC5iDVhNlv5WzX3HrIi1IDnOHmly/w+Wf9reAZF1&#10;SXNUSrMeNbqt6h/ffz5q+UDwEhkarCsw8N7eQajR2RvDHxzRZtUx3YorADN0gtWYVxbikxcPguHw&#10;KamGj6ZGfLbxJpI1NtAHQKSBjFGT3VETMXrC8TKfn2cXKUrH0ZfNptOzPKqWsOLpuQXn3wvTk3Ao&#10;KaDoEZ5tb5wP6bDiKSSmb5Ss11KpaEBbrRSQLcMGWccVK8AqT8OUJkNJ57N8FpFf+NwpRBrX3yB6&#10;6bHTlexLivXgCkGsCLy903U8eybV/owpK30gMnC318CP1Ri1OgtvA6+VqXfILJh9Y+Mg4qEz8I2S&#10;AZu6pO7rhoGgRH3QqM48m07DFERjOjtHKgmceqpTD9McoUrqKdkfV34/ORsLsu3wS1lkQ5srVLSR&#10;kevnrA7pY+NGCQ5DFibj1I5Rz7+C5S8AAAD//wMAUEsDBBQABgAIAAAAIQDoBTKB3AAAAAgBAAAP&#10;AAAAZHJzL2Rvd25yZXYueG1sTI/BTsMwEETvlfgHa5G4tTZJhGiIUyFQkTi26YXbJl6SQGxHsdMG&#10;vp7lBMenWc2+KXaLHcSZptB7p+F2o0CQa7zpXavhVO3X9yBCRGdw8I40fFGAXXm1KjA3/uIOdD7G&#10;VnCJCzlq6GIccylD05HFsPEjOc7e/WQxMk6tNBNeuNwOMlHqTlrsHX/ocKSnjprP42w11H1ywu9D&#10;9aLsdp/G16X6mN+etb65Xh4fQERa4t8x/OqzOpTsVPvZmSAGDVma8JaoIQHB8VYpxpoxSzOQZSH/&#10;Dyh/AAAA//8DAFBLAQItABQABgAIAAAAIQC2gziS/gAAAOEBAAATAAAAAAAAAAAAAAAAAAAAAABb&#10;Q29udGVudF9UeXBlc10ueG1sUEsBAi0AFAAGAAgAAAAhADj9If/WAAAAlAEAAAsAAAAAAAAAAAAA&#10;AAAALwEAAF9yZWxzLy5yZWxzUEsBAi0AFAAGAAgAAAAhAEkbI5M4AgAAUgQAAA4AAAAAAAAAAAAA&#10;AAAALgIAAGRycy9lMm9Eb2MueG1sUEsBAi0AFAAGAAgAAAAhAOgFMoHcAAAACAEAAA8AAAAAAAAA&#10;AAAAAAAAkgQAAGRycy9kb3ducmV2LnhtbFBLBQYAAAAABAAEAPMAAACbBQAAAAA=&#10;">
                <v:textbox>
                  <w:txbxContent>
                    <w:p w:rsidR="00E61207" w:rsidRPr="005159D8" w:rsidRDefault="00E61207" w:rsidP="00881054">
                      <w:pPr>
                        <w:spacing w:after="120"/>
                        <w:rPr>
                          <w:rFonts w:ascii="Arial" w:hAnsi="Arial" w:cs="Arial"/>
                          <w:sz w:val="20"/>
                          <w:szCs w:val="20"/>
                        </w:rPr>
                      </w:pPr>
                      <w:r w:rsidRPr="005159D8">
                        <w:rPr>
                          <w:rFonts w:ascii="Arial" w:hAnsi="Arial" w:cs="Arial"/>
                          <w:sz w:val="20"/>
                          <w:szCs w:val="20"/>
                        </w:rPr>
                        <w:t xml:space="preserve">Riadiaci orgán </w:t>
                      </w:r>
                      <w:r>
                        <w:rPr>
                          <w:rFonts w:ascii="Arial" w:hAnsi="Arial" w:cs="Arial"/>
                          <w:sz w:val="20"/>
                          <w:szCs w:val="20"/>
                        </w:rPr>
                        <w:t>OP ŽP</w:t>
                      </w:r>
                      <w:r w:rsidRPr="005159D8">
                        <w:rPr>
                          <w:rFonts w:ascii="Arial" w:hAnsi="Arial" w:cs="Arial"/>
                          <w:sz w:val="20"/>
                          <w:szCs w:val="20"/>
                        </w:rPr>
                        <w:t>:</w:t>
                      </w:r>
                    </w:p>
                    <w:p w:rsidR="00E61207" w:rsidRPr="005159D8" w:rsidRDefault="00E61207" w:rsidP="001540E7">
                      <w:pPr>
                        <w:numPr>
                          <w:ilvl w:val="0"/>
                          <w:numId w:val="11"/>
                        </w:numPr>
                        <w:tabs>
                          <w:tab w:val="clear" w:pos="720"/>
                          <w:tab w:val="num" w:pos="180"/>
                        </w:tabs>
                        <w:ind w:left="180" w:hanging="180"/>
                        <w:rPr>
                          <w:rFonts w:ascii="Arial" w:hAnsi="Arial" w:cs="Arial"/>
                          <w:sz w:val="20"/>
                          <w:szCs w:val="20"/>
                        </w:rPr>
                      </w:pPr>
                      <w:r w:rsidRPr="005159D8">
                        <w:rPr>
                          <w:rFonts w:ascii="Arial" w:hAnsi="Arial" w:cs="Arial"/>
                          <w:sz w:val="20"/>
                          <w:szCs w:val="20"/>
                        </w:rPr>
                        <w:t>členstvo v Pracovnej skupine pre HP MRK</w:t>
                      </w:r>
                    </w:p>
                    <w:p w:rsidR="00E61207" w:rsidRPr="005159D8" w:rsidRDefault="00E61207" w:rsidP="001540E7">
                      <w:pPr>
                        <w:numPr>
                          <w:ilvl w:val="0"/>
                          <w:numId w:val="11"/>
                        </w:numPr>
                        <w:tabs>
                          <w:tab w:val="clear" w:pos="720"/>
                          <w:tab w:val="num" w:pos="180"/>
                        </w:tabs>
                        <w:ind w:left="180" w:hanging="180"/>
                        <w:rPr>
                          <w:rFonts w:ascii="Arial" w:hAnsi="Arial" w:cs="Arial"/>
                          <w:sz w:val="20"/>
                          <w:szCs w:val="20"/>
                        </w:rPr>
                      </w:pPr>
                      <w:r w:rsidRPr="005159D8">
                        <w:rPr>
                          <w:rFonts w:ascii="Arial" w:hAnsi="Arial" w:cs="Arial"/>
                          <w:sz w:val="20"/>
                          <w:szCs w:val="20"/>
                        </w:rPr>
                        <w:t xml:space="preserve">členstvo v Monitorovacej skupine komplexného prístupu </w:t>
                      </w:r>
                    </w:p>
                    <w:p w:rsidR="00E61207" w:rsidRDefault="00E61207" w:rsidP="001540E7">
                      <w:pPr>
                        <w:numPr>
                          <w:ilvl w:val="0"/>
                          <w:numId w:val="11"/>
                        </w:numPr>
                        <w:tabs>
                          <w:tab w:val="clear" w:pos="720"/>
                          <w:tab w:val="num" w:pos="180"/>
                        </w:tabs>
                        <w:ind w:left="180" w:hanging="180"/>
                        <w:rPr>
                          <w:rFonts w:ascii="Arial" w:hAnsi="Arial" w:cs="Arial"/>
                          <w:sz w:val="20"/>
                          <w:szCs w:val="20"/>
                        </w:rPr>
                      </w:pPr>
                      <w:r w:rsidRPr="005159D8">
                        <w:rPr>
                          <w:rFonts w:ascii="Arial" w:hAnsi="Arial" w:cs="Arial"/>
                          <w:sz w:val="20"/>
                          <w:szCs w:val="20"/>
                        </w:rPr>
                        <w:t>členstvo v Medzirezortnej hodnotiacej a výberovej komisii pre Lokálne stratégie</w:t>
                      </w:r>
                      <w:r w:rsidRPr="00ED7FF5">
                        <w:rPr>
                          <w:rFonts w:ascii="Arial" w:hAnsi="Arial" w:cs="Arial"/>
                          <w:sz w:val="20"/>
                          <w:szCs w:val="20"/>
                        </w:rPr>
                        <w:t xml:space="preserve"> komplexného prístupu </w:t>
                      </w:r>
                    </w:p>
                    <w:p w:rsidR="00E61207" w:rsidRPr="00F53D41" w:rsidRDefault="00E61207" w:rsidP="001540E7">
                      <w:pPr>
                        <w:numPr>
                          <w:ilvl w:val="0"/>
                          <w:numId w:val="11"/>
                        </w:numPr>
                        <w:tabs>
                          <w:tab w:val="clear" w:pos="720"/>
                          <w:tab w:val="num" w:pos="180"/>
                        </w:tabs>
                        <w:ind w:left="180" w:hanging="180"/>
                        <w:rPr>
                          <w:rFonts w:ascii="Arial Narrow" w:hAnsi="Arial Narrow"/>
                        </w:rPr>
                      </w:pPr>
                      <w:r w:rsidRPr="00F53D41">
                        <w:rPr>
                          <w:rFonts w:ascii="Arial" w:hAnsi="Arial" w:cs="Arial"/>
                          <w:sz w:val="20"/>
                          <w:szCs w:val="20"/>
                        </w:rPr>
                        <w:t>bilaterálne pracovné stretnutia s koordinátorom HP MRK</w:t>
                      </w:r>
                    </w:p>
                  </w:txbxContent>
                </v:textbox>
              </v:rect>
            </w:pict>
          </mc:Fallback>
        </mc:AlternateContent>
      </w:r>
    </w:p>
    <w:p w:rsidR="00881054" w:rsidRPr="00FA1F10" w:rsidRDefault="00881054" w:rsidP="00881054">
      <w:pPr>
        <w:spacing w:line="360" w:lineRule="auto"/>
        <w:jc w:val="both"/>
        <w:rPr>
          <w:rFonts w:ascii="Arial" w:hAnsi="Arial" w:cs="Arial"/>
          <w:sz w:val="20"/>
          <w:szCs w:val="20"/>
        </w:rPr>
      </w:pPr>
    </w:p>
    <w:p w:rsidR="00881054" w:rsidRPr="00FA1F10" w:rsidRDefault="00881054" w:rsidP="00881054">
      <w:pPr>
        <w:spacing w:line="360" w:lineRule="auto"/>
        <w:jc w:val="both"/>
        <w:rPr>
          <w:rFonts w:ascii="Arial" w:hAnsi="Arial" w:cs="Arial"/>
          <w:sz w:val="20"/>
          <w:szCs w:val="20"/>
        </w:rPr>
      </w:pPr>
    </w:p>
    <w:p w:rsidR="00881054" w:rsidRPr="00FA1F10" w:rsidRDefault="00881054" w:rsidP="00881054">
      <w:pPr>
        <w:spacing w:line="360" w:lineRule="auto"/>
        <w:jc w:val="both"/>
        <w:rPr>
          <w:rFonts w:ascii="Arial" w:hAnsi="Arial" w:cs="Arial"/>
          <w:sz w:val="20"/>
          <w:szCs w:val="20"/>
        </w:rPr>
      </w:pPr>
    </w:p>
    <w:p w:rsidR="00881054" w:rsidRPr="00FA1F10" w:rsidRDefault="00881054" w:rsidP="00881054">
      <w:pPr>
        <w:spacing w:line="360" w:lineRule="auto"/>
        <w:jc w:val="both"/>
        <w:rPr>
          <w:rFonts w:ascii="Arial" w:hAnsi="Arial" w:cs="Arial"/>
          <w:sz w:val="20"/>
          <w:szCs w:val="20"/>
        </w:rPr>
      </w:pPr>
    </w:p>
    <w:p w:rsidR="00881054" w:rsidRPr="00FA1F10" w:rsidRDefault="00881054" w:rsidP="00881054">
      <w:pPr>
        <w:spacing w:line="360" w:lineRule="auto"/>
        <w:jc w:val="both"/>
        <w:rPr>
          <w:rFonts w:ascii="Arial" w:hAnsi="Arial" w:cs="Arial"/>
          <w:sz w:val="20"/>
          <w:szCs w:val="20"/>
        </w:rPr>
      </w:pPr>
    </w:p>
    <w:p w:rsidR="00881054" w:rsidRPr="00FA1F10" w:rsidRDefault="00881054" w:rsidP="00881054">
      <w:pPr>
        <w:spacing w:line="360" w:lineRule="auto"/>
        <w:jc w:val="both"/>
        <w:rPr>
          <w:rFonts w:ascii="Arial" w:hAnsi="Arial" w:cs="Arial"/>
          <w:sz w:val="20"/>
          <w:szCs w:val="20"/>
        </w:rPr>
      </w:pPr>
    </w:p>
    <w:p w:rsidR="00881054" w:rsidRDefault="00881054" w:rsidP="00881054">
      <w:pPr>
        <w:spacing w:line="360" w:lineRule="auto"/>
        <w:jc w:val="both"/>
        <w:rPr>
          <w:rFonts w:ascii="Arial" w:hAnsi="Arial" w:cs="Arial"/>
          <w:sz w:val="20"/>
          <w:szCs w:val="20"/>
        </w:rPr>
      </w:pPr>
    </w:p>
    <w:p w:rsidR="00881054" w:rsidRDefault="00881054" w:rsidP="00881054">
      <w:pPr>
        <w:spacing w:line="360" w:lineRule="auto"/>
        <w:jc w:val="both"/>
        <w:rPr>
          <w:rFonts w:ascii="Arial" w:hAnsi="Arial" w:cs="Arial"/>
          <w:sz w:val="20"/>
          <w:szCs w:val="20"/>
        </w:rPr>
      </w:pPr>
      <w:r w:rsidRPr="00FA1F10">
        <w:rPr>
          <w:rFonts w:ascii="Arial" w:hAnsi="Arial" w:cs="Arial"/>
          <w:sz w:val="20"/>
          <w:szCs w:val="20"/>
        </w:rPr>
        <w:t>V roku 2012 MŽP SR spolupracovalo s koordinátorom HP MRK a ďalšími RO jednotlivých OP príslušných pre komplexný prístup prostredníctvom vyššie uvedených nástrojov spolupráce.</w:t>
      </w:r>
      <w:r>
        <w:rPr>
          <w:rFonts w:ascii="Arial" w:hAnsi="Arial" w:cs="Arial"/>
          <w:sz w:val="20"/>
          <w:szCs w:val="20"/>
        </w:rPr>
        <w:t xml:space="preserve"> </w:t>
      </w:r>
    </w:p>
    <w:p w:rsidR="00881054" w:rsidRDefault="00881054" w:rsidP="00881054">
      <w:pPr>
        <w:spacing w:line="360" w:lineRule="auto"/>
        <w:jc w:val="both"/>
        <w:rPr>
          <w:rFonts w:ascii="Arial" w:hAnsi="Arial" w:cs="Arial"/>
          <w:sz w:val="20"/>
          <w:szCs w:val="20"/>
        </w:rPr>
      </w:pPr>
    </w:p>
    <w:p w:rsidR="00DD1661" w:rsidRDefault="00DD1661" w:rsidP="00881054">
      <w:pPr>
        <w:spacing w:line="360" w:lineRule="auto"/>
        <w:jc w:val="both"/>
        <w:rPr>
          <w:rFonts w:ascii="Arial" w:hAnsi="Arial" w:cs="Arial"/>
          <w:sz w:val="20"/>
          <w:szCs w:val="20"/>
        </w:rPr>
      </w:pPr>
    </w:p>
    <w:p w:rsidR="00DD1661" w:rsidRDefault="00DD1661" w:rsidP="00881054">
      <w:pPr>
        <w:spacing w:line="360" w:lineRule="auto"/>
        <w:jc w:val="both"/>
        <w:rPr>
          <w:rFonts w:ascii="Arial" w:hAnsi="Arial" w:cs="Arial"/>
          <w:sz w:val="20"/>
          <w:szCs w:val="20"/>
        </w:rPr>
      </w:pPr>
    </w:p>
    <w:p w:rsidR="00881054" w:rsidRPr="00315FF3" w:rsidRDefault="00881054" w:rsidP="00881054">
      <w:pPr>
        <w:spacing w:line="360" w:lineRule="auto"/>
        <w:jc w:val="both"/>
        <w:rPr>
          <w:rFonts w:ascii="Arial" w:hAnsi="Arial" w:cs="Arial"/>
          <w:i/>
          <w:sz w:val="20"/>
          <w:szCs w:val="20"/>
        </w:rPr>
      </w:pPr>
      <w:r w:rsidRPr="00315FF3">
        <w:rPr>
          <w:rFonts w:ascii="Arial" w:hAnsi="Arial" w:cs="Arial"/>
          <w:i/>
          <w:sz w:val="20"/>
          <w:szCs w:val="20"/>
        </w:rPr>
        <w:t>Pracovná skupina pre HP MRK (ďalej len „PS pre HP MRK“)</w:t>
      </w:r>
    </w:p>
    <w:p w:rsidR="00881054" w:rsidRPr="00315FF3" w:rsidRDefault="00881054" w:rsidP="00881054">
      <w:pPr>
        <w:spacing w:line="360" w:lineRule="auto"/>
        <w:jc w:val="both"/>
        <w:rPr>
          <w:rFonts w:ascii="Arial" w:hAnsi="Arial" w:cs="Arial"/>
          <w:sz w:val="20"/>
          <w:szCs w:val="20"/>
        </w:rPr>
      </w:pPr>
      <w:r w:rsidRPr="00315FF3">
        <w:rPr>
          <w:rFonts w:ascii="Arial" w:hAnsi="Arial" w:cs="Arial"/>
          <w:sz w:val="20"/>
          <w:szCs w:val="20"/>
        </w:rPr>
        <w:t>V 1. polroku 2012 PS pre HP MRK nezasadala. V zmysle Štatútu a rokovacieho poriadku  PS pre HP MRK schvaľovala rozhodovaním písomnou procedúrou nasledovné dokumenty:</w:t>
      </w:r>
    </w:p>
    <w:p w:rsidR="00881054" w:rsidRPr="001540E7" w:rsidRDefault="00881054" w:rsidP="001540E7">
      <w:pPr>
        <w:pStyle w:val="Odsekzoznamu"/>
        <w:numPr>
          <w:ilvl w:val="0"/>
          <w:numId w:val="122"/>
        </w:numPr>
        <w:spacing w:line="360" w:lineRule="auto"/>
        <w:jc w:val="both"/>
        <w:rPr>
          <w:rFonts w:ascii="Arial" w:hAnsi="Arial" w:cs="Arial"/>
          <w:sz w:val="20"/>
          <w:szCs w:val="20"/>
        </w:rPr>
      </w:pPr>
      <w:r w:rsidRPr="001540E7">
        <w:rPr>
          <w:rFonts w:ascii="Arial" w:hAnsi="Arial" w:cs="Arial"/>
          <w:sz w:val="20"/>
          <w:szCs w:val="20"/>
        </w:rPr>
        <w:t>Dňa 27. 02. 2012  schválila návrh Hodnotiacich a výberových kritérií pre účely výzvy LSKxP-ÚSVRK-2012/03.</w:t>
      </w:r>
    </w:p>
    <w:p w:rsidR="00881054" w:rsidRPr="001540E7" w:rsidRDefault="00881054" w:rsidP="001540E7">
      <w:pPr>
        <w:pStyle w:val="Odsekzoznamu"/>
        <w:numPr>
          <w:ilvl w:val="0"/>
          <w:numId w:val="122"/>
        </w:numPr>
        <w:spacing w:line="360" w:lineRule="auto"/>
        <w:jc w:val="both"/>
        <w:rPr>
          <w:rFonts w:ascii="Arial" w:hAnsi="Arial" w:cs="Arial"/>
          <w:sz w:val="20"/>
          <w:szCs w:val="20"/>
        </w:rPr>
      </w:pPr>
      <w:r w:rsidRPr="001540E7">
        <w:rPr>
          <w:rFonts w:ascii="Arial" w:hAnsi="Arial" w:cs="Arial"/>
          <w:sz w:val="20"/>
          <w:szCs w:val="20"/>
        </w:rPr>
        <w:t>Dňa 07. 03. 2012 PS pre HP MRK schválila návrh Príručky pre hodnotiteľa pre účely výzvy LSKxP-ÚSVRK-2012/03.</w:t>
      </w:r>
    </w:p>
    <w:p w:rsidR="00881054" w:rsidRDefault="00881054" w:rsidP="00881054">
      <w:pPr>
        <w:spacing w:line="360" w:lineRule="auto"/>
        <w:jc w:val="both"/>
        <w:rPr>
          <w:rFonts w:ascii="Arial" w:hAnsi="Arial" w:cs="Arial"/>
          <w:sz w:val="20"/>
          <w:szCs w:val="20"/>
        </w:rPr>
      </w:pPr>
      <w:r w:rsidRPr="00315FF3">
        <w:rPr>
          <w:rFonts w:ascii="Arial" w:hAnsi="Arial" w:cs="Arial"/>
          <w:sz w:val="20"/>
          <w:szCs w:val="20"/>
        </w:rPr>
        <w:t>V 2. polroku 2012 PS pre HP MRK zasadala dňa 24. 07. 2012. Predmetom zasadnutia bolo informovanie členov PS pre HP MRK o delimitačnom procese ÚSVRK na MV SR a potrebných zmenách vyplývajúcich z tohto procesu.</w:t>
      </w:r>
    </w:p>
    <w:p w:rsidR="00881054" w:rsidRDefault="00881054" w:rsidP="00881054">
      <w:pPr>
        <w:spacing w:line="360" w:lineRule="auto"/>
        <w:jc w:val="both"/>
        <w:rPr>
          <w:rFonts w:ascii="Arial" w:hAnsi="Arial" w:cs="Arial"/>
          <w:sz w:val="20"/>
          <w:szCs w:val="20"/>
        </w:rPr>
      </w:pPr>
    </w:p>
    <w:p w:rsidR="00881054" w:rsidRPr="00315FF3" w:rsidRDefault="00881054" w:rsidP="00881054">
      <w:pPr>
        <w:spacing w:line="360" w:lineRule="auto"/>
        <w:jc w:val="both"/>
        <w:rPr>
          <w:rFonts w:ascii="Arial" w:hAnsi="Arial" w:cs="Arial"/>
          <w:i/>
          <w:sz w:val="20"/>
          <w:szCs w:val="20"/>
        </w:rPr>
      </w:pPr>
      <w:r w:rsidRPr="00315FF3">
        <w:rPr>
          <w:rFonts w:ascii="Arial" w:hAnsi="Arial" w:cs="Arial"/>
          <w:i/>
          <w:sz w:val="20"/>
          <w:szCs w:val="20"/>
        </w:rPr>
        <w:t>Monitorovacia skupina komplexného  prístupu (ďalej len MS KxP)</w:t>
      </w:r>
    </w:p>
    <w:p w:rsidR="00881054" w:rsidRPr="00315FF3" w:rsidRDefault="00881054" w:rsidP="00881054">
      <w:pPr>
        <w:spacing w:line="360" w:lineRule="auto"/>
        <w:jc w:val="both"/>
        <w:rPr>
          <w:rFonts w:ascii="Arial" w:hAnsi="Arial" w:cs="Arial"/>
          <w:sz w:val="20"/>
          <w:szCs w:val="20"/>
        </w:rPr>
      </w:pPr>
      <w:r w:rsidRPr="00315FF3">
        <w:rPr>
          <w:rFonts w:ascii="Arial" w:hAnsi="Arial" w:cs="Arial"/>
          <w:sz w:val="20"/>
          <w:szCs w:val="20"/>
        </w:rPr>
        <w:t>MS KxP na zasadnutí dňa 14. 02. 2012 prerokovala a zobrala na vedomie Správu z Ad hoc hodnotenia HP MRK v roku 2011, návrh aktualizácie Plánu hodnotení HP MRK pre programové obdobie 2007 – 2013 a informáciu o Pláne hodnotení HP MRK na rok 2012. Následne rozhodovaním per rollam dňa 22. 02. 2012 schválila Štatút MS KxP a Rokovací poriadok MS KxP.</w:t>
      </w:r>
    </w:p>
    <w:p w:rsidR="00881054" w:rsidRPr="00315FF3" w:rsidRDefault="00881054" w:rsidP="00881054">
      <w:pPr>
        <w:spacing w:line="360" w:lineRule="auto"/>
        <w:jc w:val="both"/>
        <w:rPr>
          <w:rFonts w:ascii="Arial" w:hAnsi="Arial" w:cs="Arial"/>
          <w:sz w:val="20"/>
          <w:szCs w:val="20"/>
        </w:rPr>
      </w:pPr>
      <w:r w:rsidRPr="00315FF3">
        <w:rPr>
          <w:rFonts w:ascii="Arial" w:hAnsi="Arial" w:cs="Arial"/>
          <w:sz w:val="20"/>
          <w:szCs w:val="20"/>
        </w:rPr>
        <w:t xml:space="preserve">MS KxP na zasadnutí dňa 20. 11. 2012 prerokovala a zobrala na vedomie správu zo Strategického externého  hodnotenia HP MRK k 31. 12. 2011 a Výročnú správu HP MRK za rok 2011. Zároveň riaditeľka OK HP MRK informovala členov a pozorovateľov MS KxP o stave implementácie HP MRK a LSKxP k 15. 11. 2012. </w:t>
      </w:r>
    </w:p>
    <w:p w:rsidR="00881054" w:rsidRPr="00315FF3" w:rsidRDefault="00881054" w:rsidP="00881054">
      <w:pPr>
        <w:spacing w:line="360" w:lineRule="auto"/>
        <w:jc w:val="both"/>
        <w:rPr>
          <w:rFonts w:ascii="Arial" w:hAnsi="Arial" w:cs="Arial"/>
          <w:sz w:val="20"/>
          <w:szCs w:val="20"/>
        </w:rPr>
      </w:pPr>
    </w:p>
    <w:p w:rsidR="00881054" w:rsidRPr="00315FF3" w:rsidRDefault="00881054" w:rsidP="00881054">
      <w:pPr>
        <w:spacing w:line="360" w:lineRule="auto"/>
        <w:jc w:val="both"/>
        <w:rPr>
          <w:rFonts w:ascii="Arial" w:hAnsi="Arial" w:cs="Arial"/>
          <w:i/>
          <w:sz w:val="20"/>
          <w:szCs w:val="20"/>
        </w:rPr>
      </w:pPr>
      <w:r w:rsidRPr="00315FF3">
        <w:rPr>
          <w:rFonts w:ascii="Arial" w:hAnsi="Arial" w:cs="Arial"/>
          <w:i/>
          <w:sz w:val="20"/>
          <w:szCs w:val="20"/>
        </w:rPr>
        <w:t>Medzirezortná hodnotiaca a výberová komisia LSKxP (ďalej len MHaVK LSKxP)</w:t>
      </w:r>
    </w:p>
    <w:p w:rsidR="00881054" w:rsidRPr="00315FF3" w:rsidRDefault="00881054" w:rsidP="00881054">
      <w:pPr>
        <w:spacing w:line="360" w:lineRule="auto"/>
        <w:jc w:val="both"/>
        <w:rPr>
          <w:rFonts w:ascii="Arial" w:hAnsi="Arial" w:cs="Arial"/>
          <w:sz w:val="20"/>
          <w:szCs w:val="20"/>
        </w:rPr>
      </w:pPr>
      <w:r w:rsidRPr="00315FF3">
        <w:rPr>
          <w:rFonts w:ascii="Arial" w:hAnsi="Arial" w:cs="Arial"/>
          <w:sz w:val="20"/>
          <w:szCs w:val="20"/>
        </w:rPr>
        <w:t>MHaVK LSKxP sa na svojom prvom zasadnutí dňa 29. 02. 2012 venovala problému neplnenia záväzkov, vyplývajúcich zo schválenej podpory LSKxP zo strany niektorých prijímateľov pomoci LSKxP, ktorí sa nezapájajú do vyhlasovaných výziev, nezasielajú monitorovacie správy, pričom táto povinnosť vyplýva z podpísaných záväzných vyhlásení. Koordinátor v</w:t>
      </w:r>
      <w:r w:rsidR="009C29DA">
        <w:rPr>
          <w:rFonts w:ascii="Arial" w:hAnsi="Arial" w:cs="Arial"/>
          <w:sz w:val="20"/>
          <w:szCs w:val="20"/>
        </w:rPr>
        <w:t> sledovanom období nemal</w:t>
      </w:r>
      <w:r w:rsidRPr="00315FF3">
        <w:rPr>
          <w:rFonts w:ascii="Arial" w:hAnsi="Arial" w:cs="Arial"/>
          <w:sz w:val="20"/>
          <w:szCs w:val="20"/>
        </w:rPr>
        <w:t xml:space="preserve"> žiadny nástroj na sankcionovanie takýchto prijímateľov pomoci. </w:t>
      </w:r>
      <w:r w:rsidR="009C29DA" w:rsidRPr="00315FF3">
        <w:rPr>
          <w:rFonts w:ascii="Arial" w:hAnsi="Arial" w:cs="Arial"/>
          <w:sz w:val="20"/>
          <w:szCs w:val="20"/>
        </w:rPr>
        <w:t xml:space="preserve">MHaVK LSKxP </w:t>
      </w:r>
      <w:r w:rsidRPr="00315FF3">
        <w:rPr>
          <w:rFonts w:ascii="Arial" w:hAnsi="Arial" w:cs="Arial"/>
          <w:sz w:val="20"/>
          <w:szCs w:val="20"/>
        </w:rPr>
        <w:t>sa venovala aj aktualizácii Štatútu a Rokovaciemu poriadku MHaVK LSKxP, ktoré boli schválené rozhodovaním per rollam dňa 27. 02. 2012. Následne na zasadnutí MHaVK LSKxP dňa 29. 02. 2012 bol schválený doplnený štatút, kde sa doplnili mimovládne organizácie ako možní pozorovatelia.</w:t>
      </w:r>
    </w:p>
    <w:p w:rsidR="00881054" w:rsidRDefault="00881054" w:rsidP="00881054">
      <w:pPr>
        <w:spacing w:line="360" w:lineRule="auto"/>
        <w:jc w:val="both"/>
        <w:rPr>
          <w:rFonts w:ascii="Arial" w:hAnsi="Arial" w:cs="Arial"/>
          <w:sz w:val="20"/>
          <w:szCs w:val="20"/>
        </w:rPr>
      </w:pPr>
      <w:r w:rsidRPr="00315FF3">
        <w:rPr>
          <w:rFonts w:ascii="Arial" w:hAnsi="Arial" w:cs="Arial"/>
          <w:sz w:val="20"/>
          <w:szCs w:val="20"/>
        </w:rPr>
        <w:t xml:space="preserve">Na svojom druhom zasadnutí dňa 28. 06. 2012 </w:t>
      </w:r>
      <w:r w:rsidR="009C29DA" w:rsidRPr="00315FF3">
        <w:rPr>
          <w:rFonts w:ascii="Arial" w:hAnsi="Arial" w:cs="Arial"/>
          <w:sz w:val="20"/>
          <w:szCs w:val="20"/>
        </w:rPr>
        <w:t xml:space="preserve">MHaVK </w:t>
      </w:r>
      <w:r w:rsidRPr="00315FF3">
        <w:rPr>
          <w:rFonts w:ascii="Arial" w:hAnsi="Arial" w:cs="Arial"/>
          <w:sz w:val="20"/>
          <w:szCs w:val="20"/>
        </w:rPr>
        <w:t>LSKxP na základe odborného hodnotenia aplikovala výberové kritéria a schválila žiadosti o doplnenie projektových zámerov z ROP, OP Životné prostredie a OP Zamestnanosť a sociálna inklúzia, ktoré dosiahli aspoň minimálny počet bodov v odbornom hodnotení a boli odporučen</w:t>
      </w:r>
      <w:r w:rsidR="009C29DA">
        <w:rPr>
          <w:rFonts w:ascii="Arial" w:hAnsi="Arial" w:cs="Arial"/>
          <w:sz w:val="20"/>
          <w:szCs w:val="20"/>
        </w:rPr>
        <w:t>é na schválenie. Zoznam žiadostí</w:t>
      </w:r>
      <w:r w:rsidRPr="00315FF3">
        <w:rPr>
          <w:rFonts w:ascii="Arial" w:hAnsi="Arial" w:cs="Arial"/>
          <w:sz w:val="20"/>
          <w:szCs w:val="20"/>
        </w:rPr>
        <w:t xml:space="preserve">, ktoré boli vybraté a schválené MHaVK LSKxP bol zverejnený na webovom sídle koordinátora HP MRK </w:t>
      </w:r>
      <w:hyperlink r:id="rId61" w:history="1">
        <w:r w:rsidRPr="001540E7">
          <w:rPr>
            <w:rFonts w:ascii="Arial" w:hAnsi="Arial"/>
          </w:rPr>
          <w:t>www.romovia.vlada.gov.sk</w:t>
        </w:r>
      </w:hyperlink>
      <w:r w:rsidR="0000622F">
        <w:rPr>
          <w:sz w:val="20"/>
          <w:szCs w:val="20"/>
        </w:rPr>
        <w:t xml:space="preserve"> </w:t>
      </w:r>
      <w:r w:rsidRPr="0000622F">
        <w:rPr>
          <w:rFonts w:ascii="Arial" w:hAnsi="Arial" w:cs="Arial"/>
          <w:sz w:val="20"/>
          <w:szCs w:val="20"/>
        </w:rPr>
        <w:t>.</w:t>
      </w:r>
    </w:p>
    <w:p w:rsidR="00881054" w:rsidRDefault="00881054" w:rsidP="00881054">
      <w:pPr>
        <w:spacing w:line="360" w:lineRule="auto"/>
        <w:jc w:val="both"/>
        <w:rPr>
          <w:rFonts w:ascii="Arial" w:hAnsi="Arial" w:cs="Arial"/>
          <w:sz w:val="20"/>
          <w:szCs w:val="20"/>
        </w:rPr>
      </w:pPr>
    </w:p>
    <w:p w:rsidR="00881054" w:rsidRDefault="00881054" w:rsidP="00881054">
      <w:pPr>
        <w:spacing w:line="360" w:lineRule="auto"/>
        <w:jc w:val="both"/>
        <w:rPr>
          <w:rFonts w:ascii="Arial" w:hAnsi="Arial" w:cs="Arial"/>
          <w:sz w:val="20"/>
          <w:szCs w:val="20"/>
        </w:rPr>
      </w:pPr>
      <w:r>
        <w:rPr>
          <w:rFonts w:ascii="Arial" w:hAnsi="Arial" w:cs="Arial"/>
          <w:sz w:val="20"/>
          <w:szCs w:val="20"/>
        </w:rPr>
        <w:t>Keďže z</w:t>
      </w:r>
      <w:r w:rsidRPr="00487C7F">
        <w:rPr>
          <w:rFonts w:ascii="Arial" w:hAnsi="Arial" w:cs="Arial"/>
          <w:sz w:val="20"/>
          <w:szCs w:val="20"/>
        </w:rPr>
        <w:t xml:space="preserve">azmluvnená alokácia  na realizáciu projektov LSKxP v rámci OP ŽP </w:t>
      </w:r>
      <w:r w:rsidR="009C29DA">
        <w:rPr>
          <w:rFonts w:ascii="Arial" w:hAnsi="Arial" w:cs="Arial"/>
          <w:sz w:val="20"/>
          <w:szCs w:val="20"/>
        </w:rPr>
        <w:t>nebola v sledovanom období</w:t>
      </w:r>
      <w:r w:rsidRPr="00487C7F">
        <w:rPr>
          <w:rFonts w:ascii="Arial" w:hAnsi="Arial" w:cs="Arial"/>
          <w:sz w:val="20"/>
          <w:szCs w:val="20"/>
        </w:rPr>
        <w:t xml:space="preserve"> zmluv</w:t>
      </w:r>
      <w:r>
        <w:rPr>
          <w:rFonts w:ascii="Arial" w:hAnsi="Arial" w:cs="Arial"/>
          <w:sz w:val="20"/>
          <w:szCs w:val="20"/>
        </w:rPr>
        <w:t>ne dostatočne jasne definovaná, z</w:t>
      </w:r>
      <w:r w:rsidRPr="00487C7F">
        <w:rPr>
          <w:rFonts w:ascii="Arial" w:hAnsi="Arial" w:cs="Arial"/>
          <w:sz w:val="20"/>
          <w:szCs w:val="20"/>
        </w:rPr>
        <w:t>m</w:t>
      </w:r>
      <w:r w:rsidR="009C29DA">
        <w:rPr>
          <w:rFonts w:ascii="Arial" w:hAnsi="Arial" w:cs="Arial"/>
          <w:sz w:val="20"/>
          <w:szCs w:val="20"/>
        </w:rPr>
        <w:t>luva medzi MV SR a RO pre OP ŽP</w:t>
      </w:r>
      <w:r w:rsidRPr="00487C7F">
        <w:rPr>
          <w:rFonts w:ascii="Arial" w:hAnsi="Arial" w:cs="Arial"/>
          <w:sz w:val="20"/>
          <w:szCs w:val="20"/>
        </w:rPr>
        <w:t xml:space="preserve"> </w:t>
      </w:r>
      <w:r>
        <w:rPr>
          <w:rFonts w:ascii="Arial" w:hAnsi="Arial" w:cs="Arial"/>
          <w:sz w:val="20"/>
          <w:szCs w:val="20"/>
        </w:rPr>
        <w:t xml:space="preserve">bude </w:t>
      </w:r>
      <w:r w:rsidRPr="00487C7F">
        <w:rPr>
          <w:rFonts w:ascii="Arial" w:hAnsi="Arial" w:cs="Arial"/>
          <w:sz w:val="20"/>
          <w:szCs w:val="20"/>
        </w:rPr>
        <w:t>upravená dodatkom, ktorý bude reálne odrážať výšku alokácie vyčlenenej v rámci OP ŽP pre projekty LSKxP z Kohézneho fondu vrátane spolufinancovania zo ŠR.</w:t>
      </w:r>
      <w:r>
        <w:rPr>
          <w:rFonts w:ascii="Arial" w:hAnsi="Arial" w:cs="Arial"/>
          <w:sz w:val="20"/>
          <w:szCs w:val="20"/>
        </w:rPr>
        <w:t xml:space="preserve"> </w:t>
      </w:r>
      <w:r w:rsidRPr="00487C7F">
        <w:rPr>
          <w:rFonts w:ascii="Arial" w:hAnsi="Arial" w:cs="Arial"/>
          <w:sz w:val="20"/>
          <w:szCs w:val="20"/>
        </w:rPr>
        <w:t xml:space="preserve">Dňa 20. 07. 2012 sa uskutočnilo pracovné stretnutie so zástupcami RO OP ŽP k vyhláseniu výzvy pre operačné ciele 4.1 Podpora aktivít v oblasti separovaného zberu a 4.2 Podpora aktivít na zhodnocovanie odpadov s relevanciou k schváleným LSKxP na zostatkovú alokáciu vyčlenenú pre implementáciu projektov LSKxP. </w:t>
      </w:r>
    </w:p>
    <w:p w:rsidR="00881054" w:rsidRDefault="00881054" w:rsidP="00881054">
      <w:pPr>
        <w:spacing w:line="360" w:lineRule="auto"/>
        <w:jc w:val="both"/>
        <w:rPr>
          <w:rFonts w:ascii="Arial" w:hAnsi="Arial" w:cs="Arial"/>
          <w:sz w:val="20"/>
          <w:szCs w:val="20"/>
        </w:rPr>
      </w:pPr>
    </w:p>
    <w:p w:rsidR="00881054" w:rsidRPr="003A630B" w:rsidRDefault="00881054" w:rsidP="00881054">
      <w:pPr>
        <w:spacing w:line="360" w:lineRule="auto"/>
        <w:jc w:val="both"/>
        <w:rPr>
          <w:rFonts w:ascii="Arial" w:hAnsi="Arial" w:cs="Arial"/>
          <w:i/>
          <w:sz w:val="20"/>
          <w:szCs w:val="20"/>
        </w:rPr>
      </w:pPr>
      <w:r w:rsidRPr="003A630B">
        <w:rPr>
          <w:rFonts w:ascii="Arial" w:hAnsi="Arial" w:cs="Arial"/>
          <w:i/>
          <w:sz w:val="20"/>
          <w:szCs w:val="20"/>
        </w:rPr>
        <w:t>Výzva OPŽP-PO4-11-4-LSKxP</w:t>
      </w:r>
    </w:p>
    <w:p w:rsidR="00881054" w:rsidRDefault="00881054" w:rsidP="00881054">
      <w:pPr>
        <w:spacing w:line="360" w:lineRule="auto"/>
        <w:jc w:val="both"/>
        <w:rPr>
          <w:rFonts w:ascii="Arial" w:hAnsi="Arial" w:cs="Arial"/>
          <w:sz w:val="20"/>
          <w:szCs w:val="20"/>
        </w:rPr>
      </w:pPr>
      <w:r w:rsidRPr="00FA1F10">
        <w:rPr>
          <w:rFonts w:ascii="Arial" w:hAnsi="Arial" w:cs="Arial"/>
          <w:sz w:val="20"/>
          <w:szCs w:val="20"/>
        </w:rPr>
        <w:t>Riadiaci orgán pre OP ŽP dňa 22.12.2011 vyhlásil výzvu</w:t>
      </w:r>
      <w:r>
        <w:rPr>
          <w:rFonts w:ascii="Arial" w:hAnsi="Arial" w:cs="Arial"/>
          <w:sz w:val="20"/>
          <w:szCs w:val="20"/>
        </w:rPr>
        <w:t xml:space="preserve"> pre PO </w:t>
      </w:r>
      <w:r w:rsidRPr="00652C61">
        <w:rPr>
          <w:rFonts w:ascii="Arial" w:hAnsi="Arial" w:cs="Arial"/>
          <w:sz w:val="20"/>
          <w:szCs w:val="20"/>
        </w:rPr>
        <w:t>4.1 Podpora aktivít v oblasti separovaného zberu odpadov a</w:t>
      </w:r>
      <w:r>
        <w:rPr>
          <w:rFonts w:ascii="Arial" w:hAnsi="Arial" w:cs="Arial"/>
          <w:sz w:val="20"/>
          <w:szCs w:val="20"/>
        </w:rPr>
        <w:t xml:space="preserve"> PO </w:t>
      </w:r>
      <w:r w:rsidRPr="00652C61">
        <w:rPr>
          <w:rFonts w:ascii="Arial" w:hAnsi="Arial" w:cs="Arial"/>
          <w:sz w:val="20"/>
          <w:szCs w:val="20"/>
        </w:rPr>
        <w:t>4.2 Podpora aktivít na zhodnocovanie odpadov</w:t>
      </w:r>
      <w:r>
        <w:rPr>
          <w:rFonts w:ascii="Arial" w:hAnsi="Arial" w:cs="Arial"/>
          <w:sz w:val="20"/>
          <w:szCs w:val="20"/>
        </w:rPr>
        <w:t xml:space="preserve">, </w:t>
      </w:r>
      <w:r w:rsidRPr="00FA1F10">
        <w:rPr>
          <w:rFonts w:ascii="Arial" w:hAnsi="Arial" w:cs="Arial"/>
          <w:sz w:val="20"/>
          <w:szCs w:val="20"/>
        </w:rPr>
        <w:t>s relevanciou k</w:t>
      </w:r>
      <w:r>
        <w:rPr>
          <w:rFonts w:ascii="Arial" w:hAnsi="Arial" w:cs="Arial"/>
          <w:sz w:val="20"/>
          <w:szCs w:val="20"/>
        </w:rPr>
        <w:t> </w:t>
      </w:r>
      <w:r w:rsidRPr="00FA1F10">
        <w:rPr>
          <w:rFonts w:ascii="Arial" w:hAnsi="Arial" w:cs="Arial"/>
          <w:sz w:val="20"/>
          <w:szCs w:val="20"/>
        </w:rPr>
        <w:t>LSKxP</w:t>
      </w:r>
      <w:r>
        <w:rPr>
          <w:rFonts w:ascii="Arial" w:hAnsi="Arial" w:cs="Arial"/>
          <w:sz w:val="20"/>
          <w:szCs w:val="20"/>
        </w:rPr>
        <w:t xml:space="preserve">, </w:t>
      </w:r>
      <w:r w:rsidRPr="00FA1F10">
        <w:rPr>
          <w:rFonts w:ascii="Arial" w:hAnsi="Arial" w:cs="Arial"/>
          <w:sz w:val="20"/>
          <w:szCs w:val="20"/>
        </w:rPr>
        <w:t>s indikatívnou výškou alokácie 15 000 000 EUR</w:t>
      </w:r>
      <w:r>
        <w:rPr>
          <w:rFonts w:ascii="Arial" w:hAnsi="Arial" w:cs="Arial"/>
          <w:sz w:val="20"/>
          <w:szCs w:val="20"/>
        </w:rPr>
        <w:t xml:space="preserve">, kód: </w:t>
      </w:r>
      <w:r w:rsidRPr="003A630B">
        <w:rPr>
          <w:rFonts w:ascii="Arial" w:hAnsi="Arial" w:cs="Arial"/>
          <w:sz w:val="20"/>
          <w:szCs w:val="20"/>
        </w:rPr>
        <w:t>OPŽP-PO4-11-4-LSKxP</w:t>
      </w:r>
      <w:r w:rsidRPr="00FA1F10">
        <w:rPr>
          <w:rFonts w:ascii="Arial" w:hAnsi="Arial" w:cs="Arial"/>
          <w:sz w:val="20"/>
          <w:szCs w:val="20"/>
        </w:rPr>
        <w:t xml:space="preserve">. </w:t>
      </w:r>
      <w:r>
        <w:rPr>
          <w:rFonts w:ascii="Arial" w:hAnsi="Arial" w:cs="Arial"/>
          <w:sz w:val="20"/>
          <w:szCs w:val="20"/>
        </w:rPr>
        <w:t>Výzva bol</w:t>
      </w:r>
      <w:r w:rsidRPr="003A630B">
        <w:rPr>
          <w:rFonts w:ascii="Arial" w:hAnsi="Arial" w:cs="Arial"/>
          <w:sz w:val="20"/>
          <w:szCs w:val="20"/>
        </w:rPr>
        <w:t xml:space="preserve">a uzatvorená  23. 03. 2012. </w:t>
      </w:r>
      <w:r w:rsidRPr="00FA1F10">
        <w:rPr>
          <w:rFonts w:ascii="Arial" w:hAnsi="Arial" w:cs="Arial"/>
          <w:sz w:val="20"/>
          <w:szCs w:val="20"/>
        </w:rPr>
        <w:t xml:space="preserve">V roku 2012 prebehlo vyhodnotenie výzvy, kde z celkového počtu 27 predložených žiadostí o NFP, 17 žiadostí o NFP nesplnilo podmienky kontroly formálnej správnosti (kritériá úplnosti) a následne 7 žiadostí o NFP nesplnilo podmienky odborného hodnotenia. </w:t>
      </w:r>
      <w:r w:rsidRPr="003A630B">
        <w:rPr>
          <w:rFonts w:ascii="Arial" w:hAnsi="Arial" w:cs="Arial"/>
          <w:sz w:val="20"/>
          <w:szCs w:val="20"/>
        </w:rPr>
        <w:t xml:space="preserve">Dňa 19. 11. 2012 zasadala výberová komisia pre výber projektov, ktoré splnili odborné kritériá. </w:t>
      </w:r>
      <w:r>
        <w:rPr>
          <w:rFonts w:ascii="Arial" w:hAnsi="Arial" w:cs="Arial"/>
          <w:sz w:val="20"/>
          <w:szCs w:val="20"/>
        </w:rPr>
        <w:t xml:space="preserve">Z podaných žiadostí o NFP boli schválené </w:t>
      </w:r>
      <w:r w:rsidRPr="00FA1F10">
        <w:rPr>
          <w:rFonts w:ascii="Arial" w:hAnsi="Arial" w:cs="Arial"/>
          <w:sz w:val="20"/>
          <w:szCs w:val="20"/>
        </w:rPr>
        <w:t>3 žiadosti o </w:t>
      </w:r>
      <w:r>
        <w:rPr>
          <w:rFonts w:ascii="Arial" w:hAnsi="Arial" w:cs="Arial"/>
          <w:sz w:val="20"/>
          <w:szCs w:val="20"/>
        </w:rPr>
        <w:t>NFP</w:t>
      </w:r>
      <w:r w:rsidRPr="00FA1F10">
        <w:rPr>
          <w:rFonts w:ascii="Arial" w:hAnsi="Arial" w:cs="Arial"/>
          <w:sz w:val="20"/>
          <w:szCs w:val="20"/>
        </w:rPr>
        <w:t xml:space="preserve">.   </w:t>
      </w:r>
    </w:p>
    <w:p w:rsidR="00881054" w:rsidRDefault="00881054" w:rsidP="00881054">
      <w:pPr>
        <w:spacing w:line="360" w:lineRule="auto"/>
        <w:jc w:val="both"/>
        <w:rPr>
          <w:rFonts w:ascii="Arial" w:hAnsi="Arial" w:cs="Arial"/>
          <w:sz w:val="20"/>
          <w:szCs w:val="20"/>
        </w:rPr>
      </w:pPr>
      <w:r>
        <w:rPr>
          <w:rFonts w:ascii="Arial" w:hAnsi="Arial" w:cs="Arial"/>
          <w:sz w:val="20"/>
          <w:szCs w:val="20"/>
        </w:rPr>
        <w:t xml:space="preserve">Pri kontrole formálnej správnosti v rámci výzvy boli zistené najmä nasledujúce nedostatky: </w:t>
      </w:r>
    </w:p>
    <w:p w:rsidR="00881054" w:rsidRPr="006D2BCC" w:rsidRDefault="00881054" w:rsidP="00881054">
      <w:pPr>
        <w:spacing w:line="360" w:lineRule="auto"/>
        <w:ind w:firstLine="360"/>
        <w:jc w:val="both"/>
        <w:rPr>
          <w:rFonts w:ascii="Arial" w:hAnsi="Arial" w:cs="Arial"/>
          <w:sz w:val="20"/>
          <w:szCs w:val="20"/>
        </w:rPr>
      </w:pPr>
      <w:r>
        <w:rPr>
          <w:rFonts w:ascii="Arial" w:hAnsi="Arial" w:cs="Arial"/>
          <w:sz w:val="20"/>
          <w:szCs w:val="20"/>
        </w:rPr>
        <w:t>- n</w:t>
      </w:r>
      <w:r w:rsidRPr="006D2BCC">
        <w:rPr>
          <w:rFonts w:ascii="Arial" w:hAnsi="Arial" w:cs="Arial"/>
          <w:sz w:val="20"/>
          <w:szCs w:val="20"/>
        </w:rPr>
        <w:t>edoloženie</w:t>
      </w:r>
      <w:r>
        <w:rPr>
          <w:rFonts w:ascii="Arial" w:hAnsi="Arial" w:cs="Arial"/>
          <w:sz w:val="20"/>
          <w:szCs w:val="20"/>
        </w:rPr>
        <w:t>:</w:t>
      </w:r>
      <w:r w:rsidRPr="006D2BCC">
        <w:rPr>
          <w:rFonts w:ascii="Arial" w:hAnsi="Arial" w:cs="Arial"/>
          <w:sz w:val="20"/>
          <w:szCs w:val="20"/>
        </w:rPr>
        <w:t xml:space="preserve"> </w:t>
      </w:r>
    </w:p>
    <w:p w:rsidR="00881054" w:rsidRPr="006D2BCC" w:rsidRDefault="00881054" w:rsidP="001540E7">
      <w:pPr>
        <w:pStyle w:val="Odsekzoznamu"/>
        <w:numPr>
          <w:ilvl w:val="0"/>
          <w:numId w:val="75"/>
        </w:numPr>
        <w:spacing w:after="0" w:line="360" w:lineRule="auto"/>
        <w:jc w:val="both"/>
        <w:rPr>
          <w:rFonts w:ascii="Arial" w:hAnsi="Arial" w:cs="Arial"/>
          <w:sz w:val="20"/>
          <w:szCs w:val="20"/>
        </w:rPr>
      </w:pPr>
      <w:r w:rsidRPr="006D2BCC">
        <w:rPr>
          <w:rFonts w:ascii="Arial" w:hAnsi="Arial" w:cs="Arial"/>
          <w:sz w:val="20"/>
          <w:szCs w:val="20"/>
        </w:rPr>
        <w:t>záverečného účtu obce,</w:t>
      </w:r>
    </w:p>
    <w:p w:rsidR="00881054" w:rsidRPr="006D2BCC" w:rsidRDefault="00881054" w:rsidP="001540E7">
      <w:pPr>
        <w:pStyle w:val="Odsekzoznamu"/>
        <w:numPr>
          <w:ilvl w:val="0"/>
          <w:numId w:val="75"/>
        </w:numPr>
        <w:spacing w:after="0" w:line="360" w:lineRule="auto"/>
        <w:jc w:val="both"/>
        <w:rPr>
          <w:rFonts w:ascii="Arial" w:hAnsi="Arial" w:cs="Arial"/>
          <w:sz w:val="20"/>
          <w:szCs w:val="20"/>
        </w:rPr>
      </w:pPr>
      <w:r w:rsidRPr="006D2BCC">
        <w:rPr>
          <w:rFonts w:ascii="Arial" w:hAnsi="Arial" w:cs="Arial"/>
          <w:sz w:val="20"/>
          <w:szCs w:val="20"/>
        </w:rPr>
        <w:t>po</w:t>
      </w:r>
      <w:r>
        <w:rPr>
          <w:rFonts w:ascii="Arial" w:hAnsi="Arial" w:cs="Arial"/>
          <w:sz w:val="20"/>
          <w:szCs w:val="20"/>
        </w:rPr>
        <w:t xml:space="preserve">tvrdenia komerčnej banky </w:t>
      </w:r>
      <w:r w:rsidRPr="006D2BCC">
        <w:rPr>
          <w:rFonts w:ascii="Arial" w:hAnsi="Arial" w:cs="Arial"/>
          <w:sz w:val="20"/>
          <w:szCs w:val="20"/>
        </w:rPr>
        <w:t>o disponibilnom zostatku na účte,</w:t>
      </w:r>
    </w:p>
    <w:p w:rsidR="00881054" w:rsidRPr="006D2BCC" w:rsidRDefault="00881054" w:rsidP="001540E7">
      <w:pPr>
        <w:pStyle w:val="Odsekzoznamu"/>
        <w:numPr>
          <w:ilvl w:val="0"/>
          <w:numId w:val="75"/>
        </w:numPr>
        <w:spacing w:after="0" w:line="360" w:lineRule="auto"/>
        <w:jc w:val="both"/>
        <w:rPr>
          <w:rFonts w:ascii="Arial" w:hAnsi="Arial" w:cs="Arial"/>
          <w:sz w:val="20"/>
          <w:szCs w:val="20"/>
        </w:rPr>
      </w:pPr>
      <w:r w:rsidRPr="006D2BCC">
        <w:rPr>
          <w:rFonts w:ascii="Arial" w:hAnsi="Arial" w:cs="Arial"/>
          <w:sz w:val="20"/>
          <w:szCs w:val="20"/>
        </w:rPr>
        <w:t>cenových ponúk ako podkladu pre stanovenie predpokladanej výšky oprávnených výdavkov,</w:t>
      </w:r>
    </w:p>
    <w:p w:rsidR="00881054" w:rsidRPr="006D2BCC" w:rsidRDefault="00881054" w:rsidP="001540E7">
      <w:pPr>
        <w:pStyle w:val="Odsekzoznamu"/>
        <w:numPr>
          <w:ilvl w:val="0"/>
          <w:numId w:val="75"/>
        </w:numPr>
        <w:spacing w:after="0" w:line="360" w:lineRule="auto"/>
        <w:jc w:val="both"/>
        <w:rPr>
          <w:rFonts w:ascii="Arial" w:hAnsi="Arial" w:cs="Arial"/>
          <w:sz w:val="20"/>
          <w:szCs w:val="20"/>
        </w:rPr>
      </w:pPr>
      <w:r w:rsidRPr="006D2BCC">
        <w:rPr>
          <w:rFonts w:ascii="Arial" w:hAnsi="Arial" w:cs="Arial"/>
          <w:sz w:val="20"/>
          <w:szCs w:val="20"/>
        </w:rPr>
        <w:t>kompletnej projektovej dokumentácie stavby overenej v stavebnom konaní,</w:t>
      </w:r>
    </w:p>
    <w:p w:rsidR="00881054" w:rsidRDefault="00881054" w:rsidP="001540E7">
      <w:pPr>
        <w:pStyle w:val="Odsekzoznamu"/>
        <w:numPr>
          <w:ilvl w:val="0"/>
          <w:numId w:val="75"/>
        </w:numPr>
        <w:spacing w:after="0" w:line="360" w:lineRule="auto"/>
        <w:jc w:val="both"/>
        <w:rPr>
          <w:rFonts w:ascii="Arial" w:hAnsi="Arial" w:cs="Arial"/>
          <w:sz w:val="20"/>
          <w:szCs w:val="20"/>
        </w:rPr>
      </w:pPr>
      <w:r>
        <w:rPr>
          <w:rFonts w:ascii="Arial" w:hAnsi="Arial" w:cs="Arial"/>
          <w:sz w:val="20"/>
          <w:szCs w:val="20"/>
        </w:rPr>
        <w:t>finančnej analýzy,</w:t>
      </w:r>
    </w:p>
    <w:p w:rsidR="00881054" w:rsidRPr="000F4BE5" w:rsidRDefault="00881054" w:rsidP="00881054">
      <w:pPr>
        <w:spacing w:line="360" w:lineRule="auto"/>
        <w:ind w:firstLine="360"/>
        <w:jc w:val="both"/>
        <w:rPr>
          <w:rFonts w:ascii="Arial" w:hAnsi="Arial" w:cs="Arial"/>
          <w:sz w:val="20"/>
          <w:szCs w:val="20"/>
        </w:rPr>
      </w:pPr>
      <w:r>
        <w:rPr>
          <w:rFonts w:ascii="Arial" w:hAnsi="Arial" w:cs="Arial"/>
          <w:sz w:val="20"/>
          <w:szCs w:val="20"/>
        </w:rPr>
        <w:t xml:space="preserve">- </w:t>
      </w:r>
      <w:r w:rsidRPr="000F4BE5">
        <w:rPr>
          <w:rFonts w:ascii="Arial" w:hAnsi="Arial" w:cs="Arial"/>
          <w:sz w:val="20"/>
          <w:szCs w:val="20"/>
        </w:rPr>
        <w:t xml:space="preserve">neuvedenie merateľných ukazovateľov výsledku pre HP MRK, </w:t>
      </w:r>
    </w:p>
    <w:p w:rsidR="00881054" w:rsidRPr="000F4BE5" w:rsidRDefault="00881054" w:rsidP="00881054">
      <w:pPr>
        <w:spacing w:line="360" w:lineRule="auto"/>
        <w:ind w:firstLine="360"/>
        <w:jc w:val="both"/>
        <w:rPr>
          <w:rFonts w:ascii="Arial" w:hAnsi="Arial" w:cs="Arial"/>
          <w:sz w:val="20"/>
          <w:szCs w:val="20"/>
        </w:rPr>
      </w:pPr>
      <w:r>
        <w:rPr>
          <w:rFonts w:ascii="Arial" w:hAnsi="Arial" w:cs="Arial"/>
          <w:sz w:val="20"/>
          <w:szCs w:val="20"/>
        </w:rPr>
        <w:t xml:space="preserve">- </w:t>
      </w:r>
      <w:r w:rsidRPr="000F4BE5">
        <w:rPr>
          <w:rFonts w:ascii="Arial" w:hAnsi="Arial" w:cs="Arial"/>
          <w:sz w:val="20"/>
          <w:szCs w:val="20"/>
        </w:rPr>
        <w:t xml:space="preserve">nevyplnenie Testu štátnej pomoci, </w:t>
      </w:r>
    </w:p>
    <w:p w:rsidR="00881054" w:rsidRPr="000F4BE5" w:rsidRDefault="00881054" w:rsidP="00881054">
      <w:pPr>
        <w:spacing w:line="360" w:lineRule="auto"/>
        <w:ind w:left="360"/>
        <w:jc w:val="both"/>
        <w:rPr>
          <w:rFonts w:ascii="Arial" w:hAnsi="Arial" w:cs="Arial"/>
          <w:sz w:val="20"/>
          <w:szCs w:val="20"/>
        </w:rPr>
      </w:pPr>
      <w:r>
        <w:rPr>
          <w:rFonts w:ascii="Arial" w:hAnsi="Arial" w:cs="Arial"/>
          <w:sz w:val="20"/>
          <w:szCs w:val="20"/>
        </w:rPr>
        <w:t xml:space="preserve">- </w:t>
      </w:r>
      <w:r w:rsidRPr="000F4BE5">
        <w:rPr>
          <w:rFonts w:ascii="Arial" w:hAnsi="Arial" w:cs="Arial"/>
          <w:sz w:val="20"/>
          <w:szCs w:val="20"/>
        </w:rPr>
        <w:t xml:space="preserve">nepreukázanie dostatočných finančných prostriedkov na krytie oprávnených výdavkov vo výške spolufinancovania, </w:t>
      </w:r>
    </w:p>
    <w:p w:rsidR="00881054" w:rsidRDefault="00881054" w:rsidP="00881054">
      <w:pPr>
        <w:spacing w:line="360" w:lineRule="auto"/>
        <w:ind w:firstLine="360"/>
        <w:jc w:val="both"/>
        <w:rPr>
          <w:rFonts w:ascii="Arial" w:hAnsi="Arial" w:cs="Arial"/>
          <w:sz w:val="20"/>
          <w:szCs w:val="20"/>
        </w:rPr>
      </w:pPr>
      <w:r>
        <w:rPr>
          <w:rFonts w:ascii="Arial" w:hAnsi="Arial" w:cs="Arial"/>
          <w:sz w:val="20"/>
          <w:szCs w:val="20"/>
        </w:rPr>
        <w:t xml:space="preserve">- </w:t>
      </w:r>
      <w:r w:rsidRPr="000F4BE5">
        <w:rPr>
          <w:rFonts w:ascii="Arial" w:hAnsi="Arial" w:cs="Arial"/>
          <w:sz w:val="20"/>
          <w:szCs w:val="20"/>
        </w:rPr>
        <w:t>nevysporiadanie majetkovo–právnych vzťahov</w:t>
      </w:r>
      <w:r>
        <w:rPr>
          <w:rFonts w:ascii="Arial" w:hAnsi="Arial" w:cs="Arial"/>
          <w:sz w:val="20"/>
          <w:szCs w:val="20"/>
        </w:rPr>
        <w:t>.</w:t>
      </w:r>
    </w:p>
    <w:p w:rsidR="00881054" w:rsidRDefault="00881054" w:rsidP="00881054">
      <w:pPr>
        <w:spacing w:line="360" w:lineRule="auto"/>
        <w:jc w:val="both"/>
        <w:rPr>
          <w:rFonts w:ascii="Arial" w:hAnsi="Arial" w:cs="Arial"/>
          <w:sz w:val="20"/>
          <w:szCs w:val="20"/>
        </w:rPr>
      </w:pPr>
      <w:r>
        <w:rPr>
          <w:rFonts w:ascii="Arial" w:hAnsi="Arial" w:cs="Arial"/>
          <w:sz w:val="20"/>
          <w:szCs w:val="20"/>
        </w:rPr>
        <w:t xml:space="preserve">Pri odbornom hodnotenom </w:t>
      </w:r>
      <w:r w:rsidRPr="001C269A">
        <w:rPr>
          <w:rFonts w:ascii="Arial" w:hAnsi="Arial" w:cs="Arial"/>
          <w:sz w:val="20"/>
          <w:szCs w:val="20"/>
        </w:rPr>
        <w:t xml:space="preserve">v rámci výzvy </w:t>
      </w:r>
      <w:r w:rsidRPr="00A57F46">
        <w:rPr>
          <w:rFonts w:ascii="Arial" w:hAnsi="Arial" w:cs="Arial"/>
          <w:sz w:val="20"/>
          <w:szCs w:val="20"/>
        </w:rPr>
        <w:t xml:space="preserve">boli zistené </w:t>
      </w:r>
      <w:r>
        <w:rPr>
          <w:rFonts w:ascii="Arial" w:hAnsi="Arial" w:cs="Arial"/>
          <w:sz w:val="20"/>
          <w:szCs w:val="20"/>
        </w:rPr>
        <w:t xml:space="preserve">najčastejšie nedostatky </w:t>
      </w:r>
      <w:r w:rsidRPr="00A57F46">
        <w:rPr>
          <w:rFonts w:ascii="Arial" w:hAnsi="Arial" w:cs="Arial"/>
          <w:sz w:val="20"/>
          <w:szCs w:val="20"/>
        </w:rPr>
        <w:t>v nasledujúcich oblastiach</w:t>
      </w:r>
      <w:r>
        <w:rPr>
          <w:rFonts w:ascii="Arial" w:hAnsi="Arial" w:cs="Arial"/>
          <w:sz w:val="20"/>
          <w:szCs w:val="20"/>
        </w:rPr>
        <w:t>:</w:t>
      </w:r>
    </w:p>
    <w:p w:rsidR="00881054" w:rsidRPr="00A57F46" w:rsidRDefault="00881054" w:rsidP="001540E7">
      <w:pPr>
        <w:pStyle w:val="Odsekzoznamu"/>
        <w:numPr>
          <w:ilvl w:val="0"/>
          <w:numId w:val="76"/>
        </w:numPr>
        <w:spacing w:after="0" w:line="360" w:lineRule="auto"/>
        <w:jc w:val="both"/>
        <w:rPr>
          <w:rFonts w:ascii="Arial" w:hAnsi="Arial" w:cs="Arial"/>
          <w:sz w:val="20"/>
          <w:szCs w:val="20"/>
        </w:rPr>
      </w:pPr>
      <w:r>
        <w:rPr>
          <w:rFonts w:ascii="Arial" w:hAnsi="Arial" w:cs="Arial"/>
          <w:sz w:val="20"/>
          <w:szCs w:val="20"/>
        </w:rPr>
        <w:t>p</w:t>
      </w:r>
      <w:r w:rsidRPr="00A57F46">
        <w:rPr>
          <w:rFonts w:ascii="Arial" w:hAnsi="Arial" w:cs="Arial"/>
          <w:sz w:val="20"/>
          <w:szCs w:val="20"/>
        </w:rPr>
        <w:t>lnenie legislatívnych a koncepčných požiadaviek na úseku odpadového hospodárstva</w:t>
      </w:r>
      <w:r>
        <w:rPr>
          <w:rFonts w:ascii="Arial" w:hAnsi="Arial" w:cs="Arial"/>
          <w:sz w:val="20"/>
          <w:szCs w:val="20"/>
        </w:rPr>
        <w:t>,</w:t>
      </w:r>
    </w:p>
    <w:p w:rsidR="00881054" w:rsidRPr="00A57F46" w:rsidRDefault="00881054" w:rsidP="001540E7">
      <w:pPr>
        <w:pStyle w:val="Odsekzoznamu"/>
        <w:numPr>
          <w:ilvl w:val="0"/>
          <w:numId w:val="76"/>
        </w:numPr>
        <w:spacing w:after="0" w:line="360" w:lineRule="auto"/>
        <w:jc w:val="both"/>
        <w:rPr>
          <w:rFonts w:ascii="Arial" w:hAnsi="Arial" w:cs="Arial"/>
          <w:sz w:val="20"/>
          <w:szCs w:val="20"/>
        </w:rPr>
      </w:pPr>
      <w:r>
        <w:rPr>
          <w:rFonts w:ascii="Arial" w:hAnsi="Arial" w:cs="Arial"/>
          <w:sz w:val="20"/>
          <w:szCs w:val="20"/>
        </w:rPr>
        <w:t>p</w:t>
      </w:r>
      <w:r w:rsidRPr="00A57F46">
        <w:rPr>
          <w:rFonts w:ascii="Arial" w:hAnsi="Arial" w:cs="Arial"/>
          <w:sz w:val="20"/>
          <w:szCs w:val="20"/>
        </w:rPr>
        <w:t>rínos projektu k do</w:t>
      </w:r>
      <w:r>
        <w:rPr>
          <w:rFonts w:ascii="Arial" w:hAnsi="Arial" w:cs="Arial"/>
          <w:sz w:val="20"/>
          <w:szCs w:val="20"/>
        </w:rPr>
        <w:t>siahnutiu cieľov prioritnej osi,</w:t>
      </w:r>
    </w:p>
    <w:p w:rsidR="00881054" w:rsidRPr="00A57F46" w:rsidRDefault="00881054" w:rsidP="001540E7">
      <w:pPr>
        <w:pStyle w:val="Odsekzoznamu"/>
        <w:numPr>
          <w:ilvl w:val="0"/>
          <w:numId w:val="76"/>
        </w:numPr>
        <w:spacing w:after="0" w:line="360" w:lineRule="auto"/>
        <w:jc w:val="both"/>
        <w:rPr>
          <w:rFonts w:ascii="Arial" w:hAnsi="Arial" w:cs="Arial"/>
          <w:sz w:val="20"/>
          <w:szCs w:val="20"/>
        </w:rPr>
      </w:pPr>
      <w:r>
        <w:rPr>
          <w:rFonts w:ascii="Arial" w:hAnsi="Arial" w:cs="Arial"/>
          <w:sz w:val="20"/>
          <w:szCs w:val="20"/>
        </w:rPr>
        <w:t>p</w:t>
      </w:r>
      <w:r w:rsidRPr="00A57F46">
        <w:rPr>
          <w:rFonts w:ascii="Arial" w:hAnsi="Arial" w:cs="Arial"/>
          <w:sz w:val="20"/>
          <w:szCs w:val="20"/>
        </w:rPr>
        <w:t xml:space="preserve">reviazanosť navrhovaných aktivít s </w:t>
      </w:r>
      <w:r>
        <w:rPr>
          <w:rFonts w:ascii="Arial" w:hAnsi="Arial" w:cs="Arial"/>
          <w:sz w:val="20"/>
          <w:szCs w:val="20"/>
        </w:rPr>
        <w:t>cieľmi a očakávanými výsledkami,</w:t>
      </w:r>
      <w:r w:rsidRPr="00A57F46">
        <w:rPr>
          <w:rFonts w:ascii="Arial" w:hAnsi="Arial" w:cs="Arial"/>
          <w:sz w:val="20"/>
          <w:szCs w:val="20"/>
        </w:rPr>
        <w:t xml:space="preserve"> </w:t>
      </w:r>
    </w:p>
    <w:p w:rsidR="00881054" w:rsidRPr="00A57F46" w:rsidRDefault="00881054" w:rsidP="001540E7">
      <w:pPr>
        <w:pStyle w:val="Odsekzoznamu"/>
        <w:numPr>
          <w:ilvl w:val="0"/>
          <w:numId w:val="76"/>
        </w:numPr>
        <w:spacing w:after="0" w:line="360" w:lineRule="auto"/>
        <w:jc w:val="both"/>
        <w:rPr>
          <w:rFonts w:ascii="Arial" w:hAnsi="Arial" w:cs="Arial"/>
          <w:sz w:val="20"/>
          <w:szCs w:val="20"/>
        </w:rPr>
      </w:pPr>
      <w:r>
        <w:rPr>
          <w:rFonts w:ascii="Arial" w:hAnsi="Arial" w:cs="Arial"/>
          <w:sz w:val="20"/>
          <w:szCs w:val="20"/>
        </w:rPr>
        <w:t>z</w:t>
      </w:r>
      <w:r w:rsidRPr="00A57F46">
        <w:rPr>
          <w:rFonts w:ascii="Arial" w:hAnsi="Arial" w:cs="Arial"/>
          <w:sz w:val="20"/>
          <w:szCs w:val="20"/>
        </w:rPr>
        <w:t xml:space="preserve">abezpečenie funkčnosti zariadenia </w:t>
      </w:r>
      <w:r>
        <w:rPr>
          <w:rFonts w:ascii="Arial" w:hAnsi="Arial" w:cs="Arial"/>
          <w:sz w:val="20"/>
          <w:szCs w:val="20"/>
        </w:rPr>
        <w:t>vo väzbe na existujúce kapacity,</w:t>
      </w:r>
    </w:p>
    <w:p w:rsidR="00881054" w:rsidRDefault="00881054" w:rsidP="001540E7">
      <w:pPr>
        <w:pStyle w:val="Odsekzoznamu"/>
        <w:numPr>
          <w:ilvl w:val="0"/>
          <w:numId w:val="76"/>
        </w:numPr>
        <w:spacing w:after="0" w:line="360" w:lineRule="auto"/>
        <w:jc w:val="both"/>
        <w:rPr>
          <w:rFonts w:ascii="Arial" w:hAnsi="Arial" w:cs="Arial"/>
          <w:sz w:val="20"/>
          <w:szCs w:val="20"/>
        </w:rPr>
      </w:pPr>
      <w:r>
        <w:rPr>
          <w:rFonts w:ascii="Arial" w:hAnsi="Arial" w:cs="Arial"/>
          <w:sz w:val="20"/>
          <w:szCs w:val="20"/>
        </w:rPr>
        <w:t>technické riešenie,</w:t>
      </w:r>
    </w:p>
    <w:p w:rsidR="00881054" w:rsidRDefault="00881054" w:rsidP="001540E7">
      <w:pPr>
        <w:pStyle w:val="Odsekzoznamu"/>
        <w:numPr>
          <w:ilvl w:val="0"/>
          <w:numId w:val="76"/>
        </w:numPr>
        <w:spacing w:after="0" w:line="360" w:lineRule="auto"/>
        <w:jc w:val="both"/>
        <w:rPr>
          <w:rFonts w:ascii="Arial" w:hAnsi="Arial" w:cs="Arial"/>
          <w:sz w:val="20"/>
          <w:szCs w:val="20"/>
        </w:rPr>
      </w:pPr>
      <w:r>
        <w:rPr>
          <w:rFonts w:ascii="Arial" w:hAnsi="Arial" w:cs="Arial"/>
          <w:sz w:val="20"/>
          <w:szCs w:val="20"/>
        </w:rPr>
        <w:t>r</w:t>
      </w:r>
      <w:r w:rsidRPr="00A57F46">
        <w:rPr>
          <w:rFonts w:ascii="Arial" w:hAnsi="Arial" w:cs="Arial"/>
          <w:sz w:val="20"/>
          <w:szCs w:val="20"/>
        </w:rPr>
        <w:t>eálnosť zhodnotenia vyseparovaných zložiek komunálnych odpadov</w:t>
      </w:r>
      <w:r>
        <w:rPr>
          <w:rFonts w:ascii="Arial" w:hAnsi="Arial" w:cs="Arial"/>
          <w:sz w:val="20"/>
          <w:szCs w:val="20"/>
        </w:rPr>
        <w:t>,</w:t>
      </w:r>
    </w:p>
    <w:p w:rsidR="00881054" w:rsidRDefault="00881054" w:rsidP="001540E7">
      <w:pPr>
        <w:pStyle w:val="Odsekzoznamu"/>
        <w:numPr>
          <w:ilvl w:val="0"/>
          <w:numId w:val="76"/>
        </w:numPr>
        <w:spacing w:after="0" w:line="360" w:lineRule="auto"/>
        <w:jc w:val="both"/>
        <w:rPr>
          <w:rFonts w:ascii="Arial" w:hAnsi="Arial" w:cs="Arial"/>
          <w:sz w:val="20"/>
          <w:szCs w:val="20"/>
        </w:rPr>
      </w:pPr>
      <w:r>
        <w:rPr>
          <w:rFonts w:ascii="Arial" w:hAnsi="Arial" w:cs="Arial"/>
          <w:sz w:val="20"/>
          <w:szCs w:val="20"/>
        </w:rPr>
        <w:t>r</w:t>
      </w:r>
      <w:r w:rsidRPr="00A57F46">
        <w:rPr>
          <w:rFonts w:ascii="Arial" w:hAnsi="Arial" w:cs="Arial"/>
          <w:sz w:val="20"/>
          <w:szCs w:val="20"/>
        </w:rPr>
        <w:t>eálnosť dosiahnut</w:t>
      </w:r>
      <w:r>
        <w:rPr>
          <w:rFonts w:ascii="Arial" w:hAnsi="Arial" w:cs="Arial"/>
          <w:sz w:val="20"/>
          <w:szCs w:val="20"/>
        </w:rPr>
        <w:t>ia cieľového stavu indikátorov,</w:t>
      </w:r>
    </w:p>
    <w:p w:rsidR="00881054" w:rsidRDefault="00881054" w:rsidP="001540E7">
      <w:pPr>
        <w:pStyle w:val="Odsekzoznamu"/>
        <w:numPr>
          <w:ilvl w:val="0"/>
          <w:numId w:val="76"/>
        </w:numPr>
        <w:spacing w:after="0" w:line="360" w:lineRule="auto"/>
        <w:jc w:val="both"/>
        <w:rPr>
          <w:rFonts w:ascii="Arial" w:hAnsi="Arial" w:cs="Arial"/>
          <w:sz w:val="20"/>
          <w:szCs w:val="20"/>
        </w:rPr>
      </w:pPr>
      <w:r>
        <w:rPr>
          <w:rFonts w:ascii="Arial" w:hAnsi="Arial" w:cs="Arial"/>
          <w:sz w:val="20"/>
          <w:szCs w:val="20"/>
        </w:rPr>
        <w:t>a</w:t>
      </w:r>
      <w:r w:rsidRPr="00A57F46">
        <w:rPr>
          <w:rFonts w:ascii="Arial" w:hAnsi="Arial" w:cs="Arial"/>
          <w:sz w:val="20"/>
          <w:szCs w:val="20"/>
        </w:rPr>
        <w:t>dministratívna, odborná</w:t>
      </w:r>
      <w:r>
        <w:rPr>
          <w:rFonts w:ascii="Arial" w:hAnsi="Arial" w:cs="Arial"/>
          <w:sz w:val="20"/>
          <w:szCs w:val="20"/>
        </w:rPr>
        <w:t xml:space="preserve"> a technická kapacita žiadateľa,</w:t>
      </w:r>
    </w:p>
    <w:p w:rsidR="00881054" w:rsidRDefault="00881054" w:rsidP="001540E7">
      <w:pPr>
        <w:pStyle w:val="Odsekzoznamu"/>
        <w:numPr>
          <w:ilvl w:val="0"/>
          <w:numId w:val="76"/>
        </w:numPr>
        <w:spacing w:after="0" w:line="360" w:lineRule="auto"/>
        <w:jc w:val="both"/>
        <w:rPr>
          <w:rFonts w:ascii="Arial" w:hAnsi="Arial" w:cs="Arial"/>
          <w:sz w:val="20"/>
          <w:szCs w:val="20"/>
        </w:rPr>
      </w:pPr>
      <w:r>
        <w:rPr>
          <w:rFonts w:ascii="Arial" w:hAnsi="Arial" w:cs="Arial"/>
          <w:sz w:val="20"/>
          <w:szCs w:val="20"/>
        </w:rPr>
        <w:t>e</w:t>
      </w:r>
      <w:r w:rsidRPr="00A57F46">
        <w:rPr>
          <w:rFonts w:ascii="Arial" w:hAnsi="Arial" w:cs="Arial"/>
          <w:sz w:val="20"/>
          <w:szCs w:val="20"/>
        </w:rPr>
        <w:t>fektívnosť vynalože</w:t>
      </w:r>
      <w:r>
        <w:rPr>
          <w:rFonts w:ascii="Arial" w:hAnsi="Arial" w:cs="Arial"/>
          <w:sz w:val="20"/>
          <w:szCs w:val="20"/>
        </w:rPr>
        <w:t>ných finančných prostriedkov,</w:t>
      </w:r>
    </w:p>
    <w:p w:rsidR="00881054" w:rsidRDefault="00881054" w:rsidP="001540E7">
      <w:pPr>
        <w:pStyle w:val="Odsekzoznamu"/>
        <w:numPr>
          <w:ilvl w:val="0"/>
          <w:numId w:val="76"/>
        </w:numPr>
        <w:spacing w:after="0" w:line="360" w:lineRule="auto"/>
        <w:jc w:val="both"/>
        <w:rPr>
          <w:rFonts w:ascii="Arial" w:hAnsi="Arial" w:cs="Arial"/>
          <w:sz w:val="20"/>
          <w:szCs w:val="20"/>
        </w:rPr>
      </w:pPr>
      <w:r>
        <w:rPr>
          <w:rFonts w:ascii="Arial" w:hAnsi="Arial" w:cs="Arial"/>
          <w:sz w:val="20"/>
          <w:szCs w:val="20"/>
        </w:rPr>
        <w:t>z</w:t>
      </w:r>
      <w:r w:rsidRPr="00A57F46">
        <w:rPr>
          <w:rFonts w:ascii="Arial" w:hAnsi="Arial" w:cs="Arial"/>
          <w:sz w:val="20"/>
          <w:szCs w:val="20"/>
        </w:rPr>
        <w:t>abezpečenie a preuká</w:t>
      </w:r>
      <w:r>
        <w:rPr>
          <w:rFonts w:ascii="Arial" w:hAnsi="Arial" w:cs="Arial"/>
          <w:sz w:val="20"/>
          <w:szCs w:val="20"/>
        </w:rPr>
        <w:t>zanie zdrojov spolufinancovania,</w:t>
      </w:r>
    </w:p>
    <w:p w:rsidR="00881054" w:rsidRPr="00A57F46" w:rsidRDefault="00881054" w:rsidP="001540E7">
      <w:pPr>
        <w:pStyle w:val="Odsekzoznamu"/>
        <w:numPr>
          <w:ilvl w:val="0"/>
          <w:numId w:val="76"/>
        </w:numPr>
        <w:spacing w:after="0" w:line="360" w:lineRule="auto"/>
        <w:jc w:val="both"/>
        <w:rPr>
          <w:rFonts w:ascii="Arial" w:hAnsi="Arial" w:cs="Arial"/>
          <w:sz w:val="20"/>
          <w:szCs w:val="20"/>
        </w:rPr>
      </w:pPr>
      <w:r>
        <w:rPr>
          <w:rFonts w:ascii="Arial" w:hAnsi="Arial" w:cs="Arial"/>
          <w:sz w:val="20"/>
          <w:szCs w:val="20"/>
        </w:rPr>
        <w:t>u</w:t>
      </w:r>
      <w:r w:rsidRPr="00A57F46">
        <w:rPr>
          <w:rFonts w:ascii="Arial" w:hAnsi="Arial" w:cs="Arial"/>
          <w:sz w:val="20"/>
          <w:szCs w:val="20"/>
        </w:rPr>
        <w:t>držateľnosť prevádzky.</w:t>
      </w:r>
    </w:p>
    <w:p w:rsidR="00881054" w:rsidRDefault="00881054" w:rsidP="00881054">
      <w:pPr>
        <w:spacing w:line="360" w:lineRule="auto"/>
        <w:jc w:val="both"/>
        <w:rPr>
          <w:rFonts w:ascii="Arial" w:hAnsi="Arial" w:cs="Arial"/>
          <w:sz w:val="20"/>
          <w:szCs w:val="20"/>
        </w:rPr>
      </w:pPr>
      <w:r w:rsidRPr="001C3A17">
        <w:rPr>
          <w:rFonts w:ascii="Arial" w:hAnsi="Arial" w:cs="Arial"/>
          <w:sz w:val="20"/>
          <w:szCs w:val="20"/>
        </w:rPr>
        <w:t xml:space="preserve">V rámci výzvy </w:t>
      </w:r>
      <w:r>
        <w:rPr>
          <w:rFonts w:ascii="Arial" w:hAnsi="Arial" w:cs="Arial"/>
          <w:sz w:val="20"/>
          <w:szCs w:val="20"/>
        </w:rPr>
        <w:t xml:space="preserve">teda </w:t>
      </w:r>
      <w:r w:rsidRPr="001C3A17">
        <w:rPr>
          <w:rFonts w:ascii="Arial" w:hAnsi="Arial" w:cs="Arial"/>
          <w:sz w:val="20"/>
          <w:szCs w:val="20"/>
        </w:rPr>
        <w:t xml:space="preserve">všeobecne možno konštatovať chybovosť žiadateľov pri vypĺňaní formuláru </w:t>
      </w:r>
      <w:r>
        <w:rPr>
          <w:rFonts w:ascii="Arial" w:hAnsi="Arial" w:cs="Arial"/>
          <w:sz w:val="20"/>
          <w:szCs w:val="20"/>
        </w:rPr>
        <w:t xml:space="preserve">žiadosti </w:t>
      </w:r>
      <w:r w:rsidRPr="001C3A17">
        <w:rPr>
          <w:rFonts w:ascii="Arial" w:hAnsi="Arial" w:cs="Arial"/>
          <w:sz w:val="20"/>
          <w:szCs w:val="20"/>
        </w:rPr>
        <w:t>o</w:t>
      </w:r>
      <w:r>
        <w:rPr>
          <w:rFonts w:ascii="Arial" w:hAnsi="Arial" w:cs="Arial"/>
          <w:sz w:val="20"/>
          <w:szCs w:val="20"/>
        </w:rPr>
        <w:t xml:space="preserve"> </w:t>
      </w:r>
      <w:r w:rsidRPr="001C3A17">
        <w:rPr>
          <w:rFonts w:ascii="Arial" w:hAnsi="Arial" w:cs="Arial"/>
          <w:sz w:val="20"/>
          <w:szCs w:val="20"/>
        </w:rPr>
        <w:t>NFP a nedodržanie stanovených po</w:t>
      </w:r>
      <w:r>
        <w:rPr>
          <w:rFonts w:ascii="Arial" w:hAnsi="Arial" w:cs="Arial"/>
          <w:sz w:val="20"/>
          <w:szCs w:val="20"/>
        </w:rPr>
        <w:t xml:space="preserve">dmienok výzvy pri tvorbe celej žiadosti </w:t>
      </w:r>
      <w:r w:rsidRPr="001C3A17">
        <w:rPr>
          <w:rFonts w:ascii="Arial" w:hAnsi="Arial" w:cs="Arial"/>
          <w:sz w:val="20"/>
          <w:szCs w:val="20"/>
        </w:rPr>
        <w:t>o</w:t>
      </w:r>
      <w:r>
        <w:rPr>
          <w:rFonts w:ascii="Arial" w:hAnsi="Arial" w:cs="Arial"/>
          <w:sz w:val="20"/>
          <w:szCs w:val="20"/>
        </w:rPr>
        <w:t xml:space="preserve"> </w:t>
      </w:r>
      <w:r w:rsidRPr="001C3A17">
        <w:rPr>
          <w:rFonts w:ascii="Arial" w:hAnsi="Arial" w:cs="Arial"/>
          <w:sz w:val="20"/>
          <w:szCs w:val="20"/>
        </w:rPr>
        <w:t>NFP.</w:t>
      </w:r>
      <w:r w:rsidRPr="00927850">
        <w:t xml:space="preserve"> </w:t>
      </w:r>
      <w:r>
        <w:rPr>
          <w:rFonts w:ascii="Arial" w:hAnsi="Arial" w:cs="Arial"/>
          <w:sz w:val="20"/>
          <w:szCs w:val="20"/>
        </w:rPr>
        <w:t>Z</w:t>
      </w:r>
      <w:r w:rsidRPr="00927850">
        <w:rPr>
          <w:rFonts w:ascii="Arial" w:hAnsi="Arial" w:cs="Arial"/>
          <w:sz w:val="20"/>
          <w:szCs w:val="20"/>
        </w:rPr>
        <w:t xml:space="preserve">o strany žiadateľov o NFP </w:t>
      </w:r>
      <w:r>
        <w:rPr>
          <w:rFonts w:ascii="Arial" w:hAnsi="Arial" w:cs="Arial"/>
          <w:sz w:val="20"/>
          <w:szCs w:val="20"/>
        </w:rPr>
        <w:t>je potrebné</w:t>
      </w:r>
      <w:r w:rsidRPr="00927850">
        <w:rPr>
          <w:rFonts w:ascii="Arial" w:hAnsi="Arial" w:cs="Arial"/>
          <w:sz w:val="20"/>
          <w:szCs w:val="20"/>
        </w:rPr>
        <w:t xml:space="preserve"> výrazne zvýšiť kvalitu podávaných žiadosti. </w:t>
      </w:r>
    </w:p>
    <w:p w:rsidR="00DD1661" w:rsidRDefault="00DD1661" w:rsidP="00881054">
      <w:pPr>
        <w:spacing w:line="360" w:lineRule="auto"/>
        <w:jc w:val="both"/>
        <w:rPr>
          <w:rFonts w:ascii="Arial" w:hAnsi="Arial" w:cs="Arial"/>
          <w:sz w:val="20"/>
          <w:szCs w:val="20"/>
        </w:rPr>
      </w:pPr>
    </w:p>
    <w:p w:rsidR="00DD1661" w:rsidRDefault="00DD1661" w:rsidP="00881054">
      <w:pPr>
        <w:spacing w:line="360" w:lineRule="auto"/>
        <w:jc w:val="both"/>
        <w:rPr>
          <w:rFonts w:ascii="Arial" w:hAnsi="Arial" w:cs="Arial"/>
          <w:sz w:val="20"/>
          <w:szCs w:val="20"/>
        </w:rPr>
      </w:pPr>
      <w:r w:rsidRPr="00DD1661">
        <w:rPr>
          <w:rFonts w:ascii="Arial" w:hAnsi="Arial" w:cs="Arial"/>
          <w:sz w:val="20"/>
          <w:szCs w:val="20"/>
        </w:rPr>
        <w:t xml:space="preserve">V rámci priebežného hodnotenia HP MRK bolo v roku 2012 zrealizované </w:t>
      </w:r>
      <w:r w:rsidRPr="001540E7">
        <w:rPr>
          <w:rFonts w:ascii="Arial" w:hAnsi="Arial" w:cs="Arial"/>
          <w:i/>
          <w:sz w:val="20"/>
          <w:szCs w:val="20"/>
        </w:rPr>
        <w:t>Strategické hodnotenie horizontálnej priority Marginalizované rómske komunity</w:t>
      </w:r>
      <w:r w:rsidRPr="00DD1661">
        <w:rPr>
          <w:rFonts w:ascii="Arial" w:hAnsi="Arial" w:cs="Arial"/>
          <w:sz w:val="20"/>
          <w:szCs w:val="20"/>
        </w:rPr>
        <w:t>. V zmysle jeho záverov je stav čerpania v rámci LSKxP nepriaznivý. Vzhľadom na pokročilé obdobie realizácie intervencií podporujúcich HP MRK sa odporúčania ohľadom komplexných zmien systému finančnej implementácie projektov s relevanciou k LSKxP premietnu do budúceho programového obdobia.</w:t>
      </w:r>
    </w:p>
    <w:p w:rsidR="00DD1661" w:rsidRPr="00FA1F10" w:rsidRDefault="00DD1661" w:rsidP="00881054">
      <w:pPr>
        <w:spacing w:line="360" w:lineRule="auto"/>
        <w:jc w:val="both"/>
        <w:rPr>
          <w:rFonts w:ascii="Arial" w:hAnsi="Arial" w:cs="Arial"/>
          <w:sz w:val="20"/>
          <w:szCs w:val="20"/>
        </w:rPr>
      </w:pPr>
    </w:p>
    <w:p w:rsidR="00881054" w:rsidRPr="00FA1F10" w:rsidRDefault="00881054" w:rsidP="00881054">
      <w:pPr>
        <w:spacing w:line="360" w:lineRule="auto"/>
        <w:jc w:val="both"/>
        <w:rPr>
          <w:rFonts w:ascii="Arial" w:hAnsi="Arial" w:cs="Arial"/>
          <w:i/>
          <w:sz w:val="20"/>
          <w:szCs w:val="20"/>
        </w:rPr>
      </w:pPr>
      <w:r w:rsidRPr="00FA1F10">
        <w:rPr>
          <w:rFonts w:ascii="Arial" w:hAnsi="Arial" w:cs="Arial"/>
          <w:i/>
          <w:sz w:val="20"/>
          <w:szCs w:val="20"/>
        </w:rPr>
        <w:t>Ukazovatele OP ŽP relevantné k HP MRK - projektová úroveň:</w:t>
      </w:r>
    </w:p>
    <w:p w:rsidR="00881054" w:rsidRPr="00FA1F10" w:rsidRDefault="00881054" w:rsidP="00881054">
      <w:pPr>
        <w:spacing w:line="360" w:lineRule="auto"/>
        <w:jc w:val="both"/>
        <w:rPr>
          <w:rFonts w:ascii="Arial" w:hAnsi="Arial" w:cs="Arial"/>
          <w:sz w:val="20"/>
          <w:szCs w:val="20"/>
        </w:rPr>
      </w:pPr>
      <w:r w:rsidRPr="00FA1F10">
        <w:rPr>
          <w:rFonts w:ascii="Arial" w:hAnsi="Arial" w:cs="Arial"/>
          <w:sz w:val="20"/>
          <w:szCs w:val="20"/>
        </w:rPr>
        <w:t>Žiadatelia o nenávratný finančný príspevok majú pri deklarovanom príspevku projektu k HP MRK možnosť vyberať projektové ukazovatele výhradne v rámci nasledujúcich operačných cieľov OP ŽP:</w:t>
      </w:r>
    </w:p>
    <w:p w:rsidR="00881054" w:rsidRPr="00FA1F10" w:rsidRDefault="00881054" w:rsidP="00881054">
      <w:pPr>
        <w:spacing w:line="360" w:lineRule="auto"/>
        <w:jc w:val="both"/>
        <w:rPr>
          <w:rFonts w:ascii="Arial" w:hAnsi="Arial" w:cs="Arial"/>
          <w:sz w:val="20"/>
          <w:szCs w:val="20"/>
        </w:rPr>
      </w:pPr>
      <w:r w:rsidRPr="00FA1F10">
        <w:rPr>
          <w:rFonts w:ascii="Arial" w:hAnsi="Arial" w:cs="Arial"/>
          <w:sz w:val="20"/>
          <w:szCs w:val="20"/>
        </w:rPr>
        <w:t>- 1.1 Zásobovanie obyvateľstva pitnou vodou z verejných vodovodov</w:t>
      </w:r>
    </w:p>
    <w:p w:rsidR="00881054" w:rsidRPr="00FA1F10" w:rsidRDefault="00881054" w:rsidP="00881054">
      <w:pPr>
        <w:spacing w:line="360" w:lineRule="auto"/>
        <w:jc w:val="both"/>
        <w:rPr>
          <w:rFonts w:ascii="Arial" w:hAnsi="Arial" w:cs="Arial"/>
          <w:sz w:val="20"/>
          <w:szCs w:val="20"/>
        </w:rPr>
      </w:pPr>
      <w:r w:rsidRPr="00FA1F10">
        <w:rPr>
          <w:rFonts w:ascii="Arial" w:hAnsi="Arial" w:cs="Arial"/>
          <w:sz w:val="20"/>
          <w:szCs w:val="20"/>
        </w:rPr>
        <w:t>- 1.2 Odvádzanie a čistenie komunálnych odpadových vôd v zmysle záväzkov SR voči EÚ</w:t>
      </w:r>
    </w:p>
    <w:p w:rsidR="00881054" w:rsidRPr="00FA1F10" w:rsidRDefault="00881054" w:rsidP="00881054">
      <w:pPr>
        <w:spacing w:line="360" w:lineRule="auto"/>
        <w:jc w:val="both"/>
        <w:rPr>
          <w:rFonts w:ascii="Arial" w:hAnsi="Arial" w:cs="Arial"/>
          <w:sz w:val="20"/>
          <w:szCs w:val="20"/>
        </w:rPr>
      </w:pPr>
      <w:r w:rsidRPr="00FA1F10">
        <w:rPr>
          <w:rFonts w:ascii="Arial" w:hAnsi="Arial" w:cs="Arial"/>
          <w:sz w:val="20"/>
          <w:szCs w:val="20"/>
        </w:rPr>
        <w:t>- 4.1 Podpora aktivít v oblasti separovaného zberu</w:t>
      </w:r>
    </w:p>
    <w:p w:rsidR="00881054" w:rsidRPr="00FA1F10" w:rsidRDefault="00881054" w:rsidP="00881054">
      <w:pPr>
        <w:spacing w:line="360" w:lineRule="auto"/>
        <w:jc w:val="both"/>
        <w:rPr>
          <w:rFonts w:ascii="Arial" w:hAnsi="Arial" w:cs="Arial"/>
          <w:sz w:val="20"/>
          <w:szCs w:val="20"/>
        </w:rPr>
      </w:pPr>
      <w:r w:rsidRPr="00FA1F10">
        <w:rPr>
          <w:rFonts w:ascii="Arial" w:hAnsi="Arial" w:cs="Arial"/>
          <w:sz w:val="20"/>
          <w:szCs w:val="20"/>
        </w:rPr>
        <w:t>- 4.2 Podpora aktivít na zhodnocovanie odpadov</w:t>
      </w:r>
    </w:p>
    <w:p w:rsidR="00881054" w:rsidRPr="00FA1F10" w:rsidRDefault="00881054" w:rsidP="00881054">
      <w:pPr>
        <w:spacing w:line="360" w:lineRule="auto"/>
        <w:jc w:val="both"/>
        <w:rPr>
          <w:rFonts w:ascii="Arial" w:hAnsi="Arial" w:cs="Arial"/>
          <w:sz w:val="20"/>
          <w:szCs w:val="20"/>
        </w:rPr>
      </w:pPr>
      <w:r w:rsidRPr="00FA1F10">
        <w:rPr>
          <w:rFonts w:ascii="Arial" w:hAnsi="Arial" w:cs="Arial"/>
          <w:sz w:val="20"/>
          <w:szCs w:val="20"/>
        </w:rPr>
        <w:t>Ukazovateľ - výsledok:</w:t>
      </w:r>
    </w:p>
    <w:p w:rsidR="00881054" w:rsidRPr="00FA1F10" w:rsidRDefault="00881054" w:rsidP="00881054">
      <w:pPr>
        <w:spacing w:line="360" w:lineRule="auto"/>
        <w:jc w:val="both"/>
        <w:rPr>
          <w:rFonts w:ascii="Arial" w:hAnsi="Arial" w:cs="Arial"/>
          <w:sz w:val="20"/>
          <w:szCs w:val="20"/>
        </w:rPr>
      </w:pPr>
      <w:r w:rsidRPr="00FA1F10">
        <w:rPr>
          <w:rFonts w:ascii="Arial" w:hAnsi="Arial" w:cs="Arial"/>
          <w:sz w:val="20"/>
          <w:szCs w:val="20"/>
        </w:rPr>
        <w:t xml:space="preserve">Počet príslušníkov marginalizovaných rómskych komunít užívajúcich výstupy projektu [počet] </w:t>
      </w:r>
    </w:p>
    <w:p w:rsidR="00881054" w:rsidRPr="00FA1F10" w:rsidRDefault="00881054" w:rsidP="00881054">
      <w:pPr>
        <w:spacing w:line="360" w:lineRule="auto"/>
        <w:jc w:val="both"/>
        <w:rPr>
          <w:rFonts w:ascii="Arial" w:hAnsi="Arial" w:cs="Arial"/>
          <w:sz w:val="20"/>
          <w:szCs w:val="20"/>
        </w:rPr>
      </w:pPr>
      <w:r w:rsidRPr="00FA1F10">
        <w:rPr>
          <w:rFonts w:ascii="Arial" w:hAnsi="Arial" w:cs="Arial"/>
          <w:sz w:val="20"/>
          <w:szCs w:val="20"/>
        </w:rPr>
        <w:t>Uvedený ukazovateľ výsledku je možné vybrať iba v rámci nasledujúcich operačných cieľov:</w:t>
      </w:r>
    </w:p>
    <w:p w:rsidR="00881054" w:rsidRPr="00FA1F10" w:rsidRDefault="00881054" w:rsidP="00881054">
      <w:pPr>
        <w:spacing w:line="360" w:lineRule="auto"/>
        <w:jc w:val="both"/>
        <w:rPr>
          <w:rFonts w:ascii="Arial" w:hAnsi="Arial" w:cs="Arial"/>
          <w:sz w:val="20"/>
          <w:szCs w:val="20"/>
        </w:rPr>
      </w:pPr>
      <w:r w:rsidRPr="00FA1F10">
        <w:rPr>
          <w:rFonts w:ascii="Arial" w:hAnsi="Arial" w:cs="Arial"/>
          <w:sz w:val="20"/>
          <w:szCs w:val="20"/>
        </w:rPr>
        <w:tab/>
        <w:t>1.1 Zásobovanie obyvateľstva pitnou vodou z verejných vodovodov</w:t>
      </w:r>
    </w:p>
    <w:p w:rsidR="00881054" w:rsidRPr="00FA1F10" w:rsidRDefault="00881054" w:rsidP="00881054">
      <w:pPr>
        <w:spacing w:line="360" w:lineRule="auto"/>
        <w:jc w:val="both"/>
        <w:rPr>
          <w:rFonts w:ascii="Arial" w:hAnsi="Arial" w:cs="Arial"/>
          <w:sz w:val="20"/>
          <w:szCs w:val="20"/>
        </w:rPr>
      </w:pPr>
      <w:r w:rsidRPr="00FA1F10">
        <w:rPr>
          <w:rFonts w:ascii="Arial" w:hAnsi="Arial" w:cs="Arial"/>
          <w:sz w:val="20"/>
          <w:szCs w:val="20"/>
        </w:rPr>
        <w:tab/>
        <w:t>1.2 Odvádzanie a čistenie komunálnych odpadových vôd v zmysle záväzkov SR voči EÚ</w:t>
      </w:r>
    </w:p>
    <w:p w:rsidR="00881054" w:rsidRPr="00FA1F10" w:rsidRDefault="00881054" w:rsidP="00881054">
      <w:pPr>
        <w:spacing w:line="360" w:lineRule="auto"/>
        <w:jc w:val="both"/>
        <w:rPr>
          <w:rFonts w:ascii="Arial" w:hAnsi="Arial" w:cs="Arial"/>
          <w:sz w:val="20"/>
          <w:szCs w:val="20"/>
        </w:rPr>
      </w:pPr>
      <w:r w:rsidRPr="00FA1F10">
        <w:rPr>
          <w:rFonts w:ascii="Arial" w:hAnsi="Arial" w:cs="Arial"/>
          <w:sz w:val="20"/>
          <w:szCs w:val="20"/>
        </w:rPr>
        <w:tab/>
        <w:t>4.1 Podpora aktivít v oblasti separovaného zberu</w:t>
      </w:r>
    </w:p>
    <w:p w:rsidR="00881054" w:rsidRPr="00FA1F10" w:rsidRDefault="00881054" w:rsidP="00881054">
      <w:pPr>
        <w:spacing w:line="360" w:lineRule="auto"/>
        <w:jc w:val="both"/>
        <w:rPr>
          <w:rFonts w:ascii="Arial" w:hAnsi="Arial" w:cs="Arial"/>
          <w:sz w:val="20"/>
          <w:szCs w:val="20"/>
        </w:rPr>
      </w:pPr>
      <w:r w:rsidRPr="00FA1F10">
        <w:rPr>
          <w:rFonts w:ascii="Arial" w:hAnsi="Arial" w:cs="Arial"/>
          <w:sz w:val="20"/>
          <w:szCs w:val="20"/>
        </w:rPr>
        <w:tab/>
        <w:t xml:space="preserve">4.2 Podpora aktivít na zhodnocovanie odpadov </w:t>
      </w:r>
    </w:p>
    <w:p w:rsidR="00881054" w:rsidRPr="00FA1F10" w:rsidRDefault="00881054" w:rsidP="00881054">
      <w:pPr>
        <w:spacing w:line="360" w:lineRule="auto"/>
        <w:jc w:val="both"/>
        <w:rPr>
          <w:rFonts w:ascii="Arial" w:hAnsi="Arial" w:cs="Arial"/>
          <w:sz w:val="20"/>
          <w:szCs w:val="20"/>
        </w:rPr>
      </w:pPr>
      <w:r w:rsidRPr="00FA1F10">
        <w:rPr>
          <w:rFonts w:ascii="Arial" w:hAnsi="Arial" w:cs="Arial"/>
          <w:sz w:val="20"/>
          <w:szCs w:val="20"/>
        </w:rPr>
        <w:t>Ukazovateľ – dopad/výsledok:</w:t>
      </w:r>
    </w:p>
    <w:p w:rsidR="00881054" w:rsidRPr="00FA1F10" w:rsidRDefault="00881054" w:rsidP="00881054">
      <w:pPr>
        <w:spacing w:line="360" w:lineRule="auto"/>
        <w:jc w:val="both"/>
        <w:rPr>
          <w:rFonts w:ascii="Arial" w:hAnsi="Arial" w:cs="Arial"/>
          <w:sz w:val="20"/>
          <w:szCs w:val="20"/>
        </w:rPr>
      </w:pPr>
      <w:r w:rsidRPr="00FA1F10">
        <w:rPr>
          <w:rFonts w:ascii="Arial" w:hAnsi="Arial" w:cs="Arial"/>
          <w:sz w:val="20"/>
          <w:szCs w:val="20"/>
        </w:rPr>
        <w:t xml:space="preserve">Počet vytvorených pracovných miest cielene pre marginalizované rómske komunity [počet] </w:t>
      </w:r>
    </w:p>
    <w:p w:rsidR="00881054" w:rsidRPr="00FA1F10" w:rsidRDefault="00881054" w:rsidP="00881054">
      <w:pPr>
        <w:spacing w:line="360" w:lineRule="auto"/>
        <w:jc w:val="both"/>
        <w:rPr>
          <w:rFonts w:ascii="Arial" w:hAnsi="Arial" w:cs="Arial"/>
          <w:sz w:val="20"/>
          <w:szCs w:val="20"/>
        </w:rPr>
      </w:pPr>
      <w:r w:rsidRPr="00FA1F10">
        <w:rPr>
          <w:rFonts w:ascii="Arial" w:hAnsi="Arial" w:cs="Arial"/>
          <w:sz w:val="20"/>
          <w:szCs w:val="20"/>
        </w:rPr>
        <w:t>Uvedený ukazovateľ dopadu je možné vybrať iba v rámci nasledujúcich operačných cieľov:</w:t>
      </w:r>
    </w:p>
    <w:p w:rsidR="00881054" w:rsidRPr="00FA1F10" w:rsidRDefault="00881054" w:rsidP="00881054">
      <w:pPr>
        <w:spacing w:line="360" w:lineRule="auto"/>
        <w:jc w:val="both"/>
        <w:rPr>
          <w:rFonts w:ascii="Arial" w:hAnsi="Arial" w:cs="Arial"/>
          <w:sz w:val="20"/>
          <w:szCs w:val="20"/>
        </w:rPr>
      </w:pPr>
      <w:r w:rsidRPr="00FA1F10">
        <w:rPr>
          <w:rFonts w:ascii="Arial" w:hAnsi="Arial" w:cs="Arial"/>
          <w:sz w:val="20"/>
          <w:szCs w:val="20"/>
        </w:rPr>
        <w:tab/>
        <w:t>4.1 Podpora aktivít v oblasti separovaného zberu</w:t>
      </w:r>
    </w:p>
    <w:p w:rsidR="00881054" w:rsidRPr="00FA1F10" w:rsidRDefault="00881054" w:rsidP="00881054">
      <w:pPr>
        <w:spacing w:line="360" w:lineRule="auto"/>
        <w:jc w:val="both"/>
        <w:rPr>
          <w:rFonts w:ascii="Arial" w:hAnsi="Arial" w:cs="Arial"/>
          <w:sz w:val="20"/>
          <w:szCs w:val="20"/>
        </w:rPr>
      </w:pPr>
      <w:r w:rsidRPr="00FA1F10">
        <w:rPr>
          <w:rFonts w:ascii="Arial" w:hAnsi="Arial" w:cs="Arial"/>
          <w:sz w:val="20"/>
          <w:szCs w:val="20"/>
        </w:rPr>
        <w:tab/>
        <w:t>4.2 Podpora aktivít na zhodnocovanie odpadov</w:t>
      </w:r>
    </w:p>
    <w:p w:rsidR="00881054" w:rsidRDefault="00881054" w:rsidP="00881054">
      <w:pPr>
        <w:spacing w:line="360" w:lineRule="auto"/>
        <w:jc w:val="both"/>
        <w:rPr>
          <w:rFonts w:ascii="Arial" w:hAnsi="Arial" w:cs="Arial"/>
          <w:sz w:val="20"/>
          <w:szCs w:val="20"/>
        </w:rPr>
      </w:pPr>
      <w:r w:rsidRPr="00FA1F10">
        <w:rPr>
          <w:rFonts w:ascii="Arial" w:hAnsi="Arial" w:cs="Arial"/>
          <w:sz w:val="20"/>
          <w:szCs w:val="20"/>
        </w:rPr>
        <w:t xml:space="preserve">Projektový ukazovateľ typu dopad je možné priraďovať k dopytovo-orientovaným projektom. </w:t>
      </w:r>
      <w:r>
        <w:rPr>
          <w:rFonts w:ascii="Arial" w:hAnsi="Arial" w:cs="Arial"/>
          <w:sz w:val="20"/>
          <w:szCs w:val="20"/>
        </w:rPr>
        <w:t xml:space="preserve">                       </w:t>
      </w:r>
      <w:r w:rsidRPr="00FA1F10">
        <w:rPr>
          <w:rFonts w:ascii="Arial" w:hAnsi="Arial" w:cs="Arial"/>
          <w:sz w:val="20"/>
          <w:szCs w:val="20"/>
        </w:rPr>
        <w:t xml:space="preserve">K projektom zo schválených Lokálnych stratégií komplexného prístupu sa priraďuje projektový ukazovateľ typu výsledok. </w:t>
      </w:r>
    </w:p>
    <w:p w:rsidR="00881054" w:rsidRDefault="00881054" w:rsidP="00881054">
      <w:pPr>
        <w:spacing w:line="360" w:lineRule="auto"/>
        <w:jc w:val="both"/>
        <w:rPr>
          <w:rFonts w:ascii="Arial" w:hAnsi="Arial" w:cs="Arial"/>
          <w:sz w:val="20"/>
          <w:szCs w:val="20"/>
        </w:rPr>
      </w:pPr>
      <w:r w:rsidRPr="00FA1F10">
        <w:rPr>
          <w:rFonts w:ascii="Arial" w:hAnsi="Arial" w:cs="Arial"/>
          <w:sz w:val="20"/>
          <w:szCs w:val="20"/>
        </w:rPr>
        <w:t>V predchádzajúcom období implementácie OP ŽP boli v rámci OP ŽP zazmluvnené projekty deklarujúce príspevok k napĺňaniu cieľov HP MRK s využitím súboru vtedy platných merateľných ukazovateľov. Hoci sa žiadatelia pri týchto projektoch zmluvne zaviazali k plneniu príspevku k HP MRK prostredníctvom vtedy platného súboru ukazovateľov, tieto projekty nie sú zohľadnené vo výsledných počtoch zazmluvnených projektov s príspevkom k HP MRK.</w:t>
      </w:r>
    </w:p>
    <w:p w:rsidR="00881054" w:rsidRDefault="00881054" w:rsidP="00881054">
      <w:pPr>
        <w:spacing w:before="120" w:line="360" w:lineRule="auto"/>
        <w:jc w:val="both"/>
        <w:rPr>
          <w:rFonts w:ascii="Arial" w:hAnsi="Arial" w:cs="Arial"/>
          <w:sz w:val="20"/>
          <w:szCs w:val="20"/>
        </w:rPr>
      </w:pPr>
    </w:p>
    <w:p w:rsidR="00881054" w:rsidRPr="004B33AE" w:rsidRDefault="00881054" w:rsidP="00881054">
      <w:pPr>
        <w:spacing w:before="120" w:line="360" w:lineRule="auto"/>
        <w:jc w:val="both"/>
        <w:rPr>
          <w:rFonts w:ascii="Arial" w:hAnsi="Arial" w:cs="Arial"/>
          <w:sz w:val="20"/>
          <w:szCs w:val="20"/>
        </w:rPr>
      </w:pPr>
      <w:r w:rsidRPr="004B33AE">
        <w:rPr>
          <w:rFonts w:ascii="Arial" w:hAnsi="Arial" w:cs="Arial"/>
          <w:sz w:val="20"/>
          <w:szCs w:val="20"/>
        </w:rPr>
        <w:t xml:space="preserve">Tab. č. </w:t>
      </w:r>
      <w:r>
        <w:rPr>
          <w:rFonts w:ascii="Arial" w:hAnsi="Arial" w:cs="Arial"/>
          <w:sz w:val="20"/>
          <w:szCs w:val="20"/>
        </w:rPr>
        <w:t>70</w:t>
      </w:r>
      <w:r w:rsidRPr="004B33AE">
        <w:rPr>
          <w:rFonts w:ascii="Arial" w:hAnsi="Arial" w:cs="Arial"/>
          <w:sz w:val="20"/>
          <w:szCs w:val="20"/>
        </w:rPr>
        <w:t xml:space="preserve">: </w:t>
      </w:r>
      <w:r w:rsidRPr="006A2BF3">
        <w:rPr>
          <w:rFonts w:ascii="Arial" w:hAnsi="Arial" w:cs="Arial"/>
          <w:sz w:val="20"/>
          <w:szCs w:val="20"/>
        </w:rPr>
        <w:t xml:space="preserve">Plnenie fyzických ukazovateľov </w:t>
      </w:r>
      <w:r>
        <w:rPr>
          <w:rFonts w:ascii="Arial" w:hAnsi="Arial" w:cs="Arial"/>
          <w:sz w:val="20"/>
          <w:szCs w:val="20"/>
        </w:rPr>
        <w:t xml:space="preserve">HP MRK </w:t>
      </w:r>
      <w:r w:rsidRPr="006A2BF3">
        <w:rPr>
          <w:rFonts w:ascii="Arial" w:hAnsi="Arial" w:cs="Arial"/>
          <w:sz w:val="20"/>
          <w:szCs w:val="20"/>
        </w:rPr>
        <w:t xml:space="preserve">na úrovni </w:t>
      </w:r>
      <w:r>
        <w:rPr>
          <w:rFonts w:ascii="Arial" w:hAnsi="Arial" w:cs="Arial"/>
          <w:sz w:val="20"/>
          <w:szCs w:val="20"/>
        </w:rPr>
        <w:t xml:space="preserve">prioritných osí </w:t>
      </w:r>
      <w:r w:rsidRPr="006A2BF3">
        <w:rPr>
          <w:rFonts w:ascii="Arial" w:hAnsi="Arial" w:cs="Arial"/>
          <w:sz w:val="20"/>
          <w:szCs w:val="20"/>
        </w:rPr>
        <w:t>k 31.12.201</w:t>
      </w:r>
      <w:r>
        <w:rPr>
          <w:rFonts w:ascii="Arial" w:hAnsi="Arial" w:cs="Arial"/>
          <w:sz w:val="20"/>
          <w:szCs w:val="20"/>
        </w:rPr>
        <w:t>2 – PO1, PO4</w:t>
      </w:r>
    </w:p>
    <w:tbl>
      <w:tblPr>
        <w:tblW w:w="0" w:type="auto"/>
        <w:tblInd w:w="55" w:type="dxa"/>
        <w:tblCellMar>
          <w:left w:w="70" w:type="dxa"/>
          <w:right w:w="70" w:type="dxa"/>
        </w:tblCellMar>
        <w:tblLook w:val="04A0" w:firstRow="1" w:lastRow="0" w:firstColumn="1" w:lastColumn="0" w:noHBand="0" w:noVBand="1"/>
      </w:tblPr>
      <w:tblGrid>
        <w:gridCol w:w="1051"/>
        <w:gridCol w:w="1544"/>
        <w:gridCol w:w="480"/>
        <w:gridCol w:w="480"/>
        <w:gridCol w:w="480"/>
        <w:gridCol w:w="480"/>
        <w:gridCol w:w="480"/>
        <w:gridCol w:w="480"/>
        <w:gridCol w:w="480"/>
        <w:gridCol w:w="480"/>
        <w:gridCol w:w="906"/>
        <w:gridCol w:w="906"/>
        <w:gridCol w:w="908"/>
      </w:tblGrid>
      <w:tr w:rsidR="00881054" w:rsidRPr="006A2BF3" w:rsidTr="002D57B5">
        <w:trPr>
          <w:trHeight w:val="426"/>
        </w:trPr>
        <w:tc>
          <w:tcPr>
            <w:tcW w:w="0" w:type="auto"/>
            <w:gridSpan w:val="2"/>
            <w:tcBorders>
              <w:top w:val="single" w:sz="4" w:space="0" w:color="auto"/>
              <w:left w:val="single" w:sz="4" w:space="0" w:color="auto"/>
              <w:bottom w:val="nil"/>
              <w:right w:val="single" w:sz="4" w:space="0" w:color="000000"/>
            </w:tcBorders>
            <w:shd w:val="clear" w:color="000000" w:fill="D6E3BC"/>
            <w:noWrap/>
            <w:vAlign w:val="center"/>
          </w:tcPr>
          <w:p w:rsidR="00881054" w:rsidRPr="006A2BF3" w:rsidRDefault="00881054" w:rsidP="002D57B5">
            <w:pPr>
              <w:jc w:val="center"/>
              <w:rPr>
                <w:rFonts w:ascii="Arial" w:hAnsi="Arial" w:cs="Arial"/>
                <w:b/>
                <w:bCs/>
                <w:sz w:val="16"/>
                <w:szCs w:val="16"/>
              </w:rPr>
            </w:pPr>
            <w:r w:rsidRPr="006A2BF3">
              <w:rPr>
                <w:rFonts w:ascii="Arial" w:hAnsi="Arial" w:cs="Arial"/>
                <w:b/>
                <w:bCs/>
                <w:sz w:val="16"/>
                <w:szCs w:val="16"/>
              </w:rPr>
              <w:t>Ukazovatele</w:t>
            </w:r>
          </w:p>
        </w:tc>
        <w:tc>
          <w:tcPr>
            <w:tcW w:w="0" w:type="auto"/>
            <w:tcBorders>
              <w:top w:val="single" w:sz="4" w:space="0" w:color="auto"/>
              <w:left w:val="nil"/>
              <w:bottom w:val="nil"/>
              <w:right w:val="single" w:sz="4" w:space="0" w:color="auto"/>
            </w:tcBorders>
            <w:shd w:val="clear" w:color="000000" w:fill="D6E3BC"/>
            <w:noWrap/>
            <w:vAlign w:val="center"/>
          </w:tcPr>
          <w:p w:rsidR="00881054" w:rsidRPr="006A2BF3" w:rsidRDefault="00881054" w:rsidP="002D57B5">
            <w:pPr>
              <w:jc w:val="center"/>
              <w:rPr>
                <w:rFonts w:ascii="Arial" w:hAnsi="Arial" w:cs="Arial"/>
                <w:b/>
                <w:bCs/>
                <w:sz w:val="16"/>
                <w:szCs w:val="16"/>
              </w:rPr>
            </w:pPr>
            <w:r w:rsidRPr="006A2BF3">
              <w:rPr>
                <w:rFonts w:ascii="Arial" w:hAnsi="Arial" w:cs="Arial"/>
                <w:b/>
                <w:bCs/>
                <w:sz w:val="16"/>
                <w:szCs w:val="16"/>
              </w:rPr>
              <w:t>2007</w:t>
            </w:r>
          </w:p>
        </w:tc>
        <w:tc>
          <w:tcPr>
            <w:tcW w:w="0" w:type="auto"/>
            <w:tcBorders>
              <w:top w:val="single" w:sz="4" w:space="0" w:color="auto"/>
              <w:left w:val="nil"/>
              <w:bottom w:val="nil"/>
              <w:right w:val="single" w:sz="4" w:space="0" w:color="auto"/>
            </w:tcBorders>
            <w:shd w:val="clear" w:color="000000" w:fill="D6E3BC"/>
            <w:noWrap/>
            <w:vAlign w:val="center"/>
          </w:tcPr>
          <w:p w:rsidR="00881054" w:rsidRPr="006A2BF3" w:rsidRDefault="00881054" w:rsidP="002D57B5">
            <w:pPr>
              <w:jc w:val="center"/>
              <w:rPr>
                <w:rFonts w:ascii="Arial" w:hAnsi="Arial" w:cs="Arial"/>
                <w:b/>
                <w:bCs/>
                <w:sz w:val="16"/>
                <w:szCs w:val="16"/>
              </w:rPr>
            </w:pPr>
            <w:r w:rsidRPr="006A2BF3">
              <w:rPr>
                <w:rFonts w:ascii="Arial" w:hAnsi="Arial" w:cs="Arial"/>
                <w:b/>
                <w:bCs/>
                <w:sz w:val="16"/>
                <w:szCs w:val="16"/>
              </w:rPr>
              <w:t>2008</w:t>
            </w:r>
          </w:p>
        </w:tc>
        <w:tc>
          <w:tcPr>
            <w:tcW w:w="0" w:type="auto"/>
            <w:tcBorders>
              <w:top w:val="single" w:sz="4" w:space="0" w:color="auto"/>
              <w:left w:val="nil"/>
              <w:bottom w:val="nil"/>
              <w:right w:val="single" w:sz="4" w:space="0" w:color="auto"/>
            </w:tcBorders>
            <w:shd w:val="clear" w:color="000000" w:fill="D6E3BC"/>
            <w:noWrap/>
            <w:vAlign w:val="center"/>
          </w:tcPr>
          <w:p w:rsidR="00881054" w:rsidRPr="006A2BF3" w:rsidRDefault="00881054" w:rsidP="002D57B5">
            <w:pPr>
              <w:jc w:val="center"/>
              <w:rPr>
                <w:rFonts w:ascii="Arial" w:hAnsi="Arial" w:cs="Arial"/>
                <w:b/>
                <w:bCs/>
                <w:sz w:val="16"/>
                <w:szCs w:val="16"/>
              </w:rPr>
            </w:pPr>
            <w:r w:rsidRPr="006A2BF3">
              <w:rPr>
                <w:rFonts w:ascii="Arial" w:hAnsi="Arial" w:cs="Arial"/>
                <w:b/>
                <w:bCs/>
                <w:sz w:val="16"/>
                <w:szCs w:val="16"/>
              </w:rPr>
              <w:t>2009</w:t>
            </w:r>
          </w:p>
        </w:tc>
        <w:tc>
          <w:tcPr>
            <w:tcW w:w="0" w:type="auto"/>
            <w:tcBorders>
              <w:top w:val="single" w:sz="4" w:space="0" w:color="auto"/>
              <w:left w:val="nil"/>
              <w:bottom w:val="nil"/>
              <w:right w:val="single" w:sz="4" w:space="0" w:color="auto"/>
            </w:tcBorders>
            <w:shd w:val="clear" w:color="000000" w:fill="D6E3BC"/>
            <w:noWrap/>
            <w:vAlign w:val="center"/>
          </w:tcPr>
          <w:p w:rsidR="00881054" w:rsidRPr="006A2BF3" w:rsidRDefault="00881054" w:rsidP="002D57B5">
            <w:pPr>
              <w:jc w:val="center"/>
              <w:rPr>
                <w:rFonts w:ascii="Arial" w:hAnsi="Arial" w:cs="Arial"/>
                <w:b/>
                <w:bCs/>
                <w:sz w:val="16"/>
                <w:szCs w:val="16"/>
              </w:rPr>
            </w:pPr>
            <w:r w:rsidRPr="006A2BF3">
              <w:rPr>
                <w:rFonts w:ascii="Arial" w:hAnsi="Arial" w:cs="Arial"/>
                <w:b/>
                <w:bCs/>
                <w:sz w:val="16"/>
                <w:szCs w:val="16"/>
              </w:rPr>
              <w:t>2010</w:t>
            </w:r>
          </w:p>
        </w:tc>
        <w:tc>
          <w:tcPr>
            <w:tcW w:w="0" w:type="auto"/>
            <w:tcBorders>
              <w:top w:val="single" w:sz="4" w:space="0" w:color="auto"/>
              <w:left w:val="nil"/>
              <w:bottom w:val="nil"/>
              <w:right w:val="single" w:sz="4" w:space="0" w:color="auto"/>
            </w:tcBorders>
            <w:shd w:val="clear" w:color="000000" w:fill="D6E3BC"/>
            <w:noWrap/>
            <w:vAlign w:val="center"/>
          </w:tcPr>
          <w:p w:rsidR="00881054" w:rsidRPr="006A2BF3" w:rsidRDefault="00881054" w:rsidP="002D57B5">
            <w:pPr>
              <w:jc w:val="center"/>
              <w:rPr>
                <w:rFonts w:ascii="Arial" w:hAnsi="Arial" w:cs="Arial"/>
                <w:b/>
                <w:bCs/>
                <w:sz w:val="16"/>
                <w:szCs w:val="16"/>
              </w:rPr>
            </w:pPr>
            <w:r w:rsidRPr="006A2BF3">
              <w:rPr>
                <w:rFonts w:ascii="Arial" w:hAnsi="Arial" w:cs="Arial"/>
                <w:b/>
                <w:bCs/>
                <w:sz w:val="16"/>
                <w:szCs w:val="16"/>
              </w:rPr>
              <w:t>2011</w:t>
            </w:r>
          </w:p>
        </w:tc>
        <w:tc>
          <w:tcPr>
            <w:tcW w:w="0" w:type="auto"/>
            <w:tcBorders>
              <w:top w:val="single" w:sz="4" w:space="0" w:color="auto"/>
              <w:left w:val="nil"/>
              <w:bottom w:val="nil"/>
              <w:right w:val="single" w:sz="4" w:space="0" w:color="auto"/>
            </w:tcBorders>
            <w:shd w:val="clear" w:color="000000" w:fill="D6E3BC"/>
            <w:noWrap/>
            <w:vAlign w:val="center"/>
          </w:tcPr>
          <w:p w:rsidR="00881054" w:rsidRPr="006A2BF3" w:rsidRDefault="00881054" w:rsidP="002D57B5">
            <w:pPr>
              <w:jc w:val="center"/>
              <w:rPr>
                <w:rFonts w:ascii="Arial" w:hAnsi="Arial" w:cs="Arial"/>
                <w:b/>
                <w:bCs/>
                <w:sz w:val="16"/>
                <w:szCs w:val="16"/>
              </w:rPr>
            </w:pPr>
            <w:r w:rsidRPr="006A2BF3">
              <w:rPr>
                <w:rFonts w:ascii="Arial" w:hAnsi="Arial" w:cs="Arial"/>
                <w:b/>
                <w:bCs/>
                <w:sz w:val="16"/>
                <w:szCs w:val="16"/>
              </w:rPr>
              <w:t>2012</w:t>
            </w:r>
          </w:p>
        </w:tc>
        <w:tc>
          <w:tcPr>
            <w:tcW w:w="0" w:type="auto"/>
            <w:tcBorders>
              <w:top w:val="single" w:sz="4" w:space="0" w:color="auto"/>
              <w:left w:val="nil"/>
              <w:bottom w:val="nil"/>
              <w:right w:val="single" w:sz="4" w:space="0" w:color="auto"/>
            </w:tcBorders>
            <w:shd w:val="clear" w:color="000000" w:fill="D6E3BC"/>
            <w:noWrap/>
            <w:vAlign w:val="center"/>
          </w:tcPr>
          <w:p w:rsidR="00881054" w:rsidRPr="006A2BF3" w:rsidRDefault="00881054" w:rsidP="002D57B5">
            <w:pPr>
              <w:jc w:val="center"/>
              <w:rPr>
                <w:rFonts w:ascii="Arial" w:hAnsi="Arial" w:cs="Arial"/>
                <w:b/>
                <w:bCs/>
                <w:sz w:val="16"/>
                <w:szCs w:val="16"/>
              </w:rPr>
            </w:pPr>
            <w:r w:rsidRPr="006A2BF3">
              <w:rPr>
                <w:rFonts w:ascii="Arial" w:hAnsi="Arial" w:cs="Arial"/>
                <w:b/>
                <w:bCs/>
                <w:sz w:val="16"/>
                <w:szCs w:val="16"/>
              </w:rPr>
              <w:t>2013</w:t>
            </w:r>
          </w:p>
        </w:tc>
        <w:tc>
          <w:tcPr>
            <w:tcW w:w="0" w:type="auto"/>
            <w:tcBorders>
              <w:top w:val="single" w:sz="4" w:space="0" w:color="auto"/>
              <w:left w:val="nil"/>
              <w:bottom w:val="nil"/>
              <w:right w:val="single" w:sz="4" w:space="0" w:color="auto"/>
            </w:tcBorders>
            <w:shd w:val="clear" w:color="000000" w:fill="D6E3BC"/>
            <w:noWrap/>
            <w:vAlign w:val="center"/>
          </w:tcPr>
          <w:p w:rsidR="00881054" w:rsidRPr="006A2BF3" w:rsidRDefault="00881054" w:rsidP="002D57B5">
            <w:pPr>
              <w:jc w:val="center"/>
              <w:rPr>
                <w:rFonts w:ascii="Arial" w:hAnsi="Arial" w:cs="Arial"/>
                <w:b/>
                <w:bCs/>
                <w:sz w:val="16"/>
                <w:szCs w:val="16"/>
              </w:rPr>
            </w:pPr>
            <w:r w:rsidRPr="006A2BF3">
              <w:rPr>
                <w:rFonts w:ascii="Arial" w:hAnsi="Arial" w:cs="Arial"/>
                <w:b/>
                <w:bCs/>
                <w:sz w:val="16"/>
                <w:szCs w:val="16"/>
              </w:rPr>
              <w:t>2014</w:t>
            </w:r>
          </w:p>
        </w:tc>
        <w:tc>
          <w:tcPr>
            <w:tcW w:w="0" w:type="auto"/>
            <w:tcBorders>
              <w:top w:val="single" w:sz="4" w:space="0" w:color="auto"/>
              <w:left w:val="nil"/>
              <w:bottom w:val="nil"/>
              <w:right w:val="single" w:sz="4" w:space="0" w:color="auto"/>
            </w:tcBorders>
            <w:shd w:val="clear" w:color="000000" w:fill="D6E3BC"/>
            <w:noWrap/>
            <w:vAlign w:val="center"/>
          </w:tcPr>
          <w:p w:rsidR="00881054" w:rsidRPr="006A2BF3" w:rsidRDefault="00881054" w:rsidP="002D57B5">
            <w:pPr>
              <w:jc w:val="center"/>
              <w:rPr>
                <w:rFonts w:ascii="Arial" w:hAnsi="Arial" w:cs="Arial"/>
                <w:b/>
                <w:bCs/>
                <w:sz w:val="16"/>
                <w:szCs w:val="16"/>
              </w:rPr>
            </w:pPr>
            <w:r w:rsidRPr="006A2BF3">
              <w:rPr>
                <w:rFonts w:ascii="Arial" w:hAnsi="Arial" w:cs="Arial"/>
                <w:b/>
                <w:bCs/>
                <w:sz w:val="16"/>
                <w:szCs w:val="16"/>
              </w:rPr>
              <w:t>2015</w:t>
            </w:r>
          </w:p>
        </w:tc>
        <w:tc>
          <w:tcPr>
            <w:tcW w:w="0" w:type="auto"/>
            <w:tcBorders>
              <w:top w:val="single" w:sz="4" w:space="0" w:color="auto"/>
              <w:left w:val="nil"/>
              <w:bottom w:val="nil"/>
              <w:right w:val="single" w:sz="4" w:space="0" w:color="auto"/>
            </w:tcBorders>
            <w:shd w:val="clear" w:color="000000" w:fill="D6E3BC"/>
            <w:noWrap/>
            <w:vAlign w:val="center"/>
          </w:tcPr>
          <w:p w:rsidR="00881054" w:rsidRPr="006A2BF3" w:rsidRDefault="00881054" w:rsidP="002D57B5">
            <w:pPr>
              <w:jc w:val="center"/>
              <w:rPr>
                <w:rFonts w:ascii="Arial" w:hAnsi="Arial" w:cs="Arial"/>
                <w:b/>
                <w:bCs/>
                <w:sz w:val="16"/>
                <w:szCs w:val="16"/>
              </w:rPr>
            </w:pPr>
            <w:r w:rsidRPr="006A2BF3">
              <w:rPr>
                <w:rFonts w:ascii="Arial" w:hAnsi="Arial" w:cs="Arial"/>
                <w:b/>
                <w:bCs/>
                <w:sz w:val="16"/>
                <w:szCs w:val="16"/>
              </w:rPr>
              <w:t>Spolu</w:t>
            </w:r>
          </w:p>
        </w:tc>
        <w:tc>
          <w:tcPr>
            <w:tcW w:w="0" w:type="auto"/>
            <w:tcBorders>
              <w:top w:val="single" w:sz="4" w:space="0" w:color="auto"/>
              <w:left w:val="nil"/>
              <w:bottom w:val="nil"/>
              <w:right w:val="single" w:sz="4" w:space="0" w:color="auto"/>
            </w:tcBorders>
            <w:shd w:val="clear" w:color="000000" w:fill="D6E3BC"/>
            <w:noWrap/>
            <w:vAlign w:val="center"/>
          </w:tcPr>
          <w:p w:rsidR="00881054" w:rsidRPr="006A2BF3" w:rsidRDefault="00881054" w:rsidP="002D57B5">
            <w:pPr>
              <w:jc w:val="center"/>
              <w:rPr>
                <w:rFonts w:ascii="Arial" w:hAnsi="Arial" w:cs="Arial"/>
                <w:b/>
                <w:bCs/>
                <w:sz w:val="16"/>
                <w:szCs w:val="16"/>
              </w:rPr>
            </w:pPr>
            <w:r w:rsidRPr="006A2BF3">
              <w:rPr>
                <w:rFonts w:ascii="Arial" w:hAnsi="Arial" w:cs="Arial"/>
                <w:b/>
                <w:bCs/>
                <w:sz w:val="16"/>
                <w:szCs w:val="16"/>
              </w:rPr>
              <w:t>Komentár</w:t>
            </w:r>
            <w:r w:rsidRPr="006A2BF3">
              <w:rPr>
                <w:rFonts w:ascii="Arial" w:hAnsi="Arial" w:cs="Arial"/>
                <w:b/>
                <w:bCs/>
                <w:sz w:val="16"/>
                <w:szCs w:val="16"/>
                <w:vertAlign w:val="superscript"/>
              </w:rPr>
              <w:t>1</w:t>
            </w:r>
          </w:p>
        </w:tc>
      </w:tr>
      <w:tr w:rsidR="00881054" w:rsidRPr="006A2BF3" w:rsidTr="002D57B5">
        <w:trPr>
          <w:trHeight w:val="500"/>
        </w:trPr>
        <w:tc>
          <w:tcPr>
            <w:tcW w:w="0" w:type="auto"/>
            <w:vMerge w:val="restart"/>
            <w:tcBorders>
              <w:top w:val="single" w:sz="4" w:space="0" w:color="auto"/>
              <w:left w:val="single" w:sz="4" w:space="0" w:color="auto"/>
              <w:bottom w:val="single" w:sz="4" w:space="0" w:color="000000"/>
              <w:right w:val="single" w:sz="4" w:space="0" w:color="auto"/>
            </w:tcBorders>
            <w:shd w:val="clear" w:color="auto" w:fill="EAF1DD"/>
            <w:vAlign w:val="center"/>
          </w:tcPr>
          <w:p w:rsidR="00881054" w:rsidRPr="006A2BF3" w:rsidRDefault="00881054" w:rsidP="002D57B5">
            <w:pPr>
              <w:rPr>
                <w:rFonts w:ascii="Arial" w:hAnsi="Arial" w:cs="Arial"/>
                <w:sz w:val="16"/>
                <w:szCs w:val="16"/>
              </w:rPr>
            </w:pPr>
            <w:r w:rsidRPr="006A2BF3">
              <w:rPr>
                <w:rFonts w:ascii="Arial" w:hAnsi="Arial" w:cs="Arial"/>
                <w:sz w:val="16"/>
                <w:szCs w:val="16"/>
              </w:rPr>
              <w:t>Počet projektov cielene zameraných na MRK</w:t>
            </w:r>
            <w:r>
              <w:rPr>
                <w:rFonts w:ascii="Arial" w:hAnsi="Arial" w:cs="Arial"/>
                <w:sz w:val="16"/>
                <w:szCs w:val="16"/>
              </w:rPr>
              <w:t xml:space="preserve"> </w:t>
            </w:r>
            <w:r w:rsidRPr="0046010F">
              <w:rPr>
                <w:rFonts w:ascii="Arial" w:hAnsi="Arial" w:cs="Arial"/>
                <w:sz w:val="16"/>
                <w:szCs w:val="16"/>
              </w:rPr>
              <w:t>[počet]</w:t>
            </w:r>
          </w:p>
        </w:tc>
        <w:tc>
          <w:tcPr>
            <w:tcW w:w="0" w:type="auto"/>
            <w:tcBorders>
              <w:top w:val="single" w:sz="4" w:space="0" w:color="auto"/>
              <w:left w:val="nil"/>
              <w:bottom w:val="dotted" w:sz="4" w:space="0" w:color="auto"/>
              <w:right w:val="single" w:sz="4" w:space="0" w:color="auto"/>
            </w:tcBorders>
            <w:shd w:val="clear" w:color="000000" w:fill="auto"/>
            <w:noWrap/>
            <w:vAlign w:val="center"/>
          </w:tcPr>
          <w:p w:rsidR="00881054" w:rsidRPr="006A2BF3" w:rsidRDefault="00881054" w:rsidP="002D57B5">
            <w:pPr>
              <w:rPr>
                <w:rFonts w:ascii="Arial" w:hAnsi="Arial" w:cs="Arial"/>
                <w:sz w:val="16"/>
                <w:szCs w:val="16"/>
              </w:rPr>
            </w:pPr>
            <w:r w:rsidRPr="006A2BF3">
              <w:rPr>
                <w:rFonts w:ascii="Arial" w:hAnsi="Arial" w:cs="Arial"/>
                <w:sz w:val="16"/>
                <w:szCs w:val="16"/>
              </w:rPr>
              <w:t>Dosiahnutý výsledok</w:t>
            </w:r>
          </w:p>
        </w:tc>
        <w:tc>
          <w:tcPr>
            <w:tcW w:w="0" w:type="auto"/>
            <w:tcBorders>
              <w:top w:val="single" w:sz="4" w:space="0" w:color="auto"/>
              <w:left w:val="nil"/>
              <w:bottom w:val="dotted" w:sz="4" w:space="0" w:color="auto"/>
              <w:right w:val="dotted" w:sz="4" w:space="0" w:color="auto"/>
            </w:tcBorders>
            <w:noWrap/>
            <w:vAlign w:val="center"/>
          </w:tcPr>
          <w:p w:rsidR="00881054" w:rsidRPr="006A2BF3" w:rsidRDefault="00881054" w:rsidP="002D57B5">
            <w:pPr>
              <w:jc w:val="center"/>
              <w:rPr>
                <w:rFonts w:ascii="Arial" w:hAnsi="Arial" w:cs="Arial"/>
                <w:b/>
                <w:bCs/>
                <w:sz w:val="16"/>
                <w:szCs w:val="16"/>
              </w:rPr>
            </w:pPr>
            <w:r w:rsidRPr="006A2BF3">
              <w:rPr>
                <w:rFonts w:ascii="Arial" w:hAnsi="Arial" w:cs="Arial"/>
                <w:b/>
                <w:bCs/>
                <w:sz w:val="16"/>
                <w:szCs w:val="16"/>
              </w:rPr>
              <w:t>0</w:t>
            </w:r>
          </w:p>
        </w:tc>
        <w:tc>
          <w:tcPr>
            <w:tcW w:w="0" w:type="auto"/>
            <w:tcBorders>
              <w:top w:val="single" w:sz="4" w:space="0" w:color="auto"/>
              <w:left w:val="nil"/>
              <w:bottom w:val="dotted" w:sz="4" w:space="0" w:color="auto"/>
              <w:right w:val="dotted" w:sz="4" w:space="0" w:color="auto"/>
            </w:tcBorders>
            <w:noWrap/>
            <w:vAlign w:val="center"/>
          </w:tcPr>
          <w:p w:rsidR="00881054" w:rsidRPr="006A2BF3" w:rsidRDefault="00881054" w:rsidP="002D57B5">
            <w:pPr>
              <w:jc w:val="center"/>
              <w:rPr>
                <w:rFonts w:ascii="Arial" w:hAnsi="Arial" w:cs="Arial"/>
                <w:b/>
                <w:bCs/>
                <w:sz w:val="16"/>
                <w:szCs w:val="16"/>
              </w:rPr>
            </w:pPr>
            <w:r w:rsidRPr="006A2BF3">
              <w:rPr>
                <w:rFonts w:ascii="Arial" w:hAnsi="Arial" w:cs="Arial"/>
                <w:b/>
                <w:bCs/>
                <w:sz w:val="16"/>
                <w:szCs w:val="16"/>
              </w:rPr>
              <w:t>0</w:t>
            </w:r>
          </w:p>
        </w:tc>
        <w:tc>
          <w:tcPr>
            <w:tcW w:w="0" w:type="auto"/>
            <w:tcBorders>
              <w:top w:val="single" w:sz="4" w:space="0" w:color="auto"/>
              <w:left w:val="nil"/>
              <w:bottom w:val="dotted" w:sz="4" w:space="0" w:color="auto"/>
              <w:right w:val="dotted" w:sz="4" w:space="0" w:color="auto"/>
            </w:tcBorders>
            <w:noWrap/>
            <w:vAlign w:val="center"/>
          </w:tcPr>
          <w:p w:rsidR="00881054" w:rsidRPr="006A2BF3" w:rsidRDefault="00881054" w:rsidP="002D57B5">
            <w:pPr>
              <w:jc w:val="center"/>
              <w:rPr>
                <w:rFonts w:ascii="Arial" w:hAnsi="Arial" w:cs="Arial"/>
                <w:b/>
                <w:bCs/>
                <w:sz w:val="16"/>
                <w:szCs w:val="16"/>
              </w:rPr>
            </w:pPr>
            <w:r w:rsidRPr="006A2BF3">
              <w:rPr>
                <w:rFonts w:ascii="Arial" w:hAnsi="Arial" w:cs="Arial"/>
                <w:b/>
                <w:bCs/>
                <w:sz w:val="16"/>
                <w:szCs w:val="16"/>
              </w:rPr>
              <w:t>0</w:t>
            </w:r>
          </w:p>
        </w:tc>
        <w:tc>
          <w:tcPr>
            <w:tcW w:w="0" w:type="auto"/>
            <w:tcBorders>
              <w:top w:val="single" w:sz="4" w:space="0" w:color="auto"/>
              <w:left w:val="nil"/>
              <w:bottom w:val="dotted" w:sz="4" w:space="0" w:color="auto"/>
              <w:right w:val="dotted" w:sz="4" w:space="0" w:color="auto"/>
            </w:tcBorders>
            <w:noWrap/>
            <w:vAlign w:val="center"/>
          </w:tcPr>
          <w:p w:rsidR="00881054" w:rsidRPr="006A2BF3" w:rsidRDefault="00881054" w:rsidP="002D57B5">
            <w:pPr>
              <w:jc w:val="center"/>
              <w:rPr>
                <w:rFonts w:ascii="Arial" w:hAnsi="Arial" w:cs="Arial"/>
                <w:b/>
                <w:bCs/>
                <w:sz w:val="16"/>
                <w:szCs w:val="16"/>
              </w:rPr>
            </w:pPr>
            <w:r w:rsidRPr="006A2BF3">
              <w:rPr>
                <w:rFonts w:ascii="Arial" w:hAnsi="Arial" w:cs="Arial"/>
                <w:b/>
                <w:bCs/>
                <w:sz w:val="16"/>
                <w:szCs w:val="16"/>
              </w:rPr>
              <w:t>0</w:t>
            </w:r>
          </w:p>
        </w:tc>
        <w:tc>
          <w:tcPr>
            <w:tcW w:w="0" w:type="auto"/>
            <w:tcBorders>
              <w:top w:val="single" w:sz="4" w:space="0" w:color="auto"/>
              <w:left w:val="nil"/>
              <w:bottom w:val="dotted" w:sz="4" w:space="0" w:color="auto"/>
              <w:right w:val="dotted" w:sz="4" w:space="0" w:color="auto"/>
            </w:tcBorders>
            <w:noWrap/>
            <w:vAlign w:val="center"/>
          </w:tcPr>
          <w:p w:rsidR="00881054" w:rsidRPr="006A2BF3" w:rsidRDefault="00881054" w:rsidP="002D57B5">
            <w:pPr>
              <w:jc w:val="center"/>
              <w:rPr>
                <w:rFonts w:ascii="Arial" w:hAnsi="Arial" w:cs="Arial"/>
                <w:b/>
                <w:bCs/>
                <w:sz w:val="16"/>
                <w:szCs w:val="16"/>
              </w:rPr>
            </w:pPr>
            <w:r w:rsidRPr="006A2BF3">
              <w:rPr>
                <w:rFonts w:ascii="Arial" w:hAnsi="Arial" w:cs="Arial"/>
                <w:b/>
                <w:bCs/>
                <w:sz w:val="16"/>
                <w:szCs w:val="16"/>
              </w:rPr>
              <w:t>0</w:t>
            </w:r>
          </w:p>
        </w:tc>
        <w:tc>
          <w:tcPr>
            <w:tcW w:w="0" w:type="auto"/>
            <w:tcBorders>
              <w:top w:val="single" w:sz="4" w:space="0" w:color="auto"/>
              <w:left w:val="nil"/>
              <w:bottom w:val="dotted" w:sz="4" w:space="0" w:color="auto"/>
              <w:right w:val="dotted" w:sz="4" w:space="0" w:color="auto"/>
            </w:tcBorders>
            <w:noWrap/>
            <w:vAlign w:val="center"/>
          </w:tcPr>
          <w:p w:rsidR="00881054" w:rsidRPr="00AB5A54" w:rsidRDefault="00A407C3" w:rsidP="002D57B5">
            <w:pPr>
              <w:jc w:val="center"/>
              <w:rPr>
                <w:rFonts w:ascii="Arial" w:hAnsi="Arial" w:cs="Arial"/>
                <w:b/>
                <w:iCs/>
                <w:sz w:val="16"/>
                <w:szCs w:val="16"/>
              </w:rPr>
            </w:pPr>
            <w:r>
              <w:rPr>
                <w:rFonts w:ascii="Arial" w:hAnsi="Arial" w:cs="Arial"/>
                <w:b/>
                <w:iCs/>
                <w:sz w:val="16"/>
                <w:szCs w:val="16"/>
              </w:rPr>
              <w:t>0</w:t>
            </w:r>
          </w:p>
        </w:tc>
        <w:tc>
          <w:tcPr>
            <w:tcW w:w="0" w:type="auto"/>
            <w:tcBorders>
              <w:top w:val="single" w:sz="4" w:space="0" w:color="auto"/>
              <w:left w:val="nil"/>
              <w:bottom w:val="dotted" w:sz="4" w:space="0" w:color="auto"/>
              <w:right w:val="dotted" w:sz="4" w:space="0" w:color="auto"/>
            </w:tcBorders>
            <w:noWrap/>
            <w:vAlign w:val="center"/>
          </w:tcPr>
          <w:p w:rsidR="00881054" w:rsidRPr="006A2BF3" w:rsidRDefault="00881054" w:rsidP="002D57B5">
            <w:pPr>
              <w:jc w:val="center"/>
              <w:rPr>
                <w:rFonts w:ascii="Arial" w:hAnsi="Arial" w:cs="Arial"/>
                <w:i/>
                <w:iCs/>
                <w:sz w:val="16"/>
                <w:szCs w:val="16"/>
              </w:rPr>
            </w:pPr>
            <w:r w:rsidRPr="006A2BF3">
              <w:rPr>
                <w:rFonts w:ascii="Arial" w:hAnsi="Arial" w:cs="Arial"/>
                <w:i/>
                <w:iCs/>
                <w:sz w:val="16"/>
                <w:szCs w:val="16"/>
              </w:rPr>
              <w:t>N/A</w:t>
            </w:r>
          </w:p>
        </w:tc>
        <w:tc>
          <w:tcPr>
            <w:tcW w:w="0" w:type="auto"/>
            <w:tcBorders>
              <w:top w:val="single" w:sz="4" w:space="0" w:color="auto"/>
              <w:left w:val="nil"/>
              <w:bottom w:val="dotted" w:sz="4" w:space="0" w:color="auto"/>
              <w:right w:val="dotted" w:sz="4" w:space="0" w:color="auto"/>
            </w:tcBorders>
            <w:noWrap/>
            <w:vAlign w:val="center"/>
          </w:tcPr>
          <w:p w:rsidR="00881054" w:rsidRPr="006A2BF3" w:rsidRDefault="00881054" w:rsidP="002D57B5">
            <w:pPr>
              <w:jc w:val="center"/>
              <w:rPr>
                <w:rFonts w:ascii="Arial" w:hAnsi="Arial" w:cs="Arial"/>
                <w:i/>
                <w:iCs/>
                <w:sz w:val="16"/>
                <w:szCs w:val="16"/>
              </w:rPr>
            </w:pPr>
            <w:r w:rsidRPr="006A2BF3">
              <w:rPr>
                <w:rFonts w:ascii="Arial" w:hAnsi="Arial" w:cs="Arial"/>
                <w:i/>
                <w:iCs/>
                <w:sz w:val="16"/>
                <w:szCs w:val="16"/>
              </w:rPr>
              <w:t>N/A</w:t>
            </w:r>
          </w:p>
        </w:tc>
        <w:tc>
          <w:tcPr>
            <w:tcW w:w="0" w:type="auto"/>
            <w:tcBorders>
              <w:top w:val="single" w:sz="4" w:space="0" w:color="auto"/>
              <w:left w:val="nil"/>
              <w:bottom w:val="dotted" w:sz="4" w:space="0" w:color="auto"/>
              <w:right w:val="dotted" w:sz="4" w:space="0" w:color="auto"/>
            </w:tcBorders>
            <w:noWrap/>
            <w:vAlign w:val="center"/>
          </w:tcPr>
          <w:p w:rsidR="00881054" w:rsidRPr="006A2BF3" w:rsidRDefault="00881054" w:rsidP="002D57B5">
            <w:pPr>
              <w:jc w:val="center"/>
              <w:rPr>
                <w:rFonts w:ascii="Arial" w:hAnsi="Arial" w:cs="Arial"/>
                <w:i/>
                <w:iCs/>
                <w:sz w:val="16"/>
                <w:szCs w:val="16"/>
              </w:rPr>
            </w:pPr>
            <w:r w:rsidRPr="006A2BF3">
              <w:rPr>
                <w:rFonts w:ascii="Arial" w:hAnsi="Arial" w:cs="Arial"/>
                <w:i/>
                <w:iCs/>
                <w:sz w:val="16"/>
                <w:szCs w:val="16"/>
              </w:rPr>
              <w:t>N/A</w:t>
            </w:r>
          </w:p>
        </w:tc>
        <w:tc>
          <w:tcPr>
            <w:tcW w:w="0" w:type="auto"/>
            <w:tcBorders>
              <w:top w:val="single" w:sz="4" w:space="0" w:color="auto"/>
              <w:left w:val="nil"/>
              <w:bottom w:val="dotted" w:sz="4" w:space="0" w:color="auto"/>
              <w:right w:val="dotted" w:sz="4" w:space="0" w:color="auto"/>
            </w:tcBorders>
            <w:noWrap/>
            <w:vAlign w:val="center"/>
          </w:tcPr>
          <w:p w:rsidR="00881054" w:rsidRPr="006A2BF3" w:rsidRDefault="00881054" w:rsidP="002D57B5">
            <w:pPr>
              <w:jc w:val="center"/>
              <w:rPr>
                <w:rFonts w:ascii="Arial" w:hAnsi="Arial" w:cs="Arial"/>
                <w:b/>
                <w:bCs/>
                <w:sz w:val="16"/>
                <w:szCs w:val="16"/>
              </w:rPr>
            </w:pPr>
            <w:r w:rsidRPr="006A2BF3">
              <w:rPr>
                <w:rFonts w:ascii="Arial" w:hAnsi="Arial" w:cs="Arial"/>
                <w:b/>
                <w:bCs/>
                <w:sz w:val="16"/>
                <w:szCs w:val="16"/>
              </w:rPr>
              <w:t>0</w:t>
            </w:r>
          </w:p>
        </w:tc>
        <w:tc>
          <w:tcPr>
            <w:tcW w:w="0" w:type="auto"/>
            <w:vMerge w:val="restart"/>
            <w:tcBorders>
              <w:top w:val="single" w:sz="4" w:space="0" w:color="auto"/>
              <w:left w:val="dotted" w:sz="4" w:space="0" w:color="auto"/>
              <w:bottom w:val="single" w:sz="4" w:space="0" w:color="000000"/>
              <w:right w:val="single" w:sz="4" w:space="0" w:color="auto"/>
            </w:tcBorders>
            <w:vAlign w:val="center"/>
          </w:tcPr>
          <w:p w:rsidR="00881054" w:rsidRPr="006A2BF3" w:rsidRDefault="00881054" w:rsidP="002D57B5">
            <w:pPr>
              <w:jc w:val="center"/>
              <w:rPr>
                <w:rFonts w:ascii="Arial" w:hAnsi="Arial" w:cs="Arial"/>
                <w:i/>
                <w:iCs/>
                <w:sz w:val="16"/>
                <w:szCs w:val="16"/>
              </w:rPr>
            </w:pPr>
            <w:r>
              <w:rPr>
                <w:rFonts w:ascii="Arial" w:hAnsi="Arial" w:cs="Arial"/>
                <w:i/>
                <w:iCs/>
                <w:sz w:val="16"/>
                <w:szCs w:val="16"/>
              </w:rPr>
              <w:t>pripravuje sa výzva MRK</w:t>
            </w:r>
          </w:p>
        </w:tc>
      </w:tr>
      <w:tr w:rsidR="00881054" w:rsidRPr="006A2BF3" w:rsidTr="002D57B5">
        <w:trPr>
          <w:trHeight w:val="20"/>
        </w:trPr>
        <w:tc>
          <w:tcPr>
            <w:tcW w:w="0" w:type="auto"/>
            <w:vMerge/>
            <w:tcBorders>
              <w:top w:val="single" w:sz="4" w:space="0" w:color="000000"/>
              <w:left w:val="single" w:sz="4" w:space="0" w:color="auto"/>
              <w:bottom w:val="single" w:sz="4" w:space="0" w:color="000000"/>
              <w:right w:val="single" w:sz="4" w:space="0" w:color="auto"/>
            </w:tcBorders>
            <w:shd w:val="clear" w:color="auto" w:fill="EAF1DD"/>
            <w:vAlign w:val="center"/>
          </w:tcPr>
          <w:p w:rsidR="00881054" w:rsidRPr="006A2BF3" w:rsidRDefault="00881054" w:rsidP="002D57B5">
            <w:pPr>
              <w:rPr>
                <w:rFonts w:ascii="Arial" w:hAnsi="Arial" w:cs="Arial"/>
                <w:sz w:val="16"/>
                <w:szCs w:val="16"/>
              </w:rPr>
            </w:pPr>
          </w:p>
        </w:tc>
        <w:tc>
          <w:tcPr>
            <w:tcW w:w="0" w:type="auto"/>
            <w:tcBorders>
              <w:top w:val="nil"/>
              <w:left w:val="nil"/>
              <w:bottom w:val="dotted" w:sz="4" w:space="0" w:color="auto"/>
              <w:right w:val="single" w:sz="4" w:space="0" w:color="auto"/>
            </w:tcBorders>
            <w:shd w:val="clear" w:color="000000" w:fill="auto"/>
            <w:noWrap/>
            <w:vAlign w:val="center"/>
          </w:tcPr>
          <w:p w:rsidR="00881054" w:rsidRPr="006A2BF3" w:rsidRDefault="00881054" w:rsidP="002D57B5">
            <w:pPr>
              <w:rPr>
                <w:rFonts w:ascii="Arial" w:hAnsi="Arial" w:cs="Arial"/>
                <w:sz w:val="16"/>
                <w:szCs w:val="16"/>
              </w:rPr>
            </w:pPr>
            <w:r w:rsidRPr="006A2BF3">
              <w:rPr>
                <w:rFonts w:ascii="Arial" w:hAnsi="Arial" w:cs="Arial"/>
                <w:sz w:val="16"/>
                <w:szCs w:val="16"/>
              </w:rPr>
              <w:t>Cieľ</w:t>
            </w:r>
          </w:p>
        </w:tc>
        <w:tc>
          <w:tcPr>
            <w:tcW w:w="0" w:type="auto"/>
            <w:tcBorders>
              <w:top w:val="nil"/>
              <w:left w:val="nil"/>
              <w:bottom w:val="dotted" w:sz="4" w:space="0" w:color="auto"/>
              <w:right w:val="dotted" w:sz="4" w:space="0" w:color="auto"/>
            </w:tcBorders>
            <w:noWrap/>
            <w:vAlign w:val="center"/>
          </w:tcPr>
          <w:p w:rsidR="00881054" w:rsidRPr="006A2BF3" w:rsidRDefault="00881054" w:rsidP="002D57B5">
            <w:pPr>
              <w:jc w:val="center"/>
              <w:rPr>
                <w:rFonts w:ascii="Arial" w:hAnsi="Arial" w:cs="Arial"/>
                <w:i/>
                <w:iCs/>
                <w:sz w:val="16"/>
                <w:szCs w:val="16"/>
              </w:rPr>
            </w:pPr>
            <w:r w:rsidRPr="006A2BF3">
              <w:rPr>
                <w:rFonts w:ascii="Arial" w:hAnsi="Arial" w:cs="Arial"/>
                <w:i/>
                <w:iCs/>
                <w:sz w:val="16"/>
                <w:szCs w:val="16"/>
              </w:rPr>
              <w:t>N/A</w:t>
            </w:r>
          </w:p>
        </w:tc>
        <w:tc>
          <w:tcPr>
            <w:tcW w:w="0" w:type="auto"/>
            <w:tcBorders>
              <w:top w:val="nil"/>
              <w:left w:val="nil"/>
              <w:bottom w:val="dotted" w:sz="4" w:space="0" w:color="auto"/>
              <w:right w:val="dotted" w:sz="4" w:space="0" w:color="auto"/>
            </w:tcBorders>
            <w:noWrap/>
            <w:vAlign w:val="center"/>
          </w:tcPr>
          <w:p w:rsidR="00881054" w:rsidRPr="006A2BF3" w:rsidRDefault="00881054" w:rsidP="002D57B5">
            <w:pPr>
              <w:jc w:val="center"/>
              <w:rPr>
                <w:rFonts w:ascii="Arial" w:hAnsi="Arial" w:cs="Arial"/>
                <w:i/>
                <w:iCs/>
                <w:sz w:val="16"/>
                <w:szCs w:val="16"/>
              </w:rPr>
            </w:pPr>
            <w:r w:rsidRPr="006A2BF3">
              <w:rPr>
                <w:rFonts w:ascii="Arial" w:hAnsi="Arial" w:cs="Arial"/>
                <w:i/>
                <w:iCs/>
                <w:sz w:val="16"/>
                <w:szCs w:val="16"/>
              </w:rPr>
              <w:t>N/A</w:t>
            </w:r>
          </w:p>
        </w:tc>
        <w:tc>
          <w:tcPr>
            <w:tcW w:w="0" w:type="auto"/>
            <w:tcBorders>
              <w:top w:val="nil"/>
              <w:left w:val="nil"/>
              <w:bottom w:val="dotted" w:sz="4" w:space="0" w:color="auto"/>
              <w:right w:val="dotted" w:sz="4" w:space="0" w:color="auto"/>
            </w:tcBorders>
            <w:noWrap/>
            <w:vAlign w:val="center"/>
          </w:tcPr>
          <w:p w:rsidR="00881054" w:rsidRPr="006A2BF3" w:rsidRDefault="00881054" w:rsidP="002D57B5">
            <w:pPr>
              <w:jc w:val="center"/>
              <w:rPr>
                <w:rFonts w:ascii="Arial" w:hAnsi="Arial" w:cs="Arial"/>
                <w:i/>
                <w:iCs/>
                <w:sz w:val="16"/>
                <w:szCs w:val="16"/>
              </w:rPr>
            </w:pPr>
            <w:r w:rsidRPr="006A2BF3">
              <w:rPr>
                <w:rFonts w:ascii="Arial" w:hAnsi="Arial" w:cs="Arial"/>
                <w:i/>
                <w:iCs/>
                <w:sz w:val="16"/>
                <w:szCs w:val="16"/>
              </w:rPr>
              <w:t>N/A</w:t>
            </w:r>
          </w:p>
        </w:tc>
        <w:tc>
          <w:tcPr>
            <w:tcW w:w="0" w:type="auto"/>
            <w:tcBorders>
              <w:top w:val="nil"/>
              <w:left w:val="nil"/>
              <w:bottom w:val="dotted" w:sz="4" w:space="0" w:color="auto"/>
              <w:right w:val="dotted" w:sz="4" w:space="0" w:color="auto"/>
            </w:tcBorders>
            <w:noWrap/>
            <w:vAlign w:val="center"/>
          </w:tcPr>
          <w:p w:rsidR="00881054" w:rsidRPr="006A2BF3" w:rsidRDefault="00881054" w:rsidP="002D57B5">
            <w:pPr>
              <w:jc w:val="center"/>
              <w:rPr>
                <w:rFonts w:ascii="Arial" w:hAnsi="Arial" w:cs="Arial"/>
                <w:i/>
                <w:iCs/>
                <w:sz w:val="16"/>
                <w:szCs w:val="16"/>
              </w:rPr>
            </w:pPr>
            <w:r w:rsidRPr="006A2BF3">
              <w:rPr>
                <w:rFonts w:ascii="Arial" w:hAnsi="Arial" w:cs="Arial"/>
                <w:i/>
                <w:iCs/>
                <w:sz w:val="16"/>
                <w:szCs w:val="16"/>
              </w:rPr>
              <w:t>N/A</w:t>
            </w:r>
          </w:p>
        </w:tc>
        <w:tc>
          <w:tcPr>
            <w:tcW w:w="0" w:type="auto"/>
            <w:tcBorders>
              <w:top w:val="nil"/>
              <w:left w:val="nil"/>
              <w:bottom w:val="dotted" w:sz="4" w:space="0" w:color="auto"/>
              <w:right w:val="dotted" w:sz="4" w:space="0" w:color="auto"/>
            </w:tcBorders>
            <w:noWrap/>
            <w:vAlign w:val="center"/>
          </w:tcPr>
          <w:p w:rsidR="00881054" w:rsidRPr="006A2BF3" w:rsidRDefault="00881054" w:rsidP="002D57B5">
            <w:pPr>
              <w:jc w:val="center"/>
              <w:rPr>
                <w:rFonts w:ascii="Arial" w:hAnsi="Arial" w:cs="Arial"/>
                <w:i/>
                <w:iCs/>
                <w:sz w:val="16"/>
                <w:szCs w:val="16"/>
              </w:rPr>
            </w:pPr>
            <w:r w:rsidRPr="006A2BF3">
              <w:rPr>
                <w:rFonts w:ascii="Arial" w:hAnsi="Arial" w:cs="Arial"/>
                <w:i/>
                <w:iCs/>
                <w:sz w:val="16"/>
                <w:szCs w:val="16"/>
              </w:rPr>
              <w:t>N/A</w:t>
            </w:r>
          </w:p>
        </w:tc>
        <w:tc>
          <w:tcPr>
            <w:tcW w:w="0" w:type="auto"/>
            <w:tcBorders>
              <w:top w:val="nil"/>
              <w:left w:val="nil"/>
              <w:bottom w:val="dotted" w:sz="4" w:space="0" w:color="auto"/>
              <w:right w:val="dotted" w:sz="4" w:space="0" w:color="auto"/>
            </w:tcBorders>
            <w:noWrap/>
            <w:vAlign w:val="center"/>
          </w:tcPr>
          <w:p w:rsidR="00881054" w:rsidRPr="006A2BF3" w:rsidRDefault="00881054" w:rsidP="002D57B5">
            <w:pPr>
              <w:jc w:val="center"/>
              <w:rPr>
                <w:rFonts w:ascii="Arial" w:hAnsi="Arial" w:cs="Arial"/>
                <w:i/>
                <w:iCs/>
                <w:sz w:val="16"/>
                <w:szCs w:val="16"/>
              </w:rPr>
            </w:pPr>
            <w:r w:rsidRPr="006A2BF3">
              <w:rPr>
                <w:rFonts w:ascii="Arial" w:hAnsi="Arial" w:cs="Arial"/>
                <w:i/>
                <w:iCs/>
                <w:sz w:val="16"/>
                <w:szCs w:val="16"/>
              </w:rPr>
              <w:t>N/A</w:t>
            </w:r>
          </w:p>
        </w:tc>
        <w:tc>
          <w:tcPr>
            <w:tcW w:w="0" w:type="auto"/>
            <w:tcBorders>
              <w:top w:val="nil"/>
              <w:left w:val="nil"/>
              <w:bottom w:val="dotted" w:sz="4" w:space="0" w:color="auto"/>
              <w:right w:val="dotted" w:sz="4" w:space="0" w:color="auto"/>
            </w:tcBorders>
            <w:noWrap/>
            <w:vAlign w:val="center"/>
          </w:tcPr>
          <w:p w:rsidR="00881054" w:rsidRPr="006A2BF3" w:rsidRDefault="00881054" w:rsidP="002D57B5">
            <w:pPr>
              <w:jc w:val="center"/>
              <w:rPr>
                <w:rFonts w:ascii="Arial" w:hAnsi="Arial" w:cs="Arial"/>
                <w:i/>
                <w:iCs/>
                <w:sz w:val="16"/>
                <w:szCs w:val="16"/>
              </w:rPr>
            </w:pPr>
            <w:r w:rsidRPr="006A2BF3">
              <w:rPr>
                <w:rFonts w:ascii="Arial" w:hAnsi="Arial" w:cs="Arial"/>
                <w:i/>
                <w:iCs/>
                <w:sz w:val="16"/>
                <w:szCs w:val="16"/>
              </w:rPr>
              <w:t>N/A</w:t>
            </w:r>
          </w:p>
        </w:tc>
        <w:tc>
          <w:tcPr>
            <w:tcW w:w="0" w:type="auto"/>
            <w:tcBorders>
              <w:top w:val="nil"/>
              <w:left w:val="nil"/>
              <w:bottom w:val="dotted" w:sz="4" w:space="0" w:color="auto"/>
              <w:right w:val="dotted" w:sz="4" w:space="0" w:color="auto"/>
            </w:tcBorders>
            <w:noWrap/>
            <w:vAlign w:val="center"/>
          </w:tcPr>
          <w:p w:rsidR="00881054" w:rsidRPr="006A2BF3" w:rsidRDefault="00881054" w:rsidP="002D57B5">
            <w:pPr>
              <w:jc w:val="center"/>
              <w:rPr>
                <w:rFonts w:ascii="Arial" w:hAnsi="Arial" w:cs="Arial"/>
                <w:i/>
                <w:iCs/>
                <w:sz w:val="16"/>
                <w:szCs w:val="16"/>
              </w:rPr>
            </w:pPr>
            <w:r w:rsidRPr="006A2BF3">
              <w:rPr>
                <w:rFonts w:ascii="Arial" w:hAnsi="Arial" w:cs="Arial"/>
                <w:i/>
                <w:iCs/>
                <w:sz w:val="16"/>
                <w:szCs w:val="16"/>
              </w:rPr>
              <w:t>N/A</w:t>
            </w:r>
          </w:p>
        </w:tc>
        <w:tc>
          <w:tcPr>
            <w:tcW w:w="0" w:type="auto"/>
            <w:tcBorders>
              <w:top w:val="nil"/>
              <w:left w:val="nil"/>
              <w:bottom w:val="dotted" w:sz="4" w:space="0" w:color="auto"/>
              <w:right w:val="dotted" w:sz="4" w:space="0" w:color="auto"/>
            </w:tcBorders>
            <w:noWrap/>
            <w:vAlign w:val="center"/>
          </w:tcPr>
          <w:p w:rsidR="00881054" w:rsidRPr="006A2BF3" w:rsidRDefault="00881054" w:rsidP="002D57B5">
            <w:pPr>
              <w:jc w:val="center"/>
              <w:rPr>
                <w:rFonts w:ascii="Arial" w:hAnsi="Arial" w:cs="Arial"/>
                <w:b/>
                <w:bCs/>
                <w:sz w:val="16"/>
                <w:szCs w:val="16"/>
              </w:rPr>
            </w:pPr>
            <w:r w:rsidRPr="006A2BF3">
              <w:rPr>
                <w:rFonts w:ascii="Arial" w:hAnsi="Arial" w:cs="Arial"/>
                <w:b/>
                <w:bCs/>
                <w:sz w:val="16"/>
                <w:szCs w:val="16"/>
              </w:rPr>
              <w:t>60</w:t>
            </w:r>
          </w:p>
        </w:tc>
        <w:tc>
          <w:tcPr>
            <w:tcW w:w="0" w:type="auto"/>
            <w:tcBorders>
              <w:top w:val="nil"/>
              <w:left w:val="nil"/>
              <w:bottom w:val="dotted" w:sz="4" w:space="0" w:color="auto"/>
              <w:right w:val="dotted" w:sz="4" w:space="0" w:color="auto"/>
            </w:tcBorders>
            <w:noWrap/>
            <w:vAlign w:val="center"/>
          </w:tcPr>
          <w:p w:rsidR="00881054" w:rsidRPr="006A2BF3" w:rsidRDefault="00881054" w:rsidP="002D57B5">
            <w:pPr>
              <w:jc w:val="center"/>
              <w:rPr>
                <w:rFonts w:ascii="Arial" w:hAnsi="Arial" w:cs="Arial"/>
                <w:b/>
                <w:bCs/>
                <w:sz w:val="16"/>
                <w:szCs w:val="16"/>
              </w:rPr>
            </w:pPr>
            <w:r w:rsidRPr="006A2BF3">
              <w:rPr>
                <w:rFonts w:ascii="Arial" w:hAnsi="Arial" w:cs="Arial"/>
                <w:b/>
                <w:bCs/>
                <w:sz w:val="16"/>
                <w:szCs w:val="16"/>
              </w:rPr>
              <w:t>60</w:t>
            </w:r>
          </w:p>
        </w:tc>
        <w:tc>
          <w:tcPr>
            <w:tcW w:w="0" w:type="auto"/>
            <w:vMerge/>
            <w:tcBorders>
              <w:top w:val="single" w:sz="4" w:space="0" w:color="auto"/>
              <w:left w:val="dotted" w:sz="4" w:space="0" w:color="auto"/>
              <w:bottom w:val="single" w:sz="4" w:space="0" w:color="000000"/>
              <w:right w:val="single" w:sz="4" w:space="0" w:color="auto"/>
            </w:tcBorders>
            <w:vAlign w:val="center"/>
          </w:tcPr>
          <w:p w:rsidR="00881054" w:rsidRPr="006A2BF3" w:rsidRDefault="00881054" w:rsidP="002D57B5">
            <w:pPr>
              <w:jc w:val="center"/>
              <w:rPr>
                <w:rFonts w:ascii="Arial" w:hAnsi="Arial" w:cs="Arial"/>
                <w:i/>
                <w:iCs/>
                <w:sz w:val="16"/>
                <w:szCs w:val="16"/>
              </w:rPr>
            </w:pPr>
          </w:p>
        </w:tc>
      </w:tr>
      <w:tr w:rsidR="00881054" w:rsidRPr="006A2BF3" w:rsidTr="002D57B5">
        <w:trPr>
          <w:trHeight w:val="20"/>
        </w:trPr>
        <w:tc>
          <w:tcPr>
            <w:tcW w:w="0" w:type="auto"/>
            <w:vMerge/>
            <w:tcBorders>
              <w:top w:val="single" w:sz="4" w:space="0" w:color="000000"/>
              <w:left w:val="single" w:sz="4" w:space="0" w:color="auto"/>
              <w:bottom w:val="single" w:sz="4" w:space="0" w:color="000000"/>
              <w:right w:val="single" w:sz="4" w:space="0" w:color="auto"/>
            </w:tcBorders>
            <w:shd w:val="clear" w:color="auto" w:fill="EAF1DD"/>
            <w:vAlign w:val="center"/>
          </w:tcPr>
          <w:p w:rsidR="00881054" w:rsidRPr="006A2BF3" w:rsidRDefault="00881054" w:rsidP="002D57B5">
            <w:pPr>
              <w:rPr>
                <w:rFonts w:ascii="Arial" w:hAnsi="Arial" w:cs="Arial"/>
                <w:sz w:val="16"/>
                <w:szCs w:val="16"/>
              </w:rPr>
            </w:pPr>
          </w:p>
        </w:tc>
        <w:tc>
          <w:tcPr>
            <w:tcW w:w="0" w:type="auto"/>
            <w:tcBorders>
              <w:top w:val="nil"/>
              <w:left w:val="nil"/>
              <w:bottom w:val="single" w:sz="4" w:space="0" w:color="auto"/>
              <w:right w:val="single" w:sz="4" w:space="0" w:color="auto"/>
            </w:tcBorders>
            <w:shd w:val="clear" w:color="000000" w:fill="auto"/>
            <w:noWrap/>
            <w:vAlign w:val="center"/>
          </w:tcPr>
          <w:p w:rsidR="00881054" w:rsidRPr="006A2BF3" w:rsidRDefault="00881054" w:rsidP="002D57B5">
            <w:pPr>
              <w:rPr>
                <w:rFonts w:ascii="Arial" w:hAnsi="Arial" w:cs="Arial"/>
                <w:sz w:val="16"/>
                <w:szCs w:val="16"/>
              </w:rPr>
            </w:pPr>
            <w:r w:rsidRPr="006A2BF3">
              <w:rPr>
                <w:rFonts w:ascii="Arial" w:hAnsi="Arial" w:cs="Arial"/>
                <w:sz w:val="16"/>
                <w:szCs w:val="16"/>
              </w:rPr>
              <w:t>Východisko</w:t>
            </w:r>
          </w:p>
        </w:tc>
        <w:tc>
          <w:tcPr>
            <w:tcW w:w="0" w:type="auto"/>
            <w:tcBorders>
              <w:top w:val="nil"/>
              <w:left w:val="nil"/>
              <w:bottom w:val="single" w:sz="4" w:space="0" w:color="auto"/>
              <w:right w:val="dotted" w:sz="4" w:space="0" w:color="auto"/>
            </w:tcBorders>
            <w:noWrap/>
            <w:vAlign w:val="center"/>
          </w:tcPr>
          <w:p w:rsidR="00881054" w:rsidRPr="006A2BF3" w:rsidRDefault="00881054" w:rsidP="002D57B5">
            <w:pPr>
              <w:jc w:val="center"/>
              <w:rPr>
                <w:rFonts w:ascii="Arial" w:hAnsi="Arial" w:cs="Arial"/>
                <w:b/>
                <w:bCs/>
                <w:sz w:val="16"/>
                <w:szCs w:val="16"/>
              </w:rPr>
            </w:pPr>
            <w:r w:rsidRPr="006A2BF3">
              <w:rPr>
                <w:rFonts w:ascii="Arial" w:hAnsi="Arial" w:cs="Arial"/>
                <w:b/>
                <w:bCs/>
                <w:sz w:val="16"/>
                <w:szCs w:val="16"/>
              </w:rPr>
              <w:t>0</w:t>
            </w:r>
          </w:p>
        </w:tc>
        <w:tc>
          <w:tcPr>
            <w:tcW w:w="0" w:type="auto"/>
            <w:tcBorders>
              <w:top w:val="nil"/>
              <w:left w:val="nil"/>
              <w:bottom w:val="single" w:sz="4" w:space="0" w:color="auto"/>
              <w:right w:val="dotted" w:sz="4" w:space="0" w:color="auto"/>
            </w:tcBorders>
            <w:noWrap/>
            <w:vAlign w:val="center"/>
          </w:tcPr>
          <w:p w:rsidR="00881054" w:rsidRPr="006A2BF3" w:rsidRDefault="00881054" w:rsidP="002D57B5">
            <w:pPr>
              <w:jc w:val="center"/>
              <w:rPr>
                <w:rFonts w:ascii="Arial" w:hAnsi="Arial" w:cs="Arial"/>
                <w:i/>
                <w:iCs/>
                <w:sz w:val="16"/>
                <w:szCs w:val="16"/>
              </w:rPr>
            </w:pPr>
            <w:r w:rsidRPr="006A2BF3">
              <w:rPr>
                <w:rFonts w:ascii="Arial" w:hAnsi="Arial" w:cs="Arial"/>
                <w:i/>
                <w:iCs/>
                <w:sz w:val="16"/>
                <w:szCs w:val="16"/>
              </w:rPr>
              <w:t>N/A</w:t>
            </w:r>
          </w:p>
        </w:tc>
        <w:tc>
          <w:tcPr>
            <w:tcW w:w="0" w:type="auto"/>
            <w:tcBorders>
              <w:top w:val="nil"/>
              <w:left w:val="nil"/>
              <w:bottom w:val="single" w:sz="4" w:space="0" w:color="auto"/>
              <w:right w:val="dotted" w:sz="4" w:space="0" w:color="auto"/>
            </w:tcBorders>
            <w:noWrap/>
            <w:vAlign w:val="center"/>
          </w:tcPr>
          <w:p w:rsidR="00881054" w:rsidRPr="006A2BF3" w:rsidRDefault="00881054" w:rsidP="002D57B5">
            <w:pPr>
              <w:jc w:val="center"/>
              <w:rPr>
                <w:rFonts w:ascii="Arial" w:hAnsi="Arial" w:cs="Arial"/>
                <w:i/>
                <w:iCs/>
                <w:sz w:val="16"/>
                <w:szCs w:val="16"/>
              </w:rPr>
            </w:pPr>
            <w:r w:rsidRPr="006A2BF3">
              <w:rPr>
                <w:rFonts w:ascii="Arial" w:hAnsi="Arial" w:cs="Arial"/>
                <w:i/>
                <w:iCs/>
                <w:sz w:val="16"/>
                <w:szCs w:val="16"/>
              </w:rPr>
              <w:t>N/A</w:t>
            </w:r>
          </w:p>
        </w:tc>
        <w:tc>
          <w:tcPr>
            <w:tcW w:w="0" w:type="auto"/>
            <w:tcBorders>
              <w:top w:val="nil"/>
              <w:left w:val="nil"/>
              <w:bottom w:val="single" w:sz="4" w:space="0" w:color="auto"/>
              <w:right w:val="dotted" w:sz="4" w:space="0" w:color="auto"/>
            </w:tcBorders>
            <w:noWrap/>
            <w:vAlign w:val="center"/>
          </w:tcPr>
          <w:p w:rsidR="00881054" w:rsidRPr="006A2BF3" w:rsidRDefault="00881054" w:rsidP="002D57B5">
            <w:pPr>
              <w:jc w:val="center"/>
              <w:rPr>
                <w:rFonts w:ascii="Arial" w:hAnsi="Arial" w:cs="Arial"/>
                <w:i/>
                <w:iCs/>
                <w:sz w:val="16"/>
                <w:szCs w:val="16"/>
              </w:rPr>
            </w:pPr>
            <w:r w:rsidRPr="006A2BF3">
              <w:rPr>
                <w:rFonts w:ascii="Arial" w:hAnsi="Arial" w:cs="Arial"/>
                <w:i/>
                <w:iCs/>
                <w:sz w:val="16"/>
                <w:szCs w:val="16"/>
              </w:rPr>
              <w:t>N/A</w:t>
            </w:r>
          </w:p>
        </w:tc>
        <w:tc>
          <w:tcPr>
            <w:tcW w:w="0" w:type="auto"/>
            <w:tcBorders>
              <w:top w:val="nil"/>
              <w:left w:val="nil"/>
              <w:bottom w:val="single" w:sz="4" w:space="0" w:color="auto"/>
              <w:right w:val="dotted" w:sz="4" w:space="0" w:color="auto"/>
            </w:tcBorders>
            <w:noWrap/>
            <w:vAlign w:val="center"/>
          </w:tcPr>
          <w:p w:rsidR="00881054" w:rsidRPr="006A2BF3" w:rsidRDefault="00881054" w:rsidP="002D57B5">
            <w:pPr>
              <w:jc w:val="center"/>
              <w:rPr>
                <w:rFonts w:ascii="Arial" w:hAnsi="Arial" w:cs="Arial"/>
                <w:i/>
                <w:iCs/>
                <w:sz w:val="16"/>
                <w:szCs w:val="16"/>
              </w:rPr>
            </w:pPr>
            <w:r w:rsidRPr="006A2BF3">
              <w:rPr>
                <w:rFonts w:ascii="Arial" w:hAnsi="Arial" w:cs="Arial"/>
                <w:i/>
                <w:iCs/>
                <w:sz w:val="16"/>
                <w:szCs w:val="16"/>
              </w:rPr>
              <w:t>N/A</w:t>
            </w:r>
          </w:p>
        </w:tc>
        <w:tc>
          <w:tcPr>
            <w:tcW w:w="0" w:type="auto"/>
            <w:tcBorders>
              <w:top w:val="nil"/>
              <w:left w:val="nil"/>
              <w:bottom w:val="single" w:sz="4" w:space="0" w:color="auto"/>
              <w:right w:val="dotted" w:sz="4" w:space="0" w:color="auto"/>
            </w:tcBorders>
            <w:noWrap/>
            <w:vAlign w:val="center"/>
          </w:tcPr>
          <w:p w:rsidR="00881054" w:rsidRPr="006A2BF3" w:rsidRDefault="00881054" w:rsidP="002D57B5">
            <w:pPr>
              <w:jc w:val="center"/>
              <w:rPr>
                <w:rFonts w:ascii="Arial" w:hAnsi="Arial" w:cs="Arial"/>
                <w:i/>
                <w:iCs/>
                <w:sz w:val="16"/>
                <w:szCs w:val="16"/>
              </w:rPr>
            </w:pPr>
            <w:r w:rsidRPr="006A2BF3">
              <w:rPr>
                <w:rFonts w:ascii="Arial" w:hAnsi="Arial" w:cs="Arial"/>
                <w:i/>
                <w:iCs/>
                <w:sz w:val="16"/>
                <w:szCs w:val="16"/>
              </w:rPr>
              <w:t>N/A</w:t>
            </w:r>
          </w:p>
        </w:tc>
        <w:tc>
          <w:tcPr>
            <w:tcW w:w="0" w:type="auto"/>
            <w:tcBorders>
              <w:top w:val="nil"/>
              <w:left w:val="nil"/>
              <w:bottom w:val="single" w:sz="4" w:space="0" w:color="auto"/>
              <w:right w:val="dotted" w:sz="4" w:space="0" w:color="auto"/>
            </w:tcBorders>
            <w:noWrap/>
            <w:vAlign w:val="center"/>
          </w:tcPr>
          <w:p w:rsidR="00881054" w:rsidRPr="006A2BF3" w:rsidRDefault="00881054" w:rsidP="002D57B5">
            <w:pPr>
              <w:jc w:val="center"/>
              <w:rPr>
                <w:rFonts w:ascii="Arial" w:hAnsi="Arial" w:cs="Arial"/>
                <w:i/>
                <w:iCs/>
                <w:sz w:val="16"/>
                <w:szCs w:val="16"/>
              </w:rPr>
            </w:pPr>
            <w:r w:rsidRPr="006A2BF3">
              <w:rPr>
                <w:rFonts w:ascii="Arial" w:hAnsi="Arial" w:cs="Arial"/>
                <w:i/>
                <w:iCs/>
                <w:sz w:val="16"/>
                <w:szCs w:val="16"/>
              </w:rPr>
              <w:t>N/A</w:t>
            </w:r>
          </w:p>
        </w:tc>
        <w:tc>
          <w:tcPr>
            <w:tcW w:w="0" w:type="auto"/>
            <w:tcBorders>
              <w:top w:val="nil"/>
              <w:left w:val="nil"/>
              <w:bottom w:val="single" w:sz="4" w:space="0" w:color="auto"/>
              <w:right w:val="dotted" w:sz="4" w:space="0" w:color="auto"/>
            </w:tcBorders>
            <w:noWrap/>
            <w:vAlign w:val="center"/>
          </w:tcPr>
          <w:p w:rsidR="00881054" w:rsidRPr="006A2BF3" w:rsidRDefault="00881054" w:rsidP="002D57B5">
            <w:pPr>
              <w:jc w:val="center"/>
              <w:rPr>
                <w:rFonts w:ascii="Arial" w:hAnsi="Arial" w:cs="Arial"/>
                <w:i/>
                <w:iCs/>
                <w:sz w:val="16"/>
                <w:szCs w:val="16"/>
              </w:rPr>
            </w:pPr>
            <w:r w:rsidRPr="006A2BF3">
              <w:rPr>
                <w:rFonts w:ascii="Arial" w:hAnsi="Arial" w:cs="Arial"/>
                <w:i/>
                <w:iCs/>
                <w:sz w:val="16"/>
                <w:szCs w:val="16"/>
              </w:rPr>
              <w:t>N/A</w:t>
            </w:r>
          </w:p>
        </w:tc>
        <w:tc>
          <w:tcPr>
            <w:tcW w:w="0" w:type="auto"/>
            <w:tcBorders>
              <w:top w:val="nil"/>
              <w:left w:val="nil"/>
              <w:bottom w:val="single" w:sz="4" w:space="0" w:color="auto"/>
              <w:right w:val="dotted" w:sz="4" w:space="0" w:color="auto"/>
            </w:tcBorders>
            <w:noWrap/>
            <w:vAlign w:val="center"/>
          </w:tcPr>
          <w:p w:rsidR="00881054" w:rsidRPr="006A2BF3" w:rsidRDefault="00881054" w:rsidP="002D57B5">
            <w:pPr>
              <w:jc w:val="center"/>
              <w:rPr>
                <w:rFonts w:ascii="Arial" w:hAnsi="Arial" w:cs="Arial"/>
                <w:i/>
                <w:iCs/>
                <w:sz w:val="16"/>
                <w:szCs w:val="16"/>
              </w:rPr>
            </w:pPr>
            <w:r w:rsidRPr="006A2BF3">
              <w:rPr>
                <w:rFonts w:ascii="Arial" w:hAnsi="Arial" w:cs="Arial"/>
                <w:i/>
                <w:iCs/>
                <w:sz w:val="16"/>
                <w:szCs w:val="16"/>
              </w:rPr>
              <w:t>N/A</w:t>
            </w:r>
          </w:p>
        </w:tc>
        <w:tc>
          <w:tcPr>
            <w:tcW w:w="0" w:type="auto"/>
            <w:tcBorders>
              <w:top w:val="nil"/>
              <w:left w:val="nil"/>
              <w:bottom w:val="single" w:sz="4" w:space="0" w:color="auto"/>
              <w:right w:val="dotted" w:sz="4" w:space="0" w:color="auto"/>
            </w:tcBorders>
            <w:noWrap/>
            <w:vAlign w:val="center"/>
          </w:tcPr>
          <w:p w:rsidR="00881054" w:rsidRPr="006A2BF3" w:rsidRDefault="00881054" w:rsidP="002D57B5">
            <w:pPr>
              <w:jc w:val="center"/>
              <w:rPr>
                <w:rFonts w:ascii="Arial" w:hAnsi="Arial" w:cs="Arial"/>
                <w:b/>
                <w:bCs/>
                <w:sz w:val="16"/>
                <w:szCs w:val="16"/>
              </w:rPr>
            </w:pPr>
            <w:r w:rsidRPr="006A2BF3">
              <w:rPr>
                <w:rFonts w:ascii="Arial" w:hAnsi="Arial" w:cs="Arial"/>
                <w:b/>
                <w:bCs/>
                <w:sz w:val="16"/>
                <w:szCs w:val="16"/>
              </w:rPr>
              <w:t>0</w:t>
            </w:r>
          </w:p>
        </w:tc>
        <w:tc>
          <w:tcPr>
            <w:tcW w:w="0" w:type="auto"/>
            <w:vMerge/>
            <w:tcBorders>
              <w:top w:val="single" w:sz="4" w:space="0" w:color="auto"/>
              <w:left w:val="dotted" w:sz="4" w:space="0" w:color="auto"/>
              <w:bottom w:val="single" w:sz="4" w:space="0" w:color="000000"/>
              <w:right w:val="single" w:sz="4" w:space="0" w:color="auto"/>
            </w:tcBorders>
            <w:vAlign w:val="center"/>
          </w:tcPr>
          <w:p w:rsidR="00881054" w:rsidRPr="006A2BF3" w:rsidRDefault="00881054" w:rsidP="002D57B5">
            <w:pPr>
              <w:jc w:val="center"/>
              <w:rPr>
                <w:rFonts w:ascii="Arial" w:hAnsi="Arial" w:cs="Arial"/>
                <w:i/>
                <w:iCs/>
                <w:sz w:val="16"/>
                <w:szCs w:val="16"/>
              </w:rPr>
            </w:pPr>
          </w:p>
        </w:tc>
      </w:tr>
      <w:tr w:rsidR="00881054" w:rsidRPr="006A2BF3" w:rsidTr="002D57B5">
        <w:trPr>
          <w:trHeight w:val="20"/>
        </w:trPr>
        <w:tc>
          <w:tcPr>
            <w:tcW w:w="0" w:type="auto"/>
            <w:vMerge w:val="restart"/>
            <w:tcBorders>
              <w:top w:val="single" w:sz="4" w:space="0" w:color="000000"/>
              <w:left w:val="single" w:sz="4" w:space="0" w:color="auto"/>
              <w:bottom w:val="single" w:sz="4" w:space="0" w:color="000000"/>
              <w:right w:val="single" w:sz="4" w:space="0" w:color="auto"/>
            </w:tcBorders>
            <w:shd w:val="clear" w:color="auto" w:fill="EAF1DD"/>
            <w:vAlign w:val="center"/>
          </w:tcPr>
          <w:p w:rsidR="00881054" w:rsidRPr="006A2BF3" w:rsidRDefault="00881054" w:rsidP="002D57B5">
            <w:pPr>
              <w:rPr>
                <w:rFonts w:ascii="Arial" w:hAnsi="Arial" w:cs="Arial"/>
                <w:sz w:val="16"/>
                <w:szCs w:val="16"/>
              </w:rPr>
            </w:pPr>
            <w:r w:rsidRPr="006A2BF3">
              <w:rPr>
                <w:rFonts w:ascii="Arial" w:hAnsi="Arial" w:cs="Arial"/>
                <w:sz w:val="16"/>
                <w:szCs w:val="16"/>
              </w:rPr>
              <w:t>Hodnota projektov cielene zameraných na MR</w:t>
            </w:r>
            <w:r w:rsidR="00C27029">
              <w:rPr>
                <w:rFonts w:ascii="Arial" w:hAnsi="Arial" w:cs="Arial"/>
                <w:sz w:val="16"/>
                <w:szCs w:val="16"/>
              </w:rPr>
              <w:t>K</w:t>
            </w:r>
            <w:r>
              <w:rPr>
                <w:rFonts w:ascii="Arial" w:hAnsi="Arial" w:cs="Arial"/>
                <w:sz w:val="16"/>
                <w:szCs w:val="16"/>
              </w:rPr>
              <w:t xml:space="preserve"> </w:t>
            </w:r>
            <w:r w:rsidRPr="0046010F">
              <w:rPr>
                <w:rFonts w:ascii="Arial" w:hAnsi="Arial" w:cs="Arial"/>
                <w:sz w:val="16"/>
                <w:szCs w:val="16"/>
              </w:rPr>
              <w:t>[</w:t>
            </w:r>
            <w:r>
              <w:rPr>
                <w:rFonts w:ascii="Arial" w:hAnsi="Arial" w:cs="Arial"/>
                <w:sz w:val="16"/>
                <w:szCs w:val="16"/>
              </w:rPr>
              <w:t>EUR</w:t>
            </w:r>
            <w:r w:rsidRPr="0046010F">
              <w:rPr>
                <w:rFonts w:ascii="Arial" w:hAnsi="Arial" w:cs="Arial"/>
                <w:sz w:val="16"/>
                <w:szCs w:val="16"/>
              </w:rPr>
              <w:t>]</w:t>
            </w:r>
          </w:p>
        </w:tc>
        <w:tc>
          <w:tcPr>
            <w:tcW w:w="0" w:type="auto"/>
            <w:tcBorders>
              <w:top w:val="nil"/>
              <w:left w:val="nil"/>
              <w:bottom w:val="dotted" w:sz="4" w:space="0" w:color="auto"/>
              <w:right w:val="single" w:sz="4" w:space="0" w:color="auto"/>
            </w:tcBorders>
            <w:shd w:val="clear" w:color="000000" w:fill="auto"/>
            <w:noWrap/>
            <w:vAlign w:val="center"/>
          </w:tcPr>
          <w:p w:rsidR="00881054" w:rsidRPr="006A2BF3" w:rsidRDefault="00881054" w:rsidP="002D57B5">
            <w:pPr>
              <w:rPr>
                <w:rFonts w:ascii="Arial" w:hAnsi="Arial" w:cs="Arial"/>
                <w:sz w:val="16"/>
                <w:szCs w:val="16"/>
              </w:rPr>
            </w:pPr>
            <w:r w:rsidRPr="006A2BF3">
              <w:rPr>
                <w:rFonts w:ascii="Arial" w:hAnsi="Arial" w:cs="Arial"/>
                <w:sz w:val="16"/>
                <w:szCs w:val="16"/>
              </w:rPr>
              <w:t>Dosiahnutý výsledok</w:t>
            </w:r>
          </w:p>
        </w:tc>
        <w:tc>
          <w:tcPr>
            <w:tcW w:w="0" w:type="auto"/>
            <w:tcBorders>
              <w:top w:val="nil"/>
              <w:left w:val="nil"/>
              <w:bottom w:val="dotted" w:sz="4" w:space="0" w:color="auto"/>
              <w:right w:val="dotted" w:sz="4" w:space="0" w:color="auto"/>
            </w:tcBorders>
            <w:noWrap/>
            <w:vAlign w:val="center"/>
          </w:tcPr>
          <w:p w:rsidR="00881054" w:rsidRPr="006A2BF3" w:rsidRDefault="00881054" w:rsidP="002D57B5">
            <w:pPr>
              <w:jc w:val="center"/>
              <w:rPr>
                <w:rFonts w:ascii="Arial" w:hAnsi="Arial" w:cs="Arial"/>
                <w:b/>
                <w:bCs/>
                <w:sz w:val="16"/>
                <w:szCs w:val="16"/>
              </w:rPr>
            </w:pPr>
            <w:r w:rsidRPr="006A2BF3">
              <w:rPr>
                <w:rFonts w:ascii="Arial" w:hAnsi="Arial" w:cs="Arial"/>
                <w:b/>
                <w:bCs/>
                <w:sz w:val="16"/>
                <w:szCs w:val="16"/>
              </w:rPr>
              <w:t>0</w:t>
            </w:r>
          </w:p>
        </w:tc>
        <w:tc>
          <w:tcPr>
            <w:tcW w:w="0" w:type="auto"/>
            <w:tcBorders>
              <w:top w:val="nil"/>
              <w:left w:val="nil"/>
              <w:bottom w:val="dotted" w:sz="4" w:space="0" w:color="auto"/>
              <w:right w:val="dotted" w:sz="4" w:space="0" w:color="auto"/>
            </w:tcBorders>
            <w:noWrap/>
            <w:vAlign w:val="center"/>
          </w:tcPr>
          <w:p w:rsidR="00881054" w:rsidRPr="006A2BF3" w:rsidRDefault="00881054" w:rsidP="002D57B5">
            <w:pPr>
              <w:jc w:val="center"/>
              <w:rPr>
                <w:rFonts w:ascii="Arial" w:hAnsi="Arial" w:cs="Arial"/>
                <w:b/>
                <w:bCs/>
                <w:sz w:val="16"/>
                <w:szCs w:val="16"/>
              </w:rPr>
            </w:pPr>
            <w:r w:rsidRPr="006A2BF3">
              <w:rPr>
                <w:rFonts w:ascii="Arial" w:hAnsi="Arial" w:cs="Arial"/>
                <w:b/>
                <w:bCs/>
                <w:sz w:val="16"/>
                <w:szCs w:val="16"/>
              </w:rPr>
              <w:t>0</w:t>
            </w:r>
          </w:p>
        </w:tc>
        <w:tc>
          <w:tcPr>
            <w:tcW w:w="0" w:type="auto"/>
            <w:tcBorders>
              <w:top w:val="nil"/>
              <w:left w:val="nil"/>
              <w:bottom w:val="dotted" w:sz="4" w:space="0" w:color="auto"/>
              <w:right w:val="dotted" w:sz="4" w:space="0" w:color="auto"/>
            </w:tcBorders>
            <w:noWrap/>
            <w:vAlign w:val="center"/>
          </w:tcPr>
          <w:p w:rsidR="00881054" w:rsidRPr="006A2BF3" w:rsidRDefault="00881054" w:rsidP="002D57B5">
            <w:pPr>
              <w:jc w:val="center"/>
              <w:rPr>
                <w:rFonts w:ascii="Arial" w:hAnsi="Arial" w:cs="Arial"/>
                <w:b/>
                <w:bCs/>
                <w:sz w:val="16"/>
                <w:szCs w:val="16"/>
              </w:rPr>
            </w:pPr>
            <w:r w:rsidRPr="006A2BF3">
              <w:rPr>
                <w:rFonts w:ascii="Arial" w:hAnsi="Arial" w:cs="Arial"/>
                <w:b/>
                <w:bCs/>
                <w:sz w:val="16"/>
                <w:szCs w:val="16"/>
              </w:rPr>
              <w:t>0</w:t>
            </w:r>
          </w:p>
        </w:tc>
        <w:tc>
          <w:tcPr>
            <w:tcW w:w="0" w:type="auto"/>
            <w:tcBorders>
              <w:top w:val="nil"/>
              <w:left w:val="nil"/>
              <w:bottom w:val="dotted" w:sz="4" w:space="0" w:color="auto"/>
              <w:right w:val="dotted" w:sz="4" w:space="0" w:color="auto"/>
            </w:tcBorders>
            <w:noWrap/>
            <w:vAlign w:val="center"/>
          </w:tcPr>
          <w:p w:rsidR="00881054" w:rsidRPr="006A2BF3" w:rsidRDefault="00881054" w:rsidP="002D57B5">
            <w:pPr>
              <w:jc w:val="center"/>
              <w:rPr>
                <w:rFonts w:ascii="Arial" w:hAnsi="Arial" w:cs="Arial"/>
                <w:b/>
                <w:bCs/>
                <w:sz w:val="16"/>
                <w:szCs w:val="16"/>
              </w:rPr>
            </w:pPr>
            <w:r w:rsidRPr="006A2BF3">
              <w:rPr>
                <w:rFonts w:ascii="Arial" w:hAnsi="Arial" w:cs="Arial"/>
                <w:b/>
                <w:bCs/>
                <w:sz w:val="16"/>
                <w:szCs w:val="16"/>
              </w:rPr>
              <w:t>0</w:t>
            </w:r>
          </w:p>
        </w:tc>
        <w:tc>
          <w:tcPr>
            <w:tcW w:w="0" w:type="auto"/>
            <w:tcBorders>
              <w:top w:val="nil"/>
              <w:left w:val="nil"/>
              <w:bottom w:val="dotted" w:sz="4" w:space="0" w:color="auto"/>
              <w:right w:val="dotted" w:sz="4" w:space="0" w:color="auto"/>
            </w:tcBorders>
            <w:noWrap/>
            <w:vAlign w:val="center"/>
          </w:tcPr>
          <w:p w:rsidR="00881054" w:rsidRPr="006A2BF3" w:rsidRDefault="00881054" w:rsidP="002D57B5">
            <w:pPr>
              <w:jc w:val="center"/>
              <w:rPr>
                <w:rFonts w:ascii="Arial" w:hAnsi="Arial" w:cs="Arial"/>
                <w:b/>
                <w:bCs/>
                <w:sz w:val="16"/>
                <w:szCs w:val="16"/>
              </w:rPr>
            </w:pPr>
            <w:r w:rsidRPr="006A2BF3">
              <w:rPr>
                <w:rFonts w:ascii="Arial" w:hAnsi="Arial" w:cs="Arial"/>
                <w:b/>
                <w:bCs/>
                <w:sz w:val="16"/>
                <w:szCs w:val="16"/>
              </w:rPr>
              <w:t>0</w:t>
            </w:r>
          </w:p>
        </w:tc>
        <w:tc>
          <w:tcPr>
            <w:tcW w:w="0" w:type="auto"/>
            <w:tcBorders>
              <w:top w:val="nil"/>
              <w:left w:val="nil"/>
              <w:bottom w:val="dotted" w:sz="4" w:space="0" w:color="auto"/>
              <w:right w:val="dotted" w:sz="4" w:space="0" w:color="auto"/>
            </w:tcBorders>
            <w:noWrap/>
            <w:vAlign w:val="center"/>
          </w:tcPr>
          <w:p w:rsidR="00881054" w:rsidRPr="00AB5A54" w:rsidRDefault="009C29DA" w:rsidP="001540E7">
            <w:pPr>
              <w:rPr>
                <w:rFonts w:ascii="Arial" w:hAnsi="Arial" w:cs="Arial"/>
                <w:b/>
                <w:iCs/>
                <w:sz w:val="16"/>
                <w:szCs w:val="16"/>
              </w:rPr>
            </w:pPr>
            <w:r>
              <w:rPr>
                <w:rFonts w:ascii="Arial" w:hAnsi="Arial" w:cs="Arial"/>
                <w:b/>
                <w:iCs/>
                <w:sz w:val="16"/>
                <w:szCs w:val="16"/>
              </w:rPr>
              <w:t xml:space="preserve">  0</w:t>
            </w:r>
            <w:r w:rsidR="00881054" w:rsidRPr="00AB5A54">
              <w:rPr>
                <w:rFonts w:ascii="Arial" w:hAnsi="Arial" w:cs="Arial"/>
                <w:b/>
                <w:iCs/>
                <w:sz w:val="16"/>
                <w:szCs w:val="16"/>
              </w:rPr>
              <w:t xml:space="preserve"> </w:t>
            </w:r>
          </w:p>
        </w:tc>
        <w:tc>
          <w:tcPr>
            <w:tcW w:w="0" w:type="auto"/>
            <w:tcBorders>
              <w:top w:val="nil"/>
              <w:left w:val="nil"/>
              <w:bottom w:val="dotted" w:sz="4" w:space="0" w:color="auto"/>
              <w:right w:val="dotted" w:sz="4" w:space="0" w:color="auto"/>
            </w:tcBorders>
            <w:noWrap/>
            <w:vAlign w:val="center"/>
          </w:tcPr>
          <w:p w:rsidR="00881054" w:rsidRPr="006A2BF3" w:rsidRDefault="00881054" w:rsidP="002D57B5">
            <w:pPr>
              <w:jc w:val="center"/>
              <w:rPr>
                <w:rFonts w:ascii="Arial" w:hAnsi="Arial" w:cs="Arial"/>
                <w:i/>
                <w:iCs/>
                <w:sz w:val="16"/>
                <w:szCs w:val="16"/>
              </w:rPr>
            </w:pPr>
            <w:r w:rsidRPr="006A2BF3">
              <w:rPr>
                <w:rFonts w:ascii="Arial" w:hAnsi="Arial" w:cs="Arial"/>
                <w:i/>
                <w:iCs/>
                <w:sz w:val="16"/>
                <w:szCs w:val="16"/>
              </w:rPr>
              <w:t>N/A</w:t>
            </w:r>
          </w:p>
        </w:tc>
        <w:tc>
          <w:tcPr>
            <w:tcW w:w="0" w:type="auto"/>
            <w:tcBorders>
              <w:top w:val="nil"/>
              <w:left w:val="nil"/>
              <w:bottom w:val="dotted" w:sz="4" w:space="0" w:color="auto"/>
              <w:right w:val="dotted" w:sz="4" w:space="0" w:color="auto"/>
            </w:tcBorders>
            <w:noWrap/>
            <w:vAlign w:val="center"/>
          </w:tcPr>
          <w:p w:rsidR="00881054" w:rsidRPr="006A2BF3" w:rsidRDefault="00881054" w:rsidP="002D57B5">
            <w:pPr>
              <w:jc w:val="center"/>
              <w:rPr>
                <w:rFonts w:ascii="Arial" w:hAnsi="Arial" w:cs="Arial"/>
                <w:i/>
                <w:iCs/>
                <w:sz w:val="16"/>
                <w:szCs w:val="16"/>
              </w:rPr>
            </w:pPr>
            <w:r w:rsidRPr="006A2BF3">
              <w:rPr>
                <w:rFonts w:ascii="Arial" w:hAnsi="Arial" w:cs="Arial"/>
                <w:i/>
                <w:iCs/>
                <w:sz w:val="16"/>
                <w:szCs w:val="16"/>
              </w:rPr>
              <w:t>N/A</w:t>
            </w:r>
          </w:p>
        </w:tc>
        <w:tc>
          <w:tcPr>
            <w:tcW w:w="0" w:type="auto"/>
            <w:tcBorders>
              <w:top w:val="nil"/>
              <w:left w:val="nil"/>
              <w:bottom w:val="dotted" w:sz="4" w:space="0" w:color="auto"/>
              <w:right w:val="dotted" w:sz="4" w:space="0" w:color="auto"/>
            </w:tcBorders>
            <w:noWrap/>
            <w:vAlign w:val="center"/>
          </w:tcPr>
          <w:p w:rsidR="00881054" w:rsidRPr="006A2BF3" w:rsidRDefault="00881054" w:rsidP="002D57B5">
            <w:pPr>
              <w:jc w:val="center"/>
              <w:rPr>
                <w:rFonts w:ascii="Arial" w:hAnsi="Arial" w:cs="Arial"/>
                <w:i/>
                <w:iCs/>
                <w:sz w:val="16"/>
                <w:szCs w:val="16"/>
              </w:rPr>
            </w:pPr>
            <w:r w:rsidRPr="006A2BF3">
              <w:rPr>
                <w:rFonts w:ascii="Arial" w:hAnsi="Arial" w:cs="Arial"/>
                <w:i/>
                <w:iCs/>
                <w:sz w:val="16"/>
                <w:szCs w:val="16"/>
              </w:rPr>
              <w:t>N/A</w:t>
            </w:r>
          </w:p>
        </w:tc>
        <w:tc>
          <w:tcPr>
            <w:tcW w:w="0" w:type="auto"/>
            <w:tcBorders>
              <w:top w:val="nil"/>
              <w:left w:val="nil"/>
              <w:bottom w:val="dotted" w:sz="4" w:space="0" w:color="auto"/>
              <w:right w:val="dotted" w:sz="4" w:space="0" w:color="auto"/>
            </w:tcBorders>
            <w:noWrap/>
            <w:vAlign w:val="center"/>
          </w:tcPr>
          <w:p w:rsidR="00881054" w:rsidRPr="006A2BF3" w:rsidRDefault="009C29DA" w:rsidP="002D57B5">
            <w:pPr>
              <w:jc w:val="center"/>
              <w:rPr>
                <w:rFonts w:ascii="Arial" w:hAnsi="Arial" w:cs="Arial"/>
                <w:b/>
                <w:bCs/>
                <w:sz w:val="16"/>
                <w:szCs w:val="16"/>
              </w:rPr>
            </w:pPr>
            <w:r>
              <w:rPr>
                <w:rFonts w:ascii="Arial" w:hAnsi="Arial" w:cs="Arial"/>
                <w:b/>
                <w:iCs/>
                <w:sz w:val="16"/>
                <w:szCs w:val="16"/>
              </w:rPr>
              <w:t>0</w:t>
            </w:r>
          </w:p>
        </w:tc>
        <w:tc>
          <w:tcPr>
            <w:tcW w:w="0" w:type="auto"/>
            <w:vMerge w:val="restart"/>
            <w:tcBorders>
              <w:top w:val="nil"/>
              <w:left w:val="dotted" w:sz="4" w:space="0" w:color="auto"/>
              <w:bottom w:val="single" w:sz="4" w:space="0" w:color="000000"/>
              <w:right w:val="single" w:sz="4" w:space="0" w:color="auto"/>
            </w:tcBorders>
            <w:vAlign w:val="center"/>
          </w:tcPr>
          <w:p w:rsidR="00881054" w:rsidRPr="006A2BF3" w:rsidRDefault="00881054" w:rsidP="002D57B5">
            <w:pPr>
              <w:jc w:val="center"/>
              <w:rPr>
                <w:rFonts w:ascii="Arial" w:hAnsi="Arial" w:cs="Arial"/>
                <w:i/>
                <w:iCs/>
                <w:sz w:val="16"/>
                <w:szCs w:val="16"/>
              </w:rPr>
            </w:pPr>
            <w:r>
              <w:rPr>
                <w:rFonts w:ascii="Arial" w:hAnsi="Arial" w:cs="Arial"/>
                <w:i/>
                <w:iCs/>
                <w:sz w:val="16"/>
                <w:szCs w:val="16"/>
              </w:rPr>
              <w:t>schválené tri projekty</w:t>
            </w:r>
          </w:p>
        </w:tc>
      </w:tr>
      <w:tr w:rsidR="00881054" w:rsidRPr="006A2BF3" w:rsidTr="002D57B5">
        <w:trPr>
          <w:trHeight w:val="306"/>
        </w:trPr>
        <w:tc>
          <w:tcPr>
            <w:tcW w:w="0" w:type="auto"/>
            <w:vMerge/>
            <w:tcBorders>
              <w:top w:val="single" w:sz="4" w:space="0" w:color="000000"/>
              <w:left w:val="single" w:sz="4" w:space="0" w:color="auto"/>
              <w:bottom w:val="single" w:sz="4" w:space="0" w:color="000000"/>
              <w:right w:val="single" w:sz="4" w:space="0" w:color="auto"/>
            </w:tcBorders>
            <w:shd w:val="clear" w:color="auto" w:fill="EAF1DD"/>
            <w:vAlign w:val="center"/>
          </w:tcPr>
          <w:p w:rsidR="00881054" w:rsidRPr="006A2BF3" w:rsidRDefault="00881054" w:rsidP="002D57B5">
            <w:pPr>
              <w:rPr>
                <w:rFonts w:ascii="Arial" w:hAnsi="Arial" w:cs="Arial"/>
                <w:sz w:val="16"/>
                <w:szCs w:val="16"/>
              </w:rPr>
            </w:pPr>
          </w:p>
        </w:tc>
        <w:tc>
          <w:tcPr>
            <w:tcW w:w="0" w:type="auto"/>
            <w:tcBorders>
              <w:top w:val="nil"/>
              <w:left w:val="nil"/>
              <w:bottom w:val="dotted" w:sz="4" w:space="0" w:color="auto"/>
              <w:right w:val="single" w:sz="4" w:space="0" w:color="auto"/>
            </w:tcBorders>
            <w:shd w:val="clear" w:color="000000" w:fill="auto"/>
            <w:noWrap/>
            <w:vAlign w:val="center"/>
          </w:tcPr>
          <w:p w:rsidR="00881054" w:rsidRPr="006A2BF3" w:rsidRDefault="00881054" w:rsidP="002D57B5">
            <w:pPr>
              <w:rPr>
                <w:rFonts w:ascii="Arial" w:hAnsi="Arial" w:cs="Arial"/>
                <w:sz w:val="16"/>
                <w:szCs w:val="16"/>
              </w:rPr>
            </w:pPr>
            <w:r w:rsidRPr="006A2BF3">
              <w:rPr>
                <w:rFonts w:ascii="Arial" w:hAnsi="Arial" w:cs="Arial"/>
                <w:sz w:val="16"/>
                <w:szCs w:val="16"/>
              </w:rPr>
              <w:t>Cieľ</w:t>
            </w:r>
          </w:p>
        </w:tc>
        <w:tc>
          <w:tcPr>
            <w:tcW w:w="0" w:type="auto"/>
            <w:tcBorders>
              <w:top w:val="nil"/>
              <w:left w:val="nil"/>
              <w:bottom w:val="dotted" w:sz="4" w:space="0" w:color="auto"/>
              <w:right w:val="dotted" w:sz="4" w:space="0" w:color="auto"/>
            </w:tcBorders>
            <w:noWrap/>
            <w:vAlign w:val="center"/>
          </w:tcPr>
          <w:p w:rsidR="00881054" w:rsidRPr="006A2BF3" w:rsidRDefault="00881054" w:rsidP="002D57B5">
            <w:pPr>
              <w:jc w:val="center"/>
              <w:rPr>
                <w:rFonts w:ascii="Arial" w:hAnsi="Arial" w:cs="Arial"/>
                <w:i/>
                <w:iCs/>
                <w:sz w:val="16"/>
                <w:szCs w:val="16"/>
              </w:rPr>
            </w:pPr>
            <w:r w:rsidRPr="006A2BF3">
              <w:rPr>
                <w:rFonts w:ascii="Arial" w:hAnsi="Arial" w:cs="Arial"/>
                <w:i/>
                <w:iCs/>
                <w:sz w:val="16"/>
                <w:szCs w:val="16"/>
              </w:rPr>
              <w:t>N/A</w:t>
            </w:r>
          </w:p>
        </w:tc>
        <w:tc>
          <w:tcPr>
            <w:tcW w:w="0" w:type="auto"/>
            <w:tcBorders>
              <w:top w:val="nil"/>
              <w:left w:val="nil"/>
              <w:bottom w:val="dotted" w:sz="4" w:space="0" w:color="auto"/>
              <w:right w:val="dotted" w:sz="4" w:space="0" w:color="auto"/>
            </w:tcBorders>
            <w:noWrap/>
            <w:vAlign w:val="center"/>
          </w:tcPr>
          <w:p w:rsidR="00881054" w:rsidRPr="006A2BF3" w:rsidRDefault="00881054" w:rsidP="002D57B5">
            <w:pPr>
              <w:jc w:val="center"/>
              <w:rPr>
                <w:rFonts w:ascii="Arial" w:hAnsi="Arial" w:cs="Arial"/>
                <w:i/>
                <w:iCs/>
                <w:sz w:val="16"/>
                <w:szCs w:val="16"/>
              </w:rPr>
            </w:pPr>
            <w:r w:rsidRPr="006A2BF3">
              <w:rPr>
                <w:rFonts w:ascii="Arial" w:hAnsi="Arial" w:cs="Arial"/>
                <w:i/>
                <w:iCs/>
                <w:sz w:val="16"/>
                <w:szCs w:val="16"/>
              </w:rPr>
              <w:t>N/A</w:t>
            </w:r>
          </w:p>
        </w:tc>
        <w:tc>
          <w:tcPr>
            <w:tcW w:w="0" w:type="auto"/>
            <w:tcBorders>
              <w:top w:val="nil"/>
              <w:left w:val="nil"/>
              <w:bottom w:val="dotted" w:sz="4" w:space="0" w:color="auto"/>
              <w:right w:val="dotted" w:sz="4" w:space="0" w:color="auto"/>
            </w:tcBorders>
            <w:noWrap/>
            <w:vAlign w:val="center"/>
          </w:tcPr>
          <w:p w:rsidR="00881054" w:rsidRPr="006A2BF3" w:rsidRDefault="00881054" w:rsidP="002D57B5">
            <w:pPr>
              <w:jc w:val="center"/>
              <w:rPr>
                <w:rFonts w:ascii="Arial" w:hAnsi="Arial" w:cs="Arial"/>
                <w:i/>
                <w:iCs/>
                <w:sz w:val="16"/>
                <w:szCs w:val="16"/>
              </w:rPr>
            </w:pPr>
            <w:r w:rsidRPr="006A2BF3">
              <w:rPr>
                <w:rFonts w:ascii="Arial" w:hAnsi="Arial" w:cs="Arial"/>
                <w:i/>
                <w:iCs/>
                <w:sz w:val="16"/>
                <w:szCs w:val="16"/>
              </w:rPr>
              <w:t>N/A</w:t>
            </w:r>
          </w:p>
        </w:tc>
        <w:tc>
          <w:tcPr>
            <w:tcW w:w="0" w:type="auto"/>
            <w:tcBorders>
              <w:top w:val="nil"/>
              <w:left w:val="nil"/>
              <w:bottom w:val="dotted" w:sz="4" w:space="0" w:color="auto"/>
              <w:right w:val="dotted" w:sz="4" w:space="0" w:color="auto"/>
            </w:tcBorders>
            <w:noWrap/>
            <w:vAlign w:val="center"/>
          </w:tcPr>
          <w:p w:rsidR="00881054" w:rsidRPr="006A2BF3" w:rsidRDefault="00881054" w:rsidP="002D57B5">
            <w:pPr>
              <w:jc w:val="center"/>
              <w:rPr>
                <w:rFonts w:ascii="Arial" w:hAnsi="Arial" w:cs="Arial"/>
                <w:i/>
                <w:iCs/>
                <w:sz w:val="16"/>
                <w:szCs w:val="16"/>
              </w:rPr>
            </w:pPr>
            <w:r w:rsidRPr="006A2BF3">
              <w:rPr>
                <w:rFonts w:ascii="Arial" w:hAnsi="Arial" w:cs="Arial"/>
                <w:i/>
                <w:iCs/>
                <w:sz w:val="16"/>
                <w:szCs w:val="16"/>
              </w:rPr>
              <w:t>N/A</w:t>
            </w:r>
          </w:p>
        </w:tc>
        <w:tc>
          <w:tcPr>
            <w:tcW w:w="0" w:type="auto"/>
            <w:tcBorders>
              <w:top w:val="nil"/>
              <w:left w:val="nil"/>
              <w:bottom w:val="dotted" w:sz="4" w:space="0" w:color="auto"/>
              <w:right w:val="dotted" w:sz="4" w:space="0" w:color="auto"/>
            </w:tcBorders>
            <w:noWrap/>
            <w:vAlign w:val="center"/>
          </w:tcPr>
          <w:p w:rsidR="00881054" w:rsidRPr="006A2BF3" w:rsidRDefault="00881054" w:rsidP="002D57B5">
            <w:pPr>
              <w:jc w:val="center"/>
              <w:rPr>
                <w:rFonts w:ascii="Arial" w:hAnsi="Arial" w:cs="Arial"/>
                <w:i/>
                <w:iCs/>
                <w:sz w:val="16"/>
                <w:szCs w:val="16"/>
              </w:rPr>
            </w:pPr>
            <w:r w:rsidRPr="006A2BF3">
              <w:rPr>
                <w:rFonts w:ascii="Arial" w:hAnsi="Arial" w:cs="Arial"/>
                <w:i/>
                <w:iCs/>
                <w:sz w:val="16"/>
                <w:szCs w:val="16"/>
              </w:rPr>
              <w:t>N/A</w:t>
            </w:r>
          </w:p>
        </w:tc>
        <w:tc>
          <w:tcPr>
            <w:tcW w:w="0" w:type="auto"/>
            <w:tcBorders>
              <w:top w:val="nil"/>
              <w:left w:val="nil"/>
              <w:bottom w:val="dotted" w:sz="4" w:space="0" w:color="auto"/>
              <w:right w:val="dotted" w:sz="4" w:space="0" w:color="auto"/>
            </w:tcBorders>
            <w:noWrap/>
            <w:vAlign w:val="center"/>
          </w:tcPr>
          <w:p w:rsidR="00881054" w:rsidRPr="006A2BF3" w:rsidRDefault="00881054" w:rsidP="002D57B5">
            <w:pPr>
              <w:jc w:val="center"/>
              <w:rPr>
                <w:rFonts w:ascii="Arial" w:hAnsi="Arial" w:cs="Arial"/>
                <w:i/>
                <w:iCs/>
                <w:sz w:val="16"/>
                <w:szCs w:val="16"/>
              </w:rPr>
            </w:pPr>
            <w:r w:rsidRPr="006A2BF3">
              <w:rPr>
                <w:rFonts w:ascii="Arial" w:hAnsi="Arial" w:cs="Arial"/>
                <w:i/>
                <w:iCs/>
                <w:sz w:val="16"/>
                <w:szCs w:val="16"/>
              </w:rPr>
              <w:t>N/A</w:t>
            </w:r>
          </w:p>
        </w:tc>
        <w:tc>
          <w:tcPr>
            <w:tcW w:w="0" w:type="auto"/>
            <w:tcBorders>
              <w:top w:val="nil"/>
              <w:left w:val="nil"/>
              <w:bottom w:val="dotted" w:sz="4" w:space="0" w:color="auto"/>
              <w:right w:val="dotted" w:sz="4" w:space="0" w:color="auto"/>
            </w:tcBorders>
            <w:noWrap/>
            <w:vAlign w:val="center"/>
          </w:tcPr>
          <w:p w:rsidR="00881054" w:rsidRPr="006A2BF3" w:rsidRDefault="00881054" w:rsidP="002D57B5">
            <w:pPr>
              <w:jc w:val="center"/>
              <w:rPr>
                <w:rFonts w:ascii="Arial" w:hAnsi="Arial" w:cs="Arial"/>
                <w:i/>
                <w:iCs/>
                <w:sz w:val="16"/>
                <w:szCs w:val="16"/>
              </w:rPr>
            </w:pPr>
            <w:r w:rsidRPr="006A2BF3">
              <w:rPr>
                <w:rFonts w:ascii="Arial" w:hAnsi="Arial" w:cs="Arial"/>
                <w:i/>
                <w:iCs/>
                <w:sz w:val="16"/>
                <w:szCs w:val="16"/>
              </w:rPr>
              <w:t>N/A</w:t>
            </w:r>
          </w:p>
        </w:tc>
        <w:tc>
          <w:tcPr>
            <w:tcW w:w="0" w:type="auto"/>
            <w:tcBorders>
              <w:top w:val="nil"/>
              <w:left w:val="nil"/>
              <w:bottom w:val="dotted" w:sz="4" w:space="0" w:color="auto"/>
              <w:right w:val="dotted" w:sz="4" w:space="0" w:color="auto"/>
            </w:tcBorders>
            <w:noWrap/>
            <w:vAlign w:val="center"/>
          </w:tcPr>
          <w:p w:rsidR="00881054" w:rsidRPr="006A2BF3" w:rsidRDefault="00881054" w:rsidP="002D57B5">
            <w:pPr>
              <w:jc w:val="center"/>
              <w:rPr>
                <w:rFonts w:ascii="Arial" w:hAnsi="Arial" w:cs="Arial"/>
                <w:i/>
                <w:iCs/>
                <w:sz w:val="16"/>
                <w:szCs w:val="16"/>
              </w:rPr>
            </w:pPr>
            <w:r w:rsidRPr="006A2BF3">
              <w:rPr>
                <w:rFonts w:ascii="Arial" w:hAnsi="Arial" w:cs="Arial"/>
                <w:i/>
                <w:iCs/>
                <w:sz w:val="16"/>
                <w:szCs w:val="16"/>
              </w:rPr>
              <w:t>N/A</w:t>
            </w:r>
          </w:p>
        </w:tc>
        <w:tc>
          <w:tcPr>
            <w:tcW w:w="0" w:type="auto"/>
            <w:tcBorders>
              <w:top w:val="nil"/>
              <w:left w:val="nil"/>
              <w:bottom w:val="dotted" w:sz="4" w:space="0" w:color="auto"/>
              <w:right w:val="dotted" w:sz="4" w:space="0" w:color="auto"/>
            </w:tcBorders>
            <w:noWrap/>
            <w:vAlign w:val="center"/>
          </w:tcPr>
          <w:p w:rsidR="00881054" w:rsidRPr="006A2BF3" w:rsidRDefault="00881054" w:rsidP="002D57B5">
            <w:pPr>
              <w:jc w:val="center"/>
              <w:rPr>
                <w:rFonts w:ascii="Arial" w:hAnsi="Arial" w:cs="Arial"/>
                <w:b/>
                <w:bCs/>
                <w:sz w:val="16"/>
                <w:szCs w:val="16"/>
              </w:rPr>
            </w:pPr>
            <w:r w:rsidRPr="006A2BF3">
              <w:rPr>
                <w:rFonts w:ascii="Arial" w:hAnsi="Arial" w:cs="Arial"/>
                <w:b/>
                <w:bCs/>
                <w:sz w:val="16"/>
                <w:szCs w:val="16"/>
              </w:rPr>
              <w:t>22 937 163</w:t>
            </w:r>
          </w:p>
        </w:tc>
        <w:tc>
          <w:tcPr>
            <w:tcW w:w="0" w:type="auto"/>
            <w:tcBorders>
              <w:top w:val="nil"/>
              <w:left w:val="nil"/>
              <w:bottom w:val="dotted" w:sz="4" w:space="0" w:color="auto"/>
              <w:right w:val="dotted" w:sz="4" w:space="0" w:color="auto"/>
            </w:tcBorders>
            <w:noWrap/>
            <w:vAlign w:val="center"/>
          </w:tcPr>
          <w:p w:rsidR="00881054" w:rsidRPr="006A2BF3" w:rsidRDefault="00881054" w:rsidP="002D57B5">
            <w:pPr>
              <w:jc w:val="center"/>
              <w:rPr>
                <w:rFonts w:ascii="Arial" w:hAnsi="Arial" w:cs="Arial"/>
                <w:b/>
                <w:bCs/>
                <w:sz w:val="16"/>
                <w:szCs w:val="16"/>
              </w:rPr>
            </w:pPr>
            <w:r w:rsidRPr="006A2BF3">
              <w:rPr>
                <w:rFonts w:ascii="Arial" w:hAnsi="Arial" w:cs="Arial"/>
                <w:b/>
                <w:bCs/>
                <w:sz w:val="16"/>
                <w:szCs w:val="16"/>
              </w:rPr>
              <w:t>22 937 163</w:t>
            </w:r>
          </w:p>
        </w:tc>
        <w:tc>
          <w:tcPr>
            <w:tcW w:w="0" w:type="auto"/>
            <w:vMerge/>
            <w:tcBorders>
              <w:top w:val="nil"/>
              <w:left w:val="dotted" w:sz="4" w:space="0" w:color="auto"/>
              <w:bottom w:val="single" w:sz="4" w:space="0" w:color="000000"/>
              <w:right w:val="single" w:sz="4" w:space="0" w:color="auto"/>
            </w:tcBorders>
            <w:vAlign w:val="center"/>
          </w:tcPr>
          <w:p w:rsidR="00881054" w:rsidRPr="006A2BF3" w:rsidRDefault="00881054" w:rsidP="002D57B5">
            <w:pPr>
              <w:jc w:val="center"/>
              <w:rPr>
                <w:rFonts w:ascii="Arial" w:hAnsi="Arial" w:cs="Arial"/>
                <w:i/>
                <w:iCs/>
                <w:sz w:val="16"/>
                <w:szCs w:val="16"/>
              </w:rPr>
            </w:pPr>
          </w:p>
        </w:tc>
      </w:tr>
      <w:tr w:rsidR="00881054" w:rsidRPr="006A2BF3" w:rsidTr="002D57B5">
        <w:trPr>
          <w:trHeight w:val="20"/>
        </w:trPr>
        <w:tc>
          <w:tcPr>
            <w:tcW w:w="0" w:type="auto"/>
            <w:vMerge/>
            <w:tcBorders>
              <w:top w:val="single" w:sz="4" w:space="0" w:color="000000"/>
              <w:left w:val="single" w:sz="4" w:space="0" w:color="auto"/>
              <w:bottom w:val="single" w:sz="4" w:space="0" w:color="000000"/>
              <w:right w:val="single" w:sz="4" w:space="0" w:color="auto"/>
            </w:tcBorders>
            <w:shd w:val="clear" w:color="auto" w:fill="EAF1DD"/>
            <w:vAlign w:val="center"/>
          </w:tcPr>
          <w:p w:rsidR="00881054" w:rsidRPr="006A2BF3" w:rsidRDefault="00881054" w:rsidP="002D57B5">
            <w:pPr>
              <w:rPr>
                <w:rFonts w:ascii="Arial" w:hAnsi="Arial" w:cs="Arial"/>
                <w:sz w:val="16"/>
                <w:szCs w:val="16"/>
              </w:rPr>
            </w:pPr>
          </w:p>
        </w:tc>
        <w:tc>
          <w:tcPr>
            <w:tcW w:w="0" w:type="auto"/>
            <w:tcBorders>
              <w:top w:val="nil"/>
              <w:left w:val="nil"/>
              <w:bottom w:val="single" w:sz="4" w:space="0" w:color="auto"/>
              <w:right w:val="single" w:sz="4" w:space="0" w:color="auto"/>
            </w:tcBorders>
            <w:shd w:val="clear" w:color="000000" w:fill="auto"/>
            <w:noWrap/>
            <w:vAlign w:val="center"/>
          </w:tcPr>
          <w:p w:rsidR="00881054" w:rsidRPr="006A2BF3" w:rsidRDefault="00881054" w:rsidP="002D57B5">
            <w:pPr>
              <w:rPr>
                <w:rFonts w:ascii="Arial" w:hAnsi="Arial" w:cs="Arial"/>
                <w:sz w:val="16"/>
                <w:szCs w:val="16"/>
              </w:rPr>
            </w:pPr>
            <w:r w:rsidRPr="006A2BF3">
              <w:rPr>
                <w:rFonts w:ascii="Arial" w:hAnsi="Arial" w:cs="Arial"/>
                <w:sz w:val="16"/>
                <w:szCs w:val="16"/>
              </w:rPr>
              <w:t>Východisko</w:t>
            </w:r>
          </w:p>
        </w:tc>
        <w:tc>
          <w:tcPr>
            <w:tcW w:w="0" w:type="auto"/>
            <w:tcBorders>
              <w:top w:val="nil"/>
              <w:left w:val="nil"/>
              <w:bottom w:val="single" w:sz="4" w:space="0" w:color="auto"/>
              <w:right w:val="dotted" w:sz="4" w:space="0" w:color="auto"/>
            </w:tcBorders>
            <w:noWrap/>
            <w:vAlign w:val="center"/>
          </w:tcPr>
          <w:p w:rsidR="00881054" w:rsidRPr="006A2BF3" w:rsidRDefault="00881054" w:rsidP="002D57B5">
            <w:pPr>
              <w:jc w:val="center"/>
              <w:rPr>
                <w:rFonts w:ascii="Arial" w:hAnsi="Arial" w:cs="Arial"/>
                <w:b/>
                <w:bCs/>
                <w:sz w:val="16"/>
                <w:szCs w:val="16"/>
              </w:rPr>
            </w:pPr>
            <w:r w:rsidRPr="006A2BF3">
              <w:rPr>
                <w:rFonts w:ascii="Arial" w:hAnsi="Arial" w:cs="Arial"/>
                <w:b/>
                <w:bCs/>
                <w:sz w:val="16"/>
                <w:szCs w:val="16"/>
              </w:rPr>
              <w:t>0</w:t>
            </w:r>
          </w:p>
        </w:tc>
        <w:tc>
          <w:tcPr>
            <w:tcW w:w="0" w:type="auto"/>
            <w:tcBorders>
              <w:top w:val="nil"/>
              <w:left w:val="nil"/>
              <w:bottom w:val="single" w:sz="4" w:space="0" w:color="auto"/>
              <w:right w:val="dotted" w:sz="4" w:space="0" w:color="auto"/>
            </w:tcBorders>
            <w:noWrap/>
            <w:vAlign w:val="center"/>
          </w:tcPr>
          <w:p w:rsidR="00881054" w:rsidRPr="006A2BF3" w:rsidRDefault="00881054" w:rsidP="002D57B5">
            <w:pPr>
              <w:jc w:val="center"/>
              <w:rPr>
                <w:rFonts w:ascii="Arial" w:hAnsi="Arial" w:cs="Arial"/>
                <w:i/>
                <w:iCs/>
                <w:sz w:val="16"/>
                <w:szCs w:val="16"/>
              </w:rPr>
            </w:pPr>
            <w:r w:rsidRPr="006A2BF3">
              <w:rPr>
                <w:rFonts w:ascii="Arial" w:hAnsi="Arial" w:cs="Arial"/>
                <w:i/>
                <w:iCs/>
                <w:sz w:val="16"/>
                <w:szCs w:val="16"/>
              </w:rPr>
              <w:t>N/A</w:t>
            </w:r>
          </w:p>
        </w:tc>
        <w:tc>
          <w:tcPr>
            <w:tcW w:w="0" w:type="auto"/>
            <w:tcBorders>
              <w:top w:val="nil"/>
              <w:left w:val="nil"/>
              <w:bottom w:val="single" w:sz="4" w:space="0" w:color="auto"/>
              <w:right w:val="dotted" w:sz="4" w:space="0" w:color="auto"/>
            </w:tcBorders>
            <w:noWrap/>
            <w:vAlign w:val="center"/>
          </w:tcPr>
          <w:p w:rsidR="00881054" w:rsidRPr="006A2BF3" w:rsidRDefault="00881054" w:rsidP="002D57B5">
            <w:pPr>
              <w:jc w:val="center"/>
              <w:rPr>
                <w:rFonts w:ascii="Arial" w:hAnsi="Arial" w:cs="Arial"/>
                <w:i/>
                <w:iCs/>
                <w:sz w:val="16"/>
                <w:szCs w:val="16"/>
              </w:rPr>
            </w:pPr>
            <w:r w:rsidRPr="006A2BF3">
              <w:rPr>
                <w:rFonts w:ascii="Arial" w:hAnsi="Arial" w:cs="Arial"/>
                <w:i/>
                <w:iCs/>
                <w:sz w:val="16"/>
                <w:szCs w:val="16"/>
              </w:rPr>
              <w:t>N/A</w:t>
            </w:r>
          </w:p>
        </w:tc>
        <w:tc>
          <w:tcPr>
            <w:tcW w:w="0" w:type="auto"/>
            <w:tcBorders>
              <w:top w:val="nil"/>
              <w:left w:val="nil"/>
              <w:bottom w:val="single" w:sz="4" w:space="0" w:color="auto"/>
              <w:right w:val="dotted" w:sz="4" w:space="0" w:color="auto"/>
            </w:tcBorders>
            <w:noWrap/>
            <w:vAlign w:val="center"/>
          </w:tcPr>
          <w:p w:rsidR="00881054" w:rsidRPr="006A2BF3" w:rsidRDefault="00881054" w:rsidP="002D57B5">
            <w:pPr>
              <w:jc w:val="center"/>
              <w:rPr>
                <w:rFonts w:ascii="Arial" w:hAnsi="Arial" w:cs="Arial"/>
                <w:i/>
                <w:iCs/>
                <w:sz w:val="16"/>
                <w:szCs w:val="16"/>
              </w:rPr>
            </w:pPr>
            <w:r w:rsidRPr="006A2BF3">
              <w:rPr>
                <w:rFonts w:ascii="Arial" w:hAnsi="Arial" w:cs="Arial"/>
                <w:i/>
                <w:iCs/>
                <w:sz w:val="16"/>
                <w:szCs w:val="16"/>
              </w:rPr>
              <w:t>N/A</w:t>
            </w:r>
          </w:p>
        </w:tc>
        <w:tc>
          <w:tcPr>
            <w:tcW w:w="0" w:type="auto"/>
            <w:tcBorders>
              <w:top w:val="nil"/>
              <w:left w:val="nil"/>
              <w:bottom w:val="single" w:sz="4" w:space="0" w:color="auto"/>
              <w:right w:val="dotted" w:sz="4" w:space="0" w:color="auto"/>
            </w:tcBorders>
            <w:noWrap/>
            <w:vAlign w:val="center"/>
          </w:tcPr>
          <w:p w:rsidR="00881054" w:rsidRPr="006A2BF3" w:rsidRDefault="00881054" w:rsidP="002D57B5">
            <w:pPr>
              <w:jc w:val="center"/>
              <w:rPr>
                <w:rFonts w:ascii="Arial" w:hAnsi="Arial" w:cs="Arial"/>
                <w:i/>
                <w:iCs/>
                <w:sz w:val="16"/>
                <w:szCs w:val="16"/>
              </w:rPr>
            </w:pPr>
            <w:r w:rsidRPr="006A2BF3">
              <w:rPr>
                <w:rFonts w:ascii="Arial" w:hAnsi="Arial" w:cs="Arial"/>
                <w:i/>
                <w:iCs/>
                <w:sz w:val="16"/>
                <w:szCs w:val="16"/>
              </w:rPr>
              <w:t>N/A</w:t>
            </w:r>
          </w:p>
        </w:tc>
        <w:tc>
          <w:tcPr>
            <w:tcW w:w="0" w:type="auto"/>
            <w:tcBorders>
              <w:top w:val="nil"/>
              <w:left w:val="nil"/>
              <w:bottom w:val="single" w:sz="4" w:space="0" w:color="auto"/>
              <w:right w:val="dotted" w:sz="4" w:space="0" w:color="auto"/>
            </w:tcBorders>
            <w:noWrap/>
            <w:vAlign w:val="center"/>
          </w:tcPr>
          <w:p w:rsidR="00881054" w:rsidRPr="006A2BF3" w:rsidRDefault="00881054" w:rsidP="002D57B5">
            <w:pPr>
              <w:jc w:val="center"/>
              <w:rPr>
                <w:rFonts w:ascii="Arial" w:hAnsi="Arial" w:cs="Arial"/>
                <w:i/>
                <w:iCs/>
                <w:sz w:val="16"/>
                <w:szCs w:val="16"/>
              </w:rPr>
            </w:pPr>
            <w:r w:rsidRPr="006A2BF3">
              <w:rPr>
                <w:rFonts w:ascii="Arial" w:hAnsi="Arial" w:cs="Arial"/>
                <w:i/>
                <w:iCs/>
                <w:sz w:val="16"/>
                <w:szCs w:val="16"/>
              </w:rPr>
              <w:t>N/A</w:t>
            </w:r>
          </w:p>
        </w:tc>
        <w:tc>
          <w:tcPr>
            <w:tcW w:w="0" w:type="auto"/>
            <w:tcBorders>
              <w:top w:val="nil"/>
              <w:left w:val="nil"/>
              <w:bottom w:val="single" w:sz="4" w:space="0" w:color="auto"/>
              <w:right w:val="dotted" w:sz="4" w:space="0" w:color="auto"/>
            </w:tcBorders>
            <w:noWrap/>
            <w:vAlign w:val="center"/>
          </w:tcPr>
          <w:p w:rsidR="00881054" w:rsidRPr="006A2BF3" w:rsidRDefault="00881054" w:rsidP="002D57B5">
            <w:pPr>
              <w:jc w:val="center"/>
              <w:rPr>
                <w:rFonts w:ascii="Arial" w:hAnsi="Arial" w:cs="Arial"/>
                <w:i/>
                <w:iCs/>
                <w:sz w:val="16"/>
                <w:szCs w:val="16"/>
              </w:rPr>
            </w:pPr>
            <w:r w:rsidRPr="006A2BF3">
              <w:rPr>
                <w:rFonts w:ascii="Arial" w:hAnsi="Arial" w:cs="Arial"/>
                <w:i/>
                <w:iCs/>
                <w:sz w:val="16"/>
                <w:szCs w:val="16"/>
              </w:rPr>
              <w:t>N/A</w:t>
            </w:r>
          </w:p>
        </w:tc>
        <w:tc>
          <w:tcPr>
            <w:tcW w:w="0" w:type="auto"/>
            <w:tcBorders>
              <w:top w:val="nil"/>
              <w:left w:val="nil"/>
              <w:bottom w:val="single" w:sz="4" w:space="0" w:color="auto"/>
              <w:right w:val="dotted" w:sz="4" w:space="0" w:color="auto"/>
            </w:tcBorders>
            <w:noWrap/>
            <w:vAlign w:val="center"/>
          </w:tcPr>
          <w:p w:rsidR="00881054" w:rsidRPr="006A2BF3" w:rsidRDefault="00881054" w:rsidP="002D57B5">
            <w:pPr>
              <w:jc w:val="center"/>
              <w:rPr>
                <w:rFonts w:ascii="Arial" w:hAnsi="Arial" w:cs="Arial"/>
                <w:i/>
                <w:iCs/>
                <w:sz w:val="16"/>
                <w:szCs w:val="16"/>
              </w:rPr>
            </w:pPr>
            <w:r w:rsidRPr="006A2BF3">
              <w:rPr>
                <w:rFonts w:ascii="Arial" w:hAnsi="Arial" w:cs="Arial"/>
                <w:i/>
                <w:iCs/>
                <w:sz w:val="16"/>
                <w:szCs w:val="16"/>
              </w:rPr>
              <w:t>N/A</w:t>
            </w:r>
          </w:p>
        </w:tc>
        <w:tc>
          <w:tcPr>
            <w:tcW w:w="0" w:type="auto"/>
            <w:tcBorders>
              <w:top w:val="nil"/>
              <w:left w:val="nil"/>
              <w:bottom w:val="single" w:sz="4" w:space="0" w:color="auto"/>
              <w:right w:val="dotted" w:sz="4" w:space="0" w:color="auto"/>
            </w:tcBorders>
            <w:noWrap/>
            <w:vAlign w:val="center"/>
          </w:tcPr>
          <w:p w:rsidR="00881054" w:rsidRPr="006A2BF3" w:rsidRDefault="00881054" w:rsidP="002D57B5">
            <w:pPr>
              <w:jc w:val="center"/>
              <w:rPr>
                <w:rFonts w:ascii="Arial" w:hAnsi="Arial" w:cs="Arial"/>
                <w:i/>
                <w:iCs/>
                <w:sz w:val="16"/>
                <w:szCs w:val="16"/>
              </w:rPr>
            </w:pPr>
            <w:r w:rsidRPr="006A2BF3">
              <w:rPr>
                <w:rFonts w:ascii="Arial" w:hAnsi="Arial" w:cs="Arial"/>
                <w:i/>
                <w:iCs/>
                <w:sz w:val="16"/>
                <w:szCs w:val="16"/>
              </w:rPr>
              <w:t>N/A</w:t>
            </w:r>
          </w:p>
        </w:tc>
        <w:tc>
          <w:tcPr>
            <w:tcW w:w="0" w:type="auto"/>
            <w:tcBorders>
              <w:top w:val="nil"/>
              <w:left w:val="nil"/>
              <w:bottom w:val="single" w:sz="4" w:space="0" w:color="auto"/>
              <w:right w:val="dotted" w:sz="4" w:space="0" w:color="auto"/>
            </w:tcBorders>
            <w:noWrap/>
            <w:vAlign w:val="center"/>
          </w:tcPr>
          <w:p w:rsidR="00881054" w:rsidRPr="006A2BF3" w:rsidRDefault="00881054" w:rsidP="002D57B5">
            <w:pPr>
              <w:jc w:val="center"/>
              <w:rPr>
                <w:rFonts w:ascii="Arial" w:hAnsi="Arial" w:cs="Arial"/>
                <w:b/>
                <w:bCs/>
                <w:sz w:val="16"/>
                <w:szCs w:val="16"/>
              </w:rPr>
            </w:pPr>
            <w:r w:rsidRPr="006A2BF3">
              <w:rPr>
                <w:rFonts w:ascii="Arial" w:hAnsi="Arial" w:cs="Arial"/>
                <w:b/>
                <w:bCs/>
                <w:sz w:val="16"/>
                <w:szCs w:val="16"/>
              </w:rPr>
              <w:t>0</w:t>
            </w:r>
          </w:p>
        </w:tc>
        <w:tc>
          <w:tcPr>
            <w:tcW w:w="0" w:type="auto"/>
            <w:vMerge/>
            <w:tcBorders>
              <w:top w:val="nil"/>
              <w:left w:val="dotted" w:sz="4" w:space="0" w:color="auto"/>
              <w:bottom w:val="single" w:sz="4" w:space="0" w:color="000000"/>
              <w:right w:val="single" w:sz="4" w:space="0" w:color="auto"/>
            </w:tcBorders>
            <w:vAlign w:val="center"/>
          </w:tcPr>
          <w:p w:rsidR="00881054" w:rsidRPr="006A2BF3" w:rsidRDefault="00881054" w:rsidP="002D57B5">
            <w:pPr>
              <w:jc w:val="center"/>
              <w:rPr>
                <w:rFonts w:ascii="Arial" w:hAnsi="Arial" w:cs="Arial"/>
                <w:i/>
                <w:iCs/>
                <w:sz w:val="16"/>
                <w:szCs w:val="16"/>
              </w:rPr>
            </w:pPr>
          </w:p>
        </w:tc>
      </w:tr>
      <w:tr w:rsidR="00881054" w:rsidRPr="006A2BF3" w:rsidTr="002D57B5">
        <w:trPr>
          <w:trHeight w:val="287"/>
        </w:trPr>
        <w:tc>
          <w:tcPr>
            <w:tcW w:w="0" w:type="auto"/>
            <w:vMerge w:val="restart"/>
            <w:tcBorders>
              <w:top w:val="single" w:sz="4" w:space="0" w:color="000000"/>
              <w:left w:val="single" w:sz="4" w:space="0" w:color="auto"/>
              <w:bottom w:val="single" w:sz="4" w:space="0" w:color="000000"/>
              <w:right w:val="single" w:sz="4" w:space="0" w:color="auto"/>
            </w:tcBorders>
            <w:shd w:val="clear" w:color="auto" w:fill="EAF1DD"/>
            <w:vAlign w:val="center"/>
          </w:tcPr>
          <w:p w:rsidR="00881054" w:rsidRPr="006A2BF3" w:rsidRDefault="00881054" w:rsidP="002D57B5">
            <w:pPr>
              <w:rPr>
                <w:rFonts w:ascii="Arial" w:hAnsi="Arial" w:cs="Arial"/>
                <w:sz w:val="16"/>
                <w:szCs w:val="16"/>
              </w:rPr>
            </w:pPr>
            <w:r w:rsidRPr="006A2BF3">
              <w:rPr>
                <w:rFonts w:ascii="Arial" w:hAnsi="Arial" w:cs="Arial"/>
                <w:sz w:val="16"/>
                <w:szCs w:val="16"/>
              </w:rPr>
              <w:t>Počet vytvorených pracovných miest cielene pre MRK</w:t>
            </w:r>
            <w:r>
              <w:rPr>
                <w:rFonts w:ascii="Arial" w:hAnsi="Arial" w:cs="Arial"/>
                <w:sz w:val="16"/>
                <w:szCs w:val="16"/>
              </w:rPr>
              <w:t xml:space="preserve"> </w:t>
            </w:r>
            <w:r w:rsidRPr="0046010F">
              <w:rPr>
                <w:rFonts w:ascii="Arial" w:hAnsi="Arial" w:cs="Arial"/>
                <w:sz w:val="16"/>
                <w:szCs w:val="16"/>
              </w:rPr>
              <w:t>[počet]</w:t>
            </w:r>
            <w:r>
              <w:rPr>
                <w:rFonts w:ascii="Arial" w:hAnsi="Arial" w:cs="Arial"/>
                <w:sz w:val="16"/>
                <w:szCs w:val="16"/>
              </w:rPr>
              <w:t xml:space="preserve"> </w:t>
            </w:r>
          </w:p>
        </w:tc>
        <w:tc>
          <w:tcPr>
            <w:tcW w:w="0" w:type="auto"/>
            <w:tcBorders>
              <w:top w:val="nil"/>
              <w:left w:val="nil"/>
              <w:bottom w:val="dotted" w:sz="4" w:space="0" w:color="auto"/>
              <w:right w:val="single" w:sz="4" w:space="0" w:color="auto"/>
            </w:tcBorders>
            <w:shd w:val="clear" w:color="000000" w:fill="auto"/>
            <w:noWrap/>
            <w:vAlign w:val="center"/>
          </w:tcPr>
          <w:p w:rsidR="00881054" w:rsidRPr="006A2BF3" w:rsidRDefault="00881054" w:rsidP="002D57B5">
            <w:pPr>
              <w:rPr>
                <w:rFonts w:ascii="Arial" w:hAnsi="Arial" w:cs="Arial"/>
                <w:sz w:val="16"/>
                <w:szCs w:val="16"/>
              </w:rPr>
            </w:pPr>
            <w:r w:rsidRPr="006A2BF3">
              <w:rPr>
                <w:rFonts w:ascii="Arial" w:hAnsi="Arial" w:cs="Arial"/>
                <w:sz w:val="16"/>
                <w:szCs w:val="16"/>
              </w:rPr>
              <w:t>Dosiahnutý výsledok</w:t>
            </w:r>
          </w:p>
        </w:tc>
        <w:tc>
          <w:tcPr>
            <w:tcW w:w="0" w:type="auto"/>
            <w:tcBorders>
              <w:top w:val="nil"/>
              <w:left w:val="nil"/>
              <w:bottom w:val="dotted" w:sz="4" w:space="0" w:color="auto"/>
              <w:right w:val="dotted" w:sz="4" w:space="0" w:color="auto"/>
            </w:tcBorders>
            <w:noWrap/>
            <w:vAlign w:val="center"/>
          </w:tcPr>
          <w:p w:rsidR="00881054" w:rsidRPr="006A2BF3" w:rsidRDefault="00881054" w:rsidP="002D57B5">
            <w:pPr>
              <w:jc w:val="center"/>
              <w:rPr>
                <w:rFonts w:ascii="Arial" w:hAnsi="Arial" w:cs="Arial"/>
                <w:b/>
                <w:bCs/>
                <w:sz w:val="16"/>
                <w:szCs w:val="16"/>
              </w:rPr>
            </w:pPr>
            <w:r w:rsidRPr="006A2BF3">
              <w:rPr>
                <w:rFonts w:ascii="Arial" w:hAnsi="Arial" w:cs="Arial"/>
                <w:b/>
                <w:bCs/>
                <w:sz w:val="16"/>
                <w:szCs w:val="16"/>
              </w:rPr>
              <w:t>0</w:t>
            </w:r>
          </w:p>
        </w:tc>
        <w:tc>
          <w:tcPr>
            <w:tcW w:w="0" w:type="auto"/>
            <w:tcBorders>
              <w:top w:val="nil"/>
              <w:left w:val="nil"/>
              <w:bottom w:val="dotted" w:sz="4" w:space="0" w:color="auto"/>
              <w:right w:val="dotted" w:sz="4" w:space="0" w:color="auto"/>
            </w:tcBorders>
            <w:noWrap/>
            <w:vAlign w:val="center"/>
          </w:tcPr>
          <w:p w:rsidR="00881054" w:rsidRPr="006A2BF3" w:rsidRDefault="00881054" w:rsidP="002D57B5">
            <w:pPr>
              <w:jc w:val="center"/>
              <w:rPr>
                <w:rFonts w:ascii="Arial" w:hAnsi="Arial" w:cs="Arial"/>
                <w:b/>
                <w:bCs/>
                <w:sz w:val="16"/>
                <w:szCs w:val="16"/>
              </w:rPr>
            </w:pPr>
            <w:r w:rsidRPr="006A2BF3">
              <w:rPr>
                <w:rFonts w:ascii="Arial" w:hAnsi="Arial" w:cs="Arial"/>
                <w:b/>
                <w:bCs/>
                <w:sz w:val="16"/>
                <w:szCs w:val="16"/>
              </w:rPr>
              <w:t>0</w:t>
            </w:r>
          </w:p>
        </w:tc>
        <w:tc>
          <w:tcPr>
            <w:tcW w:w="0" w:type="auto"/>
            <w:tcBorders>
              <w:top w:val="nil"/>
              <w:left w:val="nil"/>
              <w:bottom w:val="dotted" w:sz="4" w:space="0" w:color="auto"/>
              <w:right w:val="dotted" w:sz="4" w:space="0" w:color="auto"/>
            </w:tcBorders>
            <w:noWrap/>
            <w:vAlign w:val="center"/>
          </w:tcPr>
          <w:p w:rsidR="00881054" w:rsidRPr="006A2BF3" w:rsidRDefault="00881054" w:rsidP="002D57B5">
            <w:pPr>
              <w:jc w:val="center"/>
              <w:rPr>
                <w:rFonts w:ascii="Arial" w:hAnsi="Arial" w:cs="Arial"/>
                <w:b/>
                <w:bCs/>
                <w:sz w:val="16"/>
                <w:szCs w:val="16"/>
              </w:rPr>
            </w:pPr>
            <w:r w:rsidRPr="006A2BF3">
              <w:rPr>
                <w:rFonts w:ascii="Arial" w:hAnsi="Arial" w:cs="Arial"/>
                <w:b/>
                <w:bCs/>
                <w:sz w:val="16"/>
                <w:szCs w:val="16"/>
              </w:rPr>
              <w:t>0</w:t>
            </w:r>
          </w:p>
        </w:tc>
        <w:tc>
          <w:tcPr>
            <w:tcW w:w="0" w:type="auto"/>
            <w:tcBorders>
              <w:top w:val="nil"/>
              <w:left w:val="nil"/>
              <w:bottom w:val="dotted" w:sz="4" w:space="0" w:color="auto"/>
              <w:right w:val="dotted" w:sz="4" w:space="0" w:color="auto"/>
            </w:tcBorders>
            <w:noWrap/>
            <w:vAlign w:val="center"/>
          </w:tcPr>
          <w:p w:rsidR="00881054" w:rsidRPr="006A2BF3" w:rsidRDefault="00881054" w:rsidP="002D57B5">
            <w:pPr>
              <w:jc w:val="center"/>
              <w:rPr>
                <w:rFonts w:ascii="Arial" w:hAnsi="Arial" w:cs="Arial"/>
                <w:b/>
                <w:bCs/>
                <w:sz w:val="16"/>
                <w:szCs w:val="16"/>
              </w:rPr>
            </w:pPr>
            <w:r w:rsidRPr="006A2BF3">
              <w:rPr>
                <w:rFonts w:ascii="Arial" w:hAnsi="Arial" w:cs="Arial"/>
                <w:b/>
                <w:bCs/>
                <w:sz w:val="16"/>
                <w:szCs w:val="16"/>
              </w:rPr>
              <w:t>0</w:t>
            </w:r>
          </w:p>
        </w:tc>
        <w:tc>
          <w:tcPr>
            <w:tcW w:w="0" w:type="auto"/>
            <w:tcBorders>
              <w:top w:val="nil"/>
              <w:left w:val="nil"/>
              <w:bottom w:val="dotted" w:sz="4" w:space="0" w:color="auto"/>
              <w:right w:val="dotted" w:sz="4" w:space="0" w:color="auto"/>
            </w:tcBorders>
            <w:noWrap/>
            <w:vAlign w:val="center"/>
          </w:tcPr>
          <w:p w:rsidR="00881054" w:rsidRPr="006A2BF3" w:rsidRDefault="00881054" w:rsidP="002D57B5">
            <w:pPr>
              <w:jc w:val="center"/>
              <w:rPr>
                <w:rFonts w:ascii="Arial" w:hAnsi="Arial" w:cs="Arial"/>
                <w:b/>
                <w:bCs/>
                <w:sz w:val="16"/>
                <w:szCs w:val="16"/>
              </w:rPr>
            </w:pPr>
            <w:r w:rsidRPr="006A2BF3">
              <w:rPr>
                <w:rFonts w:ascii="Arial" w:hAnsi="Arial" w:cs="Arial"/>
                <w:b/>
                <w:bCs/>
                <w:sz w:val="16"/>
                <w:szCs w:val="16"/>
              </w:rPr>
              <w:t>0</w:t>
            </w:r>
          </w:p>
        </w:tc>
        <w:tc>
          <w:tcPr>
            <w:tcW w:w="0" w:type="auto"/>
            <w:tcBorders>
              <w:top w:val="nil"/>
              <w:left w:val="nil"/>
              <w:bottom w:val="dotted" w:sz="4" w:space="0" w:color="auto"/>
              <w:right w:val="dotted" w:sz="4" w:space="0" w:color="auto"/>
            </w:tcBorders>
            <w:noWrap/>
            <w:vAlign w:val="center"/>
          </w:tcPr>
          <w:p w:rsidR="00881054" w:rsidRPr="006A2BF3" w:rsidRDefault="00881054" w:rsidP="002D57B5">
            <w:pPr>
              <w:jc w:val="center"/>
              <w:rPr>
                <w:rFonts w:ascii="Arial" w:hAnsi="Arial" w:cs="Arial"/>
                <w:i/>
                <w:iCs/>
                <w:sz w:val="16"/>
                <w:szCs w:val="16"/>
              </w:rPr>
            </w:pPr>
            <w:r w:rsidRPr="00AB5A54">
              <w:rPr>
                <w:rFonts w:ascii="Arial" w:hAnsi="Arial" w:cs="Arial"/>
                <w:b/>
                <w:iCs/>
                <w:sz w:val="16"/>
                <w:szCs w:val="16"/>
              </w:rPr>
              <w:t>3</w:t>
            </w:r>
          </w:p>
        </w:tc>
        <w:tc>
          <w:tcPr>
            <w:tcW w:w="0" w:type="auto"/>
            <w:tcBorders>
              <w:top w:val="nil"/>
              <w:left w:val="nil"/>
              <w:bottom w:val="dotted" w:sz="4" w:space="0" w:color="auto"/>
              <w:right w:val="dotted" w:sz="4" w:space="0" w:color="auto"/>
            </w:tcBorders>
            <w:noWrap/>
            <w:vAlign w:val="center"/>
          </w:tcPr>
          <w:p w:rsidR="00881054" w:rsidRPr="006A2BF3" w:rsidRDefault="00881054" w:rsidP="002D57B5">
            <w:pPr>
              <w:jc w:val="center"/>
              <w:rPr>
                <w:rFonts w:ascii="Arial" w:hAnsi="Arial" w:cs="Arial"/>
                <w:i/>
                <w:iCs/>
                <w:sz w:val="16"/>
                <w:szCs w:val="16"/>
              </w:rPr>
            </w:pPr>
            <w:r w:rsidRPr="006A2BF3">
              <w:rPr>
                <w:rFonts w:ascii="Arial" w:hAnsi="Arial" w:cs="Arial"/>
                <w:i/>
                <w:iCs/>
                <w:sz w:val="16"/>
                <w:szCs w:val="16"/>
              </w:rPr>
              <w:t>N/A</w:t>
            </w:r>
          </w:p>
        </w:tc>
        <w:tc>
          <w:tcPr>
            <w:tcW w:w="0" w:type="auto"/>
            <w:tcBorders>
              <w:top w:val="nil"/>
              <w:left w:val="nil"/>
              <w:bottom w:val="dotted" w:sz="4" w:space="0" w:color="auto"/>
              <w:right w:val="dotted" w:sz="4" w:space="0" w:color="auto"/>
            </w:tcBorders>
            <w:noWrap/>
            <w:vAlign w:val="center"/>
          </w:tcPr>
          <w:p w:rsidR="00881054" w:rsidRPr="006A2BF3" w:rsidRDefault="00881054" w:rsidP="002D57B5">
            <w:pPr>
              <w:jc w:val="center"/>
              <w:rPr>
                <w:rFonts w:ascii="Arial" w:hAnsi="Arial" w:cs="Arial"/>
                <w:i/>
                <w:iCs/>
                <w:sz w:val="16"/>
                <w:szCs w:val="16"/>
              </w:rPr>
            </w:pPr>
            <w:r w:rsidRPr="006A2BF3">
              <w:rPr>
                <w:rFonts w:ascii="Arial" w:hAnsi="Arial" w:cs="Arial"/>
                <w:i/>
                <w:iCs/>
                <w:sz w:val="16"/>
                <w:szCs w:val="16"/>
              </w:rPr>
              <w:t>N/A</w:t>
            </w:r>
          </w:p>
        </w:tc>
        <w:tc>
          <w:tcPr>
            <w:tcW w:w="0" w:type="auto"/>
            <w:tcBorders>
              <w:top w:val="nil"/>
              <w:left w:val="nil"/>
              <w:bottom w:val="dotted" w:sz="4" w:space="0" w:color="auto"/>
              <w:right w:val="dotted" w:sz="4" w:space="0" w:color="auto"/>
            </w:tcBorders>
            <w:noWrap/>
            <w:vAlign w:val="center"/>
          </w:tcPr>
          <w:p w:rsidR="00881054" w:rsidRPr="006A2BF3" w:rsidRDefault="00881054" w:rsidP="002D57B5">
            <w:pPr>
              <w:jc w:val="center"/>
              <w:rPr>
                <w:rFonts w:ascii="Arial" w:hAnsi="Arial" w:cs="Arial"/>
                <w:i/>
                <w:iCs/>
                <w:sz w:val="16"/>
                <w:szCs w:val="16"/>
              </w:rPr>
            </w:pPr>
            <w:r w:rsidRPr="006A2BF3">
              <w:rPr>
                <w:rFonts w:ascii="Arial" w:hAnsi="Arial" w:cs="Arial"/>
                <w:i/>
                <w:iCs/>
                <w:sz w:val="16"/>
                <w:szCs w:val="16"/>
              </w:rPr>
              <w:t>N/A</w:t>
            </w:r>
          </w:p>
        </w:tc>
        <w:tc>
          <w:tcPr>
            <w:tcW w:w="0" w:type="auto"/>
            <w:tcBorders>
              <w:top w:val="nil"/>
              <w:left w:val="nil"/>
              <w:bottom w:val="dotted" w:sz="4" w:space="0" w:color="auto"/>
              <w:right w:val="dotted" w:sz="4" w:space="0" w:color="auto"/>
            </w:tcBorders>
            <w:noWrap/>
            <w:vAlign w:val="center"/>
          </w:tcPr>
          <w:p w:rsidR="00881054" w:rsidRPr="006A2BF3" w:rsidRDefault="00881054" w:rsidP="002D57B5">
            <w:pPr>
              <w:jc w:val="center"/>
              <w:rPr>
                <w:rFonts w:ascii="Arial" w:hAnsi="Arial" w:cs="Arial"/>
                <w:b/>
                <w:bCs/>
                <w:sz w:val="16"/>
                <w:szCs w:val="16"/>
              </w:rPr>
            </w:pPr>
            <w:r>
              <w:rPr>
                <w:rFonts w:ascii="Arial" w:hAnsi="Arial" w:cs="Arial"/>
                <w:b/>
                <w:bCs/>
                <w:sz w:val="16"/>
                <w:szCs w:val="16"/>
              </w:rPr>
              <w:t>3</w:t>
            </w:r>
          </w:p>
        </w:tc>
        <w:tc>
          <w:tcPr>
            <w:tcW w:w="0" w:type="auto"/>
            <w:vMerge w:val="restart"/>
            <w:tcBorders>
              <w:top w:val="nil"/>
              <w:left w:val="dotted" w:sz="4" w:space="0" w:color="auto"/>
              <w:bottom w:val="single" w:sz="4" w:space="0" w:color="000000"/>
              <w:right w:val="single" w:sz="4" w:space="0" w:color="auto"/>
            </w:tcBorders>
            <w:vAlign w:val="center"/>
          </w:tcPr>
          <w:p w:rsidR="00881054" w:rsidRPr="006A2BF3" w:rsidRDefault="00881054" w:rsidP="002D57B5">
            <w:pPr>
              <w:jc w:val="center"/>
              <w:rPr>
                <w:rFonts w:ascii="Arial" w:hAnsi="Arial" w:cs="Arial"/>
                <w:i/>
                <w:iCs/>
                <w:sz w:val="16"/>
                <w:szCs w:val="16"/>
              </w:rPr>
            </w:pPr>
            <w:r>
              <w:rPr>
                <w:rFonts w:ascii="Arial" w:hAnsi="Arial" w:cs="Arial"/>
                <w:i/>
                <w:iCs/>
                <w:sz w:val="16"/>
                <w:szCs w:val="16"/>
              </w:rPr>
              <w:t>28,5</w:t>
            </w:r>
          </w:p>
        </w:tc>
      </w:tr>
      <w:tr w:rsidR="00881054" w:rsidRPr="006A2BF3" w:rsidTr="002D57B5">
        <w:trPr>
          <w:trHeight w:val="389"/>
        </w:trPr>
        <w:tc>
          <w:tcPr>
            <w:tcW w:w="0" w:type="auto"/>
            <w:vMerge/>
            <w:tcBorders>
              <w:top w:val="single" w:sz="4" w:space="0" w:color="000000"/>
              <w:left w:val="single" w:sz="4" w:space="0" w:color="auto"/>
              <w:bottom w:val="single" w:sz="4" w:space="0" w:color="000000"/>
              <w:right w:val="single" w:sz="4" w:space="0" w:color="auto"/>
            </w:tcBorders>
            <w:shd w:val="clear" w:color="auto" w:fill="EAF1DD"/>
            <w:vAlign w:val="center"/>
          </w:tcPr>
          <w:p w:rsidR="00881054" w:rsidRPr="006A2BF3" w:rsidRDefault="00881054" w:rsidP="002D57B5">
            <w:pPr>
              <w:rPr>
                <w:rFonts w:ascii="Arial" w:hAnsi="Arial" w:cs="Arial"/>
                <w:sz w:val="16"/>
                <w:szCs w:val="16"/>
              </w:rPr>
            </w:pPr>
          </w:p>
        </w:tc>
        <w:tc>
          <w:tcPr>
            <w:tcW w:w="0" w:type="auto"/>
            <w:tcBorders>
              <w:top w:val="nil"/>
              <w:left w:val="nil"/>
              <w:bottom w:val="dotted" w:sz="4" w:space="0" w:color="auto"/>
              <w:right w:val="single" w:sz="4" w:space="0" w:color="auto"/>
            </w:tcBorders>
            <w:shd w:val="clear" w:color="000000" w:fill="auto"/>
            <w:noWrap/>
            <w:vAlign w:val="center"/>
          </w:tcPr>
          <w:p w:rsidR="00881054" w:rsidRPr="006A2BF3" w:rsidRDefault="00881054" w:rsidP="002D57B5">
            <w:pPr>
              <w:rPr>
                <w:rFonts w:ascii="Arial" w:hAnsi="Arial" w:cs="Arial"/>
                <w:sz w:val="16"/>
                <w:szCs w:val="16"/>
              </w:rPr>
            </w:pPr>
            <w:r w:rsidRPr="006A2BF3">
              <w:rPr>
                <w:rFonts w:ascii="Arial" w:hAnsi="Arial" w:cs="Arial"/>
                <w:sz w:val="16"/>
                <w:szCs w:val="16"/>
              </w:rPr>
              <w:t>Cieľ</w:t>
            </w:r>
          </w:p>
        </w:tc>
        <w:tc>
          <w:tcPr>
            <w:tcW w:w="0" w:type="auto"/>
            <w:tcBorders>
              <w:top w:val="nil"/>
              <w:left w:val="nil"/>
              <w:bottom w:val="dotted" w:sz="4" w:space="0" w:color="auto"/>
              <w:right w:val="dotted" w:sz="4" w:space="0" w:color="auto"/>
            </w:tcBorders>
            <w:noWrap/>
            <w:vAlign w:val="center"/>
          </w:tcPr>
          <w:p w:rsidR="00881054" w:rsidRPr="006A2BF3" w:rsidRDefault="00881054" w:rsidP="002D57B5">
            <w:pPr>
              <w:jc w:val="center"/>
              <w:rPr>
                <w:rFonts w:ascii="Arial" w:hAnsi="Arial" w:cs="Arial"/>
                <w:i/>
                <w:iCs/>
                <w:sz w:val="16"/>
                <w:szCs w:val="16"/>
              </w:rPr>
            </w:pPr>
            <w:r w:rsidRPr="006A2BF3">
              <w:rPr>
                <w:rFonts w:ascii="Arial" w:hAnsi="Arial" w:cs="Arial"/>
                <w:i/>
                <w:iCs/>
                <w:sz w:val="16"/>
                <w:szCs w:val="16"/>
              </w:rPr>
              <w:t>N/A</w:t>
            </w:r>
          </w:p>
        </w:tc>
        <w:tc>
          <w:tcPr>
            <w:tcW w:w="0" w:type="auto"/>
            <w:tcBorders>
              <w:top w:val="nil"/>
              <w:left w:val="nil"/>
              <w:bottom w:val="dotted" w:sz="4" w:space="0" w:color="auto"/>
              <w:right w:val="dotted" w:sz="4" w:space="0" w:color="auto"/>
            </w:tcBorders>
            <w:noWrap/>
            <w:vAlign w:val="center"/>
          </w:tcPr>
          <w:p w:rsidR="00881054" w:rsidRPr="006A2BF3" w:rsidRDefault="00881054" w:rsidP="002D57B5">
            <w:pPr>
              <w:jc w:val="center"/>
              <w:rPr>
                <w:rFonts w:ascii="Arial" w:hAnsi="Arial" w:cs="Arial"/>
                <w:i/>
                <w:iCs/>
                <w:sz w:val="16"/>
                <w:szCs w:val="16"/>
              </w:rPr>
            </w:pPr>
            <w:r w:rsidRPr="006A2BF3">
              <w:rPr>
                <w:rFonts w:ascii="Arial" w:hAnsi="Arial" w:cs="Arial"/>
                <w:i/>
                <w:iCs/>
                <w:sz w:val="16"/>
                <w:szCs w:val="16"/>
              </w:rPr>
              <w:t>N/A</w:t>
            </w:r>
          </w:p>
        </w:tc>
        <w:tc>
          <w:tcPr>
            <w:tcW w:w="0" w:type="auto"/>
            <w:tcBorders>
              <w:top w:val="nil"/>
              <w:left w:val="nil"/>
              <w:bottom w:val="dotted" w:sz="4" w:space="0" w:color="auto"/>
              <w:right w:val="dotted" w:sz="4" w:space="0" w:color="auto"/>
            </w:tcBorders>
            <w:noWrap/>
            <w:vAlign w:val="center"/>
          </w:tcPr>
          <w:p w:rsidR="00881054" w:rsidRPr="006A2BF3" w:rsidRDefault="00881054" w:rsidP="002D57B5">
            <w:pPr>
              <w:jc w:val="center"/>
              <w:rPr>
                <w:rFonts w:ascii="Arial" w:hAnsi="Arial" w:cs="Arial"/>
                <w:i/>
                <w:iCs/>
                <w:sz w:val="16"/>
                <w:szCs w:val="16"/>
              </w:rPr>
            </w:pPr>
            <w:r w:rsidRPr="006A2BF3">
              <w:rPr>
                <w:rFonts w:ascii="Arial" w:hAnsi="Arial" w:cs="Arial"/>
                <w:i/>
                <w:iCs/>
                <w:sz w:val="16"/>
                <w:szCs w:val="16"/>
              </w:rPr>
              <w:t>N/A</w:t>
            </w:r>
          </w:p>
        </w:tc>
        <w:tc>
          <w:tcPr>
            <w:tcW w:w="0" w:type="auto"/>
            <w:tcBorders>
              <w:top w:val="nil"/>
              <w:left w:val="nil"/>
              <w:bottom w:val="dotted" w:sz="4" w:space="0" w:color="auto"/>
              <w:right w:val="dotted" w:sz="4" w:space="0" w:color="auto"/>
            </w:tcBorders>
            <w:noWrap/>
            <w:vAlign w:val="center"/>
          </w:tcPr>
          <w:p w:rsidR="00881054" w:rsidRPr="006A2BF3" w:rsidRDefault="00881054" w:rsidP="002D57B5">
            <w:pPr>
              <w:jc w:val="center"/>
              <w:rPr>
                <w:rFonts w:ascii="Arial" w:hAnsi="Arial" w:cs="Arial"/>
                <w:i/>
                <w:iCs/>
                <w:sz w:val="16"/>
                <w:szCs w:val="16"/>
              </w:rPr>
            </w:pPr>
            <w:r w:rsidRPr="006A2BF3">
              <w:rPr>
                <w:rFonts w:ascii="Arial" w:hAnsi="Arial" w:cs="Arial"/>
                <w:i/>
                <w:iCs/>
                <w:sz w:val="16"/>
                <w:szCs w:val="16"/>
              </w:rPr>
              <w:t>N/A</w:t>
            </w:r>
          </w:p>
        </w:tc>
        <w:tc>
          <w:tcPr>
            <w:tcW w:w="0" w:type="auto"/>
            <w:tcBorders>
              <w:top w:val="nil"/>
              <w:left w:val="nil"/>
              <w:bottom w:val="dotted" w:sz="4" w:space="0" w:color="auto"/>
              <w:right w:val="dotted" w:sz="4" w:space="0" w:color="auto"/>
            </w:tcBorders>
            <w:noWrap/>
            <w:vAlign w:val="center"/>
          </w:tcPr>
          <w:p w:rsidR="00881054" w:rsidRPr="006A2BF3" w:rsidRDefault="00881054" w:rsidP="002D57B5">
            <w:pPr>
              <w:jc w:val="center"/>
              <w:rPr>
                <w:rFonts w:ascii="Arial" w:hAnsi="Arial" w:cs="Arial"/>
                <w:i/>
                <w:iCs/>
                <w:sz w:val="16"/>
                <w:szCs w:val="16"/>
              </w:rPr>
            </w:pPr>
            <w:r w:rsidRPr="006A2BF3">
              <w:rPr>
                <w:rFonts w:ascii="Arial" w:hAnsi="Arial" w:cs="Arial"/>
                <w:i/>
                <w:iCs/>
                <w:sz w:val="16"/>
                <w:szCs w:val="16"/>
              </w:rPr>
              <w:t>N/A</w:t>
            </w:r>
          </w:p>
        </w:tc>
        <w:tc>
          <w:tcPr>
            <w:tcW w:w="0" w:type="auto"/>
            <w:tcBorders>
              <w:top w:val="nil"/>
              <w:left w:val="nil"/>
              <w:bottom w:val="dotted" w:sz="4" w:space="0" w:color="auto"/>
              <w:right w:val="dotted" w:sz="4" w:space="0" w:color="auto"/>
            </w:tcBorders>
            <w:noWrap/>
            <w:vAlign w:val="center"/>
          </w:tcPr>
          <w:p w:rsidR="00881054" w:rsidRPr="006A2BF3" w:rsidRDefault="00881054" w:rsidP="002D57B5">
            <w:pPr>
              <w:jc w:val="center"/>
              <w:rPr>
                <w:rFonts w:ascii="Arial" w:hAnsi="Arial" w:cs="Arial"/>
                <w:i/>
                <w:iCs/>
                <w:sz w:val="16"/>
                <w:szCs w:val="16"/>
              </w:rPr>
            </w:pPr>
            <w:r w:rsidRPr="006A2BF3">
              <w:rPr>
                <w:rFonts w:ascii="Arial" w:hAnsi="Arial" w:cs="Arial"/>
                <w:i/>
                <w:iCs/>
                <w:sz w:val="16"/>
                <w:szCs w:val="16"/>
              </w:rPr>
              <w:t>N/A</w:t>
            </w:r>
          </w:p>
        </w:tc>
        <w:tc>
          <w:tcPr>
            <w:tcW w:w="0" w:type="auto"/>
            <w:tcBorders>
              <w:top w:val="nil"/>
              <w:left w:val="nil"/>
              <w:bottom w:val="dotted" w:sz="4" w:space="0" w:color="auto"/>
              <w:right w:val="dotted" w:sz="4" w:space="0" w:color="auto"/>
            </w:tcBorders>
            <w:noWrap/>
            <w:vAlign w:val="center"/>
          </w:tcPr>
          <w:p w:rsidR="00881054" w:rsidRPr="006A2BF3" w:rsidRDefault="00881054" w:rsidP="002D57B5">
            <w:pPr>
              <w:jc w:val="center"/>
              <w:rPr>
                <w:rFonts w:ascii="Arial" w:hAnsi="Arial" w:cs="Arial"/>
                <w:i/>
                <w:iCs/>
                <w:sz w:val="16"/>
                <w:szCs w:val="16"/>
              </w:rPr>
            </w:pPr>
            <w:r w:rsidRPr="006A2BF3">
              <w:rPr>
                <w:rFonts w:ascii="Arial" w:hAnsi="Arial" w:cs="Arial"/>
                <w:i/>
                <w:iCs/>
                <w:sz w:val="16"/>
                <w:szCs w:val="16"/>
              </w:rPr>
              <w:t>N/A</w:t>
            </w:r>
          </w:p>
        </w:tc>
        <w:tc>
          <w:tcPr>
            <w:tcW w:w="0" w:type="auto"/>
            <w:tcBorders>
              <w:top w:val="nil"/>
              <w:left w:val="nil"/>
              <w:bottom w:val="dotted" w:sz="4" w:space="0" w:color="auto"/>
              <w:right w:val="dotted" w:sz="4" w:space="0" w:color="auto"/>
            </w:tcBorders>
            <w:noWrap/>
            <w:vAlign w:val="center"/>
          </w:tcPr>
          <w:p w:rsidR="00881054" w:rsidRPr="006A2BF3" w:rsidRDefault="00881054" w:rsidP="002D57B5">
            <w:pPr>
              <w:jc w:val="center"/>
              <w:rPr>
                <w:rFonts w:ascii="Arial" w:hAnsi="Arial" w:cs="Arial"/>
                <w:i/>
                <w:iCs/>
                <w:sz w:val="16"/>
                <w:szCs w:val="16"/>
              </w:rPr>
            </w:pPr>
            <w:r w:rsidRPr="006A2BF3">
              <w:rPr>
                <w:rFonts w:ascii="Arial" w:hAnsi="Arial" w:cs="Arial"/>
                <w:i/>
                <w:iCs/>
                <w:sz w:val="16"/>
                <w:szCs w:val="16"/>
              </w:rPr>
              <w:t>N/A</w:t>
            </w:r>
          </w:p>
        </w:tc>
        <w:tc>
          <w:tcPr>
            <w:tcW w:w="0" w:type="auto"/>
            <w:tcBorders>
              <w:top w:val="nil"/>
              <w:left w:val="nil"/>
              <w:bottom w:val="dotted" w:sz="4" w:space="0" w:color="auto"/>
              <w:right w:val="dotted" w:sz="4" w:space="0" w:color="auto"/>
            </w:tcBorders>
            <w:noWrap/>
            <w:vAlign w:val="center"/>
          </w:tcPr>
          <w:p w:rsidR="00881054" w:rsidRPr="006A2BF3" w:rsidRDefault="00881054" w:rsidP="002D57B5">
            <w:pPr>
              <w:jc w:val="center"/>
              <w:rPr>
                <w:rFonts w:ascii="Arial" w:hAnsi="Arial" w:cs="Arial"/>
                <w:b/>
                <w:bCs/>
                <w:sz w:val="16"/>
                <w:szCs w:val="16"/>
              </w:rPr>
            </w:pPr>
            <w:r w:rsidRPr="006A2BF3">
              <w:rPr>
                <w:rFonts w:ascii="Arial" w:hAnsi="Arial" w:cs="Arial"/>
                <w:b/>
                <w:bCs/>
                <w:sz w:val="16"/>
                <w:szCs w:val="16"/>
              </w:rPr>
              <w:t>30</w:t>
            </w:r>
          </w:p>
        </w:tc>
        <w:tc>
          <w:tcPr>
            <w:tcW w:w="0" w:type="auto"/>
            <w:tcBorders>
              <w:top w:val="nil"/>
              <w:left w:val="nil"/>
              <w:bottom w:val="dotted" w:sz="4" w:space="0" w:color="auto"/>
              <w:right w:val="dotted" w:sz="4" w:space="0" w:color="auto"/>
            </w:tcBorders>
            <w:noWrap/>
            <w:vAlign w:val="center"/>
          </w:tcPr>
          <w:p w:rsidR="00881054" w:rsidRPr="006A2BF3" w:rsidRDefault="00881054" w:rsidP="002D57B5">
            <w:pPr>
              <w:jc w:val="center"/>
              <w:rPr>
                <w:rFonts w:ascii="Arial" w:hAnsi="Arial" w:cs="Arial"/>
                <w:b/>
                <w:bCs/>
                <w:sz w:val="16"/>
                <w:szCs w:val="16"/>
              </w:rPr>
            </w:pPr>
            <w:r w:rsidRPr="006A2BF3">
              <w:rPr>
                <w:rFonts w:ascii="Arial" w:hAnsi="Arial" w:cs="Arial"/>
                <w:b/>
                <w:bCs/>
                <w:sz w:val="16"/>
                <w:szCs w:val="16"/>
              </w:rPr>
              <w:t>30</w:t>
            </w:r>
          </w:p>
        </w:tc>
        <w:tc>
          <w:tcPr>
            <w:tcW w:w="0" w:type="auto"/>
            <w:vMerge/>
            <w:tcBorders>
              <w:top w:val="nil"/>
              <w:left w:val="dotted" w:sz="4" w:space="0" w:color="auto"/>
              <w:bottom w:val="single" w:sz="4" w:space="0" w:color="000000"/>
              <w:right w:val="single" w:sz="4" w:space="0" w:color="auto"/>
            </w:tcBorders>
            <w:vAlign w:val="center"/>
          </w:tcPr>
          <w:p w:rsidR="00881054" w:rsidRPr="006A2BF3" w:rsidRDefault="00881054" w:rsidP="002D57B5">
            <w:pPr>
              <w:jc w:val="center"/>
              <w:rPr>
                <w:rFonts w:ascii="Arial" w:hAnsi="Arial" w:cs="Arial"/>
                <w:i/>
                <w:iCs/>
                <w:sz w:val="16"/>
                <w:szCs w:val="16"/>
              </w:rPr>
            </w:pPr>
          </w:p>
        </w:tc>
      </w:tr>
      <w:tr w:rsidR="00881054" w:rsidRPr="006A2BF3" w:rsidTr="002D57B5">
        <w:trPr>
          <w:trHeight w:val="20"/>
        </w:trPr>
        <w:tc>
          <w:tcPr>
            <w:tcW w:w="0" w:type="auto"/>
            <w:vMerge/>
            <w:tcBorders>
              <w:top w:val="single" w:sz="4" w:space="0" w:color="000000"/>
              <w:left w:val="single" w:sz="4" w:space="0" w:color="auto"/>
              <w:bottom w:val="single" w:sz="4" w:space="0" w:color="000000"/>
              <w:right w:val="single" w:sz="4" w:space="0" w:color="auto"/>
            </w:tcBorders>
            <w:shd w:val="clear" w:color="auto" w:fill="EAF1DD"/>
            <w:vAlign w:val="center"/>
          </w:tcPr>
          <w:p w:rsidR="00881054" w:rsidRPr="006A2BF3" w:rsidRDefault="00881054" w:rsidP="002D57B5">
            <w:pPr>
              <w:rPr>
                <w:rFonts w:ascii="Arial" w:hAnsi="Arial" w:cs="Arial"/>
                <w:sz w:val="16"/>
                <w:szCs w:val="16"/>
              </w:rPr>
            </w:pPr>
          </w:p>
        </w:tc>
        <w:tc>
          <w:tcPr>
            <w:tcW w:w="0" w:type="auto"/>
            <w:tcBorders>
              <w:top w:val="nil"/>
              <w:left w:val="nil"/>
              <w:bottom w:val="single" w:sz="4" w:space="0" w:color="auto"/>
              <w:right w:val="single" w:sz="4" w:space="0" w:color="auto"/>
            </w:tcBorders>
            <w:shd w:val="clear" w:color="000000" w:fill="auto"/>
            <w:noWrap/>
            <w:vAlign w:val="center"/>
          </w:tcPr>
          <w:p w:rsidR="00881054" w:rsidRPr="006A2BF3" w:rsidRDefault="00881054" w:rsidP="002D57B5">
            <w:pPr>
              <w:rPr>
                <w:rFonts w:ascii="Arial" w:hAnsi="Arial" w:cs="Arial"/>
                <w:sz w:val="16"/>
                <w:szCs w:val="16"/>
              </w:rPr>
            </w:pPr>
            <w:r w:rsidRPr="006A2BF3">
              <w:rPr>
                <w:rFonts w:ascii="Arial" w:hAnsi="Arial" w:cs="Arial"/>
                <w:sz w:val="16"/>
                <w:szCs w:val="16"/>
              </w:rPr>
              <w:t>Východisko</w:t>
            </w:r>
          </w:p>
        </w:tc>
        <w:tc>
          <w:tcPr>
            <w:tcW w:w="0" w:type="auto"/>
            <w:tcBorders>
              <w:top w:val="nil"/>
              <w:left w:val="nil"/>
              <w:bottom w:val="single" w:sz="4" w:space="0" w:color="auto"/>
              <w:right w:val="dotted" w:sz="4" w:space="0" w:color="auto"/>
            </w:tcBorders>
            <w:noWrap/>
            <w:vAlign w:val="center"/>
          </w:tcPr>
          <w:p w:rsidR="00881054" w:rsidRPr="006A2BF3" w:rsidRDefault="00881054" w:rsidP="002D57B5">
            <w:pPr>
              <w:jc w:val="center"/>
              <w:rPr>
                <w:rFonts w:ascii="Arial" w:hAnsi="Arial" w:cs="Arial"/>
                <w:b/>
                <w:bCs/>
                <w:sz w:val="16"/>
                <w:szCs w:val="16"/>
              </w:rPr>
            </w:pPr>
            <w:r w:rsidRPr="006A2BF3">
              <w:rPr>
                <w:rFonts w:ascii="Arial" w:hAnsi="Arial" w:cs="Arial"/>
                <w:b/>
                <w:bCs/>
                <w:sz w:val="16"/>
                <w:szCs w:val="16"/>
              </w:rPr>
              <w:t>0</w:t>
            </w:r>
          </w:p>
        </w:tc>
        <w:tc>
          <w:tcPr>
            <w:tcW w:w="0" w:type="auto"/>
            <w:tcBorders>
              <w:top w:val="nil"/>
              <w:left w:val="nil"/>
              <w:bottom w:val="single" w:sz="4" w:space="0" w:color="auto"/>
              <w:right w:val="dotted" w:sz="4" w:space="0" w:color="auto"/>
            </w:tcBorders>
            <w:noWrap/>
            <w:vAlign w:val="center"/>
          </w:tcPr>
          <w:p w:rsidR="00881054" w:rsidRPr="006A2BF3" w:rsidRDefault="00881054" w:rsidP="002D57B5">
            <w:pPr>
              <w:jc w:val="center"/>
              <w:rPr>
                <w:rFonts w:ascii="Arial" w:hAnsi="Arial" w:cs="Arial"/>
                <w:i/>
                <w:iCs/>
                <w:sz w:val="16"/>
                <w:szCs w:val="16"/>
              </w:rPr>
            </w:pPr>
            <w:r w:rsidRPr="006A2BF3">
              <w:rPr>
                <w:rFonts w:ascii="Arial" w:hAnsi="Arial" w:cs="Arial"/>
                <w:i/>
                <w:iCs/>
                <w:sz w:val="16"/>
                <w:szCs w:val="16"/>
              </w:rPr>
              <w:t>N/A</w:t>
            </w:r>
          </w:p>
        </w:tc>
        <w:tc>
          <w:tcPr>
            <w:tcW w:w="0" w:type="auto"/>
            <w:tcBorders>
              <w:top w:val="nil"/>
              <w:left w:val="nil"/>
              <w:bottom w:val="single" w:sz="4" w:space="0" w:color="auto"/>
              <w:right w:val="dotted" w:sz="4" w:space="0" w:color="auto"/>
            </w:tcBorders>
            <w:noWrap/>
            <w:vAlign w:val="center"/>
          </w:tcPr>
          <w:p w:rsidR="00881054" w:rsidRPr="006A2BF3" w:rsidRDefault="00881054" w:rsidP="002D57B5">
            <w:pPr>
              <w:jc w:val="center"/>
              <w:rPr>
                <w:rFonts w:ascii="Arial" w:hAnsi="Arial" w:cs="Arial"/>
                <w:i/>
                <w:iCs/>
                <w:sz w:val="16"/>
                <w:szCs w:val="16"/>
              </w:rPr>
            </w:pPr>
            <w:r w:rsidRPr="006A2BF3">
              <w:rPr>
                <w:rFonts w:ascii="Arial" w:hAnsi="Arial" w:cs="Arial"/>
                <w:i/>
                <w:iCs/>
                <w:sz w:val="16"/>
                <w:szCs w:val="16"/>
              </w:rPr>
              <w:t>N/A</w:t>
            </w:r>
          </w:p>
        </w:tc>
        <w:tc>
          <w:tcPr>
            <w:tcW w:w="0" w:type="auto"/>
            <w:tcBorders>
              <w:top w:val="nil"/>
              <w:left w:val="nil"/>
              <w:bottom w:val="single" w:sz="4" w:space="0" w:color="auto"/>
              <w:right w:val="dotted" w:sz="4" w:space="0" w:color="auto"/>
            </w:tcBorders>
            <w:noWrap/>
            <w:vAlign w:val="center"/>
          </w:tcPr>
          <w:p w:rsidR="00881054" w:rsidRPr="006A2BF3" w:rsidRDefault="00881054" w:rsidP="002D57B5">
            <w:pPr>
              <w:jc w:val="center"/>
              <w:rPr>
                <w:rFonts w:ascii="Arial" w:hAnsi="Arial" w:cs="Arial"/>
                <w:i/>
                <w:iCs/>
                <w:sz w:val="16"/>
                <w:szCs w:val="16"/>
              </w:rPr>
            </w:pPr>
            <w:r w:rsidRPr="006A2BF3">
              <w:rPr>
                <w:rFonts w:ascii="Arial" w:hAnsi="Arial" w:cs="Arial"/>
                <w:i/>
                <w:iCs/>
                <w:sz w:val="16"/>
                <w:szCs w:val="16"/>
              </w:rPr>
              <w:t>N/A</w:t>
            </w:r>
          </w:p>
        </w:tc>
        <w:tc>
          <w:tcPr>
            <w:tcW w:w="0" w:type="auto"/>
            <w:tcBorders>
              <w:top w:val="nil"/>
              <w:left w:val="nil"/>
              <w:bottom w:val="single" w:sz="4" w:space="0" w:color="auto"/>
              <w:right w:val="dotted" w:sz="4" w:space="0" w:color="auto"/>
            </w:tcBorders>
            <w:noWrap/>
            <w:vAlign w:val="center"/>
          </w:tcPr>
          <w:p w:rsidR="00881054" w:rsidRPr="006A2BF3" w:rsidRDefault="00881054" w:rsidP="002D57B5">
            <w:pPr>
              <w:jc w:val="center"/>
              <w:rPr>
                <w:rFonts w:ascii="Arial" w:hAnsi="Arial" w:cs="Arial"/>
                <w:i/>
                <w:iCs/>
                <w:sz w:val="16"/>
                <w:szCs w:val="16"/>
              </w:rPr>
            </w:pPr>
            <w:r w:rsidRPr="006A2BF3">
              <w:rPr>
                <w:rFonts w:ascii="Arial" w:hAnsi="Arial" w:cs="Arial"/>
                <w:i/>
                <w:iCs/>
                <w:sz w:val="16"/>
                <w:szCs w:val="16"/>
              </w:rPr>
              <w:t>N/A</w:t>
            </w:r>
          </w:p>
        </w:tc>
        <w:tc>
          <w:tcPr>
            <w:tcW w:w="0" w:type="auto"/>
            <w:tcBorders>
              <w:top w:val="nil"/>
              <w:left w:val="nil"/>
              <w:bottom w:val="single" w:sz="4" w:space="0" w:color="auto"/>
              <w:right w:val="dotted" w:sz="4" w:space="0" w:color="auto"/>
            </w:tcBorders>
            <w:noWrap/>
            <w:vAlign w:val="center"/>
          </w:tcPr>
          <w:p w:rsidR="00881054" w:rsidRPr="006A2BF3" w:rsidRDefault="00881054" w:rsidP="002D57B5">
            <w:pPr>
              <w:jc w:val="center"/>
              <w:rPr>
                <w:rFonts w:ascii="Arial" w:hAnsi="Arial" w:cs="Arial"/>
                <w:i/>
                <w:iCs/>
                <w:sz w:val="16"/>
                <w:szCs w:val="16"/>
              </w:rPr>
            </w:pPr>
            <w:r w:rsidRPr="006A2BF3">
              <w:rPr>
                <w:rFonts w:ascii="Arial" w:hAnsi="Arial" w:cs="Arial"/>
                <w:i/>
                <w:iCs/>
                <w:sz w:val="16"/>
                <w:szCs w:val="16"/>
              </w:rPr>
              <w:t>N/A</w:t>
            </w:r>
          </w:p>
        </w:tc>
        <w:tc>
          <w:tcPr>
            <w:tcW w:w="0" w:type="auto"/>
            <w:tcBorders>
              <w:top w:val="nil"/>
              <w:left w:val="nil"/>
              <w:bottom w:val="single" w:sz="4" w:space="0" w:color="auto"/>
              <w:right w:val="dotted" w:sz="4" w:space="0" w:color="auto"/>
            </w:tcBorders>
            <w:noWrap/>
            <w:vAlign w:val="center"/>
          </w:tcPr>
          <w:p w:rsidR="00881054" w:rsidRPr="006A2BF3" w:rsidRDefault="00881054" w:rsidP="002D57B5">
            <w:pPr>
              <w:jc w:val="center"/>
              <w:rPr>
                <w:rFonts w:ascii="Arial" w:hAnsi="Arial" w:cs="Arial"/>
                <w:i/>
                <w:iCs/>
                <w:sz w:val="16"/>
                <w:szCs w:val="16"/>
              </w:rPr>
            </w:pPr>
            <w:r w:rsidRPr="006A2BF3">
              <w:rPr>
                <w:rFonts w:ascii="Arial" w:hAnsi="Arial" w:cs="Arial"/>
                <w:i/>
                <w:iCs/>
                <w:sz w:val="16"/>
                <w:szCs w:val="16"/>
              </w:rPr>
              <w:t>N/A</w:t>
            </w:r>
          </w:p>
        </w:tc>
        <w:tc>
          <w:tcPr>
            <w:tcW w:w="0" w:type="auto"/>
            <w:tcBorders>
              <w:top w:val="nil"/>
              <w:left w:val="nil"/>
              <w:bottom w:val="single" w:sz="4" w:space="0" w:color="auto"/>
              <w:right w:val="dotted" w:sz="4" w:space="0" w:color="auto"/>
            </w:tcBorders>
            <w:noWrap/>
            <w:vAlign w:val="center"/>
          </w:tcPr>
          <w:p w:rsidR="00881054" w:rsidRPr="006A2BF3" w:rsidRDefault="00881054" w:rsidP="002D57B5">
            <w:pPr>
              <w:jc w:val="center"/>
              <w:rPr>
                <w:rFonts w:ascii="Arial" w:hAnsi="Arial" w:cs="Arial"/>
                <w:i/>
                <w:iCs/>
                <w:sz w:val="16"/>
                <w:szCs w:val="16"/>
              </w:rPr>
            </w:pPr>
            <w:r w:rsidRPr="006A2BF3">
              <w:rPr>
                <w:rFonts w:ascii="Arial" w:hAnsi="Arial" w:cs="Arial"/>
                <w:i/>
                <w:iCs/>
                <w:sz w:val="16"/>
                <w:szCs w:val="16"/>
              </w:rPr>
              <w:t>N/A</w:t>
            </w:r>
          </w:p>
        </w:tc>
        <w:tc>
          <w:tcPr>
            <w:tcW w:w="0" w:type="auto"/>
            <w:tcBorders>
              <w:top w:val="nil"/>
              <w:left w:val="nil"/>
              <w:bottom w:val="single" w:sz="4" w:space="0" w:color="auto"/>
              <w:right w:val="dotted" w:sz="4" w:space="0" w:color="auto"/>
            </w:tcBorders>
            <w:noWrap/>
            <w:vAlign w:val="center"/>
          </w:tcPr>
          <w:p w:rsidR="00881054" w:rsidRPr="006A2BF3" w:rsidRDefault="00881054" w:rsidP="002D57B5">
            <w:pPr>
              <w:jc w:val="center"/>
              <w:rPr>
                <w:rFonts w:ascii="Arial" w:hAnsi="Arial" w:cs="Arial"/>
                <w:i/>
                <w:iCs/>
                <w:sz w:val="16"/>
                <w:szCs w:val="16"/>
              </w:rPr>
            </w:pPr>
            <w:r w:rsidRPr="006A2BF3">
              <w:rPr>
                <w:rFonts w:ascii="Arial" w:hAnsi="Arial" w:cs="Arial"/>
                <w:i/>
                <w:iCs/>
                <w:sz w:val="16"/>
                <w:szCs w:val="16"/>
              </w:rPr>
              <w:t>N/A</w:t>
            </w:r>
          </w:p>
        </w:tc>
        <w:tc>
          <w:tcPr>
            <w:tcW w:w="0" w:type="auto"/>
            <w:tcBorders>
              <w:top w:val="nil"/>
              <w:left w:val="nil"/>
              <w:bottom w:val="single" w:sz="4" w:space="0" w:color="auto"/>
              <w:right w:val="dotted" w:sz="4" w:space="0" w:color="auto"/>
            </w:tcBorders>
            <w:noWrap/>
            <w:vAlign w:val="center"/>
          </w:tcPr>
          <w:p w:rsidR="00881054" w:rsidRPr="006A2BF3" w:rsidRDefault="00881054" w:rsidP="002D57B5">
            <w:pPr>
              <w:jc w:val="center"/>
              <w:rPr>
                <w:rFonts w:ascii="Arial" w:hAnsi="Arial" w:cs="Arial"/>
                <w:b/>
                <w:bCs/>
                <w:sz w:val="16"/>
                <w:szCs w:val="16"/>
              </w:rPr>
            </w:pPr>
            <w:r w:rsidRPr="006A2BF3">
              <w:rPr>
                <w:rFonts w:ascii="Arial" w:hAnsi="Arial" w:cs="Arial"/>
                <w:b/>
                <w:bCs/>
                <w:sz w:val="16"/>
                <w:szCs w:val="16"/>
              </w:rPr>
              <w:t>0</w:t>
            </w:r>
          </w:p>
        </w:tc>
        <w:tc>
          <w:tcPr>
            <w:tcW w:w="0" w:type="auto"/>
            <w:vMerge/>
            <w:tcBorders>
              <w:top w:val="nil"/>
              <w:left w:val="dotted" w:sz="4" w:space="0" w:color="auto"/>
              <w:bottom w:val="single" w:sz="4" w:space="0" w:color="000000"/>
              <w:right w:val="single" w:sz="4" w:space="0" w:color="auto"/>
            </w:tcBorders>
            <w:vAlign w:val="center"/>
          </w:tcPr>
          <w:p w:rsidR="00881054" w:rsidRPr="006A2BF3" w:rsidRDefault="00881054" w:rsidP="002D57B5">
            <w:pPr>
              <w:jc w:val="center"/>
              <w:rPr>
                <w:rFonts w:ascii="Arial" w:hAnsi="Arial" w:cs="Arial"/>
                <w:i/>
                <w:iCs/>
                <w:sz w:val="16"/>
                <w:szCs w:val="16"/>
              </w:rPr>
            </w:pPr>
          </w:p>
        </w:tc>
      </w:tr>
      <w:tr w:rsidR="00881054" w:rsidRPr="006A2BF3" w:rsidTr="002D57B5">
        <w:trPr>
          <w:trHeight w:val="303"/>
        </w:trPr>
        <w:tc>
          <w:tcPr>
            <w:tcW w:w="0" w:type="auto"/>
            <w:vMerge w:val="restart"/>
            <w:tcBorders>
              <w:top w:val="single" w:sz="4" w:space="0" w:color="000000"/>
              <w:left w:val="single" w:sz="4" w:space="0" w:color="auto"/>
              <w:bottom w:val="single" w:sz="4" w:space="0" w:color="000000"/>
              <w:right w:val="single" w:sz="4" w:space="0" w:color="auto"/>
            </w:tcBorders>
            <w:shd w:val="clear" w:color="auto" w:fill="EAF1DD"/>
            <w:vAlign w:val="center"/>
          </w:tcPr>
          <w:p w:rsidR="00881054" w:rsidRPr="006A2BF3" w:rsidRDefault="00881054" w:rsidP="002D57B5">
            <w:pPr>
              <w:rPr>
                <w:rFonts w:ascii="Arial" w:hAnsi="Arial" w:cs="Arial"/>
                <w:sz w:val="16"/>
                <w:szCs w:val="16"/>
              </w:rPr>
            </w:pPr>
            <w:r w:rsidRPr="006A2BF3">
              <w:rPr>
                <w:rFonts w:ascii="Arial" w:hAnsi="Arial" w:cs="Arial"/>
                <w:sz w:val="16"/>
                <w:szCs w:val="16"/>
              </w:rPr>
              <w:t>Počet príslušníkov MRK využívajúcich výstupy projektu</w:t>
            </w:r>
            <w:r>
              <w:rPr>
                <w:rFonts w:ascii="Arial" w:hAnsi="Arial" w:cs="Arial"/>
                <w:sz w:val="16"/>
                <w:szCs w:val="16"/>
              </w:rPr>
              <w:t xml:space="preserve"> </w:t>
            </w:r>
            <w:r w:rsidRPr="0046010F">
              <w:rPr>
                <w:rFonts w:ascii="Arial" w:hAnsi="Arial" w:cs="Arial"/>
                <w:sz w:val="16"/>
                <w:szCs w:val="16"/>
              </w:rPr>
              <w:t>[počet]</w:t>
            </w:r>
          </w:p>
        </w:tc>
        <w:tc>
          <w:tcPr>
            <w:tcW w:w="0" w:type="auto"/>
            <w:tcBorders>
              <w:top w:val="nil"/>
              <w:left w:val="nil"/>
              <w:bottom w:val="dotted" w:sz="4" w:space="0" w:color="auto"/>
              <w:right w:val="single" w:sz="4" w:space="0" w:color="auto"/>
            </w:tcBorders>
            <w:shd w:val="clear" w:color="000000" w:fill="auto"/>
            <w:noWrap/>
            <w:vAlign w:val="center"/>
          </w:tcPr>
          <w:p w:rsidR="00881054" w:rsidRPr="006A2BF3" w:rsidRDefault="00881054" w:rsidP="002D57B5">
            <w:pPr>
              <w:rPr>
                <w:rFonts w:ascii="Arial" w:hAnsi="Arial" w:cs="Arial"/>
                <w:sz w:val="16"/>
                <w:szCs w:val="16"/>
              </w:rPr>
            </w:pPr>
            <w:r w:rsidRPr="006A2BF3">
              <w:rPr>
                <w:rFonts w:ascii="Arial" w:hAnsi="Arial" w:cs="Arial"/>
                <w:sz w:val="16"/>
                <w:szCs w:val="16"/>
              </w:rPr>
              <w:t>Dosiahnutý výsledok</w:t>
            </w:r>
          </w:p>
        </w:tc>
        <w:tc>
          <w:tcPr>
            <w:tcW w:w="0" w:type="auto"/>
            <w:tcBorders>
              <w:top w:val="nil"/>
              <w:left w:val="nil"/>
              <w:bottom w:val="dotted" w:sz="4" w:space="0" w:color="auto"/>
              <w:right w:val="dotted" w:sz="4" w:space="0" w:color="auto"/>
            </w:tcBorders>
            <w:noWrap/>
            <w:vAlign w:val="center"/>
          </w:tcPr>
          <w:p w:rsidR="00881054" w:rsidRPr="006A2BF3" w:rsidRDefault="00881054" w:rsidP="002D57B5">
            <w:pPr>
              <w:jc w:val="center"/>
              <w:rPr>
                <w:rFonts w:ascii="Arial" w:hAnsi="Arial" w:cs="Arial"/>
                <w:b/>
                <w:bCs/>
                <w:sz w:val="16"/>
                <w:szCs w:val="16"/>
              </w:rPr>
            </w:pPr>
            <w:r w:rsidRPr="006A2BF3">
              <w:rPr>
                <w:rFonts w:ascii="Arial" w:hAnsi="Arial" w:cs="Arial"/>
                <w:b/>
                <w:bCs/>
                <w:sz w:val="16"/>
                <w:szCs w:val="16"/>
              </w:rPr>
              <w:t>0</w:t>
            </w:r>
          </w:p>
        </w:tc>
        <w:tc>
          <w:tcPr>
            <w:tcW w:w="0" w:type="auto"/>
            <w:tcBorders>
              <w:top w:val="nil"/>
              <w:left w:val="nil"/>
              <w:bottom w:val="dotted" w:sz="4" w:space="0" w:color="auto"/>
              <w:right w:val="dotted" w:sz="4" w:space="0" w:color="auto"/>
            </w:tcBorders>
            <w:noWrap/>
            <w:vAlign w:val="center"/>
          </w:tcPr>
          <w:p w:rsidR="00881054" w:rsidRPr="006A2BF3" w:rsidRDefault="00881054" w:rsidP="002D57B5">
            <w:pPr>
              <w:jc w:val="center"/>
              <w:rPr>
                <w:rFonts w:ascii="Arial" w:hAnsi="Arial" w:cs="Arial"/>
                <w:b/>
                <w:bCs/>
                <w:sz w:val="16"/>
                <w:szCs w:val="16"/>
              </w:rPr>
            </w:pPr>
            <w:r w:rsidRPr="006A2BF3">
              <w:rPr>
                <w:rFonts w:ascii="Arial" w:hAnsi="Arial" w:cs="Arial"/>
                <w:b/>
                <w:bCs/>
                <w:sz w:val="16"/>
                <w:szCs w:val="16"/>
              </w:rPr>
              <w:t>0</w:t>
            </w:r>
          </w:p>
        </w:tc>
        <w:tc>
          <w:tcPr>
            <w:tcW w:w="0" w:type="auto"/>
            <w:tcBorders>
              <w:top w:val="nil"/>
              <w:left w:val="nil"/>
              <w:bottom w:val="dotted" w:sz="4" w:space="0" w:color="auto"/>
              <w:right w:val="dotted" w:sz="4" w:space="0" w:color="auto"/>
            </w:tcBorders>
            <w:noWrap/>
            <w:vAlign w:val="center"/>
          </w:tcPr>
          <w:p w:rsidR="00881054" w:rsidRPr="006A2BF3" w:rsidRDefault="00881054" w:rsidP="002D57B5">
            <w:pPr>
              <w:jc w:val="center"/>
              <w:rPr>
                <w:rFonts w:ascii="Arial" w:hAnsi="Arial" w:cs="Arial"/>
                <w:b/>
                <w:bCs/>
                <w:sz w:val="16"/>
                <w:szCs w:val="16"/>
              </w:rPr>
            </w:pPr>
            <w:r w:rsidRPr="006A2BF3">
              <w:rPr>
                <w:rFonts w:ascii="Arial" w:hAnsi="Arial" w:cs="Arial"/>
                <w:b/>
                <w:bCs/>
                <w:sz w:val="16"/>
                <w:szCs w:val="16"/>
              </w:rPr>
              <w:t>0</w:t>
            </w:r>
          </w:p>
        </w:tc>
        <w:tc>
          <w:tcPr>
            <w:tcW w:w="0" w:type="auto"/>
            <w:tcBorders>
              <w:top w:val="nil"/>
              <w:left w:val="nil"/>
              <w:bottom w:val="dotted" w:sz="4" w:space="0" w:color="auto"/>
              <w:right w:val="dotted" w:sz="4" w:space="0" w:color="auto"/>
            </w:tcBorders>
            <w:noWrap/>
            <w:vAlign w:val="center"/>
          </w:tcPr>
          <w:p w:rsidR="00881054" w:rsidRPr="006A2BF3" w:rsidRDefault="00881054" w:rsidP="002D57B5">
            <w:pPr>
              <w:jc w:val="center"/>
              <w:rPr>
                <w:rFonts w:ascii="Arial" w:hAnsi="Arial" w:cs="Arial"/>
                <w:b/>
                <w:bCs/>
                <w:sz w:val="16"/>
                <w:szCs w:val="16"/>
              </w:rPr>
            </w:pPr>
            <w:r w:rsidRPr="006A2BF3">
              <w:rPr>
                <w:rFonts w:ascii="Arial" w:hAnsi="Arial" w:cs="Arial"/>
                <w:b/>
                <w:bCs/>
                <w:sz w:val="16"/>
                <w:szCs w:val="16"/>
              </w:rPr>
              <w:t>0</w:t>
            </w:r>
          </w:p>
        </w:tc>
        <w:tc>
          <w:tcPr>
            <w:tcW w:w="0" w:type="auto"/>
            <w:tcBorders>
              <w:top w:val="nil"/>
              <w:left w:val="nil"/>
              <w:bottom w:val="dotted" w:sz="4" w:space="0" w:color="auto"/>
              <w:right w:val="dotted" w:sz="4" w:space="0" w:color="auto"/>
            </w:tcBorders>
            <w:noWrap/>
            <w:vAlign w:val="center"/>
          </w:tcPr>
          <w:p w:rsidR="00881054" w:rsidRPr="006A2BF3" w:rsidRDefault="00881054" w:rsidP="002D57B5">
            <w:pPr>
              <w:jc w:val="center"/>
              <w:rPr>
                <w:rFonts w:ascii="Arial" w:hAnsi="Arial" w:cs="Arial"/>
                <w:b/>
                <w:bCs/>
                <w:sz w:val="16"/>
                <w:szCs w:val="16"/>
              </w:rPr>
            </w:pPr>
            <w:r w:rsidRPr="006A2BF3">
              <w:rPr>
                <w:rFonts w:ascii="Arial" w:hAnsi="Arial" w:cs="Arial"/>
                <w:b/>
                <w:bCs/>
                <w:sz w:val="16"/>
                <w:szCs w:val="16"/>
              </w:rPr>
              <w:t>557</w:t>
            </w:r>
          </w:p>
        </w:tc>
        <w:tc>
          <w:tcPr>
            <w:tcW w:w="0" w:type="auto"/>
            <w:tcBorders>
              <w:top w:val="nil"/>
              <w:left w:val="nil"/>
              <w:bottom w:val="dotted" w:sz="4" w:space="0" w:color="auto"/>
              <w:right w:val="dotted" w:sz="4" w:space="0" w:color="auto"/>
            </w:tcBorders>
            <w:noWrap/>
            <w:vAlign w:val="center"/>
          </w:tcPr>
          <w:p w:rsidR="00881054" w:rsidRPr="006A2BF3" w:rsidRDefault="00881054" w:rsidP="002D57B5">
            <w:pPr>
              <w:jc w:val="center"/>
              <w:rPr>
                <w:rFonts w:ascii="Arial" w:hAnsi="Arial" w:cs="Arial"/>
                <w:i/>
                <w:iCs/>
                <w:sz w:val="16"/>
                <w:szCs w:val="16"/>
              </w:rPr>
            </w:pPr>
            <w:r w:rsidRPr="00AB5A54">
              <w:rPr>
                <w:rFonts w:ascii="Arial" w:hAnsi="Arial" w:cs="Arial"/>
                <w:b/>
                <w:iCs/>
                <w:sz w:val="16"/>
                <w:szCs w:val="16"/>
              </w:rPr>
              <w:t>1415</w:t>
            </w:r>
          </w:p>
        </w:tc>
        <w:tc>
          <w:tcPr>
            <w:tcW w:w="0" w:type="auto"/>
            <w:tcBorders>
              <w:top w:val="nil"/>
              <w:left w:val="nil"/>
              <w:bottom w:val="dotted" w:sz="4" w:space="0" w:color="auto"/>
              <w:right w:val="dotted" w:sz="4" w:space="0" w:color="auto"/>
            </w:tcBorders>
            <w:noWrap/>
            <w:vAlign w:val="center"/>
          </w:tcPr>
          <w:p w:rsidR="00881054" w:rsidRPr="006A2BF3" w:rsidRDefault="00881054" w:rsidP="002D57B5">
            <w:pPr>
              <w:jc w:val="center"/>
              <w:rPr>
                <w:rFonts w:ascii="Arial" w:hAnsi="Arial" w:cs="Arial"/>
                <w:i/>
                <w:iCs/>
                <w:sz w:val="16"/>
                <w:szCs w:val="16"/>
              </w:rPr>
            </w:pPr>
            <w:r w:rsidRPr="006A2BF3">
              <w:rPr>
                <w:rFonts w:ascii="Arial" w:hAnsi="Arial" w:cs="Arial"/>
                <w:i/>
                <w:iCs/>
                <w:sz w:val="16"/>
                <w:szCs w:val="16"/>
              </w:rPr>
              <w:t>N/A</w:t>
            </w:r>
          </w:p>
        </w:tc>
        <w:tc>
          <w:tcPr>
            <w:tcW w:w="0" w:type="auto"/>
            <w:tcBorders>
              <w:top w:val="nil"/>
              <w:left w:val="nil"/>
              <w:bottom w:val="dotted" w:sz="4" w:space="0" w:color="auto"/>
              <w:right w:val="dotted" w:sz="4" w:space="0" w:color="auto"/>
            </w:tcBorders>
            <w:noWrap/>
            <w:vAlign w:val="center"/>
          </w:tcPr>
          <w:p w:rsidR="00881054" w:rsidRPr="006A2BF3" w:rsidRDefault="00881054" w:rsidP="002D57B5">
            <w:pPr>
              <w:jc w:val="center"/>
              <w:rPr>
                <w:rFonts w:ascii="Arial" w:hAnsi="Arial" w:cs="Arial"/>
                <w:i/>
                <w:iCs/>
                <w:sz w:val="16"/>
                <w:szCs w:val="16"/>
              </w:rPr>
            </w:pPr>
            <w:r w:rsidRPr="006A2BF3">
              <w:rPr>
                <w:rFonts w:ascii="Arial" w:hAnsi="Arial" w:cs="Arial"/>
                <w:i/>
                <w:iCs/>
                <w:sz w:val="16"/>
                <w:szCs w:val="16"/>
              </w:rPr>
              <w:t>N/A</w:t>
            </w:r>
          </w:p>
        </w:tc>
        <w:tc>
          <w:tcPr>
            <w:tcW w:w="0" w:type="auto"/>
            <w:tcBorders>
              <w:top w:val="nil"/>
              <w:left w:val="nil"/>
              <w:bottom w:val="dotted" w:sz="4" w:space="0" w:color="auto"/>
              <w:right w:val="dotted" w:sz="4" w:space="0" w:color="auto"/>
            </w:tcBorders>
            <w:noWrap/>
            <w:vAlign w:val="center"/>
          </w:tcPr>
          <w:p w:rsidR="00881054" w:rsidRPr="006A2BF3" w:rsidRDefault="00881054" w:rsidP="002D57B5">
            <w:pPr>
              <w:jc w:val="center"/>
              <w:rPr>
                <w:rFonts w:ascii="Arial" w:hAnsi="Arial" w:cs="Arial"/>
                <w:i/>
                <w:iCs/>
                <w:sz w:val="16"/>
                <w:szCs w:val="16"/>
              </w:rPr>
            </w:pPr>
            <w:r w:rsidRPr="006A2BF3">
              <w:rPr>
                <w:rFonts w:ascii="Arial" w:hAnsi="Arial" w:cs="Arial"/>
                <w:i/>
                <w:iCs/>
                <w:sz w:val="16"/>
                <w:szCs w:val="16"/>
              </w:rPr>
              <w:t>N/A</w:t>
            </w:r>
          </w:p>
        </w:tc>
        <w:tc>
          <w:tcPr>
            <w:tcW w:w="0" w:type="auto"/>
            <w:tcBorders>
              <w:top w:val="nil"/>
              <w:left w:val="nil"/>
              <w:bottom w:val="dotted" w:sz="4" w:space="0" w:color="auto"/>
              <w:right w:val="dotted" w:sz="4" w:space="0" w:color="auto"/>
            </w:tcBorders>
            <w:noWrap/>
            <w:vAlign w:val="center"/>
          </w:tcPr>
          <w:p w:rsidR="00881054" w:rsidRPr="006A2BF3" w:rsidRDefault="00881054" w:rsidP="002D57B5">
            <w:pPr>
              <w:jc w:val="center"/>
              <w:rPr>
                <w:rFonts w:ascii="Arial" w:hAnsi="Arial" w:cs="Arial"/>
                <w:b/>
                <w:bCs/>
                <w:sz w:val="16"/>
                <w:szCs w:val="16"/>
              </w:rPr>
            </w:pPr>
            <w:r>
              <w:rPr>
                <w:rFonts w:ascii="Arial" w:hAnsi="Arial" w:cs="Arial"/>
                <w:b/>
                <w:bCs/>
                <w:sz w:val="16"/>
                <w:szCs w:val="16"/>
              </w:rPr>
              <w:t>1415</w:t>
            </w:r>
          </w:p>
        </w:tc>
        <w:tc>
          <w:tcPr>
            <w:tcW w:w="0" w:type="auto"/>
            <w:vMerge w:val="restart"/>
            <w:tcBorders>
              <w:top w:val="nil"/>
              <w:left w:val="dotted" w:sz="4" w:space="0" w:color="auto"/>
              <w:bottom w:val="single" w:sz="4" w:space="0" w:color="000000"/>
              <w:right w:val="single" w:sz="4" w:space="0" w:color="auto"/>
            </w:tcBorders>
            <w:vAlign w:val="center"/>
          </w:tcPr>
          <w:p w:rsidR="00881054" w:rsidRPr="006A2BF3" w:rsidRDefault="00881054" w:rsidP="002D57B5">
            <w:pPr>
              <w:jc w:val="center"/>
              <w:rPr>
                <w:rFonts w:ascii="Arial" w:hAnsi="Arial" w:cs="Arial"/>
                <w:i/>
                <w:iCs/>
                <w:sz w:val="16"/>
                <w:szCs w:val="16"/>
              </w:rPr>
            </w:pPr>
            <w:r>
              <w:rPr>
                <w:rFonts w:ascii="Arial" w:hAnsi="Arial" w:cs="Arial"/>
                <w:i/>
                <w:iCs/>
                <w:sz w:val="16"/>
                <w:szCs w:val="16"/>
              </w:rPr>
              <w:t>86 205</w:t>
            </w:r>
          </w:p>
        </w:tc>
      </w:tr>
      <w:tr w:rsidR="00881054" w:rsidRPr="006A2BF3" w:rsidTr="002D57B5">
        <w:trPr>
          <w:trHeight w:val="547"/>
        </w:trPr>
        <w:tc>
          <w:tcPr>
            <w:tcW w:w="0" w:type="auto"/>
            <w:vMerge/>
            <w:tcBorders>
              <w:top w:val="single" w:sz="4" w:space="0" w:color="000000"/>
              <w:left w:val="single" w:sz="4" w:space="0" w:color="auto"/>
              <w:bottom w:val="single" w:sz="4" w:space="0" w:color="000000"/>
              <w:right w:val="single" w:sz="4" w:space="0" w:color="auto"/>
            </w:tcBorders>
            <w:shd w:val="clear" w:color="auto" w:fill="EAF1DD"/>
            <w:vAlign w:val="center"/>
          </w:tcPr>
          <w:p w:rsidR="00881054" w:rsidRPr="006A2BF3" w:rsidRDefault="00881054" w:rsidP="002D57B5">
            <w:pPr>
              <w:rPr>
                <w:rFonts w:ascii="Arial" w:hAnsi="Arial" w:cs="Arial"/>
                <w:sz w:val="16"/>
                <w:szCs w:val="16"/>
              </w:rPr>
            </w:pPr>
          </w:p>
        </w:tc>
        <w:tc>
          <w:tcPr>
            <w:tcW w:w="0" w:type="auto"/>
            <w:tcBorders>
              <w:top w:val="nil"/>
              <w:left w:val="nil"/>
              <w:bottom w:val="dotted" w:sz="4" w:space="0" w:color="auto"/>
              <w:right w:val="single" w:sz="4" w:space="0" w:color="auto"/>
            </w:tcBorders>
            <w:shd w:val="clear" w:color="000000" w:fill="auto"/>
            <w:noWrap/>
            <w:vAlign w:val="center"/>
          </w:tcPr>
          <w:p w:rsidR="00881054" w:rsidRPr="006A2BF3" w:rsidRDefault="00881054" w:rsidP="002D57B5">
            <w:pPr>
              <w:rPr>
                <w:rFonts w:ascii="Arial" w:hAnsi="Arial" w:cs="Arial"/>
                <w:sz w:val="16"/>
                <w:szCs w:val="16"/>
              </w:rPr>
            </w:pPr>
            <w:r w:rsidRPr="006A2BF3">
              <w:rPr>
                <w:rFonts w:ascii="Arial" w:hAnsi="Arial" w:cs="Arial"/>
                <w:sz w:val="16"/>
                <w:szCs w:val="16"/>
              </w:rPr>
              <w:t>Cieľ</w:t>
            </w:r>
          </w:p>
        </w:tc>
        <w:tc>
          <w:tcPr>
            <w:tcW w:w="0" w:type="auto"/>
            <w:tcBorders>
              <w:top w:val="nil"/>
              <w:left w:val="nil"/>
              <w:bottom w:val="dotted" w:sz="4" w:space="0" w:color="auto"/>
              <w:right w:val="dotted" w:sz="4" w:space="0" w:color="auto"/>
            </w:tcBorders>
            <w:noWrap/>
            <w:vAlign w:val="center"/>
          </w:tcPr>
          <w:p w:rsidR="00881054" w:rsidRPr="006A2BF3" w:rsidRDefault="00881054" w:rsidP="002D57B5">
            <w:pPr>
              <w:jc w:val="center"/>
              <w:rPr>
                <w:rFonts w:ascii="Arial" w:hAnsi="Arial" w:cs="Arial"/>
                <w:i/>
                <w:iCs/>
                <w:sz w:val="16"/>
                <w:szCs w:val="16"/>
              </w:rPr>
            </w:pPr>
            <w:r w:rsidRPr="006A2BF3">
              <w:rPr>
                <w:rFonts w:ascii="Arial" w:hAnsi="Arial" w:cs="Arial"/>
                <w:i/>
                <w:iCs/>
                <w:sz w:val="16"/>
                <w:szCs w:val="16"/>
              </w:rPr>
              <w:t>N/A</w:t>
            </w:r>
          </w:p>
        </w:tc>
        <w:tc>
          <w:tcPr>
            <w:tcW w:w="0" w:type="auto"/>
            <w:tcBorders>
              <w:top w:val="nil"/>
              <w:left w:val="nil"/>
              <w:bottom w:val="dotted" w:sz="4" w:space="0" w:color="auto"/>
              <w:right w:val="dotted" w:sz="4" w:space="0" w:color="auto"/>
            </w:tcBorders>
            <w:noWrap/>
            <w:vAlign w:val="center"/>
          </w:tcPr>
          <w:p w:rsidR="00881054" w:rsidRPr="006A2BF3" w:rsidRDefault="00881054" w:rsidP="002D57B5">
            <w:pPr>
              <w:jc w:val="center"/>
              <w:rPr>
                <w:rFonts w:ascii="Arial" w:hAnsi="Arial" w:cs="Arial"/>
                <w:i/>
                <w:iCs/>
                <w:sz w:val="16"/>
                <w:szCs w:val="16"/>
              </w:rPr>
            </w:pPr>
            <w:r w:rsidRPr="006A2BF3">
              <w:rPr>
                <w:rFonts w:ascii="Arial" w:hAnsi="Arial" w:cs="Arial"/>
                <w:i/>
                <w:iCs/>
                <w:sz w:val="16"/>
                <w:szCs w:val="16"/>
              </w:rPr>
              <w:t>N/A</w:t>
            </w:r>
          </w:p>
        </w:tc>
        <w:tc>
          <w:tcPr>
            <w:tcW w:w="0" w:type="auto"/>
            <w:tcBorders>
              <w:top w:val="nil"/>
              <w:left w:val="nil"/>
              <w:bottom w:val="dotted" w:sz="4" w:space="0" w:color="auto"/>
              <w:right w:val="dotted" w:sz="4" w:space="0" w:color="auto"/>
            </w:tcBorders>
            <w:noWrap/>
            <w:vAlign w:val="center"/>
          </w:tcPr>
          <w:p w:rsidR="00881054" w:rsidRPr="006A2BF3" w:rsidRDefault="00881054" w:rsidP="002D57B5">
            <w:pPr>
              <w:jc w:val="center"/>
              <w:rPr>
                <w:rFonts w:ascii="Arial" w:hAnsi="Arial" w:cs="Arial"/>
                <w:i/>
                <w:iCs/>
                <w:sz w:val="16"/>
                <w:szCs w:val="16"/>
              </w:rPr>
            </w:pPr>
            <w:r w:rsidRPr="006A2BF3">
              <w:rPr>
                <w:rFonts w:ascii="Arial" w:hAnsi="Arial" w:cs="Arial"/>
                <w:i/>
                <w:iCs/>
                <w:sz w:val="16"/>
                <w:szCs w:val="16"/>
              </w:rPr>
              <w:t>N/A</w:t>
            </w:r>
          </w:p>
        </w:tc>
        <w:tc>
          <w:tcPr>
            <w:tcW w:w="0" w:type="auto"/>
            <w:tcBorders>
              <w:top w:val="nil"/>
              <w:left w:val="nil"/>
              <w:bottom w:val="dotted" w:sz="4" w:space="0" w:color="auto"/>
              <w:right w:val="dotted" w:sz="4" w:space="0" w:color="auto"/>
            </w:tcBorders>
            <w:noWrap/>
            <w:vAlign w:val="center"/>
          </w:tcPr>
          <w:p w:rsidR="00881054" w:rsidRPr="006A2BF3" w:rsidRDefault="00881054" w:rsidP="002D57B5">
            <w:pPr>
              <w:jc w:val="center"/>
              <w:rPr>
                <w:rFonts w:ascii="Arial" w:hAnsi="Arial" w:cs="Arial"/>
                <w:i/>
                <w:iCs/>
                <w:sz w:val="16"/>
                <w:szCs w:val="16"/>
              </w:rPr>
            </w:pPr>
            <w:r w:rsidRPr="006A2BF3">
              <w:rPr>
                <w:rFonts w:ascii="Arial" w:hAnsi="Arial" w:cs="Arial"/>
                <w:i/>
                <w:iCs/>
                <w:sz w:val="16"/>
                <w:szCs w:val="16"/>
              </w:rPr>
              <w:t>N/A</w:t>
            </w:r>
          </w:p>
        </w:tc>
        <w:tc>
          <w:tcPr>
            <w:tcW w:w="0" w:type="auto"/>
            <w:tcBorders>
              <w:top w:val="nil"/>
              <w:left w:val="nil"/>
              <w:bottom w:val="dotted" w:sz="4" w:space="0" w:color="auto"/>
              <w:right w:val="dotted" w:sz="4" w:space="0" w:color="auto"/>
            </w:tcBorders>
            <w:noWrap/>
            <w:vAlign w:val="center"/>
          </w:tcPr>
          <w:p w:rsidR="00881054" w:rsidRPr="006A2BF3" w:rsidRDefault="00881054" w:rsidP="002D57B5">
            <w:pPr>
              <w:jc w:val="center"/>
              <w:rPr>
                <w:rFonts w:ascii="Arial" w:hAnsi="Arial" w:cs="Arial"/>
                <w:i/>
                <w:iCs/>
                <w:sz w:val="16"/>
                <w:szCs w:val="16"/>
              </w:rPr>
            </w:pPr>
            <w:r w:rsidRPr="006A2BF3">
              <w:rPr>
                <w:rFonts w:ascii="Arial" w:hAnsi="Arial" w:cs="Arial"/>
                <w:i/>
                <w:iCs/>
                <w:sz w:val="16"/>
                <w:szCs w:val="16"/>
              </w:rPr>
              <w:t>N/A</w:t>
            </w:r>
          </w:p>
        </w:tc>
        <w:tc>
          <w:tcPr>
            <w:tcW w:w="0" w:type="auto"/>
            <w:tcBorders>
              <w:top w:val="nil"/>
              <w:left w:val="nil"/>
              <w:bottom w:val="dotted" w:sz="4" w:space="0" w:color="auto"/>
              <w:right w:val="dotted" w:sz="4" w:space="0" w:color="auto"/>
            </w:tcBorders>
            <w:noWrap/>
            <w:vAlign w:val="center"/>
          </w:tcPr>
          <w:p w:rsidR="00881054" w:rsidRPr="006A2BF3" w:rsidRDefault="00881054" w:rsidP="002D57B5">
            <w:pPr>
              <w:jc w:val="center"/>
              <w:rPr>
                <w:rFonts w:ascii="Arial" w:hAnsi="Arial" w:cs="Arial"/>
                <w:i/>
                <w:iCs/>
                <w:sz w:val="16"/>
                <w:szCs w:val="16"/>
              </w:rPr>
            </w:pPr>
            <w:r w:rsidRPr="006A2BF3">
              <w:rPr>
                <w:rFonts w:ascii="Arial" w:hAnsi="Arial" w:cs="Arial"/>
                <w:i/>
                <w:iCs/>
                <w:sz w:val="16"/>
                <w:szCs w:val="16"/>
              </w:rPr>
              <w:t>N/A</w:t>
            </w:r>
          </w:p>
        </w:tc>
        <w:tc>
          <w:tcPr>
            <w:tcW w:w="0" w:type="auto"/>
            <w:tcBorders>
              <w:top w:val="nil"/>
              <w:left w:val="nil"/>
              <w:bottom w:val="dotted" w:sz="4" w:space="0" w:color="auto"/>
              <w:right w:val="dotted" w:sz="4" w:space="0" w:color="auto"/>
            </w:tcBorders>
            <w:noWrap/>
            <w:vAlign w:val="center"/>
          </w:tcPr>
          <w:p w:rsidR="00881054" w:rsidRPr="006A2BF3" w:rsidRDefault="00881054" w:rsidP="002D57B5">
            <w:pPr>
              <w:jc w:val="center"/>
              <w:rPr>
                <w:rFonts w:ascii="Arial" w:hAnsi="Arial" w:cs="Arial"/>
                <w:i/>
                <w:iCs/>
                <w:sz w:val="16"/>
                <w:szCs w:val="16"/>
              </w:rPr>
            </w:pPr>
            <w:r w:rsidRPr="006A2BF3">
              <w:rPr>
                <w:rFonts w:ascii="Arial" w:hAnsi="Arial" w:cs="Arial"/>
                <w:i/>
                <w:iCs/>
                <w:sz w:val="16"/>
                <w:szCs w:val="16"/>
              </w:rPr>
              <w:t>N/A</w:t>
            </w:r>
          </w:p>
        </w:tc>
        <w:tc>
          <w:tcPr>
            <w:tcW w:w="0" w:type="auto"/>
            <w:tcBorders>
              <w:top w:val="nil"/>
              <w:left w:val="nil"/>
              <w:bottom w:val="dotted" w:sz="4" w:space="0" w:color="auto"/>
              <w:right w:val="dotted" w:sz="4" w:space="0" w:color="auto"/>
            </w:tcBorders>
            <w:noWrap/>
            <w:vAlign w:val="center"/>
          </w:tcPr>
          <w:p w:rsidR="00881054" w:rsidRPr="006A2BF3" w:rsidRDefault="00881054" w:rsidP="002D57B5">
            <w:pPr>
              <w:jc w:val="center"/>
              <w:rPr>
                <w:rFonts w:ascii="Arial" w:hAnsi="Arial" w:cs="Arial"/>
                <w:i/>
                <w:iCs/>
                <w:sz w:val="16"/>
                <w:szCs w:val="16"/>
              </w:rPr>
            </w:pPr>
            <w:r w:rsidRPr="006A2BF3">
              <w:rPr>
                <w:rFonts w:ascii="Arial" w:hAnsi="Arial" w:cs="Arial"/>
                <w:i/>
                <w:iCs/>
                <w:sz w:val="16"/>
                <w:szCs w:val="16"/>
              </w:rPr>
              <w:t>N/A</w:t>
            </w:r>
          </w:p>
        </w:tc>
        <w:tc>
          <w:tcPr>
            <w:tcW w:w="0" w:type="auto"/>
            <w:tcBorders>
              <w:top w:val="nil"/>
              <w:left w:val="nil"/>
              <w:bottom w:val="dotted" w:sz="4" w:space="0" w:color="auto"/>
              <w:right w:val="dotted" w:sz="4" w:space="0" w:color="auto"/>
            </w:tcBorders>
            <w:noWrap/>
            <w:vAlign w:val="center"/>
          </w:tcPr>
          <w:p w:rsidR="00881054" w:rsidRPr="006A2BF3" w:rsidRDefault="00881054" w:rsidP="002D57B5">
            <w:pPr>
              <w:jc w:val="center"/>
              <w:rPr>
                <w:rFonts w:ascii="Arial" w:hAnsi="Arial" w:cs="Arial"/>
                <w:b/>
                <w:bCs/>
                <w:sz w:val="16"/>
                <w:szCs w:val="16"/>
              </w:rPr>
            </w:pPr>
            <w:r w:rsidRPr="006A2BF3">
              <w:rPr>
                <w:rFonts w:ascii="Arial" w:hAnsi="Arial" w:cs="Arial"/>
                <w:b/>
                <w:bCs/>
                <w:sz w:val="16"/>
                <w:szCs w:val="16"/>
              </w:rPr>
              <w:t>30 000</w:t>
            </w:r>
          </w:p>
        </w:tc>
        <w:tc>
          <w:tcPr>
            <w:tcW w:w="0" w:type="auto"/>
            <w:tcBorders>
              <w:top w:val="nil"/>
              <w:left w:val="nil"/>
              <w:bottom w:val="dotted" w:sz="4" w:space="0" w:color="auto"/>
              <w:right w:val="dotted" w:sz="4" w:space="0" w:color="auto"/>
            </w:tcBorders>
            <w:noWrap/>
            <w:vAlign w:val="center"/>
          </w:tcPr>
          <w:p w:rsidR="00881054" w:rsidRPr="006A2BF3" w:rsidRDefault="00881054" w:rsidP="002D57B5">
            <w:pPr>
              <w:jc w:val="center"/>
              <w:rPr>
                <w:rFonts w:ascii="Arial" w:hAnsi="Arial" w:cs="Arial"/>
                <w:b/>
                <w:bCs/>
                <w:sz w:val="16"/>
                <w:szCs w:val="16"/>
              </w:rPr>
            </w:pPr>
            <w:r w:rsidRPr="006A2BF3">
              <w:rPr>
                <w:rFonts w:ascii="Arial" w:hAnsi="Arial" w:cs="Arial"/>
                <w:b/>
                <w:bCs/>
                <w:sz w:val="16"/>
                <w:szCs w:val="16"/>
              </w:rPr>
              <w:t>30 000</w:t>
            </w:r>
          </w:p>
        </w:tc>
        <w:tc>
          <w:tcPr>
            <w:tcW w:w="0" w:type="auto"/>
            <w:vMerge/>
            <w:tcBorders>
              <w:top w:val="nil"/>
              <w:left w:val="dotted" w:sz="4" w:space="0" w:color="auto"/>
              <w:bottom w:val="single" w:sz="4" w:space="0" w:color="000000"/>
              <w:right w:val="single" w:sz="4" w:space="0" w:color="auto"/>
            </w:tcBorders>
            <w:vAlign w:val="center"/>
          </w:tcPr>
          <w:p w:rsidR="00881054" w:rsidRPr="006A2BF3" w:rsidRDefault="00881054" w:rsidP="002D57B5">
            <w:pPr>
              <w:jc w:val="center"/>
              <w:rPr>
                <w:rFonts w:ascii="Arial" w:hAnsi="Arial" w:cs="Arial"/>
                <w:i/>
                <w:iCs/>
                <w:sz w:val="16"/>
                <w:szCs w:val="16"/>
              </w:rPr>
            </w:pPr>
          </w:p>
        </w:tc>
      </w:tr>
      <w:tr w:rsidR="00881054" w:rsidRPr="006A2BF3" w:rsidTr="002D57B5">
        <w:trPr>
          <w:trHeight w:val="20"/>
        </w:trPr>
        <w:tc>
          <w:tcPr>
            <w:tcW w:w="0" w:type="auto"/>
            <w:vMerge/>
            <w:tcBorders>
              <w:top w:val="single" w:sz="4" w:space="0" w:color="000000"/>
              <w:left w:val="single" w:sz="4" w:space="0" w:color="auto"/>
              <w:bottom w:val="single" w:sz="4" w:space="0" w:color="000000"/>
              <w:right w:val="single" w:sz="4" w:space="0" w:color="auto"/>
            </w:tcBorders>
            <w:shd w:val="clear" w:color="auto" w:fill="EAF1DD"/>
            <w:vAlign w:val="center"/>
          </w:tcPr>
          <w:p w:rsidR="00881054" w:rsidRPr="006A2BF3" w:rsidRDefault="00881054" w:rsidP="002D57B5">
            <w:pPr>
              <w:rPr>
                <w:rFonts w:ascii="Arial" w:hAnsi="Arial" w:cs="Arial"/>
                <w:sz w:val="16"/>
                <w:szCs w:val="16"/>
              </w:rPr>
            </w:pPr>
          </w:p>
        </w:tc>
        <w:tc>
          <w:tcPr>
            <w:tcW w:w="0" w:type="auto"/>
            <w:tcBorders>
              <w:top w:val="nil"/>
              <w:left w:val="nil"/>
              <w:bottom w:val="single" w:sz="4" w:space="0" w:color="auto"/>
              <w:right w:val="single" w:sz="4" w:space="0" w:color="auto"/>
            </w:tcBorders>
            <w:shd w:val="clear" w:color="000000" w:fill="auto"/>
            <w:noWrap/>
            <w:vAlign w:val="center"/>
          </w:tcPr>
          <w:p w:rsidR="00881054" w:rsidRPr="006A2BF3" w:rsidRDefault="00881054" w:rsidP="002D57B5">
            <w:pPr>
              <w:rPr>
                <w:rFonts w:ascii="Arial" w:hAnsi="Arial" w:cs="Arial"/>
                <w:sz w:val="16"/>
                <w:szCs w:val="16"/>
              </w:rPr>
            </w:pPr>
            <w:r w:rsidRPr="006A2BF3">
              <w:rPr>
                <w:rFonts w:ascii="Arial" w:hAnsi="Arial" w:cs="Arial"/>
                <w:sz w:val="16"/>
                <w:szCs w:val="16"/>
              </w:rPr>
              <w:t>Východisko</w:t>
            </w:r>
          </w:p>
        </w:tc>
        <w:tc>
          <w:tcPr>
            <w:tcW w:w="0" w:type="auto"/>
            <w:tcBorders>
              <w:top w:val="nil"/>
              <w:left w:val="nil"/>
              <w:bottom w:val="single" w:sz="4" w:space="0" w:color="auto"/>
              <w:right w:val="dotted" w:sz="4" w:space="0" w:color="auto"/>
            </w:tcBorders>
            <w:noWrap/>
            <w:vAlign w:val="center"/>
          </w:tcPr>
          <w:p w:rsidR="00881054" w:rsidRPr="006A2BF3" w:rsidRDefault="00881054" w:rsidP="002D57B5">
            <w:pPr>
              <w:jc w:val="center"/>
              <w:rPr>
                <w:rFonts w:ascii="Arial" w:hAnsi="Arial" w:cs="Arial"/>
                <w:b/>
                <w:bCs/>
                <w:sz w:val="16"/>
                <w:szCs w:val="16"/>
              </w:rPr>
            </w:pPr>
            <w:r w:rsidRPr="006A2BF3">
              <w:rPr>
                <w:rFonts w:ascii="Arial" w:hAnsi="Arial" w:cs="Arial"/>
                <w:b/>
                <w:bCs/>
                <w:sz w:val="16"/>
                <w:szCs w:val="16"/>
              </w:rPr>
              <w:t>0</w:t>
            </w:r>
          </w:p>
        </w:tc>
        <w:tc>
          <w:tcPr>
            <w:tcW w:w="0" w:type="auto"/>
            <w:tcBorders>
              <w:top w:val="nil"/>
              <w:left w:val="nil"/>
              <w:bottom w:val="single" w:sz="4" w:space="0" w:color="auto"/>
              <w:right w:val="dotted" w:sz="4" w:space="0" w:color="auto"/>
            </w:tcBorders>
            <w:noWrap/>
            <w:vAlign w:val="center"/>
          </w:tcPr>
          <w:p w:rsidR="00881054" w:rsidRPr="006A2BF3" w:rsidRDefault="00881054" w:rsidP="002D57B5">
            <w:pPr>
              <w:jc w:val="center"/>
              <w:rPr>
                <w:rFonts w:ascii="Arial" w:hAnsi="Arial" w:cs="Arial"/>
                <w:i/>
                <w:iCs/>
                <w:sz w:val="16"/>
                <w:szCs w:val="16"/>
              </w:rPr>
            </w:pPr>
            <w:r w:rsidRPr="006A2BF3">
              <w:rPr>
                <w:rFonts w:ascii="Arial" w:hAnsi="Arial" w:cs="Arial"/>
                <w:i/>
                <w:iCs/>
                <w:sz w:val="16"/>
                <w:szCs w:val="16"/>
              </w:rPr>
              <w:t>N/A</w:t>
            </w:r>
          </w:p>
        </w:tc>
        <w:tc>
          <w:tcPr>
            <w:tcW w:w="0" w:type="auto"/>
            <w:tcBorders>
              <w:top w:val="nil"/>
              <w:left w:val="nil"/>
              <w:bottom w:val="single" w:sz="4" w:space="0" w:color="auto"/>
              <w:right w:val="dotted" w:sz="4" w:space="0" w:color="auto"/>
            </w:tcBorders>
            <w:noWrap/>
            <w:vAlign w:val="center"/>
          </w:tcPr>
          <w:p w:rsidR="00881054" w:rsidRPr="006A2BF3" w:rsidRDefault="00881054" w:rsidP="002D57B5">
            <w:pPr>
              <w:jc w:val="center"/>
              <w:rPr>
                <w:rFonts w:ascii="Arial" w:hAnsi="Arial" w:cs="Arial"/>
                <w:i/>
                <w:iCs/>
                <w:sz w:val="16"/>
                <w:szCs w:val="16"/>
              </w:rPr>
            </w:pPr>
            <w:r w:rsidRPr="006A2BF3">
              <w:rPr>
                <w:rFonts w:ascii="Arial" w:hAnsi="Arial" w:cs="Arial"/>
                <w:i/>
                <w:iCs/>
                <w:sz w:val="16"/>
                <w:szCs w:val="16"/>
              </w:rPr>
              <w:t>N/A</w:t>
            </w:r>
          </w:p>
        </w:tc>
        <w:tc>
          <w:tcPr>
            <w:tcW w:w="0" w:type="auto"/>
            <w:tcBorders>
              <w:top w:val="nil"/>
              <w:left w:val="nil"/>
              <w:bottom w:val="single" w:sz="4" w:space="0" w:color="auto"/>
              <w:right w:val="dotted" w:sz="4" w:space="0" w:color="auto"/>
            </w:tcBorders>
            <w:noWrap/>
            <w:vAlign w:val="center"/>
          </w:tcPr>
          <w:p w:rsidR="00881054" w:rsidRPr="006A2BF3" w:rsidRDefault="00881054" w:rsidP="002D57B5">
            <w:pPr>
              <w:jc w:val="center"/>
              <w:rPr>
                <w:rFonts w:ascii="Arial" w:hAnsi="Arial" w:cs="Arial"/>
                <w:i/>
                <w:iCs/>
                <w:sz w:val="16"/>
                <w:szCs w:val="16"/>
              </w:rPr>
            </w:pPr>
            <w:r w:rsidRPr="006A2BF3">
              <w:rPr>
                <w:rFonts w:ascii="Arial" w:hAnsi="Arial" w:cs="Arial"/>
                <w:i/>
                <w:iCs/>
                <w:sz w:val="16"/>
                <w:szCs w:val="16"/>
              </w:rPr>
              <w:t>N/A</w:t>
            </w:r>
          </w:p>
        </w:tc>
        <w:tc>
          <w:tcPr>
            <w:tcW w:w="0" w:type="auto"/>
            <w:tcBorders>
              <w:top w:val="nil"/>
              <w:left w:val="nil"/>
              <w:bottom w:val="single" w:sz="4" w:space="0" w:color="auto"/>
              <w:right w:val="dotted" w:sz="4" w:space="0" w:color="auto"/>
            </w:tcBorders>
            <w:noWrap/>
            <w:vAlign w:val="center"/>
          </w:tcPr>
          <w:p w:rsidR="00881054" w:rsidRPr="006A2BF3" w:rsidRDefault="00881054" w:rsidP="002D57B5">
            <w:pPr>
              <w:jc w:val="center"/>
              <w:rPr>
                <w:rFonts w:ascii="Arial" w:hAnsi="Arial" w:cs="Arial"/>
                <w:i/>
                <w:iCs/>
                <w:sz w:val="16"/>
                <w:szCs w:val="16"/>
              </w:rPr>
            </w:pPr>
            <w:r w:rsidRPr="006A2BF3">
              <w:rPr>
                <w:rFonts w:ascii="Arial" w:hAnsi="Arial" w:cs="Arial"/>
                <w:i/>
                <w:iCs/>
                <w:sz w:val="16"/>
                <w:szCs w:val="16"/>
              </w:rPr>
              <w:t>N/A</w:t>
            </w:r>
          </w:p>
        </w:tc>
        <w:tc>
          <w:tcPr>
            <w:tcW w:w="0" w:type="auto"/>
            <w:tcBorders>
              <w:top w:val="nil"/>
              <w:left w:val="nil"/>
              <w:bottom w:val="single" w:sz="4" w:space="0" w:color="auto"/>
              <w:right w:val="dotted" w:sz="4" w:space="0" w:color="auto"/>
            </w:tcBorders>
            <w:noWrap/>
            <w:vAlign w:val="center"/>
          </w:tcPr>
          <w:p w:rsidR="00881054" w:rsidRPr="006A2BF3" w:rsidRDefault="00881054" w:rsidP="002D57B5">
            <w:pPr>
              <w:jc w:val="center"/>
              <w:rPr>
                <w:rFonts w:ascii="Arial" w:hAnsi="Arial" w:cs="Arial"/>
                <w:i/>
                <w:iCs/>
                <w:sz w:val="16"/>
                <w:szCs w:val="16"/>
              </w:rPr>
            </w:pPr>
            <w:r w:rsidRPr="006A2BF3">
              <w:rPr>
                <w:rFonts w:ascii="Arial" w:hAnsi="Arial" w:cs="Arial"/>
                <w:i/>
                <w:iCs/>
                <w:sz w:val="16"/>
                <w:szCs w:val="16"/>
              </w:rPr>
              <w:t>N/A</w:t>
            </w:r>
          </w:p>
        </w:tc>
        <w:tc>
          <w:tcPr>
            <w:tcW w:w="0" w:type="auto"/>
            <w:tcBorders>
              <w:top w:val="nil"/>
              <w:left w:val="nil"/>
              <w:bottom w:val="single" w:sz="4" w:space="0" w:color="auto"/>
              <w:right w:val="dotted" w:sz="4" w:space="0" w:color="auto"/>
            </w:tcBorders>
            <w:noWrap/>
            <w:vAlign w:val="center"/>
          </w:tcPr>
          <w:p w:rsidR="00881054" w:rsidRPr="006A2BF3" w:rsidRDefault="00881054" w:rsidP="002D57B5">
            <w:pPr>
              <w:jc w:val="center"/>
              <w:rPr>
                <w:rFonts w:ascii="Arial" w:hAnsi="Arial" w:cs="Arial"/>
                <w:i/>
                <w:iCs/>
                <w:sz w:val="16"/>
                <w:szCs w:val="16"/>
              </w:rPr>
            </w:pPr>
            <w:r w:rsidRPr="006A2BF3">
              <w:rPr>
                <w:rFonts w:ascii="Arial" w:hAnsi="Arial" w:cs="Arial"/>
                <w:i/>
                <w:iCs/>
                <w:sz w:val="16"/>
                <w:szCs w:val="16"/>
              </w:rPr>
              <w:t>N/A</w:t>
            </w:r>
          </w:p>
        </w:tc>
        <w:tc>
          <w:tcPr>
            <w:tcW w:w="0" w:type="auto"/>
            <w:tcBorders>
              <w:top w:val="nil"/>
              <w:left w:val="nil"/>
              <w:bottom w:val="single" w:sz="4" w:space="0" w:color="auto"/>
              <w:right w:val="dotted" w:sz="4" w:space="0" w:color="auto"/>
            </w:tcBorders>
            <w:noWrap/>
            <w:vAlign w:val="center"/>
          </w:tcPr>
          <w:p w:rsidR="00881054" w:rsidRPr="006A2BF3" w:rsidRDefault="00881054" w:rsidP="002D57B5">
            <w:pPr>
              <w:jc w:val="center"/>
              <w:rPr>
                <w:rFonts w:ascii="Arial" w:hAnsi="Arial" w:cs="Arial"/>
                <w:i/>
                <w:iCs/>
                <w:sz w:val="16"/>
                <w:szCs w:val="16"/>
              </w:rPr>
            </w:pPr>
            <w:r w:rsidRPr="006A2BF3">
              <w:rPr>
                <w:rFonts w:ascii="Arial" w:hAnsi="Arial" w:cs="Arial"/>
                <w:i/>
                <w:iCs/>
                <w:sz w:val="16"/>
                <w:szCs w:val="16"/>
              </w:rPr>
              <w:t>N/A</w:t>
            </w:r>
          </w:p>
        </w:tc>
        <w:tc>
          <w:tcPr>
            <w:tcW w:w="0" w:type="auto"/>
            <w:tcBorders>
              <w:top w:val="nil"/>
              <w:left w:val="nil"/>
              <w:bottom w:val="single" w:sz="4" w:space="0" w:color="auto"/>
              <w:right w:val="dotted" w:sz="4" w:space="0" w:color="auto"/>
            </w:tcBorders>
            <w:noWrap/>
            <w:vAlign w:val="center"/>
          </w:tcPr>
          <w:p w:rsidR="00881054" w:rsidRPr="006A2BF3" w:rsidRDefault="00881054" w:rsidP="002D57B5">
            <w:pPr>
              <w:jc w:val="center"/>
              <w:rPr>
                <w:rFonts w:ascii="Arial" w:hAnsi="Arial" w:cs="Arial"/>
                <w:i/>
                <w:iCs/>
                <w:sz w:val="16"/>
                <w:szCs w:val="16"/>
              </w:rPr>
            </w:pPr>
            <w:r w:rsidRPr="006A2BF3">
              <w:rPr>
                <w:rFonts w:ascii="Arial" w:hAnsi="Arial" w:cs="Arial"/>
                <w:i/>
                <w:iCs/>
                <w:sz w:val="16"/>
                <w:szCs w:val="16"/>
              </w:rPr>
              <w:t>N/A</w:t>
            </w:r>
          </w:p>
        </w:tc>
        <w:tc>
          <w:tcPr>
            <w:tcW w:w="0" w:type="auto"/>
            <w:tcBorders>
              <w:top w:val="nil"/>
              <w:left w:val="nil"/>
              <w:bottom w:val="single" w:sz="4" w:space="0" w:color="auto"/>
              <w:right w:val="dotted" w:sz="4" w:space="0" w:color="auto"/>
            </w:tcBorders>
            <w:noWrap/>
            <w:vAlign w:val="center"/>
          </w:tcPr>
          <w:p w:rsidR="00881054" w:rsidRPr="006A2BF3" w:rsidRDefault="00881054" w:rsidP="002D57B5">
            <w:pPr>
              <w:jc w:val="center"/>
              <w:rPr>
                <w:rFonts w:ascii="Arial" w:hAnsi="Arial" w:cs="Arial"/>
                <w:b/>
                <w:bCs/>
                <w:sz w:val="16"/>
                <w:szCs w:val="16"/>
              </w:rPr>
            </w:pPr>
            <w:r w:rsidRPr="006A2BF3">
              <w:rPr>
                <w:rFonts w:ascii="Arial" w:hAnsi="Arial" w:cs="Arial"/>
                <w:b/>
                <w:bCs/>
                <w:sz w:val="16"/>
                <w:szCs w:val="16"/>
              </w:rPr>
              <w:t>0</w:t>
            </w:r>
          </w:p>
        </w:tc>
        <w:tc>
          <w:tcPr>
            <w:tcW w:w="0" w:type="auto"/>
            <w:vMerge/>
            <w:tcBorders>
              <w:top w:val="nil"/>
              <w:left w:val="dotted" w:sz="4" w:space="0" w:color="auto"/>
              <w:bottom w:val="single" w:sz="4" w:space="0" w:color="000000"/>
              <w:right w:val="single" w:sz="4" w:space="0" w:color="auto"/>
            </w:tcBorders>
            <w:vAlign w:val="center"/>
          </w:tcPr>
          <w:p w:rsidR="00881054" w:rsidRPr="006A2BF3" w:rsidRDefault="00881054" w:rsidP="002D57B5">
            <w:pPr>
              <w:jc w:val="center"/>
              <w:rPr>
                <w:rFonts w:ascii="Arial" w:hAnsi="Arial" w:cs="Arial"/>
                <w:i/>
                <w:iCs/>
                <w:sz w:val="16"/>
                <w:szCs w:val="16"/>
              </w:rPr>
            </w:pPr>
          </w:p>
        </w:tc>
      </w:tr>
    </w:tbl>
    <w:p w:rsidR="00881054" w:rsidRPr="00C42FC5" w:rsidRDefault="00881054" w:rsidP="00881054">
      <w:pPr>
        <w:spacing w:line="360" w:lineRule="auto"/>
        <w:jc w:val="both"/>
        <w:rPr>
          <w:rFonts w:ascii="Arial" w:hAnsi="Arial" w:cs="Arial"/>
          <w:bCs/>
          <w:sz w:val="18"/>
          <w:szCs w:val="18"/>
        </w:rPr>
      </w:pPr>
      <w:r w:rsidRPr="00C42FC5">
        <w:rPr>
          <w:rFonts w:ascii="Arial" w:hAnsi="Arial" w:cs="Arial"/>
          <w:bCs/>
          <w:sz w:val="18"/>
          <w:szCs w:val="18"/>
        </w:rPr>
        <w:t>Zdroj: ITMS</w:t>
      </w:r>
    </w:p>
    <w:p w:rsidR="00881054" w:rsidRPr="006A2BF3" w:rsidRDefault="00881054" w:rsidP="00881054">
      <w:pPr>
        <w:spacing w:before="120" w:line="360" w:lineRule="auto"/>
        <w:jc w:val="both"/>
        <w:rPr>
          <w:rFonts w:ascii="Arial" w:hAnsi="Arial" w:cs="Arial"/>
          <w:i/>
          <w:sz w:val="16"/>
          <w:szCs w:val="16"/>
        </w:rPr>
      </w:pPr>
      <w:r w:rsidRPr="006A2BF3">
        <w:rPr>
          <w:rFonts w:ascii="Arial" w:hAnsi="Arial" w:cs="Arial"/>
          <w:i/>
          <w:sz w:val="16"/>
          <w:szCs w:val="16"/>
        </w:rPr>
        <w:t>1- Údaj obsahuje deklarovanú cieľovú hodnotu projektov</w:t>
      </w:r>
      <w:r w:rsidR="00D16000">
        <w:rPr>
          <w:rFonts w:ascii="Arial" w:hAnsi="Arial" w:cs="Arial"/>
          <w:i/>
          <w:sz w:val="16"/>
          <w:szCs w:val="16"/>
        </w:rPr>
        <w:t xml:space="preserve"> s nepriamym príspevkom k HP MRK</w:t>
      </w:r>
      <w:r w:rsidRPr="006A2BF3">
        <w:rPr>
          <w:rFonts w:ascii="Arial" w:hAnsi="Arial" w:cs="Arial"/>
          <w:i/>
          <w:sz w:val="16"/>
          <w:szCs w:val="16"/>
        </w:rPr>
        <w:t xml:space="preserve"> v zmysle zmluvy o NFP k 31.12.201</w:t>
      </w:r>
      <w:r>
        <w:rPr>
          <w:rFonts w:ascii="Arial" w:hAnsi="Arial" w:cs="Arial"/>
          <w:i/>
          <w:sz w:val="16"/>
          <w:szCs w:val="16"/>
        </w:rPr>
        <w:t>2</w:t>
      </w:r>
      <w:r w:rsidRPr="006A2BF3">
        <w:rPr>
          <w:rFonts w:ascii="Arial" w:hAnsi="Arial" w:cs="Arial"/>
          <w:i/>
          <w:sz w:val="16"/>
          <w:szCs w:val="16"/>
        </w:rPr>
        <w:t>. Hodnota ukazovateľa dopadu na úrovni projektov sa vykazuje na základe následných monitorovacích správ, ktoré sú predkladané rok po skončení realizácie projektu. V súčasnosti prebieha realizácia projektov.</w:t>
      </w:r>
    </w:p>
    <w:p w:rsidR="00881054" w:rsidRPr="00AE1EAC" w:rsidRDefault="00881054" w:rsidP="00881054">
      <w:pPr>
        <w:spacing w:before="120" w:line="360" w:lineRule="auto"/>
        <w:jc w:val="both"/>
        <w:rPr>
          <w:rFonts w:ascii="Arial" w:hAnsi="Arial" w:cs="Arial"/>
          <w:sz w:val="20"/>
          <w:szCs w:val="20"/>
        </w:rPr>
      </w:pPr>
      <w:r w:rsidRPr="00AE1EAC">
        <w:rPr>
          <w:rFonts w:ascii="Arial" w:hAnsi="Arial" w:cs="Arial"/>
          <w:sz w:val="20"/>
          <w:szCs w:val="20"/>
        </w:rPr>
        <w:t>Keďže sa hodnota ukazovateľa dopadu na úrovni projektov vykazuje až na základe následných monitorovacích správ, ktoré sú predkladané rok po skončení realizácie projektu, uvedená tabuľka obsahuje deklarovanú cieľovú hodnotu dopytovo</w:t>
      </w:r>
      <w:r>
        <w:rPr>
          <w:rFonts w:ascii="Arial" w:hAnsi="Arial" w:cs="Arial"/>
          <w:sz w:val="20"/>
          <w:szCs w:val="20"/>
        </w:rPr>
        <w:t xml:space="preserve"> </w:t>
      </w:r>
      <w:r w:rsidRPr="00AE1EAC">
        <w:rPr>
          <w:rFonts w:ascii="Arial" w:hAnsi="Arial" w:cs="Arial"/>
          <w:sz w:val="20"/>
          <w:szCs w:val="20"/>
        </w:rPr>
        <w:t>-</w:t>
      </w:r>
      <w:r>
        <w:rPr>
          <w:rFonts w:ascii="Arial" w:hAnsi="Arial" w:cs="Arial"/>
          <w:sz w:val="20"/>
          <w:szCs w:val="20"/>
        </w:rPr>
        <w:t xml:space="preserve"> </w:t>
      </w:r>
      <w:r w:rsidRPr="00AE1EAC">
        <w:rPr>
          <w:rFonts w:ascii="Arial" w:hAnsi="Arial" w:cs="Arial"/>
          <w:sz w:val="20"/>
          <w:szCs w:val="20"/>
        </w:rPr>
        <w:t>orientovaných projektov v zmysle zmlúv o NFP k 31.12.2012.</w:t>
      </w:r>
    </w:p>
    <w:p w:rsidR="00881054" w:rsidRPr="004B33AE" w:rsidRDefault="00881054" w:rsidP="00881054">
      <w:pPr>
        <w:spacing w:before="120" w:line="360" w:lineRule="auto"/>
        <w:jc w:val="both"/>
        <w:rPr>
          <w:rFonts w:ascii="Arial" w:hAnsi="Arial" w:cs="Arial"/>
          <w:sz w:val="20"/>
          <w:szCs w:val="20"/>
        </w:rPr>
      </w:pPr>
      <w:r w:rsidRPr="004B33AE">
        <w:rPr>
          <w:rFonts w:ascii="Arial" w:hAnsi="Arial" w:cs="Arial"/>
          <w:sz w:val="20"/>
          <w:szCs w:val="20"/>
        </w:rPr>
        <w:t xml:space="preserve">Tab. č. </w:t>
      </w:r>
      <w:r>
        <w:rPr>
          <w:rFonts w:ascii="Arial" w:hAnsi="Arial" w:cs="Arial"/>
          <w:sz w:val="20"/>
          <w:szCs w:val="20"/>
        </w:rPr>
        <w:t>71</w:t>
      </w:r>
      <w:r w:rsidRPr="004B33AE">
        <w:rPr>
          <w:rFonts w:ascii="Arial" w:hAnsi="Arial" w:cs="Arial"/>
          <w:sz w:val="20"/>
          <w:szCs w:val="20"/>
        </w:rPr>
        <w:t xml:space="preserve">: </w:t>
      </w:r>
      <w:r w:rsidRPr="006A2BF3">
        <w:rPr>
          <w:rFonts w:ascii="Arial" w:hAnsi="Arial" w:cs="Arial"/>
          <w:sz w:val="20"/>
          <w:szCs w:val="20"/>
        </w:rPr>
        <w:t xml:space="preserve">Plnenie fyzických ukazovateľov </w:t>
      </w:r>
      <w:r>
        <w:rPr>
          <w:rFonts w:ascii="Arial" w:hAnsi="Arial" w:cs="Arial"/>
          <w:sz w:val="20"/>
          <w:szCs w:val="20"/>
        </w:rPr>
        <w:t xml:space="preserve">HP MRK na úrovni </w:t>
      </w:r>
      <w:r w:rsidRPr="006A2BF3">
        <w:rPr>
          <w:rFonts w:ascii="Arial" w:hAnsi="Arial" w:cs="Arial"/>
          <w:sz w:val="20"/>
          <w:szCs w:val="20"/>
        </w:rPr>
        <w:t>NSRR k 31.12.201</w:t>
      </w:r>
      <w:r>
        <w:rPr>
          <w:rFonts w:ascii="Arial" w:hAnsi="Arial" w:cs="Arial"/>
          <w:sz w:val="20"/>
          <w:szCs w:val="20"/>
        </w:rPr>
        <w:t>2</w:t>
      </w:r>
    </w:p>
    <w:tbl>
      <w:tblPr>
        <w:tblW w:w="9315" w:type="dxa"/>
        <w:tblInd w:w="55" w:type="dxa"/>
        <w:tblCellMar>
          <w:left w:w="70" w:type="dxa"/>
          <w:right w:w="70" w:type="dxa"/>
        </w:tblCellMar>
        <w:tblLook w:val="04A0" w:firstRow="1" w:lastRow="0" w:firstColumn="1" w:lastColumn="0" w:noHBand="0" w:noVBand="1"/>
      </w:tblPr>
      <w:tblGrid>
        <w:gridCol w:w="1012"/>
        <w:gridCol w:w="1608"/>
        <w:gridCol w:w="496"/>
        <w:gridCol w:w="496"/>
        <w:gridCol w:w="496"/>
        <w:gridCol w:w="496"/>
        <w:gridCol w:w="496"/>
        <w:gridCol w:w="496"/>
        <w:gridCol w:w="496"/>
        <w:gridCol w:w="496"/>
        <w:gridCol w:w="941"/>
        <w:gridCol w:w="941"/>
        <w:gridCol w:w="1150"/>
      </w:tblGrid>
      <w:tr w:rsidR="00881054" w:rsidRPr="006A2BF3" w:rsidTr="001540E7">
        <w:trPr>
          <w:trHeight w:val="287"/>
        </w:trPr>
        <w:tc>
          <w:tcPr>
            <w:tcW w:w="0" w:type="auto"/>
            <w:gridSpan w:val="2"/>
            <w:tcBorders>
              <w:top w:val="single" w:sz="4" w:space="0" w:color="auto"/>
              <w:left w:val="single" w:sz="4" w:space="0" w:color="auto"/>
              <w:bottom w:val="nil"/>
              <w:right w:val="single" w:sz="4" w:space="0" w:color="000000"/>
            </w:tcBorders>
            <w:shd w:val="clear" w:color="000000" w:fill="D6E3BC"/>
            <w:noWrap/>
            <w:vAlign w:val="center"/>
          </w:tcPr>
          <w:p w:rsidR="00881054" w:rsidRPr="006A2BF3" w:rsidRDefault="00881054" w:rsidP="002D57B5">
            <w:pPr>
              <w:jc w:val="center"/>
              <w:rPr>
                <w:rFonts w:ascii="Arial" w:hAnsi="Arial" w:cs="Arial"/>
                <w:b/>
                <w:bCs/>
                <w:sz w:val="16"/>
                <w:szCs w:val="16"/>
              </w:rPr>
            </w:pPr>
            <w:r w:rsidRPr="006A2BF3">
              <w:rPr>
                <w:rFonts w:ascii="Arial" w:hAnsi="Arial" w:cs="Arial"/>
                <w:b/>
                <w:bCs/>
                <w:sz w:val="16"/>
                <w:szCs w:val="16"/>
              </w:rPr>
              <w:t>Ukazovatele</w:t>
            </w:r>
          </w:p>
        </w:tc>
        <w:tc>
          <w:tcPr>
            <w:tcW w:w="0" w:type="auto"/>
            <w:tcBorders>
              <w:top w:val="single" w:sz="4" w:space="0" w:color="auto"/>
              <w:left w:val="nil"/>
              <w:bottom w:val="nil"/>
              <w:right w:val="single" w:sz="4" w:space="0" w:color="auto"/>
            </w:tcBorders>
            <w:shd w:val="clear" w:color="000000" w:fill="D6E3BC"/>
            <w:noWrap/>
            <w:vAlign w:val="center"/>
          </w:tcPr>
          <w:p w:rsidR="00881054" w:rsidRPr="006A2BF3" w:rsidRDefault="00881054" w:rsidP="002D57B5">
            <w:pPr>
              <w:jc w:val="center"/>
              <w:rPr>
                <w:rFonts w:ascii="Arial" w:hAnsi="Arial" w:cs="Arial"/>
                <w:b/>
                <w:bCs/>
                <w:sz w:val="16"/>
                <w:szCs w:val="16"/>
              </w:rPr>
            </w:pPr>
            <w:r w:rsidRPr="006A2BF3">
              <w:rPr>
                <w:rFonts w:ascii="Arial" w:hAnsi="Arial" w:cs="Arial"/>
                <w:b/>
                <w:bCs/>
                <w:sz w:val="16"/>
                <w:szCs w:val="16"/>
              </w:rPr>
              <w:t>2007</w:t>
            </w:r>
          </w:p>
        </w:tc>
        <w:tc>
          <w:tcPr>
            <w:tcW w:w="0" w:type="auto"/>
            <w:tcBorders>
              <w:top w:val="single" w:sz="4" w:space="0" w:color="auto"/>
              <w:left w:val="nil"/>
              <w:bottom w:val="nil"/>
              <w:right w:val="single" w:sz="4" w:space="0" w:color="auto"/>
            </w:tcBorders>
            <w:shd w:val="clear" w:color="000000" w:fill="D6E3BC"/>
            <w:noWrap/>
            <w:vAlign w:val="center"/>
          </w:tcPr>
          <w:p w:rsidR="00881054" w:rsidRPr="006A2BF3" w:rsidRDefault="00881054" w:rsidP="002D57B5">
            <w:pPr>
              <w:jc w:val="center"/>
              <w:rPr>
                <w:rFonts w:ascii="Arial" w:hAnsi="Arial" w:cs="Arial"/>
                <w:b/>
                <w:bCs/>
                <w:sz w:val="16"/>
                <w:szCs w:val="16"/>
              </w:rPr>
            </w:pPr>
            <w:r w:rsidRPr="006A2BF3">
              <w:rPr>
                <w:rFonts w:ascii="Arial" w:hAnsi="Arial" w:cs="Arial"/>
                <w:b/>
                <w:bCs/>
                <w:sz w:val="16"/>
                <w:szCs w:val="16"/>
              </w:rPr>
              <w:t>2008</w:t>
            </w:r>
          </w:p>
        </w:tc>
        <w:tc>
          <w:tcPr>
            <w:tcW w:w="0" w:type="auto"/>
            <w:tcBorders>
              <w:top w:val="single" w:sz="4" w:space="0" w:color="auto"/>
              <w:left w:val="nil"/>
              <w:bottom w:val="nil"/>
              <w:right w:val="single" w:sz="4" w:space="0" w:color="auto"/>
            </w:tcBorders>
            <w:shd w:val="clear" w:color="000000" w:fill="D6E3BC"/>
            <w:noWrap/>
            <w:vAlign w:val="center"/>
          </w:tcPr>
          <w:p w:rsidR="00881054" w:rsidRPr="006A2BF3" w:rsidRDefault="00881054" w:rsidP="002D57B5">
            <w:pPr>
              <w:jc w:val="center"/>
              <w:rPr>
                <w:rFonts w:ascii="Arial" w:hAnsi="Arial" w:cs="Arial"/>
                <w:b/>
                <w:bCs/>
                <w:sz w:val="16"/>
                <w:szCs w:val="16"/>
              </w:rPr>
            </w:pPr>
            <w:r w:rsidRPr="006A2BF3">
              <w:rPr>
                <w:rFonts w:ascii="Arial" w:hAnsi="Arial" w:cs="Arial"/>
                <w:b/>
                <w:bCs/>
                <w:sz w:val="16"/>
                <w:szCs w:val="16"/>
              </w:rPr>
              <w:t>2009</w:t>
            </w:r>
          </w:p>
        </w:tc>
        <w:tc>
          <w:tcPr>
            <w:tcW w:w="0" w:type="auto"/>
            <w:tcBorders>
              <w:top w:val="single" w:sz="4" w:space="0" w:color="auto"/>
              <w:left w:val="nil"/>
              <w:bottom w:val="nil"/>
              <w:right w:val="single" w:sz="4" w:space="0" w:color="auto"/>
            </w:tcBorders>
            <w:shd w:val="clear" w:color="000000" w:fill="D6E3BC"/>
            <w:noWrap/>
            <w:vAlign w:val="center"/>
          </w:tcPr>
          <w:p w:rsidR="00881054" w:rsidRPr="006A2BF3" w:rsidRDefault="00881054" w:rsidP="002D57B5">
            <w:pPr>
              <w:jc w:val="center"/>
              <w:rPr>
                <w:rFonts w:ascii="Arial" w:hAnsi="Arial" w:cs="Arial"/>
                <w:b/>
                <w:bCs/>
                <w:sz w:val="16"/>
                <w:szCs w:val="16"/>
              </w:rPr>
            </w:pPr>
            <w:r w:rsidRPr="006A2BF3">
              <w:rPr>
                <w:rFonts w:ascii="Arial" w:hAnsi="Arial" w:cs="Arial"/>
                <w:b/>
                <w:bCs/>
                <w:sz w:val="16"/>
                <w:szCs w:val="16"/>
              </w:rPr>
              <w:t>2010</w:t>
            </w:r>
          </w:p>
        </w:tc>
        <w:tc>
          <w:tcPr>
            <w:tcW w:w="0" w:type="auto"/>
            <w:tcBorders>
              <w:top w:val="single" w:sz="4" w:space="0" w:color="auto"/>
              <w:left w:val="nil"/>
              <w:bottom w:val="nil"/>
              <w:right w:val="single" w:sz="4" w:space="0" w:color="auto"/>
            </w:tcBorders>
            <w:shd w:val="clear" w:color="000000" w:fill="D6E3BC"/>
            <w:noWrap/>
            <w:vAlign w:val="center"/>
          </w:tcPr>
          <w:p w:rsidR="00881054" w:rsidRPr="006A2BF3" w:rsidRDefault="00881054" w:rsidP="002D57B5">
            <w:pPr>
              <w:jc w:val="center"/>
              <w:rPr>
                <w:rFonts w:ascii="Arial" w:hAnsi="Arial" w:cs="Arial"/>
                <w:b/>
                <w:bCs/>
                <w:sz w:val="16"/>
                <w:szCs w:val="16"/>
              </w:rPr>
            </w:pPr>
            <w:r w:rsidRPr="006A2BF3">
              <w:rPr>
                <w:rFonts w:ascii="Arial" w:hAnsi="Arial" w:cs="Arial"/>
                <w:b/>
                <w:bCs/>
                <w:sz w:val="16"/>
                <w:szCs w:val="16"/>
              </w:rPr>
              <w:t>2011</w:t>
            </w:r>
          </w:p>
        </w:tc>
        <w:tc>
          <w:tcPr>
            <w:tcW w:w="0" w:type="auto"/>
            <w:tcBorders>
              <w:top w:val="single" w:sz="4" w:space="0" w:color="auto"/>
              <w:left w:val="nil"/>
              <w:bottom w:val="nil"/>
              <w:right w:val="single" w:sz="4" w:space="0" w:color="auto"/>
            </w:tcBorders>
            <w:shd w:val="clear" w:color="000000" w:fill="D6E3BC"/>
            <w:noWrap/>
            <w:vAlign w:val="center"/>
          </w:tcPr>
          <w:p w:rsidR="00881054" w:rsidRPr="006A2BF3" w:rsidRDefault="00881054" w:rsidP="002D57B5">
            <w:pPr>
              <w:jc w:val="center"/>
              <w:rPr>
                <w:rFonts w:ascii="Arial" w:hAnsi="Arial" w:cs="Arial"/>
                <w:b/>
                <w:bCs/>
                <w:sz w:val="16"/>
                <w:szCs w:val="16"/>
              </w:rPr>
            </w:pPr>
            <w:r w:rsidRPr="006A2BF3">
              <w:rPr>
                <w:rFonts w:ascii="Arial" w:hAnsi="Arial" w:cs="Arial"/>
                <w:b/>
                <w:bCs/>
                <w:sz w:val="16"/>
                <w:szCs w:val="16"/>
              </w:rPr>
              <w:t>2012</w:t>
            </w:r>
          </w:p>
        </w:tc>
        <w:tc>
          <w:tcPr>
            <w:tcW w:w="0" w:type="auto"/>
            <w:tcBorders>
              <w:top w:val="single" w:sz="4" w:space="0" w:color="auto"/>
              <w:left w:val="nil"/>
              <w:bottom w:val="nil"/>
              <w:right w:val="single" w:sz="4" w:space="0" w:color="auto"/>
            </w:tcBorders>
            <w:shd w:val="clear" w:color="000000" w:fill="D6E3BC"/>
            <w:noWrap/>
            <w:vAlign w:val="center"/>
          </w:tcPr>
          <w:p w:rsidR="00881054" w:rsidRPr="006A2BF3" w:rsidRDefault="00881054" w:rsidP="002D57B5">
            <w:pPr>
              <w:jc w:val="center"/>
              <w:rPr>
                <w:rFonts w:ascii="Arial" w:hAnsi="Arial" w:cs="Arial"/>
                <w:b/>
                <w:bCs/>
                <w:sz w:val="16"/>
                <w:szCs w:val="16"/>
              </w:rPr>
            </w:pPr>
            <w:r w:rsidRPr="006A2BF3">
              <w:rPr>
                <w:rFonts w:ascii="Arial" w:hAnsi="Arial" w:cs="Arial"/>
                <w:b/>
                <w:bCs/>
                <w:sz w:val="16"/>
                <w:szCs w:val="16"/>
              </w:rPr>
              <w:t>2013</w:t>
            </w:r>
          </w:p>
        </w:tc>
        <w:tc>
          <w:tcPr>
            <w:tcW w:w="0" w:type="auto"/>
            <w:tcBorders>
              <w:top w:val="single" w:sz="4" w:space="0" w:color="auto"/>
              <w:left w:val="nil"/>
              <w:bottom w:val="nil"/>
              <w:right w:val="single" w:sz="4" w:space="0" w:color="auto"/>
            </w:tcBorders>
            <w:shd w:val="clear" w:color="000000" w:fill="D6E3BC"/>
            <w:noWrap/>
            <w:vAlign w:val="center"/>
          </w:tcPr>
          <w:p w:rsidR="00881054" w:rsidRPr="006A2BF3" w:rsidRDefault="00881054" w:rsidP="002D57B5">
            <w:pPr>
              <w:jc w:val="center"/>
              <w:rPr>
                <w:rFonts w:ascii="Arial" w:hAnsi="Arial" w:cs="Arial"/>
                <w:b/>
                <w:bCs/>
                <w:sz w:val="16"/>
                <w:szCs w:val="16"/>
              </w:rPr>
            </w:pPr>
            <w:r w:rsidRPr="006A2BF3">
              <w:rPr>
                <w:rFonts w:ascii="Arial" w:hAnsi="Arial" w:cs="Arial"/>
                <w:b/>
                <w:bCs/>
                <w:sz w:val="16"/>
                <w:szCs w:val="16"/>
              </w:rPr>
              <w:t>2014</w:t>
            </w:r>
          </w:p>
        </w:tc>
        <w:tc>
          <w:tcPr>
            <w:tcW w:w="0" w:type="auto"/>
            <w:tcBorders>
              <w:top w:val="single" w:sz="4" w:space="0" w:color="auto"/>
              <w:left w:val="nil"/>
              <w:bottom w:val="nil"/>
              <w:right w:val="single" w:sz="4" w:space="0" w:color="auto"/>
            </w:tcBorders>
            <w:shd w:val="clear" w:color="000000" w:fill="D6E3BC"/>
            <w:noWrap/>
            <w:vAlign w:val="center"/>
          </w:tcPr>
          <w:p w:rsidR="00881054" w:rsidRPr="006A2BF3" w:rsidRDefault="00881054" w:rsidP="002D57B5">
            <w:pPr>
              <w:jc w:val="center"/>
              <w:rPr>
                <w:rFonts w:ascii="Arial" w:hAnsi="Arial" w:cs="Arial"/>
                <w:b/>
                <w:bCs/>
                <w:sz w:val="16"/>
                <w:szCs w:val="16"/>
              </w:rPr>
            </w:pPr>
            <w:r w:rsidRPr="006A2BF3">
              <w:rPr>
                <w:rFonts w:ascii="Arial" w:hAnsi="Arial" w:cs="Arial"/>
                <w:b/>
                <w:bCs/>
                <w:sz w:val="16"/>
                <w:szCs w:val="16"/>
              </w:rPr>
              <w:t>2015</w:t>
            </w:r>
          </w:p>
        </w:tc>
        <w:tc>
          <w:tcPr>
            <w:tcW w:w="0" w:type="auto"/>
            <w:tcBorders>
              <w:top w:val="single" w:sz="4" w:space="0" w:color="auto"/>
              <w:left w:val="nil"/>
              <w:bottom w:val="nil"/>
              <w:right w:val="single" w:sz="4" w:space="0" w:color="auto"/>
            </w:tcBorders>
            <w:shd w:val="clear" w:color="000000" w:fill="D6E3BC"/>
            <w:noWrap/>
            <w:vAlign w:val="center"/>
          </w:tcPr>
          <w:p w:rsidR="00881054" w:rsidRPr="006A2BF3" w:rsidRDefault="00881054" w:rsidP="002D57B5">
            <w:pPr>
              <w:jc w:val="center"/>
              <w:rPr>
                <w:rFonts w:ascii="Arial" w:hAnsi="Arial" w:cs="Arial"/>
                <w:b/>
                <w:bCs/>
                <w:sz w:val="16"/>
                <w:szCs w:val="16"/>
              </w:rPr>
            </w:pPr>
            <w:r w:rsidRPr="006A2BF3">
              <w:rPr>
                <w:rFonts w:ascii="Arial" w:hAnsi="Arial" w:cs="Arial"/>
                <w:b/>
                <w:bCs/>
                <w:sz w:val="16"/>
                <w:szCs w:val="16"/>
              </w:rPr>
              <w:t>Spolu</w:t>
            </w:r>
          </w:p>
        </w:tc>
        <w:tc>
          <w:tcPr>
            <w:tcW w:w="1150" w:type="dxa"/>
            <w:tcBorders>
              <w:top w:val="single" w:sz="4" w:space="0" w:color="auto"/>
              <w:left w:val="nil"/>
              <w:bottom w:val="nil"/>
              <w:right w:val="single" w:sz="4" w:space="0" w:color="auto"/>
            </w:tcBorders>
            <w:shd w:val="clear" w:color="000000" w:fill="D6E3BC"/>
            <w:noWrap/>
            <w:vAlign w:val="center"/>
          </w:tcPr>
          <w:p w:rsidR="00881054" w:rsidRPr="006A2BF3" w:rsidRDefault="00881054" w:rsidP="002D57B5">
            <w:pPr>
              <w:jc w:val="center"/>
              <w:rPr>
                <w:rFonts w:ascii="Arial" w:hAnsi="Arial" w:cs="Arial"/>
                <w:b/>
                <w:bCs/>
                <w:sz w:val="16"/>
                <w:szCs w:val="16"/>
              </w:rPr>
            </w:pPr>
            <w:r w:rsidRPr="006A2BF3">
              <w:rPr>
                <w:rFonts w:ascii="Arial" w:hAnsi="Arial" w:cs="Arial"/>
                <w:b/>
                <w:bCs/>
                <w:sz w:val="16"/>
                <w:szCs w:val="16"/>
              </w:rPr>
              <w:t>Komentár</w:t>
            </w:r>
          </w:p>
        </w:tc>
      </w:tr>
      <w:tr w:rsidR="00881054" w:rsidRPr="006A2BF3" w:rsidTr="001540E7">
        <w:trPr>
          <w:trHeight w:val="376"/>
        </w:trPr>
        <w:tc>
          <w:tcPr>
            <w:tcW w:w="0" w:type="auto"/>
            <w:vMerge w:val="restart"/>
            <w:tcBorders>
              <w:top w:val="single" w:sz="4" w:space="0" w:color="auto"/>
              <w:left w:val="single" w:sz="4" w:space="0" w:color="auto"/>
              <w:bottom w:val="single" w:sz="4" w:space="0" w:color="000000"/>
              <w:right w:val="single" w:sz="4" w:space="0" w:color="auto"/>
            </w:tcBorders>
            <w:shd w:val="clear" w:color="auto" w:fill="EAF1DD"/>
            <w:vAlign w:val="center"/>
          </w:tcPr>
          <w:p w:rsidR="00881054" w:rsidRPr="006A2BF3" w:rsidRDefault="00881054" w:rsidP="002D57B5">
            <w:pPr>
              <w:rPr>
                <w:rFonts w:ascii="Arial" w:hAnsi="Arial" w:cs="Arial"/>
                <w:sz w:val="16"/>
                <w:szCs w:val="16"/>
              </w:rPr>
            </w:pPr>
            <w:r w:rsidRPr="006A2BF3">
              <w:rPr>
                <w:rFonts w:ascii="Arial" w:hAnsi="Arial" w:cs="Arial"/>
                <w:sz w:val="16"/>
                <w:szCs w:val="16"/>
              </w:rPr>
              <w:t>Počet projektov cielene zameraných na MRK</w:t>
            </w:r>
            <w:r>
              <w:rPr>
                <w:rFonts w:ascii="Arial" w:hAnsi="Arial" w:cs="Arial"/>
                <w:sz w:val="16"/>
                <w:szCs w:val="16"/>
              </w:rPr>
              <w:t xml:space="preserve"> </w:t>
            </w:r>
            <w:r w:rsidRPr="006E2C3F">
              <w:rPr>
                <w:rFonts w:ascii="Arial" w:hAnsi="Arial" w:cs="Arial"/>
                <w:sz w:val="16"/>
                <w:szCs w:val="16"/>
              </w:rPr>
              <w:t>[počet]</w:t>
            </w:r>
          </w:p>
        </w:tc>
        <w:tc>
          <w:tcPr>
            <w:tcW w:w="0" w:type="auto"/>
            <w:tcBorders>
              <w:top w:val="single" w:sz="4" w:space="0" w:color="auto"/>
              <w:left w:val="nil"/>
              <w:bottom w:val="dotted" w:sz="4" w:space="0" w:color="auto"/>
              <w:right w:val="single" w:sz="4" w:space="0" w:color="auto"/>
            </w:tcBorders>
            <w:shd w:val="clear" w:color="000000" w:fill="auto"/>
            <w:noWrap/>
            <w:vAlign w:val="center"/>
          </w:tcPr>
          <w:p w:rsidR="00881054" w:rsidRPr="006A2BF3" w:rsidRDefault="00881054" w:rsidP="002D57B5">
            <w:pPr>
              <w:rPr>
                <w:rFonts w:ascii="Arial" w:hAnsi="Arial" w:cs="Arial"/>
                <w:sz w:val="16"/>
                <w:szCs w:val="16"/>
              </w:rPr>
            </w:pPr>
            <w:r w:rsidRPr="006A2BF3">
              <w:rPr>
                <w:rFonts w:ascii="Arial" w:hAnsi="Arial" w:cs="Arial"/>
                <w:sz w:val="16"/>
                <w:szCs w:val="16"/>
              </w:rPr>
              <w:t>Dosiahnutý výsledok</w:t>
            </w:r>
          </w:p>
        </w:tc>
        <w:tc>
          <w:tcPr>
            <w:tcW w:w="0" w:type="auto"/>
            <w:tcBorders>
              <w:top w:val="single" w:sz="4" w:space="0" w:color="auto"/>
              <w:left w:val="nil"/>
              <w:bottom w:val="dotted" w:sz="4" w:space="0" w:color="auto"/>
              <w:right w:val="dotted" w:sz="4" w:space="0" w:color="auto"/>
            </w:tcBorders>
            <w:noWrap/>
            <w:vAlign w:val="center"/>
          </w:tcPr>
          <w:p w:rsidR="00881054" w:rsidRPr="004B33AE" w:rsidRDefault="00881054" w:rsidP="002D57B5">
            <w:pPr>
              <w:jc w:val="center"/>
              <w:rPr>
                <w:rFonts w:ascii="Arial" w:hAnsi="Arial" w:cs="Arial"/>
                <w:b/>
                <w:bCs/>
                <w:sz w:val="16"/>
                <w:szCs w:val="16"/>
              </w:rPr>
            </w:pPr>
            <w:r w:rsidRPr="004B33AE">
              <w:rPr>
                <w:rFonts w:ascii="Arial" w:hAnsi="Arial" w:cs="Arial"/>
                <w:b/>
                <w:bCs/>
                <w:sz w:val="16"/>
                <w:szCs w:val="16"/>
              </w:rPr>
              <w:t>0</w:t>
            </w:r>
          </w:p>
        </w:tc>
        <w:tc>
          <w:tcPr>
            <w:tcW w:w="0" w:type="auto"/>
            <w:tcBorders>
              <w:top w:val="single" w:sz="4" w:space="0" w:color="auto"/>
              <w:left w:val="nil"/>
              <w:bottom w:val="dotted" w:sz="4" w:space="0" w:color="auto"/>
              <w:right w:val="dotted" w:sz="4" w:space="0" w:color="auto"/>
            </w:tcBorders>
            <w:noWrap/>
            <w:vAlign w:val="center"/>
          </w:tcPr>
          <w:p w:rsidR="00881054" w:rsidRPr="004B33AE" w:rsidRDefault="00881054" w:rsidP="002D57B5">
            <w:pPr>
              <w:jc w:val="center"/>
              <w:rPr>
                <w:rFonts w:ascii="Arial" w:hAnsi="Arial" w:cs="Arial"/>
                <w:b/>
                <w:bCs/>
                <w:sz w:val="16"/>
                <w:szCs w:val="16"/>
              </w:rPr>
            </w:pPr>
            <w:r w:rsidRPr="004B33AE">
              <w:rPr>
                <w:rFonts w:ascii="Arial" w:hAnsi="Arial" w:cs="Arial"/>
                <w:b/>
                <w:bCs/>
                <w:sz w:val="16"/>
                <w:szCs w:val="16"/>
              </w:rPr>
              <w:t>0</w:t>
            </w:r>
          </w:p>
        </w:tc>
        <w:tc>
          <w:tcPr>
            <w:tcW w:w="0" w:type="auto"/>
            <w:tcBorders>
              <w:top w:val="single" w:sz="4" w:space="0" w:color="auto"/>
              <w:left w:val="nil"/>
              <w:bottom w:val="dotted" w:sz="4" w:space="0" w:color="auto"/>
              <w:right w:val="dotted" w:sz="4" w:space="0" w:color="auto"/>
            </w:tcBorders>
            <w:noWrap/>
            <w:vAlign w:val="center"/>
          </w:tcPr>
          <w:p w:rsidR="00881054" w:rsidRPr="004B33AE" w:rsidRDefault="00881054" w:rsidP="002D57B5">
            <w:pPr>
              <w:jc w:val="center"/>
              <w:rPr>
                <w:rFonts w:ascii="Arial" w:hAnsi="Arial" w:cs="Arial"/>
                <w:b/>
                <w:bCs/>
                <w:sz w:val="16"/>
                <w:szCs w:val="16"/>
              </w:rPr>
            </w:pPr>
            <w:r w:rsidRPr="004B33AE">
              <w:rPr>
                <w:rFonts w:ascii="Arial" w:hAnsi="Arial" w:cs="Arial"/>
                <w:b/>
                <w:bCs/>
                <w:sz w:val="16"/>
                <w:szCs w:val="16"/>
              </w:rPr>
              <w:t>0</w:t>
            </w:r>
          </w:p>
        </w:tc>
        <w:tc>
          <w:tcPr>
            <w:tcW w:w="0" w:type="auto"/>
            <w:tcBorders>
              <w:top w:val="single" w:sz="4" w:space="0" w:color="auto"/>
              <w:left w:val="nil"/>
              <w:bottom w:val="dotted" w:sz="4" w:space="0" w:color="auto"/>
              <w:right w:val="dotted" w:sz="4" w:space="0" w:color="auto"/>
            </w:tcBorders>
            <w:noWrap/>
            <w:vAlign w:val="center"/>
          </w:tcPr>
          <w:p w:rsidR="00881054" w:rsidRPr="004B33AE" w:rsidRDefault="00881054" w:rsidP="002D57B5">
            <w:pPr>
              <w:jc w:val="center"/>
              <w:rPr>
                <w:rFonts w:ascii="Arial" w:hAnsi="Arial" w:cs="Arial"/>
                <w:b/>
                <w:bCs/>
                <w:sz w:val="16"/>
                <w:szCs w:val="16"/>
              </w:rPr>
            </w:pPr>
            <w:r w:rsidRPr="004B33AE">
              <w:rPr>
                <w:rFonts w:ascii="Arial" w:hAnsi="Arial" w:cs="Arial"/>
                <w:b/>
                <w:bCs/>
                <w:sz w:val="16"/>
                <w:szCs w:val="16"/>
              </w:rPr>
              <w:t>0</w:t>
            </w:r>
          </w:p>
        </w:tc>
        <w:tc>
          <w:tcPr>
            <w:tcW w:w="0" w:type="auto"/>
            <w:tcBorders>
              <w:top w:val="single" w:sz="4" w:space="0" w:color="auto"/>
              <w:left w:val="nil"/>
              <w:bottom w:val="dotted" w:sz="4" w:space="0" w:color="auto"/>
              <w:right w:val="dotted" w:sz="4" w:space="0" w:color="auto"/>
            </w:tcBorders>
            <w:noWrap/>
            <w:vAlign w:val="center"/>
          </w:tcPr>
          <w:p w:rsidR="00881054" w:rsidRPr="004B33AE" w:rsidRDefault="00881054" w:rsidP="002D57B5">
            <w:pPr>
              <w:jc w:val="center"/>
              <w:rPr>
                <w:rFonts w:ascii="Arial" w:hAnsi="Arial" w:cs="Arial"/>
                <w:b/>
                <w:bCs/>
                <w:sz w:val="16"/>
                <w:szCs w:val="16"/>
              </w:rPr>
            </w:pPr>
            <w:r w:rsidRPr="004B33AE">
              <w:rPr>
                <w:rFonts w:ascii="Arial" w:hAnsi="Arial" w:cs="Arial"/>
                <w:b/>
                <w:bCs/>
                <w:sz w:val="16"/>
                <w:szCs w:val="16"/>
              </w:rPr>
              <w:t>0</w:t>
            </w:r>
          </w:p>
        </w:tc>
        <w:tc>
          <w:tcPr>
            <w:tcW w:w="0" w:type="auto"/>
            <w:tcBorders>
              <w:top w:val="single" w:sz="4" w:space="0" w:color="auto"/>
              <w:left w:val="nil"/>
              <w:bottom w:val="dotted" w:sz="4" w:space="0" w:color="auto"/>
              <w:right w:val="dotted" w:sz="4" w:space="0" w:color="auto"/>
            </w:tcBorders>
            <w:noWrap/>
            <w:vAlign w:val="center"/>
          </w:tcPr>
          <w:p w:rsidR="00881054" w:rsidRPr="004B33AE" w:rsidRDefault="00881054" w:rsidP="002D57B5">
            <w:pPr>
              <w:jc w:val="center"/>
              <w:rPr>
                <w:rFonts w:ascii="Arial" w:hAnsi="Arial" w:cs="Arial"/>
                <w:i/>
                <w:iCs/>
                <w:sz w:val="16"/>
                <w:szCs w:val="16"/>
              </w:rPr>
            </w:pPr>
            <w:r>
              <w:rPr>
                <w:rFonts w:ascii="Arial" w:hAnsi="Arial" w:cs="Arial"/>
                <w:b/>
                <w:iCs/>
                <w:sz w:val="16"/>
                <w:szCs w:val="16"/>
              </w:rPr>
              <w:t>0</w:t>
            </w:r>
          </w:p>
        </w:tc>
        <w:tc>
          <w:tcPr>
            <w:tcW w:w="0" w:type="auto"/>
            <w:tcBorders>
              <w:top w:val="single" w:sz="4" w:space="0" w:color="auto"/>
              <w:left w:val="nil"/>
              <w:bottom w:val="dotted" w:sz="4" w:space="0" w:color="auto"/>
              <w:right w:val="dotted" w:sz="4" w:space="0" w:color="auto"/>
            </w:tcBorders>
            <w:noWrap/>
            <w:vAlign w:val="center"/>
          </w:tcPr>
          <w:p w:rsidR="00881054" w:rsidRPr="004B33AE" w:rsidRDefault="00881054" w:rsidP="002D57B5">
            <w:pPr>
              <w:jc w:val="center"/>
              <w:rPr>
                <w:rFonts w:ascii="Arial" w:hAnsi="Arial" w:cs="Arial"/>
                <w:i/>
                <w:iCs/>
                <w:sz w:val="16"/>
                <w:szCs w:val="16"/>
              </w:rPr>
            </w:pPr>
            <w:r w:rsidRPr="004B33AE">
              <w:rPr>
                <w:rFonts w:ascii="Arial" w:hAnsi="Arial" w:cs="Arial"/>
                <w:i/>
                <w:iCs/>
                <w:sz w:val="16"/>
                <w:szCs w:val="16"/>
              </w:rPr>
              <w:t>N/A</w:t>
            </w:r>
          </w:p>
        </w:tc>
        <w:tc>
          <w:tcPr>
            <w:tcW w:w="0" w:type="auto"/>
            <w:tcBorders>
              <w:top w:val="single" w:sz="4" w:space="0" w:color="auto"/>
              <w:left w:val="nil"/>
              <w:bottom w:val="dotted" w:sz="4" w:space="0" w:color="auto"/>
              <w:right w:val="dotted" w:sz="4" w:space="0" w:color="auto"/>
            </w:tcBorders>
            <w:noWrap/>
            <w:vAlign w:val="center"/>
          </w:tcPr>
          <w:p w:rsidR="00881054" w:rsidRPr="004B33AE" w:rsidRDefault="00881054" w:rsidP="002D57B5">
            <w:pPr>
              <w:jc w:val="center"/>
              <w:rPr>
                <w:rFonts w:ascii="Arial" w:hAnsi="Arial" w:cs="Arial"/>
                <w:i/>
                <w:iCs/>
                <w:sz w:val="16"/>
                <w:szCs w:val="16"/>
              </w:rPr>
            </w:pPr>
            <w:r w:rsidRPr="004B33AE">
              <w:rPr>
                <w:rFonts w:ascii="Arial" w:hAnsi="Arial" w:cs="Arial"/>
                <w:i/>
                <w:iCs/>
                <w:sz w:val="16"/>
                <w:szCs w:val="16"/>
              </w:rPr>
              <w:t>N/A</w:t>
            </w:r>
          </w:p>
        </w:tc>
        <w:tc>
          <w:tcPr>
            <w:tcW w:w="0" w:type="auto"/>
            <w:tcBorders>
              <w:top w:val="single" w:sz="4" w:space="0" w:color="auto"/>
              <w:left w:val="nil"/>
              <w:bottom w:val="dotted" w:sz="4" w:space="0" w:color="auto"/>
              <w:right w:val="dotted" w:sz="4" w:space="0" w:color="auto"/>
            </w:tcBorders>
            <w:noWrap/>
            <w:vAlign w:val="center"/>
          </w:tcPr>
          <w:p w:rsidR="00881054" w:rsidRPr="004B33AE" w:rsidRDefault="00881054" w:rsidP="002D57B5">
            <w:pPr>
              <w:jc w:val="center"/>
              <w:rPr>
                <w:rFonts w:ascii="Arial" w:hAnsi="Arial" w:cs="Arial"/>
                <w:i/>
                <w:iCs/>
                <w:sz w:val="16"/>
                <w:szCs w:val="16"/>
              </w:rPr>
            </w:pPr>
            <w:r w:rsidRPr="004B33AE">
              <w:rPr>
                <w:rFonts w:ascii="Arial" w:hAnsi="Arial" w:cs="Arial"/>
                <w:i/>
                <w:iCs/>
                <w:sz w:val="16"/>
                <w:szCs w:val="16"/>
              </w:rPr>
              <w:t>N/A</w:t>
            </w:r>
          </w:p>
        </w:tc>
        <w:tc>
          <w:tcPr>
            <w:tcW w:w="0" w:type="auto"/>
            <w:tcBorders>
              <w:top w:val="single" w:sz="4" w:space="0" w:color="auto"/>
              <w:left w:val="nil"/>
              <w:bottom w:val="dotted" w:sz="4" w:space="0" w:color="auto"/>
              <w:right w:val="dotted" w:sz="4" w:space="0" w:color="auto"/>
            </w:tcBorders>
            <w:noWrap/>
            <w:vAlign w:val="center"/>
          </w:tcPr>
          <w:p w:rsidR="00881054" w:rsidRPr="004B33AE" w:rsidRDefault="00881054" w:rsidP="002D57B5">
            <w:pPr>
              <w:jc w:val="center"/>
              <w:rPr>
                <w:rFonts w:ascii="Arial" w:hAnsi="Arial" w:cs="Arial"/>
                <w:b/>
                <w:bCs/>
                <w:sz w:val="16"/>
                <w:szCs w:val="16"/>
              </w:rPr>
            </w:pPr>
            <w:r>
              <w:rPr>
                <w:rFonts w:ascii="Arial" w:hAnsi="Arial" w:cs="Arial"/>
                <w:b/>
                <w:bCs/>
                <w:sz w:val="16"/>
                <w:szCs w:val="16"/>
              </w:rPr>
              <w:t>0</w:t>
            </w:r>
          </w:p>
        </w:tc>
        <w:tc>
          <w:tcPr>
            <w:tcW w:w="1150" w:type="dxa"/>
            <w:vMerge w:val="restart"/>
            <w:tcBorders>
              <w:top w:val="single" w:sz="4" w:space="0" w:color="auto"/>
              <w:left w:val="dotted" w:sz="4" w:space="0" w:color="auto"/>
              <w:bottom w:val="single" w:sz="4" w:space="0" w:color="000000"/>
              <w:right w:val="single" w:sz="4" w:space="0" w:color="auto"/>
            </w:tcBorders>
            <w:vAlign w:val="center"/>
          </w:tcPr>
          <w:p w:rsidR="00881054" w:rsidRPr="006A2BF3" w:rsidRDefault="00881054" w:rsidP="002D57B5">
            <w:pPr>
              <w:jc w:val="center"/>
              <w:rPr>
                <w:rFonts w:ascii="Arial" w:hAnsi="Arial" w:cs="Arial"/>
                <w:i/>
                <w:iCs/>
                <w:sz w:val="16"/>
                <w:szCs w:val="16"/>
              </w:rPr>
            </w:pPr>
            <w:r w:rsidRPr="006A2BF3">
              <w:rPr>
                <w:rFonts w:ascii="Arial" w:hAnsi="Arial" w:cs="Arial"/>
                <w:i/>
                <w:iCs/>
                <w:sz w:val="16"/>
                <w:szCs w:val="16"/>
              </w:rPr>
              <w:t>neschválený žiaden projekt</w:t>
            </w:r>
          </w:p>
        </w:tc>
      </w:tr>
      <w:tr w:rsidR="00881054" w:rsidRPr="006A2BF3" w:rsidTr="001540E7">
        <w:trPr>
          <w:trHeight w:val="605"/>
        </w:trPr>
        <w:tc>
          <w:tcPr>
            <w:tcW w:w="0" w:type="auto"/>
            <w:vMerge/>
            <w:tcBorders>
              <w:top w:val="single" w:sz="4" w:space="0" w:color="000000"/>
              <w:left w:val="single" w:sz="4" w:space="0" w:color="auto"/>
              <w:bottom w:val="single" w:sz="4" w:space="0" w:color="000000"/>
              <w:right w:val="single" w:sz="4" w:space="0" w:color="auto"/>
            </w:tcBorders>
            <w:shd w:val="clear" w:color="auto" w:fill="EAF1DD"/>
            <w:vAlign w:val="center"/>
          </w:tcPr>
          <w:p w:rsidR="00881054" w:rsidRPr="006A2BF3" w:rsidRDefault="00881054" w:rsidP="002D57B5">
            <w:pPr>
              <w:rPr>
                <w:rFonts w:ascii="Arial" w:hAnsi="Arial" w:cs="Arial"/>
                <w:sz w:val="16"/>
                <w:szCs w:val="16"/>
              </w:rPr>
            </w:pPr>
          </w:p>
        </w:tc>
        <w:tc>
          <w:tcPr>
            <w:tcW w:w="0" w:type="auto"/>
            <w:tcBorders>
              <w:top w:val="nil"/>
              <w:left w:val="nil"/>
              <w:bottom w:val="dotted" w:sz="4" w:space="0" w:color="auto"/>
              <w:right w:val="single" w:sz="4" w:space="0" w:color="auto"/>
            </w:tcBorders>
            <w:shd w:val="clear" w:color="000000" w:fill="auto"/>
            <w:noWrap/>
            <w:vAlign w:val="center"/>
          </w:tcPr>
          <w:p w:rsidR="00881054" w:rsidRPr="006A2BF3" w:rsidRDefault="00881054" w:rsidP="002D57B5">
            <w:pPr>
              <w:rPr>
                <w:rFonts w:ascii="Arial" w:hAnsi="Arial" w:cs="Arial"/>
                <w:sz w:val="16"/>
                <w:szCs w:val="16"/>
              </w:rPr>
            </w:pPr>
            <w:r w:rsidRPr="006A2BF3">
              <w:rPr>
                <w:rFonts w:ascii="Arial" w:hAnsi="Arial" w:cs="Arial"/>
                <w:sz w:val="16"/>
                <w:szCs w:val="16"/>
              </w:rPr>
              <w:t>Cieľ</w:t>
            </w:r>
          </w:p>
        </w:tc>
        <w:tc>
          <w:tcPr>
            <w:tcW w:w="0" w:type="auto"/>
            <w:tcBorders>
              <w:top w:val="nil"/>
              <w:left w:val="nil"/>
              <w:bottom w:val="dotted" w:sz="4" w:space="0" w:color="auto"/>
              <w:right w:val="dotted" w:sz="4" w:space="0" w:color="auto"/>
            </w:tcBorders>
            <w:noWrap/>
            <w:vAlign w:val="center"/>
          </w:tcPr>
          <w:p w:rsidR="00881054" w:rsidRPr="004B33AE" w:rsidRDefault="00881054" w:rsidP="002D57B5">
            <w:pPr>
              <w:jc w:val="center"/>
              <w:rPr>
                <w:rFonts w:ascii="Arial" w:hAnsi="Arial" w:cs="Arial"/>
                <w:i/>
                <w:iCs/>
                <w:sz w:val="16"/>
                <w:szCs w:val="16"/>
              </w:rPr>
            </w:pPr>
            <w:r w:rsidRPr="004B33AE">
              <w:rPr>
                <w:rFonts w:ascii="Arial" w:hAnsi="Arial" w:cs="Arial"/>
                <w:i/>
                <w:iCs/>
                <w:sz w:val="16"/>
                <w:szCs w:val="16"/>
              </w:rPr>
              <w:t>N/A</w:t>
            </w:r>
          </w:p>
        </w:tc>
        <w:tc>
          <w:tcPr>
            <w:tcW w:w="0" w:type="auto"/>
            <w:tcBorders>
              <w:top w:val="nil"/>
              <w:left w:val="nil"/>
              <w:bottom w:val="dotted" w:sz="4" w:space="0" w:color="auto"/>
              <w:right w:val="dotted" w:sz="4" w:space="0" w:color="auto"/>
            </w:tcBorders>
            <w:noWrap/>
            <w:vAlign w:val="center"/>
          </w:tcPr>
          <w:p w:rsidR="00881054" w:rsidRPr="004B33AE" w:rsidRDefault="00881054" w:rsidP="002D57B5">
            <w:pPr>
              <w:jc w:val="center"/>
              <w:rPr>
                <w:rFonts w:ascii="Arial" w:hAnsi="Arial" w:cs="Arial"/>
                <w:i/>
                <w:iCs/>
                <w:sz w:val="16"/>
                <w:szCs w:val="16"/>
              </w:rPr>
            </w:pPr>
            <w:r w:rsidRPr="004B33AE">
              <w:rPr>
                <w:rFonts w:ascii="Arial" w:hAnsi="Arial" w:cs="Arial"/>
                <w:i/>
                <w:iCs/>
                <w:sz w:val="16"/>
                <w:szCs w:val="16"/>
              </w:rPr>
              <w:t>N/A</w:t>
            </w:r>
          </w:p>
        </w:tc>
        <w:tc>
          <w:tcPr>
            <w:tcW w:w="0" w:type="auto"/>
            <w:tcBorders>
              <w:top w:val="nil"/>
              <w:left w:val="nil"/>
              <w:bottom w:val="dotted" w:sz="4" w:space="0" w:color="auto"/>
              <w:right w:val="dotted" w:sz="4" w:space="0" w:color="auto"/>
            </w:tcBorders>
            <w:noWrap/>
            <w:vAlign w:val="center"/>
          </w:tcPr>
          <w:p w:rsidR="00881054" w:rsidRPr="004B33AE" w:rsidRDefault="00881054" w:rsidP="002D57B5">
            <w:pPr>
              <w:jc w:val="center"/>
              <w:rPr>
                <w:rFonts w:ascii="Arial" w:hAnsi="Arial" w:cs="Arial"/>
                <w:i/>
                <w:iCs/>
                <w:sz w:val="16"/>
                <w:szCs w:val="16"/>
              </w:rPr>
            </w:pPr>
            <w:r w:rsidRPr="004B33AE">
              <w:rPr>
                <w:rFonts w:ascii="Arial" w:hAnsi="Arial" w:cs="Arial"/>
                <w:i/>
                <w:iCs/>
                <w:sz w:val="16"/>
                <w:szCs w:val="16"/>
              </w:rPr>
              <w:t>N/A</w:t>
            </w:r>
          </w:p>
        </w:tc>
        <w:tc>
          <w:tcPr>
            <w:tcW w:w="0" w:type="auto"/>
            <w:tcBorders>
              <w:top w:val="nil"/>
              <w:left w:val="nil"/>
              <w:bottom w:val="dotted" w:sz="4" w:space="0" w:color="auto"/>
              <w:right w:val="dotted" w:sz="4" w:space="0" w:color="auto"/>
            </w:tcBorders>
            <w:noWrap/>
            <w:vAlign w:val="center"/>
          </w:tcPr>
          <w:p w:rsidR="00881054" w:rsidRPr="004B33AE" w:rsidRDefault="00881054" w:rsidP="002D57B5">
            <w:pPr>
              <w:jc w:val="center"/>
              <w:rPr>
                <w:rFonts w:ascii="Arial" w:hAnsi="Arial" w:cs="Arial"/>
                <w:i/>
                <w:iCs/>
                <w:sz w:val="16"/>
                <w:szCs w:val="16"/>
              </w:rPr>
            </w:pPr>
            <w:r w:rsidRPr="004B33AE">
              <w:rPr>
                <w:rFonts w:ascii="Arial" w:hAnsi="Arial" w:cs="Arial"/>
                <w:i/>
                <w:iCs/>
                <w:sz w:val="16"/>
                <w:szCs w:val="16"/>
              </w:rPr>
              <w:t>N/A</w:t>
            </w:r>
          </w:p>
        </w:tc>
        <w:tc>
          <w:tcPr>
            <w:tcW w:w="0" w:type="auto"/>
            <w:tcBorders>
              <w:top w:val="nil"/>
              <w:left w:val="nil"/>
              <w:bottom w:val="dotted" w:sz="4" w:space="0" w:color="auto"/>
              <w:right w:val="dotted" w:sz="4" w:space="0" w:color="auto"/>
            </w:tcBorders>
            <w:noWrap/>
            <w:vAlign w:val="center"/>
          </w:tcPr>
          <w:p w:rsidR="00881054" w:rsidRPr="004B33AE" w:rsidRDefault="00881054" w:rsidP="002D57B5">
            <w:pPr>
              <w:jc w:val="center"/>
              <w:rPr>
                <w:rFonts w:ascii="Arial" w:hAnsi="Arial" w:cs="Arial"/>
                <w:i/>
                <w:iCs/>
                <w:sz w:val="16"/>
                <w:szCs w:val="16"/>
              </w:rPr>
            </w:pPr>
            <w:r w:rsidRPr="004B33AE">
              <w:rPr>
                <w:rFonts w:ascii="Arial" w:hAnsi="Arial" w:cs="Arial"/>
                <w:i/>
                <w:iCs/>
                <w:sz w:val="16"/>
                <w:szCs w:val="16"/>
              </w:rPr>
              <w:t>N/A</w:t>
            </w:r>
          </w:p>
        </w:tc>
        <w:tc>
          <w:tcPr>
            <w:tcW w:w="0" w:type="auto"/>
            <w:tcBorders>
              <w:top w:val="nil"/>
              <w:left w:val="nil"/>
              <w:bottom w:val="dotted" w:sz="4" w:space="0" w:color="auto"/>
              <w:right w:val="dotted" w:sz="4" w:space="0" w:color="auto"/>
            </w:tcBorders>
            <w:noWrap/>
            <w:vAlign w:val="center"/>
          </w:tcPr>
          <w:p w:rsidR="00881054" w:rsidRPr="004B33AE" w:rsidRDefault="00881054" w:rsidP="002D57B5">
            <w:pPr>
              <w:jc w:val="center"/>
              <w:rPr>
                <w:rFonts w:ascii="Arial" w:hAnsi="Arial" w:cs="Arial"/>
                <w:i/>
                <w:iCs/>
                <w:sz w:val="16"/>
                <w:szCs w:val="16"/>
              </w:rPr>
            </w:pPr>
            <w:r w:rsidRPr="004B33AE">
              <w:rPr>
                <w:rFonts w:ascii="Arial" w:hAnsi="Arial" w:cs="Arial"/>
                <w:i/>
                <w:iCs/>
                <w:sz w:val="16"/>
                <w:szCs w:val="16"/>
              </w:rPr>
              <w:t>N/A</w:t>
            </w:r>
          </w:p>
        </w:tc>
        <w:tc>
          <w:tcPr>
            <w:tcW w:w="0" w:type="auto"/>
            <w:tcBorders>
              <w:top w:val="nil"/>
              <w:left w:val="nil"/>
              <w:bottom w:val="dotted" w:sz="4" w:space="0" w:color="auto"/>
              <w:right w:val="dotted" w:sz="4" w:space="0" w:color="auto"/>
            </w:tcBorders>
            <w:noWrap/>
            <w:vAlign w:val="center"/>
          </w:tcPr>
          <w:p w:rsidR="00881054" w:rsidRPr="004B33AE" w:rsidRDefault="00881054" w:rsidP="002D57B5">
            <w:pPr>
              <w:jc w:val="center"/>
              <w:rPr>
                <w:rFonts w:ascii="Arial" w:hAnsi="Arial" w:cs="Arial"/>
                <w:i/>
                <w:iCs/>
                <w:sz w:val="16"/>
                <w:szCs w:val="16"/>
              </w:rPr>
            </w:pPr>
            <w:r w:rsidRPr="004B33AE">
              <w:rPr>
                <w:rFonts w:ascii="Arial" w:hAnsi="Arial" w:cs="Arial"/>
                <w:i/>
                <w:iCs/>
                <w:sz w:val="16"/>
                <w:szCs w:val="16"/>
              </w:rPr>
              <w:t>N/A</w:t>
            </w:r>
          </w:p>
        </w:tc>
        <w:tc>
          <w:tcPr>
            <w:tcW w:w="0" w:type="auto"/>
            <w:tcBorders>
              <w:top w:val="nil"/>
              <w:left w:val="nil"/>
              <w:bottom w:val="dotted" w:sz="4" w:space="0" w:color="auto"/>
              <w:right w:val="dotted" w:sz="4" w:space="0" w:color="auto"/>
            </w:tcBorders>
            <w:noWrap/>
            <w:vAlign w:val="center"/>
          </w:tcPr>
          <w:p w:rsidR="00881054" w:rsidRPr="004B33AE" w:rsidRDefault="00881054" w:rsidP="002D57B5">
            <w:pPr>
              <w:jc w:val="center"/>
              <w:rPr>
                <w:rFonts w:ascii="Arial" w:hAnsi="Arial" w:cs="Arial"/>
                <w:i/>
                <w:iCs/>
                <w:sz w:val="16"/>
                <w:szCs w:val="16"/>
              </w:rPr>
            </w:pPr>
            <w:r w:rsidRPr="004B33AE">
              <w:rPr>
                <w:rFonts w:ascii="Arial" w:hAnsi="Arial" w:cs="Arial"/>
                <w:i/>
                <w:iCs/>
                <w:sz w:val="16"/>
                <w:szCs w:val="16"/>
              </w:rPr>
              <w:t>N/A</w:t>
            </w:r>
          </w:p>
        </w:tc>
        <w:tc>
          <w:tcPr>
            <w:tcW w:w="0" w:type="auto"/>
            <w:tcBorders>
              <w:top w:val="nil"/>
              <w:left w:val="nil"/>
              <w:bottom w:val="dotted" w:sz="4" w:space="0" w:color="auto"/>
              <w:right w:val="dotted" w:sz="4" w:space="0" w:color="auto"/>
            </w:tcBorders>
            <w:noWrap/>
            <w:vAlign w:val="center"/>
          </w:tcPr>
          <w:p w:rsidR="00881054" w:rsidRPr="004B33AE" w:rsidRDefault="00881054" w:rsidP="002D57B5">
            <w:pPr>
              <w:jc w:val="center"/>
              <w:rPr>
                <w:rFonts w:ascii="Arial" w:hAnsi="Arial" w:cs="Arial"/>
                <w:b/>
                <w:bCs/>
                <w:sz w:val="16"/>
                <w:szCs w:val="16"/>
              </w:rPr>
            </w:pPr>
            <w:r w:rsidRPr="004B33AE">
              <w:rPr>
                <w:rFonts w:ascii="Arial" w:hAnsi="Arial" w:cs="Arial"/>
                <w:b/>
                <w:bCs/>
                <w:sz w:val="16"/>
                <w:szCs w:val="16"/>
              </w:rPr>
              <w:t>60</w:t>
            </w:r>
          </w:p>
        </w:tc>
        <w:tc>
          <w:tcPr>
            <w:tcW w:w="0" w:type="auto"/>
            <w:tcBorders>
              <w:top w:val="nil"/>
              <w:left w:val="nil"/>
              <w:bottom w:val="dotted" w:sz="4" w:space="0" w:color="auto"/>
              <w:right w:val="dotted" w:sz="4" w:space="0" w:color="auto"/>
            </w:tcBorders>
            <w:noWrap/>
            <w:vAlign w:val="center"/>
          </w:tcPr>
          <w:p w:rsidR="00881054" w:rsidRPr="004B33AE" w:rsidRDefault="00881054" w:rsidP="002D57B5">
            <w:pPr>
              <w:jc w:val="center"/>
              <w:rPr>
                <w:rFonts w:ascii="Arial" w:hAnsi="Arial" w:cs="Arial"/>
                <w:b/>
                <w:bCs/>
                <w:sz w:val="16"/>
                <w:szCs w:val="16"/>
              </w:rPr>
            </w:pPr>
            <w:r w:rsidRPr="004B33AE">
              <w:rPr>
                <w:rFonts w:ascii="Arial" w:hAnsi="Arial" w:cs="Arial"/>
                <w:b/>
                <w:bCs/>
                <w:sz w:val="16"/>
                <w:szCs w:val="16"/>
              </w:rPr>
              <w:t>60</w:t>
            </w:r>
          </w:p>
        </w:tc>
        <w:tc>
          <w:tcPr>
            <w:tcW w:w="1150" w:type="dxa"/>
            <w:vMerge/>
            <w:tcBorders>
              <w:top w:val="single" w:sz="4" w:space="0" w:color="auto"/>
              <w:left w:val="dotted" w:sz="4" w:space="0" w:color="auto"/>
              <w:bottom w:val="single" w:sz="4" w:space="0" w:color="000000"/>
              <w:right w:val="single" w:sz="4" w:space="0" w:color="auto"/>
            </w:tcBorders>
            <w:vAlign w:val="center"/>
          </w:tcPr>
          <w:p w:rsidR="00881054" w:rsidRPr="006A2BF3" w:rsidRDefault="00881054" w:rsidP="002D57B5">
            <w:pPr>
              <w:jc w:val="center"/>
              <w:rPr>
                <w:rFonts w:ascii="Arial" w:hAnsi="Arial" w:cs="Arial"/>
                <w:i/>
                <w:iCs/>
                <w:sz w:val="16"/>
                <w:szCs w:val="16"/>
              </w:rPr>
            </w:pPr>
          </w:p>
        </w:tc>
      </w:tr>
      <w:tr w:rsidR="00881054" w:rsidRPr="006A2BF3" w:rsidTr="001540E7">
        <w:trPr>
          <w:trHeight w:val="20"/>
        </w:trPr>
        <w:tc>
          <w:tcPr>
            <w:tcW w:w="0" w:type="auto"/>
            <w:vMerge/>
            <w:tcBorders>
              <w:top w:val="single" w:sz="4" w:space="0" w:color="000000"/>
              <w:left w:val="single" w:sz="4" w:space="0" w:color="auto"/>
              <w:bottom w:val="single" w:sz="4" w:space="0" w:color="000000"/>
              <w:right w:val="single" w:sz="4" w:space="0" w:color="auto"/>
            </w:tcBorders>
            <w:shd w:val="clear" w:color="auto" w:fill="EAF1DD"/>
            <w:vAlign w:val="center"/>
          </w:tcPr>
          <w:p w:rsidR="00881054" w:rsidRPr="006A2BF3" w:rsidRDefault="00881054" w:rsidP="002D57B5">
            <w:pPr>
              <w:rPr>
                <w:rFonts w:ascii="Arial" w:hAnsi="Arial" w:cs="Arial"/>
                <w:sz w:val="16"/>
                <w:szCs w:val="16"/>
              </w:rPr>
            </w:pPr>
          </w:p>
        </w:tc>
        <w:tc>
          <w:tcPr>
            <w:tcW w:w="0" w:type="auto"/>
            <w:tcBorders>
              <w:top w:val="nil"/>
              <w:left w:val="nil"/>
              <w:bottom w:val="single" w:sz="4" w:space="0" w:color="auto"/>
              <w:right w:val="single" w:sz="4" w:space="0" w:color="auto"/>
            </w:tcBorders>
            <w:shd w:val="clear" w:color="000000" w:fill="auto"/>
            <w:noWrap/>
            <w:vAlign w:val="center"/>
          </w:tcPr>
          <w:p w:rsidR="00881054" w:rsidRPr="006A2BF3" w:rsidRDefault="00881054" w:rsidP="002D57B5">
            <w:pPr>
              <w:rPr>
                <w:rFonts w:ascii="Arial" w:hAnsi="Arial" w:cs="Arial"/>
                <w:sz w:val="16"/>
                <w:szCs w:val="16"/>
              </w:rPr>
            </w:pPr>
            <w:r w:rsidRPr="006A2BF3">
              <w:rPr>
                <w:rFonts w:ascii="Arial" w:hAnsi="Arial" w:cs="Arial"/>
                <w:sz w:val="16"/>
                <w:szCs w:val="16"/>
              </w:rPr>
              <w:t>Východisko</w:t>
            </w:r>
          </w:p>
        </w:tc>
        <w:tc>
          <w:tcPr>
            <w:tcW w:w="0" w:type="auto"/>
            <w:tcBorders>
              <w:top w:val="nil"/>
              <w:left w:val="nil"/>
              <w:bottom w:val="single" w:sz="4" w:space="0" w:color="auto"/>
              <w:right w:val="dotted" w:sz="4" w:space="0" w:color="auto"/>
            </w:tcBorders>
            <w:noWrap/>
            <w:vAlign w:val="center"/>
          </w:tcPr>
          <w:p w:rsidR="00881054" w:rsidRPr="004B33AE" w:rsidRDefault="00881054" w:rsidP="002D57B5">
            <w:pPr>
              <w:jc w:val="center"/>
              <w:rPr>
                <w:rFonts w:ascii="Arial" w:hAnsi="Arial" w:cs="Arial"/>
                <w:b/>
                <w:bCs/>
                <w:sz w:val="16"/>
                <w:szCs w:val="16"/>
              </w:rPr>
            </w:pPr>
            <w:r w:rsidRPr="004B33AE">
              <w:rPr>
                <w:rFonts w:ascii="Arial" w:hAnsi="Arial" w:cs="Arial"/>
                <w:b/>
                <w:bCs/>
                <w:sz w:val="16"/>
                <w:szCs w:val="16"/>
              </w:rPr>
              <w:t>0</w:t>
            </w:r>
          </w:p>
        </w:tc>
        <w:tc>
          <w:tcPr>
            <w:tcW w:w="0" w:type="auto"/>
            <w:tcBorders>
              <w:top w:val="nil"/>
              <w:left w:val="nil"/>
              <w:bottom w:val="single" w:sz="4" w:space="0" w:color="auto"/>
              <w:right w:val="dotted" w:sz="4" w:space="0" w:color="auto"/>
            </w:tcBorders>
            <w:noWrap/>
            <w:vAlign w:val="center"/>
          </w:tcPr>
          <w:p w:rsidR="00881054" w:rsidRPr="004B33AE" w:rsidRDefault="00881054" w:rsidP="002D57B5">
            <w:pPr>
              <w:jc w:val="center"/>
              <w:rPr>
                <w:rFonts w:ascii="Arial" w:hAnsi="Arial" w:cs="Arial"/>
                <w:i/>
                <w:iCs/>
                <w:sz w:val="16"/>
                <w:szCs w:val="16"/>
              </w:rPr>
            </w:pPr>
            <w:r w:rsidRPr="004B33AE">
              <w:rPr>
                <w:rFonts w:ascii="Arial" w:hAnsi="Arial" w:cs="Arial"/>
                <w:i/>
                <w:iCs/>
                <w:sz w:val="16"/>
                <w:szCs w:val="16"/>
              </w:rPr>
              <w:t>N/A</w:t>
            </w:r>
          </w:p>
        </w:tc>
        <w:tc>
          <w:tcPr>
            <w:tcW w:w="0" w:type="auto"/>
            <w:tcBorders>
              <w:top w:val="nil"/>
              <w:left w:val="nil"/>
              <w:bottom w:val="single" w:sz="4" w:space="0" w:color="auto"/>
              <w:right w:val="dotted" w:sz="4" w:space="0" w:color="auto"/>
            </w:tcBorders>
            <w:noWrap/>
            <w:vAlign w:val="center"/>
          </w:tcPr>
          <w:p w:rsidR="00881054" w:rsidRPr="004B33AE" w:rsidRDefault="00881054" w:rsidP="002D57B5">
            <w:pPr>
              <w:jc w:val="center"/>
              <w:rPr>
                <w:rFonts w:ascii="Arial" w:hAnsi="Arial" w:cs="Arial"/>
                <w:i/>
                <w:iCs/>
                <w:sz w:val="16"/>
                <w:szCs w:val="16"/>
              </w:rPr>
            </w:pPr>
            <w:r w:rsidRPr="004B33AE">
              <w:rPr>
                <w:rFonts w:ascii="Arial" w:hAnsi="Arial" w:cs="Arial"/>
                <w:i/>
                <w:iCs/>
                <w:sz w:val="16"/>
                <w:szCs w:val="16"/>
              </w:rPr>
              <w:t>N/A</w:t>
            </w:r>
          </w:p>
        </w:tc>
        <w:tc>
          <w:tcPr>
            <w:tcW w:w="0" w:type="auto"/>
            <w:tcBorders>
              <w:top w:val="nil"/>
              <w:left w:val="nil"/>
              <w:bottom w:val="single" w:sz="4" w:space="0" w:color="auto"/>
              <w:right w:val="dotted" w:sz="4" w:space="0" w:color="auto"/>
            </w:tcBorders>
            <w:noWrap/>
            <w:vAlign w:val="center"/>
          </w:tcPr>
          <w:p w:rsidR="00881054" w:rsidRPr="004B33AE" w:rsidRDefault="00881054" w:rsidP="002D57B5">
            <w:pPr>
              <w:jc w:val="center"/>
              <w:rPr>
                <w:rFonts w:ascii="Arial" w:hAnsi="Arial" w:cs="Arial"/>
                <w:i/>
                <w:iCs/>
                <w:sz w:val="16"/>
                <w:szCs w:val="16"/>
              </w:rPr>
            </w:pPr>
            <w:r w:rsidRPr="004B33AE">
              <w:rPr>
                <w:rFonts w:ascii="Arial" w:hAnsi="Arial" w:cs="Arial"/>
                <w:i/>
                <w:iCs/>
                <w:sz w:val="16"/>
                <w:szCs w:val="16"/>
              </w:rPr>
              <w:t>N/A</w:t>
            </w:r>
          </w:p>
        </w:tc>
        <w:tc>
          <w:tcPr>
            <w:tcW w:w="0" w:type="auto"/>
            <w:tcBorders>
              <w:top w:val="nil"/>
              <w:left w:val="nil"/>
              <w:bottom w:val="single" w:sz="4" w:space="0" w:color="auto"/>
              <w:right w:val="dotted" w:sz="4" w:space="0" w:color="auto"/>
            </w:tcBorders>
            <w:noWrap/>
            <w:vAlign w:val="center"/>
          </w:tcPr>
          <w:p w:rsidR="00881054" w:rsidRPr="004B33AE" w:rsidRDefault="00881054" w:rsidP="002D57B5">
            <w:pPr>
              <w:jc w:val="center"/>
              <w:rPr>
                <w:rFonts w:ascii="Arial" w:hAnsi="Arial" w:cs="Arial"/>
                <w:i/>
                <w:iCs/>
                <w:sz w:val="16"/>
                <w:szCs w:val="16"/>
              </w:rPr>
            </w:pPr>
            <w:r w:rsidRPr="004B33AE">
              <w:rPr>
                <w:rFonts w:ascii="Arial" w:hAnsi="Arial" w:cs="Arial"/>
                <w:i/>
                <w:iCs/>
                <w:sz w:val="16"/>
                <w:szCs w:val="16"/>
              </w:rPr>
              <w:t>N/A</w:t>
            </w:r>
          </w:p>
        </w:tc>
        <w:tc>
          <w:tcPr>
            <w:tcW w:w="0" w:type="auto"/>
            <w:tcBorders>
              <w:top w:val="nil"/>
              <w:left w:val="nil"/>
              <w:bottom w:val="single" w:sz="4" w:space="0" w:color="auto"/>
              <w:right w:val="dotted" w:sz="4" w:space="0" w:color="auto"/>
            </w:tcBorders>
            <w:noWrap/>
            <w:vAlign w:val="center"/>
          </w:tcPr>
          <w:p w:rsidR="00881054" w:rsidRPr="004B33AE" w:rsidRDefault="00881054" w:rsidP="002D57B5">
            <w:pPr>
              <w:jc w:val="center"/>
              <w:rPr>
                <w:rFonts w:ascii="Arial" w:hAnsi="Arial" w:cs="Arial"/>
                <w:i/>
                <w:iCs/>
                <w:sz w:val="16"/>
                <w:szCs w:val="16"/>
              </w:rPr>
            </w:pPr>
            <w:r w:rsidRPr="004B33AE">
              <w:rPr>
                <w:rFonts w:ascii="Arial" w:hAnsi="Arial" w:cs="Arial"/>
                <w:i/>
                <w:iCs/>
                <w:sz w:val="16"/>
                <w:szCs w:val="16"/>
              </w:rPr>
              <w:t>N/A</w:t>
            </w:r>
          </w:p>
        </w:tc>
        <w:tc>
          <w:tcPr>
            <w:tcW w:w="0" w:type="auto"/>
            <w:tcBorders>
              <w:top w:val="nil"/>
              <w:left w:val="nil"/>
              <w:bottom w:val="single" w:sz="4" w:space="0" w:color="auto"/>
              <w:right w:val="dotted" w:sz="4" w:space="0" w:color="auto"/>
            </w:tcBorders>
            <w:noWrap/>
            <w:vAlign w:val="center"/>
          </w:tcPr>
          <w:p w:rsidR="00881054" w:rsidRPr="004B33AE" w:rsidRDefault="00881054" w:rsidP="002D57B5">
            <w:pPr>
              <w:jc w:val="center"/>
              <w:rPr>
                <w:rFonts w:ascii="Arial" w:hAnsi="Arial" w:cs="Arial"/>
                <w:i/>
                <w:iCs/>
                <w:sz w:val="16"/>
                <w:szCs w:val="16"/>
              </w:rPr>
            </w:pPr>
            <w:r w:rsidRPr="004B33AE">
              <w:rPr>
                <w:rFonts w:ascii="Arial" w:hAnsi="Arial" w:cs="Arial"/>
                <w:i/>
                <w:iCs/>
                <w:sz w:val="16"/>
                <w:szCs w:val="16"/>
              </w:rPr>
              <w:t>N/A</w:t>
            </w:r>
          </w:p>
        </w:tc>
        <w:tc>
          <w:tcPr>
            <w:tcW w:w="0" w:type="auto"/>
            <w:tcBorders>
              <w:top w:val="nil"/>
              <w:left w:val="nil"/>
              <w:bottom w:val="single" w:sz="4" w:space="0" w:color="auto"/>
              <w:right w:val="dotted" w:sz="4" w:space="0" w:color="auto"/>
            </w:tcBorders>
            <w:noWrap/>
            <w:vAlign w:val="center"/>
          </w:tcPr>
          <w:p w:rsidR="00881054" w:rsidRPr="004B33AE" w:rsidRDefault="00881054" w:rsidP="002D57B5">
            <w:pPr>
              <w:jc w:val="center"/>
              <w:rPr>
                <w:rFonts w:ascii="Arial" w:hAnsi="Arial" w:cs="Arial"/>
                <w:i/>
                <w:iCs/>
                <w:sz w:val="16"/>
                <w:szCs w:val="16"/>
              </w:rPr>
            </w:pPr>
            <w:r w:rsidRPr="004B33AE">
              <w:rPr>
                <w:rFonts w:ascii="Arial" w:hAnsi="Arial" w:cs="Arial"/>
                <w:i/>
                <w:iCs/>
                <w:sz w:val="16"/>
                <w:szCs w:val="16"/>
              </w:rPr>
              <w:t>N/A</w:t>
            </w:r>
          </w:p>
        </w:tc>
        <w:tc>
          <w:tcPr>
            <w:tcW w:w="0" w:type="auto"/>
            <w:tcBorders>
              <w:top w:val="nil"/>
              <w:left w:val="nil"/>
              <w:bottom w:val="single" w:sz="4" w:space="0" w:color="auto"/>
              <w:right w:val="dotted" w:sz="4" w:space="0" w:color="auto"/>
            </w:tcBorders>
            <w:noWrap/>
            <w:vAlign w:val="center"/>
          </w:tcPr>
          <w:p w:rsidR="00881054" w:rsidRPr="004B33AE" w:rsidRDefault="00881054" w:rsidP="002D57B5">
            <w:pPr>
              <w:jc w:val="center"/>
              <w:rPr>
                <w:rFonts w:ascii="Arial" w:hAnsi="Arial" w:cs="Arial"/>
                <w:i/>
                <w:iCs/>
                <w:sz w:val="16"/>
                <w:szCs w:val="16"/>
              </w:rPr>
            </w:pPr>
            <w:r w:rsidRPr="004B33AE">
              <w:rPr>
                <w:rFonts w:ascii="Arial" w:hAnsi="Arial" w:cs="Arial"/>
                <w:i/>
                <w:iCs/>
                <w:sz w:val="16"/>
                <w:szCs w:val="16"/>
              </w:rPr>
              <w:t>N/A</w:t>
            </w:r>
          </w:p>
        </w:tc>
        <w:tc>
          <w:tcPr>
            <w:tcW w:w="0" w:type="auto"/>
            <w:tcBorders>
              <w:top w:val="nil"/>
              <w:left w:val="nil"/>
              <w:bottom w:val="single" w:sz="4" w:space="0" w:color="auto"/>
              <w:right w:val="dotted" w:sz="4" w:space="0" w:color="auto"/>
            </w:tcBorders>
            <w:noWrap/>
            <w:vAlign w:val="center"/>
          </w:tcPr>
          <w:p w:rsidR="00881054" w:rsidRPr="004B33AE" w:rsidRDefault="00881054" w:rsidP="002D57B5">
            <w:pPr>
              <w:jc w:val="center"/>
              <w:rPr>
                <w:rFonts w:ascii="Arial" w:hAnsi="Arial" w:cs="Arial"/>
                <w:b/>
                <w:bCs/>
                <w:sz w:val="16"/>
                <w:szCs w:val="16"/>
              </w:rPr>
            </w:pPr>
            <w:r w:rsidRPr="004B33AE">
              <w:rPr>
                <w:rFonts w:ascii="Arial" w:hAnsi="Arial" w:cs="Arial"/>
                <w:b/>
                <w:bCs/>
                <w:sz w:val="16"/>
                <w:szCs w:val="16"/>
              </w:rPr>
              <w:t>0</w:t>
            </w:r>
          </w:p>
        </w:tc>
        <w:tc>
          <w:tcPr>
            <w:tcW w:w="1150" w:type="dxa"/>
            <w:vMerge/>
            <w:tcBorders>
              <w:top w:val="single" w:sz="4" w:space="0" w:color="auto"/>
              <w:left w:val="dotted" w:sz="4" w:space="0" w:color="auto"/>
              <w:bottom w:val="single" w:sz="4" w:space="0" w:color="000000"/>
              <w:right w:val="single" w:sz="4" w:space="0" w:color="auto"/>
            </w:tcBorders>
            <w:vAlign w:val="center"/>
          </w:tcPr>
          <w:p w:rsidR="00881054" w:rsidRPr="006A2BF3" w:rsidRDefault="00881054" w:rsidP="002D57B5">
            <w:pPr>
              <w:jc w:val="center"/>
              <w:rPr>
                <w:rFonts w:ascii="Arial" w:hAnsi="Arial" w:cs="Arial"/>
                <w:i/>
                <w:iCs/>
                <w:sz w:val="16"/>
                <w:szCs w:val="16"/>
              </w:rPr>
            </w:pPr>
          </w:p>
        </w:tc>
      </w:tr>
      <w:tr w:rsidR="00881054" w:rsidRPr="006A2BF3" w:rsidTr="001540E7">
        <w:trPr>
          <w:trHeight w:val="338"/>
        </w:trPr>
        <w:tc>
          <w:tcPr>
            <w:tcW w:w="0" w:type="auto"/>
            <w:vMerge w:val="restart"/>
            <w:tcBorders>
              <w:top w:val="single" w:sz="4" w:space="0" w:color="000000"/>
              <w:left w:val="single" w:sz="4" w:space="0" w:color="auto"/>
              <w:bottom w:val="single" w:sz="4" w:space="0" w:color="000000"/>
              <w:right w:val="single" w:sz="4" w:space="0" w:color="auto"/>
            </w:tcBorders>
            <w:shd w:val="clear" w:color="auto" w:fill="EAF1DD"/>
            <w:vAlign w:val="center"/>
          </w:tcPr>
          <w:p w:rsidR="00881054" w:rsidRPr="006A2BF3" w:rsidRDefault="00881054" w:rsidP="002D57B5">
            <w:pPr>
              <w:rPr>
                <w:rFonts w:ascii="Arial" w:hAnsi="Arial" w:cs="Arial"/>
                <w:sz w:val="16"/>
                <w:szCs w:val="16"/>
              </w:rPr>
            </w:pPr>
            <w:r w:rsidRPr="006A2BF3">
              <w:rPr>
                <w:rFonts w:ascii="Arial" w:hAnsi="Arial" w:cs="Arial"/>
                <w:sz w:val="16"/>
                <w:szCs w:val="16"/>
              </w:rPr>
              <w:t>Hodnota projektov cielene zameraných na MR</w:t>
            </w:r>
            <w:r>
              <w:rPr>
                <w:rFonts w:ascii="Arial" w:hAnsi="Arial" w:cs="Arial"/>
                <w:sz w:val="16"/>
                <w:szCs w:val="16"/>
              </w:rPr>
              <w:t xml:space="preserve"> </w:t>
            </w:r>
            <w:r w:rsidRPr="006E2C3F">
              <w:rPr>
                <w:rFonts w:ascii="Arial" w:hAnsi="Arial" w:cs="Arial"/>
                <w:sz w:val="16"/>
                <w:szCs w:val="16"/>
              </w:rPr>
              <w:t>[</w:t>
            </w:r>
            <w:r>
              <w:rPr>
                <w:rFonts w:ascii="Arial" w:hAnsi="Arial" w:cs="Arial"/>
                <w:sz w:val="16"/>
                <w:szCs w:val="16"/>
              </w:rPr>
              <w:t>EUR</w:t>
            </w:r>
            <w:r w:rsidRPr="006E2C3F">
              <w:rPr>
                <w:rFonts w:ascii="Arial" w:hAnsi="Arial" w:cs="Arial"/>
                <w:sz w:val="16"/>
                <w:szCs w:val="16"/>
              </w:rPr>
              <w:t>]</w:t>
            </w:r>
          </w:p>
        </w:tc>
        <w:tc>
          <w:tcPr>
            <w:tcW w:w="0" w:type="auto"/>
            <w:tcBorders>
              <w:top w:val="nil"/>
              <w:left w:val="nil"/>
              <w:bottom w:val="dotted" w:sz="4" w:space="0" w:color="auto"/>
              <w:right w:val="single" w:sz="4" w:space="0" w:color="auto"/>
            </w:tcBorders>
            <w:shd w:val="clear" w:color="000000" w:fill="auto"/>
            <w:noWrap/>
            <w:vAlign w:val="center"/>
          </w:tcPr>
          <w:p w:rsidR="00881054" w:rsidRPr="006A2BF3" w:rsidRDefault="00881054" w:rsidP="002D57B5">
            <w:pPr>
              <w:rPr>
                <w:rFonts w:ascii="Arial" w:hAnsi="Arial" w:cs="Arial"/>
                <w:sz w:val="16"/>
                <w:szCs w:val="16"/>
              </w:rPr>
            </w:pPr>
            <w:r w:rsidRPr="006A2BF3">
              <w:rPr>
                <w:rFonts w:ascii="Arial" w:hAnsi="Arial" w:cs="Arial"/>
                <w:sz w:val="16"/>
                <w:szCs w:val="16"/>
              </w:rPr>
              <w:t>Dosiahnutý výsledok</w:t>
            </w:r>
          </w:p>
        </w:tc>
        <w:tc>
          <w:tcPr>
            <w:tcW w:w="0" w:type="auto"/>
            <w:tcBorders>
              <w:top w:val="nil"/>
              <w:left w:val="nil"/>
              <w:bottom w:val="dotted" w:sz="4" w:space="0" w:color="auto"/>
              <w:right w:val="dotted" w:sz="4" w:space="0" w:color="auto"/>
            </w:tcBorders>
            <w:noWrap/>
            <w:vAlign w:val="center"/>
          </w:tcPr>
          <w:p w:rsidR="00881054" w:rsidRPr="004B33AE" w:rsidRDefault="00881054" w:rsidP="002D57B5">
            <w:pPr>
              <w:jc w:val="center"/>
              <w:rPr>
                <w:rFonts w:ascii="Arial" w:hAnsi="Arial" w:cs="Arial"/>
                <w:b/>
                <w:bCs/>
                <w:sz w:val="16"/>
                <w:szCs w:val="16"/>
              </w:rPr>
            </w:pPr>
            <w:r w:rsidRPr="004B33AE">
              <w:rPr>
                <w:rFonts w:ascii="Arial" w:hAnsi="Arial" w:cs="Arial"/>
                <w:b/>
                <w:bCs/>
                <w:sz w:val="16"/>
                <w:szCs w:val="16"/>
              </w:rPr>
              <w:t>0</w:t>
            </w:r>
          </w:p>
        </w:tc>
        <w:tc>
          <w:tcPr>
            <w:tcW w:w="0" w:type="auto"/>
            <w:tcBorders>
              <w:top w:val="nil"/>
              <w:left w:val="nil"/>
              <w:bottom w:val="dotted" w:sz="4" w:space="0" w:color="auto"/>
              <w:right w:val="dotted" w:sz="4" w:space="0" w:color="auto"/>
            </w:tcBorders>
            <w:noWrap/>
            <w:vAlign w:val="center"/>
          </w:tcPr>
          <w:p w:rsidR="00881054" w:rsidRPr="004B33AE" w:rsidRDefault="00881054" w:rsidP="002D57B5">
            <w:pPr>
              <w:jc w:val="center"/>
              <w:rPr>
                <w:rFonts w:ascii="Arial" w:hAnsi="Arial" w:cs="Arial"/>
                <w:b/>
                <w:bCs/>
                <w:sz w:val="16"/>
                <w:szCs w:val="16"/>
              </w:rPr>
            </w:pPr>
            <w:r w:rsidRPr="004B33AE">
              <w:rPr>
                <w:rFonts w:ascii="Arial" w:hAnsi="Arial" w:cs="Arial"/>
                <w:b/>
                <w:bCs/>
                <w:sz w:val="16"/>
                <w:szCs w:val="16"/>
              </w:rPr>
              <w:t>0</w:t>
            </w:r>
          </w:p>
        </w:tc>
        <w:tc>
          <w:tcPr>
            <w:tcW w:w="0" w:type="auto"/>
            <w:tcBorders>
              <w:top w:val="nil"/>
              <w:left w:val="nil"/>
              <w:bottom w:val="dotted" w:sz="4" w:space="0" w:color="auto"/>
              <w:right w:val="dotted" w:sz="4" w:space="0" w:color="auto"/>
            </w:tcBorders>
            <w:noWrap/>
            <w:vAlign w:val="center"/>
          </w:tcPr>
          <w:p w:rsidR="00881054" w:rsidRPr="004B33AE" w:rsidRDefault="00881054" w:rsidP="002D57B5">
            <w:pPr>
              <w:jc w:val="center"/>
              <w:rPr>
                <w:rFonts w:ascii="Arial" w:hAnsi="Arial" w:cs="Arial"/>
                <w:b/>
                <w:bCs/>
                <w:sz w:val="16"/>
                <w:szCs w:val="16"/>
              </w:rPr>
            </w:pPr>
            <w:r w:rsidRPr="004B33AE">
              <w:rPr>
                <w:rFonts w:ascii="Arial" w:hAnsi="Arial" w:cs="Arial"/>
                <w:b/>
                <w:bCs/>
                <w:sz w:val="16"/>
                <w:szCs w:val="16"/>
              </w:rPr>
              <w:t>0</w:t>
            </w:r>
          </w:p>
        </w:tc>
        <w:tc>
          <w:tcPr>
            <w:tcW w:w="0" w:type="auto"/>
            <w:tcBorders>
              <w:top w:val="nil"/>
              <w:left w:val="nil"/>
              <w:bottom w:val="dotted" w:sz="4" w:space="0" w:color="auto"/>
              <w:right w:val="dotted" w:sz="4" w:space="0" w:color="auto"/>
            </w:tcBorders>
            <w:noWrap/>
            <w:vAlign w:val="center"/>
          </w:tcPr>
          <w:p w:rsidR="00881054" w:rsidRPr="004B33AE" w:rsidRDefault="00881054" w:rsidP="002D57B5">
            <w:pPr>
              <w:jc w:val="center"/>
              <w:rPr>
                <w:rFonts w:ascii="Arial" w:hAnsi="Arial" w:cs="Arial"/>
                <w:b/>
                <w:bCs/>
                <w:sz w:val="16"/>
                <w:szCs w:val="16"/>
              </w:rPr>
            </w:pPr>
            <w:r w:rsidRPr="004B33AE">
              <w:rPr>
                <w:rFonts w:ascii="Arial" w:hAnsi="Arial" w:cs="Arial"/>
                <w:b/>
                <w:bCs/>
                <w:sz w:val="16"/>
                <w:szCs w:val="16"/>
              </w:rPr>
              <w:t>0</w:t>
            </w:r>
          </w:p>
        </w:tc>
        <w:tc>
          <w:tcPr>
            <w:tcW w:w="0" w:type="auto"/>
            <w:tcBorders>
              <w:top w:val="nil"/>
              <w:left w:val="nil"/>
              <w:bottom w:val="dotted" w:sz="4" w:space="0" w:color="auto"/>
              <w:right w:val="dotted" w:sz="4" w:space="0" w:color="auto"/>
            </w:tcBorders>
            <w:noWrap/>
            <w:vAlign w:val="center"/>
          </w:tcPr>
          <w:p w:rsidR="00881054" w:rsidRPr="004B33AE" w:rsidRDefault="00881054" w:rsidP="002D57B5">
            <w:pPr>
              <w:jc w:val="center"/>
              <w:rPr>
                <w:rFonts w:ascii="Arial" w:hAnsi="Arial" w:cs="Arial"/>
                <w:b/>
                <w:bCs/>
                <w:sz w:val="16"/>
                <w:szCs w:val="16"/>
              </w:rPr>
            </w:pPr>
            <w:r w:rsidRPr="004B33AE">
              <w:rPr>
                <w:rFonts w:ascii="Arial" w:hAnsi="Arial" w:cs="Arial"/>
                <w:b/>
                <w:bCs/>
                <w:sz w:val="16"/>
                <w:szCs w:val="16"/>
              </w:rPr>
              <w:t>0</w:t>
            </w:r>
          </w:p>
        </w:tc>
        <w:tc>
          <w:tcPr>
            <w:tcW w:w="0" w:type="auto"/>
            <w:tcBorders>
              <w:top w:val="nil"/>
              <w:left w:val="nil"/>
              <w:bottom w:val="dotted" w:sz="4" w:space="0" w:color="auto"/>
              <w:right w:val="dotted" w:sz="4" w:space="0" w:color="auto"/>
            </w:tcBorders>
            <w:noWrap/>
            <w:vAlign w:val="center"/>
          </w:tcPr>
          <w:p w:rsidR="00881054" w:rsidRPr="004B33AE" w:rsidRDefault="00881054" w:rsidP="002D57B5">
            <w:pPr>
              <w:jc w:val="center"/>
              <w:rPr>
                <w:rFonts w:ascii="Arial" w:hAnsi="Arial" w:cs="Arial"/>
                <w:i/>
                <w:iCs/>
                <w:sz w:val="16"/>
                <w:szCs w:val="16"/>
              </w:rPr>
            </w:pPr>
            <w:r w:rsidRPr="00AC4CAE">
              <w:rPr>
                <w:rFonts w:ascii="Arial" w:hAnsi="Arial" w:cs="Arial"/>
                <w:b/>
                <w:bCs/>
                <w:sz w:val="16"/>
                <w:szCs w:val="16"/>
              </w:rPr>
              <w:t>0</w:t>
            </w:r>
          </w:p>
        </w:tc>
        <w:tc>
          <w:tcPr>
            <w:tcW w:w="0" w:type="auto"/>
            <w:tcBorders>
              <w:top w:val="nil"/>
              <w:left w:val="nil"/>
              <w:bottom w:val="dotted" w:sz="4" w:space="0" w:color="auto"/>
              <w:right w:val="dotted" w:sz="4" w:space="0" w:color="auto"/>
            </w:tcBorders>
            <w:noWrap/>
            <w:vAlign w:val="center"/>
          </w:tcPr>
          <w:p w:rsidR="00881054" w:rsidRPr="004B33AE" w:rsidRDefault="00881054" w:rsidP="002D57B5">
            <w:pPr>
              <w:jc w:val="center"/>
              <w:rPr>
                <w:rFonts w:ascii="Arial" w:hAnsi="Arial" w:cs="Arial"/>
                <w:i/>
                <w:iCs/>
                <w:sz w:val="16"/>
                <w:szCs w:val="16"/>
              </w:rPr>
            </w:pPr>
            <w:r w:rsidRPr="004B33AE">
              <w:rPr>
                <w:rFonts w:ascii="Arial" w:hAnsi="Arial" w:cs="Arial"/>
                <w:i/>
                <w:iCs/>
                <w:sz w:val="16"/>
                <w:szCs w:val="16"/>
              </w:rPr>
              <w:t>N/A</w:t>
            </w:r>
          </w:p>
        </w:tc>
        <w:tc>
          <w:tcPr>
            <w:tcW w:w="0" w:type="auto"/>
            <w:tcBorders>
              <w:top w:val="nil"/>
              <w:left w:val="nil"/>
              <w:bottom w:val="dotted" w:sz="4" w:space="0" w:color="auto"/>
              <w:right w:val="dotted" w:sz="4" w:space="0" w:color="auto"/>
            </w:tcBorders>
            <w:noWrap/>
            <w:vAlign w:val="center"/>
          </w:tcPr>
          <w:p w:rsidR="00881054" w:rsidRPr="004B33AE" w:rsidRDefault="00881054" w:rsidP="002D57B5">
            <w:pPr>
              <w:jc w:val="center"/>
              <w:rPr>
                <w:rFonts w:ascii="Arial" w:hAnsi="Arial" w:cs="Arial"/>
                <w:i/>
                <w:iCs/>
                <w:sz w:val="16"/>
                <w:szCs w:val="16"/>
              </w:rPr>
            </w:pPr>
            <w:r w:rsidRPr="004B33AE">
              <w:rPr>
                <w:rFonts w:ascii="Arial" w:hAnsi="Arial" w:cs="Arial"/>
                <w:i/>
                <w:iCs/>
                <w:sz w:val="16"/>
                <w:szCs w:val="16"/>
              </w:rPr>
              <w:t>N/A</w:t>
            </w:r>
          </w:p>
        </w:tc>
        <w:tc>
          <w:tcPr>
            <w:tcW w:w="0" w:type="auto"/>
            <w:tcBorders>
              <w:top w:val="nil"/>
              <w:left w:val="nil"/>
              <w:bottom w:val="dotted" w:sz="4" w:space="0" w:color="auto"/>
              <w:right w:val="dotted" w:sz="4" w:space="0" w:color="auto"/>
            </w:tcBorders>
            <w:noWrap/>
            <w:vAlign w:val="center"/>
          </w:tcPr>
          <w:p w:rsidR="00881054" w:rsidRPr="004B33AE" w:rsidRDefault="00881054" w:rsidP="002D57B5">
            <w:pPr>
              <w:jc w:val="center"/>
              <w:rPr>
                <w:rFonts w:ascii="Arial" w:hAnsi="Arial" w:cs="Arial"/>
                <w:i/>
                <w:iCs/>
                <w:sz w:val="16"/>
                <w:szCs w:val="16"/>
              </w:rPr>
            </w:pPr>
            <w:r w:rsidRPr="004B33AE">
              <w:rPr>
                <w:rFonts w:ascii="Arial" w:hAnsi="Arial" w:cs="Arial"/>
                <w:i/>
                <w:iCs/>
                <w:sz w:val="16"/>
                <w:szCs w:val="16"/>
              </w:rPr>
              <w:t>N/A</w:t>
            </w:r>
          </w:p>
        </w:tc>
        <w:tc>
          <w:tcPr>
            <w:tcW w:w="0" w:type="auto"/>
            <w:tcBorders>
              <w:top w:val="nil"/>
              <w:left w:val="nil"/>
              <w:bottom w:val="dotted" w:sz="4" w:space="0" w:color="auto"/>
              <w:right w:val="dotted" w:sz="4" w:space="0" w:color="auto"/>
            </w:tcBorders>
            <w:noWrap/>
            <w:vAlign w:val="center"/>
          </w:tcPr>
          <w:p w:rsidR="00881054" w:rsidRPr="004B33AE" w:rsidRDefault="00881054" w:rsidP="002D57B5">
            <w:pPr>
              <w:jc w:val="center"/>
              <w:rPr>
                <w:rFonts w:ascii="Arial" w:hAnsi="Arial" w:cs="Arial"/>
                <w:b/>
                <w:bCs/>
                <w:sz w:val="16"/>
                <w:szCs w:val="16"/>
              </w:rPr>
            </w:pPr>
            <w:r>
              <w:rPr>
                <w:rFonts w:ascii="Arial" w:hAnsi="Arial" w:cs="Arial"/>
                <w:b/>
                <w:iCs/>
                <w:sz w:val="16"/>
                <w:szCs w:val="16"/>
              </w:rPr>
              <w:t>0</w:t>
            </w:r>
          </w:p>
        </w:tc>
        <w:tc>
          <w:tcPr>
            <w:tcW w:w="1150" w:type="dxa"/>
            <w:vMerge w:val="restart"/>
            <w:tcBorders>
              <w:top w:val="nil"/>
              <w:left w:val="dotted" w:sz="4" w:space="0" w:color="auto"/>
              <w:bottom w:val="single" w:sz="4" w:space="0" w:color="000000"/>
              <w:right w:val="single" w:sz="4" w:space="0" w:color="auto"/>
            </w:tcBorders>
            <w:vAlign w:val="center"/>
          </w:tcPr>
          <w:p w:rsidR="00881054" w:rsidRPr="006A2BF3" w:rsidRDefault="00881054" w:rsidP="002D57B5">
            <w:pPr>
              <w:jc w:val="center"/>
              <w:rPr>
                <w:rFonts w:ascii="Arial" w:hAnsi="Arial" w:cs="Arial"/>
                <w:i/>
                <w:iCs/>
                <w:sz w:val="16"/>
                <w:szCs w:val="16"/>
              </w:rPr>
            </w:pPr>
            <w:r w:rsidRPr="006A2BF3">
              <w:rPr>
                <w:rFonts w:ascii="Arial" w:hAnsi="Arial" w:cs="Arial"/>
                <w:i/>
                <w:iCs/>
                <w:sz w:val="16"/>
                <w:szCs w:val="16"/>
              </w:rPr>
              <w:t>neschválený žiaden projekt</w:t>
            </w:r>
          </w:p>
        </w:tc>
      </w:tr>
      <w:tr w:rsidR="00881054" w:rsidRPr="006A2BF3" w:rsidTr="001540E7">
        <w:trPr>
          <w:trHeight w:val="427"/>
        </w:trPr>
        <w:tc>
          <w:tcPr>
            <w:tcW w:w="0" w:type="auto"/>
            <w:vMerge/>
            <w:tcBorders>
              <w:top w:val="single" w:sz="4" w:space="0" w:color="000000"/>
              <w:left w:val="single" w:sz="4" w:space="0" w:color="auto"/>
              <w:bottom w:val="single" w:sz="4" w:space="0" w:color="000000"/>
              <w:right w:val="single" w:sz="4" w:space="0" w:color="auto"/>
            </w:tcBorders>
            <w:shd w:val="clear" w:color="auto" w:fill="EAF1DD"/>
            <w:vAlign w:val="center"/>
          </w:tcPr>
          <w:p w:rsidR="00881054" w:rsidRPr="006A2BF3" w:rsidRDefault="00881054" w:rsidP="002D57B5">
            <w:pPr>
              <w:rPr>
                <w:rFonts w:ascii="Arial" w:hAnsi="Arial" w:cs="Arial"/>
                <w:sz w:val="16"/>
                <w:szCs w:val="16"/>
              </w:rPr>
            </w:pPr>
          </w:p>
        </w:tc>
        <w:tc>
          <w:tcPr>
            <w:tcW w:w="0" w:type="auto"/>
            <w:tcBorders>
              <w:top w:val="nil"/>
              <w:left w:val="nil"/>
              <w:bottom w:val="dotted" w:sz="4" w:space="0" w:color="auto"/>
              <w:right w:val="single" w:sz="4" w:space="0" w:color="auto"/>
            </w:tcBorders>
            <w:shd w:val="clear" w:color="000000" w:fill="auto"/>
            <w:noWrap/>
            <w:vAlign w:val="center"/>
          </w:tcPr>
          <w:p w:rsidR="00881054" w:rsidRPr="006A2BF3" w:rsidRDefault="00881054" w:rsidP="002D57B5">
            <w:pPr>
              <w:rPr>
                <w:rFonts w:ascii="Arial" w:hAnsi="Arial" w:cs="Arial"/>
                <w:sz w:val="16"/>
                <w:szCs w:val="16"/>
              </w:rPr>
            </w:pPr>
            <w:r w:rsidRPr="006A2BF3">
              <w:rPr>
                <w:rFonts w:ascii="Arial" w:hAnsi="Arial" w:cs="Arial"/>
                <w:sz w:val="16"/>
                <w:szCs w:val="16"/>
              </w:rPr>
              <w:t>Cieľ</w:t>
            </w:r>
          </w:p>
        </w:tc>
        <w:tc>
          <w:tcPr>
            <w:tcW w:w="0" w:type="auto"/>
            <w:tcBorders>
              <w:top w:val="nil"/>
              <w:left w:val="nil"/>
              <w:bottom w:val="dotted" w:sz="4" w:space="0" w:color="auto"/>
              <w:right w:val="dotted" w:sz="4" w:space="0" w:color="auto"/>
            </w:tcBorders>
            <w:noWrap/>
            <w:vAlign w:val="center"/>
          </w:tcPr>
          <w:p w:rsidR="00881054" w:rsidRPr="004B33AE" w:rsidRDefault="00881054" w:rsidP="002D57B5">
            <w:pPr>
              <w:jc w:val="center"/>
              <w:rPr>
                <w:rFonts w:ascii="Arial" w:hAnsi="Arial" w:cs="Arial"/>
                <w:i/>
                <w:iCs/>
                <w:sz w:val="16"/>
                <w:szCs w:val="16"/>
              </w:rPr>
            </w:pPr>
            <w:r w:rsidRPr="004B33AE">
              <w:rPr>
                <w:rFonts w:ascii="Arial" w:hAnsi="Arial" w:cs="Arial"/>
                <w:i/>
                <w:iCs/>
                <w:sz w:val="16"/>
                <w:szCs w:val="16"/>
              </w:rPr>
              <w:t>N/A</w:t>
            </w:r>
          </w:p>
        </w:tc>
        <w:tc>
          <w:tcPr>
            <w:tcW w:w="0" w:type="auto"/>
            <w:tcBorders>
              <w:top w:val="nil"/>
              <w:left w:val="nil"/>
              <w:bottom w:val="dotted" w:sz="4" w:space="0" w:color="auto"/>
              <w:right w:val="dotted" w:sz="4" w:space="0" w:color="auto"/>
            </w:tcBorders>
            <w:noWrap/>
            <w:vAlign w:val="center"/>
          </w:tcPr>
          <w:p w:rsidR="00881054" w:rsidRPr="004B33AE" w:rsidRDefault="00881054" w:rsidP="002D57B5">
            <w:pPr>
              <w:jc w:val="center"/>
              <w:rPr>
                <w:rFonts w:ascii="Arial" w:hAnsi="Arial" w:cs="Arial"/>
                <w:i/>
                <w:iCs/>
                <w:sz w:val="16"/>
                <w:szCs w:val="16"/>
              </w:rPr>
            </w:pPr>
            <w:r w:rsidRPr="004B33AE">
              <w:rPr>
                <w:rFonts w:ascii="Arial" w:hAnsi="Arial" w:cs="Arial"/>
                <w:i/>
                <w:iCs/>
                <w:sz w:val="16"/>
                <w:szCs w:val="16"/>
              </w:rPr>
              <w:t>N/A</w:t>
            </w:r>
          </w:p>
        </w:tc>
        <w:tc>
          <w:tcPr>
            <w:tcW w:w="0" w:type="auto"/>
            <w:tcBorders>
              <w:top w:val="nil"/>
              <w:left w:val="nil"/>
              <w:bottom w:val="dotted" w:sz="4" w:space="0" w:color="auto"/>
              <w:right w:val="dotted" w:sz="4" w:space="0" w:color="auto"/>
            </w:tcBorders>
            <w:noWrap/>
            <w:vAlign w:val="center"/>
          </w:tcPr>
          <w:p w:rsidR="00881054" w:rsidRPr="004B33AE" w:rsidRDefault="00881054" w:rsidP="002D57B5">
            <w:pPr>
              <w:jc w:val="center"/>
              <w:rPr>
                <w:rFonts w:ascii="Arial" w:hAnsi="Arial" w:cs="Arial"/>
                <w:i/>
                <w:iCs/>
                <w:sz w:val="16"/>
                <w:szCs w:val="16"/>
              </w:rPr>
            </w:pPr>
            <w:r w:rsidRPr="004B33AE">
              <w:rPr>
                <w:rFonts w:ascii="Arial" w:hAnsi="Arial" w:cs="Arial"/>
                <w:i/>
                <w:iCs/>
                <w:sz w:val="16"/>
                <w:szCs w:val="16"/>
              </w:rPr>
              <w:t>N/A</w:t>
            </w:r>
          </w:p>
        </w:tc>
        <w:tc>
          <w:tcPr>
            <w:tcW w:w="0" w:type="auto"/>
            <w:tcBorders>
              <w:top w:val="nil"/>
              <w:left w:val="nil"/>
              <w:bottom w:val="dotted" w:sz="4" w:space="0" w:color="auto"/>
              <w:right w:val="dotted" w:sz="4" w:space="0" w:color="auto"/>
            </w:tcBorders>
            <w:noWrap/>
            <w:vAlign w:val="center"/>
          </w:tcPr>
          <w:p w:rsidR="00881054" w:rsidRPr="004B33AE" w:rsidRDefault="00881054" w:rsidP="002D57B5">
            <w:pPr>
              <w:jc w:val="center"/>
              <w:rPr>
                <w:rFonts w:ascii="Arial" w:hAnsi="Arial" w:cs="Arial"/>
                <w:i/>
                <w:iCs/>
                <w:sz w:val="16"/>
                <w:szCs w:val="16"/>
              </w:rPr>
            </w:pPr>
            <w:r w:rsidRPr="004B33AE">
              <w:rPr>
                <w:rFonts w:ascii="Arial" w:hAnsi="Arial" w:cs="Arial"/>
                <w:i/>
                <w:iCs/>
                <w:sz w:val="16"/>
                <w:szCs w:val="16"/>
              </w:rPr>
              <w:t>N/A</w:t>
            </w:r>
          </w:p>
        </w:tc>
        <w:tc>
          <w:tcPr>
            <w:tcW w:w="0" w:type="auto"/>
            <w:tcBorders>
              <w:top w:val="nil"/>
              <w:left w:val="nil"/>
              <w:bottom w:val="dotted" w:sz="4" w:space="0" w:color="auto"/>
              <w:right w:val="dotted" w:sz="4" w:space="0" w:color="auto"/>
            </w:tcBorders>
            <w:noWrap/>
            <w:vAlign w:val="center"/>
          </w:tcPr>
          <w:p w:rsidR="00881054" w:rsidRPr="004B33AE" w:rsidRDefault="00881054" w:rsidP="002D57B5">
            <w:pPr>
              <w:jc w:val="center"/>
              <w:rPr>
                <w:rFonts w:ascii="Arial" w:hAnsi="Arial" w:cs="Arial"/>
                <w:i/>
                <w:iCs/>
                <w:sz w:val="16"/>
                <w:szCs w:val="16"/>
              </w:rPr>
            </w:pPr>
            <w:r w:rsidRPr="004B33AE">
              <w:rPr>
                <w:rFonts w:ascii="Arial" w:hAnsi="Arial" w:cs="Arial"/>
                <w:i/>
                <w:iCs/>
                <w:sz w:val="16"/>
                <w:szCs w:val="16"/>
              </w:rPr>
              <w:t>N/A</w:t>
            </w:r>
          </w:p>
        </w:tc>
        <w:tc>
          <w:tcPr>
            <w:tcW w:w="0" w:type="auto"/>
            <w:tcBorders>
              <w:top w:val="nil"/>
              <w:left w:val="nil"/>
              <w:bottom w:val="dotted" w:sz="4" w:space="0" w:color="auto"/>
              <w:right w:val="dotted" w:sz="4" w:space="0" w:color="auto"/>
            </w:tcBorders>
            <w:noWrap/>
            <w:vAlign w:val="center"/>
          </w:tcPr>
          <w:p w:rsidR="00881054" w:rsidRPr="004B33AE" w:rsidRDefault="00881054" w:rsidP="002D57B5">
            <w:pPr>
              <w:jc w:val="center"/>
              <w:rPr>
                <w:rFonts w:ascii="Arial" w:hAnsi="Arial" w:cs="Arial"/>
                <w:i/>
                <w:iCs/>
                <w:sz w:val="16"/>
                <w:szCs w:val="16"/>
              </w:rPr>
            </w:pPr>
            <w:r w:rsidRPr="004B33AE">
              <w:rPr>
                <w:rFonts w:ascii="Arial" w:hAnsi="Arial" w:cs="Arial"/>
                <w:i/>
                <w:iCs/>
                <w:sz w:val="16"/>
                <w:szCs w:val="16"/>
              </w:rPr>
              <w:t>N/A</w:t>
            </w:r>
          </w:p>
        </w:tc>
        <w:tc>
          <w:tcPr>
            <w:tcW w:w="0" w:type="auto"/>
            <w:tcBorders>
              <w:top w:val="nil"/>
              <w:left w:val="nil"/>
              <w:bottom w:val="dotted" w:sz="4" w:space="0" w:color="auto"/>
              <w:right w:val="dotted" w:sz="4" w:space="0" w:color="auto"/>
            </w:tcBorders>
            <w:noWrap/>
            <w:vAlign w:val="center"/>
          </w:tcPr>
          <w:p w:rsidR="00881054" w:rsidRPr="004B33AE" w:rsidRDefault="00881054" w:rsidP="002D57B5">
            <w:pPr>
              <w:jc w:val="center"/>
              <w:rPr>
                <w:rFonts w:ascii="Arial" w:hAnsi="Arial" w:cs="Arial"/>
                <w:i/>
                <w:iCs/>
                <w:sz w:val="16"/>
                <w:szCs w:val="16"/>
              </w:rPr>
            </w:pPr>
            <w:r w:rsidRPr="004B33AE">
              <w:rPr>
                <w:rFonts w:ascii="Arial" w:hAnsi="Arial" w:cs="Arial"/>
                <w:i/>
                <w:iCs/>
                <w:sz w:val="16"/>
                <w:szCs w:val="16"/>
              </w:rPr>
              <w:t>N/A</w:t>
            </w:r>
          </w:p>
        </w:tc>
        <w:tc>
          <w:tcPr>
            <w:tcW w:w="0" w:type="auto"/>
            <w:tcBorders>
              <w:top w:val="nil"/>
              <w:left w:val="nil"/>
              <w:bottom w:val="dotted" w:sz="4" w:space="0" w:color="auto"/>
              <w:right w:val="dotted" w:sz="4" w:space="0" w:color="auto"/>
            </w:tcBorders>
            <w:noWrap/>
            <w:vAlign w:val="center"/>
          </w:tcPr>
          <w:p w:rsidR="00881054" w:rsidRPr="004B33AE" w:rsidRDefault="00881054" w:rsidP="002D57B5">
            <w:pPr>
              <w:jc w:val="center"/>
              <w:rPr>
                <w:rFonts w:ascii="Arial" w:hAnsi="Arial" w:cs="Arial"/>
                <w:i/>
                <w:iCs/>
                <w:sz w:val="16"/>
                <w:szCs w:val="16"/>
              </w:rPr>
            </w:pPr>
            <w:r w:rsidRPr="004B33AE">
              <w:rPr>
                <w:rFonts w:ascii="Arial" w:hAnsi="Arial" w:cs="Arial"/>
                <w:i/>
                <w:iCs/>
                <w:sz w:val="16"/>
                <w:szCs w:val="16"/>
              </w:rPr>
              <w:t>N/A</w:t>
            </w:r>
          </w:p>
        </w:tc>
        <w:tc>
          <w:tcPr>
            <w:tcW w:w="0" w:type="auto"/>
            <w:tcBorders>
              <w:top w:val="nil"/>
              <w:left w:val="nil"/>
              <w:bottom w:val="dotted" w:sz="4" w:space="0" w:color="auto"/>
              <w:right w:val="dotted" w:sz="4" w:space="0" w:color="auto"/>
            </w:tcBorders>
            <w:noWrap/>
            <w:vAlign w:val="center"/>
          </w:tcPr>
          <w:p w:rsidR="00881054" w:rsidRPr="004B33AE" w:rsidRDefault="00881054" w:rsidP="002D57B5">
            <w:pPr>
              <w:jc w:val="center"/>
              <w:rPr>
                <w:rFonts w:ascii="Arial" w:hAnsi="Arial" w:cs="Arial"/>
                <w:b/>
                <w:bCs/>
                <w:sz w:val="16"/>
                <w:szCs w:val="16"/>
              </w:rPr>
            </w:pPr>
            <w:r w:rsidRPr="004B33AE">
              <w:rPr>
                <w:rFonts w:ascii="Arial" w:hAnsi="Arial" w:cs="Arial"/>
                <w:b/>
                <w:bCs/>
                <w:sz w:val="16"/>
                <w:szCs w:val="16"/>
              </w:rPr>
              <w:t>22 937 163</w:t>
            </w:r>
          </w:p>
        </w:tc>
        <w:tc>
          <w:tcPr>
            <w:tcW w:w="0" w:type="auto"/>
            <w:tcBorders>
              <w:top w:val="nil"/>
              <w:left w:val="nil"/>
              <w:bottom w:val="dotted" w:sz="4" w:space="0" w:color="auto"/>
              <w:right w:val="dotted" w:sz="4" w:space="0" w:color="auto"/>
            </w:tcBorders>
            <w:noWrap/>
            <w:vAlign w:val="center"/>
          </w:tcPr>
          <w:p w:rsidR="00881054" w:rsidRPr="004B33AE" w:rsidRDefault="00881054" w:rsidP="002D57B5">
            <w:pPr>
              <w:jc w:val="center"/>
              <w:rPr>
                <w:rFonts w:ascii="Arial" w:hAnsi="Arial" w:cs="Arial"/>
                <w:b/>
                <w:bCs/>
                <w:sz w:val="16"/>
                <w:szCs w:val="16"/>
              </w:rPr>
            </w:pPr>
            <w:r w:rsidRPr="004B33AE">
              <w:rPr>
                <w:rFonts w:ascii="Arial" w:hAnsi="Arial" w:cs="Arial"/>
                <w:b/>
                <w:bCs/>
                <w:sz w:val="16"/>
                <w:szCs w:val="16"/>
              </w:rPr>
              <w:t>22 937 163</w:t>
            </w:r>
          </w:p>
        </w:tc>
        <w:tc>
          <w:tcPr>
            <w:tcW w:w="1150" w:type="dxa"/>
            <w:vMerge/>
            <w:tcBorders>
              <w:top w:val="nil"/>
              <w:left w:val="dotted" w:sz="4" w:space="0" w:color="auto"/>
              <w:bottom w:val="single" w:sz="4" w:space="0" w:color="000000"/>
              <w:right w:val="single" w:sz="4" w:space="0" w:color="auto"/>
            </w:tcBorders>
            <w:vAlign w:val="center"/>
          </w:tcPr>
          <w:p w:rsidR="00881054" w:rsidRPr="006A2BF3" w:rsidRDefault="00881054" w:rsidP="002D57B5">
            <w:pPr>
              <w:jc w:val="center"/>
              <w:rPr>
                <w:rFonts w:ascii="Arial" w:hAnsi="Arial" w:cs="Arial"/>
                <w:i/>
                <w:iCs/>
                <w:sz w:val="16"/>
                <w:szCs w:val="16"/>
              </w:rPr>
            </w:pPr>
          </w:p>
        </w:tc>
      </w:tr>
      <w:tr w:rsidR="00881054" w:rsidRPr="006A2BF3" w:rsidTr="001540E7">
        <w:trPr>
          <w:trHeight w:val="20"/>
        </w:trPr>
        <w:tc>
          <w:tcPr>
            <w:tcW w:w="0" w:type="auto"/>
            <w:vMerge/>
            <w:tcBorders>
              <w:top w:val="single" w:sz="4" w:space="0" w:color="000000"/>
              <w:left w:val="single" w:sz="4" w:space="0" w:color="auto"/>
              <w:bottom w:val="single" w:sz="4" w:space="0" w:color="000000"/>
              <w:right w:val="single" w:sz="4" w:space="0" w:color="auto"/>
            </w:tcBorders>
            <w:shd w:val="clear" w:color="auto" w:fill="EAF1DD"/>
            <w:vAlign w:val="center"/>
          </w:tcPr>
          <w:p w:rsidR="00881054" w:rsidRPr="006A2BF3" w:rsidRDefault="00881054" w:rsidP="002D57B5">
            <w:pPr>
              <w:rPr>
                <w:rFonts w:ascii="Arial" w:hAnsi="Arial" w:cs="Arial"/>
                <w:sz w:val="16"/>
                <w:szCs w:val="16"/>
              </w:rPr>
            </w:pPr>
          </w:p>
        </w:tc>
        <w:tc>
          <w:tcPr>
            <w:tcW w:w="0" w:type="auto"/>
            <w:tcBorders>
              <w:top w:val="nil"/>
              <w:left w:val="nil"/>
              <w:bottom w:val="single" w:sz="4" w:space="0" w:color="auto"/>
              <w:right w:val="single" w:sz="4" w:space="0" w:color="auto"/>
            </w:tcBorders>
            <w:shd w:val="clear" w:color="000000" w:fill="auto"/>
            <w:noWrap/>
            <w:vAlign w:val="center"/>
          </w:tcPr>
          <w:p w:rsidR="00881054" w:rsidRPr="006A2BF3" w:rsidRDefault="00881054" w:rsidP="002D57B5">
            <w:pPr>
              <w:rPr>
                <w:rFonts w:ascii="Arial" w:hAnsi="Arial" w:cs="Arial"/>
                <w:sz w:val="16"/>
                <w:szCs w:val="16"/>
              </w:rPr>
            </w:pPr>
            <w:r w:rsidRPr="006A2BF3">
              <w:rPr>
                <w:rFonts w:ascii="Arial" w:hAnsi="Arial" w:cs="Arial"/>
                <w:sz w:val="16"/>
                <w:szCs w:val="16"/>
              </w:rPr>
              <w:t>Východisko</w:t>
            </w:r>
          </w:p>
        </w:tc>
        <w:tc>
          <w:tcPr>
            <w:tcW w:w="0" w:type="auto"/>
            <w:tcBorders>
              <w:top w:val="nil"/>
              <w:left w:val="nil"/>
              <w:bottom w:val="single" w:sz="4" w:space="0" w:color="auto"/>
              <w:right w:val="dotted" w:sz="4" w:space="0" w:color="auto"/>
            </w:tcBorders>
            <w:noWrap/>
            <w:vAlign w:val="center"/>
          </w:tcPr>
          <w:p w:rsidR="00881054" w:rsidRPr="004B33AE" w:rsidRDefault="00881054" w:rsidP="002D57B5">
            <w:pPr>
              <w:jc w:val="center"/>
              <w:rPr>
                <w:rFonts w:ascii="Arial" w:hAnsi="Arial" w:cs="Arial"/>
                <w:b/>
                <w:bCs/>
                <w:sz w:val="16"/>
                <w:szCs w:val="16"/>
              </w:rPr>
            </w:pPr>
            <w:r w:rsidRPr="004B33AE">
              <w:rPr>
                <w:rFonts w:ascii="Arial" w:hAnsi="Arial" w:cs="Arial"/>
                <w:b/>
                <w:bCs/>
                <w:sz w:val="16"/>
                <w:szCs w:val="16"/>
              </w:rPr>
              <w:t>0</w:t>
            </w:r>
          </w:p>
        </w:tc>
        <w:tc>
          <w:tcPr>
            <w:tcW w:w="0" w:type="auto"/>
            <w:tcBorders>
              <w:top w:val="nil"/>
              <w:left w:val="nil"/>
              <w:bottom w:val="single" w:sz="4" w:space="0" w:color="auto"/>
              <w:right w:val="dotted" w:sz="4" w:space="0" w:color="auto"/>
            </w:tcBorders>
            <w:noWrap/>
            <w:vAlign w:val="center"/>
          </w:tcPr>
          <w:p w:rsidR="00881054" w:rsidRPr="004B33AE" w:rsidRDefault="00881054" w:rsidP="002D57B5">
            <w:pPr>
              <w:jc w:val="center"/>
              <w:rPr>
                <w:rFonts w:ascii="Arial" w:hAnsi="Arial" w:cs="Arial"/>
                <w:i/>
                <w:iCs/>
                <w:sz w:val="16"/>
                <w:szCs w:val="16"/>
              </w:rPr>
            </w:pPr>
            <w:r w:rsidRPr="004B33AE">
              <w:rPr>
                <w:rFonts w:ascii="Arial" w:hAnsi="Arial" w:cs="Arial"/>
                <w:i/>
                <w:iCs/>
                <w:sz w:val="16"/>
                <w:szCs w:val="16"/>
              </w:rPr>
              <w:t>N/A</w:t>
            </w:r>
          </w:p>
        </w:tc>
        <w:tc>
          <w:tcPr>
            <w:tcW w:w="0" w:type="auto"/>
            <w:tcBorders>
              <w:top w:val="nil"/>
              <w:left w:val="nil"/>
              <w:bottom w:val="single" w:sz="4" w:space="0" w:color="auto"/>
              <w:right w:val="dotted" w:sz="4" w:space="0" w:color="auto"/>
            </w:tcBorders>
            <w:noWrap/>
            <w:vAlign w:val="center"/>
          </w:tcPr>
          <w:p w:rsidR="00881054" w:rsidRPr="004B33AE" w:rsidRDefault="00881054" w:rsidP="002D57B5">
            <w:pPr>
              <w:jc w:val="center"/>
              <w:rPr>
                <w:rFonts w:ascii="Arial" w:hAnsi="Arial" w:cs="Arial"/>
                <w:i/>
                <w:iCs/>
                <w:sz w:val="16"/>
                <w:szCs w:val="16"/>
              </w:rPr>
            </w:pPr>
            <w:r w:rsidRPr="004B33AE">
              <w:rPr>
                <w:rFonts w:ascii="Arial" w:hAnsi="Arial" w:cs="Arial"/>
                <w:i/>
                <w:iCs/>
                <w:sz w:val="16"/>
                <w:szCs w:val="16"/>
              </w:rPr>
              <w:t>N/A</w:t>
            </w:r>
          </w:p>
        </w:tc>
        <w:tc>
          <w:tcPr>
            <w:tcW w:w="0" w:type="auto"/>
            <w:tcBorders>
              <w:top w:val="nil"/>
              <w:left w:val="nil"/>
              <w:bottom w:val="single" w:sz="4" w:space="0" w:color="auto"/>
              <w:right w:val="dotted" w:sz="4" w:space="0" w:color="auto"/>
            </w:tcBorders>
            <w:noWrap/>
            <w:vAlign w:val="center"/>
          </w:tcPr>
          <w:p w:rsidR="00881054" w:rsidRPr="004B33AE" w:rsidRDefault="00881054" w:rsidP="002D57B5">
            <w:pPr>
              <w:jc w:val="center"/>
              <w:rPr>
                <w:rFonts w:ascii="Arial" w:hAnsi="Arial" w:cs="Arial"/>
                <w:i/>
                <w:iCs/>
                <w:sz w:val="16"/>
                <w:szCs w:val="16"/>
              </w:rPr>
            </w:pPr>
            <w:r w:rsidRPr="004B33AE">
              <w:rPr>
                <w:rFonts w:ascii="Arial" w:hAnsi="Arial" w:cs="Arial"/>
                <w:i/>
                <w:iCs/>
                <w:sz w:val="16"/>
                <w:szCs w:val="16"/>
              </w:rPr>
              <w:t>N/A</w:t>
            </w:r>
          </w:p>
        </w:tc>
        <w:tc>
          <w:tcPr>
            <w:tcW w:w="0" w:type="auto"/>
            <w:tcBorders>
              <w:top w:val="nil"/>
              <w:left w:val="nil"/>
              <w:bottom w:val="single" w:sz="4" w:space="0" w:color="auto"/>
              <w:right w:val="dotted" w:sz="4" w:space="0" w:color="auto"/>
            </w:tcBorders>
            <w:noWrap/>
            <w:vAlign w:val="center"/>
          </w:tcPr>
          <w:p w:rsidR="00881054" w:rsidRPr="004B33AE" w:rsidRDefault="00881054" w:rsidP="002D57B5">
            <w:pPr>
              <w:jc w:val="center"/>
              <w:rPr>
                <w:rFonts w:ascii="Arial" w:hAnsi="Arial" w:cs="Arial"/>
                <w:i/>
                <w:iCs/>
                <w:sz w:val="16"/>
                <w:szCs w:val="16"/>
              </w:rPr>
            </w:pPr>
            <w:r w:rsidRPr="004B33AE">
              <w:rPr>
                <w:rFonts w:ascii="Arial" w:hAnsi="Arial" w:cs="Arial"/>
                <w:i/>
                <w:iCs/>
                <w:sz w:val="16"/>
                <w:szCs w:val="16"/>
              </w:rPr>
              <w:t>N/A</w:t>
            </w:r>
          </w:p>
        </w:tc>
        <w:tc>
          <w:tcPr>
            <w:tcW w:w="0" w:type="auto"/>
            <w:tcBorders>
              <w:top w:val="nil"/>
              <w:left w:val="nil"/>
              <w:bottom w:val="single" w:sz="4" w:space="0" w:color="auto"/>
              <w:right w:val="dotted" w:sz="4" w:space="0" w:color="auto"/>
            </w:tcBorders>
            <w:noWrap/>
            <w:vAlign w:val="center"/>
          </w:tcPr>
          <w:p w:rsidR="00881054" w:rsidRPr="004B33AE" w:rsidRDefault="00881054" w:rsidP="002D57B5">
            <w:pPr>
              <w:jc w:val="center"/>
              <w:rPr>
                <w:rFonts w:ascii="Arial" w:hAnsi="Arial" w:cs="Arial"/>
                <w:i/>
                <w:iCs/>
                <w:sz w:val="16"/>
                <w:szCs w:val="16"/>
              </w:rPr>
            </w:pPr>
            <w:r w:rsidRPr="004B33AE">
              <w:rPr>
                <w:rFonts w:ascii="Arial" w:hAnsi="Arial" w:cs="Arial"/>
                <w:i/>
                <w:iCs/>
                <w:sz w:val="16"/>
                <w:szCs w:val="16"/>
              </w:rPr>
              <w:t>N/A</w:t>
            </w:r>
          </w:p>
        </w:tc>
        <w:tc>
          <w:tcPr>
            <w:tcW w:w="0" w:type="auto"/>
            <w:tcBorders>
              <w:top w:val="nil"/>
              <w:left w:val="nil"/>
              <w:bottom w:val="single" w:sz="4" w:space="0" w:color="auto"/>
              <w:right w:val="dotted" w:sz="4" w:space="0" w:color="auto"/>
            </w:tcBorders>
            <w:noWrap/>
            <w:vAlign w:val="center"/>
          </w:tcPr>
          <w:p w:rsidR="00881054" w:rsidRPr="004B33AE" w:rsidRDefault="00881054" w:rsidP="002D57B5">
            <w:pPr>
              <w:jc w:val="center"/>
              <w:rPr>
                <w:rFonts w:ascii="Arial" w:hAnsi="Arial" w:cs="Arial"/>
                <w:i/>
                <w:iCs/>
                <w:sz w:val="16"/>
                <w:szCs w:val="16"/>
              </w:rPr>
            </w:pPr>
            <w:r w:rsidRPr="004B33AE">
              <w:rPr>
                <w:rFonts w:ascii="Arial" w:hAnsi="Arial" w:cs="Arial"/>
                <w:i/>
                <w:iCs/>
                <w:sz w:val="16"/>
                <w:szCs w:val="16"/>
              </w:rPr>
              <w:t>N/A</w:t>
            </w:r>
          </w:p>
        </w:tc>
        <w:tc>
          <w:tcPr>
            <w:tcW w:w="0" w:type="auto"/>
            <w:tcBorders>
              <w:top w:val="nil"/>
              <w:left w:val="nil"/>
              <w:bottom w:val="single" w:sz="4" w:space="0" w:color="auto"/>
              <w:right w:val="dotted" w:sz="4" w:space="0" w:color="auto"/>
            </w:tcBorders>
            <w:noWrap/>
            <w:vAlign w:val="center"/>
          </w:tcPr>
          <w:p w:rsidR="00881054" w:rsidRPr="004B33AE" w:rsidRDefault="00881054" w:rsidP="002D57B5">
            <w:pPr>
              <w:jc w:val="center"/>
              <w:rPr>
                <w:rFonts w:ascii="Arial" w:hAnsi="Arial" w:cs="Arial"/>
                <w:i/>
                <w:iCs/>
                <w:sz w:val="16"/>
                <w:szCs w:val="16"/>
              </w:rPr>
            </w:pPr>
            <w:r w:rsidRPr="004B33AE">
              <w:rPr>
                <w:rFonts w:ascii="Arial" w:hAnsi="Arial" w:cs="Arial"/>
                <w:i/>
                <w:iCs/>
                <w:sz w:val="16"/>
                <w:szCs w:val="16"/>
              </w:rPr>
              <w:t>N/A</w:t>
            </w:r>
          </w:p>
        </w:tc>
        <w:tc>
          <w:tcPr>
            <w:tcW w:w="0" w:type="auto"/>
            <w:tcBorders>
              <w:top w:val="nil"/>
              <w:left w:val="nil"/>
              <w:bottom w:val="single" w:sz="4" w:space="0" w:color="auto"/>
              <w:right w:val="dotted" w:sz="4" w:space="0" w:color="auto"/>
            </w:tcBorders>
            <w:noWrap/>
            <w:vAlign w:val="center"/>
          </w:tcPr>
          <w:p w:rsidR="00881054" w:rsidRPr="004B33AE" w:rsidRDefault="00881054" w:rsidP="002D57B5">
            <w:pPr>
              <w:jc w:val="center"/>
              <w:rPr>
                <w:rFonts w:ascii="Arial" w:hAnsi="Arial" w:cs="Arial"/>
                <w:i/>
                <w:iCs/>
                <w:sz w:val="16"/>
                <w:szCs w:val="16"/>
              </w:rPr>
            </w:pPr>
            <w:r w:rsidRPr="004B33AE">
              <w:rPr>
                <w:rFonts w:ascii="Arial" w:hAnsi="Arial" w:cs="Arial"/>
                <w:i/>
                <w:iCs/>
                <w:sz w:val="16"/>
                <w:szCs w:val="16"/>
              </w:rPr>
              <w:t>N/A</w:t>
            </w:r>
          </w:p>
        </w:tc>
        <w:tc>
          <w:tcPr>
            <w:tcW w:w="0" w:type="auto"/>
            <w:tcBorders>
              <w:top w:val="nil"/>
              <w:left w:val="nil"/>
              <w:bottom w:val="single" w:sz="4" w:space="0" w:color="auto"/>
              <w:right w:val="dotted" w:sz="4" w:space="0" w:color="auto"/>
            </w:tcBorders>
            <w:noWrap/>
            <w:vAlign w:val="center"/>
          </w:tcPr>
          <w:p w:rsidR="00881054" w:rsidRPr="004B33AE" w:rsidRDefault="00881054" w:rsidP="002D57B5">
            <w:pPr>
              <w:jc w:val="center"/>
              <w:rPr>
                <w:rFonts w:ascii="Arial" w:hAnsi="Arial" w:cs="Arial"/>
                <w:b/>
                <w:bCs/>
                <w:sz w:val="16"/>
                <w:szCs w:val="16"/>
              </w:rPr>
            </w:pPr>
            <w:r w:rsidRPr="004B33AE">
              <w:rPr>
                <w:rFonts w:ascii="Arial" w:hAnsi="Arial" w:cs="Arial"/>
                <w:b/>
                <w:bCs/>
                <w:sz w:val="16"/>
                <w:szCs w:val="16"/>
              </w:rPr>
              <w:t>0</w:t>
            </w:r>
          </w:p>
        </w:tc>
        <w:tc>
          <w:tcPr>
            <w:tcW w:w="1150" w:type="dxa"/>
            <w:vMerge/>
            <w:tcBorders>
              <w:top w:val="nil"/>
              <w:left w:val="dotted" w:sz="4" w:space="0" w:color="auto"/>
              <w:bottom w:val="single" w:sz="4" w:space="0" w:color="000000"/>
              <w:right w:val="single" w:sz="4" w:space="0" w:color="auto"/>
            </w:tcBorders>
            <w:vAlign w:val="center"/>
          </w:tcPr>
          <w:p w:rsidR="00881054" w:rsidRPr="006A2BF3" w:rsidRDefault="00881054" w:rsidP="002D57B5">
            <w:pPr>
              <w:jc w:val="center"/>
              <w:rPr>
                <w:rFonts w:ascii="Arial" w:hAnsi="Arial" w:cs="Arial"/>
                <w:i/>
                <w:iCs/>
                <w:sz w:val="16"/>
                <w:szCs w:val="16"/>
              </w:rPr>
            </w:pPr>
          </w:p>
        </w:tc>
      </w:tr>
      <w:tr w:rsidR="00881054" w:rsidRPr="006A2BF3" w:rsidTr="001540E7">
        <w:trPr>
          <w:trHeight w:val="354"/>
        </w:trPr>
        <w:tc>
          <w:tcPr>
            <w:tcW w:w="0" w:type="auto"/>
            <w:vMerge w:val="restart"/>
            <w:tcBorders>
              <w:top w:val="single" w:sz="4" w:space="0" w:color="000000"/>
              <w:left w:val="single" w:sz="4" w:space="0" w:color="auto"/>
              <w:bottom w:val="single" w:sz="4" w:space="0" w:color="000000"/>
              <w:right w:val="single" w:sz="4" w:space="0" w:color="auto"/>
            </w:tcBorders>
            <w:shd w:val="clear" w:color="auto" w:fill="EAF1DD"/>
            <w:vAlign w:val="center"/>
          </w:tcPr>
          <w:p w:rsidR="00881054" w:rsidRPr="006A2BF3" w:rsidRDefault="00881054" w:rsidP="002D57B5">
            <w:pPr>
              <w:rPr>
                <w:rFonts w:ascii="Arial" w:hAnsi="Arial" w:cs="Arial"/>
                <w:sz w:val="16"/>
                <w:szCs w:val="16"/>
              </w:rPr>
            </w:pPr>
            <w:r w:rsidRPr="006A2BF3">
              <w:rPr>
                <w:rFonts w:ascii="Arial" w:hAnsi="Arial" w:cs="Arial"/>
                <w:sz w:val="16"/>
                <w:szCs w:val="16"/>
              </w:rPr>
              <w:t>Počet vytvorených pracovných miest cielene pre MRK</w:t>
            </w:r>
            <w:r>
              <w:rPr>
                <w:rFonts w:ascii="Arial" w:hAnsi="Arial" w:cs="Arial"/>
                <w:sz w:val="16"/>
                <w:szCs w:val="16"/>
              </w:rPr>
              <w:t xml:space="preserve"> </w:t>
            </w:r>
            <w:r w:rsidRPr="006E2C3F">
              <w:rPr>
                <w:rFonts w:ascii="Arial" w:hAnsi="Arial" w:cs="Arial"/>
                <w:sz w:val="16"/>
                <w:szCs w:val="16"/>
              </w:rPr>
              <w:t>[počet]</w:t>
            </w:r>
          </w:p>
        </w:tc>
        <w:tc>
          <w:tcPr>
            <w:tcW w:w="0" w:type="auto"/>
            <w:tcBorders>
              <w:top w:val="nil"/>
              <w:left w:val="nil"/>
              <w:bottom w:val="dotted" w:sz="4" w:space="0" w:color="auto"/>
              <w:right w:val="single" w:sz="4" w:space="0" w:color="auto"/>
            </w:tcBorders>
            <w:shd w:val="clear" w:color="000000" w:fill="auto"/>
            <w:noWrap/>
            <w:vAlign w:val="center"/>
          </w:tcPr>
          <w:p w:rsidR="00881054" w:rsidRPr="006A2BF3" w:rsidRDefault="00881054" w:rsidP="002D57B5">
            <w:pPr>
              <w:rPr>
                <w:rFonts w:ascii="Arial" w:hAnsi="Arial" w:cs="Arial"/>
                <w:sz w:val="16"/>
                <w:szCs w:val="16"/>
              </w:rPr>
            </w:pPr>
            <w:r w:rsidRPr="006A2BF3">
              <w:rPr>
                <w:rFonts w:ascii="Arial" w:hAnsi="Arial" w:cs="Arial"/>
                <w:sz w:val="16"/>
                <w:szCs w:val="16"/>
              </w:rPr>
              <w:t>Dosiahnutý výsledok</w:t>
            </w:r>
          </w:p>
        </w:tc>
        <w:tc>
          <w:tcPr>
            <w:tcW w:w="0" w:type="auto"/>
            <w:tcBorders>
              <w:top w:val="nil"/>
              <w:left w:val="nil"/>
              <w:bottom w:val="dotted" w:sz="4" w:space="0" w:color="auto"/>
              <w:right w:val="dotted" w:sz="4" w:space="0" w:color="auto"/>
            </w:tcBorders>
            <w:noWrap/>
            <w:vAlign w:val="center"/>
          </w:tcPr>
          <w:p w:rsidR="00881054" w:rsidRPr="004B33AE" w:rsidRDefault="00881054" w:rsidP="002D57B5">
            <w:pPr>
              <w:jc w:val="center"/>
              <w:rPr>
                <w:rFonts w:ascii="Arial" w:hAnsi="Arial" w:cs="Arial"/>
                <w:b/>
                <w:bCs/>
                <w:sz w:val="16"/>
                <w:szCs w:val="16"/>
              </w:rPr>
            </w:pPr>
            <w:r w:rsidRPr="004B33AE">
              <w:rPr>
                <w:rFonts w:ascii="Arial" w:hAnsi="Arial" w:cs="Arial"/>
                <w:b/>
                <w:bCs/>
                <w:sz w:val="16"/>
                <w:szCs w:val="16"/>
              </w:rPr>
              <w:t>0</w:t>
            </w:r>
          </w:p>
        </w:tc>
        <w:tc>
          <w:tcPr>
            <w:tcW w:w="0" w:type="auto"/>
            <w:tcBorders>
              <w:top w:val="nil"/>
              <w:left w:val="nil"/>
              <w:bottom w:val="dotted" w:sz="4" w:space="0" w:color="auto"/>
              <w:right w:val="dotted" w:sz="4" w:space="0" w:color="auto"/>
            </w:tcBorders>
            <w:noWrap/>
            <w:vAlign w:val="center"/>
          </w:tcPr>
          <w:p w:rsidR="00881054" w:rsidRPr="004B33AE" w:rsidRDefault="00881054" w:rsidP="002D57B5">
            <w:pPr>
              <w:jc w:val="center"/>
              <w:rPr>
                <w:rFonts w:ascii="Arial" w:hAnsi="Arial" w:cs="Arial"/>
                <w:b/>
                <w:bCs/>
                <w:sz w:val="16"/>
                <w:szCs w:val="16"/>
              </w:rPr>
            </w:pPr>
            <w:r w:rsidRPr="004B33AE">
              <w:rPr>
                <w:rFonts w:ascii="Arial" w:hAnsi="Arial" w:cs="Arial"/>
                <w:b/>
                <w:bCs/>
                <w:sz w:val="16"/>
                <w:szCs w:val="16"/>
              </w:rPr>
              <w:t>0</w:t>
            </w:r>
          </w:p>
        </w:tc>
        <w:tc>
          <w:tcPr>
            <w:tcW w:w="0" w:type="auto"/>
            <w:tcBorders>
              <w:top w:val="nil"/>
              <w:left w:val="nil"/>
              <w:bottom w:val="dotted" w:sz="4" w:space="0" w:color="auto"/>
              <w:right w:val="dotted" w:sz="4" w:space="0" w:color="auto"/>
            </w:tcBorders>
            <w:noWrap/>
            <w:vAlign w:val="center"/>
          </w:tcPr>
          <w:p w:rsidR="00881054" w:rsidRPr="004B33AE" w:rsidRDefault="00881054" w:rsidP="002D57B5">
            <w:pPr>
              <w:jc w:val="center"/>
              <w:rPr>
                <w:rFonts w:ascii="Arial" w:hAnsi="Arial" w:cs="Arial"/>
                <w:b/>
                <w:bCs/>
                <w:sz w:val="16"/>
                <w:szCs w:val="16"/>
              </w:rPr>
            </w:pPr>
            <w:r w:rsidRPr="004B33AE">
              <w:rPr>
                <w:rFonts w:ascii="Arial" w:hAnsi="Arial" w:cs="Arial"/>
                <w:b/>
                <w:bCs/>
                <w:sz w:val="16"/>
                <w:szCs w:val="16"/>
              </w:rPr>
              <w:t>0</w:t>
            </w:r>
          </w:p>
        </w:tc>
        <w:tc>
          <w:tcPr>
            <w:tcW w:w="0" w:type="auto"/>
            <w:tcBorders>
              <w:top w:val="nil"/>
              <w:left w:val="nil"/>
              <w:bottom w:val="dotted" w:sz="4" w:space="0" w:color="auto"/>
              <w:right w:val="dotted" w:sz="4" w:space="0" w:color="auto"/>
            </w:tcBorders>
            <w:noWrap/>
            <w:vAlign w:val="center"/>
          </w:tcPr>
          <w:p w:rsidR="00881054" w:rsidRPr="004B33AE" w:rsidRDefault="00881054" w:rsidP="002D57B5">
            <w:pPr>
              <w:jc w:val="center"/>
              <w:rPr>
                <w:rFonts w:ascii="Arial" w:hAnsi="Arial" w:cs="Arial"/>
                <w:b/>
                <w:bCs/>
                <w:sz w:val="16"/>
                <w:szCs w:val="16"/>
              </w:rPr>
            </w:pPr>
            <w:r w:rsidRPr="004B33AE">
              <w:rPr>
                <w:rFonts w:ascii="Arial" w:hAnsi="Arial" w:cs="Arial"/>
                <w:b/>
                <w:bCs/>
                <w:sz w:val="16"/>
                <w:szCs w:val="16"/>
              </w:rPr>
              <w:t>0</w:t>
            </w:r>
          </w:p>
        </w:tc>
        <w:tc>
          <w:tcPr>
            <w:tcW w:w="0" w:type="auto"/>
            <w:tcBorders>
              <w:top w:val="nil"/>
              <w:left w:val="nil"/>
              <w:bottom w:val="dotted" w:sz="4" w:space="0" w:color="auto"/>
              <w:right w:val="dotted" w:sz="4" w:space="0" w:color="auto"/>
            </w:tcBorders>
            <w:noWrap/>
            <w:vAlign w:val="center"/>
          </w:tcPr>
          <w:p w:rsidR="00881054" w:rsidRPr="004B33AE" w:rsidRDefault="00881054" w:rsidP="002D57B5">
            <w:pPr>
              <w:jc w:val="center"/>
              <w:rPr>
                <w:rFonts w:ascii="Arial" w:hAnsi="Arial" w:cs="Arial"/>
                <w:b/>
                <w:bCs/>
                <w:sz w:val="16"/>
                <w:szCs w:val="16"/>
              </w:rPr>
            </w:pPr>
            <w:r w:rsidRPr="004B33AE">
              <w:rPr>
                <w:rFonts w:ascii="Arial" w:hAnsi="Arial" w:cs="Arial"/>
                <w:b/>
                <w:bCs/>
                <w:sz w:val="16"/>
                <w:szCs w:val="16"/>
              </w:rPr>
              <w:t>0</w:t>
            </w:r>
          </w:p>
        </w:tc>
        <w:tc>
          <w:tcPr>
            <w:tcW w:w="0" w:type="auto"/>
            <w:tcBorders>
              <w:top w:val="nil"/>
              <w:left w:val="nil"/>
              <w:bottom w:val="dotted" w:sz="4" w:space="0" w:color="auto"/>
              <w:right w:val="dotted" w:sz="4" w:space="0" w:color="auto"/>
            </w:tcBorders>
            <w:noWrap/>
            <w:vAlign w:val="center"/>
          </w:tcPr>
          <w:p w:rsidR="00881054" w:rsidRPr="00AB5A54" w:rsidRDefault="00881054" w:rsidP="002D57B5">
            <w:pPr>
              <w:jc w:val="center"/>
              <w:rPr>
                <w:rFonts w:ascii="Arial" w:hAnsi="Arial" w:cs="Arial"/>
                <w:b/>
                <w:iCs/>
                <w:sz w:val="16"/>
                <w:szCs w:val="16"/>
              </w:rPr>
            </w:pPr>
            <w:r>
              <w:rPr>
                <w:rFonts w:ascii="Arial" w:hAnsi="Arial" w:cs="Arial"/>
                <w:b/>
                <w:iCs/>
                <w:sz w:val="16"/>
                <w:szCs w:val="16"/>
              </w:rPr>
              <w:t>0</w:t>
            </w:r>
          </w:p>
        </w:tc>
        <w:tc>
          <w:tcPr>
            <w:tcW w:w="0" w:type="auto"/>
            <w:tcBorders>
              <w:top w:val="nil"/>
              <w:left w:val="nil"/>
              <w:bottom w:val="dotted" w:sz="4" w:space="0" w:color="auto"/>
              <w:right w:val="dotted" w:sz="4" w:space="0" w:color="auto"/>
            </w:tcBorders>
            <w:noWrap/>
            <w:vAlign w:val="center"/>
          </w:tcPr>
          <w:p w:rsidR="00881054" w:rsidRPr="004B33AE" w:rsidRDefault="00881054" w:rsidP="002D57B5">
            <w:pPr>
              <w:jc w:val="center"/>
              <w:rPr>
                <w:rFonts w:ascii="Arial" w:hAnsi="Arial" w:cs="Arial"/>
                <w:i/>
                <w:iCs/>
                <w:sz w:val="16"/>
                <w:szCs w:val="16"/>
              </w:rPr>
            </w:pPr>
            <w:r w:rsidRPr="004B33AE">
              <w:rPr>
                <w:rFonts w:ascii="Arial" w:hAnsi="Arial" w:cs="Arial"/>
                <w:i/>
                <w:iCs/>
                <w:sz w:val="16"/>
                <w:szCs w:val="16"/>
              </w:rPr>
              <w:t>N/A</w:t>
            </w:r>
          </w:p>
        </w:tc>
        <w:tc>
          <w:tcPr>
            <w:tcW w:w="0" w:type="auto"/>
            <w:tcBorders>
              <w:top w:val="nil"/>
              <w:left w:val="nil"/>
              <w:bottom w:val="dotted" w:sz="4" w:space="0" w:color="auto"/>
              <w:right w:val="dotted" w:sz="4" w:space="0" w:color="auto"/>
            </w:tcBorders>
            <w:noWrap/>
            <w:vAlign w:val="center"/>
          </w:tcPr>
          <w:p w:rsidR="00881054" w:rsidRPr="004B33AE" w:rsidRDefault="00881054" w:rsidP="002D57B5">
            <w:pPr>
              <w:jc w:val="center"/>
              <w:rPr>
                <w:rFonts w:ascii="Arial" w:hAnsi="Arial" w:cs="Arial"/>
                <w:i/>
                <w:iCs/>
                <w:sz w:val="16"/>
                <w:szCs w:val="16"/>
              </w:rPr>
            </w:pPr>
            <w:r w:rsidRPr="004B33AE">
              <w:rPr>
                <w:rFonts w:ascii="Arial" w:hAnsi="Arial" w:cs="Arial"/>
                <w:i/>
                <w:iCs/>
                <w:sz w:val="16"/>
                <w:szCs w:val="16"/>
              </w:rPr>
              <w:t>N/A</w:t>
            </w:r>
          </w:p>
        </w:tc>
        <w:tc>
          <w:tcPr>
            <w:tcW w:w="0" w:type="auto"/>
            <w:tcBorders>
              <w:top w:val="nil"/>
              <w:left w:val="nil"/>
              <w:bottom w:val="dotted" w:sz="4" w:space="0" w:color="auto"/>
              <w:right w:val="dotted" w:sz="4" w:space="0" w:color="auto"/>
            </w:tcBorders>
            <w:noWrap/>
            <w:vAlign w:val="center"/>
          </w:tcPr>
          <w:p w:rsidR="00881054" w:rsidRPr="004B33AE" w:rsidRDefault="00881054" w:rsidP="002D57B5">
            <w:pPr>
              <w:jc w:val="center"/>
              <w:rPr>
                <w:rFonts w:ascii="Arial" w:hAnsi="Arial" w:cs="Arial"/>
                <w:i/>
                <w:iCs/>
                <w:sz w:val="16"/>
                <w:szCs w:val="16"/>
              </w:rPr>
            </w:pPr>
            <w:r w:rsidRPr="004B33AE">
              <w:rPr>
                <w:rFonts w:ascii="Arial" w:hAnsi="Arial" w:cs="Arial"/>
                <w:i/>
                <w:iCs/>
                <w:sz w:val="16"/>
                <w:szCs w:val="16"/>
              </w:rPr>
              <w:t>N/A</w:t>
            </w:r>
          </w:p>
        </w:tc>
        <w:tc>
          <w:tcPr>
            <w:tcW w:w="0" w:type="auto"/>
            <w:tcBorders>
              <w:top w:val="nil"/>
              <w:left w:val="nil"/>
              <w:bottom w:val="dotted" w:sz="4" w:space="0" w:color="auto"/>
              <w:right w:val="dotted" w:sz="4" w:space="0" w:color="auto"/>
            </w:tcBorders>
            <w:noWrap/>
            <w:vAlign w:val="center"/>
          </w:tcPr>
          <w:p w:rsidR="00881054" w:rsidRPr="004B33AE" w:rsidRDefault="00881054" w:rsidP="002D57B5">
            <w:pPr>
              <w:jc w:val="center"/>
              <w:rPr>
                <w:rFonts w:ascii="Arial" w:hAnsi="Arial" w:cs="Arial"/>
                <w:b/>
                <w:bCs/>
                <w:sz w:val="16"/>
                <w:szCs w:val="16"/>
              </w:rPr>
            </w:pPr>
            <w:r>
              <w:rPr>
                <w:rFonts w:ascii="Arial" w:hAnsi="Arial" w:cs="Arial"/>
                <w:b/>
                <w:bCs/>
                <w:sz w:val="16"/>
                <w:szCs w:val="16"/>
              </w:rPr>
              <w:t>0</w:t>
            </w:r>
          </w:p>
        </w:tc>
        <w:tc>
          <w:tcPr>
            <w:tcW w:w="1150" w:type="dxa"/>
            <w:vMerge w:val="restart"/>
            <w:tcBorders>
              <w:top w:val="nil"/>
              <w:left w:val="dotted" w:sz="4" w:space="0" w:color="auto"/>
              <w:bottom w:val="single" w:sz="4" w:space="0" w:color="000000"/>
              <w:right w:val="single" w:sz="4" w:space="0" w:color="auto"/>
            </w:tcBorders>
            <w:vAlign w:val="center"/>
          </w:tcPr>
          <w:p w:rsidR="00881054" w:rsidRPr="006A2BF3" w:rsidRDefault="00881054" w:rsidP="002D57B5">
            <w:pPr>
              <w:jc w:val="center"/>
              <w:rPr>
                <w:rFonts w:ascii="Arial" w:hAnsi="Arial" w:cs="Arial"/>
                <w:i/>
                <w:iCs/>
                <w:sz w:val="16"/>
                <w:szCs w:val="16"/>
              </w:rPr>
            </w:pPr>
            <w:r>
              <w:rPr>
                <w:rFonts w:ascii="Arial" w:hAnsi="Arial" w:cs="Arial"/>
                <w:i/>
                <w:iCs/>
                <w:sz w:val="16"/>
                <w:szCs w:val="16"/>
              </w:rPr>
              <w:t>0</w:t>
            </w:r>
          </w:p>
        </w:tc>
      </w:tr>
      <w:tr w:rsidR="00881054" w:rsidRPr="006A2BF3" w:rsidTr="001540E7">
        <w:trPr>
          <w:trHeight w:val="455"/>
        </w:trPr>
        <w:tc>
          <w:tcPr>
            <w:tcW w:w="0" w:type="auto"/>
            <w:vMerge/>
            <w:tcBorders>
              <w:top w:val="single" w:sz="4" w:space="0" w:color="000000"/>
              <w:left w:val="single" w:sz="4" w:space="0" w:color="auto"/>
              <w:bottom w:val="single" w:sz="4" w:space="0" w:color="000000"/>
              <w:right w:val="single" w:sz="4" w:space="0" w:color="auto"/>
            </w:tcBorders>
            <w:shd w:val="clear" w:color="auto" w:fill="EAF1DD"/>
            <w:vAlign w:val="center"/>
          </w:tcPr>
          <w:p w:rsidR="00881054" w:rsidRPr="006A2BF3" w:rsidRDefault="00881054" w:rsidP="002D57B5">
            <w:pPr>
              <w:rPr>
                <w:rFonts w:ascii="Arial" w:hAnsi="Arial" w:cs="Arial"/>
                <w:sz w:val="16"/>
                <w:szCs w:val="16"/>
              </w:rPr>
            </w:pPr>
          </w:p>
        </w:tc>
        <w:tc>
          <w:tcPr>
            <w:tcW w:w="0" w:type="auto"/>
            <w:tcBorders>
              <w:top w:val="nil"/>
              <w:left w:val="nil"/>
              <w:bottom w:val="dotted" w:sz="4" w:space="0" w:color="auto"/>
              <w:right w:val="single" w:sz="4" w:space="0" w:color="auto"/>
            </w:tcBorders>
            <w:shd w:val="clear" w:color="000000" w:fill="auto"/>
            <w:noWrap/>
            <w:vAlign w:val="center"/>
          </w:tcPr>
          <w:p w:rsidR="00881054" w:rsidRPr="006A2BF3" w:rsidRDefault="00881054" w:rsidP="002D57B5">
            <w:pPr>
              <w:rPr>
                <w:rFonts w:ascii="Arial" w:hAnsi="Arial" w:cs="Arial"/>
                <w:sz w:val="16"/>
                <w:szCs w:val="16"/>
              </w:rPr>
            </w:pPr>
            <w:r w:rsidRPr="006A2BF3">
              <w:rPr>
                <w:rFonts w:ascii="Arial" w:hAnsi="Arial" w:cs="Arial"/>
                <w:sz w:val="16"/>
                <w:szCs w:val="16"/>
              </w:rPr>
              <w:t>Cieľ</w:t>
            </w:r>
          </w:p>
        </w:tc>
        <w:tc>
          <w:tcPr>
            <w:tcW w:w="0" w:type="auto"/>
            <w:tcBorders>
              <w:top w:val="nil"/>
              <w:left w:val="nil"/>
              <w:bottom w:val="dotted" w:sz="4" w:space="0" w:color="auto"/>
              <w:right w:val="dotted" w:sz="4" w:space="0" w:color="auto"/>
            </w:tcBorders>
            <w:noWrap/>
            <w:vAlign w:val="center"/>
          </w:tcPr>
          <w:p w:rsidR="00881054" w:rsidRPr="004B33AE" w:rsidRDefault="00881054" w:rsidP="002D57B5">
            <w:pPr>
              <w:jc w:val="center"/>
              <w:rPr>
                <w:rFonts w:ascii="Arial" w:hAnsi="Arial" w:cs="Arial"/>
                <w:i/>
                <w:iCs/>
                <w:sz w:val="16"/>
                <w:szCs w:val="16"/>
              </w:rPr>
            </w:pPr>
            <w:r w:rsidRPr="004B33AE">
              <w:rPr>
                <w:rFonts w:ascii="Arial" w:hAnsi="Arial" w:cs="Arial"/>
                <w:i/>
                <w:iCs/>
                <w:sz w:val="16"/>
                <w:szCs w:val="16"/>
              </w:rPr>
              <w:t>N/A</w:t>
            </w:r>
          </w:p>
        </w:tc>
        <w:tc>
          <w:tcPr>
            <w:tcW w:w="0" w:type="auto"/>
            <w:tcBorders>
              <w:top w:val="nil"/>
              <w:left w:val="nil"/>
              <w:bottom w:val="dotted" w:sz="4" w:space="0" w:color="auto"/>
              <w:right w:val="dotted" w:sz="4" w:space="0" w:color="auto"/>
            </w:tcBorders>
            <w:noWrap/>
            <w:vAlign w:val="center"/>
          </w:tcPr>
          <w:p w:rsidR="00881054" w:rsidRPr="004B33AE" w:rsidRDefault="00881054" w:rsidP="002D57B5">
            <w:pPr>
              <w:jc w:val="center"/>
              <w:rPr>
                <w:rFonts w:ascii="Arial" w:hAnsi="Arial" w:cs="Arial"/>
                <w:i/>
                <w:iCs/>
                <w:sz w:val="16"/>
                <w:szCs w:val="16"/>
              </w:rPr>
            </w:pPr>
            <w:r w:rsidRPr="004B33AE">
              <w:rPr>
                <w:rFonts w:ascii="Arial" w:hAnsi="Arial" w:cs="Arial"/>
                <w:i/>
                <w:iCs/>
                <w:sz w:val="16"/>
                <w:szCs w:val="16"/>
              </w:rPr>
              <w:t>N/A</w:t>
            </w:r>
          </w:p>
        </w:tc>
        <w:tc>
          <w:tcPr>
            <w:tcW w:w="0" w:type="auto"/>
            <w:tcBorders>
              <w:top w:val="nil"/>
              <w:left w:val="nil"/>
              <w:bottom w:val="dotted" w:sz="4" w:space="0" w:color="auto"/>
              <w:right w:val="dotted" w:sz="4" w:space="0" w:color="auto"/>
            </w:tcBorders>
            <w:noWrap/>
            <w:vAlign w:val="center"/>
          </w:tcPr>
          <w:p w:rsidR="00881054" w:rsidRPr="004B33AE" w:rsidRDefault="00881054" w:rsidP="002D57B5">
            <w:pPr>
              <w:jc w:val="center"/>
              <w:rPr>
                <w:rFonts w:ascii="Arial" w:hAnsi="Arial" w:cs="Arial"/>
                <w:i/>
                <w:iCs/>
                <w:sz w:val="16"/>
                <w:szCs w:val="16"/>
              </w:rPr>
            </w:pPr>
            <w:r w:rsidRPr="004B33AE">
              <w:rPr>
                <w:rFonts w:ascii="Arial" w:hAnsi="Arial" w:cs="Arial"/>
                <w:i/>
                <w:iCs/>
                <w:sz w:val="16"/>
                <w:szCs w:val="16"/>
              </w:rPr>
              <w:t>N/A</w:t>
            </w:r>
          </w:p>
        </w:tc>
        <w:tc>
          <w:tcPr>
            <w:tcW w:w="0" w:type="auto"/>
            <w:tcBorders>
              <w:top w:val="nil"/>
              <w:left w:val="nil"/>
              <w:bottom w:val="dotted" w:sz="4" w:space="0" w:color="auto"/>
              <w:right w:val="dotted" w:sz="4" w:space="0" w:color="auto"/>
            </w:tcBorders>
            <w:noWrap/>
            <w:vAlign w:val="center"/>
          </w:tcPr>
          <w:p w:rsidR="00881054" w:rsidRPr="004B33AE" w:rsidRDefault="00881054" w:rsidP="002D57B5">
            <w:pPr>
              <w:jc w:val="center"/>
              <w:rPr>
                <w:rFonts w:ascii="Arial" w:hAnsi="Arial" w:cs="Arial"/>
                <w:i/>
                <w:iCs/>
                <w:sz w:val="16"/>
                <w:szCs w:val="16"/>
              </w:rPr>
            </w:pPr>
            <w:r w:rsidRPr="004B33AE">
              <w:rPr>
                <w:rFonts w:ascii="Arial" w:hAnsi="Arial" w:cs="Arial"/>
                <w:i/>
                <w:iCs/>
                <w:sz w:val="16"/>
                <w:szCs w:val="16"/>
              </w:rPr>
              <w:t>N/A</w:t>
            </w:r>
          </w:p>
        </w:tc>
        <w:tc>
          <w:tcPr>
            <w:tcW w:w="0" w:type="auto"/>
            <w:tcBorders>
              <w:top w:val="nil"/>
              <w:left w:val="nil"/>
              <w:bottom w:val="dotted" w:sz="4" w:space="0" w:color="auto"/>
              <w:right w:val="dotted" w:sz="4" w:space="0" w:color="auto"/>
            </w:tcBorders>
            <w:noWrap/>
            <w:vAlign w:val="center"/>
          </w:tcPr>
          <w:p w:rsidR="00881054" w:rsidRPr="004B33AE" w:rsidRDefault="00881054" w:rsidP="002D57B5">
            <w:pPr>
              <w:jc w:val="center"/>
              <w:rPr>
                <w:rFonts w:ascii="Arial" w:hAnsi="Arial" w:cs="Arial"/>
                <w:i/>
                <w:iCs/>
                <w:sz w:val="16"/>
                <w:szCs w:val="16"/>
              </w:rPr>
            </w:pPr>
            <w:r w:rsidRPr="004B33AE">
              <w:rPr>
                <w:rFonts w:ascii="Arial" w:hAnsi="Arial" w:cs="Arial"/>
                <w:i/>
                <w:iCs/>
                <w:sz w:val="16"/>
                <w:szCs w:val="16"/>
              </w:rPr>
              <w:t>N/A</w:t>
            </w:r>
          </w:p>
        </w:tc>
        <w:tc>
          <w:tcPr>
            <w:tcW w:w="0" w:type="auto"/>
            <w:tcBorders>
              <w:top w:val="nil"/>
              <w:left w:val="nil"/>
              <w:bottom w:val="dotted" w:sz="4" w:space="0" w:color="auto"/>
              <w:right w:val="dotted" w:sz="4" w:space="0" w:color="auto"/>
            </w:tcBorders>
            <w:noWrap/>
            <w:vAlign w:val="center"/>
          </w:tcPr>
          <w:p w:rsidR="00881054" w:rsidRPr="004B33AE" w:rsidRDefault="00881054" w:rsidP="002D57B5">
            <w:pPr>
              <w:jc w:val="center"/>
              <w:rPr>
                <w:rFonts w:ascii="Arial" w:hAnsi="Arial" w:cs="Arial"/>
                <w:i/>
                <w:iCs/>
                <w:sz w:val="16"/>
                <w:szCs w:val="16"/>
              </w:rPr>
            </w:pPr>
            <w:r w:rsidRPr="004B33AE">
              <w:rPr>
                <w:rFonts w:ascii="Arial" w:hAnsi="Arial" w:cs="Arial"/>
                <w:i/>
                <w:iCs/>
                <w:sz w:val="16"/>
                <w:szCs w:val="16"/>
              </w:rPr>
              <w:t>N/A</w:t>
            </w:r>
          </w:p>
        </w:tc>
        <w:tc>
          <w:tcPr>
            <w:tcW w:w="0" w:type="auto"/>
            <w:tcBorders>
              <w:top w:val="nil"/>
              <w:left w:val="nil"/>
              <w:bottom w:val="dotted" w:sz="4" w:space="0" w:color="auto"/>
              <w:right w:val="dotted" w:sz="4" w:space="0" w:color="auto"/>
            </w:tcBorders>
            <w:noWrap/>
            <w:vAlign w:val="center"/>
          </w:tcPr>
          <w:p w:rsidR="00881054" w:rsidRPr="004B33AE" w:rsidRDefault="00881054" w:rsidP="002D57B5">
            <w:pPr>
              <w:jc w:val="center"/>
              <w:rPr>
                <w:rFonts w:ascii="Arial" w:hAnsi="Arial" w:cs="Arial"/>
                <w:i/>
                <w:iCs/>
                <w:sz w:val="16"/>
                <w:szCs w:val="16"/>
              </w:rPr>
            </w:pPr>
            <w:r w:rsidRPr="004B33AE">
              <w:rPr>
                <w:rFonts w:ascii="Arial" w:hAnsi="Arial" w:cs="Arial"/>
                <w:i/>
                <w:iCs/>
                <w:sz w:val="16"/>
                <w:szCs w:val="16"/>
              </w:rPr>
              <w:t>N/A</w:t>
            </w:r>
          </w:p>
        </w:tc>
        <w:tc>
          <w:tcPr>
            <w:tcW w:w="0" w:type="auto"/>
            <w:tcBorders>
              <w:top w:val="nil"/>
              <w:left w:val="nil"/>
              <w:bottom w:val="dotted" w:sz="4" w:space="0" w:color="auto"/>
              <w:right w:val="dotted" w:sz="4" w:space="0" w:color="auto"/>
            </w:tcBorders>
            <w:noWrap/>
            <w:vAlign w:val="center"/>
          </w:tcPr>
          <w:p w:rsidR="00881054" w:rsidRPr="004B33AE" w:rsidRDefault="00881054" w:rsidP="002D57B5">
            <w:pPr>
              <w:jc w:val="center"/>
              <w:rPr>
                <w:rFonts w:ascii="Arial" w:hAnsi="Arial" w:cs="Arial"/>
                <w:i/>
                <w:iCs/>
                <w:sz w:val="16"/>
                <w:szCs w:val="16"/>
              </w:rPr>
            </w:pPr>
            <w:r w:rsidRPr="004B33AE">
              <w:rPr>
                <w:rFonts w:ascii="Arial" w:hAnsi="Arial" w:cs="Arial"/>
                <w:i/>
                <w:iCs/>
                <w:sz w:val="16"/>
                <w:szCs w:val="16"/>
              </w:rPr>
              <w:t>N/A</w:t>
            </w:r>
          </w:p>
        </w:tc>
        <w:tc>
          <w:tcPr>
            <w:tcW w:w="0" w:type="auto"/>
            <w:tcBorders>
              <w:top w:val="nil"/>
              <w:left w:val="nil"/>
              <w:bottom w:val="dotted" w:sz="4" w:space="0" w:color="auto"/>
              <w:right w:val="dotted" w:sz="4" w:space="0" w:color="auto"/>
            </w:tcBorders>
            <w:noWrap/>
            <w:vAlign w:val="center"/>
          </w:tcPr>
          <w:p w:rsidR="00881054" w:rsidRPr="004B33AE" w:rsidRDefault="00881054" w:rsidP="002D57B5">
            <w:pPr>
              <w:jc w:val="center"/>
              <w:rPr>
                <w:rFonts w:ascii="Arial" w:hAnsi="Arial" w:cs="Arial"/>
                <w:b/>
                <w:bCs/>
                <w:sz w:val="16"/>
                <w:szCs w:val="16"/>
              </w:rPr>
            </w:pPr>
            <w:r w:rsidRPr="004B33AE">
              <w:rPr>
                <w:rFonts w:ascii="Arial" w:hAnsi="Arial" w:cs="Arial"/>
                <w:b/>
                <w:bCs/>
                <w:sz w:val="16"/>
                <w:szCs w:val="16"/>
              </w:rPr>
              <w:t>30</w:t>
            </w:r>
          </w:p>
        </w:tc>
        <w:tc>
          <w:tcPr>
            <w:tcW w:w="0" w:type="auto"/>
            <w:tcBorders>
              <w:top w:val="nil"/>
              <w:left w:val="nil"/>
              <w:bottom w:val="dotted" w:sz="4" w:space="0" w:color="auto"/>
              <w:right w:val="dotted" w:sz="4" w:space="0" w:color="auto"/>
            </w:tcBorders>
            <w:noWrap/>
            <w:vAlign w:val="center"/>
          </w:tcPr>
          <w:p w:rsidR="00881054" w:rsidRPr="004B33AE" w:rsidRDefault="00881054" w:rsidP="002D57B5">
            <w:pPr>
              <w:jc w:val="center"/>
              <w:rPr>
                <w:rFonts w:ascii="Arial" w:hAnsi="Arial" w:cs="Arial"/>
                <w:b/>
                <w:bCs/>
                <w:sz w:val="16"/>
                <w:szCs w:val="16"/>
              </w:rPr>
            </w:pPr>
            <w:r w:rsidRPr="004B33AE">
              <w:rPr>
                <w:rFonts w:ascii="Arial" w:hAnsi="Arial" w:cs="Arial"/>
                <w:b/>
                <w:bCs/>
                <w:sz w:val="16"/>
                <w:szCs w:val="16"/>
              </w:rPr>
              <w:t>30</w:t>
            </w:r>
          </w:p>
        </w:tc>
        <w:tc>
          <w:tcPr>
            <w:tcW w:w="1150" w:type="dxa"/>
            <w:vMerge/>
            <w:tcBorders>
              <w:top w:val="nil"/>
              <w:left w:val="dotted" w:sz="4" w:space="0" w:color="auto"/>
              <w:bottom w:val="single" w:sz="4" w:space="0" w:color="000000"/>
              <w:right w:val="single" w:sz="4" w:space="0" w:color="auto"/>
            </w:tcBorders>
            <w:vAlign w:val="center"/>
          </w:tcPr>
          <w:p w:rsidR="00881054" w:rsidRPr="006A2BF3" w:rsidRDefault="00881054" w:rsidP="002D57B5">
            <w:pPr>
              <w:rPr>
                <w:rFonts w:ascii="Arial" w:hAnsi="Arial" w:cs="Arial"/>
                <w:i/>
                <w:iCs/>
                <w:sz w:val="16"/>
                <w:szCs w:val="16"/>
              </w:rPr>
            </w:pPr>
          </w:p>
        </w:tc>
      </w:tr>
      <w:tr w:rsidR="00881054" w:rsidRPr="006A2BF3" w:rsidTr="001540E7">
        <w:trPr>
          <w:trHeight w:val="20"/>
        </w:trPr>
        <w:tc>
          <w:tcPr>
            <w:tcW w:w="0" w:type="auto"/>
            <w:vMerge/>
            <w:tcBorders>
              <w:top w:val="single" w:sz="4" w:space="0" w:color="000000"/>
              <w:left w:val="single" w:sz="4" w:space="0" w:color="auto"/>
              <w:bottom w:val="single" w:sz="4" w:space="0" w:color="000000"/>
              <w:right w:val="single" w:sz="4" w:space="0" w:color="auto"/>
            </w:tcBorders>
            <w:shd w:val="clear" w:color="auto" w:fill="EAF1DD"/>
            <w:vAlign w:val="center"/>
          </w:tcPr>
          <w:p w:rsidR="00881054" w:rsidRPr="006A2BF3" w:rsidRDefault="00881054" w:rsidP="002D57B5">
            <w:pPr>
              <w:rPr>
                <w:rFonts w:ascii="Arial" w:hAnsi="Arial" w:cs="Arial"/>
                <w:sz w:val="16"/>
                <w:szCs w:val="16"/>
              </w:rPr>
            </w:pPr>
          </w:p>
        </w:tc>
        <w:tc>
          <w:tcPr>
            <w:tcW w:w="0" w:type="auto"/>
            <w:tcBorders>
              <w:top w:val="nil"/>
              <w:left w:val="nil"/>
              <w:bottom w:val="single" w:sz="4" w:space="0" w:color="auto"/>
              <w:right w:val="single" w:sz="4" w:space="0" w:color="auto"/>
            </w:tcBorders>
            <w:shd w:val="clear" w:color="000000" w:fill="auto"/>
            <w:noWrap/>
            <w:vAlign w:val="center"/>
          </w:tcPr>
          <w:p w:rsidR="00881054" w:rsidRPr="006A2BF3" w:rsidRDefault="00881054" w:rsidP="002D57B5">
            <w:pPr>
              <w:rPr>
                <w:rFonts w:ascii="Arial" w:hAnsi="Arial" w:cs="Arial"/>
                <w:sz w:val="16"/>
                <w:szCs w:val="16"/>
              </w:rPr>
            </w:pPr>
            <w:r w:rsidRPr="006A2BF3">
              <w:rPr>
                <w:rFonts w:ascii="Arial" w:hAnsi="Arial" w:cs="Arial"/>
                <w:sz w:val="16"/>
                <w:szCs w:val="16"/>
              </w:rPr>
              <w:t>Východisko</w:t>
            </w:r>
          </w:p>
        </w:tc>
        <w:tc>
          <w:tcPr>
            <w:tcW w:w="0" w:type="auto"/>
            <w:tcBorders>
              <w:top w:val="nil"/>
              <w:left w:val="nil"/>
              <w:bottom w:val="single" w:sz="4" w:space="0" w:color="auto"/>
              <w:right w:val="dotted" w:sz="4" w:space="0" w:color="auto"/>
            </w:tcBorders>
            <w:noWrap/>
            <w:vAlign w:val="center"/>
          </w:tcPr>
          <w:p w:rsidR="00881054" w:rsidRPr="004B33AE" w:rsidRDefault="00881054" w:rsidP="002D57B5">
            <w:pPr>
              <w:jc w:val="center"/>
              <w:rPr>
                <w:rFonts w:ascii="Arial" w:hAnsi="Arial" w:cs="Arial"/>
                <w:b/>
                <w:bCs/>
                <w:sz w:val="16"/>
                <w:szCs w:val="16"/>
              </w:rPr>
            </w:pPr>
            <w:r w:rsidRPr="004B33AE">
              <w:rPr>
                <w:rFonts w:ascii="Arial" w:hAnsi="Arial" w:cs="Arial"/>
                <w:b/>
                <w:bCs/>
                <w:sz w:val="16"/>
                <w:szCs w:val="16"/>
              </w:rPr>
              <w:t>0</w:t>
            </w:r>
          </w:p>
        </w:tc>
        <w:tc>
          <w:tcPr>
            <w:tcW w:w="0" w:type="auto"/>
            <w:tcBorders>
              <w:top w:val="nil"/>
              <w:left w:val="nil"/>
              <w:bottom w:val="single" w:sz="4" w:space="0" w:color="auto"/>
              <w:right w:val="dotted" w:sz="4" w:space="0" w:color="auto"/>
            </w:tcBorders>
            <w:noWrap/>
            <w:vAlign w:val="center"/>
          </w:tcPr>
          <w:p w:rsidR="00881054" w:rsidRPr="004B33AE" w:rsidRDefault="00881054" w:rsidP="002D57B5">
            <w:pPr>
              <w:jc w:val="center"/>
              <w:rPr>
                <w:rFonts w:ascii="Arial" w:hAnsi="Arial" w:cs="Arial"/>
                <w:i/>
                <w:iCs/>
                <w:sz w:val="16"/>
                <w:szCs w:val="16"/>
              </w:rPr>
            </w:pPr>
            <w:r w:rsidRPr="004B33AE">
              <w:rPr>
                <w:rFonts w:ascii="Arial" w:hAnsi="Arial" w:cs="Arial"/>
                <w:i/>
                <w:iCs/>
                <w:sz w:val="16"/>
                <w:szCs w:val="16"/>
              </w:rPr>
              <w:t>N/A</w:t>
            </w:r>
          </w:p>
        </w:tc>
        <w:tc>
          <w:tcPr>
            <w:tcW w:w="0" w:type="auto"/>
            <w:tcBorders>
              <w:top w:val="nil"/>
              <w:left w:val="nil"/>
              <w:bottom w:val="single" w:sz="4" w:space="0" w:color="auto"/>
              <w:right w:val="dotted" w:sz="4" w:space="0" w:color="auto"/>
            </w:tcBorders>
            <w:noWrap/>
            <w:vAlign w:val="center"/>
          </w:tcPr>
          <w:p w:rsidR="00881054" w:rsidRPr="004B33AE" w:rsidRDefault="00881054" w:rsidP="002D57B5">
            <w:pPr>
              <w:jc w:val="center"/>
              <w:rPr>
                <w:rFonts w:ascii="Arial" w:hAnsi="Arial" w:cs="Arial"/>
                <w:i/>
                <w:iCs/>
                <w:sz w:val="16"/>
                <w:szCs w:val="16"/>
              </w:rPr>
            </w:pPr>
            <w:r w:rsidRPr="004B33AE">
              <w:rPr>
                <w:rFonts w:ascii="Arial" w:hAnsi="Arial" w:cs="Arial"/>
                <w:i/>
                <w:iCs/>
                <w:sz w:val="16"/>
                <w:szCs w:val="16"/>
              </w:rPr>
              <w:t>N/A</w:t>
            </w:r>
          </w:p>
        </w:tc>
        <w:tc>
          <w:tcPr>
            <w:tcW w:w="0" w:type="auto"/>
            <w:tcBorders>
              <w:top w:val="nil"/>
              <w:left w:val="nil"/>
              <w:bottom w:val="single" w:sz="4" w:space="0" w:color="auto"/>
              <w:right w:val="dotted" w:sz="4" w:space="0" w:color="auto"/>
            </w:tcBorders>
            <w:noWrap/>
            <w:vAlign w:val="center"/>
          </w:tcPr>
          <w:p w:rsidR="00881054" w:rsidRPr="004B33AE" w:rsidRDefault="00881054" w:rsidP="002D57B5">
            <w:pPr>
              <w:jc w:val="center"/>
              <w:rPr>
                <w:rFonts w:ascii="Arial" w:hAnsi="Arial" w:cs="Arial"/>
                <w:i/>
                <w:iCs/>
                <w:sz w:val="16"/>
                <w:szCs w:val="16"/>
              </w:rPr>
            </w:pPr>
            <w:r w:rsidRPr="004B33AE">
              <w:rPr>
                <w:rFonts w:ascii="Arial" w:hAnsi="Arial" w:cs="Arial"/>
                <w:i/>
                <w:iCs/>
                <w:sz w:val="16"/>
                <w:szCs w:val="16"/>
              </w:rPr>
              <w:t>N/A</w:t>
            </w:r>
          </w:p>
        </w:tc>
        <w:tc>
          <w:tcPr>
            <w:tcW w:w="0" w:type="auto"/>
            <w:tcBorders>
              <w:top w:val="nil"/>
              <w:left w:val="nil"/>
              <w:bottom w:val="single" w:sz="4" w:space="0" w:color="auto"/>
              <w:right w:val="dotted" w:sz="4" w:space="0" w:color="auto"/>
            </w:tcBorders>
            <w:noWrap/>
            <w:vAlign w:val="center"/>
          </w:tcPr>
          <w:p w:rsidR="00881054" w:rsidRPr="004B33AE" w:rsidRDefault="00881054" w:rsidP="002D57B5">
            <w:pPr>
              <w:jc w:val="center"/>
              <w:rPr>
                <w:rFonts w:ascii="Arial" w:hAnsi="Arial" w:cs="Arial"/>
                <w:i/>
                <w:iCs/>
                <w:sz w:val="16"/>
                <w:szCs w:val="16"/>
              </w:rPr>
            </w:pPr>
            <w:r w:rsidRPr="004B33AE">
              <w:rPr>
                <w:rFonts w:ascii="Arial" w:hAnsi="Arial" w:cs="Arial"/>
                <w:i/>
                <w:iCs/>
                <w:sz w:val="16"/>
                <w:szCs w:val="16"/>
              </w:rPr>
              <w:t>N/A</w:t>
            </w:r>
          </w:p>
        </w:tc>
        <w:tc>
          <w:tcPr>
            <w:tcW w:w="0" w:type="auto"/>
            <w:tcBorders>
              <w:top w:val="nil"/>
              <w:left w:val="nil"/>
              <w:bottom w:val="single" w:sz="4" w:space="0" w:color="auto"/>
              <w:right w:val="dotted" w:sz="4" w:space="0" w:color="auto"/>
            </w:tcBorders>
            <w:noWrap/>
            <w:vAlign w:val="center"/>
          </w:tcPr>
          <w:p w:rsidR="00881054" w:rsidRPr="004B33AE" w:rsidRDefault="00881054" w:rsidP="002D57B5">
            <w:pPr>
              <w:jc w:val="center"/>
              <w:rPr>
                <w:rFonts w:ascii="Arial" w:hAnsi="Arial" w:cs="Arial"/>
                <w:i/>
                <w:iCs/>
                <w:sz w:val="16"/>
                <w:szCs w:val="16"/>
              </w:rPr>
            </w:pPr>
            <w:r w:rsidRPr="004B33AE">
              <w:rPr>
                <w:rFonts w:ascii="Arial" w:hAnsi="Arial" w:cs="Arial"/>
                <w:i/>
                <w:iCs/>
                <w:sz w:val="16"/>
                <w:szCs w:val="16"/>
              </w:rPr>
              <w:t>N/A</w:t>
            </w:r>
          </w:p>
        </w:tc>
        <w:tc>
          <w:tcPr>
            <w:tcW w:w="0" w:type="auto"/>
            <w:tcBorders>
              <w:top w:val="nil"/>
              <w:left w:val="nil"/>
              <w:bottom w:val="single" w:sz="4" w:space="0" w:color="auto"/>
              <w:right w:val="dotted" w:sz="4" w:space="0" w:color="auto"/>
            </w:tcBorders>
            <w:noWrap/>
            <w:vAlign w:val="center"/>
          </w:tcPr>
          <w:p w:rsidR="00881054" w:rsidRPr="004B33AE" w:rsidRDefault="00881054" w:rsidP="002D57B5">
            <w:pPr>
              <w:jc w:val="center"/>
              <w:rPr>
                <w:rFonts w:ascii="Arial" w:hAnsi="Arial" w:cs="Arial"/>
                <w:i/>
                <w:iCs/>
                <w:sz w:val="16"/>
                <w:szCs w:val="16"/>
              </w:rPr>
            </w:pPr>
            <w:r w:rsidRPr="004B33AE">
              <w:rPr>
                <w:rFonts w:ascii="Arial" w:hAnsi="Arial" w:cs="Arial"/>
                <w:i/>
                <w:iCs/>
                <w:sz w:val="16"/>
                <w:szCs w:val="16"/>
              </w:rPr>
              <w:t>N/A</w:t>
            </w:r>
          </w:p>
        </w:tc>
        <w:tc>
          <w:tcPr>
            <w:tcW w:w="0" w:type="auto"/>
            <w:tcBorders>
              <w:top w:val="nil"/>
              <w:left w:val="nil"/>
              <w:bottom w:val="single" w:sz="4" w:space="0" w:color="auto"/>
              <w:right w:val="dotted" w:sz="4" w:space="0" w:color="auto"/>
            </w:tcBorders>
            <w:noWrap/>
            <w:vAlign w:val="center"/>
          </w:tcPr>
          <w:p w:rsidR="00881054" w:rsidRPr="004B33AE" w:rsidRDefault="00881054" w:rsidP="002D57B5">
            <w:pPr>
              <w:jc w:val="center"/>
              <w:rPr>
                <w:rFonts w:ascii="Arial" w:hAnsi="Arial" w:cs="Arial"/>
                <w:i/>
                <w:iCs/>
                <w:sz w:val="16"/>
                <w:szCs w:val="16"/>
              </w:rPr>
            </w:pPr>
            <w:r w:rsidRPr="004B33AE">
              <w:rPr>
                <w:rFonts w:ascii="Arial" w:hAnsi="Arial" w:cs="Arial"/>
                <w:i/>
                <w:iCs/>
                <w:sz w:val="16"/>
                <w:szCs w:val="16"/>
              </w:rPr>
              <w:t>N/A</w:t>
            </w:r>
          </w:p>
        </w:tc>
        <w:tc>
          <w:tcPr>
            <w:tcW w:w="0" w:type="auto"/>
            <w:tcBorders>
              <w:top w:val="nil"/>
              <w:left w:val="nil"/>
              <w:bottom w:val="single" w:sz="4" w:space="0" w:color="auto"/>
              <w:right w:val="dotted" w:sz="4" w:space="0" w:color="auto"/>
            </w:tcBorders>
            <w:noWrap/>
            <w:vAlign w:val="center"/>
          </w:tcPr>
          <w:p w:rsidR="00881054" w:rsidRPr="004B33AE" w:rsidRDefault="00881054" w:rsidP="002D57B5">
            <w:pPr>
              <w:jc w:val="center"/>
              <w:rPr>
                <w:rFonts w:ascii="Arial" w:hAnsi="Arial" w:cs="Arial"/>
                <w:i/>
                <w:iCs/>
                <w:sz w:val="16"/>
                <w:szCs w:val="16"/>
              </w:rPr>
            </w:pPr>
            <w:r w:rsidRPr="004B33AE">
              <w:rPr>
                <w:rFonts w:ascii="Arial" w:hAnsi="Arial" w:cs="Arial"/>
                <w:i/>
                <w:iCs/>
                <w:sz w:val="16"/>
                <w:szCs w:val="16"/>
              </w:rPr>
              <w:t>N/A</w:t>
            </w:r>
          </w:p>
        </w:tc>
        <w:tc>
          <w:tcPr>
            <w:tcW w:w="0" w:type="auto"/>
            <w:tcBorders>
              <w:top w:val="nil"/>
              <w:left w:val="nil"/>
              <w:bottom w:val="single" w:sz="4" w:space="0" w:color="auto"/>
              <w:right w:val="dotted" w:sz="4" w:space="0" w:color="auto"/>
            </w:tcBorders>
            <w:noWrap/>
            <w:vAlign w:val="center"/>
          </w:tcPr>
          <w:p w:rsidR="00881054" w:rsidRPr="004B33AE" w:rsidRDefault="00881054" w:rsidP="002D57B5">
            <w:pPr>
              <w:jc w:val="center"/>
              <w:rPr>
                <w:rFonts w:ascii="Arial" w:hAnsi="Arial" w:cs="Arial"/>
                <w:b/>
                <w:bCs/>
                <w:sz w:val="16"/>
                <w:szCs w:val="16"/>
              </w:rPr>
            </w:pPr>
            <w:r w:rsidRPr="004B33AE">
              <w:rPr>
                <w:rFonts w:ascii="Arial" w:hAnsi="Arial" w:cs="Arial"/>
                <w:b/>
                <w:bCs/>
                <w:sz w:val="16"/>
                <w:szCs w:val="16"/>
              </w:rPr>
              <w:t>0</w:t>
            </w:r>
          </w:p>
        </w:tc>
        <w:tc>
          <w:tcPr>
            <w:tcW w:w="1150" w:type="dxa"/>
            <w:vMerge/>
            <w:tcBorders>
              <w:top w:val="nil"/>
              <w:left w:val="dotted" w:sz="4" w:space="0" w:color="auto"/>
              <w:bottom w:val="single" w:sz="4" w:space="0" w:color="000000"/>
              <w:right w:val="single" w:sz="4" w:space="0" w:color="auto"/>
            </w:tcBorders>
            <w:vAlign w:val="center"/>
          </w:tcPr>
          <w:p w:rsidR="00881054" w:rsidRPr="006A2BF3" w:rsidRDefault="00881054" w:rsidP="002D57B5">
            <w:pPr>
              <w:rPr>
                <w:rFonts w:ascii="Arial" w:hAnsi="Arial" w:cs="Arial"/>
                <w:i/>
                <w:iCs/>
                <w:sz w:val="16"/>
                <w:szCs w:val="16"/>
              </w:rPr>
            </w:pPr>
          </w:p>
        </w:tc>
      </w:tr>
    </w:tbl>
    <w:p w:rsidR="00881054" w:rsidRPr="006A2BF3" w:rsidRDefault="00881054" w:rsidP="00881054">
      <w:pPr>
        <w:spacing w:line="360" w:lineRule="auto"/>
        <w:jc w:val="both"/>
        <w:rPr>
          <w:rFonts w:ascii="Arial" w:hAnsi="Arial" w:cs="Arial"/>
          <w:sz w:val="16"/>
          <w:szCs w:val="16"/>
        </w:rPr>
      </w:pPr>
      <w:r w:rsidRPr="006A2BF3">
        <w:rPr>
          <w:rFonts w:ascii="Arial" w:hAnsi="Arial" w:cs="Arial"/>
          <w:sz w:val="16"/>
          <w:szCs w:val="16"/>
        </w:rPr>
        <w:t>Zdroj: ITMS</w:t>
      </w:r>
    </w:p>
    <w:p w:rsidR="00881054" w:rsidRDefault="00881054" w:rsidP="00881054">
      <w:pPr>
        <w:spacing w:before="240" w:line="360" w:lineRule="auto"/>
        <w:jc w:val="both"/>
        <w:rPr>
          <w:rFonts w:ascii="Arial" w:hAnsi="Arial" w:cs="Arial"/>
          <w:sz w:val="20"/>
          <w:szCs w:val="20"/>
        </w:rPr>
      </w:pPr>
      <w:r w:rsidRPr="00FA5779">
        <w:rPr>
          <w:rFonts w:ascii="Arial" w:hAnsi="Arial" w:cs="Arial"/>
          <w:sz w:val="20"/>
          <w:szCs w:val="20"/>
        </w:rPr>
        <w:t>Plnenie ukazovateľov uvedených v</w:t>
      </w:r>
      <w:r>
        <w:rPr>
          <w:rFonts w:ascii="Arial" w:hAnsi="Arial" w:cs="Arial"/>
          <w:sz w:val="20"/>
          <w:szCs w:val="20"/>
        </w:rPr>
        <w:t> </w:t>
      </w:r>
      <w:r w:rsidRPr="00FA5779">
        <w:rPr>
          <w:rFonts w:ascii="Arial" w:hAnsi="Arial" w:cs="Arial"/>
          <w:sz w:val="20"/>
          <w:szCs w:val="20"/>
        </w:rPr>
        <w:t xml:space="preserve">NSRR je zamerané výlučne na projekty s priamou podporou HP MRK, tzn. iba na projekty zo schválených Lokálnych stratégií komplexného prístupu. </w:t>
      </w:r>
      <w:r>
        <w:rPr>
          <w:rFonts w:ascii="Arial" w:hAnsi="Arial" w:cs="Arial"/>
          <w:sz w:val="20"/>
          <w:szCs w:val="20"/>
        </w:rPr>
        <w:t>Keďže tabuľka má zahŕňať údaje týkajúce sa zazmluvnených projektov, nie sú v nej uvedené údaje o 3 žiadostiach o NFP</w:t>
      </w:r>
      <w:r w:rsidRPr="00FB0D4D">
        <w:rPr>
          <w:rFonts w:ascii="Arial" w:hAnsi="Arial" w:cs="Arial"/>
          <w:sz w:val="20"/>
          <w:szCs w:val="20"/>
        </w:rPr>
        <w:t xml:space="preserve"> </w:t>
      </w:r>
      <w:r>
        <w:rPr>
          <w:rFonts w:ascii="Arial" w:hAnsi="Arial" w:cs="Arial"/>
          <w:sz w:val="20"/>
          <w:szCs w:val="20"/>
        </w:rPr>
        <w:t xml:space="preserve">schválených v rámci výzvy vyhlásenej dňa </w:t>
      </w:r>
      <w:r w:rsidRPr="00FA5779">
        <w:rPr>
          <w:rFonts w:ascii="Arial" w:hAnsi="Arial" w:cs="Arial"/>
          <w:sz w:val="20"/>
          <w:szCs w:val="20"/>
        </w:rPr>
        <w:t>22.12.2011.</w:t>
      </w:r>
    </w:p>
    <w:p w:rsidR="00881054" w:rsidRPr="009B5AA1" w:rsidRDefault="00881054" w:rsidP="00881054">
      <w:pPr>
        <w:spacing w:before="240" w:line="360" w:lineRule="auto"/>
        <w:jc w:val="both"/>
        <w:rPr>
          <w:rFonts w:ascii="Arial" w:hAnsi="Arial" w:cs="Arial"/>
          <w:sz w:val="20"/>
          <w:szCs w:val="20"/>
        </w:rPr>
      </w:pPr>
      <w:r w:rsidRPr="009B5AA1">
        <w:rPr>
          <w:rFonts w:ascii="Arial" w:hAnsi="Arial" w:cs="Arial"/>
          <w:sz w:val="20"/>
          <w:szCs w:val="20"/>
        </w:rPr>
        <w:t xml:space="preserve">Tab. č. </w:t>
      </w:r>
      <w:r>
        <w:rPr>
          <w:rFonts w:ascii="Arial" w:hAnsi="Arial" w:cs="Arial"/>
          <w:sz w:val="20"/>
          <w:szCs w:val="20"/>
        </w:rPr>
        <w:t>72</w:t>
      </w:r>
      <w:r w:rsidRPr="009B5AA1">
        <w:rPr>
          <w:rFonts w:ascii="Arial" w:hAnsi="Arial" w:cs="Arial"/>
          <w:sz w:val="20"/>
          <w:szCs w:val="20"/>
        </w:rPr>
        <w:t>: Stav zazmluvnenia projektov s priamou podporou HP MRK podľa NUTS III k 31.12.2012</w:t>
      </w:r>
    </w:p>
    <w:tbl>
      <w:tblPr>
        <w:tblW w:w="0" w:type="auto"/>
        <w:tblInd w:w="55" w:type="dxa"/>
        <w:tblCellMar>
          <w:left w:w="70" w:type="dxa"/>
          <w:right w:w="70" w:type="dxa"/>
        </w:tblCellMar>
        <w:tblLook w:val="04A0" w:firstRow="1" w:lastRow="0" w:firstColumn="1" w:lastColumn="0" w:noHBand="0" w:noVBand="1"/>
      </w:tblPr>
      <w:tblGrid>
        <w:gridCol w:w="1464"/>
        <w:gridCol w:w="1508"/>
        <w:gridCol w:w="1536"/>
        <w:gridCol w:w="1529"/>
        <w:gridCol w:w="1557"/>
        <w:gridCol w:w="1561"/>
      </w:tblGrid>
      <w:tr w:rsidR="00881054" w:rsidRPr="009B5AA1" w:rsidTr="002D57B5">
        <w:trPr>
          <w:trHeight w:val="1185"/>
        </w:trPr>
        <w:tc>
          <w:tcPr>
            <w:tcW w:w="0" w:type="auto"/>
            <w:tcBorders>
              <w:top w:val="single" w:sz="4" w:space="0" w:color="auto"/>
              <w:left w:val="single" w:sz="4" w:space="0" w:color="auto"/>
              <w:bottom w:val="single" w:sz="4" w:space="0" w:color="auto"/>
              <w:right w:val="single" w:sz="4" w:space="0" w:color="auto"/>
            </w:tcBorders>
            <w:shd w:val="clear" w:color="000000" w:fill="D6E3BC"/>
            <w:vAlign w:val="center"/>
            <w:hideMark/>
          </w:tcPr>
          <w:p w:rsidR="00881054" w:rsidRPr="00AB5A54" w:rsidRDefault="00881054" w:rsidP="002D57B5">
            <w:pPr>
              <w:jc w:val="center"/>
              <w:rPr>
                <w:rFonts w:ascii="Arial" w:hAnsi="Arial" w:cs="Arial"/>
                <w:b/>
                <w:bCs/>
                <w:sz w:val="18"/>
                <w:szCs w:val="18"/>
              </w:rPr>
            </w:pPr>
            <w:r w:rsidRPr="00AB5A54">
              <w:rPr>
                <w:rFonts w:ascii="Arial" w:hAnsi="Arial" w:cs="Arial"/>
                <w:b/>
                <w:bCs/>
                <w:sz w:val="18"/>
                <w:szCs w:val="18"/>
              </w:rPr>
              <w:t>Územie NUTS III</w:t>
            </w:r>
          </w:p>
        </w:tc>
        <w:tc>
          <w:tcPr>
            <w:tcW w:w="0" w:type="auto"/>
            <w:tcBorders>
              <w:top w:val="single" w:sz="4" w:space="0" w:color="auto"/>
              <w:left w:val="nil"/>
              <w:bottom w:val="single" w:sz="4" w:space="0" w:color="auto"/>
              <w:right w:val="single" w:sz="4" w:space="0" w:color="auto"/>
            </w:tcBorders>
            <w:shd w:val="clear" w:color="000000" w:fill="D6E3BC"/>
            <w:vAlign w:val="center"/>
            <w:hideMark/>
          </w:tcPr>
          <w:p w:rsidR="00881054" w:rsidRPr="00AB5A54" w:rsidRDefault="00881054" w:rsidP="002D57B5">
            <w:pPr>
              <w:jc w:val="center"/>
              <w:rPr>
                <w:rFonts w:ascii="Arial" w:hAnsi="Arial" w:cs="Arial"/>
                <w:b/>
                <w:bCs/>
                <w:sz w:val="18"/>
                <w:szCs w:val="18"/>
              </w:rPr>
            </w:pPr>
            <w:r w:rsidRPr="00AB5A54">
              <w:rPr>
                <w:rFonts w:ascii="Arial" w:hAnsi="Arial" w:cs="Arial"/>
                <w:b/>
                <w:bCs/>
                <w:sz w:val="18"/>
                <w:szCs w:val="18"/>
              </w:rPr>
              <w:t>Počet zazmluvnených projektov celkovo</w:t>
            </w:r>
          </w:p>
        </w:tc>
        <w:tc>
          <w:tcPr>
            <w:tcW w:w="0" w:type="auto"/>
            <w:tcBorders>
              <w:top w:val="single" w:sz="4" w:space="0" w:color="auto"/>
              <w:left w:val="nil"/>
              <w:bottom w:val="single" w:sz="4" w:space="0" w:color="auto"/>
              <w:right w:val="single" w:sz="4" w:space="0" w:color="auto"/>
            </w:tcBorders>
            <w:shd w:val="clear" w:color="000000" w:fill="D6E3BC"/>
            <w:vAlign w:val="center"/>
            <w:hideMark/>
          </w:tcPr>
          <w:p w:rsidR="00881054" w:rsidRPr="00AB5A54" w:rsidRDefault="00881054" w:rsidP="002D57B5">
            <w:pPr>
              <w:jc w:val="center"/>
              <w:rPr>
                <w:rFonts w:ascii="Arial" w:hAnsi="Arial" w:cs="Arial"/>
                <w:b/>
                <w:bCs/>
                <w:sz w:val="18"/>
                <w:szCs w:val="18"/>
              </w:rPr>
            </w:pPr>
            <w:r w:rsidRPr="00AB5A54">
              <w:rPr>
                <w:rFonts w:ascii="Arial" w:hAnsi="Arial" w:cs="Arial"/>
                <w:b/>
                <w:bCs/>
                <w:sz w:val="18"/>
                <w:szCs w:val="18"/>
              </w:rPr>
              <w:t>Celková výška zazmluvnených prostriedkov v €  (EU zdroje)</w:t>
            </w:r>
          </w:p>
        </w:tc>
        <w:tc>
          <w:tcPr>
            <w:tcW w:w="0" w:type="auto"/>
            <w:tcBorders>
              <w:top w:val="single" w:sz="4" w:space="0" w:color="auto"/>
              <w:left w:val="nil"/>
              <w:bottom w:val="single" w:sz="4" w:space="0" w:color="auto"/>
              <w:right w:val="single" w:sz="4" w:space="0" w:color="auto"/>
            </w:tcBorders>
            <w:shd w:val="clear" w:color="000000" w:fill="D6E3BC"/>
            <w:vAlign w:val="center"/>
            <w:hideMark/>
          </w:tcPr>
          <w:p w:rsidR="00881054" w:rsidRPr="00AB5A54" w:rsidRDefault="00881054" w:rsidP="002D57B5">
            <w:pPr>
              <w:jc w:val="center"/>
              <w:rPr>
                <w:rFonts w:ascii="Arial" w:hAnsi="Arial" w:cs="Arial"/>
                <w:b/>
                <w:bCs/>
                <w:sz w:val="18"/>
                <w:szCs w:val="18"/>
              </w:rPr>
            </w:pPr>
            <w:r w:rsidRPr="00AB5A54">
              <w:rPr>
                <w:rFonts w:ascii="Arial" w:hAnsi="Arial" w:cs="Arial"/>
                <w:b/>
                <w:bCs/>
                <w:sz w:val="18"/>
                <w:szCs w:val="18"/>
              </w:rPr>
              <w:t>Počet zazmluvnených projektov s príspevkom HP MRK</w:t>
            </w:r>
          </w:p>
        </w:tc>
        <w:tc>
          <w:tcPr>
            <w:tcW w:w="0" w:type="auto"/>
            <w:tcBorders>
              <w:top w:val="single" w:sz="4" w:space="0" w:color="auto"/>
              <w:left w:val="nil"/>
              <w:bottom w:val="single" w:sz="4" w:space="0" w:color="auto"/>
              <w:right w:val="single" w:sz="4" w:space="0" w:color="auto"/>
            </w:tcBorders>
            <w:shd w:val="clear" w:color="000000" w:fill="D6E3BC"/>
            <w:vAlign w:val="center"/>
            <w:hideMark/>
          </w:tcPr>
          <w:p w:rsidR="00881054" w:rsidRPr="00AB5A54" w:rsidRDefault="00881054" w:rsidP="002D57B5">
            <w:pPr>
              <w:jc w:val="center"/>
              <w:rPr>
                <w:rFonts w:ascii="Arial" w:hAnsi="Arial" w:cs="Arial"/>
                <w:b/>
                <w:bCs/>
                <w:sz w:val="18"/>
                <w:szCs w:val="18"/>
              </w:rPr>
            </w:pPr>
            <w:r w:rsidRPr="00AB5A54">
              <w:rPr>
                <w:rFonts w:ascii="Arial" w:hAnsi="Arial" w:cs="Arial"/>
                <w:b/>
                <w:bCs/>
                <w:sz w:val="18"/>
                <w:szCs w:val="18"/>
              </w:rPr>
              <w:t>Výška zazmluvnených prostriedkov v € s príspevkom HP MRK (EU zdroje)</w:t>
            </w:r>
          </w:p>
        </w:tc>
        <w:tc>
          <w:tcPr>
            <w:tcW w:w="0" w:type="auto"/>
            <w:tcBorders>
              <w:top w:val="single" w:sz="4" w:space="0" w:color="auto"/>
              <w:left w:val="nil"/>
              <w:bottom w:val="single" w:sz="4" w:space="0" w:color="auto"/>
              <w:right w:val="single" w:sz="4" w:space="0" w:color="auto"/>
            </w:tcBorders>
            <w:shd w:val="clear" w:color="000000" w:fill="D6E3BC"/>
            <w:vAlign w:val="center"/>
            <w:hideMark/>
          </w:tcPr>
          <w:p w:rsidR="00881054" w:rsidRPr="00AB5A54" w:rsidRDefault="00881054" w:rsidP="002D57B5">
            <w:pPr>
              <w:jc w:val="center"/>
              <w:rPr>
                <w:rFonts w:ascii="Arial" w:hAnsi="Arial" w:cs="Arial"/>
                <w:b/>
                <w:bCs/>
                <w:sz w:val="18"/>
                <w:szCs w:val="18"/>
              </w:rPr>
            </w:pPr>
            <w:r w:rsidRPr="00AB5A54">
              <w:rPr>
                <w:rFonts w:ascii="Arial" w:hAnsi="Arial" w:cs="Arial"/>
                <w:b/>
                <w:bCs/>
                <w:sz w:val="18"/>
                <w:szCs w:val="18"/>
              </w:rPr>
              <w:t>% zazmluvnenia k HP MRK z celkového objemu zazmluvnených prostriedkov</w:t>
            </w:r>
          </w:p>
        </w:tc>
      </w:tr>
      <w:tr w:rsidR="00881054" w:rsidRPr="009B5AA1" w:rsidTr="002D57B5">
        <w:trPr>
          <w:trHeight w:val="555"/>
        </w:trPr>
        <w:tc>
          <w:tcPr>
            <w:tcW w:w="0" w:type="auto"/>
            <w:tcBorders>
              <w:top w:val="single" w:sz="4" w:space="0" w:color="auto"/>
              <w:left w:val="single" w:sz="4" w:space="0" w:color="auto"/>
              <w:bottom w:val="single" w:sz="4" w:space="0" w:color="auto"/>
              <w:right w:val="single" w:sz="4" w:space="0" w:color="auto"/>
            </w:tcBorders>
            <w:shd w:val="clear" w:color="000000" w:fill="EAF1DD"/>
            <w:vAlign w:val="center"/>
            <w:hideMark/>
          </w:tcPr>
          <w:p w:rsidR="00881054" w:rsidRPr="00AB5A54" w:rsidRDefault="00881054" w:rsidP="002D57B5">
            <w:pPr>
              <w:jc w:val="center"/>
              <w:rPr>
                <w:rFonts w:ascii="Arial" w:hAnsi="Arial" w:cs="Arial"/>
                <w:sz w:val="18"/>
                <w:szCs w:val="18"/>
              </w:rPr>
            </w:pPr>
            <w:r w:rsidRPr="00AB5A54">
              <w:rPr>
                <w:rFonts w:ascii="Arial" w:hAnsi="Arial" w:cs="Arial"/>
                <w:sz w:val="18"/>
                <w:szCs w:val="18"/>
              </w:rPr>
              <w:t>A</w:t>
            </w:r>
          </w:p>
        </w:tc>
        <w:tc>
          <w:tcPr>
            <w:tcW w:w="0" w:type="auto"/>
            <w:tcBorders>
              <w:top w:val="single" w:sz="4" w:space="0" w:color="auto"/>
              <w:left w:val="nil"/>
              <w:bottom w:val="single" w:sz="4" w:space="0" w:color="auto"/>
              <w:right w:val="single" w:sz="4" w:space="0" w:color="auto"/>
            </w:tcBorders>
            <w:shd w:val="clear" w:color="000000" w:fill="EAF1DD"/>
            <w:vAlign w:val="center"/>
            <w:hideMark/>
          </w:tcPr>
          <w:p w:rsidR="00881054" w:rsidRPr="00AB5A54" w:rsidRDefault="00881054" w:rsidP="002D57B5">
            <w:pPr>
              <w:jc w:val="center"/>
              <w:rPr>
                <w:rFonts w:ascii="Arial" w:hAnsi="Arial" w:cs="Arial"/>
                <w:sz w:val="18"/>
                <w:szCs w:val="18"/>
              </w:rPr>
            </w:pPr>
            <w:r w:rsidRPr="00AB5A54">
              <w:rPr>
                <w:rFonts w:ascii="Arial" w:hAnsi="Arial" w:cs="Arial"/>
                <w:sz w:val="18"/>
                <w:szCs w:val="18"/>
              </w:rPr>
              <w:t>B</w:t>
            </w:r>
          </w:p>
        </w:tc>
        <w:tc>
          <w:tcPr>
            <w:tcW w:w="0" w:type="auto"/>
            <w:tcBorders>
              <w:top w:val="single" w:sz="4" w:space="0" w:color="auto"/>
              <w:left w:val="nil"/>
              <w:bottom w:val="single" w:sz="4" w:space="0" w:color="auto"/>
              <w:right w:val="single" w:sz="4" w:space="0" w:color="auto"/>
            </w:tcBorders>
            <w:shd w:val="clear" w:color="000000" w:fill="EAF1DD"/>
            <w:vAlign w:val="center"/>
            <w:hideMark/>
          </w:tcPr>
          <w:p w:rsidR="00881054" w:rsidRPr="00AB5A54" w:rsidRDefault="00881054" w:rsidP="002D57B5">
            <w:pPr>
              <w:jc w:val="center"/>
              <w:rPr>
                <w:rFonts w:ascii="Arial" w:hAnsi="Arial" w:cs="Arial"/>
                <w:sz w:val="18"/>
                <w:szCs w:val="18"/>
              </w:rPr>
            </w:pPr>
            <w:r w:rsidRPr="00AB5A54">
              <w:rPr>
                <w:rFonts w:ascii="Arial" w:hAnsi="Arial" w:cs="Arial"/>
                <w:sz w:val="18"/>
                <w:szCs w:val="18"/>
              </w:rPr>
              <w:t>∑C=D v tabuľke č. 7+B v tabuľke č. 8</w:t>
            </w:r>
          </w:p>
        </w:tc>
        <w:tc>
          <w:tcPr>
            <w:tcW w:w="0" w:type="auto"/>
            <w:tcBorders>
              <w:top w:val="single" w:sz="4" w:space="0" w:color="auto"/>
              <w:left w:val="nil"/>
              <w:bottom w:val="single" w:sz="4" w:space="0" w:color="auto"/>
              <w:right w:val="single" w:sz="4" w:space="0" w:color="auto"/>
            </w:tcBorders>
            <w:shd w:val="clear" w:color="000000" w:fill="EAF1DD"/>
            <w:vAlign w:val="center"/>
            <w:hideMark/>
          </w:tcPr>
          <w:p w:rsidR="00881054" w:rsidRPr="00AB5A54" w:rsidRDefault="00881054" w:rsidP="002D57B5">
            <w:pPr>
              <w:jc w:val="center"/>
              <w:rPr>
                <w:rFonts w:ascii="Arial" w:hAnsi="Arial" w:cs="Arial"/>
                <w:sz w:val="18"/>
                <w:szCs w:val="18"/>
              </w:rPr>
            </w:pPr>
            <w:r w:rsidRPr="00AB5A54">
              <w:rPr>
                <w:rFonts w:ascii="Arial" w:hAnsi="Arial" w:cs="Arial"/>
                <w:sz w:val="18"/>
                <w:szCs w:val="18"/>
              </w:rPr>
              <w:t>D</w:t>
            </w:r>
          </w:p>
        </w:tc>
        <w:tc>
          <w:tcPr>
            <w:tcW w:w="0" w:type="auto"/>
            <w:tcBorders>
              <w:top w:val="single" w:sz="4" w:space="0" w:color="auto"/>
              <w:left w:val="nil"/>
              <w:bottom w:val="single" w:sz="4" w:space="0" w:color="auto"/>
              <w:right w:val="single" w:sz="4" w:space="0" w:color="auto"/>
            </w:tcBorders>
            <w:shd w:val="clear" w:color="000000" w:fill="EAF1DD"/>
            <w:vAlign w:val="center"/>
            <w:hideMark/>
          </w:tcPr>
          <w:p w:rsidR="00881054" w:rsidRPr="00AB5A54" w:rsidRDefault="00881054" w:rsidP="002D57B5">
            <w:pPr>
              <w:jc w:val="center"/>
              <w:rPr>
                <w:rFonts w:ascii="Arial" w:hAnsi="Arial" w:cs="Arial"/>
                <w:sz w:val="18"/>
                <w:szCs w:val="18"/>
              </w:rPr>
            </w:pPr>
            <w:r w:rsidRPr="00AB5A54">
              <w:rPr>
                <w:rFonts w:ascii="Arial" w:hAnsi="Arial" w:cs="Arial"/>
                <w:sz w:val="18"/>
                <w:szCs w:val="18"/>
              </w:rPr>
              <w:t>E</w:t>
            </w:r>
          </w:p>
        </w:tc>
        <w:tc>
          <w:tcPr>
            <w:tcW w:w="0" w:type="auto"/>
            <w:tcBorders>
              <w:top w:val="single" w:sz="4" w:space="0" w:color="auto"/>
              <w:left w:val="nil"/>
              <w:bottom w:val="single" w:sz="4" w:space="0" w:color="auto"/>
              <w:right w:val="single" w:sz="4" w:space="0" w:color="auto"/>
            </w:tcBorders>
            <w:shd w:val="clear" w:color="000000" w:fill="EAF1DD"/>
            <w:vAlign w:val="center"/>
            <w:hideMark/>
          </w:tcPr>
          <w:p w:rsidR="00881054" w:rsidRPr="00AB5A54" w:rsidRDefault="00881054" w:rsidP="002D57B5">
            <w:pPr>
              <w:jc w:val="center"/>
              <w:rPr>
                <w:rFonts w:ascii="Arial" w:hAnsi="Arial" w:cs="Arial"/>
                <w:sz w:val="18"/>
                <w:szCs w:val="18"/>
              </w:rPr>
            </w:pPr>
            <w:r w:rsidRPr="00AB5A54">
              <w:rPr>
                <w:rFonts w:ascii="Arial" w:hAnsi="Arial" w:cs="Arial"/>
                <w:sz w:val="18"/>
                <w:szCs w:val="18"/>
              </w:rPr>
              <w:t>F=E/C</w:t>
            </w:r>
          </w:p>
        </w:tc>
      </w:tr>
      <w:tr w:rsidR="00881054" w:rsidRPr="009B5AA1" w:rsidTr="002D57B5">
        <w:trPr>
          <w:trHeight w:val="345"/>
        </w:trPr>
        <w:tc>
          <w:tcPr>
            <w:tcW w:w="0" w:type="auto"/>
            <w:tcBorders>
              <w:top w:val="nil"/>
              <w:left w:val="single" w:sz="4" w:space="0" w:color="auto"/>
              <w:bottom w:val="single" w:sz="4" w:space="0" w:color="auto"/>
              <w:right w:val="single" w:sz="4" w:space="0" w:color="auto"/>
            </w:tcBorders>
            <w:shd w:val="clear" w:color="auto" w:fill="auto"/>
            <w:vAlign w:val="center"/>
            <w:hideMark/>
          </w:tcPr>
          <w:p w:rsidR="00881054" w:rsidRPr="00AB5A54" w:rsidRDefault="00881054" w:rsidP="002D57B5">
            <w:pPr>
              <w:jc w:val="center"/>
              <w:rPr>
                <w:rFonts w:ascii="Arial" w:hAnsi="Arial" w:cs="Arial"/>
                <w:sz w:val="18"/>
                <w:szCs w:val="18"/>
              </w:rPr>
            </w:pPr>
            <w:r w:rsidRPr="00AB5A54">
              <w:rPr>
                <w:rFonts w:ascii="Arial" w:hAnsi="Arial" w:cs="Arial"/>
                <w:sz w:val="18"/>
                <w:szCs w:val="18"/>
              </w:rPr>
              <w:t>Bratislavský</w:t>
            </w:r>
          </w:p>
        </w:tc>
        <w:tc>
          <w:tcPr>
            <w:tcW w:w="0" w:type="auto"/>
            <w:tcBorders>
              <w:top w:val="nil"/>
              <w:left w:val="nil"/>
              <w:bottom w:val="single" w:sz="4" w:space="0" w:color="auto"/>
              <w:right w:val="single" w:sz="4" w:space="0" w:color="auto"/>
            </w:tcBorders>
            <w:shd w:val="clear" w:color="auto" w:fill="auto"/>
            <w:vAlign w:val="center"/>
            <w:hideMark/>
          </w:tcPr>
          <w:p w:rsidR="00881054" w:rsidRPr="00AB5A54" w:rsidRDefault="00881054" w:rsidP="002D57B5">
            <w:pPr>
              <w:jc w:val="center"/>
              <w:rPr>
                <w:rFonts w:ascii="Arial" w:hAnsi="Arial" w:cs="Arial"/>
                <w:sz w:val="18"/>
                <w:szCs w:val="18"/>
              </w:rPr>
            </w:pPr>
            <w:r w:rsidRPr="00AB5A54">
              <w:rPr>
                <w:rFonts w:ascii="Arial" w:hAnsi="Arial" w:cs="Arial"/>
                <w:sz w:val="18"/>
                <w:szCs w:val="18"/>
              </w:rPr>
              <w:t>24</w:t>
            </w:r>
          </w:p>
        </w:tc>
        <w:tc>
          <w:tcPr>
            <w:tcW w:w="0" w:type="auto"/>
            <w:tcBorders>
              <w:top w:val="nil"/>
              <w:left w:val="nil"/>
              <w:bottom w:val="single" w:sz="4" w:space="0" w:color="auto"/>
              <w:right w:val="single" w:sz="4" w:space="0" w:color="auto"/>
            </w:tcBorders>
            <w:shd w:val="clear" w:color="auto" w:fill="auto"/>
            <w:vAlign w:val="center"/>
            <w:hideMark/>
          </w:tcPr>
          <w:p w:rsidR="00881054" w:rsidRPr="00AB5A54" w:rsidRDefault="00881054" w:rsidP="002D57B5">
            <w:pPr>
              <w:jc w:val="center"/>
              <w:rPr>
                <w:rFonts w:ascii="Arial" w:hAnsi="Arial" w:cs="Arial"/>
                <w:sz w:val="18"/>
                <w:szCs w:val="18"/>
              </w:rPr>
            </w:pPr>
            <w:r w:rsidRPr="00AB5A54">
              <w:rPr>
                <w:rFonts w:ascii="Arial" w:hAnsi="Arial" w:cs="Arial"/>
                <w:sz w:val="18"/>
                <w:szCs w:val="18"/>
              </w:rPr>
              <w:t>91 886 795</w:t>
            </w:r>
          </w:p>
        </w:tc>
        <w:tc>
          <w:tcPr>
            <w:tcW w:w="0" w:type="auto"/>
            <w:tcBorders>
              <w:top w:val="nil"/>
              <w:left w:val="nil"/>
              <w:bottom w:val="single" w:sz="4" w:space="0" w:color="auto"/>
              <w:right w:val="single" w:sz="4" w:space="0" w:color="auto"/>
            </w:tcBorders>
            <w:shd w:val="clear" w:color="auto" w:fill="auto"/>
            <w:vAlign w:val="center"/>
            <w:hideMark/>
          </w:tcPr>
          <w:p w:rsidR="00881054" w:rsidRPr="00AB5A54" w:rsidRDefault="00881054" w:rsidP="002D57B5">
            <w:pPr>
              <w:jc w:val="center"/>
              <w:rPr>
                <w:rFonts w:ascii="Arial" w:hAnsi="Arial" w:cs="Arial"/>
                <w:sz w:val="18"/>
                <w:szCs w:val="18"/>
              </w:rPr>
            </w:pPr>
            <w:r w:rsidRPr="00AB5A54">
              <w:rPr>
                <w:rFonts w:ascii="Arial" w:hAnsi="Arial" w:cs="Arial"/>
                <w:sz w:val="18"/>
                <w:szCs w:val="18"/>
              </w:rPr>
              <w:t>0</w:t>
            </w:r>
          </w:p>
        </w:tc>
        <w:tc>
          <w:tcPr>
            <w:tcW w:w="0" w:type="auto"/>
            <w:tcBorders>
              <w:top w:val="nil"/>
              <w:left w:val="nil"/>
              <w:bottom w:val="single" w:sz="4" w:space="0" w:color="auto"/>
              <w:right w:val="single" w:sz="4" w:space="0" w:color="auto"/>
            </w:tcBorders>
            <w:shd w:val="clear" w:color="auto" w:fill="auto"/>
            <w:vAlign w:val="center"/>
            <w:hideMark/>
          </w:tcPr>
          <w:p w:rsidR="00881054" w:rsidRPr="00AB5A54" w:rsidRDefault="00881054" w:rsidP="002D57B5">
            <w:pPr>
              <w:jc w:val="center"/>
              <w:rPr>
                <w:rFonts w:ascii="Arial" w:hAnsi="Arial" w:cs="Arial"/>
                <w:sz w:val="18"/>
                <w:szCs w:val="18"/>
              </w:rPr>
            </w:pPr>
            <w:r w:rsidRPr="00AB5A54">
              <w:rPr>
                <w:rFonts w:ascii="Arial" w:hAnsi="Arial" w:cs="Arial"/>
                <w:sz w:val="18"/>
                <w:szCs w:val="18"/>
              </w:rPr>
              <w:t>0</w:t>
            </w:r>
          </w:p>
        </w:tc>
        <w:tc>
          <w:tcPr>
            <w:tcW w:w="0" w:type="auto"/>
            <w:tcBorders>
              <w:top w:val="nil"/>
              <w:left w:val="nil"/>
              <w:bottom w:val="single" w:sz="4" w:space="0" w:color="auto"/>
              <w:right w:val="single" w:sz="4" w:space="0" w:color="auto"/>
            </w:tcBorders>
            <w:shd w:val="clear" w:color="auto" w:fill="auto"/>
            <w:vAlign w:val="center"/>
            <w:hideMark/>
          </w:tcPr>
          <w:p w:rsidR="00881054" w:rsidRPr="00AB5A54" w:rsidRDefault="00881054" w:rsidP="002D57B5">
            <w:pPr>
              <w:jc w:val="center"/>
              <w:rPr>
                <w:rFonts w:ascii="Arial" w:hAnsi="Arial" w:cs="Arial"/>
                <w:sz w:val="18"/>
                <w:szCs w:val="18"/>
              </w:rPr>
            </w:pPr>
            <w:r w:rsidRPr="00AB5A54">
              <w:rPr>
                <w:rFonts w:ascii="Arial" w:hAnsi="Arial" w:cs="Arial"/>
                <w:sz w:val="18"/>
                <w:szCs w:val="18"/>
              </w:rPr>
              <w:t>0,00%</w:t>
            </w:r>
          </w:p>
        </w:tc>
      </w:tr>
      <w:tr w:rsidR="00881054" w:rsidRPr="009B5AA1" w:rsidTr="002D57B5">
        <w:trPr>
          <w:trHeight w:val="434"/>
        </w:trPr>
        <w:tc>
          <w:tcPr>
            <w:tcW w:w="0" w:type="auto"/>
            <w:tcBorders>
              <w:top w:val="nil"/>
              <w:left w:val="single" w:sz="4" w:space="0" w:color="auto"/>
              <w:bottom w:val="single" w:sz="4" w:space="0" w:color="auto"/>
              <w:right w:val="single" w:sz="4" w:space="0" w:color="auto"/>
            </w:tcBorders>
            <w:shd w:val="clear" w:color="auto" w:fill="auto"/>
            <w:vAlign w:val="center"/>
            <w:hideMark/>
          </w:tcPr>
          <w:p w:rsidR="00881054" w:rsidRPr="00AB5A54" w:rsidRDefault="00881054" w:rsidP="002D57B5">
            <w:pPr>
              <w:jc w:val="center"/>
              <w:rPr>
                <w:rFonts w:ascii="Arial" w:hAnsi="Arial" w:cs="Arial"/>
                <w:sz w:val="18"/>
                <w:szCs w:val="18"/>
              </w:rPr>
            </w:pPr>
            <w:r w:rsidRPr="00AB5A54">
              <w:rPr>
                <w:rFonts w:ascii="Arial" w:hAnsi="Arial" w:cs="Arial"/>
                <w:sz w:val="18"/>
                <w:szCs w:val="18"/>
              </w:rPr>
              <w:t>Trnavský</w:t>
            </w:r>
          </w:p>
        </w:tc>
        <w:tc>
          <w:tcPr>
            <w:tcW w:w="0" w:type="auto"/>
            <w:tcBorders>
              <w:top w:val="nil"/>
              <w:left w:val="nil"/>
              <w:bottom w:val="single" w:sz="4" w:space="0" w:color="auto"/>
              <w:right w:val="single" w:sz="4" w:space="0" w:color="auto"/>
            </w:tcBorders>
            <w:shd w:val="clear" w:color="auto" w:fill="auto"/>
            <w:vAlign w:val="center"/>
            <w:hideMark/>
          </w:tcPr>
          <w:p w:rsidR="00881054" w:rsidRPr="00AB5A54" w:rsidRDefault="00881054" w:rsidP="002D57B5">
            <w:pPr>
              <w:jc w:val="center"/>
              <w:rPr>
                <w:rFonts w:ascii="Arial" w:hAnsi="Arial" w:cs="Arial"/>
                <w:sz w:val="18"/>
                <w:szCs w:val="18"/>
              </w:rPr>
            </w:pPr>
            <w:r w:rsidRPr="00AB5A54">
              <w:rPr>
                <w:rFonts w:ascii="Arial" w:hAnsi="Arial" w:cs="Arial"/>
                <w:sz w:val="18"/>
                <w:szCs w:val="18"/>
              </w:rPr>
              <w:t>61</w:t>
            </w:r>
          </w:p>
        </w:tc>
        <w:tc>
          <w:tcPr>
            <w:tcW w:w="0" w:type="auto"/>
            <w:tcBorders>
              <w:top w:val="nil"/>
              <w:left w:val="nil"/>
              <w:bottom w:val="single" w:sz="4" w:space="0" w:color="auto"/>
              <w:right w:val="single" w:sz="4" w:space="0" w:color="auto"/>
            </w:tcBorders>
            <w:shd w:val="clear" w:color="auto" w:fill="auto"/>
            <w:vAlign w:val="center"/>
            <w:hideMark/>
          </w:tcPr>
          <w:p w:rsidR="00881054" w:rsidRPr="00AB5A54" w:rsidRDefault="00881054" w:rsidP="002D57B5">
            <w:pPr>
              <w:jc w:val="center"/>
              <w:rPr>
                <w:rFonts w:ascii="Arial" w:hAnsi="Arial" w:cs="Arial"/>
                <w:sz w:val="18"/>
                <w:szCs w:val="18"/>
              </w:rPr>
            </w:pPr>
            <w:r w:rsidRPr="00AB5A54">
              <w:rPr>
                <w:rFonts w:ascii="Arial" w:hAnsi="Arial" w:cs="Arial"/>
                <w:sz w:val="18"/>
                <w:szCs w:val="18"/>
              </w:rPr>
              <w:t>134 264 173</w:t>
            </w:r>
          </w:p>
        </w:tc>
        <w:tc>
          <w:tcPr>
            <w:tcW w:w="0" w:type="auto"/>
            <w:tcBorders>
              <w:top w:val="nil"/>
              <w:left w:val="nil"/>
              <w:bottom w:val="single" w:sz="4" w:space="0" w:color="auto"/>
              <w:right w:val="single" w:sz="4" w:space="0" w:color="auto"/>
            </w:tcBorders>
            <w:shd w:val="clear" w:color="auto" w:fill="auto"/>
            <w:vAlign w:val="center"/>
            <w:hideMark/>
          </w:tcPr>
          <w:p w:rsidR="00881054" w:rsidRPr="00AB5A54" w:rsidRDefault="00881054" w:rsidP="002D57B5">
            <w:pPr>
              <w:jc w:val="center"/>
              <w:rPr>
                <w:rFonts w:ascii="Arial" w:hAnsi="Arial" w:cs="Arial"/>
                <w:sz w:val="18"/>
                <w:szCs w:val="18"/>
              </w:rPr>
            </w:pPr>
            <w:r w:rsidRPr="00AB5A54">
              <w:rPr>
                <w:rFonts w:ascii="Arial" w:hAnsi="Arial" w:cs="Arial"/>
                <w:sz w:val="18"/>
                <w:szCs w:val="18"/>
              </w:rPr>
              <w:t>0</w:t>
            </w:r>
          </w:p>
        </w:tc>
        <w:tc>
          <w:tcPr>
            <w:tcW w:w="0" w:type="auto"/>
            <w:tcBorders>
              <w:top w:val="nil"/>
              <w:left w:val="nil"/>
              <w:bottom w:val="single" w:sz="4" w:space="0" w:color="auto"/>
              <w:right w:val="single" w:sz="4" w:space="0" w:color="auto"/>
            </w:tcBorders>
            <w:shd w:val="clear" w:color="auto" w:fill="auto"/>
            <w:vAlign w:val="center"/>
            <w:hideMark/>
          </w:tcPr>
          <w:p w:rsidR="00881054" w:rsidRPr="00AB5A54" w:rsidRDefault="00881054" w:rsidP="002D57B5">
            <w:pPr>
              <w:jc w:val="center"/>
              <w:rPr>
                <w:rFonts w:ascii="Arial" w:hAnsi="Arial" w:cs="Arial"/>
                <w:sz w:val="18"/>
                <w:szCs w:val="18"/>
              </w:rPr>
            </w:pPr>
            <w:r w:rsidRPr="00AB5A54">
              <w:rPr>
                <w:rFonts w:ascii="Arial" w:hAnsi="Arial" w:cs="Arial"/>
                <w:sz w:val="18"/>
                <w:szCs w:val="18"/>
              </w:rPr>
              <w:t>0</w:t>
            </w:r>
          </w:p>
        </w:tc>
        <w:tc>
          <w:tcPr>
            <w:tcW w:w="0" w:type="auto"/>
            <w:tcBorders>
              <w:top w:val="nil"/>
              <w:left w:val="nil"/>
              <w:bottom w:val="single" w:sz="4" w:space="0" w:color="auto"/>
              <w:right w:val="single" w:sz="4" w:space="0" w:color="auto"/>
            </w:tcBorders>
            <w:shd w:val="clear" w:color="auto" w:fill="auto"/>
            <w:vAlign w:val="center"/>
            <w:hideMark/>
          </w:tcPr>
          <w:p w:rsidR="00881054" w:rsidRPr="00AB5A54" w:rsidRDefault="00881054" w:rsidP="002D57B5">
            <w:pPr>
              <w:jc w:val="center"/>
              <w:rPr>
                <w:rFonts w:ascii="Arial" w:hAnsi="Arial" w:cs="Arial"/>
                <w:sz w:val="18"/>
                <w:szCs w:val="18"/>
              </w:rPr>
            </w:pPr>
            <w:r w:rsidRPr="00AB5A54">
              <w:rPr>
                <w:rFonts w:ascii="Arial" w:hAnsi="Arial" w:cs="Arial"/>
                <w:sz w:val="18"/>
                <w:szCs w:val="18"/>
              </w:rPr>
              <w:t>0,00%</w:t>
            </w:r>
          </w:p>
        </w:tc>
      </w:tr>
      <w:tr w:rsidR="00881054" w:rsidRPr="009B5AA1" w:rsidTr="002D57B5">
        <w:trPr>
          <w:trHeight w:val="412"/>
        </w:trPr>
        <w:tc>
          <w:tcPr>
            <w:tcW w:w="0" w:type="auto"/>
            <w:tcBorders>
              <w:top w:val="nil"/>
              <w:left w:val="single" w:sz="4" w:space="0" w:color="auto"/>
              <w:bottom w:val="single" w:sz="4" w:space="0" w:color="auto"/>
              <w:right w:val="single" w:sz="4" w:space="0" w:color="auto"/>
            </w:tcBorders>
            <w:shd w:val="clear" w:color="auto" w:fill="auto"/>
            <w:vAlign w:val="center"/>
            <w:hideMark/>
          </w:tcPr>
          <w:p w:rsidR="00881054" w:rsidRPr="00AB5A54" w:rsidRDefault="00881054" w:rsidP="002D57B5">
            <w:pPr>
              <w:jc w:val="center"/>
              <w:rPr>
                <w:rFonts w:ascii="Arial" w:hAnsi="Arial" w:cs="Arial"/>
                <w:sz w:val="18"/>
                <w:szCs w:val="18"/>
              </w:rPr>
            </w:pPr>
            <w:r w:rsidRPr="00AB5A54">
              <w:rPr>
                <w:rFonts w:ascii="Arial" w:hAnsi="Arial" w:cs="Arial"/>
                <w:sz w:val="18"/>
                <w:szCs w:val="18"/>
              </w:rPr>
              <w:t>Trenčiansky</w:t>
            </w:r>
          </w:p>
        </w:tc>
        <w:tc>
          <w:tcPr>
            <w:tcW w:w="0" w:type="auto"/>
            <w:tcBorders>
              <w:top w:val="nil"/>
              <w:left w:val="nil"/>
              <w:bottom w:val="single" w:sz="4" w:space="0" w:color="auto"/>
              <w:right w:val="single" w:sz="4" w:space="0" w:color="auto"/>
            </w:tcBorders>
            <w:shd w:val="clear" w:color="auto" w:fill="auto"/>
            <w:vAlign w:val="center"/>
            <w:hideMark/>
          </w:tcPr>
          <w:p w:rsidR="00881054" w:rsidRPr="00AB5A54" w:rsidRDefault="00881054" w:rsidP="002D57B5">
            <w:pPr>
              <w:jc w:val="center"/>
              <w:rPr>
                <w:rFonts w:ascii="Arial" w:hAnsi="Arial" w:cs="Arial"/>
                <w:sz w:val="18"/>
                <w:szCs w:val="18"/>
              </w:rPr>
            </w:pPr>
            <w:r w:rsidRPr="00AB5A54">
              <w:rPr>
                <w:rFonts w:ascii="Arial" w:hAnsi="Arial" w:cs="Arial"/>
                <w:sz w:val="18"/>
                <w:szCs w:val="18"/>
              </w:rPr>
              <w:t>58</w:t>
            </w:r>
          </w:p>
        </w:tc>
        <w:tc>
          <w:tcPr>
            <w:tcW w:w="0" w:type="auto"/>
            <w:tcBorders>
              <w:top w:val="nil"/>
              <w:left w:val="nil"/>
              <w:bottom w:val="single" w:sz="4" w:space="0" w:color="auto"/>
              <w:right w:val="single" w:sz="4" w:space="0" w:color="auto"/>
            </w:tcBorders>
            <w:shd w:val="clear" w:color="auto" w:fill="auto"/>
            <w:vAlign w:val="center"/>
            <w:hideMark/>
          </w:tcPr>
          <w:p w:rsidR="00881054" w:rsidRPr="00AB5A54" w:rsidRDefault="00881054" w:rsidP="002D57B5">
            <w:pPr>
              <w:jc w:val="center"/>
              <w:rPr>
                <w:rFonts w:ascii="Arial" w:hAnsi="Arial" w:cs="Arial"/>
                <w:sz w:val="18"/>
                <w:szCs w:val="18"/>
              </w:rPr>
            </w:pPr>
            <w:r w:rsidRPr="00AB5A54">
              <w:rPr>
                <w:rFonts w:ascii="Arial" w:hAnsi="Arial" w:cs="Arial"/>
                <w:sz w:val="18"/>
                <w:szCs w:val="18"/>
              </w:rPr>
              <w:t>158 781 106</w:t>
            </w:r>
          </w:p>
        </w:tc>
        <w:tc>
          <w:tcPr>
            <w:tcW w:w="0" w:type="auto"/>
            <w:tcBorders>
              <w:top w:val="nil"/>
              <w:left w:val="nil"/>
              <w:bottom w:val="single" w:sz="4" w:space="0" w:color="auto"/>
              <w:right w:val="single" w:sz="4" w:space="0" w:color="auto"/>
            </w:tcBorders>
            <w:shd w:val="clear" w:color="auto" w:fill="auto"/>
            <w:vAlign w:val="center"/>
            <w:hideMark/>
          </w:tcPr>
          <w:p w:rsidR="00881054" w:rsidRPr="00AB5A54" w:rsidRDefault="00881054" w:rsidP="002D57B5">
            <w:pPr>
              <w:jc w:val="center"/>
              <w:rPr>
                <w:rFonts w:ascii="Arial" w:hAnsi="Arial" w:cs="Arial"/>
                <w:sz w:val="18"/>
                <w:szCs w:val="18"/>
              </w:rPr>
            </w:pPr>
            <w:r w:rsidRPr="00AB5A54">
              <w:rPr>
                <w:rFonts w:ascii="Arial" w:hAnsi="Arial" w:cs="Arial"/>
                <w:sz w:val="18"/>
                <w:szCs w:val="18"/>
              </w:rPr>
              <w:t>0</w:t>
            </w:r>
          </w:p>
        </w:tc>
        <w:tc>
          <w:tcPr>
            <w:tcW w:w="0" w:type="auto"/>
            <w:tcBorders>
              <w:top w:val="nil"/>
              <w:left w:val="nil"/>
              <w:bottom w:val="single" w:sz="4" w:space="0" w:color="auto"/>
              <w:right w:val="single" w:sz="4" w:space="0" w:color="auto"/>
            </w:tcBorders>
            <w:shd w:val="clear" w:color="auto" w:fill="auto"/>
            <w:vAlign w:val="center"/>
            <w:hideMark/>
          </w:tcPr>
          <w:p w:rsidR="00881054" w:rsidRPr="00AB5A54" w:rsidRDefault="00881054" w:rsidP="002D57B5">
            <w:pPr>
              <w:jc w:val="center"/>
              <w:rPr>
                <w:rFonts w:ascii="Arial" w:hAnsi="Arial" w:cs="Arial"/>
                <w:sz w:val="18"/>
                <w:szCs w:val="18"/>
              </w:rPr>
            </w:pPr>
            <w:r w:rsidRPr="00AB5A54">
              <w:rPr>
                <w:rFonts w:ascii="Arial" w:hAnsi="Arial" w:cs="Arial"/>
                <w:sz w:val="18"/>
                <w:szCs w:val="18"/>
              </w:rPr>
              <w:t>0</w:t>
            </w:r>
          </w:p>
        </w:tc>
        <w:tc>
          <w:tcPr>
            <w:tcW w:w="0" w:type="auto"/>
            <w:tcBorders>
              <w:top w:val="nil"/>
              <w:left w:val="nil"/>
              <w:bottom w:val="single" w:sz="4" w:space="0" w:color="auto"/>
              <w:right w:val="single" w:sz="4" w:space="0" w:color="auto"/>
            </w:tcBorders>
            <w:shd w:val="clear" w:color="auto" w:fill="auto"/>
            <w:vAlign w:val="center"/>
            <w:hideMark/>
          </w:tcPr>
          <w:p w:rsidR="00881054" w:rsidRPr="00AB5A54" w:rsidRDefault="00881054" w:rsidP="002D57B5">
            <w:pPr>
              <w:jc w:val="center"/>
              <w:rPr>
                <w:rFonts w:ascii="Arial" w:hAnsi="Arial" w:cs="Arial"/>
                <w:sz w:val="18"/>
                <w:szCs w:val="18"/>
              </w:rPr>
            </w:pPr>
            <w:r w:rsidRPr="00AB5A54">
              <w:rPr>
                <w:rFonts w:ascii="Arial" w:hAnsi="Arial" w:cs="Arial"/>
                <w:sz w:val="18"/>
                <w:szCs w:val="18"/>
              </w:rPr>
              <w:t>0,00%</w:t>
            </w:r>
          </w:p>
        </w:tc>
      </w:tr>
      <w:tr w:rsidR="00881054" w:rsidRPr="009B5AA1" w:rsidTr="002D57B5">
        <w:trPr>
          <w:trHeight w:val="405"/>
        </w:trPr>
        <w:tc>
          <w:tcPr>
            <w:tcW w:w="0" w:type="auto"/>
            <w:tcBorders>
              <w:top w:val="nil"/>
              <w:left w:val="single" w:sz="4" w:space="0" w:color="auto"/>
              <w:bottom w:val="single" w:sz="4" w:space="0" w:color="auto"/>
              <w:right w:val="single" w:sz="4" w:space="0" w:color="auto"/>
            </w:tcBorders>
            <w:shd w:val="clear" w:color="auto" w:fill="auto"/>
            <w:vAlign w:val="center"/>
            <w:hideMark/>
          </w:tcPr>
          <w:p w:rsidR="00881054" w:rsidRPr="00AB5A54" w:rsidRDefault="00881054" w:rsidP="002D57B5">
            <w:pPr>
              <w:jc w:val="center"/>
              <w:rPr>
                <w:rFonts w:ascii="Arial" w:hAnsi="Arial" w:cs="Arial"/>
                <w:sz w:val="18"/>
                <w:szCs w:val="18"/>
              </w:rPr>
            </w:pPr>
            <w:r w:rsidRPr="00AB5A54">
              <w:rPr>
                <w:rFonts w:ascii="Arial" w:hAnsi="Arial" w:cs="Arial"/>
                <w:sz w:val="18"/>
                <w:szCs w:val="18"/>
              </w:rPr>
              <w:t>Nitriansky</w:t>
            </w:r>
          </w:p>
        </w:tc>
        <w:tc>
          <w:tcPr>
            <w:tcW w:w="0" w:type="auto"/>
            <w:tcBorders>
              <w:top w:val="nil"/>
              <w:left w:val="nil"/>
              <w:bottom w:val="single" w:sz="4" w:space="0" w:color="auto"/>
              <w:right w:val="single" w:sz="4" w:space="0" w:color="auto"/>
            </w:tcBorders>
            <w:shd w:val="clear" w:color="auto" w:fill="auto"/>
            <w:vAlign w:val="center"/>
            <w:hideMark/>
          </w:tcPr>
          <w:p w:rsidR="00881054" w:rsidRPr="00AB5A54" w:rsidRDefault="00881054" w:rsidP="002D57B5">
            <w:pPr>
              <w:jc w:val="center"/>
              <w:rPr>
                <w:rFonts w:ascii="Arial" w:hAnsi="Arial" w:cs="Arial"/>
                <w:sz w:val="18"/>
                <w:szCs w:val="18"/>
              </w:rPr>
            </w:pPr>
            <w:r w:rsidRPr="00AB5A54">
              <w:rPr>
                <w:rFonts w:ascii="Arial" w:hAnsi="Arial" w:cs="Arial"/>
                <w:sz w:val="18"/>
                <w:szCs w:val="18"/>
              </w:rPr>
              <w:t>58</w:t>
            </w:r>
          </w:p>
        </w:tc>
        <w:tc>
          <w:tcPr>
            <w:tcW w:w="0" w:type="auto"/>
            <w:tcBorders>
              <w:top w:val="nil"/>
              <w:left w:val="nil"/>
              <w:bottom w:val="single" w:sz="4" w:space="0" w:color="auto"/>
              <w:right w:val="single" w:sz="4" w:space="0" w:color="auto"/>
            </w:tcBorders>
            <w:shd w:val="clear" w:color="auto" w:fill="auto"/>
            <w:vAlign w:val="center"/>
            <w:hideMark/>
          </w:tcPr>
          <w:p w:rsidR="00881054" w:rsidRPr="00AB5A54" w:rsidRDefault="00881054" w:rsidP="002D57B5">
            <w:pPr>
              <w:jc w:val="center"/>
              <w:rPr>
                <w:rFonts w:ascii="Arial" w:hAnsi="Arial" w:cs="Arial"/>
                <w:sz w:val="18"/>
                <w:szCs w:val="18"/>
              </w:rPr>
            </w:pPr>
            <w:r w:rsidRPr="00AB5A54">
              <w:rPr>
                <w:rFonts w:ascii="Arial" w:hAnsi="Arial" w:cs="Arial"/>
                <w:sz w:val="18"/>
                <w:szCs w:val="18"/>
              </w:rPr>
              <w:t>135 965 100</w:t>
            </w:r>
          </w:p>
        </w:tc>
        <w:tc>
          <w:tcPr>
            <w:tcW w:w="0" w:type="auto"/>
            <w:tcBorders>
              <w:top w:val="nil"/>
              <w:left w:val="nil"/>
              <w:bottom w:val="single" w:sz="4" w:space="0" w:color="auto"/>
              <w:right w:val="single" w:sz="4" w:space="0" w:color="auto"/>
            </w:tcBorders>
            <w:shd w:val="clear" w:color="auto" w:fill="auto"/>
            <w:vAlign w:val="center"/>
            <w:hideMark/>
          </w:tcPr>
          <w:p w:rsidR="00881054" w:rsidRPr="00AB5A54" w:rsidRDefault="00881054" w:rsidP="002D57B5">
            <w:pPr>
              <w:jc w:val="center"/>
              <w:rPr>
                <w:rFonts w:ascii="Arial" w:hAnsi="Arial" w:cs="Arial"/>
                <w:sz w:val="18"/>
                <w:szCs w:val="18"/>
              </w:rPr>
            </w:pPr>
            <w:r w:rsidRPr="00AB5A54">
              <w:rPr>
                <w:rFonts w:ascii="Arial" w:hAnsi="Arial" w:cs="Arial"/>
                <w:sz w:val="18"/>
                <w:szCs w:val="18"/>
              </w:rPr>
              <w:t>0</w:t>
            </w:r>
          </w:p>
        </w:tc>
        <w:tc>
          <w:tcPr>
            <w:tcW w:w="0" w:type="auto"/>
            <w:tcBorders>
              <w:top w:val="nil"/>
              <w:left w:val="nil"/>
              <w:bottom w:val="single" w:sz="4" w:space="0" w:color="auto"/>
              <w:right w:val="single" w:sz="4" w:space="0" w:color="auto"/>
            </w:tcBorders>
            <w:shd w:val="clear" w:color="auto" w:fill="auto"/>
            <w:vAlign w:val="center"/>
            <w:hideMark/>
          </w:tcPr>
          <w:p w:rsidR="00881054" w:rsidRPr="00AB5A54" w:rsidRDefault="00881054" w:rsidP="002D57B5">
            <w:pPr>
              <w:jc w:val="center"/>
              <w:rPr>
                <w:rFonts w:ascii="Arial" w:hAnsi="Arial" w:cs="Arial"/>
                <w:sz w:val="18"/>
                <w:szCs w:val="18"/>
              </w:rPr>
            </w:pPr>
            <w:r w:rsidRPr="00AB5A54">
              <w:rPr>
                <w:rFonts w:ascii="Arial" w:hAnsi="Arial" w:cs="Arial"/>
                <w:sz w:val="18"/>
                <w:szCs w:val="18"/>
              </w:rPr>
              <w:t>0</w:t>
            </w:r>
          </w:p>
        </w:tc>
        <w:tc>
          <w:tcPr>
            <w:tcW w:w="0" w:type="auto"/>
            <w:tcBorders>
              <w:top w:val="nil"/>
              <w:left w:val="nil"/>
              <w:bottom w:val="single" w:sz="4" w:space="0" w:color="auto"/>
              <w:right w:val="single" w:sz="4" w:space="0" w:color="auto"/>
            </w:tcBorders>
            <w:shd w:val="clear" w:color="auto" w:fill="auto"/>
            <w:vAlign w:val="center"/>
            <w:hideMark/>
          </w:tcPr>
          <w:p w:rsidR="00881054" w:rsidRPr="00AB5A54" w:rsidRDefault="00881054" w:rsidP="002D57B5">
            <w:pPr>
              <w:jc w:val="center"/>
              <w:rPr>
                <w:rFonts w:ascii="Arial" w:hAnsi="Arial" w:cs="Arial"/>
                <w:sz w:val="18"/>
                <w:szCs w:val="18"/>
              </w:rPr>
            </w:pPr>
            <w:r w:rsidRPr="00AB5A54">
              <w:rPr>
                <w:rFonts w:ascii="Arial" w:hAnsi="Arial" w:cs="Arial"/>
                <w:sz w:val="18"/>
                <w:szCs w:val="18"/>
              </w:rPr>
              <w:t>0,00%</w:t>
            </w:r>
          </w:p>
        </w:tc>
      </w:tr>
      <w:tr w:rsidR="00881054" w:rsidRPr="009B5AA1" w:rsidTr="002D57B5">
        <w:trPr>
          <w:trHeight w:val="410"/>
        </w:trPr>
        <w:tc>
          <w:tcPr>
            <w:tcW w:w="0" w:type="auto"/>
            <w:tcBorders>
              <w:top w:val="nil"/>
              <w:left w:val="single" w:sz="4" w:space="0" w:color="auto"/>
              <w:bottom w:val="single" w:sz="4" w:space="0" w:color="auto"/>
              <w:right w:val="single" w:sz="4" w:space="0" w:color="auto"/>
            </w:tcBorders>
            <w:shd w:val="clear" w:color="auto" w:fill="auto"/>
            <w:vAlign w:val="center"/>
            <w:hideMark/>
          </w:tcPr>
          <w:p w:rsidR="00881054" w:rsidRPr="00AB5A54" w:rsidRDefault="00881054" w:rsidP="002D57B5">
            <w:pPr>
              <w:jc w:val="center"/>
              <w:rPr>
                <w:rFonts w:ascii="Arial" w:hAnsi="Arial" w:cs="Arial"/>
                <w:sz w:val="18"/>
                <w:szCs w:val="18"/>
              </w:rPr>
            </w:pPr>
            <w:r w:rsidRPr="00AB5A54">
              <w:rPr>
                <w:rFonts w:ascii="Arial" w:hAnsi="Arial" w:cs="Arial"/>
                <w:sz w:val="18"/>
                <w:szCs w:val="18"/>
              </w:rPr>
              <w:t>Žilinský</w:t>
            </w:r>
          </w:p>
        </w:tc>
        <w:tc>
          <w:tcPr>
            <w:tcW w:w="0" w:type="auto"/>
            <w:tcBorders>
              <w:top w:val="nil"/>
              <w:left w:val="nil"/>
              <w:bottom w:val="single" w:sz="4" w:space="0" w:color="auto"/>
              <w:right w:val="single" w:sz="4" w:space="0" w:color="auto"/>
            </w:tcBorders>
            <w:shd w:val="clear" w:color="auto" w:fill="auto"/>
            <w:vAlign w:val="center"/>
            <w:hideMark/>
          </w:tcPr>
          <w:p w:rsidR="00881054" w:rsidRPr="00AB5A54" w:rsidRDefault="00881054" w:rsidP="002D57B5">
            <w:pPr>
              <w:jc w:val="center"/>
              <w:rPr>
                <w:rFonts w:ascii="Arial" w:hAnsi="Arial" w:cs="Arial"/>
                <w:sz w:val="18"/>
                <w:szCs w:val="18"/>
              </w:rPr>
            </w:pPr>
            <w:r w:rsidRPr="00AB5A54">
              <w:rPr>
                <w:rFonts w:ascii="Arial" w:hAnsi="Arial" w:cs="Arial"/>
                <w:sz w:val="18"/>
                <w:szCs w:val="18"/>
              </w:rPr>
              <w:t>91</w:t>
            </w:r>
          </w:p>
        </w:tc>
        <w:tc>
          <w:tcPr>
            <w:tcW w:w="0" w:type="auto"/>
            <w:tcBorders>
              <w:top w:val="nil"/>
              <w:left w:val="nil"/>
              <w:bottom w:val="single" w:sz="4" w:space="0" w:color="auto"/>
              <w:right w:val="single" w:sz="4" w:space="0" w:color="auto"/>
            </w:tcBorders>
            <w:shd w:val="clear" w:color="auto" w:fill="auto"/>
            <w:vAlign w:val="center"/>
            <w:hideMark/>
          </w:tcPr>
          <w:p w:rsidR="00881054" w:rsidRPr="00AB5A54" w:rsidRDefault="00881054" w:rsidP="002D57B5">
            <w:pPr>
              <w:jc w:val="center"/>
              <w:rPr>
                <w:rFonts w:ascii="Arial" w:hAnsi="Arial" w:cs="Arial"/>
                <w:sz w:val="18"/>
                <w:szCs w:val="18"/>
              </w:rPr>
            </w:pPr>
            <w:r w:rsidRPr="00AB5A54">
              <w:rPr>
                <w:rFonts w:ascii="Arial" w:hAnsi="Arial" w:cs="Arial"/>
                <w:sz w:val="18"/>
                <w:szCs w:val="18"/>
              </w:rPr>
              <w:t>210 772 262</w:t>
            </w:r>
          </w:p>
        </w:tc>
        <w:tc>
          <w:tcPr>
            <w:tcW w:w="0" w:type="auto"/>
            <w:tcBorders>
              <w:top w:val="nil"/>
              <w:left w:val="nil"/>
              <w:bottom w:val="single" w:sz="4" w:space="0" w:color="auto"/>
              <w:right w:val="single" w:sz="4" w:space="0" w:color="auto"/>
            </w:tcBorders>
            <w:shd w:val="clear" w:color="auto" w:fill="auto"/>
            <w:vAlign w:val="center"/>
            <w:hideMark/>
          </w:tcPr>
          <w:p w:rsidR="00881054" w:rsidRPr="00AB5A54" w:rsidRDefault="00881054" w:rsidP="002D57B5">
            <w:pPr>
              <w:jc w:val="center"/>
              <w:rPr>
                <w:rFonts w:ascii="Arial" w:hAnsi="Arial" w:cs="Arial"/>
                <w:sz w:val="18"/>
                <w:szCs w:val="18"/>
              </w:rPr>
            </w:pPr>
            <w:r w:rsidRPr="00AB5A54">
              <w:rPr>
                <w:rFonts w:ascii="Arial" w:hAnsi="Arial" w:cs="Arial"/>
                <w:sz w:val="18"/>
                <w:szCs w:val="18"/>
              </w:rPr>
              <w:t>0</w:t>
            </w:r>
          </w:p>
        </w:tc>
        <w:tc>
          <w:tcPr>
            <w:tcW w:w="0" w:type="auto"/>
            <w:tcBorders>
              <w:top w:val="nil"/>
              <w:left w:val="nil"/>
              <w:bottom w:val="single" w:sz="4" w:space="0" w:color="auto"/>
              <w:right w:val="single" w:sz="4" w:space="0" w:color="auto"/>
            </w:tcBorders>
            <w:shd w:val="clear" w:color="auto" w:fill="auto"/>
            <w:vAlign w:val="center"/>
            <w:hideMark/>
          </w:tcPr>
          <w:p w:rsidR="00881054" w:rsidRPr="00AB5A54" w:rsidRDefault="00881054" w:rsidP="002D57B5">
            <w:pPr>
              <w:jc w:val="center"/>
              <w:rPr>
                <w:rFonts w:ascii="Arial" w:hAnsi="Arial" w:cs="Arial"/>
                <w:sz w:val="18"/>
                <w:szCs w:val="18"/>
              </w:rPr>
            </w:pPr>
            <w:r w:rsidRPr="00AB5A54">
              <w:rPr>
                <w:rFonts w:ascii="Arial" w:hAnsi="Arial" w:cs="Arial"/>
                <w:sz w:val="18"/>
                <w:szCs w:val="18"/>
              </w:rPr>
              <w:t>0</w:t>
            </w:r>
          </w:p>
        </w:tc>
        <w:tc>
          <w:tcPr>
            <w:tcW w:w="0" w:type="auto"/>
            <w:tcBorders>
              <w:top w:val="nil"/>
              <w:left w:val="nil"/>
              <w:bottom w:val="single" w:sz="4" w:space="0" w:color="auto"/>
              <w:right w:val="single" w:sz="4" w:space="0" w:color="auto"/>
            </w:tcBorders>
            <w:shd w:val="clear" w:color="auto" w:fill="auto"/>
            <w:vAlign w:val="center"/>
            <w:hideMark/>
          </w:tcPr>
          <w:p w:rsidR="00881054" w:rsidRPr="00AB5A54" w:rsidRDefault="00881054" w:rsidP="002D57B5">
            <w:pPr>
              <w:jc w:val="center"/>
              <w:rPr>
                <w:rFonts w:ascii="Arial" w:hAnsi="Arial" w:cs="Arial"/>
                <w:sz w:val="18"/>
                <w:szCs w:val="18"/>
              </w:rPr>
            </w:pPr>
            <w:r w:rsidRPr="00AB5A54">
              <w:rPr>
                <w:rFonts w:ascii="Arial" w:hAnsi="Arial" w:cs="Arial"/>
                <w:sz w:val="18"/>
                <w:szCs w:val="18"/>
              </w:rPr>
              <w:t>0,00%</w:t>
            </w:r>
          </w:p>
        </w:tc>
      </w:tr>
      <w:tr w:rsidR="00881054" w:rsidRPr="009B5AA1" w:rsidTr="002D57B5">
        <w:trPr>
          <w:trHeight w:val="416"/>
        </w:trPr>
        <w:tc>
          <w:tcPr>
            <w:tcW w:w="0" w:type="auto"/>
            <w:tcBorders>
              <w:top w:val="nil"/>
              <w:left w:val="single" w:sz="4" w:space="0" w:color="auto"/>
              <w:bottom w:val="single" w:sz="4" w:space="0" w:color="auto"/>
              <w:right w:val="single" w:sz="4" w:space="0" w:color="auto"/>
            </w:tcBorders>
            <w:shd w:val="clear" w:color="auto" w:fill="auto"/>
            <w:vAlign w:val="center"/>
            <w:hideMark/>
          </w:tcPr>
          <w:p w:rsidR="00881054" w:rsidRPr="00AB5A54" w:rsidRDefault="00881054" w:rsidP="002D57B5">
            <w:pPr>
              <w:jc w:val="center"/>
              <w:rPr>
                <w:rFonts w:ascii="Arial" w:hAnsi="Arial" w:cs="Arial"/>
                <w:sz w:val="18"/>
                <w:szCs w:val="18"/>
              </w:rPr>
            </w:pPr>
            <w:r w:rsidRPr="00AB5A54">
              <w:rPr>
                <w:rFonts w:ascii="Arial" w:hAnsi="Arial" w:cs="Arial"/>
                <w:sz w:val="18"/>
                <w:szCs w:val="18"/>
              </w:rPr>
              <w:t>Banskobystrický</w:t>
            </w:r>
          </w:p>
        </w:tc>
        <w:tc>
          <w:tcPr>
            <w:tcW w:w="0" w:type="auto"/>
            <w:tcBorders>
              <w:top w:val="nil"/>
              <w:left w:val="nil"/>
              <w:bottom w:val="single" w:sz="4" w:space="0" w:color="auto"/>
              <w:right w:val="single" w:sz="4" w:space="0" w:color="auto"/>
            </w:tcBorders>
            <w:shd w:val="clear" w:color="auto" w:fill="auto"/>
            <w:vAlign w:val="center"/>
            <w:hideMark/>
          </w:tcPr>
          <w:p w:rsidR="00881054" w:rsidRPr="00AB5A54" w:rsidRDefault="00881054" w:rsidP="002D57B5">
            <w:pPr>
              <w:jc w:val="center"/>
              <w:rPr>
                <w:rFonts w:ascii="Arial" w:hAnsi="Arial" w:cs="Arial"/>
                <w:sz w:val="18"/>
                <w:szCs w:val="18"/>
              </w:rPr>
            </w:pPr>
            <w:r w:rsidRPr="00AB5A54">
              <w:rPr>
                <w:rFonts w:ascii="Arial" w:hAnsi="Arial" w:cs="Arial"/>
                <w:sz w:val="18"/>
                <w:szCs w:val="18"/>
              </w:rPr>
              <w:t>77</w:t>
            </w:r>
          </w:p>
        </w:tc>
        <w:tc>
          <w:tcPr>
            <w:tcW w:w="0" w:type="auto"/>
            <w:tcBorders>
              <w:top w:val="nil"/>
              <w:left w:val="nil"/>
              <w:bottom w:val="single" w:sz="4" w:space="0" w:color="auto"/>
              <w:right w:val="single" w:sz="4" w:space="0" w:color="auto"/>
            </w:tcBorders>
            <w:shd w:val="clear" w:color="auto" w:fill="auto"/>
            <w:vAlign w:val="center"/>
            <w:hideMark/>
          </w:tcPr>
          <w:p w:rsidR="00881054" w:rsidRPr="00AB5A54" w:rsidRDefault="00881054" w:rsidP="002D57B5">
            <w:pPr>
              <w:jc w:val="center"/>
              <w:rPr>
                <w:rFonts w:ascii="Arial" w:hAnsi="Arial" w:cs="Arial"/>
                <w:sz w:val="18"/>
                <w:szCs w:val="18"/>
              </w:rPr>
            </w:pPr>
            <w:r w:rsidRPr="00AB5A54">
              <w:rPr>
                <w:rFonts w:ascii="Arial" w:hAnsi="Arial" w:cs="Arial"/>
                <w:sz w:val="18"/>
                <w:szCs w:val="18"/>
              </w:rPr>
              <w:t>173 017 188</w:t>
            </w:r>
          </w:p>
        </w:tc>
        <w:tc>
          <w:tcPr>
            <w:tcW w:w="0" w:type="auto"/>
            <w:tcBorders>
              <w:top w:val="nil"/>
              <w:left w:val="nil"/>
              <w:bottom w:val="single" w:sz="4" w:space="0" w:color="auto"/>
              <w:right w:val="single" w:sz="4" w:space="0" w:color="auto"/>
            </w:tcBorders>
            <w:shd w:val="clear" w:color="auto" w:fill="auto"/>
            <w:vAlign w:val="center"/>
            <w:hideMark/>
          </w:tcPr>
          <w:p w:rsidR="00881054" w:rsidRPr="00AB5A54" w:rsidRDefault="00881054" w:rsidP="002D57B5">
            <w:pPr>
              <w:jc w:val="center"/>
              <w:rPr>
                <w:rFonts w:ascii="Arial" w:hAnsi="Arial" w:cs="Arial"/>
                <w:sz w:val="18"/>
                <w:szCs w:val="18"/>
              </w:rPr>
            </w:pPr>
            <w:r w:rsidRPr="00AB5A54">
              <w:rPr>
                <w:rFonts w:ascii="Arial" w:hAnsi="Arial" w:cs="Arial"/>
                <w:sz w:val="18"/>
                <w:szCs w:val="18"/>
              </w:rPr>
              <w:t>0</w:t>
            </w:r>
          </w:p>
        </w:tc>
        <w:tc>
          <w:tcPr>
            <w:tcW w:w="0" w:type="auto"/>
            <w:tcBorders>
              <w:top w:val="nil"/>
              <w:left w:val="nil"/>
              <w:bottom w:val="single" w:sz="4" w:space="0" w:color="auto"/>
              <w:right w:val="single" w:sz="4" w:space="0" w:color="auto"/>
            </w:tcBorders>
            <w:shd w:val="clear" w:color="auto" w:fill="auto"/>
            <w:vAlign w:val="center"/>
            <w:hideMark/>
          </w:tcPr>
          <w:p w:rsidR="00881054" w:rsidRPr="00AB5A54" w:rsidRDefault="00881054" w:rsidP="002D57B5">
            <w:pPr>
              <w:jc w:val="center"/>
              <w:rPr>
                <w:rFonts w:ascii="Arial" w:hAnsi="Arial" w:cs="Arial"/>
                <w:sz w:val="18"/>
                <w:szCs w:val="18"/>
              </w:rPr>
            </w:pPr>
            <w:r w:rsidRPr="00AB5A54">
              <w:rPr>
                <w:rFonts w:ascii="Arial" w:hAnsi="Arial" w:cs="Arial"/>
                <w:sz w:val="18"/>
                <w:szCs w:val="18"/>
              </w:rPr>
              <w:t>0</w:t>
            </w:r>
          </w:p>
        </w:tc>
        <w:tc>
          <w:tcPr>
            <w:tcW w:w="0" w:type="auto"/>
            <w:tcBorders>
              <w:top w:val="nil"/>
              <w:left w:val="nil"/>
              <w:bottom w:val="single" w:sz="4" w:space="0" w:color="auto"/>
              <w:right w:val="single" w:sz="4" w:space="0" w:color="auto"/>
            </w:tcBorders>
            <w:shd w:val="clear" w:color="auto" w:fill="auto"/>
            <w:vAlign w:val="center"/>
            <w:hideMark/>
          </w:tcPr>
          <w:p w:rsidR="00881054" w:rsidRPr="00AB5A54" w:rsidRDefault="00881054" w:rsidP="002D57B5">
            <w:pPr>
              <w:jc w:val="center"/>
              <w:rPr>
                <w:rFonts w:ascii="Arial" w:hAnsi="Arial" w:cs="Arial"/>
                <w:sz w:val="18"/>
                <w:szCs w:val="18"/>
              </w:rPr>
            </w:pPr>
            <w:r w:rsidRPr="00AB5A54">
              <w:rPr>
                <w:rFonts w:ascii="Arial" w:hAnsi="Arial" w:cs="Arial"/>
                <w:sz w:val="18"/>
                <w:szCs w:val="18"/>
              </w:rPr>
              <w:t>0,00%</w:t>
            </w:r>
          </w:p>
        </w:tc>
      </w:tr>
      <w:tr w:rsidR="00881054" w:rsidRPr="009B5AA1" w:rsidTr="002D57B5">
        <w:trPr>
          <w:trHeight w:val="422"/>
        </w:trPr>
        <w:tc>
          <w:tcPr>
            <w:tcW w:w="0" w:type="auto"/>
            <w:tcBorders>
              <w:top w:val="nil"/>
              <w:left w:val="single" w:sz="4" w:space="0" w:color="auto"/>
              <w:bottom w:val="single" w:sz="4" w:space="0" w:color="auto"/>
              <w:right w:val="single" w:sz="4" w:space="0" w:color="auto"/>
            </w:tcBorders>
            <w:shd w:val="clear" w:color="auto" w:fill="auto"/>
            <w:vAlign w:val="center"/>
            <w:hideMark/>
          </w:tcPr>
          <w:p w:rsidR="00881054" w:rsidRPr="00AB5A54" w:rsidRDefault="00881054" w:rsidP="002D57B5">
            <w:pPr>
              <w:jc w:val="center"/>
              <w:rPr>
                <w:rFonts w:ascii="Arial" w:hAnsi="Arial" w:cs="Arial"/>
                <w:sz w:val="18"/>
                <w:szCs w:val="18"/>
              </w:rPr>
            </w:pPr>
            <w:r w:rsidRPr="00AB5A54">
              <w:rPr>
                <w:rFonts w:ascii="Arial" w:hAnsi="Arial" w:cs="Arial"/>
                <w:sz w:val="18"/>
                <w:szCs w:val="18"/>
              </w:rPr>
              <w:t>Prešovský</w:t>
            </w:r>
          </w:p>
        </w:tc>
        <w:tc>
          <w:tcPr>
            <w:tcW w:w="0" w:type="auto"/>
            <w:tcBorders>
              <w:top w:val="nil"/>
              <w:left w:val="nil"/>
              <w:bottom w:val="single" w:sz="4" w:space="0" w:color="auto"/>
              <w:right w:val="single" w:sz="4" w:space="0" w:color="auto"/>
            </w:tcBorders>
            <w:shd w:val="clear" w:color="auto" w:fill="auto"/>
            <w:vAlign w:val="center"/>
            <w:hideMark/>
          </w:tcPr>
          <w:p w:rsidR="00881054" w:rsidRPr="00AB5A54" w:rsidRDefault="00881054" w:rsidP="002D57B5">
            <w:pPr>
              <w:jc w:val="center"/>
              <w:rPr>
                <w:rFonts w:ascii="Arial" w:hAnsi="Arial" w:cs="Arial"/>
                <w:sz w:val="18"/>
                <w:szCs w:val="18"/>
              </w:rPr>
            </w:pPr>
            <w:r w:rsidRPr="00AB5A54">
              <w:rPr>
                <w:rFonts w:ascii="Arial" w:hAnsi="Arial" w:cs="Arial"/>
                <w:sz w:val="18"/>
                <w:szCs w:val="18"/>
              </w:rPr>
              <w:t>110</w:t>
            </w:r>
          </w:p>
        </w:tc>
        <w:tc>
          <w:tcPr>
            <w:tcW w:w="0" w:type="auto"/>
            <w:tcBorders>
              <w:top w:val="nil"/>
              <w:left w:val="nil"/>
              <w:bottom w:val="single" w:sz="4" w:space="0" w:color="auto"/>
              <w:right w:val="single" w:sz="4" w:space="0" w:color="auto"/>
            </w:tcBorders>
            <w:shd w:val="clear" w:color="auto" w:fill="auto"/>
            <w:vAlign w:val="center"/>
            <w:hideMark/>
          </w:tcPr>
          <w:p w:rsidR="00881054" w:rsidRPr="00AB5A54" w:rsidRDefault="00881054" w:rsidP="002D57B5">
            <w:pPr>
              <w:jc w:val="center"/>
              <w:rPr>
                <w:rFonts w:ascii="Arial" w:hAnsi="Arial" w:cs="Arial"/>
                <w:sz w:val="18"/>
                <w:szCs w:val="18"/>
              </w:rPr>
            </w:pPr>
            <w:r w:rsidRPr="00AB5A54">
              <w:rPr>
                <w:rFonts w:ascii="Arial" w:hAnsi="Arial" w:cs="Arial"/>
                <w:sz w:val="18"/>
                <w:szCs w:val="18"/>
              </w:rPr>
              <w:t>213 992 971</w:t>
            </w:r>
          </w:p>
        </w:tc>
        <w:tc>
          <w:tcPr>
            <w:tcW w:w="0" w:type="auto"/>
            <w:tcBorders>
              <w:top w:val="nil"/>
              <w:left w:val="nil"/>
              <w:bottom w:val="single" w:sz="4" w:space="0" w:color="auto"/>
              <w:right w:val="single" w:sz="4" w:space="0" w:color="auto"/>
            </w:tcBorders>
            <w:shd w:val="clear" w:color="auto" w:fill="auto"/>
            <w:vAlign w:val="center"/>
            <w:hideMark/>
          </w:tcPr>
          <w:p w:rsidR="00881054" w:rsidRPr="00AB5A54" w:rsidRDefault="00881054" w:rsidP="002D57B5">
            <w:pPr>
              <w:jc w:val="center"/>
              <w:rPr>
                <w:rFonts w:ascii="Arial" w:hAnsi="Arial" w:cs="Arial"/>
                <w:sz w:val="18"/>
                <w:szCs w:val="18"/>
              </w:rPr>
            </w:pPr>
            <w:r w:rsidRPr="00AB5A54">
              <w:rPr>
                <w:rFonts w:ascii="Arial" w:hAnsi="Arial" w:cs="Arial"/>
                <w:sz w:val="18"/>
                <w:szCs w:val="18"/>
              </w:rPr>
              <w:t>0</w:t>
            </w:r>
          </w:p>
        </w:tc>
        <w:tc>
          <w:tcPr>
            <w:tcW w:w="0" w:type="auto"/>
            <w:tcBorders>
              <w:top w:val="nil"/>
              <w:left w:val="nil"/>
              <w:bottom w:val="single" w:sz="4" w:space="0" w:color="auto"/>
              <w:right w:val="single" w:sz="4" w:space="0" w:color="auto"/>
            </w:tcBorders>
            <w:shd w:val="clear" w:color="auto" w:fill="auto"/>
            <w:vAlign w:val="center"/>
            <w:hideMark/>
          </w:tcPr>
          <w:p w:rsidR="00881054" w:rsidRPr="00AB5A54" w:rsidRDefault="00881054" w:rsidP="002D57B5">
            <w:pPr>
              <w:jc w:val="center"/>
              <w:rPr>
                <w:rFonts w:ascii="Arial" w:hAnsi="Arial" w:cs="Arial"/>
                <w:sz w:val="18"/>
                <w:szCs w:val="18"/>
              </w:rPr>
            </w:pPr>
            <w:r w:rsidRPr="00AB5A54">
              <w:rPr>
                <w:rFonts w:ascii="Arial" w:hAnsi="Arial" w:cs="Arial"/>
                <w:sz w:val="18"/>
                <w:szCs w:val="18"/>
              </w:rPr>
              <w:t>0</w:t>
            </w:r>
          </w:p>
        </w:tc>
        <w:tc>
          <w:tcPr>
            <w:tcW w:w="0" w:type="auto"/>
            <w:tcBorders>
              <w:top w:val="nil"/>
              <w:left w:val="nil"/>
              <w:bottom w:val="single" w:sz="4" w:space="0" w:color="auto"/>
              <w:right w:val="single" w:sz="4" w:space="0" w:color="auto"/>
            </w:tcBorders>
            <w:shd w:val="clear" w:color="auto" w:fill="auto"/>
            <w:vAlign w:val="center"/>
            <w:hideMark/>
          </w:tcPr>
          <w:p w:rsidR="00881054" w:rsidRPr="00AB5A54" w:rsidRDefault="00881054" w:rsidP="002D57B5">
            <w:pPr>
              <w:jc w:val="center"/>
              <w:rPr>
                <w:rFonts w:ascii="Arial" w:hAnsi="Arial" w:cs="Arial"/>
                <w:sz w:val="18"/>
                <w:szCs w:val="18"/>
              </w:rPr>
            </w:pPr>
            <w:r w:rsidRPr="00AB5A54">
              <w:rPr>
                <w:rFonts w:ascii="Arial" w:hAnsi="Arial" w:cs="Arial"/>
                <w:sz w:val="18"/>
                <w:szCs w:val="18"/>
              </w:rPr>
              <w:t>0,00%</w:t>
            </w:r>
          </w:p>
        </w:tc>
      </w:tr>
      <w:tr w:rsidR="00881054" w:rsidRPr="009B5AA1" w:rsidTr="002D57B5">
        <w:trPr>
          <w:trHeight w:val="415"/>
        </w:trPr>
        <w:tc>
          <w:tcPr>
            <w:tcW w:w="0" w:type="auto"/>
            <w:tcBorders>
              <w:top w:val="nil"/>
              <w:left w:val="single" w:sz="4" w:space="0" w:color="auto"/>
              <w:bottom w:val="single" w:sz="4" w:space="0" w:color="auto"/>
              <w:right w:val="single" w:sz="4" w:space="0" w:color="auto"/>
            </w:tcBorders>
            <w:shd w:val="clear" w:color="auto" w:fill="auto"/>
            <w:vAlign w:val="center"/>
            <w:hideMark/>
          </w:tcPr>
          <w:p w:rsidR="00881054" w:rsidRPr="00AB5A54" w:rsidRDefault="00881054" w:rsidP="002D57B5">
            <w:pPr>
              <w:jc w:val="center"/>
              <w:rPr>
                <w:rFonts w:ascii="Arial" w:hAnsi="Arial" w:cs="Arial"/>
                <w:sz w:val="18"/>
                <w:szCs w:val="18"/>
              </w:rPr>
            </w:pPr>
            <w:r w:rsidRPr="00AB5A54">
              <w:rPr>
                <w:rFonts w:ascii="Arial" w:hAnsi="Arial" w:cs="Arial"/>
                <w:sz w:val="18"/>
                <w:szCs w:val="18"/>
              </w:rPr>
              <w:t>Košický</w:t>
            </w:r>
          </w:p>
        </w:tc>
        <w:tc>
          <w:tcPr>
            <w:tcW w:w="0" w:type="auto"/>
            <w:tcBorders>
              <w:top w:val="nil"/>
              <w:left w:val="nil"/>
              <w:bottom w:val="single" w:sz="4" w:space="0" w:color="auto"/>
              <w:right w:val="single" w:sz="4" w:space="0" w:color="auto"/>
            </w:tcBorders>
            <w:shd w:val="clear" w:color="auto" w:fill="auto"/>
            <w:vAlign w:val="center"/>
            <w:hideMark/>
          </w:tcPr>
          <w:p w:rsidR="00881054" w:rsidRPr="00AB5A54" w:rsidRDefault="00881054" w:rsidP="002D57B5">
            <w:pPr>
              <w:jc w:val="center"/>
              <w:rPr>
                <w:rFonts w:ascii="Arial" w:hAnsi="Arial" w:cs="Arial"/>
                <w:sz w:val="18"/>
                <w:szCs w:val="18"/>
              </w:rPr>
            </w:pPr>
            <w:r w:rsidRPr="00AB5A54">
              <w:rPr>
                <w:rFonts w:ascii="Arial" w:hAnsi="Arial" w:cs="Arial"/>
                <w:sz w:val="18"/>
                <w:szCs w:val="18"/>
              </w:rPr>
              <w:t>60</w:t>
            </w:r>
          </w:p>
        </w:tc>
        <w:tc>
          <w:tcPr>
            <w:tcW w:w="0" w:type="auto"/>
            <w:tcBorders>
              <w:top w:val="nil"/>
              <w:left w:val="nil"/>
              <w:bottom w:val="single" w:sz="4" w:space="0" w:color="auto"/>
              <w:right w:val="single" w:sz="4" w:space="0" w:color="auto"/>
            </w:tcBorders>
            <w:shd w:val="clear" w:color="auto" w:fill="auto"/>
            <w:vAlign w:val="center"/>
            <w:hideMark/>
          </w:tcPr>
          <w:p w:rsidR="00881054" w:rsidRPr="00AB5A54" w:rsidRDefault="00881054" w:rsidP="002D57B5">
            <w:pPr>
              <w:jc w:val="center"/>
              <w:rPr>
                <w:rFonts w:ascii="Arial" w:hAnsi="Arial" w:cs="Arial"/>
                <w:sz w:val="18"/>
                <w:szCs w:val="18"/>
              </w:rPr>
            </w:pPr>
            <w:r w:rsidRPr="00AB5A54">
              <w:rPr>
                <w:rFonts w:ascii="Arial" w:hAnsi="Arial" w:cs="Arial"/>
                <w:sz w:val="18"/>
                <w:szCs w:val="18"/>
              </w:rPr>
              <w:t>127 453 234</w:t>
            </w:r>
          </w:p>
        </w:tc>
        <w:tc>
          <w:tcPr>
            <w:tcW w:w="0" w:type="auto"/>
            <w:tcBorders>
              <w:top w:val="nil"/>
              <w:left w:val="nil"/>
              <w:bottom w:val="single" w:sz="4" w:space="0" w:color="auto"/>
              <w:right w:val="single" w:sz="4" w:space="0" w:color="auto"/>
            </w:tcBorders>
            <w:shd w:val="clear" w:color="auto" w:fill="auto"/>
            <w:vAlign w:val="center"/>
            <w:hideMark/>
          </w:tcPr>
          <w:p w:rsidR="00881054" w:rsidRPr="00AB5A54" w:rsidRDefault="00881054" w:rsidP="002D57B5">
            <w:pPr>
              <w:jc w:val="center"/>
              <w:rPr>
                <w:rFonts w:ascii="Arial" w:hAnsi="Arial" w:cs="Arial"/>
                <w:sz w:val="18"/>
                <w:szCs w:val="18"/>
              </w:rPr>
            </w:pPr>
            <w:r w:rsidRPr="00AB5A54">
              <w:rPr>
                <w:rFonts w:ascii="Arial" w:hAnsi="Arial" w:cs="Arial"/>
                <w:sz w:val="18"/>
                <w:szCs w:val="18"/>
              </w:rPr>
              <w:t>0</w:t>
            </w:r>
          </w:p>
        </w:tc>
        <w:tc>
          <w:tcPr>
            <w:tcW w:w="0" w:type="auto"/>
            <w:tcBorders>
              <w:top w:val="nil"/>
              <w:left w:val="nil"/>
              <w:bottom w:val="single" w:sz="4" w:space="0" w:color="auto"/>
              <w:right w:val="single" w:sz="4" w:space="0" w:color="auto"/>
            </w:tcBorders>
            <w:shd w:val="clear" w:color="auto" w:fill="auto"/>
            <w:vAlign w:val="center"/>
            <w:hideMark/>
          </w:tcPr>
          <w:p w:rsidR="00881054" w:rsidRPr="00AB5A54" w:rsidRDefault="00881054" w:rsidP="002D57B5">
            <w:pPr>
              <w:jc w:val="center"/>
              <w:rPr>
                <w:rFonts w:ascii="Arial" w:hAnsi="Arial" w:cs="Arial"/>
                <w:sz w:val="18"/>
                <w:szCs w:val="18"/>
              </w:rPr>
            </w:pPr>
            <w:r w:rsidRPr="00AB5A54">
              <w:rPr>
                <w:rFonts w:ascii="Arial" w:hAnsi="Arial" w:cs="Arial"/>
                <w:sz w:val="18"/>
                <w:szCs w:val="18"/>
              </w:rPr>
              <w:t>0</w:t>
            </w:r>
          </w:p>
        </w:tc>
        <w:tc>
          <w:tcPr>
            <w:tcW w:w="0" w:type="auto"/>
            <w:tcBorders>
              <w:top w:val="nil"/>
              <w:left w:val="nil"/>
              <w:bottom w:val="single" w:sz="4" w:space="0" w:color="auto"/>
              <w:right w:val="single" w:sz="4" w:space="0" w:color="auto"/>
            </w:tcBorders>
            <w:shd w:val="clear" w:color="auto" w:fill="auto"/>
            <w:vAlign w:val="center"/>
            <w:hideMark/>
          </w:tcPr>
          <w:p w:rsidR="00881054" w:rsidRPr="00AB5A54" w:rsidRDefault="00881054" w:rsidP="002D57B5">
            <w:pPr>
              <w:jc w:val="center"/>
              <w:rPr>
                <w:rFonts w:ascii="Arial" w:hAnsi="Arial" w:cs="Arial"/>
                <w:sz w:val="18"/>
                <w:szCs w:val="18"/>
              </w:rPr>
            </w:pPr>
            <w:r w:rsidRPr="00AB5A54">
              <w:rPr>
                <w:rFonts w:ascii="Arial" w:hAnsi="Arial" w:cs="Arial"/>
                <w:sz w:val="18"/>
                <w:szCs w:val="18"/>
              </w:rPr>
              <w:t>0,00%</w:t>
            </w:r>
          </w:p>
        </w:tc>
      </w:tr>
      <w:tr w:rsidR="00881054" w:rsidRPr="009B5AA1" w:rsidTr="002D57B5">
        <w:trPr>
          <w:trHeight w:val="600"/>
        </w:trPr>
        <w:tc>
          <w:tcPr>
            <w:tcW w:w="0" w:type="auto"/>
            <w:tcBorders>
              <w:top w:val="single" w:sz="4" w:space="0" w:color="auto"/>
              <w:left w:val="single" w:sz="4" w:space="0" w:color="auto"/>
              <w:bottom w:val="single" w:sz="4" w:space="0" w:color="auto"/>
              <w:right w:val="single" w:sz="4" w:space="0" w:color="auto"/>
            </w:tcBorders>
            <w:shd w:val="clear" w:color="000000" w:fill="auto"/>
            <w:vAlign w:val="center"/>
            <w:hideMark/>
          </w:tcPr>
          <w:p w:rsidR="00881054" w:rsidRPr="00AB5A54" w:rsidRDefault="00881054" w:rsidP="002D57B5">
            <w:pPr>
              <w:jc w:val="center"/>
              <w:rPr>
                <w:rFonts w:ascii="Arial" w:hAnsi="Arial" w:cs="Arial"/>
                <w:sz w:val="18"/>
                <w:szCs w:val="18"/>
              </w:rPr>
            </w:pPr>
            <w:r w:rsidRPr="00AB5A54">
              <w:rPr>
                <w:rFonts w:ascii="Arial" w:hAnsi="Arial" w:cs="Arial"/>
                <w:sz w:val="18"/>
                <w:szCs w:val="18"/>
              </w:rPr>
              <w:t>Projekty nezaradené do NUTS III</w:t>
            </w:r>
          </w:p>
        </w:tc>
        <w:tc>
          <w:tcPr>
            <w:tcW w:w="0" w:type="auto"/>
            <w:tcBorders>
              <w:top w:val="single" w:sz="4" w:space="0" w:color="auto"/>
              <w:left w:val="nil"/>
              <w:bottom w:val="single" w:sz="4" w:space="0" w:color="auto"/>
              <w:right w:val="single" w:sz="4" w:space="0" w:color="auto"/>
            </w:tcBorders>
            <w:shd w:val="clear" w:color="000000" w:fill="auto"/>
            <w:vAlign w:val="center"/>
            <w:hideMark/>
          </w:tcPr>
          <w:p w:rsidR="00881054" w:rsidRPr="00AB5A54" w:rsidRDefault="00881054" w:rsidP="002D57B5">
            <w:pPr>
              <w:jc w:val="center"/>
              <w:rPr>
                <w:rFonts w:ascii="Arial" w:hAnsi="Arial" w:cs="Arial"/>
                <w:sz w:val="18"/>
                <w:szCs w:val="18"/>
              </w:rPr>
            </w:pPr>
            <w:r w:rsidRPr="00AB5A54">
              <w:rPr>
                <w:rFonts w:ascii="Arial" w:hAnsi="Arial" w:cs="Arial"/>
                <w:sz w:val="18"/>
                <w:szCs w:val="18"/>
              </w:rPr>
              <w:t>42</w:t>
            </w:r>
          </w:p>
        </w:tc>
        <w:tc>
          <w:tcPr>
            <w:tcW w:w="0" w:type="auto"/>
            <w:tcBorders>
              <w:top w:val="single" w:sz="4" w:space="0" w:color="auto"/>
              <w:left w:val="nil"/>
              <w:bottom w:val="single" w:sz="4" w:space="0" w:color="auto"/>
              <w:right w:val="single" w:sz="4" w:space="0" w:color="auto"/>
            </w:tcBorders>
            <w:shd w:val="clear" w:color="000000" w:fill="auto"/>
            <w:vAlign w:val="center"/>
            <w:hideMark/>
          </w:tcPr>
          <w:p w:rsidR="00881054" w:rsidRPr="00AB5A54" w:rsidRDefault="00881054" w:rsidP="002D57B5">
            <w:pPr>
              <w:jc w:val="center"/>
              <w:rPr>
                <w:rFonts w:ascii="Arial" w:hAnsi="Arial" w:cs="Arial"/>
                <w:sz w:val="18"/>
                <w:szCs w:val="18"/>
              </w:rPr>
            </w:pPr>
            <w:r w:rsidRPr="00AB5A54">
              <w:rPr>
                <w:rFonts w:ascii="Arial" w:hAnsi="Arial" w:cs="Arial"/>
                <w:sz w:val="18"/>
                <w:szCs w:val="18"/>
              </w:rPr>
              <w:t>134 180 369</w:t>
            </w:r>
          </w:p>
        </w:tc>
        <w:tc>
          <w:tcPr>
            <w:tcW w:w="0" w:type="auto"/>
            <w:tcBorders>
              <w:top w:val="single" w:sz="4" w:space="0" w:color="auto"/>
              <w:left w:val="nil"/>
              <w:bottom w:val="single" w:sz="4" w:space="0" w:color="auto"/>
              <w:right w:val="single" w:sz="4" w:space="0" w:color="auto"/>
            </w:tcBorders>
            <w:shd w:val="clear" w:color="000000" w:fill="auto"/>
            <w:vAlign w:val="center"/>
            <w:hideMark/>
          </w:tcPr>
          <w:p w:rsidR="00881054" w:rsidRPr="00AB5A54" w:rsidRDefault="00881054" w:rsidP="002D57B5">
            <w:pPr>
              <w:jc w:val="center"/>
              <w:rPr>
                <w:rFonts w:ascii="Arial" w:hAnsi="Arial" w:cs="Arial"/>
                <w:sz w:val="18"/>
                <w:szCs w:val="18"/>
              </w:rPr>
            </w:pPr>
            <w:r w:rsidRPr="00AB5A54">
              <w:rPr>
                <w:rFonts w:ascii="Arial" w:hAnsi="Arial" w:cs="Arial"/>
                <w:sz w:val="18"/>
                <w:szCs w:val="18"/>
              </w:rPr>
              <w:t>0</w:t>
            </w:r>
          </w:p>
        </w:tc>
        <w:tc>
          <w:tcPr>
            <w:tcW w:w="0" w:type="auto"/>
            <w:tcBorders>
              <w:top w:val="single" w:sz="4" w:space="0" w:color="auto"/>
              <w:left w:val="nil"/>
              <w:bottom w:val="single" w:sz="4" w:space="0" w:color="auto"/>
              <w:right w:val="single" w:sz="4" w:space="0" w:color="auto"/>
            </w:tcBorders>
            <w:shd w:val="clear" w:color="000000" w:fill="auto"/>
            <w:vAlign w:val="center"/>
            <w:hideMark/>
          </w:tcPr>
          <w:p w:rsidR="00881054" w:rsidRPr="00AB5A54" w:rsidRDefault="00881054" w:rsidP="002D57B5">
            <w:pPr>
              <w:jc w:val="center"/>
              <w:rPr>
                <w:rFonts w:ascii="Arial" w:hAnsi="Arial" w:cs="Arial"/>
                <w:sz w:val="18"/>
                <w:szCs w:val="18"/>
              </w:rPr>
            </w:pPr>
            <w:r w:rsidRPr="00AB5A54">
              <w:rPr>
                <w:rFonts w:ascii="Arial" w:hAnsi="Arial" w:cs="Arial"/>
                <w:sz w:val="18"/>
                <w:szCs w:val="18"/>
              </w:rPr>
              <w:t>0</w:t>
            </w:r>
          </w:p>
        </w:tc>
        <w:tc>
          <w:tcPr>
            <w:tcW w:w="0" w:type="auto"/>
            <w:tcBorders>
              <w:top w:val="single" w:sz="4" w:space="0" w:color="auto"/>
              <w:left w:val="nil"/>
              <w:bottom w:val="single" w:sz="4" w:space="0" w:color="auto"/>
              <w:right w:val="single" w:sz="4" w:space="0" w:color="auto"/>
            </w:tcBorders>
            <w:shd w:val="clear" w:color="000000" w:fill="auto"/>
            <w:vAlign w:val="center"/>
            <w:hideMark/>
          </w:tcPr>
          <w:p w:rsidR="00881054" w:rsidRPr="00AB5A54" w:rsidRDefault="00881054" w:rsidP="002D57B5">
            <w:pPr>
              <w:jc w:val="center"/>
              <w:rPr>
                <w:rFonts w:ascii="Arial" w:hAnsi="Arial" w:cs="Arial"/>
                <w:sz w:val="18"/>
                <w:szCs w:val="18"/>
              </w:rPr>
            </w:pPr>
            <w:r w:rsidRPr="00AB5A54">
              <w:rPr>
                <w:rFonts w:ascii="Arial" w:hAnsi="Arial" w:cs="Arial"/>
                <w:sz w:val="18"/>
                <w:szCs w:val="18"/>
              </w:rPr>
              <w:t>0,00%</w:t>
            </w:r>
          </w:p>
        </w:tc>
      </w:tr>
      <w:tr w:rsidR="00881054" w:rsidRPr="009B5AA1" w:rsidTr="002D57B5">
        <w:trPr>
          <w:trHeight w:val="359"/>
        </w:trPr>
        <w:tc>
          <w:tcPr>
            <w:tcW w:w="0" w:type="auto"/>
            <w:tcBorders>
              <w:top w:val="single" w:sz="4" w:space="0" w:color="auto"/>
              <w:left w:val="single" w:sz="4" w:space="0" w:color="auto"/>
              <w:bottom w:val="single" w:sz="4" w:space="0" w:color="auto"/>
              <w:right w:val="single" w:sz="4" w:space="0" w:color="auto"/>
            </w:tcBorders>
            <w:shd w:val="clear" w:color="000000" w:fill="EAF1DD"/>
            <w:vAlign w:val="center"/>
            <w:hideMark/>
          </w:tcPr>
          <w:p w:rsidR="00881054" w:rsidRPr="00AB5A54" w:rsidRDefault="00881054" w:rsidP="002D57B5">
            <w:pPr>
              <w:jc w:val="center"/>
              <w:rPr>
                <w:rFonts w:ascii="Arial" w:hAnsi="Arial" w:cs="Arial"/>
                <w:b/>
                <w:bCs/>
                <w:sz w:val="18"/>
                <w:szCs w:val="18"/>
              </w:rPr>
            </w:pPr>
            <w:r w:rsidRPr="00AB5A54">
              <w:rPr>
                <w:rFonts w:ascii="Arial" w:hAnsi="Arial" w:cs="Arial"/>
                <w:b/>
                <w:bCs/>
                <w:sz w:val="18"/>
                <w:szCs w:val="18"/>
              </w:rPr>
              <w:t>Spolu</w:t>
            </w:r>
          </w:p>
        </w:tc>
        <w:tc>
          <w:tcPr>
            <w:tcW w:w="0" w:type="auto"/>
            <w:tcBorders>
              <w:top w:val="single" w:sz="4" w:space="0" w:color="auto"/>
              <w:left w:val="nil"/>
              <w:bottom w:val="single" w:sz="4" w:space="0" w:color="auto"/>
              <w:right w:val="single" w:sz="4" w:space="0" w:color="auto"/>
            </w:tcBorders>
            <w:shd w:val="clear" w:color="000000" w:fill="EAF1DD"/>
            <w:vAlign w:val="center"/>
            <w:hideMark/>
          </w:tcPr>
          <w:p w:rsidR="00881054" w:rsidRPr="00AB5A54" w:rsidRDefault="00881054" w:rsidP="002D57B5">
            <w:pPr>
              <w:jc w:val="center"/>
              <w:rPr>
                <w:rFonts w:ascii="Arial" w:hAnsi="Arial" w:cs="Arial"/>
                <w:b/>
                <w:bCs/>
                <w:sz w:val="18"/>
                <w:szCs w:val="18"/>
              </w:rPr>
            </w:pPr>
            <w:r w:rsidRPr="00AB5A54">
              <w:rPr>
                <w:rFonts w:ascii="Arial" w:hAnsi="Arial" w:cs="Arial"/>
                <w:b/>
                <w:bCs/>
                <w:sz w:val="18"/>
                <w:szCs w:val="18"/>
              </w:rPr>
              <w:t>581</w:t>
            </w:r>
          </w:p>
        </w:tc>
        <w:tc>
          <w:tcPr>
            <w:tcW w:w="0" w:type="auto"/>
            <w:tcBorders>
              <w:top w:val="single" w:sz="4" w:space="0" w:color="auto"/>
              <w:left w:val="nil"/>
              <w:bottom w:val="single" w:sz="4" w:space="0" w:color="auto"/>
              <w:right w:val="single" w:sz="4" w:space="0" w:color="auto"/>
            </w:tcBorders>
            <w:shd w:val="clear" w:color="000000" w:fill="EAF1DD"/>
            <w:vAlign w:val="center"/>
            <w:hideMark/>
          </w:tcPr>
          <w:p w:rsidR="00881054" w:rsidRPr="00AB5A54" w:rsidRDefault="00881054" w:rsidP="002D57B5">
            <w:pPr>
              <w:jc w:val="center"/>
              <w:rPr>
                <w:rFonts w:ascii="Arial" w:hAnsi="Arial" w:cs="Arial"/>
                <w:b/>
                <w:bCs/>
                <w:sz w:val="18"/>
                <w:szCs w:val="18"/>
              </w:rPr>
            </w:pPr>
            <w:r w:rsidRPr="00AB5A54">
              <w:rPr>
                <w:rFonts w:ascii="Arial" w:hAnsi="Arial" w:cs="Arial"/>
                <w:b/>
                <w:bCs/>
                <w:sz w:val="18"/>
                <w:szCs w:val="18"/>
              </w:rPr>
              <w:t>1 380 313 198</w:t>
            </w:r>
          </w:p>
        </w:tc>
        <w:tc>
          <w:tcPr>
            <w:tcW w:w="0" w:type="auto"/>
            <w:tcBorders>
              <w:top w:val="single" w:sz="4" w:space="0" w:color="auto"/>
              <w:left w:val="nil"/>
              <w:bottom w:val="single" w:sz="4" w:space="0" w:color="auto"/>
              <w:right w:val="single" w:sz="4" w:space="0" w:color="auto"/>
            </w:tcBorders>
            <w:shd w:val="clear" w:color="000000" w:fill="EAF1DD"/>
            <w:vAlign w:val="center"/>
            <w:hideMark/>
          </w:tcPr>
          <w:p w:rsidR="00881054" w:rsidRPr="00AB5A54" w:rsidRDefault="00881054" w:rsidP="002D57B5">
            <w:pPr>
              <w:jc w:val="center"/>
              <w:rPr>
                <w:rFonts w:ascii="Arial" w:hAnsi="Arial" w:cs="Arial"/>
                <w:b/>
                <w:bCs/>
                <w:sz w:val="18"/>
                <w:szCs w:val="18"/>
              </w:rPr>
            </w:pPr>
            <w:r w:rsidRPr="00AB5A54">
              <w:rPr>
                <w:rFonts w:ascii="Arial" w:hAnsi="Arial" w:cs="Arial"/>
                <w:b/>
                <w:bCs/>
                <w:sz w:val="18"/>
                <w:szCs w:val="18"/>
              </w:rPr>
              <w:t>0</w:t>
            </w:r>
          </w:p>
        </w:tc>
        <w:tc>
          <w:tcPr>
            <w:tcW w:w="0" w:type="auto"/>
            <w:tcBorders>
              <w:top w:val="single" w:sz="4" w:space="0" w:color="auto"/>
              <w:left w:val="nil"/>
              <w:bottom w:val="single" w:sz="4" w:space="0" w:color="auto"/>
              <w:right w:val="single" w:sz="4" w:space="0" w:color="auto"/>
            </w:tcBorders>
            <w:shd w:val="clear" w:color="000000" w:fill="EAF1DD"/>
            <w:vAlign w:val="center"/>
            <w:hideMark/>
          </w:tcPr>
          <w:p w:rsidR="00881054" w:rsidRPr="00AB5A54" w:rsidRDefault="00881054" w:rsidP="002D57B5">
            <w:pPr>
              <w:jc w:val="center"/>
              <w:rPr>
                <w:rFonts w:ascii="Arial" w:hAnsi="Arial" w:cs="Arial"/>
                <w:b/>
                <w:bCs/>
                <w:sz w:val="18"/>
                <w:szCs w:val="18"/>
              </w:rPr>
            </w:pPr>
            <w:r w:rsidRPr="00AB5A54">
              <w:rPr>
                <w:rFonts w:ascii="Arial" w:hAnsi="Arial" w:cs="Arial"/>
                <w:b/>
                <w:bCs/>
                <w:sz w:val="18"/>
                <w:szCs w:val="18"/>
              </w:rPr>
              <w:t>0</w:t>
            </w:r>
          </w:p>
        </w:tc>
        <w:tc>
          <w:tcPr>
            <w:tcW w:w="0" w:type="auto"/>
            <w:tcBorders>
              <w:top w:val="single" w:sz="4" w:space="0" w:color="auto"/>
              <w:left w:val="nil"/>
              <w:bottom w:val="single" w:sz="4" w:space="0" w:color="auto"/>
              <w:right w:val="single" w:sz="4" w:space="0" w:color="auto"/>
            </w:tcBorders>
            <w:shd w:val="clear" w:color="000000" w:fill="EAF1DD"/>
            <w:vAlign w:val="center"/>
            <w:hideMark/>
          </w:tcPr>
          <w:p w:rsidR="00881054" w:rsidRPr="00AB5A54" w:rsidRDefault="00881054" w:rsidP="002D57B5">
            <w:pPr>
              <w:jc w:val="center"/>
              <w:rPr>
                <w:rFonts w:ascii="Arial" w:hAnsi="Arial" w:cs="Arial"/>
                <w:sz w:val="18"/>
                <w:szCs w:val="18"/>
              </w:rPr>
            </w:pPr>
            <w:r w:rsidRPr="00AB5A54">
              <w:rPr>
                <w:rFonts w:ascii="Arial" w:hAnsi="Arial" w:cs="Arial"/>
                <w:sz w:val="18"/>
                <w:szCs w:val="18"/>
              </w:rPr>
              <w:t>0,00%</w:t>
            </w:r>
          </w:p>
        </w:tc>
      </w:tr>
    </w:tbl>
    <w:p w:rsidR="00881054" w:rsidRPr="009B5AA1" w:rsidRDefault="00881054" w:rsidP="00881054">
      <w:pPr>
        <w:jc w:val="both"/>
        <w:rPr>
          <w:rFonts w:ascii="Arial" w:hAnsi="Arial" w:cs="Arial"/>
          <w:sz w:val="18"/>
          <w:szCs w:val="18"/>
        </w:rPr>
      </w:pPr>
      <w:r w:rsidRPr="009B5AA1">
        <w:rPr>
          <w:rFonts w:ascii="Arial" w:hAnsi="Arial" w:cs="Arial"/>
          <w:sz w:val="18"/>
          <w:szCs w:val="18"/>
        </w:rPr>
        <w:t>Zdroj: ITMS</w:t>
      </w:r>
    </w:p>
    <w:p w:rsidR="00881054" w:rsidRPr="00AB5A54" w:rsidRDefault="00881054" w:rsidP="00881054">
      <w:pPr>
        <w:spacing w:before="240" w:line="360" w:lineRule="auto"/>
        <w:jc w:val="both"/>
        <w:rPr>
          <w:rFonts w:ascii="Arial" w:hAnsi="Arial" w:cs="Arial"/>
          <w:sz w:val="20"/>
          <w:szCs w:val="20"/>
          <w:highlight w:val="yellow"/>
        </w:rPr>
      </w:pPr>
      <w:r w:rsidRPr="00DD05D6">
        <w:rPr>
          <w:rFonts w:ascii="Arial" w:hAnsi="Arial" w:cs="Arial"/>
          <w:sz w:val="20"/>
          <w:szCs w:val="20"/>
        </w:rPr>
        <w:t xml:space="preserve">Tabuľka </w:t>
      </w:r>
      <w:r>
        <w:rPr>
          <w:rFonts w:ascii="Arial" w:hAnsi="Arial" w:cs="Arial"/>
          <w:sz w:val="20"/>
          <w:szCs w:val="20"/>
        </w:rPr>
        <w:t>k dátumu 31.12.2012 ešte ne</w:t>
      </w:r>
      <w:r w:rsidRPr="00DD05D6">
        <w:rPr>
          <w:rFonts w:ascii="Arial" w:hAnsi="Arial" w:cs="Arial"/>
          <w:sz w:val="20"/>
          <w:szCs w:val="20"/>
        </w:rPr>
        <w:t>zahŕňa  údaje týkajúce sa 3 žiadostí o</w:t>
      </w:r>
      <w:r>
        <w:rPr>
          <w:rFonts w:ascii="Arial" w:hAnsi="Arial" w:cs="Arial"/>
          <w:sz w:val="20"/>
          <w:szCs w:val="20"/>
        </w:rPr>
        <w:t> </w:t>
      </w:r>
      <w:r w:rsidRPr="00DD05D6">
        <w:rPr>
          <w:rFonts w:ascii="Arial" w:hAnsi="Arial" w:cs="Arial"/>
          <w:sz w:val="20"/>
          <w:szCs w:val="20"/>
        </w:rPr>
        <w:t>NFP</w:t>
      </w:r>
      <w:r>
        <w:rPr>
          <w:rFonts w:ascii="Arial" w:hAnsi="Arial" w:cs="Arial"/>
          <w:sz w:val="20"/>
          <w:szCs w:val="20"/>
        </w:rPr>
        <w:t>, ktoré boli</w:t>
      </w:r>
      <w:r w:rsidRPr="00DD05D6">
        <w:rPr>
          <w:rFonts w:ascii="Arial" w:hAnsi="Arial" w:cs="Arial"/>
          <w:sz w:val="20"/>
          <w:szCs w:val="20"/>
        </w:rPr>
        <w:t xml:space="preserve"> schválen</w:t>
      </w:r>
      <w:r>
        <w:rPr>
          <w:rFonts w:ascii="Arial" w:hAnsi="Arial" w:cs="Arial"/>
          <w:sz w:val="20"/>
          <w:szCs w:val="20"/>
        </w:rPr>
        <w:t>é</w:t>
      </w:r>
      <w:r w:rsidRPr="00DD05D6">
        <w:rPr>
          <w:rFonts w:ascii="Arial" w:hAnsi="Arial" w:cs="Arial"/>
          <w:sz w:val="20"/>
          <w:szCs w:val="20"/>
        </w:rPr>
        <w:t xml:space="preserve"> v rámci výzvy vyhlásenej dňa 22.12.2011</w:t>
      </w:r>
      <w:r>
        <w:rPr>
          <w:rFonts w:ascii="Arial" w:hAnsi="Arial" w:cs="Arial"/>
          <w:sz w:val="20"/>
          <w:szCs w:val="20"/>
        </w:rPr>
        <w:t>.</w:t>
      </w:r>
    </w:p>
    <w:p w:rsidR="00A407C3" w:rsidRDefault="00A407C3">
      <w:pPr>
        <w:rPr>
          <w:rFonts w:ascii="Arial" w:hAnsi="Arial" w:cs="Arial"/>
          <w:sz w:val="20"/>
          <w:szCs w:val="20"/>
        </w:rPr>
      </w:pPr>
    </w:p>
    <w:p w:rsidR="00881054" w:rsidRPr="004B33AE" w:rsidRDefault="00881054" w:rsidP="00881054">
      <w:pPr>
        <w:spacing w:before="120" w:line="360" w:lineRule="auto"/>
        <w:jc w:val="both"/>
        <w:rPr>
          <w:rFonts w:ascii="Arial" w:hAnsi="Arial" w:cs="Arial"/>
          <w:sz w:val="20"/>
          <w:szCs w:val="20"/>
        </w:rPr>
      </w:pPr>
      <w:r w:rsidRPr="009B5AA1">
        <w:rPr>
          <w:rFonts w:ascii="Arial" w:hAnsi="Arial" w:cs="Arial"/>
          <w:sz w:val="20"/>
          <w:szCs w:val="20"/>
        </w:rPr>
        <w:t xml:space="preserve">Tab. č. </w:t>
      </w:r>
      <w:r>
        <w:rPr>
          <w:rFonts w:ascii="Arial" w:hAnsi="Arial" w:cs="Arial"/>
          <w:sz w:val="20"/>
          <w:szCs w:val="20"/>
        </w:rPr>
        <w:t>73</w:t>
      </w:r>
      <w:r w:rsidRPr="009B5AA1">
        <w:rPr>
          <w:rFonts w:ascii="Arial" w:hAnsi="Arial" w:cs="Arial"/>
          <w:sz w:val="20"/>
          <w:szCs w:val="20"/>
        </w:rPr>
        <w:t>: Stav zazmluvnenia projektov s nepriamou podporou HP MRK podľa NUTS III k 31.12.201</w:t>
      </w:r>
      <w:r>
        <w:rPr>
          <w:rFonts w:ascii="Arial" w:hAnsi="Arial" w:cs="Arial"/>
          <w:sz w:val="20"/>
          <w:szCs w:val="20"/>
        </w:rPr>
        <w:t>2</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19"/>
        <w:gridCol w:w="1550"/>
        <w:gridCol w:w="1553"/>
        <w:gridCol w:w="1553"/>
        <w:gridCol w:w="1555"/>
        <w:gridCol w:w="1556"/>
      </w:tblGrid>
      <w:tr w:rsidR="00881054" w:rsidRPr="00C46F11" w:rsidTr="002D57B5">
        <w:trPr>
          <w:trHeight w:val="1185"/>
          <w:jc w:val="center"/>
        </w:trPr>
        <w:tc>
          <w:tcPr>
            <w:tcW w:w="0" w:type="auto"/>
            <w:tcBorders>
              <w:bottom w:val="single" w:sz="4" w:space="0" w:color="auto"/>
            </w:tcBorders>
            <w:shd w:val="clear" w:color="auto" w:fill="D6E3BC"/>
            <w:vAlign w:val="center"/>
            <w:hideMark/>
          </w:tcPr>
          <w:p w:rsidR="00881054" w:rsidRPr="00C46F11" w:rsidRDefault="00881054" w:rsidP="002D57B5">
            <w:pPr>
              <w:jc w:val="center"/>
              <w:rPr>
                <w:rFonts w:ascii="Arial" w:hAnsi="Arial" w:cs="Arial"/>
                <w:b/>
                <w:bCs/>
                <w:sz w:val="18"/>
                <w:szCs w:val="18"/>
              </w:rPr>
            </w:pPr>
            <w:r w:rsidRPr="00C46F11">
              <w:rPr>
                <w:rFonts w:ascii="Arial" w:hAnsi="Arial" w:cs="Arial"/>
                <w:b/>
                <w:bCs/>
                <w:sz w:val="18"/>
                <w:szCs w:val="18"/>
              </w:rPr>
              <w:t>Územie NUTS III</w:t>
            </w:r>
          </w:p>
        </w:tc>
        <w:tc>
          <w:tcPr>
            <w:tcW w:w="0" w:type="auto"/>
            <w:tcBorders>
              <w:bottom w:val="single" w:sz="4" w:space="0" w:color="auto"/>
            </w:tcBorders>
            <w:shd w:val="clear" w:color="auto" w:fill="D6E3BC"/>
            <w:vAlign w:val="center"/>
            <w:hideMark/>
          </w:tcPr>
          <w:p w:rsidR="00881054" w:rsidRPr="00C46F11" w:rsidRDefault="00881054" w:rsidP="002D57B5">
            <w:pPr>
              <w:jc w:val="center"/>
              <w:rPr>
                <w:rFonts w:ascii="Arial" w:hAnsi="Arial" w:cs="Arial"/>
                <w:b/>
                <w:bCs/>
                <w:sz w:val="18"/>
                <w:szCs w:val="18"/>
              </w:rPr>
            </w:pPr>
            <w:r w:rsidRPr="00C46F11">
              <w:rPr>
                <w:rFonts w:ascii="Arial" w:hAnsi="Arial" w:cs="Arial"/>
                <w:b/>
                <w:bCs/>
                <w:sz w:val="18"/>
                <w:szCs w:val="18"/>
              </w:rPr>
              <w:t>Počet zazmluvnených projektov celkovo</w:t>
            </w:r>
          </w:p>
        </w:tc>
        <w:tc>
          <w:tcPr>
            <w:tcW w:w="0" w:type="auto"/>
            <w:tcBorders>
              <w:bottom w:val="single" w:sz="4" w:space="0" w:color="auto"/>
            </w:tcBorders>
            <w:shd w:val="clear" w:color="auto" w:fill="D6E3BC"/>
            <w:vAlign w:val="center"/>
            <w:hideMark/>
          </w:tcPr>
          <w:p w:rsidR="00881054" w:rsidRPr="00C46F11" w:rsidRDefault="00881054" w:rsidP="002D57B5">
            <w:pPr>
              <w:jc w:val="center"/>
              <w:rPr>
                <w:rFonts w:ascii="Arial" w:hAnsi="Arial" w:cs="Arial"/>
                <w:b/>
                <w:bCs/>
                <w:sz w:val="18"/>
                <w:szCs w:val="18"/>
              </w:rPr>
            </w:pPr>
            <w:r w:rsidRPr="00C46F11">
              <w:rPr>
                <w:rFonts w:ascii="Arial" w:hAnsi="Arial" w:cs="Arial"/>
                <w:b/>
                <w:bCs/>
                <w:sz w:val="18"/>
                <w:szCs w:val="18"/>
              </w:rPr>
              <w:t>Celková výška zazmluvnených prostriedkov v €  (EU zdroje)</w:t>
            </w:r>
          </w:p>
        </w:tc>
        <w:tc>
          <w:tcPr>
            <w:tcW w:w="0" w:type="auto"/>
            <w:tcBorders>
              <w:bottom w:val="single" w:sz="4" w:space="0" w:color="auto"/>
            </w:tcBorders>
            <w:shd w:val="clear" w:color="auto" w:fill="D6E3BC"/>
            <w:vAlign w:val="center"/>
            <w:hideMark/>
          </w:tcPr>
          <w:p w:rsidR="00881054" w:rsidRPr="00C46F11" w:rsidRDefault="00881054" w:rsidP="002D57B5">
            <w:pPr>
              <w:jc w:val="center"/>
              <w:rPr>
                <w:rFonts w:ascii="Arial" w:hAnsi="Arial" w:cs="Arial"/>
                <w:b/>
                <w:bCs/>
                <w:sz w:val="18"/>
                <w:szCs w:val="18"/>
              </w:rPr>
            </w:pPr>
            <w:r w:rsidRPr="00C46F11">
              <w:rPr>
                <w:rFonts w:ascii="Arial" w:hAnsi="Arial" w:cs="Arial"/>
                <w:b/>
                <w:bCs/>
                <w:sz w:val="18"/>
                <w:szCs w:val="18"/>
              </w:rPr>
              <w:t>Počet zazmluvnených projektov s príspevkom HP MRK</w:t>
            </w:r>
          </w:p>
        </w:tc>
        <w:tc>
          <w:tcPr>
            <w:tcW w:w="0" w:type="auto"/>
            <w:tcBorders>
              <w:bottom w:val="single" w:sz="4" w:space="0" w:color="auto"/>
            </w:tcBorders>
            <w:shd w:val="clear" w:color="auto" w:fill="D6E3BC"/>
            <w:vAlign w:val="center"/>
            <w:hideMark/>
          </w:tcPr>
          <w:p w:rsidR="00881054" w:rsidRPr="00C46F11" w:rsidRDefault="00881054" w:rsidP="002D57B5">
            <w:pPr>
              <w:jc w:val="center"/>
              <w:rPr>
                <w:rFonts w:ascii="Arial" w:hAnsi="Arial" w:cs="Arial"/>
                <w:b/>
                <w:bCs/>
                <w:sz w:val="18"/>
                <w:szCs w:val="18"/>
              </w:rPr>
            </w:pPr>
            <w:r w:rsidRPr="00C46F11">
              <w:rPr>
                <w:rFonts w:ascii="Arial" w:hAnsi="Arial" w:cs="Arial"/>
                <w:b/>
                <w:bCs/>
                <w:sz w:val="18"/>
                <w:szCs w:val="18"/>
              </w:rPr>
              <w:t>Výška zazmluvnených prostriedkov v € s príspevkom HP MRK (EU zdroje)</w:t>
            </w:r>
          </w:p>
        </w:tc>
        <w:tc>
          <w:tcPr>
            <w:tcW w:w="0" w:type="auto"/>
            <w:tcBorders>
              <w:bottom w:val="single" w:sz="4" w:space="0" w:color="auto"/>
            </w:tcBorders>
            <w:shd w:val="clear" w:color="auto" w:fill="D6E3BC"/>
            <w:vAlign w:val="center"/>
            <w:hideMark/>
          </w:tcPr>
          <w:p w:rsidR="00881054" w:rsidRPr="00C46F11" w:rsidRDefault="00881054" w:rsidP="002D57B5">
            <w:pPr>
              <w:jc w:val="center"/>
              <w:rPr>
                <w:rFonts w:ascii="Arial" w:hAnsi="Arial" w:cs="Arial"/>
                <w:b/>
                <w:bCs/>
                <w:sz w:val="18"/>
                <w:szCs w:val="18"/>
              </w:rPr>
            </w:pPr>
            <w:r w:rsidRPr="00C46F11">
              <w:rPr>
                <w:rFonts w:ascii="Arial" w:hAnsi="Arial" w:cs="Arial"/>
                <w:b/>
                <w:bCs/>
                <w:sz w:val="18"/>
                <w:szCs w:val="18"/>
              </w:rPr>
              <w:t>% zazmluvnenia k HP MRK z celkového objemu zazmluvnených prostriedkov</w:t>
            </w:r>
          </w:p>
        </w:tc>
      </w:tr>
      <w:tr w:rsidR="00881054" w:rsidRPr="00C46F11" w:rsidTr="002D57B5">
        <w:trPr>
          <w:trHeight w:val="555"/>
          <w:jc w:val="center"/>
        </w:trPr>
        <w:tc>
          <w:tcPr>
            <w:tcW w:w="0" w:type="auto"/>
            <w:shd w:val="clear" w:color="auto" w:fill="EAF1DD"/>
            <w:vAlign w:val="center"/>
            <w:hideMark/>
          </w:tcPr>
          <w:p w:rsidR="00881054" w:rsidRPr="00C46F11" w:rsidRDefault="00881054" w:rsidP="002D57B5">
            <w:pPr>
              <w:jc w:val="center"/>
              <w:rPr>
                <w:rFonts w:ascii="Arial" w:hAnsi="Arial" w:cs="Arial"/>
                <w:sz w:val="18"/>
                <w:szCs w:val="18"/>
              </w:rPr>
            </w:pPr>
            <w:r w:rsidRPr="00C46F11">
              <w:rPr>
                <w:rFonts w:ascii="Arial" w:hAnsi="Arial" w:cs="Arial"/>
                <w:sz w:val="18"/>
                <w:szCs w:val="18"/>
              </w:rPr>
              <w:t>A</w:t>
            </w:r>
          </w:p>
        </w:tc>
        <w:tc>
          <w:tcPr>
            <w:tcW w:w="0" w:type="auto"/>
            <w:shd w:val="clear" w:color="auto" w:fill="EAF1DD"/>
            <w:vAlign w:val="center"/>
            <w:hideMark/>
          </w:tcPr>
          <w:p w:rsidR="00881054" w:rsidRPr="00C46F11" w:rsidRDefault="00881054" w:rsidP="002D57B5">
            <w:pPr>
              <w:jc w:val="center"/>
              <w:rPr>
                <w:rFonts w:ascii="Arial" w:hAnsi="Arial" w:cs="Arial"/>
                <w:sz w:val="18"/>
                <w:szCs w:val="18"/>
              </w:rPr>
            </w:pPr>
            <w:r w:rsidRPr="00C46F11">
              <w:rPr>
                <w:rFonts w:ascii="Arial" w:hAnsi="Arial" w:cs="Arial"/>
                <w:sz w:val="18"/>
                <w:szCs w:val="18"/>
              </w:rPr>
              <w:t>B</w:t>
            </w:r>
          </w:p>
        </w:tc>
        <w:tc>
          <w:tcPr>
            <w:tcW w:w="0" w:type="auto"/>
            <w:shd w:val="clear" w:color="auto" w:fill="EAF1DD"/>
            <w:vAlign w:val="center"/>
            <w:hideMark/>
          </w:tcPr>
          <w:p w:rsidR="00881054" w:rsidRPr="00C46F11" w:rsidRDefault="00881054" w:rsidP="002D57B5">
            <w:pPr>
              <w:jc w:val="center"/>
              <w:rPr>
                <w:rFonts w:ascii="Arial" w:hAnsi="Arial" w:cs="Arial"/>
                <w:sz w:val="18"/>
                <w:szCs w:val="18"/>
              </w:rPr>
            </w:pPr>
            <w:r w:rsidRPr="00C46F11">
              <w:rPr>
                <w:rFonts w:ascii="Arial" w:hAnsi="Arial" w:cs="Arial"/>
                <w:sz w:val="18"/>
                <w:szCs w:val="18"/>
              </w:rPr>
              <w:t>∑C=D v tabuľke č. 7+B v tabuľke č. 8</w:t>
            </w:r>
          </w:p>
        </w:tc>
        <w:tc>
          <w:tcPr>
            <w:tcW w:w="0" w:type="auto"/>
            <w:shd w:val="clear" w:color="auto" w:fill="EAF1DD"/>
            <w:vAlign w:val="center"/>
            <w:hideMark/>
          </w:tcPr>
          <w:p w:rsidR="00881054" w:rsidRPr="00C46F11" w:rsidRDefault="00881054" w:rsidP="002D57B5">
            <w:pPr>
              <w:jc w:val="center"/>
              <w:rPr>
                <w:rFonts w:ascii="Arial" w:hAnsi="Arial" w:cs="Arial"/>
                <w:sz w:val="18"/>
                <w:szCs w:val="18"/>
              </w:rPr>
            </w:pPr>
            <w:r w:rsidRPr="00C46F11">
              <w:rPr>
                <w:rFonts w:ascii="Arial" w:hAnsi="Arial" w:cs="Arial"/>
                <w:sz w:val="18"/>
                <w:szCs w:val="18"/>
              </w:rPr>
              <w:t>D</w:t>
            </w:r>
          </w:p>
        </w:tc>
        <w:tc>
          <w:tcPr>
            <w:tcW w:w="0" w:type="auto"/>
            <w:shd w:val="clear" w:color="auto" w:fill="EAF1DD"/>
            <w:vAlign w:val="center"/>
            <w:hideMark/>
          </w:tcPr>
          <w:p w:rsidR="00881054" w:rsidRPr="00C46F11" w:rsidRDefault="00881054" w:rsidP="002D57B5">
            <w:pPr>
              <w:jc w:val="center"/>
              <w:rPr>
                <w:rFonts w:ascii="Arial" w:hAnsi="Arial" w:cs="Arial"/>
                <w:sz w:val="18"/>
                <w:szCs w:val="18"/>
              </w:rPr>
            </w:pPr>
            <w:r w:rsidRPr="00C46F11">
              <w:rPr>
                <w:rFonts w:ascii="Arial" w:hAnsi="Arial" w:cs="Arial"/>
                <w:sz w:val="18"/>
                <w:szCs w:val="18"/>
              </w:rPr>
              <w:t>E</w:t>
            </w:r>
          </w:p>
        </w:tc>
        <w:tc>
          <w:tcPr>
            <w:tcW w:w="0" w:type="auto"/>
            <w:shd w:val="clear" w:color="auto" w:fill="EAF1DD"/>
            <w:vAlign w:val="center"/>
            <w:hideMark/>
          </w:tcPr>
          <w:p w:rsidR="00881054" w:rsidRPr="00C46F11" w:rsidRDefault="00881054" w:rsidP="002D57B5">
            <w:pPr>
              <w:jc w:val="center"/>
              <w:rPr>
                <w:rFonts w:ascii="Arial" w:hAnsi="Arial" w:cs="Arial"/>
                <w:sz w:val="18"/>
                <w:szCs w:val="18"/>
              </w:rPr>
            </w:pPr>
            <w:r w:rsidRPr="00C46F11">
              <w:rPr>
                <w:rFonts w:ascii="Arial" w:hAnsi="Arial" w:cs="Arial"/>
                <w:sz w:val="18"/>
                <w:szCs w:val="18"/>
              </w:rPr>
              <w:t>F=E/C</w:t>
            </w:r>
          </w:p>
        </w:tc>
      </w:tr>
      <w:tr w:rsidR="00881054" w:rsidRPr="00C46F11" w:rsidTr="002D57B5">
        <w:trPr>
          <w:trHeight w:val="361"/>
          <w:jc w:val="center"/>
        </w:trPr>
        <w:tc>
          <w:tcPr>
            <w:tcW w:w="0" w:type="auto"/>
            <w:shd w:val="clear" w:color="auto" w:fill="auto"/>
            <w:vAlign w:val="center"/>
            <w:hideMark/>
          </w:tcPr>
          <w:p w:rsidR="00881054" w:rsidRPr="00C46F11" w:rsidRDefault="00881054" w:rsidP="002D57B5">
            <w:pPr>
              <w:rPr>
                <w:rFonts w:ascii="Arial" w:hAnsi="Arial" w:cs="Arial"/>
                <w:sz w:val="18"/>
                <w:szCs w:val="18"/>
              </w:rPr>
            </w:pPr>
            <w:r w:rsidRPr="00C46F11">
              <w:rPr>
                <w:rFonts w:ascii="Arial" w:hAnsi="Arial" w:cs="Arial"/>
                <w:sz w:val="18"/>
                <w:szCs w:val="18"/>
              </w:rPr>
              <w:t>Bratislavský</w:t>
            </w:r>
          </w:p>
        </w:tc>
        <w:tc>
          <w:tcPr>
            <w:tcW w:w="0" w:type="auto"/>
            <w:shd w:val="clear" w:color="auto" w:fill="auto"/>
            <w:vAlign w:val="center"/>
            <w:hideMark/>
          </w:tcPr>
          <w:p w:rsidR="00881054" w:rsidRPr="00C46F11" w:rsidRDefault="00881054" w:rsidP="002D57B5">
            <w:pPr>
              <w:jc w:val="center"/>
              <w:rPr>
                <w:rFonts w:ascii="Arial" w:hAnsi="Arial" w:cs="Arial"/>
                <w:sz w:val="18"/>
                <w:szCs w:val="18"/>
              </w:rPr>
            </w:pPr>
            <w:r w:rsidRPr="00C46F11">
              <w:rPr>
                <w:rFonts w:ascii="Arial" w:hAnsi="Arial" w:cs="Arial"/>
                <w:sz w:val="18"/>
                <w:szCs w:val="18"/>
              </w:rPr>
              <w:t>24</w:t>
            </w:r>
          </w:p>
        </w:tc>
        <w:tc>
          <w:tcPr>
            <w:tcW w:w="0" w:type="auto"/>
            <w:shd w:val="clear" w:color="auto" w:fill="auto"/>
            <w:vAlign w:val="center"/>
            <w:hideMark/>
          </w:tcPr>
          <w:p w:rsidR="00881054" w:rsidRPr="00C46F11" w:rsidRDefault="00881054" w:rsidP="002D57B5">
            <w:pPr>
              <w:jc w:val="center"/>
              <w:rPr>
                <w:rFonts w:ascii="Arial" w:hAnsi="Arial" w:cs="Arial"/>
                <w:sz w:val="18"/>
                <w:szCs w:val="18"/>
              </w:rPr>
            </w:pPr>
            <w:r w:rsidRPr="00C46F11">
              <w:rPr>
                <w:rFonts w:ascii="Arial" w:hAnsi="Arial" w:cs="Arial"/>
                <w:sz w:val="18"/>
                <w:szCs w:val="18"/>
              </w:rPr>
              <w:t>91 886 795</w:t>
            </w:r>
          </w:p>
        </w:tc>
        <w:tc>
          <w:tcPr>
            <w:tcW w:w="0" w:type="auto"/>
            <w:shd w:val="clear" w:color="auto" w:fill="auto"/>
            <w:vAlign w:val="center"/>
            <w:hideMark/>
          </w:tcPr>
          <w:p w:rsidR="00881054" w:rsidRPr="00C46F11" w:rsidRDefault="00881054" w:rsidP="002D57B5">
            <w:pPr>
              <w:jc w:val="center"/>
              <w:rPr>
                <w:rFonts w:ascii="Arial" w:hAnsi="Arial" w:cs="Arial"/>
                <w:sz w:val="18"/>
                <w:szCs w:val="18"/>
              </w:rPr>
            </w:pPr>
            <w:r w:rsidRPr="00C46F11">
              <w:rPr>
                <w:rFonts w:ascii="Arial" w:hAnsi="Arial" w:cs="Arial"/>
                <w:sz w:val="18"/>
                <w:szCs w:val="18"/>
              </w:rPr>
              <w:t>4</w:t>
            </w:r>
          </w:p>
        </w:tc>
        <w:tc>
          <w:tcPr>
            <w:tcW w:w="0" w:type="auto"/>
            <w:shd w:val="clear" w:color="auto" w:fill="auto"/>
            <w:vAlign w:val="center"/>
            <w:hideMark/>
          </w:tcPr>
          <w:p w:rsidR="00881054" w:rsidRPr="00C46F11" w:rsidRDefault="00881054" w:rsidP="002D57B5">
            <w:pPr>
              <w:jc w:val="center"/>
              <w:rPr>
                <w:rFonts w:ascii="Arial" w:hAnsi="Arial" w:cs="Arial"/>
                <w:sz w:val="18"/>
                <w:szCs w:val="18"/>
              </w:rPr>
            </w:pPr>
            <w:r w:rsidRPr="00C46F11">
              <w:rPr>
                <w:rFonts w:ascii="Arial" w:hAnsi="Arial" w:cs="Arial"/>
                <w:sz w:val="18"/>
                <w:szCs w:val="18"/>
              </w:rPr>
              <w:t>19 866 500</w:t>
            </w:r>
          </w:p>
        </w:tc>
        <w:tc>
          <w:tcPr>
            <w:tcW w:w="0" w:type="auto"/>
            <w:shd w:val="clear" w:color="auto" w:fill="auto"/>
            <w:vAlign w:val="center"/>
            <w:hideMark/>
          </w:tcPr>
          <w:p w:rsidR="00881054" w:rsidRPr="00C46F11" w:rsidRDefault="00881054" w:rsidP="002D57B5">
            <w:pPr>
              <w:jc w:val="center"/>
              <w:rPr>
                <w:rFonts w:ascii="Arial" w:hAnsi="Arial" w:cs="Arial"/>
                <w:sz w:val="18"/>
                <w:szCs w:val="18"/>
              </w:rPr>
            </w:pPr>
            <w:r w:rsidRPr="00C46F11">
              <w:rPr>
                <w:rFonts w:ascii="Arial" w:hAnsi="Arial" w:cs="Arial"/>
                <w:sz w:val="18"/>
                <w:szCs w:val="18"/>
              </w:rPr>
              <w:t>21,62%</w:t>
            </w:r>
          </w:p>
        </w:tc>
      </w:tr>
      <w:tr w:rsidR="00881054" w:rsidRPr="00C46F11" w:rsidTr="002D57B5">
        <w:trPr>
          <w:trHeight w:val="409"/>
          <w:jc w:val="center"/>
        </w:trPr>
        <w:tc>
          <w:tcPr>
            <w:tcW w:w="0" w:type="auto"/>
            <w:shd w:val="clear" w:color="auto" w:fill="auto"/>
            <w:vAlign w:val="center"/>
            <w:hideMark/>
          </w:tcPr>
          <w:p w:rsidR="00881054" w:rsidRPr="00C46F11" w:rsidRDefault="00881054" w:rsidP="002D57B5">
            <w:pPr>
              <w:rPr>
                <w:rFonts w:ascii="Arial" w:hAnsi="Arial" w:cs="Arial"/>
                <w:sz w:val="18"/>
                <w:szCs w:val="18"/>
              </w:rPr>
            </w:pPr>
            <w:r w:rsidRPr="00C46F11">
              <w:rPr>
                <w:rFonts w:ascii="Arial" w:hAnsi="Arial" w:cs="Arial"/>
                <w:sz w:val="18"/>
                <w:szCs w:val="18"/>
              </w:rPr>
              <w:t>Trnavský</w:t>
            </w:r>
          </w:p>
        </w:tc>
        <w:tc>
          <w:tcPr>
            <w:tcW w:w="0" w:type="auto"/>
            <w:shd w:val="clear" w:color="auto" w:fill="auto"/>
            <w:vAlign w:val="center"/>
            <w:hideMark/>
          </w:tcPr>
          <w:p w:rsidR="00881054" w:rsidRPr="00C46F11" w:rsidRDefault="00881054" w:rsidP="002D57B5">
            <w:pPr>
              <w:jc w:val="center"/>
              <w:rPr>
                <w:rFonts w:ascii="Arial" w:hAnsi="Arial" w:cs="Arial"/>
                <w:sz w:val="18"/>
                <w:szCs w:val="18"/>
              </w:rPr>
            </w:pPr>
            <w:r w:rsidRPr="00C46F11">
              <w:rPr>
                <w:rFonts w:ascii="Arial" w:hAnsi="Arial" w:cs="Arial"/>
                <w:sz w:val="18"/>
                <w:szCs w:val="18"/>
              </w:rPr>
              <w:t>61</w:t>
            </w:r>
          </w:p>
        </w:tc>
        <w:tc>
          <w:tcPr>
            <w:tcW w:w="0" w:type="auto"/>
            <w:shd w:val="clear" w:color="auto" w:fill="auto"/>
            <w:vAlign w:val="center"/>
            <w:hideMark/>
          </w:tcPr>
          <w:p w:rsidR="00881054" w:rsidRPr="00C46F11" w:rsidRDefault="00881054" w:rsidP="002D57B5">
            <w:pPr>
              <w:jc w:val="center"/>
              <w:rPr>
                <w:rFonts w:ascii="Arial" w:hAnsi="Arial" w:cs="Arial"/>
                <w:sz w:val="18"/>
                <w:szCs w:val="18"/>
              </w:rPr>
            </w:pPr>
            <w:r w:rsidRPr="00C46F11">
              <w:rPr>
                <w:rFonts w:ascii="Arial" w:hAnsi="Arial" w:cs="Arial"/>
                <w:sz w:val="18"/>
                <w:szCs w:val="18"/>
              </w:rPr>
              <w:t>134 264 173</w:t>
            </w:r>
          </w:p>
        </w:tc>
        <w:tc>
          <w:tcPr>
            <w:tcW w:w="0" w:type="auto"/>
            <w:shd w:val="clear" w:color="auto" w:fill="auto"/>
            <w:vAlign w:val="center"/>
            <w:hideMark/>
          </w:tcPr>
          <w:p w:rsidR="00881054" w:rsidRPr="00C46F11" w:rsidRDefault="00881054" w:rsidP="002D57B5">
            <w:pPr>
              <w:jc w:val="center"/>
              <w:rPr>
                <w:rFonts w:ascii="Arial" w:hAnsi="Arial" w:cs="Arial"/>
                <w:sz w:val="18"/>
                <w:szCs w:val="18"/>
              </w:rPr>
            </w:pPr>
            <w:r w:rsidRPr="00C46F11">
              <w:rPr>
                <w:rFonts w:ascii="Arial" w:hAnsi="Arial" w:cs="Arial"/>
                <w:sz w:val="18"/>
                <w:szCs w:val="18"/>
              </w:rPr>
              <w:t>21</w:t>
            </w:r>
          </w:p>
        </w:tc>
        <w:tc>
          <w:tcPr>
            <w:tcW w:w="0" w:type="auto"/>
            <w:shd w:val="clear" w:color="auto" w:fill="auto"/>
            <w:vAlign w:val="center"/>
            <w:hideMark/>
          </w:tcPr>
          <w:p w:rsidR="00881054" w:rsidRPr="00C46F11" w:rsidRDefault="00881054" w:rsidP="002D57B5">
            <w:pPr>
              <w:jc w:val="center"/>
              <w:rPr>
                <w:rFonts w:ascii="Arial" w:hAnsi="Arial" w:cs="Arial"/>
                <w:sz w:val="18"/>
                <w:szCs w:val="18"/>
              </w:rPr>
            </w:pPr>
            <w:r w:rsidRPr="00C46F11">
              <w:rPr>
                <w:rFonts w:ascii="Arial" w:hAnsi="Arial" w:cs="Arial"/>
                <w:sz w:val="18"/>
                <w:szCs w:val="18"/>
              </w:rPr>
              <w:t>47 934 939</w:t>
            </w:r>
          </w:p>
        </w:tc>
        <w:tc>
          <w:tcPr>
            <w:tcW w:w="0" w:type="auto"/>
            <w:shd w:val="clear" w:color="auto" w:fill="auto"/>
            <w:vAlign w:val="center"/>
            <w:hideMark/>
          </w:tcPr>
          <w:p w:rsidR="00881054" w:rsidRPr="00C46F11" w:rsidRDefault="00881054" w:rsidP="002D57B5">
            <w:pPr>
              <w:jc w:val="center"/>
              <w:rPr>
                <w:rFonts w:ascii="Arial" w:hAnsi="Arial" w:cs="Arial"/>
                <w:sz w:val="18"/>
                <w:szCs w:val="18"/>
              </w:rPr>
            </w:pPr>
            <w:r w:rsidRPr="00C46F11">
              <w:rPr>
                <w:rFonts w:ascii="Arial" w:hAnsi="Arial" w:cs="Arial"/>
                <w:sz w:val="18"/>
                <w:szCs w:val="18"/>
              </w:rPr>
              <w:t>35,70%</w:t>
            </w:r>
          </w:p>
        </w:tc>
      </w:tr>
      <w:tr w:rsidR="00881054" w:rsidRPr="00C46F11" w:rsidTr="002D57B5">
        <w:trPr>
          <w:trHeight w:val="414"/>
          <w:jc w:val="center"/>
        </w:trPr>
        <w:tc>
          <w:tcPr>
            <w:tcW w:w="0" w:type="auto"/>
            <w:shd w:val="clear" w:color="auto" w:fill="auto"/>
            <w:vAlign w:val="center"/>
            <w:hideMark/>
          </w:tcPr>
          <w:p w:rsidR="00881054" w:rsidRPr="00C46F11" w:rsidRDefault="00881054" w:rsidP="002D57B5">
            <w:pPr>
              <w:rPr>
                <w:rFonts w:ascii="Arial" w:hAnsi="Arial" w:cs="Arial"/>
                <w:sz w:val="18"/>
                <w:szCs w:val="18"/>
              </w:rPr>
            </w:pPr>
            <w:r w:rsidRPr="00C46F11">
              <w:rPr>
                <w:rFonts w:ascii="Arial" w:hAnsi="Arial" w:cs="Arial"/>
                <w:sz w:val="18"/>
                <w:szCs w:val="18"/>
              </w:rPr>
              <w:t>Trenčiansky</w:t>
            </w:r>
          </w:p>
        </w:tc>
        <w:tc>
          <w:tcPr>
            <w:tcW w:w="0" w:type="auto"/>
            <w:shd w:val="clear" w:color="auto" w:fill="auto"/>
            <w:vAlign w:val="center"/>
            <w:hideMark/>
          </w:tcPr>
          <w:p w:rsidR="00881054" w:rsidRPr="00C46F11" w:rsidRDefault="00881054" w:rsidP="002D57B5">
            <w:pPr>
              <w:jc w:val="center"/>
              <w:rPr>
                <w:rFonts w:ascii="Arial" w:hAnsi="Arial" w:cs="Arial"/>
                <w:sz w:val="18"/>
                <w:szCs w:val="18"/>
              </w:rPr>
            </w:pPr>
            <w:r w:rsidRPr="00C46F11">
              <w:rPr>
                <w:rFonts w:ascii="Arial" w:hAnsi="Arial" w:cs="Arial"/>
                <w:sz w:val="18"/>
                <w:szCs w:val="18"/>
              </w:rPr>
              <w:t>58</w:t>
            </w:r>
          </w:p>
        </w:tc>
        <w:tc>
          <w:tcPr>
            <w:tcW w:w="0" w:type="auto"/>
            <w:shd w:val="clear" w:color="auto" w:fill="auto"/>
            <w:vAlign w:val="center"/>
            <w:hideMark/>
          </w:tcPr>
          <w:p w:rsidR="00881054" w:rsidRPr="00C46F11" w:rsidRDefault="00881054" w:rsidP="002D57B5">
            <w:pPr>
              <w:jc w:val="center"/>
              <w:rPr>
                <w:rFonts w:ascii="Arial" w:hAnsi="Arial" w:cs="Arial"/>
                <w:sz w:val="18"/>
                <w:szCs w:val="18"/>
              </w:rPr>
            </w:pPr>
            <w:r w:rsidRPr="00C46F11">
              <w:rPr>
                <w:rFonts w:ascii="Arial" w:hAnsi="Arial" w:cs="Arial"/>
                <w:sz w:val="18"/>
                <w:szCs w:val="18"/>
              </w:rPr>
              <w:t>158 781 106</w:t>
            </w:r>
          </w:p>
        </w:tc>
        <w:tc>
          <w:tcPr>
            <w:tcW w:w="0" w:type="auto"/>
            <w:shd w:val="clear" w:color="auto" w:fill="auto"/>
            <w:vAlign w:val="center"/>
            <w:hideMark/>
          </w:tcPr>
          <w:p w:rsidR="00881054" w:rsidRPr="00C46F11" w:rsidRDefault="00881054" w:rsidP="002D57B5">
            <w:pPr>
              <w:jc w:val="center"/>
              <w:rPr>
                <w:rFonts w:ascii="Arial" w:hAnsi="Arial" w:cs="Arial"/>
                <w:sz w:val="18"/>
                <w:szCs w:val="18"/>
              </w:rPr>
            </w:pPr>
            <w:r w:rsidRPr="00C46F11">
              <w:rPr>
                <w:rFonts w:ascii="Arial" w:hAnsi="Arial" w:cs="Arial"/>
                <w:sz w:val="18"/>
                <w:szCs w:val="18"/>
              </w:rPr>
              <w:t>9</w:t>
            </w:r>
          </w:p>
        </w:tc>
        <w:tc>
          <w:tcPr>
            <w:tcW w:w="0" w:type="auto"/>
            <w:shd w:val="clear" w:color="auto" w:fill="auto"/>
            <w:vAlign w:val="center"/>
            <w:hideMark/>
          </w:tcPr>
          <w:p w:rsidR="00881054" w:rsidRPr="00C46F11" w:rsidRDefault="00881054" w:rsidP="002D57B5">
            <w:pPr>
              <w:jc w:val="center"/>
              <w:rPr>
                <w:rFonts w:ascii="Arial" w:hAnsi="Arial" w:cs="Arial"/>
                <w:sz w:val="18"/>
                <w:szCs w:val="18"/>
              </w:rPr>
            </w:pPr>
            <w:r w:rsidRPr="00C46F11">
              <w:rPr>
                <w:rFonts w:ascii="Arial" w:hAnsi="Arial" w:cs="Arial"/>
                <w:sz w:val="18"/>
                <w:szCs w:val="18"/>
              </w:rPr>
              <w:t>18 339 853</w:t>
            </w:r>
          </w:p>
        </w:tc>
        <w:tc>
          <w:tcPr>
            <w:tcW w:w="0" w:type="auto"/>
            <w:shd w:val="clear" w:color="auto" w:fill="auto"/>
            <w:vAlign w:val="center"/>
            <w:hideMark/>
          </w:tcPr>
          <w:p w:rsidR="00881054" w:rsidRPr="00C46F11" w:rsidRDefault="00881054" w:rsidP="002D57B5">
            <w:pPr>
              <w:jc w:val="center"/>
              <w:rPr>
                <w:rFonts w:ascii="Arial" w:hAnsi="Arial" w:cs="Arial"/>
                <w:sz w:val="18"/>
                <w:szCs w:val="18"/>
              </w:rPr>
            </w:pPr>
            <w:r w:rsidRPr="00C46F11">
              <w:rPr>
                <w:rFonts w:ascii="Arial" w:hAnsi="Arial" w:cs="Arial"/>
                <w:sz w:val="18"/>
                <w:szCs w:val="18"/>
              </w:rPr>
              <w:t>11,55%</w:t>
            </w:r>
          </w:p>
        </w:tc>
      </w:tr>
      <w:tr w:rsidR="00881054" w:rsidRPr="00C46F11" w:rsidTr="002D57B5">
        <w:trPr>
          <w:trHeight w:val="420"/>
          <w:jc w:val="center"/>
        </w:trPr>
        <w:tc>
          <w:tcPr>
            <w:tcW w:w="0" w:type="auto"/>
            <w:shd w:val="clear" w:color="auto" w:fill="auto"/>
            <w:vAlign w:val="center"/>
            <w:hideMark/>
          </w:tcPr>
          <w:p w:rsidR="00881054" w:rsidRPr="00C46F11" w:rsidRDefault="00881054" w:rsidP="002D57B5">
            <w:pPr>
              <w:rPr>
                <w:rFonts w:ascii="Arial" w:hAnsi="Arial" w:cs="Arial"/>
                <w:sz w:val="18"/>
                <w:szCs w:val="18"/>
              </w:rPr>
            </w:pPr>
            <w:r w:rsidRPr="00C46F11">
              <w:rPr>
                <w:rFonts w:ascii="Arial" w:hAnsi="Arial" w:cs="Arial"/>
                <w:sz w:val="18"/>
                <w:szCs w:val="18"/>
              </w:rPr>
              <w:t>Nitriansky</w:t>
            </w:r>
          </w:p>
        </w:tc>
        <w:tc>
          <w:tcPr>
            <w:tcW w:w="0" w:type="auto"/>
            <w:shd w:val="clear" w:color="auto" w:fill="auto"/>
            <w:vAlign w:val="center"/>
            <w:hideMark/>
          </w:tcPr>
          <w:p w:rsidR="00881054" w:rsidRPr="00C46F11" w:rsidRDefault="00881054" w:rsidP="002D57B5">
            <w:pPr>
              <w:jc w:val="center"/>
              <w:rPr>
                <w:rFonts w:ascii="Arial" w:hAnsi="Arial" w:cs="Arial"/>
                <w:sz w:val="18"/>
                <w:szCs w:val="18"/>
              </w:rPr>
            </w:pPr>
            <w:r w:rsidRPr="00C46F11">
              <w:rPr>
                <w:rFonts w:ascii="Arial" w:hAnsi="Arial" w:cs="Arial"/>
                <w:sz w:val="18"/>
                <w:szCs w:val="18"/>
              </w:rPr>
              <w:t>58</w:t>
            </w:r>
          </w:p>
        </w:tc>
        <w:tc>
          <w:tcPr>
            <w:tcW w:w="0" w:type="auto"/>
            <w:shd w:val="clear" w:color="auto" w:fill="auto"/>
            <w:vAlign w:val="center"/>
            <w:hideMark/>
          </w:tcPr>
          <w:p w:rsidR="00881054" w:rsidRPr="00C46F11" w:rsidRDefault="00881054" w:rsidP="002D57B5">
            <w:pPr>
              <w:jc w:val="center"/>
              <w:rPr>
                <w:rFonts w:ascii="Arial" w:hAnsi="Arial" w:cs="Arial"/>
                <w:sz w:val="18"/>
                <w:szCs w:val="18"/>
              </w:rPr>
            </w:pPr>
            <w:r w:rsidRPr="00C46F11">
              <w:rPr>
                <w:rFonts w:ascii="Arial" w:hAnsi="Arial" w:cs="Arial"/>
                <w:sz w:val="18"/>
                <w:szCs w:val="18"/>
              </w:rPr>
              <w:t>135 965 100</w:t>
            </w:r>
          </w:p>
        </w:tc>
        <w:tc>
          <w:tcPr>
            <w:tcW w:w="0" w:type="auto"/>
            <w:shd w:val="clear" w:color="auto" w:fill="auto"/>
            <w:vAlign w:val="center"/>
            <w:hideMark/>
          </w:tcPr>
          <w:p w:rsidR="00881054" w:rsidRPr="00C46F11" w:rsidRDefault="00881054" w:rsidP="002D57B5">
            <w:pPr>
              <w:jc w:val="center"/>
              <w:rPr>
                <w:rFonts w:ascii="Arial" w:hAnsi="Arial" w:cs="Arial"/>
                <w:sz w:val="18"/>
                <w:szCs w:val="18"/>
              </w:rPr>
            </w:pPr>
            <w:r w:rsidRPr="00C46F11">
              <w:rPr>
                <w:rFonts w:ascii="Arial" w:hAnsi="Arial" w:cs="Arial"/>
                <w:sz w:val="18"/>
                <w:szCs w:val="18"/>
              </w:rPr>
              <w:t>17</w:t>
            </w:r>
          </w:p>
        </w:tc>
        <w:tc>
          <w:tcPr>
            <w:tcW w:w="0" w:type="auto"/>
            <w:shd w:val="clear" w:color="auto" w:fill="auto"/>
            <w:vAlign w:val="center"/>
            <w:hideMark/>
          </w:tcPr>
          <w:p w:rsidR="00881054" w:rsidRPr="00C46F11" w:rsidRDefault="00881054" w:rsidP="002D57B5">
            <w:pPr>
              <w:jc w:val="center"/>
              <w:rPr>
                <w:rFonts w:ascii="Arial" w:hAnsi="Arial" w:cs="Arial"/>
                <w:sz w:val="18"/>
                <w:szCs w:val="18"/>
              </w:rPr>
            </w:pPr>
            <w:r w:rsidRPr="00C46F11">
              <w:rPr>
                <w:rFonts w:ascii="Arial" w:hAnsi="Arial" w:cs="Arial"/>
                <w:sz w:val="18"/>
                <w:szCs w:val="18"/>
              </w:rPr>
              <w:t>67 924 278</w:t>
            </w:r>
          </w:p>
        </w:tc>
        <w:tc>
          <w:tcPr>
            <w:tcW w:w="0" w:type="auto"/>
            <w:shd w:val="clear" w:color="auto" w:fill="auto"/>
            <w:vAlign w:val="center"/>
            <w:hideMark/>
          </w:tcPr>
          <w:p w:rsidR="00881054" w:rsidRPr="00C46F11" w:rsidRDefault="00881054" w:rsidP="002D57B5">
            <w:pPr>
              <w:jc w:val="center"/>
              <w:rPr>
                <w:rFonts w:ascii="Arial" w:hAnsi="Arial" w:cs="Arial"/>
                <w:sz w:val="18"/>
                <w:szCs w:val="18"/>
              </w:rPr>
            </w:pPr>
            <w:r w:rsidRPr="00C46F11">
              <w:rPr>
                <w:rFonts w:ascii="Arial" w:hAnsi="Arial" w:cs="Arial"/>
                <w:sz w:val="18"/>
                <w:szCs w:val="18"/>
              </w:rPr>
              <w:t>49,96%</w:t>
            </w:r>
          </w:p>
        </w:tc>
      </w:tr>
      <w:tr w:rsidR="00881054" w:rsidRPr="00C46F11" w:rsidTr="002D57B5">
        <w:trPr>
          <w:trHeight w:val="412"/>
          <w:jc w:val="center"/>
        </w:trPr>
        <w:tc>
          <w:tcPr>
            <w:tcW w:w="0" w:type="auto"/>
            <w:shd w:val="clear" w:color="auto" w:fill="auto"/>
            <w:vAlign w:val="center"/>
            <w:hideMark/>
          </w:tcPr>
          <w:p w:rsidR="00881054" w:rsidRPr="00C46F11" w:rsidRDefault="00881054" w:rsidP="002D57B5">
            <w:pPr>
              <w:rPr>
                <w:rFonts w:ascii="Arial" w:hAnsi="Arial" w:cs="Arial"/>
                <w:sz w:val="18"/>
                <w:szCs w:val="18"/>
              </w:rPr>
            </w:pPr>
            <w:r w:rsidRPr="00C46F11">
              <w:rPr>
                <w:rFonts w:ascii="Arial" w:hAnsi="Arial" w:cs="Arial"/>
                <w:sz w:val="18"/>
                <w:szCs w:val="18"/>
              </w:rPr>
              <w:t>Žilinský</w:t>
            </w:r>
          </w:p>
        </w:tc>
        <w:tc>
          <w:tcPr>
            <w:tcW w:w="0" w:type="auto"/>
            <w:shd w:val="clear" w:color="auto" w:fill="auto"/>
            <w:vAlign w:val="center"/>
            <w:hideMark/>
          </w:tcPr>
          <w:p w:rsidR="00881054" w:rsidRPr="00C46F11" w:rsidRDefault="00881054" w:rsidP="002D57B5">
            <w:pPr>
              <w:jc w:val="center"/>
              <w:rPr>
                <w:rFonts w:ascii="Arial" w:hAnsi="Arial" w:cs="Arial"/>
                <w:sz w:val="18"/>
                <w:szCs w:val="18"/>
              </w:rPr>
            </w:pPr>
            <w:r w:rsidRPr="00C46F11">
              <w:rPr>
                <w:rFonts w:ascii="Arial" w:hAnsi="Arial" w:cs="Arial"/>
                <w:sz w:val="18"/>
                <w:szCs w:val="18"/>
              </w:rPr>
              <w:t>91</w:t>
            </w:r>
          </w:p>
        </w:tc>
        <w:tc>
          <w:tcPr>
            <w:tcW w:w="0" w:type="auto"/>
            <w:shd w:val="clear" w:color="auto" w:fill="auto"/>
            <w:vAlign w:val="center"/>
            <w:hideMark/>
          </w:tcPr>
          <w:p w:rsidR="00881054" w:rsidRPr="00C46F11" w:rsidRDefault="00881054" w:rsidP="002D57B5">
            <w:pPr>
              <w:jc w:val="center"/>
              <w:rPr>
                <w:rFonts w:ascii="Arial" w:hAnsi="Arial" w:cs="Arial"/>
                <w:sz w:val="18"/>
                <w:szCs w:val="18"/>
              </w:rPr>
            </w:pPr>
            <w:r w:rsidRPr="00C46F11">
              <w:rPr>
                <w:rFonts w:ascii="Arial" w:hAnsi="Arial" w:cs="Arial"/>
                <w:sz w:val="18"/>
                <w:szCs w:val="18"/>
              </w:rPr>
              <w:t>210 772 262</w:t>
            </w:r>
          </w:p>
        </w:tc>
        <w:tc>
          <w:tcPr>
            <w:tcW w:w="0" w:type="auto"/>
            <w:shd w:val="clear" w:color="auto" w:fill="auto"/>
            <w:vAlign w:val="center"/>
            <w:hideMark/>
          </w:tcPr>
          <w:p w:rsidR="00881054" w:rsidRPr="00C46F11" w:rsidRDefault="00881054" w:rsidP="002D57B5">
            <w:pPr>
              <w:jc w:val="center"/>
              <w:rPr>
                <w:rFonts w:ascii="Arial" w:hAnsi="Arial" w:cs="Arial"/>
                <w:sz w:val="18"/>
                <w:szCs w:val="18"/>
              </w:rPr>
            </w:pPr>
            <w:r w:rsidRPr="00C46F11">
              <w:rPr>
                <w:rFonts w:ascii="Arial" w:hAnsi="Arial" w:cs="Arial"/>
                <w:sz w:val="18"/>
                <w:szCs w:val="18"/>
              </w:rPr>
              <w:t>11</w:t>
            </w:r>
          </w:p>
        </w:tc>
        <w:tc>
          <w:tcPr>
            <w:tcW w:w="0" w:type="auto"/>
            <w:shd w:val="clear" w:color="auto" w:fill="auto"/>
            <w:vAlign w:val="center"/>
            <w:hideMark/>
          </w:tcPr>
          <w:p w:rsidR="00881054" w:rsidRPr="00C46F11" w:rsidRDefault="00881054" w:rsidP="002D57B5">
            <w:pPr>
              <w:jc w:val="center"/>
              <w:rPr>
                <w:rFonts w:ascii="Arial" w:hAnsi="Arial" w:cs="Arial"/>
                <w:sz w:val="18"/>
                <w:szCs w:val="18"/>
              </w:rPr>
            </w:pPr>
            <w:r w:rsidRPr="00C46F11">
              <w:rPr>
                <w:rFonts w:ascii="Arial" w:hAnsi="Arial" w:cs="Arial"/>
                <w:sz w:val="18"/>
                <w:szCs w:val="18"/>
              </w:rPr>
              <w:t>35 772 653</w:t>
            </w:r>
          </w:p>
        </w:tc>
        <w:tc>
          <w:tcPr>
            <w:tcW w:w="0" w:type="auto"/>
            <w:shd w:val="clear" w:color="auto" w:fill="auto"/>
            <w:vAlign w:val="center"/>
            <w:hideMark/>
          </w:tcPr>
          <w:p w:rsidR="00881054" w:rsidRPr="00C46F11" w:rsidRDefault="00881054" w:rsidP="002D57B5">
            <w:pPr>
              <w:jc w:val="center"/>
              <w:rPr>
                <w:rFonts w:ascii="Arial" w:hAnsi="Arial" w:cs="Arial"/>
                <w:sz w:val="18"/>
                <w:szCs w:val="18"/>
              </w:rPr>
            </w:pPr>
            <w:r w:rsidRPr="00C46F11">
              <w:rPr>
                <w:rFonts w:ascii="Arial" w:hAnsi="Arial" w:cs="Arial"/>
                <w:sz w:val="18"/>
                <w:szCs w:val="18"/>
              </w:rPr>
              <w:t>16,97%</w:t>
            </w:r>
          </w:p>
        </w:tc>
      </w:tr>
      <w:tr w:rsidR="00881054" w:rsidRPr="00C46F11" w:rsidTr="002D57B5">
        <w:trPr>
          <w:trHeight w:val="419"/>
          <w:jc w:val="center"/>
        </w:trPr>
        <w:tc>
          <w:tcPr>
            <w:tcW w:w="0" w:type="auto"/>
            <w:shd w:val="clear" w:color="auto" w:fill="auto"/>
            <w:vAlign w:val="center"/>
            <w:hideMark/>
          </w:tcPr>
          <w:p w:rsidR="00881054" w:rsidRPr="00C46F11" w:rsidRDefault="00881054" w:rsidP="002D57B5">
            <w:pPr>
              <w:rPr>
                <w:rFonts w:ascii="Arial" w:hAnsi="Arial" w:cs="Arial"/>
                <w:sz w:val="18"/>
                <w:szCs w:val="18"/>
              </w:rPr>
            </w:pPr>
            <w:r w:rsidRPr="00C46F11">
              <w:rPr>
                <w:rFonts w:ascii="Arial" w:hAnsi="Arial" w:cs="Arial"/>
                <w:sz w:val="18"/>
                <w:szCs w:val="18"/>
              </w:rPr>
              <w:t>Banskobystrický</w:t>
            </w:r>
          </w:p>
        </w:tc>
        <w:tc>
          <w:tcPr>
            <w:tcW w:w="0" w:type="auto"/>
            <w:shd w:val="clear" w:color="auto" w:fill="auto"/>
            <w:vAlign w:val="center"/>
            <w:hideMark/>
          </w:tcPr>
          <w:p w:rsidR="00881054" w:rsidRPr="00C46F11" w:rsidRDefault="00881054" w:rsidP="002D57B5">
            <w:pPr>
              <w:jc w:val="center"/>
              <w:rPr>
                <w:rFonts w:ascii="Arial" w:hAnsi="Arial" w:cs="Arial"/>
                <w:sz w:val="18"/>
                <w:szCs w:val="18"/>
              </w:rPr>
            </w:pPr>
            <w:r w:rsidRPr="00C46F11">
              <w:rPr>
                <w:rFonts w:ascii="Arial" w:hAnsi="Arial" w:cs="Arial"/>
                <w:sz w:val="18"/>
                <w:szCs w:val="18"/>
              </w:rPr>
              <w:t>77</w:t>
            </w:r>
          </w:p>
        </w:tc>
        <w:tc>
          <w:tcPr>
            <w:tcW w:w="0" w:type="auto"/>
            <w:shd w:val="clear" w:color="auto" w:fill="auto"/>
            <w:vAlign w:val="center"/>
            <w:hideMark/>
          </w:tcPr>
          <w:p w:rsidR="00881054" w:rsidRPr="00C46F11" w:rsidRDefault="00881054" w:rsidP="002D57B5">
            <w:pPr>
              <w:jc w:val="center"/>
              <w:rPr>
                <w:rFonts w:ascii="Arial" w:hAnsi="Arial" w:cs="Arial"/>
                <w:sz w:val="18"/>
                <w:szCs w:val="18"/>
              </w:rPr>
            </w:pPr>
            <w:r w:rsidRPr="00C46F11">
              <w:rPr>
                <w:rFonts w:ascii="Arial" w:hAnsi="Arial" w:cs="Arial"/>
                <w:sz w:val="18"/>
                <w:szCs w:val="18"/>
              </w:rPr>
              <w:t>173 017 188</w:t>
            </w:r>
          </w:p>
        </w:tc>
        <w:tc>
          <w:tcPr>
            <w:tcW w:w="0" w:type="auto"/>
            <w:shd w:val="clear" w:color="auto" w:fill="auto"/>
            <w:vAlign w:val="center"/>
            <w:hideMark/>
          </w:tcPr>
          <w:p w:rsidR="00881054" w:rsidRPr="00C46F11" w:rsidRDefault="00881054" w:rsidP="002D57B5">
            <w:pPr>
              <w:jc w:val="center"/>
              <w:rPr>
                <w:rFonts w:ascii="Arial" w:hAnsi="Arial" w:cs="Arial"/>
                <w:sz w:val="18"/>
                <w:szCs w:val="18"/>
              </w:rPr>
            </w:pPr>
            <w:r w:rsidRPr="00C46F11">
              <w:rPr>
                <w:rFonts w:ascii="Arial" w:hAnsi="Arial" w:cs="Arial"/>
                <w:sz w:val="18"/>
                <w:szCs w:val="18"/>
              </w:rPr>
              <w:t>19</w:t>
            </w:r>
          </w:p>
        </w:tc>
        <w:tc>
          <w:tcPr>
            <w:tcW w:w="0" w:type="auto"/>
            <w:shd w:val="clear" w:color="auto" w:fill="auto"/>
            <w:vAlign w:val="center"/>
            <w:hideMark/>
          </w:tcPr>
          <w:p w:rsidR="00881054" w:rsidRPr="00C46F11" w:rsidRDefault="00881054" w:rsidP="002D57B5">
            <w:pPr>
              <w:jc w:val="center"/>
              <w:rPr>
                <w:rFonts w:ascii="Arial" w:hAnsi="Arial" w:cs="Arial"/>
                <w:sz w:val="18"/>
                <w:szCs w:val="18"/>
              </w:rPr>
            </w:pPr>
            <w:r w:rsidRPr="00C46F11">
              <w:rPr>
                <w:rFonts w:ascii="Arial" w:hAnsi="Arial" w:cs="Arial"/>
                <w:sz w:val="18"/>
                <w:szCs w:val="18"/>
              </w:rPr>
              <w:t>76 458 381</w:t>
            </w:r>
          </w:p>
        </w:tc>
        <w:tc>
          <w:tcPr>
            <w:tcW w:w="0" w:type="auto"/>
            <w:shd w:val="clear" w:color="auto" w:fill="auto"/>
            <w:vAlign w:val="center"/>
            <w:hideMark/>
          </w:tcPr>
          <w:p w:rsidR="00881054" w:rsidRPr="00C46F11" w:rsidRDefault="00881054" w:rsidP="002D57B5">
            <w:pPr>
              <w:jc w:val="center"/>
              <w:rPr>
                <w:rFonts w:ascii="Arial" w:hAnsi="Arial" w:cs="Arial"/>
                <w:sz w:val="18"/>
                <w:szCs w:val="18"/>
              </w:rPr>
            </w:pPr>
            <w:r w:rsidRPr="00C46F11">
              <w:rPr>
                <w:rFonts w:ascii="Arial" w:hAnsi="Arial" w:cs="Arial"/>
                <w:sz w:val="18"/>
                <w:szCs w:val="18"/>
              </w:rPr>
              <w:t>44,19%</w:t>
            </w:r>
          </w:p>
        </w:tc>
      </w:tr>
      <w:tr w:rsidR="00881054" w:rsidRPr="00C46F11" w:rsidTr="002D57B5">
        <w:trPr>
          <w:trHeight w:val="424"/>
          <w:jc w:val="center"/>
        </w:trPr>
        <w:tc>
          <w:tcPr>
            <w:tcW w:w="0" w:type="auto"/>
            <w:shd w:val="clear" w:color="auto" w:fill="auto"/>
            <w:vAlign w:val="center"/>
            <w:hideMark/>
          </w:tcPr>
          <w:p w:rsidR="00881054" w:rsidRPr="00C46F11" w:rsidRDefault="00881054" w:rsidP="002D57B5">
            <w:pPr>
              <w:rPr>
                <w:rFonts w:ascii="Arial" w:hAnsi="Arial" w:cs="Arial"/>
                <w:sz w:val="18"/>
                <w:szCs w:val="18"/>
              </w:rPr>
            </w:pPr>
            <w:r w:rsidRPr="00C46F11">
              <w:rPr>
                <w:rFonts w:ascii="Arial" w:hAnsi="Arial" w:cs="Arial"/>
                <w:sz w:val="18"/>
                <w:szCs w:val="18"/>
              </w:rPr>
              <w:t>Prešovský</w:t>
            </w:r>
          </w:p>
        </w:tc>
        <w:tc>
          <w:tcPr>
            <w:tcW w:w="0" w:type="auto"/>
            <w:shd w:val="clear" w:color="auto" w:fill="auto"/>
            <w:vAlign w:val="center"/>
            <w:hideMark/>
          </w:tcPr>
          <w:p w:rsidR="00881054" w:rsidRPr="00C46F11" w:rsidRDefault="00881054" w:rsidP="002D57B5">
            <w:pPr>
              <w:jc w:val="center"/>
              <w:rPr>
                <w:rFonts w:ascii="Arial" w:hAnsi="Arial" w:cs="Arial"/>
                <w:sz w:val="18"/>
                <w:szCs w:val="18"/>
              </w:rPr>
            </w:pPr>
            <w:r w:rsidRPr="00C46F11">
              <w:rPr>
                <w:rFonts w:ascii="Arial" w:hAnsi="Arial" w:cs="Arial"/>
                <w:sz w:val="18"/>
                <w:szCs w:val="18"/>
              </w:rPr>
              <w:t>110</w:t>
            </w:r>
          </w:p>
        </w:tc>
        <w:tc>
          <w:tcPr>
            <w:tcW w:w="0" w:type="auto"/>
            <w:shd w:val="clear" w:color="auto" w:fill="auto"/>
            <w:vAlign w:val="center"/>
            <w:hideMark/>
          </w:tcPr>
          <w:p w:rsidR="00881054" w:rsidRPr="00C46F11" w:rsidRDefault="00881054" w:rsidP="002D57B5">
            <w:pPr>
              <w:jc w:val="center"/>
              <w:rPr>
                <w:rFonts w:ascii="Arial" w:hAnsi="Arial" w:cs="Arial"/>
                <w:sz w:val="18"/>
                <w:szCs w:val="18"/>
              </w:rPr>
            </w:pPr>
            <w:r w:rsidRPr="00C46F11">
              <w:rPr>
                <w:rFonts w:ascii="Arial" w:hAnsi="Arial" w:cs="Arial"/>
                <w:sz w:val="18"/>
                <w:szCs w:val="18"/>
              </w:rPr>
              <w:t>213 992 971</w:t>
            </w:r>
          </w:p>
        </w:tc>
        <w:tc>
          <w:tcPr>
            <w:tcW w:w="0" w:type="auto"/>
            <w:shd w:val="clear" w:color="auto" w:fill="auto"/>
            <w:vAlign w:val="center"/>
            <w:hideMark/>
          </w:tcPr>
          <w:p w:rsidR="00881054" w:rsidRPr="00C46F11" w:rsidRDefault="00881054" w:rsidP="002D57B5">
            <w:pPr>
              <w:jc w:val="center"/>
              <w:rPr>
                <w:rFonts w:ascii="Arial" w:hAnsi="Arial" w:cs="Arial"/>
                <w:sz w:val="18"/>
                <w:szCs w:val="18"/>
              </w:rPr>
            </w:pPr>
            <w:r w:rsidRPr="00C46F11">
              <w:rPr>
                <w:rFonts w:ascii="Arial" w:hAnsi="Arial" w:cs="Arial"/>
                <w:sz w:val="18"/>
                <w:szCs w:val="18"/>
              </w:rPr>
              <w:t>36</w:t>
            </w:r>
          </w:p>
        </w:tc>
        <w:tc>
          <w:tcPr>
            <w:tcW w:w="0" w:type="auto"/>
            <w:shd w:val="clear" w:color="auto" w:fill="auto"/>
            <w:vAlign w:val="center"/>
            <w:hideMark/>
          </w:tcPr>
          <w:p w:rsidR="00881054" w:rsidRPr="00C46F11" w:rsidRDefault="00881054" w:rsidP="002D57B5">
            <w:pPr>
              <w:jc w:val="center"/>
              <w:rPr>
                <w:rFonts w:ascii="Arial" w:hAnsi="Arial" w:cs="Arial"/>
                <w:sz w:val="18"/>
                <w:szCs w:val="18"/>
              </w:rPr>
            </w:pPr>
            <w:r w:rsidRPr="00C46F11">
              <w:rPr>
                <w:rFonts w:ascii="Arial" w:hAnsi="Arial" w:cs="Arial"/>
                <w:sz w:val="18"/>
                <w:szCs w:val="18"/>
              </w:rPr>
              <w:t>111 160 000</w:t>
            </w:r>
          </w:p>
        </w:tc>
        <w:tc>
          <w:tcPr>
            <w:tcW w:w="0" w:type="auto"/>
            <w:shd w:val="clear" w:color="auto" w:fill="auto"/>
            <w:vAlign w:val="center"/>
            <w:hideMark/>
          </w:tcPr>
          <w:p w:rsidR="00881054" w:rsidRPr="00C46F11" w:rsidRDefault="00881054" w:rsidP="002D57B5">
            <w:pPr>
              <w:jc w:val="center"/>
              <w:rPr>
                <w:rFonts w:ascii="Arial" w:hAnsi="Arial" w:cs="Arial"/>
                <w:sz w:val="18"/>
                <w:szCs w:val="18"/>
              </w:rPr>
            </w:pPr>
            <w:r w:rsidRPr="00C46F11">
              <w:rPr>
                <w:rFonts w:ascii="Arial" w:hAnsi="Arial" w:cs="Arial"/>
                <w:sz w:val="18"/>
                <w:szCs w:val="18"/>
              </w:rPr>
              <w:t>51,95%</w:t>
            </w:r>
          </w:p>
        </w:tc>
      </w:tr>
      <w:tr w:rsidR="00881054" w:rsidRPr="00C46F11" w:rsidTr="002D57B5">
        <w:trPr>
          <w:trHeight w:val="416"/>
          <w:jc w:val="center"/>
        </w:trPr>
        <w:tc>
          <w:tcPr>
            <w:tcW w:w="0" w:type="auto"/>
            <w:shd w:val="clear" w:color="auto" w:fill="auto"/>
            <w:vAlign w:val="center"/>
            <w:hideMark/>
          </w:tcPr>
          <w:p w:rsidR="00881054" w:rsidRPr="00C46F11" w:rsidRDefault="00881054" w:rsidP="002D57B5">
            <w:pPr>
              <w:rPr>
                <w:rFonts w:ascii="Arial" w:hAnsi="Arial" w:cs="Arial"/>
                <w:sz w:val="18"/>
                <w:szCs w:val="18"/>
              </w:rPr>
            </w:pPr>
            <w:r w:rsidRPr="00C46F11">
              <w:rPr>
                <w:rFonts w:ascii="Arial" w:hAnsi="Arial" w:cs="Arial"/>
                <w:sz w:val="18"/>
                <w:szCs w:val="18"/>
              </w:rPr>
              <w:t>Košický</w:t>
            </w:r>
          </w:p>
        </w:tc>
        <w:tc>
          <w:tcPr>
            <w:tcW w:w="0" w:type="auto"/>
            <w:shd w:val="clear" w:color="auto" w:fill="auto"/>
            <w:vAlign w:val="center"/>
            <w:hideMark/>
          </w:tcPr>
          <w:p w:rsidR="00881054" w:rsidRPr="00C46F11" w:rsidRDefault="00881054" w:rsidP="002D57B5">
            <w:pPr>
              <w:jc w:val="center"/>
              <w:rPr>
                <w:rFonts w:ascii="Arial" w:hAnsi="Arial" w:cs="Arial"/>
                <w:sz w:val="18"/>
                <w:szCs w:val="18"/>
              </w:rPr>
            </w:pPr>
            <w:r w:rsidRPr="00C46F11">
              <w:rPr>
                <w:rFonts w:ascii="Arial" w:hAnsi="Arial" w:cs="Arial"/>
                <w:sz w:val="18"/>
                <w:szCs w:val="18"/>
              </w:rPr>
              <w:t>60</w:t>
            </w:r>
          </w:p>
        </w:tc>
        <w:tc>
          <w:tcPr>
            <w:tcW w:w="0" w:type="auto"/>
            <w:shd w:val="clear" w:color="auto" w:fill="auto"/>
            <w:vAlign w:val="center"/>
            <w:hideMark/>
          </w:tcPr>
          <w:p w:rsidR="00881054" w:rsidRPr="00C46F11" w:rsidRDefault="00881054" w:rsidP="002D57B5">
            <w:pPr>
              <w:jc w:val="center"/>
              <w:rPr>
                <w:rFonts w:ascii="Arial" w:hAnsi="Arial" w:cs="Arial"/>
                <w:sz w:val="18"/>
                <w:szCs w:val="18"/>
              </w:rPr>
            </w:pPr>
            <w:r w:rsidRPr="00C46F11">
              <w:rPr>
                <w:rFonts w:ascii="Arial" w:hAnsi="Arial" w:cs="Arial"/>
                <w:sz w:val="18"/>
                <w:szCs w:val="18"/>
              </w:rPr>
              <w:t>127 453 234</w:t>
            </w:r>
          </w:p>
        </w:tc>
        <w:tc>
          <w:tcPr>
            <w:tcW w:w="0" w:type="auto"/>
            <w:shd w:val="clear" w:color="auto" w:fill="auto"/>
            <w:vAlign w:val="center"/>
            <w:hideMark/>
          </w:tcPr>
          <w:p w:rsidR="00881054" w:rsidRPr="00C46F11" w:rsidRDefault="00881054" w:rsidP="002D57B5">
            <w:pPr>
              <w:jc w:val="center"/>
              <w:rPr>
                <w:rFonts w:ascii="Arial" w:hAnsi="Arial" w:cs="Arial"/>
                <w:sz w:val="18"/>
                <w:szCs w:val="18"/>
              </w:rPr>
            </w:pPr>
            <w:r w:rsidRPr="00C46F11">
              <w:rPr>
                <w:rFonts w:ascii="Arial" w:hAnsi="Arial" w:cs="Arial"/>
                <w:sz w:val="18"/>
                <w:szCs w:val="18"/>
              </w:rPr>
              <w:t>21</w:t>
            </w:r>
          </w:p>
        </w:tc>
        <w:tc>
          <w:tcPr>
            <w:tcW w:w="0" w:type="auto"/>
            <w:shd w:val="clear" w:color="auto" w:fill="auto"/>
            <w:vAlign w:val="center"/>
            <w:hideMark/>
          </w:tcPr>
          <w:p w:rsidR="00881054" w:rsidRPr="00C46F11" w:rsidRDefault="00881054" w:rsidP="002D57B5">
            <w:pPr>
              <w:jc w:val="center"/>
              <w:rPr>
                <w:rFonts w:ascii="Arial" w:hAnsi="Arial" w:cs="Arial"/>
                <w:sz w:val="18"/>
                <w:szCs w:val="18"/>
              </w:rPr>
            </w:pPr>
            <w:r w:rsidRPr="00C46F11">
              <w:rPr>
                <w:rFonts w:ascii="Arial" w:hAnsi="Arial" w:cs="Arial"/>
                <w:sz w:val="18"/>
                <w:szCs w:val="18"/>
              </w:rPr>
              <w:t>36 570 111</w:t>
            </w:r>
          </w:p>
        </w:tc>
        <w:tc>
          <w:tcPr>
            <w:tcW w:w="0" w:type="auto"/>
            <w:shd w:val="clear" w:color="auto" w:fill="auto"/>
            <w:vAlign w:val="center"/>
            <w:hideMark/>
          </w:tcPr>
          <w:p w:rsidR="00881054" w:rsidRPr="00C46F11" w:rsidRDefault="00881054" w:rsidP="002D57B5">
            <w:pPr>
              <w:jc w:val="center"/>
              <w:rPr>
                <w:rFonts w:ascii="Arial" w:hAnsi="Arial" w:cs="Arial"/>
                <w:sz w:val="18"/>
                <w:szCs w:val="18"/>
              </w:rPr>
            </w:pPr>
            <w:r w:rsidRPr="00C46F11">
              <w:rPr>
                <w:rFonts w:ascii="Arial" w:hAnsi="Arial" w:cs="Arial"/>
                <w:sz w:val="18"/>
                <w:szCs w:val="18"/>
              </w:rPr>
              <w:t>28,69%</w:t>
            </w:r>
          </w:p>
        </w:tc>
      </w:tr>
      <w:tr w:rsidR="00881054" w:rsidRPr="00C46F11" w:rsidTr="002D57B5">
        <w:trPr>
          <w:trHeight w:val="600"/>
          <w:jc w:val="center"/>
        </w:trPr>
        <w:tc>
          <w:tcPr>
            <w:tcW w:w="0" w:type="auto"/>
            <w:tcBorders>
              <w:bottom w:val="single" w:sz="4" w:space="0" w:color="auto"/>
            </w:tcBorders>
            <w:shd w:val="clear" w:color="auto" w:fill="auto"/>
            <w:vAlign w:val="center"/>
            <w:hideMark/>
          </w:tcPr>
          <w:p w:rsidR="00881054" w:rsidRPr="00C46F11" w:rsidRDefault="00881054" w:rsidP="002D57B5">
            <w:pPr>
              <w:rPr>
                <w:rFonts w:ascii="Arial" w:hAnsi="Arial" w:cs="Arial"/>
                <w:sz w:val="18"/>
                <w:szCs w:val="18"/>
              </w:rPr>
            </w:pPr>
            <w:r w:rsidRPr="00C46F11">
              <w:rPr>
                <w:rFonts w:ascii="Arial" w:hAnsi="Arial" w:cs="Arial"/>
                <w:sz w:val="18"/>
                <w:szCs w:val="18"/>
              </w:rPr>
              <w:t>Projekty nezaradené do NUTS III</w:t>
            </w:r>
          </w:p>
        </w:tc>
        <w:tc>
          <w:tcPr>
            <w:tcW w:w="0" w:type="auto"/>
            <w:tcBorders>
              <w:bottom w:val="single" w:sz="4" w:space="0" w:color="auto"/>
            </w:tcBorders>
            <w:shd w:val="clear" w:color="auto" w:fill="auto"/>
            <w:vAlign w:val="center"/>
            <w:hideMark/>
          </w:tcPr>
          <w:p w:rsidR="00881054" w:rsidRPr="00C46F11" w:rsidRDefault="00881054" w:rsidP="002D57B5">
            <w:pPr>
              <w:jc w:val="center"/>
              <w:rPr>
                <w:rFonts w:ascii="Arial" w:hAnsi="Arial" w:cs="Arial"/>
                <w:sz w:val="18"/>
                <w:szCs w:val="18"/>
              </w:rPr>
            </w:pPr>
            <w:r w:rsidRPr="00C46F11">
              <w:rPr>
                <w:rFonts w:ascii="Arial" w:hAnsi="Arial" w:cs="Arial"/>
                <w:sz w:val="18"/>
                <w:szCs w:val="18"/>
              </w:rPr>
              <w:t>42</w:t>
            </w:r>
          </w:p>
        </w:tc>
        <w:tc>
          <w:tcPr>
            <w:tcW w:w="0" w:type="auto"/>
            <w:tcBorders>
              <w:bottom w:val="single" w:sz="4" w:space="0" w:color="auto"/>
            </w:tcBorders>
            <w:shd w:val="clear" w:color="auto" w:fill="auto"/>
            <w:vAlign w:val="center"/>
            <w:hideMark/>
          </w:tcPr>
          <w:p w:rsidR="00881054" w:rsidRPr="00C46F11" w:rsidRDefault="00881054" w:rsidP="002D57B5">
            <w:pPr>
              <w:jc w:val="center"/>
              <w:rPr>
                <w:rFonts w:ascii="Arial" w:hAnsi="Arial" w:cs="Arial"/>
                <w:sz w:val="18"/>
                <w:szCs w:val="18"/>
              </w:rPr>
            </w:pPr>
            <w:r w:rsidRPr="00C46F11">
              <w:rPr>
                <w:rFonts w:ascii="Arial" w:hAnsi="Arial" w:cs="Arial"/>
                <w:sz w:val="18"/>
                <w:szCs w:val="18"/>
              </w:rPr>
              <w:t>134 180 369</w:t>
            </w:r>
          </w:p>
        </w:tc>
        <w:tc>
          <w:tcPr>
            <w:tcW w:w="0" w:type="auto"/>
            <w:tcBorders>
              <w:bottom w:val="single" w:sz="4" w:space="0" w:color="auto"/>
            </w:tcBorders>
            <w:shd w:val="clear" w:color="auto" w:fill="auto"/>
            <w:vAlign w:val="center"/>
            <w:hideMark/>
          </w:tcPr>
          <w:p w:rsidR="00881054" w:rsidRPr="00C46F11" w:rsidRDefault="00881054" w:rsidP="002D57B5">
            <w:pPr>
              <w:jc w:val="center"/>
              <w:rPr>
                <w:rFonts w:ascii="Arial" w:hAnsi="Arial" w:cs="Arial"/>
                <w:sz w:val="18"/>
                <w:szCs w:val="18"/>
              </w:rPr>
            </w:pPr>
            <w:r w:rsidRPr="00C46F11">
              <w:rPr>
                <w:rFonts w:ascii="Arial" w:hAnsi="Arial" w:cs="Arial"/>
                <w:sz w:val="18"/>
                <w:szCs w:val="18"/>
              </w:rPr>
              <w:t>5</w:t>
            </w:r>
          </w:p>
        </w:tc>
        <w:tc>
          <w:tcPr>
            <w:tcW w:w="0" w:type="auto"/>
            <w:tcBorders>
              <w:bottom w:val="single" w:sz="4" w:space="0" w:color="auto"/>
            </w:tcBorders>
            <w:shd w:val="clear" w:color="auto" w:fill="auto"/>
            <w:vAlign w:val="center"/>
            <w:hideMark/>
          </w:tcPr>
          <w:p w:rsidR="00881054" w:rsidRPr="00C46F11" w:rsidRDefault="00881054" w:rsidP="002D57B5">
            <w:pPr>
              <w:jc w:val="center"/>
              <w:rPr>
                <w:rFonts w:ascii="Arial" w:hAnsi="Arial" w:cs="Arial"/>
                <w:sz w:val="18"/>
                <w:szCs w:val="18"/>
              </w:rPr>
            </w:pPr>
            <w:r w:rsidRPr="00C46F11">
              <w:rPr>
                <w:rFonts w:ascii="Arial" w:hAnsi="Arial" w:cs="Arial"/>
                <w:sz w:val="18"/>
                <w:szCs w:val="18"/>
              </w:rPr>
              <w:t>65 097 148</w:t>
            </w:r>
          </w:p>
        </w:tc>
        <w:tc>
          <w:tcPr>
            <w:tcW w:w="0" w:type="auto"/>
            <w:tcBorders>
              <w:bottom w:val="single" w:sz="4" w:space="0" w:color="auto"/>
            </w:tcBorders>
            <w:shd w:val="clear" w:color="auto" w:fill="auto"/>
            <w:vAlign w:val="center"/>
            <w:hideMark/>
          </w:tcPr>
          <w:p w:rsidR="00881054" w:rsidRPr="00C46F11" w:rsidRDefault="00881054" w:rsidP="002D57B5">
            <w:pPr>
              <w:jc w:val="center"/>
              <w:rPr>
                <w:rFonts w:ascii="Arial" w:hAnsi="Arial" w:cs="Arial"/>
                <w:sz w:val="18"/>
                <w:szCs w:val="18"/>
              </w:rPr>
            </w:pPr>
            <w:r w:rsidRPr="00C46F11">
              <w:rPr>
                <w:rFonts w:ascii="Arial" w:hAnsi="Arial" w:cs="Arial"/>
                <w:sz w:val="18"/>
                <w:szCs w:val="18"/>
              </w:rPr>
              <w:t>48,51%</w:t>
            </w:r>
          </w:p>
        </w:tc>
      </w:tr>
      <w:tr w:rsidR="00881054" w:rsidRPr="00C46F11" w:rsidTr="002D57B5">
        <w:trPr>
          <w:trHeight w:val="347"/>
          <w:jc w:val="center"/>
        </w:trPr>
        <w:tc>
          <w:tcPr>
            <w:tcW w:w="0" w:type="auto"/>
            <w:shd w:val="clear" w:color="auto" w:fill="D6E3BC"/>
            <w:vAlign w:val="center"/>
            <w:hideMark/>
          </w:tcPr>
          <w:p w:rsidR="00881054" w:rsidRPr="00C46F11" w:rsidRDefault="00881054" w:rsidP="002D57B5">
            <w:pPr>
              <w:jc w:val="center"/>
              <w:rPr>
                <w:rFonts w:ascii="Arial" w:hAnsi="Arial" w:cs="Arial"/>
                <w:b/>
                <w:bCs/>
                <w:sz w:val="18"/>
                <w:szCs w:val="18"/>
              </w:rPr>
            </w:pPr>
            <w:r w:rsidRPr="00C46F11">
              <w:rPr>
                <w:rFonts w:ascii="Arial" w:hAnsi="Arial" w:cs="Arial"/>
                <w:b/>
                <w:bCs/>
                <w:sz w:val="18"/>
                <w:szCs w:val="18"/>
              </w:rPr>
              <w:t>Spolu</w:t>
            </w:r>
          </w:p>
        </w:tc>
        <w:tc>
          <w:tcPr>
            <w:tcW w:w="0" w:type="auto"/>
            <w:shd w:val="clear" w:color="auto" w:fill="D6E3BC"/>
            <w:vAlign w:val="center"/>
            <w:hideMark/>
          </w:tcPr>
          <w:p w:rsidR="00881054" w:rsidRPr="00C46F11" w:rsidRDefault="00881054" w:rsidP="002D57B5">
            <w:pPr>
              <w:jc w:val="center"/>
              <w:rPr>
                <w:rFonts w:ascii="Arial" w:hAnsi="Arial" w:cs="Arial"/>
                <w:b/>
                <w:bCs/>
                <w:sz w:val="18"/>
                <w:szCs w:val="18"/>
              </w:rPr>
            </w:pPr>
            <w:r w:rsidRPr="00C46F11">
              <w:rPr>
                <w:rFonts w:ascii="Arial" w:hAnsi="Arial" w:cs="Arial"/>
                <w:b/>
                <w:bCs/>
                <w:sz w:val="18"/>
                <w:szCs w:val="18"/>
              </w:rPr>
              <w:t>581</w:t>
            </w:r>
          </w:p>
        </w:tc>
        <w:tc>
          <w:tcPr>
            <w:tcW w:w="0" w:type="auto"/>
            <w:shd w:val="clear" w:color="auto" w:fill="D6E3BC"/>
            <w:vAlign w:val="center"/>
            <w:hideMark/>
          </w:tcPr>
          <w:p w:rsidR="00881054" w:rsidRPr="00C46F11" w:rsidRDefault="00881054" w:rsidP="002D57B5">
            <w:pPr>
              <w:jc w:val="center"/>
              <w:rPr>
                <w:rFonts w:ascii="Arial" w:hAnsi="Arial" w:cs="Arial"/>
                <w:b/>
                <w:bCs/>
                <w:sz w:val="18"/>
                <w:szCs w:val="18"/>
              </w:rPr>
            </w:pPr>
            <w:r w:rsidRPr="00C46F11">
              <w:rPr>
                <w:rFonts w:ascii="Arial" w:hAnsi="Arial" w:cs="Arial"/>
                <w:b/>
                <w:bCs/>
                <w:sz w:val="18"/>
                <w:szCs w:val="18"/>
              </w:rPr>
              <w:t>1 380 313 198</w:t>
            </w:r>
          </w:p>
        </w:tc>
        <w:tc>
          <w:tcPr>
            <w:tcW w:w="0" w:type="auto"/>
            <w:shd w:val="clear" w:color="auto" w:fill="D6E3BC"/>
            <w:vAlign w:val="center"/>
            <w:hideMark/>
          </w:tcPr>
          <w:p w:rsidR="00881054" w:rsidRPr="00C46F11" w:rsidRDefault="00881054" w:rsidP="002D57B5">
            <w:pPr>
              <w:jc w:val="center"/>
              <w:rPr>
                <w:rFonts w:ascii="Arial" w:hAnsi="Arial" w:cs="Arial"/>
                <w:b/>
                <w:bCs/>
                <w:sz w:val="18"/>
                <w:szCs w:val="18"/>
              </w:rPr>
            </w:pPr>
            <w:r w:rsidRPr="00C46F11">
              <w:rPr>
                <w:rFonts w:ascii="Arial" w:hAnsi="Arial" w:cs="Arial"/>
                <w:b/>
                <w:bCs/>
                <w:sz w:val="18"/>
                <w:szCs w:val="18"/>
              </w:rPr>
              <w:t>143</w:t>
            </w:r>
          </w:p>
        </w:tc>
        <w:tc>
          <w:tcPr>
            <w:tcW w:w="0" w:type="auto"/>
            <w:shd w:val="clear" w:color="auto" w:fill="D6E3BC"/>
            <w:vAlign w:val="center"/>
            <w:hideMark/>
          </w:tcPr>
          <w:p w:rsidR="00881054" w:rsidRPr="00C46F11" w:rsidRDefault="00881054" w:rsidP="002D57B5">
            <w:pPr>
              <w:jc w:val="center"/>
              <w:rPr>
                <w:rFonts w:ascii="Arial" w:hAnsi="Arial" w:cs="Arial"/>
                <w:b/>
                <w:bCs/>
                <w:sz w:val="18"/>
                <w:szCs w:val="18"/>
              </w:rPr>
            </w:pPr>
            <w:r w:rsidRPr="00C46F11">
              <w:rPr>
                <w:rFonts w:ascii="Arial" w:hAnsi="Arial" w:cs="Arial"/>
                <w:b/>
                <w:bCs/>
                <w:sz w:val="18"/>
                <w:szCs w:val="18"/>
              </w:rPr>
              <w:t>479 123 863</w:t>
            </w:r>
          </w:p>
        </w:tc>
        <w:tc>
          <w:tcPr>
            <w:tcW w:w="0" w:type="auto"/>
            <w:shd w:val="clear" w:color="auto" w:fill="D6E3BC"/>
            <w:vAlign w:val="center"/>
            <w:hideMark/>
          </w:tcPr>
          <w:p w:rsidR="00881054" w:rsidRPr="00C46F11" w:rsidRDefault="00881054" w:rsidP="002D57B5">
            <w:pPr>
              <w:jc w:val="center"/>
              <w:rPr>
                <w:rFonts w:ascii="Arial" w:hAnsi="Arial" w:cs="Arial"/>
                <w:sz w:val="18"/>
                <w:szCs w:val="18"/>
              </w:rPr>
            </w:pPr>
            <w:r w:rsidRPr="00C46F11">
              <w:rPr>
                <w:rFonts w:ascii="Arial" w:hAnsi="Arial" w:cs="Arial"/>
                <w:sz w:val="18"/>
                <w:szCs w:val="18"/>
              </w:rPr>
              <w:t>34,71%</w:t>
            </w:r>
          </w:p>
        </w:tc>
      </w:tr>
    </w:tbl>
    <w:p w:rsidR="00881054" w:rsidRPr="006A2BF3" w:rsidRDefault="00881054" w:rsidP="00881054">
      <w:pPr>
        <w:spacing w:line="360" w:lineRule="auto"/>
        <w:jc w:val="both"/>
        <w:rPr>
          <w:rFonts w:ascii="Arial" w:hAnsi="Arial" w:cs="Arial"/>
          <w:sz w:val="18"/>
          <w:szCs w:val="18"/>
        </w:rPr>
      </w:pPr>
      <w:r w:rsidRPr="006A2BF3">
        <w:rPr>
          <w:rFonts w:ascii="Arial" w:hAnsi="Arial" w:cs="Arial"/>
          <w:sz w:val="18"/>
          <w:szCs w:val="18"/>
        </w:rPr>
        <w:t>Zdroj: ITMS</w:t>
      </w:r>
    </w:p>
    <w:p w:rsidR="00881054" w:rsidRDefault="00881054" w:rsidP="00881054">
      <w:pPr>
        <w:spacing w:before="120" w:line="360" w:lineRule="auto"/>
        <w:jc w:val="both"/>
        <w:rPr>
          <w:rFonts w:ascii="Arial" w:hAnsi="Arial" w:cs="Arial"/>
          <w:sz w:val="20"/>
          <w:szCs w:val="20"/>
        </w:rPr>
      </w:pPr>
      <w:r>
        <w:rPr>
          <w:rFonts w:ascii="Arial" w:hAnsi="Arial" w:cs="Arial"/>
          <w:sz w:val="20"/>
          <w:szCs w:val="20"/>
        </w:rPr>
        <w:t>Vo v</w:t>
      </w:r>
      <w:r w:rsidRPr="0017741A">
        <w:rPr>
          <w:rFonts w:ascii="Arial" w:hAnsi="Arial" w:cs="Arial"/>
          <w:sz w:val="20"/>
          <w:szCs w:val="20"/>
        </w:rPr>
        <w:t>yššie uveden</w:t>
      </w:r>
      <w:r>
        <w:rPr>
          <w:rFonts w:ascii="Arial" w:hAnsi="Arial" w:cs="Arial"/>
          <w:sz w:val="20"/>
          <w:szCs w:val="20"/>
        </w:rPr>
        <w:t>ej</w:t>
      </w:r>
      <w:r w:rsidRPr="0017741A">
        <w:rPr>
          <w:rFonts w:ascii="Arial" w:hAnsi="Arial" w:cs="Arial"/>
          <w:sz w:val="20"/>
          <w:szCs w:val="20"/>
        </w:rPr>
        <w:t xml:space="preserve"> tabuľk</w:t>
      </w:r>
      <w:r>
        <w:rPr>
          <w:rFonts w:ascii="Arial" w:hAnsi="Arial" w:cs="Arial"/>
          <w:sz w:val="20"/>
          <w:szCs w:val="20"/>
        </w:rPr>
        <w:t>e sú uvedené informácie o</w:t>
      </w:r>
      <w:r w:rsidRPr="0017741A">
        <w:rPr>
          <w:rFonts w:ascii="Arial" w:hAnsi="Arial" w:cs="Arial"/>
          <w:sz w:val="20"/>
          <w:szCs w:val="20"/>
        </w:rPr>
        <w:t xml:space="preserve"> príspevku zazmluvnených projektov k horizontálnej priorite </w:t>
      </w:r>
      <w:r>
        <w:rPr>
          <w:rFonts w:ascii="Arial" w:hAnsi="Arial" w:cs="Arial"/>
          <w:sz w:val="20"/>
          <w:szCs w:val="20"/>
        </w:rPr>
        <w:t>MRK</w:t>
      </w:r>
      <w:r w:rsidRPr="0017741A">
        <w:rPr>
          <w:rFonts w:ascii="Arial" w:hAnsi="Arial" w:cs="Arial"/>
          <w:sz w:val="20"/>
          <w:szCs w:val="20"/>
        </w:rPr>
        <w:t xml:space="preserve"> v rámci jednotlivých krajov, </w:t>
      </w:r>
      <w:r>
        <w:rPr>
          <w:rFonts w:ascii="Arial" w:hAnsi="Arial" w:cs="Arial"/>
          <w:sz w:val="20"/>
          <w:szCs w:val="20"/>
        </w:rPr>
        <w:t>pričom</w:t>
      </w:r>
      <w:r w:rsidRPr="0017741A">
        <w:rPr>
          <w:rFonts w:ascii="Arial" w:hAnsi="Arial" w:cs="Arial"/>
          <w:sz w:val="20"/>
          <w:szCs w:val="20"/>
        </w:rPr>
        <w:t xml:space="preserve"> zahŕňa zazmluvnené projekty, ktoré sú v realizácii a tiež projekty </w:t>
      </w:r>
      <w:r w:rsidR="00A407C3">
        <w:rPr>
          <w:rFonts w:ascii="Arial" w:hAnsi="Arial" w:cs="Arial"/>
          <w:sz w:val="20"/>
          <w:szCs w:val="20"/>
        </w:rPr>
        <w:t xml:space="preserve">riadne </w:t>
      </w:r>
      <w:r w:rsidRPr="0017741A">
        <w:rPr>
          <w:rFonts w:ascii="Arial" w:hAnsi="Arial" w:cs="Arial"/>
          <w:sz w:val="20"/>
          <w:szCs w:val="20"/>
        </w:rPr>
        <w:t>ukončené.</w:t>
      </w:r>
      <w:r>
        <w:rPr>
          <w:rFonts w:ascii="Arial" w:hAnsi="Arial" w:cs="Arial"/>
          <w:sz w:val="20"/>
          <w:szCs w:val="20"/>
        </w:rPr>
        <w:t xml:space="preserve"> </w:t>
      </w:r>
      <w:r w:rsidRPr="00FA5779">
        <w:rPr>
          <w:rFonts w:ascii="Arial" w:hAnsi="Arial" w:cs="Arial"/>
          <w:sz w:val="20"/>
          <w:szCs w:val="20"/>
        </w:rPr>
        <w:t>Z celkového počtu 5</w:t>
      </w:r>
      <w:r>
        <w:rPr>
          <w:rFonts w:ascii="Arial" w:hAnsi="Arial" w:cs="Arial"/>
          <w:sz w:val="20"/>
          <w:szCs w:val="20"/>
        </w:rPr>
        <w:t>81</w:t>
      </w:r>
      <w:r w:rsidRPr="00FA5779">
        <w:rPr>
          <w:rFonts w:ascii="Arial" w:hAnsi="Arial" w:cs="Arial"/>
          <w:sz w:val="20"/>
          <w:szCs w:val="20"/>
        </w:rPr>
        <w:t xml:space="preserve"> zazmluvnených projektov bolo k 31.12.201</w:t>
      </w:r>
      <w:r>
        <w:rPr>
          <w:rFonts w:ascii="Arial" w:hAnsi="Arial" w:cs="Arial"/>
          <w:sz w:val="20"/>
          <w:szCs w:val="20"/>
        </w:rPr>
        <w:t>2</w:t>
      </w:r>
      <w:r w:rsidRPr="00FA5779">
        <w:rPr>
          <w:rFonts w:ascii="Arial" w:hAnsi="Arial" w:cs="Arial"/>
          <w:sz w:val="20"/>
          <w:szCs w:val="20"/>
        </w:rPr>
        <w:t xml:space="preserve"> zazmluvnených 1</w:t>
      </w:r>
      <w:r>
        <w:rPr>
          <w:rFonts w:ascii="Arial" w:hAnsi="Arial" w:cs="Arial"/>
          <w:sz w:val="20"/>
          <w:szCs w:val="20"/>
        </w:rPr>
        <w:t>43</w:t>
      </w:r>
      <w:r w:rsidRPr="00FA5779">
        <w:rPr>
          <w:rFonts w:ascii="Arial" w:hAnsi="Arial" w:cs="Arial"/>
          <w:sz w:val="20"/>
          <w:szCs w:val="20"/>
        </w:rPr>
        <w:t xml:space="preserve"> projektov s nepriamym príspevkom k HP MRK, pričom výška zazmluvnených prostriedkov dosiahla </w:t>
      </w:r>
      <w:r>
        <w:rPr>
          <w:rFonts w:ascii="Arial" w:hAnsi="Arial" w:cs="Arial"/>
          <w:bCs/>
          <w:color w:val="000000"/>
          <w:sz w:val="20"/>
          <w:szCs w:val="20"/>
        </w:rPr>
        <w:t>479 123 863</w:t>
      </w:r>
      <w:r w:rsidRPr="00FA5779">
        <w:rPr>
          <w:rFonts w:ascii="Arial" w:hAnsi="Arial" w:cs="Arial"/>
          <w:b/>
          <w:bCs/>
          <w:color w:val="000000"/>
          <w:sz w:val="18"/>
          <w:szCs w:val="18"/>
        </w:rPr>
        <w:t xml:space="preserve"> </w:t>
      </w:r>
      <w:r w:rsidRPr="00FA5779">
        <w:rPr>
          <w:rFonts w:ascii="Arial" w:hAnsi="Arial" w:cs="Arial"/>
          <w:sz w:val="20"/>
          <w:szCs w:val="20"/>
        </w:rPr>
        <w:t xml:space="preserve">EUR (EÚ zdroje). Percento zazmluvnenia projektov s nepriamym príspevkom k HP MRK z celkového objemu zazmluvnených prostriedkov je teda </w:t>
      </w:r>
      <w:r>
        <w:rPr>
          <w:rFonts w:ascii="Arial" w:hAnsi="Arial" w:cs="Arial"/>
          <w:sz w:val="20"/>
          <w:szCs w:val="20"/>
        </w:rPr>
        <w:t>34</w:t>
      </w:r>
      <w:r w:rsidRPr="00FA5779">
        <w:rPr>
          <w:rFonts w:ascii="Arial" w:hAnsi="Arial" w:cs="Arial"/>
          <w:sz w:val="20"/>
          <w:szCs w:val="20"/>
        </w:rPr>
        <w:t>,</w:t>
      </w:r>
      <w:r>
        <w:rPr>
          <w:rFonts w:ascii="Arial" w:hAnsi="Arial" w:cs="Arial"/>
          <w:sz w:val="20"/>
          <w:szCs w:val="20"/>
        </w:rPr>
        <w:t>7</w:t>
      </w:r>
      <w:r w:rsidRPr="00FA5779">
        <w:rPr>
          <w:rFonts w:ascii="Arial" w:hAnsi="Arial" w:cs="Arial"/>
          <w:sz w:val="20"/>
          <w:szCs w:val="20"/>
        </w:rPr>
        <w:t>1%. Je potrebné zdôrazniť, že v rámci OP ŽP ide o projekty s nepriamym dopadom na HP MRK, keďže ich aktivity nie sú priamo orientované na MRK a zazmluvnené prostriedky teda nebudú v plnej výške vynaložené na napĺňanie cieľov HP MRK</w:t>
      </w:r>
      <w:r>
        <w:rPr>
          <w:rFonts w:ascii="Arial" w:hAnsi="Arial" w:cs="Arial"/>
          <w:sz w:val="20"/>
          <w:szCs w:val="20"/>
        </w:rPr>
        <w:t>.</w:t>
      </w:r>
      <w:r w:rsidRPr="00FA5779">
        <w:rPr>
          <w:rFonts w:ascii="Arial" w:hAnsi="Arial" w:cs="Arial"/>
          <w:sz w:val="20"/>
          <w:szCs w:val="20"/>
        </w:rPr>
        <w:t xml:space="preserve"> </w:t>
      </w:r>
      <w:r>
        <w:rPr>
          <w:rFonts w:ascii="Arial" w:hAnsi="Arial" w:cs="Arial"/>
          <w:sz w:val="20"/>
          <w:szCs w:val="20"/>
        </w:rPr>
        <w:t>V</w:t>
      </w:r>
      <w:r w:rsidRPr="00FA5779">
        <w:rPr>
          <w:rFonts w:ascii="Arial" w:hAnsi="Arial" w:cs="Arial"/>
          <w:sz w:val="20"/>
          <w:szCs w:val="20"/>
        </w:rPr>
        <w:t xml:space="preserve">edľajší účinok projektov </w:t>
      </w:r>
      <w:r>
        <w:rPr>
          <w:rFonts w:ascii="Arial" w:hAnsi="Arial" w:cs="Arial"/>
          <w:sz w:val="20"/>
          <w:szCs w:val="20"/>
        </w:rPr>
        <w:t xml:space="preserve">však </w:t>
      </w:r>
      <w:r w:rsidRPr="00FA5779">
        <w:rPr>
          <w:rFonts w:ascii="Arial" w:hAnsi="Arial" w:cs="Arial"/>
          <w:sz w:val="20"/>
          <w:szCs w:val="20"/>
        </w:rPr>
        <w:t>vplýva na zlepšenie životných podmienok MRK.</w:t>
      </w:r>
      <w:r w:rsidR="007B006E">
        <w:rPr>
          <w:rFonts w:ascii="Arial" w:hAnsi="Arial" w:cs="Arial"/>
          <w:sz w:val="20"/>
          <w:szCs w:val="20"/>
        </w:rPr>
        <w:t xml:space="preserve"> Príklady dobrej praxe zrealizovaných projektov s nepriamym príspevkom k HP MRK sa nachádzajú v prílohe č. 10.  </w:t>
      </w:r>
    </w:p>
    <w:p w:rsidR="008216A0" w:rsidRDefault="008216A0" w:rsidP="00507035">
      <w:pPr>
        <w:spacing w:before="120" w:after="120" w:line="360" w:lineRule="auto"/>
        <w:jc w:val="both"/>
        <w:rPr>
          <w:rFonts w:ascii="Arial" w:hAnsi="Arial" w:cs="Arial"/>
          <w:sz w:val="20"/>
          <w:szCs w:val="20"/>
        </w:rPr>
      </w:pPr>
    </w:p>
    <w:p w:rsidR="00553F5E" w:rsidRDefault="00553F5E" w:rsidP="00507035">
      <w:pPr>
        <w:spacing w:before="120" w:after="120" w:line="360" w:lineRule="auto"/>
        <w:jc w:val="both"/>
        <w:rPr>
          <w:rFonts w:ascii="Arial" w:hAnsi="Arial" w:cs="Arial"/>
          <w:sz w:val="20"/>
          <w:szCs w:val="20"/>
        </w:rPr>
      </w:pPr>
    </w:p>
    <w:p w:rsidR="00E26EE3" w:rsidRDefault="00E26EE3">
      <w:pPr>
        <w:rPr>
          <w:rFonts w:ascii="Arial" w:hAnsi="Arial"/>
          <w:b/>
          <w:bCs/>
          <w:iCs/>
          <w:sz w:val="28"/>
          <w:szCs w:val="28"/>
        </w:rPr>
      </w:pPr>
      <w:bookmarkStart w:id="114" w:name="_Toc319573343"/>
      <w:bookmarkStart w:id="115" w:name="OLE_LINK31"/>
      <w:bookmarkStart w:id="116" w:name="OLE_LINK32"/>
      <w:bookmarkStart w:id="117" w:name="OLE_LINK46"/>
      <w:bookmarkEnd w:id="112"/>
      <w:bookmarkEnd w:id="113"/>
      <w:r>
        <w:br w:type="page"/>
      </w:r>
    </w:p>
    <w:p w:rsidR="002416B1" w:rsidRPr="004B33AE" w:rsidRDefault="002416B1" w:rsidP="00507035">
      <w:pPr>
        <w:pStyle w:val="Nadpis2"/>
        <w:spacing w:before="120" w:after="120"/>
      </w:pPr>
      <w:r w:rsidRPr="00CC3F8C">
        <w:t>4.3 Horizontálna priorita Rovnosť príležitostí</w:t>
      </w:r>
      <w:bookmarkEnd w:id="114"/>
    </w:p>
    <w:p w:rsidR="002416B1" w:rsidRPr="007B7404" w:rsidRDefault="002416B1" w:rsidP="00507035">
      <w:pPr>
        <w:spacing w:before="120" w:after="120" w:line="360" w:lineRule="auto"/>
        <w:jc w:val="both"/>
        <w:rPr>
          <w:rFonts w:ascii="Arial" w:hAnsi="Arial" w:cs="Arial"/>
          <w:sz w:val="20"/>
          <w:szCs w:val="20"/>
        </w:rPr>
      </w:pPr>
      <w:bookmarkStart w:id="118" w:name="OLE_LINK1"/>
      <w:r w:rsidRPr="007B7404">
        <w:rPr>
          <w:rFonts w:ascii="Arial" w:hAnsi="Arial" w:cs="Arial"/>
          <w:sz w:val="20"/>
          <w:szCs w:val="20"/>
        </w:rPr>
        <w:t xml:space="preserve">Rovnosť príležitostí je súčasťou pilierov Európskej stratégie zamestnanosti a Európskej rámcovej stratégie nediskriminácie a rovnakých príležitosti pre všetkých. </w:t>
      </w:r>
      <w:r w:rsidRPr="007B7404">
        <w:rPr>
          <w:rFonts w:ascii="Arial" w:hAnsi="Arial" w:cs="Arial"/>
          <w:bCs/>
          <w:sz w:val="20"/>
          <w:szCs w:val="20"/>
        </w:rPr>
        <w:t>Zvláštny dôraz sa kladie na princíp rodovej rovnosti (rovnosť príležitostí žien a mužov), ktorého naplnenie patrí k základnému cieľu Európskeho spoločenstva a ako taký patrí medzi hlavné ciele štrukturálnych</w:t>
      </w:r>
      <w:r w:rsidRPr="007B7404">
        <w:rPr>
          <w:rFonts w:ascii="Arial" w:hAnsi="Arial" w:cs="Arial"/>
          <w:sz w:val="20"/>
          <w:szCs w:val="20"/>
        </w:rPr>
        <w:t xml:space="preserve"> fondov.</w:t>
      </w:r>
    </w:p>
    <w:p w:rsidR="002416B1" w:rsidRPr="007B7404" w:rsidRDefault="002416B1" w:rsidP="00507035">
      <w:pPr>
        <w:spacing w:before="120" w:after="120" w:line="360" w:lineRule="auto"/>
        <w:jc w:val="both"/>
        <w:rPr>
          <w:rFonts w:ascii="Arial" w:hAnsi="Arial" w:cs="Arial"/>
          <w:sz w:val="20"/>
          <w:szCs w:val="20"/>
        </w:rPr>
      </w:pPr>
      <w:r w:rsidRPr="007B7404">
        <w:rPr>
          <w:rFonts w:ascii="Arial" w:hAnsi="Arial" w:cs="Arial"/>
          <w:sz w:val="20"/>
          <w:szCs w:val="20"/>
          <w:u w:val="single"/>
        </w:rPr>
        <w:t>OP ŽP podporuje vytváranie rovnosti príležitostí</w:t>
      </w:r>
      <w:r w:rsidRPr="007B7404">
        <w:rPr>
          <w:rFonts w:ascii="Arial" w:hAnsi="Arial" w:cs="Arial"/>
          <w:sz w:val="20"/>
          <w:szCs w:val="20"/>
        </w:rPr>
        <w:t xml:space="preserve"> v prístupe k environmentálnej infraštruktúre ako jednému z dôležitých faktorov ovplyvňujúcich životné podmienky a životnú úroveň obyvateľstva a k priaznivému životnému prostrediu, právo na ktoré je jedným zo základných ústavných práv občanov SR. Operačný program podporuje tvorbu súčastí environmentálnej infraštruktúry v oblasti ochrany vôd, ovzdušia, prírody a krajiny prostredníctvom nastavenia výberových kritérií spôsobom, ktorý zaručuje podporu aktivít smerujúcich k zlepšeniu prístupu znevýhodnených osôb k výsledkom projektov. </w:t>
      </w:r>
    </w:p>
    <w:p w:rsidR="002416B1" w:rsidRPr="007B7404" w:rsidRDefault="002416B1" w:rsidP="00507035">
      <w:pPr>
        <w:spacing w:before="120" w:after="120" w:line="360" w:lineRule="auto"/>
        <w:jc w:val="both"/>
        <w:rPr>
          <w:rFonts w:ascii="Arial" w:hAnsi="Arial" w:cs="Arial"/>
          <w:sz w:val="20"/>
          <w:szCs w:val="20"/>
        </w:rPr>
      </w:pPr>
      <w:r w:rsidRPr="007B7404">
        <w:rPr>
          <w:rFonts w:ascii="Arial" w:hAnsi="Arial" w:cs="Arial"/>
          <w:sz w:val="20"/>
          <w:szCs w:val="20"/>
          <w:u w:val="single"/>
        </w:rPr>
        <w:t>Inštitucionálnym koordinátorom horizontálnej priority rovnosť príležitostí</w:t>
      </w:r>
      <w:r w:rsidRPr="007B7404">
        <w:rPr>
          <w:rFonts w:ascii="Arial" w:hAnsi="Arial" w:cs="Arial"/>
          <w:sz w:val="20"/>
          <w:szCs w:val="20"/>
        </w:rPr>
        <w:t xml:space="preserve"> (ďalej len „HP RP“) je Ministerstvo práce, sociálnych vecí a rodiny SR (ďalej len „MPSVR SR“), ktoré v súlade s uplatňovaním princípu partnerstva a s cieľom zabezpečenia koordinovaného postupu všetkých riadiacich orgánov pri implementácii HP RP zriadilo </w:t>
      </w:r>
      <w:r w:rsidRPr="007B7404">
        <w:rPr>
          <w:rFonts w:ascii="Arial" w:hAnsi="Arial" w:cs="Arial"/>
          <w:sz w:val="20"/>
          <w:szCs w:val="20"/>
          <w:u w:val="single"/>
        </w:rPr>
        <w:t>Pracovnú skupinu pre HP RP</w:t>
      </w:r>
      <w:r w:rsidRPr="007B7404">
        <w:rPr>
          <w:rFonts w:ascii="Arial" w:hAnsi="Arial" w:cs="Arial"/>
          <w:sz w:val="20"/>
          <w:szCs w:val="20"/>
        </w:rPr>
        <w:t xml:space="preserve">, ktorej členom je aj zástupca Riadiaceho orgánu pre OP ŽP. </w:t>
      </w:r>
    </w:p>
    <w:p w:rsidR="002416B1" w:rsidRPr="007B7404" w:rsidRDefault="002416B1" w:rsidP="00507035">
      <w:pPr>
        <w:spacing w:before="120" w:after="120" w:line="360" w:lineRule="auto"/>
        <w:jc w:val="both"/>
        <w:rPr>
          <w:rFonts w:ascii="Arial" w:hAnsi="Arial" w:cs="Arial"/>
          <w:sz w:val="20"/>
          <w:szCs w:val="20"/>
        </w:rPr>
      </w:pPr>
      <w:r w:rsidRPr="007B7404">
        <w:rPr>
          <w:rFonts w:ascii="Arial" w:hAnsi="Arial" w:cs="Arial"/>
          <w:sz w:val="20"/>
          <w:szCs w:val="20"/>
        </w:rPr>
        <w:t xml:space="preserve">Riadiaci orgán zverejňuje spolu s jednotlivými výzvami na predkladanie žiadostí o nenávratný finančný príspevok ERDF alebo KF tzv. </w:t>
      </w:r>
      <w:r w:rsidRPr="007B7404">
        <w:rPr>
          <w:rFonts w:ascii="Arial" w:hAnsi="Arial" w:cs="Arial"/>
          <w:i/>
          <w:sz w:val="20"/>
          <w:szCs w:val="20"/>
        </w:rPr>
        <w:t>Príručku pre žiadateľa</w:t>
      </w:r>
      <w:r w:rsidRPr="007B7404">
        <w:rPr>
          <w:rFonts w:ascii="Arial" w:hAnsi="Arial" w:cs="Arial"/>
          <w:sz w:val="20"/>
          <w:szCs w:val="20"/>
        </w:rPr>
        <w:t xml:space="preserve"> o nenávratný finančný príspevok, ktorá obsahuje informáciu o spôsobe, akým má žiadateľ v rámci žiadosti nadefinovať údaje potrebné pre posúdenie miery príspevku projektu k napĺňaniu horizontálnej priority rovnosť príležitostí. </w:t>
      </w:r>
    </w:p>
    <w:p w:rsidR="002416B1" w:rsidRPr="007B7404" w:rsidRDefault="002416B1" w:rsidP="00507035">
      <w:pPr>
        <w:spacing w:before="120" w:after="120" w:line="360" w:lineRule="auto"/>
        <w:jc w:val="both"/>
        <w:rPr>
          <w:rFonts w:ascii="Arial" w:hAnsi="Arial" w:cs="Arial"/>
          <w:sz w:val="20"/>
          <w:szCs w:val="20"/>
        </w:rPr>
      </w:pPr>
      <w:r w:rsidRPr="007B7404">
        <w:rPr>
          <w:rFonts w:ascii="Arial" w:hAnsi="Arial" w:cs="Arial"/>
          <w:sz w:val="20"/>
          <w:szCs w:val="20"/>
        </w:rPr>
        <w:t>Odborní hodnotitelia v rámci odborného hodnotenia žiadostí o NFP postupujú v súlade s Príručkou pre hodnotiteľov žiadostí o nenávratný finančný príspevok ERDF alebo KF, v rámci ktorej je zapracovaná inštrukcia pre odborného hodnotiteľa k hodnoteniu HP RP. Špecifické kritéria v procese výberu žiadostí o NFP boli nastavené tak, aby sa posilnilo dosiahnutie cieľov horizontálnej priority rovnosť príležitostí.</w:t>
      </w:r>
    </w:p>
    <w:p w:rsidR="002416B1" w:rsidRPr="007B7404" w:rsidRDefault="002416B1" w:rsidP="00507035">
      <w:pPr>
        <w:spacing w:before="120" w:after="120" w:line="360" w:lineRule="auto"/>
        <w:jc w:val="both"/>
        <w:rPr>
          <w:rFonts w:ascii="Arial" w:hAnsi="Arial" w:cs="Arial"/>
          <w:sz w:val="20"/>
          <w:szCs w:val="20"/>
        </w:rPr>
      </w:pPr>
      <w:r w:rsidRPr="007B7404">
        <w:rPr>
          <w:rFonts w:ascii="Arial" w:hAnsi="Arial" w:cs="Arial"/>
          <w:sz w:val="20"/>
          <w:szCs w:val="20"/>
        </w:rPr>
        <w:t xml:space="preserve">Závažné nedostatky v informovaní žiadateľov a odborných hodnotiteľov o problematike HP RP v sledovanom období roka </w:t>
      </w:r>
      <w:r w:rsidR="00F9055E" w:rsidRPr="007B7404">
        <w:rPr>
          <w:rFonts w:ascii="Arial" w:hAnsi="Arial" w:cs="Arial"/>
          <w:sz w:val="20"/>
          <w:szCs w:val="20"/>
        </w:rPr>
        <w:t>201</w:t>
      </w:r>
      <w:r w:rsidR="00F9055E">
        <w:rPr>
          <w:rFonts w:ascii="Arial" w:hAnsi="Arial" w:cs="Arial"/>
          <w:sz w:val="20"/>
          <w:szCs w:val="20"/>
        </w:rPr>
        <w:t>2</w:t>
      </w:r>
      <w:r w:rsidR="00F9055E" w:rsidRPr="007B7404">
        <w:rPr>
          <w:rFonts w:ascii="Arial" w:hAnsi="Arial" w:cs="Arial"/>
          <w:sz w:val="20"/>
          <w:szCs w:val="20"/>
        </w:rPr>
        <w:t xml:space="preserve"> </w:t>
      </w:r>
      <w:r w:rsidRPr="007B7404">
        <w:rPr>
          <w:rFonts w:ascii="Arial" w:hAnsi="Arial" w:cs="Arial"/>
          <w:sz w:val="20"/>
          <w:szCs w:val="20"/>
        </w:rPr>
        <w:t>neboli zistené.</w:t>
      </w:r>
    </w:p>
    <w:p w:rsidR="002416B1" w:rsidRPr="007B7404" w:rsidRDefault="002416B1" w:rsidP="00507035">
      <w:pPr>
        <w:spacing w:before="120" w:after="120" w:line="360" w:lineRule="auto"/>
        <w:jc w:val="both"/>
        <w:rPr>
          <w:rFonts w:ascii="Arial" w:hAnsi="Arial" w:cs="Arial"/>
          <w:sz w:val="20"/>
          <w:szCs w:val="20"/>
        </w:rPr>
      </w:pPr>
      <w:r w:rsidRPr="007B7404">
        <w:rPr>
          <w:rFonts w:ascii="Arial" w:hAnsi="Arial" w:cs="Arial"/>
          <w:sz w:val="20"/>
          <w:szCs w:val="20"/>
        </w:rPr>
        <w:t>Hlavným cieľom HP RP je v zmysle NSRR zabezpečiť rovnosť príležitostí pre všetkých a</w:t>
      </w:r>
      <w:r>
        <w:rPr>
          <w:rFonts w:ascii="Arial" w:hAnsi="Arial" w:cs="Arial"/>
          <w:sz w:val="20"/>
          <w:szCs w:val="20"/>
        </w:rPr>
        <w:t xml:space="preserve"> </w:t>
      </w:r>
      <w:r w:rsidRPr="007B7404">
        <w:rPr>
          <w:rFonts w:ascii="Arial" w:hAnsi="Arial" w:cs="Arial"/>
          <w:sz w:val="20"/>
          <w:szCs w:val="20"/>
        </w:rPr>
        <w:t>predchádzanie všetkým formám diskriminácie. Uvedený princíp je uplatňovaný pri každom projekte.</w:t>
      </w:r>
    </w:p>
    <w:p w:rsidR="008216A0" w:rsidRDefault="002416B1" w:rsidP="00507035">
      <w:pPr>
        <w:spacing w:before="120" w:after="120" w:line="360" w:lineRule="auto"/>
        <w:jc w:val="both"/>
        <w:rPr>
          <w:rFonts w:ascii="Arial" w:hAnsi="Arial" w:cs="Arial"/>
          <w:sz w:val="20"/>
          <w:szCs w:val="20"/>
          <w:u w:val="single"/>
        </w:rPr>
      </w:pPr>
      <w:r w:rsidRPr="007B7404">
        <w:rPr>
          <w:rFonts w:ascii="Arial" w:hAnsi="Arial" w:cs="Arial"/>
          <w:sz w:val="20"/>
          <w:szCs w:val="20"/>
        </w:rPr>
        <w:t xml:space="preserve">V súlade so systémom koordinácie implementácie horizontálnej priority rovnosť príležitostí pre programové obdobie 2007 – 2013 boli </w:t>
      </w:r>
      <w:r w:rsidRPr="007B7404">
        <w:rPr>
          <w:rFonts w:ascii="Arial" w:hAnsi="Arial" w:cs="Arial"/>
          <w:sz w:val="20"/>
          <w:szCs w:val="20"/>
          <w:u w:val="single"/>
        </w:rPr>
        <w:t>v rámci OP ŽP</w:t>
      </w:r>
      <w:r w:rsidRPr="007B7404">
        <w:rPr>
          <w:rFonts w:ascii="Arial" w:hAnsi="Arial" w:cs="Arial"/>
          <w:sz w:val="20"/>
          <w:szCs w:val="20"/>
        </w:rPr>
        <w:t xml:space="preserve"> koordinátorom horizontálnej priority pre rovnosť príležitostí pre prioritné osi 1 až 5 identifikované ako relevantné nasledovné </w:t>
      </w:r>
      <w:r w:rsidRPr="007B7404">
        <w:rPr>
          <w:rFonts w:ascii="Arial" w:hAnsi="Arial" w:cs="Arial"/>
          <w:sz w:val="20"/>
          <w:szCs w:val="20"/>
          <w:u w:val="single"/>
        </w:rPr>
        <w:t>ciele HP RP:</w:t>
      </w:r>
    </w:p>
    <w:p w:rsidR="002416B1" w:rsidRPr="007B7404" w:rsidRDefault="002416B1" w:rsidP="00507035">
      <w:pPr>
        <w:spacing w:before="120" w:after="120" w:line="360" w:lineRule="auto"/>
        <w:jc w:val="both"/>
        <w:rPr>
          <w:rFonts w:ascii="Arial" w:hAnsi="Arial" w:cs="Arial"/>
          <w:sz w:val="20"/>
          <w:szCs w:val="20"/>
        </w:rPr>
      </w:pPr>
      <w:r w:rsidRPr="007B7404">
        <w:rPr>
          <w:rFonts w:ascii="Arial" w:hAnsi="Arial" w:cs="Arial"/>
          <w:sz w:val="20"/>
          <w:szCs w:val="20"/>
        </w:rPr>
        <w:t xml:space="preserve">cieľ 1.1: </w:t>
      </w:r>
    </w:p>
    <w:p w:rsidR="002416B1" w:rsidRPr="007B7404" w:rsidRDefault="002416B1" w:rsidP="001540E7">
      <w:pPr>
        <w:numPr>
          <w:ilvl w:val="0"/>
          <w:numId w:val="6"/>
        </w:numPr>
        <w:spacing w:before="120" w:after="120" w:line="360" w:lineRule="auto"/>
        <w:ind w:left="714" w:hanging="357"/>
        <w:jc w:val="both"/>
        <w:rPr>
          <w:rFonts w:ascii="Arial" w:hAnsi="Arial" w:cs="Arial"/>
          <w:sz w:val="20"/>
          <w:szCs w:val="20"/>
        </w:rPr>
      </w:pPr>
      <w:r w:rsidRPr="007B7404">
        <w:rPr>
          <w:rFonts w:ascii="Arial" w:hAnsi="Arial" w:cs="Arial"/>
          <w:sz w:val="20"/>
          <w:szCs w:val="20"/>
        </w:rPr>
        <w:t>zvýšenie zamestnanosti a zníženie nezamestnanosti žien na pracovnom trhu</w:t>
      </w:r>
    </w:p>
    <w:p w:rsidR="002416B1" w:rsidRPr="007B7404" w:rsidRDefault="002416B1" w:rsidP="001540E7">
      <w:pPr>
        <w:numPr>
          <w:ilvl w:val="0"/>
          <w:numId w:val="6"/>
        </w:numPr>
        <w:spacing w:before="120" w:after="120" w:line="360" w:lineRule="auto"/>
        <w:ind w:left="714" w:hanging="357"/>
        <w:jc w:val="both"/>
        <w:rPr>
          <w:rFonts w:ascii="Arial" w:hAnsi="Arial" w:cs="Arial"/>
          <w:sz w:val="20"/>
          <w:szCs w:val="20"/>
        </w:rPr>
      </w:pPr>
      <w:r w:rsidRPr="007B7404">
        <w:rPr>
          <w:rFonts w:ascii="Arial" w:hAnsi="Arial" w:cs="Arial"/>
          <w:sz w:val="20"/>
          <w:szCs w:val="20"/>
        </w:rPr>
        <w:t>zníženie rozdielu v miere zamestnanosti a miere nezamestnanosti medzi ženami a mužmi</w:t>
      </w:r>
    </w:p>
    <w:p w:rsidR="002416B1" w:rsidRPr="007B7404" w:rsidRDefault="002416B1" w:rsidP="00507035">
      <w:pPr>
        <w:spacing w:before="120" w:after="120" w:line="360" w:lineRule="auto"/>
        <w:jc w:val="both"/>
        <w:rPr>
          <w:rFonts w:ascii="Arial" w:hAnsi="Arial" w:cs="Arial"/>
          <w:sz w:val="20"/>
          <w:szCs w:val="20"/>
        </w:rPr>
      </w:pPr>
      <w:r w:rsidRPr="007B7404">
        <w:rPr>
          <w:rFonts w:ascii="Arial" w:hAnsi="Arial" w:cs="Arial"/>
          <w:sz w:val="20"/>
          <w:szCs w:val="20"/>
        </w:rPr>
        <w:t>cieľ 2.2:</w:t>
      </w:r>
    </w:p>
    <w:p w:rsidR="002416B1" w:rsidRPr="007B7404" w:rsidRDefault="002416B1" w:rsidP="001540E7">
      <w:pPr>
        <w:numPr>
          <w:ilvl w:val="0"/>
          <w:numId w:val="6"/>
        </w:numPr>
        <w:spacing w:before="120" w:after="120" w:line="360" w:lineRule="auto"/>
        <w:ind w:left="714" w:hanging="357"/>
        <w:jc w:val="both"/>
        <w:rPr>
          <w:rFonts w:ascii="Arial" w:hAnsi="Arial" w:cs="Arial"/>
          <w:sz w:val="20"/>
          <w:szCs w:val="20"/>
        </w:rPr>
      </w:pPr>
      <w:r w:rsidRPr="007B7404">
        <w:rPr>
          <w:rFonts w:ascii="Arial" w:hAnsi="Arial" w:cs="Arial"/>
          <w:sz w:val="20"/>
          <w:szCs w:val="20"/>
        </w:rPr>
        <w:t>zvýšenie počtu bezbariérových a bezpečných prístupov k verejnej, sociálnej, vzdelanostnej, zdravotníckej infraštruktúre a infraštruktúre zamestnávateľov</w:t>
      </w:r>
    </w:p>
    <w:p w:rsidR="002416B1" w:rsidRPr="007B7404" w:rsidRDefault="002416B1" w:rsidP="001540E7">
      <w:pPr>
        <w:numPr>
          <w:ilvl w:val="0"/>
          <w:numId w:val="6"/>
        </w:numPr>
        <w:spacing w:before="120" w:after="120" w:line="360" w:lineRule="auto"/>
        <w:ind w:left="714" w:hanging="357"/>
        <w:jc w:val="both"/>
        <w:rPr>
          <w:rFonts w:ascii="Arial" w:hAnsi="Arial" w:cs="Arial"/>
          <w:sz w:val="20"/>
          <w:szCs w:val="20"/>
        </w:rPr>
      </w:pPr>
      <w:r w:rsidRPr="007B7404">
        <w:rPr>
          <w:rFonts w:ascii="Arial" w:hAnsi="Arial" w:cs="Arial"/>
          <w:sz w:val="20"/>
          <w:szCs w:val="20"/>
        </w:rPr>
        <w:t>zvýšenie dostupnosti ľudí so zdravotným postihnutím k informačným službám</w:t>
      </w:r>
    </w:p>
    <w:p w:rsidR="002416B1" w:rsidRPr="007B7404" w:rsidRDefault="002416B1" w:rsidP="00507035">
      <w:pPr>
        <w:spacing w:before="120" w:after="120" w:line="360" w:lineRule="auto"/>
        <w:jc w:val="both"/>
        <w:rPr>
          <w:rFonts w:ascii="Arial" w:hAnsi="Arial" w:cs="Arial"/>
          <w:sz w:val="20"/>
          <w:szCs w:val="20"/>
        </w:rPr>
      </w:pPr>
      <w:r w:rsidRPr="007B7404">
        <w:rPr>
          <w:rFonts w:ascii="Arial" w:hAnsi="Arial" w:cs="Arial"/>
          <w:sz w:val="20"/>
          <w:szCs w:val="20"/>
        </w:rPr>
        <w:t xml:space="preserve">Na základe spolupráce medzi MŽP SR a MPSVR SR bol vytvorený </w:t>
      </w:r>
      <w:r w:rsidRPr="007B7404">
        <w:rPr>
          <w:rFonts w:ascii="Arial" w:hAnsi="Arial" w:cs="Arial"/>
          <w:sz w:val="20"/>
          <w:szCs w:val="20"/>
          <w:u w:val="single"/>
        </w:rPr>
        <w:t>súbor ukazovateľov</w:t>
      </w:r>
      <w:r w:rsidRPr="007B7404">
        <w:rPr>
          <w:rFonts w:ascii="Arial" w:hAnsi="Arial" w:cs="Arial"/>
          <w:sz w:val="20"/>
          <w:szCs w:val="20"/>
        </w:rPr>
        <w:t xml:space="preserve"> HP RP vo vzťahu k OP ŽP spôsobom umožňujúcim sledovanie týchto ukazovateľov cez ITMS. </w:t>
      </w:r>
    </w:p>
    <w:p w:rsidR="002416B1" w:rsidRDefault="002416B1" w:rsidP="00507035">
      <w:pPr>
        <w:spacing w:before="120" w:after="120" w:line="360" w:lineRule="auto"/>
        <w:jc w:val="both"/>
        <w:rPr>
          <w:rFonts w:ascii="Arial" w:hAnsi="Arial" w:cs="Arial"/>
          <w:sz w:val="20"/>
          <w:szCs w:val="20"/>
        </w:rPr>
      </w:pPr>
      <w:r w:rsidRPr="007B7404">
        <w:rPr>
          <w:rFonts w:ascii="Arial" w:hAnsi="Arial" w:cs="Arial"/>
          <w:sz w:val="20"/>
          <w:szCs w:val="20"/>
        </w:rPr>
        <w:t>Taktiež bola v súlade s postupmi definovanými Systémom riadenia a príslušným metodickým pokynom CKO vypracovaná prvá verzia Plánu hodnotení koordinátora HP RP pre programové obdobie 2007 – 2013 a bola predložená na vyjadrenie CKO a príslušným RO prostredníctvom pracovnej skupiny pre HP RP.</w:t>
      </w:r>
    </w:p>
    <w:p w:rsidR="002416B1" w:rsidRPr="004B33AE" w:rsidRDefault="002416B1" w:rsidP="008216A0">
      <w:pPr>
        <w:spacing w:line="360" w:lineRule="auto"/>
        <w:jc w:val="both"/>
        <w:rPr>
          <w:rFonts w:ascii="Arial" w:hAnsi="Arial" w:cs="Arial"/>
          <w:sz w:val="20"/>
          <w:szCs w:val="20"/>
        </w:rPr>
      </w:pPr>
      <w:r w:rsidRPr="004B33AE">
        <w:rPr>
          <w:rFonts w:ascii="Arial" w:hAnsi="Arial" w:cs="Arial"/>
          <w:sz w:val="20"/>
          <w:szCs w:val="20"/>
        </w:rPr>
        <w:t xml:space="preserve">Tab. č. </w:t>
      </w:r>
      <w:r w:rsidR="00D967E2">
        <w:rPr>
          <w:rFonts w:ascii="Arial" w:hAnsi="Arial" w:cs="Arial"/>
          <w:sz w:val="20"/>
          <w:szCs w:val="20"/>
        </w:rPr>
        <w:t>73</w:t>
      </w:r>
      <w:r w:rsidRPr="004B33AE">
        <w:rPr>
          <w:rFonts w:ascii="Arial" w:hAnsi="Arial" w:cs="Arial"/>
          <w:sz w:val="20"/>
          <w:szCs w:val="20"/>
        </w:rPr>
        <w:t xml:space="preserve">: </w:t>
      </w:r>
      <w:r w:rsidRPr="007B7404">
        <w:rPr>
          <w:rFonts w:ascii="Arial" w:hAnsi="Arial" w:cs="Arial"/>
          <w:sz w:val="20"/>
          <w:szCs w:val="20"/>
        </w:rPr>
        <w:t xml:space="preserve">Plnenie fyzických ukazovateľov </w:t>
      </w:r>
      <w:r>
        <w:rPr>
          <w:rFonts w:ascii="Arial" w:hAnsi="Arial" w:cs="Arial"/>
          <w:sz w:val="20"/>
          <w:szCs w:val="20"/>
        </w:rPr>
        <w:t xml:space="preserve">HP RP na úrovni </w:t>
      </w:r>
      <w:r w:rsidRPr="007B7404">
        <w:rPr>
          <w:rFonts w:ascii="Arial" w:hAnsi="Arial" w:cs="Arial"/>
          <w:sz w:val="20"/>
          <w:szCs w:val="20"/>
        </w:rPr>
        <w:t>NSRR k 31.12.201</w:t>
      </w:r>
      <w:r w:rsidR="00DE341A">
        <w:rPr>
          <w:rFonts w:ascii="Arial" w:hAnsi="Arial" w:cs="Arial"/>
          <w:sz w:val="20"/>
          <w:szCs w:val="20"/>
        </w:rPr>
        <w:t>2</w:t>
      </w:r>
    </w:p>
    <w:tbl>
      <w:tblPr>
        <w:tblW w:w="0" w:type="auto"/>
        <w:tblInd w:w="55" w:type="dxa"/>
        <w:tblCellMar>
          <w:left w:w="70" w:type="dxa"/>
          <w:right w:w="70" w:type="dxa"/>
        </w:tblCellMar>
        <w:tblLook w:val="04A0" w:firstRow="1" w:lastRow="0" w:firstColumn="1" w:lastColumn="0" w:noHBand="0" w:noVBand="1"/>
      </w:tblPr>
      <w:tblGrid>
        <w:gridCol w:w="1555"/>
        <w:gridCol w:w="1608"/>
        <w:gridCol w:w="496"/>
        <w:gridCol w:w="496"/>
        <w:gridCol w:w="496"/>
        <w:gridCol w:w="496"/>
        <w:gridCol w:w="496"/>
        <w:gridCol w:w="496"/>
        <w:gridCol w:w="496"/>
        <w:gridCol w:w="496"/>
        <w:gridCol w:w="496"/>
        <w:gridCol w:w="585"/>
        <w:gridCol w:w="943"/>
      </w:tblGrid>
      <w:tr w:rsidR="00335274" w:rsidRPr="00D35EFD" w:rsidTr="00864E50">
        <w:trPr>
          <w:trHeight w:val="20"/>
        </w:trPr>
        <w:tc>
          <w:tcPr>
            <w:tcW w:w="0" w:type="auto"/>
            <w:gridSpan w:val="2"/>
            <w:tcBorders>
              <w:top w:val="single" w:sz="4" w:space="0" w:color="auto"/>
              <w:left w:val="single" w:sz="4" w:space="0" w:color="auto"/>
              <w:bottom w:val="nil"/>
              <w:right w:val="single" w:sz="4" w:space="0" w:color="000000"/>
            </w:tcBorders>
            <w:shd w:val="clear" w:color="000000" w:fill="D6E3BC"/>
            <w:noWrap/>
            <w:vAlign w:val="center"/>
          </w:tcPr>
          <w:p w:rsidR="00864E50" w:rsidRPr="00D35EFD" w:rsidRDefault="00864E50" w:rsidP="008216A0">
            <w:pPr>
              <w:jc w:val="center"/>
              <w:rPr>
                <w:rFonts w:ascii="Arial" w:hAnsi="Arial" w:cs="Arial"/>
                <w:b/>
                <w:bCs/>
                <w:sz w:val="16"/>
                <w:szCs w:val="16"/>
              </w:rPr>
            </w:pPr>
            <w:r w:rsidRPr="00D35EFD">
              <w:rPr>
                <w:rFonts w:ascii="Arial" w:hAnsi="Arial" w:cs="Arial"/>
                <w:b/>
                <w:bCs/>
                <w:sz w:val="16"/>
                <w:szCs w:val="16"/>
              </w:rPr>
              <w:t>Ukazovatele</w:t>
            </w:r>
          </w:p>
        </w:tc>
        <w:tc>
          <w:tcPr>
            <w:tcW w:w="0" w:type="auto"/>
            <w:tcBorders>
              <w:top w:val="single" w:sz="4" w:space="0" w:color="auto"/>
              <w:left w:val="nil"/>
              <w:bottom w:val="nil"/>
              <w:right w:val="single" w:sz="4" w:space="0" w:color="auto"/>
            </w:tcBorders>
            <w:shd w:val="clear" w:color="000000" w:fill="D6E3BC"/>
            <w:noWrap/>
            <w:vAlign w:val="center"/>
          </w:tcPr>
          <w:p w:rsidR="00864E50" w:rsidRPr="00D35EFD" w:rsidRDefault="00864E50" w:rsidP="008216A0">
            <w:pPr>
              <w:jc w:val="center"/>
              <w:rPr>
                <w:rFonts w:ascii="Arial" w:hAnsi="Arial" w:cs="Arial"/>
                <w:b/>
                <w:bCs/>
                <w:sz w:val="16"/>
                <w:szCs w:val="16"/>
              </w:rPr>
            </w:pPr>
            <w:r w:rsidRPr="00D35EFD">
              <w:rPr>
                <w:rFonts w:ascii="Arial" w:hAnsi="Arial" w:cs="Arial"/>
                <w:b/>
                <w:bCs/>
                <w:sz w:val="16"/>
                <w:szCs w:val="16"/>
              </w:rPr>
              <w:t>2007</w:t>
            </w:r>
          </w:p>
        </w:tc>
        <w:tc>
          <w:tcPr>
            <w:tcW w:w="0" w:type="auto"/>
            <w:tcBorders>
              <w:top w:val="single" w:sz="4" w:space="0" w:color="auto"/>
              <w:left w:val="nil"/>
              <w:bottom w:val="nil"/>
              <w:right w:val="single" w:sz="4" w:space="0" w:color="auto"/>
            </w:tcBorders>
            <w:shd w:val="clear" w:color="000000" w:fill="D6E3BC"/>
            <w:noWrap/>
            <w:vAlign w:val="center"/>
          </w:tcPr>
          <w:p w:rsidR="00864E50" w:rsidRPr="00D35EFD" w:rsidRDefault="00864E50" w:rsidP="008216A0">
            <w:pPr>
              <w:jc w:val="center"/>
              <w:rPr>
                <w:rFonts w:ascii="Arial" w:hAnsi="Arial" w:cs="Arial"/>
                <w:b/>
                <w:bCs/>
                <w:sz w:val="16"/>
                <w:szCs w:val="16"/>
              </w:rPr>
            </w:pPr>
            <w:r w:rsidRPr="00D35EFD">
              <w:rPr>
                <w:rFonts w:ascii="Arial" w:hAnsi="Arial" w:cs="Arial"/>
                <w:b/>
                <w:bCs/>
                <w:sz w:val="16"/>
                <w:szCs w:val="16"/>
              </w:rPr>
              <w:t>2008</w:t>
            </w:r>
          </w:p>
        </w:tc>
        <w:tc>
          <w:tcPr>
            <w:tcW w:w="0" w:type="auto"/>
            <w:tcBorders>
              <w:top w:val="single" w:sz="4" w:space="0" w:color="auto"/>
              <w:left w:val="nil"/>
              <w:bottom w:val="nil"/>
              <w:right w:val="single" w:sz="4" w:space="0" w:color="auto"/>
            </w:tcBorders>
            <w:shd w:val="clear" w:color="000000" w:fill="D6E3BC"/>
            <w:noWrap/>
            <w:vAlign w:val="center"/>
          </w:tcPr>
          <w:p w:rsidR="00864E50" w:rsidRPr="00D35EFD" w:rsidRDefault="00864E50" w:rsidP="008216A0">
            <w:pPr>
              <w:jc w:val="center"/>
              <w:rPr>
                <w:rFonts w:ascii="Arial" w:hAnsi="Arial" w:cs="Arial"/>
                <w:b/>
                <w:bCs/>
                <w:sz w:val="16"/>
                <w:szCs w:val="16"/>
              </w:rPr>
            </w:pPr>
            <w:r w:rsidRPr="00D35EFD">
              <w:rPr>
                <w:rFonts w:ascii="Arial" w:hAnsi="Arial" w:cs="Arial"/>
                <w:b/>
                <w:bCs/>
                <w:sz w:val="16"/>
                <w:szCs w:val="16"/>
              </w:rPr>
              <w:t>2009</w:t>
            </w:r>
          </w:p>
        </w:tc>
        <w:tc>
          <w:tcPr>
            <w:tcW w:w="0" w:type="auto"/>
            <w:tcBorders>
              <w:top w:val="single" w:sz="4" w:space="0" w:color="auto"/>
              <w:left w:val="nil"/>
              <w:bottom w:val="nil"/>
              <w:right w:val="single" w:sz="4" w:space="0" w:color="auto"/>
            </w:tcBorders>
            <w:shd w:val="clear" w:color="000000" w:fill="D6E3BC"/>
            <w:noWrap/>
            <w:vAlign w:val="center"/>
          </w:tcPr>
          <w:p w:rsidR="00864E50" w:rsidRPr="00D35EFD" w:rsidRDefault="00864E50" w:rsidP="008216A0">
            <w:pPr>
              <w:jc w:val="center"/>
              <w:rPr>
                <w:rFonts w:ascii="Arial" w:hAnsi="Arial" w:cs="Arial"/>
                <w:b/>
                <w:bCs/>
                <w:sz w:val="16"/>
                <w:szCs w:val="16"/>
              </w:rPr>
            </w:pPr>
            <w:r w:rsidRPr="00D35EFD">
              <w:rPr>
                <w:rFonts w:ascii="Arial" w:hAnsi="Arial" w:cs="Arial"/>
                <w:b/>
                <w:bCs/>
                <w:sz w:val="16"/>
                <w:szCs w:val="16"/>
              </w:rPr>
              <w:t>2010</w:t>
            </w:r>
          </w:p>
        </w:tc>
        <w:tc>
          <w:tcPr>
            <w:tcW w:w="0" w:type="auto"/>
            <w:tcBorders>
              <w:top w:val="single" w:sz="4" w:space="0" w:color="auto"/>
              <w:left w:val="nil"/>
              <w:bottom w:val="nil"/>
              <w:right w:val="single" w:sz="4" w:space="0" w:color="auto"/>
            </w:tcBorders>
            <w:shd w:val="clear" w:color="000000" w:fill="D6E3BC"/>
            <w:noWrap/>
            <w:vAlign w:val="center"/>
          </w:tcPr>
          <w:p w:rsidR="00864E50" w:rsidRPr="00D35EFD" w:rsidRDefault="00864E50" w:rsidP="008216A0">
            <w:pPr>
              <w:jc w:val="center"/>
              <w:rPr>
                <w:rFonts w:ascii="Arial" w:hAnsi="Arial" w:cs="Arial"/>
                <w:b/>
                <w:bCs/>
                <w:sz w:val="16"/>
                <w:szCs w:val="16"/>
              </w:rPr>
            </w:pPr>
            <w:r w:rsidRPr="00D35EFD">
              <w:rPr>
                <w:rFonts w:ascii="Arial" w:hAnsi="Arial" w:cs="Arial"/>
                <w:b/>
                <w:bCs/>
                <w:sz w:val="16"/>
                <w:szCs w:val="16"/>
              </w:rPr>
              <w:t>2011</w:t>
            </w:r>
          </w:p>
        </w:tc>
        <w:tc>
          <w:tcPr>
            <w:tcW w:w="0" w:type="auto"/>
            <w:tcBorders>
              <w:top w:val="single" w:sz="4" w:space="0" w:color="auto"/>
              <w:left w:val="nil"/>
              <w:bottom w:val="nil"/>
              <w:right w:val="single" w:sz="4" w:space="0" w:color="auto"/>
            </w:tcBorders>
            <w:shd w:val="clear" w:color="000000" w:fill="D6E3BC"/>
            <w:noWrap/>
            <w:vAlign w:val="center"/>
          </w:tcPr>
          <w:p w:rsidR="00864E50" w:rsidRPr="00D35EFD" w:rsidRDefault="00864E50" w:rsidP="008216A0">
            <w:pPr>
              <w:jc w:val="center"/>
              <w:rPr>
                <w:rFonts w:ascii="Arial" w:hAnsi="Arial" w:cs="Arial"/>
                <w:b/>
                <w:bCs/>
                <w:sz w:val="16"/>
                <w:szCs w:val="16"/>
              </w:rPr>
            </w:pPr>
            <w:r w:rsidRPr="00D35EFD">
              <w:rPr>
                <w:rFonts w:ascii="Arial" w:hAnsi="Arial" w:cs="Arial"/>
                <w:b/>
                <w:bCs/>
                <w:sz w:val="16"/>
                <w:szCs w:val="16"/>
              </w:rPr>
              <w:t>2012</w:t>
            </w:r>
          </w:p>
        </w:tc>
        <w:tc>
          <w:tcPr>
            <w:tcW w:w="0" w:type="auto"/>
            <w:tcBorders>
              <w:top w:val="single" w:sz="4" w:space="0" w:color="auto"/>
              <w:left w:val="nil"/>
              <w:bottom w:val="nil"/>
              <w:right w:val="single" w:sz="4" w:space="0" w:color="auto"/>
            </w:tcBorders>
            <w:shd w:val="clear" w:color="000000" w:fill="D6E3BC"/>
            <w:noWrap/>
            <w:vAlign w:val="center"/>
          </w:tcPr>
          <w:p w:rsidR="00864E50" w:rsidRPr="00D35EFD" w:rsidRDefault="00864E50" w:rsidP="008216A0">
            <w:pPr>
              <w:jc w:val="center"/>
              <w:rPr>
                <w:rFonts w:ascii="Arial" w:hAnsi="Arial" w:cs="Arial"/>
                <w:b/>
                <w:bCs/>
                <w:sz w:val="16"/>
                <w:szCs w:val="16"/>
              </w:rPr>
            </w:pPr>
            <w:r w:rsidRPr="00D35EFD">
              <w:rPr>
                <w:rFonts w:ascii="Arial" w:hAnsi="Arial" w:cs="Arial"/>
                <w:b/>
                <w:bCs/>
                <w:sz w:val="16"/>
                <w:szCs w:val="16"/>
              </w:rPr>
              <w:t>2013</w:t>
            </w:r>
          </w:p>
        </w:tc>
        <w:tc>
          <w:tcPr>
            <w:tcW w:w="0" w:type="auto"/>
            <w:tcBorders>
              <w:top w:val="single" w:sz="4" w:space="0" w:color="auto"/>
              <w:left w:val="nil"/>
              <w:bottom w:val="nil"/>
              <w:right w:val="single" w:sz="4" w:space="0" w:color="auto"/>
            </w:tcBorders>
            <w:shd w:val="clear" w:color="000000" w:fill="D6E3BC"/>
            <w:noWrap/>
            <w:vAlign w:val="center"/>
          </w:tcPr>
          <w:p w:rsidR="00864E50" w:rsidRPr="00D35EFD" w:rsidRDefault="00864E50" w:rsidP="008216A0">
            <w:pPr>
              <w:jc w:val="center"/>
              <w:rPr>
                <w:rFonts w:ascii="Arial" w:hAnsi="Arial" w:cs="Arial"/>
                <w:b/>
                <w:bCs/>
                <w:sz w:val="16"/>
                <w:szCs w:val="16"/>
              </w:rPr>
            </w:pPr>
            <w:r w:rsidRPr="00D35EFD">
              <w:rPr>
                <w:rFonts w:ascii="Arial" w:hAnsi="Arial" w:cs="Arial"/>
                <w:b/>
                <w:bCs/>
                <w:sz w:val="16"/>
                <w:szCs w:val="16"/>
              </w:rPr>
              <w:t>2014</w:t>
            </w:r>
          </w:p>
        </w:tc>
        <w:tc>
          <w:tcPr>
            <w:tcW w:w="0" w:type="auto"/>
            <w:tcBorders>
              <w:top w:val="single" w:sz="4" w:space="0" w:color="auto"/>
              <w:left w:val="nil"/>
              <w:bottom w:val="nil"/>
              <w:right w:val="single" w:sz="4" w:space="0" w:color="auto"/>
            </w:tcBorders>
            <w:shd w:val="clear" w:color="000000" w:fill="D6E3BC"/>
            <w:noWrap/>
            <w:vAlign w:val="center"/>
          </w:tcPr>
          <w:p w:rsidR="00864E50" w:rsidRPr="00D35EFD" w:rsidRDefault="00864E50" w:rsidP="008216A0">
            <w:pPr>
              <w:jc w:val="center"/>
              <w:rPr>
                <w:rFonts w:ascii="Arial" w:hAnsi="Arial" w:cs="Arial"/>
                <w:b/>
                <w:bCs/>
                <w:sz w:val="16"/>
                <w:szCs w:val="16"/>
              </w:rPr>
            </w:pPr>
            <w:r w:rsidRPr="00D35EFD">
              <w:rPr>
                <w:rFonts w:ascii="Arial" w:hAnsi="Arial" w:cs="Arial"/>
                <w:b/>
                <w:bCs/>
                <w:sz w:val="16"/>
                <w:szCs w:val="16"/>
              </w:rPr>
              <w:t>2015</w:t>
            </w:r>
          </w:p>
        </w:tc>
        <w:tc>
          <w:tcPr>
            <w:tcW w:w="0" w:type="auto"/>
            <w:tcBorders>
              <w:top w:val="single" w:sz="4" w:space="0" w:color="auto"/>
              <w:left w:val="nil"/>
              <w:bottom w:val="nil"/>
              <w:right w:val="single" w:sz="4" w:space="0" w:color="auto"/>
            </w:tcBorders>
            <w:shd w:val="clear" w:color="000000" w:fill="D6E3BC"/>
            <w:noWrap/>
            <w:vAlign w:val="center"/>
          </w:tcPr>
          <w:p w:rsidR="00864E50" w:rsidRPr="00D35EFD" w:rsidRDefault="00864E50" w:rsidP="008216A0">
            <w:pPr>
              <w:jc w:val="center"/>
              <w:rPr>
                <w:rFonts w:ascii="Arial" w:hAnsi="Arial" w:cs="Arial"/>
                <w:b/>
                <w:bCs/>
                <w:sz w:val="16"/>
                <w:szCs w:val="16"/>
              </w:rPr>
            </w:pPr>
            <w:r w:rsidRPr="00D35EFD">
              <w:rPr>
                <w:rFonts w:ascii="Arial" w:hAnsi="Arial" w:cs="Arial"/>
                <w:b/>
                <w:bCs/>
                <w:sz w:val="16"/>
                <w:szCs w:val="16"/>
              </w:rPr>
              <w:t>Spolu</w:t>
            </w:r>
          </w:p>
        </w:tc>
        <w:tc>
          <w:tcPr>
            <w:tcW w:w="0" w:type="auto"/>
            <w:tcBorders>
              <w:top w:val="single" w:sz="4" w:space="0" w:color="auto"/>
              <w:left w:val="nil"/>
              <w:bottom w:val="nil"/>
              <w:right w:val="single" w:sz="4" w:space="0" w:color="auto"/>
            </w:tcBorders>
            <w:shd w:val="clear" w:color="000000" w:fill="D6E3BC"/>
            <w:noWrap/>
            <w:vAlign w:val="center"/>
          </w:tcPr>
          <w:p w:rsidR="00864E50" w:rsidRPr="00D35EFD" w:rsidRDefault="00864E50" w:rsidP="008216A0">
            <w:pPr>
              <w:jc w:val="center"/>
              <w:rPr>
                <w:rFonts w:ascii="Arial" w:hAnsi="Arial" w:cs="Arial"/>
                <w:b/>
                <w:bCs/>
                <w:sz w:val="16"/>
                <w:szCs w:val="16"/>
              </w:rPr>
            </w:pPr>
            <w:r w:rsidRPr="00D35EFD">
              <w:rPr>
                <w:rFonts w:ascii="Arial" w:hAnsi="Arial" w:cs="Arial"/>
                <w:b/>
                <w:bCs/>
                <w:sz w:val="16"/>
                <w:szCs w:val="16"/>
              </w:rPr>
              <w:t>Komentár</w:t>
            </w:r>
            <w:r w:rsidRPr="00D35EFD">
              <w:rPr>
                <w:rFonts w:ascii="Arial" w:hAnsi="Arial" w:cs="Arial"/>
                <w:b/>
                <w:bCs/>
                <w:sz w:val="16"/>
                <w:szCs w:val="16"/>
                <w:vertAlign w:val="superscript"/>
              </w:rPr>
              <w:t>1</w:t>
            </w:r>
          </w:p>
        </w:tc>
      </w:tr>
      <w:tr w:rsidR="00335274" w:rsidRPr="00D35EFD" w:rsidTr="00864E50">
        <w:trPr>
          <w:trHeight w:val="20"/>
        </w:trPr>
        <w:tc>
          <w:tcPr>
            <w:tcW w:w="0" w:type="auto"/>
            <w:vMerge w:val="restart"/>
            <w:tcBorders>
              <w:top w:val="single" w:sz="4" w:space="0" w:color="auto"/>
              <w:left w:val="single" w:sz="4" w:space="0" w:color="auto"/>
              <w:bottom w:val="single" w:sz="4" w:space="0" w:color="000000"/>
              <w:right w:val="single" w:sz="4" w:space="0" w:color="auto"/>
            </w:tcBorders>
            <w:shd w:val="clear" w:color="auto" w:fill="EAF1DD"/>
            <w:vAlign w:val="center"/>
          </w:tcPr>
          <w:p w:rsidR="00864E50" w:rsidRPr="00D35EFD" w:rsidRDefault="00864E50" w:rsidP="008216A0">
            <w:pPr>
              <w:rPr>
                <w:rFonts w:ascii="Arial" w:hAnsi="Arial" w:cs="Arial"/>
                <w:sz w:val="16"/>
                <w:szCs w:val="16"/>
              </w:rPr>
            </w:pPr>
            <w:r w:rsidRPr="00D35EFD">
              <w:rPr>
                <w:rFonts w:ascii="Arial" w:hAnsi="Arial" w:cs="Arial"/>
                <w:sz w:val="16"/>
                <w:szCs w:val="16"/>
              </w:rPr>
              <w:t>Počet projektov s príspevkom k rovnosti príležitostí [počet]</w:t>
            </w:r>
          </w:p>
        </w:tc>
        <w:tc>
          <w:tcPr>
            <w:tcW w:w="0" w:type="auto"/>
            <w:tcBorders>
              <w:top w:val="single" w:sz="4" w:space="0" w:color="auto"/>
              <w:left w:val="nil"/>
              <w:bottom w:val="dotted" w:sz="4" w:space="0" w:color="auto"/>
              <w:right w:val="single" w:sz="4" w:space="0" w:color="auto"/>
            </w:tcBorders>
            <w:shd w:val="clear" w:color="000000" w:fill="auto"/>
            <w:noWrap/>
            <w:vAlign w:val="center"/>
          </w:tcPr>
          <w:p w:rsidR="00864E50" w:rsidRPr="00D35EFD" w:rsidRDefault="00864E50" w:rsidP="008216A0">
            <w:pPr>
              <w:rPr>
                <w:rFonts w:ascii="Arial" w:hAnsi="Arial" w:cs="Arial"/>
                <w:sz w:val="16"/>
                <w:szCs w:val="16"/>
              </w:rPr>
            </w:pPr>
            <w:r w:rsidRPr="00D35EFD">
              <w:rPr>
                <w:rFonts w:ascii="Arial" w:hAnsi="Arial" w:cs="Arial"/>
                <w:sz w:val="16"/>
                <w:szCs w:val="16"/>
              </w:rPr>
              <w:t>Dosiahnutý výsledok</w:t>
            </w:r>
          </w:p>
        </w:tc>
        <w:tc>
          <w:tcPr>
            <w:tcW w:w="0" w:type="auto"/>
            <w:tcBorders>
              <w:top w:val="single" w:sz="4" w:space="0" w:color="auto"/>
              <w:left w:val="nil"/>
              <w:bottom w:val="dotted" w:sz="4" w:space="0" w:color="auto"/>
              <w:right w:val="dotted" w:sz="4" w:space="0" w:color="auto"/>
            </w:tcBorders>
            <w:noWrap/>
            <w:vAlign w:val="center"/>
          </w:tcPr>
          <w:p w:rsidR="00864E50" w:rsidRPr="00D35EFD" w:rsidRDefault="00864E50" w:rsidP="008216A0">
            <w:pPr>
              <w:jc w:val="center"/>
              <w:rPr>
                <w:rFonts w:ascii="Arial" w:hAnsi="Arial" w:cs="Arial"/>
                <w:b/>
                <w:bCs/>
                <w:sz w:val="16"/>
                <w:szCs w:val="16"/>
              </w:rPr>
            </w:pPr>
            <w:r w:rsidRPr="00D35EFD">
              <w:rPr>
                <w:rFonts w:ascii="Arial" w:hAnsi="Arial" w:cs="Arial"/>
                <w:b/>
                <w:bCs/>
                <w:sz w:val="16"/>
                <w:szCs w:val="16"/>
              </w:rPr>
              <w:t>0</w:t>
            </w:r>
          </w:p>
        </w:tc>
        <w:tc>
          <w:tcPr>
            <w:tcW w:w="0" w:type="auto"/>
            <w:tcBorders>
              <w:top w:val="single" w:sz="4" w:space="0" w:color="auto"/>
              <w:left w:val="nil"/>
              <w:bottom w:val="dotted" w:sz="4" w:space="0" w:color="auto"/>
              <w:right w:val="dotted" w:sz="4" w:space="0" w:color="auto"/>
            </w:tcBorders>
            <w:noWrap/>
            <w:vAlign w:val="center"/>
          </w:tcPr>
          <w:p w:rsidR="00864E50" w:rsidRPr="00D35EFD" w:rsidRDefault="00864E50" w:rsidP="008216A0">
            <w:pPr>
              <w:jc w:val="center"/>
              <w:rPr>
                <w:rFonts w:ascii="Arial" w:hAnsi="Arial" w:cs="Arial"/>
                <w:b/>
                <w:bCs/>
                <w:sz w:val="16"/>
                <w:szCs w:val="16"/>
              </w:rPr>
            </w:pPr>
            <w:r w:rsidRPr="00D35EFD">
              <w:rPr>
                <w:rFonts w:ascii="Arial" w:hAnsi="Arial" w:cs="Arial"/>
                <w:b/>
                <w:bCs/>
                <w:sz w:val="16"/>
                <w:szCs w:val="16"/>
              </w:rPr>
              <w:t>0</w:t>
            </w:r>
          </w:p>
        </w:tc>
        <w:tc>
          <w:tcPr>
            <w:tcW w:w="0" w:type="auto"/>
            <w:tcBorders>
              <w:top w:val="single" w:sz="4" w:space="0" w:color="auto"/>
              <w:left w:val="nil"/>
              <w:bottom w:val="dotted" w:sz="4" w:space="0" w:color="auto"/>
              <w:right w:val="dotted" w:sz="4" w:space="0" w:color="auto"/>
            </w:tcBorders>
            <w:noWrap/>
            <w:vAlign w:val="center"/>
          </w:tcPr>
          <w:p w:rsidR="00864E50" w:rsidRPr="00D35EFD" w:rsidRDefault="00864E50" w:rsidP="008216A0">
            <w:pPr>
              <w:jc w:val="center"/>
              <w:rPr>
                <w:rFonts w:ascii="Arial" w:hAnsi="Arial" w:cs="Arial"/>
                <w:b/>
                <w:bCs/>
                <w:sz w:val="16"/>
                <w:szCs w:val="16"/>
              </w:rPr>
            </w:pPr>
            <w:r w:rsidRPr="00D35EFD">
              <w:rPr>
                <w:rFonts w:ascii="Arial" w:hAnsi="Arial" w:cs="Arial"/>
                <w:b/>
                <w:bCs/>
                <w:sz w:val="16"/>
                <w:szCs w:val="16"/>
              </w:rPr>
              <w:t>55</w:t>
            </w:r>
          </w:p>
        </w:tc>
        <w:tc>
          <w:tcPr>
            <w:tcW w:w="0" w:type="auto"/>
            <w:tcBorders>
              <w:top w:val="single" w:sz="4" w:space="0" w:color="auto"/>
              <w:left w:val="nil"/>
              <w:bottom w:val="dotted" w:sz="4" w:space="0" w:color="auto"/>
              <w:right w:val="dotted" w:sz="4" w:space="0" w:color="auto"/>
            </w:tcBorders>
            <w:noWrap/>
            <w:vAlign w:val="center"/>
          </w:tcPr>
          <w:p w:rsidR="00864E50" w:rsidRPr="00D35EFD" w:rsidRDefault="00864E50" w:rsidP="008216A0">
            <w:pPr>
              <w:jc w:val="center"/>
              <w:rPr>
                <w:rFonts w:ascii="Arial" w:hAnsi="Arial" w:cs="Arial"/>
                <w:b/>
                <w:bCs/>
                <w:sz w:val="16"/>
                <w:szCs w:val="16"/>
              </w:rPr>
            </w:pPr>
            <w:r w:rsidRPr="00D35EFD">
              <w:rPr>
                <w:rFonts w:ascii="Arial" w:hAnsi="Arial" w:cs="Arial"/>
                <w:b/>
                <w:bCs/>
                <w:sz w:val="16"/>
                <w:szCs w:val="16"/>
              </w:rPr>
              <w:t>154</w:t>
            </w:r>
          </w:p>
        </w:tc>
        <w:tc>
          <w:tcPr>
            <w:tcW w:w="0" w:type="auto"/>
            <w:tcBorders>
              <w:top w:val="single" w:sz="4" w:space="0" w:color="auto"/>
              <w:left w:val="nil"/>
              <w:bottom w:val="dotted" w:sz="4" w:space="0" w:color="auto"/>
              <w:right w:val="dotted" w:sz="4" w:space="0" w:color="auto"/>
            </w:tcBorders>
            <w:noWrap/>
            <w:vAlign w:val="center"/>
          </w:tcPr>
          <w:p w:rsidR="00864E50" w:rsidRPr="00D35EFD" w:rsidRDefault="00864E50" w:rsidP="008216A0">
            <w:pPr>
              <w:jc w:val="center"/>
              <w:rPr>
                <w:rFonts w:ascii="Arial" w:hAnsi="Arial" w:cs="Arial"/>
                <w:b/>
                <w:bCs/>
                <w:sz w:val="16"/>
                <w:szCs w:val="16"/>
              </w:rPr>
            </w:pPr>
            <w:r w:rsidRPr="00D35EFD">
              <w:rPr>
                <w:rFonts w:ascii="Arial" w:hAnsi="Arial" w:cs="Arial"/>
                <w:b/>
                <w:bCs/>
                <w:sz w:val="16"/>
                <w:szCs w:val="16"/>
              </w:rPr>
              <w:t>198</w:t>
            </w:r>
          </w:p>
        </w:tc>
        <w:tc>
          <w:tcPr>
            <w:tcW w:w="0" w:type="auto"/>
            <w:tcBorders>
              <w:top w:val="single" w:sz="4" w:space="0" w:color="auto"/>
              <w:left w:val="nil"/>
              <w:bottom w:val="dotted" w:sz="4" w:space="0" w:color="auto"/>
              <w:right w:val="dotted" w:sz="4" w:space="0" w:color="auto"/>
            </w:tcBorders>
            <w:noWrap/>
            <w:vAlign w:val="center"/>
          </w:tcPr>
          <w:p w:rsidR="00864E50" w:rsidRPr="00D35EFD" w:rsidRDefault="00A474C3" w:rsidP="008216A0">
            <w:pPr>
              <w:jc w:val="center"/>
              <w:rPr>
                <w:rFonts w:ascii="Arial" w:hAnsi="Arial" w:cs="Arial"/>
                <w:i/>
                <w:iCs/>
                <w:sz w:val="16"/>
                <w:szCs w:val="16"/>
              </w:rPr>
            </w:pPr>
            <w:r>
              <w:rPr>
                <w:rFonts w:ascii="Arial" w:hAnsi="Arial" w:cs="Arial"/>
                <w:i/>
                <w:iCs/>
                <w:sz w:val="16"/>
                <w:szCs w:val="16"/>
              </w:rPr>
              <w:t>193</w:t>
            </w:r>
          </w:p>
        </w:tc>
        <w:tc>
          <w:tcPr>
            <w:tcW w:w="0" w:type="auto"/>
            <w:tcBorders>
              <w:top w:val="single" w:sz="4" w:space="0" w:color="auto"/>
              <w:left w:val="nil"/>
              <w:bottom w:val="dotted" w:sz="4" w:space="0" w:color="auto"/>
              <w:right w:val="dotted" w:sz="4" w:space="0" w:color="auto"/>
            </w:tcBorders>
            <w:noWrap/>
            <w:vAlign w:val="center"/>
          </w:tcPr>
          <w:p w:rsidR="00864E50" w:rsidRPr="00D35EFD" w:rsidRDefault="00864E50" w:rsidP="008216A0">
            <w:pPr>
              <w:jc w:val="center"/>
              <w:rPr>
                <w:rFonts w:ascii="Arial" w:hAnsi="Arial" w:cs="Arial"/>
                <w:i/>
                <w:iCs/>
                <w:sz w:val="16"/>
                <w:szCs w:val="16"/>
              </w:rPr>
            </w:pPr>
            <w:r w:rsidRPr="00D35EFD">
              <w:rPr>
                <w:rFonts w:ascii="Arial" w:hAnsi="Arial" w:cs="Arial"/>
                <w:i/>
                <w:iCs/>
                <w:sz w:val="16"/>
                <w:szCs w:val="16"/>
              </w:rPr>
              <w:t>N/A</w:t>
            </w:r>
          </w:p>
        </w:tc>
        <w:tc>
          <w:tcPr>
            <w:tcW w:w="0" w:type="auto"/>
            <w:tcBorders>
              <w:top w:val="single" w:sz="4" w:space="0" w:color="auto"/>
              <w:left w:val="nil"/>
              <w:bottom w:val="dotted" w:sz="4" w:space="0" w:color="auto"/>
              <w:right w:val="dotted" w:sz="4" w:space="0" w:color="auto"/>
            </w:tcBorders>
            <w:noWrap/>
            <w:vAlign w:val="center"/>
          </w:tcPr>
          <w:p w:rsidR="00864E50" w:rsidRPr="00D35EFD" w:rsidRDefault="00864E50" w:rsidP="008216A0">
            <w:pPr>
              <w:jc w:val="center"/>
              <w:rPr>
                <w:rFonts w:ascii="Arial" w:hAnsi="Arial" w:cs="Arial"/>
                <w:i/>
                <w:iCs/>
                <w:sz w:val="16"/>
                <w:szCs w:val="16"/>
              </w:rPr>
            </w:pPr>
            <w:r w:rsidRPr="00D35EFD">
              <w:rPr>
                <w:rFonts w:ascii="Arial" w:hAnsi="Arial" w:cs="Arial"/>
                <w:i/>
                <w:iCs/>
                <w:sz w:val="16"/>
                <w:szCs w:val="16"/>
              </w:rPr>
              <w:t>N/A</w:t>
            </w:r>
          </w:p>
        </w:tc>
        <w:tc>
          <w:tcPr>
            <w:tcW w:w="0" w:type="auto"/>
            <w:tcBorders>
              <w:top w:val="single" w:sz="4" w:space="0" w:color="auto"/>
              <w:left w:val="nil"/>
              <w:bottom w:val="dotted" w:sz="4" w:space="0" w:color="auto"/>
              <w:right w:val="dotted" w:sz="4" w:space="0" w:color="auto"/>
            </w:tcBorders>
            <w:noWrap/>
            <w:vAlign w:val="center"/>
          </w:tcPr>
          <w:p w:rsidR="00864E50" w:rsidRPr="00D35EFD" w:rsidRDefault="00864E50" w:rsidP="008216A0">
            <w:pPr>
              <w:jc w:val="center"/>
              <w:rPr>
                <w:rFonts w:ascii="Arial" w:hAnsi="Arial" w:cs="Arial"/>
                <w:i/>
                <w:iCs/>
                <w:sz w:val="16"/>
                <w:szCs w:val="16"/>
              </w:rPr>
            </w:pPr>
            <w:r w:rsidRPr="00D35EFD">
              <w:rPr>
                <w:rFonts w:ascii="Arial" w:hAnsi="Arial" w:cs="Arial"/>
                <w:i/>
                <w:iCs/>
                <w:sz w:val="16"/>
                <w:szCs w:val="16"/>
              </w:rPr>
              <w:t>N/A</w:t>
            </w:r>
          </w:p>
        </w:tc>
        <w:tc>
          <w:tcPr>
            <w:tcW w:w="0" w:type="auto"/>
            <w:tcBorders>
              <w:top w:val="single" w:sz="4" w:space="0" w:color="auto"/>
              <w:left w:val="nil"/>
              <w:bottom w:val="dotted" w:sz="4" w:space="0" w:color="auto"/>
              <w:right w:val="dotted" w:sz="4" w:space="0" w:color="auto"/>
            </w:tcBorders>
            <w:noWrap/>
            <w:vAlign w:val="center"/>
          </w:tcPr>
          <w:p w:rsidR="00864E50" w:rsidRPr="00D35EFD" w:rsidRDefault="00A474C3" w:rsidP="008216A0">
            <w:pPr>
              <w:jc w:val="center"/>
              <w:rPr>
                <w:rFonts w:ascii="Arial" w:hAnsi="Arial" w:cs="Arial"/>
                <w:b/>
                <w:bCs/>
                <w:sz w:val="16"/>
                <w:szCs w:val="16"/>
              </w:rPr>
            </w:pPr>
            <w:r>
              <w:rPr>
                <w:rFonts w:ascii="Arial" w:hAnsi="Arial" w:cs="Arial"/>
                <w:b/>
                <w:bCs/>
                <w:sz w:val="16"/>
                <w:szCs w:val="16"/>
              </w:rPr>
              <w:t>193</w:t>
            </w:r>
          </w:p>
        </w:tc>
        <w:tc>
          <w:tcPr>
            <w:tcW w:w="0" w:type="auto"/>
            <w:tcBorders>
              <w:top w:val="single" w:sz="4" w:space="0" w:color="auto"/>
              <w:left w:val="nil"/>
              <w:bottom w:val="dotted" w:sz="4" w:space="0" w:color="auto"/>
              <w:right w:val="single" w:sz="4" w:space="0" w:color="auto"/>
            </w:tcBorders>
            <w:noWrap/>
            <w:vAlign w:val="center"/>
          </w:tcPr>
          <w:p w:rsidR="00864E50" w:rsidRPr="00D35EFD" w:rsidRDefault="00A474C3" w:rsidP="00335274">
            <w:pPr>
              <w:jc w:val="center"/>
              <w:rPr>
                <w:rFonts w:ascii="Arial" w:hAnsi="Arial" w:cs="Arial"/>
                <w:sz w:val="16"/>
                <w:szCs w:val="16"/>
              </w:rPr>
            </w:pPr>
            <w:r>
              <w:rPr>
                <w:rFonts w:ascii="Arial" w:hAnsi="Arial" w:cs="Arial"/>
                <w:sz w:val="16"/>
                <w:szCs w:val="16"/>
              </w:rPr>
              <w:t>2</w:t>
            </w:r>
            <w:r w:rsidR="00335274">
              <w:rPr>
                <w:rFonts w:ascii="Arial" w:hAnsi="Arial" w:cs="Arial"/>
                <w:sz w:val="16"/>
                <w:szCs w:val="16"/>
              </w:rPr>
              <w:t>1</w:t>
            </w:r>
            <w:r>
              <w:rPr>
                <w:rFonts w:ascii="Arial" w:hAnsi="Arial" w:cs="Arial"/>
                <w:sz w:val="16"/>
                <w:szCs w:val="16"/>
              </w:rPr>
              <w:t>8</w:t>
            </w:r>
            <w:r w:rsidR="00335274">
              <w:rPr>
                <w:rFonts w:ascii="Arial" w:hAnsi="Arial" w:cs="Arial"/>
                <w:sz w:val="16"/>
                <w:szCs w:val="16"/>
              </w:rPr>
              <w:t xml:space="preserve"> </w:t>
            </w:r>
          </w:p>
        </w:tc>
      </w:tr>
      <w:tr w:rsidR="00335274" w:rsidRPr="00D35EFD" w:rsidTr="00864E50">
        <w:trPr>
          <w:trHeight w:val="20"/>
        </w:trPr>
        <w:tc>
          <w:tcPr>
            <w:tcW w:w="0" w:type="auto"/>
            <w:vMerge/>
            <w:tcBorders>
              <w:top w:val="single" w:sz="4" w:space="0" w:color="000000"/>
              <w:left w:val="single" w:sz="4" w:space="0" w:color="auto"/>
              <w:bottom w:val="single" w:sz="4" w:space="0" w:color="000000"/>
              <w:right w:val="single" w:sz="4" w:space="0" w:color="auto"/>
            </w:tcBorders>
            <w:shd w:val="clear" w:color="auto" w:fill="EAF1DD"/>
            <w:vAlign w:val="center"/>
          </w:tcPr>
          <w:p w:rsidR="00864E50" w:rsidRPr="00D35EFD" w:rsidRDefault="00864E50" w:rsidP="008216A0">
            <w:pPr>
              <w:rPr>
                <w:rFonts w:ascii="Arial" w:hAnsi="Arial" w:cs="Arial"/>
                <w:sz w:val="16"/>
                <w:szCs w:val="16"/>
              </w:rPr>
            </w:pPr>
          </w:p>
        </w:tc>
        <w:tc>
          <w:tcPr>
            <w:tcW w:w="0" w:type="auto"/>
            <w:tcBorders>
              <w:top w:val="nil"/>
              <w:left w:val="nil"/>
              <w:bottom w:val="dotted" w:sz="4" w:space="0" w:color="auto"/>
              <w:right w:val="single" w:sz="4" w:space="0" w:color="auto"/>
            </w:tcBorders>
            <w:shd w:val="clear" w:color="000000" w:fill="auto"/>
            <w:noWrap/>
            <w:vAlign w:val="center"/>
          </w:tcPr>
          <w:p w:rsidR="00864E50" w:rsidRPr="00D35EFD" w:rsidRDefault="00864E50" w:rsidP="008216A0">
            <w:pPr>
              <w:rPr>
                <w:rFonts w:ascii="Arial" w:hAnsi="Arial" w:cs="Arial"/>
                <w:sz w:val="16"/>
                <w:szCs w:val="16"/>
              </w:rPr>
            </w:pPr>
            <w:r w:rsidRPr="00D35EFD">
              <w:rPr>
                <w:rFonts w:ascii="Arial" w:hAnsi="Arial" w:cs="Arial"/>
                <w:sz w:val="16"/>
                <w:szCs w:val="16"/>
              </w:rPr>
              <w:t>Cieľ</w:t>
            </w:r>
          </w:p>
        </w:tc>
        <w:tc>
          <w:tcPr>
            <w:tcW w:w="0" w:type="auto"/>
            <w:tcBorders>
              <w:top w:val="nil"/>
              <w:left w:val="nil"/>
              <w:bottom w:val="dotted" w:sz="4" w:space="0" w:color="auto"/>
              <w:right w:val="dotted" w:sz="4" w:space="0" w:color="auto"/>
            </w:tcBorders>
            <w:noWrap/>
            <w:vAlign w:val="center"/>
          </w:tcPr>
          <w:p w:rsidR="00864E50" w:rsidRPr="00D35EFD" w:rsidRDefault="00864E50" w:rsidP="008216A0">
            <w:pPr>
              <w:jc w:val="center"/>
              <w:rPr>
                <w:rFonts w:ascii="Arial" w:hAnsi="Arial" w:cs="Arial"/>
                <w:i/>
                <w:iCs/>
                <w:sz w:val="16"/>
                <w:szCs w:val="16"/>
              </w:rPr>
            </w:pPr>
            <w:r w:rsidRPr="00D35EFD">
              <w:rPr>
                <w:rFonts w:ascii="Arial" w:hAnsi="Arial" w:cs="Arial"/>
                <w:i/>
                <w:iCs/>
                <w:sz w:val="16"/>
                <w:szCs w:val="16"/>
              </w:rPr>
              <w:t>N/A</w:t>
            </w:r>
          </w:p>
        </w:tc>
        <w:tc>
          <w:tcPr>
            <w:tcW w:w="0" w:type="auto"/>
            <w:tcBorders>
              <w:top w:val="nil"/>
              <w:left w:val="nil"/>
              <w:bottom w:val="dotted" w:sz="4" w:space="0" w:color="auto"/>
              <w:right w:val="dotted" w:sz="4" w:space="0" w:color="auto"/>
            </w:tcBorders>
            <w:noWrap/>
            <w:vAlign w:val="center"/>
          </w:tcPr>
          <w:p w:rsidR="00864E50" w:rsidRPr="00D35EFD" w:rsidRDefault="00864E50" w:rsidP="008216A0">
            <w:pPr>
              <w:jc w:val="center"/>
              <w:rPr>
                <w:rFonts w:ascii="Arial" w:hAnsi="Arial" w:cs="Arial"/>
                <w:i/>
                <w:iCs/>
                <w:sz w:val="16"/>
                <w:szCs w:val="16"/>
              </w:rPr>
            </w:pPr>
            <w:r w:rsidRPr="00D35EFD">
              <w:rPr>
                <w:rFonts w:ascii="Arial" w:hAnsi="Arial" w:cs="Arial"/>
                <w:i/>
                <w:iCs/>
                <w:sz w:val="16"/>
                <w:szCs w:val="16"/>
              </w:rPr>
              <w:t>N/A</w:t>
            </w:r>
          </w:p>
        </w:tc>
        <w:tc>
          <w:tcPr>
            <w:tcW w:w="0" w:type="auto"/>
            <w:tcBorders>
              <w:top w:val="nil"/>
              <w:left w:val="nil"/>
              <w:bottom w:val="dotted" w:sz="4" w:space="0" w:color="auto"/>
              <w:right w:val="dotted" w:sz="4" w:space="0" w:color="auto"/>
            </w:tcBorders>
            <w:noWrap/>
            <w:vAlign w:val="center"/>
          </w:tcPr>
          <w:p w:rsidR="00864E50" w:rsidRPr="00D35EFD" w:rsidRDefault="00864E50" w:rsidP="008216A0">
            <w:pPr>
              <w:jc w:val="center"/>
              <w:rPr>
                <w:rFonts w:ascii="Arial" w:hAnsi="Arial" w:cs="Arial"/>
                <w:i/>
                <w:iCs/>
                <w:sz w:val="16"/>
                <w:szCs w:val="16"/>
              </w:rPr>
            </w:pPr>
            <w:r w:rsidRPr="00D35EFD">
              <w:rPr>
                <w:rFonts w:ascii="Arial" w:hAnsi="Arial" w:cs="Arial"/>
                <w:i/>
                <w:iCs/>
                <w:sz w:val="16"/>
                <w:szCs w:val="16"/>
              </w:rPr>
              <w:t>N/A</w:t>
            </w:r>
          </w:p>
        </w:tc>
        <w:tc>
          <w:tcPr>
            <w:tcW w:w="0" w:type="auto"/>
            <w:tcBorders>
              <w:top w:val="nil"/>
              <w:left w:val="nil"/>
              <w:bottom w:val="dotted" w:sz="4" w:space="0" w:color="auto"/>
              <w:right w:val="dotted" w:sz="4" w:space="0" w:color="auto"/>
            </w:tcBorders>
            <w:noWrap/>
            <w:vAlign w:val="center"/>
          </w:tcPr>
          <w:p w:rsidR="00864E50" w:rsidRPr="00D35EFD" w:rsidRDefault="00864E50" w:rsidP="008216A0">
            <w:pPr>
              <w:jc w:val="center"/>
              <w:rPr>
                <w:rFonts w:ascii="Arial" w:hAnsi="Arial" w:cs="Arial"/>
                <w:i/>
                <w:iCs/>
                <w:sz w:val="16"/>
                <w:szCs w:val="16"/>
              </w:rPr>
            </w:pPr>
            <w:r w:rsidRPr="00D35EFD">
              <w:rPr>
                <w:rFonts w:ascii="Arial" w:hAnsi="Arial" w:cs="Arial"/>
                <w:i/>
                <w:iCs/>
                <w:sz w:val="16"/>
                <w:szCs w:val="16"/>
              </w:rPr>
              <w:t>N/A</w:t>
            </w:r>
          </w:p>
        </w:tc>
        <w:tc>
          <w:tcPr>
            <w:tcW w:w="0" w:type="auto"/>
            <w:tcBorders>
              <w:top w:val="nil"/>
              <w:left w:val="nil"/>
              <w:bottom w:val="dotted" w:sz="4" w:space="0" w:color="auto"/>
              <w:right w:val="dotted" w:sz="4" w:space="0" w:color="auto"/>
            </w:tcBorders>
            <w:noWrap/>
            <w:vAlign w:val="center"/>
          </w:tcPr>
          <w:p w:rsidR="00864E50" w:rsidRPr="00D35EFD" w:rsidRDefault="00864E50" w:rsidP="008216A0">
            <w:pPr>
              <w:jc w:val="center"/>
              <w:rPr>
                <w:rFonts w:ascii="Arial" w:hAnsi="Arial" w:cs="Arial"/>
                <w:i/>
                <w:iCs/>
                <w:sz w:val="16"/>
                <w:szCs w:val="16"/>
              </w:rPr>
            </w:pPr>
            <w:r w:rsidRPr="00D35EFD">
              <w:rPr>
                <w:rFonts w:ascii="Arial" w:hAnsi="Arial" w:cs="Arial"/>
                <w:i/>
                <w:iCs/>
                <w:sz w:val="16"/>
                <w:szCs w:val="16"/>
              </w:rPr>
              <w:t>N/A</w:t>
            </w:r>
          </w:p>
        </w:tc>
        <w:tc>
          <w:tcPr>
            <w:tcW w:w="0" w:type="auto"/>
            <w:tcBorders>
              <w:top w:val="nil"/>
              <w:left w:val="nil"/>
              <w:bottom w:val="dotted" w:sz="4" w:space="0" w:color="auto"/>
              <w:right w:val="dotted" w:sz="4" w:space="0" w:color="auto"/>
            </w:tcBorders>
            <w:noWrap/>
            <w:vAlign w:val="center"/>
          </w:tcPr>
          <w:p w:rsidR="00864E50" w:rsidRPr="00D35EFD" w:rsidRDefault="00864E50" w:rsidP="008216A0">
            <w:pPr>
              <w:jc w:val="center"/>
              <w:rPr>
                <w:rFonts w:ascii="Arial" w:hAnsi="Arial" w:cs="Arial"/>
                <w:i/>
                <w:iCs/>
                <w:sz w:val="16"/>
                <w:szCs w:val="16"/>
              </w:rPr>
            </w:pPr>
            <w:r w:rsidRPr="00D35EFD">
              <w:rPr>
                <w:rFonts w:ascii="Arial" w:hAnsi="Arial" w:cs="Arial"/>
                <w:i/>
                <w:iCs/>
                <w:sz w:val="16"/>
                <w:szCs w:val="16"/>
              </w:rPr>
              <w:t>N/A</w:t>
            </w:r>
          </w:p>
        </w:tc>
        <w:tc>
          <w:tcPr>
            <w:tcW w:w="0" w:type="auto"/>
            <w:tcBorders>
              <w:top w:val="nil"/>
              <w:left w:val="nil"/>
              <w:bottom w:val="dotted" w:sz="4" w:space="0" w:color="auto"/>
              <w:right w:val="dotted" w:sz="4" w:space="0" w:color="auto"/>
            </w:tcBorders>
            <w:noWrap/>
            <w:vAlign w:val="center"/>
          </w:tcPr>
          <w:p w:rsidR="00864E50" w:rsidRPr="00D35EFD" w:rsidRDefault="00864E50" w:rsidP="008216A0">
            <w:pPr>
              <w:jc w:val="center"/>
              <w:rPr>
                <w:rFonts w:ascii="Arial" w:hAnsi="Arial" w:cs="Arial"/>
                <w:i/>
                <w:iCs/>
                <w:sz w:val="16"/>
                <w:szCs w:val="16"/>
              </w:rPr>
            </w:pPr>
            <w:r w:rsidRPr="00D35EFD">
              <w:rPr>
                <w:rFonts w:ascii="Arial" w:hAnsi="Arial" w:cs="Arial"/>
                <w:i/>
                <w:iCs/>
                <w:sz w:val="16"/>
                <w:szCs w:val="16"/>
              </w:rPr>
              <w:t>N/A</w:t>
            </w:r>
          </w:p>
        </w:tc>
        <w:tc>
          <w:tcPr>
            <w:tcW w:w="0" w:type="auto"/>
            <w:tcBorders>
              <w:top w:val="nil"/>
              <w:left w:val="nil"/>
              <w:bottom w:val="dotted" w:sz="4" w:space="0" w:color="auto"/>
              <w:right w:val="dotted" w:sz="4" w:space="0" w:color="auto"/>
            </w:tcBorders>
            <w:noWrap/>
            <w:vAlign w:val="center"/>
          </w:tcPr>
          <w:p w:rsidR="00864E50" w:rsidRPr="00D35EFD" w:rsidRDefault="00864E50" w:rsidP="008216A0">
            <w:pPr>
              <w:jc w:val="center"/>
              <w:rPr>
                <w:rFonts w:ascii="Arial" w:hAnsi="Arial" w:cs="Arial"/>
                <w:i/>
                <w:iCs/>
                <w:sz w:val="16"/>
                <w:szCs w:val="16"/>
              </w:rPr>
            </w:pPr>
            <w:r w:rsidRPr="00D35EFD">
              <w:rPr>
                <w:rFonts w:ascii="Arial" w:hAnsi="Arial" w:cs="Arial"/>
                <w:i/>
                <w:iCs/>
                <w:sz w:val="16"/>
                <w:szCs w:val="16"/>
              </w:rPr>
              <w:t>N/A</w:t>
            </w:r>
          </w:p>
        </w:tc>
        <w:tc>
          <w:tcPr>
            <w:tcW w:w="0" w:type="auto"/>
            <w:tcBorders>
              <w:top w:val="nil"/>
              <w:left w:val="nil"/>
              <w:bottom w:val="dotted" w:sz="4" w:space="0" w:color="auto"/>
              <w:right w:val="dotted" w:sz="4" w:space="0" w:color="auto"/>
            </w:tcBorders>
            <w:noWrap/>
            <w:vAlign w:val="center"/>
          </w:tcPr>
          <w:p w:rsidR="00864E50" w:rsidRPr="00D35EFD" w:rsidRDefault="00864E50" w:rsidP="008216A0">
            <w:pPr>
              <w:jc w:val="center"/>
              <w:rPr>
                <w:rFonts w:ascii="Arial" w:hAnsi="Arial" w:cs="Arial"/>
                <w:b/>
                <w:bCs/>
                <w:sz w:val="16"/>
                <w:szCs w:val="16"/>
              </w:rPr>
            </w:pPr>
            <w:r w:rsidRPr="00D35EFD">
              <w:rPr>
                <w:rFonts w:ascii="Arial" w:hAnsi="Arial" w:cs="Arial"/>
                <w:b/>
                <w:bCs/>
                <w:sz w:val="16"/>
                <w:szCs w:val="16"/>
              </w:rPr>
              <w:t>210</w:t>
            </w:r>
          </w:p>
        </w:tc>
        <w:tc>
          <w:tcPr>
            <w:tcW w:w="0" w:type="auto"/>
            <w:tcBorders>
              <w:top w:val="nil"/>
              <w:left w:val="nil"/>
              <w:bottom w:val="dotted" w:sz="4" w:space="0" w:color="auto"/>
              <w:right w:val="dotted" w:sz="4" w:space="0" w:color="auto"/>
            </w:tcBorders>
            <w:noWrap/>
            <w:vAlign w:val="center"/>
          </w:tcPr>
          <w:p w:rsidR="00864E50" w:rsidRPr="00D35EFD" w:rsidRDefault="00864E50" w:rsidP="008216A0">
            <w:pPr>
              <w:jc w:val="center"/>
              <w:rPr>
                <w:rFonts w:ascii="Arial" w:hAnsi="Arial" w:cs="Arial"/>
                <w:b/>
                <w:bCs/>
                <w:sz w:val="16"/>
                <w:szCs w:val="16"/>
              </w:rPr>
            </w:pPr>
            <w:r w:rsidRPr="00D35EFD">
              <w:rPr>
                <w:rFonts w:ascii="Arial" w:hAnsi="Arial" w:cs="Arial"/>
                <w:b/>
                <w:bCs/>
                <w:sz w:val="16"/>
                <w:szCs w:val="16"/>
              </w:rPr>
              <w:t>210</w:t>
            </w:r>
          </w:p>
        </w:tc>
        <w:tc>
          <w:tcPr>
            <w:tcW w:w="0" w:type="auto"/>
            <w:tcBorders>
              <w:top w:val="nil"/>
              <w:left w:val="nil"/>
              <w:bottom w:val="dotted" w:sz="4" w:space="0" w:color="auto"/>
              <w:right w:val="single" w:sz="4" w:space="0" w:color="auto"/>
            </w:tcBorders>
            <w:noWrap/>
            <w:vAlign w:val="center"/>
          </w:tcPr>
          <w:p w:rsidR="00864E50" w:rsidRPr="00D35EFD" w:rsidRDefault="00864E50" w:rsidP="008216A0">
            <w:pPr>
              <w:jc w:val="center"/>
              <w:rPr>
                <w:rFonts w:ascii="Arial" w:hAnsi="Arial" w:cs="Arial"/>
                <w:sz w:val="16"/>
                <w:szCs w:val="16"/>
              </w:rPr>
            </w:pPr>
          </w:p>
        </w:tc>
      </w:tr>
      <w:tr w:rsidR="00335274" w:rsidRPr="00D35EFD" w:rsidTr="00864E50">
        <w:trPr>
          <w:trHeight w:val="20"/>
        </w:trPr>
        <w:tc>
          <w:tcPr>
            <w:tcW w:w="0" w:type="auto"/>
            <w:vMerge/>
            <w:tcBorders>
              <w:top w:val="single" w:sz="4" w:space="0" w:color="000000"/>
              <w:left w:val="single" w:sz="4" w:space="0" w:color="auto"/>
              <w:bottom w:val="single" w:sz="4" w:space="0" w:color="000000"/>
              <w:right w:val="single" w:sz="4" w:space="0" w:color="auto"/>
            </w:tcBorders>
            <w:shd w:val="clear" w:color="auto" w:fill="EAF1DD"/>
            <w:vAlign w:val="center"/>
          </w:tcPr>
          <w:p w:rsidR="00864E50" w:rsidRPr="00D35EFD" w:rsidRDefault="00864E50" w:rsidP="008216A0">
            <w:pPr>
              <w:rPr>
                <w:rFonts w:ascii="Arial" w:hAnsi="Arial" w:cs="Arial"/>
                <w:sz w:val="16"/>
                <w:szCs w:val="16"/>
              </w:rPr>
            </w:pPr>
          </w:p>
        </w:tc>
        <w:tc>
          <w:tcPr>
            <w:tcW w:w="0" w:type="auto"/>
            <w:tcBorders>
              <w:top w:val="nil"/>
              <w:left w:val="nil"/>
              <w:bottom w:val="single" w:sz="4" w:space="0" w:color="auto"/>
              <w:right w:val="single" w:sz="4" w:space="0" w:color="auto"/>
            </w:tcBorders>
            <w:shd w:val="clear" w:color="000000" w:fill="auto"/>
            <w:noWrap/>
            <w:vAlign w:val="center"/>
          </w:tcPr>
          <w:p w:rsidR="00864E50" w:rsidRPr="00D35EFD" w:rsidRDefault="00864E50" w:rsidP="008216A0">
            <w:pPr>
              <w:rPr>
                <w:rFonts w:ascii="Arial" w:hAnsi="Arial" w:cs="Arial"/>
                <w:sz w:val="16"/>
                <w:szCs w:val="16"/>
              </w:rPr>
            </w:pPr>
            <w:r w:rsidRPr="00D35EFD">
              <w:rPr>
                <w:rFonts w:ascii="Arial" w:hAnsi="Arial" w:cs="Arial"/>
                <w:sz w:val="16"/>
                <w:szCs w:val="16"/>
              </w:rPr>
              <w:t>Východisko</w:t>
            </w:r>
          </w:p>
        </w:tc>
        <w:tc>
          <w:tcPr>
            <w:tcW w:w="0" w:type="auto"/>
            <w:tcBorders>
              <w:top w:val="nil"/>
              <w:left w:val="nil"/>
              <w:bottom w:val="single" w:sz="4" w:space="0" w:color="auto"/>
              <w:right w:val="dotted" w:sz="4" w:space="0" w:color="auto"/>
            </w:tcBorders>
            <w:noWrap/>
            <w:vAlign w:val="center"/>
          </w:tcPr>
          <w:p w:rsidR="00864E50" w:rsidRPr="00D35EFD" w:rsidRDefault="00864E50" w:rsidP="008216A0">
            <w:pPr>
              <w:jc w:val="center"/>
              <w:rPr>
                <w:rFonts w:ascii="Arial" w:hAnsi="Arial" w:cs="Arial"/>
                <w:b/>
                <w:bCs/>
                <w:sz w:val="16"/>
                <w:szCs w:val="16"/>
              </w:rPr>
            </w:pPr>
            <w:r w:rsidRPr="00D35EFD">
              <w:rPr>
                <w:rFonts w:ascii="Arial" w:hAnsi="Arial" w:cs="Arial"/>
                <w:b/>
                <w:bCs/>
                <w:sz w:val="16"/>
                <w:szCs w:val="16"/>
              </w:rPr>
              <w:t>0</w:t>
            </w:r>
          </w:p>
        </w:tc>
        <w:tc>
          <w:tcPr>
            <w:tcW w:w="0" w:type="auto"/>
            <w:tcBorders>
              <w:top w:val="nil"/>
              <w:left w:val="nil"/>
              <w:bottom w:val="single" w:sz="4" w:space="0" w:color="auto"/>
              <w:right w:val="dotted" w:sz="4" w:space="0" w:color="auto"/>
            </w:tcBorders>
            <w:noWrap/>
            <w:vAlign w:val="center"/>
          </w:tcPr>
          <w:p w:rsidR="00864E50" w:rsidRPr="00D35EFD" w:rsidRDefault="00864E50" w:rsidP="008216A0">
            <w:pPr>
              <w:jc w:val="center"/>
              <w:rPr>
                <w:rFonts w:ascii="Arial" w:hAnsi="Arial" w:cs="Arial"/>
                <w:i/>
                <w:iCs/>
                <w:sz w:val="16"/>
                <w:szCs w:val="16"/>
              </w:rPr>
            </w:pPr>
            <w:r w:rsidRPr="00D35EFD">
              <w:rPr>
                <w:rFonts w:ascii="Arial" w:hAnsi="Arial" w:cs="Arial"/>
                <w:i/>
                <w:iCs/>
                <w:sz w:val="16"/>
                <w:szCs w:val="16"/>
              </w:rPr>
              <w:t>N/A</w:t>
            </w:r>
          </w:p>
        </w:tc>
        <w:tc>
          <w:tcPr>
            <w:tcW w:w="0" w:type="auto"/>
            <w:tcBorders>
              <w:top w:val="nil"/>
              <w:left w:val="nil"/>
              <w:bottom w:val="single" w:sz="4" w:space="0" w:color="auto"/>
              <w:right w:val="dotted" w:sz="4" w:space="0" w:color="auto"/>
            </w:tcBorders>
            <w:noWrap/>
            <w:vAlign w:val="center"/>
          </w:tcPr>
          <w:p w:rsidR="00864E50" w:rsidRPr="00D35EFD" w:rsidRDefault="00864E50" w:rsidP="008216A0">
            <w:pPr>
              <w:jc w:val="center"/>
              <w:rPr>
                <w:rFonts w:ascii="Arial" w:hAnsi="Arial" w:cs="Arial"/>
                <w:i/>
                <w:iCs/>
                <w:sz w:val="16"/>
                <w:szCs w:val="16"/>
              </w:rPr>
            </w:pPr>
            <w:r w:rsidRPr="00D35EFD">
              <w:rPr>
                <w:rFonts w:ascii="Arial" w:hAnsi="Arial" w:cs="Arial"/>
                <w:i/>
                <w:iCs/>
                <w:sz w:val="16"/>
                <w:szCs w:val="16"/>
              </w:rPr>
              <w:t>N/A</w:t>
            </w:r>
          </w:p>
        </w:tc>
        <w:tc>
          <w:tcPr>
            <w:tcW w:w="0" w:type="auto"/>
            <w:tcBorders>
              <w:top w:val="nil"/>
              <w:left w:val="nil"/>
              <w:bottom w:val="single" w:sz="4" w:space="0" w:color="auto"/>
              <w:right w:val="dotted" w:sz="4" w:space="0" w:color="auto"/>
            </w:tcBorders>
            <w:noWrap/>
            <w:vAlign w:val="center"/>
          </w:tcPr>
          <w:p w:rsidR="00864E50" w:rsidRPr="00D35EFD" w:rsidRDefault="00864E50" w:rsidP="008216A0">
            <w:pPr>
              <w:jc w:val="center"/>
              <w:rPr>
                <w:rFonts w:ascii="Arial" w:hAnsi="Arial" w:cs="Arial"/>
                <w:i/>
                <w:iCs/>
                <w:sz w:val="16"/>
                <w:szCs w:val="16"/>
              </w:rPr>
            </w:pPr>
            <w:r w:rsidRPr="00D35EFD">
              <w:rPr>
                <w:rFonts w:ascii="Arial" w:hAnsi="Arial" w:cs="Arial"/>
                <w:i/>
                <w:iCs/>
                <w:sz w:val="16"/>
                <w:szCs w:val="16"/>
              </w:rPr>
              <w:t>N/A</w:t>
            </w:r>
          </w:p>
        </w:tc>
        <w:tc>
          <w:tcPr>
            <w:tcW w:w="0" w:type="auto"/>
            <w:tcBorders>
              <w:top w:val="nil"/>
              <w:left w:val="nil"/>
              <w:bottom w:val="single" w:sz="4" w:space="0" w:color="auto"/>
              <w:right w:val="dotted" w:sz="4" w:space="0" w:color="auto"/>
            </w:tcBorders>
            <w:noWrap/>
            <w:vAlign w:val="center"/>
          </w:tcPr>
          <w:p w:rsidR="00864E50" w:rsidRPr="00D35EFD" w:rsidRDefault="00864E50" w:rsidP="008216A0">
            <w:pPr>
              <w:jc w:val="center"/>
              <w:rPr>
                <w:rFonts w:ascii="Arial" w:hAnsi="Arial" w:cs="Arial"/>
                <w:i/>
                <w:iCs/>
                <w:sz w:val="16"/>
                <w:szCs w:val="16"/>
              </w:rPr>
            </w:pPr>
            <w:r w:rsidRPr="00D35EFD">
              <w:rPr>
                <w:rFonts w:ascii="Arial" w:hAnsi="Arial" w:cs="Arial"/>
                <w:i/>
                <w:iCs/>
                <w:sz w:val="16"/>
                <w:szCs w:val="16"/>
              </w:rPr>
              <w:t>N/A</w:t>
            </w:r>
          </w:p>
        </w:tc>
        <w:tc>
          <w:tcPr>
            <w:tcW w:w="0" w:type="auto"/>
            <w:tcBorders>
              <w:top w:val="nil"/>
              <w:left w:val="nil"/>
              <w:bottom w:val="single" w:sz="4" w:space="0" w:color="auto"/>
              <w:right w:val="dotted" w:sz="4" w:space="0" w:color="auto"/>
            </w:tcBorders>
            <w:noWrap/>
            <w:vAlign w:val="center"/>
          </w:tcPr>
          <w:p w:rsidR="00864E50" w:rsidRPr="00D35EFD" w:rsidRDefault="00864E50" w:rsidP="008216A0">
            <w:pPr>
              <w:jc w:val="center"/>
              <w:rPr>
                <w:rFonts w:ascii="Arial" w:hAnsi="Arial" w:cs="Arial"/>
                <w:i/>
                <w:iCs/>
                <w:sz w:val="16"/>
                <w:szCs w:val="16"/>
              </w:rPr>
            </w:pPr>
            <w:r w:rsidRPr="00D35EFD">
              <w:rPr>
                <w:rFonts w:ascii="Arial" w:hAnsi="Arial" w:cs="Arial"/>
                <w:i/>
                <w:iCs/>
                <w:sz w:val="16"/>
                <w:szCs w:val="16"/>
              </w:rPr>
              <w:t>N/A</w:t>
            </w:r>
          </w:p>
        </w:tc>
        <w:tc>
          <w:tcPr>
            <w:tcW w:w="0" w:type="auto"/>
            <w:tcBorders>
              <w:top w:val="nil"/>
              <w:left w:val="nil"/>
              <w:bottom w:val="single" w:sz="4" w:space="0" w:color="auto"/>
              <w:right w:val="dotted" w:sz="4" w:space="0" w:color="auto"/>
            </w:tcBorders>
            <w:noWrap/>
            <w:vAlign w:val="center"/>
          </w:tcPr>
          <w:p w:rsidR="00864E50" w:rsidRPr="00D35EFD" w:rsidRDefault="00864E50" w:rsidP="008216A0">
            <w:pPr>
              <w:jc w:val="center"/>
              <w:rPr>
                <w:rFonts w:ascii="Arial" w:hAnsi="Arial" w:cs="Arial"/>
                <w:i/>
                <w:iCs/>
                <w:sz w:val="16"/>
                <w:szCs w:val="16"/>
              </w:rPr>
            </w:pPr>
            <w:r w:rsidRPr="00D35EFD">
              <w:rPr>
                <w:rFonts w:ascii="Arial" w:hAnsi="Arial" w:cs="Arial"/>
                <w:i/>
                <w:iCs/>
                <w:sz w:val="16"/>
                <w:szCs w:val="16"/>
              </w:rPr>
              <w:t>N/A</w:t>
            </w:r>
          </w:p>
        </w:tc>
        <w:tc>
          <w:tcPr>
            <w:tcW w:w="0" w:type="auto"/>
            <w:tcBorders>
              <w:top w:val="nil"/>
              <w:left w:val="nil"/>
              <w:bottom w:val="single" w:sz="4" w:space="0" w:color="auto"/>
              <w:right w:val="dotted" w:sz="4" w:space="0" w:color="auto"/>
            </w:tcBorders>
            <w:noWrap/>
            <w:vAlign w:val="center"/>
          </w:tcPr>
          <w:p w:rsidR="00864E50" w:rsidRPr="00D35EFD" w:rsidRDefault="00864E50" w:rsidP="008216A0">
            <w:pPr>
              <w:jc w:val="center"/>
              <w:rPr>
                <w:rFonts w:ascii="Arial" w:hAnsi="Arial" w:cs="Arial"/>
                <w:i/>
                <w:iCs/>
                <w:sz w:val="16"/>
                <w:szCs w:val="16"/>
              </w:rPr>
            </w:pPr>
            <w:r w:rsidRPr="00D35EFD">
              <w:rPr>
                <w:rFonts w:ascii="Arial" w:hAnsi="Arial" w:cs="Arial"/>
                <w:i/>
                <w:iCs/>
                <w:sz w:val="16"/>
                <w:szCs w:val="16"/>
              </w:rPr>
              <w:t>N/A</w:t>
            </w:r>
          </w:p>
        </w:tc>
        <w:tc>
          <w:tcPr>
            <w:tcW w:w="0" w:type="auto"/>
            <w:tcBorders>
              <w:top w:val="nil"/>
              <w:left w:val="nil"/>
              <w:bottom w:val="single" w:sz="4" w:space="0" w:color="auto"/>
              <w:right w:val="dotted" w:sz="4" w:space="0" w:color="auto"/>
            </w:tcBorders>
            <w:noWrap/>
            <w:vAlign w:val="center"/>
          </w:tcPr>
          <w:p w:rsidR="00864E50" w:rsidRPr="00D35EFD" w:rsidRDefault="00864E50" w:rsidP="008216A0">
            <w:pPr>
              <w:jc w:val="center"/>
              <w:rPr>
                <w:rFonts w:ascii="Arial" w:hAnsi="Arial" w:cs="Arial"/>
                <w:i/>
                <w:iCs/>
                <w:sz w:val="16"/>
                <w:szCs w:val="16"/>
              </w:rPr>
            </w:pPr>
            <w:r w:rsidRPr="00D35EFD">
              <w:rPr>
                <w:rFonts w:ascii="Arial" w:hAnsi="Arial" w:cs="Arial"/>
                <w:i/>
                <w:iCs/>
                <w:sz w:val="16"/>
                <w:szCs w:val="16"/>
              </w:rPr>
              <w:t>N/A</w:t>
            </w:r>
          </w:p>
        </w:tc>
        <w:tc>
          <w:tcPr>
            <w:tcW w:w="0" w:type="auto"/>
            <w:tcBorders>
              <w:top w:val="nil"/>
              <w:left w:val="nil"/>
              <w:bottom w:val="single" w:sz="4" w:space="0" w:color="auto"/>
              <w:right w:val="dotted" w:sz="4" w:space="0" w:color="auto"/>
            </w:tcBorders>
            <w:noWrap/>
            <w:vAlign w:val="center"/>
          </w:tcPr>
          <w:p w:rsidR="00864E50" w:rsidRPr="00D35EFD" w:rsidRDefault="00864E50" w:rsidP="008216A0">
            <w:pPr>
              <w:jc w:val="center"/>
              <w:rPr>
                <w:rFonts w:ascii="Arial" w:hAnsi="Arial" w:cs="Arial"/>
                <w:b/>
                <w:bCs/>
                <w:sz w:val="16"/>
                <w:szCs w:val="16"/>
              </w:rPr>
            </w:pPr>
            <w:r w:rsidRPr="00D35EFD">
              <w:rPr>
                <w:rFonts w:ascii="Arial" w:hAnsi="Arial" w:cs="Arial"/>
                <w:b/>
                <w:bCs/>
                <w:sz w:val="16"/>
                <w:szCs w:val="16"/>
              </w:rPr>
              <w:t>0</w:t>
            </w:r>
          </w:p>
        </w:tc>
        <w:tc>
          <w:tcPr>
            <w:tcW w:w="0" w:type="auto"/>
            <w:tcBorders>
              <w:top w:val="nil"/>
              <w:left w:val="nil"/>
              <w:bottom w:val="single" w:sz="4" w:space="0" w:color="auto"/>
              <w:right w:val="single" w:sz="4" w:space="0" w:color="auto"/>
            </w:tcBorders>
            <w:noWrap/>
            <w:vAlign w:val="center"/>
          </w:tcPr>
          <w:p w:rsidR="00864E50" w:rsidRPr="00D35EFD" w:rsidRDefault="00864E50" w:rsidP="008216A0">
            <w:pPr>
              <w:jc w:val="center"/>
              <w:rPr>
                <w:rFonts w:ascii="Arial" w:hAnsi="Arial" w:cs="Arial"/>
                <w:sz w:val="16"/>
                <w:szCs w:val="16"/>
              </w:rPr>
            </w:pPr>
          </w:p>
        </w:tc>
      </w:tr>
      <w:tr w:rsidR="00335274" w:rsidRPr="00D35EFD" w:rsidTr="00864E50">
        <w:trPr>
          <w:trHeight w:val="20"/>
        </w:trPr>
        <w:tc>
          <w:tcPr>
            <w:tcW w:w="0" w:type="auto"/>
            <w:vMerge w:val="restart"/>
            <w:tcBorders>
              <w:top w:val="single" w:sz="4" w:space="0" w:color="000000"/>
              <w:left w:val="single" w:sz="4" w:space="0" w:color="auto"/>
              <w:bottom w:val="single" w:sz="4" w:space="0" w:color="000000"/>
              <w:right w:val="single" w:sz="4" w:space="0" w:color="auto"/>
            </w:tcBorders>
            <w:shd w:val="clear" w:color="auto" w:fill="EAF1DD"/>
            <w:vAlign w:val="center"/>
          </w:tcPr>
          <w:p w:rsidR="00864E50" w:rsidRPr="00D35EFD" w:rsidRDefault="00864E50" w:rsidP="008216A0">
            <w:pPr>
              <w:rPr>
                <w:rFonts w:ascii="Arial" w:hAnsi="Arial" w:cs="Arial"/>
                <w:sz w:val="16"/>
                <w:szCs w:val="16"/>
              </w:rPr>
            </w:pPr>
            <w:r w:rsidRPr="00D35EFD">
              <w:rPr>
                <w:rFonts w:ascii="Arial" w:hAnsi="Arial" w:cs="Arial"/>
                <w:sz w:val="16"/>
                <w:szCs w:val="16"/>
              </w:rPr>
              <w:t>Počet vytvorených pracovných miest pre znevýhodnené skupiny v dôsledku realizácie projektu [počet]</w:t>
            </w:r>
          </w:p>
        </w:tc>
        <w:tc>
          <w:tcPr>
            <w:tcW w:w="0" w:type="auto"/>
            <w:tcBorders>
              <w:top w:val="nil"/>
              <w:left w:val="nil"/>
              <w:bottom w:val="dotted" w:sz="4" w:space="0" w:color="auto"/>
              <w:right w:val="single" w:sz="4" w:space="0" w:color="auto"/>
            </w:tcBorders>
            <w:shd w:val="clear" w:color="000000" w:fill="auto"/>
            <w:noWrap/>
            <w:vAlign w:val="center"/>
          </w:tcPr>
          <w:p w:rsidR="00864E50" w:rsidRPr="00D35EFD" w:rsidRDefault="00864E50" w:rsidP="008216A0">
            <w:pPr>
              <w:rPr>
                <w:rFonts w:ascii="Arial" w:hAnsi="Arial" w:cs="Arial"/>
                <w:sz w:val="16"/>
                <w:szCs w:val="16"/>
              </w:rPr>
            </w:pPr>
            <w:r w:rsidRPr="00D35EFD">
              <w:rPr>
                <w:rFonts w:ascii="Arial" w:hAnsi="Arial" w:cs="Arial"/>
                <w:sz w:val="16"/>
                <w:szCs w:val="16"/>
              </w:rPr>
              <w:t>Dosiahnutý výsledok</w:t>
            </w:r>
          </w:p>
        </w:tc>
        <w:tc>
          <w:tcPr>
            <w:tcW w:w="0" w:type="auto"/>
            <w:tcBorders>
              <w:top w:val="nil"/>
              <w:left w:val="nil"/>
              <w:bottom w:val="dotted" w:sz="4" w:space="0" w:color="auto"/>
              <w:right w:val="dotted" w:sz="4" w:space="0" w:color="auto"/>
            </w:tcBorders>
            <w:noWrap/>
            <w:vAlign w:val="center"/>
          </w:tcPr>
          <w:p w:rsidR="00864E50" w:rsidRPr="00D35EFD" w:rsidRDefault="00864E50" w:rsidP="008216A0">
            <w:pPr>
              <w:jc w:val="center"/>
              <w:rPr>
                <w:rFonts w:ascii="Arial" w:hAnsi="Arial" w:cs="Arial"/>
                <w:b/>
                <w:bCs/>
                <w:sz w:val="16"/>
                <w:szCs w:val="16"/>
              </w:rPr>
            </w:pPr>
            <w:r w:rsidRPr="00D35EFD">
              <w:rPr>
                <w:rFonts w:ascii="Arial" w:hAnsi="Arial" w:cs="Arial"/>
                <w:b/>
                <w:bCs/>
                <w:sz w:val="16"/>
                <w:szCs w:val="16"/>
              </w:rPr>
              <w:t>0</w:t>
            </w:r>
          </w:p>
        </w:tc>
        <w:tc>
          <w:tcPr>
            <w:tcW w:w="0" w:type="auto"/>
            <w:tcBorders>
              <w:top w:val="nil"/>
              <w:left w:val="nil"/>
              <w:bottom w:val="dotted" w:sz="4" w:space="0" w:color="auto"/>
              <w:right w:val="dotted" w:sz="4" w:space="0" w:color="auto"/>
            </w:tcBorders>
            <w:noWrap/>
            <w:vAlign w:val="center"/>
          </w:tcPr>
          <w:p w:rsidR="00864E50" w:rsidRPr="00D35EFD" w:rsidRDefault="00864E50" w:rsidP="008216A0">
            <w:pPr>
              <w:jc w:val="center"/>
              <w:rPr>
                <w:rFonts w:ascii="Arial" w:hAnsi="Arial" w:cs="Arial"/>
                <w:b/>
                <w:bCs/>
                <w:sz w:val="16"/>
                <w:szCs w:val="16"/>
              </w:rPr>
            </w:pPr>
            <w:r w:rsidRPr="00D35EFD">
              <w:rPr>
                <w:rFonts w:ascii="Arial" w:hAnsi="Arial" w:cs="Arial"/>
                <w:b/>
                <w:bCs/>
                <w:sz w:val="16"/>
                <w:szCs w:val="16"/>
              </w:rPr>
              <w:t>0</w:t>
            </w:r>
          </w:p>
        </w:tc>
        <w:tc>
          <w:tcPr>
            <w:tcW w:w="0" w:type="auto"/>
            <w:tcBorders>
              <w:top w:val="nil"/>
              <w:left w:val="nil"/>
              <w:bottom w:val="dotted" w:sz="4" w:space="0" w:color="auto"/>
              <w:right w:val="dotted" w:sz="4" w:space="0" w:color="auto"/>
            </w:tcBorders>
            <w:noWrap/>
            <w:vAlign w:val="center"/>
          </w:tcPr>
          <w:p w:rsidR="00864E50" w:rsidRPr="00D35EFD" w:rsidRDefault="00864E50" w:rsidP="008216A0">
            <w:pPr>
              <w:jc w:val="center"/>
              <w:rPr>
                <w:rFonts w:ascii="Arial" w:hAnsi="Arial" w:cs="Arial"/>
                <w:b/>
                <w:bCs/>
                <w:sz w:val="16"/>
                <w:szCs w:val="16"/>
              </w:rPr>
            </w:pPr>
            <w:r w:rsidRPr="00D35EFD">
              <w:rPr>
                <w:rFonts w:ascii="Arial" w:hAnsi="Arial" w:cs="Arial"/>
                <w:b/>
                <w:bCs/>
                <w:sz w:val="16"/>
                <w:szCs w:val="16"/>
              </w:rPr>
              <w:t>0</w:t>
            </w:r>
          </w:p>
        </w:tc>
        <w:tc>
          <w:tcPr>
            <w:tcW w:w="0" w:type="auto"/>
            <w:tcBorders>
              <w:top w:val="nil"/>
              <w:left w:val="nil"/>
              <w:bottom w:val="dotted" w:sz="4" w:space="0" w:color="auto"/>
              <w:right w:val="dotted" w:sz="4" w:space="0" w:color="auto"/>
            </w:tcBorders>
            <w:noWrap/>
            <w:vAlign w:val="center"/>
          </w:tcPr>
          <w:p w:rsidR="00864E50" w:rsidRPr="00D35EFD" w:rsidRDefault="00864E50" w:rsidP="008216A0">
            <w:pPr>
              <w:jc w:val="center"/>
              <w:rPr>
                <w:rFonts w:ascii="Arial" w:hAnsi="Arial" w:cs="Arial"/>
                <w:b/>
                <w:bCs/>
                <w:sz w:val="16"/>
                <w:szCs w:val="16"/>
              </w:rPr>
            </w:pPr>
            <w:r w:rsidRPr="00D35EFD">
              <w:rPr>
                <w:rFonts w:ascii="Arial" w:hAnsi="Arial" w:cs="Arial"/>
                <w:b/>
                <w:bCs/>
                <w:sz w:val="16"/>
                <w:szCs w:val="16"/>
              </w:rPr>
              <w:t>8</w:t>
            </w:r>
          </w:p>
        </w:tc>
        <w:tc>
          <w:tcPr>
            <w:tcW w:w="0" w:type="auto"/>
            <w:tcBorders>
              <w:top w:val="nil"/>
              <w:left w:val="nil"/>
              <w:bottom w:val="dotted" w:sz="4" w:space="0" w:color="auto"/>
              <w:right w:val="dotted" w:sz="4" w:space="0" w:color="auto"/>
            </w:tcBorders>
            <w:noWrap/>
            <w:vAlign w:val="center"/>
          </w:tcPr>
          <w:p w:rsidR="00864E50" w:rsidRPr="00D35EFD" w:rsidRDefault="00864E50" w:rsidP="008216A0">
            <w:pPr>
              <w:jc w:val="center"/>
              <w:rPr>
                <w:rFonts w:ascii="Arial" w:hAnsi="Arial" w:cs="Arial"/>
                <w:b/>
                <w:bCs/>
                <w:sz w:val="16"/>
                <w:szCs w:val="16"/>
              </w:rPr>
            </w:pPr>
            <w:r w:rsidRPr="00D35EFD">
              <w:rPr>
                <w:rFonts w:ascii="Arial" w:hAnsi="Arial" w:cs="Arial"/>
                <w:b/>
                <w:bCs/>
                <w:sz w:val="16"/>
                <w:szCs w:val="16"/>
              </w:rPr>
              <w:t>18</w:t>
            </w:r>
          </w:p>
        </w:tc>
        <w:tc>
          <w:tcPr>
            <w:tcW w:w="0" w:type="auto"/>
            <w:tcBorders>
              <w:top w:val="nil"/>
              <w:left w:val="nil"/>
              <w:bottom w:val="dotted" w:sz="4" w:space="0" w:color="auto"/>
              <w:right w:val="dotted" w:sz="4" w:space="0" w:color="auto"/>
            </w:tcBorders>
            <w:noWrap/>
            <w:vAlign w:val="center"/>
          </w:tcPr>
          <w:p w:rsidR="00864E50" w:rsidRPr="00D35EFD" w:rsidRDefault="00864E50" w:rsidP="008216A0">
            <w:pPr>
              <w:jc w:val="center"/>
              <w:rPr>
                <w:rFonts w:ascii="Arial" w:hAnsi="Arial" w:cs="Arial"/>
                <w:i/>
                <w:iCs/>
                <w:sz w:val="16"/>
                <w:szCs w:val="16"/>
              </w:rPr>
            </w:pPr>
            <w:r>
              <w:rPr>
                <w:rFonts w:ascii="Arial" w:hAnsi="Arial" w:cs="Arial"/>
                <w:i/>
                <w:iCs/>
                <w:sz w:val="16"/>
                <w:szCs w:val="16"/>
              </w:rPr>
              <w:t>39</w:t>
            </w:r>
          </w:p>
        </w:tc>
        <w:tc>
          <w:tcPr>
            <w:tcW w:w="0" w:type="auto"/>
            <w:tcBorders>
              <w:top w:val="nil"/>
              <w:left w:val="nil"/>
              <w:bottom w:val="dotted" w:sz="4" w:space="0" w:color="auto"/>
              <w:right w:val="dotted" w:sz="4" w:space="0" w:color="auto"/>
            </w:tcBorders>
            <w:noWrap/>
            <w:vAlign w:val="center"/>
          </w:tcPr>
          <w:p w:rsidR="00864E50" w:rsidRPr="00D35EFD" w:rsidRDefault="00864E50" w:rsidP="008216A0">
            <w:pPr>
              <w:jc w:val="center"/>
              <w:rPr>
                <w:rFonts w:ascii="Arial" w:hAnsi="Arial" w:cs="Arial"/>
                <w:i/>
                <w:iCs/>
                <w:sz w:val="16"/>
                <w:szCs w:val="16"/>
              </w:rPr>
            </w:pPr>
            <w:r w:rsidRPr="00D35EFD">
              <w:rPr>
                <w:rFonts w:ascii="Arial" w:hAnsi="Arial" w:cs="Arial"/>
                <w:i/>
                <w:iCs/>
                <w:sz w:val="16"/>
                <w:szCs w:val="16"/>
              </w:rPr>
              <w:t>N/A</w:t>
            </w:r>
          </w:p>
        </w:tc>
        <w:tc>
          <w:tcPr>
            <w:tcW w:w="0" w:type="auto"/>
            <w:tcBorders>
              <w:top w:val="nil"/>
              <w:left w:val="nil"/>
              <w:bottom w:val="dotted" w:sz="4" w:space="0" w:color="auto"/>
              <w:right w:val="dotted" w:sz="4" w:space="0" w:color="auto"/>
            </w:tcBorders>
            <w:noWrap/>
            <w:vAlign w:val="center"/>
          </w:tcPr>
          <w:p w:rsidR="00864E50" w:rsidRPr="00D35EFD" w:rsidRDefault="00864E50" w:rsidP="008216A0">
            <w:pPr>
              <w:jc w:val="center"/>
              <w:rPr>
                <w:rFonts w:ascii="Arial" w:hAnsi="Arial" w:cs="Arial"/>
                <w:i/>
                <w:iCs/>
                <w:sz w:val="16"/>
                <w:szCs w:val="16"/>
              </w:rPr>
            </w:pPr>
            <w:r w:rsidRPr="00D35EFD">
              <w:rPr>
                <w:rFonts w:ascii="Arial" w:hAnsi="Arial" w:cs="Arial"/>
                <w:i/>
                <w:iCs/>
                <w:sz w:val="16"/>
                <w:szCs w:val="16"/>
              </w:rPr>
              <w:t>N/A</w:t>
            </w:r>
          </w:p>
        </w:tc>
        <w:tc>
          <w:tcPr>
            <w:tcW w:w="0" w:type="auto"/>
            <w:tcBorders>
              <w:top w:val="nil"/>
              <w:left w:val="nil"/>
              <w:bottom w:val="dotted" w:sz="4" w:space="0" w:color="auto"/>
              <w:right w:val="dotted" w:sz="4" w:space="0" w:color="auto"/>
            </w:tcBorders>
            <w:noWrap/>
            <w:vAlign w:val="center"/>
          </w:tcPr>
          <w:p w:rsidR="00864E50" w:rsidRPr="00D35EFD" w:rsidRDefault="00864E50" w:rsidP="008216A0">
            <w:pPr>
              <w:jc w:val="center"/>
              <w:rPr>
                <w:rFonts w:ascii="Arial" w:hAnsi="Arial" w:cs="Arial"/>
                <w:i/>
                <w:iCs/>
                <w:sz w:val="16"/>
                <w:szCs w:val="16"/>
              </w:rPr>
            </w:pPr>
            <w:r w:rsidRPr="00D35EFD">
              <w:rPr>
                <w:rFonts w:ascii="Arial" w:hAnsi="Arial" w:cs="Arial"/>
                <w:i/>
                <w:iCs/>
                <w:sz w:val="16"/>
                <w:szCs w:val="16"/>
              </w:rPr>
              <w:t>N/A</w:t>
            </w:r>
          </w:p>
        </w:tc>
        <w:tc>
          <w:tcPr>
            <w:tcW w:w="0" w:type="auto"/>
            <w:tcBorders>
              <w:top w:val="nil"/>
              <w:left w:val="nil"/>
              <w:bottom w:val="dotted" w:sz="4" w:space="0" w:color="auto"/>
              <w:right w:val="dotted" w:sz="4" w:space="0" w:color="auto"/>
            </w:tcBorders>
            <w:noWrap/>
            <w:vAlign w:val="center"/>
          </w:tcPr>
          <w:p w:rsidR="00864E50" w:rsidRPr="00D35EFD" w:rsidRDefault="00864E50" w:rsidP="008216A0">
            <w:pPr>
              <w:jc w:val="center"/>
              <w:rPr>
                <w:rFonts w:ascii="Arial" w:hAnsi="Arial" w:cs="Arial"/>
                <w:b/>
                <w:bCs/>
                <w:sz w:val="16"/>
                <w:szCs w:val="16"/>
              </w:rPr>
            </w:pPr>
            <w:r>
              <w:rPr>
                <w:rFonts w:ascii="Arial" w:hAnsi="Arial" w:cs="Arial"/>
                <w:b/>
                <w:bCs/>
                <w:sz w:val="16"/>
                <w:szCs w:val="16"/>
              </w:rPr>
              <w:t>39</w:t>
            </w:r>
          </w:p>
        </w:tc>
        <w:tc>
          <w:tcPr>
            <w:tcW w:w="0" w:type="auto"/>
            <w:tcBorders>
              <w:top w:val="nil"/>
              <w:left w:val="nil"/>
              <w:bottom w:val="dotted" w:sz="4" w:space="0" w:color="auto"/>
              <w:right w:val="single" w:sz="4" w:space="0" w:color="auto"/>
            </w:tcBorders>
            <w:noWrap/>
            <w:vAlign w:val="center"/>
          </w:tcPr>
          <w:p w:rsidR="00864E50" w:rsidRPr="00D35EFD" w:rsidRDefault="00864E50" w:rsidP="008216A0">
            <w:pPr>
              <w:jc w:val="center"/>
              <w:rPr>
                <w:rFonts w:ascii="Arial" w:hAnsi="Arial" w:cs="Arial"/>
                <w:sz w:val="16"/>
                <w:szCs w:val="16"/>
              </w:rPr>
            </w:pPr>
          </w:p>
        </w:tc>
      </w:tr>
      <w:tr w:rsidR="00335274" w:rsidRPr="00D35EFD" w:rsidTr="00864E50">
        <w:trPr>
          <w:trHeight w:val="20"/>
        </w:trPr>
        <w:tc>
          <w:tcPr>
            <w:tcW w:w="0" w:type="auto"/>
            <w:vMerge/>
            <w:tcBorders>
              <w:top w:val="single" w:sz="4" w:space="0" w:color="000000"/>
              <w:left w:val="single" w:sz="4" w:space="0" w:color="auto"/>
              <w:bottom w:val="single" w:sz="4" w:space="0" w:color="000000"/>
              <w:right w:val="single" w:sz="4" w:space="0" w:color="auto"/>
            </w:tcBorders>
            <w:shd w:val="clear" w:color="auto" w:fill="EAF1DD"/>
            <w:vAlign w:val="center"/>
          </w:tcPr>
          <w:p w:rsidR="00864E50" w:rsidRPr="00D35EFD" w:rsidRDefault="00864E50" w:rsidP="008216A0">
            <w:pPr>
              <w:rPr>
                <w:rFonts w:ascii="Arial" w:hAnsi="Arial" w:cs="Arial"/>
                <w:sz w:val="16"/>
                <w:szCs w:val="16"/>
              </w:rPr>
            </w:pPr>
          </w:p>
        </w:tc>
        <w:tc>
          <w:tcPr>
            <w:tcW w:w="0" w:type="auto"/>
            <w:tcBorders>
              <w:top w:val="nil"/>
              <w:left w:val="nil"/>
              <w:bottom w:val="dotted" w:sz="4" w:space="0" w:color="auto"/>
              <w:right w:val="single" w:sz="4" w:space="0" w:color="auto"/>
            </w:tcBorders>
            <w:shd w:val="clear" w:color="000000" w:fill="auto"/>
            <w:noWrap/>
            <w:vAlign w:val="center"/>
          </w:tcPr>
          <w:p w:rsidR="00864E50" w:rsidRPr="00D35EFD" w:rsidRDefault="00864E50" w:rsidP="008216A0">
            <w:pPr>
              <w:rPr>
                <w:rFonts w:ascii="Arial" w:hAnsi="Arial" w:cs="Arial"/>
                <w:sz w:val="16"/>
                <w:szCs w:val="16"/>
              </w:rPr>
            </w:pPr>
            <w:r w:rsidRPr="00D35EFD">
              <w:rPr>
                <w:rFonts w:ascii="Arial" w:hAnsi="Arial" w:cs="Arial"/>
                <w:sz w:val="16"/>
                <w:szCs w:val="16"/>
              </w:rPr>
              <w:t>Cieľ</w:t>
            </w:r>
          </w:p>
        </w:tc>
        <w:tc>
          <w:tcPr>
            <w:tcW w:w="0" w:type="auto"/>
            <w:tcBorders>
              <w:top w:val="nil"/>
              <w:left w:val="nil"/>
              <w:bottom w:val="dotted" w:sz="4" w:space="0" w:color="auto"/>
              <w:right w:val="dotted" w:sz="4" w:space="0" w:color="auto"/>
            </w:tcBorders>
            <w:noWrap/>
            <w:vAlign w:val="center"/>
          </w:tcPr>
          <w:p w:rsidR="00864E50" w:rsidRPr="00D35EFD" w:rsidRDefault="00864E50" w:rsidP="008216A0">
            <w:pPr>
              <w:jc w:val="center"/>
              <w:rPr>
                <w:rFonts w:ascii="Arial" w:hAnsi="Arial" w:cs="Arial"/>
                <w:i/>
                <w:iCs/>
                <w:sz w:val="16"/>
                <w:szCs w:val="16"/>
              </w:rPr>
            </w:pPr>
            <w:r w:rsidRPr="00D35EFD">
              <w:rPr>
                <w:rFonts w:ascii="Arial" w:hAnsi="Arial" w:cs="Arial"/>
                <w:i/>
                <w:iCs/>
                <w:sz w:val="16"/>
                <w:szCs w:val="16"/>
              </w:rPr>
              <w:t>N/A</w:t>
            </w:r>
          </w:p>
        </w:tc>
        <w:tc>
          <w:tcPr>
            <w:tcW w:w="0" w:type="auto"/>
            <w:tcBorders>
              <w:top w:val="nil"/>
              <w:left w:val="nil"/>
              <w:bottom w:val="dotted" w:sz="4" w:space="0" w:color="auto"/>
              <w:right w:val="dotted" w:sz="4" w:space="0" w:color="auto"/>
            </w:tcBorders>
            <w:noWrap/>
            <w:vAlign w:val="center"/>
          </w:tcPr>
          <w:p w:rsidR="00864E50" w:rsidRPr="00D35EFD" w:rsidRDefault="00864E50" w:rsidP="008216A0">
            <w:pPr>
              <w:jc w:val="center"/>
              <w:rPr>
                <w:rFonts w:ascii="Arial" w:hAnsi="Arial" w:cs="Arial"/>
                <w:i/>
                <w:iCs/>
                <w:sz w:val="16"/>
                <w:szCs w:val="16"/>
              </w:rPr>
            </w:pPr>
            <w:r w:rsidRPr="00D35EFD">
              <w:rPr>
                <w:rFonts w:ascii="Arial" w:hAnsi="Arial" w:cs="Arial"/>
                <w:i/>
                <w:iCs/>
                <w:sz w:val="16"/>
                <w:szCs w:val="16"/>
              </w:rPr>
              <w:t>N/A</w:t>
            </w:r>
          </w:p>
        </w:tc>
        <w:tc>
          <w:tcPr>
            <w:tcW w:w="0" w:type="auto"/>
            <w:tcBorders>
              <w:top w:val="nil"/>
              <w:left w:val="nil"/>
              <w:bottom w:val="dotted" w:sz="4" w:space="0" w:color="auto"/>
              <w:right w:val="dotted" w:sz="4" w:space="0" w:color="auto"/>
            </w:tcBorders>
            <w:noWrap/>
            <w:vAlign w:val="center"/>
          </w:tcPr>
          <w:p w:rsidR="00864E50" w:rsidRPr="00D35EFD" w:rsidRDefault="00864E50" w:rsidP="008216A0">
            <w:pPr>
              <w:jc w:val="center"/>
              <w:rPr>
                <w:rFonts w:ascii="Arial" w:hAnsi="Arial" w:cs="Arial"/>
                <w:i/>
                <w:iCs/>
                <w:sz w:val="16"/>
                <w:szCs w:val="16"/>
              </w:rPr>
            </w:pPr>
            <w:r w:rsidRPr="00D35EFD">
              <w:rPr>
                <w:rFonts w:ascii="Arial" w:hAnsi="Arial" w:cs="Arial"/>
                <w:i/>
                <w:iCs/>
                <w:sz w:val="16"/>
                <w:szCs w:val="16"/>
              </w:rPr>
              <w:t>N/A</w:t>
            </w:r>
          </w:p>
        </w:tc>
        <w:tc>
          <w:tcPr>
            <w:tcW w:w="0" w:type="auto"/>
            <w:tcBorders>
              <w:top w:val="nil"/>
              <w:left w:val="nil"/>
              <w:bottom w:val="dotted" w:sz="4" w:space="0" w:color="auto"/>
              <w:right w:val="dotted" w:sz="4" w:space="0" w:color="auto"/>
            </w:tcBorders>
            <w:noWrap/>
            <w:vAlign w:val="center"/>
          </w:tcPr>
          <w:p w:rsidR="00864E50" w:rsidRPr="00D35EFD" w:rsidRDefault="00864E50" w:rsidP="008216A0">
            <w:pPr>
              <w:jc w:val="center"/>
              <w:rPr>
                <w:rFonts w:ascii="Arial" w:hAnsi="Arial" w:cs="Arial"/>
                <w:i/>
                <w:iCs/>
                <w:sz w:val="16"/>
                <w:szCs w:val="16"/>
              </w:rPr>
            </w:pPr>
            <w:r w:rsidRPr="00D35EFD">
              <w:rPr>
                <w:rFonts w:ascii="Arial" w:hAnsi="Arial" w:cs="Arial"/>
                <w:i/>
                <w:iCs/>
                <w:sz w:val="16"/>
                <w:szCs w:val="16"/>
              </w:rPr>
              <w:t>N/A</w:t>
            </w:r>
          </w:p>
        </w:tc>
        <w:tc>
          <w:tcPr>
            <w:tcW w:w="0" w:type="auto"/>
            <w:tcBorders>
              <w:top w:val="nil"/>
              <w:left w:val="nil"/>
              <w:bottom w:val="dotted" w:sz="4" w:space="0" w:color="auto"/>
              <w:right w:val="dotted" w:sz="4" w:space="0" w:color="auto"/>
            </w:tcBorders>
            <w:noWrap/>
            <w:vAlign w:val="center"/>
          </w:tcPr>
          <w:p w:rsidR="00864E50" w:rsidRPr="00D35EFD" w:rsidRDefault="00864E50" w:rsidP="008216A0">
            <w:pPr>
              <w:jc w:val="center"/>
              <w:rPr>
                <w:rFonts w:ascii="Arial" w:hAnsi="Arial" w:cs="Arial"/>
                <w:i/>
                <w:iCs/>
                <w:sz w:val="16"/>
                <w:szCs w:val="16"/>
              </w:rPr>
            </w:pPr>
            <w:r w:rsidRPr="00D35EFD">
              <w:rPr>
                <w:rFonts w:ascii="Arial" w:hAnsi="Arial" w:cs="Arial"/>
                <w:i/>
                <w:iCs/>
                <w:sz w:val="16"/>
                <w:szCs w:val="16"/>
              </w:rPr>
              <w:t>N/A</w:t>
            </w:r>
          </w:p>
        </w:tc>
        <w:tc>
          <w:tcPr>
            <w:tcW w:w="0" w:type="auto"/>
            <w:tcBorders>
              <w:top w:val="nil"/>
              <w:left w:val="nil"/>
              <w:bottom w:val="dotted" w:sz="4" w:space="0" w:color="auto"/>
              <w:right w:val="dotted" w:sz="4" w:space="0" w:color="auto"/>
            </w:tcBorders>
            <w:noWrap/>
            <w:vAlign w:val="center"/>
          </w:tcPr>
          <w:p w:rsidR="00864E50" w:rsidRPr="00D35EFD" w:rsidRDefault="00864E50" w:rsidP="008216A0">
            <w:pPr>
              <w:jc w:val="center"/>
              <w:rPr>
                <w:rFonts w:ascii="Arial" w:hAnsi="Arial" w:cs="Arial"/>
                <w:i/>
                <w:iCs/>
                <w:sz w:val="16"/>
                <w:szCs w:val="16"/>
              </w:rPr>
            </w:pPr>
            <w:r w:rsidRPr="00D35EFD">
              <w:rPr>
                <w:rFonts w:ascii="Arial" w:hAnsi="Arial" w:cs="Arial"/>
                <w:i/>
                <w:iCs/>
                <w:sz w:val="16"/>
                <w:szCs w:val="16"/>
              </w:rPr>
              <w:t>N/A</w:t>
            </w:r>
          </w:p>
        </w:tc>
        <w:tc>
          <w:tcPr>
            <w:tcW w:w="0" w:type="auto"/>
            <w:tcBorders>
              <w:top w:val="nil"/>
              <w:left w:val="nil"/>
              <w:bottom w:val="dotted" w:sz="4" w:space="0" w:color="auto"/>
              <w:right w:val="dotted" w:sz="4" w:space="0" w:color="auto"/>
            </w:tcBorders>
            <w:noWrap/>
            <w:vAlign w:val="center"/>
          </w:tcPr>
          <w:p w:rsidR="00864E50" w:rsidRPr="00D35EFD" w:rsidRDefault="00864E50" w:rsidP="008216A0">
            <w:pPr>
              <w:jc w:val="center"/>
              <w:rPr>
                <w:rFonts w:ascii="Arial" w:hAnsi="Arial" w:cs="Arial"/>
                <w:i/>
                <w:iCs/>
                <w:sz w:val="16"/>
                <w:szCs w:val="16"/>
              </w:rPr>
            </w:pPr>
            <w:r w:rsidRPr="00D35EFD">
              <w:rPr>
                <w:rFonts w:ascii="Arial" w:hAnsi="Arial" w:cs="Arial"/>
                <w:i/>
                <w:iCs/>
                <w:sz w:val="16"/>
                <w:szCs w:val="16"/>
              </w:rPr>
              <w:t>N/A</w:t>
            </w:r>
          </w:p>
        </w:tc>
        <w:tc>
          <w:tcPr>
            <w:tcW w:w="0" w:type="auto"/>
            <w:tcBorders>
              <w:top w:val="nil"/>
              <w:left w:val="nil"/>
              <w:bottom w:val="dotted" w:sz="4" w:space="0" w:color="auto"/>
              <w:right w:val="dotted" w:sz="4" w:space="0" w:color="auto"/>
            </w:tcBorders>
            <w:noWrap/>
            <w:vAlign w:val="center"/>
          </w:tcPr>
          <w:p w:rsidR="00864E50" w:rsidRPr="00D35EFD" w:rsidRDefault="00864E50" w:rsidP="008216A0">
            <w:pPr>
              <w:jc w:val="center"/>
              <w:rPr>
                <w:rFonts w:ascii="Arial" w:hAnsi="Arial" w:cs="Arial"/>
                <w:i/>
                <w:iCs/>
                <w:sz w:val="16"/>
                <w:szCs w:val="16"/>
              </w:rPr>
            </w:pPr>
            <w:r w:rsidRPr="00D35EFD">
              <w:rPr>
                <w:rFonts w:ascii="Arial" w:hAnsi="Arial" w:cs="Arial"/>
                <w:i/>
                <w:iCs/>
                <w:sz w:val="16"/>
                <w:szCs w:val="16"/>
              </w:rPr>
              <w:t>N/A</w:t>
            </w:r>
          </w:p>
        </w:tc>
        <w:tc>
          <w:tcPr>
            <w:tcW w:w="0" w:type="auto"/>
            <w:tcBorders>
              <w:top w:val="nil"/>
              <w:left w:val="nil"/>
              <w:bottom w:val="dotted" w:sz="4" w:space="0" w:color="auto"/>
              <w:right w:val="dotted" w:sz="4" w:space="0" w:color="auto"/>
            </w:tcBorders>
            <w:noWrap/>
            <w:vAlign w:val="center"/>
          </w:tcPr>
          <w:p w:rsidR="00864E50" w:rsidRPr="00D35EFD" w:rsidRDefault="00864E50" w:rsidP="008216A0">
            <w:pPr>
              <w:jc w:val="center"/>
              <w:rPr>
                <w:rFonts w:ascii="Arial" w:hAnsi="Arial" w:cs="Arial"/>
                <w:b/>
                <w:bCs/>
                <w:sz w:val="16"/>
                <w:szCs w:val="16"/>
              </w:rPr>
            </w:pPr>
            <w:r w:rsidRPr="00D35EFD">
              <w:rPr>
                <w:rFonts w:ascii="Arial" w:hAnsi="Arial" w:cs="Arial"/>
                <w:b/>
                <w:bCs/>
                <w:sz w:val="16"/>
                <w:szCs w:val="16"/>
              </w:rPr>
              <w:t>100</w:t>
            </w:r>
          </w:p>
        </w:tc>
        <w:tc>
          <w:tcPr>
            <w:tcW w:w="0" w:type="auto"/>
            <w:tcBorders>
              <w:top w:val="nil"/>
              <w:left w:val="nil"/>
              <w:bottom w:val="dotted" w:sz="4" w:space="0" w:color="auto"/>
              <w:right w:val="dotted" w:sz="4" w:space="0" w:color="auto"/>
            </w:tcBorders>
            <w:noWrap/>
            <w:vAlign w:val="center"/>
          </w:tcPr>
          <w:p w:rsidR="00864E50" w:rsidRPr="00D35EFD" w:rsidRDefault="00864E50" w:rsidP="008216A0">
            <w:pPr>
              <w:jc w:val="center"/>
              <w:rPr>
                <w:rFonts w:ascii="Arial" w:hAnsi="Arial" w:cs="Arial"/>
                <w:b/>
                <w:bCs/>
                <w:sz w:val="16"/>
                <w:szCs w:val="16"/>
              </w:rPr>
            </w:pPr>
            <w:r w:rsidRPr="00D35EFD">
              <w:rPr>
                <w:rFonts w:ascii="Arial" w:hAnsi="Arial" w:cs="Arial"/>
                <w:b/>
                <w:bCs/>
                <w:sz w:val="16"/>
                <w:szCs w:val="16"/>
              </w:rPr>
              <w:t>100</w:t>
            </w:r>
          </w:p>
        </w:tc>
        <w:tc>
          <w:tcPr>
            <w:tcW w:w="0" w:type="auto"/>
            <w:tcBorders>
              <w:top w:val="nil"/>
              <w:left w:val="nil"/>
              <w:bottom w:val="dotted" w:sz="4" w:space="0" w:color="auto"/>
              <w:right w:val="single" w:sz="4" w:space="0" w:color="auto"/>
            </w:tcBorders>
            <w:noWrap/>
            <w:vAlign w:val="center"/>
          </w:tcPr>
          <w:p w:rsidR="00864E50" w:rsidRPr="00D35EFD" w:rsidRDefault="00864E50" w:rsidP="008216A0">
            <w:pPr>
              <w:jc w:val="center"/>
              <w:rPr>
                <w:rFonts w:ascii="Arial" w:hAnsi="Arial" w:cs="Arial"/>
                <w:i/>
                <w:iCs/>
                <w:sz w:val="16"/>
                <w:szCs w:val="16"/>
              </w:rPr>
            </w:pPr>
            <w:r>
              <w:rPr>
                <w:rFonts w:ascii="Arial" w:hAnsi="Arial" w:cs="Arial"/>
                <w:i/>
                <w:iCs/>
                <w:sz w:val="16"/>
                <w:szCs w:val="16"/>
              </w:rPr>
              <w:t>118</w:t>
            </w:r>
          </w:p>
        </w:tc>
      </w:tr>
      <w:tr w:rsidR="00335274" w:rsidRPr="00D35EFD" w:rsidTr="00864E50">
        <w:trPr>
          <w:trHeight w:val="20"/>
        </w:trPr>
        <w:tc>
          <w:tcPr>
            <w:tcW w:w="0" w:type="auto"/>
            <w:vMerge/>
            <w:tcBorders>
              <w:top w:val="single" w:sz="4" w:space="0" w:color="000000"/>
              <w:left w:val="single" w:sz="4" w:space="0" w:color="auto"/>
              <w:bottom w:val="single" w:sz="4" w:space="0" w:color="000000"/>
              <w:right w:val="single" w:sz="4" w:space="0" w:color="auto"/>
            </w:tcBorders>
            <w:shd w:val="clear" w:color="auto" w:fill="EAF1DD"/>
            <w:vAlign w:val="center"/>
          </w:tcPr>
          <w:p w:rsidR="00864E50" w:rsidRPr="00D35EFD" w:rsidRDefault="00864E50" w:rsidP="008216A0">
            <w:pPr>
              <w:rPr>
                <w:rFonts w:ascii="Arial" w:hAnsi="Arial" w:cs="Arial"/>
                <w:sz w:val="16"/>
                <w:szCs w:val="16"/>
              </w:rPr>
            </w:pPr>
          </w:p>
        </w:tc>
        <w:tc>
          <w:tcPr>
            <w:tcW w:w="0" w:type="auto"/>
            <w:tcBorders>
              <w:top w:val="nil"/>
              <w:left w:val="nil"/>
              <w:bottom w:val="single" w:sz="4" w:space="0" w:color="auto"/>
              <w:right w:val="single" w:sz="4" w:space="0" w:color="auto"/>
            </w:tcBorders>
            <w:shd w:val="clear" w:color="000000" w:fill="auto"/>
            <w:noWrap/>
            <w:vAlign w:val="center"/>
          </w:tcPr>
          <w:p w:rsidR="00864E50" w:rsidRPr="00D35EFD" w:rsidRDefault="00864E50" w:rsidP="008216A0">
            <w:pPr>
              <w:rPr>
                <w:rFonts w:ascii="Arial" w:hAnsi="Arial" w:cs="Arial"/>
                <w:sz w:val="16"/>
                <w:szCs w:val="16"/>
              </w:rPr>
            </w:pPr>
            <w:r w:rsidRPr="00D35EFD">
              <w:rPr>
                <w:rFonts w:ascii="Arial" w:hAnsi="Arial" w:cs="Arial"/>
                <w:sz w:val="16"/>
                <w:szCs w:val="16"/>
              </w:rPr>
              <w:t>Východisko</w:t>
            </w:r>
          </w:p>
        </w:tc>
        <w:tc>
          <w:tcPr>
            <w:tcW w:w="0" w:type="auto"/>
            <w:tcBorders>
              <w:top w:val="nil"/>
              <w:left w:val="nil"/>
              <w:bottom w:val="single" w:sz="4" w:space="0" w:color="auto"/>
              <w:right w:val="dotted" w:sz="4" w:space="0" w:color="auto"/>
            </w:tcBorders>
            <w:noWrap/>
            <w:vAlign w:val="center"/>
          </w:tcPr>
          <w:p w:rsidR="00864E50" w:rsidRPr="00D35EFD" w:rsidRDefault="00864E50" w:rsidP="008216A0">
            <w:pPr>
              <w:jc w:val="center"/>
              <w:rPr>
                <w:rFonts w:ascii="Arial" w:hAnsi="Arial" w:cs="Arial"/>
                <w:b/>
                <w:bCs/>
                <w:sz w:val="16"/>
                <w:szCs w:val="16"/>
              </w:rPr>
            </w:pPr>
            <w:r w:rsidRPr="00D35EFD">
              <w:rPr>
                <w:rFonts w:ascii="Arial" w:hAnsi="Arial" w:cs="Arial"/>
                <w:b/>
                <w:bCs/>
                <w:sz w:val="16"/>
                <w:szCs w:val="16"/>
              </w:rPr>
              <w:t>0</w:t>
            </w:r>
          </w:p>
        </w:tc>
        <w:tc>
          <w:tcPr>
            <w:tcW w:w="0" w:type="auto"/>
            <w:tcBorders>
              <w:top w:val="nil"/>
              <w:left w:val="nil"/>
              <w:bottom w:val="single" w:sz="4" w:space="0" w:color="auto"/>
              <w:right w:val="dotted" w:sz="4" w:space="0" w:color="auto"/>
            </w:tcBorders>
            <w:noWrap/>
            <w:vAlign w:val="center"/>
          </w:tcPr>
          <w:p w:rsidR="00864E50" w:rsidRPr="00D35EFD" w:rsidRDefault="00864E50" w:rsidP="008216A0">
            <w:pPr>
              <w:jc w:val="center"/>
              <w:rPr>
                <w:rFonts w:ascii="Arial" w:hAnsi="Arial" w:cs="Arial"/>
                <w:i/>
                <w:iCs/>
                <w:sz w:val="16"/>
                <w:szCs w:val="16"/>
              </w:rPr>
            </w:pPr>
            <w:r w:rsidRPr="00D35EFD">
              <w:rPr>
                <w:rFonts w:ascii="Arial" w:hAnsi="Arial" w:cs="Arial"/>
                <w:i/>
                <w:iCs/>
                <w:sz w:val="16"/>
                <w:szCs w:val="16"/>
              </w:rPr>
              <w:t>N/A</w:t>
            </w:r>
          </w:p>
        </w:tc>
        <w:tc>
          <w:tcPr>
            <w:tcW w:w="0" w:type="auto"/>
            <w:tcBorders>
              <w:top w:val="nil"/>
              <w:left w:val="nil"/>
              <w:bottom w:val="single" w:sz="4" w:space="0" w:color="auto"/>
              <w:right w:val="dotted" w:sz="4" w:space="0" w:color="auto"/>
            </w:tcBorders>
            <w:noWrap/>
            <w:vAlign w:val="center"/>
          </w:tcPr>
          <w:p w:rsidR="00864E50" w:rsidRPr="00D35EFD" w:rsidRDefault="00864E50" w:rsidP="008216A0">
            <w:pPr>
              <w:jc w:val="center"/>
              <w:rPr>
                <w:rFonts w:ascii="Arial" w:hAnsi="Arial" w:cs="Arial"/>
                <w:i/>
                <w:iCs/>
                <w:sz w:val="16"/>
                <w:szCs w:val="16"/>
              </w:rPr>
            </w:pPr>
            <w:r w:rsidRPr="00D35EFD">
              <w:rPr>
                <w:rFonts w:ascii="Arial" w:hAnsi="Arial" w:cs="Arial"/>
                <w:i/>
                <w:iCs/>
                <w:sz w:val="16"/>
                <w:szCs w:val="16"/>
              </w:rPr>
              <w:t>N/A</w:t>
            </w:r>
          </w:p>
        </w:tc>
        <w:tc>
          <w:tcPr>
            <w:tcW w:w="0" w:type="auto"/>
            <w:tcBorders>
              <w:top w:val="nil"/>
              <w:left w:val="nil"/>
              <w:bottom w:val="single" w:sz="4" w:space="0" w:color="auto"/>
              <w:right w:val="dotted" w:sz="4" w:space="0" w:color="auto"/>
            </w:tcBorders>
            <w:noWrap/>
            <w:vAlign w:val="center"/>
          </w:tcPr>
          <w:p w:rsidR="00864E50" w:rsidRPr="00D35EFD" w:rsidRDefault="00864E50" w:rsidP="008216A0">
            <w:pPr>
              <w:jc w:val="center"/>
              <w:rPr>
                <w:rFonts w:ascii="Arial" w:hAnsi="Arial" w:cs="Arial"/>
                <w:i/>
                <w:iCs/>
                <w:sz w:val="16"/>
                <w:szCs w:val="16"/>
              </w:rPr>
            </w:pPr>
            <w:r w:rsidRPr="00D35EFD">
              <w:rPr>
                <w:rFonts w:ascii="Arial" w:hAnsi="Arial" w:cs="Arial"/>
                <w:i/>
                <w:iCs/>
                <w:sz w:val="16"/>
                <w:szCs w:val="16"/>
              </w:rPr>
              <w:t>N/A</w:t>
            </w:r>
          </w:p>
        </w:tc>
        <w:tc>
          <w:tcPr>
            <w:tcW w:w="0" w:type="auto"/>
            <w:tcBorders>
              <w:top w:val="nil"/>
              <w:left w:val="nil"/>
              <w:bottom w:val="single" w:sz="4" w:space="0" w:color="auto"/>
              <w:right w:val="dotted" w:sz="4" w:space="0" w:color="auto"/>
            </w:tcBorders>
            <w:noWrap/>
            <w:vAlign w:val="center"/>
          </w:tcPr>
          <w:p w:rsidR="00864E50" w:rsidRPr="00D35EFD" w:rsidRDefault="00864E50" w:rsidP="008216A0">
            <w:pPr>
              <w:jc w:val="center"/>
              <w:rPr>
                <w:rFonts w:ascii="Arial" w:hAnsi="Arial" w:cs="Arial"/>
                <w:i/>
                <w:iCs/>
                <w:sz w:val="16"/>
                <w:szCs w:val="16"/>
              </w:rPr>
            </w:pPr>
            <w:r w:rsidRPr="00D35EFD">
              <w:rPr>
                <w:rFonts w:ascii="Arial" w:hAnsi="Arial" w:cs="Arial"/>
                <w:i/>
                <w:iCs/>
                <w:sz w:val="16"/>
                <w:szCs w:val="16"/>
              </w:rPr>
              <w:t>N/A</w:t>
            </w:r>
          </w:p>
        </w:tc>
        <w:tc>
          <w:tcPr>
            <w:tcW w:w="0" w:type="auto"/>
            <w:tcBorders>
              <w:top w:val="nil"/>
              <w:left w:val="nil"/>
              <w:bottom w:val="single" w:sz="4" w:space="0" w:color="auto"/>
              <w:right w:val="dotted" w:sz="4" w:space="0" w:color="auto"/>
            </w:tcBorders>
            <w:noWrap/>
            <w:vAlign w:val="center"/>
          </w:tcPr>
          <w:p w:rsidR="00864E50" w:rsidRPr="00D35EFD" w:rsidRDefault="00864E50" w:rsidP="008216A0">
            <w:pPr>
              <w:jc w:val="center"/>
              <w:rPr>
                <w:rFonts w:ascii="Arial" w:hAnsi="Arial" w:cs="Arial"/>
                <w:i/>
                <w:iCs/>
                <w:sz w:val="16"/>
                <w:szCs w:val="16"/>
              </w:rPr>
            </w:pPr>
            <w:r w:rsidRPr="00D35EFD">
              <w:rPr>
                <w:rFonts w:ascii="Arial" w:hAnsi="Arial" w:cs="Arial"/>
                <w:i/>
                <w:iCs/>
                <w:sz w:val="16"/>
                <w:szCs w:val="16"/>
              </w:rPr>
              <w:t>N/A</w:t>
            </w:r>
          </w:p>
        </w:tc>
        <w:tc>
          <w:tcPr>
            <w:tcW w:w="0" w:type="auto"/>
            <w:tcBorders>
              <w:top w:val="nil"/>
              <w:left w:val="nil"/>
              <w:bottom w:val="single" w:sz="4" w:space="0" w:color="auto"/>
              <w:right w:val="dotted" w:sz="4" w:space="0" w:color="auto"/>
            </w:tcBorders>
            <w:noWrap/>
            <w:vAlign w:val="center"/>
          </w:tcPr>
          <w:p w:rsidR="00864E50" w:rsidRPr="00D35EFD" w:rsidRDefault="00864E50" w:rsidP="008216A0">
            <w:pPr>
              <w:jc w:val="center"/>
              <w:rPr>
                <w:rFonts w:ascii="Arial" w:hAnsi="Arial" w:cs="Arial"/>
                <w:i/>
                <w:iCs/>
                <w:sz w:val="16"/>
                <w:szCs w:val="16"/>
              </w:rPr>
            </w:pPr>
            <w:r w:rsidRPr="00D35EFD">
              <w:rPr>
                <w:rFonts w:ascii="Arial" w:hAnsi="Arial" w:cs="Arial"/>
                <w:i/>
                <w:iCs/>
                <w:sz w:val="16"/>
                <w:szCs w:val="16"/>
              </w:rPr>
              <w:t>N/A</w:t>
            </w:r>
          </w:p>
        </w:tc>
        <w:tc>
          <w:tcPr>
            <w:tcW w:w="0" w:type="auto"/>
            <w:tcBorders>
              <w:top w:val="nil"/>
              <w:left w:val="nil"/>
              <w:bottom w:val="single" w:sz="4" w:space="0" w:color="auto"/>
              <w:right w:val="dotted" w:sz="4" w:space="0" w:color="auto"/>
            </w:tcBorders>
            <w:noWrap/>
            <w:vAlign w:val="center"/>
          </w:tcPr>
          <w:p w:rsidR="00864E50" w:rsidRPr="00D35EFD" w:rsidRDefault="00864E50" w:rsidP="008216A0">
            <w:pPr>
              <w:jc w:val="center"/>
              <w:rPr>
                <w:rFonts w:ascii="Arial" w:hAnsi="Arial" w:cs="Arial"/>
                <w:i/>
                <w:iCs/>
                <w:sz w:val="16"/>
                <w:szCs w:val="16"/>
              </w:rPr>
            </w:pPr>
            <w:r w:rsidRPr="00D35EFD">
              <w:rPr>
                <w:rFonts w:ascii="Arial" w:hAnsi="Arial" w:cs="Arial"/>
                <w:i/>
                <w:iCs/>
                <w:sz w:val="16"/>
                <w:szCs w:val="16"/>
              </w:rPr>
              <w:t>N/A</w:t>
            </w:r>
          </w:p>
        </w:tc>
        <w:tc>
          <w:tcPr>
            <w:tcW w:w="0" w:type="auto"/>
            <w:tcBorders>
              <w:top w:val="nil"/>
              <w:left w:val="nil"/>
              <w:bottom w:val="single" w:sz="4" w:space="0" w:color="auto"/>
              <w:right w:val="dotted" w:sz="4" w:space="0" w:color="auto"/>
            </w:tcBorders>
            <w:noWrap/>
            <w:vAlign w:val="center"/>
          </w:tcPr>
          <w:p w:rsidR="00864E50" w:rsidRPr="00D35EFD" w:rsidRDefault="00864E50" w:rsidP="008216A0">
            <w:pPr>
              <w:jc w:val="center"/>
              <w:rPr>
                <w:rFonts w:ascii="Arial" w:hAnsi="Arial" w:cs="Arial"/>
                <w:i/>
                <w:iCs/>
                <w:sz w:val="16"/>
                <w:szCs w:val="16"/>
              </w:rPr>
            </w:pPr>
            <w:r w:rsidRPr="00D35EFD">
              <w:rPr>
                <w:rFonts w:ascii="Arial" w:hAnsi="Arial" w:cs="Arial"/>
                <w:i/>
                <w:iCs/>
                <w:sz w:val="16"/>
                <w:szCs w:val="16"/>
              </w:rPr>
              <w:t>N/A</w:t>
            </w:r>
          </w:p>
        </w:tc>
        <w:tc>
          <w:tcPr>
            <w:tcW w:w="0" w:type="auto"/>
            <w:tcBorders>
              <w:top w:val="nil"/>
              <w:left w:val="nil"/>
              <w:bottom w:val="single" w:sz="4" w:space="0" w:color="auto"/>
              <w:right w:val="dotted" w:sz="4" w:space="0" w:color="auto"/>
            </w:tcBorders>
            <w:noWrap/>
            <w:vAlign w:val="center"/>
          </w:tcPr>
          <w:p w:rsidR="00864E50" w:rsidRPr="00D35EFD" w:rsidRDefault="00864E50" w:rsidP="008216A0">
            <w:pPr>
              <w:jc w:val="center"/>
              <w:rPr>
                <w:rFonts w:ascii="Arial" w:hAnsi="Arial" w:cs="Arial"/>
                <w:b/>
                <w:bCs/>
                <w:sz w:val="16"/>
                <w:szCs w:val="16"/>
              </w:rPr>
            </w:pPr>
            <w:r w:rsidRPr="00D35EFD">
              <w:rPr>
                <w:rFonts w:ascii="Arial" w:hAnsi="Arial" w:cs="Arial"/>
                <w:b/>
                <w:bCs/>
                <w:sz w:val="16"/>
                <w:szCs w:val="16"/>
              </w:rPr>
              <w:t>0</w:t>
            </w:r>
          </w:p>
        </w:tc>
        <w:tc>
          <w:tcPr>
            <w:tcW w:w="0" w:type="auto"/>
            <w:tcBorders>
              <w:top w:val="nil"/>
              <w:left w:val="nil"/>
              <w:bottom w:val="single" w:sz="4" w:space="0" w:color="auto"/>
              <w:right w:val="single" w:sz="4" w:space="0" w:color="auto"/>
            </w:tcBorders>
            <w:noWrap/>
            <w:vAlign w:val="center"/>
          </w:tcPr>
          <w:p w:rsidR="00864E50" w:rsidRPr="00D35EFD" w:rsidRDefault="00864E50" w:rsidP="008216A0">
            <w:pPr>
              <w:jc w:val="center"/>
              <w:rPr>
                <w:rFonts w:ascii="Arial" w:hAnsi="Arial" w:cs="Arial"/>
                <w:sz w:val="16"/>
                <w:szCs w:val="16"/>
              </w:rPr>
            </w:pPr>
          </w:p>
        </w:tc>
      </w:tr>
      <w:tr w:rsidR="00335274" w:rsidRPr="00D35EFD" w:rsidTr="00864E50">
        <w:trPr>
          <w:trHeight w:val="20"/>
        </w:trPr>
        <w:tc>
          <w:tcPr>
            <w:tcW w:w="0" w:type="auto"/>
            <w:vMerge w:val="restart"/>
            <w:tcBorders>
              <w:top w:val="single" w:sz="4" w:space="0" w:color="000000"/>
              <w:left w:val="single" w:sz="4" w:space="0" w:color="auto"/>
              <w:bottom w:val="single" w:sz="4" w:space="0" w:color="000000"/>
              <w:right w:val="single" w:sz="4" w:space="0" w:color="auto"/>
            </w:tcBorders>
            <w:shd w:val="clear" w:color="auto" w:fill="EAF1DD"/>
            <w:vAlign w:val="center"/>
          </w:tcPr>
          <w:p w:rsidR="00864E50" w:rsidRPr="00D35EFD" w:rsidRDefault="00864E50" w:rsidP="008216A0">
            <w:pPr>
              <w:rPr>
                <w:rFonts w:ascii="Arial" w:hAnsi="Arial" w:cs="Arial"/>
                <w:sz w:val="16"/>
                <w:szCs w:val="16"/>
              </w:rPr>
            </w:pPr>
            <w:r w:rsidRPr="00D35EFD">
              <w:rPr>
                <w:rFonts w:ascii="Arial" w:hAnsi="Arial" w:cs="Arial"/>
                <w:sz w:val="16"/>
                <w:szCs w:val="16"/>
              </w:rPr>
              <w:t>Počet vytvorených pracovných miest obsadených ženami [počet]</w:t>
            </w:r>
          </w:p>
        </w:tc>
        <w:tc>
          <w:tcPr>
            <w:tcW w:w="0" w:type="auto"/>
            <w:tcBorders>
              <w:top w:val="nil"/>
              <w:left w:val="nil"/>
              <w:bottom w:val="dotted" w:sz="4" w:space="0" w:color="auto"/>
              <w:right w:val="single" w:sz="4" w:space="0" w:color="auto"/>
            </w:tcBorders>
            <w:shd w:val="clear" w:color="000000" w:fill="auto"/>
            <w:noWrap/>
            <w:vAlign w:val="center"/>
          </w:tcPr>
          <w:p w:rsidR="00864E50" w:rsidRPr="00D35EFD" w:rsidRDefault="00864E50" w:rsidP="008216A0">
            <w:pPr>
              <w:rPr>
                <w:rFonts w:ascii="Arial" w:hAnsi="Arial" w:cs="Arial"/>
                <w:sz w:val="16"/>
                <w:szCs w:val="16"/>
              </w:rPr>
            </w:pPr>
            <w:r w:rsidRPr="00D35EFD">
              <w:rPr>
                <w:rFonts w:ascii="Arial" w:hAnsi="Arial" w:cs="Arial"/>
                <w:sz w:val="16"/>
                <w:szCs w:val="16"/>
              </w:rPr>
              <w:t>Dosiahnutý výsledok</w:t>
            </w:r>
          </w:p>
        </w:tc>
        <w:tc>
          <w:tcPr>
            <w:tcW w:w="0" w:type="auto"/>
            <w:tcBorders>
              <w:top w:val="nil"/>
              <w:left w:val="nil"/>
              <w:bottom w:val="dotted" w:sz="4" w:space="0" w:color="auto"/>
              <w:right w:val="dotted" w:sz="4" w:space="0" w:color="auto"/>
            </w:tcBorders>
            <w:noWrap/>
            <w:vAlign w:val="center"/>
          </w:tcPr>
          <w:p w:rsidR="00864E50" w:rsidRPr="00D35EFD" w:rsidRDefault="00864E50" w:rsidP="008216A0">
            <w:pPr>
              <w:jc w:val="center"/>
              <w:rPr>
                <w:rFonts w:ascii="Arial" w:hAnsi="Arial" w:cs="Arial"/>
                <w:b/>
                <w:bCs/>
                <w:sz w:val="16"/>
                <w:szCs w:val="16"/>
              </w:rPr>
            </w:pPr>
            <w:r w:rsidRPr="00D35EFD">
              <w:rPr>
                <w:rFonts w:ascii="Arial" w:hAnsi="Arial" w:cs="Arial"/>
                <w:b/>
                <w:bCs/>
                <w:sz w:val="16"/>
                <w:szCs w:val="16"/>
              </w:rPr>
              <w:t>0</w:t>
            </w:r>
          </w:p>
        </w:tc>
        <w:tc>
          <w:tcPr>
            <w:tcW w:w="0" w:type="auto"/>
            <w:tcBorders>
              <w:top w:val="nil"/>
              <w:left w:val="nil"/>
              <w:bottom w:val="dotted" w:sz="4" w:space="0" w:color="auto"/>
              <w:right w:val="dotted" w:sz="4" w:space="0" w:color="auto"/>
            </w:tcBorders>
            <w:noWrap/>
            <w:vAlign w:val="center"/>
          </w:tcPr>
          <w:p w:rsidR="00864E50" w:rsidRPr="00D35EFD" w:rsidRDefault="00864E50" w:rsidP="008216A0">
            <w:pPr>
              <w:jc w:val="center"/>
              <w:rPr>
                <w:rFonts w:ascii="Arial" w:hAnsi="Arial" w:cs="Arial"/>
                <w:b/>
                <w:bCs/>
                <w:sz w:val="16"/>
                <w:szCs w:val="16"/>
              </w:rPr>
            </w:pPr>
            <w:r w:rsidRPr="00D35EFD">
              <w:rPr>
                <w:rFonts w:ascii="Arial" w:hAnsi="Arial" w:cs="Arial"/>
                <w:b/>
                <w:bCs/>
                <w:sz w:val="16"/>
                <w:szCs w:val="16"/>
              </w:rPr>
              <w:t>0</w:t>
            </w:r>
          </w:p>
        </w:tc>
        <w:tc>
          <w:tcPr>
            <w:tcW w:w="0" w:type="auto"/>
            <w:tcBorders>
              <w:top w:val="nil"/>
              <w:left w:val="nil"/>
              <w:bottom w:val="dotted" w:sz="4" w:space="0" w:color="auto"/>
              <w:right w:val="dotted" w:sz="4" w:space="0" w:color="auto"/>
            </w:tcBorders>
            <w:noWrap/>
            <w:vAlign w:val="center"/>
          </w:tcPr>
          <w:p w:rsidR="00864E50" w:rsidRPr="00D35EFD" w:rsidRDefault="00864E50" w:rsidP="008216A0">
            <w:pPr>
              <w:jc w:val="center"/>
              <w:rPr>
                <w:rFonts w:ascii="Arial" w:hAnsi="Arial" w:cs="Arial"/>
                <w:b/>
                <w:bCs/>
                <w:sz w:val="16"/>
                <w:szCs w:val="16"/>
              </w:rPr>
            </w:pPr>
            <w:r w:rsidRPr="00D35EFD">
              <w:rPr>
                <w:rFonts w:ascii="Arial" w:hAnsi="Arial" w:cs="Arial"/>
                <w:b/>
                <w:bCs/>
                <w:sz w:val="16"/>
                <w:szCs w:val="16"/>
              </w:rPr>
              <w:t>0</w:t>
            </w:r>
          </w:p>
        </w:tc>
        <w:tc>
          <w:tcPr>
            <w:tcW w:w="0" w:type="auto"/>
            <w:tcBorders>
              <w:top w:val="nil"/>
              <w:left w:val="nil"/>
              <w:bottom w:val="dotted" w:sz="4" w:space="0" w:color="auto"/>
              <w:right w:val="dotted" w:sz="4" w:space="0" w:color="auto"/>
            </w:tcBorders>
            <w:noWrap/>
            <w:vAlign w:val="center"/>
          </w:tcPr>
          <w:p w:rsidR="00864E50" w:rsidRPr="00D35EFD" w:rsidRDefault="00864E50" w:rsidP="008216A0">
            <w:pPr>
              <w:jc w:val="center"/>
              <w:rPr>
                <w:rFonts w:ascii="Arial" w:hAnsi="Arial" w:cs="Arial"/>
                <w:b/>
                <w:bCs/>
                <w:sz w:val="16"/>
                <w:szCs w:val="16"/>
              </w:rPr>
            </w:pPr>
            <w:r w:rsidRPr="00D35EFD">
              <w:rPr>
                <w:rFonts w:ascii="Arial" w:hAnsi="Arial" w:cs="Arial"/>
                <w:b/>
                <w:bCs/>
                <w:sz w:val="16"/>
                <w:szCs w:val="16"/>
              </w:rPr>
              <w:t>3</w:t>
            </w:r>
          </w:p>
        </w:tc>
        <w:tc>
          <w:tcPr>
            <w:tcW w:w="0" w:type="auto"/>
            <w:tcBorders>
              <w:top w:val="nil"/>
              <w:left w:val="nil"/>
              <w:bottom w:val="dotted" w:sz="4" w:space="0" w:color="auto"/>
              <w:right w:val="dotted" w:sz="4" w:space="0" w:color="auto"/>
            </w:tcBorders>
            <w:noWrap/>
            <w:vAlign w:val="center"/>
          </w:tcPr>
          <w:p w:rsidR="00864E50" w:rsidRPr="00D35EFD" w:rsidRDefault="00864E50" w:rsidP="008216A0">
            <w:pPr>
              <w:jc w:val="center"/>
              <w:rPr>
                <w:rFonts w:ascii="Arial" w:hAnsi="Arial" w:cs="Arial"/>
                <w:b/>
                <w:bCs/>
                <w:sz w:val="16"/>
                <w:szCs w:val="16"/>
              </w:rPr>
            </w:pPr>
            <w:r w:rsidRPr="00D35EFD">
              <w:rPr>
                <w:rFonts w:ascii="Arial" w:hAnsi="Arial" w:cs="Arial"/>
                <w:b/>
                <w:bCs/>
                <w:sz w:val="16"/>
                <w:szCs w:val="16"/>
              </w:rPr>
              <w:t>7</w:t>
            </w:r>
          </w:p>
        </w:tc>
        <w:tc>
          <w:tcPr>
            <w:tcW w:w="0" w:type="auto"/>
            <w:tcBorders>
              <w:top w:val="nil"/>
              <w:left w:val="nil"/>
              <w:bottom w:val="dotted" w:sz="4" w:space="0" w:color="auto"/>
              <w:right w:val="dotted" w:sz="4" w:space="0" w:color="auto"/>
            </w:tcBorders>
            <w:noWrap/>
            <w:vAlign w:val="center"/>
          </w:tcPr>
          <w:p w:rsidR="00864E50" w:rsidRPr="00D35EFD" w:rsidRDefault="00864E50" w:rsidP="008216A0">
            <w:pPr>
              <w:jc w:val="center"/>
              <w:rPr>
                <w:rFonts w:ascii="Arial" w:hAnsi="Arial" w:cs="Arial"/>
                <w:i/>
                <w:iCs/>
                <w:sz w:val="16"/>
                <w:szCs w:val="16"/>
              </w:rPr>
            </w:pPr>
            <w:r>
              <w:rPr>
                <w:rFonts w:ascii="Arial" w:hAnsi="Arial" w:cs="Arial"/>
                <w:i/>
                <w:iCs/>
                <w:sz w:val="16"/>
                <w:szCs w:val="16"/>
              </w:rPr>
              <w:t>13</w:t>
            </w:r>
          </w:p>
        </w:tc>
        <w:tc>
          <w:tcPr>
            <w:tcW w:w="0" w:type="auto"/>
            <w:tcBorders>
              <w:top w:val="nil"/>
              <w:left w:val="nil"/>
              <w:bottom w:val="dotted" w:sz="4" w:space="0" w:color="auto"/>
              <w:right w:val="dotted" w:sz="4" w:space="0" w:color="auto"/>
            </w:tcBorders>
            <w:noWrap/>
            <w:vAlign w:val="center"/>
          </w:tcPr>
          <w:p w:rsidR="00864E50" w:rsidRPr="00D35EFD" w:rsidRDefault="00864E50" w:rsidP="008216A0">
            <w:pPr>
              <w:jc w:val="center"/>
              <w:rPr>
                <w:rFonts w:ascii="Arial" w:hAnsi="Arial" w:cs="Arial"/>
                <w:i/>
                <w:iCs/>
                <w:sz w:val="16"/>
                <w:szCs w:val="16"/>
              </w:rPr>
            </w:pPr>
            <w:r w:rsidRPr="00D35EFD">
              <w:rPr>
                <w:rFonts w:ascii="Arial" w:hAnsi="Arial" w:cs="Arial"/>
                <w:i/>
                <w:iCs/>
                <w:sz w:val="16"/>
                <w:szCs w:val="16"/>
              </w:rPr>
              <w:t>N/A</w:t>
            </w:r>
          </w:p>
        </w:tc>
        <w:tc>
          <w:tcPr>
            <w:tcW w:w="0" w:type="auto"/>
            <w:tcBorders>
              <w:top w:val="nil"/>
              <w:left w:val="nil"/>
              <w:bottom w:val="dotted" w:sz="4" w:space="0" w:color="auto"/>
              <w:right w:val="dotted" w:sz="4" w:space="0" w:color="auto"/>
            </w:tcBorders>
            <w:noWrap/>
            <w:vAlign w:val="center"/>
          </w:tcPr>
          <w:p w:rsidR="00864E50" w:rsidRPr="00D35EFD" w:rsidRDefault="00864E50" w:rsidP="008216A0">
            <w:pPr>
              <w:jc w:val="center"/>
              <w:rPr>
                <w:rFonts w:ascii="Arial" w:hAnsi="Arial" w:cs="Arial"/>
                <w:i/>
                <w:iCs/>
                <w:sz w:val="16"/>
                <w:szCs w:val="16"/>
              </w:rPr>
            </w:pPr>
            <w:r w:rsidRPr="00D35EFD">
              <w:rPr>
                <w:rFonts w:ascii="Arial" w:hAnsi="Arial" w:cs="Arial"/>
                <w:i/>
                <w:iCs/>
                <w:sz w:val="16"/>
                <w:szCs w:val="16"/>
              </w:rPr>
              <w:t>N/A</w:t>
            </w:r>
          </w:p>
        </w:tc>
        <w:tc>
          <w:tcPr>
            <w:tcW w:w="0" w:type="auto"/>
            <w:tcBorders>
              <w:top w:val="nil"/>
              <w:left w:val="nil"/>
              <w:bottom w:val="dotted" w:sz="4" w:space="0" w:color="auto"/>
              <w:right w:val="dotted" w:sz="4" w:space="0" w:color="auto"/>
            </w:tcBorders>
            <w:noWrap/>
            <w:vAlign w:val="center"/>
          </w:tcPr>
          <w:p w:rsidR="00864E50" w:rsidRPr="00D35EFD" w:rsidRDefault="00864E50" w:rsidP="008216A0">
            <w:pPr>
              <w:jc w:val="center"/>
              <w:rPr>
                <w:rFonts w:ascii="Arial" w:hAnsi="Arial" w:cs="Arial"/>
                <w:i/>
                <w:iCs/>
                <w:sz w:val="16"/>
                <w:szCs w:val="16"/>
              </w:rPr>
            </w:pPr>
            <w:r w:rsidRPr="00D35EFD">
              <w:rPr>
                <w:rFonts w:ascii="Arial" w:hAnsi="Arial" w:cs="Arial"/>
                <w:i/>
                <w:iCs/>
                <w:sz w:val="16"/>
                <w:szCs w:val="16"/>
              </w:rPr>
              <w:t>N/A</w:t>
            </w:r>
          </w:p>
        </w:tc>
        <w:tc>
          <w:tcPr>
            <w:tcW w:w="0" w:type="auto"/>
            <w:tcBorders>
              <w:top w:val="nil"/>
              <w:left w:val="nil"/>
              <w:bottom w:val="dotted" w:sz="4" w:space="0" w:color="auto"/>
              <w:right w:val="dotted" w:sz="4" w:space="0" w:color="auto"/>
            </w:tcBorders>
            <w:noWrap/>
            <w:vAlign w:val="center"/>
          </w:tcPr>
          <w:p w:rsidR="00864E50" w:rsidRPr="00D35EFD" w:rsidRDefault="00864E50" w:rsidP="008216A0">
            <w:pPr>
              <w:jc w:val="center"/>
              <w:rPr>
                <w:rFonts w:ascii="Arial" w:hAnsi="Arial" w:cs="Arial"/>
                <w:b/>
                <w:bCs/>
                <w:sz w:val="16"/>
                <w:szCs w:val="16"/>
              </w:rPr>
            </w:pPr>
            <w:r>
              <w:rPr>
                <w:rFonts w:ascii="Arial" w:hAnsi="Arial" w:cs="Arial"/>
                <w:b/>
                <w:bCs/>
                <w:sz w:val="16"/>
                <w:szCs w:val="16"/>
              </w:rPr>
              <w:t>13</w:t>
            </w:r>
          </w:p>
        </w:tc>
        <w:tc>
          <w:tcPr>
            <w:tcW w:w="0" w:type="auto"/>
            <w:tcBorders>
              <w:top w:val="nil"/>
              <w:left w:val="nil"/>
              <w:bottom w:val="dotted" w:sz="4" w:space="0" w:color="auto"/>
              <w:right w:val="single" w:sz="4" w:space="0" w:color="auto"/>
            </w:tcBorders>
            <w:noWrap/>
            <w:vAlign w:val="center"/>
          </w:tcPr>
          <w:p w:rsidR="00864E50" w:rsidRPr="00D35EFD" w:rsidRDefault="00864E50" w:rsidP="008216A0">
            <w:pPr>
              <w:jc w:val="center"/>
              <w:rPr>
                <w:rFonts w:ascii="Arial" w:hAnsi="Arial" w:cs="Arial"/>
                <w:sz w:val="16"/>
                <w:szCs w:val="16"/>
              </w:rPr>
            </w:pPr>
            <w:r>
              <w:rPr>
                <w:rFonts w:ascii="Arial" w:hAnsi="Arial" w:cs="Arial"/>
                <w:sz w:val="16"/>
                <w:szCs w:val="16"/>
              </w:rPr>
              <w:t>51</w:t>
            </w:r>
          </w:p>
        </w:tc>
      </w:tr>
      <w:tr w:rsidR="00335274" w:rsidRPr="00D35EFD" w:rsidTr="00864E50">
        <w:trPr>
          <w:trHeight w:val="20"/>
        </w:trPr>
        <w:tc>
          <w:tcPr>
            <w:tcW w:w="0" w:type="auto"/>
            <w:vMerge/>
            <w:tcBorders>
              <w:top w:val="single" w:sz="4" w:space="0" w:color="000000"/>
              <w:left w:val="single" w:sz="4" w:space="0" w:color="auto"/>
              <w:bottom w:val="single" w:sz="4" w:space="0" w:color="000000"/>
              <w:right w:val="single" w:sz="4" w:space="0" w:color="auto"/>
            </w:tcBorders>
            <w:shd w:val="clear" w:color="auto" w:fill="EAF1DD"/>
            <w:vAlign w:val="center"/>
          </w:tcPr>
          <w:p w:rsidR="00864E50" w:rsidRPr="00D35EFD" w:rsidRDefault="00864E50" w:rsidP="008216A0">
            <w:pPr>
              <w:rPr>
                <w:rFonts w:ascii="Arial" w:hAnsi="Arial" w:cs="Arial"/>
                <w:sz w:val="16"/>
                <w:szCs w:val="16"/>
              </w:rPr>
            </w:pPr>
          </w:p>
        </w:tc>
        <w:tc>
          <w:tcPr>
            <w:tcW w:w="0" w:type="auto"/>
            <w:tcBorders>
              <w:top w:val="nil"/>
              <w:left w:val="nil"/>
              <w:bottom w:val="dotted" w:sz="4" w:space="0" w:color="auto"/>
              <w:right w:val="single" w:sz="4" w:space="0" w:color="auto"/>
            </w:tcBorders>
            <w:shd w:val="clear" w:color="000000" w:fill="auto"/>
            <w:noWrap/>
            <w:vAlign w:val="center"/>
          </w:tcPr>
          <w:p w:rsidR="00864E50" w:rsidRPr="00D35EFD" w:rsidRDefault="00864E50" w:rsidP="008216A0">
            <w:pPr>
              <w:rPr>
                <w:rFonts w:ascii="Arial" w:hAnsi="Arial" w:cs="Arial"/>
                <w:sz w:val="16"/>
                <w:szCs w:val="16"/>
              </w:rPr>
            </w:pPr>
            <w:r w:rsidRPr="00D35EFD">
              <w:rPr>
                <w:rFonts w:ascii="Arial" w:hAnsi="Arial" w:cs="Arial"/>
                <w:sz w:val="16"/>
                <w:szCs w:val="16"/>
              </w:rPr>
              <w:t>Cieľ</w:t>
            </w:r>
          </w:p>
        </w:tc>
        <w:tc>
          <w:tcPr>
            <w:tcW w:w="0" w:type="auto"/>
            <w:tcBorders>
              <w:top w:val="nil"/>
              <w:left w:val="nil"/>
              <w:bottom w:val="dotted" w:sz="4" w:space="0" w:color="auto"/>
              <w:right w:val="dotted" w:sz="4" w:space="0" w:color="auto"/>
            </w:tcBorders>
            <w:noWrap/>
            <w:vAlign w:val="center"/>
          </w:tcPr>
          <w:p w:rsidR="00864E50" w:rsidRPr="00D35EFD" w:rsidRDefault="00864E50" w:rsidP="008216A0">
            <w:pPr>
              <w:jc w:val="center"/>
              <w:rPr>
                <w:rFonts w:ascii="Arial" w:hAnsi="Arial" w:cs="Arial"/>
                <w:i/>
                <w:iCs/>
                <w:sz w:val="16"/>
                <w:szCs w:val="16"/>
              </w:rPr>
            </w:pPr>
            <w:r w:rsidRPr="00D35EFD">
              <w:rPr>
                <w:rFonts w:ascii="Arial" w:hAnsi="Arial" w:cs="Arial"/>
                <w:i/>
                <w:iCs/>
                <w:sz w:val="16"/>
                <w:szCs w:val="16"/>
              </w:rPr>
              <w:t>N/A</w:t>
            </w:r>
          </w:p>
        </w:tc>
        <w:tc>
          <w:tcPr>
            <w:tcW w:w="0" w:type="auto"/>
            <w:tcBorders>
              <w:top w:val="nil"/>
              <w:left w:val="nil"/>
              <w:bottom w:val="dotted" w:sz="4" w:space="0" w:color="auto"/>
              <w:right w:val="dotted" w:sz="4" w:space="0" w:color="auto"/>
            </w:tcBorders>
            <w:noWrap/>
            <w:vAlign w:val="center"/>
          </w:tcPr>
          <w:p w:rsidR="00864E50" w:rsidRPr="00D35EFD" w:rsidRDefault="00864E50" w:rsidP="008216A0">
            <w:pPr>
              <w:jc w:val="center"/>
              <w:rPr>
                <w:rFonts w:ascii="Arial" w:hAnsi="Arial" w:cs="Arial"/>
                <w:i/>
                <w:iCs/>
                <w:sz w:val="16"/>
                <w:szCs w:val="16"/>
              </w:rPr>
            </w:pPr>
            <w:r w:rsidRPr="00D35EFD">
              <w:rPr>
                <w:rFonts w:ascii="Arial" w:hAnsi="Arial" w:cs="Arial"/>
                <w:i/>
                <w:iCs/>
                <w:sz w:val="16"/>
                <w:szCs w:val="16"/>
              </w:rPr>
              <w:t>N/A</w:t>
            </w:r>
          </w:p>
        </w:tc>
        <w:tc>
          <w:tcPr>
            <w:tcW w:w="0" w:type="auto"/>
            <w:tcBorders>
              <w:top w:val="nil"/>
              <w:left w:val="nil"/>
              <w:bottom w:val="dotted" w:sz="4" w:space="0" w:color="auto"/>
              <w:right w:val="dotted" w:sz="4" w:space="0" w:color="auto"/>
            </w:tcBorders>
            <w:noWrap/>
            <w:vAlign w:val="center"/>
          </w:tcPr>
          <w:p w:rsidR="00864E50" w:rsidRPr="00D35EFD" w:rsidRDefault="00864E50" w:rsidP="008216A0">
            <w:pPr>
              <w:jc w:val="center"/>
              <w:rPr>
                <w:rFonts w:ascii="Arial" w:hAnsi="Arial" w:cs="Arial"/>
                <w:i/>
                <w:iCs/>
                <w:sz w:val="16"/>
                <w:szCs w:val="16"/>
              </w:rPr>
            </w:pPr>
            <w:r w:rsidRPr="00D35EFD">
              <w:rPr>
                <w:rFonts w:ascii="Arial" w:hAnsi="Arial" w:cs="Arial"/>
                <w:i/>
                <w:iCs/>
                <w:sz w:val="16"/>
                <w:szCs w:val="16"/>
              </w:rPr>
              <w:t>N/A</w:t>
            </w:r>
          </w:p>
        </w:tc>
        <w:tc>
          <w:tcPr>
            <w:tcW w:w="0" w:type="auto"/>
            <w:tcBorders>
              <w:top w:val="nil"/>
              <w:left w:val="nil"/>
              <w:bottom w:val="dotted" w:sz="4" w:space="0" w:color="auto"/>
              <w:right w:val="dotted" w:sz="4" w:space="0" w:color="auto"/>
            </w:tcBorders>
            <w:noWrap/>
            <w:vAlign w:val="center"/>
          </w:tcPr>
          <w:p w:rsidR="00864E50" w:rsidRPr="00D35EFD" w:rsidRDefault="00864E50" w:rsidP="008216A0">
            <w:pPr>
              <w:jc w:val="center"/>
              <w:rPr>
                <w:rFonts w:ascii="Arial" w:hAnsi="Arial" w:cs="Arial"/>
                <w:i/>
                <w:iCs/>
                <w:sz w:val="16"/>
                <w:szCs w:val="16"/>
              </w:rPr>
            </w:pPr>
            <w:r w:rsidRPr="00D35EFD">
              <w:rPr>
                <w:rFonts w:ascii="Arial" w:hAnsi="Arial" w:cs="Arial"/>
                <w:i/>
                <w:iCs/>
                <w:sz w:val="16"/>
                <w:szCs w:val="16"/>
              </w:rPr>
              <w:t>N/A</w:t>
            </w:r>
          </w:p>
        </w:tc>
        <w:tc>
          <w:tcPr>
            <w:tcW w:w="0" w:type="auto"/>
            <w:tcBorders>
              <w:top w:val="nil"/>
              <w:left w:val="nil"/>
              <w:bottom w:val="dotted" w:sz="4" w:space="0" w:color="auto"/>
              <w:right w:val="dotted" w:sz="4" w:space="0" w:color="auto"/>
            </w:tcBorders>
            <w:noWrap/>
            <w:vAlign w:val="center"/>
          </w:tcPr>
          <w:p w:rsidR="00864E50" w:rsidRPr="00D35EFD" w:rsidRDefault="00864E50" w:rsidP="008216A0">
            <w:pPr>
              <w:jc w:val="center"/>
              <w:rPr>
                <w:rFonts w:ascii="Arial" w:hAnsi="Arial" w:cs="Arial"/>
                <w:i/>
                <w:iCs/>
                <w:sz w:val="16"/>
                <w:szCs w:val="16"/>
              </w:rPr>
            </w:pPr>
            <w:r w:rsidRPr="00D35EFD">
              <w:rPr>
                <w:rFonts w:ascii="Arial" w:hAnsi="Arial" w:cs="Arial"/>
                <w:i/>
                <w:iCs/>
                <w:sz w:val="16"/>
                <w:szCs w:val="16"/>
              </w:rPr>
              <w:t>N/A</w:t>
            </w:r>
          </w:p>
        </w:tc>
        <w:tc>
          <w:tcPr>
            <w:tcW w:w="0" w:type="auto"/>
            <w:tcBorders>
              <w:top w:val="nil"/>
              <w:left w:val="nil"/>
              <w:bottom w:val="dotted" w:sz="4" w:space="0" w:color="auto"/>
              <w:right w:val="dotted" w:sz="4" w:space="0" w:color="auto"/>
            </w:tcBorders>
            <w:noWrap/>
            <w:vAlign w:val="center"/>
          </w:tcPr>
          <w:p w:rsidR="00864E50" w:rsidRPr="00D35EFD" w:rsidRDefault="00864E50" w:rsidP="008216A0">
            <w:pPr>
              <w:jc w:val="center"/>
              <w:rPr>
                <w:rFonts w:ascii="Arial" w:hAnsi="Arial" w:cs="Arial"/>
                <w:i/>
                <w:iCs/>
                <w:sz w:val="16"/>
                <w:szCs w:val="16"/>
              </w:rPr>
            </w:pPr>
            <w:r w:rsidRPr="00D35EFD">
              <w:rPr>
                <w:rFonts w:ascii="Arial" w:hAnsi="Arial" w:cs="Arial"/>
                <w:i/>
                <w:iCs/>
                <w:sz w:val="16"/>
                <w:szCs w:val="16"/>
              </w:rPr>
              <w:t>N/A</w:t>
            </w:r>
          </w:p>
        </w:tc>
        <w:tc>
          <w:tcPr>
            <w:tcW w:w="0" w:type="auto"/>
            <w:tcBorders>
              <w:top w:val="nil"/>
              <w:left w:val="nil"/>
              <w:bottom w:val="dotted" w:sz="4" w:space="0" w:color="auto"/>
              <w:right w:val="dotted" w:sz="4" w:space="0" w:color="auto"/>
            </w:tcBorders>
            <w:noWrap/>
            <w:vAlign w:val="center"/>
          </w:tcPr>
          <w:p w:rsidR="00864E50" w:rsidRPr="00D35EFD" w:rsidRDefault="00864E50" w:rsidP="008216A0">
            <w:pPr>
              <w:jc w:val="center"/>
              <w:rPr>
                <w:rFonts w:ascii="Arial" w:hAnsi="Arial" w:cs="Arial"/>
                <w:i/>
                <w:iCs/>
                <w:sz w:val="16"/>
                <w:szCs w:val="16"/>
              </w:rPr>
            </w:pPr>
            <w:r w:rsidRPr="00D35EFD">
              <w:rPr>
                <w:rFonts w:ascii="Arial" w:hAnsi="Arial" w:cs="Arial"/>
                <w:i/>
                <w:iCs/>
                <w:sz w:val="16"/>
                <w:szCs w:val="16"/>
              </w:rPr>
              <w:t>N/A</w:t>
            </w:r>
          </w:p>
        </w:tc>
        <w:tc>
          <w:tcPr>
            <w:tcW w:w="0" w:type="auto"/>
            <w:tcBorders>
              <w:top w:val="nil"/>
              <w:left w:val="nil"/>
              <w:bottom w:val="dotted" w:sz="4" w:space="0" w:color="auto"/>
              <w:right w:val="dotted" w:sz="4" w:space="0" w:color="auto"/>
            </w:tcBorders>
            <w:noWrap/>
            <w:vAlign w:val="center"/>
          </w:tcPr>
          <w:p w:rsidR="00864E50" w:rsidRPr="00D35EFD" w:rsidRDefault="00864E50" w:rsidP="008216A0">
            <w:pPr>
              <w:jc w:val="center"/>
              <w:rPr>
                <w:rFonts w:ascii="Arial" w:hAnsi="Arial" w:cs="Arial"/>
                <w:i/>
                <w:iCs/>
                <w:sz w:val="16"/>
                <w:szCs w:val="16"/>
              </w:rPr>
            </w:pPr>
            <w:r w:rsidRPr="00D35EFD">
              <w:rPr>
                <w:rFonts w:ascii="Arial" w:hAnsi="Arial" w:cs="Arial"/>
                <w:i/>
                <w:iCs/>
                <w:sz w:val="16"/>
                <w:szCs w:val="16"/>
              </w:rPr>
              <w:t>N/A</w:t>
            </w:r>
          </w:p>
        </w:tc>
        <w:tc>
          <w:tcPr>
            <w:tcW w:w="0" w:type="auto"/>
            <w:tcBorders>
              <w:top w:val="nil"/>
              <w:left w:val="nil"/>
              <w:bottom w:val="dotted" w:sz="4" w:space="0" w:color="auto"/>
              <w:right w:val="dotted" w:sz="4" w:space="0" w:color="auto"/>
            </w:tcBorders>
            <w:noWrap/>
            <w:vAlign w:val="center"/>
          </w:tcPr>
          <w:p w:rsidR="00864E50" w:rsidRPr="00D35EFD" w:rsidRDefault="00864E50" w:rsidP="008216A0">
            <w:pPr>
              <w:jc w:val="center"/>
              <w:rPr>
                <w:rFonts w:ascii="Arial" w:hAnsi="Arial" w:cs="Arial"/>
                <w:b/>
                <w:bCs/>
                <w:sz w:val="16"/>
                <w:szCs w:val="16"/>
              </w:rPr>
            </w:pPr>
            <w:r w:rsidRPr="00D35EFD">
              <w:rPr>
                <w:rFonts w:ascii="Arial" w:hAnsi="Arial" w:cs="Arial"/>
                <w:b/>
                <w:bCs/>
                <w:sz w:val="16"/>
                <w:szCs w:val="16"/>
              </w:rPr>
              <w:t>50</w:t>
            </w:r>
          </w:p>
        </w:tc>
        <w:tc>
          <w:tcPr>
            <w:tcW w:w="0" w:type="auto"/>
            <w:tcBorders>
              <w:top w:val="nil"/>
              <w:left w:val="nil"/>
              <w:bottom w:val="dotted" w:sz="4" w:space="0" w:color="auto"/>
              <w:right w:val="dotted" w:sz="4" w:space="0" w:color="auto"/>
            </w:tcBorders>
            <w:noWrap/>
            <w:vAlign w:val="center"/>
          </w:tcPr>
          <w:p w:rsidR="00864E50" w:rsidRPr="00D35EFD" w:rsidRDefault="00864E50" w:rsidP="008216A0">
            <w:pPr>
              <w:jc w:val="center"/>
              <w:rPr>
                <w:rFonts w:ascii="Arial" w:hAnsi="Arial" w:cs="Arial"/>
                <w:b/>
                <w:bCs/>
                <w:sz w:val="16"/>
                <w:szCs w:val="16"/>
              </w:rPr>
            </w:pPr>
            <w:r w:rsidRPr="00D35EFD">
              <w:rPr>
                <w:rFonts w:ascii="Arial" w:hAnsi="Arial" w:cs="Arial"/>
                <w:b/>
                <w:bCs/>
                <w:sz w:val="16"/>
                <w:szCs w:val="16"/>
              </w:rPr>
              <w:t>50</w:t>
            </w:r>
          </w:p>
        </w:tc>
        <w:tc>
          <w:tcPr>
            <w:tcW w:w="0" w:type="auto"/>
            <w:tcBorders>
              <w:top w:val="nil"/>
              <w:left w:val="nil"/>
              <w:bottom w:val="dotted" w:sz="4" w:space="0" w:color="auto"/>
              <w:right w:val="single" w:sz="4" w:space="0" w:color="auto"/>
            </w:tcBorders>
            <w:noWrap/>
            <w:vAlign w:val="center"/>
          </w:tcPr>
          <w:p w:rsidR="00864E50" w:rsidRPr="00D35EFD" w:rsidRDefault="00864E50" w:rsidP="008216A0">
            <w:pPr>
              <w:jc w:val="center"/>
              <w:rPr>
                <w:rFonts w:ascii="Arial" w:hAnsi="Arial" w:cs="Arial"/>
                <w:i/>
                <w:iCs/>
                <w:sz w:val="16"/>
                <w:szCs w:val="16"/>
              </w:rPr>
            </w:pPr>
          </w:p>
        </w:tc>
      </w:tr>
      <w:tr w:rsidR="00335274" w:rsidRPr="00D35EFD" w:rsidTr="00864E50">
        <w:trPr>
          <w:trHeight w:val="20"/>
        </w:trPr>
        <w:tc>
          <w:tcPr>
            <w:tcW w:w="0" w:type="auto"/>
            <w:vMerge/>
            <w:tcBorders>
              <w:top w:val="single" w:sz="4" w:space="0" w:color="000000"/>
              <w:left w:val="single" w:sz="4" w:space="0" w:color="auto"/>
              <w:bottom w:val="single" w:sz="4" w:space="0" w:color="000000"/>
              <w:right w:val="single" w:sz="4" w:space="0" w:color="auto"/>
            </w:tcBorders>
            <w:shd w:val="clear" w:color="auto" w:fill="EAF1DD"/>
            <w:vAlign w:val="center"/>
          </w:tcPr>
          <w:p w:rsidR="00864E50" w:rsidRPr="00D35EFD" w:rsidRDefault="00864E50" w:rsidP="008216A0">
            <w:pPr>
              <w:rPr>
                <w:rFonts w:ascii="Arial" w:hAnsi="Arial" w:cs="Arial"/>
                <w:sz w:val="16"/>
                <w:szCs w:val="16"/>
              </w:rPr>
            </w:pPr>
          </w:p>
        </w:tc>
        <w:tc>
          <w:tcPr>
            <w:tcW w:w="0" w:type="auto"/>
            <w:tcBorders>
              <w:top w:val="nil"/>
              <w:left w:val="nil"/>
              <w:bottom w:val="single" w:sz="4" w:space="0" w:color="auto"/>
              <w:right w:val="single" w:sz="4" w:space="0" w:color="auto"/>
            </w:tcBorders>
            <w:shd w:val="clear" w:color="000000" w:fill="auto"/>
            <w:noWrap/>
            <w:vAlign w:val="center"/>
          </w:tcPr>
          <w:p w:rsidR="00864E50" w:rsidRPr="00D35EFD" w:rsidRDefault="00864E50" w:rsidP="008216A0">
            <w:pPr>
              <w:rPr>
                <w:rFonts w:ascii="Arial" w:hAnsi="Arial" w:cs="Arial"/>
                <w:sz w:val="16"/>
                <w:szCs w:val="16"/>
              </w:rPr>
            </w:pPr>
            <w:r w:rsidRPr="00D35EFD">
              <w:rPr>
                <w:rFonts w:ascii="Arial" w:hAnsi="Arial" w:cs="Arial"/>
                <w:sz w:val="16"/>
                <w:szCs w:val="16"/>
              </w:rPr>
              <w:t>Východisko</w:t>
            </w:r>
          </w:p>
        </w:tc>
        <w:tc>
          <w:tcPr>
            <w:tcW w:w="0" w:type="auto"/>
            <w:tcBorders>
              <w:top w:val="nil"/>
              <w:left w:val="nil"/>
              <w:bottom w:val="single" w:sz="4" w:space="0" w:color="auto"/>
              <w:right w:val="dotted" w:sz="4" w:space="0" w:color="auto"/>
            </w:tcBorders>
            <w:noWrap/>
            <w:vAlign w:val="center"/>
          </w:tcPr>
          <w:p w:rsidR="00864E50" w:rsidRPr="00D35EFD" w:rsidRDefault="00864E50" w:rsidP="008216A0">
            <w:pPr>
              <w:jc w:val="center"/>
              <w:rPr>
                <w:rFonts w:ascii="Arial" w:hAnsi="Arial" w:cs="Arial"/>
                <w:b/>
                <w:bCs/>
                <w:sz w:val="16"/>
                <w:szCs w:val="16"/>
              </w:rPr>
            </w:pPr>
            <w:r w:rsidRPr="00D35EFD">
              <w:rPr>
                <w:rFonts w:ascii="Arial" w:hAnsi="Arial" w:cs="Arial"/>
                <w:b/>
                <w:bCs/>
                <w:sz w:val="16"/>
                <w:szCs w:val="16"/>
              </w:rPr>
              <w:t>0</w:t>
            </w:r>
          </w:p>
        </w:tc>
        <w:tc>
          <w:tcPr>
            <w:tcW w:w="0" w:type="auto"/>
            <w:tcBorders>
              <w:top w:val="nil"/>
              <w:left w:val="nil"/>
              <w:bottom w:val="single" w:sz="4" w:space="0" w:color="auto"/>
              <w:right w:val="dotted" w:sz="4" w:space="0" w:color="auto"/>
            </w:tcBorders>
            <w:noWrap/>
            <w:vAlign w:val="center"/>
          </w:tcPr>
          <w:p w:rsidR="00864E50" w:rsidRPr="00D35EFD" w:rsidRDefault="00864E50" w:rsidP="008216A0">
            <w:pPr>
              <w:jc w:val="center"/>
              <w:rPr>
                <w:rFonts w:ascii="Arial" w:hAnsi="Arial" w:cs="Arial"/>
                <w:i/>
                <w:iCs/>
                <w:sz w:val="16"/>
                <w:szCs w:val="16"/>
              </w:rPr>
            </w:pPr>
            <w:r w:rsidRPr="00D35EFD">
              <w:rPr>
                <w:rFonts w:ascii="Arial" w:hAnsi="Arial" w:cs="Arial"/>
                <w:i/>
                <w:iCs/>
                <w:sz w:val="16"/>
                <w:szCs w:val="16"/>
              </w:rPr>
              <w:t>N/A</w:t>
            </w:r>
          </w:p>
        </w:tc>
        <w:tc>
          <w:tcPr>
            <w:tcW w:w="0" w:type="auto"/>
            <w:tcBorders>
              <w:top w:val="nil"/>
              <w:left w:val="nil"/>
              <w:bottom w:val="single" w:sz="4" w:space="0" w:color="auto"/>
              <w:right w:val="dotted" w:sz="4" w:space="0" w:color="auto"/>
            </w:tcBorders>
            <w:noWrap/>
            <w:vAlign w:val="center"/>
          </w:tcPr>
          <w:p w:rsidR="00864E50" w:rsidRPr="00D35EFD" w:rsidRDefault="00864E50" w:rsidP="008216A0">
            <w:pPr>
              <w:jc w:val="center"/>
              <w:rPr>
                <w:rFonts w:ascii="Arial" w:hAnsi="Arial" w:cs="Arial"/>
                <w:i/>
                <w:iCs/>
                <w:sz w:val="16"/>
                <w:szCs w:val="16"/>
              </w:rPr>
            </w:pPr>
            <w:r w:rsidRPr="00D35EFD">
              <w:rPr>
                <w:rFonts w:ascii="Arial" w:hAnsi="Arial" w:cs="Arial"/>
                <w:i/>
                <w:iCs/>
                <w:sz w:val="16"/>
                <w:szCs w:val="16"/>
              </w:rPr>
              <w:t>N/A</w:t>
            </w:r>
          </w:p>
        </w:tc>
        <w:tc>
          <w:tcPr>
            <w:tcW w:w="0" w:type="auto"/>
            <w:tcBorders>
              <w:top w:val="nil"/>
              <w:left w:val="nil"/>
              <w:bottom w:val="single" w:sz="4" w:space="0" w:color="auto"/>
              <w:right w:val="dotted" w:sz="4" w:space="0" w:color="auto"/>
            </w:tcBorders>
            <w:noWrap/>
            <w:vAlign w:val="center"/>
          </w:tcPr>
          <w:p w:rsidR="00864E50" w:rsidRPr="00D35EFD" w:rsidRDefault="00864E50" w:rsidP="008216A0">
            <w:pPr>
              <w:jc w:val="center"/>
              <w:rPr>
                <w:rFonts w:ascii="Arial" w:hAnsi="Arial" w:cs="Arial"/>
                <w:i/>
                <w:iCs/>
                <w:sz w:val="16"/>
                <w:szCs w:val="16"/>
              </w:rPr>
            </w:pPr>
            <w:r w:rsidRPr="00D35EFD">
              <w:rPr>
                <w:rFonts w:ascii="Arial" w:hAnsi="Arial" w:cs="Arial"/>
                <w:i/>
                <w:iCs/>
                <w:sz w:val="16"/>
                <w:szCs w:val="16"/>
              </w:rPr>
              <w:t>N/A</w:t>
            </w:r>
          </w:p>
        </w:tc>
        <w:tc>
          <w:tcPr>
            <w:tcW w:w="0" w:type="auto"/>
            <w:tcBorders>
              <w:top w:val="nil"/>
              <w:left w:val="nil"/>
              <w:bottom w:val="single" w:sz="4" w:space="0" w:color="auto"/>
              <w:right w:val="dotted" w:sz="4" w:space="0" w:color="auto"/>
            </w:tcBorders>
            <w:noWrap/>
            <w:vAlign w:val="center"/>
          </w:tcPr>
          <w:p w:rsidR="00864E50" w:rsidRPr="00D35EFD" w:rsidRDefault="00864E50" w:rsidP="008216A0">
            <w:pPr>
              <w:jc w:val="center"/>
              <w:rPr>
                <w:rFonts w:ascii="Arial" w:hAnsi="Arial" w:cs="Arial"/>
                <w:i/>
                <w:iCs/>
                <w:sz w:val="16"/>
                <w:szCs w:val="16"/>
              </w:rPr>
            </w:pPr>
            <w:r w:rsidRPr="00D35EFD">
              <w:rPr>
                <w:rFonts w:ascii="Arial" w:hAnsi="Arial" w:cs="Arial"/>
                <w:i/>
                <w:iCs/>
                <w:sz w:val="16"/>
                <w:szCs w:val="16"/>
              </w:rPr>
              <w:t>N/A</w:t>
            </w:r>
          </w:p>
        </w:tc>
        <w:tc>
          <w:tcPr>
            <w:tcW w:w="0" w:type="auto"/>
            <w:tcBorders>
              <w:top w:val="nil"/>
              <w:left w:val="nil"/>
              <w:bottom w:val="single" w:sz="4" w:space="0" w:color="auto"/>
              <w:right w:val="dotted" w:sz="4" w:space="0" w:color="auto"/>
            </w:tcBorders>
            <w:noWrap/>
            <w:vAlign w:val="center"/>
          </w:tcPr>
          <w:p w:rsidR="00864E50" w:rsidRPr="00D35EFD" w:rsidRDefault="00864E50" w:rsidP="008216A0">
            <w:pPr>
              <w:jc w:val="center"/>
              <w:rPr>
                <w:rFonts w:ascii="Arial" w:hAnsi="Arial" w:cs="Arial"/>
                <w:i/>
                <w:iCs/>
                <w:sz w:val="16"/>
                <w:szCs w:val="16"/>
              </w:rPr>
            </w:pPr>
            <w:r w:rsidRPr="00D35EFD">
              <w:rPr>
                <w:rFonts w:ascii="Arial" w:hAnsi="Arial" w:cs="Arial"/>
                <w:i/>
                <w:iCs/>
                <w:sz w:val="16"/>
                <w:szCs w:val="16"/>
              </w:rPr>
              <w:t>N/A</w:t>
            </w:r>
          </w:p>
        </w:tc>
        <w:tc>
          <w:tcPr>
            <w:tcW w:w="0" w:type="auto"/>
            <w:tcBorders>
              <w:top w:val="nil"/>
              <w:left w:val="nil"/>
              <w:bottom w:val="single" w:sz="4" w:space="0" w:color="auto"/>
              <w:right w:val="dotted" w:sz="4" w:space="0" w:color="auto"/>
            </w:tcBorders>
            <w:noWrap/>
            <w:vAlign w:val="center"/>
          </w:tcPr>
          <w:p w:rsidR="00864E50" w:rsidRPr="00D35EFD" w:rsidRDefault="00864E50" w:rsidP="008216A0">
            <w:pPr>
              <w:jc w:val="center"/>
              <w:rPr>
                <w:rFonts w:ascii="Arial" w:hAnsi="Arial" w:cs="Arial"/>
                <w:i/>
                <w:iCs/>
                <w:sz w:val="16"/>
                <w:szCs w:val="16"/>
              </w:rPr>
            </w:pPr>
            <w:r w:rsidRPr="00D35EFD">
              <w:rPr>
                <w:rFonts w:ascii="Arial" w:hAnsi="Arial" w:cs="Arial"/>
                <w:i/>
                <w:iCs/>
                <w:sz w:val="16"/>
                <w:szCs w:val="16"/>
              </w:rPr>
              <w:t>N/A</w:t>
            </w:r>
          </w:p>
        </w:tc>
        <w:tc>
          <w:tcPr>
            <w:tcW w:w="0" w:type="auto"/>
            <w:tcBorders>
              <w:top w:val="nil"/>
              <w:left w:val="nil"/>
              <w:bottom w:val="single" w:sz="4" w:space="0" w:color="auto"/>
              <w:right w:val="dotted" w:sz="4" w:space="0" w:color="auto"/>
            </w:tcBorders>
            <w:noWrap/>
            <w:vAlign w:val="center"/>
          </w:tcPr>
          <w:p w:rsidR="00864E50" w:rsidRPr="00D35EFD" w:rsidRDefault="00864E50" w:rsidP="008216A0">
            <w:pPr>
              <w:jc w:val="center"/>
              <w:rPr>
                <w:rFonts w:ascii="Arial" w:hAnsi="Arial" w:cs="Arial"/>
                <w:i/>
                <w:iCs/>
                <w:sz w:val="16"/>
                <w:szCs w:val="16"/>
              </w:rPr>
            </w:pPr>
            <w:r w:rsidRPr="00D35EFD">
              <w:rPr>
                <w:rFonts w:ascii="Arial" w:hAnsi="Arial" w:cs="Arial"/>
                <w:i/>
                <w:iCs/>
                <w:sz w:val="16"/>
                <w:szCs w:val="16"/>
              </w:rPr>
              <w:t>N/A</w:t>
            </w:r>
          </w:p>
        </w:tc>
        <w:tc>
          <w:tcPr>
            <w:tcW w:w="0" w:type="auto"/>
            <w:tcBorders>
              <w:top w:val="nil"/>
              <w:left w:val="nil"/>
              <w:bottom w:val="single" w:sz="4" w:space="0" w:color="auto"/>
              <w:right w:val="dotted" w:sz="4" w:space="0" w:color="auto"/>
            </w:tcBorders>
            <w:noWrap/>
            <w:vAlign w:val="center"/>
          </w:tcPr>
          <w:p w:rsidR="00864E50" w:rsidRPr="00D35EFD" w:rsidRDefault="00864E50" w:rsidP="008216A0">
            <w:pPr>
              <w:jc w:val="center"/>
              <w:rPr>
                <w:rFonts w:ascii="Arial" w:hAnsi="Arial" w:cs="Arial"/>
                <w:i/>
                <w:iCs/>
                <w:sz w:val="16"/>
                <w:szCs w:val="16"/>
              </w:rPr>
            </w:pPr>
            <w:r w:rsidRPr="00D35EFD">
              <w:rPr>
                <w:rFonts w:ascii="Arial" w:hAnsi="Arial" w:cs="Arial"/>
                <w:i/>
                <w:iCs/>
                <w:sz w:val="16"/>
                <w:szCs w:val="16"/>
              </w:rPr>
              <w:t>N/A</w:t>
            </w:r>
          </w:p>
        </w:tc>
        <w:tc>
          <w:tcPr>
            <w:tcW w:w="0" w:type="auto"/>
            <w:tcBorders>
              <w:top w:val="nil"/>
              <w:left w:val="nil"/>
              <w:bottom w:val="single" w:sz="4" w:space="0" w:color="auto"/>
              <w:right w:val="dotted" w:sz="4" w:space="0" w:color="auto"/>
            </w:tcBorders>
            <w:noWrap/>
            <w:vAlign w:val="center"/>
          </w:tcPr>
          <w:p w:rsidR="00864E50" w:rsidRPr="00D35EFD" w:rsidRDefault="00864E50" w:rsidP="008216A0">
            <w:pPr>
              <w:jc w:val="center"/>
              <w:rPr>
                <w:rFonts w:ascii="Arial" w:hAnsi="Arial" w:cs="Arial"/>
                <w:b/>
                <w:bCs/>
                <w:sz w:val="16"/>
                <w:szCs w:val="16"/>
              </w:rPr>
            </w:pPr>
            <w:r w:rsidRPr="00D35EFD">
              <w:rPr>
                <w:rFonts w:ascii="Arial" w:hAnsi="Arial" w:cs="Arial"/>
                <w:b/>
                <w:bCs/>
                <w:sz w:val="16"/>
                <w:szCs w:val="16"/>
              </w:rPr>
              <w:t>0</w:t>
            </w:r>
          </w:p>
        </w:tc>
        <w:tc>
          <w:tcPr>
            <w:tcW w:w="0" w:type="auto"/>
            <w:tcBorders>
              <w:top w:val="nil"/>
              <w:left w:val="nil"/>
              <w:bottom w:val="single" w:sz="4" w:space="0" w:color="auto"/>
              <w:right w:val="single" w:sz="4" w:space="0" w:color="auto"/>
            </w:tcBorders>
            <w:noWrap/>
            <w:vAlign w:val="center"/>
          </w:tcPr>
          <w:p w:rsidR="00864E50" w:rsidRPr="00D35EFD" w:rsidRDefault="00864E50" w:rsidP="008216A0">
            <w:pPr>
              <w:jc w:val="center"/>
              <w:rPr>
                <w:rFonts w:ascii="Arial" w:hAnsi="Arial" w:cs="Arial"/>
                <w:sz w:val="16"/>
                <w:szCs w:val="16"/>
              </w:rPr>
            </w:pPr>
          </w:p>
        </w:tc>
      </w:tr>
      <w:tr w:rsidR="00335274" w:rsidRPr="00D35EFD" w:rsidTr="00864E50">
        <w:trPr>
          <w:trHeight w:val="20"/>
        </w:trPr>
        <w:tc>
          <w:tcPr>
            <w:tcW w:w="0" w:type="auto"/>
            <w:vMerge w:val="restart"/>
            <w:tcBorders>
              <w:top w:val="single" w:sz="4" w:space="0" w:color="000000"/>
              <w:left w:val="single" w:sz="4" w:space="0" w:color="auto"/>
              <w:bottom w:val="single" w:sz="4" w:space="0" w:color="000000"/>
              <w:right w:val="single" w:sz="4" w:space="0" w:color="auto"/>
            </w:tcBorders>
            <w:shd w:val="clear" w:color="auto" w:fill="EAF1DD"/>
            <w:vAlign w:val="center"/>
          </w:tcPr>
          <w:p w:rsidR="00864E50" w:rsidRPr="00D35EFD" w:rsidRDefault="00864E50" w:rsidP="008216A0">
            <w:pPr>
              <w:rPr>
                <w:rFonts w:ascii="Arial" w:hAnsi="Arial" w:cs="Arial"/>
                <w:sz w:val="16"/>
                <w:szCs w:val="16"/>
              </w:rPr>
            </w:pPr>
            <w:r w:rsidRPr="00D35EFD">
              <w:rPr>
                <w:rFonts w:ascii="Arial" w:hAnsi="Arial" w:cs="Arial"/>
                <w:sz w:val="16"/>
                <w:szCs w:val="16"/>
              </w:rPr>
              <w:t>Počet opatrení zabezpečujúcich bezpečný alebo bezbariérový prístup k výsledkom projektu [počet]</w:t>
            </w:r>
          </w:p>
        </w:tc>
        <w:tc>
          <w:tcPr>
            <w:tcW w:w="0" w:type="auto"/>
            <w:tcBorders>
              <w:top w:val="nil"/>
              <w:left w:val="nil"/>
              <w:bottom w:val="dotted" w:sz="4" w:space="0" w:color="auto"/>
              <w:right w:val="single" w:sz="4" w:space="0" w:color="auto"/>
            </w:tcBorders>
            <w:shd w:val="clear" w:color="000000" w:fill="auto"/>
            <w:noWrap/>
            <w:vAlign w:val="center"/>
          </w:tcPr>
          <w:p w:rsidR="00864E50" w:rsidRPr="00D35EFD" w:rsidRDefault="00864E50" w:rsidP="008216A0">
            <w:pPr>
              <w:rPr>
                <w:rFonts w:ascii="Arial" w:hAnsi="Arial" w:cs="Arial"/>
                <w:sz w:val="16"/>
                <w:szCs w:val="16"/>
              </w:rPr>
            </w:pPr>
            <w:r w:rsidRPr="00D35EFD">
              <w:rPr>
                <w:rFonts w:ascii="Arial" w:hAnsi="Arial" w:cs="Arial"/>
                <w:sz w:val="16"/>
                <w:szCs w:val="16"/>
              </w:rPr>
              <w:t>Dosiahnutý výsledok</w:t>
            </w:r>
          </w:p>
        </w:tc>
        <w:tc>
          <w:tcPr>
            <w:tcW w:w="0" w:type="auto"/>
            <w:tcBorders>
              <w:top w:val="nil"/>
              <w:left w:val="nil"/>
              <w:bottom w:val="dotted" w:sz="4" w:space="0" w:color="auto"/>
              <w:right w:val="dotted" w:sz="4" w:space="0" w:color="auto"/>
            </w:tcBorders>
            <w:noWrap/>
            <w:vAlign w:val="center"/>
          </w:tcPr>
          <w:p w:rsidR="00864E50" w:rsidRPr="00D35EFD" w:rsidRDefault="00864E50" w:rsidP="008216A0">
            <w:pPr>
              <w:jc w:val="center"/>
              <w:rPr>
                <w:rFonts w:ascii="Arial" w:hAnsi="Arial" w:cs="Arial"/>
                <w:b/>
                <w:bCs/>
                <w:sz w:val="16"/>
                <w:szCs w:val="16"/>
              </w:rPr>
            </w:pPr>
            <w:r w:rsidRPr="00D35EFD">
              <w:rPr>
                <w:rFonts w:ascii="Arial" w:hAnsi="Arial" w:cs="Arial"/>
                <w:b/>
                <w:bCs/>
                <w:sz w:val="16"/>
                <w:szCs w:val="16"/>
              </w:rPr>
              <w:t>0</w:t>
            </w:r>
          </w:p>
        </w:tc>
        <w:tc>
          <w:tcPr>
            <w:tcW w:w="0" w:type="auto"/>
            <w:tcBorders>
              <w:top w:val="nil"/>
              <w:left w:val="nil"/>
              <w:bottom w:val="dotted" w:sz="4" w:space="0" w:color="auto"/>
              <w:right w:val="dotted" w:sz="4" w:space="0" w:color="auto"/>
            </w:tcBorders>
            <w:noWrap/>
            <w:vAlign w:val="center"/>
          </w:tcPr>
          <w:p w:rsidR="00864E50" w:rsidRPr="00D35EFD" w:rsidRDefault="00864E50" w:rsidP="008216A0">
            <w:pPr>
              <w:jc w:val="center"/>
              <w:rPr>
                <w:rFonts w:ascii="Arial" w:hAnsi="Arial" w:cs="Arial"/>
                <w:b/>
                <w:bCs/>
                <w:sz w:val="16"/>
                <w:szCs w:val="16"/>
              </w:rPr>
            </w:pPr>
            <w:r w:rsidRPr="00D35EFD">
              <w:rPr>
                <w:rFonts w:ascii="Arial" w:hAnsi="Arial" w:cs="Arial"/>
                <w:b/>
                <w:bCs/>
                <w:sz w:val="16"/>
                <w:szCs w:val="16"/>
              </w:rPr>
              <w:t>0</w:t>
            </w:r>
          </w:p>
        </w:tc>
        <w:tc>
          <w:tcPr>
            <w:tcW w:w="0" w:type="auto"/>
            <w:tcBorders>
              <w:top w:val="nil"/>
              <w:left w:val="nil"/>
              <w:bottom w:val="dotted" w:sz="4" w:space="0" w:color="auto"/>
              <w:right w:val="dotted" w:sz="4" w:space="0" w:color="auto"/>
            </w:tcBorders>
            <w:noWrap/>
            <w:vAlign w:val="center"/>
          </w:tcPr>
          <w:p w:rsidR="00864E50" w:rsidRPr="00D35EFD" w:rsidRDefault="00864E50" w:rsidP="008216A0">
            <w:pPr>
              <w:jc w:val="center"/>
              <w:rPr>
                <w:rFonts w:ascii="Arial" w:hAnsi="Arial" w:cs="Arial"/>
                <w:b/>
                <w:bCs/>
                <w:sz w:val="16"/>
                <w:szCs w:val="16"/>
              </w:rPr>
            </w:pPr>
            <w:r w:rsidRPr="00D35EFD">
              <w:rPr>
                <w:rFonts w:ascii="Arial" w:hAnsi="Arial" w:cs="Arial"/>
                <w:b/>
                <w:bCs/>
                <w:sz w:val="16"/>
                <w:szCs w:val="16"/>
              </w:rPr>
              <w:t>1</w:t>
            </w:r>
          </w:p>
        </w:tc>
        <w:tc>
          <w:tcPr>
            <w:tcW w:w="0" w:type="auto"/>
            <w:tcBorders>
              <w:top w:val="nil"/>
              <w:left w:val="nil"/>
              <w:bottom w:val="dotted" w:sz="4" w:space="0" w:color="auto"/>
              <w:right w:val="dotted" w:sz="4" w:space="0" w:color="auto"/>
            </w:tcBorders>
            <w:noWrap/>
            <w:vAlign w:val="center"/>
          </w:tcPr>
          <w:p w:rsidR="00864E50" w:rsidRPr="00D35EFD" w:rsidRDefault="00864E50" w:rsidP="008216A0">
            <w:pPr>
              <w:jc w:val="center"/>
              <w:rPr>
                <w:rFonts w:ascii="Arial" w:hAnsi="Arial" w:cs="Arial"/>
                <w:b/>
                <w:bCs/>
                <w:sz w:val="16"/>
                <w:szCs w:val="16"/>
              </w:rPr>
            </w:pPr>
            <w:r w:rsidRPr="00D35EFD">
              <w:rPr>
                <w:rFonts w:ascii="Arial" w:hAnsi="Arial" w:cs="Arial"/>
                <w:b/>
                <w:bCs/>
                <w:sz w:val="16"/>
                <w:szCs w:val="16"/>
              </w:rPr>
              <w:t>19</w:t>
            </w:r>
          </w:p>
        </w:tc>
        <w:tc>
          <w:tcPr>
            <w:tcW w:w="0" w:type="auto"/>
            <w:tcBorders>
              <w:top w:val="nil"/>
              <w:left w:val="nil"/>
              <w:bottom w:val="dotted" w:sz="4" w:space="0" w:color="auto"/>
              <w:right w:val="dotted" w:sz="4" w:space="0" w:color="auto"/>
            </w:tcBorders>
            <w:noWrap/>
            <w:vAlign w:val="center"/>
          </w:tcPr>
          <w:p w:rsidR="00864E50" w:rsidRPr="00D35EFD" w:rsidRDefault="00864E50" w:rsidP="008216A0">
            <w:pPr>
              <w:jc w:val="center"/>
              <w:rPr>
                <w:rFonts w:ascii="Arial" w:hAnsi="Arial" w:cs="Arial"/>
                <w:b/>
                <w:bCs/>
                <w:sz w:val="16"/>
                <w:szCs w:val="16"/>
              </w:rPr>
            </w:pPr>
            <w:r w:rsidRPr="00D35EFD">
              <w:rPr>
                <w:rFonts w:ascii="Arial" w:hAnsi="Arial" w:cs="Arial"/>
                <w:b/>
                <w:bCs/>
                <w:sz w:val="16"/>
                <w:szCs w:val="16"/>
              </w:rPr>
              <w:t>20</w:t>
            </w:r>
          </w:p>
        </w:tc>
        <w:tc>
          <w:tcPr>
            <w:tcW w:w="0" w:type="auto"/>
            <w:tcBorders>
              <w:top w:val="nil"/>
              <w:left w:val="nil"/>
              <w:bottom w:val="dotted" w:sz="4" w:space="0" w:color="auto"/>
              <w:right w:val="dotted" w:sz="4" w:space="0" w:color="auto"/>
            </w:tcBorders>
            <w:noWrap/>
            <w:vAlign w:val="center"/>
          </w:tcPr>
          <w:p w:rsidR="00864E50" w:rsidRPr="00D35EFD" w:rsidRDefault="00864E50" w:rsidP="008216A0">
            <w:pPr>
              <w:jc w:val="center"/>
              <w:rPr>
                <w:rFonts w:ascii="Arial" w:hAnsi="Arial" w:cs="Arial"/>
                <w:i/>
                <w:iCs/>
                <w:sz w:val="16"/>
                <w:szCs w:val="16"/>
              </w:rPr>
            </w:pPr>
            <w:r>
              <w:rPr>
                <w:rFonts w:ascii="Arial" w:hAnsi="Arial" w:cs="Arial"/>
                <w:i/>
                <w:iCs/>
                <w:sz w:val="16"/>
                <w:szCs w:val="16"/>
              </w:rPr>
              <w:t>20</w:t>
            </w:r>
          </w:p>
        </w:tc>
        <w:tc>
          <w:tcPr>
            <w:tcW w:w="0" w:type="auto"/>
            <w:tcBorders>
              <w:top w:val="nil"/>
              <w:left w:val="nil"/>
              <w:bottom w:val="dotted" w:sz="4" w:space="0" w:color="auto"/>
              <w:right w:val="dotted" w:sz="4" w:space="0" w:color="auto"/>
            </w:tcBorders>
            <w:noWrap/>
            <w:vAlign w:val="center"/>
          </w:tcPr>
          <w:p w:rsidR="00864E50" w:rsidRPr="00D35EFD" w:rsidRDefault="00864E50" w:rsidP="008216A0">
            <w:pPr>
              <w:jc w:val="center"/>
              <w:rPr>
                <w:rFonts w:ascii="Arial" w:hAnsi="Arial" w:cs="Arial"/>
                <w:i/>
                <w:iCs/>
                <w:sz w:val="16"/>
                <w:szCs w:val="16"/>
              </w:rPr>
            </w:pPr>
            <w:r w:rsidRPr="00D35EFD">
              <w:rPr>
                <w:rFonts w:ascii="Arial" w:hAnsi="Arial" w:cs="Arial"/>
                <w:i/>
                <w:iCs/>
                <w:sz w:val="16"/>
                <w:szCs w:val="16"/>
              </w:rPr>
              <w:t>N/A</w:t>
            </w:r>
          </w:p>
        </w:tc>
        <w:tc>
          <w:tcPr>
            <w:tcW w:w="0" w:type="auto"/>
            <w:tcBorders>
              <w:top w:val="nil"/>
              <w:left w:val="nil"/>
              <w:bottom w:val="dotted" w:sz="4" w:space="0" w:color="auto"/>
              <w:right w:val="dotted" w:sz="4" w:space="0" w:color="auto"/>
            </w:tcBorders>
            <w:noWrap/>
            <w:vAlign w:val="center"/>
          </w:tcPr>
          <w:p w:rsidR="00864E50" w:rsidRPr="00D35EFD" w:rsidRDefault="00864E50" w:rsidP="008216A0">
            <w:pPr>
              <w:jc w:val="center"/>
              <w:rPr>
                <w:rFonts w:ascii="Arial" w:hAnsi="Arial" w:cs="Arial"/>
                <w:i/>
                <w:iCs/>
                <w:sz w:val="16"/>
                <w:szCs w:val="16"/>
              </w:rPr>
            </w:pPr>
            <w:r w:rsidRPr="00D35EFD">
              <w:rPr>
                <w:rFonts w:ascii="Arial" w:hAnsi="Arial" w:cs="Arial"/>
                <w:i/>
                <w:iCs/>
                <w:sz w:val="16"/>
                <w:szCs w:val="16"/>
              </w:rPr>
              <w:t>N/A</w:t>
            </w:r>
          </w:p>
        </w:tc>
        <w:tc>
          <w:tcPr>
            <w:tcW w:w="0" w:type="auto"/>
            <w:tcBorders>
              <w:top w:val="nil"/>
              <w:left w:val="nil"/>
              <w:bottom w:val="dotted" w:sz="4" w:space="0" w:color="auto"/>
              <w:right w:val="dotted" w:sz="4" w:space="0" w:color="auto"/>
            </w:tcBorders>
            <w:noWrap/>
            <w:vAlign w:val="center"/>
          </w:tcPr>
          <w:p w:rsidR="00864E50" w:rsidRPr="00D35EFD" w:rsidRDefault="00864E50" w:rsidP="008216A0">
            <w:pPr>
              <w:jc w:val="center"/>
              <w:rPr>
                <w:rFonts w:ascii="Arial" w:hAnsi="Arial" w:cs="Arial"/>
                <w:i/>
                <w:iCs/>
                <w:sz w:val="16"/>
                <w:szCs w:val="16"/>
              </w:rPr>
            </w:pPr>
            <w:r w:rsidRPr="00D35EFD">
              <w:rPr>
                <w:rFonts w:ascii="Arial" w:hAnsi="Arial" w:cs="Arial"/>
                <w:i/>
                <w:iCs/>
                <w:sz w:val="16"/>
                <w:szCs w:val="16"/>
              </w:rPr>
              <w:t>N/A</w:t>
            </w:r>
          </w:p>
        </w:tc>
        <w:tc>
          <w:tcPr>
            <w:tcW w:w="0" w:type="auto"/>
            <w:tcBorders>
              <w:top w:val="nil"/>
              <w:left w:val="nil"/>
              <w:bottom w:val="dotted" w:sz="4" w:space="0" w:color="auto"/>
              <w:right w:val="dotted" w:sz="4" w:space="0" w:color="auto"/>
            </w:tcBorders>
            <w:noWrap/>
            <w:vAlign w:val="center"/>
          </w:tcPr>
          <w:p w:rsidR="00864E50" w:rsidRPr="00D35EFD" w:rsidRDefault="00864E50" w:rsidP="008216A0">
            <w:pPr>
              <w:jc w:val="center"/>
              <w:rPr>
                <w:rFonts w:ascii="Arial" w:hAnsi="Arial" w:cs="Arial"/>
                <w:b/>
                <w:bCs/>
                <w:sz w:val="16"/>
                <w:szCs w:val="16"/>
              </w:rPr>
            </w:pPr>
            <w:r w:rsidRPr="00D35EFD">
              <w:rPr>
                <w:rFonts w:ascii="Arial" w:hAnsi="Arial" w:cs="Arial"/>
                <w:b/>
                <w:bCs/>
                <w:sz w:val="16"/>
                <w:szCs w:val="16"/>
              </w:rPr>
              <w:t>20</w:t>
            </w:r>
          </w:p>
        </w:tc>
        <w:tc>
          <w:tcPr>
            <w:tcW w:w="0" w:type="auto"/>
            <w:tcBorders>
              <w:top w:val="nil"/>
              <w:left w:val="nil"/>
              <w:bottom w:val="dotted" w:sz="4" w:space="0" w:color="auto"/>
              <w:right w:val="single" w:sz="4" w:space="0" w:color="auto"/>
            </w:tcBorders>
            <w:noWrap/>
            <w:vAlign w:val="center"/>
          </w:tcPr>
          <w:p w:rsidR="00864E50" w:rsidRPr="00D35EFD" w:rsidRDefault="00864E50" w:rsidP="008216A0">
            <w:pPr>
              <w:jc w:val="center"/>
              <w:rPr>
                <w:rFonts w:ascii="Arial" w:hAnsi="Arial" w:cs="Arial"/>
                <w:sz w:val="16"/>
                <w:szCs w:val="16"/>
              </w:rPr>
            </w:pPr>
          </w:p>
        </w:tc>
      </w:tr>
      <w:tr w:rsidR="00335274" w:rsidRPr="00D35EFD" w:rsidTr="00864E50">
        <w:trPr>
          <w:trHeight w:val="20"/>
        </w:trPr>
        <w:tc>
          <w:tcPr>
            <w:tcW w:w="0" w:type="auto"/>
            <w:vMerge/>
            <w:tcBorders>
              <w:top w:val="single" w:sz="4" w:space="0" w:color="000000"/>
              <w:left w:val="single" w:sz="4" w:space="0" w:color="auto"/>
              <w:bottom w:val="single" w:sz="4" w:space="0" w:color="000000"/>
              <w:right w:val="single" w:sz="4" w:space="0" w:color="auto"/>
            </w:tcBorders>
            <w:shd w:val="clear" w:color="auto" w:fill="EAF1DD"/>
            <w:vAlign w:val="center"/>
          </w:tcPr>
          <w:p w:rsidR="00864E50" w:rsidRPr="00D35EFD" w:rsidRDefault="00864E50" w:rsidP="008216A0">
            <w:pPr>
              <w:rPr>
                <w:rFonts w:ascii="Arial" w:hAnsi="Arial" w:cs="Arial"/>
                <w:sz w:val="16"/>
                <w:szCs w:val="16"/>
              </w:rPr>
            </w:pPr>
          </w:p>
        </w:tc>
        <w:tc>
          <w:tcPr>
            <w:tcW w:w="0" w:type="auto"/>
            <w:tcBorders>
              <w:top w:val="nil"/>
              <w:left w:val="nil"/>
              <w:bottom w:val="dotted" w:sz="4" w:space="0" w:color="auto"/>
              <w:right w:val="single" w:sz="4" w:space="0" w:color="auto"/>
            </w:tcBorders>
            <w:shd w:val="clear" w:color="000000" w:fill="auto"/>
            <w:noWrap/>
            <w:vAlign w:val="center"/>
          </w:tcPr>
          <w:p w:rsidR="00864E50" w:rsidRPr="00D35EFD" w:rsidRDefault="00864E50" w:rsidP="008216A0">
            <w:pPr>
              <w:rPr>
                <w:rFonts w:ascii="Arial" w:hAnsi="Arial" w:cs="Arial"/>
                <w:sz w:val="16"/>
                <w:szCs w:val="16"/>
              </w:rPr>
            </w:pPr>
            <w:r w:rsidRPr="00D35EFD">
              <w:rPr>
                <w:rFonts w:ascii="Arial" w:hAnsi="Arial" w:cs="Arial"/>
                <w:sz w:val="16"/>
                <w:szCs w:val="16"/>
              </w:rPr>
              <w:t>Cieľ</w:t>
            </w:r>
          </w:p>
        </w:tc>
        <w:tc>
          <w:tcPr>
            <w:tcW w:w="0" w:type="auto"/>
            <w:tcBorders>
              <w:top w:val="nil"/>
              <w:left w:val="nil"/>
              <w:bottom w:val="dotted" w:sz="4" w:space="0" w:color="auto"/>
              <w:right w:val="dotted" w:sz="4" w:space="0" w:color="auto"/>
            </w:tcBorders>
            <w:noWrap/>
            <w:vAlign w:val="center"/>
          </w:tcPr>
          <w:p w:rsidR="00864E50" w:rsidRPr="00D35EFD" w:rsidRDefault="00864E50" w:rsidP="008216A0">
            <w:pPr>
              <w:jc w:val="center"/>
              <w:rPr>
                <w:rFonts w:ascii="Arial" w:hAnsi="Arial" w:cs="Arial"/>
                <w:i/>
                <w:iCs/>
                <w:sz w:val="16"/>
                <w:szCs w:val="16"/>
              </w:rPr>
            </w:pPr>
            <w:r w:rsidRPr="00D35EFD">
              <w:rPr>
                <w:rFonts w:ascii="Arial" w:hAnsi="Arial" w:cs="Arial"/>
                <w:i/>
                <w:iCs/>
                <w:sz w:val="16"/>
                <w:szCs w:val="16"/>
              </w:rPr>
              <w:t>N/A</w:t>
            </w:r>
          </w:p>
        </w:tc>
        <w:tc>
          <w:tcPr>
            <w:tcW w:w="0" w:type="auto"/>
            <w:tcBorders>
              <w:top w:val="nil"/>
              <w:left w:val="nil"/>
              <w:bottom w:val="dotted" w:sz="4" w:space="0" w:color="auto"/>
              <w:right w:val="dotted" w:sz="4" w:space="0" w:color="auto"/>
            </w:tcBorders>
            <w:noWrap/>
            <w:vAlign w:val="center"/>
          </w:tcPr>
          <w:p w:rsidR="00864E50" w:rsidRPr="00D35EFD" w:rsidRDefault="00864E50" w:rsidP="008216A0">
            <w:pPr>
              <w:jc w:val="center"/>
              <w:rPr>
                <w:rFonts w:ascii="Arial" w:hAnsi="Arial" w:cs="Arial"/>
                <w:i/>
                <w:iCs/>
                <w:sz w:val="16"/>
                <w:szCs w:val="16"/>
              </w:rPr>
            </w:pPr>
            <w:r w:rsidRPr="00D35EFD">
              <w:rPr>
                <w:rFonts w:ascii="Arial" w:hAnsi="Arial" w:cs="Arial"/>
                <w:i/>
                <w:iCs/>
                <w:sz w:val="16"/>
                <w:szCs w:val="16"/>
              </w:rPr>
              <w:t>N/A</w:t>
            </w:r>
          </w:p>
        </w:tc>
        <w:tc>
          <w:tcPr>
            <w:tcW w:w="0" w:type="auto"/>
            <w:tcBorders>
              <w:top w:val="nil"/>
              <w:left w:val="nil"/>
              <w:bottom w:val="dotted" w:sz="4" w:space="0" w:color="auto"/>
              <w:right w:val="dotted" w:sz="4" w:space="0" w:color="auto"/>
            </w:tcBorders>
            <w:noWrap/>
            <w:vAlign w:val="center"/>
          </w:tcPr>
          <w:p w:rsidR="00864E50" w:rsidRPr="00D35EFD" w:rsidRDefault="00864E50" w:rsidP="008216A0">
            <w:pPr>
              <w:jc w:val="center"/>
              <w:rPr>
                <w:rFonts w:ascii="Arial" w:hAnsi="Arial" w:cs="Arial"/>
                <w:i/>
                <w:iCs/>
                <w:sz w:val="16"/>
                <w:szCs w:val="16"/>
              </w:rPr>
            </w:pPr>
            <w:r w:rsidRPr="00D35EFD">
              <w:rPr>
                <w:rFonts w:ascii="Arial" w:hAnsi="Arial" w:cs="Arial"/>
                <w:i/>
                <w:iCs/>
                <w:sz w:val="16"/>
                <w:szCs w:val="16"/>
              </w:rPr>
              <w:t>N/A</w:t>
            </w:r>
          </w:p>
        </w:tc>
        <w:tc>
          <w:tcPr>
            <w:tcW w:w="0" w:type="auto"/>
            <w:tcBorders>
              <w:top w:val="nil"/>
              <w:left w:val="nil"/>
              <w:bottom w:val="dotted" w:sz="4" w:space="0" w:color="auto"/>
              <w:right w:val="dotted" w:sz="4" w:space="0" w:color="auto"/>
            </w:tcBorders>
            <w:noWrap/>
            <w:vAlign w:val="center"/>
          </w:tcPr>
          <w:p w:rsidR="00864E50" w:rsidRPr="00D35EFD" w:rsidRDefault="00864E50" w:rsidP="008216A0">
            <w:pPr>
              <w:jc w:val="center"/>
              <w:rPr>
                <w:rFonts w:ascii="Arial" w:hAnsi="Arial" w:cs="Arial"/>
                <w:i/>
                <w:iCs/>
                <w:sz w:val="16"/>
                <w:szCs w:val="16"/>
              </w:rPr>
            </w:pPr>
            <w:r w:rsidRPr="00D35EFD">
              <w:rPr>
                <w:rFonts w:ascii="Arial" w:hAnsi="Arial" w:cs="Arial"/>
                <w:i/>
                <w:iCs/>
                <w:sz w:val="16"/>
                <w:szCs w:val="16"/>
              </w:rPr>
              <w:t>N/A</w:t>
            </w:r>
          </w:p>
        </w:tc>
        <w:tc>
          <w:tcPr>
            <w:tcW w:w="0" w:type="auto"/>
            <w:tcBorders>
              <w:top w:val="nil"/>
              <w:left w:val="nil"/>
              <w:bottom w:val="dotted" w:sz="4" w:space="0" w:color="auto"/>
              <w:right w:val="dotted" w:sz="4" w:space="0" w:color="auto"/>
            </w:tcBorders>
            <w:noWrap/>
            <w:vAlign w:val="center"/>
          </w:tcPr>
          <w:p w:rsidR="00864E50" w:rsidRPr="00D35EFD" w:rsidRDefault="00864E50" w:rsidP="008216A0">
            <w:pPr>
              <w:jc w:val="center"/>
              <w:rPr>
                <w:rFonts w:ascii="Arial" w:hAnsi="Arial" w:cs="Arial"/>
                <w:i/>
                <w:iCs/>
                <w:sz w:val="16"/>
                <w:szCs w:val="16"/>
              </w:rPr>
            </w:pPr>
            <w:r w:rsidRPr="00D35EFD">
              <w:rPr>
                <w:rFonts w:ascii="Arial" w:hAnsi="Arial" w:cs="Arial"/>
                <w:i/>
                <w:iCs/>
                <w:sz w:val="16"/>
                <w:szCs w:val="16"/>
              </w:rPr>
              <w:t>N/A</w:t>
            </w:r>
          </w:p>
        </w:tc>
        <w:tc>
          <w:tcPr>
            <w:tcW w:w="0" w:type="auto"/>
            <w:tcBorders>
              <w:top w:val="nil"/>
              <w:left w:val="nil"/>
              <w:bottom w:val="dotted" w:sz="4" w:space="0" w:color="auto"/>
              <w:right w:val="dotted" w:sz="4" w:space="0" w:color="auto"/>
            </w:tcBorders>
            <w:noWrap/>
            <w:vAlign w:val="center"/>
          </w:tcPr>
          <w:p w:rsidR="00864E50" w:rsidRPr="00D35EFD" w:rsidRDefault="00864E50" w:rsidP="008216A0">
            <w:pPr>
              <w:jc w:val="center"/>
              <w:rPr>
                <w:rFonts w:ascii="Arial" w:hAnsi="Arial" w:cs="Arial"/>
                <w:i/>
                <w:iCs/>
                <w:sz w:val="16"/>
                <w:szCs w:val="16"/>
              </w:rPr>
            </w:pPr>
            <w:r w:rsidRPr="00D35EFD">
              <w:rPr>
                <w:rFonts w:ascii="Arial" w:hAnsi="Arial" w:cs="Arial"/>
                <w:i/>
                <w:iCs/>
                <w:sz w:val="16"/>
                <w:szCs w:val="16"/>
              </w:rPr>
              <w:t>N/A</w:t>
            </w:r>
          </w:p>
        </w:tc>
        <w:tc>
          <w:tcPr>
            <w:tcW w:w="0" w:type="auto"/>
            <w:tcBorders>
              <w:top w:val="nil"/>
              <w:left w:val="nil"/>
              <w:bottom w:val="dotted" w:sz="4" w:space="0" w:color="auto"/>
              <w:right w:val="dotted" w:sz="4" w:space="0" w:color="auto"/>
            </w:tcBorders>
            <w:noWrap/>
            <w:vAlign w:val="center"/>
          </w:tcPr>
          <w:p w:rsidR="00864E50" w:rsidRPr="00D35EFD" w:rsidRDefault="00864E50" w:rsidP="008216A0">
            <w:pPr>
              <w:jc w:val="center"/>
              <w:rPr>
                <w:rFonts w:ascii="Arial" w:hAnsi="Arial" w:cs="Arial"/>
                <w:i/>
                <w:iCs/>
                <w:sz w:val="16"/>
                <w:szCs w:val="16"/>
              </w:rPr>
            </w:pPr>
            <w:r w:rsidRPr="00D35EFD">
              <w:rPr>
                <w:rFonts w:ascii="Arial" w:hAnsi="Arial" w:cs="Arial"/>
                <w:i/>
                <w:iCs/>
                <w:sz w:val="16"/>
                <w:szCs w:val="16"/>
              </w:rPr>
              <w:t>N/A</w:t>
            </w:r>
          </w:p>
        </w:tc>
        <w:tc>
          <w:tcPr>
            <w:tcW w:w="0" w:type="auto"/>
            <w:tcBorders>
              <w:top w:val="nil"/>
              <w:left w:val="nil"/>
              <w:bottom w:val="dotted" w:sz="4" w:space="0" w:color="auto"/>
              <w:right w:val="dotted" w:sz="4" w:space="0" w:color="auto"/>
            </w:tcBorders>
            <w:noWrap/>
            <w:vAlign w:val="center"/>
          </w:tcPr>
          <w:p w:rsidR="00864E50" w:rsidRPr="00D35EFD" w:rsidRDefault="00864E50" w:rsidP="008216A0">
            <w:pPr>
              <w:jc w:val="center"/>
              <w:rPr>
                <w:rFonts w:ascii="Arial" w:hAnsi="Arial" w:cs="Arial"/>
                <w:i/>
                <w:iCs/>
                <w:sz w:val="16"/>
                <w:szCs w:val="16"/>
              </w:rPr>
            </w:pPr>
            <w:r w:rsidRPr="00D35EFD">
              <w:rPr>
                <w:rFonts w:ascii="Arial" w:hAnsi="Arial" w:cs="Arial"/>
                <w:i/>
                <w:iCs/>
                <w:sz w:val="16"/>
                <w:szCs w:val="16"/>
              </w:rPr>
              <w:t>N/A</w:t>
            </w:r>
          </w:p>
        </w:tc>
        <w:tc>
          <w:tcPr>
            <w:tcW w:w="0" w:type="auto"/>
            <w:tcBorders>
              <w:top w:val="nil"/>
              <w:left w:val="nil"/>
              <w:bottom w:val="dotted" w:sz="4" w:space="0" w:color="auto"/>
              <w:right w:val="dotted" w:sz="4" w:space="0" w:color="auto"/>
            </w:tcBorders>
            <w:noWrap/>
            <w:vAlign w:val="center"/>
          </w:tcPr>
          <w:p w:rsidR="00864E50" w:rsidRPr="00D35EFD" w:rsidRDefault="00864E50" w:rsidP="008216A0">
            <w:pPr>
              <w:jc w:val="center"/>
              <w:rPr>
                <w:rFonts w:ascii="Arial" w:hAnsi="Arial" w:cs="Arial"/>
                <w:b/>
                <w:bCs/>
                <w:sz w:val="16"/>
                <w:szCs w:val="16"/>
              </w:rPr>
            </w:pPr>
            <w:r w:rsidRPr="00D35EFD">
              <w:rPr>
                <w:rFonts w:ascii="Arial" w:hAnsi="Arial" w:cs="Arial"/>
                <w:b/>
                <w:bCs/>
                <w:sz w:val="16"/>
                <w:szCs w:val="16"/>
              </w:rPr>
              <w:t>25</w:t>
            </w:r>
          </w:p>
        </w:tc>
        <w:tc>
          <w:tcPr>
            <w:tcW w:w="0" w:type="auto"/>
            <w:tcBorders>
              <w:top w:val="nil"/>
              <w:left w:val="nil"/>
              <w:bottom w:val="dotted" w:sz="4" w:space="0" w:color="auto"/>
              <w:right w:val="dotted" w:sz="4" w:space="0" w:color="auto"/>
            </w:tcBorders>
            <w:noWrap/>
            <w:vAlign w:val="center"/>
          </w:tcPr>
          <w:p w:rsidR="00864E50" w:rsidRPr="00D35EFD" w:rsidRDefault="00864E50" w:rsidP="008216A0">
            <w:pPr>
              <w:jc w:val="center"/>
              <w:rPr>
                <w:rFonts w:ascii="Arial" w:hAnsi="Arial" w:cs="Arial"/>
                <w:b/>
                <w:bCs/>
                <w:sz w:val="16"/>
                <w:szCs w:val="16"/>
              </w:rPr>
            </w:pPr>
            <w:r w:rsidRPr="00D35EFD">
              <w:rPr>
                <w:rFonts w:ascii="Arial" w:hAnsi="Arial" w:cs="Arial"/>
                <w:b/>
                <w:bCs/>
                <w:sz w:val="16"/>
                <w:szCs w:val="16"/>
              </w:rPr>
              <w:t>25</w:t>
            </w:r>
          </w:p>
        </w:tc>
        <w:tc>
          <w:tcPr>
            <w:tcW w:w="0" w:type="auto"/>
            <w:tcBorders>
              <w:top w:val="nil"/>
              <w:left w:val="nil"/>
              <w:bottom w:val="dotted" w:sz="4" w:space="0" w:color="auto"/>
              <w:right w:val="single" w:sz="4" w:space="0" w:color="auto"/>
            </w:tcBorders>
            <w:noWrap/>
            <w:vAlign w:val="center"/>
          </w:tcPr>
          <w:p w:rsidR="00864E50" w:rsidRPr="00D35EFD" w:rsidRDefault="00864E50" w:rsidP="008216A0">
            <w:pPr>
              <w:jc w:val="center"/>
              <w:rPr>
                <w:rFonts w:ascii="Arial" w:hAnsi="Arial" w:cs="Arial"/>
                <w:i/>
                <w:iCs/>
                <w:sz w:val="16"/>
                <w:szCs w:val="16"/>
              </w:rPr>
            </w:pPr>
            <w:r>
              <w:rPr>
                <w:rFonts w:ascii="Arial" w:hAnsi="Arial" w:cs="Arial"/>
                <w:i/>
                <w:iCs/>
                <w:sz w:val="16"/>
                <w:szCs w:val="16"/>
              </w:rPr>
              <w:t>25</w:t>
            </w:r>
          </w:p>
        </w:tc>
      </w:tr>
      <w:tr w:rsidR="00335274" w:rsidRPr="00D35EFD" w:rsidTr="00864E50">
        <w:trPr>
          <w:trHeight w:val="20"/>
        </w:trPr>
        <w:tc>
          <w:tcPr>
            <w:tcW w:w="0" w:type="auto"/>
            <w:vMerge/>
            <w:tcBorders>
              <w:top w:val="single" w:sz="4" w:space="0" w:color="000000"/>
              <w:left w:val="single" w:sz="4" w:space="0" w:color="auto"/>
              <w:bottom w:val="single" w:sz="4" w:space="0" w:color="000000"/>
              <w:right w:val="single" w:sz="4" w:space="0" w:color="auto"/>
            </w:tcBorders>
            <w:shd w:val="clear" w:color="auto" w:fill="EAF1DD"/>
            <w:vAlign w:val="center"/>
          </w:tcPr>
          <w:p w:rsidR="00864E50" w:rsidRPr="00D35EFD" w:rsidRDefault="00864E50" w:rsidP="008216A0">
            <w:pPr>
              <w:rPr>
                <w:rFonts w:ascii="Arial" w:hAnsi="Arial" w:cs="Arial"/>
                <w:sz w:val="16"/>
                <w:szCs w:val="16"/>
              </w:rPr>
            </w:pPr>
          </w:p>
        </w:tc>
        <w:tc>
          <w:tcPr>
            <w:tcW w:w="0" w:type="auto"/>
            <w:tcBorders>
              <w:top w:val="nil"/>
              <w:left w:val="nil"/>
              <w:bottom w:val="single" w:sz="4" w:space="0" w:color="auto"/>
              <w:right w:val="single" w:sz="4" w:space="0" w:color="auto"/>
            </w:tcBorders>
            <w:shd w:val="clear" w:color="000000" w:fill="auto"/>
            <w:noWrap/>
            <w:vAlign w:val="center"/>
          </w:tcPr>
          <w:p w:rsidR="00864E50" w:rsidRPr="00D35EFD" w:rsidRDefault="00864E50" w:rsidP="008216A0">
            <w:pPr>
              <w:rPr>
                <w:rFonts w:ascii="Arial" w:hAnsi="Arial" w:cs="Arial"/>
                <w:sz w:val="16"/>
                <w:szCs w:val="16"/>
              </w:rPr>
            </w:pPr>
            <w:r w:rsidRPr="00D35EFD">
              <w:rPr>
                <w:rFonts w:ascii="Arial" w:hAnsi="Arial" w:cs="Arial"/>
                <w:sz w:val="16"/>
                <w:szCs w:val="16"/>
              </w:rPr>
              <w:t>Východisko</w:t>
            </w:r>
          </w:p>
        </w:tc>
        <w:tc>
          <w:tcPr>
            <w:tcW w:w="0" w:type="auto"/>
            <w:tcBorders>
              <w:top w:val="nil"/>
              <w:left w:val="nil"/>
              <w:bottom w:val="single" w:sz="4" w:space="0" w:color="auto"/>
              <w:right w:val="dotted" w:sz="4" w:space="0" w:color="auto"/>
            </w:tcBorders>
            <w:noWrap/>
            <w:vAlign w:val="center"/>
          </w:tcPr>
          <w:p w:rsidR="00864E50" w:rsidRPr="00D35EFD" w:rsidRDefault="00864E50" w:rsidP="008216A0">
            <w:pPr>
              <w:jc w:val="center"/>
              <w:rPr>
                <w:rFonts w:ascii="Arial" w:hAnsi="Arial" w:cs="Arial"/>
                <w:b/>
                <w:bCs/>
                <w:sz w:val="16"/>
                <w:szCs w:val="16"/>
              </w:rPr>
            </w:pPr>
            <w:r w:rsidRPr="00D35EFD">
              <w:rPr>
                <w:rFonts w:ascii="Arial" w:hAnsi="Arial" w:cs="Arial"/>
                <w:b/>
                <w:bCs/>
                <w:sz w:val="16"/>
                <w:szCs w:val="16"/>
              </w:rPr>
              <w:t>0</w:t>
            </w:r>
          </w:p>
        </w:tc>
        <w:tc>
          <w:tcPr>
            <w:tcW w:w="0" w:type="auto"/>
            <w:tcBorders>
              <w:top w:val="nil"/>
              <w:left w:val="nil"/>
              <w:bottom w:val="single" w:sz="4" w:space="0" w:color="auto"/>
              <w:right w:val="dotted" w:sz="4" w:space="0" w:color="auto"/>
            </w:tcBorders>
            <w:noWrap/>
            <w:vAlign w:val="center"/>
          </w:tcPr>
          <w:p w:rsidR="00864E50" w:rsidRPr="00D35EFD" w:rsidRDefault="00864E50" w:rsidP="008216A0">
            <w:pPr>
              <w:jc w:val="center"/>
              <w:rPr>
                <w:rFonts w:ascii="Arial" w:hAnsi="Arial" w:cs="Arial"/>
                <w:i/>
                <w:iCs/>
                <w:sz w:val="16"/>
                <w:szCs w:val="16"/>
              </w:rPr>
            </w:pPr>
            <w:r w:rsidRPr="00D35EFD">
              <w:rPr>
                <w:rFonts w:ascii="Arial" w:hAnsi="Arial" w:cs="Arial"/>
                <w:i/>
                <w:iCs/>
                <w:sz w:val="16"/>
                <w:szCs w:val="16"/>
              </w:rPr>
              <w:t>N/A</w:t>
            </w:r>
          </w:p>
        </w:tc>
        <w:tc>
          <w:tcPr>
            <w:tcW w:w="0" w:type="auto"/>
            <w:tcBorders>
              <w:top w:val="nil"/>
              <w:left w:val="nil"/>
              <w:bottom w:val="single" w:sz="4" w:space="0" w:color="auto"/>
              <w:right w:val="dotted" w:sz="4" w:space="0" w:color="auto"/>
            </w:tcBorders>
            <w:noWrap/>
            <w:vAlign w:val="center"/>
          </w:tcPr>
          <w:p w:rsidR="00864E50" w:rsidRPr="00D35EFD" w:rsidRDefault="00864E50" w:rsidP="008216A0">
            <w:pPr>
              <w:jc w:val="center"/>
              <w:rPr>
                <w:rFonts w:ascii="Arial" w:hAnsi="Arial" w:cs="Arial"/>
                <w:i/>
                <w:iCs/>
                <w:sz w:val="16"/>
                <w:szCs w:val="16"/>
              </w:rPr>
            </w:pPr>
            <w:r w:rsidRPr="00D35EFD">
              <w:rPr>
                <w:rFonts w:ascii="Arial" w:hAnsi="Arial" w:cs="Arial"/>
                <w:i/>
                <w:iCs/>
                <w:sz w:val="16"/>
                <w:szCs w:val="16"/>
              </w:rPr>
              <w:t>N/A</w:t>
            </w:r>
          </w:p>
        </w:tc>
        <w:tc>
          <w:tcPr>
            <w:tcW w:w="0" w:type="auto"/>
            <w:tcBorders>
              <w:top w:val="nil"/>
              <w:left w:val="nil"/>
              <w:bottom w:val="single" w:sz="4" w:space="0" w:color="auto"/>
              <w:right w:val="dotted" w:sz="4" w:space="0" w:color="auto"/>
            </w:tcBorders>
            <w:noWrap/>
            <w:vAlign w:val="center"/>
          </w:tcPr>
          <w:p w:rsidR="00864E50" w:rsidRPr="00D35EFD" w:rsidRDefault="00864E50" w:rsidP="008216A0">
            <w:pPr>
              <w:jc w:val="center"/>
              <w:rPr>
                <w:rFonts w:ascii="Arial" w:hAnsi="Arial" w:cs="Arial"/>
                <w:i/>
                <w:iCs/>
                <w:sz w:val="16"/>
                <w:szCs w:val="16"/>
              </w:rPr>
            </w:pPr>
            <w:r w:rsidRPr="00D35EFD">
              <w:rPr>
                <w:rFonts w:ascii="Arial" w:hAnsi="Arial" w:cs="Arial"/>
                <w:i/>
                <w:iCs/>
                <w:sz w:val="16"/>
                <w:szCs w:val="16"/>
              </w:rPr>
              <w:t>N/A</w:t>
            </w:r>
          </w:p>
        </w:tc>
        <w:tc>
          <w:tcPr>
            <w:tcW w:w="0" w:type="auto"/>
            <w:tcBorders>
              <w:top w:val="nil"/>
              <w:left w:val="nil"/>
              <w:bottom w:val="single" w:sz="4" w:space="0" w:color="auto"/>
              <w:right w:val="dotted" w:sz="4" w:space="0" w:color="auto"/>
            </w:tcBorders>
            <w:noWrap/>
            <w:vAlign w:val="center"/>
          </w:tcPr>
          <w:p w:rsidR="00864E50" w:rsidRPr="00D35EFD" w:rsidRDefault="00864E50" w:rsidP="008216A0">
            <w:pPr>
              <w:jc w:val="center"/>
              <w:rPr>
                <w:rFonts w:ascii="Arial" w:hAnsi="Arial" w:cs="Arial"/>
                <w:i/>
                <w:iCs/>
                <w:sz w:val="16"/>
                <w:szCs w:val="16"/>
              </w:rPr>
            </w:pPr>
            <w:r w:rsidRPr="00D35EFD">
              <w:rPr>
                <w:rFonts w:ascii="Arial" w:hAnsi="Arial" w:cs="Arial"/>
                <w:i/>
                <w:iCs/>
                <w:sz w:val="16"/>
                <w:szCs w:val="16"/>
              </w:rPr>
              <w:t>N/A</w:t>
            </w:r>
          </w:p>
        </w:tc>
        <w:tc>
          <w:tcPr>
            <w:tcW w:w="0" w:type="auto"/>
            <w:tcBorders>
              <w:top w:val="nil"/>
              <w:left w:val="nil"/>
              <w:bottom w:val="single" w:sz="4" w:space="0" w:color="auto"/>
              <w:right w:val="dotted" w:sz="4" w:space="0" w:color="auto"/>
            </w:tcBorders>
            <w:noWrap/>
            <w:vAlign w:val="center"/>
          </w:tcPr>
          <w:p w:rsidR="00864E50" w:rsidRPr="00D35EFD" w:rsidRDefault="00864E50" w:rsidP="008216A0">
            <w:pPr>
              <w:jc w:val="center"/>
              <w:rPr>
                <w:rFonts w:ascii="Arial" w:hAnsi="Arial" w:cs="Arial"/>
                <w:i/>
                <w:iCs/>
                <w:sz w:val="16"/>
                <w:szCs w:val="16"/>
              </w:rPr>
            </w:pPr>
            <w:r w:rsidRPr="00D35EFD">
              <w:rPr>
                <w:rFonts w:ascii="Arial" w:hAnsi="Arial" w:cs="Arial"/>
                <w:i/>
                <w:iCs/>
                <w:sz w:val="16"/>
                <w:szCs w:val="16"/>
              </w:rPr>
              <w:t>N/A</w:t>
            </w:r>
          </w:p>
        </w:tc>
        <w:tc>
          <w:tcPr>
            <w:tcW w:w="0" w:type="auto"/>
            <w:tcBorders>
              <w:top w:val="nil"/>
              <w:left w:val="nil"/>
              <w:bottom w:val="single" w:sz="4" w:space="0" w:color="auto"/>
              <w:right w:val="dotted" w:sz="4" w:space="0" w:color="auto"/>
            </w:tcBorders>
            <w:noWrap/>
            <w:vAlign w:val="center"/>
          </w:tcPr>
          <w:p w:rsidR="00864E50" w:rsidRPr="00D35EFD" w:rsidRDefault="00864E50" w:rsidP="008216A0">
            <w:pPr>
              <w:jc w:val="center"/>
              <w:rPr>
                <w:rFonts w:ascii="Arial" w:hAnsi="Arial" w:cs="Arial"/>
                <w:i/>
                <w:iCs/>
                <w:sz w:val="16"/>
                <w:szCs w:val="16"/>
              </w:rPr>
            </w:pPr>
            <w:r w:rsidRPr="00D35EFD">
              <w:rPr>
                <w:rFonts w:ascii="Arial" w:hAnsi="Arial" w:cs="Arial"/>
                <w:i/>
                <w:iCs/>
                <w:sz w:val="16"/>
                <w:szCs w:val="16"/>
              </w:rPr>
              <w:t>N/A</w:t>
            </w:r>
          </w:p>
        </w:tc>
        <w:tc>
          <w:tcPr>
            <w:tcW w:w="0" w:type="auto"/>
            <w:tcBorders>
              <w:top w:val="nil"/>
              <w:left w:val="nil"/>
              <w:bottom w:val="single" w:sz="4" w:space="0" w:color="auto"/>
              <w:right w:val="dotted" w:sz="4" w:space="0" w:color="auto"/>
            </w:tcBorders>
            <w:noWrap/>
            <w:vAlign w:val="center"/>
          </w:tcPr>
          <w:p w:rsidR="00864E50" w:rsidRPr="00D35EFD" w:rsidRDefault="00864E50" w:rsidP="008216A0">
            <w:pPr>
              <w:jc w:val="center"/>
              <w:rPr>
                <w:rFonts w:ascii="Arial" w:hAnsi="Arial" w:cs="Arial"/>
                <w:i/>
                <w:iCs/>
                <w:sz w:val="16"/>
                <w:szCs w:val="16"/>
              </w:rPr>
            </w:pPr>
            <w:r w:rsidRPr="00D35EFD">
              <w:rPr>
                <w:rFonts w:ascii="Arial" w:hAnsi="Arial" w:cs="Arial"/>
                <w:i/>
                <w:iCs/>
                <w:sz w:val="16"/>
                <w:szCs w:val="16"/>
              </w:rPr>
              <w:t>N/A</w:t>
            </w:r>
          </w:p>
        </w:tc>
        <w:tc>
          <w:tcPr>
            <w:tcW w:w="0" w:type="auto"/>
            <w:tcBorders>
              <w:top w:val="nil"/>
              <w:left w:val="nil"/>
              <w:bottom w:val="single" w:sz="4" w:space="0" w:color="auto"/>
              <w:right w:val="dotted" w:sz="4" w:space="0" w:color="auto"/>
            </w:tcBorders>
            <w:noWrap/>
            <w:vAlign w:val="center"/>
          </w:tcPr>
          <w:p w:rsidR="00864E50" w:rsidRPr="00D35EFD" w:rsidRDefault="00864E50" w:rsidP="008216A0">
            <w:pPr>
              <w:jc w:val="center"/>
              <w:rPr>
                <w:rFonts w:ascii="Arial" w:hAnsi="Arial" w:cs="Arial"/>
                <w:i/>
                <w:iCs/>
                <w:sz w:val="16"/>
                <w:szCs w:val="16"/>
              </w:rPr>
            </w:pPr>
            <w:r w:rsidRPr="00D35EFD">
              <w:rPr>
                <w:rFonts w:ascii="Arial" w:hAnsi="Arial" w:cs="Arial"/>
                <w:i/>
                <w:iCs/>
                <w:sz w:val="16"/>
                <w:szCs w:val="16"/>
              </w:rPr>
              <w:t>N/A</w:t>
            </w:r>
          </w:p>
        </w:tc>
        <w:tc>
          <w:tcPr>
            <w:tcW w:w="0" w:type="auto"/>
            <w:tcBorders>
              <w:top w:val="nil"/>
              <w:left w:val="nil"/>
              <w:bottom w:val="single" w:sz="4" w:space="0" w:color="auto"/>
              <w:right w:val="dotted" w:sz="4" w:space="0" w:color="auto"/>
            </w:tcBorders>
            <w:noWrap/>
            <w:vAlign w:val="center"/>
          </w:tcPr>
          <w:p w:rsidR="00864E50" w:rsidRPr="00D35EFD" w:rsidRDefault="00864E50" w:rsidP="008216A0">
            <w:pPr>
              <w:jc w:val="center"/>
              <w:rPr>
                <w:rFonts w:ascii="Arial" w:hAnsi="Arial" w:cs="Arial"/>
                <w:b/>
                <w:bCs/>
                <w:sz w:val="16"/>
                <w:szCs w:val="16"/>
              </w:rPr>
            </w:pPr>
            <w:r w:rsidRPr="00D35EFD">
              <w:rPr>
                <w:rFonts w:ascii="Arial" w:hAnsi="Arial" w:cs="Arial"/>
                <w:b/>
                <w:bCs/>
                <w:sz w:val="16"/>
                <w:szCs w:val="16"/>
              </w:rPr>
              <w:t>0</w:t>
            </w:r>
          </w:p>
        </w:tc>
        <w:tc>
          <w:tcPr>
            <w:tcW w:w="0" w:type="auto"/>
            <w:tcBorders>
              <w:top w:val="nil"/>
              <w:left w:val="nil"/>
              <w:bottom w:val="single" w:sz="4" w:space="0" w:color="auto"/>
              <w:right w:val="single" w:sz="4" w:space="0" w:color="auto"/>
            </w:tcBorders>
            <w:noWrap/>
            <w:vAlign w:val="center"/>
          </w:tcPr>
          <w:p w:rsidR="00864E50" w:rsidRPr="00D35EFD" w:rsidRDefault="00864E50" w:rsidP="008216A0">
            <w:pPr>
              <w:jc w:val="center"/>
              <w:rPr>
                <w:rFonts w:ascii="Arial" w:hAnsi="Arial" w:cs="Arial"/>
                <w:sz w:val="16"/>
                <w:szCs w:val="16"/>
              </w:rPr>
            </w:pPr>
          </w:p>
        </w:tc>
      </w:tr>
    </w:tbl>
    <w:p w:rsidR="002416B1" w:rsidRPr="006A2BF3" w:rsidRDefault="00000CC9" w:rsidP="008216A0">
      <w:pPr>
        <w:spacing w:line="360" w:lineRule="auto"/>
        <w:jc w:val="both"/>
        <w:rPr>
          <w:rFonts w:ascii="Arial" w:hAnsi="Arial" w:cs="Arial"/>
          <w:sz w:val="18"/>
          <w:szCs w:val="18"/>
        </w:rPr>
      </w:pPr>
      <w:r>
        <w:rPr>
          <w:rFonts w:ascii="Arial" w:hAnsi="Arial" w:cs="Arial"/>
          <w:sz w:val="18"/>
          <w:szCs w:val="18"/>
        </w:rPr>
        <w:t>Zdroj: RO, ITMS</w:t>
      </w:r>
    </w:p>
    <w:p w:rsidR="002416B1" w:rsidRDefault="00C82FBC" w:rsidP="008216A0">
      <w:pPr>
        <w:jc w:val="both"/>
        <w:rPr>
          <w:rFonts w:ascii="Arial" w:hAnsi="Arial" w:cs="Arial"/>
          <w:i/>
          <w:iCs/>
          <w:sz w:val="16"/>
          <w:szCs w:val="16"/>
        </w:rPr>
      </w:pPr>
      <w:r w:rsidRPr="00FA2DAA">
        <w:rPr>
          <w:rFonts w:ascii="Arial" w:hAnsi="Arial" w:cs="Arial"/>
          <w:i/>
          <w:iCs/>
          <w:sz w:val="16"/>
          <w:szCs w:val="16"/>
        </w:rPr>
        <w:t>1-</w:t>
      </w:r>
      <w:r>
        <w:rPr>
          <w:rFonts w:ascii="Arial" w:hAnsi="Arial" w:cs="Arial"/>
          <w:i/>
          <w:iCs/>
          <w:sz w:val="16"/>
          <w:szCs w:val="16"/>
        </w:rPr>
        <w:t xml:space="preserve"> </w:t>
      </w:r>
      <w:r w:rsidR="002416B1" w:rsidRPr="006A2BF3">
        <w:rPr>
          <w:rFonts w:ascii="Arial" w:hAnsi="Arial" w:cs="Arial"/>
          <w:i/>
          <w:iCs/>
          <w:sz w:val="16"/>
          <w:szCs w:val="16"/>
        </w:rPr>
        <w:t>Údaj obsahuje deklarovanú cieľovú hodnotu projektov v zmysle zmluvy o NFP k 31. 12. 201</w:t>
      </w:r>
      <w:r w:rsidR="00864E50">
        <w:rPr>
          <w:rFonts w:ascii="Arial" w:hAnsi="Arial" w:cs="Arial"/>
          <w:i/>
          <w:iCs/>
          <w:sz w:val="16"/>
          <w:szCs w:val="16"/>
        </w:rPr>
        <w:t>2</w:t>
      </w:r>
      <w:r w:rsidR="002416B1" w:rsidRPr="006A2BF3">
        <w:rPr>
          <w:rFonts w:ascii="Arial" w:hAnsi="Arial" w:cs="Arial"/>
          <w:i/>
          <w:iCs/>
          <w:sz w:val="16"/>
          <w:szCs w:val="16"/>
        </w:rPr>
        <w:t>. Hodnota ukazovateľa dopadu na úrovni projektov sa vykazuje na základe následných monitorovacích správ, ktoré sú predkladané rok po skončení realizácie projektu. V súčasnosti prebieha realizácia projektov.</w:t>
      </w:r>
    </w:p>
    <w:p w:rsidR="00C82FBC" w:rsidRPr="006A2BF3" w:rsidRDefault="00C82FBC" w:rsidP="008216A0">
      <w:pPr>
        <w:jc w:val="both"/>
        <w:rPr>
          <w:rFonts w:ascii="Arial" w:hAnsi="Arial" w:cs="Arial"/>
          <w:i/>
          <w:iCs/>
          <w:sz w:val="16"/>
          <w:szCs w:val="16"/>
        </w:rPr>
      </w:pPr>
      <w:r w:rsidRPr="00C82FBC">
        <w:rPr>
          <w:rFonts w:ascii="Arial" w:hAnsi="Arial" w:cs="Arial"/>
          <w:i/>
          <w:iCs/>
          <w:sz w:val="16"/>
          <w:szCs w:val="16"/>
        </w:rPr>
        <w:t>Merané hodnoty ukazovateľov charakteru "počet projektov" predstavujú hodnoty zazmluvnených projektov</w:t>
      </w:r>
      <w:r w:rsidR="00DE341A">
        <w:rPr>
          <w:rFonts w:ascii="Arial" w:hAnsi="Arial" w:cs="Arial"/>
          <w:i/>
          <w:iCs/>
          <w:sz w:val="16"/>
          <w:szCs w:val="16"/>
        </w:rPr>
        <w:t xml:space="preserve"> (bez mimoriadne ukončených)</w:t>
      </w:r>
      <w:r w:rsidRPr="00C82FBC">
        <w:rPr>
          <w:rFonts w:ascii="Arial" w:hAnsi="Arial" w:cs="Arial"/>
          <w:i/>
          <w:iCs/>
          <w:sz w:val="16"/>
          <w:szCs w:val="16"/>
        </w:rPr>
        <w:t>.</w:t>
      </w:r>
    </w:p>
    <w:p w:rsidR="008216A0" w:rsidRDefault="001B62A1" w:rsidP="008216A0">
      <w:pPr>
        <w:spacing w:line="360" w:lineRule="auto"/>
        <w:jc w:val="both"/>
        <w:rPr>
          <w:rFonts w:ascii="Arial" w:hAnsi="Arial" w:cs="Arial"/>
          <w:i/>
          <w:iCs/>
          <w:sz w:val="16"/>
          <w:szCs w:val="16"/>
        </w:rPr>
      </w:pPr>
      <w:r w:rsidRPr="00FA2DAA">
        <w:rPr>
          <w:rFonts w:ascii="Arial" w:hAnsi="Arial" w:cs="Arial"/>
          <w:i/>
          <w:iCs/>
          <w:sz w:val="16"/>
          <w:szCs w:val="16"/>
        </w:rPr>
        <w:t>V</w:t>
      </w:r>
      <w:r w:rsidR="00B01A34">
        <w:rPr>
          <w:rFonts w:ascii="Arial" w:hAnsi="Arial" w:cs="Arial"/>
          <w:i/>
          <w:iCs/>
          <w:sz w:val="16"/>
          <w:szCs w:val="16"/>
        </w:rPr>
        <w:t> prípade v</w:t>
      </w:r>
      <w:r w:rsidRPr="00FA2DAA">
        <w:rPr>
          <w:rFonts w:ascii="Arial" w:hAnsi="Arial" w:cs="Arial"/>
          <w:i/>
          <w:iCs/>
          <w:sz w:val="16"/>
          <w:szCs w:val="16"/>
        </w:rPr>
        <w:t>ýchodiskov</w:t>
      </w:r>
      <w:r w:rsidR="00B01A34">
        <w:rPr>
          <w:rFonts w:ascii="Arial" w:hAnsi="Arial" w:cs="Arial"/>
          <w:i/>
          <w:iCs/>
          <w:sz w:val="16"/>
          <w:szCs w:val="16"/>
        </w:rPr>
        <w:t>ých</w:t>
      </w:r>
      <w:r w:rsidRPr="00FA2DAA">
        <w:rPr>
          <w:rFonts w:ascii="Arial" w:hAnsi="Arial" w:cs="Arial"/>
          <w:i/>
          <w:iCs/>
          <w:sz w:val="16"/>
          <w:szCs w:val="16"/>
        </w:rPr>
        <w:t xml:space="preserve"> a cieľov</w:t>
      </w:r>
      <w:r w:rsidR="00B01A34">
        <w:rPr>
          <w:rFonts w:ascii="Arial" w:hAnsi="Arial" w:cs="Arial"/>
          <w:i/>
          <w:iCs/>
          <w:sz w:val="16"/>
          <w:szCs w:val="16"/>
        </w:rPr>
        <w:t>ých</w:t>
      </w:r>
      <w:r w:rsidRPr="00FA2DAA">
        <w:rPr>
          <w:rFonts w:ascii="Arial" w:hAnsi="Arial" w:cs="Arial"/>
          <w:i/>
          <w:iCs/>
          <w:sz w:val="16"/>
          <w:szCs w:val="16"/>
        </w:rPr>
        <w:t xml:space="preserve"> hodn</w:t>
      </w:r>
      <w:r w:rsidR="00B01A34">
        <w:rPr>
          <w:rFonts w:ascii="Arial" w:hAnsi="Arial" w:cs="Arial"/>
          <w:i/>
          <w:iCs/>
          <w:sz w:val="16"/>
          <w:szCs w:val="16"/>
        </w:rPr>
        <w:t>ôt</w:t>
      </w:r>
      <w:r w:rsidRPr="00FA2DAA">
        <w:rPr>
          <w:rFonts w:ascii="Arial" w:hAnsi="Arial" w:cs="Arial"/>
          <w:i/>
          <w:iCs/>
          <w:sz w:val="16"/>
          <w:szCs w:val="16"/>
        </w:rPr>
        <w:t xml:space="preserve"> ukazovateľov </w:t>
      </w:r>
      <w:r w:rsidR="00B01A34">
        <w:rPr>
          <w:rFonts w:ascii="Arial" w:hAnsi="Arial" w:cs="Arial"/>
          <w:i/>
          <w:iCs/>
          <w:sz w:val="16"/>
          <w:szCs w:val="16"/>
        </w:rPr>
        <w:t>HP RP</w:t>
      </w:r>
      <w:r w:rsidRPr="00FA2DAA">
        <w:rPr>
          <w:rFonts w:ascii="Arial" w:hAnsi="Arial" w:cs="Arial"/>
          <w:i/>
          <w:iCs/>
          <w:sz w:val="16"/>
          <w:szCs w:val="16"/>
        </w:rPr>
        <w:t xml:space="preserve"> v rámci OP ŽP </w:t>
      </w:r>
      <w:r w:rsidR="00B01A34">
        <w:rPr>
          <w:rFonts w:ascii="Arial" w:hAnsi="Arial" w:cs="Arial"/>
          <w:i/>
          <w:iCs/>
          <w:sz w:val="16"/>
          <w:szCs w:val="16"/>
        </w:rPr>
        <w:t>s</w:t>
      </w:r>
      <w:r w:rsidRPr="00FA2DAA">
        <w:rPr>
          <w:rFonts w:ascii="Arial" w:hAnsi="Arial" w:cs="Arial"/>
          <w:i/>
          <w:iCs/>
          <w:sz w:val="16"/>
          <w:szCs w:val="16"/>
        </w:rPr>
        <w:t>a jedná o hodnoty len projektov OP ŽP s relevanciou k</w:t>
      </w:r>
      <w:r w:rsidR="00B01A34">
        <w:rPr>
          <w:rFonts w:ascii="Arial" w:hAnsi="Arial" w:cs="Arial"/>
          <w:i/>
          <w:iCs/>
          <w:sz w:val="16"/>
          <w:szCs w:val="16"/>
        </w:rPr>
        <w:t> HP RP</w:t>
      </w:r>
      <w:r w:rsidRPr="00FA2DAA">
        <w:rPr>
          <w:rFonts w:ascii="Arial" w:hAnsi="Arial" w:cs="Arial"/>
          <w:i/>
          <w:iCs/>
          <w:sz w:val="16"/>
          <w:szCs w:val="16"/>
        </w:rPr>
        <w:t>.</w:t>
      </w:r>
    </w:p>
    <w:p w:rsidR="008216A0" w:rsidRDefault="008216A0">
      <w:pPr>
        <w:rPr>
          <w:rFonts w:ascii="Arial" w:hAnsi="Arial" w:cs="Arial"/>
          <w:i/>
          <w:iCs/>
          <w:sz w:val="16"/>
          <w:szCs w:val="16"/>
        </w:rPr>
      </w:pPr>
      <w:r>
        <w:rPr>
          <w:rFonts w:ascii="Arial" w:hAnsi="Arial" w:cs="Arial"/>
          <w:i/>
          <w:iCs/>
          <w:sz w:val="16"/>
          <w:szCs w:val="16"/>
        </w:rPr>
        <w:br w:type="page"/>
      </w:r>
    </w:p>
    <w:p w:rsidR="00A96591" w:rsidRDefault="00A96591" w:rsidP="008216A0">
      <w:pPr>
        <w:spacing w:line="360" w:lineRule="auto"/>
        <w:jc w:val="both"/>
        <w:rPr>
          <w:rFonts w:ascii="Arial" w:hAnsi="Arial" w:cs="Arial"/>
          <w:i/>
          <w:iCs/>
          <w:sz w:val="16"/>
          <w:szCs w:val="16"/>
        </w:rPr>
      </w:pPr>
    </w:p>
    <w:p w:rsidR="002416B1" w:rsidRPr="004B33AE" w:rsidRDefault="002416B1" w:rsidP="008216A0">
      <w:pPr>
        <w:spacing w:line="360" w:lineRule="auto"/>
        <w:jc w:val="both"/>
        <w:rPr>
          <w:rFonts w:ascii="Arial" w:hAnsi="Arial" w:cs="Arial"/>
          <w:sz w:val="20"/>
          <w:szCs w:val="20"/>
        </w:rPr>
      </w:pPr>
      <w:r w:rsidRPr="004B33AE">
        <w:rPr>
          <w:rFonts w:ascii="Arial" w:hAnsi="Arial" w:cs="Arial"/>
          <w:sz w:val="20"/>
          <w:szCs w:val="20"/>
        </w:rPr>
        <w:t xml:space="preserve">Tab. č. </w:t>
      </w:r>
      <w:r w:rsidR="00D967E2">
        <w:rPr>
          <w:rFonts w:ascii="Arial" w:hAnsi="Arial" w:cs="Arial"/>
          <w:sz w:val="20"/>
          <w:szCs w:val="20"/>
        </w:rPr>
        <w:t>74</w:t>
      </w:r>
      <w:r w:rsidRPr="004B33AE">
        <w:rPr>
          <w:rFonts w:ascii="Arial" w:hAnsi="Arial" w:cs="Arial"/>
          <w:sz w:val="20"/>
          <w:szCs w:val="20"/>
        </w:rPr>
        <w:t xml:space="preserve">: </w:t>
      </w:r>
      <w:r w:rsidRPr="007B7404">
        <w:rPr>
          <w:rFonts w:ascii="Arial" w:hAnsi="Arial" w:cs="Arial"/>
          <w:sz w:val="20"/>
          <w:szCs w:val="20"/>
        </w:rPr>
        <w:t xml:space="preserve">Plnenie fyzických ukazovateľov </w:t>
      </w:r>
      <w:r>
        <w:rPr>
          <w:rFonts w:ascii="Arial" w:hAnsi="Arial" w:cs="Arial"/>
          <w:sz w:val="20"/>
          <w:szCs w:val="20"/>
        </w:rPr>
        <w:t xml:space="preserve">HP RP </w:t>
      </w:r>
      <w:r w:rsidRPr="007B7404">
        <w:rPr>
          <w:rFonts w:ascii="Arial" w:hAnsi="Arial" w:cs="Arial"/>
          <w:sz w:val="20"/>
          <w:szCs w:val="20"/>
        </w:rPr>
        <w:t>na úrovni OP ŽP k 31.12.201</w:t>
      </w:r>
      <w:r w:rsidR="00DE341A">
        <w:rPr>
          <w:rFonts w:ascii="Arial" w:hAnsi="Arial" w:cs="Arial"/>
          <w:sz w:val="20"/>
          <w:szCs w:val="20"/>
        </w:rPr>
        <w:t>2</w:t>
      </w:r>
    </w:p>
    <w:tbl>
      <w:tblPr>
        <w:tblW w:w="9513" w:type="dxa"/>
        <w:tblInd w:w="55" w:type="dxa"/>
        <w:tblLayout w:type="fixed"/>
        <w:tblCellMar>
          <w:left w:w="70" w:type="dxa"/>
          <w:right w:w="70" w:type="dxa"/>
        </w:tblCellMar>
        <w:tblLook w:val="04A0" w:firstRow="1" w:lastRow="0" w:firstColumn="1" w:lastColumn="0" w:noHBand="0" w:noVBand="1"/>
      </w:tblPr>
      <w:tblGrid>
        <w:gridCol w:w="1149"/>
        <w:gridCol w:w="1134"/>
        <w:gridCol w:w="496"/>
        <w:gridCol w:w="496"/>
        <w:gridCol w:w="709"/>
        <w:gridCol w:w="709"/>
        <w:gridCol w:w="709"/>
        <w:gridCol w:w="850"/>
        <w:gridCol w:w="496"/>
        <w:gridCol w:w="496"/>
        <w:gridCol w:w="709"/>
        <w:gridCol w:w="709"/>
        <w:gridCol w:w="851"/>
      </w:tblGrid>
      <w:tr w:rsidR="00A1232F" w:rsidRPr="00D35EFD" w:rsidTr="0039268C">
        <w:trPr>
          <w:trHeight w:val="20"/>
        </w:trPr>
        <w:tc>
          <w:tcPr>
            <w:tcW w:w="2283" w:type="dxa"/>
            <w:gridSpan w:val="2"/>
            <w:tcBorders>
              <w:top w:val="single" w:sz="4" w:space="0" w:color="auto"/>
              <w:left w:val="single" w:sz="4" w:space="0" w:color="auto"/>
              <w:bottom w:val="nil"/>
              <w:right w:val="single" w:sz="4" w:space="0" w:color="000000"/>
            </w:tcBorders>
            <w:shd w:val="clear" w:color="000000" w:fill="D6E3BC"/>
            <w:noWrap/>
            <w:vAlign w:val="center"/>
          </w:tcPr>
          <w:p w:rsidR="00DE341A" w:rsidRPr="00D35EFD" w:rsidRDefault="00DE341A" w:rsidP="008216A0">
            <w:pPr>
              <w:jc w:val="center"/>
              <w:rPr>
                <w:rFonts w:ascii="Arial" w:hAnsi="Arial" w:cs="Arial"/>
                <w:b/>
                <w:bCs/>
                <w:sz w:val="16"/>
                <w:szCs w:val="16"/>
              </w:rPr>
            </w:pPr>
            <w:r w:rsidRPr="00D35EFD">
              <w:rPr>
                <w:rFonts w:ascii="Arial" w:hAnsi="Arial" w:cs="Arial"/>
                <w:b/>
                <w:bCs/>
                <w:sz w:val="16"/>
                <w:szCs w:val="16"/>
              </w:rPr>
              <w:t>Ukazovatele</w:t>
            </w:r>
          </w:p>
        </w:tc>
        <w:tc>
          <w:tcPr>
            <w:tcW w:w="496" w:type="dxa"/>
            <w:tcBorders>
              <w:top w:val="single" w:sz="4" w:space="0" w:color="auto"/>
              <w:left w:val="nil"/>
              <w:bottom w:val="nil"/>
              <w:right w:val="single" w:sz="4" w:space="0" w:color="auto"/>
            </w:tcBorders>
            <w:shd w:val="clear" w:color="000000" w:fill="D6E3BC"/>
            <w:noWrap/>
            <w:vAlign w:val="center"/>
          </w:tcPr>
          <w:p w:rsidR="00DE341A" w:rsidRPr="00D35EFD" w:rsidRDefault="00DE341A" w:rsidP="008216A0">
            <w:pPr>
              <w:jc w:val="center"/>
              <w:rPr>
                <w:rFonts w:ascii="Arial" w:hAnsi="Arial" w:cs="Arial"/>
                <w:b/>
                <w:bCs/>
                <w:sz w:val="16"/>
                <w:szCs w:val="16"/>
              </w:rPr>
            </w:pPr>
            <w:r w:rsidRPr="00D35EFD">
              <w:rPr>
                <w:rFonts w:ascii="Arial" w:hAnsi="Arial" w:cs="Arial"/>
                <w:b/>
                <w:bCs/>
                <w:sz w:val="16"/>
                <w:szCs w:val="16"/>
              </w:rPr>
              <w:t>2007</w:t>
            </w:r>
          </w:p>
        </w:tc>
        <w:tc>
          <w:tcPr>
            <w:tcW w:w="496" w:type="dxa"/>
            <w:tcBorders>
              <w:top w:val="single" w:sz="4" w:space="0" w:color="auto"/>
              <w:left w:val="nil"/>
              <w:bottom w:val="nil"/>
              <w:right w:val="single" w:sz="4" w:space="0" w:color="auto"/>
            </w:tcBorders>
            <w:shd w:val="clear" w:color="000000" w:fill="D6E3BC"/>
            <w:noWrap/>
            <w:vAlign w:val="center"/>
          </w:tcPr>
          <w:p w:rsidR="00DE341A" w:rsidRPr="00D35EFD" w:rsidRDefault="00DE341A" w:rsidP="008216A0">
            <w:pPr>
              <w:jc w:val="center"/>
              <w:rPr>
                <w:rFonts w:ascii="Arial" w:hAnsi="Arial" w:cs="Arial"/>
                <w:b/>
                <w:bCs/>
                <w:sz w:val="16"/>
                <w:szCs w:val="16"/>
              </w:rPr>
            </w:pPr>
            <w:r w:rsidRPr="00D35EFD">
              <w:rPr>
                <w:rFonts w:ascii="Arial" w:hAnsi="Arial" w:cs="Arial"/>
                <w:b/>
                <w:bCs/>
                <w:sz w:val="16"/>
                <w:szCs w:val="16"/>
              </w:rPr>
              <w:t>2008</w:t>
            </w:r>
          </w:p>
        </w:tc>
        <w:tc>
          <w:tcPr>
            <w:tcW w:w="709" w:type="dxa"/>
            <w:tcBorders>
              <w:top w:val="single" w:sz="4" w:space="0" w:color="auto"/>
              <w:left w:val="nil"/>
              <w:bottom w:val="nil"/>
              <w:right w:val="single" w:sz="4" w:space="0" w:color="auto"/>
            </w:tcBorders>
            <w:shd w:val="clear" w:color="000000" w:fill="D6E3BC"/>
            <w:noWrap/>
            <w:vAlign w:val="center"/>
          </w:tcPr>
          <w:p w:rsidR="00DE341A" w:rsidRPr="00D35EFD" w:rsidRDefault="00DE341A" w:rsidP="008216A0">
            <w:pPr>
              <w:jc w:val="center"/>
              <w:rPr>
                <w:rFonts w:ascii="Arial" w:hAnsi="Arial" w:cs="Arial"/>
                <w:b/>
                <w:bCs/>
                <w:sz w:val="16"/>
                <w:szCs w:val="16"/>
              </w:rPr>
            </w:pPr>
            <w:r w:rsidRPr="00D35EFD">
              <w:rPr>
                <w:rFonts w:ascii="Arial" w:hAnsi="Arial" w:cs="Arial"/>
                <w:b/>
                <w:bCs/>
                <w:sz w:val="16"/>
                <w:szCs w:val="16"/>
              </w:rPr>
              <w:t>2009</w:t>
            </w:r>
          </w:p>
        </w:tc>
        <w:tc>
          <w:tcPr>
            <w:tcW w:w="709" w:type="dxa"/>
            <w:tcBorders>
              <w:top w:val="single" w:sz="4" w:space="0" w:color="auto"/>
              <w:left w:val="nil"/>
              <w:bottom w:val="nil"/>
              <w:right w:val="single" w:sz="4" w:space="0" w:color="auto"/>
            </w:tcBorders>
            <w:shd w:val="clear" w:color="000000" w:fill="D6E3BC"/>
            <w:noWrap/>
            <w:vAlign w:val="center"/>
          </w:tcPr>
          <w:p w:rsidR="00DE341A" w:rsidRPr="00D35EFD" w:rsidRDefault="00DE341A" w:rsidP="008216A0">
            <w:pPr>
              <w:jc w:val="center"/>
              <w:rPr>
                <w:rFonts w:ascii="Arial" w:hAnsi="Arial" w:cs="Arial"/>
                <w:b/>
                <w:bCs/>
                <w:sz w:val="16"/>
                <w:szCs w:val="16"/>
              </w:rPr>
            </w:pPr>
            <w:r w:rsidRPr="00D35EFD">
              <w:rPr>
                <w:rFonts w:ascii="Arial" w:hAnsi="Arial" w:cs="Arial"/>
                <w:b/>
                <w:bCs/>
                <w:sz w:val="16"/>
                <w:szCs w:val="16"/>
              </w:rPr>
              <w:t>2010</w:t>
            </w:r>
          </w:p>
        </w:tc>
        <w:tc>
          <w:tcPr>
            <w:tcW w:w="709" w:type="dxa"/>
            <w:tcBorders>
              <w:top w:val="single" w:sz="4" w:space="0" w:color="auto"/>
              <w:left w:val="nil"/>
              <w:bottom w:val="nil"/>
              <w:right w:val="single" w:sz="4" w:space="0" w:color="auto"/>
            </w:tcBorders>
            <w:shd w:val="clear" w:color="000000" w:fill="D6E3BC"/>
            <w:noWrap/>
            <w:vAlign w:val="center"/>
          </w:tcPr>
          <w:p w:rsidR="00DE341A" w:rsidRPr="00D35EFD" w:rsidRDefault="00DE341A" w:rsidP="008216A0">
            <w:pPr>
              <w:jc w:val="center"/>
              <w:rPr>
                <w:rFonts w:ascii="Arial" w:hAnsi="Arial" w:cs="Arial"/>
                <w:b/>
                <w:bCs/>
                <w:sz w:val="16"/>
                <w:szCs w:val="16"/>
              </w:rPr>
            </w:pPr>
            <w:r w:rsidRPr="00D35EFD">
              <w:rPr>
                <w:rFonts w:ascii="Arial" w:hAnsi="Arial" w:cs="Arial"/>
                <w:b/>
                <w:bCs/>
                <w:sz w:val="16"/>
                <w:szCs w:val="16"/>
              </w:rPr>
              <w:t>2011</w:t>
            </w:r>
          </w:p>
        </w:tc>
        <w:tc>
          <w:tcPr>
            <w:tcW w:w="850" w:type="dxa"/>
            <w:tcBorders>
              <w:top w:val="single" w:sz="4" w:space="0" w:color="auto"/>
              <w:left w:val="nil"/>
              <w:bottom w:val="nil"/>
              <w:right w:val="single" w:sz="4" w:space="0" w:color="auto"/>
            </w:tcBorders>
            <w:shd w:val="clear" w:color="000000" w:fill="D6E3BC"/>
            <w:noWrap/>
            <w:vAlign w:val="center"/>
          </w:tcPr>
          <w:p w:rsidR="00DE341A" w:rsidRPr="00D35EFD" w:rsidRDefault="00DE341A" w:rsidP="008216A0">
            <w:pPr>
              <w:jc w:val="center"/>
              <w:rPr>
                <w:rFonts w:ascii="Arial" w:hAnsi="Arial" w:cs="Arial"/>
                <w:b/>
                <w:bCs/>
                <w:sz w:val="16"/>
                <w:szCs w:val="16"/>
              </w:rPr>
            </w:pPr>
            <w:r w:rsidRPr="00D35EFD">
              <w:rPr>
                <w:rFonts w:ascii="Arial" w:hAnsi="Arial" w:cs="Arial"/>
                <w:b/>
                <w:bCs/>
                <w:sz w:val="16"/>
                <w:szCs w:val="16"/>
              </w:rPr>
              <w:t>2012</w:t>
            </w:r>
          </w:p>
        </w:tc>
        <w:tc>
          <w:tcPr>
            <w:tcW w:w="496" w:type="dxa"/>
            <w:tcBorders>
              <w:top w:val="single" w:sz="4" w:space="0" w:color="auto"/>
              <w:left w:val="nil"/>
              <w:bottom w:val="nil"/>
              <w:right w:val="single" w:sz="4" w:space="0" w:color="auto"/>
            </w:tcBorders>
            <w:shd w:val="clear" w:color="000000" w:fill="D6E3BC"/>
            <w:noWrap/>
            <w:vAlign w:val="center"/>
          </w:tcPr>
          <w:p w:rsidR="00DE341A" w:rsidRPr="00D35EFD" w:rsidRDefault="00DE341A" w:rsidP="008216A0">
            <w:pPr>
              <w:jc w:val="center"/>
              <w:rPr>
                <w:rFonts w:ascii="Arial" w:hAnsi="Arial" w:cs="Arial"/>
                <w:b/>
                <w:bCs/>
                <w:sz w:val="16"/>
                <w:szCs w:val="16"/>
              </w:rPr>
            </w:pPr>
            <w:r w:rsidRPr="00D35EFD">
              <w:rPr>
                <w:rFonts w:ascii="Arial" w:hAnsi="Arial" w:cs="Arial"/>
                <w:b/>
                <w:bCs/>
                <w:sz w:val="16"/>
                <w:szCs w:val="16"/>
              </w:rPr>
              <w:t>2013</w:t>
            </w:r>
          </w:p>
        </w:tc>
        <w:tc>
          <w:tcPr>
            <w:tcW w:w="496" w:type="dxa"/>
            <w:tcBorders>
              <w:top w:val="single" w:sz="4" w:space="0" w:color="auto"/>
              <w:left w:val="nil"/>
              <w:bottom w:val="nil"/>
              <w:right w:val="single" w:sz="4" w:space="0" w:color="auto"/>
            </w:tcBorders>
            <w:shd w:val="clear" w:color="000000" w:fill="D6E3BC"/>
            <w:noWrap/>
            <w:vAlign w:val="center"/>
          </w:tcPr>
          <w:p w:rsidR="00DE341A" w:rsidRPr="00D35EFD" w:rsidRDefault="00DE341A" w:rsidP="008216A0">
            <w:pPr>
              <w:jc w:val="center"/>
              <w:rPr>
                <w:rFonts w:ascii="Arial" w:hAnsi="Arial" w:cs="Arial"/>
                <w:b/>
                <w:bCs/>
                <w:sz w:val="16"/>
                <w:szCs w:val="16"/>
              </w:rPr>
            </w:pPr>
            <w:r w:rsidRPr="00D35EFD">
              <w:rPr>
                <w:rFonts w:ascii="Arial" w:hAnsi="Arial" w:cs="Arial"/>
                <w:b/>
                <w:bCs/>
                <w:sz w:val="16"/>
                <w:szCs w:val="16"/>
              </w:rPr>
              <w:t>2014</w:t>
            </w:r>
          </w:p>
        </w:tc>
        <w:tc>
          <w:tcPr>
            <w:tcW w:w="709" w:type="dxa"/>
            <w:tcBorders>
              <w:top w:val="single" w:sz="4" w:space="0" w:color="auto"/>
              <w:left w:val="nil"/>
              <w:bottom w:val="nil"/>
              <w:right w:val="single" w:sz="4" w:space="0" w:color="auto"/>
            </w:tcBorders>
            <w:shd w:val="clear" w:color="000000" w:fill="D6E3BC"/>
            <w:noWrap/>
            <w:vAlign w:val="center"/>
          </w:tcPr>
          <w:p w:rsidR="00DE341A" w:rsidRPr="00D35EFD" w:rsidRDefault="00DE341A" w:rsidP="008216A0">
            <w:pPr>
              <w:jc w:val="center"/>
              <w:rPr>
                <w:rFonts w:ascii="Arial" w:hAnsi="Arial" w:cs="Arial"/>
                <w:b/>
                <w:bCs/>
                <w:sz w:val="16"/>
                <w:szCs w:val="16"/>
              </w:rPr>
            </w:pPr>
            <w:r w:rsidRPr="00D35EFD">
              <w:rPr>
                <w:rFonts w:ascii="Arial" w:hAnsi="Arial" w:cs="Arial"/>
                <w:b/>
                <w:bCs/>
                <w:sz w:val="16"/>
                <w:szCs w:val="16"/>
              </w:rPr>
              <w:t>2015</w:t>
            </w:r>
          </w:p>
        </w:tc>
        <w:tc>
          <w:tcPr>
            <w:tcW w:w="709" w:type="dxa"/>
            <w:tcBorders>
              <w:top w:val="single" w:sz="4" w:space="0" w:color="auto"/>
              <w:left w:val="nil"/>
              <w:bottom w:val="nil"/>
              <w:right w:val="single" w:sz="4" w:space="0" w:color="auto"/>
            </w:tcBorders>
            <w:shd w:val="clear" w:color="000000" w:fill="D6E3BC"/>
            <w:noWrap/>
            <w:vAlign w:val="center"/>
          </w:tcPr>
          <w:p w:rsidR="00DE341A" w:rsidRPr="00D35EFD" w:rsidRDefault="00DE341A" w:rsidP="008216A0">
            <w:pPr>
              <w:jc w:val="center"/>
              <w:rPr>
                <w:rFonts w:ascii="Arial" w:hAnsi="Arial" w:cs="Arial"/>
                <w:b/>
                <w:bCs/>
                <w:sz w:val="16"/>
                <w:szCs w:val="16"/>
              </w:rPr>
            </w:pPr>
            <w:r w:rsidRPr="00D35EFD">
              <w:rPr>
                <w:rFonts w:ascii="Arial" w:hAnsi="Arial" w:cs="Arial"/>
                <w:b/>
                <w:bCs/>
                <w:sz w:val="16"/>
                <w:szCs w:val="16"/>
              </w:rPr>
              <w:t>Spolu</w:t>
            </w:r>
          </w:p>
        </w:tc>
        <w:tc>
          <w:tcPr>
            <w:tcW w:w="851" w:type="dxa"/>
            <w:tcBorders>
              <w:top w:val="single" w:sz="4" w:space="0" w:color="auto"/>
              <w:left w:val="nil"/>
              <w:bottom w:val="nil"/>
              <w:right w:val="single" w:sz="4" w:space="0" w:color="auto"/>
            </w:tcBorders>
            <w:shd w:val="clear" w:color="000000" w:fill="D6E3BC"/>
            <w:noWrap/>
            <w:vAlign w:val="center"/>
          </w:tcPr>
          <w:p w:rsidR="00DE341A" w:rsidRPr="00D35EFD" w:rsidRDefault="00DE341A" w:rsidP="008216A0">
            <w:pPr>
              <w:jc w:val="center"/>
              <w:rPr>
                <w:rFonts w:ascii="Arial" w:hAnsi="Arial" w:cs="Arial"/>
                <w:b/>
                <w:bCs/>
                <w:sz w:val="16"/>
                <w:szCs w:val="16"/>
              </w:rPr>
            </w:pPr>
            <w:r w:rsidRPr="00D35EFD">
              <w:rPr>
                <w:rFonts w:ascii="Arial" w:hAnsi="Arial" w:cs="Arial"/>
                <w:b/>
                <w:bCs/>
                <w:sz w:val="16"/>
                <w:szCs w:val="16"/>
              </w:rPr>
              <w:t>Komentár</w:t>
            </w:r>
            <w:r w:rsidRPr="00D35EFD">
              <w:rPr>
                <w:rFonts w:ascii="Arial" w:hAnsi="Arial" w:cs="Arial"/>
                <w:b/>
                <w:bCs/>
                <w:sz w:val="16"/>
                <w:szCs w:val="16"/>
                <w:vertAlign w:val="superscript"/>
              </w:rPr>
              <w:t>1</w:t>
            </w:r>
          </w:p>
        </w:tc>
      </w:tr>
      <w:tr w:rsidR="00A1232F" w:rsidRPr="00D35EFD" w:rsidTr="0039268C">
        <w:trPr>
          <w:trHeight w:val="20"/>
        </w:trPr>
        <w:tc>
          <w:tcPr>
            <w:tcW w:w="1149" w:type="dxa"/>
            <w:vMerge w:val="restart"/>
            <w:tcBorders>
              <w:top w:val="single" w:sz="4" w:space="0" w:color="auto"/>
              <w:left w:val="single" w:sz="4" w:space="0" w:color="auto"/>
              <w:bottom w:val="single" w:sz="4" w:space="0" w:color="000000"/>
              <w:right w:val="single" w:sz="4" w:space="0" w:color="auto"/>
            </w:tcBorders>
            <w:shd w:val="clear" w:color="auto" w:fill="EAF1DD"/>
            <w:vAlign w:val="center"/>
          </w:tcPr>
          <w:p w:rsidR="00DE341A" w:rsidRPr="00D35EFD" w:rsidRDefault="00DE341A" w:rsidP="008216A0">
            <w:pPr>
              <w:rPr>
                <w:rFonts w:ascii="Arial" w:hAnsi="Arial" w:cs="Arial"/>
                <w:sz w:val="16"/>
                <w:szCs w:val="16"/>
              </w:rPr>
            </w:pPr>
            <w:r w:rsidRPr="00D35EFD">
              <w:rPr>
                <w:rFonts w:ascii="Arial" w:hAnsi="Arial" w:cs="Arial"/>
                <w:sz w:val="16"/>
                <w:szCs w:val="16"/>
              </w:rPr>
              <w:t>Počet projektov s príspevkom k rovnosti príležitostí [počet]</w:t>
            </w:r>
          </w:p>
        </w:tc>
        <w:tc>
          <w:tcPr>
            <w:tcW w:w="1134" w:type="dxa"/>
            <w:tcBorders>
              <w:top w:val="single" w:sz="4" w:space="0" w:color="auto"/>
              <w:left w:val="nil"/>
              <w:bottom w:val="dotted" w:sz="4" w:space="0" w:color="auto"/>
              <w:right w:val="single" w:sz="4" w:space="0" w:color="auto"/>
            </w:tcBorders>
            <w:shd w:val="clear" w:color="000000" w:fill="auto"/>
            <w:noWrap/>
            <w:vAlign w:val="center"/>
          </w:tcPr>
          <w:p w:rsidR="00DE341A" w:rsidRPr="00D35EFD" w:rsidRDefault="00DE341A" w:rsidP="008216A0">
            <w:pPr>
              <w:rPr>
                <w:rFonts w:ascii="Arial" w:hAnsi="Arial" w:cs="Arial"/>
                <w:sz w:val="16"/>
                <w:szCs w:val="16"/>
              </w:rPr>
            </w:pPr>
            <w:r w:rsidRPr="00D35EFD">
              <w:rPr>
                <w:rFonts w:ascii="Arial" w:hAnsi="Arial" w:cs="Arial"/>
                <w:sz w:val="16"/>
                <w:szCs w:val="16"/>
              </w:rPr>
              <w:t>Dosiahnutý výsledok</w:t>
            </w:r>
          </w:p>
        </w:tc>
        <w:tc>
          <w:tcPr>
            <w:tcW w:w="496" w:type="dxa"/>
            <w:tcBorders>
              <w:top w:val="single" w:sz="4" w:space="0" w:color="auto"/>
              <w:left w:val="nil"/>
              <w:bottom w:val="dotted" w:sz="4" w:space="0" w:color="auto"/>
              <w:right w:val="dotted" w:sz="4" w:space="0" w:color="auto"/>
            </w:tcBorders>
            <w:noWrap/>
            <w:vAlign w:val="center"/>
          </w:tcPr>
          <w:p w:rsidR="00DE341A" w:rsidRPr="00D35EFD" w:rsidRDefault="00DE341A" w:rsidP="008216A0">
            <w:pPr>
              <w:jc w:val="center"/>
              <w:rPr>
                <w:rFonts w:ascii="Arial" w:hAnsi="Arial" w:cs="Arial"/>
                <w:b/>
                <w:bCs/>
                <w:sz w:val="16"/>
                <w:szCs w:val="16"/>
              </w:rPr>
            </w:pPr>
            <w:r w:rsidRPr="00D35EFD">
              <w:rPr>
                <w:rFonts w:ascii="Arial" w:hAnsi="Arial" w:cs="Arial"/>
                <w:b/>
                <w:bCs/>
                <w:sz w:val="16"/>
                <w:szCs w:val="16"/>
              </w:rPr>
              <w:t>0</w:t>
            </w:r>
          </w:p>
        </w:tc>
        <w:tc>
          <w:tcPr>
            <w:tcW w:w="496" w:type="dxa"/>
            <w:tcBorders>
              <w:top w:val="single" w:sz="4" w:space="0" w:color="auto"/>
              <w:left w:val="nil"/>
              <w:bottom w:val="dotted" w:sz="4" w:space="0" w:color="auto"/>
              <w:right w:val="dotted" w:sz="4" w:space="0" w:color="auto"/>
            </w:tcBorders>
            <w:noWrap/>
            <w:vAlign w:val="center"/>
          </w:tcPr>
          <w:p w:rsidR="00DE341A" w:rsidRPr="00D35EFD" w:rsidRDefault="00DE341A" w:rsidP="008216A0">
            <w:pPr>
              <w:jc w:val="center"/>
              <w:rPr>
                <w:rFonts w:ascii="Arial" w:hAnsi="Arial" w:cs="Arial"/>
                <w:b/>
                <w:bCs/>
                <w:sz w:val="16"/>
                <w:szCs w:val="16"/>
              </w:rPr>
            </w:pPr>
            <w:r w:rsidRPr="00D35EFD">
              <w:rPr>
                <w:rFonts w:ascii="Arial" w:hAnsi="Arial" w:cs="Arial"/>
                <w:b/>
                <w:bCs/>
                <w:sz w:val="16"/>
                <w:szCs w:val="16"/>
              </w:rPr>
              <w:t>0</w:t>
            </w:r>
          </w:p>
        </w:tc>
        <w:tc>
          <w:tcPr>
            <w:tcW w:w="709" w:type="dxa"/>
            <w:tcBorders>
              <w:top w:val="single" w:sz="4" w:space="0" w:color="auto"/>
              <w:left w:val="nil"/>
              <w:bottom w:val="dotted" w:sz="4" w:space="0" w:color="auto"/>
              <w:right w:val="dotted" w:sz="4" w:space="0" w:color="auto"/>
            </w:tcBorders>
            <w:noWrap/>
            <w:vAlign w:val="center"/>
          </w:tcPr>
          <w:p w:rsidR="00DE341A" w:rsidRPr="00D35EFD" w:rsidRDefault="00DE341A" w:rsidP="008216A0">
            <w:pPr>
              <w:jc w:val="center"/>
              <w:rPr>
                <w:rFonts w:ascii="Arial" w:hAnsi="Arial" w:cs="Arial"/>
                <w:b/>
                <w:bCs/>
                <w:sz w:val="16"/>
                <w:szCs w:val="16"/>
              </w:rPr>
            </w:pPr>
            <w:r w:rsidRPr="00D35EFD">
              <w:rPr>
                <w:rFonts w:ascii="Arial" w:hAnsi="Arial" w:cs="Arial"/>
                <w:b/>
                <w:bCs/>
                <w:sz w:val="16"/>
                <w:szCs w:val="16"/>
              </w:rPr>
              <w:t>55</w:t>
            </w:r>
          </w:p>
        </w:tc>
        <w:tc>
          <w:tcPr>
            <w:tcW w:w="709" w:type="dxa"/>
            <w:tcBorders>
              <w:top w:val="single" w:sz="4" w:space="0" w:color="auto"/>
              <w:left w:val="nil"/>
              <w:bottom w:val="dotted" w:sz="4" w:space="0" w:color="auto"/>
              <w:right w:val="dotted" w:sz="4" w:space="0" w:color="auto"/>
            </w:tcBorders>
            <w:noWrap/>
            <w:vAlign w:val="center"/>
          </w:tcPr>
          <w:p w:rsidR="00DE341A" w:rsidRPr="00D35EFD" w:rsidRDefault="00DE341A" w:rsidP="008216A0">
            <w:pPr>
              <w:jc w:val="center"/>
              <w:rPr>
                <w:rFonts w:ascii="Arial" w:hAnsi="Arial" w:cs="Arial"/>
                <w:b/>
                <w:bCs/>
                <w:sz w:val="16"/>
                <w:szCs w:val="16"/>
              </w:rPr>
            </w:pPr>
            <w:r w:rsidRPr="00D35EFD">
              <w:rPr>
                <w:rFonts w:ascii="Arial" w:hAnsi="Arial" w:cs="Arial"/>
                <w:b/>
                <w:bCs/>
                <w:sz w:val="16"/>
                <w:szCs w:val="16"/>
              </w:rPr>
              <w:t>154</w:t>
            </w:r>
          </w:p>
        </w:tc>
        <w:tc>
          <w:tcPr>
            <w:tcW w:w="709" w:type="dxa"/>
            <w:tcBorders>
              <w:top w:val="single" w:sz="4" w:space="0" w:color="auto"/>
              <w:left w:val="nil"/>
              <w:bottom w:val="dotted" w:sz="4" w:space="0" w:color="auto"/>
              <w:right w:val="dotted" w:sz="4" w:space="0" w:color="auto"/>
            </w:tcBorders>
            <w:noWrap/>
            <w:vAlign w:val="center"/>
          </w:tcPr>
          <w:p w:rsidR="00DE341A" w:rsidRPr="00D35EFD" w:rsidRDefault="00DE341A" w:rsidP="008216A0">
            <w:pPr>
              <w:jc w:val="center"/>
              <w:rPr>
                <w:rFonts w:ascii="Arial" w:hAnsi="Arial" w:cs="Arial"/>
                <w:b/>
                <w:bCs/>
                <w:sz w:val="16"/>
                <w:szCs w:val="16"/>
              </w:rPr>
            </w:pPr>
            <w:r w:rsidRPr="00D35EFD">
              <w:rPr>
                <w:rFonts w:ascii="Arial" w:hAnsi="Arial" w:cs="Arial"/>
                <w:b/>
                <w:bCs/>
                <w:sz w:val="16"/>
                <w:szCs w:val="16"/>
              </w:rPr>
              <w:t>198</w:t>
            </w:r>
          </w:p>
        </w:tc>
        <w:tc>
          <w:tcPr>
            <w:tcW w:w="850" w:type="dxa"/>
            <w:tcBorders>
              <w:top w:val="single" w:sz="4" w:space="0" w:color="auto"/>
              <w:left w:val="nil"/>
              <w:bottom w:val="dotted" w:sz="4" w:space="0" w:color="auto"/>
              <w:right w:val="dotted" w:sz="4" w:space="0" w:color="auto"/>
            </w:tcBorders>
            <w:noWrap/>
            <w:vAlign w:val="center"/>
          </w:tcPr>
          <w:p w:rsidR="00DE341A" w:rsidRPr="0039268C" w:rsidRDefault="00A474C3" w:rsidP="008216A0">
            <w:pPr>
              <w:jc w:val="center"/>
              <w:rPr>
                <w:rFonts w:ascii="Arial" w:hAnsi="Arial" w:cs="Arial"/>
                <w:b/>
                <w:iCs/>
                <w:sz w:val="16"/>
                <w:szCs w:val="16"/>
              </w:rPr>
            </w:pPr>
            <w:r>
              <w:rPr>
                <w:rFonts w:ascii="Arial" w:hAnsi="Arial" w:cs="Arial"/>
                <w:b/>
                <w:iCs/>
                <w:sz w:val="16"/>
                <w:szCs w:val="16"/>
              </w:rPr>
              <w:t>193</w:t>
            </w:r>
          </w:p>
        </w:tc>
        <w:tc>
          <w:tcPr>
            <w:tcW w:w="496" w:type="dxa"/>
            <w:tcBorders>
              <w:top w:val="single" w:sz="4" w:space="0" w:color="auto"/>
              <w:left w:val="nil"/>
              <w:bottom w:val="dotted" w:sz="4" w:space="0" w:color="auto"/>
              <w:right w:val="dotted" w:sz="4" w:space="0" w:color="auto"/>
            </w:tcBorders>
            <w:noWrap/>
            <w:vAlign w:val="center"/>
          </w:tcPr>
          <w:p w:rsidR="00DE341A" w:rsidRPr="00D35EFD" w:rsidRDefault="00DE341A" w:rsidP="008216A0">
            <w:pPr>
              <w:jc w:val="center"/>
              <w:rPr>
                <w:rFonts w:ascii="Arial" w:hAnsi="Arial" w:cs="Arial"/>
                <w:i/>
                <w:iCs/>
                <w:sz w:val="16"/>
                <w:szCs w:val="16"/>
              </w:rPr>
            </w:pPr>
            <w:r w:rsidRPr="00D35EFD">
              <w:rPr>
                <w:rFonts w:ascii="Arial" w:hAnsi="Arial" w:cs="Arial"/>
                <w:i/>
                <w:iCs/>
                <w:sz w:val="16"/>
                <w:szCs w:val="16"/>
              </w:rPr>
              <w:t>N/A</w:t>
            </w:r>
          </w:p>
        </w:tc>
        <w:tc>
          <w:tcPr>
            <w:tcW w:w="496" w:type="dxa"/>
            <w:tcBorders>
              <w:top w:val="single" w:sz="4" w:space="0" w:color="auto"/>
              <w:left w:val="nil"/>
              <w:bottom w:val="dotted" w:sz="4" w:space="0" w:color="auto"/>
              <w:right w:val="dotted" w:sz="4" w:space="0" w:color="auto"/>
            </w:tcBorders>
            <w:noWrap/>
            <w:vAlign w:val="center"/>
          </w:tcPr>
          <w:p w:rsidR="00DE341A" w:rsidRPr="00D35EFD" w:rsidRDefault="00DE341A" w:rsidP="008216A0">
            <w:pPr>
              <w:jc w:val="center"/>
              <w:rPr>
                <w:rFonts w:ascii="Arial" w:hAnsi="Arial" w:cs="Arial"/>
                <w:i/>
                <w:iCs/>
                <w:sz w:val="16"/>
                <w:szCs w:val="16"/>
              </w:rPr>
            </w:pPr>
            <w:r w:rsidRPr="00D35EFD">
              <w:rPr>
                <w:rFonts w:ascii="Arial" w:hAnsi="Arial" w:cs="Arial"/>
                <w:i/>
                <w:iCs/>
                <w:sz w:val="16"/>
                <w:szCs w:val="16"/>
              </w:rPr>
              <w:t>N/A</w:t>
            </w:r>
          </w:p>
        </w:tc>
        <w:tc>
          <w:tcPr>
            <w:tcW w:w="709" w:type="dxa"/>
            <w:tcBorders>
              <w:top w:val="single" w:sz="4" w:space="0" w:color="auto"/>
              <w:left w:val="nil"/>
              <w:bottom w:val="dotted" w:sz="4" w:space="0" w:color="auto"/>
              <w:right w:val="dotted" w:sz="4" w:space="0" w:color="auto"/>
            </w:tcBorders>
            <w:noWrap/>
            <w:vAlign w:val="center"/>
          </w:tcPr>
          <w:p w:rsidR="00DE341A" w:rsidRPr="00D35EFD" w:rsidRDefault="00DE341A" w:rsidP="008216A0">
            <w:pPr>
              <w:jc w:val="center"/>
              <w:rPr>
                <w:rFonts w:ascii="Arial" w:hAnsi="Arial" w:cs="Arial"/>
                <w:i/>
                <w:iCs/>
                <w:sz w:val="16"/>
                <w:szCs w:val="16"/>
              </w:rPr>
            </w:pPr>
            <w:r w:rsidRPr="00D35EFD">
              <w:rPr>
                <w:rFonts w:ascii="Arial" w:hAnsi="Arial" w:cs="Arial"/>
                <w:i/>
                <w:iCs/>
                <w:sz w:val="16"/>
                <w:szCs w:val="16"/>
              </w:rPr>
              <w:t>N/A</w:t>
            </w:r>
          </w:p>
        </w:tc>
        <w:tc>
          <w:tcPr>
            <w:tcW w:w="709" w:type="dxa"/>
            <w:tcBorders>
              <w:top w:val="single" w:sz="4" w:space="0" w:color="auto"/>
              <w:left w:val="nil"/>
              <w:bottom w:val="dotted" w:sz="4" w:space="0" w:color="auto"/>
              <w:right w:val="dotted" w:sz="4" w:space="0" w:color="auto"/>
            </w:tcBorders>
            <w:noWrap/>
            <w:vAlign w:val="center"/>
          </w:tcPr>
          <w:p w:rsidR="00DE341A" w:rsidRPr="00D35EFD" w:rsidRDefault="00A474C3" w:rsidP="008216A0">
            <w:pPr>
              <w:jc w:val="center"/>
              <w:rPr>
                <w:rFonts w:ascii="Arial" w:hAnsi="Arial" w:cs="Arial"/>
                <w:b/>
                <w:bCs/>
                <w:sz w:val="16"/>
                <w:szCs w:val="16"/>
              </w:rPr>
            </w:pPr>
            <w:r>
              <w:rPr>
                <w:rFonts w:ascii="Arial" w:hAnsi="Arial" w:cs="Arial"/>
                <w:b/>
                <w:bCs/>
                <w:sz w:val="16"/>
                <w:szCs w:val="16"/>
              </w:rPr>
              <w:t>193</w:t>
            </w:r>
          </w:p>
        </w:tc>
        <w:tc>
          <w:tcPr>
            <w:tcW w:w="851" w:type="dxa"/>
            <w:tcBorders>
              <w:top w:val="single" w:sz="4" w:space="0" w:color="auto"/>
              <w:left w:val="nil"/>
              <w:bottom w:val="dotted" w:sz="4" w:space="0" w:color="auto"/>
              <w:right w:val="single" w:sz="4" w:space="0" w:color="auto"/>
            </w:tcBorders>
            <w:noWrap/>
            <w:vAlign w:val="center"/>
          </w:tcPr>
          <w:p w:rsidR="00DE341A" w:rsidRPr="00D35EFD" w:rsidRDefault="00335274" w:rsidP="008216A0">
            <w:pPr>
              <w:jc w:val="center"/>
              <w:rPr>
                <w:rFonts w:ascii="Arial" w:hAnsi="Arial" w:cs="Arial"/>
                <w:sz w:val="16"/>
                <w:szCs w:val="16"/>
              </w:rPr>
            </w:pPr>
            <w:r>
              <w:rPr>
                <w:rFonts w:ascii="Arial" w:hAnsi="Arial" w:cs="Arial"/>
                <w:sz w:val="16"/>
                <w:szCs w:val="16"/>
              </w:rPr>
              <w:t>21</w:t>
            </w:r>
            <w:r w:rsidR="00A474C3">
              <w:rPr>
                <w:rFonts w:ascii="Arial" w:hAnsi="Arial" w:cs="Arial"/>
                <w:sz w:val="16"/>
                <w:szCs w:val="16"/>
              </w:rPr>
              <w:t>8</w:t>
            </w:r>
          </w:p>
        </w:tc>
      </w:tr>
      <w:tr w:rsidR="00A1232F" w:rsidRPr="00D35EFD" w:rsidTr="0039268C">
        <w:trPr>
          <w:trHeight w:val="20"/>
        </w:trPr>
        <w:tc>
          <w:tcPr>
            <w:tcW w:w="1149" w:type="dxa"/>
            <w:vMerge/>
            <w:tcBorders>
              <w:top w:val="single" w:sz="4" w:space="0" w:color="000000"/>
              <w:left w:val="single" w:sz="4" w:space="0" w:color="auto"/>
              <w:bottom w:val="single" w:sz="4" w:space="0" w:color="000000"/>
              <w:right w:val="single" w:sz="4" w:space="0" w:color="auto"/>
            </w:tcBorders>
            <w:shd w:val="clear" w:color="auto" w:fill="EAF1DD"/>
            <w:vAlign w:val="center"/>
          </w:tcPr>
          <w:p w:rsidR="00DE341A" w:rsidRPr="00D35EFD" w:rsidRDefault="00DE341A" w:rsidP="008216A0">
            <w:pPr>
              <w:rPr>
                <w:rFonts w:ascii="Arial" w:hAnsi="Arial" w:cs="Arial"/>
                <w:sz w:val="16"/>
                <w:szCs w:val="16"/>
              </w:rPr>
            </w:pPr>
          </w:p>
        </w:tc>
        <w:tc>
          <w:tcPr>
            <w:tcW w:w="1134" w:type="dxa"/>
            <w:tcBorders>
              <w:top w:val="nil"/>
              <w:left w:val="nil"/>
              <w:bottom w:val="dotted" w:sz="4" w:space="0" w:color="auto"/>
              <w:right w:val="single" w:sz="4" w:space="0" w:color="auto"/>
            </w:tcBorders>
            <w:shd w:val="clear" w:color="000000" w:fill="auto"/>
            <w:noWrap/>
            <w:vAlign w:val="center"/>
          </w:tcPr>
          <w:p w:rsidR="00DE341A" w:rsidRPr="00D35EFD" w:rsidRDefault="00DE341A" w:rsidP="008216A0">
            <w:pPr>
              <w:rPr>
                <w:rFonts w:ascii="Arial" w:hAnsi="Arial" w:cs="Arial"/>
                <w:sz w:val="16"/>
                <w:szCs w:val="16"/>
              </w:rPr>
            </w:pPr>
            <w:r w:rsidRPr="00D35EFD">
              <w:rPr>
                <w:rFonts w:ascii="Arial" w:hAnsi="Arial" w:cs="Arial"/>
                <w:sz w:val="16"/>
                <w:szCs w:val="16"/>
              </w:rPr>
              <w:t>Cieľ</w:t>
            </w:r>
          </w:p>
        </w:tc>
        <w:tc>
          <w:tcPr>
            <w:tcW w:w="496" w:type="dxa"/>
            <w:tcBorders>
              <w:top w:val="nil"/>
              <w:left w:val="nil"/>
              <w:bottom w:val="dotted" w:sz="4" w:space="0" w:color="auto"/>
              <w:right w:val="dotted" w:sz="4" w:space="0" w:color="auto"/>
            </w:tcBorders>
            <w:noWrap/>
            <w:vAlign w:val="center"/>
          </w:tcPr>
          <w:p w:rsidR="00DE341A" w:rsidRPr="00D35EFD" w:rsidRDefault="00DE341A" w:rsidP="008216A0">
            <w:pPr>
              <w:jc w:val="center"/>
              <w:rPr>
                <w:rFonts w:ascii="Arial" w:hAnsi="Arial" w:cs="Arial"/>
                <w:i/>
                <w:iCs/>
                <w:sz w:val="16"/>
                <w:szCs w:val="16"/>
              </w:rPr>
            </w:pPr>
            <w:r w:rsidRPr="00D35EFD">
              <w:rPr>
                <w:rFonts w:ascii="Arial" w:hAnsi="Arial" w:cs="Arial"/>
                <w:i/>
                <w:iCs/>
                <w:sz w:val="16"/>
                <w:szCs w:val="16"/>
              </w:rPr>
              <w:t>N/A</w:t>
            </w:r>
          </w:p>
        </w:tc>
        <w:tc>
          <w:tcPr>
            <w:tcW w:w="496" w:type="dxa"/>
            <w:tcBorders>
              <w:top w:val="nil"/>
              <w:left w:val="nil"/>
              <w:bottom w:val="dotted" w:sz="4" w:space="0" w:color="auto"/>
              <w:right w:val="dotted" w:sz="4" w:space="0" w:color="auto"/>
            </w:tcBorders>
            <w:noWrap/>
            <w:vAlign w:val="center"/>
          </w:tcPr>
          <w:p w:rsidR="00DE341A" w:rsidRPr="00D35EFD" w:rsidRDefault="00DE341A" w:rsidP="008216A0">
            <w:pPr>
              <w:jc w:val="center"/>
              <w:rPr>
                <w:rFonts w:ascii="Arial" w:hAnsi="Arial" w:cs="Arial"/>
                <w:i/>
                <w:iCs/>
                <w:sz w:val="16"/>
                <w:szCs w:val="16"/>
              </w:rPr>
            </w:pPr>
            <w:r w:rsidRPr="00D35EFD">
              <w:rPr>
                <w:rFonts w:ascii="Arial" w:hAnsi="Arial" w:cs="Arial"/>
                <w:i/>
                <w:iCs/>
                <w:sz w:val="16"/>
                <w:szCs w:val="16"/>
              </w:rPr>
              <w:t>N/A</w:t>
            </w:r>
          </w:p>
        </w:tc>
        <w:tc>
          <w:tcPr>
            <w:tcW w:w="709" w:type="dxa"/>
            <w:tcBorders>
              <w:top w:val="nil"/>
              <w:left w:val="nil"/>
              <w:bottom w:val="dotted" w:sz="4" w:space="0" w:color="auto"/>
              <w:right w:val="dotted" w:sz="4" w:space="0" w:color="auto"/>
            </w:tcBorders>
            <w:noWrap/>
            <w:vAlign w:val="center"/>
          </w:tcPr>
          <w:p w:rsidR="00DE341A" w:rsidRPr="00D35EFD" w:rsidRDefault="00DE341A" w:rsidP="008216A0">
            <w:pPr>
              <w:jc w:val="center"/>
              <w:rPr>
                <w:rFonts w:ascii="Arial" w:hAnsi="Arial" w:cs="Arial"/>
                <w:i/>
                <w:iCs/>
                <w:sz w:val="16"/>
                <w:szCs w:val="16"/>
              </w:rPr>
            </w:pPr>
            <w:r w:rsidRPr="00D35EFD">
              <w:rPr>
                <w:rFonts w:ascii="Arial" w:hAnsi="Arial" w:cs="Arial"/>
                <w:i/>
                <w:iCs/>
                <w:sz w:val="16"/>
                <w:szCs w:val="16"/>
              </w:rPr>
              <w:t>N/A</w:t>
            </w:r>
          </w:p>
        </w:tc>
        <w:tc>
          <w:tcPr>
            <w:tcW w:w="709" w:type="dxa"/>
            <w:tcBorders>
              <w:top w:val="nil"/>
              <w:left w:val="nil"/>
              <w:bottom w:val="dotted" w:sz="4" w:space="0" w:color="auto"/>
              <w:right w:val="dotted" w:sz="4" w:space="0" w:color="auto"/>
            </w:tcBorders>
            <w:noWrap/>
            <w:vAlign w:val="center"/>
          </w:tcPr>
          <w:p w:rsidR="00DE341A" w:rsidRPr="00D35EFD" w:rsidRDefault="00DE341A" w:rsidP="008216A0">
            <w:pPr>
              <w:jc w:val="center"/>
              <w:rPr>
                <w:rFonts w:ascii="Arial" w:hAnsi="Arial" w:cs="Arial"/>
                <w:i/>
                <w:iCs/>
                <w:sz w:val="16"/>
                <w:szCs w:val="16"/>
              </w:rPr>
            </w:pPr>
            <w:r w:rsidRPr="00D35EFD">
              <w:rPr>
                <w:rFonts w:ascii="Arial" w:hAnsi="Arial" w:cs="Arial"/>
                <w:i/>
                <w:iCs/>
                <w:sz w:val="16"/>
                <w:szCs w:val="16"/>
              </w:rPr>
              <w:t>N/A</w:t>
            </w:r>
          </w:p>
        </w:tc>
        <w:tc>
          <w:tcPr>
            <w:tcW w:w="709" w:type="dxa"/>
            <w:tcBorders>
              <w:top w:val="nil"/>
              <w:left w:val="nil"/>
              <w:bottom w:val="dotted" w:sz="4" w:space="0" w:color="auto"/>
              <w:right w:val="dotted" w:sz="4" w:space="0" w:color="auto"/>
            </w:tcBorders>
            <w:noWrap/>
            <w:vAlign w:val="center"/>
          </w:tcPr>
          <w:p w:rsidR="00DE341A" w:rsidRPr="00D35EFD" w:rsidRDefault="00DE341A" w:rsidP="008216A0">
            <w:pPr>
              <w:jc w:val="center"/>
              <w:rPr>
                <w:rFonts w:ascii="Arial" w:hAnsi="Arial" w:cs="Arial"/>
                <w:i/>
                <w:iCs/>
                <w:sz w:val="16"/>
                <w:szCs w:val="16"/>
              </w:rPr>
            </w:pPr>
            <w:r w:rsidRPr="00D35EFD">
              <w:rPr>
                <w:rFonts w:ascii="Arial" w:hAnsi="Arial" w:cs="Arial"/>
                <w:i/>
                <w:iCs/>
                <w:sz w:val="16"/>
                <w:szCs w:val="16"/>
              </w:rPr>
              <w:t>N/A</w:t>
            </w:r>
          </w:p>
        </w:tc>
        <w:tc>
          <w:tcPr>
            <w:tcW w:w="850" w:type="dxa"/>
            <w:tcBorders>
              <w:top w:val="nil"/>
              <w:left w:val="nil"/>
              <w:bottom w:val="dotted" w:sz="4" w:space="0" w:color="auto"/>
              <w:right w:val="dotted" w:sz="4" w:space="0" w:color="auto"/>
            </w:tcBorders>
            <w:noWrap/>
            <w:vAlign w:val="center"/>
          </w:tcPr>
          <w:p w:rsidR="00DE341A" w:rsidRPr="00D35EFD" w:rsidRDefault="00DE341A" w:rsidP="008216A0">
            <w:pPr>
              <w:jc w:val="center"/>
              <w:rPr>
                <w:rFonts w:ascii="Arial" w:hAnsi="Arial" w:cs="Arial"/>
                <w:i/>
                <w:iCs/>
                <w:sz w:val="16"/>
                <w:szCs w:val="16"/>
              </w:rPr>
            </w:pPr>
            <w:r w:rsidRPr="00D35EFD">
              <w:rPr>
                <w:rFonts w:ascii="Arial" w:hAnsi="Arial" w:cs="Arial"/>
                <w:i/>
                <w:iCs/>
                <w:sz w:val="16"/>
                <w:szCs w:val="16"/>
              </w:rPr>
              <w:t>N/A</w:t>
            </w:r>
          </w:p>
        </w:tc>
        <w:tc>
          <w:tcPr>
            <w:tcW w:w="496" w:type="dxa"/>
            <w:tcBorders>
              <w:top w:val="nil"/>
              <w:left w:val="nil"/>
              <w:bottom w:val="dotted" w:sz="4" w:space="0" w:color="auto"/>
              <w:right w:val="dotted" w:sz="4" w:space="0" w:color="auto"/>
            </w:tcBorders>
            <w:noWrap/>
            <w:vAlign w:val="center"/>
          </w:tcPr>
          <w:p w:rsidR="00DE341A" w:rsidRPr="00D35EFD" w:rsidRDefault="00DE341A" w:rsidP="008216A0">
            <w:pPr>
              <w:jc w:val="center"/>
              <w:rPr>
                <w:rFonts w:ascii="Arial" w:hAnsi="Arial" w:cs="Arial"/>
                <w:i/>
                <w:iCs/>
                <w:sz w:val="16"/>
                <w:szCs w:val="16"/>
              </w:rPr>
            </w:pPr>
            <w:r w:rsidRPr="00D35EFD">
              <w:rPr>
                <w:rFonts w:ascii="Arial" w:hAnsi="Arial" w:cs="Arial"/>
                <w:i/>
                <w:iCs/>
                <w:sz w:val="16"/>
                <w:szCs w:val="16"/>
              </w:rPr>
              <w:t>N/A</w:t>
            </w:r>
          </w:p>
        </w:tc>
        <w:tc>
          <w:tcPr>
            <w:tcW w:w="496" w:type="dxa"/>
            <w:tcBorders>
              <w:top w:val="nil"/>
              <w:left w:val="nil"/>
              <w:bottom w:val="dotted" w:sz="4" w:space="0" w:color="auto"/>
              <w:right w:val="dotted" w:sz="4" w:space="0" w:color="auto"/>
            </w:tcBorders>
            <w:noWrap/>
            <w:vAlign w:val="center"/>
          </w:tcPr>
          <w:p w:rsidR="00DE341A" w:rsidRPr="00D35EFD" w:rsidRDefault="00DE341A" w:rsidP="008216A0">
            <w:pPr>
              <w:jc w:val="center"/>
              <w:rPr>
                <w:rFonts w:ascii="Arial" w:hAnsi="Arial" w:cs="Arial"/>
                <w:i/>
                <w:iCs/>
                <w:sz w:val="16"/>
                <w:szCs w:val="16"/>
              </w:rPr>
            </w:pPr>
            <w:r w:rsidRPr="00D35EFD">
              <w:rPr>
                <w:rFonts w:ascii="Arial" w:hAnsi="Arial" w:cs="Arial"/>
                <w:i/>
                <w:iCs/>
                <w:sz w:val="16"/>
                <w:szCs w:val="16"/>
              </w:rPr>
              <w:t>N/A</w:t>
            </w:r>
          </w:p>
        </w:tc>
        <w:tc>
          <w:tcPr>
            <w:tcW w:w="709" w:type="dxa"/>
            <w:tcBorders>
              <w:top w:val="nil"/>
              <w:left w:val="nil"/>
              <w:bottom w:val="dotted" w:sz="4" w:space="0" w:color="auto"/>
              <w:right w:val="dotted" w:sz="4" w:space="0" w:color="auto"/>
            </w:tcBorders>
            <w:noWrap/>
            <w:vAlign w:val="center"/>
          </w:tcPr>
          <w:p w:rsidR="00DE341A" w:rsidRPr="00D35EFD" w:rsidRDefault="00DE341A" w:rsidP="008216A0">
            <w:pPr>
              <w:jc w:val="center"/>
              <w:rPr>
                <w:rFonts w:ascii="Arial" w:hAnsi="Arial" w:cs="Arial"/>
                <w:b/>
                <w:bCs/>
                <w:sz w:val="16"/>
                <w:szCs w:val="16"/>
              </w:rPr>
            </w:pPr>
            <w:r w:rsidRPr="00D35EFD">
              <w:rPr>
                <w:rFonts w:ascii="Arial" w:hAnsi="Arial" w:cs="Arial"/>
                <w:b/>
                <w:bCs/>
                <w:sz w:val="16"/>
                <w:szCs w:val="16"/>
              </w:rPr>
              <w:t>210</w:t>
            </w:r>
          </w:p>
        </w:tc>
        <w:tc>
          <w:tcPr>
            <w:tcW w:w="709" w:type="dxa"/>
            <w:tcBorders>
              <w:top w:val="nil"/>
              <w:left w:val="nil"/>
              <w:bottom w:val="dotted" w:sz="4" w:space="0" w:color="auto"/>
              <w:right w:val="dotted" w:sz="4" w:space="0" w:color="auto"/>
            </w:tcBorders>
            <w:noWrap/>
            <w:vAlign w:val="center"/>
          </w:tcPr>
          <w:p w:rsidR="00DE341A" w:rsidRPr="00D35EFD" w:rsidRDefault="00DE341A" w:rsidP="008216A0">
            <w:pPr>
              <w:jc w:val="center"/>
              <w:rPr>
                <w:rFonts w:ascii="Arial" w:hAnsi="Arial" w:cs="Arial"/>
                <w:b/>
                <w:bCs/>
                <w:sz w:val="16"/>
                <w:szCs w:val="16"/>
              </w:rPr>
            </w:pPr>
            <w:r w:rsidRPr="00D35EFD">
              <w:rPr>
                <w:rFonts w:ascii="Arial" w:hAnsi="Arial" w:cs="Arial"/>
                <w:b/>
                <w:bCs/>
                <w:sz w:val="16"/>
                <w:szCs w:val="16"/>
              </w:rPr>
              <w:t>210</w:t>
            </w:r>
          </w:p>
        </w:tc>
        <w:tc>
          <w:tcPr>
            <w:tcW w:w="851" w:type="dxa"/>
            <w:tcBorders>
              <w:top w:val="nil"/>
              <w:left w:val="nil"/>
              <w:bottom w:val="dotted" w:sz="4" w:space="0" w:color="auto"/>
              <w:right w:val="single" w:sz="4" w:space="0" w:color="auto"/>
            </w:tcBorders>
            <w:noWrap/>
            <w:vAlign w:val="center"/>
          </w:tcPr>
          <w:p w:rsidR="00DE341A" w:rsidRPr="00D35EFD" w:rsidRDefault="00DE341A" w:rsidP="008216A0">
            <w:pPr>
              <w:jc w:val="center"/>
              <w:rPr>
                <w:rFonts w:ascii="Arial" w:hAnsi="Arial" w:cs="Arial"/>
                <w:i/>
                <w:iCs/>
                <w:sz w:val="16"/>
                <w:szCs w:val="16"/>
              </w:rPr>
            </w:pPr>
          </w:p>
        </w:tc>
      </w:tr>
      <w:tr w:rsidR="00A1232F" w:rsidRPr="00D35EFD" w:rsidTr="0039268C">
        <w:trPr>
          <w:trHeight w:val="20"/>
        </w:trPr>
        <w:tc>
          <w:tcPr>
            <w:tcW w:w="1149" w:type="dxa"/>
            <w:vMerge/>
            <w:tcBorders>
              <w:top w:val="single" w:sz="4" w:space="0" w:color="000000"/>
              <w:left w:val="single" w:sz="4" w:space="0" w:color="auto"/>
              <w:bottom w:val="single" w:sz="4" w:space="0" w:color="000000"/>
              <w:right w:val="single" w:sz="4" w:space="0" w:color="auto"/>
            </w:tcBorders>
            <w:shd w:val="clear" w:color="auto" w:fill="EAF1DD"/>
            <w:vAlign w:val="center"/>
          </w:tcPr>
          <w:p w:rsidR="00DE341A" w:rsidRPr="00D35EFD" w:rsidRDefault="00DE341A" w:rsidP="008216A0">
            <w:pPr>
              <w:rPr>
                <w:rFonts w:ascii="Arial" w:hAnsi="Arial" w:cs="Arial"/>
                <w:sz w:val="16"/>
                <w:szCs w:val="16"/>
              </w:rPr>
            </w:pPr>
          </w:p>
        </w:tc>
        <w:tc>
          <w:tcPr>
            <w:tcW w:w="1134" w:type="dxa"/>
            <w:tcBorders>
              <w:top w:val="nil"/>
              <w:left w:val="nil"/>
              <w:bottom w:val="single" w:sz="4" w:space="0" w:color="auto"/>
              <w:right w:val="single" w:sz="4" w:space="0" w:color="auto"/>
            </w:tcBorders>
            <w:shd w:val="clear" w:color="000000" w:fill="auto"/>
            <w:noWrap/>
            <w:vAlign w:val="center"/>
          </w:tcPr>
          <w:p w:rsidR="00DE341A" w:rsidRPr="00D35EFD" w:rsidRDefault="00DE341A" w:rsidP="008216A0">
            <w:pPr>
              <w:rPr>
                <w:rFonts w:ascii="Arial" w:hAnsi="Arial" w:cs="Arial"/>
                <w:sz w:val="16"/>
                <w:szCs w:val="16"/>
              </w:rPr>
            </w:pPr>
            <w:r w:rsidRPr="00D35EFD">
              <w:rPr>
                <w:rFonts w:ascii="Arial" w:hAnsi="Arial" w:cs="Arial"/>
                <w:sz w:val="16"/>
                <w:szCs w:val="16"/>
              </w:rPr>
              <w:t>Východisko</w:t>
            </w:r>
          </w:p>
        </w:tc>
        <w:tc>
          <w:tcPr>
            <w:tcW w:w="496" w:type="dxa"/>
            <w:tcBorders>
              <w:top w:val="nil"/>
              <w:left w:val="nil"/>
              <w:bottom w:val="single" w:sz="4" w:space="0" w:color="auto"/>
              <w:right w:val="dotted" w:sz="4" w:space="0" w:color="auto"/>
            </w:tcBorders>
            <w:noWrap/>
            <w:vAlign w:val="center"/>
          </w:tcPr>
          <w:p w:rsidR="00DE341A" w:rsidRPr="00D35EFD" w:rsidRDefault="00DE341A" w:rsidP="008216A0">
            <w:pPr>
              <w:jc w:val="center"/>
              <w:rPr>
                <w:rFonts w:ascii="Arial" w:hAnsi="Arial" w:cs="Arial"/>
                <w:b/>
                <w:bCs/>
                <w:sz w:val="16"/>
                <w:szCs w:val="16"/>
              </w:rPr>
            </w:pPr>
            <w:r w:rsidRPr="00D35EFD">
              <w:rPr>
                <w:rFonts w:ascii="Arial" w:hAnsi="Arial" w:cs="Arial"/>
                <w:b/>
                <w:bCs/>
                <w:sz w:val="16"/>
                <w:szCs w:val="16"/>
              </w:rPr>
              <w:t>0</w:t>
            </w:r>
          </w:p>
        </w:tc>
        <w:tc>
          <w:tcPr>
            <w:tcW w:w="496" w:type="dxa"/>
            <w:tcBorders>
              <w:top w:val="nil"/>
              <w:left w:val="nil"/>
              <w:bottom w:val="single" w:sz="4" w:space="0" w:color="auto"/>
              <w:right w:val="dotted" w:sz="4" w:space="0" w:color="auto"/>
            </w:tcBorders>
            <w:noWrap/>
            <w:vAlign w:val="center"/>
          </w:tcPr>
          <w:p w:rsidR="00DE341A" w:rsidRPr="00D35EFD" w:rsidRDefault="00DE341A" w:rsidP="008216A0">
            <w:pPr>
              <w:jc w:val="center"/>
              <w:rPr>
                <w:rFonts w:ascii="Arial" w:hAnsi="Arial" w:cs="Arial"/>
                <w:i/>
                <w:iCs/>
                <w:sz w:val="16"/>
                <w:szCs w:val="16"/>
              </w:rPr>
            </w:pPr>
            <w:r w:rsidRPr="00D35EFD">
              <w:rPr>
                <w:rFonts w:ascii="Arial" w:hAnsi="Arial" w:cs="Arial"/>
                <w:i/>
                <w:iCs/>
                <w:sz w:val="16"/>
                <w:szCs w:val="16"/>
              </w:rPr>
              <w:t>N/A</w:t>
            </w:r>
          </w:p>
        </w:tc>
        <w:tc>
          <w:tcPr>
            <w:tcW w:w="709" w:type="dxa"/>
            <w:tcBorders>
              <w:top w:val="nil"/>
              <w:left w:val="nil"/>
              <w:bottom w:val="single" w:sz="4" w:space="0" w:color="auto"/>
              <w:right w:val="dotted" w:sz="4" w:space="0" w:color="auto"/>
            </w:tcBorders>
            <w:noWrap/>
            <w:vAlign w:val="center"/>
          </w:tcPr>
          <w:p w:rsidR="00DE341A" w:rsidRPr="00D35EFD" w:rsidRDefault="00DE341A" w:rsidP="008216A0">
            <w:pPr>
              <w:jc w:val="center"/>
              <w:rPr>
                <w:rFonts w:ascii="Arial" w:hAnsi="Arial" w:cs="Arial"/>
                <w:i/>
                <w:iCs/>
                <w:sz w:val="16"/>
                <w:szCs w:val="16"/>
              </w:rPr>
            </w:pPr>
            <w:r w:rsidRPr="00D35EFD">
              <w:rPr>
                <w:rFonts w:ascii="Arial" w:hAnsi="Arial" w:cs="Arial"/>
                <w:i/>
                <w:iCs/>
                <w:sz w:val="16"/>
                <w:szCs w:val="16"/>
              </w:rPr>
              <w:t>N/A</w:t>
            </w:r>
          </w:p>
        </w:tc>
        <w:tc>
          <w:tcPr>
            <w:tcW w:w="709" w:type="dxa"/>
            <w:tcBorders>
              <w:top w:val="nil"/>
              <w:left w:val="nil"/>
              <w:bottom w:val="single" w:sz="4" w:space="0" w:color="auto"/>
              <w:right w:val="dotted" w:sz="4" w:space="0" w:color="auto"/>
            </w:tcBorders>
            <w:noWrap/>
            <w:vAlign w:val="center"/>
          </w:tcPr>
          <w:p w:rsidR="00DE341A" w:rsidRPr="00D35EFD" w:rsidRDefault="00DE341A" w:rsidP="008216A0">
            <w:pPr>
              <w:jc w:val="center"/>
              <w:rPr>
                <w:rFonts w:ascii="Arial" w:hAnsi="Arial" w:cs="Arial"/>
                <w:i/>
                <w:iCs/>
                <w:sz w:val="16"/>
                <w:szCs w:val="16"/>
              </w:rPr>
            </w:pPr>
            <w:r w:rsidRPr="00D35EFD">
              <w:rPr>
                <w:rFonts w:ascii="Arial" w:hAnsi="Arial" w:cs="Arial"/>
                <w:i/>
                <w:iCs/>
                <w:sz w:val="16"/>
                <w:szCs w:val="16"/>
              </w:rPr>
              <w:t>N/A</w:t>
            </w:r>
          </w:p>
        </w:tc>
        <w:tc>
          <w:tcPr>
            <w:tcW w:w="709" w:type="dxa"/>
            <w:tcBorders>
              <w:top w:val="nil"/>
              <w:left w:val="nil"/>
              <w:bottom w:val="single" w:sz="4" w:space="0" w:color="auto"/>
              <w:right w:val="dotted" w:sz="4" w:space="0" w:color="auto"/>
            </w:tcBorders>
            <w:noWrap/>
            <w:vAlign w:val="center"/>
          </w:tcPr>
          <w:p w:rsidR="00DE341A" w:rsidRPr="00D35EFD" w:rsidRDefault="00DE341A" w:rsidP="008216A0">
            <w:pPr>
              <w:jc w:val="center"/>
              <w:rPr>
                <w:rFonts w:ascii="Arial" w:hAnsi="Arial" w:cs="Arial"/>
                <w:i/>
                <w:iCs/>
                <w:sz w:val="16"/>
                <w:szCs w:val="16"/>
              </w:rPr>
            </w:pPr>
            <w:r w:rsidRPr="00D35EFD">
              <w:rPr>
                <w:rFonts w:ascii="Arial" w:hAnsi="Arial" w:cs="Arial"/>
                <w:i/>
                <w:iCs/>
                <w:sz w:val="16"/>
                <w:szCs w:val="16"/>
              </w:rPr>
              <w:t>N/A</w:t>
            </w:r>
          </w:p>
        </w:tc>
        <w:tc>
          <w:tcPr>
            <w:tcW w:w="850" w:type="dxa"/>
            <w:tcBorders>
              <w:top w:val="nil"/>
              <w:left w:val="nil"/>
              <w:bottom w:val="single" w:sz="4" w:space="0" w:color="auto"/>
              <w:right w:val="dotted" w:sz="4" w:space="0" w:color="auto"/>
            </w:tcBorders>
            <w:noWrap/>
            <w:vAlign w:val="center"/>
          </w:tcPr>
          <w:p w:rsidR="00DE341A" w:rsidRPr="00D35EFD" w:rsidRDefault="00DE341A" w:rsidP="008216A0">
            <w:pPr>
              <w:jc w:val="center"/>
              <w:rPr>
                <w:rFonts w:ascii="Arial" w:hAnsi="Arial" w:cs="Arial"/>
                <w:i/>
                <w:iCs/>
                <w:sz w:val="16"/>
                <w:szCs w:val="16"/>
              </w:rPr>
            </w:pPr>
            <w:r w:rsidRPr="00D35EFD">
              <w:rPr>
                <w:rFonts w:ascii="Arial" w:hAnsi="Arial" w:cs="Arial"/>
                <w:i/>
                <w:iCs/>
                <w:sz w:val="16"/>
                <w:szCs w:val="16"/>
              </w:rPr>
              <w:t>N/A</w:t>
            </w:r>
          </w:p>
        </w:tc>
        <w:tc>
          <w:tcPr>
            <w:tcW w:w="496" w:type="dxa"/>
            <w:tcBorders>
              <w:top w:val="nil"/>
              <w:left w:val="nil"/>
              <w:bottom w:val="single" w:sz="4" w:space="0" w:color="auto"/>
              <w:right w:val="dotted" w:sz="4" w:space="0" w:color="auto"/>
            </w:tcBorders>
            <w:noWrap/>
            <w:vAlign w:val="center"/>
          </w:tcPr>
          <w:p w:rsidR="00DE341A" w:rsidRPr="00D35EFD" w:rsidRDefault="00DE341A" w:rsidP="008216A0">
            <w:pPr>
              <w:jc w:val="center"/>
              <w:rPr>
                <w:rFonts w:ascii="Arial" w:hAnsi="Arial" w:cs="Arial"/>
                <w:i/>
                <w:iCs/>
                <w:sz w:val="16"/>
                <w:szCs w:val="16"/>
              </w:rPr>
            </w:pPr>
            <w:r w:rsidRPr="00D35EFD">
              <w:rPr>
                <w:rFonts w:ascii="Arial" w:hAnsi="Arial" w:cs="Arial"/>
                <w:i/>
                <w:iCs/>
                <w:sz w:val="16"/>
                <w:szCs w:val="16"/>
              </w:rPr>
              <w:t>N/A</w:t>
            </w:r>
          </w:p>
        </w:tc>
        <w:tc>
          <w:tcPr>
            <w:tcW w:w="496" w:type="dxa"/>
            <w:tcBorders>
              <w:top w:val="nil"/>
              <w:left w:val="nil"/>
              <w:bottom w:val="single" w:sz="4" w:space="0" w:color="auto"/>
              <w:right w:val="dotted" w:sz="4" w:space="0" w:color="auto"/>
            </w:tcBorders>
            <w:noWrap/>
            <w:vAlign w:val="center"/>
          </w:tcPr>
          <w:p w:rsidR="00DE341A" w:rsidRPr="00D35EFD" w:rsidRDefault="00DE341A" w:rsidP="008216A0">
            <w:pPr>
              <w:jc w:val="center"/>
              <w:rPr>
                <w:rFonts w:ascii="Arial" w:hAnsi="Arial" w:cs="Arial"/>
                <w:i/>
                <w:iCs/>
                <w:sz w:val="16"/>
                <w:szCs w:val="16"/>
              </w:rPr>
            </w:pPr>
            <w:r w:rsidRPr="00D35EFD">
              <w:rPr>
                <w:rFonts w:ascii="Arial" w:hAnsi="Arial" w:cs="Arial"/>
                <w:i/>
                <w:iCs/>
                <w:sz w:val="16"/>
                <w:szCs w:val="16"/>
              </w:rPr>
              <w:t>N/A</w:t>
            </w:r>
          </w:p>
        </w:tc>
        <w:tc>
          <w:tcPr>
            <w:tcW w:w="709" w:type="dxa"/>
            <w:tcBorders>
              <w:top w:val="nil"/>
              <w:left w:val="nil"/>
              <w:bottom w:val="single" w:sz="4" w:space="0" w:color="auto"/>
              <w:right w:val="dotted" w:sz="4" w:space="0" w:color="auto"/>
            </w:tcBorders>
            <w:noWrap/>
            <w:vAlign w:val="center"/>
          </w:tcPr>
          <w:p w:rsidR="00DE341A" w:rsidRPr="00D35EFD" w:rsidRDefault="00DE341A" w:rsidP="008216A0">
            <w:pPr>
              <w:jc w:val="center"/>
              <w:rPr>
                <w:rFonts w:ascii="Arial" w:hAnsi="Arial" w:cs="Arial"/>
                <w:i/>
                <w:iCs/>
                <w:sz w:val="16"/>
                <w:szCs w:val="16"/>
              </w:rPr>
            </w:pPr>
            <w:r w:rsidRPr="00D35EFD">
              <w:rPr>
                <w:rFonts w:ascii="Arial" w:hAnsi="Arial" w:cs="Arial"/>
                <w:i/>
                <w:iCs/>
                <w:sz w:val="16"/>
                <w:szCs w:val="16"/>
              </w:rPr>
              <w:t>N/A</w:t>
            </w:r>
          </w:p>
        </w:tc>
        <w:tc>
          <w:tcPr>
            <w:tcW w:w="709" w:type="dxa"/>
            <w:tcBorders>
              <w:top w:val="nil"/>
              <w:left w:val="nil"/>
              <w:bottom w:val="single" w:sz="4" w:space="0" w:color="auto"/>
              <w:right w:val="dotted" w:sz="4" w:space="0" w:color="auto"/>
            </w:tcBorders>
            <w:noWrap/>
            <w:vAlign w:val="center"/>
          </w:tcPr>
          <w:p w:rsidR="00DE341A" w:rsidRPr="00D35EFD" w:rsidRDefault="00DE341A" w:rsidP="008216A0">
            <w:pPr>
              <w:jc w:val="center"/>
              <w:rPr>
                <w:rFonts w:ascii="Arial" w:hAnsi="Arial" w:cs="Arial"/>
                <w:b/>
                <w:bCs/>
                <w:sz w:val="16"/>
                <w:szCs w:val="16"/>
              </w:rPr>
            </w:pPr>
            <w:r w:rsidRPr="00D35EFD">
              <w:rPr>
                <w:rFonts w:ascii="Arial" w:hAnsi="Arial" w:cs="Arial"/>
                <w:b/>
                <w:bCs/>
                <w:sz w:val="16"/>
                <w:szCs w:val="16"/>
              </w:rPr>
              <w:t>0</w:t>
            </w:r>
          </w:p>
        </w:tc>
        <w:tc>
          <w:tcPr>
            <w:tcW w:w="851" w:type="dxa"/>
            <w:tcBorders>
              <w:top w:val="nil"/>
              <w:left w:val="nil"/>
              <w:bottom w:val="single" w:sz="4" w:space="0" w:color="auto"/>
              <w:right w:val="single" w:sz="4" w:space="0" w:color="auto"/>
            </w:tcBorders>
            <w:noWrap/>
            <w:vAlign w:val="center"/>
          </w:tcPr>
          <w:p w:rsidR="00DE341A" w:rsidRPr="00D35EFD" w:rsidRDefault="00DE341A" w:rsidP="008216A0">
            <w:pPr>
              <w:jc w:val="center"/>
              <w:rPr>
                <w:rFonts w:ascii="Arial" w:hAnsi="Arial" w:cs="Arial"/>
                <w:sz w:val="16"/>
                <w:szCs w:val="16"/>
              </w:rPr>
            </w:pPr>
          </w:p>
        </w:tc>
      </w:tr>
      <w:tr w:rsidR="00A1232F" w:rsidRPr="00D35EFD" w:rsidTr="0039268C">
        <w:trPr>
          <w:trHeight w:val="20"/>
        </w:trPr>
        <w:tc>
          <w:tcPr>
            <w:tcW w:w="1149" w:type="dxa"/>
            <w:vMerge w:val="restart"/>
            <w:tcBorders>
              <w:top w:val="single" w:sz="4" w:space="0" w:color="000000"/>
              <w:left w:val="single" w:sz="4" w:space="0" w:color="auto"/>
              <w:bottom w:val="single" w:sz="4" w:space="0" w:color="000000"/>
              <w:right w:val="single" w:sz="4" w:space="0" w:color="auto"/>
            </w:tcBorders>
            <w:shd w:val="clear" w:color="auto" w:fill="EAF1DD"/>
            <w:vAlign w:val="center"/>
          </w:tcPr>
          <w:p w:rsidR="00DE341A" w:rsidRPr="00D35EFD" w:rsidRDefault="00DE341A" w:rsidP="008216A0">
            <w:pPr>
              <w:rPr>
                <w:rFonts w:ascii="Arial" w:hAnsi="Arial" w:cs="Arial"/>
                <w:sz w:val="16"/>
                <w:szCs w:val="16"/>
              </w:rPr>
            </w:pPr>
            <w:r w:rsidRPr="00D35EFD">
              <w:rPr>
                <w:rFonts w:ascii="Arial" w:hAnsi="Arial" w:cs="Arial"/>
                <w:sz w:val="16"/>
                <w:szCs w:val="16"/>
              </w:rPr>
              <w:t>Hodnota projektov s príspevkom k rovnosti príležitostí [EUR]</w:t>
            </w:r>
          </w:p>
        </w:tc>
        <w:tc>
          <w:tcPr>
            <w:tcW w:w="1134" w:type="dxa"/>
            <w:tcBorders>
              <w:top w:val="nil"/>
              <w:left w:val="nil"/>
              <w:bottom w:val="dotted" w:sz="4" w:space="0" w:color="auto"/>
              <w:right w:val="single" w:sz="4" w:space="0" w:color="auto"/>
            </w:tcBorders>
            <w:shd w:val="clear" w:color="000000" w:fill="auto"/>
            <w:noWrap/>
            <w:vAlign w:val="center"/>
          </w:tcPr>
          <w:p w:rsidR="00DE341A" w:rsidRPr="00D35EFD" w:rsidRDefault="00DE341A" w:rsidP="008216A0">
            <w:pPr>
              <w:rPr>
                <w:rFonts w:ascii="Arial" w:hAnsi="Arial" w:cs="Arial"/>
                <w:sz w:val="16"/>
                <w:szCs w:val="16"/>
              </w:rPr>
            </w:pPr>
            <w:r w:rsidRPr="00D35EFD">
              <w:rPr>
                <w:rFonts w:ascii="Arial" w:hAnsi="Arial" w:cs="Arial"/>
                <w:sz w:val="16"/>
                <w:szCs w:val="16"/>
              </w:rPr>
              <w:t>Dosiahnutý výsledok</w:t>
            </w:r>
          </w:p>
        </w:tc>
        <w:tc>
          <w:tcPr>
            <w:tcW w:w="496" w:type="dxa"/>
            <w:tcBorders>
              <w:top w:val="nil"/>
              <w:left w:val="nil"/>
              <w:bottom w:val="dotted" w:sz="4" w:space="0" w:color="auto"/>
              <w:right w:val="dotted" w:sz="4" w:space="0" w:color="auto"/>
            </w:tcBorders>
            <w:noWrap/>
            <w:vAlign w:val="center"/>
          </w:tcPr>
          <w:p w:rsidR="00DE341A" w:rsidRPr="00D35EFD" w:rsidRDefault="00DE341A" w:rsidP="008216A0">
            <w:pPr>
              <w:jc w:val="center"/>
              <w:rPr>
                <w:rFonts w:ascii="Arial" w:hAnsi="Arial" w:cs="Arial"/>
                <w:b/>
                <w:bCs/>
                <w:sz w:val="16"/>
                <w:szCs w:val="16"/>
              </w:rPr>
            </w:pPr>
            <w:r w:rsidRPr="00D35EFD">
              <w:rPr>
                <w:rFonts w:ascii="Arial" w:hAnsi="Arial" w:cs="Arial"/>
                <w:b/>
                <w:bCs/>
                <w:sz w:val="16"/>
                <w:szCs w:val="16"/>
              </w:rPr>
              <w:t>0</w:t>
            </w:r>
          </w:p>
        </w:tc>
        <w:tc>
          <w:tcPr>
            <w:tcW w:w="496" w:type="dxa"/>
            <w:tcBorders>
              <w:top w:val="nil"/>
              <w:left w:val="nil"/>
              <w:bottom w:val="dotted" w:sz="4" w:space="0" w:color="auto"/>
              <w:right w:val="dotted" w:sz="4" w:space="0" w:color="auto"/>
            </w:tcBorders>
            <w:noWrap/>
            <w:vAlign w:val="center"/>
          </w:tcPr>
          <w:p w:rsidR="00DE341A" w:rsidRPr="00D35EFD" w:rsidRDefault="00DE341A" w:rsidP="008216A0">
            <w:pPr>
              <w:jc w:val="center"/>
              <w:rPr>
                <w:rFonts w:ascii="Arial" w:hAnsi="Arial" w:cs="Arial"/>
                <w:b/>
                <w:bCs/>
                <w:sz w:val="16"/>
                <w:szCs w:val="16"/>
              </w:rPr>
            </w:pPr>
            <w:r w:rsidRPr="00D35EFD">
              <w:rPr>
                <w:rFonts w:ascii="Arial" w:hAnsi="Arial" w:cs="Arial"/>
                <w:b/>
                <w:bCs/>
                <w:sz w:val="16"/>
                <w:szCs w:val="16"/>
              </w:rPr>
              <w:t>0</w:t>
            </w:r>
          </w:p>
        </w:tc>
        <w:tc>
          <w:tcPr>
            <w:tcW w:w="709" w:type="dxa"/>
            <w:tcBorders>
              <w:top w:val="nil"/>
              <w:left w:val="nil"/>
              <w:bottom w:val="dotted" w:sz="4" w:space="0" w:color="auto"/>
              <w:right w:val="dotted" w:sz="4" w:space="0" w:color="auto"/>
            </w:tcBorders>
            <w:noWrap/>
            <w:vAlign w:val="center"/>
          </w:tcPr>
          <w:p w:rsidR="00DE341A" w:rsidRPr="00D35EFD" w:rsidRDefault="00DE341A" w:rsidP="008216A0">
            <w:pPr>
              <w:jc w:val="center"/>
              <w:rPr>
                <w:rFonts w:ascii="Arial" w:hAnsi="Arial" w:cs="Arial"/>
                <w:b/>
                <w:bCs/>
                <w:sz w:val="16"/>
                <w:szCs w:val="16"/>
              </w:rPr>
            </w:pPr>
            <w:r w:rsidRPr="00D35EFD">
              <w:rPr>
                <w:rFonts w:ascii="Arial" w:hAnsi="Arial" w:cs="Arial"/>
                <w:b/>
                <w:bCs/>
                <w:sz w:val="16"/>
                <w:szCs w:val="16"/>
              </w:rPr>
              <w:t>112 079 864</w:t>
            </w:r>
          </w:p>
        </w:tc>
        <w:tc>
          <w:tcPr>
            <w:tcW w:w="709" w:type="dxa"/>
            <w:tcBorders>
              <w:top w:val="nil"/>
              <w:left w:val="nil"/>
              <w:bottom w:val="dotted" w:sz="4" w:space="0" w:color="auto"/>
              <w:right w:val="dotted" w:sz="4" w:space="0" w:color="auto"/>
            </w:tcBorders>
            <w:noWrap/>
            <w:vAlign w:val="center"/>
          </w:tcPr>
          <w:p w:rsidR="00DE341A" w:rsidRPr="00D35EFD" w:rsidRDefault="00DE341A" w:rsidP="008216A0">
            <w:pPr>
              <w:jc w:val="center"/>
              <w:rPr>
                <w:rFonts w:ascii="Arial" w:hAnsi="Arial" w:cs="Arial"/>
                <w:b/>
                <w:bCs/>
                <w:sz w:val="16"/>
                <w:szCs w:val="16"/>
              </w:rPr>
            </w:pPr>
            <w:r w:rsidRPr="00D35EFD">
              <w:rPr>
                <w:rFonts w:ascii="Arial" w:hAnsi="Arial" w:cs="Arial"/>
                <w:b/>
                <w:bCs/>
                <w:sz w:val="16"/>
                <w:szCs w:val="16"/>
              </w:rPr>
              <w:t>343 383 727</w:t>
            </w:r>
          </w:p>
        </w:tc>
        <w:tc>
          <w:tcPr>
            <w:tcW w:w="709" w:type="dxa"/>
            <w:tcBorders>
              <w:top w:val="nil"/>
              <w:left w:val="nil"/>
              <w:bottom w:val="dotted" w:sz="4" w:space="0" w:color="auto"/>
              <w:right w:val="dotted" w:sz="4" w:space="0" w:color="auto"/>
            </w:tcBorders>
            <w:noWrap/>
            <w:vAlign w:val="center"/>
          </w:tcPr>
          <w:p w:rsidR="00DE341A" w:rsidRPr="00D35EFD" w:rsidRDefault="00DE341A" w:rsidP="008216A0">
            <w:pPr>
              <w:jc w:val="center"/>
              <w:rPr>
                <w:rFonts w:ascii="Arial" w:hAnsi="Arial" w:cs="Arial"/>
                <w:b/>
                <w:bCs/>
                <w:sz w:val="16"/>
                <w:szCs w:val="16"/>
              </w:rPr>
            </w:pPr>
            <w:r w:rsidRPr="00D35EFD">
              <w:rPr>
                <w:rFonts w:ascii="Arial" w:hAnsi="Arial" w:cs="Arial"/>
                <w:b/>
                <w:bCs/>
                <w:sz w:val="16"/>
                <w:szCs w:val="16"/>
              </w:rPr>
              <w:t>410 553 071</w:t>
            </w:r>
          </w:p>
        </w:tc>
        <w:tc>
          <w:tcPr>
            <w:tcW w:w="850" w:type="dxa"/>
            <w:tcBorders>
              <w:top w:val="nil"/>
              <w:left w:val="nil"/>
              <w:bottom w:val="dotted" w:sz="4" w:space="0" w:color="auto"/>
              <w:right w:val="dotted" w:sz="4" w:space="0" w:color="auto"/>
            </w:tcBorders>
            <w:noWrap/>
            <w:vAlign w:val="center"/>
          </w:tcPr>
          <w:p w:rsidR="00DE341A" w:rsidRPr="0039268C" w:rsidRDefault="00A474C3" w:rsidP="008216A0">
            <w:pPr>
              <w:jc w:val="center"/>
              <w:rPr>
                <w:rFonts w:ascii="Arial" w:hAnsi="Arial" w:cs="Arial"/>
                <w:b/>
                <w:iCs/>
                <w:sz w:val="16"/>
                <w:szCs w:val="16"/>
              </w:rPr>
            </w:pPr>
            <w:r>
              <w:rPr>
                <w:rFonts w:ascii="Arial" w:hAnsi="Arial" w:cs="Arial"/>
                <w:b/>
                <w:iCs/>
                <w:sz w:val="16"/>
                <w:szCs w:val="16"/>
              </w:rPr>
              <w:t>574 417 631,76</w:t>
            </w:r>
          </w:p>
        </w:tc>
        <w:tc>
          <w:tcPr>
            <w:tcW w:w="496" w:type="dxa"/>
            <w:tcBorders>
              <w:top w:val="nil"/>
              <w:left w:val="nil"/>
              <w:bottom w:val="dotted" w:sz="4" w:space="0" w:color="auto"/>
              <w:right w:val="dotted" w:sz="4" w:space="0" w:color="auto"/>
            </w:tcBorders>
            <w:noWrap/>
            <w:vAlign w:val="center"/>
          </w:tcPr>
          <w:p w:rsidR="00DE341A" w:rsidRPr="00D35EFD" w:rsidRDefault="00DE341A" w:rsidP="008216A0">
            <w:pPr>
              <w:jc w:val="center"/>
              <w:rPr>
                <w:rFonts w:ascii="Arial" w:hAnsi="Arial" w:cs="Arial"/>
                <w:i/>
                <w:iCs/>
                <w:sz w:val="16"/>
                <w:szCs w:val="16"/>
              </w:rPr>
            </w:pPr>
            <w:r w:rsidRPr="00D35EFD">
              <w:rPr>
                <w:rFonts w:ascii="Arial" w:hAnsi="Arial" w:cs="Arial"/>
                <w:i/>
                <w:iCs/>
                <w:sz w:val="16"/>
                <w:szCs w:val="16"/>
              </w:rPr>
              <w:t>N/A</w:t>
            </w:r>
          </w:p>
        </w:tc>
        <w:tc>
          <w:tcPr>
            <w:tcW w:w="496" w:type="dxa"/>
            <w:tcBorders>
              <w:top w:val="nil"/>
              <w:left w:val="nil"/>
              <w:bottom w:val="dotted" w:sz="4" w:space="0" w:color="auto"/>
              <w:right w:val="dotted" w:sz="4" w:space="0" w:color="auto"/>
            </w:tcBorders>
            <w:noWrap/>
            <w:vAlign w:val="center"/>
          </w:tcPr>
          <w:p w:rsidR="00DE341A" w:rsidRPr="00D35EFD" w:rsidRDefault="00DE341A" w:rsidP="008216A0">
            <w:pPr>
              <w:jc w:val="center"/>
              <w:rPr>
                <w:rFonts w:ascii="Arial" w:hAnsi="Arial" w:cs="Arial"/>
                <w:i/>
                <w:iCs/>
                <w:sz w:val="16"/>
                <w:szCs w:val="16"/>
              </w:rPr>
            </w:pPr>
            <w:r w:rsidRPr="00D35EFD">
              <w:rPr>
                <w:rFonts w:ascii="Arial" w:hAnsi="Arial" w:cs="Arial"/>
                <w:i/>
                <w:iCs/>
                <w:sz w:val="16"/>
                <w:szCs w:val="16"/>
              </w:rPr>
              <w:t>N/A</w:t>
            </w:r>
          </w:p>
        </w:tc>
        <w:tc>
          <w:tcPr>
            <w:tcW w:w="709" w:type="dxa"/>
            <w:tcBorders>
              <w:top w:val="nil"/>
              <w:left w:val="nil"/>
              <w:bottom w:val="dotted" w:sz="4" w:space="0" w:color="auto"/>
              <w:right w:val="dotted" w:sz="4" w:space="0" w:color="auto"/>
            </w:tcBorders>
            <w:noWrap/>
            <w:vAlign w:val="center"/>
          </w:tcPr>
          <w:p w:rsidR="00DE341A" w:rsidRPr="00D35EFD" w:rsidRDefault="00DE341A" w:rsidP="008216A0">
            <w:pPr>
              <w:jc w:val="center"/>
              <w:rPr>
                <w:rFonts w:ascii="Arial" w:hAnsi="Arial" w:cs="Arial"/>
                <w:i/>
                <w:iCs/>
                <w:sz w:val="16"/>
                <w:szCs w:val="16"/>
              </w:rPr>
            </w:pPr>
            <w:r w:rsidRPr="00D35EFD">
              <w:rPr>
                <w:rFonts w:ascii="Arial" w:hAnsi="Arial" w:cs="Arial"/>
                <w:i/>
                <w:iCs/>
                <w:sz w:val="16"/>
                <w:szCs w:val="16"/>
              </w:rPr>
              <w:t>N/A</w:t>
            </w:r>
          </w:p>
        </w:tc>
        <w:tc>
          <w:tcPr>
            <w:tcW w:w="709" w:type="dxa"/>
            <w:tcBorders>
              <w:top w:val="nil"/>
              <w:left w:val="nil"/>
              <w:bottom w:val="dotted" w:sz="4" w:space="0" w:color="auto"/>
              <w:right w:val="dotted" w:sz="4" w:space="0" w:color="auto"/>
            </w:tcBorders>
            <w:noWrap/>
            <w:vAlign w:val="center"/>
          </w:tcPr>
          <w:p w:rsidR="00DE341A" w:rsidRPr="00D35EFD" w:rsidRDefault="00A474C3" w:rsidP="008216A0">
            <w:pPr>
              <w:jc w:val="center"/>
              <w:rPr>
                <w:rFonts w:ascii="Arial" w:hAnsi="Arial" w:cs="Arial"/>
                <w:b/>
                <w:bCs/>
                <w:sz w:val="16"/>
                <w:szCs w:val="16"/>
              </w:rPr>
            </w:pPr>
            <w:r>
              <w:rPr>
                <w:rFonts w:ascii="Arial" w:hAnsi="Arial" w:cs="Arial"/>
                <w:b/>
                <w:iCs/>
                <w:sz w:val="16"/>
                <w:szCs w:val="16"/>
              </w:rPr>
              <w:t>574 417 631,76</w:t>
            </w:r>
          </w:p>
        </w:tc>
        <w:tc>
          <w:tcPr>
            <w:tcW w:w="851" w:type="dxa"/>
            <w:tcBorders>
              <w:top w:val="nil"/>
              <w:left w:val="nil"/>
              <w:bottom w:val="dotted" w:sz="4" w:space="0" w:color="auto"/>
              <w:right w:val="single" w:sz="4" w:space="0" w:color="auto"/>
            </w:tcBorders>
            <w:noWrap/>
            <w:vAlign w:val="center"/>
          </w:tcPr>
          <w:p w:rsidR="00DE341A" w:rsidRPr="00D35EFD" w:rsidRDefault="00DE341A" w:rsidP="008216A0">
            <w:pPr>
              <w:jc w:val="center"/>
              <w:rPr>
                <w:rFonts w:ascii="Arial" w:hAnsi="Arial" w:cs="Arial"/>
                <w:i/>
                <w:iCs/>
                <w:sz w:val="16"/>
                <w:szCs w:val="16"/>
              </w:rPr>
            </w:pPr>
            <w:r w:rsidRPr="00D35EFD">
              <w:rPr>
                <w:rFonts w:ascii="Arial" w:hAnsi="Arial" w:cs="Arial"/>
                <w:i/>
                <w:iCs/>
                <w:sz w:val="16"/>
                <w:szCs w:val="16"/>
              </w:rPr>
              <w:t>EÚ+ŠR+VZ</w:t>
            </w:r>
          </w:p>
        </w:tc>
      </w:tr>
      <w:tr w:rsidR="00A1232F" w:rsidRPr="00D35EFD" w:rsidTr="0039268C">
        <w:trPr>
          <w:trHeight w:val="20"/>
        </w:trPr>
        <w:tc>
          <w:tcPr>
            <w:tcW w:w="1149" w:type="dxa"/>
            <w:vMerge/>
            <w:tcBorders>
              <w:top w:val="single" w:sz="4" w:space="0" w:color="000000"/>
              <w:left w:val="single" w:sz="4" w:space="0" w:color="auto"/>
              <w:bottom w:val="single" w:sz="4" w:space="0" w:color="000000"/>
              <w:right w:val="single" w:sz="4" w:space="0" w:color="auto"/>
            </w:tcBorders>
            <w:shd w:val="clear" w:color="auto" w:fill="EAF1DD"/>
            <w:vAlign w:val="center"/>
          </w:tcPr>
          <w:p w:rsidR="00DE341A" w:rsidRPr="00D35EFD" w:rsidRDefault="00DE341A" w:rsidP="008216A0">
            <w:pPr>
              <w:rPr>
                <w:rFonts w:ascii="Arial" w:hAnsi="Arial" w:cs="Arial"/>
                <w:sz w:val="16"/>
                <w:szCs w:val="16"/>
              </w:rPr>
            </w:pPr>
          </w:p>
        </w:tc>
        <w:tc>
          <w:tcPr>
            <w:tcW w:w="1134" w:type="dxa"/>
            <w:tcBorders>
              <w:top w:val="nil"/>
              <w:left w:val="nil"/>
              <w:bottom w:val="dotted" w:sz="4" w:space="0" w:color="auto"/>
              <w:right w:val="single" w:sz="4" w:space="0" w:color="auto"/>
            </w:tcBorders>
            <w:shd w:val="clear" w:color="000000" w:fill="auto"/>
            <w:noWrap/>
            <w:vAlign w:val="center"/>
          </w:tcPr>
          <w:p w:rsidR="00DE341A" w:rsidRPr="00D35EFD" w:rsidRDefault="00DE341A" w:rsidP="008216A0">
            <w:pPr>
              <w:rPr>
                <w:rFonts w:ascii="Arial" w:hAnsi="Arial" w:cs="Arial"/>
                <w:sz w:val="16"/>
                <w:szCs w:val="16"/>
              </w:rPr>
            </w:pPr>
            <w:r w:rsidRPr="00D35EFD">
              <w:rPr>
                <w:rFonts w:ascii="Arial" w:hAnsi="Arial" w:cs="Arial"/>
                <w:sz w:val="16"/>
                <w:szCs w:val="16"/>
              </w:rPr>
              <w:t>Cieľ</w:t>
            </w:r>
          </w:p>
        </w:tc>
        <w:tc>
          <w:tcPr>
            <w:tcW w:w="496" w:type="dxa"/>
            <w:tcBorders>
              <w:top w:val="nil"/>
              <w:left w:val="nil"/>
              <w:bottom w:val="dotted" w:sz="4" w:space="0" w:color="auto"/>
              <w:right w:val="dotted" w:sz="4" w:space="0" w:color="auto"/>
            </w:tcBorders>
            <w:noWrap/>
            <w:vAlign w:val="center"/>
          </w:tcPr>
          <w:p w:rsidR="00DE341A" w:rsidRPr="00D35EFD" w:rsidRDefault="00DE341A" w:rsidP="008216A0">
            <w:pPr>
              <w:jc w:val="center"/>
              <w:rPr>
                <w:rFonts w:ascii="Arial" w:hAnsi="Arial" w:cs="Arial"/>
                <w:i/>
                <w:iCs/>
                <w:sz w:val="16"/>
                <w:szCs w:val="16"/>
              </w:rPr>
            </w:pPr>
            <w:r w:rsidRPr="00D35EFD">
              <w:rPr>
                <w:rFonts w:ascii="Arial" w:hAnsi="Arial" w:cs="Arial"/>
                <w:i/>
                <w:iCs/>
                <w:sz w:val="16"/>
                <w:szCs w:val="16"/>
              </w:rPr>
              <w:t>N/A</w:t>
            </w:r>
          </w:p>
        </w:tc>
        <w:tc>
          <w:tcPr>
            <w:tcW w:w="496" w:type="dxa"/>
            <w:tcBorders>
              <w:top w:val="nil"/>
              <w:left w:val="nil"/>
              <w:bottom w:val="dotted" w:sz="4" w:space="0" w:color="auto"/>
              <w:right w:val="dotted" w:sz="4" w:space="0" w:color="auto"/>
            </w:tcBorders>
            <w:noWrap/>
            <w:vAlign w:val="center"/>
          </w:tcPr>
          <w:p w:rsidR="00DE341A" w:rsidRPr="00D35EFD" w:rsidRDefault="00DE341A" w:rsidP="008216A0">
            <w:pPr>
              <w:jc w:val="center"/>
              <w:rPr>
                <w:rFonts w:ascii="Arial" w:hAnsi="Arial" w:cs="Arial"/>
                <w:i/>
                <w:iCs/>
                <w:sz w:val="16"/>
                <w:szCs w:val="16"/>
              </w:rPr>
            </w:pPr>
            <w:r w:rsidRPr="00D35EFD">
              <w:rPr>
                <w:rFonts w:ascii="Arial" w:hAnsi="Arial" w:cs="Arial"/>
                <w:i/>
                <w:iCs/>
                <w:sz w:val="16"/>
                <w:szCs w:val="16"/>
              </w:rPr>
              <w:t>N/A</w:t>
            </w:r>
          </w:p>
        </w:tc>
        <w:tc>
          <w:tcPr>
            <w:tcW w:w="709" w:type="dxa"/>
            <w:tcBorders>
              <w:top w:val="nil"/>
              <w:left w:val="nil"/>
              <w:bottom w:val="dotted" w:sz="4" w:space="0" w:color="auto"/>
              <w:right w:val="dotted" w:sz="4" w:space="0" w:color="auto"/>
            </w:tcBorders>
            <w:noWrap/>
            <w:vAlign w:val="center"/>
          </w:tcPr>
          <w:p w:rsidR="00DE341A" w:rsidRPr="00D35EFD" w:rsidRDefault="00DE341A" w:rsidP="008216A0">
            <w:pPr>
              <w:jc w:val="center"/>
              <w:rPr>
                <w:rFonts w:ascii="Arial" w:hAnsi="Arial" w:cs="Arial"/>
                <w:i/>
                <w:iCs/>
                <w:sz w:val="16"/>
                <w:szCs w:val="16"/>
              </w:rPr>
            </w:pPr>
            <w:r w:rsidRPr="00D35EFD">
              <w:rPr>
                <w:rFonts w:ascii="Arial" w:hAnsi="Arial" w:cs="Arial"/>
                <w:i/>
                <w:iCs/>
                <w:sz w:val="16"/>
                <w:szCs w:val="16"/>
              </w:rPr>
              <w:t>N/A</w:t>
            </w:r>
          </w:p>
        </w:tc>
        <w:tc>
          <w:tcPr>
            <w:tcW w:w="709" w:type="dxa"/>
            <w:tcBorders>
              <w:top w:val="nil"/>
              <w:left w:val="nil"/>
              <w:bottom w:val="dotted" w:sz="4" w:space="0" w:color="auto"/>
              <w:right w:val="dotted" w:sz="4" w:space="0" w:color="auto"/>
            </w:tcBorders>
            <w:noWrap/>
            <w:vAlign w:val="center"/>
          </w:tcPr>
          <w:p w:rsidR="00DE341A" w:rsidRPr="00D35EFD" w:rsidRDefault="00DE341A" w:rsidP="008216A0">
            <w:pPr>
              <w:jc w:val="center"/>
              <w:rPr>
                <w:rFonts w:ascii="Arial" w:hAnsi="Arial" w:cs="Arial"/>
                <w:i/>
                <w:iCs/>
                <w:sz w:val="16"/>
                <w:szCs w:val="16"/>
              </w:rPr>
            </w:pPr>
            <w:r w:rsidRPr="00D35EFD">
              <w:rPr>
                <w:rFonts w:ascii="Arial" w:hAnsi="Arial" w:cs="Arial"/>
                <w:i/>
                <w:iCs/>
                <w:sz w:val="16"/>
                <w:szCs w:val="16"/>
              </w:rPr>
              <w:t>N/A</w:t>
            </w:r>
          </w:p>
        </w:tc>
        <w:tc>
          <w:tcPr>
            <w:tcW w:w="709" w:type="dxa"/>
            <w:tcBorders>
              <w:top w:val="nil"/>
              <w:left w:val="nil"/>
              <w:bottom w:val="dotted" w:sz="4" w:space="0" w:color="auto"/>
              <w:right w:val="dotted" w:sz="4" w:space="0" w:color="auto"/>
            </w:tcBorders>
            <w:noWrap/>
            <w:vAlign w:val="center"/>
          </w:tcPr>
          <w:p w:rsidR="00DE341A" w:rsidRPr="00D35EFD" w:rsidRDefault="00DE341A" w:rsidP="008216A0">
            <w:pPr>
              <w:jc w:val="center"/>
              <w:rPr>
                <w:rFonts w:ascii="Arial" w:hAnsi="Arial" w:cs="Arial"/>
                <w:i/>
                <w:iCs/>
                <w:sz w:val="16"/>
                <w:szCs w:val="16"/>
              </w:rPr>
            </w:pPr>
            <w:r w:rsidRPr="00D35EFD">
              <w:rPr>
                <w:rFonts w:ascii="Arial" w:hAnsi="Arial" w:cs="Arial"/>
                <w:i/>
                <w:iCs/>
                <w:sz w:val="16"/>
                <w:szCs w:val="16"/>
              </w:rPr>
              <w:t>N/A</w:t>
            </w:r>
          </w:p>
        </w:tc>
        <w:tc>
          <w:tcPr>
            <w:tcW w:w="850" w:type="dxa"/>
            <w:tcBorders>
              <w:top w:val="nil"/>
              <w:left w:val="nil"/>
              <w:bottom w:val="dotted" w:sz="4" w:space="0" w:color="auto"/>
              <w:right w:val="dotted" w:sz="4" w:space="0" w:color="auto"/>
            </w:tcBorders>
            <w:noWrap/>
            <w:vAlign w:val="center"/>
          </w:tcPr>
          <w:p w:rsidR="00DE341A" w:rsidRPr="00D35EFD" w:rsidRDefault="00DE341A" w:rsidP="008216A0">
            <w:pPr>
              <w:jc w:val="center"/>
              <w:rPr>
                <w:rFonts w:ascii="Arial" w:hAnsi="Arial" w:cs="Arial"/>
                <w:i/>
                <w:iCs/>
                <w:sz w:val="16"/>
                <w:szCs w:val="16"/>
              </w:rPr>
            </w:pPr>
            <w:r w:rsidRPr="00D35EFD">
              <w:rPr>
                <w:rFonts w:ascii="Arial" w:hAnsi="Arial" w:cs="Arial"/>
                <w:i/>
                <w:iCs/>
                <w:sz w:val="16"/>
                <w:szCs w:val="16"/>
              </w:rPr>
              <w:t>N/A</w:t>
            </w:r>
          </w:p>
        </w:tc>
        <w:tc>
          <w:tcPr>
            <w:tcW w:w="496" w:type="dxa"/>
            <w:tcBorders>
              <w:top w:val="nil"/>
              <w:left w:val="nil"/>
              <w:bottom w:val="dotted" w:sz="4" w:space="0" w:color="auto"/>
              <w:right w:val="dotted" w:sz="4" w:space="0" w:color="auto"/>
            </w:tcBorders>
            <w:noWrap/>
            <w:vAlign w:val="center"/>
          </w:tcPr>
          <w:p w:rsidR="00DE341A" w:rsidRPr="00D35EFD" w:rsidRDefault="00DE341A" w:rsidP="008216A0">
            <w:pPr>
              <w:jc w:val="center"/>
              <w:rPr>
                <w:rFonts w:ascii="Arial" w:hAnsi="Arial" w:cs="Arial"/>
                <w:i/>
                <w:iCs/>
                <w:sz w:val="16"/>
                <w:szCs w:val="16"/>
              </w:rPr>
            </w:pPr>
            <w:r w:rsidRPr="00D35EFD">
              <w:rPr>
                <w:rFonts w:ascii="Arial" w:hAnsi="Arial" w:cs="Arial"/>
                <w:i/>
                <w:iCs/>
                <w:sz w:val="16"/>
                <w:szCs w:val="16"/>
              </w:rPr>
              <w:t>N/A</w:t>
            </w:r>
          </w:p>
        </w:tc>
        <w:tc>
          <w:tcPr>
            <w:tcW w:w="496" w:type="dxa"/>
            <w:tcBorders>
              <w:top w:val="nil"/>
              <w:left w:val="nil"/>
              <w:bottom w:val="dotted" w:sz="4" w:space="0" w:color="auto"/>
              <w:right w:val="dotted" w:sz="4" w:space="0" w:color="auto"/>
            </w:tcBorders>
            <w:noWrap/>
            <w:vAlign w:val="center"/>
          </w:tcPr>
          <w:p w:rsidR="00DE341A" w:rsidRPr="00D35EFD" w:rsidRDefault="00DE341A" w:rsidP="008216A0">
            <w:pPr>
              <w:jc w:val="center"/>
              <w:rPr>
                <w:rFonts w:ascii="Arial" w:hAnsi="Arial" w:cs="Arial"/>
                <w:i/>
                <w:iCs/>
                <w:sz w:val="16"/>
                <w:szCs w:val="16"/>
              </w:rPr>
            </w:pPr>
            <w:r w:rsidRPr="00D35EFD">
              <w:rPr>
                <w:rFonts w:ascii="Arial" w:hAnsi="Arial" w:cs="Arial"/>
                <w:i/>
                <w:iCs/>
                <w:sz w:val="16"/>
                <w:szCs w:val="16"/>
              </w:rPr>
              <w:t>N/A</w:t>
            </w:r>
          </w:p>
        </w:tc>
        <w:tc>
          <w:tcPr>
            <w:tcW w:w="709" w:type="dxa"/>
            <w:tcBorders>
              <w:top w:val="nil"/>
              <w:left w:val="nil"/>
              <w:bottom w:val="dotted" w:sz="4" w:space="0" w:color="auto"/>
              <w:right w:val="dotted" w:sz="4" w:space="0" w:color="auto"/>
            </w:tcBorders>
            <w:noWrap/>
            <w:vAlign w:val="center"/>
          </w:tcPr>
          <w:p w:rsidR="00DE341A" w:rsidRPr="00D35EFD" w:rsidRDefault="00DE341A" w:rsidP="008216A0">
            <w:pPr>
              <w:jc w:val="center"/>
              <w:rPr>
                <w:rFonts w:ascii="Arial" w:hAnsi="Arial" w:cs="Arial"/>
                <w:b/>
                <w:bCs/>
                <w:sz w:val="16"/>
                <w:szCs w:val="16"/>
              </w:rPr>
            </w:pPr>
            <w:r w:rsidRPr="00D35EFD">
              <w:rPr>
                <w:rFonts w:ascii="Arial" w:hAnsi="Arial" w:cs="Arial"/>
                <w:b/>
                <w:bCs/>
                <w:sz w:val="16"/>
                <w:szCs w:val="16"/>
              </w:rPr>
              <w:t>550 000 000</w:t>
            </w:r>
          </w:p>
        </w:tc>
        <w:tc>
          <w:tcPr>
            <w:tcW w:w="709" w:type="dxa"/>
            <w:tcBorders>
              <w:top w:val="nil"/>
              <w:left w:val="nil"/>
              <w:bottom w:val="dotted" w:sz="4" w:space="0" w:color="auto"/>
              <w:right w:val="dotted" w:sz="4" w:space="0" w:color="auto"/>
            </w:tcBorders>
            <w:noWrap/>
            <w:vAlign w:val="center"/>
          </w:tcPr>
          <w:p w:rsidR="00DE341A" w:rsidRPr="00D35EFD" w:rsidRDefault="00DE341A" w:rsidP="008216A0">
            <w:pPr>
              <w:jc w:val="center"/>
              <w:rPr>
                <w:rFonts w:ascii="Arial" w:hAnsi="Arial" w:cs="Arial"/>
                <w:b/>
                <w:bCs/>
                <w:sz w:val="16"/>
                <w:szCs w:val="16"/>
              </w:rPr>
            </w:pPr>
            <w:r w:rsidRPr="00D35EFD">
              <w:rPr>
                <w:rFonts w:ascii="Arial" w:hAnsi="Arial" w:cs="Arial"/>
                <w:b/>
                <w:bCs/>
                <w:sz w:val="16"/>
                <w:szCs w:val="16"/>
              </w:rPr>
              <w:t>550 000 000</w:t>
            </w:r>
          </w:p>
        </w:tc>
        <w:tc>
          <w:tcPr>
            <w:tcW w:w="851" w:type="dxa"/>
            <w:tcBorders>
              <w:top w:val="nil"/>
              <w:left w:val="nil"/>
              <w:bottom w:val="dotted" w:sz="4" w:space="0" w:color="auto"/>
              <w:right w:val="single" w:sz="4" w:space="0" w:color="auto"/>
            </w:tcBorders>
            <w:noWrap/>
            <w:vAlign w:val="center"/>
          </w:tcPr>
          <w:p w:rsidR="00DE341A" w:rsidRPr="00D35EFD" w:rsidRDefault="00335274" w:rsidP="008216A0">
            <w:pPr>
              <w:jc w:val="center"/>
              <w:rPr>
                <w:rFonts w:ascii="Arial" w:hAnsi="Arial" w:cs="Arial"/>
                <w:i/>
                <w:iCs/>
                <w:sz w:val="16"/>
                <w:szCs w:val="16"/>
              </w:rPr>
            </w:pPr>
            <w:r>
              <w:rPr>
                <w:rFonts w:ascii="Arial" w:hAnsi="Arial" w:cs="Arial"/>
                <w:i/>
                <w:iCs/>
                <w:sz w:val="16"/>
                <w:szCs w:val="16"/>
              </w:rPr>
              <w:t>585 882 886,72</w:t>
            </w:r>
          </w:p>
        </w:tc>
      </w:tr>
      <w:tr w:rsidR="00A1232F" w:rsidRPr="00D35EFD" w:rsidTr="0039268C">
        <w:trPr>
          <w:trHeight w:val="20"/>
        </w:trPr>
        <w:tc>
          <w:tcPr>
            <w:tcW w:w="1149" w:type="dxa"/>
            <w:vMerge/>
            <w:tcBorders>
              <w:top w:val="single" w:sz="4" w:space="0" w:color="000000"/>
              <w:left w:val="single" w:sz="4" w:space="0" w:color="auto"/>
              <w:bottom w:val="single" w:sz="4" w:space="0" w:color="000000"/>
              <w:right w:val="single" w:sz="4" w:space="0" w:color="auto"/>
            </w:tcBorders>
            <w:shd w:val="clear" w:color="auto" w:fill="EAF1DD"/>
            <w:vAlign w:val="center"/>
          </w:tcPr>
          <w:p w:rsidR="00DE341A" w:rsidRPr="00D35EFD" w:rsidRDefault="00DE341A" w:rsidP="008216A0">
            <w:pPr>
              <w:rPr>
                <w:rFonts w:ascii="Arial" w:hAnsi="Arial" w:cs="Arial"/>
                <w:sz w:val="16"/>
                <w:szCs w:val="16"/>
              </w:rPr>
            </w:pPr>
          </w:p>
        </w:tc>
        <w:tc>
          <w:tcPr>
            <w:tcW w:w="1134" w:type="dxa"/>
            <w:tcBorders>
              <w:top w:val="nil"/>
              <w:left w:val="nil"/>
              <w:bottom w:val="single" w:sz="4" w:space="0" w:color="auto"/>
              <w:right w:val="single" w:sz="4" w:space="0" w:color="auto"/>
            </w:tcBorders>
            <w:shd w:val="clear" w:color="000000" w:fill="auto"/>
            <w:noWrap/>
            <w:vAlign w:val="center"/>
          </w:tcPr>
          <w:p w:rsidR="00DE341A" w:rsidRPr="00D35EFD" w:rsidRDefault="00DE341A" w:rsidP="008216A0">
            <w:pPr>
              <w:rPr>
                <w:rFonts w:ascii="Arial" w:hAnsi="Arial" w:cs="Arial"/>
                <w:sz w:val="16"/>
                <w:szCs w:val="16"/>
              </w:rPr>
            </w:pPr>
            <w:r w:rsidRPr="00D35EFD">
              <w:rPr>
                <w:rFonts w:ascii="Arial" w:hAnsi="Arial" w:cs="Arial"/>
                <w:sz w:val="16"/>
                <w:szCs w:val="16"/>
              </w:rPr>
              <w:t>Východisko</w:t>
            </w:r>
          </w:p>
        </w:tc>
        <w:tc>
          <w:tcPr>
            <w:tcW w:w="496" w:type="dxa"/>
            <w:tcBorders>
              <w:top w:val="nil"/>
              <w:left w:val="nil"/>
              <w:bottom w:val="single" w:sz="4" w:space="0" w:color="auto"/>
              <w:right w:val="dotted" w:sz="4" w:space="0" w:color="auto"/>
            </w:tcBorders>
            <w:noWrap/>
            <w:vAlign w:val="center"/>
          </w:tcPr>
          <w:p w:rsidR="00DE341A" w:rsidRPr="00D35EFD" w:rsidRDefault="00DE341A" w:rsidP="008216A0">
            <w:pPr>
              <w:jc w:val="center"/>
              <w:rPr>
                <w:rFonts w:ascii="Arial" w:hAnsi="Arial" w:cs="Arial"/>
                <w:b/>
                <w:bCs/>
                <w:sz w:val="16"/>
                <w:szCs w:val="16"/>
              </w:rPr>
            </w:pPr>
            <w:r w:rsidRPr="00D35EFD">
              <w:rPr>
                <w:rFonts w:ascii="Arial" w:hAnsi="Arial" w:cs="Arial"/>
                <w:b/>
                <w:bCs/>
                <w:sz w:val="16"/>
                <w:szCs w:val="16"/>
              </w:rPr>
              <w:t>0</w:t>
            </w:r>
          </w:p>
        </w:tc>
        <w:tc>
          <w:tcPr>
            <w:tcW w:w="496" w:type="dxa"/>
            <w:tcBorders>
              <w:top w:val="nil"/>
              <w:left w:val="nil"/>
              <w:bottom w:val="single" w:sz="4" w:space="0" w:color="auto"/>
              <w:right w:val="dotted" w:sz="4" w:space="0" w:color="auto"/>
            </w:tcBorders>
            <w:noWrap/>
            <w:vAlign w:val="center"/>
          </w:tcPr>
          <w:p w:rsidR="00DE341A" w:rsidRPr="00D35EFD" w:rsidRDefault="00DE341A" w:rsidP="008216A0">
            <w:pPr>
              <w:jc w:val="center"/>
              <w:rPr>
                <w:rFonts w:ascii="Arial" w:hAnsi="Arial" w:cs="Arial"/>
                <w:i/>
                <w:iCs/>
                <w:sz w:val="16"/>
                <w:szCs w:val="16"/>
              </w:rPr>
            </w:pPr>
            <w:r w:rsidRPr="00D35EFD">
              <w:rPr>
                <w:rFonts w:ascii="Arial" w:hAnsi="Arial" w:cs="Arial"/>
                <w:i/>
                <w:iCs/>
                <w:sz w:val="16"/>
                <w:szCs w:val="16"/>
              </w:rPr>
              <w:t>N/A</w:t>
            </w:r>
          </w:p>
        </w:tc>
        <w:tc>
          <w:tcPr>
            <w:tcW w:w="709" w:type="dxa"/>
            <w:tcBorders>
              <w:top w:val="nil"/>
              <w:left w:val="nil"/>
              <w:bottom w:val="single" w:sz="4" w:space="0" w:color="auto"/>
              <w:right w:val="dotted" w:sz="4" w:space="0" w:color="auto"/>
            </w:tcBorders>
            <w:noWrap/>
            <w:vAlign w:val="center"/>
          </w:tcPr>
          <w:p w:rsidR="00DE341A" w:rsidRPr="00D35EFD" w:rsidRDefault="00DE341A" w:rsidP="008216A0">
            <w:pPr>
              <w:jc w:val="center"/>
              <w:rPr>
                <w:rFonts w:ascii="Arial" w:hAnsi="Arial" w:cs="Arial"/>
                <w:i/>
                <w:iCs/>
                <w:sz w:val="16"/>
                <w:szCs w:val="16"/>
              </w:rPr>
            </w:pPr>
            <w:r w:rsidRPr="00D35EFD">
              <w:rPr>
                <w:rFonts w:ascii="Arial" w:hAnsi="Arial" w:cs="Arial"/>
                <w:i/>
                <w:iCs/>
                <w:sz w:val="16"/>
                <w:szCs w:val="16"/>
              </w:rPr>
              <w:t>N/A</w:t>
            </w:r>
          </w:p>
        </w:tc>
        <w:tc>
          <w:tcPr>
            <w:tcW w:w="709" w:type="dxa"/>
            <w:tcBorders>
              <w:top w:val="nil"/>
              <w:left w:val="nil"/>
              <w:bottom w:val="single" w:sz="4" w:space="0" w:color="auto"/>
              <w:right w:val="dotted" w:sz="4" w:space="0" w:color="auto"/>
            </w:tcBorders>
            <w:noWrap/>
            <w:vAlign w:val="center"/>
          </w:tcPr>
          <w:p w:rsidR="00DE341A" w:rsidRPr="00D35EFD" w:rsidRDefault="00DE341A" w:rsidP="008216A0">
            <w:pPr>
              <w:jc w:val="center"/>
              <w:rPr>
                <w:rFonts w:ascii="Arial" w:hAnsi="Arial" w:cs="Arial"/>
                <w:i/>
                <w:iCs/>
                <w:sz w:val="16"/>
                <w:szCs w:val="16"/>
              </w:rPr>
            </w:pPr>
            <w:r w:rsidRPr="00D35EFD">
              <w:rPr>
                <w:rFonts w:ascii="Arial" w:hAnsi="Arial" w:cs="Arial"/>
                <w:i/>
                <w:iCs/>
                <w:sz w:val="16"/>
                <w:szCs w:val="16"/>
              </w:rPr>
              <w:t>N/A</w:t>
            </w:r>
          </w:p>
        </w:tc>
        <w:tc>
          <w:tcPr>
            <w:tcW w:w="709" w:type="dxa"/>
            <w:tcBorders>
              <w:top w:val="nil"/>
              <w:left w:val="nil"/>
              <w:bottom w:val="single" w:sz="4" w:space="0" w:color="auto"/>
              <w:right w:val="dotted" w:sz="4" w:space="0" w:color="auto"/>
            </w:tcBorders>
            <w:noWrap/>
            <w:vAlign w:val="center"/>
          </w:tcPr>
          <w:p w:rsidR="00DE341A" w:rsidRPr="00D35EFD" w:rsidRDefault="00DE341A" w:rsidP="008216A0">
            <w:pPr>
              <w:jc w:val="center"/>
              <w:rPr>
                <w:rFonts w:ascii="Arial" w:hAnsi="Arial" w:cs="Arial"/>
                <w:i/>
                <w:iCs/>
                <w:sz w:val="16"/>
                <w:szCs w:val="16"/>
              </w:rPr>
            </w:pPr>
            <w:r w:rsidRPr="00D35EFD">
              <w:rPr>
                <w:rFonts w:ascii="Arial" w:hAnsi="Arial" w:cs="Arial"/>
                <w:i/>
                <w:iCs/>
                <w:sz w:val="16"/>
                <w:szCs w:val="16"/>
              </w:rPr>
              <w:t>N/A</w:t>
            </w:r>
          </w:p>
        </w:tc>
        <w:tc>
          <w:tcPr>
            <w:tcW w:w="850" w:type="dxa"/>
            <w:tcBorders>
              <w:top w:val="nil"/>
              <w:left w:val="nil"/>
              <w:bottom w:val="single" w:sz="4" w:space="0" w:color="auto"/>
              <w:right w:val="dotted" w:sz="4" w:space="0" w:color="auto"/>
            </w:tcBorders>
            <w:noWrap/>
            <w:vAlign w:val="center"/>
          </w:tcPr>
          <w:p w:rsidR="00DE341A" w:rsidRPr="00D35EFD" w:rsidRDefault="00DE341A" w:rsidP="008216A0">
            <w:pPr>
              <w:jc w:val="center"/>
              <w:rPr>
                <w:rFonts w:ascii="Arial" w:hAnsi="Arial" w:cs="Arial"/>
                <w:i/>
                <w:iCs/>
                <w:sz w:val="16"/>
                <w:szCs w:val="16"/>
              </w:rPr>
            </w:pPr>
            <w:r w:rsidRPr="00D35EFD">
              <w:rPr>
                <w:rFonts w:ascii="Arial" w:hAnsi="Arial" w:cs="Arial"/>
                <w:i/>
                <w:iCs/>
                <w:sz w:val="16"/>
                <w:szCs w:val="16"/>
              </w:rPr>
              <w:t>N/A</w:t>
            </w:r>
          </w:p>
        </w:tc>
        <w:tc>
          <w:tcPr>
            <w:tcW w:w="496" w:type="dxa"/>
            <w:tcBorders>
              <w:top w:val="nil"/>
              <w:left w:val="nil"/>
              <w:bottom w:val="single" w:sz="4" w:space="0" w:color="auto"/>
              <w:right w:val="dotted" w:sz="4" w:space="0" w:color="auto"/>
            </w:tcBorders>
            <w:noWrap/>
            <w:vAlign w:val="center"/>
          </w:tcPr>
          <w:p w:rsidR="00DE341A" w:rsidRPr="00D35EFD" w:rsidRDefault="00DE341A" w:rsidP="008216A0">
            <w:pPr>
              <w:jc w:val="center"/>
              <w:rPr>
                <w:rFonts w:ascii="Arial" w:hAnsi="Arial" w:cs="Arial"/>
                <w:i/>
                <w:iCs/>
                <w:sz w:val="16"/>
                <w:szCs w:val="16"/>
              </w:rPr>
            </w:pPr>
            <w:r w:rsidRPr="00D35EFD">
              <w:rPr>
                <w:rFonts w:ascii="Arial" w:hAnsi="Arial" w:cs="Arial"/>
                <w:i/>
                <w:iCs/>
                <w:sz w:val="16"/>
                <w:szCs w:val="16"/>
              </w:rPr>
              <w:t>N/A</w:t>
            </w:r>
          </w:p>
        </w:tc>
        <w:tc>
          <w:tcPr>
            <w:tcW w:w="496" w:type="dxa"/>
            <w:tcBorders>
              <w:top w:val="nil"/>
              <w:left w:val="nil"/>
              <w:bottom w:val="single" w:sz="4" w:space="0" w:color="auto"/>
              <w:right w:val="dotted" w:sz="4" w:space="0" w:color="auto"/>
            </w:tcBorders>
            <w:noWrap/>
            <w:vAlign w:val="center"/>
          </w:tcPr>
          <w:p w:rsidR="00DE341A" w:rsidRPr="00D35EFD" w:rsidRDefault="00DE341A" w:rsidP="008216A0">
            <w:pPr>
              <w:jc w:val="center"/>
              <w:rPr>
                <w:rFonts w:ascii="Arial" w:hAnsi="Arial" w:cs="Arial"/>
                <w:i/>
                <w:iCs/>
                <w:sz w:val="16"/>
                <w:szCs w:val="16"/>
              </w:rPr>
            </w:pPr>
            <w:r w:rsidRPr="00D35EFD">
              <w:rPr>
                <w:rFonts w:ascii="Arial" w:hAnsi="Arial" w:cs="Arial"/>
                <w:i/>
                <w:iCs/>
                <w:sz w:val="16"/>
                <w:szCs w:val="16"/>
              </w:rPr>
              <w:t>N/A</w:t>
            </w:r>
          </w:p>
        </w:tc>
        <w:tc>
          <w:tcPr>
            <w:tcW w:w="709" w:type="dxa"/>
            <w:tcBorders>
              <w:top w:val="nil"/>
              <w:left w:val="nil"/>
              <w:bottom w:val="single" w:sz="4" w:space="0" w:color="auto"/>
              <w:right w:val="dotted" w:sz="4" w:space="0" w:color="auto"/>
            </w:tcBorders>
            <w:noWrap/>
            <w:vAlign w:val="center"/>
          </w:tcPr>
          <w:p w:rsidR="00DE341A" w:rsidRPr="00D35EFD" w:rsidRDefault="00DE341A" w:rsidP="008216A0">
            <w:pPr>
              <w:jc w:val="center"/>
              <w:rPr>
                <w:rFonts w:ascii="Arial" w:hAnsi="Arial" w:cs="Arial"/>
                <w:i/>
                <w:iCs/>
                <w:sz w:val="16"/>
                <w:szCs w:val="16"/>
              </w:rPr>
            </w:pPr>
            <w:r w:rsidRPr="00D35EFD">
              <w:rPr>
                <w:rFonts w:ascii="Arial" w:hAnsi="Arial" w:cs="Arial"/>
                <w:i/>
                <w:iCs/>
                <w:sz w:val="16"/>
                <w:szCs w:val="16"/>
              </w:rPr>
              <w:t>N/A</w:t>
            </w:r>
          </w:p>
        </w:tc>
        <w:tc>
          <w:tcPr>
            <w:tcW w:w="709" w:type="dxa"/>
            <w:tcBorders>
              <w:top w:val="nil"/>
              <w:left w:val="nil"/>
              <w:bottom w:val="single" w:sz="4" w:space="0" w:color="auto"/>
              <w:right w:val="dotted" w:sz="4" w:space="0" w:color="auto"/>
            </w:tcBorders>
            <w:noWrap/>
            <w:vAlign w:val="center"/>
          </w:tcPr>
          <w:p w:rsidR="00DE341A" w:rsidRPr="00D35EFD" w:rsidRDefault="00DE341A" w:rsidP="008216A0">
            <w:pPr>
              <w:jc w:val="center"/>
              <w:rPr>
                <w:rFonts w:ascii="Arial" w:hAnsi="Arial" w:cs="Arial"/>
                <w:b/>
                <w:bCs/>
                <w:sz w:val="16"/>
                <w:szCs w:val="16"/>
              </w:rPr>
            </w:pPr>
            <w:r w:rsidRPr="00D35EFD">
              <w:rPr>
                <w:rFonts w:ascii="Arial" w:hAnsi="Arial" w:cs="Arial"/>
                <w:b/>
                <w:bCs/>
                <w:sz w:val="16"/>
                <w:szCs w:val="16"/>
              </w:rPr>
              <w:t>0</w:t>
            </w:r>
          </w:p>
        </w:tc>
        <w:tc>
          <w:tcPr>
            <w:tcW w:w="851" w:type="dxa"/>
            <w:tcBorders>
              <w:top w:val="nil"/>
              <w:left w:val="nil"/>
              <w:bottom w:val="single" w:sz="4" w:space="0" w:color="auto"/>
              <w:right w:val="single" w:sz="4" w:space="0" w:color="auto"/>
            </w:tcBorders>
            <w:noWrap/>
            <w:vAlign w:val="center"/>
          </w:tcPr>
          <w:p w:rsidR="00DE341A" w:rsidRPr="00D35EFD" w:rsidRDefault="00DE341A" w:rsidP="008216A0">
            <w:pPr>
              <w:jc w:val="center"/>
              <w:rPr>
                <w:rFonts w:ascii="Arial" w:hAnsi="Arial" w:cs="Arial"/>
                <w:sz w:val="16"/>
                <w:szCs w:val="16"/>
              </w:rPr>
            </w:pPr>
          </w:p>
        </w:tc>
      </w:tr>
      <w:tr w:rsidR="00A1232F" w:rsidRPr="00D35EFD" w:rsidTr="0039268C">
        <w:trPr>
          <w:trHeight w:val="20"/>
        </w:trPr>
        <w:tc>
          <w:tcPr>
            <w:tcW w:w="1149" w:type="dxa"/>
            <w:vMerge w:val="restart"/>
            <w:tcBorders>
              <w:top w:val="single" w:sz="4" w:space="0" w:color="000000"/>
              <w:left w:val="single" w:sz="4" w:space="0" w:color="auto"/>
              <w:bottom w:val="single" w:sz="4" w:space="0" w:color="000000"/>
              <w:right w:val="single" w:sz="4" w:space="0" w:color="auto"/>
            </w:tcBorders>
            <w:shd w:val="clear" w:color="auto" w:fill="EAF1DD"/>
            <w:vAlign w:val="center"/>
          </w:tcPr>
          <w:p w:rsidR="00DE341A" w:rsidRPr="00D35EFD" w:rsidRDefault="00DE341A" w:rsidP="008216A0">
            <w:pPr>
              <w:rPr>
                <w:rFonts w:ascii="Arial" w:hAnsi="Arial" w:cs="Arial"/>
                <w:sz w:val="16"/>
                <w:szCs w:val="16"/>
              </w:rPr>
            </w:pPr>
            <w:r w:rsidRPr="00D35EFD">
              <w:rPr>
                <w:rFonts w:ascii="Arial" w:hAnsi="Arial" w:cs="Arial"/>
                <w:sz w:val="16"/>
                <w:szCs w:val="16"/>
              </w:rPr>
              <w:t>Počet opatrení zabezpečujúcich bezpečný alebo bezbariérový prístup k výsledkom projektu [počet]</w:t>
            </w:r>
          </w:p>
        </w:tc>
        <w:tc>
          <w:tcPr>
            <w:tcW w:w="1134" w:type="dxa"/>
            <w:tcBorders>
              <w:top w:val="nil"/>
              <w:left w:val="nil"/>
              <w:bottom w:val="dotted" w:sz="4" w:space="0" w:color="auto"/>
              <w:right w:val="single" w:sz="4" w:space="0" w:color="auto"/>
            </w:tcBorders>
            <w:shd w:val="clear" w:color="000000" w:fill="auto"/>
            <w:noWrap/>
            <w:vAlign w:val="center"/>
          </w:tcPr>
          <w:p w:rsidR="00DE341A" w:rsidRPr="00D35EFD" w:rsidRDefault="00DE341A" w:rsidP="008216A0">
            <w:pPr>
              <w:rPr>
                <w:rFonts w:ascii="Arial" w:hAnsi="Arial" w:cs="Arial"/>
                <w:sz w:val="16"/>
                <w:szCs w:val="16"/>
              </w:rPr>
            </w:pPr>
            <w:r w:rsidRPr="00D35EFD">
              <w:rPr>
                <w:rFonts w:ascii="Arial" w:hAnsi="Arial" w:cs="Arial"/>
                <w:sz w:val="16"/>
                <w:szCs w:val="16"/>
              </w:rPr>
              <w:t>Dosiahnutý výsledok</w:t>
            </w:r>
          </w:p>
        </w:tc>
        <w:tc>
          <w:tcPr>
            <w:tcW w:w="496" w:type="dxa"/>
            <w:tcBorders>
              <w:top w:val="nil"/>
              <w:left w:val="nil"/>
              <w:bottom w:val="dotted" w:sz="4" w:space="0" w:color="auto"/>
              <w:right w:val="dotted" w:sz="4" w:space="0" w:color="auto"/>
            </w:tcBorders>
            <w:noWrap/>
            <w:vAlign w:val="center"/>
          </w:tcPr>
          <w:p w:rsidR="00DE341A" w:rsidRPr="00D35EFD" w:rsidRDefault="00DE341A" w:rsidP="008216A0">
            <w:pPr>
              <w:jc w:val="center"/>
              <w:rPr>
                <w:rFonts w:ascii="Arial" w:hAnsi="Arial" w:cs="Arial"/>
                <w:b/>
                <w:bCs/>
                <w:sz w:val="16"/>
                <w:szCs w:val="16"/>
              </w:rPr>
            </w:pPr>
            <w:r w:rsidRPr="00D35EFD">
              <w:rPr>
                <w:rFonts w:ascii="Arial" w:hAnsi="Arial" w:cs="Arial"/>
                <w:b/>
                <w:bCs/>
                <w:sz w:val="16"/>
                <w:szCs w:val="16"/>
              </w:rPr>
              <w:t>0</w:t>
            </w:r>
          </w:p>
        </w:tc>
        <w:tc>
          <w:tcPr>
            <w:tcW w:w="496" w:type="dxa"/>
            <w:tcBorders>
              <w:top w:val="nil"/>
              <w:left w:val="nil"/>
              <w:bottom w:val="dotted" w:sz="4" w:space="0" w:color="auto"/>
              <w:right w:val="dotted" w:sz="4" w:space="0" w:color="auto"/>
            </w:tcBorders>
            <w:noWrap/>
            <w:vAlign w:val="center"/>
          </w:tcPr>
          <w:p w:rsidR="00DE341A" w:rsidRPr="00D35EFD" w:rsidRDefault="00DE341A" w:rsidP="008216A0">
            <w:pPr>
              <w:jc w:val="center"/>
              <w:rPr>
                <w:rFonts w:ascii="Arial" w:hAnsi="Arial" w:cs="Arial"/>
                <w:b/>
                <w:bCs/>
                <w:sz w:val="16"/>
                <w:szCs w:val="16"/>
              </w:rPr>
            </w:pPr>
            <w:r w:rsidRPr="00D35EFD">
              <w:rPr>
                <w:rFonts w:ascii="Arial" w:hAnsi="Arial" w:cs="Arial"/>
                <w:b/>
                <w:bCs/>
                <w:sz w:val="16"/>
                <w:szCs w:val="16"/>
              </w:rPr>
              <w:t>0</w:t>
            </w:r>
          </w:p>
        </w:tc>
        <w:tc>
          <w:tcPr>
            <w:tcW w:w="709" w:type="dxa"/>
            <w:tcBorders>
              <w:top w:val="nil"/>
              <w:left w:val="nil"/>
              <w:bottom w:val="dotted" w:sz="4" w:space="0" w:color="auto"/>
              <w:right w:val="dotted" w:sz="4" w:space="0" w:color="auto"/>
            </w:tcBorders>
            <w:noWrap/>
            <w:vAlign w:val="center"/>
          </w:tcPr>
          <w:p w:rsidR="00DE341A" w:rsidRPr="00D35EFD" w:rsidRDefault="00DE341A" w:rsidP="008216A0">
            <w:pPr>
              <w:jc w:val="center"/>
              <w:rPr>
                <w:rFonts w:ascii="Arial" w:hAnsi="Arial" w:cs="Arial"/>
                <w:b/>
                <w:bCs/>
                <w:sz w:val="16"/>
                <w:szCs w:val="16"/>
              </w:rPr>
            </w:pPr>
            <w:r w:rsidRPr="00D35EFD">
              <w:rPr>
                <w:rFonts w:ascii="Arial" w:hAnsi="Arial" w:cs="Arial"/>
                <w:b/>
                <w:bCs/>
                <w:sz w:val="16"/>
                <w:szCs w:val="16"/>
              </w:rPr>
              <w:t>1</w:t>
            </w:r>
          </w:p>
        </w:tc>
        <w:tc>
          <w:tcPr>
            <w:tcW w:w="709" w:type="dxa"/>
            <w:tcBorders>
              <w:top w:val="nil"/>
              <w:left w:val="nil"/>
              <w:bottom w:val="dotted" w:sz="4" w:space="0" w:color="auto"/>
              <w:right w:val="dotted" w:sz="4" w:space="0" w:color="auto"/>
            </w:tcBorders>
            <w:noWrap/>
            <w:vAlign w:val="center"/>
          </w:tcPr>
          <w:p w:rsidR="00DE341A" w:rsidRPr="00D35EFD" w:rsidRDefault="00DE341A" w:rsidP="008216A0">
            <w:pPr>
              <w:jc w:val="center"/>
              <w:rPr>
                <w:rFonts w:ascii="Arial" w:hAnsi="Arial" w:cs="Arial"/>
                <w:b/>
                <w:bCs/>
                <w:sz w:val="16"/>
                <w:szCs w:val="16"/>
              </w:rPr>
            </w:pPr>
            <w:r w:rsidRPr="00D35EFD">
              <w:rPr>
                <w:rFonts w:ascii="Arial" w:hAnsi="Arial" w:cs="Arial"/>
                <w:b/>
                <w:bCs/>
                <w:sz w:val="16"/>
                <w:szCs w:val="16"/>
              </w:rPr>
              <w:t>19</w:t>
            </w:r>
          </w:p>
        </w:tc>
        <w:tc>
          <w:tcPr>
            <w:tcW w:w="709" w:type="dxa"/>
            <w:tcBorders>
              <w:top w:val="nil"/>
              <w:left w:val="nil"/>
              <w:bottom w:val="dotted" w:sz="4" w:space="0" w:color="auto"/>
              <w:right w:val="dotted" w:sz="4" w:space="0" w:color="auto"/>
            </w:tcBorders>
            <w:noWrap/>
            <w:vAlign w:val="center"/>
          </w:tcPr>
          <w:p w:rsidR="00DE341A" w:rsidRPr="00D35EFD" w:rsidRDefault="00DE341A" w:rsidP="008216A0">
            <w:pPr>
              <w:jc w:val="center"/>
              <w:rPr>
                <w:rFonts w:ascii="Arial" w:hAnsi="Arial" w:cs="Arial"/>
                <w:b/>
                <w:bCs/>
                <w:sz w:val="16"/>
                <w:szCs w:val="16"/>
              </w:rPr>
            </w:pPr>
            <w:r w:rsidRPr="00D35EFD">
              <w:rPr>
                <w:rFonts w:ascii="Arial" w:hAnsi="Arial" w:cs="Arial"/>
                <w:b/>
                <w:bCs/>
                <w:sz w:val="16"/>
                <w:szCs w:val="16"/>
              </w:rPr>
              <w:t>20</w:t>
            </w:r>
          </w:p>
        </w:tc>
        <w:tc>
          <w:tcPr>
            <w:tcW w:w="850" w:type="dxa"/>
            <w:tcBorders>
              <w:top w:val="nil"/>
              <w:left w:val="nil"/>
              <w:bottom w:val="dotted" w:sz="4" w:space="0" w:color="auto"/>
              <w:right w:val="dotted" w:sz="4" w:space="0" w:color="auto"/>
            </w:tcBorders>
            <w:noWrap/>
            <w:vAlign w:val="center"/>
          </w:tcPr>
          <w:p w:rsidR="00DE341A" w:rsidRPr="0039268C" w:rsidRDefault="00DE341A" w:rsidP="008216A0">
            <w:pPr>
              <w:jc w:val="center"/>
              <w:rPr>
                <w:rFonts w:ascii="Arial" w:hAnsi="Arial" w:cs="Arial"/>
                <w:b/>
                <w:iCs/>
                <w:sz w:val="16"/>
                <w:szCs w:val="16"/>
              </w:rPr>
            </w:pPr>
            <w:r w:rsidRPr="0039268C">
              <w:rPr>
                <w:rFonts w:ascii="Arial" w:hAnsi="Arial" w:cs="Arial"/>
                <w:b/>
                <w:iCs/>
                <w:sz w:val="16"/>
                <w:szCs w:val="16"/>
              </w:rPr>
              <w:t>20</w:t>
            </w:r>
          </w:p>
        </w:tc>
        <w:tc>
          <w:tcPr>
            <w:tcW w:w="496" w:type="dxa"/>
            <w:tcBorders>
              <w:top w:val="nil"/>
              <w:left w:val="nil"/>
              <w:bottom w:val="dotted" w:sz="4" w:space="0" w:color="auto"/>
              <w:right w:val="dotted" w:sz="4" w:space="0" w:color="auto"/>
            </w:tcBorders>
            <w:noWrap/>
            <w:vAlign w:val="center"/>
          </w:tcPr>
          <w:p w:rsidR="00DE341A" w:rsidRPr="00D35EFD" w:rsidRDefault="00DE341A" w:rsidP="008216A0">
            <w:pPr>
              <w:jc w:val="center"/>
              <w:rPr>
                <w:rFonts w:ascii="Arial" w:hAnsi="Arial" w:cs="Arial"/>
                <w:i/>
                <w:iCs/>
                <w:sz w:val="16"/>
                <w:szCs w:val="16"/>
              </w:rPr>
            </w:pPr>
            <w:r w:rsidRPr="00D35EFD">
              <w:rPr>
                <w:rFonts w:ascii="Arial" w:hAnsi="Arial" w:cs="Arial"/>
                <w:i/>
                <w:iCs/>
                <w:sz w:val="16"/>
                <w:szCs w:val="16"/>
              </w:rPr>
              <w:t>N/A</w:t>
            </w:r>
          </w:p>
        </w:tc>
        <w:tc>
          <w:tcPr>
            <w:tcW w:w="496" w:type="dxa"/>
            <w:tcBorders>
              <w:top w:val="nil"/>
              <w:left w:val="nil"/>
              <w:bottom w:val="dotted" w:sz="4" w:space="0" w:color="auto"/>
              <w:right w:val="dotted" w:sz="4" w:space="0" w:color="auto"/>
            </w:tcBorders>
            <w:noWrap/>
            <w:vAlign w:val="center"/>
          </w:tcPr>
          <w:p w:rsidR="00DE341A" w:rsidRPr="00D35EFD" w:rsidRDefault="00DE341A" w:rsidP="008216A0">
            <w:pPr>
              <w:jc w:val="center"/>
              <w:rPr>
                <w:rFonts w:ascii="Arial" w:hAnsi="Arial" w:cs="Arial"/>
                <w:i/>
                <w:iCs/>
                <w:sz w:val="16"/>
                <w:szCs w:val="16"/>
              </w:rPr>
            </w:pPr>
            <w:r w:rsidRPr="00D35EFD">
              <w:rPr>
                <w:rFonts w:ascii="Arial" w:hAnsi="Arial" w:cs="Arial"/>
                <w:i/>
                <w:iCs/>
                <w:sz w:val="16"/>
                <w:szCs w:val="16"/>
              </w:rPr>
              <w:t>N/A</w:t>
            </w:r>
          </w:p>
        </w:tc>
        <w:tc>
          <w:tcPr>
            <w:tcW w:w="709" w:type="dxa"/>
            <w:tcBorders>
              <w:top w:val="nil"/>
              <w:left w:val="nil"/>
              <w:bottom w:val="dotted" w:sz="4" w:space="0" w:color="auto"/>
              <w:right w:val="dotted" w:sz="4" w:space="0" w:color="auto"/>
            </w:tcBorders>
            <w:noWrap/>
            <w:vAlign w:val="center"/>
          </w:tcPr>
          <w:p w:rsidR="00DE341A" w:rsidRPr="00D35EFD" w:rsidRDefault="00DE341A" w:rsidP="008216A0">
            <w:pPr>
              <w:jc w:val="center"/>
              <w:rPr>
                <w:rFonts w:ascii="Arial" w:hAnsi="Arial" w:cs="Arial"/>
                <w:i/>
                <w:iCs/>
                <w:sz w:val="16"/>
                <w:szCs w:val="16"/>
              </w:rPr>
            </w:pPr>
            <w:r w:rsidRPr="00D35EFD">
              <w:rPr>
                <w:rFonts w:ascii="Arial" w:hAnsi="Arial" w:cs="Arial"/>
                <w:i/>
                <w:iCs/>
                <w:sz w:val="16"/>
                <w:szCs w:val="16"/>
              </w:rPr>
              <w:t>N/A</w:t>
            </w:r>
          </w:p>
        </w:tc>
        <w:tc>
          <w:tcPr>
            <w:tcW w:w="709" w:type="dxa"/>
            <w:tcBorders>
              <w:top w:val="nil"/>
              <w:left w:val="nil"/>
              <w:bottom w:val="dotted" w:sz="4" w:space="0" w:color="auto"/>
              <w:right w:val="dotted" w:sz="4" w:space="0" w:color="auto"/>
            </w:tcBorders>
            <w:noWrap/>
            <w:vAlign w:val="center"/>
          </w:tcPr>
          <w:p w:rsidR="00DE341A" w:rsidRPr="00D35EFD" w:rsidRDefault="00DE341A" w:rsidP="008216A0">
            <w:pPr>
              <w:jc w:val="center"/>
              <w:rPr>
                <w:rFonts w:ascii="Arial" w:hAnsi="Arial" w:cs="Arial"/>
                <w:b/>
                <w:bCs/>
                <w:sz w:val="16"/>
                <w:szCs w:val="16"/>
              </w:rPr>
            </w:pPr>
            <w:r w:rsidRPr="00D35EFD">
              <w:rPr>
                <w:rFonts w:ascii="Arial" w:hAnsi="Arial" w:cs="Arial"/>
                <w:b/>
                <w:bCs/>
                <w:sz w:val="16"/>
                <w:szCs w:val="16"/>
              </w:rPr>
              <w:t>20</w:t>
            </w:r>
          </w:p>
        </w:tc>
        <w:tc>
          <w:tcPr>
            <w:tcW w:w="851" w:type="dxa"/>
            <w:tcBorders>
              <w:top w:val="nil"/>
              <w:left w:val="nil"/>
              <w:bottom w:val="dotted" w:sz="4" w:space="0" w:color="auto"/>
              <w:right w:val="single" w:sz="4" w:space="0" w:color="auto"/>
            </w:tcBorders>
            <w:noWrap/>
            <w:vAlign w:val="center"/>
          </w:tcPr>
          <w:p w:rsidR="00DE341A" w:rsidRPr="00D35EFD" w:rsidRDefault="00DE341A" w:rsidP="008216A0">
            <w:pPr>
              <w:jc w:val="center"/>
              <w:rPr>
                <w:rFonts w:ascii="Arial" w:hAnsi="Arial" w:cs="Arial"/>
                <w:sz w:val="16"/>
                <w:szCs w:val="16"/>
              </w:rPr>
            </w:pPr>
          </w:p>
        </w:tc>
      </w:tr>
      <w:tr w:rsidR="00A1232F" w:rsidRPr="00D35EFD" w:rsidTr="0039268C">
        <w:trPr>
          <w:trHeight w:val="20"/>
        </w:trPr>
        <w:tc>
          <w:tcPr>
            <w:tcW w:w="1149" w:type="dxa"/>
            <w:vMerge/>
            <w:tcBorders>
              <w:top w:val="single" w:sz="4" w:space="0" w:color="000000"/>
              <w:left w:val="single" w:sz="4" w:space="0" w:color="auto"/>
              <w:bottom w:val="single" w:sz="4" w:space="0" w:color="000000"/>
              <w:right w:val="single" w:sz="4" w:space="0" w:color="auto"/>
            </w:tcBorders>
            <w:shd w:val="clear" w:color="auto" w:fill="EAF1DD"/>
            <w:vAlign w:val="center"/>
          </w:tcPr>
          <w:p w:rsidR="00DE341A" w:rsidRPr="00D35EFD" w:rsidRDefault="00DE341A" w:rsidP="008216A0">
            <w:pPr>
              <w:rPr>
                <w:rFonts w:ascii="Arial" w:hAnsi="Arial" w:cs="Arial"/>
                <w:sz w:val="16"/>
                <w:szCs w:val="16"/>
              </w:rPr>
            </w:pPr>
          </w:p>
        </w:tc>
        <w:tc>
          <w:tcPr>
            <w:tcW w:w="1134" w:type="dxa"/>
            <w:tcBorders>
              <w:top w:val="nil"/>
              <w:left w:val="nil"/>
              <w:bottom w:val="dotted" w:sz="4" w:space="0" w:color="auto"/>
              <w:right w:val="single" w:sz="4" w:space="0" w:color="auto"/>
            </w:tcBorders>
            <w:shd w:val="clear" w:color="000000" w:fill="auto"/>
            <w:noWrap/>
            <w:vAlign w:val="center"/>
          </w:tcPr>
          <w:p w:rsidR="00DE341A" w:rsidRPr="00D35EFD" w:rsidRDefault="00DE341A" w:rsidP="008216A0">
            <w:pPr>
              <w:rPr>
                <w:rFonts w:ascii="Arial" w:hAnsi="Arial" w:cs="Arial"/>
                <w:sz w:val="16"/>
                <w:szCs w:val="16"/>
              </w:rPr>
            </w:pPr>
            <w:r w:rsidRPr="00D35EFD">
              <w:rPr>
                <w:rFonts w:ascii="Arial" w:hAnsi="Arial" w:cs="Arial"/>
                <w:sz w:val="16"/>
                <w:szCs w:val="16"/>
              </w:rPr>
              <w:t>Cieľ</w:t>
            </w:r>
          </w:p>
        </w:tc>
        <w:tc>
          <w:tcPr>
            <w:tcW w:w="496" w:type="dxa"/>
            <w:tcBorders>
              <w:top w:val="nil"/>
              <w:left w:val="nil"/>
              <w:bottom w:val="dotted" w:sz="4" w:space="0" w:color="auto"/>
              <w:right w:val="dotted" w:sz="4" w:space="0" w:color="auto"/>
            </w:tcBorders>
            <w:noWrap/>
            <w:vAlign w:val="center"/>
          </w:tcPr>
          <w:p w:rsidR="00DE341A" w:rsidRPr="00D35EFD" w:rsidRDefault="00DE341A" w:rsidP="008216A0">
            <w:pPr>
              <w:jc w:val="center"/>
              <w:rPr>
                <w:rFonts w:ascii="Arial" w:hAnsi="Arial" w:cs="Arial"/>
                <w:i/>
                <w:iCs/>
                <w:sz w:val="16"/>
                <w:szCs w:val="16"/>
              </w:rPr>
            </w:pPr>
            <w:r w:rsidRPr="00D35EFD">
              <w:rPr>
                <w:rFonts w:ascii="Arial" w:hAnsi="Arial" w:cs="Arial"/>
                <w:i/>
                <w:iCs/>
                <w:sz w:val="16"/>
                <w:szCs w:val="16"/>
              </w:rPr>
              <w:t>N/A</w:t>
            </w:r>
          </w:p>
        </w:tc>
        <w:tc>
          <w:tcPr>
            <w:tcW w:w="496" w:type="dxa"/>
            <w:tcBorders>
              <w:top w:val="nil"/>
              <w:left w:val="nil"/>
              <w:bottom w:val="dotted" w:sz="4" w:space="0" w:color="auto"/>
              <w:right w:val="dotted" w:sz="4" w:space="0" w:color="auto"/>
            </w:tcBorders>
            <w:noWrap/>
            <w:vAlign w:val="center"/>
          </w:tcPr>
          <w:p w:rsidR="00DE341A" w:rsidRPr="00D35EFD" w:rsidRDefault="00DE341A" w:rsidP="008216A0">
            <w:pPr>
              <w:jc w:val="center"/>
              <w:rPr>
                <w:rFonts w:ascii="Arial" w:hAnsi="Arial" w:cs="Arial"/>
                <w:i/>
                <w:iCs/>
                <w:sz w:val="16"/>
                <w:szCs w:val="16"/>
              </w:rPr>
            </w:pPr>
            <w:r w:rsidRPr="00D35EFD">
              <w:rPr>
                <w:rFonts w:ascii="Arial" w:hAnsi="Arial" w:cs="Arial"/>
                <w:i/>
                <w:iCs/>
                <w:sz w:val="16"/>
                <w:szCs w:val="16"/>
              </w:rPr>
              <w:t>N/A</w:t>
            </w:r>
          </w:p>
        </w:tc>
        <w:tc>
          <w:tcPr>
            <w:tcW w:w="709" w:type="dxa"/>
            <w:tcBorders>
              <w:top w:val="nil"/>
              <w:left w:val="nil"/>
              <w:bottom w:val="dotted" w:sz="4" w:space="0" w:color="auto"/>
              <w:right w:val="dotted" w:sz="4" w:space="0" w:color="auto"/>
            </w:tcBorders>
            <w:noWrap/>
            <w:vAlign w:val="center"/>
          </w:tcPr>
          <w:p w:rsidR="00DE341A" w:rsidRPr="00D35EFD" w:rsidRDefault="00DE341A" w:rsidP="008216A0">
            <w:pPr>
              <w:jc w:val="center"/>
              <w:rPr>
                <w:rFonts w:ascii="Arial" w:hAnsi="Arial" w:cs="Arial"/>
                <w:i/>
                <w:iCs/>
                <w:sz w:val="16"/>
                <w:szCs w:val="16"/>
              </w:rPr>
            </w:pPr>
            <w:r w:rsidRPr="00D35EFD">
              <w:rPr>
                <w:rFonts w:ascii="Arial" w:hAnsi="Arial" w:cs="Arial"/>
                <w:i/>
                <w:iCs/>
                <w:sz w:val="16"/>
                <w:szCs w:val="16"/>
              </w:rPr>
              <w:t>N/A</w:t>
            </w:r>
          </w:p>
        </w:tc>
        <w:tc>
          <w:tcPr>
            <w:tcW w:w="709" w:type="dxa"/>
            <w:tcBorders>
              <w:top w:val="nil"/>
              <w:left w:val="nil"/>
              <w:bottom w:val="dotted" w:sz="4" w:space="0" w:color="auto"/>
              <w:right w:val="dotted" w:sz="4" w:space="0" w:color="auto"/>
            </w:tcBorders>
            <w:noWrap/>
            <w:vAlign w:val="center"/>
          </w:tcPr>
          <w:p w:rsidR="00DE341A" w:rsidRPr="00D35EFD" w:rsidRDefault="00DE341A" w:rsidP="008216A0">
            <w:pPr>
              <w:jc w:val="center"/>
              <w:rPr>
                <w:rFonts w:ascii="Arial" w:hAnsi="Arial" w:cs="Arial"/>
                <w:i/>
                <w:iCs/>
                <w:sz w:val="16"/>
                <w:szCs w:val="16"/>
              </w:rPr>
            </w:pPr>
            <w:r w:rsidRPr="00D35EFD">
              <w:rPr>
                <w:rFonts w:ascii="Arial" w:hAnsi="Arial" w:cs="Arial"/>
                <w:i/>
                <w:iCs/>
                <w:sz w:val="16"/>
                <w:szCs w:val="16"/>
              </w:rPr>
              <w:t>N/A</w:t>
            </w:r>
          </w:p>
        </w:tc>
        <w:tc>
          <w:tcPr>
            <w:tcW w:w="709" w:type="dxa"/>
            <w:tcBorders>
              <w:top w:val="nil"/>
              <w:left w:val="nil"/>
              <w:bottom w:val="dotted" w:sz="4" w:space="0" w:color="auto"/>
              <w:right w:val="dotted" w:sz="4" w:space="0" w:color="auto"/>
            </w:tcBorders>
            <w:noWrap/>
            <w:vAlign w:val="center"/>
          </w:tcPr>
          <w:p w:rsidR="00DE341A" w:rsidRPr="00D35EFD" w:rsidRDefault="00DE341A" w:rsidP="008216A0">
            <w:pPr>
              <w:jc w:val="center"/>
              <w:rPr>
                <w:rFonts w:ascii="Arial" w:hAnsi="Arial" w:cs="Arial"/>
                <w:i/>
                <w:iCs/>
                <w:sz w:val="16"/>
                <w:szCs w:val="16"/>
              </w:rPr>
            </w:pPr>
            <w:r w:rsidRPr="00D35EFD">
              <w:rPr>
                <w:rFonts w:ascii="Arial" w:hAnsi="Arial" w:cs="Arial"/>
                <w:i/>
                <w:iCs/>
                <w:sz w:val="16"/>
                <w:szCs w:val="16"/>
              </w:rPr>
              <w:t>N/A</w:t>
            </w:r>
          </w:p>
        </w:tc>
        <w:tc>
          <w:tcPr>
            <w:tcW w:w="850" w:type="dxa"/>
            <w:tcBorders>
              <w:top w:val="nil"/>
              <w:left w:val="nil"/>
              <w:bottom w:val="dotted" w:sz="4" w:space="0" w:color="auto"/>
              <w:right w:val="dotted" w:sz="4" w:space="0" w:color="auto"/>
            </w:tcBorders>
            <w:noWrap/>
            <w:vAlign w:val="center"/>
          </w:tcPr>
          <w:p w:rsidR="00DE341A" w:rsidRPr="00D35EFD" w:rsidRDefault="00DE341A" w:rsidP="008216A0">
            <w:pPr>
              <w:jc w:val="center"/>
              <w:rPr>
                <w:rFonts w:ascii="Arial" w:hAnsi="Arial" w:cs="Arial"/>
                <w:i/>
                <w:iCs/>
                <w:sz w:val="16"/>
                <w:szCs w:val="16"/>
              </w:rPr>
            </w:pPr>
            <w:r w:rsidRPr="00D35EFD">
              <w:rPr>
                <w:rFonts w:ascii="Arial" w:hAnsi="Arial" w:cs="Arial"/>
                <w:i/>
                <w:iCs/>
                <w:sz w:val="16"/>
                <w:szCs w:val="16"/>
              </w:rPr>
              <w:t>N/A</w:t>
            </w:r>
          </w:p>
        </w:tc>
        <w:tc>
          <w:tcPr>
            <w:tcW w:w="496" w:type="dxa"/>
            <w:tcBorders>
              <w:top w:val="nil"/>
              <w:left w:val="nil"/>
              <w:bottom w:val="dotted" w:sz="4" w:space="0" w:color="auto"/>
              <w:right w:val="dotted" w:sz="4" w:space="0" w:color="auto"/>
            </w:tcBorders>
            <w:noWrap/>
            <w:vAlign w:val="center"/>
          </w:tcPr>
          <w:p w:rsidR="00DE341A" w:rsidRPr="00D35EFD" w:rsidRDefault="00DE341A" w:rsidP="008216A0">
            <w:pPr>
              <w:jc w:val="center"/>
              <w:rPr>
                <w:rFonts w:ascii="Arial" w:hAnsi="Arial" w:cs="Arial"/>
                <w:i/>
                <w:iCs/>
                <w:sz w:val="16"/>
                <w:szCs w:val="16"/>
              </w:rPr>
            </w:pPr>
            <w:r w:rsidRPr="00D35EFD">
              <w:rPr>
                <w:rFonts w:ascii="Arial" w:hAnsi="Arial" w:cs="Arial"/>
                <w:i/>
                <w:iCs/>
                <w:sz w:val="16"/>
                <w:szCs w:val="16"/>
              </w:rPr>
              <w:t>N/A</w:t>
            </w:r>
          </w:p>
        </w:tc>
        <w:tc>
          <w:tcPr>
            <w:tcW w:w="496" w:type="dxa"/>
            <w:tcBorders>
              <w:top w:val="nil"/>
              <w:left w:val="nil"/>
              <w:bottom w:val="dotted" w:sz="4" w:space="0" w:color="auto"/>
              <w:right w:val="dotted" w:sz="4" w:space="0" w:color="auto"/>
            </w:tcBorders>
            <w:noWrap/>
            <w:vAlign w:val="center"/>
          </w:tcPr>
          <w:p w:rsidR="00DE341A" w:rsidRPr="00D35EFD" w:rsidRDefault="00DE341A" w:rsidP="008216A0">
            <w:pPr>
              <w:jc w:val="center"/>
              <w:rPr>
                <w:rFonts w:ascii="Arial" w:hAnsi="Arial" w:cs="Arial"/>
                <w:i/>
                <w:iCs/>
                <w:sz w:val="16"/>
                <w:szCs w:val="16"/>
              </w:rPr>
            </w:pPr>
            <w:r w:rsidRPr="00D35EFD">
              <w:rPr>
                <w:rFonts w:ascii="Arial" w:hAnsi="Arial" w:cs="Arial"/>
                <w:i/>
                <w:iCs/>
                <w:sz w:val="16"/>
                <w:szCs w:val="16"/>
              </w:rPr>
              <w:t>N/A</w:t>
            </w:r>
          </w:p>
        </w:tc>
        <w:tc>
          <w:tcPr>
            <w:tcW w:w="709" w:type="dxa"/>
            <w:tcBorders>
              <w:top w:val="nil"/>
              <w:left w:val="nil"/>
              <w:bottom w:val="dotted" w:sz="4" w:space="0" w:color="auto"/>
              <w:right w:val="dotted" w:sz="4" w:space="0" w:color="auto"/>
            </w:tcBorders>
            <w:noWrap/>
            <w:vAlign w:val="center"/>
          </w:tcPr>
          <w:p w:rsidR="00DE341A" w:rsidRPr="00D35EFD" w:rsidRDefault="00DE341A" w:rsidP="008216A0">
            <w:pPr>
              <w:jc w:val="center"/>
              <w:rPr>
                <w:rFonts w:ascii="Arial" w:hAnsi="Arial" w:cs="Arial"/>
                <w:b/>
                <w:bCs/>
                <w:sz w:val="16"/>
                <w:szCs w:val="16"/>
              </w:rPr>
            </w:pPr>
            <w:r w:rsidRPr="00D35EFD">
              <w:rPr>
                <w:rFonts w:ascii="Arial" w:hAnsi="Arial" w:cs="Arial"/>
                <w:b/>
                <w:bCs/>
                <w:sz w:val="16"/>
                <w:szCs w:val="16"/>
              </w:rPr>
              <w:t>25</w:t>
            </w:r>
          </w:p>
        </w:tc>
        <w:tc>
          <w:tcPr>
            <w:tcW w:w="709" w:type="dxa"/>
            <w:tcBorders>
              <w:top w:val="nil"/>
              <w:left w:val="nil"/>
              <w:bottom w:val="dotted" w:sz="4" w:space="0" w:color="auto"/>
              <w:right w:val="dotted" w:sz="4" w:space="0" w:color="auto"/>
            </w:tcBorders>
            <w:noWrap/>
            <w:vAlign w:val="center"/>
          </w:tcPr>
          <w:p w:rsidR="00DE341A" w:rsidRPr="00D35EFD" w:rsidRDefault="00DE341A" w:rsidP="008216A0">
            <w:pPr>
              <w:jc w:val="center"/>
              <w:rPr>
                <w:rFonts w:ascii="Arial" w:hAnsi="Arial" w:cs="Arial"/>
                <w:b/>
                <w:bCs/>
                <w:sz w:val="16"/>
                <w:szCs w:val="16"/>
              </w:rPr>
            </w:pPr>
            <w:r w:rsidRPr="00D35EFD">
              <w:rPr>
                <w:rFonts w:ascii="Arial" w:hAnsi="Arial" w:cs="Arial"/>
                <w:b/>
                <w:bCs/>
                <w:sz w:val="16"/>
                <w:szCs w:val="16"/>
              </w:rPr>
              <w:t>25</w:t>
            </w:r>
          </w:p>
        </w:tc>
        <w:tc>
          <w:tcPr>
            <w:tcW w:w="851" w:type="dxa"/>
            <w:tcBorders>
              <w:top w:val="nil"/>
              <w:left w:val="nil"/>
              <w:bottom w:val="dotted" w:sz="4" w:space="0" w:color="auto"/>
              <w:right w:val="single" w:sz="4" w:space="0" w:color="auto"/>
            </w:tcBorders>
            <w:noWrap/>
            <w:vAlign w:val="center"/>
          </w:tcPr>
          <w:p w:rsidR="00DE341A" w:rsidRPr="00D35EFD" w:rsidRDefault="00DE341A" w:rsidP="008216A0">
            <w:pPr>
              <w:jc w:val="center"/>
              <w:rPr>
                <w:rFonts w:ascii="Arial" w:hAnsi="Arial" w:cs="Arial"/>
                <w:i/>
                <w:iCs/>
                <w:sz w:val="16"/>
                <w:szCs w:val="16"/>
              </w:rPr>
            </w:pPr>
            <w:r>
              <w:rPr>
                <w:rFonts w:ascii="Arial" w:hAnsi="Arial" w:cs="Arial"/>
                <w:i/>
                <w:iCs/>
                <w:sz w:val="16"/>
                <w:szCs w:val="16"/>
              </w:rPr>
              <w:t>25</w:t>
            </w:r>
          </w:p>
        </w:tc>
      </w:tr>
      <w:tr w:rsidR="00A1232F" w:rsidRPr="00D35EFD" w:rsidTr="0039268C">
        <w:trPr>
          <w:trHeight w:val="20"/>
        </w:trPr>
        <w:tc>
          <w:tcPr>
            <w:tcW w:w="1149" w:type="dxa"/>
            <w:vMerge/>
            <w:tcBorders>
              <w:top w:val="single" w:sz="4" w:space="0" w:color="000000"/>
              <w:left w:val="single" w:sz="4" w:space="0" w:color="auto"/>
              <w:bottom w:val="single" w:sz="4" w:space="0" w:color="000000"/>
              <w:right w:val="single" w:sz="4" w:space="0" w:color="auto"/>
            </w:tcBorders>
            <w:shd w:val="clear" w:color="auto" w:fill="EAF1DD"/>
            <w:vAlign w:val="center"/>
          </w:tcPr>
          <w:p w:rsidR="00DE341A" w:rsidRPr="00D35EFD" w:rsidRDefault="00DE341A" w:rsidP="008216A0">
            <w:pPr>
              <w:rPr>
                <w:rFonts w:ascii="Arial" w:hAnsi="Arial" w:cs="Arial"/>
                <w:sz w:val="16"/>
                <w:szCs w:val="16"/>
              </w:rPr>
            </w:pPr>
          </w:p>
        </w:tc>
        <w:tc>
          <w:tcPr>
            <w:tcW w:w="1134" w:type="dxa"/>
            <w:tcBorders>
              <w:top w:val="nil"/>
              <w:left w:val="nil"/>
              <w:bottom w:val="single" w:sz="4" w:space="0" w:color="auto"/>
              <w:right w:val="single" w:sz="4" w:space="0" w:color="auto"/>
            </w:tcBorders>
            <w:shd w:val="clear" w:color="000000" w:fill="auto"/>
            <w:noWrap/>
            <w:vAlign w:val="center"/>
          </w:tcPr>
          <w:p w:rsidR="00DE341A" w:rsidRPr="00D35EFD" w:rsidRDefault="00DE341A" w:rsidP="008216A0">
            <w:pPr>
              <w:rPr>
                <w:rFonts w:ascii="Arial" w:hAnsi="Arial" w:cs="Arial"/>
                <w:sz w:val="16"/>
                <w:szCs w:val="16"/>
              </w:rPr>
            </w:pPr>
            <w:r w:rsidRPr="00D35EFD">
              <w:rPr>
                <w:rFonts w:ascii="Arial" w:hAnsi="Arial" w:cs="Arial"/>
                <w:sz w:val="16"/>
                <w:szCs w:val="16"/>
              </w:rPr>
              <w:t>Východisko</w:t>
            </w:r>
          </w:p>
        </w:tc>
        <w:tc>
          <w:tcPr>
            <w:tcW w:w="496" w:type="dxa"/>
            <w:tcBorders>
              <w:top w:val="nil"/>
              <w:left w:val="nil"/>
              <w:bottom w:val="single" w:sz="4" w:space="0" w:color="auto"/>
              <w:right w:val="dotted" w:sz="4" w:space="0" w:color="auto"/>
            </w:tcBorders>
            <w:noWrap/>
            <w:vAlign w:val="center"/>
          </w:tcPr>
          <w:p w:rsidR="00DE341A" w:rsidRPr="00D35EFD" w:rsidRDefault="00DE341A" w:rsidP="008216A0">
            <w:pPr>
              <w:jc w:val="center"/>
              <w:rPr>
                <w:rFonts w:ascii="Arial" w:hAnsi="Arial" w:cs="Arial"/>
                <w:b/>
                <w:bCs/>
                <w:sz w:val="16"/>
                <w:szCs w:val="16"/>
              </w:rPr>
            </w:pPr>
            <w:r w:rsidRPr="00D35EFD">
              <w:rPr>
                <w:rFonts w:ascii="Arial" w:hAnsi="Arial" w:cs="Arial"/>
                <w:b/>
                <w:bCs/>
                <w:sz w:val="16"/>
                <w:szCs w:val="16"/>
              </w:rPr>
              <w:t>0</w:t>
            </w:r>
          </w:p>
        </w:tc>
        <w:tc>
          <w:tcPr>
            <w:tcW w:w="496" w:type="dxa"/>
            <w:tcBorders>
              <w:top w:val="nil"/>
              <w:left w:val="nil"/>
              <w:bottom w:val="single" w:sz="4" w:space="0" w:color="auto"/>
              <w:right w:val="dotted" w:sz="4" w:space="0" w:color="auto"/>
            </w:tcBorders>
            <w:noWrap/>
            <w:vAlign w:val="center"/>
          </w:tcPr>
          <w:p w:rsidR="00DE341A" w:rsidRPr="00D35EFD" w:rsidRDefault="00DE341A" w:rsidP="008216A0">
            <w:pPr>
              <w:jc w:val="center"/>
              <w:rPr>
                <w:rFonts w:ascii="Arial" w:hAnsi="Arial" w:cs="Arial"/>
                <w:i/>
                <w:iCs/>
                <w:sz w:val="16"/>
                <w:szCs w:val="16"/>
              </w:rPr>
            </w:pPr>
            <w:r w:rsidRPr="00D35EFD">
              <w:rPr>
                <w:rFonts w:ascii="Arial" w:hAnsi="Arial" w:cs="Arial"/>
                <w:i/>
                <w:iCs/>
                <w:sz w:val="16"/>
                <w:szCs w:val="16"/>
              </w:rPr>
              <w:t>N/A</w:t>
            </w:r>
          </w:p>
        </w:tc>
        <w:tc>
          <w:tcPr>
            <w:tcW w:w="709" w:type="dxa"/>
            <w:tcBorders>
              <w:top w:val="nil"/>
              <w:left w:val="nil"/>
              <w:bottom w:val="single" w:sz="4" w:space="0" w:color="auto"/>
              <w:right w:val="dotted" w:sz="4" w:space="0" w:color="auto"/>
            </w:tcBorders>
            <w:noWrap/>
            <w:vAlign w:val="center"/>
          </w:tcPr>
          <w:p w:rsidR="00DE341A" w:rsidRPr="00D35EFD" w:rsidRDefault="00DE341A" w:rsidP="008216A0">
            <w:pPr>
              <w:jc w:val="center"/>
              <w:rPr>
                <w:rFonts w:ascii="Arial" w:hAnsi="Arial" w:cs="Arial"/>
                <w:i/>
                <w:iCs/>
                <w:sz w:val="16"/>
                <w:szCs w:val="16"/>
              </w:rPr>
            </w:pPr>
            <w:r w:rsidRPr="00D35EFD">
              <w:rPr>
                <w:rFonts w:ascii="Arial" w:hAnsi="Arial" w:cs="Arial"/>
                <w:i/>
                <w:iCs/>
                <w:sz w:val="16"/>
                <w:szCs w:val="16"/>
              </w:rPr>
              <w:t>N/A</w:t>
            </w:r>
          </w:p>
        </w:tc>
        <w:tc>
          <w:tcPr>
            <w:tcW w:w="709" w:type="dxa"/>
            <w:tcBorders>
              <w:top w:val="nil"/>
              <w:left w:val="nil"/>
              <w:bottom w:val="single" w:sz="4" w:space="0" w:color="auto"/>
              <w:right w:val="dotted" w:sz="4" w:space="0" w:color="auto"/>
            </w:tcBorders>
            <w:noWrap/>
            <w:vAlign w:val="center"/>
          </w:tcPr>
          <w:p w:rsidR="00DE341A" w:rsidRPr="00D35EFD" w:rsidRDefault="00DE341A" w:rsidP="008216A0">
            <w:pPr>
              <w:jc w:val="center"/>
              <w:rPr>
                <w:rFonts w:ascii="Arial" w:hAnsi="Arial" w:cs="Arial"/>
                <w:i/>
                <w:iCs/>
                <w:sz w:val="16"/>
                <w:szCs w:val="16"/>
              </w:rPr>
            </w:pPr>
            <w:r w:rsidRPr="00D35EFD">
              <w:rPr>
                <w:rFonts w:ascii="Arial" w:hAnsi="Arial" w:cs="Arial"/>
                <w:i/>
                <w:iCs/>
                <w:sz w:val="16"/>
                <w:szCs w:val="16"/>
              </w:rPr>
              <w:t>N/A</w:t>
            </w:r>
          </w:p>
        </w:tc>
        <w:tc>
          <w:tcPr>
            <w:tcW w:w="709" w:type="dxa"/>
            <w:tcBorders>
              <w:top w:val="nil"/>
              <w:left w:val="nil"/>
              <w:bottom w:val="single" w:sz="4" w:space="0" w:color="auto"/>
              <w:right w:val="dotted" w:sz="4" w:space="0" w:color="auto"/>
            </w:tcBorders>
            <w:noWrap/>
            <w:vAlign w:val="center"/>
          </w:tcPr>
          <w:p w:rsidR="00DE341A" w:rsidRPr="00D35EFD" w:rsidRDefault="00DE341A" w:rsidP="008216A0">
            <w:pPr>
              <w:jc w:val="center"/>
              <w:rPr>
                <w:rFonts w:ascii="Arial" w:hAnsi="Arial" w:cs="Arial"/>
                <w:i/>
                <w:iCs/>
                <w:sz w:val="16"/>
                <w:szCs w:val="16"/>
              </w:rPr>
            </w:pPr>
            <w:r w:rsidRPr="00D35EFD">
              <w:rPr>
                <w:rFonts w:ascii="Arial" w:hAnsi="Arial" w:cs="Arial"/>
                <w:i/>
                <w:iCs/>
                <w:sz w:val="16"/>
                <w:szCs w:val="16"/>
              </w:rPr>
              <w:t>N/A</w:t>
            </w:r>
          </w:p>
        </w:tc>
        <w:tc>
          <w:tcPr>
            <w:tcW w:w="850" w:type="dxa"/>
            <w:tcBorders>
              <w:top w:val="nil"/>
              <w:left w:val="nil"/>
              <w:bottom w:val="single" w:sz="4" w:space="0" w:color="auto"/>
              <w:right w:val="dotted" w:sz="4" w:space="0" w:color="auto"/>
            </w:tcBorders>
            <w:noWrap/>
            <w:vAlign w:val="center"/>
          </w:tcPr>
          <w:p w:rsidR="00DE341A" w:rsidRPr="00D35EFD" w:rsidRDefault="00DE341A" w:rsidP="008216A0">
            <w:pPr>
              <w:jc w:val="center"/>
              <w:rPr>
                <w:rFonts w:ascii="Arial" w:hAnsi="Arial" w:cs="Arial"/>
                <w:i/>
                <w:iCs/>
                <w:sz w:val="16"/>
                <w:szCs w:val="16"/>
              </w:rPr>
            </w:pPr>
            <w:r w:rsidRPr="00D35EFD">
              <w:rPr>
                <w:rFonts w:ascii="Arial" w:hAnsi="Arial" w:cs="Arial"/>
                <w:i/>
                <w:iCs/>
                <w:sz w:val="16"/>
                <w:szCs w:val="16"/>
              </w:rPr>
              <w:t>N/A</w:t>
            </w:r>
          </w:p>
        </w:tc>
        <w:tc>
          <w:tcPr>
            <w:tcW w:w="496" w:type="dxa"/>
            <w:tcBorders>
              <w:top w:val="nil"/>
              <w:left w:val="nil"/>
              <w:bottom w:val="single" w:sz="4" w:space="0" w:color="auto"/>
              <w:right w:val="dotted" w:sz="4" w:space="0" w:color="auto"/>
            </w:tcBorders>
            <w:noWrap/>
            <w:vAlign w:val="center"/>
          </w:tcPr>
          <w:p w:rsidR="00DE341A" w:rsidRPr="00D35EFD" w:rsidRDefault="00DE341A" w:rsidP="008216A0">
            <w:pPr>
              <w:jc w:val="center"/>
              <w:rPr>
                <w:rFonts w:ascii="Arial" w:hAnsi="Arial" w:cs="Arial"/>
                <w:i/>
                <w:iCs/>
                <w:sz w:val="16"/>
                <w:szCs w:val="16"/>
              </w:rPr>
            </w:pPr>
            <w:r w:rsidRPr="00D35EFD">
              <w:rPr>
                <w:rFonts w:ascii="Arial" w:hAnsi="Arial" w:cs="Arial"/>
                <w:i/>
                <w:iCs/>
                <w:sz w:val="16"/>
                <w:szCs w:val="16"/>
              </w:rPr>
              <w:t>N/A</w:t>
            </w:r>
          </w:p>
        </w:tc>
        <w:tc>
          <w:tcPr>
            <w:tcW w:w="496" w:type="dxa"/>
            <w:tcBorders>
              <w:top w:val="nil"/>
              <w:left w:val="nil"/>
              <w:bottom w:val="single" w:sz="4" w:space="0" w:color="auto"/>
              <w:right w:val="dotted" w:sz="4" w:space="0" w:color="auto"/>
            </w:tcBorders>
            <w:noWrap/>
            <w:vAlign w:val="center"/>
          </w:tcPr>
          <w:p w:rsidR="00DE341A" w:rsidRPr="00D35EFD" w:rsidRDefault="00DE341A" w:rsidP="008216A0">
            <w:pPr>
              <w:jc w:val="center"/>
              <w:rPr>
                <w:rFonts w:ascii="Arial" w:hAnsi="Arial" w:cs="Arial"/>
                <w:i/>
                <w:iCs/>
                <w:sz w:val="16"/>
                <w:szCs w:val="16"/>
              </w:rPr>
            </w:pPr>
            <w:r w:rsidRPr="00D35EFD">
              <w:rPr>
                <w:rFonts w:ascii="Arial" w:hAnsi="Arial" w:cs="Arial"/>
                <w:i/>
                <w:iCs/>
                <w:sz w:val="16"/>
                <w:szCs w:val="16"/>
              </w:rPr>
              <w:t>N/A</w:t>
            </w:r>
          </w:p>
        </w:tc>
        <w:tc>
          <w:tcPr>
            <w:tcW w:w="709" w:type="dxa"/>
            <w:tcBorders>
              <w:top w:val="nil"/>
              <w:left w:val="nil"/>
              <w:bottom w:val="single" w:sz="4" w:space="0" w:color="auto"/>
              <w:right w:val="dotted" w:sz="4" w:space="0" w:color="auto"/>
            </w:tcBorders>
            <w:noWrap/>
            <w:vAlign w:val="center"/>
          </w:tcPr>
          <w:p w:rsidR="00DE341A" w:rsidRPr="00D35EFD" w:rsidRDefault="00DE341A" w:rsidP="008216A0">
            <w:pPr>
              <w:jc w:val="center"/>
              <w:rPr>
                <w:rFonts w:ascii="Arial" w:hAnsi="Arial" w:cs="Arial"/>
                <w:i/>
                <w:iCs/>
                <w:sz w:val="16"/>
                <w:szCs w:val="16"/>
              </w:rPr>
            </w:pPr>
            <w:r w:rsidRPr="00D35EFD">
              <w:rPr>
                <w:rFonts w:ascii="Arial" w:hAnsi="Arial" w:cs="Arial"/>
                <w:i/>
                <w:iCs/>
                <w:sz w:val="16"/>
                <w:szCs w:val="16"/>
              </w:rPr>
              <w:t>N/A</w:t>
            </w:r>
          </w:p>
        </w:tc>
        <w:tc>
          <w:tcPr>
            <w:tcW w:w="709" w:type="dxa"/>
            <w:tcBorders>
              <w:top w:val="nil"/>
              <w:left w:val="nil"/>
              <w:bottom w:val="single" w:sz="4" w:space="0" w:color="auto"/>
              <w:right w:val="dotted" w:sz="4" w:space="0" w:color="auto"/>
            </w:tcBorders>
            <w:noWrap/>
            <w:vAlign w:val="center"/>
          </w:tcPr>
          <w:p w:rsidR="00DE341A" w:rsidRPr="00D35EFD" w:rsidRDefault="00DE341A" w:rsidP="008216A0">
            <w:pPr>
              <w:jc w:val="center"/>
              <w:rPr>
                <w:rFonts w:ascii="Arial" w:hAnsi="Arial" w:cs="Arial"/>
                <w:b/>
                <w:bCs/>
                <w:sz w:val="16"/>
                <w:szCs w:val="16"/>
              </w:rPr>
            </w:pPr>
            <w:r w:rsidRPr="00D35EFD">
              <w:rPr>
                <w:rFonts w:ascii="Arial" w:hAnsi="Arial" w:cs="Arial"/>
                <w:b/>
                <w:bCs/>
                <w:sz w:val="16"/>
                <w:szCs w:val="16"/>
              </w:rPr>
              <w:t>0</w:t>
            </w:r>
          </w:p>
        </w:tc>
        <w:tc>
          <w:tcPr>
            <w:tcW w:w="851" w:type="dxa"/>
            <w:tcBorders>
              <w:top w:val="nil"/>
              <w:left w:val="nil"/>
              <w:bottom w:val="single" w:sz="4" w:space="0" w:color="auto"/>
              <w:right w:val="single" w:sz="4" w:space="0" w:color="auto"/>
            </w:tcBorders>
            <w:noWrap/>
            <w:vAlign w:val="center"/>
          </w:tcPr>
          <w:p w:rsidR="00DE341A" w:rsidRPr="00D35EFD" w:rsidRDefault="00DE341A" w:rsidP="008216A0">
            <w:pPr>
              <w:jc w:val="center"/>
              <w:rPr>
                <w:rFonts w:ascii="Arial" w:hAnsi="Arial" w:cs="Arial"/>
                <w:sz w:val="16"/>
                <w:szCs w:val="16"/>
              </w:rPr>
            </w:pPr>
          </w:p>
        </w:tc>
      </w:tr>
      <w:tr w:rsidR="00A1232F" w:rsidRPr="00D35EFD" w:rsidTr="0039268C">
        <w:trPr>
          <w:trHeight w:val="20"/>
        </w:trPr>
        <w:tc>
          <w:tcPr>
            <w:tcW w:w="1149" w:type="dxa"/>
            <w:vMerge w:val="restart"/>
            <w:tcBorders>
              <w:top w:val="single" w:sz="4" w:space="0" w:color="000000"/>
              <w:left w:val="single" w:sz="4" w:space="0" w:color="auto"/>
              <w:bottom w:val="single" w:sz="4" w:space="0" w:color="000000"/>
              <w:right w:val="single" w:sz="4" w:space="0" w:color="auto"/>
            </w:tcBorders>
            <w:shd w:val="clear" w:color="auto" w:fill="EAF1DD"/>
            <w:vAlign w:val="center"/>
          </w:tcPr>
          <w:p w:rsidR="00DE341A" w:rsidRPr="00D35EFD" w:rsidRDefault="00DE341A" w:rsidP="008216A0">
            <w:pPr>
              <w:rPr>
                <w:rFonts w:ascii="Arial" w:hAnsi="Arial" w:cs="Arial"/>
                <w:sz w:val="16"/>
                <w:szCs w:val="16"/>
              </w:rPr>
            </w:pPr>
            <w:r w:rsidRPr="00D35EFD">
              <w:rPr>
                <w:rFonts w:ascii="Arial" w:hAnsi="Arial" w:cs="Arial"/>
                <w:sz w:val="16"/>
                <w:szCs w:val="16"/>
              </w:rPr>
              <w:t>Počet znevýhodnených osôb využívajúcich výsledky projektu/ov [počet]</w:t>
            </w:r>
          </w:p>
        </w:tc>
        <w:tc>
          <w:tcPr>
            <w:tcW w:w="1134" w:type="dxa"/>
            <w:tcBorders>
              <w:top w:val="nil"/>
              <w:left w:val="nil"/>
              <w:bottom w:val="dotted" w:sz="4" w:space="0" w:color="auto"/>
              <w:right w:val="single" w:sz="4" w:space="0" w:color="auto"/>
            </w:tcBorders>
            <w:shd w:val="clear" w:color="000000" w:fill="auto"/>
            <w:noWrap/>
            <w:vAlign w:val="center"/>
          </w:tcPr>
          <w:p w:rsidR="00DE341A" w:rsidRPr="00D35EFD" w:rsidRDefault="00DE341A" w:rsidP="008216A0">
            <w:pPr>
              <w:rPr>
                <w:rFonts w:ascii="Arial" w:hAnsi="Arial" w:cs="Arial"/>
                <w:sz w:val="16"/>
                <w:szCs w:val="16"/>
              </w:rPr>
            </w:pPr>
            <w:r w:rsidRPr="00D35EFD">
              <w:rPr>
                <w:rFonts w:ascii="Arial" w:hAnsi="Arial" w:cs="Arial"/>
                <w:sz w:val="16"/>
                <w:szCs w:val="16"/>
              </w:rPr>
              <w:t>Dosiahnutý výsledok</w:t>
            </w:r>
          </w:p>
        </w:tc>
        <w:tc>
          <w:tcPr>
            <w:tcW w:w="496" w:type="dxa"/>
            <w:tcBorders>
              <w:top w:val="nil"/>
              <w:left w:val="nil"/>
              <w:bottom w:val="dotted" w:sz="4" w:space="0" w:color="auto"/>
              <w:right w:val="dotted" w:sz="4" w:space="0" w:color="auto"/>
            </w:tcBorders>
            <w:noWrap/>
            <w:vAlign w:val="center"/>
          </w:tcPr>
          <w:p w:rsidR="00DE341A" w:rsidRPr="00D35EFD" w:rsidRDefault="00DE341A" w:rsidP="008216A0">
            <w:pPr>
              <w:jc w:val="center"/>
              <w:rPr>
                <w:rFonts w:ascii="Arial" w:hAnsi="Arial" w:cs="Arial"/>
                <w:b/>
                <w:bCs/>
                <w:sz w:val="16"/>
                <w:szCs w:val="16"/>
              </w:rPr>
            </w:pPr>
            <w:r w:rsidRPr="00D35EFD">
              <w:rPr>
                <w:rFonts w:ascii="Arial" w:hAnsi="Arial" w:cs="Arial"/>
                <w:b/>
                <w:bCs/>
                <w:sz w:val="16"/>
                <w:szCs w:val="16"/>
              </w:rPr>
              <w:t>0</w:t>
            </w:r>
          </w:p>
        </w:tc>
        <w:tc>
          <w:tcPr>
            <w:tcW w:w="496" w:type="dxa"/>
            <w:tcBorders>
              <w:top w:val="nil"/>
              <w:left w:val="nil"/>
              <w:bottom w:val="dotted" w:sz="4" w:space="0" w:color="auto"/>
              <w:right w:val="dotted" w:sz="4" w:space="0" w:color="auto"/>
            </w:tcBorders>
            <w:noWrap/>
            <w:vAlign w:val="center"/>
          </w:tcPr>
          <w:p w:rsidR="00DE341A" w:rsidRPr="00D35EFD" w:rsidRDefault="00DE341A" w:rsidP="008216A0">
            <w:pPr>
              <w:jc w:val="center"/>
              <w:rPr>
                <w:rFonts w:ascii="Arial" w:hAnsi="Arial" w:cs="Arial"/>
                <w:b/>
                <w:bCs/>
                <w:sz w:val="16"/>
                <w:szCs w:val="16"/>
              </w:rPr>
            </w:pPr>
            <w:r w:rsidRPr="00D35EFD">
              <w:rPr>
                <w:rFonts w:ascii="Arial" w:hAnsi="Arial" w:cs="Arial"/>
                <w:b/>
                <w:bCs/>
                <w:sz w:val="16"/>
                <w:szCs w:val="16"/>
              </w:rPr>
              <w:t>0</w:t>
            </w:r>
          </w:p>
        </w:tc>
        <w:tc>
          <w:tcPr>
            <w:tcW w:w="709" w:type="dxa"/>
            <w:tcBorders>
              <w:top w:val="nil"/>
              <w:left w:val="nil"/>
              <w:bottom w:val="dotted" w:sz="4" w:space="0" w:color="auto"/>
              <w:right w:val="dotted" w:sz="4" w:space="0" w:color="auto"/>
            </w:tcBorders>
            <w:noWrap/>
            <w:vAlign w:val="center"/>
          </w:tcPr>
          <w:p w:rsidR="00DE341A" w:rsidRPr="00D35EFD" w:rsidRDefault="00DE341A" w:rsidP="008216A0">
            <w:pPr>
              <w:jc w:val="center"/>
              <w:rPr>
                <w:rFonts w:ascii="Arial" w:hAnsi="Arial" w:cs="Arial"/>
                <w:b/>
                <w:bCs/>
                <w:sz w:val="16"/>
                <w:szCs w:val="16"/>
              </w:rPr>
            </w:pPr>
            <w:r w:rsidRPr="00D35EFD">
              <w:rPr>
                <w:rFonts w:ascii="Arial" w:hAnsi="Arial" w:cs="Arial"/>
                <w:b/>
                <w:bCs/>
                <w:sz w:val="16"/>
                <w:szCs w:val="16"/>
              </w:rPr>
              <w:t>0</w:t>
            </w:r>
          </w:p>
        </w:tc>
        <w:tc>
          <w:tcPr>
            <w:tcW w:w="709" w:type="dxa"/>
            <w:tcBorders>
              <w:top w:val="nil"/>
              <w:left w:val="nil"/>
              <w:bottom w:val="dotted" w:sz="4" w:space="0" w:color="auto"/>
              <w:right w:val="dotted" w:sz="4" w:space="0" w:color="auto"/>
            </w:tcBorders>
            <w:noWrap/>
            <w:vAlign w:val="center"/>
          </w:tcPr>
          <w:p w:rsidR="00DE341A" w:rsidRPr="00D35EFD" w:rsidRDefault="00DE341A" w:rsidP="008216A0">
            <w:pPr>
              <w:jc w:val="center"/>
              <w:rPr>
                <w:rFonts w:ascii="Arial" w:hAnsi="Arial" w:cs="Arial"/>
                <w:b/>
                <w:bCs/>
                <w:sz w:val="16"/>
                <w:szCs w:val="16"/>
              </w:rPr>
            </w:pPr>
            <w:r w:rsidRPr="00D35EFD">
              <w:rPr>
                <w:rFonts w:ascii="Arial" w:hAnsi="Arial" w:cs="Arial"/>
                <w:b/>
                <w:bCs/>
                <w:sz w:val="16"/>
                <w:szCs w:val="16"/>
              </w:rPr>
              <w:t>0</w:t>
            </w:r>
          </w:p>
        </w:tc>
        <w:tc>
          <w:tcPr>
            <w:tcW w:w="709" w:type="dxa"/>
            <w:tcBorders>
              <w:top w:val="nil"/>
              <w:left w:val="nil"/>
              <w:bottom w:val="dotted" w:sz="4" w:space="0" w:color="auto"/>
              <w:right w:val="dotted" w:sz="4" w:space="0" w:color="auto"/>
            </w:tcBorders>
            <w:noWrap/>
            <w:vAlign w:val="center"/>
          </w:tcPr>
          <w:p w:rsidR="00DE341A" w:rsidRPr="00D35EFD" w:rsidRDefault="00DE341A" w:rsidP="008216A0">
            <w:pPr>
              <w:jc w:val="center"/>
              <w:rPr>
                <w:rFonts w:ascii="Arial" w:hAnsi="Arial" w:cs="Arial"/>
                <w:b/>
                <w:bCs/>
                <w:sz w:val="16"/>
                <w:szCs w:val="16"/>
              </w:rPr>
            </w:pPr>
            <w:r w:rsidRPr="00D35EFD">
              <w:rPr>
                <w:rFonts w:ascii="Arial" w:hAnsi="Arial" w:cs="Arial"/>
                <w:b/>
                <w:bCs/>
                <w:sz w:val="16"/>
                <w:szCs w:val="16"/>
              </w:rPr>
              <w:t>300</w:t>
            </w:r>
          </w:p>
        </w:tc>
        <w:tc>
          <w:tcPr>
            <w:tcW w:w="850" w:type="dxa"/>
            <w:tcBorders>
              <w:top w:val="nil"/>
              <w:left w:val="nil"/>
              <w:bottom w:val="dotted" w:sz="4" w:space="0" w:color="auto"/>
              <w:right w:val="dotted" w:sz="4" w:space="0" w:color="auto"/>
            </w:tcBorders>
            <w:noWrap/>
            <w:vAlign w:val="center"/>
          </w:tcPr>
          <w:p w:rsidR="00DE341A" w:rsidRPr="0039268C" w:rsidRDefault="00DE341A" w:rsidP="008216A0">
            <w:pPr>
              <w:jc w:val="center"/>
              <w:rPr>
                <w:rFonts w:ascii="Arial" w:hAnsi="Arial" w:cs="Arial"/>
                <w:b/>
                <w:iCs/>
                <w:sz w:val="16"/>
                <w:szCs w:val="16"/>
              </w:rPr>
            </w:pPr>
            <w:r w:rsidRPr="0039268C">
              <w:rPr>
                <w:rFonts w:ascii="Arial" w:hAnsi="Arial" w:cs="Arial"/>
                <w:b/>
                <w:iCs/>
                <w:sz w:val="16"/>
                <w:szCs w:val="16"/>
              </w:rPr>
              <w:t>12 345</w:t>
            </w:r>
          </w:p>
        </w:tc>
        <w:tc>
          <w:tcPr>
            <w:tcW w:w="496" w:type="dxa"/>
            <w:tcBorders>
              <w:top w:val="nil"/>
              <w:left w:val="nil"/>
              <w:bottom w:val="dotted" w:sz="4" w:space="0" w:color="auto"/>
              <w:right w:val="dotted" w:sz="4" w:space="0" w:color="auto"/>
            </w:tcBorders>
            <w:noWrap/>
            <w:vAlign w:val="center"/>
          </w:tcPr>
          <w:p w:rsidR="00DE341A" w:rsidRPr="00D35EFD" w:rsidRDefault="00DE341A" w:rsidP="008216A0">
            <w:pPr>
              <w:jc w:val="center"/>
              <w:rPr>
                <w:rFonts w:ascii="Arial" w:hAnsi="Arial" w:cs="Arial"/>
                <w:i/>
                <w:iCs/>
                <w:sz w:val="16"/>
                <w:szCs w:val="16"/>
              </w:rPr>
            </w:pPr>
            <w:r w:rsidRPr="00D35EFD">
              <w:rPr>
                <w:rFonts w:ascii="Arial" w:hAnsi="Arial" w:cs="Arial"/>
                <w:i/>
                <w:iCs/>
                <w:sz w:val="16"/>
                <w:szCs w:val="16"/>
              </w:rPr>
              <w:t>N/A</w:t>
            </w:r>
          </w:p>
        </w:tc>
        <w:tc>
          <w:tcPr>
            <w:tcW w:w="496" w:type="dxa"/>
            <w:tcBorders>
              <w:top w:val="nil"/>
              <w:left w:val="nil"/>
              <w:bottom w:val="dotted" w:sz="4" w:space="0" w:color="auto"/>
              <w:right w:val="dotted" w:sz="4" w:space="0" w:color="auto"/>
            </w:tcBorders>
            <w:noWrap/>
            <w:vAlign w:val="center"/>
          </w:tcPr>
          <w:p w:rsidR="00DE341A" w:rsidRPr="00D35EFD" w:rsidRDefault="00DE341A" w:rsidP="008216A0">
            <w:pPr>
              <w:jc w:val="center"/>
              <w:rPr>
                <w:rFonts w:ascii="Arial" w:hAnsi="Arial" w:cs="Arial"/>
                <w:i/>
                <w:iCs/>
                <w:sz w:val="16"/>
                <w:szCs w:val="16"/>
              </w:rPr>
            </w:pPr>
            <w:r w:rsidRPr="00D35EFD">
              <w:rPr>
                <w:rFonts w:ascii="Arial" w:hAnsi="Arial" w:cs="Arial"/>
                <w:i/>
                <w:iCs/>
                <w:sz w:val="16"/>
                <w:szCs w:val="16"/>
              </w:rPr>
              <w:t>N/A</w:t>
            </w:r>
          </w:p>
        </w:tc>
        <w:tc>
          <w:tcPr>
            <w:tcW w:w="709" w:type="dxa"/>
            <w:tcBorders>
              <w:top w:val="nil"/>
              <w:left w:val="nil"/>
              <w:bottom w:val="dotted" w:sz="4" w:space="0" w:color="auto"/>
              <w:right w:val="dotted" w:sz="4" w:space="0" w:color="auto"/>
            </w:tcBorders>
            <w:noWrap/>
            <w:vAlign w:val="center"/>
          </w:tcPr>
          <w:p w:rsidR="00DE341A" w:rsidRPr="00D35EFD" w:rsidRDefault="00DE341A" w:rsidP="008216A0">
            <w:pPr>
              <w:jc w:val="center"/>
              <w:rPr>
                <w:rFonts w:ascii="Arial" w:hAnsi="Arial" w:cs="Arial"/>
                <w:i/>
                <w:iCs/>
                <w:sz w:val="16"/>
                <w:szCs w:val="16"/>
              </w:rPr>
            </w:pPr>
            <w:r w:rsidRPr="00D35EFD">
              <w:rPr>
                <w:rFonts w:ascii="Arial" w:hAnsi="Arial" w:cs="Arial"/>
                <w:i/>
                <w:iCs/>
                <w:sz w:val="16"/>
                <w:szCs w:val="16"/>
              </w:rPr>
              <w:t>N/A</w:t>
            </w:r>
          </w:p>
        </w:tc>
        <w:tc>
          <w:tcPr>
            <w:tcW w:w="709" w:type="dxa"/>
            <w:tcBorders>
              <w:top w:val="nil"/>
              <w:left w:val="nil"/>
              <w:bottom w:val="dotted" w:sz="4" w:space="0" w:color="auto"/>
              <w:right w:val="dotted" w:sz="4" w:space="0" w:color="auto"/>
            </w:tcBorders>
            <w:noWrap/>
            <w:vAlign w:val="center"/>
          </w:tcPr>
          <w:p w:rsidR="00DE341A" w:rsidRPr="00D35EFD" w:rsidRDefault="00DE341A" w:rsidP="008216A0">
            <w:pPr>
              <w:jc w:val="center"/>
              <w:rPr>
                <w:rFonts w:ascii="Arial" w:hAnsi="Arial" w:cs="Arial"/>
                <w:b/>
                <w:bCs/>
                <w:sz w:val="16"/>
                <w:szCs w:val="16"/>
              </w:rPr>
            </w:pPr>
            <w:r>
              <w:rPr>
                <w:rFonts w:ascii="Arial" w:hAnsi="Arial" w:cs="Arial"/>
                <w:b/>
                <w:bCs/>
                <w:sz w:val="16"/>
                <w:szCs w:val="16"/>
              </w:rPr>
              <w:t>12 345</w:t>
            </w:r>
          </w:p>
        </w:tc>
        <w:tc>
          <w:tcPr>
            <w:tcW w:w="851" w:type="dxa"/>
            <w:tcBorders>
              <w:top w:val="nil"/>
              <w:left w:val="nil"/>
              <w:bottom w:val="dotted" w:sz="4" w:space="0" w:color="auto"/>
              <w:right w:val="single" w:sz="4" w:space="0" w:color="auto"/>
            </w:tcBorders>
            <w:noWrap/>
            <w:vAlign w:val="center"/>
          </w:tcPr>
          <w:p w:rsidR="00DE341A" w:rsidRPr="00D35EFD" w:rsidRDefault="00DE341A" w:rsidP="008216A0">
            <w:pPr>
              <w:jc w:val="center"/>
              <w:rPr>
                <w:rFonts w:ascii="Arial" w:hAnsi="Arial" w:cs="Arial"/>
                <w:sz w:val="16"/>
                <w:szCs w:val="16"/>
              </w:rPr>
            </w:pPr>
          </w:p>
        </w:tc>
      </w:tr>
      <w:tr w:rsidR="00A1232F" w:rsidRPr="00D35EFD" w:rsidTr="0039268C">
        <w:trPr>
          <w:trHeight w:val="20"/>
        </w:trPr>
        <w:tc>
          <w:tcPr>
            <w:tcW w:w="1149" w:type="dxa"/>
            <w:vMerge/>
            <w:tcBorders>
              <w:top w:val="single" w:sz="4" w:space="0" w:color="000000"/>
              <w:left w:val="single" w:sz="4" w:space="0" w:color="auto"/>
              <w:bottom w:val="single" w:sz="4" w:space="0" w:color="000000"/>
              <w:right w:val="single" w:sz="4" w:space="0" w:color="auto"/>
            </w:tcBorders>
            <w:shd w:val="clear" w:color="auto" w:fill="EAF1DD"/>
            <w:vAlign w:val="center"/>
          </w:tcPr>
          <w:p w:rsidR="00DE341A" w:rsidRPr="00D35EFD" w:rsidRDefault="00DE341A" w:rsidP="008216A0">
            <w:pPr>
              <w:rPr>
                <w:rFonts w:ascii="Arial" w:hAnsi="Arial" w:cs="Arial"/>
                <w:sz w:val="16"/>
                <w:szCs w:val="16"/>
              </w:rPr>
            </w:pPr>
          </w:p>
        </w:tc>
        <w:tc>
          <w:tcPr>
            <w:tcW w:w="1134" w:type="dxa"/>
            <w:tcBorders>
              <w:top w:val="nil"/>
              <w:left w:val="nil"/>
              <w:bottom w:val="dotted" w:sz="4" w:space="0" w:color="auto"/>
              <w:right w:val="single" w:sz="4" w:space="0" w:color="auto"/>
            </w:tcBorders>
            <w:shd w:val="clear" w:color="000000" w:fill="auto"/>
            <w:noWrap/>
            <w:vAlign w:val="center"/>
          </w:tcPr>
          <w:p w:rsidR="00DE341A" w:rsidRPr="00D35EFD" w:rsidRDefault="00DE341A" w:rsidP="008216A0">
            <w:pPr>
              <w:rPr>
                <w:rFonts w:ascii="Arial" w:hAnsi="Arial" w:cs="Arial"/>
                <w:sz w:val="16"/>
                <w:szCs w:val="16"/>
              </w:rPr>
            </w:pPr>
            <w:r w:rsidRPr="00D35EFD">
              <w:rPr>
                <w:rFonts w:ascii="Arial" w:hAnsi="Arial" w:cs="Arial"/>
                <w:sz w:val="16"/>
                <w:szCs w:val="16"/>
              </w:rPr>
              <w:t>Cieľ</w:t>
            </w:r>
          </w:p>
        </w:tc>
        <w:tc>
          <w:tcPr>
            <w:tcW w:w="496" w:type="dxa"/>
            <w:tcBorders>
              <w:top w:val="nil"/>
              <w:left w:val="nil"/>
              <w:bottom w:val="dotted" w:sz="4" w:space="0" w:color="auto"/>
              <w:right w:val="dotted" w:sz="4" w:space="0" w:color="auto"/>
            </w:tcBorders>
            <w:noWrap/>
            <w:vAlign w:val="center"/>
          </w:tcPr>
          <w:p w:rsidR="00DE341A" w:rsidRPr="00D35EFD" w:rsidRDefault="00DE341A" w:rsidP="008216A0">
            <w:pPr>
              <w:jc w:val="center"/>
              <w:rPr>
                <w:rFonts w:ascii="Arial" w:hAnsi="Arial" w:cs="Arial"/>
                <w:i/>
                <w:iCs/>
                <w:sz w:val="16"/>
                <w:szCs w:val="16"/>
              </w:rPr>
            </w:pPr>
            <w:r w:rsidRPr="00D35EFD">
              <w:rPr>
                <w:rFonts w:ascii="Arial" w:hAnsi="Arial" w:cs="Arial"/>
                <w:i/>
                <w:iCs/>
                <w:sz w:val="16"/>
                <w:szCs w:val="16"/>
              </w:rPr>
              <w:t>N/A</w:t>
            </w:r>
          </w:p>
        </w:tc>
        <w:tc>
          <w:tcPr>
            <w:tcW w:w="496" w:type="dxa"/>
            <w:tcBorders>
              <w:top w:val="nil"/>
              <w:left w:val="nil"/>
              <w:bottom w:val="dotted" w:sz="4" w:space="0" w:color="auto"/>
              <w:right w:val="dotted" w:sz="4" w:space="0" w:color="auto"/>
            </w:tcBorders>
            <w:noWrap/>
            <w:vAlign w:val="center"/>
          </w:tcPr>
          <w:p w:rsidR="00DE341A" w:rsidRPr="00D35EFD" w:rsidRDefault="00DE341A" w:rsidP="008216A0">
            <w:pPr>
              <w:jc w:val="center"/>
              <w:rPr>
                <w:rFonts w:ascii="Arial" w:hAnsi="Arial" w:cs="Arial"/>
                <w:i/>
                <w:iCs/>
                <w:sz w:val="16"/>
                <w:szCs w:val="16"/>
              </w:rPr>
            </w:pPr>
            <w:r w:rsidRPr="00D35EFD">
              <w:rPr>
                <w:rFonts w:ascii="Arial" w:hAnsi="Arial" w:cs="Arial"/>
                <w:i/>
                <w:iCs/>
                <w:sz w:val="16"/>
                <w:szCs w:val="16"/>
              </w:rPr>
              <w:t>N/A</w:t>
            </w:r>
          </w:p>
        </w:tc>
        <w:tc>
          <w:tcPr>
            <w:tcW w:w="709" w:type="dxa"/>
            <w:tcBorders>
              <w:top w:val="nil"/>
              <w:left w:val="nil"/>
              <w:bottom w:val="dotted" w:sz="4" w:space="0" w:color="auto"/>
              <w:right w:val="dotted" w:sz="4" w:space="0" w:color="auto"/>
            </w:tcBorders>
            <w:noWrap/>
            <w:vAlign w:val="center"/>
          </w:tcPr>
          <w:p w:rsidR="00DE341A" w:rsidRPr="00D35EFD" w:rsidRDefault="00DE341A" w:rsidP="008216A0">
            <w:pPr>
              <w:jc w:val="center"/>
              <w:rPr>
                <w:rFonts w:ascii="Arial" w:hAnsi="Arial" w:cs="Arial"/>
                <w:i/>
                <w:iCs/>
                <w:sz w:val="16"/>
                <w:szCs w:val="16"/>
              </w:rPr>
            </w:pPr>
            <w:r w:rsidRPr="00D35EFD">
              <w:rPr>
                <w:rFonts w:ascii="Arial" w:hAnsi="Arial" w:cs="Arial"/>
                <w:i/>
                <w:iCs/>
                <w:sz w:val="16"/>
                <w:szCs w:val="16"/>
              </w:rPr>
              <w:t>N/A</w:t>
            </w:r>
          </w:p>
        </w:tc>
        <w:tc>
          <w:tcPr>
            <w:tcW w:w="709" w:type="dxa"/>
            <w:tcBorders>
              <w:top w:val="nil"/>
              <w:left w:val="nil"/>
              <w:bottom w:val="dotted" w:sz="4" w:space="0" w:color="auto"/>
              <w:right w:val="dotted" w:sz="4" w:space="0" w:color="auto"/>
            </w:tcBorders>
            <w:noWrap/>
            <w:vAlign w:val="center"/>
          </w:tcPr>
          <w:p w:rsidR="00DE341A" w:rsidRPr="00D35EFD" w:rsidRDefault="00DE341A" w:rsidP="008216A0">
            <w:pPr>
              <w:jc w:val="center"/>
              <w:rPr>
                <w:rFonts w:ascii="Arial" w:hAnsi="Arial" w:cs="Arial"/>
                <w:i/>
                <w:iCs/>
                <w:sz w:val="16"/>
                <w:szCs w:val="16"/>
              </w:rPr>
            </w:pPr>
            <w:r w:rsidRPr="00D35EFD">
              <w:rPr>
                <w:rFonts w:ascii="Arial" w:hAnsi="Arial" w:cs="Arial"/>
                <w:i/>
                <w:iCs/>
                <w:sz w:val="16"/>
                <w:szCs w:val="16"/>
              </w:rPr>
              <w:t>N/A</w:t>
            </w:r>
          </w:p>
        </w:tc>
        <w:tc>
          <w:tcPr>
            <w:tcW w:w="709" w:type="dxa"/>
            <w:tcBorders>
              <w:top w:val="nil"/>
              <w:left w:val="nil"/>
              <w:bottom w:val="dotted" w:sz="4" w:space="0" w:color="auto"/>
              <w:right w:val="dotted" w:sz="4" w:space="0" w:color="auto"/>
            </w:tcBorders>
            <w:noWrap/>
            <w:vAlign w:val="center"/>
          </w:tcPr>
          <w:p w:rsidR="00DE341A" w:rsidRPr="00D35EFD" w:rsidRDefault="00DE341A" w:rsidP="008216A0">
            <w:pPr>
              <w:jc w:val="center"/>
              <w:rPr>
                <w:rFonts w:ascii="Arial" w:hAnsi="Arial" w:cs="Arial"/>
                <w:i/>
                <w:iCs/>
                <w:sz w:val="16"/>
                <w:szCs w:val="16"/>
              </w:rPr>
            </w:pPr>
            <w:r w:rsidRPr="00D35EFD">
              <w:rPr>
                <w:rFonts w:ascii="Arial" w:hAnsi="Arial" w:cs="Arial"/>
                <w:i/>
                <w:iCs/>
                <w:sz w:val="16"/>
                <w:szCs w:val="16"/>
              </w:rPr>
              <w:t>N/A</w:t>
            </w:r>
          </w:p>
        </w:tc>
        <w:tc>
          <w:tcPr>
            <w:tcW w:w="850" w:type="dxa"/>
            <w:tcBorders>
              <w:top w:val="nil"/>
              <w:left w:val="nil"/>
              <w:bottom w:val="dotted" w:sz="4" w:space="0" w:color="auto"/>
              <w:right w:val="dotted" w:sz="4" w:space="0" w:color="auto"/>
            </w:tcBorders>
            <w:noWrap/>
            <w:vAlign w:val="center"/>
          </w:tcPr>
          <w:p w:rsidR="00DE341A" w:rsidRPr="00D35EFD" w:rsidRDefault="00DE341A" w:rsidP="008216A0">
            <w:pPr>
              <w:jc w:val="center"/>
              <w:rPr>
                <w:rFonts w:ascii="Arial" w:hAnsi="Arial" w:cs="Arial"/>
                <w:i/>
                <w:iCs/>
                <w:sz w:val="16"/>
                <w:szCs w:val="16"/>
              </w:rPr>
            </w:pPr>
            <w:r w:rsidRPr="00D35EFD">
              <w:rPr>
                <w:rFonts w:ascii="Arial" w:hAnsi="Arial" w:cs="Arial"/>
                <w:i/>
                <w:iCs/>
                <w:sz w:val="16"/>
                <w:szCs w:val="16"/>
              </w:rPr>
              <w:t>N/A</w:t>
            </w:r>
          </w:p>
        </w:tc>
        <w:tc>
          <w:tcPr>
            <w:tcW w:w="496" w:type="dxa"/>
            <w:tcBorders>
              <w:top w:val="nil"/>
              <w:left w:val="nil"/>
              <w:bottom w:val="dotted" w:sz="4" w:space="0" w:color="auto"/>
              <w:right w:val="dotted" w:sz="4" w:space="0" w:color="auto"/>
            </w:tcBorders>
            <w:noWrap/>
            <w:vAlign w:val="center"/>
          </w:tcPr>
          <w:p w:rsidR="00DE341A" w:rsidRPr="00D35EFD" w:rsidRDefault="00DE341A" w:rsidP="008216A0">
            <w:pPr>
              <w:jc w:val="center"/>
              <w:rPr>
                <w:rFonts w:ascii="Arial" w:hAnsi="Arial" w:cs="Arial"/>
                <w:i/>
                <w:iCs/>
                <w:sz w:val="16"/>
                <w:szCs w:val="16"/>
              </w:rPr>
            </w:pPr>
            <w:r w:rsidRPr="00D35EFD">
              <w:rPr>
                <w:rFonts w:ascii="Arial" w:hAnsi="Arial" w:cs="Arial"/>
                <w:i/>
                <w:iCs/>
                <w:sz w:val="16"/>
                <w:szCs w:val="16"/>
              </w:rPr>
              <w:t>N/A</w:t>
            </w:r>
          </w:p>
        </w:tc>
        <w:tc>
          <w:tcPr>
            <w:tcW w:w="496" w:type="dxa"/>
            <w:tcBorders>
              <w:top w:val="nil"/>
              <w:left w:val="nil"/>
              <w:bottom w:val="dotted" w:sz="4" w:space="0" w:color="auto"/>
              <w:right w:val="dotted" w:sz="4" w:space="0" w:color="auto"/>
            </w:tcBorders>
            <w:noWrap/>
            <w:vAlign w:val="center"/>
          </w:tcPr>
          <w:p w:rsidR="00DE341A" w:rsidRPr="00D35EFD" w:rsidRDefault="00DE341A" w:rsidP="008216A0">
            <w:pPr>
              <w:jc w:val="center"/>
              <w:rPr>
                <w:rFonts w:ascii="Arial" w:hAnsi="Arial" w:cs="Arial"/>
                <w:i/>
                <w:iCs/>
                <w:sz w:val="16"/>
                <w:szCs w:val="16"/>
              </w:rPr>
            </w:pPr>
            <w:r w:rsidRPr="00D35EFD">
              <w:rPr>
                <w:rFonts w:ascii="Arial" w:hAnsi="Arial" w:cs="Arial"/>
                <w:i/>
                <w:iCs/>
                <w:sz w:val="16"/>
                <w:szCs w:val="16"/>
              </w:rPr>
              <w:t>N/A</w:t>
            </w:r>
          </w:p>
        </w:tc>
        <w:tc>
          <w:tcPr>
            <w:tcW w:w="709" w:type="dxa"/>
            <w:tcBorders>
              <w:top w:val="nil"/>
              <w:left w:val="nil"/>
              <w:bottom w:val="dotted" w:sz="4" w:space="0" w:color="auto"/>
              <w:right w:val="dotted" w:sz="4" w:space="0" w:color="auto"/>
            </w:tcBorders>
            <w:noWrap/>
            <w:vAlign w:val="center"/>
          </w:tcPr>
          <w:p w:rsidR="00DE341A" w:rsidRPr="00D35EFD" w:rsidRDefault="00DE341A" w:rsidP="008216A0">
            <w:pPr>
              <w:jc w:val="center"/>
              <w:rPr>
                <w:rFonts w:ascii="Arial" w:hAnsi="Arial" w:cs="Arial"/>
                <w:b/>
                <w:bCs/>
                <w:sz w:val="16"/>
                <w:szCs w:val="16"/>
              </w:rPr>
            </w:pPr>
            <w:r w:rsidRPr="00D35EFD">
              <w:rPr>
                <w:rFonts w:ascii="Arial" w:hAnsi="Arial" w:cs="Arial"/>
                <w:b/>
                <w:bCs/>
                <w:sz w:val="16"/>
                <w:szCs w:val="16"/>
              </w:rPr>
              <w:t>15 500</w:t>
            </w:r>
          </w:p>
        </w:tc>
        <w:tc>
          <w:tcPr>
            <w:tcW w:w="709" w:type="dxa"/>
            <w:tcBorders>
              <w:top w:val="nil"/>
              <w:left w:val="nil"/>
              <w:bottom w:val="dotted" w:sz="4" w:space="0" w:color="auto"/>
              <w:right w:val="dotted" w:sz="4" w:space="0" w:color="auto"/>
            </w:tcBorders>
            <w:noWrap/>
            <w:vAlign w:val="center"/>
          </w:tcPr>
          <w:p w:rsidR="00DE341A" w:rsidRPr="00D35EFD" w:rsidRDefault="00DE341A" w:rsidP="008216A0">
            <w:pPr>
              <w:jc w:val="center"/>
              <w:rPr>
                <w:rFonts w:ascii="Arial" w:hAnsi="Arial" w:cs="Arial"/>
                <w:b/>
                <w:bCs/>
                <w:sz w:val="16"/>
                <w:szCs w:val="16"/>
              </w:rPr>
            </w:pPr>
            <w:r w:rsidRPr="00D35EFD">
              <w:rPr>
                <w:rFonts w:ascii="Arial" w:hAnsi="Arial" w:cs="Arial"/>
                <w:b/>
                <w:bCs/>
                <w:sz w:val="16"/>
                <w:szCs w:val="16"/>
              </w:rPr>
              <w:t>15 500</w:t>
            </w:r>
          </w:p>
        </w:tc>
        <w:tc>
          <w:tcPr>
            <w:tcW w:w="851" w:type="dxa"/>
            <w:tcBorders>
              <w:top w:val="nil"/>
              <w:left w:val="nil"/>
              <w:bottom w:val="dotted" w:sz="4" w:space="0" w:color="auto"/>
              <w:right w:val="single" w:sz="4" w:space="0" w:color="auto"/>
            </w:tcBorders>
            <w:noWrap/>
            <w:vAlign w:val="center"/>
          </w:tcPr>
          <w:p w:rsidR="00DE341A" w:rsidRPr="00D35EFD" w:rsidRDefault="00DE341A" w:rsidP="008216A0">
            <w:pPr>
              <w:jc w:val="center"/>
              <w:rPr>
                <w:rFonts w:ascii="Arial" w:hAnsi="Arial" w:cs="Arial"/>
                <w:i/>
                <w:iCs/>
                <w:sz w:val="16"/>
                <w:szCs w:val="16"/>
              </w:rPr>
            </w:pPr>
            <w:r>
              <w:rPr>
                <w:rFonts w:ascii="Arial" w:hAnsi="Arial" w:cs="Arial"/>
                <w:i/>
                <w:iCs/>
                <w:sz w:val="16"/>
                <w:szCs w:val="16"/>
              </w:rPr>
              <w:t>19</w:t>
            </w:r>
            <w:r w:rsidR="00A1232F">
              <w:rPr>
                <w:rFonts w:ascii="Arial" w:hAnsi="Arial" w:cs="Arial"/>
                <w:i/>
                <w:iCs/>
                <w:sz w:val="16"/>
                <w:szCs w:val="16"/>
              </w:rPr>
              <w:t xml:space="preserve"> </w:t>
            </w:r>
            <w:r>
              <w:rPr>
                <w:rFonts w:ascii="Arial" w:hAnsi="Arial" w:cs="Arial"/>
                <w:i/>
                <w:iCs/>
                <w:sz w:val="16"/>
                <w:szCs w:val="16"/>
              </w:rPr>
              <w:t>969</w:t>
            </w:r>
          </w:p>
        </w:tc>
      </w:tr>
      <w:tr w:rsidR="00A1232F" w:rsidRPr="00D35EFD" w:rsidTr="0039268C">
        <w:trPr>
          <w:trHeight w:val="20"/>
        </w:trPr>
        <w:tc>
          <w:tcPr>
            <w:tcW w:w="1149" w:type="dxa"/>
            <w:vMerge/>
            <w:tcBorders>
              <w:top w:val="single" w:sz="4" w:space="0" w:color="000000"/>
              <w:left w:val="single" w:sz="4" w:space="0" w:color="auto"/>
              <w:bottom w:val="single" w:sz="4" w:space="0" w:color="000000"/>
              <w:right w:val="single" w:sz="4" w:space="0" w:color="auto"/>
            </w:tcBorders>
            <w:shd w:val="clear" w:color="auto" w:fill="EAF1DD"/>
            <w:vAlign w:val="center"/>
          </w:tcPr>
          <w:p w:rsidR="00DE341A" w:rsidRPr="00D35EFD" w:rsidRDefault="00DE341A" w:rsidP="008216A0">
            <w:pPr>
              <w:rPr>
                <w:rFonts w:ascii="Arial" w:hAnsi="Arial" w:cs="Arial"/>
                <w:sz w:val="16"/>
                <w:szCs w:val="16"/>
              </w:rPr>
            </w:pPr>
          </w:p>
        </w:tc>
        <w:tc>
          <w:tcPr>
            <w:tcW w:w="1134" w:type="dxa"/>
            <w:tcBorders>
              <w:top w:val="nil"/>
              <w:left w:val="nil"/>
              <w:bottom w:val="single" w:sz="4" w:space="0" w:color="auto"/>
              <w:right w:val="single" w:sz="4" w:space="0" w:color="auto"/>
            </w:tcBorders>
            <w:shd w:val="clear" w:color="000000" w:fill="auto"/>
            <w:noWrap/>
            <w:vAlign w:val="center"/>
          </w:tcPr>
          <w:p w:rsidR="00DE341A" w:rsidRPr="00D35EFD" w:rsidRDefault="00DE341A" w:rsidP="008216A0">
            <w:pPr>
              <w:rPr>
                <w:rFonts w:ascii="Arial" w:hAnsi="Arial" w:cs="Arial"/>
                <w:sz w:val="16"/>
                <w:szCs w:val="16"/>
              </w:rPr>
            </w:pPr>
            <w:r w:rsidRPr="00D35EFD">
              <w:rPr>
                <w:rFonts w:ascii="Arial" w:hAnsi="Arial" w:cs="Arial"/>
                <w:sz w:val="16"/>
                <w:szCs w:val="16"/>
              </w:rPr>
              <w:t>Východisko</w:t>
            </w:r>
          </w:p>
        </w:tc>
        <w:tc>
          <w:tcPr>
            <w:tcW w:w="496" w:type="dxa"/>
            <w:tcBorders>
              <w:top w:val="nil"/>
              <w:left w:val="nil"/>
              <w:bottom w:val="single" w:sz="4" w:space="0" w:color="auto"/>
              <w:right w:val="dotted" w:sz="4" w:space="0" w:color="auto"/>
            </w:tcBorders>
            <w:noWrap/>
            <w:vAlign w:val="center"/>
          </w:tcPr>
          <w:p w:rsidR="00DE341A" w:rsidRPr="00D35EFD" w:rsidRDefault="00DE341A" w:rsidP="008216A0">
            <w:pPr>
              <w:jc w:val="center"/>
              <w:rPr>
                <w:rFonts w:ascii="Arial" w:hAnsi="Arial" w:cs="Arial"/>
                <w:b/>
                <w:bCs/>
                <w:sz w:val="16"/>
                <w:szCs w:val="16"/>
              </w:rPr>
            </w:pPr>
            <w:r w:rsidRPr="00D35EFD">
              <w:rPr>
                <w:rFonts w:ascii="Arial" w:hAnsi="Arial" w:cs="Arial"/>
                <w:b/>
                <w:bCs/>
                <w:sz w:val="16"/>
                <w:szCs w:val="16"/>
              </w:rPr>
              <w:t>0</w:t>
            </w:r>
          </w:p>
        </w:tc>
        <w:tc>
          <w:tcPr>
            <w:tcW w:w="496" w:type="dxa"/>
            <w:tcBorders>
              <w:top w:val="nil"/>
              <w:left w:val="nil"/>
              <w:bottom w:val="single" w:sz="4" w:space="0" w:color="auto"/>
              <w:right w:val="dotted" w:sz="4" w:space="0" w:color="auto"/>
            </w:tcBorders>
            <w:noWrap/>
            <w:vAlign w:val="center"/>
          </w:tcPr>
          <w:p w:rsidR="00DE341A" w:rsidRPr="00D35EFD" w:rsidRDefault="00DE341A" w:rsidP="008216A0">
            <w:pPr>
              <w:jc w:val="center"/>
              <w:rPr>
                <w:rFonts w:ascii="Arial" w:hAnsi="Arial" w:cs="Arial"/>
                <w:i/>
                <w:iCs/>
                <w:sz w:val="16"/>
                <w:szCs w:val="16"/>
              </w:rPr>
            </w:pPr>
            <w:r w:rsidRPr="00D35EFD">
              <w:rPr>
                <w:rFonts w:ascii="Arial" w:hAnsi="Arial" w:cs="Arial"/>
                <w:i/>
                <w:iCs/>
                <w:sz w:val="16"/>
                <w:szCs w:val="16"/>
              </w:rPr>
              <w:t>N/A</w:t>
            </w:r>
          </w:p>
        </w:tc>
        <w:tc>
          <w:tcPr>
            <w:tcW w:w="709" w:type="dxa"/>
            <w:tcBorders>
              <w:top w:val="nil"/>
              <w:left w:val="nil"/>
              <w:bottom w:val="single" w:sz="4" w:space="0" w:color="auto"/>
              <w:right w:val="dotted" w:sz="4" w:space="0" w:color="auto"/>
            </w:tcBorders>
            <w:noWrap/>
            <w:vAlign w:val="center"/>
          </w:tcPr>
          <w:p w:rsidR="00DE341A" w:rsidRPr="00D35EFD" w:rsidRDefault="00DE341A" w:rsidP="008216A0">
            <w:pPr>
              <w:jc w:val="center"/>
              <w:rPr>
                <w:rFonts w:ascii="Arial" w:hAnsi="Arial" w:cs="Arial"/>
                <w:i/>
                <w:iCs/>
                <w:sz w:val="16"/>
                <w:szCs w:val="16"/>
              </w:rPr>
            </w:pPr>
            <w:r w:rsidRPr="00D35EFD">
              <w:rPr>
                <w:rFonts w:ascii="Arial" w:hAnsi="Arial" w:cs="Arial"/>
                <w:i/>
                <w:iCs/>
                <w:sz w:val="16"/>
                <w:szCs w:val="16"/>
              </w:rPr>
              <w:t>N/A</w:t>
            </w:r>
          </w:p>
        </w:tc>
        <w:tc>
          <w:tcPr>
            <w:tcW w:w="709" w:type="dxa"/>
            <w:tcBorders>
              <w:top w:val="nil"/>
              <w:left w:val="nil"/>
              <w:bottom w:val="single" w:sz="4" w:space="0" w:color="auto"/>
              <w:right w:val="dotted" w:sz="4" w:space="0" w:color="auto"/>
            </w:tcBorders>
            <w:noWrap/>
            <w:vAlign w:val="center"/>
          </w:tcPr>
          <w:p w:rsidR="00DE341A" w:rsidRPr="00D35EFD" w:rsidRDefault="00DE341A" w:rsidP="008216A0">
            <w:pPr>
              <w:jc w:val="center"/>
              <w:rPr>
                <w:rFonts w:ascii="Arial" w:hAnsi="Arial" w:cs="Arial"/>
                <w:i/>
                <w:iCs/>
                <w:sz w:val="16"/>
                <w:szCs w:val="16"/>
              </w:rPr>
            </w:pPr>
            <w:r w:rsidRPr="00D35EFD">
              <w:rPr>
                <w:rFonts w:ascii="Arial" w:hAnsi="Arial" w:cs="Arial"/>
                <w:i/>
                <w:iCs/>
                <w:sz w:val="16"/>
                <w:szCs w:val="16"/>
              </w:rPr>
              <w:t>N/A</w:t>
            </w:r>
          </w:p>
        </w:tc>
        <w:tc>
          <w:tcPr>
            <w:tcW w:w="709" w:type="dxa"/>
            <w:tcBorders>
              <w:top w:val="nil"/>
              <w:left w:val="nil"/>
              <w:bottom w:val="single" w:sz="4" w:space="0" w:color="auto"/>
              <w:right w:val="dotted" w:sz="4" w:space="0" w:color="auto"/>
            </w:tcBorders>
            <w:noWrap/>
            <w:vAlign w:val="center"/>
          </w:tcPr>
          <w:p w:rsidR="00DE341A" w:rsidRPr="00D35EFD" w:rsidRDefault="00DE341A" w:rsidP="008216A0">
            <w:pPr>
              <w:jc w:val="center"/>
              <w:rPr>
                <w:rFonts w:ascii="Arial" w:hAnsi="Arial" w:cs="Arial"/>
                <w:i/>
                <w:iCs/>
                <w:sz w:val="16"/>
                <w:szCs w:val="16"/>
              </w:rPr>
            </w:pPr>
            <w:r w:rsidRPr="00D35EFD">
              <w:rPr>
                <w:rFonts w:ascii="Arial" w:hAnsi="Arial" w:cs="Arial"/>
                <w:i/>
                <w:iCs/>
                <w:sz w:val="16"/>
                <w:szCs w:val="16"/>
              </w:rPr>
              <w:t>N/A</w:t>
            </w:r>
          </w:p>
        </w:tc>
        <w:tc>
          <w:tcPr>
            <w:tcW w:w="850" w:type="dxa"/>
            <w:tcBorders>
              <w:top w:val="nil"/>
              <w:left w:val="nil"/>
              <w:bottom w:val="single" w:sz="4" w:space="0" w:color="auto"/>
              <w:right w:val="dotted" w:sz="4" w:space="0" w:color="auto"/>
            </w:tcBorders>
            <w:noWrap/>
            <w:vAlign w:val="center"/>
          </w:tcPr>
          <w:p w:rsidR="00DE341A" w:rsidRPr="00D35EFD" w:rsidRDefault="00DE341A" w:rsidP="008216A0">
            <w:pPr>
              <w:jc w:val="center"/>
              <w:rPr>
                <w:rFonts w:ascii="Arial" w:hAnsi="Arial" w:cs="Arial"/>
                <w:i/>
                <w:iCs/>
                <w:sz w:val="16"/>
                <w:szCs w:val="16"/>
              </w:rPr>
            </w:pPr>
            <w:r w:rsidRPr="00D35EFD">
              <w:rPr>
                <w:rFonts w:ascii="Arial" w:hAnsi="Arial" w:cs="Arial"/>
                <w:i/>
                <w:iCs/>
                <w:sz w:val="16"/>
                <w:szCs w:val="16"/>
              </w:rPr>
              <w:t>N/A</w:t>
            </w:r>
          </w:p>
        </w:tc>
        <w:tc>
          <w:tcPr>
            <w:tcW w:w="496" w:type="dxa"/>
            <w:tcBorders>
              <w:top w:val="nil"/>
              <w:left w:val="nil"/>
              <w:bottom w:val="single" w:sz="4" w:space="0" w:color="auto"/>
              <w:right w:val="dotted" w:sz="4" w:space="0" w:color="auto"/>
            </w:tcBorders>
            <w:noWrap/>
            <w:vAlign w:val="center"/>
          </w:tcPr>
          <w:p w:rsidR="00DE341A" w:rsidRPr="00D35EFD" w:rsidRDefault="00DE341A" w:rsidP="008216A0">
            <w:pPr>
              <w:jc w:val="center"/>
              <w:rPr>
                <w:rFonts w:ascii="Arial" w:hAnsi="Arial" w:cs="Arial"/>
                <w:i/>
                <w:iCs/>
                <w:sz w:val="16"/>
                <w:szCs w:val="16"/>
              </w:rPr>
            </w:pPr>
            <w:r w:rsidRPr="00D35EFD">
              <w:rPr>
                <w:rFonts w:ascii="Arial" w:hAnsi="Arial" w:cs="Arial"/>
                <w:i/>
                <w:iCs/>
                <w:sz w:val="16"/>
                <w:szCs w:val="16"/>
              </w:rPr>
              <w:t>N/A</w:t>
            </w:r>
          </w:p>
        </w:tc>
        <w:tc>
          <w:tcPr>
            <w:tcW w:w="496" w:type="dxa"/>
            <w:tcBorders>
              <w:top w:val="nil"/>
              <w:left w:val="nil"/>
              <w:bottom w:val="single" w:sz="4" w:space="0" w:color="auto"/>
              <w:right w:val="dotted" w:sz="4" w:space="0" w:color="auto"/>
            </w:tcBorders>
            <w:noWrap/>
            <w:vAlign w:val="center"/>
          </w:tcPr>
          <w:p w:rsidR="00DE341A" w:rsidRPr="00D35EFD" w:rsidRDefault="00DE341A" w:rsidP="008216A0">
            <w:pPr>
              <w:jc w:val="center"/>
              <w:rPr>
                <w:rFonts w:ascii="Arial" w:hAnsi="Arial" w:cs="Arial"/>
                <w:i/>
                <w:iCs/>
                <w:sz w:val="16"/>
                <w:szCs w:val="16"/>
              </w:rPr>
            </w:pPr>
            <w:r w:rsidRPr="00D35EFD">
              <w:rPr>
                <w:rFonts w:ascii="Arial" w:hAnsi="Arial" w:cs="Arial"/>
                <w:i/>
                <w:iCs/>
                <w:sz w:val="16"/>
                <w:szCs w:val="16"/>
              </w:rPr>
              <w:t>N/A</w:t>
            </w:r>
          </w:p>
        </w:tc>
        <w:tc>
          <w:tcPr>
            <w:tcW w:w="709" w:type="dxa"/>
            <w:tcBorders>
              <w:top w:val="nil"/>
              <w:left w:val="nil"/>
              <w:bottom w:val="single" w:sz="4" w:space="0" w:color="auto"/>
              <w:right w:val="dotted" w:sz="4" w:space="0" w:color="auto"/>
            </w:tcBorders>
            <w:noWrap/>
            <w:vAlign w:val="center"/>
          </w:tcPr>
          <w:p w:rsidR="00DE341A" w:rsidRPr="00D35EFD" w:rsidRDefault="00DE341A" w:rsidP="008216A0">
            <w:pPr>
              <w:jc w:val="center"/>
              <w:rPr>
                <w:rFonts w:ascii="Arial" w:hAnsi="Arial" w:cs="Arial"/>
                <w:i/>
                <w:iCs/>
                <w:sz w:val="16"/>
                <w:szCs w:val="16"/>
              </w:rPr>
            </w:pPr>
            <w:r w:rsidRPr="00D35EFD">
              <w:rPr>
                <w:rFonts w:ascii="Arial" w:hAnsi="Arial" w:cs="Arial"/>
                <w:i/>
                <w:iCs/>
                <w:sz w:val="16"/>
                <w:szCs w:val="16"/>
              </w:rPr>
              <w:t>N/A</w:t>
            </w:r>
          </w:p>
        </w:tc>
        <w:tc>
          <w:tcPr>
            <w:tcW w:w="709" w:type="dxa"/>
            <w:tcBorders>
              <w:top w:val="nil"/>
              <w:left w:val="nil"/>
              <w:bottom w:val="single" w:sz="4" w:space="0" w:color="auto"/>
              <w:right w:val="dotted" w:sz="4" w:space="0" w:color="auto"/>
            </w:tcBorders>
            <w:noWrap/>
            <w:vAlign w:val="center"/>
          </w:tcPr>
          <w:p w:rsidR="00DE341A" w:rsidRPr="00D35EFD" w:rsidRDefault="00DE341A" w:rsidP="008216A0">
            <w:pPr>
              <w:jc w:val="center"/>
              <w:rPr>
                <w:rFonts w:ascii="Arial" w:hAnsi="Arial" w:cs="Arial"/>
                <w:b/>
                <w:bCs/>
                <w:sz w:val="16"/>
                <w:szCs w:val="16"/>
              </w:rPr>
            </w:pPr>
            <w:r w:rsidRPr="00D35EFD">
              <w:rPr>
                <w:rFonts w:ascii="Arial" w:hAnsi="Arial" w:cs="Arial"/>
                <w:b/>
                <w:bCs/>
                <w:sz w:val="16"/>
                <w:szCs w:val="16"/>
              </w:rPr>
              <w:t>0</w:t>
            </w:r>
          </w:p>
        </w:tc>
        <w:tc>
          <w:tcPr>
            <w:tcW w:w="851" w:type="dxa"/>
            <w:tcBorders>
              <w:top w:val="nil"/>
              <w:left w:val="nil"/>
              <w:bottom w:val="single" w:sz="4" w:space="0" w:color="auto"/>
              <w:right w:val="single" w:sz="4" w:space="0" w:color="auto"/>
            </w:tcBorders>
            <w:noWrap/>
            <w:vAlign w:val="center"/>
          </w:tcPr>
          <w:p w:rsidR="00DE341A" w:rsidRPr="00D35EFD" w:rsidRDefault="00DE341A" w:rsidP="008216A0">
            <w:pPr>
              <w:jc w:val="center"/>
              <w:rPr>
                <w:rFonts w:ascii="Arial" w:hAnsi="Arial" w:cs="Arial"/>
                <w:sz w:val="16"/>
                <w:szCs w:val="16"/>
              </w:rPr>
            </w:pPr>
          </w:p>
        </w:tc>
      </w:tr>
      <w:tr w:rsidR="00A1232F" w:rsidRPr="00D35EFD" w:rsidTr="0039268C">
        <w:trPr>
          <w:trHeight w:val="20"/>
        </w:trPr>
        <w:tc>
          <w:tcPr>
            <w:tcW w:w="1149" w:type="dxa"/>
            <w:vMerge w:val="restart"/>
            <w:tcBorders>
              <w:top w:val="single" w:sz="4" w:space="0" w:color="000000"/>
              <w:left w:val="single" w:sz="4" w:space="0" w:color="auto"/>
              <w:bottom w:val="single" w:sz="4" w:space="0" w:color="000000"/>
              <w:right w:val="single" w:sz="4" w:space="0" w:color="auto"/>
            </w:tcBorders>
            <w:shd w:val="clear" w:color="auto" w:fill="EAF1DD"/>
            <w:vAlign w:val="center"/>
          </w:tcPr>
          <w:p w:rsidR="00DE341A" w:rsidRPr="00D35EFD" w:rsidRDefault="00DE341A" w:rsidP="008216A0">
            <w:pPr>
              <w:rPr>
                <w:rFonts w:ascii="Arial" w:hAnsi="Arial" w:cs="Arial"/>
                <w:sz w:val="16"/>
                <w:szCs w:val="16"/>
              </w:rPr>
            </w:pPr>
            <w:r w:rsidRPr="00D35EFD">
              <w:rPr>
                <w:rFonts w:ascii="Arial" w:hAnsi="Arial" w:cs="Arial"/>
                <w:sz w:val="16"/>
                <w:szCs w:val="16"/>
              </w:rPr>
              <w:t>Počet žien využívajúcich výsledky projekt [počet]</w:t>
            </w:r>
          </w:p>
        </w:tc>
        <w:tc>
          <w:tcPr>
            <w:tcW w:w="1134" w:type="dxa"/>
            <w:tcBorders>
              <w:top w:val="nil"/>
              <w:left w:val="nil"/>
              <w:bottom w:val="dotted" w:sz="4" w:space="0" w:color="auto"/>
              <w:right w:val="single" w:sz="4" w:space="0" w:color="auto"/>
            </w:tcBorders>
            <w:shd w:val="clear" w:color="000000" w:fill="auto"/>
            <w:noWrap/>
            <w:vAlign w:val="center"/>
          </w:tcPr>
          <w:p w:rsidR="00DE341A" w:rsidRPr="00D35EFD" w:rsidRDefault="00DE341A" w:rsidP="008216A0">
            <w:pPr>
              <w:rPr>
                <w:rFonts w:ascii="Arial" w:hAnsi="Arial" w:cs="Arial"/>
                <w:sz w:val="16"/>
                <w:szCs w:val="16"/>
              </w:rPr>
            </w:pPr>
            <w:r w:rsidRPr="00D35EFD">
              <w:rPr>
                <w:rFonts w:ascii="Arial" w:hAnsi="Arial" w:cs="Arial"/>
                <w:sz w:val="16"/>
                <w:szCs w:val="16"/>
              </w:rPr>
              <w:t>Dosiahnutý výsledok</w:t>
            </w:r>
          </w:p>
        </w:tc>
        <w:tc>
          <w:tcPr>
            <w:tcW w:w="496" w:type="dxa"/>
            <w:tcBorders>
              <w:top w:val="nil"/>
              <w:left w:val="nil"/>
              <w:bottom w:val="dotted" w:sz="4" w:space="0" w:color="auto"/>
              <w:right w:val="dotted" w:sz="4" w:space="0" w:color="auto"/>
            </w:tcBorders>
            <w:noWrap/>
            <w:vAlign w:val="center"/>
          </w:tcPr>
          <w:p w:rsidR="00DE341A" w:rsidRPr="00D35EFD" w:rsidRDefault="00DE341A" w:rsidP="008216A0">
            <w:pPr>
              <w:jc w:val="center"/>
              <w:rPr>
                <w:rFonts w:ascii="Arial" w:hAnsi="Arial" w:cs="Arial"/>
                <w:b/>
                <w:bCs/>
                <w:sz w:val="16"/>
                <w:szCs w:val="16"/>
              </w:rPr>
            </w:pPr>
            <w:r w:rsidRPr="00D35EFD">
              <w:rPr>
                <w:rFonts w:ascii="Arial" w:hAnsi="Arial" w:cs="Arial"/>
                <w:b/>
                <w:bCs/>
                <w:sz w:val="16"/>
                <w:szCs w:val="16"/>
              </w:rPr>
              <w:t>0</w:t>
            </w:r>
          </w:p>
        </w:tc>
        <w:tc>
          <w:tcPr>
            <w:tcW w:w="496" w:type="dxa"/>
            <w:tcBorders>
              <w:top w:val="nil"/>
              <w:left w:val="nil"/>
              <w:bottom w:val="dotted" w:sz="4" w:space="0" w:color="auto"/>
              <w:right w:val="dotted" w:sz="4" w:space="0" w:color="auto"/>
            </w:tcBorders>
            <w:noWrap/>
            <w:vAlign w:val="center"/>
          </w:tcPr>
          <w:p w:rsidR="00DE341A" w:rsidRPr="00D35EFD" w:rsidRDefault="00DE341A" w:rsidP="008216A0">
            <w:pPr>
              <w:jc w:val="center"/>
              <w:rPr>
                <w:rFonts w:ascii="Arial" w:hAnsi="Arial" w:cs="Arial"/>
                <w:b/>
                <w:bCs/>
                <w:sz w:val="16"/>
                <w:szCs w:val="16"/>
              </w:rPr>
            </w:pPr>
            <w:r w:rsidRPr="00D35EFD">
              <w:rPr>
                <w:rFonts w:ascii="Arial" w:hAnsi="Arial" w:cs="Arial"/>
                <w:b/>
                <w:bCs/>
                <w:sz w:val="16"/>
                <w:szCs w:val="16"/>
              </w:rPr>
              <w:t>0</w:t>
            </w:r>
          </w:p>
        </w:tc>
        <w:tc>
          <w:tcPr>
            <w:tcW w:w="709" w:type="dxa"/>
            <w:tcBorders>
              <w:top w:val="nil"/>
              <w:left w:val="nil"/>
              <w:bottom w:val="dotted" w:sz="4" w:space="0" w:color="auto"/>
              <w:right w:val="dotted" w:sz="4" w:space="0" w:color="auto"/>
            </w:tcBorders>
            <w:noWrap/>
            <w:vAlign w:val="center"/>
          </w:tcPr>
          <w:p w:rsidR="00DE341A" w:rsidRPr="00D35EFD" w:rsidRDefault="00DE341A" w:rsidP="008216A0">
            <w:pPr>
              <w:jc w:val="center"/>
              <w:rPr>
                <w:rFonts w:ascii="Arial" w:hAnsi="Arial" w:cs="Arial"/>
                <w:b/>
                <w:bCs/>
                <w:sz w:val="16"/>
                <w:szCs w:val="16"/>
              </w:rPr>
            </w:pPr>
            <w:r w:rsidRPr="00D35EFD">
              <w:rPr>
                <w:rFonts w:ascii="Arial" w:hAnsi="Arial" w:cs="Arial"/>
                <w:b/>
                <w:bCs/>
                <w:sz w:val="16"/>
                <w:szCs w:val="16"/>
              </w:rPr>
              <w:t>193</w:t>
            </w:r>
          </w:p>
        </w:tc>
        <w:tc>
          <w:tcPr>
            <w:tcW w:w="709" w:type="dxa"/>
            <w:tcBorders>
              <w:top w:val="nil"/>
              <w:left w:val="nil"/>
              <w:bottom w:val="dotted" w:sz="4" w:space="0" w:color="auto"/>
              <w:right w:val="dotted" w:sz="4" w:space="0" w:color="auto"/>
            </w:tcBorders>
            <w:noWrap/>
            <w:vAlign w:val="center"/>
          </w:tcPr>
          <w:p w:rsidR="00DE341A" w:rsidRPr="00D35EFD" w:rsidRDefault="00DE341A" w:rsidP="008216A0">
            <w:pPr>
              <w:jc w:val="center"/>
              <w:rPr>
                <w:rFonts w:ascii="Arial" w:hAnsi="Arial" w:cs="Arial"/>
                <w:b/>
                <w:bCs/>
                <w:sz w:val="16"/>
                <w:szCs w:val="16"/>
              </w:rPr>
            </w:pPr>
            <w:r w:rsidRPr="00D35EFD">
              <w:rPr>
                <w:rFonts w:ascii="Arial" w:hAnsi="Arial" w:cs="Arial"/>
                <w:b/>
                <w:bCs/>
                <w:sz w:val="16"/>
                <w:szCs w:val="16"/>
              </w:rPr>
              <w:t>18 069</w:t>
            </w:r>
          </w:p>
        </w:tc>
        <w:tc>
          <w:tcPr>
            <w:tcW w:w="709" w:type="dxa"/>
            <w:tcBorders>
              <w:top w:val="nil"/>
              <w:left w:val="nil"/>
              <w:bottom w:val="dotted" w:sz="4" w:space="0" w:color="auto"/>
              <w:right w:val="dotted" w:sz="4" w:space="0" w:color="auto"/>
            </w:tcBorders>
            <w:noWrap/>
            <w:vAlign w:val="center"/>
          </w:tcPr>
          <w:p w:rsidR="00DE341A" w:rsidRPr="00D35EFD" w:rsidRDefault="00DE341A" w:rsidP="008216A0">
            <w:pPr>
              <w:jc w:val="center"/>
              <w:rPr>
                <w:rFonts w:ascii="Arial" w:hAnsi="Arial" w:cs="Arial"/>
                <w:b/>
                <w:bCs/>
                <w:sz w:val="16"/>
                <w:szCs w:val="16"/>
              </w:rPr>
            </w:pPr>
            <w:r w:rsidRPr="00D35EFD">
              <w:rPr>
                <w:rFonts w:ascii="Arial" w:hAnsi="Arial" w:cs="Arial"/>
                <w:b/>
                <w:bCs/>
                <w:sz w:val="16"/>
                <w:szCs w:val="16"/>
              </w:rPr>
              <w:t>1 213 738</w:t>
            </w:r>
          </w:p>
        </w:tc>
        <w:tc>
          <w:tcPr>
            <w:tcW w:w="850" w:type="dxa"/>
            <w:tcBorders>
              <w:top w:val="nil"/>
              <w:left w:val="nil"/>
              <w:bottom w:val="dotted" w:sz="4" w:space="0" w:color="auto"/>
              <w:right w:val="dotted" w:sz="4" w:space="0" w:color="auto"/>
            </w:tcBorders>
            <w:noWrap/>
            <w:vAlign w:val="center"/>
          </w:tcPr>
          <w:p w:rsidR="00DE341A" w:rsidRPr="0039268C" w:rsidRDefault="00DE341A" w:rsidP="008216A0">
            <w:pPr>
              <w:jc w:val="center"/>
              <w:rPr>
                <w:rFonts w:ascii="Arial" w:hAnsi="Arial" w:cs="Arial"/>
                <w:b/>
                <w:iCs/>
                <w:sz w:val="16"/>
                <w:szCs w:val="16"/>
              </w:rPr>
            </w:pPr>
            <w:r w:rsidRPr="0039268C">
              <w:rPr>
                <w:rFonts w:ascii="Arial" w:hAnsi="Arial" w:cs="Arial"/>
                <w:b/>
                <w:iCs/>
                <w:sz w:val="16"/>
                <w:szCs w:val="16"/>
              </w:rPr>
              <w:t>1 726 629</w:t>
            </w:r>
          </w:p>
        </w:tc>
        <w:tc>
          <w:tcPr>
            <w:tcW w:w="496" w:type="dxa"/>
            <w:tcBorders>
              <w:top w:val="nil"/>
              <w:left w:val="nil"/>
              <w:bottom w:val="dotted" w:sz="4" w:space="0" w:color="auto"/>
              <w:right w:val="dotted" w:sz="4" w:space="0" w:color="auto"/>
            </w:tcBorders>
            <w:noWrap/>
            <w:vAlign w:val="center"/>
          </w:tcPr>
          <w:p w:rsidR="00DE341A" w:rsidRPr="00D35EFD" w:rsidRDefault="00DE341A" w:rsidP="008216A0">
            <w:pPr>
              <w:jc w:val="center"/>
              <w:rPr>
                <w:rFonts w:ascii="Arial" w:hAnsi="Arial" w:cs="Arial"/>
                <w:i/>
                <w:iCs/>
                <w:sz w:val="16"/>
                <w:szCs w:val="16"/>
              </w:rPr>
            </w:pPr>
            <w:r w:rsidRPr="00D35EFD">
              <w:rPr>
                <w:rFonts w:ascii="Arial" w:hAnsi="Arial" w:cs="Arial"/>
                <w:i/>
                <w:iCs/>
                <w:sz w:val="16"/>
                <w:szCs w:val="16"/>
              </w:rPr>
              <w:t>N/A</w:t>
            </w:r>
          </w:p>
        </w:tc>
        <w:tc>
          <w:tcPr>
            <w:tcW w:w="496" w:type="dxa"/>
            <w:tcBorders>
              <w:top w:val="nil"/>
              <w:left w:val="nil"/>
              <w:bottom w:val="dotted" w:sz="4" w:space="0" w:color="auto"/>
              <w:right w:val="dotted" w:sz="4" w:space="0" w:color="auto"/>
            </w:tcBorders>
            <w:noWrap/>
            <w:vAlign w:val="center"/>
          </w:tcPr>
          <w:p w:rsidR="00DE341A" w:rsidRPr="00D35EFD" w:rsidRDefault="00DE341A" w:rsidP="008216A0">
            <w:pPr>
              <w:jc w:val="center"/>
              <w:rPr>
                <w:rFonts w:ascii="Arial" w:hAnsi="Arial" w:cs="Arial"/>
                <w:i/>
                <w:iCs/>
                <w:sz w:val="16"/>
                <w:szCs w:val="16"/>
              </w:rPr>
            </w:pPr>
            <w:r w:rsidRPr="00D35EFD">
              <w:rPr>
                <w:rFonts w:ascii="Arial" w:hAnsi="Arial" w:cs="Arial"/>
                <w:i/>
                <w:iCs/>
                <w:sz w:val="16"/>
                <w:szCs w:val="16"/>
              </w:rPr>
              <w:t>N/A</w:t>
            </w:r>
          </w:p>
        </w:tc>
        <w:tc>
          <w:tcPr>
            <w:tcW w:w="709" w:type="dxa"/>
            <w:tcBorders>
              <w:top w:val="nil"/>
              <w:left w:val="nil"/>
              <w:bottom w:val="dotted" w:sz="4" w:space="0" w:color="auto"/>
              <w:right w:val="dotted" w:sz="4" w:space="0" w:color="auto"/>
            </w:tcBorders>
            <w:noWrap/>
            <w:vAlign w:val="center"/>
          </w:tcPr>
          <w:p w:rsidR="00DE341A" w:rsidRPr="00D35EFD" w:rsidRDefault="00DE341A" w:rsidP="008216A0">
            <w:pPr>
              <w:jc w:val="center"/>
              <w:rPr>
                <w:rFonts w:ascii="Arial" w:hAnsi="Arial" w:cs="Arial"/>
                <w:i/>
                <w:iCs/>
                <w:sz w:val="16"/>
                <w:szCs w:val="16"/>
              </w:rPr>
            </w:pPr>
            <w:r w:rsidRPr="00D35EFD">
              <w:rPr>
                <w:rFonts w:ascii="Arial" w:hAnsi="Arial" w:cs="Arial"/>
                <w:i/>
                <w:iCs/>
                <w:sz w:val="16"/>
                <w:szCs w:val="16"/>
              </w:rPr>
              <w:t>N/A</w:t>
            </w:r>
          </w:p>
        </w:tc>
        <w:tc>
          <w:tcPr>
            <w:tcW w:w="709" w:type="dxa"/>
            <w:tcBorders>
              <w:top w:val="nil"/>
              <w:left w:val="nil"/>
              <w:bottom w:val="dotted" w:sz="4" w:space="0" w:color="auto"/>
              <w:right w:val="dotted" w:sz="4" w:space="0" w:color="auto"/>
            </w:tcBorders>
            <w:noWrap/>
            <w:vAlign w:val="center"/>
          </w:tcPr>
          <w:p w:rsidR="00DE341A" w:rsidRPr="00D35EFD" w:rsidRDefault="00DE341A" w:rsidP="008216A0">
            <w:pPr>
              <w:jc w:val="center"/>
              <w:rPr>
                <w:rFonts w:ascii="Arial" w:hAnsi="Arial" w:cs="Arial"/>
                <w:b/>
                <w:bCs/>
                <w:sz w:val="16"/>
                <w:szCs w:val="16"/>
              </w:rPr>
            </w:pPr>
            <w:r>
              <w:rPr>
                <w:rFonts w:ascii="Arial" w:hAnsi="Arial" w:cs="Arial"/>
                <w:b/>
                <w:bCs/>
                <w:sz w:val="16"/>
                <w:szCs w:val="16"/>
              </w:rPr>
              <w:t>1 726 629</w:t>
            </w:r>
          </w:p>
        </w:tc>
        <w:tc>
          <w:tcPr>
            <w:tcW w:w="851" w:type="dxa"/>
            <w:tcBorders>
              <w:top w:val="nil"/>
              <w:left w:val="nil"/>
              <w:bottom w:val="dotted" w:sz="4" w:space="0" w:color="auto"/>
              <w:right w:val="single" w:sz="4" w:space="0" w:color="auto"/>
            </w:tcBorders>
            <w:noWrap/>
            <w:vAlign w:val="center"/>
          </w:tcPr>
          <w:p w:rsidR="00DE341A" w:rsidRPr="00D35EFD" w:rsidRDefault="00DE341A" w:rsidP="008216A0">
            <w:pPr>
              <w:jc w:val="center"/>
              <w:rPr>
                <w:rFonts w:ascii="Arial" w:hAnsi="Arial" w:cs="Arial"/>
                <w:sz w:val="16"/>
                <w:szCs w:val="16"/>
              </w:rPr>
            </w:pPr>
          </w:p>
        </w:tc>
      </w:tr>
      <w:tr w:rsidR="00A1232F" w:rsidRPr="00D35EFD" w:rsidTr="0039268C">
        <w:trPr>
          <w:trHeight w:val="20"/>
        </w:trPr>
        <w:tc>
          <w:tcPr>
            <w:tcW w:w="1149" w:type="dxa"/>
            <w:vMerge/>
            <w:tcBorders>
              <w:top w:val="single" w:sz="4" w:space="0" w:color="000000"/>
              <w:left w:val="single" w:sz="4" w:space="0" w:color="auto"/>
              <w:bottom w:val="single" w:sz="4" w:space="0" w:color="000000"/>
              <w:right w:val="single" w:sz="4" w:space="0" w:color="auto"/>
            </w:tcBorders>
            <w:shd w:val="clear" w:color="auto" w:fill="EAF1DD"/>
            <w:vAlign w:val="center"/>
          </w:tcPr>
          <w:p w:rsidR="00DE341A" w:rsidRPr="00D35EFD" w:rsidRDefault="00DE341A" w:rsidP="008216A0">
            <w:pPr>
              <w:rPr>
                <w:rFonts w:ascii="Arial" w:hAnsi="Arial" w:cs="Arial"/>
                <w:sz w:val="16"/>
                <w:szCs w:val="16"/>
              </w:rPr>
            </w:pPr>
          </w:p>
        </w:tc>
        <w:tc>
          <w:tcPr>
            <w:tcW w:w="1134" w:type="dxa"/>
            <w:tcBorders>
              <w:top w:val="nil"/>
              <w:left w:val="nil"/>
              <w:bottom w:val="dotted" w:sz="4" w:space="0" w:color="auto"/>
              <w:right w:val="single" w:sz="4" w:space="0" w:color="auto"/>
            </w:tcBorders>
            <w:shd w:val="clear" w:color="000000" w:fill="auto"/>
            <w:noWrap/>
            <w:vAlign w:val="center"/>
          </w:tcPr>
          <w:p w:rsidR="00DE341A" w:rsidRPr="00D35EFD" w:rsidRDefault="00DE341A" w:rsidP="008216A0">
            <w:pPr>
              <w:rPr>
                <w:rFonts w:ascii="Arial" w:hAnsi="Arial" w:cs="Arial"/>
                <w:sz w:val="16"/>
                <w:szCs w:val="16"/>
              </w:rPr>
            </w:pPr>
            <w:r w:rsidRPr="00D35EFD">
              <w:rPr>
                <w:rFonts w:ascii="Arial" w:hAnsi="Arial" w:cs="Arial"/>
                <w:sz w:val="16"/>
                <w:szCs w:val="16"/>
              </w:rPr>
              <w:t>Cieľ</w:t>
            </w:r>
          </w:p>
        </w:tc>
        <w:tc>
          <w:tcPr>
            <w:tcW w:w="496" w:type="dxa"/>
            <w:tcBorders>
              <w:top w:val="nil"/>
              <w:left w:val="nil"/>
              <w:bottom w:val="dotted" w:sz="4" w:space="0" w:color="auto"/>
              <w:right w:val="dotted" w:sz="4" w:space="0" w:color="auto"/>
            </w:tcBorders>
            <w:noWrap/>
            <w:vAlign w:val="center"/>
          </w:tcPr>
          <w:p w:rsidR="00DE341A" w:rsidRPr="00D35EFD" w:rsidRDefault="00DE341A" w:rsidP="008216A0">
            <w:pPr>
              <w:jc w:val="center"/>
              <w:rPr>
                <w:rFonts w:ascii="Arial" w:hAnsi="Arial" w:cs="Arial"/>
                <w:i/>
                <w:iCs/>
                <w:sz w:val="16"/>
                <w:szCs w:val="16"/>
              </w:rPr>
            </w:pPr>
            <w:r w:rsidRPr="00D35EFD">
              <w:rPr>
                <w:rFonts w:ascii="Arial" w:hAnsi="Arial" w:cs="Arial"/>
                <w:i/>
                <w:iCs/>
                <w:sz w:val="16"/>
                <w:szCs w:val="16"/>
              </w:rPr>
              <w:t>N/A</w:t>
            </w:r>
          </w:p>
        </w:tc>
        <w:tc>
          <w:tcPr>
            <w:tcW w:w="496" w:type="dxa"/>
            <w:tcBorders>
              <w:top w:val="nil"/>
              <w:left w:val="nil"/>
              <w:bottom w:val="dotted" w:sz="4" w:space="0" w:color="auto"/>
              <w:right w:val="dotted" w:sz="4" w:space="0" w:color="auto"/>
            </w:tcBorders>
            <w:noWrap/>
            <w:vAlign w:val="center"/>
          </w:tcPr>
          <w:p w:rsidR="00DE341A" w:rsidRPr="00D35EFD" w:rsidRDefault="00DE341A" w:rsidP="008216A0">
            <w:pPr>
              <w:jc w:val="center"/>
              <w:rPr>
                <w:rFonts w:ascii="Arial" w:hAnsi="Arial" w:cs="Arial"/>
                <w:i/>
                <w:iCs/>
                <w:sz w:val="16"/>
                <w:szCs w:val="16"/>
              </w:rPr>
            </w:pPr>
            <w:r w:rsidRPr="00D35EFD">
              <w:rPr>
                <w:rFonts w:ascii="Arial" w:hAnsi="Arial" w:cs="Arial"/>
                <w:i/>
                <w:iCs/>
                <w:sz w:val="16"/>
                <w:szCs w:val="16"/>
              </w:rPr>
              <w:t>N/A</w:t>
            </w:r>
          </w:p>
        </w:tc>
        <w:tc>
          <w:tcPr>
            <w:tcW w:w="709" w:type="dxa"/>
            <w:tcBorders>
              <w:top w:val="nil"/>
              <w:left w:val="nil"/>
              <w:bottom w:val="dotted" w:sz="4" w:space="0" w:color="auto"/>
              <w:right w:val="dotted" w:sz="4" w:space="0" w:color="auto"/>
            </w:tcBorders>
            <w:noWrap/>
            <w:vAlign w:val="center"/>
          </w:tcPr>
          <w:p w:rsidR="00DE341A" w:rsidRPr="00D35EFD" w:rsidRDefault="00DE341A" w:rsidP="008216A0">
            <w:pPr>
              <w:jc w:val="center"/>
              <w:rPr>
                <w:rFonts w:ascii="Arial" w:hAnsi="Arial" w:cs="Arial"/>
                <w:i/>
                <w:iCs/>
                <w:sz w:val="16"/>
                <w:szCs w:val="16"/>
              </w:rPr>
            </w:pPr>
            <w:r w:rsidRPr="00D35EFD">
              <w:rPr>
                <w:rFonts w:ascii="Arial" w:hAnsi="Arial" w:cs="Arial"/>
                <w:i/>
                <w:iCs/>
                <w:sz w:val="16"/>
                <w:szCs w:val="16"/>
              </w:rPr>
              <w:t>N/A</w:t>
            </w:r>
          </w:p>
        </w:tc>
        <w:tc>
          <w:tcPr>
            <w:tcW w:w="709" w:type="dxa"/>
            <w:tcBorders>
              <w:top w:val="nil"/>
              <w:left w:val="nil"/>
              <w:bottom w:val="dotted" w:sz="4" w:space="0" w:color="auto"/>
              <w:right w:val="dotted" w:sz="4" w:space="0" w:color="auto"/>
            </w:tcBorders>
            <w:noWrap/>
            <w:vAlign w:val="center"/>
          </w:tcPr>
          <w:p w:rsidR="00DE341A" w:rsidRPr="00D35EFD" w:rsidRDefault="00DE341A" w:rsidP="008216A0">
            <w:pPr>
              <w:jc w:val="center"/>
              <w:rPr>
                <w:rFonts w:ascii="Arial" w:hAnsi="Arial" w:cs="Arial"/>
                <w:i/>
                <w:iCs/>
                <w:sz w:val="16"/>
                <w:szCs w:val="16"/>
              </w:rPr>
            </w:pPr>
            <w:r w:rsidRPr="00D35EFD">
              <w:rPr>
                <w:rFonts w:ascii="Arial" w:hAnsi="Arial" w:cs="Arial"/>
                <w:i/>
                <w:iCs/>
                <w:sz w:val="16"/>
                <w:szCs w:val="16"/>
              </w:rPr>
              <w:t>N/A</w:t>
            </w:r>
          </w:p>
        </w:tc>
        <w:tc>
          <w:tcPr>
            <w:tcW w:w="709" w:type="dxa"/>
            <w:tcBorders>
              <w:top w:val="nil"/>
              <w:left w:val="nil"/>
              <w:bottom w:val="dotted" w:sz="4" w:space="0" w:color="auto"/>
              <w:right w:val="dotted" w:sz="4" w:space="0" w:color="auto"/>
            </w:tcBorders>
            <w:noWrap/>
            <w:vAlign w:val="center"/>
          </w:tcPr>
          <w:p w:rsidR="00DE341A" w:rsidRPr="00D35EFD" w:rsidRDefault="00DE341A" w:rsidP="008216A0">
            <w:pPr>
              <w:jc w:val="center"/>
              <w:rPr>
                <w:rFonts w:ascii="Arial" w:hAnsi="Arial" w:cs="Arial"/>
                <w:i/>
                <w:iCs/>
                <w:sz w:val="16"/>
                <w:szCs w:val="16"/>
              </w:rPr>
            </w:pPr>
            <w:r w:rsidRPr="00D35EFD">
              <w:rPr>
                <w:rFonts w:ascii="Arial" w:hAnsi="Arial" w:cs="Arial"/>
                <w:i/>
                <w:iCs/>
                <w:sz w:val="16"/>
                <w:szCs w:val="16"/>
              </w:rPr>
              <w:t>N/A</w:t>
            </w:r>
          </w:p>
        </w:tc>
        <w:tc>
          <w:tcPr>
            <w:tcW w:w="850" w:type="dxa"/>
            <w:tcBorders>
              <w:top w:val="nil"/>
              <w:left w:val="nil"/>
              <w:bottom w:val="dotted" w:sz="4" w:space="0" w:color="auto"/>
              <w:right w:val="dotted" w:sz="4" w:space="0" w:color="auto"/>
            </w:tcBorders>
            <w:noWrap/>
            <w:vAlign w:val="center"/>
          </w:tcPr>
          <w:p w:rsidR="00DE341A" w:rsidRPr="00D35EFD" w:rsidRDefault="00DE341A" w:rsidP="008216A0">
            <w:pPr>
              <w:jc w:val="center"/>
              <w:rPr>
                <w:rFonts w:ascii="Arial" w:hAnsi="Arial" w:cs="Arial"/>
                <w:i/>
                <w:iCs/>
                <w:sz w:val="16"/>
                <w:szCs w:val="16"/>
              </w:rPr>
            </w:pPr>
            <w:r w:rsidRPr="00D35EFD">
              <w:rPr>
                <w:rFonts w:ascii="Arial" w:hAnsi="Arial" w:cs="Arial"/>
                <w:i/>
                <w:iCs/>
                <w:sz w:val="16"/>
                <w:szCs w:val="16"/>
              </w:rPr>
              <w:t>N/A</w:t>
            </w:r>
          </w:p>
        </w:tc>
        <w:tc>
          <w:tcPr>
            <w:tcW w:w="496" w:type="dxa"/>
            <w:tcBorders>
              <w:top w:val="nil"/>
              <w:left w:val="nil"/>
              <w:bottom w:val="dotted" w:sz="4" w:space="0" w:color="auto"/>
              <w:right w:val="dotted" w:sz="4" w:space="0" w:color="auto"/>
            </w:tcBorders>
            <w:noWrap/>
            <w:vAlign w:val="center"/>
          </w:tcPr>
          <w:p w:rsidR="00DE341A" w:rsidRPr="00D35EFD" w:rsidRDefault="00DE341A" w:rsidP="008216A0">
            <w:pPr>
              <w:jc w:val="center"/>
              <w:rPr>
                <w:rFonts w:ascii="Arial" w:hAnsi="Arial" w:cs="Arial"/>
                <w:i/>
                <w:iCs/>
                <w:sz w:val="16"/>
                <w:szCs w:val="16"/>
              </w:rPr>
            </w:pPr>
            <w:r w:rsidRPr="00D35EFD">
              <w:rPr>
                <w:rFonts w:ascii="Arial" w:hAnsi="Arial" w:cs="Arial"/>
                <w:i/>
                <w:iCs/>
                <w:sz w:val="16"/>
                <w:szCs w:val="16"/>
              </w:rPr>
              <w:t>N/A</w:t>
            </w:r>
          </w:p>
        </w:tc>
        <w:tc>
          <w:tcPr>
            <w:tcW w:w="496" w:type="dxa"/>
            <w:tcBorders>
              <w:top w:val="nil"/>
              <w:left w:val="nil"/>
              <w:bottom w:val="dotted" w:sz="4" w:space="0" w:color="auto"/>
              <w:right w:val="dotted" w:sz="4" w:space="0" w:color="auto"/>
            </w:tcBorders>
            <w:noWrap/>
            <w:vAlign w:val="center"/>
          </w:tcPr>
          <w:p w:rsidR="00DE341A" w:rsidRPr="00D35EFD" w:rsidRDefault="00DE341A" w:rsidP="008216A0">
            <w:pPr>
              <w:jc w:val="center"/>
              <w:rPr>
                <w:rFonts w:ascii="Arial" w:hAnsi="Arial" w:cs="Arial"/>
                <w:i/>
                <w:iCs/>
                <w:sz w:val="16"/>
                <w:szCs w:val="16"/>
              </w:rPr>
            </w:pPr>
            <w:r w:rsidRPr="00D35EFD">
              <w:rPr>
                <w:rFonts w:ascii="Arial" w:hAnsi="Arial" w:cs="Arial"/>
                <w:i/>
                <w:iCs/>
                <w:sz w:val="16"/>
                <w:szCs w:val="16"/>
              </w:rPr>
              <w:t>N/A</w:t>
            </w:r>
          </w:p>
        </w:tc>
        <w:tc>
          <w:tcPr>
            <w:tcW w:w="709" w:type="dxa"/>
            <w:tcBorders>
              <w:top w:val="nil"/>
              <w:left w:val="nil"/>
              <w:bottom w:val="dotted" w:sz="4" w:space="0" w:color="auto"/>
              <w:right w:val="dotted" w:sz="4" w:space="0" w:color="auto"/>
            </w:tcBorders>
            <w:noWrap/>
            <w:vAlign w:val="center"/>
          </w:tcPr>
          <w:p w:rsidR="00DE341A" w:rsidRPr="00D35EFD" w:rsidRDefault="00DE341A" w:rsidP="008216A0">
            <w:pPr>
              <w:jc w:val="center"/>
              <w:rPr>
                <w:rFonts w:ascii="Arial" w:hAnsi="Arial" w:cs="Arial"/>
                <w:b/>
                <w:bCs/>
                <w:sz w:val="16"/>
                <w:szCs w:val="16"/>
              </w:rPr>
            </w:pPr>
            <w:r w:rsidRPr="00D35EFD">
              <w:rPr>
                <w:rFonts w:ascii="Arial" w:hAnsi="Arial" w:cs="Arial"/>
                <w:b/>
                <w:bCs/>
                <w:sz w:val="16"/>
                <w:szCs w:val="16"/>
              </w:rPr>
              <w:t>1 600 000</w:t>
            </w:r>
          </w:p>
        </w:tc>
        <w:tc>
          <w:tcPr>
            <w:tcW w:w="709" w:type="dxa"/>
            <w:tcBorders>
              <w:top w:val="nil"/>
              <w:left w:val="nil"/>
              <w:bottom w:val="dotted" w:sz="4" w:space="0" w:color="auto"/>
              <w:right w:val="dotted" w:sz="4" w:space="0" w:color="auto"/>
            </w:tcBorders>
            <w:noWrap/>
            <w:vAlign w:val="center"/>
          </w:tcPr>
          <w:p w:rsidR="00DE341A" w:rsidRPr="00D35EFD" w:rsidRDefault="00DE341A" w:rsidP="008216A0">
            <w:pPr>
              <w:jc w:val="center"/>
              <w:rPr>
                <w:rFonts w:ascii="Arial" w:hAnsi="Arial" w:cs="Arial"/>
                <w:b/>
                <w:bCs/>
                <w:sz w:val="16"/>
                <w:szCs w:val="16"/>
              </w:rPr>
            </w:pPr>
            <w:r w:rsidRPr="00D35EFD">
              <w:rPr>
                <w:rFonts w:ascii="Arial" w:hAnsi="Arial" w:cs="Arial"/>
                <w:b/>
                <w:bCs/>
                <w:sz w:val="16"/>
                <w:szCs w:val="16"/>
              </w:rPr>
              <w:t>1 600 000</w:t>
            </w:r>
          </w:p>
        </w:tc>
        <w:tc>
          <w:tcPr>
            <w:tcW w:w="851" w:type="dxa"/>
            <w:tcBorders>
              <w:top w:val="nil"/>
              <w:left w:val="nil"/>
              <w:bottom w:val="dotted" w:sz="4" w:space="0" w:color="auto"/>
              <w:right w:val="single" w:sz="4" w:space="0" w:color="auto"/>
            </w:tcBorders>
            <w:noWrap/>
            <w:vAlign w:val="center"/>
          </w:tcPr>
          <w:p w:rsidR="00DE341A" w:rsidRPr="00D35EFD" w:rsidRDefault="00DE341A" w:rsidP="008216A0">
            <w:pPr>
              <w:jc w:val="center"/>
              <w:rPr>
                <w:rFonts w:ascii="Arial" w:hAnsi="Arial" w:cs="Arial"/>
                <w:i/>
                <w:iCs/>
                <w:sz w:val="16"/>
                <w:szCs w:val="16"/>
              </w:rPr>
            </w:pPr>
            <w:r w:rsidRPr="00D35EFD">
              <w:rPr>
                <w:rFonts w:ascii="Arial" w:hAnsi="Arial" w:cs="Arial"/>
                <w:i/>
                <w:iCs/>
                <w:sz w:val="16"/>
                <w:szCs w:val="16"/>
              </w:rPr>
              <w:t>1 592 400</w:t>
            </w:r>
          </w:p>
        </w:tc>
      </w:tr>
      <w:tr w:rsidR="00A1232F" w:rsidRPr="00D35EFD" w:rsidTr="0039268C">
        <w:trPr>
          <w:trHeight w:val="20"/>
        </w:trPr>
        <w:tc>
          <w:tcPr>
            <w:tcW w:w="1149" w:type="dxa"/>
            <w:vMerge/>
            <w:tcBorders>
              <w:top w:val="single" w:sz="4" w:space="0" w:color="000000"/>
              <w:left w:val="single" w:sz="4" w:space="0" w:color="auto"/>
              <w:bottom w:val="single" w:sz="4" w:space="0" w:color="000000"/>
              <w:right w:val="single" w:sz="4" w:space="0" w:color="auto"/>
            </w:tcBorders>
            <w:shd w:val="clear" w:color="auto" w:fill="EAF1DD"/>
            <w:vAlign w:val="center"/>
          </w:tcPr>
          <w:p w:rsidR="00DE341A" w:rsidRPr="00D35EFD" w:rsidRDefault="00DE341A" w:rsidP="008216A0">
            <w:pPr>
              <w:rPr>
                <w:rFonts w:ascii="Arial" w:hAnsi="Arial" w:cs="Arial"/>
                <w:sz w:val="16"/>
                <w:szCs w:val="16"/>
              </w:rPr>
            </w:pPr>
          </w:p>
        </w:tc>
        <w:tc>
          <w:tcPr>
            <w:tcW w:w="1134" w:type="dxa"/>
            <w:tcBorders>
              <w:top w:val="nil"/>
              <w:left w:val="nil"/>
              <w:bottom w:val="single" w:sz="4" w:space="0" w:color="auto"/>
              <w:right w:val="single" w:sz="4" w:space="0" w:color="auto"/>
            </w:tcBorders>
            <w:shd w:val="clear" w:color="000000" w:fill="auto"/>
            <w:noWrap/>
            <w:vAlign w:val="center"/>
          </w:tcPr>
          <w:p w:rsidR="00DE341A" w:rsidRPr="00D35EFD" w:rsidRDefault="00DE341A" w:rsidP="008216A0">
            <w:pPr>
              <w:rPr>
                <w:rFonts w:ascii="Arial" w:hAnsi="Arial" w:cs="Arial"/>
                <w:sz w:val="16"/>
                <w:szCs w:val="16"/>
              </w:rPr>
            </w:pPr>
            <w:r w:rsidRPr="00D35EFD">
              <w:rPr>
                <w:rFonts w:ascii="Arial" w:hAnsi="Arial" w:cs="Arial"/>
                <w:sz w:val="16"/>
                <w:szCs w:val="16"/>
              </w:rPr>
              <w:t>Východisko</w:t>
            </w:r>
          </w:p>
        </w:tc>
        <w:tc>
          <w:tcPr>
            <w:tcW w:w="496" w:type="dxa"/>
            <w:tcBorders>
              <w:top w:val="nil"/>
              <w:left w:val="nil"/>
              <w:bottom w:val="single" w:sz="4" w:space="0" w:color="auto"/>
              <w:right w:val="dotted" w:sz="4" w:space="0" w:color="auto"/>
            </w:tcBorders>
            <w:noWrap/>
            <w:vAlign w:val="center"/>
          </w:tcPr>
          <w:p w:rsidR="00DE341A" w:rsidRPr="00D35EFD" w:rsidRDefault="00DE341A" w:rsidP="008216A0">
            <w:pPr>
              <w:jc w:val="center"/>
              <w:rPr>
                <w:rFonts w:ascii="Arial" w:hAnsi="Arial" w:cs="Arial"/>
                <w:b/>
                <w:bCs/>
                <w:sz w:val="16"/>
                <w:szCs w:val="16"/>
              </w:rPr>
            </w:pPr>
            <w:r w:rsidRPr="00D35EFD">
              <w:rPr>
                <w:rFonts w:ascii="Arial" w:hAnsi="Arial" w:cs="Arial"/>
                <w:b/>
                <w:bCs/>
                <w:sz w:val="16"/>
                <w:szCs w:val="16"/>
              </w:rPr>
              <w:t>0</w:t>
            </w:r>
          </w:p>
        </w:tc>
        <w:tc>
          <w:tcPr>
            <w:tcW w:w="496" w:type="dxa"/>
            <w:tcBorders>
              <w:top w:val="nil"/>
              <w:left w:val="nil"/>
              <w:bottom w:val="single" w:sz="4" w:space="0" w:color="auto"/>
              <w:right w:val="dotted" w:sz="4" w:space="0" w:color="auto"/>
            </w:tcBorders>
            <w:noWrap/>
            <w:vAlign w:val="center"/>
          </w:tcPr>
          <w:p w:rsidR="00DE341A" w:rsidRPr="00D35EFD" w:rsidRDefault="00DE341A" w:rsidP="008216A0">
            <w:pPr>
              <w:jc w:val="center"/>
              <w:rPr>
                <w:rFonts w:ascii="Arial" w:hAnsi="Arial" w:cs="Arial"/>
                <w:i/>
                <w:iCs/>
                <w:sz w:val="16"/>
                <w:szCs w:val="16"/>
              </w:rPr>
            </w:pPr>
            <w:r w:rsidRPr="00D35EFD">
              <w:rPr>
                <w:rFonts w:ascii="Arial" w:hAnsi="Arial" w:cs="Arial"/>
                <w:i/>
                <w:iCs/>
                <w:sz w:val="16"/>
                <w:szCs w:val="16"/>
              </w:rPr>
              <w:t>N/A</w:t>
            </w:r>
          </w:p>
        </w:tc>
        <w:tc>
          <w:tcPr>
            <w:tcW w:w="709" w:type="dxa"/>
            <w:tcBorders>
              <w:top w:val="nil"/>
              <w:left w:val="nil"/>
              <w:bottom w:val="single" w:sz="4" w:space="0" w:color="auto"/>
              <w:right w:val="dotted" w:sz="4" w:space="0" w:color="auto"/>
            </w:tcBorders>
            <w:noWrap/>
            <w:vAlign w:val="center"/>
          </w:tcPr>
          <w:p w:rsidR="00DE341A" w:rsidRPr="00D35EFD" w:rsidRDefault="00DE341A" w:rsidP="008216A0">
            <w:pPr>
              <w:jc w:val="center"/>
              <w:rPr>
                <w:rFonts w:ascii="Arial" w:hAnsi="Arial" w:cs="Arial"/>
                <w:i/>
                <w:iCs/>
                <w:sz w:val="16"/>
                <w:szCs w:val="16"/>
              </w:rPr>
            </w:pPr>
            <w:r w:rsidRPr="00D35EFD">
              <w:rPr>
                <w:rFonts w:ascii="Arial" w:hAnsi="Arial" w:cs="Arial"/>
                <w:i/>
                <w:iCs/>
                <w:sz w:val="16"/>
                <w:szCs w:val="16"/>
              </w:rPr>
              <w:t>N/A</w:t>
            </w:r>
          </w:p>
        </w:tc>
        <w:tc>
          <w:tcPr>
            <w:tcW w:w="709" w:type="dxa"/>
            <w:tcBorders>
              <w:top w:val="nil"/>
              <w:left w:val="nil"/>
              <w:bottom w:val="single" w:sz="4" w:space="0" w:color="auto"/>
              <w:right w:val="dotted" w:sz="4" w:space="0" w:color="auto"/>
            </w:tcBorders>
            <w:noWrap/>
            <w:vAlign w:val="center"/>
          </w:tcPr>
          <w:p w:rsidR="00DE341A" w:rsidRPr="00D35EFD" w:rsidRDefault="00DE341A" w:rsidP="008216A0">
            <w:pPr>
              <w:jc w:val="center"/>
              <w:rPr>
                <w:rFonts w:ascii="Arial" w:hAnsi="Arial" w:cs="Arial"/>
                <w:i/>
                <w:iCs/>
                <w:sz w:val="16"/>
                <w:szCs w:val="16"/>
              </w:rPr>
            </w:pPr>
            <w:r w:rsidRPr="00D35EFD">
              <w:rPr>
                <w:rFonts w:ascii="Arial" w:hAnsi="Arial" w:cs="Arial"/>
                <w:i/>
                <w:iCs/>
                <w:sz w:val="16"/>
                <w:szCs w:val="16"/>
              </w:rPr>
              <w:t>N/A</w:t>
            </w:r>
          </w:p>
        </w:tc>
        <w:tc>
          <w:tcPr>
            <w:tcW w:w="709" w:type="dxa"/>
            <w:tcBorders>
              <w:top w:val="nil"/>
              <w:left w:val="nil"/>
              <w:bottom w:val="single" w:sz="4" w:space="0" w:color="auto"/>
              <w:right w:val="dotted" w:sz="4" w:space="0" w:color="auto"/>
            </w:tcBorders>
            <w:noWrap/>
            <w:vAlign w:val="center"/>
          </w:tcPr>
          <w:p w:rsidR="00DE341A" w:rsidRPr="00D35EFD" w:rsidRDefault="00DE341A" w:rsidP="008216A0">
            <w:pPr>
              <w:jc w:val="center"/>
              <w:rPr>
                <w:rFonts w:ascii="Arial" w:hAnsi="Arial" w:cs="Arial"/>
                <w:i/>
                <w:iCs/>
                <w:sz w:val="16"/>
                <w:szCs w:val="16"/>
              </w:rPr>
            </w:pPr>
            <w:r w:rsidRPr="00D35EFD">
              <w:rPr>
                <w:rFonts w:ascii="Arial" w:hAnsi="Arial" w:cs="Arial"/>
                <w:i/>
                <w:iCs/>
                <w:sz w:val="16"/>
                <w:szCs w:val="16"/>
              </w:rPr>
              <w:t>N/A</w:t>
            </w:r>
          </w:p>
        </w:tc>
        <w:tc>
          <w:tcPr>
            <w:tcW w:w="850" w:type="dxa"/>
            <w:tcBorders>
              <w:top w:val="nil"/>
              <w:left w:val="nil"/>
              <w:bottom w:val="single" w:sz="4" w:space="0" w:color="auto"/>
              <w:right w:val="dotted" w:sz="4" w:space="0" w:color="auto"/>
            </w:tcBorders>
            <w:noWrap/>
            <w:vAlign w:val="center"/>
          </w:tcPr>
          <w:p w:rsidR="00DE341A" w:rsidRPr="00D35EFD" w:rsidRDefault="00DE341A" w:rsidP="008216A0">
            <w:pPr>
              <w:jc w:val="center"/>
              <w:rPr>
                <w:rFonts w:ascii="Arial" w:hAnsi="Arial" w:cs="Arial"/>
                <w:i/>
                <w:iCs/>
                <w:sz w:val="16"/>
                <w:szCs w:val="16"/>
              </w:rPr>
            </w:pPr>
            <w:r w:rsidRPr="00D35EFD">
              <w:rPr>
                <w:rFonts w:ascii="Arial" w:hAnsi="Arial" w:cs="Arial"/>
                <w:i/>
                <w:iCs/>
                <w:sz w:val="16"/>
                <w:szCs w:val="16"/>
              </w:rPr>
              <w:t>N/A</w:t>
            </w:r>
          </w:p>
        </w:tc>
        <w:tc>
          <w:tcPr>
            <w:tcW w:w="496" w:type="dxa"/>
            <w:tcBorders>
              <w:top w:val="nil"/>
              <w:left w:val="nil"/>
              <w:bottom w:val="single" w:sz="4" w:space="0" w:color="auto"/>
              <w:right w:val="dotted" w:sz="4" w:space="0" w:color="auto"/>
            </w:tcBorders>
            <w:noWrap/>
            <w:vAlign w:val="center"/>
          </w:tcPr>
          <w:p w:rsidR="00DE341A" w:rsidRPr="00D35EFD" w:rsidRDefault="00DE341A" w:rsidP="008216A0">
            <w:pPr>
              <w:jc w:val="center"/>
              <w:rPr>
                <w:rFonts w:ascii="Arial" w:hAnsi="Arial" w:cs="Arial"/>
                <w:i/>
                <w:iCs/>
                <w:sz w:val="16"/>
                <w:szCs w:val="16"/>
              </w:rPr>
            </w:pPr>
            <w:r w:rsidRPr="00D35EFD">
              <w:rPr>
                <w:rFonts w:ascii="Arial" w:hAnsi="Arial" w:cs="Arial"/>
                <w:i/>
                <w:iCs/>
                <w:sz w:val="16"/>
                <w:szCs w:val="16"/>
              </w:rPr>
              <w:t>N/A</w:t>
            </w:r>
          </w:p>
        </w:tc>
        <w:tc>
          <w:tcPr>
            <w:tcW w:w="496" w:type="dxa"/>
            <w:tcBorders>
              <w:top w:val="nil"/>
              <w:left w:val="nil"/>
              <w:bottom w:val="single" w:sz="4" w:space="0" w:color="auto"/>
              <w:right w:val="dotted" w:sz="4" w:space="0" w:color="auto"/>
            </w:tcBorders>
            <w:noWrap/>
            <w:vAlign w:val="center"/>
          </w:tcPr>
          <w:p w:rsidR="00DE341A" w:rsidRPr="00D35EFD" w:rsidRDefault="00DE341A" w:rsidP="008216A0">
            <w:pPr>
              <w:jc w:val="center"/>
              <w:rPr>
                <w:rFonts w:ascii="Arial" w:hAnsi="Arial" w:cs="Arial"/>
                <w:i/>
                <w:iCs/>
                <w:sz w:val="16"/>
                <w:szCs w:val="16"/>
              </w:rPr>
            </w:pPr>
            <w:r w:rsidRPr="00D35EFD">
              <w:rPr>
                <w:rFonts w:ascii="Arial" w:hAnsi="Arial" w:cs="Arial"/>
                <w:i/>
                <w:iCs/>
                <w:sz w:val="16"/>
                <w:szCs w:val="16"/>
              </w:rPr>
              <w:t>N/A</w:t>
            </w:r>
          </w:p>
        </w:tc>
        <w:tc>
          <w:tcPr>
            <w:tcW w:w="709" w:type="dxa"/>
            <w:tcBorders>
              <w:top w:val="nil"/>
              <w:left w:val="nil"/>
              <w:bottom w:val="single" w:sz="4" w:space="0" w:color="auto"/>
              <w:right w:val="dotted" w:sz="4" w:space="0" w:color="auto"/>
            </w:tcBorders>
            <w:noWrap/>
            <w:vAlign w:val="center"/>
          </w:tcPr>
          <w:p w:rsidR="00DE341A" w:rsidRPr="00D35EFD" w:rsidRDefault="00DE341A" w:rsidP="008216A0">
            <w:pPr>
              <w:jc w:val="center"/>
              <w:rPr>
                <w:rFonts w:ascii="Arial" w:hAnsi="Arial" w:cs="Arial"/>
                <w:i/>
                <w:iCs/>
                <w:sz w:val="16"/>
                <w:szCs w:val="16"/>
              </w:rPr>
            </w:pPr>
            <w:r w:rsidRPr="00D35EFD">
              <w:rPr>
                <w:rFonts w:ascii="Arial" w:hAnsi="Arial" w:cs="Arial"/>
                <w:i/>
                <w:iCs/>
                <w:sz w:val="16"/>
                <w:szCs w:val="16"/>
              </w:rPr>
              <w:t>N/A</w:t>
            </w:r>
          </w:p>
        </w:tc>
        <w:tc>
          <w:tcPr>
            <w:tcW w:w="709" w:type="dxa"/>
            <w:tcBorders>
              <w:top w:val="nil"/>
              <w:left w:val="nil"/>
              <w:bottom w:val="single" w:sz="4" w:space="0" w:color="auto"/>
              <w:right w:val="dotted" w:sz="4" w:space="0" w:color="auto"/>
            </w:tcBorders>
            <w:noWrap/>
            <w:vAlign w:val="center"/>
          </w:tcPr>
          <w:p w:rsidR="00DE341A" w:rsidRPr="00D35EFD" w:rsidRDefault="00DE341A" w:rsidP="008216A0">
            <w:pPr>
              <w:jc w:val="center"/>
              <w:rPr>
                <w:rFonts w:ascii="Arial" w:hAnsi="Arial" w:cs="Arial"/>
                <w:b/>
                <w:bCs/>
                <w:sz w:val="16"/>
                <w:szCs w:val="16"/>
              </w:rPr>
            </w:pPr>
            <w:r w:rsidRPr="00D35EFD">
              <w:rPr>
                <w:rFonts w:ascii="Arial" w:hAnsi="Arial" w:cs="Arial"/>
                <w:b/>
                <w:bCs/>
                <w:sz w:val="16"/>
                <w:szCs w:val="16"/>
              </w:rPr>
              <w:t>0</w:t>
            </w:r>
          </w:p>
        </w:tc>
        <w:tc>
          <w:tcPr>
            <w:tcW w:w="851" w:type="dxa"/>
            <w:tcBorders>
              <w:top w:val="nil"/>
              <w:left w:val="nil"/>
              <w:bottom w:val="single" w:sz="4" w:space="0" w:color="auto"/>
              <w:right w:val="single" w:sz="4" w:space="0" w:color="auto"/>
            </w:tcBorders>
            <w:noWrap/>
            <w:vAlign w:val="center"/>
          </w:tcPr>
          <w:p w:rsidR="00DE341A" w:rsidRPr="00D35EFD" w:rsidRDefault="00DE341A" w:rsidP="008216A0">
            <w:pPr>
              <w:jc w:val="center"/>
              <w:rPr>
                <w:rFonts w:ascii="Arial" w:hAnsi="Arial" w:cs="Arial"/>
                <w:sz w:val="16"/>
                <w:szCs w:val="16"/>
              </w:rPr>
            </w:pPr>
          </w:p>
        </w:tc>
      </w:tr>
      <w:tr w:rsidR="00A1232F" w:rsidRPr="00D35EFD" w:rsidTr="0039268C">
        <w:trPr>
          <w:trHeight w:val="20"/>
        </w:trPr>
        <w:tc>
          <w:tcPr>
            <w:tcW w:w="1149" w:type="dxa"/>
            <w:vMerge w:val="restart"/>
            <w:tcBorders>
              <w:top w:val="single" w:sz="4" w:space="0" w:color="000000"/>
              <w:left w:val="single" w:sz="4" w:space="0" w:color="auto"/>
              <w:bottom w:val="single" w:sz="4" w:space="0" w:color="000000"/>
              <w:right w:val="single" w:sz="4" w:space="0" w:color="auto"/>
            </w:tcBorders>
            <w:shd w:val="clear" w:color="auto" w:fill="EAF1DD"/>
            <w:vAlign w:val="center"/>
          </w:tcPr>
          <w:p w:rsidR="00DE341A" w:rsidRPr="00D35EFD" w:rsidRDefault="00DE341A" w:rsidP="008216A0">
            <w:pPr>
              <w:rPr>
                <w:rFonts w:ascii="Arial" w:hAnsi="Arial" w:cs="Arial"/>
                <w:sz w:val="16"/>
                <w:szCs w:val="16"/>
              </w:rPr>
            </w:pPr>
            <w:r w:rsidRPr="00D35EFD">
              <w:rPr>
                <w:rFonts w:ascii="Arial" w:hAnsi="Arial" w:cs="Arial"/>
                <w:sz w:val="16"/>
                <w:szCs w:val="16"/>
              </w:rPr>
              <w:t xml:space="preserve">Podiel počtu žien využívajúcich výsledky projektu na celkovom počte užívateľov (ženy + muži) výsledkov projektu </w:t>
            </w:r>
          </w:p>
        </w:tc>
        <w:tc>
          <w:tcPr>
            <w:tcW w:w="1134" w:type="dxa"/>
            <w:tcBorders>
              <w:top w:val="nil"/>
              <w:left w:val="nil"/>
              <w:bottom w:val="dotted" w:sz="4" w:space="0" w:color="auto"/>
              <w:right w:val="single" w:sz="4" w:space="0" w:color="auto"/>
            </w:tcBorders>
            <w:shd w:val="clear" w:color="000000" w:fill="auto"/>
            <w:noWrap/>
            <w:vAlign w:val="center"/>
          </w:tcPr>
          <w:p w:rsidR="00DE341A" w:rsidRPr="00D35EFD" w:rsidRDefault="00DE341A" w:rsidP="008216A0">
            <w:pPr>
              <w:rPr>
                <w:rFonts w:ascii="Arial" w:hAnsi="Arial" w:cs="Arial"/>
                <w:sz w:val="16"/>
                <w:szCs w:val="16"/>
              </w:rPr>
            </w:pPr>
            <w:r w:rsidRPr="00D35EFD">
              <w:rPr>
                <w:rFonts w:ascii="Arial" w:hAnsi="Arial" w:cs="Arial"/>
                <w:sz w:val="16"/>
                <w:szCs w:val="16"/>
              </w:rPr>
              <w:t>Dosiahnutý výsledok</w:t>
            </w:r>
          </w:p>
        </w:tc>
        <w:tc>
          <w:tcPr>
            <w:tcW w:w="496" w:type="dxa"/>
            <w:tcBorders>
              <w:top w:val="nil"/>
              <w:left w:val="nil"/>
              <w:bottom w:val="dotted" w:sz="4" w:space="0" w:color="auto"/>
              <w:right w:val="dotted" w:sz="4" w:space="0" w:color="auto"/>
            </w:tcBorders>
            <w:noWrap/>
            <w:vAlign w:val="center"/>
          </w:tcPr>
          <w:p w:rsidR="00DE341A" w:rsidRPr="00D35EFD" w:rsidRDefault="00DE341A" w:rsidP="008216A0">
            <w:pPr>
              <w:jc w:val="center"/>
              <w:rPr>
                <w:rFonts w:ascii="Arial" w:hAnsi="Arial" w:cs="Arial"/>
                <w:b/>
                <w:bCs/>
                <w:sz w:val="16"/>
                <w:szCs w:val="16"/>
              </w:rPr>
            </w:pPr>
            <w:r w:rsidRPr="00D35EFD">
              <w:rPr>
                <w:rFonts w:ascii="Arial" w:hAnsi="Arial" w:cs="Arial"/>
                <w:b/>
                <w:bCs/>
                <w:sz w:val="16"/>
                <w:szCs w:val="16"/>
              </w:rPr>
              <w:t>0</w:t>
            </w:r>
          </w:p>
        </w:tc>
        <w:tc>
          <w:tcPr>
            <w:tcW w:w="496" w:type="dxa"/>
            <w:tcBorders>
              <w:top w:val="nil"/>
              <w:left w:val="nil"/>
              <w:bottom w:val="dotted" w:sz="4" w:space="0" w:color="auto"/>
              <w:right w:val="dotted" w:sz="4" w:space="0" w:color="auto"/>
            </w:tcBorders>
            <w:noWrap/>
            <w:vAlign w:val="center"/>
          </w:tcPr>
          <w:p w:rsidR="00DE341A" w:rsidRPr="00D35EFD" w:rsidRDefault="00DE341A" w:rsidP="008216A0">
            <w:pPr>
              <w:jc w:val="center"/>
              <w:rPr>
                <w:rFonts w:ascii="Arial" w:hAnsi="Arial" w:cs="Arial"/>
                <w:b/>
                <w:bCs/>
                <w:sz w:val="16"/>
                <w:szCs w:val="16"/>
              </w:rPr>
            </w:pPr>
            <w:r w:rsidRPr="00D35EFD">
              <w:rPr>
                <w:rFonts w:ascii="Arial" w:hAnsi="Arial" w:cs="Arial"/>
                <w:b/>
                <w:bCs/>
                <w:sz w:val="16"/>
                <w:szCs w:val="16"/>
              </w:rPr>
              <w:t>0</w:t>
            </w:r>
          </w:p>
        </w:tc>
        <w:tc>
          <w:tcPr>
            <w:tcW w:w="709" w:type="dxa"/>
            <w:tcBorders>
              <w:top w:val="nil"/>
              <w:left w:val="nil"/>
              <w:bottom w:val="dotted" w:sz="4" w:space="0" w:color="auto"/>
              <w:right w:val="dotted" w:sz="4" w:space="0" w:color="auto"/>
            </w:tcBorders>
            <w:noWrap/>
            <w:vAlign w:val="center"/>
          </w:tcPr>
          <w:p w:rsidR="00DE341A" w:rsidRPr="00D35EFD" w:rsidRDefault="00DE341A" w:rsidP="008216A0">
            <w:pPr>
              <w:jc w:val="center"/>
              <w:rPr>
                <w:rFonts w:ascii="Arial" w:hAnsi="Arial" w:cs="Arial"/>
                <w:b/>
                <w:bCs/>
                <w:sz w:val="16"/>
                <w:szCs w:val="16"/>
              </w:rPr>
            </w:pPr>
            <w:r w:rsidRPr="00D35EFD">
              <w:rPr>
                <w:rFonts w:ascii="Arial" w:hAnsi="Arial" w:cs="Arial"/>
                <w:b/>
                <w:bCs/>
                <w:sz w:val="16"/>
                <w:szCs w:val="16"/>
              </w:rPr>
              <w:t>0</w:t>
            </w:r>
          </w:p>
        </w:tc>
        <w:tc>
          <w:tcPr>
            <w:tcW w:w="709" w:type="dxa"/>
            <w:tcBorders>
              <w:top w:val="nil"/>
              <w:left w:val="nil"/>
              <w:bottom w:val="dotted" w:sz="4" w:space="0" w:color="auto"/>
              <w:right w:val="dotted" w:sz="4" w:space="0" w:color="auto"/>
            </w:tcBorders>
            <w:noWrap/>
            <w:vAlign w:val="center"/>
          </w:tcPr>
          <w:p w:rsidR="00DE341A" w:rsidRPr="00D35EFD" w:rsidRDefault="00DE341A" w:rsidP="008216A0">
            <w:pPr>
              <w:jc w:val="center"/>
              <w:rPr>
                <w:rFonts w:ascii="Arial" w:hAnsi="Arial" w:cs="Arial"/>
                <w:b/>
                <w:bCs/>
                <w:sz w:val="16"/>
                <w:szCs w:val="16"/>
              </w:rPr>
            </w:pPr>
            <w:r w:rsidRPr="00D35EFD">
              <w:rPr>
                <w:rFonts w:ascii="Arial" w:hAnsi="Arial" w:cs="Arial"/>
                <w:b/>
                <w:bCs/>
                <w:sz w:val="16"/>
                <w:szCs w:val="16"/>
              </w:rPr>
              <w:t>0</w:t>
            </w:r>
          </w:p>
        </w:tc>
        <w:tc>
          <w:tcPr>
            <w:tcW w:w="709" w:type="dxa"/>
            <w:tcBorders>
              <w:top w:val="nil"/>
              <w:left w:val="nil"/>
              <w:bottom w:val="dotted" w:sz="4" w:space="0" w:color="auto"/>
              <w:right w:val="dotted" w:sz="4" w:space="0" w:color="auto"/>
            </w:tcBorders>
            <w:noWrap/>
            <w:vAlign w:val="center"/>
          </w:tcPr>
          <w:p w:rsidR="00DE341A" w:rsidRPr="00D35EFD" w:rsidRDefault="00DE341A" w:rsidP="008216A0">
            <w:pPr>
              <w:jc w:val="center"/>
              <w:rPr>
                <w:rFonts w:ascii="Arial" w:hAnsi="Arial" w:cs="Arial"/>
                <w:b/>
                <w:bCs/>
                <w:sz w:val="16"/>
                <w:szCs w:val="16"/>
              </w:rPr>
            </w:pPr>
            <w:r w:rsidRPr="00D35EFD">
              <w:rPr>
                <w:rFonts w:ascii="Arial" w:hAnsi="Arial" w:cs="Arial"/>
                <w:b/>
                <w:bCs/>
                <w:sz w:val="16"/>
                <w:szCs w:val="16"/>
              </w:rPr>
              <w:t>0,67</w:t>
            </w:r>
          </w:p>
        </w:tc>
        <w:tc>
          <w:tcPr>
            <w:tcW w:w="850" w:type="dxa"/>
            <w:tcBorders>
              <w:top w:val="nil"/>
              <w:left w:val="nil"/>
              <w:bottom w:val="dotted" w:sz="4" w:space="0" w:color="auto"/>
              <w:right w:val="dotted" w:sz="4" w:space="0" w:color="auto"/>
            </w:tcBorders>
            <w:noWrap/>
            <w:vAlign w:val="center"/>
          </w:tcPr>
          <w:p w:rsidR="00DE341A" w:rsidRPr="0039268C" w:rsidRDefault="00DE341A" w:rsidP="008216A0">
            <w:pPr>
              <w:jc w:val="center"/>
              <w:rPr>
                <w:rFonts w:ascii="Arial" w:hAnsi="Arial" w:cs="Arial"/>
                <w:b/>
                <w:iCs/>
                <w:sz w:val="16"/>
                <w:szCs w:val="16"/>
              </w:rPr>
            </w:pPr>
            <w:r w:rsidRPr="0039268C">
              <w:rPr>
                <w:rFonts w:ascii="Arial" w:hAnsi="Arial" w:cs="Arial"/>
                <w:b/>
                <w:iCs/>
                <w:sz w:val="16"/>
                <w:szCs w:val="16"/>
              </w:rPr>
              <w:t>54,07</w:t>
            </w:r>
          </w:p>
        </w:tc>
        <w:tc>
          <w:tcPr>
            <w:tcW w:w="496" w:type="dxa"/>
            <w:tcBorders>
              <w:top w:val="nil"/>
              <w:left w:val="nil"/>
              <w:bottom w:val="dotted" w:sz="4" w:space="0" w:color="auto"/>
              <w:right w:val="dotted" w:sz="4" w:space="0" w:color="auto"/>
            </w:tcBorders>
            <w:noWrap/>
            <w:vAlign w:val="center"/>
          </w:tcPr>
          <w:p w:rsidR="00DE341A" w:rsidRPr="00D35EFD" w:rsidRDefault="00DE341A" w:rsidP="008216A0">
            <w:pPr>
              <w:jc w:val="center"/>
              <w:rPr>
                <w:rFonts w:ascii="Arial" w:hAnsi="Arial" w:cs="Arial"/>
                <w:i/>
                <w:iCs/>
                <w:sz w:val="16"/>
                <w:szCs w:val="16"/>
              </w:rPr>
            </w:pPr>
            <w:r w:rsidRPr="00D35EFD">
              <w:rPr>
                <w:rFonts w:ascii="Arial" w:hAnsi="Arial" w:cs="Arial"/>
                <w:i/>
                <w:iCs/>
                <w:sz w:val="16"/>
                <w:szCs w:val="16"/>
              </w:rPr>
              <w:t>N/A</w:t>
            </w:r>
          </w:p>
        </w:tc>
        <w:tc>
          <w:tcPr>
            <w:tcW w:w="496" w:type="dxa"/>
            <w:tcBorders>
              <w:top w:val="nil"/>
              <w:left w:val="nil"/>
              <w:bottom w:val="dotted" w:sz="4" w:space="0" w:color="auto"/>
              <w:right w:val="dotted" w:sz="4" w:space="0" w:color="auto"/>
            </w:tcBorders>
            <w:noWrap/>
            <w:vAlign w:val="center"/>
          </w:tcPr>
          <w:p w:rsidR="00DE341A" w:rsidRPr="00D35EFD" w:rsidRDefault="00DE341A" w:rsidP="008216A0">
            <w:pPr>
              <w:jc w:val="center"/>
              <w:rPr>
                <w:rFonts w:ascii="Arial" w:hAnsi="Arial" w:cs="Arial"/>
                <w:i/>
                <w:iCs/>
                <w:sz w:val="16"/>
                <w:szCs w:val="16"/>
              </w:rPr>
            </w:pPr>
            <w:r w:rsidRPr="00D35EFD">
              <w:rPr>
                <w:rFonts w:ascii="Arial" w:hAnsi="Arial" w:cs="Arial"/>
                <w:i/>
                <w:iCs/>
                <w:sz w:val="16"/>
                <w:szCs w:val="16"/>
              </w:rPr>
              <w:t>N/A</w:t>
            </w:r>
          </w:p>
        </w:tc>
        <w:tc>
          <w:tcPr>
            <w:tcW w:w="709" w:type="dxa"/>
            <w:tcBorders>
              <w:top w:val="nil"/>
              <w:left w:val="nil"/>
              <w:bottom w:val="dotted" w:sz="4" w:space="0" w:color="auto"/>
              <w:right w:val="dotted" w:sz="4" w:space="0" w:color="auto"/>
            </w:tcBorders>
            <w:noWrap/>
            <w:vAlign w:val="center"/>
          </w:tcPr>
          <w:p w:rsidR="00DE341A" w:rsidRPr="00D35EFD" w:rsidRDefault="00DE341A" w:rsidP="008216A0">
            <w:pPr>
              <w:jc w:val="center"/>
              <w:rPr>
                <w:rFonts w:ascii="Arial" w:hAnsi="Arial" w:cs="Arial"/>
                <w:i/>
                <w:iCs/>
                <w:sz w:val="16"/>
                <w:szCs w:val="16"/>
              </w:rPr>
            </w:pPr>
            <w:r w:rsidRPr="00D35EFD">
              <w:rPr>
                <w:rFonts w:ascii="Arial" w:hAnsi="Arial" w:cs="Arial"/>
                <w:i/>
                <w:iCs/>
                <w:sz w:val="16"/>
                <w:szCs w:val="16"/>
              </w:rPr>
              <w:t>N/A</w:t>
            </w:r>
          </w:p>
        </w:tc>
        <w:tc>
          <w:tcPr>
            <w:tcW w:w="709" w:type="dxa"/>
            <w:tcBorders>
              <w:top w:val="nil"/>
              <w:left w:val="nil"/>
              <w:bottom w:val="dotted" w:sz="4" w:space="0" w:color="auto"/>
              <w:right w:val="dotted" w:sz="4" w:space="0" w:color="auto"/>
            </w:tcBorders>
            <w:noWrap/>
            <w:vAlign w:val="center"/>
          </w:tcPr>
          <w:p w:rsidR="00DE341A" w:rsidRPr="00D35EFD" w:rsidRDefault="00DE341A" w:rsidP="008216A0">
            <w:pPr>
              <w:jc w:val="center"/>
              <w:rPr>
                <w:rFonts w:ascii="Arial" w:hAnsi="Arial" w:cs="Arial"/>
                <w:b/>
                <w:bCs/>
                <w:sz w:val="16"/>
                <w:szCs w:val="16"/>
              </w:rPr>
            </w:pPr>
            <w:r w:rsidRPr="00D35EFD">
              <w:rPr>
                <w:rFonts w:ascii="Arial" w:hAnsi="Arial" w:cs="Arial"/>
                <w:b/>
                <w:bCs/>
                <w:sz w:val="16"/>
                <w:szCs w:val="16"/>
              </w:rPr>
              <w:t>0,67</w:t>
            </w:r>
          </w:p>
        </w:tc>
        <w:tc>
          <w:tcPr>
            <w:tcW w:w="851" w:type="dxa"/>
            <w:tcBorders>
              <w:top w:val="nil"/>
              <w:left w:val="nil"/>
              <w:bottom w:val="dotted" w:sz="4" w:space="0" w:color="auto"/>
              <w:right w:val="single" w:sz="4" w:space="0" w:color="auto"/>
            </w:tcBorders>
            <w:noWrap/>
            <w:vAlign w:val="center"/>
          </w:tcPr>
          <w:p w:rsidR="00DE341A" w:rsidRPr="00D35EFD" w:rsidRDefault="00DE341A" w:rsidP="008216A0">
            <w:pPr>
              <w:jc w:val="center"/>
              <w:rPr>
                <w:rFonts w:ascii="Arial" w:hAnsi="Arial" w:cs="Arial"/>
                <w:sz w:val="16"/>
                <w:szCs w:val="16"/>
              </w:rPr>
            </w:pPr>
          </w:p>
        </w:tc>
      </w:tr>
      <w:tr w:rsidR="00A1232F" w:rsidRPr="00D35EFD" w:rsidTr="0039268C">
        <w:trPr>
          <w:trHeight w:val="20"/>
        </w:trPr>
        <w:tc>
          <w:tcPr>
            <w:tcW w:w="1149" w:type="dxa"/>
            <w:vMerge/>
            <w:tcBorders>
              <w:top w:val="single" w:sz="4" w:space="0" w:color="000000"/>
              <w:left w:val="single" w:sz="4" w:space="0" w:color="auto"/>
              <w:bottom w:val="single" w:sz="4" w:space="0" w:color="000000"/>
              <w:right w:val="single" w:sz="4" w:space="0" w:color="auto"/>
            </w:tcBorders>
            <w:shd w:val="clear" w:color="auto" w:fill="EAF1DD"/>
            <w:vAlign w:val="center"/>
          </w:tcPr>
          <w:p w:rsidR="00DE341A" w:rsidRPr="00D35EFD" w:rsidRDefault="00DE341A" w:rsidP="008216A0">
            <w:pPr>
              <w:rPr>
                <w:rFonts w:ascii="Arial" w:hAnsi="Arial" w:cs="Arial"/>
                <w:sz w:val="16"/>
                <w:szCs w:val="16"/>
              </w:rPr>
            </w:pPr>
          </w:p>
        </w:tc>
        <w:tc>
          <w:tcPr>
            <w:tcW w:w="1134" w:type="dxa"/>
            <w:tcBorders>
              <w:top w:val="nil"/>
              <w:left w:val="nil"/>
              <w:bottom w:val="dotted" w:sz="4" w:space="0" w:color="auto"/>
              <w:right w:val="single" w:sz="4" w:space="0" w:color="auto"/>
            </w:tcBorders>
            <w:shd w:val="clear" w:color="000000" w:fill="auto"/>
            <w:noWrap/>
            <w:vAlign w:val="center"/>
          </w:tcPr>
          <w:p w:rsidR="00DE341A" w:rsidRPr="00D35EFD" w:rsidRDefault="00DE341A" w:rsidP="008216A0">
            <w:pPr>
              <w:rPr>
                <w:rFonts w:ascii="Arial" w:hAnsi="Arial" w:cs="Arial"/>
                <w:sz w:val="16"/>
                <w:szCs w:val="16"/>
              </w:rPr>
            </w:pPr>
            <w:r w:rsidRPr="00D35EFD">
              <w:rPr>
                <w:rFonts w:ascii="Arial" w:hAnsi="Arial" w:cs="Arial"/>
                <w:sz w:val="16"/>
                <w:szCs w:val="16"/>
              </w:rPr>
              <w:t>Cieľ</w:t>
            </w:r>
          </w:p>
        </w:tc>
        <w:tc>
          <w:tcPr>
            <w:tcW w:w="496" w:type="dxa"/>
            <w:tcBorders>
              <w:top w:val="nil"/>
              <w:left w:val="nil"/>
              <w:bottom w:val="dotted" w:sz="4" w:space="0" w:color="auto"/>
              <w:right w:val="dotted" w:sz="4" w:space="0" w:color="auto"/>
            </w:tcBorders>
            <w:noWrap/>
            <w:vAlign w:val="center"/>
          </w:tcPr>
          <w:p w:rsidR="00DE341A" w:rsidRPr="00D35EFD" w:rsidRDefault="00DE341A" w:rsidP="008216A0">
            <w:pPr>
              <w:jc w:val="center"/>
              <w:rPr>
                <w:rFonts w:ascii="Arial" w:hAnsi="Arial" w:cs="Arial"/>
                <w:i/>
                <w:iCs/>
                <w:sz w:val="16"/>
                <w:szCs w:val="16"/>
              </w:rPr>
            </w:pPr>
            <w:r w:rsidRPr="00D35EFD">
              <w:rPr>
                <w:rFonts w:ascii="Arial" w:hAnsi="Arial" w:cs="Arial"/>
                <w:i/>
                <w:iCs/>
                <w:sz w:val="16"/>
                <w:szCs w:val="16"/>
              </w:rPr>
              <w:t>N/A</w:t>
            </w:r>
          </w:p>
        </w:tc>
        <w:tc>
          <w:tcPr>
            <w:tcW w:w="496" w:type="dxa"/>
            <w:tcBorders>
              <w:top w:val="nil"/>
              <w:left w:val="nil"/>
              <w:bottom w:val="dotted" w:sz="4" w:space="0" w:color="auto"/>
              <w:right w:val="dotted" w:sz="4" w:space="0" w:color="auto"/>
            </w:tcBorders>
            <w:noWrap/>
            <w:vAlign w:val="center"/>
          </w:tcPr>
          <w:p w:rsidR="00DE341A" w:rsidRPr="00D35EFD" w:rsidRDefault="00DE341A" w:rsidP="008216A0">
            <w:pPr>
              <w:jc w:val="center"/>
              <w:rPr>
                <w:rFonts w:ascii="Arial" w:hAnsi="Arial" w:cs="Arial"/>
                <w:i/>
                <w:iCs/>
                <w:sz w:val="16"/>
                <w:szCs w:val="16"/>
              </w:rPr>
            </w:pPr>
            <w:r w:rsidRPr="00D35EFD">
              <w:rPr>
                <w:rFonts w:ascii="Arial" w:hAnsi="Arial" w:cs="Arial"/>
                <w:i/>
                <w:iCs/>
                <w:sz w:val="16"/>
                <w:szCs w:val="16"/>
              </w:rPr>
              <w:t>N/A</w:t>
            </w:r>
          </w:p>
        </w:tc>
        <w:tc>
          <w:tcPr>
            <w:tcW w:w="709" w:type="dxa"/>
            <w:tcBorders>
              <w:top w:val="nil"/>
              <w:left w:val="nil"/>
              <w:bottom w:val="dotted" w:sz="4" w:space="0" w:color="auto"/>
              <w:right w:val="dotted" w:sz="4" w:space="0" w:color="auto"/>
            </w:tcBorders>
            <w:noWrap/>
            <w:vAlign w:val="center"/>
          </w:tcPr>
          <w:p w:rsidR="00DE341A" w:rsidRPr="00D35EFD" w:rsidRDefault="00DE341A" w:rsidP="008216A0">
            <w:pPr>
              <w:jc w:val="center"/>
              <w:rPr>
                <w:rFonts w:ascii="Arial" w:hAnsi="Arial" w:cs="Arial"/>
                <w:i/>
                <w:iCs/>
                <w:sz w:val="16"/>
                <w:szCs w:val="16"/>
              </w:rPr>
            </w:pPr>
            <w:r w:rsidRPr="00D35EFD">
              <w:rPr>
                <w:rFonts w:ascii="Arial" w:hAnsi="Arial" w:cs="Arial"/>
                <w:i/>
                <w:iCs/>
                <w:sz w:val="16"/>
                <w:szCs w:val="16"/>
              </w:rPr>
              <w:t>N/A</w:t>
            </w:r>
          </w:p>
        </w:tc>
        <w:tc>
          <w:tcPr>
            <w:tcW w:w="709" w:type="dxa"/>
            <w:tcBorders>
              <w:top w:val="nil"/>
              <w:left w:val="nil"/>
              <w:bottom w:val="dotted" w:sz="4" w:space="0" w:color="auto"/>
              <w:right w:val="dotted" w:sz="4" w:space="0" w:color="auto"/>
            </w:tcBorders>
            <w:noWrap/>
            <w:vAlign w:val="center"/>
          </w:tcPr>
          <w:p w:rsidR="00DE341A" w:rsidRPr="00D35EFD" w:rsidRDefault="00DE341A" w:rsidP="008216A0">
            <w:pPr>
              <w:jc w:val="center"/>
              <w:rPr>
                <w:rFonts w:ascii="Arial" w:hAnsi="Arial" w:cs="Arial"/>
                <w:i/>
                <w:iCs/>
                <w:sz w:val="16"/>
                <w:szCs w:val="16"/>
              </w:rPr>
            </w:pPr>
            <w:r w:rsidRPr="00D35EFD">
              <w:rPr>
                <w:rFonts w:ascii="Arial" w:hAnsi="Arial" w:cs="Arial"/>
                <w:i/>
                <w:iCs/>
                <w:sz w:val="16"/>
                <w:szCs w:val="16"/>
              </w:rPr>
              <w:t>N/A</w:t>
            </w:r>
          </w:p>
        </w:tc>
        <w:tc>
          <w:tcPr>
            <w:tcW w:w="709" w:type="dxa"/>
            <w:tcBorders>
              <w:top w:val="nil"/>
              <w:left w:val="nil"/>
              <w:bottom w:val="dotted" w:sz="4" w:space="0" w:color="auto"/>
              <w:right w:val="dotted" w:sz="4" w:space="0" w:color="auto"/>
            </w:tcBorders>
            <w:noWrap/>
            <w:vAlign w:val="center"/>
          </w:tcPr>
          <w:p w:rsidR="00DE341A" w:rsidRPr="00D35EFD" w:rsidRDefault="00DE341A" w:rsidP="008216A0">
            <w:pPr>
              <w:jc w:val="center"/>
              <w:rPr>
                <w:rFonts w:ascii="Arial" w:hAnsi="Arial" w:cs="Arial"/>
                <w:i/>
                <w:iCs/>
                <w:sz w:val="16"/>
                <w:szCs w:val="16"/>
              </w:rPr>
            </w:pPr>
            <w:r w:rsidRPr="00D35EFD">
              <w:rPr>
                <w:rFonts w:ascii="Arial" w:hAnsi="Arial" w:cs="Arial"/>
                <w:i/>
                <w:iCs/>
                <w:sz w:val="16"/>
                <w:szCs w:val="16"/>
              </w:rPr>
              <w:t>N/A</w:t>
            </w:r>
          </w:p>
        </w:tc>
        <w:tc>
          <w:tcPr>
            <w:tcW w:w="850" w:type="dxa"/>
            <w:tcBorders>
              <w:top w:val="nil"/>
              <w:left w:val="nil"/>
              <w:bottom w:val="dotted" w:sz="4" w:space="0" w:color="auto"/>
              <w:right w:val="dotted" w:sz="4" w:space="0" w:color="auto"/>
            </w:tcBorders>
            <w:noWrap/>
            <w:vAlign w:val="center"/>
          </w:tcPr>
          <w:p w:rsidR="00DE341A" w:rsidRPr="00D35EFD" w:rsidRDefault="00DE341A" w:rsidP="008216A0">
            <w:pPr>
              <w:jc w:val="center"/>
              <w:rPr>
                <w:rFonts w:ascii="Arial" w:hAnsi="Arial" w:cs="Arial"/>
                <w:i/>
                <w:iCs/>
                <w:sz w:val="16"/>
                <w:szCs w:val="16"/>
              </w:rPr>
            </w:pPr>
            <w:r w:rsidRPr="00D35EFD">
              <w:rPr>
                <w:rFonts w:ascii="Arial" w:hAnsi="Arial" w:cs="Arial"/>
                <w:i/>
                <w:iCs/>
                <w:sz w:val="16"/>
                <w:szCs w:val="16"/>
              </w:rPr>
              <w:t>N/A</w:t>
            </w:r>
          </w:p>
        </w:tc>
        <w:tc>
          <w:tcPr>
            <w:tcW w:w="496" w:type="dxa"/>
            <w:tcBorders>
              <w:top w:val="nil"/>
              <w:left w:val="nil"/>
              <w:bottom w:val="dotted" w:sz="4" w:space="0" w:color="auto"/>
              <w:right w:val="dotted" w:sz="4" w:space="0" w:color="auto"/>
            </w:tcBorders>
            <w:noWrap/>
            <w:vAlign w:val="center"/>
          </w:tcPr>
          <w:p w:rsidR="00DE341A" w:rsidRPr="00D35EFD" w:rsidRDefault="00DE341A" w:rsidP="008216A0">
            <w:pPr>
              <w:jc w:val="center"/>
              <w:rPr>
                <w:rFonts w:ascii="Arial" w:hAnsi="Arial" w:cs="Arial"/>
                <w:i/>
                <w:iCs/>
                <w:sz w:val="16"/>
                <w:szCs w:val="16"/>
              </w:rPr>
            </w:pPr>
            <w:r w:rsidRPr="00D35EFD">
              <w:rPr>
                <w:rFonts w:ascii="Arial" w:hAnsi="Arial" w:cs="Arial"/>
                <w:i/>
                <w:iCs/>
                <w:sz w:val="16"/>
                <w:szCs w:val="16"/>
              </w:rPr>
              <w:t>N/A</w:t>
            </w:r>
          </w:p>
        </w:tc>
        <w:tc>
          <w:tcPr>
            <w:tcW w:w="496" w:type="dxa"/>
            <w:tcBorders>
              <w:top w:val="nil"/>
              <w:left w:val="nil"/>
              <w:bottom w:val="dotted" w:sz="4" w:space="0" w:color="auto"/>
              <w:right w:val="dotted" w:sz="4" w:space="0" w:color="auto"/>
            </w:tcBorders>
            <w:noWrap/>
            <w:vAlign w:val="center"/>
          </w:tcPr>
          <w:p w:rsidR="00DE341A" w:rsidRPr="00D35EFD" w:rsidRDefault="00DE341A" w:rsidP="008216A0">
            <w:pPr>
              <w:jc w:val="center"/>
              <w:rPr>
                <w:rFonts w:ascii="Arial" w:hAnsi="Arial" w:cs="Arial"/>
                <w:i/>
                <w:iCs/>
                <w:sz w:val="16"/>
                <w:szCs w:val="16"/>
              </w:rPr>
            </w:pPr>
            <w:r w:rsidRPr="00D35EFD">
              <w:rPr>
                <w:rFonts w:ascii="Arial" w:hAnsi="Arial" w:cs="Arial"/>
                <w:i/>
                <w:iCs/>
                <w:sz w:val="16"/>
                <w:szCs w:val="16"/>
              </w:rPr>
              <w:t>N/A</w:t>
            </w:r>
          </w:p>
        </w:tc>
        <w:tc>
          <w:tcPr>
            <w:tcW w:w="709" w:type="dxa"/>
            <w:tcBorders>
              <w:top w:val="nil"/>
              <w:left w:val="nil"/>
              <w:bottom w:val="dotted" w:sz="4" w:space="0" w:color="auto"/>
              <w:right w:val="dotted" w:sz="4" w:space="0" w:color="auto"/>
            </w:tcBorders>
            <w:noWrap/>
            <w:vAlign w:val="center"/>
          </w:tcPr>
          <w:p w:rsidR="00DE341A" w:rsidRPr="00D35EFD" w:rsidRDefault="00DE341A" w:rsidP="008216A0">
            <w:pPr>
              <w:jc w:val="center"/>
              <w:rPr>
                <w:rFonts w:ascii="Arial" w:hAnsi="Arial" w:cs="Arial"/>
                <w:b/>
                <w:bCs/>
                <w:sz w:val="16"/>
                <w:szCs w:val="16"/>
              </w:rPr>
            </w:pPr>
            <w:r w:rsidRPr="00D35EFD">
              <w:rPr>
                <w:rFonts w:ascii="Arial" w:hAnsi="Arial" w:cs="Arial"/>
                <w:b/>
                <w:bCs/>
                <w:sz w:val="16"/>
                <w:szCs w:val="16"/>
              </w:rPr>
              <w:t>50</w:t>
            </w:r>
          </w:p>
        </w:tc>
        <w:tc>
          <w:tcPr>
            <w:tcW w:w="709" w:type="dxa"/>
            <w:tcBorders>
              <w:top w:val="nil"/>
              <w:left w:val="nil"/>
              <w:bottom w:val="dotted" w:sz="4" w:space="0" w:color="auto"/>
              <w:right w:val="dotted" w:sz="4" w:space="0" w:color="auto"/>
            </w:tcBorders>
            <w:noWrap/>
            <w:vAlign w:val="center"/>
          </w:tcPr>
          <w:p w:rsidR="00DE341A" w:rsidRPr="00D35EFD" w:rsidRDefault="00DE341A" w:rsidP="008216A0">
            <w:pPr>
              <w:jc w:val="center"/>
              <w:rPr>
                <w:rFonts w:ascii="Arial" w:hAnsi="Arial" w:cs="Arial"/>
                <w:b/>
                <w:bCs/>
                <w:sz w:val="16"/>
                <w:szCs w:val="16"/>
              </w:rPr>
            </w:pPr>
            <w:r w:rsidRPr="00D35EFD">
              <w:rPr>
                <w:rFonts w:ascii="Arial" w:hAnsi="Arial" w:cs="Arial"/>
                <w:b/>
                <w:bCs/>
                <w:sz w:val="16"/>
                <w:szCs w:val="16"/>
              </w:rPr>
              <w:t>50</w:t>
            </w:r>
          </w:p>
        </w:tc>
        <w:tc>
          <w:tcPr>
            <w:tcW w:w="851" w:type="dxa"/>
            <w:tcBorders>
              <w:top w:val="nil"/>
              <w:left w:val="nil"/>
              <w:bottom w:val="dotted" w:sz="4" w:space="0" w:color="auto"/>
              <w:right w:val="single" w:sz="4" w:space="0" w:color="auto"/>
            </w:tcBorders>
            <w:noWrap/>
            <w:vAlign w:val="center"/>
          </w:tcPr>
          <w:p w:rsidR="00DE341A" w:rsidRPr="00D35EFD" w:rsidRDefault="00DE341A" w:rsidP="008216A0">
            <w:pPr>
              <w:jc w:val="center"/>
              <w:rPr>
                <w:rFonts w:ascii="Arial" w:hAnsi="Arial" w:cs="Arial"/>
                <w:i/>
                <w:iCs/>
                <w:sz w:val="16"/>
                <w:szCs w:val="16"/>
              </w:rPr>
            </w:pPr>
            <w:r w:rsidRPr="00D35EFD">
              <w:rPr>
                <w:rFonts w:ascii="Arial" w:hAnsi="Arial" w:cs="Arial"/>
                <w:i/>
                <w:iCs/>
                <w:sz w:val="16"/>
                <w:szCs w:val="16"/>
              </w:rPr>
              <w:t>49,</w:t>
            </w:r>
            <w:r>
              <w:rPr>
                <w:rFonts w:ascii="Arial" w:hAnsi="Arial" w:cs="Arial"/>
                <w:i/>
                <w:iCs/>
                <w:sz w:val="16"/>
                <w:szCs w:val="16"/>
              </w:rPr>
              <w:t>30</w:t>
            </w:r>
            <w:r w:rsidRPr="00D35EFD">
              <w:rPr>
                <w:rFonts w:ascii="Arial" w:hAnsi="Arial" w:cs="Arial"/>
                <w:i/>
                <w:iCs/>
                <w:sz w:val="16"/>
                <w:szCs w:val="16"/>
              </w:rPr>
              <w:t>%</w:t>
            </w:r>
          </w:p>
        </w:tc>
      </w:tr>
      <w:tr w:rsidR="00A1232F" w:rsidRPr="00D35EFD" w:rsidTr="0039268C">
        <w:trPr>
          <w:trHeight w:val="20"/>
        </w:trPr>
        <w:tc>
          <w:tcPr>
            <w:tcW w:w="1149" w:type="dxa"/>
            <w:vMerge/>
            <w:tcBorders>
              <w:top w:val="single" w:sz="4" w:space="0" w:color="000000"/>
              <w:left w:val="single" w:sz="4" w:space="0" w:color="auto"/>
              <w:bottom w:val="single" w:sz="4" w:space="0" w:color="000000"/>
              <w:right w:val="single" w:sz="4" w:space="0" w:color="auto"/>
            </w:tcBorders>
            <w:shd w:val="clear" w:color="auto" w:fill="EAF1DD"/>
            <w:vAlign w:val="center"/>
          </w:tcPr>
          <w:p w:rsidR="00DE341A" w:rsidRPr="00D35EFD" w:rsidRDefault="00DE341A" w:rsidP="008216A0">
            <w:pPr>
              <w:rPr>
                <w:rFonts w:ascii="Arial" w:hAnsi="Arial" w:cs="Arial"/>
                <w:sz w:val="16"/>
                <w:szCs w:val="16"/>
              </w:rPr>
            </w:pPr>
          </w:p>
        </w:tc>
        <w:tc>
          <w:tcPr>
            <w:tcW w:w="1134" w:type="dxa"/>
            <w:tcBorders>
              <w:top w:val="nil"/>
              <w:left w:val="nil"/>
              <w:bottom w:val="single" w:sz="4" w:space="0" w:color="auto"/>
              <w:right w:val="single" w:sz="4" w:space="0" w:color="auto"/>
            </w:tcBorders>
            <w:shd w:val="clear" w:color="000000" w:fill="auto"/>
            <w:noWrap/>
            <w:vAlign w:val="center"/>
          </w:tcPr>
          <w:p w:rsidR="00DE341A" w:rsidRPr="00D35EFD" w:rsidRDefault="00DE341A" w:rsidP="008216A0">
            <w:pPr>
              <w:rPr>
                <w:rFonts w:ascii="Arial" w:hAnsi="Arial" w:cs="Arial"/>
                <w:sz w:val="16"/>
                <w:szCs w:val="16"/>
              </w:rPr>
            </w:pPr>
            <w:r w:rsidRPr="00D35EFD">
              <w:rPr>
                <w:rFonts w:ascii="Arial" w:hAnsi="Arial" w:cs="Arial"/>
                <w:sz w:val="16"/>
                <w:szCs w:val="16"/>
              </w:rPr>
              <w:t>Východisko</w:t>
            </w:r>
          </w:p>
        </w:tc>
        <w:tc>
          <w:tcPr>
            <w:tcW w:w="496" w:type="dxa"/>
            <w:tcBorders>
              <w:top w:val="nil"/>
              <w:left w:val="nil"/>
              <w:bottom w:val="single" w:sz="4" w:space="0" w:color="auto"/>
              <w:right w:val="dotted" w:sz="4" w:space="0" w:color="auto"/>
            </w:tcBorders>
            <w:noWrap/>
            <w:vAlign w:val="center"/>
          </w:tcPr>
          <w:p w:rsidR="00DE341A" w:rsidRPr="00D35EFD" w:rsidRDefault="00DE341A" w:rsidP="008216A0">
            <w:pPr>
              <w:jc w:val="center"/>
              <w:rPr>
                <w:rFonts w:ascii="Arial" w:hAnsi="Arial" w:cs="Arial"/>
                <w:b/>
                <w:bCs/>
                <w:sz w:val="16"/>
                <w:szCs w:val="16"/>
              </w:rPr>
            </w:pPr>
            <w:r w:rsidRPr="00D35EFD">
              <w:rPr>
                <w:rFonts w:ascii="Arial" w:hAnsi="Arial" w:cs="Arial"/>
                <w:b/>
                <w:bCs/>
                <w:sz w:val="16"/>
                <w:szCs w:val="16"/>
              </w:rPr>
              <w:t>0</w:t>
            </w:r>
          </w:p>
        </w:tc>
        <w:tc>
          <w:tcPr>
            <w:tcW w:w="496" w:type="dxa"/>
            <w:tcBorders>
              <w:top w:val="nil"/>
              <w:left w:val="nil"/>
              <w:bottom w:val="single" w:sz="4" w:space="0" w:color="auto"/>
              <w:right w:val="dotted" w:sz="4" w:space="0" w:color="auto"/>
            </w:tcBorders>
            <w:noWrap/>
            <w:vAlign w:val="center"/>
          </w:tcPr>
          <w:p w:rsidR="00DE341A" w:rsidRPr="00D35EFD" w:rsidRDefault="00DE341A" w:rsidP="008216A0">
            <w:pPr>
              <w:jc w:val="center"/>
              <w:rPr>
                <w:rFonts w:ascii="Arial" w:hAnsi="Arial" w:cs="Arial"/>
                <w:i/>
                <w:iCs/>
                <w:sz w:val="16"/>
                <w:szCs w:val="16"/>
              </w:rPr>
            </w:pPr>
            <w:r w:rsidRPr="00D35EFD">
              <w:rPr>
                <w:rFonts w:ascii="Arial" w:hAnsi="Arial" w:cs="Arial"/>
                <w:i/>
                <w:iCs/>
                <w:sz w:val="16"/>
                <w:szCs w:val="16"/>
              </w:rPr>
              <w:t>N/A</w:t>
            </w:r>
          </w:p>
        </w:tc>
        <w:tc>
          <w:tcPr>
            <w:tcW w:w="709" w:type="dxa"/>
            <w:tcBorders>
              <w:top w:val="nil"/>
              <w:left w:val="nil"/>
              <w:bottom w:val="single" w:sz="4" w:space="0" w:color="auto"/>
              <w:right w:val="dotted" w:sz="4" w:space="0" w:color="auto"/>
            </w:tcBorders>
            <w:noWrap/>
            <w:vAlign w:val="center"/>
          </w:tcPr>
          <w:p w:rsidR="00DE341A" w:rsidRPr="00D35EFD" w:rsidRDefault="00DE341A" w:rsidP="008216A0">
            <w:pPr>
              <w:jc w:val="center"/>
              <w:rPr>
                <w:rFonts w:ascii="Arial" w:hAnsi="Arial" w:cs="Arial"/>
                <w:i/>
                <w:iCs/>
                <w:sz w:val="16"/>
                <w:szCs w:val="16"/>
              </w:rPr>
            </w:pPr>
            <w:r w:rsidRPr="00D35EFD">
              <w:rPr>
                <w:rFonts w:ascii="Arial" w:hAnsi="Arial" w:cs="Arial"/>
                <w:i/>
                <w:iCs/>
                <w:sz w:val="16"/>
                <w:szCs w:val="16"/>
              </w:rPr>
              <w:t>N/A</w:t>
            </w:r>
          </w:p>
        </w:tc>
        <w:tc>
          <w:tcPr>
            <w:tcW w:w="709" w:type="dxa"/>
            <w:tcBorders>
              <w:top w:val="nil"/>
              <w:left w:val="nil"/>
              <w:bottom w:val="single" w:sz="4" w:space="0" w:color="auto"/>
              <w:right w:val="dotted" w:sz="4" w:space="0" w:color="auto"/>
            </w:tcBorders>
            <w:noWrap/>
            <w:vAlign w:val="center"/>
          </w:tcPr>
          <w:p w:rsidR="00DE341A" w:rsidRPr="00D35EFD" w:rsidRDefault="00DE341A" w:rsidP="008216A0">
            <w:pPr>
              <w:jc w:val="center"/>
              <w:rPr>
                <w:rFonts w:ascii="Arial" w:hAnsi="Arial" w:cs="Arial"/>
                <w:i/>
                <w:iCs/>
                <w:sz w:val="16"/>
                <w:szCs w:val="16"/>
              </w:rPr>
            </w:pPr>
            <w:r w:rsidRPr="00D35EFD">
              <w:rPr>
                <w:rFonts w:ascii="Arial" w:hAnsi="Arial" w:cs="Arial"/>
                <w:i/>
                <w:iCs/>
                <w:sz w:val="16"/>
                <w:szCs w:val="16"/>
              </w:rPr>
              <w:t>N/A</w:t>
            </w:r>
          </w:p>
        </w:tc>
        <w:tc>
          <w:tcPr>
            <w:tcW w:w="709" w:type="dxa"/>
            <w:tcBorders>
              <w:top w:val="nil"/>
              <w:left w:val="nil"/>
              <w:bottom w:val="single" w:sz="4" w:space="0" w:color="auto"/>
              <w:right w:val="dotted" w:sz="4" w:space="0" w:color="auto"/>
            </w:tcBorders>
            <w:noWrap/>
            <w:vAlign w:val="center"/>
          </w:tcPr>
          <w:p w:rsidR="00DE341A" w:rsidRPr="00D35EFD" w:rsidRDefault="00DE341A" w:rsidP="008216A0">
            <w:pPr>
              <w:jc w:val="center"/>
              <w:rPr>
                <w:rFonts w:ascii="Arial" w:hAnsi="Arial" w:cs="Arial"/>
                <w:i/>
                <w:iCs/>
                <w:sz w:val="16"/>
                <w:szCs w:val="16"/>
              </w:rPr>
            </w:pPr>
            <w:r w:rsidRPr="00D35EFD">
              <w:rPr>
                <w:rFonts w:ascii="Arial" w:hAnsi="Arial" w:cs="Arial"/>
                <w:i/>
                <w:iCs/>
                <w:sz w:val="16"/>
                <w:szCs w:val="16"/>
              </w:rPr>
              <w:t>N/A</w:t>
            </w:r>
          </w:p>
        </w:tc>
        <w:tc>
          <w:tcPr>
            <w:tcW w:w="850" w:type="dxa"/>
            <w:tcBorders>
              <w:top w:val="nil"/>
              <w:left w:val="nil"/>
              <w:bottom w:val="single" w:sz="4" w:space="0" w:color="auto"/>
              <w:right w:val="dotted" w:sz="4" w:space="0" w:color="auto"/>
            </w:tcBorders>
            <w:noWrap/>
            <w:vAlign w:val="center"/>
          </w:tcPr>
          <w:p w:rsidR="00DE341A" w:rsidRPr="00D35EFD" w:rsidRDefault="00DE341A" w:rsidP="008216A0">
            <w:pPr>
              <w:jc w:val="center"/>
              <w:rPr>
                <w:rFonts w:ascii="Arial" w:hAnsi="Arial" w:cs="Arial"/>
                <w:i/>
                <w:iCs/>
                <w:sz w:val="16"/>
                <w:szCs w:val="16"/>
              </w:rPr>
            </w:pPr>
            <w:r w:rsidRPr="00D35EFD">
              <w:rPr>
                <w:rFonts w:ascii="Arial" w:hAnsi="Arial" w:cs="Arial"/>
                <w:i/>
                <w:iCs/>
                <w:sz w:val="16"/>
                <w:szCs w:val="16"/>
              </w:rPr>
              <w:t>N/A</w:t>
            </w:r>
          </w:p>
        </w:tc>
        <w:tc>
          <w:tcPr>
            <w:tcW w:w="496" w:type="dxa"/>
            <w:tcBorders>
              <w:top w:val="nil"/>
              <w:left w:val="nil"/>
              <w:bottom w:val="single" w:sz="4" w:space="0" w:color="auto"/>
              <w:right w:val="dotted" w:sz="4" w:space="0" w:color="auto"/>
            </w:tcBorders>
            <w:noWrap/>
            <w:vAlign w:val="center"/>
          </w:tcPr>
          <w:p w:rsidR="00DE341A" w:rsidRPr="00D35EFD" w:rsidRDefault="00DE341A" w:rsidP="008216A0">
            <w:pPr>
              <w:jc w:val="center"/>
              <w:rPr>
                <w:rFonts w:ascii="Arial" w:hAnsi="Arial" w:cs="Arial"/>
                <w:i/>
                <w:iCs/>
                <w:sz w:val="16"/>
                <w:szCs w:val="16"/>
              </w:rPr>
            </w:pPr>
            <w:r w:rsidRPr="00D35EFD">
              <w:rPr>
                <w:rFonts w:ascii="Arial" w:hAnsi="Arial" w:cs="Arial"/>
                <w:i/>
                <w:iCs/>
                <w:sz w:val="16"/>
                <w:szCs w:val="16"/>
              </w:rPr>
              <w:t>N/A</w:t>
            </w:r>
          </w:p>
        </w:tc>
        <w:tc>
          <w:tcPr>
            <w:tcW w:w="496" w:type="dxa"/>
            <w:tcBorders>
              <w:top w:val="nil"/>
              <w:left w:val="nil"/>
              <w:bottom w:val="single" w:sz="4" w:space="0" w:color="auto"/>
              <w:right w:val="dotted" w:sz="4" w:space="0" w:color="auto"/>
            </w:tcBorders>
            <w:noWrap/>
            <w:vAlign w:val="center"/>
          </w:tcPr>
          <w:p w:rsidR="00DE341A" w:rsidRPr="00D35EFD" w:rsidRDefault="00DE341A" w:rsidP="008216A0">
            <w:pPr>
              <w:jc w:val="center"/>
              <w:rPr>
                <w:rFonts w:ascii="Arial" w:hAnsi="Arial" w:cs="Arial"/>
                <w:i/>
                <w:iCs/>
                <w:sz w:val="16"/>
                <w:szCs w:val="16"/>
              </w:rPr>
            </w:pPr>
            <w:r w:rsidRPr="00D35EFD">
              <w:rPr>
                <w:rFonts w:ascii="Arial" w:hAnsi="Arial" w:cs="Arial"/>
                <w:i/>
                <w:iCs/>
                <w:sz w:val="16"/>
                <w:szCs w:val="16"/>
              </w:rPr>
              <w:t>N/A</w:t>
            </w:r>
          </w:p>
        </w:tc>
        <w:tc>
          <w:tcPr>
            <w:tcW w:w="709" w:type="dxa"/>
            <w:tcBorders>
              <w:top w:val="nil"/>
              <w:left w:val="nil"/>
              <w:bottom w:val="single" w:sz="4" w:space="0" w:color="auto"/>
              <w:right w:val="dotted" w:sz="4" w:space="0" w:color="auto"/>
            </w:tcBorders>
            <w:noWrap/>
            <w:vAlign w:val="center"/>
          </w:tcPr>
          <w:p w:rsidR="00DE341A" w:rsidRPr="00D35EFD" w:rsidRDefault="00DE341A" w:rsidP="008216A0">
            <w:pPr>
              <w:jc w:val="center"/>
              <w:rPr>
                <w:rFonts w:ascii="Arial" w:hAnsi="Arial" w:cs="Arial"/>
                <w:i/>
                <w:iCs/>
                <w:sz w:val="16"/>
                <w:szCs w:val="16"/>
              </w:rPr>
            </w:pPr>
            <w:r w:rsidRPr="00D35EFD">
              <w:rPr>
                <w:rFonts w:ascii="Arial" w:hAnsi="Arial" w:cs="Arial"/>
                <w:i/>
                <w:iCs/>
                <w:sz w:val="16"/>
                <w:szCs w:val="16"/>
              </w:rPr>
              <w:t>N/A</w:t>
            </w:r>
          </w:p>
        </w:tc>
        <w:tc>
          <w:tcPr>
            <w:tcW w:w="709" w:type="dxa"/>
            <w:tcBorders>
              <w:top w:val="nil"/>
              <w:left w:val="nil"/>
              <w:bottom w:val="single" w:sz="4" w:space="0" w:color="auto"/>
              <w:right w:val="dotted" w:sz="4" w:space="0" w:color="auto"/>
            </w:tcBorders>
            <w:noWrap/>
            <w:vAlign w:val="center"/>
          </w:tcPr>
          <w:p w:rsidR="00DE341A" w:rsidRPr="00D35EFD" w:rsidRDefault="00DE341A" w:rsidP="008216A0">
            <w:pPr>
              <w:jc w:val="center"/>
              <w:rPr>
                <w:rFonts w:ascii="Arial" w:hAnsi="Arial" w:cs="Arial"/>
                <w:b/>
                <w:bCs/>
                <w:sz w:val="16"/>
                <w:szCs w:val="16"/>
              </w:rPr>
            </w:pPr>
            <w:r w:rsidRPr="00D35EFD">
              <w:rPr>
                <w:rFonts w:ascii="Arial" w:hAnsi="Arial" w:cs="Arial"/>
                <w:b/>
                <w:bCs/>
                <w:sz w:val="16"/>
                <w:szCs w:val="16"/>
              </w:rPr>
              <w:t>0</w:t>
            </w:r>
          </w:p>
        </w:tc>
        <w:tc>
          <w:tcPr>
            <w:tcW w:w="851" w:type="dxa"/>
            <w:tcBorders>
              <w:top w:val="nil"/>
              <w:left w:val="nil"/>
              <w:bottom w:val="single" w:sz="4" w:space="0" w:color="auto"/>
              <w:right w:val="single" w:sz="4" w:space="0" w:color="auto"/>
            </w:tcBorders>
            <w:noWrap/>
            <w:vAlign w:val="center"/>
          </w:tcPr>
          <w:p w:rsidR="00DE341A" w:rsidRPr="00D35EFD" w:rsidRDefault="00DE341A" w:rsidP="008216A0">
            <w:pPr>
              <w:jc w:val="center"/>
              <w:rPr>
                <w:rFonts w:ascii="Arial" w:hAnsi="Arial" w:cs="Arial"/>
                <w:sz w:val="16"/>
                <w:szCs w:val="16"/>
              </w:rPr>
            </w:pPr>
          </w:p>
        </w:tc>
      </w:tr>
      <w:tr w:rsidR="00A1232F" w:rsidRPr="00D35EFD" w:rsidTr="0039268C">
        <w:trPr>
          <w:trHeight w:val="20"/>
        </w:trPr>
        <w:tc>
          <w:tcPr>
            <w:tcW w:w="1149" w:type="dxa"/>
            <w:vMerge w:val="restart"/>
            <w:tcBorders>
              <w:top w:val="single" w:sz="4" w:space="0" w:color="000000"/>
              <w:left w:val="single" w:sz="4" w:space="0" w:color="auto"/>
              <w:bottom w:val="single" w:sz="4" w:space="0" w:color="000000"/>
              <w:right w:val="single" w:sz="4" w:space="0" w:color="auto"/>
            </w:tcBorders>
            <w:shd w:val="clear" w:color="auto" w:fill="EAF1DD"/>
            <w:vAlign w:val="center"/>
          </w:tcPr>
          <w:p w:rsidR="00DE341A" w:rsidRPr="00D35EFD" w:rsidRDefault="00DE341A" w:rsidP="008216A0">
            <w:pPr>
              <w:rPr>
                <w:rFonts w:ascii="Arial" w:hAnsi="Arial" w:cs="Arial"/>
                <w:sz w:val="16"/>
                <w:szCs w:val="16"/>
              </w:rPr>
            </w:pPr>
            <w:r w:rsidRPr="00D35EFD">
              <w:rPr>
                <w:rFonts w:ascii="Arial" w:hAnsi="Arial" w:cs="Arial"/>
                <w:sz w:val="16"/>
                <w:szCs w:val="16"/>
              </w:rPr>
              <w:t>Počet vytvorených pracovných miest pre znevýhodnené skupiny v dôsledku realizácie projektu [počet]</w:t>
            </w:r>
          </w:p>
        </w:tc>
        <w:tc>
          <w:tcPr>
            <w:tcW w:w="1134" w:type="dxa"/>
            <w:tcBorders>
              <w:top w:val="nil"/>
              <w:left w:val="nil"/>
              <w:bottom w:val="dotted" w:sz="4" w:space="0" w:color="auto"/>
              <w:right w:val="single" w:sz="4" w:space="0" w:color="auto"/>
            </w:tcBorders>
            <w:shd w:val="clear" w:color="000000" w:fill="auto"/>
            <w:noWrap/>
            <w:vAlign w:val="center"/>
          </w:tcPr>
          <w:p w:rsidR="00DE341A" w:rsidRPr="00D35EFD" w:rsidRDefault="00DE341A" w:rsidP="008216A0">
            <w:pPr>
              <w:rPr>
                <w:rFonts w:ascii="Arial" w:hAnsi="Arial" w:cs="Arial"/>
                <w:sz w:val="16"/>
                <w:szCs w:val="16"/>
              </w:rPr>
            </w:pPr>
            <w:r w:rsidRPr="00D35EFD">
              <w:rPr>
                <w:rFonts w:ascii="Arial" w:hAnsi="Arial" w:cs="Arial"/>
                <w:sz w:val="16"/>
                <w:szCs w:val="16"/>
              </w:rPr>
              <w:t>Dosiahnutý výsledok</w:t>
            </w:r>
          </w:p>
        </w:tc>
        <w:tc>
          <w:tcPr>
            <w:tcW w:w="496" w:type="dxa"/>
            <w:tcBorders>
              <w:top w:val="nil"/>
              <w:left w:val="nil"/>
              <w:bottom w:val="dotted" w:sz="4" w:space="0" w:color="auto"/>
              <w:right w:val="dotted" w:sz="4" w:space="0" w:color="auto"/>
            </w:tcBorders>
            <w:noWrap/>
            <w:vAlign w:val="center"/>
          </w:tcPr>
          <w:p w:rsidR="00DE341A" w:rsidRPr="00D35EFD" w:rsidRDefault="00DE341A" w:rsidP="008216A0">
            <w:pPr>
              <w:jc w:val="center"/>
              <w:rPr>
                <w:rFonts w:ascii="Arial" w:hAnsi="Arial" w:cs="Arial"/>
                <w:b/>
                <w:bCs/>
                <w:sz w:val="16"/>
                <w:szCs w:val="16"/>
              </w:rPr>
            </w:pPr>
            <w:r w:rsidRPr="00D35EFD">
              <w:rPr>
                <w:rFonts w:ascii="Arial" w:hAnsi="Arial" w:cs="Arial"/>
                <w:b/>
                <w:bCs/>
                <w:sz w:val="16"/>
                <w:szCs w:val="16"/>
              </w:rPr>
              <w:t>0</w:t>
            </w:r>
          </w:p>
        </w:tc>
        <w:tc>
          <w:tcPr>
            <w:tcW w:w="496" w:type="dxa"/>
            <w:tcBorders>
              <w:top w:val="nil"/>
              <w:left w:val="nil"/>
              <w:bottom w:val="dotted" w:sz="4" w:space="0" w:color="auto"/>
              <w:right w:val="dotted" w:sz="4" w:space="0" w:color="auto"/>
            </w:tcBorders>
            <w:noWrap/>
            <w:vAlign w:val="center"/>
          </w:tcPr>
          <w:p w:rsidR="00DE341A" w:rsidRPr="00D35EFD" w:rsidRDefault="00DE341A" w:rsidP="008216A0">
            <w:pPr>
              <w:jc w:val="center"/>
              <w:rPr>
                <w:rFonts w:ascii="Arial" w:hAnsi="Arial" w:cs="Arial"/>
                <w:b/>
                <w:bCs/>
                <w:sz w:val="16"/>
                <w:szCs w:val="16"/>
              </w:rPr>
            </w:pPr>
            <w:r w:rsidRPr="00D35EFD">
              <w:rPr>
                <w:rFonts w:ascii="Arial" w:hAnsi="Arial" w:cs="Arial"/>
                <w:b/>
                <w:bCs/>
                <w:sz w:val="16"/>
                <w:szCs w:val="16"/>
              </w:rPr>
              <w:t>0</w:t>
            </w:r>
          </w:p>
        </w:tc>
        <w:tc>
          <w:tcPr>
            <w:tcW w:w="709" w:type="dxa"/>
            <w:tcBorders>
              <w:top w:val="nil"/>
              <w:left w:val="nil"/>
              <w:bottom w:val="dotted" w:sz="4" w:space="0" w:color="auto"/>
              <w:right w:val="dotted" w:sz="4" w:space="0" w:color="auto"/>
            </w:tcBorders>
            <w:noWrap/>
            <w:vAlign w:val="center"/>
          </w:tcPr>
          <w:p w:rsidR="00DE341A" w:rsidRPr="00D35EFD" w:rsidRDefault="00DE341A" w:rsidP="008216A0">
            <w:pPr>
              <w:jc w:val="center"/>
              <w:rPr>
                <w:rFonts w:ascii="Arial" w:hAnsi="Arial" w:cs="Arial"/>
                <w:b/>
                <w:bCs/>
                <w:sz w:val="16"/>
                <w:szCs w:val="16"/>
              </w:rPr>
            </w:pPr>
            <w:r w:rsidRPr="00D35EFD">
              <w:rPr>
                <w:rFonts w:ascii="Arial" w:hAnsi="Arial" w:cs="Arial"/>
                <w:b/>
                <w:bCs/>
                <w:sz w:val="16"/>
                <w:szCs w:val="16"/>
              </w:rPr>
              <w:t>0</w:t>
            </w:r>
          </w:p>
        </w:tc>
        <w:tc>
          <w:tcPr>
            <w:tcW w:w="709" w:type="dxa"/>
            <w:tcBorders>
              <w:top w:val="nil"/>
              <w:left w:val="nil"/>
              <w:bottom w:val="dotted" w:sz="4" w:space="0" w:color="auto"/>
              <w:right w:val="dotted" w:sz="4" w:space="0" w:color="auto"/>
            </w:tcBorders>
            <w:noWrap/>
            <w:vAlign w:val="center"/>
          </w:tcPr>
          <w:p w:rsidR="00DE341A" w:rsidRPr="00D35EFD" w:rsidRDefault="00DE341A" w:rsidP="008216A0">
            <w:pPr>
              <w:jc w:val="center"/>
              <w:rPr>
                <w:rFonts w:ascii="Arial" w:hAnsi="Arial" w:cs="Arial"/>
                <w:b/>
                <w:bCs/>
                <w:sz w:val="16"/>
                <w:szCs w:val="16"/>
              </w:rPr>
            </w:pPr>
            <w:r w:rsidRPr="00D35EFD">
              <w:rPr>
                <w:rFonts w:ascii="Arial" w:hAnsi="Arial" w:cs="Arial"/>
                <w:b/>
                <w:bCs/>
                <w:sz w:val="16"/>
                <w:szCs w:val="16"/>
              </w:rPr>
              <w:t>8</w:t>
            </w:r>
          </w:p>
        </w:tc>
        <w:tc>
          <w:tcPr>
            <w:tcW w:w="709" w:type="dxa"/>
            <w:tcBorders>
              <w:top w:val="nil"/>
              <w:left w:val="nil"/>
              <w:bottom w:val="dotted" w:sz="4" w:space="0" w:color="auto"/>
              <w:right w:val="dotted" w:sz="4" w:space="0" w:color="auto"/>
            </w:tcBorders>
            <w:noWrap/>
            <w:vAlign w:val="center"/>
          </w:tcPr>
          <w:p w:rsidR="00DE341A" w:rsidRPr="00D35EFD" w:rsidRDefault="00DE341A" w:rsidP="008216A0">
            <w:pPr>
              <w:jc w:val="center"/>
              <w:rPr>
                <w:rFonts w:ascii="Arial" w:hAnsi="Arial" w:cs="Arial"/>
                <w:b/>
                <w:bCs/>
                <w:sz w:val="16"/>
                <w:szCs w:val="16"/>
              </w:rPr>
            </w:pPr>
            <w:r w:rsidRPr="00D35EFD">
              <w:rPr>
                <w:rFonts w:ascii="Arial" w:hAnsi="Arial" w:cs="Arial"/>
                <w:b/>
                <w:bCs/>
                <w:sz w:val="16"/>
                <w:szCs w:val="16"/>
              </w:rPr>
              <w:t>18</w:t>
            </w:r>
          </w:p>
        </w:tc>
        <w:tc>
          <w:tcPr>
            <w:tcW w:w="850" w:type="dxa"/>
            <w:tcBorders>
              <w:top w:val="nil"/>
              <w:left w:val="nil"/>
              <w:bottom w:val="dotted" w:sz="4" w:space="0" w:color="auto"/>
              <w:right w:val="dotted" w:sz="4" w:space="0" w:color="auto"/>
            </w:tcBorders>
            <w:noWrap/>
            <w:vAlign w:val="center"/>
          </w:tcPr>
          <w:p w:rsidR="00DE341A" w:rsidRPr="0039268C" w:rsidRDefault="00DE341A" w:rsidP="008216A0">
            <w:pPr>
              <w:jc w:val="center"/>
              <w:rPr>
                <w:rFonts w:ascii="Arial" w:hAnsi="Arial" w:cs="Arial"/>
                <w:b/>
                <w:iCs/>
                <w:sz w:val="16"/>
                <w:szCs w:val="16"/>
              </w:rPr>
            </w:pPr>
            <w:r w:rsidRPr="0039268C">
              <w:rPr>
                <w:rFonts w:ascii="Arial" w:hAnsi="Arial" w:cs="Arial"/>
                <w:b/>
                <w:iCs/>
                <w:sz w:val="16"/>
                <w:szCs w:val="16"/>
              </w:rPr>
              <w:t>39</w:t>
            </w:r>
          </w:p>
        </w:tc>
        <w:tc>
          <w:tcPr>
            <w:tcW w:w="496" w:type="dxa"/>
            <w:tcBorders>
              <w:top w:val="nil"/>
              <w:left w:val="nil"/>
              <w:bottom w:val="dotted" w:sz="4" w:space="0" w:color="auto"/>
              <w:right w:val="dotted" w:sz="4" w:space="0" w:color="auto"/>
            </w:tcBorders>
            <w:noWrap/>
            <w:vAlign w:val="center"/>
          </w:tcPr>
          <w:p w:rsidR="00DE341A" w:rsidRPr="00D35EFD" w:rsidRDefault="00DE341A" w:rsidP="008216A0">
            <w:pPr>
              <w:jc w:val="center"/>
              <w:rPr>
                <w:rFonts w:ascii="Arial" w:hAnsi="Arial" w:cs="Arial"/>
                <w:i/>
                <w:iCs/>
                <w:sz w:val="16"/>
                <w:szCs w:val="16"/>
              </w:rPr>
            </w:pPr>
            <w:r w:rsidRPr="00D35EFD">
              <w:rPr>
                <w:rFonts w:ascii="Arial" w:hAnsi="Arial" w:cs="Arial"/>
                <w:i/>
                <w:iCs/>
                <w:sz w:val="16"/>
                <w:szCs w:val="16"/>
              </w:rPr>
              <w:t>N/A</w:t>
            </w:r>
          </w:p>
        </w:tc>
        <w:tc>
          <w:tcPr>
            <w:tcW w:w="496" w:type="dxa"/>
            <w:tcBorders>
              <w:top w:val="nil"/>
              <w:left w:val="nil"/>
              <w:bottom w:val="dotted" w:sz="4" w:space="0" w:color="auto"/>
              <w:right w:val="dotted" w:sz="4" w:space="0" w:color="auto"/>
            </w:tcBorders>
            <w:noWrap/>
            <w:vAlign w:val="center"/>
          </w:tcPr>
          <w:p w:rsidR="00DE341A" w:rsidRPr="00D35EFD" w:rsidRDefault="00DE341A" w:rsidP="008216A0">
            <w:pPr>
              <w:jc w:val="center"/>
              <w:rPr>
                <w:rFonts w:ascii="Arial" w:hAnsi="Arial" w:cs="Arial"/>
                <w:i/>
                <w:iCs/>
                <w:sz w:val="16"/>
                <w:szCs w:val="16"/>
              </w:rPr>
            </w:pPr>
            <w:r w:rsidRPr="00D35EFD">
              <w:rPr>
                <w:rFonts w:ascii="Arial" w:hAnsi="Arial" w:cs="Arial"/>
                <w:i/>
                <w:iCs/>
                <w:sz w:val="16"/>
                <w:szCs w:val="16"/>
              </w:rPr>
              <w:t>N/A</w:t>
            </w:r>
          </w:p>
        </w:tc>
        <w:tc>
          <w:tcPr>
            <w:tcW w:w="709" w:type="dxa"/>
            <w:tcBorders>
              <w:top w:val="nil"/>
              <w:left w:val="nil"/>
              <w:bottom w:val="dotted" w:sz="4" w:space="0" w:color="auto"/>
              <w:right w:val="dotted" w:sz="4" w:space="0" w:color="auto"/>
            </w:tcBorders>
            <w:noWrap/>
            <w:vAlign w:val="center"/>
          </w:tcPr>
          <w:p w:rsidR="00DE341A" w:rsidRPr="00D35EFD" w:rsidRDefault="00DE341A" w:rsidP="008216A0">
            <w:pPr>
              <w:jc w:val="center"/>
              <w:rPr>
                <w:rFonts w:ascii="Arial" w:hAnsi="Arial" w:cs="Arial"/>
                <w:i/>
                <w:iCs/>
                <w:sz w:val="16"/>
                <w:szCs w:val="16"/>
              </w:rPr>
            </w:pPr>
            <w:r w:rsidRPr="00D35EFD">
              <w:rPr>
                <w:rFonts w:ascii="Arial" w:hAnsi="Arial" w:cs="Arial"/>
                <w:i/>
                <w:iCs/>
                <w:sz w:val="16"/>
                <w:szCs w:val="16"/>
              </w:rPr>
              <w:t>N/A</w:t>
            </w:r>
          </w:p>
        </w:tc>
        <w:tc>
          <w:tcPr>
            <w:tcW w:w="709" w:type="dxa"/>
            <w:tcBorders>
              <w:top w:val="nil"/>
              <w:left w:val="nil"/>
              <w:bottom w:val="dotted" w:sz="4" w:space="0" w:color="auto"/>
              <w:right w:val="dotted" w:sz="4" w:space="0" w:color="auto"/>
            </w:tcBorders>
            <w:noWrap/>
            <w:vAlign w:val="center"/>
          </w:tcPr>
          <w:p w:rsidR="00DE341A" w:rsidRPr="00D35EFD" w:rsidRDefault="00DE341A" w:rsidP="008216A0">
            <w:pPr>
              <w:jc w:val="center"/>
              <w:rPr>
                <w:rFonts w:ascii="Arial" w:hAnsi="Arial" w:cs="Arial"/>
                <w:b/>
                <w:bCs/>
                <w:sz w:val="16"/>
                <w:szCs w:val="16"/>
              </w:rPr>
            </w:pPr>
            <w:r>
              <w:rPr>
                <w:rFonts w:ascii="Arial" w:hAnsi="Arial" w:cs="Arial"/>
                <w:b/>
                <w:bCs/>
                <w:sz w:val="16"/>
                <w:szCs w:val="16"/>
              </w:rPr>
              <w:t>39</w:t>
            </w:r>
          </w:p>
        </w:tc>
        <w:tc>
          <w:tcPr>
            <w:tcW w:w="851" w:type="dxa"/>
            <w:tcBorders>
              <w:top w:val="nil"/>
              <w:left w:val="nil"/>
              <w:bottom w:val="dotted" w:sz="4" w:space="0" w:color="auto"/>
              <w:right w:val="single" w:sz="4" w:space="0" w:color="auto"/>
            </w:tcBorders>
            <w:noWrap/>
            <w:vAlign w:val="center"/>
          </w:tcPr>
          <w:p w:rsidR="00DE341A" w:rsidRPr="00D35EFD" w:rsidRDefault="00DE341A" w:rsidP="008216A0">
            <w:pPr>
              <w:jc w:val="center"/>
              <w:rPr>
                <w:rFonts w:ascii="Arial" w:hAnsi="Arial" w:cs="Arial"/>
                <w:sz w:val="16"/>
                <w:szCs w:val="16"/>
              </w:rPr>
            </w:pPr>
          </w:p>
        </w:tc>
      </w:tr>
      <w:tr w:rsidR="00A1232F" w:rsidRPr="00D35EFD" w:rsidTr="0039268C">
        <w:trPr>
          <w:trHeight w:val="20"/>
        </w:trPr>
        <w:tc>
          <w:tcPr>
            <w:tcW w:w="1149" w:type="dxa"/>
            <w:vMerge/>
            <w:tcBorders>
              <w:top w:val="single" w:sz="4" w:space="0" w:color="000000"/>
              <w:left w:val="single" w:sz="4" w:space="0" w:color="auto"/>
              <w:bottom w:val="single" w:sz="4" w:space="0" w:color="000000"/>
              <w:right w:val="single" w:sz="4" w:space="0" w:color="auto"/>
            </w:tcBorders>
            <w:shd w:val="clear" w:color="auto" w:fill="EAF1DD"/>
            <w:vAlign w:val="center"/>
          </w:tcPr>
          <w:p w:rsidR="00DE341A" w:rsidRPr="00D35EFD" w:rsidRDefault="00DE341A" w:rsidP="008216A0">
            <w:pPr>
              <w:rPr>
                <w:rFonts w:ascii="Arial" w:hAnsi="Arial" w:cs="Arial"/>
                <w:sz w:val="16"/>
                <w:szCs w:val="16"/>
              </w:rPr>
            </w:pPr>
          </w:p>
        </w:tc>
        <w:tc>
          <w:tcPr>
            <w:tcW w:w="1134" w:type="dxa"/>
            <w:tcBorders>
              <w:top w:val="nil"/>
              <w:left w:val="nil"/>
              <w:bottom w:val="dotted" w:sz="4" w:space="0" w:color="auto"/>
              <w:right w:val="single" w:sz="4" w:space="0" w:color="auto"/>
            </w:tcBorders>
            <w:shd w:val="clear" w:color="000000" w:fill="auto"/>
            <w:noWrap/>
            <w:vAlign w:val="center"/>
          </w:tcPr>
          <w:p w:rsidR="00DE341A" w:rsidRPr="00D35EFD" w:rsidRDefault="00DE341A" w:rsidP="008216A0">
            <w:pPr>
              <w:rPr>
                <w:rFonts w:ascii="Arial" w:hAnsi="Arial" w:cs="Arial"/>
                <w:sz w:val="16"/>
                <w:szCs w:val="16"/>
              </w:rPr>
            </w:pPr>
            <w:r w:rsidRPr="00D35EFD">
              <w:rPr>
                <w:rFonts w:ascii="Arial" w:hAnsi="Arial" w:cs="Arial"/>
                <w:sz w:val="16"/>
                <w:szCs w:val="16"/>
              </w:rPr>
              <w:t>Cieľ</w:t>
            </w:r>
          </w:p>
        </w:tc>
        <w:tc>
          <w:tcPr>
            <w:tcW w:w="496" w:type="dxa"/>
            <w:tcBorders>
              <w:top w:val="nil"/>
              <w:left w:val="nil"/>
              <w:bottom w:val="dotted" w:sz="4" w:space="0" w:color="auto"/>
              <w:right w:val="dotted" w:sz="4" w:space="0" w:color="auto"/>
            </w:tcBorders>
            <w:noWrap/>
            <w:vAlign w:val="center"/>
          </w:tcPr>
          <w:p w:rsidR="00DE341A" w:rsidRPr="00D35EFD" w:rsidRDefault="00DE341A" w:rsidP="008216A0">
            <w:pPr>
              <w:jc w:val="center"/>
              <w:rPr>
                <w:rFonts w:ascii="Arial" w:hAnsi="Arial" w:cs="Arial"/>
                <w:i/>
                <w:iCs/>
                <w:sz w:val="16"/>
                <w:szCs w:val="16"/>
              </w:rPr>
            </w:pPr>
            <w:r w:rsidRPr="00D35EFD">
              <w:rPr>
                <w:rFonts w:ascii="Arial" w:hAnsi="Arial" w:cs="Arial"/>
                <w:i/>
                <w:iCs/>
                <w:sz w:val="16"/>
                <w:szCs w:val="16"/>
              </w:rPr>
              <w:t>N/A</w:t>
            </w:r>
          </w:p>
        </w:tc>
        <w:tc>
          <w:tcPr>
            <w:tcW w:w="496" w:type="dxa"/>
            <w:tcBorders>
              <w:top w:val="nil"/>
              <w:left w:val="nil"/>
              <w:bottom w:val="dotted" w:sz="4" w:space="0" w:color="auto"/>
              <w:right w:val="dotted" w:sz="4" w:space="0" w:color="auto"/>
            </w:tcBorders>
            <w:noWrap/>
            <w:vAlign w:val="center"/>
          </w:tcPr>
          <w:p w:rsidR="00DE341A" w:rsidRPr="00D35EFD" w:rsidRDefault="00DE341A" w:rsidP="008216A0">
            <w:pPr>
              <w:jc w:val="center"/>
              <w:rPr>
                <w:rFonts w:ascii="Arial" w:hAnsi="Arial" w:cs="Arial"/>
                <w:i/>
                <w:iCs/>
                <w:sz w:val="16"/>
                <w:szCs w:val="16"/>
              </w:rPr>
            </w:pPr>
            <w:r w:rsidRPr="00D35EFD">
              <w:rPr>
                <w:rFonts w:ascii="Arial" w:hAnsi="Arial" w:cs="Arial"/>
                <w:i/>
                <w:iCs/>
                <w:sz w:val="16"/>
                <w:szCs w:val="16"/>
              </w:rPr>
              <w:t>N/A</w:t>
            </w:r>
          </w:p>
        </w:tc>
        <w:tc>
          <w:tcPr>
            <w:tcW w:w="709" w:type="dxa"/>
            <w:tcBorders>
              <w:top w:val="nil"/>
              <w:left w:val="nil"/>
              <w:bottom w:val="dotted" w:sz="4" w:space="0" w:color="auto"/>
              <w:right w:val="dotted" w:sz="4" w:space="0" w:color="auto"/>
            </w:tcBorders>
            <w:noWrap/>
            <w:vAlign w:val="center"/>
          </w:tcPr>
          <w:p w:rsidR="00DE341A" w:rsidRPr="00D35EFD" w:rsidRDefault="00DE341A" w:rsidP="008216A0">
            <w:pPr>
              <w:jc w:val="center"/>
              <w:rPr>
                <w:rFonts w:ascii="Arial" w:hAnsi="Arial" w:cs="Arial"/>
                <w:i/>
                <w:iCs/>
                <w:sz w:val="16"/>
                <w:szCs w:val="16"/>
              </w:rPr>
            </w:pPr>
            <w:r w:rsidRPr="00D35EFD">
              <w:rPr>
                <w:rFonts w:ascii="Arial" w:hAnsi="Arial" w:cs="Arial"/>
                <w:i/>
                <w:iCs/>
                <w:sz w:val="16"/>
                <w:szCs w:val="16"/>
              </w:rPr>
              <w:t>N/A</w:t>
            </w:r>
          </w:p>
        </w:tc>
        <w:tc>
          <w:tcPr>
            <w:tcW w:w="709" w:type="dxa"/>
            <w:tcBorders>
              <w:top w:val="nil"/>
              <w:left w:val="nil"/>
              <w:bottom w:val="dotted" w:sz="4" w:space="0" w:color="auto"/>
              <w:right w:val="dotted" w:sz="4" w:space="0" w:color="auto"/>
            </w:tcBorders>
            <w:noWrap/>
            <w:vAlign w:val="center"/>
          </w:tcPr>
          <w:p w:rsidR="00DE341A" w:rsidRPr="00D35EFD" w:rsidRDefault="00DE341A" w:rsidP="008216A0">
            <w:pPr>
              <w:jc w:val="center"/>
              <w:rPr>
                <w:rFonts w:ascii="Arial" w:hAnsi="Arial" w:cs="Arial"/>
                <w:i/>
                <w:iCs/>
                <w:sz w:val="16"/>
                <w:szCs w:val="16"/>
              </w:rPr>
            </w:pPr>
            <w:r w:rsidRPr="00D35EFD">
              <w:rPr>
                <w:rFonts w:ascii="Arial" w:hAnsi="Arial" w:cs="Arial"/>
                <w:i/>
                <w:iCs/>
                <w:sz w:val="16"/>
                <w:szCs w:val="16"/>
              </w:rPr>
              <w:t>N/A</w:t>
            </w:r>
          </w:p>
        </w:tc>
        <w:tc>
          <w:tcPr>
            <w:tcW w:w="709" w:type="dxa"/>
            <w:tcBorders>
              <w:top w:val="nil"/>
              <w:left w:val="nil"/>
              <w:bottom w:val="dotted" w:sz="4" w:space="0" w:color="auto"/>
              <w:right w:val="dotted" w:sz="4" w:space="0" w:color="auto"/>
            </w:tcBorders>
            <w:noWrap/>
            <w:vAlign w:val="center"/>
          </w:tcPr>
          <w:p w:rsidR="00DE341A" w:rsidRPr="00D35EFD" w:rsidRDefault="00DE341A" w:rsidP="008216A0">
            <w:pPr>
              <w:jc w:val="center"/>
              <w:rPr>
                <w:rFonts w:ascii="Arial" w:hAnsi="Arial" w:cs="Arial"/>
                <w:i/>
                <w:iCs/>
                <w:sz w:val="16"/>
                <w:szCs w:val="16"/>
              </w:rPr>
            </w:pPr>
            <w:r w:rsidRPr="00D35EFD">
              <w:rPr>
                <w:rFonts w:ascii="Arial" w:hAnsi="Arial" w:cs="Arial"/>
                <w:i/>
                <w:iCs/>
                <w:sz w:val="16"/>
                <w:szCs w:val="16"/>
              </w:rPr>
              <w:t>N/A</w:t>
            </w:r>
          </w:p>
        </w:tc>
        <w:tc>
          <w:tcPr>
            <w:tcW w:w="850" w:type="dxa"/>
            <w:tcBorders>
              <w:top w:val="nil"/>
              <w:left w:val="nil"/>
              <w:bottom w:val="dotted" w:sz="4" w:space="0" w:color="auto"/>
              <w:right w:val="dotted" w:sz="4" w:space="0" w:color="auto"/>
            </w:tcBorders>
            <w:noWrap/>
            <w:vAlign w:val="center"/>
          </w:tcPr>
          <w:p w:rsidR="00DE341A" w:rsidRPr="00D35EFD" w:rsidRDefault="00DE341A" w:rsidP="008216A0">
            <w:pPr>
              <w:jc w:val="center"/>
              <w:rPr>
                <w:rFonts w:ascii="Arial" w:hAnsi="Arial" w:cs="Arial"/>
                <w:i/>
                <w:iCs/>
                <w:sz w:val="16"/>
                <w:szCs w:val="16"/>
              </w:rPr>
            </w:pPr>
            <w:r w:rsidRPr="00D35EFD">
              <w:rPr>
                <w:rFonts w:ascii="Arial" w:hAnsi="Arial" w:cs="Arial"/>
                <w:i/>
                <w:iCs/>
                <w:sz w:val="16"/>
                <w:szCs w:val="16"/>
              </w:rPr>
              <w:t>N/A</w:t>
            </w:r>
          </w:p>
        </w:tc>
        <w:tc>
          <w:tcPr>
            <w:tcW w:w="496" w:type="dxa"/>
            <w:tcBorders>
              <w:top w:val="nil"/>
              <w:left w:val="nil"/>
              <w:bottom w:val="dotted" w:sz="4" w:space="0" w:color="auto"/>
              <w:right w:val="dotted" w:sz="4" w:space="0" w:color="auto"/>
            </w:tcBorders>
            <w:noWrap/>
            <w:vAlign w:val="center"/>
          </w:tcPr>
          <w:p w:rsidR="00DE341A" w:rsidRPr="00D35EFD" w:rsidRDefault="00DE341A" w:rsidP="008216A0">
            <w:pPr>
              <w:jc w:val="center"/>
              <w:rPr>
                <w:rFonts w:ascii="Arial" w:hAnsi="Arial" w:cs="Arial"/>
                <w:i/>
                <w:iCs/>
                <w:sz w:val="16"/>
                <w:szCs w:val="16"/>
              </w:rPr>
            </w:pPr>
            <w:r w:rsidRPr="00D35EFD">
              <w:rPr>
                <w:rFonts w:ascii="Arial" w:hAnsi="Arial" w:cs="Arial"/>
                <w:i/>
                <w:iCs/>
                <w:sz w:val="16"/>
                <w:szCs w:val="16"/>
              </w:rPr>
              <w:t>N/A</w:t>
            </w:r>
          </w:p>
        </w:tc>
        <w:tc>
          <w:tcPr>
            <w:tcW w:w="496" w:type="dxa"/>
            <w:tcBorders>
              <w:top w:val="nil"/>
              <w:left w:val="nil"/>
              <w:bottom w:val="dotted" w:sz="4" w:space="0" w:color="auto"/>
              <w:right w:val="dotted" w:sz="4" w:space="0" w:color="auto"/>
            </w:tcBorders>
            <w:noWrap/>
            <w:vAlign w:val="center"/>
          </w:tcPr>
          <w:p w:rsidR="00DE341A" w:rsidRPr="00D35EFD" w:rsidRDefault="00DE341A" w:rsidP="008216A0">
            <w:pPr>
              <w:jc w:val="center"/>
              <w:rPr>
                <w:rFonts w:ascii="Arial" w:hAnsi="Arial" w:cs="Arial"/>
                <w:i/>
                <w:iCs/>
                <w:sz w:val="16"/>
                <w:szCs w:val="16"/>
              </w:rPr>
            </w:pPr>
            <w:r w:rsidRPr="00D35EFD">
              <w:rPr>
                <w:rFonts w:ascii="Arial" w:hAnsi="Arial" w:cs="Arial"/>
                <w:i/>
                <w:iCs/>
                <w:sz w:val="16"/>
                <w:szCs w:val="16"/>
              </w:rPr>
              <w:t>N/A</w:t>
            </w:r>
          </w:p>
        </w:tc>
        <w:tc>
          <w:tcPr>
            <w:tcW w:w="709" w:type="dxa"/>
            <w:tcBorders>
              <w:top w:val="nil"/>
              <w:left w:val="nil"/>
              <w:bottom w:val="dotted" w:sz="4" w:space="0" w:color="auto"/>
              <w:right w:val="dotted" w:sz="4" w:space="0" w:color="auto"/>
            </w:tcBorders>
            <w:noWrap/>
            <w:vAlign w:val="center"/>
          </w:tcPr>
          <w:p w:rsidR="00DE341A" w:rsidRPr="00D35EFD" w:rsidRDefault="00DE341A" w:rsidP="008216A0">
            <w:pPr>
              <w:jc w:val="center"/>
              <w:rPr>
                <w:rFonts w:ascii="Arial" w:hAnsi="Arial" w:cs="Arial"/>
                <w:b/>
                <w:bCs/>
                <w:sz w:val="16"/>
                <w:szCs w:val="16"/>
              </w:rPr>
            </w:pPr>
            <w:r w:rsidRPr="00D35EFD">
              <w:rPr>
                <w:rFonts w:ascii="Arial" w:hAnsi="Arial" w:cs="Arial"/>
                <w:b/>
                <w:bCs/>
                <w:sz w:val="16"/>
                <w:szCs w:val="16"/>
              </w:rPr>
              <w:t>100</w:t>
            </w:r>
          </w:p>
        </w:tc>
        <w:tc>
          <w:tcPr>
            <w:tcW w:w="709" w:type="dxa"/>
            <w:tcBorders>
              <w:top w:val="nil"/>
              <w:left w:val="nil"/>
              <w:bottom w:val="dotted" w:sz="4" w:space="0" w:color="auto"/>
              <w:right w:val="dotted" w:sz="4" w:space="0" w:color="auto"/>
            </w:tcBorders>
            <w:noWrap/>
            <w:vAlign w:val="center"/>
          </w:tcPr>
          <w:p w:rsidR="00DE341A" w:rsidRPr="00D35EFD" w:rsidRDefault="00DE341A" w:rsidP="008216A0">
            <w:pPr>
              <w:jc w:val="center"/>
              <w:rPr>
                <w:rFonts w:ascii="Arial" w:hAnsi="Arial" w:cs="Arial"/>
                <w:b/>
                <w:bCs/>
                <w:sz w:val="16"/>
                <w:szCs w:val="16"/>
              </w:rPr>
            </w:pPr>
            <w:r w:rsidRPr="00D35EFD">
              <w:rPr>
                <w:rFonts w:ascii="Arial" w:hAnsi="Arial" w:cs="Arial"/>
                <w:b/>
                <w:bCs/>
                <w:sz w:val="16"/>
                <w:szCs w:val="16"/>
              </w:rPr>
              <w:t>100</w:t>
            </w:r>
          </w:p>
        </w:tc>
        <w:tc>
          <w:tcPr>
            <w:tcW w:w="851" w:type="dxa"/>
            <w:tcBorders>
              <w:top w:val="nil"/>
              <w:left w:val="nil"/>
              <w:bottom w:val="dotted" w:sz="4" w:space="0" w:color="auto"/>
              <w:right w:val="single" w:sz="4" w:space="0" w:color="auto"/>
            </w:tcBorders>
            <w:noWrap/>
            <w:vAlign w:val="center"/>
          </w:tcPr>
          <w:p w:rsidR="00DE341A" w:rsidRPr="00D35EFD" w:rsidRDefault="00DE341A" w:rsidP="008216A0">
            <w:pPr>
              <w:jc w:val="center"/>
              <w:rPr>
                <w:rFonts w:ascii="Arial" w:hAnsi="Arial" w:cs="Arial"/>
                <w:i/>
                <w:iCs/>
                <w:sz w:val="16"/>
                <w:szCs w:val="16"/>
              </w:rPr>
            </w:pPr>
            <w:r>
              <w:rPr>
                <w:rFonts w:ascii="Arial" w:hAnsi="Arial" w:cs="Arial"/>
                <w:i/>
                <w:iCs/>
                <w:sz w:val="16"/>
                <w:szCs w:val="16"/>
              </w:rPr>
              <w:t>118</w:t>
            </w:r>
          </w:p>
        </w:tc>
      </w:tr>
      <w:tr w:rsidR="00A1232F" w:rsidRPr="00D35EFD" w:rsidTr="0039268C">
        <w:trPr>
          <w:trHeight w:val="20"/>
        </w:trPr>
        <w:tc>
          <w:tcPr>
            <w:tcW w:w="1149" w:type="dxa"/>
            <w:vMerge/>
            <w:tcBorders>
              <w:top w:val="single" w:sz="4" w:space="0" w:color="000000"/>
              <w:left w:val="single" w:sz="4" w:space="0" w:color="auto"/>
              <w:bottom w:val="single" w:sz="4" w:space="0" w:color="000000"/>
              <w:right w:val="single" w:sz="4" w:space="0" w:color="auto"/>
            </w:tcBorders>
            <w:shd w:val="clear" w:color="auto" w:fill="EAF1DD"/>
            <w:vAlign w:val="center"/>
          </w:tcPr>
          <w:p w:rsidR="00DE341A" w:rsidRPr="00D35EFD" w:rsidRDefault="00DE341A" w:rsidP="008216A0">
            <w:pPr>
              <w:rPr>
                <w:rFonts w:ascii="Arial" w:hAnsi="Arial" w:cs="Arial"/>
                <w:sz w:val="16"/>
                <w:szCs w:val="16"/>
              </w:rPr>
            </w:pPr>
          </w:p>
        </w:tc>
        <w:tc>
          <w:tcPr>
            <w:tcW w:w="1134" w:type="dxa"/>
            <w:tcBorders>
              <w:top w:val="nil"/>
              <w:left w:val="nil"/>
              <w:bottom w:val="single" w:sz="4" w:space="0" w:color="auto"/>
              <w:right w:val="single" w:sz="4" w:space="0" w:color="auto"/>
            </w:tcBorders>
            <w:shd w:val="clear" w:color="000000" w:fill="auto"/>
            <w:noWrap/>
            <w:vAlign w:val="center"/>
          </w:tcPr>
          <w:p w:rsidR="00DE341A" w:rsidRPr="00D35EFD" w:rsidRDefault="00DE341A" w:rsidP="008216A0">
            <w:pPr>
              <w:rPr>
                <w:rFonts w:ascii="Arial" w:hAnsi="Arial" w:cs="Arial"/>
                <w:sz w:val="16"/>
                <w:szCs w:val="16"/>
              </w:rPr>
            </w:pPr>
            <w:r w:rsidRPr="00D35EFD">
              <w:rPr>
                <w:rFonts w:ascii="Arial" w:hAnsi="Arial" w:cs="Arial"/>
                <w:sz w:val="16"/>
                <w:szCs w:val="16"/>
              </w:rPr>
              <w:t>Východisko</w:t>
            </w:r>
          </w:p>
        </w:tc>
        <w:tc>
          <w:tcPr>
            <w:tcW w:w="496" w:type="dxa"/>
            <w:tcBorders>
              <w:top w:val="nil"/>
              <w:left w:val="nil"/>
              <w:bottom w:val="single" w:sz="4" w:space="0" w:color="auto"/>
              <w:right w:val="dotted" w:sz="4" w:space="0" w:color="auto"/>
            </w:tcBorders>
            <w:noWrap/>
            <w:vAlign w:val="center"/>
          </w:tcPr>
          <w:p w:rsidR="00DE341A" w:rsidRPr="00D35EFD" w:rsidRDefault="00DE341A" w:rsidP="008216A0">
            <w:pPr>
              <w:jc w:val="center"/>
              <w:rPr>
                <w:rFonts w:ascii="Arial" w:hAnsi="Arial" w:cs="Arial"/>
                <w:b/>
                <w:bCs/>
                <w:sz w:val="16"/>
                <w:szCs w:val="16"/>
              </w:rPr>
            </w:pPr>
            <w:r w:rsidRPr="00D35EFD">
              <w:rPr>
                <w:rFonts w:ascii="Arial" w:hAnsi="Arial" w:cs="Arial"/>
                <w:b/>
                <w:bCs/>
                <w:sz w:val="16"/>
                <w:szCs w:val="16"/>
              </w:rPr>
              <w:t>0</w:t>
            </w:r>
          </w:p>
        </w:tc>
        <w:tc>
          <w:tcPr>
            <w:tcW w:w="496" w:type="dxa"/>
            <w:tcBorders>
              <w:top w:val="nil"/>
              <w:left w:val="nil"/>
              <w:bottom w:val="single" w:sz="4" w:space="0" w:color="auto"/>
              <w:right w:val="dotted" w:sz="4" w:space="0" w:color="auto"/>
            </w:tcBorders>
            <w:noWrap/>
            <w:vAlign w:val="center"/>
          </w:tcPr>
          <w:p w:rsidR="00DE341A" w:rsidRPr="00D35EFD" w:rsidRDefault="00DE341A" w:rsidP="008216A0">
            <w:pPr>
              <w:jc w:val="center"/>
              <w:rPr>
                <w:rFonts w:ascii="Arial" w:hAnsi="Arial" w:cs="Arial"/>
                <w:i/>
                <w:iCs/>
                <w:sz w:val="16"/>
                <w:szCs w:val="16"/>
              </w:rPr>
            </w:pPr>
            <w:r w:rsidRPr="00D35EFD">
              <w:rPr>
                <w:rFonts w:ascii="Arial" w:hAnsi="Arial" w:cs="Arial"/>
                <w:i/>
                <w:iCs/>
                <w:sz w:val="16"/>
                <w:szCs w:val="16"/>
              </w:rPr>
              <w:t>N/A</w:t>
            </w:r>
          </w:p>
        </w:tc>
        <w:tc>
          <w:tcPr>
            <w:tcW w:w="709" w:type="dxa"/>
            <w:tcBorders>
              <w:top w:val="nil"/>
              <w:left w:val="nil"/>
              <w:bottom w:val="single" w:sz="4" w:space="0" w:color="auto"/>
              <w:right w:val="dotted" w:sz="4" w:space="0" w:color="auto"/>
            </w:tcBorders>
            <w:noWrap/>
            <w:vAlign w:val="center"/>
          </w:tcPr>
          <w:p w:rsidR="00DE341A" w:rsidRPr="00D35EFD" w:rsidRDefault="00DE341A" w:rsidP="008216A0">
            <w:pPr>
              <w:jc w:val="center"/>
              <w:rPr>
                <w:rFonts w:ascii="Arial" w:hAnsi="Arial" w:cs="Arial"/>
                <w:i/>
                <w:iCs/>
                <w:sz w:val="16"/>
                <w:szCs w:val="16"/>
              </w:rPr>
            </w:pPr>
            <w:r w:rsidRPr="00D35EFD">
              <w:rPr>
                <w:rFonts w:ascii="Arial" w:hAnsi="Arial" w:cs="Arial"/>
                <w:i/>
                <w:iCs/>
                <w:sz w:val="16"/>
                <w:szCs w:val="16"/>
              </w:rPr>
              <w:t>N/A</w:t>
            </w:r>
          </w:p>
        </w:tc>
        <w:tc>
          <w:tcPr>
            <w:tcW w:w="709" w:type="dxa"/>
            <w:tcBorders>
              <w:top w:val="nil"/>
              <w:left w:val="nil"/>
              <w:bottom w:val="single" w:sz="4" w:space="0" w:color="auto"/>
              <w:right w:val="dotted" w:sz="4" w:space="0" w:color="auto"/>
            </w:tcBorders>
            <w:noWrap/>
            <w:vAlign w:val="center"/>
          </w:tcPr>
          <w:p w:rsidR="00DE341A" w:rsidRPr="00D35EFD" w:rsidRDefault="00DE341A" w:rsidP="008216A0">
            <w:pPr>
              <w:jc w:val="center"/>
              <w:rPr>
                <w:rFonts w:ascii="Arial" w:hAnsi="Arial" w:cs="Arial"/>
                <w:i/>
                <w:iCs/>
                <w:sz w:val="16"/>
                <w:szCs w:val="16"/>
              </w:rPr>
            </w:pPr>
            <w:r w:rsidRPr="00D35EFD">
              <w:rPr>
                <w:rFonts w:ascii="Arial" w:hAnsi="Arial" w:cs="Arial"/>
                <w:i/>
                <w:iCs/>
                <w:sz w:val="16"/>
                <w:szCs w:val="16"/>
              </w:rPr>
              <w:t>N/A</w:t>
            </w:r>
          </w:p>
        </w:tc>
        <w:tc>
          <w:tcPr>
            <w:tcW w:w="709" w:type="dxa"/>
            <w:tcBorders>
              <w:top w:val="nil"/>
              <w:left w:val="nil"/>
              <w:bottom w:val="single" w:sz="4" w:space="0" w:color="auto"/>
              <w:right w:val="dotted" w:sz="4" w:space="0" w:color="auto"/>
            </w:tcBorders>
            <w:noWrap/>
            <w:vAlign w:val="center"/>
          </w:tcPr>
          <w:p w:rsidR="00DE341A" w:rsidRPr="00D35EFD" w:rsidRDefault="00DE341A" w:rsidP="008216A0">
            <w:pPr>
              <w:jc w:val="center"/>
              <w:rPr>
                <w:rFonts w:ascii="Arial" w:hAnsi="Arial" w:cs="Arial"/>
                <w:i/>
                <w:iCs/>
                <w:sz w:val="16"/>
                <w:szCs w:val="16"/>
              </w:rPr>
            </w:pPr>
            <w:r w:rsidRPr="00D35EFD">
              <w:rPr>
                <w:rFonts w:ascii="Arial" w:hAnsi="Arial" w:cs="Arial"/>
                <w:i/>
                <w:iCs/>
                <w:sz w:val="16"/>
                <w:szCs w:val="16"/>
              </w:rPr>
              <w:t>N/A</w:t>
            </w:r>
          </w:p>
        </w:tc>
        <w:tc>
          <w:tcPr>
            <w:tcW w:w="850" w:type="dxa"/>
            <w:tcBorders>
              <w:top w:val="nil"/>
              <w:left w:val="nil"/>
              <w:bottom w:val="single" w:sz="4" w:space="0" w:color="auto"/>
              <w:right w:val="dotted" w:sz="4" w:space="0" w:color="auto"/>
            </w:tcBorders>
            <w:noWrap/>
            <w:vAlign w:val="center"/>
          </w:tcPr>
          <w:p w:rsidR="00DE341A" w:rsidRPr="00D35EFD" w:rsidRDefault="00DE341A" w:rsidP="008216A0">
            <w:pPr>
              <w:jc w:val="center"/>
              <w:rPr>
                <w:rFonts w:ascii="Arial" w:hAnsi="Arial" w:cs="Arial"/>
                <w:i/>
                <w:iCs/>
                <w:sz w:val="16"/>
                <w:szCs w:val="16"/>
              </w:rPr>
            </w:pPr>
            <w:r w:rsidRPr="00D35EFD">
              <w:rPr>
                <w:rFonts w:ascii="Arial" w:hAnsi="Arial" w:cs="Arial"/>
                <w:i/>
                <w:iCs/>
                <w:sz w:val="16"/>
                <w:szCs w:val="16"/>
              </w:rPr>
              <w:t>N/A</w:t>
            </w:r>
          </w:p>
        </w:tc>
        <w:tc>
          <w:tcPr>
            <w:tcW w:w="496" w:type="dxa"/>
            <w:tcBorders>
              <w:top w:val="nil"/>
              <w:left w:val="nil"/>
              <w:bottom w:val="single" w:sz="4" w:space="0" w:color="auto"/>
              <w:right w:val="dotted" w:sz="4" w:space="0" w:color="auto"/>
            </w:tcBorders>
            <w:noWrap/>
            <w:vAlign w:val="center"/>
          </w:tcPr>
          <w:p w:rsidR="00DE341A" w:rsidRPr="00D35EFD" w:rsidRDefault="00DE341A" w:rsidP="008216A0">
            <w:pPr>
              <w:jc w:val="center"/>
              <w:rPr>
                <w:rFonts w:ascii="Arial" w:hAnsi="Arial" w:cs="Arial"/>
                <w:i/>
                <w:iCs/>
                <w:sz w:val="16"/>
                <w:szCs w:val="16"/>
              </w:rPr>
            </w:pPr>
            <w:r w:rsidRPr="00D35EFD">
              <w:rPr>
                <w:rFonts w:ascii="Arial" w:hAnsi="Arial" w:cs="Arial"/>
                <w:i/>
                <w:iCs/>
                <w:sz w:val="16"/>
                <w:szCs w:val="16"/>
              </w:rPr>
              <w:t>N/A</w:t>
            </w:r>
          </w:p>
        </w:tc>
        <w:tc>
          <w:tcPr>
            <w:tcW w:w="496" w:type="dxa"/>
            <w:tcBorders>
              <w:top w:val="nil"/>
              <w:left w:val="nil"/>
              <w:bottom w:val="single" w:sz="4" w:space="0" w:color="auto"/>
              <w:right w:val="dotted" w:sz="4" w:space="0" w:color="auto"/>
            </w:tcBorders>
            <w:noWrap/>
            <w:vAlign w:val="center"/>
          </w:tcPr>
          <w:p w:rsidR="00DE341A" w:rsidRPr="00D35EFD" w:rsidRDefault="00DE341A" w:rsidP="008216A0">
            <w:pPr>
              <w:jc w:val="center"/>
              <w:rPr>
                <w:rFonts w:ascii="Arial" w:hAnsi="Arial" w:cs="Arial"/>
                <w:i/>
                <w:iCs/>
                <w:sz w:val="16"/>
                <w:szCs w:val="16"/>
              </w:rPr>
            </w:pPr>
            <w:r w:rsidRPr="00D35EFD">
              <w:rPr>
                <w:rFonts w:ascii="Arial" w:hAnsi="Arial" w:cs="Arial"/>
                <w:i/>
                <w:iCs/>
                <w:sz w:val="16"/>
                <w:szCs w:val="16"/>
              </w:rPr>
              <w:t>N/A</w:t>
            </w:r>
          </w:p>
        </w:tc>
        <w:tc>
          <w:tcPr>
            <w:tcW w:w="709" w:type="dxa"/>
            <w:tcBorders>
              <w:top w:val="nil"/>
              <w:left w:val="nil"/>
              <w:bottom w:val="single" w:sz="4" w:space="0" w:color="auto"/>
              <w:right w:val="dotted" w:sz="4" w:space="0" w:color="auto"/>
            </w:tcBorders>
            <w:noWrap/>
            <w:vAlign w:val="center"/>
          </w:tcPr>
          <w:p w:rsidR="00DE341A" w:rsidRPr="00D35EFD" w:rsidRDefault="00DE341A" w:rsidP="008216A0">
            <w:pPr>
              <w:jc w:val="center"/>
              <w:rPr>
                <w:rFonts w:ascii="Arial" w:hAnsi="Arial" w:cs="Arial"/>
                <w:i/>
                <w:iCs/>
                <w:sz w:val="16"/>
                <w:szCs w:val="16"/>
              </w:rPr>
            </w:pPr>
            <w:r w:rsidRPr="00D35EFD">
              <w:rPr>
                <w:rFonts w:ascii="Arial" w:hAnsi="Arial" w:cs="Arial"/>
                <w:i/>
                <w:iCs/>
                <w:sz w:val="16"/>
                <w:szCs w:val="16"/>
              </w:rPr>
              <w:t>N/A</w:t>
            </w:r>
          </w:p>
        </w:tc>
        <w:tc>
          <w:tcPr>
            <w:tcW w:w="709" w:type="dxa"/>
            <w:tcBorders>
              <w:top w:val="nil"/>
              <w:left w:val="nil"/>
              <w:bottom w:val="single" w:sz="4" w:space="0" w:color="auto"/>
              <w:right w:val="dotted" w:sz="4" w:space="0" w:color="auto"/>
            </w:tcBorders>
            <w:noWrap/>
            <w:vAlign w:val="center"/>
          </w:tcPr>
          <w:p w:rsidR="00DE341A" w:rsidRPr="00D35EFD" w:rsidRDefault="00DE341A" w:rsidP="008216A0">
            <w:pPr>
              <w:jc w:val="center"/>
              <w:rPr>
                <w:rFonts w:ascii="Arial" w:hAnsi="Arial" w:cs="Arial"/>
                <w:b/>
                <w:bCs/>
                <w:sz w:val="16"/>
                <w:szCs w:val="16"/>
              </w:rPr>
            </w:pPr>
            <w:r w:rsidRPr="00D35EFD">
              <w:rPr>
                <w:rFonts w:ascii="Arial" w:hAnsi="Arial" w:cs="Arial"/>
                <w:b/>
                <w:bCs/>
                <w:sz w:val="16"/>
                <w:szCs w:val="16"/>
              </w:rPr>
              <w:t>0</w:t>
            </w:r>
          </w:p>
        </w:tc>
        <w:tc>
          <w:tcPr>
            <w:tcW w:w="851" w:type="dxa"/>
            <w:tcBorders>
              <w:top w:val="nil"/>
              <w:left w:val="nil"/>
              <w:bottom w:val="single" w:sz="4" w:space="0" w:color="auto"/>
              <w:right w:val="single" w:sz="4" w:space="0" w:color="auto"/>
            </w:tcBorders>
            <w:noWrap/>
            <w:vAlign w:val="center"/>
          </w:tcPr>
          <w:p w:rsidR="00DE341A" w:rsidRPr="00D35EFD" w:rsidRDefault="00DE341A" w:rsidP="008216A0">
            <w:pPr>
              <w:jc w:val="center"/>
              <w:rPr>
                <w:rFonts w:ascii="Arial" w:hAnsi="Arial" w:cs="Arial"/>
                <w:sz w:val="16"/>
                <w:szCs w:val="16"/>
              </w:rPr>
            </w:pPr>
          </w:p>
        </w:tc>
      </w:tr>
      <w:tr w:rsidR="00A1232F" w:rsidRPr="00D35EFD" w:rsidTr="0039268C">
        <w:trPr>
          <w:trHeight w:val="20"/>
        </w:trPr>
        <w:tc>
          <w:tcPr>
            <w:tcW w:w="1149" w:type="dxa"/>
            <w:vMerge w:val="restart"/>
            <w:tcBorders>
              <w:top w:val="single" w:sz="4" w:space="0" w:color="000000"/>
              <w:left w:val="single" w:sz="4" w:space="0" w:color="auto"/>
              <w:bottom w:val="single" w:sz="4" w:space="0" w:color="000000"/>
              <w:right w:val="single" w:sz="4" w:space="0" w:color="auto"/>
            </w:tcBorders>
            <w:shd w:val="clear" w:color="auto" w:fill="EAF1DD"/>
            <w:vAlign w:val="center"/>
          </w:tcPr>
          <w:p w:rsidR="00DE341A" w:rsidRPr="00D35EFD" w:rsidRDefault="00DE341A" w:rsidP="008216A0">
            <w:pPr>
              <w:rPr>
                <w:rFonts w:ascii="Arial" w:hAnsi="Arial" w:cs="Arial"/>
                <w:sz w:val="16"/>
                <w:szCs w:val="16"/>
              </w:rPr>
            </w:pPr>
            <w:r w:rsidRPr="00D35EFD">
              <w:rPr>
                <w:rFonts w:ascii="Arial" w:hAnsi="Arial" w:cs="Arial"/>
                <w:sz w:val="16"/>
                <w:szCs w:val="16"/>
              </w:rPr>
              <w:t>Percentuálne zvýšenie zamestnanosti znevýhodnených skupín v dôsledku realizácie projektu [%]</w:t>
            </w:r>
          </w:p>
        </w:tc>
        <w:tc>
          <w:tcPr>
            <w:tcW w:w="1134" w:type="dxa"/>
            <w:tcBorders>
              <w:top w:val="nil"/>
              <w:left w:val="nil"/>
              <w:bottom w:val="dotted" w:sz="4" w:space="0" w:color="auto"/>
              <w:right w:val="single" w:sz="4" w:space="0" w:color="auto"/>
            </w:tcBorders>
            <w:shd w:val="clear" w:color="000000" w:fill="auto"/>
            <w:noWrap/>
            <w:vAlign w:val="center"/>
          </w:tcPr>
          <w:p w:rsidR="00DE341A" w:rsidRPr="00D35EFD" w:rsidRDefault="00DE341A" w:rsidP="008216A0">
            <w:pPr>
              <w:rPr>
                <w:rFonts w:ascii="Arial" w:hAnsi="Arial" w:cs="Arial"/>
                <w:sz w:val="16"/>
                <w:szCs w:val="16"/>
              </w:rPr>
            </w:pPr>
            <w:r w:rsidRPr="00D35EFD">
              <w:rPr>
                <w:rFonts w:ascii="Arial" w:hAnsi="Arial" w:cs="Arial"/>
                <w:sz w:val="16"/>
                <w:szCs w:val="16"/>
              </w:rPr>
              <w:t>Dosiahnutý výsledok</w:t>
            </w:r>
          </w:p>
        </w:tc>
        <w:tc>
          <w:tcPr>
            <w:tcW w:w="496" w:type="dxa"/>
            <w:tcBorders>
              <w:top w:val="nil"/>
              <w:left w:val="nil"/>
              <w:bottom w:val="dotted" w:sz="4" w:space="0" w:color="auto"/>
              <w:right w:val="dotted" w:sz="4" w:space="0" w:color="auto"/>
            </w:tcBorders>
            <w:noWrap/>
            <w:vAlign w:val="center"/>
          </w:tcPr>
          <w:p w:rsidR="00DE341A" w:rsidRPr="00D35EFD" w:rsidRDefault="00DE341A" w:rsidP="008216A0">
            <w:pPr>
              <w:jc w:val="center"/>
              <w:rPr>
                <w:rFonts w:ascii="Arial" w:hAnsi="Arial" w:cs="Arial"/>
                <w:b/>
                <w:bCs/>
                <w:sz w:val="16"/>
                <w:szCs w:val="16"/>
              </w:rPr>
            </w:pPr>
            <w:r w:rsidRPr="00D35EFD">
              <w:rPr>
                <w:rFonts w:ascii="Arial" w:hAnsi="Arial" w:cs="Arial"/>
                <w:b/>
                <w:bCs/>
                <w:sz w:val="16"/>
                <w:szCs w:val="16"/>
              </w:rPr>
              <w:t>0</w:t>
            </w:r>
          </w:p>
        </w:tc>
        <w:tc>
          <w:tcPr>
            <w:tcW w:w="496" w:type="dxa"/>
            <w:tcBorders>
              <w:top w:val="nil"/>
              <w:left w:val="nil"/>
              <w:bottom w:val="dotted" w:sz="4" w:space="0" w:color="auto"/>
              <w:right w:val="dotted" w:sz="4" w:space="0" w:color="auto"/>
            </w:tcBorders>
            <w:noWrap/>
            <w:vAlign w:val="center"/>
          </w:tcPr>
          <w:p w:rsidR="00DE341A" w:rsidRPr="00D35EFD" w:rsidRDefault="00DE341A" w:rsidP="008216A0">
            <w:pPr>
              <w:jc w:val="center"/>
              <w:rPr>
                <w:rFonts w:ascii="Arial" w:hAnsi="Arial" w:cs="Arial"/>
                <w:b/>
                <w:bCs/>
                <w:sz w:val="16"/>
                <w:szCs w:val="16"/>
              </w:rPr>
            </w:pPr>
            <w:r w:rsidRPr="00D35EFD">
              <w:rPr>
                <w:rFonts w:ascii="Arial" w:hAnsi="Arial" w:cs="Arial"/>
                <w:b/>
                <w:bCs/>
                <w:sz w:val="16"/>
                <w:szCs w:val="16"/>
              </w:rPr>
              <w:t>0</w:t>
            </w:r>
          </w:p>
        </w:tc>
        <w:tc>
          <w:tcPr>
            <w:tcW w:w="709" w:type="dxa"/>
            <w:tcBorders>
              <w:top w:val="nil"/>
              <w:left w:val="nil"/>
              <w:bottom w:val="dotted" w:sz="4" w:space="0" w:color="auto"/>
              <w:right w:val="dotted" w:sz="4" w:space="0" w:color="auto"/>
            </w:tcBorders>
            <w:noWrap/>
            <w:vAlign w:val="center"/>
          </w:tcPr>
          <w:p w:rsidR="00DE341A" w:rsidRPr="00D35EFD" w:rsidRDefault="00DE341A" w:rsidP="008216A0">
            <w:pPr>
              <w:jc w:val="center"/>
              <w:rPr>
                <w:rFonts w:ascii="Arial" w:hAnsi="Arial" w:cs="Arial"/>
                <w:b/>
                <w:bCs/>
                <w:sz w:val="16"/>
                <w:szCs w:val="16"/>
              </w:rPr>
            </w:pPr>
            <w:r w:rsidRPr="00D35EFD">
              <w:rPr>
                <w:rFonts w:ascii="Arial" w:hAnsi="Arial" w:cs="Arial"/>
                <w:b/>
                <w:bCs/>
                <w:sz w:val="16"/>
                <w:szCs w:val="16"/>
              </w:rPr>
              <w:t>0</w:t>
            </w:r>
          </w:p>
        </w:tc>
        <w:tc>
          <w:tcPr>
            <w:tcW w:w="709" w:type="dxa"/>
            <w:tcBorders>
              <w:top w:val="nil"/>
              <w:left w:val="nil"/>
              <w:bottom w:val="dotted" w:sz="4" w:space="0" w:color="auto"/>
              <w:right w:val="dotted" w:sz="4" w:space="0" w:color="auto"/>
            </w:tcBorders>
            <w:noWrap/>
            <w:vAlign w:val="center"/>
          </w:tcPr>
          <w:p w:rsidR="00DE341A" w:rsidRPr="00D35EFD" w:rsidRDefault="00DE341A" w:rsidP="008216A0">
            <w:pPr>
              <w:jc w:val="center"/>
              <w:rPr>
                <w:rFonts w:ascii="Arial" w:hAnsi="Arial" w:cs="Arial"/>
                <w:b/>
                <w:bCs/>
                <w:sz w:val="16"/>
                <w:szCs w:val="16"/>
              </w:rPr>
            </w:pPr>
            <w:r w:rsidRPr="00D35EFD">
              <w:rPr>
                <w:rFonts w:ascii="Arial" w:hAnsi="Arial" w:cs="Arial"/>
                <w:b/>
                <w:bCs/>
                <w:sz w:val="16"/>
                <w:szCs w:val="16"/>
              </w:rPr>
              <w:t>5,88</w:t>
            </w:r>
          </w:p>
        </w:tc>
        <w:tc>
          <w:tcPr>
            <w:tcW w:w="709" w:type="dxa"/>
            <w:tcBorders>
              <w:top w:val="nil"/>
              <w:left w:val="nil"/>
              <w:bottom w:val="dotted" w:sz="4" w:space="0" w:color="auto"/>
              <w:right w:val="dotted" w:sz="4" w:space="0" w:color="auto"/>
            </w:tcBorders>
            <w:noWrap/>
            <w:vAlign w:val="center"/>
          </w:tcPr>
          <w:p w:rsidR="00DE341A" w:rsidRPr="00D35EFD" w:rsidRDefault="00DE341A" w:rsidP="008216A0">
            <w:pPr>
              <w:jc w:val="center"/>
              <w:rPr>
                <w:rFonts w:ascii="Arial" w:hAnsi="Arial" w:cs="Arial"/>
                <w:b/>
                <w:bCs/>
                <w:sz w:val="16"/>
                <w:szCs w:val="16"/>
              </w:rPr>
            </w:pPr>
            <w:r w:rsidRPr="00D35EFD">
              <w:rPr>
                <w:rFonts w:ascii="Arial" w:hAnsi="Arial" w:cs="Arial"/>
                <w:b/>
                <w:bCs/>
                <w:sz w:val="16"/>
                <w:szCs w:val="16"/>
              </w:rPr>
              <w:t>0,03</w:t>
            </w:r>
          </w:p>
        </w:tc>
        <w:tc>
          <w:tcPr>
            <w:tcW w:w="850" w:type="dxa"/>
            <w:tcBorders>
              <w:top w:val="nil"/>
              <w:left w:val="nil"/>
              <w:bottom w:val="dotted" w:sz="4" w:space="0" w:color="auto"/>
              <w:right w:val="dotted" w:sz="4" w:space="0" w:color="auto"/>
            </w:tcBorders>
            <w:noWrap/>
            <w:vAlign w:val="center"/>
          </w:tcPr>
          <w:p w:rsidR="00DE341A" w:rsidRPr="0039268C" w:rsidRDefault="00DE341A" w:rsidP="008216A0">
            <w:pPr>
              <w:jc w:val="center"/>
              <w:rPr>
                <w:rFonts w:ascii="Arial" w:hAnsi="Arial" w:cs="Arial"/>
                <w:b/>
                <w:iCs/>
                <w:sz w:val="16"/>
                <w:szCs w:val="16"/>
              </w:rPr>
            </w:pPr>
            <w:r w:rsidRPr="0039268C">
              <w:rPr>
                <w:rFonts w:ascii="Arial" w:hAnsi="Arial" w:cs="Arial"/>
                <w:b/>
                <w:iCs/>
                <w:sz w:val="16"/>
                <w:szCs w:val="16"/>
              </w:rPr>
              <w:t>27,77</w:t>
            </w:r>
          </w:p>
        </w:tc>
        <w:tc>
          <w:tcPr>
            <w:tcW w:w="496" w:type="dxa"/>
            <w:tcBorders>
              <w:top w:val="nil"/>
              <w:left w:val="nil"/>
              <w:bottom w:val="dotted" w:sz="4" w:space="0" w:color="auto"/>
              <w:right w:val="dotted" w:sz="4" w:space="0" w:color="auto"/>
            </w:tcBorders>
            <w:noWrap/>
            <w:vAlign w:val="center"/>
          </w:tcPr>
          <w:p w:rsidR="00DE341A" w:rsidRPr="00D35EFD" w:rsidRDefault="00DE341A" w:rsidP="008216A0">
            <w:pPr>
              <w:jc w:val="center"/>
              <w:rPr>
                <w:rFonts w:ascii="Arial" w:hAnsi="Arial" w:cs="Arial"/>
                <w:i/>
                <w:iCs/>
                <w:sz w:val="16"/>
                <w:szCs w:val="16"/>
              </w:rPr>
            </w:pPr>
            <w:r w:rsidRPr="00D35EFD">
              <w:rPr>
                <w:rFonts w:ascii="Arial" w:hAnsi="Arial" w:cs="Arial"/>
                <w:i/>
                <w:iCs/>
                <w:sz w:val="16"/>
                <w:szCs w:val="16"/>
              </w:rPr>
              <w:t>N/A</w:t>
            </w:r>
          </w:p>
        </w:tc>
        <w:tc>
          <w:tcPr>
            <w:tcW w:w="496" w:type="dxa"/>
            <w:tcBorders>
              <w:top w:val="nil"/>
              <w:left w:val="nil"/>
              <w:bottom w:val="dotted" w:sz="4" w:space="0" w:color="auto"/>
              <w:right w:val="dotted" w:sz="4" w:space="0" w:color="auto"/>
            </w:tcBorders>
            <w:noWrap/>
            <w:vAlign w:val="center"/>
          </w:tcPr>
          <w:p w:rsidR="00DE341A" w:rsidRPr="00D35EFD" w:rsidRDefault="00DE341A" w:rsidP="008216A0">
            <w:pPr>
              <w:jc w:val="center"/>
              <w:rPr>
                <w:rFonts w:ascii="Arial" w:hAnsi="Arial" w:cs="Arial"/>
                <w:i/>
                <w:iCs/>
                <w:sz w:val="16"/>
                <w:szCs w:val="16"/>
              </w:rPr>
            </w:pPr>
            <w:r w:rsidRPr="00D35EFD">
              <w:rPr>
                <w:rFonts w:ascii="Arial" w:hAnsi="Arial" w:cs="Arial"/>
                <w:i/>
                <w:iCs/>
                <w:sz w:val="16"/>
                <w:szCs w:val="16"/>
              </w:rPr>
              <w:t>N/A</w:t>
            </w:r>
          </w:p>
        </w:tc>
        <w:tc>
          <w:tcPr>
            <w:tcW w:w="709" w:type="dxa"/>
            <w:tcBorders>
              <w:top w:val="nil"/>
              <w:left w:val="nil"/>
              <w:bottom w:val="dotted" w:sz="4" w:space="0" w:color="auto"/>
              <w:right w:val="dotted" w:sz="4" w:space="0" w:color="auto"/>
            </w:tcBorders>
            <w:noWrap/>
            <w:vAlign w:val="center"/>
          </w:tcPr>
          <w:p w:rsidR="00DE341A" w:rsidRPr="00D35EFD" w:rsidRDefault="00DE341A" w:rsidP="008216A0">
            <w:pPr>
              <w:jc w:val="center"/>
              <w:rPr>
                <w:rFonts w:ascii="Arial" w:hAnsi="Arial" w:cs="Arial"/>
                <w:i/>
                <w:iCs/>
                <w:sz w:val="16"/>
                <w:szCs w:val="16"/>
              </w:rPr>
            </w:pPr>
            <w:r w:rsidRPr="00D35EFD">
              <w:rPr>
                <w:rFonts w:ascii="Arial" w:hAnsi="Arial" w:cs="Arial"/>
                <w:i/>
                <w:iCs/>
                <w:sz w:val="16"/>
                <w:szCs w:val="16"/>
              </w:rPr>
              <w:t>N/A</w:t>
            </w:r>
          </w:p>
        </w:tc>
        <w:tc>
          <w:tcPr>
            <w:tcW w:w="709" w:type="dxa"/>
            <w:tcBorders>
              <w:top w:val="nil"/>
              <w:left w:val="nil"/>
              <w:bottom w:val="dotted" w:sz="4" w:space="0" w:color="auto"/>
              <w:right w:val="dotted" w:sz="4" w:space="0" w:color="auto"/>
            </w:tcBorders>
            <w:noWrap/>
            <w:vAlign w:val="center"/>
          </w:tcPr>
          <w:p w:rsidR="00DE341A" w:rsidRPr="00D35EFD" w:rsidRDefault="00DE341A" w:rsidP="008216A0">
            <w:pPr>
              <w:jc w:val="center"/>
              <w:rPr>
                <w:rFonts w:ascii="Arial" w:hAnsi="Arial" w:cs="Arial"/>
                <w:b/>
                <w:bCs/>
                <w:sz w:val="16"/>
                <w:szCs w:val="16"/>
              </w:rPr>
            </w:pPr>
            <w:r>
              <w:rPr>
                <w:rFonts w:ascii="Arial" w:hAnsi="Arial" w:cs="Arial"/>
                <w:b/>
                <w:bCs/>
                <w:sz w:val="16"/>
                <w:szCs w:val="16"/>
              </w:rPr>
              <w:t>27,77</w:t>
            </w:r>
          </w:p>
        </w:tc>
        <w:tc>
          <w:tcPr>
            <w:tcW w:w="851" w:type="dxa"/>
            <w:tcBorders>
              <w:top w:val="nil"/>
              <w:left w:val="nil"/>
              <w:bottom w:val="dotted" w:sz="4" w:space="0" w:color="auto"/>
              <w:right w:val="single" w:sz="4" w:space="0" w:color="auto"/>
            </w:tcBorders>
            <w:noWrap/>
            <w:vAlign w:val="center"/>
          </w:tcPr>
          <w:p w:rsidR="00DE341A" w:rsidRPr="00D35EFD" w:rsidRDefault="00DE341A" w:rsidP="008216A0">
            <w:pPr>
              <w:jc w:val="center"/>
              <w:rPr>
                <w:rFonts w:ascii="Arial" w:hAnsi="Arial" w:cs="Arial"/>
                <w:sz w:val="16"/>
                <w:szCs w:val="16"/>
              </w:rPr>
            </w:pPr>
          </w:p>
        </w:tc>
      </w:tr>
      <w:tr w:rsidR="00A1232F" w:rsidRPr="00D35EFD" w:rsidTr="0039268C">
        <w:trPr>
          <w:trHeight w:val="20"/>
        </w:trPr>
        <w:tc>
          <w:tcPr>
            <w:tcW w:w="1149" w:type="dxa"/>
            <w:vMerge/>
            <w:tcBorders>
              <w:top w:val="single" w:sz="4" w:space="0" w:color="000000"/>
              <w:left w:val="single" w:sz="4" w:space="0" w:color="auto"/>
              <w:bottom w:val="single" w:sz="4" w:space="0" w:color="000000"/>
              <w:right w:val="single" w:sz="4" w:space="0" w:color="auto"/>
            </w:tcBorders>
            <w:shd w:val="clear" w:color="auto" w:fill="EAF1DD"/>
            <w:vAlign w:val="center"/>
          </w:tcPr>
          <w:p w:rsidR="00DE341A" w:rsidRPr="00D35EFD" w:rsidRDefault="00DE341A" w:rsidP="008216A0">
            <w:pPr>
              <w:rPr>
                <w:rFonts w:ascii="Arial" w:hAnsi="Arial" w:cs="Arial"/>
                <w:sz w:val="16"/>
                <w:szCs w:val="16"/>
              </w:rPr>
            </w:pPr>
          </w:p>
        </w:tc>
        <w:tc>
          <w:tcPr>
            <w:tcW w:w="1134" w:type="dxa"/>
            <w:tcBorders>
              <w:top w:val="nil"/>
              <w:left w:val="nil"/>
              <w:bottom w:val="dotted" w:sz="4" w:space="0" w:color="auto"/>
              <w:right w:val="single" w:sz="4" w:space="0" w:color="auto"/>
            </w:tcBorders>
            <w:shd w:val="clear" w:color="000000" w:fill="auto"/>
            <w:noWrap/>
            <w:vAlign w:val="center"/>
          </w:tcPr>
          <w:p w:rsidR="00DE341A" w:rsidRPr="00D35EFD" w:rsidRDefault="00DE341A" w:rsidP="008216A0">
            <w:pPr>
              <w:rPr>
                <w:rFonts w:ascii="Arial" w:hAnsi="Arial" w:cs="Arial"/>
                <w:sz w:val="16"/>
                <w:szCs w:val="16"/>
              </w:rPr>
            </w:pPr>
            <w:r w:rsidRPr="00D35EFD">
              <w:rPr>
                <w:rFonts w:ascii="Arial" w:hAnsi="Arial" w:cs="Arial"/>
                <w:sz w:val="16"/>
                <w:szCs w:val="16"/>
              </w:rPr>
              <w:t>Cieľ</w:t>
            </w:r>
          </w:p>
        </w:tc>
        <w:tc>
          <w:tcPr>
            <w:tcW w:w="496" w:type="dxa"/>
            <w:tcBorders>
              <w:top w:val="nil"/>
              <w:left w:val="nil"/>
              <w:bottom w:val="dotted" w:sz="4" w:space="0" w:color="auto"/>
              <w:right w:val="dotted" w:sz="4" w:space="0" w:color="auto"/>
            </w:tcBorders>
            <w:noWrap/>
            <w:vAlign w:val="center"/>
          </w:tcPr>
          <w:p w:rsidR="00DE341A" w:rsidRPr="00D35EFD" w:rsidRDefault="00DE341A" w:rsidP="008216A0">
            <w:pPr>
              <w:jc w:val="center"/>
              <w:rPr>
                <w:rFonts w:ascii="Arial" w:hAnsi="Arial" w:cs="Arial"/>
                <w:i/>
                <w:iCs/>
                <w:sz w:val="16"/>
                <w:szCs w:val="16"/>
              </w:rPr>
            </w:pPr>
            <w:r w:rsidRPr="00D35EFD">
              <w:rPr>
                <w:rFonts w:ascii="Arial" w:hAnsi="Arial" w:cs="Arial"/>
                <w:i/>
                <w:iCs/>
                <w:sz w:val="16"/>
                <w:szCs w:val="16"/>
              </w:rPr>
              <w:t>N/A</w:t>
            </w:r>
          </w:p>
        </w:tc>
        <w:tc>
          <w:tcPr>
            <w:tcW w:w="496" w:type="dxa"/>
            <w:tcBorders>
              <w:top w:val="nil"/>
              <w:left w:val="nil"/>
              <w:bottom w:val="dotted" w:sz="4" w:space="0" w:color="auto"/>
              <w:right w:val="dotted" w:sz="4" w:space="0" w:color="auto"/>
            </w:tcBorders>
            <w:noWrap/>
            <w:vAlign w:val="center"/>
          </w:tcPr>
          <w:p w:rsidR="00DE341A" w:rsidRPr="00D35EFD" w:rsidRDefault="00DE341A" w:rsidP="008216A0">
            <w:pPr>
              <w:jc w:val="center"/>
              <w:rPr>
                <w:rFonts w:ascii="Arial" w:hAnsi="Arial" w:cs="Arial"/>
                <w:i/>
                <w:iCs/>
                <w:sz w:val="16"/>
                <w:szCs w:val="16"/>
              </w:rPr>
            </w:pPr>
            <w:r w:rsidRPr="00D35EFD">
              <w:rPr>
                <w:rFonts w:ascii="Arial" w:hAnsi="Arial" w:cs="Arial"/>
                <w:i/>
                <w:iCs/>
                <w:sz w:val="16"/>
                <w:szCs w:val="16"/>
              </w:rPr>
              <w:t>N/A</w:t>
            </w:r>
          </w:p>
        </w:tc>
        <w:tc>
          <w:tcPr>
            <w:tcW w:w="709" w:type="dxa"/>
            <w:tcBorders>
              <w:top w:val="nil"/>
              <w:left w:val="nil"/>
              <w:bottom w:val="dotted" w:sz="4" w:space="0" w:color="auto"/>
              <w:right w:val="dotted" w:sz="4" w:space="0" w:color="auto"/>
            </w:tcBorders>
            <w:noWrap/>
            <w:vAlign w:val="center"/>
          </w:tcPr>
          <w:p w:rsidR="00DE341A" w:rsidRPr="00D35EFD" w:rsidRDefault="00DE341A" w:rsidP="008216A0">
            <w:pPr>
              <w:jc w:val="center"/>
              <w:rPr>
                <w:rFonts w:ascii="Arial" w:hAnsi="Arial" w:cs="Arial"/>
                <w:i/>
                <w:iCs/>
                <w:sz w:val="16"/>
                <w:szCs w:val="16"/>
              </w:rPr>
            </w:pPr>
            <w:r w:rsidRPr="00D35EFD">
              <w:rPr>
                <w:rFonts w:ascii="Arial" w:hAnsi="Arial" w:cs="Arial"/>
                <w:i/>
                <w:iCs/>
                <w:sz w:val="16"/>
                <w:szCs w:val="16"/>
              </w:rPr>
              <w:t>N/A</w:t>
            </w:r>
          </w:p>
        </w:tc>
        <w:tc>
          <w:tcPr>
            <w:tcW w:w="709" w:type="dxa"/>
            <w:tcBorders>
              <w:top w:val="nil"/>
              <w:left w:val="nil"/>
              <w:bottom w:val="dotted" w:sz="4" w:space="0" w:color="auto"/>
              <w:right w:val="dotted" w:sz="4" w:space="0" w:color="auto"/>
            </w:tcBorders>
            <w:noWrap/>
            <w:vAlign w:val="center"/>
          </w:tcPr>
          <w:p w:rsidR="00DE341A" w:rsidRPr="00D35EFD" w:rsidRDefault="00DE341A" w:rsidP="008216A0">
            <w:pPr>
              <w:jc w:val="center"/>
              <w:rPr>
                <w:rFonts w:ascii="Arial" w:hAnsi="Arial" w:cs="Arial"/>
                <w:i/>
                <w:iCs/>
                <w:sz w:val="16"/>
                <w:szCs w:val="16"/>
              </w:rPr>
            </w:pPr>
            <w:r w:rsidRPr="00D35EFD">
              <w:rPr>
                <w:rFonts w:ascii="Arial" w:hAnsi="Arial" w:cs="Arial"/>
                <w:i/>
                <w:iCs/>
                <w:sz w:val="16"/>
                <w:szCs w:val="16"/>
              </w:rPr>
              <w:t>N/A</w:t>
            </w:r>
          </w:p>
        </w:tc>
        <w:tc>
          <w:tcPr>
            <w:tcW w:w="709" w:type="dxa"/>
            <w:tcBorders>
              <w:top w:val="nil"/>
              <w:left w:val="nil"/>
              <w:bottom w:val="dotted" w:sz="4" w:space="0" w:color="auto"/>
              <w:right w:val="dotted" w:sz="4" w:space="0" w:color="auto"/>
            </w:tcBorders>
            <w:noWrap/>
            <w:vAlign w:val="center"/>
          </w:tcPr>
          <w:p w:rsidR="00DE341A" w:rsidRPr="00D35EFD" w:rsidRDefault="00DE341A" w:rsidP="008216A0">
            <w:pPr>
              <w:jc w:val="center"/>
              <w:rPr>
                <w:rFonts w:ascii="Arial" w:hAnsi="Arial" w:cs="Arial"/>
                <w:i/>
                <w:iCs/>
                <w:sz w:val="16"/>
                <w:szCs w:val="16"/>
              </w:rPr>
            </w:pPr>
            <w:r w:rsidRPr="00D35EFD">
              <w:rPr>
                <w:rFonts w:ascii="Arial" w:hAnsi="Arial" w:cs="Arial"/>
                <w:i/>
                <w:iCs/>
                <w:sz w:val="16"/>
                <w:szCs w:val="16"/>
              </w:rPr>
              <w:t>N/A</w:t>
            </w:r>
          </w:p>
        </w:tc>
        <w:tc>
          <w:tcPr>
            <w:tcW w:w="850" w:type="dxa"/>
            <w:tcBorders>
              <w:top w:val="nil"/>
              <w:left w:val="nil"/>
              <w:bottom w:val="dotted" w:sz="4" w:space="0" w:color="auto"/>
              <w:right w:val="dotted" w:sz="4" w:space="0" w:color="auto"/>
            </w:tcBorders>
            <w:noWrap/>
            <w:vAlign w:val="center"/>
          </w:tcPr>
          <w:p w:rsidR="00DE341A" w:rsidRPr="00D35EFD" w:rsidRDefault="00DE341A" w:rsidP="008216A0">
            <w:pPr>
              <w:jc w:val="center"/>
              <w:rPr>
                <w:rFonts w:ascii="Arial" w:hAnsi="Arial" w:cs="Arial"/>
                <w:i/>
                <w:iCs/>
                <w:sz w:val="16"/>
                <w:szCs w:val="16"/>
              </w:rPr>
            </w:pPr>
            <w:r w:rsidRPr="00D35EFD">
              <w:rPr>
                <w:rFonts w:ascii="Arial" w:hAnsi="Arial" w:cs="Arial"/>
                <w:i/>
                <w:iCs/>
                <w:sz w:val="16"/>
                <w:szCs w:val="16"/>
              </w:rPr>
              <w:t>N/A</w:t>
            </w:r>
          </w:p>
        </w:tc>
        <w:tc>
          <w:tcPr>
            <w:tcW w:w="496" w:type="dxa"/>
            <w:tcBorders>
              <w:top w:val="nil"/>
              <w:left w:val="nil"/>
              <w:bottom w:val="dotted" w:sz="4" w:space="0" w:color="auto"/>
              <w:right w:val="dotted" w:sz="4" w:space="0" w:color="auto"/>
            </w:tcBorders>
            <w:noWrap/>
            <w:vAlign w:val="center"/>
          </w:tcPr>
          <w:p w:rsidR="00DE341A" w:rsidRPr="00D35EFD" w:rsidRDefault="00DE341A" w:rsidP="008216A0">
            <w:pPr>
              <w:jc w:val="center"/>
              <w:rPr>
                <w:rFonts w:ascii="Arial" w:hAnsi="Arial" w:cs="Arial"/>
                <w:i/>
                <w:iCs/>
                <w:sz w:val="16"/>
                <w:szCs w:val="16"/>
              </w:rPr>
            </w:pPr>
            <w:r w:rsidRPr="00D35EFD">
              <w:rPr>
                <w:rFonts w:ascii="Arial" w:hAnsi="Arial" w:cs="Arial"/>
                <w:i/>
                <w:iCs/>
                <w:sz w:val="16"/>
                <w:szCs w:val="16"/>
              </w:rPr>
              <w:t>N/A</w:t>
            </w:r>
          </w:p>
        </w:tc>
        <w:tc>
          <w:tcPr>
            <w:tcW w:w="496" w:type="dxa"/>
            <w:tcBorders>
              <w:top w:val="nil"/>
              <w:left w:val="nil"/>
              <w:bottom w:val="dotted" w:sz="4" w:space="0" w:color="auto"/>
              <w:right w:val="dotted" w:sz="4" w:space="0" w:color="auto"/>
            </w:tcBorders>
            <w:noWrap/>
            <w:vAlign w:val="center"/>
          </w:tcPr>
          <w:p w:rsidR="00DE341A" w:rsidRPr="00D35EFD" w:rsidRDefault="00DE341A" w:rsidP="008216A0">
            <w:pPr>
              <w:jc w:val="center"/>
              <w:rPr>
                <w:rFonts w:ascii="Arial" w:hAnsi="Arial" w:cs="Arial"/>
                <w:i/>
                <w:iCs/>
                <w:sz w:val="16"/>
                <w:szCs w:val="16"/>
              </w:rPr>
            </w:pPr>
            <w:r w:rsidRPr="00D35EFD">
              <w:rPr>
                <w:rFonts w:ascii="Arial" w:hAnsi="Arial" w:cs="Arial"/>
                <w:i/>
                <w:iCs/>
                <w:sz w:val="16"/>
                <w:szCs w:val="16"/>
              </w:rPr>
              <w:t>N/A</w:t>
            </w:r>
          </w:p>
        </w:tc>
        <w:tc>
          <w:tcPr>
            <w:tcW w:w="709" w:type="dxa"/>
            <w:tcBorders>
              <w:top w:val="nil"/>
              <w:left w:val="nil"/>
              <w:bottom w:val="dotted" w:sz="4" w:space="0" w:color="auto"/>
              <w:right w:val="dotted" w:sz="4" w:space="0" w:color="auto"/>
            </w:tcBorders>
            <w:noWrap/>
            <w:vAlign w:val="center"/>
          </w:tcPr>
          <w:p w:rsidR="00DE341A" w:rsidRPr="00D35EFD" w:rsidRDefault="00DE341A" w:rsidP="008216A0">
            <w:pPr>
              <w:jc w:val="center"/>
              <w:rPr>
                <w:rFonts w:ascii="Arial" w:hAnsi="Arial" w:cs="Arial"/>
                <w:b/>
                <w:bCs/>
                <w:sz w:val="16"/>
                <w:szCs w:val="16"/>
              </w:rPr>
            </w:pPr>
            <w:r w:rsidRPr="00D35EFD">
              <w:rPr>
                <w:rFonts w:ascii="Arial" w:hAnsi="Arial" w:cs="Arial"/>
                <w:b/>
                <w:bCs/>
                <w:sz w:val="16"/>
                <w:szCs w:val="16"/>
              </w:rPr>
              <w:t>45</w:t>
            </w:r>
          </w:p>
        </w:tc>
        <w:tc>
          <w:tcPr>
            <w:tcW w:w="709" w:type="dxa"/>
            <w:tcBorders>
              <w:top w:val="nil"/>
              <w:left w:val="nil"/>
              <w:bottom w:val="dotted" w:sz="4" w:space="0" w:color="auto"/>
              <w:right w:val="dotted" w:sz="4" w:space="0" w:color="auto"/>
            </w:tcBorders>
            <w:noWrap/>
            <w:vAlign w:val="center"/>
          </w:tcPr>
          <w:p w:rsidR="00DE341A" w:rsidRPr="00D35EFD" w:rsidRDefault="00DE341A" w:rsidP="008216A0">
            <w:pPr>
              <w:jc w:val="center"/>
              <w:rPr>
                <w:rFonts w:ascii="Arial" w:hAnsi="Arial" w:cs="Arial"/>
                <w:b/>
                <w:bCs/>
                <w:sz w:val="16"/>
                <w:szCs w:val="16"/>
              </w:rPr>
            </w:pPr>
            <w:r w:rsidRPr="00D35EFD">
              <w:rPr>
                <w:rFonts w:ascii="Arial" w:hAnsi="Arial" w:cs="Arial"/>
                <w:b/>
                <w:bCs/>
                <w:sz w:val="16"/>
                <w:szCs w:val="16"/>
              </w:rPr>
              <w:t>45</w:t>
            </w:r>
          </w:p>
        </w:tc>
        <w:tc>
          <w:tcPr>
            <w:tcW w:w="851" w:type="dxa"/>
            <w:tcBorders>
              <w:top w:val="nil"/>
              <w:left w:val="nil"/>
              <w:bottom w:val="dotted" w:sz="4" w:space="0" w:color="auto"/>
              <w:right w:val="single" w:sz="4" w:space="0" w:color="auto"/>
            </w:tcBorders>
            <w:noWrap/>
            <w:vAlign w:val="center"/>
          </w:tcPr>
          <w:p w:rsidR="00DE341A" w:rsidRPr="00D35EFD" w:rsidRDefault="00DE341A" w:rsidP="008216A0">
            <w:pPr>
              <w:jc w:val="center"/>
              <w:rPr>
                <w:rFonts w:ascii="Arial" w:hAnsi="Arial" w:cs="Arial"/>
                <w:i/>
                <w:iCs/>
                <w:sz w:val="16"/>
                <w:szCs w:val="16"/>
              </w:rPr>
            </w:pPr>
            <w:r>
              <w:rPr>
                <w:rFonts w:ascii="Arial" w:hAnsi="Arial" w:cs="Arial"/>
                <w:i/>
                <w:iCs/>
                <w:sz w:val="16"/>
                <w:szCs w:val="16"/>
              </w:rPr>
              <w:t>37,45</w:t>
            </w:r>
            <w:r w:rsidRPr="00D35EFD">
              <w:rPr>
                <w:rFonts w:ascii="Arial" w:hAnsi="Arial" w:cs="Arial"/>
                <w:i/>
                <w:iCs/>
                <w:sz w:val="16"/>
                <w:szCs w:val="16"/>
              </w:rPr>
              <w:t>%</w:t>
            </w:r>
          </w:p>
        </w:tc>
      </w:tr>
      <w:tr w:rsidR="00A1232F" w:rsidRPr="00D35EFD" w:rsidTr="0039268C">
        <w:trPr>
          <w:trHeight w:val="20"/>
        </w:trPr>
        <w:tc>
          <w:tcPr>
            <w:tcW w:w="1149" w:type="dxa"/>
            <w:vMerge/>
            <w:tcBorders>
              <w:top w:val="single" w:sz="4" w:space="0" w:color="000000"/>
              <w:left w:val="single" w:sz="4" w:space="0" w:color="auto"/>
              <w:bottom w:val="single" w:sz="4" w:space="0" w:color="000000"/>
              <w:right w:val="single" w:sz="4" w:space="0" w:color="auto"/>
            </w:tcBorders>
            <w:shd w:val="clear" w:color="auto" w:fill="EAF1DD"/>
            <w:vAlign w:val="center"/>
          </w:tcPr>
          <w:p w:rsidR="00DE341A" w:rsidRPr="00D35EFD" w:rsidRDefault="00DE341A" w:rsidP="008216A0">
            <w:pPr>
              <w:rPr>
                <w:rFonts w:ascii="Arial" w:hAnsi="Arial" w:cs="Arial"/>
                <w:sz w:val="16"/>
                <w:szCs w:val="16"/>
              </w:rPr>
            </w:pPr>
          </w:p>
        </w:tc>
        <w:tc>
          <w:tcPr>
            <w:tcW w:w="1134" w:type="dxa"/>
            <w:tcBorders>
              <w:top w:val="nil"/>
              <w:left w:val="nil"/>
              <w:bottom w:val="single" w:sz="4" w:space="0" w:color="auto"/>
              <w:right w:val="single" w:sz="4" w:space="0" w:color="auto"/>
            </w:tcBorders>
            <w:shd w:val="clear" w:color="000000" w:fill="auto"/>
            <w:noWrap/>
            <w:vAlign w:val="center"/>
          </w:tcPr>
          <w:p w:rsidR="00DE341A" w:rsidRPr="00D35EFD" w:rsidRDefault="00DE341A" w:rsidP="008216A0">
            <w:pPr>
              <w:rPr>
                <w:rFonts w:ascii="Arial" w:hAnsi="Arial" w:cs="Arial"/>
                <w:sz w:val="16"/>
                <w:szCs w:val="16"/>
              </w:rPr>
            </w:pPr>
            <w:r w:rsidRPr="00D35EFD">
              <w:rPr>
                <w:rFonts w:ascii="Arial" w:hAnsi="Arial" w:cs="Arial"/>
                <w:sz w:val="16"/>
                <w:szCs w:val="16"/>
              </w:rPr>
              <w:t>Východisko</w:t>
            </w:r>
          </w:p>
        </w:tc>
        <w:tc>
          <w:tcPr>
            <w:tcW w:w="496" w:type="dxa"/>
            <w:tcBorders>
              <w:top w:val="nil"/>
              <w:left w:val="nil"/>
              <w:bottom w:val="single" w:sz="4" w:space="0" w:color="auto"/>
              <w:right w:val="dotted" w:sz="4" w:space="0" w:color="auto"/>
            </w:tcBorders>
            <w:noWrap/>
            <w:vAlign w:val="center"/>
          </w:tcPr>
          <w:p w:rsidR="00DE341A" w:rsidRPr="00D35EFD" w:rsidRDefault="00DE341A" w:rsidP="008216A0">
            <w:pPr>
              <w:jc w:val="center"/>
              <w:rPr>
                <w:rFonts w:ascii="Arial" w:hAnsi="Arial" w:cs="Arial"/>
                <w:b/>
                <w:bCs/>
                <w:sz w:val="16"/>
                <w:szCs w:val="16"/>
              </w:rPr>
            </w:pPr>
            <w:r w:rsidRPr="00D35EFD">
              <w:rPr>
                <w:rFonts w:ascii="Arial" w:hAnsi="Arial" w:cs="Arial"/>
                <w:b/>
                <w:bCs/>
                <w:sz w:val="16"/>
                <w:szCs w:val="16"/>
              </w:rPr>
              <w:t>0</w:t>
            </w:r>
          </w:p>
        </w:tc>
        <w:tc>
          <w:tcPr>
            <w:tcW w:w="496" w:type="dxa"/>
            <w:tcBorders>
              <w:top w:val="nil"/>
              <w:left w:val="nil"/>
              <w:bottom w:val="single" w:sz="4" w:space="0" w:color="auto"/>
              <w:right w:val="dotted" w:sz="4" w:space="0" w:color="auto"/>
            </w:tcBorders>
            <w:noWrap/>
            <w:vAlign w:val="center"/>
          </w:tcPr>
          <w:p w:rsidR="00DE341A" w:rsidRPr="00D35EFD" w:rsidRDefault="00DE341A" w:rsidP="008216A0">
            <w:pPr>
              <w:jc w:val="center"/>
              <w:rPr>
                <w:rFonts w:ascii="Arial" w:hAnsi="Arial" w:cs="Arial"/>
                <w:i/>
                <w:iCs/>
                <w:sz w:val="16"/>
                <w:szCs w:val="16"/>
              </w:rPr>
            </w:pPr>
            <w:r w:rsidRPr="00D35EFD">
              <w:rPr>
                <w:rFonts w:ascii="Arial" w:hAnsi="Arial" w:cs="Arial"/>
                <w:i/>
                <w:iCs/>
                <w:sz w:val="16"/>
                <w:szCs w:val="16"/>
              </w:rPr>
              <w:t>N/A</w:t>
            </w:r>
          </w:p>
        </w:tc>
        <w:tc>
          <w:tcPr>
            <w:tcW w:w="709" w:type="dxa"/>
            <w:tcBorders>
              <w:top w:val="nil"/>
              <w:left w:val="nil"/>
              <w:bottom w:val="single" w:sz="4" w:space="0" w:color="auto"/>
              <w:right w:val="dotted" w:sz="4" w:space="0" w:color="auto"/>
            </w:tcBorders>
            <w:noWrap/>
            <w:vAlign w:val="center"/>
          </w:tcPr>
          <w:p w:rsidR="00DE341A" w:rsidRPr="00D35EFD" w:rsidRDefault="00DE341A" w:rsidP="008216A0">
            <w:pPr>
              <w:jc w:val="center"/>
              <w:rPr>
                <w:rFonts w:ascii="Arial" w:hAnsi="Arial" w:cs="Arial"/>
                <w:i/>
                <w:iCs/>
                <w:sz w:val="16"/>
                <w:szCs w:val="16"/>
              </w:rPr>
            </w:pPr>
            <w:r w:rsidRPr="00D35EFD">
              <w:rPr>
                <w:rFonts w:ascii="Arial" w:hAnsi="Arial" w:cs="Arial"/>
                <w:i/>
                <w:iCs/>
                <w:sz w:val="16"/>
                <w:szCs w:val="16"/>
              </w:rPr>
              <w:t>N/A</w:t>
            </w:r>
          </w:p>
        </w:tc>
        <w:tc>
          <w:tcPr>
            <w:tcW w:w="709" w:type="dxa"/>
            <w:tcBorders>
              <w:top w:val="nil"/>
              <w:left w:val="nil"/>
              <w:bottom w:val="single" w:sz="4" w:space="0" w:color="auto"/>
              <w:right w:val="dotted" w:sz="4" w:space="0" w:color="auto"/>
            </w:tcBorders>
            <w:noWrap/>
            <w:vAlign w:val="center"/>
          </w:tcPr>
          <w:p w:rsidR="00DE341A" w:rsidRPr="00D35EFD" w:rsidRDefault="00DE341A" w:rsidP="008216A0">
            <w:pPr>
              <w:jc w:val="center"/>
              <w:rPr>
                <w:rFonts w:ascii="Arial" w:hAnsi="Arial" w:cs="Arial"/>
                <w:i/>
                <w:iCs/>
                <w:sz w:val="16"/>
                <w:szCs w:val="16"/>
              </w:rPr>
            </w:pPr>
            <w:r w:rsidRPr="00D35EFD">
              <w:rPr>
                <w:rFonts w:ascii="Arial" w:hAnsi="Arial" w:cs="Arial"/>
                <w:i/>
                <w:iCs/>
                <w:sz w:val="16"/>
                <w:szCs w:val="16"/>
              </w:rPr>
              <w:t>N/A</w:t>
            </w:r>
          </w:p>
        </w:tc>
        <w:tc>
          <w:tcPr>
            <w:tcW w:w="709" w:type="dxa"/>
            <w:tcBorders>
              <w:top w:val="nil"/>
              <w:left w:val="nil"/>
              <w:bottom w:val="single" w:sz="4" w:space="0" w:color="auto"/>
              <w:right w:val="dotted" w:sz="4" w:space="0" w:color="auto"/>
            </w:tcBorders>
            <w:noWrap/>
            <w:vAlign w:val="center"/>
          </w:tcPr>
          <w:p w:rsidR="00DE341A" w:rsidRPr="00D35EFD" w:rsidRDefault="00DE341A" w:rsidP="008216A0">
            <w:pPr>
              <w:jc w:val="center"/>
              <w:rPr>
                <w:rFonts w:ascii="Arial" w:hAnsi="Arial" w:cs="Arial"/>
                <w:i/>
                <w:iCs/>
                <w:sz w:val="16"/>
                <w:szCs w:val="16"/>
              </w:rPr>
            </w:pPr>
            <w:r w:rsidRPr="00D35EFD">
              <w:rPr>
                <w:rFonts w:ascii="Arial" w:hAnsi="Arial" w:cs="Arial"/>
                <w:i/>
                <w:iCs/>
                <w:sz w:val="16"/>
                <w:szCs w:val="16"/>
              </w:rPr>
              <w:t>N/A</w:t>
            </w:r>
          </w:p>
        </w:tc>
        <w:tc>
          <w:tcPr>
            <w:tcW w:w="850" w:type="dxa"/>
            <w:tcBorders>
              <w:top w:val="nil"/>
              <w:left w:val="nil"/>
              <w:bottom w:val="single" w:sz="4" w:space="0" w:color="auto"/>
              <w:right w:val="dotted" w:sz="4" w:space="0" w:color="auto"/>
            </w:tcBorders>
            <w:noWrap/>
            <w:vAlign w:val="center"/>
          </w:tcPr>
          <w:p w:rsidR="00DE341A" w:rsidRPr="00D35EFD" w:rsidRDefault="00DE341A" w:rsidP="008216A0">
            <w:pPr>
              <w:jc w:val="center"/>
              <w:rPr>
                <w:rFonts w:ascii="Arial" w:hAnsi="Arial" w:cs="Arial"/>
                <w:i/>
                <w:iCs/>
                <w:sz w:val="16"/>
                <w:szCs w:val="16"/>
              </w:rPr>
            </w:pPr>
            <w:r w:rsidRPr="00D35EFD">
              <w:rPr>
                <w:rFonts w:ascii="Arial" w:hAnsi="Arial" w:cs="Arial"/>
                <w:i/>
                <w:iCs/>
                <w:sz w:val="16"/>
                <w:szCs w:val="16"/>
              </w:rPr>
              <w:t>N/A</w:t>
            </w:r>
          </w:p>
        </w:tc>
        <w:tc>
          <w:tcPr>
            <w:tcW w:w="496" w:type="dxa"/>
            <w:tcBorders>
              <w:top w:val="nil"/>
              <w:left w:val="nil"/>
              <w:bottom w:val="single" w:sz="4" w:space="0" w:color="auto"/>
              <w:right w:val="dotted" w:sz="4" w:space="0" w:color="auto"/>
            </w:tcBorders>
            <w:noWrap/>
            <w:vAlign w:val="center"/>
          </w:tcPr>
          <w:p w:rsidR="00DE341A" w:rsidRPr="00D35EFD" w:rsidRDefault="00DE341A" w:rsidP="008216A0">
            <w:pPr>
              <w:jc w:val="center"/>
              <w:rPr>
                <w:rFonts w:ascii="Arial" w:hAnsi="Arial" w:cs="Arial"/>
                <w:i/>
                <w:iCs/>
                <w:sz w:val="16"/>
                <w:szCs w:val="16"/>
              </w:rPr>
            </w:pPr>
            <w:r w:rsidRPr="00D35EFD">
              <w:rPr>
                <w:rFonts w:ascii="Arial" w:hAnsi="Arial" w:cs="Arial"/>
                <w:i/>
                <w:iCs/>
                <w:sz w:val="16"/>
                <w:szCs w:val="16"/>
              </w:rPr>
              <w:t>N/A</w:t>
            </w:r>
          </w:p>
        </w:tc>
        <w:tc>
          <w:tcPr>
            <w:tcW w:w="496" w:type="dxa"/>
            <w:tcBorders>
              <w:top w:val="nil"/>
              <w:left w:val="nil"/>
              <w:bottom w:val="single" w:sz="4" w:space="0" w:color="auto"/>
              <w:right w:val="dotted" w:sz="4" w:space="0" w:color="auto"/>
            </w:tcBorders>
            <w:noWrap/>
            <w:vAlign w:val="center"/>
          </w:tcPr>
          <w:p w:rsidR="00DE341A" w:rsidRPr="00D35EFD" w:rsidRDefault="00DE341A" w:rsidP="008216A0">
            <w:pPr>
              <w:jc w:val="center"/>
              <w:rPr>
                <w:rFonts w:ascii="Arial" w:hAnsi="Arial" w:cs="Arial"/>
                <w:i/>
                <w:iCs/>
                <w:sz w:val="16"/>
                <w:szCs w:val="16"/>
              </w:rPr>
            </w:pPr>
            <w:r w:rsidRPr="00D35EFD">
              <w:rPr>
                <w:rFonts w:ascii="Arial" w:hAnsi="Arial" w:cs="Arial"/>
                <w:i/>
                <w:iCs/>
                <w:sz w:val="16"/>
                <w:szCs w:val="16"/>
              </w:rPr>
              <w:t>N/A</w:t>
            </w:r>
          </w:p>
        </w:tc>
        <w:tc>
          <w:tcPr>
            <w:tcW w:w="709" w:type="dxa"/>
            <w:tcBorders>
              <w:top w:val="nil"/>
              <w:left w:val="nil"/>
              <w:bottom w:val="single" w:sz="4" w:space="0" w:color="auto"/>
              <w:right w:val="dotted" w:sz="4" w:space="0" w:color="auto"/>
            </w:tcBorders>
            <w:noWrap/>
            <w:vAlign w:val="center"/>
          </w:tcPr>
          <w:p w:rsidR="00DE341A" w:rsidRPr="00D35EFD" w:rsidRDefault="00DE341A" w:rsidP="008216A0">
            <w:pPr>
              <w:jc w:val="center"/>
              <w:rPr>
                <w:rFonts w:ascii="Arial" w:hAnsi="Arial" w:cs="Arial"/>
                <w:i/>
                <w:iCs/>
                <w:sz w:val="16"/>
                <w:szCs w:val="16"/>
              </w:rPr>
            </w:pPr>
            <w:r w:rsidRPr="00D35EFD">
              <w:rPr>
                <w:rFonts w:ascii="Arial" w:hAnsi="Arial" w:cs="Arial"/>
                <w:i/>
                <w:iCs/>
                <w:sz w:val="16"/>
                <w:szCs w:val="16"/>
              </w:rPr>
              <w:t>N/A</w:t>
            </w:r>
          </w:p>
        </w:tc>
        <w:tc>
          <w:tcPr>
            <w:tcW w:w="709" w:type="dxa"/>
            <w:tcBorders>
              <w:top w:val="nil"/>
              <w:left w:val="nil"/>
              <w:bottom w:val="single" w:sz="4" w:space="0" w:color="auto"/>
              <w:right w:val="dotted" w:sz="4" w:space="0" w:color="auto"/>
            </w:tcBorders>
            <w:noWrap/>
            <w:vAlign w:val="center"/>
          </w:tcPr>
          <w:p w:rsidR="00DE341A" w:rsidRPr="00D35EFD" w:rsidRDefault="00DE341A" w:rsidP="008216A0">
            <w:pPr>
              <w:jc w:val="center"/>
              <w:rPr>
                <w:rFonts w:ascii="Arial" w:hAnsi="Arial" w:cs="Arial"/>
                <w:b/>
                <w:bCs/>
                <w:sz w:val="16"/>
                <w:szCs w:val="16"/>
              </w:rPr>
            </w:pPr>
            <w:r w:rsidRPr="00D35EFD">
              <w:rPr>
                <w:rFonts w:ascii="Arial" w:hAnsi="Arial" w:cs="Arial"/>
                <w:b/>
                <w:bCs/>
                <w:sz w:val="16"/>
                <w:szCs w:val="16"/>
              </w:rPr>
              <w:t>0</w:t>
            </w:r>
          </w:p>
        </w:tc>
        <w:tc>
          <w:tcPr>
            <w:tcW w:w="851" w:type="dxa"/>
            <w:tcBorders>
              <w:top w:val="nil"/>
              <w:left w:val="nil"/>
              <w:bottom w:val="single" w:sz="4" w:space="0" w:color="auto"/>
              <w:right w:val="single" w:sz="4" w:space="0" w:color="auto"/>
            </w:tcBorders>
            <w:noWrap/>
            <w:vAlign w:val="center"/>
          </w:tcPr>
          <w:p w:rsidR="00DE341A" w:rsidRPr="00D35EFD" w:rsidRDefault="00DE341A" w:rsidP="008216A0">
            <w:pPr>
              <w:jc w:val="center"/>
              <w:rPr>
                <w:rFonts w:ascii="Arial" w:hAnsi="Arial" w:cs="Arial"/>
                <w:sz w:val="16"/>
                <w:szCs w:val="16"/>
              </w:rPr>
            </w:pPr>
          </w:p>
        </w:tc>
      </w:tr>
      <w:tr w:rsidR="00A1232F" w:rsidRPr="00D35EFD" w:rsidTr="0039268C">
        <w:trPr>
          <w:trHeight w:val="20"/>
        </w:trPr>
        <w:tc>
          <w:tcPr>
            <w:tcW w:w="1149" w:type="dxa"/>
            <w:vMerge w:val="restart"/>
            <w:tcBorders>
              <w:top w:val="single" w:sz="4" w:space="0" w:color="000000"/>
              <w:left w:val="single" w:sz="4" w:space="0" w:color="auto"/>
              <w:bottom w:val="single" w:sz="4" w:space="0" w:color="000000"/>
              <w:right w:val="single" w:sz="4" w:space="0" w:color="auto"/>
            </w:tcBorders>
            <w:shd w:val="clear" w:color="auto" w:fill="EAF1DD"/>
            <w:vAlign w:val="center"/>
          </w:tcPr>
          <w:p w:rsidR="00DE341A" w:rsidRPr="00D35EFD" w:rsidRDefault="00DE341A" w:rsidP="008216A0">
            <w:pPr>
              <w:rPr>
                <w:rFonts w:ascii="Arial" w:hAnsi="Arial" w:cs="Arial"/>
                <w:sz w:val="16"/>
                <w:szCs w:val="16"/>
              </w:rPr>
            </w:pPr>
            <w:r w:rsidRPr="00D35EFD">
              <w:rPr>
                <w:rFonts w:ascii="Arial" w:hAnsi="Arial" w:cs="Arial"/>
                <w:sz w:val="16"/>
                <w:szCs w:val="16"/>
              </w:rPr>
              <w:t>Počet vytvorených pracovných miest obsadených ženami [počet]</w:t>
            </w:r>
          </w:p>
        </w:tc>
        <w:tc>
          <w:tcPr>
            <w:tcW w:w="1134" w:type="dxa"/>
            <w:tcBorders>
              <w:top w:val="nil"/>
              <w:left w:val="nil"/>
              <w:bottom w:val="dotted" w:sz="4" w:space="0" w:color="auto"/>
              <w:right w:val="single" w:sz="4" w:space="0" w:color="auto"/>
            </w:tcBorders>
            <w:shd w:val="clear" w:color="000000" w:fill="auto"/>
            <w:noWrap/>
            <w:vAlign w:val="center"/>
          </w:tcPr>
          <w:p w:rsidR="00DE341A" w:rsidRPr="00D35EFD" w:rsidRDefault="00DE341A" w:rsidP="008216A0">
            <w:pPr>
              <w:rPr>
                <w:rFonts w:ascii="Arial" w:hAnsi="Arial" w:cs="Arial"/>
                <w:sz w:val="16"/>
                <w:szCs w:val="16"/>
              </w:rPr>
            </w:pPr>
            <w:r w:rsidRPr="00D35EFD">
              <w:rPr>
                <w:rFonts w:ascii="Arial" w:hAnsi="Arial" w:cs="Arial"/>
                <w:sz w:val="16"/>
                <w:szCs w:val="16"/>
              </w:rPr>
              <w:t>Dosiahnutý výsledok</w:t>
            </w:r>
          </w:p>
        </w:tc>
        <w:tc>
          <w:tcPr>
            <w:tcW w:w="496" w:type="dxa"/>
            <w:tcBorders>
              <w:top w:val="nil"/>
              <w:left w:val="nil"/>
              <w:bottom w:val="dotted" w:sz="4" w:space="0" w:color="auto"/>
              <w:right w:val="dotted" w:sz="4" w:space="0" w:color="auto"/>
            </w:tcBorders>
            <w:noWrap/>
            <w:vAlign w:val="center"/>
          </w:tcPr>
          <w:p w:rsidR="00DE341A" w:rsidRPr="00D35EFD" w:rsidRDefault="00DE341A" w:rsidP="008216A0">
            <w:pPr>
              <w:jc w:val="center"/>
              <w:rPr>
                <w:rFonts w:ascii="Arial" w:hAnsi="Arial" w:cs="Arial"/>
                <w:b/>
                <w:bCs/>
                <w:sz w:val="16"/>
                <w:szCs w:val="16"/>
              </w:rPr>
            </w:pPr>
            <w:r w:rsidRPr="00D35EFD">
              <w:rPr>
                <w:rFonts w:ascii="Arial" w:hAnsi="Arial" w:cs="Arial"/>
                <w:b/>
                <w:bCs/>
                <w:sz w:val="16"/>
                <w:szCs w:val="16"/>
              </w:rPr>
              <w:t>0</w:t>
            </w:r>
          </w:p>
        </w:tc>
        <w:tc>
          <w:tcPr>
            <w:tcW w:w="496" w:type="dxa"/>
            <w:tcBorders>
              <w:top w:val="nil"/>
              <w:left w:val="nil"/>
              <w:bottom w:val="dotted" w:sz="4" w:space="0" w:color="auto"/>
              <w:right w:val="dotted" w:sz="4" w:space="0" w:color="auto"/>
            </w:tcBorders>
            <w:noWrap/>
            <w:vAlign w:val="center"/>
          </w:tcPr>
          <w:p w:rsidR="00DE341A" w:rsidRPr="00D35EFD" w:rsidRDefault="00DE341A" w:rsidP="008216A0">
            <w:pPr>
              <w:jc w:val="center"/>
              <w:rPr>
                <w:rFonts w:ascii="Arial" w:hAnsi="Arial" w:cs="Arial"/>
                <w:b/>
                <w:bCs/>
                <w:sz w:val="16"/>
                <w:szCs w:val="16"/>
              </w:rPr>
            </w:pPr>
            <w:r w:rsidRPr="00D35EFD">
              <w:rPr>
                <w:rFonts w:ascii="Arial" w:hAnsi="Arial" w:cs="Arial"/>
                <w:b/>
                <w:bCs/>
                <w:sz w:val="16"/>
                <w:szCs w:val="16"/>
              </w:rPr>
              <w:t>0</w:t>
            </w:r>
          </w:p>
        </w:tc>
        <w:tc>
          <w:tcPr>
            <w:tcW w:w="709" w:type="dxa"/>
            <w:tcBorders>
              <w:top w:val="nil"/>
              <w:left w:val="nil"/>
              <w:bottom w:val="dotted" w:sz="4" w:space="0" w:color="auto"/>
              <w:right w:val="dotted" w:sz="4" w:space="0" w:color="auto"/>
            </w:tcBorders>
            <w:noWrap/>
            <w:vAlign w:val="center"/>
          </w:tcPr>
          <w:p w:rsidR="00DE341A" w:rsidRPr="00D35EFD" w:rsidRDefault="00DE341A" w:rsidP="008216A0">
            <w:pPr>
              <w:jc w:val="center"/>
              <w:rPr>
                <w:rFonts w:ascii="Arial" w:hAnsi="Arial" w:cs="Arial"/>
                <w:b/>
                <w:bCs/>
                <w:sz w:val="16"/>
                <w:szCs w:val="16"/>
              </w:rPr>
            </w:pPr>
            <w:r w:rsidRPr="00D35EFD">
              <w:rPr>
                <w:rFonts w:ascii="Arial" w:hAnsi="Arial" w:cs="Arial"/>
                <w:b/>
                <w:bCs/>
                <w:sz w:val="16"/>
                <w:szCs w:val="16"/>
              </w:rPr>
              <w:t>0</w:t>
            </w:r>
          </w:p>
        </w:tc>
        <w:tc>
          <w:tcPr>
            <w:tcW w:w="709" w:type="dxa"/>
            <w:tcBorders>
              <w:top w:val="nil"/>
              <w:left w:val="nil"/>
              <w:bottom w:val="dotted" w:sz="4" w:space="0" w:color="auto"/>
              <w:right w:val="dotted" w:sz="4" w:space="0" w:color="auto"/>
            </w:tcBorders>
            <w:noWrap/>
            <w:vAlign w:val="center"/>
          </w:tcPr>
          <w:p w:rsidR="00DE341A" w:rsidRPr="00D35EFD" w:rsidRDefault="00DE341A" w:rsidP="008216A0">
            <w:pPr>
              <w:jc w:val="center"/>
              <w:rPr>
                <w:rFonts w:ascii="Arial" w:hAnsi="Arial" w:cs="Arial"/>
                <w:b/>
                <w:bCs/>
                <w:sz w:val="16"/>
                <w:szCs w:val="16"/>
              </w:rPr>
            </w:pPr>
            <w:r w:rsidRPr="00D35EFD">
              <w:rPr>
                <w:rFonts w:ascii="Arial" w:hAnsi="Arial" w:cs="Arial"/>
                <w:b/>
                <w:bCs/>
                <w:sz w:val="16"/>
                <w:szCs w:val="16"/>
              </w:rPr>
              <w:t>3</w:t>
            </w:r>
          </w:p>
        </w:tc>
        <w:tc>
          <w:tcPr>
            <w:tcW w:w="709" w:type="dxa"/>
            <w:tcBorders>
              <w:top w:val="nil"/>
              <w:left w:val="nil"/>
              <w:bottom w:val="dotted" w:sz="4" w:space="0" w:color="auto"/>
              <w:right w:val="dotted" w:sz="4" w:space="0" w:color="auto"/>
            </w:tcBorders>
            <w:noWrap/>
            <w:vAlign w:val="center"/>
          </w:tcPr>
          <w:p w:rsidR="00DE341A" w:rsidRPr="00D35EFD" w:rsidRDefault="00DE341A" w:rsidP="008216A0">
            <w:pPr>
              <w:jc w:val="center"/>
              <w:rPr>
                <w:rFonts w:ascii="Arial" w:hAnsi="Arial" w:cs="Arial"/>
                <w:b/>
                <w:bCs/>
                <w:sz w:val="16"/>
                <w:szCs w:val="16"/>
              </w:rPr>
            </w:pPr>
            <w:r w:rsidRPr="00D35EFD">
              <w:rPr>
                <w:rFonts w:ascii="Arial" w:hAnsi="Arial" w:cs="Arial"/>
                <w:b/>
                <w:bCs/>
                <w:sz w:val="16"/>
                <w:szCs w:val="16"/>
              </w:rPr>
              <w:t>7</w:t>
            </w:r>
          </w:p>
        </w:tc>
        <w:tc>
          <w:tcPr>
            <w:tcW w:w="850" w:type="dxa"/>
            <w:tcBorders>
              <w:top w:val="nil"/>
              <w:left w:val="nil"/>
              <w:bottom w:val="dotted" w:sz="4" w:space="0" w:color="auto"/>
              <w:right w:val="dotted" w:sz="4" w:space="0" w:color="auto"/>
            </w:tcBorders>
            <w:noWrap/>
            <w:vAlign w:val="center"/>
          </w:tcPr>
          <w:p w:rsidR="00DE341A" w:rsidRPr="0039268C" w:rsidRDefault="00DE341A" w:rsidP="008216A0">
            <w:pPr>
              <w:jc w:val="center"/>
              <w:rPr>
                <w:rFonts w:ascii="Arial" w:hAnsi="Arial" w:cs="Arial"/>
                <w:b/>
                <w:iCs/>
                <w:sz w:val="16"/>
                <w:szCs w:val="16"/>
              </w:rPr>
            </w:pPr>
            <w:r w:rsidRPr="0039268C">
              <w:rPr>
                <w:rFonts w:ascii="Arial" w:hAnsi="Arial" w:cs="Arial"/>
                <w:b/>
                <w:iCs/>
                <w:sz w:val="16"/>
                <w:szCs w:val="16"/>
              </w:rPr>
              <w:t>13</w:t>
            </w:r>
          </w:p>
        </w:tc>
        <w:tc>
          <w:tcPr>
            <w:tcW w:w="496" w:type="dxa"/>
            <w:tcBorders>
              <w:top w:val="nil"/>
              <w:left w:val="nil"/>
              <w:bottom w:val="dotted" w:sz="4" w:space="0" w:color="auto"/>
              <w:right w:val="dotted" w:sz="4" w:space="0" w:color="auto"/>
            </w:tcBorders>
            <w:noWrap/>
            <w:vAlign w:val="center"/>
          </w:tcPr>
          <w:p w:rsidR="00DE341A" w:rsidRPr="00D35EFD" w:rsidRDefault="00DE341A" w:rsidP="008216A0">
            <w:pPr>
              <w:jc w:val="center"/>
              <w:rPr>
                <w:rFonts w:ascii="Arial" w:hAnsi="Arial" w:cs="Arial"/>
                <w:i/>
                <w:iCs/>
                <w:sz w:val="16"/>
                <w:szCs w:val="16"/>
              </w:rPr>
            </w:pPr>
            <w:r w:rsidRPr="00D35EFD">
              <w:rPr>
                <w:rFonts w:ascii="Arial" w:hAnsi="Arial" w:cs="Arial"/>
                <w:i/>
                <w:iCs/>
                <w:sz w:val="16"/>
                <w:szCs w:val="16"/>
              </w:rPr>
              <w:t>N/A</w:t>
            </w:r>
          </w:p>
        </w:tc>
        <w:tc>
          <w:tcPr>
            <w:tcW w:w="496" w:type="dxa"/>
            <w:tcBorders>
              <w:top w:val="nil"/>
              <w:left w:val="nil"/>
              <w:bottom w:val="dotted" w:sz="4" w:space="0" w:color="auto"/>
              <w:right w:val="dotted" w:sz="4" w:space="0" w:color="auto"/>
            </w:tcBorders>
            <w:noWrap/>
            <w:vAlign w:val="center"/>
          </w:tcPr>
          <w:p w:rsidR="00DE341A" w:rsidRPr="00D35EFD" w:rsidRDefault="00DE341A" w:rsidP="008216A0">
            <w:pPr>
              <w:jc w:val="center"/>
              <w:rPr>
                <w:rFonts w:ascii="Arial" w:hAnsi="Arial" w:cs="Arial"/>
                <w:i/>
                <w:iCs/>
                <w:sz w:val="16"/>
                <w:szCs w:val="16"/>
              </w:rPr>
            </w:pPr>
            <w:r w:rsidRPr="00D35EFD">
              <w:rPr>
                <w:rFonts w:ascii="Arial" w:hAnsi="Arial" w:cs="Arial"/>
                <w:i/>
                <w:iCs/>
                <w:sz w:val="16"/>
                <w:szCs w:val="16"/>
              </w:rPr>
              <w:t>N/A</w:t>
            </w:r>
          </w:p>
        </w:tc>
        <w:tc>
          <w:tcPr>
            <w:tcW w:w="709" w:type="dxa"/>
            <w:tcBorders>
              <w:top w:val="nil"/>
              <w:left w:val="nil"/>
              <w:bottom w:val="dotted" w:sz="4" w:space="0" w:color="auto"/>
              <w:right w:val="dotted" w:sz="4" w:space="0" w:color="auto"/>
            </w:tcBorders>
            <w:noWrap/>
            <w:vAlign w:val="center"/>
          </w:tcPr>
          <w:p w:rsidR="00DE341A" w:rsidRPr="00D35EFD" w:rsidRDefault="00DE341A" w:rsidP="008216A0">
            <w:pPr>
              <w:jc w:val="center"/>
              <w:rPr>
                <w:rFonts w:ascii="Arial" w:hAnsi="Arial" w:cs="Arial"/>
                <w:i/>
                <w:iCs/>
                <w:sz w:val="16"/>
                <w:szCs w:val="16"/>
              </w:rPr>
            </w:pPr>
            <w:r w:rsidRPr="00D35EFD">
              <w:rPr>
                <w:rFonts w:ascii="Arial" w:hAnsi="Arial" w:cs="Arial"/>
                <w:i/>
                <w:iCs/>
                <w:sz w:val="16"/>
                <w:szCs w:val="16"/>
              </w:rPr>
              <w:t>N/A</w:t>
            </w:r>
          </w:p>
        </w:tc>
        <w:tc>
          <w:tcPr>
            <w:tcW w:w="709" w:type="dxa"/>
            <w:tcBorders>
              <w:top w:val="nil"/>
              <w:left w:val="nil"/>
              <w:bottom w:val="dotted" w:sz="4" w:space="0" w:color="auto"/>
              <w:right w:val="dotted" w:sz="4" w:space="0" w:color="auto"/>
            </w:tcBorders>
            <w:noWrap/>
            <w:vAlign w:val="center"/>
          </w:tcPr>
          <w:p w:rsidR="00DE341A" w:rsidRPr="00D35EFD" w:rsidRDefault="00DE341A" w:rsidP="008216A0">
            <w:pPr>
              <w:jc w:val="center"/>
              <w:rPr>
                <w:rFonts w:ascii="Arial" w:hAnsi="Arial" w:cs="Arial"/>
                <w:b/>
                <w:bCs/>
                <w:sz w:val="16"/>
                <w:szCs w:val="16"/>
              </w:rPr>
            </w:pPr>
            <w:r>
              <w:rPr>
                <w:rFonts w:ascii="Arial" w:hAnsi="Arial" w:cs="Arial"/>
                <w:b/>
                <w:bCs/>
                <w:sz w:val="16"/>
                <w:szCs w:val="16"/>
              </w:rPr>
              <w:t>13</w:t>
            </w:r>
          </w:p>
        </w:tc>
        <w:tc>
          <w:tcPr>
            <w:tcW w:w="851" w:type="dxa"/>
            <w:tcBorders>
              <w:top w:val="nil"/>
              <w:left w:val="nil"/>
              <w:bottom w:val="dotted" w:sz="4" w:space="0" w:color="auto"/>
              <w:right w:val="single" w:sz="4" w:space="0" w:color="auto"/>
            </w:tcBorders>
            <w:noWrap/>
            <w:vAlign w:val="center"/>
          </w:tcPr>
          <w:p w:rsidR="00DE341A" w:rsidRPr="00D35EFD" w:rsidRDefault="00DE341A" w:rsidP="008216A0">
            <w:pPr>
              <w:jc w:val="center"/>
              <w:rPr>
                <w:rFonts w:ascii="Arial" w:hAnsi="Arial" w:cs="Arial"/>
                <w:sz w:val="16"/>
                <w:szCs w:val="16"/>
              </w:rPr>
            </w:pPr>
          </w:p>
        </w:tc>
      </w:tr>
      <w:tr w:rsidR="00A1232F" w:rsidRPr="00D35EFD" w:rsidTr="0039268C">
        <w:trPr>
          <w:trHeight w:val="20"/>
        </w:trPr>
        <w:tc>
          <w:tcPr>
            <w:tcW w:w="1149" w:type="dxa"/>
            <w:vMerge/>
            <w:tcBorders>
              <w:top w:val="single" w:sz="4" w:space="0" w:color="000000"/>
              <w:left w:val="single" w:sz="4" w:space="0" w:color="auto"/>
              <w:bottom w:val="single" w:sz="4" w:space="0" w:color="000000"/>
              <w:right w:val="single" w:sz="4" w:space="0" w:color="auto"/>
            </w:tcBorders>
            <w:shd w:val="clear" w:color="auto" w:fill="EAF1DD"/>
            <w:vAlign w:val="center"/>
          </w:tcPr>
          <w:p w:rsidR="00DE341A" w:rsidRPr="00D35EFD" w:rsidRDefault="00DE341A" w:rsidP="008216A0">
            <w:pPr>
              <w:rPr>
                <w:rFonts w:ascii="Arial" w:hAnsi="Arial" w:cs="Arial"/>
                <w:sz w:val="16"/>
                <w:szCs w:val="16"/>
              </w:rPr>
            </w:pPr>
          </w:p>
        </w:tc>
        <w:tc>
          <w:tcPr>
            <w:tcW w:w="1134" w:type="dxa"/>
            <w:tcBorders>
              <w:top w:val="nil"/>
              <w:left w:val="nil"/>
              <w:bottom w:val="dotted" w:sz="4" w:space="0" w:color="auto"/>
              <w:right w:val="single" w:sz="4" w:space="0" w:color="auto"/>
            </w:tcBorders>
            <w:shd w:val="clear" w:color="000000" w:fill="auto"/>
            <w:noWrap/>
            <w:vAlign w:val="center"/>
          </w:tcPr>
          <w:p w:rsidR="00DE341A" w:rsidRPr="00D35EFD" w:rsidRDefault="00DE341A" w:rsidP="008216A0">
            <w:pPr>
              <w:rPr>
                <w:rFonts w:ascii="Arial" w:hAnsi="Arial" w:cs="Arial"/>
                <w:sz w:val="16"/>
                <w:szCs w:val="16"/>
              </w:rPr>
            </w:pPr>
            <w:r w:rsidRPr="00D35EFD">
              <w:rPr>
                <w:rFonts w:ascii="Arial" w:hAnsi="Arial" w:cs="Arial"/>
                <w:sz w:val="16"/>
                <w:szCs w:val="16"/>
              </w:rPr>
              <w:t>Cieľ</w:t>
            </w:r>
          </w:p>
        </w:tc>
        <w:tc>
          <w:tcPr>
            <w:tcW w:w="496" w:type="dxa"/>
            <w:tcBorders>
              <w:top w:val="nil"/>
              <w:left w:val="nil"/>
              <w:bottom w:val="dotted" w:sz="4" w:space="0" w:color="auto"/>
              <w:right w:val="dotted" w:sz="4" w:space="0" w:color="auto"/>
            </w:tcBorders>
            <w:noWrap/>
            <w:vAlign w:val="center"/>
          </w:tcPr>
          <w:p w:rsidR="00DE341A" w:rsidRPr="00D35EFD" w:rsidRDefault="00DE341A" w:rsidP="008216A0">
            <w:pPr>
              <w:jc w:val="center"/>
              <w:rPr>
                <w:rFonts w:ascii="Arial" w:hAnsi="Arial" w:cs="Arial"/>
                <w:i/>
                <w:iCs/>
                <w:sz w:val="16"/>
                <w:szCs w:val="16"/>
              </w:rPr>
            </w:pPr>
            <w:r w:rsidRPr="00D35EFD">
              <w:rPr>
                <w:rFonts w:ascii="Arial" w:hAnsi="Arial" w:cs="Arial"/>
                <w:i/>
                <w:iCs/>
                <w:sz w:val="16"/>
                <w:szCs w:val="16"/>
              </w:rPr>
              <w:t>N/A</w:t>
            </w:r>
          </w:p>
        </w:tc>
        <w:tc>
          <w:tcPr>
            <w:tcW w:w="496" w:type="dxa"/>
            <w:tcBorders>
              <w:top w:val="nil"/>
              <w:left w:val="nil"/>
              <w:bottom w:val="dotted" w:sz="4" w:space="0" w:color="auto"/>
              <w:right w:val="dotted" w:sz="4" w:space="0" w:color="auto"/>
            </w:tcBorders>
            <w:noWrap/>
            <w:vAlign w:val="center"/>
          </w:tcPr>
          <w:p w:rsidR="00DE341A" w:rsidRPr="00D35EFD" w:rsidRDefault="00DE341A" w:rsidP="008216A0">
            <w:pPr>
              <w:jc w:val="center"/>
              <w:rPr>
                <w:rFonts w:ascii="Arial" w:hAnsi="Arial" w:cs="Arial"/>
                <w:i/>
                <w:iCs/>
                <w:sz w:val="16"/>
                <w:szCs w:val="16"/>
              </w:rPr>
            </w:pPr>
            <w:r w:rsidRPr="00D35EFD">
              <w:rPr>
                <w:rFonts w:ascii="Arial" w:hAnsi="Arial" w:cs="Arial"/>
                <w:i/>
                <w:iCs/>
                <w:sz w:val="16"/>
                <w:szCs w:val="16"/>
              </w:rPr>
              <w:t>N/A</w:t>
            </w:r>
          </w:p>
        </w:tc>
        <w:tc>
          <w:tcPr>
            <w:tcW w:w="709" w:type="dxa"/>
            <w:tcBorders>
              <w:top w:val="nil"/>
              <w:left w:val="nil"/>
              <w:bottom w:val="dotted" w:sz="4" w:space="0" w:color="auto"/>
              <w:right w:val="dotted" w:sz="4" w:space="0" w:color="auto"/>
            </w:tcBorders>
            <w:noWrap/>
            <w:vAlign w:val="center"/>
          </w:tcPr>
          <w:p w:rsidR="00DE341A" w:rsidRPr="00D35EFD" w:rsidRDefault="00DE341A" w:rsidP="008216A0">
            <w:pPr>
              <w:jc w:val="center"/>
              <w:rPr>
                <w:rFonts w:ascii="Arial" w:hAnsi="Arial" w:cs="Arial"/>
                <w:i/>
                <w:iCs/>
                <w:sz w:val="16"/>
                <w:szCs w:val="16"/>
              </w:rPr>
            </w:pPr>
            <w:r w:rsidRPr="00D35EFD">
              <w:rPr>
                <w:rFonts w:ascii="Arial" w:hAnsi="Arial" w:cs="Arial"/>
                <w:i/>
                <w:iCs/>
                <w:sz w:val="16"/>
                <w:szCs w:val="16"/>
              </w:rPr>
              <w:t>N/A</w:t>
            </w:r>
          </w:p>
        </w:tc>
        <w:tc>
          <w:tcPr>
            <w:tcW w:w="709" w:type="dxa"/>
            <w:tcBorders>
              <w:top w:val="nil"/>
              <w:left w:val="nil"/>
              <w:bottom w:val="dotted" w:sz="4" w:space="0" w:color="auto"/>
              <w:right w:val="dotted" w:sz="4" w:space="0" w:color="auto"/>
            </w:tcBorders>
            <w:noWrap/>
            <w:vAlign w:val="center"/>
          </w:tcPr>
          <w:p w:rsidR="00DE341A" w:rsidRPr="00D35EFD" w:rsidRDefault="00DE341A" w:rsidP="008216A0">
            <w:pPr>
              <w:jc w:val="center"/>
              <w:rPr>
                <w:rFonts w:ascii="Arial" w:hAnsi="Arial" w:cs="Arial"/>
                <w:i/>
                <w:iCs/>
                <w:sz w:val="16"/>
                <w:szCs w:val="16"/>
              </w:rPr>
            </w:pPr>
            <w:r w:rsidRPr="00D35EFD">
              <w:rPr>
                <w:rFonts w:ascii="Arial" w:hAnsi="Arial" w:cs="Arial"/>
                <w:i/>
                <w:iCs/>
                <w:sz w:val="16"/>
                <w:szCs w:val="16"/>
              </w:rPr>
              <w:t>N/A</w:t>
            </w:r>
          </w:p>
        </w:tc>
        <w:tc>
          <w:tcPr>
            <w:tcW w:w="709" w:type="dxa"/>
            <w:tcBorders>
              <w:top w:val="nil"/>
              <w:left w:val="nil"/>
              <w:bottom w:val="dotted" w:sz="4" w:space="0" w:color="auto"/>
              <w:right w:val="dotted" w:sz="4" w:space="0" w:color="auto"/>
            </w:tcBorders>
            <w:noWrap/>
            <w:vAlign w:val="center"/>
          </w:tcPr>
          <w:p w:rsidR="00DE341A" w:rsidRPr="00D35EFD" w:rsidRDefault="00DE341A" w:rsidP="008216A0">
            <w:pPr>
              <w:jc w:val="center"/>
              <w:rPr>
                <w:rFonts w:ascii="Arial" w:hAnsi="Arial" w:cs="Arial"/>
                <w:i/>
                <w:iCs/>
                <w:sz w:val="16"/>
                <w:szCs w:val="16"/>
              </w:rPr>
            </w:pPr>
            <w:r w:rsidRPr="00D35EFD">
              <w:rPr>
                <w:rFonts w:ascii="Arial" w:hAnsi="Arial" w:cs="Arial"/>
                <w:i/>
                <w:iCs/>
                <w:sz w:val="16"/>
                <w:szCs w:val="16"/>
              </w:rPr>
              <w:t>N/A</w:t>
            </w:r>
          </w:p>
        </w:tc>
        <w:tc>
          <w:tcPr>
            <w:tcW w:w="850" w:type="dxa"/>
            <w:tcBorders>
              <w:top w:val="nil"/>
              <w:left w:val="nil"/>
              <w:bottom w:val="dotted" w:sz="4" w:space="0" w:color="auto"/>
              <w:right w:val="dotted" w:sz="4" w:space="0" w:color="auto"/>
            </w:tcBorders>
            <w:noWrap/>
            <w:vAlign w:val="center"/>
          </w:tcPr>
          <w:p w:rsidR="00DE341A" w:rsidRPr="00D35EFD" w:rsidRDefault="00DE341A" w:rsidP="008216A0">
            <w:pPr>
              <w:jc w:val="center"/>
              <w:rPr>
                <w:rFonts w:ascii="Arial" w:hAnsi="Arial" w:cs="Arial"/>
                <w:i/>
                <w:iCs/>
                <w:sz w:val="16"/>
                <w:szCs w:val="16"/>
              </w:rPr>
            </w:pPr>
            <w:r w:rsidRPr="00D35EFD">
              <w:rPr>
                <w:rFonts w:ascii="Arial" w:hAnsi="Arial" w:cs="Arial"/>
                <w:i/>
                <w:iCs/>
                <w:sz w:val="16"/>
                <w:szCs w:val="16"/>
              </w:rPr>
              <w:t>N/A</w:t>
            </w:r>
          </w:p>
        </w:tc>
        <w:tc>
          <w:tcPr>
            <w:tcW w:w="496" w:type="dxa"/>
            <w:tcBorders>
              <w:top w:val="nil"/>
              <w:left w:val="nil"/>
              <w:bottom w:val="dotted" w:sz="4" w:space="0" w:color="auto"/>
              <w:right w:val="dotted" w:sz="4" w:space="0" w:color="auto"/>
            </w:tcBorders>
            <w:noWrap/>
            <w:vAlign w:val="center"/>
          </w:tcPr>
          <w:p w:rsidR="00DE341A" w:rsidRPr="00D35EFD" w:rsidRDefault="00DE341A" w:rsidP="008216A0">
            <w:pPr>
              <w:jc w:val="center"/>
              <w:rPr>
                <w:rFonts w:ascii="Arial" w:hAnsi="Arial" w:cs="Arial"/>
                <w:i/>
                <w:iCs/>
                <w:sz w:val="16"/>
                <w:szCs w:val="16"/>
              </w:rPr>
            </w:pPr>
            <w:r w:rsidRPr="00D35EFD">
              <w:rPr>
                <w:rFonts w:ascii="Arial" w:hAnsi="Arial" w:cs="Arial"/>
                <w:i/>
                <w:iCs/>
                <w:sz w:val="16"/>
                <w:szCs w:val="16"/>
              </w:rPr>
              <w:t>N/A</w:t>
            </w:r>
          </w:p>
        </w:tc>
        <w:tc>
          <w:tcPr>
            <w:tcW w:w="496" w:type="dxa"/>
            <w:tcBorders>
              <w:top w:val="nil"/>
              <w:left w:val="nil"/>
              <w:bottom w:val="dotted" w:sz="4" w:space="0" w:color="auto"/>
              <w:right w:val="dotted" w:sz="4" w:space="0" w:color="auto"/>
            </w:tcBorders>
            <w:noWrap/>
            <w:vAlign w:val="center"/>
          </w:tcPr>
          <w:p w:rsidR="00DE341A" w:rsidRPr="00D35EFD" w:rsidRDefault="00DE341A" w:rsidP="008216A0">
            <w:pPr>
              <w:jc w:val="center"/>
              <w:rPr>
                <w:rFonts w:ascii="Arial" w:hAnsi="Arial" w:cs="Arial"/>
                <w:i/>
                <w:iCs/>
                <w:sz w:val="16"/>
                <w:szCs w:val="16"/>
              </w:rPr>
            </w:pPr>
            <w:r w:rsidRPr="00D35EFD">
              <w:rPr>
                <w:rFonts w:ascii="Arial" w:hAnsi="Arial" w:cs="Arial"/>
                <w:i/>
                <w:iCs/>
                <w:sz w:val="16"/>
                <w:szCs w:val="16"/>
              </w:rPr>
              <w:t>N/A</w:t>
            </w:r>
          </w:p>
        </w:tc>
        <w:tc>
          <w:tcPr>
            <w:tcW w:w="709" w:type="dxa"/>
            <w:tcBorders>
              <w:top w:val="nil"/>
              <w:left w:val="nil"/>
              <w:bottom w:val="dotted" w:sz="4" w:space="0" w:color="auto"/>
              <w:right w:val="dotted" w:sz="4" w:space="0" w:color="auto"/>
            </w:tcBorders>
            <w:noWrap/>
            <w:vAlign w:val="center"/>
          </w:tcPr>
          <w:p w:rsidR="00DE341A" w:rsidRPr="00D35EFD" w:rsidRDefault="00DE341A" w:rsidP="008216A0">
            <w:pPr>
              <w:jc w:val="center"/>
              <w:rPr>
                <w:rFonts w:ascii="Arial" w:hAnsi="Arial" w:cs="Arial"/>
                <w:b/>
                <w:bCs/>
                <w:sz w:val="16"/>
                <w:szCs w:val="16"/>
              </w:rPr>
            </w:pPr>
            <w:r w:rsidRPr="00D35EFD">
              <w:rPr>
                <w:rFonts w:ascii="Arial" w:hAnsi="Arial" w:cs="Arial"/>
                <w:b/>
                <w:bCs/>
                <w:sz w:val="16"/>
                <w:szCs w:val="16"/>
              </w:rPr>
              <w:t>50</w:t>
            </w:r>
          </w:p>
        </w:tc>
        <w:tc>
          <w:tcPr>
            <w:tcW w:w="709" w:type="dxa"/>
            <w:tcBorders>
              <w:top w:val="nil"/>
              <w:left w:val="nil"/>
              <w:bottom w:val="dotted" w:sz="4" w:space="0" w:color="auto"/>
              <w:right w:val="dotted" w:sz="4" w:space="0" w:color="auto"/>
            </w:tcBorders>
            <w:noWrap/>
            <w:vAlign w:val="center"/>
          </w:tcPr>
          <w:p w:rsidR="00DE341A" w:rsidRPr="00D35EFD" w:rsidRDefault="00DE341A" w:rsidP="008216A0">
            <w:pPr>
              <w:jc w:val="center"/>
              <w:rPr>
                <w:rFonts w:ascii="Arial" w:hAnsi="Arial" w:cs="Arial"/>
                <w:b/>
                <w:bCs/>
                <w:sz w:val="16"/>
                <w:szCs w:val="16"/>
              </w:rPr>
            </w:pPr>
            <w:r w:rsidRPr="00D35EFD">
              <w:rPr>
                <w:rFonts w:ascii="Arial" w:hAnsi="Arial" w:cs="Arial"/>
                <w:b/>
                <w:bCs/>
                <w:sz w:val="16"/>
                <w:szCs w:val="16"/>
              </w:rPr>
              <w:t>50</w:t>
            </w:r>
          </w:p>
        </w:tc>
        <w:tc>
          <w:tcPr>
            <w:tcW w:w="851" w:type="dxa"/>
            <w:tcBorders>
              <w:top w:val="nil"/>
              <w:left w:val="nil"/>
              <w:bottom w:val="dotted" w:sz="4" w:space="0" w:color="auto"/>
              <w:right w:val="single" w:sz="4" w:space="0" w:color="auto"/>
            </w:tcBorders>
            <w:noWrap/>
            <w:vAlign w:val="center"/>
          </w:tcPr>
          <w:p w:rsidR="00DE341A" w:rsidRPr="00D35EFD" w:rsidRDefault="00DE341A" w:rsidP="008216A0">
            <w:pPr>
              <w:jc w:val="center"/>
              <w:rPr>
                <w:rFonts w:ascii="Arial" w:hAnsi="Arial" w:cs="Arial"/>
                <w:i/>
                <w:iCs/>
                <w:sz w:val="16"/>
                <w:szCs w:val="16"/>
              </w:rPr>
            </w:pPr>
            <w:r>
              <w:rPr>
                <w:rFonts w:ascii="Arial" w:hAnsi="Arial" w:cs="Arial"/>
                <w:i/>
                <w:iCs/>
                <w:sz w:val="16"/>
                <w:szCs w:val="16"/>
              </w:rPr>
              <w:t>51</w:t>
            </w:r>
          </w:p>
        </w:tc>
      </w:tr>
      <w:tr w:rsidR="00A1232F" w:rsidRPr="00D35EFD" w:rsidTr="0039268C">
        <w:trPr>
          <w:trHeight w:val="20"/>
        </w:trPr>
        <w:tc>
          <w:tcPr>
            <w:tcW w:w="1149" w:type="dxa"/>
            <w:vMerge/>
            <w:tcBorders>
              <w:top w:val="single" w:sz="4" w:space="0" w:color="000000"/>
              <w:left w:val="single" w:sz="4" w:space="0" w:color="auto"/>
              <w:bottom w:val="single" w:sz="4" w:space="0" w:color="000000"/>
              <w:right w:val="single" w:sz="4" w:space="0" w:color="auto"/>
            </w:tcBorders>
            <w:shd w:val="clear" w:color="auto" w:fill="EAF1DD"/>
            <w:vAlign w:val="center"/>
          </w:tcPr>
          <w:p w:rsidR="00DE341A" w:rsidRPr="00D35EFD" w:rsidRDefault="00DE341A" w:rsidP="008216A0">
            <w:pPr>
              <w:rPr>
                <w:rFonts w:ascii="Arial" w:hAnsi="Arial" w:cs="Arial"/>
                <w:sz w:val="16"/>
                <w:szCs w:val="16"/>
              </w:rPr>
            </w:pPr>
          </w:p>
        </w:tc>
        <w:tc>
          <w:tcPr>
            <w:tcW w:w="1134" w:type="dxa"/>
            <w:tcBorders>
              <w:top w:val="nil"/>
              <w:left w:val="nil"/>
              <w:bottom w:val="single" w:sz="4" w:space="0" w:color="auto"/>
              <w:right w:val="single" w:sz="4" w:space="0" w:color="auto"/>
            </w:tcBorders>
            <w:shd w:val="clear" w:color="000000" w:fill="auto"/>
            <w:noWrap/>
            <w:vAlign w:val="center"/>
          </w:tcPr>
          <w:p w:rsidR="00DE341A" w:rsidRPr="00D35EFD" w:rsidRDefault="00DE341A" w:rsidP="008216A0">
            <w:pPr>
              <w:rPr>
                <w:rFonts w:ascii="Arial" w:hAnsi="Arial" w:cs="Arial"/>
                <w:sz w:val="16"/>
                <w:szCs w:val="16"/>
              </w:rPr>
            </w:pPr>
            <w:r w:rsidRPr="00D35EFD">
              <w:rPr>
                <w:rFonts w:ascii="Arial" w:hAnsi="Arial" w:cs="Arial"/>
                <w:sz w:val="16"/>
                <w:szCs w:val="16"/>
              </w:rPr>
              <w:t>Východisko</w:t>
            </w:r>
          </w:p>
        </w:tc>
        <w:tc>
          <w:tcPr>
            <w:tcW w:w="496" w:type="dxa"/>
            <w:tcBorders>
              <w:top w:val="nil"/>
              <w:left w:val="nil"/>
              <w:bottom w:val="single" w:sz="4" w:space="0" w:color="auto"/>
              <w:right w:val="dotted" w:sz="4" w:space="0" w:color="auto"/>
            </w:tcBorders>
            <w:noWrap/>
            <w:vAlign w:val="center"/>
          </w:tcPr>
          <w:p w:rsidR="00DE341A" w:rsidRPr="00D35EFD" w:rsidRDefault="00DE341A" w:rsidP="008216A0">
            <w:pPr>
              <w:jc w:val="center"/>
              <w:rPr>
                <w:rFonts w:ascii="Arial" w:hAnsi="Arial" w:cs="Arial"/>
                <w:b/>
                <w:bCs/>
                <w:sz w:val="16"/>
                <w:szCs w:val="16"/>
              </w:rPr>
            </w:pPr>
            <w:r w:rsidRPr="00D35EFD">
              <w:rPr>
                <w:rFonts w:ascii="Arial" w:hAnsi="Arial" w:cs="Arial"/>
                <w:b/>
                <w:bCs/>
                <w:sz w:val="16"/>
                <w:szCs w:val="16"/>
              </w:rPr>
              <w:t>0</w:t>
            </w:r>
          </w:p>
        </w:tc>
        <w:tc>
          <w:tcPr>
            <w:tcW w:w="496" w:type="dxa"/>
            <w:tcBorders>
              <w:top w:val="nil"/>
              <w:left w:val="nil"/>
              <w:bottom w:val="single" w:sz="4" w:space="0" w:color="auto"/>
              <w:right w:val="dotted" w:sz="4" w:space="0" w:color="auto"/>
            </w:tcBorders>
            <w:noWrap/>
            <w:vAlign w:val="center"/>
          </w:tcPr>
          <w:p w:rsidR="00DE341A" w:rsidRPr="00D35EFD" w:rsidRDefault="00DE341A" w:rsidP="008216A0">
            <w:pPr>
              <w:jc w:val="center"/>
              <w:rPr>
                <w:rFonts w:ascii="Arial" w:hAnsi="Arial" w:cs="Arial"/>
                <w:i/>
                <w:iCs/>
                <w:sz w:val="16"/>
                <w:szCs w:val="16"/>
              </w:rPr>
            </w:pPr>
            <w:r w:rsidRPr="00D35EFD">
              <w:rPr>
                <w:rFonts w:ascii="Arial" w:hAnsi="Arial" w:cs="Arial"/>
                <w:i/>
                <w:iCs/>
                <w:sz w:val="16"/>
                <w:szCs w:val="16"/>
              </w:rPr>
              <w:t>N/A</w:t>
            </w:r>
          </w:p>
        </w:tc>
        <w:tc>
          <w:tcPr>
            <w:tcW w:w="709" w:type="dxa"/>
            <w:tcBorders>
              <w:top w:val="nil"/>
              <w:left w:val="nil"/>
              <w:bottom w:val="single" w:sz="4" w:space="0" w:color="auto"/>
              <w:right w:val="dotted" w:sz="4" w:space="0" w:color="auto"/>
            </w:tcBorders>
            <w:noWrap/>
            <w:vAlign w:val="center"/>
          </w:tcPr>
          <w:p w:rsidR="00DE341A" w:rsidRPr="00D35EFD" w:rsidRDefault="00DE341A" w:rsidP="008216A0">
            <w:pPr>
              <w:jc w:val="center"/>
              <w:rPr>
                <w:rFonts w:ascii="Arial" w:hAnsi="Arial" w:cs="Arial"/>
                <w:i/>
                <w:iCs/>
                <w:sz w:val="16"/>
                <w:szCs w:val="16"/>
              </w:rPr>
            </w:pPr>
            <w:r w:rsidRPr="00D35EFD">
              <w:rPr>
                <w:rFonts w:ascii="Arial" w:hAnsi="Arial" w:cs="Arial"/>
                <w:i/>
                <w:iCs/>
                <w:sz w:val="16"/>
                <w:szCs w:val="16"/>
              </w:rPr>
              <w:t>N/A</w:t>
            </w:r>
          </w:p>
        </w:tc>
        <w:tc>
          <w:tcPr>
            <w:tcW w:w="709" w:type="dxa"/>
            <w:tcBorders>
              <w:top w:val="nil"/>
              <w:left w:val="nil"/>
              <w:bottom w:val="single" w:sz="4" w:space="0" w:color="auto"/>
              <w:right w:val="dotted" w:sz="4" w:space="0" w:color="auto"/>
            </w:tcBorders>
            <w:noWrap/>
            <w:vAlign w:val="center"/>
          </w:tcPr>
          <w:p w:rsidR="00DE341A" w:rsidRPr="00D35EFD" w:rsidRDefault="00DE341A" w:rsidP="008216A0">
            <w:pPr>
              <w:jc w:val="center"/>
              <w:rPr>
                <w:rFonts w:ascii="Arial" w:hAnsi="Arial" w:cs="Arial"/>
                <w:i/>
                <w:iCs/>
                <w:sz w:val="16"/>
                <w:szCs w:val="16"/>
              </w:rPr>
            </w:pPr>
            <w:r w:rsidRPr="00D35EFD">
              <w:rPr>
                <w:rFonts w:ascii="Arial" w:hAnsi="Arial" w:cs="Arial"/>
                <w:i/>
                <w:iCs/>
                <w:sz w:val="16"/>
                <w:szCs w:val="16"/>
              </w:rPr>
              <w:t>N/A</w:t>
            </w:r>
          </w:p>
        </w:tc>
        <w:tc>
          <w:tcPr>
            <w:tcW w:w="709" w:type="dxa"/>
            <w:tcBorders>
              <w:top w:val="nil"/>
              <w:left w:val="nil"/>
              <w:bottom w:val="single" w:sz="4" w:space="0" w:color="auto"/>
              <w:right w:val="dotted" w:sz="4" w:space="0" w:color="auto"/>
            </w:tcBorders>
            <w:noWrap/>
            <w:vAlign w:val="center"/>
          </w:tcPr>
          <w:p w:rsidR="00DE341A" w:rsidRPr="00D35EFD" w:rsidRDefault="00DE341A" w:rsidP="008216A0">
            <w:pPr>
              <w:jc w:val="center"/>
              <w:rPr>
                <w:rFonts w:ascii="Arial" w:hAnsi="Arial" w:cs="Arial"/>
                <w:i/>
                <w:iCs/>
                <w:sz w:val="16"/>
                <w:szCs w:val="16"/>
              </w:rPr>
            </w:pPr>
            <w:r w:rsidRPr="00D35EFD">
              <w:rPr>
                <w:rFonts w:ascii="Arial" w:hAnsi="Arial" w:cs="Arial"/>
                <w:i/>
                <w:iCs/>
                <w:sz w:val="16"/>
                <w:szCs w:val="16"/>
              </w:rPr>
              <w:t>N/A</w:t>
            </w:r>
          </w:p>
        </w:tc>
        <w:tc>
          <w:tcPr>
            <w:tcW w:w="850" w:type="dxa"/>
            <w:tcBorders>
              <w:top w:val="nil"/>
              <w:left w:val="nil"/>
              <w:bottom w:val="single" w:sz="4" w:space="0" w:color="auto"/>
              <w:right w:val="dotted" w:sz="4" w:space="0" w:color="auto"/>
            </w:tcBorders>
            <w:noWrap/>
            <w:vAlign w:val="center"/>
          </w:tcPr>
          <w:p w:rsidR="00DE341A" w:rsidRPr="00D35EFD" w:rsidRDefault="00DE341A" w:rsidP="008216A0">
            <w:pPr>
              <w:jc w:val="center"/>
              <w:rPr>
                <w:rFonts w:ascii="Arial" w:hAnsi="Arial" w:cs="Arial"/>
                <w:i/>
                <w:iCs/>
                <w:sz w:val="16"/>
                <w:szCs w:val="16"/>
              </w:rPr>
            </w:pPr>
            <w:r w:rsidRPr="00D35EFD">
              <w:rPr>
                <w:rFonts w:ascii="Arial" w:hAnsi="Arial" w:cs="Arial"/>
                <w:i/>
                <w:iCs/>
                <w:sz w:val="16"/>
                <w:szCs w:val="16"/>
              </w:rPr>
              <w:t>N/A</w:t>
            </w:r>
          </w:p>
        </w:tc>
        <w:tc>
          <w:tcPr>
            <w:tcW w:w="496" w:type="dxa"/>
            <w:tcBorders>
              <w:top w:val="nil"/>
              <w:left w:val="nil"/>
              <w:bottom w:val="single" w:sz="4" w:space="0" w:color="auto"/>
              <w:right w:val="dotted" w:sz="4" w:space="0" w:color="auto"/>
            </w:tcBorders>
            <w:noWrap/>
            <w:vAlign w:val="center"/>
          </w:tcPr>
          <w:p w:rsidR="00DE341A" w:rsidRPr="00D35EFD" w:rsidRDefault="00DE341A" w:rsidP="008216A0">
            <w:pPr>
              <w:jc w:val="center"/>
              <w:rPr>
                <w:rFonts w:ascii="Arial" w:hAnsi="Arial" w:cs="Arial"/>
                <w:i/>
                <w:iCs/>
                <w:sz w:val="16"/>
                <w:szCs w:val="16"/>
              </w:rPr>
            </w:pPr>
            <w:r w:rsidRPr="00D35EFD">
              <w:rPr>
                <w:rFonts w:ascii="Arial" w:hAnsi="Arial" w:cs="Arial"/>
                <w:i/>
                <w:iCs/>
                <w:sz w:val="16"/>
                <w:szCs w:val="16"/>
              </w:rPr>
              <w:t>N/A</w:t>
            </w:r>
          </w:p>
        </w:tc>
        <w:tc>
          <w:tcPr>
            <w:tcW w:w="496" w:type="dxa"/>
            <w:tcBorders>
              <w:top w:val="nil"/>
              <w:left w:val="nil"/>
              <w:bottom w:val="single" w:sz="4" w:space="0" w:color="auto"/>
              <w:right w:val="dotted" w:sz="4" w:space="0" w:color="auto"/>
            </w:tcBorders>
            <w:noWrap/>
            <w:vAlign w:val="center"/>
          </w:tcPr>
          <w:p w:rsidR="00DE341A" w:rsidRPr="00D35EFD" w:rsidRDefault="00DE341A" w:rsidP="008216A0">
            <w:pPr>
              <w:jc w:val="center"/>
              <w:rPr>
                <w:rFonts w:ascii="Arial" w:hAnsi="Arial" w:cs="Arial"/>
                <w:i/>
                <w:iCs/>
                <w:sz w:val="16"/>
                <w:szCs w:val="16"/>
              </w:rPr>
            </w:pPr>
            <w:r w:rsidRPr="00D35EFD">
              <w:rPr>
                <w:rFonts w:ascii="Arial" w:hAnsi="Arial" w:cs="Arial"/>
                <w:i/>
                <w:iCs/>
                <w:sz w:val="16"/>
                <w:szCs w:val="16"/>
              </w:rPr>
              <w:t>N/A</w:t>
            </w:r>
          </w:p>
        </w:tc>
        <w:tc>
          <w:tcPr>
            <w:tcW w:w="709" w:type="dxa"/>
            <w:tcBorders>
              <w:top w:val="nil"/>
              <w:left w:val="nil"/>
              <w:bottom w:val="single" w:sz="4" w:space="0" w:color="auto"/>
              <w:right w:val="dotted" w:sz="4" w:space="0" w:color="auto"/>
            </w:tcBorders>
            <w:noWrap/>
            <w:vAlign w:val="center"/>
          </w:tcPr>
          <w:p w:rsidR="00DE341A" w:rsidRPr="00D35EFD" w:rsidRDefault="00DE341A" w:rsidP="008216A0">
            <w:pPr>
              <w:jc w:val="center"/>
              <w:rPr>
                <w:rFonts w:ascii="Arial" w:hAnsi="Arial" w:cs="Arial"/>
                <w:i/>
                <w:iCs/>
                <w:sz w:val="16"/>
                <w:szCs w:val="16"/>
              </w:rPr>
            </w:pPr>
            <w:r w:rsidRPr="00D35EFD">
              <w:rPr>
                <w:rFonts w:ascii="Arial" w:hAnsi="Arial" w:cs="Arial"/>
                <w:i/>
                <w:iCs/>
                <w:sz w:val="16"/>
                <w:szCs w:val="16"/>
              </w:rPr>
              <w:t>N/A</w:t>
            </w:r>
          </w:p>
        </w:tc>
        <w:tc>
          <w:tcPr>
            <w:tcW w:w="709" w:type="dxa"/>
            <w:tcBorders>
              <w:top w:val="nil"/>
              <w:left w:val="nil"/>
              <w:bottom w:val="single" w:sz="4" w:space="0" w:color="auto"/>
              <w:right w:val="dotted" w:sz="4" w:space="0" w:color="auto"/>
            </w:tcBorders>
            <w:noWrap/>
            <w:vAlign w:val="center"/>
          </w:tcPr>
          <w:p w:rsidR="00DE341A" w:rsidRPr="00D35EFD" w:rsidRDefault="00DE341A" w:rsidP="008216A0">
            <w:pPr>
              <w:jc w:val="center"/>
              <w:rPr>
                <w:rFonts w:ascii="Arial" w:hAnsi="Arial" w:cs="Arial"/>
                <w:b/>
                <w:bCs/>
                <w:sz w:val="16"/>
                <w:szCs w:val="16"/>
              </w:rPr>
            </w:pPr>
            <w:r w:rsidRPr="00D35EFD">
              <w:rPr>
                <w:rFonts w:ascii="Arial" w:hAnsi="Arial" w:cs="Arial"/>
                <w:b/>
                <w:bCs/>
                <w:sz w:val="16"/>
                <w:szCs w:val="16"/>
              </w:rPr>
              <w:t>0</w:t>
            </w:r>
          </w:p>
        </w:tc>
        <w:tc>
          <w:tcPr>
            <w:tcW w:w="851" w:type="dxa"/>
            <w:tcBorders>
              <w:top w:val="nil"/>
              <w:left w:val="nil"/>
              <w:bottom w:val="single" w:sz="4" w:space="0" w:color="auto"/>
              <w:right w:val="single" w:sz="4" w:space="0" w:color="auto"/>
            </w:tcBorders>
            <w:noWrap/>
            <w:vAlign w:val="center"/>
          </w:tcPr>
          <w:p w:rsidR="00DE341A" w:rsidRPr="00D35EFD" w:rsidRDefault="00DE341A" w:rsidP="008216A0">
            <w:pPr>
              <w:jc w:val="center"/>
              <w:rPr>
                <w:rFonts w:ascii="Arial" w:hAnsi="Arial" w:cs="Arial"/>
                <w:sz w:val="16"/>
                <w:szCs w:val="16"/>
              </w:rPr>
            </w:pPr>
          </w:p>
        </w:tc>
      </w:tr>
      <w:tr w:rsidR="00A1232F" w:rsidRPr="00D35EFD" w:rsidTr="0039268C">
        <w:trPr>
          <w:trHeight w:val="20"/>
        </w:trPr>
        <w:tc>
          <w:tcPr>
            <w:tcW w:w="1149" w:type="dxa"/>
            <w:vMerge w:val="restart"/>
            <w:tcBorders>
              <w:top w:val="single" w:sz="4" w:space="0" w:color="000000"/>
              <w:left w:val="single" w:sz="4" w:space="0" w:color="auto"/>
              <w:bottom w:val="single" w:sz="4" w:space="0" w:color="000000"/>
              <w:right w:val="single" w:sz="4" w:space="0" w:color="auto"/>
            </w:tcBorders>
            <w:shd w:val="clear" w:color="auto" w:fill="EAF1DD"/>
            <w:vAlign w:val="center"/>
          </w:tcPr>
          <w:p w:rsidR="00DE341A" w:rsidRPr="00D35EFD" w:rsidRDefault="00DE341A" w:rsidP="008216A0">
            <w:pPr>
              <w:rPr>
                <w:rFonts w:ascii="Arial" w:hAnsi="Arial" w:cs="Arial"/>
                <w:sz w:val="16"/>
                <w:szCs w:val="16"/>
              </w:rPr>
            </w:pPr>
            <w:r w:rsidRPr="00D35EFD">
              <w:rPr>
                <w:rFonts w:ascii="Arial" w:hAnsi="Arial" w:cs="Arial"/>
                <w:sz w:val="16"/>
                <w:szCs w:val="16"/>
              </w:rPr>
              <w:t>Počet vytvorených pracovných miest obsadených mužmi [počet]</w:t>
            </w:r>
          </w:p>
        </w:tc>
        <w:tc>
          <w:tcPr>
            <w:tcW w:w="1134" w:type="dxa"/>
            <w:tcBorders>
              <w:top w:val="nil"/>
              <w:left w:val="nil"/>
              <w:bottom w:val="dotted" w:sz="4" w:space="0" w:color="auto"/>
              <w:right w:val="single" w:sz="4" w:space="0" w:color="auto"/>
            </w:tcBorders>
            <w:shd w:val="clear" w:color="000000" w:fill="auto"/>
            <w:noWrap/>
            <w:vAlign w:val="center"/>
          </w:tcPr>
          <w:p w:rsidR="00DE341A" w:rsidRPr="00D35EFD" w:rsidRDefault="00DE341A" w:rsidP="008216A0">
            <w:pPr>
              <w:rPr>
                <w:rFonts w:ascii="Arial" w:hAnsi="Arial" w:cs="Arial"/>
                <w:sz w:val="16"/>
                <w:szCs w:val="16"/>
              </w:rPr>
            </w:pPr>
            <w:r w:rsidRPr="00D35EFD">
              <w:rPr>
                <w:rFonts w:ascii="Arial" w:hAnsi="Arial" w:cs="Arial"/>
                <w:sz w:val="16"/>
                <w:szCs w:val="16"/>
              </w:rPr>
              <w:t>Dosiahnutý výsledok</w:t>
            </w:r>
          </w:p>
        </w:tc>
        <w:tc>
          <w:tcPr>
            <w:tcW w:w="496" w:type="dxa"/>
            <w:tcBorders>
              <w:top w:val="nil"/>
              <w:left w:val="nil"/>
              <w:bottom w:val="dotted" w:sz="4" w:space="0" w:color="auto"/>
              <w:right w:val="dotted" w:sz="4" w:space="0" w:color="auto"/>
            </w:tcBorders>
            <w:noWrap/>
            <w:vAlign w:val="center"/>
          </w:tcPr>
          <w:p w:rsidR="00DE341A" w:rsidRPr="00D35EFD" w:rsidRDefault="00DE341A" w:rsidP="008216A0">
            <w:pPr>
              <w:jc w:val="center"/>
              <w:rPr>
                <w:rFonts w:ascii="Arial" w:hAnsi="Arial" w:cs="Arial"/>
                <w:b/>
                <w:bCs/>
                <w:sz w:val="16"/>
                <w:szCs w:val="16"/>
              </w:rPr>
            </w:pPr>
            <w:r w:rsidRPr="00D35EFD">
              <w:rPr>
                <w:rFonts w:ascii="Arial" w:hAnsi="Arial" w:cs="Arial"/>
                <w:b/>
                <w:bCs/>
                <w:sz w:val="16"/>
                <w:szCs w:val="16"/>
              </w:rPr>
              <w:t>0</w:t>
            </w:r>
          </w:p>
        </w:tc>
        <w:tc>
          <w:tcPr>
            <w:tcW w:w="496" w:type="dxa"/>
            <w:tcBorders>
              <w:top w:val="nil"/>
              <w:left w:val="nil"/>
              <w:bottom w:val="dotted" w:sz="4" w:space="0" w:color="auto"/>
              <w:right w:val="dotted" w:sz="4" w:space="0" w:color="auto"/>
            </w:tcBorders>
            <w:noWrap/>
            <w:vAlign w:val="center"/>
          </w:tcPr>
          <w:p w:rsidR="00DE341A" w:rsidRPr="00D35EFD" w:rsidRDefault="00DE341A" w:rsidP="008216A0">
            <w:pPr>
              <w:jc w:val="center"/>
              <w:rPr>
                <w:rFonts w:ascii="Arial" w:hAnsi="Arial" w:cs="Arial"/>
                <w:b/>
                <w:bCs/>
                <w:sz w:val="16"/>
                <w:szCs w:val="16"/>
              </w:rPr>
            </w:pPr>
            <w:r w:rsidRPr="00D35EFD">
              <w:rPr>
                <w:rFonts w:ascii="Arial" w:hAnsi="Arial" w:cs="Arial"/>
                <w:b/>
                <w:bCs/>
                <w:sz w:val="16"/>
                <w:szCs w:val="16"/>
              </w:rPr>
              <w:t>0</w:t>
            </w:r>
          </w:p>
        </w:tc>
        <w:tc>
          <w:tcPr>
            <w:tcW w:w="709" w:type="dxa"/>
            <w:tcBorders>
              <w:top w:val="nil"/>
              <w:left w:val="nil"/>
              <w:bottom w:val="dotted" w:sz="4" w:space="0" w:color="auto"/>
              <w:right w:val="dotted" w:sz="4" w:space="0" w:color="auto"/>
            </w:tcBorders>
            <w:noWrap/>
            <w:vAlign w:val="center"/>
          </w:tcPr>
          <w:p w:rsidR="00DE341A" w:rsidRPr="00D35EFD" w:rsidRDefault="00DE341A" w:rsidP="008216A0">
            <w:pPr>
              <w:jc w:val="center"/>
              <w:rPr>
                <w:rFonts w:ascii="Arial" w:hAnsi="Arial" w:cs="Arial"/>
                <w:b/>
                <w:bCs/>
                <w:sz w:val="16"/>
                <w:szCs w:val="16"/>
              </w:rPr>
            </w:pPr>
            <w:r w:rsidRPr="00D35EFD">
              <w:rPr>
                <w:rFonts w:ascii="Arial" w:hAnsi="Arial" w:cs="Arial"/>
                <w:b/>
                <w:bCs/>
                <w:sz w:val="16"/>
                <w:szCs w:val="16"/>
              </w:rPr>
              <w:t>0</w:t>
            </w:r>
          </w:p>
        </w:tc>
        <w:tc>
          <w:tcPr>
            <w:tcW w:w="709" w:type="dxa"/>
            <w:tcBorders>
              <w:top w:val="nil"/>
              <w:left w:val="nil"/>
              <w:bottom w:val="dotted" w:sz="4" w:space="0" w:color="auto"/>
              <w:right w:val="dotted" w:sz="4" w:space="0" w:color="auto"/>
            </w:tcBorders>
            <w:noWrap/>
            <w:vAlign w:val="center"/>
          </w:tcPr>
          <w:p w:rsidR="00DE341A" w:rsidRPr="00D35EFD" w:rsidRDefault="00DE341A" w:rsidP="008216A0">
            <w:pPr>
              <w:jc w:val="center"/>
              <w:rPr>
                <w:rFonts w:ascii="Arial" w:hAnsi="Arial" w:cs="Arial"/>
                <w:b/>
                <w:bCs/>
                <w:sz w:val="16"/>
                <w:szCs w:val="16"/>
              </w:rPr>
            </w:pPr>
            <w:r w:rsidRPr="00D35EFD">
              <w:rPr>
                <w:rFonts w:ascii="Arial" w:hAnsi="Arial" w:cs="Arial"/>
                <w:b/>
                <w:bCs/>
                <w:sz w:val="16"/>
                <w:szCs w:val="16"/>
              </w:rPr>
              <w:t>0</w:t>
            </w:r>
          </w:p>
        </w:tc>
        <w:tc>
          <w:tcPr>
            <w:tcW w:w="709" w:type="dxa"/>
            <w:tcBorders>
              <w:top w:val="nil"/>
              <w:left w:val="nil"/>
              <w:bottom w:val="dotted" w:sz="4" w:space="0" w:color="auto"/>
              <w:right w:val="dotted" w:sz="4" w:space="0" w:color="auto"/>
            </w:tcBorders>
            <w:noWrap/>
            <w:vAlign w:val="center"/>
          </w:tcPr>
          <w:p w:rsidR="00DE341A" w:rsidRPr="00D35EFD" w:rsidRDefault="00DE341A" w:rsidP="008216A0">
            <w:pPr>
              <w:jc w:val="center"/>
              <w:rPr>
                <w:rFonts w:ascii="Arial" w:hAnsi="Arial" w:cs="Arial"/>
                <w:b/>
                <w:bCs/>
                <w:sz w:val="16"/>
                <w:szCs w:val="16"/>
              </w:rPr>
            </w:pPr>
            <w:r w:rsidRPr="00D35EFD">
              <w:rPr>
                <w:rFonts w:ascii="Arial" w:hAnsi="Arial" w:cs="Arial"/>
                <w:b/>
                <w:bCs/>
                <w:sz w:val="16"/>
                <w:szCs w:val="16"/>
              </w:rPr>
              <w:t>0</w:t>
            </w:r>
          </w:p>
        </w:tc>
        <w:tc>
          <w:tcPr>
            <w:tcW w:w="850" w:type="dxa"/>
            <w:tcBorders>
              <w:top w:val="nil"/>
              <w:left w:val="nil"/>
              <w:bottom w:val="dotted" w:sz="4" w:space="0" w:color="auto"/>
              <w:right w:val="dotted" w:sz="4" w:space="0" w:color="auto"/>
            </w:tcBorders>
            <w:noWrap/>
            <w:vAlign w:val="center"/>
          </w:tcPr>
          <w:p w:rsidR="00DE341A" w:rsidRPr="0039268C" w:rsidRDefault="00A1232F" w:rsidP="008216A0">
            <w:pPr>
              <w:jc w:val="center"/>
              <w:rPr>
                <w:rFonts w:ascii="Arial" w:hAnsi="Arial" w:cs="Arial"/>
                <w:b/>
                <w:iCs/>
                <w:sz w:val="16"/>
                <w:szCs w:val="16"/>
              </w:rPr>
            </w:pPr>
            <w:r w:rsidRPr="0039268C">
              <w:rPr>
                <w:rFonts w:ascii="Arial" w:hAnsi="Arial" w:cs="Arial"/>
                <w:b/>
                <w:iCs/>
                <w:sz w:val="16"/>
                <w:szCs w:val="16"/>
              </w:rPr>
              <w:t>0</w:t>
            </w:r>
          </w:p>
        </w:tc>
        <w:tc>
          <w:tcPr>
            <w:tcW w:w="496" w:type="dxa"/>
            <w:tcBorders>
              <w:top w:val="nil"/>
              <w:left w:val="nil"/>
              <w:bottom w:val="dotted" w:sz="4" w:space="0" w:color="auto"/>
              <w:right w:val="dotted" w:sz="4" w:space="0" w:color="auto"/>
            </w:tcBorders>
            <w:noWrap/>
            <w:vAlign w:val="center"/>
          </w:tcPr>
          <w:p w:rsidR="00DE341A" w:rsidRPr="00D35EFD" w:rsidRDefault="00DE341A" w:rsidP="008216A0">
            <w:pPr>
              <w:jc w:val="center"/>
              <w:rPr>
                <w:rFonts w:ascii="Arial" w:hAnsi="Arial" w:cs="Arial"/>
                <w:i/>
                <w:iCs/>
                <w:sz w:val="16"/>
                <w:szCs w:val="16"/>
              </w:rPr>
            </w:pPr>
            <w:r w:rsidRPr="00D35EFD">
              <w:rPr>
                <w:rFonts w:ascii="Arial" w:hAnsi="Arial" w:cs="Arial"/>
                <w:i/>
                <w:iCs/>
                <w:sz w:val="16"/>
                <w:szCs w:val="16"/>
              </w:rPr>
              <w:t>N/A</w:t>
            </w:r>
          </w:p>
        </w:tc>
        <w:tc>
          <w:tcPr>
            <w:tcW w:w="496" w:type="dxa"/>
            <w:tcBorders>
              <w:top w:val="nil"/>
              <w:left w:val="nil"/>
              <w:bottom w:val="dotted" w:sz="4" w:space="0" w:color="auto"/>
              <w:right w:val="dotted" w:sz="4" w:space="0" w:color="auto"/>
            </w:tcBorders>
            <w:noWrap/>
            <w:vAlign w:val="center"/>
          </w:tcPr>
          <w:p w:rsidR="00DE341A" w:rsidRPr="00D35EFD" w:rsidRDefault="00DE341A" w:rsidP="008216A0">
            <w:pPr>
              <w:jc w:val="center"/>
              <w:rPr>
                <w:rFonts w:ascii="Arial" w:hAnsi="Arial" w:cs="Arial"/>
                <w:i/>
                <w:iCs/>
                <w:sz w:val="16"/>
                <w:szCs w:val="16"/>
              </w:rPr>
            </w:pPr>
            <w:r w:rsidRPr="00D35EFD">
              <w:rPr>
                <w:rFonts w:ascii="Arial" w:hAnsi="Arial" w:cs="Arial"/>
                <w:i/>
                <w:iCs/>
                <w:sz w:val="16"/>
                <w:szCs w:val="16"/>
              </w:rPr>
              <w:t>N/A</w:t>
            </w:r>
          </w:p>
        </w:tc>
        <w:tc>
          <w:tcPr>
            <w:tcW w:w="709" w:type="dxa"/>
            <w:tcBorders>
              <w:top w:val="nil"/>
              <w:left w:val="nil"/>
              <w:bottom w:val="dotted" w:sz="4" w:space="0" w:color="auto"/>
              <w:right w:val="dotted" w:sz="4" w:space="0" w:color="auto"/>
            </w:tcBorders>
            <w:noWrap/>
            <w:vAlign w:val="center"/>
          </w:tcPr>
          <w:p w:rsidR="00DE341A" w:rsidRPr="00D35EFD" w:rsidRDefault="00DE341A" w:rsidP="008216A0">
            <w:pPr>
              <w:jc w:val="center"/>
              <w:rPr>
                <w:rFonts w:ascii="Arial" w:hAnsi="Arial" w:cs="Arial"/>
                <w:i/>
                <w:iCs/>
                <w:sz w:val="16"/>
                <w:szCs w:val="16"/>
              </w:rPr>
            </w:pPr>
            <w:r w:rsidRPr="00D35EFD">
              <w:rPr>
                <w:rFonts w:ascii="Arial" w:hAnsi="Arial" w:cs="Arial"/>
                <w:i/>
                <w:iCs/>
                <w:sz w:val="16"/>
                <w:szCs w:val="16"/>
              </w:rPr>
              <w:t>N/A</w:t>
            </w:r>
          </w:p>
        </w:tc>
        <w:tc>
          <w:tcPr>
            <w:tcW w:w="709" w:type="dxa"/>
            <w:tcBorders>
              <w:top w:val="nil"/>
              <w:left w:val="nil"/>
              <w:bottom w:val="dotted" w:sz="4" w:space="0" w:color="auto"/>
              <w:right w:val="dotted" w:sz="4" w:space="0" w:color="auto"/>
            </w:tcBorders>
            <w:noWrap/>
            <w:vAlign w:val="center"/>
          </w:tcPr>
          <w:p w:rsidR="00DE341A" w:rsidRPr="00D35EFD" w:rsidRDefault="00DE341A" w:rsidP="008216A0">
            <w:pPr>
              <w:jc w:val="center"/>
              <w:rPr>
                <w:rFonts w:ascii="Arial" w:hAnsi="Arial" w:cs="Arial"/>
                <w:b/>
                <w:bCs/>
                <w:sz w:val="16"/>
                <w:szCs w:val="16"/>
              </w:rPr>
            </w:pPr>
            <w:r w:rsidRPr="00D35EFD">
              <w:rPr>
                <w:rFonts w:ascii="Arial" w:hAnsi="Arial" w:cs="Arial"/>
                <w:b/>
                <w:bCs/>
                <w:sz w:val="16"/>
                <w:szCs w:val="16"/>
              </w:rPr>
              <w:t>0</w:t>
            </w:r>
          </w:p>
        </w:tc>
        <w:tc>
          <w:tcPr>
            <w:tcW w:w="851" w:type="dxa"/>
            <w:tcBorders>
              <w:top w:val="nil"/>
              <w:left w:val="nil"/>
              <w:bottom w:val="dotted" w:sz="4" w:space="0" w:color="auto"/>
              <w:right w:val="single" w:sz="4" w:space="0" w:color="auto"/>
            </w:tcBorders>
            <w:noWrap/>
            <w:vAlign w:val="center"/>
          </w:tcPr>
          <w:p w:rsidR="00DE341A" w:rsidRPr="00D35EFD" w:rsidRDefault="00DE341A" w:rsidP="008216A0">
            <w:pPr>
              <w:jc w:val="center"/>
              <w:rPr>
                <w:rFonts w:ascii="Arial" w:hAnsi="Arial" w:cs="Arial"/>
                <w:sz w:val="16"/>
                <w:szCs w:val="16"/>
              </w:rPr>
            </w:pPr>
          </w:p>
        </w:tc>
      </w:tr>
      <w:tr w:rsidR="00A1232F" w:rsidRPr="00D35EFD" w:rsidTr="0039268C">
        <w:trPr>
          <w:trHeight w:val="20"/>
        </w:trPr>
        <w:tc>
          <w:tcPr>
            <w:tcW w:w="1149" w:type="dxa"/>
            <w:vMerge/>
            <w:tcBorders>
              <w:top w:val="single" w:sz="4" w:space="0" w:color="000000"/>
              <w:left w:val="single" w:sz="4" w:space="0" w:color="auto"/>
              <w:bottom w:val="single" w:sz="4" w:space="0" w:color="000000"/>
              <w:right w:val="single" w:sz="4" w:space="0" w:color="auto"/>
            </w:tcBorders>
            <w:shd w:val="clear" w:color="auto" w:fill="EAF1DD"/>
            <w:vAlign w:val="center"/>
          </w:tcPr>
          <w:p w:rsidR="00DE341A" w:rsidRPr="00D35EFD" w:rsidRDefault="00DE341A" w:rsidP="008216A0">
            <w:pPr>
              <w:rPr>
                <w:rFonts w:ascii="Arial" w:hAnsi="Arial" w:cs="Arial"/>
                <w:sz w:val="16"/>
                <w:szCs w:val="16"/>
              </w:rPr>
            </w:pPr>
          </w:p>
        </w:tc>
        <w:tc>
          <w:tcPr>
            <w:tcW w:w="1134" w:type="dxa"/>
            <w:tcBorders>
              <w:top w:val="dotted" w:sz="4" w:space="0" w:color="auto"/>
              <w:left w:val="nil"/>
              <w:bottom w:val="dotted" w:sz="4" w:space="0" w:color="auto"/>
              <w:right w:val="single" w:sz="4" w:space="0" w:color="auto"/>
            </w:tcBorders>
            <w:shd w:val="clear" w:color="000000" w:fill="auto"/>
            <w:noWrap/>
            <w:vAlign w:val="center"/>
          </w:tcPr>
          <w:p w:rsidR="00DE341A" w:rsidRPr="00D35EFD" w:rsidRDefault="00DE341A" w:rsidP="008216A0">
            <w:pPr>
              <w:rPr>
                <w:rFonts w:ascii="Arial" w:hAnsi="Arial" w:cs="Arial"/>
                <w:sz w:val="16"/>
                <w:szCs w:val="16"/>
              </w:rPr>
            </w:pPr>
            <w:r w:rsidRPr="00D35EFD">
              <w:rPr>
                <w:rFonts w:ascii="Arial" w:hAnsi="Arial" w:cs="Arial"/>
                <w:sz w:val="16"/>
                <w:szCs w:val="16"/>
              </w:rPr>
              <w:t>Cieľ</w:t>
            </w:r>
          </w:p>
        </w:tc>
        <w:tc>
          <w:tcPr>
            <w:tcW w:w="496" w:type="dxa"/>
            <w:tcBorders>
              <w:top w:val="dotted" w:sz="4" w:space="0" w:color="auto"/>
              <w:left w:val="nil"/>
              <w:bottom w:val="dotted" w:sz="4" w:space="0" w:color="auto"/>
              <w:right w:val="dotted" w:sz="4" w:space="0" w:color="auto"/>
            </w:tcBorders>
            <w:noWrap/>
            <w:vAlign w:val="center"/>
          </w:tcPr>
          <w:p w:rsidR="00DE341A" w:rsidRPr="00D35EFD" w:rsidRDefault="00DE341A" w:rsidP="008216A0">
            <w:pPr>
              <w:jc w:val="center"/>
              <w:rPr>
                <w:rFonts w:ascii="Arial" w:hAnsi="Arial" w:cs="Arial"/>
                <w:i/>
                <w:iCs/>
                <w:sz w:val="16"/>
                <w:szCs w:val="16"/>
              </w:rPr>
            </w:pPr>
            <w:r w:rsidRPr="00D35EFD">
              <w:rPr>
                <w:rFonts w:ascii="Arial" w:hAnsi="Arial" w:cs="Arial"/>
                <w:i/>
                <w:iCs/>
                <w:sz w:val="16"/>
                <w:szCs w:val="16"/>
              </w:rPr>
              <w:t>N/A</w:t>
            </w:r>
          </w:p>
        </w:tc>
        <w:tc>
          <w:tcPr>
            <w:tcW w:w="496" w:type="dxa"/>
            <w:tcBorders>
              <w:top w:val="dotted" w:sz="4" w:space="0" w:color="auto"/>
              <w:left w:val="nil"/>
              <w:bottom w:val="dotted" w:sz="4" w:space="0" w:color="auto"/>
              <w:right w:val="dotted" w:sz="4" w:space="0" w:color="auto"/>
            </w:tcBorders>
            <w:noWrap/>
            <w:vAlign w:val="center"/>
          </w:tcPr>
          <w:p w:rsidR="00DE341A" w:rsidRPr="00D35EFD" w:rsidRDefault="00DE341A" w:rsidP="008216A0">
            <w:pPr>
              <w:jc w:val="center"/>
              <w:rPr>
                <w:rFonts w:ascii="Arial" w:hAnsi="Arial" w:cs="Arial"/>
                <w:i/>
                <w:iCs/>
                <w:sz w:val="16"/>
                <w:szCs w:val="16"/>
              </w:rPr>
            </w:pPr>
            <w:r w:rsidRPr="00D35EFD">
              <w:rPr>
                <w:rFonts w:ascii="Arial" w:hAnsi="Arial" w:cs="Arial"/>
                <w:i/>
                <w:iCs/>
                <w:sz w:val="16"/>
                <w:szCs w:val="16"/>
              </w:rPr>
              <w:t>N/A</w:t>
            </w:r>
          </w:p>
        </w:tc>
        <w:tc>
          <w:tcPr>
            <w:tcW w:w="709" w:type="dxa"/>
            <w:tcBorders>
              <w:top w:val="dotted" w:sz="4" w:space="0" w:color="auto"/>
              <w:left w:val="nil"/>
              <w:bottom w:val="dotted" w:sz="4" w:space="0" w:color="auto"/>
              <w:right w:val="dotted" w:sz="4" w:space="0" w:color="auto"/>
            </w:tcBorders>
            <w:noWrap/>
            <w:vAlign w:val="center"/>
          </w:tcPr>
          <w:p w:rsidR="00DE341A" w:rsidRPr="00D35EFD" w:rsidRDefault="00DE341A" w:rsidP="008216A0">
            <w:pPr>
              <w:jc w:val="center"/>
              <w:rPr>
                <w:rFonts w:ascii="Arial" w:hAnsi="Arial" w:cs="Arial"/>
                <w:i/>
                <w:iCs/>
                <w:sz w:val="16"/>
                <w:szCs w:val="16"/>
              </w:rPr>
            </w:pPr>
            <w:r w:rsidRPr="00D35EFD">
              <w:rPr>
                <w:rFonts w:ascii="Arial" w:hAnsi="Arial" w:cs="Arial"/>
                <w:i/>
                <w:iCs/>
                <w:sz w:val="16"/>
                <w:szCs w:val="16"/>
              </w:rPr>
              <w:t>N/A</w:t>
            </w:r>
          </w:p>
        </w:tc>
        <w:tc>
          <w:tcPr>
            <w:tcW w:w="709" w:type="dxa"/>
            <w:tcBorders>
              <w:top w:val="dotted" w:sz="4" w:space="0" w:color="auto"/>
              <w:left w:val="nil"/>
              <w:bottom w:val="dotted" w:sz="4" w:space="0" w:color="auto"/>
              <w:right w:val="dotted" w:sz="4" w:space="0" w:color="auto"/>
            </w:tcBorders>
            <w:noWrap/>
            <w:vAlign w:val="center"/>
          </w:tcPr>
          <w:p w:rsidR="00DE341A" w:rsidRPr="00D35EFD" w:rsidRDefault="00DE341A" w:rsidP="008216A0">
            <w:pPr>
              <w:jc w:val="center"/>
              <w:rPr>
                <w:rFonts w:ascii="Arial" w:hAnsi="Arial" w:cs="Arial"/>
                <w:i/>
                <w:iCs/>
                <w:sz w:val="16"/>
                <w:szCs w:val="16"/>
              </w:rPr>
            </w:pPr>
            <w:r w:rsidRPr="00D35EFD">
              <w:rPr>
                <w:rFonts w:ascii="Arial" w:hAnsi="Arial" w:cs="Arial"/>
                <w:i/>
                <w:iCs/>
                <w:sz w:val="16"/>
                <w:szCs w:val="16"/>
              </w:rPr>
              <w:t>N/A</w:t>
            </w:r>
          </w:p>
        </w:tc>
        <w:tc>
          <w:tcPr>
            <w:tcW w:w="709" w:type="dxa"/>
            <w:tcBorders>
              <w:top w:val="dotted" w:sz="4" w:space="0" w:color="auto"/>
              <w:left w:val="nil"/>
              <w:bottom w:val="dotted" w:sz="4" w:space="0" w:color="auto"/>
              <w:right w:val="dotted" w:sz="4" w:space="0" w:color="auto"/>
            </w:tcBorders>
            <w:noWrap/>
            <w:vAlign w:val="center"/>
          </w:tcPr>
          <w:p w:rsidR="00DE341A" w:rsidRPr="00D35EFD" w:rsidRDefault="00DE341A" w:rsidP="008216A0">
            <w:pPr>
              <w:jc w:val="center"/>
              <w:rPr>
                <w:rFonts w:ascii="Arial" w:hAnsi="Arial" w:cs="Arial"/>
                <w:i/>
                <w:iCs/>
                <w:sz w:val="16"/>
                <w:szCs w:val="16"/>
              </w:rPr>
            </w:pPr>
            <w:r w:rsidRPr="00D35EFD">
              <w:rPr>
                <w:rFonts w:ascii="Arial" w:hAnsi="Arial" w:cs="Arial"/>
                <w:i/>
                <w:iCs/>
                <w:sz w:val="16"/>
                <w:szCs w:val="16"/>
              </w:rPr>
              <w:t>N/A</w:t>
            </w:r>
          </w:p>
        </w:tc>
        <w:tc>
          <w:tcPr>
            <w:tcW w:w="850" w:type="dxa"/>
            <w:tcBorders>
              <w:top w:val="dotted" w:sz="4" w:space="0" w:color="auto"/>
              <w:left w:val="nil"/>
              <w:bottom w:val="dotted" w:sz="4" w:space="0" w:color="auto"/>
              <w:right w:val="dotted" w:sz="4" w:space="0" w:color="auto"/>
            </w:tcBorders>
            <w:noWrap/>
            <w:vAlign w:val="center"/>
          </w:tcPr>
          <w:p w:rsidR="00DE341A" w:rsidRPr="00D35EFD" w:rsidRDefault="00DE341A" w:rsidP="008216A0">
            <w:pPr>
              <w:jc w:val="center"/>
              <w:rPr>
                <w:rFonts w:ascii="Arial" w:hAnsi="Arial" w:cs="Arial"/>
                <w:i/>
                <w:iCs/>
                <w:sz w:val="16"/>
                <w:szCs w:val="16"/>
              </w:rPr>
            </w:pPr>
            <w:r w:rsidRPr="00D35EFD">
              <w:rPr>
                <w:rFonts w:ascii="Arial" w:hAnsi="Arial" w:cs="Arial"/>
                <w:i/>
                <w:iCs/>
                <w:sz w:val="16"/>
                <w:szCs w:val="16"/>
              </w:rPr>
              <w:t>N/A</w:t>
            </w:r>
          </w:p>
        </w:tc>
        <w:tc>
          <w:tcPr>
            <w:tcW w:w="496" w:type="dxa"/>
            <w:tcBorders>
              <w:top w:val="dotted" w:sz="4" w:space="0" w:color="auto"/>
              <w:left w:val="nil"/>
              <w:bottom w:val="dotted" w:sz="4" w:space="0" w:color="auto"/>
              <w:right w:val="dotted" w:sz="4" w:space="0" w:color="auto"/>
            </w:tcBorders>
            <w:noWrap/>
            <w:vAlign w:val="center"/>
          </w:tcPr>
          <w:p w:rsidR="00DE341A" w:rsidRPr="00D35EFD" w:rsidRDefault="00DE341A" w:rsidP="008216A0">
            <w:pPr>
              <w:jc w:val="center"/>
              <w:rPr>
                <w:rFonts w:ascii="Arial" w:hAnsi="Arial" w:cs="Arial"/>
                <w:i/>
                <w:iCs/>
                <w:sz w:val="16"/>
                <w:szCs w:val="16"/>
              </w:rPr>
            </w:pPr>
            <w:r w:rsidRPr="00D35EFD">
              <w:rPr>
                <w:rFonts w:ascii="Arial" w:hAnsi="Arial" w:cs="Arial"/>
                <w:i/>
                <w:iCs/>
                <w:sz w:val="16"/>
                <w:szCs w:val="16"/>
              </w:rPr>
              <w:t>N/A</w:t>
            </w:r>
          </w:p>
        </w:tc>
        <w:tc>
          <w:tcPr>
            <w:tcW w:w="496" w:type="dxa"/>
            <w:tcBorders>
              <w:top w:val="dotted" w:sz="4" w:space="0" w:color="auto"/>
              <w:left w:val="nil"/>
              <w:bottom w:val="dotted" w:sz="4" w:space="0" w:color="auto"/>
              <w:right w:val="dotted" w:sz="4" w:space="0" w:color="auto"/>
            </w:tcBorders>
            <w:noWrap/>
            <w:vAlign w:val="center"/>
          </w:tcPr>
          <w:p w:rsidR="00DE341A" w:rsidRPr="00D35EFD" w:rsidRDefault="00DE341A" w:rsidP="008216A0">
            <w:pPr>
              <w:jc w:val="center"/>
              <w:rPr>
                <w:rFonts w:ascii="Arial" w:hAnsi="Arial" w:cs="Arial"/>
                <w:i/>
                <w:iCs/>
                <w:sz w:val="16"/>
                <w:szCs w:val="16"/>
              </w:rPr>
            </w:pPr>
            <w:r w:rsidRPr="00D35EFD">
              <w:rPr>
                <w:rFonts w:ascii="Arial" w:hAnsi="Arial" w:cs="Arial"/>
                <w:i/>
                <w:iCs/>
                <w:sz w:val="16"/>
                <w:szCs w:val="16"/>
              </w:rPr>
              <w:t>N/A</w:t>
            </w:r>
          </w:p>
        </w:tc>
        <w:tc>
          <w:tcPr>
            <w:tcW w:w="709" w:type="dxa"/>
            <w:tcBorders>
              <w:top w:val="dotted" w:sz="4" w:space="0" w:color="auto"/>
              <w:left w:val="nil"/>
              <w:bottom w:val="dotted" w:sz="4" w:space="0" w:color="auto"/>
              <w:right w:val="dotted" w:sz="4" w:space="0" w:color="auto"/>
            </w:tcBorders>
            <w:noWrap/>
            <w:vAlign w:val="center"/>
          </w:tcPr>
          <w:p w:rsidR="00DE341A" w:rsidRPr="00D35EFD" w:rsidRDefault="00DE341A" w:rsidP="008216A0">
            <w:pPr>
              <w:jc w:val="center"/>
              <w:rPr>
                <w:rFonts w:ascii="Arial" w:hAnsi="Arial" w:cs="Arial"/>
                <w:b/>
                <w:bCs/>
                <w:sz w:val="16"/>
                <w:szCs w:val="16"/>
              </w:rPr>
            </w:pPr>
            <w:r w:rsidRPr="00D35EFD">
              <w:rPr>
                <w:rFonts w:ascii="Arial" w:hAnsi="Arial" w:cs="Arial"/>
                <w:b/>
                <w:bCs/>
                <w:sz w:val="16"/>
                <w:szCs w:val="16"/>
              </w:rPr>
              <w:t>50</w:t>
            </w:r>
          </w:p>
        </w:tc>
        <w:tc>
          <w:tcPr>
            <w:tcW w:w="709" w:type="dxa"/>
            <w:tcBorders>
              <w:top w:val="dotted" w:sz="4" w:space="0" w:color="auto"/>
              <w:left w:val="nil"/>
              <w:bottom w:val="dotted" w:sz="4" w:space="0" w:color="auto"/>
              <w:right w:val="dotted" w:sz="4" w:space="0" w:color="auto"/>
            </w:tcBorders>
            <w:noWrap/>
            <w:vAlign w:val="center"/>
          </w:tcPr>
          <w:p w:rsidR="00DE341A" w:rsidRPr="00D35EFD" w:rsidRDefault="00DE341A" w:rsidP="008216A0">
            <w:pPr>
              <w:jc w:val="center"/>
              <w:rPr>
                <w:rFonts w:ascii="Arial" w:hAnsi="Arial" w:cs="Arial"/>
                <w:b/>
                <w:bCs/>
                <w:sz w:val="16"/>
                <w:szCs w:val="16"/>
              </w:rPr>
            </w:pPr>
            <w:r w:rsidRPr="00D35EFD">
              <w:rPr>
                <w:rFonts w:ascii="Arial" w:hAnsi="Arial" w:cs="Arial"/>
                <w:b/>
                <w:bCs/>
                <w:sz w:val="16"/>
                <w:szCs w:val="16"/>
              </w:rPr>
              <w:t>50</w:t>
            </w:r>
          </w:p>
        </w:tc>
        <w:tc>
          <w:tcPr>
            <w:tcW w:w="851" w:type="dxa"/>
            <w:tcBorders>
              <w:top w:val="dotted" w:sz="4" w:space="0" w:color="auto"/>
              <w:left w:val="nil"/>
              <w:bottom w:val="dotted" w:sz="4" w:space="0" w:color="auto"/>
              <w:right w:val="single" w:sz="4" w:space="0" w:color="auto"/>
            </w:tcBorders>
            <w:noWrap/>
            <w:vAlign w:val="center"/>
          </w:tcPr>
          <w:p w:rsidR="00DE341A" w:rsidRPr="00D35EFD" w:rsidRDefault="00DE341A" w:rsidP="008216A0">
            <w:pPr>
              <w:jc w:val="center"/>
              <w:rPr>
                <w:rFonts w:ascii="Arial" w:hAnsi="Arial" w:cs="Arial"/>
                <w:i/>
                <w:iCs/>
                <w:sz w:val="16"/>
                <w:szCs w:val="16"/>
              </w:rPr>
            </w:pPr>
            <w:r w:rsidRPr="00D35EFD">
              <w:rPr>
                <w:rFonts w:ascii="Arial" w:hAnsi="Arial" w:cs="Arial"/>
                <w:i/>
                <w:iCs/>
                <w:sz w:val="16"/>
                <w:szCs w:val="16"/>
              </w:rPr>
              <w:t>0</w:t>
            </w:r>
          </w:p>
        </w:tc>
      </w:tr>
      <w:tr w:rsidR="00A1232F" w:rsidRPr="00D35EFD" w:rsidTr="0039268C">
        <w:trPr>
          <w:trHeight w:val="20"/>
        </w:trPr>
        <w:tc>
          <w:tcPr>
            <w:tcW w:w="1149" w:type="dxa"/>
            <w:vMerge/>
            <w:tcBorders>
              <w:top w:val="single" w:sz="4" w:space="0" w:color="000000"/>
              <w:left w:val="single" w:sz="4" w:space="0" w:color="auto"/>
              <w:bottom w:val="single" w:sz="4" w:space="0" w:color="000000"/>
              <w:right w:val="single" w:sz="4" w:space="0" w:color="auto"/>
            </w:tcBorders>
            <w:shd w:val="clear" w:color="auto" w:fill="EAF1DD"/>
            <w:vAlign w:val="center"/>
          </w:tcPr>
          <w:p w:rsidR="00DE341A" w:rsidRPr="00D35EFD" w:rsidRDefault="00DE341A" w:rsidP="008216A0">
            <w:pPr>
              <w:rPr>
                <w:rFonts w:ascii="Arial" w:hAnsi="Arial" w:cs="Arial"/>
                <w:sz w:val="16"/>
                <w:szCs w:val="16"/>
              </w:rPr>
            </w:pPr>
          </w:p>
        </w:tc>
        <w:tc>
          <w:tcPr>
            <w:tcW w:w="1134" w:type="dxa"/>
            <w:tcBorders>
              <w:top w:val="dotted" w:sz="4" w:space="0" w:color="auto"/>
              <w:left w:val="nil"/>
              <w:bottom w:val="single" w:sz="4" w:space="0" w:color="auto"/>
              <w:right w:val="single" w:sz="4" w:space="0" w:color="auto"/>
            </w:tcBorders>
            <w:shd w:val="clear" w:color="000000" w:fill="auto"/>
            <w:noWrap/>
            <w:vAlign w:val="center"/>
          </w:tcPr>
          <w:p w:rsidR="00DE341A" w:rsidRPr="00D35EFD" w:rsidRDefault="00DE341A" w:rsidP="008216A0">
            <w:pPr>
              <w:rPr>
                <w:rFonts w:ascii="Arial" w:hAnsi="Arial" w:cs="Arial"/>
                <w:sz w:val="16"/>
                <w:szCs w:val="16"/>
              </w:rPr>
            </w:pPr>
            <w:r w:rsidRPr="00D35EFD">
              <w:rPr>
                <w:rFonts w:ascii="Arial" w:hAnsi="Arial" w:cs="Arial"/>
                <w:sz w:val="16"/>
                <w:szCs w:val="16"/>
              </w:rPr>
              <w:t>Východisko</w:t>
            </w:r>
          </w:p>
        </w:tc>
        <w:tc>
          <w:tcPr>
            <w:tcW w:w="496" w:type="dxa"/>
            <w:tcBorders>
              <w:top w:val="dotted" w:sz="4" w:space="0" w:color="auto"/>
              <w:left w:val="nil"/>
              <w:bottom w:val="single" w:sz="4" w:space="0" w:color="auto"/>
              <w:right w:val="dotted" w:sz="4" w:space="0" w:color="auto"/>
            </w:tcBorders>
            <w:noWrap/>
            <w:vAlign w:val="center"/>
          </w:tcPr>
          <w:p w:rsidR="00DE341A" w:rsidRPr="00D35EFD" w:rsidRDefault="00DE341A" w:rsidP="008216A0">
            <w:pPr>
              <w:jc w:val="center"/>
              <w:rPr>
                <w:rFonts w:ascii="Arial" w:hAnsi="Arial" w:cs="Arial"/>
                <w:b/>
                <w:bCs/>
                <w:sz w:val="16"/>
                <w:szCs w:val="16"/>
              </w:rPr>
            </w:pPr>
            <w:r w:rsidRPr="00D35EFD">
              <w:rPr>
                <w:rFonts w:ascii="Arial" w:hAnsi="Arial" w:cs="Arial"/>
                <w:b/>
                <w:bCs/>
                <w:sz w:val="16"/>
                <w:szCs w:val="16"/>
              </w:rPr>
              <w:t>0</w:t>
            </w:r>
          </w:p>
        </w:tc>
        <w:tc>
          <w:tcPr>
            <w:tcW w:w="496" w:type="dxa"/>
            <w:tcBorders>
              <w:top w:val="dotted" w:sz="4" w:space="0" w:color="auto"/>
              <w:left w:val="nil"/>
              <w:bottom w:val="single" w:sz="4" w:space="0" w:color="auto"/>
              <w:right w:val="dotted" w:sz="4" w:space="0" w:color="auto"/>
            </w:tcBorders>
            <w:noWrap/>
            <w:vAlign w:val="center"/>
          </w:tcPr>
          <w:p w:rsidR="00DE341A" w:rsidRPr="00D35EFD" w:rsidRDefault="00DE341A" w:rsidP="008216A0">
            <w:pPr>
              <w:jc w:val="center"/>
              <w:rPr>
                <w:rFonts w:ascii="Arial" w:hAnsi="Arial" w:cs="Arial"/>
                <w:i/>
                <w:iCs/>
                <w:sz w:val="16"/>
                <w:szCs w:val="16"/>
              </w:rPr>
            </w:pPr>
            <w:r w:rsidRPr="00D35EFD">
              <w:rPr>
                <w:rFonts w:ascii="Arial" w:hAnsi="Arial" w:cs="Arial"/>
                <w:i/>
                <w:iCs/>
                <w:sz w:val="16"/>
                <w:szCs w:val="16"/>
              </w:rPr>
              <w:t>N/A</w:t>
            </w:r>
          </w:p>
        </w:tc>
        <w:tc>
          <w:tcPr>
            <w:tcW w:w="709" w:type="dxa"/>
            <w:tcBorders>
              <w:top w:val="dotted" w:sz="4" w:space="0" w:color="auto"/>
              <w:left w:val="nil"/>
              <w:bottom w:val="single" w:sz="4" w:space="0" w:color="auto"/>
              <w:right w:val="dotted" w:sz="4" w:space="0" w:color="auto"/>
            </w:tcBorders>
            <w:noWrap/>
            <w:vAlign w:val="center"/>
          </w:tcPr>
          <w:p w:rsidR="00DE341A" w:rsidRPr="00D35EFD" w:rsidRDefault="00DE341A" w:rsidP="008216A0">
            <w:pPr>
              <w:jc w:val="center"/>
              <w:rPr>
                <w:rFonts w:ascii="Arial" w:hAnsi="Arial" w:cs="Arial"/>
                <w:i/>
                <w:iCs/>
                <w:sz w:val="16"/>
                <w:szCs w:val="16"/>
              </w:rPr>
            </w:pPr>
            <w:r w:rsidRPr="00D35EFD">
              <w:rPr>
                <w:rFonts w:ascii="Arial" w:hAnsi="Arial" w:cs="Arial"/>
                <w:i/>
                <w:iCs/>
                <w:sz w:val="16"/>
                <w:szCs w:val="16"/>
              </w:rPr>
              <w:t>N/A</w:t>
            </w:r>
          </w:p>
        </w:tc>
        <w:tc>
          <w:tcPr>
            <w:tcW w:w="709" w:type="dxa"/>
            <w:tcBorders>
              <w:top w:val="dotted" w:sz="4" w:space="0" w:color="auto"/>
              <w:left w:val="nil"/>
              <w:bottom w:val="single" w:sz="4" w:space="0" w:color="auto"/>
              <w:right w:val="dotted" w:sz="4" w:space="0" w:color="auto"/>
            </w:tcBorders>
            <w:noWrap/>
            <w:vAlign w:val="center"/>
          </w:tcPr>
          <w:p w:rsidR="00DE341A" w:rsidRPr="00D35EFD" w:rsidRDefault="00DE341A" w:rsidP="008216A0">
            <w:pPr>
              <w:jc w:val="center"/>
              <w:rPr>
                <w:rFonts w:ascii="Arial" w:hAnsi="Arial" w:cs="Arial"/>
                <w:i/>
                <w:iCs/>
                <w:sz w:val="16"/>
                <w:szCs w:val="16"/>
              </w:rPr>
            </w:pPr>
            <w:r w:rsidRPr="00D35EFD">
              <w:rPr>
                <w:rFonts w:ascii="Arial" w:hAnsi="Arial" w:cs="Arial"/>
                <w:i/>
                <w:iCs/>
                <w:sz w:val="16"/>
                <w:szCs w:val="16"/>
              </w:rPr>
              <w:t>N/A</w:t>
            </w:r>
          </w:p>
        </w:tc>
        <w:tc>
          <w:tcPr>
            <w:tcW w:w="709" w:type="dxa"/>
            <w:tcBorders>
              <w:top w:val="dotted" w:sz="4" w:space="0" w:color="auto"/>
              <w:left w:val="nil"/>
              <w:bottom w:val="single" w:sz="4" w:space="0" w:color="auto"/>
              <w:right w:val="dotted" w:sz="4" w:space="0" w:color="auto"/>
            </w:tcBorders>
            <w:noWrap/>
            <w:vAlign w:val="center"/>
          </w:tcPr>
          <w:p w:rsidR="00DE341A" w:rsidRPr="00D35EFD" w:rsidRDefault="00DE341A" w:rsidP="008216A0">
            <w:pPr>
              <w:jc w:val="center"/>
              <w:rPr>
                <w:rFonts w:ascii="Arial" w:hAnsi="Arial" w:cs="Arial"/>
                <w:i/>
                <w:iCs/>
                <w:sz w:val="16"/>
                <w:szCs w:val="16"/>
              </w:rPr>
            </w:pPr>
            <w:r w:rsidRPr="00D35EFD">
              <w:rPr>
                <w:rFonts w:ascii="Arial" w:hAnsi="Arial" w:cs="Arial"/>
                <w:i/>
                <w:iCs/>
                <w:sz w:val="16"/>
                <w:szCs w:val="16"/>
              </w:rPr>
              <w:t>N/A</w:t>
            </w:r>
          </w:p>
        </w:tc>
        <w:tc>
          <w:tcPr>
            <w:tcW w:w="850" w:type="dxa"/>
            <w:tcBorders>
              <w:top w:val="dotted" w:sz="4" w:space="0" w:color="auto"/>
              <w:left w:val="nil"/>
              <w:bottom w:val="single" w:sz="4" w:space="0" w:color="auto"/>
              <w:right w:val="dotted" w:sz="4" w:space="0" w:color="auto"/>
            </w:tcBorders>
            <w:noWrap/>
            <w:vAlign w:val="center"/>
          </w:tcPr>
          <w:p w:rsidR="00DE341A" w:rsidRPr="00D35EFD" w:rsidRDefault="00DE341A" w:rsidP="008216A0">
            <w:pPr>
              <w:jc w:val="center"/>
              <w:rPr>
                <w:rFonts w:ascii="Arial" w:hAnsi="Arial" w:cs="Arial"/>
                <w:i/>
                <w:iCs/>
                <w:sz w:val="16"/>
                <w:szCs w:val="16"/>
              </w:rPr>
            </w:pPr>
            <w:r w:rsidRPr="00D35EFD">
              <w:rPr>
                <w:rFonts w:ascii="Arial" w:hAnsi="Arial" w:cs="Arial"/>
                <w:i/>
                <w:iCs/>
                <w:sz w:val="16"/>
                <w:szCs w:val="16"/>
              </w:rPr>
              <w:t>N/A</w:t>
            </w:r>
          </w:p>
        </w:tc>
        <w:tc>
          <w:tcPr>
            <w:tcW w:w="496" w:type="dxa"/>
            <w:tcBorders>
              <w:top w:val="dotted" w:sz="4" w:space="0" w:color="auto"/>
              <w:left w:val="nil"/>
              <w:bottom w:val="single" w:sz="4" w:space="0" w:color="auto"/>
              <w:right w:val="dotted" w:sz="4" w:space="0" w:color="auto"/>
            </w:tcBorders>
            <w:noWrap/>
            <w:vAlign w:val="center"/>
          </w:tcPr>
          <w:p w:rsidR="00DE341A" w:rsidRPr="00D35EFD" w:rsidRDefault="00DE341A" w:rsidP="008216A0">
            <w:pPr>
              <w:jc w:val="center"/>
              <w:rPr>
                <w:rFonts w:ascii="Arial" w:hAnsi="Arial" w:cs="Arial"/>
                <w:i/>
                <w:iCs/>
                <w:sz w:val="16"/>
                <w:szCs w:val="16"/>
              </w:rPr>
            </w:pPr>
            <w:r w:rsidRPr="00D35EFD">
              <w:rPr>
                <w:rFonts w:ascii="Arial" w:hAnsi="Arial" w:cs="Arial"/>
                <w:i/>
                <w:iCs/>
                <w:sz w:val="16"/>
                <w:szCs w:val="16"/>
              </w:rPr>
              <w:t>N/A</w:t>
            </w:r>
          </w:p>
        </w:tc>
        <w:tc>
          <w:tcPr>
            <w:tcW w:w="496" w:type="dxa"/>
            <w:tcBorders>
              <w:top w:val="dotted" w:sz="4" w:space="0" w:color="auto"/>
              <w:left w:val="nil"/>
              <w:bottom w:val="single" w:sz="4" w:space="0" w:color="auto"/>
              <w:right w:val="dotted" w:sz="4" w:space="0" w:color="auto"/>
            </w:tcBorders>
            <w:noWrap/>
            <w:vAlign w:val="center"/>
          </w:tcPr>
          <w:p w:rsidR="00DE341A" w:rsidRPr="00D35EFD" w:rsidRDefault="00DE341A" w:rsidP="008216A0">
            <w:pPr>
              <w:jc w:val="center"/>
              <w:rPr>
                <w:rFonts w:ascii="Arial" w:hAnsi="Arial" w:cs="Arial"/>
                <w:i/>
                <w:iCs/>
                <w:sz w:val="16"/>
                <w:szCs w:val="16"/>
              </w:rPr>
            </w:pPr>
            <w:r w:rsidRPr="00D35EFD">
              <w:rPr>
                <w:rFonts w:ascii="Arial" w:hAnsi="Arial" w:cs="Arial"/>
                <w:i/>
                <w:iCs/>
                <w:sz w:val="16"/>
                <w:szCs w:val="16"/>
              </w:rPr>
              <w:t>N/A</w:t>
            </w:r>
          </w:p>
        </w:tc>
        <w:tc>
          <w:tcPr>
            <w:tcW w:w="709" w:type="dxa"/>
            <w:tcBorders>
              <w:top w:val="dotted" w:sz="4" w:space="0" w:color="auto"/>
              <w:left w:val="nil"/>
              <w:bottom w:val="single" w:sz="4" w:space="0" w:color="auto"/>
              <w:right w:val="dotted" w:sz="4" w:space="0" w:color="auto"/>
            </w:tcBorders>
            <w:noWrap/>
            <w:vAlign w:val="center"/>
          </w:tcPr>
          <w:p w:rsidR="00DE341A" w:rsidRPr="00D35EFD" w:rsidRDefault="00DE341A" w:rsidP="008216A0">
            <w:pPr>
              <w:jc w:val="center"/>
              <w:rPr>
                <w:rFonts w:ascii="Arial" w:hAnsi="Arial" w:cs="Arial"/>
                <w:i/>
                <w:iCs/>
                <w:sz w:val="16"/>
                <w:szCs w:val="16"/>
              </w:rPr>
            </w:pPr>
            <w:r w:rsidRPr="00D35EFD">
              <w:rPr>
                <w:rFonts w:ascii="Arial" w:hAnsi="Arial" w:cs="Arial"/>
                <w:i/>
                <w:iCs/>
                <w:sz w:val="16"/>
                <w:szCs w:val="16"/>
              </w:rPr>
              <w:t>N/A</w:t>
            </w:r>
          </w:p>
        </w:tc>
        <w:tc>
          <w:tcPr>
            <w:tcW w:w="709" w:type="dxa"/>
            <w:tcBorders>
              <w:top w:val="dotted" w:sz="4" w:space="0" w:color="auto"/>
              <w:left w:val="nil"/>
              <w:bottom w:val="single" w:sz="4" w:space="0" w:color="auto"/>
              <w:right w:val="dotted" w:sz="4" w:space="0" w:color="auto"/>
            </w:tcBorders>
            <w:noWrap/>
            <w:vAlign w:val="center"/>
          </w:tcPr>
          <w:p w:rsidR="00DE341A" w:rsidRPr="00D35EFD" w:rsidRDefault="00DE341A" w:rsidP="008216A0">
            <w:pPr>
              <w:jc w:val="center"/>
              <w:rPr>
                <w:rFonts w:ascii="Arial" w:hAnsi="Arial" w:cs="Arial"/>
                <w:b/>
                <w:bCs/>
                <w:sz w:val="16"/>
                <w:szCs w:val="16"/>
              </w:rPr>
            </w:pPr>
            <w:r w:rsidRPr="00D35EFD">
              <w:rPr>
                <w:rFonts w:ascii="Arial" w:hAnsi="Arial" w:cs="Arial"/>
                <w:b/>
                <w:bCs/>
                <w:sz w:val="16"/>
                <w:szCs w:val="16"/>
              </w:rPr>
              <w:t>0</w:t>
            </w:r>
          </w:p>
        </w:tc>
        <w:tc>
          <w:tcPr>
            <w:tcW w:w="851" w:type="dxa"/>
            <w:tcBorders>
              <w:top w:val="dotted" w:sz="4" w:space="0" w:color="auto"/>
              <w:left w:val="nil"/>
              <w:bottom w:val="single" w:sz="4" w:space="0" w:color="auto"/>
              <w:right w:val="single" w:sz="4" w:space="0" w:color="auto"/>
            </w:tcBorders>
            <w:noWrap/>
            <w:vAlign w:val="center"/>
          </w:tcPr>
          <w:p w:rsidR="00DE341A" w:rsidRPr="00D35EFD" w:rsidRDefault="00DE341A" w:rsidP="008216A0">
            <w:pPr>
              <w:jc w:val="center"/>
              <w:rPr>
                <w:rFonts w:ascii="Arial" w:hAnsi="Arial" w:cs="Arial"/>
                <w:sz w:val="16"/>
                <w:szCs w:val="16"/>
              </w:rPr>
            </w:pPr>
          </w:p>
        </w:tc>
      </w:tr>
      <w:tr w:rsidR="00A1232F" w:rsidRPr="00D35EFD" w:rsidTr="0039268C">
        <w:trPr>
          <w:trHeight w:val="20"/>
        </w:trPr>
        <w:tc>
          <w:tcPr>
            <w:tcW w:w="1149" w:type="dxa"/>
            <w:vMerge w:val="restart"/>
            <w:tcBorders>
              <w:top w:val="single" w:sz="4" w:space="0" w:color="000000"/>
              <w:left w:val="single" w:sz="4" w:space="0" w:color="auto"/>
              <w:bottom w:val="single" w:sz="4" w:space="0" w:color="000000"/>
              <w:right w:val="single" w:sz="4" w:space="0" w:color="auto"/>
            </w:tcBorders>
            <w:shd w:val="clear" w:color="auto" w:fill="EAF1DD"/>
            <w:vAlign w:val="center"/>
          </w:tcPr>
          <w:p w:rsidR="00DE341A" w:rsidRPr="00D35EFD" w:rsidRDefault="00DE341A" w:rsidP="008216A0">
            <w:pPr>
              <w:rPr>
                <w:rFonts w:ascii="Arial" w:hAnsi="Arial" w:cs="Arial"/>
                <w:sz w:val="16"/>
                <w:szCs w:val="16"/>
              </w:rPr>
            </w:pPr>
            <w:r w:rsidRPr="00D35EFD">
              <w:rPr>
                <w:rFonts w:ascii="Arial" w:hAnsi="Arial" w:cs="Arial"/>
                <w:sz w:val="16"/>
                <w:szCs w:val="16"/>
              </w:rPr>
              <w:t>Percentuálne zvýšenie zamestnanosti žien v dôsledku realizácie projektu [%]</w:t>
            </w:r>
          </w:p>
        </w:tc>
        <w:tc>
          <w:tcPr>
            <w:tcW w:w="1134" w:type="dxa"/>
            <w:tcBorders>
              <w:top w:val="nil"/>
              <w:left w:val="nil"/>
              <w:bottom w:val="dotted" w:sz="4" w:space="0" w:color="auto"/>
              <w:right w:val="single" w:sz="4" w:space="0" w:color="auto"/>
            </w:tcBorders>
            <w:shd w:val="clear" w:color="000000" w:fill="auto"/>
            <w:noWrap/>
            <w:vAlign w:val="center"/>
          </w:tcPr>
          <w:p w:rsidR="00DE341A" w:rsidRPr="00D35EFD" w:rsidRDefault="00DE341A" w:rsidP="008216A0">
            <w:pPr>
              <w:rPr>
                <w:rFonts w:ascii="Arial" w:hAnsi="Arial" w:cs="Arial"/>
                <w:sz w:val="16"/>
                <w:szCs w:val="16"/>
              </w:rPr>
            </w:pPr>
            <w:r w:rsidRPr="00D35EFD">
              <w:rPr>
                <w:rFonts w:ascii="Arial" w:hAnsi="Arial" w:cs="Arial"/>
                <w:sz w:val="16"/>
                <w:szCs w:val="16"/>
              </w:rPr>
              <w:t>Dosiahnutý výsledok</w:t>
            </w:r>
          </w:p>
        </w:tc>
        <w:tc>
          <w:tcPr>
            <w:tcW w:w="496" w:type="dxa"/>
            <w:tcBorders>
              <w:top w:val="nil"/>
              <w:left w:val="nil"/>
              <w:bottom w:val="dotted" w:sz="4" w:space="0" w:color="auto"/>
              <w:right w:val="dotted" w:sz="4" w:space="0" w:color="auto"/>
            </w:tcBorders>
            <w:noWrap/>
            <w:vAlign w:val="center"/>
          </w:tcPr>
          <w:p w:rsidR="00DE341A" w:rsidRPr="00D35EFD" w:rsidRDefault="00DE341A" w:rsidP="008216A0">
            <w:pPr>
              <w:jc w:val="center"/>
              <w:rPr>
                <w:rFonts w:ascii="Arial" w:hAnsi="Arial" w:cs="Arial"/>
                <w:b/>
                <w:bCs/>
                <w:sz w:val="16"/>
                <w:szCs w:val="16"/>
              </w:rPr>
            </w:pPr>
            <w:r w:rsidRPr="00D35EFD">
              <w:rPr>
                <w:rFonts w:ascii="Arial" w:hAnsi="Arial" w:cs="Arial"/>
                <w:b/>
                <w:bCs/>
                <w:sz w:val="16"/>
                <w:szCs w:val="16"/>
              </w:rPr>
              <w:t>0</w:t>
            </w:r>
          </w:p>
        </w:tc>
        <w:tc>
          <w:tcPr>
            <w:tcW w:w="496" w:type="dxa"/>
            <w:tcBorders>
              <w:top w:val="nil"/>
              <w:left w:val="nil"/>
              <w:bottom w:val="dotted" w:sz="4" w:space="0" w:color="auto"/>
              <w:right w:val="dotted" w:sz="4" w:space="0" w:color="auto"/>
            </w:tcBorders>
            <w:noWrap/>
            <w:vAlign w:val="center"/>
          </w:tcPr>
          <w:p w:rsidR="00DE341A" w:rsidRPr="00D35EFD" w:rsidRDefault="00DE341A" w:rsidP="008216A0">
            <w:pPr>
              <w:jc w:val="center"/>
              <w:rPr>
                <w:rFonts w:ascii="Arial" w:hAnsi="Arial" w:cs="Arial"/>
                <w:b/>
                <w:bCs/>
                <w:sz w:val="16"/>
                <w:szCs w:val="16"/>
              </w:rPr>
            </w:pPr>
            <w:r w:rsidRPr="00D35EFD">
              <w:rPr>
                <w:rFonts w:ascii="Arial" w:hAnsi="Arial" w:cs="Arial"/>
                <w:b/>
                <w:bCs/>
                <w:sz w:val="16"/>
                <w:szCs w:val="16"/>
              </w:rPr>
              <w:t>0</w:t>
            </w:r>
          </w:p>
        </w:tc>
        <w:tc>
          <w:tcPr>
            <w:tcW w:w="709" w:type="dxa"/>
            <w:tcBorders>
              <w:top w:val="nil"/>
              <w:left w:val="nil"/>
              <w:bottom w:val="dotted" w:sz="4" w:space="0" w:color="auto"/>
              <w:right w:val="dotted" w:sz="4" w:space="0" w:color="auto"/>
            </w:tcBorders>
            <w:noWrap/>
            <w:vAlign w:val="center"/>
          </w:tcPr>
          <w:p w:rsidR="00DE341A" w:rsidRPr="00D35EFD" w:rsidRDefault="00DE341A" w:rsidP="008216A0">
            <w:pPr>
              <w:jc w:val="center"/>
              <w:rPr>
                <w:rFonts w:ascii="Arial" w:hAnsi="Arial" w:cs="Arial"/>
                <w:b/>
                <w:bCs/>
                <w:sz w:val="16"/>
                <w:szCs w:val="16"/>
              </w:rPr>
            </w:pPr>
            <w:r w:rsidRPr="00D35EFD">
              <w:rPr>
                <w:rFonts w:ascii="Arial" w:hAnsi="Arial" w:cs="Arial"/>
                <w:b/>
                <w:bCs/>
                <w:sz w:val="16"/>
                <w:szCs w:val="16"/>
              </w:rPr>
              <w:t>0</w:t>
            </w:r>
          </w:p>
        </w:tc>
        <w:tc>
          <w:tcPr>
            <w:tcW w:w="709" w:type="dxa"/>
            <w:tcBorders>
              <w:top w:val="nil"/>
              <w:left w:val="nil"/>
              <w:bottom w:val="dotted" w:sz="4" w:space="0" w:color="auto"/>
              <w:right w:val="dotted" w:sz="4" w:space="0" w:color="auto"/>
            </w:tcBorders>
            <w:noWrap/>
            <w:vAlign w:val="center"/>
          </w:tcPr>
          <w:p w:rsidR="00DE341A" w:rsidRPr="00D35EFD" w:rsidRDefault="00DE341A" w:rsidP="008216A0">
            <w:pPr>
              <w:jc w:val="center"/>
              <w:rPr>
                <w:rFonts w:ascii="Arial" w:hAnsi="Arial" w:cs="Arial"/>
                <w:b/>
                <w:bCs/>
                <w:sz w:val="16"/>
                <w:szCs w:val="16"/>
              </w:rPr>
            </w:pPr>
            <w:r w:rsidRPr="00D35EFD">
              <w:rPr>
                <w:rFonts w:ascii="Arial" w:hAnsi="Arial" w:cs="Arial"/>
                <w:b/>
                <w:bCs/>
                <w:sz w:val="16"/>
                <w:szCs w:val="16"/>
              </w:rPr>
              <w:t>0</w:t>
            </w:r>
          </w:p>
        </w:tc>
        <w:tc>
          <w:tcPr>
            <w:tcW w:w="709" w:type="dxa"/>
            <w:tcBorders>
              <w:top w:val="nil"/>
              <w:left w:val="nil"/>
              <w:bottom w:val="dotted" w:sz="4" w:space="0" w:color="auto"/>
              <w:right w:val="dotted" w:sz="4" w:space="0" w:color="auto"/>
            </w:tcBorders>
            <w:noWrap/>
            <w:vAlign w:val="center"/>
          </w:tcPr>
          <w:p w:rsidR="00DE341A" w:rsidRPr="00D35EFD" w:rsidRDefault="00DE341A" w:rsidP="008216A0">
            <w:pPr>
              <w:jc w:val="center"/>
              <w:rPr>
                <w:rFonts w:ascii="Arial" w:hAnsi="Arial" w:cs="Arial"/>
                <w:b/>
                <w:bCs/>
                <w:sz w:val="16"/>
                <w:szCs w:val="16"/>
              </w:rPr>
            </w:pPr>
            <w:r w:rsidRPr="00D35EFD">
              <w:rPr>
                <w:rFonts w:ascii="Arial" w:hAnsi="Arial" w:cs="Arial"/>
                <w:b/>
                <w:bCs/>
                <w:sz w:val="16"/>
                <w:szCs w:val="16"/>
              </w:rPr>
              <w:t>0</w:t>
            </w:r>
          </w:p>
        </w:tc>
        <w:tc>
          <w:tcPr>
            <w:tcW w:w="850" w:type="dxa"/>
            <w:tcBorders>
              <w:top w:val="nil"/>
              <w:left w:val="nil"/>
              <w:bottom w:val="dotted" w:sz="4" w:space="0" w:color="auto"/>
              <w:right w:val="dotted" w:sz="4" w:space="0" w:color="auto"/>
            </w:tcBorders>
            <w:noWrap/>
            <w:vAlign w:val="center"/>
          </w:tcPr>
          <w:p w:rsidR="00DE341A" w:rsidRPr="0039268C" w:rsidRDefault="00DE341A" w:rsidP="008216A0">
            <w:pPr>
              <w:jc w:val="center"/>
              <w:rPr>
                <w:rFonts w:ascii="Arial" w:hAnsi="Arial" w:cs="Arial"/>
                <w:b/>
                <w:iCs/>
                <w:sz w:val="16"/>
                <w:szCs w:val="16"/>
              </w:rPr>
            </w:pPr>
            <w:r w:rsidRPr="0039268C">
              <w:rPr>
                <w:rFonts w:ascii="Arial" w:hAnsi="Arial" w:cs="Arial"/>
                <w:b/>
                <w:iCs/>
                <w:sz w:val="16"/>
                <w:szCs w:val="16"/>
              </w:rPr>
              <w:t>0,8</w:t>
            </w:r>
          </w:p>
        </w:tc>
        <w:tc>
          <w:tcPr>
            <w:tcW w:w="496" w:type="dxa"/>
            <w:tcBorders>
              <w:top w:val="nil"/>
              <w:left w:val="nil"/>
              <w:bottom w:val="dotted" w:sz="4" w:space="0" w:color="auto"/>
              <w:right w:val="dotted" w:sz="4" w:space="0" w:color="auto"/>
            </w:tcBorders>
            <w:noWrap/>
            <w:vAlign w:val="center"/>
          </w:tcPr>
          <w:p w:rsidR="00DE341A" w:rsidRPr="00D35EFD" w:rsidRDefault="00DE341A" w:rsidP="008216A0">
            <w:pPr>
              <w:jc w:val="center"/>
              <w:rPr>
                <w:rFonts w:ascii="Arial" w:hAnsi="Arial" w:cs="Arial"/>
                <w:i/>
                <w:iCs/>
                <w:sz w:val="16"/>
                <w:szCs w:val="16"/>
              </w:rPr>
            </w:pPr>
            <w:r w:rsidRPr="00D35EFD">
              <w:rPr>
                <w:rFonts w:ascii="Arial" w:hAnsi="Arial" w:cs="Arial"/>
                <w:i/>
                <w:iCs/>
                <w:sz w:val="16"/>
                <w:szCs w:val="16"/>
              </w:rPr>
              <w:t>N/A</w:t>
            </w:r>
          </w:p>
        </w:tc>
        <w:tc>
          <w:tcPr>
            <w:tcW w:w="496" w:type="dxa"/>
            <w:tcBorders>
              <w:top w:val="nil"/>
              <w:left w:val="nil"/>
              <w:bottom w:val="dotted" w:sz="4" w:space="0" w:color="auto"/>
              <w:right w:val="dotted" w:sz="4" w:space="0" w:color="auto"/>
            </w:tcBorders>
            <w:noWrap/>
            <w:vAlign w:val="center"/>
          </w:tcPr>
          <w:p w:rsidR="00DE341A" w:rsidRPr="00D35EFD" w:rsidRDefault="00DE341A" w:rsidP="008216A0">
            <w:pPr>
              <w:jc w:val="center"/>
              <w:rPr>
                <w:rFonts w:ascii="Arial" w:hAnsi="Arial" w:cs="Arial"/>
                <w:i/>
                <w:iCs/>
                <w:sz w:val="16"/>
                <w:szCs w:val="16"/>
              </w:rPr>
            </w:pPr>
            <w:r w:rsidRPr="00D35EFD">
              <w:rPr>
                <w:rFonts w:ascii="Arial" w:hAnsi="Arial" w:cs="Arial"/>
                <w:i/>
                <w:iCs/>
                <w:sz w:val="16"/>
                <w:szCs w:val="16"/>
              </w:rPr>
              <w:t>N/A</w:t>
            </w:r>
          </w:p>
        </w:tc>
        <w:tc>
          <w:tcPr>
            <w:tcW w:w="709" w:type="dxa"/>
            <w:tcBorders>
              <w:top w:val="nil"/>
              <w:left w:val="nil"/>
              <w:bottom w:val="dotted" w:sz="4" w:space="0" w:color="auto"/>
              <w:right w:val="dotted" w:sz="4" w:space="0" w:color="auto"/>
            </w:tcBorders>
            <w:noWrap/>
            <w:vAlign w:val="center"/>
          </w:tcPr>
          <w:p w:rsidR="00DE341A" w:rsidRPr="00D35EFD" w:rsidRDefault="00DE341A" w:rsidP="008216A0">
            <w:pPr>
              <w:jc w:val="center"/>
              <w:rPr>
                <w:rFonts w:ascii="Arial" w:hAnsi="Arial" w:cs="Arial"/>
                <w:i/>
                <w:iCs/>
                <w:sz w:val="16"/>
                <w:szCs w:val="16"/>
              </w:rPr>
            </w:pPr>
            <w:r w:rsidRPr="00D35EFD">
              <w:rPr>
                <w:rFonts w:ascii="Arial" w:hAnsi="Arial" w:cs="Arial"/>
                <w:i/>
                <w:iCs/>
                <w:sz w:val="16"/>
                <w:szCs w:val="16"/>
              </w:rPr>
              <w:t>N/A</w:t>
            </w:r>
          </w:p>
        </w:tc>
        <w:tc>
          <w:tcPr>
            <w:tcW w:w="709" w:type="dxa"/>
            <w:tcBorders>
              <w:top w:val="nil"/>
              <w:left w:val="nil"/>
              <w:bottom w:val="dotted" w:sz="4" w:space="0" w:color="auto"/>
              <w:right w:val="dotted" w:sz="4" w:space="0" w:color="auto"/>
            </w:tcBorders>
            <w:noWrap/>
            <w:vAlign w:val="center"/>
          </w:tcPr>
          <w:p w:rsidR="00DE341A" w:rsidRPr="00D35EFD" w:rsidRDefault="00DE341A" w:rsidP="008216A0">
            <w:pPr>
              <w:jc w:val="center"/>
              <w:rPr>
                <w:rFonts w:ascii="Arial" w:hAnsi="Arial" w:cs="Arial"/>
                <w:b/>
                <w:bCs/>
                <w:sz w:val="16"/>
                <w:szCs w:val="16"/>
              </w:rPr>
            </w:pPr>
            <w:r>
              <w:rPr>
                <w:rFonts w:ascii="Arial" w:hAnsi="Arial" w:cs="Arial"/>
                <w:b/>
                <w:bCs/>
                <w:sz w:val="16"/>
                <w:szCs w:val="16"/>
              </w:rPr>
              <w:t>0,8</w:t>
            </w:r>
          </w:p>
        </w:tc>
        <w:tc>
          <w:tcPr>
            <w:tcW w:w="851" w:type="dxa"/>
            <w:tcBorders>
              <w:top w:val="nil"/>
              <w:left w:val="nil"/>
              <w:bottom w:val="dotted" w:sz="4" w:space="0" w:color="auto"/>
              <w:right w:val="single" w:sz="4" w:space="0" w:color="auto"/>
            </w:tcBorders>
            <w:noWrap/>
            <w:vAlign w:val="center"/>
          </w:tcPr>
          <w:p w:rsidR="00DE341A" w:rsidRPr="00D35EFD" w:rsidRDefault="00DE341A" w:rsidP="008216A0">
            <w:pPr>
              <w:jc w:val="center"/>
              <w:rPr>
                <w:rFonts w:ascii="Arial" w:hAnsi="Arial" w:cs="Arial"/>
                <w:sz w:val="16"/>
                <w:szCs w:val="16"/>
              </w:rPr>
            </w:pPr>
          </w:p>
        </w:tc>
      </w:tr>
      <w:tr w:rsidR="00A1232F" w:rsidRPr="00D35EFD" w:rsidTr="0039268C">
        <w:trPr>
          <w:trHeight w:val="20"/>
        </w:trPr>
        <w:tc>
          <w:tcPr>
            <w:tcW w:w="1149" w:type="dxa"/>
            <w:vMerge/>
            <w:tcBorders>
              <w:top w:val="single" w:sz="4" w:space="0" w:color="000000"/>
              <w:left w:val="single" w:sz="4" w:space="0" w:color="auto"/>
              <w:bottom w:val="single" w:sz="4" w:space="0" w:color="000000"/>
              <w:right w:val="single" w:sz="4" w:space="0" w:color="auto"/>
            </w:tcBorders>
            <w:shd w:val="clear" w:color="auto" w:fill="EAF1DD"/>
            <w:vAlign w:val="center"/>
          </w:tcPr>
          <w:p w:rsidR="00DE341A" w:rsidRPr="00D35EFD" w:rsidRDefault="00DE341A" w:rsidP="008216A0">
            <w:pPr>
              <w:rPr>
                <w:rFonts w:ascii="Arial" w:hAnsi="Arial" w:cs="Arial"/>
                <w:sz w:val="16"/>
                <w:szCs w:val="16"/>
              </w:rPr>
            </w:pPr>
          </w:p>
        </w:tc>
        <w:tc>
          <w:tcPr>
            <w:tcW w:w="1134" w:type="dxa"/>
            <w:tcBorders>
              <w:top w:val="nil"/>
              <w:left w:val="nil"/>
              <w:bottom w:val="dotted" w:sz="4" w:space="0" w:color="auto"/>
              <w:right w:val="single" w:sz="4" w:space="0" w:color="auto"/>
            </w:tcBorders>
            <w:shd w:val="clear" w:color="000000" w:fill="auto"/>
            <w:noWrap/>
            <w:vAlign w:val="center"/>
          </w:tcPr>
          <w:p w:rsidR="00DE341A" w:rsidRPr="00D35EFD" w:rsidRDefault="00DE341A" w:rsidP="008216A0">
            <w:pPr>
              <w:rPr>
                <w:rFonts w:ascii="Arial" w:hAnsi="Arial" w:cs="Arial"/>
                <w:sz w:val="16"/>
                <w:szCs w:val="16"/>
              </w:rPr>
            </w:pPr>
            <w:r w:rsidRPr="00D35EFD">
              <w:rPr>
                <w:rFonts w:ascii="Arial" w:hAnsi="Arial" w:cs="Arial"/>
                <w:sz w:val="16"/>
                <w:szCs w:val="16"/>
              </w:rPr>
              <w:t>Cieľ</w:t>
            </w:r>
          </w:p>
        </w:tc>
        <w:tc>
          <w:tcPr>
            <w:tcW w:w="496" w:type="dxa"/>
            <w:tcBorders>
              <w:top w:val="nil"/>
              <w:left w:val="nil"/>
              <w:bottom w:val="dotted" w:sz="4" w:space="0" w:color="auto"/>
              <w:right w:val="dotted" w:sz="4" w:space="0" w:color="auto"/>
            </w:tcBorders>
            <w:noWrap/>
            <w:vAlign w:val="center"/>
          </w:tcPr>
          <w:p w:rsidR="00DE341A" w:rsidRPr="00D35EFD" w:rsidRDefault="00DE341A" w:rsidP="008216A0">
            <w:pPr>
              <w:jc w:val="center"/>
              <w:rPr>
                <w:rFonts w:ascii="Arial" w:hAnsi="Arial" w:cs="Arial"/>
                <w:i/>
                <w:iCs/>
                <w:sz w:val="16"/>
                <w:szCs w:val="16"/>
              </w:rPr>
            </w:pPr>
            <w:r w:rsidRPr="00D35EFD">
              <w:rPr>
                <w:rFonts w:ascii="Arial" w:hAnsi="Arial" w:cs="Arial"/>
                <w:i/>
                <w:iCs/>
                <w:sz w:val="16"/>
                <w:szCs w:val="16"/>
              </w:rPr>
              <w:t>N/A</w:t>
            </w:r>
          </w:p>
        </w:tc>
        <w:tc>
          <w:tcPr>
            <w:tcW w:w="496" w:type="dxa"/>
            <w:tcBorders>
              <w:top w:val="nil"/>
              <w:left w:val="nil"/>
              <w:bottom w:val="dotted" w:sz="4" w:space="0" w:color="auto"/>
              <w:right w:val="dotted" w:sz="4" w:space="0" w:color="auto"/>
            </w:tcBorders>
            <w:noWrap/>
            <w:vAlign w:val="center"/>
          </w:tcPr>
          <w:p w:rsidR="00DE341A" w:rsidRPr="00D35EFD" w:rsidRDefault="00DE341A" w:rsidP="008216A0">
            <w:pPr>
              <w:jc w:val="center"/>
              <w:rPr>
                <w:rFonts w:ascii="Arial" w:hAnsi="Arial" w:cs="Arial"/>
                <w:i/>
                <w:iCs/>
                <w:sz w:val="16"/>
                <w:szCs w:val="16"/>
              </w:rPr>
            </w:pPr>
            <w:r w:rsidRPr="00D35EFD">
              <w:rPr>
                <w:rFonts w:ascii="Arial" w:hAnsi="Arial" w:cs="Arial"/>
                <w:i/>
                <w:iCs/>
                <w:sz w:val="16"/>
                <w:szCs w:val="16"/>
              </w:rPr>
              <w:t>N/A</w:t>
            </w:r>
          </w:p>
        </w:tc>
        <w:tc>
          <w:tcPr>
            <w:tcW w:w="709" w:type="dxa"/>
            <w:tcBorders>
              <w:top w:val="nil"/>
              <w:left w:val="nil"/>
              <w:bottom w:val="dotted" w:sz="4" w:space="0" w:color="auto"/>
              <w:right w:val="dotted" w:sz="4" w:space="0" w:color="auto"/>
            </w:tcBorders>
            <w:noWrap/>
            <w:vAlign w:val="center"/>
          </w:tcPr>
          <w:p w:rsidR="00DE341A" w:rsidRPr="00D35EFD" w:rsidRDefault="00DE341A" w:rsidP="008216A0">
            <w:pPr>
              <w:jc w:val="center"/>
              <w:rPr>
                <w:rFonts w:ascii="Arial" w:hAnsi="Arial" w:cs="Arial"/>
                <w:i/>
                <w:iCs/>
                <w:sz w:val="16"/>
                <w:szCs w:val="16"/>
              </w:rPr>
            </w:pPr>
            <w:r w:rsidRPr="00D35EFD">
              <w:rPr>
                <w:rFonts w:ascii="Arial" w:hAnsi="Arial" w:cs="Arial"/>
                <w:i/>
                <w:iCs/>
                <w:sz w:val="16"/>
                <w:szCs w:val="16"/>
              </w:rPr>
              <w:t>N/A</w:t>
            </w:r>
          </w:p>
        </w:tc>
        <w:tc>
          <w:tcPr>
            <w:tcW w:w="709" w:type="dxa"/>
            <w:tcBorders>
              <w:top w:val="nil"/>
              <w:left w:val="nil"/>
              <w:bottom w:val="dotted" w:sz="4" w:space="0" w:color="auto"/>
              <w:right w:val="dotted" w:sz="4" w:space="0" w:color="auto"/>
            </w:tcBorders>
            <w:noWrap/>
            <w:vAlign w:val="center"/>
          </w:tcPr>
          <w:p w:rsidR="00DE341A" w:rsidRPr="00D35EFD" w:rsidRDefault="00DE341A" w:rsidP="008216A0">
            <w:pPr>
              <w:jc w:val="center"/>
              <w:rPr>
                <w:rFonts w:ascii="Arial" w:hAnsi="Arial" w:cs="Arial"/>
                <w:i/>
                <w:iCs/>
                <w:sz w:val="16"/>
                <w:szCs w:val="16"/>
              </w:rPr>
            </w:pPr>
            <w:r w:rsidRPr="00D35EFD">
              <w:rPr>
                <w:rFonts w:ascii="Arial" w:hAnsi="Arial" w:cs="Arial"/>
                <w:i/>
                <w:iCs/>
                <w:sz w:val="16"/>
                <w:szCs w:val="16"/>
              </w:rPr>
              <w:t>N/A</w:t>
            </w:r>
          </w:p>
        </w:tc>
        <w:tc>
          <w:tcPr>
            <w:tcW w:w="709" w:type="dxa"/>
            <w:tcBorders>
              <w:top w:val="nil"/>
              <w:left w:val="nil"/>
              <w:bottom w:val="dotted" w:sz="4" w:space="0" w:color="auto"/>
              <w:right w:val="dotted" w:sz="4" w:space="0" w:color="auto"/>
            </w:tcBorders>
            <w:noWrap/>
            <w:vAlign w:val="center"/>
          </w:tcPr>
          <w:p w:rsidR="00DE341A" w:rsidRPr="00D35EFD" w:rsidRDefault="00DE341A" w:rsidP="008216A0">
            <w:pPr>
              <w:jc w:val="center"/>
              <w:rPr>
                <w:rFonts w:ascii="Arial" w:hAnsi="Arial" w:cs="Arial"/>
                <w:i/>
                <w:iCs/>
                <w:sz w:val="16"/>
                <w:szCs w:val="16"/>
              </w:rPr>
            </w:pPr>
            <w:r w:rsidRPr="00D35EFD">
              <w:rPr>
                <w:rFonts w:ascii="Arial" w:hAnsi="Arial" w:cs="Arial"/>
                <w:i/>
                <w:iCs/>
                <w:sz w:val="16"/>
                <w:szCs w:val="16"/>
              </w:rPr>
              <w:t>N/A</w:t>
            </w:r>
          </w:p>
        </w:tc>
        <w:tc>
          <w:tcPr>
            <w:tcW w:w="850" w:type="dxa"/>
            <w:tcBorders>
              <w:top w:val="nil"/>
              <w:left w:val="nil"/>
              <w:bottom w:val="dotted" w:sz="4" w:space="0" w:color="auto"/>
              <w:right w:val="dotted" w:sz="4" w:space="0" w:color="auto"/>
            </w:tcBorders>
            <w:noWrap/>
            <w:vAlign w:val="center"/>
          </w:tcPr>
          <w:p w:rsidR="00DE341A" w:rsidRPr="00D35EFD" w:rsidRDefault="00DE341A" w:rsidP="008216A0">
            <w:pPr>
              <w:jc w:val="center"/>
              <w:rPr>
                <w:rFonts w:ascii="Arial" w:hAnsi="Arial" w:cs="Arial"/>
                <w:i/>
                <w:iCs/>
                <w:sz w:val="16"/>
                <w:szCs w:val="16"/>
              </w:rPr>
            </w:pPr>
            <w:r w:rsidRPr="00D35EFD">
              <w:rPr>
                <w:rFonts w:ascii="Arial" w:hAnsi="Arial" w:cs="Arial"/>
                <w:i/>
                <w:iCs/>
                <w:sz w:val="16"/>
                <w:szCs w:val="16"/>
              </w:rPr>
              <w:t>N/A</w:t>
            </w:r>
          </w:p>
        </w:tc>
        <w:tc>
          <w:tcPr>
            <w:tcW w:w="496" w:type="dxa"/>
            <w:tcBorders>
              <w:top w:val="nil"/>
              <w:left w:val="nil"/>
              <w:bottom w:val="dotted" w:sz="4" w:space="0" w:color="auto"/>
              <w:right w:val="dotted" w:sz="4" w:space="0" w:color="auto"/>
            </w:tcBorders>
            <w:noWrap/>
            <w:vAlign w:val="center"/>
          </w:tcPr>
          <w:p w:rsidR="00DE341A" w:rsidRPr="00D35EFD" w:rsidRDefault="00DE341A" w:rsidP="008216A0">
            <w:pPr>
              <w:jc w:val="center"/>
              <w:rPr>
                <w:rFonts w:ascii="Arial" w:hAnsi="Arial" w:cs="Arial"/>
                <w:i/>
                <w:iCs/>
                <w:sz w:val="16"/>
                <w:szCs w:val="16"/>
              </w:rPr>
            </w:pPr>
            <w:r w:rsidRPr="00D35EFD">
              <w:rPr>
                <w:rFonts w:ascii="Arial" w:hAnsi="Arial" w:cs="Arial"/>
                <w:i/>
                <w:iCs/>
                <w:sz w:val="16"/>
                <w:szCs w:val="16"/>
              </w:rPr>
              <w:t>N/A</w:t>
            </w:r>
          </w:p>
        </w:tc>
        <w:tc>
          <w:tcPr>
            <w:tcW w:w="496" w:type="dxa"/>
            <w:tcBorders>
              <w:top w:val="nil"/>
              <w:left w:val="nil"/>
              <w:bottom w:val="dotted" w:sz="4" w:space="0" w:color="auto"/>
              <w:right w:val="dotted" w:sz="4" w:space="0" w:color="auto"/>
            </w:tcBorders>
            <w:noWrap/>
            <w:vAlign w:val="center"/>
          </w:tcPr>
          <w:p w:rsidR="00DE341A" w:rsidRPr="00D35EFD" w:rsidRDefault="00DE341A" w:rsidP="008216A0">
            <w:pPr>
              <w:jc w:val="center"/>
              <w:rPr>
                <w:rFonts w:ascii="Arial" w:hAnsi="Arial" w:cs="Arial"/>
                <w:i/>
                <w:iCs/>
                <w:sz w:val="16"/>
                <w:szCs w:val="16"/>
              </w:rPr>
            </w:pPr>
            <w:r w:rsidRPr="00D35EFD">
              <w:rPr>
                <w:rFonts w:ascii="Arial" w:hAnsi="Arial" w:cs="Arial"/>
                <w:i/>
                <w:iCs/>
                <w:sz w:val="16"/>
                <w:szCs w:val="16"/>
              </w:rPr>
              <w:t>N/A</w:t>
            </w:r>
          </w:p>
        </w:tc>
        <w:tc>
          <w:tcPr>
            <w:tcW w:w="709" w:type="dxa"/>
            <w:tcBorders>
              <w:top w:val="nil"/>
              <w:left w:val="nil"/>
              <w:bottom w:val="dotted" w:sz="4" w:space="0" w:color="auto"/>
              <w:right w:val="dotted" w:sz="4" w:space="0" w:color="auto"/>
            </w:tcBorders>
            <w:noWrap/>
            <w:vAlign w:val="center"/>
          </w:tcPr>
          <w:p w:rsidR="00DE341A" w:rsidRPr="00D35EFD" w:rsidRDefault="00DE341A" w:rsidP="008216A0">
            <w:pPr>
              <w:jc w:val="center"/>
              <w:rPr>
                <w:rFonts w:ascii="Arial" w:hAnsi="Arial" w:cs="Arial"/>
                <w:b/>
                <w:bCs/>
                <w:sz w:val="16"/>
                <w:szCs w:val="16"/>
              </w:rPr>
            </w:pPr>
            <w:r w:rsidRPr="00D35EFD">
              <w:rPr>
                <w:rFonts w:ascii="Arial" w:hAnsi="Arial" w:cs="Arial"/>
                <w:b/>
                <w:bCs/>
                <w:sz w:val="16"/>
                <w:szCs w:val="16"/>
              </w:rPr>
              <w:t>20</w:t>
            </w:r>
          </w:p>
        </w:tc>
        <w:tc>
          <w:tcPr>
            <w:tcW w:w="709" w:type="dxa"/>
            <w:tcBorders>
              <w:top w:val="nil"/>
              <w:left w:val="nil"/>
              <w:bottom w:val="dotted" w:sz="4" w:space="0" w:color="auto"/>
              <w:right w:val="dotted" w:sz="4" w:space="0" w:color="auto"/>
            </w:tcBorders>
            <w:noWrap/>
            <w:vAlign w:val="center"/>
          </w:tcPr>
          <w:p w:rsidR="00DE341A" w:rsidRPr="00D35EFD" w:rsidRDefault="00DE341A" w:rsidP="008216A0">
            <w:pPr>
              <w:jc w:val="center"/>
              <w:rPr>
                <w:rFonts w:ascii="Arial" w:hAnsi="Arial" w:cs="Arial"/>
                <w:b/>
                <w:bCs/>
                <w:sz w:val="16"/>
                <w:szCs w:val="16"/>
              </w:rPr>
            </w:pPr>
            <w:r w:rsidRPr="00D35EFD">
              <w:rPr>
                <w:rFonts w:ascii="Arial" w:hAnsi="Arial" w:cs="Arial"/>
                <w:b/>
                <w:bCs/>
                <w:sz w:val="16"/>
                <w:szCs w:val="16"/>
              </w:rPr>
              <w:t>20</w:t>
            </w:r>
          </w:p>
        </w:tc>
        <w:tc>
          <w:tcPr>
            <w:tcW w:w="851" w:type="dxa"/>
            <w:tcBorders>
              <w:top w:val="nil"/>
              <w:left w:val="nil"/>
              <w:bottom w:val="dotted" w:sz="4" w:space="0" w:color="auto"/>
              <w:right w:val="single" w:sz="4" w:space="0" w:color="auto"/>
            </w:tcBorders>
            <w:noWrap/>
            <w:vAlign w:val="center"/>
          </w:tcPr>
          <w:p w:rsidR="00DE341A" w:rsidRPr="00D35EFD" w:rsidRDefault="00DE341A" w:rsidP="008216A0">
            <w:pPr>
              <w:jc w:val="center"/>
              <w:rPr>
                <w:rFonts w:ascii="Arial" w:hAnsi="Arial" w:cs="Arial"/>
                <w:i/>
                <w:iCs/>
                <w:sz w:val="16"/>
                <w:szCs w:val="16"/>
              </w:rPr>
            </w:pPr>
            <w:r>
              <w:rPr>
                <w:rFonts w:ascii="Arial" w:hAnsi="Arial" w:cs="Arial"/>
                <w:i/>
                <w:iCs/>
                <w:sz w:val="16"/>
                <w:szCs w:val="16"/>
              </w:rPr>
              <w:t>23,57</w:t>
            </w:r>
            <w:r w:rsidRPr="00D35EFD">
              <w:rPr>
                <w:rFonts w:ascii="Arial" w:hAnsi="Arial" w:cs="Arial"/>
                <w:i/>
                <w:iCs/>
                <w:sz w:val="16"/>
                <w:szCs w:val="16"/>
              </w:rPr>
              <w:t>%</w:t>
            </w:r>
          </w:p>
        </w:tc>
      </w:tr>
      <w:tr w:rsidR="00A1232F" w:rsidRPr="00D35EFD" w:rsidTr="0039268C">
        <w:trPr>
          <w:trHeight w:val="20"/>
        </w:trPr>
        <w:tc>
          <w:tcPr>
            <w:tcW w:w="1149" w:type="dxa"/>
            <w:vMerge/>
            <w:tcBorders>
              <w:top w:val="single" w:sz="4" w:space="0" w:color="000000"/>
              <w:left w:val="single" w:sz="4" w:space="0" w:color="auto"/>
              <w:bottom w:val="single" w:sz="4" w:space="0" w:color="000000"/>
              <w:right w:val="single" w:sz="4" w:space="0" w:color="auto"/>
            </w:tcBorders>
            <w:shd w:val="clear" w:color="auto" w:fill="EAF1DD"/>
            <w:vAlign w:val="center"/>
          </w:tcPr>
          <w:p w:rsidR="00DE341A" w:rsidRPr="00D35EFD" w:rsidRDefault="00DE341A" w:rsidP="008216A0">
            <w:pPr>
              <w:rPr>
                <w:rFonts w:ascii="Arial" w:hAnsi="Arial" w:cs="Arial"/>
                <w:sz w:val="16"/>
                <w:szCs w:val="16"/>
              </w:rPr>
            </w:pPr>
          </w:p>
        </w:tc>
        <w:tc>
          <w:tcPr>
            <w:tcW w:w="1134" w:type="dxa"/>
            <w:tcBorders>
              <w:top w:val="nil"/>
              <w:left w:val="nil"/>
              <w:bottom w:val="single" w:sz="4" w:space="0" w:color="auto"/>
              <w:right w:val="single" w:sz="4" w:space="0" w:color="auto"/>
            </w:tcBorders>
            <w:shd w:val="clear" w:color="000000" w:fill="auto"/>
            <w:noWrap/>
            <w:vAlign w:val="center"/>
          </w:tcPr>
          <w:p w:rsidR="00DE341A" w:rsidRPr="00D35EFD" w:rsidRDefault="00DE341A" w:rsidP="008216A0">
            <w:pPr>
              <w:rPr>
                <w:rFonts w:ascii="Arial" w:hAnsi="Arial" w:cs="Arial"/>
                <w:sz w:val="16"/>
                <w:szCs w:val="16"/>
              </w:rPr>
            </w:pPr>
            <w:r w:rsidRPr="00D35EFD">
              <w:rPr>
                <w:rFonts w:ascii="Arial" w:hAnsi="Arial" w:cs="Arial"/>
                <w:sz w:val="16"/>
                <w:szCs w:val="16"/>
              </w:rPr>
              <w:t>Východisko</w:t>
            </w:r>
          </w:p>
        </w:tc>
        <w:tc>
          <w:tcPr>
            <w:tcW w:w="496" w:type="dxa"/>
            <w:tcBorders>
              <w:top w:val="nil"/>
              <w:left w:val="nil"/>
              <w:bottom w:val="single" w:sz="4" w:space="0" w:color="auto"/>
              <w:right w:val="dotted" w:sz="4" w:space="0" w:color="auto"/>
            </w:tcBorders>
            <w:noWrap/>
            <w:vAlign w:val="center"/>
          </w:tcPr>
          <w:p w:rsidR="00DE341A" w:rsidRPr="00D35EFD" w:rsidRDefault="00DE341A" w:rsidP="008216A0">
            <w:pPr>
              <w:jc w:val="center"/>
              <w:rPr>
                <w:rFonts w:ascii="Arial" w:hAnsi="Arial" w:cs="Arial"/>
                <w:b/>
                <w:bCs/>
                <w:sz w:val="16"/>
                <w:szCs w:val="16"/>
              </w:rPr>
            </w:pPr>
            <w:r w:rsidRPr="00D35EFD">
              <w:rPr>
                <w:rFonts w:ascii="Arial" w:hAnsi="Arial" w:cs="Arial"/>
                <w:b/>
                <w:bCs/>
                <w:sz w:val="16"/>
                <w:szCs w:val="16"/>
              </w:rPr>
              <w:t>0</w:t>
            </w:r>
          </w:p>
        </w:tc>
        <w:tc>
          <w:tcPr>
            <w:tcW w:w="496" w:type="dxa"/>
            <w:tcBorders>
              <w:top w:val="nil"/>
              <w:left w:val="nil"/>
              <w:bottom w:val="single" w:sz="4" w:space="0" w:color="auto"/>
              <w:right w:val="dotted" w:sz="4" w:space="0" w:color="auto"/>
            </w:tcBorders>
            <w:noWrap/>
            <w:vAlign w:val="center"/>
          </w:tcPr>
          <w:p w:rsidR="00DE341A" w:rsidRPr="00D35EFD" w:rsidRDefault="00DE341A" w:rsidP="008216A0">
            <w:pPr>
              <w:jc w:val="center"/>
              <w:rPr>
                <w:rFonts w:ascii="Arial" w:hAnsi="Arial" w:cs="Arial"/>
                <w:i/>
                <w:iCs/>
                <w:sz w:val="16"/>
                <w:szCs w:val="16"/>
              </w:rPr>
            </w:pPr>
            <w:r w:rsidRPr="00D35EFD">
              <w:rPr>
                <w:rFonts w:ascii="Arial" w:hAnsi="Arial" w:cs="Arial"/>
                <w:i/>
                <w:iCs/>
                <w:sz w:val="16"/>
                <w:szCs w:val="16"/>
              </w:rPr>
              <w:t>N/A</w:t>
            </w:r>
          </w:p>
        </w:tc>
        <w:tc>
          <w:tcPr>
            <w:tcW w:w="709" w:type="dxa"/>
            <w:tcBorders>
              <w:top w:val="nil"/>
              <w:left w:val="nil"/>
              <w:bottom w:val="single" w:sz="4" w:space="0" w:color="auto"/>
              <w:right w:val="dotted" w:sz="4" w:space="0" w:color="auto"/>
            </w:tcBorders>
            <w:noWrap/>
            <w:vAlign w:val="center"/>
          </w:tcPr>
          <w:p w:rsidR="00DE341A" w:rsidRPr="00D35EFD" w:rsidRDefault="00DE341A" w:rsidP="008216A0">
            <w:pPr>
              <w:jc w:val="center"/>
              <w:rPr>
                <w:rFonts w:ascii="Arial" w:hAnsi="Arial" w:cs="Arial"/>
                <w:i/>
                <w:iCs/>
                <w:sz w:val="16"/>
                <w:szCs w:val="16"/>
              </w:rPr>
            </w:pPr>
            <w:r w:rsidRPr="00D35EFD">
              <w:rPr>
                <w:rFonts w:ascii="Arial" w:hAnsi="Arial" w:cs="Arial"/>
                <w:i/>
                <w:iCs/>
                <w:sz w:val="16"/>
                <w:szCs w:val="16"/>
              </w:rPr>
              <w:t>N/A</w:t>
            </w:r>
          </w:p>
        </w:tc>
        <w:tc>
          <w:tcPr>
            <w:tcW w:w="709" w:type="dxa"/>
            <w:tcBorders>
              <w:top w:val="nil"/>
              <w:left w:val="nil"/>
              <w:bottom w:val="single" w:sz="4" w:space="0" w:color="auto"/>
              <w:right w:val="dotted" w:sz="4" w:space="0" w:color="auto"/>
            </w:tcBorders>
            <w:noWrap/>
            <w:vAlign w:val="center"/>
          </w:tcPr>
          <w:p w:rsidR="00DE341A" w:rsidRPr="00D35EFD" w:rsidRDefault="00DE341A" w:rsidP="008216A0">
            <w:pPr>
              <w:jc w:val="center"/>
              <w:rPr>
                <w:rFonts w:ascii="Arial" w:hAnsi="Arial" w:cs="Arial"/>
                <w:i/>
                <w:iCs/>
                <w:sz w:val="16"/>
                <w:szCs w:val="16"/>
              </w:rPr>
            </w:pPr>
            <w:r w:rsidRPr="00D35EFD">
              <w:rPr>
                <w:rFonts w:ascii="Arial" w:hAnsi="Arial" w:cs="Arial"/>
                <w:i/>
                <w:iCs/>
                <w:sz w:val="16"/>
                <w:szCs w:val="16"/>
              </w:rPr>
              <w:t>N/A</w:t>
            </w:r>
          </w:p>
        </w:tc>
        <w:tc>
          <w:tcPr>
            <w:tcW w:w="709" w:type="dxa"/>
            <w:tcBorders>
              <w:top w:val="nil"/>
              <w:left w:val="nil"/>
              <w:bottom w:val="single" w:sz="4" w:space="0" w:color="auto"/>
              <w:right w:val="dotted" w:sz="4" w:space="0" w:color="auto"/>
            </w:tcBorders>
            <w:noWrap/>
            <w:vAlign w:val="center"/>
          </w:tcPr>
          <w:p w:rsidR="00DE341A" w:rsidRPr="00D35EFD" w:rsidRDefault="00DE341A" w:rsidP="008216A0">
            <w:pPr>
              <w:jc w:val="center"/>
              <w:rPr>
                <w:rFonts w:ascii="Arial" w:hAnsi="Arial" w:cs="Arial"/>
                <w:i/>
                <w:iCs/>
                <w:sz w:val="16"/>
                <w:szCs w:val="16"/>
              </w:rPr>
            </w:pPr>
            <w:r w:rsidRPr="00D35EFD">
              <w:rPr>
                <w:rFonts w:ascii="Arial" w:hAnsi="Arial" w:cs="Arial"/>
                <w:i/>
                <w:iCs/>
                <w:sz w:val="16"/>
                <w:szCs w:val="16"/>
              </w:rPr>
              <w:t>N/A</w:t>
            </w:r>
          </w:p>
        </w:tc>
        <w:tc>
          <w:tcPr>
            <w:tcW w:w="850" w:type="dxa"/>
            <w:tcBorders>
              <w:top w:val="nil"/>
              <w:left w:val="nil"/>
              <w:bottom w:val="single" w:sz="4" w:space="0" w:color="auto"/>
              <w:right w:val="dotted" w:sz="4" w:space="0" w:color="auto"/>
            </w:tcBorders>
            <w:noWrap/>
            <w:vAlign w:val="center"/>
          </w:tcPr>
          <w:p w:rsidR="00DE341A" w:rsidRPr="00D35EFD" w:rsidRDefault="00DE341A" w:rsidP="008216A0">
            <w:pPr>
              <w:jc w:val="center"/>
              <w:rPr>
                <w:rFonts w:ascii="Arial" w:hAnsi="Arial" w:cs="Arial"/>
                <w:i/>
                <w:iCs/>
                <w:sz w:val="16"/>
                <w:szCs w:val="16"/>
              </w:rPr>
            </w:pPr>
            <w:r w:rsidRPr="00D35EFD">
              <w:rPr>
                <w:rFonts w:ascii="Arial" w:hAnsi="Arial" w:cs="Arial"/>
                <w:i/>
                <w:iCs/>
                <w:sz w:val="16"/>
                <w:szCs w:val="16"/>
              </w:rPr>
              <w:t>N/A</w:t>
            </w:r>
          </w:p>
        </w:tc>
        <w:tc>
          <w:tcPr>
            <w:tcW w:w="496" w:type="dxa"/>
            <w:tcBorders>
              <w:top w:val="nil"/>
              <w:left w:val="nil"/>
              <w:bottom w:val="single" w:sz="4" w:space="0" w:color="auto"/>
              <w:right w:val="dotted" w:sz="4" w:space="0" w:color="auto"/>
            </w:tcBorders>
            <w:noWrap/>
            <w:vAlign w:val="center"/>
          </w:tcPr>
          <w:p w:rsidR="00DE341A" w:rsidRPr="00D35EFD" w:rsidRDefault="00DE341A" w:rsidP="008216A0">
            <w:pPr>
              <w:jc w:val="center"/>
              <w:rPr>
                <w:rFonts w:ascii="Arial" w:hAnsi="Arial" w:cs="Arial"/>
                <w:i/>
                <w:iCs/>
                <w:sz w:val="16"/>
                <w:szCs w:val="16"/>
              </w:rPr>
            </w:pPr>
            <w:r w:rsidRPr="00D35EFD">
              <w:rPr>
                <w:rFonts w:ascii="Arial" w:hAnsi="Arial" w:cs="Arial"/>
                <w:i/>
                <w:iCs/>
                <w:sz w:val="16"/>
                <w:szCs w:val="16"/>
              </w:rPr>
              <w:t>N/A</w:t>
            </w:r>
          </w:p>
        </w:tc>
        <w:tc>
          <w:tcPr>
            <w:tcW w:w="496" w:type="dxa"/>
            <w:tcBorders>
              <w:top w:val="nil"/>
              <w:left w:val="nil"/>
              <w:bottom w:val="single" w:sz="4" w:space="0" w:color="auto"/>
              <w:right w:val="dotted" w:sz="4" w:space="0" w:color="auto"/>
            </w:tcBorders>
            <w:noWrap/>
            <w:vAlign w:val="center"/>
          </w:tcPr>
          <w:p w:rsidR="00DE341A" w:rsidRPr="00D35EFD" w:rsidRDefault="00DE341A" w:rsidP="008216A0">
            <w:pPr>
              <w:jc w:val="center"/>
              <w:rPr>
                <w:rFonts w:ascii="Arial" w:hAnsi="Arial" w:cs="Arial"/>
                <w:i/>
                <w:iCs/>
                <w:sz w:val="16"/>
                <w:szCs w:val="16"/>
              </w:rPr>
            </w:pPr>
            <w:r w:rsidRPr="00D35EFD">
              <w:rPr>
                <w:rFonts w:ascii="Arial" w:hAnsi="Arial" w:cs="Arial"/>
                <w:i/>
                <w:iCs/>
                <w:sz w:val="16"/>
                <w:szCs w:val="16"/>
              </w:rPr>
              <w:t>N/A</w:t>
            </w:r>
          </w:p>
        </w:tc>
        <w:tc>
          <w:tcPr>
            <w:tcW w:w="709" w:type="dxa"/>
            <w:tcBorders>
              <w:top w:val="nil"/>
              <w:left w:val="nil"/>
              <w:bottom w:val="single" w:sz="4" w:space="0" w:color="auto"/>
              <w:right w:val="dotted" w:sz="4" w:space="0" w:color="auto"/>
            </w:tcBorders>
            <w:noWrap/>
            <w:vAlign w:val="center"/>
          </w:tcPr>
          <w:p w:rsidR="00DE341A" w:rsidRPr="00D35EFD" w:rsidRDefault="00DE341A" w:rsidP="008216A0">
            <w:pPr>
              <w:jc w:val="center"/>
              <w:rPr>
                <w:rFonts w:ascii="Arial" w:hAnsi="Arial" w:cs="Arial"/>
                <w:i/>
                <w:iCs/>
                <w:sz w:val="16"/>
                <w:szCs w:val="16"/>
              </w:rPr>
            </w:pPr>
            <w:r w:rsidRPr="00D35EFD">
              <w:rPr>
                <w:rFonts w:ascii="Arial" w:hAnsi="Arial" w:cs="Arial"/>
                <w:i/>
                <w:iCs/>
                <w:sz w:val="16"/>
                <w:szCs w:val="16"/>
              </w:rPr>
              <w:t>N/A</w:t>
            </w:r>
          </w:p>
        </w:tc>
        <w:tc>
          <w:tcPr>
            <w:tcW w:w="709" w:type="dxa"/>
            <w:tcBorders>
              <w:top w:val="nil"/>
              <w:left w:val="nil"/>
              <w:bottom w:val="single" w:sz="4" w:space="0" w:color="auto"/>
              <w:right w:val="dotted" w:sz="4" w:space="0" w:color="auto"/>
            </w:tcBorders>
            <w:noWrap/>
            <w:vAlign w:val="center"/>
          </w:tcPr>
          <w:p w:rsidR="00DE341A" w:rsidRPr="00D35EFD" w:rsidRDefault="00DE341A" w:rsidP="008216A0">
            <w:pPr>
              <w:jc w:val="center"/>
              <w:rPr>
                <w:rFonts w:ascii="Arial" w:hAnsi="Arial" w:cs="Arial"/>
                <w:b/>
                <w:bCs/>
                <w:sz w:val="16"/>
                <w:szCs w:val="16"/>
              </w:rPr>
            </w:pPr>
            <w:r w:rsidRPr="00D35EFD">
              <w:rPr>
                <w:rFonts w:ascii="Arial" w:hAnsi="Arial" w:cs="Arial"/>
                <w:b/>
                <w:bCs/>
                <w:sz w:val="16"/>
                <w:szCs w:val="16"/>
              </w:rPr>
              <w:t>0</w:t>
            </w:r>
          </w:p>
        </w:tc>
        <w:tc>
          <w:tcPr>
            <w:tcW w:w="851" w:type="dxa"/>
            <w:tcBorders>
              <w:top w:val="nil"/>
              <w:left w:val="nil"/>
              <w:bottom w:val="single" w:sz="4" w:space="0" w:color="auto"/>
              <w:right w:val="single" w:sz="4" w:space="0" w:color="auto"/>
            </w:tcBorders>
            <w:noWrap/>
            <w:vAlign w:val="center"/>
          </w:tcPr>
          <w:p w:rsidR="00DE341A" w:rsidRPr="00D35EFD" w:rsidRDefault="00DE341A" w:rsidP="008216A0">
            <w:pPr>
              <w:jc w:val="center"/>
              <w:rPr>
                <w:rFonts w:ascii="Arial" w:hAnsi="Arial" w:cs="Arial"/>
                <w:sz w:val="16"/>
                <w:szCs w:val="16"/>
              </w:rPr>
            </w:pPr>
          </w:p>
        </w:tc>
      </w:tr>
    </w:tbl>
    <w:p w:rsidR="002416B1" w:rsidRPr="006A2BF3" w:rsidRDefault="00000CC9" w:rsidP="008216A0">
      <w:pPr>
        <w:spacing w:line="360" w:lineRule="auto"/>
        <w:jc w:val="both"/>
        <w:rPr>
          <w:rFonts w:ascii="Arial" w:hAnsi="Arial" w:cs="Arial"/>
          <w:sz w:val="16"/>
          <w:szCs w:val="16"/>
        </w:rPr>
      </w:pPr>
      <w:r>
        <w:rPr>
          <w:rFonts w:ascii="Arial" w:hAnsi="Arial" w:cs="Arial"/>
          <w:sz w:val="16"/>
          <w:szCs w:val="16"/>
        </w:rPr>
        <w:t>Zdroj: RO, ITMS</w:t>
      </w:r>
    </w:p>
    <w:p w:rsidR="002416B1" w:rsidRDefault="002416B1" w:rsidP="008216A0">
      <w:pPr>
        <w:spacing w:line="360" w:lineRule="auto"/>
        <w:jc w:val="both"/>
        <w:rPr>
          <w:rFonts w:ascii="Arial" w:hAnsi="Arial" w:cs="Arial"/>
          <w:i/>
          <w:sz w:val="16"/>
          <w:szCs w:val="16"/>
        </w:rPr>
      </w:pPr>
      <w:r w:rsidRPr="006A2BF3">
        <w:rPr>
          <w:rFonts w:ascii="Arial" w:hAnsi="Arial" w:cs="Arial"/>
          <w:i/>
          <w:sz w:val="16"/>
          <w:szCs w:val="16"/>
        </w:rPr>
        <w:t xml:space="preserve">1 - Údaj obsahuje deklarovanú cieľovú hodnotu projektov v zmysle zmluvy o NFP k 31. 12. </w:t>
      </w:r>
      <w:r w:rsidR="00EF446A">
        <w:rPr>
          <w:rFonts w:ascii="Arial" w:hAnsi="Arial" w:cs="Arial"/>
          <w:i/>
          <w:sz w:val="16"/>
          <w:szCs w:val="16"/>
        </w:rPr>
        <w:t>2012</w:t>
      </w:r>
      <w:r w:rsidRPr="006A2BF3">
        <w:rPr>
          <w:rFonts w:ascii="Arial" w:hAnsi="Arial" w:cs="Arial"/>
          <w:i/>
          <w:sz w:val="16"/>
          <w:szCs w:val="16"/>
        </w:rPr>
        <w:t>. Hodnota ukazovateľa dopadu na úrovni projektov sa vykazuje na základe následných monitorovacích správ, ktoré sú predkladané rok po skončení realizácie projektu. V súčasnosti prebieha realizácia projektov.</w:t>
      </w:r>
    </w:p>
    <w:p w:rsidR="00C82FBC" w:rsidRDefault="00C82FBC" w:rsidP="008216A0">
      <w:pPr>
        <w:spacing w:line="360" w:lineRule="auto"/>
        <w:jc w:val="both"/>
        <w:rPr>
          <w:rFonts w:ascii="Arial" w:hAnsi="Arial" w:cs="Arial"/>
          <w:i/>
          <w:sz w:val="16"/>
          <w:szCs w:val="16"/>
        </w:rPr>
      </w:pPr>
      <w:r w:rsidRPr="00C82FBC">
        <w:rPr>
          <w:rFonts w:ascii="Arial" w:hAnsi="Arial" w:cs="Arial"/>
          <w:i/>
          <w:iCs/>
          <w:sz w:val="16"/>
          <w:szCs w:val="16"/>
        </w:rPr>
        <w:t>Merané hodnoty ukazovateľov charakteru "počet projektov" predstavujú hodnoty zazmluvnených projektov</w:t>
      </w:r>
      <w:r w:rsidR="00A1232F">
        <w:rPr>
          <w:rFonts w:ascii="Arial" w:hAnsi="Arial" w:cs="Arial"/>
          <w:i/>
          <w:iCs/>
          <w:sz w:val="16"/>
          <w:szCs w:val="16"/>
        </w:rPr>
        <w:t xml:space="preserve"> (bez mimoriadne ukončených)</w:t>
      </w:r>
      <w:r w:rsidRPr="00C82FBC">
        <w:rPr>
          <w:rFonts w:ascii="Arial" w:hAnsi="Arial" w:cs="Arial"/>
          <w:i/>
          <w:iCs/>
          <w:sz w:val="16"/>
          <w:szCs w:val="16"/>
        </w:rPr>
        <w:t>.</w:t>
      </w:r>
    </w:p>
    <w:p w:rsidR="001B62A1" w:rsidRDefault="00E56C3E" w:rsidP="008216A0">
      <w:pPr>
        <w:spacing w:line="360" w:lineRule="auto"/>
        <w:jc w:val="both"/>
        <w:rPr>
          <w:rFonts w:ascii="Arial" w:hAnsi="Arial" w:cs="Arial"/>
          <w:i/>
          <w:iCs/>
          <w:sz w:val="16"/>
          <w:szCs w:val="16"/>
        </w:rPr>
      </w:pPr>
      <w:r w:rsidRPr="00E56C3E">
        <w:rPr>
          <w:rFonts w:ascii="Arial" w:hAnsi="Arial" w:cs="Arial"/>
          <w:i/>
          <w:iCs/>
          <w:sz w:val="16"/>
          <w:szCs w:val="16"/>
        </w:rPr>
        <w:t>V prípade východiskových a cieľových hodnôt ukazovateľov HP RP v rámci OP ŽP sa jedná o hodnoty len projektov OP ŽP s relevanciou k HP RP.</w:t>
      </w:r>
    </w:p>
    <w:p w:rsidR="002416B1" w:rsidRPr="007B7404" w:rsidRDefault="002416B1" w:rsidP="00507035">
      <w:pPr>
        <w:spacing w:before="120" w:after="120" w:line="360" w:lineRule="auto"/>
        <w:jc w:val="both"/>
        <w:rPr>
          <w:rFonts w:ascii="Arial" w:hAnsi="Arial" w:cs="Arial"/>
          <w:sz w:val="20"/>
          <w:szCs w:val="20"/>
        </w:rPr>
      </w:pPr>
      <w:r w:rsidRPr="004B33AE">
        <w:rPr>
          <w:rFonts w:ascii="Arial" w:hAnsi="Arial" w:cs="Arial"/>
          <w:sz w:val="20"/>
          <w:szCs w:val="20"/>
        </w:rPr>
        <w:t xml:space="preserve">Plnenie cieľov HP RP na úrovni programu sa posudzuje prostredníctvom vykazovania a následnej analýzy ukazovateľov HP RP. Pokiaľ ide o implementáciu HP RP kumulatívne od začiatku programového obdobia, </w:t>
      </w:r>
      <w:r w:rsidRPr="007B7404">
        <w:rPr>
          <w:rFonts w:ascii="Arial" w:hAnsi="Arial" w:cs="Arial"/>
          <w:sz w:val="20"/>
          <w:szCs w:val="20"/>
        </w:rPr>
        <w:t>plnenie uvedených ukazovateľov je ovplyvňované najmä stavom projektu (schválený/zazmluvnený/v realizácii), ako aj čerpaním oprávnených výdavkov projektu</w:t>
      </w:r>
      <w:r>
        <w:rPr>
          <w:rFonts w:ascii="Arial" w:hAnsi="Arial" w:cs="Arial"/>
          <w:sz w:val="20"/>
          <w:szCs w:val="20"/>
        </w:rPr>
        <w:t>.</w:t>
      </w:r>
      <w:r w:rsidRPr="007B7404">
        <w:rPr>
          <w:rFonts w:ascii="Arial" w:hAnsi="Arial" w:cs="Arial"/>
          <w:sz w:val="20"/>
          <w:szCs w:val="20"/>
        </w:rPr>
        <w:t xml:space="preserve"> V</w:t>
      </w:r>
      <w:r>
        <w:rPr>
          <w:rFonts w:ascii="Arial" w:hAnsi="Arial" w:cs="Arial"/>
          <w:sz w:val="20"/>
          <w:szCs w:val="20"/>
        </w:rPr>
        <w:t> posledných dvoch</w:t>
      </w:r>
      <w:r w:rsidRPr="007B7404">
        <w:rPr>
          <w:rFonts w:ascii="Arial" w:hAnsi="Arial" w:cs="Arial"/>
          <w:sz w:val="20"/>
          <w:szCs w:val="20"/>
        </w:rPr>
        <w:t xml:space="preserve"> rokoch však do</w:t>
      </w:r>
      <w:r>
        <w:rPr>
          <w:rFonts w:ascii="Arial" w:hAnsi="Arial" w:cs="Arial"/>
          <w:sz w:val="20"/>
          <w:szCs w:val="20"/>
        </w:rPr>
        <w:t>chádza</w:t>
      </w:r>
      <w:r w:rsidRPr="007B7404">
        <w:rPr>
          <w:rFonts w:ascii="Arial" w:hAnsi="Arial" w:cs="Arial"/>
          <w:sz w:val="20"/>
          <w:szCs w:val="20"/>
        </w:rPr>
        <w:t xml:space="preserve"> k pokroku a v roku 201</w:t>
      </w:r>
      <w:r w:rsidR="000766F3">
        <w:rPr>
          <w:rFonts w:ascii="Arial" w:hAnsi="Arial" w:cs="Arial"/>
          <w:sz w:val="20"/>
          <w:szCs w:val="20"/>
        </w:rPr>
        <w:t>2</w:t>
      </w:r>
      <w:r w:rsidRPr="007B7404">
        <w:rPr>
          <w:rFonts w:ascii="Arial" w:hAnsi="Arial" w:cs="Arial"/>
          <w:sz w:val="20"/>
          <w:szCs w:val="20"/>
        </w:rPr>
        <w:t xml:space="preserve"> sme zaznamenali 19</w:t>
      </w:r>
      <w:r w:rsidR="000766F3">
        <w:rPr>
          <w:rFonts w:ascii="Arial" w:hAnsi="Arial" w:cs="Arial"/>
          <w:sz w:val="20"/>
          <w:szCs w:val="20"/>
        </w:rPr>
        <w:t>3</w:t>
      </w:r>
      <w:r w:rsidRPr="007B7404">
        <w:rPr>
          <w:rFonts w:ascii="Arial" w:hAnsi="Arial" w:cs="Arial"/>
          <w:sz w:val="20"/>
          <w:szCs w:val="20"/>
        </w:rPr>
        <w:t xml:space="preserve"> p</w:t>
      </w:r>
      <w:r>
        <w:rPr>
          <w:rFonts w:ascii="Arial" w:hAnsi="Arial" w:cs="Arial"/>
          <w:sz w:val="20"/>
          <w:szCs w:val="20"/>
        </w:rPr>
        <w:t xml:space="preserve">rojektov s príspevkom k HP RP. </w:t>
      </w:r>
      <w:r w:rsidRPr="007B7404">
        <w:rPr>
          <w:rFonts w:ascii="Arial" w:hAnsi="Arial" w:cs="Arial"/>
          <w:sz w:val="20"/>
          <w:szCs w:val="20"/>
        </w:rPr>
        <w:t>Zvyšovanie hodnôt ukazovateľov očakávame aj v nasledujúcich rokoch.</w:t>
      </w:r>
    </w:p>
    <w:p w:rsidR="002416B1" w:rsidRPr="004B33AE" w:rsidRDefault="002416B1" w:rsidP="008216A0">
      <w:pPr>
        <w:spacing w:line="360" w:lineRule="auto"/>
        <w:jc w:val="both"/>
        <w:rPr>
          <w:rFonts w:ascii="Arial" w:hAnsi="Arial" w:cs="Arial"/>
          <w:sz w:val="20"/>
          <w:szCs w:val="20"/>
        </w:rPr>
      </w:pPr>
      <w:r w:rsidRPr="00236377">
        <w:rPr>
          <w:rFonts w:ascii="Arial" w:hAnsi="Arial" w:cs="Arial"/>
          <w:sz w:val="20"/>
          <w:szCs w:val="20"/>
        </w:rPr>
        <w:t xml:space="preserve">Tab. č. </w:t>
      </w:r>
      <w:r w:rsidR="00C63470" w:rsidRPr="00913072">
        <w:rPr>
          <w:rFonts w:ascii="Arial" w:hAnsi="Arial" w:cs="Arial"/>
          <w:sz w:val="20"/>
          <w:szCs w:val="20"/>
        </w:rPr>
        <w:t>7</w:t>
      </w:r>
      <w:r w:rsidR="00C63470">
        <w:rPr>
          <w:rFonts w:ascii="Arial" w:hAnsi="Arial" w:cs="Arial"/>
          <w:sz w:val="20"/>
          <w:szCs w:val="20"/>
        </w:rPr>
        <w:t>5</w:t>
      </w:r>
      <w:r w:rsidRPr="00913072">
        <w:rPr>
          <w:rFonts w:ascii="Arial" w:hAnsi="Arial" w:cs="Arial"/>
          <w:sz w:val="20"/>
          <w:szCs w:val="20"/>
        </w:rPr>
        <w:t xml:space="preserve">: </w:t>
      </w:r>
      <w:r w:rsidRPr="00D23B17">
        <w:rPr>
          <w:rFonts w:ascii="Arial" w:hAnsi="Arial" w:cs="Arial"/>
          <w:sz w:val="20"/>
          <w:szCs w:val="20"/>
        </w:rPr>
        <w:t>Stav</w:t>
      </w:r>
      <w:r w:rsidRPr="007B7404">
        <w:rPr>
          <w:rFonts w:ascii="Arial" w:hAnsi="Arial" w:cs="Arial"/>
          <w:sz w:val="20"/>
          <w:szCs w:val="20"/>
        </w:rPr>
        <w:t xml:space="preserve"> zazmluvnenia </w:t>
      </w:r>
      <w:r>
        <w:rPr>
          <w:rFonts w:ascii="Arial" w:hAnsi="Arial" w:cs="Arial"/>
          <w:sz w:val="20"/>
          <w:szCs w:val="20"/>
        </w:rPr>
        <w:t xml:space="preserve">HP RP </w:t>
      </w:r>
      <w:r w:rsidRPr="007B7404">
        <w:rPr>
          <w:rFonts w:ascii="Arial" w:hAnsi="Arial" w:cs="Arial"/>
          <w:sz w:val="20"/>
          <w:szCs w:val="20"/>
        </w:rPr>
        <w:t>podľa NUTS III k 31.12.201</w:t>
      </w:r>
      <w:r w:rsidR="000766F3">
        <w:rPr>
          <w:rFonts w:ascii="Arial" w:hAnsi="Arial" w:cs="Arial"/>
          <w:sz w:val="20"/>
          <w:szCs w:val="20"/>
        </w:rPr>
        <w:t>2</w:t>
      </w:r>
    </w:p>
    <w:tbl>
      <w:tblPr>
        <w:tblW w:w="0" w:type="auto"/>
        <w:tblInd w:w="55" w:type="dxa"/>
        <w:tblCellMar>
          <w:left w:w="70" w:type="dxa"/>
          <w:right w:w="70" w:type="dxa"/>
        </w:tblCellMar>
        <w:tblLook w:val="04A0" w:firstRow="1" w:lastRow="0" w:firstColumn="1" w:lastColumn="0" w:noHBand="0" w:noVBand="1"/>
      </w:tblPr>
      <w:tblGrid>
        <w:gridCol w:w="1464"/>
        <w:gridCol w:w="1508"/>
        <w:gridCol w:w="1538"/>
        <w:gridCol w:w="1528"/>
        <w:gridCol w:w="1556"/>
        <w:gridCol w:w="1561"/>
      </w:tblGrid>
      <w:tr w:rsidR="000766F3" w:rsidRPr="00D35EFD" w:rsidTr="00A50084">
        <w:trPr>
          <w:trHeight w:val="1185"/>
        </w:trPr>
        <w:tc>
          <w:tcPr>
            <w:tcW w:w="0" w:type="auto"/>
            <w:tcBorders>
              <w:top w:val="single" w:sz="4" w:space="0" w:color="auto"/>
              <w:left w:val="single" w:sz="4" w:space="0" w:color="auto"/>
              <w:bottom w:val="single" w:sz="4" w:space="0" w:color="auto"/>
              <w:right w:val="single" w:sz="4" w:space="0" w:color="auto"/>
            </w:tcBorders>
            <w:shd w:val="clear" w:color="000000" w:fill="CCFFCC"/>
            <w:vAlign w:val="center"/>
            <w:hideMark/>
          </w:tcPr>
          <w:p w:rsidR="000766F3" w:rsidRPr="00EA58ED" w:rsidRDefault="000766F3" w:rsidP="008216A0">
            <w:pPr>
              <w:jc w:val="center"/>
              <w:rPr>
                <w:rFonts w:ascii="Arial" w:hAnsi="Arial" w:cs="Arial"/>
                <w:b/>
                <w:bCs/>
                <w:color w:val="000000"/>
                <w:sz w:val="18"/>
                <w:szCs w:val="18"/>
              </w:rPr>
            </w:pPr>
            <w:r w:rsidRPr="00EA58ED">
              <w:rPr>
                <w:rFonts w:ascii="Arial" w:hAnsi="Arial" w:cs="Arial"/>
                <w:b/>
                <w:bCs/>
                <w:color w:val="000000"/>
                <w:sz w:val="18"/>
                <w:szCs w:val="18"/>
              </w:rPr>
              <w:t>Územie NUTS III</w:t>
            </w:r>
          </w:p>
        </w:tc>
        <w:tc>
          <w:tcPr>
            <w:tcW w:w="0" w:type="auto"/>
            <w:tcBorders>
              <w:top w:val="single" w:sz="4" w:space="0" w:color="auto"/>
              <w:left w:val="nil"/>
              <w:bottom w:val="single" w:sz="4" w:space="0" w:color="auto"/>
              <w:right w:val="single" w:sz="4" w:space="0" w:color="auto"/>
            </w:tcBorders>
            <w:shd w:val="clear" w:color="000000" w:fill="CCFFCC"/>
            <w:vAlign w:val="center"/>
            <w:hideMark/>
          </w:tcPr>
          <w:p w:rsidR="000766F3" w:rsidRPr="00EA58ED" w:rsidRDefault="000766F3" w:rsidP="008216A0">
            <w:pPr>
              <w:jc w:val="center"/>
              <w:rPr>
                <w:rFonts w:ascii="Arial" w:hAnsi="Arial" w:cs="Arial"/>
                <w:b/>
                <w:bCs/>
                <w:color w:val="000000"/>
                <w:sz w:val="18"/>
                <w:szCs w:val="18"/>
              </w:rPr>
            </w:pPr>
            <w:r w:rsidRPr="00EA58ED">
              <w:rPr>
                <w:rFonts w:ascii="Arial" w:hAnsi="Arial" w:cs="Arial"/>
                <w:b/>
                <w:bCs/>
                <w:color w:val="000000"/>
                <w:sz w:val="18"/>
                <w:szCs w:val="18"/>
              </w:rPr>
              <w:t>Počet zazmluvnených projektov celkovo</w:t>
            </w:r>
          </w:p>
        </w:tc>
        <w:tc>
          <w:tcPr>
            <w:tcW w:w="0" w:type="auto"/>
            <w:tcBorders>
              <w:top w:val="single" w:sz="4" w:space="0" w:color="auto"/>
              <w:left w:val="nil"/>
              <w:bottom w:val="single" w:sz="4" w:space="0" w:color="auto"/>
              <w:right w:val="single" w:sz="4" w:space="0" w:color="auto"/>
            </w:tcBorders>
            <w:shd w:val="clear" w:color="000000" w:fill="CCFFCC"/>
            <w:vAlign w:val="center"/>
            <w:hideMark/>
          </w:tcPr>
          <w:p w:rsidR="000766F3" w:rsidRPr="00EA58ED" w:rsidRDefault="000766F3" w:rsidP="008216A0">
            <w:pPr>
              <w:jc w:val="center"/>
              <w:rPr>
                <w:rFonts w:ascii="Arial" w:hAnsi="Arial" w:cs="Arial"/>
                <w:b/>
                <w:bCs/>
                <w:color w:val="000000"/>
                <w:sz w:val="18"/>
                <w:szCs w:val="18"/>
              </w:rPr>
            </w:pPr>
            <w:r w:rsidRPr="00EA58ED">
              <w:rPr>
                <w:rFonts w:ascii="Arial" w:hAnsi="Arial" w:cs="Arial"/>
                <w:b/>
                <w:bCs/>
                <w:color w:val="000000"/>
                <w:sz w:val="18"/>
                <w:szCs w:val="18"/>
              </w:rPr>
              <w:t>Celková výška zazmluvnených prostriedkov v €  (EU zdroje)</w:t>
            </w:r>
          </w:p>
        </w:tc>
        <w:tc>
          <w:tcPr>
            <w:tcW w:w="0" w:type="auto"/>
            <w:tcBorders>
              <w:top w:val="single" w:sz="4" w:space="0" w:color="auto"/>
              <w:left w:val="nil"/>
              <w:bottom w:val="single" w:sz="4" w:space="0" w:color="auto"/>
              <w:right w:val="single" w:sz="4" w:space="0" w:color="auto"/>
            </w:tcBorders>
            <w:shd w:val="clear" w:color="000000" w:fill="CCFFCC"/>
            <w:vAlign w:val="center"/>
            <w:hideMark/>
          </w:tcPr>
          <w:p w:rsidR="000766F3" w:rsidRPr="00EA58ED" w:rsidRDefault="000766F3" w:rsidP="008216A0">
            <w:pPr>
              <w:jc w:val="center"/>
              <w:rPr>
                <w:rFonts w:ascii="Arial" w:hAnsi="Arial" w:cs="Arial"/>
                <w:b/>
                <w:bCs/>
                <w:color w:val="000000"/>
                <w:sz w:val="18"/>
                <w:szCs w:val="18"/>
              </w:rPr>
            </w:pPr>
            <w:r w:rsidRPr="00EA58ED">
              <w:rPr>
                <w:rFonts w:ascii="Arial" w:hAnsi="Arial" w:cs="Arial"/>
                <w:b/>
                <w:bCs/>
                <w:color w:val="000000"/>
                <w:sz w:val="18"/>
                <w:szCs w:val="18"/>
              </w:rPr>
              <w:t>Počet zazmluvnených projektov s príspevkom HP RP</w:t>
            </w:r>
          </w:p>
        </w:tc>
        <w:tc>
          <w:tcPr>
            <w:tcW w:w="0" w:type="auto"/>
            <w:tcBorders>
              <w:top w:val="single" w:sz="4" w:space="0" w:color="auto"/>
              <w:left w:val="nil"/>
              <w:bottom w:val="single" w:sz="4" w:space="0" w:color="auto"/>
              <w:right w:val="single" w:sz="4" w:space="0" w:color="auto"/>
            </w:tcBorders>
            <w:shd w:val="clear" w:color="000000" w:fill="CCFFCC"/>
            <w:vAlign w:val="center"/>
            <w:hideMark/>
          </w:tcPr>
          <w:p w:rsidR="000766F3" w:rsidRPr="00EA58ED" w:rsidRDefault="000766F3" w:rsidP="008216A0">
            <w:pPr>
              <w:jc w:val="center"/>
              <w:rPr>
                <w:rFonts w:ascii="Arial" w:hAnsi="Arial" w:cs="Arial"/>
                <w:b/>
                <w:bCs/>
                <w:color w:val="000000"/>
                <w:sz w:val="18"/>
                <w:szCs w:val="18"/>
              </w:rPr>
            </w:pPr>
            <w:r w:rsidRPr="00EA58ED">
              <w:rPr>
                <w:rFonts w:ascii="Arial" w:hAnsi="Arial" w:cs="Arial"/>
                <w:b/>
                <w:bCs/>
                <w:color w:val="000000"/>
                <w:sz w:val="18"/>
                <w:szCs w:val="18"/>
              </w:rPr>
              <w:t>Výška zazmluvnených prostriedkov v € s príspevkom HP RP (EU zdroje)</w:t>
            </w:r>
          </w:p>
        </w:tc>
        <w:tc>
          <w:tcPr>
            <w:tcW w:w="0" w:type="auto"/>
            <w:tcBorders>
              <w:top w:val="single" w:sz="4" w:space="0" w:color="auto"/>
              <w:left w:val="nil"/>
              <w:bottom w:val="single" w:sz="4" w:space="0" w:color="auto"/>
              <w:right w:val="single" w:sz="4" w:space="0" w:color="auto"/>
            </w:tcBorders>
            <w:shd w:val="clear" w:color="000000" w:fill="CCFFCC"/>
            <w:vAlign w:val="center"/>
            <w:hideMark/>
          </w:tcPr>
          <w:p w:rsidR="000766F3" w:rsidRPr="00EA58ED" w:rsidRDefault="000766F3" w:rsidP="008216A0">
            <w:pPr>
              <w:jc w:val="center"/>
              <w:rPr>
                <w:rFonts w:ascii="Arial" w:hAnsi="Arial" w:cs="Arial"/>
                <w:b/>
                <w:bCs/>
                <w:color w:val="000000"/>
                <w:sz w:val="18"/>
                <w:szCs w:val="18"/>
              </w:rPr>
            </w:pPr>
            <w:r w:rsidRPr="00EA58ED">
              <w:rPr>
                <w:rFonts w:ascii="Arial" w:hAnsi="Arial" w:cs="Arial"/>
                <w:b/>
                <w:bCs/>
                <w:color w:val="000000"/>
                <w:sz w:val="18"/>
                <w:szCs w:val="18"/>
              </w:rPr>
              <w:t>% zazmluvnenia k HP RP z celkového objemu zazmluvnených prostriedkov</w:t>
            </w:r>
          </w:p>
        </w:tc>
      </w:tr>
      <w:tr w:rsidR="000766F3" w:rsidRPr="00D35EFD" w:rsidTr="00A50084">
        <w:trPr>
          <w:trHeight w:val="555"/>
        </w:trPr>
        <w:tc>
          <w:tcPr>
            <w:tcW w:w="0" w:type="auto"/>
            <w:tcBorders>
              <w:top w:val="nil"/>
              <w:left w:val="single" w:sz="4" w:space="0" w:color="auto"/>
              <w:bottom w:val="single" w:sz="4" w:space="0" w:color="auto"/>
              <w:right w:val="single" w:sz="4" w:space="0" w:color="auto"/>
            </w:tcBorders>
            <w:shd w:val="clear" w:color="000000" w:fill="CCFFCC"/>
            <w:vAlign w:val="center"/>
            <w:hideMark/>
          </w:tcPr>
          <w:p w:rsidR="000766F3" w:rsidRPr="00D35EFD" w:rsidRDefault="000766F3" w:rsidP="008216A0">
            <w:pPr>
              <w:jc w:val="center"/>
              <w:rPr>
                <w:rFonts w:ascii="Arial" w:hAnsi="Arial" w:cs="Arial"/>
                <w:color w:val="000000"/>
                <w:sz w:val="18"/>
                <w:szCs w:val="18"/>
              </w:rPr>
            </w:pPr>
            <w:r w:rsidRPr="00D35EFD">
              <w:rPr>
                <w:rFonts w:ascii="Arial" w:hAnsi="Arial" w:cs="Arial"/>
                <w:color w:val="000000"/>
                <w:sz w:val="18"/>
                <w:szCs w:val="18"/>
              </w:rPr>
              <w:t>A</w:t>
            </w:r>
          </w:p>
        </w:tc>
        <w:tc>
          <w:tcPr>
            <w:tcW w:w="0" w:type="auto"/>
            <w:tcBorders>
              <w:top w:val="nil"/>
              <w:left w:val="nil"/>
              <w:bottom w:val="single" w:sz="4" w:space="0" w:color="auto"/>
              <w:right w:val="single" w:sz="4" w:space="0" w:color="auto"/>
            </w:tcBorders>
            <w:shd w:val="clear" w:color="000000" w:fill="CCFFCC"/>
            <w:vAlign w:val="center"/>
            <w:hideMark/>
          </w:tcPr>
          <w:p w:rsidR="000766F3" w:rsidRPr="00D35EFD" w:rsidRDefault="000766F3" w:rsidP="008216A0">
            <w:pPr>
              <w:jc w:val="center"/>
              <w:rPr>
                <w:rFonts w:ascii="Arial" w:hAnsi="Arial" w:cs="Arial"/>
                <w:color w:val="000000"/>
                <w:sz w:val="18"/>
                <w:szCs w:val="18"/>
              </w:rPr>
            </w:pPr>
            <w:r w:rsidRPr="00D35EFD">
              <w:rPr>
                <w:rFonts w:ascii="Arial" w:hAnsi="Arial" w:cs="Arial"/>
                <w:color w:val="000000"/>
                <w:sz w:val="18"/>
                <w:szCs w:val="18"/>
              </w:rPr>
              <w:t>B</w:t>
            </w:r>
          </w:p>
        </w:tc>
        <w:tc>
          <w:tcPr>
            <w:tcW w:w="0" w:type="auto"/>
            <w:tcBorders>
              <w:top w:val="nil"/>
              <w:left w:val="nil"/>
              <w:bottom w:val="single" w:sz="4" w:space="0" w:color="auto"/>
              <w:right w:val="single" w:sz="4" w:space="0" w:color="auto"/>
            </w:tcBorders>
            <w:shd w:val="clear" w:color="000000" w:fill="CCFFCC"/>
            <w:vAlign w:val="center"/>
            <w:hideMark/>
          </w:tcPr>
          <w:p w:rsidR="000766F3" w:rsidRPr="00D35EFD" w:rsidRDefault="000766F3" w:rsidP="008216A0">
            <w:pPr>
              <w:jc w:val="center"/>
              <w:rPr>
                <w:rFonts w:ascii="Arial" w:hAnsi="Arial" w:cs="Arial"/>
                <w:color w:val="000000"/>
                <w:sz w:val="18"/>
                <w:szCs w:val="18"/>
              </w:rPr>
            </w:pPr>
            <w:r w:rsidRPr="00D35EFD">
              <w:rPr>
                <w:rFonts w:ascii="Arial" w:hAnsi="Arial" w:cs="Arial"/>
                <w:color w:val="000000"/>
                <w:sz w:val="18"/>
                <w:szCs w:val="18"/>
              </w:rPr>
              <w:t>∑C=D v tabuľke č. 7+B v tabuľke č. 8</w:t>
            </w:r>
          </w:p>
        </w:tc>
        <w:tc>
          <w:tcPr>
            <w:tcW w:w="0" w:type="auto"/>
            <w:tcBorders>
              <w:top w:val="nil"/>
              <w:left w:val="nil"/>
              <w:bottom w:val="single" w:sz="4" w:space="0" w:color="auto"/>
              <w:right w:val="single" w:sz="4" w:space="0" w:color="auto"/>
            </w:tcBorders>
            <w:shd w:val="clear" w:color="000000" w:fill="CCFFCC"/>
            <w:vAlign w:val="center"/>
            <w:hideMark/>
          </w:tcPr>
          <w:p w:rsidR="000766F3" w:rsidRPr="00D35EFD" w:rsidRDefault="000766F3" w:rsidP="008216A0">
            <w:pPr>
              <w:jc w:val="center"/>
              <w:rPr>
                <w:rFonts w:ascii="Arial" w:hAnsi="Arial" w:cs="Arial"/>
                <w:color w:val="000000"/>
                <w:sz w:val="18"/>
                <w:szCs w:val="18"/>
              </w:rPr>
            </w:pPr>
            <w:r w:rsidRPr="00D35EFD">
              <w:rPr>
                <w:rFonts w:ascii="Arial" w:hAnsi="Arial" w:cs="Arial"/>
                <w:color w:val="000000"/>
                <w:sz w:val="18"/>
                <w:szCs w:val="18"/>
              </w:rPr>
              <w:t>D</w:t>
            </w:r>
          </w:p>
        </w:tc>
        <w:tc>
          <w:tcPr>
            <w:tcW w:w="0" w:type="auto"/>
            <w:tcBorders>
              <w:top w:val="nil"/>
              <w:left w:val="nil"/>
              <w:bottom w:val="single" w:sz="4" w:space="0" w:color="auto"/>
              <w:right w:val="single" w:sz="4" w:space="0" w:color="auto"/>
            </w:tcBorders>
            <w:shd w:val="clear" w:color="000000" w:fill="CCFFCC"/>
            <w:vAlign w:val="center"/>
            <w:hideMark/>
          </w:tcPr>
          <w:p w:rsidR="000766F3" w:rsidRPr="00D35EFD" w:rsidRDefault="000766F3" w:rsidP="008216A0">
            <w:pPr>
              <w:jc w:val="center"/>
              <w:rPr>
                <w:rFonts w:ascii="Arial" w:hAnsi="Arial" w:cs="Arial"/>
                <w:color w:val="000000"/>
                <w:sz w:val="18"/>
                <w:szCs w:val="18"/>
              </w:rPr>
            </w:pPr>
            <w:r w:rsidRPr="00D35EFD">
              <w:rPr>
                <w:rFonts w:ascii="Arial" w:hAnsi="Arial" w:cs="Arial"/>
                <w:color w:val="000000"/>
                <w:sz w:val="18"/>
                <w:szCs w:val="18"/>
              </w:rPr>
              <w:t>E</w:t>
            </w:r>
          </w:p>
        </w:tc>
        <w:tc>
          <w:tcPr>
            <w:tcW w:w="0" w:type="auto"/>
            <w:tcBorders>
              <w:top w:val="nil"/>
              <w:left w:val="nil"/>
              <w:bottom w:val="single" w:sz="4" w:space="0" w:color="auto"/>
              <w:right w:val="single" w:sz="4" w:space="0" w:color="auto"/>
            </w:tcBorders>
            <w:shd w:val="clear" w:color="000000" w:fill="CCFFCC"/>
            <w:vAlign w:val="center"/>
            <w:hideMark/>
          </w:tcPr>
          <w:p w:rsidR="000766F3" w:rsidRPr="00D35EFD" w:rsidRDefault="000766F3" w:rsidP="008216A0">
            <w:pPr>
              <w:jc w:val="center"/>
              <w:rPr>
                <w:rFonts w:ascii="Arial" w:hAnsi="Arial" w:cs="Arial"/>
                <w:color w:val="000000"/>
                <w:sz w:val="18"/>
                <w:szCs w:val="18"/>
              </w:rPr>
            </w:pPr>
            <w:r w:rsidRPr="00D35EFD">
              <w:rPr>
                <w:rFonts w:ascii="Arial" w:hAnsi="Arial" w:cs="Arial"/>
                <w:color w:val="000000"/>
                <w:sz w:val="18"/>
                <w:szCs w:val="18"/>
              </w:rPr>
              <w:t>F=E/C</w:t>
            </w:r>
          </w:p>
        </w:tc>
      </w:tr>
      <w:tr w:rsidR="000766F3" w:rsidRPr="00D35EFD" w:rsidTr="00A50084">
        <w:trPr>
          <w:trHeight w:val="433"/>
        </w:trPr>
        <w:tc>
          <w:tcPr>
            <w:tcW w:w="0" w:type="auto"/>
            <w:tcBorders>
              <w:top w:val="nil"/>
              <w:left w:val="single" w:sz="4" w:space="0" w:color="auto"/>
              <w:bottom w:val="single" w:sz="4" w:space="0" w:color="auto"/>
              <w:right w:val="single" w:sz="4" w:space="0" w:color="auto"/>
            </w:tcBorders>
            <w:shd w:val="clear" w:color="auto" w:fill="auto"/>
            <w:vAlign w:val="center"/>
            <w:hideMark/>
          </w:tcPr>
          <w:p w:rsidR="000766F3" w:rsidRPr="00D35EFD" w:rsidRDefault="000766F3" w:rsidP="008216A0">
            <w:pPr>
              <w:rPr>
                <w:rFonts w:ascii="Arial" w:hAnsi="Arial" w:cs="Arial"/>
                <w:color w:val="000000"/>
                <w:sz w:val="18"/>
                <w:szCs w:val="18"/>
              </w:rPr>
            </w:pPr>
            <w:r w:rsidRPr="00D35EFD">
              <w:rPr>
                <w:rFonts w:ascii="Arial" w:hAnsi="Arial" w:cs="Arial"/>
                <w:color w:val="000000"/>
                <w:sz w:val="18"/>
                <w:szCs w:val="18"/>
              </w:rPr>
              <w:t>Bratislavský</w:t>
            </w:r>
          </w:p>
        </w:tc>
        <w:tc>
          <w:tcPr>
            <w:tcW w:w="0" w:type="auto"/>
            <w:tcBorders>
              <w:top w:val="nil"/>
              <w:left w:val="nil"/>
              <w:bottom w:val="single" w:sz="4" w:space="0" w:color="auto"/>
              <w:right w:val="single" w:sz="4" w:space="0" w:color="auto"/>
            </w:tcBorders>
            <w:shd w:val="clear" w:color="auto" w:fill="auto"/>
            <w:vAlign w:val="center"/>
            <w:hideMark/>
          </w:tcPr>
          <w:p w:rsidR="000766F3" w:rsidRPr="00EA58ED" w:rsidRDefault="000766F3" w:rsidP="008216A0">
            <w:pPr>
              <w:jc w:val="center"/>
              <w:rPr>
                <w:rFonts w:ascii="Arial" w:hAnsi="Arial" w:cs="Arial"/>
                <w:sz w:val="18"/>
                <w:szCs w:val="18"/>
              </w:rPr>
            </w:pPr>
            <w:r w:rsidRPr="00EA58ED">
              <w:rPr>
                <w:rFonts w:ascii="Arial" w:hAnsi="Arial" w:cs="Arial"/>
                <w:sz w:val="18"/>
                <w:szCs w:val="18"/>
              </w:rPr>
              <w:t>24</w:t>
            </w:r>
          </w:p>
        </w:tc>
        <w:tc>
          <w:tcPr>
            <w:tcW w:w="0" w:type="auto"/>
            <w:tcBorders>
              <w:top w:val="nil"/>
              <w:left w:val="nil"/>
              <w:bottom w:val="single" w:sz="4" w:space="0" w:color="auto"/>
              <w:right w:val="single" w:sz="4" w:space="0" w:color="auto"/>
            </w:tcBorders>
            <w:shd w:val="clear" w:color="auto" w:fill="auto"/>
            <w:vAlign w:val="center"/>
            <w:hideMark/>
          </w:tcPr>
          <w:p w:rsidR="000766F3" w:rsidRPr="00EA58ED" w:rsidRDefault="000766F3" w:rsidP="008216A0">
            <w:pPr>
              <w:jc w:val="center"/>
              <w:rPr>
                <w:rFonts w:ascii="Arial" w:hAnsi="Arial" w:cs="Arial"/>
                <w:color w:val="000000"/>
                <w:sz w:val="18"/>
                <w:szCs w:val="18"/>
              </w:rPr>
            </w:pPr>
            <w:r w:rsidRPr="00EA58ED">
              <w:rPr>
                <w:rFonts w:ascii="Arial" w:hAnsi="Arial" w:cs="Arial"/>
                <w:color w:val="000000"/>
                <w:sz w:val="18"/>
                <w:szCs w:val="18"/>
              </w:rPr>
              <w:t>91 886 795</w:t>
            </w:r>
          </w:p>
        </w:tc>
        <w:tc>
          <w:tcPr>
            <w:tcW w:w="0" w:type="auto"/>
            <w:tcBorders>
              <w:top w:val="nil"/>
              <w:left w:val="nil"/>
              <w:bottom w:val="single" w:sz="4" w:space="0" w:color="auto"/>
              <w:right w:val="single" w:sz="4" w:space="0" w:color="auto"/>
            </w:tcBorders>
            <w:shd w:val="clear" w:color="auto" w:fill="auto"/>
            <w:vAlign w:val="center"/>
            <w:hideMark/>
          </w:tcPr>
          <w:p w:rsidR="000766F3" w:rsidRPr="00EA58ED" w:rsidRDefault="000766F3" w:rsidP="008216A0">
            <w:pPr>
              <w:jc w:val="center"/>
              <w:rPr>
                <w:rFonts w:ascii="Arial" w:hAnsi="Arial" w:cs="Arial"/>
                <w:color w:val="000000"/>
                <w:sz w:val="18"/>
                <w:szCs w:val="18"/>
              </w:rPr>
            </w:pPr>
            <w:r w:rsidRPr="00EA58ED">
              <w:rPr>
                <w:rFonts w:ascii="Arial" w:hAnsi="Arial" w:cs="Arial"/>
                <w:color w:val="000000"/>
                <w:sz w:val="18"/>
                <w:szCs w:val="18"/>
              </w:rPr>
              <w:t>4</w:t>
            </w:r>
          </w:p>
        </w:tc>
        <w:tc>
          <w:tcPr>
            <w:tcW w:w="0" w:type="auto"/>
            <w:tcBorders>
              <w:top w:val="nil"/>
              <w:left w:val="nil"/>
              <w:bottom w:val="single" w:sz="4" w:space="0" w:color="auto"/>
              <w:right w:val="single" w:sz="4" w:space="0" w:color="auto"/>
            </w:tcBorders>
            <w:shd w:val="clear" w:color="auto" w:fill="auto"/>
            <w:vAlign w:val="center"/>
            <w:hideMark/>
          </w:tcPr>
          <w:p w:rsidR="000766F3" w:rsidRPr="00EA58ED" w:rsidRDefault="000766F3" w:rsidP="008216A0">
            <w:pPr>
              <w:jc w:val="center"/>
              <w:rPr>
                <w:rFonts w:ascii="Arial" w:hAnsi="Arial" w:cs="Arial"/>
                <w:color w:val="000000"/>
                <w:sz w:val="18"/>
                <w:szCs w:val="18"/>
              </w:rPr>
            </w:pPr>
            <w:r w:rsidRPr="00EA58ED">
              <w:rPr>
                <w:rFonts w:ascii="Arial" w:hAnsi="Arial" w:cs="Arial"/>
                <w:color w:val="000000"/>
                <w:sz w:val="18"/>
                <w:szCs w:val="18"/>
              </w:rPr>
              <w:t>17 788 444</w:t>
            </w:r>
          </w:p>
        </w:tc>
        <w:tc>
          <w:tcPr>
            <w:tcW w:w="0" w:type="auto"/>
            <w:tcBorders>
              <w:top w:val="nil"/>
              <w:left w:val="nil"/>
              <w:bottom w:val="single" w:sz="4" w:space="0" w:color="auto"/>
              <w:right w:val="single" w:sz="4" w:space="0" w:color="auto"/>
            </w:tcBorders>
            <w:shd w:val="clear" w:color="auto" w:fill="auto"/>
            <w:vAlign w:val="center"/>
            <w:hideMark/>
          </w:tcPr>
          <w:p w:rsidR="000766F3" w:rsidRPr="00EA58ED" w:rsidRDefault="000766F3" w:rsidP="008216A0">
            <w:pPr>
              <w:jc w:val="center"/>
              <w:rPr>
                <w:rFonts w:ascii="Arial" w:hAnsi="Arial" w:cs="Arial"/>
                <w:color w:val="000000"/>
                <w:sz w:val="18"/>
                <w:szCs w:val="18"/>
              </w:rPr>
            </w:pPr>
            <w:r w:rsidRPr="00EA58ED">
              <w:rPr>
                <w:rFonts w:ascii="Arial" w:hAnsi="Arial" w:cs="Arial"/>
                <w:color w:val="000000"/>
                <w:sz w:val="18"/>
                <w:szCs w:val="18"/>
              </w:rPr>
              <w:t>19,36%</w:t>
            </w:r>
          </w:p>
        </w:tc>
      </w:tr>
      <w:tr w:rsidR="000766F3" w:rsidRPr="00D35EFD" w:rsidTr="00A50084">
        <w:trPr>
          <w:trHeight w:val="425"/>
        </w:trPr>
        <w:tc>
          <w:tcPr>
            <w:tcW w:w="0" w:type="auto"/>
            <w:tcBorders>
              <w:top w:val="nil"/>
              <w:left w:val="single" w:sz="4" w:space="0" w:color="auto"/>
              <w:bottom w:val="single" w:sz="4" w:space="0" w:color="auto"/>
              <w:right w:val="single" w:sz="4" w:space="0" w:color="auto"/>
            </w:tcBorders>
            <w:shd w:val="clear" w:color="auto" w:fill="auto"/>
            <w:vAlign w:val="center"/>
            <w:hideMark/>
          </w:tcPr>
          <w:p w:rsidR="000766F3" w:rsidRPr="00D35EFD" w:rsidRDefault="000766F3" w:rsidP="008216A0">
            <w:pPr>
              <w:rPr>
                <w:rFonts w:ascii="Arial" w:hAnsi="Arial" w:cs="Arial"/>
                <w:color w:val="000000"/>
                <w:sz w:val="18"/>
                <w:szCs w:val="18"/>
              </w:rPr>
            </w:pPr>
            <w:r w:rsidRPr="00D35EFD">
              <w:rPr>
                <w:rFonts w:ascii="Arial" w:hAnsi="Arial" w:cs="Arial"/>
                <w:color w:val="000000"/>
                <w:sz w:val="18"/>
                <w:szCs w:val="18"/>
              </w:rPr>
              <w:t>Trnavský</w:t>
            </w:r>
          </w:p>
        </w:tc>
        <w:tc>
          <w:tcPr>
            <w:tcW w:w="0" w:type="auto"/>
            <w:tcBorders>
              <w:top w:val="nil"/>
              <w:left w:val="nil"/>
              <w:bottom w:val="single" w:sz="4" w:space="0" w:color="auto"/>
              <w:right w:val="single" w:sz="4" w:space="0" w:color="auto"/>
            </w:tcBorders>
            <w:shd w:val="clear" w:color="auto" w:fill="auto"/>
            <w:vAlign w:val="center"/>
            <w:hideMark/>
          </w:tcPr>
          <w:p w:rsidR="000766F3" w:rsidRPr="00EA58ED" w:rsidRDefault="000766F3" w:rsidP="008216A0">
            <w:pPr>
              <w:jc w:val="center"/>
              <w:rPr>
                <w:rFonts w:ascii="Arial" w:hAnsi="Arial" w:cs="Arial"/>
                <w:sz w:val="18"/>
                <w:szCs w:val="18"/>
              </w:rPr>
            </w:pPr>
            <w:r w:rsidRPr="00EA58ED">
              <w:rPr>
                <w:rFonts w:ascii="Arial" w:hAnsi="Arial" w:cs="Arial"/>
                <w:sz w:val="18"/>
                <w:szCs w:val="18"/>
              </w:rPr>
              <w:t>61</w:t>
            </w:r>
          </w:p>
        </w:tc>
        <w:tc>
          <w:tcPr>
            <w:tcW w:w="0" w:type="auto"/>
            <w:tcBorders>
              <w:top w:val="nil"/>
              <w:left w:val="nil"/>
              <w:bottom w:val="single" w:sz="4" w:space="0" w:color="auto"/>
              <w:right w:val="single" w:sz="4" w:space="0" w:color="auto"/>
            </w:tcBorders>
            <w:shd w:val="clear" w:color="auto" w:fill="auto"/>
            <w:vAlign w:val="center"/>
            <w:hideMark/>
          </w:tcPr>
          <w:p w:rsidR="000766F3" w:rsidRPr="00EA58ED" w:rsidRDefault="000766F3" w:rsidP="008216A0">
            <w:pPr>
              <w:jc w:val="center"/>
              <w:rPr>
                <w:rFonts w:ascii="Arial" w:hAnsi="Arial" w:cs="Arial"/>
                <w:color w:val="000000"/>
                <w:sz w:val="18"/>
                <w:szCs w:val="18"/>
              </w:rPr>
            </w:pPr>
            <w:r w:rsidRPr="00EA58ED">
              <w:rPr>
                <w:rFonts w:ascii="Arial" w:hAnsi="Arial" w:cs="Arial"/>
                <w:color w:val="000000"/>
                <w:sz w:val="18"/>
                <w:szCs w:val="18"/>
              </w:rPr>
              <w:t>134 264 173</w:t>
            </w:r>
          </w:p>
        </w:tc>
        <w:tc>
          <w:tcPr>
            <w:tcW w:w="0" w:type="auto"/>
            <w:tcBorders>
              <w:top w:val="nil"/>
              <w:left w:val="nil"/>
              <w:bottom w:val="single" w:sz="4" w:space="0" w:color="auto"/>
              <w:right w:val="single" w:sz="4" w:space="0" w:color="auto"/>
            </w:tcBorders>
            <w:shd w:val="clear" w:color="auto" w:fill="auto"/>
            <w:vAlign w:val="center"/>
            <w:hideMark/>
          </w:tcPr>
          <w:p w:rsidR="000766F3" w:rsidRPr="00EA58ED" w:rsidRDefault="000766F3" w:rsidP="008216A0">
            <w:pPr>
              <w:jc w:val="center"/>
              <w:rPr>
                <w:rFonts w:ascii="Arial" w:hAnsi="Arial" w:cs="Arial"/>
                <w:color w:val="000000"/>
                <w:sz w:val="18"/>
                <w:szCs w:val="18"/>
              </w:rPr>
            </w:pPr>
            <w:r w:rsidRPr="00EA58ED">
              <w:rPr>
                <w:rFonts w:ascii="Arial" w:hAnsi="Arial" w:cs="Arial"/>
                <w:color w:val="000000"/>
                <w:sz w:val="18"/>
                <w:szCs w:val="18"/>
              </w:rPr>
              <w:t>16</w:t>
            </w:r>
          </w:p>
        </w:tc>
        <w:tc>
          <w:tcPr>
            <w:tcW w:w="0" w:type="auto"/>
            <w:tcBorders>
              <w:top w:val="nil"/>
              <w:left w:val="nil"/>
              <w:bottom w:val="single" w:sz="4" w:space="0" w:color="auto"/>
              <w:right w:val="single" w:sz="4" w:space="0" w:color="auto"/>
            </w:tcBorders>
            <w:shd w:val="clear" w:color="auto" w:fill="auto"/>
            <w:vAlign w:val="center"/>
            <w:hideMark/>
          </w:tcPr>
          <w:p w:rsidR="000766F3" w:rsidRPr="00EA58ED" w:rsidRDefault="000766F3" w:rsidP="008216A0">
            <w:pPr>
              <w:jc w:val="center"/>
              <w:rPr>
                <w:rFonts w:ascii="Arial" w:hAnsi="Arial" w:cs="Arial"/>
                <w:color w:val="000000"/>
                <w:sz w:val="18"/>
                <w:szCs w:val="18"/>
              </w:rPr>
            </w:pPr>
            <w:r w:rsidRPr="00EA58ED">
              <w:rPr>
                <w:rFonts w:ascii="Arial" w:hAnsi="Arial" w:cs="Arial"/>
                <w:color w:val="000000"/>
                <w:sz w:val="18"/>
                <w:szCs w:val="18"/>
              </w:rPr>
              <w:t>18 844 974</w:t>
            </w:r>
          </w:p>
        </w:tc>
        <w:tc>
          <w:tcPr>
            <w:tcW w:w="0" w:type="auto"/>
            <w:tcBorders>
              <w:top w:val="nil"/>
              <w:left w:val="nil"/>
              <w:bottom w:val="single" w:sz="4" w:space="0" w:color="auto"/>
              <w:right w:val="single" w:sz="4" w:space="0" w:color="auto"/>
            </w:tcBorders>
            <w:shd w:val="clear" w:color="auto" w:fill="auto"/>
            <w:vAlign w:val="center"/>
            <w:hideMark/>
          </w:tcPr>
          <w:p w:rsidR="000766F3" w:rsidRPr="00EA58ED" w:rsidRDefault="000766F3" w:rsidP="008216A0">
            <w:pPr>
              <w:jc w:val="center"/>
              <w:rPr>
                <w:rFonts w:ascii="Arial" w:hAnsi="Arial" w:cs="Arial"/>
                <w:color w:val="000000"/>
                <w:sz w:val="18"/>
                <w:szCs w:val="18"/>
              </w:rPr>
            </w:pPr>
            <w:r w:rsidRPr="00EA58ED">
              <w:rPr>
                <w:rFonts w:ascii="Arial" w:hAnsi="Arial" w:cs="Arial"/>
                <w:color w:val="000000"/>
                <w:sz w:val="18"/>
                <w:szCs w:val="18"/>
              </w:rPr>
              <w:t>14,04%</w:t>
            </w:r>
          </w:p>
        </w:tc>
      </w:tr>
      <w:tr w:rsidR="000766F3" w:rsidRPr="00D35EFD" w:rsidTr="00A50084">
        <w:trPr>
          <w:trHeight w:val="417"/>
        </w:trPr>
        <w:tc>
          <w:tcPr>
            <w:tcW w:w="0" w:type="auto"/>
            <w:tcBorders>
              <w:top w:val="nil"/>
              <w:left w:val="single" w:sz="4" w:space="0" w:color="auto"/>
              <w:bottom w:val="single" w:sz="4" w:space="0" w:color="auto"/>
              <w:right w:val="single" w:sz="4" w:space="0" w:color="auto"/>
            </w:tcBorders>
            <w:shd w:val="clear" w:color="auto" w:fill="auto"/>
            <w:vAlign w:val="center"/>
            <w:hideMark/>
          </w:tcPr>
          <w:p w:rsidR="000766F3" w:rsidRPr="00D35EFD" w:rsidRDefault="000766F3" w:rsidP="008216A0">
            <w:pPr>
              <w:rPr>
                <w:rFonts w:ascii="Arial" w:hAnsi="Arial" w:cs="Arial"/>
                <w:color w:val="000000"/>
                <w:sz w:val="18"/>
                <w:szCs w:val="18"/>
              </w:rPr>
            </w:pPr>
            <w:r w:rsidRPr="00D35EFD">
              <w:rPr>
                <w:rFonts w:ascii="Arial" w:hAnsi="Arial" w:cs="Arial"/>
                <w:color w:val="000000"/>
                <w:sz w:val="18"/>
                <w:szCs w:val="18"/>
              </w:rPr>
              <w:t>Trenčiansky</w:t>
            </w:r>
          </w:p>
        </w:tc>
        <w:tc>
          <w:tcPr>
            <w:tcW w:w="0" w:type="auto"/>
            <w:tcBorders>
              <w:top w:val="nil"/>
              <w:left w:val="nil"/>
              <w:bottom w:val="single" w:sz="4" w:space="0" w:color="auto"/>
              <w:right w:val="single" w:sz="4" w:space="0" w:color="auto"/>
            </w:tcBorders>
            <w:shd w:val="clear" w:color="auto" w:fill="auto"/>
            <w:vAlign w:val="center"/>
            <w:hideMark/>
          </w:tcPr>
          <w:p w:rsidR="000766F3" w:rsidRPr="00EA58ED" w:rsidRDefault="000766F3" w:rsidP="008216A0">
            <w:pPr>
              <w:jc w:val="center"/>
              <w:rPr>
                <w:rFonts w:ascii="Arial" w:hAnsi="Arial" w:cs="Arial"/>
                <w:sz w:val="18"/>
                <w:szCs w:val="18"/>
              </w:rPr>
            </w:pPr>
            <w:r w:rsidRPr="00EA58ED">
              <w:rPr>
                <w:rFonts w:ascii="Arial" w:hAnsi="Arial" w:cs="Arial"/>
                <w:sz w:val="18"/>
                <w:szCs w:val="18"/>
              </w:rPr>
              <w:t>58</w:t>
            </w:r>
          </w:p>
        </w:tc>
        <w:tc>
          <w:tcPr>
            <w:tcW w:w="0" w:type="auto"/>
            <w:tcBorders>
              <w:top w:val="nil"/>
              <w:left w:val="nil"/>
              <w:bottom w:val="single" w:sz="4" w:space="0" w:color="auto"/>
              <w:right w:val="single" w:sz="4" w:space="0" w:color="auto"/>
            </w:tcBorders>
            <w:shd w:val="clear" w:color="auto" w:fill="auto"/>
            <w:vAlign w:val="center"/>
            <w:hideMark/>
          </w:tcPr>
          <w:p w:rsidR="000766F3" w:rsidRPr="00EA58ED" w:rsidRDefault="000766F3" w:rsidP="008216A0">
            <w:pPr>
              <w:jc w:val="center"/>
              <w:rPr>
                <w:rFonts w:ascii="Arial" w:hAnsi="Arial" w:cs="Arial"/>
                <w:color w:val="000000"/>
                <w:sz w:val="18"/>
                <w:szCs w:val="18"/>
              </w:rPr>
            </w:pPr>
            <w:r w:rsidRPr="00EA58ED">
              <w:rPr>
                <w:rFonts w:ascii="Arial" w:hAnsi="Arial" w:cs="Arial"/>
                <w:color w:val="000000"/>
                <w:sz w:val="18"/>
                <w:szCs w:val="18"/>
              </w:rPr>
              <w:t>158 781 106</w:t>
            </w:r>
          </w:p>
        </w:tc>
        <w:tc>
          <w:tcPr>
            <w:tcW w:w="0" w:type="auto"/>
            <w:tcBorders>
              <w:top w:val="nil"/>
              <w:left w:val="nil"/>
              <w:bottom w:val="single" w:sz="4" w:space="0" w:color="auto"/>
              <w:right w:val="single" w:sz="4" w:space="0" w:color="auto"/>
            </w:tcBorders>
            <w:shd w:val="clear" w:color="auto" w:fill="auto"/>
            <w:vAlign w:val="center"/>
            <w:hideMark/>
          </w:tcPr>
          <w:p w:rsidR="000766F3" w:rsidRPr="00EA58ED" w:rsidRDefault="000766F3" w:rsidP="008216A0">
            <w:pPr>
              <w:jc w:val="center"/>
              <w:rPr>
                <w:rFonts w:ascii="Arial" w:hAnsi="Arial" w:cs="Arial"/>
                <w:color w:val="000000"/>
                <w:sz w:val="18"/>
                <w:szCs w:val="18"/>
              </w:rPr>
            </w:pPr>
            <w:r w:rsidRPr="00EA58ED">
              <w:rPr>
                <w:rFonts w:ascii="Arial" w:hAnsi="Arial" w:cs="Arial"/>
                <w:color w:val="000000"/>
                <w:sz w:val="18"/>
                <w:szCs w:val="18"/>
              </w:rPr>
              <w:t>29</w:t>
            </w:r>
          </w:p>
        </w:tc>
        <w:tc>
          <w:tcPr>
            <w:tcW w:w="0" w:type="auto"/>
            <w:tcBorders>
              <w:top w:val="nil"/>
              <w:left w:val="nil"/>
              <w:bottom w:val="single" w:sz="4" w:space="0" w:color="auto"/>
              <w:right w:val="single" w:sz="4" w:space="0" w:color="auto"/>
            </w:tcBorders>
            <w:shd w:val="clear" w:color="auto" w:fill="auto"/>
            <w:vAlign w:val="center"/>
            <w:hideMark/>
          </w:tcPr>
          <w:p w:rsidR="000766F3" w:rsidRPr="00EA58ED" w:rsidRDefault="000766F3" w:rsidP="008216A0">
            <w:pPr>
              <w:jc w:val="center"/>
              <w:rPr>
                <w:rFonts w:ascii="Arial" w:hAnsi="Arial" w:cs="Arial"/>
                <w:color w:val="000000"/>
                <w:sz w:val="18"/>
                <w:szCs w:val="18"/>
              </w:rPr>
            </w:pPr>
            <w:r w:rsidRPr="00EA58ED">
              <w:rPr>
                <w:rFonts w:ascii="Arial" w:hAnsi="Arial" w:cs="Arial"/>
                <w:color w:val="000000"/>
                <w:sz w:val="18"/>
                <w:szCs w:val="18"/>
              </w:rPr>
              <w:t>103 825 459</w:t>
            </w:r>
          </w:p>
        </w:tc>
        <w:tc>
          <w:tcPr>
            <w:tcW w:w="0" w:type="auto"/>
            <w:tcBorders>
              <w:top w:val="nil"/>
              <w:left w:val="nil"/>
              <w:bottom w:val="single" w:sz="4" w:space="0" w:color="auto"/>
              <w:right w:val="single" w:sz="4" w:space="0" w:color="auto"/>
            </w:tcBorders>
            <w:shd w:val="clear" w:color="auto" w:fill="auto"/>
            <w:vAlign w:val="center"/>
            <w:hideMark/>
          </w:tcPr>
          <w:p w:rsidR="000766F3" w:rsidRPr="00EA58ED" w:rsidRDefault="000766F3" w:rsidP="008216A0">
            <w:pPr>
              <w:jc w:val="center"/>
              <w:rPr>
                <w:rFonts w:ascii="Arial" w:hAnsi="Arial" w:cs="Arial"/>
                <w:color w:val="000000"/>
                <w:sz w:val="18"/>
                <w:szCs w:val="18"/>
              </w:rPr>
            </w:pPr>
            <w:r w:rsidRPr="00EA58ED">
              <w:rPr>
                <w:rFonts w:ascii="Arial" w:hAnsi="Arial" w:cs="Arial"/>
                <w:color w:val="000000"/>
                <w:sz w:val="18"/>
                <w:szCs w:val="18"/>
              </w:rPr>
              <w:t>65,39%</w:t>
            </w:r>
          </w:p>
        </w:tc>
      </w:tr>
      <w:tr w:rsidR="000766F3" w:rsidRPr="00D35EFD" w:rsidTr="00A50084">
        <w:trPr>
          <w:trHeight w:val="395"/>
        </w:trPr>
        <w:tc>
          <w:tcPr>
            <w:tcW w:w="0" w:type="auto"/>
            <w:tcBorders>
              <w:top w:val="nil"/>
              <w:left w:val="single" w:sz="4" w:space="0" w:color="auto"/>
              <w:bottom w:val="single" w:sz="4" w:space="0" w:color="auto"/>
              <w:right w:val="single" w:sz="4" w:space="0" w:color="auto"/>
            </w:tcBorders>
            <w:shd w:val="clear" w:color="auto" w:fill="auto"/>
            <w:vAlign w:val="center"/>
            <w:hideMark/>
          </w:tcPr>
          <w:p w:rsidR="000766F3" w:rsidRPr="00D35EFD" w:rsidRDefault="000766F3" w:rsidP="008216A0">
            <w:pPr>
              <w:rPr>
                <w:rFonts w:ascii="Arial" w:hAnsi="Arial" w:cs="Arial"/>
                <w:color w:val="000000"/>
                <w:sz w:val="18"/>
                <w:szCs w:val="18"/>
              </w:rPr>
            </w:pPr>
            <w:r w:rsidRPr="00D35EFD">
              <w:rPr>
                <w:rFonts w:ascii="Arial" w:hAnsi="Arial" w:cs="Arial"/>
                <w:color w:val="000000"/>
                <w:sz w:val="18"/>
                <w:szCs w:val="18"/>
              </w:rPr>
              <w:t>Nitriansky</w:t>
            </w:r>
          </w:p>
        </w:tc>
        <w:tc>
          <w:tcPr>
            <w:tcW w:w="0" w:type="auto"/>
            <w:tcBorders>
              <w:top w:val="nil"/>
              <w:left w:val="nil"/>
              <w:bottom w:val="single" w:sz="4" w:space="0" w:color="auto"/>
              <w:right w:val="single" w:sz="4" w:space="0" w:color="auto"/>
            </w:tcBorders>
            <w:shd w:val="clear" w:color="auto" w:fill="auto"/>
            <w:vAlign w:val="center"/>
            <w:hideMark/>
          </w:tcPr>
          <w:p w:rsidR="000766F3" w:rsidRPr="00EA58ED" w:rsidRDefault="000766F3" w:rsidP="008216A0">
            <w:pPr>
              <w:jc w:val="center"/>
              <w:rPr>
                <w:rFonts w:ascii="Arial" w:hAnsi="Arial" w:cs="Arial"/>
                <w:sz w:val="18"/>
                <w:szCs w:val="18"/>
              </w:rPr>
            </w:pPr>
            <w:r w:rsidRPr="00EA58ED">
              <w:rPr>
                <w:rFonts w:ascii="Arial" w:hAnsi="Arial" w:cs="Arial"/>
                <w:sz w:val="18"/>
                <w:szCs w:val="18"/>
              </w:rPr>
              <w:t>58</w:t>
            </w:r>
          </w:p>
        </w:tc>
        <w:tc>
          <w:tcPr>
            <w:tcW w:w="0" w:type="auto"/>
            <w:tcBorders>
              <w:top w:val="nil"/>
              <w:left w:val="nil"/>
              <w:bottom w:val="single" w:sz="4" w:space="0" w:color="auto"/>
              <w:right w:val="single" w:sz="4" w:space="0" w:color="auto"/>
            </w:tcBorders>
            <w:shd w:val="clear" w:color="auto" w:fill="auto"/>
            <w:vAlign w:val="center"/>
            <w:hideMark/>
          </w:tcPr>
          <w:p w:rsidR="000766F3" w:rsidRPr="00EA58ED" w:rsidRDefault="000766F3" w:rsidP="008216A0">
            <w:pPr>
              <w:jc w:val="center"/>
              <w:rPr>
                <w:rFonts w:ascii="Arial" w:hAnsi="Arial" w:cs="Arial"/>
                <w:color w:val="000000"/>
                <w:sz w:val="18"/>
                <w:szCs w:val="18"/>
              </w:rPr>
            </w:pPr>
            <w:r w:rsidRPr="00EA58ED">
              <w:rPr>
                <w:rFonts w:ascii="Arial" w:hAnsi="Arial" w:cs="Arial"/>
                <w:color w:val="000000"/>
                <w:sz w:val="18"/>
                <w:szCs w:val="18"/>
              </w:rPr>
              <w:t>135 965 100</w:t>
            </w:r>
          </w:p>
        </w:tc>
        <w:tc>
          <w:tcPr>
            <w:tcW w:w="0" w:type="auto"/>
            <w:tcBorders>
              <w:top w:val="nil"/>
              <w:left w:val="nil"/>
              <w:bottom w:val="single" w:sz="4" w:space="0" w:color="auto"/>
              <w:right w:val="single" w:sz="4" w:space="0" w:color="auto"/>
            </w:tcBorders>
            <w:shd w:val="clear" w:color="auto" w:fill="auto"/>
            <w:vAlign w:val="center"/>
            <w:hideMark/>
          </w:tcPr>
          <w:p w:rsidR="000766F3" w:rsidRPr="00EA58ED" w:rsidRDefault="000766F3" w:rsidP="008216A0">
            <w:pPr>
              <w:jc w:val="center"/>
              <w:rPr>
                <w:rFonts w:ascii="Arial" w:hAnsi="Arial" w:cs="Arial"/>
                <w:color w:val="000000"/>
                <w:sz w:val="18"/>
                <w:szCs w:val="18"/>
              </w:rPr>
            </w:pPr>
            <w:r w:rsidRPr="00EA58ED">
              <w:rPr>
                <w:rFonts w:ascii="Arial" w:hAnsi="Arial" w:cs="Arial"/>
                <w:color w:val="000000"/>
                <w:sz w:val="18"/>
                <w:szCs w:val="18"/>
              </w:rPr>
              <w:t>19</w:t>
            </w:r>
          </w:p>
        </w:tc>
        <w:tc>
          <w:tcPr>
            <w:tcW w:w="0" w:type="auto"/>
            <w:tcBorders>
              <w:top w:val="nil"/>
              <w:left w:val="nil"/>
              <w:bottom w:val="single" w:sz="4" w:space="0" w:color="auto"/>
              <w:right w:val="single" w:sz="4" w:space="0" w:color="auto"/>
            </w:tcBorders>
            <w:shd w:val="clear" w:color="auto" w:fill="auto"/>
            <w:vAlign w:val="center"/>
            <w:hideMark/>
          </w:tcPr>
          <w:p w:rsidR="000766F3" w:rsidRPr="00EA58ED" w:rsidRDefault="000766F3" w:rsidP="008216A0">
            <w:pPr>
              <w:jc w:val="center"/>
              <w:rPr>
                <w:rFonts w:ascii="Arial" w:hAnsi="Arial" w:cs="Arial"/>
                <w:color w:val="000000"/>
                <w:sz w:val="18"/>
                <w:szCs w:val="18"/>
              </w:rPr>
            </w:pPr>
            <w:r w:rsidRPr="00EA58ED">
              <w:rPr>
                <w:rFonts w:ascii="Arial" w:hAnsi="Arial" w:cs="Arial"/>
                <w:color w:val="000000"/>
                <w:sz w:val="18"/>
                <w:szCs w:val="18"/>
              </w:rPr>
              <w:t>32 486 398</w:t>
            </w:r>
          </w:p>
        </w:tc>
        <w:tc>
          <w:tcPr>
            <w:tcW w:w="0" w:type="auto"/>
            <w:tcBorders>
              <w:top w:val="nil"/>
              <w:left w:val="nil"/>
              <w:bottom w:val="single" w:sz="4" w:space="0" w:color="auto"/>
              <w:right w:val="single" w:sz="4" w:space="0" w:color="auto"/>
            </w:tcBorders>
            <w:shd w:val="clear" w:color="auto" w:fill="auto"/>
            <w:vAlign w:val="center"/>
            <w:hideMark/>
          </w:tcPr>
          <w:p w:rsidR="000766F3" w:rsidRPr="00EA58ED" w:rsidRDefault="000766F3" w:rsidP="008216A0">
            <w:pPr>
              <w:jc w:val="center"/>
              <w:rPr>
                <w:rFonts w:ascii="Arial" w:hAnsi="Arial" w:cs="Arial"/>
                <w:color w:val="000000"/>
                <w:sz w:val="18"/>
                <w:szCs w:val="18"/>
              </w:rPr>
            </w:pPr>
            <w:r w:rsidRPr="00EA58ED">
              <w:rPr>
                <w:rFonts w:ascii="Arial" w:hAnsi="Arial" w:cs="Arial"/>
                <w:color w:val="000000"/>
                <w:sz w:val="18"/>
                <w:szCs w:val="18"/>
              </w:rPr>
              <w:t>23,89%</w:t>
            </w:r>
          </w:p>
        </w:tc>
      </w:tr>
      <w:tr w:rsidR="000766F3" w:rsidRPr="00D35EFD" w:rsidTr="00A50084">
        <w:trPr>
          <w:trHeight w:val="415"/>
        </w:trPr>
        <w:tc>
          <w:tcPr>
            <w:tcW w:w="0" w:type="auto"/>
            <w:tcBorders>
              <w:top w:val="nil"/>
              <w:left w:val="single" w:sz="4" w:space="0" w:color="auto"/>
              <w:bottom w:val="single" w:sz="4" w:space="0" w:color="auto"/>
              <w:right w:val="single" w:sz="4" w:space="0" w:color="auto"/>
            </w:tcBorders>
            <w:shd w:val="clear" w:color="auto" w:fill="auto"/>
            <w:vAlign w:val="center"/>
            <w:hideMark/>
          </w:tcPr>
          <w:p w:rsidR="000766F3" w:rsidRPr="00D35EFD" w:rsidRDefault="000766F3" w:rsidP="008216A0">
            <w:pPr>
              <w:rPr>
                <w:rFonts w:ascii="Arial" w:hAnsi="Arial" w:cs="Arial"/>
                <w:color w:val="000000"/>
                <w:sz w:val="18"/>
                <w:szCs w:val="18"/>
              </w:rPr>
            </w:pPr>
            <w:r w:rsidRPr="00D35EFD">
              <w:rPr>
                <w:rFonts w:ascii="Arial" w:hAnsi="Arial" w:cs="Arial"/>
                <w:color w:val="000000"/>
                <w:sz w:val="18"/>
                <w:szCs w:val="18"/>
              </w:rPr>
              <w:t>Žilinský</w:t>
            </w:r>
          </w:p>
        </w:tc>
        <w:tc>
          <w:tcPr>
            <w:tcW w:w="0" w:type="auto"/>
            <w:tcBorders>
              <w:top w:val="nil"/>
              <w:left w:val="nil"/>
              <w:bottom w:val="single" w:sz="4" w:space="0" w:color="auto"/>
              <w:right w:val="single" w:sz="4" w:space="0" w:color="auto"/>
            </w:tcBorders>
            <w:shd w:val="clear" w:color="auto" w:fill="auto"/>
            <w:vAlign w:val="center"/>
            <w:hideMark/>
          </w:tcPr>
          <w:p w:rsidR="000766F3" w:rsidRPr="00EA58ED" w:rsidRDefault="000766F3" w:rsidP="008216A0">
            <w:pPr>
              <w:jc w:val="center"/>
              <w:rPr>
                <w:rFonts w:ascii="Arial" w:hAnsi="Arial" w:cs="Arial"/>
                <w:sz w:val="18"/>
                <w:szCs w:val="18"/>
              </w:rPr>
            </w:pPr>
            <w:r w:rsidRPr="00EA58ED">
              <w:rPr>
                <w:rFonts w:ascii="Arial" w:hAnsi="Arial" w:cs="Arial"/>
                <w:sz w:val="18"/>
                <w:szCs w:val="18"/>
              </w:rPr>
              <w:t>91</w:t>
            </w:r>
          </w:p>
        </w:tc>
        <w:tc>
          <w:tcPr>
            <w:tcW w:w="0" w:type="auto"/>
            <w:tcBorders>
              <w:top w:val="nil"/>
              <w:left w:val="nil"/>
              <w:bottom w:val="single" w:sz="4" w:space="0" w:color="auto"/>
              <w:right w:val="single" w:sz="4" w:space="0" w:color="auto"/>
            </w:tcBorders>
            <w:shd w:val="clear" w:color="auto" w:fill="auto"/>
            <w:vAlign w:val="center"/>
            <w:hideMark/>
          </w:tcPr>
          <w:p w:rsidR="000766F3" w:rsidRPr="00EA58ED" w:rsidRDefault="000766F3" w:rsidP="008216A0">
            <w:pPr>
              <w:jc w:val="center"/>
              <w:rPr>
                <w:rFonts w:ascii="Arial" w:hAnsi="Arial" w:cs="Arial"/>
                <w:color w:val="000000"/>
                <w:sz w:val="18"/>
                <w:szCs w:val="18"/>
              </w:rPr>
            </w:pPr>
            <w:r w:rsidRPr="00EA58ED">
              <w:rPr>
                <w:rFonts w:ascii="Arial" w:hAnsi="Arial" w:cs="Arial"/>
                <w:color w:val="000000"/>
                <w:sz w:val="18"/>
                <w:szCs w:val="18"/>
              </w:rPr>
              <w:t>210 772 262</w:t>
            </w:r>
          </w:p>
        </w:tc>
        <w:tc>
          <w:tcPr>
            <w:tcW w:w="0" w:type="auto"/>
            <w:tcBorders>
              <w:top w:val="nil"/>
              <w:left w:val="nil"/>
              <w:bottom w:val="single" w:sz="4" w:space="0" w:color="auto"/>
              <w:right w:val="single" w:sz="4" w:space="0" w:color="auto"/>
            </w:tcBorders>
            <w:shd w:val="clear" w:color="auto" w:fill="auto"/>
            <w:vAlign w:val="center"/>
            <w:hideMark/>
          </w:tcPr>
          <w:p w:rsidR="000766F3" w:rsidRPr="00EA58ED" w:rsidRDefault="000766F3" w:rsidP="008216A0">
            <w:pPr>
              <w:jc w:val="center"/>
              <w:rPr>
                <w:rFonts w:ascii="Arial" w:hAnsi="Arial" w:cs="Arial"/>
                <w:color w:val="000000"/>
                <w:sz w:val="18"/>
                <w:szCs w:val="18"/>
              </w:rPr>
            </w:pPr>
            <w:r w:rsidRPr="00EA58ED">
              <w:rPr>
                <w:rFonts w:ascii="Arial" w:hAnsi="Arial" w:cs="Arial"/>
                <w:color w:val="000000"/>
                <w:sz w:val="18"/>
                <w:szCs w:val="18"/>
              </w:rPr>
              <w:t>25</w:t>
            </w:r>
          </w:p>
        </w:tc>
        <w:tc>
          <w:tcPr>
            <w:tcW w:w="0" w:type="auto"/>
            <w:tcBorders>
              <w:top w:val="nil"/>
              <w:left w:val="nil"/>
              <w:bottom w:val="single" w:sz="4" w:space="0" w:color="auto"/>
              <w:right w:val="single" w:sz="4" w:space="0" w:color="auto"/>
            </w:tcBorders>
            <w:shd w:val="clear" w:color="auto" w:fill="auto"/>
            <w:vAlign w:val="center"/>
            <w:hideMark/>
          </w:tcPr>
          <w:p w:rsidR="000766F3" w:rsidRPr="00EA58ED" w:rsidRDefault="000766F3" w:rsidP="008216A0">
            <w:pPr>
              <w:jc w:val="center"/>
              <w:rPr>
                <w:rFonts w:ascii="Arial" w:hAnsi="Arial" w:cs="Arial"/>
                <w:color w:val="000000"/>
                <w:sz w:val="18"/>
                <w:szCs w:val="18"/>
              </w:rPr>
            </w:pPr>
            <w:r w:rsidRPr="00EA58ED">
              <w:rPr>
                <w:rFonts w:ascii="Arial" w:hAnsi="Arial" w:cs="Arial"/>
                <w:color w:val="000000"/>
                <w:sz w:val="18"/>
                <w:szCs w:val="18"/>
              </w:rPr>
              <w:t>58 132 583</w:t>
            </w:r>
          </w:p>
        </w:tc>
        <w:tc>
          <w:tcPr>
            <w:tcW w:w="0" w:type="auto"/>
            <w:tcBorders>
              <w:top w:val="nil"/>
              <w:left w:val="nil"/>
              <w:bottom w:val="single" w:sz="4" w:space="0" w:color="auto"/>
              <w:right w:val="single" w:sz="4" w:space="0" w:color="auto"/>
            </w:tcBorders>
            <w:shd w:val="clear" w:color="auto" w:fill="auto"/>
            <w:vAlign w:val="center"/>
            <w:hideMark/>
          </w:tcPr>
          <w:p w:rsidR="000766F3" w:rsidRPr="00EA58ED" w:rsidRDefault="000766F3" w:rsidP="008216A0">
            <w:pPr>
              <w:jc w:val="center"/>
              <w:rPr>
                <w:rFonts w:ascii="Arial" w:hAnsi="Arial" w:cs="Arial"/>
                <w:color w:val="000000"/>
                <w:sz w:val="18"/>
                <w:szCs w:val="18"/>
              </w:rPr>
            </w:pPr>
            <w:r w:rsidRPr="00EA58ED">
              <w:rPr>
                <w:rFonts w:ascii="Arial" w:hAnsi="Arial" w:cs="Arial"/>
                <w:color w:val="000000"/>
                <w:sz w:val="18"/>
                <w:szCs w:val="18"/>
              </w:rPr>
              <w:t>27,58%</w:t>
            </w:r>
          </w:p>
        </w:tc>
      </w:tr>
      <w:tr w:rsidR="000766F3" w:rsidRPr="00D35EFD" w:rsidTr="00A50084">
        <w:trPr>
          <w:trHeight w:val="421"/>
        </w:trPr>
        <w:tc>
          <w:tcPr>
            <w:tcW w:w="0" w:type="auto"/>
            <w:tcBorders>
              <w:top w:val="nil"/>
              <w:left w:val="single" w:sz="4" w:space="0" w:color="auto"/>
              <w:bottom w:val="single" w:sz="4" w:space="0" w:color="auto"/>
              <w:right w:val="single" w:sz="4" w:space="0" w:color="auto"/>
            </w:tcBorders>
            <w:shd w:val="clear" w:color="auto" w:fill="auto"/>
            <w:vAlign w:val="center"/>
            <w:hideMark/>
          </w:tcPr>
          <w:p w:rsidR="000766F3" w:rsidRPr="00D35EFD" w:rsidRDefault="000766F3" w:rsidP="008216A0">
            <w:pPr>
              <w:rPr>
                <w:rFonts w:ascii="Arial" w:hAnsi="Arial" w:cs="Arial"/>
                <w:color w:val="000000"/>
                <w:sz w:val="18"/>
                <w:szCs w:val="18"/>
              </w:rPr>
            </w:pPr>
            <w:r w:rsidRPr="00D35EFD">
              <w:rPr>
                <w:rFonts w:ascii="Arial" w:hAnsi="Arial" w:cs="Arial"/>
                <w:color w:val="000000"/>
                <w:sz w:val="18"/>
                <w:szCs w:val="18"/>
              </w:rPr>
              <w:t>Banskobystrický</w:t>
            </w:r>
          </w:p>
        </w:tc>
        <w:tc>
          <w:tcPr>
            <w:tcW w:w="0" w:type="auto"/>
            <w:tcBorders>
              <w:top w:val="nil"/>
              <w:left w:val="nil"/>
              <w:bottom w:val="single" w:sz="4" w:space="0" w:color="auto"/>
              <w:right w:val="single" w:sz="4" w:space="0" w:color="auto"/>
            </w:tcBorders>
            <w:shd w:val="clear" w:color="auto" w:fill="auto"/>
            <w:vAlign w:val="center"/>
            <w:hideMark/>
          </w:tcPr>
          <w:p w:rsidR="000766F3" w:rsidRPr="00EA58ED" w:rsidRDefault="000766F3" w:rsidP="008216A0">
            <w:pPr>
              <w:jc w:val="center"/>
              <w:rPr>
                <w:rFonts w:ascii="Arial" w:hAnsi="Arial" w:cs="Arial"/>
                <w:sz w:val="18"/>
                <w:szCs w:val="18"/>
              </w:rPr>
            </w:pPr>
            <w:r w:rsidRPr="00EA58ED">
              <w:rPr>
                <w:rFonts w:ascii="Arial" w:hAnsi="Arial" w:cs="Arial"/>
                <w:sz w:val="18"/>
                <w:szCs w:val="18"/>
              </w:rPr>
              <w:t>77</w:t>
            </w:r>
          </w:p>
        </w:tc>
        <w:tc>
          <w:tcPr>
            <w:tcW w:w="0" w:type="auto"/>
            <w:tcBorders>
              <w:top w:val="nil"/>
              <w:left w:val="nil"/>
              <w:bottom w:val="single" w:sz="4" w:space="0" w:color="auto"/>
              <w:right w:val="single" w:sz="4" w:space="0" w:color="auto"/>
            </w:tcBorders>
            <w:shd w:val="clear" w:color="auto" w:fill="auto"/>
            <w:vAlign w:val="center"/>
            <w:hideMark/>
          </w:tcPr>
          <w:p w:rsidR="000766F3" w:rsidRPr="00EA58ED" w:rsidRDefault="000766F3" w:rsidP="008216A0">
            <w:pPr>
              <w:jc w:val="center"/>
              <w:rPr>
                <w:rFonts w:ascii="Arial" w:hAnsi="Arial" w:cs="Arial"/>
                <w:color w:val="000000"/>
                <w:sz w:val="18"/>
                <w:szCs w:val="18"/>
              </w:rPr>
            </w:pPr>
            <w:r w:rsidRPr="00EA58ED">
              <w:rPr>
                <w:rFonts w:ascii="Arial" w:hAnsi="Arial" w:cs="Arial"/>
                <w:color w:val="000000"/>
                <w:sz w:val="18"/>
                <w:szCs w:val="18"/>
              </w:rPr>
              <w:t>173 017 188</w:t>
            </w:r>
          </w:p>
        </w:tc>
        <w:tc>
          <w:tcPr>
            <w:tcW w:w="0" w:type="auto"/>
            <w:tcBorders>
              <w:top w:val="nil"/>
              <w:left w:val="nil"/>
              <w:bottom w:val="single" w:sz="4" w:space="0" w:color="auto"/>
              <w:right w:val="single" w:sz="4" w:space="0" w:color="auto"/>
            </w:tcBorders>
            <w:shd w:val="clear" w:color="auto" w:fill="auto"/>
            <w:vAlign w:val="center"/>
            <w:hideMark/>
          </w:tcPr>
          <w:p w:rsidR="000766F3" w:rsidRPr="00EA58ED" w:rsidRDefault="000766F3" w:rsidP="008216A0">
            <w:pPr>
              <w:jc w:val="center"/>
              <w:rPr>
                <w:rFonts w:ascii="Arial" w:hAnsi="Arial" w:cs="Arial"/>
                <w:color w:val="000000"/>
                <w:sz w:val="18"/>
                <w:szCs w:val="18"/>
              </w:rPr>
            </w:pPr>
            <w:r w:rsidRPr="00EA58ED">
              <w:rPr>
                <w:rFonts w:ascii="Arial" w:hAnsi="Arial" w:cs="Arial"/>
                <w:color w:val="000000"/>
                <w:sz w:val="18"/>
                <w:szCs w:val="18"/>
              </w:rPr>
              <w:t>24</w:t>
            </w:r>
          </w:p>
        </w:tc>
        <w:tc>
          <w:tcPr>
            <w:tcW w:w="0" w:type="auto"/>
            <w:tcBorders>
              <w:top w:val="nil"/>
              <w:left w:val="nil"/>
              <w:bottom w:val="single" w:sz="4" w:space="0" w:color="auto"/>
              <w:right w:val="single" w:sz="4" w:space="0" w:color="auto"/>
            </w:tcBorders>
            <w:shd w:val="clear" w:color="auto" w:fill="auto"/>
            <w:vAlign w:val="center"/>
            <w:hideMark/>
          </w:tcPr>
          <w:p w:rsidR="000766F3" w:rsidRPr="00EA58ED" w:rsidRDefault="000766F3" w:rsidP="008216A0">
            <w:pPr>
              <w:jc w:val="center"/>
              <w:rPr>
                <w:rFonts w:ascii="Arial" w:hAnsi="Arial" w:cs="Arial"/>
                <w:color w:val="000000"/>
                <w:sz w:val="18"/>
                <w:szCs w:val="18"/>
              </w:rPr>
            </w:pPr>
            <w:r w:rsidRPr="00EA58ED">
              <w:rPr>
                <w:rFonts w:ascii="Arial" w:hAnsi="Arial" w:cs="Arial"/>
                <w:color w:val="000000"/>
                <w:sz w:val="18"/>
                <w:szCs w:val="18"/>
              </w:rPr>
              <w:t>67 782 205</w:t>
            </w:r>
          </w:p>
        </w:tc>
        <w:tc>
          <w:tcPr>
            <w:tcW w:w="0" w:type="auto"/>
            <w:tcBorders>
              <w:top w:val="nil"/>
              <w:left w:val="nil"/>
              <w:bottom w:val="single" w:sz="4" w:space="0" w:color="auto"/>
              <w:right w:val="single" w:sz="4" w:space="0" w:color="auto"/>
            </w:tcBorders>
            <w:shd w:val="clear" w:color="auto" w:fill="auto"/>
            <w:vAlign w:val="center"/>
            <w:hideMark/>
          </w:tcPr>
          <w:p w:rsidR="000766F3" w:rsidRPr="00EA58ED" w:rsidRDefault="000766F3" w:rsidP="008216A0">
            <w:pPr>
              <w:jc w:val="center"/>
              <w:rPr>
                <w:rFonts w:ascii="Arial" w:hAnsi="Arial" w:cs="Arial"/>
                <w:color w:val="000000"/>
                <w:sz w:val="18"/>
                <w:szCs w:val="18"/>
              </w:rPr>
            </w:pPr>
            <w:r w:rsidRPr="00EA58ED">
              <w:rPr>
                <w:rFonts w:ascii="Arial" w:hAnsi="Arial" w:cs="Arial"/>
                <w:color w:val="000000"/>
                <w:sz w:val="18"/>
                <w:szCs w:val="18"/>
              </w:rPr>
              <w:t>39,18%</w:t>
            </w:r>
          </w:p>
        </w:tc>
      </w:tr>
      <w:tr w:rsidR="000766F3" w:rsidRPr="00D35EFD" w:rsidTr="00A50084">
        <w:trPr>
          <w:trHeight w:val="413"/>
        </w:trPr>
        <w:tc>
          <w:tcPr>
            <w:tcW w:w="0" w:type="auto"/>
            <w:tcBorders>
              <w:top w:val="nil"/>
              <w:left w:val="single" w:sz="4" w:space="0" w:color="auto"/>
              <w:bottom w:val="single" w:sz="4" w:space="0" w:color="auto"/>
              <w:right w:val="single" w:sz="4" w:space="0" w:color="auto"/>
            </w:tcBorders>
            <w:shd w:val="clear" w:color="auto" w:fill="auto"/>
            <w:vAlign w:val="center"/>
            <w:hideMark/>
          </w:tcPr>
          <w:p w:rsidR="000766F3" w:rsidRPr="00D35EFD" w:rsidRDefault="000766F3" w:rsidP="008216A0">
            <w:pPr>
              <w:rPr>
                <w:rFonts w:ascii="Arial" w:hAnsi="Arial" w:cs="Arial"/>
                <w:color w:val="000000"/>
                <w:sz w:val="18"/>
                <w:szCs w:val="18"/>
              </w:rPr>
            </w:pPr>
            <w:r w:rsidRPr="00D35EFD">
              <w:rPr>
                <w:rFonts w:ascii="Arial" w:hAnsi="Arial" w:cs="Arial"/>
                <w:color w:val="000000"/>
                <w:sz w:val="18"/>
                <w:szCs w:val="18"/>
              </w:rPr>
              <w:t>Prešovský</w:t>
            </w:r>
          </w:p>
        </w:tc>
        <w:tc>
          <w:tcPr>
            <w:tcW w:w="0" w:type="auto"/>
            <w:tcBorders>
              <w:top w:val="nil"/>
              <w:left w:val="nil"/>
              <w:bottom w:val="single" w:sz="4" w:space="0" w:color="auto"/>
              <w:right w:val="single" w:sz="4" w:space="0" w:color="auto"/>
            </w:tcBorders>
            <w:shd w:val="clear" w:color="auto" w:fill="auto"/>
            <w:vAlign w:val="center"/>
            <w:hideMark/>
          </w:tcPr>
          <w:p w:rsidR="000766F3" w:rsidRPr="00EA58ED" w:rsidRDefault="000766F3" w:rsidP="008216A0">
            <w:pPr>
              <w:jc w:val="center"/>
              <w:rPr>
                <w:rFonts w:ascii="Arial" w:hAnsi="Arial" w:cs="Arial"/>
                <w:sz w:val="18"/>
                <w:szCs w:val="18"/>
              </w:rPr>
            </w:pPr>
            <w:r w:rsidRPr="00EA58ED">
              <w:rPr>
                <w:rFonts w:ascii="Arial" w:hAnsi="Arial" w:cs="Arial"/>
                <w:sz w:val="18"/>
                <w:szCs w:val="18"/>
              </w:rPr>
              <w:t>110</w:t>
            </w:r>
          </w:p>
        </w:tc>
        <w:tc>
          <w:tcPr>
            <w:tcW w:w="0" w:type="auto"/>
            <w:tcBorders>
              <w:top w:val="nil"/>
              <w:left w:val="nil"/>
              <w:bottom w:val="single" w:sz="4" w:space="0" w:color="auto"/>
              <w:right w:val="single" w:sz="4" w:space="0" w:color="auto"/>
            </w:tcBorders>
            <w:shd w:val="clear" w:color="auto" w:fill="auto"/>
            <w:vAlign w:val="center"/>
            <w:hideMark/>
          </w:tcPr>
          <w:p w:rsidR="000766F3" w:rsidRPr="00EA58ED" w:rsidRDefault="000766F3" w:rsidP="008216A0">
            <w:pPr>
              <w:jc w:val="center"/>
              <w:rPr>
                <w:rFonts w:ascii="Arial" w:hAnsi="Arial" w:cs="Arial"/>
                <w:color w:val="000000"/>
                <w:sz w:val="18"/>
                <w:szCs w:val="18"/>
              </w:rPr>
            </w:pPr>
            <w:r w:rsidRPr="00EA58ED">
              <w:rPr>
                <w:rFonts w:ascii="Arial" w:hAnsi="Arial" w:cs="Arial"/>
                <w:color w:val="000000"/>
                <w:sz w:val="18"/>
                <w:szCs w:val="18"/>
              </w:rPr>
              <w:t>213 992 971</w:t>
            </w:r>
          </w:p>
        </w:tc>
        <w:tc>
          <w:tcPr>
            <w:tcW w:w="0" w:type="auto"/>
            <w:tcBorders>
              <w:top w:val="nil"/>
              <w:left w:val="nil"/>
              <w:bottom w:val="single" w:sz="4" w:space="0" w:color="auto"/>
              <w:right w:val="single" w:sz="4" w:space="0" w:color="auto"/>
            </w:tcBorders>
            <w:shd w:val="clear" w:color="auto" w:fill="auto"/>
            <w:vAlign w:val="center"/>
            <w:hideMark/>
          </w:tcPr>
          <w:p w:rsidR="000766F3" w:rsidRPr="00EA58ED" w:rsidRDefault="000766F3" w:rsidP="008216A0">
            <w:pPr>
              <w:jc w:val="center"/>
              <w:rPr>
                <w:rFonts w:ascii="Arial" w:hAnsi="Arial" w:cs="Arial"/>
                <w:color w:val="000000"/>
                <w:sz w:val="18"/>
                <w:szCs w:val="18"/>
              </w:rPr>
            </w:pPr>
            <w:r w:rsidRPr="00EA58ED">
              <w:rPr>
                <w:rFonts w:ascii="Arial" w:hAnsi="Arial" w:cs="Arial"/>
                <w:color w:val="000000"/>
                <w:sz w:val="18"/>
                <w:szCs w:val="18"/>
              </w:rPr>
              <w:t>46</w:t>
            </w:r>
          </w:p>
        </w:tc>
        <w:tc>
          <w:tcPr>
            <w:tcW w:w="0" w:type="auto"/>
            <w:tcBorders>
              <w:top w:val="nil"/>
              <w:left w:val="nil"/>
              <w:bottom w:val="single" w:sz="4" w:space="0" w:color="auto"/>
              <w:right w:val="single" w:sz="4" w:space="0" w:color="auto"/>
            </w:tcBorders>
            <w:shd w:val="clear" w:color="auto" w:fill="auto"/>
            <w:vAlign w:val="center"/>
            <w:hideMark/>
          </w:tcPr>
          <w:p w:rsidR="000766F3" w:rsidRPr="00EA58ED" w:rsidRDefault="000766F3" w:rsidP="008216A0">
            <w:pPr>
              <w:jc w:val="center"/>
              <w:rPr>
                <w:rFonts w:ascii="Arial" w:hAnsi="Arial" w:cs="Arial"/>
                <w:color w:val="000000"/>
                <w:sz w:val="18"/>
                <w:szCs w:val="18"/>
              </w:rPr>
            </w:pPr>
            <w:r w:rsidRPr="00EA58ED">
              <w:rPr>
                <w:rFonts w:ascii="Arial" w:hAnsi="Arial" w:cs="Arial"/>
                <w:color w:val="000000"/>
                <w:sz w:val="18"/>
                <w:szCs w:val="18"/>
              </w:rPr>
              <w:t>75 496 821</w:t>
            </w:r>
          </w:p>
        </w:tc>
        <w:tc>
          <w:tcPr>
            <w:tcW w:w="0" w:type="auto"/>
            <w:tcBorders>
              <w:top w:val="nil"/>
              <w:left w:val="nil"/>
              <w:bottom w:val="single" w:sz="4" w:space="0" w:color="auto"/>
              <w:right w:val="single" w:sz="4" w:space="0" w:color="auto"/>
            </w:tcBorders>
            <w:shd w:val="clear" w:color="auto" w:fill="auto"/>
            <w:vAlign w:val="center"/>
            <w:hideMark/>
          </w:tcPr>
          <w:p w:rsidR="000766F3" w:rsidRPr="00EA58ED" w:rsidRDefault="000766F3" w:rsidP="008216A0">
            <w:pPr>
              <w:jc w:val="center"/>
              <w:rPr>
                <w:rFonts w:ascii="Arial" w:hAnsi="Arial" w:cs="Arial"/>
                <w:color w:val="000000"/>
                <w:sz w:val="18"/>
                <w:szCs w:val="18"/>
              </w:rPr>
            </w:pPr>
            <w:r w:rsidRPr="00EA58ED">
              <w:rPr>
                <w:rFonts w:ascii="Arial" w:hAnsi="Arial" w:cs="Arial"/>
                <w:color w:val="000000"/>
                <w:sz w:val="18"/>
                <w:szCs w:val="18"/>
              </w:rPr>
              <w:t>35,28%</w:t>
            </w:r>
          </w:p>
        </w:tc>
      </w:tr>
      <w:tr w:rsidR="000766F3" w:rsidRPr="00D35EFD" w:rsidTr="00A50084">
        <w:trPr>
          <w:trHeight w:val="419"/>
        </w:trPr>
        <w:tc>
          <w:tcPr>
            <w:tcW w:w="0" w:type="auto"/>
            <w:tcBorders>
              <w:top w:val="nil"/>
              <w:left w:val="single" w:sz="4" w:space="0" w:color="auto"/>
              <w:bottom w:val="single" w:sz="4" w:space="0" w:color="auto"/>
              <w:right w:val="single" w:sz="4" w:space="0" w:color="auto"/>
            </w:tcBorders>
            <w:shd w:val="clear" w:color="auto" w:fill="auto"/>
            <w:vAlign w:val="center"/>
            <w:hideMark/>
          </w:tcPr>
          <w:p w:rsidR="000766F3" w:rsidRPr="00D35EFD" w:rsidRDefault="000766F3" w:rsidP="008216A0">
            <w:pPr>
              <w:rPr>
                <w:rFonts w:ascii="Arial" w:hAnsi="Arial" w:cs="Arial"/>
                <w:color w:val="000000"/>
                <w:sz w:val="18"/>
                <w:szCs w:val="18"/>
              </w:rPr>
            </w:pPr>
            <w:r w:rsidRPr="00D35EFD">
              <w:rPr>
                <w:rFonts w:ascii="Arial" w:hAnsi="Arial" w:cs="Arial"/>
                <w:color w:val="000000"/>
                <w:sz w:val="18"/>
                <w:szCs w:val="18"/>
              </w:rPr>
              <w:t>Košický</w:t>
            </w:r>
          </w:p>
        </w:tc>
        <w:tc>
          <w:tcPr>
            <w:tcW w:w="0" w:type="auto"/>
            <w:tcBorders>
              <w:top w:val="nil"/>
              <w:left w:val="nil"/>
              <w:bottom w:val="single" w:sz="4" w:space="0" w:color="auto"/>
              <w:right w:val="single" w:sz="4" w:space="0" w:color="auto"/>
            </w:tcBorders>
            <w:shd w:val="clear" w:color="auto" w:fill="auto"/>
            <w:vAlign w:val="center"/>
            <w:hideMark/>
          </w:tcPr>
          <w:p w:rsidR="000766F3" w:rsidRPr="00EA58ED" w:rsidRDefault="000766F3" w:rsidP="008216A0">
            <w:pPr>
              <w:jc w:val="center"/>
              <w:rPr>
                <w:rFonts w:ascii="Arial" w:hAnsi="Arial" w:cs="Arial"/>
                <w:sz w:val="18"/>
                <w:szCs w:val="18"/>
              </w:rPr>
            </w:pPr>
            <w:r w:rsidRPr="00EA58ED">
              <w:rPr>
                <w:rFonts w:ascii="Arial" w:hAnsi="Arial" w:cs="Arial"/>
                <w:sz w:val="18"/>
                <w:szCs w:val="18"/>
              </w:rPr>
              <w:t>60</w:t>
            </w:r>
          </w:p>
        </w:tc>
        <w:tc>
          <w:tcPr>
            <w:tcW w:w="0" w:type="auto"/>
            <w:tcBorders>
              <w:top w:val="nil"/>
              <w:left w:val="nil"/>
              <w:bottom w:val="single" w:sz="4" w:space="0" w:color="auto"/>
              <w:right w:val="single" w:sz="4" w:space="0" w:color="auto"/>
            </w:tcBorders>
            <w:shd w:val="clear" w:color="auto" w:fill="auto"/>
            <w:vAlign w:val="center"/>
            <w:hideMark/>
          </w:tcPr>
          <w:p w:rsidR="000766F3" w:rsidRPr="00EA58ED" w:rsidRDefault="000766F3" w:rsidP="008216A0">
            <w:pPr>
              <w:jc w:val="center"/>
              <w:rPr>
                <w:rFonts w:ascii="Arial" w:hAnsi="Arial" w:cs="Arial"/>
                <w:color w:val="000000"/>
                <w:sz w:val="18"/>
                <w:szCs w:val="18"/>
              </w:rPr>
            </w:pPr>
            <w:r w:rsidRPr="00EA58ED">
              <w:rPr>
                <w:rFonts w:ascii="Arial" w:hAnsi="Arial" w:cs="Arial"/>
                <w:color w:val="000000"/>
                <w:sz w:val="18"/>
                <w:szCs w:val="18"/>
              </w:rPr>
              <w:t>127 453 234</w:t>
            </w:r>
          </w:p>
        </w:tc>
        <w:tc>
          <w:tcPr>
            <w:tcW w:w="0" w:type="auto"/>
            <w:tcBorders>
              <w:top w:val="nil"/>
              <w:left w:val="nil"/>
              <w:bottom w:val="single" w:sz="4" w:space="0" w:color="auto"/>
              <w:right w:val="single" w:sz="4" w:space="0" w:color="auto"/>
            </w:tcBorders>
            <w:shd w:val="clear" w:color="auto" w:fill="auto"/>
            <w:vAlign w:val="center"/>
            <w:hideMark/>
          </w:tcPr>
          <w:p w:rsidR="000766F3" w:rsidRPr="00EA58ED" w:rsidRDefault="000766F3" w:rsidP="008216A0">
            <w:pPr>
              <w:jc w:val="center"/>
              <w:rPr>
                <w:rFonts w:ascii="Arial" w:hAnsi="Arial" w:cs="Arial"/>
                <w:color w:val="000000"/>
                <w:sz w:val="18"/>
                <w:szCs w:val="18"/>
              </w:rPr>
            </w:pPr>
            <w:r w:rsidRPr="00EA58ED">
              <w:rPr>
                <w:rFonts w:ascii="Arial" w:hAnsi="Arial" w:cs="Arial"/>
                <w:color w:val="000000"/>
                <w:sz w:val="18"/>
                <w:szCs w:val="18"/>
              </w:rPr>
              <w:t>25</w:t>
            </w:r>
          </w:p>
        </w:tc>
        <w:tc>
          <w:tcPr>
            <w:tcW w:w="0" w:type="auto"/>
            <w:tcBorders>
              <w:top w:val="nil"/>
              <w:left w:val="nil"/>
              <w:bottom w:val="single" w:sz="4" w:space="0" w:color="auto"/>
              <w:right w:val="single" w:sz="4" w:space="0" w:color="auto"/>
            </w:tcBorders>
            <w:shd w:val="clear" w:color="auto" w:fill="auto"/>
            <w:vAlign w:val="center"/>
            <w:hideMark/>
          </w:tcPr>
          <w:p w:rsidR="000766F3" w:rsidRPr="00EA58ED" w:rsidRDefault="000766F3" w:rsidP="008216A0">
            <w:pPr>
              <w:jc w:val="center"/>
              <w:rPr>
                <w:rFonts w:ascii="Arial" w:hAnsi="Arial" w:cs="Arial"/>
                <w:color w:val="000000"/>
                <w:sz w:val="18"/>
                <w:szCs w:val="18"/>
              </w:rPr>
            </w:pPr>
            <w:r w:rsidRPr="00EA58ED">
              <w:rPr>
                <w:rFonts w:ascii="Arial" w:hAnsi="Arial" w:cs="Arial"/>
                <w:color w:val="000000"/>
                <w:sz w:val="18"/>
                <w:szCs w:val="18"/>
              </w:rPr>
              <w:t>53 616 640</w:t>
            </w:r>
          </w:p>
        </w:tc>
        <w:tc>
          <w:tcPr>
            <w:tcW w:w="0" w:type="auto"/>
            <w:tcBorders>
              <w:top w:val="nil"/>
              <w:left w:val="nil"/>
              <w:bottom w:val="single" w:sz="4" w:space="0" w:color="auto"/>
              <w:right w:val="single" w:sz="4" w:space="0" w:color="auto"/>
            </w:tcBorders>
            <w:shd w:val="clear" w:color="auto" w:fill="auto"/>
            <w:vAlign w:val="center"/>
            <w:hideMark/>
          </w:tcPr>
          <w:p w:rsidR="000766F3" w:rsidRPr="00EA58ED" w:rsidRDefault="000766F3" w:rsidP="008216A0">
            <w:pPr>
              <w:jc w:val="center"/>
              <w:rPr>
                <w:rFonts w:ascii="Arial" w:hAnsi="Arial" w:cs="Arial"/>
                <w:color w:val="000000"/>
                <w:sz w:val="18"/>
                <w:szCs w:val="18"/>
              </w:rPr>
            </w:pPr>
            <w:r w:rsidRPr="00EA58ED">
              <w:rPr>
                <w:rFonts w:ascii="Arial" w:hAnsi="Arial" w:cs="Arial"/>
                <w:color w:val="000000"/>
                <w:sz w:val="18"/>
                <w:szCs w:val="18"/>
              </w:rPr>
              <w:t>42,07%</w:t>
            </w:r>
          </w:p>
        </w:tc>
      </w:tr>
      <w:tr w:rsidR="000766F3" w:rsidRPr="00D35EFD" w:rsidTr="00A50084">
        <w:trPr>
          <w:trHeight w:val="600"/>
        </w:trPr>
        <w:tc>
          <w:tcPr>
            <w:tcW w:w="0" w:type="auto"/>
            <w:tcBorders>
              <w:top w:val="nil"/>
              <w:left w:val="single" w:sz="4" w:space="0" w:color="auto"/>
              <w:bottom w:val="single" w:sz="4" w:space="0" w:color="auto"/>
              <w:right w:val="single" w:sz="4" w:space="0" w:color="auto"/>
            </w:tcBorders>
            <w:shd w:val="clear" w:color="000000" w:fill="FFFFCC"/>
            <w:vAlign w:val="center"/>
            <w:hideMark/>
          </w:tcPr>
          <w:p w:rsidR="000766F3" w:rsidRPr="00D35EFD" w:rsidRDefault="000766F3" w:rsidP="008216A0">
            <w:pPr>
              <w:rPr>
                <w:rFonts w:ascii="Arial" w:hAnsi="Arial" w:cs="Arial"/>
                <w:color w:val="000000"/>
                <w:sz w:val="18"/>
                <w:szCs w:val="18"/>
              </w:rPr>
            </w:pPr>
            <w:r w:rsidRPr="00D35EFD">
              <w:rPr>
                <w:rFonts w:ascii="Arial" w:hAnsi="Arial" w:cs="Arial"/>
                <w:color w:val="000000"/>
                <w:sz w:val="18"/>
                <w:szCs w:val="18"/>
              </w:rPr>
              <w:t>Projekty nezaradené do NUTS III</w:t>
            </w:r>
          </w:p>
        </w:tc>
        <w:tc>
          <w:tcPr>
            <w:tcW w:w="0" w:type="auto"/>
            <w:tcBorders>
              <w:top w:val="nil"/>
              <w:left w:val="nil"/>
              <w:bottom w:val="single" w:sz="4" w:space="0" w:color="auto"/>
              <w:right w:val="single" w:sz="4" w:space="0" w:color="auto"/>
            </w:tcBorders>
            <w:shd w:val="clear" w:color="000000" w:fill="FFFFCC"/>
            <w:vAlign w:val="center"/>
            <w:hideMark/>
          </w:tcPr>
          <w:p w:rsidR="000766F3" w:rsidRPr="00EA58ED" w:rsidRDefault="000766F3" w:rsidP="008216A0">
            <w:pPr>
              <w:jc w:val="center"/>
              <w:rPr>
                <w:rFonts w:ascii="Arial" w:hAnsi="Arial" w:cs="Arial"/>
                <w:sz w:val="18"/>
                <w:szCs w:val="18"/>
              </w:rPr>
            </w:pPr>
            <w:r w:rsidRPr="00EA58ED">
              <w:rPr>
                <w:rFonts w:ascii="Arial" w:hAnsi="Arial" w:cs="Arial"/>
                <w:sz w:val="18"/>
                <w:szCs w:val="18"/>
              </w:rPr>
              <w:t>42</w:t>
            </w:r>
          </w:p>
        </w:tc>
        <w:tc>
          <w:tcPr>
            <w:tcW w:w="0" w:type="auto"/>
            <w:tcBorders>
              <w:top w:val="nil"/>
              <w:left w:val="nil"/>
              <w:bottom w:val="single" w:sz="4" w:space="0" w:color="auto"/>
              <w:right w:val="single" w:sz="4" w:space="0" w:color="auto"/>
            </w:tcBorders>
            <w:shd w:val="clear" w:color="000000" w:fill="FFFFCC"/>
            <w:vAlign w:val="center"/>
            <w:hideMark/>
          </w:tcPr>
          <w:p w:rsidR="000766F3" w:rsidRPr="00EA58ED" w:rsidRDefault="000766F3" w:rsidP="008216A0">
            <w:pPr>
              <w:jc w:val="center"/>
              <w:rPr>
                <w:rFonts w:ascii="Arial" w:hAnsi="Arial" w:cs="Arial"/>
                <w:color w:val="000000"/>
                <w:sz w:val="18"/>
                <w:szCs w:val="18"/>
              </w:rPr>
            </w:pPr>
            <w:r w:rsidRPr="00EA58ED">
              <w:rPr>
                <w:rFonts w:ascii="Arial" w:hAnsi="Arial" w:cs="Arial"/>
                <w:color w:val="000000"/>
                <w:sz w:val="18"/>
                <w:szCs w:val="18"/>
              </w:rPr>
              <w:t>134 180 369</w:t>
            </w:r>
          </w:p>
        </w:tc>
        <w:tc>
          <w:tcPr>
            <w:tcW w:w="0" w:type="auto"/>
            <w:tcBorders>
              <w:top w:val="nil"/>
              <w:left w:val="nil"/>
              <w:bottom w:val="single" w:sz="4" w:space="0" w:color="auto"/>
              <w:right w:val="single" w:sz="4" w:space="0" w:color="auto"/>
            </w:tcBorders>
            <w:shd w:val="clear" w:color="000000" w:fill="FFFFCC"/>
            <w:vAlign w:val="center"/>
            <w:hideMark/>
          </w:tcPr>
          <w:p w:rsidR="000766F3" w:rsidRPr="00EA58ED" w:rsidRDefault="000766F3" w:rsidP="008216A0">
            <w:pPr>
              <w:jc w:val="center"/>
              <w:rPr>
                <w:rFonts w:ascii="Arial" w:hAnsi="Arial" w:cs="Arial"/>
                <w:color w:val="000000"/>
                <w:sz w:val="18"/>
                <w:szCs w:val="18"/>
              </w:rPr>
            </w:pPr>
            <w:r w:rsidRPr="00EA58ED">
              <w:rPr>
                <w:rFonts w:ascii="Arial" w:hAnsi="Arial" w:cs="Arial"/>
                <w:color w:val="000000"/>
                <w:sz w:val="18"/>
                <w:szCs w:val="18"/>
              </w:rPr>
              <w:t>5</w:t>
            </w:r>
          </w:p>
        </w:tc>
        <w:tc>
          <w:tcPr>
            <w:tcW w:w="0" w:type="auto"/>
            <w:tcBorders>
              <w:top w:val="nil"/>
              <w:left w:val="nil"/>
              <w:bottom w:val="single" w:sz="4" w:space="0" w:color="auto"/>
              <w:right w:val="single" w:sz="4" w:space="0" w:color="auto"/>
            </w:tcBorders>
            <w:shd w:val="clear" w:color="000000" w:fill="FFFFCC"/>
            <w:vAlign w:val="center"/>
            <w:hideMark/>
          </w:tcPr>
          <w:p w:rsidR="000766F3" w:rsidRPr="00EA58ED" w:rsidRDefault="000766F3" w:rsidP="008216A0">
            <w:pPr>
              <w:jc w:val="center"/>
              <w:rPr>
                <w:rFonts w:ascii="Arial" w:hAnsi="Arial" w:cs="Arial"/>
                <w:color w:val="000000"/>
                <w:sz w:val="18"/>
                <w:szCs w:val="18"/>
              </w:rPr>
            </w:pPr>
            <w:r w:rsidRPr="00EA58ED">
              <w:rPr>
                <w:rFonts w:ascii="Arial" w:hAnsi="Arial" w:cs="Arial"/>
                <w:color w:val="000000"/>
                <w:sz w:val="18"/>
                <w:szCs w:val="18"/>
              </w:rPr>
              <w:t>9 950 888</w:t>
            </w:r>
          </w:p>
        </w:tc>
        <w:tc>
          <w:tcPr>
            <w:tcW w:w="0" w:type="auto"/>
            <w:tcBorders>
              <w:top w:val="nil"/>
              <w:left w:val="nil"/>
              <w:bottom w:val="single" w:sz="4" w:space="0" w:color="auto"/>
              <w:right w:val="single" w:sz="4" w:space="0" w:color="auto"/>
            </w:tcBorders>
            <w:shd w:val="clear" w:color="000000" w:fill="FFFFCC"/>
            <w:vAlign w:val="center"/>
            <w:hideMark/>
          </w:tcPr>
          <w:p w:rsidR="000766F3" w:rsidRPr="00EA58ED" w:rsidRDefault="000766F3" w:rsidP="008216A0">
            <w:pPr>
              <w:jc w:val="center"/>
              <w:rPr>
                <w:rFonts w:ascii="Arial" w:hAnsi="Arial" w:cs="Arial"/>
                <w:color w:val="000000"/>
                <w:sz w:val="18"/>
                <w:szCs w:val="18"/>
              </w:rPr>
            </w:pPr>
            <w:r w:rsidRPr="00EA58ED">
              <w:rPr>
                <w:rFonts w:ascii="Arial" w:hAnsi="Arial" w:cs="Arial"/>
                <w:color w:val="000000"/>
                <w:sz w:val="18"/>
                <w:szCs w:val="18"/>
              </w:rPr>
              <w:t>7,42%</w:t>
            </w:r>
          </w:p>
        </w:tc>
      </w:tr>
      <w:tr w:rsidR="000766F3" w:rsidRPr="00D35EFD" w:rsidTr="00A50084">
        <w:trPr>
          <w:trHeight w:val="350"/>
        </w:trPr>
        <w:tc>
          <w:tcPr>
            <w:tcW w:w="0" w:type="auto"/>
            <w:tcBorders>
              <w:top w:val="nil"/>
              <w:left w:val="single" w:sz="4" w:space="0" w:color="auto"/>
              <w:bottom w:val="single" w:sz="4" w:space="0" w:color="auto"/>
              <w:right w:val="single" w:sz="4" w:space="0" w:color="auto"/>
            </w:tcBorders>
            <w:shd w:val="clear" w:color="000000" w:fill="FFFFFF"/>
            <w:vAlign w:val="center"/>
            <w:hideMark/>
          </w:tcPr>
          <w:p w:rsidR="000766F3" w:rsidRPr="00EA58ED" w:rsidRDefault="000766F3" w:rsidP="008216A0">
            <w:pPr>
              <w:jc w:val="right"/>
              <w:rPr>
                <w:rFonts w:ascii="Arial" w:hAnsi="Arial" w:cs="Arial"/>
                <w:b/>
                <w:bCs/>
                <w:color w:val="000000"/>
                <w:sz w:val="18"/>
                <w:szCs w:val="18"/>
              </w:rPr>
            </w:pPr>
            <w:r w:rsidRPr="00EA58ED">
              <w:rPr>
                <w:rFonts w:ascii="Arial" w:hAnsi="Arial" w:cs="Arial"/>
                <w:b/>
                <w:bCs/>
                <w:color w:val="000000"/>
                <w:sz w:val="18"/>
                <w:szCs w:val="18"/>
              </w:rPr>
              <w:t>Spolu</w:t>
            </w:r>
          </w:p>
        </w:tc>
        <w:tc>
          <w:tcPr>
            <w:tcW w:w="0" w:type="auto"/>
            <w:tcBorders>
              <w:top w:val="nil"/>
              <w:left w:val="nil"/>
              <w:bottom w:val="single" w:sz="4" w:space="0" w:color="auto"/>
              <w:right w:val="single" w:sz="4" w:space="0" w:color="auto"/>
            </w:tcBorders>
            <w:shd w:val="clear" w:color="000000" w:fill="FFFFFF"/>
            <w:vAlign w:val="center"/>
            <w:hideMark/>
          </w:tcPr>
          <w:p w:rsidR="000766F3" w:rsidRPr="00EA58ED" w:rsidRDefault="000766F3" w:rsidP="008216A0">
            <w:pPr>
              <w:jc w:val="center"/>
              <w:rPr>
                <w:rFonts w:ascii="Arial" w:hAnsi="Arial" w:cs="Arial"/>
                <w:b/>
                <w:bCs/>
                <w:color w:val="000000"/>
                <w:sz w:val="18"/>
                <w:szCs w:val="18"/>
              </w:rPr>
            </w:pPr>
            <w:r w:rsidRPr="00EA58ED">
              <w:rPr>
                <w:rFonts w:ascii="Arial" w:hAnsi="Arial" w:cs="Arial"/>
                <w:b/>
                <w:bCs/>
                <w:color w:val="000000"/>
                <w:sz w:val="18"/>
                <w:szCs w:val="18"/>
              </w:rPr>
              <w:t>581</w:t>
            </w:r>
          </w:p>
        </w:tc>
        <w:tc>
          <w:tcPr>
            <w:tcW w:w="0" w:type="auto"/>
            <w:tcBorders>
              <w:top w:val="nil"/>
              <w:left w:val="nil"/>
              <w:bottom w:val="single" w:sz="4" w:space="0" w:color="auto"/>
              <w:right w:val="single" w:sz="4" w:space="0" w:color="auto"/>
            </w:tcBorders>
            <w:shd w:val="clear" w:color="000000" w:fill="FFFFFF"/>
            <w:vAlign w:val="center"/>
            <w:hideMark/>
          </w:tcPr>
          <w:p w:rsidR="000766F3" w:rsidRPr="00EA58ED" w:rsidRDefault="000766F3" w:rsidP="008216A0">
            <w:pPr>
              <w:jc w:val="center"/>
              <w:rPr>
                <w:rFonts w:ascii="Arial" w:hAnsi="Arial" w:cs="Arial"/>
                <w:b/>
                <w:bCs/>
                <w:color w:val="000000"/>
                <w:sz w:val="18"/>
                <w:szCs w:val="18"/>
              </w:rPr>
            </w:pPr>
            <w:r w:rsidRPr="00EA58ED">
              <w:rPr>
                <w:rFonts w:ascii="Arial" w:hAnsi="Arial" w:cs="Arial"/>
                <w:b/>
                <w:bCs/>
                <w:color w:val="000000"/>
                <w:sz w:val="18"/>
                <w:szCs w:val="18"/>
              </w:rPr>
              <w:t>1 380 313 198</w:t>
            </w:r>
          </w:p>
        </w:tc>
        <w:tc>
          <w:tcPr>
            <w:tcW w:w="0" w:type="auto"/>
            <w:tcBorders>
              <w:top w:val="nil"/>
              <w:left w:val="nil"/>
              <w:bottom w:val="single" w:sz="4" w:space="0" w:color="auto"/>
              <w:right w:val="single" w:sz="4" w:space="0" w:color="auto"/>
            </w:tcBorders>
            <w:shd w:val="clear" w:color="000000" w:fill="FFFFFF"/>
            <w:vAlign w:val="center"/>
            <w:hideMark/>
          </w:tcPr>
          <w:p w:rsidR="000766F3" w:rsidRPr="00EA58ED" w:rsidRDefault="000766F3" w:rsidP="008216A0">
            <w:pPr>
              <w:jc w:val="center"/>
              <w:rPr>
                <w:rFonts w:ascii="Arial" w:hAnsi="Arial" w:cs="Arial"/>
                <w:b/>
                <w:bCs/>
                <w:color w:val="000000"/>
                <w:sz w:val="18"/>
                <w:szCs w:val="18"/>
              </w:rPr>
            </w:pPr>
            <w:r w:rsidRPr="00EA58ED">
              <w:rPr>
                <w:rFonts w:ascii="Arial" w:hAnsi="Arial" w:cs="Arial"/>
                <w:b/>
                <w:bCs/>
                <w:color w:val="000000"/>
                <w:sz w:val="18"/>
                <w:szCs w:val="18"/>
              </w:rPr>
              <w:t>193</w:t>
            </w:r>
          </w:p>
        </w:tc>
        <w:tc>
          <w:tcPr>
            <w:tcW w:w="0" w:type="auto"/>
            <w:tcBorders>
              <w:top w:val="nil"/>
              <w:left w:val="nil"/>
              <w:bottom w:val="single" w:sz="4" w:space="0" w:color="auto"/>
              <w:right w:val="single" w:sz="4" w:space="0" w:color="auto"/>
            </w:tcBorders>
            <w:shd w:val="clear" w:color="000000" w:fill="FFFFFF"/>
            <w:vAlign w:val="center"/>
            <w:hideMark/>
          </w:tcPr>
          <w:p w:rsidR="000766F3" w:rsidRPr="00EA58ED" w:rsidRDefault="000766F3" w:rsidP="008216A0">
            <w:pPr>
              <w:jc w:val="center"/>
              <w:rPr>
                <w:rFonts w:ascii="Arial" w:hAnsi="Arial" w:cs="Arial"/>
                <w:b/>
                <w:bCs/>
                <w:color w:val="000000"/>
                <w:sz w:val="18"/>
                <w:szCs w:val="18"/>
              </w:rPr>
            </w:pPr>
            <w:r w:rsidRPr="00EA58ED">
              <w:rPr>
                <w:rFonts w:ascii="Arial" w:hAnsi="Arial" w:cs="Arial"/>
                <w:b/>
                <w:bCs/>
                <w:color w:val="000000"/>
                <w:sz w:val="18"/>
                <w:szCs w:val="18"/>
              </w:rPr>
              <w:t>437 924 413</w:t>
            </w:r>
          </w:p>
        </w:tc>
        <w:tc>
          <w:tcPr>
            <w:tcW w:w="0" w:type="auto"/>
            <w:tcBorders>
              <w:top w:val="nil"/>
              <w:left w:val="nil"/>
              <w:bottom w:val="single" w:sz="4" w:space="0" w:color="auto"/>
              <w:right w:val="single" w:sz="4" w:space="0" w:color="auto"/>
            </w:tcBorders>
            <w:shd w:val="clear" w:color="000000" w:fill="FFFFFF"/>
            <w:vAlign w:val="center"/>
            <w:hideMark/>
          </w:tcPr>
          <w:p w:rsidR="000766F3" w:rsidRPr="00EA58ED" w:rsidRDefault="000766F3" w:rsidP="008216A0">
            <w:pPr>
              <w:jc w:val="center"/>
              <w:rPr>
                <w:rFonts w:ascii="Arial" w:hAnsi="Arial" w:cs="Arial"/>
                <w:color w:val="000000"/>
                <w:sz w:val="18"/>
                <w:szCs w:val="18"/>
              </w:rPr>
            </w:pPr>
            <w:r w:rsidRPr="00EA58ED">
              <w:rPr>
                <w:rFonts w:ascii="Arial" w:hAnsi="Arial" w:cs="Arial"/>
                <w:color w:val="000000"/>
                <w:sz w:val="18"/>
                <w:szCs w:val="18"/>
              </w:rPr>
              <w:t>31,73%</w:t>
            </w:r>
          </w:p>
        </w:tc>
      </w:tr>
    </w:tbl>
    <w:p w:rsidR="002416B1" w:rsidRPr="006A2BF3" w:rsidRDefault="00000CC9" w:rsidP="008216A0">
      <w:pPr>
        <w:spacing w:line="360" w:lineRule="auto"/>
        <w:jc w:val="both"/>
        <w:rPr>
          <w:rFonts w:ascii="Arial" w:hAnsi="Arial" w:cs="Arial"/>
          <w:sz w:val="18"/>
          <w:szCs w:val="18"/>
        </w:rPr>
      </w:pPr>
      <w:r>
        <w:rPr>
          <w:rFonts w:ascii="Arial" w:hAnsi="Arial" w:cs="Arial"/>
          <w:sz w:val="18"/>
          <w:szCs w:val="18"/>
        </w:rPr>
        <w:t>Zdroj: RO, ITMS</w:t>
      </w:r>
    </w:p>
    <w:p w:rsidR="000766F3" w:rsidRDefault="000766F3" w:rsidP="008216A0">
      <w:pPr>
        <w:spacing w:line="360" w:lineRule="auto"/>
        <w:jc w:val="both"/>
        <w:rPr>
          <w:rFonts w:ascii="Arial" w:hAnsi="Arial" w:cs="Arial"/>
          <w:i/>
          <w:sz w:val="16"/>
          <w:szCs w:val="16"/>
        </w:rPr>
      </w:pPr>
      <w:r>
        <w:rPr>
          <w:rFonts w:ascii="Arial" w:hAnsi="Arial" w:cs="Arial"/>
          <w:i/>
          <w:sz w:val="16"/>
          <w:szCs w:val="16"/>
        </w:rPr>
        <w:t xml:space="preserve">Pozn.: </w:t>
      </w:r>
      <w:r w:rsidRPr="00FA2DAA">
        <w:rPr>
          <w:rFonts w:ascii="Arial" w:hAnsi="Arial" w:cs="Arial"/>
          <w:i/>
          <w:sz w:val="16"/>
          <w:szCs w:val="16"/>
        </w:rPr>
        <w:t>Údaje o zazmluvnených projektoch zahŕňajú projekty, ktoré mali k 31.12.201</w:t>
      </w:r>
      <w:r>
        <w:rPr>
          <w:rFonts w:ascii="Arial" w:hAnsi="Arial" w:cs="Arial"/>
          <w:i/>
          <w:sz w:val="16"/>
          <w:szCs w:val="16"/>
        </w:rPr>
        <w:t>2</w:t>
      </w:r>
      <w:r w:rsidRPr="00FA2DAA">
        <w:rPr>
          <w:rFonts w:ascii="Arial" w:hAnsi="Arial" w:cs="Arial"/>
          <w:i/>
          <w:sz w:val="16"/>
          <w:szCs w:val="16"/>
        </w:rPr>
        <w:t xml:space="preserve"> účinnú zmluvu o poskytnutí NFP a boli v realizácii alebo riadne ukončené. Údaje nezahŕňajú mimoriadne ukončené projekty.</w:t>
      </w:r>
    </w:p>
    <w:p w:rsidR="00514AE2" w:rsidRPr="00514AE2" w:rsidRDefault="00514AE2" w:rsidP="00507035">
      <w:pPr>
        <w:spacing w:before="120" w:after="120" w:line="360" w:lineRule="auto"/>
        <w:jc w:val="both"/>
        <w:rPr>
          <w:rFonts w:ascii="Arial" w:hAnsi="Arial" w:cs="Arial"/>
          <w:sz w:val="20"/>
          <w:szCs w:val="20"/>
        </w:rPr>
      </w:pPr>
      <w:r w:rsidRPr="00514AE2">
        <w:rPr>
          <w:rFonts w:ascii="Arial" w:hAnsi="Arial" w:cs="Arial"/>
          <w:sz w:val="20"/>
          <w:szCs w:val="20"/>
        </w:rPr>
        <w:t xml:space="preserve">K 31.12.2012 bol počet zazmluvnených projektov celkovo 581 </w:t>
      </w:r>
      <w:r w:rsidRPr="00BA1A4F">
        <w:rPr>
          <w:rFonts w:ascii="Arial" w:hAnsi="Arial" w:cs="Arial"/>
          <w:sz w:val="20"/>
          <w:szCs w:val="20"/>
        </w:rPr>
        <w:t xml:space="preserve">vo výške zazmluvnených prostriedkov </w:t>
      </w:r>
      <w:r w:rsidR="00F9055E" w:rsidRPr="007818E6">
        <w:rPr>
          <w:rFonts w:ascii="Arial" w:hAnsi="Arial" w:cs="Arial"/>
          <w:sz w:val="20"/>
          <w:szCs w:val="20"/>
        </w:rPr>
        <w:br/>
      </w:r>
      <w:r w:rsidRPr="0039268C">
        <w:rPr>
          <w:rFonts w:ascii="Arial" w:hAnsi="Arial" w:cs="Arial"/>
          <w:bCs/>
          <w:sz w:val="20"/>
          <w:szCs w:val="20"/>
        </w:rPr>
        <w:t xml:space="preserve">1 380 313 198 </w:t>
      </w:r>
      <w:r w:rsidRPr="00BA1A4F">
        <w:rPr>
          <w:rFonts w:ascii="Arial" w:hAnsi="Arial" w:cs="Arial"/>
          <w:sz w:val="20"/>
          <w:szCs w:val="20"/>
        </w:rPr>
        <w:t>EUR (EÚ zdroje). Počet zazmluvnených projektov s príspevkom k HP RP bol 193 a výška zazmluvnených p</w:t>
      </w:r>
      <w:r w:rsidRPr="007818E6">
        <w:rPr>
          <w:rFonts w:ascii="Arial" w:hAnsi="Arial" w:cs="Arial"/>
          <w:sz w:val="20"/>
          <w:szCs w:val="20"/>
        </w:rPr>
        <w:t xml:space="preserve">rostriedkov s príspevkom HP RP (EU zdroje) dosiahla </w:t>
      </w:r>
      <w:r w:rsidRPr="0039268C">
        <w:rPr>
          <w:rFonts w:ascii="Arial" w:hAnsi="Arial" w:cs="Arial"/>
          <w:bCs/>
          <w:sz w:val="20"/>
          <w:szCs w:val="20"/>
        </w:rPr>
        <w:t>437 924 413</w:t>
      </w:r>
      <w:r w:rsidRPr="00BA1A4F">
        <w:rPr>
          <w:rFonts w:ascii="Arial" w:hAnsi="Arial" w:cs="Arial"/>
          <w:sz w:val="20"/>
          <w:szCs w:val="20"/>
        </w:rPr>
        <w:t xml:space="preserve"> EUR, čo predstavuje 31,73% z celkovej zazmluvnenej sumy. Ako vyplýva </w:t>
      </w:r>
      <w:r w:rsidRPr="007818E6">
        <w:rPr>
          <w:rFonts w:ascii="Arial" w:hAnsi="Arial" w:cs="Arial"/>
          <w:sz w:val="20"/>
          <w:szCs w:val="20"/>
        </w:rPr>
        <w:t>z tabuľky č. 7</w:t>
      </w:r>
      <w:r w:rsidR="00F9055E" w:rsidRPr="00BA1A4F">
        <w:rPr>
          <w:rFonts w:ascii="Arial" w:hAnsi="Arial" w:cs="Arial"/>
          <w:sz w:val="20"/>
          <w:szCs w:val="20"/>
        </w:rPr>
        <w:t>7</w:t>
      </w:r>
      <w:r w:rsidRPr="00BA1A4F">
        <w:rPr>
          <w:rFonts w:ascii="Arial" w:hAnsi="Arial" w:cs="Arial"/>
          <w:sz w:val="20"/>
          <w:szCs w:val="20"/>
        </w:rPr>
        <w:t>, najviac projektov s príspevkom k HP RP sa realizovalo v Prešovskom kraji a to 46 projektov vo výške 75</w:t>
      </w:r>
      <w:r w:rsidRPr="00514AE2">
        <w:rPr>
          <w:rFonts w:ascii="Arial" w:hAnsi="Arial" w:cs="Arial"/>
          <w:sz w:val="20"/>
          <w:szCs w:val="20"/>
        </w:rPr>
        <w:t xml:space="preserve"> 496 821 EUR (EÚ zdroje) ale v Trenčianskom kraji sa realizovalo 29 projektov kde objem finančných prostriedkov predstavoval až  103 825 459 EUR (EÚ zdroje). Je však potrebné zdôrazniť, že v rámci OP ŽP ide o projekty s nepriamym dopadom na HP RP, keďže ich aktivity nie sú priamo orientované na rovnosť príležitostí a zazmluvnené prostriedky nebudú v plnej výške vynaložené na napĺňanie cieľov HP RP.</w:t>
      </w:r>
    </w:p>
    <w:p w:rsidR="002416B1" w:rsidRPr="004B33AE" w:rsidRDefault="002416B1" w:rsidP="00C23FBA">
      <w:pPr>
        <w:spacing w:line="360" w:lineRule="auto"/>
        <w:jc w:val="both"/>
        <w:rPr>
          <w:rFonts w:ascii="Arial" w:hAnsi="Arial" w:cs="Arial"/>
          <w:sz w:val="20"/>
          <w:szCs w:val="20"/>
        </w:rPr>
      </w:pPr>
      <w:r w:rsidRPr="004B33AE">
        <w:rPr>
          <w:rFonts w:ascii="Arial" w:hAnsi="Arial" w:cs="Arial"/>
          <w:sz w:val="20"/>
          <w:szCs w:val="20"/>
        </w:rPr>
        <w:t xml:space="preserve">Tab. č. </w:t>
      </w:r>
      <w:r w:rsidR="00C63470">
        <w:rPr>
          <w:rFonts w:ascii="Arial" w:hAnsi="Arial" w:cs="Arial"/>
          <w:sz w:val="20"/>
          <w:szCs w:val="20"/>
        </w:rPr>
        <w:t>76</w:t>
      </w:r>
      <w:r w:rsidRPr="004B33AE">
        <w:rPr>
          <w:rFonts w:ascii="Arial" w:hAnsi="Arial" w:cs="Arial"/>
          <w:sz w:val="20"/>
          <w:szCs w:val="20"/>
        </w:rPr>
        <w:t xml:space="preserve">: </w:t>
      </w:r>
      <w:r w:rsidRPr="007B7404">
        <w:rPr>
          <w:rFonts w:ascii="Arial" w:hAnsi="Arial" w:cs="Arial"/>
          <w:sz w:val="20"/>
          <w:szCs w:val="20"/>
        </w:rPr>
        <w:t>Zazmluvnené projekty s príspevkom k HP RP na úrovni prioritných osí k 31.12.201</w:t>
      </w:r>
      <w:r w:rsidR="00514AE2">
        <w:rPr>
          <w:rFonts w:ascii="Arial" w:hAnsi="Arial" w:cs="Arial"/>
          <w:sz w:val="20"/>
          <w:szCs w:val="20"/>
        </w:rPr>
        <w:t>2</w:t>
      </w:r>
    </w:p>
    <w:tbl>
      <w:tblPr>
        <w:tblW w:w="0" w:type="auto"/>
        <w:tblInd w:w="55" w:type="dxa"/>
        <w:tblCellMar>
          <w:left w:w="70" w:type="dxa"/>
          <w:right w:w="70" w:type="dxa"/>
        </w:tblCellMar>
        <w:tblLook w:val="04A0" w:firstRow="1" w:lastRow="0" w:firstColumn="1" w:lastColumn="0" w:noHBand="0" w:noVBand="1"/>
      </w:tblPr>
      <w:tblGrid>
        <w:gridCol w:w="2141"/>
        <w:gridCol w:w="1161"/>
        <w:gridCol w:w="1642"/>
        <w:gridCol w:w="1821"/>
        <w:gridCol w:w="2390"/>
      </w:tblGrid>
      <w:tr w:rsidR="00514AE2" w:rsidTr="00A50084">
        <w:trPr>
          <w:trHeight w:val="1185"/>
        </w:trPr>
        <w:tc>
          <w:tcPr>
            <w:tcW w:w="0" w:type="auto"/>
            <w:tcBorders>
              <w:top w:val="single" w:sz="4" w:space="0" w:color="auto"/>
              <w:left w:val="single" w:sz="4" w:space="0" w:color="auto"/>
              <w:bottom w:val="single" w:sz="4" w:space="0" w:color="auto"/>
              <w:right w:val="single" w:sz="4" w:space="0" w:color="auto"/>
            </w:tcBorders>
            <w:shd w:val="clear" w:color="000000" w:fill="CCFFCC"/>
            <w:vAlign w:val="center"/>
            <w:hideMark/>
          </w:tcPr>
          <w:p w:rsidR="00514AE2" w:rsidRDefault="00514AE2" w:rsidP="00C23FBA">
            <w:pPr>
              <w:jc w:val="center"/>
              <w:rPr>
                <w:rFonts w:ascii="Arial" w:hAnsi="Arial" w:cs="Arial"/>
                <w:b/>
                <w:bCs/>
                <w:color w:val="000000"/>
                <w:sz w:val="18"/>
                <w:szCs w:val="18"/>
              </w:rPr>
            </w:pPr>
            <w:r>
              <w:rPr>
                <w:rFonts w:ascii="Arial" w:hAnsi="Arial" w:cs="Arial"/>
                <w:b/>
                <w:bCs/>
                <w:color w:val="000000"/>
                <w:sz w:val="18"/>
                <w:szCs w:val="18"/>
              </w:rPr>
              <w:t>Názov prioritnej osi</w:t>
            </w:r>
          </w:p>
        </w:tc>
        <w:tc>
          <w:tcPr>
            <w:tcW w:w="0" w:type="auto"/>
            <w:tcBorders>
              <w:top w:val="single" w:sz="4" w:space="0" w:color="auto"/>
              <w:left w:val="nil"/>
              <w:bottom w:val="single" w:sz="4" w:space="0" w:color="auto"/>
              <w:right w:val="single" w:sz="4" w:space="0" w:color="auto"/>
            </w:tcBorders>
            <w:shd w:val="clear" w:color="000000" w:fill="CCFFCC"/>
            <w:vAlign w:val="center"/>
            <w:hideMark/>
          </w:tcPr>
          <w:p w:rsidR="00514AE2" w:rsidRDefault="00514AE2" w:rsidP="00C23FBA">
            <w:pPr>
              <w:jc w:val="center"/>
              <w:rPr>
                <w:rFonts w:ascii="Arial" w:hAnsi="Arial" w:cs="Arial"/>
                <w:b/>
                <w:bCs/>
                <w:color w:val="000000"/>
                <w:sz w:val="18"/>
                <w:szCs w:val="18"/>
              </w:rPr>
            </w:pPr>
            <w:r>
              <w:rPr>
                <w:rFonts w:ascii="Arial" w:hAnsi="Arial" w:cs="Arial"/>
                <w:b/>
                <w:bCs/>
                <w:color w:val="000000"/>
                <w:sz w:val="18"/>
                <w:szCs w:val="18"/>
              </w:rPr>
              <w:t>Počet projektov celkovo</w:t>
            </w:r>
          </w:p>
        </w:tc>
        <w:tc>
          <w:tcPr>
            <w:tcW w:w="0" w:type="auto"/>
            <w:tcBorders>
              <w:top w:val="single" w:sz="4" w:space="0" w:color="auto"/>
              <w:left w:val="nil"/>
              <w:bottom w:val="single" w:sz="4" w:space="0" w:color="auto"/>
              <w:right w:val="single" w:sz="4" w:space="0" w:color="auto"/>
            </w:tcBorders>
            <w:shd w:val="clear" w:color="000000" w:fill="CCFFCC"/>
            <w:vAlign w:val="center"/>
            <w:hideMark/>
          </w:tcPr>
          <w:p w:rsidR="00514AE2" w:rsidRDefault="00514AE2" w:rsidP="00C23FBA">
            <w:pPr>
              <w:jc w:val="center"/>
              <w:rPr>
                <w:rFonts w:ascii="Arial" w:hAnsi="Arial" w:cs="Arial"/>
                <w:b/>
                <w:bCs/>
                <w:color w:val="000000"/>
                <w:sz w:val="18"/>
                <w:szCs w:val="18"/>
              </w:rPr>
            </w:pPr>
            <w:r>
              <w:rPr>
                <w:rFonts w:ascii="Arial" w:hAnsi="Arial" w:cs="Arial"/>
                <w:b/>
                <w:bCs/>
                <w:color w:val="000000"/>
                <w:sz w:val="18"/>
                <w:szCs w:val="18"/>
              </w:rPr>
              <w:t>Počet projektov s príspevkom k cieľom HP RP</w:t>
            </w:r>
          </w:p>
        </w:tc>
        <w:tc>
          <w:tcPr>
            <w:tcW w:w="0" w:type="auto"/>
            <w:tcBorders>
              <w:top w:val="single" w:sz="4" w:space="0" w:color="auto"/>
              <w:left w:val="nil"/>
              <w:bottom w:val="single" w:sz="4" w:space="0" w:color="auto"/>
              <w:right w:val="single" w:sz="4" w:space="0" w:color="auto"/>
            </w:tcBorders>
            <w:shd w:val="clear" w:color="000000" w:fill="CCFFCC"/>
            <w:vAlign w:val="center"/>
            <w:hideMark/>
          </w:tcPr>
          <w:p w:rsidR="00514AE2" w:rsidRDefault="00514AE2" w:rsidP="00C23FBA">
            <w:pPr>
              <w:jc w:val="center"/>
              <w:rPr>
                <w:rFonts w:ascii="Arial" w:hAnsi="Arial" w:cs="Arial"/>
                <w:b/>
                <w:bCs/>
                <w:color w:val="000000"/>
                <w:sz w:val="18"/>
                <w:szCs w:val="18"/>
              </w:rPr>
            </w:pPr>
            <w:r>
              <w:rPr>
                <w:rFonts w:ascii="Arial" w:hAnsi="Arial" w:cs="Arial"/>
                <w:b/>
                <w:bCs/>
                <w:color w:val="000000"/>
                <w:sz w:val="18"/>
                <w:szCs w:val="18"/>
              </w:rPr>
              <w:t>Objem finančných prostriedkov celkovo €  (zdroje EÚ)</w:t>
            </w:r>
          </w:p>
        </w:tc>
        <w:tc>
          <w:tcPr>
            <w:tcW w:w="0" w:type="auto"/>
            <w:tcBorders>
              <w:top w:val="single" w:sz="4" w:space="0" w:color="auto"/>
              <w:left w:val="nil"/>
              <w:bottom w:val="single" w:sz="4" w:space="0" w:color="auto"/>
              <w:right w:val="single" w:sz="4" w:space="0" w:color="auto"/>
            </w:tcBorders>
            <w:shd w:val="clear" w:color="000000" w:fill="CCFFCC"/>
            <w:vAlign w:val="center"/>
            <w:hideMark/>
          </w:tcPr>
          <w:p w:rsidR="00514AE2" w:rsidRDefault="00514AE2" w:rsidP="00C23FBA">
            <w:pPr>
              <w:jc w:val="center"/>
              <w:rPr>
                <w:rFonts w:ascii="Arial" w:hAnsi="Arial" w:cs="Arial"/>
                <w:b/>
                <w:bCs/>
                <w:color w:val="000000"/>
                <w:sz w:val="18"/>
                <w:szCs w:val="18"/>
              </w:rPr>
            </w:pPr>
            <w:r>
              <w:rPr>
                <w:rFonts w:ascii="Arial" w:hAnsi="Arial" w:cs="Arial"/>
                <w:b/>
                <w:bCs/>
                <w:color w:val="000000"/>
                <w:sz w:val="18"/>
                <w:szCs w:val="18"/>
              </w:rPr>
              <w:t>Objem finančných prostriedkov projektov s príspevkom k HP RP v € s príspevkom (zdroje EÚ)</w:t>
            </w:r>
          </w:p>
        </w:tc>
      </w:tr>
      <w:tr w:rsidR="00514AE2" w:rsidTr="00A50084">
        <w:trPr>
          <w:trHeight w:val="600"/>
        </w:trPr>
        <w:tc>
          <w:tcPr>
            <w:tcW w:w="0" w:type="auto"/>
            <w:tcBorders>
              <w:top w:val="nil"/>
              <w:left w:val="single" w:sz="4" w:space="0" w:color="auto"/>
              <w:bottom w:val="single" w:sz="4" w:space="0" w:color="auto"/>
              <w:right w:val="single" w:sz="4" w:space="0" w:color="auto"/>
            </w:tcBorders>
            <w:shd w:val="clear" w:color="auto" w:fill="auto"/>
            <w:vAlign w:val="center"/>
            <w:hideMark/>
          </w:tcPr>
          <w:p w:rsidR="00514AE2" w:rsidRDefault="00514AE2" w:rsidP="00C23FBA">
            <w:pPr>
              <w:rPr>
                <w:rFonts w:ascii="Arial" w:hAnsi="Arial" w:cs="Arial"/>
                <w:color w:val="000000"/>
                <w:sz w:val="18"/>
                <w:szCs w:val="18"/>
              </w:rPr>
            </w:pPr>
            <w:r>
              <w:rPr>
                <w:rFonts w:ascii="Arial" w:hAnsi="Arial" w:cs="Arial"/>
                <w:color w:val="000000"/>
                <w:sz w:val="18"/>
                <w:szCs w:val="18"/>
              </w:rPr>
              <w:t>1 Integrovaná ochrana a racionálne využívanie vôd</w:t>
            </w:r>
          </w:p>
        </w:tc>
        <w:tc>
          <w:tcPr>
            <w:tcW w:w="0" w:type="auto"/>
            <w:tcBorders>
              <w:top w:val="nil"/>
              <w:left w:val="nil"/>
              <w:bottom w:val="single" w:sz="4" w:space="0" w:color="auto"/>
              <w:right w:val="single" w:sz="4" w:space="0" w:color="auto"/>
            </w:tcBorders>
            <w:shd w:val="clear" w:color="auto" w:fill="auto"/>
            <w:noWrap/>
            <w:vAlign w:val="center"/>
            <w:hideMark/>
          </w:tcPr>
          <w:p w:rsidR="00514AE2" w:rsidRDefault="00514AE2" w:rsidP="00C23FBA">
            <w:pPr>
              <w:jc w:val="center"/>
              <w:rPr>
                <w:rFonts w:ascii="Arial" w:hAnsi="Arial" w:cs="Arial"/>
                <w:color w:val="000000"/>
                <w:sz w:val="18"/>
                <w:szCs w:val="18"/>
              </w:rPr>
            </w:pPr>
            <w:r>
              <w:rPr>
                <w:rFonts w:ascii="Arial" w:hAnsi="Arial" w:cs="Arial"/>
                <w:color w:val="000000"/>
                <w:sz w:val="18"/>
                <w:szCs w:val="18"/>
              </w:rPr>
              <w:t>148</w:t>
            </w:r>
          </w:p>
        </w:tc>
        <w:tc>
          <w:tcPr>
            <w:tcW w:w="0" w:type="auto"/>
            <w:tcBorders>
              <w:top w:val="nil"/>
              <w:left w:val="nil"/>
              <w:bottom w:val="single" w:sz="4" w:space="0" w:color="auto"/>
              <w:right w:val="single" w:sz="4" w:space="0" w:color="auto"/>
            </w:tcBorders>
            <w:shd w:val="clear" w:color="auto" w:fill="auto"/>
            <w:vAlign w:val="center"/>
            <w:hideMark/>
          </w:tcPr>
          <w:p w:rsidR="00514AE2" w:rsidRDefault="00514AE2" w:rsidP="00C23FBA">
            <w:pPr>
              <w:jc w:val="center"/>
              <w:rPr>
                <w:rFonts w:ascii="Arial" w:hAnsi="Arial" w:cs="Arial"/>
                <w:color w:val="000000"/>
                <w:sz w:val="18"/>
                <w:szCs w:val="18"/>
              </w:rPr>
            </w:pPr>
            <w:r>
              <w:rPr>
                <w:rFonts w:ascii="Arial" w:hAnsi="Arial" w:cs="Arial"/>
                <w:color w:val="000000"/>
                <w:sz w:val="18"/>
                <w:szCs w:val="18"/>
              </w:rPr>
              <w:t>34</w:t>
            </w:r>
          </w:p>
        </w:tc>
        <w:tc>
          <w:tcPr>
            <w:tcW w:w="0" w:type="auto"/>
            <w:tcBorders>
              <w:top w:val="nil"/>
              <w:left w:val="nil"/>
              <w:bottom w:val="single" w:sz="4" w:space="0" w:color="auto"/>
              <w:right w:val="single" w:sz="4" w:space="0" w:color="auto"/>
            </w:tcBorders>
            <w:shd w:val="clear" w:color="auto" w:fill="auto"/>
            <w:noWrap/>
            <w:vAlign w:val="center"/>
            <w:hideMark/>
          </w:tcPr>
          <w:p w:rsidR="00514AE2" w:rsidRDefault="00514AE2" w:rsidP="00C23FBA">
            <w:pPr>
              <w:jc w:val="center"/>
              <w:rPr>
                <w:rFonts w:ascii="Arial" w:hAnsi="Arial" w:cs="Arial"/>
                <w:color w:val="000000"/>
                <w:sz w:val="18"/>
                <w:szCs w:val="18"/>
              </w:rPr>
            </w:pPr>
            <w:r>
              <w:rPr>
                <w:rFonts w:ascii="Arial" w:hAnsi="Arial" w:cs="Arial"/>
                <w:color w:val="000000"/>
                <w:sz w:val="18"/>
                <w:szCs w:val="18"/>
              </w:rPr>
              <w:t>762 514 495</w:t>
            </w:r>
          </w:p>
        </w:tc>
        <w:tc>
          <w:tcPr>
            <w:tcW w:w="0" w:type="auto"/>
            <w:tcBorders>
              <w:top w:val="nil"/>
              <w:left w:val="nil"/>
              <w:bottom w:val="single" w:sz="4" w:space="0" w:color="auto"/>
              <w:right w:val="single" w:sz="4" w:space="0" w:color="auto"/>
            </w:tcBorders>
            <w:shd w:val="clear" w:color="auto" w:fill="auto"/>
            <w:vAlign w:val="center"/>
            <w:hideMark/>
          </w:tcPr>
          <w:p w:rsidR="00514AE2" w:rsidRDefault="00514AE2" w:rsidP="00C23FBA">
            <w:pPr>
              <w:jc w:val="center"/>
              <w:rPr>
                <w:rFonts w:ascii="Arial" w:hAnsi="Arial" w:cs="Arial"/>
                <w:color w:val="000000"/>
                <w:sz w:val="18"/>
                <w:szCs w:val="18"/>
              </w:rPr>
            </w:pPr>
            <w:r>
              <w:rPr>
                <w:rFonts w:ascii="Arial" w:hAnsi="Arial" w:cs="Arial"/>
                <w:color w:val="000000"/>
                <w:sz w:val="18"/>
                <w:szCs w:val="18"/>
              </w:rPr>
              <w:t>166 364 250</w:t>
            </w:r>
          </w:p>
        </w:tc>
      </w:tr>
      <w:tr w:rsidR="00514AE2" w:rsidTr="00A50084">
        <w:trPr>
          <w:trHeight w:val="600"/>
        </w:trPr>
        <w:tc>
          <w:tcPr>
            <w:tcW w:w="0" w:type="auto"/>
            <w:tcBorders>
              <w:top w:val="nil"/>
              <w:left w:val="single" w:sz="4" w:space="0" w:color="auto"/>
              <w:bottom w:val="single" w:sz="4" w:space="0" w:color="auto"/>
              <w:right w:val="single" w:sz="4" w:space="0" w:color="auto"/>
            </w:tcBorders>
            <w:shd w:val="clear" w:color="auto" w:fill="auto"/>
            <w:vAlign w:val="center"/>
            <w:hideMark/>
          </w:tcPr>
          <w:p w:rsidR="00514AE2" w:rsidRDefault="00514AE2" w:rsidP="00C23FBA">
            <w:pPr>
              <w:rPr>
                <w:rFonts w:ascii="Arial" w:hAnsi="Arial" w:cs="Arial"/>
                <w:color w:val="000000"/>
                <w:sz w:val="18"/>
                <w:szCs w:val="18"/>
              </w:rPr>
            </w:pPr>
            <w:r>
              <w:rPr>
                <w:rFonts w:ascii="Arial" w:hAnsi="Arial" w:cs="Arial"/>
                <w:color w:val="000000"/>
                <w:sz w:val="18"/>
                <w:szCs w:val="18"/>
              </w:rPr>
              <w:t>2 Ochrana pred povodňami</w:t>
            </w:r>
          </w:p>
        </w:tc>
        <w:tc>
          <w:tcPr>
            <w:tcW w:w="0" w:type="auto"/>
            <w:tcBorders>
              <w:top w:val="nil"/>
              <w:left w:val="nil"/>
              <w:bottom w:val="single" w:sz="4" w:space="0" w:color="auto"/>
              <w:right w:val="single" w:sz="4" w:space="0" w:color="auto"/>
            </w:tcBorders>
            <w:shd w:val="clear" w:color="auto" w:fill="auto"/>
            <w:noWrap/>
            <w:vAlign w:val="center"/>
            <w:hideMark/>
          </w:tcPr>
          <w:p w:rsidR="00514AE2" w:rsidRDefault="00514AE2" w:rsidP="00C23FBA">
            <w:pPr>
              <w:jc w:val="center"/>
              <w:rPr>
                <w:rFonts w:ascii="Arial" w:hAnsi="Arial" w:cs="Arial"/>
                <w:color w:val="000000"/>
                <w:sz w:val="18"/>
                <w:szCs w:val="18"/>
              </w:rPr>
            </w:pPr>
            <w:r>
              <w:rPr>
                <w:rFonts w:ascii="Arial" w:hAnsi="Arial" w:cs="Arial"/>
                <w:color w:val="000000"/>
                <w:sz w:val="18"/>
                <w:szCs w:val="18"/>
              </w:rPr>
              <w:t>65</w:t>
            </w:r>
          </w:p>
        </w:tc>
        <w:tc>
          <w:tcPr>
            <w:tcW w:w="0" w:type="auto"/>
            <w:tcBorders>
              <w:top w:val="nil"/>
              <w:left w:val="nil"/>
              <w:bottom w:val="single" w:sz="4" w:space="0" w:color="auto"/>
              <w:right w:val="single" w:sz="4" w:space="0" w:color="auto"/>
            </w:tcBorders>
            <w:shd w:val="clear" w:color="auto" w:fill="auto"/>
            <w:vAlign w:val="center"/>
            <w:hideMark/>
          </w:tcPr>
          <w:p w:rsidR="00514AE2" w:rsidRDefault="00514AE2" w:rsidP="00C23FBA">
            <w:pPr>
              <w:jc w:val="center"/>
              <w:rPr>
                <w:rFonts w:ascii="Arial" w:hAnsi="Arial" w:cs="Arial"/>
                <w:color w:val="000000"/>
                <w:sz w:val="18"/>
                <w:szCs w:val="18"/>
              </w:rPr>
            </w:pPr>
            <w:r>
              <w:rPr>
                <w:rFonts w:ascii="Arial" w:hAnsi="Arial" w:cs="Arial"/>
                <w:color w:val="000000"/>
                <w:sz w:val="18"/>
                <w:szCs w:val="18"/>
              </w:rPr>
              <w:t>9</w:t>
            </w:r>
          </w:p>
        </w:tc>
        <w:tc>
          <w:tcPr>
            <w:tcW w:w="0" w:type="auto"/>
            <w:tcBorders>
              <w:top w:val="nil"/>
              <w:left w:val="nil"/>
              <w:bottom w:val="single" w:sz="4" w:space="0" w:color="auto"/>
              <w:right w:val="single" w:sz="4" w:space="0" w:color="auto"/>
            </w:tcBorders>
            <w:shd w:val="clear" w:color="auto" w:fill="auto"/>
            <w:noWrap/>
            <w:vAlign w:val="center"/>
            <w:hideMark/>
          </w:tcPr>
          <w:p w:rsidR="00514AE2" w:rsidRDefault="00514AE2" w:rsidP="00C23FBA">
            <w:pPr>
              <w:jc w:val="center"/>
              <w:rPr>
                <w:rFonts w:ascii="Arial" w:hAnsi="Arial" w:cs="Arial"/>
                <w:color w:val="000000"/>
                <w:sz w:val="18"/>
                <w:szCs w:val="18"/>
              </w:rPr>
            </w:pPr>
            <w:r>
              <w:rPr>
                <w:rFonts w:ascii="Arial" w:hAnsi="Arial" w:cs="Arial"/>
                <w:color w:val="000000"/>
                <w:sz w:val="18"/>
                <w:szCs w:val="18"/>
              </w:rPr>
              <w:t>87 041 531</w:t>
            </w:r>
          </w:p>
        </w:tc>
        <w:tc>
          <w:tcPr>
            <w:tcW w:w="0" w:type="auto"/>
            <w:tcBorders>
              <w:top w:val="nil"/>
              <w:left w:val="nil"/>
              <w:bottom w:val="single" w:sz="4" w:space="0" w:color="auto"/>
              <w:right w:val="single" w:sz="4" w:space="0" w:color="auto"/>
            </w:tcBorders>
            <w:shd w:val="clear" w:color="auto" w:fill="auto"/>
            <w:vAlign w:val="center"/>
            <w:hideMark/>
          </w:tcPr>
          <w:p w:rsidR="00514AE2" w:rsidRDefault="00514AE2" w:rsidP="00C23FBA">
            <w:pPr>
              <w:jc w:val="center"/>
              <w:rPr>
                <w:rFonts w:ascii="Arial" w:hAnsi="Arial" w:cs="Arial"/>
                <w:color w:val="000000"/>
                <w:sz w:val="18"/>
                <w:szCs w:val="18"/>
              </w:rPr>
            </w:pPr>
            <w:r>
              <w:rPr>
                <w:rFonts w:ascii="Arial" w:hAnsi="Arial" w:cs="Arial"/>
                <w:color w:val="000000"/>
                <w:sz w:val="18"/>
                <w:szCs w:val="18"/>
              </w:rPr>
              <w:t>6 253 287</w:t>
            </w:r>
          </w:p>
        </w:tc>
      </w:tr>
      <w:tr w:rsidR="00514AE2" w:rsidTr="00A50084">
        <w:trPr>
          <w:trHeight w:val="600"/>
        </w:trPr>
        <w:tc>
          <w:tcPr>
            <w:tcW w:w="0" w:type="auto"/>
            <w:tcBorders>
              <w:top w:val="nil"/>
              <w:left w:val="single" w:sz="4" w:space="0" w:color="auto"/>
              <w:bottom w:val="single" w:sz="4" w:space="0" w:color="auto"/>
              <w:right w:val="single" w:sz="4" w:space="0" w:color="auto"/>
            </w:tcBorders>
            <w:shd w:val="clear" w:color="auto" w:fill="auto"/>
            <w:vAlign w:val="center"/>
            <w:hideMark/>
          </w:tcPr>
          <w:p w:rsidR="00514AE2" w:rsidRDefault="00514AE2" w:rsidP="00C23FBA">
            <w:pPr>
              <w:rPr>
                <w:rFonts w:ascii="Arial" w:hAnsi="Arial" w:cs="Arial"/>
                <w:color w:val="000000"/>
                <w:sz w:val="18"/>
                <w:szCs w:val="18"/>
              </w:rPr>
            </w:pPr>
            <w:r>
              <w:rPr>
                <w:rFonts w:ascii="Arial" w:hAnsi="Arial" w:cs="Arial"/>
                <w:color w:val="000000"/>
                <w:sz w:val="18"/>
                <w:szCs w:val="18"/>
              </w:rPr>
              <w:t>3 Ochrana ovzdušia a minimalizácia nepriaznivých vplyvov zmeny klímy</w:t>
            </w:r>
          </w:p>
        </w:tc>
        <w:tc>
          <w:tcPr>
            <w:tcW w:w="0" w:type="auto"/>
            <w:tcBorders>
              <w:top w:val="nil"/>
              <w:left w:val="nil"/>
              <w:bottom w:val="single" w:sz="4" w:space="0" w:color="auto"/>
              <w:right w:val="single" w:sz="4" w:space="0" w:color="auto"/>
            </w:tcBorders>
            <w:shd w:val="clear" w:color="auto" w:fill="auto"/>
            <w:noWrap/>
            <w:vAlign w:val="center"/>
            <w:hideMark/>
          </w:tcPr>
          <w:p w:rsidR="00514AE2" w:rsidRDefault="00514AE2" w:rsidP="00C23FBA">
            <w:pPr>
              <w:jc w:val="center"/>
              <w:rPr>
                <w:rFonts w:ascii="Arial" w:hAnsi="Arial" w:cs="Arial"/>
                <w:color w:val="000000"/>
                <w:sz w:val="18"/>
                <w:szCs w:val="18"/>
              </w:rPr>
            </w:pPr>
            <w:r>
              <w:rPr>
                <w:rFonts w:ascii="Arial" w:hAnsi="Arial" w:cs="Arial"/>
                <w:color w:val="000000"/>
                <w:sz w:val="18"/>
                <w:szCs w:val="18"/>
              </w:rPr>
              <w:t>102</w:t>
            </w:r>
          </w:p>
        </w:tc>
        <w:tc>
          <w:tcPr>
            <w:tcW w:w="0" w:type="auto"/>
            <w:tcBorders>
              <w:top w:val="nil"/>
              <w:left w:val="nil"/>
              <w:bottom w:val="single" w:sz="4" w:space="0" w:color="auto"/>
              <w:right w:val="single" w:sz="4" w:space="0" w:color="auto"/>
            </w:tcBorders>
            <w:shd w:val="clear" w:color="auto" w:fill="auto"/>
            <w:vAlign w:val="center"/>
            <w:hideMark/>
          </w:tcPr>
          <w:p w:rsidR="00514AE2" w:rsidRDefault="00514AE2" w:rsidP="00C23FBA">
            <w:pPr>
              <w:jc w:val="center"/>
              <w:rPr>
                <w:rFonts w:ascii="Arial" w:hAnsi="Arial" w:cs="Arial"/>
                <w:color w:val="000000"/>
                <w:sz w:val="18"/>
                <w:szCs w:val="18"/>
              </w:rPr>
            </w:pPr>
            <w:r>
              <w:rPr>
                <w:rFonts w:ascii="Arial" w:hAnsi="Arial" w:cs="Arial"/>
                <w:color w:val="000000"/>
                <w:sz w:val="18"/>
                <w:szCs w:val="18"/>
              </w:rPr>
              <w:t>46</w:t>
            </w:r>
          </w:p>
        </w:tc>
        <w:tc>
          <w:tcPr>
            <w:tcW w:w="0" w:type="auto"/>
            <w:tcBorders>
              <w:top w:val="nil"/>
              <w:left w:val="nil"/>
              <w:bottom w:val="single" w:sz="4" w:space="0" w:color="auto"/>
              <w:right w:val="single" w:sz="4" w:space="0" w:color="auto"/>
            </w:tcBorders>
            <w:shd w:val="clear" w:color="auto" w:fill="auto"/>
            <w:noWrap/>
            <w:vAlign w:val="center"/>
            <w:hideMark/>
          </w:tcPr>
          <w:p w:rsidR="00514AE2" w:rsidRDefault="00514AE2" w:rsidP="00C23FBA">
            <w:pPr>
              <w:jc w:val="center"/>
              <w:rPr>
                <w:rFonts w:ascii="Arial" w:hAnsi="Arial" w:cs="Arial"/>
                <w:color w:val="000000"/>
                <w:sz w:val="18"/>
                <w:szCs w:val="18"/>
              </w:rPr>
            </w:pPr>
            <w:r>
              <w:rPr>
                <w:rFonts w:ascii="Arial" w:hAnsi="Arial" w:cs="Arial"/>
                <w:color w:val="000000"/>
                <w:sz w:val="18"/>
                <w:szCs w:val="18"/>
              </w:rPr>
              <w:t>143 250 532</w:t>
            </w:r>
          </w:p>
        </w:tc>
        <w:tc>
          <w:tcPr>
            <w:tcW w:w="0" w:type="auto"/>
            <w:tcBorders>
              <w:top w:val="nil"/>
              <w:left w:val="nil"/>
              <w:bottom w:val="single" w:sz="4" w:space="0" w:color="auto"/>
              <w:right w:val="single" w:sz="4" w:space="0" w:color="auto"/>
            </w:tcBorders>
            <w:shd w:val="clear" w:color="auto" w:fill="auto"/>
            <w:vAlign w:val="center"/>
            <w:hideMark/>
          </w:tcPr>
          <w:p w:rsidR="00514AE2" w:rsidRDefault="00514AE2" w:rsidP="00C23FBA">
            <w:pPr>
              <w:jc w:val="center"/>
              <w:rPr>
                <w:rFonts w:ascii="Arial" w:hAnsi="Arial" w:cs="Arial"/>
                <w:color w:val="000000"/>
                <w:sz w:val="18"/>
                <w:szCs w:val="18"/>
              </w:rPr>
            </w:pPr>
            <w:r>
              <w:rPr>
                <w:rFonts w:ascii="Arial" w:hAnsi="Arial" w:cs="Arial"/>
                <w:color w:val="000000"/>
                <w:sz w:val="18"/>
                <w:szCs w:val="18"/>
              </w:rPr>
              <w:t>66 084 054</w:t>
            </w:r>
          </w:p>
        </w:tc>
      </w:tr>
      <w:tr w:rsidR="00514AE2" w:rsidTr="00A50084">
        <w:trPr>
          <w:trHeight w:val="600"/>
        </w:trPr>
        <w:tc>
          <w:tcPr>
            <w:tcW w:w="0" w:type="auto"/>
            <w:tcBorders>
              <w:top w:val="nil"/>
              <w:left w:val="single" w:sz="4" w:space="0" w:color="auto"/>
              <w:bottom w:val="single" w:sz="4" w:space="0" w:color="auto"/>
              <w:right w:val="single" w:sz="4" w:space="0" w:color="auto"/>
            </w:tcBorders>
            <w:shd w:val="clear" w:color="auto" w:fill="auto"/>
            <w:vAlign w:val="center"/>
            <w:hideMark/>
          </w:tcPr>
          <w:p w:rsidR="00514AE2" w:rsidRDefault="00514AE2" w:rsidP="00C23FBA">
            <w:pPr>
              <w:rPr>
                <w:rFonts w:ascii="Arial" w:hAnsi="Arial" w:cs="Arial"/>
                <w:color w:val="000000"/>
                <w:sz w:val="18"/>
                <w:szCs w:val="18"/>
              </w:rPr>
            </w:pPr>
            <w:r>
              <w:rPr>
                <w:rFonts w:ascii="Arial" w:hAnsi="Arial" w:cs="Arial"/>
                <w:color w:val="000000"/>
                <w:sz w:val="18"/>
                <w:szCs w:val="18"/>
              </w:rPr>
              <w:t>4 Odpadové hospodárstvo</w:t>
            </w:r>
          </w:p>
        </w:tc>
        <w:tc>
          <w:tcPr>
            <w:tcW w:w="0" w:type="auto"/>
            <w:tcBorders>
              <w:top w:val="nil"/>
              <w:left w:val="nil"/>
              <w:bottom w:val="single" w:sz="4" w:space="0" w:color="auto"/>
              <w:right w:val="single" w:sz="4" w:space="0" w:color="auto"/>
            </w:tcBorders>
            <w:shd w:val="clear" w:color="auto" w:fill="auto"/>
            <w:noWrap/>
            <w:vAlign w:val="center"/>
            <w:hideMark/>
          </w:tcPr>
          <w:p w:rsidR="00514AE2" w:rsidRDefault="00514AE2" w:rsidP="00C23FBA">
            <w:pPr>
              <w:jc w:val="center"/>
              <w:rPr>
                <w:rFonts w:ascii="Arial" w:hAnsi="Arial" w:cs="Arial"/>
                <w:color w:val="000000"/>
                <w:sz w:val="18"/>
                <w:szCs w:val="18"/>
              </w:rPr>
            </w:pPr>
            <w:r>
              <w:rPr>
                <w:rFonts w:ascii="Arial" w:hAnsi="Arial" w:cs="Arial"/>
                <w:color w:val="000000"/>
                <w:sz w:val="18"/>
                <w:szCs w:val="18"/>
              </w:rPr>
              <w:t>215</w:t>
            </w:r>
          </w:p>
        </w:tc>
        <w:tc>
          <w:tcPr>
            <w:tcW w:w="0" w:type="auto"/>
            <w:tcBorders>
              <w:top w:val="nil"/>
              <w:left w:val="nil"/>
              <w:bottom w:val="single" w:sz="4" w:space="0" w:color="auto"/>
              <w:right w:val="single" w:sz="4" w:space="0" w:color="auto"/>
            </w:tcBorders>
            <w:shd w:val="clear" w:color="auto" w:fill="auto"/>
            <w:vAlign w:val="center"/>
            <w:hideMark/>
          </w:tcPr>
          <w:p w:rsidR="00514AE2" w:rsidRDefault="00514AE2" w:rsidP="00C23FBA">
            <w:pPr>
              <w:jc w:val="center"/>
              <w:rPr>
                <w:rFonts w:ascii="Arial" w:hAnsi="Arial" w:cs="Arial"/>
                <w:color w:val="000000"/>
                <w:sz w:val="18"/>
                <w:szCs w:val="18"/>
              </w:rPr>
            </w:pPr>
            <w:r>
              <w:rPr>
                <w:rFonts w:ascii="Arial" w:hAnsi="Arial" w:cs="Arial"/>
                <w:color w:val="000000"/>
                <w:sz w:val="18"/>
                <w:szCs w:val="18"/>
              </w:rPr>
              <w:t>99</w:t>
            </w:r>
          </w:p>
        </w:tc>
        <w:tc>
          <w:tcPr>
            <w:tcW w:w="0" w:type="auto"/>
            <w:tcBorders>
              <w:top w:val="nil"/>
              <w:left w:val="nil"/>
              <w:bottom w:val="single" w:sz="4" w:space="0" w:color="auto"/>
              <w:right w:val="single" w:sz="4" w:space="0" w:color="auto"/>
            </w:tcBorders>
            <w:shd w:val="clear" w:color="auto" w:fill="auto"/>
            <w:noWrap/>
            <w:vAlign w:val="center"/>
            <w:hideMark/>
          </w:tcPr>
          <w:p w:rsidR="00514AE2" w:rsidRDefault="00514AE2" w:rsidP="00C23FBA">
            <w:pPr>
              <w:jc w:val="center"/>
              <w:rPr>
                <w:rFonts w:ascii="Arial" w:hAnsi="Arial" w:cs="Arial"/>
                <w:color w:val="000000"/>
                <w:sz w:val="18"/>
                <w:szCs w:val="18"/>
              </w:rPr>
            </w:pPr>
            <w:r>
              <w:rPr>
                <w:rFonts w:ascii="Arial" w:hAnsi="Arial" w:cs="Arial"/>
                <w:color w:val="000000"/>
                <w:sz w:val="18"/>
                <w:szCs w:val="18"/>
              </w:rPr>
              <w:t>312 665 897</w:t>
            </w:r>
          </w:p>
        </w:tc>
        <w:tc>
          <w:tcPr>
            <w:tcW w:w="0" w:type="auto"/>
            <w:tcBorders>
              <w:top w:val="nil"/>
              <w:left w:val="nil"/>
              <w:bottom w:val="single" w:sz="4" w:space="0" w:color="auto"/>
              <w:right w:val="single" w:sz="4" w:space="0" w:color="auto"/>
            </w:tcBorders>
            <w:shd w:val="clear" w:color="auto" w:fill="auto"/>
            <w:vAlign w:val="center"/>
            <w:hideMark/>
          </w:tcPr>
          <w:p w:rsidR="00514AE2" w:rsidRDefault="00514AE2" w:rsidP="00C23FBA">
            <w:pPr>
              <w:jc w:val="center"/>
              <w:rPr>
                <w:rFonts w:ascii="Arial" w:hAnsi="Arial" w:cs="Arial"/>
                <w:color w:val="000000"/>
                <w:sz w:val="18"/>
                <w:szCs w:val="18"/>
              </w:rPr>
            </w:pPr>
            <w:r>
              <w:rPr>
                <w:rFonts w:ascii="Arial" w:hAnsi="Arial" w:cs="Arial"/>
                <w:color w:val="000000"/>
                <w:sz w:val="18"/>
                <w:szCs w:val="18"/>
              </w:rPr>
              <w:t>185 091 490</w:t>
            </w:r>
          </w:p>
        </w:tc>
      </w:tr>
      <w:tr w:rsidR="00514AE2" w:rsidTr="00A50084">
        <w:trPr>
          <w:trHeight w:val="600"/>
        </w:trPr>
        <w:tc>
          <w:tcPr>
            <w:tcW w:w="0" w:type="auto"/>
            <w:tcBorders>
              <w:top w:val="nil"/>
              <w:left w:val="single" w:sz="4" w:space="0" w:color="auto"/>
              <w:bottom w:val="single" w:sz="4" w:space="0" w:color="auto"/>
              <w:right w:val="single" w:sz="4" w:space="0" w:color="auto"/>
            </w:tcBorders>
            <w:shd w:val="clear" w:color="auto" w:fill="auto"/>
            <w:vAlign w:val="center"/>
            <w:hideMark/>
          </w:tcPr>
          <w:p w:rsidR="00514AE2" w:rsidRDefault="00514AE2" w:rsidP="00C23FBA">
            <w:pPr>
              <w:rPr>
                <w:rFonts w:ascii="Arial" w:hAnsi="Arial" w:cs="Arial"/>
                <w:color w:val="000000"/>
                <w:sz w:val="18"/>
                <w:szCs w:val="18"/>
              </w:rPr>
            </w:pPr>
            <w:r>
              <w:rPr>
                <w:rFonts w:ascii="Arial" w:hAnsi="Arial" w:cs="Arial"/>
                <w:color w:val="000000"/>
                <w:sz w:val="18"/>
                <w:szCs w:val="18"/>
              </w:rPr>
              <w:t>5 Ochrana a regenerácia prírodného prostredia a krajiny</w:t>
            </w:r>
          </w:p>
        </w:tc>
        <w:tc>
          <w:tcPr>
            <w:tcW w:w="0" w:type="auto"/>
            <w:tcBorders>
              <w:top w:val="nil"/>
              <w:left w:val="nil"/>
              <w:bottom w:val="single" w:sz="4" w:space="0" w:color="auto"/>
              <w:right w:val="single" w:sz="4" w:space="0" w:color="auto"/>
            </w:tcBorders>
            <w:shd w:val="clear" w:color="auto" w:fill="auto"/>
            <w:noWrap/>
            <w:vAlign w:val="center"/>
            <w:hideMark/>
          </w:tcPr>
          <w:p w:rsidR="00514AE2" w:rsidRDefault="00514AE2" w:rsidP="00C23FBA">
            <w:pPr>
              <w:jc w:val="center"/>
              <w:rPr>
                <w:rFonts w:ascii="Arial" w:hAnsi="Arial" w:cs="Arial"/>
                <w:color w:val="000000"/>
                <w:sz w:val="18"/>
                <w:szCs w:val="18"/>
              </w:rPr>
            </w:pPr>
            <w:r>
              <w:rPr>
                <w:rFonts w:ascii="Arial" w:hAnsi="Arial" w:cs="Arial"/>
                <w:color w:val="000000"/>
                <w:sz w:val="18"/>
                <w:szCs w:val="18"/>
              </w:rPr>
              <w:t>36</w:t>
            </w:r>
          </w:p>
        </w:tc>
        <w:tc>
          <w:tcPr>
            <w:tcW w:w="0" w:type="auto"/>
            <w:tcBorders>
              <w:top w:val="nil"/>
              <w:left w:val="nil"/>
              <w:bottom w:val="single" w:sz="4" w:space="0" w:color="auto"/>
              <w:right w:val="single" w:sz="4" w:space="0" w:color="auto"/>
            </w:tcBorders>
            <w:shd w:val="clear" w:color="auto" w:fill="auto"/>
            <w:vAlign w:val="center"/>
            <w:hideMark/>
          </w:tcPr>
          <w:p w:rsidR="00514AE2" w:rsidRDefault="00514AE2" w:rsidP="00C23FBA">
            <w:pPr>
              <w:jc w:val="center"/>
              <w:rPr>
                <w:rFonts w:ascii="Arial" w:hAnsi="Arial" w:cs="Arial"/>
                <w:color w:val="000000"/>
                <w:sz w:val="18"/>
                <w:szCs w:val="18"/>
              </w:rPr>
            </w:pPr>
            <w:r>
              <w:rPr>
                <w:rFonts w:ascii="Arial" w:hAnsi="Arial" w:cs="Arial"/>
                <w:color w:val="000000"/>
                <w:sz w:val="18"/>
                <w:szCs w:val="18"/>
              </w:rPr>
              <w:t>5</w:t>
            </w:r>
          </w:p>
        </w:tc>
        <w:tc>
          <w:tcPr>
            <w:tcW w:w="0" w:type="auto"/>
            <w:tcBorders>
              <w:top w:val="nil"/>
              <w:left w:val="nil"/>
              <w:bottom w:val="single" w:sz="4" w:space="0" w:color="auto"/>
              <w:right w:val="single" w:sz="4" w:space="0" w:color="auto"/>
            </w:tcBorders>
            <w:shd w:val="clear" w:color="auto" w:fill="auto"/>
            <w:noWrap/>
            <w:vAlign w:val="center"/>
            <w:hideMark/>
          </w:tcPr>
          <w:p w:rsidR="00514AE2" w:rsidRDefault="00514AE2" w:rsidP="00C23FBA">
            <w:pPr>
              <w:jc w:val="center"/>
              <w:rPr>
                <w:rFonts w:ascii="Arial" w:hAnsi="Arial" w:cs="Arial"/>
                <w:color w:val="000000"/>
                <w:sz w:val="18"/>
                <w:szCs w:val="18"/>
              </w:rPr>
            </w:pPr>
            <w:r>
              <w:rPr>
                <w:rFonts w:ascii="Arial" w:hAnsi="Arial" w:cs="Arial"/>
                <w:color w:val="000000"/>
                <w:sz w:val="18"/>
                <w:szCs w:val="18"/>
              </w:rPr>
              <w:t>42 789 587</w:t>
            </w:r>
          </w:p>
        </w:tc>
        <w:tc>
          <w:tcPr>
            <w:tcW w:w="0" w:type="auto"/>
            <w:tcBorders>
              <w:top w:val="nil"/>
              <w:left w:val="nil"/>
              <w:bottom w:val="single" w:sz="4" w:space="0" w:color="auto"/>
              <w:right w:val="single" w:sz="4" w:space="0" w:color="auto"/>
            </w:tcBorders>
            <w:shd w:val="clear" w:color="auto" w:fill="auto"/>
            <w:vAlign w:val="center"/>
            <w:hideMark/>
          </w:tcPr>
          <w:p w:rsidR="00514AE2" w:rsidRDefault="00514AE2" w:rsidP="00C23FBA">
            <w:pPr>
              <w:jc w:val="center"/>
              <w:rPr>
                <w:rFonts w:ascii="Arial" w:hAnsi="Arial" w:cs="Arial"/>
                <w:color w:val="000000"/>
                <w:sz w:val="18"/>
                <w:szCs w:val="18"/>
              </w:rPr>
            </w:pPr>
            <w:r>
              <w:rPr>
                <w:rFonts w:ascii="Arial" w:hAnsi="Arial" w:cs="Arial"/>
                <w:color w:val="000000"/>
                <w:sz w:val="18"/>
                <w:szCs w:val="18"/>
              </w:rPr>
              <w:t>14 131 333</w:t>
            </w:r>
          </w:p>
        </w:tc>
      </w:tr>
      <w:tr w:rsidR="00514AE2" w:rsidTr="00A50084">
        <w:trPr>
          <w:trHeight w:val="600"/>
        </w:trPr>
        <w:tc>
          <w:tcPr>
            <w:tcW w:w="0" w:type="auto"/>
            <w:tcBorders>
              <w:top w:val="nil"/>
              <w:left w:val="single" w:sz="4" w:space="0" w:color="auto"/>
              <w:bottom w:val="single" w:sz="4" w:space="0" w:color="auto"/>
              <w:right w:val="single" w:sz="4" w:space="0" w:color="auto"/>
            </w:tcBorders>
            <w:shd w:val="clear" w:color="auto" w:fill="auto"/>
            <w:vAlign w:val="center"/>
            <w:hideMark/>
          </w:tcPr>
          <w:p w:rsidR="00514AE2" w:rsidRDefault="00514AE2" w:rsidP="00C23FBA">
            <w:pPr>
              <w:rPr>
                <w:rFonts w:ascii="Arial" w:hAnsi="Arial" w:cs="Arial"/>
                <w:color w:val="000000"/>
                <w:sz w:val="18"/>
                <w:szCs w:val="18"/>
              </w:rPr>
            </w:pPr>
            <w:r>
              <w:rPr>
                <w:rFonts w:ascii="Arial" w:hAnsi="Arial" w:cs="Arial"/>
                <w:color w:val="000000"/>
                <w:sz w:val="18"/>
                <w:szCs w:val="18"/>
              </w:rPr>
              <w:t>6 Budovanie povodňového varovného a predpovedného systému</w:t>
            </w:r>
          </w:p>
        </w:tc>
        <w:tc>
          <w:tcPr>
            <w:tcW w:w="0" w:type="auto"/>
            <w:tcBorders>
              <w:top w:val="nil"/>
              <w:left w:val="nil"/>
              <w:bottom w:val="single" w:sz="4" w:space="0" w:color="auto"/>
              <w:right w:val="single" w:sz="4" w:space="0" w:color="auto"/>
            </w:tcBorders>
            <w:shd w:val="clear" w:color="auto" w:fill="auto"/>
            <w:vAlign w:val="center"/>
            <w:hideMark/>
          </w:tcPr>
          <w:p w:rsidR="00514AE2" w:rsidRDefault="00514AE2" w:rsidP="00C23FBA">
            <w:pPr>
              <w:jc w:val="center"/>
              <w:rPr>
                <w:rFonts w:ascii="Arial" w:hAnsi="Arial" w:cs="Arial"/>
                <w:sz w:val="18"/>
                <w:szCs w:val="18"/>
              </w:rPr>
            </w:pPr>
            <w:r>
              <w:rPr>
                <w:rFonts w:ascii="Arial" w:hAnsi="Arial" w:cs="Arial"/>
                <w:sz w:val="18"/>
                <w:szCs w:val="18"/>
              </w:rPr>
              <w:t>15</w:t>
            </w:r>
          </w:p>
        </w:tc>
        <w:tc>
          <w:tcPr>
            <w:tcW w:w="0" w:type="auto"/>
            <w:tcBorders>
              <w:top w:val="nil"/>
              <w:left w:val="nil"/>
              <w:bottom w:val="single" w:sz="4" w:space="0" w:color="auto"/>
              <w:right w:val="single" w:sz="4" w:space="0" w:color="auto"/>
            </w:tcBorders>
            <w:shd w:val="clear" w:color="auto" w:fill="auto"/>
            <w:vAlign w:val="center"/>
            <w:hideMark/>
          </w:tcPr>
          <w:p w:rsidR="00514AE2" w:rsidRDefault="00514AE2" w:rsidP="00C23FBA">
            <w:pPr>
              <w:jc w:val="center"/>
              <w:rPr>
                <w:rFonts w:ascii="Arial" w:hAnsi="Arial" w:cs="Arial"/>
                <w:color w:val="000000"/>
                <w:sz w:val="18"/>
                <w:szCs w:val="18"/>
              </w:rPr>
            </w:pPr>
            <w:r>
              <w:rPr>
                <w:rFonts w:ascii="Arial" w:hAnsi="Arial" w:cs="Arial"/>
                <w:color w:val="000000"/>
                <w:sz w:val="18"/>
                <w:szCs w:val="18"/>
              </w:rPr>
              <w:t>0</w:t>
            </w:r>
          </w:p>
        </w:tc>
        <w:tc>
          <w:tcPr>
            <w:tcW w:w="0" w:type="auto"/>
            <w:tcBorders>
              <w:top w:val="nil"/>
              <w:left w:val="nil"/>
              <w:bottom w:val="single" w:sz="4" w:space="0" w:color="auto"/>
              <w:right w:val="single" w:sz="4" w:space="0" w:color="auto"/>
            </w:tcBorders>
            <w:shd w:val="clear" w:color="auto" w:fill="auto"/>
            <w:vAlign w:val="center"/>
            <w:hideMark/>
          </w:tcPr>
          <w:p w:rsidR="00514AE2" w:rsidRDefault="00514AE2" w:rsidP="00C23FBA">
            <w:pPr>
              <w:jc w:val="center"/>
              <w:rPr>
                <w:rFonts w:ascii="Arial" w:hAnsi="Arial" w:cs="Arial"/>
                <w:color w:val="000000"/>
                <w:sz w:val="18"/>
                <w:szCs w:val="18"/>
              </w:rPr>
            </w:pPr>
            <w:r>
              <w:rPr>
                <w:rFonts w:ascii="Arial" w:hAnsi="Arial" w:cs="Arial"/>
                <w:color w:val="000000"/>
                <w:sz w:val="18"/>
                <w:szCs w:val="18"/>
              </w:rPr>
              <w:t>32 051 156</w:t>
            </w:r>
          </w:p>
        </w:tc>
        <w:tc>
          <w:tcPr>
            <w:tcW w:w="0" w:type="auto"/>
            <w:tcBorders>
              <w:top w:val="nil"/>
              <w:left w:val="nil"/>
              <w:bottom w:val="single" w:sz="4" w:space="0" w:color="auto"/>
              <w:right w:val="single" w:sz="4" w:space="0" w:color="auto"/>
            </w:tcBorders>
            <w:shd w:val="clear" w:color="auto" w:fill="auto"/>
            <w:vAlign w:val="center"/>
            <w:hideMark/>
          </w:tcPr>
          <w:p w:rsidR="00514AE2" w:rsidRDefault="00514AE2" w:rsidP="00C23FBA">
            <w:pPr>
              <w:jc w:val="center"/>
              <w:rPr>
                <w:rFonts w:ascii="Arial" w:hAnsi="Arial" w:cs="Arial"/>
                <w:color w:val="000000"/>
                <w:sz w:val="18"/>
                <w:szCs w:val="18"/>
              </w:rPr>
            </w:pPr>
            <w:r>
              <w:rPr>
                <w:rFonts w:ascii="Arial" w:hAnsi="Arial" w:cs="Arial"/>
                <w:color w:val="000000"/>
                <w:sz w:val="18"/>
                <w:szCs w:val="18"/>
              </w:rPr>
              <w:t>0</w:t>
            </w:r>
          </w:p>
        </w:tc>
      </w:tr>
      <w:tr w:rsidR="00514AE2" w:rsidTr="00A50084">
        <w:trPr>
          <w:trHeight w:val="600"/>
        </w:trPr>
        <w:tc>
          <w:tcPr>
            <w:tcW w:w="0" w:type="auto"/>
            <w:tcBorders>
              <w:top w:val="nil"/>
              <w:left w:val="single" w:sz="4" w:space="0" w:color="auto"/>
              <w:bottom w:val="single" w:sz="4" w:space="0" w:color="auto"/>
              <w:right w:val="single" w:sz="4" w:space="0" w:color="auto"/>
            </w:tcBorders>
            <w:shd w:val="clear" w:color="auto" w:fill="auto"/>
            <w:vAlign w:val="center"/>
            <w:hideMark/>
          </w:tcPr>
          <w:p w:rsidR="00514AE2" w:rsidRDefault="00514AE2" w:rsidP="00C23FBA">
            <w:pPr>
              <w:rPr>
                <w:rFonts w:ascii="Arial" w:hAnsi="Arial" w:cs="Arial"/>
                <w:color w:val="000000"/>
                <w:sz w:val="18"/>
                <w:szCs w:val="18"/>
              </w:rPr>
            </w:pPr>
            <w:r>
              <w:rPr>
                <w:rFonts w:ascii="Arial" w:hAnsi="Arial" w:cs="Arial"/>
                <w:color w:val="000000"/>
                <w:sz w:val="18"/>
                <w:szCs w:val="18"/>
              </w:rPr>
              <w:t>7 Technická pomoc</w:t>
            </w:r>
          </w:p>
        </w:tc>
        <w:tc>
          <w:tcPr>
            <w:tcW w:w="0" w:type="auto"/>
            <w:tcBorders>
              <w:top w:val="nil"/>
              <w:left w:val="nil"/>
              <w:bottom w:val="single" w:sz="4" w:space="0" w:color="auto"/>
              <w:right w:val="single" w:sz="4" w:space="0" w:color="auto"/>
            </w:tcBorders>
            <w:shd w:val="clear" w:color="auto" w:fill="auto"/>
            <w:vAlign w:val="center"/>
            <w:hideMark/>
          </w:tcPr>
          <w:p w:rsidR="00514AE2" w:rsidRDefault="00514AE2" w:rsidP="00C23FBA">
            <w:pPr>
              <w:jc w:val="center"/>
              <w:rPr>
                <w:rFonts w:ascii="Arial" w:hAnsi="Arial" w:cs="Arial"/>
                <w:sz w:val="18"/>
                <w:szCs w:val="18"/>
              </w:rPr>
            </w:pPr>
            <w:r>
              <w:rPr>
                <w:rFonts w:ascii="Arial" w:hAnsi="Arial" w:cs="Arial"/>
                <w:sz w:val="18"/>
                <w:szCs w:val="18"/>
              </w:rPr>
              <w:t>0</w:t>
            </w:r>
          </w:p>
        </w:tc>
        <w:tc>
          <w:tcPr>
            <w:tcW w:w="0" w:type="auto"/>
            <w:tcBorders>
              <w:top w:val="nil"/>
              <w:left w:val="nil"/>
              <w:bottom w:val="single" w:sz="4" w:space="0" w:color="auto"/>
              <w:right w:val="single" w:sz="4" w:space="0" w:color="auto"/>
            </w:tcBorders>
            <w:shd w:val="clear" w:color="auto" w:fill="auto"/>
            <w:vAlign w:val="center"/>
            <w:hideMark/>
          </w:tcPr>
          <w:p w:rsidR="00514AE2" w:rsidRDefault="00514AE2" w:rsidP="00C23FBA">
            <w:pPr>
              <w:jc w:val="center"/>
              <w:rPr>
                <w:rFonts w:ascii="Arial" w:hAnsi="Arial" w:cs="Arial"/>
                <w:color w:val="000000"/>
                <w:sz w:val="18"/>
                <w:szCs w:val="18"/>
              </w:rPr>
            </w:pPr>
            <w:r>
              <w:rPr>
                <w:rFonts w:ascii="Arial" w:hAnsi="Arial" w:cs="Arial"/>
                <w:color w:val="000000"/>
                <w:sz w:val="18"/>
                <w:szCs w:val="18"/>
              </w:rPr>
              <w:t>0</w:t>
            </w:r>
          </w:p>
        </w:tc>
        <w:tc>
          <w:tcPr>
            <w:tcW w:w="0" w:type="auto"/>
            <w:tcBorders>
              <w:top w:val="nil"/>
              <w:left w:val="nil"/>
              <w:bottom w:val="single" w:sz="4" w:space="0" w:color="auto"/>
              <w:right w:val="single" w:sz="4" w:space="0" w:color="auto"/>
            </w:tcBorders>
            <w:shd w:val="clear" w:color="auto" w:fill="auto"/>
            <w:vAlign w:val="center"/>
            <w:hideMark/>
          </w:tcPr>
          <w:p w:rsidR="00514AE2" w:rsidRDefault="00514AE2" w:rsidP="00C23FBA">
            <w:pPr>
              <w:jc w:val="center"/>
              <w:rPr>
                <w:rFonts w:ascii="Arial" w:hAnsi="Arial" w:cs="Arial"/>
                <w:color w:val="000000"/>
                <w:sz w:val="18"/>
                <w:szCs w:val="18"/>
              </w:rPr>
            </w:pPr>
            <w:r>
              <w:rPr>
                <w:rFonts w:ascii="Arial" w:hAnsi="Arial" w:cs="Arial"/>
                <w:color w:val="000000"/>
                <w:sz w:val="18"/>
                <w:szCs w:val="18"/>
              </w:rPr>
              <w:t>0</w:t>
            </w:r>
          </w:p>
        </w:tc>
        <w:tc>
          <w:tcPr>
            <w:tcW w:w="0" w:type="auto"/>
            <w:tcBorders>
              <w:top w:val="nil"/>
              <w:left w:val="nil"/>
              <w:bottom w:val="single" w:sz="4" w:space="0" w:color="auto"/>
              <w:right w:val="single" w:sz="4" w:space="0" w:color="auto"/>
            </w:tcBorders>
            <w:shd w:val="clear" w:color="auto" w:fill="auto"/>
            <w:vAlign w:val="center"/>
            <w:hideMark/>
          </w:tcPr>
          <w:p w:rsidR="00514AE2" w:rsidRDefault="00514AE2" w:rsidP="00C23FBA">
            <w:pPr>
              <w:jc w:val="center"/>
              <w:rPr>
                <w:rFonts w:ascii="Arial" w:hAnsi="Arial" w:cs="Arial"/>
                <w:color w:val="000000"/>
                <w:sz w:val="18"/>
                <w:szCs w:val="18"/>
              </w:rPr>
            </w:pPr>
            <w:r>
              <w:rPr>
                <w:rFonts w:ascii="Arial" w:hAnsi="Arial" w:cs="Arial"/>
                <w:color w:val="000000"/>
                <w:sz w:val="18"/>
                <w:szCs w:val="18"/>
              </w:rPr>
              <w:t>0</w:t>
            </w:r>
          </w:p>
        </w:tc>
      </w:tr>
      <w:tr w:rsidR="00514AE2" w:rsidTr="00A50084">
        <w:trPr>
          <w:trHeight w:val="405"/>
        </w:trPr>
        <w:tc>
          <w:tcPr>
            <w:tcW w:w="0" w:type="auto"/>
            <w:tcBorders>
              <w:top w:val="nil"/>
              <w:left w:val="single" w:sz="4" w:space="0" w:color="auto"/>
              <w:bottom w:val="single" w:sz="4" w:space="0" w:color="auto"/>
              <w:right w:val="single" w:sz="4" w:space="0" w:color="auto"/>
            </w:tcBorders>
            <w:shd w:val="clear" w:color="000000" w:fill="FFFFFF"/>
            <w:vAlign w:val="center"/>
            <w:hideMark/>
          </w:tcPr>
          <w:p w:rsidR="00514AE2" w:rsidRDefault="00514AE2" w:rsidP="00C23FBA">
            <w:pPr>
              <w:jc w:val="right"/>
              <w:rPr>
                <w:rFonts w:ascii="Arial" w:hAnsi="Arial" w:cs="Arial"/>
                <w:b/>
                <w:bCs/>
                <w:color w:val="000000"/>
                <w:sz w:val="20"/>
                <w:szCs w:val="20"/>
              </w:rPr>
            </w:pPr>
            <w:r>
              <w:rPr>
                <w:rFonts w:ascii="Arial" w:hAnsi="Arial" w:cs="Arial"/>
                <w:b/>
                <w:bCs/>
                <w:color w:val="000000"/>
                <w:sz w:val="20"/>
                <w:szCs w:val="20"/>
              </w:rPr>
              <w:t xml:space="preserve">Spolu </w:t>
            </w:r>
          </w:p>
        </w:tc>
        <w:tc>
          <w:tcPr>
            <w:tcW w:w="0" w:type="auto"/>
            <w:tcBorders>
              <w:top w:val="nil"/>
              <w:left w:val="nil"/>
              <w:bottom w:val="single" w:sz="4" w:space="0" w:color="auto"/>
              <w:right w:val="single" w:sz="4" w:space="0" w:color="auto"/>
            </w:tcBorders>
            <w:shd w:val="clear" w:color="000000" w:fill="FFFFFF"/>
            <w:vAlign w:val="center"/>
            <w:hideMark/>
          </w:tcPr>
          <w:p w:rsidR="00514AE2" w:rsidRDefault="00514AE2" w:rsidP="00C23FBA">
            <w:pPr>
              <w:jc w:val="center"/>
              <w:rPr>
                <w:rFonts w:ascii="Arial" w:hAnsi="Arial" w:cs="Arial"/>
                <w:b/>
                <w:bCs/>
                <w:color w:val="000000"/>
                <w:sz w:val="20"/>
                <w:szCs w:val="20"/>
              </w:rPr>
            </w:pPr>
            <w:r>
              <w:rPr>
                <w:rFonts w:ascii="Arial" w:hAnsi="Arial" w:cs="Arial"/>
                <w:b/>
                <w:bCs/>
                <w:color w:val="000000"/>
                <w:sz w:val="20"/>
                <w:szCs w:val="20"/>
              </w:rPr>
              <w:t>581</w:t>
            </w:r>
          </w:p>
        </w:tc>
        <w:tc>
          <w:tcPr>
            <w:tcW w:w="0" w:type="auto"/>
            <w:tcBorders>
              <w:top w:val="nil"/>
              <w:left w:val="nil"/>
              <w:bottom w:val="single" w:sz="4" w:space="0" w:color="auto"/>
              <w:right w:val="single" w:sz="4" w:space="0" w:color="auto"/>
            </w:tcBorders>
            <w:shd w:val="clear" w:color="000000" w:fill="FFFFFF"/>
            <w:vAlign w:val="center"/>
            <w:hideMark/>
          </w:tcPr>
          <w:p w:rsidR="00514AE2" w:rsidRDefault="00514AE2" w:rsidP="00C23FBA">
            <w:pPr>
              <w:jc w:val="center"/>
              <w:rPr>
                <w:rFonts w:ascii="Arial" w:hAnsi="Arial" w:cs="Arial"/>
                <w:b/>
                <w:bCs/>
                <w:color w:val="000000"/>
                <w:sz w:val="20"/>
                <w:szCs w:val="20"/>
              </w:rPr>
            </w:pPr>
            <w:r>
              <w:rPr>
                <w:rFonts w:ascii="Arial" w:hAnsi="Arial" w:cs="Arial"/>
                <w:b/>
                <w:bCs/>
                <w:color w:val="000000"/>
                <w:sz w:val="20"/>
                <w:szCs w:val="20"/>
              </w:rPr>
              <w:t>193</w:t>
            </w:r>
          </w:p>
        </w:tc>
        <w:tc>
          <w:tcPr>
            <w:tcW w:w="0" w:type="auto"/>
            <w:tcBorders>
              <w:top w:val="nil"/>
              <w:left w:val="nil"/>
              <w:bottom w:val="single" w:sz="4" w:space="0" w:color="auto"/>
              <w:right w:val="single" w:sz="4" w:space="0" w:color="auto"/>
            </w:tcBorders>
            <w:shd w:val="clear" w:color="000000" w:fill="FFFFFF"/>
            <w:vAlign w:val="center"/>
            <w:hideMark/>
          </w:tcPr>
          <w:p w:rsidR="00514AE2" w:rsidRDefault="00514AE2" w:rsidP="00C23FBA">
            <w:pPr>
              <w:jc w:val="center"/>
              <w:rPr>
                <w:rFonts w:ascii="Arial" w:hAnsi="Arial" w:cs="Arial"/>
                <w:b/>
                <w:bCs/>
                <w:color w:val="000000"/>
                <w:sz w:val="20"/>
                <w:szCs w:val="20"/>
              </w:rPr>
            </w:pPr>
            <w:r>
              <w:rPr>
                <w:rFonts w:ascii="Arial" w:hAnsi="Arial" w:cs="Arial"/>
                <w:b/>
                <w:bCs/>
                <w:color w:val="000000"/>
                <w:sz w:val="20"/>
                <w:szCs w:val="20"/>
              </w:rPr>
              <w:t>1 380 313 198</w:t>
            </w:r>
          </w:p>
        </w:tc>
        <w:tc>
          <w:tcPr>
            <w:tcW w:w="0" w:type="auto"/>
            <w:tcBorders>
              <w:top w:val="nil"/>
              <w:left w:val="nil"/>
              <w:bottom w:val="single" w:sz="4" w:space="0" w:color="auto"/>
              <w:right w:val="single" w:sz="4" w:space="0" w:color="auto"/>
            </w:tcBorders>
            <w:shd w:val="clear" w:color="000000" w:fill="FFFFFF"/>
            <w:vAlign w:val="center"/>
            <w:hideMark/>
          </w:tcPr>
          <w:p w:rsidR="00514AE2" w:rsidRDefault="00514AE2" w:rsidP="00C23FBA">
            <w:pPr>
              <w:jc w:val="center"/>
              <w:rPr>
                <w:rFonts w:ascii="Arial" w:hAnsi="Arial" w:cs="Arial"/>
                <w:b/>
                <w:bCs/>
                <w:color w:val="000000"/>
                <w:sz w:val="20"/>
                <w:szCs w:val="20"/>
              </w:rPr>
            </w:pPr>
            <w:r>
              <w:rPr>
                <w:rFonts w:ascii="Arial" w:hAnsi="Arial" w:cs="Arial"/>
                <w:b/>
                <w:bCs/>
                <w:color w:val="000000"/>
                <w:sz w:val="20"/>
                <w:szCs w:val="20"/>
              </w:rPr>
              <w:t>437 924 413</w:t>
            </w:r>
          </w:p>
        </w:tc>
      </w:tr>
    </w:tbl>
    <w:p w:rsidR="002416B1" w:rsidRPr="006A2BF3" w:rsidRDefault="00000CC9" w:rsidP="00C23FBA">
      <w:pPr>
        <w:spacing w:line="360" w:lineRule="auto"/>
        <w:jc w:val="both"/>
        <w:rPr>
          <w:rFonts w:ascii="Arial" w:hAnsi="Arial" w:cs="Arial"/>
          <w:sz w:val="18"/>
          <w:szCs w:val="18"/>
        </w:rPr>
      </w:pPr>
      <w:r>
        <w:rPr>
          <w:rFonts w:ascii="Arial" w:hAnsi="Arial" w:cs="Arial"/>
          <w:sz w:val="18"/>
          <w:szCs w:val="18"/>
        </w:rPr>
        <w:t>Zdroj: RO, ITMS</w:t>
      </w:r>
    </w:p>
    <w:p w:rsidR="00514AE2" w:rsidRDefault="00514AE2" w:rsidP="00C23FBA">
      <w:pPr>
        <w:spacing w:line="360" w:lineRule="auto"/>
        <w:jc w:val="both"/>
        <w:rPr>
          <w:rFonts w:ascii="Arial" w:hAnsi="Arial" w:cs="Arial"/>
          <w:i/>
          <w:sz w:val="16"/>
          <w:szCs w:val="16"/>
        </w:rPr>
      </w:pPr>
      <w:r>
        <w:rPr>
          <w:rFonts w:ascii="Arial" w:hAnsi="Arial" w:cs="Arial"/>
          <w:i/>
          <w:sz w:val="16"/>
          <w:szCs w:val="16"/>
        </w:rPr>
        <w:t xml:space="preserve">Pozn.: </w:t>
      </w:r>
      <w:r w:rsidRPr="00FA2DAA">
        <w:rPr>
          <w:rFonts w:ascii="Arial" w:hAnsi="Arial" w:cs="Arial"/>
          <w:i/>
          <w:sz w:val="16"/>
          <w:szCs w:val="16"/>
        </w:rPr>
        <w:t>Údaje o zazmluvnených projektoch zahŕňajú projekty, ktoré mali k 31.12.201</w:t>
      </w:r>
      <w:r>
        <w:rPr>
          <w:rFonts w:ascii="Arial" w:hAnsi="Arial" w:cs="Arial"/>
          <w:i/>
          <w:sz w:val="16"/>
          <w:szCs w:val="16"/>
        </w:rPr>
        <w:t>2</w:t>
      </w:r>
      <w:r w:rsidRPr="00FA2DAA">
        <w:rPr>
          <w:rFonts w:ascii="Arial" w:hAnsi="Arial" w:cs="Arial"/>
          <w:i/>
          <w:sz w:val="16"/>
          <w:szCs w:val="16"/>
        </w:rPr>
        <w:t xml:space="preserve"> účinnú zmluvu o poskytnutí NFP a boli v realizácii alebo riadne ukončené. Údaje nezahŕňajú mimoriadne ukončené projekty.</w:t>
      </w:r>
    </w:p>
    <w:p w:rsidR="002416B1" w:rsidRPr="004B33AE" w:rsidRDefault="00137C9C" w:rsidP="00507035">
      <w:pPr>
        <w:spacing w:before="120" w:after="120" w:line="360" w:lineRule="auto"/>
        <w:jc w:val="both"/>
        <w:rPr>
          <w:rFonts w:ascii="Arial" w:hAnsi="Arial" w:cs="Arial"/>
          <w:sz w:val="20"/>
          <w:szCs w:val="20"/>
        </w:rPr>
      </w:pPr>
      <w:r w:rsidRPr="00137C9C">
        <w:rPr>
          <w:rFonts w:ascii="Arial" w:hAnsi="Arial" w:cs="Arial"/>
          <w:sz w:val="20"/>
          <w:szCs w:val="20"/>
        </w:rPr>
        <w:t>V</w:t>
      </w:r>
      <w:r w:rsidR="00F9055E">
        <w:rPr>
          <w:rFonts w:ascii="Arial" w:hAnsi="Arial" w:cs="Arial"/>
          <w:sz w:val="20"/>
          <w:szCs w:val="20"/>
        </w:rPr>
        <w:t>o v</w:t>
      </w:r>
      <w:r w:rsidRPr="00137C9C">
        <w:rPr>
          <w:rFonts w:ascii="Arial" w:hAnsi="Arial" w:cs="Arial"/>
          <w:sz w:val="20"/>
          <w:szCs w:val="20"/>
        </w:rPr>
        <w:t>yššie uveden</w:t>
      </w:r>
      <w:r w:rsidR="00F9055E">
        <w:rPr>
          <w:rFonts w:ascii="Arial" w:hAnsi="Arial" w:cs="Arial"/>
          <w:sz w:val="20"/>
          <w:szCs w:val="20"/>
        </w:rPr>
        <w:t>ých</w:t>
      </w:r>
      <w:r w:rsidRPr="00137C9C">
        <w:rPr>
          <w:rFonts w:ascii="Arial" w:hAnsi="Arial" w:cs="Arial"/>
          <w:sz w:val="20"/>
          <w:szCs w:val="20"/>
        </w:rPr>
        <w:t xml:space="preserve"> tabuľk</w:t>
      </w:r>
      <w:r w:rsidR="00F9055E">
        <w:rPr>
          <w:rFonts w:ascii="Arial" w:hAnsi="Arial" w:cs="Arial"/>
          <w:sz w:val="20"/>
          <w:szCs w:val="20"/>
        </w:rPr>
        <w:t xml:space="preserve">ách sú uvedené informácie </w:t>
      </w:r>
      <w:r w:rsidRPr="00137C9C">
        <w:rPr>
          <w:rFonts w:ascii="Arial" w:hAnsi="Arial" w:cs="Arial"/>
          <w:sz w:val="20"/>
          <w:szCs w:val="20"/>
        </w:rPr>
        <w:t xml:space="preserve"> o príspevku zazmluvnených projektov k horizontálnej priorite </w:t>
      </w:r>
      <w:r>
        <w:rPr>
          <w:rFonts w:ascii="Arial" w:hAnsi="Arial" w:cs="Arial"/>
          <w:sz w:val="20"/>
          <w:szCs w:val="20"/>
        </w:rPr>
        <w:t>Rovnosť príležitostí</w:t>
      </w:r>
      <w:r w:rsidRPr="00137C9C">
        <w:rPr>
          <w:rFonts w:ascii="Arial" w:hAnsi="Arial" w:cs="Arial"/>
          <w:sz w:val="20"/>
          <w:szCs w:val="20"/>
        </w:rPr>
        <w:t xml:space="preserve"> v rámci jednotlivých krajov, z uvedených dôvodov zahŕňa</w:t>
      </w:r>
      <w:r>
        <w:rPr>
          <w:rFonts w:ascii="Arial" w:hAnsi="Arial" w:cs="Arial"/>
          <w:sz w:val="20"/>
          <w:szCs w:val="20"/>
        </w:rPr>
        <w:t>jú</w:t>
      </w:r>
      <w:r w:rsidRPr="00137C9C">
        <w:rPr>
          <w:rFonts w:ascii="Arial" w:hAnsi="Arial" w:cs="Arial"/>
          <w:sz w:val="20"/>
          <w:szCs w:val="20"/>
        </w:rPr>
        <w:t xml:space="preserve"> zazmluvnené projekty, ktoré sú v realizácii a tiež projekty ukončené.</w:t>
      </w:r>
      <w:r>
        <w:rPr>
          <w:rFonts w:ascii="Arial" w:hAnsi="Arial" w:cs="Arial"/>
          <w:sz w:val="20"/>
          <w:szCs w:val="20"/>
        </w:rPr>
        <w:t xml:space="preserve"> </w:t>
      </w:r>
      <w:r w:rsidR="002416B1" w:rsidRPr="007B7404">
        <w:rPr>
          <w:rFonts w:ascii="Arial" w:hAnsi="Arial" w:cs="Arial"/>
          <w:sz w:val="20"/>
          <w:szCs w:val="20"/>
        </w:rPr>
        <w:t>P</w:t>
      </w:r>
      <w:r w:rsidR="002416B1" w:rsidRPr="004B33AE">
        <w:rPr>
          <w:rFonts w:ascii="Arial" w:hAnsi="Arial" w:cs="Arial"/>
          <w:sz w:val="20"/>
          <w:szCs w:val="20"/>
        </w:rPr>
        <w:t xml:space="preserve">re žiadateľov o NFP ako aj prijímateľov je k dispozícii </w:t>
      </w:r>
      <w:r w:rsidR="002416B1" w:rsidRPr="004B33AE">
        <w:rPr>
          <w:rFonts w:ascii="Arial" w:hAnsi="Arial" w:cs="Arial"/>
          <w:i/>
          <w:sz w:val="20"/>
          <w:szCs w:val="20"/>
        </w:rPr>
        <w:t>Príručka uplatňovania rovnosti príležitostí v projektoch spolufinancovaných v EÚ</w:t>
      </w:r>
      <w:r w:rsidR="002416B1" w:rsidRPr="004B33AE">
        <w:rPr>
          <w:rFonts w:ascii="Arial" w:hAnsi="Arial" w:cs="Arial"/>
          <w:sz w:val="20"/>
          <w:szCs w:val="20"/>
        </w:rPr>
        <w:t>, ktorej cieľom je zvýšiť povedomie a informovanosť o rovnosti príležitostí a rodovej rovnosti v kontexte využívania štrukturálnej pomoci a zadefinovanie postupov uplatňovania príspevku k horizontálnej priorite rovnosť príležitostí pri podávaní žiadosti o NFP, ako aj počas celého projektového cyklu (pri monitorovaní, hodnotení).</w:t>
      </w:r>
    </w:p>
    <w:p w:rsidR="002416B1" w:rsidRPr="004B33AE" w:rsidRDefault="002416B1" w:rsidP="00507035">
      <w:pPr>
        <w:spacing w:before="120" w:after="120" w:line="360" w:lineRule="auto"/>
        <w:jc w:val="both"/>
        <w:rPr>
          <w:rFonts w:ascii="Arial" w:hAnsi="Arial" w:cs="Arial"/>
          <w:sz w:val="20"/>
          <w:szCs w:val="20"/>
        </w:rPr>
      </w:pPr>
      <w:r w:rsidRPr="004B33AE">
        <w:rPr>
          <w:rFonts w:ascii="Arial" w:hAnsi="Arial" w:cs="Arial"/>
          <w:i/>
          <w:sz w:val="20"/>
          <w:szCs w:val="20"/>
        </w:rPr>
        <w:t>Príručka uplatňovania horizontálnej priority rovnosti príležitostí v štrukturálnych fondoch</w:t>
      </w:r>
      <w:r w:rsidRPr="004B33AE">
        <w:rPr>
          <w:rFonts w:ascii="Arial" w:hAnsi="Arial" w:cs="Arial"/>
          <w:sz w:val="20"/>
          <w:szCs w:val="20"/>
        </w:rPr>
        <w:t xml:space="preserve"> je určená pre zamestnancov a zamestnankyne zapojených do implementácie štrukturálnych fondov (RO, SORO, VÚC, atď.), ako aj pre odborných hodnotiteľov a hodnotiteľky žiadostí o NFP. Cieľom je zvýšiť povedomie ako uplatňovať rovnosť príležitostí pri implementovaní, monitorovaní a hodnotení operačných programov a monitorovaní a odbornom hodnotení projektov.</w:t>
      </w:r>
    </w:p>
    <w:p w:rsidR="002416B1" w:rsidRPr="004B33AE" w:rsidRDefault="002416B1" w:rsidP="00507035">
      <w:pPr>
        <w:spacing w:before="120" w:after="120" w:line="360" w:lineRule="auto"/>
        <w:jc w:val="both"/>
        <w:rPr>
          <w:rFonts w:ascii="Arial" w:hAnsi="Arial" w:cs="Arial"/>
          <w:sz w:val="20"/>
          <w:szCs w:val="20"/>
        </w:rPr>
      </w:pPr>
      <w:r w:rsidRPr="004B33AE">
        <w:rPr>
          <w:rFonts w:ascii="Arial" w:hAnsi="Arial" w:cs="Arial"/>
          <w:sz w:val="20"/>
          <w:szCs w:val="20"/>
        </w:rPr>
        <w:t xml:space="preserve">Príručky je možné stiahnuť z </w:t>
      </w:r>
      <w:r w:rsidR="008679A6">
        <w:rPr>
          <w:rFonts w:ascii="Arial" w:hAnsi="Arial" w:cs="Arial"/>
          <w:sz w:val="20"/>
          <w:szCs w:val="20"/>
        </w:rPr>
        <w:t>webového sídla</w:t>
      </w:r>
      <w:r w:rsidR="008679A6" w:rsidRPr="004B33AE">
        <w:rPr>
          <w:rFonts w:ascii="Arial" w:hAnsi="Arial" w:cs="Arial"/>
          <w:sz w:val="20"/>
          <w:szCs w:val="20"/>
        </w:rPr>
        <w:t xml:space="preserve"> </w:t>
      </w:r>
      <w:hyperlink r:id="rId62" w:history="1">
        <w:r w:rsidR="00F9055E" w:rsidRPr="0082535E">
          <w:rPr>
            <w:rStyle w:val="Hypertextovprepojenie"/>
            <w:rFonts w:ascii="Arial" w:hAnsi="Arial" w:cs="Arial"/>
            <w:sz w:val="20"/>
            <w:szCs w:val="20"/>
          </w:rPr>
          <w:t>www.gender.gov.sk</w:t>
        </w:r>
      </w:hyperlink>
      <w:r w:rsidR="00F9055E">
        <w:rPr>
          <w:rStyle w:val="Hypertextovprepojenie"/>
          <w:rFonts w:ascii="Arial" w:hAnsi="Arial" w:cs="Arial"/>
          <w:sz w:val="20"/>
          <w:szCs w:val="20"/>
        </w:rPr>
        <w:t xml:space="preserve"> </w:t>
      </w:r>
      <w:r w:rsidRPr="004B33AE">
        <w:rPr>
          <w:rFonts w:ascii="Arial" w:hAnsi="Arial" w:cs="Arial"/>
          <w:sz w:val="20"/>
          <w:szCs w:val="20"/>
        </w:rPr>
        <w:t>v sekcii HP RP/dokumenty.</w:t>
      </w:r>
    </w:p>
    <w:p w:rsidR="007A427E" w:rsidRDefault="007A427E" w:rsidP="00507035">
      <w:pPr>
        <w:pStyle w:val="Nadpis2"/>
        <w:spacing w:before="120" w:after="120"/>
      </w:pPr>
      <w:bookmarkStart w:id="119" w:name="_Toc319573344"/>
      <w:bookmarkEnd w:id="115"/>
      <w:bookmarkEnd w:id="116"/>
      <w:bookmarkEnd w:id="117"/>
      <w:bookmarkEnd w:id="118"/>
    </w:p>
    <w:p w:rsidR="002416B1" w:rsidRPr="004B33AE" w:rsidRDefault="002416B1" w:rsidP="00507035">
      <w:pPr>
        <w:pStyle w:val="Nadpis2"/>
        <w:spacing w:before="120" w:after="120"/>
      </w:pPr>
      <w:r w:rsidRPr="004B33AE">
        <w:t>4.4 Horizontálna priorita Trvalo udržateľný rozvoj</w:t>
      </w:r>
      <w:bookmarkEnd w:id="119"/>
      <w:r w:rsidRPr="004B33AE">
        <w:t xml:space="preserve"> </w:t>
      </w:r>
    </w:p>
    <w:p w:rsidR="00055361" w:rsidRPr="0039268C" w:rsidRDefault="00055361" w:rsidP="00507035">
      <w:pPr>
        <w:spacing w:before="120" w:after="120" w:line="360" w:lineRule="auto"/>
        <w:jc w:val="both"/>
        <w:rPr>
          <w:rFonts w:ascii="Arial" w:hAnsi="Arial" w:cs="Arial"/>
          <w:sz w:val="20"/>
          <w:szCs w:val="20"/>
        </w:rPr>
      </w:pPr>
      <w:r w:rsidRPr="0039268C">
        <w:rPr>
          <w:rFonts w:ascii="Arial" w:hAnsi="Arial" w:cs="Arial"/>
          <w:sz w:val="20"/>
          <w:szCs w:val="20"/>
        </w:rPr>
        <w:t>Hlavným cieľom horizontálnej priority Trvalo udržateľný rozvoj (ďalej len „HP TUR“) je zabezpečenie environmentálnej, ekonomickej a sociálnej udržateľnosti ekonomického rastu. Špecifické ciele HP TUR sú zamerané na štyri oblasti: zvýšenie ekonomickej prosperity, zvýšenie kvality životného prostredia, sociálnu solidaritu a inklúziu a vyrovnaný regionálny rozvoj.</w:t>
      </w:r>
    </w:p>
    <w:p w:rsidR="00055361" w:rsidRPr="0039268C" w:rsidRDefault="00055361" w:rsidP="00507035">
      <w:pPr>
        <w:spacing w:before="120" w:after="120" w:line="360" w:lineRule="auto"/>
        <w:jc w:val="both"/>
        <w:rPr>
          <w:rFonts w:ascii="Arial" w:hAnsi="Arial" w:cs="Arial"/>
          <w:sz w:val="20"/>
          <w:szCs w:val="20"/>
        </w:rPr>
      </w:pPr>
      <w:r w:rsidRPr="0039268C">
        <w:rPr>
          <w:rFonts w:ascii="Arial" w:hAnsi="Arial" w:cs="Arial"/>
          <w:sz w:val="20"/>
          <w:szCs w:val="20"/>
        </w:rPr>
        <w:t xml:space="preserve">Koordinátor HP TUR je zapojený do systému riadenia a kontroly ŠF a KF na úrovni NSRR v súlade s ustanoveniami </w:t>
      </w:r>
      <w:r w:rsidR="00C31485">
        <w:rPr>
          <w:rFonts w:ascii="Arial" w:hAnsi="Arial" w:cs="Arial"/>
          <w:sz w:val="20"/>
          <w:szCs w:val="20"/>
        </w:rPr>
        <w:t>n</w:t>
      </w:r>
      <w:r w:rsidRPr="0039268C">
        <w:rPr>
          <w:rFonts w:ascii="Arial" w:hAnsi="Arial" w:cs="Arial"/>
          <w:sz w:val="20"/>
          <w:szCs w:val="20"/>
        </w:rPr>
        <w:t>ariadenia Rady (ES) 1083/2006 a rozhodnutím vlády SR. Inštitucionálnym koordinátorom HP TUR je Úrad vlády SR, odbor prierezových priorít, ktorý v súlade s uplatňovaním princípu partnerstva a s cieľom zabezpečenia koordinovaného postupu všetkých RO pri implementácii HP TUR vedie Pracovnú skupinu pre HP TUR.</w:t>
      </w:r>
    </w:p>
    <w:p w:rsidR="00055361" w:rsidRPr="0039268C" w:rsidRDefault="00236377" w:rsidP="00C23FBA">
      <w:pPr>
        <w:autoSpaceDE w:val="0"/>
        <w:autoSpaceDN w:val="0"/>
        <w:adjustRightInd w:val="0"/>
        <w:jc w:val="both"/>
        <w:rPr>
          <w:rFonts w:ascii="Arial" w:hAnsi="Arial" w:cs="Arial"/>
          <w:sz w:val="20"/>
          <w:szCs w:val="20"/>
        </w:rPr>
      </w:pPr>
      <w:r w:rsidRPr="0039268C">
        <w:rPr>
          <w:rFonts w:ascii="Arial" w:hAnsi="Arial" w:cs="Arial"/>
          <w:sz w:val="20"/>
          <w:szCs w:val="20"/>
        </w:rPr>
        <w:t xml:space="preserve">Tab. č. </w:t>
      </w:r>
      <w:r w:rsidR="00C63470" w:rsidRPr="0039268C">
        <w:rPr>
          <w:rFonts w:ascii="Arial" w:hAnsi="Arial" w:cs="Arial"/>
          <w:sz w:val="20"/>
          <w:szCs w:val="20"/>
        </w:rPr>
        <w:t>7</w:t>
      </w:r>
      <w:r w:rsidR="00C63470">
        <w:rPr>
          <w:rFonts w:ascii="Arial" w:hAnsi="Arial" w:cs="Arial"/>
          <w:sz w:val="20"/>
          <w:szCs w:val="20"/>
        </w:rPr>
        <w:t>7</w:t>
      </w:r>
      <w:r w:rsidRPr="0039268C">
        <w:rPr>
          <w:rFonts w:ascii="Arial" w:hAnsi="Arial" w:cs="Arial"/>
          <w:sz w:val="20"/>
          <w:szCs w:val="20"/>
        </w:rPr>
        <w:t xml:space="preserve">: </w:t>
      </w:r>
      <w:r w:rsidR="00055361" w:rsidRPr="0039268C">
        <w:rPr>
          <w:rFonts w:ascii="Arial" w:hAnsi="Arial" w:cs="Arial"/>
          <w:sz w:val="20"/>
          <w:szCs w:val="20"/>
        </w:rPr>
        <w:t>Zasadnutia a aktivity Pracovnej skupiny pre HP TUR</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18"/>
        <w:gridCol w:w="3680"/>
        <w:gridCol w:w="4080"/>
      </w:tblGrid>
      <w:tr w:rsidR="00055361" w:rsidRPr="00055361" w:rsidTr="00D62AE1">
        <w:tc>
          <w:tcPr>
            <w:tcW w:w="1418" w:type="dxa"/>
            <w:tcBorders>
              <w:bottom w:val="single" w:sz="4" w:space="0" w:color="auto"/>
            </w:tcBorders>
            <w:shd w:val="clear" w:color="auto" w:fill="00FFFF"/>
          </w:tcPr>
          <w:p w:rsidR="00055361" w:rsidRPr="0039268C" w:rsidRDefault="00055361" w:rsidP="00C23FBA">
            <w:pPr>
              <w:jc w:val="both"/>
              <w:rPr>
                <w:rFonts w:ascii="Arial" w:hAnsi="Arial" w:cs="Arial"/>
                <w:b/>
                <w:sz w:val="18"/>
                <w:szCs w:val="18"/>
              </w:rPr>
            </w:pPr>
            <w:r w:rsidRPr="0039268C">
              <w:rPr>
                <w:rFonts w:ascii="Arial" w:hAnsi="Arial" w:cs="Arial"/>
                <w:b/>
                <w:sz w:val="18"/>
                <w:szCs w:val="18"/>
              </w:rPr>
              <w:t xml:space="preserve">Dátum </w:t>
            </w:r>
          </w:p>
          <w:p w:rsidR="00055361" w:rsidRPr="0039268C" w:rsidRDefault="00055361" w:rsidP="00C23FBA">
            <w:pPr>
              <w:jc w:val="both"/>
              <w:rPr>
                <w:rFonts w:ascii="Arial" w:hAnsi="Arial" w:cs="Arial"/>
                <w:b/>
                <w:sz w:val="18"/>
                <w:szCs w:val="18"/>
              </w:rPr>
            </w:pPr>
          </w:p>
        </w:tc>
        <w:tc>
          <w:tcPr>
            <w:tcW w:w="3681" w:type="dxa"/>
            <w:shd w:val="clear" w:color="auto" w:fill="00FFFF"/>
          </w:tcPr>
          <w:p w:rsidR="00055361" w:rsidRPr="0039268C" w:rsidRDefault="00055361" w:rsidP="00C23FBA">
            <w:pPr>
              <w:jc w:val="both"/>
              <w:rPr>
                <w:rFonts w:ascii="Arial" w:hAnsi="Arial" w:cs="Arial"/>
                <w:b/>
                <w:sz w:val="18"/>
                <w:szCs w:val="18"/>
              </w:rPr>
            </w:pPr>
            <w:r w:rsidRPr="0039268C">
              <w:rPr>
                <w:rFonts w:ascii="Arial" w:hAnsi="Arial" w:cs="Arial"/>
                <w:b/>
                <w:sz w:val="18"/>
                <w:szCs w:val="18"/>
              </w:rPr>
              <w:t>Dôvod</w:t>
            </w:r>
          </w:p>
        </w:tc>
        <w:tc>
          <w:tcPr>
            <w:tcW w:w="4081" w:type="dxa"/>
            <w:shd w:val="clear" w:color="auto" w:fill="00FFFF"/>
          </w:tcPr>
          <w:p w:rsidR="00055361" w:rsidRPr="0039268C" w:rsidRDefault="00055361" w:rsidP="00C23FBA">
            <w:pPr>
              <w:jc w:val="both"/>
              <w:rPr>
                <w:rFonts w:ascii="Arial" w:hAnsi="Arial" w:cs="Arial"/>
                <w:b/>
                <w:sz w:val="18"/>
                <w:szCs w:val="18"/>
              </w:rPr>
            </w:pPr>
            <w:r w:rsidRPr="0039268C">
              <w:rPr>
                <w:rFonts w:ascii="Arial" w:hAnsi="Arial" w:cs="Arial"/>
                <w:b/>
                <w:sz w:val="18"/>
                <w:szCs w:val="18"/>
              </w:rPr>
              <w:t>Závery</w:t>
            </w:r>
          </w:p>
        </w:tc>
      </w:tr>
      <w:tr w:rsidR="00055361" w:rsidRPr="00055361" w:rsidTr="00D62AE1">
        <w:tc>
          <w:tcPr>
            <w:tcW w:w="1418" w:type="dxa"/>
            <w:shd w:val="clear" w:color="auto" w:fill="CCFFFF"/>
          </w:tcPr>
          <w:p w:rsidR="00055361" w:rsidRPr="0039268C" w:rsidRDefault="00055361" w:rsidP="00C23FBA">
            <w:pPr>
              <w:jc w:val="both"/>
              <w:rPr>
                <w:rFonts w:ascii="Arial" w:hAnsi="Arial" w:cs="Arial"/>
                <w:sz w:val="18"/>
                <w:szCs w:val="18"/>
              </w:rPr>
            </w:pPr>
            <w:r w:rsidRPr="0039268C">
              <w:rPr>
                <w:rFonts w:ascii="Arial" w:hAnsi="Arial" w:cs="Arial"/>
                <w:sz w:val="18"/>
                <w:szCs w:val="18"/>
              </w:rPr>
              <w:t>28.02.2012</w:t>
            </w:r>
          </w:p>
          <w:p w:rsidR="00055361" w:rsidRPr="0039268C" w:rsidRDefault="00055361" w:rsidP="00C23FBA">
            <w:pPr>
              <w:jc w:val="both"/>
              <w:rPr>
                <w:rFonts w:ascii="Arial" w:hAnsi="Arial" w:cs="Arial"/>
                <w:sz w:val="18"/>
                <w:szCs w:val="18"/>
              </w:rPr>
            </w:pPr>
            <w:r w:rsidRPr="0039268C">
              <w:rPr>
                <w:rFonts w:ascii="Arial" w:hAnsi="Arial" w:cs="Arial"/>
                <w:sz w:val="18"/>
                <w:szCs w:val="18"/>
              </w:rPr>
              <w:t>zasadnutie PS</w:t>
            </w:r>
          </w:p>
        </w:tc>
        <w:tc>
          <w:tcPr>
            <w:tcW w:w="3681" w:type="dxa"/>
          </w:tcPr>
          <w:p w:rsidR="00055361" w:rsidRPr="0039268C" w:rsidRDefault="00055361" w:rsidP="00C23FBA">
            <w:pPr>
              <w:jc w:val="both"/>
              <w:rPr>
                <w:rFonts w:ascii="Arial" w:hAnsi="Arial" w:cs="Arial"/>
                <w:sz w:val="18"/>
                <w:szCs w:val="18"/>
              </w:rPr>
            </w:pPr>
            <w:r w:rsidRPr="0039268C">
              <w:rPr>
                <w:rFonts w:ascii="Arial" w:hAnsi="Arial" w:cs="Arial"/>
                <w:sz w:val="18"/>
                <w:szCs w:val="18"/>
              </w:rPr>
              <w:t>aktualizácia webového sídla koordinátora, aktualizácia Systému riadenia ŠF a KF, verzia 4.5, časti týkajúce sa HP, monitorovanie projektov s príspevkom OP k HP TUR, informácie k spracovaniu podkladov o príspevku OP k HP TUR,  princípy partnerstva a viacúrovňového riadenia pri realizácii politík Stratégie Európa 2020 a rozpočtu Stratégie Európa 2020</w:t>
            </w:r>
          </w:p>
          <w:p w:rsidR="00055361" w:rsidRPr="0039268C" w:rsidRDefault="00055361" w:rsidP="00C23FBA">
            <w:pPr>
              <w:jc w:val="both"/>
              <w:rPr>
                <w:rFonts w:ascii="Arial" w:hAnsi="Arial" w:cs="Arial"/>
                <w:sz w:val="18"/>
                <w:szCs w:val="18"/>
              </w:rPr>
            </w:pPr>
          </w:p>
        </w:tc>
        <w:tc>
          <w:tcPr>
            <w:tcW w:w="4081" w:type="dxa"/>
          </w:tcPr>
          <w:p w:rsidR="00055361" w:rsidRPr="0039268C" w:rsidRDefault="00055361" w:rsidP="00C23FBA">
            <w:pPr>
              <w:jc w:val="both"/>
              <w:rPr>
                <w:rFonts w:ascii="Arial" w:hAnsi="Arial" w:cs="Arial"/>
                <w:sz w:val="18"/>
                <w:szCs w:val="18"/>
              </w:rPr>
            </w:pPr>
            <w:r w:rsidRPr="0039268C">
              <w:rPr>
                <w:rFonts w:ascii="Arial" w:hAnsi="Arial" w:cs="Arial"/>
                <w:sz w:val="18"/>
                <w:szCs w:val="18"/>
              </w:rPr>
              <w:t xml:space="preserve">s RO OP prediskutované zmeny v Systéme riadenia ŠF a KF a spolupráca pri príprave výročných správ OP / HP TUR 2011 </w:t>
            </w:r>
          </w:p>
        </w:tc>
      </w:tr>
      <w:tr w:rsidR="00055361" w:rsidRPr="00055361" w:rsidTr="00D62AE1">
        <w:tc>
          <w:tcPr>
            <w:tcW w:w="1418" w:type="dxa"/>
            <w:shd w:val="clear" w:color="auto" w:fill="CCFFFF"/>
          </w:tcPr>
          <w:p w:rsidR="00055361" w:rsidRPr="0039268C" w:rsidRDefault="00055361" w:rsidP="00C23FBA">
            <w:pPr>
              <w:jc w:val="both"/>
              <w:rPr>
                <w:rFonts w:ascii="Arial" w:hAnsi="Arial" w:cs="Arial"/>
                <w:sz w:val="18"/>
                <w:szCs w:val="18"/>
              </w:rPr>
            </w:pPr>
            <w:r w:rsidRPr="0039268C">
              <w:rPr>
                <w:rFonts w:ascii="Arial" w:hAnsi="Arial" w:cs="Arial"/>
                <w:sz w:val="18"/>
                <w:szCs w:val="18"/>
              </w:rPr>
              <w:t>30.07.2012</w:t>
            </w:r>
          </w:p>
          <w:p w:rsidR="00055361" w:rsidRPr="0039268C" w:rsidRDefault="00055361" w:rsidP="00C23FBA">
            <w:pPr>
              <w:jc w:val="both"/>
              <w:rPr>
                <w:rFonts w:ascii="Arial" w:hAnsi="Arial" w:cs="Arial"/>
                <w:sz w:val="18"/>
                <w:szCs w:val="18"/>
              </w:rPr>
            </w:pPr>
            <w:r w:rsidRPr="0039268C">
              <w:rPr>
                <w:rFonts w:ascii="Arial" w:hAnsi="Arial" w:cs="Arial"/>
                <w:sz w:val="18"/>
                <w:szCs w:val="18"/>
              </w:rPr>
              <w:t>rozhodovanie per-rollam</w:t>
            </w:r>
          </w:p>
        </w:tc>
        <w:tc>
          <w:tcPr>
            <w:tcW w:w="3681" w:type="dxa"/>
          </w:tcPr>
          <w:p w:rsidR="00055361" w:rsidRPr="0039268C" w:rsidRDefault="00055361" w:rsidP="00C23FBA">
            <w:pPr>
              <w:jc w:val="both"/>
              <w:rPr>
                <w:rFonts w:ascii="Arial" w:hAnsi="Arial" w:cs="Arial"/>
                <w:sz w:val="18"/>
                <w:szCs w:val="18"/>
              </w:rPr>
            </w:pPr>
            <w:r w:rsidRPr="0039268C">
              <w:rPr>
                <w:rFonts w:ascii="Arial" w:hAnsi="Arial" w:cs="Arial"/>
                <w:sz w:val="18"/>
                <w:szCs w:val="18"/>
              </w:rPr>
              <w:t xml:space="preserve">aktualizácia Systému koordinácie implementácie HP TUR na roky 2007 – 2013, verzia 6.2 </w:t>
            </w:r>
          </w:p>
          <w:p w:rsidR="00055361" w:rsidRPr="0039268C" w:rsidRDefault="00055361" w:rsidP="00C23FBA">
            <w:pPr>
              <w:jc w:val="both"/>
              <w:rPr>
                <w:rFonts w:ascii="Arial" w:hAnsi="Arial" w:cs="Arial"/>
                <w:sz w:val="18"/>
                <w:szCs w:val="18"/>
              </w:rPr>
            </w:pPr>
          </w:p>
        </w:tc>
        <w:tc>
          <w:tcPr>
            <w:tcW w:w="4081" w:type="dxa"/>
          </w:tcPr>
          <w:p w:rsidR="00055361" w:rsidRPr="0039268C" w:rsidRDefault="00055361" w:rsidP="00C23FBA">
            <w:pPr>
              <w:jc w:val="both"/>
              <w:rPr>
                <w:rFonts w:ascii="Arial" w:hAnsi="Arial" w:cs="Arial"/>
                <w:sz w:val="18"/>
                <w:szCs w:val="18"/>
              </w:rPr>
            </w:pPr>
            <w:r w:rsidRPr="0039268C">
              <w:rPr>
                <w:rFonts w:ascii="Arial" w:hAnsi="Arial" w:cs="Arial"/>
                <w:sz w:val="18"/>
                <w:szCs w:val="18"/>
              </w:rPr>
              <w:t>schválenie SKI HP TUR na roky 2007 – 2013, v. 6.2</w:t>
            </w:r>
          </w:p>
        </w:tc>
      </w:tr>
      <w:tr w:rsidR="00055361" w:rsidRPr="00055361" w:rsidTr="00D62AE1">
        <w:tc>
          <w:tcPr>
            <w:tcW w:w="1418" w:type="dxa"/>
            <w:shd w:val="clear" w:color="auto" w:fill="CCFFFF"/>
          </w:tcPr>
          <w:p w:rsidR="00055361" w:rsidRPr="0039268C" w:rsidRDefault="00055361" w:rsidP="00C23FBA">
            <w:pPr>
              <w:jc w:val="both"/>
              <w:rPr>
                <w:rFonts w:ascii="Arial" w:hAnsi="Arial" w:cs="Arial"/>
                <w:sz w:val="18"/>
                <w:szCs w:val="18"/>
              </w:rPr>
            </w:pPr>
            <w:r w:rsidRPr="0039268C">
              <w:rPr>
                <w:rFonts w:ascii="Arial" w:hAnsi="Arial" w:cs="Arial"/>
                <w:sz w:val="18"/>
                <w:szCs w:val="18"/>
              </w:rPr>
              <w:t>12.12. 2012  príprava na rozhodovanie per-rollam</w:t>
            </w:r>
          </w:p>
        </w:tc>
        <w:tc>
          <w:tcPr>
            <w:tcW w:w="3681" w:type="dxa"/>
          </w:tcPr>
          <w:p w:rsidR="00055361" w:rsidRPr="0039268C" w:rsidRDefault="00055361" w:rsidP="00C23FBA">
            <w:pPr>
              <w:jc w:val="both"/>
              <w:rPr>
                <w:rFonts w:ascii="Arial" w:hAnsi="Arial" w:cs="Arial"/>
                <w:sz w:val="18"/>
                <w:szCs w:val="18"/>
              </w:rPr>
            </w:pPr>
            <w:r w:rsidRPr="0039268C">
              <w:rPr>
                <w:rFonts w:ascii="Arial" w:hAnsi="Arial" w:cs="Arial"/>
                <w:sz w:val="18"/>
                <w:szCs w:val="18"/>
              </w:rPr>
              <w:t>koordinátor v spolupráci s RO OP aktualizoval prílohy č. 2 a 3 Systému koordinácie HP TUR na roky 2007-2013. Návrh aktualizovaných príloh bol 12.12.2012 zaslaný na pripomienkovanie členom pracovnej skupiny HP TUR</w:t>
            </w:r>
          </w:p>
          <w:p w:rsidR="00055361" w:rsidRPr="0039268C" w:rsidRDefault="00055361" w:rsidP="00C23FBA">
            <w:pPr>
              <w:jc w:val="both"/>
              <w:rPr>
                <w:rFonts w:ascii="Arial" w:hAnsi="Arial" w:cs="Arial"/>
                <w:sz w:val="18"/>
                <w:szCs w:val="18"/>
              </w:rPr>
            </w:pPr>
          </w:p>
        </w:tc>
        <w:tc>
          <w:tcPr>
            <w:tcW w:w="4081" w:type="dxa"/>
          </w:tcPr>
          <w:p w:rsidR="00055361" w:rsidRPr="0039268C" w:rsidRDefault="00055361" w:rsidP="00C23FBA">
            <w:pPr>
              <w:jc w:val="both"/>
              <w:rPr>
                <w:rFonts w:ascii="Arial" w:hAnsi="Arial" w:cs="Arial"/>
                <w:sz w:val="18"/>
                <w:szCs w:val="18"/>
              </w:rPr>
            </w:pPr>
            <w:r w:rsidRPr="0039268C">
              <w:rPr>
                <w:rFonts w:ascii="Arial" w:hAnsi="Arial" w:cs="Arial"/>
                <w:sz w:val="18"/>
                <w:szCs w:val="18"/>
              </w:rPr>
              <w:t>po zapracovaní pripomienok RO OP sa očakáva schválenie per-rollam v januári 2013</w:t>
            </w:r>
          </w:p>
        </w:tc>
      </w:tr>
    </w:tbl>
    <w:p w:rsidR="00055361" w:rsidRPr="0039268C" w:rsidRDefault="00055361" w:rsidP="00507035">
      <w:pPr>
        <w:spacing w:before="120" w:after="120" w:line="360" w:lineRule="auto"/>
        <w:jc w:val="both"/>
        <w:rPr>
          <w:rFonts w:ascii="Arial" w:hAnsi="Arial" w:cs="Arial"/>
          <w:i/>
          <w:sz w:val="20"/>
          <w:szCs w:val="20"/>
          <w:u w:val="single"/>
        </w:rPr>
      </w:pPr>
      <w:r w:rsidRPr="0039268C">
        <w:rPr>
          <w:rFonts w:ascii="Arial" w:hAnsi="Arial" w:cs="Arial"/>
          <w:sz w:val="20"/>
          <w:szCs w:val="20"/>
        </w:rPr>
        <w:t>V období roku 2012 koordinátor zabezpečoval celý rad úloh súvisiacich s implementáciou HP TUR:</w:t>
      </w:r>
    </w:p>
    <w:p w:rsidR="00055361" w:rsidRPr="0039268C" w:rsidRDefault="00055361" w:rsidP="00507035">
      <w:pPr>
        <w:spacing w:before="120" w:after="120" w:line="360" w:lineRule="auto"/>
        <w:jc w:val="both"/>
        <w:rPr>
          <w:rFonts w:ascii="Arial" w:hAnsi="Arial" w:cs="Arial"/>
          <w:b/>
          <w:i/>
          <w:sz w:val="20"/>
          <w:szCs w:val="20"/>
        </w:rPr>
      </w:pPr>
      <w:r w:rsidRPr="0039268C">
        <w:rPr>
          <w:rFonts w:ascii="Arial" w:hAnsi="Arial" w:cs="Arial"/>
          <w:b/>
          <w:i/>
          <w:sz w:val="20"/>
          <w:szCs w:val="20"/>
        </w:rPr>
        <w:t>koordinačná a metodická činnosť</w:t>
      </w:r>
    </w:p>
    <w:p w:rsidR="00055361" w:rsidRPr="0039268C" w:rsidRDefault="00055361" w:rsidP="001540E7">
      <w:pPr>
        <w:numPr>
          <w:ilvl w:val="0"/>
          <w:numId w:val="58"/>
        </w:numPr>
        <w:tabs>
          <w:tab w:val="clear" w:pos="720"/>
          <w:tab w:val="num" w:pos="360"/>
        </w:tabs>
        <w:spacing w:line="360" w:lineRule="auto"/>
        <w:ind w:left="357" w:hanging="357"/>
        <w:jc w:val="both"/>
        <w:rPr>
          <w:rFonts w:ascii="Arial" w:hAnsi="Arial" w:cs="Arial"/>
          <w:sz w:val="20"/>
          <w:szCs w:val="20"/>
        </w:rPr>
      </w:pPr>
      <w:r w:rsidRPr="0039268C">
        <w:rPr>
          <w:rFonts w:ascii="Arial" w:hAnsi="Arial" w:cs="Arial"/>
          <w:sz w:val="20"/>
          <w:szCs w:val="20"/>
        </w:rPr>
        <w:t>priebežne poskytoval metodické vedenie, poradenstvo a konzultácie pre RO v súvislosti s implementáciou HP TUR</w:t>
      </w:r>
      <w:r w:rsidR="00376114">
        <w:rPr>
          <w:rFonts w:ascii="Arial" w:hAnsi="Arial" w:cs="Arial"/>
          <w:sz w:val="20"/>
          <w:szCs w:val="20"/>
        </w:rPr>
        <w:t>;</w:t>
      </w:r>
    </w:p>
    <w:p w:rsidR="00055361" w:rsidRPr="0039268C" w:rsidRDefault="00055361" w:rsidP="001540E7">
      <w:pPr>
        <w:numPr>
          <w:ilvl w:val="0"/>
          <w:numId w:val="58"/>
        </w:numPr>
        <w:tabs>
          <w:tab w:val="clear" w:pos="720"/>
          <w:tab w:val="num" w:pos="360"/>
        </w:tabs>
        <w:spacing w:line="360" w:lineRule="auto"/>
        <w:ind w:left="357" w:hanging="357"/>
        <w:jc w:val="both"/>
        <w:rPr>
          <w:rFonts w:ascii="Arial" w:hAnsi="Arial" w:cs="Arial"/>
          <w:sz w:val="20"/>
          <w:szCs w:val="20"/>
        </w:rPr>
      </w:pPr>
      <w:r w:rsidRPr="0039268C">
        <w:rPr>
          <w:rFonts w:ascii="Arial" w:hAnsi="Arial" w:cs="Arial"/>
          <w:sz w:val="20"/>
          <w:szCs w:val="20"/>
        </w:rPr>
        <w:t>aktualizoval Systém koordinácie implementácie HP TUR (verzia 6.2 platná od 1. 8. 2012)</w:t>
      </w:r>
      <w:r w:rsidR="00376114">
        <w:rPr>
          <w:rFonts w:ascii="Arial" w:hAnsi="Arial" w:cs="Arial"/>
          <w:sz w:val="20"/>
          <w:szCs w:val="20"/>
        </w:rPr>
        <w:t>;</w:t>
      </w:r>
      <w:r w:rsidRPr="0039268C">
        <w:rPr>
          <w:rFonts w:ascii="Arial" w:hAnsi="Arial" w:cs="Arial"/>
          <w:sz w:val="20"/>
          <w:szCs w:val="20"/>
        </w:rPr>
        <w:t xml:space="preserve">  </w:t>
      </w:r>
    </w:p>
    <w:p w:rsidR="00055361" w:rsidRPr="0039268C" w:rsidRDefault="00055361" w:rsidP="001540E7">
      <w:pPr>
        <w:numPr>
          <w:ilvl w:val="0"/>
          <w:numId w:val="58"/>
        </w:numPr>
        <w:tabs>
          <w:tab w:val="clear" w:pos="720"/>
          <w:tab w:val="num" w:pos="360"/>
        </w:tabs>
        <w:spacing w:line="360" w:lineRule="auto"/>
        <w:ind w:left="357" w:hanging="357"/>
        <w:jc w:val="both"/>
        <w:rPr>
          <w:rFonts w:ascii="Arial" w:hAnsi="Arial" w:cs="Arial"/>
          <w:sz w:val="20"/>
          <w:szCs w:val="20"/>
        </w:rPr>
      </w:pPr>
      <w:r w:rsidRPr="0039268C">
        <w:rPr>
          <w:rFonts w:ascii="Arial" w:hAnsi="Arial" w:cs="Arial"/>
          <w:sz w:val="20"/>
          <w:szCs w:val="20"/>
        </w:rPr>
        <w:t>priebežne sa vyjadroval k návrhom revízií OP a ich programových manuálov</w:t>
      </w:r>
      <w:r w:rsidR="00376114">
        <w:rPr>
          <w:rFonts w:ascii="Arial" w:hAnsi="Arial" w:cs="Arial"/>
          <w:sz w:val="20"/>
          <w:szCs w:val="20"/>
        </w:rPr>
        <w:t>;</w:t>
      </w:r>
      <w:r w:rsidRPr="0039268C">
        <w:rPr>
          <w:rFonts w:ascii="Arial" w:hAnsi="Arial" w:cs="Arial"/>
          <w:sz w:val="20"/>
          <w:szCs w:val="20"/>
        </w:rPr>
        <w:t xml:space="preserve"> </w:t>
      </w:r>
    </w:p>
    <w:p w:rsidR="00055361" w:rsidRPr="0039268C" w:rsidRDefault="00055361" w:rsidP="001540E7">
      <w:pPr>
        <w:numPr>
          <w:ilvl w:val="0"/>
          <w:numId w:val="58"/>
        </w:numPr>
        <w:tabs>
          <w:tab w:val="clear" w:pos="720"/>
          <w:tab w:val="num" w:pos="360"/>
        </w:tabs>
        <w:spacing w:line="360" w:lineRule="auto"/>
        <w:ind w:left="357" w:hanging="357"/>
        <w:jc w:val="both"/>
        <w:rPr>
          <w:rFonts w:ascii="Arial" w:hAnsi="Arial" w:cs="Arial"/>
          <w:sz w:val="20"/>
          <w:szCs w:val="20"/>
        </w:rPr>
      </w:pPr>
      <w:r w:rsidRPr="0039268C">
        <w:rPr>
          <w:rFonts w:ascii="Arial" w:hAnsi="Arial" w:cs="Arial"/>
          <w:sz w:val="20"/>
          <w:szCs w:val="20"/>
        </w:rPr>
        <w:t>pripomienkoval celý rad dokumentov CKO a jednotlivých RO OP nad rámec vyššie citovaných dokumentov (napr. aktualizácia systému riadenia ŠF a KF, odpočet plnenia Joint Road Map, ex ante kondiconality v návrhu všeobecného nariadenia pre programové obdobie 2014-2020,</w:t>
      </w:r>
      <w:r w:rsidRPr="0039268C">
        <w:rPr>
          <w:rFonts w:ascii="Arial" w:hAnsi="Arial" w:cs="Arial"/>
          <w:bCs/>
          <w:sz w:val="20"/>
          <w:szCs w:val="20"/>
        </w:rPr>
        <w:t xml:space="preserve"> </w:t>
      </w:r>
      <w:r w:rsidRPr="0039268C">
        <w:rPr>
          <w:rFonts w:ascii="Arial" w:hAnsi="Arial" w:cs="Arial"/>
          <w:sz w:val="20"/>
          <w:szCs w:val="20"/>
        </w:rPr>
        <w:t>materiál CKO Návrh základných princípov na prípravu Partnerskej dohody na programové obdobie 2014 - 2020,  Informácia o postupe prác pri negociačnom procese k návrhom legislatívnych predpisov a strategických dokumentov EÚ a SR k politike súdržnosti,  Hodnotenie kvality kategorizačných údajov a kľúčových ukazovateľov pre EFRR/KF vykazovaných v SFC2007 v nadväznosti na výročné implementačné správy za r. 2011 a prípravu strategickej správy v  r.  2012, návrhy štatútov, atď.)</w:t>
      </w:r>
      <w:r w:rsidR="00376114">
        <w:rPr>
          <w:rFonts w:ascii="Arial" w:hAnsi="Arial" w:cs="Arial"/>
          <w:sz w:val="20"/>
          <w:szCs w:val="20"/>
        </w:rPr>
        <w:t>;</w:t>
      </w:r>
    </w:p>
    <w:p w:rsidR="00055361" w:rsidRPr="0039268C" w:rsidRDefault="00055361" w:rsidP="001540E7">
      <w:pPr>
        <w:numPr>
          <w:ilvl w:val="0"/>
          <w:numId w:val="58"/>
        </w:numPr>
        <w:tabs>
          <w:tab w:val="clear" w:pos="720"/>
          <w:tab w:val="num" w:pos="360"/>
        </w:tabs>
        <w:spacing w:line="360" w:lineRule="auto"/>
        <w:ind w:left="357"/>
        <w:jc w:val="both"/>
        <w:rPr>
          <w:rFonts w:ascii="Arial" w:hAnsi="Arial" w:cs="Arial"/>
          <w:b/>
          <w:i/>
          <w:sz w:val="20"/>
          <w:szCs w:val="20"/>
        </w:rPr>
      </w:pPr>
      <w:r w:rsidRPr="0039268C">
        <w:rPr>
          <w:rFonts w:ascii="Arial" w:hAnsi="Arial" w:cs="Arial"/>
          <w:sz w:val="20"/>
          <w:szCs w:val="20"/>
        </w:rPr>
        <w:t xml:space="preserve">aktívne sa podieľal na práci RKS CKO v súvislosti s prípravou nariadení pre fondy </w:t>
      </w:r>
      <w:r w:rsidR="00376114">
        <w:rPr>
          <w:rFonts w:ascii="Arial" w:hAnsi="Arial" w:cs="Arial"/>
          <w:sz w:val="20"/>
          <w:szCs w:val="20"/>
        </w:rPr>
        <w:t>EÚ na obdobie rokov 2014 – 2020;</w:t>
      </w:r>
    </w:p>
    <w:p w:rsidR="00055361" w:rsidRPr="0039268C" w:rsidRDefault="00055361" w:rsidP="001540E7">
      <w:pPr>
        <w:numPr>
          <w:ilvl w:val="0"/>
          <w:numId w:val="58"/>
        </w:numPr>
        <w:tabs>
          <w:tab w:val="clear" w:pos="720"/>
          <w:tab w:val="num" w:pos="360"/>
        </w:tabs>
        <w:spacing w:line="360" w:lineRule="auto"/>
        <w:ind w:left="357"/>
        <w:jc w:val="both"/>
        <w:rPr>
          <w:rFonts w:ascii="Arial" w:hAnsi="Arial" w:cs="Arial"/>
          <w:b/>
          <w:i/>
          <w:sz w:val="20"/>
          <w:szCs w:val="20"/>
        </w:rPr>
      </w:pPr>
      <w:r w:rsidRPr="0039268C">
        <w:rPr>
          <w:rFonts w:ascii="Arial" w:hAnsi="Arial" w:cs="Arial"/>
          <w:sz w:val="20"/>
          <w:szCs w:val="20"/>
        </w:rPr>
        <w:t>participoval na vytvorení a činnosti Rady vlády SR pre prípravu Partnerskej dohody na roky 2014 – 2020</w:t>
      </w:r>
      <w:r w:rsidR="00376114">
        <w:rPr>
          <w:rFonts w:ascii="Arial" w:hAnsi="Arial" w:cs="Arial"/>
          <w:sz w:val="20"/>
          <w:szCs w:val="20"/>
        </w:rPr>
        <w:t>;</w:t>
      </w:r>
      <w:r w:rsidRPr="0039268C">
        <w:rPr>
          <w:rFonts w:ascii="Arial" w:hAnsi="Arial" w:cs="Arial"/>
          <w:sz w:val="20"/>
          <w:szCs w:val="20"/>
        </w:rPr>
        <w:t xml:space="preserve"> </w:t>
      </w:r>
    </w:p>
    <w:p w:rsidR="00055361" w:rsidRPr="0039268C" w:rsidRDefault="00055361" w:rsidP="001540E7">
      <w:pPr>
        <w:numPr>
          <w:ilvl w:val="0"/>
          <w:numId w:val="58"/>
        </w:numPr>
        <w:tabs>
          <w:tab w:val="clear" w:pos="720"/>
          <w:tab w:val="num" w:pos="360"/>
        </w:tabs>
        <w:spacing w:line="360" w:lineRule="auto"/>
        <w:ind w:left="357"/>
        <w:jc w:val="both"/>
        <w:rPr>
          <w:rFonts w:ascii="Arial" w:hAnsi="Arial" w:cs="Arial"/>
          <w:b/>
          <w:i/>
          <w:sz w:val="20"/>
          <w:szCs w:val="20"/>
        </w:rPr>
      </w:pPr>
      <w:r w:rsidRPr="0039268C">
        <w:rPr>
          <w:rFonts w:ascii="Arial" w:hAnsi="Arial" w:cs="Arial"/>
          <w:sz w:val="20"/>
          <w:szCs w:val="20"/>
        </w:rPr>
        <w:t xml:space="preserve">z pozície výkonného pracoviska jedného z dvoch národných koordinátorov SR sa podieľal na zabezpečovaní implementácie  stratégie Európa 2020 v SR s osobitným dôrazom na priemet stratégie do systému ŠF a KF v rámci obdobia 2007 – 2013 a pri príprave európskych štrukturálnych a investičných fondov budúceho programového obdobia 2014 </w:t>
      </w:r>
      <w:r w:rsidR="00376114">
        <w:rPr>
          <w:rFonts w:ascii="Arial" w:hAnsi="Arial" w:cs="Arial"/>
          <w:sz w:val="20"/>
          <w:szCs w:val="20"/>
        </w:rPr>
        <w:t>–</w:t>
      </w:r>
      <w:r w:rsidRPr="0039268C">
        <w:rPr>
          <w:rFonts w:ascii="Arial" w:hAnsi="Arial" w:cs="Arial"/>
          <w:sz w:val="20"/>
          <w:szCs w:val="20"/>
        </w:rPr>
        <w:t xml:space="preserve"> 2020</w:t>
      </w:r>
      <w:r w:rsidR="00376114">
        <w:rPr>
          <w:rFonts w:ascii="Arial" w:hAnsi="Arial" w:cs="Arial"/>
          <w:sz w:val="20"/>
          <w:szCs w:val="20"/>
        </w:rPr>
        <w:t>;</w:t>
      </w:r>
    </w:p>
    <w:p w:rsidR="00055361" w:rsidRPr="0039268C" w:rsidRDefault="00055361" w:rsidP="001540E7">
      <w:pPr>
        <w:numPr>
          <w:ilvl w:val="0"/>
          <w:numId w:val="58"/>
        </w:numPr>
        <w:tabs>
          <w:tab w:val="clear" w:pos="720"/>
          <w:tab w:val="num" w:pos="360"/>
        </w:tabs>
        <w:spacing w:line="360" w:lineRule="auto"/>
        <w:ind w:left="357"/>
        <w:jc w:val="both"/>
        <w:rPr>
          <w:rFonts w:ascii="Arial" w:hAnsi="Arial" w:cs="Arial"/>
          <w:b/>
          <w:i/>
          <w:sz w:val="20"/>
          <w:szCs w:val="20"/>
        </w:rPr>
      </w:pPr>
      <w:r w:rsidRPr="0039268C">
        <w:rPr>
          <w:rFonts w:ascii="Arial" w:hAnsi="Arial" w:cs="Arial"/>
          <w:sz w:val="20"/>
          <w:szCs w:val="20"/>
        </w:rPr>
        <w:t xml:space="preserve">z pozície národného koordinátora sa podieľal na zabezpečovaní aktivít v rámci stratégie EÚ pre dunajský región v záujme dosiahnutia  strategickejšieho  a integrovanejšieho  prístupu k územnému rozvoju, aplikujúc širší regionálny a makroregionálny - podunajský kontex  s osobitným dôrazom na priemet stratégie do systému  európskych štrukturálnych a investičných </w:t>
      </w:r>
      <w:r w:rsidR="00376114">
        <w:rPr>
          <w:rFonts w:ascii="Arial" w:hAnsi="Arial" w:cs="Arial"/>
          <w:sz w:val="20"/>
          <w:szCs w:val="20"/>
        </w:rPr>
        <w:t>fondov  pre obdobie 2014 – 2020;</w:t>
      </w:r>
    </w:p>
    <w:p w:rsidR="00055361" w:rsidRPr="0039268C" w:rsidRDefault="00055361" w:rsidP="00507035">
      <w:pPr>
        <w:spacing w:before="120" w:after="120" w:line="360" w:lineRule="auto"/>
        <w:ind w:left="360"/>
        <w:jc w:val="both"/>
        <w:rPr>
          <w:rFonts w:ascii="Arial" w:hAnsi="Arial" w:cs="Arial"/>
          <w:b/>
          <w:i/>
          <w:sz w:val="20"/>
          <w:szCs w:val="20"/>
        </w:rPr>
      </w:pPr>
      <w:r w:rsidRPr="0039268C">
        <w:rPr>
          <w:rFonts w:ascii="Arial" w:hAnsi="Arial" w:cs="Arial"/>
          <w:b/>
          <w:i/>
          <w:sz w:val="20"/>
          <w:szCs w:val="20"/>
        </w:rPr>
        <w:t xml:space="preserve">   </w:t>
      </w:r>
    </w:p>
    <w:p w:rsidR="00055361" w:rsidRPr="0039268C" w:rsidRDefault="00055361" w:rsidP="00507035">
      <w:pPr>
        <w:spacing w:before="120" w:after="120" w:line="360" w:lineRule="auto"/>
        <w:jc w:val="both"/>
        <w:rPr>
          <w:rFonts w:ascii="Arial" w:hAnsi="Arial" w:cs="Arial"/>
          <w:b/>
          <w:i/>
          <w:sz w:val="20"/>
          <w:szCs w:val="20"/>
        </w:rPr>
      </w:pPr>
      <w:r w:rsidRPr="0039268C">
        <w:rPr>
          <w:rFonts w:ascii="Arial" w:hAnsi="Arial" w:cs="Arial"/>
          <w:b/>
          <w:i/>
          <w:sz w:val="20"/>
          <w:szCs w:val="20"/>
        </w:rPr>
        <w:t>monitorovanie</w:t>
      </w:r>
    </w:p>
    <w:p w:rsidR="00055361" w:rsidRPr="0039268C" w:rsidRDefault="00055361" w:rsidP="001540E7">
      <w:pPr>
        <w:numPr>
          <w:ilvl w:val="0"/>
          <w:numId w:val="58"/>
        </w:numPr>
        <w:tabs>
          <w:tab w:val="clear" w:pos="720"/>
          <w:tab w:val="num" w:pos="360"/>
        </w:tabs>
        <w:spacing w:line="360" w:lineRule="auto"/>
        <w:ind w:left="357" w:hanging="357"/>
        <w:jc w:val="both"/>
        <w:rPr>
          <w:rFonts w:ascii="Arial" w:hAnsi="Arial" w:cs="Arial"/>
          <w:sz w:val="20"/>
          <w:szCs w:val="20"/>
        </w:rPr>
      </w:pPr>
      <w:r w:rsidRPr="0039268C">
        <w:rPr>
          <w:rFonts w:ascii="Arial" w:hAnsi="Arial" w:cs="Arial"/>
          <w:sz w:val="20"/>
          <w:szCs w:val="20"/>
        </w:rPr>
        <w:t>priebežne sa vyjadroval k dokumentácii výziev v rámci jednotlivých OP so zameraním na súlad informácií so SKI HP TUR (predovšetkým ukazovatele relevancie k HP, hodnotiace a výberové kritériá)</w:t>
      </w:r>
      <w:r w:rsidR="00376114">
        <w:rPr>
          <w:rFonts w:ascii="Arial" w:hAnsi="Arial" w:cs="Arial"/>
          <w:sz w:val="20"/>
          <w:szCs w:val="20"/>
        </w:rPr>
        <w:t>;</w:t>
      </w:r>
    </w:p>
    <w:p w:rsidR="00055361" w:rsidRPr="0039268C" w:rsidRDefault="00055361" w:rsidP="001540E7">
      <w:pPr>
        <w:numPr>
          <w:ilvl w:val="0"/>
          <w:numId w:val="58"/>
        </w:numPr>
        <w:tabs>
          <w:tab w:val="clear" w:pos="720"/>
          <w:tab w:val="num" w:pos="360"/>
        </w:tabs>
        <w:spacing w:line="360" w:lineRule="auto"/>
        <w:ind w:left="357" w:hanging="357"/>
        <w:jc w:val="both"/>
        <w:rPr>
          <w:rFonts w:ascii="Arial" w:hAnsi="Arial" w:cs="Arial"/>
          <w:sz w:val="20"/>
          <w:szCs w:val="20"/>
        </w:rPr>
      </w:pPr>
      <w:r w:rsidRPr="0039268C">
        <w:rPr>
          <w:rFonts w:ascii="Arial" w:hAnsi="Arial" w:cs="Arial"/>
          <w:sz w:val="20"/>
          <w:szCs w:val="20"/>
        </w:rPr>
        <w:t>priebežne monitoroval ŽoNFP a zazmluvnené projekty v rámci jednotlivých OP,  pričom využíval neverejnú časť ITMS (</w:t>
      </w:r>
      <w:r w:rsidR="008F2A89">
        <w:rPr>
          <w:rFonts w:ascii="Arial" w:hAnsi="Arial" w:cs="Arial"/>
          <w:sz w:val="20"/>
          <w:szCs w:val="20"/>
        </w:rPr>
        <w:t>CORE</w:t>
      </w:r>
      <w:r w:rsidRPr="0039268C">
        <w:rPr>
          <w:rFonts w:ascii="Arial" w:hAnsi="Arial" w:cs="Arial"/>
          <w:sz w:val="20"/>
          <w:szCs w:val="20"/>
        </w:rPr>
        <w:t>) a definovanú vizibilitu HP7</w:t>
      </w:r>
      <w:r w:rsidR="00376114">
        <w:rPr>
          <w:rFonts w:ascii="Arial" w:hAnsi="Arial" w:cs="Arial"/>
          <w:sz w:val="20"/>
          <w:szCs w:val="20"/>
        </w:rPr>
        <w:t>;</w:t>
      </w:r>
      <w:r w:rsidRPr="0039268C">
        <w:rPr>
          <w:rFonts w:ascii="Arial" w:hAnsi="Arial" w:cs="Arial"/>
          <w:sz w:val="20"/>
          <w:szCs w:val="20"/>
        </w:rPr>
        <w:t xml:space="preserve"> </w:t>
      </w:r>
    </w:p>
    <w:p w:rsidR="00055361" w:rsidRPr="0039268C" w:rsidRDefault="00055361" w:rsidP="001540E7">
      <w:pPr>
        <w:numPr>
          <w:ilvl w:val="0"/>
          <w:numId w:val="58"/>
        </w:numPr>
        <w:tabs>
          <w:tab w:val="clear" w:pos="720"/>
          <w:tab w:val="num" w:pos="360"/>
        </w:tabs>
        <w:spacing w:line="360" w:lineRule="auto"/>
        <w:ind w:left="357" w:hanging="357"/>
        <w:jc w:val="both"/>
        <w:rPr>
          <w:rFonts w:ascii="Arial" w:hAnsi="Arial" w:cs="Arial"/>
          <w:sz w:val="20"/>
          <w:szCs w:val="20"/>
        </w:rPr>
      </w:pPr>
      <w:r w:rsidRPr="0039268C">
        <w:rPr>
          <w:rFonts w:ascii="Arial" w:hAnsi="Arial" w:cs="Arial"/>
          <w:sz w:val="20"/>
          <w:szCs w:val="20"/>
        </w:rPr>
        <w:t>vypracoval Výročnú správu HP TUR za rok 2011, na čo využil informácie RO, výsledky svojej monitorovacej činnosti a bilaterálne rokovania s príslušnými RO OP zamerané na vzájomné zosúladenie údajov</w:t>
      </w:r>
      <w:r w:rsidR="00376114">
        <w:rPr>
          <w:rFonts w:ascii="Arial" w:hAnsi="Arial" w:cs="Arial"/>
          <w:sz w:val="20"/>
          <w:szCs w:val="20"/>
        </w:rPr>
        <w:t>;</w:t>
      </w:r>
    </w:p>
    <w:p w:rsidR="00055361" w:rsidRPr="0039268C" w:rsidRDefault="00055361" w:rsidP="001540E7">
      <w:pPr>
        <w:numPr>
          <w:ilvl w:val="0"/>
          <w:numId w:val="58"/>
        </w:numPr>
        <w:tabs>
          <w:tab w:val="clear" w:pos="720"/>
          <w:tab w:val="num" w:pos="360"/>
        </w:tabs>
        <w:spacing w:line="360" w:lineRule="auto"/>
        <w:ind w:left="357" w:hanging="357"/>
        <w:jc w:val="both"/>
        <w:rPr>
          <w:rFonts w:ascii="Arial" w:hAnsi="Arial" w:cs="Arial"/>
          <w:sz w:val="20"/>
          <w:szCs w:val="20"/>
        </w:rPr>
      </w:pPr>
      <w:r w:rsidRPr="0039268C">
        <w:rPr>
          <w:rFonts w:ascii="Arial" w:hAnsi="Arial" w:cs="Arial"/>
          <w:sz w:val="20"/>
          <w:szCs w:val="20"/>
        </w:rPr>
        <w:t>vyjadroval sa k návrhom výročných správ jednotlivých OP za rok 2011 z pohľadu zodpovednosti koordinátora HP TUR</w:t>
      </w:r>
      <w:r w:rsidR="00376114">
        <w:rPr>
          <w:rFonts w:ascii="Arial" w:hAnsi="Arial" w:cs="Arial"/>
          <w:sz w:val="20"/>
          <w:szCs w:val="20"/>
        </w:rPr>
        <w:t>;</w:t>
      </w:r>
    </w:p>
    <w:p w:rsidR="00055361" w:rsidRPr="0039268C" w:rsidRDefault="00055361" w:rsidP="001540E7">
      <w:pPr>
        <w:numPr>
          <w:ilvl w:val="0"/>
          <w:numId w:val="58"/>
        </w:numPr>
        <w:tabs>
          <w:tab w:val="clear" w:pos="720"/>
          <w:tab w:val="num" w:pos="360"/>
        </w:tabs>
        <w:spacing w:line="360" w:lineRule="auto"/>
        <w:ind w:left="357" w:hanging="357"/>
        <w:jc w:val="both"/>
        <w:rPr>
          <w:rFonts w:ascii="Arial" w:hAnsi="Arial" w:cs="Arial"/>
          <w:sz w:val="20"/>
          <w:szCs w:val="20"/>
        </w:rPr>
      </w:pPr>
      <w:r w:rsidRPr="0039268C">
        <w:rPr>
          <w:rFonts w:ascii="Arial" w:hAnsi="Arial" w:cs="Arial"/>
          <w:sz w:val="20"/>
          <w:szCs w:val="20"/>
        </w:rPr>
        <w:t>súčasne ako výkonné pracovisko jedného z dvoch národných koordinátorov stratégie Európa 2020  osobitnú pozornosť venoval kapitole o príspevku k Lisabonskému procesu / stratégii Európa 2020 v návrhoch VS OP a poskytol príslušným RO svoje námety na úpravy a doplnenie, hlavne o konkretizáciu vzťahu príslušného OP k jednotlivým atribútom stratégie Európa 2020 – k prioritám, cieľom, hlavným iniciatívam, k integrovaným usmerneniam pre stratégiu, k špecifickým odporúčaniam EÚ pre jednotlivé krajiny, k základnému národnému dokumentu stratégie – Národnému programu reforiem SR, a to aj cez  napĺňanie ukazovateľov a cieľov príslušných OP a cez príklady dobrej praxe</w:t>
      </w:r>
      <w:r w:rsidR="00376114">
        <w:rPr>
          <w:rFonts w:ascii="Arial" w:hAnsi="Arial" w:cs="Arial"/>
          <w:sz w:val="20"/>
          <w:szCs w:val="20"/>
        </w:rPr>
        <w:t>;</w:t>
      </w:r>
    </w:p>
    <w:p w:rsidR="00055361" w:rsidRPr="0039268C" w:rsidRDefault="00055361" w:rsidP="001540E7">
      <w:pPr>
        <w:numPr>
          <w:ilvl w:val="0"/>
          <w:numId w:val="58"/>
        </w:numPr>
        <w:tabs>
          <w:tab w:val="clear" w:pos="720"/>
          <w:tab w:val="num" w:pos="360"/>
        </w:tabs>
        <w:spacing w:line="360" w:lineRule="auto"/>
        <w:ind w:left="357" w:hanging="357"/>
        <w:jc w:val="both"/>
        <w:rPr>
          <w:rFonts w:ascii="Arial" w:hAnsi="Arial" w:cs="Arial"/>
          <w:sz w:val="20"/>
          <w:szCs w:val="20"/>
        </w:rPr>
      </w:pPr>
      <w:r w:rsidRPr="0039268C">
        <w:rPr>
          <w:rFonts w:ascii="Arial" w:hAnsi="Arial" w:cs="Arial"/>
          <w:sz w:val="20"/>
          <w:szCs w:val="20"/>
        </w:rPr>
        <w:t>pripravil podklady do Výročnej správy o vykonávaní NSRR za rok 2011 -  časť horizontálnych priorít, ako aj časti príspevku k Lisabonskej agende / ku stratégii Európa 2020 a časti týkajúcej sa stratégie EÚ pre dunajský región</w:t>
      </w:r>
      <w:r w:rsidR="00376114">
        <w:rPr>
          <w:rFonts w:ascii="Arial" w:hAnsi="Arial" w:cs="Arial"/>
          <w:sz w:val="20"/>
          <w:szCs w:val="20"/>
        </w:rPr>
        <w:t>;</w:t>
      </w:r>
    </w:p>
    <w:p w:rsidR="00055361" w:rsidRPr="0039268C" w:rsidRDefault="00055361" w:rsidP="001540E7">
      <w:pPr>
        <w:numPr>
          <w:ilvl w:val="0"/>
          <w:numId w:val="58"/>
        </w:numPr>
        <w:tabs>
          <w:tab w:val="clear" w:pos="720"/>
          <w:tab w:val="num" w:pos="360"/>
        </w:tabs>
        <w:spacing w:line="360" w:lineRule="auto"/>
        <w:ind w:left="357" w:hanging="357"/>
        <w:jc w:val="both"/>
        <w:rPr>
          <w:rFonts w:ascii="Arial" w:hAnsi="Arial" w:cs="Arial"/>
          <w:sz w:val="20"/>
          <w:szCs w:val="20"/>
        </w:rPr>
      </w:pPr>
      <w:r w:rsidRPr="0039268C">
        <w:rPr>
          <w:rFonts w:ascii="Arial" w:hAnsi="Arial" w:cs="Arial"/>
          <w:sz w:val="20"/>
          <w:szCs w:val="20"/>
        </w:rPr>
        <w:t>zúčastňoval sa zasadnutí monitorovacích výborov jednotlivých OP a Národného monitorovacieho výboru pre NSRR, v rámci ktorých pripomienkoval dokumenty z pohľadu implementácie HP TUR</w:t>
      </w:r>
    </w:p>
    <w:p w:rsidR="00055361" w:rsidRPr="0039268C" w:rsidRDefault="00055361" w:rsidP="001540E7">
      <w:pPr>
        <w:numPr>
          <w:ilvl w:val="0"/>
          <w:numId w:val="58"/>
        </w:numPr>
        <w:tabs>
          <w:tab w:val="clear" w:pos="720"/>
          <w:tab w:val="num" w:pos="360"/>
        </w:tabs>
        <w:spacing w:line="360" w:lineRule="auto"/>
        <w:ind w:left="357"/>
        <w:jc w:val="both"/>
        <w:rPr>
          <w:rFonts w:ascii="Arial" w:hAnsi="Arial" w:cs="Arial"/>
          <w:sz w:val="20"/>
          <w:szCs w:val="20"/>
        </w:rPr>
      </w:pPr>
      <w:r w:rsidRPr="0039268C">
        <w:rPr>
          <w:rFonts w:ascii="Arial" w:hAnsi="Arial" w:cs="Arial"/>
          <w:sz w:val="20"/>
          <w:szCs w:val="20"/>
        </w:rPr>
        <w:t>zúčastňoval sa rokovaní interných d</w:t>
      </w:r>
      <w:r w:rsidR="00376114">
        <w:rPr>
          <w:rFonts w:ascii="Arial" w:hAnsi="Arial" w:cs="Arial"/>
          <w:sz w:val="20"/>
          <w:szCs w:val="20"/>
        </w:rPr>
        <w:t>ozorných monitorovacích výborov.</w:t>
      </w:r>
    </w:p>
    <w:p w:rsidR="00055361" w:rsidRPr="0039268C" w:rsidRDefault="00055361" w:rsidP="00507035">
      <w:pPr>
        <w:spacing w:before="120" w:after="120" w:line="360" w:lineRule="auto"/>
        <w:jc w:val="both"/>
        <w:rPr>
          <w:rFonts w:ascii="Arial" w:hAnsi="Arial" w:cs="Arial"/>
          <w:b/>
          <w:i/>
          <w:sz w:val="20"/>
          <w:szCs w:val="20"/>
        </w:rPr>
      </w:pPr>
      <w:r w:rsidRPr="0039268C">
        <w:rPr>
          <w:rFonts w:ascii="Arial" w:hAnsi="Arial" w:cs="Arial"/>
          <w:b/>
          <w:i/>
          <w:sz w:val="20"/>
          <w:szCs w:val="20"/>
        </w:rPr>
        <w:t>hodnotenie</w:t>
      </w:r>
    </w:p>
    <w:p w:rsidR="00055361" w:rsidRPr="0039268C" w:rsidRDefault="00055361" w:rsidP="001540E7">
      <w:pPr>
        <w:numPr>
          <w:ilvl w:val="0"/>
          <w:numId w:val="58"/>
        </w:numPr>
        <w:tabs>
          <w:tab w:val="clear" w:pos="720"/>
          <w:tab w:val="num" w:pos="360"/>
        </w:tabs>
        <w:spacing w:line="360" w:lineRule="auto"/>
        <w:ind w:left="357" w:hanging="357"/>
        <w:jc w:val="both"/>
        <w:rPr>
          <w:rFonts w:ascii="Arial" w:hAnsi="Arial" w:cs="Arial"/>
          <w:sz w:val="20"/>
          <w:szCs w:val="20"/>
        </w:rPr>
      </w:pPr>
      <w:r w:rsidRPr="0039268C">
        <w:rPr>
          <w:rFonts w:ascii="Arial" w:hAnsi="Arial" w:cs="Arial"/>
          <w:sz w:val="20"/>
          <w:szCs w:val="20"/>
        </w:rPr>
        <w:t>realizoval interné hodnotenie ako súčasť výročnej správy HP TUR, ktoré sa vykonáva priebežne na úrovni každého OP/prioritnej osi/opatrenia a má operatívny charakter</w:t>
      </w:r>
      <w:r w:rsidR="00376114">
        <w:rPr>
          <w:rFonts w:ascii="Arial" w:hAnsi="Arial" w:cs="Arial"/>
          <w:sz w:val="20"/>
          <w:szCs w:val="20"/>
        </w:rPr>
        <w:t>;</w:t>
      </w:r>
    </w:p>
    <w:p w:rsidR="00055361" w:rsidRPr="0039268C" w:rsidRDefault="00055361" w:rsidP="001540E7">
      <w:pPr>
        <w:numPr>
          <w:ilvl w:val="0"/>
          <w:numId w:val="58"/>
        </w:numPr>
        <w:tabs>
          <w:tab w:val="clear" w:pos="720"/>
          <w:tab w:val="num" w:pos="360"/>
        </w:tabs>
        <w:spacing w:line="360" w:lineRule="auto"/>
        <w:ind w:left="357" w:hanging="357"/>
        <w:jc w:val="both"/>
        <w:rPr>
          <w:rFonts w:ascii="Arial" w:hAnsi="Arial" w:cs="Arial"/>
          <w:sz w:val="20"/>
          <w:szCs w:val="20"/>
        </w:rPr>
      </w:pPr>
      <w:r w:rsidRPr="0039268C">
        <w:rPr>
          <w:rFonts w:ascii="Arial" w:hAnsi="Arial" w:cs="Arial"/>
          <w:sz w:val="20"/>
          <w:szCs w:val="20"/>
        </w:rPr>
        <w:t>pripomienkoval námety EK na systém hodnotení v budúcom období 2014 – 2020</w:t>
      </w:r>
      <w:r w:rsidR="00376114">
        <w:rPr>
          <w:rFonts w:ascii="Arial" w:hAnsi="Arial" w:cs="Arial"/>
          <w:sz w:val="20"/>
          <w:szCs w:val="20"/>
        </w:rPr>
        <w:t>;</w:t>
      </w:r>
    </w:p>
    <w:p w:rsidR="00055361" w:rsidRPr="0039268C" w:rsidRDefault="00055361" w:rsidP="001540E7">
      <w:pPr>
        <w:numPr>
          <w:ilvl w:val="0"/>
          <w:numId w:val="58"/>
        </w:numPr>
        <w:tabs>
          <w:tab w:val="clear" w:pos="720"/>
          <w:tab w:val="num" w:pos="360"/>
        </w:tabs>
        <w:spacing w:line="360" w:lineRule="auto"/>
        <w:ind w:left="357" w:hanging="357"/>
        <w:jc w:val="both"/>
        <w:rPr>
          <w:rFonts w:ascii="Arial" w:hAnsi="Arial" w:cs="Arial"/>
          <w:sz w:val="20"/>
          <w:szCs w:val="20"/>
        </w:rPr>
      </w:pPr>
      <w:r w:rsidRPr="0039268C">
        <w:rPr>
          <w:rFonts w:ascii="Arial" w:hAnsi="Arial" w:cs="Arial"/>
          <w:sz w:val="20"/>
          <w:szCs w:val="20"/>
        </w:rPr>
        <w:t xml:space="preserve">aktívne sa zúčastňoval podujatí CKO organizovaných v rámci prípravy systému hodnotenia  v budúcom období 2014 </w:t>
      </w:r>
      <w:r w:rsidR="00376114">
        <w:rPr>
          <w:rFonts w:ascii="Arial" w:hAnsi="Arial" w:cs="Arial"/>
          <w:sz w:val="20"/>
          <w:szCs w:val="20"/>
        </w:rPr>
        <w:t>–</w:t>
      </w:r>
      <w:r w:rsidRPr="0039268C">
        <w:rPr>
          <w:rFonts w:ascii="Arial" w:hAnsi="Arial" w:cs="Arial"/>
          <w:sz w:val="20"/>
          <w:szCs w:val="20"/>
        </w:rPr>
        <w:t xml:space="preserve"> 2020</w:t>
      </w:r>
      <w:r w:rsidR="00376114">
        <w:rPr>
          <w:rFonts w:ascii="Arial" w:hAnsi="Arial" w:cs="Arial"/>
          <w:sz w:val="20"/>
          <w:szCs w:val="20"/>
        </w:rPr>
        <w:t>;</w:t>
      </w:r>
    </w:p>
    <w:p w:rsidR="00376114" w:rsidRDefault="00055361" w:rsidP="001540E7">
      <w:pPr>
        <w:numPr>
          <w:ilvl w:val="0"/>
          <w:numId w:val="58"/>
        </w:numPr>
        <w:tabs>
          <w:tab w:val="clear" w:pos="720"/>
          <w:tab w:val="num" w:pos="360"/>
        </w:tabs>
        <w:spacing w:line="360" w:lineRule="auto"/>
        <w:ind w:left="357"/>
        <w:jc w:val="both"/>
        <w:rPr>
          <w:rFonts w:ascii="Arial" w:hAnsi="Arial" w:cs="Arial"/>
          <w:sz w:val="20"/>
          <w:szCs w:val="20"/>
        </w:rPr>
      </w:pPr>
      <w:r w:rsidRPr="0039268C">
        <w:rPr>
          <w:rFonts w:ascii="Arial" w:hAnsi="Arial" w:cs="Arial"/>
          <w:sz w:val="20"/>
          <w:szCs w:val="20"/>
        </w:rPr>
        <w:t>zúčastňoval sa na pracovných stretnutiach členov pracovnej skupiny pre hodnotenie organizovanej CKO</w:t>
      </w:r>
      <w:r w:rsidR="00376114">
        <w:rPr>
          <w:rFonts w:ascii="Arial" w:hAnsi="Arial" w:cs="Arial"/>
          <w:sz w:val="20"/>
          <w:szCs w:val="20"/>
        </w:rPr>
        <w:t>;</w:t>
      </w:r>
    </w:p>
    <w:p w:rsidR="00376114" w:rsidRDefault="00376114">
      <w:pPr>
        <w:rPr>
          <w:rFonts w:ascii="Arial" w:hAnsi="Arial" w:cs="Arial"/>
          <w:sz w:val="20"/>
          <w:szCs w:val="20"/>
        </w:rPr>
      </w:pPr>
      <w:r>
        <w:rPr>
          <w:rFonts w:ascii="Arial" w:hAnsi="Arial" w:cs="Arial"/>
          <w:sz w:val="20"/>
          <w:szCs w:val="20"/>
        </w:rPr>
        <w:br w:type="page"/>
      </w:r>
    </w:p>
    <w:p w:rsidR="00055361" w:rsidRPr="0039268C" w:rsidRDefault="00055361" w:rsidP="00376114">
      <w:pPr>
        <w:spacing w:line="360" w:lineRule="auto"/>
        <w:ind w:left="357"/>
        <w:jc w:val="both"/>
        <w:rPr>
          <w:rFonts w:ascii="Arial" w:hAnsi="Arial" w:cs="Arial"/>
          <w:sz w:val="20"/>
          <w:szCs w:val="20"/>
        </w:rPr>
      </w:pPr>
    </w:p>
    <w:p w:rsidR="00055361" w:rsidRPr="0039268C" w:rsidRDefault="00055361" w:rsidP="00507035">
      <w:pPr>
        <w:spacing w:before="120" w:after="120" w:line="360" w:lineRule="auto"/>
        <w:jc w:val="both"/>
        <w:rPr>
          <w:rFonts w:ascii="Arial" w:hAnsi="Arial" w:cs="Arial"/>
          <w:b/>
          <w:i/>
          <w:sz w:val="20"/>
          <w:szCs w:val="20"/>
        </w:rPr>
      </w:pPr>
      <w:r w:rsidRPr="0039268C">
        <w:rPr>
          <w:rFonts w:ascii="Arial" w:hAnsi="Arial" w:cs="Arial"/>
          <w:b/>
          <w:i/>
          <w:sz w:val="20"/>
          <w:szCs w:val="20"/>
        </w:rPr>
        <w:t>publicita a informovanosť</w:t>
      </w:r>
    </w:p>
    <w:p w:rsidR="00055361" w:rsidRPr="0039268C" w:rsidRDefault="00055361" w:rsidP="001540E7">
      <w:pPr>
        <w:numPr>
          <w:ilvl w:val="0"/>
          <w:numId w:val="58"/>
        </w:numPr>
        <w:tabs>
          <w:tab w:val="clear" w:pos="720"/>
          <w:tab w:val="num" w:pos="360"/>
        </w:tabs>
        <w:spacing w:line="360" w:lineRule="auto"/>
        <w:ind w:left="363" w:hanging="357"/>
        <w:jc w:val="both"/>
        <w:rPr>
          <w:rFonts w:ascii="Arial" w:hAnsi="Arial" w:cs="Arial"/>
          <w:sz w:val="20"/>
          <w:szCs w:val="20"/>
        </w:rPr>
      </w:pPr>
      <w:r w:rsidRPr="0039268C">
        <w:rPr>
          <w:rFonts w:ascii="Arial" w:hAnsi="Arial" w:cs="Arial"/>
          <w:sz w:val="20"/>
          <w:szCs w:val="20"/>
        </w:rPr>
        <w:t>poskytoval telefonické a písomné informácie o implementácii HP TUR pre CKO, RO, SORO, koordinátorov HP VÚC a prijímate</w:t>
      </w:r>
      <w:r w:rsidR="00376114">
        <w:rPr>
          <w:rFonts w:ascii="Arial" w:hAnsi="Arial" w:cs="Arial"/>
          <w:sz w:val="20"/>
          <w:szCs w:val="20"/>
        </w:rPr>
        <w:t>ľov NFP;</w:t>
      </w:r>
    </w:p>
    <w:p w:rsidR="00055361" w:rsidRDefault="00055361" w:rsidP="001540E7">
      <w:pPr>
        <w:numPr>
          <w:ilvl w:val="0"/>
          <w:numId w:val="58"/>
        </w:numPr>
        <w:tabs>
          <w:tab w:val="clear" w:pos="720"/>
          <w:tab w:val="num" w:pos="360"/>
        </w:tabs>
        <w:spacing w:line="360" w:lineRule="auto"/>
        <w:ind w:left="363" w:hanging="357"/>
        <w:jc w:val="both"/>
        <w:rPr>
          <w:rFonts w:ascii="Arial" w:hAnsi="Arial" w:cs="Arial"/>
          <w:sz w:val="20"/>
          <w:szCs w:val="20"/>
        </w:rPr>
      </w:pPr>
      <w:r w:rsidRPr="0039268C">
        <w:rPr>
          <w:rFonts w:ascii="Arial" w:hAnsi="Arial" w:cs="Arial"/>
          <w:sz w:val="20"/>
          <w:szCs w:val="20"/>
        </w:rPr>
        <w:t>priebežne aktualizoval informácie a zverejňoval dokumenty týkajúce sa HP TUR, stratégie Európa 2020, Dunajskej stratégie a činnosti Rady vlády SR pre prípravu Partnerskej dohody na roky 2014 – 2020 na svojom webovom sídle</w:t>
      </w:r>
      <w:r w:rsidR="00376114">
        <w:rPr>
          <w:rFonts w:ascii="Arial" w:hAnsi="Arial" w:cs="Arial"/>
          <w:sz w:val="20"/>
          <w:szCs w:val="20"/>
        </w:rPr>
        <w:t>;</w:t>
      </w:r>
    </w:p>
    <w:p w:rsidR="00055361" w:rsidRPr="0039268C" w:rsidRDefault="00055361" w:rsidP="001540E7">
      <w:pPr>
        <w:numPr>
          <w:ilvl w:val="0"/>
          <w:numId w:val="58"/>
        </w:numPr>
        <w:tabs>
          <w:tab w:val="clear" w:pos="720"/>
          <w:tab w:val="num" w:pos="360"/>
        </w:tabs>
        <w:spacing w:line="360" w:lineRule="auto"/>
        <w:ind w:left="363" w:hanging="357"/>
        <w:jc w:val="both"/>
        <w:rPr>
          <w:rFonts w:ascii="Arial" w:hAnsi="Arial" w:cs="Arial"/>
          <w:sz w:val="20"/>
          <w:szCs w:val="20"/>
        </w:rPr>
      </w:pPr>
      <w:r w:rsidRPr="0039268C">
        <w:rPr>
          <w:rFonts w:ascii="Arial" w:hAnsi="Arial" w:cs="Arial"/>
          <w:sz w:val="20"/>
          <w:szCs w:val="20"/>
        </w:rPr>
        <w:t>podieľal sa na činnosti pracovnej skupiny pre publicitu vedenej CKO.</w:t>
      </w:r>
    </w:p>
    <w:p w:rsidR="00055361" w:rsidRDefault="00055361" w:rsidP="00507035">
      <w:pPr>
        <w:spacing w:before="120" w:after="120" w:line="360" w:lineRule="auto"/>
        <w:jc w:val="both"/>
        <w:rPr>
          <w:rFonts w:ascii="Arial" w:hAnsi="Arial" w:cs="Arial"/>
          <w:sz w:val="20"/>
          <w:szCs w:val="20"/>
          <w:lang w:eastAsia="cs-CZ"/>
        </w:rPr>
      </w:pPr>
    </w:p>
    <w:p w:rsidR="001362DC" w:rsidRPr="00491701" w:rsidRDefault="001362DC" w:rsidP="00507035">
      <w:pPr>
        <w:spacing w:before="120" w:after="120" w:line="360" w:lineRule="auto"/>
        <w:jc w:val="both"/>
        <w:rPr>
          <w:rFonts w:ascii="Arial" w:hAnsi="Arial" w:cs="Arial"/>
          <w:sz w:val="20"/>
          <w:szCs w:val="20"/>
          <w:lang w:eastAsia="cs-CZ"/>
        </w:rPr>
      </w:pPr>
      <w:r w:rsidRPr="00491701">
        <w:rPr>
          <w:rFonts w:ascii="Arial" w:hAnsi="Arial" w:cs="Arial"/>
          <w:sz w:val="20"/>
          <w:szCs w:val="20"/>
          <w:lang w:eastAsia="cs-CZ"/>
        </w:rPr>
        <w:t xml:space="preserve">Spomedzi horizontálnych priorít, stanovených na úrovni NSRR SR na roky 2007 – 2013, je vo vzťahu k OP ŽP najviac významnou HP TUR, </w:t>
      </w:r>
      <w:r w:rsidR="00376114">
        <w:rPr>
          <w:rFonts w:ascii="Arial" w:hAnsi="Arial" w:cs="Arial"/>
          <w:sz w:val="20"/>
          <w:szCs w:val="20"/>
          <w:lang w:eastAsia="cs-CZ"/>
        </w:rPr>
        <w:t>s</w:t>
      </w:r>
      <w:r w:rsidRPr="00491701">
        <w:rPr>
          <w:rFonts w:ascii="Arial" w:hAnsi="Arial" w:cs="Arial"/>
          <w:sz w:val="20"/>
          <w:szCs w:val="20"/>
          <w:lang w:eastAsia="cs-CZ"/>
        </w:rPr>
        <w:t xml:space="preserve"> podporou ktorej sú priamo prepojené ciele OP ŽP. Preto aj veľká časť projektov implementovaných v rámci OP ŽP prispieva k napĺňaniu cieľov HP TUR. </w:t>
      </w:r>
    </w:p>
    <w:p w:rsidR="001362DC" w:rsidRPr="00491701" w:rsidRDefault="00376114" w:rsidP="00507035">
      <w:pPr>
        <w:spacing w:before="120" w:after="120" w:line="360" w:lineRule="auto"/>
        <w:jc w:val="both"/>
        <w:rPr>
          <w:rFonts w:ascii="Arial" w:hAnsi="Arial" w:cs="Arial"/>
          <w:sz w:val="20"/>
          <w:szCs w:val="20"/>
          <w:lang w:eastAsia="cs-CZ"/>
        </w:rPr>
      </w:pPr>
      <w:r>
        <w:rPr>
          <w:rFonts w:ascii="Arial" w:hAnsi="Arial" w:cs="Arial"/>
          <w:sz w:val="20"/>
          <w:szCs w:val="20"/>
          <w:lang w:eastAsia="cs-CZ"/>
        </w:rPr>
        <w:t>RO</w:t>
      </w:r>
      <w:r w:rsidR="001362DC" w:rsidRPr="00491701">
        <w:rPr>
          <w:rFonts w:ascii="Arial" w:hAnsi="Arial" w:cs="Arial"/>
          <w:sz w:val="20"/>
          <w:szCs w:val="20"/>
          <w:lang w:eastAsia="cs-CZ"/>
        </w:rPr>
        <w:t xml:space="preserve"> sa prostredníctvom svojho zástupcu aktívne podieľa na činnosti Pracovnej skupiny pre HP TUR (ďalej len „PS pre HP TUR“) , ktorá</w:t>
      </w:r>
      <w:r w:rsidR="001362DC" w:rsidRPr="00491701" w:rsidDel="00971485">
        <w:rPr>
          <w:rFonts w:ascii="Arial" w:hAnsi="Arial" w:cs="Arial"/>
          <w:sz w:val="20"/>
          <w:szCs w:val="20"/>
          <w:lang w:eastAsia="cs-CZ"/>
        </w:rPr>
        <w:t xml:space="preserve"> </w:t>
      </w:r>
      <w:r w:rsidR="001362DC" w:rsidRPr="00491701">
        <w:rPr>
          <w:rFonts w:ascii="Arial" w:hAnsi="Arial" w:cs="Arial"/>
          <w:sz w:val="20"/>
          <w:szCs w:val="20"/>
          <w:lang w:eastAsia="cs-CZ"/>
        </w:rPr>
        <w:t>je pre RO pre OP ŽP (rovnako ako pre riadiace orgány ostatných operačných programov) hlavným nástrojom na</w:t>
      </w:r>
      <w:r w:rsidR="001362DC" w:rsidRPr="00491701" w:rsidDel="00971485">
        <w:rPr>
          <w:rFonts w:ascii="Arial" w:hAnsi="Arial" w:cs="Arial"/>
          <w:sz w:val="20"/>
          <w:szCs w:val="20"/>
          <w:lang w:eastAsia="cs-CZ"/>
        </w:rPr>
        <w:t xml:space="preserve"> </w:t>
      </w:r>
      <w:r w:rsidR="001362DC" w:rsidRPr="00491701">
        <w:rPr>
          <w:rFonts w:ascii="Arial" w:hAnsi="Arial" w:cs="Arial"/>
          <w:sz w:val="20"/>
          <w:szCs w:val="20"/>
          <w:lang w:eastAsia="cs-CZ"/>
        </w:rPr>
        <w:t>zabezpečenie súčinnosti s ÚV SR ako koordinátorom HP TUR pri implementácii tejto horizontálnej priority a zároveň pri jej uplatňovaní v procese riadenia a realizácie OP ŽP. V priebehu roka 201</w:t>
      </w:r>
      <w:r w:rsidR="001362DC">
        <w:rPr>
          <w:rFonts w:ascii="Arial" w:hAnsi="Arial" w:cs="Arial"/>
          <w:sz w:val="20"/>
          <w:szCs w:val="20"/>
          <w:lang w:eastAsia="cs-CZ"/>
        </w:rPr>
        <w:t>2</w:t>
      </w:r>
      <w:r w:rsidR="001362DC" w:rsidRPr="00491701">
        <w:rPr>
          <w:rFonts w:ascii="Arial" w:hAnsi="Arial" w:cs="Arial"/>
          <w:sz w:val="20"/>
          <w:szCs w:val="20"/>
          <w:lang w:eastAsia="cs-CZ"/>
        </w:rPr>
        <w:t xml:space="preserve"> sa zástupca RO pre OP ŽP podieľal na činnosti PS pre HP TUR účasťou na jej zasadnutí, ako aj svojimi stanoviskami v rámci procesu aktualizácie základných dokumentov v oblasti implementácie HP TUR</w:t>
      </w:r>
      <w:r>
        <w:rPr>
          <w:rFonts w:ascii="Arial" w:hAnsi="Arial" w:cs="Arial"/>
          <w:sz w:val="20"/>
          <w:szCs w:val="20"/>
          <w:lang w:eastAsia="cs-CZ"/>
        </w:rPr>
        <w:t xml:space="preserve"> (v tabuľke č. 77)</w:t>
      </w:r>
      <w:r w:rsidR="001362DC" w:rsidRPr="00491701">
        <w:rPr>
          <w:rFonts w:ascii="Arial" w:hAnsi="Arial" w:cs="Arial"/>
          <w:sz w:val="20"/>
          <w:szCs w:val="20"/>
          <w:lang w:eastAsia="cs-CZ"/>
        </w:rPr>
        <w:t>.</w:t>
      </w:r>
    </w:p>
    <w:p w:rsidR="001362DC" w:rsidRPr="00491701" w:rsidRDefault="001362DC" w:rsidP="00507035">
      <w:pPr>
        <w:spacing w:before="120" w:after="120" w:line="360" w:lineRule="auto"/>
        <w:jc w:val="both"/>
        <w:rPr>
          <w:rFonts w:ascii="Arial" w:hAnsi="Arial" w:cs="Arial"/>
          <w:sz w:val="20"/>
          <w:szCs w:val="20"/>
          <w:lang w:eastAsia="cs-CZ"/>
        </w:rPr>
      </w:pPr>
      <w:r w:rsidRPr="00BA1A4F">
        <w:rPr>
          <w:rFonts w:ascii="Arial" w:hAnsi="Arial" w:cs="Arial"/>
          <w:sz w:val="20"/>
          <w:szCs w:val="20"/>
          <w:lang w:eastAsia="cs-CZ"/>
        </w:rPr>
        <w:t>V </w:t>
      </w:r>
      <w:r w:rsidR="00BA1A4F" w:rsidRPr="0039268C">
        <w:rPr>
          <w:rFonts w:ascii="Arial" w:hAnsi="Arial" w:cs="Arial"/>
          <w:sz w:val="20"/>
          <w:szCs w:val="20"/>
          <w:lang w:eastAsia="cs-CZ"/>
        </w:rPr>
        <w:t>roku</w:t>
      </w:r>
      <w:r w:rsidRPr="0039268C">
        <w:rPr>
          <w:rFonts w:ascii="Arial" w:hAnsi="Arial" w:cs="Arial"/>
          <w:sz w:val="20"/>
          <w:szCs w:val="20"/>
          <w:lang w:eastAsia="cs-CZ"/>
        </w:rPr>
        <w:t xml:space="preserve"> 201</w:t>
      </w:r>
      <w:r w:rsidRPr="00BA1A4F">
        <w:rPr>
          <w:rFonts w:ascii="Arial" w:hAnsi="Arial" w:cs="Arial"/>
          <w:sz w:val="20"/>
          <w:szCs w:val="20"/>
          <w:lang w:eastAsia="cs-CZ"/>
        </w:rPr>
        <w:t>2</w:t>
      </w:r>
      <w:r w:rsidRPr="007818E6">
        <w:rPr>
          <w:rFonts w:ascii="Arial" w:hAnsi="Arial" w:cs="Arial"/>
          <w:sz w:val="20"/>
          <w:szCs w:val="20"/>
          <w:lang w:eastAsia="cs-CZ"/>
        </w:rPr>
        <w:t xml:space="preserve"> RO pre OP ŽP vypracoval</w:t>
      </w:r>
      <w:r w:rsidRPr="00BA1A4F">
        <w:rPr>
          <w:rFonts w:ascii="Arial" w:hAnsi="Arial" w:cs="Arial"/>
          <w:sz w:val="20"/>
          <w:szCs w:val="20"/>
          <w:lang w:eastAsia="cs-CZ"/>
        </w:rPr>
        <w:t xml:space="preserve"> a následne predložil koordinátorovi HP TUR Informáciu o príspevku OP ŽP k HP TUR</w:t>
      </w:r>
      <w:r w:rsidRPr="00491701">
        <w:rPr>
          <w:rFonts w:ascii="Arial" w:hAnsi="Arial" w:cs="Arial"/>
          <w:sz w:val="20"/>
          <w:szCs w:val="20"/>
          <w:lang w:eastAsia="cs-CZ"/>
        </w:rPr>
        <w:t>, ako aj Výročnú správu o vykonávaní OP ŽP za rok 201</w:t>
      </w:r>
      <w:r>
        <w:rPr>
          <w:rFonts w:ascii="Arial" w:hAnsi="Arial" w:cs="Arial"/>
          <w:sz w:val="20"/>
          <w:szCs w:val="20"/>
          <w:lang w:eastAsia="cs-CZ"/>
        </w:rPr>
        <w:t>1</w:t>
      </w:r>
      <w:r w:rsidRPr="00491701">
        <w:rPr>
          <w:rFonts w:ascii="Arial" w:hAnsi="Arial" w:cs="Arial"/>
          <w:sz w:val="20"/>
          <w:szCs w:val="20"/>
          <w:lang w:eastAsia="cs-CZ"/>
        </w:rPr>
        <w:t xml:space="preserve"> na pripomienkovanie z pohľadu napĺňania cieľov HP TUR v rámci OP ŽP. Riadiaci orgán pre OP ŽP sa zasa podieľal na pripomienkovaní Výročnej správy HP TUR za rok 201</w:t>
      </w:r>
      <w:r>
        <w:rPr>
          <w:rFonts w:ascii="Arial" w:hAnsi="Arial" w:cs="Arial"/>
          <w:sz w:val="20"/>
          <w:szCs w:val="20"/>
          <w:lang w:eastAsia="cs-CZ"/>
        </w:rPr>
        <w:t>1</w:t>
      </w:r>
      <w:r w:rsidRPr="00491701">
        <w:rPr>
          <w:rFonts w:ascii="Arial" w:hAnsi="Arial" w:cs="Arial"/>
          <w:sz w:val="20"/>
          <w:szCs w:val="20"/>
          <w:lang w:eastAsia="cs-CZ"/>
        </w:rPr>
        <w:t xml:space="preserve">, ktorú vypracoval koordinátor HP TUR na základe podkladov jednotlivých OP, ako aj interných dokumentov koordinátora HP TUR z monitorovania jednotlivých OP z hľadiska projektov relevantných k HP TUR. Výročná správa HP TUR za rok </w:t>
      </w:r>
      <w:r w:rsidR="00376114" w:rsidRPr="00491701">
        <w:rPr>
          <w:rFonts w:ascii="Arial" w:hAnsi="Arial" w:cs="Arial"/>
          <w:sz w:val="20"/>
          <w:szCs w:val="20"/>
          <w:lang w:eastAsia="cs-CZ"/>
        </w:rPr>
        <w:t>201</w:t>
      </w:r>
      <w:r w:rsidR="00376114">
        <w:rPr>
          <w:rFonts w:ascii="Arial" w:hAnsi="Arial" w:cs="Arial"/>
          <w:sz w:val="20"/>
          <w:szCs w:val="20"/>
          <w:lang w:eastAsia="cs-CZ"/>
        </w:rPr>
        <w:t>1</w:t>
      </w:r>
      <w:r w:rsidR="00376114" w:rsidRPr="00491701">
        <w:rPr>
          <w:rFonts w:ascii="Arial" w:hAnsi="Arial" w:cs="Arial"/>
          <w:sz w:val="20"/>
          <w:szCs w:val="20"/>
          <w:lang w:eastAsia="cs-CZ"/>
        </w:rPr>
        <w:t xml:space="preserve"> </w:t>
      </w:r>
      <w:r w:rsidRPr="00491701">
        <w:rPr>
          <w:rFonts w:ascii="Arial" w:hAnsi="Arial" w:cs="Arial"/>
          <w:sz w:val="20"/>
          <w:szCs w:val="20"/>
          <w:lang w:eastAsia="cs-CZ"/>
        </w:rPr>
        <w:t xml:space="preserve">bola koordinátorom HP TUR sfinalizovaná </w:t>
      </w:r>
      <w:r>
        <w:rPr>
          <w:rFonts w:ascii="Arial" w:hAnsi="Arial" w:cs="Arial"/>
          <w:sz w:val="20"/>
          <w:szCs w:val="20"/>
          <w:lang w:eastAsia="cs-CZ"/>
        </w:rPr>
        <w:t xml:space="preserve"> </w:t>
      </w:r>
      <w:r w:rsidRPr="00491701">
        <w:rPr>
          <w:rFonts w:ascii="Arial" w:hAnsi="Arial" w:cs="Arial"/>
          <w:sz w:val="20"/>
          <w:szCs w:val="20"/>
          <w:lang w:eastAsia="cs-CZ"/>
        </w:rPr>
        <w:t xml:space="preserve">a zaslaná riadiacim orgánom OP, CKO a zverejnená na </w:t>
      </w:r>
      <w:r w:rsidR="00376114">
        <w:rPr>
          <w:rFonts w:ascii="Arial" w:hAnsi="Arial" w:cs="Arial"/>
          <w:sz w:val="20"/>
          <w:szCs w:val="20"/>
          <w:lang w:eastAsia="cs-CZ"/>
        </w:rPr>
        <w:t>webovom sídle</w:t>
      </w:r>
      <w:r w:rsidRPr="00491701">
        <w:rPr>
          <w:rFonts w:ascii="Arial" w:hAnsi="Arial" w:cs="Arial"/>
          <w:sz w:val="20"/>
          <w:szCs w:val="20"/>
          <w:lang w:eastAsia="cs-CZ"/>
        </w:rPr>
        <w:t xml:space="preserve"> koordinátora.</w:t>
      </w:r>
    </w:p>
    <w:p w:rsidR="001362DC" w:rsidRPr="00491701" w:rsidRDefault="001362DC" w:rsidP="00507035">
      <w:pPr>
        <w:spacing w:before="120" w:after="120" w:line="360" w:lineRule="auto"/>
        <w:jc w:val="both"/>
        <w:rPr>
          <w:rFonts w:ascii="Arial" w:hAnsi="Arial" w:cs="Arial"/>
          <w:sz w:val="20"/>
          <w:szCs w:val="20"/>
          <w:lang w:eastAsia="cs-CZ"/>
        </w:rPr>
      </w:pPr>
      <w:r w:rsidRPr="00491701">
        <w:rPr>
          <w:rFonts w:ascii="Arial" w:hAnsi="Arial" w:cs="Arial"/>
          <w:sz w:val="20"/>
          <w:szCs w:val="20"/>
          <w:lang w:eastAsia="cs-CZ"/>
        </w:rPr>
        <w:t xml:space="preserve">Koordinátor HP TUR sa v sledovanom období zúčastňoval taktiež na zasadnutiach Monitorovacieho výboru pre OP ŽP, v rámci ktorých pripomienkoval prerokúvané podklady z pohľadu implementácie HP TUR, vrátane návrhu úprav hodnotiacich a výberových kritérií. </w:t>
      </w:r>
    </w:p>
    <w:p w:rsidR="001362DC" w:rsidRPr="00491701" w:rsidRDefault="001362DC" w:rsidP="00507035">
      <w:pPr>
        <w:spacing w:before="120" w:after="120" w:line="360" w:lineRule="auto"/>
        <w:jc w:val="both"/>
        <w:rPr>
          <w:rFonts w:ascii="Arial" w:hAnsi="Arial" w:cs="Arial"/>
          <w:sz w:val="20"/>
          <w:szCs w:val="20"/>
          <w:lang w:eastAsia="cs-CZ"/>
        </w:rPr>
      </w:pPr>
      <w:r w:rsidRPr="00491701">
        <w:rPr>
          <w:rFonts w:ascii="Arial" w:hAnsi="Arial" w:cs="Arial"/>
          <w:sz w:val="20"/>
          <w:szCs w:val="20"/>
          <w:lang w:eastAsia="cs-CZ"/>
        </w:rPr>
        <w:t xml:space="preserve">Pri charakteristike </w:t>
      </w:r>
      <w:r w:rsidRPr="00491701">
        <w:rPr>
          <w:rFonts w:ascii="Arial" w:hAnsi="Arial" w:cs="Arial"/>
          <w:sz w:val="20"/>
          <w:szCs w:val="20"/>
          <w:u w:val="single"/>
          <w:lang w:eastAsia="cs-CZ"/>
        </w:rPr>
        <w:t>príspevku OP ŽP k plneniu cieľov a ukazovateľov HP TUR ako horizontálnej priority NSRR SR na roky 2007 – 2013</w:t>
      </w:r>
      <w:r w:rsidRPr="00491701">
        <w:rPr>
          <w:rFonts w:ascii="Arial" w:hAnsi="Arial" w:cs="Arial"/>
          <w:sz w:val="20"/>
          <w:szCs w:val="20"/>
          <w:lang w:eastAsia="cs-CZ"/>
        </w:rPr>
        <w:t xml:space="preserve"> riadiaci orgán pre OP ŽP vychádza z charakteristiky cieľa HP TUR v kap. 4.3.5 NSRR, v súlade s ktorou je cieľom HP TUR zabezpečiť, aby výsledný efekt všetkých intervencií financovaných v rámci NSRR synergicky podporoval trvalo udržateľný rozvoj vo všetkých jeho zložkách, t.j. v environmentálnej, ekonomickej a sociálnej zložke v súlade s cieľmi Obnovenej stratégie EÚ pre trvalo udržateľný rozvoj.</w:t>
      </w:r>
    </w:p>
    <w:p w:rsidR="001362DC" w:rsidRPr="00491701" w:rsidRDefault="001362DC" w:rsidP="00507035">
      <w:pPr>
        <w:spacing w:before="120" w:after="120" w:line="360" w:lineRule="auto"/>
        <w:jc w:val="both"/>
        <w:rPr>
          <w:rFonts w:ascii="Arial" w:hAnsi="Arial" w:cs="Arial"/>
          <w:sz w:val="20"/>
          <w:szCs w:val="20"/>
          <w:lang w:eastAsia="cs-CZ"/>
        </w:rPr>
      </w:pPr>
      <w:r w:rsidRPr="00491701">
        <w:rPr>
          <w:rFonts w:ascii="Arial" w:hAnsi="Arial" w:cs="Arial"/>
          <w:sz w:val="20"/>
          <w:szCs w:val="20"/>
          <w:lang w:eastAsia="cs-CZ"/>
        </w:rPr>
        <w:t xml:space="preserve">Z koncepčného hľadiska implementácia HP TUR vychádza zo strategických dokumentov EÚ v tejto oblasti. Je to predovšetkým </w:t>
      </w:r>
      <w:r w:rsidRPr="00491701">
        <w:rPr>
          <w:rFonts w:ascii="Arial" w:hAnsi="Arial" w:cs="Arial"/>
          <w:bCs/>
          <w:i/>
          <w:sz w:val="20"/>
          <w:szCs w:val="20"/>
          <w:lang w:eastAsia="cs-CZ"/>
        </w:rPr>
        <w:t>Obnovená stratégia EÚ pre trvalo udržateľný rozvoj,</w:t>
      </w:r>
      <w:r w:rsidRPr="00491701">
        <w:rPr>
          <w:rFonts w:ascii="Arial" w:hAnsi="Arial" w:cs="Arial"/>
          <w:b/>
          <w:bCs/>
          <w:sz w:val="20"/>
          <w:szCs w:val="20"/>
          <w:lang w:eastAsia="cs-CZ"/>
        </w:rPr>
        <w:t xml:space="preserve"> </w:t>
      </w:r>
      <w:r w:rsidRPr="00491701">
        <w:rPr>
          <w:rFonts w:ascii="Arial" w:hAnsi="Arial" w:cs="Arial"/>
          <w:bCs/>
          <w:sz w:val="20"/>
          <w:szCs w:val="20"/>
          <w:lang w:eastAsia="cs-CZ"/>
        </w:rPr>
        <w:t xml:space="preserve">ktorá bola na úrovni EÚ schválená v r. 2006 ako aktualizácia Stratégie EÚ pre trvalo udržateľný rozvoj, schválenej v r. 2001. </w:t>
      </w:r>
      <w:r w:rsidRPr="00491701">
        <w:rPr>
          <w:rFonts w:ascii="Arial" w:hAnsi="Arial" w:cs="Arial"/>
          <w:sz w:val="20"/>
          <w:szCs w:val="20"/>
          <w:lang w:eastAsia="cs-CZ"/>
        </w:rPr>
        <w:t xml:space="preserve">V rámci nej boli zadefinované hlavné ciele EÚ v oblasti TUR, pričom ako prioritné témy boli stanovené: </w:t>
      </w:r>
    </w:p>
    <w:p w:rsidR="001362DC" w:rsidRPr="00491701" w:rsidRDefault="001362DC" w:rsidP="00376114">
      <w:pPr>
        <w:spacing w:line="360" w:lineRule="auto"/>
        <w:jc w:val="both"/>
        <w:rPr>
          <w:rFonts w:ascii="Arial" w:hAnsi="Arial" w:cs="Arial"/>
          <w:sz w:val="20"/>
          <w:szCs w:val="20"/>
          <w:lang w:eastAsia="cs-CZ"/>
        </w:rPr>
      </w:pPr>
      <w:r w:rsidRPr="00491701">
        <w:rPr>
          <w:rFonts w:ascii="Arial" w:hAnsi="Arial" w:cs="Arial"/>
          <w:sz w:val="20"/>
          <w:szCs w:val="20"/>
          <w:lang w:eastAsia="cs-CZ"/>
        </w:rPr>
        <w:t xml:space="preserve">- zmena klímy a čistá energia, </w:t>
      </w:r>
    </w:p>
    <w:p w:rsidR="001362DC" w:rsidRPr="00491701" w:rsidRDefault="001362DC" w:rsidP="00376114">
      <w:pPr>
        <w:spacing w:line="360" w:lineRule="auto"/>
        <w:jc w:val="both"/>
        <w:rPr>
          <w:rFonts w:ascii="Arial" w:hAnsi="Arial" w:cs="Arial"/>
          <w:sz w:val="20"/>
          <w:szCs w:val="20"/>
          <w:lang w:eastAsia="cs-CZ"/>
        </w:rPr>
      </w:pPr>
      <w:r w:rsidRPr="00491701">
        <w:rPr>
          <w:rFonts w:ascii="Arial" w:hAnsi="Arial" w:cs="Arial"/>
          <w:sz w:val="20"/>
          <w:szCs w:val="20"/>
          <w:lang w:eastAsia="cs-CZ"/>
        </w:rPr>
        <w:t xml:space="preserve">- trvalo udržateľná doprava, </w:t>
      </w:r>
    </w:p>
    <w:p w:rsidR="001362DC" w:rsidRPr="00491701" w:rsidRDefault="001362DC" w:rsidP="00376114">
      <w:pPr>
        <w:spacing w:line="360" w:lineRule="auto"/>
        <w:jc w:val="both"/>
        <w:rPr>
          <w:rFonts w:ascii="Arial" w:hAnsi="Arial" w:cs="Arial"/>
          <w:sz w:val="20"/>
          <w:szCs w:val="20"/>
          <w:lang w:eastAsia="cs-CZ"/>
        </w:rPr>
      </w:pPr>
      <w:r w:rsidRPr="00491701">
        <w:rPr>
          <w:rFonts w:ascii="Arial" w:hAnsi="Arial" w:cs="Arial"/>
          <w:sz w:val="20"/>
          <w:szCs w:val="20"/>
          <w:lang w:eastAsia="cs-CZ"/>
        </w:rPr>
        <w:t xml:space="preserve">- trvalo udržateľná spotreba a výroba, </w:t>
      </w:r>
    </w:p>
    <w:p w:rsidR="001362DC" w:rsidRPr="00491701" w:rsidRDefault="001362DC" w:rsidP="00376114">
      <w:pPr>
        <w:spacing w:line="360" w:lineRule="auto"/>
        <w:jc w:val="both"/>
        <w:rPr>
          <w:rFonts w:ascii="Arial" w:hAnsi="Arial" w:cs="Arial"/>
          <w:sz w:val="20"/>
          <w:szCs w:val="20"/>
          <w:lang w:eastAsia="cs-CZ"/>
        </w:rPr>
      </w:pPr>
      <w:r w:rsidRPr="00491701">
        <w:rPr>
          <w:rFonts w:ascii="Arial" w:hAnsi="Arial" w:cs="Arial"/>
          <w:sz w:val="20"/>
          <w:szCs w:val="20"/>
          <w:lang w:eastAsia="cs-CZ"/>
        </w:rPr>
        <w:t xml:space="preserve">- zachovanie prírodných zdrojov a hospodárenie s nimi, </w:t>
      </w:r>
    </w:p>
    <w:p w:rsidR="001362DC" w:rsidRPr="00491701" w:rsidRDefault="001362DC" w:rsidP="00376114">
      <w:pPr>
        <w:spacing w:line="360" w:lineRule="auto"/>
        <w:jc w:val="both"/>
        <w:rPr>
          <w:rFonts w:ascii="Arial" w:hAnsi="Arial" w:cs="Arial"/>
          <w:sz w:val="20"/>
          <w:szCs w:val="20"/>
          <w:lang w:eastAsia="cs-CZ"/>
        </w:rPr>
      </w:pPr>
      <w:r w:rsidRPr="00491701">
        <w:rPr>
          <w:rFonts w:ascii="Arial" w:hAnsi="Arial" w:cs="Arial"/>
          <w:sz w:val="20"/>
          <w:szCs w:val="20"/>
          <w:lang w:eastAsia="cs-CZ"/>
        </w:rPr>
        <w:t xml:space="preserve">- verejné zdravie, </w:t>
      </w:r>
    </w:p>
    <w:p w:rsidR="001362DC" w:rsidRPr="00491701" w:rsidRDefault="001362DC" w:rsidP="00376114">
      <w:pPr>
        <w:spacing w:line="360" w:lineRule="auto"/>
        <w:jc w:val="both"/>
        <w:rPr>
          <w:rFonts w:ascii="Arial" w:hAnsi="Arial" w:cs="Arial"/>
          <w:sz w:val="20"/>
          <w:szCs w:val="20"/>
          <w:lang w:eastAsia="cs-CZ"/>
        </w:rPr>
      </w:pPr>
      <w:r w:rsidRPr="00491701">
        <w:rPr>
          <w:rFonts w:ascii="Arial" w:hAnsi="Arial" w:cs="Arial"/>
          <w:sz w:val="20"/>
          <w:szCs w:val="20"/>
          <w:lang w:eastAsia="cs-CZ"/>
        </w:rPr>
        <w:t xml:space="preserve">- sociálne začlenenie, demografia a migrácia, </w:t>
      </w:r>
    </w:p>
    <w:p w:rsidR="001362DC" w:rsidRPr="00491701" w:rsidRDefault="001362DC" w:rsidP="00376114">
      <w:pPr>
        <w:spacing w:line="360" w:lineRule="auto"/>
        <w:jc w:val="both"/>
        <w:rPr>
          <w:rFonts w:ascii="Arial" w:hAnsi="Arial" w:cs="Arial"/>
          <w:sz w:val="20"/>
          <w:szCs w:val="20"/>
          <w:lang w:eastAsia="cs-CZ"/>
        </w:rPr>
      </w:pPr>
      <w:r w:rsidRPr="00491701">
        <w:rPr>
          <w:rFonts w:ascii="Arial" w:hAnsi="Arial" w:cs="Arial"/>
          <w:sz w:val="20"/>
          <w:szCs w:val="20"/>
          <w:lang w:eastAsia="cs-CZ"/>
        </w:rPr>
        <w:t xml:space="preserve">- chudoba vo svete a výzvy trvalo udržateľného rozvoja. </w:t>
      </w:r>
    </w:p>
    <w:p w:rsidR="001362DC" w:rsidRPr="00491701" w:rsidRDefault="001362DC" w:rsidP="00507035">
      <w:pPr>
        <w:spacing w:before="120" w:after="120" w:line="360" w:lineRule="auto"/>
        <w:jc w:val="both"/>
        <w:rPr>
          <w:rFonts w:ascii="Arial" w:hAnsi="Arial" w:cs="Arial"/>
          <w:sz w:val="20"/>
          <w:szCs w:val="20"/>
          <w:lang w:eastAsia="cs-CZ"/>
        </w:rPr>
      </w:pPr>
      <w:r w:rsidRPr="00491701">
        <w:rPr>
          <w:rFonts w:ascii="Arial" w:hAnsi="Arial" w:cs="Arial"/>
          <w:sz w:val="20"/>
          <w:szCs w:val="20"/>
          <w:lang w:eastAsia="cs-CZ"/>
        </w:rPr>
        <w:t>Vo vzťahu k OP ŽP je HP TUR významn</w:t>
      </w:r>
      <w:r w:rsidRPr="00491701" w:rsidDel="00AE22D5">
        <w:rPr>
          <w:rFonts w:ascii="Arial" w:hAnsi="Arial" w:cs="Arial"/>
          <w:sz w:val="20"/>
          <w:szCs w:val="20"/>
          <w:lang w:eastAsia="cs-CZ"/>
        </w:rPr>
        <w:t>ou</w:t>
      </w:r>
      <w:r w:rsidRPr="00491701">
        <w:rPr>
          <w:rFonts w:ascii="Arial" w:hAnsi="Arial" w:cs="Arial"/>
          <w:sz w:val="20"/>
          <w:szCs w:val="20"/>
          <w:lang w:eastAsia="cs-CZ"/>
        </w:rPr>
        <w:t xml:space="preserve"> z hľadiska jeho celkového zamerania i hlavného obsahu, čo priamo vyplýva i z globálneho cieľa OP ŽP, ktorého súčasťou je posilnenie efektívnosti environmentálnej zložky TUR. Prioritné osi OP ŽP prispievajú k ochrane a zlepšeniu stavu jednotlivých zložiek životného prostredia, pričom OP ŽP ako celok prostredníctvom ich podpory prispieva k zachovaniu priaznivého životného prostredia pre budúce generácie.</w:t>
      </w:r>
    </w:p>
    <w:p w:rsidR="001362DC" w:rsidRPr="00491701" w:rsidRDefault="001362DC" w:rsidP="00507035">
      <w:pPr>
        <w:spacing w:before="120" w:after="120" w:line="360" w:lineRule="auto"/>
        <w:jc w:val="both"/>
        <w:rPr>
          <w:rFonts w:ascii="Arial" w:hAnsi="Arial" w:cs="Arial"/>
          <w:sz w:val="20"/>
          <w:szCs w:val="20"/>
          <w:lang w:eastAsia="cs-CZ"/>
        </w:rPr>
      </w:pPr>
      <w:r w:rsidRPr="00491701">
        <w:rPr>
          <w:rFonts w:ascii="Arial" w:hAnsi="Arial" w:cs="Arial"/>
          <w:sz w:val="20"/>
          <w:szCs w:val="20"/>
          <w:lang w:eastAsia="cs-CZ"/>
        </w:rPr>
        <w:t>Napriek tomu, že OP ŽP vzhľadom na jeho vyššie uvedený globálny cieľ, ako aj hlavné obsahové zameranie na plnenie záväzkov SR vyplývajúcich z environmentálneho acquis, prioritne prispieva k posilneniu environmentálneho piliera TUR, aktivity podporované v rámci OP ŽP prispievajú taktiež k realizácii ekonomického a sociálneho aspektu TUR.</w:t>
      </w:r>
    </w:p>
    <w:p w:rsidR="001362DC" w:rsidRPr="00491701" w:rsidRDefault="001362DC" w:rsidP="00507035">
      <w:pPr>
        <w:spacing w:before="120" w:after="120" w:line="360" w:lineRule="auto"/>
        <w:jc w:val="both"/>
        <w:rPr>
          <w:rFonts w:ascii="Arial" w:hAnsi="Arial" w:cs="Arial"/>
          <w:sz w:val="20"/>
          <w:szCs w:val="20"/>
          <w:lang w:eastAsia="cs-CZ"/>
        </w:rPr>
      </w:pPr>
      <w:r w:rsidRPr="00491701">
        <w:rPr>
          <w:rFonts w:ascii="Arial" w:hAnsi="Arial" w:cs="Arial"/>
          <w:sz w:val="20"/>
          <w:szCs w:val="20"/>
          <w:lang w:eastAsia="cs-CZ"/>
        </w:rPr>
        <w:t xml:space="preserve">Vo vzťahu k vyššie uvedeným témam OP ŽP výrazne prispieva k realizácii témy „zmena klímy a čistá energia“, a to najmä v rámci prioritnej osi 3 Ochrana ovzdušia a minimalizácia nepriaznivých vplyvov zmeny klímy. Aktivity, ktorých súčasťou sú opatrenia na zdrojoch znečisťovania ovzdušia (a to nielen inštalácia účinnejších odlučovacích zariadení, desulfurizačných zariadení atď., ale najmä zmena surovinovej základne s cieľom dosiahnuť nižší obsah/vznik emisií znečisťujúcich látok, zmena princípu technológie výroby, ktorej výsledkom je zníženie emisií), ako aj projekty zamerané na dosiahnutie výraznejšie nižších emisií (nad rámec požiadaviek vyplývajúcich zo smerníc EÚ) v porovnaní so štandardným stavom technológií predstavujúcich zdroje znečisťovania ovzdušia smerujú nielen k zlepšeniu kvality ovzdušia, ale zároveň tiež k zavádzaniu environmentálne priaznivých technológií, a tým k podpore udržateľného ekonomického rastu. </w:t>
      </w:r>
    </w:p>
    <w:p w:rsidR="001362DC" w:rsidRPr="00491701" w:rsidRDefault="001362DC" w:rsidP="00507035">
      <w:pPr>
        <w:spacing w:before="120" w:after="120" w:line="360" w:lineRule="auto"/>
        <w:jc w:val="both"/>
        <w:rPr>
          <w:rFonts w:ascii="Arial" w:hAnsi="Arial" w:cs="Arial"/>
          <w:sz w:val="20"/>
          <w:szCs w:val="20"/>
          <w:lang w:eastAsia="cs-CZ"/>
        </w:rPr>
      </w:pPr>
      <w:r w:rsidRPr="00491701">
        <w:rPr>
          <w:rFonts w:ascii="Arial" w:hAnsi="Arial" w:cs="Arial"/>
          <w:sz w:val="20"/>
          <w:szCs w:val="20"/>
          <w:lang w:eastAsia="cs-CZ"/>
        </w:rPr>
        <w:t>Rovnako je tomu aj v prípade aktivít zameraných na znižovanie emisií skleníkových plynov spolu so znižovaním emisií základných znečisťujúcich látok v oblasti výroby tepla, vrátane zmeny palivovej základne energetických zdrojov v prospech využívania obnoviteľných zdrojov energie.</w:t>
      </w:r>
    </w:p>
    <w:p w:rsidR="001362DC" w:rsidRPr="00491701" w:rsidRDefault="001362DC" w:rsidP="00507035">
      <w:pPr>
        <w:spacing w:before="120" w:after="120" w:line="360" w:lineRule="auto"/>
        <w:jc w:val="both"/>
        <w:rPr>
          <w:rFonts w:ascii="Arial" w:hAnsi="Arial" w:cs="Arial"/>
          <w:sz w:val="20"/>
          <w:szCs w:val="20"/>
          <w:lang w:eastAsia="cs-CZ"/>
        </w:rPr>
      </w:pPr>
      <w:r w:rsidRPr="00491701">
        <w:rPr>
          <w:rFonts w:ascii="Arial" w:hAnsi="Arial" w:cs="Arial"/>
          <w:sz w:val="20"/>
          <w:szCs w:val="20"/>
          <w:lang w:eastAsia="cs-CZ"/>
        </w:rPr>
        <w:t>Dôležitou súčasťou príspevku OP ŽP k napĺňaniu HP TUR je tiež príspevok OP ŽP k napĺňaniu horizontálnej priority TUR energetická efektívnosť. Primárne k napĺňaniu uvedenej horizontálnej priority prispievajú projekty v rámci prioritnej osi 3. Ochrana ovzdušia a minimalizácia nepriaznivých vplyvov zmeny klímy, avšak z dôvodu podporiť snahu žiadateľov o zvyšovanie energetickej efektívnosti a dosahovanie energetických úspor sa ukazovatele energetickej efektívnosti sledujú na úrovni viacerých prioritných osí OP ŽP (prioritných osí 1, 3, 4 a 5), keďže ich súčasťou je v určitej miere výstavba budov alebo zariadení.</w:t>
      </w:r>
    </w:p>
    <w:p w:rsidR="001362DC" w:rsidRPr="00491701" w:rsidRDefault="001362DC" w:rsidP="00507035">
      <w:pPr>
        <w:spacing w:before="120" w:after="120" w:line="360" w:lineRule="auto"/>
        <w:jc w:val="both"/>
        <w:rPr>
          <w:rFonts w:ascii="Arial" w:hAnsi="Arial" w:cs="Arial"/>
          <w:sz w:val="20"/>
          <w:szCs w:val="20"/>
          <w:lang w:eastAsia="cs-CZ"/>
        </w:rPr>
      </w:pPr>
      <w:r w:rsidRPr="00491701">
        <w:rPr>
          <w:rFonts w:ascii="Arial" w:hAnsi="Arial" w:cs="Arial"/>
          <w:sz w:val="20"/>
          <w:szCs w:val="20"/>
          <w:lang w:eastAsia="cs-CZ"/>
        </w:rPr>
        <w:t>Prioritná os 3 je zároveň príspevkom k realizácii témy „trvalo udržateľná doprava“, pretože v rámci nej sa podporujú tiež aktivity zamerané na zníženie emisií znečisťujúcich látok z verejnej dopravy (prioritne v oblastiach vyžadujúcich osobitnú ochranu ovzdušia), konkrétne plynofikácia autobusov verejnej dopravy a náhrada autobusovej verejnej dopravy trolejbusovou dopravou alebo električkovou dopravou).</w:t>
      </w:r>
    </w:p>
    <w:p w:rsidR="001362DC" w:rsidRPr="00491701" w:rsidRDefault="001362DC" w:rsidP="00507035">
      <w:pPr>
        <w:spacing w:before="120" w:after="120" w:line="360" w:lineRule="auto"/>
        <w:jc w:val="both"/>
        <w:rPr>
          <w:rFonts w:ascii="Arial" w:hAnsi="Arial" w:cs="Arial"/>
          <w:sz w:val="20"/>
          <w:szCs w:val="20"/>
          <w:lang w:eastAsia="cs-CZ"/>
        </w:rPr>
      </w:pPr>
      <w:r w:rsidRPr="00491701">
        <w:rPr>
          <w:rFonts w:ascii="Arial" w:hAnsi="Arial" w:cs="Arial"/>
          <w:sz w:val="20"/>
          <w:szCs w:val="20"/>
          <w:lang w:eastAsia="cs-CZ"/>
        </w:rPr>
        <w:t>Príspevkom k téme „trvalo udržateľná spotreba a výroba“ sú taktiež aktivity podporované v rámci prioritnej osi 4 Odpadové hospodárstvo, najmä v oblasti separovaného zberu odpadov, zhodnocovania odpadov a nakladania s nebezpečnými odpadmi spôsobom priaznivým pre životné prostredie. Uvedené aktivity majú okrem environmentálnych a výrazné ekonomické efekty, keďže napomáhajú nielen znižovaniu surovinovej náročnosti ekonomiky, ale aj stimulovaniu rozvoja oblasti ekonomickej činnosti odpadové hospodárstvo.</w:t>
      </w:r>
    </w:p>
    <w:p w:rsidR="001362DC" w:rsidRPr="00491701" w:rsidRDefault="001362DC" w:rsidP="00507035">
      <w:pPr>
        <w:spacing w:before="120" w:after="120" w:line="360" w:lineRule="auto"/>
        <w:jc w:val="both"/>
        <w:rPr>
          <w:rFonts w:ascii="Arial" w:hAnsi="Arial" w:cs="Arial"/>
          <w:sz w:val="20"/>
          <w:szCs w:val="20"/>
          <w:lang w:eastAsia="cs-CZ"/>
        </w:rPr>
      </w:pPr>
      <w:r w:rsidRPr="00491701">
        <w:rPr>
          <w:rFonts w:ascii="Arial" w:hAnsi="Arial" w:cs="Arial"/>
          <w:sz w:val="20"/>
          <w:szCs w:val="20"/>
          <w:lang w:eastAsia="cs-CZ"/>
        </w:rPr>
        <w:t xml:space="preserve">Uvedené aktivity predstavujú zároveň príspevok k realizácii témy „zachovanie prírodných zdrojov a hospodárenie s nimi“. S podporou uvedenej témy veľmi úzko súvisí prioritná os 5 Ochrana a regenerácia prírodného prostredia a krajiny. </w:t>
      </w:r>
    </w:p>
    <w:p w:rsidR="00376114" w:rsidRPr="00491701" w:rsidRDefault="001362DC" w:rsidP="00376114">
      <w:pPr>
        <w:spacing w:before="120" w:line="360" w:lineRule="auto"/>
        <w:jc w:val="both"/>
        <w:rPr>
          <w:rFonts w:ascii="Arial" w:hAnsi="Arial" w:cs="Arial"/>
          <w:sz w:val="20"/>
          <w:szCs w:val="20"/>
          <w:lang w:eastAsia="cs-CZ"/>
        </w:rPr>
      </w:pPr>
      <w:r w:rsidRPr="00491701">
        <w:rPr>
          <w:rFonts w:ascii="Arial" w:hAnsi="Arial" w:cs="Arial"/>
          <w:sz w:val="20"/>
          <w:szCs w:val="20"/>
          <w:lang w:eastAsia="cs-CZ"/>
        </w:rPr>
        <w:t>Významným príspevkom nielen k plneniu záväzkov SR vyplývajúcich z environmentálneho acquis, ale tiež k realizácii prioritnej témy „verejné zdravie“ sú aktivity v rámci prioritnej osi 1 Integrovaná ochrana a racionálne využívanie vôd, zamerané na zásobovanie obyvateľstva pitnou vodou z verejných vodovodov, odvádzanie a čistenie komunálnych odpadových vôd, ale aj na zabezpečenie primeraného sledovania a hodnotenia stavu povrchových a podzemných vôd. Prínosom z hľadiska predchádzania ohrozeniu ľudského zdravia a života sú taktiež preventívne opatrenia na ochranu pred povodňami realizované v rámci prioritnej osi 2 Ochrana pred povodňami</w:t>
      </w:r>
      <w:r w:rsidR="00376114">
        <w:rPr>
          <w:rFonts w:ascii="Arial" w:hAnsi="Arial" w:cs="Arial"/>
          <w:sz w:val="20"/>
          <w:szCs w:val="20"/>
          <w:lang w:eastAsia="cs-CZ"/>
        </w:rPr>
        <w:t xml:space="preserve"> </w:t>
      </w:r>
      <w:r w:rsidR="00376114" w:rsidRPr="00376114">
        <w:rPr>
          <w:rFonts w:ascii="Arial" w:hAnsi="Arial" w:cs="Arial"/>
          <w:sz w:val="20"/>
          <w:szCs w:val="20"/>
          <w:lang w:eastAsia="cs-CZ"/>
        </w:rPr>
        <w:t>prioritnej osi 7 Budovanie povodňového varovného a predpovedného systému“.</w:t>
      </w:r>
    </w:p>
    <w:p w:rsidR="001362DC" w:rsidRPr="004B33AE" w:rsidRDefault="001362DC" w:rsidP="00507035">
      <w:pPr>
        <w:spacing w:before="120" w:after="120" w:line="360" w:lineRule="auto"/>
        <w:jc w:val="both"/>
        <w:rPr>
          <w:rFonts w:ascii="Arial" w:hAnsi="Arial" w:cs="Arial"/>
          <w:sz w:val="20"/>
          <w:szCs w:val="20"/>
          <w:lang w:eastAsia="cs-CZ"/>
        </w:rPr>
      </w:pPr>
      <w:r w:rsidRPr="00491701">
        <w:rPr>
          <w:rFonts w:ascii="Arial" w:hAnsi="Arial" w:cs="Arial"/>
          <w:sz w:val="20"/>
          <w:szCs w:val="20"/>
          <w:lang w:eastAsia="cs-CZ"/>
        </w:rPr>
        <w:t>Vybudovanie a skvalitnenie environmentálnej infraštruktúry zároveň výrazne prispieva k realizácii sociálneho aspektu trvalo udržateľného rozvoja. Vybavenosť územia environmentálnou infraštruktúrou zvyšuje jeho atraktívnosť pre obyvateľstvo, zlepšuje podmienky života ľudí, má priaznivý vplyv na zdravotný stav populácie a životnú úroveň.</w:t>
      </w:r>
    </w:p>
    <w:p w:rsidR="00EF0531" w:rsidRDefault="00EF0531">
      <w:pPr>
        <w:rPr>
          <w:rFonts w:ascii="Arial" w:hAnsi="Arial" w:cs="Arial"/>
          <w:sz w:val="20"/>
          <w:szCs w:val="20"/>
          <w:lang w:eastAsia="cs-CZ"/>
        </w:rPr>
      </w:pPr>
      <w:r>
        <w:rPr>
          <w:rFonts w:ascii="Arial" w:hAnsi="Arial" w:cs="Arial"/>
          <w:sz w:val="20"/>
          <w:szCs w:val="20"/>
          <w:lang w:eastAsia="cs-CZ"/>
        </w:rPr>
        <w:br w:type="page"/>
      </w:r>
    </w:p>
    <w:p w:rsidR="001362DC" w:rsidRPr="004B33AE" w:rsidRDefault="001362DC" w:rsidP="00C23FBA">
      <w:pPr>
        <w:spacing w:line="360" w:lineRule="auto"/>
        <w:jc w:val="both"/>
        <w:rPr>
          <w:rFonts w:ascii="Arial" w:hAnsi="Arial" w:cs="Arial"/>
          <w:sz w:val="20"/>
          <w:szCs w:val="20"/>
          <w:lang w:eastAsia="cs-CZ"/>
        </w:rPr>
      </w:pPr>
      <w:r w:rsidRPr="004B33AE">
        <w:rPr>
          <w:rFonts w:ascii="Arial" w:hAnsi="Arial" w:cs="Arial"/>
          <w:sz w:val="20"/>
          <w:szCs w:val="20"/>
          <w:lang w:eastAsia="cs-CZ"/>
        </w:rPr>
        <w:t xml:space="preserve">Tab. č. </w:t>
      </w:r>
      <w:r w:rsidR="00C63470">
        <w:rPr>
          <w:rFonts w:ascii="Arial" w:hAnsi="Arial" w:cs="Arial"/>
          <w:sz w:val="20"/>
          <w:szCs w:val="20"/>
          <w:lang w:eastAsia="cs-CZ"/>
        </w:rPr>
        <w:t>78</w:t>
      </w:r>
      <w:r w:rsidRPr="004B33AE">
        <w:rPr>
          <w:rFonts w:ascii="Arial" w:hAnsi="Arial" w:cs="Arial"/>
          <w:sz w:val="20"/>
          <w:szCs w:val="20"/>
          <w:lang w:eastAsia="cs-CZ"/>
        </w:rPr>
        <w:t xml:space="preserve">: </w:t>
      </w:r>
      <w:r w:rsidRPr="006A2BF3">
        <w:rPr>
          <w:rFonts w:ascii="Arial" w:hAnsi="Arial" w:cs="Arial"/>
          <w:sz w:val="20"/>
          <w:szCs w:val="20"/>
          <w:lang w:eastAsia="cs-CZ"/>
        </w:rPr>
        <w:t xml:space="preserve">Plnenie fyzických ukazovateľov HP TUR </w:t>
      </w:r>
      <w:r>
        <w:rPr>
          <w:rFonts w:ascii="Arial" w:hAnsi="Arial" w:cs="Arial"/>
          <w:sz w:val="20"/>
          <w:szCs w:val="20"/>
          <w:lang w:eastAsia="cs-CZ"/>
        </w:rPr>
        <w:t xml:space="preserve">na úrovni NSRR </w:t>
      </w:r>
      <w:r w:rsidRPr="006A2BF3">
        <w:rPr>
          <w:rFonts w:ascii="Arial" w:hAnsi="Arial" w:cs="Arial"/>
          <w:sz w:val="20"/>
          <w:szCs w:val="20"/>
          <w:lang w:eastAsia="cs-CZ"/>
        </w:rPr>
        <w:t>k 31.12.201</w:t>
      </w:r>
      <w:r>
        <w:rPr>
          <w:rFonts w:ascii="Arial" w:hAnsi="Arial" w:cs="Arial"/>
          <w:sz w:val="20"/>
          <w:szCs w:val="20"/>
          <w:lang w:eastAsia="cs-CZ"/>
        </w:rPr>
        <w:t>2</w:t>
      </w:r>
    </w:p>
    <w:tbl>
      <w:tblPr>
        <w:tblW w:w="5458" w:type="pct"/>
        <w:tblInd w:w="-769" w:type="dxa"/>
        <w:tblLayout w:type="fixed"/>
        <w:tblCellMar>
          <w:left w:w="70" w:type="dxa"/>
          <w:right w:w="70" w:type="dxa"/>
        </w:tblCellMar>
        <w:tblLook w:val="0000" w:firstRow="0" w:lastRow="0" w:firstColumn="0" w:lastColumn="0" w:noHBand="0" w:noVBand="0"/>
      </w:tblPr>
      <w:tblGrid>
        <w:gridCol w:w="1353"/>
        <w:gridCol w:w="1275"/>
        <w:gridCol w:w="706"/>
        <w:gridCol w:w="710"/>
        <w:gridCol w:w="716"/>
        <w:gridCol w:w="708"/>
        <w:gridCol w:w="692"/>
        <w:gridCol w:w="541"/>
        <w:gridCol w:w="541"/>
        <w:gridCol w:w="541"/>
        <w:gridCol w:w="509"/>
        <w:gridCol w:w="1052"/>
        <w:gridCol w:w="710"/>
      </w:tblGrid>
      <w:tr w:rsidR="001362DC" w:rsidRPr="006A2BF3" w:rsidTr="000A5C0F">
        <w:trPr>
          <w:cantSplit/>
          <w:trHeight w:val="20"/>
        </w:trPr>
        <w:tc>
          <w:tcPr>
            <w:tcW w:w="1307" w:type="pct"/>
            <w:gridSpan w:val="2"/>
            <w:tcBorders>
              <w:top w:val="single" w:sz="4" w:space="0" w:color="auto"/>
              <w:left w:val="single" w:sz="4" w:space="0" w:color="auto"/>
              <w:bottom w:val="nil"/>
              <w:right w:val="single" w:sz="4" w:space="0" w:color="000000"/>
            </w:tcBorders>
            <w:shd w:val="clear" w:color="auto" w:fill="D6E3BC"/>
            <w:noWrap/>
            <w:vAlign w:val="center"/>
          </w:tcPr>
          <w:p w:rsidR="001362DC" w:rsidRPr="006A2BF3" w:rsidRDefault="001362DC" w:rsidP="00C23FBA">
            <w:pPr>
              <w:jc w:val="center"/>
              <w:rPr>
                <w:rFonts w:ascii="Arial" w:hAnsi="Arial" w:cs="Arial"/>
                <w:b/>
                <w:bCs/>
                <w:sz w:val="18"/>
                <w:szCs w:val="18"/>
              </w:rPr>
            </w:pPr>
            <w:r w:rsidRPr="006A2BF3">
              <w:rPr>
                <w:rFonts w:ascii="Arial" w:hAnsi="Arial" w:cs="Arial"/>
                <w:b/>
                <w:bCs/>
                <w:sz w:val="18"/>
                <w:szCs w:val="18"/>
              </w:rPr>
              <w:t>Ukazovatele</w:t>
            </w:r>
          </w:p>
        </w:tc>
        <w:tc>
          <w:tcPr>
            <w:tcW w:w="351" w:type="pct"/>
            <w:tcBorders>
              <w:top w:val="single" w:sz="4" w:space="0" w:color="auto"/>
              <w:left w:val="nil"/>
              <w:bottom w:val="nil"/>
              <w:right w:val="single" w:sz="4" w:space="0" w:color="auto"/>
            </w:tcBorders>
            <w:shd w:val="clear" w:color="auto" w:fill="D6E3BC"/>
            <w:noWrap/>
            <w:vAlign w:val="center"/>
          </w:tcPr>
          <w:p w:rsidR="001362DC" w:rsidRPr="006A2BF3" w:rsidRDefault="001362DC" w:rsidP="00C23FBA">
            <w:pPr>
              <w:jc w:val="center"/>
              <w:rPr>
                <w:rFonts w:ascii="Arial" w:hAnsi="Arial" w:cs="Arial"/>
                <w:b/>
                <w:bCs/>
                <w:sz w:val="18"/>
                <w:szCs w:val="18"/>
              </w:rPr>
            </w:pPr>
            <w:r w:rsidRPr="006A2BF3">
              <w:rPr>
                <w:rFonts w:ascii="Arial" w:hAnsi="Arial" w:cs="Arial"/>
                <w:b/>
                <w:bCs/>
                <w:sz w:val="18"/>
                <w:szCs w:val="18"/>
              </w:rPr>
              <w:t>2007</w:t>
            </w:r>
          </w:p>
        </w:tc>
        <w:tc>
          <w:tcPr>
            <w:tcW w:w="353" w:type="pct"/>
            <w:tcBorders>
              <w:top w:val="single" w:sz="4" w:space="0" w:color="auto"/>
              <w:left w:val="nil"/>
              <w:bottom w:val="single" w:sz="4" w:space="0" w:color="auto"/>
              <w:right w:val="single" w:sz="4" w:space="0" w:color="auto"/>
            </w:tcBorders>
            <w:shd w:val="clear" w:color="auto" w:fill="D6E3BC"/>
            <w:noWrap/>
            <w:vAlign w:val="center"/>
          </w:tcPr>
          <w:p w:rsidR="001362DC" w:rsidRPr="006A2BF3" w:rsidRDefault="001362DC" w:rsidP="00C23FBA">
            <w:pPr>
              <w:jc w:val="center"/>
              <w:rPr>
                <w:rFonts w:ascii="Arial" w:hAnsi="Arial" w:cs="Arial"/>
                <w:b/>
                <w:bCs/>
                <w:sz w:val="18"/>
                <w:szCs w:val="18"/>
              </w:rPr>
            </w:pPr>
            <w:r w:rsidRPr="006A2BF3">
              <w:rPr>
                <w:rFonts w:ascii="Arial" w:hAnsi="Arial" w:cs="Arial"/>
                <w:b/>
                <w:bCs/>
                <w:sz w:val="18"/>
                <w:szCs w:val="18"/>
              </w:rPr>
              <w:t>2008</w:t>
            </w:r>
          </w:p>
        </w:tc>
        <w:tc>
          <w:tcPr>
            <w:tcW w:w="356" w:type="pct"/>
            <w:tcBorders>
              <w:top w:val="single" w:sz="4" w:space="0" w:color="auto"/>
              <w:left w:val="nil"/>
              <w:bottom w:val="nil"/>
              <w:right w:val="single" w:sz="4" w:space="0" w:color="auto"/>
            </w:tcBorders>
            <w:shd w:val="clear" w:color="auto" w:fill="D6E3BC"/>
            <w:noWrap/>
            <w:vAlign w:val="center"/>
          </w:tcPr>
          <w:p w:rsidR="001362DC" w:rsidRPr="006A2BF3" w:rsidRDefault="001362DC" w:rsidP="00C23FBA">
            <w:pPr>
              <w:jc w:val="center"/>
              <w:rPr>
                <w:rFonts w:ascii="Arial" w:hAnsi="Arial" w:cs="Arial"/>
                <w:b/>
                <w:bCs/>
                <w:sz w:val="18"/>
                <w:szCs w:val="18"/>
              </w:rPr>
            </w:pPr>
            <w:r w:rsidRPr="006A2BF3">
              <w:rPr>
                <w:rFonts w:ascii="Arial" w:hAnsi="Arial" w:cs="Arial"/>
                <w:b/>
                <w:bCs/>
                <w:sz w:val="18"/>
                <w:szCs w:val="18"/>
              </w:rPr>
              <w:t>2009</w:t>
            </w:r>
          </w:p>
        </w:tc>
        <w:tc>
          <w:tcPr>
            <w:tcW w:w="352" w:type="pct"/>
            <w:tcBorders>
              <w:top w:val="single" w:sz="4" w:space="0" w:color="auto"/>
              <w:left w:val="nil"/>
              <w:bottom w:val="nil"/>
              <w:right w:val="single" w:sz="4" w:space="0" w:color="auto"/>
            </w:tcBorders>
            <w:shd w:val="clear" w:color="auto" w:fill="D6E3BC"/>
            <w:noWrap/>
            <w:vAlign w:val="center"/>
          </w:tcPr>
          <w:p w:rsidR="001362DC" w:rsidRPr="006A2BF3" w:rsidRDefault="001362DC" w:rsidP="00C23FBA">
            <w:pPr>
              <w:jc w:val="center"/>
              <w:rPr>
                <w:rFonts w:ascii="Arial" w:hAnsi="Arial" w:cs="Arial"/>
                <w:b/>
                <w:bCs/>
                <w:sz w:val="18"/>
                <w:szCs w:val="18"/>
              </w:rPr>
            </w:pPr>
            <w:r w:rsidRPr="006A2BF3">
              <w:rPr>
                <w:rFonts w:ascii="Arial" w:hAnsi="Arial" w:cs="Arial"/>
                <w:b/>
                <w:bCs/>
                <w:sz w:val="18"/>
                <w:szCs w:val="18"/>
              </w:rPr>
              <w:t>2010</w:t>
            </w:r>
          </w:p>
        </w:tc>
        <w:tc>
          <w:tcPr>
            <w:tcW w:w="344" w:type="pct"/>
            <w:tcBorders>
              <w:top w:val="single" w:sz="4" w:space="0" w:color="auto"/>
              <w:left w:val="nil"/>
              <w:bottom w:val="nil"/>
              <w:right w:val="single" w:sz="4" w:space="0" w:color="auto"/>
            </w:tcBorders>
            <w:shd w:val="clear" w:color="auto" w:fill="D6E3BC"/>
            <w:noWrap/>
            <w:vAlign w:val="center"/>
          </w:tcPr>
          <w:p w:rsidR="001362DC" w:rsidRPr="006A2BF3" w:rsidRDefault="001362DC" w:rsidP="00C23FBA">
            <w:pPr>
              <w:jc w:val="center"/>
              <w:rPr>
                <w:rFonts w:ascii="Arial" w:hAnsi="Arial" w:cs="Arial"/>
                <w:b/>
                <w:bCs/>
                <w:sz w:val="18"/>
                <w:szCs w:val="18"/>
              </w:rPr>
            </w:pPr>
            <w:r w:rsidRPr="006A2BF3">
              <w:rPr>
                <w:rFonts w:ascii="Arial" w:hAnsi="Arial" w:cs="Arial"/>
                <w:b/>
                <w:bCs/>
                <w:sz w:val="18"/>
                <w:szCs w:val="18"/>
              </w:rPr>
              <w:t>2011</w:t>
            </w:r>
          </w:p>
        </w:tc>
        <w:tc>
          <w:tcPr>
            <w:tcW w:w="269" w:type="pct"/>
            <w:tcBorders>
              <w:top w:val="single" w:sz="4" w:space="0" w:color="auto"/>
              <w:left w:val="nil"/>
              <w:bottom w:val="nil"/>
              <w:right w:val="single" w:sz="4" w:space="0" w:color="auto"/>
            </w:tcBorders>
            <w:shd w:val="clear" w:color="auto" w:fill="D6E3BC"/>
            <w:noWrap/>
            <w:vAlign w:val="center"/>
          </w:tcPr>
          <w:p w:rsidR="001362DC" w:rsidRPr="006A2BF3" w:rsidRDefault="001362DC" w:rsidP="00C23FBA">
            <w:pPr>
              <w:jc w:val="center"/>
              <w:rPr>
                <w:rFonts w:ascii="Arial" w:hAnsi="Arial" w:cs="Arial"/>
                <w:b/>
                <w:bCs/>
                <w:sz w:val="18"/>
                <w:szCs w:val="18"/>
              </w:rPr>
            </w:pPr>
            <w:r w:rsidRPr="006A2BF3">
              <w:rPr>
                <w:rFonts w:ascii="Arial" w:hAnsi="Arial" w:cs="Arial"/>
                <w:b/>
                <w:bCs/>
                <w:sz w:val="18"/>
                <w:szCs w:val="18"/>
              </w:rPr>
              <w:t>2012</w:t>
            </w:r>
          </w:p>
        </w:tc>
        <w:tc>
          <w:tcPr>
            <w:tcW w:w="269" w:type="pct"/>
            <w:tcBorders>
              <w:top w:val="single" w:sz="4" w:space="0" w:color="auto"/>
              <w:left w:val="nil"/>
              <w:bottom w:val="nil"/>
              <w:right w:val="single" w:sz="4" w:space="0" w:color="auto"/>
            </w:tcBorders>
            <w:shd w:val="clear" w:color="auto" w:fill="D6E3BC"/>
            <w:noWrap/>
            <w:vAlign w:val="center"/>
          </w:tcPr>
          <w:p w:rsidR="001362DC" w:rsidRPr="006A2BF3" w:rsidRDefault="001362DC" w:rsidP="00C23FBA">
            <w:pPr>
              <w:jc w:val="center"/>
              <w:rPr>
                <w:rFonts w:ascii="Arial" w:hAnsi="Arial" w:cs="Arial"/>
                <w:b/>
                <w:bCs/>
                <w:sz w:val="18"/>
                <w:szCs w:val="18"/>
              </w:rPr>
            </w:pPr>
            <w:r w:rsidRPr="006A2BF3">
              <w:rPr>
                <w:rFonts w:ascii="Arial" w:hAnsi="Arial" w:cs="Arial"/>
                <w:b/>
                <w:bCs/>
                <w:sz w:val="18"/>
                <w:szCs w:val="18"/>
              </w:rPr>
              <w:t>2013</w:t>
            </w:r>
          </w:p>
        </w:tc>
        <w:tc>
          <w:tcPr>
            <w:tcW w:w="269" w:type="pct"/>
            <w:tcBorders>
              <w:top w:val="single" w:sz="4" w:space="0" w:color="auto"/>
              <w:left w:val="nil"/>
              <w:bottom w:val="nil"/>
              <w:right w:val="single" w:sz="4" w:space="0" w:color="auto"/>
            </w:tcBorders>
            <w:shd w:val="clear" w:color="auto" w:fill="D6E3BC"/>
            <w:noWrap/>
            <w:vAlign w:val="center"/>
          </w:tcPr>
          <w:p w:rsidR="001362DC" w:rsidRPr="006A2BF3" w:rsidRDefault="001362DC" w:rsidP="00C23FBA">
            <w:pPr>
              <w:jc w:val="center"/>
              <w:rPr>
                <w:rFonts w:ascii="Arial" w:hAnsi="Arial" w:cs="Arial"/>
                <w:b/>
                <w:bCs/>
                <w:sz w:val="18"/>
                <w:szCs w:val="18"/>
              </w:rPr>
            </w:pPr>
            <w:r w:rsidRPr="006A2BF3">
              <w:rPr>
                <w:rFonts w:ascii="Arial" w:hAnsi="Arial" w:cs="Arial"/>
                <w:b/>
                <w:bCs/>
                <w:sz w:val="18"/>
                <w:szCs w:val="18"/>
              </w:rPr>
              <w:t>2014</w:t>
            </w:r>
          </w:p>
        </w:tc>
        <w:tc>
          <w:tcPr>
            <w:tcW w:w="253" w:type="pct"/>
            <w:tcBorders>
              <w:top w:val="single" w:sz="4" w:space="0" w:color="auto"/>
              <w:left w:val="nil"/>
              <w:bottom w:val="nil"/>
              <w:right w:val="single" w:sz="4" w:space="0" w:color="auto"/>
            </w:tcBorders>
            <w:shd w:val="clear" w:color="auto" w:fill="D6E3BC"/>
            <w:noWrap/>
            <w:vAlign w:val="center"/>
          </w:tcPr>
          <w:p w:rsidR="001362DC" w:rsidRPr="006A2BF3" w:rsidRDefault="001362DC" w:rsidP="00C23FBA">
            <w:pPr>
              <w:jc w:val="center"/>
              <w:rPr>
                <w:rFonts w:ascii="Arial" w:hAnsi="Arial" w:cs="Arial"/>
                <w:b/>
                <w:bCs/>
                <w:sz w:val="18"/>
                <w:szCs w:val="18"/>
              </w:rPr>
            </w:pPr>
            <w:r w:rsidRPr="006A2BF3">
              <w:rPr>
                <w:rFonts w:ascii="Arial" w:hAnsi="Arial" w:cs="Arial"/>
                <w:b/>
                <w:bCs/>
                <w:sz w:val="18"/>
                <w:szCs w:val="18"/>
              </w:rPr>
              <w:t>2015</w:t>
            </w:r>
          </w:p>
        </w:tc>
        <w:tc>
          <w:tcPr>
            <w:tcW w:w="523" w:type="pct"/>
            <w:tcBorders>
              <w:top w:val="single" w:sz="4" w:space="0" w:color="auto"/>
              <w:left w:val="nil"/>
              <w:bottom w:val="nil"/>
              <w:right w:val="single" w:sz="4" w:space="0" w:color="auto"/>
            </w:tcBorders>
            <w:shd w:val="clear" w:color="auto" w:fill="D6E3BC"/>
            <w:noWrap/>
            <w:vAlign w:val="center"/>
          </w:tcPr>
          <w:p w:rsidR="001362DC" w:rsidRPr="006A2BF3" w:rsidRDefault="00376114" w:rsidP="00C23FBA">
            <w:pPr>
              <w:jc w:val="center"/>
              <w:rPr>
                <w:rFonts w:ascii="Arial" w:hAnsi="Arial" w:cs="Arial"/>
                <w:b/>
                <w:bCs/>
                <w:sz w:val="18"/>
                <w:szCs w:val="18"/>
              </w:rPr>
            </w:pPr>
            <w:r>
              <w:rPr>
                <w:rFonts w:ascii="Arial" w:hAnsi="Arial" w:cs="Arial"/>
                <w:b/>
                <w:bCs/>
                <w:sz w:val="18"/>
                <w:szCs w:val="18"/>
              </w:rPr>
              <w:t>Celkom</w:t>
            </w:r>
          </w:p>
        </w:tc>
        <w:tc>
          <w:tcPr>
            <w:tcW w:w="353" w:type="pct"/>
            <w:tcBorders>
              <w:top w:val="single" w:sz="4" w:space="0" w:color="auto"/>
              <w:left w:val="nil"/>
              <w:bottom w:val="nil"/>
              <w:right w:val="single" w:sz="4" w:space="0" w:color="auto"/>
            </w:tcBorders>
            <w:shd w:val="clear" w:color="auto" w:fill="D6E3BC"/>
            <w:noWrap/>
            <w:vAlign w:val="center"/>
          </w:tcPr>
          <w:p w:rsidR="001362DC" w:rsidRPr="006A2BF3" w:rsidRDefault="001362DC" w:rsidP="00C23FBA">
            <w:pPr>
              <w:jc w:val="center"/>
              <w:rPr>
                <w:rFonts w:ascii="Arial" w:hAnsi="Arial" w:cs="Arial"/>
                <w:b/>
                <w:bCs/>
                <w:sz w:val="18"/>
                <w:szCs w:val="18"/>
              </w:rPr>
            </w:pPr>
            <w:r w:rsidRPr="006A2BF3">
              <w:rPr>
                <w:rFonts w:ascii="Arial" w:hAnsi="Arial" w:cs="Arial"/>
                <w:b/>
                <w:bCs/>
                <w:sz w:val="18"/>
                <w:szCs w:val="18"/>
              </w:rPr>
              <w:t>Komentár</w:t>
            </w:r>
          </w:p>
        </w:tc>
      </w:tr>
      <w:tr w:rsidR="001362DC" w:rsidRPr="00EF0531" w:rsidTr="000A5C0F">
        <w:trPr>
          <w:cantSplit/>
          <w:trHeight w:val="20"/>
        </w:trPr>
        <w:tc>
          <w:tcPr>
            <w:tcW w:w="673" w:type="pct"/>
            <w:vMerge w:val="restart"/>
            <w:tcBorders>
              <w:top w:val="single" w:sz="4" w:space="0" w:color="auto"/>
              <w:left w:val="single" w:sz="4" w:space="0" w:color="auto"/>
              <w:bottom w:val="single" w:sz="4" w:space="0" w:color="000000"/>
              <w:right w:val="single" w:sz="4" w:space="0" w:color="auto"/>
            </w:tcBorders>
            <w:shd w:val="clear" w:color="auto" w:fill="EAF1DD"/>
            <w:vAlign w:val="center"/>
          </w:tcPr>
          <w:p w:rsidR="001362DC" w:rsidRPr="00EF0531" w:rsidRDefault="001362DC" w:rsidP="00C23FBA">
            <w:pPr>
              <w:rPr>
                <w:rFonts w:ascii="Arial" w:hAnsi="Arial" w:cs="Arial"/>
                <w:sz w:val="18"/>
                <w:szCs w:val="18"/>
              </w:rPr>
            </w:pPr>
            <w:r w:rsidRPr="00EF0531">
              <w:rPr>
                <w:rFonts w:ascii="Arial" w:hAnsi="Arial" w:cs="Arial"/>
                <w:sz w:val="18"/>
                <w:szCs w:val="18"/>
              </w:rPr>
              <w:t>Emisie skleníkových plynov</w:t>
            </w:r>
            <w:r w:rsidR="00376114" w:rsidRPr="00EF0531">
              <w:rPr>
                <w:rFonts w:ascii="Arial" w:hAnsi="Arial" w:cs="Arial"/>
                <w:sz w:val="18"/>
                <w:szCs w:val="18"/>
              </w:rPr>
              <w:t xml:space="preserve"> (tis. ton CO2 ekv.) kontex</w:t>
            </w:r>
          </w:p>
        </w:tc>
        <w:tc>
          <w:tcPr>
            <w:tcW w:w="634" w:type="pct"/>
            <w:tcBorders>
              <w:top w:val="single" w:sz="4" w:space="0" w:color="auto"/>
              <w:left w:val="nil"/>
              <w:bottom w:val="dotted" w:sz="4" w:space="0" w:color="auto"/>
              <w:right w:val="single" w:sz="4" w:space="0" w:color="auto"/>
            </w:tcBorders>
            <w:noWrap/>
            <w:vAlign w:val="center"/>
          </w:tcPr>
          <w:p w:rsidR="001362DC" w:rsidRPr="00EF0531" w:rsidRDefault="001362DC" w:rsidP="00C23FBA">
            <w:pPr>
              <w:rPr>
                <w:rFonts w:ascii="Arial" w:hAnsi="Arial" w:cs="Arial"/>
                <w:sz w:val="18"/>
                <w:szCs w:val="18"/>
              </w:rPr>
            </w:pPr>
            <w:r w:rsidRPr="00EF0531">
              <w:rPr>
                <w:rFonts w:ascii="Arial" w:hAnsi="Arial" w:cs="Arial"/>
                <w:sz w:val="18"/>
                <w:szCs w:val="18"/>
              </w:rPr>
              <w:t>Dosiahnutý výsledok</w:t>
            </w:r>
          </w:p>
        </w:tc>
        <w:tc>
          <w:tcPr>
            <w:tcW w:w="351" w:type="pct"/>
            <w:tcBorders>
              <w:top w:val="single" w:sz="4" w:space="0" w:color="auto"/>
              <w:left w:val="nil"/>
              <w:bottom w:val="dotted" w:sz="4" w:space="0" w:color="auto"/>
              <w:right w:val="dotted" w:sz="4" w:space="0" w:color="auto"/>
            </w:tcBorders>
            <w:noWrap/>
            <w:vAlign w:val="center"/>
          </w:tcPr>
          <w:p w:rsidR="001362DC" w:rsidRPr="00EF0531" w:rsidRDefault="001362DC" w:rsidP="00C23FBA">
            <w:pPr>
              <w:jc w:val="center"/>
              <w:rPr>
                <w:rFonts w:ascii="Arial" w:hAnsi="Arial" w:cs="Arial"/>
                <w:b/>
                <w:bCs/>
                <w:sz w:val="18"/>
                <w:szCs w:val="18"/>
              </w:rPr>
            </w:pPr>
            <w:r w:rsidRPr="00EF0531">
              <w:rPr>
                <w:rFonts w:ascii="Arial" w:hAnsi="Arial" w:cs="Arial"/>
                <w:b/>
                <w:bCs/>
                <w:sz w:val="18"/>
                <w:szCs w:val="18"/>
              </w:rPr>
              <w:t>41090,4</w:t>
            </w:r>
          </w:p>
        </w:tc>
        <w:tc>
          <w:tcPr>
            <w:tcW w:w="353" w:type="pct"/>
            <w:tcBorders>
              <w:top w:val="nil"/>
              <w:left w:val="nil"/>
              <w:bottom w:val="dotted" w:sz="4" w:space="0" w:color="auto"/>
              <w:right w:val="dotted" w:sz="4" w:space="0" w:color="auto"/>
            </w:tcBorders>
            <w:noWrap/>
            <w:vAlign w:val="center"/>
          </w:tcPr>
          <w:p w:rsidR="001362DC" w:rsidRPr="00EF0531" w:rsidRDefault="001362DC" w:rsidP="00C23FBA">
            <w:pPr>
              <w:jc w:val="center"/>
              <w:rPr>
                <w:rFonts w:ascii="Arial" w:hAnsi="Arial" w:cs="Arial"/>
                <w:b/>
                <w:bCs/>
                <w:sz w:val="18"/>
                <w:szCs w:val="18"/>
              </w:rPr>
            </w:pPr>
            <w:r w:rsidRPr="00EF0531">
              <w:rPr>
                <w:rFonts w:ascii="Arial" w:hAnsi="Arial" w:cs="Arial"/>
                <w:b/>
                <w:bCs/>
                <w:sz w:val="18"/>
                <w:szCs w:val="18"/>
              </w:rPr>
              <w:t>42979,08</w:t>
            </w:r>
          </w:p>
        </w:tc>
        <w:tc>
          <w:tcPr>
            <w:tcW w:w="356" w:type="pct"/>
            <w:tcBorders>
              <w:top w:val="single" w:sz="4" w:space="0" w:color="auto"/>
              <w:left w:val="nil"/>
              <w:bottom w:val="dotted" w:sz="4" w:space="0" w:color="auto"/>
              <w:right w:val="dotted" w:sz="4" w:space="0" w:color="auto"/>
            </w:tcBorders>
            <w:noWrap/>
            <w:vAlign w:val="center"/>
          </w:tcPr>
          <w:p w:rsidR="001362DC" w:rsidRPr="00EF0531" w:rsidRDefault="001362DC" w:rsidP="00C23FBA">
            <w:pPr>
              <w:jc w:val="center"/>
              <w:rPr>
                <w:rFonts w:ascii="Arial" w:hAnsi="Arial" w:cs="Arial"/>
                <w:b/>
                <w:bCs/>
                <w:sz w:val="18"/>
                <w:szCs w:val="18"/>
              </w:rPr>
            </w:pPr>
            <w:r w:rsidRPr="00EF0531">
              <w:rPr>
                <w:rFonts w:ascii="Arial" w:hAnsi="Arial" w:cs="Arial"/>
                <w:b/>
                <w:bCs/>
                <w:sz w:val="18"/>
                <w:szCs w:val="18"/>
              </w:rPr>
              <w:t>36962,53</w:t>
            </w:r>
          </w:p>
        </w:tc>
        <w:tc>
          <w:tcPr>
            <w:tcW w:w="352" w:type="pct"/>
            <w:tcBorders>
              <w:top w:val="single" w:sz="4" w:space="0" w:color="auto"/>
              <w:left w:val="nil"/>
              <w:bottom w:val="dotted" w:sz="4" w:space="0" w:color="auto"/>
              <w:right w:val="dotted" w:sz="4" w:space="0" w:color="auto"/>
            </w:tcBorders>
            <w:noWrap/>
            <w:vAlign w:val="center"/>
          </w:tcPr>
          <w:p w:rsidR="001362DC" w:rsidRPr="00EF0531" w:rsidRDefault="001362DC" w:rsidP="00C23FBA">
            <w:pPr>
              <w:jc w:val="center"/>
              <w:rPr>
                <w:rFonts w:ascii="Arial" w:hAnsi="Arial" w:cs="Arial"/>
                <w:b/>
                <w:iCs/>
                <w:sz w:val="18"/>
                <w:szCs w:val="18"/>
              </w:rPr>
            </w:pPr>
            <w:r w:rsidRPr="00EF0531">
              <w:rPr>
                <w:rFonts w:ascii="Arial" w:hAnsi="Arial" w:cs="Arial"/>
                <w:b/>
                <w:iCs/>
                <w:sz w:val="18"/>
                <w:szCs w:val="18"/>
              </w:rPr>
              <w:t>39893,45</w:t>
            </w:r>
          </w:p>
        </w:tc>
        <w:tc>
          <w:tcPr>
            <w:tcW w:w="344" w:type="pct"/>
            <w:tcBorders>
              <w:top w:val="single" w:sz="4" w:space="0" w:color="auto"/>
              <w:left w:val="nil"/>
              <w:bottom w:val="dotted" w:sz="4" w:space="0" w:color="auto"/>
              <w:right w:val="dotted" w:sz="4" w:space="0" w:color="auto"/>
            </w:tcBorders>
            <w:noWrap/>
            <w:vAlign w:val="center"/>
          </w:tcPr>
          <w:p w:rsidR="001362DC" w:rsidRPr="00EF0531" w:rsidRDefault="001362DC" w:rsidP="00C23FBA">
            <w:pPr>
              <w:jc w:val="center"/>
              <w:rPr>
                <w:rFonts w:ascii="Arial" w:hAnsi="Arial" w:cs="Arial"/>
                <w:i/>
                <w:iCs/>
                <w:sz w:val="18"/>
                <w:szCs w:val="18"/>
              </w:rPr>
            </w:pPr>
            <w:r w:rsidRPr="00EF0531">
              <w:rPr>
                <w:rFonts w:ascii="Arial" w:hAnsi="Arial" w:cs="Arial"/>
                <w:i/>
                <w:iCs/>
                <w:sz w:val="18"/>
                <w:szCs w:val="18"/>
              </w:rPr>
              <w:t>N/A</w:t>
            </w:r>
          </w:p>
        </w:tc>
        <w:tc>
          <w:tcPr>
            <w:tcW w:w="269" w:type="pct"/>
            <w:tcBorders>
              <w:top w:val="single" w:sz="4" w:space="0" w:color="auto"/>
              <w:left w:val="nil"/>
              <w:bottom w:val="dotted" w:sz="4" w:space="0" w:color="auto"/>
              <w:right w:val="dotted" w:sz="4" w:space="0" w:color="auto"/>
            </w:tcBorders>
            <w:noWrap/>
            <w:vAlign w:val="center"/>
          </w:tcPr>
          <w:p w:rsidR="001362DC" w:rsidRPr="00EF0531" w:rsidRDefault="001362DC" w:rsidP="00C23FBA">
            <w:pPr>
              <w:jc w:val="center"/>
              <w:rPr>
                <w:rFonts w:ascii="Arial" w:hAnsi="Arial" w:cs="Arial"/>
                <w:i/>
                <w:iCs/>
                <w:sz w:val="18"/>
                <w:szCs w:val="18"/>
              </w:rPr>
            </w:pPr>
            <w:r w:rsidRPr="00EF0531">
              <w:rPr>
                <w:rFonts w:ascii="Arial" w:hAnsi="Arial" w:cs="Arial"/>
                <w:i/>
                <w:iCs/>
                <w:sz w:val="18"/>
                <w:szCs w:val="18"/>
              </w:rPr>
              <w:t>N/A</w:t>
            </w:r>
          </w:p>
        </w:tc>
        <w:tc>
          <w:tcPr>
            <w:tcW w:w="269" w:type="pct"/>
            <w:tcBorders>
              <w:top w:val="single" w:sz="4" w:space="0" w:color="auto"/>
              <w:left w:val="nil"/>
              <w:bottom w:val="dotted" w:sz="4" w:space="0" w:color="auto"/>
              <w:right w:val="dotted" w:sz="4" w:space="0" w:color="auto"/>
            </w:tcBorders>
            <w:noWrap/>
            <w:vAlign w:val="center"/>
          </w:tcPr>
          <w:p w:rsidR="001362DC" w:rsidRPr="00EF0531" w:rsidRDefault="001362DC" w:rsidP="00C23FBA">
            <w:pPr>
              <w:jc w:val="center"/>
              <w:rPr>
                <w:rFonts w:ascii="Arial" w:hAnsi="Arial" w:cs="Arial"/>
                <w:i/>
                <w:iCs/>
                <w:sz w:val="18"/>
                <w:szCs w:val="18"/>
              </w:rPr>
            </w:pPr>
            <w:r w:rsidRPr="00EF0531">
              <w:rPr>
                <w:rFonts w:ascii="Arial" w:hAnsi="Arial" w:cs="Arial"/>
                <w:i/>
                <w:iCs/>
                <w:sz w:val="18"/>
                <w:szCs w:val="18"/>
              </w:rPr>
              <w:t>N/A</w:t>
            </w:r>
          </w:p>
        </w:tc>
        <w:tc>
          <w:tcPr>
            <w:tcW w:w="269" w:type="pct"/>
            <w:tcBorders>
              <w:top w:val="single" w:sz="4" w:space="0" w:color="auto"/>
              <w:left w:val="nil"/>
              <w:bottom w:val="dotted" w:sz="4" w:space="0" w:color="auto"/>
              <w:right w:val="dotted" w:sz="4" w:space="0" w:color="auto"/>
            </w:tcBorders>
            <w:noWrap/>
            <w:vAlign w:val="center"/>
          </w:tcPr>
          <w:p w:rsidR="001362DC" w:rsidRPr="00EF0531" w:rsidRDefault="001362DC" w:rsidP="00C23FBA">
            <w:pPr>
              <w:jc w:val="center"/>
              <w:rPr>
                <w:rFonts w:ascii="Arial" w:hAnsi="Arial" w:cs="Arial"/>
                <w:i/>
                <w:iCs/>
                <w:sz w:val="18"/>
                <w:szCs w:val="18"/>
              </w:rPr>
            </w:pPr>
            <w:r w:rsidRPr="00EF0531">
              <w:rPr>
                <w:rFonts w:ascii="Arial" w:hAnsi="Arial" w:cs="Arial"/>
                <w:i/>
                <w:iCs/>
                <w:sz w:val="18"/>
                <w:szCs w:val="18"/>
              </w:rPr>
              <w:t>N/A</w:t>
            </w:r>
          </w:p>
        </w:tc>
        <w:tc>
          <w:tcPr>
            <w:tcW w:w="253" w:type="pct"/>
            <w:tcBorders>
              <w:top w:val="single" w:sz="4" w:space="0" w:color="auto"/>
              <w:left w:val="nil"/>
              <w:bottom w:val="dotted" w:sz="4" w:space="0" w:color="auto"/>
              <w:right w:val="dotted" w:sz="4" w:space="0" w:color="auto"/>
            </w:tcBorders>
            <w:noWrap/>
            <w:vAlign w:val="center"/>
          </w:tcPr>
          <w:p w:rsidR="001362DC" w:rsidRPr="00EF0531" w:rsidRDefault="001362DC" w:rsidP="00C23FBA">
            <w:pPr>
              <w:jc w:val="center"/>
              <w:rPr>
                <w:rFonts w:ascii="Arial" w:hAnsi="Arial" w:cs="Arial"/>
                <w:i/>
                <w:iCs/>
                <w:sz w:val="18"/>
                <w:szCs w:val="18"/>
              </w:rPr>
            </w:pPr>
            <w:r w:rsidRPr="00EF0531">
              <w:rPr>
                <w:rFonts w:ascii="Arial" w:hAnsi="Arial" w:cs="Arial"/>
                <w:i/>
                <w:iCs/>
                <w:sz w:val="18"/>
                <w:szCs w:val="18"/>
              </w:rPr>
              <w:t>N/A</w:t>
            </w:r>
          </w:p>
        </w:tc>
        <w:tc>
          <w:tcPr>
            <w:tcW w:w="523" w:type="pct"/>
            <w:tcBorders>
              <w:top w:val="single" w:sz="4" w:space="0" w:color="auto"/>
              <w:left w:val="nil"/>
              <w:bottom w:val="dotted" w:sz="4" w:space="0" w:color="auto"/>
              <w:right w:val="dotted" w:sz="4" w:space="0" w:color="auto"/>
            </w:tcBorders>
            <w:noWrap/>
            <w:vAlign w:val="center"/>
          </w:tcPr>
          <w:p w:rsidR="001362DC" w:rsidRPr="00EF0531" w:rsidRDefault="001362DC" w:rsidP="00C23FBA">
            <w:pPr>
              <w:jc w:val="center"/>
              <w:rPr>
                <w:rFonts w:ascii="Arial" w:hAnsi="Arial" w:cs="Arial"/>
                <w:b/>
                <w:bCs/>
                <w:sz w:val="18"/>
                <w:szCs w:val="18"/>
              </w:rPr>
            </w:pPr>
            <w:r w:rsidRPr="00EF0531">
              <w:rPr>
                <w:rFonts w:ascii="Arial" w:hAnsi="Arial" w:cs="Arial"/>
                <w:b/>
                <w:bCs/>
                <w:sz w:val="18"/>
                <w:szCs w:val="18"/>
              </w:rPr>
              <w:t xml:space="preserve">39 893,45   </w:t>
            </w:r>
          </w:p>
        </w:tc>
        <w:tc>
          <w:tcPr>
            <w:tcW w:w="353" w:type="pct"/>
            <w:tcBorders>
              <w:top w:val="single" w:sz="4" w:space="0" w:color="auto"/>
              <w:left w:val="nil"/>
              <w:bottom w:val="dotted" w:sz="4" w:space="0" w:color="auto"/>
              <w:right w:val="single" w:sz="4" w:space="0" w:color="auto"/>
            </w:tcBorders>
            <w:noWrap/>
            <w:vAlign w:val="center"/>
          </w:tcPr>
          <w:p w:rsidR="001362DC" w:rsidRPr="00EF0531" w:rsidRDefault="00376114" w:rsidP="00C23FBA">
            <w:pPr>
              <w:jc w:val="center"/>
              <w:rPr>
                <w:rFonts w:ascii="Arial" w:hAnsi="Arial" w:cs="Arial"/>
                <w:sz w:val="18"/>
                <w:szCs w:val="18"/>
              </w:rPr>
            </w:pPr>
            <w:r w:rsidRPr="00EF0531">
              <w:rPr>
                <w:sz w:val="16"/>
                <w:szCs w:val="16"/>
              </w:rPr>
              <w:t>Zdroj SHMÚ</w:t>
            </w:r>
            <w:r w:rsidR="001362DC" w:rsidRPr="00EF0531">
              <w:rPr>
                <w:rFonts w:ascii="Arial" w:hAnsi="Arial" w:cs="Arial"/>
                <w:sz w:val="18"/>
                <w:szCs w:val="18"/>
              </w:rPr>
              <w:t> </w:t>
            </w:r>
          </w:p>
        </w:tc>
      </w:tr>
      <w:tr w:rsidR="001362DC" w:rsidRPr="00EF0531" w:rsidTr="000A5C0F">
        <w:trPr>
          <w:cantSplit/>
          <w:trHeight w:val="20"/>
        </w:trPr>
        <w:tc>
          <w:tcPr>
            <w:tcW w:w="673" w:type="pct"/>
            <w:vMerge/>
            <w:tcBorders>
              <w:top w:val="single" w:sz="4" w:space="0" w:color="000000"/>
              <w:left w:val="single" w:sz="4" w:space="0" w:color="auto"/>
              <w:bottom w:val="single" w:sz="4" w:space="0" w:color="000000"/>
              <w:right w:val="single" w:sz="4" w:space="0" w:color="auto"/>
            </w:tcBorders>
            <w:shd w:val="clear" w:color="auto" w:fill="EAF1DD"/>
            <w:vAlign w:val="center"/>
          </w:tcPr>
          <w:p w:rsidR="001362DC" w:rsidRPr="00EF0531" w:rsidRDefault="001362DC" w:rsidP="00C23FBA">
            <w:pPr>
              <w:rPr>
                <w:rFonts w:ascii="Arial" w:hAnsi="Arial" w:cs="Arial"/>
                <w:sz w:val="18"/>
                <w:szCs w:val="18"/>
              </w:rPr>
            </w:pPr>
          </w:p>
        </w:tc>
        <w:tc>
          <w:tcPr>
            <w:tcW w:w="634" w:type="pct"/>
            <w:tcBorders>
              <w:top w:val="nil"/>
              <w:left w:val="nil"/>
              <w:bottom w:val="dotted" w:sz="4" w:space="0" w:color="auto"/>
              <w:right w:val="single" w:sz="4" w:space="0" w:color="auto"/>
            </w:tcBorders>
            <w:noWrap/>
            <w:vAlign w:val="center"/>
          </w:tcPr>
          <w:p w:rsidR="001362DC" w:rsidRPr="00EF0531" w:rsidRDefault="001362DC" w:rsidP="00C23FBA">
            <w:pPr>
              <w:rPr>
                <w:rFonts w:ascii="Arial" w:hAnsi="Arial" w:cs="Arial"/>
                <w:sz w:val="18"/>
                <w:szCs w:val="18"/>
              </w:rPr>
            </w:pPr>
            <w:r w:rsidRPr="00EF0531">
              <w:rPr>
                <w:rFonts w:ascii="Arial" w:hAnsi="Arial" w:cs="Arial"/>
                <w:sz w:val="18"/>
                <w:szCs w:val="18"/>
              </w:rPr>
              <w:t>Cieľ</w:t>
            </w:r>
            <w:r w:rsidRPr="00EF0531">
              <w:rPr>
                <w:rFonts w:ascii="Arial" w:hAnsi="Arial" w:cs="Arial"/>
                <w:sz w:val="18"/>
                <w:szCs w:val="18"/>
                <w:vertAlign w:val="superscript"/>
              </w:rPr>
              <w:t>1</w:t>
            </w:r>
          </w:p>
        </w:tc>
        <w:tc>
          <w:tcPr>
            <w:tcW w:w="351" w:type="pct"/>
            <w:tcBorders>
              <w:top w:val="nil"/>
              <w:left w:val="nil"/>
              <w:bottom w:val="dotted" w:sz="4" w:space="0" w:color="auto"/>
              <w:right w:val="dotted" w:sz="4" w:space="0" w:color="auto"/>
            </w:tcBorders>
            <w:noWrap/>
            <w:vAlign w:val="center"/>
          </w:tcPr>
          <w:p w:rsidR="001362DC" w:rsidRPr="00EF0531" w:rsidRDefault="001362DC" w:rsidP="00C23FBA">
            <w:pPr>
              <w:jc w:val="center"/>
              <w:rPr>
                <w:rFonts w:ascii="Arial" w:hAnsi="Arial" w:cs="Arial"/>
                <w:i/>
                <w:iCs/>
                <w:sz w:val="18"/>
                <w:szCs w:val="18"/>
              </w:rPr>
            </w:pPr>
            <w:r w:rsidRPr="00EF0531">
              <w:rPr>
                <w:rFonts w:ascii="Arial" w:hAnsi="Arial" w:cs="Arial"/>
                <w:i/>
                <w:iCs/>
                <w:sz w:val="18"/>
                <w:szCs w:val="18"/>
              </w:rPr>
              <w:t>N/A</w:t>
            </w:r>
          </w:p>
        </w:tc>
        <w:tc>
          <w:tcPr>
            <w:tcW w:w="353" w:type="pct"/>
            <w:tcBorders>
              <w:top w:val="nil"/>
              <w:left w:val="nil"/>
              <w:bottom w:val="dotted" w:sz="4" w:space="0" w:color="auto"/>
              <w:right w:val="dotted" w:sz="4" w:space="0" w:color="auto"/>
            </w:tcBorders>
            <w:noWrap/>
            <w:vAlign w:val="center"/>
          </w:tcPr>
          <w:p w:rsidR="001362DC" w:rsidRPr="00EF0531" w:rsidRDefault="001362DC" w:rsidP="00C23FBA">
            <w:pPr>
              <w:jc w:val="center"/>
              <w:rPr>
                <w:rFonts w:ascii="Arial" w:hAnsi="Arial" w:cs="Arial"/>
                <w:i/>
                <w:iCs/>
                <w:sz w:val="18"/>
                <w:szCs w:val="18"/>
              </w:rPr>
            </w:pPr>
            <w:r w:rsidRPr="00EF0531">
              <w:rPr>
                <w:rFonts w:ascii="Arial" w:hAnsi="Arial" w:cs="Arial"/>
                <w:i/>
                <w:iCs/>
                <w:sz w:val="18"/>
                <w:szCs w:val="18"/>
              </w:rPr>
              <w:t>N/A</w:t>
            </w:r>
          </w:p>
        </w:tc>
        <w:tc>
          <w:tcPr>
            <w:tcW w:w="356" w:type="pct"/>
            <w:tcBorders>
              <w:top w:val="nil"/>
              <w:left w:val="nil"/>
              <w:bottom w:val="dotted" w:sz="4" w:space="0" w:color="auto"/>
              <w:right w:val="dotted" w:sz="4" w:space="0" w:color="auto"/>
            </w:tcBorders>
            <w:noWrap/>
            <w:vAlign w:val="center"/>
          </w:tcPr>
          <w:p w:rsidR="001362DC" w:rsidRPr="00EF0531" w:rsidRDefault="001362DC" w:rsidP="00C23FBA">
            <w:pPr>
              <w:jc w:val="center"/>
              <w:rPr>
                <w:rFonts w:ascii="Arial" w:hAnsi="Arial" w:cs="Arial"/>
                <w:i/>
                <w:iCs/>
                <w:sz w:val="18"/>
                <w:szCs w:val="18"/>
              </w:rPr>
            </w:pPr>
            <w:r w:rsidRPr="00EF0531">
              <w:rPr>
                <w:rFonts w:ascii="Arial" w:hAnsi="Arial" w:cs="Arial"/>
                <w:i/>
                <w:iCs/>
                <w:sz w:val="18"/>
                <w:szCs w:val="18"/>
              </w:rPr>
              <w:t>N/A</w:t>
            </w:r>
          </w:p>
        </w:tc>
        <w:tc>
          <w:tcPr>
            <w:tcW w:w="352" w:type="pct"/>
            <w:tcBorders>
              <w:top w:val="nil"/>
              <w:left w:val="nil"/>
              <w:bottom w:val="dotted" w:sz="4" w:space="0" w:color="auto"/>
              <w:right w:val="dotted" w:sz="4" w:space="0" w:color="auto"/>
            </w:tcBorders>
            <w:noWrap/>
            <w:vAlign w:val="center"/>
          </w:tcPr>
          <w:p w:rsidR="001362DC" w:rsidRPr="00EF0531" w:rsidRDefault="001362DC" w:rsidP="00C23FBA">
            <w:pPr>
              <w:jc w:val="center"/>
              <w:rPr>
                <w:rFonts w:ascii="Arial" w:hAnsi="Arial" w:cs="Arial"/>
                <w:i/>
                <w:iCs/>
                <w:sz w:val="18"/>
                <w:szCs w:val="18"/>
              </w:rPr>
            </w:pPr>
            <w:r w:rsidRPr="00EF0531">
              <w:rPr>
                <w:rFonts w:ascii="Arial" w:hAnsi="Arial" w:cs="Arial"/>
                <w:i/>
                <w:iCs/>
                <w:sz w:val="18"/>
                <w:szCs w:val="18"/>
              </w:rPr>
              <w:t>N/A</w:t>
            </w:r>
          </w:p>
        </w:tc>
        <w:tc>
          <w:tcPr>
            <w:tcW w:w="344" w:type="pct"/>
            <w:tcBorders>
              <w:top w:val="nil"/>
              <w:left w:val="nil"/>
              <w:bottom w:val="dotted" w:sz="4" w:space="0" w:color="auto"/>
              <w:right w:val="dotted" w:sz="4" w:space="0" w:color="auto"/>
            </w:tcBorders>
            <w:noWrap/>
            <w:vAlign w:val="center"/>
          </w:tcPr>
          <w:p w:rsidR="001362DC" w:rsidRPr="00EF0531" w:rsidRDefault="001362DC" w:rsidP="00C23FBA">
            <w:pPr>
              <w:jc w:val="center"/>
              <w:rPr>
                <w:rFonts w:ascii="Arial" w:hAnsi="Arial" w:cs="Arial"/>
                <w:i/>
                <w:iCs/>
                <w:sz w:val="18"/>
                <w:szCs w:val="18"/>
              </w:rPr>
            </w:pPr>
            <w:r w:rsidRPr="00EF0531">
              <w:rPr>
                <w:rFonts w:ascii="Arial" w:hAnsi="Arial" w:cs="Arial"/>
                <w:i/>
                <w:iCs/>
                <w:sz w:val="18"/>
                <w:szCs w:val="18"/>
              </w:rPr>
              <w:t>N/A</w:t>
            </w:r>
          </w:p>
        </w:tc>
        <w:tc>
          <w:tcPr>
            <w:tcW w:w="269" w:type="pct"/>
            <w:tcBorders>
              <w:top w:val="nil"/>
              <w:left w:val="nil"/>
              <w:bottom w:val="dotted" w:sz="4" w:space="0" w:color="auto"/>
              <w:right w:val="dotted" w:sz="4" w:space="0" w:color="auto"/>
            </w:tcBorders>
            <w:noWrap/>
            <w:vAlign w:val="center"/>
          </w:tcPr>
          <w:p w:rsidR="001362DC" w:rsidRPr="00EF0531" w:rsidRDefault="001362DC" w:rsidP="00C23FBA">
            <w:pPr>
              <w:jc w:val="center"/>
              <w:rPr>
                <w:rFonts w:ascii="Arial" w:hAnsi="Arial" w:cs="Arial"/>
                <w:i/>
                <w:iCs/>
                <w:sz w:val="18"/>
                <w:szCs w:val="18"/>
              </w:rPr>
            </w:pPr>
            <w:r w:rsidRPr="00EF0531">
              <w:rPr>
                <w:rFonts w:ascii="Arial" w:hAnsi="Arial" w:cs="Arial"/>
                <w:i/>
                <w:iCs/>
                <w:sz w:val="18"/>
                <w:szCs w:val="18"/>
              </w:rPr>
              <w:t>N/A</w:t>
            </w:r>
          </w:p>
        </w:tc>
        <w:tc>
          <w:tcPr>
            <w:tcW w:w="269" w:type="pct"/>
            <w:tcBorders>
              <w:top w:val="nil"/>
              <w:left w:val="nil"/>
              <w:bottom w:val="dotted" w:sz="4" w:space="0" w:color="auto"/>
              <w:right w:val="dotted" w:sz="4" w:space="0" w:color="auto"/>
            </w:tcBorders>
            <w:noWrap/>
            <w:vAlign w:val="center"/>
          </w:tcPr>
          <w:p w:rsidR="001362DC" w:rsidRPr="00EF0531" w:rsidRDefault="001362DC" w:rsidP="00C23FBA">
            <w:pPr>
              <w:jc w:val="center"/>
              <w:rPr>
                <w:rFonts w:ascii="Arial" w:hAnsi="Arial" w:cs="Arial"/>
                <w:i/>
                <w:iCs/>
                <w:sz w:val="18"/>
                <w:szCs w:val="18"/>
              </w:rPr>
            </w:pPr>
            <w:r w:rsidRPr="00EF0531">
              <w:rPr>
                <w:rFonts w:ascii="Arial" w:hAnsi="Arial" w:cs="Arial"/>
                <w:i/>
                <w:iCs/>
                <w:sz w:val="18"/>
                <w:szCs w:val="18"/>
              </w:rPr>
              <w:t>N/A</w:t>
            </w:r>
          </w:p>
        </w:tc>
        <w:tc>
          <w:tcPr>
            <w:tcW w:w="269" w:type="pct"/>
            <w:tcBorders>
              <w:top w:val="nil"/>
              <w:left w:val="nil"/>
              <w:bottom w:val="dotted" w:sz="4" w:space="0" w:color="auto"/>
              <w:right w:val="dotted" w:sz="4" w:space="0" w:color="auto"/>
            </w:tcBorders>
            <w:noWrap/>
            <w:vAlign w:val="center"/>
          </w:tcPr>
          <w:p w:rsidR="001362DC" w:rsidRPr="00EF0531" w:rsidRDefault="001362DC" w:rsidP="00C23FBA">
            <w:pPr>
              <w:jc w:val="center"/>
              <w:rPr>
                <w:rFonts w:ascii="Arial" w:hAnsi="Arial" w:cs="Arial"/>
                <w:i/>
                <w:iCs/>
                <w:sz w:val="18"/>
                <w:szCs w:val="18"/>
              </w:rPr>
            </w:pPr>
            <w:r w:rsidRPr="00EF0531">
              <w:rPr>
                <w:rFonts w:ascii="Arial" w:hAnsi="Arial" w:cs="Arial"/>
                <w:i/>
                <w:iCs/>
                <w:sz w:val="18"/>
                <w:szCs w:val="18"/>
              </w:rPr>
              <w:t>N/A</w:t>
            </w:r>
          </w:p>
        </w:tc>
        <w:tc>
          <w:tcPr>
            <w:tcW w:w="253" w:type="pct"/>
            <w:tcBorders>
              <w:top w:val="nil"/>
              <w:left w:val="nil"/>
              <w:bottom w:val="dotted" w:sz="4" w:space="0" w:color="auto"/>
              <w:right w:val="dotted" w:sz="4" w:space="0" w:color="auto"/>
            </w:tcBorders>
            <w:noWrap/>
            <w:vAlign w:val="center"/>
          </w:tcPr>
          <w:p w:rsidR="001362DC" w:rsidRPr="00EF0531" w:rsidRDefault="001362DC" w:rsidP="00C23FBA">
            <w:pPr>
              <w:jc w:val="center"/>
              <w:rPr>
                <w:rFonts w:ascii="Arial" w:hAnsi="Arial" w:cs="Arial"/>
                <w:b/>
                <w:bCs/>
                <w:sz w:val="18"/>
                <w:szCs w:val="18"/>
              </w:rPr>
            </w:pPr>
            <w:r w:rsidRPr="00EF0531">
              <w:rPr>
                <w:rFonts w:ascii="Arial" w:hAnsi="Arial" w:cs="Arial"/>
                <w:b/>
                <w:bCs/>
                <w:sz w:val="18"/>
                <w:szCs w:val="18"/>
              </w:rPr>
              <w:t>61 902</w:t>
            </w:r>
          </w:p>
        </w:tc>
        <w:tc>
          <w:tcPr>
            <w:tcW w:w="523" w:type="pct"/>
            <w:tcBorders>
              <w:top w:val="nil"/>
              <w:left w:val="nil"/>
              <w:bottom w:val="dotted" w:sz="4" w:space="0" w:color="auto"/>
              <w:right w:val="dotted" w:sz="4" w:space="0" w:color="auto"/>
            </w:tcBorders>
            <w:noWrap/>
            <w:vAlign w:val="center"/>
          </w:tcPr>
          <w:p w:rsidR="001362DC" w:rsidRPr="00EF0531" w:rsidRDefault="001362DC" w:rsidP="00C23FBA">
            <w:pPr>
              <w:jc w:val="center"/>
              <w:rPr>
                <w:rFonts w:ascii="Arial" w:hAnsi="Arial" w:cs="Arial"/>
                <w:b/>
                <w:bCs/>
                <w:sz w:val="18"/>
                <w:szCs w:val="18"/>
              </w:rPr>
            </w:pPr>
            <w:r w:rsidRPr="00EF0531">
              <w:rPr>
                <w:rFonts w:ascii="Arial" w:hAnsi="Arial" w:cs="Arial"/>
                <w:b/>
                <w:bCs/>
                <w:sz w:val="18"/>
                <w:szCs w:val="18"/>
              </w:rPr>
              <w:t>61 902</w:t>
            </w:r>
          </w:p>
        </w:tc>
        <w:tc>
          <w:tcPr>
            <w:tcW w:w="353" w:type="pct"/>
            <w:tcBorders>
              <w:top w:val="nil"/>
              <w:left w:val="nil"/>
              <w:bottom w:val="dotted" w:sz="4" w:space="0" w:color="auto"/>
              <w:right w:val="single" w:sz="4" w:space="0" w:color="auto"/>
            </w:tcBorders>
            <w:noWrap/>
            <w:vAlign w:val="center"/>
          </w:tcPr>
          <w:p w:rsidR="001362DC" w:rsidRPr="00EF0531" w:rsidRDefault="001362DC" w:rsidP="00C23FBA">
            <w:pPr>
              <w:jc w:val="center"/>
              <w:rPr>
                <w:rFonts w:ascii="Arial" w:hAnsi="Arial" w:cs="Arial"/>
                <w:sz w:val="18"/>
                <w:szCs w:val="18"/>
              </w:rPr>
            </w:pPr>
            <w:r w:rsidRPr="00EF0531">
              <w:rPr>
                <w:rFonts w:ascii="Arial" w:hAnsi="Arial" w:cs="Arial"/>
                <w:sz w:val="18"/>
                <w:szCs w:val="18"/>
              </w:rPr>
              <w:t> </w:t>
            </w:r>
          </w:p>
        </w:tc>
      </w:tr>
      <w:tr w:rsidR="001362DC" w:rsidRPr="00EF0531" w:rsidTr="000A5C0F">
        <w:trPr>
          <w:cantSplit/>
          <w:trHeight w:val="20"/>
        </w:trPr>
        <w:tc>
          <w:tcPr>
            <w:tcW w:w="673" w:type="pct"/>
            <w:vMerge/>
            <w:tcBorders>
              <w:top w:val="single" w:sz="4" w:space="0" w:color="000000"/>
              <w:left w:val="single" w:sz="4" w:space="0" w:color="auto"/>
              <w:bottom w:val="single" w:sz="4" w:space="0" w:color="000000"/>
              <w:right w:val="single" w:sz="4" w:space="0" w:color="auto"/>
            </w:tcBorders>
            <w:shd w:val="clear" w:color="auto" w:fill="EAF1DD"/>
            <w:vAlign w:val="center"/>
          </w:tcPr>
          <w:p w:rsidR="001362DC" w:rsidRPr="00EF0531" w:rsidRDefault="001362DC" w:rsidP="00C23FBA">
            <w:pPr>
              <w:rPr>
                <w:rFonts w:ascii="Arial" w:hAnsi="Arial" w:cs="Arial"/>
                <w:sz w:val="18"/>
                <w:szCs w:val="18"/>
              </w:rPr>
            </w:pPr>
          </w:p>
        </w:tc>
        <w:tc>
          <w:tcPr>
            <w:tcW w:w="634" w:type="pct"/>
            <w:tcBorders>
              <w:top w:val="nil"/>
              <w:left w:val="nil"/>
              <w:bottom w:val="single" w:sz="4" w:space="0" w:color="auto"/>
              <w:right w:val="single" w:sz="4" w:space="0" w:color="auto"/>
            </w:tcBorders>
            <w:noWrap/>
            <w:vAlign w:val="center"/>
          </w:tcPr>
          <w:p w:rsidR="001362DC" w:rsidRPr="00EF0531" w:rsidRDefault="001362DC" w:rsidP="00C23FBA">
            <w:pPr>
              <w:rPr>
                <w:rFonts w:ascii="Arial" w:hAnsi="Arial" w:cs="Arial"/>
                <w:sz w:val="18"/>
                <w:szCs w:val="18"/>
              </w:rPr>
            </w:pPr>
            <w:r w:rsidRPr="00EF0531">
              <w:rPr>
                <w:rFonts w:ascii="Arial" w:hAnsi="Arial" w:cs="Arial"/>
                <w:sz w:val="18"/>
                <w:szCs w:val="18"/>
              </w:rPr>
              <w:t>Východisko</w:t>
            </w:r>
            <w:r w:rsidRPr="00EF0531">
              <w:rPr>
                <w:rFonts w:ascii="Arial" w:hAnsi="Arial" w:cs="Arial"/>
                <w:sz w:val="18"/>
                <w:szCs w:val="18"/>
                <w:vertAlign w:val="superscript"/>
              </w:rPr>
              <w:t>2</w:t>
            </w:r>
          </w:p>
        </w:tc>
        <w:tc>
          <w:tcPr>
            <w:tcW w:w="351" w:type="pct"/>
            <w:tcBorders>
              <w:top w:val="nil"/>
              <w:left w:val="nil"/>
              <w:bottom w:val="single" w:sz="4" w:space="0" w:color="auto"/>
              <w:right w:val="dotted" w:sz="4" w:space="0" w:color="auto"/>
            </w:tcBorders>
            <w:noWrap/>
            <w:vAlign w:val="center"/>
          </w:tcPr>
          <w:p w:rsidR="001362DC" w:rsidRPr="00EF0531" w:rsidRDefault="001362DC" w:rsidP="00C23FBA">
            <w:pPr>
              <w:jc w:val="center"/>
              <w:rPr>
                <w:rFonts w:ascii="Arial" w:hAnsi="Arial" w:cs="Arial"/>
                <w:b/>
                <w:bCs/>
                <w:sz w:val="18"/>
                <w:szCs w:val="18"/>
              </w:rPr>
            </w:pPr>
            <w:r w:rsidRPr="00EF0531">
              <w:rPr>
                <w:rFonts w:ascii="Arial" w:hAnsi="Arial" w:cs="Arial"/>
                <w:b/>
                <w:bCs/>
                <w:sz w:val="18"/>
                <w:szCs w:val="18"/>
              </w:rPr>
              <w:t>51 046</w:t>
            </w:r>
          </w:p>
        </w:tc>
        <w:tc>
          <w:tcPr>
            <w:tcW w:w="353" w:type="pct"/>
            <w:tcBorders>
              <w:top w:val="nil"/>
              <w:left w:val="nil"/>
              <w:bottom w:val="single" w:sz="4" w:space="0" w:color="auto"/>
              <w:right w:val="dotted" w:sz="4" w:space="0" w:color="auto"/>
            </w:tcBorders>
            <w:noWrap/>
            <w:vAlign w:val="center"/>
          </w:tcPr>
          <w:p w:rsidR="001362DC" w:rsidRPr="00EF0531" w:rsidRDefault="001362DC" w:rsidP="00C23FBA">
            <w:pPr>
              <w:jc w:val="center"/>
              <w:rPr>
                <w:rFonts w:ascii="Arial" w:hAnsi="Arial" w:cs="Arial"/>
                <w:i/>
                <w:iCs/>
                <w:sz w:val="18"/>
                <w:szCs w:val="18"/>
              </w:rPr>
            </w:pPr>
            <w:r w:rsidRPr="00EF0531">
              <w:rPr>
                <w:rFonts w:ascii="Arial" w:hAnsi="Arial" w:cs="Arial"/>
                <w:i/>
                <w:iCs/>
                <w:sz w:val="18"/>
                <w:szCs w:val="18"/>
              </w:rPr>
              <w:t>N/A</w:t>
            </w:r>
          </w:p>
        </w:tc>
        <w:tc>
          <w:tcPr>
            <w:tcW w:w="356" w:type="pct"/>
            <w:tcBorders>
              <w:top w:val="nil"/>
              <w:left w:val="nil"/>
              <w:bottom w:val="single" w:sz="4" w:space="0" w:color="auto"/>
              <w:right w:val="dotted" w:sz="4" w:space="0" w:color="auto"/>
            </w:tcBorders>
            <w:noWrap/>
            <w:vAlign w:val="center"/>
          </w:tcPr>
          <w:p w:rsidR="001362DC" w:rsidRPr="00EF0531" w:rsidRDefault="001362DC" w:rsidP="00C23FBA">
            <w:pPr>
              <w:jc w:val="center"/>
              <w:rPr>
                <w:rFonts w:ascii="Arial" w:hAnsi="Arial" w:cs="Arial"/>
                <w:i/>
                <w:iCs/>
                <w:sz w:val="18"/>
                <w:szCs w:val="18"/>
              </w:rPr>
            </w:pPr>
            <w:r w:rsidRPr="00EF0531">
              <w:rPr>
                <w:rFonts w:ascii="Arial" w:hAnsi="Arial" w:cs="Arial"/>
                <w:i/>
                <w:iCs/>
                <w:sz w:val="18"/>
                <w:szCs w:val="18"/>
              </w:rPr>
              <w:t>N/A</w:t>
            </w:r>
          </w:p>
        </w:tc>
        <w:tc>
          <w:tcPr>
            <w:tcW w:w="352" w:type="pct"/>
            <w:tcBorders>
              <w:top w:val="nil"/>
              <w:left w:val="nil"/>
              <w:bottom w:val="single" w:sz="4" w:space="0" w:color="auto"/>
              <w:right w:val="dotted" w:sz="4" w:space="0" w:color="auto"/>
            </w:tcBorders>
            <w:noWrap/>
            <w:vAlign w:val="center"/>
          </w:tcPr>
          <w:p w:rsidR="001362DC" w:rsidRPr="00EF0531" w:rsidRDefault="001362DC" w:rsidP="00C23FBA">
            <w:pPr>
              <w:jc w:val="center"/>
              <w:rPr>
                <w:rFonts w:ascii="Arial" w:hAnsi="Arial" w:cs="Arial"/>
                <w:i/>
                <w:iCs/>
                <w:sz w:val="18"/>
                <w:szCs w:val="18"/>
              </w:rPr>
            </w:pPr>
            <w:r w:rsidRPr="00EF0531">
              <w:rPr>
                <w:rFonts w:ascii="Arial" w:hAnsi="Arial" w:cs="Arial"/>
                <w:i/>
                <w:iCs/>
                <w:sz w:val="18"/>
                <w:szCs w:val="18"/>
              </w:rPr>
              <w:t>N/A</w:t>
            </w:r>
          </w:p>
        </w:tc>
        <w:tc>
          <w:tcPr>
            <w:tcW w:w="344" w:type="pct"/>
            <w:tcBorders>
              <w:top w:val="nil"/>
              <w:left w:val="nil"/>
              <w:bottom w:val="single" w:sz="4" w:space="0" w:color="auto"/>
              <w:right w:val="dotted" w:sz="4" w:space="0" w:color="auto"/>
            </w:tcBorders>
            <w:noWrap/>
            <w:vAlign w:val="center"/>
          </w:tcPr>
          <w:p w:rsidR="001362DC" w:rsidRPr="00EF0531" w:rsidRDefault="001362DC" w:rsidP="00C23FBA">
            <w:pPr>
              <w:jc w:val="center"/>
              <w:rPr>
                <w:rFonts w:ascii="Arial" w:hAnsi="Arial" w:cs="Arial"/>
                <w:i/>
                <w:iCs/>
                <w:sz w:val="18"/>
                <w:szCs w:val="18"/>
              </w:rPr>
            </w:pPr>
            <w:r w:rsidRPr="00EF0531">
              <w:rPr>
                <w:rFonts w:ascii="Arial" w:hAnsi="Arial" w:cs="Arial"/>
                <w:i/>
                <w:iCs/>
                <w:sz w:val="18"/>
                <w:szCs w:val="18"/>
              </w:rPr>
              <w:t>N/A</w:t>
            </w:r>
          </w:p>
        </w:tc>
        <w:tc>
          <w:tcPr>
            <w:tcW w:w="269" w:type="pct"/>
            <w:tcBorders>
              <w:top w:val="nil"/>
              <w:left w:val="nil"/>
              <w:bottom w:val="single" w:sz="4" w:space="0" w:color="auto"/>
              <w:right w:val="dotted" w:sz="4" w:space="0" w:color="auto"/>
            </w:tcBorders>
            <w:noWrap/>
            <w:vAlign w:val="center"/>
          </w:tcPr>
          <w:p w:rsidR="001362DC" w:rsidRPr="00EF0531" w:rsidRDefault="001362DC" w:rsidP="00C23FBA">
            <w:pPr>
              <w:jc w:val="center"/>
              <w:rPr>
                <w:rFonts w:ascii="Arial" w:hAnsi="Arial" w:cs="Arial"/>
                <w:i/>
                <w:iCs/>
                <w:sz w:val="18"/>
                <w:szCs w:val="18"/>
              </w:rPr>
            </w:pPr>
            <w:r w:rsidRPr="00EF0531">
              <w:rPr>
                <w:rFonts w:ascii="Arial" w:hAnsi="Arial" w:cs="Arial"/>
                <w:i/>
                <w:iCs/>
                <w:sz w:val="18"/>
                <w:szCs w:val="18"/>
              </w:rPr>
              <w:t>N/A</w:t>
            </w:r>
          </w:p>
        </w:tc>
        <w:tc>
          <w:tcPr>
            <w:tcW w:w="269" w:type="pct"/>
            <w:tcBorders>
              <w:top w:val="nil"/>
              <w:left w:val="nil"/>
              <w:bottom w:val="single" w:sz="4" w:space="0" w:color="auto"/>
              <w:right w:val="dotted" w:sz="4" w:space="0" w:color="auto"/>
            </w:tcBorders>
            <w:noWrap/>
            <w:vAlign w:val="center"/>
          </w:tcPr>
          <w:p w:rsidR="001362DC" w:rsidRPr="00EF0531" w:rsidRDefault="001362DC" w:rsidP="00C23FBA">
            <w:pPr>
              <w:jc w:val="center"/>
              <w:rPr>
                <w:rFonts w:ascii="Arial" w:hAnsi="Arial" w:cs="Arial"/>
                <w:i/>
                <w:iCs/>
                <w:sz w:val="18"/>
                <w:szCs w:val="18"/>
              </w:rPr>
            </w:pPr>
            <w:r w:rsidRPr="00EF0531">
              <w:rPr>
                <w:rFonts w:ascii="Arial" w:hAnsi="Arial" w:cs="Arial"/>
                <w:i/>
                <w:iCs/>
                <w:sz w:val="18"/>
                <w:szCs w:val="18"/>
              </w:rPr>
              <w:t>N/A</w:t>
            </w:r>
          </w:p>
        </w:tc>
        <w:tc>
          <w:tcPr>
            <w:tcW w:w="269" w:type="pct"/>
            <w:tcBorders>
              <w:top w:val="nil"/>
              <w:left w:val="nil"/>
              <w:bottom w:val="single" w:sz="4" w:space="0" w:color="auto"/>
              <w:right w:val="dotted" w:sz="4" w:space="0" w:color="auto"/>
            </w:tcBorders>
            <w:noWrap/>
            <w:vAlign w:val="center"/>
          </w:tcPr>
          <w:p w:rsidR="001362DC" w:rsidRPr="00EF0531" w:rsidRDefault="001362DC" w:rsidP="00C23FBA">
            <w:pPr>
              <w:jc w:val="center"/>
              <w:rPr>
                <w:rFonts w:ascii="Arial" w:hAnsi="Arial" w:cs="Arial"/>
                <w:i/>
                <w:iCs/>
                <w:sz w:val="18"/>
                <w:szCs w:val="18"/>
              </w:rPr>
            </w:pPr>
            <w:r w:rsidRPr="00EF0531">
              <w:rPr>
                <w:rFonts w:ascii="Arial" w:hAnsi="Arial" w:cs="Arial"/>
                <w:i/>
                <w:iCs/>
                <w:sz w:val="18"/>
                <w:szCs w:val="18"/>
              </w:rPr>
              <w:t>N/A</w:t>
            </w:r>
          </w:p>
        </w:tc>
        <w:tc>
          <w:tcPr>
            <w:tcW w:w="253" w:type="pct"/>
            <w:tcBorders>
              <w:top w:val="nil"/>
              <w:left w:val="nil"/>
              <w:bottom w:val="single" w:sz="4" w:space="0" w:color="auto"/>
              <w:right w:val="dotted" w:sz="4" w:space="0" w:color="auto"/>
            </w:tcBorders>
            <w:noWrap/>
            <w:vAlign w:val="center"/>
          </w:tcPr>
          <w:p w:rsidR="001362DC" w:rsidRPr="00EF0531" w:rsidRDefault="001362DC" w:rsidP="00C23FBA">
            <w:pPr>
              <w:jc w:val="center"/>
              <w:rPr>
                <w:rFonts w:ascii="Arial" w:hAnsi="Arial" w:cs="Arial"/>
                <w:i/>
                <w:iCs/>
                <w:sz w:val="18"/>
                <w:szCs w:val="18"/>
              </w:rPr>
            </w:pPr>
            <w:r w:rsidRPr="00EF0531">
              <w:rPr>
                <w:rFonts w:ascii="Arial" w:hAnsi="Arial" w:cs="Arial"/>
                <w:i/>
                <w:iCs/>
                <w:sz w:val="18"/>
                <w:szCs w:val="18"/>
              </w:rPr>
              <w:t>N/A</w:t>
            </w:r>
          </w:p>
        </w:tc>
        <w:tc>
          <w:tcPr>
            <w:tcW w:w="523" w:type="pct"/>
            <w:tcBorders>
              <w:top w:val="nil"/>
              <w:left w:val="nil"/>
              <w:bottom w:val="single" w:sz="4" w:space="0" w:color="auto"/>
              <w:right w:val="dotted" w:sz="4" w:space="0" w:color="auto"/>
            </w:tcBorders>
            <w:noWrap/>
            <w:vAlign w:val="center"/>
          </w:tcPr>
          <w:p w:rsidR="001362DC" w:rsidRPr="00EF0531" w:rsidRDefault="001362DC" w:rsidP="00C23FBA">
            <w:pPr>
              <w:jc w:val="center"/>
              <w:rPr>
                <w:rFonts w:ascii="Arial" w:hAnsi="Arial" w:cs="Arial"/>
                <w:b/>
                <w:bCs/>
                <w:sz w:val="18"/>
                <w:szCs w:val="18"/>
              </w:rPr>
            </w:pPr>
            <w:r w:rsidRPr="00EF0531">
              <w:rPr>
                <w:rFonts w:ascii="Arial" w:hAnsi="Arial" w:cs="Arial"/>
                <w:b/>
                <w:bCs/>
                <w:sz w:val="18"/>
                <w:szCs w:val="18"/>
              </w:rPr>
              <w:t>51 046</w:t>
            </w:r>
          </w:p>
        </w:tc>
        <w:tc>
          <w:tcPr>
            <w:tcW w:w="353" w:type="pct"/>
            <w:tcBorders>
              <w:top w:val="nil"/>
              <w:left w:val="nil"/>
              <w:bottom w:val="single" w:sz="4" w:space="0" w:color="auto"/>
              <w:right w:val="single" w:sz="4" w:space="0" w:color="auto"/>
            </w:tcBorders>
            <w:noWrap/>
            <w:vAlign w:val="center"/>
          </w:tcPr>
          <w:p w:rsidR="001362DC" w:rsidRPr="00EF0531" w:rsidRDefault="001362DC" w:rsidP="00C23FBA">
            <w:pPr>
              <w:jc w:val="center"/>
              <w:rPr>
                <w:rFonts w:ascii="Arial" w:hAnsi="Arial" w:cs="Arial"/>
                <w:sz w:val="18"/>
                <w:szCs w:val="18"/>
              </w:rPr>
            </w:pPr>
            <w:r w:rsidRPr="00EF0531">
              <w:rPr>
                <w:rFonts w:ascii="Arial" w:hAnsi="Arial" w:cs="Arial"/>
                <w:sz w:val="18"/>
                <w:szCs w:val="18"/>
              </w:rPr>
              <w:t> </w:t>
            </w:r>
          </w:p>
        </w:tc>
      </w:tr>
      <w:tr w:rsidR="001362DC" w:rsidRPr="00EF0531" w:rsidTr="000A5C0F">
        <w:trPr>
          <w:cantSplit/>
          <w:trHeight w:val="20"/>
        </w:trPr>
        <w:tc>
          <w:tcPr>
            <w:tcW w:w="673" w:type="pct"/>
            <w:vMerge w:val="restart"/>
            <w:tcBorders>
              <w:top w:val="single" w:sz="4" w:space="0" w:color="000000"/>
              <w:left w:val="single" w:sz="4" w:space="0" w:color="auto"/>
              <w:bottom w:val="single" w:sz="4" w:space="0" w:color="000000"/>
              <w:right w:val="single" w:sz="4" w:space="0" w:color="auto"/>
            </w:tcBorders>
            <w:shd w:val="clear" w:color="auto" w:fill="EAF1DD"/>
            <w:vAlign w:val="center"/>
          </w:tcPr>
          <w:p w:rsidR="001362DC" w:rsidRPr="00EF0531" w:rsidRDefault="001362DC" w:rsidP="00C23FBA">
            <w:pPr>
              <w:rPr>
                <w:rFonts w:ascii="Arial" w:hAnsi="Arial" w:cs="Arial"/>
                <w:sz w:val="18"/>
                <w:szCs w:val="18"/>
              </w:rPr>
            </w:pPr>
            <w:r w:rsidRPr="00EF0531">
              <w:rPr>
                <w:rFonts w:ascii="Arial" w:hAnsi="Arial" w:cs="Arial"/>
                <w:sz w:val="18"/>
                <w:szCs w:val="18"/>
              </w:rPr>
              <w:t>Miera zhodnocovania odpadov</w:t>
            </w:r>
          </w:p>
          <w:p w:rsidR="00376114" w:rsidRPr="00EF0531" w:rsidRDefault="00376114" w:rsidP="00C23FBA">
            <w:pPr>
              <w:rPr>
                <w:rFonts w:ascii="Arial" w:hAnsi="Arial" w:cs="Arial"/>
                <w:sz w:val="18"/>
                <w:szCs w:val="18"/>
              </w:rPr>
            </w:pPr>
            <w:r w:rsidRPr="00EF0531">
              <w:rPr>
                <w:rFonts w:ascii="Arial" w:hAnsi="Arial" w:cs="Arial"/>
                <w:sz w:val="18"/>
                <w:szCs w:val="18"/>
              </w:rPr>
              <w:t>(%) kontext</w:t>
            </w:r>
          </w:p>
        </w:tc>
        <w:tc>
          <w:tcPr>
            <w:tcW w:w="634" w:type="pct"/>
            <w:tcBorders>
              <w:top w:val="nil"/>
              <w:left w:val="nil"/>
              <w:bottom w:val="dotted" w:sz="4" w:space="0" w:color="auto"/>
              <w:right w:val="single" w:sz="4" w:space="0" w:color="auto"/>
            </w:tcBorders>
            <w:noWrap/>
            <w:vAlign w:val="center"/>
          </w:tcPr>
          <w:p w:rsidR="001362DC" w:rsidRPr="00EF0531" w:rsidRDefault="001362DC" w:rsidP="00C23FBA">
            <w:pPr>
              <w:rPr>
                <w:rFonts w:ascii="Arial" w:hAnsi="Arial" w:cs="Arial"/>
                <w:sz w:val="18"/>
                <w:szCs w:val="18"/>
              </w:rPr>
            </w:pPr>
            <w:r w:rsidRPr="00EF0531">
              <w:rPr>
                <w:rFonts w:ascii="Arial" w:hAnsi="Arial" w:cs="Arial"/>
                <w:sz w:val="18"/>
                <w:szCs w:val="18"/>
              </w:rPr>
              <w:t>Dosiahnutý výsledok</w:t>
            </w:r>
          </w:p>
        </w:tc>
        <w:tc>
          <w:tcPr>
            <w:tcW w:w="351" w:type="pct"/>
            <w:tcBorders>
              <w:top w:val="nil"/>
              <w:left w:val="nil"/>
              <w:bottom w:val="dotted" w:sz="4" w:space="0" w:color="auto"/>
              <w:right w:val="dotted" w:sz="4" w:space="0" w:color="auto"/>
            </w:tcBorders>
            <w:noWrap/>
            <w:vAlign w:val="center"/>
          </w:tcPr>
          <w:p w:rsidR="001362DC" w:rsidRPr="00EF0531" w:rsidRDefault="001362DC" w:rsidP="00C23FBA">
            <w:pPr>
              <w:jc w:val="center"/>
              <w:rPr>
                <w:rFonts w:ascii="Arial" w:hAnsi="Arial" w:cs="Arial"/>
                <w:b/>
                <w:bCs/>
                <w:sz w:val="18"/>
                <w:szCs w:val="18"/>
              </w:rPr>
            </w:pPr>
            <w:r w:rsidRPr="00EF0531">
              <w:rPr>
                <w:rFonts w:ascii="Arial" w:hAnsi="Arial" w:cs="Arial"/>
                <w:b/>
                <w:bCs/>
                <w:sz w:val="18"/>
                <w:szCs w:val="18"/>
              </w:rPr>
              <w:t>N/A</w:t>
            </w:r>
          </w:p>
        </w:tc>
        <w:tc>
          <w:tcPr>
            <w:tcW w:w="353" w:type="pct"/>
            <w:tcBorders>
              <w:top w:val="nil"/>
              <w:left w:val="nil"/>
              <w:bottom w:val="dotted" w:sz="4" w:space="0" w:color="auto"/>
              <w:right w:val="dotted" w:sz="4" w:space="0" w:color="auto"/>
            </w:tcBorders>
            <w:noWrap/>
            <w:vAlign w:val="center"/>
          </w:tcPr>
          <w:p w:rsidR="001362DC" w:rsidRPr="00EF0531" w:rsidRDefault="001362DC" w:rsidP="00C23FBA">
            <w:pPr>
              <w:jc w:val="center"/>
              <w:rPr>
                <w:rFonts w:ascii="Arial" w:hAnsi="Arial" w:cs="Arial"/>
                <w:b/>
                <w:bCs/>
                <w:sz w:val="18"/>
                <w:szCs w:val="18"/>
              </w:rPr>
            </w:pPr>
            <w:r w:rsidRPr="00EF0531">
              <w:rPr>
                <w:rFonts w:ascii="Arial" w:hAnsi="Arial" w:cs="Arial"/>
                <w:b/>
                <w:bCs/>
                <w:sz w:val="18"/>
                <w:szCs w:val="18"/>
              </w:rPr>
              <w:t>53%</w:t>
            </w:r>
          </w:p>
        </w:tc>
        <w:tc>
          <w:tcPr>
            <w:tcW w:w="356" w:type="pct"/>
            <w:tcBorders>
              <w:top w:val="nil"/>
              <w:left w:val="nil"/>
              <w:bottom w:val="dotted" w:sz="4" w:space="0" w:color="auto"/>
              <w:right w:val="dotted" w:sz="4" w:space="0" w:color="auto"/>
            </w:tcBorders>
            <w:noWrap/>
            <w:vAlign w:val="center"/>
          </w:tcPr>
          <w:p w:rsidR="001362DC" w:rsidRPr="00EF0531" w:rsidRDefault="001362DC" w:rsidP="00C23FBA">
            <w:pPr>
              <w:jc w:val="center"/>
              <w:rPr>
                <w:rFonts w:ascii="Arial" w:hAnsi="Arial" w:cs="Arial"/>
                <w:b/>
                <w:bCs/>
                <w:sz w:val="18"/>
                <w:szCs w:val="18"/>
              </w:rPr>
            </w:pPr>
            <w:r w:rsidRPr="00EF0531">
              <w:rPr>
                <w:rFonts w:ascii="Arial" w:hAnsi="Arial" w:cs="Arial"/>
                <w:b/>
                <w:bCs/>
                <w:sz w:val="18"/>
                <w:szCs w:val="18"/>
              </w:rPr>
              <w:t>49%</w:t>
            </w:r>
          </w:p>
        </w:tc>
        <w:tc>
          <w:tcPr>
            <w:tcW w:w="352" w:type="pct"/>
            <w:tcBorders>
              <w:top w:val="nil"/>
              <w:left w:val="nil"/>
              <w:bottom w:val="dotted" w:sz="4" w:space="0" w:color="auto"/>
              <w:right w:val="dotted" w:sz="4" w:space="0" w:color="auto"/>
            </w:tcBorders>
            <w:noWrap/>
            <w:vAlign w:val="center"/>
          </w:tcPr>
          <w:p w:rsidR="001362DC" w:rsidRPr="00EF0531" w:rsidRDefault="001362DC" w:rsidP="00C23FBA">
            <w:pPr>
              <w:jc w:val="center"/>
              <w:rPr>
                <w:rFonts w:ascii="Arial" w:hAnsi="Arial" w:cs="Arial"/>
                <w:b/>
                <w:iCs/>
                <w:sz w:val="18"/>
                <w:szCs w:val="18"/>
              </w:rPr>
            </w:pPr>
            <w:r w:rsidRPr="00EF0531">
              <w:rPr>
                <w:rFonts w:ascii="Arial" w:hAnsi="Arial" w:cs="Arial"/>
                <w:b/>
                <w:iCs/>
                <w:sz w:val="18"/>
                <w:szCs w:val="18"/>
              </w:rPr>
              <w:t>55</w:t>
            </w:r>
          </w:p>
        </w:tc>
        <w:tc>
          <w:tcPr>
            <w:tcW w:w="344" w:type="pct"/>
            <w:tcBorders>
              <w:top w:val="nil"/>
              <w:left w:val="nil"/>
              <w:bottom w:val="dotted" w:sz="4" w:space="0" w:color="auto"/>
              <w:right w:val="dotted" w:sz="4" w:space="0" w:color="auto"/>
            </w:tcBorders>
            <w:noWrap/>
            <w:vAlign w:val="center"/>
          </w:tcPr>
          <w:p w:rsidR="001362DC" w:rsidRPr="00EF0531" w:rsidRDefault="001362DC" w:rsidP="00C23FBA">
            <w:pPr>
              <w:jc w:val="center"/>
              <w:rPr>
                <w:rFonts w:ascii="Arial" w:hAnsi="Arial" w:cs="Arial"/>
                <w:i/>
                <w:iCs/>
                <w:sz w:val="18"/>
                <w:szCs w:val="18"/>
              </w:rPr>
            </w:pPr>
            <w:r w:rsidRPr="00EF0531">
              <w:rPr>
                <w:rFonts w:ascii="Arial" w:hAnsi="Arial" w:cs="Arial"/>
                <w:i/>
                <w:iCs/>
                <w:sz w:val="18"/>
                <w:szCs w:val="18"/>
              </w:rPr>
              <w:t>N/A</w:t>
            </w:r>
          </w:p>
        </w:tc>
        <w:tc>
          <w:tcPr>
            <w:tcW w:w="269" w:type="pct"/>
            <w:tcBorders>
              <w:top w:val="nil"/>
              <w:left w:val="nil"/>
              <w:bottom w:val="dotted" w:sz="4" w:space="0" w:color="auto"/>
              <w:right w:val="dotted" w:sz="4" w:space="0" w:color="auto"/>
            </w:tcBorders>
            <w:noWrap/>
            <w:vAlign w:val="center"/>
          </w:tcPr>
          <w:p w:rsidR="001362DC" w:rsidRPr="00EF0531" w:rsidRDefault="001362DC" w:rsidP="00C23FBA">
            <w:pPr>
              <w:jc w:val="center"/>
              <w:rPr>
                <w:rFonts w:ascii="Arial" w:hAnsi="Arial" w:cs="Arial"/>
                <w:i/>
                <w:iCs/>
                <w:sz w:val="18"/>
                <w:szCs w:val="18"/>
              </w:rPr>
            </w:pPr>
            <w:r w:rsidRPr="00EF0531">
              <w:rPr>
                <w:rFonts w:ascii="Arial" w:hAnsi="Arial" w:cs="Arial"/>
                <w:i/>
                <w:iCs/>
                <w:sz w:val="18"/>
                <w:szCs w:val="18"/>
              </w:rPr>
              <w:t>N/A</w:t>
            </w:r>
          </w:p>
        </w:tc>
        <w:tc>
          <w:tcPr>
            <w:tcW w:w="269" w:type="pct"/>
            <w:tcBorders>
              <w:top w:val="nil"/>
              <w:left w:val="nil"/>
              <w:bottom w:val="dotted" w:sz="4" w:space="0" w:color="auto"/>
              <w:right w:val="dotted" w:sz="4" w:space="0" w:color="auto"/>
            </w:tcBorders>
            <w:noWrap/>
            <w:vAlign w:val="center"/>
          </w:tcPr>
          <w:p w:rsidR="001362DC" w:rsidRPr="00EF0531" w:rsidRDefault="001362DC" w:rsidP="00C23FBA">
            <w:pPr>
              <w:jc w:val="center"/>
              <w:rPr>
                <w:rFonts w:ascii="Arial" w:hAnsi="Arial" w:cs="Arial"/>
                <w:i/>
                <w:iCs/>
                <w:sz w:val="18"/>
                <w:szCs w:val="18"/>
              </w:rPr>
            </w:pPr>
            <w:r w:rsidRPr="00EF0531">
              <w:rPr>
                <w:rFonts w:ascii="Arial" w:hAnsi="Arial" w:cs="Arial"/>
                <w:i/>
                <w:iCs/>
                <w:sz w:val="18"/>
                <w:szCs w:val="18"/>
              </w:rPr>
              <w:t>N/A</w:t>
            </w:r>
          </w:p>
        </w:tc>
        <w:tc>
          <w:tcPr>
            <w:tcW w:w="269" w:type="pct"/>
            <w:tcBorders>
              <w:top w:val="nil"/>
              <w:left w:val="nil"/>
              <w:bottom w:val="dotted" w:sz="4" w:space="0" w:color="auto"/>
              <w:right w:val="dotted" w:sz="4" w:space="0" w:color="auto"/>
            </w:tcBorders>
            <w:noWrap/>
            <w:vAlign w:val="center"/>
          </w:tcPr>
          <w:p w:rsidR="001362DC" w:rsidRPr="00EF0531" w:rsidRDefault="001362DC" w:rsidP="00C23FBA">
            <w:pPr>
              <w:jc w:val="center"/>
              <w:rPr>
                <w:rFonts w:ascii="Arial" w:hAnsi="Arial" w:cs="Arial"/>
                <w:i/>
                <w:iCs/>
                <w:sz w:val="18"/>
                <w:szCs w:val="18"/>
              </w:rPr>
            </w:pPr>
            <w:r w:rsidRPr="00EF0531">
              <w:rPr>
                <w:rFonts w:ascii="Arial" w:hAnsi="Arial" w:cs="Arial"/>
                <w:i/>
                <w:iCs/>
                <w:sz w:val="18"/>
                <w:szCs w:val="18"/>
              </w:rPr>
              <w:t>N/A</w:t>
            </w:r>
          </w:p>
        </w:tc>
        <w:tc>
          <w:tcPr>
            <w:tcW w:w="253" w:type="pct"/>
            <w:tcBorders>
              <w:top w:val="nil"/>
              <w:left w:val="nil"/>
              <w:bottom w:val="dotted" w:sz="4" w:space="0" w:color="auto"/>
              <w:right w:val="dotted" w:sz="4" w:space="0" w:color="auto"/>
            </w:tcBorders>
            <w:noWrap/>
            <w:vAlign w:val="center"/>
          </w:tcPr>
          <w:p w:rsidR="001362DC" w:rsidRPr="00EF0531" w:rsidRDefault="001362DC" w:rsidP="00C23FBA">
            <w:pPr>
              <w:jc w:val="center"/>
              <w:rPr>
                <w:rFonts w:ascii="Arial" w:hAnsi="Arial" w:cs="Arial"/>
                <w:i/>
                <w:iCs/>
                <w:sz w:val="18"/>
                <w:szCs w:val="18"/>
              </w:rPr>
            </w:pPr>
            <w:r w:rsidRPr="00EF0531">
              <w:rPr>
                <w:rFonts w:ascii="Arial" w:hAnsi="Arial" w:cs="Arial"/>
                <w:i/>
                <w:iCs/>
                <w:sz w:val="18"/>
                <w:szCs w:val="18"/>
              </w:rPr>
              <w:t>N/A</w:t>
            </w:r>
          </w:p>
        </w:tc>
        <w:tc>
          <w:tcPr>
            <w:tcW w:w="523" w:type="pct"/>
            <w:tcBorders>
              <w:top w:val="nil"/>
              <w:left w:val="nil"/>
              <w:bottom w:val="dotted" w:sz="4" w:space="0" w:color="auto"/>
              <w:right w:val="dotted" w:sz="4" w:space="0" w:color="auto"/>
            </w:tcBorders>
            <w:noWrap/>
            <w:vAlign w:val="center"/>
          </w:tcPr>
          <w:p w:rsidR="001362DC" w:rsidRPr="00EF0531" w:rsidRDefault="001362DC" w:rsidP="00C23FBA">
            <w:pPr>
              <w:jc w:val="center"/>
              <w:rPr>
                <w:rFonts w:ascii="Arial" w:hAnsi="Arial" w:cs="Arial"/>
                <w:b/>
                <w:bCs/>
                <w:sz w:val="18"/>
                <w:szCs w:val="18"/>
              </w:rPr>
            </w:pPr>
            <w:r w:rsidRPr="00EF0531">
              <w:rPr>
                <w:rFonts w:ascii="Arial" w:hAnsi="Arial" w:cs="Arial"/>
                <w:b/>
                <w:bCs/>
                <w:sz w:val="18"/>
                <w:szCs w:val="18"/>
              </w:rPr>
              <w:t>55%</w:t>
            </w:r>
          </w:p>
        </w:tc>
        <w:tc>
          <w:tcPr>
            <w:tcW w:w="353" w:type="pct"/>
            <w:tcBorders>
              <w:top w:val="nil"/>
              <w:left w:val="nil"/>
              <w:bottom w:val="dotted" w:sz="4" w:space="0" w:color="auto"/>
              <w:right w:val="single" w:sz="4" w:space="0" w:color="auto"/>
            </w:tcBorders>
            <w:noWrap/>
            <w:vAlign w:val="center"/>
          </w:tcPr>
          <w:p w:rsidR="001362DC" w:rsidRPr="00EF0531" w:rsidRDefault="00376114" w:rsidP="00C23FBA">
            <w:pPr>
              <w:jc w:val="center"/>
              <w:rPr>
                <w:rFonts w:ascii="Arial" w:hAnsi="Arial" w:cs="Arial"/>
                <w:sz w:val="18"/>
                <w:szCs w:val="18"/>
              </w:rPr>
            </w:pPr>
            <w:r w:rsidRPr="00EF0531">
              <w:rPr>
                <w:sz w:val="16"/>
                <w:szCs w:val="16"/>
              </w:rPr>
              <w:t>Zdroj MŽP SR</w:t>
            </w:r>
            <w:r w:rsidR="001362DC" w:rsidRPr="00EF0531">
              <w:rPr>
                <w:rFonts w:ascii="Arial" w:hAnsi="Arial" w:cs="Arial"/>
                <w:sz w:val="18"/>
                <w:szCs w:val="18"/>
              </w:rPr>
              <w:t> </w:t>
            </w:r>
          </w:p>
        </w:tc>
      </w:tr>
      <w:tr w:rsidR="001362DC" w:rsidRPr="00EF0531" w:rsidTr="000A5C0F">
        <w:trPr>
          <w:cantSplit/>
          <w:trHeight w:val="20"/>
        </w:trPr>
        <w:tc>
          <w:tcPr>
            <w:tcW w:w="673" w:type="pct"/>
            <w:vMerge/>
            <w:tcBorders>
              <w:top w:val="single" w:sz="4" w:space="0" w:color="000000"/>
              <w:left w:val="single" w:sz="4" w:space="0" w:color="auto"/>
              <w:bottom w:val="single" w:sz="4" w:space="0" w:color="000000"/>
              <w:right w:val="single" w:sz="4" w:space="0" w:color="auto"/>
            </w:tcBorders>
            <w:shd w:val="clear" w:color="auto" w:fill="EAF1DD"/>
            <w:vAlign w:val="center"/>
          </w:tcPr>
          <w:p w:rsidR="001362DC" w:rsidRPr="00EF0531" w:rsidRDefault="001362DC" w:rsidP="00C23FBA">
            <w:pPr>
              <w:rPr>
                <w:rFonts w:ascii="Arial" w:hAnsi="Arial" w:cs="Arial"/>
                <w:sz w:val="18"/>
                <w:szCs w:val="18"/>
              </w:rPr>
            </w:pPr>
          </w:p>
        </w:tc>
        <w:tc>
          <w:tcPr>
            <w:tcW w:w="634" w:type="pct"/>
            <w:tcBorders>
              <w:top w:val="nil"/>
              <w:left w:val="nil"/>
              <w:bottom w:val="dotted" w:sz="4" w:space="0" w:color="auto"/>
              <w:right w:val="single" w:sz="4" w:space="0" w:color="auto"/>
            </w:tcBorders>
            <w:noWrap/>
            <w:vAlign w:val="center"/>
          </w:tcPr>
          <w:p w:rsidR="001362DC" w:rsidRPr="00EF0531" w:rsidRDefault="001362DC" w:rsidP="00C23FBA">
            <w:pPr>
              <w:rPr>
                <w:rFonts w:ascii="Arial" w:hAnsi="Arial" w:cs="Arial"/>
                <w:sz w:val="18"/>
                <w:szCs w:val="18"/>
              </w:rPr>
            </w:pPr>
            <w:r w:rsidRPr="00EF0531">
              <w:rPr>
                <w:rFonts w:ascii="Arial" w:hAnsi="Arial" w:cs="Arial"/>
                <w:sz w:val="18"/>
                <w:szCs w:val="18"/>
              </w:rPr>
              <w:t>Cieľ</w:t>
            </w:r>
          </w:p>
        </w:tc>
        <w:tc>
          <w:tcPr>
            <w:tcW w:w="351" w:type="pct"/>
            <w:tcBorders>
              <w:top w:val="nil"/>
              <w:left w:val="nil"/>
              <w:bottom w:val="dotted" w:sz="4" w:space="0" w:color="auto"/>
              <w:right w:val="dotted" w:sz="4" w:space="0" w:color="auto"/>
            </w:tcBorders>
            <w:noWrap/>
            <w:vAlign w:val="center"/>
          </w:tcPr>
          <w:p w:rsidR="001362DC" w:rsidRPr="00EF0531" w:rsidRDefault="001362DC" w:rsidP="00C23FBA">
            <w:pPr>
              <w:jc w:val="center"/>
              <w:rPr>
                <w:rFonts w:ascii="Arial" w:hAnsi="Arial" w:cs="Arial"/>
                <w:i/>
                <w:iCs/>
                <w:sz w:val="18"/>
                <w:szCs w:val="18"/>
              </w:rPr>
            </w:pPr>
            <w:r w:rsidRPr="00EF0531">
              <w:rPr>
                <w:rFonts w:ascii="Arial" w:hAnsi="Arial" w:cs="Arial"/>
                <w:i/>
                <w:iCs/>
                <w:sz w:val="18"/>
                <w:szCs w:val="18"/>
              </w:rPr>
              <w:t>N/A</w:t>
            </w:r>
          </w:p>
        </w:tc>
        <w:tc>
          <w:tcPr>
            <w:tcW w:w="353" w:type="pct"/>
            <w:tcBorders>
              <w:top w:val="nil"/>
              <w:left w:val="nil"/>
              <w:bottom w:val="dotted" w:sz="4" w:space="0" w:color="auto"/>
              <w:right w:val="dotted" w:sz="4" w:space="0" w:color="auto"/>
            </w:tcBorders>
            <w:noWrap/>
            <w:vAlign w:val="center"/>
          </w:tcPr>
          <w:p w:rsidR="001362DC" w:rsidRPr="00EF0531" w:rsidRDefault="001362DC" w:rsidP="00C23FBA">
            <w:pPr>
              <w:jc w:val="center"/>
              <w:rPr>
                <w:rFonts w:ascii="Arial" w:hAnsi="Arial" w:cs="Arial"/>
                <w:i/>
                <w:iCs/>
                <w:sz w:val="18"/>
                <w:szCs w:val="18"/>
              </w:rPr>
            </w:pPr>
            <w:r w:rsidRPr="00EF0531">
              <w:rPr>
                <w:rFonts w:ascii="Arial" w:hAnsi="Arial" w:cs="Arial"/>
                <w:i/>
                <w:iCs/>
                <w:sz w:val="18"/>
                <w:szCs w:val="18"/>
              </w:rPr>
              <w:t>N/A</w:t>
            </w:r>
          </w:p>
        </w:tc>
        <w:tc>
          <w:tcPr>
            <w:tcW w:w="356" w:type="pct"/>
            <w:tcBorders>
              <w:top w:val="nil"/>
              <w:left w:val="nil"/>
              <w:bottom w:val="dotted" w:sz="4" w:space="0" w:color="auto"/>
              <w:right w:val="dotted" w:sz="4" w:space="0" w:color="auto"/>
            </w:tcBorders>
            <w:noWrap/>
            <w:vAlign w:val="center"/>
          </w:tcPr>
          <w:p w:rsidR="001362DC" w:rsidRPr="00EF0531" w:rsidRDefault="001362DC" w:rsidP="00C23FBA">
            <w:pPr>
              <w:jc w:val="center"/>
              <w:rPr>
                <w:rFonts w:ascii="Arial" w:hAnsi="Arial" w:cs="Arial"/>
                <w:i/>
                <w:iCs/>
                <w:sz w:val="18"/>
                <w:szCs w:val="18"/>
              </w:rPr>
            </w:pPr>
            <w:r w:rsidRPr="00EF0531">
              <w:rPr>
                <w:rFonts w:ascii="Arial" w:hAnsi="Arial" w:cs="Arial"/>
                <w:i/>
                <w:iCs/>
                <w:sz w:val="18"/>
                <w:szCs w:val="18"/>
              </w:rPr>
              <w:t>N/A</w:t>
            </w:r>
          </w:p>
        </w:tc>
        <w:tc>
          <w:tcPr>
            <w:tcW w:w="352" w:type="pct"/>
            <w:tcBorders>
              <w:top w:val="nil"/>
              <w:left w:val="nil"/>
              <w:bottom w:val="dotted" w:sz="4" w:space="0" w:color="auto"/>
              <w:right w:val="dotted" w:sz="4" w:space="0" w:color="auto"/>
            </w:tcBorders>
            <w:noWrap/>
            <w:vAlign w:val="center"/>
          </w:tcPr>
          <w:p w:rsidR="001362DC" w:rsidRPr="00EF0531" w:rsidRDefault="001362DC" w:rsidP="00C23FBA">
            <w:pPr>
              <w:jc w:val="center"/>
              <w:rPr>
                <w:rFonts w:ascii="Arial" w:hAnsi="Arial" w:cs="Arial"/>
                <w:i/>
                <w:iCs/>
                <w:sz w:val="18"/>
                <w:szCs w:val="18"/>
              </w:rPr>
            </w:pPr>
            <w:r w:rsidRPr="00EF0531">
              <w:rPr>
                <w:rFonts w:ascii="Arial" w:hAnsi="Arial" w:cs="Arial"/>
                <w:i/>
                <w:iCs/>
                <w:sz w:val="18"/>
                <w:szCs w:val="18"/>
              </w:rPr>
              <w:t>N/A</w:t>
            </w:r>
          </w:p>
        </w:tc>
        <w:tc>
          <w:tcPr>
            <w:tcW w:w="344" w:type="pct"/>
            <w:tcBorders>
              <w:top w:val="nil"/>
              <w:left w:val="nil"/>
              <w:bottom w:val="dotted" w:sz="4" w:space="0" w:color="auto"/>
              <w:right w:val="dotted" w:sz="4" w:space="0" w:color="auto"/>
            </w:tcBorders>
            <w:noWrap/>
            <w:vAlign w:val="center"/>
          </w:tcPr>
          <w:p w:rsidR="001362DC" w:rsidRPr="00EF0531" w:rsidRDefault="001362DC" w:rsidP="00C23FBA">
            <w:pPr>
              <w:jc w:val="center"/>
              <w:rPr>
                <w:rFonts w:ascii="Arial" w:hAnsi="Arial" w:cs="Arial"/>
                <w:i/>
                <w:iCs/>
                <w:sz w:val="18"/>
                <w:szCs w:val="18"/>
              </w:rPr>
            </w:pPr>
            <w:r w:rsidRPr="00EF0531">
              <w:rPr>
                <w:rFonts w:ascii="Arial" w:hAnsi="Arial" w:cs="Arial"/>
                <w:i/>
                <w:iCs/>
                <w:sz w:val="18"/>
                <w:szCs w:val="18"/>
              </w:rPr>
              <w:t>N/A</w:t>
            </w:r>
          </w:p>
        </w:tc>
        <w:tc>
          <w:tcPr>
            <w:tcW w:w="269" w:type="pct"/>
            <w:tcBorders>
              <w:top w:val="nil"/>
              <w:left w:val="nil"/>
              <w:bottom w:val="dotted" w:sz="4" w:space="0" w:color="auto"/>
              <w:right w:val="dotted" w:sz="4" w:space="0" w:color="auto"/>
            </w:tcBorders>
            <w:noWrap/>
            <w:vAlign w:val="center"/>
          </w:tcPr>
          <w:p w:rsidR="001362DC" w:rsidRPr="00EF0531" w:rsidRDefault="001362DC" w:rsidP="00C23FBA">
            <w:pPr>
              <w:jc w:val="center"/>
              <w:rPr>
                <w:rFonts w:ascii="Arial" w:hAnsi="Arial" w:cs="Arial"/>
                <w:i/>
                <w:iCs/>
                <w:sz w:val="18"/>
                <w:szCs w:val="18"/>
              </w:rPr>
            </w:pPr>
            <w:r w:rsidRPr="00EF0531">
              <w:rPr>
                <w:rFonts w:ascii="Arial" w:hAnsi="Arial" w:cs="Arial"/>
                <w:i/>
                <w:iCs/>
                <w:sz w:val="18"/>
                <w:szCs w:val="18"/>
              </w:rPr>
              <w:t>N/A</w:t>
            </w:r>
          </w:p>
        </w:tc>
        <w:tc>
          <w:tcPr>
            <w:tcW w:w="269" w:type="pct"/>
            <w:tcBorders>
              <w:top w:val="nil"/>
              <w:left w:val="nil"/>
              <w:bottom w:val="dotted" w:sz="4" w:space="0" w:color="auto"/>
              <w:right w:val="dotted" w:sz="4" w:space="0" w:color="auto"/>
            </w:tcBorders>
            <w:noWrap/>
            <w:vAlign w:val="center"/>
          </w:tcPr>
          <w:p w:rsidR="001362DC" w:rsidRPr="00EF0531" w:rsidRDefault="001362DC" w:rsidP="00C23FBA">
            <w:pPr>
              <w:jc w:val="center"/>
              <w:rPr>
                <w:rFonts w:ascii="Arial" w:hAnsi="Arial" w:cs="Arial"/>
                <w:i/>
                <w:iCs/>
                <w:sz w:val="18"/>
                <w:szCs w:val="18"/>
              </w:rPr>
            </w:pPr>
            <w:r w:rsidRPr="00EF0531">
              <w:rPr>
                <w:rFonts w:ascii="Arial" w:hAnsi="Arial" w:cs="Arial"/>
                <w:i/>
                <w:iCs/>
                <w:sz w:val="18"/>
                <w:szCs w:val="18"/>
              </w:rPr>
              <w:t>N/A</w:t>
            </w:r>
          </w:p>
        </w:tc>
        <w:tc>
          <w:tcPr>
            <w:tcW w:w="269" w:type="pct"/>
            <w:tcBorders>
              <w:top w:val="nil"/>
              <w:left w:val="nil"/>
              <w:bottom w:val="dotted" w:sz="4" w:space="0" w:color="auto"/>
              <w:right w:val="dotted" w:sz="4" w:space="0" w:color="auto"/>
            </w:tcBorders>
            <w:noWrap/>
            <w:vAlign w:val="center"/>
          </w:tcPr>
          <w:p w:rsidR="001362DC" w:rsidRPr="00EF0531" w:rsidRDefault="001362DC" w:rsidP="00C23FBA">
            <w:pPr>
              <w:jc w:val="center"/>
              <w:rPr>
                <w:rFonts w:ascii="Arial" w:hAnsi="Arial" w:cs="Arial"/>
                <w:i/>
                <w:iCs/>
                <w:sz w:val="18"/>
                <w:szCs w:val="18"/>
              </w:rPr>
            </w:pPr>
            <w:r w:rsidRPr="00EF0531">
              <w:rPr>
                <w:rFonts w:ascii="Arial" w:hAnsi="Arial" w:cs="Arial"/>
                <w:i/>
                <w:iCs/>
                <w:sz w:val="18"/>
                <w:szCs w:val="18"/>
              </w:rPr>
              <w:t>N/A</w:t>
            </w:r>
          </w:p>
        </w:tc>
        <w:tc>
          <w:tcPr>
            <w:tcW w:w="253" w:type="pct"/>
            <w:tcBorders>
              <w:top w:val="nil"/>
              <w:left w:val="nil"/>
              <w:bottom w:val="dotted" w:sz="4" w:space="0" w:color="auto"/>
              <w:right w:val="dotted" w:sz="4" w:space="0" w:color="auto"/>
            </w:tcBorders>
            <w:noWrap/>
            <w:vAlign w:val="center"/>
          </w:tcPr>
          <w:p w:rsidR="001362DC" w:rsidRPr="00EF0531" w:rsidRDefault="001362DC" w:rsidP="00C23FBA">
            <w:pPr>
              <w:jc w:val="center"/>
              <w:rPr>
                <w:rFonts w:ascii="Arial" w:hAnsi="Arial" w:cs="Arial"/>
                <w:b/>
                <w:bCs/>
                <w:sz w:val="18"/>
                <w:szCs w:val="18"/>
              </w:rPr>
            </w:pPr>
            <w:r w:rsidRPr="00EF0531">
              <w:rPr>
                <w:rFonts w:ascii="Arial" w:hAnsi="Arial" w:cs="Arial"/>
                <w:b/>
                <w:bCs/>
                <w:sz w:val="18"/>
                <w:szCs w:val="18"/>
              </w:rPr>
              <w:t>60</w:t>
            </w:r>
          </w:p>
        </w:tc>
        <w:tc>
          <w:tcPr>
            <w:tcW w:w="523" w:type="pct"/>
            <w:tcBorders>
              <w:top w:val="nil"/>
              <w:left w:val="nil"/>
              <w:bottom w:val="dotted" w:sz="4" w:space="0" w:color="auto"/>
              <w:right w:val="dotted" w:sz="4" w:space="0" w:color="auto"/>
            </w:tcBorders>
            <w:noWrap/>
            <w:vAlign w:val="center"/>
          </w:tcPr>
          <w:p w:rsidR="001362DC" w:rsidRPr="00EF0531" w:rsidRDefault="001362DC" w:rsidP="00C23FBA">
            <w:pPr>
              <w:jc w:val="center"/>
              <w:rPr>
                <w:rFonts w:ascii="Arial" w:hAnsi="Arial" w:cs="Arial"/>
                <w:b/>
                <w:bCs/>
                <w:sz w:val="18"/>
                <w:szCs w:val="18"/>
              </w:rPr>
            </w:pPr>
            <w:r w:rsidRPr="00EF0531">
              <w:rPr>
                <w:rFonts w:ascii="Arial" w:hAnsi="Arial" w:cs="Arial"/>
                <w:b/>
                <w:bCs/>
                <w:sz w:val="18"/>
                <w:szCs w:val="18"/>
              </w:rPr>
              <w:t>60</w:t>
            </w:r>
          </w:p>
        </w:tc>
        <w:tc>
          <w:tcPr>
            <w:tcW w:w="353" w:type="pct"/>
            <w:tcBorders>
              <w:top w:val="nil"/>
              <w:left w:val="nil"/>
              <w:bottom w:val="dotted" w:sz="4" w:space="0" w:color="auto"/>
              <w:right w:val="single" w:sz="4" w:space="0" w:color="auto"/>
            </w:tcBorders>
            <w:noWrap/>
            <w:vAlign w:val="center"/>
          </w:tcPr>
          <w:p w:rsidR="001362DC" w:rsidRPr="00EF0531" w:rsidRDefault="001362DC" w:rsidP="00C23FBA">
            <w:pPr>
              <w:jc w:val="center"/>
              <w:rPr>
                <w:rFonts w:ascii="Arial" w:hAnsi="Arial" w:cs="Arial"/>
                <w:sz w:val="18"/>
                <w:szCs w:val="18"/>
              </w:rPr>
            </w:pPr>
            <w:r w:rsidRPr="00EF0531">
              <w:rPr>
                <w:rFonts w:ascii="Arial" w:hAnsi="Arial" w:cs="Arial"/>
                <w:sz w:val="18"/>
                <w:szCs w:val="18"/>
              </w:rPr>
              <w:t> </w:t>
            </w:r>
          </w:p>
        </w:tc>
      </w:tr>
      <w:tr w:rsidR="001362DC" w:rsidRPr="00EF0531" w:rsidTr="000A5C0F">
        <w:trPr>
          <w:cantSplit/>
          <w:trHeight w:val="20"/>
        </w:trPr>
        <w:tc>
          <w:tcPr>
            <w:tcW w:w="673" w:type="pct"/>
            <w:vMerge/>
            <w:tcBorders>
              <w:top w:val="single" w:sz="4" w:space="0" w:color="000000"/>
              <w:left w:val="single" w:sz="4" w:space="0" w:color="auto"/>
              <w:bottom w:val="single" w:sz="4" w:space="0" w:color="000000"/>
              <w:right w:val="single" w:sz="4" w:space="0" w:color="auto"/>
            </w:tcBorders>
            <w:shd w:val="clear" w:color="auto" w:fill="EAF1DD"/>
            <w:vAlign w:val="center"/>
          </w:tcPr>
          <w:p w:rsidR="001362DC" w:rsidRPr="00EF0531" w:rsidRDefault="001362DC" w:rsidP="00C23FBA">
            <w:pPr>
              <w:rPr>
                <w:rFonts w:ascii="Arial" w:hAnsi="Arial" w:cs="Arial"/>
                <w:sz w:val="18"/>
                <w:szCs w:val="18"/>
              </w:rPr>
            </w:pPr>
          </w:p>
        </w:tc>
        <w:tc>
          <w:tcPr>
            <w:tcW w:w="634" w:type="pct"/>
            <w:tcBorders>
              <w:top w:val="nil"/>
              <w:left w:val="nil"/>
              <w:bottom w:val="single" w:sz="4" w:space="0" w:color="auto"/>
              <w:right w:val="single" w:sz="4" w:space="0" w:color="auto"/>
            </w:tcBorders>
            <w:noWrap/>
            <w:vAlign w:val="center"/>
          </w:tcPr>
          <w:p w:rsidR="001362DC" w:rsidRPr="00EF0531" w:rsidRDefault="001362DC" w:rsidP="00C23FBA">
            <w:pPr>
              <w:rPr>
                <w:rFonts w:ascii="Arial" w:hAnsi="Arial" w:cs="Arial"/>
                <w:sz w:val="18"/>
                <w:szCs w:val="18"/>
              </w:rPr>
            </w:pPr>
            <w:r w:rsidRPr="00EF0531">
              <w:rPr>
                <w:rFonts w:ascii="Arial" w:hAnsi="Arial" w:cs="Arial"/>
                <w:sz w:val="18"/>
                <w:szCs w:val="18"/>
              </w:rPr>
              <w:t>Východisko</w:t>
            </w:r>
            <w:r w:rsidRPr="00EF0531">
              <w:rPr>
                <w:rFonts w:ascii="Arial" w:hAnsi="Arial" w:cs="Arial"/>
                <w:sz w:val="18"/>
                <w:szCs w:val="18"/>
                <w:vertAlign w:val="superscript"/>
              </w:rPr>
              <w:t>2</w:t>
            </w:r>
          </w:p>
        </w:tc>
        <w:tc>
          <w:tcPr>
            <w:tcW w:w="351" w:type="pct"/>
            <w:tcBorders>
              <w:top w:val="nil"/>
              <w:left w:val="nil"/>
              <w:bottom w:val="single" w:sz="4" w:space="0" w:color="auto"/>
              <w:right w:val="dotted" w:sz="4" w:space="0" w:color="auto"/>
            </w:tcBorders>
            <w:noWrap/>
            <w:vAlign w:val="center"/>
          </w:tcPr>
          <w:p w:rsidR="001362DC" w:rsidRPr="00EF0531" w:rsidRDefault="001362DC" w:rsidP="00C23FBA">
            <w:pPr>
              <w:jc w:val="center"/>
              <w:rPr>
                <w:rFonts w:ascii="Arial" w:hAnsi="Arial" w:cs="Arial"/>
                <w:b/>
                <w:bCs/>
                <w:sz w:val="18"/>
                <w:szCs w:val="18"/>
              </w:rPr>
            </w:pPr>
            <w:r w:rsidRPr="00EF0531">
              <w:rPr>
                <w:rFonts w:ascii="Arial" w:hAnsi="Arial" w:cs="Arial"/>
                <w:b/>
                <w:bCs/>
                <w:sz w:val="18"/>
                <w:szCs w:val="18"/>
              </w:rPr>
              <w:t>44</w:t>
            </w:r>
          </w:p>
        </w:tc>
        <w:tc>
          <w:tcPr>
            <w:tcW w:w="353" w:type="pct"/>
            <w:tcBorders>
              <w:top w:val="nil"/>
              <w:left w:val="nil"/>
              <w:bottom w:val="single" w:sz="4" w:space="0" w:color="auto"/>
              <w:right w:val="dotted" w:sz="4" w:space="0" w:color="auto"/>
            </w:tcBorders>
            <w:noWrap/>
            <w:vAlign w:val="center"/>
          </w:tcPr>
          <w:p w:rsidR="001362DC" w:rsidRPr="00EF0531" w:rsidRDefault="001362DC" w:rsidP="00C23FBA">
            <w:pPr>
              <w:jc w:val="center"/>
              <w:rPr>
                <w:rFonts w:ascii="Arial" w:hAnsi="Arial" w:cs="Arial"/>
                <w:i/>
                <w:iCs/>
                <w:sz w:val="18"/>
                <w:szCs w:val="18"/>
              </w:rPr>
            </w:pPr>
            <w:r w:rsidRPr="00EF0531">
              <w:rPr>
                <w:rFonts w:ascii="Arial" w:hAnsi="Arial" w:cs="Arial"/>
                <w:i/>
                <w:iCs/>
                <w:sz w:val="18"/>
                <w:szCs w:val="18"/>
              </w:rPr>
              <w:t>N/A</w:t>
            </w:r>
          </w:p>
        </w:tc>
        <w:tc>
          <w:tcPr>
            <w:tcW w:w="356" w:type="pct"/>
            <w:tcBorders>
              <w:top w:val="nil"/>
              <w:left w:val="nil"/>
              <w:bottom w:val="single" w:sz="4" w:space="0" w:color="auto"/>
              <w:right w:val="dotted" w:sz="4" w:space="0" w:color="auto"/>
            </w:tcBorders>
            <w:noWrap/>
            <w:vAlign w:val="center"/>
          </w:tcPr>
          <w:p w:rsidR="001362DC" w:rsidRPr="00EF0531" w:rsidRDefault="001362DC" w:rsidP="00C23FBA">
            <w:pPr>
              <w:jc w:val="center"/>
              <w:rPr>
                <w:rFonts w:ascii="Arial" w:hAnsi="Arial" w:cs="Arial"/>
                <w:i/>
                <w:iCs/>
                <w:sz w:val="18"/>
                <w:szCs w:val="18"/>
              </w:rPr>
            </w:pPr>
            <w:r w:rsidRPr="00EF0531">
              <w:rPr>
                <w:rFonts w:ascii="Arial" w:hAnsi="Arial" w:cs="Arial"/>
                <w:i/>
                <w:iCs/>
                <w:sz w:val="18"/>
                <w:szCs w:val="18"/>
              </w:rPr>
              <w:t>N/A</w:t>
            </w:r>
          </w:p>
        </w:tc>
        <w:tc>
          <w:tcPr>
            <w:tcW w:w="352" w:type="pct"/>
            <w:tcBorders>
              <w:top w:val="nil"/>
              <w:left w:val="nil"/>
              <w:bottom w:val="single" w:sz="4" w:space="0" w:color="auto"/>
              <w:right w:val="dotted" w:sz="4" w:space="0" w:color="auto"/>
            </w:tcBorders>
            <w:noWrap/>
            <w:vAlign w:val="center"/>
          </w:tcPr>
          <w:p w:rsidR="001362DC" w:rsidRPr="00EF0531" w:rsidRDefault="001362DC" w:rsidP="00C23FBA">
            <w:pPr>
              <w:jc w:val="center"/>
              <w:rPr>
                <w:rFonts w:ascii="Arial" w:hAnsi="Arial" w:cs="Arial"/>
                <w:i/>
                <w:iCs/>
                <w:sz w:val="18"/>
                <w:szCs w:val="18"/>
              </w:rPr>
            </w:pPr>
            <w:r w:rsidRPr="00EF0531">
              <w:rPr>
                <w:rFonts w:ascii="Arial" w:hAnsi="Arial" w:cs="Arial"/>
                <w:i/>
                <w:iCs/>
                <w:sz w:val="18"/>
                <w:szCs w:val="18"/>
              </w:rPr>
              <w:t>N/A</w:t>
            </w:r>
          </w:p>
        </w:tc>
        <w:tc>
          <w:tcPr>
            <w:tcW w:w="344" w:type="pct"/>
            <w:tcBorders>
              <w:top w:val="nil"/>
              <w:left w:val="nil"/>
              <w:bottom w:val="single" w:sz="4" w:space="0" w:color="auto"/>
              <w:right w:val="dotted" w:sz="4" w:space="0" w:color="auto"/>
            </w:tcBorders>
            <w:noWrap/>
            <w:vAlign w:val="center"/>
          </w:tcPr>
          <w:p w:rsidR="001362DC" w:rsidRPr="00EF0531" w:rsidRDefault="001362DC" w:rsidP="00C23FBA">
            <w:pPr>
              <w:jc w:val="center"/>
              <w:rPr>
                <w:rFonts w:ascii="Arial" w:hAnsi="Arial" w:cs="Arial"/>
                <w:i/>
                <w:iCs/>
                <w:sz w:val="18"/>
                <w:szCs w:val="18"/>
              </w:rPr>
            </w:pPr>
            <w:r w:rsidRPr="00EF0531">
              <w:rPr>
                <w:rFonts w:ascii="Arial" w:hAnsi="Arial" w:cs="Arial"/>
                <w:i/>
                <w:iCs/>
                <w:sz w:val="18"/>
                <w:szCs w:val="18"/>
              </w:rPr>
              <w:t>N/A</w:t>
            </w:r>
          </w:p>
        </w:tc>
        <w:tc>
          <w:tcPr>
            <w:tcW w:w="269" w:type="pct"/>
            <w:tcBorders>
              <w:top w:val="nil"/>
              <w:left w:val="nil"/>
              <w:bottom w:val="single" w:sz="4" w:space="0" w:color="auto"/>
              <w:right w:val="dotted" w:sz="4" w:space="0" w:color="auto"/>
            </w:tcBorders>
            <w:noWrap/>
            <w:vAlign w:val="center"/>
          </w:tcPr>
          <w:p w:rsidR="001362DC" w:rsidRPr="00EF0531" w:rsidRDefault="001362DC" w:rsidP="00C23FBA">
            <w:pPr>
              <w:jc w:val="center"/>
              <w:rPr>
                <w:rFonts w:ascii="Arial" w:hAnsi="Arial" w:cs="Arial"/>
                <w:i/>
                <w:iCs/>
                <w:sz w:val="18"/>
                <w:szCs w:val="18"/>
              </w:rPr>
            </w:pPr>
            <w:r w:rsidRPr="00EF0531">
              <w:rPr>
                <w:rFonts w:ascii="Arial" w:hAnsi="Arial" w:cs="Arial"/>
                <w:i/>
                <w:iCs/>
                <w:sz w:val="18"/>
                <w:szCs w:val="18"/>
              </w:rPr>
              <w:t>N/A</w:t>
            </w:r>
          </w:p>
        </w:tc>
        <w:tc>
          <w:tcPr>
            <w:tcW w:w="269" w:type="pct"/>
            <w:tcBorders>
              <w:top w:val="nil"/>
              <w:left w:val="nil"/>
              <w:bottom w:val="single" w:sz="4" w:space="0" w:color="auto"/>
              <w:right w:val="dotted" w:sz="4" w:space="0" w:color="auto"/>
            </w:tcBorders>
            <w:noWrap/>
            <w:vAlign w:val="center"/>
          </w:tcPr>
          <w:p w:rsidR="001362DC" w:rsidRPr="00EF0531" w:rsidRDefault="001362DC" w:rsidP="00C23FBA">
            <w:pPr>
              <w:jc w:val="center"/>
              <w:rPr>
                <w:rFonts w:ascii="Arial" w:hAnsi="Arial" w:cs="Arial"/>
                <w:i/>
                <w:iCs/>
                <w:sz w:val="18"/>
                <w:szCs w:val="18"/>
              </w:rPr>
            </w:pPr>
            <w:r w:rsidRPr="00EF0531">
              <w:rPr>
                <w:rFonts w:ascii="Arial" w:hAnsi="Arial" w:cs="Arial"/>
                <w:i/>
                <w:iCs/>
                <w:sz w:val="18"/>
                <w:szCs w:val="18"/>
              </w:rPr>
              <w:t>N/A</w:t>
            </w:r>
          </w:p>
        </w:tc>
        <w:tc>
          <w:tcPr>
            <w:tcW w:w="269" w:type="pct"/>
            <w:tcBorders>
              <w:top w:val="nil"/>
              <w:left w:val="nil"/>
              <w:bottom w:val="single" w:sz="4" w:space="0" w:color="auto"/>
              <w:right w:val="dotted" w:sz="4" w:space="0" w:color="auto"/>
            </w:tcBorders>
            <w:noWrap/>
            <w:vAlign w:val="center"/>
          </w:tcPr>
          <w:p w:rsidR="001362DC" w:rsidRPr="00EF0531" w:rsidRDefault="001362DC" w:rsidP="00C23FBA">
            <w:pPr>
              <w:jc w:val="center"/>
              <w:rPr>
                <w:rFonts w:ascii="Arial" w:hAnsi="Arial" w:cs="Arial"/>
                <w:i/>
                <w:iCs/>
                <w:sz w:val="18"/>
                <w:szCs w:val="18"/>
              </w:rPr>
            </w:pPr>
            <w:r w:rsidRPr="00EF0531">
              <w:rPr>
                <w:rFonts w:ascii="Arial" w:hAnsi="Arial" w:cs="Arial"/>
                <w:i/>
                <w:iCs/>
                <w:sz w:val="18"/>
                <w:szCs w:val="18"/>
              </w:rPr>
              <w:t>N/A</w:t>
            </w:r>
          </w:p>
        </w:tc>
        <w:tc>
          <w:tcPr>
            <w:tcW w:w="253" w:type="pct"/>
            <w:tcBorders>
              <w:top w:val="nil"/>
              <w:left w:val="nil"/>
              <w:bottom w:val="single" w:sz="4" w:space="0" w:color="auto"/>
              <w:right w:val="dotted" w:sz="4" w:space="0" w:color="auto"/>
            </w:tcBorders>
            <w:noWrap/>
            <w:vAlign w:val="center"/>
          </w:tcPr>
          <w:p w:rsidR="001362DC" w:rsidRPr="00EF0531" w:rsidRDefault="001362DC" w:rsidP="00C23FBA">
            <w:pPr>
              <w:jc w:val="center"/>
              <w:rPr>
                <w:rFonts w:ascii="Arial" w:hAnsi="Arial" w:cs="Arial"/>
                <w:i/>
                <w:iCs/>
                <w:sz w:val="18"/>
                <w:szCs w:val="18"/>
              </w:rPr>
            </w:pPr>
            <w:r w:rsidRPr="00EF0531">
              <w:rPr>
                <w:rFonts w:ascii="Arial" w:hAnsi="Arial" w:cs="Arial"/>
                <w:i/>
                <w:iCs/>
                <w:sz w:val="18"/>
                <w:szCs w:val="18"/>
              </w:rPr>
              <w:t>N/A</w:t>
            </w:r>
          </w:p>
        </w:tc>
        <w:tc>
          <w:tcPr>
            <w:tcW w:w="523" w:type="pct"/>
            <w:tcBorders>
              <w:top w:val="nil"/>
              <w:left w:val="nil"/>
              <w:bottom w:val="single" w:sz="4" w:space="0" w:color="auto"/>
              <w:right w:val="dotted" w:sz="4" w:space="0" w:color="auto"/>
            </w:tcBorders>
            <w:noWrap/>
            <w:vAlign w:val="center"/>
          </w:tcPr>
          <w:p w:rsidR="001362DC" w:rsidRPr="00EF0531" w:rsidRDefault="001362DC" w:rsidP="00C23FBA">
            <w:pPr>
              <w:jc w:val="center"/>
              <w:rPr>
                <w:rFonts w:ascii="Arial" w:hAnsi="Arial" w:cs="Arial"/>
                <w:b/>
                <w:bCs/>
                <w:sz w:val="18"/>
                <w:szCs w:val="18"/>
              </w:rPr>
            </w:pPr>
            <w:r w:rsidRPr="00EF0531">
              <w:rPr>
                <w:rFonts w:ascii="Arial" w:hAnsi="Arial" w:cs="Arial"/>
                <w:b/>
                <w:bCs/>
                <w:sz w:val="18"/>
                <w:szCs w:val="18"/>
              </w:rPr>
              <w:t>44</w:t>
            </w:r>
          </w:p>
        </w:tc>
        <w:tc>
          <w:tcPr>
            <w:tcW w:w="353" w:type="pct"/>
            <w:tcBorders>
              <w:top w:val="nil"/>
              <w:left w:val="nil"/>
              <w:bottom w:val="single" w:sz="4" w:space="0" w:color="auto"/>
              <w:right w:val="single" w:sz="4" w:space="0" w:color="auto"/>
            </w:tcBorders>
            <w:noWrap/>
            <w:vAlign w:val="center"/>
          </w:tcPr>
          <w:p w:rsidR="001362DC" w:rsidRPr="00EF0531" w:rsidRDefault="001362DC" w:rsidP="00C23FBA">
            <w:pPr>
              <w:jc w:val="center"/>
              <w:rPr>
                <w:rFonts w:ascii="Arial" w:hAnsi="Arial" w:cs="Arial"/>
                <w:sz w:val="18"/>
                <w:szCs w:val="18"/>
              </w:rPr>
            </w:pPr>
            <w:r w:rsidRPr="00EF0531">
              <w:rPr>
                <w:rFonts w:ascii="Arial" w:hAnsi="Arial" w:cs="Arial"/>
                <w:sz w:val="18"/>
                <w:szCs w:val="18"/>
              </w:rPr>
              <w:t> </w:t>
            </w:r>
          </w:p>
        </w:tc>
      </w:tr>
      <w:tr w:rsidR="001362DC" w:rsidRPr="00EF0531" w:rsidTr="000A5C0F">
        <w:trPr>
          <w:cantSplit/>
          <w:trHeight w:val="20"/>
        </w:trPr>
        <w:tc>
          <w:tcPr>
            <w:tcW w:w="673" w:type="pct"/>
            <w:vMerge w:val="restart"/>
            <w:tcBorders>
              <w:top w:val="single" w:sz="4" w:space="0" w:color="000000"/>
              <w:left w:val="single" w:sz="4" w:space="0" w:color="auto"/>
              <w:bottom w:val="single" w:sz="4" w:space="0" w:color="000000"/>
              <w:right w:val="single" w:sz="4" w:space="0" w:color="auto"/>
            </w:tcBorders>
            <w:shd w:val="clear" w:color="auto" w:fill="EAF1DD"/>
            <w:vAlign w:val="center"/>
          </w:tcPr>
          <w:p w:rsidR="001362DC" w:rsidRPr="00EF0531" w:rsidRDefault="001362DC" w:rsidP="00C23FBA">
            <w:pPr>
              <w:rPr>
                <w:rFonts w:ascii="Arial" w:hAnsi="Arial" w:cs="Arial"/>
                <w:sz w:val="18"/>
                <w:szCs w:val="18"/>
              </w:rPr>
            </w:pPr>
            <w:r w:rsidRPr="00EF0531">
              <w:rPr>
                <w:rFonts w:ascii="Arial" w:hAnsi="Arial" w:cs="Arial"/>
                <w:sz w:val="18"/>
                <w:szCs w:val="18"/>
              </w:rPr>
              <w:t>Percento obyvateľov napojených na ČOV</w:t>
            </w:r>
          </w:p>
          <w:p w:rsidR="00376114" w:rsidRPr="00EF0531" w:rsidRDefault="00376114" w:rsidP="00C23FBA">
            <w:pPr>
              <w:rPr>
                <w:rFonts w:ascii="Arial" w:hAnsi="Arial" w:cs="Arial"/>
                <w:sz w:val="18"/>
                <w:szCs w:val="18"/>
              </w:rPr>
            </w:pPr>
            <w:r w:rsidRPr="00EF0531">
              <w:rPr>
                <w:rFonts w:ascii="Arial" w:hAnsi="Arial" w:cs="Arial"/>
                <w:sz w:val="18"/>
                <w:szCs w:val="18"/>
              </w:rPr>
              <w:t>(%) kontext</w:t>
            </w:r>
          </w:p>
        </w:tc>
        <w:tc>
          <w:tcPr>
            <w:tcW w:w="634" w:type="pct"/>
            <w:tcBorders>
              <w:top w:val="nil"/>
              <w:left w:val="nil"/>
              <w:bottom w:val="dotted" w:sz="4" w:space="0" w:color="auto"/>
              <w:right w:val="single" w:sz="4" w:space="0" w:color="auto"/>
            </w:tcBorders>
            <w:noWrap/>
            <w:vAlign w:val="center"/>
          </w:tcPr>
          <w:p w:rsidR="001362DC" w:rsidRPr="00EF0531" w:rsidRDefault="001362DC" w:rsidP="00C23FBA">
            <w:pPr>
              <w:rPr>
                <w:rFonts w:ascii="Arial" w:hAnsi="Arial" w:cs="Arial"/>
                <w:sz w:val="18"/>
                <w:szCs w:val="18"/>
              </w:rPr>
            </w:pPr>
            <w:r w:rsidRPr="00EF0531">
              <w:rPr>
                <w:rFonts w:ascii="Arial" w:hAnsi="Arial" w:cs="Arial"/>
                <w:sz w:val="18"/>
                <w:szCs w:val="18"/>
              </w:rPr>
              <w:t>Dosiahnutý výsledok</w:t>
            </w:r>
          </w:p>
        </w:tc>
        <w:tc>
          <w:tcPr>
            <w:tcW w:w="351" w:type="pct"/>
            <w:tcBorders>
              <w:top w:val="nil"/>
              <w:left w:val="nil"/>
              <w:bottom w:val="dotted" w:sz="4" w:space="0" w:color="auto"/>
              <w:right w:val="dotted" w:sz="4" w:space="0" w:color="auto"/>
            </w:tcBorders>
            <w:noWrap/>
            <w:vAlign w:val="center"/>
          </w:tcPr>
          <w:p w:rsidR="001362DC" w:rsidRPr="00EF0531" w:rsidRDefault="001362DC" w:rsidP="00C23FBA">
            <w:pPr>
              <w:jc w:val="center"/>
              <w:rPr>
                <w:rFonts w:ascii="Arial" w:hAnsi="Arial" w:cs="Arial"/>
                <w:b/>
                <w:bCs/>
                <w:sz w:val="18"/>
                <w:szCs w:val="18"/>
              </w:rPr>
            </w:pPr>
            <w:r w:rsidRPr="00EF0531">
              <w:rPr>
                <w:rFonts w:ascii="Arial" w:hAnsi="Arial" w:cs="Arial"/>
                <w:b/>
                <w:bCs/>
                <w:sz w:val="18"/>
                <w:szCs w:val="18"/>
              </w:rPr>
              <w:t>56,7</w:t>
            </w:r>
          </w:p>
        </w:tc>
        <w:tc>
          <w:tcPr>
            <w:tcW w:w="353" w:type="pct"/>
            <w:tcBorders>
              <w:top w:val="nil"/>
              <w:left w:val="nil"/>
              <w:bottom w:val="dotted" w:sz="4" w:space="0" w:color="auto"/>
              <w:right w:val="dotted" w:sz="4" w:space="0" w:color="auto"/>
            </w:tcBorders>
            <w:noWrap/>
            <w:vAlign w:val="center"/>
          </w:tcPr>
          <w:p w:rsidR="001362DC" w:rsidRPr="00EF0531" w:rsidRDefault="001362DC" w:rsidP="00C23FBA">
            <w:pPr>
              <w:jc w:val="center"/>
              <w:rPr>
                <w:rFonts w:ascii="Arial" w:hAnsi="Arial" w:cs="Arial"/>
                <w:b/>
                <w:bCs/>
                <w:sz w:val="18"/>
                <w:szCs w:val="18"/>
              </w:rPr>
            </w:pPr>
            <w:r w:rsidRPr="00EF0531">
              <w:rPr>
                <w:rFonts w:ascii="Arial" w:hAnsi="Arial" w:cs="Arial"/>
                <w:b/>
                <w:bCs/>
                <w:sz w:val="18"/>
                <w:szCs w:val="18"/>
              </w:rPr>
              <w:t>57,4%</w:t>
            </w:r>
          </w:p>
        </w:tc>
        <w:tc>
          <w:tcPr>
            <w:tcW w:w="356" w:type="pct"/>
            <w:tcBorders>
              <w:top w:val="nil"/>
              <w:left w:val="nil"/>
              <w:bottom w:val="dotted" w:sz="4" w:space="0" w:color="auto"/>
              <w:right w:val="dotted" w:sz="4" w:space="0" w:color="auto"/>
            </w:tcBorders>
            <w:noWrap/>
            <w:vAlign w:val="center"/>
          </w:tcPr>
          <w:p w:rsidR="001362DC" w:rsidRPr="00EF0531" w:rsidRDefault="001362DC" w:rsidP="00C23FBA">
            <w:pPr>
              <w:jc w:val="center"/>
              <w:rPr>
                <w:rFonts w:ascii="Arial" w:hAnsi="Arial" w:cs="Arial"/>
                <w:b/>
                <w:bCs/>
                <w:sz w:val="18"/>
                <w:szCs w:val="18"/>
              </w:rPr>
            </w:pPr>
            <w:r w:rsidRPr="00EF0531">
              <w:rPr>
                <w:rFonts w:ascii="Arial" w:hAnsi="Arial" w:cs="Arial"/>
                <w:b/>
                <w:bCs/>
                <w:sz w:val="18"/>
                <w:szCs w:val="18"/>
              </w:rPr>
              <w:t>57,9%</w:t>
            </w:r>
          </w:p>
        </w:tc>
        <w:tc>
          <w:tcPr>
            <w:tcW w:w="352" w:type="pct"/>
            <w:tcBorders>
              <w:top w:val="nil"/>
              <w:left w:val="nil"/>
              <w:bottom w:val="dotted" w:sz="4" w:space="0" w:color="auto"/>
              <w:right w:val="dotted" w:sz="4" w:space="0" w:color="auto"/>
            </w:tcBorders>
            <w:noWrap/>
            <w:vAlign w:val="center"/>
          </w:tcPr>
          <w:p w:rsidR="001362DC" w:rsidRPr="00EF0531" w:rsidRDefault="001362DC" w:rsidP="00C23FBA">
            <w:pPr>
              <w:jc w:val="center"/>
              <w:rPr>
                <w:rFonts w:ascii="Arial" w:hAnsi="Arial" w:cs="Arial"/>
                <w:b/>
                <w:iCs/>
                <w:sz w:val="18"/>
                <w:szCs w:val="18"/>
              </w:rPr>
            </w:pPr>
            <w:r w:rsidRPr="00EF0531">
              <w:rPr>
                <w:rFonts w:ascii="Arial" w:hAnsi="Arial" w:cs="Arial"/>
                <w:b/>
                <w:iCs/>
                <w:sz w:val="18"/>
                <w:szCs w:val="18"/>
              </w:rPr>
              <w:t>58,9</w:t>
            </w:r>
          </w:p>
        </w:tc>
        <w:tc>
          <w:tcPr>
            <w:tcW w:w="344" w:type="pct"/>
            <w:tcBorders>
              <w:top w:val="nil"/>
              <w:left w:val="nil"/>
              <w:bottom w:val="dotted" w:sz="4" w:space="0" w:color="auto"/>
              <w:right w:val="dotted" w:sz="4" w:space="0" w:color="auto"/>
            </w:tcBorders>
            <w:noWrap/>
            <w:vAlign w:val="center"/>
          </w:tcPr>
          <w:p w:rsidR="001362DC" w:rsidRPr="00EF0531" w:rsidRDefault="001362DC" w:rsidP="00C23FBA">
            <w:pPr>
              <w:jc w:val="center"/>
              <w:rPr>
                <w:rFonts w:ascii="Arial" w:hAnsi="Arial" w:cs="Arial"/>
                <w:i/>
                <w:iCs/>
                <w:sz w:val="18"/>
                <w:szCs w:val="18"/>
              </w:rPr>
            </w:pPr>
            <w:r w:rsidRPr="00EF0531">
              <w:rPr>
                <w:rFonts w:ascii="Arial" w:hAnsi="Arial" w:cs="Arial"/>
                <w:i/>
                <w:iCs/>
                <w:sz w:val="18"/>
                <w:szCs w:val="18"/>
              </w:rPr>
              <w:t>N/A</w:t>
            </w:r>
          </w:p>
        </w:tc>
        <w:tc>
          <w:tcPr>
            <w:tcW w:w="269" w:type="pct"/>
            <w:tcBorders>
              <w:top w:val="nil"/>
              <w:left w:val="nil"/>
              <w:bottom w:val="dotted" w:sz="4" w:space="0" w:color="auto"/>
              <w:right w:val="dotted" w:sz="4" w:space="0" w:color="auto"/>
            </w:tcBorders>
            <w:noWrap/>
            <w:vAlign w:val="center"/>
          </w:tcPr>
          <w:p w:rsidR="001362DC" w:rsidRPr="00EF0531" w:rsidRDefault="001362DC" w:rsidP="00C23FBA">
            <w:pPr>
              <w:jc w:val="center"/>
              <w:rPr>
                <w:rFonts w:ascii="Arial" w:hAnsi="Arial" w:cs="Arial"/>
                <w:i/>
                <w:iCs/>
                <w:sz w:val="18"/>
                <w:szCs w:val="18"/>
              </w:rPr>
            </w:pPr>
            <w:r w:rsidRPr="00EF0531">
              <w:rPr>
                <w:rFonts w:ascii="Arial" w:hAnsi="Arial" w:cs="Arial"/>
                <w:i/>
                <w:iCs/>
                <w:sz w:val="18"/>
                <w:szCs w:val="18"/>
              </w:rPr>
              <w:t>N/A</w:t>
            </w:r>
          </w:p>
        </w:tc>
        <w:tc>
          <w:tcPr>
            <w:tcW w:w="269" w:type="pct"/>
            <w:tcBorders>
              <w:top w:val="nil"/>
              <w:left w:val="nil"/>
              <w:bottom w:val="dotted" w:sz="4" w:space="0" w:color="auto"/>
              <w:right w:val="dotted" w:sz="4" w:space="0" w:color="auto"/>
            </w:tcBorders>
            <w:noWrap/>
            <w:vAlign w:val="center"/>
          </w:tcPr>
          <w:p w:rsidR="001362DC" w:rsidRPr="00EF0531" w:rsidRDefault="001362DC" w:rsidP="00C23FBA">
            <w:pPr>
              <w:jc w:val="center"/>
              <w:rPr>
                <w:rFonts w:ascii="Arial" w:hAnsi="Arial" w:cs="Arial"/>
                <w:i/>
                <w:iCs/>
                <w:sz w:val="18"/>
                <w:szCs w:val="18"/>
              </w:rPr>
            </w:pPr>
            <w:r w:rsidRPr="00EF0531">
              <w:rPr>
                <w:rFonts w:ascii="Arial" w:hAnsi="Arial" w:cs="Arial"/>
                <w:i/>
                <w:iCs/>
                <w:sz w:val="18"/>
                <w:szCs w:val="18"/>
              </w:rPr>
              <w:t>N/A</w:t>
            </w:r>
          </w:p>
        </w:tc>
        <w:tc>
          <w:tcPr>
            <w:tcW w:w="269" w:type="pct"/>
            <w:tcBorders>
              <w:top w:val="nil"/>
              <w:left w:val="nil"/>
              <w:bottom w:val="dotted" w:sz="4" w:space="0" w:color="auto"/>
              <w:right w:val="dotted" w:sz="4" w:space="0" w:color="auto"/>
            </w:tcBorders>
            <w:noWrap/>
            <w:vAlign w:val="center"/>
          </w:tcPr>
          <w:p w:rsidR="001362DC" w:rsidRPr="00EF0531" w:rsidRDefault="001362DC" w:rsidP="00C23FBA">
            <w:pPr>
              <w:jc w:val="center"/>
              <w:rPr>
                <w:rFonts w:ascii="Arial" w:hAnsi="Arial" w:cs="Arial"/>
                <w:i/>
                <w:iCs/>
                <w:sz w:val="18"/>
                <w:szCs w:val="18"/>
              </w:rPr>
            </w:pPr>
            <w:r w:rsidRPr="00EF0531">
              <w:rPr>
                <w:rFonts w:ascii="Arial" w:hAnsi="Arial" w:cs="Arial"/>
                <w:i/>
                <w:iCs/>
                <w:sz w:val="18"/>
                <w:szCs w:val="18"/>
              </w:rPr>
              <w:t>N/A</w:t>
            </w:r>
          </w:p>
        </w:tc>
        <w:tc>
          <w:tcPr>
            <w:tcW w:w="253" w:type="pct"/>
            <w:tcBorders>
              <w:top w:val="nil"/>
              <w:left w:val="nil"/>
              <w:bottom w:val="dotted" w:sz="4" w:space="0" w:color="auto"/>
              <w:right w:val="dotted" w:sz="4" w:space="0" w:color="auto"/>
            </w:tcBorders>
            <w:noWrap/>
            <w:vAlign w:val="center"/>
          </w:tcPr>
          <w:p w:rsidR="001362DC" w:rsidRPr="00EF0531" w:rsidRDefault="001362DC" w:rsidP="00C23FBA">
            <w:pPr>
              <w:jc w:val="center"/>
              <w:rPr>
                <w:rFonts w:ascii="Arial" w:hAnsi="Arial" w:cs="Arial"/>
                <w:i/>
                <w:iCs/>
                <w:sz w:val="18"/>
                <w:szCs w:val="18"/>
              </w:rPr>
            </w:pPr>
            <w:r w:rsidRPr="00EF0531">
              <w:rPr>
                <w:rFonts w:ascii="Arial" w:hAnsi="Arial" w:cs="Arial"/>
                <w:i/>
                <w:iCs/>
                <w:sz w:val="18"/>
                <w:szCs w:val="18"/>
              </w:rPr>
              <w:t>N/A</w:t>
            </w:r>
          </w:p>
        </w:tc>
        <w:tc>
          <w:tcPr>
            <w:tcW w:w="523" w:type="pct"/>
            <w:tcBorders>
              <w:top w:val="nil"/>
              <w:left w:val="nil"/>
              <w:bottom w:val="dotted" w:sz="4" w:space="0" w:color="auto"/>
              <w:right w:val="dotted" w:sz="4" w:space="0" w:color="auto"/>
            </w:tcBorders>
            <w:noWrap/>
            <w:vAlign w:val="center"/>
          </w:tcPr>
          <w:p w:rsidR="001362DC" w:rsidRPr="00EF0531" w:rsidRDefault="001362DC" w:rsidP="00C23FBA">
            <w:pPr>
              <w:jc w:val="center"/>
              <w:rPr>
                <w:rFonts w:ascii="Arial" w:hAnsi="Arial" w:cs="Arial"/>
                <w:b/>
                <w:bCs/>
                <w:sz w:val="18"/>
                <w:szCs w:val="18"/>
              </w:rPr>
            </w:pPr>
            <w:r w:rsidRPr="00EF0531">
              <w:rPr>
                <w:rFonts w:ascii="Arial" w:hAnsi="Arial" w:cs="Arial"/>
                <w:b/>
                <w:bCs/>
                <w:sz w:val="18"/>
                <w:szCs w:val="18"/>
              </w:rPr>
              <w:t>58,90%</w:t>
            </w:r>
          </w:p>
        </w:tc>
        <w:tc>
          <w:tcPr>
            <w:tcW w:w="353" w:type="pct"/>
            <w:tcBorders>
              <w:top w:val="nil"/>
              <w:left w:val="nil"/>
              <w:bottom w:val="dotted" w:sz="4" w:space="0" w:color="auto"/>
              <w:right w:val="single" w:sz="4" w:space="0" w:color="auto"/>
            </w:tcBorders>
            <w:noWrap/>
            <w:vAlign w:val="center"/>
          </w:tcPr>
          <w:p w:rsidR="001362DC" w:rsidRPr="00EF0531" w:rsidRDefault="00376114" w:rsidP="00C23FBA">
            <w:pPr>
              <w:jc w:val="center"/>
              <w:rPr>
                <w:rFonts w:ascii="Arial" w:hAnsi="Arial" w:cs="Arial"/>
                <w:sz w:val="18"/>
                <w:szCs w:val="18"/>
              </w:rPr>
            </w:pPr>
            <w:r w:rsidRPr="00EF0531">
              <w:rPr>
                <w:sz w:val="16"/>
                <w:szCs w:val="16"/>
              </w:rPr>
              <w:t>Zdroj ŠÚ SR</w:t>
            </w:r>
            <w:r w:rsidRPr="00EF0531">
              <w:rPr>
                <w:rFonts w:ascii="Arial" w:hAnsi="Arial" w:cs="Arial"/>
                <w:sz w:val="18"/>
                <w:szCs w:val="18"/>
              </w:rPr>
              <w:t> </w:t>
            </w:r>
            <w:r w:rsidR="001362DC" w:rsidRPr="00EF0531">
              <w:rPr>
                <w:rFonts w:ascii="Arial" w:hAnsi="Arial" w:cs="Arial"/>
                <w:sz w:val="18"/>
                <w:szCs w:val="18"/>
              </w:rPr>
              <w:t> </w:t>
            </w:r>
          </w:p>
        </w:tc>
      </w:tr>
      <w:tr w:rsidR="001362DC" w:rsidRPr="00EF0531" w:rsidTr="000A5C0F">
        <w:trPr>
          <w:cantSplit/>
          <w:trHeight w:val="20"/>
        </w:trPr>
        <w:tc>
          <w:tcPr>
            <w:tcW w:w="673" w:type="pct"/>
            <w:vMerge/>
            <w:tcBorders>
              <w:top w:val="single" w:sz="4" w:space="0" w:color="000000"/>
              <w:left w:val="single" w:sz="4" w:space="0" w:color="auto"/>
              <w:bottom w:val="single" w:sz="4" w:space="0" w:color="000000"/>
              <w:right w:val="single" w:sz="4" w:space="0" w:color="auto"/>
            </w:tcBorders>
            <w:shd w:val="clear" w:color="auto" w:fill="EAF1DD"/>
            <w:vAlign w:val="center"/>
          </w:tcPr>
          <w:p w:rsidR="001362DC" w:rsidRPr="00EF0531" w:rsidRDefault="001362DC" w:rsidP="00C23FBA">
            <w:pPr>
              <w:rPr>
                <w:rFonts w:ascii="Arial" w:hAnsi="Arial" w:cs="Arial"/>
                <w:sz w:val="18"/>
                <w:szCs w:val="18"/>
              </w:rPr>
            </w:pPr>
          </w:p>
        </w:tc>
        <w:tc>
          <w:tcPr>
            <w:tcW w:w="634" w:type="pct"/>
            <w:tcBorders>
              <w:top w:val="nil"/>
              <w:left w:val="nil"/>
              <w:bottom w:val="dotted" w:sz="4" w:space="0" w:color="auto"/>
              <w:right w:val="single" w:sz="4" w:space="0" w:color="auto"/>
            </w:tcBorders>
            <w:noWrap/>
            <w:vAlign w:val="center"/>
          </w:tcPr>
          <w:p w:rsidR="001362DC" w:rsidRPr="00EF0531" w:rsidRDefault="001362DC" w:rsidP="00C23FBA">
            <w:pPr>
              <w:rPr>
                <w:rFonts w:ascii="Arial" w:hAnsi="Arial" w:cs="Arial"/>
                <w:sz w:val="18"/>
                <w:szCs w:val="18"/>
              </w:rPr>
            </w:pPr>
            <w:r w:rsidRPr="00EF0531">
              <w:rPr>
                <w:rFonts w:ascii="Arial" w:hAnsi="Arial" w:cs="Arial"/>
                <w:sz w:val="18"/>
                <w:szCs w:val="18"/>
              </w:rPr>
              <w:t>Cieľ</w:t>
            </w:r>
          </w:p>
        </w:tc>
        <w:tc>
          <w:tcPr>
            <w:tcW w:w="351" w:type="pct"/>
            <w:tcBorders>
              <w:top w:val="nil"/>
              <w:left w:val="nil"/>
              <w:bottom w:val="dotted" w:sz="4" w:space="0" w:color="auto"/>
              <w:right w:val="dotted" w:sz="4" w:space="0" w:color="auto"/>
            </w:tcBorders>
            <w:noWrap/>
            <w:vAlign w:val="center"/>
          </w:tcPr>
          <w:p w:rsidR="001362DC" w:rsidRPr="00EF0531" w:rsidRDefault="001362DC" w:rsidP="00C23FBA">
            <w:pPr>
              <w:jc w:val="center"/>
              <w:rPr>
                <w:rFonts w:ascii="Arial" w:hAnsi="Arial" w:cs="Arial"/>
                <w:i/>
                <w:iCs/>
                <w:sz w:val="18"/>
                <w:szCs w:val="18"/>
              </w:rPr>
            </w:pPr>
            <w:r w:rsidRPr="00EF0531">
              <w:rPr>
                <w:rFonts w:ascii="Arial" w:hAnsi="Arial" w:cs="Arial"/>
                <w:i/>
                <w:iCs/>
                <w:sz w:val="18"/>
                <w:szCs w:val="18"/>
              </w:rPr>
              <w:t>N/A</w:t>
            </w:r>
          </w:p>
        </w:tc>
        <w:tc>
          <w:tcPr>
            <w:tcW w:w="353" w:type="pct"/>
            <w:tcBorders>
              <w:top w:val="nil"/>
              <w:left w:val="nil"/>
              <w:bottom w:val="dotted" w:sz="4" w:space="0" w:color="auto"/>
              <w:right w:val="dotted" w:sz="4" w:space="0" w:color="auto"/>
            </w:tcBorders>
            <w:noWrap/>
            <w:vAlign w:val="center"/>
          </w:tcPr>
          <w:p w:rsidR="001362DC" w:rsidRPr="00EF0531" w:rsidRDefault="001362DC" w:rsidP="00C23FBA">
            <w:pPr>
              <w:jc w:val="center"/>
              <w:rPr>
                <w:rFonts w:ascii="Arial" w:hAnsi="Arial" w:cs="Arial"/>
                <w:i/>
                <w:iCs/>
                <w:sz w:val="18"/>
                <w:szCs w:val="18"/>
              </w:rPr>
            </w:pPr>
            <w:r w:rsidRPr="00EF0531">
              <w:rPr>
                <w:rFonts w:ascii="Arial" w:hAnsi="Arial" w:cs="Arial"/>
                <w:i/>
                <w:iCs/>
                <w:sz w:val="18"/>
                <w:szCs w:val="18"/>
              </w:rPr>
              <w:t>N/A</w:t>
            </w:r>
          </w:p>
        </w:tc>
        <w:tc>
          <w:tcPr>
            <w:tcW w:w="356" w:type="pct"/>
            <w:tcBorders>
              <w:top w:val="nil"/>
              <w:left w:val="nil"/>
              <w:bottom w:val="dotted" w:sz="4" w:space="0" w:color="auto"/>
              <w:right w:val="dotted" w:sz="4" w:space="0" w:color="auto"/>
            </w:tcBorders>
            <w:noWrap/>
            <w:vAlign w:val="center"/>
          </w:tcPr>
          <w:p w:rsidR="001362DC" w:rsidRPr="00EF0531" w:rsidRDefault="001362DC" w:rsidP="00C23FBA">
            <w:pPr>
              <w:jc w:val="center"/>
              <w:rPr>
                <w:rFonts w:ascii="Arial" w:hAnsi="Arial" w:cs="Arial"/>
                <w:i/>
                <w:iCs/>
                <w:sz w:val="18"/>
                <w:szCs w:val="18"/>
              </w:rPr>
            </w:pPr>
            <w:r w:rsidRPr="00EF0531">
              <w:rPr>
                <w:rFonts w:ascii="Arial" w:hAnsi="Arial" w:cs="Arial"/>
                <w:i/>
                <w:iCs/>
                <w:sz w:val="18"/>
                <w:szCs w:val="18"/>
              </w:rPr>
              <w:t>N/A</w:t>
            </w:r>
          </w:p>
        </w:tc>
        <w:tc>
          <w:tcPr>
            <w:tcW w:w="352" w:type="pct"/>
            <w:tcBorders>
              <w:top w:val="nil"/>
              <w:left w:val="nil"/>
              <w:bottom w:val="dotted" w:sz="4" w:space="0" w:color="auto"/>
              <w:right w:val="dotted" w:sz="4" w:space="0" w:color="auto"/>
            </w:tcBorders>
            <w:noWrap/>
            <w:vAlign w:val="center"/>
          </w:tcPr>
          <w:p w:rsidR="001362DC" w:rsidRPr="00EF0531" w:rsidRDefault="001362DC" w:rsidP="00C23FBA">
            <w:pPr>
              <w:jc w:val="center"/>
              <w:rPr>
                <w:rFonts w:ascii="Arial" w:hAnsi="Arial" w:cs="Arial"/>
                <w:i/>
                <w:iCs/>
                <w:sz w:val="18"/>
                <w:szCs w:val="18"/>
              </w:rPr>
            </w:pPr>
            <w:r w:rsidRPr="00EF0531">
              <w:rPr>
                <w:rFonts w:ascii="Arial" w:hAnsi="Arial" w:cs="Arial"/>
                <w:i/>
                <w:iCs/>
                <w:sz w:val="18"/>
                <w:szCs w:val="18"/>
              </w:rPr>
              <w:t>N/A</w:t>
            </w:r>
          </w:p>
        </w:tc>
        <w:tc>
          <w:tcPr>
            <w:tcW w:w="344" w:type="pct"/>
            <w:tcBorders>
              <w:top w:val="nil"/>
              <w:left w:val="nil"/>
              <w:bottom w:val="dotted" w:sz="4" w:space="0" w:color="auto"/>
              <w:right w:val="dotted" w:sz="4" w:space="0" w:color="auto"/>
            </w:tcBorders>
            <w:noWrap/>
            <w:vAlign w:val="center"/>
          </w:tcPr>
          <w:p w:rsidR="001362DC" w:rsidRPr="00EF0531" w:rsidRDefault="001362DC" w:rsidP="00C23FBA">
            <w:pPr>
              <w:jc w:val="center"/>
              <w:rPr>
                <w:rFonts w:ascii="Arial" w:hAnsi="Arial" w:cs="Arial"/>
                <w:i/>
                <w:iCs/>
                <w:sz w:val="18"/>
                <w:szCs w:val="18"/>
              </w:rPr>
            </w:pPr>
            <w:r w:rsidRPr="00EF0531">
              <w:rPr>
                <w:rFonts w:ascii="Arial" w:hAnsi="Arial" w:cs="Arial"/>
                <w:i/>
                <w:iCs/>
                <w:sz w:val="18"/>
                <w:szCs w:val="18"/>
              </w:rPr>
              <w:t>N/A</w:t>
            </w:r>
          </w:p>
        </w:tc>
        <w:tc>
          <w:tcPr>
            <w:tcW w:w="269" w:type="pct"/>
            <w:tcBorders>
              <w:top w:val="nil"/>
              <w:left w:val="nil"/>
              <w:bottom w:val="dotted" w:sz="4" w:space="0" w:color="auto"/>
              <w:right w:val="dotted" w:sz="4" w:space="0" w:color="auto"/>
            </w:tcBorders>
            <w:noWrap/>
            <w:vAlign w:val="center"/>
          </w:tcPr>
          <w:p w:rsidR="001362DC" w:rsidRPr="00EF0531" w:rsidRDefault="001362DC" w:rsidP="00C23FBA">
            <w:pPr>
              <w:jc w:val="center"/>
              <w:rPr>
                <w:rFonts w:ascii="Arial" w:hAnsi="Arial" w:cs="Arial"/>
                <w:i/>
                <w:iCs/>
                <w:sz w:val="18"/>
                <w:szCs w:val="18"/>
              </w:rPr>
            </w:pPr>
            <w:r w:rsidRPr="00EF0531">
              <w:rPr>
                <w:rFonts w:ascii="Arial" w:hAnsi="Arial" w:cs="Arial"/>
                <w:i/>
                <w:iCs/>
                <w:sz w:val="18"/>
                <w:szCs w:val="18"/>
              </w:rPr>
              <w:t>N/A</w:t>
            </w:r>
          </w:p>
        </w:tc>
        <w:tc>
          <w:tcPr>
            <w:tcW w:w="269" w:type="pct"/>
            <w:tcBorders>
              <w:top w:val="nil"/>
              <w:left w:val="nil"/>
              <w:bottom w:val="dotted" w:sz="4" w:space="0" w:color="auto"/>
              <w:right w:val="dotted" w:sz="4" w:space="0" w:color="auto"/>
            </w:tcBorders>
            <w:noWrap/>
            <w:vAlign w:val="center"/>
          </w:tcPr>
          <w:p w:rsidR="001362DC" w:rsidRPr="00EF0531" w:rsidRDefault="001362DC" w:rsidP="00C23FBA">
            <w:pPr>
              <w:jc w:val="center"/>
              <w:rPr>
                <w:rFonts w:ascii="Arial" w:hAnsi="Arial" w:cs="Arial"/>
                <w:i/>
                <w:iCs/>
                <w:sz w:val="18"/>
                <w:szCs w:val="18"/>
              </w:rPr>
            </w:pPr>
            <w:r w:rsidRPr="00EF0531">
              <w:rPr>
                <w:rFonts w:ascii="Arial" w:hAnsi="Arial" w:cs="Arial"/>
                <w:i/>
                <w:iCs/>
                <w:sz w:val="18"/>
                <w:szCs w:val="18"/>
              </w:rPr>
              <w:t>N/A</w:t>
            </w:r>
          </w:p>
        </w:tc>
        <w:tc>
          <w:tcPr>
            <w:tcW w:w="269" w:type="pct"/>
            <w:tcBorders>
              <w:top w:val="nil"/>
              <w:left w:val="nil"/>
              <w:bottom w:val="dotted" w:sz="4" w:space="0" w:color="auto"/>
              <w:right w:val="dotted" w:sz="4" w:space="0" w:color="auto"/>
            </w:tcBorders>
            <w:noWrap/>
            <w:vAlign w:val="center"/>
          </w:tcPr>
          <w:p w:rsidR="001362DC" w:rsidRPr="00EF0531" w:rsidRDefault="001362DC" w:rsidP="00C23FBA">
            <w:pPr>
              <w:jc w:val="center"/>
              <w:rPr>
                <w:rFonts w:ascii="Arial" w:hAnsi="Arial" w:cs="Arial"/>
                <w:i/>
                <w:iCs/>
                <w:sz w:val="18"/>
                <w:szCs w:val="18"/>
              </w:rPr>
            </w:pPr>
            <w:r w:rsidRPr="00EF0531">
              <w:rPr>
                <w:rFonts w:ascii="Arial" w:hAnsi="Arial" w:cs="Arial"/>
                <w:i/>
                <w:iCs/>
                <w:sz w:val="18"/>
                <w:szCs w:val="18"/>
              </w:rPr>
              <w:t>N/A</w:t>
            </w:r>
          </w:p>
        </w:tc>
        <w:tc>
          <w:tcPr>
            <w:tcW w:w="253" w:type="pct"/>
            <w:tcBorders>
              <w:top w:val="nil"/>
              <w:left w:val="nil"/>
              <w:bottom w:val="dotted" w:sz="4" w:space="0" w:color="auto"/>
              <w:right w:val="dotted" w:sz="4" w:space="0" w:color="auto"/>
            </w:tcBorders>
            <w:noWrap/>
            <w:vAlign w:val="center"/>
          </w:tcPr>
          <w:p w:rsidR="001362DC" w:rsidRPr="00EF0531" w:rsidRDefault="001362DC" w:rsidP="00C23FBA">
            <w:pPr>
              <w:jc w:val="center"/>
              <w:rPr>
                <w:rFonts w:ascii="Arial" w:hAnsi="Arial" w:cs="Arial"/>
                <w:b/>
                <w:bCs/>
                <w:sz w:val="18"/>
                <w:szCs w:val="18"/>
              </w:rPr>
            </w:pPr>
            <w:r w:rsidRPr="00EF0531">
              <w:rPr>
                <w:rFonts w:ascii="Arial" w:hAnsi="Arial" w:cs="Arial"/>
                <w:b/>
                <w:bCs/>
                <w:sz w:val="18"/>
                <w:szCs w:val="18"/>
              </w:rPr>
              <w:t>81</w:t>
            </w:r>
          </w:p>
        </w:tc>
        <w:tc>
          <w:tcPr>
            <w:tcW w:w="523" w:type="pct"/>
            <w:tcBorders>
              <w:top w:val="nil"/>
              <w:left w:val="nil"/>
              <w:bottom w:val="dotted" w:sz="4" w:space="0" w:color="auto"/>
              <w:right w:val="dotted" w:sz="4" w:space="0" w:color="auto"/>
            </w:tcBorders>
            <w:noWrap/>
            <w:vAlign w:val="center"/>
          </w:tcPr>
          <w:p w:rsidR="001362DC" w:rsidRPr="00EF0531" w:rsidRDefault="001362DC" w:rsidP="00C23FBA">
            <w:pPr>
              <w:jc w:val="center"/>
              <w:rPr>
                <w:rFonts w:ascii="Arial" w:hAnsi="Arial" w:cs="Arial"/>
                <w:b/>
                <w:bCs/>
                <w:sz w:val="18"/>
                <w:szCs w:val="18"/>
              </w:rPr>
            </w:pPr>
            <w:r w:rsidRPr="00EF0531">
              <w:rPr>
                <w:rFonts w:ascii="Arial" w:hAnsi="Arial" w:cs="Arial"/>
                <w:b/>
                <w:bCs/>
                <w:sz w:val="18"/>
                <w:szCs w:val="18"/>
              </w:rPr>
              <w:t>81</w:t>
            </w:r>
          </w:p>
        </w:tc>
        <w:tc>
          <w:tcPr>
            <w:tcW w:w="353" w:type="pct"/>
            <w:tcBorders>
              <w:top w:val="nil"/>
              <w:left w:val="nil"/>
              <w:bottom w:val="dotted" w:sz="4" w:space="0" w:color="auto"/>
              <w:right w:val="single" w:sz="4" w:space="0" w:color="auto"/>
            </w:tcBorders>
            <w:noWrap/>
            <w:vAlign w:val="center"/>
          </w:tcPr>
          <w:p w:rsidR="001362DC" w:rsidRPr="00EF0531" w:rsidRDefault="001362DC" w:rsidP="00C23FBA">
            <w:pPr>
              <w:jc w:val="center"/>
              <w:rPr>
                <w:rFonts w:ascii="Arial" w:hAnsi="Arial" w:cs="Arial"/>
                <w:sz w:val="18"/>
                <w:szCs w:val="18"/>
              </w:rPr>
            </w:pPr>
            <w:r w:rsidRPr="00EF0531">
              <w:rPr>
                <w:rFonts w:ascii="Arial" w:hAnsi="Arial" w:cs="Arial"/>
                <w:sz w:val="18"/>
                <w:szCs w:val="18"/>
              </w:rPr>
              <w:t> </w:t>
            </w:r>
          </w:p>
        </w:tc>
      </w:tr>
      <w:tr w:rsidR="001362DC" w:rsidRPr="00EF0531" w:rsidTr="000A5C0F">
        <w:trPr>
          <w:cantSplit/>
          <w:trHeight w:val="20"/>
        </w:trPr>
        <w:tc>
          <w:tcPr>
            <w:tcW w:w="673" w:type="pct"/>
            <w:vMerge/>
            <w:tcBorders>
              <w:top w:val="single" w:sz="4" w:space="0" w:color="000000"/>
              <w:left w:val="single" w:sz="4" w:space="0" w:color="auto"/>
              <w:bottom w:val="single" w:sz="4" w:space="0" w:color="000000"/>
              <w:right w:val="single" w:sz="4" w:space="0" w:color="auto"/>
            </w:tcBorders>
            <w:shd w:val="clear" w:color="auto" w:fill="EAF1DD"/>
            <w:vAlign w:val="center"/>
          </w:tcPr>
          <w:p w:rsidR="001362DC" w:rsidRPr="00EF0531" w:rsidRDefault="001362DC" w:rsidP="00C23FBA">
            <w:pPr>
              <w:rPr>
                <w:rFonts w:ascii="Arial" w:hAnsi="Arial" w:cs="Arial"/>
                <w:sz w:val="18"/>
                <w:szCs w:val="18"/>
              </w:rPr>
            </w:pPr>
          </w:p>
        </w:tc>
        <w:tc>
          <w:tcPr>
            <w:tcW w:w="634" w:type="pct"/>
            <w:tcBorders>
              <w:top w:val="nil"/>
              <w:left w:val="nil"/>
              <w:bottom w:val="single" w:sz="4" w:space="0" w:color="auto"/>
              <w:right w:val="single" w:sz="4" w:space="0" w:color="auto"/>
            </w:tcBorders>
            <w:noWrap/>
            <w:vAlign w:val="center"/>
          </w:tcPr>
          <w:p w:rsidR="001362DC" w:rsidRPr="00EF0531" w:rsidRDefault="001362DC" w:rsidP="00C23FBA">
            <w:pPr>
              <w:rPr>
                <w:rFonts w:ascii="Arial" w:hAnsi="Arial" w:cs="Arial"/>
                <w:sz w:val="18"/>
                <w:szCs w:val="18"/>
              </w:rPr>
            </w:pPr>
            <w:r w:rsidRPr="00EF0531">
              <w:rPr>
                <w:rFonts w:ascii="Arial" w:hAnsi="Arial" w:cs="Arial"/>
                <w:sz w:val="18"/>
                <w:szCs w:val="18"/>
              </w:rPr>
              <w:t>Východisko</w:t>
            </w:r>
            <w:r w:rsidRPr="00EF0531">
              <w:rPr>
                <w:rFonts w:ascii="Arial" w:hAnsi="Arial" w:cs="Arial"/>
                <w:sz w:val="18"/>
                <w:szCs w:val="18"/>
                <w:vertAlign w:val="superscript"/>
              </w:rPr>
              <w:t>2</w:t>
            </w:r>
          </w:p>
        </w:tc>
        <w:tc>
          <w:tcPr>
            <w:tcW w:w="351" w:type="pct"/>
            <w:tcBorders>
              <w:top w:val="nil"/>
              <w:left w:val="nil"/>
              <w:bottom w:val="single" w:sz="4" w:space="0" w:color="auto"/>
              <w:right w:val="dotted" w:sz="4" w:space="0" w:color="auto"/>
            </w:tcBorders>
            <w:noWrap/>
            <w:vAlign w:val="center"/>
          </w:tcPr>
          <w:p w:rsidR="001362DC" w:rsidRPr="00EF0531" w:rsidRDefault="001362DC" w:rsidP="00C23FBA">
            <w:pPr>
              <w:jc w:val="center"/>
              <w:rPr>
                <w:rFonts w:ascii="Arial" w:hAnsi="Arial" w:cs="Arial"/>
                <w:b/>
                <w:bCs/>
                <w:sz w:val="18"/>
                <w:szCs w:val="18"/>
              </w:rPr>
            </w:pPr>
            <w:r w:rsidRPr="00EF0531">
              <w:rPr>
                <w:rFonts w:ascii="Arial" w:hAnsi="Arial" w:cs="Arial"/>
                <w:b/>
                <w:bCs/>
                <w:sz w:val="18"/>
                <w:szCs w:val="18"/>
              </w:rPr>
              <w:t>54,1</w:t>
            </w:r>
          </w:p>
        </w:tc>
        <w:tc>
          <w:tcPr>
            <w:tcW w:w="353" w:type="pct"/>
            <w:tcBorders>
              <w:top w:val="nil"/>
              <w:left w:val="nil"/>
              <w:bottom w:val="single" w:sz="4" w:space="0" w:color="auto"/>
              <w:right w:val="dotted" w:sz="4" w:space="0" w:color="auto"/>
            </w:tcBorders>
            <w:noWrap/>
            <w:vAlign w:val="center"/>
          </w:tcPr>
          <w:p w:rsidR="001362DC" w:rsidRPr="00EF0531" w:rsidRDefault="001362DC" w:rsidP="00C23FBA">
            <w:pPr>
              <w:jc w:val="center"/>
              <w:rPr>
                <w:rFonts w:ascii="Arial" w:hAnsi="Arial" w:cs="Arial"/>
                <w:i/>
                <w:iCs/>
                <w:sz w:val="18"/>
                <w:szCs w:val="18"/>
              </w:rPr>
            </w:pPr>
            <w:r w:rsidRPr="00EF0531">
              <w:rPr>
                <w:rFonts w:ascii="Arial" w:hAnsi="Arial" w:cs="Arial"/>
                <w:i/>
                <w:iCs/>
                <w:sz w:val="18"/>
                <w:szCs w:val="18"/>
              </w:rPr>
              <w:t>N/A</w:t>
            </w:r>
          </w:p>
        </w:tc>
        <w:tc>
          <w:tcPr>
            <w:tcW w:w="356" w:type="pct"/>
            <w:tcBorders>
              <w:top w:val="nil"/>
              <w:left w:val="nil"/>
              <w:bottom w:val="single" w:sz="4" w:space="0" w:color="auto"/>
              <w:right w:val="dotted" w:sz="4" w:space="0" w:color="auto"/>
            </w:tcBorders>
            <w:noWrap/>
            <w:vAlign w:val="center"/>
          </w:tcPr>
          <w:p w:rsidR="001362DC" w:rsidRPr="00EF0531" w:rsidRDefault="001362DC" w:rsidP="00C23FBA">
            <w:pPr>
              <w:jc w:val="center"/>
              <w:rPr>
                <w:rFonts w:ascii="Arial" w:hAnsi="Arial" w:cs="Arial"/>
                <w:i/>
                <w:iCs/>
                <w:sz w:val="18"/>
                <w:szCs w:val="18"/>
              </w:rPr>
            </w:pPr>
            <w:r w:rsidRPr="00EF0531">
              <w:rPr>
                <w:rFonts w:ascii="Arial" w:hAnsi="Arial" w:cs="Arial"/>
                <w:i/>
                <w:iCs/>
                <w:sz w:val="18"/>
                <w:szCs w:val="18"/>
              </w:rPr>
              <w:t>N/A</w:t>
            </w:r>
          </w:p>
        </w:tc>
        <w:tc>
          <w:tcPr>
            <w:tcW w:w="352" w:type="pct"/>
            <w:tcBorders>
              <w:top w:val="nil"/>
              <w:left w:val="nil"/>
              <w:bottom w:val="single" w:sz="4" w:space="0" w:color="auto"/>
              <w:right w:val="dotted" w:sz="4" w:space="0" w:color="auto"/>
            </w:tcBorders>
            <w:noWrap/>
            <w:vAlign w:val="center"/>
          </w:tcPr>
          <w:p w:rsidR="001362DC" w:rsidRPr="00EF0531" w:rsidRDefault="001362DC" w:rsidP="00C23FBA">
            <w:pPr>
              <w:jc w:val="center"/>
              <w:rPr>
                <w:rFonts w:ascii="Arial" w:hAnsi="Arial" w:cs="Arial"/>
                <w:i/>
                <w:iCs/>
                <w:sz w:val="18"/>
                <w:szCs w:val="18"/>
              </w:rPr>
            </w:pPr>
            <w:r w:rsidRPr="00EF0531">
              <w:rPr>
                <w:rFonts w:ascii="Arial" w:hAnsi="Arial" w:cs="Arial"/>
                <w:i/>
                <w:iCs/>
                <w:sz w:val="18"/>
                <w:szCs w:val="18"/>
              </w:rPr>
              <w:t>N/A</w:t>
            </w:r>
          </w:p>
        </w:tc>
        <w:tc>
          <w:tcPr>
            <w:tcW w:w="344" w:type="pct"/>
            <w:tcBorders>
              <w:top w:val="nil"/>
              <w:left w:val="nil"/>
              <w:bottom w:val="single" w:sz="4" w:space="0" w:color="auto"/>
              <w:right w:val="dotted" w:sz="4" w:space="0" w:color="auto"/>
            </w:tcBorders>
            <w:noWrap/>
            <w:vAlign w:val="center"/>
          </w:tcPr>
          <w:p w:rsidR="001362DC" w:rsidRPr="00EF0531" w:rsidRDefault="001362DC" w:rsidP="00C23FBA">
            <w:pPr>
              <w:jc w:val="center"/>
              <w:rPr>
                <w:rFonts w:ascii="Arial" w:hAnsi="Arial" w:cs="Arial"/>
                <w:i/>
                <w:iCs/>
                <w:sz w:val="18"/>
                <w:szCs w:val="18"/>
              </w:rPr>
            </w:pPr>
            <w:r w:rsidRPr="00EF0531">
              <w:rPr>
                <w:rFonts w:ascii="Arial" w:hAnsi="Arial" w:cs="Arial"/>
                <w:i/>
                <w:iCs/>
                <w:sz w:val="18"/>
                <w:szCs w:val="18"/>
              </w:rPr>
              <w:t>N/A</w:t>
            </w:r>
          </w:p>
        </w:tc>
        <w:tc>
          <w:tcPr>
            <w:tcW w:w="269" w:type="pct"/>
            <w:tcBorders>
              <w:top w:val="nil"/>
              <w:left w:val="nil"/>
              <w:bottom w:val="single" w:sz="4" w:space="0" w:color="auto"/>
              <w:right w:val="dotted" w:sz="4" w:space="0" w:color="auto"/>
            </w:tcBorders>
            <w:noWrap/>
            <w:vAlign w:val="center"/>
          </w:tcPr>
          <w:p w:rsidR="001362DC" w:rsidRPr="00EF0531" w:rsidRDefault="001362DC" w:rsidP="00C23FBA">
            <w:pPr>
              <w:jc w:val="center"/>
              <w:rPr>
                <w:rFonts w:ascii="Arial" w:hAnsi="Arial" w:cs="Arial"/>
                <w:i/>
                <w:iCs/>
                <w:sz w:val="18"/>
                <w:szCs w:val="18"/>
              </w:rPr>
            </w:pPr>
            <w:r w:rsidRPr="00EF0531">
              <w:rPr>
                <w:rFonts w:ascii="Arial" w:hAnsi="Arial" w:cs="Arial"/>
                <w:i/>
                <w:iCs/>
                <w:sz w:val="18"/>
                <w:szCs w:val="18"/>
              </w:rPr>
              <w:t>N/A</w:t>
            </w:r>
          </w:p>
        </w:tc>
        <w:tc>
          <w:tcPr>
            <w:tcW w:w="269" w:type="pct"/>
            <w:tcBorders>
              <w:top w:val="nil"/>
              <w:left w:val="nil"/>
              <w:bottom w:val="single" w:sz="4" w:space="0" w:color="auto"/>
              <w:right w:val="dotted" w:sz="4" w:space="0" w:color="auto"/>
            </w:tcBorders>
            <w:noWrap/>
            <w:vAlign w:val="center"/>
          </w:tcPr>
          <w:p w:rsidR="001362DC" w:rsidRPr="00EF0531" w:rsidRDefault="001362DC" w:rsidP="00C23FBA">
            <w:pPr>
              <w:jc w:val="center"/>
              <w:rPr>
                <w:rFonts w:ascii="Arial" w:hAnsi="Arial" w:cs="Arial"/>
                <w:i/>
                <w:iCs/>
                <w:sz w:val="18"/>
                <w:szCs w:val="18"/>
              </w:rPr>
            </w:pPr>
            <w:r w:rsidRPr="00EF0531">
              <w:rPr>
                <w:rFonts w:ascii="Arial" w:hAnsi="Arial" w:cs="Arial"/>
                <w:i/>
                <w:iCs/>
                <w:sz w:val="18"/>
                <w:szCs w:val="18"/>
              </w:rPr>
              <w:t>N/A</w:t>
            </w:r>
          </w:p>
        </w:tc>
        <w:tc>
          <w:tcPr>
            <w:tcW w:w="269" w:type="pct"/>
            <w:tcBorders>
              <w:top w:val="nil"/>
              <w:left w:val="nil"/>
              <w:bottom w:val="single" w:sz="4" w:space="0" w:color="auto"/>
              <w:right w:val="dotted" w:sz="4" w:space="0" w:color="auto"/>
            </w:tcBorders>
            <w:noWrap/>
            <w:vAlign w:val="center"/>
          </w:tcPr>
          <w:p w:rsidR="001362DC" w:rsidRPr="00EF0531" w:rsidRDefault="001362DC" w:rsidP="00C23FBA">
            <w:pPr>
              <w:jc w:val="center"/>
              <w:rPr>
                <w:rFonts w:ascii="Arial" w:hAnsi="Arial" w:cs="Arial"/>
                <w:i/>
                <w:iCs/>
                <w:sz w:val="18"/>
                <w:szCs w:val="18"/>
              </w:rPr>
            </w:pPr>
            <w:r w:rsidRPr="00EF0531">
              <w:rPr>
                <w:rFonts w:ascii="Arial" w:hAnsi="Arial" w:cs="Arial"/>
                <w:i/>
                <w:iCs/>
                <w:sz w:val="18"/>
                <w:szCs w:val="18"/>
              </w:rPr>
              <w:t>N/A</w:t>
            </w:r>
          </w:p>
        </w:tc>
        <w:tc>
          <w:tcPr>
            <w:tcW w:w="253" w:type="pct"/>
            <w:tcBorders>
              <w:top w:val="nil"/>
              <w:left w:val="nil"/>
              <w:bottom w:val="single" w:sz="4" w:space="0" w:color="auto"/>
              <w:right w:val="dotted" w:sz="4" w:space="0" w:color="auto"/>
            </w:tcBorders>
            <w:noWrap/>
            <w:vAlign w:val="center"/>
          </w:tcPr>
          <w:p w:rsidR="001362DC" w:rsidRPr="00EF0531" w:rsidRDefault="001362DC" w:rsidP="00C23FBA">
            <w:pPr>
              <w:jc w:val="center"/>
              <w:rPr>
                <w:rFonts w:ascii="Arial" w:hAnsi="Arial" w:cs="Arial"/>
                <w:i/>
                <w:iCs/>
                <w:sz w:val="18"/>
                <w:szCs w:val="18"/>
              </w:rPr>
            </w:pPr>
            <w:r w:rsidRPr="00EF0531">
              <w:rPr>
                <w:rFonts w:ascii="Arial" w:hAnsi="Arial" w:cs="Arial"/>
                <w:i/>
                <w:iCs/>
                <w:sz w:val="18"/>
                <w:szCs w:val="18"/>
              </w:rPr>
              <w:t>N/A</w:t>
            </w:r>
          </w:p>
        </w:tc>
        <w:tc>
          <w:tcPr>
            <w:tcW w:w="523" w:type="pct"/>
            <w:tcBorders>
              <w:top w:val="nil"/>
              <w:left w:val="nil"/>
              <w:bottom w:val="single" w:sz="4" w:space="0" w:color="auto"/>
              <w:right w:val="dotted" w:sz="4" w:space="0" w:color="auto"/>
            </w:tcBorders>
            <w:noWrap/>
            <w:vAlign w:val="center"/>
          </w:tcPr>
          <w:p w:rsidR="001362DC" w:rsidRPr="00EF0531" w:rsidRDefault="001362DC" w:rsidP="00C23FBA">
            <w:pPr>
              <w:jc w:val="center"/>
              <w:rPr>
                <w:rFonts w:ascii="Arial" w:hAnsi="Arial" w:cs="Arial"/>
                <w:b/>
                <w:bCs/>
                <w:sz w:val="18"/>
                <w:szCs w:val="18"/>
              </w:rPr>
            </w:pPr>
            <w:r w:rsidRPr="00EF0531">
              <w:rPr>
                <w:rFonts w:ascii="Arial" w:hAnsi="Arial" w:cs="Arial"/>
                <w:b/>
                <w:bCs/>
                <w:sz w:val="18"/>
                <w:szCs w:val="18"/>
              </w:rPr>
              <w:t>54,1</w:t>
            </w:r>
          </w:p>
        </w:tc>
        <w:tc>
          <w:tcPr>
            <w:tcW w:w="353" w:type="pct"/>
            <w:tcBorders>
              <w:top w:val="nil"/>
              <w:left w:val="nil"/>
              <w:bottom w:val="single" w:sz="4" w:space="0" w:color="auto"/>
              <w:right w:val="single" w:sz="4" w:space="0" w:color="auto"/>
            </w:tcBorders>
            <w:noWrap/>
            <w:vAlign w:val="center"/>
          </w:tcPr>
          <w:p w:rsidR="001362DC" w:rsidRPr="00EF0531" w:rsidRDefault="001362DC" w:rsidP="00C23FBA">
            <w:pPr>
              <w:jc w:val="center"/>
              <w:rPr>
                <w:rFonts w:ascii="Arial" w:hAnsi="Arial" w:cs="Arial"/>
                <w:sz w:val="18"/>
                <w:szCs w:val="18"/>
              </w:rPr>
            </w:pPr>
            <w:r w:rsidRPr="00EF0531">
              <w:rPr>
                <w:rFonts w:ascii="Arial" w:hAnsi="Arial" w:cs="Arial"/>
                <w:sz w:val="18"/>
                <w:szCs w:val="18"/>
              </w:rPr>
              <w:t> </w:t>
            </w:r>
          </w:p>
        </w:tc>
      </w:tr>
      <w:tr w:rsidR="001362DC" w:rsidRPr="00EF0531" w:rsidTr="000A5C0F">
        <w:trPr>
          <w:cantSplit/>
          <w:trHeight w:val="20"/>
        </w:trPr>
        <w:tc>
          <w:tcPr>
            <w:tcW w:w="673" w:type="pct"/>
            <w:vMerge w:val="restart"/>
            <w:tcBorders>
              <w:top w:val="single" w:sz="4" w:space="0" w:color="000000"/>
              <w:left w:val="single" w:sz="4" w:space="0" w:color="auto"/>
              <w:bottom w:val="single" w:sz="4" w:space="0" w:color="000000"/>
              <w:right w:val="single" w:sz="4" w:space="0" w:color="auto"/>
            </w:tcBorders>
            <w:shd w:val="clear" w:color="auto" w:fill="EAF1DD"/>
            <w:vAlign w:val="center"/>
          </w:tcPr>
          <w:p w:rsidR="001362DC" w:rsidRPr="00EF0531" w:rsidRDefault="001362DC" w:rsidP="00C23FBA">
            <w:pPr>
              <w:rPr>
                <w:rFonts w:ascii="Arial" w:hAnsi="Arial" w:cs="Arial"/>
                <w:sz w:val="18"/>
                <w:szCs w:val="18"/>
              </w:rPr>
            </w:pPr>
            <w:r w:rsidRPr="00EF0531">
              <w:rPr>
                <w:rFonts w:ascii="Arial" w:hAnsi="Arial" w:cs="Arial"/>
                <w:sz w:val="18"/>
                <w:szCs w:val="18"/>
              </w:rPr>
              <w:t>Podiel obyvateľov zásobovaných vodou z verejných vodovodov</w:t>
            </w:r>
          </w:p>
          <w:p w:rsidR="00376114" w:rsidRPr="00EF0531" w:rsidRDefault="00376114" w:rsidP="00C23FBA">
            <w:pPr>
              <w:rPr>
                <w:rFonts w:ascii="Arial" w:hAnsi="Arial" w:cs="Arial"/>
                <w:sz w:val="18"/>
                <w:szCs w:val="18"/>
              </w:rPr>
            </w:pPr>
            <w:r w:rsidRPr="00EF0531">
              <w:rPr>
                <w:rFonts w:ascii="Arial" w:hAnsi="Arial" w:cs="Arial"/>
                <w:sz w:val="18"/>
                <w:szCs w:val="18"/>
              </w:rPr>
              <w:t>(%) kontext</w:t>
            </w:r>
          </w:p>
        </w:tc>
        <w:tc>
          <w:tcPr>
            <w:tcW w:w="634" w:type="pct"/>
            <w:tcBorders>
              <w:top w:val="nil"/>
              <w:left w:val="nil"/>
              <w:bottom w:val="dotted" w:sz="4" w:space="0" w:color="auto"/>
              <w:right w:val="single" w:sz="4" w:space="0" w:color="auto"/>
            </w:tcBorders>
            <w:noWrap/>
            <w:vAlign w:val="center"/>
          </w:tcPr>
          <w:p w:rsidR="001362DC" w:rsidRPr="00EF0531" w:rsidRDefault="001362DC" w:rsidP="00C23FBA">
            <w:pPr>
              <w:rPr>
                <w:rFonts w:ascii="Arial" w:hAnsi="Arial" w:cs="Arial"/>
                <w:sz w:val="18"/>
                <w:szCs w:val="18"/>
              </w:rPr>
            </w:pPr>
            <w:r w:rsidRPr="00EF0531">
              <w:rPr>
                <w:rFonts w:ascii="Arial" w:hAnsi="Arial" w:cs="Arial"/>
                <w:sz w:val="18"/>
                <w:szCs w:val="18"/>
              </w:rPr>
              <w:t>Dosiahnutý výsledok</w:t>
            </w:r>
          </w:p>
        </w:tc>
        <w:tc>
          <w:tcPr>
            <w:tcW w:w="351" w:type="pct"/>
            <w:tcBorders>
              <w:top w:val="nil"/>
              <w:left w:val="nil"/>
              <w:bottom w:val="dotted" w:sz="4" w:space="0" w:color="auto"/>
              <w:right w:val="dotted" w:sz="4" w:space="0" w:color="auto"/>
            </w:tcBorders>
            <w:noWrap/>
            <w:vAlign w:val="center"/>
          </w:tcPr>
          <w:p w:rsidR="001362DC" w:rsidRPr="00EF0531" w:rsidRDefault="001362DC" w:rsidP="00C23FBA">
            <w:pPr>
              <w:jc w:val="center"/>
              <w:rPr>
                <w:rFonts w:ascii="Arial" w:hAnsi="Arial" w:cs="Arial"/>
                <w:b/>
                <w:bCs/>
                <w:sz w:val="18"/>
                <w:szCs w:val="18"/>
              </w:rPr>
            </w:pPr>
            <w:r w:rsidRPr="00EF0531">
              <w:rPr>
                <w:rFonts w:ascii="Arial" w:hAnsi="Arial" w:cs="Arial"/>
                <w:b/>
                <w:bCs/>
                <w:sz w:val="18"/>
                <w:szCs w:val="18"/>
              </w:rPr>
              <w:t>86,62</w:t>
            </w:r>
          </w:p>
        </w:tc>
        <w:tc>
          <w:tcPr>
            <w:tcW w:w="353" w:type="pct"/>
            <w:tcBorders>
              <w:top w:val="nil"/>
              <w:left w:val="nil"/>
              <w:bottom w:val="dotted" w:sz="4" w:space="0" w:color="auto"/>
              <w:right w:val="dotted" w:sz="4" w:space="0" w:color="auto"/>
            </w:tcBorders>
            <w:noWrap/>
            <w:vAlign w:val="center"/>
          </w:tcPr>
          <w:p w:rsidR="001362DC" w:rsidRPr="00EF0531" w:rsidRDefault="001362DC" w:rsidP="00C23FBA">
            <w:pPr>
              <w:jc w:val="center"/>
              <w:rPr>
                <w:rFonts w:ascii="Arial" w:hAnsi="Arial" w:cs="Arial"/>
                <w:b/>
                <w:bCs/>
                <w:sz w:val="18"/>
                <w:szCs w:val="18"/>
              </w:rPr>
            </w:pPr>
            <w:r w:rsidRPr="00EF0531">
              <w:rPr>
                <w:rFonts w:ascii="Arial" w:hAnsi="Arial" w:cs="Arial"/>
                <w:b/>
                <w:bCs/>
                <w:sz w:val="18"/>
                <w:szCs w:val="18"/>
              </w:rPr>
              <w:t>86,3%</w:t>
            </w:r>
          </w:p>
        </w:tc>
        <w:tc>
          <w:tcPr>
            <w:tcW w:w="356" w:type="pct"/>
            <w:tcBorders>
              <w:top w:val="nil"/>
              <w:left w:val="nil"/>
              <w:bottom w:val="dotted" w:sz="4" w:space="0" w:color="auto"/>
              <w:right w:val="dotted" w:sz="4" w:space="0" w:color="auto"/>
            </w:tcBorders>
            <w:noWrap/>
            <w:vAlign w:val="center"/>
          </w:tcPr>
          <w:p w:rsidR="001362DC" w:rsidRPr="00EF0531" w:rsidRDefault="001362DC" w:rsidP="00C23FBA">
            <w:pPr>
              <w:jc w:val="center"/>
              <w:rPr>
                <w:rFonts w:ascii="Arial" w:hAnsi="Arial" w:cs="Arial"/>
                <w:b/>
                <w:bCs/>
                <w:sz w:val="18"/>
                <w:szCs w:val="18"/>
              </w:rPr>
            </w:pPr>
            <w:r w:rsidRPr="00EF0531">
              <w:rPr>
                <w:rFonts w:ascii="Arial" w:hAnsi="Arial" w:cs="Arial"/>
                <w:b/>
                <w:bCs/>
                <w:sz w:val="18"/>
                <w:szCs w:val="18"/>
              </w:rPr>
              <w:t>86,3%</w:t>
            </w:r>
          </w:p>
        </w:tc>
        <w:tc>
          <w:tcPr>
            <w:tcW w:w="352" w:type="pct"/>
            <w:tcBorders>
              <w:top w:val="nil"/>
              <w:left w:val="nil"/>
              <w:bottom w:val="dotted" w:sz="4" w:space="0" w:color="auto"/>
              <w:right w:val="dotted" w:sz="4" w:space="0" w:color="auto"/>
            </w:tcBorders>
            <w:noWrap/>
            <w:vAlign w:val="center"/>
          </w:tcPr>
          <w:p w:rsidR="001362DC" w:rsidRPr="00EF0531" w:rsidRDefault="001362DC" w:rsidP="00376114">
            <w:pPr>
              <w:jc w:val="center"/>
              <w:rPr>
                <w:rFonts w:ascii="Arial" w:hAnsi="Arial" w:cs="Arial"/>
                <w:b/>
                <w:iCs/>
                <w:sz w:val="18"/>
                <w:szCs w:val="18"/>
              </w:rPr>
            </w:pPr>
            <w:r w:rsidRPr="00EF0531">
              <w:rPr>
                <w:rFonts w:ascii="Arial" w:hAnsi="Arial" w:cs="Arial"/>
                <w:b/>
                <w:iCs/>
                <w:sz w:val="18"/>
                <w:szCs w:val="18"/>
              </w:rPr>
              <w:t>86,</w:t>
            </w:r>
            <w:r w:rsidR="00376114" w:rsidRPr="00EF0531">
              <w:rPr>
                <w:rFonts w:ascii="Arial" w:hAnsi="Arial" w:cs="Arial"/>
                <w:b/>
                <w:iCs/>
                <w:sz w:val="18"/>
                <w:szCs w:val="18"/>
              </w:rPr>
              <w:t>9</w:t>
            </w:r>
          </w:p>
        </w:tc>
        <w:tc>
          <w:tcPr>
            <w:tcW w:w="344" w:type="pct"/>
            <w:tcBorders>
              <w:top w:val="nil"/>
              <w:left w:val="nil"/>
              <w:bottom w:val="dotted" w:sz="4" w:space="0" w:color="auto"/>
              <w:right w:val="dotted" w:sz="4" w:space="0" w:color="auto"/>
            </w:tcBorders>
            <w:noWrap/>
            <w:vAlign w:val="center"/>
          </w:tcPr>
          <w:p w:rsidR="001362DC" w:rsidRPr="00EF0531" w:rsidRDefault="001362DC" w:rsidP="00C23FBA">
            <w:pPr>
              <w:jc w:val="center"/>
              <w:rPr>
                <w:rFonts w:ascii="Arial" w:hAnsi="Arial" w:cs="Arial"/>
                <w:i/>
                <w:iCs/>
                <w:sz w:val="18"/>
                <w:szCs w:val="18"/>
              </w:rPr>
            </w:pPr>
            <w:r w:rsidRPr="00EF0531">
              <w:rPr>
                <w:rFonts w:ascii="Arial" w:hAnsi="Arial" w:cs="Arial"/>
                <w:i/>
                <w:iCs/>
                <w:sz w:val="18"/>
                <w:szCs w:val="18"/>
              </w:rPr>
              <w:t>N/A</w:t>
            </w:r>
          </w:p>
        </w:tc>
        <w:tc>
          <w:tcPr>
            <w:tcW w:w="269" w:type="pct"/>
            <w:tcBorders>
              <w:top w:val="nil"/>
              <w:left w:val="nil"/>
              <w:bottom w:val="dotted" w:sz="4" w:space="0" w:color="auto"/>
              <w:right w:val="dotted" w:sz="4" w:space="0" w:color="auto"/>
            </w:tcBorders>
            <w:noWrap/>
            <w:vAlign w:val="center"/>
          </w:tcPr>
          <w:p w:rsidR="001362DC" w:rsidRPr="00EF0531" w:rsidRDefault="001362DC" w:rsidP="00C23FBA">
            <w:pPr>
              <w:jc w:val="center"/>
              <w:rPr>
                <w:rFonts w:ascii="Arial" w:hAnsi="Arial" w:cs="Arial"/>
                <w:i/>
                <w:iCs/>
                <w:sz w:val="18"/>
                <w:szCs w:val="18"/>
              </w:rPr>
            </w:pPr>
            <w:r w:rsidRPr="00EF0531">
              <w:rPr>
                <w:rFonts w:ascii="Arial" w:hAnsi="Arial" w:cs="Arial"/>
                <w:i/>
                <w:iCs/>
                <w:sz w:val="18"/>
                <w:szCs w:val="18"/>
              </w:rPr>
              <w:t>N/A</w:t>
            </w:r>
          </w:p>
        </w:tc>
        <w:tc>
          <w:tcPr>
            <w:tcW w:w="269" w:type="pct"/>
            <w:tcBorders>
              <w:top w:val="nil"/>
              <w:left w:val="nil"/>
              <w:bottom w:val="dotted" w:sz="4" w:space="0" w:color="auto"/>
              <w:right w:val="dotted" w:sz="4" w:space="0" w:color="auto"/>
            </w:tcBorders>
            <w:noWrap/>
            <w:vAlign w:val="center"/>
          </w:tcPr>
          <w:p w:rsidR="001362DC" w:rsidRPr="00EF0531" w:rsidRDefault="001362DC" w:rsidP="00C23FBA">
            <w:pPr>
              <w:jc w:val="center"/>
              <w:rPr>
                <w:rFonts w:ascii="Arial" w:hAnsi="Arial" w:cs="Arial"/>
                <w:i/>
                <w:iCs/>
                <w:sz w:val="18"/>
                <w:szCs w:val="18"/>
              </w:rPr>
            </w:pPr>
            <w:r w:rsidRPr="00EF0531">
              <w:rPr>
                <w:rFonts w:ascii="Arial" w:hAnsi="Arial" w:cs="Arial"/>
                <w:i/>
                <w:iCs/>
                <w:sz w:val="18"/>
                <w:szCs w:val="18"/>
              </w:rPr>
              <w:t>N/A</w:t>
            </w:r>
          </w:p>
        </w:tc>
        <w:tc>
          <w:tcPr>
            <w:tcW w:w="269" w:type="pct"/>
            <w:tcBorders>
              <w:top w:val="nil"/>
              <w:left w:val="nil"/>
              <w:bottom w:val="dotted" w:sz="4" w:space="0" w:color="auto"/>
              <w:right w:val="dotted" w:sz="4" w:space="0" w:color="auto"/>
            </w:tcBorders>
            <w:noWrap/>
            <w:vAlign w:val="center"/>
          </w:tcPr>
          <w:p w:rsidR="001362DC" w:rsidRPr="00EF0531" w:rsidRDefault="001362DC" w:rsidP="00C23FBA">
            <w:pPr>
              <w:jc w:val="center"/>
              <w:rPr>
                <w:rFonts w:ascii="Arial" w:hAnsi="Arial" w:cs="Arial"/>
                <w:i/>
                <w:iCs/>
                <w:sz w:val="18"/>
                <w:szCs w:val="18"/>
              </w:rPr>
            </w:pPr>
            <w:r w:rsidRPr="00EF0531">
              <w:rPr>
                <w:rFonts w:ascii="Arial" w:hAnsi="Arial" w:cs="Arial"/>
                <w:i/>
                <w:iCs/>
                <w:sz w:val="18"/>
                <w:szCs w:val="18"/>
              </w:rPr>
              <w:t>N/A</w:t>
            </w:r>
          </w:p>
        </w:tc>
        <w:tc>
          <w:tcPr>
            <w:tcW w:w="253" w:type="pct"/>
            <w:tcBorders>
              <w:top w:val="nil"/>
              <w:left w:val="nil"/>
              <w:bottom w:val="dotted" w:sz="4" w:space="0" w:color="auto"/>
              <w:right w:val="dotted" w:sz="4" w:space="0" w:color="auto"/>
            </w:tcBorders>
            <w:noWrap/>
            <w:vAlign w:val="center"/>
          </w:tcPr>
          <w:p w:rsidR="001362DC" w:rsidRPr="00EF0531" w:rsidRDefault="001362DC" w:rsidP="00C23FBA">
            <w:pPr>
              <w:jc w:val="center"/>
              <w:rPr>
                <w:rFonts w:ascii="Arial" w:hAnsi="Arial" w:cs="Arial"/>
                <w:i/>
                <w:iCs/>
                <w:sz w:val="18"/>
                <w:szCs w:val="18"/>
              </w:rPr>
            </w:pPr>
            <w:r w:rsidRPr="00EF0531">
              <w:rPr>
                <w:rFonts w:ascii="Arial" w:hAnsi="Arial" w:cs="Arial"/>
                <w:i/>
                <w:iCs/>
                <w:sz w:val="18"/>
                <w:szCs w:val="18"/>
              </w:rPr>
              <w:t>N/A</w:t>
            </w:r>
          </w:p>
        </w:tc>
        <w:tc>
          <w:tcPr>
            <w:tcW w:w="523" w:type="pct"/>
            <w:tcBorders>
              <w:top w:val="nil"/>
              <w:left w:val="nil"/>
              <w:bottom w:val="dotted" w:sz="4" w:space="0" w:color="auto"/>
              <w:right w:val="dotted" w:sz="4" w:space="0" w:color="auto"/>
            </w:tcBorders>
            <w:noWrap/>
            <w:vAlign w:val="center"/>
          </w:tcPr>
          <w:p w:rsidR="001362DC" w:rsidRPr="00EF0531" w:rsidRDefault="001362DC" w:rsidP="00376114">
            <w:pPr>
              <w:jc w:val="center"/>
              <w:rPr>
                <w:rFonts w:ascii="Arial" w:hAnsi="Arial" w:cs="Arial"/>
                <w:b/>
                <w:bCs/>
                <w:sz w:val="18"/>
                <w:szCs w:val="18"/>
              </w:rPr>
            </w:pPr>
            <w:r w:rsidRPr="00EF0531">
              <w:rPr>
                <w:rFonts w:ascii="Arial" w:hAnsi="Arial" w:cs="Arial"/>
                <w:b/>
                <w:bCs/>
                <w:sz w:val="18"/>
                <w:szCs w:val="18"/>
              </w:rPr>
              <w:t>86,</w:t>
            </w:r>
            <w:r w:rsidR="00376114" w:rsidRPr="00EF0531">
              <w:rPr>
                <w:rFonts w:ascii="Arial" w:hAnsi="Arial" w:cs="Arial"/>
                <w:b/>
                <w:bCs/>
                <w:sz w:val="18"/>
                <w:szCs w:val="18"/>
              </w:rPr>
              <w:t>90</w:t>
            </w:r>
            <w:r w:rsidRPr="00EF0531">
              <w:rPr>
                <w:rFonts w:ascii="Arial" w:hAnsi="Arial" w:cs="Arial"/>
                <w:b/>
                <w:bCs/>
                <w:sz w:val="18"/>
                <w:szCs w:val="18"/>
              </w:rPr>
              <w:t>%</w:t>
            </w:r>
          </w:p>
        </w:tc>
        <w:tc>
          <w:tcPr>
            <w:tcW w:w="353" w:type="pct"/>
            <w:tcBorders>
              <w:top w:val="nil"/>
              <w:left w:val="nil"/>
              <w:bottom w:val="dotted" w:sz="4" w:space="0" w:color="auto"/>
              <w:right w:val="single" w:sz="4" w:space="0" w:color="auto"/>
            </w:tcBorders>
            <w:noWrap/>
            <w:vAlign w:val="center"/>
          </w:tcPr>
          <w:p w:rsidR="001362DC" w:rsidRPr="00EF0531" w:rsidRDefault="00376114" w:rsidP="00C23FBA">
            <w:pPr>
              <w:jc w:val="center"/>
              <w:rPr>
                <w:rFonts w:ascii="Arial" w:hAnsi="Arial" w:cs="Arial"/>
                <w:sz w:val="18"/>
                <w:szCs w:val="18"/>
              </w:rPr>
            </w:pPr>
            <w:r w:rsidRPr="00EF0531">
              <w:rPr>
                <w:sz w:val="16"/>
                <w:szCs w:val="16"/>
              </w:rPr>
              <w:t>Zdroj ŠÚ SR</w:t>
            </w:r>
            <w:r w:rsidRPr="00EF0531">
              <w:rPr>
                <w:rFonts w:ascii="Arial" w:hAnsi="Arial" w:cs="Arial"/>
                <w:sz w:val="18"/>
                <w:szCs w:val="18"/>
              </w:rPr>
              <w:t>  </w:t>
            </w:r>
            <w:r w:rsidR="001362DC" w:rsidRPr="00EF0531">
              <w:rPr>
                <w:rFonts w:ascii="Arial" w:hAnsi="Arial" w:cs="Arial"/>
                <w:sz w:val="18"/>
                <w:szCs w:val="18"/>
              </w:rPr>
              <w:t> </w:t>
            </w:r>
          </w:p>
        </w:tc>
      </w:tr>
      <w:tr w:rsidR="001362DC" w:rsidRPr="00EF0531" w:rsidTr="000A5C0F">
        <w:trPr>
          <w:cantSplit/>
          <w:trHeight w:val="20"/>
        </w:trPr>
        <w:tc>
          <w:tcPr>
            <w:tcW w:w="673" w:type="pct"/>
            <w:vMerge/>
            <w:tcBorders>
              <w:top w:val="single" w:sz="4" w:space="0" w:color="000000"/>
              <w:left w:val="single" w:sz="4" w:space="0" w:color="auto"/>
              <w:bottom w:val="single" w:sz="4" w:space="0" w:color="000000"/>
              <w:right w:val="single" w:sz="4" w:space="0" w:color="auto"/>
            </w:tcBorders>
            <w:shd w:val="clear" w:color="auto" w:fill="EAF1DD"/>
            <w:vAlign w:val="center"/>
          </w:tcPr>
          <w:p w:rsidR="001362DC" w:rsidRPr="00EF0531" w:rsidRDefault="001362DC" w:rsidP="00C23FBA">
            <w:pPr>
              <w:rPr>
                <w:rFonts w:ascii="Arial" w:hAnsi="Arial" w:cs="Arial"/>
                <w:sz w:val="18"/>
                <w:szCs w:val="18"/>
              </w:rPr>
            </w:pPr>
          </w:p>
        </w:tc>
        <w:tc>
          <w:tcPr>
            <w:tcW w:w="634" w:type="pct"/>
            <w:tcBorders>
              <w:top w:val="nil"/>
              <w:left w:val="nil"/>
              <w:bottom w:val="dotted" w:sz="4" w:space="0" w:color="auto"/>
              <w:right w:val="single" w:sz="4" w:space="0" w:color="auto"/>
            </w:tcBorders>
            <w:noWrap/>
            <w:vAlign w:val="center"/>
          </w:tcPr>
          <w:p w:rsidR="001362DC" w:rsidRPr="00EF0531" w:rsidRDefault="001362DC" w:rsidP="00C23FBA">
            <w:pPr>
              <w:rPr>
                <w:rFonts w:ascii="Arial" w:hAnsi="Arial" w:cs="Arial"/>
                <w:sz w:val="18"/>
                <w:szCs w:val="18"/>
              </w:rPr>
            </w:pPr>
            <w:r w:rsidRPr="00EF0531">
              <w:rPr>
                <w:rFonts w:ascii="Arial" w:hAnsi="Arial" w:cs="Arial"/>
                <w:sz w:val="18"/>
                <w:szCs w:val="18"/>
              </w:rPr>
              <w:t>Cieľ</w:t>
            </w:r>
          </w:p>
        </w:tc>
        <w:tc>
          <w:tcPr>
            <w:tcW w:w="351" w:type="pct"/>
            <w:tcBorders>
              <w:top w:val="nil"/>
              <w:left w:val="nil"/>
              <w:bottom w:val="dotted" w:sz="4" w:space="0" w:color="auto"/>
              <w:right w:val="dotted" w:sz="4" w:space="0" w:color="auto"/>
            </w:tcBorders>
            <w:noWrap/>
            <w:vAlign w:val="center"/>
          </w:tcPr>
          <w:p w:rsidR="001362DC" w:rsidRPr="00EF0531" w:rsidRDefault="001362DC" w:rsidP="00C23FBA">
            <w:pPr>
              <w:jc w:val="center"/>
              <w:rPr>
                <w:rFonts w:ascii="Arial" w:hAnsi="Arial" w:cs="Arial"/>
                <w:i/>
                <w:iCs/>
                <w:sz w:val="18"/>
                <w:szCs w:val="18"/>
              </w:rPr>
            </w:pPr>
            <w:r w:rsidRPr="00EF0531">
              <w:rPr>
                <w:rFonts w:ascii="Arial" w:hAnsi="Arial" w:cs="Arial"/>
                <w:i/>
                <w:iCs/>
                <w:sz w:val="18"/>
                <w:szCs w:val="18"/>
              </w:rPr>
              <w:t>N/A</w:t>
            </w:r>
          </w:p>
        </w:tc>
        <w:tc>
          <w:tcPr>
            <w:tcW w:w="353" w:type="pct"/>
            <w:tcBorders>
              <w:top w:val="nil"/>
              <w:left w:val="nil"/>
              <w:bottom w:val="dotted" w:sz="4" w:space="0" w:color="auto"/>
              <w:right w:val="dotted" w:sz="4" w:space="0" w:color="auto"/>
            </w:tcBorders>
            <w:noWrap/>
            <w:vAlign w:val="center"/>
          </w:tcPr>
          <w:p w:rsidR="001362DC" w:rsidRPr="00EF0531" w:rsidRDefault="001362DC" w:rsidP="00C23FBA">
            <w:pPr>
              <w:jc w:val="center"/>
              <w:rPr>
                <w:rFonts w:ascii="Arial" w:hAnsi="Arial" w:cs="Arial"/>
                <w:i/>
                <w:iCs/>
                <w:sz w:val="18"/>
                <w:szCs w:val="18"/>
              </w:rPr>
            </w:pPr>
            <w:r w:rsidRPr="00EF0531">
              <w:rPr>
                <w:rFonts w:ascii="Arial" w:hAnsi="Arial" w:cs="Arial"/>
                <w:i/>
                <w:iCs/>
                <w:sz w:val="18"/>
                <w:szCs w:val="18"/>
              </w:rPr>
              <w:t>N/A</w:t>
            </w:r>
          </w:p>
        </w:tc>
        <w:tc>
          <w:tcPr>
            <w:tcW w:w="356" w:type="pct"/>
            <w:tcBorders>
              <w:top w:val="nil"/>
              <w:left w:val="nil"/>
              <w:bottom w:val="dotted" w:sz="4" w:space="0" w:color="auto"/>
              <w:right w:val="dotted" w:sz="4" w:space="0" w:color="auto"/>
            </w:tcBorders>
            <w:noWrap/>
            <w:vAlign w:val="center"/>
          </w:tcPr>
          <w:p w:rsidR="001362DC" w:rsidRPr="00EF0531" w:rsidRDefault="001362DC" w:rsidP="00C23FBA">
            <w:pPr>
              <w:jc w:val="center"/>
              <w:rPr>
                <w:rFonts w:ascii="Arial" w:hAnsi="Arial" w:cs="Arial"/>
                <w:i/>
                <w:iCs/>
                <w:sz w:val="18"/>
                <w:szCs w:val="18"/>
              </w:rPr>
            </w:pPr>
            <w:r w:rsidRPr="00EF0531">
              <w:rPr>
                <w:rFonts w:ascii="Arial" w:hAnsi="Arial" w:cs="Arial"/>
                <w:i/>
                <w:iCs/>
                <w:sz w:val="18"/>
                <w:szCs w:val="18"/>
              </w:rPr>
              <w:t>N/A</w:t>
            </w:r>
          </w:p>
        </w:tc>
        <w:tc>
          <w:tcPr>
            <w:tcW w:w="352" w:type="pct"/>
            <w:tcBorders>
              <w:top w:val="nil"/>
              <w:left w:val="nil"/>
              <w:bottom w:val="dotted" w:sz="4" w:space="0" w:color="auto"/>
              <w:right w:val="dotted" w:sz="4" w:space="0" w:color="auto"/>
            </w:tcBorders>
            <w:noWrap/>
            <w:vAlign w:val="center"/>
          </w:tcPr>
          <w:p w:rsidR="001362DC" w:rsidRPr="00EF0531" w:rsidRDefault="001362DC" w:rsidP="00C23FBA">
            <w:pPr>
              <w:jc w:val="center"/>
              <w:rPr>
                <w:rFonts w:ascii="Arial" w:hAnsi="Arial" w:cs="Arial"/>
                <w:i/>
                <w:iCs/>
                <w:sz w:val="18"/>
                <w:szCs w:val="18"/>
              </w:rPr>
            </w:pPr>
            <w:r w:rsidRPr="00EF0531">
              <w:rPr>
                <w:rFonts w:ascii="Arial" w:hAnsi="Arial" w:cs="Arial"/>
                <w:i/>
                <w:iCs/>
                <w:sz w:val="18"/>
                <w:szCs w:val="18"/>
              </w:rPr>
              <w:t>N/A</w:t>
            </w:r>
          </w:p>
        </w:tc>
        <w:tc>
          <w:tcPr>
            <w:tcW w:w="344" w:type="pct"/>
            <w:tcBorders>
              <w:top w:val="nil"/>
              <w:left w:val="nil"/>
              <w:bottom w:val="dotted" w:sz="4" w:space="0" w:color="auto"/>
              <w:right w:val="dotted" w:sz="4" w:space="0" w:color="auto"/>
            </w:tcBorders>
            <w:noWrap/>
            <w:vAlign w:val="center"/>
          </w:tcPr>
          <w:p w:rsidR="001362DC" w:rsidRPr="00EF0531" w:rsidRDefault="001362DC" w:rsidP="00C23FBA">
            <w:pPr>
              <w:jc w:val="center"/>
              <w:rPr>
                <w:rFonts w:ascii="Arial" w:hAnsi="Arial" w:cs="Arial"/>
                <w:i/>
                <w:iCs/>
                <w:sz w:val="18"/>
                <w:szCs w:val="18"/>
              </w:rPr>
            </w:pPr>
            <w:r w:rsidRPr="00EF0531">
              <w:rPr>
                <w:rFonts w:ascii="Arial" w:hAnsi="Arial" w:cs="Arial"/>
                <w:i/>
                <w:iCs/>
                <w:sz w:val="18"/>
                <w:szCs w:val="18"/>
              </w:rPr>
              <w:t>N/A</w:t>
            </w:r>
          </w:p>
        </w:tc>
        <w:tc>
          <w:tcPr>
            <w:tcW w:w="269" w:type="pct"/>
            <w:tcBorders>
              <w:top w:val="nil"/>
              <w:left w:val="nil"/>
              <w:bottom w:val="dotted" w:sz="4" w:space="0" w:color="auto"/>
              <w:right w:val="dotted" w:sz="4" w:space="0" w:color="auto"/>
            </w:tcBorders>
            <w:noWrap/>
            <w:vAlign w:val="center"/>
          </w:tcPr>
          <w:p w:rsidR="001362DC" w:rsidRPr="00EF0531" w:rsidRDefault="001362DC" w:rsidP="00C23FBA">
            <w:pPr>
              <w:jc w:val="center"/>
              <w:rPr>
                <w:rFonts w:ascii="Arial" w:hAnsi="Arial" w:cs="Arial"/>
                <w:i/>
                <w:iCs/>
                <w:sz w:val="18"/>
                <w:szCs w:val="18"/>
              </w:rPr>
            </w:pPr>
            <w:r w:rsidRPr="00EF0531">
              <w:rPr>
                <w:rFonts w:ascii="Arial" w:hAnsi="Arial" w:cs="Arial"/>
                <w:i/>
                <w:iCs/>
                <w:sz w:val="18"/>
                <w:szCs w:val="18"/>
              </w:rPr>
              <w:t>N/A</w:t>
            </w:r>
          </w:p>
        </w:tc>
        <w:tc>
          <w:tcPr>
            <w:tcW w:w="269" w:type="pct"/>
            <w:tcBorders>
              <w:top w:val="nil"/>
              <w:left w:val="nil"/>
              <w:bottom w:val="dotted" w:sz="4" w:space="0" w:color="auto"/>
              <w:right w:val="dotted" w:sz="4" w:space="0" w:color="auto"/>
            </w:tcBorders>
            <w:noWrap/>
            <w:vAlign w:val="center"/>
          </w:tcPr>
          <w:p w:rsidR="001362DC" w:rsidRPr="00EF0531" w:rsidRDefault="001362DC" w:rsidP="00C23FBA">
            <w:pPr>
              <w:jc w:val="center"/>
              <w:rPr>
                <w:rFonts w:ascii="Arial" w:hAnsi="Arial" w:cs="Arial"/>
                <w:i/>
                <w:iCs/>
                <w:sz w:val="18"/>
                <w:szCs w:val="18"/>
              </w:rPr>
            </w:pPr>
            <w:r w:rsidRPr="00EF0531">
              <w:rPr>
                <w:rFonts w:ascii="Arial" w:hAnsi="Arial" w:cs="Arial"/>
                <w:i/>
                <w:iCs/>
                <w:sz w:val="18"/>
                <w:szCs w:val="18"/>
              </w:rPr>
              <w:t>N/A</w:t>
            </w:r>
          </w:p>
        </w:tc>
        <w:tc>
          <w:tcPr>
            <w:tcW w:w="269" w:type="pct"/>
            <w:tcBorders>
              <w:top w:val="nil"/>
              <w:left w:val="nil"/>
              <w:bottom w:val="dotted" w:sz="4" w:space="0" w:color="auto"/>
              <w:right w:val="dotted" w:sz="4" w:space="0" w:color="auto"/>
            </w:tcBorders>
            <w:noWrap/>
            <w:vAlign w:val="center"/>
          </w:tcPr>
          <w:p w:rsidR="001362DC" w:rsidRPr="00EF0531" w:rsidRDefault="001362DC" w:rsidP="00C23FBA">
            <w:pPr>
              <w:jc w:val="center"/>
              <w:rPr>
                <w:rFonts w:ascii="Arial" w:hAnsi="Arial" w:cs="Arial"/>
                <w:i/>
                <w:iCs/>
                <w:sz w:val="18"/>
                <w:szCs w:val="18"/>
              </w:rPr>
            </w:pPr>
            <w:r w:rsidRPr="00EF0531">
              <w:rPr>
                <w:rFonts w:ascii="Arial" w:hAnsi="Arial" w:cs="Arial"/>
                <w:i/>
                <w:iCs/>
                <w:sz w:val="18"/>
                <w:szCs w:val="18"/>
              </w:rPr>
              <w:t>N/A</w:t>
            </w:r>
          </w:p>
        </w:tc>
        <w:tc>
          <w:tcPr>
            <w:tcW w:w="253" w:type="pct"/>
            <w:tcBorders>
              <w:top w:val="nil"/>
              <w:left w:val="nil"/>
              <w:bottom w:val="dotted" w:sz="4" w:space="0" w:color="auto"/>
              <w:right w:val="dotted" w:sz="4" w:space="0" w:color="auto"/>
            </w:tcBorders>
            <w:noWrap/>
            <w:vAlign w:val="center"/>
          </w:tcPr>
          <w:p w:rsidR="001362DC" w:rsidRPr="00EF0531" w:rsidRDefault="001362DC" w:rsidP="00C23FBA">
            <w:pPr>
              <w:jc w:val="center"/>
              <w:rPr>
                <w:rFonts w:ascii="Arial" w:hAnsi="Arial" w:cs="Arial"/>
                <w:b/>
                <w:bCs/>
                <w:sz w:val="18"/>
                <w:szCs w:val="18"/>
              </w:rPr>
            </w:pPr>
            <w:r w:rsidRPr="00EF0531">
              <w:rPr>
                <w:rFonts w:ascii="Arial" w:hAnsi="Arial" w:cs="Arial"/>
                <w:b/>
                <w:bCs/>
                <w:sz w:val="18"/>
                <w:szCs w:val="18"/>
              </w:rPr>
              <w:t>91</w:t>
            </w:r>
          </w:p>
        </w:tc>
        <w:tc>
          <w:tcPr>
            <w:tcW w:w="523" w:type="pct"/>
            <w:tcBorders>
              <w:top w:val="nil"/>
              <w:left w:val="nil"/>
              <w:bottom w:val="dotted" w:sz="4" w:space="0" w:color="auto"/>
              <w:right w:val="dotted" w:sz="4" w:space="0" w:color="auto"/>
            </w:tcBorders>
            <w:noWrap/>
            <w:vAlign w:val="center"/>
          </w:tcPr>
          <w:p w:rsidR="001362DC" w:rsidRPr="00EF0531" w:rsidRDefault="001362DC" w:rsidP="00C23FBA">
            <w:pPr>
              <w:jc w:val="center"/>
              <w:rPr>
                <w:rFonts w:ascii="Arial" w:hAnsi="Arial" w:cs="Arial"/>
                <w:b/>
                <w:bCs/>
                <w:sz w:val="18"/>
                <w:szCs w:val="18"/>
              </w:rPr>
            </w:pPr>
            <w:r w:rsidRPr="00EF0531">
              <w:rPr>
                <w:rFonts w:ascii="Arial" w:hAnsi="Arial" w:cs="Arial"/>
                <w:b/>
                <w:bCs/>
                <w:sz w:val="18"/>
                <w:szCs w:val="18"/>
              </w:rPr>
              <w:t>91</w:t>
            </w:r>
          </w:p>
        </w:tc>
        <w:tc>
          <w:tcPr>
            <w:tcW w:w="353" w:type="pct"/>
            <w:tcBorders>
              <w:top w:val="nil"/>
              <w:left w:val="nil"/>
              <w:bottom w:val="dotted" w:sz="4" w:space="0" w:color="auto"/>
              <w:right w:val="single" w:sz="4" w:space="0" w:color="auto"/>
            </w:tcBorders>
            <w:noWrap/>
            <w:vAlign w:val="center"/>
          </w:tcPr>
          <w:p w:rsidR="001362DC" w:rsidRPr="00EF0531" w:rsidRDefault="001362DC" w:rsidP="00C23FBA">
            <w:pPr>
              <w:jc w:val="center"/>
              <w:rPr>
                <w:rFonts w:ascii="Arial" w:hAnsi="Arial" w:cs="Arial"/>
                <w:sz w:val="18"/>
                <w:szCs w:val="18"/>
              </w:rPr>
            </w:pPr>
            <w:r w:rsidRPr="00EF0531">
              <w:rPr>
                <w:rFonts w:ascii="Arial" w:hAnsi="Arial" w:cs="Arial"/>
                <w:sz w:val="18"/>
                <w:szCs w:val="18"/>
              </w:rPr>
              <w:t> </w:t>
            </w:r>
          </w:p>
        </w:tc>
      </w:tr>
      <w:tr w:rsidR="001362DC" w:rsidRPr="00EF0531" w:rsidTr="000A5C0F">
        <w:trPr>
          <w:cantSplit/>
          <w:trHeight w:val="20"/>
        </w:trPr>
        <w:tc>
          <w:tcPr>
            <w:tcW w:w="673" w:type="pct"/>
            <w:vMerge/>
            <w:tcBorders>
              <w:top w:val="single" w:sz="4" w:space="0" w:color="000000"/>
              <w:left w:val="single" w:sz="4" w:space="0" w:color="auto"/>
              <w:bottom w:val="single" w:sz="4" w:space="0" w:color="000000"/>
              <w:right w:val="single" w:sz="4" w:space="0" w:color="auto"/>
            </w:tcBorders>
            <w:shd w:val="clear" w:color="auto" w:fill="EAF1DD"/>
            <w:vAlign w:val="center"/>
          </w:tcPr>
          <w:p w:rsidR="001362DC" w:rsidRPr="00EF0531" w:rsidRDefault="001362DC" w:rsidP="00C23FBA">
            <w:pPr>
              <w:rPr>
                <w:rFonts w:ascii="Arial" w:hAnsi="Arial" w:cs="Arial"/>
                <w:sz w:val="18"/>
                <w:szCs w:val="18"/>
              </w:rPr>
            </w:pPr>
          </w:p>
        </w:tc>
        <w:tc>
          <w:tcPr>
            <w:tcW w:w="634" w:type="pct"/>
            <w:tcBorders>
              <w:top w:val="nil"/>
              <w:left w:val="nil"/>
              <w:bottom w:val="single" w:sz="4" w:space="0" w:color="auto"/>
              <w:right w:val="single" w:sz="4" w:space="0" w:color="auto"/>
            </w:tcBorders>
            <w:noWrap/>
            <w:vAlign w:val="center"/>
          </w:tcPr>
          <w:p w:rsidR="001362DC" w:rsidRPr="00EF0531" w:rsidRDefault="001362DC" w:rsidP="00C23FBA">
            <w:pPr>
              <w:rPr>
                <w:rFonts w:ascii="Arial" w:hAnsi="Arial" w:cs="Arial"/>
                <w:sz w:val="18"/>
                <w:szCs w:val="18"/>
              </w:rPr>
            </w:pPr>
            <w:r w:rsidRPr="00EF0531">
              <w:rPr>
                <w:rFonts w:ascii="Arial" w:hAnsi="Arial" w:cs="Arial"/>
                <w:sz w:val="18"/>
                <w:szCs w:val="18"/>
              </w:rPr>
              <w:t>Východisko</w:t>
            </w:r>
            <w:r w:rsidRPr="00EF0531">
              <w:rPr>
                <w:rFonts w:ascii="Arial" w:hAnsi="Arial" w:cs="Arial"/>
                <w:sz w:val="18"/>
                <w:szCs w:val="18"/>
                <w:vertAlign w:val="superscript"/>
              </w:rPr>
              <w:t>2</w:t>
            </w:r>
          </w:p>
        </w:tc>
        <w:tc>
          <w:tcPr>
            <w:tcW w:w="351" w:type="pct"/>
            <w:tcBorders>
              <w:top w:val="nil"/>
              <w:left w:val="nil"/>
              <w:bottom w:val="single" w:sz="4" w:space="0" w:color="auto"/>
              <w:right w:val="dotted" w:sz="4" w:space="0" w:color="auto"/>
            </w:tcBorders>
            <w:noWrap/>
            <w:vAlign w:val="center"/>
          </w:tcPr>
          <w:p w:rsidR="001362DC" w:rsidRPr="00EF0531" w:rsidRDefault="001362DC" w:rsidP="00C23FBA">
            <w:pPr>
              <w:jc w:val="center"/>
              <w:rPr>
                <w:rFonts w:ascii="Arial" w:hAnsi="Arial" w:cs="Arial"/>
                <w:b/>
                <w:bCs/>
                <w:sz w:val="18"/>
                <w:szCs w:val="18"/>
              </w:rPr>
            </w:pPr>
            <w:r w:rsidRPr="00EF0531">
              <w:rPr>
                <w:rFonts w:ascii="Arial" w:hAnsi="Arial" w:cs="Arial"/>
                <w:b/>
                <w:bCs/>
                <w:sz w:val="18"/>
                <w:szCs w:val="18"/>
              </w:rPr>
              <w:t>85</w:t>
            </w:r>
          </w:p>
        </w:tc>
        <w:tc>
          <w:tcPr>
            <w:tcW w:w="353" w:type="pct"/>
            <w:tcBorders>
              <w:top w:val="nil"/>
              <w:left w:val="nil"/>
              <w:bottom w:val="single" w:sz="4" w:space="0" w:color="auto"/>
              <w:right w:val="dotted" w:sz="4" w:space="0" w:color="auto"/>
            </w:tcBorders>
            <w:noWrap/>
            <w:vAlign w:val="center"/>
          </w:tcPr>
          <w:p w:rsidR="001362DC" w:rsidRPr="00EF0531" w:rsidRDefault="001362DC" w:rsidP="00C23FBA">
            <w:pPr>
              <w:jc w:val="center"/>
              <w:rPr>
                <w:rFonts w:ascii="Arial" w:hAnsi="Arial" w:cs="Arial"/>
                <w:i/>
                <w:iCs/>
                <w:sz w:val="18"/>
                <w:szCs w:val="18"/>
              </w:rPr>
            </w:pPr>
            <w:r w:rsidRPr="00EF0531">
              <w:rPr>
                <w:rFonts w:ascii="Arial" w:hAnsi="Arial" w:cs="Arial"/>
                <w:i/>
                <w:iCs/>
                <w:sz w:val="18"/>
                <w:szCs w:val="18"/>
              </w:rPr>
              <w:t>N/A</w:t>
            </w:r>
          </w:p>
        </w:tc>
        <w:tc>
          <w:tcPr>
            <w:tcW w:w="356" w:type="pct"/>
            <w:tcBorders>
              <w:top w:val="nil"/>
              <w:left w:val="nil"/>
              <w:bottom w:val="single" w:sz="4" w:space="0" w:color="auto"/>
              <w:right w:val="dotted" w:sz="4" w:space="0" w:color="auto"/>
            </w:tcBorders>
            <w:noWrap/>
            <w:vAlign w:val="center"/>
          </w:tcPr>
          <w:p w:rsidR="001362DC" w:rsidRPr="00EF0531" w:rsidRDefault="001362DC" w:rsidP="00C23FBA">
            <w:pPr>
              <w:jc w:val="center"/>
              <w:rPr>
                <w:rFonts w:ascii="Arial" w:hAnsi="Arial" w:cs="Arial"/>
                <w:i/>
                <w:iCs/>
                <w:sz w:val="18"/>
                <w:szCs w:val="18"/>
              </w:rPr>
            </w:pPr>
            <w:r w:rsidRPr="00EF0531">
              <w:rPr>
                <w:rFonts w:ascii="Arial" w:hAnsi="Arial" w:cs="Arial"/>
                <w:i/>
                <w:iCs/>
                <w:sz w:val="18"/>
                <w:szCs w:val="18"/>
              </w:rPr>
              <w:t>N/A</w:t>
            </w:r>
          </w:p>
        </w:tc>
        <w:tc>
          <w:tcPr>
            <w:tcW w:w="352" w:type="pct"/>
            <w:tcBorders>
              <w:top w:val="nil"/>
              <w:left w:val="nil"/>
              <w:bottom w:val="single" w:sz="4" w:space="0" w:color="auto"/>
              <w:right w:val="dotted" w:sz="4" w:space="0" w:color="auto"/>
            </w:tcBorders>
            <w:noWrap/>
            <w:vAlign w:val="center"/>
          </w:tcPr>
          <w:p w:rsidR="001362DC" w:rsidRPr="00EF0531" w:rsidRDefault="001362DC" w:rsidP="00C23FBA">
            <w:pPr>
              <w:jc w:val="center"/>
              <w:rPr>
                <w:rFonts w:ascii="Arial" w:hAnsi="Arial" w:cs="Arial"/>
                <w:i/>
                <w:iCs/>
                <w:sz w:val="18"/>
                <w:szCs w:val="18"/>
              </w:rPr>
            </w:pPr>
            <w:r w:rsidRPr="00EF0531">
              <w:rPr>
                <w:rFonts w:ascii="Arial" w:hAnsi="Arial" w:cs="Arial"/>
                <w:i/>
                <w:iCs/>
                <w:sz w:val="18"/>
                <w:szCs w:val="18"/>
              </w:rPr>
              <w:t>N/A</w:t>
            </w:r>
          </w:p>
        </w:tc>
        <w:tc>
          <w:tcPr>
            <w:tcW w:w="344" w:type="pct"/>
            <w:tcBorders>
              <w:top w:val="nil"/>
              <w:left w:val="nil"/>
              <w:bottom w:val="single" w:sz="4" w:space="0" w:color="auto"/>
              <w:right w:val="dotted" w:sz="4" w:space="0" w:color="auto"/>
            </w:tcBorders>
            <w:noWrap/>
            <w:vAlign w:val="center"/>
          </w:tcPr>
          <w:p w:rsidR="001362DC" w:rsidRPr="00EF0531" w:rsidRDefault="001362DC" w:rsidP="00C23FBA">
            <w:pPr>
              <w:jc w:val="center"/>
              <w:rPr>
                <w:rFonts w:ascii="Arial" w:hAnsi="Arial" w:cs="Arial"/>
                <w:i/>
                <w:iCs/>
                <w:sz w:val="18"/>
                <w:szCs w:val="18"/>
              </w:rPr>
            </w:pPr>
            <w:r w:rsidRPr="00EF0531">
              <w:rPr>
                <w:rFonts w:ascii="Arial" w:hAnsi="Arial" w:cs="Arial"/>
                <w:i/>
                <w:iCs/>
                <w:sz w:val="18"/>
                <w:szCs w:val="18"/>
              </w:rPr>
              <w:t>N/A</w:t>
            </w:r>
          </w:p>
        </w:tc>
        <w:tc>
          <w:tcPr>
            <w:tcW w:w="269" w:type="pct"/>
            <w:tcBorders>
              <w:top w:val="nil"/>
              <w:left w:val="nil"/>
              <w:bottom w:val="single" w:sz="4" w:space="0" w:color="auto"/>
              <w:right w:val="dotted" w:sz="4" w:space="0" w:color="auto"/>
            </w:tcBorders>
            <w:noWrap/>
            <w:vAlign w:val="center"/>
          </w:tcPr>
          <w:p w:rsidR="001362DC" w:rsidRPr="00EF0531" w:rsidRDefault="001362DC" w:rsidP="00C23FBA">
            <w:pPr>
              <w:jc w:val="center"/>
              <w:rPr>
                <w:rFonts w:ascii="Arial" w:hAnsi="Arial" w:cs="Arial"/>
                <w:i/>
                <w:iCs/>
                <w:sz w:val="18"/>
                <w:szCs w:val="18"/>
              </w:rPr>
            </w:pPr>
            <w:r w:rsidRPr="00EF0531">
              <w:rPr>
                <w:rFonts w:ascii="Arial" w:hAnsi="Arial" w:cs="Arial"/>
                <w:i/>
                <w:iCs/>
                <w:sz w:val="18"/>
                <w:szCs w:val="18"/>
              </w:rPr>
              <w:t>N/A</w:t>
            </w:r>
          </w:p>
        </w:tc>
        <w:tc>
          <w:tcPr>
            <w:tcW w:w="269" w:type="pct"/>
            <w:tcBorders>
              <w:top w:val="nil"/>
              <w:left w:val="nil"/>
              <w:bottom w:val="single" w:sz="4" w:space="0" w:color="auto"/>
              <w:right w:val="dotted" w:sz="4" w:space="0" w:color="auto"/>
            </w:tcBorders>
            <w:noWrap/>
            <w:vAlign w:val="center"/>
          </w:tcPr>
          <w:p w:rsidR="001362DC" w:rsidRPr="00EF0531" w:rsidRDefault="001362DC" w:rsidP="00C23FBA">
            <w:pPr>
              <w:jc w:val="center"/>
              <w:rPr>
                <w:rFonts w:ascii="Arial" w:hAnsi="Arial" w:cs="Arial"/>
                <w:i/>
                <w:iCs/>
                <w:sz w:val="18"/>
                <w:szCs w:val="18"/>
              </w:rPr>
            </w:pPr>
            <w:r w:rsidRPr="00EF0531">
              <w:rPr>
                <w:rFonts w:ascii="Arial" w:hAnsi="Arial" w:cs="Arial"/>
                <w:i/>
                <w:iCs/>
                <w:sz w:val="18"/>
                <w:szCs w:val="18"/>
              </w:rPr>
              <w:t>N/A</w:t>
            </w:r>
          </w:p>
        </w:tc>
        <w:tc>
          <w:tcPr>
            <w:tcW w:w="269" w:type="pct"/>
            <w:tcBorders>
              <w:top w:val="nil"/>
              <w:left w:val="nil"/>
              <w:bottom w:val="single" w:sz="4" w:space="0" w:color="auto"/>
              <w:right w:val="dotted" w:sz="4" w:space="0" w:color="auto"/>
            </w:tcBorders>
            <w:noWrap/>
            <w:vAlign w:val="center"/>
          </w:tcPr>
          <w:p w:rsidR="001362DC" w:rsidRPr="00EF0531" w:rsidRDefault="001362DC" w:rsidP="00C23FBA">
            <w:pPr>
              <w:jc w:val="center"/>
              <w:rPr>
                <w:rFonts w:ascii="Arial" w:hAnsi="Arial" w:cs="Arial"/>
                <w:i/>
                <w:iCs/>
                <w:sz w:val="18"/>
                <w:szCs w:val="18"/>
              </w:rPr>
            </w:pPr>
            <w:r w:rsidRPr="00EF0531">
              <w:rPr>
                <w:rFonts w:ascii="Arial" w:hAnsi="Arial" w:cs="Arial"/>
                <w:i/>
                <w:iCs/>
                <w:sz w:val="18"/>
                <w:szCs w:val="18"/>
              </w:rPr>
              <w:t>N/A</w:t>
            </w:r>
          </w:p>
        </w:tc>
        <w:tc>
          <w:tcPr>
            <w:tcW w:w="253" w:type="pct"/>
            <w:tcBorders>
              <w:top w:val="nil"/>
              <w:left w:val="nil"/>
              <w:bottom w:val="single" w:sz="4" w:space="0" w:color="auto"/>
              <w:right w:val="dotted" w:sz="4" w:space="0" w:color="auto"/>
            </w:tcBorders>
            <w:noWrap/>
            <w:vAlign w:val="center"/>
          </w:tcPr>
          <w:p w:rsidR="001362DC" w:rsidRPr="00EF0531" w:rsidRDefault="001362DC" w:rsidP="00C23FBA">
            <w:pPr>
              <w:jc w:val="center"/>
              <w:rPr>
                <w:rFonts w:ascii="Arial" w:hAnsi="Arial" w:cs="Arial"/>
                <w:i/>
                <w:iCs/>
                <w:sz w:val="18"/>
                <w:szCs w:val="18"/>
              </w:rPr>
            </w:pPr>
            <w:r w:rsidRPr="00EF0531">
              <w:rPr>
                <w:rFonts w:ascii="Arial" w:hAnsi="Arial" w:cs="Arial"/>
                <w:i/>
                <w:iCs/>
                <w:sz w:val="18"/>
                <w:szCs w:val="18"/>
              </w:rPr>
              <w:t>N/A</w:t>
            </w:r>
          </w:p>
        </w:tc>
        <w:tc>
          <w:tcPr>
            <w:tcW w:w="523" w:type="pct"/>
            <w:tcBorders>
              <w:top w:val="nil"/>
              <w:left w:val="nil"/>
              <w:bottom w:val="single" w:sz="4" w:space="0" w:color="auto"/>
              <w:right w:val="dotted" w:sz="4" w:space="0" w:color="auto"/>
            </w:tcBorders>
            <w:noWrap/>
            <w:vAlign w:val="center"/>
          </w:tcPr>
          <w:p w:rsidR="001362DC" w:rsidRPr="00EF0531" w:rsidRDefault="001362DC" w:rsidP="00C23FBA">
            <w:pPr>
              <w:jc w:val="center"/>
              <w:rPr>
                <w:rFonts w:ascii="Arial" w:hAnsi="Arial" w:cs="Arial"/>
                <w:b/>
                <w:bCs/>
                <w:sz w:val="18"/>
                <w:szCs w:val="18"/>
              </w:rPr>
            </w:pPr>
            <w:r w:rsidRPr="00EF0531">
              <w:rPr>
                <w:rFonts w:ascii="Arial" w:hAnsi="Arial" w:cs="Arial"/>
                <w:b/>
                <w:bCs/>
                <w:sz w:val="18"/>
                <w:szCs w:val="18"/>
              </w:rPr>
              <w:t>85</w:t>
            </w:r>
          </w:p>
        </w:tc>
        <w:tc>
          <w:tcPr>
            <w:tcW w:w="353" w:type="pct"/>
            <w:tcBorders>
              <w:top w:val="nil"/>
              <w:left w:val="nil"/>
              <w:bottom w:val="single" w:sz="4" w:space="0" w:color="auto"/>
              <w:right w:val="single" w:sz="4" w:space="0" w:color="auto"/>
            </w:tcBorders>
            <w:noWrap/>
            <w:vAlign w:val="center"/>
          </w:tcPr>
          <w:p w:rsidR="001362DC" w:rsidRPr="00EF0531" w:rsidRDefault="001362DC" w:rsidP="00C23FBA">
            <w:pPr>
              <w:jc w:val="center"/>
              <w:rPr>
                <w:rFonts w:ascii="Arial" w:hAnsi="Arial" w:cs="Arial"/>
                <w:sz w:val="18"/>
                <w:szCs w:val="18"/>
              </w:rPr>
            </w:pPr>
            <w:r w:rsidRPr="00EF0531">
              <w:rPr>
                <w:rFonts w:ascii="Arial" w:hAnsi="Arial" w:cs="Arial"/>
                <w:sz w:val="18"/>
                <w:szCs w:val="18"/>
              </w:rPr>
              <w:t> </w:t>
            </w:r>
          </w:p>
        </w:tc>
      </w:tr>
      <w:tr w:rsidR="001362DC" w:rsidRPr="00EF0531" w:rsidTr="000A5C0F">
        <w:trPr>
          <w:cantSplit/>
          <w:trHeight w:val="20"/>
        </w:trPr>
        <w:tc>
          <w:tcPr>
            <w:tcW w:w="673" w:type="pct"/>
            <w:vMerge w:val="restart"/>
            <w:tcBorders>
              <w:top w:val="single" w:sz="4" w:space="0" w:color="000000"/>
              <w:left w:val="single" w:sz="4" w:space="0" w:color="auto"/>
              <w:bottom w:val="single" w:sz="4" w:space="0" w:color="000000"/>
              <w:right w:val="single" w:sz="4" w:space="0" w:color="auto"/>
            </w:tcBorders>
            <w:shd w:val="clear" w:color="auto" w:fill="EAF1DD"/>
            <w:vAlign w:val="center"/>
          </w:tcPr>
          <w:p w:rsidR="001362DC" w:rsidRPr="00EF0531" w:rsidRDefault="001362DC" w:rsidP="00C23FBA">
            <w:pPr>
              <w:rPr>
                <w:rFonts w:ascii="Arial" w:hAnsi="Arial" w:cs="Arial"/>
                <w:sz w:val="18"/>
                <w:szCs w:val="18"/>
              </w:rPr>
            </w:pPr>
            <w:r w:rsidRPr="00EF0531">
              <w:rPr>
                <w:rFonts w:ascii="Arial" w:hAnsi="Arial" w:cs="Arial"/>
                <w:sz w:val="18"/>
                <w:szCs w:val="18"/>
              </w:rPr>
              <w:t xml:space="preserve">Počet projektov s príspevkom k </w:t>
            </w:r>
            <w:r w:rsidR="00376114" w:rsidRPr="00EF0531">
              <w:rPr>
                <w:rFonts w:ascii="Arial" w:hAnsi="Arial" w:cs="Arial"/>
                <w:sz w:val="18"/>
                <w:szCs w:val="18"/>
              </w:rPr>
              <w:t>HP TUR (počet) výsledok</w:t>
            </w:r>
          </w:p>
        </w:tc>
        <w:tc>
          <w:tcPr>
            <w:tcW w:w="634" w:type="pct"/>
            <w:tcBorders>
              <w:top w:val="nil"/>
              <w:left w:val="nil"/>
              <w:bottom w:val="dotted" w:sz="4" w:space="0" w:color="auto"/>
              <w:right w:val="single" w:sz="4" w:space="0" w:color="auto"/>
            </w:tcBorders>
            <w:noWrap/>
            <w:vAlign w:val="center"/>
          </w:tcPr>
          <w:p w:rsidR="001362DC" w:rsidRPr="00EF0531" w:rsidRDefault="001362DC" w:rsidP="00C23FBA">
            <w:pPr>
              <w:rPr>
                <w:rFonts w:ascii="Arial" w:hAnsi="Arial" w:cs="Arial"/>
                <w:sz w:val="18"/>
                <w:szCs w:val="18"/>
              </w:rPr>
            </w:pPr>
            <w:r w:rsidRPr="00EF0531">
              <w:rPr>
                <w:rFonts w:ascii="Arial" w:hAnsi="Arial" w:cs="Arial"/>
                <w:sz w:val="18"/>
                <w:szCs w:val="18"/>
              </w:rPr>
              <w:t>Dosiahnutý výsledok</w:t>
            </w:r>
          </w:p>
        </w:tc>
        <w:tc>
          <w:tcPr>
            <w:tcW w:w="351" w:type="pct"/>
            <w:tcBorders>
              <w:top w:val="nil"/>
              <w:left w:val="nil"/>
              <w:bottom w:val="dotted" w:sz="4" w:space="0" w:color="auto"/>
              <w:right w:val="dotted" w:sz="4" w:space="0" w:color="auto"/>
            </w:tcBorders>
            <w:noWrap/>
            <w:vAlign w:val="center"/>
          </w:tcPr>
          <w:p w:rsidR="001362DC" w:rsidRPr="00EF0531" w:rsidRDefault="001362DC" w:rsidP="00C23FBA">
            <w:pPr>
              <w:jc w:val="center"/>
              <w:rPr>
                <w:rFonts w:ascii="Arial" w:hAnsi="Arial" w:cs="Arial"/>
                <w:b/>
                <w:bCs/>
                <w:sz w:val="18"/>
                <w:szCs w:val="18"/>
              </w:rPr>
            </w:pPr>
            <w:r w:rsidRPr="00EF0531">
              <w:rPr>
                <w:rFonts w:ascii="Arial" w:hAnsi="Arial" w:cs="Arial"/>
                <w:b/>
                <w:bCs/>
                <w:sz w:val="18"/>
                <w:szCs w:val="18"/>
              </w:rPr>
              <w:t>0</w:t>
            </w:r>
          </w:p>
        </w:tc>
        <w:tc>
          <w:tcPr>
            <w:tcW w:w="353" w:type="pct"/>
            <w:tcBorders>
              <w:top w:val="nil"/>
              <w:left w:val="nil"/>
              <w:bottom w:val="dotted" w:sz="4" w:space="0" w:color="auto"/>
              <w:right w:val="dotted" w:sz="4" w:space="0" w:color="auto"/>
            </w:tcBorders>
            <w:noWrap/>
            <w:vAlign w:val="center"/>
          </w:tcPr>
          <w:p w:rsidR="001362DC" w:rsidRPr="00EF0531" w:rsidRDefault="001362DC" w:rsidP="00C23FBA">
            <w:pPr>
              <w:jc w:val="center"/>
              <w:rPr>
                <w:rFonts w:ascii="Arial" w:hAnsi="Arial" w:cs="Arial"/>
                <w:b/>
                <w:bCs/>
                <w:sz w:val="18"/>
                <w:szCs w:val="18"/>
              </w:rPr>
            </w:pPr>
            <w:r w:rsidRPr="00EF0531">
              <w:rPr>
                <w:rFonts w:ascii="Arial" w:hAnsi="Arial" w:cs="Arial"/>
                <w:b/>
                <w:bCs/>
                <w:sz w:val="18"/>
                <w:szCs w:val="18"/>
              </w:rPr>
              <w:t>34</w:t>
            </w:r>
          </w:p>
        </w:tc>
        <w:tc>
          <w:tcPr>
            <w:tcW w:w="356" w:type="pct"/>
            <w:tcBorders>
              <w:top w:val="nil"/>
              <w:left w:val="nil"/>
              <w:bottom w:val="dotted" w:sz="4" w:space="0" w:color="auto"/>
              <w:right w:val="dotted" w:sz="4" w:space="0" w:color="auto"/>
            </w:tcBorders>
            <w:noWrap/>
            <w:vAlign w:val="center"/>
          </w:tcPr>
          <w:p w:rsidR="001362DC" w:rsidRPr="00EF0531" w:rsidRDefault="001362DC" w:rsidP="00C23FBA">
            <w:pPr>
              <w:jc w:val="center"/>
              <w:rPr>
                <w:rFonts w:ascii="Arial" w:hAnsi="Arial" w:cs="Arial"/>
                <w:b/>
                <w:bCs/>
                <w:sz w:val="18"/>
                <w:szCs w:val="18"/>
              </w:rPr>
            </w:pPr>
            <w:r w:rsidRPr="00EF0531">
              <w:rPr>
                <w:rFonts w:ascii="Arial" w:hAnsi="Arial" w:cs="Arial"/>
                <w:b/>
                <w:bCs/>
                <w:sz w:val="18"/>
                <w:szCs w:val="18"/>
              </w:rPr>
              <w:t>150</w:t>
            </w:r>
          </w:p>
        </w:tc>
        <w:tc>
          <w:tcPr>
            <w:tcW w:w="352" w:type="pct"/>
            <w:tcBorders>
              <w:top w:val="nil"/>
              <w:left w:val="nil"/>
              <w:bottom w:val="dotted" w:sz="4" w:space="0" w:color="auto"/>
              <w:right w:val="dotted" w:sz="4" w:space="0" w:color="auto"/>
            </w:tcBorders>
            <w:noWrap/>
            <w:vAlign w:val="center"/>
          </w:tcPr>
          <w:p w:rsidR="001362DC" w:rsidRPr="00EF0531" w:rsidRDefault="001362DC" w:rsidP="00C23FBA">
            <w:pPr>
              <w:jc w:val="center"/>
              <w:rPr>
                <w:rFonts w:ascii="Arial" w:hAnsi="Arial" w:cs="Arial"/>
                <w:b/>
                <w:bCs/>
                <w:sz w:val="18"/>
                <w:szCs w:val="18"/>
              </w:rPr>
            </w:pPr>
            <w:r w:rsidRPr="00EF0531">
              <w:rPr>
                <w:rFonts w:ascii="Arial" w:hAnsi="Arial" w:cs="Arial"/>
                <w:b/>
                <w:bCs/>
                <w:sz w:val="18"/>
                <w:szCs w:val="18"/>
              </w:rPr>
              <w:t>426</w:t>
            </w:r>
          </w:p>
        </w:tc>
        <w:tc>
          <w:tcPr>
            <w:tcW w:w="344" w:type="pct"/>
            <w:tcBorders>
              <w:top w:val="nil"/>
              <w:left w:val="nil"/>
              <w:bottom w:val="dotted" w:sz="4" w:space="0" w:color="auto"/>
              <w:right w:val="dotted" w:sz="4" w:space="0" w:color="auto"/>
            </w:tcBorders>
            <w:noWrap/>
            <w:vAlign w:val="center"/>
          </w:tcPr>
          <w:p w:rsidR="001362DC" w:rsidRPr="00EF0531" w:rsidRDefault="001362DC" w:rsidP="00C23FBA">
            <w:pPr>
              <w:jc w:val="center"/>
              <w:rPr>
                <w:rFonts w:ascii="Arial" w:hAnsi="Arial" w:cs="Arial"/>
                <w:i/>
                <w:iCs/>
                <w:sz w:val="18"/>
                <w:szCs w:val="18"/>
              </w:rPr>
            </w:pPr>
            <w:r w:rsidRPr="00EF0531">
              <w:rPr>
                <w:rFonts w:ascii="Arial" w:hAnsi="Arial" w:cs="Arial"/>
                <w:i/>
                <w:iCs/>
                <w:sz w:val="18"/>
                <w:szCs w:val="18"/>
              </w:rPr>
              <w:t xml:space="preserve"> </w:t>
            </w:r>
            <w:r w:rsidRPr="00EF0531">
              <w:rPr>
                <w:rFonts w:ascii="Arial" w:hAnsi="Arial" w:cs="Arial"/>
                <w:b/>
                <w:iCs/>
                <w:sz w:val="18"/>
                <w:szCs w:val="18"/>
              </w:rPr>
              <w:t>531</w:t>
            </w:r>
          </w:p>
        </w:tc>
        <w:tc>
          <w:tcPr>
            <w:tcW w:w="269" w:type="pct"/>
            <w:tcBorders>
              <w:top w:val="nil"/>
              <w:left w:val="nil"/>
              <w:bottom w:val="dotted" w:sz="4" w:space="0" w:color="auto"/>
              <w:right w:val="dotted" w:sz="4" w:space="0" w:color="auto"/>
            </w:tcBorders>
            <w:noWrap/>
            <w:vAlign w:val="center"/>
          </w:tcPr>
          <w:p w:rsidR="001362DC" w:rsidRPr="00EF0531" w:rsidRDefault="001362DC" w:rsidP="00C23FBA">
            <w:pPr>
              <w:jc w:val="center"/>
              <w:rPr>
                <w:rFonts w:ascii="Arial" w:hAnsi="Arial" w:cs="Arial"/>
                <w:i/>
                <w:iCs/>
                <w:sz w:val="18"/>
                <w:szCs w:val="18"/>
              </w:rPr>
            </w:pPr>
            <w:r w:rsidRPr="00EF0531">
              <w:rPr>
                <w:rFonts w:ascii="Arial" w:hAnsi="Arial" w:cs="Arial"/>
                <w:i/>
                <w:iCs/>
                <w:sz w:val="18"/>
                <w:szCs w:val="18"/>
              </w:rPr>
              <w:t>525</w:t>
            </w:r>
          </w:p>
        </w:tc>
        <w:tc>
          <w:tcPr>
            <w:tcW w:w="269" w:type="pct"/>
            <w:tcBorders>
              <w:top w:val="nil"/>
              <w:left w:val="nil"/>
              <w:bottom w:val="dotted" w:sz="4" w:space="0" w:color="auto"/>
              <w:right w:val="dotted" w:sz="4" w:space="0" w:color="auto"/>
            </w:tcBorders>
            <w:noWrap/>
            <w:vAlign w:val="center"/>
          </w:tcPr>
          <w:p w:rsidR="001362DC" w:rsidRPr="00EF0531" w:rsidRDefault="001362DC" w:rsidP="00C23FBA">
            <w:pPr>
              <w:jc w:val="center"/>
              <w:rPr>
                <w:rFonts w:ascii="Arial" w:hAnsi="Arial" w:cs="Arial"/>
                <w:i/>
                <w:iCs/>
                <w:sz w:val="18"/>
                <w:szCs w:val="18"/>
              </w:rPr>
            </w:pPr>
            <w:r w:rsidRPr="00EF0531">
              <w:rPr>
                <w:rFonts w:ascii="Arial" w:hAnsi="Arial" w:cs="Arial"/>
                <w:i/>
                <w:iCs/>
                <w:sz w:val="18"/>
                <w:szCs w:val="18"/>
              </w:rPr>
              <w:t>N/A</w:t>
            </w:r>
          </w:p>
        </w:tc>
        <w:tc>
          <w:tcPr>
            <w:tcW w:w="269" w:type="pct"/>
            <w:tcBorders>
              <w:top w:val="nil"/>
              <w:left w:val="nil"/>
              <w:bottom w:val="dotted" w:sz="4" w:space="0" w:color="auto"/>
              <w:right w:val="dotted" w:sz="4" w:space="0" w:color="auto"/>
            </w:tcBorders>
            <w:noWrap/>
            <w:vAlign w:val="center"/>
          </w:tcPr>
          <w:p w:rsidR="001362DC" w:rsidRPr="00EF0531" w:rsidRDefault="001362DC" w:rsidP="00C23FBA">
            <w:pPr>
              <w:jc w:val="center"/>
              <w:rPr>
                <w:rFonts w:ascii="Arial" w:hAnsi="Arial" w:cs="Arial"/>
                <w:i/>
                <w:iCs/>
                <w:sz w:val="18"/>
                <w:szCs w:val="18"/>
              </w:rPr>
            </w:pPr>
            <w:r w:rsidRPr="00EF0531">
              <w:rPr>
                <w:rFonts w:ascii="Arial" w:hAnsi="Arial" w:cs="Arial"/>
                <w:i/>
                <w:iCs/>
                <w:sz w:val="18"/>
                <w:szCs w:val="18"/>
              </w:rPr>
              <w:t>N/A</w:t>
            </w:r>
          </w:p>
        </w:tc>
        <w:tc>
          <w:tcPr>
            <w:tcW w:w="253" w:type="pct"/>
            <w:tcBorders>
              <w:top w:val="nil"/>
              <w:left w:val="nil"/>
              <w:bottom w:val="dotted" w:sz="4" w:space="0" w:color="auto"/>
              <w:right w:val="dotted" w:sz="4" w:space="0" w:color="auto"/>
            </w:tcBorders>
            <w:noWrap/>
            <w:vAlign w:val="center"/>
          </w:tcPr>
          <w:p w:rsidR="001362DC" w:rsidRPr="00EF0531" w:rsidRDefault="001362DC" w:rsidP="00C23FBA">
            <w:pPr>
              <w:jc w:val="center"/>
              <w:rPr>
                <w:rFonts w:ascii="Arial" w:hAnsi="Arial" w:cs="Arial"/>
                <w:i/>
                <w:iCs/>
                <w:sz w:val="18"/>
                <w:szCs w:val="18"/>
              </w:rPr>
            </w:pPr>
            <w:r w:rsidRPr="00EF0531">
              <w:rPr>
                <w:rFonts w:ascii="Arial" w:hAnsi="Arial" w:cs="Arial"/>
                <w:i/>
                <w:iCs/>
                <w:sz w:val="18"/>
                <w:szCs w:val="18"/>
              </w:rPr>
              <w:t>N/A</w:t>
            </w:r>
          </w:p>
        </w:tc>
        <w:tc>
          <w:tcPr>
            <w:tcW w:w="523" w:type="pct"/>
            <w:tcBorders>
              <w:top w:val="nil"/>
              <w:left w:val="nil"/>
              <w:bottom w:val="dotted" w:sz="4" w:space="0" w:color="auto"/>
              <w:right w:val="dotted" w:sz="4" w:space="0" w:color="auto"/>
            </w:tcBorders>
            <w:noWrap/>
            <w:vAlign w:val="center"/>
          </w:tcPr>
          <w:p w:rsidR="001362DC" w:rsidRPr="00EF0531" w:rsidRDefault="001362DC" w:rsidP="00C23FBA">
            <w:pPr>
              <w:jc w:val="center"/>
              <w:rPr>
                <w:rFonts w:ascii="Arial" w:hAnsi="Arial" w:cs="Arial"/>
                <w:b/>
                <w:bCs/>
                <w:sz w:val="18"/>
                <w:szCs w:val="18"/>
              </w:rPr>
            </w:pPr>
            <w:r w:rsidRPr="00EF0531">
              <w:rPr>
                <w:rFonts w:ascii="Arial" w:hAnsi="Arial" w:cs="Arial"/>
                <w:b/>
                <w:bCs/>
                <w:sz w:val="18"/>
                <w:szCs w:val="18"/>
              </w:rPr>
              <w:t>525</w:t>
            </w:r>
          </w:p>
        </w:tc>
        <w:tc>
          <w:tcPr>
            <w:tcW w:w="353" w:type="pct"/>
            <w:tcBorders>
              <w:top w:val="nil"/>
              <w:left w:val="nil"/>
              <w:bottom w:val="dotted" w:sz="4" w:space="0" w:color="auto"/>
              <w:right w:val="single" w:sz="4" w:space="0" w:color="auto"/>
            </w:tcBorders>
            <w:noWrap/>
            <w:vAlign w:val="center"/>
          </w:tcPr>
          <w:p w:rsidR="001362DC" w:rsidRPr="00EF0531" w:rsidRDefault="00165CDB" w:rsidP="00C23FBA">
            <w:pPr>
              <w:jc w:val="center"/>
              <w:rPr>
                <w:rFonts w:ascii="Arial" w:hAnsi="Arial" w:cs="Arial"/>
                <w:sz w:val="18"/>
                <w:szCs w:val="18"/>
              </w:rPr>
            </w:pPr>
            <w:r w:rsidRPr="00165CDB">
              <w:rPr>
                <w:sz w:val="16"/>
                <w:szCs w:val="16"/>
              </w:rPr>
              <w:t xml:space="preserve">Riadne ukončené projekty </w:t>
            </w:r>
            <w:r w:rsidR="00376114" w:rsidRPr="00EF0531">
              <w:rPr>
                <w:rFonts w:ascii="Arial" w:hAnsi="Arial" w:cs="Arial"/>
                <w:sz w:val="18"/>
                <w:szCs w:val="18"/>
              </w:rPr>
              <w:t>246 </w:t>
            </w:r>
            <w:r w:rsidR="001362DC" w:rsidRPr="00EF0531">
              <w:rPr>
                <w:rFonts w:ascii="Arial" w:hAnsi="Arial" w:cs="Arial"/>
                <w:sz w:val="18"/>
                <w:szCs w:val="18"/>
              </w:rPr>
              <w:t> </w:t>
            </w:r>
          </w:p>
        </w:tc>
      </w:tr>
      <w:tr w:rsidR="001362DC" w:rsidRPr="00EF0531" w:rsidTr="000A5C0F">
        <w:trPr>
          <w:cantSplit/>
          <w:trHeight w:val="20"/>
        </w:trPr>
        <w:tc>
          <w:tcPr>
            <w:tcW w:w="673" w:type="pct"/>
            <w:vMerge/>
            <w:tcBorders>
              <w:top w:val="single" w:sz="4" w:space="0" w:color="000000"/>
              <w:left w:val="single" w:sz="4" w:space="0" w:color="auto"/>
              <w:bottom w:val="single" w:sz="4" w:space="0" w:color="000000"/>
              <w:right w:val="single" w:sz="4" w:space="0" w:color="auto"/>
            </w:tcBorders>
            <w:shd w:val="clear" w:color="auto" w:fill="EAF1DD"/>
            <w:vAlign w:val="center"/>
          </w:tcPr>
          <w:p w:rsidR="001362DC" w:rsidRPr="00EF0531" w:rsidRDefault="001362DC" w:rsidP="00C23FBA">
            <w:pPr>
              <w:rPr>
                <w:rFonts w:ascii="Arial" w:hAnsi="Arial" w:cs="Arial"/>
                <w:sz w:val="18"/>
                <w:szCs w:val="18"/>
              </w:rPr>
            </w:pPr>
          </w:p>
        </w:tc>
        <w:tc>
          <w:tcPr>
            <w:tcW w:w="634" w:type="pct"/>
            <w:tcBorders>
              <w:top w:val="nil"/>
              <w:left w:val="nil"/>
              <w:bottom w:val="dotted" w:sz="4" w:space="0" w:color="auto"/>
              <w:right w:val="single" w:sz="4" w:space="0" w:color="auto"/>
            </w:tcBorders>
            <w:noWrap/>
            <w:vAlign w:val="center"/>
          </w:tcPr>
          <w:p w:rsidR="001362DC" w:rsidRPr="00EF0531" w:rsidRDefault="001362DC" w:rsidP="00C23FBA">
            <w:pPr>
              <w:rPr>
                <w:rFonts w:ascii="Arial" w:hAnsi="Arial" w:cs="Arial"/>
                <w:sz w:val="18"/>
                <w:szCs w:val="18"/>
              </w:rPr>
            </w:pPr>
            <w:r w:rsidRPr="00EF0531">
              <w:rPr>
                <w:rFonts w:ascii="Arial" w:hAnsi="Arial" w:cs="Arial"/>
                <w:sz w:val="18"/>
                <w:szCs w:val="18"/>
              </w:rPr>
              <w:t>Cieľ</w:t>
            </w:r>
          </w:p>
        </w:tc>
        <w:tc>
          <w:tcPr>
            <w:tcW w:w="351" w:type="pct"/>
            <w:tcBorders>
              <w:top w:val="nil"/>
              <w:left w:val="nil"/>
              <w:bottom w:val="dotted" w:sz="4" w:space="0" w:color="auto"/>
              <w:right w:val="dotted" w:sz="4" w:space="0" w:color="auto"/>
            </w:tcBorders>
            <w:noWrap/>
            <w:vAlign w:val="center"/>
          </w:tcPr>
          <w:p w:rsidR="001362DC" w:rsidRPr="00EF0531" w:rsidRDefault="001362DC" w:rsidP="00C23FBA">
            <w:pPr>
              <w:jc w:val="center"/>
              <w:rPr>
                <w:rFonts w:ascii="Arial" w:hAnsi="Arial" w:cs="Arial"/>
                <w:i/>
                <w:iCs/>
                <w:sz w:val="18"/>
                <w:szCs w:val="18"/>
              </w:rPr>
            </w:pPr>
            <w:r w:rsidRPr="00EF0531">
              <w:rPr>
                <w:rFonts w:ascii="Arial" w:hAnsi="Arial" w:cs="Arial"/>
                <w:i/>
                <w:iCs/>
                <w:sz w:val="18"/>
                <w:szCs w:val="18"/>
              </w:rPr>
              <w:t>N/A</w:t>
            </w:r>
          </w:p>
        </w:tc>
        <w:tc>
          <w:tcPr>
            <w:tcW w:w="353" w:type="pct"/>
            <w:tcBorders>
              <w:top w:val="nil"/>
              <w:left w:val="nil"/>
              <w:bottom w:val="dotted" w:sz="4" w:space="0" w:color="auto"/>
              <w:right w:val="dotted" w:sz="4" w:space="0" w:color="auto"/>
            </w:tcBorders>
            <w:noWrap/>
            <w:vAlign w:val="center"/>
          </w:tcPr>
          <w:p w:rsidR="001362DC" w:rsidRPr="00EF0531" w:rsidRDefault="001362DC" w:rsidP="00C23FBA">
            <w:pPr>
              <w:jc w:val="center"/>
              <w:rPr>
                <w:rFonts w:ascii="Arial" w:hAnsi="Arial" w:cs="Arial"/>
                <w:i/>
                <w:iCs/>
                <w:sz w:val="18"/>
                <w:szCs w:val="18"/>
              </w:rPr>
            </w:pPr>
            <w:r w:rsidRPr="00EF0531">
              <w:rPr>
                <w:rFonts w:ascii="Arial" w:hAnsi="Arial" w:cs="Arial"/>
                <w:i/>
                <w:iCs/>
                <w:sz w:val="18"/>
                <w:szCs w:val="18"/>
              </w:rPr>
              <w:t>N/A</w:t>
            </w:r>
          </w:p>
        </w:tc>
        <w:tc>
          <w:tcPr>
            <w:tcW w:w="356" w:type="pct"/>
            <w:tcBorders>
              <w:top w:val="nil"/>
              <w:left w:val="nil"/>
              <w:bottom w:val="dotted" w:sz="4" w:space="0" w:color="auto"/>
              <w:right w:val="dotted" w:sz="4" w:space="0" w:color="auto"/>
            </w:tcBorders>
            <w:noWrap/>
            <w:vAlign w:val="center"/>
          </w:tcPr>
          <w:p w:rsidR="001362DC" w:rsidRPr="00EF0531" w:rsidRDefault="001362DC" w:rsidP="00C23FBA">
            <w:pPr>
              <w:jc w:val="center"/>
              <w:rPr>
                <w:rFonts w:ascii="Arial" w:hAnsi="Arial" w:cs="Arial"/>
                <w:i/>
                <w:iCs/>
                <w:sz w:val="18"/>
                <w:szCs w:val="18"/>
              </w:rPr>
            </w:pPr>
            <w:r w:rsidRPr="00EF0531">
              <w:rPr>
                <w:rFonts w:ascii="Arial" w:hAnsi="Arial" w:cs="Arial"/>
                <w:i/>
                <w:iCs/>
                <w:sz w:val="18"/>
                <w:szCs w:val="18"/>
              </w:rPr>
              <w:t>N/A</w:t>
            </w:r>
          </w:p>
        </w:tc>
        <w:tc>
          <w:tcPr>
            <w:tcW w:w="352" w:type="pct"/>
            <w:tcBorders>
              <w:top w:val="nil"/>
              <w:left w:val="nil"/>
              <w:bottom w:val="dotted" w:sz="4" w:space="0" w:color="auto"/>
              <w:right w:val="dotted" w:sz="4" w:space="0" w:color="auto"/>
            </w:tcBorders>
            <w:noWrap/>
            <w:vAlign w:val="center"/>
          </w:tcPr>
          <w:p w:rsidR="001362DC" w:rsidRPr="00EF0531" w:rsidRDefault="001362DC" w:rsidP="00C23FBA">
            <w:pPr>
              <w:jc w:val="center"/>
              <w:rPr>
                <w:rFonts w:ascii="Arial" w:hAnsi="Arial" w:cs="Arial"/>
                <w:i/>
                <w:iCs/>
                <w:sz w:val="18"/>
                <w:szCs w:val="18"/>
              </w:rPr>
            </w:pPr>
            <w:r w:rsidRPr="00EF0531">
              <w:rPr>
                <w:rFonts w:ascii="Arial" w:hAnsi="Arial" w:cs="Arial"/>
                <w:i/>
                <w:iCs/>
                <w:sz w:val="18"/>
                <w:szCs w:val="18"/>
              </w:rPr>
              <w:t>N/A</w:t>
            </w:r>
          </w:p>
        </w:tc>
        <w:tc>
          <w:tcPr>
            <w:tcW w:w="344" w:type="pct"/>
            <w:tcBorders>
              <w:top w:val="nil"/>
              <w:left w:val="nil"/>
              <w:bottom w:val="dotted" w:sz="4" w:space="0" w:color="auto"/>
              <w:right w:val="dotted" w:sz="4" w:space="0" w:color="auto"/>
            </w:tcBorders>
            <w:noWrap/>
            <w:vAlign w:val="center"/>
          </w:tcPr>
          <w:p w:rsidR="001362DC" w:rsidRPr="00EF0531" w:rsidRDefault="001362DC" w:rsidP="00C23FBA">
            <w:pPr>
              <w:jc w:val="center"/>
              <w:rPr>
                <w:rFonts w:ascii="Arial" w:hAnsi="Arial" w:cs="Arial"/>
                <w:i/>
                <w:iCs/>
                <w:sz w:val="18"/>
                <w:szCs w:val="18"/>
              </w:rPr>
            </w:pPr>
            <w:r w:rsidRPr="00EF0531">
              <w:rPr>
                <w:rFonts w:ascii="Arial" w:hAnsi="Arial" w:cs="Arial"/>
                <w:i/>
                <w:iCs/>
                <w:sz w:val="18"/>
                <w:szCs w:val="18"/>
              </w:rPr>
              <w:t>N/A</w:t>
            </w:r>
          </w:p>
        </w:tc>
        <w:tc>
          <w:tcPr>
            <w:tcW w:w="269" w:type="pct"/>
            <w:tcBorders>
              <w:top w:val="nil"/>
              <w:left w:val="nil"/>
              <w:bottom w:val="dotted" w:sz="4" w:space="0" w:color="auto"/>
              <w:right w:val="dotted" w:sz="4" w:space="0" w:color="auto"/>
            </w:tcBorders>
            <w:noWrap/>
            <w:vAlign w:val="center"/>
          </w:tcPr>
          <w:p w:rsidR="001362DC" w:rsidRPr="00EF0531" w:rsidRDefault="001362DC" w:rsidP="00C23FBA">
            <w:pPr>
              <w:jc w:val="center"/>
              <w:rPr>
                <w:rFonts w:ascii="Arial" w:hAnsi="Arial" w:cs="Arial"/>
                <w:i/>
                <w:iCs/>
                <w:sz w:val="18"/>
                <w:szCs w:val="18"/>
              </w:rPr>
            </w:pPr>
            <w:r w:rsidRPr="00EF0531">
              <w:rPr>
                <w:rFonts w:ascii="Arial" w:hAnsi="Arial" w:cs="Arial"/>
                <w:i/>
                <w:iCs/>
                <w:sz w:val="18"/>
                <w:szCs w:val="18"/>
              </w:rPr>
              <w:t>N/A</w:t>
            </w:r>
          </w:p>
        </w:tc>
        <w:tc>
          <w:tcPr>
            <w:tcW w:w="269" w:type="pct"/>
            <w:tcBorders>
              <w:top w:val="nil"/>
              <w:left w:val="nil"/>
              <w:bottom w:val="dotted" w:sz="4" w:space="0" w:color="auto"/>
              <w:right w:val="dotted" w:sz="4" w:space="0" w:color="auto"/>
            </w:tcBorders>
            <w:noWrap/>
            <w:vAlign w:val="center"/>
          </w:tcPr>
          <w:p w:rsidR="001362DC" w:rsidRPr="00EF0531" w:rsidRDefault="001362DC" w:rsidP="00C23FBA">
            <w:pPr>
              <w:jc w:val="center"/>
              <w:rPr>
                <w:rFonts w:ascii="Arial" w:hAnsi="Arial" w:cs="Arial"/>
                <w:i/>
                <w:iCs/>
                <w:sz w:val="18"/>
                <w:szCs w:val="18"/>
              </w:rPr>
            </w:pPr>
            <w:r w:rsidRPr="00EF0531">
              <w:rPr>
                <w:rFonts w:ascii="Arial" w:hAnsi="Arial" w:cs="Arial"/>
                <w:i/>
                <w:iCs/>
                <w:sz w:val="18"/>
                <w:szCs w:val="18"/>
              </w:rPr>
              <w:t>N/A</w:t>
            </w:r>
          </w:p>
        </w:tc>
        <w:tc>
          <w:tcPr>
            <w:tcW w:w="269" w:type="pct"/>
            <w:tcBorders>
              <w:top w:val="nil"/>
              <w:left w:val="nil"/>
              <w:bottom w:val="dotted" w:sz="4" w:space="0" w:color="auto"/>
              <w:right w:val="dotted" w:sz="4" w:space="0" w:color="auto"/>
            </w:tcBorders>
            <w:noWrap/>
            <w:vAlign w:val="center"/>
          </w:tcPr>
          <w:p w:rsidR="001362DC" w:rsidRPr="00EF0531" w:rsidRDefault="001362DC" w:rsidP="00C23FBA">
            <w:pPr>
              <w:jc w:val="center"/>
              <w:rPr>
                <w:rFonts w:ascii="Arial" w:hAnsi="Arial" w:cs="Arial"/>
                <w:i/>
                <w:iCs/>
                <w:sz w:val="18"/>
                <w:szCs w:val="18"/>
              </w:rPr>
            </w:pPr>
            <w:r w:rsidRPr="00EF0531">
              <w:rPr>
                <w:rFonts w:ascii="Arial" w:hAnsi="Arial" w:cs="Arial"/>
                <w:i/>
                <w:iCs/>
                <w:sz w:val="18"/>
                <w:szCs w:val="18"/>
              </w:rPr>
              <w:t>N/A</w:t>
            </w:r>
          </w:p>
        </w:tc>
        <w:tc>
          <w:tcPr>
            <w:tcW w:w="253" w:type="pct"/>
            <w:tcBorders>
              <w:top w:val="nil"/>
              <w:left w:val="nil"/>
              <w:bottom w:val="dotted" w:sz="4" w:space="0" w:color="auto"/>
              <w:right w:val="dotted" w:sz="4" w:space="0" w:color="auto"/>
            </w:tcBorders>
            <w:noWrap/>
            <w:vAlign w:val="center"/>
          </w:tcPr>
          <w:p w:rsidR="001362DC" w:rsidRPr="00EF0531" w:rsidRDefault="001362DC" w:rsidP="00C23FBA">
            <w:pPr>
              <w:jc w:val="center"/>
              <w:rPr>
                <w:rFonts w:ascii="Arial" w:hAnsi="Arial" w:cs="Arial"/>
                <w:b/>
                <w:bCs/>
                <w:sz w:val="18"/>
                <w:szCs w:val="18"/>
              </w:rPr>
            </w:pPr>
            <w:r w:rsidRPr="00EF0531">
              <w:rPr>
                <w:rFonts w:ascii="Arial" w:hAnsi="Arial" w:cs="Arial"/>
                <w:b/>
                <w:bCs/>
                <w:sz w:val="18"/>
                <w:szCs w:val="18"/>
              </w:rPr>
              <w:t>550</w:t>
            </w:r>
          </w:p>
        </w:tc>
        <w:tc>
          <w:tcPr>
            <w:tcW w:w="523" w:type="pct"/>
            <w:tcBorders>
              <w:top w:val="nil"/>
              <w:left w:val="nil"/>
              <w:bottom w:val="dotted" w:sz="4" w:space="0" w:color="auto"/>
              <w:right w:val="dotted" w:sz="4" w:space="0" w:color="auto"/>
            </w:tcBorders>
            <w:noWrap/>
            <w:vAlign w:val="center"/>
          </w:tcPr>
          <w:p w:rsidR="001362DC" w:rsidRPr="00EF0531" w:rsidRDefault="001362DC" w:rsidP="00C23FBA">
            <w:pPr>
              <w:jc w:val="center"/>
              <w:rPr>
                <w:rFonts w:ascii="Arial" w:hAnsi="Arial" w:cs="Arial"/>
                <w:b/>
                <w:bCs/>
                <w:sz w:val="18"/>
                <w:szCs w:val="18"/>
              </w:rPr>
            </w:pPr>
            <w:r w:rsidRPr="00EF0531">
              <w:rPr>
                <w:rFonts w:ascii="Arial" w:hAnsi="Arial" w:cs="Arial"/>
                <w:b/>
                <w:bCs/>
                <w:sz w:val="18"/>
                <w:szCs w:val="18"/>
              </w:rPr>
              <w:t>550</w:t>
            </w:r>
          </w:p>
        </w:tc>
        <w:tc>
          <w:tcPr>
            <w:tcW w:w="353" w:type="pct"/>
            <w:tcBorders>
              <w:top w:val="nil"/>
              <w:left w:val="nil"/>
              <w:bottom w:val="dotted" w:sz="4" w:space="0" w:color="auto"/>
              <w:right w:val="single" w:sz="4" w:space="0" w:color="auto"/>
            </w:tcBorders>
            <w:noWrap/>
            <w:vAlign w:val="center"/>
          </w:tcPr>
          <w:p w:rsidR="001362DC" w:rsidRPr="00EF0531" w:rsidRDefault="001362DC" w:rsidP="00C23FBA">
            <w:pPr>
              <w:jc w:val="center"/>
              <w:rPr>
                <w:rFonts w:ascii="Arial" w:hAnsi="Arial" w:cs="Arial"/>
                <w:sz w:val="18"/>
                <w:szCs w:val="18"/>
              </w:rPr>
            </w:pPr>
            <w:r w:rsidRPr="00EF0531">
              <w:rPr>
                <w:rFonts w:ascii="Arial" w:hAnsi="Arial" w:cs="Arial"/>
                <w:sz w:val="18"/>
                <w:szCs w:val="18"/>
              </w:rPr>
              <w:t> </w:t>
            </w:r>
          </w:p>
        </w:tc>
      </w:tr>
      <w:tr w:rsidR="001362DC" w:rsidRPr="00EF0531" w:rsidTr="000A5C0F">
        <w:trPr>
          <w:cantSplit/>
          <w:trHeight w:val="20"/>
        </w:trPr>
        <w:tc>
          <w:tcPr>
            <w:tcW w:w="673" w:type="pct"/>
            <w:vMerge/>
            <w:tcBorders>
              <w:top w:val="single" w:sz="4" w:space="0" w:color="000000"/>
              <w:left w:val="single" w:sz="4" w:space="0" w:color="auto"/>
              <w:bottom w:val="single" w:sz="4" w:space="0" w:color="000000"/>
              <w:right w:val="single" w:sz="4" w:space="0" w:color="auto"/>
            </w:tcBorders>
            <w:shd w:val="clear" w:color="auto" w:fill="EAF1DD"/>
            <w:vAlign w:val="center"/>
          </w:tcPr>
          <w:p w:rsidR="001362DC" w:rsidRPr="00EF0531" w:rsidRDefault="001362DC" w:rsidP="00C23FBA">
            <w:pPr>
              <w:rPr>
                <w:rFonts w:ascii="Arial" w:hAnsi="Arial" w:cs="Arial"/>
                <w:sz w:val="18"/>
                <w:szCs w:val="18"/>
              </w:rPr>
            </w:pPr>
          </w:p>
        </w:tc>
        <w:tc>
          <w:tcPr>
            <w:tcW w:w="634" w:type="pct"/>
            <w:tcBorders>
              <w:top w:val="nil"/>
              <w:left w:val="nil"/>
              <w:bottom w:val="single" w:sz="4" w:space="0" w:color="auto"/>
              <w:right w:val="single" w:sz="4" w:space="0" w:color="auto"/>
            </w:tcBorders>
            <w:noWrap/>
            <w:vAlign w:val="center"/>
          </w:tcPr>
          <w:p w:rsidR="001362DC" w:rsidRPr="00EF0531" w:rsidRDefault="001362DC" w:rsidP="00C23FBA">
            <w:pPr>
              <w:rPr>
                <w:rFonts w:ascii="Arial" w:hAnsi="Arial" w:cs="Arial"/>
                <w:sz w:val="18"/>
                <w:szCs w:val="18"/>
              </w:rPr>
            </w:pPr>
            <w:r w:rsidRPr="00EF0531">
              <w:rPr>
                <w:rFonts w:ascii="Arial" w:hAnsi="Arial" w:cs="Arial"/>
                <w:sz w:val="18"/>
                <w:szCs w:val="18"/>
              </w:rPr>
              <w:t>Východisko</w:t>
            </w:r>
          </w:p>
        </w:tc>
        <w:tc>
          <w:tcPr>
            <w:tcW w:w="351" w:type="pct"/>
            <w:tcBorders>
              <w:top w:val="nil"/>
              <w:left w:val="nil"/>
              <w:bottom w:val="single" w:sz="4" w:space="0" w:color="auto"/>
              <w:right w:val="dotted" w:sz="4" w:space="0" w:color="auto"/>
            </w:tcBorders>
            <w:noWrap/>
            <w:vAlign w:val="center"/>
          </w:tcPr>
          <w:p w:rsidR="001362DC" w:rsidRPr="00EF0531" w:rsidRDefault="001362DC" w:rsidP="00C23FBA">
            <w:pPr>
              <w:jc w:val="center"/>
              <w:rPr>
                <w:rFonts w:ascii="Arial" w:hAnsi="Arial" w:cs="Arial"/>
                <w:b/>
                <w:bCs/>
                <w:sz w:val="18"/>
                <w:szCs w:val="18"/>
              </w:rPr>
            </w:pPr>
            <w:r w:rsidRPr="00EF0531">
              <w:rPr>
                <w:rFonts w:ascii="Arial" w:hAnsi="Arial" w:cs="Arial"/>
                <w:b/>
                <w:bCs/>
                <w:sz w:val="18"/>
                <w:szCs w:val="18"/>
              </w:rPr>
              <w:t>0</w:t>
            </w:r>
          </w:p>
        </w:tc>
        <w:tc>
          <w:tcPr>
            <w:tcW w:w="353" w:type="pct"/>
            <w:tcBorders>
              <w:top w:val="nil"/>
              <w:left w:val="nil"/>
              <w:bottom w:val="single" w:sz="4" w:space="0" w:color="auto"/>
              <w:right w:val="dotted" w:sz="4" w:space="0" w:color="auto"/>
            </w:tcBorders>
            <w:noWrap/>
            <w:vAlign w:val="center"/>
          </w:tcPr>
          <w:p w:rsidR="001362DC" w:rsidRPr="00EF0531" w:rsidRDefault="001362DC" w:rsidP="00C23FBA">
            <w:pPr>
              <w:jc w:val="center"/>
              <w:rPr>
                <w:rFonts w:ascii="Arial" w:hAnsi="Arial" w:cs="Arial"/>
                <w:i/>
                <w:iCs/>
                <w:sz w:val="18"/>
                <w:szCs w:val="18"/>
              </w:rPr>
            </w:pPr>
            <w:r w:rsidRPr="00EF0531">
              <w:rPr>
                <w:rFonts w:ascii="Arial" w:hAnsi="Arial" w:cs="Arial"/>
                <w:i/>
                <w:iCs/>
                <w:sz w:val="18"/>
                <w:szCs w:val="18"/>
              </w:rPr>
              <w:t>N/A</w:t>
            </w:r>
          </w:p>
        </w:tc>
        <w:tc>
          <w:tcPr>
            <w:tcW w:w="356" w:type="pct"/>
            <w:tcBorders>
              <w:top w:val="nil"/>
              <w:left w:val="nil"/>
              <w:bottom w:val="single" w:sz="4" w:space="0" w:color="auto"/>
              <w:right w:val="dotted" w:sz="4" w:space="0" w:color="auto"/>
            </w:tcBorders>
            <w:noWrap/>
            <w:vAlign w:val="center"/>
          </w:tcPr>
          <w:p w:rsidR="001362DC" w:rsidRPr="00EF0531" w:rsidRDefault="001362DC" w:rsidP="00C23FBA">
            <w:pPr>
              <w:jc w:val="center"/>
              <w:rPr>
                <w:rFonts w:ascii="Arial" w:hAnsi="Arial" w:cs="Arial"/>
                <w:i/>
                <w:iCs/>
                <w:sz w:val="18"/>
                <w:szCs w:val="18"/>
              </w:rPr>
            </w:pPr>
            <w:r w:rsidRPr="00EF0531">
              <w:rPr>
                <w:rFonts w:ascii="Arial" w:hAnsi="Arial" w:cs="Arial"/>
                <w:i/>
                <w:iCs/>
                <w:sz w:val="18"/>
                <w:szCs w:val="18"/>
              </w:rPr>
              <w:t>N/A</w:t>
            </w:r>
          </w:p>
        </w:tc>
        <w:tc>
          <w:tcPr>
            <w:tcW w:w="352" w:type="pct"/>
            <w:tcBorders>
              <w:top w:val="nil"/>
              <w:left w:val="nil"/>
              <w:bottom w:val="single" w:sz="4" w:space="0" w:color="auto"/>
              <w:right w:val="dotted" w:sz="4" w:space="0" w:color="auto"/>
            </w:tcBorders>
            <w:noWrap/>
            <w:vAlign w:val="center"/>
          </w:tcPr>
          <w:p w:rsidR="001362DC" w:rsidRPr="00EF0531" w:rsidRDefault="001362DC" w:rsidP="00C23FBA">
            <w:pPr>
              <w:jc w:val="center"/>
              <w:rPr>
                <w:rFonts w:ascii="Arial" w:hAnsi="Arial" w:cs="Arial"/>
                <w:i/>
                <w:iCs/>
                <w:sz w:val="18"/>
                <w:szCs w:val="18"/>
              </w:rPr>
            </w:pPr>
            <w:r w:rsidRPr="00EF0531">
              <w:rPr>
                <w:rFonts w:ascii="Arial" w:hAnsi="Arial" w:cs="Arial"/>
                <w:i/>
                <w:iCs/>
                <w:sz w:val="18"/>
                <w:szCs w:val="18"/>
              </w:rPr>
              <w:t>N/A</w:t>
            </w:r>
          </w:p>
        </w:tc>
        <w:tc>
          <w:tcPr>
            <w:tcW w:w="344" w:type="pct"/>
            <w:tcBorders>
              <w:top w:val="nil"/>
              <w:left w:val="nil"/>
              <w:bottom w:val="single" w:sz="4" w:space="0" w:color="auto"/>
              <w:right w:val="dotted" w:sz="4" w:space="0" w:color="auto"/>
            </w:tcBorders>
            <w:noWrap/>
            <w:vAlign w:val="center"/>
          </w:tcPr>
          <w:p w:rsidR="001362DC" w:rsidRPr="00EF0531" w:rsidRDefault="001362DC" w:rsidP="00C23FBA">
            <w:pPr>
              <w:jc w:val="center"/>
              <w:rPr>
                <w:rFonts w:ascii="Arial" w:hAnsi="Arial" w:cs="Arial"/>
                <w:i/>
                <w:iCs/>
                <w:sz w:val="18"/>
                <w:szCs w:val="18"/>
              </w:rPr>
            </w:pPr>
            <w:r w:rsidRPr="00EF0531">
              <w:rPr>
                <w:rFonts w:ascii="Arial" w:hAnsi="Arial" w:cs="Arial"/>
                <w:i/>
                <w:iCs/>
                <w:sz w:val="18"/>
                <w:szCs w:val="18"/>
              </w:rPr>
              <w:t>N/A</w:t>
            </w:r>
          </w:p>
        </w:tc>
        <w:tc>
          <w:tcPr>
            <w:tcW w:w="269" w:type="pct"/>
            <w:tcBorders>
              <w:top w:val="nil"/>
              <w:left w:val="nil"/>
              <w:bottom w:val="single" w:sz="4" w:space="0" w:color="auto"/>
              <w:right w:val="dotted" w:sz="4" w:space="0" w:color="auto"/>
            </w:tcBorders>
            <w:noWrap/>
            <w:vAlign w:val="center"/>
          </w:tcPr>
          <w:p w:rsidR="001362DC" w:rsidRPr="00EF0531" w:rsidRDefault="001362DC" w:rsidP="00C23FBA">
            <w:pPr>
              <w:jc w:val="center"/>
              <w:rPr>
                <w:rFonts w:ascii="Arial" w:hAnsi="Arial" w:cs="Arial"/>
                <w:i/>
                <w:iCs/>
                <w:sz w:val="18"/>
                <w:szCs w:val="18"/>
              </w:rPr>
            </w:pPr>
            <w:r w:rsidRPr="00EF0531">
              <w:rPr>
                <w:rFonts w:ascii="Arial" w:hAnsi="Arial" w:cs="Arial"/>
                <w:i/>
                <w:iCs/>
                <w:sz w:val="18"/>
                <w:szCs w:val="18"/>
              </w:rPr>
              <w:t>N/A</w:t>
            </w:r>
          </w:p>
        </w:tc>
        <w:tc>
          <w:tcPr>
            <w:tcW w:w="269" w:type="pct"/>
            <w:tcBorders>
              <w:top w:val="nil"/>
              <w:left w:val="nil"/>
              <w:bottom w:val="single" w:sz="4" w:space="0" w:color="auto"/>
              <w:right w:val="dotted" w:sz="4" w:space="0" w:color="auto"/>
            </w:tcBorders>
            <w:noWrap/>
            <w:vAlign w:val="center"/>
          </w:tcPr>
          <w:p w:rsidR="001362DC" w:rsidRPr="00EF0531" w:rsidRDefault="001362DC" w:rsidP="00C23FBA">
            <w:pPr>
              <w:jc w:val="center"/>
              <w:rPr>
                <w:rFonts w:ascii="Arial" w:hAnsi="Arial" w:cs="Arial"/>
                <w:i/>
                <w:iCs/>
                <w:sz w:val="18"/>
                <w:szCs w:val="18"/>
              </w:rPr>
            </w:pPr>
            <w:r w:rsidRPr="00EF0531">
              <w:rPr>
                <w:rFonts w:ascii="Arial" w:hAnsi="Arial" w:cs="Arial"/>
                <w:i/>
                <w:iCs/>
                <w:sz w:val="18"/>
                <w:szCs w:val="18"/>
              </w:rPr>
              <w:t>N/A</w:t>
            </w:r>
          </w:p>
        </w:tc>
        <w:tc>
          <w:tcPr>
            <w:tcW w:w="269" w:type="pct"/>
            <w:tcBorders>
              <w:top w:val="nil"/>
              <w:left w:val="nil"/>
              <w:bottom w:val="single" w:sz="4" w:space="0" w:color="auto"/>
              <w:right w:val="dotted" w:sz="4" w:space="0" w:color="auto"/>
            </w:tcBorders>
            <w:noWrap/>
            <w:vAlign w:val="center"/>
          </w:tcPr>
          <w:p w:rsidR="001362DC" w:rsidRPr="00EF0531" w:rsidRDefault="001362DC" w:rsidP="00C23FBA">
            <w:pPr>
              <w:jc w:val="center"/>
              <w:rPr>
                <w:rFonts w:ascii="Arial" w:hAnsi="Arial" w:cs="Arial"/>
                <w:i/>
                <w:iCs/>
                <w:sz w:val="18"/>
                <w:szCs w:val="18"/>
              </w:rPr>
            </w:pPr>
            <w:r w:rsidRPr="00EF0531">
              <w:rPr>
                <w:rFonts w:ascii="Arial" w:hAnsi="Arial" w:cs="Arial"/>
                <w:i/>
                <w:iCs/>
                <w:sz w:val="18"/>
                <w:szCs w:val="18"/>
              </w:rPr>
              <w:t>N/A</w:t>
            </w:r>
          </w:p>
        </w:tc>
        <w:tc>
          <w:tcPr>
            <w:tcW w:w="253" w:type="pct"/>
            <w:tcBorders>
              <w:top w:val="nil"/>
              <w:left w:val="nil"/>
              <w:bottom w:val="single" w:sz="4" w:space="0" w:color="auto"/>
              <w:right w:val="dotted" w:sz="4" w:space="0" w:color="auto"/>
            </w:tcBorders>
            <w:noWrap/>
            <w:vAlign w:val="center"/>
          </w:tcPr>
          <w:p w:rsidR="001362DC" w:rsidRPr="00EF0531" w:rsidRDefault="001362DC" w:rsidP="00C23FBA">
            <w:pPr>
              <w:jc w:val="center"/>
              <w:rPr>
                <w:rFonts w:ascii="Arial" w:hAnsi="Arial" w:cs="Arial"/>
                <w:i/>
                <w:iCs/>
                <w:sz w:val="18"/>
                <w:szCs w:val="18"/>
              </w:rPr>
            </w:pPr>
            <w:r w:rsidRPr="00EF0531">
              <w:rPr>
                <w:rFonts w:ascii="Arial" w:hAnsi="Arial" w:cs="Arial"/>
                <w:i/>
                <w:iCs/>
                <w:sz w:val="18"/>
                <w:szCs w:val="18"/>
              </w:rPr>
              <w:t>N/A</w:t>
            </w:r>
          </w:p>
        </w:tc>
        <w:tc>
          <w:tcPr>
            <w:tcW w:w="523" w:type="pct"/>
            <w:tcBorders>
              <w:top w:val="nil"/>
              <w:left w:val="nil"/>
              <w:bottom w:val="single" w:sz="4" w:space="0" w:color="auto"/>
              <w:right w:val="dotted" w:sz="4" w:space="0" w:color="auto"/>
            </w:tcBorders>
            <w:noWrap/>
            <w:vAlign w:val="center"/>
          </w:tcPr>
          <w:p w:rsidR="001362DC" w:rsidRPr="00EF0531" w:rsidRDefault="001362DC" w:rsidP="00C23FBA">
            <w:pPr>
              <w:jc w:val="center"/>
              <w:rPr>
                <w:rFonts w:ascii="Arial" w:hAnsi="Arial" w:cs="Arial"/>
                <w:b/>
                <w:bCs/>
                <w:sz w:val="18"/>
                <w:szCs w:val="18"/>
              </w:rPr>
            </w:pPr>
            <w:r w:rsidRPr="00EF0531">
              <w:rPr>
                <w:rFonts w:ascii="Arial" w:hAnsi="Arial" w:cs="Arial"/>
                <w:b/>
                <w:bCs/>
                <w:sz w:val="18"/>
                <w:szCs w:val="18"/>
              </w:rPr>
              <w:t>0</w:t>
            </w:r>
          </w:p>
        </w:tc>
        <w:tc>
          <w:tcPr>
            <w:tcW w:w="353" w:type="pct"/>
            <w:tcBorders>
              <w:top w:val="nil"/>
              <w:left w:val="nil"/>
              <w:bottom w:val="single" w:sz="4" w:space="0" w:color="auto"/>
              <w:right w:val="single" w:sz="4" w:space="0" w:color="auto"/>
            </w:tcBorders>
            <w:noWrap/>
            <w:vAlign w:val="center"/>
          </w:tcPr>
          <w:p w:rsidR="001362DC" w:rsidRPr="00EF0531" w:rsidRDefault="001362DC" w:rsidP="00C23FBA">
            <w:pPr>
              <w:jc w:val="center"/>
              <w:rPr>
                <w:rFonts w:ascii="Arial" w:hAnsi="Arial" w:cs="Arial"/>
                <w:sz w:val="18"/>
                <w:szCs w:val="18"/>
              </w:rPr>
            </w:pPr>
            <w:r w:rsidRPr="00EF0531">
              <w:rPr>
                <w:rFonts w:ascii="Arial" w:hAnsi="Arial" w:cs="Arial"/>
                <w:sz w:val="18"/>
                <w:szCs w:val="18"/>
              </w:rPr>
              <w:t> </w:t>
            </w:r>
          </w:p>
        </w:tc>
      </w:tr>
      <w:tr w:rsidR="001362DC" w:rsidRPr="00EF0531" w:rsidTr="000A5C0F">
        <w:trPr>
          <w:cantSplit/>
          <w:trHeight w:val="20"/>
        </w:trPr>
        <w:tc>
          <w:tcPr>
            <w:tcW w:w="673" w:type="pct"/>
            <w:vMerge w:val="restart"/>
            <w:tcBorders>
              <w:top w:val="single" w:sz="4" w:space="0" w:color="000000"/>
              <w:left w:val="single" w:sz="4" w:space="0" w:color="auto"/>
              <w:bottom w:val="single" w:sz="4" w:space="0" w:color="000000"/>
              <w:right w:val="single" w:sz="4" w:space="0" w:color="auto"/>
            </w:tcBorders>
            <w:shd w:val="clear" w:color="auto" w:fill="EAF1DD"/>
            <w:vAlign w:val="center"/>
          </w:tcPr>
          <w:p w:rsidR="001362DC" w:rsidRPr="00EF0531" w:rsidRDefault="001362DC" w:rsidP="00376114">
            <w:pPr>
              <w:rPr>
                <w:rFonts w:ascii="Arial" w:hAnsi="Arial" w:cs="Arial"/>
                <w:sz w:val="18"/>
                <w:szCs w:val="18"/>
              </w:rPr>
            </w:pPr>
            <w:r w:rsidRPr="00EF0531">
              <w:rPr>
                <w:rFonts w:ascii="Arial" w:hAnsi="Arial" w:cs="Arial"/>
                <w:sz w:val="18"/>
                <w:szCs w:val="18"/>
              </w:rPr>
              <w:t xml:space="preserve">Objem finančných prostriedkov projektov s príspevkom k </w:t>
            </w:r>
            <w:r w:rsidR="00376114" w:rsidRPr="00EF0531">
              <w:rPr>
                <w:rFonts w:ascii="Arial" w:hAnsi="Arial" w:cs="Arial"/>
                <w:sz w:val="18"/>
                <w:szCs w:val="18"/>
              </w:rPr>
              <w:t>HP</w:t>
            </w:r>
            <w:r w:rsidRPr="00EF0531">
              <w:rPr>
                <w:rFonts w:ascii="Arial" w:hAnsi="Arial" w:cs="Arial"/>
                <w:sz w:val="18"/>
                <w:szCs w:val="18"/>
              </w:rPr>
              <w:t xml:space="preserve"> TUR</w:t>
            </w:r>
          </w:p>
          <w:p w:rsidR="00376114" w:rsidRPr="00EF0531" w:rsidRDefault="00376114" w:rsidP="00376114">
            <w:pPr>
              <w:rPr>
                <w:rFonts w:ascii="Arial" w:hAnsi="Arial" w:cs="Arial"/>
                <w:sz w:val="18"/>
                <w:szCs w:val="18"/>
              </w:rPr>
            </w:pPr>
            <w:r w:rsidRPr="00EF0531">
              <w:rPr>
                <w:rFonts w:ascii="Arial" w:hAnsi="Arial" w:cs="Arial"/>
                <w:sz w:val="18"/>
                <w:szCs w:val="18"/>
              </w:rPr>
              <w:t>TUR (mil. EUR) výsledok</w:t>
            </w:r>
          </w:p>
          <w:p w:rsidR="00376114" w:rsidRPr="00EF0531" w:rsidRDefault="00376114" w:rsidP="00376114">
            <w:pPr>
              <w:rPr>
                <w:rFonts w:ascii="Arial" w:hAnsi="Arial" w:cs="Arial"/>
                <w:sz w:val="18"/>
                <w:szCs w:val="18"/>
              </w:rPr>
            </w:pPr>
          </w:p>
        </w:tc>
        <w:tc>
          <w:tcPr>
            <w:tcW w:w="634" w:type="pct"/>
            <w:tcBorders>
              <w:top w:val="nil"/>
              <w:left w:val="nil"/>
              <w:bottom w:val="dotted" w:sz="4" w:space="0" w:color="auto"/>
              <w:right w:val="single" w:sz="4" w:space="0" w:color="auto"/>
            </w:tcBorders>
            <w:noWrap/>
            <w:vAlign w:val="center"/>
          </w:tcPr>
          <w:p w:rsidR="001362DC" w:rsidRPr="00EF0531" w:rsidRDefault="001362DC" w:rsidP="00C23FBA">
            <w:pPr>
              <w:rPr>
                <w:rFonts w:ascii="Arial" w:hAnsi="Arial" w:cs="Arial"/>
                <w:sz w:val="18"/>
                <w:szCs w:val="18"/>
              </w:rPr>
            </w:pPr>
            <w:r w:rsidRPr="00EF0531">
              <w:rPr>
                <w:rFonts w:ascii="Arial" w:hAnsi="Arial" w:cs="Arial"/>
                <w:sz w:val="18"/>
                <w:szCs w:val="18"/>
              </w:rPr>
              <w:t>Dosiahnutý výsledok</w:t>
            </w:r>
          </w:p>
        </w:tc>
        <w:tc>
          <w:tcPr>
            <w:tcW w:w="351" w:type="pct"/>
            <w:tcBorders>
              <w:top w:val="nil"/>
              <w:left w:val="nil"/>
              <w:bottom w:val="dotted" w:sz="4" w:space="0" w:color="auto"/>
              <w:right w:val="dotted" w:sz="4" w:space="0" w:color="auto"/>
            </w:tcBorders>
            <w:noWrap/>
            <w:vAlign w:val="center"/>
          </w:tcPr>
          <w:p w:rsidR="001362DC" w:rsidRPr="00EF0531" w:rsidRDefault="001362DC" w:rsidP="00C23FBA">
            <w:pPr>
              <w:jc w:val="center"/>
              <w:rPr>
                <w:rFonts w:ascii="Arial" w:hAnsi="Arial" w:cs="Arial"/>
                <w:b/>
                <w:bCs/>
                <w:sz w:val="18"/>
                <w:szCs w:val="18"/>
              </w:rPr>
            </w:pPr>
            <w:r w:rsidRPr="00EF0531">
              <w:rPr>
                <w:rFonts w:ascii="Arial" w:hAnsi="Arial" w:cs="Arial"/>
                <w:b/>
                <w:bCs/>
                <w:sz w:val="18"/>
                <w:szCs w:val="18"/>
              </w:rPr>
              <w:t>0</w:t>
            </w:r>
          </w:p>
        </w:tc>
        <w:tc>
          <w:tcPr>
            <w:tcW w:w="353" w:type="pct"/>
            <w:tcBorders>
              <w:top w:val="nil"/>
              <w:left w:val="nil"/>
              <w:bottom w:val="dotted" w:sz="4" w:space="0" w:color="auto"/>
              <w:right w:val="dotted" w:sz="4" w:space="0" w:color="auto"/>
            </w:tcBorders>
            <w:noWrap/>
            <w:vAlign w:val="center"/>
          </w:tcPr>
          <w:p w:rsidR="001362DC" w:rsidRPr="00EF0531" w:rsidRDefault="001362DC" w:rsidP="00376114">
            <w:pPr>
              <w:jc w:val="center"/>
              <w:rPr>
                <w:rFonts w:ascii="Arial" w:hAnsi="Arial" w:cs="Arial"/>
                <w:b/>
                <w:bCs/>
                <w:sz w:val="18"/>
                <w:szCs w:val="18"/>
              </w:rPr>
            </w:pPr>
            <w:r w:rsidRPr="00EF0531">
              <w:rPr>
                <w:rFonts w:ascii="Arial" w:hAnsi="Arial" w:cs="Arial"/>
                <w:b/>
                <w:bCs/>
                <w:sz w:val="18"/>
                <w:szCs w:val="18"/>
              </w:rPr>
              <w:t>36</w:t>
            </w:r>
            <w:r w:rsidR="00376114" w:rsidRPr="00EF0531">
              <w:rPr>
                <w:rFonts w:ascii="Arial" w:hAnsi="Arial" w:cs="Arial"/>
                <w:b/>
                <w:bCs/>
                <w:sz w:val="18"/>
                <w:szCs w:val="18"/>
              </w:rPr>
              <w:t>,6</w:t>
            </w:r>
          </w:p>
        </w:tc>
        <w:tc>
          <w:tcPr>
            <w:tcW w:w="356" w:type="pct"/>
            <w:tcBorders>
              <w:top w:val="nil"/>
              <w:left w:val="nil"/>
              <w:bottom w:val="dotted" w:sz="4" w:space="0" w:color="auto"/>
              <w:right w:val="dotted" w:sz="4" w:space="0" w:color="auto"/>
            </w:tcBorders>
            <w:noWrap/>
            <w:vAlign w:val="center"/>
          </w:tcPr>
          <w:p w:rsidR="001362DC" w:rsidRPr="00EF0531" w:rsidRDefault="001362DC" w:rsidP="00376114">
            <w:pPr>
              <w:jc w:val="center"/>
              <w:rPr>
                <w:rFonts w:ascii="Arial" w:hAnsi="Arial" w:cs="Arial"/>
                <w:b/>
                <w:bCs/>
                <w:sz w:val="18"/>
                <w:szCs w:val="18"/>
              </w:rPr>
            </w:pPr>
            <w:r w:rsidRPr="00EF0531">
              <w:rPr>
                <w:rFonts w:ascii="Arial" w:hAnsi="Arial" w:cs="Arial"/>
                <w:b/>
                <w:bCs/>
                <w:sz w:val="18"/>
                <w:szCs w:val="18"/>
              </w:rPr>
              <w:t>264</w:t>
            </w:r>
            <w:r w:rsidR="00376114" w:rsidRPr="00EF0531">
              <w:rPr>
                <w:rFonts w:ascii="Arial" w:hAnsi="Arial" w:cs="Arial"/>
                <w:b/>
                <w:bCs/>
                <w:sz w:val="18"/>
                <w:szCs w:val="18"/>
              </w:rPr>
              <w:t>,85</w:t>
            </w:r>
          </w:p>
        </w:tc>
        <w:tc>
          <w:tcPr>
            <w:tcW w:w="352" w:type="pct"/>
            <w:tcBorders>
              <w:top w:val="nil"/>
              <w:left w:val="nil"/>
              <w:bottom w:val="dotted" w:sz="4" w:space="0" w:color="auto"/>
              <w:right w:val="dotted" w:sz="4" w:space="0" w:color="auto"/>
            </w:tcBorders>
            <w:noWrap/>
            <w:vAlign w:val="center"/>
          </w:tcPr>
          <w:p w:rsidR="001362DC" w:rsidRPr="00EF0531" w:rsidRDefault="001362DC" w:rsidP="00376114">
            <w:pPr>
              <w:jc w:val="center"/>
              <w:rPr>
                <w:rFonts w:ascii="Arial" w:hAnsi="Arial" w:cs="Arial"/>
                <w:b/>
                <w:bCs/>
                <w:sz w:val="18"/>
                <w:szCs w:val="18"/>
              </w:rPr>
            </w:pPr>
            <w:r w:rsidRPr="00EF0531">
              <w:rPr>
                <w:rFonts w:ascii="Arial" w:hAnsi="Arial" w:cs="Arial"/>
                <w:b/>
                <w:bCs/>
                <w:sz w:val="18"/>
                <w:szCs w:val="18"/>
              </w:rPr>
              <w:t>826</w:t>
            </w:r>
            <w:r w:rsidR="00376114" w:rsidRPr="00EF0531">
              <w:rPr>
                <w:rFonts w:ascii="Arial" w:hAnsi="Arial" w:cs="Arial"/>
                <w:b/>
                <w:bCs/>
                <w:sz w:val="18"/>
                <w:szCs w:val="18"/>
              </w:rPr>
              <w:t>,</w:t>
            </w:r>
            <w:r w:rsidRPr="00EF0531">
              <w:rPr>
                <w:rFonts w:ascii="Arial" w:hAnsi="Arial" w:cs="Arial"/>
                <w:b/>
                <w:bCs/>
                <w:sz w:val="18"/>
                <w:szCs w:val="18"/>
              </w:rPr>
              <w:t xml:space="preserve"> 53</w:t>
            </w:r>
          </w:p>
        </w:tc>
        <w:tc>
          <w:tcPr>
            <w:tcW w:w="344" w:type="pct"/>
            <w:tcBorders>
              <w:top w:val="nil"/>
              <w:left w:val="nil"/>
              <w:bottom w:val="dotted" w:sz="4" w:space="0" w:color="auto"/>
              <w:right w:val="dotted" w:sz="4" w:space="0" w:color="auto"/>
            </w:tcBorders>
            <w:noWrap/>
            <w:vAlign w:val="center"/>
          </w:tcPr>
          <w:p w:rsidR="001362DC" w:rsidRPr="00EF0531" w:rsidRDefault="001362DC" w:rsidP="00376114">
            <w:pPr>
              <w:jc w:val="center"/>
              <w:rPr>
                <w:rFonts w:ascii="Arial" w:hAnsi="Arial" w:cs="Arial"/>
                <w:b/>
                <w:bCs/>
                <w:sz w:val="18"/>
                <w:szCs w:val="18"/>
              </w:rPr>
            </w:pPr>
            <w:r w:rsidRPr="00EF0531">
              <w:rPr>
                <w:rFonts w:ascii="Arial" w:hAnsi="Arial" w:cs="Arial"/>
                <w:b/>
                <w:bCs/>
                <w:sz w:val="18"/>
                <w:szCs w:val="18"/>
              </w:rPr>
              <w:t>1</w:t>
            </w:r>
            <w:r w:rsidR="00376114" w:rsidRPr="00EF0531">
              <w:rPr>
                <w:rFonts w:ascii="Arial" w:hAnsi="Arial" w:cs="Arial"/>
                <w:b/>
                <w:bCs/>
                <w:sz w:val="18"/>
                <w:szCs w:val="18"/>
              </w:rPr>
              <w:t> </w:t>
            </w:r>
            <w:r w:rsidRPr="00EF0531">
              <w:rPr>
                <w:rFonts w:ascii="Arial" w:hAnsi="Arial" w:cs="Arial"/>
                <w:b/>
                <w:bCs/>
                <w:sz w:val="18"/>
                <w:szCs w:val="18"/>
              </w:rPr>
              <w:t>022</w:t>
            </w:r>
            <w:r w:rsidR="00376114" w:rsidRPr="00EF0531">
              <w:rPr>
                <w:rFonts w:ascii="Arial" w:hAnsi="Arial" w:cs="Arial"/>
                <w:b/>
                <w:bCs/>
                <w:sz w:val="18"/>
                <w:szCs w:val="18"/>
              </w:rPr>
              <w:t>,8</w:t>
            </w:r>
          </w:p>
        </w:tc>
        <w:tc>
          <w:tcPr>
            <w:tcW w:w="269" w:type="pct"/>
            <w:tcBorders>
              <w:top w:val="nil"/>
              <w:left w:val="nil"/>
              <w:bottom w:val="dotted" w:sz="4" w:space="0" w:color="auto"/>
              <w:right w:val="dotted" w:sz="4" w:space="0" w:color="auto"/>
            </w:tcBorders>
            <w:noWrap/>
            <w:vAlign w:val="center"/>
          </w:tcPr>
          <w:p w:rsidR="001362DC" w:rsidRPr="00EF0531" w:rsidRDefault="001362DC" w:rsidP="00376114">
            <w:pPr>
              <w:jc w:val="center"/>
              <w:rPr>
                <w:rFonts w:ascii="Arial" w:hAnsi="Arial" w:cs="Arial"/>
                <w:i/>
                <w:iCs/>
                <w:sz w:val="18"/>
                <w:szCs w:val="18"/>
              </w:rPr>
            </w:pPr>
            <w:r w:rsidRPr="00EF0531">
              <w:rPr>
                <w:rFonts w:ascii="Arial" w:hAnsi="Arial" w:cs="Arial"/>
                <w:i/>
                <w:iCs/>
                <w:sz w:val="18"/>
                <w:szCs w:val="18"/>
              </w:rPr>
              <w:t xml:space="preserve">     1</w:t>
            </w:r>
            <w:r w:rsidR="00376114" w:rsidRPr="00EF0531">
              <w:rPr>
                <w:rFonts w:ascii="Arial" w:hAnsi="Arial" w:cs="Arial"/>
                <w:i/>
                <w:iCs/>
                <w:sz w:val="18"/>
                <w:szCs w:val="18"/>
              </w:rPr>
              <w:t> 171,8</w:t>
            </w:r>
            <w:r w:rsidRPr="00EF0531">
              <w:rPr>
                <w:rFonts w:ascii="Arial" w:hAnsi="Arial" w:cs="Arial"/>
                <w:i/>
                <w:iCs/>
                <w:sz w:val="18"/>
                <w:szCs w:val="18"/>
              </w:rPr>
              <w:t xml:space="preserve">   </w:t>
            </w:r>
          </w:p>
        </w:tc>
        <w:tc>
          <w:tcPr>
            <w:tcW w:w="269" w:type="pct"/>
            <w:tcBorders>
              <w:top w:val="nil"/>
              <w:left w:val="nil"/>
              <w:bottom w:val="dotted" w:sz="4" w:space="0" w:color="auto"/>
              <w:right w:val="dotted" w:sz="4" w:space="0" w:color="auto"/>
            </w:tcBorders>
            <w:noWrap/>
            <w:vAlign w:val="center"/>
          </w:tcPr>
          <w:p w:rsidR="001362DC" w:rsidRPr="00EF0531" w:rsidRDefault="001362DC" w:rsidP="00C23FBA">
            <w:pPr>
              <w:jc w:val="center"/>
              <w:rPr>
                <w:rFonts w:ascii="Arial" w:hAnsi="Arial" w:cs="Arial"/>
                <w:i/>
                <w:iCs/>
                <w:sz w:val="18"/>
                <w:szCs w:val="18"/>
              </w:rPr>
            </w:pPr>
            <w:r w:rsidRPr="00EF0531">
              <w:rPr>
                <w:rFonts w:ascii="Arial" w:hAnsi="Arial" w:cs="Arial"/>
                <w:i/>
                <w:iCs/>
                <w:sz w:val="18"/>
                <w:szCs w:val="18"/>
              </w:rPr>
              <w:t>N/A</w:t>
            </w:r>
          </w:p>
        </w:tc>
        <w:tc>
          <w:tcPr>
            <w:tcW w:w="269" w:type="pct"/>
            <w:tcBorders>
              <w:top w:val="nil"/>
              <w:left w:val="nil"/>
              <w:bottom w:val="dotted" w:sz="4" w:space="0" w:color="auto"/>
              <w:right w:val="dotted" w:sz="4" w:space="0" w:color="auto"/>
            </w:tcBorders>
            <w:noWrap/>
            <w:vAlign w:val="center"/>
          </w:tcPr>
          <w:p w:rsidR="001362DC" w:rsidRPr="00EF0531" w:rsidRDefault="001362DC" w:rsidP="00C23FBA">
            <w:pPr>
              <w:jc w:val="center"/>
              <w:rPr>
                <w:rFonts w:ascii="Arial" w:hAnsi="Arial" w:cs="Arial"/>
                <w:i/>
                <w:iCs/>
                <w:sz w:val="18"/>
                <w:szCs w:val="18"/>
              </w:rPr>
            </w:pPr>
            <w:r w:rsidRPr="00EF0531">
              <w:rPr>
                <w:rFonts w:ascii="Arial" w:hAnsi="Arial" w:cs="Arial"/>
                <w:i/>
                <w:iCs/>
                <w:sz w:val="18"/>
                <w:szCs w:val="18"/>
              </w:rPr>
              <w:t>N/A</w:t>
            </w:r>
          </w:p>
        </w:tc>
        <w:tc>
          <w:tcPr>
            <w:tcW w:w="253" w:type="pct"/>
            <w:tcBorders>
              <w:top w:val="nil"/>
              <w:left w:val="nil"/>
              <w:bottom w:val="dotted" w:sz="4" w:space="0" w:color="auto"/>
              <w:right w:val="dotted" w:sz="4" w:space="0" w:color="auto"/>
            </w:tcBorders>
            <w:noWrap/>
            <w:vAlign w:val="center"/>
          </w:tcPr>
          <w:p w:rsidR="001362DC" w:rsidRPr="00EF0531" w:rsidRDefault="001362DC" w:rsidP="00C23FBA">
            <w:pPr>
              <w:jc w:val="center"/>
              <w:rPr>
                <w:rFonts w:ascii="Arial" w:hAnsi="Arial" w:cs="Arial"/>
                <w:i/>
                <w:iCs/>
                <w:sz w:val="18"/>
                <w:szCs w:val="18"/>
              </w:rPr>
            </w:pPr>
            <w:r w:rsidRPr="00EF0531">
              <w:rPr>
                <w:rFonts w:ascii="Arial" w:hAnsi="Arial" w:cs="Arial"/>
                <w:i/>
                <w:iCs/>
                <w:sz w:val="18"/>
                <w:szCs w:val="18"/>
              </w:rPr>
              <w:t>N/A</w:t>
            </w:r>
          </w:p>
        </w:tc>
        <w:tc>
          <w:tcPr>
            <w:tcW w:w="523" w:type="pct"/>
            <w:tcBorders>
              <w:top w:val="nil"/>
              <w:left w:val="nil"/>
              <w:bottom w:val="dotted" w:sz="4" w:space="0" w:color="auto"/>
              <w:right w:val="dotted" w:sz="4" w:space="0" w:color="auto"/>
            </w:tcBorders>
            <w:noWrap/>
            <w:vAlign w:val="center"/>
          </w:tcPr>
          <w:p w:rsidR="001362DC" w:rsidRPr="00EF0531" w:rsidRDefault="00376114" w:rsidP="00C23FBA">
            <w:pPr>
              <w:jc w:val="center"/>
              <w:rPr>
                <w:rFonts w:ascii="Arial" w:hAnsi="Arial" w:cs="Arial"/>
                <w:b/>
                <w:bCs/>
                <w:sz w:val="18"/>
                <w:szCs w:val="18"/>
              </w:rPr>
            </w:pPr>
            <w:r w:rsidRPr="00EF0531">
              <w:rPr>
                <w:rFonts w:ascii="Arial" w:hAnsi="Arial" w:cs="Arial"/>
                <w:b/>
                <w:bCs/>
                <w:sz w:val="18"/>
                <w:szCs w:val="18"/>
              </w:rPr>
              <w:t>1 171,8</w:t>
            </w:r>
          </w:p>
        </w:tc>
        <w:tc>
          <w:tcPr>
            <w:tcW w:w="353" w:type="pct"/>
            <w:tcBorders>
              <w:top w:val="nil"/>
              <w:left w:val="nil"/>
              <w:bottom w:val="dotted" w:sz="4" w:space="0" w:color="auto"/>
              <w:right w:val="single" w:sz="4" w:space="0" w:color="auto"/>
            </w:tcBorders>
            <w:noWrap/>
            <w:vAlign w:val="center"/>
          </w:tcPr>
          <w:p w:rsidR="001362DC" w:rsidRPr="00EF0531" w:rsidRDefault="001362DC" w:rsidP="00C23FBA">
            <w:pPr>
              <w:jc w:val="center"/>
              <w:rPr>
                <w:rFonts w:ascii="Arial" w:hAnsi="Arial" w:cs="Arial"/>
                <w:i/>
                <w:iCs/>
                <w:sz w:val="18"/>
                <w:szCs w:val="18"/>
              </w:rPr>
            </w:pPr>
            <w:r w:rsidRPr="00EF0531">
              <w:rPr>
                <w:rFonts w:ascii="Arial" w:hAnsi="Arial" w:cs="Arial"/>
                <w:i/>
                <w:iCs/>
                <w:sz w:val="18"/>
                <w:szCs w:val="18"/>
              </w:rPr>
              <w:t>EÚ+ŠR+VZ</w:t>
            </w:r>
          </w:p>
        </w:tc>
      </w:tr>
      <w:tr w:rsidR="001362DC" w:rsidRPr="00EF0531" w:rsidTr="000A5C0F">
        <w:trPr>
          <w:cantSplit/>
          <w:trHeight w:val="20"/>
        </w:trPr>
        <w:tc>
          <w:tcPr>
            <w:tcW w:w="673" w:type="pct"/>
            <w:vMerge/>
            <w:tcBorders>
              <w:top w:val="single" w:sz="4" w:space="0" w:color="000000"/>
              <w:left w:val="single" w:sz="4" w:space="0" w:color="auto"/>
              <w:bottom w:val="single" w:sz="4" w:space="0" w:color="000000"/>
              <w:right w:val="single" w:sz="4" w:space="0" w:color="auto"/>
            </w:tcBorders>
            <w:shd w:val="clear" w:color="auto" w:fill="EAF1DD"/>
            <w:vAlign w:val="center"/>
          </w:tcPr>
          <w:p w:rsidR="001362DC" w:rsidRPr="00EF0531" w:rsidRDefault="001362DC" w:rsidP="00C23FBA">
            <w:pPr>
              <w:rPr>
                <w:rFonts w:ascii="Arial" w:hAnsi="Arial" w:cs="Arial"/>
                <w:sz w:val="18"/>
                <w:szCs w:val="18"/>
              </w:rPr>
            </w:pPr>
          </w:p>
        </w:tc>
        <w:tc>
          <w:tcPr>
            <w:tcW w:w="634" w:type="pct"/>
            <w:tcBorders>
              <w:top w:val="nil"/>
              <w:left w:val="nil"/>
              <w:bottom w:val="dotted" w:sz="4" w:space="0" w:color="auto"/>
              <w:right w:val="single" w:sz="4" w:space="0" w:color="auto"/>
            </w:tcBorders>
            <w:noWrap/>
            <w:vAlign w:val="center"/>
          </w:tcPr>
          <w:p w:rsidR="001362DC" w:rsidRPr="00EF0531" w:rsidRDefault="001362DC" w:rsidP="00C23FBA">
            <w:pPr>
              <w:rPr>
                <w:rFonts w:ascii="Arial" w:hAnsi="Arial" w:cs="Arial"/>
                <w:sz w:val="18"/>
                <w:szCs w:val="18"/>
              </w:rPr>
            </w:pPr>
            <w:r w:rsidRPr="00EF0531">
              <w:rPr>
                <w:rFonts w:ascii="Arial" w:hAnsi="Arial" w:cs="Arial"/>
                <w:sz w:val="18"/>
                <w:szCs w:val="18"/>
              </w:rPr>
              <w:t>Cieľ</w:t>
            </w:r>
          </w:p>
        </w:tc>
        <w:tc>
          <w:tcPr>
            <w:tcW w:w="351" w:type="pct"/>
            <w:tcBorders>
              <w:top w:val="nil"/>
              <w:left w:val="nil"/>
              <w:bottom w:val="dotted" w:sz="4" w:space="0" w:color="auto"/>
              <w:right w:val="dotted" w:sz="4" w:space="0" w:color="auto"/>
            </w:tcBorders>
            <w:noWrap/>
            <w:vAlign w:val="center"/>
          </w:tcPr>
          <w:p w:rsidR="001362DC" w:rsidRPr="00EF0531" w:rsidRDefault="001362DC" w:rsidP="00C23FBA">
            <w:pPr>
              <w:jc w:val="center"/>
              <w:rPr>
                <w:rFonts w:ascii="Arial" w:hAnsi="Arial" w:cs="Arial"/>
                <w:i/>
                <w:iCs/>
                <w:sz w:val="18"/>
                <w:szCs w:val="18"/>
              </w:rPr>
            </w:pPr>
            <w:r w:rsidRPr="00EF0531">
              <w:rPr>
                <w:rFonts w:ascii="Arial" w:hAnsi="Arial" w:cs="Arial"/>
                <w:i/>
                <w:iCs/>
                <w:sz w:val="18"/>
                <w:szCs w:val="18"/>
              </w:rPr>
              <w:t>N/A</w:t>
            </w:r>
          </w:p>
        </w:tc>
        <w:tc>
          <w:tcPr>
            <w:tcW w:w="353" w:type="pct"/>
            <w:tcBorders>
              <w:top w:val="nil"/>
              <w:left w:val="nil"/>
              <w:bottom w:val="dotted" w:sz="4" w:space="0" w:color="auto"/>
              <w:right w:val="dotted" w:sz="4" w:space="0" w:color="auto"/>
            </w:tcBorders>
            <w:noWrap/>
            <w:vAlign w:val="center"/>
          </w:tcPr>
          <w:p w:rsidR="001362DC" w:rsidRPr="00EF0531" w:rsidRDefault="001362DC" w:rsidP="00C23FBA">
            <w:pPr>
              <w:jc w:val="center"/>
              <w:rPr>
                <w:rFonts w:ascii="Arial" w:hAnsi="Arial" w:cs="Arial"/>
                <w:i/>
                <w:iCs/>
                <w:sz w:val="18"/>
                <w:szCs w:val="18"/>
              </w:rPr>
            </w:pPr>
            <w:r w:rsidRPr="00EF0531">
              <w:rPr>
                <w:rFonts w:ascii="Arial" w:hAnsi="Arial" w:cs="Arial"/>
                <w:i/>
                <w:iCs/>
                <w:sz w:val="18"/>
                <w:szCs w:val="18"/>
              </w:rPr>
              <w:t>N/A</w:t>
            </w:r>
          </w:p>
        </w:tc>
        <w:tc>
          <w:tcPr>
            <w:tcW w:w="356" w:type="pct"/>
            <w:tcBorders>
              <w:top w:val="nil"/>
              <w:left w:val="nil"/>
              <w:bottom w:val="dotted" w:sz="4" w:space="0" w:color="auto"/>
              <w:right w:val="dotted" w:sz="4" w:space="0" w:color="auto"/>
            </w:tcBorders>
            <w:noWrap/>
            <w:vAlign w:val="center"/>
          </w:tcPr>
          <w:p w:rsidR="001362DC" w:rsidRPr="00EF0531" w:rsidRDefault="001362DC" w:rsidP="00C23FBA">
            <w:pPr>
              <w:jc w:val="center"/>
              <w:rPr>
                <w:rFonts w:ascii="Arial" w:hAnsi="Arial" w:cs="Arial"/>
                <w:i/>
                <w:iCs/>
                <w:sz w:val="18"/>
                <w:szCs w:val="18"/>
              </w:rPr>
            </w:pPr>
            <w:r w:rsidRPr="00EF0531">
              <w:rPr>
                <w:rFonts w:ascii="Arial" w:hAnsi="Arial" w:cs="Arial"/>
                <w:i/>
                <w:iCs/>
                <w:sz w:val="18"/>
                <w:szCs w:val="18"/>
              </w:rPr>
              <w:t>N/A</w:t>
            </w:r>
          </w:p>
        </w:tc>
        <w:tc>
          <w:tcPr>
            <w:tcW w:w="352" w:type="pct"/>
            <w:tcBorders>
              <w:top w:val="nil"/>
              <w:left w:val="nil"/>
              <w:bottom w:val="dotted" w:sz="4" w:space="0" w:color="auto"/>
              <w:right w:val="dotted" w:sz="4" w:space="0" w:color="auto"/>
            </w:tcBorders>
            <w:noWrap/>
            <w:vAlign w:val="center"/>
          </w:tcPr>
          <w:p w:rsidR="001362DC" w:rsidRPr="00EF0531" w:rsidRDefault="001362DC" w:rsidP="00C23FBA">
            <w:pPr>
              <w:jc w:val="center"/>
              <w:rPr>
                <w:rFonts w:ascii="Arial" w:hAnsi="Arial" w:cs="Arial"/>
                <w:i/>
                <w:iCs/>
                <w:sz w:val="18"/>
                <w:szCs w:val="18"/>
              </w:rPr>
            </w:pPr>
            <w:r w:rsidRPr="00EF0531">
              <w:rPr>
                <w:rFonts w:ascii="Arial" w:hAnsi="Arial" w:cs="Arial"/>
                <w:i/>
                <w:iCs/>
                <w:sz w:val="18"/>
                <w:szCs w:val="18"/>
              </w:rPr>
              <w:t>N/A</w:t>
            </w:r>
          </w:p>
        </w:tc>
        <w:tc>
          <w:tcPr>
            <w:tcW w:w="344" w:type="pct"/>
            <w:tcBorders>
              <w:top w:val="nil"/>
              <w:left w:val="nil"/>
              <w:bottom w:val="dotted" w:sz="4" w:space="0" w:color="auto"/>
              <w:right w:val="dotted" w:sz="4" w:space="0" w:color="auto"/>
            </w:tcBorders>
            <w:noWrap/>
            <w:vAlign w:val="center"/>
          </w:tcPr>
          <w:p w:rsidR="001362DC" w:rsidRPr="00EF0531" w:rsidRDefault="001362DC" w:rsidP="00C23FBA">
            <w:pPr>
              <w:jc w:val="center"/>
              <w:rPr>
                <w:rFonts w:ascii="Arial" w:hAnsi="Arial" w:cs="Arial"/>
                <w:i/>
                <w:iCs/>
                <w:sz w:val="18"/>
                <w:szCs w:val="18"/>
              </w:rPr>
            </w:pPr>
            <w:r w:rsidRPr="00EF0531">
              <w:rPr>
                <w:rFonts w:ascii="Arial" w:hAnsi="Arial" w:cs="Arial"/>
                <w:i/>
                <w:iCs/>
                <w:sz w:val="18"/>
                <w:szCs w:val="18"/>
              </w:rPr>
              <w:t>N/A</w:t>
            </w:r>
          </w:p>
        </w:tc>
        <w:tc>
          <w:tcPr>
            <w:tcW w:w="269" w:type="pct"/>
            <w:tcBorders>
              <w:top w:val="nil"/>
              <w:left w:val="nil"/>
              <w:bottom w:val="dotted" w:sz="4" w:space="0" w:color="auto"/>
              <w:right w:val="dotted" w:sz="4" w:space="0" w:color="auto"/>
            </w:tcBorders>
            <w:noWrap/>
            <w:vAlign w:val="center"/>
          </w:tcPr>
          <w:p w:rsidR="001362DC" w:rsidRPr="00EF0531" w:rsidRDefault="001362DC" w:rsidP="00C23FBA">
            <w:pPr>
              <w:jc w:val="center"/>
              <w:rPr>
                <w:rFonts w:ascii="Arial" w:hAnsi="Arial" w:cs="Arial"/>
                <w:i/>
                <w:iCs/>
                <w:sz w:val="18"/>
                <w:szCs w:val="18"/>
              </w:rPr>
            </w:pPr>
            <w:r w:rsidRPr="00EF0531">
              <w:rPr>
                <w:rFonts w:ascii="Arial" w:hAnsi="Arial" w:cs="Arial"/>
                <w:i/>
                <w:iCs/>
                <w:sz w:val="18"/>
                <w:szCs w:val="18"/>
              </w:rPr>
              <w:t>N/A</w:t>
            </w:r>
          </w:p>
        </w:tc>
        <w:tc>
          <w:tcPr>
            <w:tcW w:w="269" w:type="pct"/>
            <w:tcBorders>
              <w:top w:val="nil"/>
              <w:left w:val="nil"/>
              <w:bottom w:val="dotted" w:sz="4" w:space="0" w:color="auto"/>
              <w:right w:val="dotted" w:sz="4" w:space="0" w:color="auto"/>
            </w:tcBorders>
            <w:noWrap/>
            <w:vAlign w:val="center"/>
          </w:tcPr>
          <w:p w:rsidR="001362DC" w:rsidRPr="00EF0531" w:rsidRDefault="001362DC" w:rsidP="00C23FBA">
            <w:pPr>
              <w:jc w:val="center"/>
              <w:rPr>
                <w:rFonts w:ascii="Arial" w:hAnsi="Arial" w:cs="Arial"/>
                <w:i/>
                <w:iCs/>
                <w:sz w:val="18"/>
                <w:szCs w:val="18"/>
              </w:rPr>
            </w:pPr>
            <w:r w:rsidRPr="00EF0531">
              <w:rPr>
                <w:rFonts w:ascii="Arial" w:hAnsi="Arial" w:cs="Arial"/>
                <w:i/>
                <w:iCs/>
                <w:sz w:val="18"/>
                <w:szCs w:val="18"/>
              </w:rPr>
              <w:t>N/A</w:t>
            </w:r>
          </w:p>
        </w:tc>
        <w:tc>
          <w:tcPr>
            <w:tcW w:w="269" w:type="pct"/>
            <w:tcBorders>
              <w:top w:val="nil"/>
              <w:left w:val="nil"/>
              <w:bottom w:val="dotted" w:sz="4" w:space="0" w:color="auto"/>
              <w:right w:val="dotted" w:sz="4" w:space="0" w:color="auto"/>
            </w:tcBorders>
            <w:noWrap/>
            <w:vAlign w:val="center"/>
          </w:tcPr>
          <w:p w:rsidR="001362DC" w:rsidRPr="00EF0531" w:rsidRDefault="001362DC" w:rsidP="00C23FBA">
            <w:pPr>
              <w:jc w:val="center"/>
              <w:rPr>
                <w:rFonts w:ascii="Arial" w:hAnsi="Arial" w:cs="Arial"/>
                <w:i/>
                <w:iCs/>
                <w:sz w:val="18"/>
                <w:szCs w:val="18"/>
              </w:rPr>
            </w:pPr>
            <w:r w:rsidRPr="00EF0531">
              <w:rPr>
                <w:rFonts w:ascii="Arial" w:hAnsi="Arial" w:cs="Arial"/>
                <w:i/>
                <w:iCs/>
                <w:sz w:val="18"/>
                <w:szCs w:val="18"/>
              </w:rPr>
              <w:t>N/A</w:t>
            </w:r>
          </w:p>
        </w:tc>
        <w:tc>
          <w:tcPr>
            <w:tcW w:w="253" w:type="pct"/>
            <w:tcBorders>
              <w:top w:val="nil"/>
              <w:left w:val="nil"/>
              <w:bottom w:val="dotted" w:sz="4" w:space="0" w:color="auto"/>
              <w:right w:val="dotted" w:sz="4" w:space="0" w:color="auto"/>
            </w:tcBorders>
            <w:noWrap/>
            <w:vAlign w:val="center"/>
          </w:tcPr>
          <w:p w:rsidR="001362DC" w:rsidRPr="00EF0531" w:rsidRDefault="001362DC" w:rsidP="00C23FBA">
            <w:pPr>
              <w:jc w:val="center"/>
              <w:rPr>
                <w:rFonts w:ascii="Arial" w:hAnsi="Arial" w:cs="Arial"/>
                <w:b/>
                <w:bCs/>
                <w:sz w:val="18"/>
                <w:szCs w:val="18"/>
              </w:rPr>
            </w:pPr>
            <w:r w:rsidRPr="00EF0531">
              <w:rPr>
                <w:rFonts w:ascii="Arial" w:hAnsi="Arial" w:cs="Arial"/>
                <w:b/>
                <w:bCs/>
                <w:sz w:val="18"/>
                <w:szCs w:val="18"/>
              </w:rPr>
              <w:t>1</w:t>
            </w:r>
            <w:r w:rsidR="001F6674">
              <w:rPr>
                <w:rFonts w:ascii="Arial" w:hAnsi="Arial" w:cs="Arial"/>
                <w:b/>
                <w:bCs/>
                <w:sz w:val="18"/>
                <w:szCs w:val="18"/>
              </w:rPr>
              <w:t> </w:t>
            </w:r>
            <w:r w:rsidRPr="00EF0531">
              <w:rPr>
                <w:rFonts w:ascii="Arial" w:hAnsi="Arial" w:cs="Arial"/>
                <w:b/>
                <w:bCs/>
                <w:sz w:val="18"/>
                <w:szCs w:val="18"/>
              </w:rPr>
              <w:t>712</w:t>
            </w:r>
            <w:r w:rsidR="001F6674">
              <w:rPr>
                <w:rFonts w:ascii="Arial" w:hAnsi="Arial" w:cs="Arial"/>
                <w:b/>
                <w:bCs/>
                <w:sz w:val="18"/>
                <w:szCs w:val="18"/>
              </w:rPr>
              <w:t>,</w:t>
            </w:r>
            <w:r w:rsidRPr="00EF0531">
              <w:rPr>
                <w:rFonts w:ascii="Arial" w:hAnsi="Arial" w:cs="Arial"/>
                <w:b/>
                <w:bCs/>
                <w:sz w:val="18"/>
                <w:szCs w:val="18"/>
              </w:rPr>
              <w:t>9</w:t>
            </w:r>
          </w:p>
        </w:tc>
        <w:tc>
          <w:tcPr>
            <w:tcW w:w="523" w:type="pct"/>
            <w:tcBorders>
              <w:top w:val="nil"/>
              <w:left w:val="nil"/>
              <w:bottom w:val="dotted" w:sz="4" w:space="0" w:color="auto"/>
              <w:right w:val="dotted" w:sz="4" w:space="0" w:color="auto"/>
            </w:tcBorders>
            <w:noWrap/>
            <w:vAlign w:val="center"/>
          </w:tcPr>
          <w:p w:rsidR="001362DC" w:rsidRPr="00EF0531" w:rsidRDefault="001362DC" w:rsidP="003F363E">
            <w:pPr>
              <w:jc w:val="center"/>
              <w:rPr>
                <w:rFonts w:ascii="Arial" w:hAnsi="Arial" w:cs="Arial"/>
                <w:b/>
                <w:bCs/>
                <w:sz w:val="18"/>
                <w:szCs w:val="18"/>
              </w:rPr>
            </w:pPr>
            <w:r w:rsidRPr="00EF0531">
              <w:rPr>
                <w:rFonts w:ascii="Arial" w:hAnsi="Arial" w:cs="Arial"/>
                <w:b/>
                <w:bCs/>
                <w:sz w:val="18"/>
                <w:szCs w:val="18"/>
              </w:rPr>
              <w:t>1</w:t>
            </w:r>
            <w:r w:rsidR="003F363E" w:rsidRPr="00EF0531">
              <w:rPr>
                <w:rFonts w:ascii="Arial" w:hAnsi="Arial" w:cs="Arial"/>
                <w:b/>
                <w:bCs/>
                <w:sz w:val="18"/>
                <w:szCs w:val="18"/>
              </w:rPr>
              <w:t> </w:t>
            </w:r>
            <w:r w:rsidRPr="00EF0531">
              <w:rPr>
                <w:rFonts w:ascii="Arial" w:hAnsi="Arial" w:cs="Arial"/>
                <w:b/>
                <w:bCs/>
                <w:sz w:val="18"/>
                <w:szCs w:val="18"/>
              </w:rPr>
              <w:t>712</w:t>
            </w:r>
            <w:r w:rsidR="003F363E" w:rsidRPr="00EF0531">
              <w:rPr>
                <w:rFonts w:ascii="Arial" w:hAnsi="Arial" w:cs="Arial"/>
                <w:b/>
                <w:bCs/>
                <w:sz w:val="18"/>
                <w:szCs w:val="18"/>
              </w:rPr>
              <w:t>,</w:t>
            </w:r>
            <w:r w:rsidRPr="00EF0531">
              <w:rPr>
                <w:rFonts w:ascii="Arial" w:hAnsi="Arial" w:cs="Arial"/>
                <w:b/>
                <w:bCs/>
                <w:sz w:val="18"/>
                <w:szCs w:val="18"/>
              </w:rPr>
              <w:t>9</w:t>
            </w:r>
          </w:p>
        </w:tc>
        <w:tc>
          <w:tcPr>
            <w:tcW w:w="353" w:type="pct"/>
            <w:tcBorders>
              <w:top w:val="nil"/>
              <w:left w:val="nil"/>
              <w:bottom w:val="dotted" w:sz="4" w:space="0" w:color="auto"/>
              <w:right w:val="single" w:sz="4" w:space="0" w:color="auto"/>
            </w:tcBorders>
            <w:noWrap/>
            <w:vAlign w:val="center"/>
          </w:tcPr>
          <w:p w:rsidR="001362DC" w:rsidRDefault="001362DC" w:rsidP="00C23FBA">
            <w:pPr>
              <w:jc w:val="center"/>
              <w:rPr>
                <w:rFonts w:ascii="Arial" w:hAnsi="Arial" w:cs="Arial"/>
                <w:i/>
                <w:iCs/>
                <w:sz w:val="18"/>
                <w:szCs w:val="18"/>
              </w:rPr>
            </w:pPr>
            <w:r w:rsidRPr="00EF0531">
              <w:rPr>
                <w:rFonts w:ascii="Arial" w:hAnsi="Arial" w:cs="Arial"/>
                <w:i/>
                <w:iCs/>
                <w:sz w:val="18"/>
                <w:szCs w:val="18"/>
              </w:rPr>
              <w:t>1</w:t>
            </w:r>
            <w:r w:rsidR="00B9488D">
              <w:rPr>
                <w:rFonts w:ascii="Arial" w:hAnsi="Arial" w:cs="Arial"/>
                <w:i/>
                <w:iCs/>
                <w:sz w:val="18"/>
                <w:szCs w:val="18"/>
              </w:rPr>
              <w:t> </w:t>
            </w:r>
            <w:r w:rsidRPr="00EF0531">
              <w:rPr>
                <w:rFonts w:ascii="Arial" w:hAnsi="Arial" w:cs="Arial"/>
                <w:i/>
                <w:iCs/>
                <w:sz w:val="18"/>
                <w:szCs w:val="18"/>
              </w:rPr>
              <w:t>520</w:t>
            </w:r>
            <w:r w:rsidR="00B9488D">
              <w:rPr>
                <w:rFonts w:ascii="Arial" w:hAnsi="Arial" w:cs="Arial"/>
                <w:i/>
                <w:iCs/>
                <w:sz w:val="18"/>
                <w:szCs w:val="18"/>
              </w:rPr>
              <w:t>,</w:t>
            </w:r>
            <w:r w:rsidRPr="00EF0531">
              <w:rPr>
                <w:rFonts w:ascii="Arial" w:hAnsi="Arial" w:cs="Arial"/>
                <w:i/>
                <w:iCs/>
                <w:sz w:val="18"/>
                <w:szCs w:val="18"/>
              </w:rPr>
              <w:t xml:space="preserve"> 09</w:t>
            </w:r>
            <w:r w:rsidR="00254254">
              <w:rPr>
                <w:rFonts w:ascii="Arial" w:hAnsi="Arial" w:cs="Arial"/>
                <w:i/>
                <w:iCs/>
                <w:sz w:val="18"/>
                <w:szCs w:val="18"/>
              </w:rPr>
              <w:t xml:space="preserve"> z toho EU zdroj:</w:t>
            </w:r>
          </w:p>
          <w:p w:rsidR="00254254" w:rsidRPr="00EF0531" w:rsidRDefault="00254254" w:rsidP="00C23FBA">
            <w:pPr>
              <w:jc w:val="center"/>
              <w:rPr>
                <w:rFonts w:ascii="Arial" w:hAnsi="Arial" w:cs="Arial"/>
                <w:i/>
                <w:iCs/>
                <w:sz w:val="18"/>
                <w:szCs w:val="18"/>
              </w:rPr>
            </w:pPr>
            <w:r>
              <w:rPr>
                <w:rFonts w:ascii="Arial" w:hAnsi="Arial" w:cs="Arial"/>
                <w:i/>
                <w:iCs/>
                <w:sz w:val="18"/>
                <w:szCs w:val="18"/>
              </w:rPr>
              <w:t>1 171,80</w:t>
            </w:r>
          </w:p>
        </w:tc>
      </w:tr>
      <w:tr w:rsidR="001362DC" w:rsidRPr="00EF0531" w:rsidTr="000A5C0F">
        <w:trPr>
          <w:cantSplit/>
          <w:trHeight w:val="20"/>
        </w:trPr>
        <w:tc>
          <w:tcPr>
            <w:tcW w:w="673" w:type="pct"/>
            <w:vMerge/>
            <w:tcBorders>
              <w:top w:val="single" w:sz="4" w:space="0" w:color="000000"/>
              <w:left w:val="single" w:sz="4" w:space="0" w:color="auto"/>
              <w:bottom w:val="single" w:sz="4" w:space="0" w:color="000000"/>
              <w:right w:val="single" w:sz="4" w:space="0" w:color="auto"/>
            </w:tcBorders>
            <w:shd w:val="clear" w:color="auto" w:fill="EAF1DD"/>
            <w:vAlign w:val="center"/>
          </w:tcPr>
          <w:p w:rsidR="001362DC" w:rsidRPr="00EF0531" w:rsidRDefault="001362DC" w:rsidP="00C23FBA">
            <w:pPr>
              <w:rPr>
                <w:rFonts w:ascii="Arial" w:hAnsi="Arial" w:cs="Arial"/>
                <w:sz w:val="18"/>
                <w:szCs w:val="18"/>
              </w:rPr>
            </w:pPr>
          </w:p>
        </w:tc>
        <w:tc>
          <w:tcPr>
            <w:tcW w:w="634" w:type="pct"/>
            <w:tcBorders>
              <w:top w:val="nil"/>
              <w:left w:val="nil"/>
              <w:bottom w:val="single" w:sz="4" w:space="0" w:color="auto"/>
              <w:right w:val="single" w:sz="4" w:space="0" w:color="auto"/>
            </w:tcBorders>
            <w:noWrap/>
            <w:vAlign w:val="center"/>
          </w:tcPr>
          <w:p w:rsidR="001362DC" w:rsidRPr="00EF0531" w:rsidRDefault="001362DC" w:rsidP="00C23FBA">
            <w:pPr>
              <w:rPr>
                <w:rFonts w:ascii="Arial" w:hAnsi="Arial" w:cs="Arial"/>
                <w:sz w:val="18"/>
                <w:szCs w:val="18"/>
              </w:rPr>
            </w:pPr>
            <w:r w:rsidRPr="00EF0531">
              <w:rPr>
                <w:rFonts w:ascii="Arial" w:hAnsi="Arial" w:cs="Arial"/>
                <w:sz w:val="18"/>
                <w:szCs w:val="18"/>
              </w:rPr>
              <w:t>Východisko</w:t>
            </w:r>
          </w:p>
        </w:tc>
        <w:tc>
          <w:tcPr>
            <w:tcW w:w="351" w:type="pct"/>
            <w:tcBorders>
              <w:top w:val="nil"/>
              <w:left w:val="nil"/>
              <w:bottom w:val="single" w:sz="4" w:space="0" w:color="auto"/>
              <w:right w:val="dotted" w:sz="4" w:space="0" w:color="auto"/>
            </w:tcBorders>
            <w:noWrap/>
            <w:vAlign w:val="center"/>
          </w:tcPr>
          <w:p w:rsidR="001362DC" w:rsidRPr="00EF0531" w:rsidRDefault="001362DC" w:rsidP="00C23FBA">
            <w:pPr>
              <w:jc w:val="center"/>
              <w:rPr>
                <w:rFonts w:ascii="Arial" w:hAnsi="Arial" w:cs="Arial"/>
                <w:b/>
                <w:bCs/>
                <w:sz w:val="18"/>
                <w:szCs w:val="18"/>
              </w:rPr>
            </w:pPr>
            <w:r w:rsidRPr="00EF0531">
              <w:rPr>
                <w:rFonts w:ascii="Arial" w:hAnsi="Arial" w:cs="Arial"/>
                <w:b/>
                <w:bCs/>
                <w:sz w:val="18"/>
                <w:szCs w:val="18"/>
              </w:rPr>
              <w:t>0</w:t>
            </w:r>
          </w:p>
        </w:tc>
        <w:tc>
          <w:tcPr>
            <w:tcW w:w="353" w:type="pct"/>
            <w:tcBorders>
              <w:top w:val="nil"/>
              <w:left w:val="nil"/>
              <w:bottom w:val="single" w:sz="4" w:space="0" w:color="auto"/>
              <w:right w:val="dotted" w:sz="4" w:space="0" w:color="auto"/>
            </w:tcBorders>
            <w:noWrap/>
            <w:vAlign w:val="center"/>
          </w:tcPr>
          <w:p w:rsidR="001362DC" w:rsidRPr="00EF0531" w:rsidRDefault="001362DC" w:rsidP="00C23FBA">
            <w:pPr>
              <w:jc w:val="center"/>
              <w:rPr>
                <w:rFonts w:ascii="Arial" w:hAnsi="Arial" w:cs="Arial"/>
                <w:i/>
                <w:iCs/>
                <w:sz w:val="18"/>
                <w:szCs w:val="18"/>
              </w:rPr>
            </w:pPr>
            <w:r w:rsidRPr="00EF0531">
              <w:rPr>
                <w:rFonts w:ascii="Arial" w:hAnsi="Arial" w:cs="Arial"/>
                <w:i/>
                <w:iCs/>
                <w:sz w:val="18"/>
                <w:szCs w:val="18"/>
              </w:rPr>
              <w:t>N/A</w:t>
            </w:r>
          </w:p>
        </w:tc>
        <w:tc>
          <w:tcPr>
            <w:tcW w:w="356" w:type="pct"/>
            <w:tcBorders>
              <w:top w:val="nil"/>
              <w:left w:val="nil"/>
              <w:bottom w:val="single" w:sz="4" w:space="0" w:color="auto"/>
              <w:right w:val="dotted" w:sz="4" w:space="0" w:color="auto"/>
            </w:tcBorders>
            <w:noWrap/>
            <w:vAlign w:val="center"/>
          </w:tcPr>
          <w:p w:rsidR="001362DC" w:rsidRPr="00EF0531" w:rsidRDefault="001362DC" w:rsidP="00C23FBA">
            <w:pPr>
              <w:jc w:val="center"/>
              <w:rPr>
                <w:rFonts w:ascii="Arial" w:hAnsi="Arial" w:cs="Arial"/>
                <w:i/>
                <w:iCs/>
                <w:sz w:val="18"/>
                <w:szCs w:val="18"/>
              </w:rPr>
            </w:pPr>
            <w:r w:rsidRPr="00EF0531">
              <w:rPr>
                <w:rFonts w:ascii="Arial" w:hAnsi="Arial" w:cs="Arial"/>
                <w:i/>
                <w:iCs/>
                <w:sz w:val="18"/>
                <w:szCs w:val="18"/>
              </w:rPr>
              <w:t>N/A</w:t>
            </w:r>
          </w:p>
        </w:tc>
        <w:tc>
          <w:tcPr>
            <w:tcW w:w="352" w:type="pct"/>
            <w:tcBorders>
              <w:top w:val="nil"/>
              <w:left w:val="nil"/>
              <w:bottom w:val="single" w:sz="4" w:space="0" w:color="auto"/>
              <w:right w:val="dotted" w:sz="4" w:space="0" w:color="auto"/>
            </w:tcBorders>
            <w:noWrap/>
            <w:vAlign w:val="center"/>
          </w:tcPr>
          <w:p w:rsidR="001362DC" w:rsidRPr="00EF0531" w:rsidRDefault="001362DC" w:rsidP="00C23FBA">
            <w:pPr>
              <w:jc w:val="center"/>
              <w:rPr>
                <w:rFonts w:ascii="Arial" w:hAnsi="Arial" w:cs="Arial"/>
                <w:i/>
                <w:iCs/>
                <w:sz w:val="18"/>
                <w:szCs w:val="18"/>
              </w:rPr>
            </w:pPr>
            <w:r w:rsidRPr="00EF0531">
              <w:rPr>
                <w:rFonts w:ascii="Arial" w:hAnsi="Arial" w:cs="Arial"/>
                <w:i/>
                <w:iCs/>
                <w:sz w:val="18"/>
                <w:szCs w:val="18"/>
              </w:rPr>
              <w:t>N/A</w:t>
            </w:r>
          </w:p>
        </w:tc>
        <w:tc>
          <w:tcPr>
            <w:tcW w:w="344" w:type="pct"/>
            <w:tcBorders>
              <w:top w:val="nil"/>
              <w:left w:val="nil"/>
              <w:bottom w:val="single" w:sz="4" w:space="0" w:color="auto"/>
              <w:right w:val="dotted" w:sz="4" w:space="0" w:color="auto"/>
            </w:tcBorders>
            <w:noWrap/>
            <w:vAlign w:val="center"/>
          </w:tcPr>
          <w:p w:rsidR="001362DC" w:rsidRPr="00EF0531" w:rsidRDefault="001362DC" w:rsidP="00C23FBA">
            <w:pPr>
              <w:jc w:val="center"/>
              <w:rPr>
                <w:rFonts w:ascii="Arial" w:hAnsi="Arial" w:cs="Arial"/>
                <w:i/>
                <w:iCs/>
                <w:sz w:val="18"/>
                <w:szCs w:val="18"/>
              </w:rPr>
            </w:pPr>
            <w:r w:rsidRPr="00EF0531">
              <w:rPr>
                <w:rFonts w:ascii="Arial" w:hAnsi="Arial" w:cs="Arial"/>
                <w:i/>
                <w:iCs/>
                <w:sz w:val="18"/>
                <w:szCs w:val="18"/>
              </w:rPr>
              <w:t>N/A</w:t>
            </w:r>
          </w:p>
        </w:tc>
        <w:tc>
          <w:tcPr>
            <w:tcW w:w="269" w:type="pct"/>
            <w:tcBorders>
              <w:top w:val="nil"/>
              <w:left w:val="nil"/>
              <w:bottom w:val="single" w:sz="4" w:space="0" w:color="auto"/>
              <w:right w:val="dotted" w:sz="4" w:space="0" w:color="auto"/>
            </w:tcBorders>
            <w:noWrap/>
            <w:vAlign w:val="center"/>
          </w:tcPr>
          <w:p w:rsidR="001362DC" w:rsidRPr="00EF0531" w:rsidRDefault="001362DC" w:rsidP="00C23FBA">
            <w:pPr>
              <w:jc w:val="center"/>
              <w:rPr>
                <w:rFonts w:ascii="Arial" w:hAnsi="Arial" w:cs="Arial"/>
                <w:i/>
                <w:iCs/>
                <w:sz w:val="18"/>
                <w:szCs w:val="18"/>
              </w:rPr>
            </w:pPr>
            <w:r w:rsidRPr="00EF0531">
              <w:rPr>
                <w:rFonts w:ascii="Arial" w:hAnsi="Arial" w:cs="Arial"/>
                <w:i/>
                <w:iCs/>
                <w:sz w:val="18"/>
                <w:szCs w:val="18"/>
              </w:rPr>
              <w:t>N/A</w:t>
            </w:r>
          </w:p>
        </w:tc>
        <w:tc>
          <w:tcPr>
            <w:tcW w:w="269" w:type="pct"/>
            <w:tcBorders>
              <w:top w:val="nil"/>
              <w:left w:val="nil"/>
              <w:bottom w:val="single" w:sz="4" w:space="0" w:color="auto"/>
              <w:right w:val="dotted" w:sz="4" w:space="0" w:color="auto"/>
            </w:tcBorders>
            <w:noWrap/>
            <w:vAlign w:val="center"/>
          </w:tcPr>
          <w:p w:rsidR="001362DC" w:rsidRPr="00EF0531" w:rsidRDefault="001362DC" w:rsidP="00C23FBA">
            <w:pPr>
              <w:jc w:val="center"/>
              <w:rPr>
                <w:rFonts w:ascii="Arial" w:hAnsi="Arial" w:cs="Arial"/>
                <w:i/>
                <w:iCs/>
                <w:sz w:val="18"/>
                <w:szCs w:val="18"/>
              </w:rPr>
            </w:pPr>
            <w:r w:rsidRPr="00EF0531">
              <w:rPr>
                <w:rFonts w:ascii="Arial" w:hAnsi="Arial" w:cs="Arial"/>
                <w:i/>
                <w:iCs/>
                <w:sz w:val="18"/>
                <w:szCs w:val="18"/>
              </w:rPr>
              <w:t>N/A</w:t>
            </w:r>
          </w:p>
        </w:tc>
        <w:tc>
          <w:tcPr>
            <w:tcW w:w="269" w:type="pct"/>
            <w:tcBorders>
              <w:top w:val="nil"/>
              <w:left w:val="nil"/>
              <w:bottom w:val="single" w:sz="4" w:space="0" w:color="auto"/>
              <w:right w:val="dotted" w:sz="4" w:space="0" w:color="auto"/>
            </w:tcBorders>
            <w:noWrap/>
            <w:vAlign w:val="center"/>
          </w:tcPr>
          <w:p w:rsidR="001362DC" w:rsidRPr="00EF0531" w:rsidRDefault="001362DC" w:rsidP="00C23FBA">
            <w:pPr>
              <w:jc w:val="center"/>
              <w:rPr>
                <w:rFonts w:ascii="Arial" w:hAnsi="Arial" w:cs="Arial"/>
                <w:i/>
                <w:iCs/>
                <w:sz w:val="18"/>
                <w:szCs w:val="18"/>
              </w:rPr>
            </w:pPr>
            <w:r w:rsidRPr="00EF0531">
              <w:rPr>
                <w:rFonts w:ascii="Arial" w:hAnsi="Arial" w:cs="Arial"/>
                <w:i/>
                <w:iCs/>
                <w:sz w:val="18"/>
                <w:szCs w:val="18"/>
              </w:rPr>
              <w:t>N/A</w:t>
            </w:r>
          </w:p>
        </w:tc>
        <w:tc>
          <w:tcPr>
            <w:tcW w:w="253" w:type="pct"/>
            <w:tcBorders>
              <w:top w:val="nil"/>
              <w:left w:val="nil"/>
              <w:bottom w:val="single" w:sz="4" w:space="0" w:color="auto"/>
              <w:right w:val="dotted" w:sz="4" w:space="0" w:color="auto"/>
            </w:tcBorders>
            <w:noWrap/>
            <w:vAlign w:val="center"/>
          </w:tcPr>
          <w:p w:rsidR="001362DC" w:rsidRPr="00EF0531" w:rsidRDefault="001362DC" w:rsidP="00C23FBA">
            <w:pPr>
              <w:jc w:val="center"/>
              <w:rPr>
                <w:rFonts w:ascii="Arial" w:hAnsi="Arial" w:cs="Arial"/>
                <w:i/>
                <w:iCs/>
                <w:sz w:val="18"/>
                <w:szCs w:val="18"/>
              </w:rPr>
            </w:pPr>
            <w:r w:rsidRPr="00EF0531">
              <w:rPr>
                <w:rFonts w:ascii="Arial" w:hAnsi="Arial" w:cs="Arial"/>
                <w:i/>
                <w:iCs/>
                <w:sz w:val="18"/>
                <w:szCs w:val="18"/>
              </w:rPr>
              <w:t>N/A</w:t>
            </w:r>
          </w:p>
        </w:tc>
        <w:tc>
          <w:tcPr>
            <w:tcW w:w="523" w:type="pct"/>
            <w:tcBorders>
              <w:top w:val="nil"/>
              <w:left w:val="nil"/>
              <w:bottom w:val="single" w:sz="4" w:space="0" w:color="auto"/>
              <w:right w:val="dotted" w:sz="4" w:space="0" w:color="auto"/>
            </w:tcBorders>
            <w:noWrap/>
            <w:vAlign w:val="center"/>
          </w:tcPr>
          <w:p w:rsidR="001362DC" w:rsidRPr="00EF0531" w:rsidRDefault="001362DC" w:rsidP="00C23FBA">
            <w:pPr>
              <w:jc w:val="center"/>
              <w:rPr>
                <w:rFonts w:ascii="Arial" w:hAnsi="Arial" w:cs="Arial"/>
                <w:b/>
                <w:bCs/>
                <w:sz w:val="18"/>
                <w:szCs w:val="18"/>
              </w:rPr>
            </w:pPr>
            <w:r w:rsidRPr="00EF0531">
              <w:rPr>
                <w:rFonts w:ascii="Arial" w:hAnsi="Arial" w:cs="Arial"/>
                <w:b/>
                <w:bCs/>
                <w:sz w:val="18"/>
                <w:szCs w:val="18"/>
              </w:rPr>
              <w:t>0</w:t>
            </w:r>
          </w:p>
        </w:tc>
        <w:tc>
          <w:tcPr>
            <w:tcW w:w="353" w:type="pct"/>
            <w:tcBorders>
              <w:top w:val="nil"/>
              <w:left w:val="nil"/>
              <w:bottom w:val="single" w:sz="4" w:space="0" w:color="auto"/>
              <w:right w:val="single" w:sz="4" w:space="0" w:color="auto"/>
            </w:tcBorders>
            <w:noWrap/>
            <w:vAlign w:val="center"/>
          </w:tcPr>
          <w:p w:rsidR="001362DC" w:rsidRPr="00EF0531" w:rsidRDefault="001362DC" w:rsidP="00C23FBA">
            <w:pPr>
              <w:jc w:val="center"/>
              <w:rPr>
                <w:rFonts w:ascii="Arial" w:hAnsi="Arial" w:cs="Arial"/>
                <w:sz w:val="18"/>
                <w:szCs w:val="18"/>
              </w:rPr>
            </w:pPr>
            <w:r w:rsidRPr="00EF0531">
              <w:rPr>
                <w:rFonts w:ascii="Arial" w:hAnsi="Arial" w:cs="Arial"/>
                <w:sz w:val="18"/>
                <w:szCs w:val="18"/>
              </w:rPr>
              <w:t> </w:t>
            </w:r>
          </w:p>
        </w:tc>
      </w:tr>
    </w:tbl>
    <w:p w:rsidR="001362DC" w:rsidRPr="00EF0531" w:rsidRDefault="00000CC9" w:rsidP="00C23FBA">
      <w:pPr>
        <w:spacing w:line="360" w:lineRule="auto"/>
        <w:jc w:val="both"/>
        <w:rPr>
          <w:rFonts w:ascii="Arial" w:hAnsi="Arial" w:cs="Arial"/>
          <w:sz w:val="18"/>
          <w:szCs w:val="18"/>
          <w:lang w:eastAsia="cs-CZ"/>
        </w:rPr>
      </w:pPr>
      <w:r>
        <w:rPr>
          <w:rFonts w:ascii="Arial" w:hAnsi="Arial" w:cs="Arial"/>
          <w:sz w:val="18"/>
          <w:szCs w:val="18"/>
          <w:lang w:eastAsia="cs-CZ"/>
        </w:rPr>
        <w:t>Zdroj: RO, ITMS</w:t>
      </w:r>
    </w:p>
    <w:tbl>
      <w:tblPr>
        <w:tblW w:w="0" w:type="auto"/>
        <w:tblCellMar>
          <w:left w:w="0" w:type="dxa"/>
          <w:right w:w="0" w:type="dxa"/>
        </w:tblCellMar>
        <w:tblLook w:val="0000" w:firstRow="0" w:lastRow="0" w:firstColumn="0" w:lastColumn="0" w:noHBand="0" w:noVBand="0"/>
      </w:tblPr>
      <w:tblGrid>
        <w:gridCol w:w="9100"/>
      </w:tblGrid>
      <w:tr w:rsidR="001362DC" w:rsidRPr="00EF0531" w:rsidTr="000A5C0F">
        <w:trPr>
          <w:trHeight w:val="540"/>
        </w:trPr>
        <w:tc>
          <w:tcPr>
            <w:tcW w:w="0" w:type="auto"/>
            <w:tcBorders>
              <w:top w:val="nil"/>
              <w:left w:val="nil"/>
              <w:bottom w:val="nil"/>
              <w:right w:val="nil"/>
            </w:tcBorders>
            <w:tcMar>
              <w:top w:w="15" w:type="dxa"/>
              <w:left w:w="15" w:type="dxa"/>
              <w:bottom w:w="0" w:type="dxa"/>
              <w:right w:w="15" w:type="dxa"/>
            </w:tcMar>
            <w:vAlign w:val="center"/>
          </w:tcPr>
          <w:p w:rsidR="001362DC" w:rsidRPr="00EF0531" w:rsidRDefault="001362DC" w:rsidP="00C23FBA">
            <w:pPr>
              <w:rPr>
                <w:rFonts w:ascii="Arial" w:hAnsi="Arial" w:cs="Arial"/>
                <w:sz w:val="16"/>
                <w:szCs w:val="16"/>
              </w:rPr>
            </w:pPr>
            <w:r w:rsidRPr="00EF0531">
              <w:rPr>
                <w:rFonts w:ascii="Arial" w:hAnsi="Arial" w:cs="Arial"/>
                <w:sz w:val="16"/>
                <w:szCs w:val="16"/>
                <w:vertAlign w:val="superscript"/>
              </w:rPr>
              <w:t>1</w:t>
            </w:r>
            <w:r w:rsidRPr="00EF0531">
              <w:rPr>
                <w:rFonts w:ascii="Arial" w:hAnsi="Arial" w:cs="Arial"/>
                <w:sz w:val="16"/>
                <w:szCs w:val="16"/>
              </w:rPr>
              <w:t xml:space="preserve"> </w:t>
            </w:r>
            <w:r w:rsidRPr="00EF0531">
              <w:rPr>
                <w:rFonts w:ascii="Arial" w:hAnsi="Arial" w:cs="Arial"/>
                <w:i/>
                <w:iCs/>
                <w:sz w:val="16"/>
                <w:szCs w:val="16"/>
              </w:rPr>
              <w:t xml:space="preserve">Údaj podľa projekcií emisií skleníkových plynov SR – scenár s opatreniami, r. 2005. Podľa projekcií sa emisie skleníkových plynov s rastom HDP zvyšujú. Cieľom je preto spomalenie rastu emisií skleníkových plynov vo vzťahu k rastu HDP (decoupling). </w:t>
            </w:r>
          </w:p>
        </w:tc>
      </w:tr>
      <w:tr w:rsidR="001362DC" w:rsidRPr="00EF0531" w:rsidTr="000A5C0F">
        <w:trPr>
          <w:trHeight w:val="555"/>
        </w:trPr>
        <w:tc>
          <w:tcPr>
            <w:tcW w:w="0" w:type="auto"/>
            <w:tcBorders>
              <w:top w:val="nil"/>
              <w:left w:val="nil"/>
              <w:bottom w:val="nil"/>
              <w:right w:val="nil"/>
            </w:tcBorders>
            <w:tcMar>
              <w:top w:w="15" w:type="dxa"/>
              <w:left w:w="15" w:type="dxa"/>
              <w:bottom w:w="0" w:type="dxa"/>
              <w:right w:w="15" w:type="dxa"/>
            </w:tcMar>
            <w:vAlign w:val="center"/>
          </w:tcPr>
          <w:p w:rsidR="001362DC" w:rsidRPr="00EF0531" w:rsidRDefault="001362DC" w:rsidP="00C23FBA">
            <w:pPr>
              <w:rPr>
                <w:rFonts w:ascii="Arial" w:hAnsi="Arial" w:cs="Arial"/>
                <w:sz w:val="16"/>
                <w:szCs w:val="16"/>
              </w:rPr>
            </w:pPr>
            <w:r w:rsidRPr="00EF0531">
              <w:rPr>
                <w:rFonts w:ascii="Arial" w:hAnsi="Arial" w:cs="Arial"/>
                <w:sz w:val="16"/>
                <w:szCs w:val="16"/>
                <w:vertAlign w:val="superscript"/>
              </w:rPr>
              <w:t>2</w:t>
            </w:r>
            <w:r w:rsidRPr="00EF0531">
              <w:rPr>
                <w:rFonts w:ascii="Arial" w:hAnsi="Arial" w:cs="Arial"/>
                <w:sz w:val="16"/>
                <w:szCs w:val="16"/>
              </w:rPr>
              <w:t xml:space="preserve"> </w:t>
            </w:r>
            <w:r w:rsidRPr="00EF0531">
              <w:rPr>
                <w:rFonts w:ascii="Arial" w:hAnsi="Arial" w:cs="Arial"/>
                <w:i/>
                <w:iCs/>
                <w:sz w:val="16"/>
                <w:szCs w:val="16"/>
              </w:rPr>
              <w:t xml:space="preserve">V prípade uvedených ukazovateľov ide o kontextové ukazovatele, ktorých oficiálne štatistické hodnoty za SR sú k dispozícii v roku n (t.j. v roku 2006, kedy sa vypracúval operačný program) iba spätne za rok n-2, preto v rámci OP ŽP boli východiskové hodnoty uvedených ukazovateľov stanovené za rok 2004 </w:t>
            </w:r>
          </w:p>
        </w:tc>
      </w:tr>
      <w:tr w:rsidR="001362DC" w:rsidRPr="00EF0531" w:rsidTr="000A5C0F">
        <w:trPr>
          <w:trHeight w:val="405"/>
        </w:trPr>
        <w:tc>
          <w:tcPr>
            <w:tcW w:w="0" w:type="auto"/>
            <w:tcBorders>
              <w:top w:val="nil"/>
              <w:left w:val="nil"/>
              <w:bottom w:val="nil"/>
              <w:right w:val="nil"/>
            </w:tcBorders>
            <w:tcMar>
              <w:top w:w="15" w:type="dxa"/>
              <w:left w:w="15" w:type="dxa"/>
              <w:bottom w:w="0" w:type="dxa"/>
              <w:right w:w="15" w:type="dxa"/>
            </w:tcMar>
            <w:vAlign w:val="center"/>
          </w:tcPr>
          <w:p w:rsidR="001362DC" w:rsidRPr="00EF0531" w:rsidRDefault="001362DC" w:rsidP="00C23FBA">
            <w:pPr>
              <w:rPr>
                <w:rFonts w:ascii="Arial" w:hAnsi="Arial" w:cs="Arial"/>
                <w:sz w:val="16"/>
                <w:szCs w:val="16"/>
              </w:rPr>
            </w:pPr>
            <w:r w:rsidRPr="00EF0531">
              <w:rPr>
                <w:rFonts w:ascii="Arial" w:hAnsi="Arial" w:cs="Arial"/>
                <w:sz w:val="16"/>
                <w:szCs w:val="16"/>
                <w:vertAlign w:val="superscript"/>
              </w:rPr>
              <w:t>3</w:t>
            </w:r>
            <w:r w:rsidRPr="00EF0531">
              <w:rPr>
                <w:rFonts w:ascii="Arial" w:hAnsi="Arial" w:cs="Arial"/>
                <w:sz w:val="16"/>
                <w:szCs w:val="16"/>
              </w:rPr>
              <w:t xml:space="preserve"> </w:t>
            </w:r>
            <w:r w:rsidRPr="00EF0531">
              <w:rPr>
                <w:rFonts w:ascii="Arial" w:hAnsi="Arial" w:cs="Arial"/>
                <w:i/>
                <w:iCs/>
                <w:sz w:val="16"/>
                <w:szCs w:val="16"/>
              </w:rPr>
              <w:t>V roku 2012 sú k dispozícii iba hodnoty daných kontextových ukazovateľov za rok 2010, t.j. Oficiálne štatistické hodnoty vyššie uvedených kontextových ukazovateľov za SR sú k dispozícii v roku n iba spätne za rok n-2.</w:t>
            </w:r>
          </w:p>
        </w:tc>
      </w:tr>
    </w:tbl>
    <w:p w:rsidR="001362DC" w:rsidRPr="00EF0531" w:rsidRDefault="001362DC" w:rsidP="00507035">
      <w:pPr>
        <w:spacing w:before="120" w:after="120" w:line="360" w:lineRule="auto"/>
        <w:jc w:val="both"/>
        <w:rPr>
          <w:rFonts w:ascii="Arial" w:hAnsi="Arial" w:cs="Arial"/>
          <w:sz w:val="20"/>
          <w:szCs w:val="20"/>
          <w:lang w:eastAsia="cs-CZ"/>
        </w:rPr>
      </w:pPr>
      <w:r w:rsidRPr="00EF0531" w:rsidDel="003F6C27">
        <w:rPr>
          <w:rFonts w:ascii="Arial" w:hAnsi="Arial" w:cs="Arial"/>
          <w:i/>
          <w:sz w:val="18"/>
          <w:szCs w:val="18"/>
          <w:vertAlign w:val="superscript"/>
          <w:lang w:eastAsia="cs-CZ"/>
        </w:rPr>
        <w:t xml:space="preserve"> </w:t>
      </w:r>
    </w:p>
    <w:p w:rsidR="001362DC" w:rsidRPr="006F1336" w:rsidRDefault="001362DC" w:rsidP="00507035">
      <w:pPr>
        <w:spacing w:before="120" w:after="120" w:line="360" w:lineRule="auto"/>
        <w:jc w:val="both"/>
        <w:rPr>
          <w:rFonts w:ascii="Arial" w:hAnsi="Arial" w:cs="Arial"/>
          <w:sz w:val="20"/>
          <w:szCs w:val="20"/>
          <w:u w:val="single"/>
          <w:lang w:eastAsia="cs-CZ"/>
        </w:rPr>
      </w:pPr>
      <w:r w:rsidRPr="006F1336">
        <w:rPr>
          <w:rFonts w:ascii="Arial" w:hAnsi="Arial" w:cs="Arial"/>
          <w:sz w:val="20"/>
          <w:szCs w:val="20"/>
          <w:u w:val="single"/>
          <w:lang w:eastAsia="cs-CZ"/>
        </w:rPr>
        <w:t>Emisie skleníkových plynov (tis. ton CO2 ekv.)</w:t>
      </w:r>
    </w:p>
    <w:p w:rsidR="001362DC" w:rsidRPr="006F1336" w:rsidRDefault="001362DC" w:rsidP="00507035">
      <w:pPr>
        <w:spacing w:before="120" w:after="120" w:line="360" w:lineRule="auto"/>
        <w:jc w:val="both"/>
        <w:rPr>
          <w:rFonts w:ascii="Arial" w:hAnsi="Arial" w:cs="Arial"/>
          <w:sz w:val="20"/>
          <w:szCs w:val="20"/>
          <w:lang w:eastAsia="cs-CZ"/>
        </w:rPr>
      </w:pPr>
      <w:r w:rsidRPr="006F1336">
        <w:rPr>
          <w:rFonts w:ascii="Arial" w:hAnsi="Arial" w:cs="Arial"/>
          <w:sz w:val="20"/>
          <w:szCs w:val="20"/>
          <w:lang w:eastAsia="cs-CZ"/>
        </w:rPr>
        <w:t>Údaje reprezentujú celkové emisie skleníkových plynov vrátane sektora LULUCF vyjadrené v CO2 ekvivalentoch. Zdrojom údajov je Slovenský hydrometeorologický ústav (SHMÚ). SHMÚ ako rozpočtová organizácia ministerstva predkladá ročne Štatistickému úradu SR (ŠÚ SR) výkazy o tvorbe emisií skleníkových plynov (GHG) za rok n-2. Vypĺňajú sa v letných mesiacoch za rok n-2 a zároveň sa vykonáva revízia údajov roku n-3. Zaslanie výkazov za predchádzajúce obdobie (v danom prípade 2004 - 2008) ŠÚ SR nepožadoval, a teda údaje zverejnené ŠÚ SR za roky 2004 - 2008 neboli kontrolované a overené zo strany SHMÚ, resp. MŽP SR.</w:t>
      </w:r>
    </w:p>
    <w:p w:rsidR="001362DC" w:rsidRDefault="001362DC" w:rsidP="00507035">
      <w:pPr>
        <w:spacing w:before="120" w:after="120" w:line="360" w:lineRule="auto"/>
        <w:jc w:val="both"/>
        <w:rPr>
          <w:rFonts w:ascii="Arial" w:hAnsi="Arial" w:cs="Arial"/>
          <w:sz w:val="20"/>
          <w:szCs w:val="20"/>
          <w:lang w:eastAsia="cs-CZ"/>
        </w:rPr>
      </w:pPr>
      <w:r w:rsidRPr="006F1336">
        <w:rPr>
          <w:rFonts w:ascii="Arial" w:hAnsi="Arial" w:cs="Arial"/>
          <w:sz w:val="20"/>
          <w:szCs w:val="20"/>
          <w:lang w:eastAsia="cs-CZ"/>
        </w:rPr>
        <w:t xml:space="preserve">SHMÚ pri výpočte emisií skleníkových plynov postupuje podľa metodík návodov a príručiek  zverejnených IPCC (t.j. Medzinárodný panel pre zmenu klímy). Metodiky a súvisiace dokumenty sú dostupné na webovom sídle IPPC: </w:t>
      </w:r>
      <w:hyperlink r:id="rId63" w:history="1">
        <w:r w:rsidRPr="00FA2DAA">
          <w:rPr>
            <w:rStyle w:val="Hypertextovprepojenie"/>
            <w:rFonts w:ascii="Arial" w:hAnsi="Arial" w:cs="Arial"/>
            <w:color w:val="0070C0"/>
            <w:sz w:val="20"/>
            <w:szCs w:val="20"/>
            <w:lang w:eastAsia="cs-CZ"/>
          </w:rPr>
          <w:t>http://www.ipcc-nggip.iges.or.jp/public/index.html</w:t>
        </w:r>
      </w:hyperlink>
    </w:p>
    <w:p w:rsidR="001362DC" w:rsidRDefault="001362DC" w:rsidP="00507035">
      <w:pPr>
        <w:spacing w:before="120" w:after="120" w:line="360" w:lineRule="auto"/>
        <w:jc w:val="both"/>
        <w:rPr>
          <w:rFonts w:ascii="Arial" w:hAnsi="Arial" w:cs="Arial"/>
          <w:sz w:val="20"/>
          <w:szCs w:val="20"/>
          <w:lang w:eastAsia="cs-CZ"/>
        </w:rPr>
      </w:pPr>
      <w:r w:rsidRPr="003F363E">
        <w:rPr>
          <w:rFonts w:ascii="Arial" w:hAnsi="Arial" w:cs="Arial"/>
          <w:sz w:val="20"/>
          <w:szCs w:val="20"/>
          <w:lang w:eastAsia="cs-CZ"/>
        </w:rPr>
        <w:t>Od roku 2013 bude SHMÚ plne zodpovedný za plnenie reportovacích povinností v rámci nariadenia Európskeho parlamentu a  Rady č. 691/2011 o environmentálnych ekonomických účtoch.</w:t>
      </w:r>
    </w:p>
    <w:p w:rsidR="001362DC" w:rsidRPr="006F1336" w:rsidRDefault="001362DC" w:rsidP="00507035">
      <w:pPr>
        <w:spacing w:before="120" w:after="120" w:line="360" w:lineRule="auto"/>
        <w:jc w:val="both"/>
        <w:rPr>
          <w:rFonts w:ascii="Arial" w:hAnsi="Arial" w:cs="Arial"/>
          <w:sz w:val="20"/>
          <w:szCs w:val="20"/>
          <w:u w:val="single"/>
          <w:lang w:eastAsia="cs-CZ"/>
        </w:rPr>
      </w:pPr>
      <w:r w:rsidRPr="006F1336">
        <w:rPr>
          <w:rFonts w:ascii="Arial" w:hAnsi="Arial" w:cs="Arial"/>
          <w:sz w:val="20"/>
          <w:szCs w:val="20"/>
          <w:u w:val="single"/>
          <w:lang w:eastAsia="cs-CZ"/>
        </w:rPr>
        <w:t>Miera zhodnocovania odpadov (%)</w:t>
      </w:r>
    </w:p>
    <w:p w:rsidR="001362DC" w:rsidRDefault="001362DC" w:rsidP="00507035">
      <w:pPr>
        <w:spacing w:before="120" w:after="120" w:line="360" w:lineRule="auto"/>
        <w:jc w:val="both"/>
        <w:rPr>
          <w:rFonts w:ascii="Arial" w:hAnsi="Arial" w:cs="Arial"/>
          <w:sz w:val="20"/>
          <w:szCs w:val="20"/>
          <w:lang w:eastAsia="cs-CZ"/>
        </w:rPr>
      </w:pPr>
      <w:r w:rsidRPr="006F1336">
        <w:rPr>
          <w:rFonts w:ascii="Arial" w:hAnsi="Arial" w:cs="Arial"/>
          <w:sz w:val="20"/>
          <w:szCs w:val="20"/>
          <w:lang w:eastAsia="cs-CZ"/>
        </w:rPr>
        <w:t>MŽP SR pri metodike výpočtu zahrnul do celkovej miery zhodnocovania aj komunálne odpady, keďže predmetom podpory v rámci OP ŽP, operačného cieľa 4.2 sú aj aktivity zamerané na zhodnocovanie komunálnych odpadov. V tomto prípade predstavuje hodnota ukazovateľa za rok 2010 55%. (Pokiaľ ide o oficiálne štatistické hodnoty uvádzané ŠÚ SR, hodnota miery zhodnocovania odpadov 62% predstavuje mieru zhodnocovania odpadov umiestnených na trh bez komunálnych odpadov.)</w:t>
      </w:r>
    </w:p>
    <w:p w:rsidR="001362DC" w:rsidRPr="00A710EA" w:rsidRDefault="001362DC" w:rsidP="00507035">
      <w:pPr>
        <w:spacing w:before="120" w:after="120" w:line="360" w:lineRule="auto"/>
        <w:jc w:val="both"/>
        <w:rPr>
          <w:rFonts w:ascii="Arial" w:hAnsi="Arial" w:cs="Arial"/>
          <w:sz w:val="20"/>
          <w:szCs w:val="20"/>
          <w:u w:val="single"/>
          <w:lang w:eastAsia="cs-CZ"/>
        </w:rPr>
      </w:pPr>
      <w:r w:rsidRPr="00A710EA">
        <w:rPr>
          <w:rFonts w:ascii="Arial" w:hAnsi="Arial" w:cs="Arial"/>
          <w:sz w:val="20"/>
          <w:szCs w:val="20"/>
          <w:u w:val="single"/>
          <w:lang w:eastAsia="cs-CZ"/>
        </w:rPr>
        <w:t>Percento obyvateľov napojených na ČOV (%)</w:t>
      </w:r>
    </w:p>
    <w:p w:rsidR="001362DC" w:rsidRDefault="001362DC" w:rsidP="00507035">
      <w:pPr>
        <w:spacing w:before="120" w:after="120" w:line="360" w:lineRule="auto"/>
        <w:jc w:val="both"/>
        <w:rPr>
          <w:rFonts w:ascii="Arial" w:hAnsi="Arial" w:cs="Arial"/>
          <w:sz w:val="20"/>
          <w:szCs w:val="20"/>
          <w:lang w:eastAsia="cs-CZ"/>
        </w:rPr>
      </w:pPr>
      <w:r w:rsidRPr="00A710EA">
        <w:rPr>
          <w:rFonts w:ascii="Arial" w:hAnsi="Arial" w:cs="Arial"/>
          <w:b/>
          <w:sz w:val="20"/>
          <w:szCs w:val="20"/>
          <w:lang w:eastAsia="cs-CZ"/>
        </w:rPr>
        <w:tab/>
      </w:r>
      <w:r w:rsidRPr="00A710EA">
        <w:rPr>
          <w:rFonts w:ascii="Arial" w:hAnsi="Arial" w:cs="Arial"/>
          <w:sz w:val="20"/>
          <w:szCs w:val="20"/>
          <w:lang w:eastAsia="cs-CZ"/>
        </w:rPr>
        <w:t>Zdrojom údajov je ŠÚ SR.</w:t>
      </w:r>
      <w:r w:rsidRPr="00A710EA">
        <w:rPr>
          <w:rFonts w:ascii="Arial" w:hAnsi="Arial" w:cs="Arial"/>
          <w:b/>
          <w:sz w:val="20"/>
          <w:szCs w:val="20"/>
          <w:lang w:eastAsia="cs-CZ"/>
        </w:rPr>
        <w:t xml:space="preserve"> </w:t>
      </w:r>
      <w:r w:rsidRPr="00A710EA">
        <w:rPr>
          <w:rFonts w:ascii="Arial" w:hAnsi="Arial" w:cs="Arial"/>
          <w:sz w:val="20"/>
          <w:szCs w:val="20"/>
          <w:lang w:eastAsia="cs-CZ"/>
        </w:rPr>
        <w:t>Na základe vzájomnej dohody medzi MŽP SR a ŠÚ SR sú od roku 2009 vykazované jednotné údaje v oblasti vôd.</w:t>
      </w:r>
    </w:p>
    <w:p w:rsidR="001362DC" w:rsidRPr="00A710EA" w:rsidRDefault="001362DC" w:rsidP="00507035">
      <w:pPr>
        <w:spacing w:before="120" w:after="120" w:line="360" w:lineRule="auto"/>
        <w:jc w:val="both"/>
        <w:rPr>
          <w:rFonts w:ascii="Arial" w:hAnsi="Arial" w:cs="Arial"/>
          <w:sz w:val="20"/>
          <w:szCs w:val="20"/>
          <w:u w:val="single"/>
          <w:lang w:eastAsia="cs-CZ"/>
        </w:rPr>
      </w:pPr>
      <w:r w:rsidRPr="00A710EA">
        <w:rPr>
          <w:rFonts w:ascii="Arial" w:hAnsi="Arial" w:cs="Arial"/>
          <w:sz w:val="20"/>
          <w:szCs w:val="20"/>
          <w:u w:val="single"/>
          <w:lang w:eastAsia="cs-CZ"/>
        </w:rPr>
        <w:t>Podiel obyvateľov zásobovaných vodou z verejných vodovodov (%)</w:t>
      </w:r>
    </w:p>
    <w:p w:rsidR="003F363E" w:rsidRDefault="001362DC" w:rsidP="003F363E">
      <w:pPr>
        <w:spacing w:before="120" w:line="360" w:lineRule="auto"/>
        <w:jc w:val="both"/>
        <w:rPr>
          <w:rFonts w:ascii="Arial" w:hAnsi="Arial" w:cs="Arial"/>
          <w:sz w:val="20"/>
          <w:szCs w:val="20"/>
          <w:lang w:eastAsia="cs-CZ"/>
        </w:rPr>
      </w:pPr>
      <w:r w:rsidRPr="00A710EA">
        <w:rPr>
          <w:rFonts w:ascii="Arial" w:hAnsi="Arial" w:cs="Arial"/>
          <w:sz w:val="20"/>
          <w:szCs w:val="20"/>
          <w:lang w:eastAsia="cs-CZ"/>
        </w:rPr>
        <w:t>Zdrojom údajov je ŠÚ SR.</w:t>
      </w:r>
      <w:r w:rsidRPr="00A710EA">
        <w:rPr>
          <w:rFonts w:ascii="Arial" w:hAnsi="Arial" w:cs="Arial"/>
          <w:b/>
          <w:sz w:val="20"/>
          <w:szCs w:val="20"/>
          <w:lang w:eastAsia="cs-CZ"/>
        </w:rPr>
        <w:t xml:space="preserve"> </w:t>
      </w:r>
      <w:r w:rsidRPr="00A710EA">
        <w:rPr>
          <w:rFonts w:ascii="Arial" w:hAnsi="Arial" w:cs="Arial"/>
          <w:sz w:val="20"/>
          <w:szCs w:val="20"/>
          <w:lang w:eastAsia="cs-CZ"/>
        </w:rPr>
        <w:t>Na základe vzájomnej dohody medzi MŽP SR a ŠÚ SR sú od roku 2009 vykazované jednotné údaje v oblasti vôd.</w:t>
      </w:r>
      <w:r w:rsidR="003F363E">
        <w:rPr>
          <w:rFonts w:ascii="Arial" w:hAnsi="Arial" w:cs="Arial"/>
          <w:sz w:val="20"/>
          <w:szCs w:val="20"/>
          <w:lang w:eastAsia="cs-CZ"/>
        </w:rPr>
        <w:t xml:space="preserve"> </w:t>
      </w:r>
    </w:p>
    <w:p w:rsidR="001362DC" w:rsidRPr="00EF0531" w:rsidRDefault="001362DC" w:rsidP="00507035">
      <w:pPr>
        <w:spacing w:before="120" w:after="120" w:line="360" w:lineRule="auto"/>
        <w:jc w:val="both"/>
        <w:rPr>
          <w:rFonts w:ascii="Arial" w:hAnsi="Arial" w:cs="Arial"/>
          <w:sz w:val="20"/>
          <w:szCs w:val="20"/>
          <w:lang w:eastAsia="cs-CZ"/>
        </w:rPr>
      </w:pPr>
      <w:r w:rsidRPr="004B33AE">
        <w:rPr>
          <w:rFonts w:ascii="Arial" w:hAnsi="Arial" w:cs="Arial"/>
          <w:sz w:val="20"/>
          <w:szCs w:val="20"/>
          <w:lang w:eastAsia="cs-CZ"/>
        </w:rPr>
        <w:t>V </w:t>
      </w:r>
      <w:r w:rsidRPr="00EF0531">
        <w:rPr>
          <w:rFonts w:ascii="Arial" w:hAnsi="Arial" w:cs="Arial"/>
          <w:sz w:val="20"/>
          <w:szCs w:val="20"/>
          <w:lang w:eastAsia="cs-CZ"/>
        </w:rPr>
        <w:t xml:space="preserve">rámci OP ŽP bolo teda ku koncu roka </w:t>
      </w:r>
      <w:r w:rsidR="00EF446A">
        <w:rPr>
          <w:rFonts w:ascii="Arial" w:hAnsi="Arial" w:cs="Arial"/>
          <w:sz w:val="20"/>
          <w:szCs w:val="20"/>
          <w:lang w:eastAsia="cs-CZ"/>
        </w:rPr>
        <w:t>2012</w:t>
      </w:r>
      <w:r w:rsidRPr="00EF0531">
        <w:rPr>
          <w:rFonts w:ascii="Arial" w:hAnsi="Arial" w:cs="Arial"/>
          <w:sz w:val="20"/>
          <w:szCs w:val="20"/>
          <w:lang w:eastAsia="cs-CZ"/>
        </w:rPr>
        <w:t xml:space="preserve"> zazmluvnených celkovo 525 projektov s príspevkom k HP TUR </w:t>
      </w:r>
      <w:r w:rsidR="003F363E" w:rsidRPr="00EF0531">
        <w:rPr>
          <w:rFonts w:ascii="Arial" w:hAnsi="Arial" w:cs="Arial"/>
          <w:sz w:val="20"/>
          <w:szCs w:val="20"/>
          <w:lang w:eastAsia="cs-CZ"/>
        </w:rPr>
        <w:t xml:space="preserve">(246 ukončených) </w:t>
      </w:r>
      <w:r w:rsidRPr="00EF0531">
        <w:rPr>
          <w:rFonts w:ascii="Arial" w:hAnsi="Arial" w:cs="Arial"/>
          <w:sz w:val="20"/>
          <w:szCs w:val="20"/>
          <w:lang w:eastAsia="cs-CZ"/>
        </w:rPr>
        <w:t>s c</w:t>
      </w:r>
      <w:r w:rsidRPr="00EF0531">
        <w:rPr>
          <w:rFonts w:ascii="Arial" w:hAnsi="Arial" w:cs="Arial"/>
          <w:bCs/>
          <w:sz w:val="20"/>
          <w:szCs w:val="20"/>
          <w:lang w:eastAsia="cs-CZ"/>
        </w:rPr>
        <w:t>elkovou výškou zazmluvnených prostriedkov z fondov EÚ 1 171 790 810 EUR,</w:t>
      </w:r>
      <w:r w:rsidRPr="00EF0531">
        <w:rPr>
          <w:rFonts w:ascii="Arial" w:hAnsi="Arial" w:cs="Arial"/>
          <w:sz w:val="20"/>
          <w:szCs w:val="20"/>
          <w:lang w:eastAsia="cs-CZ"/>
        </w:rPr>
        <w:t xml:space="preserve"> čo predstavuje 84,89% z celkového objemu zazmluvnených projektov. </w:t>
      </w:r>
    </w:p>
    <w:p w:rsidR="001362DC" w:rsidRPr="00EF0531" w:rsidRDefault="001362DC" w:rsidP="00C23FBA">
      <w:pPr>
        <w:spacing w:line="360" w:lineRule="auto"/>
        <w:jc w:val="both"/>
        <w:rPr>
          <w:rFonts w:ascii="Arial" w:hAnsi="Arial" w:cs="Arial"/>
          <w:sz w:val="20"/>
          <w:szCs w:val="20"/>
          <w:lang w:eastAsia="cs-CZ"/>
        </w:rPr>
      </w:pPr>
      <w:r w:rsidRPr="00EF0531">
        <w:rPr>
          <w:rFonts w:ascii="Arial" w:hAnsi="Arial" w:cs="Arial"/>
          <w:sz w:val="20"/>
          <w:szCs w:val="20"/>
          <w:lang w:eastAsia="cs-CZ"/>
        </w:rPr>
        <w:t xml:space="preserve">Tab. č. </w:t>
      </w:r>
      <w:r w:rsidR="00C63470" w:rsidRPr="00EF0531">
        <w:rPr>
          <w:rFonts w:ascii="Arial" w:hAnsi="Arial" w:cs="Arial"/>
          <w:sz w:val="20"/>
          <w:szCs w:val="20"/>
          <w:lang w:eastAsia="cs-CZ"/>
        </w:rPr>
        <w:t>79</w:t>
      </w:r>
      <w:r w:rsidRPr="00EF0531">
        <w:rPr>
          <w:rFonts w:ascii="Arial" w:hAnsi="Arial" w:cs="Arial"/>
          <w:sz w:val="20"/>
          <w:szCs w:val="20"/>
          <w:lang w:eastAsia="cs-CZ"/>
        </w:rPr>
        <w:t>: Stav zazmluvnených projektov OP ŽP s príspevkom k HP TUR podľa NUTS III k 31.12.2012</w:t>
      </w:r>
    </w:p>
    <w:tbl>
      <w:tblPr>
        <w:tblW w:w="0" w:type="auto"/>
        <w:tblCellMar>
          <w:left w:w="0" w:type="dxa"/>
          <w:right w:w="0" w:type="dxa"/>
        </w:tblCellMar>
        <w:tblLook w:val="0000" w:firstRow="0" w:lastRow="0" w:firstColumn="0" w:lastColumn="0" w:noHBand="0" w:noVBand="0"/>
      </w:tblPr>
      <w:tblGrid>
        <w:gridCol w:w="1394"/>
        <w:gridCol w:w="1460"/>
        <w:gridCol w:w="1535"/>
        <w:gridCol w:w="1516"/>
        <w:gridCol w:w="1591"/>
        <w:gridCol w:w="1604"/>
      </w:tblGrid>
      <w:tr w:rsidR="001362DC" w:rsidRPr="006A2BF3" w:rsidTr="000A5C0F">
        <w:trPr>
          <w:trHeight w:val="20"/>
        </w:trPr>
        <w:tc>
          <w:tcPr>
            <w:tcW w:w="0" w:type="auto"/>
            <w:tcBorders>
              <w:top w:val="single" w:sz="4" w:space="0" w:color="auto"/>
              <w:left w:val="single" w:sz="4" w:space="0" w:color="auto"/>
              <w:bottom w:val="single" w:sz="4" w:space="0" w:color="auto"/>
              <w:right w:val="single" w:sz="4" w:space="0" w:color="auto"/>
            </w:tcBorders>
            <w:shd w:val="clear" w:color="auto" w:fill="D6E3BC"/>
            <w:tcMar>
              <w:top w:w="15" w:type="dxa"/>
              <w:left w:w="15" w:type="dxa"/>
              <w:bottom w:w="0" w:type="dxa"/>
              <w:right w:w="15" w:type="dxa"/>
            </w:tcMar>
            <w:vAlign w:val="center"/>
          </w:tcPr>
          <w:p w:rsidR="001362DC" w:rsidRPr="006A2BF3" w:rsidRDefault="001362DC" w:rsidP="00C23FBA">
            <w:pPr>
              <w:jc w:val="center"/>
              <w:rPr>
                <w:rFonts w:ascii="Arial" w:hAnsi="Arial" w:cs="Arial"/>
                <w:b/>
                <w:bCs/>
                <w:color w:val="000000"/>
                <w:sz w:val="18"/>
                <w:szCs w:val="18"/>
              </w:rPr>
            </w:pPr>
            <w:r w:rsidRPr="006A2BF3">
              <w:rPr>
                <w:rFonts w:ascii="Arial" w:hAnsi="Arial" w:cs="Arial"/>
                <w:b/>
                <w:bCs/>
                <w:color w:val="000000"/>
                <w:sz w:val="18"/>
                <w:szCs w:val="18"/>
              </w:rPr>
              <w:t>Územie NUTS III</w:t>
            </w:r>
          </w:p>
        </w:tc>
        <w:tc>
          <w:tcPr>
            <w:tcW w:w="0" w:type="auto"/>
            <w:tcBorders>
              <w:top w:val="single" w:sz="4" w:space="0" w:color="auto"/>
              <w:left w:val="nil"/>
              <w:bottom w:val="single" w:sz="4" w:space="0" w:color="auto"/>
              <w:right w:val="single" w:sz="4" w:space="0" w:color="auto"/>
            </w:tcBorders>
            <w:shd w:val="clear" w:color="auto" w:fill="D6E3BC"/>
            <w:tcMar>
              <w:top w:w="15" w:type="dxa"/>
              <w:left w:w="15" w:type="dxa"/>
              <w:bottom w:w="0" w:type="dxa"/>
              <w:right w:w="15" w:type="dxa"/>
            </w:tcMar>
            <w:vAlign w:val="center"/>
          </w:tcPr>
          <w:p w:rsidR="001362DC" w:rsidRPr="006A2BF3" w:rsidRDefault="001362DC" w:rsidP="00C23FBA">
            <w:pPr>
              <w:jc w:val="center"/>
              <w:rPr>
                <w:rFonts w:ascii="Arial" w:hAnsi="Arial" w:cs="Arial"/>
                <w:b/>
                <w:bCs/>
                <w:color w:val="000000"/>
                <w:sz w:val="18"/>
                <w:szCs w:val="18"/>
              </w:rPr>
            </w:pPr>
            <w:r w:rsidRPr="006A2BF3">
              <w:rPr>
                <w:rFonts w:ascii="Arial" w:hAnsi="Arial" w:cs="Arial"/>
                <w:b/>
                <w:bCs/>
                <w:color w:val="000000"/>
                <w:sz w:val="18"/>
                <w:szCs w:val="18"/>
              </w:rPr>
              <w:t>Počet zazmluvnených projektov celkovo</w:t>
            </w:r>
          </w:p>
        </w:tc>
        <w:tc>
          <w:tcPr>
            <w:tcW w:w="0" w:type="auto"/>
            <w:tcBorders>
              <w:top w:val="single" w:sz="4" w:space="0" w:color="auto"/>
              <w:left w:val="nil"/>
              <w:bottom w:val="single" w:sz="4" w:space="0" w:color="auto"/>
              <w:right w:val="single" w:sz="4" w:space="0" w:color="auto"/>
            </w:tcBorders>
            <w:shd w:val="clear" w:color="auto" w:fill="D6E3BC"/>
            <w:tcMar>
              <w:top w:w="15" w:type="dxa"/>
              <w:left w:w="15" w:type="dxa"/>
              <w:bottom w:w="0" w:type="dxa"/>
              <w:right w:w="15" w:type="dxa"/>
            </w:tcMar>
            <w:vAlign w:val="center"/>
          </w:tcPr>
          <w:p w:rsidR="001362DC" w:rsidRPr="006A2BF3" w:rsidRDefault="001362DC" w:rsidP="00C23FBA">
            <w:pPr>
              <w:jc w:val="center"/>
              <w:rPr>
                <w:rFonts w:ascii="Arial" w:hAnsi="Arial" w:cs="Arial"/>
                <w:b/>
                <w:bCs/>
                <w:color w:val="000000"/>
                <w:sz w:val="18"/>
                <w:szCs w:val="18"/>
              </w:rPr>
            </w:pPr>
            <w:r w:rsidRPr="006A2BF3">
              <w:rPr>
                <w:rFonts w:ascii="Arial" w:hAnsi="Arial" w:cs="Arial"/>
                <w:b/>
                <w:bCs/>
                <w:color w:val="000000"/>
                <w:sz w:val="18"/>
                <w:szCs w:val="18"/>
              </w:rPr>
              <w:t>Celková výška zazmluvnených prostriedkov v €</w:t>
            </w:r>
            <w:r>
              <w:rPr>
                <w:rFonts w:ascii="Arial" w:hAnsi="Arial" w:cs="Arial"/>
                <w:b/>
                <w:bCs/>
                <w:color w:val="000000"/>
                <w:sz w:val="18"/>
                <w:szCs w:val="18"/>
              </w:rPr>
              <w:t xml:space="preserve"> </w:t>
            </w:r>
            <w:r w:rsidRPr="006A2BF3">
              <w:rPr>
                <w:rFonts w:ascii="Arial" w:hAnsi="Arial" w:cs="Arial"/>
                <w:b/>
                <w:bCs/>
                <w:color w:val="000000"/>
                <w:sz w:val="18"/>
                <w:szCs w:val="18"/>
              </w:rPr>
              <w:t>(EU zdroje)</w:t>
            </w:r>
          </w:p>
        </w:tc>
        <w:tc>
          <w:tcPr>
            <w:tcW w:w="0" w:type="auto"/>
            <w:tcBorders>
              <w:top w:val="single" w:sz="4" w:space="0" w:color="auto"/>
              <w:left w:val="nil"/>
              <w:bottom w:val="single" w:sz="4" w:space="0" w:color="auto"/>
              <w:right w:val="single" w:sz="4" w:space="0" w:color="auto"/>
            </w:tcBorders>
            <w:shd w:val="clear" w:color="auto" w:fill="D6E3BC"/>
            <w:tcMar>
              <w:top w:w="15" w:type="dxa"/>
              <w:left w:w="15" w:type="dxa"/>
              <w:bottom w:w="0" w:type="dxa"/>
              <w:right w:w="15" w:type="dxa"/>
            </w:tcMar>
            <w:vAlign w:val="center"/>
          </w:tcPr>
          <w:p w:rsidR="001362DC" w:rsidRPr="006A2BF3" w:rsidRDefault="001362DC" w:rsidP="00C23FBA">
            <w:pPr>
              <w:jc w:val="center"/>
              <w:rPr>
                <w:rFonts w:ascii="Arial" w:hAnsi="Arial" w:cs="Arial"/>
                <w:b/>
                <w:bCs/>
                <w:color w:val="000000"/>
                <w:sz w:val="18"/>
                <w:szCs w:val="18"/>
              </w:rPr>
            </w:pPr>
            <w:r w:rsidRPr="006A2BF3">
              <w:rPr>
                <w:rFonts w:ascii="Arial" w:hAnsi="Arial" w:cs="Arial"/>
                <w:b/>
                <w:bCs/>
                <w:color w:val="000000"/>
                <w:sz w:val="18"/>
                <w:szCs w:val="18"/>
              </w:rPr>
              <w:t>Počet zazmluvnených projektov s príspevkom HP TUR</w:t>
            </w:r>
          </w:p>
        </w:tc>
        <w:tc>
          <w:tcPr>
            <w:tcW w:w="0" w:type="auto"/>
            <w:tcBorders>
              <w:top w:val="single" w:sz="4" w:space="0" w:color="auto"/>
              <w:left w:val="nil"/>
              <w:bottom w:val="single" w:sz="4" w:space="0" w:color="auto"/>
              <w:right w:val="single" w:sz="4" w:space="0" w:color="auto"/>
            </w:tcBorders>
            <w:shd w:val="clear" w:color="auto" w:fill="D6E3BC"/>
            <w:tcMar>
              <w:top w:w="15" w:type="dxa"/>
              <w:left w:w="15" w:type="dxa"/>
              <w:bottom w:w="0" w:type="dxa"/>
              <w:right w:w="15" w:type="dxa"/>
            </w:tcMar>
            <w:vAlign w:val="center"/>
          </w:tcPr>
          <w:p w:rsidR="001362DC" w:rsidRPr="006A2BF3" w:rsidRDefault="001362DC" w:rsidP="00C23FBA">
            <w:pPr>
              <w:jc w:val="center"/>
              <w:rPr>
                <w:rFonts w:ascii="Arial" w:hAnsi="Arial" w:cs="Arial"/>
                <w:b/>
                <w:bCs/>
                <w:color w:val="000000"/>
                <w:sz w:val="18"/>
                <w:szCs w:val="18"/>
              </w:rPr>
            </w:pPr>
            <w:r w:rsidRPr="006A2BF3">
              <w:rPr>
                <w:rFonts w:ascii="Arial" w:hAnsi="Arial" w:cs="Arial"/>
                <w:b/>
                <w:bCs/>
                <w:color w:val="000000"/>
                <w:sz w:val="18"/>
                <w:szCs w:val="18"/>
              </w:rPr>
              <w:t>Výška zazmluvnených prostriedkov v € s príspevkom HP TUR (EU zdroje)</w:t>
            </w:r>
          </w:p>
        </w:tc>
        <w:tc>
          <w:tcPr>
            <w:tcW w:w="0" w:type="auto"/>
            <w:tcBorders>
              <w:top w:val="single" w:sz="4" w:space="0" w:color="auto"/>
              <w:left w:val="nil"/>
              <w:bottom w:val="single" w:sz="4" w:space="0" w:color="auto"/>
              <w:right w:val="single" w:sz="4" w:space="0" w:color="auto"/>
            </w:tcBorders>
            <w:shd w:val="clear" w:color="auto" w:fill="D6E3BC"/>
            <w:tcMar>
              <w:top w:w="15" w:type="dxa"/>
              <w:left w:w="15" w:type="dxa"/>
              <w:bottom w:w="0" w:type="dxa"/>
              <w:right w:w="15" w:type="dxa"/>
            </w:tcMar>
            <w:vAlign w:val="center"/>
          </w:tcPr>
          <w:p w:rsidR="001362DC" w:rsidRPr="006A2BF3" w:rsidRDefault="001362DC" w:rsidP="00C23FBA">
            <w:pPr>
              <w:jc w:val="center"/>
              <w:rPr>
                <w:rFonts w:ascii="Arial" w:hAnsi="Arial" w:cs="Arial"/>
                <w:b/>
                <w:bCs/>
                <w:color w:val="000000"/>
                <w:sz w:val="18"/>
                <w:szCs w:val="18"/>
              </w:rPr>
            </w:pPr>
            <w:r w:rsidRPr="006A2BF3">
              <w:rPr>
                <w:rFonts w:ascii="Arial" w:hAnsi="Arial" w:cs="Arial"/>
                <w:b/>
                <w:bCs/>
                <w:color w:val="000000"/>
                <w:sz w:val="18"/>
                <w:szCs w:val="18"/>
              </w:rPr>
              <w:t>% zazmluvnenia k HP TUR z celkového objemu zazmluvnených prostriedkov</w:t>
            </w:r>
          </w:p>
        </w:tc>
      </w:tr>
      <w:tr w:rsidR="001362DC" w:rsidRPr="006A2BF3" w:rsidTr="000A5C0F">
        <w:trPr>
          <w:trHeight w:val="20"/>
        </w:trPr>
        <w:tc>
          <w:tcPr>
            <w:tcW w:w="0" w:type="auto"/>
            <w:tcBorders>
              <w:top w:val="single" w:sz="4" w:space="0" w:color="auto"/>
              <w:left w:val="single" w:sz="4" w:space="0" w:color="auto"/>
              <w:bottom w:val="single" w:sz="4" w:space="0" w:color="auto"/>
              <w:right w:val="single" w:sz="4" w:space="0" w:color="auto"/>
            </w:tcBorders>
            <w:shd w:val="clear" w:color="auto" w:fill="EAF1DD"/>
            <w:tcMar>
              <w:top w:w="15" w:type="dxa"/>
              <w:left w:w="15" w:type="dxa"/>
              <w:bottom w:w="0" w:type="dxa"/>
              <w:right w:w="15" w:type="dxa"/>
            </w:tcMar>
            <w:vAlign w:val="center"/>
          </w:tcPr>
          <w:p w:rsidR="001362DC" w:rsidRPr="00B57B4D" w:rsidRDefault="001362DC" w:rsidP="00C23FBA">
            <w:pPr>
              <w:jc w:val="center"/>
              <w:rPr>
                <w:rFonts w:ascii="Arial" w:hAnsi="Arial" w:cs="Arial"/>
                <w:color w:val="000000"/>
                <w:sz w:val="18"/>
                <w:szCs w:val="18"/>
              </w:rPr>
            </w:pPr>
            <w:r w:rsidRPr="00B57B4D">
              <w:rPr>
                <w:rFonts w:ascii="Arial" w:hAnsi="Arial" w:cs="Arial"/>
                <w:color w:val="000000"/>
                <w:sz w:val="18"/>
                <w:szCs w:val="18"/>
              </w:rPr>
              <w:t>A</w:t>
            </w:r>
          </w:p>
        </w:tc>
        <w:tc>
          <w:tcPr>
            <w:tcW w:w="0" w:type="auto"/>
            <w:tcBorders>
              <w:top w:val="single" w:sz="4" w:space="0" w:color="auto"/>
              <w:left w:val="nil"/>
              <w:bottom w:val="single" w:sz="4" w:space="0" w:color="auto"/>
              <w:right w:val="single" w:sz="4" w:space="0" w:color="auto"/>
            </w:tcBorders>
            <w:shd w:val="clear" w:color="auto" w:fill="EAF1DD"/>
            <w:tcMar>
              <w:top w:w="15" w:type="dxa"/>
              <w:left w:w="15" w:type="dxa"/>
              <w:bottom w:w="0" w:type="dxa"/>
              <w:right w:w="15" w:type="dxa"/>
            </w:tcMar>
            <w:vAlign w:val="center"/>
          </w:tcPr>
          <w:p w:rsidR="001362DC" w:rsidRPr="00B57B4D" w:rsidRDefault="001362DC" w:rsidP="00C23FBA">
            <w:pPr>
              <w:jc w:val="center"/>
              <w:rPr>
                <w:rFonts w:ascii="Arial" w:hAnsi="Arial" w:cs="Arial"/>
                <w:color w:val="000000"/>
                <w:sz w:val="18"/>
                <w:szCs w:val="18"/>
              </w:rPr>
            </w:pPr>
            <w:r w:rsidRPr="00B57B4D">
              <w:rPr>
                <w:rFonts w:ascii="Arial" w:hAnsi="Arial" w:cs="Arial"/>
                <w:color w:val="000000"/>
                <w:sz w:val="18"/>
                <w:szCs w:val="18"/>
              </w:rPr>
              <w:t>B</w:t>
            </w:r>
          </w:p>
        </w:tc>
        <w:tc>
          <w:tcPr>
            <w:tcW w:w="0" w:type="auto"/>
            <w:tcBorders>
              <w:top w:val="single" w:sz="4" w:space="0" w:color="auto"/>
              <w:left w:val="nil"/>
              <w:bottom w:val="single" w:sz="4" w:space="0" w:color="auto"/>
              <w:right w:val="single" w:sz="4" w:space="0" w:color="auto"/>
            </w:tcBorders>
            <w:shd w:val="clear" w:color="auto" w:fill="EAF1DD"/>
            <w:tcMar>
              <w:top w:w="15" w:type="dxa"/>
              <w:left w:w="15" w:type="dxa"/>
              <w:bottom w:w="0" w:type="dxa"/>
              <w:right w:w="15" w:type="dxa"/>
            </w:tcMar>
            <w:vAlign w:val="center"/>
          </w:tcPr>
          <w:p w:rsidR="001362DC" w:rsidRPr="00B57B4D" w:rsidRDefault="001362DC" w:rsidP="00C23FBA">
            <w:pPr>
              <w:jc w:val="center"/>
              <w:rPr>
                <w:rFonts w:ascii="Arial" w:hAnsi="Arial" w:cs="Arial"/>
                <w:color w:val="000000"/>
                <w:sz w:val="18"/>
                <w:szCs w:val="18"/>
              </w:rPr>
            </w:pPr>
            <w:r w:rsidRPr="00B57B4D">
              <w:rPr>
                <w:rFonts w:ascii="Arial" w:hAnsi="Arial" w:cs="Arial"/>
                <w:color w:val="000000"/>
                <w:sz w:val="18"/>
                <w:szCs w:val="18"/>
              </w:rPr>
              <w:t>C</w:t>
            </w:r>
          </w:p>
        </w:tc>
        <w:tc>
          <w:tcPr>
            <w:tcW w:w="0" w:type="auto"/>
            <w:tcBorders>
              <w:top w:val="single" w:sz="4" w:space="0" w:color="auto"/>
              <w:left w:val="nil"/>
              <w:bottom w:val="single" w:sz="4" w:space="0" w:color="auto"/>
              <w:right w:val="single" w:sz="4" w:space="0" w:color="auto"/>
            </w:tcBorders>
            <w:shd w:val="clear" w:color="auto" w:fill="EAF1DD"/>
            <w:tcMar>
              <w:top w:w="15" w:type="dxa"/>
              <w:left w:w="15" w:type="dxa"/>
              <w:bottom w:w="0" w:type="dxa"/>
              <w:right w:w="15" w:type="dxa"/>
            </w:tcMar>
            <w:vAlign w:val="center"/>
          </w:tcPr>
          <w:p w:rsidR="001362DC" w:rsidRPr="00B57B4D" w:rsidRDefault="001362DC" w:rsidP="00C23FBA">
            <w:pPr>
              <w:jc w:val="center"/>
              <w:rPr>
                <w:rFonts w:ascii="Arial" w:hAnsi="Arial" w:cs="Arial"/>
                <w:color w:val="000000"/>
                <w:sz w:val="18"/>
                <w:szCs w:val="18"/>
              </w:rPr>
            </w:pPr>
            <w:r w:rsidRPr="00B57B4D">
              <w:rPr>
                <w:rFonts w:ascii="Arial" w:hAnsi="Arial" w:cs="Arial"/>
                <w:color w:val="000000"/>
                <w:sz w:val="18"/>
                <w:szCs w:val="18"/>
              </w:rPr>
              <w:t>D</w:t>
            </w:r>
          </w:p>
        </w:tc>
        <w:tc>
          <w:tcPr>
            <w:tcW w:w="0" w:type="auto"/>
            <w:tcBorders>
              <w:top w:val="single" w:sz="4" w:space="0" w:color="auto"/>
              <w:left w:val="nil"/>
              <w:bottom w:val="single" w:sz="4" w:space="0" w:color="auto"/>
              <w:right w:val="single" w:sz="4" w:space="0" w:color="auto"/>
            </w:tcBorders>
            <w:shd w:val="clear" w:color="auto" w:fill="EAF1DD"/>
            <w:tcMar>
              <w:top w:w="15" w:type="dxa"/>
              <w:left w:w="15" w:type="dxa"/>
              <w:bottom w:w="0" w:type="dxa"/>
              <w:right w:w="15" w:type="dxa"/>
            </w:tcMar>
            <w:vAlign w:val="center"/>
          </w:tcPr>
          <w:p w:rsidR="001362DC" w:rsidRPr="00B57B4D" w:rsidRDefault="001362DC" w:rsidP="00C23FBA">
            <w:pPr>
              <w:jc w:val="center"/>
              <w:rPr>
                <w:rFonts w:ascii="Arial" w:hAnsi="Arial" w:cs="Arial"/>
                <w:color w:val="000000"/>
                <w:sz w:val="18"/>
                <w:szCs w:val="18"/>
              </w:rPr>
            </w:pPr>
            <w:r w:rsidRPr="00B57B4D">
              <w:rPr>
                <w:rFonts w:ascii="Arial" w:hAnsi="Arial" w:cs="Arial"/>
                <w:color w:val="000000"/>
                <w:sz w:val="18"/>
                <w:szCs w:val="18"/>
              </w:rPr>
              <w:t>E</w:t>
            </w:r>
          </w:p>
        </w:tc>
        <w:tc>
          <w:tcPr>
            <w:tcW w:w="0" w:type="auto"/>
            <w:tcBorders>
              <w:top w:val="single" w:sz="4" w:space="0" w:color="auto"/>
              <w:left w:val="nil"/>
              <w:bottom w:val="single" w:sz="4" w:space="0" w:color="auto"/>
              <w:right w:val="single" w:sz="4" w:space="0" w:color="auto"/>
            </w:tcBorders>
            <w:shd w:val="clear" w:color="auto" w:fill="EAF1DD"/>
            <w:tcMar>
              <w:top w:w="15" w:type="dxa"/>
              <w:left w:w="15" w:type="dxa"/>
              <w:bottom w:w="0" w:type="dxa"/>
              <w:right w:w="15" w:type="dxa"/>
            </w:tcMar>
            <w:vAlign w:val="center"/>
          </w:tcPr>
          <w:p w:rsidR="001362DC" w:rsidRPr="00B57B4D" w:rsidRDefault="001362DC" w:rsidP="00C23FBA">
            <w:pPr>
              <w:jc w:val="center"/>
              <w:rPr>
                <w:rFonts w:ascii="Arial" w:hAnsi="Arial" w:cs="Arial"/>
                <w:color w:val="000000"/>
                <w:sz w:val="18"/>
                <w:szCs w:val="18"/>
              </w:rPr>
            </w:pPr>
            <w:r w:rsidRPr="00B57B4D">
              <w:rPr>
                <w:rFonts w:ascii="Arial" w:hAnsi="Arial" w:cs="Arial"/>
                <w:color w:val="000000"/>
                <w:sz w:val="18"/>
                <w:szCs w:val="18"/>
              </w:rPr>
              <w:t>F=E/C</w:t>
            </w:r>
          </w:p>
        </w:tc>
      </w:tr>
      <w:tr w:rsidR="001362DC" w:rsidRPr="006A2BF3" w:rsidTr="000A5C0F">
        <w:trPr>
          <w:trHeight w:val="20"/>
        </w:trPr>
        <w:tc>
          <w:tcPr>
            <w:tcW w:w="0" w:type="auto"/>
            <w:tcBorders>
              <w:top w:val="single" w:sz="4" w:space="0" w:color="auto"/>
              <w:left w:val="single" w:sz="4" w:space="0" w:color="auto"/>
              <w:bottom w:val="single" w:sz="4" w:space="0" w:color="auto"/>
              <w:right w:val="single" w:sz="4" w:space="0" w:color="auto"/>
            </w:tcBorders>
            <w:shd w:val="clear" w:color="auto" w:fill="EAF1DD"/>
            <w:tcMar>
              <w:top w:w="15" w:type="dxa"/>
              <w:left w:w="15" w:type="dxa"/>
              <w:bottom w:w="0" w:type="dxa"/>
              <w:right w:w="15" w:type="dxa"/>
            </w:tcMar>
            <w:vAlign w:val="center"/>
          </w:tcPr>
          <w:p w:rsidR="001362DC" w:rsidRPr="00B57B4D" w:rsidRDefault="001362DC" w:rsidP="00C23FBA">
            <w:pPr>
              <w:rPr>
                <w:rFonts w:ascii="Arial" w:hAnsi="Arial" w:cs="Arial"/>
                <w:color w:val="000000"/>
                <w:sz w:val="18"/>
                <w:szCs w:val="18"/>
              </w:rPr>
            </w:pPr>
            <w:r w:rsidRPr="00B57B4D">
              <w:rPr>
                <w:rFonts w:ascii="Arial" w:hAnsi="Arial" w:cs="Arial"/>
                <w:color w:val="000000"/>
                <w:sz w:val="18"/>
                <w:szCs w:val="18"/>
              </w:rPr>
              <w:t>Bratislavský</w:t>
            </w:r>
          </w:p>
        </w:tc>
        <w:tc>
          <w:tcPr>
            <w:tcW w:w="0" w:type="auto"/>
            <w:tcBorders>
              <w:top w:val="nil"/>
              <w:left w:val="nil"/>
              <w:bottom w:val="single" w:sz="4" w:space="0" w:color="auto"/>
              <w:right w:val="single" w:sz="4" w:space="0" w:color="auto"/>
            </w:tcBorders>
            <w:tcMar>
              <w:top w:w="15" w:type="dxa"/>
              <w:left w:w="15" w:type="dxa"/>
              <w:bottom w:w="0" w:type="dxa"/>
              <w:right w:w="15" w:type="dxa"/>
            </w:tcMar>
            <w:vAlign w:val="center"/>
          </w:tcPr>
          <w:p w:rsidR="001362DC" w:rsidRPr="00B57B4D" w:rsidRDefault="001362DC" w:rsidP="00C23FBA">
            <w:pPr>
              <w:jc w:val="center"/>
              <w:rPr>
                <w:rFonts w:ascii="Arial" w:hAnsi="Arial" w:cs="Arial"/>
                <w:sz w:val="18"/>
                <w:szCs w:val="18"/>
                <w:highlight w:val="yellow"/>
              </w:rPr>
            </w:pPr>
            <w:r w:rsidRPr="00B57B4D">
              <w:rPr>
                <w:rFonts w:ascii="Arial" w:hAnsi="Arial" w:cs="Arial"/>
                <w:sz w:val="18"/>
                <w:szCs w:val="18"/>
              </w:rPr>
              <w:t>24</w:t>
            </w:r>
          </w:p>
        </w:tc>
        <w:tc>
          <w:tcPr>
            <w:tcW w:w="0" w:type="auto"/>
            <w:tcBorders>
              <w:top w:val="nil"/>
              <w:left w:val="nil"/>
              <w:bottom w:val="single" w:sz="4" w:space="0" w:color="auto"/>
              <w:right w:val="single" w:sz="4" w:space="0" w:color="auto"/>
            </w:tcBorders>
            <w:tcMar>
              <w:top w:w="15" w:type="dxa"/>
              <w:left w:w="15" w:type="dxa"/>
              <w:bottom w:w="0" w:type="dxa"/>
              <w:right w:w="15" w:type="dxa"/>
            </w:tcMar>
            <w:vAlign w:val="center"/>
          </w:tcPr>
          <w:p w:rsidR="001362DC" w:rsidRPr="00B57B4D" w:rsidRDefault="001362DC" w:rsidP="00C23FBA">
            <w:pPr>
              <w:jc w:val="center"/>
              <w:rPr>
                <w:rFonts w:ascii="Arial" w:hAnsi="Arial" w:cs="Arial"/>
                <w:color w:val="000000"/>
                <w:sz w:val="18"/>
                <w:szCs w:val="18"/>
                <w:highlight w:val="yellow"/>
              </w:rPr>
            </w:pPr>
            <w:r w:rsidRPr="00B57B4D">
              <w:rPr>
                <w:rFonts w:ascii="Arial" w:hAnsi="Arial" w:cs="Arial"/>
                <w:color w:val="000000"/>
                <w:sz w:val="18"/>
                <w:szCs w:val="18"/>
              </w:rPr>
              <w:t>91 886 795</w:t>
            </w:r>
          </w:p>
        </w:tc>
        <w:tc>
          <w:tcPr>
            <w:tcW w:w="0" w:type="auto"/>
            <w:tcBorders>
              <w:top w:val="nil"/>
              <w:left w:val="nil"/>
              <w:bottom w:val="single" w:sz="4" w:space="0" w:color="auto"/>
              <w:right w:val="single" w:sz="4" w:space="0" w:color="auto"/>
            </w:tcBorders>
            <w:tcMar>
              <w:top w:w="15" w:type="dxa"/>
              <w:left w:w="15" w:type="dxa"/>
              <w:bottom w:w="0" w:type="dxa"/>
              <w:right w:w="15" w:type="dxa"/>
            </w:tcMar>
            <w:vAlign w:val="center"/>
          </w:tcPr>
          <w:p w:rsidR="001362DC" w:rsidRPr="00B57B4D" w:rsidRDefault="001362DC" w:rsidP="00C23FBA">
            <w:pPr>
              <w:jc w:val="center"/>
              <w:rPr>
                <w:rFonts w:ascii="Arial" w:hAnsi="Arial" w:cs="Arial"/>
                <w:color w:val="000000"/>
                <w:sz w:val="18"/>
                <w:szCs w:val="18"/>
                <w:highlight w:val="yellow"/>
              </w:rPr>
            </w:pPr>
            <w:r w:rsidRPr="00B57B4D">
              <w:rPr>
                <w:rFonts w:ascii="Arial" w:hAnsi="Arial" w:cs="Arial"/>
                <w:color w:val="000000"/>
                <w:sz w:val="18"/>
                <w:szCs w:val="18"/>
              </w:rPr>
              <w:t>13</w:t>
            </w:r>
          </w:p>
        </w:tc>
        <w:tc>
          <w:tcPr>
            <w:tcW w:w="0" w:type="auto"/>
            <w:tcBorders>
              <w:top w:val="nil"/>
              <w:left w:val="nil"/>
              <w:bottom w:val="single" w:sz="4" w:space="0" w:color="auto"/>
              <w:right w:val="single" w:sz="4" w:space="0" w:color="auto"/>
            </w:tcBorders>
            <w:tcMar>
              <w:top w:w="15" w:type="dxa"/>
              <w:left w:w="15" w:type="dxa"/>
              <w:bottom w:w="0" w:type="dxa"/>
              <w:right w:w="15" w:type="dxa"/>
            </w:tcMar>
            <w:vAlign w:val="center"/>
          </w:tcPr>
          <w:p w:rsidR="001362DC" w:rsidRPr="00B57B4D" w:rsidRDefault="001362DC" w:rsidP="00C23FBA">
            <w:pPr>
              <w:jc w:val="center"/>
              <w:rPr>
                <w:rFonts w:ascii="Arial" w:hAnsi="Arial" w:cs="Arial"/>
                <w:color w:val="000000"/>
                <w:sz w:val="18"/>
                <w:szCs w:val="18"/>
                <w:highlight w:val="yellow"/>
              </w:rPr>
            </w:pPr>
            <w:r w:rsidRPr="00B57B4D">
              <w:rPr>
                <w:rFonts w:ascii="Arial" w:hAnsi="Arial" w:cs="Arial"/>
                <w:color w:val="000000"/>
                <w:sz w:val="18"/>
                <w:szCs w:val="18"/>
              </w:rPr>
              <w:t>63 573 807</w:t>
            </w:r>
          </w:p>
        </w:tc>
        <w:tc>
          <w:tcPr>
            <w:tcW w:w="0" w:type="auto"/>
            <w:tcBorders>
              <w:top w:val="nil"/>
              <w:left w:val="nil"/>
              <w:bottom w:val="single" w:sz="4" w:space="0" w:color="auto"/>
              <w:right w:val="single" w:sz="4" w:space="0" w:color="auto"/>
            </w:tcBorders>
            <w:tcMar>
              <w:top w:w="15" w:type="dxa"/>
              <w:left w:w="15" w:type="dxa"/>
              <w:bottom w:w="0" w:type="dxa"/>
              <w:right w:w="15" w:type="dxa"/>
            </w:tcMar>
            <w:vAlign w:val="center"/>
          </w:tcPr>
          <w:p w:rsidR="001362DC" w:rsidRPr="00B57B4D" w:rsidRDefault="001362DC" w:rsidP="00C23FBA">
            <w:pPr>
              <w:jc w:val="center"/>
              <w:rPr>
                <w:rFonts w:ascii="Arial" w:hAnsi="Arial" w:cs="Arial"/>
                <w:color w:val="000000"/>
                <w:sz w:val="18"/>
                <w:szCs w:val="18"/>
                <w:highlight w:val="yellow"/>
              </w:rPr>
            </w:pPr>
            <w:r w:rsidRPr="00B57B4D">
              <w:rPr>
                <w:rFonts w:ascii="Arial" w:hAnsi="Arial" w:cs="Arial"/>
                <w:color w:val="000000"/>
                <w:sz w:val="18"/>
                <w:szCs w:val="18"/>
              </w:rPr>
              <w:t>69,19%</w:t>
            </w:r>
          </w:p>
        </w:tc>
      </w:tr>
      <w:tr w:rsidR="001362DC" w:rsidRPr="006A2BF3" w:rsidTr="000A5C0F">
        <w:trPr>
          <w:trHeight w:val="20"/>
        </w:trPr>
        <w:tc>
          <w:tcPr>
            <w:tcW w:w="0" w:type="auto"/>
            <w:tcBorders>
              <w:top w:val="single" w:sz="4" w:space="0" w:color="auto"/>
              <w:left w:val="single" w:sz="4" w:space="0" w:color="auto"/>
              <w:bottom w:val="single" w:sz="4" w:space="0" w:color="auto"/>
              <w:right w:val="single" w:sz="4" w:space="0" w:color="auto"/>
            </w:tcBorders>
            <w:shd w:val="clear" w:color="auto" w:fill="EAF1DD"/>
            <w:tcMar>
              <w:top w:w="15" w:type="dxa"/>
              <w:left w:w="15" w:type="dxa"/>
              <w:bottom w:w="0" w:type="dxa"/>
              <w:right w:w="15" w:type="dxa"/>
            </w:tcMar>
            <w:vAlign w:val="center"/>
          </w:tcPr>
          <w:p w:rsidR="001362DC" w:rsidRPr="00B57B4D" w:rsidRDefault="001362DC" w:rsidP="00C23FBA">
            <w:pPr>
              <w:rPr>
                <w:rFonts w:ascii="Arial" w:hAnsi="Arial" w:cs="Arial"/>
                <w:color w:val="000000"/>
                <w:sz w:val="18"/>
                <w:szCs w:val="18"/>
              </w:rPr>
            </w:pPr>
            <w:r w:rsidRPr="00B57B4D">
              <w:rPr>
                <w:rFonts w:ascii="Arial" w:hAnsi="Arial" w:cs="Arial"/>
                <w:color w:val="000000"/>
                <w:sz w:val="18"/>
                <w:szCs w:val="18"/>
              </w:rPr>
              <w:t>Trnavský</w:t>
            </w:r>
          </w:p>
        </w:tc>
        <w:tc>
          <w:tcPr>
            <w:tcW w:w="0" w:type="auto"/>
            <w:tcBorders>
              <w:top w:val="nil"/>
              <w:left w:val="nil"/>
              <w:bottom w:val="single" w:sz="4" w:space="0" w:color="auto"/>
              <w:right w:val="single" w:sz="4" w:space="0" w:color="auto"/>
            </w:tcBorders>
            <w:tcMar>
              <w:top w:w="15" w:type="dxa"/>
              <w:left w:w="15" w:type="dxa"/>
              <w:bottom w:w="0" w:type="dxa"/>
              <w:right w:w="15" w:type="dxa"/>
            </w:tcMar>
            <w:vAlign w:val="center"/>
          </w:tcPr>
          <w:p w:rsidR="001362DC" w:rsidRPr="00B57B4D" w:rsidRDefault="001362DC" w:rsidP="00C23FBA">
            <w:pPr>
              <w:jc w:val="center"/>
              <w:rPr>
                <w:rFonts w:ascii="Arial" w:hAnsi="Arial" w:cs="Arial"/>
                <w:sz w:val="18"/>
                <w:szCs w:val="18"/>
                <w:highlight w:val="yellow"/>
              </w:rPr>
            </w:pPr>
            <w:r w:rsidRPr="00B57B4D">
              <w:rPr>
                <w:rFonts w:ascii="Arial" w:hAnsi="Arial" w:cs="Arial"/>
                <w:sz w:val="18"/>
                <w:szCs w:val="18"/>
              </w:rPr>
              <w:t>61</w:t>
            </w:r>
          </w:p>
        </w:tc>
        <w:tc>
          <w:tcPr>
            <w:tcW w:w="0" w:type="auto"/>
            <w:tcBorders>
              <w:top w:val="nil"/>
              <w:left w:val="nil"/>
              <w:bottom w:val="single" w:sz="4" w:space="0" w:color="auto"/>
              <w:right w:val="single" w:sz="4" w:space="0" w:color="auto"/>
            </w:tcBorders>
            <w:tcMar>
              <w:top w:w="15" w:type="dxa"/>
              <w:left w:w="15" w:type="dxa"/>
              <w:bottom w:w="0" w:type="dxa"/>
              <w:right w:w="15" w:type="dxa"/>
            </w:tcMar>
            <w:vAlign w:val="center"/>
          </w:tcPr>
          <w:p w:rsidR="001362DC" w:rsidRPr="00B57B4D" w:rsidRDefault="001362DC" w:rsidP="00C23FBA">
            <w:pPr>
              <w:jc w:val="center"/>
              <w:rPr>
                <w:rFonts w:ascii="Arial" w:hAnsi="Arial" w:cs="Arial"/>
                <w:color w:val="000000"/>
                <w:sz w:val="18"/>
                <w:szCs w:val="18"/>
                <w:highlight w:val="yellow"/>
              </w:rPr>
            </w:pPr>
            <w:r w:rsidRPr="00B57B4D">
              <w:rPr>
                <w:rFonts w:ascii="Arial" w:hAnsi="Arial" w:cs="Arial"/>
                <w:color w:val="000000"/>
                <w:sz w:val="18"/>
                <w:szCs w:val="18"/>
              </w:rPr>
              <w:t>134 264 173</w:t>
            </w:r>
          </w:p>
        </w:tc>
        <w:tc>
          <w:tcPr>
            <w:tcW w:w="0" w:type="auto"/>
            <w:tcBorders>
              <w:top w:val="nil"/>
              <w:left w:val="nil"/>
              <w:bottom w:val="single" w:sz="4" w:space="0" w:color="auto"/>
              <w:right w:val="single" w:sz="4" w:space="0" w:color="auto"/>
            </w:tcBorders>
            <w:tcMar>
              <w:top w:w="15" w:type="dxa"/>
              <w:left w:w="15" w:type="dxa"/>
              <w:bottom w:w="0" w:type="dxa"/>
              <w:right w:w="15" w:type="dxa"/>
            </w:tcMar>
            <w:vAlign w:val="center"/>
          </w:tcPr>
          <w:p w:rsidR="001362DC" w:rsidRPr="00B57B4D" w:rsidRDefault="001362DC" w:rsidP="00C23FBA">
            <w:pPr>
              <w:jc w:val="center"/>
              <w:rPr>
                <w:rFonts w:ascii="Arial" w:hAnsi="Arial" w:cs="Arial"/>
                <w:color w:val="000000"/>
                <w:sz w:val="18"/>
                <w:szCs w:val="18"/>
                <w:highlight w:val="yellow"/>
              </w:rPr>
            </w:pPr>
            <w:r w:rsidRPr="00B57B4D">
              <w:rPr>
                <w:rFonts w:ascii="Arial" w:hAnsi="Arial" w:cs="Arial"/>
                <w:color w:val="000000"/>
                <w:sz w:val="18"/>
                <w:szCs w:val="18"/>
              </w:rPr>
              <w:t>56</w:t>
            </w:r>
          </w:p>
        </w:tc>
        <w:tc>
          <w:tcPr>
            <w:tcW w:w="0" w:type="auto"/>
            <w:tcBorders>
              <w:top w:val="nil"/>
              <w:left w:val="nil"/>
              <w:bottom w:val="single" w:sz="4" w:space="0" w:color="auto"/>
              <w:right w:val="single" w:sz="4" w:space="0" w:color="auto"/>
            </w:tcBorders>
            <w:tcMar>
              <w:top w:w="15" w:type="dxa"/>
              <w:left w:w="15" w:type="dxa"/>
              <w:bottom w:w="0" w:type="dxa"/>
              <w:right w:w="15" w:type="dxa"/>
            </w:tcMar>
            <w:vAlign w:val="center"/>
          </w:tcPr>
          <w:p w:rsidR="001362DC" w:rsidRPr="00B57B4D" w:rsidRDefault="001362DC" w:rsidP="00C23FBA">
            <w:pPr>
              <w:jc w:val="center"/>
              <w:rPr>
                <w:rFonts w:ascii="Arial" w:hAnsi="Arial" w:cs="Arial"/>
                <w:color w:val="000000"/>
                <w:sz w:val="18"/>
                <w:szCs w:val="18"/>
                <w:highlight w:val="yellow"/>
              </w:rPr>
            </w:pPr>
            <w:r w:rsidRPr="00B57B4D">
              <w:rPr>
                <w:rFonts w:ascii="Arial" w:hAnsi="Arial" w:cs="Arial"/>
                <w:color w:val="000000"/>
                <w:sz w:val="18"/>
                <w:szCs w:val="18"/>
              </w:rPr>
              <w:t>118 788 004</w:t>
            </w:r>
          </w:p>
        </w:tc>
        <w:tc>
          <w:tcPr>
            <w:tcW w:w="0" w:type="auto"/>
            <w:tcBorders>
              <w:top w:val="nil"/>
              <w:left w:val="nil"/>
              <w:bottom w:val="single" w:sz="4" w:space="0" w:color="auto"/>
              <w:right w:val="single" w:sz="4" w:space="0" w:color="auto"/>
            </w:tcBorders>
            <w:tcMar>
              <w:top w:w="15" w:type="dxa"/>
              <w:left w:w="15" w:type="dxa"/>
              <w:bottom w:w="0" w:type="dxa"/>
              <w:right w:w="15" w:type="dxa"/>
            </w:tcMar>
            <w:vAlign w:val="center"/>
          </w:tcPr>
          <w:p w:rsidR="001362DC" w:rsidRPr="00B57B4D" w:rsidRDefault="001362DC" w:rsidP="00C23FBA">
            <w:pPr>
              <w:jc w:val="center"/>
              <w:rPr>
                <w:rFonts w:ascii="Arial" w:hAnsi="Arial" w:cs="Arial"/>
                <w:color w:val="000000"/>
                <w:sz w:val="18"/>
                <w:szCs w:val="18"/>
                <w:highlight w:val="yellow"/>
              </w:rPr>
            </w:pPr>
            <w:r w:rsidRPr="00B57B4D">
              <w:rPr>
                <w:rFonts w:ascii="Arial" w:hAnsi="Arial" w:cs="Arial"/>
                <w:color w:val="000000"/>
                <w:sz w:val="18"/>
                <w:szCs w:val="18"/>
              </w:rPr>
              <w:t>88,47%</w:t>
            </w:r>
          </w:p>
        </w:tc>
      </w:tr>
      <w:tr w:rsidR="001362DC" w:rsidRPr="006A2BF3" w:rsidTr="000A5C0F">
        <w:trPr>
          <w:trHeight w:val="20"/>
        </w:trPr>
        <w:tc>
          <w:tcPr>
            <w:tcW w:w="0" w:type="auto"/>
            <w:tcBorders>
              <w:top w:val="single" w:sz="4" w:space="0" w:color="auto"/>
              <w:left w:val="single" w:sz="4" w:space="0" w:color="auto"/>
              <w:bottom w:val="single" w:sz="4" w:space="0" w:color="auto"/>
              <w:right w:val="single" w:sz="4" w:space="0" w:color="auto"/>
            </w:tcBorders>
            <w:shd w:val="clear" w:color="auto" w:fill="EAF1DD"/>
            <w:tcMar>
              <w:top w:w="15" w:type="dxa"/>
              <w:left w:w="15" w:type="dxa"/>
              <w:bottom w:w="0" w:type="dxa"/>
              <w:right w:w="15" w:type="dxa"/>
            </w:tcMar>
            <w:vAlign w:val="center"/>
          </w:tcPr>
          <w:p w:rsidR="001362DC" w:rsidRPr="00B57B4D" w:rsidRDefault="001362DC" w:rsidP="00C23FBA">
            <w:pPr>
              <w:rPr>
                <w:rFonts w:ascii="Arial" w:hAnsi="Arial" w:cs="Arial"/>
                <w:color w:val="000000"/>
                <w:sz w:val="18"/>
                <w:szCs w:val="18"/>
              </w:rPr>
            </w:pPr>
            <w:r w:rsidRPr="00B57B4D">
              <w:rPr>
                <w:rFonts w:ascii="Arial" w:hAnsi="Arial" w:cs="Arial"/>
                <w:color w:val="000000"/>
                <w:sz w:val="18"/>
                <w:szCs w:val="18"/>
              </w:rPr>
              <w:t>Trenčiansky</w:t>
            </w:r>
          </w:p>
        </w:tc>
        <w:tc>
          <w:tcPr>
            <w:tcW w:w="0" w:type="auto"/>
            <w:tcBorders>
              <w:top w:val="nil"/>
              <w:left w:val="nil"/>
              <w:bottom w:val="single" w:sz="4" w:space="0" w:color="auto"/>
              <w:right w:val="single" w:sz="4" w:space="0" w:color="auto"/>
            </w:tcBorders>
            <w:tcMar>
              <w:top w:w="15" w:type="dxa"/>
              <w:left w:w="15" w:type="dxa"/>
              <w:bottom w:w="0" w:type="dxa"/>
              <w:right w:w="15" w:type="dxa"/>
            </w:tcMar>
            <w:vAlign w:val="center"/>
          </w:tcPr>
          <w:p w:rsidR="001362DC" w:rsidRPr="00B57B4D" w:rsidRDefault="001362DC" w:rsidP="00C23FBA">
            <w:pPr>
              <w:jc w:val="center"/>
              <w:rPr>
                <w:rFonts w:ascii="Arial" w:hAnsi="Arial" w:cs="Arial"/>
                <w:sz w:val="18"/>
                <w:szCs w:val="18"/>
                <w:highlight w:val="yellow"/>
              </w:rPr>
            </w:pPr>
            <w:r w:rsidRPr="00B57B4D">
              <w:rPr>
                <w:rFonts w:ascii="Arial" w:hAnsi="Arial" w:cs="Arial"/>
                <w:sz w:val="18"/>
                <w:szCs w:val="18"/>
              </w:rPr>
              <w:t>58</w:t>
            </w:r>
          </w:p>
        </w:tc>
        <w:tc>
          <w:tcPr>
            <w:tcW w:w="0" w:type="auto"/>
            <w:tcBorders>
              <w:top w:val="nil"/>
              <w:left w:val="nil"/>
              <w:bottom w:val="single" w:sz="4" w:space="0" w:color="auto"/>
              <w:right w:val="single" w:sz="4" w:space="0" w:color="auto"/>
            </w:tcBorders>
            <w:tcMar>
              <w:top w:w="15" w:type="dxa"/>
              <w:left w:w="15" w:type="dxa"/>
              <w:bottom w:w="0" w:type="dxa"/>
              <w:right w:w="15" w:type="dxa"/>
            </w:tcMar>
            <w:vAlign w:val="center"/>
          </w:tcPr>
          <w:p w:rsidR="001362DC" w:rsidRPr="00B57B4D" w:rsidRDefault="001362DC" w:rsidP="00C23FBA">
            <w:pPr>
              <w:jc w:val="center"/>
              <w:rPr>
                <w:rFonts w:ascii="Arial" w:hAnsi="Arial" w:cs="Arial"/>
                <w:color w:val="000000"/>
                <w:sz w:val="18"/>
                <w:szCs w:val="18"/>
                <w:highlight w:val="yellow"/>
              </w:rPr>
            </w:pPr>
            <w:r w:rsidRPr="00B57B4D">
              <w:rPr>
                <w:rFonts w:ascii="Arial" w:hAnsi="Arial" w:cs="Arial"/>
                <w:color w:val="000000"/>
                <w:sz w:val="18"/>
                <w:szCs w:val="18"/>
              </w:rPr>
              <w:t>158 781 106</w:t>
            </w:r>
          </w:p>
        </w:tc>
        <w:tc>
          <w:tcPr>
            <w:tcW w:w="0" w:type="auto"/>
            <w:tcBorders>
              <w:top w:val="nil"/>
              <w:left w:val="nil"/>
              <w:bottom w:val="single" w:sz="4" w:space="0" w:color="auto"/>
              <w:right w:val="single" w:sz="4" w:space="0" w:color="auto"/>
            </w:tcBorders>
            <w:tcMar>
              <w:top w:w="15" w:type="dxa"/>
              <w:left w:w="15" w:type="dxa"/>
              <w:bottom w:w="0" w:type="dxa"/>
              <w:right w:w="15" w:type="dxa"/>
            </w:tcMar>
            <w:vAlign w:val="center"/>
          </w:tcPr>
          <w:p w:rsidR="001362DC" w:rsidRPr="00B57B4D" w:rsidRDefault="001362DC" w:rsidP="00C23FBA">
            <w:pPr>
              <w:jc w:val="center"/>
              <w:rPr>
                <w:rFonts w:ascii="Arial" w:hAnsi="Arial" w:cs="Arial"/>
                <w:color w:val="000000"/>
                <w:sz w:val="18"/>
                <w:szCs w:val="18"/>
                <w:highlight w:val="yellow"/>
              </w:rPr>
            </w:pPr>
            <w:r w:rsidRPr="00B57B4D">
              <w:rPr>
                <w:rFonts w:ascii="Arial" w:hAnsi="Arial" w:cs="Arial"/>
                <w:color w:val="000000"/>
                <w:sz w:val="18"/>
                <w:szCs w:val="18"/>
              </w:rPr>
              <w:t>57</w:t>
            </w:r>
          </w:p>
        </w:tc>
        <w:tc>
          <w:tcPr>
            <w:tcW w:w="0" w:type="auto"/>
            <w:tcBorders>
              <w:top w:val="nil"/>
              <w:left w:val="nil"/>
              <w:bottom w:val="single" w:sz="4" w:space="0" w:color="auto"/>
              <w:right w:val="single" w:sz="4" w:space="0" w:color="auto"/>
            </w:tcBorders>
            <w:tcMar>
              <w:top w:w="15" w:type="dxa"/>
              <w:left w:w="15" w:type="dxa"/>
              <w:bottom w:w="0" w:type="dxa"/>
              <w:right w:w="15" w:type="dxa"/>
            </w:tcMar>
            <w:vAlign w:val="center"/>
          </w:tcPr>
          <w:p w:rsidR="001362DC" w:rsidRPr="00B57B4D" w:rsidRDefault="001362DC" w:rsidP="00C23FBA">
            <w:pPr>
              <w:jc w:val="center"/>
              <w:rPr>
                <w:rFonts w:ascii="Arial" w:hAnsi="Arial" w:cs="Arial"/>
                <w:color w:val="000000"/>
                <w:sz w:val="18"/>
                <w:szCs w:val="18"/>
                <w:highlight w:val="yellow"/>
              </w:rPr>
            </w:pPr>
            <w:r w:rsidRPr="00B57B4D">
              <w:rPr>
                <w:rFonts w:ascii="Arial" w:hAnsi="Arial" w:cs="Arial"/>
                <w:color w:val="000000"/>
                <w:sz w:val="18"/>
                <w:szCs w:val="18"/>
              </w:rPr>
              <w:t>155 270 000</w:t>
            </w:r>
          </w:p>
        </w:tc>
        <w:tc>
          <w:tcPr>
            <w:tcW w:w="0" w:type="auto"/>
            <w:tcBorders>
              <w:top w:val="nil"/>
              <w:left w:val="nil"/>
              <w:bottom w:val="single" w:sz="4" w:space="0" w:color="auto"/>
              <w:right w:val="single" w:sz="4" w:space="0" w:color="auto"/>
            </w:tcBorders>
            <w:tcMar>
              <w:top w:w="15" w:type="dxa"/>
              <w:left w:w="15" w:type="dxa"/>
              <w:bottom w:w="0" w:type="dxa"/>
              <w:right w:w="15" w:type="dxa"/>
            </w:tcMar>
            <w:vAlign w:val="center"/>
          </w:tcPr>
          <w:p w:rsidR="001362DC" w:rsidRPr="00B57B4D" w:rsidRDefault="001362DC" w:rsidP="00C23FBA">
            <w:pPr>
              <w:jc w:val="center"/>
              <w:rPr>
                <w:rFonts w:ascii="Arial" w:hAnsi="Arial" w:cs="Arial"/>
                <w:color w:val="000000"/>
                <w:sz w:val="18"/>
                <w:szCs w:val="18"/>
                <w:highlight w:val="yellow"/>
              </w:rPr>
            </w:pPr>
            <w:r w:rsidRPr="00B57B4D">
              <w:rPr>
                <w:rFonts w:ascii="Arial" w:hAnsi="Arial" w:cs="Arial"/>
                <w:color w:val="000000"/>
                <w:sz w:val="18"/>
                <w:szCs w:val="18"/>
              </w:rPr>
              <w:t>97,79%</w:t>
            </w:r>
          </w:p>
        </w:tc>
      </w:tr>
      <w:tr w:rsidR="001362DC" w:rsidRPr="006A2BF3" w:rsidTr="000A5C0F">
        <w:trPr>
          <w:trHeight w:val="20"/>
        </w:trPr>
        <w:tc>
          <w:tcPr>
            <w:tcW w:w="0" w:type="auto"/>
            <w:tcBorders>
              <w:top w:val="single" w:sz="4" w:space="0" w:color="auto"/>
              <w:left w:val="single" w:sz="4" w:space="0" w:color="auto"/>
              <w:bottom w:val="single" w:sz="4" w:space="0" w:color="auto"/>
              <w:right w:val="single" w:sz="4" w:space="0" w:color="auto"/>
            </w:tcBorders>
            <w:shd w:val="clear" w:color="auto" w:fill="EAF1DD"/>
            <w:tcMar>
              <w:top w:w="15" w:type="dxa"/>
              <w:left w:w="15" w:type="dxa"/>
              <w:bottom w:w="0" w:type="dxa"/>
              <w:right w:w="15" w:type="dxa"/>
            </w:tcMar>
            <w:vAlign w:val="center"/>
          </w:tcPr>
          <w:p w:rsidR="001362DC" w:rsidRPr="00B57B4D" w:rsidRDefault="001362DC" w:rsidP="00C23FBA">
            <w:pPr>
              <w:rPr>
                <w:rFonts w:ascii="Arial" w:hAnsi="Arial" w:cs="Arial"/>
                <w:color w:val="000000"/>
                <w:sz w:val="18"/>
                <w:szCs w:val="18"/>
              </w:rPr>
            </w:pPr>
            <w:r w:rsidRPr="00B57B4D">
              <w:rPr>
                <w:rFonts w:ascii="Arial" w:hAnsi="Arial" w:cs="Arial"/>
                <w:color w:val="000000"/>
                <w:sz w:val="18"/>
                <w:szCs w:val="18"/>
              </w:rPr>
              <w:t>Nitriansky</w:t>
            </w:r>
          </w:p>
        </w:tc>
        <w:tc>
          <w:tcPr>
            <w:tcW w:w="0" w:type="auto"/>
            <w:tcBorders>
              <w:top w:val="nil"/>
              <w:left w:val="nil"/>
              <w:bottom w:val="single" w:sz="4" w:space="0" w:color="auto"/>
              <w:right w:val="single" w:sz="4" w:space="0" w:color="auto"/>
            </w:tcBorders>
            <w:tcMar>
              <w:top w:w="15" w:type="dxa"/>
              <w:left w:w="15" w:type="dxa"/>
              <w:bottom w:w="0" w:type="dxa"/>
              <w:right w:w="15" w:type="dxa"/>
            </w:tcMar>
            <w:vAlign w:val="center"/>
          </w:tcPr>
          <w:p w:rsidR="001362DC" w:rsidRPr="00B57B4D" w:rsidRDefault="001362DC" w:rsidP="00C23FBA">
            <w:pPr>
              <w:jc w:val="center"/>
              <w:rPr>
                <w:rFonts w:ascii="Arial" w:hAnsi="Arial" w:cs="Arial"/>
                <w:sz w:val="18"/>
                <w:szCs w:val="18"/>
                <w:highlight w:val="yellow"/>
              </w:rPr>
            </w:pPr>
            <w:r w:rsidRPr="00B57B4D">
              <w:rPr>
                <w:rFonts w:ascii="Arial" w:hAnsi="Arial" w:cs="Arial"/>
                <w:sz w:val="18"/>
                <w:szCs w:val="18"/>
              </w:rPr>
              <w:t>58</w:t>
            </w:r>
          </w:p>
        </w:tc>
        <w:tc>
          <w:tcPr>
            <w:tcW w:w="0" w:type="auto"/>
            <w:tcBorders>
              <w:top w:val="nil"/>
              <w:left w:val="nil"/>
              <w:bottom w:val="single" w:sz="4" w:space="0" w:color="auto"/>
              <w:right w:val="single" w:sz="4" w:space="0" w:color="auto"/>
            </w:tcBorders>
            <w:tcMar>
              <w:top w:w="15" w:type="dxa"/>
              <w:left w:w="15" w:type="dxa"/>
              <w:bottom w:w="0" w:type="dxa"/>
              <w:right w:w="15" w:type="dxa"/>
            </w:tcMar>
            <w:vAlign w:val="center"/>
          </w:tcPr>
          <w:p w:rsidR="001362DC" w:rsidRPr="00B57B4D" w:rsidRDefault="001362DC" w:rsidP="00C23FBA">
            <w:pPr>
              <w:jc w:val="center"/>
              <w:rPr>
                <w:rFonts w:ascii="Arial" w:hAnsi="Arial" w:cs="Arial"/>
                <w:color w:val="000000"/>
                <w:sz w:val="18"/>
                <w:szCs w:val="18"/>
                <w:highlight w:val="yellow"/>
              </w:rPr>
            </w:pPr>
            <w:r w:rsidRPr="00B57B4D">
              <w:rPr>
                <w:rFonts w:ascii="Arial" w:hAnsi="Arial" w:cs="Arial"/>
                <w:color w:val="000000"/>
                <w:sz w:val="18"/>
                <w:szCs w:val="18"/>
              </w:rPr>
              <w:t>135 965 100</w:t>
            </w:r>
          </w:p>
        </w:tc>
        <w:tc>
          <w:tcPr>
            <w:tcW w:w="0" w:type="auto"/>
            <w:tcBorders>
              <w:top w:val="nil"/>
              <w:left w:val="nil"/>
              <w:bottom w:val="single" w:sz="4" w:space="0" w:color="auto"/>
              <w:right w:val="single" w:sz="4" w:space="0" w:color="auto"/>
            </w:tcBorders>
            <w:tcMar>
              <w:top w:w="15" w:type="dxa"/>
              <w:left w:w="15" w:type="dxa"/>
              <w:bottom w:w="0" w:type="dxa"/>
              <w:right w:w="15" w:type="dxa"/>
            </w:tcMar>
            <w:vAlign w:val="center"/>
          </w:tcPr>
          <w:p w:rsidR="001362DC" w:rsidRPr="00B57B4D" w:rsidRDefault="001362DC" w:rsidP="00C23FBA">
            <w:pPr>
              <w:jc w:val="center"/>
              <w:rPr>
                <w:rFonts w:ascii="Arial" w:hAnsi="Arial" w:cs="Arial"/>
                <w:color w:val="000000"/>
                <w:sz w:val="18"/>
                <w:szCs w:val="18"/>
                <w:highlight w:val="yellow"/>
              </w:rPr>
            </w:pPr>
            <w:r w:rsidRPr="00B57B4D">
              <w:rPr>
                <w:rFonts w:ascii="Arial" w:hAnsi="Arial" w:cs="Arial"/>
                <w:color w:val="000000"/>
                <w:sz w:val="18"/>
                <w:szCs w:val="18"/>
              </w:rPr>
              <w:t>56</w:t>
            </w:r>
          </w:p>
        </w:tc>
        <w:tc>
          <w:tcPr>
            <w:tcW w:w="0" w:type="auto"/>
            <w:tcBorders>
              <w:top w:val="nil"/>
              <w:left w:val="nil"/>
              <w:bottom w:val="single" w:sz="4" w:space="0" w:color="auto"/>
              <w:right w:val="single" w:sz="4" w:space="0" w:color="auto"/>
            </w:tcBorders>
            <w:tcMar>
              <w:top w:w="15" w:type="dxa"/>
              <w:left w:w="15" w:type="dxa"/>
              <w:bottom w:w="0" w:type="dxa"/>
              <w:right w:w="15" w:type="dxa"/>
            </w:tcMar>
            <w:vAlign w:val="center"/>
          </w:tcPr>
          <w:p w:rsidR="001362DC" w:rsidRPr="00B57B4D" w:rsidRDefault="001362DC" w:rsidP="00C23FBA">
            <w:pPr>
              <w:jc w:val="center"/>
              <w:rPr>
                <w:rFonts w:ascii="Arial" w:hAnsi="Arial" w:cs="Arial"/>
                <w:color w:val="000000"/>
                <w:sz w:val="18"/>
                <w:szCs w:val="18"/>
                <w:highlight w:val="yellow"/>
              </w:rPr>
            </w:pPr>
            <w:r w:rsidRPr="00B57B4D">
              <w:rPr>
                <w:rFonts w:ascii="Arial" w:hAnsi="Arial" w:cs="Arial"/>
                <w:color w:val="000000"/>
                <w:sz w:val="18"/>
                <w:szCs w:val="18"/>
              </w:rPr>
              <w:t>109 869 499</w:t>
            </w:r>
          </w:p>
        </w:tc>
        <w:tc>
          <w:tcPr>
            <w:tcW w:w="0" w:type="auto"/>
            <w:tcBorders>
              <w:top w:val="nil"/>
              <w:left w:val="nil"/>
              <w:bottom w:val="single" w:sz="4" w:space="0" w:color="auto"/>
              <w:right w:val="single" w:sz="4" w:space="0" w:color="auto"/>
            </w:tcBorders>
            <w:tcMar>
              <w:top w:w="15" w:type="dxa"/>
              <w:left w:w="15" w:type="dxa"/>
              <w:bottom w:w="0" w:type="dxa"/>
              <w:right w:w="15" w:type="dxa"/>
            </w:tcMar>
            <w:vAlign w:val="center"/>
          </w:tcPr>
          <w:p w:rsidR="001362DC" w:rsidRPr="00B57B4D" w:rsidRDefault="001362DC" w:rsidP="00C23FBA">
            <w:pPr>
              <w:jc w:val="center"/>
              <w:rPr>
                <w:rFonts w:ascii="Arial" w:hAnsi="Arial" w:cs="Arial"/>
                <w:color w:val="000000"/>
                <w:sz w:val="18"/>
                <w:szCs w:val="18"/>
                <w:highlight w:val="yellow"/>
              </w:rPr>
            </w:pPr>
            <w:r w:rsidRPr="00B57B4D">
              <w:rPr>
                <w:rFonts w:ascii="Arial" w:hAnsi="Arial" w:cs="Arial"/>
                <w:color w:val="000000"/>
                <w:sz w:val="18"/>
                <w:szCs w:val="18"/>
              </w:rPr>
              <w:t>80,81%</w:t>
            </w:r>
          </w:p>
        </w:tc>
      </w:tr>
      <w:tr w:rsidR="001362DC" w:rsidRPr="006A2BF3" w:rsidTr="000A5C0F">
        <w:trPr>
          <w:trHeight w:val="20"/>
        </w:trPr>
        <w:tc>
          <w:tcPr>
            <w:tcW w:w="0" w:type="auto"/>
            <w:tcBorders>
              <w:top w:val="single" w:sz="4" w:space="0" w:color="auto"/>
              <w:left w:val="single" w:sz="4" w:space="0" w:color="auto"/>
              <w:bottom w:val="single" w:sz="4" w:space="0" w:color="auto"/>
              <w:right w:val="single" w:sz="4" w:space="0" w:color="auto"/>
            </w:tcBorders>
            <w:shd w:val="clear" w:color="auto" w:fill="EAF1DD"/>
            <w:tcMar>
              <w:top w:w="15" w:type="dxa"/>
              <w:left w:w="15" w:type="dxa"/>
              <w:bottom w:w="0" w:type="dxa"/>
              <w:right w:w="15" w:type="dxa"/>
            </w:tcMar>
            <w:vAlign w:val="center"/>
          </w:tcPr>
          <w:p w:rsidR="001362DC" w:rsidRPr="00B57B4D" w:rsidRDefault="001362DC" w:rsidP="00C23FBA">
            <w:pPr>
              <w:rPr>
                <w:rFonts w:ascii="Arial" w:hAnsi="Arial" w:cs="Arial"/>
                <w:color w:val="000000"/>
                <w:sz w:val="18"/>
                <w:szCs w:val="18"/>
              </w:rPr>
            </w:pPr>
            <w:r w:rsidRPr="00B57B4D">
              <w:rPr>
                <w:rFonts w:ascii="Arial" w:hAnsi="Arial" w:cs="Arial"/>
                <w:color w:val="000000"/>
                <w:sz w:val="18"/>
                <w:szCs w:val="18"/>
              </w:rPr>
              <w:t>Žilinský</w:t>
            </w:r>
          </w:p>
        </w:tc>
        <w:tc>
          <w:tcPr>
            <w:tcW w:w="0" w:type="auto"/>
            <w:tcBorders>
              <w:top w:val="nil"/>
              <w:left w:val="nil"/>
              <w:bottom w:val="single" w:sz="4" w:space="0" w:color="auto"/>
              <w:right w:val="single" w:sz="4" w:space="0" w:color="auto"/>
            </w:tcBorders>
            <w:tcMar>
              <w:top w:w="15" w:type="dxa"/>
              <w:left w:w="15" w:type="dxa"/>
              <w:bottom w:w="0" w:type="dxa"/>
              <w:right w:w="15" w:type="dxa"/>
            </w:tcMar>
            <w:vAlign w:val="center"/>
          </w:tcPr>
          <w:p w:rsidR="001362DC" w:rsidRPr="00B57B4D" w:rsidRDefault="001362DC" w:rsidP="00C23FBA">
            <w:pPr>
              <w:jc w:val="center"/>
              <w:rPr>
                <w:rFonts w:ascii="Arial" w:hAnsi="Arial" w:cs="Arial"/>
                <w:sz w:val="18"/>
                <w:szCs w:val="18"/>
                <w:highlight w:val="yellow"/>
              </w:rPr>
            </w:pPr>
            <w:r w:rsidRPr="00B57B4D">
              <w:rPr>
                <w:rFonts w:ascii="Arial" w:hAnsi="Arial" w:cs="Arial"/>
                <w:sz w:val="18"/>
                <w:szCs w:val="18"/>
              </w:rPr>
              <w:t>91</w:t>
            </w:r>
          </w:p>
        </w:tc>
        <w:tc>
          <w:tcPr>
            <w:tcW w:w="0" w:type="auto"/>
            <w:tcBorders>
              <w:top w:val="nil"/>
              <w:left w:val="nil"/>
              <w:bottom w:val="single" w:sz="4" w:space="0" w:color="auto"/>
              <w:right w:val="single" w:sz="4" w:space="0" w:color="auto"/>
            </w:tcBorders>
            <w:tcMar>
              <w:top w:w="15" w:type="dxa"/>
              <w:left w:w="15" w:type="dxa"/>
              <w:bottom w:w="0" w:type="dxa"/>
              <w:right w:w="15" w:type="dxa"/>
            </w:tcMar>
            <w:vAlign w:val="center"/>
          </w:tcPr>
          <w:p w:rsidR="001362DC" w:rsidRPr="00B57B4D" w:rsidRDefault="001362DC" w:rsidP="00C23FBA">
            <w:pPr>
              <w:jc w:val="center"/>
              <w:rPr>
                <w:rFonts w:ascii="Arial" w:hAnsi="Arial" w:cs="Arial"/>
                <w:color w:val="000000"/>
                <w:sz w:val="18"/>
                <w:szCs w:val="18"/>
                <w:highlight w:val="yellow"/>
              </w:rPr>
            </w:pPr>
            <w:r w:rsidRPr="00B57B4D">
              <w:rPr>
                <w:rFonts w:ascii="Arial" w:hAnsi="Arial" w:cs="Arial"/>
                <w:color w:val="000000"/>
                <w:sz w:val="18"/>
                <w:szCs w:val="18"/>
              </w:rPr>
              <w:t>210 772 262</w:t>
            </w:r>
          </w:p>
        </w:tc>
        <w:tc>
          <w:tcPr>
            <w:tcW w:w="0" w:type="auto"/>
            <w:tcBorders>
              <w:top w:val="nil"/>
              <w:left w:val="nil"/>
              <w:bottom w:val="single" w:sz="4" w:space="0" w:color="auto"/>
              <w:right w:val="single" w:sz="4" w:space="0" w:color="auto"/>
            </w:tcBorders>
            <w:tcMar>
              <w:top w:w="15" w:type="dxa"/>
              <w:left w:w="15" w:type="dxa"/>
              <w:bottom w:w="0" w:type="dxa"/>
              <w:right w:w="15" w:type="dxa"/>
            </w:tcMar>
            <w:vAlign w:val="center"/>
          </w:tcPr>
          <w:p w:rsidR="001362DC" w:rsidRPr="00B57B4D" w:rsidRDefault="001362DC" w:rsidP="00C23FBA">
            <w:pPr>
              <w:jc w:val="center"/>
              <w:rPr>
                <w:rFonts w:ascii="Arial" w:hAnsi="Arial" w:cs="Arial"/>
                <w:color w:val="000000"/>
                <w:sz w:val="18"/>
                <w:szCs w:val="18"/>
                <w:highlight w:val="yellow"/>
              </w:rPr>
            </w:pPr>
            <w:r w:rsidRPr="00B57B4D">
              <w:rPr>
                <w:rFonts w:ascii="Arial" w:hAnsi="Arial" w:cs="Arial"/>
                <w:color w:val="000000"/>
                <w:sz w:val="18"/>
                <w:szCs w:val="18"/>
              </w:rPr>
              <w:t>84</w:t>
            </w:r>
          </w:p>
        </w:tc>
        <w:tc>
          <w:tcPr>
            <w:tcW w:w="0" w:type="auto"/>
            <w:tcBorders>
              <w:top w:val="nil"/>
              <w:left w:val="nil"/>
              <w:bottom w:val="single" w:sz="4" w:space="0" w:color="auto"/>
              <w:right w:val="single" w:sz="4" w:space="0" w:color="auto"/>
            </w:tcBorders>
            <w:tcMar>
              <w:top w:w="15" w:type="dxa"/>
              <w:left w:w="15" w:type="dxa"/>
              <w:bottom w:w="0" w:type="dxa"/>
              <w:right w:w="15" w:type="dxa"/>
            </w:tcMar>
            <w:vAlign w:val="center"/>
          </w:tcPr>
          <w:p w:rsidR="001362DC" w:rsidRPr="00B57B4D" w:rsidRDefault="001362DC" w:rsidP="00C23FBA">
            <w:pPr>
              <w:jc w:val="center"/>
              <w:rPr>
                <w:rFonts w:ascii="Arial" w:hAnsi="Arial" w:cs="Arial"/>
                <w:color w:val="000000"/>
                <w:sz w:val="18"/>
                <w:szCs w:val="18"/>
                <w:highlight w:val="yellow"/>
              </w:rPr>
            </w:pPr>
            <w:r w:rsidRPr="00B57B4D">
              <w:rPr>
                <w:rFonts w:ascii="Arial" w:hAnsi="Arial" w:cs="Arial"/>
                <w:color w:val="000000"/>
                <w:sz w:val="18"/>
                <w:szCs w:val="18"/>
              </w:rPr>
              <w:t>161 488 156</w:t>
            </w:r>
          </w:p>
        </w:tc>
        <w:tc>
          <w:tcPr>
            <w:tcW w:w="0" w:type="auto"/>
            <w:tcBorders>
              <w:top w:val="nil"/>
              <w:left w:val="nil"/>
              <w:bottom w:val="single" w:sz="4" w:space="0" w:color="auto"/>
              <w:right w:val="single" w:sz="4" w:space="0" w:color="auto"/>
            </w:tcBorders>
            <w:tcMar>
              <w:top w:w="15" w:type="dxa"/>
              <w:left w:w="15" w:type="dxa"/>
              <w:bottom w:w="0" w:type="dxa"/>
              <w:right w:w="15" w:type="dxa"/>
            </w:tcMar>
            <w:vAlign w:val="center"/>
          </w:tcPr>
          <w:p w:rsidR="001362DC" w:rsidRPr="00B57B4D" w:rsidRDefault="001362DC" w:rsidP="00C23FBA">
            <w:pPr>
              <w:jc w:val="center"/>
              <w:rPr>
                <w:rFonts w:ascii="Arial" w:hAnsi="Arial" w:cs="Arial"/>
                <w:color w:val="000000"/>
                <w:sz w:val="18"/>
                <w:szCs w:val="18"/>
                <w:highlight w:val="yellow"/>
              </w:rPr>
            </w:pPr>
            <w:r w:rsidRPr="00B57B4D">
              <w:rPr>
                <w:rFonts w:ascii="Arial" w:hAnsi="Arial" w:cs="Arial"/>
                <w:color w:val="000000"/>
                <w:sz w:val="18"/>
                <w:szCs w:val="18"/>
              </w:rPr>
              <w:t>76,62%</w:t>
            </w:r>
          </w:p>
        </w:tc>
      </w:tr>
      <w:tr w:rsidR="001362DC" w:rsidRPr="006A2BF3" w:rsidTr="000A5C0F">
        <w:trPr>
          <w:trHeight w:val="20"/>
        </w:trPr>
        <w:tc>
          <w:tcPr>
            <w:tcW w:w="0" w:type="auto"/>
            <w:tcBorders>
              <w:top w:val="single" w:sz="4" w:space="0" w:color="auto"/>
              <w:left w:val="single" w:sz="4" w:space="0" w:color="auto"/>
              <w:bottom w:val="single" w:sz="4" w:space="0" w:color="auto"/>
              <w:right w:val="single" w:sz="4" w:space="0" w:color="auto"/>
            </w:tcBorders>
            <w:shd w:val="clear" w:color="auto" w:fill="EAF1DD"/>
            <w:tcMar>
              <w:top w:w="15" w:type="dxa"/>
              <w:left w:w="15" w:type="dxa"/>
              <w:bottom w:w="0" w:type="dxa"/>
              <w:right w:w="15" w:type="dxa"/>
            </w:tcMar>
            <w:vAlign w:val="center"/>
          </w:tcPr>
          <w:p w:rsidR="001362DC" w:rsidRPr="00B57B4D" w:rsidRDefault="001362DC" w:rsidP="00C23FBA">
            <w:pPr>
              <w:rPr>
                <w:rFonts w:ascii="Arial" w:hAnsi="Arial" w:cs="Arial"/>
                <w:color w:val="000000"/>
                <w:sz w:val="18"/>
                <w:szCs w:val="18"/>
              </w:rPr>
            </w:pPr>
            <w:r w:rsidRPr="00B57B4D">
              <w:rPr>
                <w:rFonts w:ascii="Arial" w:hAnsi="Arial" w:cs="Arial"/>
                <w:color w:val="000000"/>
                <w:sz w:val="18"/>
                <w:szCs w:val="18"/>
              </w:rPr>
              <w:t>Banskobystrický</w:t>
            </w:r>
          </w:p>
        </w:tc>
        <w:tc>
          <w:tcPr>
            <w:tcW w:w="0" w:type="auto"/>
            <w:tcBorders>
              <w:top w:val="nil"/>
              <w:left w:val="nil"/>
              <w:bottom w:val="single" w:sz="4" w:space="0" w:color="auto"/>
              <w:right w:val="single" w:sz="4" w:space="0" w:color="auto"/>
            </w:tcBorders>
            <w:tcMar>
              <w:top w:w="15" w:type="dxa"/>
              <w:left w:w="15" w:type="dxa"/>
              <w:bottom w:w="0" w:type="dxa"/>
              <w:right w:w="15" w:type="dxa"/>
            </w:tcMar>
            <w:vAlign w:val="center"/>
          </w:tcPr>
          <w:p w:rsidR="001362DC" w:rsidRPr="00B57B4D" w:rsidRDefault="001362DC" w:rsidP="00C23FBA">
            <w:pPr>
              <w:jc w:val="center"/>
              <w:rPr>
                <w:rFonts w:ascii="Arial" w:hAnsi="Arial" w:cs="Arial"/>
                <w:sz w:val="18"/>
                <w:szCs w:val="18"/>
                <w:highlight w:val="yellow"/>
              </w:rPr>
            </w:pPr>
            <w:r w:rsidRPr="00B57B4D">
              <w:rPr>
                <w:rFonts w:ascii="Arial" w:hAnsi="Arial" w:cs="Arial"/>
                <w:sz w:val="18"/>
                <w:szCs w:val="18"/>
              </w:rPr>
              <w:t>77</w:t>
            </w:r>
          </w:p>
        </w:tc>
        <w:tc>
          <w:tcPr>
            <w:tcW w:w="0" w:type="auto"/>
            <w:tcBorders>
              <w:top w:val="nil"/>
              <w:left w:val="nil"/>
              <w:bottom w:val="single" w:sz="4" w:space="0" w:color="auto"/>
              <w:right w:val="single" w:sz="4" w:space="0" w:color="auto"/>
            </w:tcBorders>
            <w:tcMar>
              <w:top w:w="15" w:type="dxa"/>
              <w:left w:w="15" w:type="dxa"/>
              <w:bottom w:w="0" w:type="dxa"/>
              <w:right w:w="15" w:type="dxa"/>
            </w:tcMar>
            <w:vAlign w:val="center"/>
          </w:tcPr>
          <w:p w:rsidR="001362DC" w:rsidRPr="00B57B4D" w:rsidRDefault="001362DC" w:rsidP="00C23FBA">
            <w:pPr>
              <w:jc w:val="center"/>
              <w:rPr>
                <w:rFonts w:ascii="Arial" w:hAnsi="Arial" w:cs="Arial"/>
                <w:color w:val="000000"/>
                <w:sz w:val="18"/>
                <w:szCs w:val="18"/>
                <w:highlight w:val="yellow"/>
              </w:rPr>
            </w:pPr>
            <w:r w:rsidRPr="00B57B4D">
              <w:rPr>
                <w:rFonts w:ascii="Arial" w:hAnsi="Arial" w:cs="Arial"/>
                <w:color w:val="000000"/>
                <w:sz w:val="18"/>
                <w:szCs w:val="18"/>
              </w:rPr>
              <w:t>173 017 188</w:t>
            </w:r>
          </w:p>
        </w:tc>
        <w:tc>
          <w:tcPr>
            <w:tcW w:w="0" w:type="auto"/>
            <w:tcBorders>
              <w:top w:val="nil"/>
              <w:left w:val="nil"/>
              <w:bottom w:val="single" w:sz="4" w:space="0" w:color="auto"/>
              <w:right w:val="single" w:sz="4" w:space="0" w:color="auto"/>
            </w:tcBorders>
            <w:tcMar>
              <w:top w:w="15" w:type="dxa"/>
              <w:left w:w="15" w:type="dxa"/>
              <w:bottom w:w="0" w:type="dxa"/>
              <w:right w:w="15" w:type="dxa"/>
            </w:tcMar>
            <w:vAlign w:val="center"/>
          </w:tcPr>
          <w:p w:rsidR="001362DC" w:rsidRPr="00B57B4D" w:rsidRDefault="001362DC" w:rsidP="00C23FBA">
            <w:pPr>
              <w:jc w:val="center"/>
              <w:rPr>
                <w:rFonts w:ascii="Arial" w:hAnsi="Arial" w:cs="Arial"/>
                <w:color w:val="000000"/>
                <w:sz w:val="18"/>
                <w:szCs w:val="18"/>
                <w:highlight w:val="yellow"/>
              </w:rPr>
            </w:pPr>
            <w:r w:rsidRPr="00B57B4D">
              <w:rPr>
                <w:rFonts w:ascii="Arial" w:hAnsi="Arial" w:cs="Arial"/>
                <w:color w:val="000000"/>
                <w:sz w:val="18"/>
                <w:szCs w:val="18"/>
              </w:rPr>
              <w:t>63</w:t>
            </w:r>
          </w:p>
        </w:tc>
        <w:tc>
          <w:tcPr>
            <w:tcW w:w="0" w:type="auto"/>
            <w:tcBorders>
              <w:top w:val="nil"/>
              <w:left w:val="nil"/>
              <w:bottom w:val="single" w:sz="4" w:space="0" w:color="auto"/>
              <w:right w:val="single" w:sz="4" w:space="0" w:color="auto"/>
            </w:tcBorders>
            <w:tcMar>
              <w:top w:w="15" w:type="dxa"/>
              <w:left w:w="15" w:type="dxa"/>
              <w:bottom w:w="0" w:type="dxa"/>
              <w:right w:w="15" w:type="dxa"/>
            </w:tcMar>
            <w:vAlign w:val="center"/>
          </w:tcPr>
          <w:p w:rsidR="001362DC" w:rsidRPr="00B57B4D" w:rsidRDefault="001362DC" w:rsidP="00C23FBA">
            <w:pPr>
              <w:jc w:val="center"/>
              <w:rPr>
                <w:rFonts w:ascii="Arial" w:hAnsi="Arial" w:cs="Arial"/>
                <w:color w:val="000000"/>
                <w:sz w:val="18"/>
                <w:szCs w:val="18"/>
                <w:highlight w:val="yellow"/>
              </w:rPr>
            </w:pPr>
            <w:r w:rsidRPr="00B57B4D">
              <w:rPr>
                <w:rFonts w:ascii="Arial" w:hAnsi="Arial" w:cs="Arial"/>
                <w:color w:val="000000"/>
                <w:sz w:val="18"/>
                <w:szCs w:val="18"/>
              </w:rPr>
              <w:t>138 437 020</w:t>
            </w:r>
          </w:p>
        </w:tc>
        <w:tc>
          <w:tcPr>
            <w:tcW w:w="0" w:type="auto"/>
            <w:tcBorders>
              <w:top w:val="nil"/>
              <w:left w:val="nil"/>
              <w:bottom w:val="single" w:sz="4" w:space="0" w:color="auto"/>
              <w:right w:val="single" w:sz="4" w:space="0" w:color="auto"/>
            </w:tcBorders>
            <w:tcMar>
              <w:top w:w="15" w:type="dxa"/>
              <w:left w:w="15" w:type="dxa"/>
              <w:bottom w:w="0" w:type="dxa"/>
              <w:right w:w="15" w:type="dxa"/>
            </w:tcMar>
            <w:vAlign w:val="center"/>
          </w:tcPr>
          <w:p w:rsidR="001362DC" w:rsidRPr="00B57B4D" w:rsidRDefault="001362DC" w:rsidP="00C23FBA">
            <w:pPr>
              <w:jc w:val="center"/>
              <w:rPr>
                <w:rFonts w:ascii="Arial" w:hAnsi="Arial" w:cs="Arial"/>
                <w:color w:val="000000"/>
                <w:sz w:val="18"/>
                <w:szCs w:val="18"/>
                <w:highlight w:val="yellow"/>
              </w:rPr>
            </w:pPr>
            <w:r w:rsidRPr="00B57B4D">
              <w:rPr>
                <w:rFonts w:ascii="Arial" w:hAnsi="Arial" w:cs="Arial"/>
                <w:color w:val="000000"/>
                <w:sz w:val="18"/>
                <w:szCs w:val="18"/>
              </w:rPr>
              <w:t>80,01%</w:t>
            </w:r>
          </w:p>
        </w:tc>
      </w:tr>
      <w:tr w:rsidR="001362DC" w:rsidRPr="006A2BF3" w:rsidTr="000A5C0F">
        <w:trPr>
          <w:trHeight w:val="20"/>
        </w:trPr>
        <w:tc>
          <w:tcPr>
            <w:tcW w:w="0" w:type="auto"/>
            <w:tcBorders>
              <w:top w:val="single" w:sz="4" w:space="0" w:color="auto"/>
              <w:left w:val="single" w:sz="4" w:space="0" w:color="auto"/>
              <w:bottom w:val="single" w:sz="4" w:space="0" w:color="auto"/>
              <w:right w:val="single" w:sz="4" w:space="0" w:color="auto"/>
            </w:tcBorders>
            <w:shd w:val="clear" w:color="auto" w:fill="EAF1DD"/>
            <w:tcMar>
              <w:top w:w="15" w:type="dxa"/>
              <w:left w:w="15" w:type="dxa"/>
              <w:bottom w:w="0" w:type="dxa"/>
              <w:right w:w="15" w:type="dxa"/>
            </w:tcMar>
            <w:vAlign w:val="center"/>
          </w:tcPr>
          <w:p w:rsidR="001362DC" w:rsidRPr="00B57B4D" w:rsidRDefault="001362DC" w:rsidP="00C23FBA">
            <w:pPr>
              <w:rPr>
                <w:rFonts w:ascii="Arial" w:hAnsi="Arial" w:cs="Arial"/>
                <w:color w:val="000000"/>
                <w:sz w:val="18"/>
                <w:szCs w:val="18"/>
              </w:rPr>
            </w:pPr>
            <w:r w:rsidRPr="00B57B4D">
              <w:rPr>
                <w:rFonts w:ascii="Arial" w:hAnsi="Arial" w:cs="Arial"/>
                <w:color w:val="000000"/>
                <w:sz w:val="18"/>
                <w:szCs w:val="18"/>
              </w:rPr>
              <w:t>Prešovský</w:t>
            </w:r>
          </w:p>
        </w:tc>
        <w:tc>
          <w:tcPr>
            <w:tcW w:w="0" w:type="auto"/>
            <w:tcBorders>
              <w:top w:val="nil"/>
              <w:left w:val="nil"/>
              <w:bottom w:val="single" w:sz="4" w:space="0" w:color="auto"/>
              <w:right w:val="single" w:sz="4" w:space="0" w:color="auto"/>
            </w:tcBorders>
            <w:tcMar>
              <w:top w:w="15" w:type="dxa"/>
              <w:left w:w="15" w:type="dxa"/>
              <w:bottom w:w="0" w:type="dxa"/>
              <w:right w:w="15" w:type="dxa"/>
            </w:tcMar>
            <w:vAlign w:val="center"/>
          </w:tcPr>
          <w:p w:rsidR="001362DC" w:rsidRPr="00B57B4D" w:rsidRDefault="001362DC" w:rsidP="00C23FBA">
            <w:pPr>
              <w:jc w:val="center"/>
              <w:rPr>
                <w:rFonts w:ascii="Arial" w:hAnsi="Arial" w:cs="Arial"/>
                <w:sz w:val="18"/>
                <w:szCs w:val="18"/>
                <w:highlight w:val="yellow"/>
              </w:rPr>
            </w:pPr>
            <w:r w:rsidRPr="00B57B4D">
              <w:rPr>
                <w:rFonts w:ascii="Arial" w:hAnsi="Arial" w:cs="Arial"/>
                <w:sz w:val="18"/>
                <w:szCs w:val="18"/>
              </w:rPr>
              <w:t>110</w:t>
            </w:r>
          </w:p>
        </w:tc>
        <w:tc>
          <w:tcPr>
            <w:tcW w:w="0" w:type="auto"/>
            <w:tcBorders>
              <w:top w:val="nil"/>
              <w:left w:val="nil"/>
              <w:bottom w:val="single" w:sz="4" w:space="0" w:color="auto"/>
              <w:right w:val="single" w:sz="4" w:space="0" w:color="auto"/>
            </w:tcBorders>
            <w:tcMar>
              <w:top w:w="15" w:type="dxa"/>
              <w:left w:w="15" w:type="dxa"/>
              <w:bottom w:w="0" w:type="dxa"/>
              <w:right w:w="15" w:type="dxa"/>
            </w:tcMar>
            <w:vAlign w:val="center"/>
          </w:tcPr>
          <w:p w:rsidR="001362DC" w:rsidRPr="00B57B4D" w:rsidRDefault="001362DC" w:rsidP="00C23FBA">
            <w:pPr>
              <w:jc w:val="center"/>
              <w:rPr>
                <w:rFonts w:ascii="Arial" w:hAnsi="Arial" w:cs="Arial"/>
                <w:color w:val="000000"/>
                <w:sz w:val="18"/>
                <w:szCs w:val="18"/>
                <w:highlight w:val="yellow"/>
              </w:rPr>
            </w:pPr>
            <w:r w:rsidRPr="00B57B4D">
              <w:rPr>
                <w:rFonts w:ascii="Arial" w:hAnsi="Arial" w:cs="Arial"/>
                <w:color w:val="000000"/>
                <w:sz w:val="18"/>
                <w:szCs w:val="18"/>
              </w:rPr>
              <w:t>213 992 971</w:t>
            </w:r>
          </w:p>
        </w:tc>
        <w:tc>
          <w:tcPr>
            <w:tcW w:w="0" w:type="auto"/>
            <w:tcBorders>
              <w:top w:val="nil"/>
              <w:left w:val="nil"/>
              <w:bottom w:val="single" w:sz="4" w:space="0" w:color="auto"/>
              <w:right w:val="single" w:sz="4" w:space="0" w:color="auto"/>
            </w:tcBorders>
            <w:tcMar>
              <w:top w:w="15" w:type="dxa"/>
              <w:left w:w="15" w:type="dxa"/>
              <w:bottom w:w="0" w:type="dxa"/>
              <w:right w:w="15" w:type="dxa"/>
            </w:tcMar>
            <w:vAlign w:val="center"/>
          </w:tcPr>
          <w:p w:rsidR="001362DC" w:rsidRPr="00B57B4D" w:rsidRDefault="001362DC" w:rsidP="00C23FBA">
            <w:pPr>
              <w:jc w:val="center"/>
              <w:rPr>
                <w:rFonts w:ascii="Arial" w:hAnsi="Arial" w:cs="Arial"/>
                <w:color w:val="000000"/>
                <w:sz w:val="18"/>
                <w:szCs w:val="18"/>
                <w:highlight w:val="yellow"/>
              </w:rPr>
            </w:pPr>
            <w:r w:rsidRPr="00B57B4D">
              <w:rPr>
                <w:rFonts w:ascii="Arial" w:hAnsi="Arial" w:cs="Arial"/>
                <w:color w:val="000000"/>
                <w:sz w:val="18"/>
                <w:szCs w:val="18"/>
              </w:rPr>
              <w:t>108</w:t>
            </w:r>
          </w:p>
        </w:tc>
        <w:tc>
          <w:tcPr>
            <w:tcW w:w="0" w:type="auto"/>
            <w:tcBorders>
              <w:top w:val="nil"/>
              <w:left w:val="nil"/>
              <w:bottom w:val="single" w:sz="4" w:space="0" w:color="auto"/>
              <w:right w:val="single" w:sz="4" w:space="0" w:color="auto"/>
            </w:tcBorders>
            <w:tcMar>
              <w:top w:w="15" w:type="dxa"/>
              <w:left w:w="15" w:type="dxa"/>
              <w:bottom w:w="0" w:type="dxa"/>
              <w:right w:w="15" w:type="dxa"/>
            </w:tcMar>
            <w:vAlign w:val="center"/>
          </w:tcPr>
          <w:p w:rsidR="001362DC" w:rsidRPr="00B57B4D" w:rsidRDefault="001362DC" w:rsidP="00C23FBA">
            <w:pPr>
              <w:jc w:val="center"/>
              <w:rPr>
                <w:rFonts w:ascii="Arial" w:hAnsi="Arial" w:cs="Arial"/>
                <w:color w:val="000000"/>
                <w:sz w:val="18"/>
                <w:szCs w:val="18"/>
                <w:highlight w:val="yellow"/>
              </w:rPr>
            </w:pPr>
            <w:r w:rsidRPr="00B57B4D">
              <w:rPr>
                <w:rFonts w:ascii="Arial" w:hAnsi="Arial" w:cs="Arial"/>
                <w:color w:val="000000"/>
                <w:sz w:val="18"/>
                <w:szCs w:val="18"/>
              </w:rPr>
              <w:t>187 307 438</w:t>
            </w:r>
          </w:p>
        </w:tc>
        <w:tc>
          <w:tcPr>
            <w:tcW w:w="0" w:type="auto"/>
            <w:tcBorders>
              <w:top w:val="nil"/>
              <w:left w:val="nil"/>
              <w:bottom w:val="single" w:sz="4" w:space="0" w:color="auto"/>
              <w:right w:val="single" w:sz="4" w:space="0" w:color="auto"/>
            </w:tcBorders>
            <w:tcMar>
              <w:top w:w="15" w:type="dxa"/>
              <w:left w:w="15" w:type="dxa"/>
              <w:bottom w:w="0" w:type="dxa"/>
              <w:right w:w="15" w:type="dxa"/>
            </w:tcMar>
            <w:vAlign w:val="center"/>
          </w:tcPr>
          <w:p w:rsidR="001362DC" w:rsidRPr="00B57B4D" w:rsidRDefault="001362DC" w:rsidP="00C23FBA">
            <w:pPr>
              <w:jc w:val="center"/>
              <w:rPr>
                <w:rFonts w:ascii="Arial" w:hAnsi="Arial" w:cs="Arial"/>
                <w:color w:val="000000"/>
                <w:sz w:val="18"/>
                <w:szCs w:val="18"/>
                <w:highlight w:val="yellow"/>
              </w:rPr>
            </w:pPr>
            <w:r w:rsidRPr="00B57B4D">
              <w:rPr>
                <w:rFonts w:ascii="Arial" w:hAnsi="Arial" w:cs="Arial"/>
                <w:color w:val="000000"/>
                <w:sz w:val="18"/>
                <w:szCs w:val="18"/>
              </w:rPr>
              <w:t>87,53%</w:t>
            </w:r>
          </w:p>
        </w:tc>
      </w:tr>
      <w:tr w:rsidR="001362DC" w:rsidRPr="006A2BF3" w:rsidTr="000A5C0F">
        <w:trPr>
          <w:trHeight w:val="20"/>
        </w:trPr>
        <w:tc>
          <w:tcPr>
            <w:tcW w:w="0" w:type="auto"/>
            <w:tcBorders>
              <w:top w:val="single" w:sz="4" w:space="0" w:color="auto"/>
              <w:left w:val="single" w:sz="4" w:space="0" w:color="auto"/>
              <w:bottom w:val="single" w:sz="4" w:space="0" w:color="auto"/>
              <w:right w:val="single" w:sz="4" w:space="0" w:color="auto"/>
            </w:tcBorders>
            <w:shd w:val="clear" w:color="auto" w:fill="EAF1DD"/>
            <w:tcMar>
              <w:top w:w="15" w:type="dxa"/>
              <w:left w:w="15" w:type="dxa"/>
              <w:bottom w:w="0" w:type="dxa"/>
              <w:right w:w="15" w:type="dxa"/>
            </w:tcMar>
            <w:vAlign w:val="center"/>
          </w:tcPr>
          <w:p w:rsidR="001362DC" w:rsidRPr="00B57B4D" w:rsidRDefault="001362DC" w:rsidP="00C23FBA">
            <w:pPr>
              <w:rPr>
                <w:rFonts w:ascii="Arial" w:hAnsi="Arial" w:cs="Arial"/>
                <w:color w:val="000000"/>
                <w:sz w:val="18"/>
                <w:szCs w:val="18"/>
              </w:rPr>
            </w:pPr>
            <w:r w:rsidRPr="00B57B4D">
              <w:rPr>
                <w:rFonts w:ascii="Arial" w:hAnsi="Arial" w:cs="Arial"/>
                <w:color w:val="000000"/>
                <w:sz w:val="18"/>
                <w:szCs w:val="18"/>
              </w:rPr>
              <w:t>Košický</w:t>
            </w:r>
          </w:p>
        </w:tc>
        <w:tc>
          <w:tcPr>
            <w:tcW w:w="0" w:type="auto"/>
            <w:tcBorders>
              <w:top w:val="nil"/>
              <w:left w:val="nil"/>
              <w:bottom w:val="single" w:sz="4" w:space="0" w:color="auto"/>
              <w:right w:val="single" w:sz="4" w:space="0" w:color="auto"/>
            </w:tcBorders>
            <w:tcMar>
              <w:top w:w="15" w:type="dxa"/>
              <w:left w:w="15" w:type="dxa"/>
              <w:bottom w:w="0" w:type="dxa"/>
              <w:right w:w="15" w:type="dxa"/>
            </w:tcMar>
            <w:vAlign w:val="center"/>
          </w:tcPr>
          <w:p w:rsidR="001362DC" w:rsidRPr="00B57B4D" w:rsidRDefault="001362DC" w:rsidP="00C23FBA">
            <w:pPr>
              <w:jc w:val="center"/>
              <w:rPr>
                <w:rFonts w:ascii="Arial" w:hAnsi="Arial" w:cs="Arial"/>
                <w:sz w:val="18"/>
                <w:szCs w:val="18"/>
                <w:highlight w:val="yellow"/>
              </w:rPr>
            </w:pPr>
            <w:r w:rsidRPr="00B57B4D">
              <w:rPr>
                <w:rFonts w:ascii="Arial" w:hAnsi="Arial" w:cs="Arial"/>
                <w:sz w:val="18"/>
                <w:szCs w:val="18"/>
              </w:rPr>
              <w:t>60</w:t>
            </w:r>
          </w:p>
        </w:tc>
        <w:tc>
          <w:tcPr>
            <w:tcW w:w="0" w:type="auto"/>
            <w:tcBorders>
              <w:top w:val="nil"/>
              <w:left w:val="nil"/>
              <w:bottom w:val="single" w:sz="4" w:space="0" w:color="auto"/>
              <w:right w:val="single" w:sz="4" w:space="0" w:color="auto"/>
            </w:tcBorders>
            <w:tcMar>
              <w:top w:w="15" w:type="dxa"/>
              <w:left w:w="15" w:type="dxa"/>
              <w:bottom w:w="0" w:type="dxa"/>
              <w:right w:w="15" w:type="dxa"/>
            </w:tcMar>
            <w:vAlign w:val="center"/>
          </w:tcPr>
          <w:p w:rsidR="001362DC" w:rsidRPr="00B57B4D" w:rsidRDefault="001362DC" w:rsidP="00C23FBA">
            <w:pPr>
              <w:jc w:val="center"/>
              <w:rPr>
                <w:rFonts w:ascii="Arial" w:hAnsi="Arial" w:cs="Arial"/>
                <w:color w:val="000000"/>
                <w:sz w:val="18"/>
                <w:szCs w:val="18"/>
                <w:highlight w:val="yellow"/>
              </w:rPr>
            </w:pPr>
            <w:r w:rsidRPr="00B57B4D">
              <w:rPr>
                <w:rFonts w:ascii="Arial" w:hAnsi="Arial" w:cs="Arial"/>
                <w:color w:val="000000"/>
                <w:sz w:val="18"/>
                <w:szCs w:val="18"/>
              </w:rPr>
              <w:t>127 453 234</w:t>
            </w:r>
          </w:p>
        </w:tc>
        <w:tc>
          <w:tcPr>
            <w:tcW w:w="0" w:type="auto"/>
            <w:tcBorders>
              <w:top w:val="nil"/>
              <w:left w:val="nil"/>
              <w:bottom w:val="single" w:sz="4" w:space="0" w:color="auto"/>
              <w:right w:val="single" w:sz="4" w:space="0" w:color="auto"/>
            </w:tcBorders>
            <w:tcMar>
              <w:top w:w="15" w:type="dxa"/>
              <w:left w:w="15" w:type="dxa"/>
              <w:bottom w:w="0" w:type="dxa"/>
              <w:right w:w="15" w:type="dxa"/>
            </w:tcMar>
            <w:vAlign w:val="center"/>
          </w:tcPr>
          <w:p w:rsidR="001362DC" w:rsidRPr="00B57B4D" w:rsidRDefault="001362DC" w:rsidP="00C23FBA">
            <w:pPr>
              <w:jc w:val="center"/>
              <w:rPr>
                <w:rFonts w:ascii="Arial" w:hAnsi="Arial" w:cs="Arial"/>
                <w:color w:val="000000"/>
                <w:sz w:val="18"/>
                <w:szCs w:val="18"/>
                <w:highlight w:val="yellow"/>
              </w:rPr>
            </w:pPr>
            <w:r w:rsidRPr="00B57B4D">
              <w:rPr>
                <w:rFonts w:ascii="Arial" w:hAnsi="Arial" w:cs="Arial"/>
                <w:color w:val="000000"/>
                <w:sz w:val="18"/>
                <w:szCs w:val="18"/>
              </w:rPr>
              <w:t>60</w:t>
            </w:r>
          </w:p>
        </w:tc>
        <w:tc>
          <w:tcPr>
            <w:tcW w:w="0" w:type="auto"/>
            <w:tcBorders>
              <w:top w:val="nil"/>
              <w:left w:val="nil"/>
              <w:bottom w:val="single" w:sz="4" w:space="0" w:color="auto"/>
              <w:right w:val="single" w:sz="4" w:space="0" w:color="auto"/>
            </w:tcBorders>
            <w:tcMar>
              <w:top w:w="15" w:type="dxa"/>
              <w:left w:w="15" w:type="dxa"/>
              <w:bottom w:w="0" w:type="dxa"/>
              <w:right w:w="15" w:type="dxa"/>
            </w:tcMar>
            <w:vAlign w:val="center"/>
          </w:tcPr>
          <w:p w:rsidR="001362DC" w:rsidRPr="00B57B4D" w:rsidRDefault="001362DC" w:rsidP="00C23FBA">
            <w:pPr>
              <w:jc w:val="center"/>
              <w:rPr>
                <w:rFonts w:ascii="Arial" w:hAnsi="Arial" w:cs="Arial"/>
                <w:color w:val="000000"/>
                <w:sz w:val="18"/>
                <w:szCs w:val="18"/>
                <w:highlight w:val="yellow"/>
              </w:rPr>
            </w:pPr>
            <w:r w:rsidRPr="00B57B4D">
              <w:rPr>
                <w:rFonts w:ascii="Arial" w:hAnsi="Arial" w:cs="Arial"/>
                <w:color w:val="000000"/>
                <w:sz w:val="18"/>
                <w:szCs w:val="18"/>
              </w:rPr>
              <w:t>127 453 234</w:t>
            </w:r>
          </w:p>
        </w:tc>
        <w:tc>
          <w:tcPr>
            <w:tcW w:w="0" w:type="auto"/>
            <w:tcBorders>
              <w:top w:val="nil"/>
              <w:left w:val="nil"/>
              <w:bottom w:val="single" w:sz="4" w:space="0" w:color="auto"/>
              <w:right w:val="single" w:sz="4" w:space="0" w:color="auto"/>
            </w:tcBorders>
            <w:tcMar>
              <w:top w:w="15" w:type="dxa"/>
              <w:left w:w="15" w:type="dxa"/>
              <w:bottom w:w="0" w:type="dxa"/>
              <w:right w:w="15" w:type="dxa"/>
            </w:tcMar>
            <w:vAlign w:val="center"/>
          </w:tcPr>
          <w:p w:rsidR="001362DC" w:rsidRPr="00B57B4D" w:rsidRDefault="001362DC" w:rsidP="00C23FBA">
            <w:pPr>
              <w:jc w:val="center"/>
              <w:rPr>
                <w:rFonts w:ascii="Arial" w:hAnsi="Arial" w:cs="Arial"/>
                <w:color w:val="000000"/>
                <w:sz w:val="18"/>
                <w:szCs w:val="18"/>
                <w:highlight w:val="yellow"/>
              </w:rPr>
            </w:pPr>
            <w:r w:rsidRPr="00B57B4D">
              <w:rPr>
                <w:rFonts w:ascii="Arial" w:hAnsi="Arial" w:cs="Arial"/>
                <w:color w:val="000000"/>
                <w:sz w:val="18"/>
                <w:szCs w:val="18"/>
              </w:rPr>
              <w:t>100,00%</w:t>
            </w:r>
          </w:p>
        </w:tc>
      </w:tr>
      <w:tr w:rsidR="001362DC" w:rsidRPr="006A2BF3" w:rsidTr="000A5C0F">
        <w:trPr>
          <w:trHeight w:val="20"/>
        </w:trPr>
        <w:tc>
          <w:tcPr>
            <w:tcW w:w="0" w:type="auto"/>
            <w:tcBorders>
              <w:top w:val="single" w:sz="4" w:space="0" w:color="auto"/>
              <w:left w:val="single" w:sz="4" w:space="0" w:color="auto"/>
              <w:bottom w:val="single" w:sz="4" w:space="0" w:color="auto"/>
              <w:right w:val="single" w:sz="4" w:space="0" w:color="auto"/>
            </w:tcBorders>
            <w:shd w:val="clear" w:color="auto" w:fill="EAF1DD"/>
            <w:tcMar>
              <w:top w:w="15" w:type="dxa"/>
              <w:left w:w="15" w:type="dxa"/>
              <w:bottom w:w="0" w:type="dxa"/>
              <w:right w:w="15" w:type="dxa"/>
            </w:tcMar>
            <w:vAlign w:val="center"/>
          </w:tcPr>
          <w:p w:rsidR="001362DC" w:rsidRPr="00B57B4D" w:rsidRDefault="001362DC" w:rsidP="00C23FBA">
            <w:pPr>
              <w:rPr>
                <w:rFonts w:ascii="Arial" w:hAnsi="Arial" w:cs="Arial"/>
                <w:color w:val="000000"/>
                <w:sz w:val="18"/>
                <w:szCs w:val="18"/>
              </w:rPr>
            </w:pPr>
            <w:r w:rsidRPr="00B57B4D">
              <w:rPr>
                <w:rFonts w:ascii="Arial" w:hAnsi="Arial" w:cs="Arial"/>
                <w:color w:val="000000"/>
                <w:sz w:val="18"/>
                <w:szCs w:val="18"/>
              </w:rPr>
              <w:t>Projekty nezaradené do NUTS III</w:t>
            </w:r>
          </w:p>
        </w:tc>
        <w:tc>
          <w:tcPr>
            <w:tcW w:w="0" w:type="auto"/>
            <w:tcBorders>
              <w:top w:val="single" w:sz="4" w:space="0" w:color="auto"/>
              <w:left w:val="nil"/>
              <w:bottom w:val="single" w:sz="4" w:space="0" w:color="auto"/>
              <w:right w:val="single" w:sz="4" w:space="0" w:color="auto"/>
            </w:tcBorders>
            <w:tcMar>
              <w:top w:w="15" w:type="dxa"/>
              <w:left w:w="15" w:type="dxa"/>
              <w:bottom w:w="0" w:type="dxa"/>
              <w:right w:w="15" w:type="dxa"/>
            </w:tcMar>
            <w:vAlign w:val="center"/>
          </w:tcPr>
          <w:p w:rsidR="001362DC" w:rsidRPr="00B57B4D" w:rsidRDefault="001362DC" w:rsidP="00C23FBA">
            <w:pPr>
              <w:jc w:val="center"/>
              <w:rPr>
                <w:rFonts w:ascii="Arial" w:hAnsi="Arial" w:cs="Arial"/>
                <w:sz w:val="18"/>
                <w:szCs w:val="18"/>
                <w:highlight w:val="yellow"/>
              </w:rPr>
            </w:pPr>
            <w:r w:rsidRPr="00B57B4D">
              <w:rPr>
                <w:rFonts w:ascii="Arial" w:hAnsi="Arial" w:cs="Arial"/>
                <w:sz w:val="18"/>
                <w:szCs w:val="18"/>
              </w:rPr>
              <w:t>42</w:t>
            </w:r>
          </w:p>
        </w:tc>
        <w:tc>
          <w:tcPr>
            <w:tcW w:w="0" w:type="auto"/>
            <w:tcBorders>
              <w:top w:val="single" w:sz="4" w:space="0" w:color="auto"/>
              <w:left w:val="nil"/>
              <w:bottom w:val="single" w:sz="4" w:space="0" w:color="auto"/>
              <w:right w:val="single" w:sz="4" w:space="0" w:color="auto"/>
            </w:tcBorders>
            <w:tcMar>
              <w:top w:w="15" w:type="dxa"/>
              <w:left w:w="15" w:type="dxa"/>
              <w:bottom w:w="0" w:type="dxa"/>
              <w:right w:w="15" w:type="dxa"/>
            </w:tcMar>
            <w:vAlign w:val="center"/>
          </w:tcPr>
          <w:p w:rsidR="001362DC" w:rsidRPr="00B57B4D" w:rsidRDefault="001362DC" w:rsidP="00C23FBA">
            <w:pPr>
              <w:jc w:val="center"/>
              <w:rPr>
                <w:rFonts w:ascii="Arial" w:hAnsi="Arial" w:cs="Arial"/>
                <w:color w:val="000000"/>
                <w:sz w:val="18"/>
                <w:szCs w:val="18"/>
                <w:highlight w:val="yellow"/>
              </w:rPr>
            </w:pPr>
            <w:r w:rsidRPr="00B57B4D">
              <w:rPr>
                <w:rFonts w:ascii="Arial" w:hAnsi="Arial" w:cs="Arial"/>
                <w:color w:val="000000"/>
                <w:sz w:val="18"/>
                <w:szCs w:val="18"/>
              </w:rPr>
              <w:t>134 180 369</w:t>
            </w:r>
          </w:p>
        </w:tc>
        <w:tc>
          <w:tcPr>
            <w:tcW w:w="0" w:type="auto"/>
            <w:tcBorders>
              <w:top w:val="single" w:sz="4" w:space="0" w:color="auto"/>
              <w:left w:val="nil"/>
              <w:bottom w:val="single" w:sz="4" w:space="0" w:color="auto"/>
              <w:right w:val="single" w:sz="4" w:space="0" w:color="auto"/>
            </w:tcBorders>
            <w:tcMar>
              <w:top w:w="15" w:type="dxa"/>
              <w:left w:w="15" w:type="dxa"/>
              <w:bottom w:w="0" w:type="dxa"/>
              <w:right w:w="15" w:type="dxa"/>
            </w:tcMar>
            <w:vAlign w:val="center"/>
          </w:tcPr>
          <w:p w:rsidR="001362DC" w:rsidRPr="00B57B4D" w:rsidRDefault="001362DC" w:rsidP="00C23FBA">
            <w:pPr>
              <w:jc w:val="center"/>
              <w:rPr>
                <w:rFonts w:ascii="Arial" w:hAnsi="Arial" w:cs="Arial"/>
                <w:color w:val="000000"/>
                <w:sz w:val="18"/>
                <w:szCs w:val="18"/>
                <w:highlight w:val="yellow"/>
              </w:rPr>
            </w:pPr>
            <w:r w:rsidRPr="00B57B4D">
              <w:rPr>
                <w:rFonts w:ascii="Arial" w:hAnsi="Arial" w:cs="Arial"/>
                <w:color w:val="000000"/>
                <w:sz w:val="18"/>
                <w:szCs w:val="18"/>
              </w:rPr>
              <w:t>28</w:t>
            </w:r>
          </w:p>
        </w:tc>
        <w:tc>
          <w:tcPr>
            <w:tcW w:w="0" w:type="auto"/>
            <w:tcBorders>
              <w:top w:val="single" w:sz="4" w:space="0" w:color="auto"/>
              <w:left w:val="nil"/>
              <w:bottom w:val="single" w:sz="4" w:space="0" w:color="auto"/>
              <w:right w:val="single" w:sz="4" w:space="0" w:color="auto"/>
            </w:tcBorders>
            <w:tcMar>
              <w:top w:w="15" w:type="dxa"/>
              <w:left w:w="15" w:type="dxa"/>
              <w:bottom w:w="0" w:type="dxa"/>
              <w:right w:w="15" w:type="dxa"/>
            </w:tcMar>
            <w:vAlign w:val="center"/>
          </w:tcPr>
          <w:p w:rsidR="001362DC" w:rsidRPr="00B57B4D" w:rsidRDefault="001362DC" w:rsidP="00C23FBA">
            <w:pPr>
              <w:jc w:val="center"/>
              <w:rPr>
                <w:rFonts w:ascii="Arial" w:hAnsi="Arial" w:cs="Arial"/>
                <w:color w:val="000000"/>
                <w:sz w:val="18"/>
                <w:szCs w:val="18"/>
                <w:highlight w:val="yellow"/>
              </w:rPr>
            </w:pPr>
            <w:r w:rsidRPr="00B57B4D">
              <w:rPr>
                <w:rFonts w:ascii="Arial" w:hAnsi="Arial" w:cs="Arial"/>
                <w:color w:val="000000"/>
                <w:sz w:val="18"/>
                <w:szCs w:val="18"/>
              </w:rPr>
              <w:t>109 603 652</w:t>
            </w:r>
          </w:p>
        </w:tc>
        <w:tc>
          <w:tcPr>
            <w:tcW w:w="0" w:type="auto"/>
            <w:tcBorders>
              <w:top w:val="single" w:sz="4" w:space="0" w:color="auto"/>
              <w:left w:val="nil"/>
              <w:bottom w:val="single" w:sz="4" w:space="0" w:color="auto"/>
              <w:right w:val="single" w:sz="4" w:space="0" w:color="auto"/>
            </w:tcBorders>
            <w:tcMar>
              <w:top w:w="15" w:type="dxa"/>
              <w:left w:w="15" w:type="dxa"/>
              <w:bottom w:w="0" w:type="dxa"/>
              <w:right w:w="15" w:type="dxa"/>
            </w:tcMar>
            <w:vAlign w:val="center"/>
          </w:tcPr>
          <w:p w:rsidR="001362DC" w:rsidRPr="00B57B4D" w:rsidRDefault="001362DC" w:rsidP="00C23FBA">
            <w:pPr>
              <w:jc w:val="center"/>
              <w:rPr>
                <w:rFonts w:ascii="Arial" w:hAnsi="Arial" w:cs="Arial"/>
                <w:color w:val="000000"/>
                <w:sz w:val="18"/>
                <w:szCs w:val="18"/>
                <w:highlight w:val="yellow"/>
              </w:rPr>
            </w:pPr>
            <w:r w:rsidRPr="00B57B4D">
              <w:rPr>
                <w:rFonts w:ascii="Arial" w:hAnsi="Arial" w:cs="Arial"/>
                <w:color w:val="000000"/>
                <w:sz w:val="18"/>
                <w:szCs w:val="18"/>
              </w:rPr>
              <w:t>81,68%</w:t>
            </w:r>
          </w:p>
        </w:tc>
      </w:tr>
      <w:tr w:rsidR="001362DC" w:rsidRPr="006A2BF3" w:rsidTr="000A5C0F">
        <w:trPr>
          <w:trHeight w:val="20"/>
        </w:trPr>
        <w:tc>
          <w:tcPr>
            <w:tcW w:w="0" w:type="auto"/>
            <w:tcBorders>
              <w:top w:val="single" w:sz="4" w:space="0" w:color="auto"/>
              <w:left w:val="single" w:sz="4" w:space="0" w:color="auto"/>
              <w:bottom w:val="single" w:sz="4" w:space="0" w:color="auto"/>
              <w:right w:val="single" w:sz="4" w:space="0" w:color="auto"/>
            </w:tcBorders>
            <w:shd w:val="clear" w:color="auto" w:fill="EAF1DD"/>
            <w:tcMar>
              <w:top w:w="15" w:type="dxa"/>
              <w:left w:w="15" w:type="dxa"/>
              <w:bottom w:w="0" w:type="dxa"/>
              <w:right w:w="15" w:type="dxa"/>
            </w:tcMar>
            <w:vAlign w:val="center"/>
          </w:tcPr>
          <w:p w:rsidR="001362DC" w:rsidRPr="00B57B4D" w:rsidRDefault="001362DC" w:rsidP="00C23FBA">
            <w:pPr>
              <w:jc w:val="right"/>
              <w:rPr>
                <w:rFonts w:ascii="Arial" w:hAnsi="Arial" w:cs="Arial"/>
                <w:b/>
                <w:bCs/>
                <w:color w:val="000000"/>
                <w:sz w:val="18"/>
                <w:szCs w:val="18"/>
              </w:rPr>
            </w:pPr>
            <w:r w:rsidRPr="00B57B4D">
              <w:rPr>
                <w:rFonts w:ascii="Arial" w:hAnsi="Arial" w:cs="Arial"/>
                <w:b/>
                <w:bCs/>
                <w:color w:val="000000"/>
                <w:sz w:val="18"/>
                <w:szCs w:val="18"/>
              </w:rPr>
              <w:t>Spolu</w:t>
            </w:r>
          </w:p>
        </w:tc>
        <w:tc>
          <w:tcPr>
            <w:tcW w:w="0" w:type="auto"/>
            <w:tcBorders>
              <w:top w:val="single" w:sz="4" w:space="0" w:color="auto"/>
              <w:left w:val="nil"/>
              <w:bottom w:val="single" w:sz="4" w:space="0" w:color="auto"/>
              <w:right w:val="single" w:sz="4" w:space="0" w:color="auto"/>
            </w:tcBorders>
            <w:shd w:val="clear" w:color="auto" w:fill="EAF1DD"/>
            <w:tcMar>
              <w:top w:w="15" w:type="dxa"/>
              <w:left w:w="15" w:type="dxa"/>
              <w:bottom w:w="0" w:type="dxa"/>
              <w:right w:w="15" w:type="dxa"/>
            </w:tcMar>
            <w:vAlign w:val="center"/>
          </w:tcPr>
          <w:p w:rsidR="001362DC" w:rsidRPr="00B57B4D" w:rsidRDefault="001362DC" w:rsidP="00C23FBA">
            <w:pPr>
              <w:jc w:val="center"/>
              <w:rPr>
                <w:rFonts w:ascii="Arial" w:hAnsi="Arial" w:cs="Arial"/>
                <w:b/>
                <w:bCs/>
                <w:color w:val="000000"/>
                <w:sz w:val="18"/>
                <w:szCs w:val="18"/>
                <w:highlight w:val="yellow"/>
              </w:rPr>
            </w:pPr>
            <w:r w:rsidRPr="00B57B4D">
              <w:rPr>
                <w:rFonts w:ascii="Arial" w:hAnsi="Arial" w:cs="Arial"/>
                <w:b/>
                <w:bCs/>
                <w:color w:val="000000"/>
                <w:sz w:val="18"/>
                <w:szCs w:val="18"/>
              </w:rPr>
              <w:t>581</w:t>
            </w:r>
          </w:p>
        </w:tc>
        <w:tc>
          <w:tcPr>
            <w:tcW w:w="0" w:type="auto"/>
            <w:tcBorders>
              <w:top w:val="single" w:sz="4" w:space="0" w:color="auto"/>
              <w:left w:val="nil"/>
              <w:bottom w:val="single" w:sz="4" w:space="0" w:color="auto"/>
              <w:right w:val="single" w:sz="4" w:space="0" w:color="auto"/>
            </w:tcBorders>
            <w:shd w:val="clear" w:color="auto" w:fill="EAF1DD"/>
            <w:tcMar>
              <w:top w:w="15" w:type="dxa"/>
              <w:left w:w="15" w:type="dxa"/>
              <w:bottom w:w="0" w:type="dxa"/>
              <w:right w:w="15" w:type="dxa"/>
            </w:tcMar>
            <w:vAlign w:val="center"/>
          </w:tcPr>
          <w:p w:rsidR="001362DC" w:rsidRPr="00B57B4D" w:rsidRDefault="001362DC" w:rsidP="00C23FBA">
            <w:pPr>
              <w:jc w:val="center"/>
              <w:rPr>
                <w:rFonts w:ascii="Arial" w:hAnsi="Arial" w:cs="Arial"/>
                <w:b/>
                <w:bCs/>
                <w:color w:val="000000"/>
                <w:sz w:val="18"/>
                <w:szCs w:val="18"/>
                <w:highlight w:val="yellow"/>
              </w:rPr>
            </w:pPr>
            <w:r w:rsidRPr="00B57B4D">
              <w:rPr>
                <w:rFonts w:ascii="Arial" w:hAnsi="Arial" w:cs="Arial"/>
                <w:b/>
                <w:bCs/>
                <w:color w:val="000000"/>
                <w:sz w:val="18"/>
                <w:szCs w:val="18"/>
              </w:rPr>
              <w:t>1 380 313 198</w:t>
            </w:r>
          </w:p>
        </w:tc>
        <w:tc>
          <w:tcPr>
            <w:tcW w:w="0" w:type="auto"/>
            <w:tcBorders>
              <w:top w:val="single" w:sz="4" w:space="0" w:color="auto"/>
              <w:left w:val="nil"/>
              <w:bottom w:val="single" w:sz="4" w:space="0" w:color="auto"/>
              <w:right w:val="single" w:sz="4" w:space="0" w:color="auto"/>
            </w:tcBorders>
            <w:shd w:val="clear" w:color="auto" w:fill="EAF1DD"/>
            <w:tcMar>
              <w:top w:w="15" w:type="dxa"/>
              <w:left w:w="15" w:type="dxa"/>
              <w:bottom w:w="0" w:type="dxa"/>
              <w:right w:w="15" w:type="dxa"/>
            </w:tcMar>
            <w:vAlign w:val="center"/>
          </w:tcPr>
          <w:p w:rsidR="001362DC" w:rsidRPr="00B57B4D" w:rsidRDefault="001362DC" w:rsidP="00C23FBA">
            <w:pPr>
              <w:jc w:val="center"/>
              <w:rPr>
                <w:rFonts w:ascii="Arial" w:hAnsi="Arial" w:cs="Arial"/>
                <w:b/>
                <w:bCs/>
                <w:color w:val="000000"/>
                <w:sz w:val="18"/>
                <w:szCs w:val="18"/>
                <w:highlight w:val="yellow"/>
              </w:rPr>
            </w:pPr>
            <w:r w:rsidRPr="00B57B4D">
              <w:rPr>
                <w:rFonts w:ascii="Arial" w:hAnsi="Arial" w:cs="Arial"/>
                <w:b/>
                <w:bCs/>
                <w:color w:val="000000"/>
                <w:sz w:val="18"/>
                <w:szCs w:val="18"/>
              </w:rPr>
              <w:t>525</w:t>
            </w:r>
          </w:p>
        </w:tc>
        <w:tc>
          <w:tcPr>
            <w:tcW w:w="0" w:type="auto"/>
            <w:tcBorders>
              <w:top w:val="single" w:sz="4" w:space="0" w:color="auto"/>
              <w:left w:val="nil"/>
              <w:bottom w:val="single" w:sz="4" w:space="0" w:color="auto"/>
              <w:right w:val="single" w:sz="4" w:space="0" w:color="auto"/>
            </w:tcBorders>
            <w:shd w:val="clear" w:color="auto" w:fill="EAF1DD"/>
            <w:tcMar>
              <w:top w:w="15" w:type="dxa"/>
              <w:left w:w="15" w:type="dxa"/>
              <w:bottom w:w="0" w:type="dxa"/>
              <w:right w:w="15" w:type="dxa"/>
            </w:tcMar>
            <w:vAlign w:val="center"/>
          </w:tcPr>
          <w:p w:rsidR="001362DC" w:rsidRPr="00B57B4D" w:rsidRDefault="001362DC" w:rsidP="00C23FBA">
            <w:pPr>
              <w:jc w:val="center"/>
              <w:rPr>
                <w:rFonts w:ascii="Arial" w:hAnsi="Arial" w:cs="Arial"/>
                <w:b/>
                <w:bCs/>
                <w:color w:val="000000"/>
                <w:sz w:val="18"/>
                <w:szCs w:val="18"/>
                <w:highlight w:val="yellow"/>
              </w:rPr>
            </w:pPr>
            <w:r w:rsidRPr="00B57B4D">
              <w:rPr>
                <w:rFonts w:ascii="Arial" w:hAnsi="Arial" w:cs="Arial"/>
                <w:b/>
                <w:bCs/>
                <w:color w:val="000000"/>
                <w:sz w:val="18"/>
                <w:szCs w:val="18"/>
              </w:rPr>
              <w:t>1 171 790 810</w:t>
            </w:r>
          </w:p>
        </w:tc>
        <w:tc>
          <w:tcPr>
            <w:tcW w:w="0" w:type="auto"/>
            <w:tcBorders>
              <w:top w:val="single" w:sz="4" w:space="0" w:color="auto"/>
              <w:left w:val="nil"/>
              <w:bottom w:val="single" w:sz="4" w:space="0" w:color="auto"/>
              <w:right w:val="single" w:sz="4" w:space="0" w:color="auto"/>
            </w:tcBorders>
            <w:shd w:val="clear" w:color="auto" w:fill="EAF1DD"/>
            <w:tcMar>
              <w:top w:w="15" w:type="dxa"/>
              <w:left w:w="15" w:type="dxa"/>
              <w:bottom w:w="0" w:type="dxa"/>
              <w:right w:w="15" w:type="dxa"/>
            </w:tcMar>
            <w:vAlign w:val="center"/>
          </w:tcPr>
          <w:p w:rsidR="001362DC" w:rsidRPr="00B57B4D" w:rsidRDefault="001362DC" w:rsidP="00C23FBA">
            <w:pPr>
              <w:jc w:val="center"/>
              <w:rPr>
                <w:rFonts w:ascii="Arial" w:hAnsi="Arial" w:cs="Arial"/>
                <w:b/>
                <w:color w:val="000000"/>
                <w:sz w:val="18"/>
                <w:szCs w:val="18"/>
                <w:highlight w:val="yellow"/>
              </w:rPr>
            </w:pPr>
            <w:r w:rsidRPr="00B57B4D">
              <w:rPr>
                <w:rFonts w:ascii="Arial" w:hAnsi="Arial" w:cs="Arial"/>
                <w:color w:val="000000"/>
                <w:sz w:val="18"/>
                <w:szCs w:val="18"/>
              </w:rPr>
              <w:t>84,89%</w:t>
            </w:r>
          </w:p>
        </w:tc>
      </w:tr>
    </w:tbl>
    <w:p w:rsidR="001362DC" w:rsidRPr="006A2BF3" w:rsidRDefault="00000CC9" w:rsidP="00C23FBA">
      <w:pPr>
        <w:spacing w:line="360" w:lineRule="auto"/>
        <w:jc w:val="both"/>
        <w:rPr>
          <w:rFonts w:ascii="Arial" w:hAnsi="Arial" w:cs="Arial"/>
          <w:sz w:val="18"/>
          <w:szCs w:val="18"/>
          <w:lang w:eastAsia="cs-CZ"/>
        </w:rPr>
      </w:pPr>
      <w:r>
        <w:rPr>
          <w:rFonts w:ascii="Arial" w:hAnsi="Arial" w:cs="Arial"/>
          <w:sz w:val="18"/>
          <w:szCs w:val="18"/>
          <w:lang w:eastAsia="cs-CZ"/>
        </w:rPr>
        <w:t>Zdroj: RO, ITMS</w:t>
      </w:r>
    </w:p>
    <w:p w:rsidR="001362DC" w:rsidRPr="00EF0531" w:rsidRDefault="001362DC" w:rsidP="00507035">
      <w:pPr>
        <w:spacing w:before="120" w:after="120" w:line="360" w:lineRule="auto"/>
        <w:jc w:val="both"/>
        <w:rPr>
          <w:rFonts w:ascii="Arial" w:hAnsi="Arial" w:cs="Arial"/>
          <w:sz w:val="20"/>
          <w:szCs w:val="20"/>
          <w:lang w:eastAsia="cs-CZ"/>
        </w:rPr>
      </w:pPr>
      <w:r w:rsidRPr="00137C9C">
        <w:rPr>
          <w:rFonts w:ascii="Arial" w:hAnsi="Arial" w:cs="Arial"/>
          <w:sz w:val="20"/>
          <w:szCs w:val="20"/>
          <w:lang w:eastAsia="cs-CZ"/>
        </w:rPr>
        <w:t xml:space="preserve">Vyššie uvedená tabuľka pojednáva o príspevku zazmluvnených projektov k horizontálnej priorite Informačná spoločnosť v rámci jednotlivých krajov, z uvedených dôvodov zahŕňa zazmluvnené projekty, ktoré sú v realizácii a tiež projekty </w:t>
      </w:r>
      <w:r w:rsidRPr="00B57B4D">
        <w:rPr>
          <w:rFonts w:ascii="Arial" w:hAnsi="Arial" w:cs="Arial"/>
          <w:sz w:val="20"/>
          <w:szCs w:val="20"/>
          <w:lang w:eastAsia="cs-CZ"/>
        </w:rPr>
        <w:t>ukončené. Takmer 85 % z celkového</w:t>
      </w:r>
      <w:r w:rsidRPr="004B33AE">
        <w:rPr>
          <w:rFonts w:ascii="Arial" w:hAnsi="Arial" w:cs="Arial"/>
          <w:sz w:val="20"/>
          <w:szCs w:val="20"/>
          <w:lang w:eastAsia="cs-CZ"/>
        </w:rPr>
        <w:t xml:space="preserve"> objemu </w:t>
      </w:r>
      <w:r w:rsidRPr="00EF0531">
        <w:rPr>
          <w:rFonts w:ascii="Arial" w:hAnsi="Arial" w:cs="Arial"/>
          <w:sz w:val="20"/>
          <w:szCs w:val="20"/>
          <w:lang w:eastAsia="cs-CZ"/>
        </w:rPr>
        <w:t>zazmluvnených prostriedkov OP ŽP smeruje na projekty s príspevkom k HP TUR, čo je v súlade s globálnym cieľom OP ŽP, ktorého súčasťou je posilnenie efektívnosti environmentálnej zložky TUR.</w:t>
      </w:r>
    </w:p>
    <w:p w:rsidR="003F363E" w:rsidRPr="00EF0531" w:rsidRDefault="003F363E" w:rsidP="003F363E">
      <w:pPr>
        <w:spacing w:before="120" w:after="120" w:line="360" w:lineRule="auto"/>
        <w:jc w:val="both"/>
        <w:rPr>
          <w:sz w:val="22"/>
          <w:szCs w:val="22"/>
        </w:rPr>
      </w:pPr>
      <w:r w:rsidRPr="00EF0531">
        <w:rPr>
          <w:rFonts w:ascii="Arial" w:hAnsi="Arial" w:cs="Arial"/>
          <w:sz w:val="20"/>
          <w:szCs w:val="20"/>
        </w:rPr>
        <w:t>Najviac projektov s deklarovaným príspevkom k HP TUR sa v rámci OP ŽP realizovalo v Prešovskom (108) a Žilinskom kraji (84). Súvisí to pravdepodobne s celkovým a dlhodobým stavom environmentálnej infraštruktúry v tých to regiónoch a s potrebou investícií do opatrení implementovaných v rámci jednotlivých PO.</w:t>
      </w:r>
    </w:p>
    <w:p w:rsidR="001362DC" w:rsidRPr="006A2BF3" w:rsidRDefault="001362DC" w:rsidP="00507035">
      <w:pPr>
        <w:spacing w:before="120" w:after="120" w:line="360" w:lineRule="auto"/>
        <w:jc w:val="both"/>
        <w:rPr>
          <w:rFonts w:ascii="Arial" w:hAnsi="Arial" w:cs="Arial"/>
          <w:sz w:val="20"/>
          <w:szCs w:val="20"/>
          <w:lang w:eastAsia="cs-CZ"/>
        </w:rPr>
      </w:pPr>
      <w:r w:rsidRPr="00EF0531">
        <w:rPr>
          <w:rFonts w:ascii="Arial" w:hAnsi="Arial" w:cs="Arial"/>
          <w:sz w:val="20"/>
          <w:szCs w:val="20"/>
          <w:lang w:eastAsia="cs-CZ"/>
        </w:rPr>
        <w:t xml:space="preserve">Na úrovni jednotlivých prioritných osí OP ŽP sa trvalo udržateľný rozvoj ako horizontálna priorita premieta do ich cieľov, ako aj očakávaných dopadov realizácie aktivít, podporovaných v ich rámci. Všetky prioritné osi OP ŽP boli identifikované ako relevantné, t.j. prínosné, pre napĺňanie cieľov HP TUR. Čo sa týka ukazovateľov HP TUR, jednotlivé </w:t>
      </w:r>
      <w:r w:rsidRPr="00EF0531">
        <w:rPr>
          <w:rFonts w:ascii="Arial" w:hAnsi="Arial" w:cs="Arial"/>
          <w:bCs/>
          <w:sz w:val="20"/>
          <w:szCs w:val="20"/>
          <w:lang w:eastAsia="cs-CZ"/>
        </w:rPr>
        <w:t xml:space="preserve">riadiace orgány môžu </w:t>
      </w:r>
      <w:r w:rsidRPr="00EF0531">
        <w:rPr>
          <w:rFonts w:ascii="Arial" w:hAnsi="Arial" w:cs="Arial"/>
          <w:sz w:val="20"/>
          <w:szCs w:val="20"/>
          <w:lang w:eastAsia="cs-CZ"/>
        </w:rPr>
        <w:t xml:space="preserve">v súlade so schváleným </w:t>
      </w:r>
      <w:r w:rsidRPr="00EF0531">
        <w:rPr>
          <w:rFonts w:ascii="Arial" w:hAnsi="Arial" w:cs="Arial"/>
          <w:bCs/>
          <w:sz w:val="20"/>
          <w:szCs w:val="20"/>
          <w:lang w:eastAsia="cs-CZ"/>
        </w:rPr>
        <w:t xml:space="preserve">Systémom koordinácie a implementácie HP TUR okrem ukazovateľov HP TUR uvedených v jeho prílohe č. 2 zároveň sledovať ako relevantné </w:t>
      </w:r>
      <w:r w:rsidRPr="006A2BF3">
        <w:rPr>
          <w:rFonts w:ascii="Arial" w:hAnsi="Arial" w:cs="Arial"/>
          <w:bCs/>
          <w:sz w:val="20"/>
          <w:szCs w:val="20"/>
          <w:lang w:eastAsia="cs-CZ"/>
        </w:rPr>
        <w:t>pre HP TUR na úrovni príslušného operačného programu aj ďalšie ukazovatele, ktoré si dohodnú s</w:t>
      </w:r>
      <w:r>
        <w:rPr>
          <w:rFonts w:ascii="Arial" w:hAnsi="Arial" w:cs="Arial"/>
          <w:bCs/>
          <w:sz w:val="20"/>
          <w:szCs w:val="20"/>
          <w:lang w:eastAsia="cs-CZ"/>
        </w:rPr>
        <w:t xml:space="preserve"> </w:t>
      </w:r>
      <w:r w:rsidRPr="006A2BF3">
        <w:rPr>
          <w:rFonts w:ascii="Arial" w:hAnsi="Arial" w:cs="Arial"/>
          <w:bCs/>
          <w:sz w:val="20"/>
          <w:szCs w:val="20"/>
          <w:lang w:eastAsia="cs-CZ"/>
        </w:rPr>
        <w:t xml:space="preserve">koordinátorom HP TUR. </w:t>
      </w:r>
      <w:r w:rsidRPr="006A2BF3">
        <w:rPr>
          <w:rFonts w:ascii="Arial" w:hAnsi="Arial" w:cs="Arial"/>
          <w:sz w:val="20"/>
          <w:szCs w:val="20"/>
          <w:lang w:eastAsia="cs-CZ"/>
        </w:rPr>
        <w:t>Keďže prevažná časť aktivít podporovaných v </w:t>
      </w:r>
      <w:r w:rsidRPr="00EF0531">
        <w:rPr>
          <w:rFonts w:ascii="Arial" w:hAnsi="Arial" w:cs="Arial"/>
          <w:sz w:val="20"/>
          <w:szCs w:val="20"/>
          <w:lang w:eastAsia="cs-CZ"/>
        </w:rPr>
        <w:t xml:space="preserve">rámci OP ŽP priamo prispieva k podpore TUR, riadiaci orgán pre OP ŽP pri sledovaní príspevku OP ŽP k napĺňaniu cieľov HP TUR využíva aj ďalšie ukazovatele, ktoré sú súčasťou súboru projektových ukazovateľov stanovených v rámci OP ŽP. Súbor projektových ukazovateľov HP TUR v rámci OP ŽP bol vzájomne dohodnutý medzi riadiacim orgánom pre OP ŽP a koordinátorom HP TUR - ÚV SR, </w:t>
      </w:r>
      <w:r w:rsidR="003F363E" w:rsidRPr="00EF0531">
        <w:rPr>
          <w:rFonts w:ascii="Arial" w:hAnsi="Arial" w:cs="Arial"/>
          <w:sz w:val="20"/>
          <w:szCs w:val="20"/>
          <w:lang w:eastAsia="cs-CZ"/>
        </w:rPr>
        <w:t>prierezových priorít</w:t>
      </w:r>
      <w:r w:rsidRPr="00EF0531">
        <w:rPr>
          <w:rFonts w:ascii="Arial" w:hAnsi="Arial" w:cs="Arial"/>
          <w:sz w:val="20"/>
          <w:szCs w:val="20"/>
          <w:lang w:eastAsia="cs-CZ"/>
        </w:rPr>
        <w:t xml:space="preserve">, ktorým bol tento súbor ukazovateľov HP TUR zároveň odsúhlasený. Súbor ukazovateľov projektových ukazovateľov HP TUR v členení podľa jednotlivých prioritných osí OP ŽP je súčasťou príručky pre </w:t>
      </w:r>
      <w:r w:rsidRPr="006A2BF3">
        <w:rPr>
          <w:rFonts w:ascii="Arial" w:hAnsi="Arial" w:cs="Arial"/>
          <w:sz w:val="20"/>
          <w:szCs w:val="20"/>
          <w:lang w:eastAsia="cs-CZ"/>
        </w:rPr>
        <w:t xml:space="preserve">žiadateľa. </w:t>
      </w:r>
    </w:p>
    <w:p w:rsidR="001362DC" w:rsidRDefault="001362DC" w:rsidP="00507035">
      <w:pPr>
        <w:spacing w:before="120" w:after="120" w:line="360" w:lineRule="auto"/>
        <w:jc w:val="both"/>
        <w:rPr>
          <w:rFonts w:ascii="Arial" w:hAnsi="Arial" w:cs="Arial"/>
          <w:sz w:val="20"/>
          <w:szCs w:val="20"/>
          <w:lang w:eastAsia="cs-CZ"/>
        </w:rPr>
      </w:pPr>
      <w:r w:rsidRPr="006A2BF3" w:rsidDel="003752C9">
        <w:rPr>
          <w:rFonts w:ascii="Arial" w:hAnsi="Arial" w:cs="Arial"/>
          <w:sz w:val="20"/>
          <w:szCs w:val="20"/>
          <w:lang w:eastAsia="cs-CZ"/>
        </w:rPr>
        <w:t xml:space="preserve">Dôležitou súčasťou príspevku OP ŽP k napĺňaniu HP TUR je tiež príspevok OP ŽP k napĺňaniu </w:t>
      </w:r>
      <w:r w:rsidRPr="006A2BF3">
        <w:rPr>
          <w:rFonts w:ascii="Arial" w:hAnsi="Arial" w:cs="Arial"/>
          <w:sz w:val="20"/>
          <w:szCs w:val="20"/>
          <w:lang w:eastAsia="cs-CZ"/>
        </w:rPr>
        <w:t>ukazovateľov HP</w:t>
      </w:r>
      <w:r w:rsidRPr="006A2BF3" w:rsidDel="003752C9">
        <w:rPr>
          <w:rFonts w:ascii="Arial" w:hAnsi="Arial" w:cs="Arial"/>
          <w:sz w:val="20"/>
          <w:szCs w:val="20"/>
          <w:lang w:eastAsia="cs-CZ"/>
        </w:rPr>
        <w:t xml:space="preserve"> TUR</w:t>
      </w:r>
      <w:r w:rsidRPr="006A2BF3">
        <w:rPr>
          <w:rFonts w:ascii="Arial" w:hAnsi="Arial" w:cs="Arial"/>
          <w:sz w:val="20"/>
          <w:szCs w:val="20"/>
          <w:lang w:eastAsia="cs-CZ"/>
        </w:rPr>
        <w:t>, týkajúcich sa</w:t>
      </w:r>
      <w:r w:rsidRPr="006A2BF3" w:rsidDel="003752C9">
        <w:rPr>
          <w:rFonts w:ascii="Arial" w:hAnsi="Arial" w:cs="Arial"/>
          <w:sz w:val="20"/>
          <w:szCs w:val="20"/>
          <w:lang w:eastAsia="cs-CZ"/>
        </w:rPr>
        <w:t xml:space="preserve"> energetick</w:t>
      </w:r>
      <w:r w:rsidRPr="006A2BF3">
        <w:rPr>
          <w:rFonts w:ascii="Arial" w:hAnsi="Arial" w:cs="Arial"/>
          <w:sz w:val="20"/>
          <w:szCs w:val="20"/>
          <w:lang w:eastAsia="cs-CZ"/>
        </w:rPr>
        <w:t>ej</w:t>
      </w:r>
      <w:r w:rsidRPr="006A2BF3" w:rsidDel="003752C9">
        <w:rPr>
          <w:rFonts w:ascii="Arial" w:hAnsi="Arial" w:cs="Arial"/>
          <w:sz w:val="20"/>
          <w:szCs w:val="20"/>
          <w:lang w:eastAsia="cs-CZ"/>
        </w:rPr>
        <w:t xml:space="preserve"> efektívno</w:t>
      </w:r>
      <w:r w:rsidRPr="006A2BF3">
        <w:rPr>
          <w:rFonts w:ascii="Arial" w:hAnsi="Arial" w:cs="Arial"/>
          <w:sz w:val="20"/>
          <w:szCs w:val="20"/>
          <w:lang w:eastAsia="cs-CZ"/>
        </w:rPr>
        <w:t>sti</w:t>
      </w:r>
      <w:r w:rsidRPr="006A2BF3" w:rsidDel="003752C9">
        <w:rPr>
          <w:rFonts w:ascii="Arial" w:hAnsi="Arial" w:cs="Arial"/>
          <w:sz w:val="20"/>
          <w:szCs w:val="20"/>
          <w:lang w:eastAsia="cs-CZ"/>
        </w:rPr>
        <w:t>.</w:t>
      </w:r>
      <w:r w:rsidRPr="006A2BF3">
        <w:rPr>
          <w:rFonts w:ascii="Arial" w:hAnsi="Arial" w:cs="Arial"/>
          <w:sz w:val="20"/>
          <w:szCs w:val="20"/>
          <w:lang w:eastAsia="cs-CZ"/>
        </w:rPr>
        <w:t xml:space="preserve"> V prípade, ak projekt v rámci HP TUR prispieva k tiež k zvyšovaniu energetickej efektívnosti, žiadateľ je povinný k ním indikovaným projektovým ukazovateľom HP TUR doplniť tiež minimálne jeden z ukazovateľov, slúžiacich na sledovanie energetickej efektívnosti, ktorými sú: zvýšený inštalovaný výkon zariadenia zodpovedajúci obnoviteľným zdrojom energie; zateplená plocha; ročné úspory energie realizovaním projektu. Hodnoty uvedených ukazovateľov sa vykazujú kumulatívne za všetky prioritné osi OP ŽP, avšak žiadateľ pri výbere ukazovateľa energetickej efektívnosti postupuje podľa príslušnej tabuľky v príručke pre žiadateľa, ktorá pre každý z troch uvedených ukazovateľov stanovuje, pre aké operačné ciele sú relevantné.</w:t>
      </w:r>
    </w:p>
    <w:p w:rsidR="001362DC" w:rsidRPr="006A2BF3" w:rsidRDefault="001362DC" w:rsidP="00507035">
      <w:pPr>
        <w:spacing w:before="120" w:after="120" w:line="360" w:lineRule="auto"/>
        <w:jc w:val="both"/>
        <w:rPr>
          <w:rFonts w:ascii="Arial" w:hAnsi="Arial" w:cs="Arial"/>
          <w:sz w:val="20"/>
          <w:szCs w:val="20"/>
          <w:lang w:eastAsia="cs-CZ"/>
        </w:rPr>
      </w:pPr>
      <w:r w:rsidRPr="0039268C">
        <w:rPr>
          <w:rFonts w:ascii="Arial" w:hAnsi="Arial" w:cs="Arial"/>
          <w:bCs/>
          <w:sz w:val="20"/>
          <w:szCs w:val="20"/>
          <w:lang w:eastAsia="cs-CZ"/>
        </w:rPr>
        <w:t xml:space="preserve">V prípade ukazovateľa Novovytvorené pracovné miesta </w:t>
      </w:r>
      <w:r w:rsidR="00827427">
        <w:rPr>
          <w:rFonts w:ascii="Arial" w:hAnsi="Arial" w:cs="Arial"/>
          <w:bCs/>
          <w:sz w:val="20"/>
          <w:szCs w:val="20"/>
          <w:lang w:eastAsia="cs-CZ"/>
        </w:rPr>
        <w:t>ide</w:t>
      </w:r>
      <w:r w:rsidRPr="0039268C">
        <w:rPr>
          <w:rFonts w:ascii="Arial" w:hAnsi="Arial" w:cs="Arial"/>
          <w:bCs/>
          <w:sz w:val="20"/>
          <w:szCs w:val="20"/>
          <w:lang w:eastAsia="cs-CZ"/>
        </w:rPr>
        <w:t xml:space="preserve"> o čistý prírastok pracovných miest v subjekte prijímateľa za sledované obdobie. V rámci projektov, ktoré si vykázali relevanciu k HP TUR, bolo k 31.12.2012 vytvorených </w:t>
      </w:r>
      <w:r w:rsidR="008C4839">
        <w:rPr>
          <w:rFonts w:ascii="Arial" w:hAnsi="Arial" w:cs="Arial"/>
          <w:bCs/>
          <w:sz w:val="20"/>
          <w:szCs w:val="20"/>
          <w:lang w:eastAsia="cs-CZ"/>
        </w:rPr>
        <w:t>44</w:t>
      </w:r>
      <w:r w:rsidR="008C4839" w:rsidRPr="0039268C">
        <w:rPr>
          <w:rFonts w:ascii="Arial" w:hAnsi="Arial" w:cs="Arial"/>
          <w:bCs/>
          <w:sz w:val="20"/>
          <w:szCs w:val="20"/>
          <w:lang w:eastAsia="cs-CZ"/>
        </w:rPr>
        <w:t xml:space="preserve"> </w:t>
      </w:r>
      <w:r w:rsidRPr="0039268C">
        <w:rPr>
          <w:rFonts w:ascii="Arial" w:hAnsi="Arial" w:cs="Arial"/>
          <w:bCs/>
          <w:sz w:val="20"/>
          <w:szCs w:val="20"/>
          <w:lang w:eastAsia="cs-CZ"/>
        </w:rPr>
        <w:t>pracovných miest.</w:t>
      </w:r>
    </w:p>
    <w:p w:rsidR="007A427E" w:rsidRDefault="007A427E">
      <w:pPr>
        <w:rPr>
          <w:rFonts w:ascii="Arial" w:hAnsi="Arial" w:cs="Arial"/>
          <w:sz w:val="20"/>
          <w:szCs w:val="20"/>
          <w:lang w:eastAsia="cs-CZ"/>
        </w:rPr>
      </w:pPr>
    </w:p>
    <w:p w:rsidR="001362DC" w:rsidRPr="004B33AE" w:rsidRDefault="001362DC" w:rsidP="00C23FBA">
      <w:pPr>
        <w:spacing w:line="360" w:lineRule="auto"/>
        <w:jc w:val="both"/>
        <w:rPr>
          <w:rFonts w:ascii="Arial" w:hAnsi="Arial" w:cs="Arial"/>
          <w:sz w:val="20"/>
          <w:szCs w:val="20"/>
          <w:lang w:eastAsia="cs-CZ"/>
        </w:rPr>
      </w:pPr>
      <w:r w:rsidRPr="006A2BF3">
        <w:rPr>
          <w:rFonts w:ascii="Arial" w:hAnsi="Arial" w:cs="Arial"/>
          <w:sz w:val="20"/>
          <w:szCs w:val="20"/>
          <w:lang w:eastAsia="cs-CZ"/>
        </w:rPr>
        <w:t xml:space="preserve">Tab. č. </w:t>
      </w:r>
      <w:r w:rsidR="00C63470">
        <w:rPr>
          <w:rFonts w:ascii="Arial" w:hAnsi="Arial" w:cs="Arial"/>
          <w:sz w:val="20"/>
          <w:szCs w:val="20"/>
          <w:lang w:eastAsia="cs-CZ"/>
        </w:rPr>
        <w:t>80</w:t>
      </w:r>
      <w:r w:rsidRPr="006A2BF3">
        <w:rPr>
          <w:rFonts w:ascii="Arial" w:hAnsi="Arial" w:cs="Arial"/>
          <w:sz w:val="20"/>
          <w:szCs w:val="20"/>
          <w:lang w:eastAsia="cs-CZ"/>
        </w:rPr>
        <w:t xml:space="preserve">: Plnenie merateľných ukazovateľov uvedených v Systéme koordinácie a implementácie </w:t>
      </w:r>
      <w:r>
        <w:rPr>
          <w:rFonts w:ascii="Arial" w:hAnsi="Arial" w:cs="Arial"/>
          <w:sz w:val="20"/>
          <w:szCs w:val="20"/>
          <w:lang w:eastAsia="cs-CZ"/>
        </w:rPr>
        <w:t>HP TUR k 31.12.</w:t>
      </w:r>
      <w:r w:rsidR="00EF446A">
        <w:rPr>
          <w:rFonts w:ascii="Arial" w:hAnsi="Arial" w:cs="Arial"/>
          <w:sz w:val="20"/>
          <w:szCs w:val="20"/>
          <w:lang w:eastAsia="cs-CZ"/>
        </w:rPr>
        <w:t>2012</w:t>
      </w:r>
      <w:r w:rsidRPr="004B33AE">
        <w:rPr>
          <w:rFonts w:ascii="Arial" w:hAnsi="Arial" w:cs="Arial"/>
          <w:sz w:val="20"/>
          <w:szCs w:val="20"/>
          <w:lang w:eastAsia="cs-CZ"/>
        </w:rPr>
        <w:t xml:space="preserve"> podľa prioritných osí OP ŽP</w:t>
      </w:r>
    </w:p>
    <w:tbl>
      <w:tblPr>
        <w:tblW w:w="0" w:type="auto"/>
        <w:tblInd w:w="-75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1433"/>
        <w:gridCol w:w="1182"/>
        <w:gridCol w:w="567"/>
        <w:gridCol w:w="567"/>
        <w:gridCol w:w="567"/>
        <w:gridCol w:w="567"/>
        <w:gridCol w:w="567"/>
        <w:gridCol w:w="567"/>
        <w:gridCol w:w="567"/>
        <w:gridCol w:w="567"/>
        <w:gridCol w:w="709"/>
        <w:gridCol w:w="709"/>
        <w:gridCol w:w="1134"/>
      </w:tblGrid>
      <w:tr w:rsidR="00FF5344" w:rsidRPr="000E0A45" w:rsidTr="00FF5344">
        <w:trPr>
          <w:trHeight w:val="403"/>
        </w:trPr>
        <w:tc>
          <w:tcPr>
            <w:tcW w:w="2615" w:type="dxa"/>
            <w:gridSpan w:val="2"/>
            <w:shd w:val="clear" w:color="auto" w:fill="CCFFFF"/>
            <w:noWrap/>
            <w:tcMar>
              <w:top w:w="15" w:type="dxa"/>
              <w:left w:w="15" w:type="dxa"/>
              <w:bottom w:w="0" w:type="dxa"/>
              <w:right w:w="15" w:type="dxa"/>
            </w:tcMar>
            <w:vAlign w:val="center"/>
          </w:tcPr>
          <w:p w:rsidR="00FF5344" w:rsidRPr="000E0A45" w:rsidRDefault="00FF5344" w:rsidP="00FF5344">
            <w:pPr>
              <w:jc w:val="center"/>
              <w:rPr>
                <w:rFonts w:ascii="Arial" w:hAnsi="Arial" w:cs="Arial"/>
                <w:b/>
                <w:bCs/>
                <w:sz w:val="16"/>
                <w:szCs w:val="16"/>
              </w:rPr>
            </w:pPr>
            <w:r w:rsidRPr="000E0A45">
              <w:rPr>
                <w:rFonts w:ascii="Arial" w:hAnsi="Arial" w:cs="Arial"/>
                <w:b/>
                <w:bCs/>
                <w:sz w:val="16"/>
                <w:szCs w:val="16"/>
              </w:rPr>
              <w:t>Ukazovatele</w:t>
            </w:r>
          </w:p>
        </w:tc>
        <w:tc>
          <w:tcPr>
            <w:tcW w:w="567" w:type="dxa"/>
            <w:shd w:val="clear" w:color="auto" w:fill="CCFFFF"/>
            <w:noWrap/>
            <w:tcMar>
              <w:top w:w="15" w:type="dxa"/>
              <w:left w:w="15" w:type="dxa"/>
              <w:bottom w:w="0" w:type="dxa"/>
              <w:right w:w="15" w:type="dxa"/>
            </w:tcMar>
            <w:vAlign w:val="center"/>
          </w:tcPr>
          <w:p w:rsidR="00FF5344" w:rsidRPr="000E0A45" w:rsidRDefault="00FF5344" w:rsidP="00FF5344">
            <w:pPr>
              <w:jc w:val="center"/>
              <w:rPr>
                <w:rFonts w:ascii="Arial" w:hAnsi="Arial" w:cs="Arial"/>
                <w:b/>
                <w:bCs/>
                <w:sz w:val="16"/>
                <w:szCs w:val="16"/>
              </w:rPr>
            </w:pPr>
            <w:r w:rsidRPr="000E0A45">
              <w:rPr>
                <w:rFonts w:ascii="Arial" w:hAnsi="Arial" w:cs="Arial"/>
                <w:b/>
                <w:bCs/>
                <w:sz w:val="16"/>
                <w:szCs w:val="16"/>
              </w:rPr>
              <w:t>2007</w:t>
            </w:r>
          </w:p>
        </w:tc>
        <w:tc>
          <w:tcPr>
            <w:tcW w:w="567" w:type="dxa"/>
            <w:shd w:val="clear" w:color="auto" w:fill="CCFFFF"/>
            <w:noWrap/>
            <w:tcMar>
              <w:top w:w="15" w:type="dxa"/>
              <w:left w:w="15" w:type="dxa"/>
              <w:bottom w:w="0" w:type="dxa"/>
              <w:right w:w="15" w:type="dxa"/>
            </w:tcMar>
            <w:vAlign w:val="center"/>
          </w:tcPr>
          <w:p w:rsidR="00FF5344" w:rsidRPr="000E0A45" w:rsidRDefault="00FF5344" w:rsidP="00FF5344">
            <w:pPr>
              <w:jc w:val="center"/>
              <w:rPr>
                <w:rFonts w:ascii="Arial" w:hAnsi="Arial" w:cs="Arial"/>
                <w:b/>
                <w:bCs/>
                <w:sz w:val="16"/>
                <w:szCs w:val="16"/>
              </w:rPr>
            </w:pPr>
            <w:r w:rsidRPr="000E0A45">
              <w:rPr>
                <w:rFonts w:ascii="Arial" w:hAnsi="Arial" w:cs="Arial"/>
                <w:b/>
                <w:bCs/>
                <w:sz w:val="16"/>
                <w:szCs w:val="16"/>
              </w:rPr>
              <w:t>2008</w:t>
            </w:r>
          </w:p>
        </w:tc>
        <w:tc>
          <w:tcPr>
            <w:tcW w:w="567" w:type="dxa"/>
            <w:shd w:val="clear" w:color="auto" w:fill="CCFFFF"/>
            <w:noWrap/>
            <w:tcMar>
              <w:top w:w="15" w:type="dxa"/>
              <w:left w:w="15" w:type="dxa"/>
              <w:bottom w:w="0" w:type="dxa"/>
              <w:right w:w="15" w:type="dxa"/>
            </w:tcMar>
            <w:vAlign w:val="center"/>
          </w:tcPr>
          <w:p w:rsidR="00FF5344" w:rsidRPr="000E0A45" w:rsidRDefault="00FF5344" w:rsidP="00FF5344">
            <w:pPr>
              <w:jc w:val="center"/>
              <w:rPr>
                <w:rFonts w:ascii="Arial" w:hAnsi="Arial" w:cs="Arial"/>
                <w:b/>
                <w:bCs/>
                <w:sz w:val="16"/>
                <w:szCs w:val="16"/>
              </w:rPr>
            </w:pPr>
            <w:r w:rsidRPr="000E0A45">
              <w:rPr>
                <w:rFonts w:ascii="Arial" w:hAnsi="Arial" w:cs="Arial"/>
                <w:b/>
                <w:bCs/>
                <w:sz w:val="16"/>
                <w:szCs w:val="16"/>
              </w:rPr>
              <w:t>2009</w:t>
            </w:r>
          </w:p>
        </w:tc>
        <w:tc>
          <w:tcPr>
            <w:tcW w:w="567" w:type="dxa"/>
            <w:shd w:val="clear" w:color="auto" w:fill="CCFFFF"/>
            <w:noWrap/>
            <w:tcMar>
              <w:top w:w="15" w:type="dxa"/>
              <w:left w:w="15" w:type="dxa"/>
              <w:bottom w:w="0" w:type="dxa"/>
              <w:right w:w="15" w:type="dxa"/>
            </w:tcMar>
            <w:vAlign w:val="center"/>
          </w:tcPr>
          <w:p w:rsidR="00FF5344" w:rsidRPr="000E0A45" w:rsidRDefault="00FF5344" w:rsidP="00FF5344">
            <w:pPr>
              <w:jc w:val="center"/>
              <w:rPr>
                <w:rFonts w:ascii="Arial" w:hAnsi="Arial" w:cs="Arial"/>
                <w:b/>
                <w:bCs/>
                <w:sz w:val="16"/>
                <w:szCs w:val="16"/>
              </w:rPr>
            </w:pPr>
            <w:r w:rsidRPr="000E0A45">
              <w:rPr>
                <w:rFonts w:ascii="Arial" w:hAnsi="Arial" w:cs="Arial"/>
                <w:b/>
                <w:bCs/>
                <w:sz w:val="16"/>
                <w:szCs w:val="16"/>
              </w:rPr>
              <w:t>2010</w:t>
            </w:r>
          </w:p>
        </w:tc>
        <w:tc>
          <w:tcPr>
            <w:tcW w:w="567" w:type="dxa"/>
            <w:shd w:val="clear" w:color="auto" w:fill="CCFFFF"/>
            <w:noWrap/>
            <w:tcMar>
              <w:top w:w="15" w:type="dxa"/>
              <w:left w:w="15" w:type="dxa"/>
              <w:bottom w:w="0" w:type="dxa"/>
              <w:right w:w="15" w:type="dxa"/>
            </w:tcMar>
            <w:vAlign w:val="center"/>
          </w:tcPr>
          <w:p w:rsidR="00FF5344" w:rsidRPr="000E0A45" w:rsidRDefault="00FF5344" w:rsidP="00FF5344">
            <w:pPr>
              <w:jc w:val="center"/>
              <w:rPr>
                <w:rFonts w:ascii="Arial" w:hAnsi="Arial" w:cs="Arial"/>
                <w:b/>
                <w:bCs/>
                <w:sz w:val="16"/>
                <w:szCs w:val="16"/>
              </w:rPr>
            </w:pPr>
            <w:r w:rsidRPr="000E0A45">
              <w:rPr>
                <w:rFonts w:ascii="Arial" w:hAnsi="Arial" w:cs="Arial"/>
                <w:b/>
                <w:bCs/>
                <w:sz w:val="16"/>
                <w:szCs w:val="16"/>
              </w:rPr>
              <w:t>2011</w:t>
            </w:r>
          </w:p>
        </w:tc>
        <w:tc>
          <w:tcPr>
            <w:tcW w:w="567" w:type="dxa"/>
            <w:shd w:val="clear" w:color="auto" w:fill="CCFFFF"/>
            <w:noWrap/>
            <w:tcMar>
              <w:top w:w="15" w:type="dxa"/>
              <w:left w:w="15" w:type="dxa"/>
              <w:bottom w:w="0" w:type="dxa"/>
              <w:right w:w="15" w:type="dxa"/>
            </w:tcMar>
            <w:vAlign w:val="center"/>
          </w:tcPr>
          <w:p w:rsidR="00FF5344" w:rsidRPr="000E0A45" w:rsidRDefault="00FF5344" w:rsidP="00FF5344">
            <w:pPr>
              <w:jc w:val="center"/>
              <w:rPr>
                <w:rFonts w:ascii="Arial" w:hAnsi="Arial" w:cs="Arial"/>
                <w:b/>
                <w:bCs/>
                <w:sz w:val="16"/>
                <w:szCs w:val="16"/>
              </w:rPr>
            </w:pPr>
            <w:r w:rsidRPr="000E0A45">
              <w:rPr>
                <w:rFonts w:ascii="Arial" w:hAnsi="Arial" w:cs="Arial"/>
                <w:b/>
                <w:bCs/>
                <w:sz w:val="16"/>
                <w:szCs w:val="16"/>
              </w:rPr>
              <w:t>2012</w:t>
            </w:r>
          </w:p>
        </w:tc>
        <w:tc>
          <w:tcPr>
            <w:tcW w:w="567" w:type="dxa"/>
            <w:shd w:val="clear" w:color="auto" w:fill="CCFFFF"/>
            <w:noWrap/>
            <w:tcMar>
              <w:top w:w="15" w:type="dxa"/>
              <w:left w:w="15" w:type="dxa"/>
              <w:bottom w:w="0" w:type="dxa"/>
              <w:right w:w="15" w:type="dxa"/>
            </w:tcMar>
            <w:vAlign w:val="center"/>
          </w:tcPr>
          <w:p w:rsidR="00FF5344" w:rsidRPr="000E0A45" w:rsidRDefault="00FF5344" w:rsidP="00FF5344">
            <w:pPr>
              <w:jc w:val="center"/>
              <w:rPr>
                <w:rFonts w:ascii="Arial" w:hAnsi="Arial" w:cs="Arial"/>
                <w:b/>
                <w:bCs/>
                <w:sz w:val="16"/>
                <w:szCs w:val="16"/>
              </w:rPr>
            </w:pPr>
            <w:r w:rsidRPr="000E0A45">
              <w:rPr>
                <w:rFonts w:ascii="Arial" w:hAnsi="Arial" w:cs="Arial"/>
                <w:b/>
                <w:bCs/>
                <w:sz w:val="16"/>
                <w:szCs w:val="16"/>
              </w:rPr>
              <w:t>2013</w:t>
            </w:r>
          </w:p>
        </w:tc>
        <w:tc>
          <w:tcPr>
            <w:tcW w:w="567" w:type="dxa"/>
            <w:shd w:val="clear" w:color="auto" w:fill="CCFFFF"/>
            <w:noWrap/>
            <w:tcMar>
              <w:top w:w="15" w:type="dxa"/>
              <w:left w:w="15" w:type="dxa"/>
              <w:bottom w:w="0" w:type="dxa"/>
              <w:right w:w="15" w:type="dxa"/>
            </w:tcMar>
            <w:vAlign w:val="center"/>
          </w:tcPr>
          <w:p w:rsidR="00FF5344" w:rsidRPr="000E0A45" w:rsidRDefault="00FF5344" w:rsidP="00FF5344">
            <w:pPr>
              <w:jc w:val="center"/>
              <w:rPr>
                <w:rFonts w:ascii="Arial" w:hAnsi="Arial" w:cs="Arial"/>
                <w:b/>
                <w:bCs/>
                <w:sz w:val="16"/>
                <w:szCs w:val="16"/>
              </w:rPr>
            </w:pPr>
            <w:r w:rsidRPr="000E0A45">
              <w:rPr>
                <w:rFonts w:ascii="Arial" w:hAnsi="Arial" w:cs="Arial"/>
                <w:b/>
                <w:bCs/>
                <w:sz w:val="16"/>
                <w:szCs w:val="16"/>
              </w:rPr>
              <w:t>2014</w:t>
            </w:r>
          </w:p>
        </w:tc>
        <w:tc>
          <w:tcPr>
            <w:tcW w:w="709" w:type="dxa"/>
            <w:shd w:val="clear" w:color="auto" w:fill="CCFFFF"/>
            <w:noWrap/>
            <w:tcMar>
              <w:top w:w="15" w:type="dxa"/>
              <w:left w:w="15" w:type="dxa"/>
              <w:bottom w:w="0" w:type="dxa"/>
              <w:right w:w="15" w:type="dxa"/>
            </w:tcMar>
            <w:vAlign w:val="center"/>
          </w:tcPr>
          <w:p w:rsidR="00FF5344" w:rsidRPr="000E0A45" w:rsidRDefault="00FF5344" w:rsidP="00FF5344">
            <w:pPr>
              <w:jc w:val="center"/>
              <w:rPr>
                <w:rFonts w:ascii="Arial" w:hAnsi="Arial" w:cs="Arial"/>
                <w:b/>
                <w:bCs/>
                <w:sz w:val="16"/>
                <w:szCs w:val="16"/>
              </w:rPr>
            </w:pPr>
            <w:r w:rsidRPr="000E0A45">
              <w:rPr>
                <w:rFonts w:ascii="Arial" w:hAnsi="Arial" w:cs="Arial"/>
                <w:b/>
                <w:bCs/>
                <w:sz w:val="16"/>
                <w:szCs w:val="16"/>
              </w:rPr>
              <w:t>2015</w:t>
            </w:r>
          </w:p>
        </w:tc>
        <w:tc>
          <w:tcPr>
            <w:tcW w:w="709" w:type="dxa"/>
            <w:shd w:val="clear" w:color="auto" w:fill="CCFFFF"/>
            <w:noWrap/>
            <w:tcMar>
              <w:top w:w="15" w:type="dxa"/>
              <w:left w:w="15" w:type="dxa"/>
              <w:bottom w:w="0" w:type="dxa"/>
              <w:right w:w="15" w:type="dxa"/>
            </w:tcMar>
            <w:vAlign w:val="center"/>
          </w:tcPr>
          <w:p w:rsidR="00FF5344" w:rsidRPr="001540E7" w:rsidRDefault="00FF5344" w:rsidP="00FF5344">
            <w:pPr>
              <w:jc w:val="center"/>
              <w:rPr>
                <w:rFonts w:ascii="Arial" w:hAnsi="Arial" w:cs="Arial"/>
                <w:b/>
                <w:bCs/>
                <w:sz w:val="16"/>
                <w:szCs w:val="16"/>
              </w:rPr>
            </w:pPr>
            <w:r w:rsidRPr="001540E7">
              <w:rPr>
                <w:rFonts w:ascii="Arial" w:hAnsi="Arial" w:cs="Arial"/>
                <w:b/>
                <w:bCs/>
                <w:sz w:val="16"/>
                <w:szCs w:val="16"/>
              </w:rPr>
              <w:t>Celkom</w:t>
            </w:r>
          </w:p>
        </w:tc>
        <w:tc>
          <w:tcPr>
            <w:tcW w:w="1134" w:type="dxa"/>
            <w:shd w:val="clear" w:color="auto" w:fill="CCFFFF"/>
            <w:noWrap/>
            <w:tcMar>
              <w:top w:w="15" w:type="dxa"/>
              <w:left w:w="15" w:type="dxa"/>
              <w:bottom w:w="0" w:type="dxa"/>
              <w:right w:w="15" w:type="dxa"/>
            </w:tcMar>
            <w:vAlign w:val="center"/>
          </w:tcPr>
          <w:p w:rsidR="00FF5344" w:rsidRPr="000E0A45" w:rsidRDefault="00FF5344" w:rsidP="00FF5344">
            <w:pPr>
              <w:jc w:val="center"/>
              <w:rPr>
                <w:rFonts w:ascii="Arial" w:hAnsi="Arial" w:cs="Arial"/>
                <w:b/>
                <w:bCs/>
                <w:sz w:val="16"/>
                <w:szCs w:val="16"/>
              </w:rPr>
            </w:pPr>
            <w:r w:rsidRPr="000E0A45">
              <w:rPr>
                <w:rFonts w:ascii="Arial" w:hAnsi="Arial" w:cs="Arial"/>
                <w:b/>
                <w:bCs/>
                <w:sz w:val="16"/>
                <w:szCs w:val="16"/>
              </w:rPr>
              <w:t>Komentár</w:t>
            </w:r>
            <w:r w:rsidRPr="000E0A45">
              <w:rPr>
                <w:rFonts w:ascii="Arial" w:hAnsi="Arial" w:cs="Arial"/>
                <w:b/>
                <w:bCs/>
                <w:sz w:val="16"/>
                <w:szCs w:val="16"/>
                <w:vertAlign w:val="superscript"/>
              </w:rPr>
              <w:t>2</w:t>
            </w:r>
          </w:p>
        </w:tc>
      </w:tr>
      <w:tr w:rsidR="00FF5344" w:rsidRPr="000E0A45" w:rsidTr="00FF5344">
        <w:trPr>
          <w:trHeight w:val="268"/>
        </w:trPr>
        <w:tc>
          <w:tcPr>
            <w:tcW w:w="9703" w:type="dxa"/>
            <w:gridSpan w:val="13"/>
            <w:shd w:val="clear" w:color="auto" w:fill="CCFFFF"/>
            <w:noWrap/>
            <w:tcMar>
              <w:top w:w="15" w:type="dxa"/>
              <w:left w:w="15" w:type="dxa"/>
              <w:bottom w:w="0" w:type="dxa"/>
              <w:right w:w="15" w:type="dxa"/>
            </w:tcMar>
            <w:vAlign w:val="center"/>
          </w:tcPr>
          <w:p w:rsidR="00FF5344" w:rsidRPr="001540E7" w:rsidRDefault="00FF5344" w:rsidP="00FF5344">
            <w:pPr>
              <w:rPr>
                <w:rFonts w:ascii="Arial" w:hAnsi="Arial" w:cs="Arial"/>
                <w:b/>
                <w:bCs/>
                <w:sz w:val="16"/>
                <w:szCs w:val="16"/>
              </w:rPr>
            </w:pPr>
            <w:r w:rsidRPr="001540E7">
              <w:rPr>
                <w:rFonts w:ascii="Arial" w:hAnsi="Arial" w:cs="Arial"/>
                <w:b/>
                <w:bCs/>
                <w:sz w:val="16"/>
                <w:szCs w:val="16"/>
              </w:rPr>
              <w:t>Prioritná os 1 - Integrovaná ochrana a racionálne využívanie vôd</w:t>
            </w:r>
          </w:p>
        </w:tc>
      </w:tr>
      <w:tr w:rsidR="00FF5344" w:rsidRPr="000E0A45" w:rsidTr="00FF5344">
        <w:trPr>
          <w:trHeight w:val="474"/>
        </w:trPr>
        <w:tc>
          <w:tcPr>
            <w:tcW w:w="1433" w:type="dxa"/>
            <w:vMerge w:val="restart"/>
            <w:shd w:val="clear" w:color="auto" w:fill="FFFF99"/>
            <w:tcMar>
              <w:top w:w="15" w:type="dxa"/>
              <w:left w:w="15" w:type="dxa"/>
              <w:bottom w:w="0" w:type="dxa"/>
              <w:right w:w="15" w:type="dxa"/>
            </w:tcMar>
            <w:vAlign w:val="center"/>
          </w:tcPr>
          <w:p w:rsidR="00FF5344" w:rsidRPr="00EF0531" w:rsidRDefault="00FF5344" w:rsidP="00FF5344">
            <w:pPr>
              <w:rPr>
                <w:rFonts w:ascii="Arial" w:hAnsi="Arial" w:cs="Arial"/>
                <w:sz w:val="16"/>
                <w:szCs w:val="16"/>
              </w:rPr>
            </w:pPr>
            <w:r w:rsidRPr="00EF0531">
              <w:rPr>
                <w:rFonts w:ascii="Arial" w:hAnsi="Arial" w:cs="Arial"/>
                <w:sz w:val="16"/>
                <w:szCs w:val="16"/>
              </w:rPr>
              <w:t>Počet ekvivalentných obyvateľov</w:t>
            </w:r>
            <w:r w:rsidRPr="00EF0531">
              <w:rPr>
                <w:rFonts w:ascii="Arial" w:hAnsi="Arial" w:cs="Arial"/>
                <w:sz w:val="16"/>
                <w:szCs w:val="16"/>
              </w:rPr>
              <w:br/>
              <w:t>napojených na novovybudovanú</w:t>
            </w:r>
            <w:r w:rsidRPr="00EF0531">
              <w:rPr>
                <w:rFonts w:ascii="Arial" w:hAnsi="Arial" w:cs="Arial"/>
                <w:sz w:val="16"/>
                <w:szCs w:val="16"/>
              </w:rPr>
              <w:br/>
              <w:t>kanalizačnú sieť [počet] výsledok</w:t>
            </w:r>
          </w:p>
        </w:tc>
        <w:tc>
          <w:tcPr>
            <w:tcW w:w="1182" w:type="dxa"/>
            <w:shd w:val="clear" w:color="auto" w:fill="CCFFFF"/>
            <w:noWrap/>
            <w:tcMar>
              <w:top w:w="15" w:type="dxa"/>
              <w:left w:w="15" w:type="dxa"/>
              <w:bottom w:w="0" w:type="dxa"/>
              <w:right w:w="15" w:type="dxa"/>
            </w:tcMar>
            <w:vAlign w:val="center"/>
          </w:tcPr>
          <w:p w:rsidR="00FF5344" w:rsidRPr="00EF0531" w:rsidRDefault="00FF5344" w:rsidP="00FF5344">
            <w:pPr>
              <w:rPr>
                <w:rFonts w:ascii="Arial" w:hAnsi="Arial" w:cs="Arial"/>
                <w:b/>
                <w:sz w:val="16"/>
                <w:szCs w:val="16"/>
              </w:rPr>
            </w:pPr>
            <w:r w:rsidRPr="00EF0531">
              <w:rPr>
                <w:rFonts w:ascii="Arial" w:hAnsi="Arial" w:cs="Arial"/>
                <w:b/>
                <w:sz w:val="16"/>
                <w:szCs w:val="16"/>
              </w:rPr>
              <w:t>Dosiahnutý výsledok</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bCs/>
                <w:sz w:val="16"/>
                <w:szCs w:val="16"/>
              </w:rPr>
            </w:pPr>
            <w:r w:rsidRPr="00EF0531">
              <w:rPr>
                <w:rFonts w:ascii="Arial" w:hAnsi="Arial" w:cs="Arial"/>
                <w:bCs/>
                <w:sz w:val="16"/>
                <w:szCs w:val="16"/>
              </w:rPr>
              <w:t>0</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bCs/>
                <w:sz w:val="16"/>
                <w:szCs w:val="16"/>
              </w:rPr>
            </w:pPr>
            <w:r w:rsidRPr="00EF0531">
              <w:rPr>
                <w:rFonts w:ascii="Arial" w:hAnsi="Arial" w:cs="Arial"/>
                <w:bCs/>
                <w:sz w:val="16"/>
                <w:szCs w:val="16"/>
              </w:rPr>
              <w:t>0</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bCs/>
                <w:sz w:val="16"/>
                <w:szCs w:val="16"/>
              </w:rPr>
            </w:pPr>
            <w:r w:rsidRPr="00EF0531">
              <w:rPr>
                <w:rFonts w:ascii="Arial" w:hAnsi="Arial" w:cs="Arial"/>
                <w:bCs/>
                <w:sz w:val="16"/>
                <w:szCs w:val="16"/>
              </w:rPr>
              <w:t>0</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bCs/>
                <w:sz w:val="16"/>
                <w:szCs w:val="16"/>
              </w:rPr>
            </w:pPr>
            <w:r w:rsidRPr="00EF0531">
              <w:rPr>
                <w:rFonts w:ascii="Arial" w:hAnsi="Arial" w:cs="Arial"/>
                <w:bCs/>
                <w:sz w:val="16"/>
                <w:szCs w:val="16"/>
              </w:rPr>
              <w:t>0</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bCs/>
                <w:sz w:val="16"/>
                <w:szCs w:val="16"/>
              </w:rPr>
            </w:pPr>
            <w:r w:rsidRPr="00EF0531">
              <w:rPr>
                <w:rFonts w:ascii="Arial" w:hAnsi="Arial" w:cs="Arial"/>
                <w:bCs/>
                <w:sz w:val="16"/>
                <w:szCs w:val="16"/>
              </w:rPr>
              <w:t>487</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Cs/>
                <w:sz w:val="16"/>
                <w:szCs w:val="16"/>
              </w:rPr>
            </w:pPr>
            <w:r w:rsidRPr="00EF0531">
              <w:rPr>
                <w:rFonts w:ascii="Arial" w:hAnsi="Arial" w:cs="Arial"/>
                <w:bCs/>
                <w:sz w:val="16"/>
                <w:szCs w:val="16"/>
              </w:rPr>
              <w:t>1890</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Cs/>
                <w:sz w:val="16"/>
                <w:szCs w:val="16"/>
              </w:rPr>
            </w:pPr>
            <w:r w:rsidRPr="00EF0531">
              <w:rPr>
                <w:rFonts w:ascii="Arial" w:hAnsi="Arial" w:cs="Arial"/>
                <w:iCs/>
                <w:sz w:val="16"/>
                <w:szCs w:val="16"/>
              </w:rPr>
              <w:t>N/A</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Cs/>
                <w:sz w:val="16"/>
                <w:szCs w:val="16"/>
              </w:rPr>
            </w:pPr>
            <w:r w:rsidRPr="00EF0531">
              <w:rPr>
                <w:rFonts w:ascii="Arial" w:hAnsi="Arial" w:cs="Arial"/>
                <w:iCs/>
                <w:sz w:val="16"/>
                <w:szCs w:val="16"/>
              </w:rPr>
              <w:t>N/A</w:t>
            </w:r>
          </w:p>
        </w:tc>
        <w:tc>
          <w:tcPr>
            <w:tcW w:w="709" w:type="dxa"/>
            <w:noWrap/>
            <w:tcMar>
              <w:top w:w="15" w:type="dxa"/>
              <w:left w:w="15" w:type="dxa"/>
              <w:bottom w:w="0" w:type="dxa"/>
              <w:right w:w="15" w:type="dxa"/>
            </w:tcMar>
            <w:vAlign w:val="center"/>
          </w:tcPr>
          <w:p w:rsidR="00FF5344" w:rsidRPr="00EF0531" w:rsidRDefault="00FF5344" w:rsidP="00FF5344">
            <w:pPr>
              <w:jc w:val="center"/>
              <w:rPr>
                <w:rFonts w:ascii="Arial" w:hAnsi="Arial" w:cs="Arial"/>
                <w:iCs/>
                <w:sz w:val="16"/>
                <w:szCs w:val="16"/>
              </w:rPr>
            </w:pPr>
            <w:r w:rsidRPr="00EF0531">
              <w:rPr>
                <w:rFonts w:ascii="Arial" w:hAnsi="Arial" w:cs="Arial"/>
                <w:iCs/>
                <w:sz w:val="16"/>
                <w:szCs w:val="16"/>
              </w:rPr>
              <w:t>N/A</w:t>
            </w:r>
          </w:p>
        </w:tc>
        <w:tc>
          <w:tcPr>
            <w:tcW w:w="709" w:type="dxa"/>
            <w:noWrap/>
            <w:tcMar>
              <w:top w:w="15" w:type="dxa"/>
              <w:left w:w="15" w:type="dxa"/>
              <w:bottom w:w="0" w:type="dxa"/>
              <w:right w:w="15" w:type="dxa"/>
            </w:tcMar>
            <w:vAlign w:val="center"/>
          </w:tcPr>
          <w:p w:rsidR="00FF5344" w:rsidRPr="00EF0531" w:rsidRDefault="00FF5344" w:rsidP="00FF5344">
            <w:pPr>
              <w:jc w:val="center"/>
              <w:rPr>
                <w:rFonts w:ascii="Arial" w:hAnsi="Arial" w:cs="Arial"/>
                <w:b/>
                <w:bCs/>
                <w:sz w:val="16"/>
                <w:szCs w:val="16"/>
              </w:rPr>
            </w:pPr>
            <w:r w:rsidRPr="00EF0531">
              <w:rPr>
                <w:rFonts w:ascii="Arial" w:hAnsi="Arial" w:cs="Arial"/>
                <w:b/>
                <w:bCs/>
                <w:sz w:val="16"/>
                <w:szCs w:val="16"/>
              </w:rPr>
              <w:t>1890</w:t>
            </w:r>
          </w:p>
        </w:tc>
        <w:tc>
          <w:tcPr>
            <w:tcW w:w="1134" w:type="dxa"/>
            <w:noWrap/>
            <w:tcMar>
              <w:top w:w="15" w:type="dxa"/>
              <w:left w:w="15" w:type="dxa"/>
              <w:bottom w:w="0" w:type="dxa"/>
              <w:right w:w="15" w:type="dxa"/>
            </w:tcMar>
            <w:vAlign w:val="center"/>
          </w:tcPr>
          <w:p w:rsidR="00FF5344" w:rsidRPr="00EF0531" w:rsidRDefault="00FF5344" w:rsidP="00FF5344">
            <w:pPr>
              <w:jc w:val="center"/>
              <w:rPr>
                <w:rFonts w:ascii="Arial" w:hAnsi="Arial" w:cs="Arial"/>
                <w:sz w:val="16"/>
                <w:szCs w:val="16"/>
              </w:rPr>
            </w:pPr>
            <w:r w:rsidRPr="00EF0531">
              <w:rPr>
                <w:rFonts w:ascii="Arial" w:hAnsi="Arial" w:cs="Arial"/>
                <w:i/>
                <w:iCs/>
                <w:sz w:val="16"/>
                <w:szCs w:val="16"/>
              </w:rPr>
              <w:t>213</w:t>
            </w:r>
            <w:r w:rsidR="00165CDB">
              <w:rPr>
                <w:rFonts w:ascii="Arial" w:hAnsi="Arial" w:cs="Arial"/>
                <w:i/>
                <w:iCs/>
                <w:sz w:val="16"/>
                <w:szCs w:val="16"/>
              </w:rPr>
              <w:t xml:space="preserve"> </w:t>
            </w:r>
            <w:r w:rsidRPr="00EF0531">
              <w:rPr>
                <w:rFonts w:ascii="Arial" w:hAnsi="Arial" w:cs="Arial"/>
                <w:i/>
                <w:iCs/>
                <w:sz w:val="16"/>
                <w:szCs w:val="16"/>
              </w:rPr>
              <w:t>407</w:t>
            </w:r>
          </w:p>
        </w:tc>
      </w:tr>
      <w:tr w:rsidR="00FF5344" w:rsidRPr="000E0A45" w:rsidTr="00FF5344">
        <w:trPr>
          <w:trHeight w:val="406"/>
        </w:trPr>
        <w:tc>
          <w:tcPr>
            <w:tcW w:w="1433" w:type="dxa"/>
            <w:vMerge/>
            <w:shd w:val="clear" w:color="auto" w:fill="FFFF99"/>
            <w:vAlign w:val="center"/>
          </w:tcPr>
          <w:p w:rsidR="00FF5344" w:rsidRPr="00EF0531" w:rsidRDefault="00FF5344" w:rsidP="00FF5344">
            <w:pPr>
              <w:rPr>
                <w:rFonts w:ascii="Arial" w:hAnsi="Arial" w:cs="Arial"/>
                <w:sz w:val="16"/>
                <w:szCs w:val="16"/>
              </w:rPr>
            </w:pPr>
          </w:p>
        </w:tc>
        <w:tc>
          <w:tcPr>
            <w:tcW w:w="1182" w:type="dxa"/>
            <w:shd w:val="clear" w:color="auto" w:fill="CCFFFF"/>
            <w:noWrap/>
            <w:tcMar>
              <w:top w:w="15" w:type="dxa"/>
              <w:left w:w="15" w:type="dxa"/>
              <w:bottom w:w="0" w:type="dxa"/>
              <w:right w:w="15" w:type="dxa"/>
            </w:tcMar>
            <w:vAlign w:val="center"/>
          </w:tcPr>
          <w:p w:rsidR="00FF5344" w:rsidRPr="00EF0531" w:rsidRDefault="00FF5344" w:rsidP="00FF5344">
            <w:pPr>
              <w:rPr>
                <w:rFonts w:ascii="Arial" w:hAnsi="Arial" w:cs="Arial"/>
                <w:b/>
                <w:sz w:val="16"/>
                <w:szCs w:val="16"/>
              </w:rPr>
            </w:pPr>
            <w:r w:rsidRPr="00EF0531">
              <w:rPr>
                <w:rFonts w:ascii="Arial" w:hAnsi="Arial" w:cs="Arial"/>
                <w:b/>
                <w:sz w:val="16"/>
                <w:szCs w:val="16"/>
              </w:rPr>
              <w:t>Cieľ</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Cs/>
                <w:sz w:val="16"/>
                <w:szCs w:val="16"/>
              </w:rPr>
            </w:pPr>
            <w:r w:rsidRPr="00EF0531">
              <w:rPr>
                <w:rFonts w:ascii="Arial" w:hAnsi="Arial" w:cs="Arial"/>
                <w:iCs/>
                <w:sz w:val="16"/>
                <w:szCs w:val="16"/>
              </w:rPr>
              <w:t>N/A</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Cs/>
                <w:sz w:val="16"/>
                <w:szCs w:val="16"/>
              </w:rPr>
            </w:pPr>
            <w:r w:rsidRPr="00EF0531">
              <w:rPr>
                <w:rFonts w:ascii="Arial" w:hAnsi="Arial" w:cs="Arial"/>
                <w:iCs/>
                <w:sz w:val="16"/>
                <w:szCs w:val="16"/>
              </w:rPr>
              <w:t>N/A</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Cs/>
                <w:sz w:val="16"/>
                <w:szCs w:val="16"/>
              </w:rPr>
            </w:pPr>
            <w:r w:rsidRPr="00EF0531">
              <w:rPr>
                <w:rFonts w:ascii="Arial" w:hAnsi="Arial" w:cs="Arial"/>
                <w:iCs/>
                <w:sz w:val="16"/>
                <w:szCs w:val="16"/>
              </w:rPr>
              <w:t>N/A</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Cs/>
                <w:sz w:val="16"/>
                <w:szCs w:val="16"/>
              </w:rPr>
            </w:pPr>
            <w:r w:rsidRPr="00EF0531">
              <w:rPr>
                <w:rFonts w:ascii="Arial" w:hAnsi="Arial" w:cs="Arial"/>
                <w:iCs/>
                <w:sz w:val="16"/>
                <w:szCs w:val="16"/>
              </w:rPr>
              <w:t>N/A</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Cs/>
                <w:sz w:val="16"/>
                <w:szCs w:val="16"/>
              </w:rPr>
            </w:pPr>
            <w:r w:rsidRPr="00EF0531">
              <w:rPr>
                <w:rFonts w:ascii="Arial" w:hAnsi="Arial" w:cs="Arial"/>
                <w:iCs/>
                <w:sz w:val="16"/>
                <w:szCs w:val="16"/>
              </w:rPr>
              <w:t>N/A</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Cs/>
                <w:sz w:val="16"/>
                <w:szCs w:val="16"/>
              </w:rPr>
            </w:pPr>
            <w:r w:rsidRPr="00EF0531">
              <w:rPr>
                <w:rFonts w:ascii="Arial" w:hAnsi="Arial" w:cs="Arial"/>
                <w:iCs/>
                <w:sz w:val="16"/>
                <w:szCs w:val="16"/>
              </w:rPr>
              <w:t>N/A</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Cs/>
                <w:sz w:val="16"/>
                <w:szCs w:val="16"/>
              </w:rPr>
            </w:pPr>
            <w:r w:rsidRPr="00EF0531">
              <w:rPr>
                <w:rFonts w:ascii="Arial" w:hAnsi="Arial" w:cs="Arial"/>
                <w:iCs/>
                <w:sz w:val="16"/>
                <w:szCs w:val="16"/>
              </w:rPr>
              <w:t>N/A</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Cs/>
                <w:sz w:val="16"/>
                <w:szCs w:val="16"/>
              </w:rPr>
            </w:pPr>
            <w:r w:rsidRPr="00EF0531">
              <w:rPr>
                <w:rFonts w:ascii="Arial" w:hAnsi="Arial" w:cs="Arial"/>
                <w:iCs/>
                <w:sz w:val="16"/>
                <w:szCs w:val="16"/>
              </w:rPr>
              <w:t>N/A</w:t>
            </w:r>
          </w:p>
        </w:tc>
        <w:tc>
          <w:tcPr>
            <w:tcW w:w="709" w:type="dxa"/>
            <w:noWrap/>
            <w:tcMar>
              <w:top w:w="15" w:type="dxa"/>
              <w:left w:w="15" w:type="dxa"/>
              <w:bottom w:w="0" w:type="dxa"/>
              <w:right w:w="15" w:type="dxa"/>
            </w:tcMar>
            <w:vAlign w:val="center"/>
          </w:tcPr>
          <w:p w:rsidR="00FF5344" w:rsidRPr="00EF0531" w:rsidRDefault="00FF5344" w:rsidP="00FF5344">
            <w:pPr>
              <w:jc w:val="center"/>
              <w:rPr>
                <w:rFonts w:ascii="Arial" w:hAnsi="Arial" w:cs="Arial"/>
                <w:bCs/>
                <w:sz w:val="16"/>
                <w:szCs w:val="16"/>
              </w:rPr>
            </w:pPr>
            <w:r w:rsidRPr="00EF0531">
              <w:rPr>
                <w:rFonts w:ascii="Arial" w:hAnsi="Arial" w:cs="Arial"/>
                <w:bCs/>
                <w:sz w:val="16"/>
                <w:szCs w:val="16"/>
              </w:rPr>
              <w:t>261 496</w:t>
            </w:r>
          </w:p>
        </w:tc>
        <w:tc>
          <w:tcPr>
            <w:tcW w:w="709" w:type="dxa"/>
            <w:noWrap/>
            <w:tcMar>
              <w:top w:w="15" w:type="dxa"/>
              <w:left w:w="15" w:type="dxa"/>
              <w:bottom w:w="0" w:type="dxa"/>
              <w:right w:w="15" w:type="dxa"/>
            </w:tcMar>
            <w:vAlign w:val="center"/>
          </w:tcPr>
          <w:p w:rsidR="00FF5344" w:rsidRPr="00EF0531" w:rsidRDefault="00FF5344" w:rsidP="00FF5344">
            <w:pPr>
              <w:jc w:val="center"/>
              <w:rPr>
                <w:rFonts w:ascii="Arial" w:hAnsi="Arial" w:cs="Arial"/>
                <w:b/>
                <w:bCs/>
                <w:sz w:val="16"/>
                <w:szCs w:val="16"/>
              </w:rPr>
            </w:pPr>
            <w:r w:rsidRPr="00EF0531">
              <w:rPr>
                <w:rFonts w:ascii="Arial" w:hAnsi="Arial" w:cs="Arial"/>
                <w:b/>
                <w:bCs/>
                <w:sz w:val="16"/>
                <w:szCs w:val="16"/>
              </w:rPr>
              <w:t>261 496</w:t>
            </w:r>
          </w:p>
        </w:tc>
        <w:tc>
          <w:tcPr>
            <w:tcW w:w="1134" w:type="dxa"/>
            <w:noWrap/>
            <w:tcMar>
              <w:top w:w="15" w:type="dxa"/>
              <w:left w:w="15" w:type="dxa"/>
              <w:bottom w:w="0" w:type="dxa"/>
              <w:right w:w="15" w:type="dxa"/>
            </w:tcMar>
            <w:vAlign w:val="center"/>
          </w:tcPr>
          <w:p w:rsidR="00FF5344" w:rsidRPr="00EF0531" w:rsidRDefault="00FF5344" w:rsidP="00FF5344">
            <w:pPr>
              <w:jc w:val="center"/>
              <w:rPr>
                <w:rFonts w:ascii="Arial" w:hAnsi="Arial" w:cs="Arial"/>
                <w:i/>
                <w:iCs/>
                <w:sz w:val="16"/>
                <w:szCs w:val="16"/>
              </w:rPr>
            </w:pPr>
          </w:p>
        </w:tc>
      </w:tr>
      <w:tr w:rsidR="00FF5344" w:rsidRPr="000E0A45" w:rsidTr="00FF5344">
        <w:tblPrEx>
          <w:tblCellMar>
            <w:left w:w="108" w:type="dxa"/>
            <w:right w:w="108" w:type="dxa"/>
          </w:tblCellMar>
        </w:tblPrEx>
        <w:trPr>
          <w:trHeight w:val="268"/>
        </w:trPr>
        <w:tc>
          <w:tcPr>
            <w:tcW w:w="1433" w:type="dxa"/>
            <w:vMerge/>
            <w:shd w:val="clear" w:color="auto" w:fill="FFFF99"/>
            <w:vAlign w:val="center"/>
          </w:tcPr>
          <w:p w:rsidR="00FF5344" w:rsidRPr="00EF0531" w:rsidRDefault="00FF5344" w:rsidP="00FF5344">
            <w:pPr>
              <w:rPr>
                <w:rFonts w:ascii="Arial" w:hAnsi="Arial" w:cs="Arial"/>
                <w:sz w:val="16"/>
                <w:szCs w:val="16"/>
              </w:rPr>
            </w:pPr>
          </w:p>
        </w:tc>
        <w:tc>
          <w:tcPr>
            <w:tcW w:w="1182" w:type="dxa"/>
            <w:shd w:val="clear" w:color="auto" w:fill="CCFFFF"/>
            <w:noWrap/>
            <w:vAlign w:val="center"/>
          </w:tcPr>
          <w:p w:rsidR="00FF5344" w:rsidRPr="00EF0531" w:rsidRDefault="00FF5344" w:rsidP="00FF5344">
            <w:pPr>
              <w:rPr>
                <w:rFonts w:ascii="Arial" w:hAnsi="Arial" w:cs="Arial"/>
                <w:b/>
                <w:sz w:val="16"/>
                <w:szCs w:val="16"/>
              </w:rPr>
            </w:pPr>
            <w:r w:rsidRPr="00EF0531">
              <w:rPr>
                <w:rFonts w:ascii="Arial" w:hAnsi="Arial" w:cs="Arial"/>
                <w:b/>
                <w:sz w:val="16"/>
                <w:szCs w:val="16"/>
              </w:rPr>
              <w:t>Východisko</w:t>
            </w:r>
          </w:p>
        </w:tc>
        <w:tc>
          <w:tcPr>
            <w:tcW w:w="567" w:type="dxa"/>
            <w:noWrap/>
            <w:vAlign w:val="center"/>
          </w:tcPr>
          <w:p w:rsidR="00FF5344" w:rsidRPr="00EF0531" w:rsidRDefault="00FF5344" w:rsidP="00FF5344">
            <w:pPr>
              <w:jc w:val="center"/>
              <w:rPr>
                <w:rFonts w:ascii="Arial" w:hAnsi="Arial" w:cs="Arial"/>
                <w:bCs/>
                <w:sz w:val="16"/>
                <w:szCs w:val="16"/>
              </w:rPr>
            </w:pPr>
            <w:r w:rsidRPr="00EF0531">
              <w:rPr>
                <w:rFonts w:ascii="Arial" w:hAnsi="Arial" w:cs="Arial"/>
                <w:bCs/>
                <w:sz w:val="16"/>
                <w:szCs w:val="16"/>
              </w:rPr>
              <w:t>4 696</w:t>
            </w:r>
          </w:p>
        </w:tc>
        <w:tc>
          <w:tcPr>
            <w:tcW w:w="567" w:type="dxa"/>
            <w:noWrap/>
            <w:vAlign w:val="center"/>
          </w:tcPr>
          <w:p w:rsidR="00FF5344" w:rsidRPr="00EF0531" w:rsidRDefault="00FF5344" w:rsidP="00FF5344">
            <w:pPr>
              <w:jc w:val="center"/>
              <w:rPr>
                <w:rFonts w:ascii="Arial" w:hAnsi="Arial" w:cs="Arial"/>
                <w:iCs/>
                <w:sz w:val="16"/>
                <w:szCs w:val="16"/>
              </w:rPr>
            </w:pPr>
            <w:r w:rsidRPr="00EF0531">
              <w:rPr>
                <w:rFonts w:ascii="Arial" w:hAnsi="Arial" w:cs="Arial"/>
                <w:iCs/>
                <w:sz w:val="16"/>
                <w:szCs w:val="16"/>
              </w:rPr>
              <w:t>N/A</w:t>
            </w:r>
          </w:p>
        </w:tc>
        <w:tc>
          <w:tcPr>
            <w:tcW w:w="567" w:type="dxa"/>
            <w:noWrap/>
            <w:vAlign w:val="center"/>
          </w:tcPr>
          <w:p w:rsidR="00FF5344" w:rsidRPr="00EF0531" w:rsidRDefault="00FF5344" w:rsidP="00FF5344">
            <w:pPr>
              <w:jc w:val="center"/>
              <w:rPr>
                <w:rFonts w:ascii="Arial" w:hAnsi="Arial" w:cs="Arial"/>
                <w:iCs/>
                <w:sz w:val="16"/>
                <w:szCs w:val="16"/>
              </w:rPr>
            </w:pPr>
            <w:r w:rsidRPr="00EF0531">
              <w:rPr>
                <w:rFonts w:ascii="Arial" w:hAnsi="Arial" w:cs="Arial"/>
                <w:iCs/>
                <w:sz w:val="16"/>
                <w:szCs w:val="16"/>
              </w:rPr>
              <w:t>N/A</w:t>
            </w:r>
          </w:p>
        </w:tc>
        <w:tc>
          <w:tcPr>
            <w:tcW w:w="567" w:type="dxa"/>
            <w:noWrap/>
            <w:vAlign w:val="center"/>
          </w:tcPr>
          <w:p w:rsidR="00FF5344" w:rsidRPr="00EF0531" w:rsidRDefault="00FF5344" w:rsidP="00FF5344">
            <w:pPr>
              <w:jc w:val="center"/>
              <w:rPr>
                <w:rFonts w:ascii="Arial" w:hAnsi="Arial" w:cs="Arial"/>
                <w:iCs/>
                <w:sz w:val="16"/>
                <w:szCs w:val="16"/>
              </w:rPr>
            </w:pPr>
            <w:r w:rsidRPr="00EF0531">
              <w:rPr>
                <w:rFonts w:ascii="Arial" w:hAnsi="Arial" w:cs="Arial"/>
                <w:iCs/>
                <w:sz w:val="16"/>
                <w:szCs w:val="16"/>
              </w:rPr>
              <w:t>N/A</w:t>
            </w:r>
          </w:p>
        </w:tc>
        <w:tc>
          <w:tcPr>
            <w:tcW w:w="567" w:type="dxa"/>
            <w:noWrap/>
            <w:vAlign w:val="center"/>
          </w:tcPr>
          <w:p w:rsidR="00FF5344" w:rsidRPr="00EF0531" w:rsidRDefault="00FF5344" w:rsidP="00FF5344">
            <w:pPr>
              <w:jc w:val="center"/>
              <w:rPr>
                <w:rFonts w:ascii="Arial" w:hAnsi="Arial" w:cs="Arial"/>
                <w:iCs/>
                <w:sz w:val="16"/>
                <w:szCs w:val="16"/>
              </w:rPr>
            </w:pPr>
            <w:r w:rsidRPr="00EF0531">
              <w:rPr>
                <w:rFonts w:ascii="Arial" w:hAnsi="Arial" w:cs="Arial"/>
                <w:iCs/>
                <w:sz w:val="16"/>
                <w:szCs w:val="16"/>
              </w:rPr>
              <w:t>N/A</w:t>
            </w:r>
          </w:p>
        </w:tc>
        <w:tc>
          <w:tcPr>
            <w:tcW w:w="567" w:type="dxa"/>
            <w:noWrap/>
            <w:vAlign w:val="center"/>
          </w:tcPr>
          <w:p w:rsidR="00FF5344" w:rsidRPr="00EF0531" w:rsidRDefault="00FF5344" w:rsidP="00FF5344">
            <w:pPr>
              <w:jc w:val="center"/>
              <w:rPr>
                <w:rFonts w:ascii="Arial" w:hAnsi="Arial" w:cs="Arial"/>
                <w:iCs/>
                <w:sz w:val="16"/>
                <w:szCs w:val="16"/>
              </w:rPr>
            </w:pPr>
            <w:r w:rsidRPr="00EF0531">
              <w:rPr>
                <w:rFonts w:ascii="Arial" w:hAnsi="Arial" w:cs="Arial"/>
                <w:iCs/>
                <w:sz w:val="16"/>
                <w:szCs w:val="16"/>
              </w:rPr>
              <w:t>N/A</w:t>
            </w:r>
          </w:p>
        </w:tc>
        <w:tc>
          <w:tcPr>
            <w:tcW w:w="567" w:type="dxa"/>
            <w:noWrap/>
            <w:vAlign w:val="center"/>
          </w:tcPr>
          <w:p w:rsidR="00FF5344" w:rsidRPr="00EF0531" w:rsidRDefault="00FF5344" w:rsidP="00FF5344">
            <w:pPr>
              <w:jc w:val="center"/>
              <w:rPr>
                <w:rFonts w:ascii="Arial" w:hAnsi="Arial" w:cs="Arial"/>
                <w:iCs/>
                <w:sz w:val="16"/>
                <w:szCs w:val="16"/>
              </w:rPr>
            </w:pPr>
            <w:r w:rsidRPr="00EF0531">
              <w:rPr>
                <w:rFonts w:ascii="Arial" w:hAnsi="Arial" w:cs="Arial"/>
                <w:iCs/>
                <w:sz w:val="16"/>
                <w:szCs w:val="16"/>
              </w:rPr>
              <w:t>N/A</w:t>
            </w:r>
          </w:p>
        </w:tc>
        <w:tc>
          <w:tcPr>
            <w:tcW w:w="567" w:type="dxa"/>
            <w:noWrap/>
            <w:vAlign w:val="center"/>
          </w:tcPr>
          <w:p w:rsidR="00FF5344" w:rsidRPr="00EF0531" w:rsidRDefault="00FF5344" w:rsidP="00FF5344">
            <w:pPr>
              <w:jc w:val="center"/>
              <w:rPr>
                <w:rFonts w:ascii="Arial" w:hAnsi="Arial" w:cs="Arial"/>
                <w:iCs/>
                <w:sz w:val="16"/>
                <w:szCs w:val="16"/>
              </w:rPr>
            </w:pPr>
            <w:r w:rsidRPr="00EF0531">
              <w:rPr>
                <w:rFonts w:ascii="Arial" w:hAnsi="Arial" w:cs="Arial"/>
                <w:iCs/>
                <w:sz w:val="16"/>
                <w:szCs w:val="16"/>
              </w:rPr>
              <w:t>N/A</w:t>
            </w:r>
          </w:p>
        </w:tc>
        <w:tc>
          <w:tcPr>
            <w:tcW w:w="709" w:type="dxa"/>
            <w:noWrap/>
            <w:vAlign w:val="center"/>
          </w:tcPr>
          <w:p w:rsidR="00FF5344" w:rsidRPr="00EF0531" w:rsidRDefault="00FF5344" w:rsidP="00FF5344">
            <w:pPr>
              <w:jc w:val="center"/>
              <w:rPr>
                <w:rFonts w:ascii="Arial" w:hAnsi="Arial" w:cs="Arial"/>
                <w:iCs/>
                <w:sz w:val="16"/>
                <w:szCs w:val="16"/>
              </w:rPr>
            </w:pPr>
            <w:r w:rsidRPr="00EF0531">
              <w:rPr>
                <w:rFonts w:ascii="Arial" w:hAnsi="Arial" w:cs="Arial"/>
                <w:iCs/>
                <w:sz w:val="16"/>
                <w:szCs w:val="16"/>
              </w:rPr>
              <w:t>N/A</w:t>
            </w:r>
          </w:p>
        </w:tc>
        <w:tc>
          <w:tcPr>
            <w:tcW w:w="709" w:type="dxa"/>
            <w:noWrap/>
            <w:vAlign w:val="center"/>
          </w:tcPr>
          <w:p w:rsidR="00FF5344" w:rsidRPr="00EF0531" w:rsidRDefault="00FF5344" w:rsidP="00FF5344">
            <w:pPr>
              <w:jc w:val="center"/>
              <w:rPr>
                <w:rFonts w:ascii="Arial" w:hAnsi="Arial" w:cs="Arial"/>
                <w:b/>
                <w:bCs/>
                <w:sz w:val="16"/>
                <w:szCs w:val="16"/>
              </w:rPr>
            </w:pPr>
            <w:r w:rsidRPr="00EF0531">
              <w:rPr>
                <w:rFonts w:ascii="Arial" w:hAnsi="Arial" w:cs="Arial"/>
                <w:b/>
                <w:bCs/>
                <w:sz w:val="16"/>
                <w:szCs w:val="16"/>
              </w:rPr>
              <w:t>4 696</w:t>
            </w:r>
          </w:p>
        </w:tc>
        <w:tc>
          <w:tcPr>
            <w:tcW w:w="1134" w:type="dxa"/>
            <w:noWrap/>
            <w:vAlign w:val="center"/>
          </w:tcPr>
          <w:p w:rsidR="00FF5344" w:rsidRPr="00EF0531" w:rsidRDefault="00FF5344" w:rsidP="00FF5344">
            <w:pPr>
              <w:rPr>
                <w:rFonts w:ascii="Arial" w:hAnsi="Arial" w:cs="Arial"/>
                <w:sz w:val="16"/>
                <w:szCs w:val="16"/>
              </w:rPr>
            </w:pPr>
          </w:p>
        </w:tc>
      </w:tr>
      <w:tr w:rsidR="00FF5344" w:rsidRPr="000E0A45" w:rsidTr="00FF5344">
        <w:tblPrEx>
          <w:tblCellMar>
            <w:left w:w="108" w:type="dxa"/>
            <w:right w:w="108" w:type="dxa"/>
          </w:tblCellMar>
        </w:tblPrEx>
        <w:trPr>
          <w:trHeight w:val="268"/>
        </w:trPr>
        <w:tc>
          <w:tcPr>
            <w:tcW w:w="9703" w:type="dxa"/>
            <w:gridSpan w:val="13"/>
            <w:vAlign w:val="center"/>
          </w:tcPr>
          <w:p w:rsidR="00FF5344" w:rsidRPr="00EF0531" w:rsidRDefault="00FF5344" w:rsidP="00FF5344">
            <w:pPr>
              <w:jc w:val="center"/>
              <w:rPr>
                <w:rFonts w:ascii="Arial" w:hAnsi="Arial" w:cs="Arial"/>
                <w:sz w:val="16"/>
                <w:szCs w:val="16"/>
              </w:rPr>
            </w:pPr>
          </w:p>
        </w:tc>
      </w:tr>
      <w:tr w:rsidR="00FF5344" w:rsidRPr="000E0A45" w:rsidTr="00FF5344">
        <w:tblPrEx>
          <w:tblCellMar>
            <w:left w:w="108" w:type="dxa"/>
            <w:right w:w="108" w:type="dxa"/>
          </w:tblCellMar>
        </w:tblPrEx>
        <w:trPr>
          <w:trHeight w:val="268"/>
        </w:trPr>
        <w:tc>
          <w:tcPr>
            <w:tcW w:w="1433" w:type="dxa"/>
            <w:vMerge w:val="restart"/>
            <w:shd w:val="clear" w:color="auto" w:fill="FFFF99"/>
          </w:tcPr>
          <w:p w:rsidR="00FF5344" w:rsidRPr="00EF0531" w:rsidRDefault="00FF5344" w:rsidP="00FF5344">
            <w:pPr>
              <w:rPr>
                <w:rFonts w:ascii="Arial" w:eastAsia="EUAlbertina-Regular-Identity-H" w:hAnsi="Arial" w:cs="Arial"/>
                <w:sz w:val="16"/>
                <w:szCs w:val="16"/>
              </w:rPr>
            </w:pPr>
            <w:r w:rsidRPr="00EF0531">
              <w:rPr>
                <w:rFonts w:ascii="Arial" w:eastAsia="EUAlbertina-Regular-Identity-H" w:hAnsi="Arial" w:cs="Arial"/>
                <w:sz w:val="16"/>
                <w:szCs w:val="16"/>
              </w:rPr>
              <w:t>Počet novovytvorených pracovných miest (počet) dopad</w:t>
            </w:r>
          </w:p>
        </w:tc>
        <w:tc>
          <w:tcPr>
            <w:tcW w:w="1182" w:type="dxa"/>
            <w:shd w:val="clear" w:color="auto" w:fill="CCFFFF"/>
            <w:noWrap/>
            <w:vAlign w:val="center"/>
          </w:tcPr>
          <w:p w:rsidR="00FF5344" w:rsidRPr="00EF0531" w:rsidRDefault="00FF5344" w:rsidP="00FF5344">
            <w:pPr>
              <w:rPr>
                <w:rFonts w:ascii="Arial" w:eastAsia="EUAlbertina-Regular-Identity-H" w:hAnsi="Arial" w:cs="Arial"/>
                <w:b/>
                <w:sz w:val="16"/>
                <w:szCs w:val="16"/>
              </w:rPr>
            </w:pPr>
            <w:r w:rsidRPr="00EF0531">
              <w:rPr>
                <w:rFonts w:ascii="Arial" w:eastAsia="EUAlbertina-Regular-Identity-H" w:hAnsi="Arial" w:cs="Arial"/>
                <w:b/>
                <w:sz w:val="16"/>
                <w:szCs w:val="16"/>
              </w:rPr>
              <w:t>Dosiahnutý výsledok</w:t>
            </w:r>
          </w:p>
        </w:tc>
        <w:tc>
          <w:tcPr>
            <w:tcW w:w="567" w:type="dxa"/>
            <w:noWrap/>
            <w:vAlign w:val="center"/>
          </w:tcPr>
          <w:p w:rsidR="00FF5344" w:rsidRPr="00EF0531" w:rsidRDefault="00FF5344" w:rsidP="00FF5344">
            <w:pPr>
              <w:jc w:val="center"/>
              <w:rPr>
                <w:rFonts w:ascii="Arial" w:hAnsi="Arial" w:cs="Arial"/>
                <w:sz w:val="16"/>
                <w:szCs w:val="16"/>
              </w:rPr>
            </w:pPr>
            <w:r w:rsidRPr="00EF0531">
              <w:rPr>
                <w:rFonts w:ascii="Arial" w:hAnsi="Arial" w:cs="Arial"/>
                <w:sz w:val="16"/>
                <w:szCs w:val="16"/>
              </w:rPr>
              <w:t>0</w:t>
            </w:r>
          </w:p>
        </w:tc>
        <w:tc>
          <w:tcPr>
            <w:tcW w:w="567" w:type="dxa"/>
            <w:noWrap/>
            <w:vAlign w:val="center"/>
          </w:tcPr>
          <w:p w:rsidR="00FF5344" w:rsidRPr="00EF0531" w:rsidRDefault="00FF5344" w:rsidP="00FF5344">
            <w:pPr>
              <w:jc w:val="center"/>
              <w:rPr>
                <w:rFonts w:ascii="Arial" w:hAnsi="Arial" w:cs="Arial"/>
                <w:sz w:val="16"/>
                <w:szCs w:val="16"/>
              </w:rPr>
            </w:pPr>
            <w:r w:rsidRPr="00EF0531">
              <w:rPr>
                <w:rFonts w:ascii="Arial" w:hAnsi="Arial" w:cs="Arial"/>
                <w:sz w:val="16"/>
                <w:szCs w:val="16"/>
              </w:rPr>
              <w:t>0</w:t>
            </w:r>
          </w:p>
        </w:tc>
        <w:tc>
          <w:tcPr>
            <w:tcW w:w="567" w:type="dxa"/>
            <w:noWrap/>
            <w:vAlign w:val="center"/>
          </w:tcPr>
          <w:p w:rsidR="00FF5344" w:rsidRPr="00EF0531" w:rsidRDefault="00FF5344" w:rsidP="00FF5344">
            <w:pPr>
              <w:jc w:val="center"/>
              <w:rPr>
                <w:rFonts w:ascii="Arial" w:hAnsi="Arial" w:cs="Arial"/>
                <w:sz w:val="16"/>
                <w:szCs w:val="16"/>
              </w:rPr>
            </w:pPr>
            <w:r w:rsidRPr="00EF0531">
              <w:rPr>
                <w:rFonts w:ascii="Arial" w:hAnsi="Arial" w:cs="Arial"/>
                <w:sz w:val="16"/>
                <w:szCs w:val="16"/>
              </w:rPr>
              <w:t>0</w:t>
            </w:r>
          </w:p>
        </w:tc>
        <w:tc>
          <w:tcPr>
            <w:tcW w:w="567" w:type="dxa"/>
            <w:noWrap/>
            <w:vAlign w:val="center"/>
          </w:tcPr>
          <w:p w:rsidR="00FF5344" w:rsidRPr="00EF0531" w:rsidRDefault="00FF5344" w:rsidP="00FF5344">
            <w:pPr>
              <w:jc w:val="center"/>
              <w:rPr>
                <w:rFonts w:ascii="Arial" w:hAnsi="Arial" w:cs="Arial"/>
                <w:sz w:val="16"/>
                <w:szCs w:val="16"/>
              </w:rPr>
            </w:pPr>
            <w:r w:rsidRPr="00EF0531">
              <w:rPr>
                <w:rFonts w:ascii="Arial" w:hAnsi="Arial" w:cs="Arial"/>
                <w:sz w:val="16"/>
                <w:szCs w:val="16"/>
              </w:rPr>
              <w:t>0</w:t>
            </w:r>
          </w:p>
        </w:tc>
        <w:tc>
          <w:tcPr>
            <w:tcW w:w="567" w:type="dxa"/>
            <w:noWrap/>
            <w:vAlign w:val="center"/>
          </w:tcPr>
          <w:p w:rsidR="00FF5344" w:rsidRPr="00EF0531" w:rsidRDefault="00FF5344" w:rsidP="00FF5344">
            <w:pPr>
              <w:jc w:val="center"/>
              <w:rPr>
                <w:rFonts w:ascii="Arial" w:hAnsi="Arial" w:cs="Arial"/>
                <w:sz w:val="16"/>
                <w:szCs w:val="16"/>
              </w:rPr>
            </w:pPr>
            <w:r w:rsidRPr="00EF0531">
              <w:rPr>
                <w:rFonts w:ascii="Arial" w:hAnsi="Arial" w:cs="Arial"/>
                <w:sz w:val="16"/>
                <w:szCs w:val="16"/>
              </w:rPr>
              <w:t>0</w:t>
            </w:r>
          </w:p>
        </w:tc>
        <w:tc>
          <w:tcPr>
            <w:tcW w:w="567" w:type="dxa"/>
            <w:noWrap/>
            <w:vAlign w:val="center"/>
          </w:tcPr>
          <w:p w:rsidR="00FF5344" w:rsidRPr="00EF0531" w:rsidRDefault="009626ED" w:rsidP="00FF5344">
            <w:pPr>
              <w:jc w:val="center"/>
              <w:rPr>
                <w:rFonts w:ascii="Arial" w:hAnsi="Arial" w:cs="Arial"/>
                <w:sz w:val="16"/>
                <w:szCs w:val="16"/>
              </w:rPr>
            </w:pPr>
            <w:r w:rsidRPr="00EF0531">
              <w:rPr>
                <w:rFonts w:ascii="Arial" w:hAnsi="Arial" w:cs="Arial"/>
                <w:sz w:val="16"/>
                <w:szCs w:val="16"/>
              </w:rPr>
              <w:t>0</w:t>
            </w:r>
          </w:p>
        </w:tc>
        <w:tc>
          <w:tcPr>
            <w:tcW w:w="567" w:type="dxa"/>
            <w:noWrap/>
            <w:vAlign w:val="center"/>
          </w:tcPr>
          <w:p w:rsidR="00FF5344" w:rsidRPr="00EF0531" w:rsidRDefault="00FF5344" w:rsidP="00FF5344">
            <w:pPr>
              <w:jc w:val="center"/>
              <w:rPr>
                <w:rFonts w:ascii="Arial" w:hAnsi="Arial" w:cs="Arial"/>
              </w:rPr>
            </w:pPr>
            <w:r w:rsidRPr="00EF0531">
              <w:rPr>
                <w:rFonts w:ascii="Arial" w:hAnsi="Arial" w:cs="Arial"/>
                <w:sz w:val="16"/>
                <w:szCs w:val="16"/>
              </w:rPr>
              <w:t>N/A</w:t>
            </w:r>
          </w:p>
        </w:tc>
        <w:tc>
          <w:tcPr>
            <w:tcW w:w="567" w:type="dxa"/>
            <w:noWrap/>
            <w:vAlign w:val="center"/>
          </w:tcPr>
          <w:p w:rsidR="00FF5344" w:rsidRPr="00EF0531" w:rsidRDefault="00FF5344" w:rsidP="00FF5344">
            <w:pPr>
              <w:jc w:val="center"/>
              <w:rPr>
                <w:rFonts w:ascii="Arial" w:hAnsi="Arial" w:cs="Arial"/>
              </w:rPr>
            </w:pPr>
            <w:r w:rsidRPr="00EF0531">
              <w:rPr>
                <w:rFonts w:ascii="Arial" w:hAnsi="Arial" w:cs="Arial"/>
                <w:sz w:val="16"/>
                <w:szCs w:val="16"/>
              </w:rPr>
              <w:t>N/A</w:t>
            </w:r>
          </w:p>
        </w:tc>
        <w:tc>
          <w:tcPr>
            <w:tcW w:w="709" w:type="dxa"/>
            <w:noWrap/>
            <w:vAlign w:val="center"/>
          </w:tcPr>
          <w:p w:rsidR="00FF5344" w:rsidRPr="00EF0531" w:rsidRDefault="00FF5344" w:rsidP="00FF5344">
            <w:pPr>
              <w:jc w:val="center"/>
              <w:rPr>
                <w:rFonts w:ascii="Arial" w:hAnsi="Arial" w:cs="Arial"/>
              </w:rPr>
            </w:pPr>
            <w:r w:rsidRPr="00EF0531">
              <w:rPr>
                <w:rFonts w:ascii="Arial" w:hAnsi="Arial" w:cs="Arial"/>
                <w:sz w:val="16"/>
                <w:szCs w:val="16"/>
              </w:rPr>
              <w:t>N/A</w:t>
            </w:r>
          </w:p>
        </w:tc>
        <w:tc>
          <w:tcPr>
            <w:tcW w:w="709" w:type="dxa"/>
            <w:noWrap/>
            <w:vAlign w:val="center"/>
          </w:tcPr>
          <w:p w:rsidR="00FF5344" w:rsidRPr="00EF0531" w:rsidRDefault="00FF5344" w:rsidP="00FF5344">
            <w:pPr>
              <w:jc w:val="center"/>
              <w:rPr>
                <w:rFonts w:ascii="Arial" w:hAnsi="Arial" w:cs="Arial"/>
                <w:b/>
                <w:sz w:val="16"/>
                <w:szCs w:val="16"/>
              </w:rPr>
            </w:pPr>
            <w:r w:rsidRPr="00EF0531">
              <w:rPr>
                <w:rFonts w:ascii="Arial" w:hAnsi="Arial" w:cs="Arial"/>
                <w:b/>
                <w:sz w:val="16"/>
                <w:szCs w:val="16"/>
              </w:rPr>
              <w:t>0</w:t>
            </w:r>
          </w:p>
        </w:tc>
        <w:tc>
          <w:tcPr>
            <w:tcW w:w="1134" w:type="dxa"/>
            <w:noWrap/>
            <w:vAlign w:val="center"/>
          </w:tcPr>
          <w:p w:rsidR="00FF5344" w:rsidRPr="00EF0531" w:rsidRDefault="00FF5344" w:rsidP="00FF5344">
            <w:pPr>
              <w:rPr>
                <w:rFonts w:ascii="Arial" w:hAnsi="Arial" w:cs="Arial"/>
                <w:sz w:val="16"/>
                <w:szCs w:val="16"/>
              </w:rPr>
            </w:pPr>
          </w:p>
        </w:tc>
      </w:tr>
      <w:tr w:rsidR="00FF5344" w:rsidRPr="000E0A45" w:rsidTr="00FF5344">
        <w:tblPrEx>
          <w:tblCellMar>
            <w:left w:w="108" w:type="dxa"/>
            <w:right w:w="108" w:type="dxa"/>
          </w:tblCellMar>
        </w:tblPrEx>
        <w:trPr>
          <w:trHeight w:val="268"/>
        </w:trPr>
        <w:tc>
          <w:tcPr>
            <w:tcW w:w="1433" w:type="dxa"/>
            <w:vMerge/>
            <w:shd w:val="clear" w:color="auto" w:fill="FFFF99"/>
          </w:tcPr>
          <w:p w:rsidR="00FF5344" w:rsidRPr="00EF0531" w:rsidRDefault="00FF5344" w:rsidP="00FF5344">
            <w:pPr>
              <w:rPr>
                <w:rFonts w:ascii="Arial" w:eastAsia="EUAlbertina-Regular-Identity-H" w:hAnsi="Arial" w:cs="Arial"/>
                <w:b/>
                <w:sz w:val="16"/>
                <w:szCs w:val="16"/>
              </w:rPr>
            </w:pPr>
          </w:p>
        </w:tc>
        <w:tc>
          <w:tcPr>
            <w:tcW w:w="1182" w:type="dxa"/>
            <w:shd w:val="clear" w:color="auto" w:fill="CCFFFF"/>
            <w:noWrap/>
            <w:vAlign w:val="center"/>
          </w:tcPr>
          <w:p w:rsidR="00FF5344" w:rsidRPr="00EF0531" w:rsidRDefault="00FF5344" w:rsidP="00FF5344">
            <w:pPr>
              <w:rPr>
                <w:rFonts w:ascii="Arial" w:eastAsia="EUAlbertina-Regular-Identity-H" w:hAnsi="Arial" w:cs="Arial"/>
                <w:b/>
                <w:sz w:val="16"/>
                <w:szCs w:val="16"/>
              </w:rPr>
            </w:pPr>
            <w:r w:rsidRPr="00EF0531">
              <w:rPr>
                <w:rFonts w:ascii="Arial" w:eastAsia="EUAlbertina-Regular-Identity-H" w:hAnsi="Arial" w:cs="Arial"/>
                <w:b/>
                <w:sz w:val="16"/>
                <w:szCs w:val="16"/>
              </w:rPr>
              <w:t xml:space="preserve">Cieľ </w:t>
            </w:r>
          </w:p>
        </w:tc>
        <w:tc>
          <w:tcPr>
            <w:tcW w:w="567" w:type="dxa"/>
            <w:noWrap/>
            <w:vAlign w:val="center"/>
          </w:tcPr>
          <w:p w:rsidR="00FF5344" w:rsidRPr="00EF0531" w:rsidRDefault="00FF5344" w:rsidP="00FF5344">
            <w:pPr>
              <w:jc w:val="center"/>
              <w:rPr>
                <w:rFonts w:ascii="Arial" w:hAnsi="Arial" w:cs="Arial"/>
              </w:rPr>
            </w:pPr>
            <w:r w:rsidRPr="00EF0531">
              <w:rPr>
                <w:rFonts w:ascii="Arial" w:hAnsi="Arial" w:cs="Arial"/>
                <w:sz w:val="16"/>
                <w:szCs w:val="16"/>
              </w:rPr>
              <w:t>N/A</w:t>
            </w:r>
          </w:p>
        </w:tc>
        <w:tc>
          <w:tcPr>
            <w:tcW w:w="567" w:type="dxa"/>
            <w:noWrap/>
            <w:vAlign w:val="center"/>
          </w:tcPr>
          <w:p w:rsidR="00FF5344" w:rsidRPr="00EF0531" w:rsidRDefault="00FF5344" w:rsidP="00FF5344">
            <w:pPr>
              <w:jc w:val="center"/>
              <w:rPr>
                <w:rFonts w:ascii="Arial" w:hAnsi="Arial" w:cs="Arial"/>
              </w:rPr>
            </w:pPr>
            <w:r w:rsidRPr="00EF0531">
              <w:rPr>
                <w:rFonts w:ascii="Arial" w:hAnsi="Arial" w:cs="Arial"/>
                <w:sz w:val="16"/>
                <w:szCs w:val="16"/>
              </w:rPr>
              <w:t>N/A</w:t>
            </w:r>
          </w:p>
        </w:tc>
        <w:tc>
          <w:tcPr>
            <w:tcW w:w="567" w:type="dxa"/>
            <w:noWrap/>
            <w:vAlign w:val="center"/>
          </w:tcPr>
          <w:p w:rsidR="00FF5344" w:rsidRPr="00EF0531" w:rsidRDefault="00FF5344" w:rsidP="00FF5344">
            <w:pPr>
              <w:jc w:val="center"/>
              <w:rPr>
                <w:rFonts w:ascii="Arial" w:hAnsi="Arial" w:cs="Arial"/>
              </w:rPr>
            </w:pPr>
            <w:r w:rsidRPr="00EF0531">
              <w:rPr>
                <w:rFonts w:ascii="Arial" w:hAnsi="Arial" w:cs="Arial"/>
                <w:sz w:val="16"/>
                <w:szCs w:val="16"/>
              </w:rPr>
              <w:t>N/A</w:t>
            </w:r>
          </w:p>
        </w:tc>
        <w:tc>
          <w:tcPr>
            <w:tcW w:w="567" w:type="dxa"/>
            <w:noWrap/>
            <w:vAlign w:val="center"/>
          </w:tcPr>
          <w:p w:rsidR="00FF5344" w:rsidRPr="00EF0531" w:rsidRDefault="00FF5344" w:rsidP="00FF5344">
            <w:pPr>
              <w:jc w:val="center"/>
              <w:rPr>
                <w:rFonts w:ascii="Arial" w:hAnsi="Arial" w:cs="Arial"/>
              </w:rPr>
            </w:pPr>
            <w:r w:rsidRPr="00EF0531">
              <w:rPr>
                <w:rFonts w:ascii="Arial" w:hAnsi="Arial" w:cs="Arial"/>
                <w:sz w:val="16"/>
                <w:szCs w:val="16"/>
              </w:rPr>
              <w:t>N/A</w:t>
            </w:r>
          </w:p>
        </w:tc>
        <w:tc>
          <w:tcPr>
            <w:tcW w:w="567" w:type="dxa"/>
            <w:noWrap/>
            <w:vAlign w:val="center"/>
          </w:tcPr>
          <w:p w:rsidR="00FF5344" w:rsidRPr="00EF0531" w:rsidRDefault="00FF5344" w:rsidP="00FF5344">
            <w:pPr>
              <w:jc w:val="center"/>
              <w:rPr>
                <w:rFonts w:ascii="Arial" w:hAnsi="Arial" w:cs="Arial"/>
              </w:rPr>
            </w:pPr>
            <w:r w:rsidRPr="00EF0531">
              <w:rPr>
                <w:rFonts w:ascii="Arial" w:hAnsi="Arial" w:cs="Arial"/>
                <w:sz w:val="16"/>
                <w:szCs w:val="16"/>
              </w:rPr>
              <w:t>N/A</w:t>
            </w:r>
          </w:p>
        </w:tc>
        <w:tc>
          <w:tcPr>
            <w:tcW w:w="567" w:type="dxa"/>
            <w:noWrap/>
            <w:vAlign w:val="center"/>
          </w:tcPr>
          <w:p w:rsidR="00FF5344" w:rsidRPr="00EF0531" w:rsidRDefault="00FF5344" w:rsidP="00FF5344">
            <w:pPr>
              <w:jc w:val="center"/>
              <w:rPr>
                <w:rFonts w:ascii="Arial" w:hAnsi="Arial" w:cs="Arial"/>
              </w:rPr>
            </w:pPr>
            <w:r w:rsidRPr="00EF0531">
              <w:rPr>
                <w:rFonts w:ascii="Arial" w:hAnsi="Arial" w:cs="Arial"/>
                <w:sz w:val="16"/>
                <w:szCs w:val="16"/>
              </w:rPr>
              <w:t>N/A</w:t>
            </w:r>
          </w:p>
        </w:tc>
        <w:tc>
          <w:tcPr>
            <w:tcW w:w="567" w:type="dxa"/>
            <w:noWrap/>
            <w:vAlign w:val="center"/>
          </w:tcPr>
          <w:p w:rsidR="00FF5344" w:rsidRPr="00EF0531" w:rsidRDefault="00FF5344" w:rsidP="00FF5344">
            <w:pPr>
              <w:jc w:val="center"/>
              <w:rPr>
                <w:rFonts w:ascii="Arial" w:hAnsi="Arial" w:cs="Arial"/>
              </w:rPr>
            </w:pPr>
            <w:r w:rsidRPr="00EF0531">
              <w:rPr>
                <w:rFonts w:ascii="Arial" w:hAnsi="Arial" w:cs="Arial"/>
                <w:sz w:val="16"/>
                <w:szCs w:val="16"/>
              </w:rPr>
              <w:t>N/A</w:t>
            </w:r>
          </w:p>
        </w:tc>
        <w:tc>
          <w:tcPr>
            <w:tcW w:w="567" w:type="dxa"/>
            <w:noWrap/>
            <w:vAlign w:val="center"/>
          </w:tcPr>
          <w:p w:rsidR="00FF5344" w:rsidRPr="00EF0531" w:rsidRDefault="00FF5344" w:rsidP="00FF5344">
            <w:pPr>
              <w:jc w:val="center"/>
              <w:rPr>
                <w:rFonts w:ascii="Arial" w:hAnsi="Arial" w:cs="Arial"/>
              </w:rPr>
            </w:pPr>
            <w:r w:rsidRPr="00EF0531">
              <w:rPr>
                <w:rFonts w:ascii="Arial" w:hAnsi="Arial" w:cs="Arial"/>
                <w:sz w:val="16"/>
                <w:szCs w:val="16"/>
              </w:rPr>
              <w:t>N/A</w:t>
            </w:r>
          </w:p>
        </w:tc>
        <w:tc>
          <w:tcPr>
            <w:tcW w:w="709" w:type="dxa"/>
            <w:noWrap/>
            <w:vAlign w:val="center"/>
          </w:tcPr>
          <w:p w:rsidR="00FF5344" w:rsidRPr="00EF0531" w:rsidRDefault="00961A0E" w:rsidP="00FF5344">
            <w:pPr>
              <w:jc w:val="center"/>
              <w:rPr>
                <w:rFonts w:ascii="Arial" w:hAnsi="Arial" w:cs="Arial"/>
              </w:rPr>
            </w:pPr>
            <w:r>
              <w:rPr>
                <w:rFonts w:ascii="Arial" w:hAnsi="Arial" w:cs="Arial"/>
                <w:sz w:val="16"/>
                <w:szCs w:val="16"/>
              </w:rPr>
              <w:t>200</w:t>
            </w:r>
          </w:p>
        </w:tc>
        <w:tc>
          <w:tcPr>
            <w:tcW w:w="709" w:type="dxa"/>
            <w:noWrap/>
            <w:vAlign w:val="center"/>
          </w:tcPr>
          <w:p w:rsidR="00FF5344" w:rsidRPr="00EF0531" w:rsidRDefault="00961A0E" w:rsidP="00FF5344">
            <w:pPr>
              <w:jc w:val="center"/>
              <w:rPr>
                <w:rFonts w:ascii="Arial" w:hAnsi="Arial" w:cs="Arial"/>
                <w:b/>
                <w:sz w:val="16"/>
                <w:szCs w:val="16"/>
              </w:rPr>
            </w:pPr>
            <w:r>
              <w:rPr>
                <w:rFonts w:ascii="Arial" w:hAnsi="Arial" w:cs="Arial"/>
                <w:b/>
                <w:sz w:val="16"/>
                <w:szCs w:val="16"/>
              </w:rPr>
              <w:t>200</w:t>
            </w:r>
          </w:p>
        </w:tc>
        <w:tc>
          <w:tcPr>
            <w:tcW w:w="1134" w:type="dxa"/>
            <w:noWrap/>
            <w:vAlign w:val="center"/>
          </w:tcPr>
          <w:p w:rsidR="00FF5344" w:rsidRDefault="00254254" w:rsidP="00FF5344">
            <w:pPr>
              <w:jc w:val="center"/>
              <w:rPr>
                <w:rFonts w:ascii="Arial" w:hAnsi="Arial" w:cs="Arial"/>
                <w:b/>
                <w:sz w:val="16"/>
                <w:szCs w:val="16"/>
              </w:rPr>
            </w:pPr>
            <w:r>
              <w:rPr>
                <w:rFonts w:ascii="Arial" w:hAnsi="Arial" w:cs="Arial"/>
                <w:b/>
                <w:sz w:val="16"/>
                <w:szCs w:val="16"/>
              </w:rPr>
              <w:t>1</w:t>
            </w:r>
            <w:r w:rsidR="00961A0E">
              <w:rPr>
                <w:rFonts w:ascii="Arial" w:hAnsi="Arial" w:cs="Arial"/>
                <w:b/>
                <w:sz w:val="16"/>
                <w:szCs w:val="16"/>
              </w:rPr>
              <w:t>3</w:t>
            </w:r>
          </w:p>
          <w:p w:rsidR="00254254" w:rsidRPr="00254254" w:rsidRDefault="00254254" w:rsidP="00FF5344">
            <w:pPr>
              <w:jc w:val="center"/>
              <w:rPr>
                <w:rFonts w:ascii="Arial" w:hAnsi="Arial" w:cs="Arial"/>
                <w:sz w:val="16"/>
                <w:szCs w:val="16"/>
              </w:rPr>
            </w:pPr>
            <w:r w:rsidRPr="00254254">
              <w:rPr>
                <w:rFonts w:ascii="Arial" w:hAnsi="Arial" w:cs="Arial"/>
                <w:sz w:val="16"/>
                <w:szCs w:val="16"/>
              </w:rPr>
              <w:t>Po ukončení realizácie všetkých projektov</w:t>
            </w:r>
          </w:p>
        </w:tc>
      </w:tr>
      <w:tr w:rsidR="00FF5344" w:rsidRPr="000E0A45" w:rsidTr="00FF5344">
        <w:tblPrEx>
          <w:tblCellMar>
            <w:left w:w="108" w:type="dxa"/>
            <w:right w:w="108" w:type="dxa"/>
          </w:tblCellMar>
        </w:tblPrEx>
        <w:trPr>
          <w:trHeight w:val="115"/>
        </w:trPr>
        <w:tc>
          <w:tcPr>
            <w:tcW w:w="1433" w:type="dxa"/>
            <w:vMerge/>
            <w:shd w:val="clear" w:color="auto" w:fill="FFFF99"/>
          </w:tcPr>
          <w:p w:rsidR="00FF5344" w:rsidRPr="00EF0531" w:rsidRDefault="00FF5344" w:rsidP="00FF5344">
            <w:pPr>
              <w:rPr>
                <w:rFonts w:ascii="Arial" w:eastAsia="EUAlbertina-Regular-Identity-H" w:hAnsi="Arial" w:cs="Arial"/>
                <w:b/>
                <w:sz w:val="16"/>
                <w:szCs w:val="16"/>
              </w:rPr>
            </w:pPr>
          </w:p>
        </w:tc>
        <w:tc>
          <w:tcPr>
            <w:tcW w:w="1182" w:type="dxa"/>
            <w:shd w:val="clear" w:color="auto" w:fill="CCFFFF"/>
            <w:noWrap/>
            <w:vAlign w:val="center"/>
          </w:tcPr>
          <w:p w:rsidR="00FF5344" w:rsidRPr="00EF0531" w:rsidRDefault="00FF5344" w:rsidP="00FF5344">
            <w:pPr>
              <w:rPr>
                <w:rFonts w:ascii="Arial" w:eastAsia="EUAlbertina-Regular-Identity-H" w:hAnsi="Arial" w:cs="Arial"/>
                <w:b/>
                <w:sz w:val="16"/>
                <w:szCs w:val="16"/>
              </w:rPr>
            </w:pPr>
            <w:r w:rsidRPr="00EF0531">
              <w:rPr>
                <w:rFonts w:ascii="Arial" w:eastAsia="EUAlbertina-Regular-Identity-H" w:hAnsi="Arial" w:cs="Arial"/>
                <w:b/>
                <w:sz w:val="16"/>
                <w:szCs w:val="16"/>
              </w:rPr>
              <w:t>Východisko</w:t>
            </w:r>
          </w:p>
        </w:tc>
        <w:tc>
          <w:tcPr>
            <w:tcW w:w="567" w:type="dxa"/>
            <w:noWrap/>
            <w:vAlign w:val="center"/>
          </w:tcPr>
          <w:p w:rsidR="00FF5344" w:rsidRPr="00EF0531" w:rsidRDefault="00FF5344" w:rsidP="00FF5344">
            <w:pPr>
              <w:jc w:val="center"/>
              <w:rPr>
                <w:rFonts w:ascii="Arial" w:hAnsi="Arial" w:cs="Arial"/>
                <w:sz w:val="16"/>
                <w:szCs w:val="16"/>
              </w:rPr>
            </w:pPr>
            <w:r w:rsidRPr="00EF0531">
              <w:rPr>
                <w:rFonts w:ascii="Arial" w:hAnsi="Arial" w:cs="Arial"/>
                <w:sz w:val="16"/>
                <w:szCs w:val="16"/>
              </w:rPr>
              <w:t>0</w:t>
            </w:r>
          </w:p>
        </w:tc>
        <w:tc>
          <w:tcPr>
            <w:tcW w:w="567" w:type="dxa"/>
            <w:noWrap/>
            <w:vAlign w:val="center"/>
          </w:tcPr>
          <w:p w:rsidR="00FF5344" w:rsidRPr="00EF0531" w:rsidRDefault="00FF5344" w:rsidP="00FF5344">
            <w:pPr>
              <w:jc w:val="center"/>
              <w:rPr>
                <w:rFonts w:ascii="Arial" w:hAnsi="Arial" w:cs="Arial"/>
              </w:rPr>
            </w:pPr>
            <w:r w:rsidRPr="00EF0531">
              <w:rPr>
                <w:rFonts w:ascii="Arial" w:hAnsi="Arial" w:cs="Arial"/>
                <w:sz w:val="16"/>
                <w:szCs w:val="16"/>
              </w:rPr>
              <w:t>N/A</w:t>
            </w:r>
          </w:p>
        </w:tc>
        <w:tc>
          <w:tcPr>
            <w:tcW w:w="567" w:type="dxa"/>
            <w:noWrap/>
            <w:vAlign w:val="center"/>
          </w:tcPr>
          <w:p w:rsidR="00FF5344" w:rsidRPr="00EF0531" w:rsidRDefault="00FF5344" w:rsidP="00FF5344">
            <w:pPr>
              <w:jc w:val="center"/>
              <w:rPr>
                <w:rFonts w:ascii="Arial" w:hAnsi="Arial" w:cs="Arial"/>
              </w:rPr>
            </w:pPr>
            <w:r w:rsidRPr="00EF0531">
              <w:rPr>
                <w:rFonts w:ascii="Arial" w:hAnsi="Arial" w:cs="Arial"/>
                <w:sz w:val="16"/>
                <w:szCs w:val="16"/>
              </w:rPr>
              <w:t>N/A</w:t>
            </w:r>
          </w:p>
        </w:tc>
        <w:tc>
          <w:tcPr>
            <w:tcW w:w="567" w:type="dxa"/>
            <w:noWrap/>
            <w:vAlign w:val="center"/>
          </w:tcPr>
          <w:p w:rsidR="00FF5344" w:rsidRPr="00EF0531" w:rsidRDefault="00FF5344" w:rsidP="00FF5344">
            <w:pPr>
              <w:jc w:val="center"/>
              <w:rPr>
                <w:rFonts w:ascii="Arial" w:hAnsi="Arial" w:cs="Arial"/>
              </w:rPr>
            </w:pPr>
            <w:r w:rsidRPr="00EF0531">
              <w:rPr>
                <w:rFonts w:ascii="Arial" w:hAnsi="Arial" w:cs="Arial"/>
                <w:sz w:val="16"/>
                <w:szCs w:val="16"/>
              </w:rPr>
              <w:t>N/A</w:t>
            </w:r>
          </w:p>
        </w:tc>
        <w:tc>
          <w:tcPr>
            <w:tcW w:w="567" w:type="dxa"/>
            <w:noWrap/>
            <w:vAlign w:val="center"/>
          </w:tcPr>
          <w:p w:rsidR="00FF5344" w:rsidRPr="00EF0531" w:rsidRDefault="00FF5344" w:rsidP="00FF5344">
            <w:pPr>
              <w:jc w:val="center"/>
              <w:rPr>
                <w:rFonts w:ascii="Arial" w:hAnsi="Arial" w:cs="Arial"/>
              </w:rPr>
            </w:pPr>
            <w:r w:rsidRPr="00EF0531">
              <w:rPr>
                <w:rFonts w:ascii="Arial" w:hAnsi="Arial" w:cs="Arial"/>
                <w:sz w:val="16"/>
                <w:szCs w:val="16"/>
              </w:rPr>
              <w:t>N/A</w:t>
            </w:r>
          </w:p>
        </w:tc>
        <w:tc>
          <w:tcPr>
            <w:tcW w:w="567" w:type="dxa"/>
            <w:noWrap/>
            <w:vAlign w:val="center"/>
          </w:tcPr>
          <w:p w:rsidR="00FF5344" w:rsidRPr="00EF0531" w:rsidRDefault="00FF5344" w:rsidP="00FF5344">
            <w:pPr>
              <w:jc w:val="center"/>
              <w:rPr>
                <w:rFonts w:ascii="Arial" w:hAnsi="Arial" w:cs="Arial"/>
              </w:rPr>
            </w:pPr>
            <w:r w:rsidRPr="00EF0531">
              <w:rPr>
                <w:rFonts w:ascii="Arial" w:hAnsi="Arial" w:cs="Arial"/>
                <w:sz w:val="16"/>
                <w:szCs w:val="16"/>
              </w:rPr>
              <w:t>N/A</w:t>
            </w:r>
          </w:p>
        </w:tc>
        <w:tc>
          <w:tcPr>
            <w:tcW w:w="567" w:type="dxa"/>
            <w:noWrap/>
            <w:vAlign w:val="center"/>
          </w:tcPr>
          <w:p w:rsidR="00FF5344" w:rsidRPr="00EF0531" w:rsidRDefault="00FF5344" w:rsidP="00FF5344">
            <w:pPr>
              <w:jc w:val="center"/>
              <w:rPr>
                <w:rFonts w:ascii="Arial" w:hAnsi="Arial" w:cs="Arial"/>
              </w:rPr>
            </w:pPr>
            <w:r w:rsidRPr="00EF0531">
              <w:rPr>
                <w:rFonts w:ascii="Arial" w:hAnsi="Arial" w:cs="Arial"/>
                <w:sz w:val="16"/>
                <w:szCs w:val="16"/>
              </w:rPr>
              <w:t>N/A</w:t>
            </w:r>
          </w:p>
        </w:tc>
        <w:tc>
          <w:tcPr>
            <w:tcW w:w="567" w:type="dxa"/>
            <w:noWrap/>
            <w:vAlign w:val="center"/>
          </w:tcPr>
          <w:p w:rsidR="00FF5344" w:rsidRPr="00EF0531" w:rsidRDefault="00FF5344" w:rsidP="00FF5344">
            <w:pPr>
              <w:jc w:val="center"/>
              <w:rPr>
                <w:rFonts w:ascii="Arial" w:hAnsi="Arial" w:cs="Arial"/>
              </w:rPr>
            </w:pPr>
            <w:r w:rsidRPr="00EF0531">
              <w:rPr>
                <w:rFonts w:ascii="Arial" w:hAnsi="Arial" w:cs="Arial"/>
                <w:sz w:val="16"/>
                <w:szCs w:val="16"/>
              </w:rPr>
              <w:t>N/A</w:t>
            </w:r>
          </w:p>
        </w:tc>
        <w:tc>
          <w:tcPr>
            <w:tcW w:w="709" w:type="dxa"/>
            <w:noWrap/>
            <w:vAlign w:val="center"/>
          </w:tcPr>
          <w:p w:rsidR="00FF5344" w:rsidRPr="00EF0531" w:rsidRDefault="00FF5344" w:rsidP="00FF5344">
            <w:pPr>
              <w:jc w:val="center"/>
              <w:rPr>
                <w:rFonts w:ascii="Arial" w:hAnsi="Arial" w:cs="Arial"/>
                <w:sz w:val="16"/>
                <w:szCs w:val="16"/>
              </w:rPr>
            </w:pPr>
            <w:r w:rsidRPr="00EF0531">
              <w:rPr>
                <w:rFonts w:ascii="Arial" w:hAnsi="Arial" w:cs="Arial"/>
                <w:sz w:val="16"/>
                <w:szCs w:val="16"/>
              </w:rPr>
              <w:t>0</w:t>
            </w:r>
          </w:p>
        </w:tc>
        <w:tc>
          <w:tcPr>
            <w:tcW w:w="709" w:type="dxa"/>
            <w:noWrap/>
            <w:vAlign w:val="center"/>
          </w:tcPr>
          <w:p w:rsidR="00FF5344" w:rsidRPr="00EF0531" w:rsidRDefault="00FF5344" w:rsidP="00FF5344">
            <w:pPr>
              <w:jc w:val="center"/>
              <w:rPr>
                <w:rFonts w:ascii="Arial" w:hAnsi="Arial" w:cs="Arial"/>
                <w:b/>
                <w:sz w:val="16"/>
                <w:szCs w:val="16"/>
              </w:rPr>
            </w:pPr>
            <w:r w:rsidRPr="00EF0531">
              <w:rPr>
                <w:rFonts w:ascii="Arial" w:hAnsi="Arial" w:cs="Arial"/>
                <w:b/>
                <w:sz w:val="16"/>
                <w:szCs w:val="16"/>
              </w:rPr>
              <w:t>0</w:t>
            </w:r>
          </w:p>
        </w:tc>
        <w:tc>
          <w:tcPr>
            <w:tcW w:w="1134" w:type="dxa"/>
            <w:noWrap/>
            <w:vAlign w:val="center"/>
          </w:tcPr>
          <w:p w:rsidR="00FF5344" w:rsidRPr="00EF0531" w:rsidRDefault="00FF5344" w:rsidP="00FF5344">
            <w:pPr>
              <w:jc w:val="center"/>
              <w:rPr>
                <w:rFonts w:ascii="Arial" w:hAnsi="Arial" w:cs="Arial"/>
                <w:sz w:val="16"/>
                <w:szCs w:val="16"/>
              </w:rPr>
            </w:pPr>
          </w:p>
        </w:tc>
      </w:tr>
      <w:tr w:rsidR="00FF5344" w:rsidRPr="000E0A45" w:rsidTr="00FF5344">
        <w:trPr>
          <w:trHeight w:val="347"/>
        </w:trPr>
        <w:tc>
          <w:tcPr>
            <w:tcW w:w="9703" w:type="dxa"/>
            <w:gridSpan w:val="13"/>
            <w:shd w:val="clear" w:color="auto" w:fill="CCFFFF"/>
            <w:noWrap/>
            <w:tcMar>
              <w:top w:w="15" w:type="dxa"/>
              <w:left w:w="15" w:type="dxa"/>
              <w:bottom w:w="0" w:type="dxa"/>
              <w:right w:w="15" w:type="dxa"/>
            </w:tcMar>
            <w:vAlign w:val="center"/>
          </w:tcPr>
          <w:p w:rsidR="00FF5344" w:rsidRPr="00EF0531" w:rsidRDefault="00FF5344" w:rsidP="00FF5344">
            <w:pPr>
              <w:rPr>
                <w:rFonts w:ascii="Arial" w:hAnsi="Arial" w:cs="Arial"/>
                <w:b/>
                <w:bCs/>
                <w:sz w:val="16"/>
                <w:szCs w:val="16"/>
              </w:rPr>
            </w:pPr>
            <w:r w:rsidRPr="00EF0531">
              <w:rPr>
                <w:rFonts w:ascii="Arial" w:hAnsi="Arial" w:cs="Arial"/>
                <w:b/>
                <w:bCs/>
                <w:sz w:val="16"/>
                <w:szCs w:val="16"/>
              </w:rPr>
              <w:t>Prioritná os 2 - Ochrana pred povodňami</w:t>
            </w:r>
          </w:p>
        </w:tc>
      </w:tr>
      <w:tr w:rsidR="00FF5344" w:rsidRPr="000E0A45" w:rsidTr="00FF5344">
        <w:trPr>
          <w:trHeight w:val="20"/>
        </w:trPr>
        <w:tc>
          <w:tcPr>
            <w:tcW w:w="1433" w:type="dxa"/>
            <w:vMerge w:val="restart"/>
            <w:shd w:val="clear" w:color="auto" w:fill="FFFF99"/>
            <w:tcMar>
              <w:top w:w="15" w:type="dxa"/>
              <w:left w:w="15" w:type="dxa"/>
              <w:bottom w:w="0" w:type="dxa"/>
              <w:right w:w="15" w:type="dxa"/>
            </w:tcMar>
            <w:vAlign w:val="center"/>
          </w:tcPr>
          <w:p w:rsidR="00FF5344" w:rsidRPr="00EF0531" w:rsidRDefault="00FF5344" w:rsidP="00FF5344">
            <w:pPr>
              <w:rPr>
                <w:rFonts w:ascii="Arial" w:hAnsi="Arial" w:cs="Arial"/>
                <w:sz w:val="16"/>
                <w:szCs w:val="16"/>
              </w:rPr>
            </w:pPr>
            <w:r w:rsidRPr="00EF0531">
              <w:rPr>
                <w:rFonts w:ascii="Arial" w:hAnsi="Arial" w:cs="Arial"/>
                <w:sz w:val="16"/>
                <w:szCs w:val="16"/>
              </w:rPr>
              <w:t>Plocha územia so zabezpečenou</w:t>
            </w:r>
            <w:r w:rsidRPr="00EF0531">
              <w:rPr>
                <w:rFonts w:ascii="Arial" w:hAnsi="Arial" w:cs="Arial"/>
                <w:sz w:val="16"/>
                <w:szCs w:val="16"/>
              </w:rPr>
              <w:br/>
              <w:t>protipovodňovou ochranou [km</w:t>
            </w:r>
            <w:r w:rsidRPr="00EF0531">
              <w:rPr>
                <w:rFonts w:ascii="Arial" w:hAnsi="Arial" w:cs="Arial"/>
                <w:sz w:val="16"/>
                <w:szCs w:val="16"/>
                <w:vertAlign w:val="superscript"/>
              </w:rPr>
              <w:t>2</w:t>
            </w:r>
            <w:r w:rsidRPr="00EF0531">
              <w:rPr>
                <w:rFonts w:ascii="Arial" w:hAnsi="Arial" w:cs="Arial"/>
                <w:sz w:val="16"/>
                <w:szCs w:val="16"/>
              </w:rPr>
              <w:t>] výsledok</w:t>
            </w:r>
          </w:p>
        </w:tc>
        <w:tc>
          <w:tcPr>
            <w:tcW w:w="1182" w:type="dxa"/>
            <w:shd w:val="clear" w:color="auto" w:fill="CCFFFF"/>
            <w:noWrap/>
            <w:tcMar>
              <w:top w:w="15" w:type="dxa"/>
              <w:left w:w="15" w:type="dxa"/>
              <w:bottom w:w="0" w:type="dxa"/>
              <w:right w:w="15" w:type="dxa"/>
            </w:tcMar>
            <w:vAlign w:val="center"/>
          </w:tcPr>
          <w:p w:rsidR="00FF5344" w:rsidRPr="00EF0531" w:rsidRDefault="00FF5344" w:rsidP="00FF5344">
            <w:pPr>
              <w:rPr>
                <w:rFonts w:ascii="Arial" w:hAnsi="Arial" w:cs="Arial"/>
                <w:b/>
                <w:sz w:val="16"/>
                <w:szCs w:val="16"/>
              </w:rPr>
            </w:pPr>
            <w:r w:rsidRPr="00EF0531">
              <w:rPr>
                <w:rFonts w:ascii="Arial" w:hAnsi="Arial" w:cs="Arial"/>
                <w:b/>
                <w:sz w:val="16"/>
                <w:szCs w:val="16"/>
              </w:rPr>
              <w:t>Dosiahnutý výsledok</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bCs/>
                <w:sz w:val="16"/>
                <w:szCs w:val="16"/>
              </w:rPr>
            </w:pPr>
            <w:r w:rsidRPr="00EF0531">
              <w:rPr>
                <w:rFonts w:ascii="Arial" w:hAnsi="Arial" w:cs="Arial"/>
                <w:bCs/>
                <w:sz w:val="16"/>
                <w:szCs w:val="16"/>
              </w:rPr>
              <w:t>0</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bCs/>
                <w:sz w:val="16"/>
                <w:szCs w:val="16"/>
              </w:rPr>
            </w:pPr>
            <w:r w:rsidRPr="00EF0531">
              <w:rPr>
                <w:rFonts w:ascii="Arial" w:hAnsi="Arial" w:cs="Arial"/>
                <w:bCs/>
                <w:sz w:val="16"/>
                <w:szCs w:val="16"/>
              </w:rPr>
              <w:t>0</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bCs/>
                <w:sz w:val="16"/>
                <w:szCs w:val="16"/>
              </w:rPr>
            </w:pPr>
            <w:r w:rsidRPr="00EF0531">
              <w:rPr>
                <w:rFonts w:ascii="Arial" w:hAnsi="Arial" w:cs="Arial"/>
                <w:bCs/>
                <w:sz w:val="16"/>
                <w:szCs w:val="16"/>
              </w:rPr>
              <w:t>3,050</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bCs/>
                <w:sz w:val="16"/>
                <w:szCs w:val="16"/>
              </w:rPr>
            </w:pPr>
            <w:r w:rsidRPr="00EF0531">
              <w:rPr>
                <w:rFonts w:ascii="Arial" w:hAnsi="Arial" w:cs="Arial"/>
                <w:bCs/>
                <w:sz w:val="16"/>
                <w:szCs w:val="16"/>
              </w:rPr>
              <w:t>3,141</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bCs/>
                <w:sz w:val="16"/>
                <w:szCs w:val="16"/>
              </w:rPr>
            </w:pPr>
            <w:r w:rsidRPr="00EF0531">
              <w:rPr>
                <w:rFonts w:ascii="Arial" w:hAnsi="Arial" w:cs="Arial"/>
                <w:bCs/>
                <w:sz w:val="16"/>
                <w:szCs w:val="16"/>
              </w:rPr>
              <w:t>0,257</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Cs/>
                <w:sz w:val="16"/>
                <w:szCs w:val="16"/>
              </w:rPr>
            </w:pPr>
            <w:r w:rsidRPr="00EF0531">
              <w:rPr>
                <w:rFonts w:ascii="Arial" w:hAnsi="Arial" w:cs="Arial"/>
                <w:bCs/>
                <w:sz w:val="16"/>
                <w:szCs w:val="16"/>
              </w:rPr>
              <w:t>35,309</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Cs/>
                <w:sz w:val="16"/>
                <w:szCs w:val="16"/>
              </w:rPr>
            </w:pPr>
            <w:r w:rsidRPr="00EF0531">
              <w:rPr>
                <w:rFonts w:ascii="Arial" w:hAnsi="Arial" w:cs="Arial"/>
                <w:iCs/>
                <w:sz w:val="16"/>
                <w:szCs w:val="16"/>
              </w:rPr>
              <w:t>N/A</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Cs/>
                <w:sz w:val="16"/>
                <w:szCs w:val="16"/>
              </w:rPr>
            </w:pPr>
            <w:r w:rsidRPr="00EF0531">
              <w:rPr>
                <w:rFonts w:ascii="Arial" w:hAnsi="Arial" w:cs="Arial"/>
                <w:iCs/>
                <w:sz w:val="16"/>
                <w:szCs w:val="16"/>
              </w:rPr>
              <w:t>N/A</w:t>
            </w:r>
          </w:p>
        </w:tc>
        <w:tc>
          <w:tcPr>
            <w:tcW w:w="709" w:type="dxa"/>
            <w:noWrap/>
            <w:tcMar>
              <w:top w:w="15" w:type="dxa"/>
              <w:left w:w="15" w:type="dxa"/>
              <w:bottom w:w="0" w:type="dxa"/>
              <w:right w:w="15" w:type="dxa"/>
            </w:tcMar>
            <w:vAlign w:val="center"/>
          </w:tcPr>
          <w:p w:rsidR="00FF5344" w:rsidRPr="00EF0531" w:rsidRDefault="00FF5344" w:rsidP="00FF5344">
            <w:pPr>
              <w:jc w:val="center"/>
              <w:rPr>
                <w:rFonts w:ascii="Arial" w:hAnsi="Arial" w:cs="Arial"/>
                <w:iCs/>
                <w:sz w:val="16"/>
                <w:szCs w:val="16"/>
              </w:rPr>
            </w:pPr>
            <w:r w:rsidRPr="00EF0531">
              <w:rPr>
                <w:rFonts w:ascii="Arial" w:hAnsi="Arial" w:cs="Arial"/>
                <w:iCs/>
                <w:sz w:val="16"/>
                <w:szCs w:val="16"/>
              </w:rPr>
              <w:t>N/A</w:t>
            </w:r>
          </w:p>
        </w:tc>
        <w:tc>
          <w:tcPr>
            <w:tcW w:w="709" w:type="dxa"/>
            <w:noWrap/>
            <w:tcMar>
              <w:top w:w="15" w:type="dxa"/>
              <w:left w:w="15" w:type="dxa"/>
              <w:bottom w:w="0" w:type="dxa"/>
              <w:right w:w="15" w:type="dxa"/>
            </w:tcMar>
            <w:vAlign w:val="center"/>
          </w:tcPr>
          <w:p w:rsidR="00FF5344" w:rsidRPr="00EF0531" w:rsidRDefault="00FF5344" w:rsidP="00FF5344">
            <w:pPr>
              <w:jc w:val="center"/>
              <w:rPr>
                <w:rFonts w:ascii="Arial" w:hAnsi="Arial" w:cs="Arial"/>
                <w:b/>
                <w:bCs/>
                <w:sz w:val="16"/>
                <w:szCs w:val="16"/>
              </w:rPr>
            </w:pPr>
            <w:r w:rsidRPr="00EF0531">
              <w:rPr>
                <w:rFonts w:ascii="Arial" w:hAnsi="Arial" w:cs="Arial"/>
                <w:b/>
                <w:bCs/>
                <w:sz w:val="16"/>
                <w:szCs w:val="16"/>
              </w:rPr>
              <w:t>35,309</w:t>
            </w:r>
          </w:p>
        </w:tc>
        <w:tc>
          <w:tcPr>
            <w:tcW w:w="1134" w:type="dxa"/>
            <w:noWrap/>
            <w:tcMar>
              <w:top w:w="15" w:type="dxa"/>
              <w:left w:w="15" w:type="dxa"/>
              <w:bottom w:w="0" w:type="dxa"/>
              <w:right w:w="15" w:type="dxa"/>
            </w:tcMar>
            <w:vAlign w:val="center"/>
          </w:tcPr>
          <w:p w:rsidR="00FF5344" w:rsidRPr="00EF0531" w:rsidRDefault="00FF5344" w:rsidP="00FF5344">
            <w:pPr>
              <w:jc w:val="center"/>
              <w:rPr>
                <w:rFonts w:ascii="Arial" w:hAnsi="Arial" w:cs="Arial"/>
                <w:sz w:val="16"/>
                <w:szCs w:val="16"/>
              </w:rPr>
            </w:pPr>
            <w:r w:rsidRPr="00EF0531">
              <w:rPr>
                <w:rFonts w:ascii="Arial" w:hAnsi="Arial" w:cs="Arial"/>
                <w:i/>
                <w:iCs/>
                <w:sz w:val="16"/>
                <w:szCs w:val="16"/>
              </w:rPr>
              <w:t>652,5731</w:t>
            </w:r>
          </w:p>
        </w:tc>
      </w:tr>
      <w:tr w:rsidR="00FF5344" w:rsidRPr="000E0A45" w:rsidTr="00FF5344">
        <w:trPr>
          <w:trHeight w:val="20"/>
        </w:trPr>
        <w:tc>
          <w:tcPr>
            <w:tcW w:w="1433" w:type="dxa"/>
            <w:vMerge/>
            <w:shd w:val="clear" w:color="auto" w:fill="FFFF99"/>
            <w:vAlign w:val="center"/>
          </w:tcPr>
          <w:p w:rsidR="00FF5344" w:rsidRPr="00EF0531" w:rsidRDefault="00FF5344" w:rsidP="00FF5344">
            <w:pPr>
              <w:rPr>
                <w:rFonts w:ascii="Arial" w:hAnsi="Arial" w:cs="Arial"/>
                <w:sz w:val="16"/>
                <w:szCs w:val="16"/>
              </w:rPr>
            </w:pPr>
          </w:p>
        </w:tc>
        <w:tc>
          <w:tcPr>
            <w:tcW w:w="1182" w:type="dxa"/>
            <w:shd w:val="clear" w:color="auto" w:fill="CCFFFF"/>
            <w:noWrap/>
            <w:tcMar>
              <w:top w:w="15" w:type="dxa"/>
              <w:left w:w="15" w:type="dxa"/>
              <w:bottom w:w="0" w:type="dxa"/>
              <w:right w:w="15" w:type="dxa"/>
            </w:tcMar>
            <w:vAlign w:val="center"/>
          </w:tcPr>
          <w:p w:rsidR="00FF5344" w:rsidRPr="00EF0531" w:rsidRDefault="00FF5344" w:rsidP="00FF5344">
            <w:pPr>
              <w:rPr>
                <w:rFonts w:ascii="Arial" w:hAnsi="Arial" w:cs="Arial"/>
                <w:b/>
                <w:sz w:val="16"/>
                <w:szCs w:val="16"/>
              </w:rPr>
            </w:pPr>
            <w:r w:rsidRPr="00EF0531">
              <w:rPr>
                <w:rFonts w:ascii="Arial" w:hAnsi="Arial" w:cs="Arial"/>
                <w:b/>
                <w:sz w:val="16"/>
                <w:szCs w:val="16"/>
              </w:rPr>
              <w:t>Cieľ</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Cs/>
                <w:sz w:val="16"/>
                <w:szCs w:val="16"/>
              </w:rPr>
            </w:pPr>
            <w:r w:rsidRPr="00EF0531">
              <w:rPr>
                <w:rFonts w:ascii="Arial" w:hAnsi="Arial" w:cs="Arial"/>
                <w:iCs/>
                <w:sz w:val="16"/>
                <w:szCs w:val="16"/>
              </w:rPr>
              <w:t>N/A</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Cs/>
                <w:sz w:val="16"/>
                <w:szCs w:val="16"/>
              </w:rPr>
            </w:pPr>
            <w:r w:rsidRPr="00EF0531">
              <w:rPr>
                <w:rFonts w:ascii="Arial" w:hAnsi="Arial" w:cs="Arial"/>
                <w:iCs/>
                <w:sz w:val="16"/>
                <w:szCs w:val="16"/>
              </w:rPr>
              <w:t>N/A</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Cs/>
                <w:sz w:val="16"/>
                <w:szCs w:val="16"/>
              </w:rPr>
            </w:pPr>
            <w:r w:rsidRPr="00EF0531">
              <w:rPr>
                <w:rFonts w:ascii="Arial" w:hAnsi="Arial" w:cs="Arial"/>
                <w:iCs/>
                <w:sz w:val="16"/>
                <w:szCs w:val="16"/>
              </w:rPr>
              <w:t>N/A</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Cs/>
                <w:sz w:val="16"/>
                <w:szCs w:val="16"/>
              </w:rPr>
            </w:pPr>
            <w:r w:rsidRPr="00EF0531">
              <w:rPr>
                <w:rFonts w:ascii="Arial" w:hAnsi="Arial" w:cs="Arial"/>
                <w:iCs/>
                <w:sz w:val="16"/>
                <w:szCs w:val="16"/>
              </w:rPr>
              <w:t>N/A</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Cs/>
                <w:sz w:val="16"/>
                <w:szCs w:val="16"/>
              </w:rPr>
            </w:pPr>
            <w:r w:rsidRPr="00EF0531">
              <w:rPr>
                <w:rFonts w:ascii="Arial" w:hAnsi="Arial" w:cs="Arial"/>
                <w:iCs/>
                <w:sz w:val="16"/>
                <w:szCs w:val="16"/>
              </w:rPr>
              <w:t>N/A</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Cs/>
                <w:sz w:val="16"/>
                <w:szCs w:val="16"/>
              </w:rPr>
            </w:pPr>
            <w:r w:rsidRPr="00EF0531">
              <w:rPr>
                <w:rFonts w:ascii="Arial" w:hAnsi="Arial" w:cs="Arial"/>
                <w:iCs/>
                <w:sz w:val="16"/>
                <w:szCs w:val="16"/>
              </w:rPr>
              <w:t>N/A</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Cs/>
                <w:sz w:val="16"/>
                <w:szCs w:val="16"/>
              </w:rPr>
            </w:pPr>
            <w:r w:rsidRPr="00EF0531">
              <w:rPr>
                <w:rFonts w:ascii="Arial" w:hAnsi="Arial" w:cs="Arial"/>
                <w:iCs/>
                <w:sz w:val="16"/>
                <w:szCs w:val="16"/>
              </w:rPr>
              <w:t>N/A</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Cs/>
                <w:sz w:val="16"/>
                <w:szCs w:val="16"/>
              </w:rPr>
            </w:pPr>
            <w:r w:rsidRPr="00EF0531">
              <w:rPr>
                <w:rFonts w:ascii="Arial" w:hAnsi="Arial" w:cs="Arial"/>
                <w:iCs/>
                <w:sz w:val="16"/>
                <w:szCs w:val="16"/>
              </w:rPr>
              <w:t>N/A</w:t>
            </w:r>
          </w:p>
        </w:tc>
        <w:tc>
          <w:tcPr>
            <w:tcW w:w="709" w:type="dxa"/>
            <w:noWrap/>
            <w:tcMar>
              <w:top w:w="15" w:type="dxa"/>
              <w:left w:w="15" w:type="dxa"/>
              <w:bottom w:w="0" w:type="dxa"/>
              <w:right w:w="15" w:type="dxa"/>
            </w:tcMar>
            <w:vAlign w:val="center"/>
          </w:tcPr>
          <w:p w:rsidR="00FF5344" w:rsidRPr="00EF0531" w:rsidRDefault="00FF5344" w:rsidP="00FF5344">
            <w:pPr>
              <w:jc w:val="center"/>
              <w:rPr>
                <w:rFonts w:ascii="Arial" w:hAnsi="Arial" w:cs="Arial"/>
                <w:bCs/>
                <w:sz w:val="16"/>
                <w:szCs w:val="16"/>
              </w:rPr>
            </w:pPr>
            <w:r w:rsidRPr="00EF0531">
              <w:rPr>
                <w:rFonts w:ascii="Arial" w:hAnsi="Arial" w:cs="Arial"/>
                <w:bCs/>
                <w:sz w:val="16"/>
                <w:szCs w:val="16"/>
              </w:rPr>
              <w:t>5 936</w:t>
            </w:r>
          </w:p>
        </w:tc>
        <w:tc>
          <w:tcPr>
            <w:tcW w:w="709" w:type="dxa"/>
            <w:noWrap/>
            <w:tcMar>
              <w:top w:w="15" w:type="dxa"/>
              <w:left w:w="15" w:type="dxa"/>
              <w:bottom w:w="0" w:type="dxa"/>
              <w:right w:w="15" w:type="dxa"/>
            </w:tcMar>
            <w:vAlign w:val="center"/>
          </w:tcPr>
          <w:p w:rsidR="00FF5344" w:rsidRPr="00EF0531" w:rsidRDefault="00FF5344" w:rsidP="00FF5344">
            <w:pPr>
              <w:jc w:val="center"/>
              <w:rPr>
                <w:rFonts w:ascii="Arial" w:hAnsi="Arial" w:cs="Arial"/>
                <w:b/>
                <w:bCs/>
                <w:sz w:val="16"/>
                <w:szCs w:val="16"/>
              </w:rPr>
            </w:pPr>
            <w:r w:rsidRPr="00EF0531">
              <w:rPr>
                <w:rFonts w:ascii="Arial" w:hAnsi="Arial" w:cs="Arial"/>
                <w:b/>
                <w:bCs/>
                <w:sz w:val="16"/>
                <w:szCs w:val="16"/>
              </w:rPr>
              <w:t>5 936</w:t>
            </w:r>
          </w:p>
        </w:tc>
        <w:tc>
          <w:tcPr>
            <w:tcW w:w="1134" w:type="dxa"/>
            <w:noWrap/>
            <w:tcMar>
              <w:top w:w="15" w:type="dxa"/>
              <w:left w:w="15" w:type="dxa"/>
              <w:bottom w:w="0" w:type="dxa"/>
              <w:right w:w="15" w:type="dxa"/>
            </w:tcMar>
            <w:vAlign w:val="center"/>
          </w:tcPr>
          <w:p w:rsidR="00FF5344" w:rsidRPr="00EF0531" w:rsidRDefault="00FF5344" w:rsidP="00FF5344">
            <w:pPr>
              <w:jc w:val="center"/>
              <w:rPr>
                <w:rFonts w:ascii="Arial" w:hAnsi="Arial" w:cs="Arial"/>
                <w:i/>
                <w:iCs/>
                <w:sz w:val="16"/>
                <w:szCs w:val="16"/>
              </w:rPr>
            </w:pPr>
          </w:p>
        </w:tc>
      </w:tr>
      <w:tr w:rsidR="00FF5344" w:rsidRPr="000E0A45" w:rsidTr="00FF5344">
        <w:trPr>
          <w:trHeight w:val="20"/>
        </w:trPr>
        <w:tc>
          <w:tcPr>
            <w:tcW w:w="1433" w:type="dxa"/>
            <w:vMerge/>
            <w:shd w:val="clear" w:color="auto" w:fill="FFFF99"/>
            <w:vAlign w:val="center"/>
          </w:tcPr>
          <w:p w:rsidR="00FF5344" w:rsidRPr="00EF0531" w:rsidRDefault="00FF5344" w:rsidP="00FF5344">
            <w:pPr>
              <w:rPr>
                <w:rFonts w:ascii="Arial" w:hAnsi="Arial" w:cs="Arial"/>
                <w:sz w:val="16"/>
                <w:szCs w:val="16"/>
              </w:rPr>
            </w:pPr>
          </w:p>
        </w:tc>
        <w:tc>
          <w:tcPr>
            <w:tcW w:w="1182" w:type="dxa"/>
            <w:shd w:val="clear" w:color="auto" w:fill="CCFFFF"/>
            <w:noWrap/>
            <w:tcMar>
              <w:top w:w="15" w:type="dxa"/>
              <w:left w:w="15" w:type="dxa"/>
              <w:bottom w:w="0" w:type="dxa"/>
              <w:right w:w="15" w:type="dxa"/>
            </w:tcMar>
            <w:vAlign w:val="center"/>
          </w:tcPr>
          <w:p w:rsidR="00FF5344" w:rsidRPr="00EF0531" w:rsidRDefault="00FF5344" w:rsidP="00FF5344">
            <w:pPr>
              <w:rPr>
                <w:rFonts w:ascii="Arial" w:hAnsi="Arial" w:cs="Arial"/>
                <w:b/>
                <w:sz w:val="16"/>
                <w:szCs w:val="16"/>
              </w:rPr>
            </w:pPr>
            <w:r w:rsidRPr="00EF0531">
              <w:rPr>
                <w:rFonts w:ascii="Arial" w:hAnsi="Arial" w:cs="Arial"/>
                <w:b/>
                <w:sz w:val="16"/>
                <w:szCs w:val="16"/>
              </w:rPr>
              <w:t>Východisko</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bCs/>
                <w:sz w:val="16"/>
                <w:szCs w:val="16"/>
              </w:rPr>
            </w:pPr>
            <w:r w:rsidRPr="00EF0531">
              <w:rPr>
                <w:rFonts w:ascii="Arial" w:hAnsi="Arial" w:cs="Arial"/>
                <w:bCs/>
                <w:sz w:val="16"/>
                <w:szCs w:val="16"/>
              </w:rPr>
              <w:t>5 800</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Cs/>
                <w:sz w:val="16"/>
                <w:szCs w:val="16"/>
              </w:rPr>
            </w:pPr>
            <w:r w:rsidRPr="00EF0531">
              <w:rPr>
                <w:rFonts w:ascii="Arial" w:hAnsi="Arial" w:cs="Arial"/>
                <w:iCs/>
                <w:sz w:val="16"/>
                <w:szCs w:val="16"/>
              </w:rPr>
              <w:t>N/A</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Cs/>
                <w:sz w:val="16"/>
                <w:szCs w:val="16"/>
              </w:rPr>
            </w:pPr>
            <w:r w:rsidRPr="00EF0531">
              <w:rPr>
                <w:rFonts w:ascii="Arial" w:hAnsi="Arial" w:cs="Arial"/>
                <w:iCs/>
                <w:sz w:val="16"/>
                <w:szCs w:val="16"/>
              </w:rPr>
              <w:t>N/A</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Cs/>
                <w:sz w:val="16"/>
                <w:szCs w:val="16"/>
              </w:rPr>
            </w:pPr>
            <w:r w:rsidRPr="00EF0531">
              <w:rPr>
                <w:rFonts w:ascii="Arial" w:hAnsi="Arial" w:cs="Arial"/>
                <w:iCs/>
                <w:sz w:val="16"/>
                <w:szCs w:val="16"/>
              </w:rPr>
              <w:t>N/A</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Cs/>
                <w:sz w:val="16"/>
                <w:szCs w:val="16"/>
              </w:rPr>
            </w:pPr>
            <w:r w:rsidRPr="00EF0531">
              <w:rPr>
                <w:rFonts w:ascii="Arial" w:hAnsi="Arial" w:cs="Arial"/>
                <w:iCs/>
                <w:sz w:val="16"/>
                <w:szCs w:val="16"/>
              </w:rPr>
              <w:t>N/A</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Cs/>
                <w:sz w:val="16"/>
                <w:szCs w:val="16"/>
              </w:rPr>
            </w:pPr>
            <w:r w:rsidRPr="00EF0531">
              <w:rPr>
                <w:rFonts w:ascii="Arial" w:hAnsi="Arial" w:cs="Arial"/>
                <w:iCs/>
                <w:sz w:val="16"/>
                <w:szCs w:val="16"/>
              </w:rPr>
              <w:t>N/A</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Cs/>
                <w:sz w:val="16"/>
                <w:szCs w:val="16"/>
              </w:rPr>
            </w:pPr>
            <w:r w:rsidRPr="00EF0531">
              <w:rPr>
                <w:rFonts w:ascii="Arial" w:hAnsi="Arial" w:cs="Arial"/>
                <w:iCs/>
                <w:sz w:val="16"/>
                <w:szCs w:val="16"/>
              </w:rPr>
              <w:t>N/A</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Cs/>
                <w:sz w:val="16"/>
                <w:szCs w:val="16"/>
              </w:rPr>
            </w:pPr>
            <w:r w:rsidRPr="00EF0531">
              <w:rPr>
                <w:rFonts w:ascii="Arial" w:hAnsi="Arial" w:cs="Arial"/>
                <w:iCs/>
                <w:sz w:val="16"/>
                <w:szCs w:val="16"/>
              </w:rPr>
              <w:t>N/A</w:t>
            </w:r>
          </w:p>
        </w:tc>
        <w:tc>
          <w:tcPr>
            <w:tcW w:w="709" w:type="dxa"/>
            <w:noWrap/>
            <w:tcMar>
              <w:top w:w="15" w:type="dxa"/>
              <w:left w:w="15" w:type="dxa"/>
              <w:bottom w:w="0" w:type="dxa"/>
              <w:right w:w="15" w:type="dxa"/>
            </w:tcMar>
            <w:vAlign w:val="center"/>
          </w:tcPr>
          <w:p w:rsidR="00FF5344" w:rsidRPr="00EF0531" w:rsidRDefault="00FF5344" w:rsidP="00FF5344">
            <w:pPr>
              <w:jc w:val="center"/>
              <w:rPr>
                <w:rFonts w:ascii="Arial" w:hAnsi="Arial" w:cs="Arial"/>
                <w:iCs/>
                <w:sz w:val="16"/>
                <w:szCs w:val="16"/>
              </w:rPr>
            </w:pPr>
            <w:r w:rsidRPr="00EF0531">
              <w:rPr>
                <w:rFonts w:ascii="Arial" w:hAnsi="Arial" w:cs="Arial"/>
                <w:iCs/>
                <w:sz w:val="16"/>
                <w:szCs w:val="16"/>
              </w:rPr>
              <w:t>N/A</w:t>
            </w:r>
          </w:p>
        </w:tc>
        <w:tc>
          <w:tcPr>
            <w:tcW w:w="709" w:type="dxa"/>
            <w:noWrap/>
            <w:tcMar>
              <w:top w:w="15" w:type="dxa"/>
              <w:left w:w="15" w:type="dxa"/>
              <w:bottom w:w="0" w:type="dxa"/>
              <w:right w:w="15" w:type="dxa"/>
            </w:tcMar>
            <w:vAlign w:val="center"/>
          </w:tcPr>
          <w:p w:rsidR="00FF5344" w:rsidRPr="00EF0531" w:rsidRDefault="00FF5344" w:rsidP="00FF5344">
            <w:pPr>
              <w:jc w:val="center"/>
              <w:rPr>
                <w:rFonts w:ascii="Arial" w:hAnsi="Arial" w:cs="Arial"/>
                <w:b/>
                <w:bCs/>
                <w:sz w:val="16"/>
                <w:szCs w:val="16"/>
              </w:rPr>
            </w:pPr>
            <w:r w:rsidRPr="00EF0531">
              <w:rPr>
                <w:rFonts w:ascii="Arial" w:hAnsi="Arial" w:cs="Arial"/>
                <w:b/>
                <w:bCs/>
                <w:sz w:val="16"/>
                <w:szCs w:val="16"/>
              </w:rPr>
              <w:t>5 800</w:t>
            </w:r>
          </w:p>
        </w:tc>
        <w:tc>
          <w:tcPr>
            <w:tcW w:w="1134" w:type="dxa"/>
            <w:noWrap/>
            <w:tcMar>
              <w:top w:w="15" w:type="dxa"/>
              <w:left w:w="15" w:type="dxa"/>
              <w:bottom w:w="0" w:type="dxa"/>
              <w:right w:w="15" w:type="dxa"/>
            </w:tcMar>
            <w:vAlign w:val="center"/>
          </w:tcPr>
          <w:p w:rsidR="00FF5344" w:rsidRPr="00EF0531" w:rsidRDefault="00FF5344" w:rsidP="00FF5344">
            <w:pPr>
              <w:jc w:val="center"/>
              <w:rPr>
                <w:rFonts w:ascii="Arial" w:hAnsi="Arial" w:cs="Arial"/>
                <w:sz w:val="16"/>
                <w:szCs w:val="16"/>
              </w:rPr>
            </w:pPr>
          </w:p>
        </w:tc>
      </w:tr>
      <w:tr w:rsidR="00FF5344" w:rsidRPr="000E0A45" w:rsidTr="00FF5344">
        <w:trPr>
          <w:trHeight w:val="20"/>
        </w:trPr>
        <w:tc>
          <w:tcPr>
            <w:tcW w:w="9703" w:type="dxa"/>
            <w:gridSpan w:val="13"/>
            <w:shd w:val="clear" w:color="auto" w:fill="auto"/>
            <w:vAlign w:val="center"/>
          </w:tcPr>
          <w:p w:rsidR="00FF5344" w:rsidRPr="00EF0531" w:rsidRDefault="00FF5344" w:rsidP="00FF5344">
            <w:pPr>
              <w:jc w:val="center"/>
              <w:rPr>
                <w:rFonts w:ascii="Arial" w:hAnsi="Arial" w:cs="Arial"/>
                <w:sz w:val="16"/>
                <w:szCs w:val="16"/>
              </w:rPr>
            </w:pPr>
          </w:p>
        </w:tc>
      </w:tr>
      <w:tr w:rsidR="00FF5344" w:rsidRPr="000E0A45" w:rsidTr="00FF5344">
        <w:trPr>
          <w:trHeight w:val="20"/>
        </w:trPr>
        <w:tc>
          <w:tcPr>
            <w:tcW w:w="1433" w:type="dxa"/>
            <w:vMerge w:val="restart"/>
            <w:shd w:val="clear" w:color="auto" w:fill="FFFF99"/>
          </w:tcPr>
          <w:p w:rsidR="00FF5344" w:rsidRPr="00EF0531" w:rsidRDefault="00FF5344" w:rsidP="00FF5344">
            <w:pPr>
              <w:rPr>
                <w:rFonts w:ascii="Arial" w:eastAsia="EUAlbertina-Regular-Identity-H" w:hAnsi="Arial" w:cs="Arial"/>
                <w:b/>
                <w:sz w:val="16"/>
                <w:szCs w:val="16"/>
              </w:rPr>
            </w:pPr>
            <w:r w:rsidRPr="00EF0531">
              <w:rPr>
                <w:rFonts w:ascii="Arial" w:eastAsia="EUAlbertina-Regular-Identity-H" w:hAnsi="Arial" w:cs="Arial"/>
                <w:sz w:val="16"/>
                <w:szCs w:val="16"/>
              </w:rPr>
              <w:t xml:space="preserve"> </w:t>
            </w:r>
            <w:r w:rsidR="00961A0E" w:rsidRPr="00EF0531">
              <w:rPr>
                <w:rFonts w:ascii="Arial" w:eastAsia="EUAlbertina-Regular-Identity-H" w:hAnsi="Arial" w:cs="Arial"/>
                <w:sz w:val="16"/>
                <w:szCs w:val="16"/>
              </w:rPr>
              <w:t>Počet novovytvorených pracovných miest (počet) dopad</w:t>
            </w:r>
          </w:p>
        </w:tc>
        <w:tc>
          <w:tcPr>
            <w:tcW w:w="1182" w:type="dxa"/>
            <w:shd w:val="clear" w:color="auto" w:fill="CCFFFF"/>
            <w:noWrap/>
            <w:tcMar>
              <w:top w:w="15" w:type="dxa"/>
              <w:left w:w="15" w:type="dxa"/>
              <w:bottom w:w="0" w:type="dxa"/>
              <w:right w:w="15" w:type="dxa"/>
            </w:tcMar>
            <w:vAlign w:val="center"/>
          </w:tcPr>
          <w:p w:rsidR="00FF5344" w:rsidRPr="00EF0531" w:rsidRDefault="00FF5344" w:rsidP="00FF5344">
            <w:pPr>
              <w:rPr>
                <w:rFonts w:ascii="Arial" w:eastAsia="EUAlbertina-Regular-Identity-H" w:hAnsi="Arial" w:cs="Arial"/>
                <w:b/>
                <w:sz w:val="16"/>
                <w:szCs w:val="16"/>
              </w:rPr>
            </w:pPr>
            <w:r w:rsidRPr="00EF0531">
              <w:rPr>
                <w:rFonts w:ascii="Arial" w:eastAsia="EUAlbertina-Regular-Identity-H" w:hAnsi="Arial" w:cs="Arial"/>
                <w:b/>
                <w:sz w:val="16"/>
                <w:szCs w:val="16"/>
              </w:rPr>
              <w:t>Dosiahnutý výsledok</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sz w:val="16"/>
                <w:szCs w:val="16"/>
              </w:rPr>
            </w:pPr>
            <w:r w:rsidRPr="00EF0531">
              <w:rPr>
                <w:rFonts w:ascii="Arial" w:hAnsi="Arial" w:cs="Arial"/>
                <w:sz w:val="16"/>
                <w:szCs w:val="16"/>
              </w:rPr>
              <w:t>0</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sz w:val="16"/>
                <w:szCs w:val="16"/>
              </w:rPr>
            </w:pPr>
            <w:r w:rsidRPr="00EF0531">
              <w:rPr>
                <w:rFonts w:ascii="Arial" w:hAnsi="Arial" w:cs="Arial"/>
                <w:sz w:val="16"/>
                <w:szCs w:val="16"/>
              </w:rPr>
              <w:t>0</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sz w:val="16"/>
                <w:szCs w:val="16"/>
              </w:rPr>
            </w:pPr>
            <w:r w:rsidRPr="00EF0531">
              <w:rPr>
                <w:rFonts w:ascii="Arial" w:hAnsi="Arial" w:cs="Arial"/>
                <w:sz w:val="16"/>
                <w:szCs w:val="16"/>
              </w:rPr>
              <w:t>0</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sz w:val="16"/>
                <w:szCs w:val="16"/>
              </w:rPr>
            </w:pPr>
            <w:r w:rsidRPr="00EF0531">
              <w:rPr>
                <w:rFonts w:ascii="Arial" w:hAnsi="Arial" w:cs="Arial"/>
                <w:sz w:val="16"/>
                <w:szCs w:val="16"/>
              </w:rPr>
              <w:t>0</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sz w:val="16"/>
                <w:szCs w:val="16"/>
              </w:rPr>
            </w:pPr>
            <w:r w:rsidRPr="00EF0531">
              <w:rPr>
                <w:rFonts w:ascii="Arial" w:hAnsi="Arial" w:cs="Arial"/>
                <w:sz w:val="16"/>
                <w:szCs w:val="16"/>
              </w:rPr>
              <w:t>0</w:t>
            </w:r>
          </w:p>
        </w:tc>
        <w:tc>
          <w:tcPr>
            <w:tcW w:w="567" w:type="dxa"/>
            <w:noWrap/>
            <w:tcMar>
              <w:top w:w="15" w:type="dxa"/>
              <w:left w:w="15" w:type="dxa"/>
              <w:bottom w:w="0" w:type="dxa"/>
              <w:right w:w="15" w:type="dxa"/>
            </w:tcMar>
            <w:vAlign w:val="center"/>
          </w:tcPr>
          <w:p w:rsidR="00FF5344" w:rsidRPr="00EF0531" w:rsidRDefault="00961A0E" w:rsidP="00FF5344">
            <w:pPr>
              <w:jc w:val="center"/>
              <w:rPr>
                <w:rFonts w:ascii="Arial" w:hAnsi="Arial" w:cs="Arial"/>
                <w:sz w:val="16"/>
                <w:szCs w:val="16"/>
              </w:rPr>
            </w:pPr>
            <w:r>
              <w:rPr>
                <w:rFonts w:ascii="Arial" w:hAnsi="Arial" w:cs="Arial"/>
                <w:sz w:val="16"/>
                <w:szCs w:val="16"/>
              </w:rPr>
              <w:t>0</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rPr>
            </w:pPr>
            <w:r w:rsidRPr="00EF0531">
              <w:rPr>
                <w:rFonts w:ascii="Arial" w:hAnsi="Arial" w:cs="Arial"/>
                <w:sz w:val="16"/>
                <w:szCs w:val="16"/>
              </w:rPr>
              <w:t>N/A</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rPr>
            </w:pPr>
            <w:r w:rsidRPr="00EF0531">
              <w:rPr>
                <w:rFonts w:ascii="Arial" w:hAnsi="Arial" w:cs="Arial"/>
                <w:sz w:val="16"/>
                <w:szCs w:val="16"/>
              </w:rPr>
              <w:t>N/A</w:t>
            </w:r>
          </w:p>
        </w:tc>
        <w:tc>
          <w:tcPr>
            <w:tcW w:w="709" w:type="dxa"/>
            <w:noWrap/>
            <w:tcMar>
              <w:top w:w="15" w:type="dxa"/>
              <w:left w:w="15" w:type="dxa"/>
              <w:bottom w:w="0" w:type="dxa"/>
              <w:right w:w="15" w:type="dxa"/>
            </w:tcMar>
            <w:vAlign w:val="center"/>
          </w:tcPr>
          <w:p w:rsidR="00FF5344" w:rsidRPr="00EF0531" w:rsidRDefault="00FF5344" w:rsidP="00FF5344">
            <w:pPr>
              <w:jc w:val="center"/>
              <w:rPr>
                <w:rFonts w:ascii="Arial" w:hAnsi="Arial" w:cs="Arial"/>
              </w:rPr>
            </w:pPr>
            <w:r w:rsidRPr="00EF0531">
              <w:rPr>
                <w:rFonts w:ascii="Arial" w:hAnsi="Arial" w:cs="Arial"/>
                <w:sz w:val="16"/>
                <w:szCs w:val="16"/>
              </w:rPr>
              <w:t>N/A</w:t>
            </w:r>
          </w:p>
        </w:tc>
        <w:tc>
          <w:tcPr>
            <w:tcW w:w="709" w:type="dxa"/>
            <w:noWrap/>
            <w:tcMar>
              <w:top w:w="15" w:type="dxa"/>
              <w:left w:w="15" w:type="dxa"/>
              <w:bottom w:w="0" w:type="dxa"/>
              <w:right w:w="15" w:type="dxa"/>
            </w:tcMar>
            <w:vAlign w:val="center"/>
          </w:tcPr>
          <w:p w:rsidR="00FF5344" w:rsidRPr="00EF0531" w:rsidRDefault="002A361C" w:rsidP="00FF5344">
            <w:pPr>
              <w:jc w:val="center"/>
              <w:rPr>
                <w:rFonts w:ascii="Arial" w:hAnsi="Arial" w:cs="Arial"/>
                <w:b/>
                <w:sz w:val="16"/>
                <w:szCs w:val="16"/>
              </w:rPr>
            </w:pPr>
            <w:r w:rsidRPr="00EF0531">
              <w:rPr>
                <w:rFonts w:ascii="Arial" w:hAnsi="Arial" w:cs="Arial"/>
                <w:b/>
                <w:sz w:val="16"/>
                <w:szCs w:val="16"/>
              </w:rPr>
              <w:t>0</w:t>
            </w:r>
          </w:p>
        </w:tc>
        <w:tc>
          <w:tcPr>
            <w:tcW w:w="1134" w:type="dxa"/>
            <w:noWrap/>
            <w:tcMar>
              <w:top w:w="15" w:type="dxa"/>
              <w:left w:w="15" w:type="dxa"/>
              <w:bottom w:w="0" w:type="dxa"/>
              <w:right w:w="15" w:type="dxa"/>
            </w:tcMar>
            <w:vAlign w:val="center"/>
          </w:tcPr>
          <w:p w:rsidR="00FF5344" w:rsidRPr="00EF0531" w:rsidRDefault="00961A0E" w:rsidP="00FF5344">
            <w:pPr>
              <w:rPr>
                <w:rFonts w:ascii="Arial" w:hAnsi="Arial" w:cs="Arial"/>
                <w:sz w:val="16"/>
                <w:szCs w:val="16"/>
              </w:rPr>
            </w:pPr>
            <w:r>
              <w:rPr>
                <w:rFonts w:ascii="Arial" w:hAnsi="Arial" w:cs="Arial"/>
                <w:sz w:val="16"/>
                <w:szCs w:val="16"/>
              </w:rPr>
              <w:t xml:space="preserve">1 </w:t>
            </w:r>
            <w:r w:rsidRPr="00254254">
              <w:rPr>
                <w:rFonts w:ascii="Arial" w:hAnsi="Arial" w:cs="Arial"/>
                <w:sz w:val="16"/>
                <w:szCs w:val="16"/>
              </w:rPr>
              <w:t>Po ukončení realizácie všetkých projektov</w:t>
            </w:r>
          </w:p>
        </w:tc>
      </w:tr>
      <w:tr w:rsidR="00FF5344" w:rsidRPr="000E0A45" w:rsidTr="00FF5344">
        <w:trPr>
          <w:trHeight w:val="20"/>
        </w:trPr>
        <w:tc>
          <w:tcPr>
            <w:tcW w:w="1433" w:type="dxa"/>
            <w:vMerge/>
            <w:shd w:val="clear" w:color="auto" w:fill="FFFF99"/>
          </w:tcPr>
          <w:p w:rsidR="00FF5344" w:rsidRPr="00EF0531" w:rsidRDefault="00FF5344" w:rsidP="00FF5344">
            <w:pPr>
              <w:rPr>
                <w:rFonts w:ascii="Arial" w:hAnsi="Arial" w:cs="Arial"/>
                <w:sz w:val="16"/>
                <w:szCs w:val="16"/>
              </w:rPr>
            </w:pPr>
          </w:p>
        </w:tc>
        <w:tc>
          <w:tcPr>
            <w:tcW w:w="1182" w:type="dxa"/>
            <w:shd w:val="clear" w:color="auto" w:fill="CCFFFF"/>
            <w:noWrap/>
            <w:tcMar>
              <w:top w:w="15" w:type="dxa"/>
              <w:left w:w="15" w:type="dxa"/>
              <w:bottom w:w="0" w:type="dxa"/>
              <w:right w:w="15" w:type="dxa"/>
            </w:tcMar>
            <w:vAlign w:val="center"/>
          </w:tcPr>
          <w:p w:rsidR="00FF5344" w:rsidRPr="00EF0531" w:rsidRDefault="00FF5344" w:rsidP="00FF5344">
            <w:pPr>
              <w:rPr>
                <w:rFonts w:ascii="Arial" w:hAnsi="Arial" w:cs="Arial"/>
                <w:sz w:val="16"/>
                <w:szCs w:val="16"/>
              </w:rPr>
            </w:pPr>
            <w:r w:rsidRPr="00EF0531">
              <w:rPr>
                <w:rFonts w:ascii="Arial" w:eastAsia="EUAlbertina-Regular-Identity-H" w:hAnsi="Arial" w:cs="Arial"/>
                <w:b/>
                <w:sz w:val="16"/>
                <w:szCs w:val="16"/>
              </w:rPr>
              <w:t xml:space="preserve">Cieľ </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b/>
                <w:bCs/>
                <w:sz w:val="16"/>
                <w:szCs w:val="16"/>
              </w:rPr>
            </w:pPr>
            <w:r w:rsidRPr="00EF0531">
              <w:rPr>
                <w:rFonts w:ascii="Arial" w:hAnsi="Arial" w:cs="Arial"/>
                <w:sz w:val="16"/>
                <w:szCs w:val="16"/>
              </w:rPr>
              <w:t>N/A</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
                <w:iCs/>
                <w:sz w:val="16"/>
                <w:szCs w:val="16"/>
              </w:rPr>
            </w:pPr>
            <w:r w:rsidRPr="00EF0531">
              <w:rPr>
                <w:rFonts w:ascii="Arial" w:hAnsi="Arial" w:cs="Arial"/>
                <w:sz w:val="16"/>
                <w:szCs w:val="16"/>
              </w:rPr>
              <w:t>N/A</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
                <w:iCs/>
                <w:sz w:val="16"/>
                <w:szCs w:val="16"/>
              </w:rPr>
            </w:pPr>
            <w:r w:rsidRPr="00EF0531">
              <w:rPr>
                <w:rFonts w:ascii="Arial" w:hAnsi="Arial" w:cs="Arial"/>
                <w:sz w:val="16"/>
                <w:szCs w:val="16"/>
              </w:rPr>
              <w:t>N/A</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
                <w:iCs/>
                <w:sz w:val="16"/>
                <w:szCs w:val="16"/>
              </w:rPr>
            </w:pPr>
            <w:r w:rsidRPr="00EF0531">
              <w:rPr>
                <w:rFonts w:ascii="Arial" w:hAnsi="Arial" w:cs="Arial"/>
                <w:sz w:val="16"/>
                <w:szCs w:val="16"/>
              </w:rPr>
              <w:t>N/A</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
                <w:iCs/>
                <w:sz w:val="16"/>
                <w:szCs w:val="16"/>
              </w:rPr>
            </w:pPr>
            <w:r w:rsidRPr="00EF0531">
              <w:rPr>
                <w:rFonts w:ascii="Arial" w:hAnsi="Arial" w:cs="Arial"/>
                <w:sz w:val="16"/>
                <w:szCs w:val="16"/>
              </w:rPr>
              <w:t>N/A</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
                <w:iCs/>
                <w:sz w:val="16"/>
                <w:szCs w:val="16"/>
              </w:rPr>
            </w:pPr>
            <w:r w:rsidRPr="00EF0531">
              <w:rPr>
                <w:rFonts w:ascii="Arial" w:hAnsi="Arial" w:cs="Arial"/>
                <w:sz w:val="16"/>
                <w:szCs w:val="16"/>
              </w:rPr>
              <w:t>N/A</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
                <w:iCs/>
                <w:sz w:val="16"/>
                <w:szCs w:val="16"/>
              </w:rPr>
            </w:pPr>
            <w:r w:rsidRPr="00EF0531">
              <w:rPr>
                <w:rFonts w:ascii="Arial" w:hAnsi="Arial" w:cs="Arial"/>
                <w:sz w:val="16"/>
                <w:szCs w:val="16"/>
              </w:rPr>
              <w:t>N/A</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
                <w:iCs/>
                <w:sz w:val="16"/>
                <w:szCs w:val="16"/>
              </w:rPr>
            </w:pPr>
            <w:r w:rsidRPr="00EF0531">
              <w:rPr>
                <w:rFonts w:ascii="Arial" w:hAnsi="Arial" w:cs="Arial"/>
                <w:sz w:val="16"/>
                <w:szCs w:val="16"/>
              </w:rPr>
              <w:t>N/A</w:t>
            </w:r>
          </w:p>
        </w:tc>
        <w:tc>
          <w:tcPr>
            <w:tcW w:w="709" w:type="dxa"/>
            <w:noWrap/>
            <w:tcMar>
              <w:top w:w="15" w:type="dxa"/>
              <w:left w:w="15" w:type="dxa"/>
              <w:bottom w:w="0" w:type="dxa"/>
              <w:right w:w="15" w:type="dxa"/>
            </w:tcMar>
            <w:vAlign w:val="center"/>
          </w:tcPr>
          <w:p w:rsidR="00FF5344" w:rsidRPr="00EF0531" w:rsidRDefault="00961A0E" w:rsidP="00FF5344">
            <w:pPr>
              <w:jc w:val="center"/>
              <w:rPr>
                <w:rFonts w:ascii="Arial" w:hAnsi="Arial" w:cs="Arial"/>
                <w:i/>
                <w:iCs/>
                <w:sz w:val="16"/>
                <w:szCs w:val="16"/>
              </w:rPr>
            </w:pPr>
            <w:r>
              <w:rPr>
                <w:rFonts w:ascii="Arial" w:hAnsi="Arial" w:cs="Arial"/>
                <w:sz w:val="16"/>
                <w:szCs w:val="16"/>
              </w:rPr>
              <w:t>4</w:t>
            </w:r>
          </w:p>
        </w:tc>
        <w:tc>
          <w:tcPr>
            <w:tcW w:w="709" w:type="dxa"/>
            <w:noWrap/>
            <w:tcMar>
              <w:top w:w="15" w:type="dxa"/>
              <w:left w:w="15" w:type="dxa"/>
              <w:bottom w:w="0" w:type="dxa"/>
              <w:right w:w="15" w:type="dxa"/>
            </w:tcMar>
            <w:vAlign w:val="center"/>
          </w:tcPr>
          <w:p w:rsidR="00FF5344" w:rsidRPr="00EF0531" w:rsidRDefault="00961A0E" w:rsidP="00FF5344">
            <w:pPr>
              <w:jc w:val="center"/>
              <w:rPr>
                <w:rFonts w:ascii="Arial" w:hAnsi="Arial" w:cs="Arial"/>
                <w:b/>
                <w:bCs/>
                <w:sz w:val="16"/>
                <w:szCs w:val="16"/>
              </w:rPr>
            </w:pPr>
            <w:r>
              <w:rPr>
                <w:rFonts w:ascii="Arial" w:hAnsi="Arial" w:cs="Arial"/>
                <w:b/>
                <w:sz w:val="16"/>
                <w:szCs w:val="16"/>
              </w:rPr>
              <w:t>4</w:t>
            </w:r>
          </w:p>
        </w:tc>
        <w:tc>
          <w:tcPr>
            <w:tcW w:w="1134" w:type="dxa"/>
            <w:noWrap/>
            <w:tcMar>
              <w:top w:w="15" w:type="dxa"/>
              <w:left w:w="15" w:type="dxa"/>
              <w:bottom w:w="0" w:type="dxa"/>
              <w:right w:w="15" w:type="dxa"/>
            </w:tcMar>
            <w:vAlign w:val="center"/>
          </w:tcPr>
          <w:p w:rsidR="00FF5344" w:rsidRPr="00EF0531" w:rsidRDefault="00FF5344" w:rsidP="00FF5344">
            <w:pPr>
              <w:rPr>
                <w:rFonts w:ascii="Arial" w:hAnsi="Arial" w:cs="Arial"/>
                <w:sz w:val="16"/>
                <w:szCs w:val="16"/>
              </w:rPr>
            </w:pPr>
          </w:p>
        </w:tc>
      </w:tr>
      <w:tr w:rsidR="00FF5344" w:rsidRPr="000E0A45" w:rsidTr="00FF5344">
        <w:trPr>
          <w:trHeight w:val="20"/>
        </w:trPr>
        <w:tc>
          <w:tcPr>
            <w:tcW w:w="1433" w:type="dxa"/>
            <w:vMerge/>
            <w:shd w:val="clear" w:color="auto" w:fill="FFFF99"/>
          </w:tcPr>
          <w:p w:rsidR="00FF5344" w:rsidRPr="00EF0531" w:rsidRDefault="00FF5344" w:rsidP="00FF5344">
            <w:pPr>
              <w:rPr>
                <w:rFonts w:ascii="Arial" w:hAnsi="Arial" w:cs="Arial"/>
                <w:sz w:val="16"/>
                <w:szCs w:val="16"/>
              </w:rPr>
            </w:pPr>
          </w:p>
        </w:tc>
        <w:tc>
          <w:tcPr>
            <w:tcW w:w="1182" w:type="dxa"/>
            <w:shd w:val="clear" w:color="auto" w:fill="CCFFFF"/>
            <w:noWrap/>
            <w:tcMar>
              <w:top w:w="15" w:type="dxa"/>
              <w:left w:w="15" w:type="dxa"/>
              <w:bottom w:w="0" w:type="dxa"/>
              <w:right w:w="15" w:type="dxa"/>
            </w:tcMar>
            <w:vAlign w:val="center"/>
          </w:tcPr>
          <w:p w:rsidR="00FF5344" w:rsidRPr="00EF0531" w:rsidRDefault="00FF5344" w:rsidP="00FF5344">
            <w:pPr>
              <w:rPr>
                <w:rFonts w:ascii="Arial" w:hAnsi="Arial" w:cs="Arial"/>
                <w:sz w:val="16"/>
                <w:szCs w:val="16"/>
              </w:rPr>
            </w:pPr>
            <w:r w:rsidRPr="00EF0531">
              <w:rPr>
                <w:rFonts w:ascii="Arial" w:eastAsia="EUAlbertina-Regular-Identity-H" w:hAnsi="Arial" w:cs="Arial"/>
                <w:b/>
                <w:sz w:val="16"/>
                <w:szCs w:val="16"/>
              </w:rPr>
              <w:t>Východisko</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b/>
                <w:bCs/>
                <w:sz w:val="16"/>
                <w:szCs w:val="16"/>
              </w:rPr>
            </w:pPr>
            <w:r w:rsidRPr="00EF0531">
              <w:rPr>
                <w:rFonts w:ascii="Arial" w:hAnsi="Arial" w:cs="Arial"/>
                <w:sz w:val="16"/>
                <w:szCs w:val="16"/>
              </w:rPr>
              <w:t>0</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
                <w:iCs/>
                <w:sz w:val="16"/>
                <w:szCs w:val="16"/>
              </w:rPr>
            </w:pPr>
            <w:r w:rsidRPr="00EF0531">
              <w:rPr>
                <w:rFonts w:ascii="Arial" w:hAnsi="Arial" w:cs="Arial"/>
                <w:sz w:val="16"/>
                <w:szCs w:val="16"/>
              </w:rPr>
              <w:t>N/A</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
                <w:iCs/>
                <w:sz w:val="16"/>
                <w:szCs w:val="16"/>
              </w:rPr>
            </w:pPr>
            <w:r w:rsidRPr="00EF0531">
              <w:rPr>
                <w:rFonts w:ascii="Arial" w:hAnsi="Arial" w:cs="Arial"/>
                <w:sz w:val="16"/>
                <w:szCs w:val="16"/>
              </w:rPr>
              <w:t>N/A</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
                <w:iCs/>
                <w:sz w:val="16"/>
                <w:szCs w:val="16"/>
              </w:rPr>
            </w:pPr>
            <w:r w:rsidRPr="00EF0531">
              <w:rPr>
                <w:rFonts w:ascii="Arial" w:hAnsi="Arial" w:cs="Arial"/>
                <w:sz w:val="16"/>
                <w:szCs w:val="16"/>
              </w:rPr>
              <w:t>N/A</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
                <w:iCs/>
                <w:sz w:val="16"/>
                <w:szCs w:val="16"/>
              </w:rPr>
            </w:pPr>
            <w:r w:rsidRPr="00EF0531">
              <w:rPr>
                <w:rFonts w:ascii="Arial" w:hAnsi="Arial" w:cs="Arial"/>
                <w:sz w:val="16"/>
                <w:szCs w:val="16"/>
              </w:rPr>
              <w:t>N/A</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
                <w:iCs/>
                <w:sz w:val="16"/>
                <w:szCs w:val="16"/>
              </w:rPr>
            </w:pPr>
            <w:r w:rsidRPr="00EF0531">
              <w:rPr>
                <w:rFonts w:ascii="Arial" w:hAnsi="Arial" w:cs="Arial"/>
                <w:sz w:val="16"/>
                <w:szCs w:val="16"/>
              </w:rPr>
              <w:t>N/A</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
                <w:iCs/>
                <w:sz w:val="16"/>
                <w:szCs w:val="16"/>
              </w:rPr>
            </w:pPr>
            <w:r w:rsidRPr="00EF0531">
              <w:rPr>
                <w:rFonts w:ascii="Arial" w:hAnsi="Arial" w:cs="Arial"/>
                <w:sz w:val="16"/>
                <w:szCs w:val="16"/>
              </w:rPr>
              <w:t>N/A</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
                <w:iCs/>
                <w:sz w:val="16"/>
                <w:szCs w:val="16"/>
              </w:rPr>
            </w:pPr>
            <w:r w:rsidRPr="00EF0531">
              <w:rPr>
                <w:rFonts w:ascii="Arial" w:hAnsi="Arial" w:cs="Arial"/>
                <w:sz w:val="16"/>
                <w:szCs w:val="16"/>
              </w:rPr>
              <w:t>N/A</w:t>
            </w:r>
          </w:p>
        </w:tc>
        <w:tc>
          <w:tcPr>
            <w:tcW w:w="709" w:type="dxa"/>
            <w:noWrap/>
            <w:tcMar>
              <w:top w:w="15" w:type="dxa"/>
              <w:left w:w="15" w:type="dxa"/>
              <w:bottom w:w="0" w:type="dxa"/>
              <w:right w:w="15" w:type="dxa"/>
            </w:tcMar>
            <w:vAlign w:val="center"/>
          </w:tcPr>
          <w:p w:rsidR="00FF5344" w:rsidRPr="00EF0531" w:rsidRDefault="00FF5344" w:rsidP="00FF5344">
            <w:pPr>
              <w:jc w:val="center"/>
              <w:rPr>
                <w:rFonts w:ascii="Arial" w:hAnsi="Arial" w:cs="Arial"/>
                <w:i/>
                <w:iCs/>
                <w:sz w:val="16"/>
                <w:szCs w:val="16"/>
              </w:rPr>
            </w:pPr>
            <w:r w:rsidRPr="00EF0531">
              <w:rPr>
                <w:rFonts w:ascii="Arial" w:hAnsi="Arial" w:cs="Arial"/>
                <w:sz w:val="16"/>
                <w:szCs w:val="16"/>
              </w:rPr>
              <w:t>0</w:t>
            </w:r>
          </w:p>
        </w:tc>
        <w:tc>
          <w:tcPr>
            <w:tcW w:w="709" w:type="dxa"/>
            <w:noWrap/>
            <w:tcMar>
              <w:top w:w="15" w:type="dxa"/>
              <w:left w:w="15" w:type="dxa"/>
              <w:bottom w:w="0" w:type="dxa"/>
              <w:right w:w="15" w:type="dxa"/>
            </w:tcMar>
            <w:vAlign w:val="center"/>
          </w:tcPr>
          <w:p w:rsidR="00FF5344" w:rsidRPr="00EF0531" w:rsidRDefault="00FF5344" w:rsidP="00FF5344">
            <w:pPr>
              <w:jc w:val="center"/>
              <w:rPr>
                <w:rFonts w:ascii="Arial" w:hAnsi="Arial" w:cs="Arial"/>
                <w:b/>
                <w:bCs/>
                <w:sz w:val="16"/>
                <w:szCs w:val="16"/>
              </w:rPr>
            </w:pPr>
            <w:r w:rsidRPr="00EF0531">
              <w:rPr>
                <w:rFonts w:ascii="Arial" w:hAnsi="Arial" w:cs="Arial"/>
                <w:b/>
                <w:sz w:val="16"/>
                <w:szCs w:val="16"/>
              </w:rPr>
              <w:t>0</w:t>
            </w:r>
          </w:p>
        </w:tc>
        <w:tc>
          <w:tcPr>
            <w:tcW w:w="1134" w:type="dxa"/>
            <w:noWrap/>
            <w:tcMar>
              <w:top w:w="15" w:type="dxa"/>
              <w:left w:w="15" w:type="dxa"/>
              <w:bottom w:w="0" w:type="dxa"/>
              <w:right w:w="15" w:type="dxa"/>
            </w:tcMar>
            <w:vAlign w:val="center"/>
          </w:tcPr>
          <w:p w:rsidR="00FF5344" w:rsidRPr="00EF0531" w:rsidRDefault="00FF5344" w:rsidP="00FF5344">
            <w:pPr>
              <w:jc w:val="center"/>
              <w:rPr>
                <w:rFonts w:ascii="Arial" w:hAnsi="Arial" w:cs="Arial"/>
                <w:sz w:val="16"/>
                <w:szCs w:val="16"/>
              </w:rPr>
            </w:pPr>
          </w:p>
        </w:tc>
      </w:tr>
      <w:tr w:rsidR="00FF5344" w:rsidRPr="000E0A45" w:rsidTr="00FF5344">
        <w:trPr>
          <w:trHeight w:val="324"/>
        </w:trPr>
        <w:tc>
          <w:tcPr>
            <w:tcW w:w="9703" w:type="dxa"/>
            <w:gridSpan w:val="13"/>
            <w:shd w:val="clear" w:color="auto" w:fill="CCFFFF"/>
            <w:noWrap/>
            <w:tcMar>
              <w:top w:w="15" w:type="dxa"/>
              <w:left w:w="15" w:type="dxa"/>
              <w:bottom w:w="0" w:type="dxa"/>
              <w:right w:w="15" w:type="dxa"/>
            </w:tcMar>
            <w:vAlign w:val="center"/>
          </w:tcPr>
          <w:p w:rsidR="00FF5344" w:rsidRPr="00EF0531" w:rsidRDefault="00FF5344" w:rsidP="00FF5344">
            <w:pPr>
              <w:rPr>
                <w:rFonts w:ascii="Arial" w:hAnsi="Arial" w:cs="Arial"/>
                <w:b/>
                <w:bCs/>
                <w:sz w:val="16"/>
                <w:szCs w:val="16"/>
              </w:rPr>
            </w:pPr>
            <w:r w:rsidRPr="00EF0531">
              <w:rPr>
                <w:rFonts w:ascii="Arial" w:hAnsi="Arial" w:cs="Arial"/>
                <w:b/>
                <w:bCs/>
                <w:sz w:val="16"/>
                <w:szCs w:val="16"/>
              </w:rPr>
              <w:t>Prioritná os 3 - Ochrana ovzdušia a minimalizácia nepriaznivých vplyvov zmeny klímy</w:t>
            </w:r>
          </w:p>
        </w:tc>
      </w:tr>
      <w:tr w:rsidR="00FF5344" w:rsidRPr="000E0A45" w:rsidTr="00FF5344">
        <w:trPr>
          <w:trHeight w:val="20"/>
        </w:trPr>
        <w:tc>
          <w:tcPr>
            <w:tcW w:w="1433" w:type="dxa"/>
            <w:vMerge w:val="restart"/>
            <w:shd w:val="clear" w:color="auto" w:fill="FFFF99"/>
            <w:tcMar>
              <w:top w:w="15" w:type="dxa"/>
              <w:left w:w="15" w:type="dxa"/>
              <w:bottom w:w="0" w:type="dxa"/>
              <w:right w:w="15" w:type="dxa"/>
            </w:tcMar>
            <w:vAlign w:val="center"/>
          </w:tcPr>
          <w:p w:rsidR="00FF5344" w:rsidRPr="00EF0531" w:rsidRDefault="00FF5344" w:rsidP="00FF5344">
            <w:pPr>
              <w:rPr>
                <w:rFonts w:ascii="Arial" w:hAnsi="Arial" w:cs="Arial"/>
                <w:sz w:val="16"/>
                <w:szCs w:val="16"/>
              </w:rPr>
            </w:pPr>
            <w:r w:rsidRPr="00EF0531">
              <w:rPr>
                <w:rFonts w:ascii="Arial" w:hAnsi="Arial" w:cs="Arial"/>
                <w:sz w:val="16"/>
                <w:szCs w:val="16"/>
              </w:rPr>
              <w:t>Zníženie emisií skleníkových plynov na CO2 - [tis.ton] výstup</w:t>
            </w:r>
          </w:p>
        </w:tc>
        <w:tc>
          <w:tcPr>
            <w:tcW w:w="1182" w:type="dxa"/>
            <w:shd w:val="clear" w:color="auto" w:fill="CCFFFF"/>
            <w:noWrap/>
            <w:tcMar>
              <w:top w:w="15" w:type="dxa"/>
              <w:left w:w="15" w:type="dxa"/>
              <w:bottom w:w="0" w:type="dxa"/>
              <w:right w:w="15" w:type="dxa"/>
            </w:tcMar>
            <w:vAlign w:val="center"/>
          </w:tcPr>
          <w:p w:rsidR="00FF5344" w:rsidRPr="00EF0531" w:rsidRDefault="00FF5344" w:rsidP="00FF5344">
            <w:pPr>
              <w:rPr>
                <w:rFonts w:ascii="Arial" w:hAnsi="Arial" w:cs="Arial"/>
                <w:b/>
                <w:sz w:val="16"/>
                <w:szCs w:val="16"/>
              </w:rPr>
            </w:pPr>
            <w:r w:rsidRPr="00EF0531">
              <w:rPr>
                <w:rFonts w:ascii="Arial" w:hAnsi="Arial" w:cs="Arial"/>
                <w:b/>
                <w:sz w:val="16"/>
                <w:szCs w:val="16"/>
              </w:rPr>
              <w:t>Dosiahnutý výsledok</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bCs/>
                <w:sz w:val="16"/>
                <w:szCs w:val="16"/>
              </w:rPr>
            </w:pPr>
            <w:r w:rsidRPr="00EF0531">
              <w:rPr>
                <w:rFonts w:ascii="Arial" w:hAnsi="Arial" w:cs="Arial"/>
                <w:bCs/>
                <w:sz w:val="16"/>
                <w:szCs w:val="16"/>
              </w:rPr>
              <w:t>0</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bCs/>
                <w:sz w:val="16"/>
                <w:szCs w:val="16"/>
              </w:rPr>
            </w:pPr>
            <w:r w:rsidRPr="00EF0531">
              <w:rPr>
                <w:rFonts w:ascii="Arial" w:hAnsi="Arial" w:cs="Arial"/>
                <w:bCs/>
                <w:sz w:val="16"/>
                <w:szCs w:val="16"/>
              </w:rPr>
              <w:t>0</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bCs/>
                <w:sz w:val="16"/>
                <w:szCs w:val="16"/>
              </w:rPr>
            </w:pPr>
            <w:r w:rsidRPr="00EF0531">
              <w:rPr>
                <w:rFonts w:ascii="Arial" w:hAnsi="Arial" w:cs="Arial"/>
                <w:bCs/>
                <w:sz w:val="16"/>
                <w:szCs w:val="16"/>
              </w:rPr>
              <w:t>0</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bCs/>
                <w:sz w:val="16"/>
                <w:szCs w:val="16"/>
              </w:rPr>
            </w:pPr>
            <w:r w:rsidRPr="00EF0531">
              <w:rPr>
                <w:rFonts w:ascii="Arial" w:hAnsi="Arial" w:cs="Arial"/>
                <w:bCs/>
                <w:sz w:val="16"/>
                <w:szCs w:val="16"/>
              </w:rPr>
              <w:t>0</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bCs/>
                <w:sz w:val="16"/>
                <w:szCs w:val="16"/>
              </w:rPr>
            </w:pPr>
            <w:r w:rsidRPr="00EF0531">
              <w:rPr>
                <w:rFonts w:ascii="Arial" w:hAnsi="Arial" w:cs="Arial"/>
                <w:bCs/>
                <w:sz w:val="16"/>
                <w:szCs w:val="16"/>
              </w:rPr>
              <w:t>0,261</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Cs/>
                <w:sz w:val="16"/>
                <w:szCs w:val="16"/>
              </w:rPr>
            </w:pPr>
            <w:r w:rsidRPr="00EF0531">
              <w:rPr>
                <w:rFonts w:ascii="Arial" w:hAnsi="Arial" w:cs="Arial"/>
                <w:bCs/>
                <w:sz w:val="16"/>
                <w:szCs w:val="16"/>
              </w:rPr>
              <w:t>8,688</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Cs/>
                <w:sz w:val="16"/>
                <w:szCs w:val="16"/>
              </w:rPr>
            </w:pPr>
            <w:r w:rsidRPr="00EF0531">
              <w:rPr>
                <w:rFonts w:ascii="Arial" w:hAnsi="Arial" w:cs="Arial"/>
                <w:iCs/>
                <w:sz w:val="16"/>
                <w:szCs w:val="16"/>
              </w:rPr>
              <w:t>N/A</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Cs/>
                <w:sz w:val="16"/>
                <w:szCs w:val="16"/>
              </w:rPr>
            </w:pPr>
            <w:r w:rsidRPr="00EF0531">
              <w:rPr>
                <w:rFonts w:ascii="Arial" w:hAnsi="Arial" w:cs="Arial"/>
                <w:iCs/>
                <w:sz w:val="16"/>
                <w:szCs w:val="16"/>
              </w:rPr>
              <w:t>N/A</w:t>
            </w:r>
          </w:p>
        </w:tc>
        <w:tc>
          <w:tcPr>
            <w:tcW w:w="709" w:type="dxa"/>
            <w:noWrap/>
            <w:tcMar>
              <w:top w:w="15" w:type="dxa"/>
              <w:left w:w="15" w:type="dxa"/>
              <w:bottom w:w="0" w:type="dxa"/>
              <w:right w:w="15" w:type="dxa"/>
            </w:tcMar>
            <w:vAlign w:val="center"/>
          </w:tcPr>
          <w:p w:rsidR="00FF5344" w:rsidRPr="00EF0531" w:rsidRDefault="00FF5344" w:rsidP="00FF5344">
            <w:pPr>
              <w:jc w:val="center"/>
              <w:rPr>
                <w:rFonts w:ascii="Arial" w:hAnsi="Arial" w:cs="Arial"/>
                <w:iCs/>
                <w:sz w:val="16"/>
                <w:szCs w:val="16"/>
              </w:rPr>
            </w:pPr>
            <w:r w:rsidRPr="00EF0531">
              <w:rPr>
                <w:rFonts w:ascii="Arial" w:hAnsi="Arial" w:cs="Arial"/>
                <w:iCs/>
                <w:sz w:val="16"/>
                <w:szCs w:val="16"/>
              </w:rPr>
              <w:t>N/A</w:t>
            </w:r>
          </w:p>
        </w:tc>
        <w:tc>
          <w:tcPr>
            <w:tcW w:w="709" w:type="dxa"/>
            <w:noWrap/>
            <w:tcMar>
              <w:top w:w="15" w:type="dxa"/>
              <w:left w:w="15" w:type="dxa"/>
              <w:bottom w:w="0" w:type="dxa"/>
              <w:right w:w="15" w:type="dxa"/>
            </w:tcMar>
            <w:vAlign w:val="center"/>
          </w:tcPr>
          <w:p w:rsidR="00FF5344" w:rsidRPr="00EF0531" w:rsidRDefault="00FF5344" w:rsidP="00FF5344">
            <w:pPr>
              <w:jc w:val="center"/>
              <w:rPr>
                <w:rFonts w:ascii="Arial" w:hAnsi="Arial" w:cs="Arial"/>
                <w:b/>
                <w:bCs/>
                <w:sz w:val="16"/>
                <w:szCs w:val="16"/>
              </w:rPr>
            </w:pPr>
            <w:r w:rsidRPr="00EF0531">
              <w:rPr>
                <w:rFonts w:ascii="Arial" w:hAnsi="Arial" w:cs="Arial"/>
                <w:b/>
                <w:bCs/>
                <w:sz w:val="16"/>
                <w:szCs w:val="16"/>
              </w:rPr>
              <w:t>8,688</w:t>
            </w:r>
          </w:p>
        </w:tc>
        <w:tc>
          <w:tcPr>
            <w:tcW w:w="1134" w:type="dxa"/>
            <w:noWrap/>
            <w:tcMar>
              <w:top w:w="15" w:type="dxa"/>
              <w:left w:w="15" w:type="dxa"/>
              <w:bottom w:w="0" w:type="dxa"/>
              <w:right w:w="15" w:type="dxa"/>
            </w:tcMar>
            <w:vAlign w:val="center"/>
          </w:tcPr>
          <w:p w:rsidR="00FF5344" w:rsidRPr="00EF0531" w:rsidRDefault="00FF5344" w:rsidP="00FF5344">
            <w:pPr>
              <w:jc w:val="center"/>
              <w:rPr>
                <w:rFonts w:ascii="Arial" w:hAnsi="Arial" w:cs="Arial"/>
                <w:sz w:val="16"/>
                <w:szCs w:val="16"/>
              </w:rPr>
            </w:pPr>
            <w:r w:rsidRPr="00EF0531">
              <w:rPr>
                <w:rFonts w:ascii="Arial" w:hAnsi="Arial" w:cs="Arial"/>
                <w:i/>
                <w:iCs/>
                <w:sz w:val="16"/>
                <w:szCs w:val="16"/>
              </w:rPr>
              <w:t>34,817</w:t>
            </w:r>
          </w:p>
        </w:tc>
      </w:tr>
      <w:tr w:rsidR="00FF5344" w:rsidRPr="000E0A45" w:rsidTr="00FF5344">
        <w:trPr>
          <w:trHeight w:val="20"/>
        </w:trPr>
        <w:tc>
          <w:tcPr>
            <w:tcW w:w="1433" w:type="dxa"/>
            <w:vMerge/>
            <w:shd w:val="clear" w:color="auto" w:fill="FFFF99"/>
            <w:vAlign w:val="center"/>
          </w:tcPr>
          <w:p w:rsidR="00FF5344" w:rsidRPr="00EF0531" w:rsidRDefault="00FF5344" w:rsidP="00FF5344">
            <w:pPr>
              <w:rPr>
                <w:rFonts w:ascii="Arial" w:hAnsi="Arial" w:cs="Arial"/>
                <w:sz w:val="16"/>
                <w:szCs w:val="16"/>
              </w:rPr>
            </w:pPr>
          </w:p>
        </w:tc>
        <w:tc>
          <w:tcPr>
            <w:tcW w:w="1182" w:type="dxa"/>
            <w:shd w:val="clear" w:color="auto" w:fill="CCFFFF"/>
            <w:noWrap/>
            <w:tcMar>
              <w:top w:w="15" w:type="dxa"/>
              <w:left w:w="15" w:type="dxa"/>
              <w:bottom w:w="0" w:type="dxa"/>
              <w:right w:w="15" w:type="dxa"/>
            </w:tcMar>
            <w:vAlign w:val="center"/>
          </w:tcPr>
          <w:p w:rsidR="00FF5344" w:rsidRPr="00EF0531" w:rsidRDefault="00FF5344" w:rsidP="00FF5344">
            <w:pPr>
              <w:rPr>
                <w:rFonts w:ascii="Arial" w:hAnsi="Arial" w:cs="Arial"/>
                <w:b/>
                <w:sz w:val="16"/>
                <w:szCs w:val="16"/>
              </w:rPr>
            </w:pPr>
            <w:r w:rsidRPr="00EF0531">
              <w:rPr>
                <w:rFonts w:ascii="Arial" w:hAnsi="Arial" w:cs="Arial"/>
                <w:b/>
                <w:sz w:val="16"/>
                <w:szCs w:val="16"/>
              </w:rPr>
              <w:t>Cieľ</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Cs/>
                <w:sz w:val="16"/>
                <w:szCs w:val="16"/>
              </w:rPr>
            </w:pPr>
            <w:r w:rsidRPr="00EF0531">
              <w:rPr>
                <w:rFonts w:ascii="Arial" w:hAnsi="Arial" w:cs="Arial"/>
                <w:iCs/>
                <w:sz w:val="16"/>
                <w:szCs w:val="16"/>
              </w:rPr>
              <w:t>N/A</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Cs/>
                <w:sz w:val="16"/>
                <w:szCs w:val="16"/>
              </w:rPr>
            </w:pPr>
            <w:r w:rsidRPr="00EF0531">
              <w:rPr>
                <w:rFonts w:ascii="Arial" w:hAnsi="Arial" w:cs="Arial"/>
                <w:iCs/>
                <w:sz w:val="16"/>
                <w:szCs w:val="16"/>
              </w:rPr>
              <w:t>N/A</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Cs/>
                <w:sz w:val="16"/>
                <w:szCs w:val="16"/>
              </w:rPr>
            </w:pPr>
            <w:r w:rsidRPr="00EF0531">
              <w:rPr>
                <w:rFonts w:ascii="Arial" w:hAnsi="Arial" w:cs="Arial"/>
                <w:iCs/>
                <w:sz w:val="16"/>
                <w:szCs w:val="16"/>
              </w:rPr>
              <w:t>N/A</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Cs/>
                <w:sz w:val="16"/>
                <w:szCs w:val="16"/>
              </w:rPr>
            </w:pPr>
            <w:r w:rsidRPr="00EF0531">
              <w:rPr>
                <w:rFonts w:ascii="Arial" w:hAnsi="Arial" w:cs="Arial"/>
                <w:iCs/>
                <w:sz w:val="16"/>
                <w:szCs w:val="16"/>
              </w:rPr>
              <w:t>N/A</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Cs/>
                <w:sz w:val="16"/>
                <w:szCs w:val="16"/>
              </w:rPr>
            </w:pPr>
            <w:r w:rsidRPr="00EF0531">
              <w:rPr>
                <w:rFonts w:ascii="Arial" w:hAnsi="Arial" w:cs="Arial"/>
                <w:iCs/>
                <w:sz w:val="16"/>
                <w:szCs w:val="16"/>
              </w:rPr>
              <w:t>N/A</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Cs/>
                <w:sz w:val="16"/>
                <w:szCs w:val="16"/>
              </w:rPr>
            </w:pPr>
            <w:r w:rsidRPr="00EF0531">
              <w:rPr>
                <w:rFonts w:ascii="Arial" w:hAnsi="Arial" w:cs="Arial"/>
                <w:iCs/>
                <w:sz w:val="16"/>
                <w:szCs w:val="16"/>
              </w:rPr>
              <w:t>N/A</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Cs/>
                <w:sz w:val="16"/>
                <w:szCs w:val="16"/>
              </w:rPr>
            </w:pPr>
            <w:r w:rsidRPr="00EF0531">
              <w:rPr>
                <w:rFonts w:ascii="Arial" w:hAnsi="Arial" w:cs="Arial"/>
                <w:iCs/>
                <w:sz w:val="16"/>
                <w:szCs w:val="16"/>
              </w:rPr>
              <w:t>N/A</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Cs/>
                <w:sz w:val="16"/>
                <w:szCs w:val="16"/>
              </w:rPr>
            </w:pPr>
            <w:r w:rsidRPr="00EF0531">
              <w:rPr>
                <w:rFonts w:ascii="Arial" w:hAnsi="Arial" w:cs="Arial"/>
                <w:iCs/>
                <w:sz w:val="16"/>
                <w:szCs w:val="16"/>
              </w:rPr>
              <w:t>N/A</w:t>
            </w:r>
          </w:p>
        </w:tc>
        <w:tc>
          <w:tcPr>
            <w:tcW w:w="709" w:type="dxa"/>
            <w:noWrap/>
            <w:tcMar>
              <w:top w:w="15" w:type="dxa"/>
              <w:left w:w="15" w:type="dxa"/>
              <w:bottom w:w="0" w:type="dxa"/>
              <w:right w:w="15" w:type="dxa"/>
            </w:tcMar>
            <w:vAlign w:val="center"/>
          </w:tcPr>
          <w:p w:rsidR="00FF5344" w:rsidRPr="00EF0531" w:rsidRDefault="00FF5344" w:rsidP="00FF5344">
            <w:pPr>
              <w:jc w:val="center"/>
              <w:rPr>
                <w:rFonts w:ascii="Arial" w:hAnsi="Arial" w:cs="Arial"/>
                <w:bCs/>
                <w:sz w:val="16"/>
                <w:szCs w:val="16"/>
              </w:rPr>
            </w:pPr>
            <w:r w:rsidRPr="00EF0531">
              <w:rPr>
                <w:rFonts w:ascii="Arial" w:hAnsi="Arial" w:cs="Arial"/>
                <w:bCs/>
                <w:sz w:val="16"/>
                <w:szCs w:val="16"/>
              </w:rPr>
              <w:t>212</w:t>
            </w:r>
          </w:p>
        </w:tc>
        <w:tc>
          <w:tcPr>
            <w:tcW w:w="709" w:type="dxa"/>
            <w:noWrap/>
            <w:tcMar>
              <w:top w:w="15" w:type="dxa"/>
              <w:left w:w="15" w:type="dxa"/>
              <w:bottom w:w="0" w:type="dxa"/>
              <w:right w:w="15" w:type="dxa"/>
            </w:tcMar>
            <w:vAlign w:val="center"/>
          </w:tcPr>
          <w:p w:rsidR="00FF5344" w:rsidRPr="00EF0531" w:rsidRDefault="00FF5344" w:rsidP="00FF5344">
            <w:pPr>
              <w:jc w:val="center"/>
              <w:rPr>
                <w:rFonts w:ascii="Arial" w:hAnsi="Arial" w:cs="Arial"/>
                <w:b/>
                <w:bCs/>
                <w:sz w:val="16"/>
                <w:szCs w:val="16"/>
              </w:rPr>
            </w:pPr>
            <w:r w:rsidRPr="00EF0531">
              <w:rPr>
                <w:rFonts w:ascii="Arial" w:hAnsi="Arial" w:cs="Arial"/>
                <w:b/>
                <w:bCs/>
                <w:sz w:val="16"/>
                <w:szCs w:val="16"/>
              </w:rPr>
              <w:t xml:space="preserve">212 </w:t>
            </w:r>
          </w:p>
        </w:tc>
        <w:tc>
          <w:tcPr>
            <w:tcW w:w="1134" w:type="dxa"/>
            <w:noWrap/>
            <w:tcMar>
              <w:top w:w="15" w:type="dxa"/>
              <w:left w:w="15" w:type="dxa"/>
              <w:bottom w:w="0" w:type="dxa"/>
              <w:right w:w="15" w:type="dxa"/>
            </w:tcMar>
            <w:vAlign w:val="center"/>
          </w:tcPr>
          <w:p w:rsidR="00FF5344" w:rsidRPr="000E0A45" w:rsidRDefault="00FF5344" w:rsidP="00FF5344">
            <w:pPr>
              <w:jc w:val="center"/>
              <w:rPr>
                <w:rFonts w:ascii="Arial" w:hAnsi="Arial" w:cs="Arial"/>
                <w:i/>
                <w:iCs/>
                <w:sz w:val="16"/>
                <w:szCs w:val="16"/>
              </w:rPr>
            </w:pPr>
          </w:p>
        </w:tc>
      </w:tr>
      <w:tr w:rsidR="00FF5344" w:rsidRPr="000E0A45" w:rsidTr="00FF5344">
        <w:trPr>
          <w:trHeight w:val="20"/>
        </w:trPr>
        <w:tc>
          <w:tcPr>
            <w:tcW w:w="1433" w:type="dxa"/>
            <w:vMerge/>
            <w:shd w:val="clear" w:color="auto" w:fill="FFFF99"/>
            <w:vAlign w:val="center"/>
          </w:tcPr>
          <w:p w:rsidR="00FF5344" w:rsidRPr="00EF0531" w:rsidRDefault="00FF5344" w:rsidP="00FF5344">
            <w:pPr>
              <w:rPr>
                <w:rFonts w:ascii="Arial" w:hAnsi="Arial" w:cs="Arial"/>
                <w:sz w:val="16"/>
                <w:szCs w:val="16"/>
              </w:rPr>
            </w:pPr>
          </w:p>
        </w:tc>
        <w:tc>
          <w:tcPr>
            <w:tcW w:w="1182" w:type="dxa"/>
            <w:shd w:val="clear" w:color="auto" w:fill="CCFFFF"/>
            <w:noWrap/>
            <w:tcMar>
              <w:top w:w="15" w:type="dxa"/>
              <w:left w:w="15" w:type="dxa"/>
              <w:bottom w:w="0" w:type="dxa"/>
              <w:right w:w="15" w:type="dxa"/>
            </w:tcMar>
            <w:vAlign w:val="center"/>
          </w:tcPr>
          <w:p w:rsidR="00FF5344" w:rsidRPr="00EF0531" w:rsidRDefault="00FF5344" w:rsidP="00FF5344">
            <w:pPr>
              <w:rPr>
                <w:rFonts w:ascii="Arial" w:hAnsi="Arial" w:cs="Arial"/>
                <w:b/>
                <w:sz w:val="16"/>
                <w:szCs w:val="16"/>
              </w:rPr>
            </w:pPr>
            <w:r w:rsidRPr="00EF0531">
              <w:rPr>
                <w:rFonts w:ascii="Arial" w:hAnsi="Arial" w:cs="Arial"/>
                <w:b/>
                <w:sz w:val="16"/>
                <w:szCs w:val="16"/>
              </w:rPr>
              <w:t>Východisko</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bCs/>
                <w:sz w:val="16"/>
                <w:szCs w:val="16"/>
              </w:rPr>
            </w:pPr>
            <w:r w:rsidRPr="00EF0531">
              <w:rPr>
                <w:rFonts w:ascii="Arial" w:hAnsi="Arial" w:cs="Arial"/>
                <w:bCs/>
                <w:sz w:val="16"/>
                <w:szCs w:val="16"/>
              </w:rPr>
              <w:t>124</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Cs/>
                <w:sz w:val="16"/>
                <w:szCs w:val="16"/>
              </w:rPr>
            </w:pPr>
            <w:r w:rsidRPr="00EF0531">
              <w:rPr>
                <w:rFonts w:ascii="Arial" w:hAnsi="Arial" w:cs="Arial"/>
                <w:iCs/>
                <w:sz w:val="16"/>
                <w:szCs w:val="16"/>
              </w:rPr>
              <w:t>N/A</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Cs/>
                <w:sz w:val="16"/>
                <w:szCs w:val="16"/>
              </w:rPr>
            </w:pPr>
            <w:r w:rsidRPr="00EF0531">
              <w:rPr>
                <w:rFonts w:ascii="Arial" w:hAnsi="Arial" w:cs="Arial"/>
                <w:iCs/>
                <w:sz w:val="16"/>
                <w:szCs w:val="16"/>
              </w:rPr>
              <w:t>N/A</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Cs/>
                <w:sz w:val="16"/>
                <w:szCs w:val="16"/>
              </w:rPr>
            </w:pPr>
            <w:r w:rsidRPr="00EF0531">
              <w:rPr>
                <w:rFonts w:ascii="Arial" w:hAnsi="Arial" w:cs="Arial"/>
                <w:iCs/>
                <w:sz w:val="16"/>
                <w:szCs w:val="16"/>
              </w:rPr>
              <w:t>N/A</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Cs/>
                <w:sz w:val="16"/>
                <w:szCs w:val="16"/>
              </w:rPr>
            </w:pPr>
            <w:r w:rsidRPr="00EF0531">
              <w:rPr>
                <w:rFonts w:ascii="Arial" w:hAnsi="Arial" w:cs="Arial"/>
                <w:iCs/>
                <w:sz w:val="16"/>
                <w:szCs w:val="16"/>
              </w:rPr>
              <w:t>N/A</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Cs/>
                <w:sz w:val="16"/>
                <w:szCs w:val="16"/>
              </w:rPr>
            </w:pPr>
            <w:r w:rsidRPr="00EF0531">
              <w:rPr>
                <w:rFonts w:ascii="Arial" w:hAnsi="Arial" w:cs="Arial"/>
                <w:iCs/>
                <w:sz w:val="16"/>
                <w:szCs w:val="16"/>
              </w:rPr>
              <w:t>N/A</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Cs/>
                <w:sz w:val="16"/>
                <w:szCs w:val="16"/>
              </w:rPr>
            </w:pPr>
            <w:r w:rsidRPr="00EF0531">
              <w:rPr>
                <w:rFonts w:ascii="Arial" w:hAnsi="Arial" w:cs="Arial"/>
                <w:iCs/>
                <w:sz w:val="16"/>
                <w:szCs w:val="16"/>
              </w:rPr>
              <w:t>N/A</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Cs/>
                <w:sz w:val="16"/>
                <w:szCs w:val="16"/>
              </w:rPr>
            </w:pPr>
            <w:r w:rsidRPr="00EF0531">
              <w:rPr>
                <w:rFonts w:ascii="Arial" w:hAnsi="Arial" w:cs="Arial"/>
                <w:iCs/>
                <w:sz w:val="16"/>
                <w:szCs w:val="16"/>
              </w:rPr>
              <w:t>N/A</w:t>
            </w:r>
          </w:p>
        </w:tc>
        <w:tc>
          <w:tcPr>
            <w:tcW w:w="709" w:type="dxa"/>
            <w:noWrap/>
            <w:tcMar>
              <w:top w:w="15" w:type="dxa"/>
              <w:left w:w="15" w:type="dxa"/>
              <w:bottom w:w="0" w:type="dxa"/>
              <w:right w:w="15" w:type="dxa"/>
            </w:tcMar>
            <w:vAlign w:val="center"/>
          </w:tcPr>
          <w:p w:rsidR="00FF5344" w:rsidRPr="00EF0531" w:rsidRDefault="00FF5344" w:rsidP="00FF5344">
            <w:pPr>
              <w:jc w:val="center"/>
              <w:rPr>
                <w:rFonts w:ascii="Arial" w:hAnsi="Arial" w:cs="Arial"/>
                <w:iCs/>
                <w:sz w:val="16"/>
                <w:szCs w:val="16"/>
              </w:rPr>
            </w:pPr>
            <w:r w:rsidRPr="00EF0531">
              <w:rPr>
                <w:rFonts w:ascii="Arial" w:hAnsi="Arial" w:cs="Arial"/>
                <w:iCs/>
                <w:sz w:val="16"/>
                <w:szCs w:val="16"/>
              </w:rPr>
              <w:t>N/A</w:t>
            </w:r>
          </w:p>
        </w:tc>
        <w:tc>
          <w:tcPr>
            <w:tcW w:w="709" w:type="dxa"/>
            <w:noWrap/>
            <w:tcMar>
              <w:top w:w="15" w:type="dxa"/>
              <w:left w:w="15" w:type="dxa"/>
              <w:bottom w:w="0" w:type="dxa"/>
              <w:right w:w="15" w:type="dxa"/>
            </w:tcMar>
            <w:vAlign w:val="center"/>
          </w:tcPr>
          <w:p w:rsidR="00FF5344" w:rsidRPr="00EF0531" w:rsidRDefault="00FF5344" w:rsidP="00FF5344">
            <w:pPr>
              <w:jc w:val="center"/>
              <w:rPr>
                <w:rFonts w:ascii="Arial" w:hAnsi="Arial" w:cs="Arial"/>
                <w:b/>
                <w:bCs/>
                <w:sz w:val="16"/>
                <w:szCs w:val="16"/>
              </w:rPr>
            </w:pPr>
            <w:r w:rsidRPr="00EF0531">
              <w:rPr>
                <w:rFonts w:ascii="Arial" w:hAnsi="Arial" w:cs="Arial"/>
                <w:b/>
                <w:bCs/>
                <w:sz w:val="16"/>
                <w:szCs w:val="16"/>
              </w:rPr>
              <w:t>124</w:t>
            </w:r>
          </w:p>
        </w:tc>
        <w:tc>
          <w:tcPr>
            <w:tcW w:w="1134" w:type="dxa"/>
            <w:noWrap/>
            <w:tcMar>
              <w:top w:w="15" w:type="dxa"/>
              <w:left w:w="15" w:type="dxa"/>
              <w:bottom w:w="0" w:type="dxa"/>
              <w:right w:w="15" w:type="dxa"/>
            </w:tcMar>
            <w:vAlign w:val="center"/>
          </w:tcPr>
          <w:p w:rsidR="00FF5344" w:rsidRPr="000E0A45" w:rsidRDefault="00FF5344" w:rsidP="00FF5344">
            <w:pPr>
              <w:jc w:val="center"/>
              <w:rPr>
                <w:rFonts w:ascii="Arial" w:hAnsi="Arial" w:cs="Arial"/>
                <w:sz w:val="16"/>
                <w:szCs w:val="16"/>
              </w:rPr>
            </w:pPr>
          </w:p>
        </w:tc>
      </w:tr>
      <w:tr w:rsidR="00FF5344" w:rsidRPr="000E0A45" w:rsidTr="00FF5344">
        <w:trPr>
          <w:trHeight w:val="20"/>
        </w:trPr>
        <w:tc>
          <w:tcPr>
            <w:tcW w:w="9703" w:type="dxa"/>
            <w:gridSpan w:val="13"/>
            <w:shd w:val="clear" w:color="auto" w:fill="auto"/>
            <w:vAlign w:val="center"/>
          </w:tcPr>
          <w:p w:rsidR="00FF5344" w:rsidRPr="00EF0531" w:rsidRDefault="00FF5344" w:rsidP="00FF5344">
            <w:pPr>
              <w:jc w:val="center"/>
              <w:rPr>
                <w:rFonts w:ascii="Arial" w:hAnsi="Arial" w:cs="Arial"/>
                <w:sz w:val="16"/>
                <w:szCs w:val="16"/>
              </w:rPr>
            </w:pPr>
          </w:p>
        </w:tc>
      </w:tr>
      <w:tr w:rsidR="00FF5344" w:rsidRPr="000E0A45" w:rsidTr="00FF5344">
        <w:trPr>
          <w:trHeight w:val="20"/>
        </w:trPr>
        <w:tc>
          <w:tcPr>
            <w:tcW w:w="1433" w:type="dxa"/>
            <w:vMerge w:val="restart"/>
            <w:shd w:val="clear" w:color="auto" w:fill="FFFF99"/>
          </w:tcPr>
          <w:p w:rsidR="00FF5344" w:rsidRPr="00EF0531" w:rsidRDefault="00FF5344" w:rsidP="00FF5344">
            <w:pPr>
              <w:rPr>
                <w:rFonts w:ascii="Arial" w:eastAsia="EUAlbertina-Regular-Identity-H" w:hAnsi="Arial" w:cs="Arial"/>
                <w:b/>
                <w:sz w:val="16"/>
                <w:szCs w:val="16"/>
              </w:rPr>
            </w:pPr>
            <w:r w:rsidRPr="00EF0531">
              <w:rPr>
                <w:rFonts w:ascii="Arial" w:eastAsia="EUAlbertina-Regular-Identity-H" w:hAnsi="Arial" w:cs="Arial"/>
                <w:sz w:val="16"/>
                <w:szCs w:val="16"/>
              </w:rPr>
              <w:t>Počet novovytvorených pracovných miest (počet) dopad</w:t>
            </w:r>
          </w:p>
        </w:tc>
        <w:tc>
          <w:tcPr>
            <w:tcW w:w="1182" w:type="dxa"/>
            <w:shd w:val="clear" w:color="auto" w:fill="CCFFFF"/>
            <w:noWrap/>
            <w:tcMar>
              <w:top w:w="15" w:type="dxa"/>
              <w:left w:w="15" w:type="dxa"/>
              <w:bottom w:w="0" w:type="dxa"/>
              <w:right w:w="15" w:type="dxa"/>
            </w:tcMar>
            <w:vAlign w:val="center"/>
          </w:tcPr>
          <w:p w:rsidR="00FF5344" w:rsidRPr="00EF0531" w:rsidRDefault="00FF5344" w:rsidP="00FF5344">
            <w:pPr>
              <w:rPr>
                <w:rFonts w:ascii="Arial" w:eastAsia="EUAlbertina-Regular-Identity-H" w:hAnsi="Arial" w:cs="Arial"/>
                <w:b/>
                <w:sz w:val="16"/>
                <w:szCs w:val="16"/>
              </w:rPr>
            </w:pPr>
            <w:r w:rsidRPr="00EF0531">
              <w:rPr>
                <w:rFonts w:ascii="Arial" w:eastAsia="EUAlbertina-Regular-Identity-H" w:hAnsi="Arial" w:cs="Arial"/>
                <w:b/>
                <w:sz w:val="16"/>
                <w:szCs w:val="16"/>
              </w:rPr>
              <w:t>Dosiahnutý výsledok</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sz w:val="16"/>
                <w:szCs w:val="16"/>
              </w:rPr>
            </w:pPr>
            <w:r w:rsidRPr="00EF0531">
              <w:rPr>
                <w:rFonts w:ascii="Arial" w:hAnsi="Arial" w:cs="Arial"/>
                <w:sz w:val="16"/>
                <w:szCs w:val="16"/>
              </w:rPr>
              <w:t>0</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sz w:val="16"/>
                <w:szCs w:val="16"/>
              </w:rPr>
            </w:pPr>
            <w:r w:rsidRPr="00EF0531">
              <w:rPr>
                <w:rFonts w:ascii="Arial" w:hAnsi="Arial" w:cs="Arial"/>
                <w:sz w:val="16"/>
                <w:szCs w:val="16"/>
              </w:rPr>
              <w:t>0</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sz w:val="16"/>
                <w:szCs w:val="16"/>
              </w:rPr>
            </w:pPr>
            <w:r w:rsidRPr="00EF0531">
              <w:rPr>
                <w:rFonts w:ascii="Arial" w:hAnsi="Arial" w:cs="Arial"/>
                <w:sz w:val="16"/>
                <w:szCs w:val="16"/>
              </w:rPr>
              <w:t>0</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sz w:val="16"/>
                <w:szCs w:val="16"/>
              </w:rPr>
            </w:pPr>
            <w:r w:rsidRPr="00EF0531">
              <w:rPr>
                <w:rFonts w:ascii="Arial" w:hAnsi="Arial" w:cs="Arial"/>
                <w:sz w:val="16"/>
                <w:szCs w:val="16"/>
              </w:rPr>
              <w:t>0</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sz w:val="16"/>
                <w:szCs w:val="16"/>
              </w:rPr>
            </w:pPr>
            <w:r w:rsidRPr="00EF0531">
              <w:rPr>
                <w:rFonts w:ascii="Arial" w:hAnsi="Arial" w:cs="Arial"/>
                <w:sz w:val="16"/>
                <w:szCs w:val="16"/>
              </w:rPr>
              <w:t>0</w:t>
            </w:r>
          </w:p>
        </w:tc>
        <w:tc>
          <w:tcPr>
            <w:tcW w:w="567" w:type="dxa"/>
            <w:noWrap/>
            <w:tcMar>
              <w:top w:w="15" w:type="dxa"/>
              <w:left w:w="15" w:type="dxa"/>
              <w:bottom w:w="0" w:type="dxa"/>
              <w:right w:w="15" w:type="dxa"/>
            </w:tcMar>
            <w:vAlign w:val="center"/>
          </w:tcPr>
          <w:p w:rsidR="00FF5344" w:rsidRPr="00EF0531" w:rsidRDefault="00961A0E" w:rsidP="00FF5344">
            <w:pPr>
              <w:jc w:val="center"/>
              <w:rPr>
                <w:rFonts w:ascii="Arial" w:hAnsi="Arial" w:cs="Arial"/>
                <w:sz w:val="16"/>
                <w:szCs w:val="16"/>
              </w:rPr>
            </w:pPr>
            <w:r>
              <w:rPr>
                <w:rFonts w:ascii="Arial" w:hAnsi="Arial" w:cs="Arial"/>
                <w:sz w:val="16"/>
                <w:szCs w:val="16"/>
              </w:rPr>
              <w:t>5</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rPr>
            </w:pPr>
            <w:r w:rsidRPr="00EF0531">
              <w:rPr>
                <w:rFonts w:ascii="Arial" w:hAnsi="Arial" w:cs="Arial"/>
                <w:sz w:val="16"/>
                <w:szCs w:val="16"/>
              </w:rPr>
              <w:t>N/A</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rPr>
            </w:pPr>
            <w:r w:rsidRPr="00EF0531">
              <w:rPr>
                <w:rFonts w:ascii="Arial" w:hAnsi="Arial" w:cs="Arial"/>
                <w:sz w:val="16"/>
                <w:szCs w:val="16"/>
              </w:rPr>
              <w:t>N/A</w:t>
            </w:r>
          </w:p>
        </w:tc>
        <w:tc>
          <w:tcPr>
            <w:tcW w:w="709" w:type="dxa"/>
            <w:noWrap/>
            <w:tcMar>
              <w:top w:w="15" w:type="dxa"/>
              <w:left w:w="15" w:type="dxa"/>
              <w:bottom w:w="0" w:type="dxa"/>
              <w:right w:w="15" w:type="dxa"/>
            </w:tcMar>
            <w:vAlign w:val="center"/>
          </w:tcPr>
          <w:p w:rsidR="00FF5344" w:rsidRPr="00EF0531" w:rsidRDefault="00FF5344" w:rsidP="00FF5344">
            <w:pPr>
              <w:jc w:val="center"/>
              <w:rPr>
                <w:rFonts w:ascii="Arial" w:hAnsi="Arial" w:cs="Arial"/>
              </w:rPr>
            </w:pPr>
            <w:r w:rsidRPr="00EF0531">
              <w:rPr>
                <w:rFonts w:ascii="Arial" w:hAnsi="Arial" w:cs="Arial"/>
                <w:sz w:val="16"/>
                <w:szCs w:val="16"/>
              </w:rPr>
              <w:t>N/A</w:t>
            </w:r>
          </w:p>
        </w:tc>
        <w:tc>
          <w:tcPr>
            <w:tcW w:w="709" w:type="dxa"/>
            <w:noWrap/>
            <w:tcMar>
              <w:top w:w="15" w:type="dxa"/>
              <w:left w:w="15" w:type="dxa"/>
              <w:bottom w:w="0" w:type="dxa"/>
              <w:right w:w="15" w:type="dxa"/>
            </w:tcMar>
            <w:vAlign w:val="center"/>
          </w:tcPr>
          <w:p w:rsidR="00FF5344" w:rsidRPr="00EF0531" w:rsidRDefault="008C4839" w:rsidP="00FF5344">
            <w:pPr>
              <w:jc w:val="center"/>
              <w:rPr>
                <w:rFonts w:ascii="Arial" w:hAnsi="Arial" w:cs="Arial"/>
                <w:b/>
                <w:sz w:val="16"/>
                <w:szCs w:val="16"/>
              </w:rPr>
            </w:pPr>
            <w:r>
              <w:rPr>
                <w:rFonts w:ascii="Arial" w:hAnsi="Arial" w:cs="Arial"/>
                <w:b/>
                <w:sz w:val="16"/>
                <w:szCs w:val="16"/>
              </w:rPr>
              <w:t>5</w:t>
            </w:r>
          </w:p>
        </w:tc>
        <w:tc>
          <w:tcPr>
            <w:tcW w:w="1134" w:type="dxa"/>
            <w:noWrap/>
            <w:tcMar>
              <w:top w:w="15" w:type="dxa"/>
              <w:left w:w="15" w:type="dxa"/>
              <w:bottom w:w="0" w:type="dxa"/>
              <w:right w:w="15" w:type="dxa"/>
            </w:tcMar>
            <w:vAlign w:val="center"/>
          </w:tcPr>
          <w:p w:rsidR="00FF5344" w:rsidRPr="005341B4" w:rsidRDefault="00961A0E" w:rsidP="00FF5344">
            <w:pPr>
              <w:rPr>
                <w:rFonts w:ascii="Arial" w:hAnsi="Arial" w:cs="Arial"/>
                <w:color w:val="FF0000"/>
                <w:sz w:val="16"/>
                <w:szCs w:val="16"/>
              </w:rPr>
            </w:pPr>
            <w:r>
              <w:rPr>
                <w:rFonts w:ascii="Arial" w:hAnsi="Arial" w:cs="Arial"/>
                <w:color w:val="FF0000"/>
                <w:sz w:val="16"/>
                <w:szCs w:val="16"/>
              </w:rPr>
              <w:t xml:space="preserve">6 </w:t>
            </w:r>
            <w:r w:rsidRPr="00254254">
              <w:rPr>
                <w:rFonts w:ascii="Arial" w:hAnsi="Arial" w:cs="Arial"/>
                <w:sz w:val="16"/>
                <w:szCs w:val="16"/>
              </w:rPr>
              <w:t>Po ukončení realizácie všetkých projektov</w:t>
            </w:r>
          </w:p>
        </w:tc>
      </w:tr>
      <w:tr w:rsidR="00FF5344" w:rsidRPr="000E0A45" w:rsidTr="00FF5344">
        <w:trPr>
          <w:trHeight w:val="20"/>
        </w:trPr>
        <w:tc>
          <w:tcPr>
            <w:tcW w:w="1433" w:type="dxa"/>
            <w:vMerge/>
            <w:shd w:val="clear" w:color="auto" w:fill="FFFF99"/>
          </w:tcPr>
          <w:p w:rsidR="00FF5344" w:rsidRPr="00EF0531" w:rsidRDefault="00FF5344" w:rsidP="00FF5344">
            <w:pPr>
              <w:rPr>
                <w:rFonts w:ascii="Arial" w:hAnsi="Arial" w:cs="Arial"/>
                <w:sz w:val="16"/>
                <w:szCs w:val="16"/>
              </w:rPr>
            </w:pPr>
          </w:p>
        </w:tc>
        <w:tc>
          <w:tcPr>
            <w:tcW w:w="1182" w:type="dxa"/>
            <w:shd w:val="clear" w:color="auto" w:fill="CCFFFF"/>
            <w:noWrap/>
            <w:tcMar>
              <w:top w:w="15" w:type="dxa"/>
              <w:left w:w="15" w:type="dxa"/>
              <w:bottom w:w="0" w:type="dxa"/>
              <w:right w:w="15" w:type="dxa"/>
            </w:tcMar>
            <w:vAlign w:val="center"/>
          </w:tcPr>
          <w:p w:rsidR="00FF5344" w:rsidRPr="00EF0531" w:rsidRDefault="00FF5344" w:rsidP="00FF5344">
            <w:pPr>
              <w:rPr>
                <w:rFonts w:ascii="Arial" w:hAnsi="Arial" w:cs="Arial"/>
                <w:b/>
                <w:sz w:val="16"/>
                <w:szCs w:val="16"/>
              </w:rPr>
            </w:pPr>
            <w:r w:rsidRPr="00EF0531">
              <w:rPr>
                <w:rFonts w:ascii="Arial" w:eastAsia="EUAlbertina-Regular-Identity-H" w:hAnsi="Arial" w:cs="Arial"/>
                <w:b/>
                <w:sz w:val="16"/>
                <w:szCs w:val="16"/>
              </w:rPr>
              <w:t xml:space="preserve">Cieľ </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b/>
                <w:bCs/>
                <w:sz w:val="16"/>
                <w:szCs w:val="16"/>
              </w:rPr>
            </w:pPr>
            <w:r w:rsidRPr="00EF0531">
              <w:rPr>
                <w:rFonts w:ascii="Arial" w:hAnsi="Arial" w:cs="Arial"/>
                <w:sz w:val="16"/>
                <w:szCs w:val="16"/>
              </w:rPr>
              <w:t>N/A</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
                <w:iCs/>
                <w:sz w:val="16"/>
                <w:szCs w:val="16"/>
              </w:rPr>
            </w:pPr>
            <w:r w:rsidRPr="00EF0531">
              <w:rPr>
                <w:rFonts w:ascii="Arial" w:hAnsi="Arial" w:cs="Arial"/>
                <w:sz w:val="16"/>
                <w:szCs w:val="16"/>
              </w:rPr>
              <w:t>N/A</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
                <w:iCs/>
                <w:sz w:val="16"/>
                <w:szCs w:val="16"/>
              </w:rPr>
            </w:pPr>
            <w:r w:rsidRPr="00EF0531">
              <w:rPr>
                <w:rFonts w:ascii="Arial" w:hAnsi="Arial" w:cs="Arial"/>
                <w:sz w:val="16"/>
                <w:szCs w:val="16"/>
              </w:rPr>
              <w:t>N/A</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
                <w:iCs/>
                <w:sz w:val="16"/>
                <w:szCs w:val="16"/>
              </w:rPr>
            </w:pPr>
            <w:r w:rsidRPr="00EF0531">
              <w:rPr>
                <w:rFonts w:ascii="Arial" w:hAnsi="Arial" w:cs="Arial"/>
                <w:sz w:val="16"/>
                <w:szCs w:val="16"/>
              </w:rPr>
              <w:t>N/A</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
                <w:iCs/>
                <w:sz w:val="16"/>
                <w:szCs w:val="16"/>
              </w:rPr>
            </w:pPr>
            <w:r w:rsidRPr="00EF0531">
              <w:rPr>
                <w:rFonts w:ascii="Arial" w:hAnsi="Arial" w:cs="Arial"/>
                <w:sz w:val="16"/>
                <w:szCs w:val="16"/>
              </w:rPr>
              <w:t>N/A</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
                <w:iCs/>
                <w:sz w:val="16"/>
                <w:szCs w:val="16"/>
              </w:rPr>
            </w:pPr>
            <w:r w:rsidRPr="00EF0531">
              <w:rPr>
                <w:rFonts w:ascii="Arial" w:hAnsi="Arial" w:cs="Arial"/>
                <w:sz w:val="16"/>
                <w:szCs w:val="16"/>
              </w:rPr>
              <w:t>N/A</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
                <w:iCs/>
                <w:sz w:val="16"/>
                <w:szCs w:val="16"/>
              </w:rPr>
            </w:pPr>
            <w:r w:rsidRPr="00EF0531">
              <w:rPr>
                <w:rFonts w:ascii="Arial" w:hAnsi="Arial" w:cs="Arial"/>
                <w:sz w:val="16"/>
                <w:szCs w:val="16"/>
              </w:rPr>
              <w:t>N/A</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
                <w:iCs/>
                <w:sz w:val="16"/>
                <w:szCs w:val="16"/>
              </w:rPr>
            </w:pPr>
            <w:r w:rsidRPr="00EF0531">
              <w:rPr>
                <w:rFonts w:ascii="Arial" w:hAnsi="Arial" w:cs="Arial"/>
                <w:sz w:val="16"/>
                <w:szCs w:val="16"/>
              </w:rPr>
              <w:t>N/A</w:t>
            </w:r>
          </w:p>
        </w:tc>
        <w:tc>
          <w:tcPr>
            <w:tcW w:w="709" w:type="dxa"/>
            <w:noWrap/>
            <w:tcMar>
              <w:top w:w="15" w:type="dxa"/>
              <w:left w:w="15" w:type="dxa"/>
              <w:bottom w:w="0" w:type="dxa"/>
              <w:right w:w="15" w:type="dxa"/>
            </w:tcMar>
            <w:vAlign w:val="center"/>
          </w:tcPr>
          <w:p w:rsidR="00FF5344" w:rsidRPr="00EF0531" w:rsidRDefault="00961A0E" w:rsidP="00FF5344">
            <w:pPr>
              <w:jc w:val="center"/>
              <w:rPr>
                <w:rFonts w:ascii="Arial" w:hAnsi="Arial" w:cs="Arial"/>
                <w:i/>
                <w:iCs/>
                <w:sz w:val="16"/>
                <w:szCs w:val="16"/>
              </w:rPr>
            </w:pPr>
            <w:r>
              <w:rPr>
                <w:rFonts w:ascii="Arial" w:hAnsi="Arial" w:cs="Arial"/>
                <w:sz w:val="16"/>
                <w:szCs w:val="16"/>
              </w:rPr>
              <w:t>65</w:t>
            </w:r>
          </w:p>
        </w:tc>
        <w:tc>
          <w:tcPr>
            <w:tcW w:w="709" w:type="dxa"/>
            <w:noWrap/>
            <w:tcMar>
              <w:top w:w="15" w:type="dxa"/>
              <w:left w:w="15" w:type="dxa"/>
              <w:bottom w:w="0" w:type="dxa"/>
              <w:right w:w="15" w:type="dxa"/>
            </w:tcMar>
            <w:vAlign w:val="center"/>
          </w:tcPr>
          <w:p w:rsidR="00FF5344" w:rsidRPr="00EF0531" w:rsidRDefault="00961A0E" w:rsidP="00FF5344">
            <w:pPr>
              <w:jc w:val="center"/>
              <w:rPr>
                <w:rFonts w:ascii="Arial" w:hAnsi="Arial" w:cs="Arial"/>
                <w:b/>
                <w:bCs/>
                <w:sz w:val="16"/>
                <w:szCs w:val="16"/>
              </w:rPr>
            </w:pPr>
            <w:r>
              <w:rPr>
                <w:rFonts w:ascii="Arial" w:hAnsi="Arial" w:cs="Arial"/>
                <w:b/>
                <w:sz w:val="16"/>
                <w:szCs w:val="16"/>
              </w:rPr>
              <w:t>6</w:t>
            </w:r>
            <w:r w:rsidR="00FF5344" w:rsidRPr="00EF0531">
              <w:rPr>
                <w:rFonts w:ascii="Arial" w:hAnsi="Arial" w:cs="Arial"/>
                <w:b/>
                <w:sz w:val="16"/>
                <w:szCs w:val="16"/>
              </w:rPr>
              <w:t>5</w:t>
            </w:r>
          </w:p>
        </w:tc>
        <w:tc>
          <w:tcPr>
            <w:tcW w:w="1134" w:type="dxa"/>
            <w:noWrap/>
            <w:tcMar>
              <w:top w:w="15" w:type="dxa"/>
              <w:left w:w="15" w:type="dxa"/>
              <w:bottom w:w="0" w:type="dxa"/>
              <w:right w:w="15" w:type="dxa"/>
            </w:tcMar>
            <w:vAlign w:val="center"/>
          </w:tcPr>
          <w:p w:rsidR="00FF5344" w:rsidRPr="000E0A45" w:rsidRDefault="00FF5344" w:rsidP="00FF5344">
            <w:pPr>
              <w:jc w:val="center"/>
              <w:rPr>
                <w:rFonts w:ascii="Arial" w:hAnsi="Arial" w:cs="Arial"/>
                <w:sz w:val="16"/>
                <w:szCs w:val="16"/>
              </w:rPr>
            </w:pPr>
          </w:p>
        </w:tc>
      </w:tr>
      <w:tr w:rsidR="00FF5344" w:rsidRPr="000E0A45" w:rsidTr="00FF5344">
        <w:trPr>
          <w:trHeight w:val="20"/>
        </w:trPr>
        <w:tc>
          <w:tcPr>
            <w:tcW w:w="1433" w:type="dxa"/>
            <w:vMerge/>
            <w:tcBorders>
              <w:bottom w:val="single" w:sz="4" w:space="0" w:color="auto"/>
            </w:tcBorders>
            <w:shd w:val="clear" w:color="auto" w:fill="FFFF99"/>
          </w:tcPr>
          <w:p w:rsidR="00FF5344" w:rsidRPr="00EF0531" w:rsidRDefault="00FF5344" w:rsidP="00FF5344">
            <w:pPr>
              <w:rPr>
                <w:rFonts w:ascii="Arial" w:hAnsi="Arial" w:cs="Arial"/>
                <w:sz w:val="16"/>
                <w:szCs w:val="16"/>
              </w:rPr>
            </w:pPr>
          </w:p>
        </w:tc>
        <w:tc>
          <w:tcPr>
            <w:tcW w:w="1182" w:type="dxa"/>
            <w:tcBorders>
              <w:bottom w:val="single" w:sz="4" w:space="0" w:color="auto"/>
            </w:tcBorders>
            <w:shd w:val="clear" w:color="auto" w:fill="CCFFFF"/>
            <w:noWrap/>
            <w:tcMar>
              <w:top w:w="15" w:type="dxa"/>
              <w:left w:w="15" w:type="dxa"/>
              <w:bottom w:w="0" w:type="dxa"/>
              <w:right w:w="15" w:type="dxa"/>
            </w:tcMar>
            <w:vAlign w:val="center"/>
          </w:tcPr>
          <w:p w:rsidR="00FF5344" w:rsidRPr="00EF0531" w:rsidRDefault="00FF5344" w:rsidP="00FF5344">
            <w:pPr>
              <w:rPr>
                <w:rFonts w:ascii="Arial" w:hAnsi="Arial" w:cs="Arial"/>
                <w:b/>
                <w:sz w:val="16"/>
                <w:szCs w:val="16"/>
              </w:rPr>
            </w:pPr>
            <w:r w:rsidRPr="00EF0531">
              <w:rPr>
                <w:rFonts w:ascii="Arial" w:eastAsia="EUAlbertina-Regular-Identity-H" w:hAnsi="Arial" w:cs="Arial"/>
                <w:b/>
                <w:sz w:val="16"/>
                <w:szCs w:val="16"/>
              </w:rPr>
              <w:t>Východisko</w:t>
            </w:r>
          </w:p>
        </w:tc>
        <w:tc>
          <w:tcPr>
            <w:tcW w:w="567" w:type="dxa"/>
            <w:tcBorders>
              <w:bottom w:val="single" w:sz="4" w:space="0" w:color="auto"/>
            </w:tcBorders>
            <w:noWrap/>
            <w:tcMar>
              <w:top w:w="15" w:type="dxa"/>
              <w:left w:w="15" w:type="dxa"/>
              <w:bottom w:w="0" w:type="dxa"/>
              <w:right w:w="15" w:type="dxa"/>
            </w:tcMar>
            <w:vAlign w:val="center"/>
          </w:tcPr>
          <w:p w:rsidR="00FF5344" w:rsidRPr="00EF0531" w:rsidRDefault="00FF5344" w:rsidP="00FF5344">
            <w:pPr>
              <w:jc w:val="center"/>
              <w:rPr>
                <w:rFonts w:ascii="Arial" w:hAnsi="Arial" w:cs="Arial"/>
                <w:b/>
                <w:bCs/>
                <w:sz w:val="16"/>
                <w:szCs w:val="16"/>
              </w:rPr>
            </w:pPr>
            <w:r w:rsidRPr="00EF0531">
              <w:rPr>
                <w:rFonts w:ascii="Arial" w:hAnsi="Arial" w:cs="Arial"/>
                <w:sz w:val="16"/>
                <w:szCs w:val="16"/>
              </w:rPr>
              <w:t>0</w:t>
            </w:r>
          </w:p>
        </w:tc>
        <w:tc>
          <w:tcPr>
            <w:tcW w:w="567" w:type="dxa"/>
            <w:tcBorders>
              <w:bottom w:val="single" w:sz="4" w:space="0" w:color="auto"/>
            </w:tcBorders>
            <w:noWrap/>
            <w:tcMar>
              <w:top w:w="15" w:type="dxa"/>
              <w:left w:w="15" w:type="dxa"/>
              <w:bottom w:w="0" w:type="dxa"/>
              <w:right w:w="15" w:type="dxa"/>
            </w:tcMar>
            <w:vAlign w:val="center"/>
          </w:tcPr>
          <w:p w:rsidR="00FF5344" w:rsidRPr="00EF0531" w:rsidRDefault="00FF5344" w:rsidP="00FF5344">
            <w:pPr>
              <w:jc w:val="center"/>
              <w:rPr>
                <w:rFonts w:ascii="Arial" w:hAnsi="Arial" w:cs="Arial"/>
                <w:i/>
                <w:iCs/>
                <w:sz w:val="16"/>
                <w:szCs w:val="16"/>
              </w:rPr>
            </w:pPr>
            <w:r w:rsidRPr="00EF0531">
              <w:rPr>
                <w:rFonts w:ascii="Arial" w:hAnsi="Arial" w:cs="Arial"/>
                <w:sz w:val="16"/>
                <w:szCs w:val="16"/>
              </w:rPr>
              <w:t>N/A</w:t>
            </w:r>
          </w:p>
        </w:tc>
        <w:tc>
          <w:tcPr>
            <w:tcW w:w="567" w:type="dxa"/>
            <w:tcBorders>
              <w:bottom w:val="single" w:sz="4" w:space="0" w:color="auto"/>
            </w:tcBorders>
            <w:noWrap/>
            <w:tcMar>
              <w:top w:w="15" w:type="dxa"/>
              <w:left w:w="15" w:type="dxa"/>
              <w:bottom w:w="0" w:type="dxa"/>
              <w:right w:w="15" w:type="dxa"/>
            </w:tcMar>
            <w:vAlign w:val="center"/>
          </w:tcPr>
          <w:p w:rsidR="00FF5344" w:rsidRPr="00EF0531" w:rsidRDefault="00FF5344" w:rsidP="00FF5344">
            <w:pPr>
              <w:jc w:val="center"/>
              <w:rPr>
                <w:rFonts w:ascii="Arial" w:hAnsi="Arial" w:cs="Arial"/>
                <w:i/>
                <w:iCs/>
                <w:sz w:val="16"/>
                <w:szCs w:val="16"/>
              </w:rPr>
            </w:pPr>
            <w:r w:rsidRPr="00EF0531">
              <w:rPr>
                <w:rFonts w:ascii="Arial" w:hAnsi="Arial" w:cs="Arial"/>
                <w:sz w:val="16"/>
                <w:szCs w:val="16"/>
              </w:rPr>
              <w:t>N/A</w:t>
            </w:r>
          </w:p>
        </w:tc>
        <w:tc>
          <w:tcPr>
            <w:tcW w:w="567" w:type="dxa"/>
            <w:tcBorders>
              <w:bottom w:val="single" w:sz="4" w:space="0" w:color="auto"/>
            </w:tcBorders>
            <w:noWrap/>
            <w:tcMar>
              <w:top w:w="15" w:type="dxa"/>
              <w:left w:w="15" w:type="dxa"/>
              <w:bottom w:w="0" w:type="dxa"/>
              <w:right w:w="15" w:type="dxa"/>
            </w:tcMar>
            <w:vAlign w:val="center"/>
          </w:tcPr>
          <w:p w:rsidR="00FF5344" w:rsidRPr="00EF0531" w:rsidRDefault="00FF5344" w:rsidP="00FF5344">
            <w:pPr>
              <w:jc w:val="center"/>
              <w:rPr>
                <w:rFonts w:ascii="Arial" w:hAnsi="Arial" w:cs="Arial"/>
                <w:i/>
                <w:iCs/>
                <w:sz w:val="16"/>
                <w:szCs w:val="16"/>
              </w:rPr>
            </w:pPr>
            <w:r w:rsidRPr="00EF0531">
              <w:rPr>
                <w:rFonts w:ascii="Arial" w:hAnsi="Arial" w:cs="Arial"/>
                <w:sz w:val="16"/>
                <w:szCs w:val="16"/>
              </w:rPr>
              <w:t>N/A</w:t>
            </w:r>
          </w:p>
        </w:tc>
        <w:tc>
          <w:tcPr>
            <w:tcW w:w="567" w:type="dxa"/>
            <w:tcBorders>
              <w:bottom w:val="single" w:sz="4" w:space="0" w:color="auto"/>
            </w:tcBorders>
            <w:noWrap/>
            <w:tcMar>
              <w:top w:w="15" w:type="dxa"/>
              <w:left w:w="15" w:type="dxa"/>
              <w:bottom w:w="0" w:type="dxa"/>
              <w:right w:w="15" w:type="dxa"/>
            </w:tcMar>
            <w:vAlign w:val="center"/>
          </w:tcPr>
          <w:p w:rsidR="00FF5344" w:rsidRPr="00EF0531" w:rsidRDefault="00FF5344" w:rsidP="00FF5344">
            <w:pPr>
              <w:jc w:val="center"/>
              <w:rPr>
                <w:rFonts w:ascii="Arial" w:hAnsi="Arial" w:cs="Arial"/>
                <w:i/>
                <w:iCs/>
                <w:sz w:val="16"/>
                <w:szCs w:val="16"/>
              </w:rPr>
            </w:pPr>
            <w:r w:rsidRPr="00EF0531">
              <w:rPr>
                <w:rFonts w:ascii="Arial" w:hAnsi="Arial" w:cs="Arial"/>
                <w:sz w:val="16"/>
                <w:szCs w:val="16"/>
              </w:rPr>
              <w:t>N/A</w:t>
            </w:r>
          </w:p>
        </w:tc>
        <w:tc>
          <w:tcPr>
            <w:tcW w:w="567" w:type="dxa"/>
            <w:tcBorders>
              <w:bottom w:val="single" w:sz="4" w:space="0" w:color="auto"/>
            </w:tcBorders>
            <w:noWrap/>
            <w:tcMar>
              <w:top w:w="15" w:type="dxa"/>
              <w:left w:w="15" w:type="dxa"/>
              <w:bottom w:w="0" w:type="dxa"/>
              <w:right w:w="15" w:type="dxa"/>
            </w:tcMar>
            <w:vAlign w:val="center"/>
          </w:tcPr>
          <w:p w:rsidR="00FF5344" w:rsidRPr="00EF0531" w:rsidRDefault="00FF5344" w:rsidP="00FF5344">
            <w:pPr>
              <w:jc w:val="center"/>
              <w:rPr>
                <w:rFonts w:ascii="Arial" w:hAnsi="Arial" w:cs="Arial"/>
                <w:i/>
                <w:iCs/>
                <w:sz w:val="16"/>
                <w:szCs w:val="16"/>
              </w:rPr>
            </w:pPr>
            <w:r w:rsidRPr="00EF0531">
              <w:rPr>
                <w:rFonts w:ascii="Arial" w:hAnsi="Arial" w:cs="Arial"/>
                <w:sz w:val="16"/>
                <w:szCs w:val="16"/>
              </w:rPr>
              <w:t>N/A</w:t>
            </w:r>
          </w:p>
        </w:tc>
        <w:tc>
          <w:tcPr>
            <w:tcW w:w="567" w:type="dxa"/>
            <w:tcBorders>
              <w:bottom w:val="single" w:sz="4" w:space="0" w:color="auto"/>
            </w:tcBorders>
            <w:noWrap/>
            <w:tcMar>
              <w:top w:w="15" w:type="dxa"/>
              <w:left w:w="15" w:type="dxa"/>
              <w:bottom w:w="0" w:type="dxa"/>
              <w:right w:w="15" w:type="dxa"/>
            </w:tcMar>
            <w:vAlign w:val="center"/>
          </w:tcPr>
          <w:p w:rsidR="00FF5344" w:rsidRPr="00EF0531" w:rsidRDefault="00FF5344" w:rsidP="00FF5344">
            <w:pPr>
              <w:jc w:val="center"/>
              <w:rPr>
                <w:rFonts w:ascii="Arial" w:hAnsi="Arial" w:cs="Arial"/>
                <w:i/>
                <w:iCs/>
                <w:sz w:val="16"/>
                <w:szCs w:val="16"/>
              </w:rPr>
            </w:pPr>
            <w:r w:rsidRPr="00EF0531">
              <w:rPr>
                <w:rFonts w:ascii="Arial" w:hAnsi="Arial" w:cs="Arial"/>
                <w:sz w:val="16"/>
                <w:szCs w:val="16"/>
              </w:rPr>
              <w:t>N/A</w:t>
            </w:r>
          </w:p>
        </w:tc>
        <w:tc>
          <w:tcPr>
            <w:tcW w:w="567" w:type="dxa"/>
            <w:tcBorders>
              <w:bottom w:val="single" w:sz="4" w:space="0" w:color="auto"/>
            </w:tcBorders>
            <w:noWrap/>
            <w:tcMar>
              <w:top w:w="15" w:type="dxa"/>
              <w:left w:w="15" w:type="dxa"/>
              <w:bottom w:w="0" w:type="dxa"/>
              <w:right w:w="15" w:type="dxa"/>
            </w:tcMar>
            <w:vAlign w:val="center"/>
          </w:tcPr>
          <w:p w:rsidR="00FF5344" w:rsidRPr="00EF0531" w:rsidRDefault="00FF5344" w:rsidP="00FF5344">
            <w:pPr>
              <w:jc w:val="center"/>
              <w:rPr>
                <w:rFonts w:ascii="Arial" w:hAnsi="Arial" w:cs="Arial"/>
                <w:i/>
                <w:iCs/>
                <w:sz w:val="16"/>
                <w:szCs w:val="16"/>
              </w:rPr>
            </w:pPr>
            <w:r w:rsidRPr="00EF0531">
              <w:rPr>
                <w:rFonts w:ascii="Arial" w:hAnsi="Arial" w:cs="Arial"/>
                <w:sz w:val="16"/>
                <w:szCs w:val="16"/>
              </w:rPr>
              <w:t>N/A</w:t>
            </w:r>
          </w:p>
        </w:tc>
        <w:tc>
          <w:tcPr>
            <w:tcW w:w="709" w:type="dxa"/>
            <w:tcBorders>
              <w:bottom w:val="single" w:sz="4" w:space="0" w:color="auto"/>
            </w:tcBorders>
            <w:noWrap/>
            <w:tcMar>
              <w:top w:w="15" w:type="dxa"/>
              <w:left w:w="15" w:type="dxa"/>
              <w:bottom w:w="0" w:type="dxa"/>
              <w:right w:w="15" w:type="dxa"/>
            </w:tcMar>
            <w:vAlign w:val="center"/>
          </w:tcPr>
          <w:p w:rsidR="00FF5344" w:rsidRPr="00EF0531" w:rsidRDefault="00FF5344" w:rsidP="00FF5344">
            <w:pPr>
              <w:jc w:val="center"/>
              <w:rPr>
                <w:rFonts w:ascii="Arial" w:hAnsi="Arial" w:cs="Arial"/>
                <w:i/>
                <w:iCs/>
                <w:sz w:val="16"/>
                <w:szCs w:val="16"/>
              </w:rPr>
            </w:pPr>
            <w:r w:rsidRPr="00EF0531">
              <w:rPr>
                <w:rFonts w:ascii="Arial" w:hAnsi="Arial" w:cs="Arial"/>
                <w:sz w:val="16"/>
                <w:szCs w:val="16"/>
              </w:rPr>
              <w:t>0</w:t>
            </w:r>
          </w:p>
        </w:tc>
        <w:tc>
          <w:tcPr>
            <w:tcW w:w="709" w:type="dxa"/>
            <w:tcBorders>
              <w:bottom w:val="single" w:sz="4" w:space="0" w:color="auto"/>
            </w:tcBorders>
            <w:noWrap/>
            <w:tcMar>
              <w:top w:w="15" w:type="dxa"/>
              <w:left w:w="15" w:type="dxa"/>
              <w:bottom w:w="0" w:type="dxa"/>
              <w:right w:w="15" w:type="dxa"/>
            </w:tcMar>
            <w:vAlign w:val="center"/>
          </w:tcPr>
          <w:p w:rsidR="00FF5344" w:rsidRPr="00EF0531" w:rsidRDefault="00FF5344" w:rsidP="00FF5344">
            <w:pPr>
              <w:jc w:val="center"/>
              <w:rPr>
                <w:rFonts w:ascii="Arial" w:hAnsi="Arial" w:cs="Arial"/>
                <w:b/>
                <w:bCs/>
                <w:sz w:val="16"/>
                <w:szCs w:val="16"/>
              </w:rPr>
            </w:pPr>
            <w:r w:rsidRPr="00EF0531">
              <w:rPr>
                <w:rFonts w:ascii="Arial" w:hAnsi="Arial" w:cs="Arial"/>
                <w:b/>
                <w:sz w:val="16"/>
                <w:szCs w:val="16"/>
              </w:rPr>
              <w:t>0</w:t>
            </w:r>
          </w:p>
        </w:tc>
        <w:tc>
          <w:tcPr>
            <w:tcW w:w="1134" w:type="dxa"/>
            <w:tcBorders>
              <w:bottom w:val="single" w:sz="4" w:space="0" w:color="auto"/>
            </w:tcBorders>
            <w:noWrap/>
            <w:tcMar>
              <w:top w:w="15" w:type="dxa"/>
              <w:left w:w="15" w:type="dxa"/>
              <w:bottom w:w="0" w:type="dxa"/>
              <w:right w:w="15" w:type="dxa"/>
            </w:tcMar>
            <w:vAlign w:val="center"/>
          </w:tcPr>
          <w:p w:rsidR="00FF5344" w:rsidRPr="000E0A45" w:rsidRDefault="00FF5344" w:rsidP="00FF5344">
            <w:pPr>
              <w:jc w:val="center"/>
              <w:rPr>
                <w:rFonts w:ascii="Arial" w:hAnsi="Arial" w:cs="Arial"/>
                <w:sz w:val="16"/>
                <w:szCs w:val="16"/>
              </w:rPr>
            </w:pPr>
          </w:p>
        </w:tc>
      </w:tr>
      <w:tr w:rsidR="00FF5344" w:rsidRPr="000E0A45" w:rsidTr="00FF5344">
        <w:tblPrEx>
          <w:tblCellMar>
            <w:left w:w="108" w:type="dxa"/>
            <w:right w:w="108" w:type="dxa"/>
          </w:tblCellMar>
        </w:tblPrEx>
        <w:trPr>
          <w:trHeight w:val="355"/>
        </w:trPr>
        <w:tc>
          <w:tcPr>
            <w:tcW w:w="9703" w:type="dxa"/>
            <w:gridSpan w:val="13"/>
            <w:shd w:val="clear" w:color="auto" w:fill="CCFFFF"/>
            <w:noWrap/>
            <w:vAlign w:val="center"/>
          </w:tcPr>
          <w:p w:rsidR="00FF5344" w:rsidRPr="00EF0531" w:rsidRDefault="00FF5344" w:rsidP="00FF5344">
            <w:pPr>
              <w:rPr>
                <w:rFonts w:ascii="Arial" w:hAnsi="Arial" w:cs="Arial"/>
                <w:b/>
                <w:bCs/>
                <w:sz w:val="16"/>
                <w:szCs w:val="16"/>
              </w:rPr>
            </w:pPr>
            <w:r w:rsidRPr="00EF0531">
              <w:rPr>
                <w:rFonts w:ascii="Arial" w:hAnsi="Arial" w:cs="Arial"/>
                <w:b/>
                <w:bCs/>
                <w:sz w:val="16"/>
                <w:szCs w:val="16"/>
              </w:rPr>
              <w:t>Prioritná os 4 - Odpadové hospodárstvo</w:t>
            </w:r>
          </w:p>
        </w:tc>
      </w:tr>
      <w:tr w:rsidR="00FF5344" w:rsidRPr="000E0A45" w:rsidTr="00FF5344">
        <w:trPr>
          <w:trHeight w:val="20"/>
        </w:trPr>
        <w:tc>
          <w:tcPr>
            <w:tcW w:w="1433" w:type="dxa"/>
            <w:vMerge w:val="restart"/>
            <w:shd w:val="clear" w:color="auto" w:fill="FFFF99"/>
            <w:tcMar>
              <w:top w:w="15" w:type="dxa"/>
              <w:left w:w="15" w:type="dxa"/>
              <w:bottom w:w="0" w:type="dxa"/>
              <w:right w:w="15" w:type="dxa"/>
            </w:tcMar>
            <w:vAlign w:val="center"/>
          </w:tcPr>
          <w:p w:rsidR="00FF5344" w:rsidRPr="00EF0531" w:rsidRDefault="00FF5344" w:rsidP="00FF5344">
            <w:pPr>
              <w:rPr>
                <w:rFonts w:ascii="Arial" w:hAnsi="Arial" w:cs="Arial"/>
                <w:sz w:val="16"/>
                <w:szCs w:val="16"/>
              </w:rPr>
            </w:pPr>
            <w:r w:rsidRPr="00EF0531">
              <w:rPr>
                <w:rFonts w:ascii="Arial" w:hAnsi="Arial" w:cs="Arial"/>
                <w:sz w:val="16"/>
                <w:szCs w:val="16"/>
              </w:rPr>
              <w:t>Počet uzavretých a zrekultivovaných skládok odpadu [počet] výstup</w:t>
            </w:r>
          </w:p>
        </w:tc>
        <w:tc>
          <w:tcPr>
            <w:tcW w:w="1182" w:type="dxa"/>
            <w:shd w:val="clear" w:color="auto" w:fill="CCFFFF"/>
            <w:noWrap/>
            <w:tcMar>
              <w:top w:w="15" w:type="dxa"/>
              <w:left w:w="15" w:type="dxa"/>
              <w:bottom w:w="0" w:type="dxa"/>
              <w:right w:w="15" w:type="dxa"/>
            </w:tcMar>
            <w:vAlign w:val="center"/>
          </w:tcPr>
          <w:p w:rsidR="00FF5344" w:rsidRPr="00EF0531" w:rsidRDefault="00FF5344" w:rsidP="00FF5344">
            <w:pPr>
              <w:rPr>
                <w:rFonts w:ascii="Arial" w:hAnsi="Arial" w:cs="Arial"/>
                <w:b/>
                <w:sz w:val="16"/>
                <w:szCs w:val="16"/>
              </w:rPr>
            </w:pPr>
            <w:r w:rsidRPr="00EF0531">
              <w:rPr>
                <w:rFonts w:ascii="Arial" w:hAnsi="Arial" w:cs="Arial"/>
                <w:b/>
                <w:sz w:val="16"/>
                <w:szCs w:val="16"/>
              </w:rPr>
              <w:t>Dosiahnutý výsledok</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bCs/>
                <w:sz w:val="16"/>
                <w:szCs w:val="16"/>
              </w:rPr>
            </w:pPr>
            <w:r w:rsidRPr="00EF0531">
              <w:rPr>
                <w:rFonts w:ascii="Arial" w:hAnsi="Arial" w:cs="Arial"/>
                <w:bCs/>
                <w:sz w:val="16"/>
                <w:szCs w:val="16"/>
              </w:rPr>
              <w:t>0</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bCs/>
                <w:sz w:val="16"/>
                <w:szCs w:val="16"/>
              </w:rPr>
            </w:pPr>
            <w:r w:rsidRPr="00EF0531">
              <w:rPr>
                <w:rFonts w:ascii="Arial" w:hAnsi="Arial" w:cs="Arial"/>
                <w:bCs/>
                <w:sz w:val="16"/>
                <w:szCs w:val="16"/>
              </w:rPr>
              <w:t>0</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bCs/>
                <w:sz w:val="16"/>
                <w:szCs w:val="16"/>
              </w:rPr>
            </w:pPr>
            <w:r w:rsidRPr="00EF0531">
              <w:rPr>
                <w:rFonts w:ascii="Arial" w:hAnsi="Arial" w:cs="Arial"/>
                <w:bCs/>
                <w:sz w:val="16"/>
                <w:szCs w:val="16"/>
              </w:rPr>
              <w:t>5</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bCs/>
                <w:sz w:val="16"/>
                <w:szCs w:val="16"/>
              </w:rPr>
            </w:pPr>
            <w:r w:rsidRPr="00EF0531">
              <w:rPr>
                <w:rFonts w:ascii="Arial" w:hAnsi="Arial" w:cs="Arial"/>
                <w:bCs/>
                <w:sz w:val="16"/>
                <w:szCs w:val="16"/>
              </w:rPr>
              <w:t>20</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bCs/>
                <w:sz w:val="16"/>
                <w:szCs w:val="16"/>
              </w:rPr>
            </w:pPr>
            <w:r w:rsidRPr="00EF0531">
              <w:rPr>
                <w:rFonts w:ascii="Arial" w:hAnsi="Arial" w:cs="Arial"/>
                <w:bCs/>
                <w:sz w:val="16"/>
                <w:szCs w:val="16"/>
              </w:rPr>
              <w:t>31</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Cs/>
                <w:sz w:val="16"/>
                <w:szCs w:val="16"/>
              </w:rPr>
            </w:pPr>
            <w:r w:rsidRPr="00EF0531">
              <w:rPr>
                <w:rFonts w:ascii="Arial" w:hAnsi="Arial" w:cs="Arial"/>
                <w:bCs/>
                <w:sz w:val="16"/>
                <w:szCs w:val="16"/>
              </w:rPr>
              <w:t>44</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Cs/>
                <w:sz w:val="16"/>
                <w:szCs w:val="16"/>
              </w:rPr>
            </w:pPr>
            <w:r w:rsidRPr="00EF0531">
              <w:rPr>
                <w:rFonts w:ascii="Arial" w:hAnsi="Arial" w:cs="Arial"/>
                <w:iCs/>
                <w:sz w:val="16"/>
                <w:szCs w:val="16"/>
              </w:rPr>
              <w:t>N/A</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Cs/>
                <w:sz w:val="16"/>
                <w:szCs w:val="16"/>
              </w:rPr>
            </w:pPr>
            <w:r w:rsidRPr="00EF0531">
              <w:rPr>
                <w:rFonts w:ascii="Arial" w:hAnsi="Arial" w:cs="Arial"/>
                <w:iCs/>
                <w:sz w:val="16"/>
                <w:szCs w:val="16"/>
              </w:rPr>
              <w:t>N/A</w:t>
            </w:r>
          </w:p>
        </w:tc>
        <w:tc>
          <w:tcPr>
            <w:tcW w:w="709" w:type="dxa"/>
            <w:noWrap/>
            <w:tcMar>
              <w:top w:w="15" w:type="dxa"/>
              <w:left w:w="15" w:type="dxa"/>
              <w:bottom w:w="0" w:type="dxa"/>
              <w:right w:w="15" w:type="dxa"/>
            </w:tcMar>
            <w:vAlign w:val="center"/>
          </w:tcPr>
          <w:p w:rsidR="00FF5344" w:rsidRPr="00EF0531" w:rsidRDefault="00FF5344" w:rsidP="00FF5344">
            <w:pPr>
              <w:jc w:val="center"/>
              <w:rPr>
                <w:rFonts w:ascii="Arial" w:hAnsi="Arial" w:cs="Arial"/>
                <w:iCs/>
                <w:sz w:val="16"/>
                <w:szCs w:val="16"/>
              </w:rPr>
            </w:pPr>
            <w:r w:rsidRPr="00EF0531">
              <w:rPr>
                <w:rFonts w:ascii="Arial" w:hAnsi="Arial" w:cs="Arial"/>
                <w:iCs/>
                <w:sz w:val="16"/>
                <w:szCs w:val="16"/>
              </w:rPr>
              <w:t>N/A</w:t>
            </w:r>
          </w:p>
        </w:tc>
        <w:tc>
          <w:tcPr>
            <w:tcW w:w="709" w:type="dxa"/>
            <w:noWrap/>
            <w:tcMar>
              <w:top w:w="15" w:type="dxa"/>
              <w:left w:w="15" w:type="dxa"/>
              <w:bottom w:w="0" w:type="dxa"/>
              <w:right w:w="15" w:type="dxa"/>
            </w:tcMar>
            <w:vAlign w:val="center"/>
          </w:tcPr>
          <w:p w:rsidR="00FF5344" w:rsidRPr="00EF0531" w:rsidRDefault="00FF5344" w:rsidP="00FF5344">
            <w:pPr>
              <w:jc w:val="center"/>
              <w:rPr>
                <w:rFonts w:ascii="Arial" w:hAnsi="Arial" w:cs="Arial"/>
                <w:b/>
                <w:bCs/>
                <w:sz w:val="16"/>
                <w:szCs w:val="16"/>
              </w:rPr>
            </w:pPr>
            <w:r w:rsidRPr="00EF0531">
              <w:rPr>
                <w:rFonts w:ascii="Arial" w:hAnsi="Arial" w:cs="Arial"/>
                <w:b/>
                <w:bCs/>
                <w:sz w:val="16"/>
                <w:szCs w:val="16"/>
              </w:rPr>
              <w:t>44</w:t>
            </w:r>
          </w:p>
        </w:tc>
        <w:tc>
          <w:tcPr>
            <w:tcW w:w="1134" w:type="dxa"/>
            <w:noWrap/>
            <w:tcMar>
              <w:top w:w="15" w:type="dxa"/>
              <w:left w:w="15" w:type="dxa"/>
              <w:bottom w:w="0" w:type="dxa"/>
              <w:right w:w="15" w:type="dxa"/>
            </w:tcMar>
            <w:vAlign w:val="center"/>
          </w:tcPr>
          <w:p w:rsidR="00FF5344" w:rsidRPr="000E0A45" w:rsidRDefault="00FF5344" w:rsidP="00FF5344">
            <w:pPr>
              <w:jc w:val="center"/>
              <w:rPr>
                <w:rFonts w:ascii="Arial" w:hAnsi="Arial" w:cs="Arial"/>
                <w:sz w:val="16"/>
                <w:szCs w:val="16"/>
              </w:rPr>
            </w:pPr>
            <w:r>
              <w:rPr>
                <w:rFonts w:ascii="Arial" w:hAnsi="Arial" w:cs="Arial"/>
                <w:i/>
                <w:iCs/>
                <w:sz w:val="16"/>
                <w:szCs w:val="16"/>
              </w:rPr>
              <w:t>49</w:t>
            </w:r>
          </w:p>
        </w:tc>
      </w:tr>
      <w:tr w:rsidR="00FF5344" w:rsidRPr="000E0A45" w:rsidTr="00FF5344">
        <w:trPr>
          <w:trHeight w:val="20"/>
        </w:trPr>
        <w:tc>
          <w:tcPr>
            <w:tcW w:w="1433" w:type="dxa"/>
            <w:vMerge/>
            <w:shd w:val="clear" w:color="auto" w:fill="FFFF99"/>
            <w:vAlign w:val="center"/>
          </w:tcPr>
          <w:p w:rsidR="00FF5344" w:rsidRPr="00EF0531" w:rsidRDefault="00FF5344" w:rsidP="00FF5344">
            <w:pPr>
              <w:rPr>
                <w:rFonts w:ascii="Arial" w:hAnsi="Arial" w:cs="Arial"/>
                <w:sz w:val="16"/>
                <w:szCs w:val="16"/>
              </w:rPr>
            </w:pPr>
          </w:p>
        </w:tc>
        <w:tc>
          <w:tcPr>
            <w:tcW w:w="1182" w:type="dxa"/>
            <w:shd w:val="clear" w:color="auto" w:fill="CCFFFF"/>
            <w:noWrap/>
            <w:tcMar>
              <w:top w:w="15" w:type="dxa"/>
              <w:left w:w="15" w:type="dxa"/>
              <w:bottom w:w="0" w:type="dxa"/>
              <w:right w:w="15" w:type="dxa"/>
            </w:tcMar>
            <w:vAlign w:val="center"/>
          </w:tcPr>
          <w:p w:rsidR="00FF5344" w:rsidRPr="00EF0531" w:rsidRDefault="00FF5344" w:rsidP="00FF5344">
            <w:pPr>
              <w:rPr>
                <w:rFonts w:ascii="Arial" w:hAnsi="Arial" w:cs="Arial"/>
                <w:b/>
                <w:sz w:val="16"/>
                <w:szCs w:val="16"/>
              </w:rPr>
            </w:pPr>
            <w:r w:rsidRPr="00EF0531">
              <w:rPr>
                <w:rFonts w:ascii="Arial" w:hAnsi="Arial" w:cs="Arial"/>
                <w:b/>
                <w:sz w:val="16"/>
                <w:szCs w:val="16"/>
              </w:rPr>
              <w:t>Cieľ</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Cs/>
                <w:sz w:val="16"/>
                <w:szCs w:val="16"/>
              </w:rPr>
            </w:pPr>
            <w:r w:rsidRPr="00EF0531">
              <w:rPr>
                <w:rFonts w:ascii="Arial" w:hAnsi="Arial" w:cs="Arial"/>
                <w:iCs/>
                <w:sz w:val="16"/>
                <w:szCs w:val="16"/>
              </w:rPr>
              <w:t>N/A</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Cs/>
                <w:sz w:val="16"/>
                <w:szCs w:val="16"/>
              </w:rPr>
            </w:pPr>
            <w:r w:rsidRPr="00EF0531">
              <w:rPr>
                <w:rFonts w:ascii="Arial" w:hAnsi="Arial" w:cs="Arial"/>
                <w:iCs/>
                <w:sz w:val="16"/>
                <w:szCs w:val="16"/>
              </w:rPr>
              <w:t>N/A</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Cs/>
                <w:sz w:val="16"/>
                <w:szCs w:val="16"/>
              </w:rPr>
            </w:pPr>
            <w:r w:rsidRPr="00EF0531">
              <w:rPr>
                <w:rFonts w:ascii="Arial" w:hAnsi="Arial" w:cs="Arial"/>
                <w:iCs/>
                <w:sz w:val="16"/>
                <w:szCs w:val="16"/>
              </w:rPr>
              <w:t>N/A</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Cs/>
                <w:sz w:val="16"/>
                <w:szCs w:val="16"/>
              </w:rPr>
            </w:pPr>
            <w:r w:rsidRPr="00EF0531">
              <w:rPr>
                <w:rFonts w:ascii="Arial" w:hAnsi="Arial" w:cs="Arial"/>
                <w:iCs/>
                <w:sz w:val="16"/>
                <w:szCs w:val="16"/>
              </w:rPr>
              <w:t>N/A</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Cs/>
                <w:sz w:val="16"/>
                <w:szCs w:val="16"/>
              </w:rPr>
            </w:pPr>
            <w:r w:rsidRPr="00EF0531">
              <w:rPr>
                <w:rFonts w:ascii="Arial" w:hAnsi="Arial" w:cs="Arial"/>
                <w:iCs/>
                <w:sz w:val="16"/>
                <w:szCs w:val="16"/>
              </w:rPr>
              <w:t>N/A</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Cs/>
                <w:sz w:val="16"/>
                <w:szCs w:val="16"/>
              </w:rPr>
            </w:pPr>
            <w:r w:rsidRPr="00EF0531">
              <w:rPr>
                <w:rFonts w:ascii="Arial" w:hAnsi="Arial" w:cs="Arial"/>
                <w:iCs/>
                <w:sz w:val="16"/>
                <w:szCs w:val="16"/>
              </w:rPr>
              <w:t>N/A</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Cs/>
                <w:sz w:val="16"/>
                <w:szCs w:val="16"/>
              </w:rPr>
            </w:pPr>
            <w:r w:rsidRPr="00EF0531">
              <w:rPr>
                <w:rFonts w:ascii="Arial" w:hAnsi="Arial" w:cs="Arial"/>
                <w:iCs/>
                <w:sz w:val="16"/>
                <w:szCs w:val="16"/>
              </w:rPr>
              <w:t>N/A</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Cs/>
                <w:sz w:val="16"/>
                <w:szCs w:val="16"/>
              </w:rPr>
            </w:pPr>
            <w:r w:rsidRPr="00EF0531">
              <w:rPr>
                <w:rFonts w:ascii="Arial" w:hAnsi="Arial" w:cs="Arial"/>
                <w:iCs/>
                <w:sz w:val="16"/>
                <w:szCs w:val="16"/>
              </w:rPr>
              <w:t>N/A</w:t>
            </w:r>
          </w:p>
        </w:tc>
        <w:tc>
          <w:tcPr>
            <w:tcW w:w="709" w:type="dxa"/>
            <w:noWrap/>
            <w:tcMar>
              <w:top w:w="15" w:type="dxa"/>
              <w:left w:w="15" w:type="dxa"/>
              <w:bottom w:w="0" w:type="dxa"/>
              <w:right w:w="15" w:type="dxa"/>
            </w:tcMar>
            <w:vAlign w:val="center"/>
          </w:tcPr>
          <w:p w:rsidR="00FF5344" w:rsidRPr="00EF0531" w:rsidRDefault="00FF5344" w:rsidP="00FF5344">
            <w:pPr>
              <w:jc w:val="center"/>
              <w:rPr>
                <w:rFonts w:ascii="Arial" w:hAnsi="Arial" w:cs="Arial"/>
                <w:bCs/>
                <w:sz w:val="16"/>
                <w:szCs w:val="16"/>
              </w:rPr>
            </w:pPr>
            <w:r w:rsidRPr="00EF0531">
              <w:rPr>
                <w:rFonts w:ascii="Arial" w:hAnsi="Arial" w:cs="Arial"/>
                <w:bCs/>
                <w:sz w:val="16"/>
                <w:szCs w:val="16"/>
              </w:rPr>
              <w:t>56</w:t>
            </w:r>
          </w:p>
        </w:tc>
        <w:tc>
          <w:tcPr>
            <w:tcW w:w="709" w:type="dxa"/>
            <w:noWrap/>
            <w:tcMar>
              <w:top w:w="15" w:type="dxa"/>
              <w:left w:w="15" w:type="dxa"/>
              <w:bottom w:w="0" w:type="dxa"/>
              <w:right w:w="15" w:type="dxa"/>
            </w:tcMar>
            <w:vAlign w:val="center"/>
          </w:tcPr>
          <w:p w:rsidR="00FF5344" w:rsidRPr="00EF0531" w:rsidRDefault="00FF5344" w:rsidP="00FF5344">
            <w:pPr>
              <w:jc w:val="center"/>
              <w:rPr>
                <w:rFonts w:ascii="Arial" w:hAnsi="Arial" w:cs="Arial"/>
                <w:b/>
                <w:bCs/>
                <w:sz w:val="16"/>
                <w:szCs w:val="16"/>
              </w:rPr>
            </w:pPr>
            <w:r w:rsidRPr="00EF0531">
              <w:rPr>
                <w:rFonts w:ascii="Arial" w:hAnsi="Arial" w:cs="Arial"/>
                <w:b/>
                <w:bCs/>
                <w:sz w:val="16"/>
                <w:szCs w:val="16"/>
              </w:rPr>
              <w:t>56</w:t>
            </w:r>
          </w:p>
        </w:tc>
        <w:tc>
          <w:tcPr>
            <w:tcW w:w="1134" w:type="dxa"/>
            <w:noWrap/>
            <w:tcMar>
              <w:top w:w="15" w:type="dxa"/>
              <w:left w:w="15" w:type="dxa"/>
              <w:bottom w:w="0" w:type="dxa"/>
              <w:right w:w="15" w:type="dxa"/>
            </w:tcMar>
            <w:vAlign w:val="center"/>
          </w:tcPr>
          <w:p w:rsidR="00FF5344" w:rsidRPr="000E0A45" w:rsidRDefault="00FF5344" w:rsidP="00FF5344">
            <w:pPr>
              <w:jc w:val="center"/>
              <w:rPr>
                <w:rFonts w:ascii="Arial" w:hAnsi="Arial" w:cs="Arial"/>
                <w:i/>
                <w:iCs/>
                <w:sz w:val="16"/>
                <w:szCs w:val="16"/>
              </w:rPr>
            </w:pPr>
          </w:p>
        </w:tc>
      </w:tr>
      <w:tr w:rsidR="00FF5344" w:rsidRPr="000E0A45" w:rsidTr="00FF5344">
        <w:tblPrEx>
          <w:tblCellMar>
            <w:left w:w="108" w:type="dxa"/>
            <w:right w:w="108" w:type="dxa"/>
          </w:tblCellMar>
        </w:tblPrEx>
        <w:trPr>
          <w:trHeight w:val="322"/>
        </w:trPr>
        <w:tc>
          <w:tcPr>
            <w:tcW w:w="1433" w:type="dxa"/>
            <w:vMerge/>
            <w:shd w:val="clear" w:color="auto" w:fill="FFFF99"/>
            <w:vAlign w:val="center"/>
          </w:tcPr>
          <w:p w:rsidR="00FF5344" w:rsidRPr="00EF0531" w:rsidRDefault="00FF5344" w:rsidP="00FF5344">
            <w:pPr>
              <w:rPr>
                <w:rFonts w:ascii="Arial" w:hAnsi="Arial" w:cs="Arial"/>
                <w:sz w:val="16"/>
                <w:szCs w:val="16"/>
              </w:rPr>
            </w:pPr>
          </w:p>
        </w:tc>
        <w:tc>
          <w:tcPr>
            <w:tcW w:w="1182" w:type="dxa"/>
            <w:shd w:val="clear" w:color="auto" w:fill="CCFFFF"/>
            <w:noWrap/>
            <w:vAlign w:val="center"/>
          </w:tcPr>
          <w:p w:rsidR="00FF5344" w:rsidRPr="00EF0531" w:rsidRDefault="00FF5344" w:rsidP="00FF5344">
            <w:pPr>
              <w:rPr>
                <w:rFonts w:ascii="Arial" w:hAnsi="Arial" w:cs="Arial"/>
                <w:b/>
                <w:sz w:val="16"/>
                <w:szCs w:val="16"/>
              </w:rPr>
            </w:pPr>
            <w:r w:rsidRPr="00EF0531">
              <w:rPr>
                <w:rFonts w:ascii="Arial" w:hAnsi="Arial" w:cs="Arial"/>
                <w:b/>
                <w:sz w:val="16"/>
                <w:szCs w:val="16"/>
              </w:rPr>
              <w:t>Východisko</w:t>
            </w:r>
          </w:p>
        </w:tc>
        <w:tc>
          <w:tcPr>
            <w:tcW w:w="567" w:type="dxa"/>
            <w:noWrap/>
            <w:vAlign w:val="center"/>
          </w:tcPr>
          <w:p w:rsidR="00FF5344" w:rsidRPr="00EF0531" w:rsidRDefault="00FF5344" w:rsidP="00FF5344">
            <w:pPr>
              <w:jc w:val="center"/>
              <w:rPr>
                <w:rFonts w:ascii="Arial" w:hAnsi="Arial" w:cs="Arial"/>
                <w:bCs/>
                <w:sz w:val="16"/>
                <w:szCs w:val="16"/>
              </w:rPr>
            </w:pPr>
            <w:r w:rsidRPr="00EF0531">
              <w:rPr>
                <w:rFonts w:ascii="Arial" w:hAnsi="Arial" w:cs="Arial"/>
                <w:bCs/>
                <w:sz w:val="16"/>
                <w:szCs w:val="16"/>
              </w:rPr>
              <w:t>24</w:t>
            </w:r>
          </w:p>
        </w:tc>
        <w:tc>
          <w:tcPr>
            <w:tcW w:w="567" w:type="dxa"/>
            <w:noWrap/>
            <w:vAlign w:val="center"/>
          </w:tcPr>
          <w:p w:rsidR="00FF5344" w:rsidRPr="00EF0531" w:rsidRDefault="00FF5344" w:rsidP="00FF5344">
            <w:pPr>
              <w:jc w:val="center"/>
              <w:rPr>
                <w:rFonts w:ascii="Arial" w:hAnsi="Arial" w:cs="Arial"/>
                <w:iCs/>
                <w:sz w:val="16"/>
                <w:szCs w:val="16"/>
              </w:rPr>
            </w:pPr>
            <w:r w:rsidRPr="00EF0531">
              <w:rPr>
                <w:rFonts w:ascii="Arial" w:hAnsi="Arial" w:cs="Arial"/>
                <w:iCs/>
                <w:sz w:val="16"/>
                <w:szCs w:val="16"/>
              </w:rPr>
              <w:t>N/A</w:t>
            </w:r>
          </w:p>
        </w:tc>
        <w:tc>
          <w:tcPr>
            <w:tcW w:w="567" w:type="dxa"/>
            <w:noWrap/>
            <w:vAlign w:val="center"/>
          </w:tcPr>
          <w:p w:rsidR="00FF5344" w:rsidRPr="00EF0531" w:rsidRDefault="00FF5344" w:rsidP="00FF5344">
            <w:pPr>
              <w:jc w:val="center"/>
              <w:rPr>
                <w:rFonts w:ascii="Arial" w:hAnsi="Arial" w:cs="Arial"/>
                <w:iCs/>
                <w:sz w:val="16"/>
                <w:szCs w:val="16"/>
              </w:rPr>
            </w:pPr>
            <w:r w:rsidRPr="00EF0531">
              <w:rPr>
                <w:rFonts w:ascii="Arial" w:hAnsi="Arial" w:cs="Arial"/>
                <w:iCs/>
                <w:sz w:val="16"/>
                <w:szCs w:val="16"/>
              </w:rPr>
              <w:t>N/A</w:t>
            </w:r>
          </w:p>
        </w:tc>
        <w:tc>
          <w:tcPr>
            <w:tcW w:w="567" w:type="dxa"/>
            <w:noWrap/>
            <w:vAlign w:val="center"/>
          </w:tcPr>
          <w:p w:rsidR="00FF5344" w:rsidRPr="00EF0531" w:rsidRDefault="00FF5344" w:rsidP="00FF5344">
            <w:pPr>
              <w:jc w:val="center"/>
              <w:rPr>
                <w:rFonts w:ascii="Arial" w:hAnsi="Arial" w:cs="Arial"/>
                <w:iCs/>
                <w:sz w:val="16"/>
                <w:szCs w:val="16"/>
              </w:rPr>
            </w:pPr>
            <w:r w:rsidRPr="00EF0531">
              <w:rPr>
                <w:rFonts w:ascii="Arial" w:hAnsi="Arial" w:cs="Arial"/>
                <w:iCs/>
                <w:sz w:val="16"/>
                <w:szCs w:val="16"/>
              </w:rPr>
              <w:t>N/A</w:t>
            </w:r>
          </w:p>
        </w:tc>
        <w:tc>
          <w:tcPr>
            <w:tcW w:w="567" w:type="dxa"/>
            <w:noWrap/>
            <w:vAlign w:val="center"/>
          </w:tcPr>
          <w:p w:rsidR="00FF5344" w:rsidRPr="00EF0531" w:rsidRDefault="00FF5344" w:rsidP="00FF5344">
            <w:pPr>
              <w:jc w:val="center"/>
              <w:rPr>
                <w:rFonts w:ascii="Arial" w:hAnsi="Arial" w:cs="Arial"/>
                <w:iCs/>
                <w:sz w:val="16"/>
                <w:szCs w:val="16"/>
              </w:rPr>
            </w:pPr>
            <w:r w:rsidRPr="00EF0531">
              <w:rPr>
                <w:rFonts w:ascii="Arial" w:hAnsi="Arial" w:cs="Arial"/>
                <w:iCs/>
                <w:sz w:val="16"/>
                <w:szCs w:val="16"/>
              </w:rPr>
              <w:t>N/A</w:t>
            </w:r>
          </w:p>
        </w:tc>
        <w:tc>
          <w:tcPr>
            <w:tcW w:w="567" w:type="dxa"/>
            <w:noWrap/>
            <w:vAlign w:val="center"/>
          </w:tcPr>
          <w:p w:rsidR="00FF5344" w:rsidRPr="00EF0531" w:rsidRDefault="00FF5344" w:rsidP="00FF5344">
            <w:pPr>
              <w:jc w:val="center"/>
              <w:rPr>
                <w:rFonts w:ascii="Arial" w:hAnsi="Arial" w:cs="Arial"/>
                <w:iCs/>
                <w:sz w:val="16"/>
                <w:szCs w:val="16"/>
              </w:rPr>
            </w:pPr>
            <w:r w:rsidRPr="00EF0531">
              <w:rPr>
                <w:rFonts w:ascii="Arial" w:hAnsi="Arial" w:cs="Arial"/>
                <w:iCs/>
                <w:sz w:val="16"/>
                <w:szCs w:val="16"/>
              </w:rPr>
              <w:t>N/A</w:t>
            </w:r>
          </w:p>
        </w:tc>
        <w:tc>
          <w:tcPr>
            <w:tcW w:w="567" w:type="dxa"/>
            <w:noWrap/>
            <w:vAlign w:val="center"/>
          </w:tcPr>
          <w:p w:rsidR="00FF5344" w:rsidRPr="00EF0531" w:rsidRDefault="00FF5344" w:rsidP="00FF5344">
            <w:pPr>
              <w:jc w:val="center"/>
              <w:rPr>
                <w:rFonts w:ascii="Arial" w:hAnsi="Arial" w:cs="Arial"/>
                <w:iCs/>
                <w:sz w:val="16"/>
                <w:szCs w:val="16"/>
              </w:rPr>
            </w:pPr>
            <w:r w:rsidRPr="00EF0531">
              <w:rPr>
                <w:rFonts w:ascii="Arial" w:hAnsi="Arial" w:cs="Arial"/>
                <w:iCs/>
                <w:sz w:val="16"/>
                <w:szCs w:val="16"/>
              </w:rPr>
              <w:t>N/A</w:t>
            </w:r>
          </w:p>
        </w:tc>
        <w:tc>
          <w:tcPr>
            <w:tcW w:w="567" w:type="dxa"/>
            <w:noWrap/>
            <w:vAlign w:val="center"/>
          </w:tcPr>
          <w:p w:rsidR="00FF5344" w:rsidRPr="00EF0531" w:rsidRDefault="00FF5344" w:rsidP="00FF5344">
            <w:pPr>
              <w:jc w:val="center"/>
              <w:rPr>
                <w:rFonts w:ascii="Arial" w:hAnsi="Arial" w:cs="Arial"/>
                <w:iCs/>
                <w:sz w:val="16"/>
                <w:szCs w:val="16"/>
              </w:rPr>
            </w:pPr>
            <w:r w:rsidRPr="00EF0531">
              <w:rPr>
                <w:rFonts w:ascii="Arial" w:hAnsi="Arial" w:cs="Arial"/>
                <w:iCs/>
                <w:sz w:val="16"/>
                <w:szCs w:val="16"/>
              </w:rPr>
              <w:t>N/A</w:t>
            </w:r>
          </w:p>
        </w:tc>
        <w:tc>
          <w:tcPr>
            <w:tcW w:w="709" w:type="dxa"/>
            <w:noWrap/>
            <w:vAlign w:val="center"/>
          </w:tcPr>
          <w:p w:rsidR="00FF5344" w:rsidRPr="00EF0531" w:rsidRDefault="00FF5344" w:rsidP="00FF5344">
            <w:pPr>
              <w:jc w:val="center"/>
              <w:rPr>
                <w:rFonts w:ascii="Arial" w:hAnsi="Arial" w:cs="Arial"/>
                <w:iCs/>
                <w:sz w:val="16"/>
                <w:szCs w:val="16"/>
              </w:rPr>
            </w:pPr>
            <w:r w:rsidRPr="00EF0531">
              <w:rPr>
                <w:rFonts w:ascii="Arial" w:hAnsi="Arial" w:cs="Arial"/>
                <w:iCs/>
                <w:sz w:val="16"/>
                <w:szCs w:val="16"/>
              </w:rPr>
              <w:t>N/A</w:t>
            </w:r>
          </w:p>
        </w:tc>
        <w:tc>
          <w:tcPr>
            <w:tcW w:w="709" w:type="dxa"/>
            <w:noWrap/>
            <w:vAlign w:val="center"/>
          </w:tcPr>
          <w:p w:rsidR="00FF5344" w:rsidRPr="00EF0531" w:rsidRDefault="00FF5344" w:rsidP="00FF5344">
            <w:pPr>
              <w:jc w:val="center"/>
              <w:rPr>
                <w:rFonts w:ascii="Arial" w:hAnsi="Arial" w:cs="Arial"/>
                <w:b/>
                <w:bCs/>
                <w:sz w:val="16"/>
                <w:szCs w:val="16"/>
              </w:rPr>
            </w:pPr>
            <w:r w:rsidRPr="00EF0531">
              <w:rPr>
                <w:rFonts w:ascii="Arial" w:hAnsi="Arial" w:cs="Arial"/>
                <w:b/>
                <w:bCs/>
                <w:sz w:val="16"/>
                <w:szCs w:val="16"/>
              </w:rPr>
              <w:t>24</w:t>
            </w:r>
          </w:p>
        </w:tc>
        <w:tc>
          <w:tcPr>
            <w:tcW w:w="1134" w:type="dxa"/>
            <w:noWrap/>
            <w:vAlign w:val="center"/>
          </w:tcPr>
          <w:p w:rsidR="00FF5344" w:rsidRPr="000E0A45" w:rsidRDefault="00FF5344" w:rsidP="00FF5344">
            <w:pPr>
              <w:jc w:val="center"/>
              <w:rPr>
                <w:rFonts w:ascii="Arial" w:hAnsi="Arial" w:cs="Arial"/>
                <w:sz w:val="16"/>
                <w:szCs w:val="16"/>
              </w:rPr>
            </w:pPr>
          </w:p>
        </w:tc>
      </w:tr>
      <w:tr w:rsidR="00FF5344" w:rsidRPr="000E0A45" w:rsidTr="00FF5344">
        <w:tblPrEx>
          <w:tblCellMar>
            <w:left w:w="108" w:type="dxa"/>
            <w:right w:w="108" w:type="dxa"/>
          </w:tblCellMar>
        </w:tblPrEx>
        <w:trPr>
          <w:trHeight w:val="211"/>
        </w:trPr>
        <w:tc>
          <w:tcPr>
            <w:tcW w:w="9703" w:type="dxa"/>
            <w:gridSpan w:val="13"/>
            <w:vAlign w:val="center"/>
          </w:tcPr>
          <w:p w:rsidR="00FF5344" w:rsidRPr="00EF0531" w:rsidRDefault="00FF5344" w:rsidP="00FF5344">
            <w:pPr>
              <w:jc w:val="center"/>
              <w:rPr>
                <w:rFonts w:ascii="Arial" w:hAnsi="Arial" w:cs="Arial"/>
                <w:sz w:val="16"/>
                <w:szCs w:val="16"/>
              </w:rPr>
            </w:pPr>
          </w:p>
        </w:tc>
      </w:tr>
      <w:tr w:rsidR="00FF5344" w:rsidRPr="000E0A45" w:rsidTr="00FF5344">
        <w:trPr>
          <w:trHeight w:val="20"/>
        </w:trPr>
        <w:tc>
          <w:tcPr>
            <w:tcW w:w="1433" w:type="dxa"/>
            <w:vMerge w:val="restart"/>
            <w:shd w:val="clear" w:color="auto" w:fill="FFFF99"/>
            <w:tcMar>
              <w:top w:w="15" w:type="dxa"/>
              <w:left w:w="15" w:type="dxa"/>
              <w:bottom w:w="0" w:type="dxa"/>
              <w:right w:w="15" w:type="dxa"/>
            </w:tcMar>
            <w:vAlign w:val="center"/>
          </w:tcPr>
          <w:p w:rsidR="00FF5344" w:rsidRPr="00EF0531" w:rsidRDefault="00FF5344" w:rsidP="00FF5344">
            <w:pPr>
              <w:rPr>
                <w:rFonts w:ascii="Arial" w:hAnsi="Arial" w:cs="Arial"/>
                <w:sz w:val="16"/>
                <w:szCs w:val="16"/>
              </w:rPr>
            </w:pPr>
            <w:r w:rsidRPr="00EF0531">
              <w:rPr>
                <w:rFonts w:ascii="Arial" w:hAnsi="Arial" w:cs="Arial"/>
                <w:sz w:val="16"/>
                <w:szCs w:val="16"/>
              </w:rPr>
              <w:t>Množstvo materiálovo zhodnotených odpadov [t/rok] výsledok</w:t>
            </w:r>
          </w:p>
        </w:tc>
        <w:tc>
          <w:tcPr>
            <w:tcW w:w="1182" w:type="dxa"/>
            <w:shd w:val="clear" w:color="auto" w:fill="CCFFFF"/>
            <w:noWrap/>
            <w:tcMar>
              <w:top w:w="15" w:type="dxa"/>
              <w:left w:w="15" w:type="dxa"/>
              <w:bottom w:w="0" w:type="dxa"/>
              <w:right w:w="15" w:type="dxa"/>
            </w:tcMar>
            <w:vAlign w:val="center"/>
          </w:tcPr>
          <w:p w:rsidR="00FF5344" w:rsidRPr="00EF0531" w:rsidRDefault="00FF5344" w:rsidP="00FF5344">
            <w:pPr>
              <w:rPr>
                <w:rFonts w:ascii="Arial" w:hAnsi="Arial" w:cs="Arial"/>
                <w:b/>
                <w:sz w:val="16"/>
                <w:szCs w:val="16"/>
              </w:rPr>
            </w:pPr>
            <w:r w:rsidRPr="00EF0531">
              <w:rPr>
                <w:rFonts w:ascii="Arial" w:hAnsi="Arial" w:cs="Arial"/>
                <w:b/>
                <w:sz w:val="16"/>
                <w:szCs w:val="16"/>
              </w:rPr>
              <w:t>Dosiahnutý výsledok</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bCs/>
                <w:sz w:val="16"/>
                <w:szCs w:val="16"/>
              </w:rPr>
            </w:pPr>
            <w:r w:rsidRPr="00EF0531">
              <w:rPr>
                <w:rFonts w:ascii="Arial" w:hAnsi="Arial" w:cs="Arial"/>
                <w:bCs/>
                <w:sz w:val="16"/>
                <w:szCs w:val="16"/>
              </w:rPr>
              <w:t>0</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bCs/>
                <w:sz w:val="16"/>
                <w:szCs w:val="16"/>
              </w:rPr>
            </w:pPr>
            <w:r w:rsidRPr="00EF0531">
              <w:rPr>
                <w:rFonts w:ascii="Arial" w:hAnsi="Arial" w:cs="Arial"/>
                <w:bCs/>
                <w:sz w:val="16"/>
                <w:szCs w:val="16"/>
              </w:rPr>
              <w:t>0</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bCs/>
                <w:sz w:val="16"/>
                <w:szCs w:val="16"/>
              </w:rPr>
            </w:pPr>
            <w:r w:rsidRPr="00EF0531">
              <w:rPr>
                <w:rFonts w:ascii="Arial" w:hAnsi="Arial" w:cs="Arial"/>
                <w:bCs/>
                <w:sz w:val="16"/>
                <w:szCs w:val="16"/>
              </w:rPr>
              <w:t>7 000</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bCs/>
                <w:sz w:val="16"/>
                <w:szCs w:val="16"/>
              </w:rPr>
            </w:pPr>
            <w:r w:rsidRPr="00EF0531">
              <w:rPr>
                <w:rFonts w:ascii="Arial" w:hAnsi="Arial" w:cs="Arial"/>
                <w:bCs/>
                <w:sz w:val="16"/>
                <w:szCs w:val="16"/>
              </w:rPr>
              <w:t>33 954</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bCs/>
                <w:sz w:val="16"/>
                <w:szCs w:val="16"/>
              </w:rPr>
            </w:pPr>
            <w:r w:rsidRPr="00EF0531">
              <w:rPr>
                <w:rFonts w:ascii="Arial" w:hAnsi="Arial" w:cs="Arial"/>
                <w:bCs/>
                <w:sz w:val="16"/>
                <w:szCs w:val="16"/>
              </w:rPr>
              <w:t>37 585</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Cs/>
                <w:sz w:val="16"/>
                <w:szCs w:val="16"/>
              </w:rPr>
            </w:pPr>
            <w:r w:rsidRPr="00EF0531">
              <w:rPr>
                <w:rFonts w:ascii="Arial" w:hAnsi="Arial" w:cs="Arial"/>
                <w:bCs/>
                <w:sz w:val="16"/>
                <w:szCs w:val="16"/>
              </w:rPr>
              <w:t>168 175</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Cs/>
                <w:sz w:val="16"/>
                <w:szCs w:val="16"/>
              </w:rPr>
            </w:pPr>
            <w:r w:rsidRPr="00EF0531">
              <w:rPr>
                <w:rFonts w:ascii="Arial" w:hAnsi="Arial" w:cs="Arial"/>
                <w:iCs/>
                <w:sz w:val="16"/>
                <w:szCs w:val="16"/>
              </w:rPr>
              <w:t>N/A</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Cs/>
                <w:sz w:val="16"/>
                <w:szCs w:val="16"/>
              </w:rPr>
            </w:pPr>
            <w:r w:rsidRPr="00EF0531">
              <w:rPr>
                <w:rFonts w:ascii="Arial" w:hAnsi="Arial" w:cs="Arial"/>
                <w:iCs/>
                <w:sz w:val="16"/>
                <w:szCs w:val="16"/>
              </w:rPr>
              <w:t>N/A</w:t>
            </w:r>
          </w:p>
        </w:tc>
        <w:tc>
          <w:tcPr>
            <w:tcW w:w="709" w:type="dxa"/>
            <w:noWrap/>
            <w:tcMar>
              <w:top w:w="15" w:type="dxa"/>
              <w:left w:w="15" w:type="dxa"/>
              <w:bottom w:w="0" w:type="dxa"/>
              <w:right w:w="15" w:type="dxa"/>
            </w:tcMar>
            <w:vAlign w:val="center"/>
          </w:tcPr>
          <w:p w:rsidR="00FF5344" w:rsidRPr="00EF0531" w:rsidRDefault="00FF5344" w:rsidP="00FF5344">
            <w:pPr>
              <w:jc w:val="center"/>
              <w:rPr>
                <w:rFonts w:ascii="Arial" w:hAnsi="Arial" w:cs="Arial"/>
                <w:iCs/>
                <w:sz w:val="16"/>
                <w:szCs w:val="16"/>
              </w:rPr>
            </w:pPr>
            <w:r w:rsidRPr="00EF0531">
              <w:rPr>
                <w:rFonts w:ascii="Arial" w:hAnsi="Arial" w:cs="Arial"/>
                <w:iCs/>
                <w:sz w:val="16"/>
                <w:szCs w:val="16"/>
              </w:rPr>
              <w:t>N/A</w:t>
            </w:r>
          </w:p>
        </w:tc>
        <w:tc>
          <w:tcPr>
            <w:tcW w:w="709" w:type="dxa"/>
            <w:noWrap/>
            <w:tcMar>
              <w:top w:w="15" w:type="dxa"/>
              <w:left w:w="15" w:type="dxa"/>
              <w:bottom w:w="0" w:type="dxa"/>
              <w:right w:w="15" w:type="dxa"/>
            </w:tcMar>
            <w:vAlign w:val="center"/>
          </w:tcPr>
          <w:p w:rsidR="00FF5344" w:rsidRPr="00EF0531" w:rsidRDefault="00FF5344" w:rsidP="00FF5344">
            <w:pPr>
              <w:jc w:val="center"/>
              <w:rPr>
                <w:rFonts w:ascii="Arial" w:hAnsi="Arial" w:cs="Arial"/>
                <w:b/>
                <w:bCs/>
                <w:sz w:val="16"/>
                <w:szCs w:val="16"/>
              </w:rPr>
            </w:pPr>
            <w:r w:rsidRPr="00EF0531">
              <w:rPr>
                <w:rFonts w:ascii="Arial" w:hAnsi="Arial" w:cs="Arial"/>
                <w:b/>
                <w:bCs/>
                <w:sz w:val="16"/>
                <w:szCs w:val="16"/>
              </w:rPr>
              <w:t>168 175</w:t>
            </w:r>
          </w:p>
        </w:tc>
        <w:tc>
          <w:tcPr>
            <w:tcW w:w="1134" w:type="dxa"/>
            <w:noWrap/>
            <w:tcMar>
              <w:top w:w="15" w:type="dxa"/>
              <w:left w:w="15" w:type="dxa"/>
              <w:bottom w:w="0" w:type="dxa"/>
              <w:right w:w="15" w:type="dxa"/>
            </w:tcMar>
            <w:vAlign w:val="center"/>
          </w:tcPr>
          <w:p w:rsidR="00FF5344" w:rsidRPr="000E0A45" w:rsidRDefault="00FF5344" w:rsidP="00FF5344">
            <w:pPr>
              <w:jc w:val="center"/>
              <w:rPr>
                <w:rFonts w:ascii="Arial" w:hAnsi="Arial" w:cs="Arial"/>
                <w:sz w:val="16"/>
                <w:szCs w:val="16"/>
              </w:rPr>
            </w:pPr>
            <w:r w:rsidRPr="000E0A45">
              <w:rPr>
                <w:rFonts w:ascii="Arial" w:hAnsi="Arial" w:cs="Arial"/>
                <w:i/>
                <w:iCs/>
                <w:sz w:val="16"/>
                <w:szCs w:val="16"/>
              </w:rPr>
              <w:t>79</w:t>
            </w:r>
            <w:r>
              <w:rPr>
                <w:rFonts w:ascii="Arial" w:hAnsi="Arial" w:cs="Arial"/>
                <w:i/>
                <w:iCs/>
                <w:sz w:val="16"/>
                <w:szCs w:val="16"/>
              </w:rPr>
              <w:t>7</w:t>
            </w:r>
            <w:r w:rsidRPr="000E0A45">
              <w:rPr>
                <w:rFonts w:ascii="Arial" w:hAnsi="Arial" w:cs="Arial"/>
                <w:i/>
                <w:iCs/>
                <w:sz w:val="16"/>
                <w:szCs w:val="16"/>
              </w:rPr>
              <w:t xml:space="preserve"> </w:t>
            </w:r>
            <w:r>
              <w:rPr>
                <w:rFonts w:ascii="Arial" w:hAnsi="Arial" w:cs="Arial"/>
                <w:i/>
                <w:iCs/>
                <w:sz w:val="16"/>
                <w:szCs w:val="16"/>
              </w:rPr>
              <w:t>026</w:t>
            </w:r>
          </w:p>
        </w:tc>
      </w:tr>
      <w:tr w:rsidR="00FF5344" w:rsidRPr="0083352A" w:rsidTr="00FF5344">
        <w:trPr>
          <w:trHeight w:val="20"/>
        </w:trPr>
        <w:tc>
          <w:tcPr>
            <w:tcW w:w="1433" w:type="dxa"/>
            <w:vMerge/>
            <w:shd w:val="clear" w:color="auto" w:fill="FFFF99"/>
            <w:vAlign w:val="center"/>
          </w:tcPr>
          <w:p w:rsidR="00FF5344" w:rsidRPr="00EF0531" w:rsidRDefault="00FF5344" w:rsidP="00FF5344">
            <w:pPr>
              <w:rPr>
                <w:rFonts w:ascii="Arial" w:hAnsi="Arial" w:cs="Arial"/>
                <w:sz w:val="16"/>
                <w:szCs w:val="16"/>
              </w:rPr>
            </w:pPr>
          </w:p>
        </w:tc>
        <w:tc>
          <w:tcPr>
            <w:tcW w:w="1182" w:type="dxa"/>
            <w:shd w:val="clear" w:color="auto" w:fill="CCFFFF"/>
            <w:noWrap/>
            <w:tcMar>
              <w:top w:w="15" w:type="dxa"/>
              <w:left w:w="15" w:type="dxa"/>
              <w:bottom w:w="0" w:type="dxa"/>
              <w:right w:w="15" w:type="dxa"/>
            </w:tcMar>
            <w:vAlign w:val="center"/>
          </w:tcPr>
          <w:p w:rsidR="00FF5344" w:rsidRPr="00EF0531" w:rsidRDefault="00FF5344" w:rsidP="00FF5344">
            <w:pPr>
              <w:rPr>
                <w:rFonts w:ascii="Arial" w:hAnsi="Arial" w:cs="Arial"/>
                <w:b/>
                <w:sz w:val="16"/>
                <w:szCs w:val="16"/>
              </w:rPr>
            </w:pPr>
            <w:r w:rsidRPr="00EF0531">
              <w:rPr>
                <w:rFonts w:ascii="Arial" w:hAnsi="Arial" w:cs="Arial"/>
                <w:b/>
                <w:sz w:val="16"/>
                <w:szCs w:val="16"/>
              </w:rPr>
              <w:t>Cieľ</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Cs/>
                <w:sz w:val="16"/>
                <w:szCs w:val="16"/>
              </w:rPr>
            </w:pPr>
            <w:r w:rsidRPr="00EF0531">
              <w:rPr>
                <w:rFonts w:ascii="Arial" w:hAnsi="Arial" w:cs="Arial"/>
                <w:iCs/>
                <w:sz w:val="16"/>
                <w:szCs w:val="16"/>
              </w:rPr>
              <w:t>N/A</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Cs/>
                <w:sz w:val="16"/>
                <w:szCs w:val="16"/>
              </w:rPr>
            </w:pPr>
            <w:r w:rsidRPr="00EF0531">
              <w:rPr>
                <w:rFonts w:ascii="Arial" w:hAnsi="Arial" w:cs="Arial"/>
                <w:iCs/>
                <w:sz w:val="16"/>
                <w:szCs w:val="16"/>
              </w:rPr>
              <w:t>N/A</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Cs/>
                <w:sz w:val="16"/>
                <w:szCs w:val="16"/>
              </w:rPr>
            </w:pPr>
            <w:r w:rsidRPr="00EF0531">
              <w:rPr>
                <w:rFonts w:ascii="Arial" w:hAnsi="Arial" w:cs="Arial"/>
                <w:iCs/>
                <w:sz w:val="16"/>
                <w:szCs w:val="16"/>
              </w:rPr>
              <w:t>N/A</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Cs/>
                <w:sz w:val="16"/>
                <w:szCs w:val="16"/>
              </w:rPr>
            </w:pPr>
            <w:r w:rsidRPr="00EF0531">
              <w:rPr>
                <w:rFonts w:ascii="Arial" w:hAnsi="Arial" w:cs="Arial"/>
                <w:iCs/>
                <w:sz w:val="16"/>
                <w:szCs w:val="16"/>
              </w:rPr>
              <w:t>N/A</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Cs/>
                <w:sz w:val="16"/>
                <w:szCs w:val="16"/>
              </w:rPr>
            </w:pPr>
            <w:r w:rsidRPr="00EF0531">
              <w:rPr>
                <w:rFonts w:ascii="Arial" w:hAnsi="Arial" w:cs="Arial"/>
                <w:iCs/>
                <w:sz w:val="16"/>
                <w:szCs w:val="16"/>
              </w:rPr>
              <w:t>N/A</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Cs/>
                <w:sz w:val="16"/>
                <w:szCs w:val="16"/>
              </w:rPr>
            </w:pPr>
            <w:r w:rsidRPr="00EF0531">
              <w:rPr>
                <w:rFonts w:ascii="Arial" w:hAnsi="Arial" w:cs="Arial"/>
                <w:iCs/>
                <w:sz w:val="16"/>
                <w:szCs w:val="16"/>
              </w:rPr>
              <w:t>N/A</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Cs/>
                <w:sz w:val="16"/>
                <w:szCs w:val="16"/>
              </w:rPr>
            </w:pPr>
            <w:r w:rsidRPr="00EF0531">
              <w:rPr>
                <w:rFonts w:ascii="Arial" w:hAnsi="Arial" w:cs="Arial"/>
                <w:iCs/>
                <w:sz w:val="16"/>
                <w:szCs w:val="16"/>
              </w:rPr>
              <w:t>N/A</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Cs/>
                <w:sz w:val="16"/>
                <w:szCs w:val="16"/>
              </w:rPr>
            </w:pPr>
            <w:r w:rsidRPr="00EF0531">
              <w:rPr>
                <w:rFonts w:ascii="Arial" w:hAnsi="Arial" w:cs="Arial"/>
                <w:iCs/>
                <w:sz w:val="16"/>
                <w:szCs w:val="16"/>
              </w:rPr>
              <w:t>N/A</w:t>
            </w:r>
          </w:p>
        </w:tc>
        <w:tc>
          <w:tcPr>
            <w:tcW w:w="709" w:type="dxa"/>
            <w:noWrap/>
            <w:tcMar>
              <w:top w:w="15" w:type="dxa"/>
              <w:left w:w="15" w:type="dxa"/>
              <w:bottom w:w="0" w:type="dxa"/>
              <w:right w:w="15" w:type="dxa"/>
            </w:tcMar>
            <w:vAlign w:val="center"/>
          </w:tcPr>
          <w:p w:rsidR="00FF5344" w:rsidRPr="00EF0531" w:rsidRDefault="00FF5344" w:rsidP="00FF5344">
            <w:pPr>
              <w:jc w:val="center"/>
              <w:rPr>
                <w:rFonts w:ascii="Arial" w:hAnsi="Arial" w:cs="Arial"/>
                <w:bCs/>
                <w:sz w:val="16"/>
                <w:szCs w:val="16"/>
              </w:rPr>
            </w:pPr>
            <w:r w:rsidRPr="00EF0531">
              <w:rPr>
                <w:rFonts w:ascii="Arial" w:hAnsi="Arial" w:cs="Arial"/>
                <w:bCs/>
                <w:sz w:val="16"/>
                <w:szCs w:val="16"/>
              </w:rPr>
              <w:t>185 000</w:t>
            </w:r>
          </w:p>
        </w:tc>
        <w:tc>
          <w:tcPr>
            <w:tcW w:w="709" w:type="dxa"/>
            <w:noWrap/>
            <w:tcMar>
              <w:top w:w="15" w:type="dxa"/>
              <w:left w:w="15" w:type="dxa"/>
              <w:bottom w:w="0" w:type="dxa"/>
              <w:right w:w="15" w:type="dxa"/>
            </w:tcMar>
            <w:vAlign w:val="center"/>
          </w:tcPr>
          <w:p w:rsidR="00FF5344" w:rsidRPr="00EF0531" w:rsidRDefault="00FF5344" w:rsidP="00FF5344">
            <w:pPr>
              <w:jc w:val="center"/>
              <w:rPr>
                <w:rFonts w:ascii="Arial" w:hAnsi="Arial" w:cs="Arial"/>
                <w:b/>
                <w:bCs/>
                <w:sz w:val="16"/>
                <w:szCs w:val="16"/>
              </w:rPr>
            </w:pPr>
            <w:r w:rsidRPr="00EF0531">
              <w:rPr>
                <w:rFonts w:ascii="Arial" w:hAnsi="Arial" w:cs="Arial"/>
                <w:b/>
                <w:bCs/>
                <w:sz w:val="16"/>
                <w:szCs w:val="16"/>
              </w:rPr>
              <w:t>185 000</w:t>
            </w:r>
          </w:p>
        </w:tc>
        <w:tc>
          <w:tcPr>
            <w:tcW w:w="1134" w:type="dxa"/>
            <w:noWrap/>
            <w:tcMar>
              <w:top w:w="15" w:type="dxa"/>
              <w:left w:w="15" w:type="dxa"/>
              <w:bottom w:w="0" w:type="dxa"/>
              <w:right w:w="15" w:type="dxa"/>
            </w:tcMar>
            <w:vAlign w:val="center"/>
          </w:tcPr>
          <w:p w:rsidR="00FF5344" w:rsidRPr="000E0A45" w:rsidRDefault="00FF5344" w:rsidP="00FF5344">
            <w:pPr>
              <w:jc w:val="center"/>
              <w:rPr>
                <w:rFonts w:ascii="Arial" w:hAnsi="Arial" w:cs="Arial"/>
                <w:i/>
                <w:iCs/>
                <w:sz w:val="16"/>
                <w:szCs w:val="16"/>
              </w:rPr>
            </w:pPr>
          </w:p>
        </w:tc>
      </w:tr>
      <w:tr w:rsidR="00FF5344" w:rsidRPr="000E0A45" w:rsidTr="00FF5344">
        <w:trPr>
          <w:trHeight w:val="20"/>
        </w:trPr>
        <w:tc>
          <w:tcPr>
            <w:tcW w:w="1433" w:type="dxa"/>
            <w:vMerge/>
            <w:shd w:val="clear" w:color="auto" w:fill="FFFF99"/>
            <w:vAlign w:val="center"/>
          </w:tcPr>
          <w:p w:rsidR="00FF5344" w:rsidRPr="00EF0531" w:rsidRDefault="00FF5344" w:rsidP="00FF5344">
            <w:pPr>
              <w:rPr>
                <w:rFonts w:ascii="Arial" w:hAnsi="Arial" w:cs="Arial"/>
                <w:sz w:val="16"/>
                <w:szCs w:val="16"/>
              </w:rPr>
            </w:pPr>
          </w:p>
        </w:tc>
        <w:tc>
          <w:tcPr>
            <w:tcW w:w="1182" w:type="dxa"/>
            <w:shd w:val="clear" w:color="auto" w:fill="CCFFFF"/>
            <w:noWrap/>
            <w:tcMar>
              <w:top w:w="15" w:type="dxa"/>
              <w:left w:w="15" w:type="dxa"/>
              <w:bottom w:w="0" w:type="dxa"/>
              <w:right w:w="15" w:type="dxa"/>
            </w:tcMar>
            <w:vAlign w:val="center"/>
          </w:tcPr>
          <w:p w:rsidR="00FF5344" w:rsidRPr="00EF0531" w:rsidRDefault="00FF5344" w:rsidP="00FF5344">
            <w:pPr>
              <w:rPr>
                <w:rFonts w:ascii="Arial" w:hAnsi="Arial" w:cs="Arial"/>
                <w:b/>
                <w:sz w:val="16"/>
                <w:szCs w:val="16"/>
              </w:rPr>
            </w:pPr>
            <w:r w:rsidRPr="00EF0531">
              <w:rPr>
                <w:rFonts w:ascii="Arial" w:hAnsi="Arial" w:cs="Arial"/>
                <w:b/>
                <w:sz w:val="16"/>
                <w:szCs w:val="16"/>
              </w:rPr>
              <w:t>Východisko</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bCs/>
                <w:sz w:val="16"/>
                <w:szCs w:val="16"/>
              </w:rPr>
            </w:pPr>
            <w:r w:rsidRPr="00EF0531">
              <w:rPr>
                <w:rFonts w:ascii="Arial" w:hAnsi="Arial" w:cs="Arial"/>
                <w:bCs/>
                <w:sz w:val="16"/>
                <w:szCs w:val="16"/>
              </w:rPr>
              <w:t>105 000</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Cs/>
                <w:sz w:val="16"/>
                <w:szCs w:val="16"/>
              </w:rPr>
            </w:pPr>
            <w:r w:rsidRPr="00EF0531">
              <w:rPr>
                <w:rFonts w:ascii="Arial" w:hAnsi="Arial" w:cs="Arial"/>
                <w:iCs/>
                <w:sz w:val="16"/>
                <w:szCs w:val="16"/>
              </w:rPr>
              <w:t>N/A</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Cs/>
                <w:sz w:val="16"/>
                <w:szCs w:val="16"/>
              </w:rPr>
            </w:pPr>
            <w:r w:rsidRPr="00EF0531">
              <w:rPr>
                <w:rFonts w:ascii="Arial" w:hAnsi="Arial" w:cs="Arial"/>
                <w:iCs/>
                <w:sz w:val="16"/>
                <w:szCs w:val="16"/>
              </w:rPr>
              <w:t>N/A</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Cs/>
                <w:sz w:val="16"/>
                <w:szCs w:val="16"/>
              </w:rPr>
            </w:pPr>
            <w:r w:rsidRPr="00EF0531">
              <w:rPr>
                <w:rFonts w:ascii="Arial" w:hAnsi="Arial" w:cs="Arial"/>
                <w:iCs/>
                <w:sz w:val="16"/>
                <w:szCs w:val="16"/>
              </w:rPr>
              <w:t>N/A</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Cs/>
                <w:sz w:val="16"/>
                <w:szCs w:val="16"/>
              </w:rPr>
            </w:pPr>
            <w:r w:rsidRPr="00EF0531">
              <w:rPr>
                <w:rFonts w:ascii="Arial" w:hAnsi="Arial" w:cs="Arial"/>
                <w:iCs/>
                <w:sz w:val="16"/>
                <w:szCs w:val="16"/>
              </w:rPr>
              <w:t>N/A</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Cs/>
                <w:sz w:val="16"/>
                <w:szCs w:val="16"/>
              </w:rPr>
            </w:pPr>
            <w:r w:rsidRPr="00EF0531">
              <w:rPr>
                <w:rFonts w:ascii="Arial" w:hAnsi="Arial" w:cs="Arial"/>
                <w:iCs/>
                <w:sz w:val="16"/>
                <w:szCs w:val="16"/>
              </w:rPr>
              <w:t>N/A</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Cs/>
                <w:sz w:val="16"/>
                <w:szCs w:val="16"/>
              </w:rPr>
            </w:pPr>
            <w:r w:rsidRPr="00EF0531">
              <w:rPr>
                <w:rFonts w:ascii="Arial" w:hAnsi="Arial" w:cs="Arial"/>
                <w:iCs/>
                <w:sz w:val="16"/>
                <w:szCs w:val="16"/>
              </w:rPr>
              <w:t>N/A</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Cs/>
                <w:sz w:val="16"/>
                <w:szCs w:val="16"/>
              </w:rPr>
            </w:pPr>
            <w:r w:rsidRPr="00EF0531">
              <w:rPr>
                <w:rFonts w:ascii="Arial" w:hAnsi="Arial" w:cs="Arial"/>
                <w:iCs/>
                <w:sz w:val="16"/>
                <w:szCs w:val="16"/>
              </w:rPr>
              <w:t>N/A</w:t>
            </w:r>
          </w:p>
        </w:tc>
        <w:tc>
          <w:tcPr>
            <w:tcW w:w="709" w:type="dxa"/>
            <w:noWrap/>
            <w:tcMar>
              <w:top w:w="15" w:type="dxa"/>
              <w:left w:w="15" w:type="dxa"/>
              <w:bottom w:w="0" w:type="dxa"/>
              <w:right w:w="15" w:type="dxa"/>
            </w:tcMar>
            <w:vAlign w:val="center"/>
          </w:tcPr>
          <w:p w:rsidR="00FF5344" w:rsidRPr="00EF0531" w:rsidRDefault="00FF5344" w:rsidP="00FF5344">
            <w:pPr>
              <w:jc w:val="center"/>
              <w:rPr>
                <w:rFonts w:ascii="Arial" w:hAnsi="Arial" w:cs="Arial"/>
                <w:iCs/>
                <w:sz w:val="16"/>
                <w:szCs w:val="16"/>
              </w:rPr>
            </w:pPr>
            <w:r w:rsidRPr="00EF0531">
              <w:rPr>
                <w:rFonts w:ascii="Arial" w:hAnsi="Arial" w:cs="Arial"/>
                <w:iCs/>
                <w:sz w:val="16"/>
                <w:szCs w:val="16"/>
              </w:rPr>
              <w:t>N/A</w:t>
            </w:r>
          </w:p>
        </w:tc>
        <w:tc>
          <w:tcPr>
            <w:tcW w:w="709" w:type="dxa"/>
            <w:noWrap/>
            <w:tcMar>
              <w:top w:w="15" w:type="dxa"/>
              <w:left w:w="15" w:type="dxa"/>
              <w:bottom w:w="0" w:type="dxa"/>
              <w:right w:w="15" w:type="dxa"/>
            </w:tcMar>
            <w:vAlign w:val="center"/>
          </w:tcPr>
          <w:p w:rsidR="00FF5344" w:rsidRPr="00EF0531" w:rsidRDefault="00FF5344" w:rsidP="00FF5344">
            <w:pPr>
              <w:jc w:val="center"/>
              <w:rPr>
                <w:rFonts w:ascii="Arial" w:hAnsi="Arial" w:cs="Arial"/>
                <w:b/>
                <w:bCs/>
                <w:sz w:val="16"/>
                <w:szCs w:val="16"/>
              </w:rPr>
            </w:pPr>
            <w:r w:rsidRPr="00EF0531">
              <w:rPr>
                <w:rFonts w:ascii="Arial" w:hAnsi="Arial" w:cs="Arial"/>
                <w:b/>
                <w:bCs/>
                <w:sz w:val="16"/>
                <w:szCs w:val="16"/>
              </w:rPr>
              <w:t>105 000</w:t>
            </w:r>
          </w:p>
        </w:tc>
        <w:tc>
          <w:tcPr>
            <w:tcW w:w="1134" w:type="dxa"/>
            <w:noWrap/>
            <w:tcMar>
              <w:top w:w="15" w:type="dxa"/>
              <w:left w:w="15" w:type="dxa"/>
              <w:bottom w:w="0" w:type="dxa"/>
              <w:right w:w="15" w:type="dxa"/>
            </w:tcMar>
            <w:vAlign w:val="center"/>
          </w:tcPr>
          <w:p w:rsidR="00FF5344" w:rsidRPr="000E0A45" w:rsidRDefault="00FF5344" w:rsidP="00FF5344">
            <w:pPr>
              <w:jc w:val="center"/>
              <w:rPr>
                <w:rFonts w:ascii="Arial" w:hAnsi="Arial" w:cs="Arial"/>
                <w:sz w:val="16"/>
                <w:szCs w:val="16"/>
              </w:rPr>
            </w:pPr>
          </w:p>
        </w:tc>
      </w:tr>
      <w:tr w:rsidR="00FF5344" w:rsidRPr="000E0A45" w:rsidTr="00FF5344">
        <w:trPr>
          <w:trHeight w:val="20"/>
        </w:trPr>
        <w:tc>
          <w:tcPr>
            <w:tcW w:w="9703" w:type="dxa"/>
            <w:gridSpan w:val="13"/>
            <w:shd w:val="clear" w:color="auto" w:fill="auto"/>
            <w:vAlign w:val="center"/>
          </w:tcPr>
          <w:p w:rsidR="00FF5344" w:rsidRPr="00EF0531" w:rsidRDefault="00FF5344" w:rsidP="00FF5344">
            <w:pPr>
              <w:jc w:val="center"/>
              <w:rPr>
                <w:rFonts w:ascii="Arial" w:hAnsi="Arial" w:cs="Arial"/>
                <w:sz w:val="16"/>
                <w:szCs w:val="16"/>
              </w:rPr>
            </w:pPr>
          </w:p>
        </w:tc>
      </w:tr>
      <w:tr w:rsidR="00FF5344" w:rsidRPr="000E0A45" w:rsidTr="00FF5344">
        <w:trPr>
          <w:trHeight w:val="20"/>
        </w:trPr>
        <w:tc>
          <w:tcPr>
            <w:tcW w:w="1433" w:type="dxa"/>
            <w:vMerge w:val="restart"/>
            <w:shd w:val="clear" w:color="auto" w:fill="FFFF99"/>
          </w:tcPr>
          <w:p w:rsidR="00FF5344" w:rsidRPr="00EF0531" w:rsidRDefault="00FF5344" w:rsidP="00FF5344">
            <w:pPr>
              <w:rPr>
                <w:rFonts w:ascii="Arial" w:eastAsia="EUAlbertina-Regular-Identity-H" w:hAnsi="Arial" w:cs="Arial"/>
                <w:b/>
                <w:sz w:val="16"/>
                <w:szCs w:val="16"/>
              </w:rPr>
            </w:pPr>
            <w:r w:rsidRPr="00EF0531">
              <w:rPr>
                <w:rFonts w:ascii="Arial" w:eastAsia="EUAlbertina-Regular-Identity-H" w:hAnsi="Arial" w:cs="Arial"/>
                <w:sz w:val="16"/>
                <w:szCs w:val="16"/>
              </w:rPr>
              <w:t>Počet novovytvorených pracovných miest (počet) dopad</w:t>
            </w:r>
          </w:p>
        </w:tc>
        <w:tc>
          <w:tcPr>
            <w:tcW w:w="1182" w:type="dxa"/>
            <w:shd w:val="clear" w:color="auto" w:fill="CCFFFF"/>
            <w:noWrap/>
            <w:tcMar>
              <w:top w:w="15" w:type="dxa"/>
              <w:left w:w="15" w:type="dxa"/>
              <w:bottom w:w="0" w:type="dxa"/>
              <w:right w:w="15" w:type="dxa"/>
            </w:tcMar>
            <w:vAlign w:val="center"/>
          </w:tcPr>
          <w:p w:rsidR="00FF5344" w:rsidRPr="00EF0531" w:rsidRDefault="00FF5344" w:rsidP="00FF5344">
            <w:pPr>
              <w:rPr>
                <w:rFonts w:ascii="Arial" w:eastAsia="EUAlbertina-Regular-Identity-H" w:hAnsi="Arial" w:cs="Arial"/>
                <w:b/>
                <w:sz w:val="16"/>
                <w:szCs w:val="16"/>
              </w:rPr>
            </w:pPr>
            <w:r w:rsidRPr="00EF0531">
              <w:rPr>
                <w:rFonts w:ascii="Arial" w:eastAsia="EUAlbertina-Regular-Identity-H" w:hAnsi="Arial" w:cs="Arial"/>
                <w:b/>
                <w:sz w:val="16"/>
                <w:szCs w:val="16"/>
              </w:rPr>
              <w:t>Dosiahnutý výsledok</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sz w:val="16"/>
                <w:szCs w:val="16"/>
              </w:rPr>
            </w:pPr>
            <w:r w:rsidRPr="00EF0531">
              <w:rPr>
                <w:rFonts w:ascii="Arial" w:hAnsi="Arial" w:cs="Arial"/>
                <w:sz w:val="16"/>
                <w:szCs w:val="16"/>
              </w:rPr>
              <w:t>0</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sz w:val="16"/>
                <w:szCs w:val="16"/>
              </w:rPr>
            </w:pPr>
            <w:r w:rsidRPr="00EF0531">
              <w:rPr>
                <w:rFonts w:ascii="Arial" w:hAnsi="Arial" w:cs="Arial"/>
                <w:sz w:val="16"/>
                <w:szCs w:val="16"/>
              </w:rPr>
              <w:t>0</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sz w:val="16"/>
                <w:szCs w:val="16"/>
              </w:rPr>
            </w:pPr>
            <w:r w:rsidRPr="00EF0531">
              <w:rPr>
                <w:rFonts w:ascii="Arial" w:hAnsi="Arial" w:cs="Arial"/>
                <w:sz w:val="16"/>
                <w:szCs w:val="16"/>
              </w:rPr>
              <w:t>0</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sz w:val="16"/>
                <w:szCs w:val="16"/>
              </w:rPr>
            </w:pPr>
            <w:r w:rsidRPr="00EF0531">
              <w:rPr>
                <w:rFonts w:ascii="Arial" w:hAnsi="Arial" w:cs="Arial"/>
                <w:sz w:val="16"/>
                <w:szCs w:val="16"/>
              </w:rPr>
              <w:t>0</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sz w:val="16"/>
                <w:szCs w:val="16"/>
              </w:rPr>
            </w:pPr>
            <w:r w:rsidRPr="00EF0531">
              <w:rPr>
                <w:rFonts w:ascii="Arial" w:hAnsi="Arial" w:cs="Arial"/>
                <w:sz w:val="16"/>
                <w:szCs w:val="16"/>
              </w:rPr>
              <w:t>0</w:t>
            </w:r>
          </w:p>
        </w:tc>
        <w:tc>
          <w:tcPr>
            <w:tcW w:w="567" w:type="dxa"/>
            <w:noWrap/>
            <w:tcMar>
              <w:top w:w="15" w:type="dxa"/>
              <w:left w:w="15" w:type="dxa"/>
              <w:bottom w:w="0" w:type="dxa"/>
              <w:right w:w="15" w:type="dxa"/>
            </w:tcMar>
            <w:vAlign w:val="center"/>
          </w:tcPr>
          <w:p w:rsidR="00FF5344" w:rsidRPr="00EF0531" w:rsidRDefault="00961A0E" w:rsidP="00FF5344">
            <w:pPr>
              <w:jc w:val="center"/>
              <w:rPr>
                <w:rFonts w:ascii="Arial" w:hAnsi="Arial" w:cs="Arial"/>
                <w:sz w:val="16"/>
                <w:szCs w:val="16"/>
              </w:rPr>
            </w:pPr>
            <w:r>
              <w:rPr>
                <w:rFonts w:ascii="Arial" w:hAnsi="Arial" w:cs="Arial"/>
                <w:sz w:val="16"/>
                <w:szCs w:val="16"/>
              </w:rPr>
              <w:t>39</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rPr>
            </w:pPr>
            <w:r w:rsidRPr="00EF0531">
              <w:rPr>
                <w:rFonts w:ascii="Arial" w:hAnsi="Arial" w:cs="Arial"/>
                <w:sz w:val="16"/>
                <w:szCs w:val="16"/>
              </w:rPr>
              <w:t>N/A</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rPr>
            </w:pPr>
            <w:r w:rsidRPr="00EF0531">
              <w:rPr>
                <w:rFonts w:ascii="Arial" w:hAnsi="Arial" w:cs="Arial"/>
                <w:sz w:val="16"/>
                <w:szCs w:val="16"/>
              </w:rPr>
              <w:t>N/A</w:t>
            </w:r>
          </w:p>
        </w:tc>
        <w:tc>
          <w:tcPr>
            <w:tcW w:w="709" w:type="dxa"/>
            <w:noWrap/>
            <w:tcMar>
              <w:top w:w="15" w:type="dxa"/>
              <w:left w:w="15" w:type="dxa"/>
              <w:bottom w:w="0" w:type="dxa"/>
              <w:right w:w="15" w:type="dxa"/>
            </w:tcMar>
            <w:vAlign w:val="center"/>
          </w:tcPr>
          <w:p w:rsidR="00FF5344" w:rsidRPr="00EF0531" w:rsidRDefault="00FF5344" w:rsidP="00FF5344">
            <w:pPr>
              <w:jc w:val="center"/>
              <w:rPr>
                <w:rFonts w:ascii="Arial" w:hAnsi="Arial" w:cs="Arial"/>
              </w:rPr>
            </w:pPr>
            <w:r w:rsidRPr="00EF0531">
              <w:rPr>
                <w:rFonts w:ascii="Arial" w:hAnsi="Arial" w:cs="Arial"/>
                <w:sz w:val="16"/>
                <w:szCs w:val="16"/>
              </w:rPr>
              <w:t>N/A</w:t>
            </w:r>
          </w:p>
        </w:tc>
        <w:tc>
          <w:tcPr>
            <w:tcW w:w="709" w:type="dxa"/>
            <w:noWrap/>
            <w:tcMar>
              <w:top w:w="15" w:type="dxa"/>
              <w:left w:w="15" w:type="dxa"/>
              <w:bottom w:w="0" w:type="dxa"/>
              <w:right w:w="15" w:type="dxa"/>
            </w:tcMar>
            <w:vAlign w:val="center"/>
          </w:tcPr>
          <w:p w:rsidR="00FF5344" w:rsidRPr="00EF0531" w:rsidRDefault="008C4839" w:rsidP="00FF5344">
            <w:pPr>
              <w:jc w:val="center"/>
              <w:rPr>
                <w:rFonts w:ascii="Arial" w:hAnsi="Arial" w:cs="Arial"/>
                <w:b/>
                <w:sz w:val="16"/>
                <w:szCs w:val="16"/>
              </w:rPr>
            </w:pPr>
            <w:r>
              <w:rPr>
                <w:rFonts w:ascii="Arial" w:hAnsi="Arial" w:cs="Arial"/>
                <w:b/>
                <w:sz w:val="16"/>
                <w:szCs w:val="16"/>
              </w:rPr>
              <w:t>39</w:t>
            </w:r>
          </w:p>
        </w:tc>
        <w:tc>
          <w:tcPr>
            <w:tcW w:w="1134" w:type="dxa"/>
            <w:noWrap/>
            <w:tcMar>
              <w:top w:w="15" w:type="dxa"/>
              <w:left w:w="15" w:type="dxa"/>
              <w:bottom w:w="0" w:type="dxa"/>
              <w:right w:w="15" w:type="dxa"/>
            </w:tcMar>
            <w:vAlign w:val="center"/>
          </w:tcPr>
          <w:p w:rsidR="00FF5344" w:rsidRPr="00EF0531" w:rsidRDefault="00961A0E" w:rsidP="00FF5344">
            <w:pPr>
              <w:rPr>
                <w:rFonts w:ascii="Arial" w:hAnsi="Arial" w:cs="Arial"/>
                <w:sz w:val="16"/>
                <w:szCs w:val="16"/>
              </w:rPr>
            </w:pPr>
            <w:r>
              <w:rPr>
                <w:rFonts w:ascii="Arial" w:hAnsi="Arial" w:cs="Arial"/>
                <w:sz w:val="16"/>
                <w:szCs w:val="16"/>
              </w:rPr>
              <w:t xml:space="preserve">130 </w:t>
            </w:r>
            <w:r w:rsidRPr="00254254">
              <w:rPr>
                <w:rFonts w:ascii="Arial" w:hAnsi="Arial" w:cs="Arial"/>
                <w:sz w:val="16"/>
                <w:szCs w:val="16"/>
              </w:rPr>
              <w:t>Po ukončení realizácie všetkých projektov</w:t>
            </w:r>
          </w:p>
        </w:tc>
      </w:tr>
      <w:tr w:rsidR="00FF5344" w:rsidRPr="000E0A45" w:rsidTr="00FF5344">
        <w:trPr>
          <w:trHeight w:val="20"/>
        </w:trPr>
        <w:tc>
          <w:tcPr>
            <w:tcW w:w="1433" w:type="dxa"/>
            <w:vMerge/>
            <w:shd w:val="clear" w:color="auto" w:fill="FFFF99"/>
          </w:tcPr>
          <w:p w:rsidR="00FF5344" w:rsidRPr="00EF0531" w:rsidRDefault="00FF5344" w:rsidP="00FF5344">
            <w:pPr>
              <w:rPr>
                <w:rFonts w:ascii="Arial" w:hAnsi="Arial" w:cs="Arial"/>
                <w:sz w:val="16"/>
                <w:szCs w:val="16"/>
              </w:rPr>
            </w:pPr>
          </w:p>
        </w:tc>
        <w:tc>
          <w:tcPr>
            <w:tcW w:w="1182" w:type="dxa"/>
            <w:shd w:val="clear" w:color="auto" w:fill="CCFFFF"/>
            <w:noWrap/>
            <w:tcMar>
              <w:top w:w="15" w:type="dxa"/>
              <w:left w:w="15" w:type="dxa"/>
              <w:bottom w:w="0" w:type="dxa"/>
              <w:right w:w="15" w:type="dxa"/>
            </w:tcMar>
            <w:vAlign w:val="center"/>
          </w:tcPr>
          <w:p w:rsidR="00FF5344" w:rsidRPr="00EF0531" w:rsidRDefault="00FF5344" w:rsidP="00FF5344">
            <w:pPr>
              <w:rPr>
                <w:rFonts w:ascii="Arial" w:hAnsi="Arial" w:cs="Arial"/>
                <w:sz w:val="16"/>
                <w:szCs w:val="16"/>
              </w:rPr>
            </w:pPr>
            <w:r w:rsidRPr="00EF0531">
              <w:rPr>
                <w:rFonts w:ascii="Arial" w:eastAsia="EUAlbertina-Regular-Identity-H" w:hAnsi="Arial" w:cs="Arial"/>
                <w:b/>
                <w:sz w:val="16"/>
                <w:szCs w:val="16"/>
              </w:rPr>
              <w:t>Cieľ</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b/>
                <w:bCs/>
                <w:sz w:val="16"/>
                <w:szCs w:val="16"/>
              </w:rPr>
            </w:pPr>
            <w:r w:rsidRPr="00EF0531">
              <w:rPr>
                <w:rFonts w:ascii="Arial" w:hAnsi="Arial" w:cs="Arial"/>
                <w:sz w:val="16"/>
                <w:szCs w:val="16"/>
              </w:rPr>
              <w:t>N/A</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
                <w:iCs/>
                <w:sz w:val="16"/>
                <w:szCs w:val="16"/>
              </w:rPr>
            </w:pPr>
            <w:r w:rsidRPr="00EF0531">
              <w:rPr>
                <w:rFonts w:ascii="Arial" w:hAnsi="Arial" w:cs="Arial"/>
                <w:sz w:val="16"/>
                <w:szCs w:val="16"/>
              </w:rPr>
              <w:t>N/A</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
                <w:iCs/>
                <w:sz w:val="16"/>
                <w:szCs w:val="16"/>
              </w:rPr>
            </w:pPr>
            <w:r w:rsidRPr="00EF0531">
              <w:rPr>
                <w:rFonts w:ascii="Arial" w:hAnsi="Arial" w:cs="Arial"/>
                <w:sz w:val="16"/>
                <w:szCs w:val="16"/>
              </w:rPr>
              <w:t>N/A</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
                <w:iCs/>
                <w:sz w:val="16"/>
                <w:szCs w:val="16"/>
              </w:rPr>
            </w:pPr>
            <w:r w:rsidRPr="00EF0531">
              <w:rPr>
                <w:rFonts w:ascii="Arial" w:hAnsi="Arial" w:cs="Arial"/>
                <w:sz w:val="16"/>
                <w:szCs w:val="16"/>
              </w:rPr>
              <w:t>N/A</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
                <w:iCs/>
                <w:sz w:val="16"/>
                <w:szCs w:val="16"/>
              </w:rPr>
            </w:pPr>
            <w:r w:rsidRPr="00EF0531">
              <w:rPr>
                <w:rFonts w:ascii="Arial" w:hAnsi="Arial" w:cs="Arial"/>
                <w:sz w:val="16"/>
                <w:szCs w:val="16"/>
              </w:rPr>
              <w:t>N/A</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
                <w:iCs/>
                <w:sz w:val="16"/>
                <w:szCs w:val="16"/>
              </w:rPr>
            </w:pPr>
            <w:r w:rsidRPr="00EF0531">
              <w:rPr>
                <w:rFonts w:ascii="Arial" w:hAnsi="Arial" w:cs="Arial"/>
                <w:sz w:val="16"/>
                <w:szCs w:val="16"/>
              </w:rPr>
              <w:t>N/A</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
                <w:iCs/>
                <w:sz w:val="16"/>
                <w:szCs w:val="16"/>
              </w:rPr>
            </w:pPr>
            <w:r w:rsidRPr="00EF0531">
              <w:rPr>
                <w:rFonts w:ascii="Arial" w:hAnsi="Arial" w:cs="Arial"/>
                <w:sz w:val="16"/>
                <w:szCs w:val="16"/>
              </w:rPr>
              <w:t>N/A</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
                <w:iCs/>
                <w:sz w:val="16"/>
                <w:szCs w:val="16"/>
              </w:rPr>
            </w:pPr>
            <w:r w:rsidRPr="00EF0531">
              <w:rPr>
                <w:rFonts w:ascii="Arial" w:hAnsi="Arial" w:cs="Arial"/>
                <w:sz w:val="16"/>
                <w:szCs w:val="16"/>
              </w:rPr>
              <w:t>N/A</w:t>
            </w:r>
          </w:p>
        </w:tc>
        <w:tc>
          <w:tcPr>
            <w:tcW w:w="709" w:type="dxa"/>
            <w:noWrap/>
            <w:tcMar>
              <w:top w:w="15" w:type="dxa"/>
              <w:left w:w="15" w:type="dxa"/>
              <w:bottom w:w="0" w:type="dxa"/>
              <w:right w:w="15" w:type="dxa"/>
            </w:tcMar>
            <w:vAlign w:val="center"/>
          </w:tcPr>
          <w:p w:rsidR="00FF5344" w:rsidRPr="00EF0531" w:rsidRDefault="00961A0E" w:rsidP="00FF5344">
            <w:pPr>
              <w:jc w:val="center"/>
              <w:rPr>
                <w:rFonts w:ascii="Arial" w:hAnsi="Arial" w:cs="Arial"/>
                <w:i/>
                <w:iCs/>
                <w:sz w:val="16"/>
                <w:szCs w:val="16"/>
              </w:rPr>
            </w:pPr>
            <w:r>
              <w:rPr>
                <w:rFonts w:ascii="Arial" w:hAnsi="Arial" w:cs="Arial"/>
                <w:sz w:val="16"/>
                <w:szCs w:val="16"/>
              </w:rPr>
              <w:t>105</w:t>
            </w:r>
          </w:p>
        </w:tc>
        <w:tc>
          <w:tcPr>
            <w:tcW w:w="709" w:type="dxa"/>
            <w:noWrap/>
            <w:tcMar>
              <w:top w:w="15" w:type="dxa"/>
              <w:left w:w="15" w:type="dxa"/>
              <w:bottom w:w="0" w:type="dxa"/>
              <w:right w:w="15" w:type="dxa"/>
            </w:tcMar>
            <w:vAlign w:val="center"/>
          </w:tcPr>
          <w:p w:rsidR="00FF5344" w:rsidRPr="00EF0531" w:rsidRDefault="00961A0E" w:rsidP="00FF5344">
            <w:pPr>
              <w:jc w:val="center"/>
              <w:rPr>
                <w:rFonts w:ascii="Arial" w:hAnsi="Arial" w:cs="Arial"/>
                <w:b/>
                <w:bCs/>
                <w:sz w:val="16"/>
                <w:szCs w:val="16"/>
              </w:rPr>
            </w:pPr>
            <w:r>
              <w:rPr>
                <w:rFonts w:ascii="Arial" w:hAnsi="Arial" w:cs="Arial"/>
                <w:b/>
                <w:sz w:val="16"/>
                <w:szCs w:val="16"/>
              </w:rPr>
              <w:t>105</w:t>
            </w:r>
          </w:p>
        </w:tc>
        <w:tc>
          <w:tcPr>
            <w:tcW w:w="1134" w:type="dxa"/>
            <w:noWrap/>
            <w:tcMar>
              <w:top w:w="15" w:type="dxa"/>
              <w:left w:w="15" w:type="dxa"/>
              <w:bottom w:w="0" w:type="dxa"/>
              <w:right w:w="15" w:type="dxa"/>
            </w:tcMar>
            <w:vAlign w:val="center"/>
          </w:tcPr>
          <w:p w:rsidR="00FF5344" w:rsidRPr="00EF0531" w:rsidRDefault="00FF5344" w:rsidP="00FF5344">
            <w:pPr>
              <w:jc w:val="center"/>
              <w:rPr>
                <w:rFonts w:ascii="Arial" w:hAnsi="Arial" w:cs="Arial"/>
                <w:sz w:val="16"/>
                <w:szCs w:val="16"/>
              </w:rPr>
            </w:pPr>
          </w:p>
        </w:tc>
      </w:tr>
      <w:tr w:rsidR="00FF5344" w:rsidRPr="000E0A45" w:rsidTr="00FF5344">
        <w:trPr>
          <w:trHeight w:val="20"/>
        </w:trPr>
        <w:tc>
          <w:tcPr>
            <w:tcW w:w="1433" w:type="dxa"/>
            <w:vMerge/>
            <w:tcBorders>
              <w:bottom w:val="single" w:sz="4" w:space="0" w:color="auto"/>
            </w:tcBorders>
            <w:shd w:val="clear" w:color="auto" w:fill="FFFF99"/>
          </w:tcPr>
          <w:p w:rsidR="00FF5344" w:rsidRPr="00EF0531" w:rsidRDefault="00FF5344" w:rsidP="00FF5344">
            <w:pPr>
              <w:rPr>
                <w:rFonts w:ascii="Arial" w:hAnsi="Arial" w:cs="Arial"/>
                <w:sz w:val="16"/>
                <w:szCs w:val="16"/>
              </w:rPr>
            </w:pPr>
          </w:p>
        </w:tc>
        <w:tc>
          <w:tcPr>
            <w:tcW w:w="1182" w:type="dxa"/>
            <w:tcBorders>
              <w:bottom w:val="single" w:sz="4" w:space="0" w:color="auto"/>
            </w:tcBorders>
            <w:shd w:val="clear" w:color="auto" w:fill="CCFFFF"/>
            <w:noWrap/>
            <w:tcMar>
              <w:top w:w="15" w:type="dxa"/>
              <w:left w:w="15" w:type="dxa"/>
              <w:bottom w:w="0" w:type="dxa"/>
              <w:right w:w="15" w:type="dxa"/>
            </w:tcMar>
            <w:vAlign w:val="center"/>
          </w:tcPr>
          <w:p w:rsidR="00FF5344" w:rsidRPr="00EF0531" w:rsidRDefault="00FF5344" w:rsidP="00FF5344">
            <w:pPr>
              <w:rPr>
                <w:rFonts w:ascii="Arial" w:hAnsi="Arial" w:cs="Arial"/>
                <w:sz w:val="16"/>
                <w:szCs w:val="16"/>
              </w:rPr>
            </w:pPr>
            <w:r w:rsidRPr="00EF0531">
              <w:rPr>
                <w:rFonts w:ascii="Arial" w:eastAsia="EUAlbertina-Regular-Identity-H" w:hAnsi="Arial" w:cs="Arial"/>
                <w:b/>
                <w:sz w:val="16"/>
                <w:szCs w:val="16"/>
              </w:rPr>
              <w:t>Východisko</w:t>
            </w:r>
          </w:p>
        </w:tc>
        <w:tc>
          <w:tcPr>
            <w:tcW w:w="567" w:type="dxa"/>
            <w:tcBorders>
              <w:bottom w:val="single" w:sz="4" w:space="0" w:color="auto"/>
            </w:tcBorders>
            <w:noWrap/>
            <w:tcMar>
              <w:top w:w="15" w:type="dxa"/>
              <w:left w:w="15" w:type="dxa"/>
              <w:bottom w:w="0" w:type="dxa"/>
              <w:right w:w="15" w:type="dxa"/>
            </w:tcMar>
            <w:vAlign w:val="center"/>
          </w:tcPr>
          <w:p w:rsidR="00FF5344" w:rsidRPr="00EF0531" w:rsidRDefault="00FF5344" w:rsidP="00FF5344">
            <w:pPr>
              <w:jc w:val="center"/>
              <w:rPr>
                <w:rFonts w:ascii="Arial" w:hAnsi="Arial" w:cs="Arial"/>
                <w:b/>
                <w:bCs/>
                <w:sz w:val="16"/>
                <w:szCs w:val="16"/>
              </w:rPr>
            </w:pPr>
            <w:r w:rsidRPr="00EF0531">
              <w:rPr>
                <w:rFonts w:ascii="Arial" w:hAnsi="Arial" w:cs="Arial"/>
                <w:sz w:val="16"/>
                <w:szCs w:val="16"/>
              </w:rPr>
              <w:t>0</w:t>
            </w:r>
          </w:p>
        </w:tc>
        <w:tc>
          <w:tcPr>
            <w:tcW w:w="567" w:type="dxa"/>
            <w:tcBorders>
              <w:bottom w:val="single" w:sz="4" w:space="0" w:color="auto"/>
            </w:tcBorders>
            <w:noWrap/>
            <w:tcMar>
              <w:top w:w="15" w:type="dxa"/>
              <w:left w:w="15" w:type="dxa"/>
              <w:bottom w:w="0" w:type="dxa"/>
              <w:right w:w="15" w:type="dxa"/>
            </w:tcMar>
            <w:vAlign w:val="center"/>
          </w:tcPr>
          <w:p w:rsidR="00FF5344" w:rsidRPr="00EF0531" w:rsidRDefault="00FF5344" w:rsidP="00FF5344">
            <w:pPr>
              <w:jc w:val="center"/>
              <w:rPr>
                <w:rFonts w:ascii="Arial" w:hAnsi="Arial" w:cs="Arial"/>
                <w:i/>
                <w:iCs/>
                <w:sz w:val="16"/>
                <w:szCs w:val="16"/>
              </w:rPr>
            </w:pPr>
            <w:r w:rsidRPr="00EF0531">
              <w:rPr>
                <w:rFonts w:ascii="Arial" w:hAnsi="Arial" w:cs="Arial"/>
                <w:sz w:val="16"/>
                <w:szCs w:val="16"/>
              </w:rPr>
              <w:t>N/A</w:t>
            </w:r>
          </w:p>
        </w:tc>
        <w:tc>
          <w:tcPr>
            <w:tcW w:w="567" w:type="dxa"/>
            <w:tcBorders>
              <w:bottom w:val="single" w:sz="4" w:space="0" w:color="auto"/>
            </w:tcBorders>
            <w:noWrap/>
            <w:tcMar>
              <w:top w:w="15" w:type="dxa"/>
              <w:left w:w="15" w:type="dxa"/>
              <w:bottom w:w="0" w:type="dxa"/>
              <w:right w:w="15" w:type="dxa"/>
            </w:tcMar>
            <w:vAlign w:val="center"/>
          </w:tcPr>
          <w:p w:rsidR="00FF5344" w:rsidRPr="00EF0531" w:rsidRDefault="00FF5344" w:rsidP="00FF5344">
            <w:pPr>
              <w:jc w:val="center"/>
              <w:rPr>
                <w:rFonts w:ascii="Arial" w:hAnsi="Arial" w:cs="Arial"/>
                <w:i/>
                <w:iCs/>
                <w:sz w:val="16"/>
                <w:szCs w:val="16"/>
              </w:rPr>
            </w:pPr>
            <w:r w:rsidRPr="00EF0531">
              <w:rPr>
                <w:rFonts w:ascii="Arial" w:hAnsi="Arial" w:cs="Arial"/>
                <w:sz w:val="16"/>
                <w:szCs w:val="16"/>
              </w:rPr>
              <w:t>N/A</w:t>
            </w:r>
          </w:p>
        </w:tc>
        <w:tc>
          <w:tcPr>
            <w:tcW w:w="567" w:type="dxa"/>
            <w:tcBorders>
              <w:bottom w:val="single" w:sz="4" w:space="0" w:color="auto"/>
            </w:tcBorders>
            <w:noWrap/>
            <w:tcMar>
              <w:top w:w="15" w:type="dxa"/>
              <w:left w:w="15" w:type="dxa"/>
              <w:bottom w:w="0" w:type="dxa"/>
              <w:right w:w="15" w:type="dxa"/>
            </w:tcMar>
            <w:vAlign w:val="center"/>
          </w:tcPr>
          <w:p w:rsidR="00FF5344" w:rsidRPr="00EF0531" w:rsidRDefault="00FF5344" w:rsidP="00FF5344">
            <w:pPr>
              <w:jc w:val="center"/>
              <w:rPr>
                <w:rFonts w:ascii="Arial" w:hAnsi="Arial" w:cs="Arial"/>
                <w:i/>
                <w:iCs/>
                <w:sz w:val="16"/>
                <w:szCs w:val="16"/>
              </w:rPr>
            </w:pPr>
            <w:r w:rsidRPr="00EF0531">
              <w:rPr>
                <w:rFonts w:ascii="Arial" w:hAnsi="Arial" w:cs="Arial"/>
                <w:sz w:val="16"/>
                <w:szCs w:val="16"/>
              </w:rPr>
              <w:t>N/A</w:t>
            </w:r>
          </w:p>
        </w:tc>
        <w:tc>
          <w:tcPr>
            <w:tcW w:w="567" w:type="dxa"/>
            <w:tcBorders>
              <w:bottom w:val="single" w:sz="4" w:space="0" w:color="auto"/>
            </w:tcBorders>
            <w:noWrap/>
            <w:tcMar>
              <w:top w:w="15" w:type="dxa"/>
              <w:left w:w="15" w:type="dxa"/>
              <w:bottom w:w="0" w:type="dxa"/>
              <w:right w:w="15" w:type="dxa"/>
            </w:tcMar>
            <w:vAlign w:val="center"/>
          </w:tcPr>
          <w:p w:rsidR="00FF5344" w:rsidRPr="00EF0531" w:rsidRDefault="00FF5344" w:rsidP="00FF5344">
            <w:pPr>
              <w:jc w:val="center"/>
              <w:rPr>
                <w:rFonts w:ascii="Arial" w:hAnsi="Arial" w:cs="Arial"/>
                <w:i/>
                <w:iCs/>
                <w:sz w:val="16"/>
                <w:szCs w:val="16"/>
              </w:rPr>
            </w:pPr>
            <w:r w:rsidRPr="00EF0531">
              <w:rPr>
                <w:rFonts w:ascii="Arial" w:hAnsi="Arial" w:cs="Arial"/>
                <w:sz w:val="16"/>
                <w:szCs w:val="16"/>
              </w:rPr>
              <w:t>N/A</w:t>
            </w:r>
          </w:p>
        </w:tc>
        <w:tc>
          <w:tcPr>
            <w:tcW w:w="567" w:type="dxa"/>
            <w:tcBorders>
              <w:bottom w:val="single" w:sz="4" w:space="0" w:color="auto"/>
            </w:tcBorders>
            <w:noWrap/>
            <w:tcMar>
              <w:top w:w="15" w:type="dxa"/>
              <w:left w:w="15" w:type="dxa"/>
              <w:bottom w:w="0" w:type="dxa"/>
              <w:right w:w="15" w:type="dxa"/>
            </w:tcMar>
            <w:vAlign w:val="center"/>
          </w:tcPr>
          <w:p w:rsidR="00FF5344" w:rsidRPr="00EF0531" w:rsidRDefault="00FF5344" w:rsidP="00FF5344">
            <w:pPr>
              <w:jc w:val="center"/>
              <w:rPr>
                <w:rFonts w:ascii="Arial" w:hAnsi="Arial" w:cs="Arial"/>
                <w:i/>
                <w:iCs/>
                <w:sz w:val="16"/>
                <w:szCs w:val="16"/>
              </w:rPr>
            </w:pPr>
            <w:r w:rsidRPr="00EF0531">
              <w:rPr>
                <w:rFonts w:ascii="Arial" w:hAnsi="Arial" w:cs="Arial"/>
                <w:sz w:val="16"/>
                <w:szCs w:val="16"/>
              </w:rPr>
              <w:t>N/A</w:t>
            </w:r>
          </w:p>
        </w:tc>
        <w:tc>
          <w:tcPr>
            <w:tcW w:w="567" w:type="dxa"/>
            <w:tcBorders>
              <w:bottom w:val="single" w:sz="4" w:space="0" w:color="auto"/>
            </w:tcBorders>
            <w:noWrap/>
            <w:tcMar>
              <w:top w:w="15" w:type="dxa"/>
              <w:left w:w="15" w:type="dxa"/>
              <w:bottom w:w="0" w:type="dxa"/>
              <w:right w:w="15" w:type="dxa"/>
            </w:tcMar>
            <w:vAlign w:val="center"/>
          </w:tcPr>
          <w:p w:rsidR="00FF5344" w:rsidRPr="00EF0531" w:rsidRDefault="00FF5344" w:rsidP="00FF5344">
            <w:pPr>
              <w:jc w:val="center"/>
              <w:rPr>
                <w:rFonts w:ascii="Arial" w:hAnsi="Arial" w:cs="Arial"/>
                <w:i/>
                <w:iCs/>
                <w:sz w:val="16"/>
                <w:szCs w:val="16"/>
              </w:rPr>
            </w:pPr>
            <w:r w:rsidRPr="00EF0531">
              <w:rPr>
                <w:rFonts w:ascii="Arial" w:hAnsi="Arial" w:cs="Arial"/>
                <w:sz w:val="16"/>
                <w:szCs w:val="16"/>
              </w:rPr>
              <w:t>N/A</w:t>
            </w:r>
          </w:p>
        </w:tc>
        <w:tc>
          <w:tcPr>
            <w:tcW w:w="567" w:type="dxa"/>
            <w:tcBorders>
              <w:bottom w:val="single" w:sz="4" w:space="0" w:color="auto"/>
            </w:tcBorders>
            <w:noWrap/>
            <w:tcMar>
              <w:top w:w="15" w:type="dxa"/>
              <w:left w:w="15" w:type="dxa"/>
              <w:bottom w:w="0" w:type="dxa"/>
              <w:right w:w="15" w:type="dxa"/>
            </w:tcMar>
            <w:vAlign w:val="center"/>
          </w:tcPr>
          <w:p w:rsidR="00FF5344" w:rsidRPr="00EF0531" w:rsidRDefault="00FF5344" w:rsidP="00FF5344">
            <w:pPr>
              <w:jc w:val="center"/>
              <w:rPr>
                <w:rFonts w:ascii="Arial" w:hAnsi="Arial" w:cs="Arial"/>
                <w:i/>
                <w:iCs/>
                <w:sz w:val="16"/>
                <w:szCs w:val="16"/>
              </w:rPr>
            </w:pPr>
            <w:r w:rsidRPr="00EF0531">
              <w:rPr>
                <w:rFonts w:ascii="Arial" w:hAnsi="Arial" w:cs="Arial"/>
                <w:sz w:val="16"/>
                <w:szCs w:val="16"/>
              </w:rPr>
              <w:t>N/A</w:t>
            </w:r>
          </w:p>
        </w:tc>
        <w:tc>
          <w:tcPr>
            <w:tcW w:w="709" w:type="dxa"/>
            <w:tcBorders>
              <w:bottom w:val="single" w:sz="4" w:space="0" w:color="auto"/>
            </w:tcBorders>
            <w:noWrap/>
            <w:tcMar>
              <w:top w:w="15" w:type="dxa"/>
              <w:left w:w="15" w:type="dxa"/>
              <w:bottom w:w="0" w:type="dxa"/>
              <w:right w:w="15" w:type="dxa"/>
            </w:tcMar>
            <w:vAlign w:val="center"/>
          </w:tcPr>
          <w:p w:rsidR="00FF5344" w:rsidRPr="00EF0531" w:rsidRDefault="00FF5344" w:rsidP="00FF5344">
            <w:pPr>
              <w:jc w:val="center"/>
              <w:rPr>
                <w:rFonts w:ascii="Arial" w:hAnsi="Arial" w:cs="Arial"/>
                <w:i/>
                <w:iCs/>
                <w:sz w:val="16"/>
                <w:szCs w:val="16"/>
              </w:rPr>
            </w:pPr>
            <w:r w:rsidRPr="00EF0531">
              <w:rPr>
                <w:rFonts w:ascii="Arial" w:hAnsi="Arial" w:cs="Arial"/>
                <w:sz w:val="16"/>
                <w:szCs w:val="16"/>
              </w:rPr>
              <w:t>0</w:t>
            </w:r>
          </w:p>
        </w:tc>
        <w:tc>
          <w:tcPr>
            <w:tcW w:w="709" w:type="dxa"/>
            <w:tcBorders>
              <w:bottom w:val="single" w:sz="4" w:space="0" w:color="auto"/>
            </w:tcBorders>
            <w:noWrap/>
            <w:tcMar>
              <w:top w:w="15" w:type="dxa"/>
              <w:left w:w="15" w:type="dxa"/>
              <w:bottom w:w="0" w:type="dxa"/>
              <w:right w:w="15" w:type="dxa"/>
            </w:tcMar>
            <w:vAlign w:val="center"/>
          </w:tcPr>
          <w:p w:rsidR="00FF5344" w:rsidRPr="00EF0531" w:rsidRDefault="00FF5344" w:rsidP="00FF5344">
            <w:pPr>
              <w:jc w:val="center"/>
              <w:rPr>
                <w:rFonts w:ascii="Arial" w:hAnsi="Arial" w:cs="Arial"/>
                <w:b/>
                <w:bCs/>
                <w:sz w:val="16"/>
                <w:szCs w:val="16"/>
              </w:rPr>
            </w:pPr>
            <w:r w:rsidRPr="00EF0531">
              <w:rPr>
                <w:rFonts w:ascii="Arial" w:hAnsi="Arial" w:cs="Arial"/>
                <w:b/>
                <w:sz w:val="16"/>
                <w:szCs w:val="16"/>
              </w:rPr>
              <w:t>0</w:t>
            </w:r>
          </w:p>
        </w:tc>
        <w:tc>
          <w:tcPr>
            <w:tcW w:w="1134" w:type="dxa"/>
            <w:tcBorders>
              <w:bottom w:val="single" w:sz="4" w:space="0" w:color="auto"/>
            </w:tcBorders>
            <w:noWrap/>
            <w:tcMar>
              <w:top w:w="15" w:type="dxa"/>
              <w:left w:w="15" w:type="dxa"/>
              <w:bottom w:w="0" w:type="dxa"/>
              <w:right w:w="15" w:type="dxa"/>
            </w:tcMar>
            <w:vAlign w:val="center"/>
          </w:tcPr>
          <w:p w:rsidR="00FF5344" w:rsidRPr="00EF0531" w:rsidRDefault="00FF5344" w:rsidP="00FF5344">
            <w:pPr>
              <w:jc w:val="center"/>
              <w:rPr>
                <w:rFonts w:ascii="Arial" w:hAnsi="Arial" w:cs="Arial"/>
                <w:sz w:val="16"/>
                <w:szCs w:val="16"/>
              </w:rPr>
            </w:pPr>
          </w:p>
        </w:tc>
      </w:tr>
      <w:tr w:rsidR="00FF5344" w:rsidRPr="000E0A45" w:rsidTr="00FF5344">
        <w:trPr>
          <w:trHeight w:val="383"/>
        </w:trPr>
        <w:tc>
          <w:tcPr>
            <w:tcW w:w="9703" w:type="dxa"/>
            <w:gridSpan w:val="13"/>
            <w:shd w:val="clear" w:color="auto" w:fill="CCFFFF"/>
            <w:noWrap/>
            <w:tcMar>
              <w:top w:w="15" w:type="dxa"/>
              <w:left w:w="15" w:type="dxa"/>
              <w:bottom w:w="0" w:type="dxa"/>
              <w:right w:w="15" w:type="dxa"/>
            </w:tcMar>
            <w:vAlign w:val="center"/>
          </w:tcPr>
          <w:p w:rsidR="00FF5344" w:rsidRPr="00EF0531" w:rsidRDefault="00FF5344" w:rsidP="00FF5344">
            <w:pPr>
              <w:rPr>
                <w:rFonts w:ascii="Arial" w:hAnsi="Arial" w:cs="Arial"/>
                <w:b/>
                <w:bCs/>
                <w:sz w:val="16"/>
                <w:szCs w:val="16"/>
              </w:rPr>
            </w:pPr>
            <w:r w:rsidRPr="00EF0531">
              <w:rPr>
                <w:rFonts w:ascii="Arial" w:hAnsi="Arial" w:cs="Arial"/>
                <w:b/>
                <w:bCs/>
                <w:sz w:val="16"/>
                <w:szCs w:val="16"/>
              </w:rPr>
              <w:t>Prioritná os 5 - Ochrana a regenerácia prírodného prostredia a krajiny</w:t>
            </w:r>
          </w:p>
        </w:tc>
      </w:tr>
      <w:tr w:rsidR="00FF5344" w:rsidRPr="000E0A45" w:rsidTr="00FF5344">
        <w:trPr>
          <w:trHeight w:val="20"/>
        </w:trPr>
        <w:tc>
          <w:tcPr>
            <w:tcW w:w="1433" w:type="dxa"/>
            <w:vMerge w:val="restart"/>
            <w:shd w:val="clear" w:color="auto" w:fill="FFFF99"/>
            <w:tcMar>
              <w:top w:w="15" w:type="dxa"/>
              <w:left w:w="15" w:type="dxa"/>
              <w:bottom w:w="0" w:type="dxa"/>
              <w:right w:w="15" w:type="dxa"/>
            </w:tcMar>
            <w:vAlign w:val="center"/>
          </w:tcPr>
          <w:p w:rsidR="00FF5344" w:rsidRPr="00EF0531" w:rsidRDefault="00FF5344" w:rsidP="00FF5344">
            <w:pPr>
              <w:rPr>
                <w:rFonts w:ascii="Arial" w:hAnsi="Arial" w:cs="Arial"/>
                <w:sz w:val="16"/>
                <w:szCs w:val="16"/>
              </w:rPr>
            </w:pPr>
            <w:r w:rsidRPr="00EF0531">
              <w:rPr>
                <w:rFonts w:ascii="Arial" w:hAnsi="Arial" w:cs="Arial"/>
                <w:sz w:val="16"/>
                <w:szCs w:val="16"/>
              </w:rPr>
              <w:t>Počet realizovaných dokumentov starostlivosti o územia [počet] výstup</w:t>
            </w:r>
          </w:p>
        </w:tc>
        <w:tc>
          <w:tcPr>
            <w:tcW w:w="1182" w:type="dxa"/>
            <w:shd w:val="clear" w:color="auto" w:fill="CCFFFF"/>
            <w:noWrap/>
            <w:tcMar>
              <w:top w:w="15" w:type="dxa"/>
              <w:left w:w="15" w:type="dxa"/>
              <w:bottom w:w="0" w:type="dxa"/>
              <w:right w:w="15" w:type="dxa"/>
            </w:tcMar>
            <w:vAlign w:val="center"/>
          </w:tcPr>
          <w:p w:rsidR="00FF5344" w:rsidRPr="00EF0531" w:rsidRDefault="00FF5344" w:rsidP="00FF5344">
            <w:pPr>
              <w:rPr>
                <w:rFonts w:ascii="Arial" w:hAnsi="Arial" w:cs="Arial"/>
                <w:b/>
                <w:sz w:val="16"/>
                <w:szCs w:val="16"/>
              </w:rPr>
            </w:pPr>
            <w:r w:rsidRPr="00EF0531">
              <w:rPr>
                <w:rFonts w:ascii="Arial" w:hAnsi="Arial" w:cs="Arial"/>
                <w:b/>
                <w:sz w:val="16"/>
                <w:szCs w:val="16"/>
              </w:rPr>
              <w:t>Dosiahnutý výsledok</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bCs/>
                <w:sz w:val="16"/>
                <w:szCs w:val="16"/>
              </w:rPr>
            </w:pPr>
            <w:r w:rsidRPr="00EF0531">
              <w:rPr>
                <w:rFonts w:ascii="Arial" w:hAnsi="Arial" w:cs="Arial"/>
                <w:bCs/>
                <w:sz w:val="16"/>
                <w:szCs w:val="16"/>
              </w:rPr>
              <w:t>0</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bCs/>
                <w:sz w:val="16"/>
                <w:szCs w:val="16"/>
              </w:rPr>
            </w:pPr>
            <w:r w:rsidRPr="00EF0531">
              <w:rPr>
                <w:rFonts w:ascii="Arial" w:hAnsi="Arial" w:cs="Arial"/>
                <w:bCs/>
                <w:sz w:val="16"/>
                <w:szCs w:val="16"/>
              </w:rPr>
              <w:t>0</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bCs/>
                <w:sz w:val="16"/>
                <w:szCs w:val="16"/>
              </w:rPr>
            </w:pPr>
            <w:r w:rsidRPr="00EF0531">
              <w:rPr>
                <w:rFonts w:ascii="Arial" w:hAnsi="Arial" w:cs="Arial"/>
                <w:bCs/>
                <w:sz w:val="16"/>
                <w:szCs w:val="16"/>
              </w:rPr>
              <w:t>0</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bCs/>
                <w:sz w:val="16"/>
                <w:szCs w:val="16"/>
              </w:rPr>
            </w:pPr>
            <w:r w:rsidRPr="00EF0531">
              <w:rPr>
                <w:rFonts w:ascii="Arial" w:hAnsi="Arial" w:cs="Arial"/>
                <w:bCs/>
                <w:sz w:val="16"/>
                <w:szCs w:val="16"/>
              </w:rPr>
              <w:t>0</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bCs/>
                <w:sz w:val="16"/>
                <w:szCs w:val="16"/>
              </w:rPr>
            </w:pPr>
            <w:r w:rsidRPr="00EF0531">
              <w:rPr>
                <w:rFonts w:ascii="Arial" w:hAnsi="Arial" w:cs="Arial"/>
                <w:bCs/>
                <w:sz w:val="16"/>
                <w:szCs w:val="16"/>
              </w:rPr>
              <w:t>0</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Cs/>
                <w:sz w:val="16"/>
                <w:szCs w:val="16"/>
              </w:rPr>
            </w:pPr>
            <w:r w:rsidRPr="00EF0531">
              <w:rPr>
                <w:rFonts w:ascii="Arial" w:hAnsi="Arial" w:cs="Arial"/>
                <w:bCs/>
                <w:sz w:val="16"/>
                <w:szCs w:val="16"/>
              </w:rPr>
              <w:t>0</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Cs/>
                <w:sz w:val="16"/>
                <w:szCs w:val="16"/>
              </w:rPr>
            </w:pPr>
            <w:r w:rsidRPr="00EF0531">
              <w:rPr>
                <w:rFonts w:ascii="Arial" w:hAnsi="Arial" w:cs="Arial"/>
                <w:iCs/>
                <w:sz w:val="16"/>
                <w:szCs w:val="16"/>
              </w:rPr>
              <w:t>N/A</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Cs/>
                <w:sz w:val="16"/>
                <w:szCs w:val="16"/>
              </w:rPr>
            </w:pPr>
            <w:r w:rsidRPr="00EF0531">
              <w:rPr>
                <w:rFonts w:ascii="Arial" w:hAnsi="Arial" w:cs="Arial"/>
                <w:iCs/>
                <w:sz w:val="16"/>
                <w:szCs w:val="16"/>
              </w:rPr>
              <w:t>N/A</w:t>
            </w:r>
          </w:p>
        </w:tc>
        <w:tc>
          <w:tcPr>
            <w:tcW w:w="709" w:type="dxa"/>
            <w:noWrap/>
            <w:tcMar>
              <w:top w:w="15" w:type="dxa"/>
              <w:left w:w="15" w:type="dxa"/>
              <w:bottom w:w="0" w:type="dxa"/>
              <w:right w:w="15" w:type="dxa"/>
            </w:tcMar>
            <w:vAlign w:val="center"/>
          </w:tcPr>
          <w:p w:rsidR="00FF5344" w:rsidRPr="00EF0531" w:rsidRDefault="00FF5344" w:rsidP="00FF5344">
            <w:pPr>
              <w:jc w:val="center"/>
              <w:rPr>
                <w:rFonts w:ascii="Arial" w:hAnsi="Arial" w:cs="Arial"/>
                <w:iCs/>
                <w:sz w:val="16"/>
                <w:szCs w:val="16"/>
              </w:rPr>
            </w:pPr>
            <w:r w:rsidRPr="00EF0531">
              <w:rPr>
                <w:rFonts w:ascii="Arial" w:hAnsi="Arial" w:cs="Arial"/>
                <w:iCs/>
                <w:sz w:val="16"/>
                <w:szCs w:val="16"/>
              </w:rPr>
              <w:t>N/A</w:t>
            </w:r>
          </w:p>
        </w:tc>
        <w:tc>
          <w:tcPr>
            <w:tcW w:w="709" w:type="dxa"/>
            <w:noWrap/>
            <w:tcMar>
              <w:top w:w="15" w:type="dxa"/>
              <w:left w:w="15" w:type="dxa"/>
              <w:bottom w:w="0" w:type="dxa"/>
              <w:right w:w="15" w:type="dxa"/>
            </w:tcMar>
            <w:vAlign w:val="center"/>
          </w:tcPr>
          <w:p w:rsidR="00FF5344" w:rsidRPr="00EF0531" w:rsidRDefault="00FF5344" w:rsidP="00FF5344">
            <w:pPr>
              <w:jc w:val="center"/>
              <w:rPr>
                <w:rFonts w:ascii="Arial" w:hAnsi="Arial" w:cs="Arial"/>
                <w:b/>
                <w:bCs/>
                <w:sz w:val="16"/>
                <w:szCs w:val="16"/>
              </w:rPr>
            </w:pPr>
            <w:r w:rsidRPr="00EF0531">
              <w:rPr>
                <w:rFonts w:ascii="Arial" w:hAnsi="Arial" w:cs="Arial"/>
                <w:b/>
                <w:bCs/>
                <w:sz w:val="16"/>
                <w:szCs w:val="16"/>
              </w:rPr>
              <w:t>0</w:t>
            </w:r>
          </w:p>
        </w:tc>
        <w:tc>
          <w:tcPr>
            <w:tcW w:w="1134" w:type="dxa"/>
            <w:noWrap/>
            <w:tcMar>
              <w:top w:w="15" w:type="dxa"/>
              <w:left w:w="15" w:type="dxa"/>
              <w:bottom w:w="0" w:type="dxa"/>
              <w:right w:w="15" w:type="dxa"/>
            </w:tcMar>
            <w:vAlign w:val="center"/>
          </w:tcPr>
          <w:p w:rsidR="00FF5344" w:rsidRPr="00EF0531" w:rsidRDefault="00FF5344" w:rsidP="00FF5344">
            <w:pPr>
              <w:jc w:val="center"/>
              <w:rPr>
                <w:rFonts w:ascii="Arial" w:hAnsi="Arial" w:cs="Arial"/>
                <w:sz w:val="16"/>
                <w:szCs w:val="16"/>
              </w:rPr>
            </w:pPr>
            <w:r w:rsidRPr="00EF0531">
              <w:rPr>
                <w:rFonts w:ascii="Arial" w:hAnsi="Arial" w:cs="Arial"/>
                <w:sz w:val="16"/>
                <w:szCs w:val="16"/>
              </w:rPr>
              <w:t>0</w:t>
            </w:r>
          </w:p>
        </w:tc>
      </w:tr>
      <w:tr w:rsidR="00FF5344" w:rsidRPr="000E0A45" w:rsidTr="00FF5344">
        <w:trPr>
          <w:trHeight w:val="243"/>
        </w:trPr>
        <w:tc>
          <w:tcPr>
            <w:tcW w:w="1433" w:type="dxa"/>
            <w:vMerge/>
            <w:shd w:val="clear" w:color="auto" w:fill="FFFF99"/>
            <w:vAlign w:val="center"/>
          </w:tcPr>
          <w:p w:rsidR="00FF5344" w:rsidRPr="00EF0531" w:rsidRDefault="00FF5344" w:rsidP="00FF5344">
            <w:pPr>
              <w:rPr>
                <w:rFonts w:ascii="Arial" w:hAnsi="Arial" w:cs="Arial"/>
                <w:sz w:val="16"/>
                <w:szCs w:val="16"/>
              </w:rPr>
            </w:pPr>
          </w:p>
        </w:tc>
        <w:tc>
          <w:tcPr>
            <w:tcW w:w="1182" w:type="dxa"/>
            <w:shd w:val="clear" w:color="auto" w:fill="CCFFFF"/>
            <w:noWrap/>
            <w:tcMar>
              <w:top w:w="15" w:type="dxa"/>
              <w:left w:w="15" w:type="dxa"/>
              <w:bottom w:w="0" w:type="dxa"/>
              <w:right w:w="15" w:type="dxa"/>
            </w:tcMar>
            <w:vAlign w:val="center"/>
          </w:tcPr>
          <w:p w:rsidR="00FF5344" w:rsidRPr="00EF0531" w:rsidRDefault="00FF5344" w:rsidP="00FF5344">
            <w:pPr>
              <w:rPr>
                <w:rFonts w:ascii="Arial" w:hAnsi="Arial" w:cs="Arial"/>
                <w:b/>
                <w:sz w:val="16"/>
                <w:szCs w:val="16"/>
              </w:rPr>
            </w:pPr>
            <w:r w:rsidRPr="00EF0531">
              <w:rPr>
                <w:rFonts w:ascii="Arial" w:hAnsi="Arial" w:cs="Arial"/>
                <w:b/>
                <w:sz w:val="16"/>
                <w:szCs w:val="16"/>
              </w:rPr>
              <w:t>Cieľ</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Cs/>
                <w:sz w:val="16"/>
                <w:szCs w:val="16"/>
              </w:rPr>
            </w:pPr>
            <w:r w:rsidRPr="00EF0531">
              <w:rPr>
                <w:rFonts w:ascii="Arial" w:hAnsi="Arial" w:cs="Arial"/>
                <w:iCs/>
                <w:sz w:val="16"/>
                <w:szCs w:val="16"/>
              </w:rPr>
              <w:t>N/A</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Cs/>
                <w:sz w:val="16"/>
                <w:szCs w:val="16"/>
              </w:rPr>
            </w:pPr>
            <w:r w:rsidRPr="00EF0531">
              <w:rPr>
                <w:rFonts w:ascii="Arial" w:hAnsi="Arial" w:cs="Arial"/>
                <w:iCs/>
                <w:sz w:val="16"/>
                <w:szCs w:val="16"/>
              </w:rPr>
              <w:t>N/A</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Cs/>
                <w:sz w:val="16"/>
                <w:szCs w:val="16"/>
              </w:rPr>
            </w:pPr>
            <w:r w:rsidRPr="00EF0531">
              <w:rPr>
                <w:rFonts w:ascii="Arial" w:hAnsi="Arial" w:cs="Arial"/>
                <w:iCs/>
                <w:sz w:val="16"/>
                <w:szCs w:val="16"/>
              </w:rPr>
              <w:t>N/A</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Cs/>
                <w:sz w:val="16"/>
                <w:szCs w:val="16"/>
              </w:rPr>
            </w:pPr>
            <w:r w:rsidRPr="00EF0531">
              <w:rPr>
                <w:rFonts w:ascii="Arial" w:hAnsi="Arial" w:cs="Arial"/>
                <w:iCs/>
                <w:sz w:val="16"/>
                <w:szCs w:val="16"/>
              </w:rPr>
              <w:t>N/A</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Cs/>
                <w:sz w:val="16"/>
                <w:szCs w:val="16"/>
              </w:rPr>
            </w:pPr>
            <w:r w:rsidRPr="00EF0531">
              <w:rPr>
                <w:rFonts w:ascii="Arial" w:hAnsi="Arial" w:cs="Arial"/>
                <w:iCs/>
                <w:sz w:val="16"/>
                <w:szCs w:val="16"/>
              </w:rPr>
              <w:t>N/A</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Cs/>
                <w:sz w:val="16"/>
                <w:szCs w:val="16"/>
              </w:rPr>
            </w:pPr>
            <w:r w:rsidRPr="00EF0531">
              <w:rPr>
                <w:rFonts w:ascii="Arial" w:hAnsi="Arial" w:cs="Arial"/>
                <w:iCs/>
                <w:sz w:val="16"/>
                <w:szCs w:val="16"/>
              </w:rPr>
              <w:t>N/A</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Cs/>
                <w:sz w:val="16"/>
                <w:szCs w:val="16"/>
              </w:rPr>
            </w:pPr>
            <w:r w:rsidRPr="00EF0531">
              <w:rPr>
                <w:rFonts w:ascii="Arial" w:hAnsi="Arial" w:cs="Arial"/>
                <w:iCs/>
                <w:sz w:val="16"/>
                <w:szCs w:val="16"/>
              </w:rPr>
              <w:t>N/A</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Cs/>
                <w:sz w:val="16"/>
                <w:szCs w:val="16"/>
              </w:rPr>
            </w:pPr>
            <w:r w:rsidRPr="00EF0531">
              <w:rPr>
                <w:rFonts w:ascii="Arial" w:hAnsi="Arial" w:cs="Arial"/>
                <w:iCs/>
                <w:sz w:val="16"/>
                <w:szCs w:val="16"/>
              </w:rPr>
              <w:t>N/A</w:t>
            </w:r>
          </w:p>
        </w:tc>
        <w:tc>
          <w:tcPr>
            <w:tcW w:w="709" w:type="dxa"/>
            <w:noWrap/>
            <w:tcMar>
              <w:top w:w="15" w:type="dxa"/>
              <w:left w:w="15" w:type="dxa"/>
              <w:bottom w:w="0" w:type="dxa"/>
              <w:right w:w="15" w:type="dxa"/>
            </w:tcMar>
            <w:vAlign w:val="center"/>
          </w:tcPr>
          <w:p w:rsidR="00FF5344" w:rsidRPr="00EF0531" w:rsidRDefault="00FF5344" w:rsidP="00FF5344">
            <w:pPr>
              <w:jc w:val="center"/>
              <w:rPr>
                <w:rFonts w:ascii="Arial" w:hAnsi="Arial" w:cs="Arial"/>
                <w:bCs/>
                <w:sz w:val="16"/>
                <w:szCs w:val="16"/>
              </w:rPr>
            </w:pPr>
            <w:r w:rsidRPr="00EF0531">
              <w:rPr>
                <w:rFonts w:ascii="Arial" w:hAnsi="Arial" w:cs="Arial"/>
                <w:bCs/>
                <w:sz w:val="16"/>
                <w:szCs w:val="16"/>
              </w:rPr>
              <w:t>225</w:t>
            </w:r>
          </w:p>
        </w:tc>
        <w:tc>
          <w:tcPr>
            <w:tcW w:w="709" w:type="dxa"/>
            <w:noWrap/>
            <w:tcMar>
              <w:top w:w="15" w:type="dxa"/>
              <w:left w:w="15" w:type="dxa"/>
              <w:bottom w:w="0" w:type="dxa"/>
              <w:right w:w="15" w:type="dxa"/>
            </w:tcMar>
            <w:vAlign w:val="center"/>
          </w:tcPr>
          <w:p w:rsidR="00FF5344" w:rsidRPr="00EF0531" w:rsidRDefault="00FF5344" w:rsidP="00FF5344">
            <w:pPr>
              <w:jc w:val="center"/>
              <w:rPr>
                <w:rFonts w:ascii="Arial" w:hAnsi="Arial" w:cs="Arial"/>
                <w:b/>
                <w:bCs/>
                <w:sz w:val="16"/>
                <w:szCs w:val="16"/>
              </w:rPr>
            </w:pPr>
            <w:r w:rsidRPr="00EF0531">
              <w:rPr>
                <w:rFonts w:ascii="Arial" w:hAnsi="Arial" w:cs="Arial"/>
                <w:b/>
                <w:bCs/>
                <w:sz w:val="16"/>
                <w:szCs w:val="16"/>
              </w:rPr>
              <w:t>225</w:t>
            </w:r>
          </w:p>
        </w:tc>
        <w:tc>
          <w:tcPr>
            <w:tcW w:w="1134" w:type="dxa"/>
            <w:noWrap/>
            <w:tcMar>
              <w:top w:w="15" w:type="dxa"/>
              <w:left w:w="15" w:type="dxa"/>
              <w:bottom w:w="0" w:type="dxa"/>
              <w:right w:w="15" w:type="dxa"/>
            </w:tcMar>
            <w:vAlign w:val="center"/>
          </w:tcPr>
          <w:p w:rsidR="00FF5344" w:rsidRPr="00EF0531" w:rsidRDefault="00FF5344" w:rsidP="00FF5344">
            <w:pPr>
              <w:jc w:val="center"/>
              <w:rPr>
                <w:rFonts w:ascii="Arial" w:hAnsi="Arial" w:cs="Arial"/>
                <w:sz w:val="16"/>
                <w:szCs w:val="16"/>
              </w:rPr>
            </w:pPr>
          </w:p>
        </w:tc>
      </w:tr>
      <w:tr w:rsidR="00FF5344" w:rsidRPr="000E0A45" w:rsidTr="00FF5344">
        <w:trPr>
          <w:trHeight w:val="20"/>
        </w:trPr>
        <w:tc>
          <w:tcPr>
            <w:tcW w:w="1433" w:type="dxa"/>
            <w:vMerge/>
            <w:shd w:val="clear" w:color="auto" w:fill="FFFF99"/>
            <w:vAlign w:val="center"/>
          </w:tcPr>
          <w:p w:rsidR="00FF5344" w:rsidRPr="00EF0531" w:rsidRDefault="00FF5344" w:rsidP="00FF5344">
            <w:pPr>
              <w:rPr>
                <w:rFonts w:ascii="Arial" w:hAnsi="Arial" w:cs="Arial"/>
                <w:sz w:val="16"/>
                <w:szCs w:val="16"/>
              </w:rPr>
            </w:pPr>
          </w:p>
        </w:tc>
        <w:tc>
          <w:tcPr>
            <w:tcW w:w="1182" w:type="dxa"/>
            <w:shd w:val="clear" w:color="auto" w:fill="CCFFFF"/>
            <w:noWrap/>
            <w:tcMar>
              <w:top w:w="15" w:type="dxa"/>
              <w:left w:w="15" w:type="dxa"/>
              <w:bottom w:w="0" w:type="dxa"/>
              <w:right w:w="15" w:type="dxa"/>
            </w:tcMar>
            <w:vAlign w:val="center"/>
          </w:tcPr>
          <w:p w:rsidR="00FF5344" w:rsidRPr="00EF0531" w:rsidRDefault="00FF5344" w:rsidP="00FF5344">
            <w:pPr>
              <w:rPr>
                <w:rFonts w:ascii="Arial" w:hAnsi="Arial" w:cs="Arial"/>
                <w:b/>
                <w:sz w:val="16"/>
                <w:szCs w:val="16"/>
              </w:rPr>
            </w:pPr>
            <w:r w:rsidRPr="00EF0531">
              <w:rPr>
                <w:rFonts w:ascii="Arial" w:hAnsi="Arial" w:cs="Arial"/>
                <w:b/>
                <w:sz w:val="16"/>
                <w:szCs w:val="16"/>
              </w:rPr>
              <w:t>Východisko</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bCs/>
                <w:sz w:val="16"/>
                <w:szCs w:val="16"/>
              </w:rPr>
            </w:pPr>
            <w:r w:rsidRPr="00EF0531">
              <w:rPr>
                <w:rFonts w:ascii="Arial" w:hAnsi="Arial" w:cs="Arial"/>
                <w:bCs/>
                <w:sz w:val="16"/>
                <w:szCs w:val="16"/>
              </w:rPr>
              <w:t>7</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Cs/>
                <w:sz w:val="16"/>
                <w:szCs w:val="16"/>
              </w:rPr>
            </w:pPr>
            <w:r w:rsidRPr="00EF0531">
              <w:rPr>
                <w:rFonts w:ascii="Arial" w:hAnsi="Arial" w:cs="Arial"/>
                <w:iCs/>
                <w:sz w:val="16"/>
                <w:szCs w:val="16"/>
              </w:rPr>
              <w:t>N/A</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Cs/>
                <w:sz w:val="16"/>
                <w:szCs w:val="16"/>
              </w:rPr>
            </w:pPr>
            <w:r w:rsidRPr="00EF0531">
              <w:rPr>
                <w:rFonts w:ascii="Arial" w:hAnsi="Arial" w:cs="Arial"/>
                <w:iCs/>
                <w:sz w:val="16"/>
                <w:szCs w:val="16"/>
              </w:rPr>
              <w:t>N/A</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Cs/>
                <w:sz w:val="16"/>
                <w:szCs w:val="16"/>
              </w:rPr>
            </w:pPr>
            <w:r w:rsidRPr="00EF0531">
              <w:rPr>
                <w:rFonts w:ascii="Arial" w:hAnsi="Arial" w:cs="Arial"/>
                <w:iCs/>
                <w:sz w:val="16"/>
                <w:szCs w:val="16"/>
              </w:rPr>
              <w:t>N/A</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Cs/>
                <w:sz w:val="16"/>
                <w:szCs w:val="16"/>
              </w:rPr>
            </w:pPr>
            <w:r w:rsidRPr="00EF0531">
              <w:rPr>
                <w:rFonts w:ascii="Arial" w:hAnsi="Arial" w:cs="Arial"/>
                <w:iCs/>
                <w:sz w:val="16"/>
                <w:szCs w:val="16"/>
              </w:rPr>
              <w:t>N/A</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Cs/>
                <w:sz w:val="16"/>
                <w:szCs w:val="16"/>
              </w:rPr>
            </w:pPr>
            <w:r w:rsidRPr="00EF0531">
              <w:rPr>
                <w:rFonts w:ascii="Arial" w:hAnsi="Arial" w:cs="Arial"/>
                <w:iCs/>
                <w:sz w:val="16"/>
                <w:szCs w:val="16"/>
              </w:rPr>
              <w:t>N/A</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Cs/>
                <w:sz w:val="16"/>
                <w:szCs w:val="16"/>
              </w:rPr>
            </w:pPr>
            <w:r w:rsidRPr="00EF0531">
              <w:rPr>
                <w:rFonts w:ascii="Arial" w:hAnsi="Arial" w:cs="Arial"/>
                <w:iCs/>
                <w:sz w:val="16"/>
                <w:szCs w:val="16"/>
              </w:rPr>
              <w:t>N/A</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Cs/>
                <w:sz w:val="16"/>
                <w:szCs w:val="16"/>
              </w:rPr>
            </w:pPr>
            <w:r w:rsidRPr="00EF0531">
              <w:rPr>
                <w:rFonts w:ascii="Arial" w:hAnsi="Arial" w:cs="Arial"/>
                <w:iCs/>
                <w:sz w:val="16"/>
                <w:szCs w:val="16"/>
              </w:rPr>
              <w:t>N/A</w:t>
            </w:r>
          </w:p>
        </w:tc>
        <w:tc>
          <w:tcPr>
            <w:tcW w:w="709" w:type="dxa"/>
            <w:noWrap/>
            <w:tcMar>
              <w:top w:w="15" w:type="dxa"/>
              <w:left w:w="15" w:type="dxa"/>
              <w:bottom w:w="0" w:type="dxa"/>
              <w:right w:w="15" w:type="dxa"/>
            </w:tcMar>
            <w:vAlign w:val="center"/>
          </w:tcPr>
          <w:p w:rsidR="00FF5344" w:rsidRPr="00EF0531" w:rsidRDefault="00FF5344" w:rsidP="00FF5344">
            <w:pPr>
              <w:jc w:val="center"/>
              <w:rPr>
                <w:rFonts w:ascii="Arial" w:hAnsi="Arial" w:cs="Arial"/>
                <w:iCs/>
                <w:sz w:val="16"/>
                <w:szCs w:val="16"/>
              </w:rPr>
            </w:pPr>
            <w:r w:rsidRPr="00EF0531">
              <w:rPr>
                <w:rFonts w:ascii="Arial" w:hAnsi="Arial" w:cs="Arial"/>
                <w:iCs/>
                <w:sz w:val="16"/>
                <w:szCs w:val="16"/>
              </w:rPr>
              <w:t>N/A</w:t>
            </w:r>
          </w:p>
        </w:tc>
        <w:tc>
          <w:tcPr>
            <w:tcW w:w="709" w:type="dxa"/>
            <w:noWrap/>
            <w:tcMar>
              <w:top w:w="15" w:type="dxa"/>
              <w:left w:w="15" w:type="dxa"/>
              <w:bottom w:w="0" w:type="dxa"/>
              <w:right w:w="15" w:type="dxa"/>
            </w:tcMar>
            <w:vAlign w:val="center"/>
          </w:tcPr>
          <w:p w:rsidR="00FF5344" w:rsidRPr="00EF0531" w:rsidRDefault="00FF5344" w:rsidP="00FF5344">
            <w:pPr>
              <w:jc w:val="center"/>
              <w:rPr>
                <w:rFonts w:ascii="Arial" w:hAnsi="Arial" w:cs="Arial"/>
                <w:b/>
                <w:bCs/>
                <w:sz w:val="16"/>
                <w:szCs w:val="16"/>
              </w:rPr>
            </w:pPr>
            <w:r w:rsidRPr="00EF0531">
              <w:rPr>
                <w:rFonts w:ascii="Arial" w:hAnsi="Arial" w:cs="Arial"/>
                <w:b/>
                <w:bCs/>
                <w:sz w:val="16"/>
                <w:szCs w:val="16"/>
              </w:rPr>
              <w:t>7</w:t>
            </w:r>
          </w:p>
        </w:tc>
        <w:tc>
          <w:tcPr>
            <w:tcW w:w="1134" w:type="dxa"/>
            <w:noWrap/>
            <w:tcMar>
              <w:top w:w="15" w:type="dxa"/>
              <w:left w:w="15" w:type="dxa"/>
              <w:bottom w:w="0" w:type="dxa"/>
              <w:right w:w="15" w:type="dxa"/>
            </w:tcMar>
            <w:vAlign w:val="center"/>
          </w:tcPr>
          <w:p w:rsidR="00FF5344" w:rsidRPr="00EF0531" w:rsidRDefault="00FF5344" w:rsidP="00FF5344">
            <w:pPr>
              <w:jc w:val="center"/>
              <w:rPr>
                <w:rFonts w:ascii="Arial" w:hAnsi="Arial" w:cs="Arial"/>
                <w:sz w:val="16"/>
                <w:szCs w:val="16"/>
              </w:rPr>
            </w:pPr>
          </w:p>
        </w:tc>
      </w:tr>
      <w:tr w:rsidR="00FF5344" w:rsidRPr="000E0A45" w:rsidTr="00FF5344">
        <w:trPr>
          <w:trHeight w:val="20"/>
        </w:trPr>
        <w:tc>
          <w:tcPr>
            <w:tcW w:w="9703" w:type="dxa"/>
            <w:gridSpan w:val="13"/>
            <w:shd w:val="clear" w:color="auto" w:fill="auto"/>
            <w:vAlign w:val="center"/>
          </w:tcPr>
          <w:p w:rsidR="00FF5344" w:rsidRPr="00EF0531" w:rsidRDefault="00FF5344" w:rsidP="00FF5344">
            <w:pPr>
              <w:jc w:val="center"/>
              <w:rPr>
                <w:rFonts w:ascii="Arial" w:hAnsi="Arial" w:cs="Arial"/>
                <w:sz w:val="16"/>
                <w:szCs w:val="16"/>
              </w:rPr>
            </w:pPr>
          </w:p>
        </w:tc>
      </w:tr>
      <w:tr w:rsidR="00FF5344" w:rsidRPr="000E0A45" w:rsidTr="00FF5344">
        <w:trPr>
          <w:trHeight w:val="20"/>
        </w:trPr>
        <w:tc>
          <w:tcPr>
            <w:tcW w:w="1433" w:type="dxa"/>
            <w:vMerge w:val="restart"/>
            <w:shd w:val="clear" w:color="auto" w:fill="FFFF99"/>
          </w:tcPr>
          <w:p w:rsidR="00FF5344" w:rsidRPr="00EF0531" w:rsidRDefault="00FF5344" w:rsidP="00FF5344">
            <w:pPr>
              <w:rPr>
                <w:rFonts w:ascii="Arial" w:eastAsia="EUAlbertina-Regular-Identity-H" w:hAnsi="Arial" w:cs="Arial"/>
                <w:b/>
                <w:sz w:val="16"/>
                <w:szCs w:val="16"/>
              </w:rPr>
            </w:pPr>
            <w:r w:rsidRPr="00EF0531">
              <w:rPr>
                <w:rFonts w:ascii="Arial" w:eastAsia="EUAlbertina-Regular-Identity-H" w:hAnsi="Arial" w:cs="Arial"/>
                <w:sz w:val="16"/>
                <w:szCs w:val="16"/>
              </w:rPr>
              <w:t>Počet novovytvorených pracovných miest (počet) dopad</w:t>
            </w:r>
          </w:p>
        </w:tc>
        <w:tc>
          <w:tcPr>
            <w:tcW w:w="1182" w:type="dxa"/>
            <w:shd w:val="clear" w:color="auto" w:fill="CCFFFF"/>
            <w:noWrap/>
            <w:tcMar>
              <w:top w:w="15" w:type="dxa"/>
              <w:left w:w="15" w:type="dxa"/>
              <w:bottom w:w="0" w:type="dxa"/>
              <w:right w:w="15" w:type="dxa"/>
            </w:tcMar>
            <w:vAlign w:val="center"/>
          </w:tcPr>
          <w:p w:rsidR="00FF5344" w:rsidRPr="00EF0531" w:rsidRDefault="00FF5344" w:rsidP="00FF5344">
            <w:pPr>
              <w:rPr>
                <w:rFonts w:ascii="Arial" w:eastAsia="EUAlbertina-Regular-Identity-H" w:hAnsi="Arial" w:cs="Arial"/>
                <w:b/>
                <w:sz w:val="16"/>
                <w:szCs w:val="16"/>
              </w:rPr>
            </w:pPr>
            <w:r w:rsidRPr="00EF0531">
              <w:rPr>
                <w:rFonts w:ascii="Arial" w:eastAsia="EUAlbertina-Regular-Identity-H" w:hAnsi="Arial" w:cs="Arial"/>
                <w:b/>
                <w:sz w:val="16"/>
                <w:szCs w:val="16"/>
              </w:rPr>
              <w:t>Dosiahnutý výsledok</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sz w:val="16"/>
                <w:szCs w:val="16"/>
              </w:rPr>
            </w:pPr>
            <w:r w:rsidRPr="00EF0531">
              <w:rPr>
                <w:rFonts w:ascii="Arial" w:hAnsi="Arial" w:cs="Arial"/>
                <w:sz w:val="16"/>
                <w:szCs w:val="16"/>
              </w:rPr>
              <w:t>0</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sz w:val="16"/>
                <w:szCs w:val="16"/>
              </w:rPr>
            </w:pPr>
            <w:r w:rsidRPr="00EF0531">
              <w:rPr>
                <w:rFonts w:ascii="Arial" w:hAnsi="Arial" w:cs="Arial"/>
                <w:sz w:val="16"/>
                <w:szCs w:val="16"/>
              </w:rPr>
              <w:t>0</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sz w:val="16"/>
                <w:szCs w:val="16"/>
              </w:rPr>
            </w:pPr>
            <w:r w:rsidRPr="00EF0531">
              <w:rPr>
                <w:rFonts w:ascii="Arial" w:hAnsi="Arial" w:cs="Arial"/>
                <w:sz w:val="16"/>
                <w:szCs w:val="16"/>
              </w:rPr>
              <w:t>0</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sz w:val="16"/>
                <w:szCs w:val="16"/>
              </w:rPr>
            </w:pPr>
            <w:r w:rsidRPr="00EF0531">
              <w:rPr>
                <w:rFonts w:ascii="Arial" w:hAnsi="Arial" w:cs="Arial"/>
                <w:sz w:val="16"/>
                <w:szCs w:val="16"/>
              </w:rPr>
              <w:t>0</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sz w:val="16"/>
                <w:szCs w:val="16"/>
              </w:rPr>
            </w:pPr>
            <w:r w:rsidRPr="00EF0531">
              <w:rPr>
                <w:rFonts w:ascii="Arial" w:hAnsi="Arial" w:cs="Arial"/>
                <w:sz w:val="16"/>
                <w:szCs w:val="16"/>
              </w:rPr>
              <w:t>0</w:t>
            </w:r>
          </w:p>
        </w:tc>
        <w:tc>
          <w:tcPr>
            <w:tcW w:w="567" w:type="dxa"/>
            <w:noWrap/>
            <w:tcMar>
              <w:top w:w="15" w:type="dxa"/>
              <w:left w:w="15" w:type="dxa"/>
              <w:bottom w:w="0" w:type="dxa"/>
              <w:right w:w="15" w:type="dxa"/>
            </w:tcMar>
            <w:vAlign w:val="center"/>
          </w:tcPr>
          <w:p w:rsidR="00FF5344" w:rsidRPr="00EF0531" w:rsidRDefault="00961A0E" w:rsidP="00FF5344">
            <w:pPr>
              <w:jc w:val="center"/>
              <w:rPr>
                <w:rFonts w:ascii="Arial" w:hAnsi="Arial" w:cs="Arial"/>
                <w:sz w:val="16"/>
                <w:szCs w:val="16"/>
              </w:rPr>
            </w:pPr>
            <w:r>
              <w:rPr>
                <w:rFonts w:ascii="Arial" w:hAnsi="Arial" w:cs="Arial"/>
                <w:sz w:val="16"/>
                <w:szCs w:val="16"/>
              </w:rPr>
              <w:t>0</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rPr>
            </w:pPr>
            <w:r w:rsidRPr="00EF0531">
              <w:rPr>
                <w:rFonts w:ascii="Arial" w:hAnsi="Arial" w:cs="Arial"/>
                <w:sz w:val="16"/>
                <w:szCs w:val="16"/>
              </w:rPr>
              <w:t>N/A</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rPr>
            </w:pPr>
            <w:r w:rsidRPr="00EF0531">
              <w:rPr>
                <w:rFonts w:ascii="Arial" w:hAnsi="Arial" w:cs="Arial"/>
                <w:sz w:val="16"/>
                <w:szCs w:val="16"/>
              </w:rPr>
              <w:t>N/A</w:t>
            </w:r>
          </w:p>
        </w:tc>
        <w:tc>
          <w:tcPr>
            <w:tcW w:w="709" w:type="dxa"/>
            <w:noWrap/>
            <w:tcMar>
              <w:top w:w="15" w:type="dxa"/>
              <w:left w:w="15" w:type="dxa"/>
              <w:bottom w:w="0" w:type="dxa"/>
              <w:right w:w="15" w:type="dxa"/>
            </w:tcMar>
            <w:vAlign w:val="center"/>
          </w:tcPr>
          <w:p w:rsidR="00FF5344" w:rsidRPr="00EF0531" w:rsidRDefault="00FF5344" w:rsidP="00FF5344">
            <w:pPr>
              <w:jc w:val="center"/>
              <w:rPr>
                <w:rFonts w:ascii="Arial" w:hAnsi="Arial" w:cs="Arial"/>
              </w:rPr>
            </w:pPr>
            <w:r w:rsidRPr="00EF0531">
              <w:rPr>
                <w:rFonts w:ascii="Arial" w:hAnsi="Arial" w:cs="Arial"/>
                <w:sz w:val="16"/>
                <w:szCs w:val="16"/>
              </w:rPr>
              <w:t>N/A</w:t>
            </w:r>
          </w:p>
        </w:tc>
        <w:tc>
          <w:tcPr>
            <w:tcW w:w="709" w:type="dxa"/>
            <w:noWrap/>
            <w:tcMar>
              <w:top w:w="15" w:type="dxa"/>
              <w:left w:w="15" w:type="dxa"/>
              <w:bottom w:w="0" w:type="dxa"/>
              <w:right w:w="15" w:type="dxa"/>
            </w:tcMar>
            <w:vAlign w:val="center"/>
          </w:tcPr>
          <w:p w:rsidR="00FF5344" w:rsidRPr="00EF0531" w:rsidRDefault="002A361C" w:rsidP="00FF5344">
            <w:pPr>
              <w:jc w:val="center"/>
              <w:rPr>
                <w:rFonts w:ascii="Arial" w:hAnsi="Arial" w:cs="Arial"/>
                <w:b/>
                <w:sz w:val="16"/>
                <w:szCs w:val="16"/>
              </w:rPr>
            </w:pPr>
            <w:r w:rsidRPr="00EF0531">
              <w:rPr>
                <w:rFonts w:ascii="Arial" w:hAnsi="Arial" w:cs="Arial"/>
                <w:b/>
                <w:sz w:val="16"/>
                <w:szCs w:val="16"/>
              </w:rPr>
              <w:t>0</w:t>
            </w:r>
          </w:p>
        </w:tc>
        <w:tc>
          <w:tcPr>
            <w:tcW w:w="1134" w:type="dxa"/>
            <w:noWrap/>
            <w:tcMar>
              <w:top w:w="15" w:type="dxa"/>
              <w:left w:w="15" w:type="dxa"/>
              <w:bottom w:w="0" w:type="dxa"/>
              <w:right w:w="15" w:type="dxa"/>
            </w:tcMar>
            <w:vAlign w:val="center"/>
          </w:tcPr>
          <w:p w:rsidR="00FF5344" w:rsidRPr="00EF0531" w:rsidRDefault="00961A0E" w:rsidP="00FF5344">
            <w:pPr>
              <w:rPr>
                <w:rFonts w:ascii="Arial" w:hAnsi="Arial" w:cs="Arial"/>
                <w:sz w:val="16"/>
                <w:szCs w:val="16"/>
              </w:rPr>
            </w:pPr>
            <w:r>
              <w:rPr>
                <w:rFonts w:ascii="Arial" w:hAnsi="Arial" w:cs="Arial"/>
                <w:sz w:val="16"/>
                <w:szCs w:val="16"/>
              </w:rPr>
              <w:t xml:space="preserve">0 </w:t>
            </w:r>
            <w:r w:rsidRPr="00254254">
              <w:rPr>
                <w:rFonts w:ascii="Arial" w:hAnsi="Arial" w:cs="Arial"/>
                <w:sz w:val="16"/>
                <w:szCs w:val="16"/>
              </w:rPr>
              <w:t>Po ukončení realizácie všetkých projektov</w:t>
            </w:r>
          </w:p>
        </w:tc>
      </w:tr>
      <w:tr w:rsidR="00FF5344" w:rsidRPr="000E0A45" w:rsidTr="00FF5344">
        <w:trPr>
          <w:trHeight w:val="20"/>
        </w:trPr>
        <w:tc>
          <w:tcPr>
            <w:tcW w:w="1433" w:type="dxa"/>
            <w:vMerge/>
            <w:shd w:val="clear" w:color="auto" w:fill="FFFF99"/>
          </w:tcPr>
          <w:p w:rsidR="00FF5344" w:rsidRPr="00EF0531" w:rsidRDefault="00FF5344" w:rsidP="00FF5344">
            <w:pPr>
              <w:rPr>
                <w:rFonts w:ascii="Arial" w:hAnsi="Arial" w:cs="Arial"/>
                <w:sz w:val="16"/>
                <w:szCs w:val="16"/>
              </w:rPr>
            </w:pPr>
          </w:p>
        </w:tc>
        <w:tc>
          <w:tcPr>
            <w:tcW w:w="1182" w:type="dxa"/>
            <w:shd w:val="clear" w:color="auto" w:fill="CCFFFF"/>
            <w:noWrap/>
            <w:tcMar>
              <w:top w:w="15" w:type="dxa"/>
              <w:left w:w="15" w:type="dxa"/>
              <w:bottom w:w="0" w:type="dxa"/>
              <w:right w:w="15" w:type="dxa"/>
            </w:tcMar>
            <w:vAlign w:val="center"/>
          </w:tcPr>
          <w:p w:rsidR="00FF5344" w:rsidRPr="00EF0531" w:rsidRDefault="00FF5344" w:rsidP="00FF5344">
            <w:pPr>
              <w:rPr>
                <w:rFonts w:ascii="Arial" w:hAnsi="Arial" w:cs="Arial"/>
                <w:sz w:val="16"/>
                <w:szCs w:val="16"/>
              </w:rPr>
            </w:pPr>
            <w:r w:rsidRPr="00EF0531">
              <w:rPr>
                <w:rFonts w:ascii="Arial" w:eastAsia="EUAlbertina-Regular-Identity-H" w:hAnsi="Arial" w:cs="Arial"/>
                <w:b/>
                <w:sz w:val="16"/>
                <w:szCs w:val="16"/>
              </w:rPr>
              <w:t>Cieľ</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b/>
                <w:bCs/>
                <w:sz w:val="16"/>
                <w:szCs w:val="16"/>
              </w:rPr>
            </w:pPr>
            <w:r w:rsidRPr="00EF0531">
              <w:rPr>
                <w:rFonts w:ascii="Arial" w:hAnsi="Arial" w:cs="Arial"/>
                <w:sz w:val="16"/>
                <w:szCs w:val="16"/>
              </w:rPr>
              <w:t>N/A</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
                <w:iCs/>
                <w:sz w:val="16"/>
                <w:szCs w:val="16"/>
              </w:rPr>
            </w:pPr>
            <w:r w:rsidRPr="00EF0531">
              <w:rPr>
                <w:rFonts w:ascii="Arial" w:hAnsi="Arial" w:cs="Arial"/>
                <w:sz w:val="16"/>
                <w:szCs w:val="16"/>
              </w:rPr>
              <w:t>N/A</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
                <w:iCs/>
                <w:sz w:val="16"/>
                <w:szCs w:val="16"/>
              </w:rPr>
            </w:pPr>
            <w:r w:rsidRPr="00EF0531">
              <w:rPr>
                <w:rFonts w:ascii="Arial" w:hAnsi="Arial" w:cs="Arial"/>
                <w:sz w:val="16"/>
                <w:szCs w:val="16"/>
              </w:rPr>
              <w:t>N/A</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
                <w:iCs/>
                <w:sz w:val="16"/>
                <w:szCs w:val="16"/>
              </w:rPr>
            </w:pPr>
            <w:r w:rsidRPr="00EF0531">
              <w:rPr>
                <w:rFonts w:ascii="Arial" w:hAnsi="Arial" w:cs="Arial"/>
                <w:sz w:val="16"/>
                <w:szCs w:val="16"/>
              </w:rPr>
              <w:t>N/A</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
                <w:iCs/>
                <w:sz w:val="16"/>
                <w:szCs w:val="16"/>
              </w:rPr>
            </w:pPr>
            <w:r w:rsidRPr="00EF0531">
              <w:rPr>
                <w:rFonts w:ascii="Arial" w:hAnsi="Arial" w:cs="Arial"/>
                <w:sz w:val="16"/>
                <w:szCs w:val="16"/>
              </w:rPr>
              <w:t>N/A</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
                <w:iCs/>
                <w:sz w:val="16"/>
                <w:szCs w:val="16"/>
              </w:rPr>
            </w:pPr>
            <w:r w:rsidRPr="00EF0531">
              <w:rPr>
                <w:rFonts w:ascii="Arial" w:hAnsi="Arial" w:cs="Arial"/>
                <w:sz w:val="16"/>
                <w:szCs w:val="16"/>
              </w:rPr>
              <w:t>N/A</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
                <w:iCs/>
                <w:sz w:val="16"/>
                <w:szCs w:val="16"/>
              </w:rPr>
            </w:pPr>
            <w:r w:rsidRPr="00EF0531">
              <w:rPr>
                <w:rFonts w:ascii="Arial" w:hAnsi="Arial" w:cs="Arial"/>
                <w:sz w:val="16"/>
                <w:szCs w:val="16"/>
              </w:rPr>
              <w:t>N/A</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
                <w:iCs/>
                <w:sz w:val="16"/>
                <w:szCs w:val="16"/>
              </w:rPr>
            </w:pPr>
            <w:r w:rsidRPr="00EF0531">
              <w:rPr>
                <w:rFonts w:ascii="Arial" w:hAnsi="Arial" w:cs="Arial"/>
                <w:sz w:val="16"/>
                <w:szCs w:val="16"/>
              </w:rPr>
              <w:t>N/A</w:t>
            </w:r>
          </w:p>
        </w:tc>
        <w:tc>
          <w:tcPr>
            <w:tcW w:w="709" w:type="dxa"/>
            <w:noWrap/>
            <w:tcMar>
              <w:top w:w="15" w:type="dxa"/>
              <w:left w:w="15" w:type="dxa"/>
              <w:bottom w:w="0" w:type="dxa"/>
              <w:right w:w="15" w:type="dxa"/>
            </w:tcMar>
            <w:vAlign w:val="center"/>
          </w:tcPr>
          <w:p w:rsidR="00FF5344" w:rsidRPr="00EF0531" w:rsidRDefault="00961A0E" w:rsidP="00FF5344">
            <w:pPr>
              <w:jc w:val="center"/>
              <w:rPr>
                <w:rFonts w:ascii="Arial" w:hAnsi="Arial" w:cs="Arial"/>
                <w:i/>
                <w:iCs/>
                <w:sz w:val="16"/>
                <w:szCs w:val="16"/>
              </w:rPr>
            </w:pPr>
            <w:r>
              <w:rPr>
                <w:rFonts w:ascii="Arial" w:hAnsi="Arial" w:cs="Arial"/>
                <w:sz w:val="16"/>
                <w:szCs w:val="16"/>
              </w:rPr>
              <w:t>3</w:t>
            </w:r>
          </w:p>
        </w:tc>
        <w:tc>
          <w:tcPr>
            <w:tcW w:w="709" w:type="dxa"/>
            <w:noWrap/>
            <w:tcMar>
              <w:top w:w="15" w:type="dxa"/>
              <w:left w:w="15" w:type="dxa"/>
              <w:bottom w:w="0" w:type="dxa"/>
              <w:right w:w="15" w:type="dxa"/>
            </w:tcMar>
            <w:vAlign w:val="center"/>
          </w:tcPr>
          <w:p w:rsidR="00FF5344" w:rsidRPr="00EF0531" w:rsidRDefault="00961A0E" w:rsidP="00FF5344">
            <w:pPr>
              <w:jc w:val="center"/>
              <w:rPr>
                <w:rFonts w:ascii="Arial" w:hAnsi="Arial" w:cs="Arial"/>
                <w:b/>
                <w:bCs/>
                <w:sz w:val="16"/>
                <w:szCs w:val="16"/>
              </w:rPr>
            </w:pPr>
            <w:r>
              <w:rPr>
                <w:rFonts w:ascii="Arial" w:hAnsi="Arial" w:cs="Arial"/>
                <w:b/>
                <w:sz w:val="16"/>
                <w:szCs w:val="16"/>
              </w:rPr>
              <w:t>3</w:t>
            </w:r>
          </w:p>
        </w:tc>
        <w:tc>
          <w:tcPr>
            <w:tcW w:w="1134" w:type="dxa"/>
            <w:noWrap/>
            <w:tcMar>
              <w:top w:w="15" w:type="dxa"/>
              <w:left w:w="15" w:type="dxa"/>
              <w:bottom w:w="0" w:type="dxa"/>
              <w:right w:w="15" w:type="dxa"/>
            </w:tcMar>
            <w:vAlign w:val="center"/>
          </w:tcPr>
          <w:p w:rsidR="00FF5344" w:rsidRPr="00EF0531" w:rsidRDefault="00FF5344" w:rsidP="00FF5344">
            <w:pPr>
              <w:jc w:val="center"/>
              <w:rPr>
                <w:rFonts w:ascii="Arial" w:hAnsi="Arial" w:cs="Arial"/>
                <w:sz w:val="16"/>
                <w:szCs w:val="16"/>
              </w:rPr>
            </w:pPr>
          </w:p>
        </w:tc>
      </w:tr>
      <w:tr w:rsidR="00FF5344" w:rsidRPr="000E0A45" w:rsidTr="00FF5344">
        <w:trPr>
          <w:trHeight w:val="20"/>
        </w:trPr>
        <w:tc>
          <w:tcPr>
            <w:tcW w:w="1433" w:type="dxa"/>
            <w:vMerge/>
            <w:tcBorders>
              <w:bottom w:val="single" w:sz="4" w:space="0" w:color="auto"/>
            </w:tcBorders>
            <w:shd w:val="clear" w:color="auto" w:fill="FFFF99"/>
          </w:tcPr>
          <w:p w:rsidR="00FF5344" w:rsidRPr="00EF0531" w:rsidRDefault="00FF5344" w:rsidP="00FF5344">
            <w:pPr>
              <w:rPr>
                <w:rFonts w:ascii="Arial" w:hAnsi="Arial" w:cs="Arial"/>
                <w:sz w:val="16"/>
                <w:szCs w:val="16"/>
              </w:rPr>
            </w:pPr>
          </w:p>
        </w:tc>
        <w:tc>
          <w:tcPr>
            <w:tcW w:w="1182" w:type="dxa"/>
            <w:tcBorders>
              <w:bottom w:val="single" w:sz="4" w:space="0" w:color="auto"/>
            </w:tcBorders>
            <w:shd w:val="clear" w:color="auto" w:fill="CCFFFF"/>
            <w:noWrap/>
            <w:tcMar>
              <w:top w:w="15" w:type="dxa"/>
              <w:left w:w="15" w:type="dxa"/>
              <w:bottom w:w="0" w:type="dxa"/>
              <w:right w:w="15" w:type="dxa"/>
            </w:tcMar>
            <w:vAlign w:val="center"/>
          </w:tcPr>
          <w:p w:rsidR="00FF5344" w:rsidRPr="00EF0531" w:rsidRDefault="00FF5344" w:rsidP="00FF5344">
            <w:pPr>
              <w:rPr>
                <w:rFonts w:ascii="Arial" w:hAnsi="Arial" w:cs="Arial"/>
                <w:sz w:val="16"/>
                <w:szCs w:val="16"/>
              </w:rPr>
            </w:pPr>
            <w:r w:rsidRPr="00EF0531">
              <w:rPr>
                <w:rFonts w:ascii="Arial" w:eastAsia="EUAlbertina-Regular-Identity-H" w:hAnsi="Arial" w:cs="Arial"/>
                <w:b/>
                <w:sz w:val="16"/>
                <w:szCs w:val="16"/>
              </w:rPr>
              <w:t>Východisko</w:t>
            </w:r>
          </w:p>
        </w:tc>
        <w:tc>
          <w:tcPr>
            <w:tcW w:w="567" w:type="dxa"/>
            <w:tcBorders>
              <w:bottom w:val="single" w:sz="4" w:space="0" w:color="auto"/>
            </w:tcBorders>
            <w:noWrap/>
            <w:tcMar>
              <w:top w:w="15" w:type="dxa"/>
              <w:left w:w="15" w:type="dxa"/>
              <w:bottom w:w="0" w:type="dxa"/>
              <w:right w:w="15" w:type="dxa"/>
            </w:tcMar>
            <w:vAlign w:val="center"/>
          </w:tcPr>
          <w:p w:rsidR="00FF5344" w:rsidRPr="00EF0531" w:rsidRDefault="00FF5344" w:rsidP="00FF5344">
            <w:pPr>
              <w:jc w:val="center"/>
              <w:rPr>
                <w:rFonts w:ascii="Arial" w:hAnsi="Arial" w:cs="Arial"/>
                <w:b/>
                <w:bCs/>
                <w:sz w:val="16"/>
                <w:szCs w:val="16"/>
              </w:rPr>
            </w:pPr>
            <w:r w:rsidRPr="00EF0531">
              <w:rPr>
                <w:rFonts w:ascii="Arial" w:hAnsi="Arial" w:cs="Arial"/>
                <w:sz w:val="16"/>
                <w:szCs w:val="16"/>
              </w:rPr>
              <w:t>0</w:t>
            </w:r>
          </w:p>
        </w:tc>
        <w:tc>
          <w:tcPr>
            <w:tcW w:w="567" w:type="dxa"/>
            <w:tcBorders>
              <w:bottom w:val="single" w:sz="4" w:space="0" w:color="auto"/>
            </w:tcBorders>
            <w:noWrap/>
            <w:tcMar>
              <w:top w:w="15" w:type="dxa"/>
              <w:left w:w="15" w:type="dxa"/>
              <w:bottom w:w="0" w:type="dxa"/>
              <w:right w:w="15" w:type="dxa"/>
            </w:tcMar>
            <w:vAlign w:val="center"/>
          </w:tcPr>
          <w:p w:rsidR="00FF5344" w:rsidRPr="00EF0531" w:rsidRDefault="00FF5344" w:rsidP="00FF5344">
            <w:pPr>
              <w:jc w:val="center"/>
              <w:rPr>
                <w:rFonts w:ascii="Arial" w:hAnsi="Arial" w:cs="Arial"/>
                <w:i/>
                <w:iCs/>
                <w:sz w:val="16"/>
                <w:szCs w:val="16"/>
              </w:rPr>
            </w:pPr>
            <w:r w:rsidRPr="00EF0531">
              <w:rPr>
                <w:rFonts w:ascii="Arial" w:hAnsi="Arial" w:cs="Arial"/>
                <w:sz w:val="16"/>
                <w:szCs w:val="16"/>
              </w:rPr>
              <w:t>N/A</w:t>
            </w:r>
          </w:p>
        </w:tc>
        <w:tc>
          <w:tcPr>
            <w:tcW w:w="567" w:type="dxa"/>
            <w:tcBorders>
              <w:bottom w:val="single" w:sz="4" w:space="0" w:color="auto"/>
            </w:tcBorders>
            <w:noWrap/>
            <w:tcMar>
              <w:top w:w="15" w:type="dxa"/>
              <w:left w:w="15" w:type="dxa"/>
              <w:bottom w:w="0" w:type="dxa"/>
              <w:right w:w="15" w:type="dxa"/>
            </w:tcMar>
            <w:vAlign w:val="center"/>
          </w:tcPr>
          <w:p w:rsidR="00FF5344" w:rsidRPr="00EF0531" w:rsidRDefault="00FF5344" w:rsidP="00FF5344">
            <w:pPr>
              <w:jc w:val="center"/>
              <w:rPr>
                <w:rFonts w:ascii="Arial" w:hAnsi="Arial" w:cs="Arial"/>
                <w:i/>
                <w:iCs/>
                <w:sz w:val="16"/>
                <w:szCs w:val="16"/>
              </w:rPr>
            </w:pPr>
            <w:r w:rsidRPr="00EF0531">
              <w:rPr>
                <w:rFonts w:ascii="Arial" w:hAnsi="Arial" w:cs="Arial"/>
                <w:sz w:val="16"/>
                <w:szCs w:val="16"/>
              </w:rPr>
              <w:t>N/A</w:t>
            </w:r>
          </w:p>
        </w:tc>
        <w:tc>
          <w:tcPr>
            <w:tcW w:w="567" w:type="dxa"/>
            <w:tcBorders>
              <w:bottom w:val="single" w:sz="4" w:space="0" w:color="auto"/>
            </w:tcBorders>
            <w:noWrap/>
            <w:tcMar>
              <w:top w:w="15" w:type="dxa"/>
              <w:left w:w="15" w:type="dxa"/>
              <w:bottom w:w="0" w:type="dxa"/>
              <w:right w:w="15" w:type="dxa"/>
            </w:tcMar>
            <w:vAlign w:val="center"/>
          </w:tcPr>
          <w:p w:rsidR="00FF5344" w:rsidRPr="00EF0531" w:rsidRDefault="00FF5344" w:rsidP="00FF5344">
            <w:pPr>
              <w:jc w:val="center"/>
              <w:rPr>
                <w:rFonts w:ascii="Arial" w:hAnsi="Arial" w:cs="Arial"/>
                <w:i/>
                <w:iCs/>
                <w:sz w:val="16"/>
                <w:szCs w:val="16"/>
              </w:rPr>
            </w:pPr>
            <w:r w:rsidRPr="00EF0531">
              <w:rPr>
                <w:rFonts w:ascii="Arial" w:hAnsi="Arial" w:cs="Arial"/>
                <w:sz w:val="16"/>
                <w:szCs w:val="16"/>
              </w:rPr>
              <w:t>N/A</w:t>
            </w:r>
          </w:p>
        </w:tc>
        <w:tc>
          <w:tcPr>
            <w:tcW w:w="567" w:type="dxa"/>
            <w:tcBorders>
              <w:bottom w:val="single" w:sz="4" w:space="0" w:color="auto"/>
            </w:tcBorders>
            <w:noWrap/>
            <w:tcMar>
              <w:top w:w="15" w:type="dxa"/>
              <w:left w:w="15" w:type="dxa"/>
              <w:bottom w:w="0" w:type="dxa"/>
              <w:right w:w="15" w:type="dxa"/>
            </w:tcMar>
            <w:vAlign w:val="center"/>
          </w:tcPr>
          <w:p w:rsidR="00FF5344" w:rsidRPr="00EF0531" w:rsidRDefault="00FF5344" w:rsidP="00FF5344">
            <w:pPr>
              <w:jc w:val="center"/>
              <w:rPr>
                <w:rFonts w:ascii="Arial" w:hAnsi="Arial" w:cs="Arial"/>
                <w:i/>
                <w:iCs/>
                <w:sz w:val="16"/>
                <w:szCs w:val="16"/>
              </w:rPr>
            </w:pPr>
            <w:r w:rsidRPr="00EF0531">
              <w:rPr>
                <w:rFonts w:ascii="Arial" w:hAnsi="Arial" w:cs="Arial"/>
                <w:sz w:val="16"/>
                <w:szCs w:val="16"/>
              </w:rPr>
              <w:t>N/A</w:t>
            </w:r>
          </w:p>
        </w:tc>
        <w:tc>
          <w:tcPr>
            <w:tcW w:w="567" w:type="dxa"/>
            <w:tcBorders>
              <w:bottom w:val="single" w:sz="4" w:space="0" w:color="auto"/>
            </w:tcBorders>
            <w:noWrap/>
            <w:tcMar>
              <w:top w:w="15" w:type="dxa"/>
              <w:left w:w="15" w:type="dxa"/>
              <w:bottom w:w="0" w:type="dxa"/>
              <w:right w:w="15" w:type="dxa"/>
            </w:tcMar>
            <w:vAlign w:val="center"/>
          </w:tcPr>
          <w:p w:rsidR="00FF5344" w:rsidRPr="00EF0531" w:rsidRDefault="00FF5344" w:rsidP="00FF5344">
            <w:pPr>
              <w:jc w:val="center"/>
              <w:rPr>
                <w:rFonts w:ascii="Arial" w:hAnsi="Arial" w:cs="Arial"/>
                <w:i/>
                <w:iCs/>
                <w:sz w:val="16"/>
                <w:szCs w:val="16"/>
              </w:rPr>
            </w:pPr>
            <w:r w:rsidRPr="00EF0531">
              <w:rPr>
                <w:rFonts w:ascii="Arial" w:hAnsi="Arial" w:cs="Arial"/>
                <w:sz w:val="16"/>
                <w:szCs w:val="16"/>
              </w:rPr>
              <w:t>N/A</w:t>
            </w:r>
          </w:p>
        </w:tc>
        <w:tc>
          <w:tcPr>
            <w:tcW w:w="567" w:type="dxa"/>
            <w:tcBorders>
              <w:bottom w:val="single" w:sz="4" w:space="0" w:color="auto"/>
            </w:tcBorders>
            <w:noWrap/>
            <w:tcMar>
              <w:top w:w="15" w:type="dxa"/>
              <w:left w:w="15" w:type="dxa"/>
              <w:bottom w:w="0" w:type="dxa"/>
              <w:right w:w="15" w:type="dxa"/>
            </w:tcMar>
            <w:vAlign w:val="center"/>
          </w:tcPr>
          <w:p w:rsidR="00FF5344" w:rsidRPr="00EF0531" w:rsidRDefault="00FF5344" w:rsidP="00FF5344">
            <w:pPr>
              <w:jc w:val="center"/>
              <w:rPr>
                <w:rFonts w:ascii="Arial" w:hAnsi="Arial" w:cs="Arial"/>
                <w:i/>
                <w:iCs/>
                <w:sz w:val="16"/>
                <w:szCs w:val="16"/>
              </w:rPr>
            </w:pPr>
            <w:r w:rsidRPr="00EF0531">
              <w:rPr>
                <w:rFonts w:ascii="Arial" w:hAnsi="Arial" w:cs="Arial"/>
                <w:sz w:val="16"/>
                <w:szCs w:val="16"/>
              </w:rPr>
              <w:t>N/A</w:t>
            </w:r>
          </w:p>
        </w:tc>
        <w:tc>
          <w:tcPr>
            <w:tcW w:w="567" w:type="dxa"/>
            <w:tcBorders>
              <w:bottom w:val="single" w:sz="4" w:space="0" w:color="auto"/>
            </w:tcBorders>
            <w:noWrap/>
            <w:tcMar>
              <w:top w:w="15" w:type="dxa"/>
              <w:left w:w="15" w:type="dxa"/>
              <w:bottom w:w="0" w:type="dxa"/>
              <w:right w:w="15" w:type="dxa"/>
            </w:tcMar>
            <w:vAlign w:val="center"/>
          </w:tcPr>
          <w:p w:rsidR="00FF5344" w:rsidRPr="00EF0531" w:rsidRDefault="00FF5344" w:rsidP="00FF5344">
            <w:pPr>
              <w:jc w:val="center"/>
              <w:rPr>
                <w:rFonts w:ascii="Arial" w:hAnsi="Arial" w:cs="Arial"/>
                <w:i/>
                <w:iCs/>
                <w:sz w:val="16"/>
                <w:szCs w:val="16"/>
              </w:rPr>
            </w:pPr>
            <w:r w:rsidRPr="00EF0531">
              <w:rPr>
                <w:rFonts w:ascii="Arial" w:hAnsi="Arial" w:cs="Arial"/>
                <w:sz w:val="16"/>
                <w:szCs w:val="16"/>
              </w:rPr>
              <w:t>N/A</w:t>
            </w:r>
          </w:p>
        </w:tc>
        <w:tc>
          <w:tcPr>
            <w:tcW w:w="709" w:type="dxa"/>
            <w:tcBorders>
              <w:bottom w:val="single" w:sz="4" w:space="0" w:color="auto"/>
            </w:tcBorders>
            <w:noWrap/>
            <w:tcMar>
              <w:top w:w="15" w:type="dxa"/>
              <w:left w:w="15" w:type="dxa"/>
              <w:bottom w:w="0" w:type="dxa"/>
              <w:right w:w="15" w:type="dxa"/>
            </w:tcMar>
            <w:vAlign w:val="center"/>
          </w:tcPr>
          <w:p w:rsidR="00FF5344" w:rsidRPr="00EF0531" w:rsidRDefault="00FF5344" w:rsidP="00FF5344">
            <w:pPr>
              <w:jc w:val="center"/>
              <w:rPr>
                <w:rFonts w:ascii="Arial" w:hAnsi="Arial" w:cs="Arial"/>
                <w:i/>
                <w:iCs/>
                <w:sz w:val="16"/>
                <w:szCs w:val="16"/>
              </w:rPr>
            </w:pPr>
            <w:r w:rsidRPr="00EF0531">
              <w:rPr>
                <w:rFonts w:ascii="Arial" w:hAnsi="Arial" w:cs="Arial"/>
                <w:sz w:val="16"/>
                <w:szCs w:val="16"/>
              </w:rPr>
              <w:t>0</w:t>
            </w:r>
          </w:p>
        </w:tc>
        <w:tc>
          <w:tcPr>
            <w:tcW w:w="709" w:type="dxa"/>
            <w:tcBorders>
              <w:bottom w:val="single" w:sz="4" w:space="0" w:color="auto"/>
            </w:tcBorders>
            <w:noWrap/>
            <w:tcMar>
              <w:top w:w="15" w:type="dxa"/>
              <w:left w:w="15" w:type="dxa"/>
              <w:bottom w:w="0" w:type="dxa"/>
              <w:right w:w="15" w:type="dxa"/>
            </w:tcMar>
            <w:vAlign w:val="center"/>
          </w:tcPr>
          <w:p w:rsidR="00FF5344" w:rsidRPr="00EF0531" w:rsidRDefault="00FF5344" w:rsidP="00FF5344">
            <w:pPr>
              <w:jc w:val="center"/>
              <w:rPr>
                <w:rFonts w:ascii="Arial" w:hAnsi="Arial" w:cs="Arial"/>
                <w:b/>
                <w:bCs/>
                <w:sz w:val="16"/>
                <w:szCs w:val="16"/>
              </w:rPr>
            </w:pPr>
            <w:r w:rsidRPr="00EF0531">
              <w:rPr>
                <w:rFonts w:ascii="Arial" w:hAnsi="Arial" w:cs="Arial"/>
                <w:b/>
                <w:sz w:val="16"/>
                <w:szCs w:val="16"/>
              </w:rPr>
              <w:t>0</w:t>
            </w:r>
          </w:p>
        </w:tc>
        <w:tc>
          <w:tcPr>
            <w:tcW w:w="1134" w:type="dxa"/>
            <w:tcBorders>
              <w:bottom w:val="single" w:sz="4" w:space="0" w:color="auto"/>
            </w:tcBorders>
            <w:noWrap/>
            <w:tcMar>
              <w:top w:w="15" w:type="dxa"/>
              <w:left w:w="15" w:type="dxa"/>
              <w:bottom w:w="0" w:type="dxa"/>
              <w:right w:w="15" w:type="dxa"/>
            </w:tcMar>
            <w:vAlign w:val="center"/>
          </w:tcPr>
          <w:p w:rsidR="00FF5344" w:rsidRPr="00EF0531" w:rsidRDefault="00FF5344" w:rsidP="00FF5344">
            <w:pPr>
              <w:jc w:val="center"/>
              <w:rPr>
                <w:rFonts w:ascii="Arial" w:hAnsi="Arial" w:cs="Arial"/>
                <w:sz w:val="16"/>
                <w:szCs w:val="16"/>
              </w:rPr>
            </w:pPr>
          </w:p>
        </w:tc>
      </w:tr>
      <w:tr w:rsidR="00FF5344" w:rsidRPr="000E0A45" w:rsidTr="00FF5344">
        <w:trPr>
          <w:trHeight w:val="20"/>
        </w:trPr>
        <w:tc>
          <w:tcPr>
            <w:tcW w:w="9703" w:type="dxa"/>
            <w:gridSpan w:val="13"/>
            <w:shd w:val="clear" w:color="auto" w:fill="CCFFFF"/>
            <w:vAlign w:val="center"/>
          </w:tcPr>
          <w:p w:rsidR="00FF5344" w:rsidRPr="00EF0531" w:rsidRDefault="00FF5344" w:rsidP="00FF5344">
            <w:pPr>
              <w:rPr>
                <w:rFonts w:ascii="Arial" w:hAnsi="Arial" w:cs="Arial"/>
                <w:b/>
                <w:sz w:val="16"/>
                <w:szCs w:val="16"/>
              </w:rPr>
            </w:pPr>
            <w:r w:rsidRPr="00EF0531">
              <w:rPr>
                <w:rFonts w:ascii="Arial" w:hAnsi="Arial" w:cs="Arial"/>
                <w:b/>
                <w:sz w:val="16"/>
                <w:szCs w:val="16"/>
              </w:rPr>
              <w:t>Prioritná os 7 – Budovanie povodňového varovného a predpovedného systému</w:t>
            </w:r>
          </w:p>
        </w:tc>
      </w:tr>
      <w:tr w:rsidR="00FF5344" w:rsidRPr="000E0A45" w:rsidTr="00FF5344">
        <w:trPr>
          <w:trHeight w:val="194"/>
        </w:trPr>
        <w:tc>
          <w:tcPr>
            <w:tcW w:w="1433" w:type="dxa"/>
            <w:vMerge w:val="restart"/>
            <w:shd w:val="clear" w:color="auto" w:fill="FFFF99"/>
            <w:vAlign w:val="center"/>
          </w:tcPr>
          <w:p w:rsidR="00FF5344" w:rsidRPr="00EF0531" w:rsidRDefault="00FF5344" w:rsidP="00FF5344">
            <w:pPr>
              <w:rPr>
                <w:rFonts w:ascii="Arial" w:hAnsi="Arial" w:cs="Arial"/>
                <w:sz w:val="16"/>
                <w:szCs w:val="16"/>
              </w:rPr>
            </w:pPr>
            <w:r w:rsidRPr="00EF0531">
              <w:rPr>
                <w:rFonts w:ascii="Arial" w:hAnsi="Arial" w:cs="Arial"/>
                <w:sz w:val="16"/>
                <w:szCs w:val="16"/>
              </w:rPr>
              <w:t>Počet vydaných hydrologický predpovedí, varovaní a výstrah [počet] výsledok</w:t>
            </w:r>
          </w:p>
        </w:tc>
        <w:tc>
          <w:tcPr>
            <w:tcW w:w="1182" w:type="dxa"/>
            <w:shd w:val="clear" w:color="auto" w:fill="CCFFFF"/>
            <w:noWrap/>
            <w:tcMar>
              <w:top w:w="15" w:type="dxa"/>
              <w:left w:w="15" w:type="dxa"/>
              <w:bottom w:w="0" w:type="dxa"/>
              <w:right w:w="15" w:type="dxa"/>
            </w:tcMar>
            <w:vAlign w:val="center"/>
          </w:tcPr>
          <w:p w:rsidR="00FF5344" w:rsidRPr="00EF0531" w:rsidRDefault="00FF5344" w:rsidP="00FF5344">
            <w:pPr>
              <w:rPr>
                <w:rFonts w:ascii="Arial" w:hAnsi="Arial" w:cs="Arial"/>
                <w:b/>
                <w:sz w:val="16"/>
                <w:szCs w:val="16"/>
              </w:rPr>
            </w:pPr>
            <w:r w:rsidRPr="00EF0531">
              <w:rPr>
                <w:rFonts w:ascii="Arial" w:hAnsi="Arial" w:cs="Arial"/>
                <w:b/>
                <w:sz w:val="16"/>
                <w:szCs w:val="16"/>
              </w:rPr>
              <w:t>Dosiahnutý výsledok</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bCs/>
                <w:sz w:val="16"/>
                <w:szCs w:val="16"/>
              </w:rPr>
            </w:pPr>
            <w:r w:rsidRPr="00EF0531">
              <w:rPr>
                <w:rFonts w:ascii="Arial" w:hAnsi="Arial" w:cs="Arial"/>
                <w:bCs/>
                <w:sz w:val="16"/>
                <w:szCs w:val="16"/>
              </w:rPr>
              <w:t>0</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Cs/>
                <w:sz w:val="16"/>
                <w:szCs w:val="16"/>
              </w:rPr>
            </w:pPr>
            <w:r w:rsidRPr="00EF0531">
              <w:rPr>
                <w:rFonts w:ascii="Arial" w:hAnsi="Arial" w:cs="Arial"/>
                <w:bCs/>
                <w:sz w:val="16"/>
                <w:szCs w:val="16"/>
              </w:rPr>
              <w:t>0</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Cs/>
                <w:sz w:val="16"/>
                <w:szCs w:val="16"/>
              </w:rPr>
            </w:pPr>
            <w:r w:rsidRPr="00EF0531">
              <w:rPr>
                <w:rFonts w:ascii="Arial" w:hAnsi="Arial" w:cs="Arial"/>
                <w:bCs/>
                <w:sz w:val="16"/>
                <w:szCs w:val="16"/>
              </w:rPr>
              <w:t>0</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Cs/>
                <w:sz w:val="16"/>
                <w:szCs w:val="16"/>
              </w:rPr>
            </w:pPr>
            <w:r w:rsidRPr="00EF0531">
              <w:rPr>
                <w:rFonts w:ascii="Arial" w:hAnsi="Arial" w:cs="Arial"/>
                <w:bCs/>
                <w:sz w:val="16"/>
                <w:szCs w:val="16"/>
              </w:rPr>
              <w:t>0</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Cs/>
                <w:sz w:val="16"/>
                <w:szCs w:val="16"/>
              </w:rPr>
            </w:pPr>
            <w:r w:rsidRPr="00EF0531">
              <w:rPr>
                <w:rFonts w:ascii="Arial" w:hAnsi="Arial" w:cs="Arial"/>
                <w:bCs/>
                <w:sz w:val="16"/>
                <w:szCs w:val="16"/>
              </w:rPr>
              <w:t>0</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Cs/>
                <w:sz w:val="16"/>
                <w:szCs w:val="16"/>
              </w:rPr>
            </w:pPr>
            <w:r w:rsidRPr="00EF0531">
              <w:rPr>
                <w:rFonts w:ascii="Arial" w:hAnsi="Arial" w:cs="Arial"/>
                <w:bCs/>
                <w:sz w:val="16"/>
                <w:szCs w:val="16"/>
              </w:rPr>
              <w:t>0</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Cs/>
                <w:sz w:val="16"/>
                <w:szCs w:val="16"/>
              </w:rPr>
            </w:pPr>
            <w:r w:rsidRPr="00EF0531">
              <w:rPr>
                <w:rFonts w:ascii="Arial" w:hAnsi="Arial" w:cs="Arial"/>
                <w:iCs/>
                <w:sz w:val="16"/>
                <w:szCs w:val="16"/>
              </w:rPr>
              <w:t>N/A</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Cs/>
                <w:sz w:val="16"/>
                <w:szCs w:val="16"/>
              </w:rPr>
            </w:pPr>
            <w:r w:rsidRPr="00EF0531">
              <w:rPr>
                <w:rFonts w:ascii="Arial" w:hAnsi="Arial" w:cs="Arial"/>
                <w:iCs/>
                <w:sz w:val="16"/>
                <w:szCs w:val="16"/>
              </w:rPr>
              <w:t>N/A</w:t>
            </w:r>
          </w:p>
        </w:tc>
        <w:tc>
          <w:tcPr>
            <w:tcW w:w="709" w:type="dxa"/>
            <w:noWrap/>
            <w:tcMar>
              <w:top w:w="15" w:type="dxa"/>
              <w:left w:w="15" w:type="dxa"/>
              <w:bottom w:w="0" w:type="dxa"/>
              <w:right w:w="15" w:type="dxa"/>
            </w:tcMar>
            <w:vAlign w:val="center"/>
          </w:tcPr>
          <w:p w:rsidR="00FF5344" w:rsidRPr="00EF0531" w:rsidRDefault="00FF5344" w:rsidP="00FF5344">
            <w:pPr>
              <w:jc w:val="center"/>
              <w:rPr>
                <w:rFonts w:ascii="Arial" w:hAnsi="Arial" w:cs="Arial"/>
                <w:iCs/>
                <w:sz w:val="16"/>
                <w:szCs w:val="16"/>
              </w:rPr>
            </w:pPr>
            <w:r w:rsidRPr="00EF0531">
              <w:rPr>
                <w:rFonts w:ascii="Arial" w:hAnsi="Arial" w:cs="Arial"/>
                <w:iCs/>
                <w:sz w:val="16"/>
                <w:szCs w:val="16"/>
              </w:rPr>
              <w:t>N/A</w:t>
            </w:r>
          </w:p>
        </w:tc>
        <w:tc>
          <w:tcPr>
            <w:tcW w:w="709" w:type="dxa"/>
            <w:noWrap/>
            <w:tcMar>
              <w:top w:w="15" w:type="dxa"/>
              <w:left w:w="15" w:type="dxa"/>
              <w:bottom w:w="0" w:type="dxa"/>
              <w:right w:w="15" w:type="dxa"/>
            </w:tcMar>
            <w:vAlign w:val="center"/>
          </w:tcPr>
          <w:p w:rsidR="00FF5344" w:rsidRPr="00EF0531" w:rsidRDefault="00FF5344" w:rsidP="00FF5344">
            <w:pPr>
              <w:jc w:val="center"/>
              <w:rPr>
                <w:rFonts w:ascii="Arial" w:hAnsi="Arial" w:cs="Arial"/>
                <w:b/>
                <w:bCs/>
                <w:sz w:val="16"/>
                <w:szCs w:val="16"/>
              </w:rPr>
            </w:pPr>
            <w:r w:rsidRPr="00EF0531">
              <w:rPr>
                <w:rFonts w:ascii="Arial" w:hAnsi="Arial" w:cs="Arial"/>
                <w:b/>
                <w:bCs/>
                <w:sz w:val="16"/>
                <w:szCs w:val="16"/>
              </w:rPr>
              <w:t>0</w:t>
            </w:r>
          </w:p>
        </w:tc>
        <w:tc>
          <w:tcPr>
            <w:tcW w:w="1134" w:type="dxa"/>
            <w:noWrap/>
            <w:tcMar>
              <w:top w:w="15" w:type="dxa"/>
              <w:left w:w="15" w:type="dxa"/>
              <w:bottom w:w="0" w:type="dxa"/>
              <w:right w:w="15" w:type="dxa"/>
            </w:tcMar>
            <w:vAlign w:val="center"/>
          </w:tcPr>
          <w:p w:rsidR="00FF5344" w:rsidRPr="00EF0531" w:rsidRDefault="00FF5344" w:rsidP="00FF5344">
            <w:pPr>
              <w:jc w:val="center"/>
              <w:rPr>
                <w:rFonts w:ascii="Arial" w:hAnsi="Arial" w:cs="Arial"/>
                <w:sz w:val="16"/>
                <w:szCs w:val="16"/>
              </w:rPr>
            </w:pPr>
          </w:p>
        </w:tc>
      </w:tr>
      <w:tr w:rsidR="00FF5344" w:rsidRPr="000E0A45" w:rsidTr="00FF5344">
        <w:trPr>
          <w:trHeight w:val="284"/>
        </w:trPr>
        <w:tc>
          <w:tcPr>
            <w:tcW w:w="1433" w:type="dxa"/>
            <w:vMerge/>
            <w:shd w:val="clear" w:color="auto" w:fill="FFFF99"/>
            <w:vAlign w:val="center"/>
          </w:tcPr>
          <w:p w:rsidR="00FF5344" w:rsidRPr="00EF0531" w:rsidRDefault="00FF5344" w:rsidP="00FF5344">
            <w:pPr>
              <w:rPr>
                <w:rFonts w:ascii="Arial" w:hAnsi="Arial" w:cs="Arial"/>
                <w:sz w:val="16"/>
                <w:szCs w:val="16"/>
              </w:rPr>
            </w:pPr>
          </w:p>
        </w:tc>
        <w:tc>
          <w:tcPr>
            <w:tcW w:w="1182" w:type="dxa"/>
            <w:shd w:val="clear" w:color="auto" w:fill="CCFFFF"/>
            <w:noWrap/>
            <w:tcMar>
              <w:top w:w="15" w:type="dxa"/>
              <w:left w:w="15" w:type="dxa"/>
              <w:bottom w:w="0" w:type="dxa"/>
              <w:right w:w="15" w:type="dxa"/>
            </w:tcMar>
            <w:vAlign w:val="center"/>
          </w:tcPr>
          <w:p w:rsidR="00FF5344" w:rsidRPr="00EF0531" w:rsidRDefault="00FF5344" w:rsidP="00FF5344">
            <w:pPr>
              <w:rPr>
                <w:rFonts w:ascii="Arial" w:hAnsi="Arial" w:cs="Arial"/>
                <w:b/>
                <w:sz w:val="16"/>
                <w:szCs w:val="16"/>
              </w:rPr>
            </w:pPr>
            <w:r w:rsidRPr="00EF0531">
              <w:rPr>
                <w:rFonts w:ascii="Arial" w:hAnsi="Arial" w:cs="Arial"/>
                <w:b/>
                <w:sz w:val="16"/>
                <w:szCs w:val="16"/>
              </w:rPr>
              <w:t>Cieľ</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bCs/>
                <w:sz w:val="16"/>
                <w:szCs w:val="16"/>
              </w:rPr>
            </w:pPr>
            <w:r w:rsidRPr="00EF0531">
              <w:rPr>
                <w:rFonts w:ascii="Arial" w:hAnsi="Arial" w:cs="Arial"/>
                <w:iCs/>
                <w:sz w:val="16"/>
                <w:szCs w:val="16"/>
              </w:rPr>
              <w:t>N/A</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Cs/>
                <w:sz w:val="16"/>
                <w:szCs w:val="16"/>
              </w:rPr>
            </w:pPr>
            <w:r w:rsidRPr="00EF0531">
              <w:rPr>
                <w:rFonts w:ascii="Arial" w:hAnsi="Arial" w:cs="Arial"/>
                <w:iCs/>
                <w:sz w:val="16"/>
                <w:szCs w:val="16"/>
              </w:rPr>
              <w:t>N/A</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Cs/>
                <w:sz w:val="16"/>
                <w:szCs w:val="16"/>
              </w:rPr>
            </w:pPr>
            <w:r w:rsidRPr="00EF0531">
              <w:rPr>
                <w:rFonts w:ascii="Arial" w:hAnsi="Arial" w:cs="Arial"/>
                <w:iCs/>
                <w:sz w:val="16"/>
                <w:szCs w:val="16"/>
              </w:rPr>
              <w:t>N/A</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Cs/>
                <w:sz w:val="16"/>
                <w:szCs w:val="16"/>
              </w:rPr>
            </w:pPr>
            <w:r w:rsidRPr="00EF0531">
              <w:rPr>
                <w:rFonts w:ascii="Arial" w:hAnsi="Arial" w:cs="Arial"/>
                <w:iCs/>
                <w:sz w:val="16"/>
                <w:szCs w:val="16"/>
              </w:rPr>
              <w:t>N/A</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Cs/>
                <w:sz w:val="16"/>
                <w:szCs w:val="16"/>
              </w:rPr>
            </w:pPr>
            <w:r w:rsidRPr="00EF0531">
              <w:rPr>
                <w:rFonts w:ascii="Arial" w:hAnsi="Arial" w:cs="Arial"/>
                <w:iCs/>
                <w:sz w:val="16"/>
                <w:szCs w:val="16"/>
              </w:rPr>
              <w:t>N/A</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Cs/>
                <w:sz w:val="16"/>
                <w:szCs w:val="16"/>
              </w:rPr>
            </w:pPr>
            <w:r w:rsidRPr="00EF0531">
              <w:rPr>
                <w:rFonts w:ascii="Arial" w:hAnsi="Arial" w:cs="Arial"/>
                <w:iCs/>
                <w:sz w:val="16"/>
                <w:szCs w:val="16"/>
              </w:rPr>
              <w:t>N/A</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Cs/>
                <w:sz w:val="16"/>
                <w:szCs w:val="16"/>
              </w:rPr>
            </w:pPr>
            <w:r w:rsidRPr="00EF0531">
              <w:rPr>
                <w:rFonts w:ascii="Arial" w:hAnsi="Arial" w:cs="Arial"/>
                <w:iCs/>
                <w:sz w:val="16"/>
                <w:szCs w:val="16"/>
              </w:rPr>
              <w:t>N/A</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Cs/>
                <w:sz w:val="16"/>
                <w:szCs w:val="16"/>
              </w:rPr>
            </w:pPr>
            <w:r w:rsidRPr="00EF0531">
              <w:rPr>
                <w:rFonts w:ascii="Arial" w:hAnsi="Arial" w:cs="Arial"/>
                <w:iCs/>
                <w:sz w:val="16"/>
                <w:szCs w:val="16"/>
              </w:rPr>
              <w:t>N/A</w:t>
            </w:r>
          </w:p>
        </w:tc>
        <w:tc>
          <w:tcPr>
            <w:tcW w:w="709" w:type="dxa"/>
            <w:noWrap/>
            <w:tcMar>
              <w:top w:w="15" w:type="dxa"/>
              <w:left w:w="15" w:type="dxa"/>
              <w:bottom w:w="0" w:type="dxa"/>
              <w:right w:w="15" w:type="dxa"/>
            </w:tcMar>
            <w:vAlign w:val="center"/>
          </w:tcPr>
          <w:p w:rsidR="00FF5344" w:rsidRPr="00EF0531" w:rsidRDefault="00FF5344" w:rsidP="00FF5344">
            <w:pPr>
              <w:jc w:val="center"/>
              <w:rPr>
                <w:rFonts w:ascii="Arial" w:hAnsi="Arial" w:cs="Arial"/>
                <w:iCs/>
                <w:sz w:val="16"/>
                <w:szCs w:val="16"/>
              </w:rPr>
            </w:pPr>
            <w:r w:rsidRPr="00EF0531">
              <w:rPr>
                <w:rFonts w:ascii="Arial" w:hAnsi="Arial" w:cs="Arial"/>
                <w:iCs/>
                <w:sz w:val="16"/>
                <w:szCs w:val="16"/>
              </w:rPr>
              <w:t>13440</w:t>
            </w:r>
          </w:p>
        </w:tc>
        <w:tc>
          <w:tcPr>
            <w:tcW w:w="709" w:type="dxa"/>
            <w:noWrap/>
            <w:tcMar>
              <w:top w:w="15" w:type="dxa"/>
              <w:left w:w="15" w:type="dxa"/>
              <w:bottom w:w="0" w:type="dxa"/>
              <w:right w:w="15" w:type="dxa"/>
            </w:tcMar>
            <w:vAlign w:val="center"/>
          </w:tcPr>
          <w:p w:rsidR="00FF5344" w:rsidRPr="00EF0531" w:rsidRDefault="00FF5344" w:rsidP="00FF5344">
            <w:pPr>
              <w:jc w:val="center"/>
              <w:rPr>
                <w:rFonts w:ascii="Arial" w:hAnsi="Arial" w:cs="Arial"/>
                <w:b/>
                <w:bCs/>
                <w:sz w:val="16"/>
                <w:szCs w:val="16"/>
              </w:rPr>
            </w:pPr>
            <w:r w:rsidRPr="00EF0531">
              <w:rPr>
                <w:rFonts w:ascii="Arial" w:hAnsi="Arial" w:cs="Arial"/>
                <w:b/>
                <w:bCs/>
                <w:sz w:val="16"/>
                <w:szCs w:val="16"/>
              </w:rPr>
              <w:t>13440</w:t>
            </w:r>
          </w:p>
        </w:tc>
        <w:tc>
          <w:tcPr>
            <w:tcW w:w="1134" w:type="dxa"/>
            <w:noWrap/>
            <w:tcMar>
              <w:top w:w="15" w:type="dxa"/>
              <w:left w:w="15" w:type="dxa"/>
              <w:bottom w:w="0" w:type="dxa"/>
              <w:right w:w="15" w:type="dxa"/>
            </w:tcMar>
            <w:vAlign w:val="center"/>
          </w:tcPr>
          <w:p w:rsidR="00FF5344" w:rsidRPr="00EF0531" w:rsidRDefault="00FF5344" w:rsidP="00FF5344">
            <w:pPr>
              <w:jc w:val="center"/>
              <w:rPr>
                <w:rFonts w:ascii="Arial" w:hAnsi="Arial" w:cs="Arial"/>
                <w:sz w:val="16"/>
                <w:szCs w:val="16"/>
              </w:rPr>
            </w:pPr>
          </w:p>
        </w:tc>
      </w:tr>
      <w:tr w:rsidR="00FF5344" w:rsidRPr="000E0A45" w:rsidTr="00FF5344">
        <w:trPr>
          <w:trHeight w:val="20"/>
        </w:trPr>
        <w:tc>
          <w:tcPr>
            <w:tcW w:w="1433" w:type="dxa"/>
            <w:vMerge/>
            <w:shd w:val="clear" w:color="auto" w:fill="FFFF99"/>
            <w:vAlign w:val="center"/>
          </w:tcPr>
          <w:p w:rsidR="00FF5344" w:rsidRPr="00EF0531" w:rsidRDefault="00FF5344" w:rsidP="00FF5344">
            <w:pPr>
              <w:rPr>
                <w:rFonts w:ascii="Arial" w:hAnsi="Arial" w:cs="Arial"/>
                <w:sz w:val="16"/>
                <w:szCs w:val="16"/>
              </w:rPr>
            </w:pPr>
          </w:p>
        </w:tc>
        <w:tc>
          <w:tcPr>
            <w:tcW w:w="1182" w:type="dxa"/>
            <w:shd w:val="clear" w:color="auto" w:fill="CCFFFF"/>
            <w:noWrap/>
            <w:tcMar>
              <w:top w:w="15" w:type="dxa"/>
              <w:left w:w="15" w:type="dxa"/>
              <w:bottom w:w="0" w:type="dxa"/>
              <w:right w:w="15" w:type="dxa"/>
            </w:tcMar>
            <w:vAlign w:val="center"/>
          </w:tcPr>
          <w:p w:rsidR="00FF5344" w:rsidRPr="00EF0531" w:rsidRDefault="00FF5344" w:rsidP="00FF5344">
            <w:pPr>
              <w:rPr>
                <w:rFonts w:ascii="Arial" w:hAnsi="Arial" w:cs="Arial"/>
                <w:b/>
                <w:sz w:val="16"/>
                <w:szCs w:val="16"/>
              </w:rPr>
            </w:pPr>
            <w:r w:rsidRPr="00EF0531">
              <w:rPr>
                <w:rFonts w:ascii="Arial" w:hAnsi="Arial" w:cs="Arial"/>
                <w:b/>
                <w:sz w:val="16"/>
                <w:szCs w:val="16"/>
              </w:rPr>
              <w:t>Východisko</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bCs/>
                <w:sz w:val="16"/>
                <w:szCs w:val="16"/>
              </w:rPr>
            </w:pPr>
            <w:r w:rsidRPr="00EF0531">
              <w:rPr>
                <w:rFonts w:ascii="Arial" w:hAnsi="Arial" w:cs="Arial"/>
                <w:bCs/>
                <w:sz w:val="16"/>
                <w:szCs w:val="16"/>
              </w:rPr>
              <w:t>7200</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Cs/>
                <w:sz w:val="16"/>
                <w:szCs w:val="16"/>
              </w:rPr>
            </w:pPr>
            <w:r w:rsidRPr="00EF0531">
              <w:rPr>
                <w:rFonts w:ascii="Arial" w:hAnsi="Arial" w:cs="Arial"/>
                <w:iCs/>
                <w:sz w:val="16"/>
                <w:szCs w:val="16"/>
              </w:rPr>
              <w:t>N/A</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Cs/>
                <w:sz w:val="16"/>
                <w:szCs w:val="16"/>
              </w:rPr>
            </w:pPr>
            <w:r w:rsidRPr="00EF0531">
              <w:rPr>
                <w:rFonts w:ascii="Arial" w:hAnsi="Arial" w:cs="Arial"/>
                <w:iCs/>
                <w:sz w:val="16"/>
                <w:szCs w:val="16"/>
              </w:rPr>
              <w:t>N/A</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Cs/>
                <w:sz w:val="16"/>
                <w:szCs w:val="16"/>
              </w:rPr>
            </w:pPr>
            <w:r w:rsidRPr="00EF0531">
              <w:rPr>
                <w:rFonts w:ascii="Arial" w:hAnsi="Arial" w:cs="Arial"/>
                <w:iCs/>
                <w:sz w:val="16"/>
                <w:szCs w:val="16"/>
              </w:rPr>
              <w:t>N/A</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Cs/>
                <w:sz w:val="16"/>
                <w:szCs w:val="16"/>
              </w:rPr>
            </w:pPr>
            <w:r w:rsidRPr="00EF0531">
              <w:rPr>
                <w:rFonts w:ascii="Arial" w:hAnsi="Arial" w:cs="Arial"/>
                <w:iCs/>
                <w:sz w:val="16"/>
                <w:szCs w:val="16"/>
              </w:rPr>
              <w:t>N/A</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Cs/>
                <w:sz w:val="16"/>
                <w:szCs w:val="16"/>
              </w:rPr>
            </w:pPr>
            <w:r w:rsidRPr="00EF0531">
              <w:rPr>
                <w:rFonts w:ascii="Arial" w:hAnsi="Arial" w:cs="Arial"/>
                <w:iCs/>
                <w:sz w:val="16"/>
                <w:szCs w:val="16"/>
              </w:rPr>
              <w:t>N/A</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Cs/>
                <w:sz w:val="16"/>
                <w:szCs w:val="16"/>
              </w:rPr>
            </w:pPr>
            <w:r w:rsidRPr="00EF0531">
              <w:rPr>
                <w:rFonts w:ascii="Arial" w:hAnsi="Arial" w:cs="Arial"/>
                <w:iCs/>
                <w:sz w:val="16"/>
                <w:szCs w:val="16"/>
              </w:rPr>
              <w:t>N/A</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Cs/>
                <w:sz w:val="16"/>
                <w:szCs w:val="16"/>
              </w:rPr>
            </w:pPr>
            <w:r w:rsidRPr="00EF0531">
              <w:rPr>
                <w:rFonts w:ascii="Arial" w:hAnsi="Arial" w:cs="Arial"/>
                <w:iCs/>
                <w:sz w:val="16"/>
                <w:szCs w:val="16"/>
              </w:rPr>
              <w:t>N/A</w:t>
            </w:r>
          </w:p>
        </w:tc>
        <w:tc>
          <w:tcPr>
            <w:tcW w:w="709" w:type="dxa"/>
            <w:noWrap/>
            <w:tcMar>
              <w:top w:w="15" w:type="dxa"/>
              <w:left w:w="15" w:type="dxa"/>
              <w:bottom w:w="0" w:type="dxa"/>
              <w:right w:w="15" w:type="dxa"/>
            </w:tcMar>
            <w:vAlign w:val="center"/>
          </w:tcPr>
          <w:p w:rsidR="00FF5344" w:rsidRPr="00EF0531" w:rsidRDefault="00FF5344" w:rsidP="00FF5344">
            <w:pPr>
              <w:jc w:val="center"/>
              <w:rPr>
                <w:rFonts w:ascii="Arial" w:hAnsi="Arial" w:cs="Arial"/>
                <w:iCs/>
                <w:sz w:val="16"/>
                <w:szCs w:val="16"/>
              </w:rPr>
            </w:pPr>
            <w:r w:rsidRPr="00EF0531">
              <w:rPr>
                <w:rFonts w:ascii="Arial" w:hAnsi="Arial" w:cs="Arial"/>
                <w:iCs/>
                <w:sz w:val="16"/>
                <w:szCs w:val="16"/>
              </w:rPr>
              <w:t>N/A</w:t>
            </w:r>
          </w:p>
        </w:tc>
        <w:tc>
          <w:tcPr>
            <w:tcW w:w="709" w:type="dxa"/>
            <w:noWrap/>
            <w:tcMar>
              <w:top w:w="15" w:type="dxa"/>
              <w:left w:w="15" w:type="dxa"/>
              <w:bottom w:w="0" w:type="dxa"/>
              <w:right w:w="15" w:type="dxa"/>
            </w:tcMar>
            <w:vAlign w:val="center"/>
          </w:tcPr>
          <w:p w:rsidR="00FF5344" w:rsidRPr="00EF0531" w:rsidRDefault="00FF5344" w:rsidP="00FF5344">
            <w:pPr>
              <w:jc w:val="center"/>
              <w:rPr>
                <w:rFonts w:ascii="Arial" w:hAnsi="Arial" w:cs="Arial"/>
                <w:b/>
                <w:bCs/>
                <w:sz w:val="16"/>
                <w:szCs w:val="16"/>
              </w:rPr>
            </w:pPr>
            <w:r w:rsidRPr="00EF0531">
              <w:rPr>
                <w:rFonts w:ascii="Arial" w:hAnsi="Arial" w:cs="Arial"/>
                <w:b/>
                <w:bCs/>
                <w:sz w:val="16"/>
                <w:szCs w:val="16"/>
              </w:rPr>
              <w:t>7200</w:t>
            </w:r>
          </w:p>
        </w:tc>
        <w:tc>
          <w:tcPr>
            <w:tcW w:w="1134" w:type="dxa"/>
            <w:noWrap/>
            <w:tcMar>
              <w:top w:w="15" w:type="dxa"/>
              <w:left w:w="15" w:type="dxa"/>
              <w:bottom w:w="0" w:type="dxa"/>
              <w:right w:w="15" w:type="dxa"/>
            </w:tcMar>
            <w:vAlign w:val="center"/>
          </w:tcPr>
          <w:p w:rsidR="00FF5344" w:rsidRPr="00EF0531" w:rsidRDefault="00FF5344" w:rsidP="00FF5344">
            <w:pPr>
              <w:jc w:val="center"/>
              <w:rPr>
                <w:rFonts w:ascii="Arial" w:hAnsi="Arial" w:cs="Arial"/>
                <w:sz w:val="16"/>
                <w:szCs w:val="16"/>
              </w:rPr>
            </w:pPr>
          </w:p>
        </w:tc>
      </w:tr>
      <w:tr w:rsidR="00FF5344" w:rsidRPr="000E0A45" w:rsidTr="00FF5344">
        <w:trPr>
          <w:trHeight w:val="20"/>
        </w:trPr>
        <w:tc>
          <w:tcPr>
            <w:tcW w:w="9703" w:type="dxa"/>
            <w:gridSpan w:val="13"/>
            <w:shd w:val="clear" w:color="auto" w:fill="auto"/>
            <w:vAlign w:val="center"/>
          </w:tcPr>
          <w:p w:rsidR="00FF5344" w:rsidRPr="00EF0531" w:rsidRDefault="00FF5344" w:rsidP="00FF5344">
            <w:pPr>
              <w:jc w:val="center"/>
              <w:rPr>
                <w:rFonts w:ascii="Arial" w:hAnsi="Arial" w:cs="Arial"/>
                <w:sz w:val="16"/>
                <w:szCs w:val="16"/>
              </w:rPr>
            </w:pPr>
          </w:p>
        </w:tc>
      </w:tr>
      <w:tr w:rsidR="00FF5344" w:rsidRPr="000E0A45" w:rsidTr="00FF5344">
        <w:trPr>
          <w:trHeight w:val="20"/>
        </w:trPr>
        <w:tc>
          <w:tcPr>
            <w:tcW w:w="1433" w:type="dxa"/>
            <w:vMerge w:val="restart"/>
            <w:shd w:val="clear" w:color="auto" w:fill="FFFF99"/>
            <w:vAlign w:val="center"/>
          </w:tcPr>
          <w:p w:rsidR="00FF5344" w:rsidRPr="00EF0531" w:rsidRDefault="00FF5344" w:rsidP="00FF5344">
            <w:pPr>
              <w:rPr>
                <w:rFonts w:ascii="Arial" w:hAnsi="Arial" w:cs="Arial"/>
                <w:sz w:val="16"/>
                <w:szCs w:val="16"/>
              </w:rPr>
            </w:pPr>
            <w:r w:rsidRPr="00EF0531">
              <w:rPr>
                <w:rFonts w:ascii="Arial" w:hAnsi="Arial" w:cs="Arial"/>
                <w:sz w:val="16"/>
                <w:szCs w:val="16"/>
                <w:shd w:val="clear" w:color="auto" w:fill="FFFF99"/>
              </w:rPr>
              <w:t>Počet inštitúcií napojených na POVAPSYS [počet</w:t>
            </w:r>
            <w:r w:rsidRPr="00EF0531">
              <w:rPr>
                <w:rFonts w:ascii="Arial" w:hAnsi="Arial" w:cs="Arial"/>
                <w:sz w:val="16"/>
                <w:szCs w:val="16"/>
              </w:rPr>
              <w:t>]  výsledok</w:t>
            </w:r>
          </w:p>
        </w:tc>
        <w:tc>
          <w:tcPr>
            <w:tcW w:w="1182" w:type="dxa"/>
            <w:shd w:val="clear" w:color="auto" w:fill="CCFFFF"/>
            <w:noWrap/>
            <w:tcMar>
              <w:top w:w="15" w:type="dxa"/>
              <w:left w:w="15" w:type="dxa"/>
              <w:bottom w:w="0" w:type="dxa"/>
              <w:right w:w="15" w:type="dxa"/>
            </w:tcMar>
            <w:vAlign w:val="center"/>
          </w:tcPr>
          <w:p w:rsidR="00FF5344" w:rsidRPr="00EF0531" w:rsidRDefault="00FF5344" w:rsidP="00FF5344">
            <w:pPr>
              <w:rPr>
                <w:rFonts w:ascii="Arial" w:hAnsi="Arial" w:cs="Arial"/>
                <w:b/>
                <w:sz w:val="16"/>
                <w:szCs w:val="16"/>
              </w:rPr>
            </w:pPr>
            <w:r w:rsidRPr="00EF0531">
              <w:rPr>
                <w:rFonts w:ascii="Arial" w:hAnsi="Arial" w:cs="Arial"/>
                <w:b/>
                <w:sz w:val="16"/>
                <w:szCs w:val="16"/>
              </w:rPr>
              <w:t>Dosiahnutý výsledok</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bCs/>
                <w:sz w:val="16"/>
                <w:szCs w:val="16"/>
              </w:rPr>
            </w:pPr>
            <w:r w:rsidRPr="00EF0531">
              <w:rPr>
                <w:rFonts w:ascii="Arial" w:hAnsi="Arial" w:cs="Arial"/>
                <w:bCs/>
                <w:sz w:val="16"/>
                <w:szCs w:val="16"/>
              </w:rPr>
              <w:t>0</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Cs/>
                <w:sz w:val="16"/>
                <w:szCs w:val="16"/>
              </w:rPr>
            </w:pPr>
            <w:r w:rsidRPr="00EF0531">
              <w:rPr>
                <w:rFonts w:ascii="Arial" w:hAnsi="Arial" w:cs="Arial"/>
                <w:bCs/>
                <w:sz w:val="16"/>
                <w:szCs w:val="16"/>
              </w:rPr>
              <w:t>0</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Cs/>
                <w:sz w:val="16"/>
                <w:szCs w:val="16"/>
              </w:rPr>
            </w:pPr>
            <w:r w:rsidRPr="00EF0531">
              <w:rPr>
                <w:rFonts w:ascii="Arial" w:hAnsi="Arial" w:cs="Arial"/>
                <w:bCs/>
                <w:sz w:val="16"/>
                <w:szCs w:val="16"/>
              </w:rPr>
              <w:t>0</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Cs/>
                <w:sz w:val="16"/>
                <w:szCs w:val="16"/>
              </w:rPr>
            </w:pPr>
            <w:r w:rsidRPr="00EF0531">
              <w:rPr>
                <w:rFonts w:ascii="Arial" w:hAnsi="Arial" w:cs="Arial"/>
                <w:bCs/>
                <w:sz w:val="16"/>
                <w:szCs w:val="16"/>
              </w:rPr>
              <w:t>0</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Cs/>
                <w:sz w:val="16"/>
                <w:szCs w:val="16"/>
              </w:rPr>
            </w:pPr>
            <w:r w:rsidRPr="00EF0531">
              <w:rPr>
                <w:rFonts w:ascii="Arial" w:hAnsi="Arial" w:cs="Arial"/>
                <w:bCs/>
                <w:sz w:val="16"/>
                <w:szCs w:val="16"/>
              </w:rPr>
              <w:t>0</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Cs/>
                <w:sz w:val="16"/>
                <w:szCs w:val="16"/>
              </w:rPr>
            </w:pPr>
            <w:r w:rsidRPr="00EF0531">
              <w:rPr>
                <w:rFonts w:ascii="Arial" w:hAnsi="Arial" w:cs="Arial"/>
                <w:bCs/>
                <w:sz w:val="16"/>
                <w:szCs w:val="16"/>
              </w:rPr>
              <w:t>0</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Cs/>
                <w:sz w:val="16"/>
                <w:szCs w:val="16"/>
              </w:rPr>
            </w:pPr>
            <w:r w:rsidRPr="00EF0531">
              <w:rPr>
                <w:rFonts w:ascii="Arial" w:hAnsi="Arial" w:cs="Arial"/>
                <w:iCs/>
                <w:sz w:val="16"/>
                <w:szCs w:val="16"/>
              </w:rPr>
              <w:t>N/A</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Cs/>
                <w:sz w:val="16"/>
                <w:szCs w:val="16"/>
              </w:rPr>
            </w:pPr>
            <w:r w:rsidRPr="00EF0531">
              <w:rPr>
                <w:rFonts w:ascii="Arial" w:hAnsi="Arial" w:cs="Arial"/>
                <w:iCs/>
                <w:sz w:val="16"/>
                <w:szCs w:val="16"/>
              </w:rPr>
              <w:t>N/A</w:t>
            </w:r>
          </w:p>
        </w:tc>
        <w:tc>
          <w:tcPr>
            <w:tcW w:w="709" w:type="dxa"/>
            <w:noWrap/>
            <w:tcMar>
              <w:top w:w="15" w:type="dxa"/>
              <w:left w:w="15" w:type="dxa"/>
              <w:bottom w:w="0" w:type="dxa"/>
              <w:right w:w="15" w:type="dxa"/>
            </w:tcMar>
            <w:vAlign w:val="center"/>
          </w:tcPr>
          <w:p w:rsidR="00FF5344" w:rsidRPr="00EF0531" w:rsidRDefault="00FF5344" w:rsidP="00FF5344">
            <w:pPr>
              <w:jc w:val="center"/>
              <w:rPr>
                <w:rFonts w:ascii="Arial" w:hAnsi="Arial" w:cs="Arial"/>
                <w:iCs/>
                <w:sz w:val="16"/>
                <w:szCs w:val="16"/>
              </w:rPr>
            </w:pPr>
            <w:r w:rsidRPr="00EF0531">
              <w:rPr>
                <w:rFonts w:ascii="Arial" w:hAnsi="Arial" w:cs="Arial"/>
                <w:iCs/>
                <w:sz w:val="16"/>
                <w:szCs w:val="16"/>
              </w:rPr>
              <w:t>N/A</w:t>
            </w:r>
          </w:p>
        </w:tc>
        <w:tc>
          <w:tcPr>
            <w:tcW w:w="709" w:type="dxa"/>
            <w:noWrap/>
            <w:tcMar>
              <w:top w:w="15" w:type="dxa"/>
              <w:left w:w="15" w:type="dxa"/>
              <w:bottom w:w="0" w:type="dxa"/>
              <w:right w:w="15" w:type="dxa"/>
            </w:tcMar>
            <w:vAlign w:val="center"/>
          </w:tcPr>
          <w:p w:rsidR="00FF5344" w:rsidRPr="00EF0531" w:rsidRDefault="00FF5344" w:rsidP="00FF5344">
            <w:pPr>
              <w:jc w:val="center"/>
              <w:rPr>
                <w:rFonts w:ascii="Arial" w:hAnsi="Arial" w:cs="Arial"/>
                <w:b/>
                <w:bCs/>
                <w:sz w:val="16"/>
                <w:szCs w:val="16"/>
              </w:rPr>
            </w:pPr>
            <w:r w:rsidRPr="00EF0531">
              <w:rPr>
                <w:rFonts w:ascii="Arial" w:hAnsi="Arial" w:cs="Arial"/>
                <w:b/>
                <w:bCs/>
                <w:sz w:val="16"/>
                <w:szCs w:val="16"/>
              </w:rPr>
              <w:t>0</w:t>
            </w:r>
          </w:p>
        </w:tc>
        <w:tc>
          <w:tcPr>
            <w:tcW w:w="1134" w:type="dxa"/>
            <w:noWrap/>
            <w:tcMar>
              <w:top w:w="15" w:type="dxa"/>
              <w:left w:w="15" w:type="dxa"/>
              <w:bottom w:w="0" w:type="dxa"/>
              <w:right w:w="15" w:type="dxa"/>
            </w:tcMar>
            <w:vAlign w:val="center"/>
          </w:tcPr>
          <w:p w:rsidR="00FF5344" w:rsidRPr="00EF0531" w:rsidRDefault="00FF5344" w:rsidP="00FF5344">
            <w:pPr>
              <w:jc w:val="center"/>
              <w:rPr>
                <w:rFonts w:ascii="Arial" w:hAnsi="Arial" w:cs="Arial"/>
                <w:sz w:val="16"/>
                <w:szCs w:val="16"/>
              </w:rPr>
            </w:pPr>
          </w:p>
        </w:tc>
      </w:tr>
      <w:tr w:rsidR="00FF5344" w:rsidRPr="000E0A45" w:rsidTr="00FF5344">
        <w:trPr>
          <w:trHeight w:val="222"/>
        </w:trPr>
        <w:tc>
          <w:tcPr>
            <w:tcW w:w="1433" w:type="dxa"/>
            <w:vMerge/>
            <w:shd w:val="clear" w:color="auto" w:fill="FFFF99"/>
            <w:vAlign w:val="center"/>
          </w:tcPr>
          <w:p w:rsidR="00FF5344" w:rsidRPr="00EF0531" w:rsidRDefault="00FF5344" w:rsidP="00FF5344">
            <w:pPr>
              <w:rPr>
                <w:rFonts w:ascii="Arial" w:hAnsi="Arial" w:cs="Arial"/>
                <w:sz w:val="16"/>
                <w:szCs w:val="16"/>
              </w:rPr>
            </w:pPr>
          </w:p>
        </w:tc>
        <w:tc>
          <w:tcPr>
            <w:tcW w:w="1182" w:type="dxa"/>
            <w:shd w:val="clear" w:color="auto" w:fill="CCFFFF"/>
            <w:noWrap/>
            <w:tcMar>
              <w:top w:w="15" w:type="dxa"/>
              <w:left w:w="15" w:type="dxa"/>
              <w:bottom w:w="0" w:type="dxa"/>
              <w:right w:w="15" w:type="dxa"/>
            </w:tcMar>
            <w:vAlign w:val="center"/>
          </w:tcPr>
          <w:p w:rsidR="00FF5344" w:rsidRPr="00EF0531" w:rsidRDefault="00FF5344" w:rsidP="00FF5344">
            <w:pPr>
              <w:rPr>
                <w:rFonts w:ascii="Arial" w:hAnsi="Arial" w:cs="Arial"/>
                <w:b/>
                <w:sz w:val="16"/>
                <w:szCs w:val="16"/>
              </w:rPr>
            </w:pPr>
            <w:r w:rsidRPr="00EF0531">
              <w:rPr>
                <w:rFonts w:ascii="Arial" w:hAnsi="Arial" w:cs="Arial"/>
                <w:b/>
                <w:sz w:val="16"/>
                <w:szCs w:val="16"/>
              </w:rPr>
              <w:t>Cieľ</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bCs/>
                <w:sz w:val="16"/>
                <w:szCs w:val="16"/>
              </w:rPr>
            </w:pPr>
            <w:r w:rsidRPr="00EF0531">
              <w:rPr>
                <w:rFonts w:ascii="Arial" w:hAnsi="Arial" w:cs="Arial"/>
                <w:iCs/>
                <w:sz w:val="16"/>
                <w:szCs w:val="16"/>
              </w:rPr>
              <w:t>N/A</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Cs/>
                <w:sz w:val="16"/>
                <w:szCs w:val="16"/>
              </w:rPr>
            </w:pPr>
            <w:r w:rsidRPr="00EF0531">
              <w:rPr>
                <w:rFonts w:ascii="Arial" w:hAnsi="Arial" w:cs="Arial"/>
                <w:iCs/>
                <w:sz w:val="16"/>
                <w:szCs w:val="16"/>
              </w:rPr>
              <w:t>N/A</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Cs/>
                <w:sz w:val="16"/>
                <w:szCs w:val="16"/>
              </w:rPr>
            </w:pPr>
            <w:r w:rsidRPr="00EF0531">
              <w:rPr>
                <w:rFonts w:ascii="Arial" w:hAnsi="Arial" w:cs="Arial"/>
                <w:iCs/>
                <w:sz w:val="16"/>
                <w:szCs w:val="16"/>
              </w:rPr>
              <w:t>N/A</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Cs/>
                <w:sz w:val="16"/>
                <w:szCs w:val="16"/>
              </w:rPr>
            </w:pPr>
            <w:r w:rsidRPr="00EF0531">
              <w:rPr>
                <w:rFonts w:ascii="Arial" w:hAnsi="Arial" w:cs="Arial"/>
                <w:iCs/>
                <w:sz w:val="16"/>
                <w:szCs w:val="16"/>
              </w:rPr>
              <w:t>N/A</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Cs/>
                <w:sz w:val="16"/>
                <w:szCs w:val="16"/>
              </w:rPr>
            </w:pPr>
            <w:r w:rsidRPr="00EF0531">
              <w:rPr>
                <w:rFonts w:ascii="Arial" w:hAnsi="Arial" w:cs="Arial"/>
                <w:iCs/>
                <w:sz w:val="16"/>
                <w:szCs w:val="16"/>
              </w:rPr>
              <w:t>N/A</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Cs/>
                <w:sz w:val="16"/>
                <w:szCs w:val="16"/>
              </w:rPr>
            </w:pPr>
            <w:r w:rsidRPr="00EF0531">
              <w:rPr>
                <w:rFonts w:ascii="Arial" w:hAnsi="Arial" w:cs="Arial"/>
                <w:iCs/>
                <w:sz w:val="16"/>
                <w:szCs w:val="16"/>
              </w:rPr>
              <w:t>N/A</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Cs/>
                <w:sz w:val="16"/>
                <w:szCs w:val="16"/>
              </w:rPr>
            </w:pPr>
            <w:r w:rsidRPr="00EF0531">
              <w:rPr>
                <w:rFonts w:ascii="Arial" w:hAnsi="Arial" w:cs="Arial"/>
                <w:iCs/>
                <w:sz w:val="16"/>
                <w:szCs w:val="16"/>
              </w:rPr>
              <w:t>N/A</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Cs/>
                <w:sz w:val="16"/>
                <w:szCs w:val="16"/>
              </w:rPr>
            </w:pPr>
            <w:r w:rsidRPr="00EF0531">
              <w:rPr>
                <w:rFonts w:ascii="Arial" w:hAnsi="Arial" w:cs="Arial"/>
                <w:iCs/>
                <w:sz w:val="16"/>
                <w:szCs w:val="16"/>
              </w:rPr>
              <w:t>N/A</w:t>
            </w:r>
          </w:p>
        </w:tc>
        <w:tc>
          <w:tcPr>
            <w:tcW w:w="709" w:type="dxa"/>
            <w:noWrap/>
            <w:tcMar>
              <w:top w:w="15" w:type="dxa"/>
              <w:left w:w="15" w:type="dxa"/>
              <w:bottom w:w="0" w:type="dxa"/>
              <w:right w:w="15" w:type="dxa"/>
            </w:tcMar>
            <w:vAlign w:val="center"/>
          </w:tcPr>
          <w:p w:rsidR="00FF5344" w:rsidRPr="00EF0531" w:rsidRDefault="00FF5344" w:rsidP="00FF5344">
            <w:pPr>
              <w:jc w:val="center"/>
              <w:rPr>
                <w:rFonts w:ascii="Arial" w:hAnsi="Arial" w:cs="Arial"/>
                <w:iCs/>
                <w:sz w:val="16"/>
                <w:szCs w:val="16"/>
              </w:rPr>
            </w:pPr>
            <w:r w:rsidRPr="00EF0531">
              <w:rPr>
                <w:rFonts w:ascii="Arial" w:hAnsi="Arial" w:cs="Arial"/>
                <w:iCs/>
                <w:sz w:val="16"/>
                <w:szCs w:val="16"/>
              </w:rPr>
              <w:t>3</w:t>
            </w:r>
          </w:p>
        </w:tc>
        <w:tc>
          <w:tcPr>
            <w:tcW w:w="709" w:type="dxa"/>
            <w:noWrap/>
            <w:tcMar>
              <w:top w:w="15" w:type="dxa"/>
              <w:left w:w="15" w:type="dxa"/>
              <w:bottom w:w="0" w:type="dxa"/>
              <w:right w:w="15" w:type="dxa"/>
            </w:tcMar>
            <w:vAlign w:val="center"/>
          </w:tcPr>
          <w:p w:rsidR="00FF5344" w:rsidRPr="00EF0531" w:rsidRDefault="00FF5344" w:rsidP="00FF5344">
            <w:pPr>
              <w:jc w:val="center"/>
              <w:rPr>
                <w:rFonts w:ascii="Arial" w:hAnsi="Arial" w:cs="Arial"/>
                <w:b/>
                <w:bCs/>
                <w:sz w:val="16"/>
                <w:szCs w:val="16"/>
              </w:rPr>
            </w:pPr>
            <w:r w:rsidRPr="00EF0531">
              <w:rPr>
                <w:rFonts w:ascii="Arial" w:hAnsi="Arial" w:cs="Arial"/>
                <w:b/>
                <w:bCs/>
                <w:sz w:val="16"/>
                <w:szCs w:val="16"/>
              </w:rPr>
              <w:t>3</w:t>
            </w:r>
          </w:p>
        </w:tc>
        <w:tc>
          <w:tcPr>
            <w:tcW w:w="1134" w:type="dxa"/>
            <w:noWrap/>
            <w:tcMar>
              <w:top w:w="15" w:type="dxa"/>
              <w:left w:w="15" w:type="dxa"/>
              <w:bottom w:w="0" w:type="dxa"/>
              <w:right w:w="15" w:type="dxa"/>
            </w:tcMar>
            <w:vAlign w:val="center"/>
          </w:tcPr>
          <w:p w:rsidR="00FF5344" w:rsidRPr="00EF0531" w:rsidRDefault="00FF5344" w:rsidP="00FF5344">
            <w:pPr>
              <w:jc w:val="center"/>
              <w:rPr>
                <w:rFonts w:ascii="Arial" w:hAnsi="Arial" w:cs="Arial"/>
                <w:sz w:val="16"/>
                <w:szCs w:val="16"/>
              </w:rPr>
            </w:pPr>
          </w:p>
        </w:tc>
      </w:tr>
      <w:tr w:rsidR="00FF5344" w:rsidRPr="000E0A45" w:rsidTr="00FF5344">
        <w:trPr>
          <w:trHeight w:val="20"/>
        </w:trPr>
        <w:tc>
          <w:tcPr>
            <w:tcW w:w="1433" w:type="dxa"/>
            <w:vMerge/>
            <w:shd w:val="clear" w:color="auto" w:fill="FFFF99"/>
            <w:vAlign w:val="center"/>
          </w:tcPr>
          <w:p w:rsidR="00FF5344" w:rsidRPr="00EF0531" w:rsidRDefault="00FF5344" w:rsidP="00FF5344">
            <w:pPr>
              <w:rPr>
                <w:rFonts w:ascii="Arial" w:hAnsi="Arial" w:cs="Arial"/>
                <w:sz w:val="16"/>
                <w:szCs w:val="16"/>
              </w:rPr>
            </w:pPr>
          </w:p>
        </w:tc>
        <w:tc>
          <w:tcPr>
            <w:tcW w:w="1182" w:type="dxa"/>
            <w:shd w:val="clear" w:color="auto" w:fill="CCFFFF"/>
            <w:noWrap/>
            <w:tcMar>
              <w:top w:w="15" w:type="dxa"/>
              <w:left w:w="15" w:type="dxa"/>
              <w:bottom w:w="0" w:type="dxa"/>
              <w:right w:w="15" w:type="dxa"/>
            </w:tcMar>
            <w:vAlign w:val="center"/>
          </w:tcPr>
          <w:p w:rsidR="00FF5344" w:rsidRPr="00EF0531" w:rsidRDefault="00FF5344" w:rsidP="00FF5344">
            <w:pPr>
              <w:rPr>
                <w:rFonts w:ascii="Arial" w:hAnsi="Arial" w:cs="Arial"/>
                <w:b/>
                <w:sz w:val="16"/>
                <w:szCs w:val="16"/>
              </w:rPr>
            </w:pPr>
            <w:r w:rsidRPr="00EF0531">
              <w:rPr>
                <w:rFonts w:ascii="Arial" w:hAnsi="Arial" w:cs="Arial"/>
                <w:b/>
                <w:sz w:val="16"/>
                <w:szCs w:val="16"/>
              </w:rPr>
              <w:t>Východisko</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bCs/>
                <w:sz w:val="16"/>
                <w:szCs w:val="16"/>
              </w:rPr>
            </w:pPr>
            <w:r w:rsidRPr="00EF0531">
              <w:rPr>
                <w:rFonts w:ascii="Arial" w:hAnsi="Arial" w:cs="Arial"/>
                <w:bCs/>
                <w:sz w:val="16"/>
                <w:szCs w:val="16"/>
              </w:rPr>
              <w:t>1</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Cs/>
                <w:sz w:val="16"/>
                <w:szCs w:val="16"/>
              </w:rPr>
            </w:pPr>
            <w:r w:rsidRPr="00EF0531">
              <w:rPr>
                <w:rFonts w:ascii="Arial" w:hAnsi="Arial" w:cs="Arial"/>
                <w:iCs/>
                <w:sz w:val="16"/>
                <w:szCs w:val="16"/>
              </w:rPr>
              <w:t>N/A</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Cs/>
                <w:sz w:val="16"/>
                <w:szCs w:val="16"/>
              </w:rPr>
            </w:pPr>
            <w:r w:rsidRPr="00EF0531">
              <w:rPr>
                <w:rFonts w:ascii="Arial" w:hAnsi="Arial" w:cs="Arial"/>
                <w:iCs/>
                <w:sz w:val="16"/>
                <w:szCs w:val="16"/>
              </w:rPr>
              <w:t>N/A</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Cs/>
                <w:sz w:val="16"/>
                <w:szCs w:val="16"/>
              </w:rPr>
            </w:pPr>
            <w:r w:rsidRPr="00EF0531">
              <w:rPr>
                <w:rFonts w:ascii="Arial" w:hAnsi="Arial" w:cs="Arial"/>
                <w:iCs/>
                <w:sz w:val="16"/>
                <w:szCs w:val="16"/>
              </w:rPr>
              <w:t>N/A</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Cs/>
                <w:sz w:val="16"/>
                <w:szCs w:val="16"/>
              </w:rPr>
            </w:pPr>
            <w:r w:rsidRPr="00EF0531">
              <w:rPr>
                <w:rFonts w:ascii="Arial" w:hAnsi="Arial" w:cs="Arial"/>
                <w:iCs/>
                <w:sz w:val="16"/>
                <w:szCs w:val="16"/>
              </w:rPr>
              <w:t>N/A</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Cs/>
                <w:sz w:val="16"/>
                <w:szCs w:val="16"/>
              </w:rPr>
            </w:pPr>
            <w:r w:rsidRPr="00EF0531">
              <w:rPr>
                <w:rFonts w:ascii="Arial" w:hAnsi="Arial" w:cs="Arial"/>
                <w:iCs/>
                <w:sz w:val="16"/>
                <w:szCs w:val="16"/>
              </w:rPr>
              <w:t>N/A</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Cs/>
                <w:sz w:val="16"/>
                <w:szCs w:val="16"/>
              </w:rPr>
            </w:pPr>
            <w:r w:rsidRPr="00EF0531">
              <w:rPr>
                <w:rFonts w:ascii="Arial" w:hAnsi="Arial" w:cs="Arial"/>
                <w:iCs/>
                <w:sz w:val="16"/>
                <w:szCs w:val="16"/>
              </w:rPr>
              <w:t>N/A</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Cs/>
                <w:sz w:val="16"/>
                <w:szCs w:val="16"/>
              </w:rPr>
            </w:pPr>
            <w:r w:rsidRPr="00EF0531">
              <w:rPr>
                <w:rFonts w:ascii="Arial" w:hAnsi="Arial" w:cs="Arial"/>
                <w:iCs/>
                <w:sz w:val="16"/>
                <w:szCs w:val="16"/>
              </w:rPr>
              <w:t>N/A</w:t>
            </w:r>
          </w:p>
        </w:tc>
        <w:tc>
          <w:tcPr>
            <w:tcW w:w="709" w:type="dxa"/>
            <w:noWrap/>
            <w:tcMar>
              <w:top w:w="15" w:type="dxa"/>
              <w:left w:w="15" w:type="dxa"/>
              <w:bottom w:w="0" w:type="dxa"/>
              <w:right w:w="15" w:type="dxa"/>
            </w:tcMar>
            <w:vAlign w:val="center"/>
          </w:tcPr>
          <w:p w:rsidR="00FF5344" w:rsidRPr="00EF0531" w:rsidRDefault="00FF5344" w:rsidP="00FF5344">
            <w:pPr>
              <w:jc w:val="center"/>
              <w:rPr>
                <w:rFonts w:ascii="Arial" w:hAnsi="Arial" w:cs="Arial"/>
                <w:iCs/>
                <w:sz w:val="16"/>
                <w:szCs w:val="16"/>
              </w:rPr>
            </w:pPr>
            <w:r w:rsidRPr="00EF0531">
              <w:rPr>
                <w:rFonts w:ascii="Arial" w:hAnsi="Arial" w:cs="Arial"/>
                <w:iCs/>
                <w:sz w:val="16"/>
                <w:szCs w:val="16"/>
              </w:rPr>
              <w:t>N/A</w:t>
            </w:r>
          </w:p>
        </w:tc>
        <w:tc>
          <w:tcPr>
            <w:tcW w:w="709" w:type="dxa"/>
            <w:noWrap/>
            <w:tcMar>
              <w:top w:w="15" w:type="dxa"/>
              <w:left w:w="15" w:type="dxa"/>
              <w:bottom w:w="0" w:type="dxa"/>
              <w:right w:w="15" w:type="dxa"/>
            </w:tcMar>
            <w:vAlign w:val="center"/>
          </w:tcPr>
          <w:p w:rsidR="00FF5344" w:rsidRPr="00EF0531" w:rsidRDefault="00FF5344" w:rsidP="00FF5344">
            <w:pPr>
              <w:jc w:val="center"/>
              <w:rPr>
                <w:rFonts w:ascii="Arial" w:hAnsi="Arial" w:cs="Arial"/>
                <w:b/>
                <w:bCs/>
                <w:sz w:val="16"/>
                <w:szCs w:val="16"/>
              </w:rPr>
            </w:pPr>
            <w:r w:rsidRPr="00EF0531">
              <w:rPr>
                <w:rFonts w:ascii="Arial" w:hAnsi="Arial" w:cs="Arial"/>
                <w:b/>
                <w:bCs/>
                <w:sz w:val="16"/>
                <w:szCs w:val="16"/>
              </w:rPr>
              <w:t>1</w:t>
            </w:r>
          </w:p>
        </w:tc>
        <w:tc>
          <w:tcPr>
            <w:tcW w:w="1134" w:type="dxa"/>
            <w:noWrap/>
            <w:tcMar>
              <w:top w:w="15" w:type="dxa"/>
              <w:left w:w="15" w:type="dxa"/>
              <w:bottom w:w="0" w:type="dxa"/>
              <w:right w:w="15" w:type="dxa"/>
            </w:tcMar>
            <w:vAlign w:val="center"/>
          </w:tcPr>
          <w:p w:rsidR="00FF5344" w:rsidRPr="00EF0531" w:rsidRDefault="00FF5344" w:rsidP="00FF5344">
            <w:pPr>
              <w:jc w:val="center"/>
              <w:rPr>
                <w:rFonts w:ascii="Arial" w:hAnsi="Arial" w:cs="Arial"/>
                <w:sz w:val="16"/>
                <w:szCs w:val="16"/>
              </w:rPr>
            </w:pPr>
          </w:p>
        </w:tc>
      </w:tr>
      <w:tr w:rsidR="00FF5344" w:rsidRPr="000E0A45" w:rsidTr="00FF5344">
        <w:trPr>
          <w:trHeight w:val="20"/>
        </w:trPr>
        <w:tc>
          <w:tcPr>
            <w:tcW w:w="9703" w:type="dxa"/>
            <w:gridSpan w:val="13"/>
            <w:shd w:val="clear" w:color="auto" w:fill="auto"/>
            <w:vAlign w:val="center"/>
          </w:tcPr>
          <w:p w:rsidR="00FF5344" w:rsidRPr="00EF0531" w:rsidRDefault="00FF5344" w:rsidP="00FF5344">
            <w:pPr>
              <w:jc w:val="center"/>
              <w:rPr>
                <w:rFonts w:ascii="Arial" w:hAnsi="Arial" w:cs="Arial"/>
                <w:sz w:val="16"/>
                <w:szCs w:val="16"/>
              </w:rPr>
            </w:pPr>
          </w:p>
        </w:tc>
      </w:tr>
      <w:tr w:rsidR="00FF5344" w:rsidRPr="000E0A45" w:rsidTr="00FF5344">
        <w:trPr>
          <w:trHeight w:val="20"/>
        </w:trPr>
        <w:tc>
          <w:tcPr>
            <w:tcW w:w="1433" w:type="dxa"/>
            <w:vMerge w:val="restart"/>
            <w:shd w:val="clear" w:color="auto" w:fill="FFFF99"/>
          </w:tcPr>
          <w:p w:rsidR="00FF5344" w:rsidRPr="00EF0531" w:rsidRDefault="00FF5344" w:rsidP="00FF5344">
            <w:pPr>
              <w:rPr>
                <w:rFonts w:ascii="Arial" w:eastAsia="EUAlbertina-Regular-Identity-H" w:hAnsi="Arial" w:cs="Arial"/>
                <w:b/>
                <w:sz w:val="16"/>
                <w:szCs w:val="16"/>
              </w:rPr>
            </w:pPr>
            <w:r w:rsidRPr="00EF0531">
              <w:rPr>
                <w:rFonts w:ascii="Arial" w:eastAsia="EUAlbertina-Regular-Identity-H" w:hAnsi="Arial" w:cs="Arial"/>
                <w:sz w:val="16"/>
                <w:szCs w:val="16"/>
              </w:rPr>
              <w:t>Počet novovytvorených pracovných miest (počet) dopad</w:t>
            </w:r>
          </w:p>
        </w:tc>
        <w:tc>
          <w:tcPr>
            <w:tcW w:w="1182" w:type="dxa"/>
            <w:shd w:val="clear" w:color="auto" w:fill="CCFFFF"/>
            <w:noWrap/>
            <w:tcMar>
              <w:top w:w="15" w:type="dxa"/>
              <w:left w:w="15" w:type="dxa"/>
              <w:bottom w:w="0" w:type="dxa"/>
              <w:right w:w="15" w:type="dxa"/>
            </w:tcMar>
            <w:vAlign w:val="center"/>
          </w:tcPr>
          <w:p w:rsidR="00FF5344" w:rsidRPr="00EF0531" w:rsidRDefault="00FF5344" w:rsidP="00FF5344">
            <w:pPr>
              <w:rPr>
                <w:rFonts w:ascii="Arial" w:eastAsia="EUAlbertina-Regular-Identity-H" w:hAnsi="Arial" w:cs="Arial"/>
                <w:b/>
                <w:sz w:val="16"/>
                <w:szCs w:val="16"/>
              </w:rPr>
            </w:pPr>
            <w:r w:rsidRPr="00EF0531">
              <w:rPr>
                <w:rFonts w:ascii="Arial" w:eastAsia="EUAlbertina-Regular-Identity-H" w:hAnsi="Arial" w:cs="Arial"/>
                <w:b/>
                <w:sz w:val="16"/>
                <w:szCs w:val="16"/>
              </w:rPr>
              <w:t>Dosiahnutý výsledok</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sz w:val="16"/>
                <w:szCs w:val="16"/>
              </w:rPr>
            </w:pPr>
            <w:r w:rsidRPr="00EF0531">
              <w:rPr>
                <w:rFonts w:ascii="Arial" w:hAnsi="Arial" w:cs="Arial"/>
                <w:sz w:val="16"/>
                <w:szCs w:val="16"/>
              </w:rPr>
              <w:t>0</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sz w:val="16"/>
                <w:szCs w:val="16"/>
              </w:rPr>
            </w:pPr>
            <w:r w:rsidRPr="00EF0531">
              <w:rPr>
                <w:rFonts w:ascii="Arial" w:hAnsi="Arial" w:cs="Arial"/>
                <w:sz w:val="16"/>
                <w:szCs w:val="16"/>
              </w:rPr>
              <w:t>0</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sz w:val="16"/>
                <w:szCs w:val="16"/>
              </w:rPr>
            </w:pPr>
            <w:r w:rsidRPr="00EF0531">
              <w:rPr>
                <w:rFonts w:ascii="Arial" w:hAnsi="Arial" w:cs="Arial"/>
                <w:sz w:val="16"/>
                <w:szCs w:val="16"/>
              </w:rPr>
              <w:t>0</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sz w:val="16"/>
                <w:szCs w:val="16"/>
              </w:rPr>
            </w:pPr>
            <w:r w:rsidRPr="00EF0531">
              <w:rPr>
                <w:rFonts w:ascii="Arial" w:hAnsi="Arial" w:cs="Arial"/>
                <w:sz w:val="16"/>
                <w:szCs w:val="16"/>
              </w:rPr>
              <w:t>0</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sz w:val="16"/>
                <w:szCs w:val="16"/>
              </w:rPr>
            </w:pPr>
            <w:r w:rsidRPr="00EF0531">
              <w:rPr>
                <w:rFonts w:ascii="Arial" w:hAnsi="Arial" w:cs="Arial"/>
                <w:sz w:val="16"/>
                <w:szCs w:val="16"/>
              </w:rPr>
              <w:t>0</w:t>
            </w:r>
          </w:p>
        </w:tc>
        <w:tc>
          <w:tcPr>
            <w:tcW w:w="567" w:type="dxa"/>
            <w:noWrap/>
            <w:tcMar>
              <w:top w:w="15" w:type="dxa"/>
              <w:left w:w="15" w:type="dxa"/>
              <w:bottom w:w="0" w:type="dxa"/>
              <w:right w:w="15" w:type="dxa"/>
            </w:tcMar>
            <w:vAlign w:val="center"/>
          </w:tcPr>
          <w:p w:rsidR="00FF5344" w:rsidRPr="00EF0531" w:rsidRDefault="00961A0E" w:rsidP="00FF5344">
            <w:pPr>
              <w:jc w:val="center"/>
              <w:rPr>
                <w:rFonts w:ascii="Arial" w:hAnsi="Arial" w:cs="Arial"/>
                <w:sz w:val="16"/>
                <w:szCs w:val="16"/>
              </w:rPr>
            </w:pPr>
            <w:r>
              <w:rPr>
                <w:rFonts w:ascii="Arial" w:hAnsi="Arial" w:cs="Arial"/>
                <w:sz w:val="16"/>
                <w:szCs w:val="16"/>
              </w:rPr>
              <w:t>0</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rPr>
            </w:pPr>
            <w:r w:rsidRPr="00EF0531">
              <w:rPr>
                <w:rFonts w:ascii="Arial" w:hAnsi="Arial" w:cs="Arial"/>
                <w:sz w:val="16"/>
                <w:szCs w:val="16"/>
              </w:rPr>
              <w:t>N/A</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rPr>
            </w:pPr>
            <w:r w:rsidRPr="00EF0531">
              <w:rPr>
                <w:rFonts w:ascii="Arial" w:hAnsi="Arial" w:cs="Arial"/>
                <w:sz w:val="16"/>
                <w:szCs w:val="16"/>
              </w:rPr>
              <w:t>N/A</w:t>
            </w:r>
          </w:p>
        </w:tc>
        <w:tc>
          <w:tcPr>
            <w:tcW w:w="709" w:type="dxa"/>
            <w:noWrap/>
            <w:tcMar>
              <w:top w:w="15" w:type="dxa"/>
              <w:left w:w="15" w:type="dxa"/>
              <w:bottom w:w="0" w:type="dxa"/>
              <w:right w:w="15" w:type="dxa"/>
            </w:tcMar>
            <w:vAlign w:val="center"/>
          </w:tcPr>
          <w:p w:rsidR="00FF5344" w:rsidRPr="00EF0531" w:rsidRDefault="00FF5344" w:rsidP="00FF5344">
            <w:pPr>
              <w:jc w:val="center"/>
              <w:rPr>
                <w:rFonts w:ascii="Arial" w:hAnsi="Arial" w:cs="Arial"/>
              </w:rPr>
            </w:pPr>
            <w:r w:rsidRPr="00EF0531">
              <w:rPr>
                <w:rFonts w:ascii="Arial" w:hAnsi="Arial" w:cs="Arial"/>
                <w:sz w:val="16"/>
                <w:szCs w:val="16"/>
              </w:rPr>
              <w:t>N/A</w:t>
            </w:r>
          </w:p>
        </w:tc>
        <w:tc>
          <w:tcPr>
            <w:tcW w:w="709" w:type="dxa"/>
            <w:noWrap/>
            <w:tcMar>
              <w:top w:w="15" w:type="dxa"/>
              <w:left w:w="15" w:type="dxa"/>
              <w:bottom w:w="0" w:type="dxa"/>
              <w:right w:w="15" w:type="dxa"/>
            </w:tcMar>
            <w:vAlign w:val="center"/>
          </w:tcPr>
          <w:p w:rsidR="00FF5344" w:rsidRPr="00EF0531" w:rsidRDefault="002A361C" w:rsidP="00FF5344">
            <w:pPr>
              <w:jc w:val="center"/>
              <w:rPr>
                <w:rFonts w:ascii="Arial" w:hAnsi="Arial" w:cs="Arial"/>
                <w:b/>
                <w:sz w:val="16"/>
                <w:szCs w:val="16"/>
              </w:rPr>
            </w:pPr>
            <w:r w:rsidRPr="00EF0531">
              <w:rPr>
                <w:rFonts w:ascii="Arial" w:hAnsi="Arial" w:cs="Arial"/>
                <w:b/>
                <w:sz w:val="16"/>
                <w:szCs w:val="16"/>
              </w:rPr>
              <w:t>0</w:t>
            </w:r>
          </w:p>
        </w:tc>
        <w:tc>
          <w:tcPr>
            <w:tcW w:w="1134" w:type="dxa"/>
            <w:noWrap/>
            <w:tcMar>
              <w:top w:w="15" w:type="dxa"/>
              <w:left w:w="15" w:type="dxa"/>
              <w:bottom w:w="0" w:type="dxa"/>
              <w:right w:w="15" w:type="dxa"/>
            </w:tcMar>
            <w:vAlign w:val="center"/>
          </w:tcPr>
          <w:p w:rsidR="00FF5344" w:rsidRPr="00EF0531" w:rsidRDefault="00FF5344" w:rsidP="00FF5344">
            <w:pPr>
              <w:rPr>
                <w:rFonts w:ascii="Arial" w:hAnsi="Arial" w:cs="Arial"/>
                <w:sz w:val="16"/>
                <w:szCs w:val="16"/>
              </w:rPr>
            </w:pPr>
          </w:p>
        </w:tc>
      </w:tr>
      <w:tr w:rsidR="00FF5344" w:rsidRPr="000E0A45" w:rsidTr="00FF5344">
        <w:trPr>
          <w:trHeight w:val="20"/>
        </w:trPr>
        <w:tc>
          <w:tcPr>
            <w:tcW w:w="1433" w:type="dxa"/>
            <w:vMerge/>
            <w:shd w:val="clear" w:color="auto" w:fill="FFFF99"/>
          </w:tcPr>
          <w:p w:rsidR="00FF5344" w:rsidRPr="00EF0531" w:rsidRDefault="00FF5344" w:rsidP="00FF5344">
            <w:pPr>
              <w:rPr>
                <w:rFonts w:ascii="Arial" w:hAnsi="Arial" w:cs="Arial"/>
                <w:sz w:val="16"/>
                <w:szCs w:val="16"/>
              </w:rPr>
            </w:pPr>
          </w:p>
        </w:tc>
        <w:tc>
          <w:tcPr>
            <w:tcW w:w="1182" w:type="dxa"/>
            <w:shd w:val="clear" w:color="auto" w:fill="CCFFFF"/>
            <w:noWrap/>
            <w:tcMar>
              <w:top w:w="15" w:type="dxa"/>
              <w:left w:w="15" w:type="dxa"/>
              <w:bottom w:w="0" w:type="dxa"/>
              <w:right w:w="15" w:type="dxa"/>
            </w:tcMar>
            <w:vAlign w:val="center"/>
          </w:tcPr>
          <w:p w:rsidR="00FF5344" w:rsidRPr="00EF0531" w:rsidRDefault="00FF5344" w:rsidP="00FF5344">
            <w:pPr>
              <w:rPr>
                <w:rFonts w:ascii="Arial" w:hAnsi="Arial" w:cs="Arial"/>
                <w:sz w:val="16"/>
                <w:szCs w:val="16"/>
              </w:rPr>
            </w:pPr>
            <w:r w:rsidRPr="00EF0531">
              <w:rPr>
                <w:rFonts w:ascii="Arial" w:eastAsia="EUAlbertina-Regular-Identity-H" w:hAnsi="Arial" w:cs="Arial"/>
                <w:b/>
                <w:sz w:val="16"/>
                <w:szCs w:val="16"/>
              </w:rPr>
              <w:t>Cieľ</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b/>
                <w:bCs/>
                <w:sz w:val="16"/>
                <w:szCs w:val="16"/>
              </w:rPr>
            </w:pPr>
            <w:r w:rsidRPr="00EF0531">
              <w:rPr>
                <w:rFonts w:ascii="Arial" w:hAnsi="Arial" w:cs="Arial"/>
                <w:sz w:val="16"/>
                <w:szCs w:val="16"/>
              </w:rPr>
              <w:t>N/A</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
                <w:iCs/>
                <w:sz w:val="16"/>
                <w:szCs w:val="16"/>
              </w:rPr>
            </w:pPr>
            <w:r w:rsidRPr="00EF0531">
              <w:rPr>
                <w:rFonts w:ascii="Arial" w:hAnsi="Arial" w:cs="Arial"/>
                <w:sz w:val="16"/>
                <w:szCs w:val="16"/>
              </w:rPr>
              <w:t>N/A</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
                <w:iCs/>
                <w:sz w:val="16"/>
                <w:szCs w:val="16"/>
              </w:rPr>
            </w:pPr>
            <w:r w:rsidRPr="00EF0531">
              <w:rPr>
                <w:rFonts w:ascii="Arial" w:hAnsi="Arial" w:cs="Arial"/>
                <w:sz w:val="16"/>
                <w:szCs w:val="16"/>
              </w:rPr>
              <w:t>N/A</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
                <w:iCs/>
                <w:sz w:val="16"/>
                <w:szCs w:val="16"/>
              </w:rPr>
            </w:pPr>
            <w:r w:rsidRPr="00EF0531">
              <w:rPr>
                <w:rFonts w:ascii="Arial" w:hAnsi="Arial" w:cs="Arial"/>
                <w:sz w:val="16"/>
                <w:szCs w:val="16"/>
              </w:rPr>
              <w:t>N/A</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
                <w:iCs/>
                <w:sz w:val="16"/>
                <w:szCs w:val="16"/>
              </w:rPr>
            </w:pPr>
            <w:r w:rsidRPr="00EF0531">
              <w:rPr>
                <w:rFonts w:ascii="Arial" w:hAnsi="Arial" w:cs="Arial"/>
                <w:sz w:val="16"/>
                <w:szCs w:val="16"/>
              </w:rPr>
              <w:t>N/A</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
                <w:iCs/>
                <w:sz w:val="16"/>
                <w:szCs w:val="16"/>
              </w:rPr>
            </w:pPr>
            <w:r w:rsidRPr="00EF0531">
              <w:rPr>
                <w:rFonts w:ascii="Arial" w:hAnsi="Arial" w:cs="Arial"/>
                <w:sz w:val="16"/>
                <w:szCs w:val="16"/>
              </w:rPr>
              <w:t>N/A</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
                <w:iCs/>
                <w:sz w:val="16"/>
                <w:szCs w:val="16"/>
              </w:rPr>
            </w:pPr>
            <w:r w:rsidRPr="00EF0531">
              <w:rPr>
                <w:rFonts w:ascii="Arial" w:hAnsi="Arial" w:cs="Arial"/>
                <w:sz w:val="16"/>
                <w:szCs w:val="16"/>
              </w:rPr>
              <w:t>N/A</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
                <w:iCs/>
                <w:sz w:val="16"/>
                <w:szCs w:val="16"/>
              </w:rPr>
            </w:pPr>
            <w:r w:rsidRPr="00EF0531">
              <w:rPr>
                <w:rFonts w:ascii="Arial" w:hAnsi="Arial" w:cs="Arial"/>
                <w:sz w:val="16"/>
                <w:szCs w:val="16"/>
              </w:rPr>
              <w:t>N/A</w:t>
            </w:r>
          </w:p>
        </w:tc>
        <w:tc>
          <w:tcPr>
            <w:tcW w:w="709" w:type="dxa"/>
            <w:noWrap/>
            <w:tcMar>
              <w:top w:w="15" w:type="dxa"/>
              <w:left w:w="15" w:type="dxa"/>
              <w:bottom w:w="0" w:type="dxa"/>
              <w:right w:w="15" w:type="dxa"/>
            </w:tcMar>
            <w:vAlign w:val="center"/>
          </w:tcPr>
          <w:p w:rsidR="00FF5344" w:rsidRPr="00EF0531" w:rsidRDefault="00FF5344" w:rsidP="00FF5344">
            <w:pPr>
              <w:jc w:val="center"/>
              <w:rPr>
                <w:rFonts w:ascii="Arial" w:hAnsi="Arial" w:cs="Arial"/>
                <w:i/>
                <w:iCs/>
                <w:sz w:val="16"/>
                <w:szCs w:val="16"/>
              </w:rPr>
            </w:pPr>
            <w:r w:rsidRPr="00EF0531">
              <w:rPr>
                <w:rFonts w:ascii="Arial" w:hAnsi="Arial" w:cs="Arial"/>
                <w:sz w:val="16"/>
                <w:szCs w:val="16"/>
              </w:rPr>
              <w:t>1</w:t>
            </w:r>
          </w:p>
        </w:tc>
        <w:tc>
          <w:tcPr>
            <w:tcW w:w="709" w:type="dxa"/>
            <w:noWrap/>
            <w:tcMar>
              <w:top w:w="15" w:type="dxa"/>
              <w:left w:w="15" w:type="dxa"/>
              <w:bottom w:w="0" w:type="dxa"/>
              <w:right w:w="15" w:type="dxa"/>
            </w:tcMar>
            <w:vAlign w:val="center"/>
          </w:tcPr>
          <w:p w:rsidR="00FF5344" w:rsidRPr="00EF0531" w:rsidRDefault="00FF5344" w:rsidP="00FF5344">
            <w:pPr>
              <w:jc w:val="center"/>
              <w:rPr>
                <w:rFonts w:ascii="Arial" w:hAnsi="Arial" w:cs="Arial"/>
                <w:b/>
                <w:bCs/>
                <w:sz w:val="16"/>
                <w:szCs w:val="16"/>
              </w:rPr>
            </w:pPr>
            <w:r w:rsidRPr="00EF0531">
              <w:rPr>
                <w:rFonts w:ascii="Arial" w:hAnsi="Arial" w:cs="Arial"/>
                <w:b/>
                <w:sz w:val="16"/>
                <w:szCs w:val="16"/>
              </w:rPr>
              <w:t>1</w:t>
            </w:r>
          </w:p>
        </w:tc>
        <w:tc>
          <w:tcPr>
            <w:tcW w:w="1134" w:type="dxa"/>
            <w:noWrap/>
            <w:tcMar>
              <w:top w:w="15" w:type="dxa"/>
              <w:left w:w="15" w:type="dxa"/>
              <w:bottom w:w="0" w:type="dxa"/>
              <w:right w:w="15" w:type="dxa"/>
            </w:tcMar>
            <w:vAlign w:val="center"/>
          </w:tcPr>
          <w:p w:rsidR="00FF5344" w:rsidRPr="00EF0531" w:rsidRDefault="00FF5344" w:rsidP="00FF5344">
            <w:pPr>
              <w:jc w:val="center"/>
              <w:rPr>
                <w:rFonts w:ascii="Arial" w:hAnsi="Arial" w:cs="Arial"/>
                <w:sz w:val="16"/>
                <w:szCs w:val="16"/>
              </w:rPr>
            </w:pPr>
          </w:p>
        </w:tc>
      </w:tr>
      <w:tr w:rsidR="00FF5344" w:rsidRPr="000E0A45" w:rsidTr="00FF5344">
        <w:trPr>
          <w:trHeight w:val="20"/>
        </w:trPr>
        <w:tc>
          <w:tcPr>
            <w:tcW w:w="1433" w:type="dxa"/>
            <w:vMerge/>
            <w:tcBorders>
              <w:bottom w:val="single" w:sz="4" w:space="0" w:color="auto"/>
            </w:tcBorders>
            <w:shd w:val="clear" w:color="auto" w:fill="FFFF99"/>
          </w:tcPr>
          <w:p w:rsidR="00FF5344" w:rsidRPr="00EF0531" w:rsidRDefault="00FF5344" w:rsidP="00FF5344">
            <w:pPr>
              <w:rPr>
                <w:rFonts w:ascii="Arial" w:hAnsi="Arial" w:cs="Arial"/>
                <w:sz w:val="16"/>
                <w:szCs w:val="16"/>
              </w:rPr>
            </w:pPr>
          </w:p>
        </w:tc>
        <w:tc>
          <w:tcPr>
            <w:tcW w:w="1182" w:type="dxa"/>
            <w:tcBorders>
              <w:bottom w:val="single" w:sz="4" w:space="0" w:color="auto"/>
            </w:tcBorders>
            <w:shd w:val="clear" w:color="auto" w:fill="CCFFFF"/>
            <w:noWrap/>
            <w:tcMar>
              <w:top w:w="15" w:type="dxa"/>
              <w:left w:w="15" w:type="dxa"/>
              <w:bottom w:w="0" w:type="dxa"/>
              <w:right w:w="15" w:type="dxa"/>
            </w:tcMar>
            <w:vAlign w:val="center"/>
          </w:tcPr>
          <w:p w:rsidR="00FF5344" w:rsidRPr="00EF0531" w:rsidRDefault="00FF5344" w:rsidP="00FF5344">
            <w:pPr>
              <w:rPr>
                <w:rFonts w:ascii="Arial" w:hAnsi="Arial" w:cs="Arial"/>
                <w:sz w:val="16"/>
                <w:szCs w:val="16"/>
              </w:rPr>
            </w:pPr>
            <w:r w:rsidRPr="00EF0531">
              <w:rPr>
                <w:rFonts w:ascii="Arial" w:eastAsia="EUAlbertina-Regular-Identity-H" w:hAnsi="Arial" w:cs="Arial"/>
                <w:b/>
                <w:sz w:val="16"/>
                <w:szCs w:val="16"/>
              </w:rPr>
              <w:t>Východisko</w:t>
            </w:r>
          </w:p>
        </w:tc>
        <w:tc>
          <w:tcPr>
            <w:tcW w:w="567" w:type="dxa"/>
            <w:tcBorders>
              <w:bottom w:val="single" w:sz="4" w:space="0" w:color="auto"/>
            </w:tcBorders>
            <w:noWrap/>
            <w:tcMar>
              <w:top w:w="15" w:type="dxa"/>
              <w:left w:w="15" w:type="dxa"/>
              <w:bottom w:w="0" w:type="dxa"/>
              <w:right w:w="15" w:type="dxa"/>
            </w:tcMar>
            <w:vAlign w:val="center"/>
          </w:tcPr>
          <w:p w:rsidR="00FF5344" w:rsidRPr="00EF0531" w:rsidRDefault="00FF5344" w:rsidP="00FF5344">
            <w:pPr>
              <w:jc w:val="center"/>
              <w:rPr>
                <w:rFonts w:ascii="Arial" w:hAnsi="Arial" w:cs="Arial"/>
                <w:b/>
                <w:bCs/>
                <w:sz w:val="16"/>
                <w:szCs w:val="16"/>
              </w:rPr>
            </w:pPr>
            <w:r w:rsidRPr="00EF0531">
              <w:rPr>
                <w:rFonts w:ascii="Arial" w:hAnsi="Arial" w:cs="Arial"/>
                <w:sz w:val="16"/>
                <w:szCs w:val="16"/>
              </w:rPr>
              <w:t>0</w:t>
            </w:r>
          </w:p>
        </w:tc>
        <w:tc>
          <w:tcPr>
            <w:tcW w:w="567" w:type="dxa"/>
            <w:tcBorders>
              <w:bottom w:val="single" w:sz="4" w:space="0" w:color="auto"/>
            </w:tcBorders>
            <w:noWrap/>
            <w:tcMar>
              <w:top w:w="15" w:type="dxa"/>
              <w:left w:w="15" w:type="dxa"/>
              <w:bottom w:w="0" w:type="dxa"/>
              <w:right w:w="15" w:type="dxa"/>
            </w:tcMar>
            <w:vAlign w:val="center"/>
          </w:tcPr>
          <w:p w:rsidR="00FF5344" w:rsidRPr="00EF0531" w:rsidRDefault="00FF5344" w:rsidP="00FF5344">
            <w:pPr>
              <w:jc w:val="center"/>
              <w:rPr>
                <w:rFonts w:ascii="Arial" w:hAnsi="Arial" w:cs="Arial"/>
                <w:i/>
                <w:iCs/>
                <w:sz w:val="16"/>
                <w:szCs w:val="16"/>
              </w:rPr>
            </w:pPr>
            <w:r w:rsidRPr="00EF0531">
              <w:rPr>
                <w:rFonts w:ascii="Arial" w:hAnsi="Arial" w:cs="Arial"/>
                <w:sz w:val="16"/>
                <w:szCs w:val="16"/>
              </w:rPr>
              <w:t>N/A</w:t>
            </w:r>
          </w:p>
        </w:tc>
        <w:tc>
          <w:tcPr>
            <w:tcW w:w="567" w:type="dxa"/>
            <w:tcBorders>
              <w:bottom w:val="single" w:sz="4" w:space="0" w:color="auto"/>
            </w:tcBorders>
            <w:noWrap/>
            <w:tcMar>
              <w:top w:w="15" w:type="dxa"/>
              <w:left w:w="15" w:type="dxa"/>
              <w:bottom w:w="0" w:type="dxa"/>
              <w:right w:w="15" w:type="dxa"/>
            </w:tcMar>
            <w:vAlign w:val="center"/>
          </w:tcPr>
          <w:p w:rsidR="00FF5344" w:rsidRPr="00EF0531" w:rsidRDefault="00FF5344" w:rsidP="00FF5344">
            <w:pPr>
              <w:jc w:val="center"/>
              <w:rPr>
                <w:rFonts w:ascii="Arial" w:hAnsi="Arial" w:cs="Arial"/>
                <w:i/>
                <w:iCs/>
                <w:sz w:val="16"/>
                <w:szCs w:val="16"/>
              </w:rPr>
            </w:pPr>
            <w:r w:rsidRPr="00EF0531">
              <w:rPr>
                <w:rFonts w:ascii="Arial" w:hAnsi="Arial" w:cs="Arial"/>
                <w:sz w:val="16"/>
                <w:szCs w:val="16"/>
              </w:rPr>
              <w:t>N/A</w:t>
            </w:r>
          </w:p>
        </w:tc>
        <w:tc>
          <w:tcPr>
            <w:tcW w:w="567" w:type="dxa"/>
            <w:tcBorders>
              <w:bottom w:val="single" w:sz="4" w:space="0" w:color="auto"/>
            </w:tcBorders>
            <w:noWrap/>
            <w:tcMar>
              <w:top w:w="15" w:type="dxa"/>
              <w:left w:w="15" w:type="dxa"/>
              <w:bottom w:w="0" w:type="dxa"/>
              <w:right w:w="15" w:type="dxa"/>
            </w:tcMar>
            <w:vAlign w:val="center"/>
          </w:tcPr>
          <w:p w:rsidR="00FF5344" w:rsidRPr="00EF0531" w:rsidRDefault="00FF5344" w:rsidP="00FF5344">
            <w:pPr>
              <w:jc w:val="center"/>
              <w:rPr>
                <w:rFonts w:ascii="Arial" w:hAnsi="Arial" w:cs="Arial"/>
                <w:i/>
                <w:iCs/>
                <w:sz w:val="16"/>
                <w:szCs w:val="16"/>
              </w:rPr>
            </w:pPr>
            <w:r w:rsidRPr="00EF0531">
              <w:rPr>
                <w:rFonts w:ascii="Arial" w:hAnsi="Arial" w:cs="Arial"/>
                <w:sz w:val="16"/>
                <w:szCs w:val="16"/>
              </w:rPr>
              <w:t>N/A</w:t>
            </w:r>
          </w:p>
        </w:tc>
        <w:tc>
          <w:tcPr>
            <w:tcW w:w="567" w:type="dxa"/>
            <w:tcBorders>
              <w:bottom w:val="single" w:sz="4" w:space="0" w:color="auto"/>
            </w:tcBorders>
            <w:noWrap/>
            <w:tcMar>
              <w:top w:w="15" w:type="dxa"/>
              <w:left w:w="15" w:type="dxa"/>
              <w:bottom w:w="0" w:type="dxa"/>
              <w:right w:w="15" w:type="dxa"/>
            </w:tcMar>
            <w:vAlign w:val="center"/>
          </w:tcPr>
          <w:p w:rsidR="00FF5344" w:rsidRPr="00EF0531" w:rsidRDefault="00FF5344" w:rsidP="00FF5344">
            <w:pPr>
              <w:jc w:val="center"/>
              <w:rPr>
                <w:rFonts w:ascii="Arial" w:hAnsi="Arial" w:cs="Arial"/>
                <w:i/>
                <w:iCs/>
                <w:sz w:val="16"/>
                <w:szCs w:val="16"/>
              </w:rPr>
            </w:pPr>
            <w:r w:rsidRPr="00EF0531">
              <w:rPr>
                <w:rFonts w:ascii="Arial" w:hAnsi="Arial" w:cs="Arial"/>
                <w:sz w:val="16"/>
                <w:szCs w:val="16"/>
              </w:rPr>
              <w:t>N/A</w:t>
            </w:r>
          </w:p>
        </w:tc>
        <w:tc>
          <w:tcPr>
            <w:tcW w:w="567" w:type="dxa"/>
            <w:tcBorders>
              <w:bottom w:val="single" w:sz="4" w:space="0" w:color="auto"/>
            </w:tcBorders>
            <w:noWrap/>
            <w:tcMar>
              <w:top w:w="15" w:type="dxa"/>
              <w:left w:w="15" w:type="dxa"/>
              <w:bottom w:w="0" w:type="dxa"/>
              <w:right w:w="15" w:type="dxa"/>
            </w:tcMar>
            <w:vAlign w:val="center"/>
          </w:tcPr>
          <w:p w:rsidR="00FF5344" w:rsidRPr="00EF0531" w:rsidRDefault="00FF5344" w:rsidP="00FF5344">
            <w:pPr>
              <w:jc w:val="center"/>
              <w:rPr>
                <w:rFonts w:ascii="Arial" w:hAnsi="Arial" w:cs="Arial"/>
                <w:i/>
                <w:iCs/>
                <w:sz w:val="16"/>
                <w:szCs w:val="16"/>
              </w:rPr>
            </w:pPr>
            <w:r w:rsidRPr="00EF0531">
              <w:rPr>
                <w:rFonts w:ascii="Arial" w:hAnsi="Arial" w:cs="Arial"/>
                <w:sz w:val="16"/>
                <w:szCs w:val="16"/>
              </w:rPr>
              <w:t>N/A</w:t>
            </w:r>
          </w:p>
        </w:tc>
        <w:tc>
          <w:tcPr>
            <w:tcW w:w="567" w:type="dxa"/>
            <w:tcBorders>
              <w:bottom w:val="single" w:sz="4" w:space="0" w:color="auto"/>
            </w:tcBorders>
            <w:noWrap/>
            <w:tcMar>
              <w:top w:w="15" w:type="dxa"/>
              <w:left w:w="15" w:type="dxa"/>
              <w:bottom w:w="0" w:type="dxa"/>
              <w:right w:w="15" w:type="dxa"/>
            </w:tcMar>
            <w:vAlign w:val="center"/>
          </w:tcPr>
          <w:p w:rsidR="00FF5344" w:rsidRPr="00EF0531" w:rsidRDefault="00FF5344" w:rsidP="00FF5344">
            <w:pPr>
              <w:jc w:val="center"/>
              <w:rPr>
                <w:rFonts w:ascii="Arial" w:hAnsi="Arial" w:cs="Arial"/>
                <w:i/>
                <w:iCs/>
                <w:sz w:val="16"/>
                <w:szCs w:val="16"/>
              </w:rPr>
            </w:pPr>
            <w:r w:rsidRPr="00EF0531">
              <w:rPr>
                <w:rFonts w:ascii="Arial" w:hAnsi="Arial" w:cs="Arial"/>
                <w:sz w:val="16"/>
                <w:szCs w:val="16"/>
              </w:rPr>
              <w:t>N/A</w:t>
            </w:r>
          </w:p>
        </w:tc>
        <w:tc>
          <w:tcPr>
            <w:tcW w:w="567" w:type="dxa"/>
            <w:tcBorders>
              <w:bottom w:val="single" w:sz="4" w:space="0" w:color="auto"/>
            </w:tcBorders>
            <w:noWrap/>
            <w:tcMar>
              <w:top w:w="15" w:type="dxa"/>
              <w:left w:w="15" w:type="dxa"/>
              <w:bottom w:w="0" w:type="dxa"/>
              <w:right w:w="15" w:type="dxa"/>
            </w:tcMar>
            <w:vAlign w:val="center"/>
          </w:tcPr>
          <w:p w:rsidR="00FF5344" w:rsidRPr="00EF0531" w:rsidRDefault="00FF5344" w:rsidP="00FF5344">
            <w:pPr>
              <w:jc w:val="center"/>
              <w:rPr>
                <w:rFonts w:ascii="Arial" w:hAnsi="Arial" w:cs="Arial"/>
                <w:i/>
                <w:iCs/>
                <w:sz w:val="16"/>
                <w:szCs w:val="16"/>
              </w:rPr>
            </w:pPr>
            <w:r w:rsidRPr="00EF0531">
              <w:rPr>
                <w:rFonts w:ascii="Arial" w:hAnsi="Arial" w:cs="Arial"/>
                <w:sz w:val="16"/>
                <w:szCs w:val="16"/>
              </w:rPr>
              <w:t>N/A</w:t>
            </w:r>
          </w:p>
        </w:tc>
        <w:tc>
          <w:tcPr>
            <w:tcW w:w="709" w:type="dxa"/>
            <w:tcBorders>
              <w:bottom w:val="single" w:sz="4" w:space="0" w:color="auto"/>
            </w:tcBorders>
            <w:noWrap/>
            <w:tcMar>
              <w:top w:w="15" w:type="dxa"/>
              <w:left w:w="15" w:type="dxa"/>
              <w:bottom w:w="0" w:type="dxa"/>
              <w:right w:w="15" w:type="dxa"/>
            </w:tcMar>
            <w:vAlign w:val="center"/>
          </w:tcPr>
          <w:p w:rsidR="00FF5344" w:rsidRPr="00EF0531" w:rsidRDefault="00FF5344" w:rsidP="00FF5344">
            <w:pPr>
              <w:jc w:val="center"/>
              <w:rPr>
                <w:rFonts w:ascii="Arial" w:hAnsi="Arial" w:cs="Arial"/>
                <w:i/>
                <w:iCs/>
                <w:sz w:val="16"/>
                <w:szCs w:val="16"/>
              </w:rPr>
            </w:pPr>
            <w:r w:rsidRPr="00EF0531">
              <w:rPr>
                <w:rFonts w:ascii="Arial" w:hAnsi="Arial" w:cs="Arial"/>
                <w:sz w:val="16"/>
                <w:szCs w:val="16"/>
              </w:rPr>
              <w:t>0</w:t>
            </w:r>
          </w:p>
        </w:tc>
        <w:tc>
          <w:tcPr>
            <w:tcW w:w="709" w:type="dxa"/>
            <w:tcBorders>
              <w:bottom w:val="single" w:sz="4" w:space="0" w:color="auto"/>
            </w:tcBorders>
            <w:noWrap/>
            <w:tcMar>
              <w:top w:w="15" w:type="dxa"/>
              <w:left w:w="15" w:type="dxa"/>
              <w:bottom w:w="0" w:type="dxa"/>
              <w:right w:w="15" w:type="dxa"/>
            </w:tcMar>
            <w:vAlign w:val="center"/>
          </w:tcPr>
          <w:p w:rsidR="00FF5344" w:rsidRPr="00EF0531" w:rsidRDefault="00FF5344" w:rsidP="00FF5344">
            <w:pPr>
              <w:jc w:val="center"/>
              <w:rPr>
                <w:rFonts w:ascii="Arial" w:hAnsi="Arial" w:cs="Arial"/>
                <w:b/>
                <w:bCs/>
                <w:sz w:val="16"/>
                <w:szCs w:val="16"/>
              </w:rPr>
            </w:pPr>
            <w:r w:rsidRPr="00EF0531">
              <w:rPr>
                <w:rFonts w:ascii="Arial" w:hAnsi="Arial" w:cs="Arial"/>
                <w:b/>
                <w:sz w:val="16"/>
                <w:szCs w:val="16"/>
              </w:rPr>
              <w:t>0</w:t>
            </w:r>
          </w:p>
        </w:tc>
        <w:tc>
          <w:tcPr>
            <w:tcW w:w="1134" w:type="dxa"/>
            <w:tcBorders>
              <w:bottom w:val="single" w:sz="4" w:space="0" w:color="auto"/>
            </w:tcBorders>
            <w:noWrap/>
            <w:tcMar>
              <w:top w:w="15" w:type="dxa"/>
              <w:left w:w="15" w:type="dxa"/>
              <w:bottom w:w="0" w:type="dxa"/>
              <w:right w:w="15" w:type="dxa"/>
            </w:tcMar>
            <w:vAlign w:val="center"/>
          </w:tcPr>
          <w:p w:rsidR="00FF5344" w:rsidRPr="00EF0531" w:rsidRDefault="00FF5344" w:rsidP="00FF5344">
            <w:pPr>
              <w:jc w:val="center"/>
              <w:rPr>
                <w:rFonts w:ascii="Arial" w:hAnsi="Arial" w:cs="Arial"/>
                <w:sz w:val="16"/>
                <w:szCs w:val="16"/>
              </w:rPr>
            </w:pPr>
          </w:p>
        </w:tc>
      </w:tr>
      <w:tr w:rsidR="00FF5344" w:rsidRPr="000E0A45" w:rsidTr="00FF5344">
        <w:trPr>
          <w:trHeight w:val="436"/>
        </w:trPr>
        <w:tc>
          <w:tcPr>
            <w:tcW w:w="9703" w:type="dxa"/>
            <w:gridSpan w:val="13"/>
            <w:shd w:val="clear" w:color="auto" w:fill="CCFFFF"/>
            <w:tcMar>
              <w:top w:w="15" w:type="dxa"/>
              <w:left w:w="15" w:type="dxa"/>
              <w:bottom w:w="0" w:type="dxa"/>
              <w:right w:w="15" w:type="dxa"/>
            </w:tcMar>
            <w:vAlign w:val="center"/>
          </w:tcPr>
          <w:p w:rsidR="00FF5344" w:rsidRPr="00EF0531" w:rsidRDefault="00FF5344" w:rsidP="00EF0531">
            <w:pPr>
              <w:rPr>
                <w:rFonts w:ascii="Arial" w:hAnsi="Arial" w:cs="Arial"/>
                <w:b/>
                <w:bCs/>
                <w:sz w:val="16"/>
                <w:szCs w:val="16"/>
              </w:rPr>
            </w:pPr>
            <w:r w:rsidRPr="00EF0531">
              <w:rPr>
                <w:rFonts w:ascii="Arial" w:hAnsi="Arial" w:cs="Arial"/>
                <w:b/>
                <w:bCs/>
                <w:sz w:val="16"/>
                <w:szCs w:val="16"/>
              </w:rPr>
              <w:t>Prioritná os 3 - Ochrana ovzdušia a minimalizácia nepriaznivých vplyvov zmeny klímy, Prioritná os 5 - Ochrana a regenerácia prírodného prostredia a krajiny</w:t>
            </w:r>
          </w:p>
        </w:tc>
      </w:tr>
      <w:tr w:rsidR="00FF5344" w:rsidRPr="00EF0531" w:rsidTr="00FF5344">
        <w:trPr>
          <w:trHeight w:val="379"/>
        </w:trPr>
        <w:tc>
          <w:tcPr>
            <w:tcW w:w="1433" w:type="dxa"/>
            <w:vMerge w:val="restart"/>
            <w:shd w:val="clear" w:color="auto" w:fill="FFFF99"/>
            <w:tcMar>
              <w:top w:w="15" w:type="dxa"/>
              <w:left w:w="15" w:type="dxa"/>
              <w:bottom w:w="0" w:type="dxa"/>
              <w:right w:w="15" w:type="dxa"/>
            </w:tcMar>
            <w:vAlign w:val="center"/>
          </w:tcPr>
          <w:p w:rsidR="00FF5344" w:rsidRPr="00EF0531" w:rsidRDefault="00FF5344" w:rsidP="00FF5344">
            <w:pPr>
              <w:rPr>
                <w:rFonts w:ascii="Arial" w:hAnsi="Arial" w:cs="Arial"/>
                <w:sz w:val="16"/>
                <w:szCs w:val="16"/>
              </w:rPr>
            </w:pPr>
            <w:r w:rsidRPr="00EF0531">
              <w:rPr>
                <w:rFonts w:ascii="Arial" w:hAnsi="Arial" w:cs="Arial"/>
                <w:sz w:val="16"/>
                <w:szCs w:val="16"/>
              </w:rPr>
              <w:t>Zvýšený inštalovaný výkon zariadenia zodpovedajúci obnoviteľným zdrojom energie [MW] výsledok</w:t>
            </w:r>
          </w:p>
        </w:tc>
        <w:tc>
          <w:tcPr>
            <w:tcW w:w="1182" w:type="dxa"/>
            <w:shd w:val="clear" w:color="auto" w:fill="CCFFFF"/>
            <w:noWrap/>
            <w:tcMar>
              <w:top w:w="15" w:type="dxa"/>
              <w:left w:w="15" w:type="dxa"/>
              <w:bottom w:w="0" w:type="dxa"/>
              <w:right w:w="15" w:type="dxa"/>
            </w:tcMar>
            <w:vAlign w:val="center"/>
          </w:tcPr>
          <w:p w:rsidR="00FF5344" w:rsidRPr="00EF0531" w:rsidRDefault="00FF5344" w:rsidP="00FF5344">
            <w:pPr>
              <w:rPr>
                <w:rFonts w:ascii="Arial" w:hAnsi="Arial" w:cs="Arial"/>
                <w:b/>
                <w:sz w:val="16"/>
                <w:szCs w:val="16"/>
              </w:rPr>
            </w:pPr>
            <w:r w:rsidRPr="00EF0531">
              <w:rPr>
                <w:rFonts w:ascii="Arial" w:hAnsi="Arial" w:cs="Arial"/>
                <w:b/>
                <w:sz w:val="16"/>
                <w:szCs w:val="16"/>
              </w:rPr>
              <w:t>Dosiahnutý výsledok</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bCs/>
                <w:sz w:val="16"/>
                <w:szCs w:val="16"/>
              </w:rPr>
            </w:pPr>
            <w:r w:rsidRPr="00EF0531">
              <w:rPr>
                <w:rFonts w:ascii="Arial" w:hAnsi="Arial" w:cs="Arial"/>
                <w:bCs/>
                <w:sz w:val="16"/>
                <w:szCs w:val="16"/>
              </w:rPr>
              <w:t>0</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bCs/>
                <w:sz w:val="16"/>
                <w:szCs w:val="16"/>
              </w:rPr>
            </w:pPr>
            <w:r w:rsidRPr="00EF0531">
              <w:rPr>
                <w:rFonts w:ascii="Arial" w:hAnsi="Arial" w:cs="Arial"/>
                <w:bCs/>
                <w:sz w:val="16"/>
                <w:szCs w:val="16"/>
              </w:rPr>
              <w:t>0</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bCs/>
                <w:sz w:val="16"/>
                <w:szCs w:val="16"/>
              </w:rPr>
            </w:pPr>
            <w:r w:rsidRPr="00EF0531">
              <w:rPr>
                <w:rFonts w:ascii="Arial" w:hAnsi="Arial" w:cs="Arial"/>
                <w:bCs/>
                <w:sz w:val="16"/>
                <w:szCs w:val="16"/>
              </w:rPr>
              <w:t>0</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bCs/>
                <w:sz w:val="16"/>
                <w:szCs w:val="16"/>
              </w:rPr>
            </w:pPr>
            <w:r w:rsidRPr="00EF0531">
              <w:rPr>
                <w:rFonts w:ascii="Arial" w:hAnsi="Arial" w:cs="Arial"/>
                <w:bCs/>
                <w:sz w:val="16"/>
                <w:szCs w:val="16"/>
              </w:rPr>
              <w:t>2,005</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bCs/>
                <w:sz w:val="16"/>
                <w:szCs w:val="16"/>
              </w:rPr>
            </w:pPr>
            <w:r w:rsidRPr="00EF0531">
              <w:rPr>
                <w:rFonts w:ascii="Arial" w:hAnsi="Arial" w:cs="Arial"/>
                <w:bCs/>
                <w:sz w:val="16"/>
                <w:szCs w:val="16"/>
              </w:rPr>
              <w:t>9,315</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Cs/>
                <w:sz w:val="16"/>
                <w:szCs w:val="16"/>
              </w:rPr>
            </w:pPr>
            <w:r w:rsidRPr="00EF0531">
              <w:rPr>
                <w:rFonts w:ascii="Arial" w:hAnsi="Arial" w:cs="Arial"/>
                <w:bCs/>
                <w:sz w:val="16"/>
                <w:szCs w:val="16"/>
              </w:rPr>
              <w:t>74,745</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Cs/>
                <w:sz w:val="16"/>
                <w:szCs w:val="16"/>
              </w:rPr>
            </w:pPr>
            <w:r w:rsidRPr="00EF0531">
              <w:rPr>
                <w:rFonts w:ascii="Arial" w:hAnsi="Arial" w:cs="Arial"/>
                <w:iCs/>
                <w:sz w:val="16"/>
                <w:szCs w:val="16"/>
              </w:rPr>
              <w:t>N/A</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Cs/>
                <w:sz w:val="16"/>
                <w:szCs w:val="16"/>
              </w:rPr>
            </w:pPr>
            <w:r w:rsidRPr="00EF0531">
              <w:rPr>
                <w:rFonts w:ascii="Arial" w:hAnsi="Arial" w:cs="Arial"/>
                <w:iCs/>
                <w:sz w:val="16"/>
                <w:szCs w:val="16"/>
              </w:rPr>
              <w:t>N/A</w:t>
            </w:r>
          </w:p>
        </w:tc>
        <w:tc>
          <w:tcPr>
            <w:tcW w:w="709" w:type="dxa"/>
            <w:noWrap/>
            <w:tcMar>
              <w:top w:w="15" w:type="dxa"/>
              <w:left w:w="15" w:type="dxa"/>
              <w:bottom w:w="0" w:type="dxa"/>
              <w:right w:w="15" w:type="dxa"/>
            </w:tcMar>
            <w:vAlign w:val="center"/>
          </w:tcPr>
          <w:p w:rsidR="00FF5344" w:rsidRPr="00EF0531" w:rsidRDefault="00FF5344" w:rsidP="00FF5344">
            <w:pPr>
              <w:jc w:val="center"/>
              <w:rPr>
                <w:rFonts w:ascii="Arial" w:hAnsi="Arial" w:cs="Arial"/>
                <w:iCs/>
                <w:sz w:val="16"/>
                <w:szCs w:val="16"/>
              </w:rPr>
            </w:pPr>
            <w:r w:rsidRPr="00EF0531">
              <w:rPr>
                <w:rFonts w:ascii="Arial" w:hAnsi="Arial" w:cs="Arial"/>
                <w:iCs/>
                <w:sz w:val="16"/>
                <w:szCs w:val="16"/>
              </w:rPr>
              <w:t>N/A</w:t>
            </w:r>
          </w:p>
        </w:tc>
        <w:tc>
          <w:tcPr>
            <w:tcW w:w="709" w:type="dxa"/>
            <w:noWrap/>
            <w:tcMar>
              <w:top w:w="15" w:type="dxa"/>
              <w:left w:w="15" w:type="dxa"/>
              <w:bottom w:w="0" w:type="dxa"/>
              <w:right w:w="15" w:type="dxa"/>
            </w:tcMar>
            <w:vAlign w:val="center"/>
          </w:tcPr>
          <w:p w:rsidR="00FF5344" w:rsidRPr="00EF0531" w:rsidRDefault="00FF5344" w:rsidP="00FF5344">
            <w:pPr>
              <w:jc w:val="center"/>
              <w:rPr>
                <w:rFonts w:ascii="Arial" w:hAnsi="Arial" w:cs="Arial"/>
                <w:b/>
                <w:bCs/>
                <w:sz w:val="16"/>
                <w:szCs w:val="16"/>
              </w:rPr>
            </w:pPr>
            <w:r w:rsidRPr="00EF0531">
              <w:rPr>
                <w:rFonts w:ascii="Arial" w:hAnsi="Arial" w:cs="Arial"/>
                <w:b/>
                <w:bCs/>
                <w:sz w:val="16"/>
                <w:szCs w:val="16"/>
              </w:rPr>
              <w:t>74,745</w:t>
            </w:r>
          </w:p>
        </w:tc>
        <w:tc>
          <w:tcPr>
            <w:tcW w:w="1134" w:type="dxa"/>
            <w:noWrap/>
            <w:tcMar>
              <w:top w:w="15" w:type="dxa"/>
              <w:left w:w="15" w:type="dxa"/>
              <w:bottom w:w="0" w:type="dxa"/>
              <w:right w:w="15" w:type="dxa"/>
            </w:tcMar>
            <w:vAlign w:val="center"/>
          </w:tcPr>
          <w:p w:rsidR="00FF5344" w:rsidRPr="00EF0531" w:rsidRDefault="00FF5344" w:rsidP="00FF5344">
            <w:pPr>
              <w:jc w:val="center"/>
              <w:rPr>
                <w:rFonts w:ascii="Arial" w:hAnsi="Arial" w:cs="Arial"/>
                <w:sz w:val="16"/>
                <w:szCs w:val="16"/>
              </w:rPr>
            </w:pPr>
          </w:p>
        </w:tc>
      </w:tr>
      <w:tr w:rsidR="00FF5344" w:rsidRPr="00EF0531" w:rsidTr="00FF5344">
        <w:trPr>
          <w:trHeight w:val="466"/>
        </w:trPr>
        <w:tc>
          <w:tcPr>
            <w:tcW w:w="1433" w:type="dxa"/>
            <w:vMerge/>
            <w:shd w:val="clear" w:color="auto" w:fill="FFFF99"/>
            <w:vAlign w:val="center"/>
          </w:tcPr>
          <w:p w:rsidR="00FF5344" w:rsidRPr="00EF0531" w:rsidRDefault="00FF5344" w:rsidP="00FF5344">
            <w:pPr>
              <w:rPr>
                <w:rFonts w:ascii="Arial" w:hAnsi="Arial" w:cs="Arial"/>
                <w:sz w:val="16"/>
                <w:szCs w:val="16"/>
              </w:rPr>
            </w:pPr>
          </w:p>
        </w:tc>
        <w:tc>
          <w:tcPr>
            <w:tcW w:w="1182" w:type="dxa"/>
            <w:shd w:val="clear" w:color="auto" w:fill="CCFFFF"/>
            <w:noWrap/>
            <w:tcMar>
              <w:top w:w="15" w:type="dxa"/>
              <w:left w:w="15" w:type="dxa"/>
              <w:bottom w:w="0" w:type="dxa"/>
              <w:right w:w="15" w:type="dxa"/>
            </w:tcMar>
            <w:vAlign w:val="center"/>
          </w:tcPr>
          <w:p w:rsidR="00FF5344" w:rsidRPr="00EF0531" w:rsidRDefault="00FF5344" w:rsidP="00FF5344">
            <w:pPr>
              <w:rPr>
                <w:rFonts w:ascii="Arial" w:hAnsi="Arial" w:cs="Arial"/>
                <w:b/>
                <w:sz w:val="16"/>
                <w:szCs w:val="16"/>
              </w:rPr>
            </w:pPr>
            <w:r w:rsidRPr="00EF0531">
              <w:rPr>
                <w:rFonts w:ascii="Arial" w:hAnsi="Arial" w:cs="Arial"/>
                <w:b/>
                <w:sz w:val="16"/>
                <w:szCs w:val="16"/>
              </w:rPr>
              <w:t>Cieľ</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Cs/>
                <w:sz w:val="16"/>
                <w:szCs w:val="16"/>
              </w:rPr>
            </w:pPr>
            <w:r w:rsidRPr="00EF0531">
              <w:rPr>
                <w:rFonts w:ascii="Arial" w:hAnsi="Arial" w:cs="Arial"/>
                <w:iCs/>
                <w:sz w:val="16"/>
                <w:szCs w:val="16"/>
              </w:rPr>
              <w:t>N/A</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Cs/>
                <w:sz w:val="16"/>
                <w:szCs w:val="16"/>
              </w:rPr>
            </w:pPr>
            <w:r w:rsidRPr="00EF0531">
              <w:rPr>
                <w:rFonts w:ascii="Arial" w:hAnsi="Arial" w:cs="Arial"/>
                <w:iCs/>
                <w:sz w:val="16"/>
                <w:szCs w:val="16"/>
              </w:rPr>
              <w:t>N/A</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Cs/>
                <w:sz w:val="16"/>
                <w:szCs w:val="16"/>
              </w:rPr>
            </w:pPr>
            <w:r w:rsidRPr="00EF0531">
              <w:rPr>
                <w:rFonts w:ascii="Arial" w:hAnsi="Arial" w:cs="Arial"/>
                <w:iCs/>
                <w:sz w:val="16"/>
                <w:szCs w:val="16"/>
              </w:rPr>
              <w:t>N/A</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Cs/>
                <w:sz w:val="16"/>
                <w:szCs w:val="16"/>
              </w:rPr>
            </w:pPr>
            <w:r w:rsidRPr="00EF0531">
              <w:rPr>
                <w:rFonts w:ascii="Arial" w:hAnsi="Arial" w:cs="Arial"/>
                <w:iCs/>
                <w:sz w:val="16"/>
                <w:szCs w:val="16"/>
              </w:rPr>
              <w:t>N/A</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Cs/>
                <w:sz w:val="16"/>
                <w:szCs w:val="16"/>
              </w:rPr>
            </w:pPr>
            <w:r w:rsidRPr="00EF0531">
              <w:rPr>
                <w:rFonts w:ascii="Arial" w:hAnsi="Arial" w:cs="Arial"/>
                <w:iCs/>
                <w:sz w:val="16"/>
                <w:szCs w:val="16"/>
              </w:rPr>
              <w:t>N/A</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Cs/>
                <w:sz w:val="16"/>
                <w:szCs w:val="16"/>
              </w:rPr>
            </w:pPr>
            <w:r w:rsidRPr="00EF0531">
              <w:rPr>
                <w:rFonts w:ascii="Arial" w:hAnsi="Arial" w:cs="Arial"/>
                <w:iCs/>
                <w:sz w:val="16"/>
                <w:szCs w:val="16"/>
              </w:rPr>
              <w:t>N/A</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Cs/>
                <w:sz w:val="16"/>
                <w:szCs w:val="16"/>
              </w:rPr>
            </w:pPr>
            <w:r w:rsidRPr="00EF0531">
              <w:rPr>
                <w:rFonts w:ascii="Arial" w:hAnsi="Arial" w:cs="Arial"/>
                <w:iCs/>
                <w:sz w:val="16"/>
                <w:szCs w:val="16"/>
              </w:rPr>
              <w:t>N/A</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Cs/>
                <w:sz w:val="16"/>
                <w:szCs w:val="16"/>
              </w:rPr>
            </w:pPr>
            <w:r w:rsidRPr="00EF0531">
              <w:rPr>
                <w:rFonts w:ascii="Arial" w:hAnsi="Arial" w:cs="Arial"/>
                <w:iCs/>
                <w:sz w:val="16"/>
                <w:szCs w:val="16"/>
              </w:rPr>
              <w:t>N/A</w:t>
            </w:r>
          </w:p>
        </w:tc>
        <w:tc>
          <w:tcPr>
            <w:tcW w:w="709" w:type="dxa"/>
            <w:noWrap/>
            <w:tcMar>
              <w:top w:w="15" w:type="dxa"/>
              <w:left w:w="15" w:type="dxa"/>
              <w:bottom w:w="0" w:type="dxa"/>
              <w:right w:w="15" w:type="dxa"/>
            </w:tcMar>
            <w:vAlign w:val="center"/>
          </w:tcPr>
          <w:p w:rsidR="00FF5344" w:rsidRPr="00EF0531" w:rsidRDefault="00FF5344" w:rsidP="00FF5344">
            <w:pPr>
              <w:jc w:val="center"/>
              <w:rPr>
                <w:rFonts w:ascii="Arial" w:hAnsi="Arial" w:cs="Arial"/>
                <w:bCs/>
                <w:sz w:val="16"/>
                <w:szCs w:val="16"/>
              </w:rPr>
            </w:pPr>
            <w:r w:rsidRPr="00EF0531">
              <w:rPr>
                <w:rFonts w:ascii="Arial" w:hAnsi="Arial" w:cs="Arial"/>
                <w:bCs/>
                <w:sz w:val="16"/>
                <w:szCs w:val="16"/>
              </w:rPr>
              <w:t>190</w:t>
            </w:r>
          </w:p>
        </w:tc>
        <w:tc>
          <w:tcPr>
            <w:tcW w:w="709" w:type="dxa"/>
            <w:noWrap/>
            <w:tcMar>
              <w:top w:w="15" w:type="dxa"/>
              <w:left w:w="15" w:type="dxa"/>
              <w:bottom w:w="0" w:type="dxa"/>
              <w:right w:w="15" w:type="dxa"/>
            </w:tcMar>
            <w:vAlign w:val="center"/>
          </w:tcPr>
          <w:p w:rsidR="00FF5344" w:rsidRPr="00EF0531" w:rsidRDefault="00FF5344" w:rsidP="00FF5344">
            <w:pPr>
              <w:jc w:val="center"/>
              <w:rPr>
                <w:rFonts w:ascii="Arial" w:hAnsi="Arial" w:cs="Arial"/>
                <w:b/>
                <w:bCs/>
                <w:sz w:val="16"/>
                <w:szCs w:val="16"/>
              </w:rPr>
            </w:pPr>
            <w:r w:rsidRPr="00EF0531">
              <w:rPr>
                <w:rFonts w:ascii="Arial" w:hAnsi="Arial" w:cs="Arial"/>
                <w:b/>
                <w:bCs/>
                <w:sz w:val="16"/>
                <w:szCs w:val="16"/>
              </w:rPr>
              <w:t>190</w:t>
            </w:r>
          </w:p>
        </w:tc>
        <w:tc>
          <w:tcPr>
            <w:tcW w:w="1134" w:type="dxa"/>
            <w:noWrap/>
            <w:tcMar>
              <w:top w:w="15" w:type="dxa"/>
              <w:left w:w="15" w:type="dxa"/>
              <w:bottom w:w="0" w:type="dxa"/>
              <w:right w:w="15" w:type="dxa"/>
            </w:tcMar>
            <w:vAlign w:val="center"/>
          </w:tcPr>
          <w:p w:rsidR="00FF5344" w:rsidRPr="00EF0531" w:rsidRDefault="00FF5344" w:rsidP="00FF5344">
            <w:pPr>
              <w:jc w:val="center"/>
              <w:rPr>
                <w:rFonts w:ascii="Arial" w:hAnsi="Arial" w:cs="Arial"/>
                <w:i/>
                <w:iCs/>
                <w:sz w:val="16"/>
                <w:szCs w:val="16"/>
              </w:rPr>
            </w:pPr>
            <w:r w:rsidRPr="00EF0531">
              <w:rPr>
                <w:rFonts w:ascii="Arial" w:hAnsi="Arial" w:cs="Arial"/>
                <w:i/>
                <w:iCs/>
                <w:sz w:val="16"/>
                <w:szCs w:val="16"/>
              </w:rPr>
              <w:t>107,4014</w:t>
            </w:r>
          </w:p>
        </w:tc>
      </w:tr>
      <w:tr w:rsidR="00FF5344" w:rsidRPr="00EF0531" w:rsidTr="00FF5344">
        <w:trPr>
          <w:trHeight w:val="20"/>
        </w:trPr>
        <w:tc>
          <w:tcPr>
            <w:tcW w:w="1433" w:type="dxa"/>
            <w:vMerge/>
            <w:tcBorders>
              <w:bottom w:val="single" w:sz="4" w:space="0" w:color="auto"/>
            </w:tcBorders>
            <w:shd w:val="clear" w:color="auto" w:fill="FFFF99"/>
            <w:vAlign w:val="center"/>
          </w:tcPr>
          <w:p w:rsidR="00FF5344" w:rsidRPr="00EF0531" w:rsidRDefault="00FF5344" w:rsidP="00FF5344">
            <w:pPr>
              <w:rPr>
                <w:rFonts w:ascii="Arial" w:hAnsi="Arial" w:cs="Arial"/>
                <w:sz w:val="16"/>
                <w:szCs w:val="16"/>
              </w:rPr>
            </w:pPr>
          </w:p>
        </w:tc>
        <w:tc>
          <w:tcPr>
            <w:tcW w:w="1182" w:type="dxa"/>
            <w:tcBorders>
              <w:bottom w:val="single" w:sz="4" w:space="0" w:color="auto"/>
            </w:tcBorders>
            <w:shd w:val="clear" w:color="auto" w:fill="CCFFFF"/>
            <w:noWrap/>
            <w:tcMar>
              <w:top w:w="15" w:type="dxa"/>
              <w:left w:w="15" w:type="dxa"/>
              <w:bottom w:w="0" w:type="dxa"/>
              <w:right w:w="15" w:type="dxa"/>
            </w:tcMar>
            <w:vAlign w:val="center"/>
          </w:tcPr>
          <w:p w:rsidR="00FF5344" w:rsidRPr="00EF0531" w:rsidRDefault="00FF5344" w:rsidP="00FF5344">
            <w:pPr>
              <w:rPr>
                <w:rFonts w:ascii="Arial" w:hAnsi="Arial" w:cs="Arial"/>
                <w:b/>
                <w:sz w:val="16"/>
                <w:szCs w:val="16"/>
              </w:rPr>
            </w:pPr>
            <w:r w:rsidRPr="00EF0531">
              <w:rPr>
                <w:rFonts w:ascii="Arial" w:hAnsi="Arial" w:cs="Arial"/>
                <w:b/>
                <w:sz w:val="16"/>
                <w:szCs w:val="16"/>
              </w:rPr>
              <w:t>Východisko</w:t>
            </w:r>
          </w:p>
        </w:tc>
        <w:tc>
          <w:tcPr>
            <w:tcW w:w="567" w:type="dxa"/>
            <w:tcBorders>
              <w:bottom w:val="single" w:sz="4" w:space="0" w:color="auto"/>
            </w:tcBorders>
            <w:noWrap/>
            <w:tcMar>
              <w:top w:w="15" w:type="dxa"/>
              <w:left w:w="15" w:type="dxa"/>
              <w:bottom w:w="0" w:type="dxa"/>
              <w:right w:w="15" w:type="dxa"/>
            </w:tcMar>
            <w:vAlign w:val="center"/>
          </w:tcPr>
          <w:p w:rsidR="00FF5344" w:rsidRPr="00EF0531" w:rsidRDefault="00FF5344" w:rsidP="00FF5344">
            <w:pPr>
              <w:jc w:val="center"/>
              <w:rPr>
                <w:rFonts w:ascii="Arial" w:hAnsi="Arial" w:cs="Arial"/>
                <w:bCs/>
                <w:sz w:val="16"/>
                <w:szCs w:val="16"/>
              </w:rPr>
            </w:pPr>
            <w:r w:rsidRPr="00EF0531">
              <w:rPr>
                <w:rFonts w:ascii="Arial" w:hAnsi="Arial" w:cs="Arial"/>
                <w:bCs/>
                <w:sz w:val="16"/>
                <w:szCs w:val="16"/>
              </w:rPr>
              <w:t>95</w:t>
            </w:r>
          </w:p>
        </w:tc>
        <w:tc>
          <w:tcPr>
            <w:tcW w:w="567" w:type="dxa"/>
            <w:tcBorders>
              <w:bottom w:val="single" w:sz="4" w:space="0" w:color="auto"/>
            </w:tcBorders>
            <w:noWrap/>
            <w:tcMar>
              <w:top w:w="15" w:type="dxa"/>
              <w:left w:w="15" w:type="dxa"/>
              <w:bottom w:w="0" w:type="dxa"/>
              <w:right w:w="15" w:type="dxa"/>
            </w:tcMar>
            <w:vAlign w:val="center"/>
          </w:tcPr>
          <w:p w:rsidR="00FF5344" w:rsidRPr="00EF0531" w:rsidRDefault="00FF5344" w:rsidP="00FF5344">
            <w:pPr>
              <w:jc w:val="center"/>
              <w:rPr>
                <w:rFonts w:ascii="Arial" w:hAnsi="Arial" w:cs="Arial"/>
                <w:iCs/>
                <w:sz w:val="16"/>
                <w:szCs w:val="16"/>
              </w:rPr>
            </w:pPr>
            <w:r w:rsidRPr="00EF0531">
              <w:rPr>
                <w:rFonts w:ascii="Arial" w:hAnsi="Arial" w:cs="Arial"/>
                <w:iCs/>
                <w:sz w:val="16"/>
                <w:szCs w:val="16"/>
              </w:rPr>
              <w:t>N/A</w:t>
            </w:r>
          </w:p>
        </w:tc>
        <w:tc>
          <w:tcPr>
            <w:tcW w:w="567" w:type="dxa"/>
            <w:tcBorders>
              <w:bottom w:val="single" w:sz="4" w:space="0" w:color="auto"/>
            </w:tcBorders>
            <w:noWrap/>
            <w:tcMar>
              <w:top w:w="15" w:type="dxa"/>
              <w:left w:w="15" w:type="dxa"/>
              <w:bottom w:w="0" w:type="dxa"/>
              <w:right w:w="15" w:type="dxa"/>
            </w:tcMar>
            <w:vAlign w:val="center"/>
          </w:tcPr>
          <w:p w:rsidR="00FF5344" w:rsidRPr="00EF0531" w:rsidRDefault="00FF5344" w:rsidP="00FF5344">
            <w:pPr>
              <w:jc w:val="center"/>
              <w:rPr>
                <w:rFonts w:ascii="Arial" w:hAnsi="Arial" w:cs="Arial"/>
                <w:iCs/>
                <w:sz w:val="16"/>
                <w:szCs w:val="16"/>
              </w:rPr>
            </w:pPr>
            <w:r w:rsidRPr="00EF0531">
              <w:rPr>
                <w:rFonts w:ascii="Arial" w:hAnsi="Arial" w:cs="Arial"/>
                <w:iCs/>
                <w:sz w:val="16"/>
                <w:szCs w:val="16"/>
              </w:rPr>
              <w:t>N/A</w:t>
            </w:r>
          </w:p>
        </w:tc>
        <w:tc>
          <w:tcPr>
            <w:tcW w:w="567" w:type="dxa"/>
            <w:tcBorders>
              <w:bottom w:val="single" w:sz="4" w:space="0" w:color="auto"/>
            </w:tcBorders>
            <w:noWrap/>
            <w:tcMar>
              <w:top w:w="15" w:type="dxa"/>
              <w:left w:w="15" w:type="dxa"/>
              <w:bottom w:w="0" w:type="dxa"/>
              <w:right w:w="15" w:type="dxa"/>
            </w:tcMar>
            <w:vAlign w:val="center"/>
          </w:tcPr>
          <w:p w:rsidR="00FF5344" w:rsidRPr="00EF0531" w:rsidRDefault="00FF5344" w:rsidP="00FF5344">
            <w:pPr>
              <w:jc w:val="center"/>
              <w:rPr>
                <w:rFonts w:ascii="Arial" w:hAnsi="Arial" w:cs="Arial"/>
                <w:iCs/>
                <w:sz w:val="16"/>
                <w:szCs w:val="16"/>
              </w:rPr>
            </w:pPr>
            <w:r w:rsidRPr="00EF0531">
              <w:rPr>
                <w:rFonts w:ascii="Arial" w:hAnsi="Arial" w:cs="Arial"/>
                <w:iCs/>
                <w:sz w:val="16"/>
                <w:szCs w:val="16"/>
              </w:rPr>
              <w:t>N/A</w:t>
            </w:r>
          </w:p>
        </w:tc>
        <w:tc>
          <w:tcPr>
            <w:tcW w:w="567" w:type="dxa"/>
            <w:tcBorders>
              <w:bottom w:val="single" w:sz="4" w:space="0" w:color="auto"/>
            </w:tcBorders>
            <w:noWrap/>
            <w:tcMar>
              <w:top w:w="15" w:type="dxa"/>
              <w:left w:w="15" w:type="dxa"/>
              <w:bottom w:w="0" w:type="dxa"/>
              <w:right w:w="15" w:type="dxa"/>
            </w:tcMar>
            <w:vAlign w:val="center"/>
          </w:tcPr>
          <w:p w:rsidR="00FF5344" w:rsidRPr="00EF0531" w:rsidRDefault="00FF5344" w:rsidP="00FF5344">
            <w:pPr>
              <w:jc w:val="center"/>
              <w:rPr>
                <w:rFonts w:ascii="Arial" w:hAnsi="Arial" w:cs="Arial"/>
                <w:iCs/>
                <w:sz w:val="16"/>
                <w:szCs w:val="16"/>
              </w:rPr>
            </w:pPr>
            <w:r w:rsidRPr="00EF0531">
              <w:rPr>
                <w:rFonts w:ascii="Arial" w:hAnsi="Arial" w:cs="Arial"/>
                <w:iCs/>
                <w:sz w:val="16"/>
                <w:szCs w:val="16"/>
              </w:rPr>
              <w:t>N/A</w:t>
            </w:r>
          </w:p>
        </w:tc>
        <w:tc>
          <w:tcPr>
            <w:tcW w:w="567" w:type="dxa"/>
            <w:tcBorders>
              <w:bottom w:val="single" w:sz="4" w:space="0" w:color="auto"/>
            </w:tcBorders>
            <w:noWrap/>
            <w:tcMar>
              <w:top w:w="15" w:type="dxa"/>
              <w:left w:w="15" w:type="dxa"/>
              <w:bottom w:w="0" w:type="dxa"/>
              <w:right w:w="15" w:type="dxa"/>
            </w:tcMar>
            <w:vAlign w:val="center"/>
          </w:tcPr>
          <w:p w:rsidR="00FF5344" w:rsidRPr="00EF0531" w:rsidRDefault="00FF5344" w:rsidP="00FF5344">
            <w:pPr>
              <w:jc w:val="center"/>
              <w:rPr>
                <w:rFonts w:ascii="Arial" w:hAnsi="Arial" w:cs="Arial"/>
                <w:iCs/>
                <w:sz w:val="16"/>
                <w:szCs w:val="16"/>
              </w:rPr>
            </w:pPr>
            <w:r w:rsidRPr="00EF0531">
              <w:rPr>
                <w:rFonts w:ascii="Arial" w:hAnsi="Arial" w:cs="Arial"/>
                <w:iCs/>
                <w:sz w:val="16"/>
                <w:szCs w:val="16"/>
              </w:rPr>
              <w:t>N/A</w:t>
            </w:r>
          </w:p>
        </w:tc>
        <w:tc>
          <w:tcPr>
            <w:tcW w:w="567" w:type="dxa"/>
            <w:tcBorders>
              <w:bottom w:val="single" w:sz="4" w:space="0" w:color="auto"/>
            </w:tcBorders>
            <w:noWrap/>
            <w:tcMar>
              <w:top w:w="15" w:type="dxa"/>
              <w:left w:w="15" w:type="dxa"/>
              <w:bottom w:w="0" w:type="dxa"/>
              <w:right w:w="15" w:type="dxa"/>
            </w:tcMar>
            <w:vAlign w:val="center"/>
          </w:tcPr>
          <w:p w:rsidR="00FF5344" w:rsidRPr="00EF0531" w:rsidRDefault="00FF5344" w:rsidP="00FF5344">
            <w:pPr>
              <w:jc w:val="center"/>
              <w:rPr>
                <w:rFonts w:ascii="Arial" w:hAnsi="Arial" w:cs="Arial"/>
                <w:iCs/>
                <w:sz w:val="16"/>
                <w:szCs w:val="16"/>
              </w:rPr>
            </w:pPr>
            <w:r w:rsidRPr="00EF0531">
              <w:rPr>
                <w:rFonts w:ascii="Arial" w:hAnsi="Arial" w:cs="Arial"/>
                <w:iCs/>
                <w:sz w:val="16"/>
                <w:szCs w:val="16"/>
              </w:rPr>
              <w:t>N/A</w:t>
            </w:r>
          </w:p>
        </w:tc>
        <w:tc>
          <w:tcPr>
            <w:tcW w:w="567" w:type="dxa"/>
            <w:tcBorders>
              <w:bottom w:val="single" w:sz="4" w:space="0" w:color="auto"/>
            </w:tcBorders>
            <w:noWrap/>
            <w:tcMar>
              <w:top w:w="15" w:type="dxa"/>
              <w:left w:w="15" w:type="dxa"/>
              <w:bottom w:w="0" w:type="dxa"/>
              <w:right w:w="15" w:type="dxa"/>
            </w:tcMar>
            <w:vAlign w:val="center"/>
          </w:tcPr>
          <w:p w:rsidR="00FF5344" w:rsidRPr="00EF0531" w:rsidRDefault="00FF5344" w:rsidP="00FF5344">
            <w:pPr>
              <w:jc w:val="center"/>
              <w:rPr>
                <w:rFonts w:ascii="Arial" w:hAnsi="Arial" w:cs="Arial"/>
                <w:iCs/>
                <w:sz w:val="16"/>
                <w:szCs w:val="16"/>
              </w:rPr>
            </w:pPr>
            <w:r w:rsidRPr="00EF0531">
              <w:rPr>
                <w:rFonts w:ascii="Arial" w:hAnsi="Arial" w:cs="Arial"/>
                <w:iCs/>
                <w:sz w:val="16"/>
                <w:szCs w:val="16"/>
              </w:rPr>
              <w:t>N/A</w:t>
            </w:r>
          </w:p>
        </w:tc>
        <w:tc>
          <w:tcPr>
            <w:tcW w:w="709" w:type="dxa"/>
            <w:tcBorders>
              <w:bottom w:val="single" w:sz="4" w:space="0" w:color="auto"/>
            </w:tcBorders>
            <w:noWrap/>
            <w:tcMar>
              <w:top w:w="15" w:type="dxa"/>
              <w:left w:w="15" w:type="dxa"/>
              <w:bottom w:w="0" w:type="dxa"/>
              <w:right w:w="15" w:type="dxa"/>
            </w:tcMar>
            <w:vAlign w:val="center"/>
          </w:tcPr>
          <w:p w:rsidR="00FF5344" w:rsidRPr="00EF0531" w:rsidRDefault="00FF5344" w:rsidP="00FF5344">
            <w:pPr>
              <w:jc w:val="center"/>
              <w:rPr>
                <w:rFonts w:ascii="Arial" w:hAnsi="Arial" w:cs="Arial"/>
                <w:iCs/>
                <w:sz w:val="16"/>
                <w:szCs w:val="16"/>
              </w:rPr>
            </w:pPr>
            <w:r w:rsidRPr="00EF0531">
              <w:rPr>
                <w:rFonts w:ascii="Arial" w:hAnsi="Arial" w:cs="Arial"/>
                <w:iCs/>
                <w:sz w:val="16"/>
                <w:szCs w:val="16"/>
              </w:rPr>
              <w:t>N/A</w:t>
            </w:r>
          </w:p>
        </w:tc>
        <w:tc>
          <w:tcPr>
            <w:tcW w:w="709" w:type="dxa"/>
            <w:tcBorders>
              <w:bottom w:val="single" w:sz="4" w:space="0" w:color="auto"/>
            </w:tcBorders>
            <w:noWrap/>
            <w:tcMar>
              <w:top w:w="15" w:type="dxa"/>
              <w:left w:w="15" w:type="dxa"/>
              <w:bottom w:w="0" w:type="dxa"/>
              <w:right w:w="15" w:type="dxa"/>
            </w:tcMar>
            <w:vAlign w:val="center"/>
          </w:tcPr>
          <w:p w:rsidR="00FF5344" w:rsidRPr="00EF0531" w:rsidRDefault="00FF5344" w:rsidP="00FF5344">
            <w:pPr>
              <w:jc w:val="center"/>
              <w:rPr>
                <w:rFonts w:ascii="Arial" w:hAnsi="Arial" w:cs="Arial"/>
                <w:b/>
                <w:bCs/>
                <w:sz w:val="16"/>
                <w:szCs w:val="16"/>
              </w:rPr>
            </w:pPr>
            <w:r w:rsidRPr="00EF0531">
              <w:rPr>
                <w:rFonts w:ascii="Arial" w:hAnsi="Arial" w:cs="Arial"/>
                <w:b/>
                <w:bCs/>
                <w:sz w:val="16"/>
                <w:szCs w:val="16"/>
              </w:rPr>
              <w:t>95</w:t>
            </w:r>
          </w:p>
        </w:tc>
        <w:tc>
          <w:tcPr>
            <w:tcW w:w="1134" w:type="dxa"/>
            <w:tcBorders>
              <w:bottom w:val="single" w:sz="4" w:space="0" w:color="auto"/>
            </w:tcBorders>
            <w:noWrap/>
            <w:tcMar>
              <w:top w:w="15" w:type="dxa"/>
              <w:left w:w="15" w:type="dxa"/>
              <w:bottom w:w="0" w:type="dxa"/>
              <w:right w:w="15" w:type="dxa"/>
            </w:tcMar>
            <w:vAlign w:val="center"/>
          </w:tcPr>
          <w:p w:rsidR="00FF5344" w:rsidRPr="00EF0531" w:rsidRDefault="00FF5344" w:rsidP="00FF5344">
            <w:pPr>
              <w:jc w:val="center"/>
              <w:rPr>
                <w:rFonts w:ascii="Arial" w:hAnsi="Arial" w:cs="Arial"/>
                <w:sz w:val="16"/>
                <w:szCs w:val="16"/>
              </w:rPr>
            </w:pPr>
          </w:p>
        </w:tc>
      </w:tr>
      <w:tr w:rsidR="00FF5344" w:rsidRPr="00EF0531" w:rsidTr="00FF5344">
        <w:trPr>
          <w:trHeight w:val="20"/>
        </w:trPr>
        <w:tc>
          <w:tcPr>
            <w:tcW w:w="9703" w:type="dxa"/>
            <w:gridSpan w:val="13"/>
            <w:shd w:val="clear" w:color="auto" w:fill="CCFFFF"/>
            <w:vAlign w:val="center"/>
          </w:tcPr>
          <w:p w:rsidR="00FF5344" w:rsidRPr="00EF0531" w:rsidRDefault="00FF5344" w:rsidP="00FF5344">
            <w:pPr>
              <w:jc w:val="center"/>
              <w:rPr>
                <w:rFonts w:ascii="Arial" w:hAnsi="Arial" w:cs="Arial"/>
                <w:sz w:val="16"/>
                <w:szCs w:val="16"/>
              </w:rPr>
            </w:pPr>
            <w:r w:rsidRPr="00EF0531">
              <w:rPr>
                <w:rFonts w:ascii="Arial" w:hAnsi="Arial" w:cs="Arial"/>
                <w:sz w:val="16"/>
                <w:szCs w:val="16"/>
              </w:rPr>
              <w:t xml:space="preserve">PO 1, 3, 5 </w:t>
            </w:r>
          </w:p>
        </w:tc>
      </w:tr>
      <w:tr w:rsidR="00FF5344" w:rsidRPr="00EF0531" w:rsidTr="00FF5344">
        <w:trPr>
          <w:trHeight w:val="262"/>
        </w:trPr>
        <w:tc>
          <w:tcPr>
            <w:tcW w:w="1433" w:type="dxa"/>
            <w:vMerge w:val="restart"/>
            <w:shd w:val="clear" w:color="auto" w:fill="FFFF99"/>
            <w:tcMar>
              <w:top w:w="15" w:type="dxa"/>
              <w:left w:w="15" w:type="dxa"/>
              <w:bottom w:w="0" w:type="dxa"/>
              <w:right w:w="15" w:type="dxa"/>
            </w:tcMar>
            <w:vAlign w:val="center"/>
          </w:tcPr>
          <w:p w:rsidR="00FF5344" w:rsidRPr="00EF0531" w:rsidRDefault="00FF5344" w:rsidP="00FF5344">
            <w:pPr>
              <w:rPr>
                <w:rFonts w:ascii="Arial" w:hAnsi="Arial" w:cs="Arial"/>
                <w:sz w:val="16"/>
                <w:szCs w:val="16"/>
              </w:rPr>
            </w:pPr>
            <w:r w:rsidRPr="00EF0531">
              <w:rPr>
                <w:rFonts w:ascii="Arial" w:hAnsi="Arial" w:cs="Arial"/>
                <w:sz w:val="16"/>
                <w:szCs w:val="16"/>
              </w:rPr>
              <w:t>Zateplená plocha [m</w:t>
            </w:r>
            <w:r w:rsidRPr="00EF0531">
              <w:rPr>
                <w:rFonts w:ascii="Arial" w:hAnsi="Arial" w:cs="Arial"/>
                <w:sz w:val="16"/>
                <w:szCs w:val="16"/>
                <w:vertAlign w:val="superscript"/>
              </w:rPr>
              <w:t>2</w:t>
            </w:r>
            <w:r w:rsidRPr="00EF0531">
              <w:rPr>
                <w:rFonts w:ascii="Arial" w:hAnsi="Arial" w:cs="Arial"/>
                <w:sz w:val="16"/>
                <w:szCs w:val="16"/>
              </w:rPr>
              <w:t>] výsledok</w:t>
            </w:r>
          </w:p>
        </w:tc>
        <w:tc>
          <w:tcPr>
            <w:tcW w:w="1182" w:type="dxa"/>
            <w:shd w:val="clear" w:color="auto" w:fill="CCFFFF"/>
            <w:noWrap/>
            <w:tcMar>
              <w:top w:w="15" w:type="dxa"/>
              <w:left w:w="15" w:type="dxa"/>
              <w:bottom w:w="0" w:type="dxa"/>
              <w:right w:w="15" w:type="dxa"/>
            </w:tcMar>
            <w:vAlign w:val="center"/>
          </w:tcPr>
          <w:p w:rsidR="00FF5344" w:rsidRPr="00EF0531" w:rsidRDefault="00FF5344" w:rsidP="00FF5344">
            <w:pPr>
              <w:rPr>
                <w:rFonts w:ascii="Arial" w:hAnsi="Arial" w:cs="Arial"/>
                <w:b/>
                <w:sz w:val="16"/>
                <w:szCs w:val="16"/>
              </w:rPr>
            </w:pPr>
            <w:r w:rsidRPr="00EF0531">
              <w:rPr>
                <w:rFonts w:ascii="Arial" w:hAnsi="Arial" w:cs="Arial"/>
                <w:b/>
                <w:sz w:val="16"/>
                <w:szCs w:val="16"/>
              </w:rPr>
              <w:t>Dosiahnutý výsledok</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bCs/>
                <w:sz w:val="16"/>
                <w:szCs w:val="16"/>
              </w:rPr>
            </w:pPr>
            <w:r w:rsidRPr="00EF0531">
              <w:rPr>
                <w:rFonts w:ascii="Arial" w:hAnsi="Arial" w:cs="Arial"/>
                <w:bCs/>
                <w:sz w:val="16"/>
                <w:szCs w:val="16"/>
              </w:rPr>
              <w:t>0</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bCs/>
                <w:sz w:val="16"/>
                <w:szCs w:val="16"/>
              </w:rPr>
            </w:pPr>
            <w:r w:rsidRPr="00EF0531">
              <w:rPr>
                <w:rFonts w:ascii="Arial" w:hAnsi="Arial" w:cs="Arial"/>
                <w:bCs/>
                <w:sz w:val="16"/>
                <w:szCs w:val="16"/>
              </w:rPr>
              <w:t>0</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bCs/>
                <w:sz w:val="16"/>
                <w:szCs w:val="16"/>
              </w:rPr>
            </w:pPr>
            <w:r w:rsidRPr="00EF0531">
              <w:rPr>
                <w:rFonts w:ascii="Arial" w:hAnsi="Arial" w:cs="Arial"/>
                <w:bCs/>
                <w:sz w:val="16"/>
                <w:szCs w:val="16"/>
              </w:rPr>
              <w:t>0</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bCs/>
                <w:sz w:val="16"/>
                <w:szCs w:val="16"/>
              </w:rPr>
            </w:pPr>
            <w:r w:rsidRPr="00EF0531">
              <w:rPr>
                <w:rFonts w:ascii="Arial" w:hAnsi="Arial" w:cs="Arial"/>
                <w:bCs/>
                <w:sz w:val="16"/>
                <w:szCs w:val="16"/>
              </w:rPr>
              <w:t>1 405,81</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bCs/>
                <w:sz w:val="16"/>
                <w:szCs w:val="16"/>
              </w:rPr>
            </w:pPr>
            <w:r w:rsidRPr="00EF0531">
              <w:rPr>
                <w:rFonts w:ascii="Arial" w:hAnsi="Arial" w:cs="Arial"/>
                <w:bCs/>
                <w:sz w:val="16"/>
                <w:szCs w:val="16"/>
              </w:rPr>
              <w:t>2 729,92</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Cs/>
                <w:sz w:val="16"/>
                <w:szCs w:val="16"/>
              </w:rPr>
            </w:pPr>
            <w:r w:rsidRPr="00EF0531">
              <w:rPr>
                <w:rFonts w:ascii="Arial" w:hAnsi="Arial" w:cs="Arial"/>
                <w:bCs/>
                <w:sz w:val="16"/>
                <w:szCs w:val="16"/>
              </w:rPr>
              <w:t>3028,62</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Cs/>
                <w:sz w:val="16"/>
                <w:szCs w:val="16"/>
              </w:rPr>
            </w:pPr>
            <w:r w:rsidRPr="00EF0531">
              <w:rPr>
                <w:rFonts w:ascii="Arial" w:hAnsi="Arial" w:cs="Arial"/>
                <w:iCs/>
                <w:sz w:val="16"/>
                <w:szCs w:val="16"/>
              </w:rPr>
              <w:t>N/A</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Cs/>
                <w:sz w:val="16"/>
                <w:szCs w:val="16"/>
              </w:rPr>
            </w:pPr>
            <w:r w:rsidRPr="00EF0531">
              <w:rPr>
                <w:rFonts w:ascii="Arial" w:hAnsi="Arial" w:cs="Arial"/>
                <w:iCs/>
                <w:sz w:val="16"/>
                <w:szCs w:val="16"/>
              </w:rPr>
              <w:t>N/A</w:t>
            </w:r>
          </w:p>
        </w:tc>
        <w:tc>
          <w:tcPr>
            <w:tcW w:w="709" w:type="dxa"/>
            <w:noWrap/>
            <w:tcMar>
              <w:top w:w="15" w:type="dxa"/>
              <w:left w:w="15" w:type="dxa"/>
              <w:bottom w:w="0" w:type="dxa"/>
              <w:right w:w="15" w:type="dxa"/>
            </w:tcMar>
            <w:vAlign w:val="center"/>
          </w:tcPr>
          <w:p w:rsidR="00FF5344" w:rsidRPr="00EF0531" w:rsidRDefault="00FF5344" w:rsidP="00FF5344">
            <w:pPr>
              <w:jc w:val="center"/>
              <w:rPr>
                <w:rFonts w:ascii="Arial" w:hAnsi="Arial" w:cs="Arial"/>
                <w:iCs/>
                <w:sz w:val="16"/>
                <w:szCs w:val="16"/>
              </w:rPr>
            </w:pPr>
            <w:r w:rsidRPr="00EF0531">
              <w:rPr>
                <w:rFonts w:ascii="Arial" w:hAnsi="Arial" w:cs="Arial"/>
                <w:iCs/>
                <w:sz w:val="16"/>
                <w:szCs w:val="16"/>
              </w:rPr>
              <w:t>N/A</w:t>
            </w:r>
          </w:p>
        </w:tc>
        <w:tc>
          <w:tcPr>
            <w:tcW w:w="709" w:type="dxa"/>
            <w:noWrap/>
            <w:tcMar>
              <w:top w:w="15" w:type="dxa"/>
              <w:left w:w="15" w:type="dxa"/>
              <w:bottom w:w="0" w:type="dxa"/>
              <w:right w:w="15" w:type="dxa"/>
            </w:tcMar>
            <w:vAlign w:val="center"/>
          </w:tcPr>
          <w:p w:rsidR="00FF5344" w:rsidRPr="00EF0531" w:rsidRDefault="00FF5344" w:rsidP="00FF5344">
            <w:pPr>
              <w:jc w:val="center"/>
              <w:rPr>
                <w:rFonts w:ascii="Arial" w:hAnsi="Arial" w:cs="Arial"/>
                <w:b/>
                <w:bCs/>
                <w:sz w:val="16"/>
                <w:szCs w:val="16"/>
              </w:rPr>
            </w:pPr>
            <w:r w:rsidRPr="00EF0531">
              <w:rPr>
                <w:rFonts w:ascii="Arial" w:hAnsi="Arial" w:cs="Arial"/>
                <w:b/>
                <w:bCs/>
                <w:sz w:val="16"/>
                <w:szCs w:val="16"/>
              </w:rPr>
              <w:t>3028,62</w:t>
            </w:r>
          </w:p>
        </w:tc>
        <w:tc>
          <w:tcPr>
            <w:tcW w:w="1134" w:type="dxa"/>
            <w:noWrap/>
            <w:tcMar>
              <w:top w:w="15" w:type="dxa"/>
              <w:left w:w="15" w:type="dxa"/>
              <w:bottom w:w="0" w:type="dxa"/>
              <w:right w:w="15" w:type="dxa"/>
            </w:tcMar>
            <w:vAlign w:val="center"/>
          </w:tcPr>
          <w:p w:rsidR="00FF5344" w:rsidRPr="00EF0531" w:rsidRDefault="00FF5344" w:rsidP="00FF5344">
            <w:pPr>
              <w:jc w:val="center"/>
              <w:rPr>
                <w:rFonts w:ascii="Arial" w:hAnsi="Arial" w:cs="Arial"/>
                <w:sz w:val="16"/>
                <w:szCs w:val="16"/>
              </w:rPr>
            </w:pPr>
          </w:p>
        </w:tc>
      </w:tr>
      <w:tr w:rsidR="00FF5344" w:rsidRPr="00EF0531" w:rsidTr="00FF5344">
        <w:trPr>
          <w:trHeight w:val="263"/>
        </w:trPr>
        <w:tc>
          <w:tcPr>
            <w:tcW w:w="1433" w:type="dxa"/>
            <w:vMerge/>
            <w:shd w:val="clear" w:color="auto" w:fill="FFFF99"/>
            <w:vAlign w:val="center"/>
          </w:tcPr>
          <w:p w:rsidR="00FF5344" w:rsidRPr="00EF0531" w:rsidRDefault="00FF5344" w:rsidP="00FF5344">
            <w:pPr>
              <w:rPr>
                <w:rFonts w:ascii="Arial" w:hAnsi="Arial" w:cs="Arial"/>
                <w:sz w:val="16"/>
                <w:szCs w:val="16"/>
              </w:rPr>
            </w:pPr>
          </w:p>
        </w:tc>
        <w:tc>
          <w:tcPr>
            <w:tcW w:w="1182" w:type="dxa"/>
            <w:shd w:val="clear" w:color="auto" w:fill="CCFFFF"/>
            <w:noWrap/>
            <w:tcMar>
              <w:top w:w="15" w:type="dxa"/>
              <w:left w:w="15" w:type="dxa"/>
              <w:bottom w:w="0" w:type="dxa"/>
              <w:right w:w="15" w:type="dxa"/>
            </w:tcMar>
            <w:vAlign w:val="center"/>
          </w:tcPr>
          <w:p w:rsidR="00FF5344" w:rsidRPr="00EF0531" w:rsidRDefault="00FF5344" w:rsidP="00FF5344">
            <w:pPr>
              <w:rPr>
                <w:rFonts w:ascii="Arial" w:hAnsi="Arial" w:cs="Arial"/>
                <w:b/>
                <w:sz w:val="16"/>
                <w:szCs w:val="16"/>
              </w:rPr>
            </w:pPr>
            <w:r w:rsidRPr="00EF0531">
              <w:rPr>
                <w:rFonts w:ascii="Arial" w:hAnsi="Arial" w:cs="Arial"/>
                <w:b/>
                <w:sz w:val="16"/>
                <w:szCs w:val="16"/>
              </w:rPr>
              <w:t>Cieľ</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Cs/>
                <w:sz w:val="16"/>
                <w:szCs w:val="16"/>
              </w:rPr>
            </w:pPr>
            <w:r w:rsidRPr="00EF0531">
              <w:rPr>
                <w:rFonts w:ascii="Arial" w:hAnsi="Arial" w:cs="Arial"/>
                <w:iCs/>
                <w:sz w:val="16"/>
                <w:szCs w:val="16"/>
              </w:rPr>
              <w:t>N/A</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Cs/>
                <w:sz w:val="16"/>
                <w:szCs w:val="16"/>
              </w:rPr>
            </w:pPr>
            <w:r w:rsidRPr="00EF0531">
              <w:rPr>
                <w:rFonts w:ascii="Arial" w:hAnsi="Arial" w:cs="Arial"/>
                <w:iCs/>
                <w:sz w:val="16"/>
                <w:szCs w:val="16"/>
              </w:rPr>
              <w:t>N/A</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Cs/>
                <w:sz w:val="16"/>
                <w:szCs w:val="16"/>
              </w:rPr>
            </w:pPr>
            <w:r w:rsidRPr="00EF0531">
              <w:rPr>
                <w:rFonts w:ascii="Arial" w:hAnsi="Arial" w:cs="Arial"/>
                <w:iCs/>
                <w:sz w:val="16"/>
                <w:szCs w:val="16"/>
              </w:rPr>
              <w:t>N/A</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Cs/>
                <w:sz w:val="16"/>
                <w:szCs w:val="16"/>
              </w:rPr>
            </w:pPr>
            <w:r w:rsidRPr="00EF0531">
              <w:rPr>
                <w:rFonts w:ascii="Arial" w:hAnsi="Arial" w:cs="Arial"/>
                <w:iCs/>
                <w:sz w:val="16"/>
                <w:szCs w:val="16"/>
              </w:rPr>
              <w:t>N/A</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Cs/>
                <w:sz w:val="16"/>
                <w:szCs w:val="16"/>
              </w:rPr>
            </w:pPr>
            <w:r w:rsidRPr="00EF0531">
              <w:rPr>
                <w:rFonts w:ascii="Arial" w:hAnsi="Arial" w:cs="Arial"/>
                <w:iCs/>
                <w:sz w:val="16"/>
                <w:szCs w:val="16"/>
              </w:rPr>
              <w:t>N/A</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Cs/>
                <w:sz w:val="16"/>
                <w:szCs w:val="16"/>
              </w:rPr>
            </w:pPr>
            <w:r w:rsidRPr="00EF0531">
              <w:rPr>
                <w:rFonts w:ascii="Arial" w:hAnsi="Arial" w:cs="Arial"/>
                <w:iCs/>
                <w:sz w:val="16"/>
                <w:szCs w:val="16"/>
              </w:rPr>
              <w:t>N/A</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Cs/>
                <w:sz w:val="16"/>
                <w:szCs w:val="16"/>
              </w:rPr>
            </w:pPr>
            <w:r w:rsidRPr="00EF0531">
              <w:rPr>
                <w:rFonts w:ascii="Arial" w:hAnsi="Arial" w:cs="Arial"/>
                <w:iCs/>
                <w:sz w:val="16"/>
                <w:szCs w:val="16"/>
              </w:rPr>
              <w:t>N/A</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Cs/>
                <w:sz w:val="16"/>
                <w:szCs w:val="16"/>
              </w:rPr>
            </w:pPr>
            <w:r w:rsidRPr="00EF0531">
              <w:rPr>
                <w:rFonts w:ascii="Arial" w:hAnsi="Arial" w:cs="Arial"/>
                <w:iCs/>
                <w:sz w:val="16"/>
                <w:szCs w:val="16"/>
              </w:rPr>
              <w:t>N/A</w:t>
            </w:r>
          </w:p>
        </w:tc>
        <w:tc>
          <w:tcPr>
            <w:tcW w:w="709" w:type="dxa"/>
            <w:noWrap/>
            <w:tcMar>
              <w:top w:w="15" w:type="dxa"/>
              <w:left w:w="15" w:type="dxa"/>
              <w:bottom w:w="0" w:type="dxa"/>
              <w:right w:w="15" w:type="dxa"/>
            </w:tcMar>
            <w:vAlign w:val="center"/>
          </w:tcPr>
          <w:p w:rsidR="00FF5344" w:rsidRPr="00EF0531" w:rsidRDefault="00FF5344" w:rsidP="00FF5344">
            <w:pPr>
              <w:jc w:val="center"/>
              <w:rPr>
                <w:rFonts w:ascii="Arial" w:hAnsi="Arial" w:cs="Arial"/>
                <w:bCs/>
                <w:sz w:val="16"/>
                <w:szCs w:val="16"/>
              </w:rPr>
            </w:pPr>
            <w:r w:rsidRPr="00EF0531">
              <w:rPr>
                <w:rFonts w:ascii="Arial" w:hAnsi="Arial" w:cs="Arial"/>
                <w:bCs/>
                <w:sz w:val="16"/>
                <w:szCs w:val="16"/>
              </w:rPr>
              <w:t>2 500</w:t>
            </w:r>
          </w:p>
        </w:tc>
        <w:tc>
          <w:tcPr>
            <w:tcW w:w="709" w:type="dxa"/>
            <w:noWrap/>
            <w:tcMar>
              <w:top w:w="15" w:type="dxa"/>
              <w:left w:w="15" w:type="dxa"/>
              <w:bottom w:w="0" w:type="dxa"/>
              <w:right w:w="15" w:type="dxa"/>
            </w:tcMar>
            <w:vAlign w:val="center"/>
          </w:tcPr>
          <w:p w:rsidR="00FF5344" w:rsidRPr="00EF0531" w:rsidRDefault="00FF5344" w:rsidP="00FF5344">
            <w:pPr>
              <w:jc w:val="center"/>
              <w:rPr>
                <w:rFonts w:ascii="Arial" w:hAnsi="Arial" w:cs="Arial"/>
                <w:b/>
                <w:bCs/>
                <w:sz w:val="16"/>
                <w:szCs w:val="16"/>
              </w:rPr>
            </w:pPr>
            <w:r w:rsidRPr="00EF0531">
              <w:rPr>
                <w:rFonts w:ascii="Arial" w:hAnsi="Arial" w:cs="Arial"/>
                <w:b/>
                <w:bCs/>
                <w:sz w:val="16"/>
                <w:szCs w:val="16"/>
              </w:rPr>
              <w:t>2 500</w:t>
            </w:r>
          </w:p>
        </w:tc>
        <w:tc>
          <w:tcPr>
            <w:tcW w:w="1134" w:type="dxa"/>
            <w:noWrap/>
            <w:tcMar>
              <w:top w:w="15" w:type="dxa"/>
              <w:left w:w="15" w:type="dxa"/>
              <w:bottom w:w="0" w:type="dxa"/>
              <w:right w:w="15" w:type="dxa"/>
            </w:tcMar>
            <w:vAlign w:val="center"/>
          </w:tcPr>
          <w:p w:rsidR="00FF5344" w:rsidRPr="00EF0531" w:rsidRDefault="00FF5344" w:rsidP="00FF5344">
            <w:pPr>
              <w:jc w:val="center"/>
              <w:rPr>
                <w:rFonts w:ascii="Arial" w:hAnsi="Arial" w:cs="Arial"/>
                <w:i/>
                <w:iCs/>
                <w:sz w:val="16"/>
                <w:szCs w:val="16"/>
              </w:rPr>
            </w:pPr>
            <w:r w:rsidRPr="00EF0531">
              <w:rPr>
                <w:rFonts w:ascii="Arial" w:hAnsi="Arial" w:cs="Arial"/>
                <w:i/>
                <w:iCs/>
                <w:sz w:val="16"/>
                <w:szCs w:val="16"/>
              </w:rPr>
              <w:t>11</w:t>
            </w:r>
            <w:r w:rsidR="00165CDB">
              <w:rPr>
                <w:rFonts w:ascii="Arial" w:hAnsi="Arial" w:cs="Arial"/>
                <w:i/>
                <w:iCs/>
                <w:sz w:val="16"/>
                <w:szCs w:val="16"/>
              </w:rPr>
              <w:t xml:space="preserve"> </w:t>
            </w:r>
            <w:r w:rsidRPr="00EF0531">
              <w:rPr>
                <w:rFonts w:ascii="Arial" w:hAnsi="Arial" w:cs="Arial"/>
                <w:i/>
                <w:iCs/>
                <w:sz w:val="16"/>
                <w:szCs w:val="16"/>
              </w:rPr>
              <w:t>026,09</w:t>
            </w:r>
          </w:p>
        </w:tc>
      </w:tr>
      <w:tr w:rsidR="00FF5344" w:rsidRPr="00EF0531" w:rsidTr="00FF5344">
        <w:trPr>
          <w:trHeight w:val="280"/>
        </w:trPr>
        <w:tc>
          <w:tcPr>
            <w:tcW w:w="1433" w:type="dxa"/>
            <w:vMerge/>
            <w:tcBorders>
              <w:bottom w:val="single" w:sz="4" w:space="0" w:color="auto"/>
            </w:tcBorders>
            <w:shd w:val="clear" w:color="auto" w:fill="FFFF99"/>
            <w:vAlign w:val="center"/>
          </w:tcPr>
          <w:p w:rsidR="00FF5344" w:rsidRPr="00EF0531" w:rsidRDefault="00FF5344" w:rsidP="00FF5344">
            <w:pPr>
              <w:rPr>
                <w:rFonts w:ascii="Arial" w:hAnsi="Arial" w:cs="Arial"/>
                <w:sz w:val="16"/>
                <w:szCs w:val="16"/>
              </w:rPr>
            </w:pPr>
          </w:p>
        </w:tc>
        <w:tc>
          <w:tcPr>
            <w:tcW w:w="1182" w:type="dxa"/>
            <w:tcBorders>
              <w:bottom w:val="single" w:sz="4" w:space="0" w:color="auto"/>
            </w:tcBorders>
            <w:shd w:val="clear" w:color="auto" w:fill="CCFFFF"/>
            <w:noWrap/>
            <w:tcMar>
              <w:top w:w="15" w:type="dxa"/>
              <w:left w:w="15" w:type="dxa"/>
              <w:bottom w:w="0" w:type="dxa"/>
              <w:right w:w="15" w:type="dxa"/>
            </w:tcMar>
            <w:vAlign w:val="center"/>
          </w:tcPr>
          <w:p w:rsidR="00FF5344" w:rsidRPr="00EF0531" w:rsidRDefault="00FF5344" w:rsidP="00FF5344">
            <w:pPr>
              <w:rPr>
                <w:rFonts w:ascii="Arial" w:hAnsi="Arial" w:cs="Arial"/>
                <w:b/>
                <w:sz w:val="16"/>
                <w:szCs w:val="16"/>
              </w:rPr>
            </w:pPr>
            <w:r w:rsidRPr="00EF0531">
              <w:rPr>
                <w:rFonts w:ascii="Arial" w:hAnsi="Arial" w:cs="Arial"/>
                <w:b/>
                <w:sz w:val="16"/>
                <w:szCs w:val="16"/>
              </w:rPr>
              <w:t>Východisko</w:t>
            </w:r>
          </w:p>
        </w:tc>
        <w:tc>
          <w:tcPr>
            <w:tcW w:w="567" w:type="dxa"/>
            <w:tcBorders>
              <w:bottom w:val="single" w:sz="4" w:space="0" w:color="auto"/>
            </w:tcBorders>
            <w:noWrap/>
            <w:tcMar>
              <w:top w:w="15" w:type="dxa"/>
              <w:left w:w="15" w:type="dxa"/>
              <w:bottom w:w="0" w:type="dxa"/>
              <w:right w:w="15" w:type="dxa"/>
            </w:tcMar>
            <w:vAlign w:val="center"/>
          </w:tcPr>
          <w:p w:rsidR="00FF5344" w:rsidRPr="00EF0531" w:rsidRDefault="00FF5344" w:rsidP="00FF5344">
            <w:pPr>
              <w:jc w:val="center"/>
              <w:rPr>
                <w:rFonts w:ascii="Arial" w:hAnsi="Arial" w:cs="Arial"/>
                <w:bCs/>
                <w:sz w:val="16"/>
                <w:szCs w:val="16"/>
              </w:rPr>
            </w:pPr>
            <w:r w:rsidRPr="00EF0531">
              <w:rPr>
                <w:rFonts w:ascii="Arial" w:hAnsi="Arial" w:cs="Arial"/>
                <w:bCs/>
                <w:sz w:val="16"/>
                <w:szCs w:val="16"/>
              </w:rPr>
              <w:t>0</w:t>
            </w:r>
          </w:p>
        </w:tc>
        <w:tc>
          <w:tcPr>
            <w:tcW w:w="567" w:type="dxa"/>
            <w:tcBorders>
              <w:bottom w:val="single" w:sz="4" w:space="0" w:color="auto"/>
            </w:tcBorders>
            <w:noWrap/>
            <w:tcMar>
              <w:top w:w="15" w:type="dxa"/>
              <w:left w:w="15" w:type="dxa"/>
              <w:bottom w:w="0" w:type="dxa"/>
              <w:right w:w="15" w:type="dxa"/>
            </w:tcMar>
            <w:vAlign w:val="center"/>
          </w:tcPr>
          <w:p w:rsidR="00FF5344" w:rsidRPr="00EF0531" w:rsidRDefault="00FF5344" w:rsidP="00FF5344">
            <w:pPr>
              <w:jc w:val="center"/>
              <w:rPr>
                <w:rFonts w:ascii="Arial" w:hAnsi="Arial" w:cs="Arial"/>
                <w:iCs/>
                <w:sz w:val="16"/>
                <w:szCs w:val="16"/>
              </w:rPr>
            </w:pPr>
            <w:r w:rsidRPr="00EF0531">
              <w:rPr>
                <w:rFonts w:ascii="Arial" w:hAnsi="Arial" w:cs="Arial"/>
                <w:iCs/>
                <w:sz w:val="16"/>
                <w:szCs w:val="16"/>
              </w:rPr>
              <w:t>N/A</w:t>
            </w:r>
          </w:p>
        </w:tc>
        <w:tc>
          <w:tcPr>
            <w:tcW w:w="567" w:type="dxa"/>
            <w:tcBorders>
              <w:bottom w:val="single" w:sz="4" w:space="0" w:color="auto"/>
            </w:tcBorders>
            <w:noWrap/>
            <w:tcMar>
              <w:top w:w="15" w:type="dxa"/>
              <w:left w:w="15" w:type="dxa"/>
              <w:bottom w:w="0" w:type="dxa"/>
              <w:right w:w="15" w:type="dxa"/>
            </w:tcMar>
            <w:vAlign w:val="center"/>
          </w:tcPr>
          <w:p w:rsidR="00FF5344" w:rsidRPr="00EF0531" w:rsidRDefault="00FF5344" w:rsidP="00FF5344">
            <w:pPr>
              <w:jc w:val="center"/>
              <w:rPr>
                <w:rFonts w:ascii="Arial" w:hAnsi="Arial" w:cs="Arial"/>
                <w:iCs/>
                <w:sz w:val="16"/>
                <w:szCs w:val="16"/>
              </w:rPr>
            </w:pPr>
            <w:r w:rsidRPr="00EF0531">
              <w:rPr>
                <w:rFonts w:ascii="Arial" w:hAnsi="Arial" w:cs="Arial"/>
                <w:iCs/>
                <w:sz w:val="16"/>
                <w:szCs w:val="16"/>
              </w:rPr>
              <w:t>N/A</w:t>
            </w:r>
          </w:p>
        </w:tc>
        <w:tc>
          <w:tcPr>
            <w:tcW w:w="567" w:type="dxa"/>
            <w:tcBorders>
              <w:bottom w:val="single" w:sz="4" w:space="0" w:color="auto"/>
            </w:tcBorders>
            <w:noWrap/>
            <w:tcMar>
              <w:top w:w="15" w:type="dxa"/>
              <w:left w:w="15" w:type="dxa"/>
              <w:bottom w:w="0" w:type="dxa"/>
              <w:right w:w="15" w:type="dxa"/>
            </w:tcMar>
            <w:vAlign w:val="center"/>
          </w:tcPr>
          <w:p w:rsidR="00FF5344" w:rsidRPr="00EF0531" w:rsidRDefault="00FF5344" w:rsidP="00FF5344">
            <w:pPr>
              <w:jc w:val="center"/>
              <w:rPr>
                <w:rFonts w:ascii="Arial" w:hAnsi="Arial" w:cs="Arial"/>
                <w:iCs/>
                <w:sz w:val="16"/>
                <w:szCs w:val="16"/>
              </w:rPr>
            </w:pPr>
            <w:r w:rsidRPr="00EF0531">
              <w:rPr>
                <w:rFonts w:ascii="Arial" w:hAnsi="Arial" w:cs="Arial"/>
                <w:iCs/>
                <w:sz w:val="16"/>
                <w:szCs w:val="16"/>
              </w:rPr>
              <w:t>N/A</w:t>
            </w:r>
          </w:p>
        </w:tc>
        <w:tc>
          <w:tcPr>
            <w:tcW w:w="567" w:type="dxa"/>
            <w:tcBorders>
              <w:bottom w:val="single" w:sz="4" w:space="0" w:color="auto"/>
            </w:tcBorders>
            <w:noWrap/>
            <w:tcMar>
              <w:top w:w="15" w:type="dxa"/>
              <w:left w:w="15" w:type="dxa"/>
              <w:bottom w:w="0" w:type="dxa"/>
              <w:right w:w="15" w:type="dxa"/>
            </w:tcMar>
            <w:vAlign w:val="center"/>
          </w:tcPr>
          <w:p w:rsidR="00FF5344" w:rsidRPr="00EF0531" w:rsidRDefault="00FF5344" w:rsidP="00FF5344">
            <w:pPr>
              <w:jc w:val="center"/>
              <w:rPr>
                <w:rFonts w:ascii="Arial" w:hAnsi="Arial" w:cs="Arial"/>
                <w:iCs/>
                <w:sz w:val="16"/>
                <w:szCs w:val="16"/>
              </w:rPr>
            </w:pPr>
            <w:r w:rsidRPr="00EF0531">
              <w:rPr>
                <w:rFonts w:ascii="Arial" w:hAnsi="Arial" w:cs="Arial"/>
                <w:iCs/>
                <w:sz w:val="16"/>
                <w:szCs w:val="16"/>
              </w:rPr>
              <w:t>N/A</w:t>
            </w:r>
          </w:p>
        </w:tc>
        <w:tc>
          <w:tcPr>
            <w:tcW w:w="567" w:type="dxa"/>
            <w:tcBorders>
              <w:bottom w:val="single" w:sz="4" w:space="0" w:color="auto"/>
            </w:tcBorders>
            <w:noWrap/>
            <w:tcMar>
              <w:top w:w="15" w:type="dxa"/>
              <w:left w:w="15" w:type="dxa"/>
              <w:bottom w:w="0" w:type="dxa"/>
              <w:right w:w="15" w:type="dxa"/>
            </w:tcMar>
            <w:vAlign w:val="center"/>
          </w:tcPr>
          <w:p w:rsidR="00FF5344" w:rsidRPr="00EF0531" w:rsidRDefault="00FF5344" w:rsidP="00FF5344">
            <w:pPr>
              <w:jc w:val="center"/>
              <w:rPr>
                <w:rFonts w:ascii="Arial" w:hAnsi="Arial" w:cs="Arial"/>
                <w:iCs/>
                <w:sz w:val="16"/>
                <w:szCs w:val="16"/>
              </w:rPr>
            </w:pPr>
            <w:r w:rsidRPr="00EF0531">
              <w:rPr>
                <w:rFonts w:ascii="Arial" w:hAnsi="Arial" w:cs="Arial"/>
                <w:iCs/>
                <w:sz w:val="16"/>
                <w:szCs w:val="16"/>
              </w:rPr>
              <w:t>N/A</w:t>
            </w:r>
          </w:p>
        </w:tc>
        <w:tc>
          <w:tcPr>
            <w:tcW w:w="567" w:type="dxa"/>
            <w:tcBorders>
              <w:bottom w:val="single" w:sz="4" w:space="0" w:color="auto"/>
            </w:tcBorders>
            <w:noWrap/>
            <w:tcMar>
              <w:top w:w="15" w:type="dxa"/>
              <w:left w:w="15" w:type="dxa"/>
              <w:bottom w:w="0" w:type="dxa"/>
              <w:right w:w="15" w:type="dxa"/>
            </w:tcMar>
            <w:vAlign w:val="center"/>
          </w:tcPr>
          <w:p w:rsidR="00FF5344" w:rsidRPr="00EF0531" w:rsidRDefault="00FF5344" w:rsidP="00FF5344">
            <w:pPr>
              <w:jc w:val="center"/>
              <w:rPr>
                <w:rFonts w:ascii="Arial" w:hAnsi="Arial" w:cs="Arial"/>
                <w:iCs/>
                <w:sz w:val="16"/>
                <w:szCs w:val="16"/>
              </w:rPr>
            </w:pPr>
            <w:r w:rsidRPr="00EF0531">
              <w:rPr>
                <w:rFonts w:ascii="Arial" w:hAnsi="Arial" w:cs="Arial"/>
                <w:iCs/>
                <w:sz w:val="16"/>
                <w:szCs w:val="16"/>
              </w:rPr>
              <w:t>N/A</w:t>
            </w:r>
          </w:p>
        </w:tc>
        <w:tc>
          <w:tcPr>
            <w:tcW w:w="567" w:type="dxa"/>
            <w:tcBorders>
              <w:bottom w:val="single" w:sz="4" w:space="0" w:color="auto"/>
            </w:tcBorders>
            <w:noWrap/>
            <w:tcMar>
              <w:top w:w="15" w:type="dxa"/>
              <w:left w:w="15" w:type="dxa"/>
              <w:bottom w:w="0" w:type="dxa"/>
              <w:right w:w="15" w:type="dxa"/>
            </w:tcMar>
            <w:vAlign w:val="center"/>
          </w:tcPr>
          <w:p w:rsidR="00FF5344" w:rsidRPr="00EF0531" w:rsidRDefault="00FF5344" w:rsidP="00FF5344">
            <w:pPr>
              <w:jc w:val="center"/>
              <w:rPr>
                <w:rFonts w:ascii="Arial" w:hAnsi="Arial" w:cs="Arial"/>
                <w:iCs/>
                <w:sz w:val="16"/>
                <w:szCs w:val="16"/>
              </w:rPr>
            </w:pPr>
            <w:r w:rsidRPr="00EF0531">
              <w:rPr>
                <w:rFonts w:ascii="Arial" w:hAnsi="Arial" w:cs="Arial"/>
                <w:iCs/>
                <w:sz w:val="16"/>
                <w:szCs w:val="16"/>
              </w:rPr>
              <w:t>N/A</w:t>
            </w:r>
          </w:p>
        </w:tc>
        <w:tc>
          <w:tcPr>
            <w:tcW w:w="709" w:type="dxa"/>
            <w:tcBorders>
              <w:bottom w:val="single" w:sz="4" w:space="0" w:color="auto"/>
            </w:tcBorders>
            <w:noWrap/>
            <w:tcMar>
              <w:top w:w="15" w:type="dxa"/>
              <w:left w:w="15" w:type="dxa"/>
              <w:bottom w:w="0" w:type="dxa"/>
              <w:right w:w="15" w:type="dxa"/>
            </w:tcMar>
            <w:vAlign w:val="center"/>
          </w:tcPr>
          <w:p w:rsidR="00FF5344" w:rsidRPr="00EF0531" w:rsidRDefault="00FF5344" w:rsidP="00FF5344">
            <w:pPr>
              <w:jc w:val="center"/>
              <w:rPr>
                <w:rFonts w:ascii="Arial" w:hAnsi="Arial" w:cs="Arial"/>
                <w:iCs/>
                <w:sz w:val="16"/>
                <w:szCs w:val="16"/>
              </w:rPr>
            </w:pPr>
            <w:r w:rsidRPr="00EF0531">
              <w:rPr>
                <w:rFonts w:ascii="Arial" w:hAnsi="Arial" w:cs="Arial"/>
                <w:iCs/>
                <w:sz w:val="16"/>
                <w:szCs w:val="16"/>
              </w:rPr>
              <w:t>N/A</w:t>
            </w:r>
          </w:p>
        </w:tc>
        <w:tc>
          <w:tcPr>
            <w:tcW w:w="709" w:type="dxa"/>
            <w:tcBorders>
              <w:bottom w:val="single" w:sz="4" w:space="0" w:color="auto"/>
            </w:tcBorders>
            <w:noWrap/>
            <w:tcMar>
              <w:top w:w="15" w:type="dxa"/>
              <w:left w:w="15" w:type="dxa"/>
              <w:bottom w:w="0" w:type="dxa"/>
              <w:right w:w="15" w:type="dxa"/>
            </w:tcMar>
            <w:vAlign w:val="center"/>
          </w:tcPr>
          <w:p w:rsidR="00FF5344" w:rsidRPr="00EF0531" w:rsidRDefault="00FF5344" w:rsidP="00FF5344">
            <w:pPr>
              <w:jc w:val="center"/>
              <w:rPr>
                <w:rFonts w:ascii="Arial" w:hAnsi="Arial" w:cs="Arial"/>
                <w:b/>
                <w:bCs/>
                <w:sz w:val="16"/>
                <w:szCs w:val="16"/>
              </w:rPr>
            </w:pPr>
            <w:r w:rsidRPr="00EF0531">
              <w:rPr>
                <w:rFonts w:ascii="Arial" w:hAnsi="Arial" w:cs="Arial"/>
                <w:b/>
                <w:bCs/>
                <w:sz w:val="16"/>
                <w:szCs w:val="16"/>
              </w:rPr>
              <w:t>0</w:t>
            </w:r>
          </w:p>
        </w:tc>
        <w:tc>
          <w:tcPr>
            <w:tcW w:w="1134" w:type="dxa"/>
            <w:tcBorders>
              <w:bottom w:val="single" w:sz="4" w:space="0" w:color="auto"/>
            </w:tcBorders>
            <w:noWrap/>
            <w:tcMar>
              <w:top w:w="15" w:type="dxa"/>
              <w:left w:w="15" w:type="dxa"/>
              <w:bottom w:w="0" w:type="dxa"/>
              <w:right w:w="15" w:type="dxa"/>
            </w:tcMar>
            <w:vAlign w:val="center"/>
          </w:tcPr>
          <w:p w:rsidR="00FF5344" w:rsidRPr="00EF0531" w:rsidRDefault="00FF5344" w:rsidP="00FF5344">
            <w:pPr>
              <w:jc w:val="center"/>
              <w:rPr>
                <w:rFonts w:ascii="Arial" w:hAnsi="Arial" w:cs="Arial"/>
                <w:sz w:val="16"/>
                <w:szCs w:val="16"/>
              </w:rPr>
            </w:pPr>
          </w:p>
        </w:tc>
      </w:tr>
      <w:tr w:rsidR="00FF5344" w:rsidRPr="00EF0531" w:rsidTr="00FF5344">
        <w:trPr>
          <w:trHeight w:val="280"/>
        </w:trPr>
        <w:tc>
          <w:tcPr>
            <w:tcW w:w="9703" w:type="dxa"/>
            <w:gridSpan w:val="13"/>
            <w:shd w:val="clear" w:color="auto" w:fill="auto"/>
            <w:vAlign w:val="center"/>
          </w:tcPr>
          <w:p w:rsidR="00FF5344" w:rsidRPr="00EF0531" w:rsidRDefault="00FF5344" w:rsidP="00FF5344">
            <w:pPr>
              <w:jc w:val="center"/>
              <w:rPr>
                <w:rFonts w:ascii="Arial" w:hAnsi="Arial" w:cs="Arial"/>
                <w:sz w:val="16"/>
                <w:szCs w:val="16"/>
              </w:rPr>
            </w:pPr>
          </w:p>
        </w:tc>
      </w:tr>
      <w:tr w:rsidR="00FF5344" w:rsidRPr="00EF0531" w:rsidTr="00FF5344">
        <w:trPr>
          <w:trHeight w:val="274"/>
        </w:trPr>
        <w:tc>
          <w:tcPr>
            <w:tcW w:w="1433" w:type="dxa"/>
            <w:vMerge w:val="restart"/>
            <w:shd w:val="clear" w:color="auto" w:fill="FFFF99"/>
            <w:tcMar>
              <w:top w:w="15" w:type="dxa"/>
              <w:left w:w="15" w:type="dxa"/>
              <w:bottom w:w="0" w:type="dxa"/>
              <w:right w:w="15" w:type="dxa"/>
            </w:tcMar>
            <w:vAlign w:val="center"/>
          </w:tcPr>
          <w:p w:rsidR="00FF5344" w:rsidRPr="00EF0531" w:rsidRDefault="00FF5344" w:rsidP="00FF5344">
            <w:pPr>
              <w:rPr>
                <w:rFonts w:ascii="Arial" w:hAnsi="Arial" w:cs="Arial"/>
                <w:sz w:val="16"/>
                <w:szCs w:val="16"/>
              </w:rPr>
            </w:pPr>
            <w:r w:rsidRPr="00EF0531">
              <w:rPr>
                <w:rFonts w:ascii="Arial" w:hAnsi="Arial" w:cs="Arial"/>
                <w:sz w:val="16"/>
                <w:szCs w:val="16"/>
              </w:rPr>
              <w:t>Ročné úspory energie realizovaním projektu/Úspora energie [GJ/rok] dopad</w:t>
            </w:r>
          </w:p>
        </w:tc>
        <w:tc>
          <w:tcPr>
            <w:tcW w:w="1182" w:type="dxa"/>
            <w:shd w:val="clear" w:color="auto" w:fill="CCFFFF"/>
            <w:noWrap/>
            <w:tcMar>
              <w:top w:w="15" w:type="dxa"/>
              <w:left w:w="15" w:type="dxa"/>
              <w:bottom w:w="0" w:type="dxa"/>
              <w:right w:w="15" w:type="dxa"/>
            </w:tcMar>
            <w:vAlign w:val="center"/>
          </w:tcPr>
          <w:p w:rsidR="00FF5344" w:rsidRPr="00EF0531" w:rsidRDefault="00FF5344" w:rsidP="00FF5344">
            <w:pPr>
              <w:rPr>
                <w:rFonts w:ascii="Arial" w:hAnsi="Arial" w:cs="Arial"/>
                <w:b/>
                <w:sz w:val="16"/>
                <w:szCs w:val="16"/>
              </w:rPr>
            </w:pPr>
            <w:r w:rsidRPr="00EF0531">
              <w:rPr>
                <w:rFonts w:ascii="Arial" w:hAnsi="Arial" w:cs="Arial"/>
                <w:b/>
                <w:sz w:val="16"/>
                <w:szCs w:val="16"/>
              </w:rPr>
              <w:t>Dosiahnutý výsledok</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bCs/>
                <w:sz w:val="16"/>
                <w:szCs w:val="16"/>
              </w:rPr>
            </w:pPr>
            <w:r w:rsidRPr="00EF0531">
              <w:rPr>
                <w:rFonts w:ascii="Arial" w:hAnsi="Arial" w:cs="Arial"/>
                <w:bCs/>
                <w:sz w:val="16"/>
                <w:szCs w:val="16"/>
              </w:rPr>
              <w:t>0</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bCs/>
                <w:sz w:val="16"/>
                <w:szCs w:val="16"/>
              </w:rPr>
            </w:pPr>
            <w:r w:rsidRPr="00EF0531">
              <w:rPr>
                <w:rFonts w:ascii="Arial" w:hAnsi="Arial" w:cs="Arial"/>
                <w:bCs/>
                <w:sz w:val="16"/>
                <w:szCs w:val="16"/>
              </w:rPr>
              <w:t>0</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bCs/>
                <w:sz w:val="16"/>
                <w:szCs w:val="16"/>
              </w:rPr>
            </w:pPr>
            <w:r w:rsidRPr="00EF0531">
              <w:rPr>
                <w:rFonts w:ascii="Arial" w:hAnsi="Arial" w:cs="Arial"/>
                <w:bCs/>
                <w:sz w:val="16"/>
                <w:szCs w:val="16"/>
              </w:rPr>
              <w:t>0</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bCs/>
                <w:sz w:val="16"/>
                <w:szCs w:val="16"/>
              </w:rPr>
            </w:pPr>
            <w:r w:rsidRPr="00EF0531">
              <w:rPr>
                <w:rFonts w:ascii="Arial" w:hAnsi="Arial" w:cs="Arial"/>
                <w:bCs/>
                <w:sz w:val="16"/>
                <w:szCs w:val="16"/>
              </w:rPr>
              <w:t>0</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bCs/>
                <w:sz w:val="16"/>
                <w:szCs w:val="16"/>
              </w:rPr>
            </w:pPr>
            <w:r w:rsidRPr="00EF0531">
              <w:rPr>
                <w:rFonts w:ascii="Arial" w:hAnsi="Arial" w:cs="Arial"/>
                <w:bCs/>
                <w:sz w:val="16"/>
                <w:szCs w:val="16"/>
              </w:rPr>
              <w:t>0</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Cs/>
                <w:sz w:val="16"/>
                <w:szCs w:val="16"/>
              </w:rPr>
            </w:pPr>
            <w:r w:rsidRPr="00EF0531">
              <w:rPr>
                <w:rFonts w:ascii="Arial" w:hAnsi="Arial" w:cs="Arial"/>
                <w:bCs/>
                <w:sz w:val="16"/>
                <w:szCs w:val="16"/>
              </w:rPr>
              <w:t>636</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Cs/>
                <w:sz w:val="16"/>
                <w:szCs w:val="16"/>
              </w:rPr>
            </w:pPr>
            <w:r w:rsidRPr="00EF0531">
              <w:rPr>
                <w:rFonts w:ascii="Arial" w:hAnsi="Arial" w:cs="Arial"/>
                <w:iCs/>
                <w:sz w:val="16"/>
                <w:szCs w:val="16"/>
              </w:rPr>
              <w:t>N/A</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Cs/>
                <w:sz w:val="16"/>
                <w:szCs w:val="16"/>
              </w:rPr>
            </w:pPr>
            <w:r w:rsidRPr="00EF0531">
              <w:rPr>
                <w:rFonts w:ascii="Arial" w:hAnsi="Arial" w:cs="Arial"/>
                <w:iCs/>
                <w:sz w:val="16"/>
                <w:szCs w:val="16"/>
              </w:rPr>
              <w:t>N/A</w:t>
            </w:r>
          </w:p>
        </w:tc>
        <w:tc>
          <w:tcPr>
            <w:tcW w:w="709" w:type="dxa"/>
            <w:noWrap/>
            <w:tcMar>
              <w:top w:w="15" w:type="dxa"/>
              <w:left w:w="15" w:type="dxa"/>
              <w:bottom w:w="0" w:type="dxa"/>
              <w:right w:w="15" w:type="dxa"/>
            </w:tcMar>
            <w:vAlign w:val="center"/>
          </w:tcPr>
          <w:p w:rsidR="00FF5344" w:rsidRPr="00EF0531" w:rsidRDefault="00FF5344" w:rsidP="00FF5344">
            <w:pPr>
              <w:jc w:val="center"/>
              <w:rPr>
                <w:rFonts w:ascii="Arial" w:hAnsi="Arial" w:cs="Arial"/>
                <w:iCs/>
                <w:sz w:val="16"/>
                <w:szCs w:val="16"/>
              </w:rPr>
            </w:pPr>
            <w:r w:rsidRPr="00EF0531">
              <w:rPr>
                <w:rFonts w:ascii="Arial" w:hAnsi="Arial" w:cs="Arial"/>
                <w:iCs/>
                <w:sz w:val="16"/>
                <w:szCs w:val="16"/>
              </w:rPr>
              <w:t>N/A</w:t>
            </w:r>
          </w:p>
        </w:tc>
        <w:tc>
          <w:tcPr>
            <w:tcW w:w="709" w:type="dxa"/>
            <w:noWrap/>
            <w:tcMar>
              <w:top w:w="15" w:type="dxa"/>
              <w:left w:w="15" w:type="dxa"/>
              <w:bottom w:w="0" w:type="dxa"/>
              <w:right w:w="15" w:type="dxa"/>
            </w:tcMar>
            <w:vAlign w:val="center"/>
          </w:tcPr>
          <w:p w:rsidR="00FF5344" w:rsidRPr="00EF0531" w:rsidRDefault="00FF5344" w:rsidP="00FF5344">
            <w:pPr>
              <w:jc w:val="center"/>
              <w:rPr>
                <w:rFonts w:ascii="Arial" w:hAnsi="Arial" w:cs="Arial"/>
                <w:b/>
                <w:bCs/>
                <w:sz w:val="16"/>
                <w:szCs w:val="16"/>
              </w:rPr>
            </w:pPr>
            <w:r w:rsidRPr="00EF0531">
              <w:rPr>
                <w:rFonts w:ascii="Arial" w:hAnsi="Arial" w:cs="Arial"/>
                <w:b/>
                <w:bCs/>
                <w:sz w:val="16"/>
                <w:szCs w:val="16"/>
              </w:rPr>
              <w:t>636</w:t>
            </w:r>
          </w:p>
        </w:tc>
        <w:tc>
          <w:tcPr>
            <w:tcW w:w="1134" w:type="dxa"/>
            <w:noWrap/>
            <w:tcMar>
              <w:top w:w="15" w:type="dxa"/>
              <w:left w:w="15" w:type="dxa"/>
              <w:bottom w:w="0" w:type="dxa"/>
              <w:right w:w="15" w:type="dxa"/>
            </w:tcMar>
            <w:vAlign w:val="center"/>
          </w:tcPr>
          <w:p w:rsidR="00FF5344" w:rsidRPr="00EF0531" w:rsidRDefault="00FF5344" w:rsidP="00FF5344">
            <w:pPr>
              <w:jc w:val="center"/>
              <w:rPr>
                <w:rFonts w:ascii="Arial" w:hAnsi="Arial" w:cs="Arial"/>
                <w:sz w:val="16"/>
                <w:szCs w:val="16"/>
              </w:rPr>
            </w:pPr>
          </w:p>
        </w:tc>
      </w:tr>
      <w:tr w:rsidR="00FF5344" w:rsidRPr="00EF0531" w:rsidTr="00FF5344">
        <w:trPr>
          <w:trHeight w:val="377"/>
        </w:trPr>
        <w:tc>
          <w:tcPr>
            <w:tcW w:w="1433" w:type="dxa"/>
            <w:vMerge/>
            <w:shd w:val="clear" w:color="auto" w:fill="FFFF99"/>
            <w:vAlign w:val="center"/>
          </w:tcPr>
          <w:p w:rsidR="00FF5344" w:rsidRPr="00EF0531" w:rsidRDefault="00FF5344" w:rsidP="00FF5344">
            <w:pPr>
              <w:rPr>
                <w:rFonts w:ascii="Arial" w:hAnsi="Arial" w:cs="Arial"/>
                <w:sz w:val="16"/>
                <w:szCs w:val="16"/>
              </w:rPr>
            </w:pPr>
          </w:p>
        </w:tc>
        <w:tc>
          <w:tcPr>
            <w:tcW w:w="1182" w:type="dxa"/>
            <w:shd w:val="clear" w:color="auto" w:fill="CCFFFF"/>
            <w:noWrap/>
            <w:tcMar>
              <w:top w:w="15" w:type="dxa"/>
              <w:left w:w="15" w:type="dxa"/>
              <w:bottom w:w="0" w:type="dxa"/>
              <w:right w:w="15" w:type="dxa"/>
            </w:tcMar>
            <w:vAlign w:val="center"/>
          </w:tcPr>
          <w:p w:rsidR="00FF5344" w:rsidRPr="00EF0531" w:rsidRDefault="00FF5344" w:rsidP="00FF5344">
            <w:pPr>
              <w:rPr>
                <w:rFonts w:ascii="Arial" w:hAnsi="Arial" w:cs="Arial"/>
                <w:b/>
                <w:sz w:val="16"/>
                <w:szCs w:val="16"/>
              </w:rPr>
            </w:pPr>
            <w:r w:rsidRPr="00EF0531">
              <w:rPr>
                <w:rFonts w:ascii="Arial" w:hAnsi="Arial" w:cs="Arial"/>
                <w:b/>
                <w:sz w:val="16"/>
                <w:szCs w:val="16"/>
              </w:rPr>
              <w:t>Cieľ</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Cs/>
                <w:sz w:val="16"/>
                <w:szCs w:val="16"/>
              </w:rPr>
            </w:pPr>
            <w:r w:rsidRPr="00EF0531">
              <w:rPr>
                <w:rFonts w:ascii="Arial" w:hAnsi="Arial" w:cs="Arial"/>
                <w:iCs/>
                <w:sz w:val="16"/>
                <w:szCs w:val="16"/>
              </w:rPr>
              <w:t>N/A</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Cs/>
                <w:sz w:val="16"/>
                <w:szCs w:val="16"/>
              </w:rPr>
            </w:pPr>
            <w:r w:rsidRPr="00EF0531">
              <w:rPr>
                <w:rFonts w:ascii="Arial" w:hAnsi="Arial" w:cs="Arial"/>
                <w:iCs/>
                <w:sz w:val="16"/>
                <w:szCs w:val="16"/>
              </w:rPr>
              <w:t>N/A</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Cs/>
                <w:sz w:val="16"/>
                <w:szCs w:val="16"/>
              </w:rPr>
            </w:pPr>
            <w:r w:rsidRPr="00EF0531">
              <w:rPr>
                <w:rFonts w:ascii="Arial" w:hAnsi="Arial" w:cs="Arial"/>
                <w:iCs/>
                <w:sz w:val="16"/>
                <w:szCs w:val="16"/>
              </w:rPr>
              <w:t>N/A</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Cs/>
                <w:sz w:val="16"/>
                <w:szCs w:val="16"/>
              </w:rPr>
            </w:pPr>
            <w:r w:rsidRPr="00EF0531">
              <w:rPr>
                <w:rFonts w:ascii="Arial" w:hAnsi="Arial" w:cs="Arial"/>
                <w:iCs/>
                <w:sz w:val="16"/>
                <w:szCs w:val="16"/>
              </w:rPr>
              <w:t>N/A</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Cs/>
                <w:sz w:val="16"/>
                <w:szCs w:val="16"/>
              </w:rPr>
            </w:pPr>
            <w:r w:rsidRPr="00EF0531">
              <w:rPr>
                <w:rFonts w:ascii="Arial" w:hAnsi="Arial" w:cs="Arial"/>
                <w:iCs/>
                <w:sz w:val="16"/>
                <w:szCs w:val="16"/>
              </w:rPr>
              <w:t>N/A</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Cs/>
                <w:sz w:val="16"/>
                <w:szCs w:val="16"/>
              </w:rPr>
            </w:pPr>
            <w:r w:rsidRPr="00EF0531">
              <w:rPr>
                <w:rFonts w:ascii="Arial" w:hAnsi="Arial" w:cs="Arial"/>
                <w:iCs/>
                <w:sz w:val="16"/>
                <w:szCs w:val="16"/>
              </w:rPr>
              <w:t>N/A</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Cs/>
                <w:sz w:val="16"/>
                <w:szCs w:val="16"/>
              </w:rPr>
            </w:pPr>
            <w:r w:rsidRPr="00EF0531">
              <w:rPr>
                <w:rFonts w:ascii="Arial" w:hAnsi="Arial" w:cs="Arial"/>
                <w:iCs/>
                <w:sz w:val="16"/>
                <w:szCs w:val="16"/>
              </w:rPr>
              <w:t>N/A</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Cs/>
                <w:sz w:val="16"/>
                <w:szCs w:val="16"/>
              </w:rPr>
            </w:pPr>
            <w:r w:rsidRPr="00EF0531">
              <w:rPr>
                <w:rFonts w:ascii="Arial" w:hAnsi="Arial" w:cs="Arial"/>
                <w:iCs/>
                <w:sz w:val="16"/>
                <w:szCs w:val="16"/>
              </w:rPr>
              <w:t>N/A</w:t>
            </w:r>
          </w:p>
        </w:tc>
        <w:tc>
          <w:tcPr>
            <w:tcW w:w="709" w:type="dxa"/>
            <w:noWrap/>
            <w:tcMar>
              <w:top w:w="15" w:type="dxa"/>
              <w:left w:w="15" w:type="dxa"/>
              <w:bottom w:w="0" w:type="dxa"/>
              <w:right w:w="15" w:type="dxa"/>
            </w:tcMar>
            <w:vAlign w:val="center"/>
          </w:tcPr>
          <w:p w:rsidR="00FF5344" w:rsidRPr="00EF0531" w:rsidRDefault="00FF5344" w:rsidP="00FF5344">
            <w:pPr>
              <w:jc w:val="center"/>
              <w:rPr>
                <w:rFonts w:ascii="Arial" w:hAnsi="Arial" w:cs="Arial"/>
                <w:bCs/>
                <w:sz w:val="16"/>
                <w:szCs w:val="16"/>
              </w:rPr>
            </w:pPr>
            <w:r w:rsidRPr="00EF0531">
              <w:rPr>
                <w:rFonts w:ascii="Arial" w:hAnsi="Arial" w:cs="Arial"/>
                <w:bCs/>
                <w:sz w:val="16"/>
                <w:szCs w:val="16"/>
              </w:rPr>
              <w:t>30x10</w:t>
            </w:r>
            <w:r w:rsidRPr="00EF0531">
              <w:rPr>
                <w:rFonts w:ascii="Arial" w:hAnsi="Arial" w:cs="Arial"/>
                <w:bCs/>
                <w:sz w:val="16"/>
                <w:szCs w:val="16"/>
                <w:vertAlign w:val="superscript"/>
              </w:rPr>
              <w:t>3</w:t>
            </w:r>
          </w:p>
        </w:tc>
        <w:tc>
          <w:tcPr>
            <w:tcW w:w="709" w:type="dxa"/>
            <w:noWrap/>
            <w:tcMar>
              <w:top w:w="15" w:type="dxa"/>
              <w:left w:w="15" w:type="dxa"/>
              <w:bottom w:w="0" w:type="dxa"/>
              <w:right w:w="15" w:type="dxa"/>
            </w:tcMar>
            <w:vAlign w:val="center"/>
          </w:tcPr>
          <w:p w:rsidR="00FF5344" w:rsidRPr="00EF0531" w:rsidRDefault="00FF5344" w:rsidP="00FF5344">
            <w:pPr>
              <w:jc w:val="center"/>
              <w:rPr>
                <w:rFonts w:ascii="Arial" w:hAnsi="Arial" w:cs="Arial"/>
                <w:b/>
                <w:bCs/>
                <w:sz w:val="16"/>
                <w:szCs w:val="16"/>
              </w:rPr>
            </w:pPr>
            <w:r w:rsidRPr="00EF0531">
              <w:rPr>
                <w:rFonts w:ascii="Arial" w:hAnsi="Arial" w:cs="Arial"/>
                <w:b/>
                <w:bCs/>
                <w:sz w:val="16"/>
                <w:szCs w:val="16"/>
              </w:rPr>
              <w:t>30x10</w:t>
            </w:r>
            <w:r w:rsidRPr="00EF0531">
              <w:rPr>
                <w:rFonts w:ascii="Arial" w:hAnsi="Arial" w:cs="Arial"/>
                <w:b/>
                <w:bCs/>
                <w:sz w:val="16"/>
                <w:szCs w:val="16"/>
                <w:vertAlign w:val="superscript"/>
              </w:rPr>
              <w:t>3</w:t>
            </w:r>
          </w:p>
        </w:tc>
        <w:tc>
          <w:tcPr>
            <w:tcW w:w="1134" w:type="dxa"/>
            <w:noWrap/>
            <w:tcMar>
              <w:top w:w="15" w:type="dxa"/>
              <w:left w:w="15" w:type="dxa"/>
              <w:bottom w:w="0" w:type="dxa"/>
              <w:right w:w="15" w:type="dxa"/>
            </w:tcMar>
            <w:vAlign w:val="center"/>
          </w:tcPr>
          <w:p w:rsidR="00FF5344" w:rsidRPr="00EF0531" w:rsidRDefault="00FF5344" w:rsidP="00FF5344">
            <w:pPr>
              <w:jc w:val="center"/>
              <w:rPr>
                <w:rFonts w:ascii="Arial" w:hAnsi="Arial" w:cs="Arial"/>
                <w:i/>
                <w:iCs/>
                <w:sz w:val="16"/>
                <w:szCs w:val="16"/>
              </w:rPr>
            </w:pPr>
            <w:r w:rsidRPr="00EF0531">
              <w:rPr>
                <w:rFonts w:ascii="Arial" w:hAnsi="Arial" w:cs="Arial"/>
                <w:i/>
                <w:iCs/>
                <w:sz w:val="16"/>
                <w:szCs w:val="16"/>
              </w:rPr>
              <w:t>85 670,70</w:t>
            </w:r>
          </w:p>
        </w:tc>
      </w:tr>
      <w:tr w:rsidR="00FF5344" w:rsidRPr="00EF0531" w:rsidTr="00FF5344">
        <w:trPr>
          <w:trHeight w:val="20"/>
        </w:trPr>
        <w:tc>
          <w:tcPr>
            <w:tcW w:w="1433" w:type="dxa"/>
            <w:vMerge/>
            <w:shd w:val="clear" w:color="auto" w:fill="FFFF99"/>
            <w:vAlign w:val="center"/>
          </w:tcPr>
          <w:p w:rsidR="00FF5344" w:rsidRPr="00EF0531" w:rsidRDefault="00FF5344" w:rsidP="00FF5344">
            <w:pPr>
              <w:rPr>
                <w:rFonts w:ascii="Arial" w:hAnsi="Arial" w:cs="Arial"/>
                <w:sz w:val="16"/>
                <w:szCs w:val="16"/>
              </w:rPr>
            </w:pPr>
          </w:p>
        </w:tc>
        <w:tc>
          <w:tcPr>
            <w:tcW w:w="1182" w:type="dxa"/>
            <w:shd w:val="clear" w:color="auto" w:fill="CCFFFF"/>
            <w:noWrap/>
            <w:tcMar>
              <w:top w:w="15" w:type="dxa"/>
              <w:left w:w="15" w:type="dxa"/>
              <w:bottom w:w="0" w:type="dxa"/>
              <w:right w:w="15" w:type="dxa"/>
            </w:tcMar>
            <w:vAlign w:val="center"/>
          </w:tcPr>
          <w:p w:rsidR="00FF5344" w:rsidRPr="00EF0531" w:rsidRDefault="00FF5344" w:rsidP="00FF5344">
            <w:pPr>
              <w:rPr>
                <w:rFonts w:ascii="Arial" w:hAnsi="Arial" w:cs="Arial"/>
                <w:b/>
                <w:sz w:val="16"/>
                <w:szCs w:val="16"/>
              </w:rPr>
            </w:pPr>
            <w:r w:rsidRPr="00EF0531">
              <w:rPr>
                <w:rFonts w:ascii="Arial" w:hAnsi="Arial" w:cs="Arial"/>
                <w:b/>
                <w:sz w:val="16"/>
                <w:szCs w:val="16"/>
              </w:rPr>
              <w:t>Východisko</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bCs/>
                <w:sz w:val="16"/>
                <w:szCs w:val="16"/>
              </w:rPr>
            </w:pPr>
            <w:r w:rsidRPr="00EF0531">
              <w:rPr>
                <w:rFonts w:ascii="Arial" w:hAnsi="Arial" w:cs="Arial"/>
                <w:bCs/>
                <w:sz w:val="16"/>
                <w:szCs w:val="16"/>
              </w:rPr>
              <w:t>0</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Cs/>
                <w:sz w:val="16"/>
                <w:szCs w:val="16"/>
              </w:rPr>
            </w:pPr>
            <w:r w:rsidRPr="00EF0531">
              <w:rPr>
                <w:rFonts w:ascii="Arial" w:hAnsi="Arial" w:cs="Arial"/>
                <w:iCs/>
                <w:sz w:val="16"/>
                <w:szCs w:val="16"/>
              </w:rPr>
              <w:t>N/A</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Cs/>
                <w:sz w:val="16"/>
                <w:szCs w:val="16"/>
              </w:rPr>
            </w:pPr>
            <w:r w:rsidRPr="00EF0531">
              <w:rPr>
                <w:rFonts w:ascii="Arial" w:hAnsi="Arial" w:cs="Arial"/>
                <w:iCs/>
                <w:sz w:val="16"/>
                <w:szCs w:val="16"/>
              </w:rPr>
              <w:t>N/A</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Cs/>
                <w:sz w:val="16"/>
                <w:szCs w:val="16"/>
              </w:rPr>
            </w:pPr>
            <w:r w:rsidRPr="00EF0531">
              <w:rPr>
                <w:rFonts w:ascii="Arial" w:hAnsi="Arial" w:cs="Arial"/>
                <w:iCs/>
                <w:sz w:val="16"/>
                <w:szCs w:val="16"/>
              </w:rPr>
              <w:t>N/A</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Cs/>
                <w:sz w:val="16"/>
                <w:szCs w:val="16"/>
              </w:rPr>
            </w:pPr>
            <w:r w:rsidRPr="00EF0531">
              <w:rPr>
                <w:rFonts w:ascii="Arial" w:hAnsi="Arial" w:cs="Arial"/>
                <w:iCs/>
                <w:sz w:val="16"/>
                <w:szCs w:val="16"/>
              </w:rPr>
              <w:t>N/A</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Cs/>
                <w:sz w:val="16"/>
                <w:szCs w:val="16"/>
              </w:rPr>
            </w:pPr>
            <w:r w:rsidRPr="00EF0531">
              <w:rPr>
                <w:rFonts w:ascii="Arial" w:hAnsi="Arial" w:cs="Arial"/>
                <w:iCs/>
                <w:sz w:val="16"/>
                <w:szCs w:val="16"/>
              </w:rPr>
              <w:t>N/A</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Cs/>
                <w:sz w:val="16"/>
                <w:szCs w:val="16"/>
              </w:rPr>
            </w:pPr>
            <w:r w:rsidRPr="00EF0531">
              <w:rPr>
                <w:rFonts w:ascii="Arial" w:hAnsi="Arial" w:cs="Arial"/>
                <w:iCs/>
                <w:sz w:val="16"/>
                <w:szCs w:val="16"/>
              </w:rPr>
              <w:t>N/A</w:t>
            </w:r>
          </w:p>
        </w:tc>
        <w:tc>
          <w:tcPr>
            <w:tcW w:w="567" w:type="dxa"/>
            <w:noWrap/>
            <w:tcMar>
              <w:top w:w="15" w:type="dxa"/>
              <w:left w:w="15" w:type="dxa"/>
              <w:bottom w:w="0" w:type="dxa"/>
              <w:right w:w="15" w:type="dxa"/>
            </w:tcMar>
            <w:vAlign w:val="center"/>
          </w:tcPr>
          <w:p w:rsidR="00FF5344" w:rsidRPr="00EF0531" w:rsidRDefault="00FF5344" w:rsidP="00FF5344">
            <w:pPr>
              <w:jc w:val="center"/>
              <w:rPr>
                <w:rFonts w:ascii="Arial" w:hAnsi="Arial" w:cs="Arial"/>
                <w:iCs/>
                <w:sz w:val="16"/>
                <w:szCs w:val="16"/>
              </w:rPr>
            </w:pPr>
            <w:r w:rsidRPr="00EF0531">
              <w:rPr>
                <w:rFonts w:ascii="Arial" w:hAnsi="Arial" w:cs="Arial"/>
                <w:iCs/>
                <w:sz w:val="16"/>
                <w:szCs w:val="16"/>
              </w:rPr>
              <w:t>N/A</w:t>
            </w:r>
          </w:p>
        </w:tc>
        <w:tc>
          <w:tcPr>
            <w:tcW w:w="709" w:type="dxa"/>
            <w:noWrap/>
            <w:tcMar>
              <w:top w:w="15" w:type="dxa"/>
              <w:left w:w="15" w:type="dxa"/>
              <w:bottom w:w="0" w:type="dxa"/>
              <w:right w:w="15" w:type="dxa"/>
            </w:tcMar>
            <w:vAlign w:val="center"/>
          </w:tcPr>
          <w:p w:rsidR="00FF5344" w:rsidRPr="00EF0531" w:rsidRDefault="00FF5344" w:rsidP="00FF5344">
            <w:pPr>
              <w:jc w:val="center"/>
              <w:rPr>
                <w:rFonts w:ascii="Arial" w:hAnsi="Arial" w:cs="Arial"/>
                <w:iCs/>
                <w:sz w:val="16"/>
                <w:szCs w:val="16"/>
              </w:rPr>
            </w:pPr>
            <w:r w:rsidRPr="00EF0531">
              <w:rPr>
                <w:rFonts w:ascii="Arial" w:hAnsi="Arial" w:cs="Arial"/>
                <w:iCs/>
                <w:sz w:val="16"/>
                <w:szCs w:val="16"/>
              </w:rPr>
              <w:t>N/A</w:t>
            </w:r>
          </w:p>
        </w:tc>
        <w:tc>
          <w:tcPr>
            <w:tcW w:w="709" w:type="dxa"/>
            <w:noWrap/>
            <w:tcMar>
              <w:top w:w="15" w:type="dxa"/>
              <w:left w:w="15" w:type="dxa"/>
              <w:bottom w:w="0" w:type="dxa"/>
              <w:right w:w="15" w:type="dxa"/>
            </w:tcMar>
            <w:vAlign w:val="center"/>
          </w:tcPr>
          <w:p w:rsidR="00FF5344" w:rsidRPr="00EF0531" w:rsidRDefault="00FF5344" w:rsidP="00FF5344">
            <w:pPr>
              <w:jc w:val="center"/>
              <w:rPr>
                <w:rFonts w:ascii="Arial" w:hAnsi="Arial" w:cs="Arial"/>
                <w:b/>
                <w:bCs/>
                <w:sz w:val="16"/>
                <w:szCs w:val="16"/>
              </w:rPr>
            </w:pPr>
            <w:r w:rsidRPr="00EF0531">
              <w:rPr>
                <w:rFonts w:ascii="Arial" w:hAnsi="Arial" w:cs="Arial"/>
                <w:b/>
                <w:bCs/>
                <w:sz w:val="16"/>
                <w:szCs w:val="16"/>
              </w:rPr>
              <w:t>0</w:t>
            </w:r>
          </w:p>
        </w:tc>
        <w:tc>
          <w:tcPr>
            <w:tcW w:w="1134" w:type="dxa"/>
            <w:noWrap/>
            <w:tcMar>
              <w:top w:w="15" w:type="dxa"/>
              <w:left w:w="15" w:type="dxa"/>
              <w:bottom w:w="0" w:type="dxa"/>
              <w:right w:w="15" w:type="dxa"/>
            </w:tcMar>
            <w:vAlign w:val="center"/>
          </w:tcPr>
          <w:p w:rsidR="00FF5344" w:rsidRPr="00EF0531" w:rsidRDefault="00FF5344" w:rsidP="00FF5344">
            <w:pPr>
              <w:jc w:val="center"/>
              <w:rPr>
                <w:rFonts w:ascii="Arial" w:hAnsi="Arial" w:cs="Arial"/>
                <w:sz w:val="16"/>
                <w:szCs w:val="16"/>
              </w:rPr>
            </w:pPr>
          </w:p>
        </w:tc>
      </w:tr>
    </w:tbl>
    <w:p w:rsidR="00FF5344" w:rsidRPr="00EF0531" w:rsidRDefault="00FF5344" w:rsidP="00FF5344">
      <w:pPr>
        <w:spacing w:line="360" w:lineRule="auto"/>
        <w:ind w:left="113"/>
        <w:jc w:val="both"/>
        <w:rPr>
          <w:rFonts w:ascii="Arial" w:hAnsi="Arial" w:cs="Arial"/>
          <w:i/>
          <w:sz w:val="18"/>
          <w:szCs w:val="18"/>
          <w:lang w:eastAsia="cs-CZ"/>
        </w:rPr>
      </w:pPr>
      <w:r w:rsidRPr="00EF0531">
        <w:rPr>
          <w:rFonts w:ascii="Arial" w:hAnsi="Arial" w:cs="Arial"/>
          <w:i/>
          <w:sz w:val="18"/>
          <w:szCs w:val="18"/>
          <w:lang w:eastAsia="cs-CZ"/>
        </w:rPr>
        <w:t xml:space="preserve"> </w:t>
      </w:r>
      <w:r w:rsidR="00000CC9">
        <w:rPr>
          <w:rFonts w:ascii="Arial" w:hAnsi="Arial" w:cs="Arial"/>
          <w:i/>
          <w:sz w:val="18"/>
          <w:szCs w:val="18"/>
          <w:lang w:eastAsia="cs-CZ"/>
        </w:rPr>
        <w:t>Zdroj: RO, ITMS</w:t>
      </w:r>
    </w:p>
    <w:p w:rsidR="001362DC" w:rsidRPr="004B33AE" w:rsidRDefault="001362DC" w:rsidP="00C23FBA">
      <w:pPr>
        <w:spacing w:line="360" w:lineRule="auto"/>
        <w:ind w:left="113"/>
        <w:jc w:val="both"/>
        <w:rPr>
          <w:rFonts w:ascii="Arial" w:hAnsi="Arial" w:cs="Arial"/>
          <w:i/>
          <w:sz w:val="18"/>
          <w:szCs w:val="18"/>
          <w:lang w:eastAsia="cs-CZ"/>
        </w:rPr>
      </w:pPr>
    </w:p>
    <w:tbl>
      <w:tblPr>
        <w:tblW w:w="0" w:type="auto"/>
        <w:tblCellMar>
          <w:left w:w="0" w:type="dxa"/>
          <w:right w:w="0" w:type="dxa"/>
        </w:tblCellMar>
        <w:tblLook w:val="0000" w:firstRow="0" w:lastRow="0" w:firstColumn="0" w:lastColumn="0" w:noHBand="0" w:noVBand="0"/>
      </w:tblPr>
      <w:tblGrid>
        <w:gridCol w:w="9100"/>
      </w:tblGrid>
      <w:tr w:rsidR="001362DC" w:rsidRPr="006A2BF3" w:rsidTr="000A5C0F">
        <w:trPr>
          <w:trHeight w:val="450"/>
        </w:trPr>
        <w:tc>
          <w:tcPr>
            <w:tcW w:w="0" w:type="auto"/>
            <w:tcMar>
              <w:top w:w="15" w:type="dxa"/>
              <w:left w:w="15" w:type="dxa"/>
              <w:bottom w:w="0" w:type="dxa"/>
              <w:right w:w="15" w:type="dxa"/>
            </w:tcMar>
            <w:vAlign w:val="center"/>
          </w:tcPr>
          <w:p w:rsidR="001362DC" w:rsidRDefault="001362DC" w:rsidP="00C23FBA">
            <w:pPr>
              <w:rPr>
                <w:rFonts w:ascii="Arial" w:hAnsi="Arial" w:cs="Arial"/>
                <w:i/>
                <w:iCs/>
                <w:sz w:val="16"/>
                <w:szCs w:val="16"/>
              </w:rPr>
            </w:pPr>
            <w:r>
              <w:rPr>
                <w:rFonts w:ascii="Arial" w:hAnsi="Arial" w:cs="Arial"/>
                <w:i/>
                <w:iCs/>
                <w:sz w:val="16"/>
                <w:szCs w:val="16"/>
              </w:rPr>
              <w:t>Uvedené hodnoty ukazovateľov vrátane východiskových a cieľových sú vykazované len pre projekty OP ŽP s relevanciou k HP TUR.</w:t>
            </w:r>
          </w:p>
          <w:p w:rsidR="001362DC" w:rsidRPr="006A2BF3" w:rsidRDefault="001362DC" w:rsidP="00C23FBA">
            <w:pPr>
              <w:rPr>
                <w:rFonts w:ascii="Arial" w:hAnsi="Arial" w:cs="Arial"/>
                <w:i/>
                <w:iCs/>
                <w:sz w:val="16"/>
                <w:szCs w:val="16"/>
              </w:rPr>
            </w:pPr>
            <w:r>
              <w:rPr>
                <w:rFonts w:ascii="Arial" w:hAnsi="Arial" w:cs="Arial"/>
                <w:i/>
                <w:iCs/>
                <w:sz w:val="16"/>
                <w:szCs w:val="16"/>
              </w:rPr>
              <w:t>V prípade, že hodnoty „dosiahnutý výsledok“ vyššie uvedených ukazovateľov sú menšie než hodnoty ukazovateľov, ktoré sa vykazujú na úrovni OP ŽP, je to z dôvodu, že v prípade vyššie uvedených ukazovateľov sa jedná o hodnoty len tých projektov, ktoré si vykázali relevanciu k HP TUR.</w:t>
            </w:r>
          </w:p>
        </w:tc>
      </w:tr>
      <w:tr w:rsidR="001362DC" w:rsidRPr="006A2BF3" w:rsidTr="000A5C0F">
        <w:trPr>
          <w:trHeight w:val="450"/>
        </w:trPr>
        <w:tc>
          <w:tcPr>
            <w:tcW w:w="0" w:type="auto"/>
            <w:tcMar>
              <w:top w:w="15" w:type="dxa"/>
              <w:left w:w="15" w:type="dxa"/>
              <w:bottom w:w="0" w:type="dxa"/>
              <w:right w:w="15" w:type="dxa"/>
            </w:tcMar>
            <w:vAlign w:val="center"/>
          </w:tcPr>
          <w:p w:rsidR="001362DC" w:rsidRPr="006A2BF3" w:rsidRDefault="001362DC" w:rsidP="00C23FBA">
            <w:pPr>
              <w:rPr>
                <w:rFonts w:ascii="Arial" w:hAnsi="Arial" w:cs="Arial"/>
                <w:i/>
                <w:iCs/>
                <w:sz w:val="16"/>
                <w:szCs w:val="16"/>
              </w:rPr>
            </w:pPr>
            <w:r w:rsidRPr="006A2BF3">
              <w:rPr>
                <w:rFonts w:ascii="Arial" w:hAnsi="Arial" w:cs="Arial"/>
                <w:i/>
                <w:iCs/>
                <w:sz w:val="16"/>
                <w:szCs w:val="16"/>
              </w:rPr>
              <w:t>1- Cieľová hodnota zadefinovaná pre všetky prioritné osi operačného programu SPOLU pre ukazovatele: zateplená plocha, ročné úspory energie realizovaním projektu/úspora energie a zvýšený inštalizovaný výkon zariadenia zodpovedajúci obnoviteľným zdrojom energie</w:t>
            </w:r>
          </w:p>
        </w:tc>
      </w:tr>
      <w:tr w:rsidR="001362DC" w:rsidRPr="006A2BF3" w:rsidTr="000A5C0F">
        <w:trPr>
          <w:trHeight w:val="495"/>
        </w:trPr>
        <w:tc>
          <w:tcPr>
            <w:tcW w:w="0" w:type="auto"/>
            <w:tcMar>
              <w:top w:w="15" w:type="dxa"/>
              <w:left w:w="15" w:type="dxa"/>
              <w:bottom w:w="0" w:type="dxa"/>
              <w:right w:w="15" w:type="dxa"/>
            </w:tcMar>
            <w:vAlign w:val="center"/>
          </w:tcPr>
          <w:p w:rsidR="001362DC" w:rsidRPr="006A2BF3" w:rsidRDefault="001362DC" w:rsidP="00165CDB">
            <w:pPr>
              <w:rPr>
                <w:rFonts w:ascii="Arial" w:hAnsi="Arial" w:cs="Arial"/>
                <w:i/>
                <w:iCs/>
                <w:sz w:val="16"/>
                <w:szCs w:val="16"/>
              </w:rPr>
            </w:pPr>
            <w:r w:rsidRPr="006A2BF3">
              <w:rPr>
                <w:rFonts w:ascii="Arial" w:hAnsi="Arial" w:cs="Arial"/>
                <w:sz w:val="16"/>
                <w:szCs w:val="16"/>
                <w:vertAlign w:val="superscript"/>
              </w:rPr>
              <w:t>2</w:t>
            </w:r>
            <w:r w:rsidRPr="006A2BF3">
              <w:rPr>
                <w:rFonts w:ascii="Arial" w:hAnsi="Arial" w:cs="Arial"/>
                <w:sz w:val="16"/>
                <w:szCs w:val="16"/>
              </w:rPr>
              <w:t xml:space="preserve"> - </w:t>
            </w:r>
            <w:r w:rsidRPr="00EF0531">
              <w:rPr>
                <w:rFonts w:ascii="Arial" w:hAnsi="Arial" w:cs="Arial"/>
                <w:i/>
                <w:iCs/>
                <w:sz w:val="16"/>
                <w:szCs w:val="16"/>
              </w:rPr>
              <w:t>Údaj obsahuje deklarovanú cieľovú hodnotu projektov v zmysle zmluvy o NFP k 31.12.201</w:t>
            </w:r>
            <w:r w:rsidR="00165CDB">
              <w:rPr>
                <w:rFonts w:ascii="Arial" w:hAnsi="Arial" w:cs="Arial"/>
                <w:i/>
                <w:iCs/>
                <w:sz w:val="16"/>
                <w:szCs w:val="16"/>
              </w:rPr>
              <w:t>2</w:t>
            </w:r>
            <w:r w:rsidRPr="00EF0531">
              <w:rPr>
                <w:rFonts w:ascii="Arial" w:hAnsi="Arial" w:cs="Arial"/>
                <w:i/>
                <w:iCs/>
                <w:sz w:val="16"/>
                <w:szCs w:val="16"/>
              </w:rPr>
              <w:t xml:space="preserve">. Hodnota ukazovateľa dopadu na úrovni projektov sa vykazuje na základe následných monitorovacích správ, ktoré sú predkladané rok po skončení realizácie projektu. </w:t>
            </w:r>
            <w:r w:rsidR="002A361C" w:rsidRPr="00EF0531">
              <w:rPr>
                <w:rFonts w:ascii="Arial" w:hAnsi="Arial" w:cs="Arial"/>
                <w:i/>
                <w:sz w:val="16"/>
                <w:szCs w:val="16"/>
              </w:rPr>
              <w:t xml:space="preserve">Hodnota ukazovateľa výsledku na úrovni projektov sa vykazuje na základe záverečných monitorovacích správ, ktoré sú predkladané po skončení realizácie projektu. </w:t>
            </w:r>
            <w:r w:rsidRPr="00EF0531">
              <w:rPr>
                <w:rFonts w:ascii="Arial" w:hAnsi="Arial" w:cs="Arial"/>
                <w:i/>
                <w:iCs/>
                <w:sz w:val="16"/>
                <w:szCs w:val="16"/>
              </w:rPr>
              <w:t xml:space="preserve">V súčasnosti prebieha realizácia projektov. </w:t>
            </w:r>
          </w:p>
        </w:tc>
      </w:tr>
      <w:tr w:rsidR="001362DC" w:rsidRPr="006A2BF3" w:rsidTr="0039268C">
        <w:trPr>
          <w:trHeight w:val="329"/>
        </w:trPr>
        <w:tc>
          <w:tcPr>
            <w:tcW w:w="0" w:type="auto"/>
            <w:tcMar>
              <w:top w:w="15" w:type="dxa"/>
              <w:left w:w="15" w:type="dxa"/>
              <w:bottom w:w="0" w:type="dxa"/>
              <w:right w:w="15" w:type="dxa"/>
            </w:tcMar>
            <w:vAlign w:val="center"/>
          </w:tcPr>
          <w:p w:rsidR="001362DC" w:rsidRPr="006A2BF3" w:rsidRDefault="001362DC" w:rsidP="00507035">
            <w:pPr>
              <w:spacing w:before="120" w:after="120"/>
              <w:jc w:val="both"/>
              <w:rPr>
                <w:rFonts w:ascii="Arial" w:hAnsi="Arial" w:cs="Arial"/>
                <w:sz w:val="16"/>
                <w:szCs w:val="16"/>
                <w:vertAlign w:val="superscript"/>
              </w:rPr>
            </w:pPr>
          </w:p>
        </w:tc>
      </w:tr>
    </w:tbl>
    <w:p w:rsidR="001362DC" w:rsidRPr="006A2BF3" w:rsidRDefault="001362DC" w:rsidP="00507035">
      <w:pPr>
        <w:spacing w:before="120" w:after="120" w:line="360" w:lineRule="auto"/>
        <w:jc w:val="both"/>
        <w:rPr>
          <w:rFonts w:ascii="Arial" w:hAnsi="Arial" w:cs="Arial"/>
          <w:sz w:val="20"/>
          <w:szCs w:val="20"/>
          <w:lang w:eastAsia="cs-CZ"/>
        </w:rPr>
      </w:pPr>
      <w:r w:rsidRPr="006A2BF3">
        <w:rPr>
          <w:rFonts w:ascii="Arial" w:hAnsi="Arial" w:cs="Arial"/>
          <w:bCs/>
          <w:sz w:val="20"/>
          <w:szCs w:val="20"/>
          <w:lang w:eastAsia="cs-CZ"/>
        </w:rPr>
        <w:t xml:space="preserve">Prioritná os </w:t>
      </w:r>
      <w:r w:rsidRPr="006A2BF3">
        <w:rPr>
          <w:rFonts w:ascii="Arial" w:hAnsi="Arial" w:cs="Arial"/>
          <w:sz w:val="20"/>
          <w:szCs w:val="20"/>
          <w:lang w:eastAsia="cs-CZ"/>
        </w:rPr>
        <w:t>1 Integrovaná ochrana a racionálne využívanie vôd prispieva – podobne ako všetky ďalšie prioritné osi OP ŽP – k plneniu špecifického cieľa 2. Zvýšenie kvality životného prostredia, predovšetkým k zníženiu znečisťovania povrchových a podzemných vôd. Veľmi významný je z tohto hľadiska najmä prínos aktivít v oblasti odvádzania a čistenia komunálnych odpadových vôd v súlade s požiadavkami vyplývajúcimi z legislatívy EÚ a s tým súvisiacimi záväzkami SR, týkajúcimi sa splnenia prechodných období na jej implementáciu tak, ako sú zakotvené v Zmluve o pristúpení k EÚ. Budovanie verejných kanalizácií a čistiarní odpadových vôd významnou mierou prispieva k zníženiu znečistenia vodných tokov, k zníženiu obsahu škodlivých látok v povrchových vodách a v konečnom dôsledku tiež zlepšeniu podmienok na zachovanie biodiverzity organizmov žijúcich vo vodnom prostredí. Aktivity v oblasti dobudovania a skvalitnenia stavu infraštruktúry v oblasti zásobovania obyvateľstva pitnou vodou, ako aj podpora monitorovania stavu povrchových a podzemných vôd prispievajú k racionálnemu využívaniu vodných zdrojov, ktoré patrí medzi ďalšie čiastkové ciele v rámci špecifického cieľa HP TUR č. 2. Zvýšenie kvality životného prostredia.</w:t>
      </w:r>
    </w:p>
    <w:p w:rsidR="001362DC" w:rsidRPr="006A2BF3" w:rsidRDefault="001362DC" w:rsidP="00507035">
      <w:pPr>
        <w:spacing w:before="120" w:after="120" w:line="360" w:lineRule="auto"/>
        <w:jc w:val="both"/>
        <w:rPr>
          <w:rFonts w:ascii="Arial" w:hAnsi="Arial" w:cs="Arial"/>
          <w:sz w:val="20"/>
          <w:szCs w:val="20"/>
          <w:lang w:eastAsia="cs-CZ"/>
        </w:rPr>
      </w:pPr>
      <w:r w:rsidRPr="006A2BF3">
        <w:rPr>
          <w:rFonts w:ascii="Arial" w:hAnsi="Arial" w:cs="Arial"/>
          <w:sz w:val="20"/>
          <w:szCs w:val="20"/>
          <w:lang w:eastAsia="cs-CZ"/>
        </w:rPr>
        <w:t>Ako už bolo zmienené v texte vyššie, aktivity v rámci prioritnej osi 1 Integrovaná ochrana a racionálne využívanie vôd, zamerané na zásobovanie obyvateľstva pitnou vodou z verejných vodovodov, odvádzanie a čistenie komunálnych odpadových vôd, ale aj na zabezpečenie primeraného sledovania a hodnotenia stavu povrchových a podzemných vôd zároveň prispievajú k zabezpečeniu ochrany zdravia obyvateľstva, čo je jedným z čiastkových cieľov v rámci špecifického cieľa HP TUR č. 3 Sociálna solidarita a inklúzia. Zlepšenie vybavenosti územia infraštruktúrou verejných vodovodov s kanalizácií má taktiež priaznivý dopad na zlepšenie posilnenia znevýhodnených a marginalizovaných skupín obyvateľstva žijúcich na danom území.</w:t>
      </w:r>
    </w:p>
    <w:p w:rsidR="001362DC" w:rsidRPr="006A2BF3" w:rsidRDefault="001362DC" w:rsidP="00507035">
      <w:pPr>
        <w:spacing w:before="120" w:after="120" w:line="360" w:lineRule="auto"/>
        <w:jc w:val="both"/>
        <w:rPr>
          <w:rFonts w:ascii="Arial" w:hAnsi="Arial" w:cs="Arial"/>
          <w:sz w:val="20"/>
          <w:szCs w:val="20"/>
          <w:lang w:eastAsia="cs-CZ"/>
        </w:rPr>
      </w:pPr>
      <w:r w:rsidRPr="006A2BF3">
        <w:rPr>
          <w:rFonts w:ascii="Arial" w:hAnsi="Arial" w:cs="Arial"/>
          <w:sz w:val="20"/>
          <w:szCs w:val="20"/>
          <w:lang w:eastAsia="cs-CZ"/>
        </w:rPr>
        <w:t>Vybavenosť územia environmentálnou infraštruktúrou v oblasti zásobovania pitnou vodou a odvádzania odpadových vôd celkovo zvyšuje jeho atraktívnosť pre investorov, ako aj</w:t>
      </w:r>
      <w:r>
        <w:rPr>
          <w:rFonts w:ascii="Arial" w:hAnsi="Arial" w:cs="Arial"/>
          <w:sz w:val="20"/>
          <w:szCs w:val="20"/>
          <w:lang w:eastAsia="cs-CZ"/>
        </w:rPr>
        <w:t xml:space="preserve"> </w:t>
      </w:r>
      <w:r w:rsidRPr="006A2BF3">
        <w:rPr>
          <w:rFonts w:ascii="Arial" w:hAnsi="Arial" w:cs="Arial"/>
          <w:sz w:val="20"/>
          <w:szCs w:val="20"/>
          <w:lang w:eastAsia="cs-CZ"/>
        </w:rPr>
        <w:t>obyvateľstvo, zlepšuje podmienky života ľudí a vytvára priestor pre rozvoj podnikateľských aktivít. Tým prioritná os 1 Integrovaná ochrana a racionálne využívanie vôd prispieva k posilneniu celkového ekonomického, sociálneho a kultúrneho potenciálu regiónov, a teda k napĺňaniu jedného z dôležitých čiastkových cieľov v rámci špecifického cieľa HP TUR č. 4 Vyrovnaný regionálny rozvoj.</w:t>
      </w:r>
    </w:p>
    <w:p w:rsidR="001362DC" w:rsidRPr="006A2BF3" w:rsidRDefault="001362DC" w:rsidP="00507035">
      <w:pPr>
        <w:spacing w:before="120" w:after="120" w:line="360" w:lineRule="auto"/>
        <w:jc w:val="both"/>
        <w:rPr>
          <w:rFonts w:ascii="Arial" w:hAnsi="Arial" w:cs="Arial"/>
          <w:sz w:val="20"/>
          <w:szCs w:val="20"/>
          <w:lang w:eastAsia="cs-CZ"/>
        </w:rPr>
      </w:pPr>
      <w:r w:rsidRPr="006A2BF3">
        <w:rPr>
          <w:rFonts w:ascii="Arial" w:hAnsi="Arial" w:cs="Arial"/>
          <w:bCs/>
          <w:sz w:val="20"/>
          <w:szCs w:val="20"/>
          <w:lang w:eastAsia="cs-CZ"/>
        </w:rPr>
        <w:t>Prioritná os 2 Ochrana pred povodňami</w:t>
      </w:r>
      <w:r w:rsidRPr="006A2BF3">
        <w:rPr>
          <w:rFonts w:ascii="Arial" w:hAnsi="Arial" w:cs="Arial"/>
          <w:sz w:val="20"/>
          <w:szCs w:val="20"/>
          <w:lang w:eastAsia="cs-CZ"/>
        </w:rPr>
        <w:t xml:space="preserve"> je zameraná predovšetkým na realizáciu preventívnych opatrení na ochranu pred povodňami s cieľom eliminovať alebo zmierniť škody na životnom prostredí, zdraví obyvateľstva, majetku občanov, štátu,</w:t>
      </w:r>
      <w:r>
        <w:rPr>
          <w:rFonts w:ascii="Arial" w:hAnsi="Arial" w:cs="Arial"/>
          <w:sz w:val="20"/>
          <w:szCs w:val="20"/>
          <w:lang w:eastAsia="cs-CZ"/>
        </w:rPr>
        <w:t xml:space="preserve"> </w:t>
      </w:r>
      <w:r w:rsidRPr="006A2BF3">
        <w:rPr>
          <w:rFonts w:ascii="Arial" w:hAnsi="Arial" w:cs="Arial"/>
          <w:sz w:val="20"/>
          <w:szCs w:val="20"/>
          <w:lang w:eastAsia="cs-CZ"/>
        </w:rPr>
        <w:t>verejných a podnikateľských subjektov, spôsobené povodňami. prioritná os 2 preventívnym charakterom svojich opatrení prispieva k napĺňaniu špecifického cieľa HP TUR č. 2 Zvýšenie kvality životného prostredia a prostredníctvom</w:t>
      </w:r>
      <w:r>
        <w:rPr>
          <w:rFonts w:ascii="Arial" w:hAnsi="Arial" w:cs="Arial"/>
          <w:sz w:val="20"/>
          <w:szCs w:val="20"/>
          <w:lang w:eastAsia="cs-CZ"/>
        </w:rPr>
        <w:t xml:space="preserve"> </w:t>
      </w:r>
      <w:r w:rsidRPr="006A2BF3">
        <w:rPr>
          <w:rFonts w:ascii="Arial" w:hAnsi="Arial" w:cs="Arial"/>
          <w:sz w:val="20"/>
          <w:szCs w:val="20"/>
          <w:lang w:eastAsia="cs-CZ"/>
        </w:rPr>
        <w:t>predchádzania ohrozeniu ľudského zdravia a života v prípade povodní aj k zabezpečeniu ochrany zdravia obyvateľstva, čo je jedným z čiastkových cieľov v rámci špecifického cieľa HP TUR č. 3 Sociálna solidarita a inklúzia.</w:t>
      </w:r>
      <w:r>
        <w:rPr>
          <w:rFonts w:ascii="Arial" w:hAnsi="Arial" w:cs="Arial"/>
          <w:sz w:val="20"/>
          <w:szCs w:val="20"/>
          <w:lang w:eastAsia="cs-CZ"/>
        </w:rPr>
        <w:t xml:space="preserve">  </w:t>
      </w:r>
    </w:p>
    <w:p w:rsidR="001362DC" w:rsidRPr="006A2BF3" w:rsidRDefault="001362DC" w:rsidP="00507035">
      <w:pPr>
        <w:spacing w:before="120" w:after="120" w:line="360" w:lineRule="auto"/>
        <w:jc w:val="both"/>
        <w:rPr>
          <w:rFonts w:ascii="Arial" w:hAnsi="Arial" w:cs="Arial"/>
          <w:sz w:val="20"/>
          <w:szCs w:val="20"/>
          <w:lang w:eastAsia="cs-CZ"/>
        </w:rPr>
      </w:pPr>
      <w:r w:rsidRPr="006A2BF3">
        <w:rPr>
          <w:rFonts w:ascii="Arial" w:hAnsi="Arial" w:cs="Arial"/>
          <w:sz w:val="20"/>
          <w:szCs w:val="20"/>
          <w:lang w:eastAsia="cs-CZ"/>
        </w:rPr>
        <w:t>Príspevok prioritnej osi 3 Ochrana ovzdušia a minimalizácia nepriaznivých vplyvov zmeny klímy k napĺňaniu čiastkových cieľov HP TUR smeruje k podpore čiastkových cieľov v rámci špecifického cieľa HP TUR č. 1 Zvýšenie ekonomickej prosperity a špecifického cieľa HP TUR č. 2 Zvýšenie kvality životného prostredia. Vo vzťahu k špecifickému cieľu HP TUR č. 1 sa prioritná os č. 3 vyznačuje predovšetkým príspevkom k zvýšeniu využívania obnoviteľných zdrojov energie a znižovaniu energetickej náročnosti hospodárstva, ktorý sa dosahuje podporou aktivít zameraných na znižovanie emisií skleníkových plynov spolu so znižovaním emisií základných znečisťujúcich látok najmä v oblasti výroby tepla prostredníctvom zmeny palivovej základne energetických zdrojov v prospech využívania obnoviteľných zdrojov energie.</w:t>
      </w:r>
    </w:p>
    <w:p w:rsidR="001362DC" w:rsidRPr="006A2BF3" w:rsidRDefault="001362DC" w:rsidP="00507035">
      <w:pPr>
        <w:spacing w:before="120" w:after="120" w:line="360" w:lineRule="auto"/>
        <w:jc w:val="both"/>
        <w:rPr>
          <w:rFonts w:ascii="Arial" w:hAnsi="Arial" w:cs="Arial"/>
          <w:sz w:val="20"/>
          <w:szCs w:val="20"/>
          <w:lang w:eastAsia="cs-CZ"/>
        </w:rPr>
      </w:pPr>
      <w:r w:rsidRPr="006A2BF3">
        <w:rPr>
          <w:rFonts w:ascii="Arial" w:hAnsi="Arial" w:cs="Arial"/>
          <w:sz w:val="20"/>
          <w:szCs w:val="20"/>
          <w:lang w:eastAsia="cs-CZ"/>
        </w:rPr>
        <w:t>Všetky aktivity podporované v rámci prioritnej osi 3, či už ide o opatrenia na zdrojoch znečisťovania ovzdušia (inštalácia účinnejších odlučovacích zariadení, desulfurizačných zariadení atď., zmena surovinovej základne výroby s cieľom dosiahnuť nižší obsah/vznik emisií znečisťujúcich látok, zmena princípu technológie výroby, ktorej výsledkom je zníženie emisií), aktivity zamerané na znižovanie emisií znečisťujúcich látok z prostriedkov verejnej dopravy (plynofikácia autobusov, náhrada autobusov električkami alebo trolejbusmi prioritne v oblastiach vyžadujúcich osobitnú ochranu ovzdušia) alebo projekty zmeny palivovej základne energetických zdrojov najmä v oblasti výroby tepla v prospech využívania nízko emisných alebo obnoviteľných zdrojov energie</w:t>
      </w:r>
      <w:r>
        <w:rPr>
          <w:rFonts w:ascii="Arial" w:hAnsi="Arial" w:cs="Arial"/>
          <w:sz w:val="20"/>
          <w:szCs w:val="20"/>
          <w:lang w:eastAsia="cs-CZ"/>
        </w:rPr>
        <w:t xml:space="preserve"> </w:t>
      </w:r>
      <w:r w:rsidRPr="006A2BF3">
        <w:rPr>
          <w:rFonts w:ascii="Arial" w:hAnsi="Arial" w:cs="Arial"/>
          <w:sz w:val="20"/>
          <w:szCs w:val="20"/>
          <w:lang w:eastAsia="cs-CZ"/>
        </w:rPr>
        <w:t>významnou mierou prispievajú k napĺňaniu špecifického cieľa HP TUR č. 2 Zvýšenie kvality životného prostredia, konkrétne k zlepšeniu kvality ovzdušia a zmierneniu dôsledkov zmeny klímy. Problematika zlepšenia kvality ovzdušia a predchádzania nepriaznivým dôsledkom klimatických zmien je zároveň jednou z prioritných oblastí kohéznej a environmentálnej politiky EÚ.</w:t>
      </w:r>
    </w:p>
    <w:p w:rsidR="001362DC" w:rsidRPr="006A2BF3" w:rsidRDefault="001362DC" w:rsidP="00507035">
      <w:pPr>
        <w:spacing w:before="120" w:after="120" w:line="360" w:lineRule="auto"/>
        <w:jc w:val="both"/>
        <w:rPr>
          <w:rFonts w:ascii="Arial" w:hAnsi="Arial" w:cs="Arial"/>
          <w:sz w:val="20"/>
          <w:szCs w:val="20"/>
          <w:lang w:eastAsia="cs-CZ"/>
        </w:rPr>
      </w:pPr>
      <w:r w:rsidRPr="006A2BF3">
        <w:rPr>
          <w:rFonts w:ascii="Arial" w:hAnsi="Arial" w:cs="Arial"/>
          <w:sz w:val="20"/>
          <w:szCs w:val="20"/>
          <w:lang w:eastAsia="cs-CZ"/>
        </w:rPr>
        <w:t>Aktivity podporované v rámci prioritnej osi 4 Odpadové hospodárstvo, najmä v oblasti separovaného zberu odpadov, zhodnocovania odpadov (ich recykláciou a materiálovým a energetickým využitím) majú pozitívne environmentálne a ekonomické efekty. Z environmentálneho hľadiska prispievajú k racionálnemu využívaniu prírodných zdrojov, čo je jeden z dôležitých čiastkových cieľov v rámci</w:t>
      </w:r>
      <w:r>
        <w:rPr>
          <w:rFonts w:ascii="Arial" w:hAnsi="Arial" w:cs="Arial"/>
          <w:sz w:val="20"/>
          <w:szCs w:val="20"/>
          <w:lang w:eastAsia="cs-CZ"/>
        </w:rPr>
        <w:t xml:space="preserve"> </w:t>
      </w:r>
      <w:r w:rsidRPr="006A2BF3">
        <w:rPr>
          <w:rFonts w:ascii="Arial" w:hAnsi="Arial" w:cs="Arial"/>
          <w:sz w:val="20"/>
          <w:szCs w:val="20"/>
          <w:lang w:eastAsia="cs-CZ"/>
        </w:rPr>
        <w:t xml:space="preserve">špecifického cieľa HP TUR č. 2 Zvýšenie kvality životného prostredia. K napĺňaniu uvedeného špecifického cieľa HP TUR, konkrétne čiastkového cieľa zníženie znečisťovania zložiek životného prostredia prispievajú tiež aktivity v oblasti uzatvárania a rekultivácie skládok odpadov. </w:t>
      </w:r>
    </w:p>
    <w:p w:rsidR="001362DC" w:rsidRPr="006A2BF3" w:rsidRDefault="001362DC" w:rsidP="00507035">
      <w:pPr>
        <w:spacing w:before="120" w:after="120" w:line="360" w:lineRule="auto"/>
        <w:jc w:val="both"/>
        <w:rPr>
          <w:rFonts w:ascii="Arial" w:hAnsi="Arial" w:cs="Arial"/>
          <w:sz w:val="20"/>
          <w:szCs w:val="20"/>
          <w:lang w:eastAsia="cs-CZ"/>
        </w:rPr>
      </w:pPr>
      <w:r w:rsidRPr="006A2BF3">
        <w:rPr>
          <w:rFonts w:ascii="Arial" w:hAnsi="Arial" w:cs="Arial"/>
          <w:sz w:val="20"/>
          <w:szCs w:val="20"/>
          <w:lang w:eastAsia="cs-CZ"/>
        </w:rPr>
        <w:t xml:space="preserve">Ekonomický efekt aktivít podporovaných v rámci prioritnej osi 4 Odpadové hospodárstvo sa prejavuje predovšetkým znižovaním surovinovej náročnosti hospodárstva, čím uvedená prioritná os prispieva k napĺňaniu špecifického cieľa HP TUR č. 1 Zvýšenie ekonomickej prosperity </w:t>
      </w:r>
    </w:p>
    <w:p w:rsidR="001362DC" w:rsidRPr="006A2BF3" w:rsidRDefault="001362DC" w:rsidP="00507035">
      <w:pPr>
        <w:spacing w:before="120" w:after="120" w:line="360" w:lineRule="auto"/>
        <w:jc w:val="both"/>
        <w:rPr>
          <w:rFonts w:ascii="Arial" w:hAnsi="Arial" w:cs="Arial"/>
          <w:sz w:val="20"/>
          <w:szCs w:val="20"/>
          <w:lang w:eastAsia="cs-CZ"/>
        </w:rPr>
      </w:pPr>
      <w:r w:rsidRPr="006A2BF3">
        <w:rPr>
          <w:rFonts w:ascii="Arial" w:hAnsi="Arial" w:cs="Arial"/>
          <w:sz w:val="20"/>
          <w:szCs w:val="20"/>
          <w:lang w:eastAsia="cs-CZ"/>
        </w:rPr>
        <w:t>Prioritná os 5 Ochrana a regenerácia prírodného prostredia a krajiny je zameraná na dobudovanie sústavy chránených území NATURA 2000 a zachovanie priaznivého stavu druhov a biotopov európskeho významu, čím v rámci špecifických cieľov HP TUR prispieva k plneniu cieľa č. 2 Zvýšenie kvality životného prostredia.</w:t>
      </w:r>
      <w:r>
        <w:rPr>
          <w:rFonts w:ascii="Arial" w:hAnsi="Arial" w:cs="Arial"/>
          <w:sz w:val="20"/>
          <w:szCs w:val="20"/>
          <w:lang w:eastAsia="cs-CZ"/>
        </w:rPr>
        <w:t xml:space="preserve"> </w:t>
      </w:r>
    </w:p>
    <w:p w:rsidR="001362DC" w:rsidRPr="006A2BF3" w:rsidRDefault="001362DC" w:rsidP="00507035">
      <w:pPr>
        <w:spacing w:before="120" w:after="120" w:line="360" w:lineRule="auto"/>
        <w:jc w:val="both"/>
        <w:rPr>
          <w:rFonts w:ascii="Arial" w:hAnsi="Arial" w:cs="Arial"/>
          <w:sz w:val="20"/>
          <w:szCs w:val="20"/>
          <w:lang w:eastAsia="cs-CZ"/>
        </w:rPr>
      </w:pPr>
      <w:r w:rsidRPr="006A2BF3">
        <w:rPr>
          <w:rFonts w:ascii="Arial" w:hAnsi="Arial" w:cs="Arial"/>
          <w:sz w:val="20"/>
          <w:szCs w:val="20"/>
          <w:lang w:eastAsia="cs-CZ"/>
        </w:rPr>
        <w:t>Samotné plnenie vyššie uvedených ukazovateľov ovplyvňuje predovšetkým realizácie stav projektov, ako aj čerpanie oprávnených výdavkov projektu. Na základe tejto skutočnosti možno teda predpokladať neustále zvyšovanie hodnôt jednotlivých ukazovateľov.</w:t>
      </w:r>
    </w:p>
    <w:p w:rsidR="001362DC" w:rsidRPr="006A2BF3" w:rsidRDefault="001362DC" w:rsidP="00507035">
      <w:pPr>
        <w:spacing w:before="120" w:after="120" w:line="360" w:lineRule="auto"/>
        <w:jc w:val="both"/>
        <w:rPr>
          <w:rFonts w:ascii="Arial" w:hAnsi="Arial" w:cs="Arial"/>
          <w:sz w:val="20"/>
          <w:szCs w:val="20"/>
          <w:lang w:eastAsia="cs-CZ"/>
        </w:rPr>
      </w:pPr>
      <w:r w:rsidRPr="006A2BF3">
        <w:rPr>
          <w:rFonts w:ascii="Arial" w:hAnsi="Arial" w:cs="Arial"/>
          <w:sz w:val="20"/>
          <w:szCs w:val="20"/>
          <w:lang w:eastAsia="cs-CZ"/>
        </w:rPr>
        <w:t>Ako vyplýva z údajov uvedených v komentári v</w:t>
      </w:r>
      <w:r>
        <w:rPr>
          <w:rFonts w:ascii="Arial" w:hAnsi="Arial" w:cs="Arial"/>
          <w:sz w:val="20"/>
          <w:szCs w:val="20"/>
          <w:lang w:eastAsia="cs-CZ"/>
        </w:rPr>
        <w:t>o vyššie uvedenej</w:t>
      </w:r>
      <w:r w:rsidRPr="006A2BF3">
        <w:rPr>
          <w:rFonts w:ascii="Arial" w:hAnsi="Arial" w:cs="Arial"/>
          <w:sz w:val="20"/>
          <w:szCs w:val="20"/>
          <w:lang w:eastAsia="cs-CZ"/>
        </w:rPr>
        <w:t> tabuľke, v prípade niektorých ukazovateľov stanovených v SKI HP TUR vo vzťahu k jednotlivým prioritným osiam OP ŽP (ako napr. množstvo materiálovo zhodnotených odpadov; zateplená plocha) už v súčasnosti ich deklarovaná cieľová hodnota v zmysle zmlúv o NFP uzavretých k 31.12.201</w:t>
      </w:r>
      <w:r>
        <w:rPr>
          <w:rFonts w:ascii="Arial" w:hAnsi="Arial" w:cs="Arial"/>
          <w:sz w:val="20"/>
          <w:szCs w:val="20"/>
          <w:lang w:eastAsia="cs-CZ"/>
        </w:rPr>
        <w:t>2</w:t>
      </w:r>
      <w:r w:rsidRPr="006A2BF3">
        <w:rPr>
          <w:rFonts w:ascii="Arial" w:hAnsi="Arial" w:cs="Arial"/>
          <w:sz w:val="20"/>
          <w:szCs w:val="20"/>
          <w:lang w:eastAsia="cs-CZ"/>
        </w:rPr>
        <w:t xml:space="preserve"> prevyšuje plánovanú cieľovú hodnotu. V prípade ostatných ukazovateľov, s výnimkou ukazovateľa počet realizovaných dokumentov starostlivosti o územia, možno s prihliadnutím na ich deklarované cieľové hodnoty v súčasnom štádiu implementácie OP ŽP (v zmysle zmlúv o NFP uzavretých k 31.12.201</w:t>
      </w:r>
      <w:r>
        <w:rPr>
          <w:rFonts w:ascii="Arial" w:hAnsi="Arial" w:cs="Arial"/>
          <w:sz w:val="20"/>
          <w:szCs w:val="20"/>
          <w:lang w:eastAsia="cs-CZ"/>
        </w:rPr>
        <w:t>2</w:t>
      </w:r>
      <w:r w:rsidRPr="006A2BF3">
        <w:rPr>
          <w:rFonts w:ascii="Arial" w:hAnsi="Arial" w:cs="Arial"/>
          <w:sz w:val="20"/>
          <w:szCs w:val="20"/>
          <w:lang w:eastAsia="cs-CZ"/>
        </w:rPr>
        <w:t>) predpokladať, že ich stanovené cieľové hodnoty budú dosiahnuté.</w:t>
      </w:r>
    </w:p>
    <w:p w:rsidR="007A427E" w:rsidRDefault="001362DC" w:rsidP="00507035">
      <w:pPr>
        <w:spacing w:before="120" w:after="120" w:line="360" w:lineRule="auto"/>
        <w:jc w:val="both"/>
        <w:rPr>
          <w:rFonts w:ascii="Arial" w:hAnsi="Arial" w:cs="Arial"/>
          <w:sz w:val="20"/>
          <w:szCs w:val="20"/>
          <w:lang w:eastAsia="cs-CZ"/>
        </w:rPr>
      </w:pPr>
      <w:r w:rsidRPr="006A2BF3">
        <w:rPr>
          <w:rFonts w:ascii="Arial" w:hAnsi="Arial" w:cs="Arial"/>
          <w:sz w:val="20"/>
          <w:szCs w:val="20"/>
          <w:lang w:eastAsia="cs-CZ"/>
        </w:rPr>
        <w:t>S cieľom zabezpečiť sledovanie napĺňania ukazovateľov HP TUR bude riadiaci orgán pre OP ŽP v prípade</w:t>
      </w:r>
      <w:r>
        <w:rPr>
          <w:rFonts w:ascii="Arial" w:hAnsi="Arial" w:cs="Arial"/>
          <w:sz w:val="20"/>
          <w:szCs w:val="20"/>
          <w:lang w:eastAsia="cs-CZ"/>
        </w:rPr>
        <w:t xml:space="preserve"> </w:t>
      </w:r>
      <w:r w:rsidRPr="006A2BF3">
        <w:rPr>
          <w:rFonts w:ascii="Arial" w:hAnsi="Arial" w:cs="Arial"/>
          <w:sz w:val="20"/>
          <w:szCs w:val="20"/>
          <w:lang w:eastAsia="cs-CZ"/>
        </w:rPr>
        <w:t>všetkých projektov, ktoré boli hodnotené ako projekty s pozitívnym príspevkom k napĺňaniu cieľov HP TUR, vyžadovať od prijímateľov aj dôsledné vykazovanie hodnôt ukazovateľov HP TUR v rámci monitorovacích správ.</w:t>
      </w:r>
    </w:p>
    <w:p w:rsidR="00EF0531" w:rsidRDefault="00EF0531" w:rsidP="00507035">
      <w:pPr>
        <w:pStyle w:val="Nadpis1"/>
        <w:spacing w:before="120" w:after="120"/>
        <w:rPr>
          <w:lang w:val="sk-SK"/>
        </w:rPr>
      </w:pPr>
      <w:bookmarkStart w:id="120" w:name="_Toc319573345"/>
    </w:p>
    <w:p w:rsidR="002416B1" w:rsidRPr="006A2BF3" w:rsidRDefault="002416B1" w:rsidP="00507035">
      <w:pPr>
        <w:pStyle w:val="Nadpis1"/>
        <w:spacing w:before="120" w:after="120"/>
      </w:pPr>
      <w:r w:rsidRPr="006A2BF3">
        <w:t>5. Veľké projekty</w:t>
      </w:r>
      <w:bookmarkEnd w:id="120"/>
    </w:p>
    <w:p w:rsidR="00E96F9C" w:rsidRDefault="00E96F9C" w:rsidP="00507035">
      <w:pPr>
        <w:spacing w:before="120" w:after="120" w:line="360" w:lineRule="auto"/>
        <w:jc w:val="both"/>
        <w:rPr>
          <w:rFonts w:ascii="Arial" w:hAnsi="Arial" w:cs="Arial"/>
          <w:sz w:val="20"/>
          <w:szCs w:val="20"/>
        </w:rPr>
      </w:pPr>
      <w:r w:rsidRPr="00E96F9C">
        <w:rPr>
          <w:rFonts w:ascii="Arial" w:hAnsi="Arial" w:cs="Arial"/>
          <w:sz w:val="20"/>
          <w:szCs w:val="20"/>
        </w:rPr>
        <w:t>Monitorovací výbor pre OP ŽP</w:t>
      </w:r>
      <w:r>
        <w:rPr>
          <w:rFonts w:ascii="Arial" w:hAnsi="Arial" w:cs="Arial"/>
          <w:sz w:val="20"/>
          <w:szCs w:val="20"/>
        </w:rPr>
        <w:t xml:space="preserve"> na svojom 8. zasadnutí </w:t>
      </w:r>
      <w:r w:rsidRPr="00CD1395">
        <w:rPr>
          <w:rFonts w:ascii="Arial" w:hAnsi="Arial" w:cs="Arial"/>
          <w:sz w:val="20"/>
          <w:szCs w:val="20"/>
        </w:rPr>
        <w:t xml:space="preserve">dňa </w:t>
      </w:r>
      <w:r w:rsidRPr="00E57A5C">
        <w:rPr>
          <w:rFonts w:ascii="Arial" w:hAnsi="Arial" w:cs="Arial"/>
          <w:sz w:val="20"/>
          <w:szCs w:val="20"/>
        </w:rPr>
        <w:t>28.06.2011</w:t>
      </w:r>
      <w:r w:rsidRPr="00CD1395">
        <w:rPr>
          <w:rFonts w:ascii="Arial" w:hAnsi="Arial" w:cs="Arial"/>
          <w:sz w:val="20"/>
          <w:szCs w:val="20"/>
        </w:rPr>
        <w:t xml:space="preserve"> schválil zmenu zoznamu veľkých projektov pre OP ŽP. Schválený zoznam obsahoval 9 veľkých projektov</w:t>
      </w:r>
      <w:r w:rsidRPr="00E96F9C">
        <w:rPr>
          <w:rFonts w:ascii="Arial" w:hAnsi="Arial" w:cs="Arial"/>
          <w:sz w:val="20"/>
          <w:szCs w:val="20"/>
        </w:rPr>
        <w:t xml:space="preserve"> pripravovaných v rámci prioritnej osi 1. </w:t>
      </w:r>
    </w:p>
    <w:p w:rsidR="002416B1" w:rsidRPr="00B031AA" w:rsidRDefault="00E96F9C" w:rsidP="00507035">
      <w:pPr>
        <w:spacing w:before="120" w:after="120" w:line="360" w:lineRule="auto"/>
        <w:jc w:val="both"/>
        <w:rPr>
          <w:rFonts w:ascii="Arial" w:hAnsi="Arial" w:cs="Arial"/>
          <w:sz w:val="20"/>
          <w:szCs w:val="20"/>
        </w:rPr>
      </w:pPr>
      <w:r w:rsidRPr="00E96F9C">
        <w:rPr>
          <w:rFonts w:ascii="Arial" w:hAnsi="Arial" w:cs="Arial"/>
          <w:sz w:val="20"/>
          <w:szCs w:val="20"/>
        </w:rPr>
        <w:t>Od poslednej aktualizácie zoznamu nenastali v zozname žiadne zmeny.</w:t>
      </w:r>
    </w:p>
    <w:p w:rsidR="002416B1" w:rsidRPr="004B33AE" w:rsidRDefault="002416B1" w:rsidP="00C23FBA">
      <w:pPr>
        <w:spacing w:line="360" w:lineRule="auto"/>
        <w:jc w:val="both"/>
        <w:rPr>
          <w:rFonts w:ascii="Arial" w:hAnsi="Arial" w:cs="Arial"/>
          <w:sz w:val="20"/>
          <w:szCs w:val="20"/>
        </w:rPr>
      </w:pPr>
      <w:r w:rsidRPr="00B031AA">
        <w:rPr>
          <w:rFonts w:ascii="Arial" w:hAnsi="Arial" w:cs="Arial"/>
          <w:sz w:val="20"/>
          <w:szCs w:val="20"/>
        </w:rPr>
        <w:t xml:space="preserve">Tab. č. </w:t>
      </w:r>
      <w:r w:rsidR="00C63470">
        <w:rPr>
          <w:rFonts w:ascii="Arial" w:hAnsi="Arial" w:cs="Arial"/>
          <w:sz w:val="20"/>
          <w:szCs w:val="20"/>
        </w:rPr>
        <w:t>81</w:t>
      </w:r>
      <w:r w:rsidRPr="004B33AE">
        <w:rPr>
          <w:rFonts w:ascii="Arial" w:hAnsi="Arial" w:cs="Arial"/>
          <w:sz w:val="20"/>
          <w:szCs w:val="20"/>
        </w:rPr>
        <w:t xml:space="preserve">: </w:t>
      </w:r>
      <w:bookmarkStart w:id="121" w:name="OLE_LINK47"/>
      <w:bookmarkStart w:id="122" w:name="OLE_LINK48"/>
      <w:r w:rsidRPr="004B33AE">
        <w:rPr>
          <w:rFonts w:ascii="Arial" w:hAnsi="Arial" w:cs="Arial"/>
          <w:sz w:val="20"/>
          <w:szCs w:val="20"/>
        </w:rPr>
        <w:t xml:space="preserve">Aktualizovaný zoznam veľkých projektov </w:t>
      </w:r>
      <w:r>
        <w:rPr>
          <w:rFonts w:ascii="Arial" w:hAnsi="Arial" w:cs="Arial"/>
          <w:sz w:val="20"/>
          <w:szCs w:val="20"/>
        </w:rPr>
        <w:t>s uvedením ich stavu k 31.12.201</w:t>
      </w:r>
      <w:r w:rsidR="00E96F9C">
        <w:rPr>
          <w:rFonts w:ascii="Arial" w:hAnsi="Arial" w:cs="Arial"/>
          <w:sz w:val="20"/>
          <w:szCs w:val="20"/>
        </w:rPr>
        <w:t>2</w:t>
      </w:r>
      <w:bookmarkEnd w:id="121"/>
      <w:bookmarkEnd w:id="122"/>
    </w:p>
    <w:tbl>
      <w:tblPr>
        <w:tblW w:w="10004" w:type="dxa"/>
        <w:jc w:val="center"/>
        <w:tblInd w:w="-4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3565"/>
        <w:gridCol w:w="854"/>
        <w:gridCol w:w="1347"/>
        <w:gridCol w:w="3079"/>
        <w:gridCol w:w="1159"/>
      </w:tblGrid>
      <w:tr w:rsidR="00607533" w:rsidRPr="00EF5256" w:rsidTr="00607533">
        <w:trPr>
          <w:trHeight w:val="530"/>
          <w:jc w:val="center"/>
        </w:trPr>
        <w:tc>
          <w:tcPr>
            <w:tcW w:w="3566" w:type="dxa"/>
            <w:shd w:val="clear" w:color="auto" w:fill="D6E3BC"/>
            <w:vAlign w:val="center"/>
          </w:tcPr>
          <w:p w:rsidR="00E96F9C" w:rsidRPr="0039268C" w:rsidRDefault="00E96F9C" w:rsidP="00C23FBA">
            <w:pPr>
              <w:spacing w:line="360" w:lineRule="auto"/>
              <w:jc w:val="both"/>
              <w:rPr>
                <w:rFonts w:ascii="Arial" w:hAnsi="Arial" w:cs="Arial"/>
                <w:b/>
                <w:bCs/>
                <w:sz w:val="16"/>
                <w:szCs w:val="16"/>
              </w:rPr>
            </w:pPr>
            <w:r w:rsidRPr="0039268C">
              <w:rPr>
                <w:rFonts w:ascii="Arial" w:hAnsi="Arial" w:cs="Arial"/>
                <w:b/>
                <w:bCs/>
                <w:sz w:val="16"/>
                <w:szCs w:val="16"/>
              </w:rPr>
              <w:t>Názov projektu</w:t>
            </w:r>
          </w:p>
        </w:tc>
        <w:tc>
          <w:tcPr>
            <w:tcW w:w="0" w:type="auto"/>
            <w:shd w:val="clear" w:color="auto" w:fill="D6E3BC"/>
            <w:vAlign w:val="center"/>
          </w:tcPr>
          <w:p w:rsidR="00E96F9C" w:rsidRPr="0039268C" w:rsidRDefault="00E96F9C" w:rsidP="00C23FBA">
            <w:pPr>
              <w:spacing w:line="360" w:lineRule="auto"/>
              <w:jc w:val="both"/>
              <w:rPr>
                <w:rFonts w:ascii="Arial" w:hAnsi="Arial" w:cs="Arial"/>
                <w:b/>
                <w:bCs/>
                <w:sz w:val="16"/>
                <w:szCs w:val="16"/>
              </w:rPr>
            </w:pPr>
            <w:r w:rsidRPr="0039268C">
              <w:rPr>
                <w:rFonts w:ascii="Arial" w:hAnsi="Arial" w:cs="Arial"/>
                <w:b/>
                <w:bCs/>
                <w:sz w:val="16"/>
                <w:szCs w:val="16"/>
              </w:rPr>
              <w:t xml:space="preserve">Žiadateľ </w:t>
            </w:r>
          </w:p>
        </w:tc>
        <w:tc>
          <w:tcPr>
            <w:tcW w:w="1347" w:type="dxa"/>
            <w:shd w:val="clear" w:color="auto" w:fill="D6E3BC"/>
            <w:vAlign w:val="center"/>
          </w:tcPr>
          <w:p w:rsidR="00E96F9C" w:rsidRPr="0039268C" w:rsidRDefault="00E96F9C" w:rsidP="00C23FBA">
            <w:pPr>
              <w:spacing w:line="360" w:lineRule="auto"/>
              <w:jc w:val="both"/>
              <w:rPr>
                <w:rFonts w:ascii="Arial" w:hAnsi="Arial" w:cs="Arial"/>
                <w:b/>
                <w:bCs/>
                <w:sz w:val="16"/>
                <w:szCs w:val="16"/>
              </w:rPr>
            </w:pPr>
            <w:r w:rsidRPr="0039268C">
              <w:rPr>
                <w:rFonts w:ascii="Arial" w:hAnsi="Arial" w:cs="Arial"/>
                <w:b/>
                <w:bCs/>
                <w:sz w:val="16"/>
                <w:szCs w:val="16"/>
              </w:rPr>
              <w:t>Zaslanie EK</w:t>
            </w:r>
          </w:p>
        </w:tc>
        <w:tc>
          <w:tcPr>
            <w:tcW w:w="0" w:type="auto"/>
            <w:shd w:val="clear" w:color="auto" w:fill="D6E3BC"/>
            <w:vAlign w:val="center"/>
          </w:tcPr>
          <w:p w:rsidR="00E96F9C" w:rsidRPr="0039268C" w:rsidRDefault="00E96F9C" w:rsidP="00C23FBA">
            <w:pPr>
              <w:spacing w:line="360" w:lineRule="auto"/>
              <w:jc w:val="both"/>
              <w:rPr>
                <w:rFonts w:ascii="Arial" w:hAnsi="Arial" w:cs="Arial"/>
                <w:b/>
                <w:bCs/>
                <w:sz w:val="16"/>
                <w:szCs w:val="16"/>
              </w:rPr>
            </w:pPr>
            <w:r w:rsidRPr="0039268C">
              <w:rPr>
                <w:rFonts w:ascii="Arial" w:hAnsi="Arial" w:cs="Arial"/>
                <w:b/>
                <w:bCs/>
                <w:sz w:val="16"/>
                <w:szCs w:val="16"/>
              </w:rPr>
              <w:t>Prehľad prerušení</w:t>
            </w:r>
          </w:p>
        </w:tc>
        <w:tc>
          <w:tcPr>
            <w:tcW w:w="0" w:type="auto"/>
            <w:tcBorders>
              <w:bottom w:val="single" w:sz="4" w:space="0" w:color="auto"/>
            </w:tcBorders>
            <w:shd w:val="clear" w:color="auto" w:fill="D6E3BC"/>
            <w:vAlign w:val="center"/>
          </w:tcPr>
          <w:p w:rsidR="00E96F9C" w:rsidRPr="0039268C" w:rsidRDefault="00E96F9C" w:rsidP="00C23FBA">
            <w:pPr>
              <w:spacing w:line="360" w:lineRule="auto"/>
              <w:jc w:val="both"/>
              <w:rPr>
                <w:rFonts w:ascii="Arial" w:hAnsi="Arial" w:cs="Arial"/>
                <w:b/>
                <w:bCs/>
                <w:sz w:val="16"/>
                <w:szCs w:val="16"/>
              </w:rPr>
            </w:pPr>
            <w:r w:rsidRPr="0039268C">
              <w:rPr>
                <w:rFonts w:ascii="Arial" w:hAnsi="Arial" w:cs="Arial"/>
                <w:b/>
                <w:bCs/>
                <w:sz w:val="16"/>
                <w:szCs w:val="16"/>
              </w:rPr>
              <w:t>Schválenie EK</w:t>
            </w:r>
          </w:p>
        </w:tc>
      </w:tr>
      <w:tr w:rsidR="00607533" w:rsidRPr="00EF5256" w:rsidTr="00607533">
        <w:trPr>
          <w:trHeight w:val="460"/>
          <w:jc w:val="center"/>
        </w:trPr>
        <w:tc>
          <w:tcPr>
            <w:tcW w:w="3566" w:type="dxa"/>
            <w:vAlign w:val="center"/>
          </w:tcPr>
          <w:p w:rsidR="00E96F9C" w:rsidRPr="0039268C" w:rsidRDefault="00E96F9C" w:rsidP="00C23FBA">
            <w:pPr>
              <w:spacing w:line="360" w:lineRule="auto"/>
              <w:jc w:val="both"/>
              <w:rPr>
                <w:rFonts w:ascii="Arial" w:hAnsi="Arial" w:cs="Arial"/>
                <w:b/>
                <w:sz w:val="16"/>
                <w:szCs w:val="16"/>
              </w:rPr>
            </w:pPr>
            <w:r w:rsidRPr="0039268C">
              <w:rPr>
                <w:rFonts w:ascii="Arial" w:hAnsi="Arial" w:cs="Arial"/>
                <w:b/>
                <w:sz w:val="16"/>
                <w:szCs w:val="16"/>
              </w:rPr>
              <w:t>SKK Ružomberok a ČOV Liptovská Teplá, Liptovské Sliače</w:t>
            </w:r>
          </w:p>
        </w:tc>
        <w:tc>
          <w:tcPr>
            <w:tcW w:w="0" w:type="auto"/>
            <w:vAlign w:val="center"/>
          </w:tcPr>
          <w:p w:rsidR="00E96F9C" w:rsidRPr="0039268C" w:rsidRDefault="00E96F9C" w:rsidP="00C23FBA">
            <w:pPr>
              <w:spacing w:line="360" w:lineRule="auto"/>
              <w:jc w:val="both"/>
              <w:rPr>
                <w:rFonts w:ascii="Arial" w:hAnsi="Arial" w:cs="Arial"/>
                <w:sz w:val="16"/>
                <w:szCs w:val="16"/>
              </w:rPr>
            </w:pPr>
            <w:r w:rsidRPr="0039268C">
              <w:rPr>
                <w:rFonts w:ascii="Arial" w:hAnsi="Arial" w:cs="Arial"/>
                <w:sz w:val="16"/>
                <w:szCs w:val="16"/>
              </w:rPr>
              <w:t>VSR, a.s.</w:t>
            </w:r>
          </w:p>
        </w:tc>
        <w:tc>
          <w:tcPr>
            <w:tcW w:w="1347" w:type="dxa"/>
            <w:vAlign w:val="center"/>
          </w:tcPr>
          <w:p w:rsidR="00E96F9C" w:rsidRPr="0039268C" w:rsidRDefault="00E96F9C" w:rsidP="00C23FBA">
            <w:pPr>
              <w:spacing w:line="360" w:lineRule="auto"/>
              <w:jc w:val="both"/>
              <w:rPr>
                <w:rFonts w:ascii="Arial" w:hAnsi="Arial" w:cs="Arial"/>
                <w:sz w:val="16"/>
                <w:szCs w:val="16"/>
              </w:rPr>
            </w:pPr>
            <w:r w:rsidRPr="0039268C">
              <w:rPr>
                <w:rFonts w:ascii="Arial" w:hAnsi="Arial" w:cs="Arial"/>
                <w:sz w:val="16"/>
                <w:szCs w:val="16"/>
              </w:rPr>
              <w:t>04. 05. 2010</w:t>
            </w:r>
          </w:p>
        </w:tc>
        <w:tc>
          <w:tcPr>
            <w:tcW w:w="0" w:type="auto"/>
            <w:vAlign w:val="center"/>
          </w:tcPr>
          <w:p w:rsidR="00E96F9C" w:rsidRPr="0039268C" w:rsidRDefault="00E96F9C" w:rsidP="00C23FBA">
            <w:pPr>
              <w:spacing w:line="360" w:lineRule="auto"/>
              <w:jc w:val="both"/>
              <w:rPr>
                <w:rFonts w:ascii="Arial" w:hAnsi="Arial" w:cs="Arial"/>
                <w:sz w:val="16"/>
                <w:szCs w:val="16"/>
              </w:rPr>
            </w:pPr>
            <w:r w:rsidRPr="0039268C">
              <w:rPr>
                <w:rFonts w:ascii="Arial" w:hAnsi="Arial" w:cs="Arial"/>
                <w:sz w:val="16"/>
                <w:szCs w:val="16"/>
              </w:rPr>
              <w:t>I. prerušenie 07. 09. 2010 – odpoveď RO 30. 11. 2010</w:t>
            </w:r>
          </w:p>
          <w:p w:rsidR="00E96F9C" w:rsidRPr="0039268C" w:rsidRDefault="00E96F9C" w:rsidP="00C23FBA">
            <w:pPr>
              <w:spacing w:line="360" w:lineRule="auto"/>
              <w:jc w:val="both"/>
              <w:rPr>
                <w:rFonts w:ascii="Arial" w:hAnsi="Arial" w:cs="Arial"/>
                <w:sz w:val="16"/>
                <w:szCs w:val="16"/>
              </w:rPr>
            </w:pPr>
            <w:r w:rsidRPr="0039268C">
              <w:rPr>
                <w:rFonts w:ascii="Arial" w:hAnsi="Arial" w:cs="Arial"/>
                <w:sz w:val="16"/>
                <w:szCs w:val="16"/>
              </w:rPr>
              <w:t>II. prerušenie 22. 03. 2011 – odpoveď RO 12. 07. 2011</w:t>
            </w:r>
          </w:p>
        </w:tc>
        <w:tc>
          <w:tcPr>
            <w:tcW w:w="0" w:type="auto"/>
            <w:shd w:val="clear" w:color="auto" w:fill="EAF1DD"/>
            <w:vAlign w:val="center"/>
          </w:tcPr>
          <w:p w:rsidR="00E96F9C" w:rsidRPr="0039268C" w:rsidRDefault="00E96F9C" w:rsidP="00C23FBA">
            <w:pPr>
              <w:spacing w:line="360" w:lineRule="auto"/>
              <w:jc w:val="both"/>
              <w:rPr>
                <w:rFonts w:ascii="Arial" w:hAnsi="Arial" w:cs="Arial"/>
                <w:b/>
                <w:sz w:val="16"/>
                <w:szCs w:val="16"/>
              </w:rPr>
            </w:pPr>
            <w:r w:rsidRPr="0039268C">
              <w:rPr>
                <w:rFonts w:ascii="Arial" w:hAnsi="Arial" w:cs="Arial"/>
                <w:b/>
                <w:sz w:val="16"/>
                <w:szCs w:val="16"/>
              </w:rPr>
              <w:t>16. 02. 2012</w:t>
            </w:r>
          </w:p>
        </w:tc>
      </w:tr>
      <w:tr w:rsidR="00607533" w:rsidRPr="00EF5256" w:rsidTr="00607533">
        <w:trPr>
          <w:trHeight w:val="460"/>
          <w:jc w:val="center"/>
        </w:trPr>
        <w:tc>
          <w:tcPr>
            <w:tcW w:w="3566" w:type="dxa"/>
            <w:vAlign w:val="center"/>
          </w:tcPr>
          <w:p w:rsidR="00E96F9C" w:rsidRPr="0039268C" w:rsidRDefault="00E96F9C" w:rsidP="00C23FBA">
            <w:pPr>
              <w:spacing w:line="360" w:lineRule="auto"/>
              <w:jc w:val="both"/>
              <w:rPr>
                <w:rFonts w:ascii="Arial" w:hAnsi="Arial" w:cs="Arial"/>
                <w:b/>
                <w:sz w:val="16"/>
                <w:szCs w:val="16"/>
              </w:rPr>
            </w:pPr>
            <w:r w:rsidRPr="0039268C">
              <w:rPr>
                <w:rFonts w:ascii="Arial" w:hAnsi="Arial" w:cs="Arial"/>
                <w:b/>
                <w:sz w:val="16"/>
                <w:szCs w:val="16"/>
              </w:rPr>
              <w:t>Zásobovanie vodou, odkanalizovanie a čistenie odpadových vôd v okrese Ilava</w:t>
            </w:r>
          </w:p>
        </w:tc>
        <w:tc>
          <w:tcPr>
            <w:tcW w:w="0" w:type="auto"/>
            <w:vAlign w:val="center"/>
          </w:tcPr>
          <w:p w:rsidR="00E96F9C" w:rsidRPr="0039268C" w:rsidRDefault="00E96F9C" w:rsidP="00C23FBA">
            <w:pPr>
              <w:spacing w:line="360" w:lineRule="auto"/>
              <w:jc w:val="both"/>
              <w:rPr>
                <w:rFonts w:ascii="Arial" w:hAnsi="Arial" w:cs="Arial"/>
                <w:sz w:val="16"/>
                <w:szCs w:val="16"/>
              </w:rPr>
            </w:pPr>
            <w:r w:rsidRPr="0039268C">
              <w:rPr>
                <w:rFonts w:ascii="Arial" w:hAnsi="Arial" w:cs="Arial"/>
                <w:sz w:val="16"/>
                <w:szCs w:val="16"/>
              </w:rPr>
              <w:t>PoVS, a.s.</w:t>
            </w:r>
          </w:p>
        </w:tc>
        <w:tc>
          <w:tcPr>
            <w:tcW w:w="1347" w:type="dxa"/>
            <w:vAlign w:val="center"/>
          </w:tcPr>
          <w:p w:rsidR="00E96F9C" w:rsidRPr="0039268C" w:rsidRDefault="00E96F9C" w:rsidP="00C23FBA">
            <w:pPr>
              <w:spacing w:line="360" w:lineRule="auto"/>
              <w:jc w:val="both"/>
              <w:rPr>
                <w:rFonts w:ascii="Arial" w:hAnsi="Arial" w:cs="Arial"/>
                <w:sz w:val="16"/>
                <w:szCs w:val="16"/>
              </w:rPr>
            </w:pPr>
            <w:r w:rsidRPr="0039268C">
              <w:rPr>
                <w:rFonts w:ascii="Arial" w:hAnsi="Arial" w:cs="Arial"/>
                <w:sz w:val="16"/>
                <w:szCs w:val="16"/>
              </w:rPr>
              <w:t>03. 09. 2010</w:t>
            </w:r>
          </w:p>
        </w:tc>
        <w:tc>
          <w:tcPr>
            <w:tcW w:w="0" w:type="auto"/>
            <w:vAlign w:val="center"/>
          </w:tcPr>
          <w:p w:rsidR="00E96F9C" w:rsidRPr="0039268C" w:rsidRDefault="00E96F9C" w:rsidP="00C23FBA">
            <w:pPr>
              <w:spacing w:line="360" w:lineRule="auto"/>
              <w:jc w:val="both"/>
              <w:rPr>
                <w:rFonts w:ascii="Arial" w:hAnsi="Arial" w:cs="Arial"/>
                <w:sz w:val="16"/>
                <w:szCs w:val="16"/>
              </w:rPr>
            </w:pPr>
            <w:r w:rsidRPr="0039268C">
              <w:rPr>
                <w:rFonts w:ascii="Arial" w:hAnsi="Arial" w:cs="Arial"/>
                <w:sz w:val="16"/>
                <w:szCs w:val="16"/>
              </w:rPr>
              <w:t>I. prerušenie 23. 11. 2010 – odpoveď RO 29. 03. 2011</w:t>
            </w:r>
          </w:p>
          <w:p w:rsidR="00E96F9C" w:rsidRPr="0039268C" w:rsidRDefault="00E96F9C" w:rsidP="00C23FBA">
            <w:pPr>
              <w:spacing w:line="360" w:lineRule="auto"/>
              <w:jc w:val="both"/>
              <w:rPr>
                <w:rFonts w:ascii="Arial" w:hAnsi="Arial" w:cs="Arial"/>
                <w:sz w:val="16"/>
                <w:szCs w:val="16"/>
              </w:rPr>
            </w:pPr>
            <w:r w:rsidRPr="0039268C">
              <w:rPr>
                <w:rFonts w:ascii="Arial" w:hAnsi="Arial" w:cs="Arial"/>
                <w:sz w:val="16"/>
                <w:szCs w:val="16"/>
              </w:rPr>
              <w:t>II. prerušenie 27. 07. 2011 – odpoveď RO 26. 10. 2011</w:t>
            </w:r>
          </w:p>
          <w:p w:rsidR="00E96F9C" w:rsidRPr="0039268C" w:rsidRDefault="00E96F9C" w:rsidP="00C23FBA">
            <w:pPr>
              <w:spacing w:line="360" w:lineRule="auto"/>
              <w:jc w:val="both"/>
              <w:rPr>
                <w:rFonts w:ascii="Arial" w:hAnsi="Arial" w:cs="Arial"/>
                <w:sz w:val="16"/>
                <w:szCs w:val="16"/>
              </w:rPr>
            </w:pPr>
            <w:r w:rsidRPr="0039268C">
              <w:rPr>
                <w:rFonts w:ascii="Arial" w:hAnsi="Arial" w:cs="Arial"/>
                <w:sz w:val="16"/>
                <w:szCs w:val="16"/>
              </w:rPr>
              <w:t>III. prerušenie  08. 02. 2012 - odpoveď RO 01. 03. 2012</w:t>
            </w:r>
          </w:p>
          <w:p w:rsidR="00E96F9C" w:rsidRPr="0039268C" w:rsidRDefault="00E96F9C" w:rsidP="00C23FBA">
            <w:pPr>
              <w:spacing w:line="360" w:lineRule="auto"/>
              <w:jc w:val="both"/>
              <w:rPr>
                <w:rFonts w:ascii="Arial" w:hAnsi="Arial" w:cs="Arial"/>
                <w:sz w:val="16"/>
                <w:szCs w:val="16"/>
              </w:rPr>
            </w:pPr>
            <w:r w:rsidRPr="0039268C">
              <w:rPr>
                <w:rFonts w:ascii="Arial" w:hAnsi="Arial" w:cs="Arial"/>
                <w:sz w:val="16"/>
                <w:szCs w:val="16"/>
              </w:rPr>
              <w:t>IV. prerušenie 19. 03. 2012 - odpoveď RO 13. 04. 2012</w:t>
            </w:r>
          </w:p>
          <w:p w:rsidR="00E96F9C" w:rsidRPr="0039268C" w:rsidRDefault="00E96F9C" w:rsidP="00C23FBA">
            <w:pPr>
              <w:spacing w:line="360" w:lineRule="auto"/>
              <w:jc w:val="both"/>
              <w:rPr>
                <w:rFonts w:ascii="Arial" w:hAnsi="Arial" w:cs="Arial"/>
                <w:sz w:val="16"/>
                <w:szCs w:val="16"/>
              </w:rPr>
            </w:pPr>
            <w:r w:rsidRPr="0039268C">
              <w:rPr>
                <w:rFonts w:ascii="Arial" w:hAnsi="Arial" w:cs="Arial"/>
                <w:sz w:val="16"/>
                <w:szCs w:val="16"/>
              </w:rPr>
              <w:t>V. prerušenie 07. 05. 2012 – odpoveď RO 18. 05. 2012</w:t>
            </w:r>
          </w:p>
        </w:tc>
        <w:tc>
          <w:tcPr>
            <w:tcW w:w="0" w:type="auto"/>
            <w:shd w:val="clear" w:color="auto" w:fill="EAF1DD"/>
            <w:vAlign w:val="center"/>
          </w:tcPr>
          <w:p w:rsidR="00E96F9C" w:rsidRPr="0039268C" w:rsidRDefault="00E96F9C" w:rsidP="00C23FBA">
            <w:pPr>
              <w:spacing w:line="360" w:lineRule="auto"/>
              <w:jc w:val="both"/>
              <w:rPr>
                <w:rFonts w:ascii="Arial" w:hAnsi="Arial" w:cs="Arial"/>
                <w:b/>
                <w:sz w:val="16"/>
                <w:szCs w:val="16"/>
              </w:rPr>
            </w:pPr>
            <w:r w:rsidRPr="0039268C">
              <w:rPr>
                <w:rFonts w:ascii="Arial" w:hAnsi="Arial" w:cs="Arial"/>
                <w:b/>
                <w:sz w:val="16"/>
                <w:szCs w:val="16"/>
              </w:rPr>
              <w:t>16. 07. 2012</w:t>
            </w:r>
          </w:p>
        </w:tc>
      </w:tr>
      <w:tr w:rsidR="00607533" w:rsidRPr="00EF5256" w:rsidTr="00607533">
        <w:trPr>
          <w:trHeight w:val="460"/>
          <w:jc w:val="center"/>
        </w:trPr>
        <w:tc>
          <w:tcPr>
            <w:tcW w:w="3566" w:type="dxa"/>
            <w:vAlign w:val="center"/>
          </w:tcPr>
          <w:p w:rsidR="00E96F9C" w:rsidRPr="0039268C" w:rsidRDefault="00E96F9C" w:rsidP="00C23FBA">
            <w:pPr>
              <w:spacing w:line="360" w:lineRule="auto"/>
              <w:jc w:val="both"/>
              <w:rPr>
                <w:rFonts w:ascii="Arial" w:hAnsi="Arial" w:cs="Arial"/>
                <w:b/>
                <w:sz w:val="16"/>
                <w:szCs w:val="16"/>
              </w:rPr>
            </w:pPr>
            <w:r w:rsidRPr="0039268C">
              <w:rPr>
                <w:rFonts w:ascii="Arial" w:hAnsi="Arial" w:cs="Arial"/>
                <w:b/>
                <w:sz w:val="16"/>
                <w:szCs w:val="16"/>
              </w:rPr>
              <w:t>Intenzifikácia ČOV, odkanalizovanie a zásobovanie pitnou vodou v Trenčianskom regióne</w:t>
            </w:r>
          </w:p>
        </w:tc>
        <w:tc>
          <w:tcPr>
            <w:tcW w:w="0" w:type="auto"/>
            <w:vAlign w:val="center"/>
          </w:tcPr>
          <w:p w:rsidR="00E96F9C" w:rsidRPr="0039268C" w:rsidRDefault="00E96F9C" w:rsidP="00C23FBA">
            <w:pPr>
              <w:spacing w:line="360" w:lineRule="auto"/>
              <w:jc w:val="both"/>
              <w:rPr>
                <w:rFonts w:ascii="Arial" w:hAnsi="Arial" w:cs="Arial"/>
                <w:sz w:val="16"/>
                <w:szCs w:val="16"/>
              </w:rPr>
            </w:pPr>
            <w:r w:rsidRPr="0039268C">
              <w:rPr>
                <w:rFonts w:ascii="Arial" w:hAnsi="Arial" w:cs="Arial"/>
                <w:sz w:val="16"/>
                <w:szCs w:val="16"/>
              </w:rPr>
              <w:t>TVaK, a.s.</w:t>
            </w:r>
          </w:p>
        </w:tc>
        <w:tc>
          <w:tcPr>
            <w:tcW w:w="1347" w:type="dxa"/>
            <w:vAlign w:val="center"/>
          </w:tcPr>
          <w:p w:rsidR="00E96F9C" w:rsidRPr="0039268C" w:rsidRDefault="00E96F9C" w:rsidP="00C23FBA">
            <w:pPr>
              <w:spacing w:line="360" w:lineRule="auto"/>
              <w:jc w:val="both"/>
              <w:rPr>
                <w:rFonts w:ascii="Arial" w:hAnsi="Arial" w:cs="Arial"/>
                <w:sz w:val="16"/>
                <w:szCs w:val="16"/>
              </w:rPr>
            </w:pPr>
            <w:r w:rsidRPr="0039268C">
              <w:rPr>
                <w:rFonts w:ascii="Arial" w:hAnsi="Arial" w:cs="Arial"/>
                <w:sz w:val="16"/>
                <w:szCs w:val="16"/>
              </w:rPr>
              <w:t>21. 09. 2010</w:t>
            </w:r>
          </w:p>
        </w:tc>
        <w:tc>
          <w:tcPr>
            <w:tcW w:w="0" w:type="auto"/>
            <w:vAlign w:val="center"/>
          </w:tcPr>
          <w:p w:rsidR="00E96F9C" w:rsidRPr="0039268C" w:rsidRDefault="00E96F9C" w:rsidP="00C23FBA">
            <w:pPr>
              <w:spacing w:line="360" w:lineRule="auto"/>
              <w:jc w:val="both"/>
              <w:rPr>
                <w:rFonts w:ascii="Arial" w:hAnsi="Arial" w:cs="Arial"/>
                <w:sz w:val="16"/>
                <w:szCs w:val="16"/>
              </w:rPr>
            </w:pPr>
            <w:r w:rsidRPr="0039268C">
              <w:rPr>
                <w:rFonts w:ascii="Arial" w:hAnsi="Arial" w:cs="Arial"/>
                <w:sz w:val="16"/>
                <w:szCs w:val="16"/>
              </w:rPr>
              <w:t>I. prerušenie 02. 02. 2011 – odpoveď RO 17. 05. 2011</w:t>
            </w:r>
          </w:p>
          <w:p w:rsidR="00E96F9C" w:rsidRPr="0039268C" w:rsidRDefault="00E96F9C" w:rsidP="00C23FBA">
            <w:pPr>
              <w:spacing w:line="360" w:lineRule="auto"/>
              <w:jc w:val="both"/>
              <w:rPr>
                <w:rFonts w:ascii="Arial" w:hAnsi="Arial" w:cs="Arial"/>
                <w:sz w:val="16"/>
                <w:szCs w:val="16"/>
              </w:rPr>
            </w:pPr>
            <w:r w:rsidRPr="0039268C">
              <w:rPr>
                <w:rFonts w:ascii="Arial" w:hAnsi="Arial" w:cs="Arial"/>
                <w:sz w:val="16"/>
                <w:szCs w:val="16"/>
              </w:rPr>
              <w:t>II. prerušenie 13. 09.2011 – odpoveď RO 05. 12. 2011</w:t>
            </w:r>
          </w:p>
          <w:p w:rsidR="00E96F9C" w:rsidRPr="0039268C" w:rsidRDefault="00E96F9C" w:rsidP="00C23FBA">
            <w:pPr>
              <w:spacing w:line="360" w:lineRule="auto"/>
              <w:jc w:val="both"/>
              <w:rPr>
                <w:rFonts w:ascii="Arial" w:hAnsi="Arial" w:cs="Arial"/>
                <w:sz w:val="16"/>
                <w:szCs w:val="16"/>
              </w:rPr>
            </w:pPr>
            <w:r w:rsidRPr="0039268C">
              <w:rPr>
                <w:rFonts w:ascii="Arial" w:hAnsi="Arial" w:cs="Arial"/>
                <w:sz w:val="16"/>
                <w:szCs w:val="16"/>
              </w:rPr>
              <w:t>III. prerušenie 06. 02. 2012 – odpoveď RO 20. 02. 2012</w:t>
            </w:r>
          </w:p>
          <w:p w:rsidR="00E96F9C" w:rsidRPr="0039268C" w:rsidRDefault="00E96F9C" w:rsidP="00C23FBA">
            <w:pPr>
              <w:spacing w:line="360" w:lineRule="auto"/>
              <w:jc w:val="both"/>
              <w:rPr>
                <w:rFonts w:ascii="Arial" w:hAnsi="Arial" w:cs="Arial"/>
                <w:sz w:val="16"/>
                <w:szCs w:val="16"/>
              </w:rPr>
            </w:pPr>
            <w:r w:rsidRPr="0039268C">
              <w:rPr>
                <w:rFonts w:ascii="Arial" w:hAnsi="Arial" w:cs="Arial"/>
                <w:sz w:val="16"/>
                <w:szCs w:val="16"/>
              </w:rPr>
              <w:t>IV. prerušenie 02. 04. 2012 – odpoveď RO 13. 04. 2012</w:t>
            </w:r>
          </w:p>
          <w:p w:rsidR="00E96F9C" w:rsidRPr="0039268C" w:rsidRDefault="00E96F9C" w:rsidP="00C23FBA">
            <w:pPr>
              <w:spacing w:line="360" w:lineRule="auto"/>
              <w:jc w:val="both"/>
              <w:rPr>
                <w:rFonts w:ascii="Arial" w:hAnsi="Arial" w:cs="Arial"/>
                <w:sz w:val="16"/>
                <w:szCs w:val="16"/>
              </w:rPr>
            </w:pPr>
            <w:r w:rsidRPr="0039268C">
              <w:rPr>
                <w:rFonts w:ascii="Arial" w:hAnsi="Arial" w:cs="Arial"/>
                <w:sz w:val="16"/>
                <w:szCs w:val="16"/>
              </w:rPr>
              <w:t>V. prerušenie 07. 05. 2012 – odpoveď RO 18. 05. 2012</w:t>
            </w:r>
          </w:p>
        </w:tc>
        <w:tc>
          <w:tcPr>
            <w:tcW w:w="0" w:type="auto"/>
            <w:shd w:val="clear" w:color="auto" w:fill="EAF1DD"/>
            <w:vAlign w:val="center"/>
          </w:tcPr>
          <w:p w:rsidR="00E96F9C" w:rsidRPr="0039268C" w:rsidRDefault="00E96F9C" w:rsidP="00C23FBA">
            <w:pPr>
              <w:spacing w:line="360" w:lineRule="auto"/>
              <w:jc w:val="both"/>
              <w:rPr>
                <w:rFonts w:ascii="Arial" w:hAnsi="Arial" w:cs="Arial"/>
                <w:b/>
                <w:sz w:val="16"/>
                <w:szCs w:val="16"/>
              </w:rPr>
            </w:pPr>
            <w:r w:rsidRPr="0039268C">
              <w:rPr>
                <w:rFonts w:ascii="Arial" w:hAnsi="Arial" w:cs="Arial"/>
                <w:b/>
                <w:sz w:val="16"/>
                <w:szCs w:val="16"/>
              </w:rPr>
              <w:t>03. 07. 2012</w:t>
            </w:r>
          </w:p>
          <w:p w:rsidR="00E96F9C" w:rsidRPr="0039268C" w:rsidRDefault="00E96F9C" w:rsidP="00C23FBA">
            <w:pPr>
              <w:spacing w:line="360" w:lineRule="auto"/>
              <w:jc w:val="both"/>
              <w:rPr>
                <w:rFonts w:ascii="Arial" w:hAnsi="Arial" w:cs="Arial"/>
                <w:sz w:val="16"/>
                <w:szCs w:val="16"/>
              </w:rPr>
            </w:pPr>
          </w:p>
        </w:tc>
      </w:tr>
      <w:tr w:rsidR="00607533" w:rsidRPr="00EF5256" w:rsidTr="00607533">
        <w:trPr>
          <w:trHeight w:val="460"/>
          <w:jc w:val="center"/>
        </w:trPr>
        <w:tc>
          <w:tcPr>
            <w:tcW w:w="3566" w:type="dxa"/>
            <w:vAlign w:val="center"/>
          </w:tcPr>
          <w:p w:rsidR="00E96F9C" w:rsidRPr="0039268C" w:rsidRDefault="00E96F9C" w:rsidP="00C23FBA">
            <w:pPr>
              <w:spacing w:line="360" w:lineRule="auto"/>
              <w:jc w:val="both"/>
              <w:rPr>
                <w:rFonts w:ascii="Arial" w:hAnsi="Arial" w:cs="Arial"/>
                <w:b/>
                <w:sz w:val="16"/>
                <w:szCs w:val="16"/>
              </w:rPr>
            </w:pPr>
            <w:r w:rsidRPr="0039268C">
              <w:rPr>
                <w:rFonts w:ascii="Arial" w:hAnsi="Arial" w:cs="Arial"/>
                <w:b/>
                <w:sz w:val="16"/>
                <w:szCs w:val="16"/>
              </w:rPr>
              <w:t>Zásobovanie vodou a kanalizácia oravského regiónu, 2. etapa</w:t>
            </w:r>
          </w:p>
        </w:tc>
        <w:tc>
          <w:tcPr>
            <w:tcW w:w="0" w:type="auto"/>
            <w:vAlign w:val="center"/>
          </w:tcPr>
          <w:p w:rsidR="00E96F9C" w:rsidRPr="0039268C" w:rsidRDefault="00E96F9C" w:rsidP="00C23FBA">
            <w:pPr>
              <w:spacing w:line="360" w:lineRule="auto"/>
              <w:jc w:val="both"/>
              <w:rPr>
                <w:rFonts w:ascii="Arial" w:hAnsi="Arial" w:cs="Arial"/>
                <w:sz w:val="16"/>
                <w:szCs w:val="16"/>
              </w:rPr>
            </w:pPr>
            <w:r w:rsidRPr="0039268C">
              <w:rPr>
                <w:rFonts w:ascii="Arial" w:hAnsi="Arial" w:cs="Arial"/>
                <w:sz w:val="16"/>
                <w:szCs w:val="16"/>
              </w:rPr>
              <w:t>OVS, a.s.</w:t>
            </w:r>
          </w:p>
        </w:tc>
        <w:tc>
          <w:tcPr>
            <w:tcW w:w="1347" w:type="dxa"/>
            <w:vAlign w:val="center"/>
          </w:tcPr>
          <w:p w:rsidR="00E96F9C" w:rsidRPr="0039268C" w:rsidRDefault="00E96F9C" w:rsidP="00C23FBA">
            <w:pPr>
              <w:spacing w:line="360" w:lineRule="auto"/>
              <w:jc w:val="both"/>
              <w:rPr>
                <w:rFonts w:ascii="Arial" w:hAnsi="Arial" w:cs="Arial"/>
                <w:sz w:val="16"/>
                <w:szCs w:val="16"/>
              </w:rPr>
            </w:pPr>
            <w:r w:rsidRPr="0039268C">
              <w:rPr>
                <w:rFonts w:ascii="Arial" w:hAnsi="Arial" w:cs="Arial"/>
                <w:sz w:val="16"/>
                <w:szCs w:val="16"/>
              </w:rPr>
              <w:t>20. 04. 2011</w:t>
            </w:r>
          </w:p>
        </w:tc>
        <w:tc>
          <w:tcPr>
            <w:tcW w:w="0" w:type="auto"/>
            <w:vAlign w:val="center"/>
          </w:tcPr>
          <w:p w:rsidR="00E96F9C" w:rsidRPr="0039268C" w:rsidRDefault="00E96F9C" w:rsidP="00C23FBA">
            <w:pPr>
              <w:spacing w:line="360" w:lineRule="auto"/>
              <w:jc w:val="both"/>
              <w:rPr>
                <w:rFonts w:ascii="Arial" w:hAnsi="Arial" w:cs="Arial"/>
                <w:sz w:val="16"/>
                <w:szCs w:val="16"/>
              </w:rPr>
            </w:pPr>
            <w:r w:rsidRPr="0039268C">
              <w:rPr>
                <w:rFonts w:ascii="Arial" w:hAnsi="Arial" w:cs="Arial"/>
                <w:sz w:val="16"/>
                <w:szCs w:val="16"/>
              </w:rPr>
              <w:t xml:space="preserve">I. prerušenie 03. 10. 2011 – odpoveď RO 27. 02. 2012  </w:t>
            </w:r>
          </w:p>
          <w:p w:rsidR="00E96F9C" w:rsidRPr="0039268C" w:rsidRDefault="00E96F9C" w:rsidP="00C23FBA">
            <w:pPr>
              <w:spacing w:line="360" w:lineRule="auto"/>
              <w:jc w:val="both"/>
              <w:rPr>
                <w:rFonts w:ascii="Arial" w:hAnsi="Arial" w:cs="Arial"/>
                <w:sz w:val="16"/>
                <w:szCs w:val="16"/>
              </w:rPr>
            </w:pPr>
            <w:r w:rsidRPr="0039268C">
              <w:rPr>
                <w:rFonts w:ascii="Arial" w:hAnsi="Arial" w:cs="Arial"/>
                <w:sz w:val="16"/>
                <w:szCs w:val="16"/>
              </w:rPr>
              <w:t>II. prerušenie 07. 06. 2012  - odpoveď RO 18. 07. 2012</w:t>
            </w:r>
          </w:p>
        </w:tc>
        <w:tc>
          <w:tcPr>
            <w:tcW w:w="0" w:type="auto"/>
            <w:shd w:val="clear" w:color="auto" w:fill="EAF1DD"/>
            <w:vAlign w:val="center"/>
          </w:tcPr>
          <w:p w:rsidR="00E96F9C" w:rsidRPr="0039268C" w:rsidRDefault="00E96F9C" w:rsidP="00C23FBA">
            <w:pPr>
              <w:spacing w:line="360" w:lineRule="auto"/>
              <w:jc w:val="both"/>
              <w:rPr>
                <w:rFonts w:ascii="Arial" w:hAnsi="Arial" w:cs="Arial"/>
                <w:b/>
                <w:sz w:val="16"/>
                <w:szCs w:val="16"/>
              </w:rPr>
            </w:pPr>
            <w:r w:rsidRPr="0039268C">
              <w:rPr>
                <w:rFonts w:ascii="Arial" w:hAnsi="Arial" w:cs="Arial"/>
                <w:b/>
                <w:sz w:val="16"/>
                <w:szCs w:val="16"/>
              </w:rPr>
              <w:t>14. 11. 2012</w:t>
            </w:r>
          </w:p>
        </w:tc>
      </w:tr>
      <w:tr w:rsidR="00607533" w:rsidRPr="00EF5256" w:rsidTr="00607533">
        <w:trPr>
          <w:trHeight w:val="460"/>
          <w:jc w:val="center"/>
        </w:trPr>
        <w:tc>
          <w:tcPr>
            <w:tcW w:w="3566" w:type="dxa"/>
            <w:vAlign w:val="center"/>
          </w:tcPr>
          <w:p w:rsidR="00E96F9C" w:rsidRPr="0039268C" w:rsidRDefault="00E96F9C" w:rsidP="00C23FBA">
            <w:pPr>
              <w:spacing w:line="360" w:lineRule="auto"/>
              <w:jc w:val="both"/>
              <w:rPr>
                <w:rFonts w:ascii="Arial" w:hAnsi="Arial" w:cs="Arial"/>
                <w:sz w:val="16"/>
                <w:szCs w:val="16"/>
              </w:rPr>
            </w:pPr>
            <w:r w:rsidRPr="0039268C">
              <w:rPr>
                <w:rFonts w:ascii="Arial" w:hAnsi="Arial" w:cs="Arial"/>
                <w:sz w:val="16"/>
                <w:szCs w:val="16"/>
              </w:rPr>
              <w:t>Prievidza – sústava na odkanalizovanie a čistenie odpadových vôd</w:t>
            </w:r>
          </w:p>
        </w:tc>
        <w:tc>
          <w:tcPr>
            <w:tcW w:w="0" w:type="auto"/>
            <w:vAlign w:val="center"/>
          </w:tcPr>
          <w:p w:rsidR="00E96F9C" w:rsidRPr="0039268C" w:rsidRDefault="00E96F9C" w:rsidP="00C23FBA">
            <w:pPr>
              <w:spacing w:line="360" w:lineRule="auto"/>
              <w:jc w:val="both"/>
              <w:rPr>
                <w:rFonts w:ascii="Arial" w:hAnsi="Arial" w:cs="Arial"/>
                <w:sz w:val="16"/>
                <w:szCs w:val="16"/>
              </w:rPr>
            </w:pPr>
            <w:r w:rsidRPr="0039268C">
              <w:rPr>
                <w:rFonts w:ascii="Arial" w:hAnsi="Arial" w:cs="Arial"/>
                <w:sz w:val="16"/>
                <w:szCs w:val="16"/>
              </w:rPr>
              <w:t>StVS, a.s.</w:t>
            </w:r>
          </w:p>
        </w:tc>
        <w:tc>
          <w:tcPr>
            <w:tcW w:w="1347" w:type="dxa"/>
            <w:vAlign w:val="center"/>
          </w:tcPr>
          <w:p w:rsidR="00E96F9C" w:rsidRPr="0039268C" w:rsidRDefault="00E96F9C" w:rsidP="00C23FBA">
            <w:pPr>
              <w:spacing w:line="360" w:lineRule="auto"/>
              <w:jc w:val="both"/>
              <w:rPr>
                <w:rFonts w:ascii="Arial" w:hAnsi="Arial" w:cs="Arial"/>
                <w:sz w:val="16"/>
                <w:szCs w:val="16"/>
              </w:rPr>
            </w:pPr>
            <w:r w:rsidRPr="0039268C">
              <w:rPr>
                <w:rFonts w:ascii="Arial" w:hAnsi="Arial" w:cs="Arial"/>
                <w:sz w:val="16"/>
                <w:szCs w:val="16"/>
              </w:rPr>
              <w:t>29. 04. 2011</w:t>
            </w:r>
          </w:p>
        </w:tc>
        <w:tc>
          <w:tcPr>
            <w:tcW w:w="0" w:type="auto"/>
            <w:vAlign w:val="center"/>
          </w:tcPr>
          <w:p w:rsidR="00E96F9C" w:rsidRPr="0039268C" w:rsidRDefault="00E96F9C" w:rsidP="00C23FBA">
            <w:pPr>
              <w:spacing w:line="360" w:lineRule="auto"/>
              <w:jc w:val="both"/>
              <w:rPr>
                <w:rFonts w:ascii="Arial" w:hAnsi="Arial" w:cs="Arial"/>
                <w:sz w:val="16"/>
                <w:szCs w:val="16"/>
              </w:rPr>
            </w:pPr>
            <w:r w:rsidRPr="0039268C">
              <w:rPr>
                <w:rFonts w:ascii="Arial" w:hAnsi="Arial" w:cs="Arial"/>
                <w:sz w:val="16"/>
                <w:szCs w:val="16"/>
              </w:rPr>
              <w:t>I. prerušenie 19. 10. 2011 – odpoveď RO 16. 01. 2012</w:t>
            </w:r>
          </w:p>
          <w:p w:rsidR="00E96F9C" w:rsidRPr="0039268C" w:rsidRDefault="00E96F9C" w:rsidP="00C23FBA">
            <w:pPr>
              <w:spacing w:line="360" w:lineRule="auto"/>
              <w:jc w:val="both"/>
              <w:rPr>
                <w:rFonts w:ascii="Arial" w:hAnsi="Arial" w:cs="Arial"/>
                <w:sz w:val="16"/>
                <w:szCs w:val="16"/>
              </w:rPr>
            </w:pPr>
            <w:r w:rsidRPr="0039268C">
              <w:rPr>
                <w:rFonts w:ascii="Arial" w:hAnsi="Arial" w:cs="Arial"/>
                <w:sz w:val="16"/>
                <w:szCs w:val="16"/>
              </w:rPr>
              <w:t xml:space="preserve">II. prerušenie 12. 07. 2012  </w:t>
            </w:r>
          </w:p>
        </w:tc>
        <w:tc>
          <w:tcPr>
            <w:tcW w:w="0" w:type="auto"/>
            <w:shd w:val="clear" w:color="auto" w:fill="EAF1DD"/>
            <w:vAlign w:val="center"/>
          </w:tcPr>
          <w:p w:rsidR="00E96F9C" w:rsidRPr="0039268C" w:rsidRDefault="00E96F9C" w:rsidP="00C23FBA">
            <w:pPr>
              <w:spacing w:line="360" w:lineRule="auto"/>
              <w:jc w:val="both"/>
              <w:rPr>
                <w:rFonts w:ascii="Arial" w:hAnsi="Arial" w:cs="Arial"/>
                <w:sz w:val="16"/>
                <w:szCs w:val="16"/>
              </w:rPr>
            </w:pPr>
          </w:p>
        </w:tc>
      </w:tr>
      <w:tr w:rsidR="00607533" w:rsidRPr="00EF5256" w:rsidTr="00607533">
        <w:trPr>
          <w:trHeight w:val="460"/>
          <w:jc w:val="center"/>
        </w:trPr>
        <w:tc>
          <w:tcPr>
            <w:tcW w:w="3566" w:type="dxa"/>
            <w:vAlign w:val="center"/>
          </w:tcPr>
          <w:p w:rsidR="00E96F9C" w:rsidRPr="0039268C" w:rsidRDefault="00E96F9C" w:rsidP="00C23FBA">
            <w:pPr>
              <w:spacing w:line="360" w:lineRule="auto"/>
              <w:jc w:val="both"/>
              <w:rPr>
                <w:rFonts w:ascii="Arial" w:hAnsi="Arial" w:cs="Arial"/>
                <w:b/>
                <w:sz w:val="16"/>
                <w:szCs w:val="16"/>
              </w:rPr>
            </w:pPr>
            <w:r w:rsidRPr="0039268C">
              <w:rPr>
                <w:rFonts w:ascii="Arial" w:hAnsi="Arial" w:cs="Arial"/>
                <w:b/>
                <w:sz w:val="16"/>
                <w:szCs w:val="16"/>
              </w:rPr>
              <w:t>ČOV sever – Rekonštrukcia a intenzifikácia ČOV Bánovce nad Bebravou, Partizánske, Topoľčany</w:t>
            </w:r>
          </w:p>
        </w:tc>
        <w:tc>
          <w:tcPr>
            <w:tcW w:w="0" w:type="auto"/>
            <w:vAlign w:val="center"/>
          </w:tcPr>
          <w:p w:rsidR="00E96F9C" w:rsidRPr="0039268C" w:rsidRDefault="00E96F9C" w:rsidP="00C23FBA">
            <w:pPr>
              <w:spacing w:line="360" w:lineRule="auto"/>
              <w:jc w:val="both"/>
              <w:rPr>
                <w:rFonts w:ascii="Arial" w:hAnsi="Arial" w:cs="Arial"/>
                <w:sz w:val="16"/>
                <w:szCs w:val="16"/>
              </w:rPr>
            </w:pPr>
            <w:r w:rsidRPr="0039268C">
              <w:rPr>
                <w:rFonts w:ascii="Arial" w:hAnsi="Arial" w:cs="Arial"/>
                <w:sz w:val="16"/>
                <w:szCs w:val="16"/>
              </w:rPr>
              <w:t>ZsVS, a.s.</w:t>
            </w:r>
          </w:p>
        </w:tc>
        <w:tc>
          <w:tcPr>
            <w:tcW w:w="1347" w:type="dxa"/>
            <w:vAlign w:val="center"/>
          </w:tcPr>
          <w:p w:rsidR="00E96F9C" w:rsidRPr="0039268C" w:rsidRDefault="00E96F9C" w:rsidP="00C23FBA">
            <w:pPr>
              <w:spacing w:line="360" w:lineRule="auto"/>
              <w:jc w:val="both"/>
              <w:rPr>
                <w:rFonts w:ascii="Arial" w:hAnsi="Arial" w:cs="Arial"/>
                <w:sz w:val="16"/>
                <w:szCs w:val="16"/>
              </w:rPr>
            </w:pPr>
            <w:r w:rsidRPr="0039268C">
              <w:rPr>
                <w:rFonts w:ascii="Arial" w:hAnsi="Arial" w:cs="Arial"/>
                <w:sz w:val="16"/>
                <w:szCs w:val="16"/>
              </w:rPr>
              <w:t>10. 05. 2011</w:t>
            </w:r>
          </w:p>
        </w:tc>
        <w:tc>
          <w:tcPr>
            <w:tcW w:w="0" w:type="auto"/>
            <w:vAlign w:val="center"/>
          </w:tcPr>
          <w:p w:rsidR="00E96F9C" w:rsidRPr="0039268C" w:rsidRDefault="00E96F9C" w:rsidP="00C23FBA">
            <w:pPr>
              <w:spacing w:line="360" w:lineRule="auto"/>
              <w:jc w:val="both"/>
              <w:rPr>
                <w:rFonts w:ascii="Arial" w:hAnsi="Arial" w:cs="Arial"/>
                <w:sz w:val="16"/>
                <w:szCs w:val="16"/>
              </w:rPr>
            </w:pPr>
            <w:r w:rsidRPr="0039268C">
              <w:rPr>
                <w:rFonts w:ascii="Arial" w:hAnsi="Arial" w:cs="Arial"/>
                <w:sz w:val="16"/>
                <w:szCs w:val="16"/>
              </w:rPr>
              <w:t>I. prerušenie 03. 10. 2011 – odpoveď RO 21. 12. 2011</w:t>
            </w:r>
          </w:p>
          <w:p w:rsidR="00E96F9C" w:rsidRPr="0039268C" w:rsidRDefault="00E96F9C" w:rsidP="00C23FBA">
            <w:pPr>
              <w:spacing w:line="360" w:lineRule="auto"/>
              <w:jc w:val="both"/>
              <w:rPr>
                <w:rFonts w:ascii="Arial" w:hAnsi="Arial" w:cs="Arial"/>
                <w:sz w:val="16"/>
                <w:szCs w:val="16"/>
              </w:rPr>
            </w:pPr>
            <w:r w:rsidRPr="0039268C">
              <w:rPr>
                <w:rFonts w:ascii="Arial" w:hAnsi="Arial" w:cs="Arial"/>
                <w:sz w:val="16"/>
                <w:szCs w:val="16"/>
              </w:rPr>
              <w:t>II. prerušenie 21. 06. 2012  - odpoveď RO 26. 06. 2012</w:t>
            </w:r>
          </w:p>
        </w:tc>
        <w:tc>
          <w:tcPr>
            <w:tcW w:w="0" w:type="auto"/>
            <w:shd w:val="clear" w:color="auto" w:fill="EAF1DD"/>
            <w:vAlign w:val="center"/>
          </w:tcPr>
          <w:p w:rsidR="00E96F9C" w:rsidRPr="0039268C" w:rsidRDefault="00BA52A8" w:rsidP="00C23FBA">
            <w:pPr>
              <w:spacing w:line="360" w:lineRule="auto"/>
              <w:jc w:val="both"/>
              <w:rPr>
                <w:rFonts w:ascii="Arial" w:hAnsi="Arial" w:cs="Arial"/>
                <w:b/>
                <w:sz w:val="16"/>
                <w:szCs w:val="16"/>
              </w:rPr>
            </w:pPr>
            <w:r>
              <w:rPr>
                <w:rFonts w:ascii="Arial" w:hAnsi="Arial" w:cs="Arial"/>
                <w:b/>
                <w:sz w:val="16"/>
                <w:szCs w:val="16"/>
              </w:rPr>
              <w:t>0</w:t>
            </w:r>
            <w:r w:rsidR="00E96F9C" w:rsidRPr="0039268C">
              <w:rPr>
                <w:rFonts w:ascii="Arial" w:hAnsi="Arial" w:cs="Arial"/>
                <w:b/>
                <w:sz w:val="16"/>
                <w:szCs w:val="16"/>
              </w:rPr>
              <w:t>3.</w:t>
            </w:r>
            <w:r>
              <w:rPr>
                <w:rFonts w:ascii="Arial" w:hAnsi="Arial" w:cs="Arial"/>
                <w:b/>
                <w:sz w:val="16"/>
                <w:szCs w:val="16"/>
              </w:rPr>
              <w:t>0</w:t>
            </w:r>
            <w:r w:rsidR="00E96F9C" w:rsidRPr="0039268C">
              <w:rPr>
                <w:rFonts w:ascii="Arial" w:hAnsi="Arial" w:cs="Arial"/>
                <w:b/>
                <w:sz w:val="16"/>
                <w:szCs w:val="16"/>
              </w:rPr>
              <w:t>8.2012</w:t>
            </w:r>
          </w:p>
        </w:tc>
      </w:tr>
      <w:tr w:rsidR="00607533" w:rsidRPr="00EF5256" w:rsidTr="00607533">
        <w:trPr>
          <w:trHeight w:val="460"/>
          <w:jc w:val="center"/>
        </w:trPr>
        <w:tc>
          <w:tcPr>
            <w:tcW w:w="3566" w:type="dxa"/>
            <w:vAlign w:val="center"/>
          </w:tcPr>
          <w:p w:rsidR="00E96F9C" w:rsidRPr="0039268C" w:rsidRDefault="00E96F9C" w:rsidP="00C23FBA">
            <w:pPr>
              <w:spacing w:line="360" w:lineRule="auto"/>
              <w:jc w:val="both"/>
              <w:rPr>
                <w:rFonts w:ascii="Arial" w:hAnsi="Arial" w:cs="Arial"/>
                <w:sz w:val="16"/>
                <w:szCs w:val="16"/>
              </w:rPr>
            </w:pPr>
            <w:r w:rsidRPr="0039268C">
              <w:rPr>
                <w:rFonts w:ascii="Arial" w:hAnsi="Arial" w:cs="Arial"/>
                <w:sz w:val="16"/>
                <w:szCs w:val="16"/>
              </w:rPr>
              <w:t>Podunajsko – odkanalizovanie podunajskej časti bratislavského regiónu</w:t>
            </w:r>
          </w:p>
        </w:tc>
        <w:tc>
          <w:tcPr>
            <w:tcW w:w="0" w:type="auto"/>
            <w:vAlign w:val="center"/>
          </w:tcPr>
          <w:p w:rsidR="00E96F9C" w:rsidRPr="0039268C" w:rsidRDefault="00E96F9C" w:rsidP="00C23FBA">
            <w:pPr>
              <w:spacing w:line="360" w:lineRule="auto"/>
              <w:jc w:val="both"/>
              <w:rPr>
                <w:rFonts w:ascii="Arial" w:hAnsi="Arial" w:cs="Arial"/>
                <w:sz w:val="16"/>
                <w:szCs w:val="16"/>
              </w:rPr>
            </w:pPr>
            <w:r w:rsidRPr="0039268C">
              <w:rPr>
                <w:rFonts w:ascii="Arial" w:hAnsi="Arial" w:cs="Arial"/>
                <w:sz w:val="16"/>
                <w:szCs w:val="16"/>
              </w:rPr>
              <w:t>BVS, a.s.</w:t>
            </w:r>
          </w:p>
        </w:tc>
        <w:tc>
          <w:tcPr>
            <w:tcW w:w="1347" w:type="dxa"/>
            <w:vAlign w:val="center"/>
          </w:tcPr>
          <w:p w:rsidR="00E96F9C" w:rsidRPr="0039268C" w:rsidRDefault="00E96F9C" w:rsidP="00C23FBA">
            <w:pPr>
              <w:spacing w:line="360" w:lineRule="auto"/>
              <w:jc w:val="both"/>
              <w:rPr>
                <w:rFonts w:ascii="Arial" w:hAnsi="Arial" w:cs="Arial"/>
                <w:sz w:val="16"/>
                <w:szCs w:val="16"/>
              </w:rPr>
            </w:pPr>
            <w:r w:rsidRPr="0039268C">
              <w:rPr>
                <w:rFonts w:ascii="Arial" w:hAnsi="Arial" w:cs="Arial"/>
                <w:sz w:val="16"/>
                <w:szCs w:val="16"/>
              </w:rPr>
              <w:t>13. 10. 2011</w:t>
            </w:r>
          </w:p>
        </w:tc>
        <w:tc>
          <w:tcPr>
            <w:tcW w:w="0" w:type="auto"/>
            <w:vAlign w:val="center"/>
          </w:tcPr>
          <w:p w:rsidR="00E96F9C" w:rsidRPr="0039268C" w:rsidRDefault="00E96F9C" w:rsidP="00C23FBA">
            <w:pPr>
              <w:spacing w:line="360" w:lineRule="auto"/>
              <w:jc w:val="both"/>
              <w:rPr>
                <w:rFonts w:ascii="Arial" w:hAnsi="Arial" w:cs="Arial"/>
                <w:sz w:val="16"/>
                <w:szCs w:val="16"/>
              </w:rPr>
            </w:pPr>
            <w:r w:rsidRPr="0039268C">
              <w:rPr>
                <w:rFonts w:ascii="Arial" w:hAnsi="Arial" w:cs="Arial"/>
                <w:sz w:val="16"/>
                <w:szCs w:val="16"/>
              </w:rPr>
              <w:t>I. prerušenie 10. 02. 2012 – odpoveď RO 21. 03. 2012</w:t>
            </w:r>
          </w:p>
          <w:p w:rsidR="00E96F9C" w:rsidRPr="0039268C" w:rsidRDefault="00E96F9C" w:rsidP="00C23FBA">
            <w:pPr>
              <w:spacing w:line="360" w:lineRule="auto"/>
              <w:jc w:val="both"/>
              <w:rPr>
                <w:rFonts w:ascii="Arial" w:hAnsi="Arial" w:cs="Arial"/>
                <w:sz w:val="16"/>
                <w:szCs w:val="16"/>
              </w:rPr>
            </w:pPr>
            <w:r w:rsidRPr="0039268C">
              <w:rPr>
                <w:rFonts w:ascii="Arial" w:hAnsi="Arial" w:cs="Arial"/>
                <w:sz w:val="16"/>
                <w:szCs w:val="16"/>
              </w:rPr>
              <w:t>II. prerušenie 27. 06. 2012  - odpoveď RO 25. 09. 2012</w:t>
            </w:r>
          </w:p>
        </w:tc>
        <w:tc>
          <w:tcPr>
            <w:tcW w:w="0" w:type="auto"/>
            <w:shd w:val="clear" w:color="auto" w:fill="EAF1DD"/>
            <w:vAlign w:val="center"/>
          </w:tcPr>
          <w:p w:rsidR="00E96F9C" w:rsidRPr="0039268C" w:rsidRDefault="00E96F9C" w:rsidP="00C23FBA">
            <w:pPr>
              <w:spacing w:line="360" w:lineRule="auto"/>
              <w:jc w:val="both"/>
              <w:rPr>
                <w:rFonts w:ascii="Arial" w:hAnsi="Arial" w:cs="Arial"/>
                <w:sz w:val="16"/>
                <w:szCs w:val="16"/>
              </w:rPr>
            </w:pPr>
          </w:p>
        </w:tc>
      </w:tr>
      <w:tr w:rsidR="00607533" w:rsidRPr="00EF5256" w:rsidTr="00607533">
        <w:trPr>
          <w:trHeight w:val="460"/>
          <w:jc w:val="center"/>
        </w:trPr>
        <w:tc>
          <w:tcPr>
            <w:tcW w:w="3566" w:type="dxa"/>
            <w:vAlign w:val="center"/>
          </w:tcPr>
          <w:p w:rsidR="00E96F9C" w:rsidRPr="0039268C" w:rsidRDefault="00E96F9C" w:rsidP="00C23FBA">
            <w:pPr>
              <w:spacing w:line="360" w:lineRule="auto"/>
              <w:jc w:val="both"/>
              <w:rPr>
                <w:rFonts w:ascii="Arial" w:hAnsi="Arial" w:cs="Arial"/>
                <w:sz w:val="16"/>
                <w:szCs w:val="16"/>
              </w:rPr>
            </w:pPr>
            <w:r w:rsidRPr="0039268C">
              <w:rPr>
                <w:rFonts w:ascii="Arial" w:hAnsi="Arial" w:cs="Arial"/>
                <w:sz w:val="16"/>
                <w:szCs w:val="16"/>
              </w:rPr>
              <w:t>Zásobovanie pitnou vodou a odkanalizovanie obcí v mikroregióne Bodva</w:t>
            </w:r>
          </w:p>
        </w:tc>
        <w:tc>
          <w:tcPr>
            <w:tcW w:w="5195" w:type="dxa"/>
            <w:gridSpan w:val="3"/>
            <w:vAlign w:val="center"/>
          </w:tcPr>
          <w:p w:rsidR="00E96F9C" w:rsidRPr="0039268C" w:rsidRDefault="00E96F9C" w:rsidP="00C23FBA">
            <w:pPr>
              <w:spacing w:line="360" w:lineRule="auto"/>
              <w:jc w:val="both"/>
              <w:rPr>
                <w:rFonts w:ascii="Arial" w:hAnsi="Arial" w:cs="Arial"/>
                <w:sz w:val="16"/>
                <w:szCs w:val="16"/>
              </w:rPr>
            </w:pPr>
            <w:r w:rsidRPr="0039268C">
              <w:rPr>
                <w:rFonts w:ascii="Arial" w:hAnsi="Arial" w:cs="Arial"/>
                <w:sz w:val="16"/>
                <w:szCs w:val="16"/>
              </w:rPr>
              <w:t>Žiadateľ bol na stretnutí 13. 11. 2012 vyzvaný na predloženie ŽoNFP</w:t>
            </w:r>
          </w:p>
        </w:tc>
        <w:tc>
          <w:tcPr>
            <w:tcW w:w="0" w:type="auto"/>
            <w:shd w:val="clear" w:color="auto" w:fill="EAF1DD"/>
            <w:vAlign w:val="center"/>
          </w:tcPr>
          <w:p w:rsidR="00E96F9C" w:rsidRPr="0039268C" w:rsidRDefault="00E96F9C" w:rsidP="00C23FBA">
            <w:pPr>
              <w:spacing w:line="360" w:lineRule="auto"/>
              <w:jc w:val="both"/>
              <w:rPr>
                <w:rFonts w:ascii="Arial" w:hAnsi="Arial" w:cs="Arial"/>
                <w:sz w:val="16"/>
                <w:szCs w:val="16"/>
              </w:rPr>
            </w:pPr>
          </w:p>
        </w:tc>
      </w:tr>
      <w:tr w:rsidR="00607533" w:rsidRPr="00EF5256" w:rsidTr="00607533">
        <w:trPr>
          <w:trHeight w:val="460"/>
          <w:jc w:val="center"/>
        </w:trPr>
        <w:tc>
          <w:tcPr>
            <w:tcW w:w="3566" w:type="dxa"/>
            <w:vAlign w:val="center"/>
          </w:tcPr>
          <w:p w:rsidR="00E96F9C" w:rsidRPr="0039268C" w:rsidRDefault="00E96F9C" w:rsidP="00C23FBA">
            <w:pPr>
              <w:spacing w:line="360" w:lineRule="auto"/>
              <w:jc w:val="both"/>
              <w:rPr>
                <w:rFonts w:ascii="Arial" w:hAnsi="Arial" w:cs="Arial"/>
                <w:sz w:val="16"/>
                <w:szCs w:val="16"/>
              </w:rPr>
            </w:pPr>
            <w:r w:rsidRPr="0039268C">
              <w:rPr>
                <w:rFonts w:ascii="Arial" w:hAnsi="Arial" w:cs="Arial"/>
                <w:sz w:val="16"/>
                <w:szCs w:val="16"/>
              </w:rPr>
              <w:t xml:space="preserve">Zásobovanie vodou, odkanalizovanie a čistenie odpadových vôd okresu Bytča </w:t>
            </w:r>
          </w:p>
        </w:tc>
        <w:tc>
          <w:tcPr>
            <w:tcW w:w="5195" w:type="dxa"/>
            <w:gridSpan w:val="3"/>
            <w:vAlign w:val="center"/>
          </w:tcPr>
          <w:p w:rsidR="00E96F9C" w:rsidRPr="0039268C" w:rsidRDefault="00E96F9C" w:rsidP="00C23FBA">
            <w:pPr>
              <w:spacing w:line="360" w:lineRule="auto"/>
              <w:jc w:val="both"/>
              <w:rPr>
                <w:rFonts w:ascii="Arial" w:hAnsi="Arial" w:cs="Arial"/>
                <w:sz w:val="16"/>
                <w:szCs w:val="16"/>
              </w:rPr>
            </w:pPr>
            <w:r w:rsidRPr="0039268C">
              <w:rPr>
                <w:rFonts w:ascii="Arial" w:hAnsi="Arial" w:cs="Arial"/>
                <w:sz w:val="16"/>
                <w:szCs w:val="16"/>
              </w:rPr>
              <w:t>Žiadateľ bol na stretnutí 09. 11. 2012 vyzvaný na predloženie ŽoNFP.</w:t>
            </w:r>
          </w:p>
        </w:tc>
        <w:tc>
          <w:tcPr>
            <w:tcW w:w="0" w:type="auto"/>
            <w:shd w:val="clear" w:color="auto" w:fill="EAF1DD"/>
            <w:vAlign w:val="center"/>
          </w:tcPr>
          <w:p w:rsidR="00E96F9C" w:rsidRPr="0039268C" w:rsidRDefault="00E96F9C" w:rsidP="00C23FBA">
            <w:pPr>
              <w:spacing w:line="360" w:lineRule="auto"/>
              <w:jc w:val="both"/>
              <w:rPr>
                <w:rFonts w:ascii="Arial" w:hAnsi="Arial" w:cs="Arial"/>
                <w:sz w:val="16"/>
                <w:szCs w:val="16"/>
              </w:rPr>
            </w:pPr>
          </w:p>
        </w:tc>
      </w:tr>
    </w:tbl>
    <w:p w:rsidR="002416B1" w:rsidRPr="001B682C" w:rsidRDefault="002416B1" w:rsidP="00C23FBA">
      <w:pPr>
        <w:spacing w:line="360" w:lineRule="auto"/>
        <w:jc w:val="both"/>
        <w:rPr>
          <w:rFonts w:ascii="Arial" w:hAnsi="Arial" w:cs="Arial"/>
          <w:sz w:val="18"/>
          <w:szCs w:val="18"/>
        </w:rPr>
      </w:pPr>
      <w:r w:rsidRPr="001B682C">
        <w:rPr>
          <w:rFonts w:ascii="Arial" w:hAnsi="Arial" w:cs="Arial"/>
          <w:sz w:val="18"/>
          <w:szCs w:val="18"/>
        </w:rPr>
        <w:t>Zdroj: RO</w:t>
      </w:r>
    </w:p>
    <w:p w:rsidR="003207A0" w:rsidRPr="003207A0" w:rsidRDefault="003207A0" w:rsidP="00507035">
      <w:pPr>
        <w:spacing w:before="120" w:after="120" w:line="360" w:lineRule="auto"/>
        <w:jc w:val="both"/>
        <w:rPr>
          <w:rFonts w:ascii="Arial" w:hAnsi="Arial" w:cs="Arial"/>
          <w:sz w:val="20"/>
          <w:szCs w:val="20"/>
        </w:rPr>
      </w:pPr>
      <w:r w:rsidRPr="003207A0">
        <w:rPr>
          <w:rFonts w:ascii="Arial" w:hAnsi="Arial" w:cs="Arial"/>
          <w:sz w:val="20"/>
          <w:szCs w:val="20"/>
        </w:rPr>
        <w:t xml:space="preserve">U všetkých 9 veľkých projektov bola úspešne ukončená fáza prípravy, t.j. boli schválené štúdie uskutočniteľnosti a návrhy žiadostí o potvrdenie pomoci. Pre 7 veľkých projektov boli predložené žiadosti o NFP, ktoré splnili podmienky poskytnutia pomoci a príslušné žiadosti o potvrdenie pomoci boli zaslané na schválenie Európskej komisii. Zo zaslaných žiadostí o potvrdenie pomoci bolo 5 schválených (Ružomberok, Ilava, Trenčín, ČOV sever a Orava 2.etapa) a 2 žiadosti sú </w:t>
      </w:r>
      <w:r>
        <w:rPr>
          <w:rFonts w:ascii="Arial" w:hAnsi="Arial" w:cs="Arial"/>
          <w:sz w:val="20"/>
          <w:szCs w:val="20"/>
        </w:rPr>
        <w:t xml:space="preserve">k 31.12.2012 </w:t>
      </w:r>
      <w:r w:rsidRPr="003207A0">
        <w:rPr>
          <w:rFonts w:ascii="Arial" w:hAnsi="Arial" w:cs="Arial"/>
          <w:sz w:val="20"/>
          <w:szCs w:val="20"/>
        </w:rPr>
        <w:t>v procese posudzovania (Podunajsko a Prievidza).</w:t>
      </w:r>
    </w:p>
    <w:p w:rsidR="003207A0" w:rsidRDefault="003207A0" w:rsidP="00507035">
      <w:pPr>
        <w:spacing w:before="120" w:after="120" w:line="360" w:lineRule="auto"/>
        <w:jc w:val="both"/>
        <w:rPr>
          <w:rFonts w:ascii="Arial" w:hAnsi="Arial" w:cs="Arial"/>
          <w:sz w:val="20"/>
          <w:szCs w:val="20"/>
        </w:rPr>
      </w:pPr>
      <w:r w:rsidRPr="003207A0">
        <w:rPr>
          <w:rFonts w:ascii="Arial" w:hAnsi="Arial" w:cs="Arial"/>
          <w:sz w:val="20"/>
          <w:szCs w:val="20"/>
        </w:rPr>
        <w:t>Pri projektoch „Zásobovanie vodou, odkanalizovanie a čistenie odpadových vôd okresu Bytča“ a „Zásobovanie pitnou vodou a odkanalizovanie obcí v mikroregióne Bodva“ boli žiadatelia vyzvaní na predloženie žiadostí o NFP. V prípade splnenia všetkých podmienok poskytnutia pomoci budú príslušné žiadosti o potvrdenie pomoci zaslané Európskej komisii na posúdenie.</w:t>
      </w:r>
    </w:p>
    <w:p w:rsidR="002416B1" w:rsidRPr="004B33AE" w:rsidRDefault="002416B1" w:rsidP="00507035">
      <w:pPr>
        <w:spacing w:before="120" w:after="120" w:line="360" w:lineRule="auto"/>
        <w:jc w:val="both"/>
        <w:rPr>
          <w:rFonts w:ascii="Arial" w:hAnsi="Arial" w:cs="Arial"/>
          <w:b/>
          <w:bCs/>
          <w:sz w:val="20"/>
          <w:szCs w:val="20"/>
        </w:rPr>
      </w:pPr>
      <w:r w:rsidRPr="00550F10">
        <w:rPr>
          <w:rFonts w:ascii="Arial" w:hAnsi="Arial" w:cs="Arial"/>
          <w:sz w:val="20"/>
          <w:szCs w:val="20"/>
        </w:rPr>
        <w:t xml:space="preserve">Podrobnejší popis stavu implementácie jednotlivých veľkých projektov aktualizovaný na základe schválenej dokumentácie je uvedený </w:t>
      </w:r>
      <w:r w:rsidRPr="003A15BA">
        <w:rPr>
          <w:rFonts w:ascii="Arial" w:hAnsi="Arial" w:cs="Arial"/>
          <w:sz w:val="20"/>
          <w:szCs w:val="20"/>
        </w:rPr>
        <w:t>v Prílohe č.</w:t>
      </w:r>
      <w:r w:rsidRPr="006A2BF3">
        <w:rPr>
          <w:rFonts w:ascii="Arial" w:hAnsi="Arial" w:cs="Arial"/>
          <w:sz w:val="20"/>
          <w:szCs w:val="20"/>
        </w:rPr>
        <w:t>8</w:t>
      </w:r>
      <w:r w:rsidRPr="003A15BA">
        <w:rPr>
          <w:rFonts w:ascii="Arial" w:hAnsi="Arial" w:cs="Arial"/>
          <w:bCs/>
          <w:sz w:val="20"/>
          <w:szCs w:val="20"/>
        </w:rPr>
        <w:t>.</w:t>
      </w:r>
    </w:p>
    <w:p w:rsidR="002416B1" w:rsidRPr="004B33AE" w:rsidRDefault="002416B1" w:rsidP="00507035">
      <w:pPr>
        <w:spacing w:before="120" w:after="120" w:line="360" w:lineRule="auto"/>
        <w:jc w:val="both"/>
        <w:rPr>
          <w:rFonts w:ascii="Arial" w:hAnsi="Arial" w:cs="Arial"/>
          <w:sz w:val="20"/>
          <w:szCs w:val="20"/>
        </w:rPr>
      </w:pPr>
      <w:r w:rsidRPr="004B33AE">
        <w:rPr>
          <w:rFonts w:ascii="Arial" w:hAnsi="Arial" w:cs="Arial"/>
          <w:i/>
          <w:sz w:val="20"/>
          <w:szCs w:val="20"/>
          <w:u w:val="single"/>
        </w:rPr>
        <w:t>Na asistenciu pri príprave žiadostí o nenávratný finančný príspevok pre veľké projekty je využívaná iniciatíva JASPERS</w:t>
      </w:r>
      <w:r w:rsidRPr="004B33AE">
        <w:rPr>
          <w:rFonts w:ascii="Arial" w:hAnsi="Arial" w:cs="Arial"/>
          <w:sz w:val="20"/>
          <w:szCs w:val="20"/>
        </w:rPr>
        <w:t xml:space="preserve"> (Joint Assistance to Support Projects in European Regions), ktorá je hlavnou spoločnou iniciatívou Európskej investičnej banky (EIB), Európskej komisie (DG REGIO) a Európskej banky pre obnovu a rozvoj (EBRD), ktorej základným cieľom je podpora členských štátov EÚ, predovšetkým nových členských štátov v strednej a východnej Európe, pri čerpaní prostriedkov štrukturálnych fondov a Kohézneho fondu v programovom období 2007-2013.</w:t>
      </w:r>
    </w:p>
    <w:p w:rsidR="00E96F9C" w:rsidRPr="00E96F9C" w:rsidRDefault="00E96F9C" w:rsidP="00507035">
      <w:pPr>
        <w:spacing w:before="120" w:after="120" w:line="360" w:lineRule="auto"/>
        <w:jc w:val="both"/>
        <w:rPr>
          <w:rFonts w:ascii="Arial" w:hAnsi="Arial" w:cs="Arial"/>
          <w:sz w:val="20"/>
          <w:szCs w:val="20"/>
        </w:rPr>
      </w:pPr>
      <w:r w:rsidRPr="00E96F9C">
        <w:rPr>
          <w:rFonts w:ascii="Arial" w:hAnsi="Arial" w:cs="Arial"/>
          <w:sz w:val="20"/>
          <w:szCs w:val="20"/>
        </w:rPr>
        <w:t>Akčný plán JASPERS na rok 2012, v ktorom boli zaradené 2 veľké projekty (Bytča a Bodva), bol podpísaný dňa 0</w:t>
      </w:r>
      <w:r>
        <w:rPr>
          <w:rFonts w:ascii="Arial" w:hAnsi="Arial" w:cs="Arial"/>
          <w:sz w:val="20"/>
          <w:szCs w:val="20"/>
        </w:rPr>
        <w:t>8.</w:t>
      </w:r>
      <w:r w:rsidRPr="00E96F9C">
        <w:rPr>
          <w:rFonts w:ascii="Arial" w:hAnsi="Arial" w:cs="Arial"/>
          <w:sz w:val="20"/>
          <w:szCs w:val="20"/>
        </w:rPr>
        <w:t>0</w:t>
      </w:r>
      <w:r>
        <w:rPr>
          <w:rFonts w:ascii="Arial" w:hAnsi="Arial" w:cs="Arial"/>
          <w:sz w:val="20"/>
          <w:szCs w:val="20"/>
        </w:rPr>
        <w:t>3.</w:t>
      </w:r>
      <w:r w:rsidRPr="00E96F9C">
        <w:rPr>
          <w:rFonts w:ascii="Arial" w:hAnsi="Arial" w:cs="Arial"/>
          <w:sz w:val="20"/>
          <w:szCs w:val="20"/>
        </w:rPr>
        <w:t xml:space="preserve">2012. </w:t>
      </w:r>
    </w:p>
    <w:p w:rsidR="002416B1" w:rsidRPr="00344077" w:rsidRDefault="00E96F9C" w:rsidP="00507035">
      <w:pPr>
        <w:spacing w:before="120" w:after="120" w:line="360" w:lineRule="auto"/>
        <w:jc w:val="both"/>
        <w:rPr>
          <w:rFonts w:ascii="Arial" w:hAnsi="Arial" w:cs="Arial"/>
          <w:sz w:val="20"/>
          <w:szCs w:val="20"/>
        </w:rPr>
      </w:pPr>
      <w:r w:rsidRPr="00E96F9C">
        <w:rPr>
          <w:rFonts w:ascii="Arial" w:hAnsi="Arial" w:cs="Arial"/>
          <w:sz w:val="20"/>
          <w:szCs w:val="20"/>
        </w:rPr>
        <w:t>V priebehu roka 2012 sa uskutočnili stretnutia zástupcov iniciatívy JASPERS, RO a zástupcov RO z členských krajín EÚ (ČR, HU, PL), ktorých cieľom bola výmena skúseností z prípravy a schvaľovania veľkých projektov v súčasnom programovom období a príprava na nasledujúce programové obdobie.</w:t>
      </w:r>
    </w:p>
    <w:p w:rsidR="002416B1" w:rsidRPr="004B33AE" w:rsidRDefault="002416B1" w:rsidP="00507035">
      <w:pPr>
        <w:spacing w:before="120" w:after="120" w:line="360" w:lineRule="auto"/>
        <w:jc w:val="both"/>
        <w:rPr>
          <w:rFonts w:ascii="Arial" w:hAnsi="Arial" w:cs="Arial"/>
          <w:sz w:val="20"/>
          <w:szCs w:val="20"/>
        </w:rPr>
      </w:pPr>
      <w:r w:rsidRPr="004B33AE">
        <w:rPr>
          <w:rFonts w:ascii="Arial" w:hAnsi="Arial" w:cs="Arial"/>
          <w:sz w:val="20"/>
          <w:szCs w:val="20"/>
        </w:rPr>
        <w:t>Realizácia veľkých projektov v rámci OP ŽP ako finančného zdroja taktiež pre skvalitnenie vodohospodárskej infraštruktúry prispeje k zabezpečeniu bezproblémového zásobovania obyvateľov kvalitnou pitnou vodou a k efektívnemu zneškodňovaniu odpadových vôd bez negatívnych dopadov na životné prostredie. Bezpečné odvádzanie a čistenie odpadových vôd je jedným z významných faktorov ochrany vôd pred znečistením smerujúcim k naplneniu cieľa Rámcovej smernice o vode dosiahnuť dobrý ekologický stav vôd do roku 2015.</w:t>
      </w:r>
    </w:p>
    <w:p w:rsidR="002416B1" w:rsidRPr="004B33AE" w:rsidRDefault="002416B1" w:rsidP="00507035">
      <w:pPr>
        <w:spacing w:before="120" w:after="120" w:line="360" w:lineRule="auto"/>
        <w:jc w:val="both"/>
        <w:rPr>
          <w:rFonts w:ascii="Arial" w:hAnsi="Arial" w:cs="Arial"/>
          <w:sz w:val="20"/>
          <w:szCs w:val="20"/>
        </w:rPr>
      </w:pPr>
      <w:r w:rsidRPr="004B33AE">
        <w:rPr>
          <w:rFonts w:ascii="Arial" w:hAnsi="Arial" w:cs="Arial"/>
          <w:sz w:val="20"/>
          <w:szCs w:val="20"/>
        </w:rPr>
        <w:t xml:space="preserve">Veľké projekty predstavujú taktiež významný článok pri napĺňaní záväzkov SR vyplývajúcich zo Zmluvy o pristúpení k EÚ, t.j. stanovených prechodných období na implementáciu smernice Rady 91/271/EHS o čistení komunálnych odpadových vôd. Naplnenie uvedených cieľov a záväzkov SR bolo premietnuté do strategických dokumentov ako Národný program Slovenskej republiky pre vykonávanie smernice Rady 91/271/EHS z 21. mája 1991 o čistení komunálnych odpadových vôd v znení smernice Komisie 98/15/ES a nariadenia Európskeho parlamentu a Rady 1882/2003/ES, Plán rozvoja verejných vodovodov a verejných kanalizácií pre územie Slovenskej republiky a Vodný plán Slovenska, ktoré sú východiskovými dokumentmi pri napĺňaní operačných cieľov 1.1 a 1.2 OP ŽP. </w:t>
      </w:r>
    </w:p>
    <w:p w:rsidR="002416B1" w:rsidRPr="004B33AE" w:rsidRDefault="002416B1" w:rsidP="00507035">
      <w:pPr>
        <w:spacing w:before="120" w:after="120" w:line="360" w:lineRule="auto"/>
        <w:jc w:val="both"/>
        <w:rPr>
          <w:rFonts w:ascii="Arial" w:hAnsi="Arial" w:cs="Arial"/>
          <w:sz w:val="20"/>
          <w:szCs w:val="20"/>
        </w:rPr>
      </w:pPr>
      <w:r w:rsidRPr="004B33AE">
        <w:rPr>
          <w:rFonts w:ascii="Arial" w:hAnsi="Arial" w:cs="Arial"/>
          <w:sz w:val="20"/>
          <w:szCs w:val="20"/>
        </w:rPr>
        <w:t xml:space="preserve">Stav napĺňania jednotlivých cieľov, a tým plnenia vyššie uvedených priorít bude monitorovaný prostredníctvom napĺňania relevantných ukazovateľov projektu počas jeho samotnej implementácie ako aj k termínu ukončenia. Prehľad hodnôt ukazovateľov, ktoré sa plánujú dosiahnuť realizáciou veľkých projektov je uvedený </w:t>
      </w:r>
      <w:r w:rsidRPr="003A15BA">
        <w:rPr>
          <w:rFonts w:ascii="Arial" w:hAnsi="Arial" w:cs="Arial"/>
          <w:sz w:val="20"/>
          <w:szCs w:val="20"/>
        </w:rPr>
        <w:t xml:space="preserve">v Prílohe č. </w:t>
      </w:r>
      <w:r w:rsidRPr="006A2BF3">
        <w:rPr>
          <w:rFonts w:ascii="Arial" w:hAnsi="Arial" w:cs="Arial"/>
          <w:sz w:val="20"/>
          <w:szCs w:val="20"/>
        </w:rPr>
        <w:t>8</w:t>
      </w:r>
      <w:r w:rsidRPr="004B33AE">
        <w:rPr>
          <w:rFonts w:ascii="Arial" w:hAnsi="Arial" w:cs="Arial"/>
          <w:sz w:val="20"/>
          <w:szCs w:val="20"/>
        </w:rPr>
        <w:t xml:space="preserve"> Stav implementácie veľkých projektov.</w:t>
      </w:r>
    </w:p>
    <w:p w:rsidR="002416B1" w:rsidRDefault="002416B1" w:rsidP="00507035">
      <w:pPr>
        <w:spacing w:before="120" w:after="120" w:line="360" w:lineRule="auto"/>
        <w:jc w:val="both"/>
        <w:rPr>
          <w:rFonts w:ascii="Arial" w:hAnsi="Arial" w:cs="Arial"/>
          <w:sz w:val="20"/>
          <w:szCs w:val="20"/>
        </w:rPr>
      </w:pPr>
      <w:r w:rsidRPr="004B33AE">
        <w:rPr>
          <w:rFonts w:ascii="Arial" w:hAnsi="Arial" w:cs="Arial"/>
          <w:sz w:val="20"/>
          <w:szCs w:val="20"/>
        </w:rPr>
        <w:t>Naplnením uvedených cieľov a záväzkov SR, ktoré sú premietnuté do uvedených strategických dokumentov, sa dosiahne predovšetkým zvýšená ochrana a zlepšenie stavu prírodných zdrojov vôd, vodných ekosystémov, komplexné riešenie ekologických a vodohospodárskych záujmov, zlepšenie zdravotného stavu obyvateľstva, čo v konečnom dôsledku bude mať pozitívny vplyv na samotný rozvoj regiónov a celej spoločnosti.</w:t>
      </w:r>
    </w:p>
    <w:p w:rsidR="002416B1" w:rsidRPr="004B33AE" w:rsidRDefault="002416B1" w:rsidP="00507035">
      <w:pPr>
        <w:pStyle w:val="Nadpis2"/>
        <w:spacing w:before="120" w:after="120"/>
        <w:jc w:val="both"/>
      </w:pPr>
      <w:bookmarkStart w:id="123" w:name="_Toc319573346"/>
      <w:r w:rsidRPr="004B33AE">
        <w:t>5.1 Environmentálne projekty s celkovými investičnými nákladmi prevyšujúcimi, alebo rovnajúcimi sa 25 miliónov EUR, alebo s nižšími až rovnajúcimi sa 50 miliónov EUR</w:t>
      </w:r>
      <w:bookmarkEnd w:id="123"/>
    </w:p>
    <w:p w:rsidR="002416B1" w:rsidRDefault="002416B1" w:rsidP="00507035">
      <w:pPr>
        <w:spacing w:before="120" w:after="120" w:line="360" w:lineRule="auto"/>
        <w:jc w:val="both"/>
        <w:rPr>
          <w:rFonts w:ascii="Arial" w:hAnsi="Arial" w:cs="Arial"/>
          <w:sz w:val="20"/>
          <w:szCs w:val="20"/>
        </w:rPr>
      </w:pPr>
      <w:r w:rsidRPr="004B33AE">
        <w:rPr>
          <w:rFonts w:ascii="Arial" w:hAnsi="Arial" w:cs="Arial"/>
          <w:sz w:val="20"/>
          <w:szCs w:val="20"/>
        </w:rPr>
        <w:t xml:space="preserve">Pri projektoch, u ktorých bola príprava ukončená z dôvodu zmeny hranice pre veľké projekty z 25 na 50 miliónov EUR </w:t>
      </w:r>
      <w:r>
        <w:rPr>
          <w:rFonts w:ascii="Arial" w:hAnsi="Arial" w:cs="Arial"/>
          <w:sz w:val="20"/>
          <w:szCs w:val="20"/>
        </w:rPr>
        <w:t>sú k 31.12.201</w:t>
      </w:r>
      <w:r w:rsidR="00B5218A">
        <w:rPr>
          <w:rFonts w:ascii="Arial" w:hAnsi="Arial" w:cs="Arial"/>
          <w:sz w:val="20"/>
          <w:szCs w:val="20"/>
        </w:rPr>
        <w:t>2</w:t>
      </w:r>
      <w:r>
        <w:rPr>
          <w:rFonts w:ascii="Arial" w:hAnsi="Arial" w:cs="Arial"/>
          <w:sz w:val="20"/>
          <w:szCs w:val="20"/>
        </w:rPr>
        <w:t xml:space="preserve"> implementované nasledovné projekty.</w:t>
      </w:r>
    </w:p>
    <w:p w:rsidR="002416B1" w:rsidRPr="00DE623A" w:rsidRDefault="002416B1" w:rsidP="000A02D3">
      <w:pPr>
        <w:spacing w:line="360" w:lineRule="auto"/>
        <w:jc w:val="both"/>
        <w:rPr>
          <w:rFonts w:ascii="Arial" w:hAnsi="Arial" w:cs="Arial"/>
          <w:sz w:val="20"/>
          <w:szCs w:val="20"/>
        </w:rPr>
      </w:pPr>
      <w:r>
        <w:rPr>
          <w:rFonts w:ascii="Arial" w:hAnsi="Arial" w:cs="Arial"/>
          <w:sz w:val="20"/>
          <w:szCs w:val="20"/>
        </w:rPr>
        <w:t xml:space="preserve">Tab. č. </w:t>
      </w:r>
      <w:r w:rsidR="00236377">
        <w:rPr>
          <w:rFonts w:ascii="Arial" w:hAnsi="Arial" w:cs="Arial"/>
          <w:sz w:val="20"/>
          <w:szCs w:val="20"/>
        </w:rPr>
        <w:t>8</w:t>
      </w:r>
      <w:r w:rsidR="00C63470">
        <w:rPr>
          <w:rFonts w:ascii="Arial" w:hAnsi="Arial" w:cs="Arial"/>
          <w:sz w:val="20"/>
          <w:szCs w:val="20"/>
        </w:rPr>
        <w:t>2</w:t>
      </w:r>
      <w:r>
        <w:rPr>
          <w:rFonts w:ascii="Arial" w:hAnsi="Arial" w:cs="Arial"/>
          <w:sz w:val="20"/>
          <w:szCs w:val="20"/>
        </w:rPr>
        <w:t>: Stav implementácie projektov k 31.12.201</w:t>
      </w:r>
      <w:r w:rsidR="00B5218A">
        <w:rPr>
          <w:rFonts w:ascii="Arial" w:hAnsi="Arial" w:cs="Arial"/>
          <w:sz w:val="20"/>
          <w:szCs w:val="20"/>
        </w:rPr>
        <w:t>2</w:t>
      </w:r>
      <w:r w:rsidRPr="00DE623A">
        <w:rPr>
          <w:rFonts w:ascii="Arial" w:hAnsi="Arial" w:cs="Arial"/>
          <w:sz w:val="20"/>
          <w:szCs w:val="20"/>
        </w:rPr>
        <w:t xml:space="preserve"> </w:t>
      </w:r>
    </w:p>
    <w:tbl>
      <w:tblPr>
        <w:tblW w:w="0" w:type="auto"/>
        <w:tblInd w:w="55" w:type="dxa"/>
        <w:tblLayout w:type="fixed"/>
        <w:tblCellMar>
          <w:left w:w="70" w:type="dxa"/>
          <w:right w:w="70" w:type="dxa"/>
        </w:tblCellMar>
        <w:tblLook w:val="04A0" w:firstRow="1" w:lastRow="0" w:firstColumn="1" w:lastColumn="0" w:noHBand="0" w:noVBand="1"/>
      </w:tblPr>
      <w:tblGrid>
        <w:gridCol w:w="1830"/>
        <w:gridCol w:w="6549"/>
      </w:tblGrid>
      <w:tr w:rsidR="00B5218A" w:rsidRPr="00B5218A" w:rsidTr="0039268C">
        <w:trPr>
          <w:trHeight w:val="315"/>
        </w:trPr>
        <w:tc>
          <w:tcPr>
            <w:tcW w:w="1830" w:type="dxa"/>
            <w:tcBorders>
              <w:top w:val="single" w:sz="4" w:space="0" w:color="auto"/>
              <w:left w:val="single" w:sz="4" w:space="0" w:color="auto"/>
              <w:bottom w:val="single" w:sz="4" w:space="0" w:color="auto"/>
              <w:right w:val="single" w:sz="4" w:space="0" w:color="auto"/>
            </w:tcBorders>
            <w:shd w:val="clear" w:color="auto" w:fill="D6E3BC"/>
            <w:vAlign w:val="center"/>
            <w:hideMark/>
          </w:tcPr>
          <w:p w:rsidR="00B5218A" w:rsidRPr="0039268C" w:rsidRDefault="00B5218A" w:rsidP="000A02D3">
            <w:pPr>
              <w:rPr>
                <w:rFonts w:ascii="Arial" w:hAnsi="Arial" w:cs="Arial"/>
                <w:sz w:val="18"/>
                <w:szCs w:val="18"/>
              </w:rPr>
            </w:pPr>
            <w:r w:rsidRPr="0039268C">
              <w:rPr>
                <w:rFonts w:ascii="Arial" w:hAnsi="Arial" w:cs="Arial"/>
                <w:sz w:val="18"/>
                <w:szCs w:val="18"/>
              </w:rPr>
              <w:t>Kód ITMS:</w:t>
            </w:r>
          </w:p>
        </w:tc>
        <w:tc>
          <w:tcPr>
            <w:tcW w:w="6549" w:type="dxa"/>
            <w:tcBorders>
              <w:top w:val="single" w:sz="4" w:space="0" w:color="auto"/>
              <w:left w:val="nil"/>
              <w:bottom w:val="single" w:sz="4" w:space="0" w:color="auto"/>
              <w:right w:val="single" w:sz="4" w:space="0" w:color="auto"/>
            </w:tcBorders>
            <w:shd w:val="clear" w:color="auto" w:fill="auto"/>
            <w:noWrap/>
            <w:vAlign w:val="center"/>
            <w:hideMark/>
          </w:tcPr>
          <w:p w:rsidR="00B5218A" w:rsidRPr="0039268C" w:rsidRDefault="00B5218A" w:rsidP="000A02D3">
            <w:pPr>
              <w:rPr>
                <w:rFonts w:ascii="Arial" w:hAnsi="Arial" w:cs="Arial"/>
                <w:i/>
                <w:iCs/>
                <w:sz w:val="18"/>
                <w:szCs w:val="18"/>
              </w:rPr>
            </w:pPr>
            <w:r w:rsidRPr="0039268C">
              <w:rPr>
                <w:rFonts w:ascii="Arial" w:hAnsi="Arial" w:cs="Arial"/>
                <w:i/>
                <w:iCs/>
                <w:sz w:val="18"/>
                <w:szCs w:val="18"/>
              </w:rPr>
              <w:t>24110110136</w:t>
            </w:r>
          </w:p>
        </w:tc>
      </w:tr>
      <w:tr w:rsidR="00B5218A" w:rsidRPr="00B5218A" w:rsidTr="0039268C">
        <w:trPr>
          <w:trHeight w:val="315"/>
        </w:trPr>
        <w:tc>
          <w:tcPr>
            <w:tcW w:w="1830" w:type="dxa"/>
            <w:tcBorders>
              <w:top w:val="single" w:sz="4" w:space="0" w:color="auto"/>
              <w:left w:val="single" w:sz="4" w:space="0" w:color="auto"/>
              <w:bottom w:val="single" w:sz="4" w:space="0" w:color="auto"/>
              <w:right w:val="single" w:sz="4" w:space="0" w:color="auto"/>
            </w:tcBorders>
            <w:shd w:val="clear" w:color="auto" w:fill="D6E3BC"/>
            <w:vAlign w:val="center"/>
            <w:hideMark/>
          </w:tcPr>
          <w:p w:rsidR="00B5218A" w:rsidRPr="0039268C" w:rsidRDefault="00B5218A" w:rsidP="000A02D3">
            <w:pPr>
              <w:rPr>
                <w:rFonts w:ascii="Arial" w:hAnsi="Arial" w:cs="Arial"/>
                <w:sz w:val="18"/>
                <w:szCs w:val="18"/>
              </w:rPr>
            </w:pPr>
            <w:r w:rsidRPr="0039268C">
              <w:rPr>
                <w:rFonts w:ascii="Arial" w:hAnsi="Arial" w:cs="Arial"/>
                <w:sz w:val="18"/>
                <w:szCs w:val="18"/>
              </w:rPr>
              <w:t>Názov projektu:</w:t>
            </w:r>
          </w:p>
        </w:tc>
        <w:tc>
          <w:tcPr>
            <w:tcW w:w="6549" w:type="dxa"/>
            <w:tcBorders>
              <w:top w:val="single" w:sz="4" w:space="0" w:color="auto"/>
              <w:left w:val="nil"/>
              <w:bottom w:val="single" w:sz="4" w:space="0" w:color="auto"/>
              <w:right w:val="single" w:sz="4" w:space="0" w:color="auto"/>
            </w:tcBorders>
            <w:shd w:val="clear" w:color="auto" w:fill="EAF1DD"/>
            <w:noWrap/>
            <w:vAlign w:val="center"/>
            <w:hideMark/>
          </w:tcPr>
          <w:p w:rsidR="00B5218A" w:rsidRPr="0039268C" w:rsidRDefault="00B5218A" w:rsidP="000A02D3">
            <w:pPr>
              <w:rPr>
                <w:rFonts w:ascii="Arial" w:hAnsi="Arial" w:cs="Arial"/>
                <w:i/>
                <w:iCs/>
                <w:sz w:val="18"/>
                <w:szCs w:val="18"/>
              </w:rPr>
            </w:pPr>
            <w:r w:rsidRPr="00B5218A">
              <w:rPr>
                <w:rFonts w:ascii="Arial" w:hAnsi="Arial" w:cs="Arial"/>
                <w:i/>
                <w:iCs/>
                <w:sz w:val="18"/>
                <w:szCs w:val="18"/>
              </w:rPr>
              <w:t>Kanalizácia a ČOV Zlaté Moravce</w:t>
            </w:r>
          </w:p>
        </w:tc>
      </w:tr>
      <w:tr w:rsidR="00B5218A" w:rsidRPr="00B5218A" w:rsidTr="0039268C">
        <w:trPr>
          <w:trHeight w:val="396"/>
        </w:trPr>
        <w:tc>
          <w:tcPr>
            <w:tcW w:w="1830" w:type="dxa"/>
            <w:tcBorders>
              <w:top w:val="single" w:sz="4" w:space="0" w:color="auto"/>
              <w:left w:val="single" w:sz="4" w:space="0" w:color="auto"/>
              <w:bottom w:val="single" w:sz="4" w:space="0" w:color="auto"/>
              <w:right w:val="single" w:sz="4" w:space="0" w:color="auto"/>
            </w:tcBorders>
            <w:shd w:val="clear" w:color="auto" w:fill="D6E3BC"/>
            <w:vAlign w:val="center"/>
            <w:hideMark/>
          </w:tcPr>
          <w:p w:rsidR="00B5218A" w:rsidRPr="0039268C" w:rsidRDefault="00B5218A" w:rsidP="000A02D3">
            <w:pPr>
              <w:rPr>
                <w:rFonts w:ascii="Arial" w:hAnsi="Arial" w:cs="Arial"/>
                <w:sz w:val="18"/>
                <w:szCs w:val="18"/>
              </w:rPr>
            </w:pPr>
            <w:r w:rsidRPr="0039268C">
              <w:rPr>
                <w:rFonts w:ascii="Arial" w:hAnsi="Arial" w:cs="Arial"/>
                <w:sz w:val="18"/>
                <w:szCs w:val="18"/>
              </w:rPr>
              <w:t xml:space="preserve">Prijímateľ: </w:t>
            </w:r>
          </w:p>
        </w:tc>
        <w:tc>
          <w:tcPr>
            <w:tcW w:w="6549" w:type="dxa"/>
            <w:tcBorders>
              <w:top w:val="nil"/>
              <w:left w:val="nil"/>
              <w:bottom w:val="single" w:sz="4" w:space="0" w:color="auto"/>
              <w:right w:val="single" w:sz="4" w:space="0" w:color="auto"/>
            </w:tcBorders>
            <w:shd w:val="clear" w:color="auto" w:fill="auto"/>
            <w:noWrap/>
            <w:vAlign w:val="center"/>
            <w:hideMark/>
          </w:tcPr>
          <w:p w:rsidR="00B5218A" w:rsidRPr="0039268C" w:rsidRDefault="00B5218A" w:rsidP="000A02D3">
            <w:pPr>
              <w:rPr>
                <w:rFonts w:ascii="Arial" w:hAnsi="Arial" w:cs="Arial"/>
                <w:i/>
                <w:iCs/>
                <w:sz w:val="18"/>
                <w:szCs w:val="18"/>
              </w:rPr>
            </w:pPr>
            <w:r w:rsidRPr="0039268C">
              <w:rPr>
                <w:rFonts w:ascii="Arial" w:hAnsi="Arial" w:cs="Arial"/>
                <w:i/>
                <w:iCs/>
                <w:sz w:val="18"/>
                <w:szCs w:val="18"/>
              </w:rPr>
              <w:t>ZsVS - Západoslovenská vodárenská spoločnosť  a.s.</w:t>
            </w:r>
          </w:p>
        </w:tc>
      </w:tr>
      <w:tr w:rsidR="00B5218A" w:rsidRPr="00B5218A" w:rsidTr="0039268C">
        <w:trPr>
          <w:trHeight w:val="558"/>
        </w:trPr>
        <w:tc>
          <w:tcPr>
            <w:tcW w:w="1830" w:type="dxa"/>
            <w:tcBorders>
              <w:top w:val="single" w:sz="4" w:space="0" w:color="auto"/>
              <w:left w:val="single" w:sz="4" w:space="0" w:color="auto"/>
              <w:bottom w:val="single" w:sz="4" w:space="0" w:color="auto"/>
              <w:right w:val="single" w:sz="4" w:space="0" w:color="auto"/>
            </w:tcBorders>
            <w:shd w:val="clear" w:color="auto" w:fill="D6E3BC"/>
            <w:vAlign w:val="center"/>
            <w:hideMark/>
          </w:tcPr>
          <w:p w:rsidR="00B5218A" w:rsidRPr="0039268C" w:rsidRDefault="00B5218A" w:rsidP="000A02D3">
            <w:pPr>
              <w:rPr>
                <w:rFonts w:ascii="Arial" w:hAnsi="Arial" w:cs="Arial"/>
                <w:sz w:val="18"/>
                <w:szCs w:val="18"/>
              </w:rPr>
            </w:pPr>
            <w:r w:rsidRPr="0039268C">
              <w:rPr>
                <w:rFonts w:ascii="Arial" w:hAnsi="Arial" w:cs="Arial"/>
                <w:sz w:val="18"/>
                <w:szCs w:val="18"/>
              </w:rPr>
              <w:t>Stav implementácie:</w:t>
            </w:r>
          </w:p>
        </w:tc>
        <w:tc>
          <w:tcPr>
            <w:tcW w:w="6549" w:type="dxa"/>
            <w:tcBorders>
              <w:top w:val="nil"/>
              <w:left w:val="nil"/>
              <w:bottom w:val="single" w:sz="4" w:space="0" w:color="auto"/>
              <w:right w:val="single" w:sz="4" w:space="0" w:color="auto"/>
            </w:tcBorders>
            <w:shd w:val="clear" w:color="auto" w:fill="auto"/>
            <w:noWrap/>
            <w:vAlign w:val="center"/>
            <w:hideMark/>
          </w:tcPr>
          <w:p w:rsidR="00B5218A" w:rsidRPr="0039268C" w:rsidRDefault="00B5218A" w:rsidP="000A02D3">
            <w:pPr>
              <w:rPr>
                <w:rFonts w:ascii="Arial" w:hAnsi="Arial" w:cs="Arial"/>
                <w:i/>
                <w:iCs/>
                <w:sz w:val="18"/>
                <w:szCs w:val="18"/>
              </w:rPr>
            </w:pPr>
            <w:r w:rsidRPr="0039268C">
              <w:rPr>
                <w:rFonts w:ascii="Arial" w:hAnsi="Arial" w:cs="Arial"/>
                <w:i/>
                <w:iCs/>
                <w:sz w:val="18"/>
                <w:szCs w:val="18"/>
              </w:rPr>
              <w:t>Projekt je v realizácii, momentálne prebieha proces výberu dodávateľa na stavebné práce.</w:t>
            </w:r>
          </w:p>
        </w:tc>
      </w:tr>
      <w:tr w:rsidR="00B5218A" w:rsidRPr="00B5218A" w:rsidTr="0039268C">
        <w:trPr>
          <w:trHeight w:val="405"/>
        </w:trPr>
        <w:tc>
          <w:tcPr>
            <w:tcW w:w="1830" w:type="dxa"/>
            <w:tcBorders>
              <w:top w:val="single" w:sz="4" w:space="0" w:color="auto"/>
              <w:left w:val="single" w:sz="4" w:space="0" w:color="auto"/>
              <w:bottom w:val="single" w:sz="4" w:space="0" w:color="auto"/>
              <w:right w:val="single" w:sz="4" w:space="0" w:color="auto"/>
            </w:tcBorders>
            <w:shd w:val="clear" w:color="auto" w:fill="D6E3BC"/>
            <w:vAlign w:val="center"/>
            <w:hideMark/>
          </w:tcPr>
          <w:p w:rsidR="00B5218A" w:rsidRPr="0039268C" w:rsidRDefault="00B5218A" w:rsidP="000A02D3">
            <w:pPr>
              <w:rPr>
                <w:rFonts w:ascii="Arial" w:hAnsi="Arial" w:cs="Arial"/>
                <w:sz w:val="18"/>
                <w:szCs w:val="18"/>
              </w:rPr>
            </w:pPr>
            <w:r w:rsidRPr="0039268C">
              <w:rPr>
                <w:rFonts w:ascii="Arial" w:hAnsi="Arial" w:cs="Arial"/>
                <w:sz w:val="18"/>
                <w:szCs w:val="18"/>
              </w:rPr>
              <w:t>Celkové oprávnené výdavky v €:</w:t>
            </w:r>
          </w:p>
        </w:tc>
        <w:tc>
          <w:tcPr>
            <w:tcW w:w="6549" w:type="dxa"/>
            <w:tcBorders>
              <w:top w:val="nil"/>
              <w:left w:val="nil"/>
              <w:bottom w:val="single" w:sz="4" w:space="0" w:color="auto"/>
              <w:right w:val="single" w:sz="4" w:space="0" w:color="auto"/>
            </w:tcBorders>
            <w:shd w:val="clear" w:color="auto" w:fill="auto"/>
            <w:vAlign w:val="center"/>
            <w:hideMark/>
          </w:tcPr>
          <w:p w:rsidR="00B5218A" w:rsidRPr="0039268C" w:rsidRDefault="00B5218A" w:rsidP="000A02D3">
            <w:pPr>
              <w:rPr>
                <w:rFonts w:ascii="Arial" w:hAnsi="Arial" w:cs="Arial"/>
                <w:i/>
                <w:iCs/>
                <w:sz w:val="18"/>
                <w:szCs w:val="18"/>
              </w:rPr>
            </w:pPr>
            <w:r w:rsidRPr="0039268C">
              <w:rPr>
                <w:rFonts w:ascii="Arial" w:hAnsi="Arial" w:cs="Arial"/>
                <w:i/>
                <w:iCs/>
                <w:sz w:val="18"/>
                <w:szCs w:val="18"/>
              </w:rPr>
              <w:t>17 878 224,67</w:t>
            </w:r>
          </w:p>
        </w:tc>
      </w:tr>
      <w:tr w:rsidR="00B5218A" w:rsidRPr="00B5218A" w:rsidTr="0039268C">
        <w:trPr>
          <w:trHeight w:val="308"/>
        </w:trPr>
        <w:tc>
          <w:tcPr>
            <w:tcW w:w="1830" w:type="dxa"/>
            <w:tcBorders>
              <w:top w:val="single" w:sz="4" w:space="0" w:color="auto"/>
              <w:left w:val="nil"/>
              <w:bottom w:val="single" w:sz="4" w:space="0" w:color="auto"/>
              <w:right w:val="nil"/>
            </w:tcBorders>
            <w:shd w:val="clear" w:color="auto" w:fill="auto"/>
            <w:vAlign w:val="center"/>
            <w:hideMark/>
          </w:tcPr>
          <w:p w:rsidR="00B5218A" w:rsidRPr="0039268C" w:rsidRDefault="00B5218A" w:rsidP="000A02D3">
            <w:pPr>
              <w:rPr>
                <w:rFonts w:ascii="Arial" w:hAnsi="Arial" w:cs="Arial"/>
                <w:sz w:val="18"/>
                <w:szCs w:val="18"/>
              </w:rPr>
            </w:pPr>
          </w:p>
        </w:tc>
        <w:tc>
          <w:tcPr>
            <w:tcW w:w="6549" w:type="dxa"/>
            <w:tcBorders>
              <w:top w:val="single" w:sz="4" w:space="0" w:color="auto"/>
              <w:left w:val="nil"/>
              <w:bottom w:val="single" w:sz="4" w:space="0" w:color="auto"/>
              <w:right w:val="nil"/>
            </w:tcBorders>
            <w:shd w:val="clear" w:color="auto" w:fill="auto"/>
            <w:vAlign w:val="center"/>
            <w:hideMark/>
          </w:tcPr>
          <w:p w:rsidR="00B5218A" w:rsidRPr="0039268C" w:rsidRDefault="00B5218A" w:rsidP="000A02D3">
            <w:pPr>
              <w:rPr>
                <w:rFonts w:ascii="Arial" w:hAnsi="Arial" w:cs="Arial"/>
                <w:sz w:val="18"/>
                <w:szCs w:val="18"/>
              </w:rPr>
            </w:pPr>
          </w:p>
        </w:tc>
      </w:tr>
      <w:tr w:rsidR="00B5218A" w:rsidRPr="00B5218A" w:rsidTr="0039268C">
        <w:trPr>
          <w:trHeight w:val="315"/>
        </w:trPr>
        <w:tc>
          <w:tcPr>
            <w:tcW w:w="1830" w:type="dxa"/>
            <w:tcBorders>
              <w:top w:val="single" w:sz="4" w:space="0" w:color="auto"/>
              <w:left w:val="single" w:sz="4" w:space="0" w:color="auto"/>
              <w:bottom w:val="single" w:sz="4" w:space="0" w:color="auto"/>
              <w:right w:val="single" w:sz="4" w:space="0" w:color="auto"/>
            </w:tcBorders>
            <w:shd w:val="clear" w:color="auto" w:fill="D6E3BC"/>
            <w:vAlign w:val="center"/>
            <w:hideMark/>
          </w:tcPr>
          <w:p w:rsidR="00B5218A" w:rsidRPr="0039268C" w:rsidRDefault="00B5218A" w:rsidP="000A02D3">
            <w:pPr>
              <w:rPr>
                <w:rFonts w:ascii="Arial" w:hAnsi="Arial" w:cs="Arial"/>
                <w:sz w:val="18"/>
                <w:szCs w:val="18"/>
              </w:rPr>
            </w:pPr>
            <w:r w:rsidRPr="0039268C">
              <w:rPr>
                <w:rFonts w:ascii="Arial" w:hAnsi="Arial" w:cs="Arial"/>
                <w:sz w:val="18"/>
                <w:szCs w:val="18"/>
              </w:rPr>
              <w:t>Kód ITMS:</w:t>
            </w:r>
          </w:p>
        </w:tc>
        <w:tc>
          <w:tcPr>
            <w:tcW w:w="6549" w:type="dxa"/>
            <w:tcBorders>
              <w:top w:val="single" w:sz="4" w:space="0" w:color="auto"/>
              <w:left w:val="nil"/>
              <w:bottom w:val="single" w:sz="4" w:space="0" w:color="auto"/>
              <w:right w:val="single" w:sz="4" w:space="0" w:color="auto"/>
            </w:tcBorders>
            <w:shd w:val="clear" w:color="auto" w:fill="auto"/>
            <w:noWrap/>
            <w:vAlign w:val="center"/>
            <w:hideMark/>
          </w:tcPr>
          <w:p w:rsidR="00B5218A" w:rsidRPr="0039268C" w:rsidRDefault="00B5218A" w:rsidP="000A02D3">
            <w:pPr>
              <w:rPr>
                <w:rFonts w:ascii="Arial" w:hAnsi="Arial" w:cs="Arial"/>
                <w:i/>
                <w:iCs/>
                <w:sz w:val="18"/>
                <w:szCs w:val="18"/>
              </w:rPr>
            </w:pPr>
            <w:r w:rsidRPr="0039268C">
              <w:rPr>
                <w:rFonts w:ascii="Arial" w:hAnsi="Arial" w:cs="Arial"/>
                <w:i/>
                <w:iCs/>
                <w:sz w:val="18"/>
                <w:szCs w:val="18"/>
              </w:rPr>
              <w:t>24110110135</w:t>
            </w:r>
          </w:p>
        </w:tc>
      </w:tr>
      <w:tr w:rsidR="00B5218A" w:rsidRPr="00B5218A" w:rsidTr="0039268C">
        <w:trPr>
          <w:trHeight w:val="315"/>
        </w:trPr>
        <w:tc>
          <w:tcPr>
            <w:tcW w:w="1830" w:type="dxa"/>
            <w:tcBorders>
              <w:top w:val="single" w:sz="4" w:space="0" w:color="auto"/>
              <w:left w:val="single" w:sz="4" w:space="0" w:color="auto"/>
              <w:bottom w:val="single" w:sz="4" w:space="0" w:color="auto"/>
              <w:right w:val="single" w:sz="4" w:space="0" w:color="auto"/>
            </w:tcBorders>
            <w:shd w:val="clear" w:color="auto" w:fill="D6E3BC"/>
            <w:vAlign w:val="center"/>
            <w:hideMark/>
          </w:tcPr>
          <w:p w:rsidR="00B5218A" w:rsidRPr="0039268C" w:rsidRDefault="00B5218A" w:rsidP="000A02D3">
            <w:pPr>
              <w:rPr>
                <w:rFonts w:ascii="Arial" w:hAnsi="Arial" w:cs="Arial"/>
                <w:sz w:val="18"/>
                <w:szCs w:val="18"/>
              </w:rPr>
            </w:pPr>
            <w:r w:rsidRPr="0039268C">
              <w:rPr>
                <w:rFonts w:ascii="Arial" w:hAnsi="Arial" w:cs="Arial"/>
                <w:sz w:val="18"/>
                <w:szCs w:val="18"/>
              </w:rPr>
              <w:t>Názov projektu:</w:t>
            </w:r>
          </w:p>
        </w:tc>
        <w:tc>
          <w:tcPr>
            <w:tcW w:w="6549" w:type="dxa"/>
            <w:tcBorders>
              <w:top w:val="single" w:sz="4" w:space="0" w:color="auto"/>
              <w:left w:val="nil"/>
              <w:bottom w:val="single" w:sz="4" w:space="0" w:color="auto"/>
              <w:right w:val="single" w:sz="4" w:space="0" w:color="auto"/>
            </w:tcBorders>
            <w:shd w:val="clear" w:color="auto" w:fill="EAF1DD"/>
            <w:noWrap/>
            <w:vAlign w:val="center"/>
            <w:hideMark/>
          </w:tcPr>
          <w:p w:rsidR="00B5218A" w:rsidRPr="0039268C" w:rsidRDefault="00B5218A" w:rsidP="000A02D3">
            <w:pPr>
              <w:rPr>
                <w:rFonts w:ascii="Arial" w:hAnsi="Arial" w:cs="Arial"/>
                <w:i/>
                <w:iCs/>
                <w:sz w:val="18"/>
                <w:szCs w:val="18"/>
              </w:rPr>
            </w:pPr>
            <w:r w:rsidRPr="0039268C">
              <w:rPr>
                <w:rFonts w:ascii="Arial" w:hAnsi="Arial" w:cs="Arial"/>
                <w:i/>
                <w:iCs/>
                <w:sz w:val="18"/>
                <w:szCs w:val="18"/>
              </w:rPr>
              <w:t xml:space="preserve"> Kanalizácia a ČOV Sereď</w:t>
            </w:r>
          </w:p>
        </w:tc>
      </w:tr>
      <w:tr w:rsidR="00B5218A" w:rsidRPr="00B5218A" w:rsidTr="0039268C">
        <w:trPr>
          <w:trHeight w:val="444"/>
        </w:trPr>
        <w:tc>
          <w:tcPr>
            <w:tcW w:w="1830" w:type="dxa"/>
            <w:tcBorders>
              <w:top w:val="single" w:sz="4" w:space="0" w:color="auto"/>
              <w:left w:val="single" w:sz="4" w:space="0" w:color="auto"/>
              <w:bottom w:val="single" w:sz="4" w:space="0" w:color="auto"/>
              <w:right w:val="single" w:sz="4" w:space="0" w:color="auto"/>
            </w:tcBorders>
            <w:shd w:val="clear" w:color="auto" w:fill="D6E3BC"/>
            <w:vAlign w:val="center"/>
            <w:hideMark/>
          </w:tcPr>
          <w:p w:rsidR="00B5218A" w:rsidRPr="0039268C" w:rsidRDefault="00B5218A" w:rsidP="000A02D3">
            <w:pPr>
              <w:rPr>
                <w:rFonts w:ascii="Arial" w:hAnsi="Arial" w:cs="Arial"/>
                <w:sz w:val="18"/>
                <w:szCs w:val="18"/>
              </w:rPr>
            </w:pPr>
            <w:r w:rsidRPr="0039268C">
              <w:rPr>
                <w:rFonts w:ascii="Arial" w:hAnsi="Arial" w:cs="Arial"/>
                <w:sz w:val="18"/>
                <w:szCs w:val="18"/>
              </w:rPr>
              <w:t xml:space="preserve">Prijímateľ: </w:t>
            </w:r>
          </w:p>
        </w:tc>
        <w:tc>
          <w:tcPr>
            <w:tcW w:w="6549" w:type="dxa"/>
            <w:tcBorders>
              <w:top w:val="nil"/>
              <w:left w:val="nil"/>
              <w:bottom w:val="single" w:sz="4" w:space="0" w:color="auto"/>
              <w:right w:val="single" w:sz="4" w:space="0" w:color="auto"/>
            </w:tcBorders>
            <w:shd w:val="clear" w:color="auto" w:fill="auto"/>
            <w:noWrap/>
            <w:vAlign w:val="center"/>
            <w:hideMark/>
          </w:tcPr>
          <w:p w:rsidR="00B5218A" w:rsidRPr="0039268C" w:rsidRDefault="00B5218A" w:rsidP="000A02D3">
            <w:pPr>
              <w:rPr>
                <w:rFonts w:ascii="Arial" w:hAnsi="Arial" w:cs="Arial"/>
                <w:i/>
                <w:iCs/>
                <w:sz w:val="18"/>
                <w:szCs w:val="18"/>
              </w:rPr>
            </w:pPr>
            <w:r w:rsidRPr="0039268C">
              <w:rPr>
                <w:rFonts w:ascii="Arial" w:hAnsi="Arial" w:cs="Arial"/>
                <w:i/>
                <w:iCs/>
                <w:sz w:val="18"/>
                <w:szCs w:val="18"/>
              </w:rPr>
              <w:t>ZsVS - Západoslovenská vodárenská spoločnosť  a.s.</w:t>
            </w:r>
          </w:p>
        </w:tc>
      </w:tr>
      <w:tr w:rsidR="00B5218A" w:rsidRPr="00B5218A" w:rsidTr="0039268C">
        <w:trPr>
          <w:trHeight w:val="564"/>
        </w:trPr>
        <w:tc>
          <w:tcPr>
            <w:tcW w:w="1830" w:type="dxa"/>
            <w:tcBorders>
              <w:top w:val="single" w:sz="4" w:space="0" w:color="auto"/>
              <w:left w:val="single" w:sz="4" w:space="0" w:color="auto"/>
              <w:bottom w:val="single" w:sz="4" w:space="0" w:color="auto"/>
              <w:right w:val="single" w:sz="4" w:space="0" w:color="auto"/>
            </w:tcBorders>
            <w:shd w:val="clear" w:color="auto" w:fill="D6E3BC"/>
            <w:vAlign w:val="center"/>
            <w:hideMark/>
          </w:tcPr>
          <w:p w:rsidR="00B5218A" w:rsidRPr="0039268C" w:rsidRDefault="00B5218A" w:rsidP="000A02D3">
            <w:pPr>
              <w:rPr>
                <w:rFonts w:ascii="Arial" w:hAnsi="Arial" w:cs="Arial"/>
                <w:sz w:val="18"/>
                <w:szCs w:val="18"/>
              </w:rPr>
            </w:pPr>
            <w:r w:rsidRPr="0039268C">
              <w:rPr>
                <w:rFonts w:ascii="Arial" w:hAnsi="Arial" w:cs="Arial"/>
                <w:sz w:val="18"/>
                <w:szCs w:val="18"/>
              </w:rPr>
              <w:t>Stav implementácie:</w:t>
            </w:r>
          </w:p>
        </w:tc>
        <w:tc>
          <w:tcPr>
            <w:tcW w:w="6549" w:type="dxa"/>
            <w:tcBorders>
              <w:top w:val="nil"/>
              <w:left w:val="nil"/>
              <w:bottom w:val="single" w:sz="4" w:space="0" w:color="auto"/>
              <w:right w:val="single" w:sz="4" w:space="0" w:color="auto"/>
            </w:tcBorders>
            <w:shd w:val="clear" w:color="auto" w:fill="auto"/>
            <w:noWrap/>
            <w:vAlign w:val="center"/>
            <w:hideMark/>
          </w:tcPr>
          <w:p w:rsidR="00B5218A" w:rsidRPr="0039268C" w:rsidRDefault="00B5218A" w:rsidP="000A02D3">
            <w:pPr>
              <w:rPr>
                <w:rFonts w:ascii="Arial" w:hAnsi="Arial" w:cs="Arial"/>
                <w:i/>
                <w:iCs/>
                <w:sz w:val="18"/>
                <w:szCs w:val="18"/>
              </w:rPr>
            </w:pPr>
            <w:r w:rsidRPr="0039268C">
              <w:rPr>
                <w:rFonts w:ascii="Arial" w:hAnsi="Arial" w:cs="Arial"/>
                <w:i/>
                <w:iCs/>
                <w:sz w:val="18"/>
                <w:szCs w:val="18"/>
              </w:rPr>
              <w:t>Projekt je v realizácii, momentálne prebieha proces výberu dodávateľa na stavebné práce.</w:t>
            </w:r>
          </w:p>
        </w:tc>
      </w:tr>
      <w:tr w:rsidR="00B5218A" w:rsidRPr="00B5218A" w:rsidTr="0039268C">
        <w:trPr>
          <w:trHeight w:val="315"/>
        </w:trPr>
        <w:tc>
          <w:tcPr>
            <w:tcW w:w="1830" w:type="dxa"/>
            <w:tcBorders>
              <w:top w:val="single" w:sz="4" w:space="0" w:color="auto"/>
              <w:left w:val="single" w:sz="4" w:space="0" w:color="auto"/>
              <w:bottom w:val="single" w:sz="4" w:space="0" w:color="auto"/>
              <w:right w:val="single" w:sz="4" w:space="0" w:color="auto"/>
            </w:tcBorders>
            <w:shd w:val="clear" w:color="auto" w:fill="D6E3BC"/>
            <w:vAlign w:val="center"/>
            <w:hideMark/>
          </w:tcPr>
          <w:p w:rsidR="00B5218A" w:rsidRPr="0039268C" w:rsidRDefault="00B5218A" w:rsidP="000A02D3">
            <w:pPr>
              <w:rPr>
                <w:rFonts w:ascii="Arial" w:hAnsi="Arial" w:cs="Arial"/>
                <w:sz w:val="18"/>
                <w:szCs w:val="18"/>
              </w:rPr>
            </w:pPr>
            <w:r w:rsidRPr="0039268C">
              <w:rPr>
                <w:rFonts w:ascii="Arial" w:hAnsi="Arial" w:cs="Arial"/>
                <w:sz w:val="18"/>
                <w:szCs w:val="18"/>
              </w:rPr>
              <w:t>Celkové oprávnené výdavky v €:</w:t>
            </w:r>
          </w:p>
        </w:tc>
        <w:tc>
          <w:tcPr>
            <w:tcW w:w="6549" w:type="dxa"/>
            <w:tcBorders>
              <w:top w:val="nil"/>
              <w:left w:val="nil"/>
              <w:bottom w:val="single" w:sz="4" w:space="0" w:color="auto"/>
              <w:right w:val="single" w:sz="4" w:space="0" w:color="auto"/>
            </w:tcBorders>
            <w:shd w:val="clear" w:color="auto" w:fill="auto"/>
            <w:vAlign w:val="center"/>
            <w:hideMark/>
          </w:tcPr>
          <w:p w:rsidR="00B5218A" w:rsidRPr="0039268C" w:rsidRDefault="00B5218A" w:rsidP="000A02D3">
            <w:pPr>
              <w:rPr>
                <w:rFonts w:ascii="Arial" w:hAnsi="Arial" w:cs="Arial"/>
                <w:i/>
                <w:iCs/>
                <w:sz w:val="18"/>
                <w:szCs w:val="18"/>
              </w:rPr>
            </w:pPr>
            <w:r w:rsidRPr="0039268C">
              <w:rPr>
                <w:rFonts w:ascii="Arial" w:hAnsi="Arial" w:cs="Arial"/>
                <w:i/>
                <w:iCs/>
                <w:sz w:val="18"/>
                <w:szCs w:val="18"/>
              </w:rPr>
              <w:t>12 131 099,28</w:t>
            </w:r>
          </w:p>
        </w:tc>
      </w:tr>
      <w:tr w:rsidR="00B5218A" w:rsidRPr="00B5218A" w:rsidTr="0039268C">
        <w:trPr>
          <w:trHeight w:val="315"/>
        </w:trPr>
        <w:tc>
          <w:tcPr>
            <w:tcW w:w="183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B5218A" w:rsidRPr="0039268C" w:rsidRDefault="00B5218A" w:rsidP="000A02D3">
            <w:pPr>
              <w:rPr>
                <w:rFonts w:ascii="Arial" w:hAnsi="Arial" w:cs="Arial"/>
                <w:sz w:val="18"/>
                <w:szCs w:val="18"/>
              </w:rPr>
            </w:pPr>
            <w:r w:rsidRPr="0039268C">
              <w:rPr>
                <w:rFonts w:ascii="Arial" w:hAnsi="Arial" w:cs="Arial"/>
                <w:sz w:val="18"/>
                <w:szCs w:val="18"/>
              </w:rPr>
              <w:t> </w:t>
            </w:r>
          </w:p>
        </w:tc>
        <w:tc>
          <w:tcPr>
            <w:tcW w:w="6549" w:type="dxa"/>
            <w:tcBorders>
              <w:top w:val="single" w:sz="4" w:space="0" w:color="auto"/>
              <w:left w:val="nil"/>
              <w:bottom w:val="single" w:sz="4" w:space="0" w:color="auto"/>
              <w:right w:val="single" w:sz="4" w:space="0" w:color="auto"/>
            </w:tcBorders>
            <w:shd w:val="clear" w:color="auto" w:fill="auto"/>
            <w:vAlign w:val="center"/>
            <w:hideMark/>
          </w:tcPr>
          <w:p w:rsidR="00B5218A" w:rsidRPr="0039268C" w:rsidRDefault="00B5218A" w:rsidP="000A02D3">
            <w:pPr>
              <w:rPr>
                <w:rFonts w:ascii="Arial" w:hAnsi="Arial" w:cs="Arial"/>
                <w:i/>
                <w:iCs/>
                <w:sz w:val="18"/>
                <w:szCs w:val="18"/>
              </w:rPr>
            </w:pPr>
            <w:r w:rsidRPr="0039268C">
              <w:rPr>
                <w:rFonts w:ascii="Arial" w:hAnsi="Arial" w:cs="Arial"/>
                <w:i/>
                <w:iCs/>
                <w:sz w:val="18"/>
                <w:szCs w:val="18"/>
              </w:rPr>
              <w:t> </w:t>
            </w:r>
          </w:p>
        </w:tc>
      </w:tr>
      <w:tr w:rsidR="00B5218A" w:rsidRPr="00B5218A" w:rsidTr="0039268C">
        <w:trPr>
          <w:trHeight w:val="315"/>
        </w:trPr>
        <w:tc>
          <w:tcPr>
            <w:tcW w:w="1830" w:type="dxa"/>
            <w:tcBorders>
              <w:top w:val="single" w:sz="4" w:space="0" w:color="auto"/>
              <w:left w:val="single" w:sz="4" w:space="0" w:color="auto"/>
              <w:bottom w:val="single" w:sz="4" w:space="0" w:color="auto"/>
              <w:right w:val="single" w:sz="4" w:space="0" w:color="auto"/>
            </w:tcBorders>
            <w:shd w:val="clear" w:color="auto" w:fill="D6E3BC"/>
            <w:vAlign w:val="center"/>
            <w:hideMark/>
          </w:tcPr>
          <w:p w:rsidR="00B5218A" w:rsidRPr="0039268C" w:rsidRDefault="00B5218A" w:rsidP="000A02D3">
            <w:pPr>
              <w:rPr>
                <w:rFonts w:ascii="Arial" w:hAnsi="Arial" w:cs="Arial"/>
                <w:sz w:val="18"/>
                <w:szCs w:val="18"/>
              </w:rPr>
            </w:pPr>
            <w:r w:rsidRPr="0039268C">
              <w:rPr>
                <w:rFonts w:ascii="Arial" w:hAnsi="Arial" w:cs="Arial"/>
                <w:sz w:val="18"/>
                <w:szCs w:val="18"/>
              </w:rPr>
              <w:t>Kód ITMS:</w:t>
            </w:r>
          </w:p>
        </w:tc>
        <w:tc>
          <w:tcPr>
            <w:tcW w:w="6549" w:type="dxa"/>
            <w:tcBorders>
              <w:top w:val="nil"/>
              <w:left w:val="nil"/>
              <w:bottom w:val="single" w:sz="4" w:space="0" w:color="auto"/>
              <w:right w:val="single" w:sz="4" w:space="0" w:color="auto"/>
            </w:tcBorders>
            <w:shd w:val="clear" w:color="auto" w:fill="auto"/>
            <w:noWrap/>
            <w:vAlign w:val="center"/>
            <w:hideMark/>
          </w:tcPr>
          <w:p w:rsidR="00B5218A" w:rsidRPr="0039268C" w:rsidRDefault="00B5218A" w:rsidP="000A02D3">
            <w:pPr>
              <w:rPr>
                <w:rFonts w:ascii="Arial" w:hAnsi="Arial" w:cs="Arial"/>
                <w:i/>
                <w:iCs/>
                <w:sz w:val="18"/>
                <w:szCs w:val="18"/>
              </w:rPr>
            </w:pPr>
            <w:r w:rsidRPr="0039268C">
              <w:rPr>
                <w:rFonts w:ascii="Arial" w:hAnsi="Arial" w:cs="Arial"/>
                <w:i/>
                <w:iCs/>
                <w:sz w:val="18"/>
                <w:szCs w:val="18"/>
              </w:rPr>
              <w:t>24110110142</w:t>
            </w:r>
          </w:p>
        </w:tc>
      </w:tr>
      <w:tr w:rsidR="00B5218A" w:rsidRPr="00B5218A" w:rsidTr="0039268C">
        <w:trPr>
          <w:trHeight w:val="315"/>
        </w:trPr>
        <w:tc>
          <w:tcPr>
            <w:tcW w:w="1830" w:type="dxa"/>
            <w:tcBorders>
              <w:top w:val="single" w:sz="4" w:space="0" w:color="auto"/>
              <w:left w:val="single" w:sz="4" w:space="0" w:color="auto"/>
              <w:bottom w:val="single" w:sz="4" w:space="0" w:color="auto"/>
              <w:right w:val="single" w:sz="4" w:space="0" w:color="auto"/>
            </w:tcBorders>
            <w:shd w:val="clear" w:color="auto" w:fill="D6E3BC"/>
            <w:vAlign w:val="center"/>
            <w:hideMark/>
          </w:tcPr>
          <w:p w:rsidR="00B5218A" w:rsidRPr="0039268C" w:rsidRDefault="00B5218A" w:rsidP="000A02D3">
            <w:pPr>
              <w:rPr>
                <w:rFonts w:ascii="Arial" w:hAnsi="Arial" w:cs="Arial"/>
                <w:sz w:val="18"/>
                <w:szCs w:val="18"/>
              </w:rPr>
            </w:pPr>
            <w:r w:rsidRPr="0039268C">
              <w:rPr>
                <w:rFonts w:ascii="Arial" w:hAnsi="Arial" w:cs="Arial"/>
                <w:sz w:val="18"/>
                <w:szCs w:val="18"/>
              </w:rPr>
              <w:t>Názov projektu:</w:t>
            </w:r>
          </w:p>
        </w:tc>
        <w:tc>
          <w:tcPr>
            <w:tcW w:w="6549" w:type="dxa"/>
            <w:tcBorders>
              <w:top w:val="single" w:sz="4" w:space="0" w:color="auto"/>
              <w:left w:val="nil"/>
              <w:bottom w:val="single" w:sz="4" w:space="0" w:color="auto"/>
              <w:right w:val="single" w:sz="4" w:space="0" w:color="auto"/>
            </w:tcBorders>
            <w:shd w:val="clear" w:color="auto" w:fill="EAF1DD"/>
            <w:noWrap/>
            <w:vAlign w:val="center"/>
            <w:hideMark/>
          </w:tcPr>
          <w:p w:rsidR="00B5218A" w:rsidRPr="0039268C" w:rsidRDefault="00B5218A" w:rsidP="000A02D3">
            <w:pPr>
              <w:rPr>
                <w:rFonts w:ascii="Arial" w:hAnsi="Arial" w:cs="Arial"/>
                <w:i/>
                <w:iCs/>
                <w:sz w:val="18"/>
                <w:szCs w:val="18"/>
              </w:rPr>
            </w:pPr>
            <w:r w:rsidRPr="0039268C">
              <w:rPr>
                <w:rFonts w:ascii="Arial" w:hAnsi="Arial" w:cs="Arial"/>
                <w:i/>
                <w:iCs/>
                <w:sz w:val="18"/>
                <w:szCs w:val="18"/>
              </w:rPr>
              <w:t xml:space="preserve"> Topolčianky - dobudovanie kanalizácie</w:t>
            </w:r>
          </w:p>
        </w:tc>
      </w:tr>
      <w:tr w:rsidR="00B5218A" w:rsidRPr="00B5218A" w:rsidTr="0039268C">
        <w:trPr>
          <w:trHeight w:val="454"/>
        </w:trPr>
        <w:tc>
          <w:tcPr>
            <w:tcW w:w="1830" w:type="dxa"/>
            <w:tcBorders>
              <w:top w:val="single" w:sz="4" w:space="0" w:color="auto"/>
              <w:left w:val="single" w:sz="4" w:space="0" w:color="auto"/>
              <w:bottom w:val="single" w:sz="4" w:space="0" w:color="auto"/>
              <w:right w:val="single" w:sz="4" w:space="0" w:color="auto"/>
            </w:tcBorders>
            <w:shd w:val="clear" w:color="auto" w:fill="D6E3BC"/>
            <w:vAlign w:val="center"/>
            <w:hideMark/>
          </w:tcPr>
          <w:p w:rsidR="00B5218A" w:rsidRPr="0039268C" w:rsidRDefault="00B5218A" w:rsidP="000A02D3">
            <w:pPr>
              <w:rPr>
                <w:rFonts w:ascii="Arial" w:hAnsi="Arial" w:cs="Arial"/>
                <w:sz w:val="18"/>
                <w:szCs w:val="18"/>
              </w:rPr>
            </w:pPr>
            <w:r w:rsidRPr="0039268C">
              <w:rPr>
                <w:rFonts w:ascii="Arial" w:hAnsi="Arial" w:cs="Arial"/>
                <w:sz w:val="18"/>
                <w:szCs w:val="18"/>
              </w:rPr>
              <w:t xml:space="preserve">Prijímateľ: </w:t>
            </w:r>
          </w:p>
        </w:tc>
        <w:tc>
          <w:tcPr>
            <w:tcW w:w="6549" w:type="dxa"/>
            <w:tcBorders>
              <w:top w:val="nil"/>
              <w:left w:val="nil"/>
              <w:bottom w:val="single" w:sz="4" w:space="0" w:color="auto"/>
              <w:right w:val="single" w:sz="4" w:space="0" w:color="auto"/>
            </w:tcBorders>
            <w:shd w:val="clear" w:color="auto" w:fill="auto"/>
            <w:noWrap/>
            <w:vAlign w:val="center"/>
            <w:hideMark/>
          </w:tcPr>
          <w:p w:rsidR="00B5218A" w:rsidRPr="0039268C" w:rsidRDefault="00B5218A" w:rsidP="000A02D3">
            <w:pPr>
              <w:rPr>
                <w:rFonts w:ascii="Arial" w:hAnsi="Arial" w:cs="Arial"/>
                <w:i/>
                <w:iCs/>
                <w:sz w:val="18"/>
                <w:szCs w:val="18"/>
              </w:rPr>
            </w:pPr>
            <w:r w:rsidRPr="0039268C">
              <w:rPr>
                <w:rFonts w:ascii="Arial" w:hAnsi="Arial" w:cs="Arial"/>
                <w:i/>
                <w:iCs/>
                <w:sz w:val="18"/>
                <w:szCs w:val="18"/>
              </w:rPr>
              <w:t>ZsVS - Západoslovenská vodárenská spoločnosť  a.s.</w:t>
            </w:r>
          </w:p>
        </w:tc>
      </w:tr>
      <w:tr w:rsidR="00B5218A" w:rsidRPr="00B5218A" w:rsidTr="0039268C">
        <w:trPr>
          <w:trHeight w:val="317"/>
        </w:trPr>
        <w:tc>
          <w:tcPr>
            <w:tcW w:w="1830" w:type="dxa"/>
            <w:tcBorders>
              <w:top w:val="single" w:sz="4" w:space="0" w:color="auto"/>
              <w:left w:val="single" w:sz="4" w:space="0" w:color="auto"/>
              <w:bottom w:val="single" w:sz="4" w:space="0" w:color="auto"/>
              <w:right w:val="single" w:sz="4" w:space="0" w:color="auto"/>
            </w:tcBorders>
            <w:shd w:val="clear" w:color="auto" w:fill="D6E3BC"/>
            <w:vAlign w:val="center"/>
            <w:hideMark/>
          </w:tcPr>
          <w:p w:rsidR="00B5218A" w:rsidRPr="0039268C" w:rsidRDefault="00B5218A" w:rsidP="000A02D3">
            <w:pPr>
              <w:rPr>
                <w:rFonts w:ascii="Arial" w:hAnsi="Arial" w:cs="Arial"/>
                <w:sz w:val="18"/>
                <w:szCs w:val="18"/>
              </w:rPr>
            </w:pPr>
            <w:r w:rsidRPr="0039268C">
              <w:rPr>
                <w:rFonts w:ascii="Arial" w:hAnsi="Arial" w:cs="Arial"/>
                <w:sz w:val="18"/>
                <w:szCs w:val="18"/>
              </w:rPr>
              <w:t>Stav implementácie:</w:t>
            </w:r>
          </w:p>
        </w:tc>
        <w:tc>
          <w:tcPr>
            <w:tcW w:w="6549" w:type="dxa"/>
            <w:tcBorders>
              <w:top w:val="nil"/>
              <w:left w:val="nil"/>
              <w:bottom w:val="single" w:sz="4" w:space="0" w:color="auto"/>
              <w:right w:val="single" w:sz="4" w:space="0" w:color="auto"/>
            </w:tcBorders>
            <w:shd w:val="clear" w:color="auto" w:fill="auto"/>
            <w:noWrap/>
            <w:vAlign w:val="center"/>
            <w:hideMark/>
          </w:tcPr>
          <w:p w:rsidR="00B5218A" w:rsidRPr="0039268C" w:rsidRDefault="00B5218A" w:rsidP="000A02D3">
            <w:pPr>
              <w:rPr>
                <w:rFonts w:ascii="Arial" w:hAnsi="Arial" w:cs="Arial"/>
                <w:i/>
                <w:iCs/>
                <w:sz w:val="18"/>
                <w:szCs w:val="18"/>
              </w:rPr>
            </w:pPr>
            <w:r w:rsidRPr="0039268C">
              <w:rPr>
                <w:rFonts w:ascii="Arial" w:hAnsi="Arial" w:cs="Arial"/>
                <w:i/>
                <w:iCs/>
                <w:sz w:val="18"/>
                <w:szCs w:val="18"/>
              </w:rPr>
              <w:t xml:space="preserve">  projekt v realizácii, prebieha proces VO na stavebné práce</w:t>
            </w:r>
          </w:p>
        </w:tc>
      </w:tr>
      <w:tr w:rsidR="00B5218A" w:rsidRPr="00B5218A" w:rsidTr="0039268C">
        <w:trPr>
          <w:trHeight w:val="315"/>
        </w:trPr>
        <w:tc>
          <w:tcPr>
            <w:tcW w:w="1830" w:type="dxa"/>
            <w:tcBorders>
              <w:top w:val="single" w:sz="4" w:space="0" w:color="auto"/>
              <w:left w:val="single" w:sz="4" w:space="0" w:color="auto"/>
              <w:bottom w:val="single" w:sz="4" w:space="0" w:color="auto"/>
              <w:right w:val="single" w:sz="4" w:space="0" w:color="auto"/>
            </w:tcBorders>
            <w:shd w:val="clear" w:color="auto" w:fill="D6E3BC"/>
            <w:vAlign w:val="center"/>
            <w:hideMark/>
          </w:tcPr>
          <w:p w:rsidR="00B5218A" w:rsidRPr="0039268C" w:rsidRDefault="00B5218A" w:rsidP="000A02D3">
            <w:pPr>
              <w:rPr>
                <w:rFonts w:ascii="Arial" w:hAnsi="Arial" w:cs="Arial"/>
                <w:sz w:val="18"/>
                <w:szCs w:val="18"/>
              </w:rPr>
            </w:pPr>
            <w:r w:rsidRPr="0039268C">
              <w:rPr>
                <w:rFonts w:ascii="Arial" w:hAnsi="Arial" w:cs="Arial"/>
                <w:sz w:val="18"/>
                <w:szCs w:val="18"/>
              </w:rPr>
              <w:t>Celkové oprávnené výdavky v €:</w:t>
            </w:r>
          </w:p>
        </w:tc>
        <w:tc>
          <w:tcPr>
            <w:tcW w:w="6549" w:type="dxa"/>
            <w:tcBorders>
              <w:top w:val="nil"/>
              <w:left w:val="nil"/>
              <w:bottom w:val="single" w:sz="4" w:space="0" w:color="auto"/>
              <w:right w:val="single" w:sz="4" w:space="0" w:color="auto"/>
            </w:tcBorders>
            <w:shd w:val="clear" w:color="auto" w:fill="auto"/>
            <w:vAlign w:val="center"/>
            <w:hideMark/>
          </w:tcPr>
          <w:p w:rsidR="00B5218A" w:rsidRPr="0039268C" w:rsidRDefault="00B5218A" w:rsidP="000A02D3">
            <w:pPr>
              <w:rPr>
                <w:rFonts w:ascii="Arial" w:hAnsi="Arial" w:cs="Arial"/>
                <w:i/>
                <w:iCs/>
                <w:sz w:val="18"/>
                <w:szCs w:val="18"/>
              </w:rPr>
            </w:pPr>
            <w:r w:rsidRPr="0039268C">
              <w:rPr>
                <w:rFonts w:ascii="Arial" w:hAnsi="Arial" w:cs="Arial"/>
                <w:i/>
                <w:iCs/>
                <w:sz w:val="18"/>
                <w:szCs w:val="18"/>
              </w:rPr>
              <w:t>3 936 868,84</w:t>
            </w:r>
          </w:p>
        </w:tc>
      </w:tr>
      <w:tr w:rsidR="00B5218A" w:rsidRPr="00B5218A" w:rsidTr="0039268C">
        <w:trPr>
          <w:trHeight w:val="255"/>
        </w:trPr>
        <w:tc>
          <w:tcPr>
            <w:tcW w:w="1830" w:type="dxa"/>
            <w:tcBorders>
              <w:top w:val="single" w:sz="4" w:space="0" w:color="auto"/>
              <w:left w:val="nil"/>
              <w:bottom w:val="single" w:sz="4" w:space="0" w:color="auto"/>
              <w:right w:val="nil"/>
            </w:tcBorders>
            <w:shd w:val="clear" w:color="auto" w:fill="auto"/>
            <w:noWrap/>
            <w:vAlign w:val="center"/>
            <w:hideMark/>
          </w:tcPr>
          <w:p w:rsidR="00B5218A" w:rsidRPr="0039268C" w:rsidRDefault="00B5218A" w:rsidP="000A02D3">
            <w:pPr>
              <w:rPr>
                <w:rFonts w:ascii="Arial" w:hAnsi="Arial" w:cs="Arial"/>
                <w:sz w:val="18"/>
                <w:szCs w:val="18"/>
              </w:rPr>
            </w:pPr>
          </w:p>
        </w:tc>
        <w:tc>
          <w:tcPr>
            <w:tcW w:w="6549" w:type="dxa"/>
            <w:tcBorders>
              <w:top w:val="single" w:sz="4" w:space="0" w:color="auto"/>
              <w:left w:val="nil"/>
              <w:bottom w:val="single" w:sz="4" w:space="0" w:color="auto"/>
              <w:right w:val="nil"/>
            </w:tcBorders>
            <w:shd w:val="clear" w:color="auto" w:fill="auto"/>
            <w:noWrap/>
            <w:vAlign w:val="center"/>
            <w:hideMark/>
          </w:tcPr>
          <w:p w:rsidR="00B5218A" w:rsidRPr="0039268C" w:rsidRDefault="00B5218A" w:rsidP="000A02D3">
            <w:pPr>
              <w:rPr>
                <w:rFonts w:ascii="Arial" w:hAnsi="Arial" w:cs="Arial"/>
                <w:sz w:val="18"/>
                <w:szCs w:val="18"/>
              </w:rPr>
            </w:pPr>
          </w:p>
        </w:tc>
      </w:tr>
      <w:tr w:rsidR="00B5218A" w:rsidRPr="00B5218A" w:rsidTr="0039268C">
        <w:trPr>
          <w:trHeight w:val="315"/>
        </w:trPr>
        <w:tc>
          <w:tcPr>
            <w:tcW w:w="1830" w:type="dxa"/>
            <w:tcBorders>
              <w:top w:val="single" w:sz="4" w:space="0" w:color="auto"/>
              <w:left w:val="single" w:sz="4" w:space="0" w:color="auto"/>
              <w:bottom w:val="single" w:sz="4" w:space="0" w:color="auto"/>
              <w:right w:val="single" w:sz="4" w:space="0" w:color="auto"/>
            </w:tcBorders>
            <w:shd w:val="clear" w:color="auto" w:fill="D6E3BC"/>
            <w:vAlign w:val="center"/>
            <w:hideMark/>
          </w:tcPr>
          <w:p w:rsidR="00B5218A" w:rsidRPr="0039268C" w:rsidRDefault="00B5218A" w:rsidP="000A02D3">
            <w:pPr>
              <w:rPr>
                <w:rFonts w:ascii="Arial" w:hAnsi="Arial" w:cs="Arial"/>
                <w:sz w:val="18"/>
                <w:szCs w:val="18"/>
              </w:rPr>
            </w:pPr>
            <w:r w:rsidRPr="0039268C">
              <w:rPr>
                <w:rFonts w:ascii="Arial" w:hAnsi="Arial" w:cs="Arial"/>
                <w:sz w:val="18"/>
                <w:szCs w:val="18"/>
              </w:rPr>
              <w:t>Kód ITMS:</w:t>
            </w:r>
          </w:p>
        </w:tc>
        <w:tc>
          <w:tcPr>
            <w:tcW w:w="6549" w:type="dxa"/>
            <w:tcBorders>
              <w:top w:val="single" w:sz="4" w:space="0" w:color="auto"/>
              <w:left w:val="nil"/>
              <w:bottom w:val="single" w:sz="4" w:space="0" w:color="auto"/>
              <w:right w:val="single" w:sz="4" w:space="0" w:color="auto"/>
            </w:tcBorders>
            <w:shd w:val="clear" w:color="auto" w:fill="auto"/>
            <w:noWrap/>
            <w:vAlign w:val="center"/>
            <w:hideMark/>
          </w:tcPr>
          <w:p w:rsidR="00B5218A" w:rsidRPr="0039268C" w:rsidRDefault="00B5218A" w:rsidP="000A02D3">
            <w:pPr>
              <w:rPr>
                <w:rFonts w:ascii="Arial" w:hAnsi="Arial" w:cs="Arial"/>
                <w:i/>
                <w:iCs/>
                <w:sz w:val="18"/>
                <w:szCs w:val="18"/>
              </w:rPr>
            </w:pPr>
            <w:r w:rsidRPr="0039268C">
              <w:rPr>
                <w:rFonts w:ascii="Arial" w:hAnsi="Arial" w:cs="Arial"/>
                <w:i/>
                <w:iCs/>
                <w:sz w:val="18"/>
                <w:szCs w:val="18"/>
              </w:rPr>
              <w:t>24110110148</w:t>
            </w:r>
          </w:p>
        </w:tc>
      </w:tr>
      <w:tr w:rsidR="00B5218A" w:rsidRPr="00B5218A" w:rsidTr="0039268C">
        <w:trPr>
          <w:trHeight w:val="457"/>
        </w:trPr>
        <w:tc>
          <w:tcPr>
            <w:tcW w:w="1830" w:type="dxa"/>
            <w:tcBorders>
              <w:top w:val="single" w:sz="4" w:space="0" w:color="auto"/>
              <w:left w:val="single" w:sz="4" w:space="0" w:color="auto"/>
              <w:bottom w:val="single" w:sz="4" w:space="0" w:color="auto"/>
              <w:right w:val="single" w:sz="4" w:space="0" w:color="auto"/>
            </w:tcBorders>
            <w:shd w:val="clear" w:color="auto" w:fill="D6E3BC"/>
            <w:vAlign w:val="center"/>
            <w:hideMark/>
          </w:tcPr>
          <w:p w:rsidR="00B5218A" w:rsidRPr="0039268C" w:rsidRDefault="00B5218A" w:rsidP="000A02D3">
            <w:pPr>
              <w:rPr>
                <w:rFonts w:ascii="Arial" w:hAnsi="Arial" w:cs="Arial"/>
                <w:sz w:val="18"/>
                <w:szCs w:val="18"/>
              </w:rPr>
            </w:pPr>
            <w:r w:rsidRPr="0039268C">
              <w:rPr>
                <w:rFonts w:ascii="Arial" w:hAnsi="Arial" w:cs="Arial"/>
                <w:sz w:val="18"/>
                <w:szCs w:val="18"/>
              </w:rPr>
              <w:t>Názov projektu:</w:t>
            </w:r>
          </w:p>
        </w:tc>
        <w:tc>
          <w:tcPr>
            <w:tcW w:w="6549" w:type="dxa"/>
            <w:tcBorders>
              <w:top w:val="single" w:sz="4" w:space="0" w:color="auto"/>
              <w:left w:val="nil"/>
              <w:bottom w:val="single" w:sz="4" w:space="0" w:color="auto"/>
              <w:right w:val="single" w:sz="4" w:space="0" w:color="auto"/>
            </w:tcBorders>
            <w:shd w:val="clear" w:color="auto" w:fill="EAF1DD"/>
            <w:noWrap/>
            <w:vAlign w:val="center"/>
            <w:hideMark/>
          </w:tcPr>
          <w:p w:rsidR="00B5218A" w:rsidRPr="0039268C" w:rsidRDefault="00B5218A" w:rsidP="000A02D3">
            <w:pPr>
              <w:rPr>
                <w:rFonts w:ascii="Arial" w:hAnsi="Arial" w:cs="Arial"/>
                <w:i/>
                <w:iCs/>
                <w:sz w:val="18"/>
                <w:szCs w:val="18"/>
              </w:rPr>
            </w:pPr>
            <w:r w:rsidRPr="0039268C">
              <w:rPr>
                <w:rFonts w:ascii="Arial" w:hAnsi="Arial" w:cs="Arial"/>
                <w:i/>
                <w:iCs/>
                <w:sz w:val="18"/>
                <w:szCs w:val="18"/>
              </w:rPr>
              <w:t>Dobud. kanalizácie a ČOV v aglomerácii Hôrka a Švábovce</w:t>
            </w:r>
          </w:p>
        </w:tc>
      </w:tr>
      <w:tr w:rsidR="00B5218A" w:rsidRPr="00B5218A" w:rsidTr="0039268C">
        <w:trPr>
          <w:trHeight w:val="315"/>
        </w:trPr>
        <w:tc>
          <w:tcPr>
            <w:tcW w:w="1830" w:type="dxa"/>
            <w:tcBorders>
              <w:top w:val="single" w:sz="4" w:space="0" w:color="auto"/>
              <w:left w:val="single" w:sz="4" w:space="0" w:color="auto"/>
              <w:bottom w:val="single" w:sz="4" w:space="0" w:color="auto"/>
              <w:right w:val="single" w:sz="4" w:space="0" w:color="auto"/>
            </w:tcBorders>
            <w:shd w:val="clear" w:color="auto" w:fill="D6E3BC"/>
            <w:vAlign w:val="center"/>
            <w:hideMark/>
          </w:tcPr>
          <w:p w:rsidR="00B5218A" w:rsidRPr="0039268C" w:rsidRDefault="00B5218A" w:rsidP="000A02D3">
            <w:pPr>
              <w:rPr>
                <w:rFonts w:ascii="Arial" w:hAnsi="Arial" w:cs="Arial"/>
                <w:sz w:val="18"/>
                <w:szCs w:val="18"/>
              </w:rPr>
            </w:pPr>
            <w:r w:rsidRPr="0039268C">
              <w:rPr>
                <w:rFonts w:ascii="Arial" w:hAnsi="Arial" w:cs="Arial"/>
                <w:sz w:val="18"/>
                <w:szCs w:val="18"/>
              </w:rPr>
              <w:t xml:space="preserve">Prijímateľ: </w:t>
            </w:r>
          </w:p>
        </w:tc>
        <w:tc>
          <w:tcPr>
            <w:tcW w:w="6549" w:type="dxa"/>
            <w:tcBorders>
              <w:top w:val="nil"/>
              <w:left w:val="nil"/>
              <w:bottom w:val="single" w:sz="4" w:space="0" w:color="auto"/>
              <w:right w:val="single" w:sz="4" w:space="0" w:color="auto"/>
            </w:tcBorders>
            <w:shd w:val="clear" w:color="auto" w:fill="auto"/>
            <w:noWrap/>
            <w:vAlign w:val="center"/>
            <w:hideMark/>
          </w:tcPr>
          <w:p w:rsidR="00B5218A" w:rsidRPr="0039268C" w:rsidRDefault="00B5218A" w:rsidP="000A02D3">
            <w:pPr>
              <w:rPr>
                <w:rFonts w:ascii="Arial" w:hAnsi="Arial" w:cs="Arial"/>
                <w:i/>
                <w:iCs/>
                <w:sz w:val="18"/>
                <w:szCs w:val="18"/>
              </w:rPr>
            </w:pPr>
            <w:r w:rsidRPr="0039268C">
              <w:rPr>
                <w:rFonts w:ascii="Arial" w:hAnsi="Arial" w:cs="Arial"/>
                <w:i/>
                <w:iCs/>
                <w:sz w:val="18"/>
                <w:szCs w:val="18"/>
              </w:rPr>
              <w:t>PVS- Podtatranská vodárenská spoločnosť, a.s.</w:t>
            </w:r>
          </w:p>
        </w:tc>
      </w:tr>
      <w:tr w:rsidR="00B5218A" w:rsidRPr="00B5218A" w:rsidTr="0039268C">
        <w:trPr>
          <w:trHeight w:val="630"/>
        </w:trPr>
        <w:tc>
          <w:tcPr>
            <w:tcW w:w="1830" w:type="dxa"/>
            <w:tcBorders>
              <w:top w:val="single" w:sz="4" w:space="0" w:color="auto"/>
              <w:left w:val="single" w:sz="4" w:space="0" w:color="auto"/>
              <w:bottom w:val="single" w:sz="4" w:space="0" w:color="auto"/>
              <w:right w:val="single" w:sz="4" w:space="0" w:color="auto"/>
            </w:tcBorders>
            <w:shd w:val="clear" w:color="auto" w:fill="D6E3BC"/>
            <w:vAlign w:val="center"/>
            <w:hideMark/>
          </w:tcPr>
          <w:p w:rsidR="00B5218A" w:rsidRPr="0039268C" w:rsidRDefault="00B5218A" w:rsidP="000A02D3">
            <w:pPr>
              <w:rPr>
                <w:rFonts w:ascii="Arial" w:hAnsi="Arial" w:cs="Arial"/>
                <w:sz w:val="18"/>
                <w:szCs w:val="18"/>
              </w:rPr>
            </w:pPr>
            <w:r w:rsidRPr="0039268C">
              <w:rPr>
                <w:rFonts w:ascii="Arial" w:hAnsi="Arial" w:cs="Arial"/>
                <w:sz w:val="18"/>
                <w:szCs w:val="18"/>
              </w:rPr>
              <w:t>Stav implementácie:</w:t>
            </w:r>
          </w:p>
        </w:tc>
        <w:tc>
          <w:tcPr>
            <w:tcW w:w="6549" w:type="dxa"/>
            <w:tcBorders>
              <w:top w:val="nil"/>
              <w:left w:val="nil"/>
              <w:bottom w:val="single" w:sz="4" w:space="0" w:color="auto"/>
              <w:right w:val="single" w:sz="4" w:space="0" w:color="auto"/>
            </w:tcBorders>
            <w:shd w:val="clear" w:color="auto" w:fill="auto"/>
            <w:noWrap/>
            <w:vAlign w:val="center"/>
            <w:hideMark/>
          </w:tcPr>
          <w:p w:rsidR="00B5218A" w:rsidRPr="0039268C" w:rsidRDefault="00B5218A" w:rsidP="000A02D3">
            <w:pPr>
              <w:rPr>
                <w:rFonts w:ascii="Arial" w:hAnsi="Arial" w:cs="Arial"/>
                <w:i/>
                <w:iCs/>
                <w:sz w:val="18"/>
                <w:szCs w:val="18"/>
              </w:rPr>
            </w:pPr>
            <w:r w:rsidRPr="0039268C">
              <w:rPr>
                <w:rFonts w:ascii="Arial" w:hAnsi="Arial" w:cs="Arial"/>
                <w:i/>
                <w:iCs/>
                <w:sz w:val="18"/>
                <w:szCs w:val="18"/>
              </w:rPr>
              <w:t xml:space="preserve"> projekt v realizácii, všetky verejné obstarávania ukončené, stavebné práce sa realizujú</w:t>
            </w:r>
          </w:p>
        </w:tc>
      </w:tr>
      <w:tr w:rsidR="00B5218A" w:rsidRPr="00B5218A" w:rsidTr="0039268C">
        <w:trPr>
          <w:trHeight w:val="315"/>
        </w:trPr>
        <w:tc>
          <w:tcPr>
            <w:tcW w:w="1830" w:type="dxa"/>
            <w:tcBorders>
              <w:top w:val="single" w:sz="4" w:space="0" w:color="auto"/>
              <w:left w:val="single" w:sz="4" w:space="0" w:color="auto"/>
              <w:bottom w:val="single" w:sz="4" w:space="0" w:color="auto"/>
              <w:right w:val="single" w:sz="4" w:space="0" w:color="auto"/>
            </w:tcBorders>
            <w:shd w:val="clear" w:color="auto" w:fill="D6E3BC"/>
            <w:vAlign w:val="center"/>
            <w:hideMark/>
          </w:tcPr>
          <w:p w:rsidR="00B5218A" w:rsidRPr="0039268C" w:rsidRDefault="00B5218A" w:rsidP="000A02D3">
            <w:pPr>
              <w:rPr>
                <w:rFonts w:ascii="Arial" w:hAnsi="Arial" w:cs="Arial"/>
                <w:sz w:val="18"/>
                <w:szCs w:val="18"/>
              </w:rPr>
            </w:pPr>
            <w:r w:rsidRPr="0039268C">
              <w:rPr>
                <w:rFonts w:ascii="Arial" w:hAnsi="Arial" w:cs="Arial"/>
                <w:sz w:val="18"/>
                <w:szCs w:val="18"/>
              </w:rPr>
              <w:t>Celkové oprávnené výdavky v €:</w:t>
            </w:r>
          </w:p>
        </w:tc>
        <w:tc>
          <w:tcPr>
            <w:tcW w:w="6549" w:type="dxa"/>
            <w:tcBorders>
              <w:top w:val="nil"/>
              <w:left w:val="nil"/>
              <w:bottom w:val="single" w:sz="4" w:space="0" w:color="auto"/>
              <w:right w:val="single" w:sz="4" w:space="0" w:color="auto"/>
            </w:tcBorders>
            <w:shd w:val="clear" w:color="auto" w:fill="auto"/>
            <w:vAlign w:val="center"/>
            <w:hideMark/>
          </w:tcPr>
          <w:p w:rsidR="00B5218A" w:rsidRPr="0039268C" w:rsidRDefault="00B5218A" w:rsidP="000A02D3">
            <w:pPr>
              <w:rPr>
                <w:rFonts w:ascii="Arial" w:hAnsi="Arial" w:cs="Arial"/>
                <w:i/>
                <w:iCs/>
                <w:sz w:val="18"/>
                <w:szCs w:val="18"/>
              </w:rPr>
            </w:pPr>
            <w:r w:rsidRPr="0039268C">
              <w:rPr>
                <w:rFonts w:ascii="Arial" w:hAnsi="Arial" w:cs="Arial"/>
                <w:i/>
                <w:iCs/>
                <w:sz w:val="18"/>
                <w:szCs w:val="18"/>
              </w:rPr>
              <w:t>6 071 109,59</w:t>
            </w:r>
          </w:p>
        </w:tc>
      </w:tr>
    </w:tbl>
    <w:p w:rsidR="000A02D3" w:rsidRDefault="000A02D3" w:rsidP="00507035">
      <w:pPr>
        <w:spacing w:before="120" w:after="120" w:line="360" w:lineRule="auto"/>
        <w:jc w:val="both"/>
        <w:rPr>
          <w:rFonts w:ascii="Arial" w:hAnsi="Arial" w:cs="Arial"/>
          <w:sz w:val="20"/>
          <w:szCs w:val="20"/>
          <w:highlight w:val="yellow"/>
        </w:rPr>
      </w:pPr>
    </w:p>
    <w:p w:rsidR="00EF0531" w:rsidRDefault="009F148C" w:rsidP="00507035">
      <w:pPr>
        <w:spacing w:before="120" w:after="120" w:line="360" w:lineRule="auto"/>
        <w:jc w:val="both"/>
        <w:rPr>
          <w:rFonts w:ascii="Arial" w:hAnsi="Arial" w:cs="Arial"/>
          <w:sz w:val="20"/>
          <w:szCs w:val="20"/>
        </w:rPr>
      </w:pPr>
      <w:r w:rsidRPr="0039268C">
        <w:rPr>
          <w:rFonts w:ascii="Arial" w:hAnsi="Arial" w:cs="Arial"/>
          <w:sz w:val="20"/>
          <w:szCs w:val="20"/>
        </w:rPr>
        <w:t>V </w:t>
      </w:r>
      <w:r w:rsidR="00B77474" w:rsidRPr="0039268C">
        <w:rPr>
          <w:rFonts w:ascii="Arial" w:hAnsi="Arial" w:cs="Arial"/>
          <w:sz w:val="20"/>
          <w:szCs w:val="20"/>
        </w:rPr>
        <w:t>nasledujúc</w:t>
      </w:r>
      <w:r w:rsidR="00B77474">
        <w:rPr>
          <w:rFonts w:ascii="Arial" w:hAnsi="Arial" w:cs="Arial"/>
          <w:sz w:val="20"/>
          <w:szCs w:val="20"/>
        </w:rPr>
        <w:t>ej</w:t>
      </w:r>
      <w:r w:rsidR="00B77474" w:rsidRPr="0039268C">
        <w:rPr>
          <w:rFonts w:ascii="Arial" w:hAnsi="Arial" w:cs="Arial"/>
          <w:sz w:val="20"/>
          <w:szCs w:val="20"/>
        </w:rPr>
        <w:t xml:space="preserve"> tabuľk</w:t>
      </w:r>
      <w:r w:rsidR="00B77474">
        <w:rPr>
          <w:rFonts w:ascii="Arial" w:hAnsi="Arial" w:cs="Arial"/>
          <w:sz w:val="20"/>
          <w:szCs w:val="20"/>
        </w:rPr>
        <w:t>e</w:t>
      </w:r>
      <w:r w:rsidR="00B77474" w:rsidRPr="0039268C">
        <w:rPr>
          <w:rFonts w:ascii="Arial" w:hAnsi="Arial" w:cs="Arial"/>
          <w:sz w:val="20"/>
          <w:szCs w:val="20"/>
        </w:rPr>
        <w:t xml:space="preserve"> </w:t>
      </w:r>
      <w:r w:rsidRPr="0039268C">
        <w:rPr>
          <w:rFonts w:ascii="Arial" w:hAnsi="Arial" w:cs="Arial"/>
          <w:sz w:val="20"/>
          <w:szCs w:val="20"/>
        </w:rPr>
        <w:t>sú uvedené podrobnosti o </w:t>
      </w:r>
      <w:r w:rsidR="00923B11" w:rsidRPr="0039268C">
        <w:rPr>
          <w:rFonts w:ascii="Arial" w:hAnsi="Arial" w:cs="Arial"/>
          <w:sz w:val="20"/>
          <w:szCs w:val="20"/>
        </w:rPr>
        <w:t>dôvodoch neschválenia zvyšných podaných projektov.</w:t>
      </w:r>
    </w:p>
    <w:p w:rsidR="00B77474" w:rsidRPr="0039268C" w:rsidRDefault="00B77474" w:rsidP="000A02D3">
      <w:pPr>
        <w:spacing w:line="360" w:lineRule="auto"/>
        <w:jc w:val="both"/>
        <w:rPr>
          <w:rFonts w:ascii="Arial" w:hAnsi="Arial" w:cs="Arial"/>
          <w:sz w:val="20"/>
          <w:szCs w:val="20"/>
        </w:rPr>
      </w:pPr>
      <w:r>
        <w:rPr>
          <w:rFonts w:ascii="Arial" w:hAnsi="Arial" w:cs="Arial"/>
          <w:sz w:val="20"/>
          <w:szCs w:val="20"/>
        </w:rPr>
        <w:t>Tab</w:t>
      </w:r>
      <w:r w:rsidR="00236377">
        <w:rPr>
          <w:rFonts w:ascii="Arial" w:hAnsi="Arial" w:cs="Arial"/>
          <w:sz w:val="20"/>
          <w:szCs w:val="20"/>
        </w:rPr>
        <w:t>.</w:t>
      </w:r>
      <w:r>
        <w:rPr>
          <w:rFonts w:ascii="Arial" w:hAnsi="Arial" w:cs="Arial"/>
          <w:sz w:val="20"/>
          <w:szCs w:val="20"/>
        </w:rPr>
        <w:t xml:space="preserve"> č.</w:t>
      </w:r>
      <w:r w:rsidR="00C63470">
        <w:rPr>
          <w:rFonts w:ascii="Arial" w:hAnsi="Arial" w:cs="Arial"/>
          <w:sz w:val="20"/>
          <w:szCs w:val="20"/>
        </w:rPr>
        <w:t>83</w:t>
      </w:r>
      <w:r>
        <w:rPr>
          <w:rFonts w:ascii="Arial" w:hAnsi="Arial" w:cs="Arial"/>
          <w:sz w:val="20"/>
          <w:szCs w:val="20"/>
        </w:rPr>
        <w:t>:</w:t>
      </w:r>
      <w:r w:rsidR="00E57A5C">
        <w:rPr>
          <w:rFonts w:ascii="Arial" w:hAnsi="Arial" w:cs="Arial"/>
          <w:sz w:val="20"/>
          <w:szCs w:val="20"/>
        </w:rPr>
        <w:t xml:space="preserve"> Dôvody neschválenia projektov</w:t>
      </w:r>
      <w:r>
        <w:rPr>
          <w:rFonts w:ascii="Arial" w:hAnsi="Arial" w:cs="Arial"/>
          <w:sz w:val="20"/>
          <w:szCs w:val="20"/>
        </w:rPr>
        <w:t xml:space="preserve"> </w:t>
      </w:r>
    </w:p>
    <w:tbl>
      <w:tblPr>
        <w:tblW w:w="0" w:type="auto"/>
        <w:jc w:val="center"/>
        <w:tblInd w:w="-4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
        <w:gridCol w:w="410"/>
        <w:gridCol w:w="2692"/>
        <w:gridCol w:w="11"/>
        <w:gridCol w:w="416"/>
        <w:gridCol w:w="5400"/>
        <w:gridCol w:w="419"/>
      </w:tblGrid>
      <w:tr w:rsidR="00607533" w:rsidRPr="00110DFF" w:rsidTr="0039268C">
        <w:trPr>
          <w:gridBefore w:val="1"/>
          <w:gridAfter w:val="1"/>
          <w:wBefore w:w="6" w:type="dxa"/>
          <w:wAfter w:w="419" w:type="dxa"/>
          <w:jc w:val="center"/>
        </w:trPr>
        <w:tc>
          <w:tcPr>
            <w:tcW w:w="3102" w:type="dxa"/>
            <w:gridSpan w:val="2"/>
            <w:shd w:val="clear" w:color="auto" w:fill="D6E3BC"/>
          </w:tcPr>
          <w:p w:rsidR="009F148C" w:rsidRPr="0039268C" w:rsidRDefault="009F148C" w:rsidP="000A02D3">
            <w:pPr>
              <w:spacing w:line="360" w:lineRule="auto"/>
              <w:jc w:val="both"/>
              <w:rPr>
                <w:rFonts w:ascii="Arial" w:hAnsi="Arial" w:cs="Arial"/>
                <w:bCs/>
                <w:iCs/>
                <w:sz w:val="18"/>
                <w:szCs w:val="18"/>
              </w:rPr>
            </w:pPr>
            <w:r w:rsidRPr="0039268C">
              <w:rPr>
                <w:rFonts w:ascii="Arial" w:hAnsi="Arial" w:cs="Arial"/>
                <w:bCs/>
                <w:iCs/>
                <w:sz w:val="18"/>
                <w:szCs w:val="18"/>
              </w:rPr>
              <w:t>Názov projektu:</w:t>
            </w:r>
          </w:p>
        </w:tc>
        <w:tc>
          <w:tcPr>
            <w:tcW w:w="5826" w:type="dxa"/>
            <w:gridSpan w:val="3"/>
            <w:shd w:val="clear" w:color="auto" w:fill="D6E3BC"/>
          </w:tcPr>
          <w:p w:rsidR="009F148C" w:rsidRPr="0039268C" w:rsidRDefault="009F148C" w:rsidP="000A02D3">
            <w:pPr>
              <w:spacing w:line="360" w:lineRule="auto"/>
              <w:jc w:val="both"/>
              <w:rPr>
                <w:rFonts w:ascii="Arial" w:hAnsi="Arial" w:cs="Arial"/>
                <w:b/>
                <w:sz w:val="18"/>
                <w:szCs w:val="18"/>
              </w:rPr>
            </w:pPr>
            <w:r w:rsidRPr="0039268C">
              <w:rPr>
                <w:rFonts w:ascii="Arial" w:hAnsi="Arial" w:cs="Arial"/>
                <w:b/>
                <w:sz w:val="18"/>
                <w:szCs w:val="18"/>
              </w:rPr>
              <w:t>Zásobovanie a odkanalizovanie okresu Púchov – I. etapa</w:t>
            </w:r>
          </w:p>
        </w:tc>
      </w:tr>
      <w:tr w:rsidR="00110DFF" w:rsidRPr="00110DFF" w:rsidTr="0039268C">
        <w:trPr>
          <w:gridBefore w:val="1"/>
          <w:gridAfter w:val="1"/>
          <w:wBefore w:w="6" w:type="dxa"/>
          <w:wAfter w:w="419" w:type="dxa"/>
          <w:jc w:val="center"/>
        </w:trPr>
        <w:tc>
          <w:tcPr>
            <w:tcW w:w="3102" w:type="dxa"/>
            <w:gridSpan w:val="2"/>
          </w:tcPr>
          <w:p w:rsidR="009F148C" w:rsidRPr="0039268C" w:rsidRDefault="009F148C" w:rsidP="000A02D3">
            <w:pPr>
              <w:spacing w:line="360" w:lineRule="auto"/>
              <w:jc w:val="both"/>
              <w:rPr>
                <w:rFonts w:ascii="Arial" w:hAnsi="Arial" w:cs="Arial"/>
                <w:bCs/>
                <w:iCs/>
                <w:sz w:val="18"/>
                <w:szCs w:val="18"/>
              </w:rPr>
            </w:pPr>
            <w:r w:rsidRPr="0039268C">
              <w:rPr>
                <w:rFonts w:ascii="Arial" w:hAnsi="Arial" w:cs="Arial"/>
                <w:bCs/>
                <w:iCs/>
                <w:sz w:val="18"/>
                <w:szCs w:val="18"/>
              </w:rPr>
              <w:t xml:space="preserve">Prijímateľ: </w:t>
            </w:r>
          </w:p>
        </w:tc>
        <w:tc>
          <w:tcPr>
            <w:tcW w:w="5826" w:type="dxa"/>
            <w:gridSpan w:val="3"/>
          </w:tcPr>
          <w:p w:rsidR="009F148C" w:rsidRPr="0039268C" w:rsidRDefault="009F148C" w:rsidP="000A02D3">
            <w:pPr>
              <w:spacing w:line="360" w:lineRule="auto"/>
              <w:jc w:val="both"/>
              <w:rPr>
                <w:rFonts w:ascii="Arial" w:hAnsi="Arial" w:cs="Arial"/>
                <w:sz w:val="18"/>
                <w:szCs w:val="18"/>
              </w:rPr>
            </w:pPr>
            <w:r w:rsidRPr="0039268C">
              <w:rPr>
                <w:rFonts w:ascii="Arial" w:hAnsi="Arial" w:cs="Arial"/>
                <w:sz w:val="18"/>
                <w:szCs w:val="18"/>
              </w:rPr>
              <w:t>Považská vodárenská spoločnosť, a.s.</w:t>
            </w:r>
          </w:p>
        </w:tc>
      </w:tr>
      <w:tr w:rsidR="00110DFF" w:rsidRPr="00110DFF" w:rsidTr="0039268C">
        <w:trPr>
          <w:gridBefore w:val="1"/>
          <w:gridAfter w:val="1"/>
          <w:wBefore w:w="6" w:type="dxa"/>
          <w:wAfter w:w="419" w:type="dxa"/>
          <w:jc w:val="center"/>
        </w:trPr>
        <w:tc>
          <w:tcPr>
            <w:tcW w:w="3102" w:type="dxa"/>
            <w:gridSpan w:val="2"/>
          </w:tcPr>
          <w:p w:rsidR="009F148C" w:rsidRPr="0039268C" w:rsidRDefault="009F148C" w:rsidP="000A02D3">
            <w:pPr>
              <w:spacing w:line="360" w:lineRule="auto"/>
              <w:jc w:val="both"/>
              <w:rPr>
                <w:rFonts w:ascii="Arial" w:hAnsi="Arial" w:cs="Arial"/>
                <w:bCs/>
                <w:iCs/>
                <w:sz w:val="18"/>
                <w:szCs w:val="18"/>
              </w:rPr>
            </w:pPr>
            <w:r w:rsidRPr="0039268C">
              <w:rPr>
                <w:rFonts w:ascii="Arial" w:hAnsi="Arial" w:cs="Arial"/>
                <w:bCs/>
                <w:iCs/>
                <w:sz w:val="18"/>
                <w:szCs w:val="18"/>
              </w:rPr>
              <w:t>Stav implementácie:</w:t>
            </w:r>
          </w:p>
        </w:tc>
        <w:tc>
          <w:tcPr>
            <w:tcW w:w="5826" w:type="dxa"/>
            <w:gridSpan w:val="3"/>
          </w:tcPr>
          <w:p w:rsidR="009F148C" w:rsidRPr="0039268C" w:rsidRDefault="009F148C" w:rsidP="000A02D3">
            <w:pPr>
              <w:spacing w:line="360" w:lineRule="auto"/>
              <w:jc w:val="both"/>
              <w:rPr>
                <w:rFonts w:ascii="Arial" w:hAnsi="Arial" w:cs="Arial"/>
                <w:sz w:val="18"/>
                <w:szCs w:val="18"/>
              </w:rPr>
            </w:pPr>
            <w:r w:rsidRPr="0039268C">
              <w:rPr>
                <w:rFonts w:ascii="Arial" w:hAnsi="Arial" w:cs="Arial"/>
                <w:sz w:val="18"/>
                <w:szCs w:val="18"/>
              </w:rPr>
              <w:t>ŽoNFP neschválená – nedostatočná výška alokácie</w:t>
            </w:r>
          </w:p>
        </w:tc>
      </w:tr>
      <w:tr w:rsidR="00110DFF" w:rsidRPr="00110DFF" w:rsidTr="0039268C">
        <w:trPr>
          <w:gridBefore w:val="1"/>
          <w:gridAfter w:val="1"/>
          <w:wBefore w:w="6" w:type="dxa"/>
          <w:wAfter w:w="419" w:type="dxa"/>
          <w:jc w:val="center"/>
        </w:trPr>
        <w:tc>
          <w:tcPr>
            <w:tcW w:w="3102" w:type="dxa"/>
            <w:gridSpan w:val="2"/>
          </w:tcPr>
          <w:p w:rsidR="009F148C" w:rsidRPr="0039268C" w:rsidRDefault="009F148C" w:rsidP="000A02D3">
            <w:pPr>
              <w:spacing w:line="360" w:lineRule="auto"/>
              <w:jc w:val="both"/>
              <w:rPr>
                <w:rFonts w:ascii="Arial" w:hAnsi="Arial" w:cs="Arial"/>
                <w:bCs/>
                <w:iCs/>
                <w:sz w:val="18"/>
                <w:szCs w:val="18"/>
              </w:rPr>
            </w:pPr>
            <w:r w:rsidRPr="0039268C">
              <w:rPr>
                <w:rFonts w:ascii="Arial" w:hAnsi="Arial" w:cs="Arial"/>
                <w:bCs/>
                <w:iCs/>
                <w:sz w:val="18"/>
                <w:szCs w:val="18"/>
              </w:rPr>
              <w:t>Rozpočet v €:</w:t>
            </w:r>
          </w:p>
        </w:tc>
        <w:tc>
          <w:tcPr>
            <w:tcW w:w="5826" w:type="dxa"/>
            <w:gridSpan w:val="3"/>
          </w:tcPr>
          <w:p w:rsidR="009F148C" w:rsidRPr="0039268C" w:rsidRDefault="009F148C" w:rsidP="000A02D3">
            <w:pPr>
              <w:spacing w:line="360" w:lineRule="auto"/>
              <w:jc w:val="both"/>
              <w:rPr>
                <w:rFonts w:ascii="Arial" w:hAnsi="Arial" w:cs="Arial"/>
                <w:bCs/>
                <w:iCs/>
                <w:sz w:val="18"/>
                <w:szCs w:val="18"/>
              </w:rPr>
            </w:pPr>
            <w:r w:rsidRPr="0039268C">
              <w:rPr>
                <w:rFonts w:ascii="Arial" w:hAnsi="Arial" w:cs="Arial"/>
                <w:sz w:val="18"/>
                <w:szCs w:val="18"/>
              </w:rPr>
              <w:t>29 558 631,67 €</w:t>
            </w:r>
          </w:p>
        </w:tc>
      </w:tr>
      <w:tr w:rsidR="00110DFF" w:rsidRPr="00110DFF" w:rsidTr="0039268C">
        <w:trPr>
          <w:gridBefore w:val="1"/>
          <w:gridAfter w:val="1"/>
          <w:wBefore w:w="6" w:type="dxa"/>
          <w:wAfter w:w="419" w:type="dxa"/>
          <w:jc w:val="center"/>
        </w:trPr>
        <w:tc>
          <w:tcPr>
            <w:tcW w:w="3102" w:type="dxa"/>
            <w:gridSpan w:val="2"/>
          </w:tcPr>
          <w:p w:rsidR="009F148C" w:rsidRPr="0039268C" w:rsidRDefault="009F148C" w:rsidP="000A02D3">
            <w:pPr>
              <w:spacing w:line="360" w:lineRule="auto"/>
              <w:jc w:val="both"/>
              <w:rPr>
                <w:rFonts w:ascii="Arial" w:hAnsi="Arial" w:cs="Arial"/>
                <w:bCs/>
                <w:iCs/>
                <w:sz w:val="18"/>
                <w:szCs w:val="18"/>
              </w:rPr>
            </w:pPr>
            <w:r w:rsidRPr="0039268C">
              <w:rPr>
                <w:rFonts w:ascii="Arial" w:hAnsi="Arial" w:cs="Arial"/>
                <w:bCs/>
                <w:iCs/>
                <w:sz w:val="18"/>
                <w:szCs w:val="18"/>
              </w:rPr>
              <w:t>Finančná realizácia:</w:t>
            </w:r>
          </w:p>
        </w:tc>
        <w:tc>
          <w:tcPr>
            <w:tcW w:w="5826" w:type="dxa"/>
            <w:gridSpan w:val="3"/>
          </w:tcPr>
          <w:p w:rsidR="009F148C" w:rsidRPr="0039268C" w:rsidRDefault="009F148C" w:rsidP="000A02D3">
            <w:pPr>
              <w:spacing w:line="360" w:lineRule="auto"/>
              <w:jc w:val="both"/>
              <w:rPr>
                <w:rFonts w:ascii="Arial" w:hAnsi="Arial" w:cs="Arial"/>
                <w:bCs/>
                <w:iCs/>
                <w:sz w:val="18"/>
                <w:szCs w:val="18"/>
              </w:rPr>
            </w:pPr>
            <w:r w:rsidRPr="0039268C">
              <w:rPr>
                <w:rFonts w:ascii="Arial" w:hAnsi="Arial" w:cs="Arial"/>
                <w:bCs/>
                <w:iCs/>
                <w:sz w:val="18"/>
                <w:szCs w:val="18"/>
              </w:rPr>
              <w:t>N/A</w:t>
            </w:r>
          </w:p>
        </w:tc>
      </w:tr>
      <w:tr w:rsidR="00110DFF" w:rsidRPr="00110DFF" w:rsidTr="0039268C">
        <w:trPr>
          <w:gridBefore w:val="1"/>
          <w:gridAfter w:val="1"/>
          <w:wBefore w:w="6" w:type="dxa"/>
          <w:wAfter w:w="419" w:type="dxa"/>
          <w:jc w:val="center"/>
        </w:trPr>
        <w:tc>
          <w:tcPr>
            <w:tcW w:w="3102" w:type="dxa"/>
            <w:gridSpan w:val="2"/>
          </w:tcPr>
          <w:p w:rsidR="009F148C" w:rsidRPr="0039268C" w:rsidRDefault="009F148C" w:rsidP="000A02D3">
            <w:pPr>
              <w:spacing w:line="360" w:lineRule="auto"/>
              <w:jc w:val="both"/>
              <w:rPr>
                <w:rFonts w:ascii="Arial" w:hAnsi="Arial" w:cs="Arial"/>
                <w:bCs/>
                <w:iCs/>
                <w:sz w:val="18"/>
                <w:szCs w:val="18"/>
              </w:rPr>
            </w:pPr>
            <w:r w:rsidRPr="0039268C">
              <w:rPr>
                <w:rFonts w:ascii="Arial" w:hAnsi="Arial" w:cs="Arial"/>
                <w:bCs/>
                <w:iCs/>
                <w:sz w:val="18"/>
                <w:szCs w:val="18"/>
              </w:rPr>
              <w:t>Plnenie ukazovateľov:</w:t>
            </w:r>
          </w:p>
        </w:tc>
        <w:tc>
          <w:tcPr>
            <w:tcW w:w="5826" w:type="dxa"/>
            <w:gridSpan w:val="3"/>
          </w:tcPr>
          <w:p w:rsidR="009F148C" w:rsidRPr="0039268C" w:rsidRDefault="009F148C" w:rsidP="000A02D3">
            <w:pPr>
              <w:spacing w:line="360" w:lineRule="auto"/>
              <w:jc w:val="both"/>
              <w:rPr>
                <w:rFonts w:ascii="Arial" w:hAnsi="Arial" w:cs="Arial"/>
                <w:bCs/>
                <w:iCs/>
                <w:sz w:val="18"/>
                <w:szCs w:val="18"/>
              </w:rPr>
            </w:pPr>
            <w:r w:rsidRPr="0039268C">
              <w:rPr>
                <w:rFonts w:ascii="Arial" w:hAnsi="Arial" w:cs="Arial"/>
                <w:bCs/>
                <w:iCs/>
                <w:sz w:val="18"/>
                <w:szCs w:val="18"/>
              </w:rPr>
              <w:t>N/A</w:t>
            </w:r>
          </w:p>
        </w:tc>
      </w:tr>
      <w:tr w:rsidR="00110DFF" w:rsidRPr="00110DFF" w:rsidTr="0039268C">
        <w:trPr>
          <w:gridBefore w:val="1"/>
          <w:gridAfter w:val="1"/>
          <w:wBefore w:w="6" w:type="dxa"/>
          <w:wAfter w:w="419" w:type="dxa"/>
          <w:jc w:val="center"/>
        </w:trPr>
        <w:tc>
          <w:tcPr>
            <w:tcW w:w="3102" w:type="dxa"/>
            <w:gridSpan w:val="2"/>
            <w:shd w:val="clear" w:color="auto" w:fill="D6E3BC"/>
          </w:tcPr>
          <w:p w:rsidR="009F148C" w:rsidRPr="0039268C" w:rsidRDefault="009F148C" w:rsidP="000A02D3">
            <w:pPr>
              <w:spacing w:line="360" w:lineRule="auto"/>
              <w:jc w:val="both"/>
              <w:rPr>
                <w:rFonts w:ascii="Arial" w:hAnsi="Arial" w:cs="Arial"/>
                <w:bCs/>
                <w:iCs/>
                <w:sz w:val="18"/>
                <w:szCs w:val="18"/>
              </w:rPr>
            </w:pPr>
            <w:r w:rsidRPr="0039268C">
              <w:rPr>
                <w:rFonts w:ascii="Arial" w:hAnsi="Arial" w:cs="Arial"/>
                <w:bCs/>
                <w:iCs/>
                <w:sz w:val="18"/>
                <w:szCs w:val="18"/>
              </w:rPr>
              <w:t>Názov projektu:</w:t>
            </w:r>
          </w:p>
        </w:tc>
        <w:tc>
          <w:tcPr>
            <w:tcW w:w="5826" w:type="dxa"/>
            <w:gridSpan w:val="3"/>
            <w:shd w:val="clear" w:color="auto" w:fill="D6E3BC"/>
          </w:tcPr>
          <w:p w:rsidR="009F148C" w:rsidRPr="0039268C" w:rsidRDefault="009F148C" w:rsidP="000A02D3">
            <w:pPr>
              <w:spacing w:line="360" w:lineRule="auto"/>
              <w:jc w:val="both"/>
              <w:rPr>
                <w:rFonts w:ascii="Arial" w:hAnsi="Arial" w:cs="Arial"/>
                <w:b/>
                <w:sz w:val="18"/>
                <w:szCs w:val="18"/>
              </w:rPr>
            </w:pPr>
            <w:r w:rsidRPr="0039268C">
              <w:rPr>
                <w:rFonts w:ascii="Arial" w:hAnsi="Arial" w:cs="Arial"/>
                <w:b/>
                <w:sz w:val="18"/>
                <w:szCs w:val="18"/>
              </w:rPr>
              <w:t>Dobudovanie kanalizačného systému v regióne Trnava a Piešťany</w:t>
            </w:r>
          </w:p>
        </w:tc>
      </w:tr>
      <w:tr w:rsidR="00110DFF" w:rsidRPr="00110DFF" w:rsidTr="0039268C">
        <w:trPr>
          <w:gridBefore w:val="1"/>
          <w:gridAfter w:val="1"/>
          <w:wBefore w:w="6" w:type="dxa"/>
          <w:wAfter w:w="419" w:type="dxa"/>
          <w:jc w:val="center"/>
        </w:trPr>
        <w:tc>
          <w:tcPr>
            <w:tcW w:w="3102" w:type="dxa"/>
            <w:gridSpan w:val="2"/>
          </w:tcPr>
          <w:p w:rsidR="009F148C" w:rsidRPr="0039268C" w:rsidRDefault="009F148C" w:rsidP="000A02D3">
            <w:pPr>
              <w:spacing w:line="360" w:lineRule="auto"/>
              <w:jc w:val="both"/>
              <w:rPr>
                <w:rFonts w:ascii="Arial" w:hAnsi="Arial" w:cs="Arial"/>
                <w:bCs/>
                <w:iCs/>
                <w:sz w:val="18"/>
                <w:szCs w:val="18"/>
              </w:rPr>
            </w:pPr>
            <w:r w:rsidRPr="0039268C">
              <w:rPr>
                <w:rFonts w:ascii="Arial" w:hAnsi="Arial" w:cs="Arial"/>
                <w:bCs/>
                <w:iCs/>
                <w:sz w:val="18"/>
                <w:szCs w:val="18"/>
              </w:rPr>
              <w:t xml:space="preserve">Prijímateľ: </w:t>
            </w:r>
          </w:p>
        </w:tc>
        <w:tc>
          <w:tcPr>
            <w:tcW w:w="5826" w:type="dxa"/>
            <w:gridSpan w:val="3"/>
          </w:tcPr>
          <w:p w:rsidR="009F148C" w:rsidRPr="0039268C" w:rsidRDefault="009F148C" w:rsidP="000A02D3">
            <w:pPr>
              <w:spacing w:line="360" w:lineRule="auto"/>
              <w:jc w:val="both"/>
              <w:rPr>
                <w:rFonts w:ascii="Arial" w:hAnsi="Arial" w:cs="Arial"/>
                <w:sz w:val="18"/>
                <w:szCs w:val="18"/>
              </w:rPr>
            </w:pPr>
            <w:r w:rsidRPr="0039268C">
              <w:rPr>
                <w:rFonts w:ascii="Arial" w:hAnsi="Arial" w:cs="Arial"/>
                <w:sz w:val="18"/>
                <w:szCs w:val="18"/>
              </w:rPr>
              <w:t>Trnavská vodárenská spoločnosť, a.s.</w:t>
            </w:r>
          </w:p>
        </w:tc>
      </w:tr>
      <w:tr w:rsidR="00110DFF" w:rsidRPr="00110DFF" w:rsidTr="0039268C">
        <w:trPr>
          <w:gridBefore w:val="1"/>
          <w:gridAfter w:val="1"/>
          <w:wBefore w:w="6" w:type="dxa"/>
          <w:wAfter w:w="419" w:type="dxa"/>
          <w:jc w:val="center"/>
        </w:trPr>
        <w:tc>
          <w:tcPr>
            <w:tcW w:w="3102" w:type="dxa"/>
            <w:gridSpan w:val="2"/>
          </w:tcPr>
          <w:p w:rsidR="009F148C" w:rsidRPr="0039268C" w:rsidRDefault="009F148C" w:rsidP="000A02D3">
            <w:pPr>
              <w:spacing w:line="360" w:lineRule="auto"/>
              <w:jc w:val="both"/>
              <w:rPr>
                <w:rFonts w:ascii="Arial" w:hAnsi="Arial" w:cs="Arial"/>
                <w:bCs/>
                <w:iCs/>
                <w:sz w:val="18"/>
                <w:szCs w:val="18"/>
              </w:rPr>
            </w:pPr>
            <w:r w:rsidRPr="0039268C">
              <w:rPr>
                <w:rFonts w:ascii="Arial" w:hAnsi="Arial" w:cs="Arial"/>
                <w:bCs/>
                <w:iCs/>
                <w:sz w:val="18"/>
                <w:szCs w:val="18"/>
              </w:rPr>
              <w:t>Stav implementácie:</w:t>
            </w:r>
          </w:p>
        </w:tc>
        <w:tc>
          <w:tcPr>
            <w:tcW w:w="5826" w:type="dxa"/>
            <w:gridSpan w:val="3"/>
          </w:tcPr>
          <w:p w:rsidR="009F148C" w:rsidRPr="0039268C" w:rsidRDefault="009F148C" w:rsidP="000A02D3">
            <w:pPr>
              <w:spacing w:line="360" w:lineRule="auto"/>
              <w:jc w:val="both"/>
              <w:rPr>
                <w:rFonts w:ascii="Arial" w:hAnsi="Arial" w:cs="Arial"/>
                <w:sz w:val="18"/>
                <w:szCs w:val="18"/>
              </w:rPr>
            </w:pPr>
            <w:r w:rsidRPr="0039268C">
              <w:rPr>
                <w:rFonts w:ascii="Arial" w:hAnsi="Arial" w:cs="Arial"/>
                <w:sz w:val="18"/>
                <w:szCs w:val="18"/>
              </w:rPr>
              <w:t>Kontrola formálnej správnosti ukončená - zamietnutá na kontrole úplnosti</w:t>
            </w:r>
          </w:p>
        </w:tc>
      </w:tr>
      <w:tr w:rsidR="00110DFF" w:rsidRPr="00110DFF" w:rsidTr="0039268C">
        <w:trPr>
          <w:gridBefore w:val="1"/>
          <w:gridAfter w:val="1"/>
          <w:wBefore w:w="6" w:type="dxa"/>
          <w:wAfter w:w="419" w:type="dxa"/>
          <w:jc w:val="center"/>
        </w:trPr>
        <w:tc>
          <w:tcPr>
            <w:tcW w:w="3102" w:type="dxa"/>
            <w:gridSpan w:val="2"/>
          </w:tcPr>
          <w:p w:rsidR="009F148C" w:rsidRPr="0039268C" w:rsidRDefault="009F148C" w:rsidP="000A02D3">
            <w:pPr>
              <w:spacing w:line="360" w:lineRule="auto"/>
              <w:jc w:val="both"/>
              <w:rPr>
                <w:rFonts w:ascii="Arial" w:hAnsi="Arial" w:cs="Arial"/>
                <w:bCs/>
                <w:iCs/>
                <w:sz w:val="18"/>
                <w:szCs w:val="18"/>
              </w:rPr>
            </w:pPr>
            <w:r w:rsidRPr="0039268C">
              <w:rPr>
                <w:rFonts w:ascii="Arial" w:hAnsi="Arial" w:cs="Arial"/>
                <w:bCs/>
                <w:iCs/>
                <w:sz w:val="18"/>
                <w:szCs w:val="18"/>
              </w:rPr>
              <w:t>Rozpočet v €:</w:t>
            </w:r>
          </w:p>
        </w:tc>
        <w:tc>
          <w:tcPr>
            <w:tcW w:w="5826" w:type="dxa"/>
            <w:gridSpan w:val="3"/>
          </w:tcPr>
          <w:p w:rsidR="009F148C" w:rsidRPr="0039268C" w:rsidRDefault="009F148C" w:rsidP="000A02D3">
            <w:pPr>
              <w:spacing w:line="360" w:lineRule="auto"/>
              <w:jc w:val="both"/>
              <w:rPr>
                <w:rFonts w:ascii="Arial" w:hAnsi="Arial" w:cs="Arial"/>
                <w:sz w:val="18"/>
                <w:szCs w:val="18"/>
              </w:rPr>
            </w:pPr>
            <w:r w:rsidRPr="0039268C">
              <w:rPr>
                <w:rFonts w:ascii="Arial" w:hAnsi="Arial" w:cs="Arial"/>
                <w:sz w:val="18"/>
                <w:szCs w:val="18"/>
              </w:rPr>
              <w:t>20 331 619,35 €</w:t>
            </w:r>
          </w:p>
        </w:tc>
      </w:tr>
      <w:tr w:rsidR="00110DFF" w:rsidRPr="00110DFF" w:rsidTr="0039268C">
        <w:trPr>
          <w:gridBefore w:val="1"/>
          <w:gridAfter w:val="1"/>
          <w:wBefore w:w="6" w:type="dxa"/>
          <w:wAfter w:w="419" w:type="dxa"/>
          <w:jc w:val="center"/>
        </w:trPr>
        <w:tc>
          <w:tcPr>
            <w:tcW w:w="3102" w:type="dxa"/>
            <w:gridSpan w:val="2"/>
          </w:tcPr>
          <w:p w:rsidR="009F148C" w:rsidRPr="0039268C" w:rsidRDefault="009F148C" w:rsidP="000A02D3">
            <w:pPr>
              <w:spacing w:line="360" w:lineRule="auto"/>
              <w:jc w:val="both"/>
              <w:rPr>
                <w:rFonts w:ascii="Arial" w:hAnsi="Arial" w:cs="Arial"/>
                <w:bCs/>
                <w:iCs/>
                <w:sz w:val="18"/>
                <w:szCs w:val="18"/>
              </w:rPr>
            </w:pPr>
            <w:r w:rsidRPr="0039268C">
              <w:rPr>
                <w:rFonts w:ascii="Arial" w:hAnsi="Arial" w:cs="Arial"/>
                <w:bCs/>
                <w:iCs/>
                <w:sz w:val="18"/>
                <w:szCs w:val="18"/>
              </w:rPr>
              <w:t>Finančná realizácia:</w:t>
            </w:r>
          </w:p>
        </w:tc>
        <w:tc>
          <w:tcPr>
            <w:tcW w:w="5826" w:type="dxa"/>
            <w:gridSpan w:val="3"/>
          </w:tcPr>
          <w:p w:rsidR="009F148C" w:rsidRPr="0039268C" w:rsidRDefault="009F148C" w:rsidP="000A02D3">
            <w:pPr>
              <w:spacing w:line="360" w:lineRule="auto"/>
              <w:jc w:val="both"/>
              <w:rPr>
                <w:rFonts w:ascii="Arial" w:hAnsi="Arial" w:cs="Arial"/>
                <w:bCs/>
                <w:iCs/>
                <w:sz w:val="18"/>
                <w:szCs w:val="18"/>
              </w:rPr>
            </w:pPr>
            <w:r w:rsidRPr="0039268C">
              <w:rPr>
                <w:rFonts w:ascii="Arial" w:hAnsi="Arial" w:cs="Arial"/>
                <w:bCs/>
                <w:iCs/>
                <w:sz w:val="18"/>
                <w:szCs w:val="18"/>
              </w:rPr>
              <w:t>N/A</w:t>
            </w:r>
          </w:p>
        </w:tc>
      </w:tr>
      <w:tr w:rsidR="00110DFF" w:rsidRPr="00110DFF" w:rsidTr="0039268C">
        <w:trPr>
          <w:gridBefore w:val="1"/>
          <w:gridAfter w:val="1"/>
          <w:wBefore w:w="6" w:type="dxa"/>
          <w:wAfter w:w="419" w:type="dxa"/>
          <w:jc w:val="center"/>
        </w:trPr>
        <w:tc>
          <w:tcPr>
            <w:tcW w:w="3102" w:type="dxa"/>
            <w:gridSpan w:val="2"/>
          </w:tcPr>
          <w:p w:rsidR="009F148C" w:rsidRPr="0039268C" w:rsidRDefault="009F148C" w:rsidP="000A02D3">
            <w:pPr>
              <w:spacing w:line="360" w:lineRule="auto"/>
              <w:jc w:val="both"/>
              <w:rPr>
                <w:rFonts w:ascii="Arial" w:hAnsi="Arial" w:cs="Arial"/>
                <w:bCs/>
                <w:iCs/>
                <w:sz w:val="18"/>
                <w:szCs w:val="18"/>
              </w:rPr>
            </w:pPr>
            <w:r w:rsidRPr="0039268C">
              <w:rPr>
                <w:rFonts w:ascii="Arial" w:hAnsi="Arial" w:cs="Arial"/>
                <w:bCs/>
                <w:iCs/>
                <w:sz w:val="18"/>
                <w:szCs w:val="18"/>
              </w:rPr>
              <w:t>Plnenie ukazovateľov:</w:t>
            </w:r>
          </w:p>
        </w:tc>
        <w:tc>
          <w:tcPr>
            <w:tcW w:w="5826" w:type="dxa"/>
            <w:gridSpan w:val="3"/>
          </w:tcPr>
          <w:p w:rsidR="009F148C" w:rsidRPr="0039268C" w:rsidRDefault="009F148C" w:rsidP="000A02D3">
            <w:pPr>
              <w:spacing w:line="360" w:lineRule="auto"/>
              <w:jc w:val="both"/>
              <w:rPr>
                <w:rFonts w:ascii="Arial" w:hAnsi="Arial" w:cs="Arial"/>
                <w:bCs/>
                <w:iCs/>
                <w:sz w:val="18"/>
                <w:szCs w:val="18"/>
              </w:rPr>
            </w:pPr>
            <w:r w:rsidRPr="0039268C">
              <w:rPr>
                <w:rFonts w:ascii="Arial" w:hAnsi="Arial" w:cs="Arial"/>
                <w:bCs/>
                <w:iCs/>
                <w:sz w:val="18"/>
                <w:szCs w:val="18"/>
              </w:rPr>
              <w:t>N/A</w:t>
            </w:r>
          </w:p>
        </w:tc>
      </w:tr>
      <w:tr w:rsidR="00607533" w:rsidRPr="00110DFF" w:rsidTr="0039268C">
        <w:tblPrEx>
          <w:jc w:val="left"/>
        </w:tblPrEx>
        <w:trPr>
          <w:gridBefore w:val="2"/>
          <w:wBefore w:w="416" w:type="dxa"/>
        </w:trPr>
        <w:tc>
          <w:tcPr>
            <w:tcW w:w="3119" w:type="dxa"/>
            <w:gridSpan w:val="3"/>
            <w:shd w:val="clear" w:color="auto" w:fill="D6E3BC"/>
          </w:tcPr>
          <w:p w:rsidR="009F148C" w:rsidRPr="0039268C" w:rsidRDefault="009F148C" w:rsidP="000A02D3">
            <w:pPr>
              <w:spacing w:line="360" w:lineRule="auto"/>
              <w:jc w:val="both"/>
              <w:rPr>
                <w:rFonts w:ascii="Arial" w:hAnsi="Arial" w:cs="Arial"/>
                <w:bCs/>
                <w:iCs/>
                <w:sz w:val="18"/>
                <w:szCs w:val="18"/>
              </w:rPr>
            </w:pPr>
            <w:r w:rsidRPr="0039268C">
              <w:rPr>
                <w:rFonts w:ascii="Arial" w:hAnsi="Arial" w:cs="Arial"/>
                <w:bCs/>
                <w:iCs/>
                <w:sz w:val="18"/>
                <w:szCs w:val="18"/>
              </w:rPr>
              <w:t>Názov projektu:</w:t>
            </w:r>
          </w:p>
        </w:tc>
        <w:tc>
          <w:tcPr>
            <w:tcW w:w="5818" w:type="dxa"/>
            <w:gridSpan w:val="2"/>
            <w:shd w:val="clear" w:color="auto" w:fill="D6E3BC"/>
          </w:tcPr>
          <w:p w:rsidR="009F148C" w:rsidRPr="0039268C" w:rsidRDefault="009F148C" w:rsidP="000A02D3">
            <w:pPr>
              <w:spacing w:line="360" w:lineRule="auto"/>
              <w:jc w:val="both"/>
              <w:rPr>
                <w:rFonts w:ascii="Arial" w:hAnsi="Arial" w:cs="Arial"/>
                <w:b/>
                <w:sz w:val="18"/>
                <w:szCs w:val="18"/>
              </w:rPr>
            </w:pPr>
            <w:r w:rsidRPr="0039268C">
              <w:rPr>
                <w:rFonts w:ascii="Arial" w:hAnsi="Arial" w:cs="Arial"/>
                <w:b/>
                <w:sz w:val="18"/>
                <w:szCs w:val="18"/>
              </w:rPr>
              <w:t>Vyšná Hutka, Nižná Hutka - skupinový vodovod</w:t>
            </w:r>
          </w:p>
        </w:tc>
      </w:tr>
      <w:tr w:rsidR="00110DFF" w:rsidRPr="00110DFF" w:rsidTr="0039268C">
        <w:trPr>
          <w:gridAfter w:val="1"/>
          <w:wAfter w:w="419" w:type="dxa"/>
          <w:jc w:val="center"/>
        </w:trPr>
        <w:tc>
          <w:tcPr>
            <w:tcW w:w="3118" w:type="dxa"/>
            <w:gridSpan w:val="4"/>
          </w:tcPr>
          <w:p w:rsidR="009F148C" w:rsidRPr="0039268C" w:rsidRDefault="009F148C" w:rsidP="000A02D3">
            <w:pPr>
              <w:spacing w:line="360" w:lineRule="auto"/>
              <w:jc w:val="both"/>
              <w:rPr>
                <w:rFonts w:ascii="Arial" w:hAnsi="Arial" w:cs="Arial"/>
                <w:bCs/>
                <w:iCs/>
                <w:sz w:val="18"/>
                <w:szCs w:val="18"/>
              </w:rPr>
            </w:pPr>
            <w:r w:rsidRPr="0039268C">
              <w:rPr>
                <w:rFonts w:ascii="Arial" w:hAnsi="Arial" w:cs="Arial"/>
                <w:bCs/>
                <w:iCs/>
                <w:sz w:val="18"/>
                <w:szCs w:val="18"/>
              </w:rPr>
              <w:t xml:space="preserve">Prijímateľ: </w:t>
            </w:r>
          </w:p>
        </w:tc>
        <w:tc>
          <w:tcPr>
            <w:tcW w:w="5816" w:type="dxa"/>
            <w:gridSpan w:val="2"/>
          </w:tcPr>
          <w:p w:rsidR="009F148C" w:rsidRPr="0039268C" w:rsidRDefault="009F148C" w:rsidP="000A02D3">
            <w:pPr>
              <w:spacing w:line="360" w:lineRule="auto"/>
              <w:jc w:val="both"/>
              <w:rPr>
                <w:rFonts w:ascii="Arial" w:hAnsi="Arial" w:cs="Arial"/>
                <w:sz w:val="18"/>
                <w:szCs w:val="18"/>
              </w:rPr>
            </w:pPr>
            <w:r w:rsidRPr="0039268C">
              <w:rPr>
                <w:rFonts w:ascii="Arial" w:hAnsi="Arial" w:cs="Arial"/>
                <w:sz w:val="18"/>
                <w:szCs w:val="18"/>
              </w:rPr>
              <w:t>Východoslovenská vodárenská spoločnosť, a.s. Košice</w:t>
            </w:r>
          </w:p>
        </w:tc>
      </w:tr>
      <w:tr w:rsidR="00110DFF" w:rsidRPr="000426FA" w:rsidTr="0039268C">
        <w:trPr>
          <w:gridAfter w:val="1"/>
          <w:wAfter w:w="419" w:type="dxa"/>
          <w:jc w:val="center"/>
        </w:trPr>
        <w:tc>
          <w:tcPr>
            <w:tcW w:w="3118" w:type="dxa"/>
            <w:gridSpan w:val="4"/>
          </w:tcPr>
          <w:p w:rsidR="009F148C" w:rsidRPr="0039268C" w:rsidRDefault="009F148C" w:rsidP="000A02D3">
            <w:pPr>
              <w:spacing w:line="360" w:lineRule="auto"/>
              <w:jc w:val="both"/>
              <w:rPr>
                <w:rFonts w:ascii="Arial" w:hAnsi="Arial" w:cs="Arial"/>
                <w:b/>
                <w:bCs/>
                <w:iCs/>
                <w:sz w:val="18"/>
                <w:szCs w:val="18"/>
              </w:rPr>
            </w:pPr>
            <w:r w:rsidRPr="0039268C">
              <w:rPr>
                <w:rFonts w:ascii="Arial" w:hAnsi="Arial" w:cs="Arial"/>
                <w:b/>
                <w:bCs/>
                <w:iCs/>
                <w:sz w:val="18"/>
                <w:szCs w:val="18"/>
              </w:rPr>
              <w:t>Stav implementácie:</w:t>
            </w:r>
          </w:p>
        </w:tc>
        <w:tc>
          <w:tcPr>
            <w:tcW w:w="5816" w:type="dxa"/>
            <w:gridSpan w:val="2"/>
          </w:tcPr>
          <w:p w:rsidR="009F148C" w:rsidRPr="0039268C" w:rsidRDefault="009F148C" w:rsidP="000A02D3">
            <w:pPr>
              <w:spacing w:line="360" w:lineRule="auto"/>
              <w:jc w:val="both"/>
              <w:rPr>
                <w:rFonts w:ascii="Arial" w:hAnsi="Arial" w:cs="Arial"/>
                <w:b/>
                <w:sz w:val="18"/>
                <w:szCs w:val="18"/>
              </w:rPr>
            </w:pPr>
            <w:r w:rsidRPr="0039268C">
              <w:rPr>
                <w:rFonts w:ascii="Arial" w:hAnsi="Arial" w:cs="Arial"/>
                <w:b/>
                <w:sz w:val="18"/>
                <w:szCs w:val="18"/>
              </w:rPr>
              <w:t>ŽoNFP neschválená – nedostatočná výška alokácie</w:t>
            </w:r>
          </w:p>
        </w:tc>
      </w:tr>
      <w:tr w:rsidR="00110DFF" w:rsidRPr="00110DFF" w:rsidTr="0039268C">
        <w:trPr>
          <w:gridAfter w:val="1"/>
          <w:wAfter w:w="419" w:type="dxa"/>
          <w:jc w:val="center"/>
        </w:trPr>
        <w:tc>
          <w:tcPr>
            <w:tcW w:w="3119" w:type="dxa"/>
            <w:gridSpan w:val="4"/>
          </w:tcPr>
          <w:p w:rsidR="009F148C" w:rsidRPr="0039268C" w:rsidRDefault="009F148C" w:rsidP="000A02D3">
            <w:pPr>
              <w:spacing w:line="360" w:lineRule="auto"/>
              <w:jc w:val="both"/>
              <w:rPr>
                <w:rFonts w:ascii="Arial" w:hAnsi="Arial" w:cs="Arial"/>
                <w:bCs/>
                <w:iCs/>
                <w:sz w:val="18"/>
                <w:szCs w:val="18"/>
              </w:rPr>
            </w:pPr>
            <w:r w:rsidRPr="0039268C">
              <w:rPr>
                <w:rFonts w:ascii="Arial" w:hAnsi="Arial" w:cs="Arial"/>
                <w:bCs/>
                <w:iCs/>
                <w:sz w:val="18"/>
                <w:szCs w:val="18"/>
              </w:rPr>
              <w:t>Rozpočet v €:</w:t>
            </w:r>
          </w:p>
        </w:tc>
        <w:tc>
          <w:tcPr>
            <w:tcW w:w="5815" w:type="dxa"/>
            <w:gridSpan w:val="2"/>
          </w:tcPr>
          <w:p w:rsidR="009F148C" w:rsidRPr="0039268C" w:rsidRDefault="009F148C" w:rsidP="000A02D3">
            <w:pPr>
              <w:spacing w:line="360" w:lineRule="auto"/>
              <w:jc w:val="both"/>
              <w:rPr>
                <w:rFonts w:ascii="Arial" w:hAnsi="Arial" w:cs="Arial"/>
                <w:sz w:val="18"/>
                <w:szCs w:val="18"/>
              </w:rPr>
            </w:pPr>
            <w:r w:rsidRPr="0039268C">
              <w:rPr>
                <w:rFonts w:ascii="Arial" w:hAnsi="Arial" w:cs="Arial"/>
                <w:sz w:val="18"/>
                <w:szCs w:val="18"/>
              </w:rPr>
              <w:t>2 011 784,69 €</w:t>
            </w:r>
          </w:p>
        </w:tc>
      </w:tr>
      <w:tr w:rsidR="00110DFF" w:rsidRPr="00110DFF" w:rsidTr="0039268C">
        <w:trPr>
          <w:gridAfter w:val="1"/>
          <w:wAfter w:w="419" w:type="dxa"/>
          <w:jc w:val="center"/>
        </w:trPr>
        <w:tc>
          <w:tcPr>
            <w:tcW w:w="3119" w:type="dxa"/>
            <w:gridSpan w:val="4"/>
          </w:tcPr>
          <w:p w:rsidR="009F148C" w:rsidRPr="0039268C" w:rsidRDefault="009F148C" w:rsidP="000A02D3">
            <w:pPr>
              <w:spacing w:line="360" w:lineRule="auto"/>
              <w:jc w:val="both"/>
              <w:rPr>
                <w:rFonts w:ascii="Arial" w:hAnsi="Arial" w:cs="Arial"/>
                <w:bCs/>
                <w:iCs/>
                <w:sz w:val="18"/>
                <w:szCs w:val="18"/>
              </w:rPr>
            </w:pPr>
            <w:r w:rsidRPr="0039268C">
              <w:rPr>
                <w:rFonts w:ascii="Arial" w:hAnsi="Arial" w:cs="Arial"/>
                <w:bCs/>
                <w:iCs/>
                <w:sz w:val="18"/>
                <w:szCs w:val="18"/>
              </w:rPr>
              <w:t>Finančná realizácia:</w:t>
            </w:r>
          </w:p>
        </w:tc>
        <w:tc>
          <w:tcPr>
            <w:tcW w:w="5815" w:type="dxa"/>
            <w:gridSpan w:val="2"/>
          </w:tcPr>
          <w:p w:rsidR="009F148C" w:rsidRPr="0039268C" w:rsidRDefault="009F148C" w:rsidP="000A02D3">
            <w:pPr>
              <w:spacing w:line="360" w:lineRule="auto"/>
              <w:jc w:val="both"/>
              <w:rPr>
                <w:rFonts w:ascii="Arial" w:hAnsi="Arial" w:cs="Arial"/>
                <w:sz w:val="18"/>
                <w:szCs w:val="18"/>
              </w:rPr>
            </w:pPr>
            <w:r w:rsidRPr="0039268C">
              <w:rPr>
                <w:rFonts w:ascii="Arial" w:hAnsi="Arial" w:cs="Arial"/>
                <w:sz w:val="18"/>
                <w:szCs w:val="18"/>
              </w:rPr>
              <w:t>N/A</w:t>
            </w:r>
          </w:p>
        </w:tc>
      </w:tr>
      <w:tr w:rsidR="00110DFF" w:rsidRPr="00110DFF" w:rsidTr="0039268C">
        <w:trPr>
          <w:gridAfter w:val="1"/>
          <w:wAfter w:w="419" w:type="dxa"/>
          <w:jc w:val="center"/>
        </w:trPr>
        <w:tc>
          <w:tcPr>
            <w:tcW w:w="3119" w:type="dxa"/>
            <w:gridSpan w:val="4"/>
          </w:tcPr>
          <w:p w:rsidR="009F148C" w:rsidRPr="0039268C" w:rsidRDefault="009F148C" w:rsidP="000A02D3">
            <w:pPr>
              <w:spacing w:line="360" w:lineRule="auto"/>
              <w:jc w:val="both"/>
              <w:rPr>
                <w:rFonts w:ascii="Arial" w:hAnsi="Arial" w:cs="Arial"/>
                <w:bCs/>
                <w:iCs/>
                <w:sz w:val="18"/>
                <w:szCs w:val="18"/>
              </w:rPr>
            </w:pPr>
            <w:r w:rsidRPr="0039268C">
              <w:rPr>
                <w:rFonts w:ascii="Arial" w:hAnsi="Arial" w:cs="Arial"/>
                <w:bCs/>
                <w:iCs/>
                <w:sz w:val="18"/>
                <w:szCs w:val="18"/>
              </w:rPr>
              <w:t>Plnenie ukazovateľov:</w:t>
            </w:r>
          </w:p>
        </w:tc>
        <w:tc>
          <w:tcPr>
            <w:tcW w:w="5815" w:type="dxa"/>
            <w:gridSpan w:val="2"/>
          </w:tcPr>
          <w:p w:rsidR="009F148C" w:rsidRPr="0039268C" w:rsidRDefault="009F148C" w:rsidP="000A02D3">
            <w:pPr>
              <w:spacing w:line="360" w:lineRule="auto"/>
              <w:jc w:val="both"/>
              <w:rPr>
                <w:rFonts w:ascii="Arial" w:hAnsi="Arial" w:cs="Arial"/>
                <w:sz w:val="18"/>
                <w:szCs w:val="18"/>
              </w:rPr>
            </w:pPr>
            <w:r w:rsidRPr="0039268C">
              <w:rPr>
                <w:rFonts w:ascii="Arial" w:hAnsi="Arial" w:cs="Arial"/>
                <w:sz w:val="18"/>
                <w:szCs w:val="18"/>
              </w:rPr>
              <w:t>N/A</w:t>
            </w:r>
          </w:p>
        </w:tc>
      </w:tr>
      <w:tr w:rsidR="00110DFF" w:rsidRPr="00110DFF" w:rsidTr="0039268C">
        <w:trPr>
          <w:gridBefore w:val="1"/>
          <w:gridAfter w:val="1"/>
          <w:wBefore w:w="6" w:type="dxa"/>
          <w:wAfter w:w="419" w:type="dxa"/>
          <w:jc w:val="center"/>
        </w:trPr>
        <w:tc>
          <w:tcPr>
            <w:tcW w:w="3102" w:type="dxa"/>
            <w:gridSpan w:val="2"/>
            <w:shd w:val="clear" w:color="auto" w:fill="D6E3BC"/>
          </w:tcPr>
          <w:p w:rsidR="009F148C" w:rsidRPr="0039268C" w:rsidRDefault="009F148C" w:rsidP="000A02D3">
            <w:pPr>
              <w:spacing w:line="360" w:lineRule="auto"/>
              <w:jc w:val="both"/>
              <w:rPr>
                <w:rFonts w:ascii="Arial" w:hAnsi="Arial" w:cs="Arial"/>
                <w:bCs/>
                <w:iCs/>
                <w:sz w:val="18"/>
                <w:szCs w:val="18"/>
              </w:rPr>
            </w:pPr>
            <w:r w:rsidRPr="0039268C">
              <w:rPr>
                <w:rFonts w:ascii="Arial" w:hAnsi="Arial" w:cs="Arial"/>
                <w:bCs/>
                <w:iCs/>
                <w:sz w:val="18"/>
                <w:szCs w:val="18"/>
              </w:rPr>
              <w:t>Názov projektu:</w:t>
            </w:r>
          </w:p>
        </w:tc>
        <w:tc>
          <w:tcPr>
            <w:tcW w:w="5826" w:type="dxa"/>
            <w:gridSpan w:val="3"/>
            <w:shd w:val="clear" w:color="auto" w:fill="D6E3BC"/>
          </w:tcPr>
          <w:p w:rsidR="009F148C" w:rsidRPr="0039268C" w:rsidRDefault="009F148C" w:rsidP="000A02D3">
            <w:pPr>
              <w:spacing w:line="360" w:lineRule="auto"/>
              <w:jc w:val="both"/>
              <w:rPr>
                <w:rFonts w:ascii="Arial" w:hAnsi="Arial" w:cs="Arial"/>
                <w:b/>
                <w:sz w:val="18"/>
                <w:szCs w:val="18"/>
              </w:rPr>
            </w:pPr>
            <w:r w:rsidRPr="0039268C">
              <w:rPr>
                <w:rFonts w:ascii="Arial" w:hAnsi="Arial" w:cs="Arial"/>
                <w:b/>
                <w:sz w:val="18"/>
                <w:szCs w:val="18"/>
              </w:rPr>
              <w:t>Valaliky, Geča, Barca - vodovod a kanalizácia</w:t>
            </w:r>
          </w:p>
        </w:tc>
      </w:tr>
      <w:tr w:rsidR="00110DFF" w:rsidRPr="00110DFF" w:rsidTr="0039268C">
        <w:trPr>
          <w:gridBefore w:val="1"/>
          <w:gridAfter w:val="1"/>
          <w:wBefore w:w="6" w:type="dxa"/>
          <w:wAfter w:w="419" w:type="dxa"/>
          <w:jc w:val="center"/>
        </w:trPr>
        <w:tc>
          <w:tcPr>
            <w:tcW w:w="3102" w:type="dxa"/>
            <w:gridSpan w:val="2"/>
          </w:tcPr>
          <w:p w:rsidR="009F148C" w:rsidRPr="0039268C" w:rsidRDefault="009F148C" w:rsidP="000A02D3">
            <w:pPr>
              <w:spacing w:line="360" w:lineRule="auto"/>
              <w:jc w:val="both"/>
              <w:rPr>
                <w:rFonts w:ascii="Arial" w:hAnsi="Arial" w:cs="Arial"/>
                <w:bCs/>
                <w:iCs/>
                <w:sz w:val="18"/>
                <w:szCs w:val="18"/>
              </w:rPr>
            </w:pPr>
            <w:r w:rsidRPr="0039268C">
              <w:rPr>
                <w:rFonts w:ascii="Arial" w:hAnsi="Arial" w:cs="Arial"/>
                <w:bCs/>
                <w:iCs/>
                <w:sz w:val="18"/>
                <w:szCs w:val="18"/>
              </w:rPr>
              <w:t xml:space="preserve">Prijímateľ: </w:t>
            </w:r>
          </w:p>
        </w:tc>
        <w:tc>
          <w:tcPr>
            <w:tcW w:w="5826" w:type="dxa"/>
            <w:gridSpan w:val="3"/>
          </w:tcPr>
          <w:p w:rsidR="009F148C" w:rsidRPr="0039268C" w:rsidRDefault="009F148C" w:rsidP="000A02D3">
            <w:pPr>
              <w:spacing w:line="360" w:lineRule="auto"/>
              <w:jc w:val="both"/>
              <w:rPr>
                <w:rFonts w:ascii="Arial" w:hAnsi="Arial" w:cs="Arial"/>
                <w:bCs/>
                <w:iCs/>
                <w:sz w:val="18"/>
                <w:szCs w:val="18"/>
              </w:rPr>
            </w:pPr>
            <w:r w:rsidRPr="0039268C">
              <w:rPr>
                <w:rFonts w:ascii="Arial" w:hAnsi="Arial" w:cs="Arial"/>
                <w:bCs/>
                <w:iCs/>
                <w:sz w:val="18"/>
                <w:szCs w:val="18"/>
              </w:rPr>
              <w:t>Východoslovenská vodárenská spoločnosť, a.s. Košice</w:t>
            </w:r>
          </w:p>
        </w:tc>
      </w:tr>
      <w:tr w:rsidR="00110DFF" w:rsidRPr="00110DFF" w:rsidTr="0039268C">
        <w:trPr>
          <w:gridBefore w:val="1"/>
          <w:gridAfter w:val="1"/>
          <w:wBefore w:w="6" w:type="dxa"/>
          <w:wAfter w:w="419" w:type="dxa"/>
          <w:jc w:val="center"/>
        </w:trPr>
        <w:tc>
          <w:tcPr>
            <w:tcW w:w="3102" w:type="dxa"/>
            <w:gridSpan w:val="2"/>
          </w:tcPr>
          <w:p w:rsidR="009F148C" w:rsidRPr="0039268C" w:rsidRDefault="009F148C" w:rsidP="000A02D3">
            <w:pPr>
              <w:spacing w:line="360" w:lineRule="auto"/>
              <w:jc w:val="both"/>
              <w:rPr>
                <w:rFonts w:ascii="Arial" w:hAnsi="Arial" w:cs="Arial"/>
                <w:bCs/>
                <w:iCs/>
                <w:sz w:val="18"/>
                <w:szCs w:val="18"/>
              </w:rPr>
            </w:pPr>
            <w:r w:rsidRPr="0039268C">
              <w:rPr>
                <w:rFonts w:ascii="Arial" w:hAnsi="Arial" w:cs="Arial"/>
                <w:bCs/>
                <w:iCs/>
                <w:sz w:val="18"/>
                <w:szCs w:val="18"/>
              </w:rPr>
              <w:t>Stav implementácie:</w:t>
            </w:r>
          </w:p>
        </w:tc>
        <w:tc>
          <w:tcPr>
            <w:tcW w:w="5826" w:type="dxa"/>
            <w:gridSpan w:val="3"/>
          </w:tcPr>
          <w:p w:rsidR="009F148C" w:rsidRPr="0039268C" w:rsidRDefault="009F148C" w:rsidP="000A02D3">
            <w:pPr>
              <w:spacing w:line="360" w:lineRule="auto"/>
              <w:jc w:val="both"/>
              <w:rPr>
                <w:rFonts w:ascii="Arial" w:hAnsi="Arial" w:cs="Arial"/>
                <w:bCs/>
                <w:iCs/>
                <w:sz w:val="18"/>
                <w:szCs w:val="18"/>
              </w:rPr>
            </w:pPr>
            <w:r w:rsidRPr="0039268C">
              <w:rPr>
                <w:rFonts w:ascii="Arial" w:hAnsi="Arial" w:cs="Arial"/>
                <w:sz w:val="18"/>
                <w:szCs w:val="18"/>
              </w:rPr>
              <w:t>ŽoNFP neschválená – nedostatočná výška alokácie</w:t>
            </w:r>
          </w:p>
        </w:tc>
      </w:tr>
      <w:tr w:rsidR="00110DFF" w:rsidRPr="00110DFF" w:rsidTr="0039268C">
        <w:trPr>
          <w:gridBefore w:val="1"/>
          <w:gridAfter w:val="1"/>
          <w:wBefore w:w="6" w:type="dxa"/>
          <w:wAfter w:w="419" w:type="dxa"/>
          <w:jc w:val="center"/>
        </w:trPr>
        <w:tc>
          <w:tcPr>
            <w:tcW w:w="3102" w:type="dxa"/>
            <w:gridSpan w:val="2"/>
          </w:tcPr>
          <w:p w:rsidR="009F148C" w:rsidRPr="0039268C" w:rsidRDefault="009F148C" w:rsidP="000A02D3">
            <w:pPr>
              <w:spacing w:line="360" w:lineRule="auto"/>
              <w:jc w:val="both"/>
              <w:rPr>
                <w:rFonts w:ascii="Arial" w:hAnsi="Arial" w:cs="Arial"/>
                <w:bCs/>
                <w:iCs/>
                <w:sz w:val="18"/>
                <w:szCs w:val="18"/>
              </w:rPr>
            </w:pPr>
            <w:r w:rsidRPr="0039268C">
              <w:rPr>
                <w:rFonts w:ascii="Arial" w:hAnsi="Arial" w:cs="Arial"/>
                <w:bCs/>
                <w:iCs/>
                <w:sz w:val="18"/>
                <w:szCs w:val="18"/>
              </w:rPr>
              <w:t>Rozpočet v €:</w:t>
            </w:r>
          </w:p>
        </w:tc>
        <w:tc>
          <w:tcPr>
            <w:tcW w:w="5826" w:type="dxa"/>
            <w:gridSpan w:val="3"/>
          </w:tcPr>
          <w:p w:rsidR="009F148C" w:rsidRPr="0039268C" w:rsidRDefault="009F148C" w:rsidP="000A02D3">
            <w:pPr>
              <w:spacing w:line="360" w:lineRule="auto"/>
              <w:jc w:val="both"/>
              <w:rPr>
                <w:rFonts w:ascii="Arial" w:hAnsi="Arial" w:cs="Arial"/>
                <w:bCs/>
                <w:iCs/>
                <w:sz w:val="18"/>
                <w:szCs w:val="18"/>
              </w:rPr>
            </w:pPr>
            <w:r w:rsidRPr="0039268C">
              <w:rPr>
                <w:rFonts w:ascii="Arial" w:hAnsi="Arial" w:cs="Arial"/>
                <w:bCs/>
                <w:iCs/>
                <w:sz w:val="18"/>
                <w:szCs w:val="18"/>
              </w:rPr>
              <w:t xml:space="preserve">16 577 613,31 </w:t>
            </w:r>
            <w:r w:rsidRPr="0039268C">
              <w:rPr>
                <w:rFonts w:ascii="Arial" w:hAnsi="Arial" w:cs="Arial"/>
                <w:sz w:val="18"/>
                <w:szCs w:val="18"/>
              </w:rPr>
              <w:t>€</w:t>
            </w:r>
            <w:r w:rsidRPr="0039268C">
              <w:rPr>
                <w:rFonts w:ascii="Arial" w:hAnsi="Arial" w:cs="Arial"/>
                <w:bCs/>
                <w:iCs/>
                <w:sz w:val="18"/>
                <w:szCs w:val="18"/>
              </w:rPr>
              <w:t xml:space="preserve"> </w:t>
            </w:r>
          </w:p>
        </w:tc>
      </w:tr>
      <w:tr w:rsidR="00110DFF" w:rsidRPr="00110DFF" w:rsidTr="0039268C">
        <w:trPr>
          <w:gridBefore w:val="1"/>
          <w:gridAfter w:val="1"/>
          <w:wBefore w:w="6" w:type="dxa"/>
          <w:wAfter w:w="419" w:type="dxa"/>
          <w:jc w:val="center"/>
        </w:trPr>
        <w:tc>
          <w:tcPr>
            <w:tcW w:w="3102" w:type="dxa"/>
            <w:gridSpan w:val="2"/>
          </w:tcPr>
          <w:p w:rsidR="009F148C" w:rsidRPr="0039268C" w:rsidRDefault="009F148C" w:rsidP="000A02D3">
            <w:pPr>
              <w:spacing w:line="360" w:lineRule="auto"/>
              <w:jc w:val="both"/>
              <w:rPr>
                <w:rFonts w:ascii="Arial" w:hAnsi="Arial" w:cs="Arial"/>
                <w:bCs/>
                <w:iCs/>
                <w:sz w:val="18"/>
                <w:szCs w:val="18"/>
              </w:rPr>
            </w:pPr>
            <w:r w:rsidRPr="0039268C">
              <w:rPr>
                <w:rFonts w:ascii="Arial" w:hAnsi="Arial" w:cs="Arial"/>
                <w:bCs/>
                <w:iCs/>
                <w:sz w:val="18"/>
                <w:szCs w:val="18"/>
              </w:rPr>
              <w:t>Finančná realizácia:</w:t>
            </w:r>
          </w:p>
        </w:tc>
        <w:tc>
          <w:tcPr>
            <w:tcW w:w="5826" w:type="dxa"/>
            <w:gridSpan w:val="3"/>
          </w:tcPr>
          <w:p w:rsidR="009F148C" w:rsidRPr="0039268C" w:rsidRDefault="009F148C" w:rsidP="000A02D3">
            <w:pPr>
              <w:spacing w:line="360" w:lineRule="auto"/>
              <w:jc w:val="both"/>
              <w:rPr>
                <w:rFonts w:ascii="Arial" w:hAnsi="Arial" w:cs="Arial"/>
                <w:bCs/>
                <w:iCs/>
                <w:sz w:val="18"/>
                <w:szCs w:val="18"/>
              </w:rPr>
            </w:pPr>
            <w:r w:rsidRPr="0039268C">
              <w:rPr>
                <w:rFonts w:ascii="Arial" w:hAnsi="Arial" w:cs="Arial"/>
                <w:bCs/>
                <w:iCs/>
                <w:sz w:val="18"/>
                <w:szCs w:val="18"/>
              </w:rPr>
              <w:t>N/A</w:t>
            </w:r>
          </w:p>
        </w:tc>
      </w:tr>
      <w:tr w:rsidR="00110DFF" w:rsidRPr="00110DFF" w:rsidTr="0039268C">
        <w:trPr>
          <w:gridBefore w:val="1"/>
          <w:gridAfter w:val="1"/>
          <w:wBefore w:w="6" w:type="dxa"/>
          <w:wAfter w:w="419" w:type="dxa"/>
          <w:jc w:val="center"/>
        </w:trPr>
        <w:tc>
          <w:tcPr>
            <w:tcW w:w="3102" w:type="dxa"/>
            <w:gridSpan w:val="2"/>
          </w:tcPr>
          <w:p w:rsidR="009F148C" w:rsidRPr="0039268C" w:rsidRDefault="009F148C" w:rsidP="000A02D3">
            <w:pPr>
              <w:spacing w:line="360" w:lineRule="auto"/>
              <w:jc w:val="both"/>
              <w:rPr>
                <w:rFonts w:ascii="Arial" w:hAnsi="Arial" w:cs="Arial"/>
                <w:bCs/>
                <w:iCs/>
                <w:sz w:val="18"/>
                <w:szCs w:val="18"/>
              </w:rPr>
            </w:pPr>
            <w:r w:rsidRPr="0039268C">
              <w:rPr>
                <w:rFonts w:ascii="Arial" w:hAnsi="Arial" w:cs="Arial"/>
                <w:bCs/>
                <w:iCs/>
                <w:sz w:val="18"/>
                <w:szCs w:val="18"/>
              </w:rPr>
              <w:t>Plnenie ukazovateľov:</w:t>
            </w:r>
          </w:p>
        </w:tc>
        <w:tc>
          <w:tcPr>
            <w:tcW w:w="5826" w:type="dxa"/>
            <w:gridSpan w:val="3"/>
          </w:tcPr>
          <w:p w:rsidR="009F148C" w:rsidRPr="0039268C" w:rsidRDefault="009F148C" w:rsidP="000A02D3">
            <w:pPr>
              <w:spacing w:line="360" w:lineRule="auto"/>
              <w:jc w:val="both"/>
              <w:rPr>
                <w:rFonts w:ascii="Arial" w:hAnsi="Arial" w:cs="Arial"/>
                <w:bCs/>
                <w:iCs/>
                <w:sz w:val="18"/>
                <w:szCs w:val="18"/>
              </w:rPr>
            </w:pPr>
            <w:r w:rsidRPr="0039268C">
              <w:rPr>
                <w:rFonts w:ascii="Arial" w:hAnsi="Arial" w:cs="Arial"/>
                <w:bCs/>
                <w:iCs/>
                <w:sz w:val="18"/>
                <w:szCs w:val="18"/>
              </w:rPr>
              <w:t>N/A</w:t>
            </w:r>
          </w:p>
        </w:tc>
      </w:tr>
    </w:tbl>
    <w:p w:rsidR="009F148C" w:rsidRPr="0039268C" w:rsidRDefault="00B77474" w:rsidP="000A02D3">
      <w:pPr>
        <w:spacing w:line="360" w:lineRule="auto"/>
        <w:jc w:val="both"/>
        <w:rPr>
          <w:rFonts w:ascii="Arial" w:hAnsi="Arial" w:cs="Arial"/>
          <w:sz w:val="18"/>
          <w:szCs w:val="18"/>
        </w:rPr>
      </w:pPr>
      <w:r w:rsidRPr="0039268C">
        <w:rPr>
          <w:rFonts w:ascii="Arial" w:hAnsi="Arial" w:cs="Arial"/>
          <w:sz w:val="18"/>
          <w:szCs w:val="18"/>
        </w:rPr>
        <w:t>Zdroj: RO</w:t>
      </w:r>
    </w:p>
    <w:p w:rsidR="000A02D3" w:rsidRDefault="009F148C" w:rsidP="00507035">
      <w:pPr>
        <w:spacing w:before="120" w:after="120" w:line="360" w:lineRule="auto"/>
        <w:jc w:val="both"/>
        <w:rPr>
          <w:rFonts w:ascii="Arial" w:hAnsi="Arial" w:cs="Arial"/>
          <w:sz w:val="20"/>
          <w:szCs w:val="20"/>
          <w:highlight w:val="yellow"/>
        </w:rPr>
      </w:pPr>
      <w:r w:rsidRPr="009F148C">
        <w:rPr>
          <w:rFonts w:ascii="Arial" w:hAnsi="Arial" w:cs="Arial"/>
          <w:sz w:val="20"/>
          <w:szCs w:val="20"/>
          <w:highlight w:val="yellow"/>
        </w:rPr>
        <w:tab/>
      </w:r>
    </w:p>
    <w:p w:rsidR="000A02D3" w:rsidRDefault="000A02D3">
      <w:pPr>
        <w:rPr>
          <w:rFonts w:ascii="Arial" w:hAnsi="Arial" w:cs="Arial"/>
          <w:sz w:val="20"/>
          <w:szCs w:val="20"/>
          <w:highlight w:val="yellow"/>
        </w:rPr>
      </w:pPr>
      <w:r>
        <w:rPr>
          <w:rFonts w:ascii="Arial" w:hAnsi="Arial" w:cs="Arial"/>
          <w:sz w:val="20"/>
          <w:szCs w:val="20"/>
          <w:highlight w:val="yellow"/>
        </w:rPr>
        <w:br w:type="page"/>
      </w:r>
    </w:p>
    <w:p w:rsidR="002416B1" w:rsidRPr="004B33AE" w:rsidRDefault="002416B1" w:rsidP="00507035">
      <w:pPr>
        <w:pStyle w:val="Nadpis1"/>
        <w:spacing w:before="120" w:after="120"/>
      </w:pPr>
      <w:bookmarkStart w:id="124" w:name="_5._Informovanosť_"/>
      <w:bookmarkStart w:id="125" w:name="_Toc319573347"/>
      <w:bookmarkEnd w:id="55"/>
      <w:bookmarkEnd w:id="124"/>
      <w:r w:rsidRPr="004B33AE">
        <w:t>6. Technická pomoc</w:t>
      </w:r>
      <w:bookmarkEnd w:id="125"/>
    </w:p>
    <w:p w:rsidR="002416B1" w:rsidRPr="004B33AE" w:rsidRDefault="002416B1" w:rsidP="00507035">
      <w:pPr>
        <w:spacing w:before="120" w:after="120"/>
      </w:pPr>
    </w:p>
    <w:p w:rsidR="002416B1" w:rsidRPr="004B33AE" w:rsidRDefault="002416B1" w:rsidP="00507035">
      <w:pPr>
        <w:pStyle w:val="Zkladntextb"/>
        <w:spacing w:before="120" w:after="120" w:line="360" w:lineRule="auto"/>
        <w:ind w:left="0"/>
        <w:jc w:val="both"/>
        <w:rPr>
          <w:lang w:val="sk-SK"/>
        </w:rPr>
      </w:pPr>
      <w:r w:rsidRPr="004B33AE">
        <w:rPr>
          <w:lang w:val="sk-SK"/>
        </w:rPr>
        <w:t>V zmysle čl. 46 všeobecného nariadenia, s cieľom zabezpečenia vysokej kvality realizácie operačného programu a jeho prioritných osí, môžu RO na všetkých úrovniach riadiacich štruktúr využívať finančné prostriedky v rámci technickej pomoci jednotlivých OP na podporu vykonávaných činností a funkcií týkajúcich sa riadenia a kontroly pomoci zo ŠF a KF v rámci daného OP, t.j. súvisiacich s prípravou, riadením, monitorovaním, hodnotením, informovaním, kontrolou a auditom spolu s činnosťami na posilnenie administratívnych kapacít v súvislosti so získaním a udržaním potrebných dostatočne erudovaných ľudských zdrojov, zabezpečením ich profesionálneho rastu a nevyhnutných odborných podkladov a adekvátnych podmienok pre ich kvalitné rozhodovanie.</w:t>
      </w:r>
    </w:p>
    <w:p w:rsidR="002416B1" w:rsidRPr="004B33AE" w:rsidRDefault="002416B1" w:rsidP="00507035">
      <w:pPr>
        <w:pStyle w:val="Zkladntextb"/>
        <w:spacing w:before="120" w:after="120" w:line="360" w:lineRule="auto"/>
        <w:ind w:left="0"/>
        <w:jc w:val="both"/>
        <w:rPr>
          <w:lang w:val="sk-SK"/>
        </w:rPr>
      </w:pPr>
      <w:r w:rsidRPr="004B33AE">
        <w:rPr>
          <w:lang w:val="sk-SK"/>
        </w:rPr>
        <w:t xml:space="preserve">O prehľade využitia prostriedkov technickej pomoci v rámci OP ŽP podľa jednotlivých prioritných činností pojednáva </w:t>
      </w:r>
      <w:r>
        <w:rPr>
          <w:lang w:val="sk-SK"/>
        </w:rPr>
        <w:t>nasledovná t</w:t>
      </w:r>
      <w:r w:rsidRPr="004B33AE">
        <w:rPr>
          <w:lang w:val="sk-SK"/>
        </w:rPr>
        <w:t>abuľka.</w:t>
      </w:r>
    </w:p>
    <w:p w:rsidR="002416B1" w:rsidRPr="004B33AE" w:rsidRDefault="002416B1" w:rsidP="000A02D3">
      <w:pPr>
        <w:pStyle w:val="Zkladntextb"/>
        <w:spacing w:after="0" w:line="360" w:lineRule="auto"/>
        <w:ind w:left="0"/>
        <w:rPr>
          <w:lang w:val="sk-SK"/>
        </w:rPr>
      </w:pPr>
      <w:r w:rsidRPr="004B33AE">
        <w:rPr>
          <w:lang w:val="sk-SK"/>
        </w:rPr>
        <w:t>Tab. č.</w:t>
      </w:r>
      <w:r w:rsidR="00C63470">
        <w:rPr>
          <w:lang w:val="sk-SK"/>
        </w:rPr>
        <w:t>84</w:t>
      </w:r>
      <w:r w:rsidRPr="004B33AE">
        <w:rPr>
          <w:lang w:val="sk-SK"/>
        </w:rPr>
        <w:t>: Prehľad využitia prostriedkov technickej pomoci podľa prioritných činností k 31.12.201</w:t>
      </w:r>
      <w:r w:rsidR="008C0150">
        <w:rPr>
          <w:lang w:val="sk-SK"/>
        </w:rPr>
        <w:t>2</w:t>
      </w:r>
    </w:p>
    <w:tbl>
      <w:tblPr>
        <w:tblW w:w="0" w:type="auto"/>
        <w:tblInd w:w="-23" w:type="dxa"/>
        <w:tblCellMar>
          <w:left w:w="0" w:type="dxa"/>
          <w:right w:w="0" w:type="dxa"/>
        </w:tblCellMar>
        <w:tblLook w:val="04A0" w:firstRow="1" w:lastRow="0" w:firstColumn="1" w:lastColumn="0" w:noHBand="0" w:noVBand="1"/>
      </w:tblPr>
      <w:tblGrid>
        <w:gridCol w:w="4254"/>
        <w:gridCol w:w="1226"/>
        <w:gridCol w:w="1559"/>
        <w:gridCol w:w="2194"/>
      </w:tblGrid>
      <w:tr w:rsidR="008C0150" w:rsidRPr="008C0150" w:rsidTr="0039268C">
        <w:trPr>
          <w:trHeight w:val="315"/>
        </w:trPr>
        <w:tc>
          <w:tcPr>
            <w:tcW w:w="0" w:type="auto"/>
            <w:vMerge w:val="restart"/>
            <w:tcBorders>
              <w:top w:val="single" w:sz="8" w:space="0" w:color="auto"/>
              <w:left w:val="single" w:sz="8" w:space="0" w:color="auto"/>
              <w:bottom w:val="single" w:sz="8" w:space="0" w:color="000000"/>
              <w:right w:val="single" w:sz="8" w:space="0" w:color="auto"/>
            </w:tcBorders>
            <w:shd w:val="clear" w:color="auto" w:fill="D6E3BC"/>
            <w:tcMar>
              <w:top w:w="0" w:type="dxa"/>
              <w:left w:w="70" w:type="dxa"/>
              <w:bottom w:w="0" w:type="dxa"/>
              <w:right w:w="70" w:type="dxa"/>
            </w:tcMar>
            <w:vAlign w:val="center"/>
            <w:hideMark/>
          </w:tcPr>
          <w:p w:rsidR="008C0150" w:rsidRPr="0039268C" w:rsidRDefault="008C0150" w:rsidP="000A02D3">
            <w:pPr>
              <w:jc w:val="center"/>
              <w:rPr>
                <w:rFonts w:ascii="Arial" w:eastAsia="Calibri" w:hAnsi="Arial" w:cs="Arial"/>
                <w:b/>
                <w:bCs/>
                <w:color w:val="000000"/>
                <w:sz w:val="18"/>
                <w:szCs w:val="18"/>
              </w:rPr>
            </w:pPr>
            <w:r w:rsidRPr="0039268C">
              <w:rPr>
                <w:rFonts w:ascii="Arial" w:hAnsi="Arial" w:cs="Arial"/>
                <w:b/>
                <w:bCs/>
                <w:color w:val="000000"/>
                <w:sz w:val="18"/>
                <w:szCs w:val="18"/>
              </w:rPr>
              <w:t>Prioritné činnosti</w:t>
            </w:r>
          </w:p>
        </w:tc>
        <w:tc>
          <w:tcPr>
            <w:tcW w:w="0" w:type="auto"/>
            <w:gridSpan w:val="3"/>
            <w:tcBorders>
              <w:top w:val="single" w:sz="8" w:space="0" w:color="auto"/>
              <w:left w:val="nil"/>
              <w:bottom w:val="single" w:sz="8" w:space="0" w:color="auto"/>
              <w:right w:val="single" w:sz="8" w:space="0" w:color="000000"/>
            </w:tcBorders>
            <w:shd w:val="clear" w:color="auto" w:fill="D6E3BC"/>
            <w:tcMar>
              <w:top w:w="0" w:type="dxa"/>
              <w:left w:w="70" w:type="dxa"/>
              <w:bottom w:w="0" w:type="dxa"/>
              <w:right w:w="70" w:type="dxa"/>
            </w:tcMar>
            <w:vAlign w:val="center"/>
            <w:hideMark/>
          </w:tcPr>
          <w:p w:rsidR="008C0150" w:rsidRPr="0039268C" w:rsidRDefault="008C0150" w:rsidP="000A02D3">
            <w:pPr>
              <w:jc w:val="center"/>
              <w:rPr>
                <w:rFonts w:ascii="Arial" w:eastAsia="Calibri" w:hAnsi="Arial" w:cs="Arial"/>
                <w:b/>
                <w:bCs/>
                <w:color w:val="000000"/>
                <w:sz w:val="18"/>
                <w:szCs w:val="18"/>
              </w:rPr>
            </w:pPr>
            <w:r w:rsidRPr="0039268C">
              <w:rPr>
                <w:rFonts w:ascii="Arial" w:hAnsi="Arial" w:cs="Arial"/>
                <w:b/>
                <w:bCs/>
                <w:color w:val="000000"/>
                <w:sz w:val="18"/>
                <w:szCs w:val="18"/>
              </w:rPr>
              <w:t>Zazmluvnená suma (EÚ zdroje)</w:t>
            </w:r>
          </w:p>
        </w:tc>
      </w:tr>
      <w:tr w:rsidR="008C0150" w:rsidRPr="008C0150" w:rsidTr="0039268C">
        <w:trPr>
          <w:trHeight w:val="780"/>
        </w:trPr>
        <w:tc>
          <w:tcPr>
            <w:tcW w:w="0" w:type="auto"/>
            <w:vMerge/>
            <w:tcBorders>
              <w:top w:val="single" w:sz="8" w:space="0" w:color="auto"/>
              <w:left w:val="single" w:sz="8" w:space="0" w:color="auto"/>
              <w:bottom w:val="single" w:sz="8" w:space="0" w:color="000000"/>
              <w:right w:val="single" w:sz="8" w:space="0" w:color="auto"/>
            </w:tcBorders>
            <w:vAlign w:val="center"/>
            <w:hideMark/>
          </w:tcPr>
          <w:p w:rsidR="008C0150" w:rsidRPr="0039268C" w:rsidRDefault="008C0150" w:rsidP="000A02D3">
            <w:pPr>
              <w:rPr>
                <w:rFonts w:ascii="Arial" w:eastAsia="Calibri" w:hAnsi="Arial" w:cs="Arial"/>
                <w:b/>
                <w:bCs/>
                <w:color w:val="000000"/>
                <w:sz w:val="18"/>
                <w:szCs w:val="18"/>
              </w:rPr>
            </w:pPr>
          </w:p>
        </w:tc>
        <w:tc>
          <w:tcPr>
            <w:tcW w:w="1226" w:type="dxa"/>
            <w:tcBorders>
              <w:top w:val="nil"/>
              <w:left w:val="nil"/>
              <w:bottom w:val="single" w:sz="8" w:space="0" w:color="auto"/>
              <w:right w:val="single" w:sz="8" w:space="0" w:color="auto"/>
            </w:tcBorders>
            <w:shd w:val="clear" w:color="auto" w:fill="D6E3BC"/>
            <w:tcMar>
              <w:top w:w="0" w:type="dxa"/>
              <w:left w:w="70" w:type="dxa"/>
              <w:bottom w:w="0" w:type="dxa"/>
              <w:right w:w="70" w:type="dxa"/>
            </w:tcMar>
            <w:vAlign w:val="center"/>
            <w:hideMark/>
          </w:tcPr>
          <w:p w:rsidR="008C0150" w:rsidRPr="0039268C" w:rsidRDefault="008C0150" w:rsidP="000A02D3">
            <w:pPr>
              <w:jc w:val="center"/>
              <w:rPr>
                <w:rFonts w:ascii="Arial" w:eastAsia="Calibri" w:hAnsi="Arial" w:cs="Arial"/>
                <w:b/>
                <w:bCs/>
                <w:color w:val="000000"/>
                <w:sz w:val="18"/>
                <w:szCs w:val="18"/>
              </w:rPr>
            </w:pPr>
            <w:r w:rsidRPr="0039268C">
              <w:rPr>
                <w:rFonts w:ascii="Arial" w:hAnsi="Arial" w:cs="Arial"/>
                <w:b/>
                <w:bCs/>
                <w:color w:val="000000"/>
                <w:sz w:val="18"/>
                <w:szCs w:val="18"/>
              </w:rPr>
              <w:t>v €</w:t>
            </w:r>
          </w:p>
        </w:tc>
        <w:tc>
          <w:tcPr>
            <w:tcW w:w="1559" w:type="dxa"/>
            <w:tcBorders>
              <w:top w:val="nil"/>
              <w:left w:val="nil"/>
              <w:bottom w:val="single" w:sz="8" w:space="0" w:color="auto"/>
              <w:right w:val="single" w:sz="8" w:space="0" w:color="auto"/>
            </w:tcBorders>
            <w:shd w:val="clear" w:color="auto" w:fill="D6E3BC"/>
            <w:tcMar>
              <w:top w:w="0" w:type="dxa"/>
              <w:left w:w="70" w:type="dxa"/>
              <w:bottom w:w="0" w:type="dxa"/>
              <w:right w:w="70" w:type="dxa"/>
            </w:tcMar>
            <w:vAlign w:val="center"/>
            <w:hideMark/>
          </w:tcPr>
          <w:p w:rsidR="008C0150" w:rsidRPr="0039268C" w:rsidRDefault="008C0150" w:rsidP="000A02D3">
            <w:pPr>
              <w:jc w:val="center"/>
              <w:rPr>
                <w:rFonts w:ascii="Arial" w:eastAsia="Calibri" w:hAnsi="Arial" w:cs="Arial"/>
                <w:b/>
                <w:bCs/>
                <w:color w:val="000000"/>
                <w:sz w:val="18"/>
                <w:szCs w:val="18"/>
              </w:rPr>
            </w:pPr>
            <w:r w:rsidRPr="0039268C">
              <w:rPr>
                <w:rFonts w:ascii="Arial" w:hAnsi="Arial" w:cs="Arial"/>
                <w:b/>
                <w:bCs/>
                <w:color w:val="000000"/>
                <w:sz w:val="18"/>
                <w:szCs w:val="18"/>
              </w:rPr>
              <w:t>ako % z alokácie na TP programu</w:t>
            </w:r>
          </w:p>
        </w:tc>
        <w:tc>
          <w:tcPr>
            <w:tcW w:w="2194" w:type="dxa"/>
            <w:tcBorders>
              <w:top w:val="nil"/>
              <w:left w:val="nil"/>
              <w:bottom w:val="single" w:sz="8" w:space="0" w:color="auto"/>
              <w:right w:val="single" w:sz="8" w:space="0" w:color="auto"/>
            </w:tcBorders>
            <w:shd w:val="clear" w:color="auto" w:fill="D6E3BC"/>
            <w:tcMar>
              <w:top w:w="0" w:type="dxa"/>
              <w:left w:w="70" w:type="dxa"/>
              <w:bottom w:w="0" w:type="dxa"/>
              <w:right w:w="70" w:type="dxa"/>
            </w:tcMar>
            <w:vAlign w:val="center"/>
            <w:hideMark/>
          </w:tcPr>
          <w:p w:rsidR="008C0150" w:rsidRPr="0039268C" w:rsidRDefault="008C0150" w:rsidP="000A02D3">
            <w:pPr>
              <w:jc w:val="center"/>
              <w:rPr>
                <w:rFonts w:ascii="Arial" w:eastAsia="Calibri" w:hAnsi="Arial" w:cs="Arial"/>
                <w:b/>
                <w:bCs/>
                <w:color w:val="000000"/>
                <w:sz w:val="18"/>
                <w:szCs w:val="18"/>
              </w:rPr>
            </w:pPr>
            <w:r w:rsidRPr="0039268C">
              <w:rPr>
                <w:rFonts w:ascii="Arial" w:hAnsi="Arial" w:cs="Arial"/>
                <w:b/>
                <w:bCs/>
                <w:color w:val="000000"/>
                <w:sz w:val="18"/>
                <w:szCs w:val="18"/>
              </w:rPr>
              <w:t>ako % z celkovej zazmluvnenej sumy na TP programu</w:t>
            </w:r>
          </w:p>
        </w:tc>
      </w:tr>
      <w:tr w:rsidR="008C0150" w:rsidRPr="008C0150" w:rsidTr="0039268C">
        <w:trPr>
          <w:trHeight w:val="525"/>
        </w:trPr>
        <w:tc>
          <w:tcPr>
            <w:tcW w:w="0" w:type="auto"/>
            <w:tcBorders>
              <w:top w:val="nil"/>
              <w:left w:val="single" w:sz="8" w:space="0" w:color="auto"/>
              <w:bottom w:val="single" w:sz="8" w:space="0" w:color="auto"/>
              <w:right w:val="single" w:sz="8" w:space="0" w:color="auto"/>
            </w:tcBorders>
            <w:shd w:val="clear" w:color="auto" w:fill="EAF1DD"/>
            <w:tcMar>
              <w:top w:w="0" w:type="dxa"/>
              <w:left w:w="70" w:type="dxa"/>
              <w:bottom w:w="0" w:type="dxa"/>
              <w:right w:w="70" w:type="dxa"/>
            </w:tcMar>
            <w:vAlign w:val="center"/>
            <w:hideMark/>
          </w:tcPr>
          <w:p w:rsidR="008C0150" w:rsidRPr="0039268C" w:rsidRDefault="008C0150" w:rsidP="000A02D3">
            <w:pPr>
              <w:rPr>
                <w:rFonts w:ascii="Arial" w:eastAsia="Calibri" w:hAnsi="Arial" w:cs="Arial"/>
                <w:color w:val="000000"/>
                <w:sz w:val="18"/>
                <w:szCs w:val="18"/>
              </w:rPr>
            </w:pPr>
            <w:r w:rsidRPr="0039268C">
              <w:rPr>
                <w:rFonts w:ascii="Arial" w:hAnsi="Arial" w:cs="Arial"/>
                <w:color w:val="000000"/>
                <w:sz w:val="18"/>
                <w:szCs w:val="18"/>
              </w:rPr>
              <w:t>Školenia, monitorovacie, pracovné, koordinačné skupiny, výbory a komisie</w:t>
            </w:r>
          </w:p>
        </w:tc>
        <w:tc>
          <w:tcPr>
            <w:tcW w:w="1226" w:type="dxa"/>
            <w:tcBorders>
              <w:top w:val="nil"/>
              <w:left w:val="nil"/>
              <w:bottom w:val="single" w:sz="8" w:space="0" w:color="auto"/>
              <w:right w:val="single" w:sz="8" w:space="0" w:color="auto"/>
            </w:tcBorders>
            <w:noWrap/>
            <w:tcMar>
              <w:top w:w="0" w:type="dxa"/>
              <w:left w:w="70" w:type="dxa"/>
              <w:bottom w:w="0" w:type="dxa"/>
              <w:right w:w="70" w:type="dxa"/>
            </w:tcMar>
            <w:vAlign w:val="center"/>
            <w:hideMark/>
          </w:tcPr>
          <w:p w:rsidR="008C0150" w:rsidRPr="0039268C" w:rsidRDefault="008C0150" w:rsidP="000A02D3">
            <w:pPr>
              <w:jc w:val="center"/>
              <w:rPr>
                <w:rFonts w:ascii="Arial" w:eastAsia="Calibri" w:hAnsi="Arial" w:cs="Arial"/>
                <w:color w:val="000000"/>
                <w:sz w:val="18"/>
                <w:szCs w:val="18"/>
              </w:rPr>
            </w:pPr>
            <w:r w:rsidRPr="0039268C">
              <w:rPr>
                <w:rFonts w:ascii="Arial" w:hAnsi="Arial" w:cs="Arial"/>
                <w:color w:val="000000"/>
                <w:sz w:val="18"/>
                <w:szCs w:val="18"/>
              </w:rPr>
              <w:t>2 469 565</w:t>
            </w:r>
          </w:p>
        </w:tc>
        <w:tc>
          <w:tcPr>
            <w:tcW w:w="1559" w:type="dxa"/>
            <w:tcBorders>
              <w:top w:val="nil"/>
              <w:left w:val="nil"/>
              <w:bottom w:val="single" w:sz="8" w:space="0" w:color="auto"/>
              <w:right w:val="single" w:sz="8" w:space="0" w:color="auto"/>
            </w:tcBorders>
            <w:noWrap/>
            <w:tcMar>
              <w:top w:w="0" w:type="dxa"/>
              <w:left w:w="70" w:type="dxa"/>
              <w:bottom w:w="0" w:type="dxa"/>
              <w:right w:w="70" w:type="dxa"/>
            </w:tcMar>
            <w:vAlign w:val="center"/>
            <w:hideMark/>
          </w:tcPr>
          <w:p w:rsidR="008C0150" w:rsidRPr="0039268C" w:rsidRDefault="008C0150" w:rsidP="000A02D3">
            <w:pPr>
              <w:jc w:val="center"/>
              <w:rPr>
                <w:rFonts w:ascii="Arial" w:eastAsia="Calibri" w:hAnsi="Arial" w:cs="Arial"/>
                <w:color w:val="000000"/>
                <w:sz w:val="18"/>
                <w:szCs w:val="18"/>
              </w:rPr>
            </w:pPr>
            <w:r w:rsidRPr="0039268C">
              <w:rPr>
                <w:rFonts w:ascii="Arial" w:hAnsi="Arial" w:cs="Arial"/>
                <w:color w:val="000000"/>
                <w:sz w:val="18"/>
                <w:szCs w:val="18"/>
              </w:rPr>
              <w:t>5,08%</w:t>
            </w:r>
          </w:p>
        </w:tc>
        <w:tc>
          <w:tcPr>
            <w:tcW w:w="2194" w:type="dxa"/>
            <w:tcBorders>
              <w:top w:val="nil"/>
              <w:left w:val="nil"/>
              <w:bottom w:val="single" w:sz="8" w:space="0" w:color="auto"/>
              <w:right w:val="single" w:sz="8" w:space="0" w:color="auto"/>
            </w:tcBorders>
            <w:noWrap/>
            <w:tcMar>
              <w:top w:w="0" w:type="dxa"/>
              <w:left w:w="70" w:type="dxa"/>
              <w:bottom w:w="0" w:type="dxa"/>
              <w:right w:w="70" w:type="dxa"/>
            </w:tcMar>
            <w:vAlign w:val="center"/>
            <w:hideMark/>
          </w:tcPr>
          <w:p w:rsidR="008C0150" w:rsidRPr="0039268C" w:rsidRDefault="008C0150" w:rsidP="000A02D3">
            <w:pPr>
              <w:jc w:val="center"/>
              <w:rPr>
                <w:rFonts w:ascii="Arial" w:eastAsia="Calibri" w:hAnsi="Arial" w:cs="Arial"/>
                <w:color w:val="000000"/>
                <w:sz w:val="18"/>
                <w:szCs w:val="18"/>
              </w:rPr>
            </w:pPr>
            <w:r w:rsidRPr="0039268C">
              <w:rPr>
                <w:rFonts w:ascii="Arial" w:hAnsi="Arial" w:cs="Arial"/>
                <w:color w:val="000000"/>
                <w:sz w:val="18"/>
                <w:szCs w:val="18"/>
              </w:rPr>
              <w:t>5,92%</w:t>
            </w:r>
          </w:p>
        </w:tc>
      </w:tr>
      <w:tr w:rsidR="008C0150" w:rsidRPr="008C0150" w:rsidTr="0039268C">
        <w:trPr>
          <w:trHeight w:val="315"/>
        </w:trPr>
        <w:tc>
          <w:tcPr>
            <w:tcW w:w="0" w:type="auto"/>
            <w:tcBorders>
              <w:top w:val="nil"/>
              <w:left w:val="single" w:sz="8" w:space="0" w:color="auto"/>
              <w:bottom w:val="single" w:sz="8" w:space="0" w:color="auto"/>
              <w:right w:val="single" w:sz="8" w:space="0" w:color="auto"/>
            </w:tcBorders>
            <w:shd w:val="clear" w:color="auto" w:fill="EAF1DD"/>
            <w:noWrap/>
            <w:tcMar>
              <w:top w:w="0" w:type="dxa"/>
              <w:left w:w="70" w:type="dxa"/>
              <w:bottom w:w="0" w:type="dxa"/>
              <w:right w:w="70" w:type="dxa"/>
            </w:tcMar>
            <w:vAlign w:val="center"/>
            <w:hideMark/>
          </w:tcPr>
          <w:p w:rsidR="008C0150" w:rsidRPr="0039268C" w:rsidRDefault="008C0150" w:rsidP="000A02D3">
            <w:pPr>
              <w:rPr>
                <w:rFonts w:ascii="Arial" w:eastAsia="Calibri" w:hAnsi="Arial" w:cs="Arial"/>
                <w:color w:val="000000"/>
                <w:sz w:val="18"/>
                <w:szCs w:val="18"/>
              </w:rPr>
            </w:pPr>
            <w:r w:rsidRPr="0039268C">
              <w:rPr>
                <w:rFonts w:ascii="Arial" w:hAnsi="Arial" w:cs="Arial"/>
                <w:color w:val="000000"/>
                <w:sz w:val="18"/>
                <w:szCs w:val="18"/>
              </w:rPr>
              <w:t>Hodnotenie a štúdie</w:t>
            </w:r>
          </w:p>
        </w:tc>
        <w:tc>
          <w:tcPr>
            <w:tcW w:w="1226" w:type="dxa"/>
            <w:tcBorders>
              <w:top w:val="nil"/>
              <w:left w:val="nil"/>
              <w:bottom w:val="single" w:sz="8" w:space="0" w:color="auto"/>
              <w:right w:val="single" w:sz="8" w:space="0" w:color="auto"/>
            </w:tcBorders>
            <w:noWrap/>
            <w:tcMar>
              <w:top w:w="0" w:type="dxa"/>
              <w:left w:w="70" w:type="dxa"/>
              <w:bottom w:w="0" w:type="dxa"/>
              <w:right w:w="70" w:type="dxa"/>
            </w:tcMar>
            <w:vAlign w:val="center"/>
            <w:hideMark/>
          </w:tcPr>
          <w:p w:rsidR="008C0150" w:rsidRPr="0039268C" w:rsidRDefault="008C0150" w:rsidP="000A02D3">
            <w:pPr>
              <w:jc w:val="center"/>
              <w:rPr>
                <w:rFonts w:ascii="Arial" w:eastAsia="Calibri" w:hAnsi="Arial" w:cs="Arial"/>
                <w:color w:val="000000"/>
                <w:sz w:val="18"/>
                <w:szCs w:val="18"/>
              </w:rPr>
            </w:pPr>
            <w:r w:rsidRPr="0039268C">
              <w:rPr>
                <w:rFonts w:ascii="Arial" w:hAnsi="Arial" w:cs="Arial"/>
                <w:color w:val="000000"/>
                <w:sz w:val="18"/>
                <w:szCs w:val="18"/>
              </w:rPr>
              <w:t>169 226</w:t>
            </w:r>
          </w:p>
        </w:tc>
        <w:tc>
          <w:tcPr>
            <w:tcW w:w="1559" w:type="dxa"/>
            <w:tcBorders>
              <w:top w:val="nil"/>
              <w:left w:val="nil"/>
              <w:bottom w:val="single" w:sz="8" w:space="0" w:color="auto"/>
              <w:right w:val="single" w:sz="8" w:space="0" w:color="auto"/>
            </w:tcBorders>
            <w:noWrap/>
            <w:tcMar>
              <w:top w:w="0" w:type="dxa"/>
              <w:left w:w="70" w:type="dxa"/>
              <w:bottom w:w="0" w:type="dxa"/>
              <w:right w:w="70" w:type="dxa"/>
            </w:tcMar>
            <w:vAlign w:val="center"/>
            <w:hideMark/>
          </w:tcPr>
          <w:p w:rsidR="008C0150" w:rsidRPr="0039268C" w:rsidRDefault="008C0150" w:rsidP="000A02D3">
            <w:pPr>
              <w:jc w:val="center"/>
              <w:rPr>
                <w:rFonts w:ascii="Arial" w:eastAsia="Calibri" w:hAnsi="Arial" w:cs="Arial"/>
                <w:color w:val="000000"/>
                <w:sz w:val="18"/>
                <w:szCs w:val="18"/>
              </w:rPr>
            </w:pPr>
            <w:r w:rsidRPr="0039268C">
              <w:rPr>
                <w:rFonts w:ascii="Arial" w:hAnsi="Arial" w:cs="Arial"/>
                <w:color w:val="000000"/>
                <w:sz w:val="18"/>
                <w:szCs w:val="18"/>
              </w:rPr>
              <w:t>0,35%</w:t>
            </w:r>
          </w:p>
        </w:tc>
        <w:tc>
          <w:tcPr>
            <w:tcW w:w="2194" w:type="dxa"/>
            <w:tcBorders>
              <w:top w:val="nil"/>
              <w:left w:val="nil"/>
              <w:bottom w:val="single" w:sz="8" w:space="0" w:color="auto"/>
              <w:right w:val="single" w:sz="8" w:space="0" w:color="auto"/>
            </w:tcBorders>
            <w:noWrap/>
            <w:tcMar>
              <w:top w:w="0" w:type="dxa"/>
              <w:left w:w="70" w:type="dxa"/>
              <w:bottom w:w="0" w:type="dxa"/>
              <w:right w:w="70" w:type="dxa"/>
            </w:tcMar>
            <w:vAlign w:val="center"/>
            <w:hideMark/>
          </w:tcPr>
          <w:p w:rsidR="008C0150" w:rsidRPr="0039268C" w:rsidRDefault="008C0150" w:rsidP="000A02D3">
            <w:pPr>
              <w:jc w:val="center"/>
              <w:rPr>
                <w:rFonts w:ascii="Arial" w:eastAsia="Calibri" w:hAnsi="Arial" w:cs="Arial"/>
                <w:color w:val="000000"/>
                <w:sz w:val="18"/>
                <w:szCs w:val="18"/>
              </w:rPr>
            </w:pPr>
            <w:r w:rsidRPr="0039268C">
              <w:rPr>
                <w:rFonts w:ascii="Arial" w:hAnsi="Arial" w:cs="Arial"/>
                <w:color w:val="000000"/>
                <w:sz w:val="18"/>
                <w:szCs w:val="18"/>
              </w:rPr>
              <w:t>0,41%</w:t>
            </w:r>
          </w:p>
        </w:tc>
      </w:tr>
      <w:tr w:rsidR="008C0150" w:rsidRPr="008C0150" w:rsidTr="0039268C">
        <w:trPr>
          <w:trHeight w:val="315"/>
        </w:trPr>
        <w:tc>
          <w:tcPr>
            <w:tcW w:w="0" w:type="auto"/>
            <w:tcBorders>
              <w:top w:val="nil"/>
              <w:left w:val="single" w:sz="8" w:space="0" w:color="auto"/>
              <w:bottom w:val="single" w:sz="8" w:space="0" w:color="auto"/>
              <w:right w:val="single" w:sz="8" w:space="0" w:color="auto"/>
            </w:tcBorders>
            <w:shd w:val="clear" w:color="auto" w:fill="EAF1DD"/>
            <w:noWrap/>
            <w:tcMar>
              <w:top w:w="0" w:type="dxa"/>
              <w:left w:w="70" w:type="dxa"/>
              <w:bottom w:w="0" w:type="dxa"/>
              <w:right w:w="70" w:type="dxa"/>
            </w:tcMar>
            <w:vAlign w:val="center"/>
            <w:hideMark/>
          </w:tcPr>
          <w:p w:rsidR="008C0150" w:rsidRPr="0039268C" w:rsidRDefault="008C0150" w:rsidP="000A02D3">
            <w:pPr>
              <w:rPr>
                <w:rFonts w:ascii="Arial" w:eastAsia="Calibri" w:hAnsi="Arial" w:cs="Arial"/>
                <w:color w:val="000000"/>
                <w:sz w:val="18"/>
                <w:szCs w:val="18"/>
              </w:rPr>
            </w:pPr>
            <w:r w:rsidRPr="0039268C">
              <w:rPr>
                <w:rFonts w:ascii="Arial" w:hAnsi="Arial" w:cs="Arial"/>
                <w:color w:val="000000"/>
                <w:sz w:val="18"/>
                <w:szCs w:val="18"/>
              </w:rPr>
              <w:t>Informovanie a publicita</w:t>
            </w:r>
          </w:p>
        </w:tc>
        <w:tc>
          <w:tcPr>
            <w:tcW w:w="1226" w:type="dxa"/>
            <w:tcBorders>
              <w:top w:val="nil"/>
              <w:left w:val="nil"/>
              <w:bottom w:val="single" w:sz="8" w:space="0" w:color="auto"/>
              <w:right w:val="single" w:sz="8" w:space="0" w:color="auto"/>
            </w:tcBorders>
            <w:noWrap/>
            <w:tcMar>
              <w:top w:w="0" w:type="dxa"/>
              <w:left w:w="70" w:type="dxa"/>
              <w:bottom w:w="0" w:type="dxa"/>
              <w:right w:w="70" w:type="dxa"/>
            </w:tcMar>
            <w:vAlign w:val="center"/>
            <w:hideMark/>
          </w:tcPr>
          <w:p w:rsidR="008C0150" w:rsidRPr="0039268C" w:rsidRDefault="008C0150" w:rsidP="000A02D3">
            <w:pPr>
              <w:jc w:val="center"/>
              <w:rPr>
                <w:rFonts w:ascii="Arial" w:eastAsia="Calibri" w:hAnsi="Arial" w:cs="Arial"/>
                <w:color w:val="000000"/>
                <w:sz w:val="18"/>
                <w:szCs w:val="18"/>
              </w:rPr>
            </w:pPr>
            <w:r w:rsidRPr="0039268C">
              <w:rPr>
                <w:rFonts w:ascii="Arial" w:hAnsi="Arial" w:cs="Arial"/>
                <w:color w:val="000000"/>
                <w:sz w:val="18"/>
                <w:szCs w:val="18"/>
              </w:rPr>
              <w:t>9 979 039</w:t>
            </w:r>
          </w:p>
        </w:tc>
        <w:tc>
          <w:tcPr>
            <w:tcW w:w="1559" w:type="dxa"/>
            <w:tcBorders>
              <w:top w:val="nil"/>
              <w:left w:val="nil"/>
              <w:bottom w:val="single" w:sz="8" w:space="0" w:color="auto"/>
              <w:right w:val="single" w:sz="8" w:space="0" w:color="auto"/>
            </w:tcBorders>
            <w:noWrap/>
            <w:tcMar>
              <w:top w:w="0" w:type="dxa"/>
              <w:left w:w="70" w:type="dxa"/>
              <w:bottom w:w="0" w:type="dxa"/>
              <w:right w:w="70" w:type="dxa"/>
            </w:tcMar>
            <w:vAlign w:val="center"/>
            <w:hideMark/>
          </w:tcPr>
          <w:p w:rsidR="008C0150" w:rsidRPr="0039268C" w:rsidRDefault="008C0150" w:rsidP="000A02D3">
            <w:pPr>
              <w:jc w:val="center"/>
              <w:rPr>
                <w:rFonts w:ascii="Arial" w:eastAsia="Calibri" w:hAnsi="Arial" w:cs="Arial"/>
                <w:color w:val="000000"/>
                <w:sz w:val="18"/>
                <w:szCs w:val="18"/>
              </w:rPr>
            </w:pPr>
            <w:r w:rsidRPr="0039268C">
              <w:rPr>
                <w:rFonts w:ascii="Arial" w:hAnsi="Arial" w:cs="Arial"/>
                <w:color w:val="000000"/>
                <w:sz w:val="18"/>
                <w:szCs w:val="18"/>
              </w:rPr>
              <w:t>20,53%</w:t>
            </w:r>
          </w:p>
        </w:tc>
        <w:tc>
          <w:tcPr>
            <w:tcW w:w="2194" w:type="dxa"/>
            <w:tcBorders>
              <w:top w:val="nil"/>
              <w:left w:val="nil"/>
              <w:bottom w:val="single" w:sz="8" w:space="0" w:color="auto"/>
              <w:right w:val="single" w:sz="8" w:space="0" w:color="auto"/>
            </w:tcBorders>
            <w:noWrap/>
            <w:tcMar>
              <w:top w:w="0" w:type="dxa"/>
              <w:left w:w="70" w:type="dxa"/>
              <w:bottom w:w="0" w:type="dxa"/>
              <w:right w:w="70" w:type="dxa"/>
            </w:tcMar>
            <w:vAlign w:val="center"/>
            <w:hideMark/>
          </w:tcPr>
          <w:p w:rsidR="008C0150" w:rsidRPr="0039268C" w:rsidRDefault="008C0150" w:rsidP="000A02D3">
            <w:pPr>
              <w:jc w:val="center"/>
              <w:rPr>
                <w:rFonts w:ascii="Arial" w:eastAsia="Calibri" w:hAnsi="Arial" w:cs="Arial"/>
                <w:color w:val="000000"/>
                <w:sz w:val="18"/>
                <w:szCs w:val="18"/>
              </w:rPr>
            </w:pPr>
            <w:r w:rsidRPr="0039268C">
              <w:rPr>
                <w:rFonts w:ascii="Arial" w:hAnsi="Arial" w:cs="Arial"/>
                <w:color w:val="000000"/>
                <w:sz w:val="18"/>
                <w:szCs w:val="18"/>
              </w:rPr>
              <w:t>23,94%</w:t>
            </w:r>
          </w:p>
        </w:tc>
      </w:tr>
      <w:tr w:rsidR="008C0150" w:rsidRPr="008C0150" w:rsidTr="0039268C">
        <w:trPr>
          <w:trHeight w:val="315"/>
        </w:trPr>
        <w:tc>
          <w:tcPr>
            <w:tcW w:w="0" w:type="auto"/>
            <w:tcBorders>
              <w:top w:val="nil"/>
              <w:left w:val="single" w:sz="8" w:space="0" w:color="auto"/>
              <w:bottom w:val="single" w:sz="8" w:space="0" w:color="auto"/>
              <w:right w:val="single" w:sz="8" w:space="0" w:color="auto"/>
            </w:tcBorders>
            <w:shd w:val="clear" w:color="auto" w:fill="EAF1DD"/>
            <w:noWrap/>
            <w:tcMar>
              <w:top w:w="0" w:type="dxa"/>
              <w:left w:w="70" w:type="dxa"/>
              <w:bottom w:w="0" w:type="dxa"/>
              <w:right w:w="70" w:type="dxa"/>
            </w:tcMar>
            <w:vAlign w:val="center"/>
            <w:hideMark/>
          </w:tcPr>
          <w:p w:rsidR="008C0150" w:rsidRPr="0039268C" w:rsidRDefault="008C0150" w:rsidP="000A02D3">
            <w:pPr>
              <w:rPr>
                <w:rFonts w:ascii="Arial" w:eastAsia="Calibri" w:hAnsi="Arial" w:cs="Arial"/>
                <w:color w:val="000000"/>
                <w:sz w:val="18"/>
                <w:szCs w:val="18"/>
              </w:rPr>
            </w:pPr>
            <w:r w:rsidRPr="0039268C">
              <w:rPr>
                <w:rFonts w:ascii="Arial" w:hAnsi="Arial" w:cs="Arial"/>
                <w:color w:val="000000"/>
                <w:sz w:val="18"/>
                <w:szCs w:val="18"/>
              </w:rPr>
              <w:t>Mzdy</w:t>
            </w:r>
          </w:p>
        </w:tc>
        <w:tc>
          <w:tcPr>
            <w:tcW w:w="1226" w:type="dxa"/>
            <w:tcBorders>
              <w:top w:val="nil"/>
              <w:left w:val="nil"/>
              <w:bottom w:val="single" w:sz="8" w:space="0" w:color="auto"/>
              <w:right w:val="single" w:sz="8" w:space="0" w:color="auto"/>
            </w:tcBorders>
            <w:noWrap/>
            <w:tcMar>
              <w:top w:w="0" w:type="dxa"/>
              <w:left w:w="70" w:type="dxa"/>
              <w:bottom w:w="0" w:type="dxa"/>
              <w:right w:w="70" w:type="dxa"/>
            </w:tcMar>
            <w:vAlign w:val="center"/>
            <w:hideMark/>
          </w:tcPr>
          <w:p w:rsidR="008C0150" w:rsidRPr="0039268C" w:rsidRDefault="008C0150" w:rsidP="000A02D3">
            <w:pPr>
              <w:jc w:val="center"/>
              <w:rPr>
                <w:rFonts w:ascii="Arial" w:eastAsia="Calibri" w:hAnsi="Arial" w:cs="Arial"/>
                <w:color w:val="000000"/>
                <w:sz w:val="18"/>
                <w:szCs w:val="18"/>
              </w:rPr>
            </w:pPr>
            <w:r w:rsidRPr="0039268C">
              <w:rPr>
                <w:rFonts w:ascii="Arial" w:hAnsi="Arial" w:cs="Arial"/>
                <w:color w:val="000000"/>
                <w:sz w:val="18"/>
                <w:szCs w:val="18"/>
              </w:rPr>
              <w:t>25 136 797</w:t>
            </w:r>
          </w:p>
        </w:tc>
        <w:tc>
          <w:tcPr>
            <w:tcW w:w="1559" w:type="dxa"/>
            <w:tcBorders>
              <w:top w:val="nil"/>
              <w:left w:val="nil"/>
              <w:bottom w:val="single" w:sz="8" w:space="0" w:color="auto"/>
              <w:right w:val="single" w:sz="8" w:space="0" w:color="auto"/>
            </w:tcBorders>
            <w:noWrap/>
            <w:tcMar>
              <w:top w:w="0" w:type="dxa"/>
              <w:left w:w="70" w:type="dxa"/>
              <w:bottom w:w="0" w:type="dxa"/>
              <w:right w:w="70" w:type="dxa"/>
            </w:tcMar>
            <w:vAlign w:val="center"/>
            <w:hideMark/>
          </w:tcPr>
          <w:p w:rsidR="008C0150" w:rsidRPr="0039268C" w:rsidRDefault="008C0150" w:rsidP="000A02D3">
            <w:pPr>
              <w:jc w:val="center"/>
              <w:rPr>
                <w:rFonts w:ascii="Arial" w:eastAsia="Calibri" w:hAnsi="Arial" w:cs="Arial"/>
                <w:color w:val="000000"/>
                <w:sz w:val="18"/>
                <w:szCs w:val="18"/>
              </w:rPr>
            </w:pPr>
            <w:r w:rsidRPr="0039268C">
              <w:rPr>
                <w:rFonts w:ascii="Arial" w:hAnsi="Arial" w:cs="Arial"/>
                <w:color w:val="000000"/>
                <w:sz w:val="18"/>
                <w:szCs w:val="18"/>
              </w:rPr>
              <w:t>51,72%</w:t>
            </w:r>
          </w:p>
        </w:tc>
        <w:tc>
          <w:tcPr>
            <w:tcW w:w="2194" w:type="dxa"/>
            <w:tcBorders>
              <w:top w:val="nil"/>
              <w:left w:val="nil"/>
              <w:bottom w:val="single" w:sz="8" w:space="0" w:color="auto"/>
              <w:right w:val="single" w:sz="8" w:space="0" w:color="auto"/>
            </w:tcBorders>
            <w:noWrap/>
            <w:tcMar>
              <w:top w:w="0" w:type="dxa"/>
              <w:left w:w="70" w:type="dxa"/>
              <w:bottom w:w="0" w:type="dxa"/>
              <w:right w:w="70" w:type="dxa"/>
            </w:tcMar>
            <w:vAlign w:val="center"/>
            <w:hideMark/>
          </w:tcPr>
          <w:p w:rsidR="008C0150" w:rsidRPr="0039268C" w:rsidRDefault="008C0150" w:rsidP="000A02D3">
            <w:pPr>
              <w:jc w:val="center"/>
              <w:rPr>
                <w:rFonts w:ascii="Arial" w:eastAsia="Calibri" w:hAnsi="Arial" w:cs="Arial"/>
                <w:color w:val="000000"/>
                <w:sz w:val="18"/>
                <w:szCs w:val="18"/>
              </w:rPr>
            </w:pPr>
            <w:r w:rsidRPr="0039268C">
              <w:rPr>
                <w:rFonts w:ascii="Arial" w:hAnsi="Arial" w:cs="Arial"/>
                <w:color w:val="000000"/>
                <w:sz w:val="18"/>
                <w:szCs w:val="18"/>
              </w:rPr>
              <w:t>60,31%</w:t>
            </w:r>
          </w:p>
        </w:tc>
      </w:tr>
      <w:tr w:rsidR="008C0150" w:rsidRPr="008C0150" w:rsidTr="0039268C">
        <w:trPr>
          <w:trHeight w:val="315"/>
        </w:trPr>
        <w:tc>
          <w:tcPr>
            <w:tcW w:w="0" w:type="auto"/>
            <w:tcBorders>
              <w:top w:val="nil"/>
              <w:left w:val="single" w:sz="8" w:space="0" w:color="auto"/>
              <w:bottom w:val="single" w:sz="8" w:space="0" w:color="auto"/>
              <w:right w:val="single" w:sz="8" w:space="0" w:color="auto"/>
            </w:tcBorders>
            <w:shd w:val="clear" w:color="auto" w:fill="EAF1DD"/>
            <w:noWrap/>
            <w:tcMar>
              <w:top w:w="0" w:type="dxa"/>
              <w:left w:w="70" w:type="dxa"/>
              <w:bottom w:w="0" w:type="dxa"/>
              <w:right w:w="70" w:type="dxa"/>
            </w:tcMar>
            <w:vAlign w:val="center"/>
            <w:hideMark/>
          </w:tcPr>
          <w:p w:rsidR="008C0150" w:rsidRPr="0039268C" w:rsidRDefault="008C0150" w:rsidP="000A02D3">
            <w:pPr>
              <w:rPr>
                <w:rFonts w:ascii="Arial" w:eastAsia="Calibri" w:hAnsi="Arial" w:cs="Arial"/>
                <w:color w:val="000000"/>
                <w:sz w:val="18"/>
                <w:szCs w:val="18"/>
              </w:rPr>
            </w:pPr>
            <w:r w:rsidRPr="0039268C">
              <w:rPr>
                <w:rFonts w:ascii="Arial" w:hAnsi="Arial" w:cs="Arial"/>
                <w:color w:val="000000"/>
                <w:sz w:val="18"/>
                <w:szCs w:val="18"/>
              </w:rPr>
              <w:t>Prevádzkové činnosti a cestovné náhrady</w:t>
            </w:r>
          </w:p>
        </w:tc>
        <w:tc>
          <w:tcPr>
            <w:tcW w:w="1226" w:type="dxa"/>
            <w:tcBorders>
              <w:top w:val="nil"/>
              <w:left w:val="nil"/>
              <w:bottom w:val="single" w:sz="8" w:space="0" w:color="auto"/>
              <w:right w:val="single" w:sz="8" w:space="0" w:color="auto"/>
            </w:tcBorders>
            <w:noWrap/>
            <w:tcMar>
              <w:top w:w="0" w:type="dxa"/>
              <w:left w:w="70" w:type="dxa"/>
              <w:bottom w:w="0" w:type="dxa"/>
              <w:right w:w="70" w:type="dxa"/>
            </w:tcMar>
            <w:vAlign w:val="center"/>
            <w:hideMark/>
          </w:tcPr>
          <w:p w:rsidR="008C0150" w:rsidRPr="0039268C" w:rsidRDefault="008C0150" w:rsidP="000A02D3">
            <w:pPr>
              <w:jc w:val="center"/>
              <w:rPr>
                <w:rFonts w:ascii="Arial" w:eastAsia="Calibri" w:hAnsi="Arial" w:cs="Arial"/>
                <w:color w:val="000000"/>
                <w:sz w:val="18"/>
                <w:szCs w:val="18"/>
              </w:rPr>
            </w:pPr>
            <w:r w:rsidRPr="0039268C">
              <w:rPr>
                <w:rFonts w:ascii="Arial" w:hAnsi="Arial" w:cs="Arial"/>
                <w:color w:val="000000"/>
                <w:sz w:val="18"/>
                <w:szCs w:val="18"/>
              </w:rPr>
              <w:t>641 003</w:t>
            </w:r>
          </w:p>
        </w:tc>
        <w:tc>
          <w:tcPr>
            <w:tcW w:w="1559" w:type="dxa"/>
            <w:tcBorders>
              <w:top w:val="nil"/>
              <w:left w:val="nil"/>
              <w:bottom w:val="single" w:sz="8" w:space="0" w:color="auto"/>
              <w:right w:val="single" w:sz="8" w:space="0" w:color="auto"/>
            </w:tcBorders>
            <w:noWrap/>
            <w:tcMar>
              <w:top w:w="0" w:type="dxa"/>
              <w:left w:w="70" w:type="dxa"/>
              <w:bottom w:w="0" w:type="dxa"/>
              <w:right w:w="70" w:type="dxa"/>
            </w:tcMar>
            <w:vAlign w:val="center"/>
            <w:hideMark/>
          </w:tcPr>
          <w:p w:rsidR="008C0150" w:rsidRPr="0039268C" w:rsidRDefault="008C0150" w:rsidP="000A02D3">
            <w:pPr>
              <w:jc w:val="center"/>
              <w:rPr>
                <w:rFonts w:ascii="Arial" w:eastAsia="Calibri" w:hAnsi="Arial" w:cs="Arial"/>
                <w:color w:val="000000"/>
                <w:sz w:val="18"/>
                <w:szCs w:val="18"/>
              </w:rPr>
            </w:pPr>
            <w:r w:rsidRPr="0039268C">
              <w:rPr>
                <w:rFonts w:ascii="Arial" w:hAnsi="Arial" w:cs="Arial"/>
                <w:color w:val="000000"/>
                <w:sz w:val="18"/>
                <w:szCs w:val="18"/>
              </w:rPr>
              <w:t>1,32%</w:t>
            </w:r>
          </w:p>
        </w:tc>
        <w:tc>
          <w:tcPr>
            <w:tcW w:w="2194" w:type="dxa"/>
            <w:tcBorders>
              <w:top w:val="nil"/>
              <w:left w:val="nil"/>
              <w:bottom w:val="single" w:sz="8" w:space="0" w:color="auto"/>
              <w:right w:val="single" w:sz="8" w:space="0" w:color="auto"/>
            </w:tcBorders>
            <w:noWrap/>
            <w:tcMar>
              <w:top w:w="0" w:type="dxa"/>
              <w:left w:w="70" w:type="dxa"/>
              <w:bottom w:w="0" w:type="dxa"/>
              <w:right w:w="70" w:type="dxa"/>
            </w:tcMar>
            <w:vAlign w:val="center"/>
            <w:hideMark/>
          </w:tcPr>
          <w:p w:rsidR="008C0150" w:rsidRPr="0039268C" w:rsidRDefault="008C0150" w:rsidP="000A02D3">
            <w:pPr>
              <w:jc w:val="center"/>
              <w:rPr>
                <w:rFonts w:ascii="Arial" w:eastAsia="Calibri" w:hAnsi="Arial" w:cs="Arial"/>
                <w:color w:val="000000"/>
                <w:sz w:val="18"/>
                <w:szCs w:val="18"/>
              </w:rPr>
            </w:pPr>
            <w:r w:rsidRPr="0039268C">
              <w:rPr>
                <w:rFonts w:ascii="Arial" w:hAnsi="Arial" w:cs="Arial"/>
                <w:color w:val="000000"/>
                <w:sz w:val="18"/>
                <w:szCs w:val="18"/>
              </w:rPr>
              <w:t>1,54%</w:t>
            </w:r>
          </w:p>
        </w:tc>
      </w:tr>
      <w:tr w:rsidR="008C0150" w:rsidRPr="008C0150" w:rsidTr="0039268C">
        <w:trPr>
          <w:trHeight w:val="525"/>
        </w:trPr>
        <w:tc>
          <w:tcPr>
            <w:tcW w:w="0" w:type="auto"/>
            <w:tcBorders>
              <w:top w:val="nil"/>
              <w:left w:val="single" w:sz="8" w:space="0" w:color="auto"/>
              <w:bottom w:val="single" w:sz="8" w:space="0" w:color="auto"/>
              <w:right w:val="single" w:sz="8" w:space="0" w:color="auto"/>
            </w:tcBorders>
            <w:shd w:val="clear" w:color="auto" w:fill="EAF1DD"/>
            <w:tcMar>
              <w:top w:w="0" w:type="dxa"/>
              <w:left w:w="70" w:type="dxa"/>
              <w:bottom w:w="0" w:type="dxa"/>
              <w:right w:w="70" w:type="dxa"/>
            </w:tcMar>
            <w:vAlign w:val="center"/>
            <w:hideMark/>
          </w:tcPr>
          <w:p w:rsidR="008C0150" w:rsidRPr="0039268C" w:rsidRDefault="008C0150" w:rsidP="000A02D3">
            <w:pPr>
              <w:rPr>
                <w:rFonts w:ascii="Arial" w:eastAsia="Calibri" w:hAnsi="Arial" w:cs="Arial"/>
                <w:color w:val="000000"/>
                <w:sz w:val="18"/>
                <w:szCs w:val="18"/>
              </w:rPr>
            </w:pPr>
            <w:r w:rsidRPr="0039268C">
              <w:rPr>
                <w:rFonts w:ascii="Arial" w:hAnsi="Arial" w:cs="Arial"/>
                <w:color w:val="000000"/>
                <w:sz w:val="18"/>
                <w:szCs w:val="18"/>
              </w:rPr>
              <w:t>Technické vybavenie (hardvér, softvér, nábytok, autá a pod.)</w:t>
            </w:r>
          </w:p>
        </w:tc>
        <w:tc>
          <w:tcPr>
            <w:tcW w:w="1226" w:type="dxa"/>
            <w:tcBorders>
              <w:top w:val="nil"/>
              <w:left w:val="nil"/>
              <w:bottom w:val="single" w:sz="8" w:space="0" w:color="auto"/>
              <w:right w:val="single" w:sz="8" w:space="0" w:color="auto"/>
            </w:tcBorders>
            <w:noWrap/>
            <w:tcMar>
              <w:top w:w="0" w:type="dxa"/>
              <w:left w:w="70" w:type="dxa"/>
              <w:bottom w:w="0" w:type="dxa"/>
              <w:right w:w="70" w:type="dxa"/>
            </w:tcMar>
            <w:vAlign w:val="center"/>
            <w:hideMark/>
          </w:tcPr>
          <w:p w:rsidR="008C0150" w:rsidRPr="0039268C" w:rsidRDefault="008C0150" w:rsidP="000A02D3">
            <w:pPr>
              <w:jc w:val="center"/>
              <w:rPr>
                <w:rFonts w:ascii="Arial" w:eastAsia="Calibri" w:hAnsi="Arial" w:cs="Arial"/>
                <w:color w:val="000000"/>
                <w:sz w:val="18"/>
                <w:szCs w:val="18"/>
              </w:rPr>
            </w:pPr>
            <w:r w:rsidRPr="0039268C">
              <w:rPr>
                <w:rFonts w:ascii="Arial" w:hAnsi="Arial" w:cs="Arial"/>
                <w:color w:val="000000"/>
                <w:sz w:val="18"/>
                <w:szCs w:val="18"/>
              </w:rPr>
              <w:t>2 182 816</w:t>
            </w:r>
          </w:p>
        </w:tc>
        <w:tc>
          <w:tcPr>
            <w:tcW w:w="1559" w:type="dxa"/>
            <w:tcBorders>
              <w:top w:val="nil"/>
              <w:left w:val="nil"/>
              <w:bottom w:val="single" w:sz="8" w:space="0" w:color="auto"/>
              <w:right w:val="single" w:sz="8" w:space="0" w:color="auto"/>
            </w:tcBorders>
            <w:noWrap/>
            <w:tcMar>
              <w:top w:w="0" w:type="dxa"/>
              <w:left w:w="70" w:type="dxa"/>
              <w:bottom w:w="0" w:type="dxa"/>
              <w:right w:w="70" w:type="dxa"/>
            </w:tcMar>
            <w:vAlign w:val="center"/>
            <w:hideMark/>
          </w:tcPr>
          <w:p w:rsidR="008C0150" w:rsidRPr="0039268C" w:rsidRDefault="008C0150" w:rsidP="000A02D3">
            <w:pPr>
              <w:jc w:val="center"/>
              <w:rPr>
                <w:rFonts w:ascii="Arial" w:eastAsia="Calibri" w:hAnsi="Arial" w:cs="Arial"/>
                <w:color w:val="000000"/>
                <w:sz w:val="18"/>
                <w:szCs w:val="18"/>
              </w:rPr>
            </w:pPr>
            <w:r w:rsidRPr="0039268C">
              <w:rPr>
                <w:rFonts w:ascii="Arial" w:hAnsi="Arial" w:cs="Arial"/>
                <w:color w:val="000000"/>
                <w:sz w:val="18"/>
                <w:szCs w:val="18"/>
              </w:rPr>
              <w:t>4,49%</w:t>
            </w:r>
          </w:p>
        </w:tc>
        <w:tc>
          <w:tcPr>
            <w:tcW w:w="2194" w:type="dxa"/>
            <w:tcBorders>
              <w:top w:val="nil"/>
              <w:left w:val="nil"/>
              <w:bottom w:val="single" w:sz="8" w:space="0" w:color="auto"/>
              <w:right w:val="single" w:sz="8" w:space="0" w:color="auto"/>
            </w:tcBorders>
            <w:noWrap/>
            <w:tcMar>
              <w:top w:w="0" w:type="dxa"/>
              <w:left w:w="70" w:type="dxa"/>
              <w:bottom w:w="0" w:type="dxa"/>
              <w:right w:w="70" w:type="dxa"/>
            </w:tcMar>
            <w:vAlign w:val="center"/>
            <w:hideMark/>
          </w:tcPr>
          <w:p w:rsidR="008C0150" w:rsidRPr="0039268C" w:rsidRDefault="008C0150" w:rsidP="000A02D3">
            <w:pPr>
              <w:jc w:val="center"/>
              <w:rPr>
                <w:rFonts w:ascii="Arial" w:eastAsia="Calibri" w:hAnsi="Arial" w:cs="Arial"/>
                <w:color w:val="000000"/>
                <w:sz w:val="18"/>
                <w:szCs w:val="18"/>
              </w:rPr>
            </w:pPr>
            <w:r w:rsidRPr="0039268C">
              <w:rPr>
                <w:rFonts w:ascii="Arial" w:hAnsi="Arial" w:cs="Arial"/>
                <w:color w:val="000000"/>
                <w:sz w:val="18"/>
                <w:szCs w:val="18"/>
              </w:rPr>
              <w:t>5,24%</w:t>
            </w:r>
          </w:p>
        </w:tc>
      </w:tr>
      <w:tr w:rsidR="008C0150" w:rsidRPr="008C0150" w:rsidTr="0039268C">
        <w:trPr>
          <w:trHeight w:val="315"/>
        </w:trPr>
        <w:tc>
          <w:tcPr>
            <w:tcW w:w="0" w:type="auto"/>
            <w:tcBorders>
              <w:top w:val="nil"/>
              <w:left w:val="single" w:sz="8" w:space="0" w:color="auto"/>
              <w:bottom w:val="single" w:sz="8" w:space="0" w:color="auto"/>
              <w:right w:val="single" w:sz="8" w:space="0" w:color="auto"/>
            </w:tcBorders>
            <w:shd w:val="clear" w:color="auto" w:fill="EAF1DD"/>
            <w:noWrap/>
            <w:tcMar>
              <w:top w:w="0" w:type="dxa"/>
              <w:left w:w="70" w:type="dxa"/>
              <w:bottom w:w="0" w:type="dxa"/>
              <w:right w:w="70" w:type="dxa"/>
            </w:tcMar>
            <w:vAlign w:val="center"/>
            <w:hideMark/>
          </w:tcPr>
          <w:p w:rsidR="008C0150" w:rsidRPr="0039268C" w:rsidRDefault="008C0150" w:rsidP="000A02D3">
            <w:pPr>
              <w:rPr>
                <w:rFonts w:ascii="Arial" w:eastAsia="Calibri" w:hAnsi="Arial" w:cs="Arial"/>
                <w:color w:val="000000"/>
                <w:sz w:val="18"/>
                <w:szCs w:val="18"/>
              </w:rPr>
            </w:pPr>
            <w:r w:rsidRPr="0039268C">
              <w:rPr>
                <w:rFonts w:ascii="Arial" w:hAnsi="Arial" w:cs="Arial"/>
                <w:color w:val="000000"/>
                <w:sz w:val="18"/>
                <w:szCs w:val="18"/>
              </w:rPr>
              <w:t>Ostatné (všeobecné a špeciálne služby)</w:t>
            </w:r>
          </w:p>
        </w:tc>
        <w:tc>
          <w:tcPr>
            <w:tcW w:w="1226" w:type="dxa"/>
            <w:tcBorders>
              <w:top w:val="nil"/>
              <w:left w:val="nil"/>
              <w:bottom w:val="single" w:sz="8" w:space="0" w:color="auto"/>
              <w:right w:val="single" w:sz="8" w:space="0" w:color="auto"/>
            </w:tcBorders>
            <w:noWrap/>
            <w:tcMar>
              <w:top w:w="0" w:type="dxa"/>
              <w:left w:w="70" w:type="dxa"/>
              <w:bottom w:w="0" w:type="dxa"/>
              <w:right w:w="70" w:type="dxa"/>
            </w:tcMar>
            <w:vAlign w:val="center"/>
            <w:hideMark/>
          </w:tcPr>
          <w:p w:rsidR="008C0150" w:rsidRPr="0039268C" w:rsidRDefault="008C0150" w:rsidP="000A02D3">
            <w:pPr>
              <w:jc w:val="center"/>
              <w:rPr>
                <w:rFonts w:ascii="Arial" w:eastAsia="Calibri" w:hAnsi="Arial" w:cs="Arial"/>
                <w:color w:val="000000"/>
                <w:sz w:val="18"/>
                <w:szCs w:val="18"/>
              </w:rPr>
            </w:pPr>
            <w:r w:rsidRPr="0039268C">
              <w:rPr>
                <w:rFonts w:ascii="Arial" w:hAnsi="Arial" w:cs="Arial"/>
                <w:color w:val="000000"/>
                <w:sz w:val="18"/>
                <w:szCs w:val="18"/>
              </w:rPr>
              <w:t>1 103 500</w:t>
            </w:r>
          </w:p>
        </w:tc>
        <w:tc>
          <w:tcPr>
            <w:tcW w:w="1559" w:type="dxa"/>
            <w:tcBorders>
              <w:top w:val="nil"/>
              <w:left w:val="nil"/>
              <w:bottom w:val="single" w:sz="8" w:space="0" w:color="auto"/>
              <w:right w:val="single" w:sz="8" w:space="0" w:color="auto"/>
            </w:tcBorders>
            <w:noWrap/>
            <w:tcMar>
              <w:top w:w="0" w:type="dxa"/>
              <w:left w:w="70" w:type="dxa"/>
              <w:bottom w:w="0" w:type="dxa"/>
              <w:right w:w="70" w:type="dxa"/>
            </w:tcMar>
            <w:vAlign w:val="center"/>
            <w:hideMark/>
          </w:tcPr>
          <w:p w:rsidR="008C0150" w:rsidRPr="0039268C" w:rsidRDefault="008C0150" w:rsidP="000A02D3">
            <w:pPr>
              <w:jc w:val="center"/>
              <w:rPr>
                <w:rFonts w:ascii="Arial" w:eastAsia="Calibri" w:hAnsi="Arial" w:cs="Arial"/>
                <w:color w:val="000000"/>
                <w:sz w:val="18"/>
                <w:szCs w:val="18"/>
              </w:rPr>
            </w:pPr>
            <w:r w:rsidRPr="0039268C">
              <w:rPr>
                <w:rFonts w:ascii="Arial" w:hAnsi="Arial" w:cs="Arial"/>
                <w:color w:val="000000"/>
                <w:sz w:val="18"/>
                <w:szCs w:val="18"/>
              </w:rPr>
              <w:t>2,27%</w:t>
            </w:r>
          </w:p>
        </w:tc>
        <w:tc>
          <w:tcPr>
            <w:tcW w:w="2194" w:type="dxa"/>
            <w:tcBorders>
              <w:top w:val="nil"/>
              <w:left w:val="nil"/>
              <w:bottom w:val="single" w:sz="8" w:space="0" w:color="auto"/>
              <w:right w:val="single" w:sz="8" w:space="0" w:color="auto"/>
            </w:tcBorders>
            <w:noWrap/>
            <w:tcMar>
              <w:top w:w="0" w:type="dxa"/>
              <w:left w:w="70" w:type="dxa"/>
              <w:bottom w:w="0" w:type="dxa"/>
              <w:right w:w="70" w:type="dxa"/>
            </w:tcMar>
            <w:vAlign w:val="center"/>
            <w:hideMark/>
          </w:tcPr>
          <w:p w:rsidR="008C0150" w:rsidRPr="0039268C" w:rsidRDefault="008C0150" w:rsidP="000A02D3">
            <w:pPr>
              <w:jc w:val="center"/>
              <w:rPr>
                <w:rFonts w:ascii="Arial" w:eastAsia="Calibri" w:hAnsi="Arial" w:cs="Arial"/>
                <w:color w:val="000000"/>
                <w:sz w:val="18"/>
                <w:szCs w:val="18"/>
              </w:rPr>
            </w:pPr>
            <w:r w:rsidRPr="0039268C">
              <w:rPr>
                <w:rFonts w:ascii="Arial" w:hAnsi="Arial" w:cs="Arial"/>
                <w:color w:val="000000"/>
                <w:sz w:val="18"/>
                <w:szCs w:val="18"/>
              </w:rPr>
              <w:t>2,65%</w:t>
            </w:r>
          </w:p>
        </w:tc>
      </w:tr>
      <w:tr w:rsidR="008C0150" w:rsidRPr="008C0150" w:rsidTr="0039268C">
        <w:trPr>
          <w:trHeight w:val="315"/>
        </w:trPr>
        <w:tc>
          <w:tcPr>
            <w:tcW w:w="0" w:type="auto"/>
            <w:tcBorders>
              <w:top w:val="nil"/>
              <w:left w:val="single" w:sz="8" w:space="0" w:color="auto"/>
              <w:bottom w:val="single" w:sz="8" w:space="0" w:color="auto"/>
              <w:right w:val="single" w:sz="8" w:space="0" w:color="auto"/>
            </w:tcBorders>
            <w:shd w:val="clear" w:color="auto" w:fill="EAF1DD"/>
            <w:noWrap/>
            <w:tcMar>
              <w:top w:w="0" w:type="dxa"/>
              <w:left w:w="70" w:type="dxa"/>
              <w:bottom w:w="0" w:type="dxa"/>
              <w:right w:w="70" w:type="dxa"/>
            </w:tcMar>
            <w:vAlign w:val="center"/>
            <w:hideMark/>
          </w:tcPr>
          <w:p w:rsidR="008C0150" w:rsidRPr="0039268C" w:rsidRDefault="008C0150" w:rsidP="000A02D3">
            <w:pPr>
              <w:rPr>
                <w:rFonts w:ascii="Arial" w:eastAsia="Calibri" w:hAnsi="Arial" w:cs="Arial"/>
                <w:b/>
                <w:bCs/>
                <w:color w:val="000000"/>
                <w:sz w:val="18"/>
                <w:szCs w:val="18"/>
              </w:rPr>
            </w:pPr>
            <w:r w:rsidRPr="0039268C">
              <w:rPr>
                <w:rFonts w:ascii="Arial" w:hAnsi="Arial" w:cs="Arial"/>
                <w:b/>
                <w:bCs/>
                <w:color w:val="000000"/>
                <w:sz w:val="18"/>
                <w:szCs w:val="18"/>
              </w:rPr>
              <w:t>Spolu</w:t>
            </w:r>
          </w:p>
        </w:tc>
        <w:tc>
          <w:tcPr>
            <w:tcW w:w="1226" w:type="dxa"/>
            <w:tcBorders>
              <w:top w:val="nil"/>
              <w:left w:val="nil"/>
              <w:bottom w:val="single" w:sz="8" w:space="0" w:color="auto"/>
              <w:right w:val="single" w:sz="8" w:space="0" w:color="auto"/>
            </w:tcBorders>
            <w:shd w:val="clear" w:color="auto" w:fill="EAF1DD"/>
            <w:noWrap/>
            <w:tcMar>
              <w:top w:w="0" w:type="dxa"/>
              <w:left w:w="70" w:type="dxa"/>
              <w:bottom w:w="0" w:type="dxa"/>
              <w:right w:w="70" w:type="dxa"/>
            </w:tcMar>
            <w:vAlign w:val="center"/>
            <w:hideMark/>
          </w:tcPr>
          <w:p w:rsidR="008C0150" w:rsidRPr="0039268C" w:rsidRDefault="008C0150" w:rsidP="000A02D3">
            <w:pPr>
              <w:jc w:val="center"/>
              <w:rPr>
                <w:rFonts w:ascii="Arial" w:eastAsia="Calibri" w:hAnsi="Arial" w:cs="Arial"/>
                <w:b/>
                <w:bCs/>
                <w:color w:val="000000"/>
                <w:sz w:val="18"/>
                <w:szCs w:val="18"/>
              </w:rPr>
            </w:pPr>
            <w:r w:rsidRPr="0039268C">
              <w:rPr>
                <w:rFonts w:ascii="Arial" w:hAnsi="Arial" w:cs="Arial"/>
                <w:b/>
                <w:bCs/>
                <w:color w:val="000000"/>
                <w:sz w:val="18"/>
                <w:szCs w:val="18"/>
              </w:rPr>
              <w:t>41 681 946</w:t>
            </w:r>
          </w:p>
        </w:tc>
        <w:tc>
          <w:tcPr>
            <w:tcW w:w="1559" w:type="dxa"/>
            <w:tcBorders>
              <w:top w:val="nil"/>
              <w:left w:val="nil"/>
              <w:bottom w:val="single" w:sz="8" w:space="0" w:color="auto"/>
              <w:right w:val="single" w:sz="8" w:space="0" w:color="auto"/>
            </w:tcBorders>
            <w:shd w:val="clear" w:color="auto" w:fill="EAF1DD"/>
            <w:noWrap/>
            <w:tcMar>
              <w:top w:w="0" w:type="dxa"/>
              <w:left w:w="70" w:type="dxa"/>
              <w:bottom w:w="0" w:type="dxa"/>
              <w:right w:w="70" w:type="dxa"/>
            </w:tcMar>
            <w:vAlign w:val="center"/>
            <w:hideMark/>
          </w:tcPr>
          <w:p w:rsidR="008C0150" w:rsidRPr="0039268C" w:rsidRDefault="008C0150" w:rsidP="000A02D3">
            <w:pPr>
              <w:jc w:val="center"/>
              <w:rPr>
                <w:rFonts w:ascii="Arial" w:eastAsia="Calibri" w:hAnsi="Arial" w:cs="Arial"/>
                <w:b/>
                <w:bCs/>
                <w:color w:val="000000"/>
                <w:sz w:val="18"/>
                <w:szCs w:val="18"/>
              </w:rPr>
            </w:pPr>
            <w:r w:rsidRPr="0039268C">
              <w:rPr>
                <w:rFonts w:ascii="Arial" w:hAnsi="Arial" w:cs="Arial"/>
                <w:b/>
                <w:bCs/>
                <w:color w:val="000000"/>
                <w:sz w:val="18"/>
                <w:szCs w:val="18"/>
              </w:rPr>
              <w:t>85,77%</w:t>
            </w:r>
          </w:p>
        </w:tc>
        <w:tc>
          <w:tcPr>
            <w:tcW w:w="2194" w:type="dxa"/>
            <w:tcBorders>
              <w:top w:val="nil"/>
              <w:left w:val="nil"/>
              <w:bottom w:val="single" w:sz="8" w:space="0" w:color="auto"/>
              <w:right w:val="single" w:sz="8" w:space="0" w:color="auto"/>
            </w:tcBorders>
            <w:shd w:val="clear" w:color="auto" w:fill="EAF1DD"/>
            <w:noWrap/>
            <w:tcMar>
              <w:top w:w="0" w:type="dxa"/>
              <w:left w:w="70" w:type="dxa"/>
              <w:bottom w:w="0" w:type="dxa"/>
              <w:right w:w="70" w:type="dxa"/>
            </w:tcMar>
            <w:vAlign w:val="center"/>
            <w:hideMark/>
          </w:tcPr>
          <w:p w:rsidR="008C0150" w:rsidRPr="0039268C" w:rsidRDefault="008C0150" w:rsidP="000A02D3">
            <w:pPr>
              <w:jc w:val="center"/>
              <w:rPr>
                <w:rFonts w:ascii="Arial" w:eastAsia="Calibri" w:hAnsi="Arial" w:cs="Arial"/>
                <w:b/>
                <w:bCs/>
                <w:color w:val="000000"/>
                <w:sz w:val="18"/>
                <w:szCs w:val="18"/>
              </w:rPr>
            </w:pPr>
            <w:r w:rsidRPr="0039268C">
              <w:rPr>
                <w:rFonts w:ascii="Arial" w:hAnsi="Arial" w:cs="Arial"/>
                <w:b/>
                <w:bCs/>
                <w:color w:val="000000"/>
                <w:sz w:val="18"/>
                <w:szCs w:val="18"/>
              </w:rPr>
              <w:t>100,00%</w:t>
            </w:r>
          </w:p>
        </w:tc>
      </w:tr>
    </w:tbl>
    <w:p w:rsidR="002416B1" w:rsidRPr="006A2BF3" w:rsidRDefault="00000CC9" w:rsidP="000A02D3">
      <w:pPr>
        <w:pStyle w:val="Zkladntextb"/>
        <w:spacing w:after="0" w:line="360" w:lineRule="auto"/>
        <w:ind w:left="0"/>
        <w:rPr>
          <w:rFonts w:cs="Arial"/>
          <w:sz w:val="18"/>
          <w:szCs w:val="18"/>
        </w:rPr>
      </w:pPr>
      <w:r>
        <w:rPr>
          <w:rFonts w:cs="Arial"/>
          <w:sz w:val="18"/>
          <w:szCs w:val="18"/>
          <w:lang w:val="sk-SK"/>
        </w:rPr>
        <w:t>Zdroj: RO, ITMS</w:t>
      </w:r>
    </w:p>
    <w:p w:rsidR="002416B1" w:rsidRPr="004B33AE" w:rsidRDefault="00495594" w:rsidP="00507035">
      <w:pPr>
        <w:pStyle w:val="Zkladntextb"/>
        <w:spacing w:before="120" w:after="120" w:line="360" w:lineRule="auto"/>
        <w:ind w:left="0"/>
        <w:jc w:val="both"/>
        <w:rPr>
          <w:lang w:val="sk-SK"/>
        </w:rPr>
      </w:pPr>
      <w:r w:rsidRPr="00495594">
        <w:rPr>
          <w:rFonts w:cs="Arial"/>
          <w:lang w:val="sk-SK"/>
        </w:rPr>
        <w:t>Vyššie uvedená tabuľka pojednáva o</w:t>
      </w:r>
      <w:r>
        <w:rPr>
          <w:rFonts w:cs="Arial"/>
          <w:lang w:val="sk-SK"/>
        </w:rPr>
        <w:t> využití prostriedkov technickej pomoci</w:t>
      </w:r>
      <w:r w:rsidRPr="00495594">
        <w:rPr>
          <w:rFonts w:cs="Arial"/>
          <w:lang w:val="sk-SK"/>
        </w:rPr>
        <w:t>, z uvedených dôvodov zahŕňa zazmluvnené projekty, ktoré sú v realizácii a tiež projekty ukončené.</w:t>
      </w:r>
      <w:r w:rsidR="001069D3">
        <w:rPr>
          <w:rFonts w:cs="Arial"/>
          <w:lang w:val="sk-SK"/>
        </w:rPr>
        <w:t xml:space="preserve"> </w:t>
      </w:r>
      <w:r w:rsidR="002416B1" w:rsidRPr="006A2BF3">
        <w:rPr>
          <w:rFonts w:cs="Arial"/>
          <w:lang w:val="sk-SK"/>
        </w:rPr>
        <w:t xml:space="preserve">Pre efektívne využívanie technickej pomoci a lepšie rozdelenie pracovných úloh vykonávajú aktivity na odbore technickej pomoci dve oddelenia – oddelenie individuálnych projektov a oddelenie podporných činností. </w:t>
      </w:r>
      <w:r w:rsidR="00214E02">
        <w:rPr>
          <w:rFonts w:cs="Arial"/>
          <w:lang w:val="sk-SK"/>
        </w:rPr>
        <w:t>Zamestnanci</w:t>
      </w:r>
      <w:r w:rsidR="00214E02" w:rsidRPr="006A2BF3">
        <w:rPr>
          <w:rFonts w:cs="Arial"/>
          <w:lang w:val="sk-SK"/>
        </w:rPr>
        <w:t xml:space="preserve"> </w:t>
      </w:r>
      <w:r w:rsidR="002416B1" w:rsidRPr="006A2BF3">
        <w:rPr>
          <w:rFonts w:cs="Arial"/>
          <w:lang w:val="sk-SK"/>
        </w:rPr>
        <w:t>oddelenia individuálnych projektov sú priamo zapojení do prípravy a implementácie projektov technickej pomoci a zamestnanci oddelenia podporných činností zabezpečujú nevyhnutné aktivity potrebné pre podporu implementácie projektov technickej asistencie, výkazníctva a koordináciu poskytovania informácií verejnosti za riadiaci orgán.</w:t>
      </w:r>
    </w:p>
    <w:p w:rsidR="002416B1" w:rsidRPr="009754A7" w:rsidRDefault="002416B1" w:rsidP="00507035">
      <w:pPr>
        <w:pStyle w:val="Zkladntextb"/>
        <w:spacing w:before="120" w:after="120" w:line="360" w:lineRule="auto"/>
        <w:ind w:left="0"/>
        <w:jc w:val="both"/>
        <w:rPr>
          <w:lang w:val="sk-SK"/>
        </w:rPr>
      </w:pPr>
      <w:r w:rsidRPr="004B33AE">
        <w:rPr>
          <w:lang w:val="sk-SK"/>
        </w:rPr>
        <w:t>Aktivity financované prostredníctvom prioritnej osi 6 na úrovni administratívnych kapacít riadiaceho orgánu sú uvedené v časti 2.8 Administratívne kapacity, aktivity na úrovni žiadateľov a prijímateľov sú uvedené v </w:t>
      </w:r>
      <w:r w:rsidRPr="009754A7">
        <w:rPr>
          <w:lang w:val="sk-SK"/>
        </w:rPr>
        <w:t>časti 7. Informovanosť a publicita.</w:t>
      </w:r>
    </w:p>
    <w:p w:rsidR="002416B1" w:rsidRDefault="002416B1" w:rsidP="00507035">
      <w:pPr>
        <w:pStyle w:val="Zkladntextb"/>
        <w:spacing w:before="120" w:after="120" w:line="360" w:lineRule="auto"/>
        <w:ind w:left="0"/>
        <w:jc w:val="both"/>
        <w:rPr>
          <w:lang w:val="sk-SK"/>
        </w:rPr>
      </w:pPr>
      <w:r w:rsidRPr="009754A7">
        <w:rPr>
          <w:lang w:val="sk-SK"/>
        </w:rPr>
        <w:t>Ďalšie informácie o stave fyzického pokroku, finančnej implementácii prioritnej osi 6 Technická pomoc ako aj faktory ovplyvňujúce jej implementáciu sú uvedené v časti 3.6 správy.</w:t>
      </w:r>
    </w:p>
    <w:p w:rsidR="00EF0531" w:rsidRPr="009754A7" w:rsidRDefault="00EF0531" w:rsidP="00507035">
      <w:pPr>
        <w:pStyle w:val="Zkladntextb"/>
        <w:spacing w:before="120" w:after="120" w:line="360" w:lineRule="auto"/>
        <w:ind w:left="0"/>
        <w:jc w:val="both"/>
        <w:rPr>
          <w:lang w:val="sk-SK"/>
        </w:rPr>
      </w:pPr>
    </w:p>
    <w:p w:rsidR="002416B1" w:rsidRPr="009754A7" w:rsidRDefault="002416B1" w:rsidP="00507035">
      <w:pPr>
        <w:pStyle w:val="Nadpis1"/>
        <w:spacing w:before="120" w:after="120"/>
      </w:pPr>
      <w:bookmarkStart w:id="126" w:name="_Toc319573348"/>
      <w:r w:rsidRPr="009754A7">
        <w:t>7. Informovanosť a publicita</w:t>
      </w:r>
      <w:bookmarkEnd w:id="126"/>
      <w:r w:rsidRPr="009754A7">
        <w:t> </w:t>
      </w:r>
    </w:p>
    <w:p w:rsidR="000A5C0F" w:rsidRPr="000A5C0F" w:rsidRDefault="000A5C0F" w:rsidP="00507035">
      <w:pPr>
        <w:spacing w:before="120" w:after="120" w:line="360" w:lineRule="auto"/>
        <w:jc w:val="both"/>
        <w:rPr>
          <w:rFonts w:ascii="Arial" w:hAnsi="Arial" w:cs="Arial"/>
          <w:sz w:val="20"/>
          <w:szCs w:val="20"/>
        </w:rPr>
      </w:pPr>
      <w:r w:rsidRPr="009754A7">
        <w:rPr>
          <w:rFonts w:ascii="Arial" w:hAnsi="Arial" w:cs="Arial"/>
          <w:sz w:val="20"/>
          <w:szCs w:val="20"/>
        </w:rPr>
        <w:t>V súlade s článkom 69 nariadenia Rady (ES) č. 1083/2006  má členský štát zabezpečovať poskytovanie informácií o projektoch a programoch</w:t>
      </w:r>
      <w:r w:rsidRPr="000A5C0F">
        <w:rPr>
          <w:rFonts w:ascii="Arial" w:hAnsi="Arial" w:cs="Arial"/>
          <w:sz w:val="20"/>
          <w:szCs w:val="20"/>
        </w:rPr>
        <w:t xml:space="preserve"> spolufinancovaných z fondov Európskej únie (ďalej „EÚ“) a ich publicitu. Tieto informácie majú byť adresované občanom Európskej únie a prijímateľom pomoci s cieľom zdôrazniť úlohu Spoločenstva a zabezpečiť transparentnosť pomoci z fondov a realizované v súlade s pravidlami tohto nariadenia prijatými Európskou komisiou (ďalej „EK“). </w:t>
      </w:r>
    </w:p>
    <w:p w:rsidR="000A5C0F" w:rsidRPr="000A5C0F" w:rsidRDefault="000A5C0F" w:rsidP="00507035">
      <w:pPr>
        <w:spacing w:before="120" w:after="120" w:line="360" w:lineRule="auto"/>
        <w:jc w:val="both"/>
        <w:rPr>
          <w:rFonts w:ascii="Arial" w:hAnsi="Arial" w:cs="Arial"/>
          <w:sz w:val="20"/>
          <w:szCs w:val="20"/>
        </w:rPr>
      </w:pPr>
      <w:r w:rsidRPr="000A5C0F">
        <w:rPr>
          <w:rFonts w:ascii="Arial" w:hAnsi="Arial" w:cs="Arial"/>
          <w:sz w:val="20"/>
          <w:szCs w:val="20"/>
        </w:rPr>
        <w:t>Včasná a korektná informovanosť a publicita prispievajú k transparentnej implementácii regionálnej a kohéznej politiky EÚ. Podporuje modernizáciu a stratégiu rastu európskej ekonomiky a v dôsledku toho sa podieľa na šírení myšlienky harmonického, trvalo udržateľného a solidárneho rozvoja členských štátov EÚ. Predpokladom úspešnej realizácie politiky hospodárskej a sociálnej súdržnosti v Slovenskej republike (ďalej „SR“) je poskytovanie kvalitných informácií o možnostiach využitia finančných prostriedkov zo štrukturálnych fondov a z Kohézneho fondu Európskej únie, pričom cieľom je tiež zabezpečiť dodržiavanie požiadaviek pre informovanie a publicitu v súlade s relevantnými kľúčovými dokumentmi na úrovni EÚ aj SR.</w:t>
      </w:r>
    </w:p>
    <w:p w:rsidR="000A5C0F" w:rsidRPr="000A5C0F" w:rsidRDefault="008679A6" w:rsidP="00507035">
      <w:pPr>
        <w:spacing w:before="120" w:after="120" w:line="360" w:lineRule="auto"/>
        <w:jc w:val="both"/>
        <w:rPr>
          <w:rFonts w:ascii="Arial" w:hAnsi="Arial" w:cs="Arial"/>
          <w:sz w:val="20"/>
          <w:szCs w:val="20"/>
        </w:rPr>
      </w:pPr>
      <w:r>
        <w:rPr>
          <w:rFonts w:ascii="Arial" w:hAnsi="Arial" w:cs="Arial"/>
          <w:sz w:val="20"/>
          <w:szCs w:val="20"/>
        </w:rPr>
        <w:t xml:space="preserve">RO </w:t>
      </w:r>
      <w:r w:rsidR="000A5C0F" w:rsidRPr="000A5C0F">
        <w:rPr>
          <w:rFonts w:ascii="Arial" w:hAnsi="Arial" w:cs="Arial"/>
          <w:sz w:val="20"/>
          <w:szCs w:val="20"/>
        </w:rPr>
        <w:t>v tejto súvislosti spracoval Komunikačný plán Operačného programu Životné prostredie pre programové obdobie 2007 – 2013 (ďalej „KoP OP</w:t>
      </w:r>
      <w:r>
        <w:rPr>
          <w:rFonts w:ascii="Arial" w:hAnsi="Arial" w:cs="Arial"/>
          <w:sz w:val="20"/>
          <w:szCs w:val="20"/>
        </w:rPr>
        <w:t xml:space="preserve"> </w:t>
      </w:r>
      <w:r w:rsidR="000A5C0F" w:rsidRPr="000A5C0F">
        <w:rPr>
          <w:rFonts w:ascii="Arial" w:hAnsi="Arial" w:cs="Arial"/>
          <w:sz w:val="20"/>
          <w:szCs w:val="20"/>
        </w:rPr>
        <w:t xml:space="preserve">ŽP“), ktorý  predstavuje plán pre informovanie všetkých cieľových skupín. V ňom sú uvedené aktivity a opatrenia v oblasti informovania a publicity na všetkých úrovniach implementácie s použitím širokého spektra nástrojov komunikácie na jednotlivých stupňoch implementácie </w:t>
      </w:r>
      <w:r>
        <w:rPr>
          <w:rFonts w:ascii="Arial" w:hAnsi="Arial" w:cs="Arial"/>
          <w:sz w:val="20"/>
          <w:szCs w:val="20"/>
        </w:rPr>
        <w:t>OP ŽP</w:t>
      </w:r>
      <w:r w:rsidR="000A5C0F" w:rsidRPr="000A5C0F">
        <w:rPr>
          <w:rFonts w:ascii="Arial" w:hAnsi="Arial" w:cs="Arial"/>
          <w:sz w:val="20"/>
          <w:szCs w:val="20"/>
        </w:rPr>
        <w:t xml:space="preserve"> v programovom období 2007 – 2013. Táto informačno-komunikačná stratégia stanovuje teda spôsob a nástroje využívané na šírenie včasných, správnych a komplexných informácií určených potenciálnym žiadateľom o nenávratný finančný príspevok (ďalej „NFP“), žiadateľom o NFP, prijímateľom NFP a verejnosti na národnej i regionálnej úrovni o príležitostiach finančnej pomoci, ktorú ponúkajú fondy Európskej únie a štátny rozpočet SR. Vychádza z cieľov OP</w:t>
      </w:r>
      <w:r>
        <w:rPr>
          <w:rFonts w:ascii="Arial" w:hAnsi="Arial" w:cs="Arial"/>
          <w:sz w:val="20"/>
          <w:szCs w:val="20"/>
        </w:rPr>
        <w:t xml:space="preserve"> </w:t>
      </w:r>
      <w:r w:rsidR="000A5C0F" w:rsidRPr="000A5C0F">
        <w:rPr>
          <w:rFonts w:ascii="Arial" w:hAnsi="Arial" w:cs="Arial"/>
          <w:sz w:val="20"/>
          <w:szCs w:val="20"/>
        </w:rPr>
        <w:t>ŽP a napomáha ich plneniu.</w:t>
      </w:r>
    </w:p>
    <w:p w:rsidR="000A5C0F" w:rsidRPr="000A5C0F" w:rsidRDefault="000A5C0F" w:rsidP="00507035">
      <w:pPr>
        <w:spacing w:before="120" w:after="120" w:line="360" w:lineRule="auto"/>
        <w:jc w:val="both"/>
        <w:rPr>
          <w:rFonts w:ascii="Arial" w:hAnsi="Arial" w:cs="Arial"/>
          <w:sz w:val="20"/>
          <w:szCs w:val="20"/>
        </w:rPr>
      </w:pPr>
      <w:r w:rsidRPr="000A5C0F">
        <w:rPr>
          <w:rFonts w:ascii="Arial" w:hAnsi="Arial" w:cs="Arial"/>
          <w:sz w:val="20"/>
          <w:szCs w:val="20"/>
        </w:rPr>
        <w:t>Táto rámcová komunikačná stratégia pre úroveň OP</w:t>
      </w:r>
      <w:r w:rsidR="008679A6">
        <w:rPr>
          <w:rFonts w:ascii="Arial" w:hAnsi="Arial" w:cs="Arial"/>
          <w:sz w:val="20"/>
          <w:szCs w:val="20"/>
        </w:rPr>
        <w:t xml:space="preserve"> </w:t>
      </w:r>
      <w:r w:rsidRPr="000A5C0F">
        <w:rPr>
          <w:rFonts w:ascii="Arial" w:hAnsi="Arial" w:cs="Arial"/>
          <w:sz w:val="20"/>
          <w:szCs w:val="20"/>
        </w:rPr>
        <w:t xml:space="preserve">ŽP je ďalej rozpracúvaná a upresňovaná v jednotlivých ročných operatívnych plánoch realizácie komunikačných a propagačných aktivít v programovom období 2007 – 2013. </w:t>
      </w:r>
    </w:p>
    <w:p w:rsidR="000A5C0F" w:rsidRPr="000A5C0F" w:rsidRDefault="000A5C0F" w:rsidP="00507035">
      <w:pPr>
        <w:spacing w:before="120" w:after="120" w:line="360" w:lineRule="auto"/>
        <w:jc w:val="both"/>
        <w:rPr>
          <w:rFonts w:ascii="Arial" w:hAnsi="Arial" w:cs="Arial"/>
          <w:sz w:val="20"/>
          <w:szCs w:val="20"/>
        </w:rPr>
      </w:pPr>
      <w:r w:rsidRPr="000A5C0F">
        <w:rPr>
          <w:rFonts w:ascii="Arial" w:hAnsi="Arial" w:cs="Arial"/>
          <w:sz w:val="20"/>
          <w:szCs w:val="20"/>
        </w:rPr>
        <w:t xml:space="preserve">Ministerstvo životného prostredia SR ako </w:t>
      </w:r>
      <w:r w:rsidR="00BF1B81">
        <w:rPr>
          <w:rFonts w:ascii="Arial" w:hAnsi="Arial" w:cs="Arial"/>
          <w:sz w:val="20"/>
          <w:szCs w:val="20"/>
        </w:rPr>
        <w:t>RO</w:t>
      </w:r>
      <w:r w:rsidRPr="000A5C0F">
        <w:rPr>
          <w:rFonts w:ascii="Arial" w:hAnsi="Arial" w:cs="Arial"/>
          <w:sz w:val="20"/>
          <w:szCs w:val="20"/>
        </w:rPr>
        <w:t xml:space="preserve"> zabezpečuje publicitu na národnej úrovni – t.j. na úrovni fondov EÚ a na úrovni projektov t.j. na úrovni výziev na predkladanie žiadostí o NFP. Zároveň tiež kontroluje dodržiavanie publicity na úrovni dopytovo – orientovaných ako aj veľkých projektov v zmysle uzavretej zmluvy o poskytnutí NFP.</w:t>
      </w:r>
    </w:p>
    <w:p w:rsidR="000A5C0F" w:rsidRPr="000A5C0F" w:rsidRDefault="000A5C0F" w:rsidP="00507035">
      <w:pPr>
        <w:spacing w:before="120" w:after="120" w:line="360" w:lineRule="auto"/>
        <w:jc w:val="both"/>
        <w:rPr>
          <w:rFonts w:ascii="Arial" w:hAnsi="Arial" w:cs="Arial"/>
          <w:sz w:val="20"/>
          <w:szCs w:val="20"/>
        </w:rPr>
      </w:pPr>
      <w:r w:rsidRPr="000A5C0F">
        <w:rPr>
          <w:rFonts w:ascii="Arial" w:hAnsi="Arial" w:cs="Arial"/>
          <w:sz w:val="20"/>
          <w:szCs w:val="20"/>
        </w:rPr>
        <w:t>V rámci informačno-komunikačnej stratégie RO spolupracuje pri komunikačných a informačných aktivitách s Centrálnym koordinačným orgánom (ďalej len „CKO“). Jeho zástupca je členom Pracovnej skupiny pre publicitu, ktorá koordinuje fungovanie spoločných komunikačných nástrojov. Podrobný vzťah RO a CKO v oblasti informovania a publicity definuje Systém riadenia štrukturálnych fondov a Kohézneho fondu v programovom období 2007 – 2013. Pracovná skupina zasadá 2x ročne. RO spolupracuje pri komunikačných a informačných aktivitách aj so zástupcami EK na úrovni pracovnej skupiny pre informovanosť a publicitu pri Európskej komisii tzv. „INFORM GROUP“, zloženej zo zástupcov manažérov pre publicitu zo všetkých členských krajín, kde sú prejednávané aktuálne otázky v zabezpečovaní informovanosti a publicity o štrukturálnych fondoch EÚ. Pracovná skupina zasadá 2x ročne.</w:t>
      </w:r>
    </w:p>
    <w:p w:rsidR="000A5C0F" w:rsidRDefault="000A5C0F" w:rsidP="00507035">
      <w:pPr>
        <w:spacing w:before="120" w:after="120" w:line="360" w:lineRule="auto"/>
        <w:jc w:val="both"/>
        <w:rPr>
          <w:rFonts w:ascii="Arial" w:hAnsi="Arial" w:cs="Arial"/>
          <w:sz w:val="20"/>
          <w:szCs w:val="20"/>
        </w:rPr>
      </w:pPr>
      <w:r w:rsidRPr="000A5C0F">
        <w:rPr>
          <w:rFonts w:ascii="Arial" w:hAnsi="Arial" w:cs="Arial"/>
          <w:sz w:val="20"/>
          <w:szCs w:val="20"/>
        </w:rPr>
        <w:t xml:space="preserve">Ministerstvo životného prostredia SR zabezpečuje implementáciu opatrení KoP </w:t>
      </w:r>
      <w:r w:rsidR="00BF1B81">
        <w:rPr>
          <w:rFonts w:ascii="Arial" w:hAnsi="Arial" w:cs="Arial"/>
          <w:sz w:val="20"/>
          <w:szCs w:val="20"/>
        </w:rPr>
        <w:t xml:space="preserve"> </w:t>
      </w:r>
      <w:r w:rsidRPr="000A5C0F">
        <w:rPr>
          <w:rFonts w:ascii="Arial" w:hAnsi="Arial" w:cs="Arial"/>
          <w:sz w:val="20"/>
          <w:szCs w:val="20"/>
        </w:rPr>
        <w:t>aj na regionálnej úrovni a to prostredníctvom siete Regionálnych environmentálnych poradenských a informačných stredísk Slovenskej agentúry životného prostredia (ďalej „REPIS“), ktoré slúžia ako miesta prvého kontaktu a poradenské centrá pre záujemcov o čerpanie finančných prostriedkov z fondov EÚ. Ich hlavným cieľom je systematická podpora úspešnej implementácie projektov v jednotlivých regiónoch SR, podpora zabezpečenia maximálnej transparentnosti a absorpčnej kapacity čerpania pomoci EÚ, podpora imidžu EÚ ako poskytovateľa pomoci SR.  V súčasnosti je vybudovaných a sprevádzkovaných 10 kancelárií REPIS v 7 krajoch SR pod jednotlivými pracoviskami SAŽP, v mestách: Trnava, Nitra, Prievidza, Žilina, Banská Bystrica, Banská Štiavnica, Rimavská Sobota, Poprad, Prešov a Košice.</w:t>
      </w:r>
    </w:p>
    <w:p w:rsidR="002416B1" w:rsidRPr="004B33AE" w:rsidRDefault="002416B1" w:rsidP="00507035">
      <w:pPr>
        <w:spacing w:before="120" w:after="120" w:line="360" w:lineRule="auto"/>
        <w:jc w:val="both"/>
        <w:rPr>
          <w:rFonts w:ascii="Arial" w:hAnsi="Arial" w:cs="Arial"/>
          <w:b/>
          <w:sz w:val="20"/>
          <w:szCs w:val="20"/>
          <w:u w:val="single"/>
        </w:rPr>
      </w:pPr>
      <w:r w:rsidRPr="004B33AE">
        <w:rPr>
          <w:rFonts w:ascii="Arial" w:hAnsi="Arial" w:cs="Arial"/>
          <w:b/>
          <w:sz w:val="20"/>
          <w:szCs w:val="20"/>
          <w:u w:val="single"/>
        </w:rPr>
        <w:t>ČINNOSTI, VYKONANÉ NA ZABEZPEČENIE INFORMOVANOSTI O OP ŽP ZA ROK 201</w:t>
      </w:r>
      <w:r w:rsidR="000A5C0F">
        <w:rPr>
          <w:rFonts w:ascii="Arial" w:hAnsi="Arial" w:cs="Arial"/>
          <w:b/>
          <w:sz w:val="20"/>
          <w:szCs w:val="20"/>
          <w:u w:val="single"/>
        </w:rPr>
        <w:t>2</w:t>
      </w:r>
    </w:p>
    <w:p w:rsidR="000A5C0F" w:rsidRPr="000A5C0F" w:rsidRDefault="000A5C0F" w:rsidP="00507035">
      <w:pPr>
        <w:spacing w:before="120" w:after="120" w:line="360" w:lineRule="auto"/>
        <w:jc w:val="both"/>
        <w:rPr>
          <w:rFonts w:ascii="Arial" w:hAnsi="Arial" w:cs="Arial"/>
          <w:sz w:val="20"/>
          <w:szCs w:val="20"/>
        </w:rPr>
      </w:pPr>
      <w:r w:rsidRPr="000A5C0F">
        <w:rPr>
          <w:rFonts w:ascii="Arial" w:hAnsi="Arial" w:cs="Arial"/>
          <w:sz w:val="20"/>
          <w:szCs w:val="20"/>
        </w:rPr>
        <w:t xml:space="preserve">V zmysle KoP OP ŽP bol vypracovaný Ročný operatívny plán pre KoP OP ŽP na rok 2012 (ďalej len „RoP 2012“), ktorý nadväzoval na aktivity z predchádzajúcich rokov a súčasne vyjadroval potreby  informovanosti a publicity na rok 2012. Na základe neho RO OP ŽP realizoval viacero informačno-komunikačných aktivít, ktoré vychádzali z vytvoreného Corporate Design manuálu, ktorý má aj v nasledujúcom období zabezpečiť aplikáciu jednotnej vizuálnej identity loga OP ŽP a tak jeho jednoznačnú identifikáciu v zmysle platných nariadení EK v oblasti publicity. </w:t>
      </w:r>
    </w:p>
    <w:p w:rsidR="000A5C0F" w:rsidRPr="000A5C0F" w:rsidRDefault="000A5C0F" w:rsidP="00507035">
      <w:pPr>
        <w:spacing w:before="120" w:after="120" w:line="360" w:lineRule="auto"/>
        <w:jc w:val="both"/>
        <w:rPr>
          <w:rFonts w:ascii="Arial" w:hAnsi="Arial" w:cs="Arial"/>
          <w:sz w:val="20"/>
          <w:szCs w:val="20"/>
        </w:rPr>
      </w:pPr>
      <w:r w:rsidRPr="000A5C0F">
        <w:rPr>
          <w:rFonts w:ascii="Arial" w:hAnsi="Arial" w:cs="Arial"/>
          <w:sz w:val="20"/>
          <w:szCs w:val="20"/>
        </w:rPr>
        <w:t>Intenzívna komunikačná kampaň predošlých rokov zabezpečila jednak transformáciu potenciálnych žiadateľov, ktorí neboli informovaní o existencii OP</w:t>
      </w:r>
      <w:r w:rsidR="00BF1B81">
        <w:rPr>
          <w:rFonts w:ascii="Arial" w:hAnsi="Arial" w:cs="Arial"/>
          <w:sz w:val="20"/>
          <w:szCs w:val="20"/>
        </w:rPr>
        <w:t xml:space="preserve"> </w:t>
      </w:r>
      <w:r w:rsidRPr="000A5C0F">
        <w:rPr>
          <w:rFonts w:ascii="Arial" w:hAnsi="Arial" w:cs="Arial"/>
          <w:sz w:val="20"/>
          <w:szCs w:val="20"/>
        </w:rPr>
        <w:t>ŽP a o možnostiach získania nenávratného finančného príspevku a úlohe, ktorú zohráva EÚ, na informovaných žiadateľov, ktorí vedia kde a ako čerpať potrebné informácie a zároveň tak vytvorila informačný a komunikačný systém, ktorý umožňuje záujemcom rýchle a prehľadné získavanie informácií. V ďalších rokoch preto nebude potrebná rozsiahla informačná kampaň, skôr zaoberanie sa konkrétnymi aktivitami pre konkrétne cieľové skupiny a zameranie sa najmä na informovanie verejnosti o úspešne realizovaných projektoch podporených z</w:t>
      </w:r>
      <w:r w:rsidR="00BF1B81">
        <w:rPr>
          <w:rFonts w:ascii="Arial" w:hAnsi="Arial" w:cs="Arial"/>
          <w:sz w:val="20"/>
          <w:szCs w:val="20"/>
        </w:rPr>
        <w:t> </w:t>
      </w:r>
      <w:r w:rsidRPr="000A5C0F">
        <w:rPr>
          <w:rFonts w:ascii="Arial" w:hAnsi="Arial" w:cs="Arial"/>
          <w:sz w:val="20"/>
          <w:szCs w:val="20"/>
        </w:rPr>
        <w:t>OP</w:t>
      </w:r>
      <w:r w:rsidR="00BF1B81">
        <w:rPr>
          <w:rFonts w:ascii="Arial" w:hAnsi="Arial" w:cs="Arial"/>
          <w:sz w:val="20"/>
          <w:szCs w:val="20"/>
        </w:rPr>
        <w:t xml:space="preserve"> </w:t>
      </w:r>
      <w:r w:rsidRPr="000A5C0F">
        <w:rPr>
          <w:rFonts w:ascii="Arial" w:hAnsi="Arial" w:cs="Arial"/>
          <w:sz w:val="20"/>
          <w:szCs w:val="20"/>
        </w:rPr>
        <w:t>ŽP.</w:t>
      </w:r>
    </w:p>
    <w:p w:rsidR="000A5C0F" w:rsidRPr="000A5C0F" w:rsidRDefault="000A5C0F" w:rsidP="00507035">
      <w:pPr>
        <w:spacing w:before="120" w:after="120" w:line="360" w:lineRule="auto"/>
        <w:jc w:val="both"/>
        <w:rPr>
          <w:rFonts w:ascii="Arial" w:hAnsi="Arial" w:cs="Arial"/>
          <w:sz w:val="20"/>
          <w:szCs w:val="20"/>
        </w:rPr>
      </w:pPr>
      <w:r w:rsidRPr="000A5C0F">
        <w:rPr>
          <w:rFonts w:ascii="Arial" w:hAnsi="Arial" w:cs="Arial"/>
          <w:sz w:val="20"/>
          <w:szCs w:val="20"/>
        </w:rPr>
        <w:t xml:space="preserve">V nadväznosti na uvedené východiskom pre spracovanie koncepcie komunikácie už rokov 2010 a 2011 bol prechod z informačnej do vzdelávaco-implementačnej fázy s cieľom poskytnúť podrobnejšie informácie a zvýšiť počet infodní a školení na regionálnej úrovni tak, aby sa konkrétne informácie dostávali ku konkrétnym cieľovým skupinám. Ostatné realizované aktivity prinášali informácie o aktuálnych výzvach, o plánovaných aktivitách v danom regióne a zároveň prinášali informácie o dosiahnutých výsledkoch v danom aj v predchádzajúcom období. </w:t>
      </w:r>
    </w:p>
    <w:p w:rsidR="000A5C0F" w:rsidRDefault="000A5C0F" w:rsidP="00507035">
      <w:pPr>
        <w:spacing w:before="120" w:after="120" w:line="360" w:lineRule="auto"/>
        <w:jc w:val="both"/>
        <w:rPr>
          <w:rFonts w:ascii="Arial" w:hAnsi="Arial" w:cs="Arial"/>
          <w:sz w:val="20"/>
          <w:szCs w:val="20"/>
        </w:rPr>
      </w:pPr>
      <w:r w:rsidRPr="000A5C0F">
        <w:rPr>
          <w:rFonts w:ascii="Arial" w:hAnsi="Arial" w:cs="Arial"/>
          <w:sz w:val="20"/>
          <w:szCs w:val="20"/>
        </w:rPr>
        <w:t>Vzhľadom na to, že v máji 2010 Ministerstvo financií SR na základe podozrenia z nezrovnalosti požiadalo MŽP SR nezaraďovať do súhrnných žiadostí o platbu výdavky projektov „Zabezpečenie propagácie v programovom období 2007 – 2013 v rámci Operačného programu Životné prostredie” (NFP24160110006) a „Zabezpečenie propagácie v programovom období 2007 – 2013 v rámci OP</w:t>
      </w:r>
      <w:r w:rsidR="00BF1B81">
        <w:rPr>
          <w:rFonts w:ascii="Arial" w:hAnsi="Arial" w:cs="Arial"/>
          <w:sz w:val="20"/>
          <w:szCs w:val="20"/>
        </w:rPr>
        <w:t xml:space="preserve"> </w:t>
      </w:r>
      <w:r w:rsidRPr="000A5C0F">
        <w:rPr>
          <w:rFonts w:ascii="Arial" w:hAnsi="Arial" w:cs="Arial"/>
          <w:sz w:val="20"/>
          <w:szCs w:val="20"/>
        </w:rPr>
        <w:t xml:space="preserve">ŽP, II. etapa” (NFP24160110007) boli aktivity súvisiace s realizáciou KoP hradené od tejto doby výlučne z kapitoly MŽP. V nadväznosti na potrebu minimalizácie výdavkov z kapitoly MŽP SR boli od 2. polroku 2010 zabezpečované len nevyhnutné </w:t>
      </w:r>
      <w:r w:rsidRPr="00EF0531">
        <w:rPr>
          <w:rFonts w:ascii="Arial" w:hAnsi="Arial" w:cs="Arial"/>
          <w:sz w:val="20"/>
          <w:szCs w:val="20"/>
        </w:rPr>
        <w:t>aktivity IaP súvisiace</w:t>
      </w:r>
      <w:r w:rsidRPr="000A5C0F">
        <w:rPr>
          <w:rFonts w:ascii="Arial" w:hAnsi="Arial" w:cs="Arial"/>
          <w:sz w:val="20"/>
          <w:szCs w:val="20"/>
        </w:rPr>
        <w:t xml:space="preserve"> s realizáciou KoP OP</w:t>
      </w:r>
      <w:r w:rsidR="00BF1B81">
        <w:rPr>
          <w:rFonts w:ascii="Arial" w:hAnsi="Arial" w:cs="Arial"/>
          <w:sz w:val="20"/>
          <w:szCs w:val="20"/>
        </w:rPr>
        <w:t xml:space="preserve"> </w:t>
      </w:r>
      <w:r w:rsidRPr="000A5C0F">
        <w:rPr>
          <w:rFonts w:ascii="Arial" w:hAnsi="Arial" w:cs="Arial"/>
          <w:sz w:val="20"/>
          <w:szCs w:val="20"/>
        </w:rPr>
        <w:t xml:space="preserve">ŽP, ktoré zabezpečujú už len výlučne zástupcovia RO a zástupcovia REPIS. Nakoľko zo strany MF SR bola v r. 2010 odoslaná požiadavka na Úrad pre verejné obstarávanie na výkon kontroly celého postupu verejného obstarávania týkajúceho sa Zmluvy na realizáciu KoP s dodávateľskou spoločnosťou a keďže ku koncu roka 2012 stále prebiehalo správne konanie (keďže zo strany MŽP SR bola podaná žaloba na Krajský súd v BA o preskúmanie zákonnosti rozhodnutia ÚVO a žiadosť o odklad vykonateľnosti rozhodnutia ÚVO) nie je možné v danej veci informovať o finálnom rozhodnutí. Zároveň vzhľadom na skutočnosť, že rok 2012 bol volebným rokom s čím boli spojené aj personálne zmeny na odbornom útvare, ktorý má v gescii realizáciu verejných obstarávaní, nebolo vyhlásenie verejného obstarávania na dodávateľa služieb spojených s plnením aktivít KoP </w:t>
      </w:r>
      <w:r w:rsidR="00BF1B81">
        <w:rPr>
          <w:rFonts w:ascii="Arial" w:hAnsi="Arial" w:cs="Arial"/>
          <w:sz w:val="20"/>
          <w:szCs w:val="20"/>
        </w:rPr>
        <w:t xml:space="preserve"> </w:t>
      </w:r>
      <w:r w:rsidRPr="000A5C0F">
        <w:rPr>
          <w:rFonts w:ascii="Arial" w:hAnsi="Arial" w:cs="Arial"/>
          <w:sz w:val="20"/>
          <w:szCs w:val="20"/>
        </w:rPr>
        <w:t>realizované. Bez zabezpečenia externých dodávateľských služieb však nebolo možné niektoré aktivity plánované v RoP na rok 2012 realizovať. Uvedené aktivity boli však presunuté na rok 2013, kedy je naplánované vyhlásenie verejného obstarávania.</w:t>
      </w:r>
    </w:p>
    <w:p w:rsidR="002416B1" w:rsidRPr="004B33AE" w:rsidRDefault="002416B1" w:rsidP="00507035">
      <w:pPr>
        <w:spacing w:before="120" w:after="120" w:line="360" w:lineRule="auto"/>
        <w:jc w:val="both"/>
        <w:rPr>
          <w:rFonts w:ascii="Arial" w:hAnsi="Arial" w:cs="Arial"/>
          <w:b/>
          <w:sz w:val="20"/>
          <w:szCs w:val="20"/>
          <w:u w:val="single"/>
        </w:rPr>
      </w:pPr>
      <w:r w:rsidRPr="004B33AE">
        <w:rPr>
          <w:rFonts w:ascii="Arial" w:hAnsi="Arial" w:cs="Arial"/>
          <w:b/>
          <w:sz w:val="20"/>
          <w:szCs w:val="20"/>
          <w:u w:val="single"/>
        </w:rPr>
        <w:t>Príklady realizovaných informačno-komunikačných aktivít v roku 201</w:t>
      </w:r>
      <w:r w:rsidR="000A5C0F">
        <w:rPr>
          <w:rFonts w:ascii="Arial" w:hAnsi="Arial" w:cs="Arial"/>
          <w:b/>
          <w:sz w:val="20"/>
          <w:szCs w:val="20"/>
          <w:u w:val="single"/>
        </w:rPr>
        <w:t>2</w:t>
      </w:r>
      <w:r w:rsidRPr="004B33AE">
        <w:rPr>
          <w:rFonts w:ascii="Arial" w:hAnsi="Arial" w:cs="Arial"/>
          <w:b/>
          <w:sz w:val="20"/>
          <w:szCs w:val="20"/>
          <w:u w:val="single"/>
        </w:rPr>
        <w:t>:</w:t>
      </w:r>
    </w:p>
    <w:p w:rsidR="002416B1" w:rsidRPr="004B33AE" w:rsidRDefault="002416B1" w:rsidP="00507035">
      <w:pPr>
        <w:spacing w:before="120" w:after="120" w:line="360" w:lineRule="auto"/>
        <w:jc w:val="both"/>
        <w:rPr>
          <w:rFonts w:ascii="Arial" w:hAnsi="Arial" w:cs="Arial"/>
          <w:b/>
          <w:i/>
          <w:iCs/>
          <w:sz w:val="20"/>
          <w:szCs w:val="20"/>
        </w:rPr>
      </w:pPr>
      <w:bookmarkStart w:id="127" w:name="_Toc315332891"/>
      <w:r w:rsidRPr="004B33AE">
        <w:rPr>
          <w:rFonts w:ascii="Arial" w:hAnsi="Arial" w:cs="Arial"/>
          <w:b/>
          <w:i/>
          <w:iCs/>
          <w:sz w:val="20"/>
          <w:szCs w:val="20"/>
        </w:rPr>
        <w:t>Hlavná informačná aktivita v roku 201</w:t>
      </w:r>
      <w:r w:rsidR="000A5C0F">
        <w:rPr>
          <w:rFonts w:ascii="Arial" w:hAnsi="Arial" w:cs="Arial"/>
          <w:b/>
          <w:i/>
          <w:iCs/>
          <w:sz w:val="20"/>
          <w:szCs w:val="20"/>
        </w:rPr>
        <w:t>2</w:t>
      </w:r>
      <w:bookmarkEnd w:id="127"/>
    </w:p>
    <w:p w:rsidR="000A5C0F" w:rsidRPr="000A5C0F" w:rsidRDefault="000A5C0F" w:rsidP="00507035">
      <w:pPr>
        <w:spacing w:before="120" w:after="120" w:line="360" w:lineRule="auto"/>
        <w:jc w:val="both"/>
        <w:rPr>
          <w:rFonts w:ascii="Arial" w:hAnsi="Arial" w:cs="Arial"/>
          <w:sz w:val="20"/>
          <w:szCs w:val="20"/>
        </w:rPr>
      </w:pPr>
      <w:r w:rsidRPr="000A5C0F">
        <w:rPr>
          <w:rFonts w:ascii="Arial" w:hAnsi="Arial" w:cs="Arial"/>
          <w:sz w:val="20"/>
          <w:szCs w:val="20"/>
        </w:rPr>
        <w:t xml:space="preserve">V zmysle KoP OP ŽP bol vypracovaný Ročný operatívny plán pre KoP OP ŽP na rok 2012 (ďalej len „RoP 2012“), ktorý nadväzoval na aktivity z predchádzajúcich rokov a súčasne vyjadroval potreby  informovanosti a publicity na rok 2012. Na základe neho RO OP ŽP realizoval viacero informačno-komunikačných aktivít, ktoré vychádzali z vytvoreného Corporate Design manuálu, ktorý má aj v nasledujúcom období zabezpečiť aplikáciu jednotnej vizuálnej identity loga OP ŽP a tak jeho jednoznačnú identifikáciu v zmysle platných nariadení EK v oblasti publicity. </w:t>
      </w:r>
    </w:p>
    <w:p w:rsidR="000A5C0F" w:rsidRPr="000A5C0F" w:rsidRDefault="000A5C0F" w:rsidP="00507035">
      <w:pPr>
        <w:spacing w:before="120" w:after="120" w:line="360" w:lineRule="auto"/>
        <w:jc w:val="both"/>
        <w:rPr>
          <w:rFonts w:ascii="Arial" w:hAnsi="Arial" w:cs="Arial"/>
          <w:sz w:val="20"/>
          <w:szCs w:val="20"/>
        </w:rPr>
      </w:pPr>
      <w:r w:rsidRPr="000A5C0F">
        <w:rPr>
          <w:rFonts w:ascii="Arial" w:hAnsi="Arial" w:cs="Arial"/>
          <w:sz w:val="20"/>
          <w:szCs w:val="20"/>
        </w:rPr>
        <w:t>Intenzívna komunikačná kampaň predošlých rokov zabezpečila jednak transformáciu potenciálnych žiadateľov, ktorí neboli informovaní o existencii OP</w:t>
      </w:r>
      <w:r w:rsidR="000236A4">
        <w:rPr>
          <w:rFonts w:ascii="Arial" w:hAnsi="Arial" w:cs="Arial"/>
          <w:sz w:val="20"/>
          <w:szCs w:val="20"/>
        </w:rPr>
        <w:t xml:space="preserve"> </w:t>
      </w:r>
      <w:r w:rsidRPr="000A5C0F">
        <w:rPr>
          <w:rFonts w:ascii="Arial" w:hAnsi="Arial" w:cs="Arial"/>
          <w:sz w:val="20"/>
          <w:szCs w:val="20"/>
        </w:rPr>
        <w:t>ŽP a o možnostiach získania nenávratného finančného príspevku a úlohe, ktorú zohráva EÚ, na informovaných žiadateľov, ktorí vedia kde a ako čerpať potrebné informácie a zároveň tak vytvorila informačný a komunikačný systém, ktorý umožňuje záujemcom rýchle a prehľadné získavanie informácií. V ďalších rokoch preto nebude potrebná rozsiahla informačná kampaň, skôr zaoberanie sa konkrétnymi aktivitami pre konkrétne cieľové skupiny a zameranie sa najmä na informovanie verejnosti o úspešne realizovaných projektoch podporených z</w:t>
      </w:r>
      <w:r w:rsidR="00BF1B81">
        <w:rPr>
          <w:rFonts w:ascii="Arial" w:hAnsi="Arial" w:cs="Arial"/>
          <w:sz w:val="20"/>
          <w:szCs w:val="20"/>
        </w:rPr>
        <w:t> </w:t>
      </w:r>
      <w:r w:rsidRPr="000A5C0F">
        <w:rPr>
          <w:rFonts w:ascii="Arial" w:hAnsi="Arial" w:cs="Arial"/>
          <w:sz w:val="20"/>
          <w:szCs w:val="20"/>
        </w:rPr>
        <w:t>OP</w:t>
      </w:r>
      <w:r w:rsidR="00BF1B81">
        <w:rPr>
          <w:rFonts w:ascii="Arial" w:hAnsi="Arial" w:cs="Arial"/>
          <w:sz w:val="20"/>
          <w:szCs w:val="20"/>
        </w:rPr>
        <w:t xml:space="preserve"> </w:t>
      </w:r>
      <w:r w:rsidRPr="000A5C0F">
        <w:rPr>
          <w:rFonts w:ascii="Arial" w:hAnsi="Arial" w:cs="Arial"/>
          <w:sz w:val="20"/>
          <w:szCs w:val="20"/>
        </w:rPr>
        <w:t>ŽP.</w:t>
      </w:r>
    </w:p>
    <w:p w:rsidR="000A5C0F" w:rsidRPr="000A5C0F" w:rsidRDefault="000A5C0F" w:rsidP="00507035">
      <w:pPr>
        <w:spacing w:before="120" w:after="120" w:line="360" w:lineRule="auto"/>
        <w:jc w:val="both"/>
        <w:rPr>
          <w:rFonts w:ascii="Arial" w:hAnsi="Arial" w:cs="Arial"/>
          <w:sz w:val="20"/>
          <w:szCs w:val="20"/>
        </w:rPr>
      </w:pPr>
      <w:r w:rsidRPr="000A5C0F">
        <w:rPr>
          <w:rFonts w:ascii="Arial" w:hAnsi="Arial" w:cs="Arial"/>
          <w:sz w:val="20"/>
          <w:szCs w:val="20"/>
        </w:rPr>
        <w:t xml:space="preserve">V nadväznosti na uvedené východiskom pre spracovanie koncepcie komunikácie už rokov 2010 a 2011 bol prechod z informačnej do vzdelávaco-implementačnej fázy s cieľom poskytnúť podrobnejšie informácie a zvýšiť počet infodní a školení na regionálnej úrovni tak, aby sa konkrétne informácie dostávali ku konkrétnym cieľovým skupinám. Ostatné realizované aktivity prinášali informácie o aktuálnych výzvach, o plánovaných aktivitách v danom regióne a zároveň prinášali informácie o dosiahnutých výsledkoch v danom aj v predchádzajúcom období. </w:t>
      </w:r>
    </w:p>
    <w:p w:rsidR="000A5C0F" w:rsidRDefault="000A5C0F" w:rsidP="00507035">
      <w:pPr>
        <w:spacing w:before="120" w:after="120" w:line="360" w:lineRule="auto"/>
        <w:jc w:val="both"/>
        <w:rPr>
          <w:rFonts w:ascii="Arial" w:hAnsi="Arial" w:cs="Arial"/>
          <w:sz w:val="20"/>
          <w:szCs w:val="20"/>
        </w:rPr>
      </w:pPr>
      <w:r w:rsidRPr="000A5C0F">
        <w:rPr>
          <w:rFonts w:ascii="Arial" w:hAnsi="Arial" w:cs="Arial"/>
          <w:sz w:val="20"/>
          <w:szCs w:val="20"/>
        </w:rPr>
        <w:t xml:space="preserve">Vzhľadom na to, že v máji 2010 Ministerstvo financií SR na základe podozrenia z nezrovnalosti požiadalo </w:t>
      </w:r>
      <w:r w:rsidR="000236A4">
        <w:rPr>
          <w:rFonts w:ascii="Arial" w:hAnsi="Arial" w:cs="Arial"/>
          <w:sz w:val="20"/>
          <w:szCs w:val="20"/>
        </w:rPr>
        <w:t>RO</w:t>
      </w:r>
      <w:r w:rsidRPr="000A5C0F">
        <w:rPr>
          <w:rFonts w:ascii="Arial" w:hAnsi="Arial" w:cs="Arial"/>
          <w:sz w:val="20"/>
          <w:szCs w:val="20"/>
        </w:rPr>
        <w:t xml:space="preserve"> nezaraďovať do súhrnných žiadostí o platbu výdavky projektov „Zabezpečenie propagácie v programovom období 2007 – 2013 v rámci Operačného programu Životné prostredie” (NFP24160110006) a „Zabezpečenie propagácie v programovom období 2007 – 2013 v rámci OP</w:t>
      </w:r>
      <w:r w:rsidR="000236A4">
        <w:rPr>
          <w:rFonts w:ascii="Arial" w:hAnsi="Arial" w:cs="Arial"/>
          <w:sz w:val="20"/>
          <w:szCs w:val="20"/>
        </w:rPr>
        <w:t xml:space="preserve"> </w:t>
      </w:r>
      <w:r w:rsidRPr="000A5C0F">
        <w:rPr>
          <w:rFonts w:ascii="Arial" w:hAnsi="Arial" w:cs="Arial"/>
          <w:sz w:val="20"/>
          <w:szCs w:val="20"/>
        </w:rPr>
        <w:t>ŽP, II. etapa” (NFP24160110007) boli aktivity súvisiace s realizáciou KoP hradené od tejto doby výlučne z kapitoly MŽP. V nadväznosti na potrebu minimalizácie výdavkov z kapitoly MŽP SR boli od 2. polroku 2010 zabezpečované len nevyhnutné aktivity IaP súvisiace s realizáciou KoP OP</w:t>
      </w:r>
      <w:r w:rsidR="000236A4">
        <w:rPr>
          <w:rFonts w:ascii="Arial" w:hAnsi="Arial" w:cs="Arial"/>
          <w:sz w:val="20"/>
          <w:szCs w:val="20"/>
        </w:rPr>
        <w:t xml:space="preserve"> </w:t>
      </w:r>
      <w:r w:rsidRPr="000A5C0F">
        <w:rPr>
          <w:rFonts w:ascii="Arial" w:hAnsi="Arial" w:cs="Arial"/>
          <w:sz w:val="20"/>
          <w:szCs w:val="20"/>
        </w:rPr>
        <w:t xml:space="preserve">ŽP, ktoré zabezpečujú už len výlučne zástupcovia RO a zástupcovia REPIS. Nakoľko zo strany MF SR bola v r. 2010 odoslaná požiadavka na Úrad pre verejné obstarávanie na výkon kontroly celého postupu verejného obstarávania týkajúceho sa Zmluvy na realizáciu KoP s dodávateľskou spoločnosťou a keďže ku koncu roka 2012 stále prebiehalo správne konanie (keďže zo strany MŽP SR bola podaná žaloba na Krajský súd v BA o preskúmanie zákonnosti rozhodnutia ÚVO a žiadosť o odklad vykonateľnosti rozhodnutia ÚVO) nie je možné v danej veci informovať o finálnom rozhodnutí. Zároveň vzhľadom na skutočnosť, že rok 2012 bol volebným rokom s čím boli spojené aj personálne zmeny na odbornom útvare, ktorý má v gescii realizáciu verejných obstarávaní, nebolo vyhlásenie verejného obstarávania na dodávateľa služieb spojených s plnením aktivít KoP </w:t>
      </w:r>
      <w:r w:rsidR="000236A4">
        <w:rPr>
          <w:rFonts w:ascii="Arial" w:hAnsi="Arial" w:cs="Arial"/>
          <w:sz w:val="20"/>
          <w:szCs w:val="20"/>
        </w:rPr>
        <w:t>OP ŽP</w:t>
      </w:r>
      <w:r w:rsidRPr="000A5C0F">
        <w:rPr>
          <w:rFonts w:ascii="Arial" w:hAnsi="Arial" w:cs="Arial"/>
          <w:sz w:val="20"/>
          <w:szCs w:val="20"/>
        </w:rPr>
        <w:t xml:space="preserve"> realizované. Bez zabezpečenia externých dodávateľských služieb však nebolo možné niektoré aktivity plánované v RoP na rok 2012 realizovať. Uvedené aktivity boli však presunuté na rok 2013, kedy je naplánované vyhlásenie verejného obstarávania.</w:t>
      </w:r>
    </w:p>
    <w:p w:rsidR="000A02D3" w:rsidRDefault="000A02D3">
      <w:pPr>
        <w:rPr>
          <w:rFonts w:ascii="Arial" w:hAnsi="Arial" w:cs="Arial"/>
          <w:b/>
          <w:i/>
          <w:sz w:val="20"/>
          <w:szCs w:val="20"/>
        </w:rPr>
      </w:pPr>
      <w:bookmarkStart w:id="128" w:name="_Toc315332892"/>
      <w:r>
        <w:rPr>
          <w:rFonts w:ascii="Arial" w:hAnsi="Arial" w:cs="Arial"/>
          <w:b/>
          <w:i/>
          <w:sz w:val="20"/>
          <w:szCs w:val="20"/>
        </w:rPr>
        <w:br w:type="page"/>
      </w:r>
    </w:p>
    <w:p w:rsidR="002416B1" w:rsidRPr="004B33AE" w:rsidRDefault="002416B1" w:rsidP="00507035">
      <w:pPr>
        <w:spacing w:before="120" w:after="120" w:line="360" w:lineRule="auto"/>
        <w:jc w:val="both"/>
        <w:rPr>
          <w:rFonts w:ascii="Arial" w:hAnsi="Arial" w:cs="Arial"/>
          <w:b/>
          <w:i/>
          <w:sz w:val="20"/>
          <w:szCs w:val="20"/>
        </w:rPr>
      </w:pPr>
      <w:r w:rsidRPr="004B33AE">
        <w:rPr>
          <w:rFonts w:ascii="Arial" w:hAnsi="Arial" w:cs="Arial"/>
          <w:b/>
          <w:i/>
          <w:sz w:val="20"/>
          <w:szCs w:val="20"/>
        </w:rPr>
        <w:t>Zoznam prijímateľov</w:t>
      </w:r>
      <w:bookmarkEnd w:id="128"/>
    </w:p>
    <w:p w:rsidR="000A5C0F" w:rsidRPr="000A5C0F" w:rsidRDefault="000A5C0F" w:rsidP="00507035">
      <w:pPr>
        <w:spacing w:before="120" w:after="120" w:line="360" w:lineRule="auto"/>
        <w:jc w:val="both"/>
        <w:rPr>
          <w:rFonts w:ascii="Arial" w:hAnsi="Arial" w:cs="Arial"/>
          <w:sz w:val="20"/>
          <w:szCs w:val="20"/>
        </w:rPr>
      </w:pPr>
      <w:r w:rsidRPr="000A5C0F">
        <w:rPr>
          <w:rFonts w:ascii="Arial" w:hAnsi="Arial" w:cs="Arial"/>
          <w:sz w:val="20"/>
          <w:szCs w:val="20"/>
        </w:rPr>
        <w:t xml:space="preserve">V zmysle článku 7 písm. d) implementačného nariadenia EK je Zoznam prijímateľov centrálne zverejnený - na webovom sídle CKO - </w:t>
      </w:r>
      <w:hyperlink r:id="rId64" w:history="1">
        <w:r w:rsidR="00214E02" w:rsidRPr="0082535E">
          <w:rPr>
            <w:rStyle w:val="Hypertextovprepojenie"/>
            <w:rFonts w:ascii="Arial" w:hAnsi="Arial" w:cs="Arial"/>
            <w:sz w:val="20"/>
            <w:szCs w:val="20"/>
          </w:rPr>
          <w:t>www.nsrr.sk</w:t>
        </w:r>
      </w:hyperlink>
      <w:r w:rsidR="00214E02">
        <w:rPr>
          <w:rFonts w:ascii="Arial" w:hAnsi="Arial" w:cs="Arial"/>
          <w:sz w:val="20"/>
          <w:szCs w:val="20"/>
        </w:rPr>
        <w:t xml:space="preserve"> </w:t>
      </w:r>
      <w:r w:rsidRPr="000A5C0F">
        <w:rPr>
          <w:rFonts w:ascii="Arial" w:hAnsi="Arial" w:cs="Arial"/>
          <w:sz w:val="20"/>
          <w:szCs w:val="20"/>
        </w:rPr>
        <w:t>v časti „</w:t>
      </w:r>
      <w:r w:rsidR="00214E02">
        <w:rPr>
          <w:rFonts w:ascii="Arial" w:hAnsi="Arial" w:cs="Arial"/>
          <w:sz w:val="20"/>
          <w:szCs w:val="20"/>
        </w:rPr>
        <w:t>Čerpanie a Zoznamy</w:t>
      </w:r>
      <w:r w:rsidRPr="000A5C0F">
        <w:rPr>
          <w:rFonts w:ascii="Arial" w:hAnsi="Arial" w:cs="Arial"/>
          <w:sz w:val="20"/>
          <w:szCs w:val="20"/>
        </w:rPr>
        <w:t xml:space="preserve">“ za všetky operačné programy v rámci NSRR. RO taktiež zverejňuje zoznam prijímateľov za </w:t>
      </w:r>
      <w:r w:rsidR="000236A4">
        <w:rPr>
          <w:rFonts w:ascii="Arial" w:hAnsi="Arial" w:cs="Arial"/>
          <w:sz w:val="20"/>
          <w:szCs w:val="20"/>
        </w:rPr>
        <w:t>OP ŽP</w:t>
      </w:r>
      <w:r w:rsidRPr="000A5C0F">
        <w:rPr>
          <w:rFonts w:ascii="Arial" w:hAnsi="Arial" w:cs="Arial"/>
          <w:sz w:val="20"/>
          <w:szCs w:val="20"/>
        </w:rPr>
        <w:t xml:space="preserve"> na </w:t>
      </w:r>
      <w:r w:rsidR="000236A4">
        <w:rPr>
          <w:rFonts w:ascii="Arial" w:hAnsi="Arial" w:cs="Arial"/>
          <w:sz w:val="20"/>
          <w:szCs w:val="20"/>
        </w:rPr>
        <w:t xml:space="preserve">webovom sídle </w:t>
      </w:r>
      <w:hyperlink r:id="rId65" w:history="1">
        <w:r w:rsidR="00214E02" w:rsidRPr="0082535E">
          <w:rPr>
            <w:rStyle w:val="Hypertextovprepojenie"/>
            <w:rFonts w:ascii="Arial" w:hAnsi="Arial" w:cs="Arial"/>
            <w:sz w:val="20"/>
            <w:szCs w:val="20"/>
          </w:rPr>
          <w:t>www.opzp.sk</w:t>
        </w:r>
      </w:hyperlink>
      <w:r w:rsidR="00214E02">
        <w:rPr>
          <w:rFonts w:ascii="Arial" w:hAnsi="Arial" w:cs="Arial"/>
          <w:sz w:val="20"/>
          <w:szCs w:val="20"/>
        </w:rPr>
        <w:t xml:space="preserve"> </w:t>
      </w:r>
      <w:r w:rsidRPr="000A5C0F">
        <w:rPr>
          <w:rFonts w:ascii="Arial" w:hAnsi="Arial" w:cs="Arial"/>
          <w:sz w:val="20"/>
          <w:szCs w:val="20"/>
        </w:rPr>
        <w:t xml:space="preserve">v časti „Projekty/Zoznamy OPŽP/Zoznam prijímateľov“.  Zoznam obsahuje všetky povinné údaje ako aj údaje nad rámec povinných údajov t.j. číslo prioritnej osi, kód projektu, kód ŽoNFP, názov projektu, názov prijímateľa, stav projektu, číslo výzvy, miesto realizácie podľa VÚC, a výšku zazmluvneného NFP v členení na EÚ zdroje a ŠR. Zoznam je aktualizovaný v mesačných intervaloch a na základe informácií čerpaných z ITMS. </w:t>
      </w:r>
    </w:p>
    <w:p w:rsidR="000A5C0F" w:rsidRPr="000A5C0F" w:rsidRDefault="000A5C0F" w:rsidP="00507035">
      <w:pPr>
        <w:spacing w:before="120" w:after="120" w:line="360" w:lineRule="auto"/>
        <w:jc w:val="both"/>
        <w:rPr>
          <w:rFonts w:ascii="Arial" w:hAnsi="Arial" w:cs="Arial"/>
          <w:sz w:val="20"/>
          <w:szCs w:val="20"/>
        </w:rPr>
      </w:pPr>
      <w:r w:rsidRPr="000A5C0F">
        <w:rPr>
          <w:rFonts w:ascii="Arial" w:hAnsi="Arial" w:cs="Arial"/>
          <w:sz w:val="20"/>
          <w:szCs w:val="20"/>
        </w:rPr>
        <w:t xml:space="preserve">Vzhľadom na </w:t>
      </w:r>
      <w:r w:rsidR="004F37F3">
        <w:rPr>
          <w:rFonts w:ascii="Arial" w:hAnsi="Arial" w:cs="Arial"/>
          <w:sz w:val="20"/>
          <w:szCs w:val="20"/>
        </w:rPr>
        <w:t>prijatie</w:t>
      </w:r>
      <w:r w:rsidRPr="000A5C0F">
        <w:rPr>
          <w:rFonts w:ascii="Arial" w:hAnsi="Arial" w:cs="Arial"/>
          <w:sz w:val="20"/>
          <w:szCs w:val="20"/>
        </w:rPr>
        <w:t xml:space="preserve"> novely zákona č. 528/2008 o pomoci a podpore poskytovanej z fondov Európske</w:t>
      </w:r>
      <w:r w:rsidR="004F37F3">
        <w:rPr>
          <w:rFonts w:ascii="Arial" w:hAnsi="Arial" w:cs="Arial"/>
          <w:sz w:val="20"/>
          <w:szCs w:val="20"/>
        </w:rPr>
        <w:t>ho</w:t>
      </w:r>
      <w:r w:rsidRPr="000A5C0F">
        <w:rPr>
          <w:rFonts w:ascii="Arial" w:hAnsi="Arial" w:cs="Arial"/>
          <w:sz w:val="20"/>
          <w:szCs w:val="20"/>
        </w:rPr>
        <w:t xml:space="preserve"> </w:t>
      </w:r>
      <w:r w:rsidR="004F37F3">
        <w:rPr>
          <w:rFonts w:ascii="Arial" w:hAnsi="Arial" w:cs="Arial"/>
          <w:sz w:val="20"/>
          <w:szCs w:val="20"/>
        </w:rPr>
        <w:t>spoločenstva</w:t>
      </w:r>
      <w:r w:rsidRPr="000A5C0F">
        <w:rPr>
          <w:rFonts w:ascii="Arial" w:hAnsi="Arial" w:cs="Arial"/>
          <w:sz w:val="20"/>
          <w:szCs w:val="20"/>
        </w:rPr>
        <w:t xml:space="preserve"> bol zoznam prijímateľov rozšírený aj o nasledovné zoznamy:</w:t>
      </w:r>
    </w:p>
    <w:p w:rsidR="000A5C0F" w:rsidRPr="000A5C0F" w:rsidRDefault="000A5C0F" w:rsidP="00507035">
      <w:pPr>
        <w:spacing w:before="120" w:after="120" w:line="360" w:lineRule="auto"/>
        <w:jc w:val="both"/>
        <w:rPr>
          <w:rFonts w:ascii="Arial" w:hAnsi="Arial" w:cs="Arial"/>
          <w:sz w:val="20"/>
          <w:szCs w:val="20"/>
        </w:rPr>
      </w:pPr>
      <w:r w:rsidRPr="000A5C0F">
        <w:rPr>
          <w:rFonts w:ascii="Arial" w:hAnsi="Arial" w:cs="Arial"/>
          <w:sz w:val="20"/>
          <w:szCs w:val="20"/>
        </w:rPr>
        <w:t>•</w:t>
      </w:r>
      <w:r w:rsidRPr="000A5C0F">
        <w:rPr>
          <w:rFonts w:ascii="Arial" w:hAnsi="Arial" w:cs="Arial"/>
          <w:sz w:val="20"/>
          <w:szCs w:val="20"/>
        </w:rPr>
        <w:tab/>
        <w:t>Zoznam údajov o prijímateľoch v rámci OP</w:t>
      </w:r>
      <w:r w:rsidR="000236A4">
        <w:rPr>
          <w:rFonts w:ascii="Arial" w:hAnsi="Arial" w:cs="Arial"/>
          <w:sz w:val="20"/>
          <w:szCs w:val="20"/>
        </w:rPr>
        <w:t xml:space="preserve"> </w:t>
      </w:r>
      <w:r w:rsidRPr="000A5C0F">
        <w:rPr>
          <w:rFonts w:ascii="Arial" w:hAnsi="Arial" w:cs="Arial"/>
          <w:sz w:val="20"/>
          <w:szCs w:val="20"/>
        </w:rPr>
        <w:t xml:space="preserve">ŽP (§ 33, ods. 1, písm. a)-d), f) ) </w:t>
      </w:r>
    </w:p>
    <w:p w:rsidR="000A5C0F" w:rsidRPr="000A5C0F" w:rsidRDefault="000A5C0F" w:rsidP="00507035">
      <w:pPr>
        <w:spacing w:before="120" w:after="120" w:line="360" w:lineRule="auto"/>
        <w:jc w:val="both"/>
        <w:rPr>
          <w:rFonts w:ascii="Arial" w:hAnsi="Arial" w:cs="Arial"/>
          <w:sz w:val="20"/>
          <w:szCs w:val="20"/>
        </w:rPr>
      </w:pPr>
      <w:r w:rsidRPr="000A5C0F">
        <w:rPr>
          <w:rFonts w:ascii="Arial" w:hAnsi="Arial" w:cs="Arial"/>
          <w:sz w:val="20"/>
          <w:szCs w:val="20"/>
        </w:rPr>
        <w:t>V zozname je zverejnený podrobný opis každého projektu popisujúci východiskovú situáciu, situáciu po ukončení realizácie aktivít projektu, spôsob realizácie projektu, zdôvodnenie vhodnosti realizácie projektu ako aj udržateľnosť výsledkov projektu. Zoznam je aktualizovaný na mesačnej báze.</w:t>
      </w:r>
    </w:p>
    <w:p w:rsidR="000A5C0F" w:rsidRPr="000A5C0F" w:rsidRDefault="000A5C0F" w:rsidP="00507035">
      <w:pPr>
        <w:spacing w:before="120" w:after="120" w:line="360" w:lineRule="auto"/>
        <w:jc w:val="both"/>
        <w:rPr>
          <w:rFonts w:ascii="Arial" w:hAnsi="Arial" w:cs="Arial"/>
          <w:sz w:val="20"/>
          <w:szCs w:val="20"/>
        </w:rPr>
      </w:pPr>
      <w:r w:rsidRPr="000A5C0F">
        <w:rPr>
          <w:rFonts w:ascii="Arial" w:hAnsi="Arial" w:cs="Arial"/>
          <w:sz w:val="20"/>
          <w:szCs w:val="20"/>
        </w:rPr>
        <w:t>•</w:t>
      </w:r>
      <w:r w:rsidRPr="000A5C0F">
        <w:rPr>
          <w:rFonts w:ascii="Arial" w:hAnsi="Arial" w:cs="Arial"/>
          <w:sz w:val="20"/>
          <w:szCs w:val="20"/>
        </w:rPr>
        <w:tab/>
        <w:t xml:space="preserve">Zoznam údajov o neschválených žiadostiach o NFP v rámci </w:t>
      </w:r>
      <w:r w:rsidR="000236A4">
        <w:rPr>
          <w:rFonts w:ascii="Arial" w:hAnsi="Arial" w:cs="Arial"/>
          <w:sz w:val="20"/>
          <w:szCs w:val="20"/>
        </w:rPr>
        <w:t>OP ŽP</w:t>
      </w:r>
      <w:r w:rsidRPr="000A5C0F">
        <w:rPr>
          <w:rFonts w:ascii="Arial" w:hAnsi="Arial" w:cs="Arial"/>
          <w:sz w:val="20"/>
          <w:szCs w:val="20"/>
        </w:rPr>
        <w:t xml:space="preserve"> (§ 33, ods. 2, písm. a)-b), e) ) </w:t>
      </w:r>
    </w:p>
    <w:p w:rsidR="000A5C0F" w:rsidRPr="000A5C0F" w:rsidRDefault="000A5C0F" w:rsidP="00507035">
      <w:pPr>
        <w:spacing w:before="120" w:after="120" w:line="360" w:lineRule="auto"/>
        <w:jc w:val="both"/>
        <w:rPr>
          <w:rFonts w:ascii="Arial" w:hAnsi="Arial" w:cs="Arial"/>
          <w:sz w:val="20"/>
          <w:szCs w:val="20"/>
        </w:rPr>
      </w:pPr>
      <w:r w:rsidRPr="000A5C0F">
        <w:rPr>
          <w:rFonts w:ascii="Arial" w:hAnsi="Arial" w:cs="Arial"/>
          <w:sz w:val="20"/>
          <w:szCs w:val="20"/>
        </w:rPr>
        <w:t>V zozname sú zverejnené všetky neschválené ŽoNFP spolu s nasledovnými údajmi: číslo ŽoNFP, názov prijímateľa, názov projektu, IČO, Kód výzvy, dôvod zamietnutia. V relevantných prípadoch je súčasťou zoznamu pri jednotlivých projektoch aj číslo výberovej komisie a dátum jej zasadnutia, tak aby verejnosť vedela k neschválenému projektu na základe čísla výberovej komisie prostredníctvom ďalšieho zoznamu priradiť aj zloženie tejto komisie. Zoznam je aktualizovaný na dvojmesačnej báze.</w:t>
      </w:r>
    </w:p>
    <w:p w:rsidR="000A5C0F" w:rsidRPr="000A5C0F" w:rsidRDefault="000A5C0F" w:rsidP="00507035">
      <w:pPr>
        <w:spacing w:before="120" w:after="120" w:line="360" w:lineRule="auto"/>
        <w:jc w:val="both"/>
        <w:rPr>
          <w:rFonts w:ascii="Arial" w:hAnsi="Arial" w:cs="Arial"/>
          <w:sz w:val="20"/>
          <w:szCs w:val="20"/>
        </w:rPr>
      </w:pPr>
      <w:r w:rsidRPr="000A5C0F">
        <w:rPr>
          <w:rFonts w:ascii="Arial" w:hAnsi="Arial" w:cs="Arial"/>
          <w:sz w:val="20"/>
          <w:szCs w:val="20"/>
        </w:rPr>
        <w:t>•</w:t>
      </w:r>
      <w:r w:rsidRPr="000A5C0F">
        <w:rPr>
          <w:rFonts w:ascii="Arial" w:hAnsi="Arial" w:cs="Arial"/>
          <w:sz w:val="20"/>
          <w:szCs w:val="20"/>
        </w:rPr>
        <w:tab/>
        <w:t>Prehľad zloženia výberových komisií a zoznamu odborných hodnotiteľov OP</w:t>
      </w:r>
      <w:r w:rsidR="000236A4">
        <w:rPr>
          <w:rFonts w:ascii="Arial" w:hAnsi="Arial" w:cs="Arial"/>
          <w:sz w:val="20"/>
          <w:szCs w:val="20"/>
        </w:rPr>
        <w:t xml:space="preserve"> </w:t>
      </w:r>
      <w:r w:rsidRPr="000A5C0F">
        <w:rPr>
          <w:rFonts w:ascii="Arial" w:hAnsi="Arial" w:cs="Arial"/>
          <w:sz w:val="20"/>
          <w:szCs w:val="20"/>
        </w:rPr>
        <w:t>ŽP podľa jednotlivých výziev (§ 33)</w:t>
      </w:r>
    </w:p>
    <w:p w:rsidR="002416B1" w:rsidRPr="004B33AE" w:rsidRDefault="000A5C0F" w:rsidP="00507035">
      <w:pPr>
        <w:spacing w:before="120" w:after="120" w:line="360" w:lineRule="auto"/>
        <w:jc w:val="both"/>
        <w:rPr>
          <w:rFonts w:ascii="Arial" w:hAnsi="Arial" w:cs="Arial"/>
          <w:sz w:val="20"/>
          <w:szCs w:val="20"/>
        </w:rPr>
      </w:pPr>
      <w:r w:rsidRPr="000A5C0F">
        <w:rPr>
          <w:rFonts w:ascii="Arial" w:hAnsi="Arial" w:cs="Arial"/>
          <w:sz w:val="20"/>
          <w:szCs w:val="20"/>
        </w:rPr>
        <w:t>V zozname sú uvedené informácie všetkých výberových komisiách a odborných hodnotiteľoch podľa jednotlivých výziev, konkrétne informácie o čísle zasadnutia výberovej komisie, dátume zasadnutia, kóde výzvy, prioritnej osi, opatrení, dátume vyhlásenia výzvy, dátume ukončenia výzvy, alokácii finančných prostriedkov na výzvu v € (EÚ+ŠR) spolu s menovitým zoznamov členov výberových komisií a zoznamom odborných hodnotiteľov. Zoznam je aktualizovaný na dvojmesačnej báze</w:t>
      </w:r>
      <w:r>
        <w:rPr>
          <w:rFonts w:ascii="Arial" w:hAnsi="Arial" w:cs="Arial"/>
          <w:sz w:val="20"/>
          <w:szCs w:val="20"/>
        </w:rPr>
        <w:t>.</w:t>
      </w:r>
      <w:r w:rsidR="002416B1" w:rsidRPr="004B33AE">
        <w:rPr>
          <w:rFonts w:ascii="Arial" w:hAnsi="Arial" w:cs="Arial"/>
          <w:sz w:val="20"/>
          <w:szCs w:val="20"/>
        </w:rPr>
        <w:t xml:space="preserve"> </w:t>
      </w:r>
    </w:p>
    <w:p w:rsidR="002416B1" w:rsidRPr="004B33AE" w:rsidRDefault="002416B1" w:rsidP="00507035">
      <w:pPr>
        <w:spacing w:before="120" w:after="120" w:line="360" w:lineRule="auto"/>
        <w:jc w:val="both"/>
        <w:rPr>
          <w:rFonts w:ascii="Arial" w:hAnsi="Arial" w:cs="Arial"/>
          <w:b/>
          <w:i/>
          <w:sz w:val="20"/>
          <w:szCs w:val="20"/>
        </w:rPr>
      </w:pPr>
      <w:bookmarkStart w:id="129" w:name="_Toc315332893"/>
      <w:r w:rsidRPr="004B33AE">
        <w:rPr>
          <w:rFonts w:ascii="Arial" w:hAnsi="Arial" w:cs="Arial"/>
          <w:b/>
          <w:i/>
          <w:sz w:val="20"/>
          <w:szCs w:val="20"/>
        </w:rPr>
        <w:t>Vyvesenie zástavy</w:t>
      </w:r>
      <w:bookmarkEnd w:id="129"/>
    </w:p>
    <w:p w:rsidR="000A5C0F" w:rsidRPr="000A5C0F" w:rsidRDefault="000A5C0F" w:rsidP="00507035">
      <w:pPr>
        <w:spacing w:before="120" w:after="120" w:line="360" w:lineRule="auto"/>
        <w:jc w:val="both"/>
        <w:rPr>
          <w:rFonts w:ascii="Arial" w:hAnsi="Arial" w:cs="Arial"/>
          <w:sz w:val="20"/>
          <w:szCs w:val="20"/>
        </w:rPr>
      </w:pPr>
      <w:r w:rsidRPr="000A5C0F">
        <w:rPr>
          <w:rFonts w:ascii="Arial" w:hAnsi="Arial" w:cs="Arial"/>
          <w:sz w:val="20"/>
          <w:szCs w:val="20"/>
        </w:rPr>
        <w:t>Vyvesenie zástavy je zabezpečené celoročne v priestoroch MŽP SR ako RO.</w:t>
      </w:r>
    </w:p>
    <w:p w:rsidR="002416B1" w:rsidRPr="004B33AE" w:rsidRDefault="000A5C0F" w:rsidP="00507035">
      <w:pPr>
        <w:spacing w:before="120" w:after="120" w:line="360" w:lineRule="auto"/>
        <w:jc w:val="both"/>
        <w:rPr>
          <w:rFonts w:ascii="Arial" w:hAnsi="Arial" w:cs="Arial"/>
          <w:sz w:val="20"/>
          <w:szCs w:val="20"/>
        </w:rPr>
      </w:pPr>
      <w:r w:rsidRPr="000A5C0F">
        <w:rPr>
          <w:rFonts w:ascii="Arial" w:hAnsi="Arial" w:cs="Arial"/>
          <w:sz w:val="20"/>
          <w:szCs w:val="20"/>
        </w:rPr>
        <w:t xml:space="preserve">Zároveň je v priestoroch RO ako aj REPIS celoročne zabezpečené vyvesenie informačných tabúľ o realizácii projektov podporených z TP </w:t>
      </w:r>
      <w:r w:rsidR="000236A4">
        <w:rPr>
          <w:rFonts w:ascii="Arial" w:hAnsi="Arial" w:cs="Arial"/>
          <w:sz w:val="20"/>
          <w:szCs w:val="20"/>
        </w:rPr>
        <w:t>OP ŽP</w:t>
      </w:r>
      <w:r w:rsidRPr="000A5C0F">
        <w:rPr>
          <w:rFonts w:ascii="Arial" w:hAnsi="Arial" w:cs="Arial"/>
          <w:sz w:val="20"/>
          <w:szCs w:val="20"/>
        </w:rPr>
        <w:t xml:space="preserve"> v zmysle nariadenia EK 1828/2006 a Systému riadenia ŠF a KF na PO 2007-2013</w:t>
      </w:r>
      <w:r>
        <w:rPr>
          <w:rFonts w:ascii="Arial" w:hAnsi="Arial" w:cs="Arial"/>
          <w:sz w:val="20"/>
          <w:szCs w:val="20"/>
        </w:rPr>
        <w:t>.</w:t>
      </w:r>
    </w:p>
    <w:p w:rsidR="00236377" w:rsidRDefault="00236377" w:rsidP="00507035">
      <w:pPr>
        <w:spacing w:before="120" w:after="120" w:line="360" w:lineRule="auto"/>
        <w:jc w:val="both"/>
        <w:rPr>
          <w:rFonts w:ascii="Arial" w:hAnsi="Arial" w:cs="Arial"/>
          <w:b/>
          <w:i/>
          <w:sz w:val="20"/>
          <w:szCs w:val="20"/>
        </w:rPr>
      </w:pPr>
      <w:bookmarkStart w:id="130" w:name="_Toc315332894"/>
    </w:p>
    <w:p w:rsidR="002416B1" w:rsidRPr="004B33AE" w:rsidRDefault="002416B1" w:rsidP="00507035">
      <w:pPr>
        <w:spacing w:before="120" w:after="120" w:line="360" w:lineRule="auto"/>
        <w:jc w:val="both"/>
        <w:rPr>
          <w:rFonts w:ascii="Arial" w:hAnsi="Arial" w:cs="Arial"/>
          <w:b/>
          <w:i/>
          <w:sz w:val="20"/>
          <w:szCs w:val="20"/>
        </w:rPr>
      </w:pPr>
      <w:r w:rsidRPr="004B33AE">
        <w:rPr>
          <w:rFonts w:ascii="Arial" w:hAnsi="Arial" w:cs="Arial"/>
          <w:b/>
          <w:i/>
          <w:sz w:val="20"/>
          <w:szCs w:val="20"/>
        </w:rPr>
        <w:t>Informačné portály</w:t>
      </w:r>
      <w:bookmarkEnd w:id="130"/>
    </w:p>
    <w:p w:rsidR="00422E10" w:rsidRPr="00422E10" w:rsidRDefault="00422E10" w:rsidP="00507035">
      <w:pPr>
        <w:spacing w:before="120" w:after="120" w:line="360" w:lineRule="auto"/>
        <w:jc w:val="both"/>
        <w:rPr>
          <w:rFonts w:ascii="Arial" w:hAnsi="Arial" w:cs="Arial"/>
          <w:sz w:val="20"/>
          <w:szCs w:val="20"/>
        </w:rPr>
      </w:pPr>
      <w:r w:rsidRPr="00422E10">
        <w:rPr>
          <w:rFonts w:ascii="Arial" w:hAnsi="Arial" w:cs="Arial"/>
          <w:sz w:val="20"/>
          <w:szCs w:val="20"/>
        </w:rPr>
        <w:t xml:space="preserve">MŽP SR v priebehu roku 2012 informovalo verejnosť o </w:t>
      </w:r>
      <w:r w:rsidR="000236A4">
        <w:rPr>
          <w:rFonts w:ascii="Arial" w:hAnsi="Arial" w:cs="Arial"/>
          <w:sz w:val="20"/>
          <w:szCs w:val="20"/>
        </w:rPr>
        <w:t>OP ŽP</w:t>
      </w:r>
      <w:r w:rsidRPr="00422E10">
        <w:rPr>
          <w:rFonts w:ascii="Arial" w:hAnsi="Arial" w:cs="Arial"/>
          <w:sz w:val="20"/>
          <w:szCs w:val="20"/>
        </w:rPr>
        <w:t xml:space="preserve"> najmä prostredníctvom webového sídla </w:t>
      </w:r>
      <w:r w:rsidR="000236A4">
        <w:rPr>
          <w:rFonts w:ascii="Arial" w:hAnsi="Arial" w:cs="Arial"/>
          <w:sz w:val="20"/>
          <w:szCs w:val="20"/>
        </w:rPr>
        <w:t>OP ŽP</w:t>
      </w:r>
      <w:r w:rsidRPr="00422E10">
        <w:rPr>
          <w:rFonts w:ascii="Arial" w:hAnsi="Arial" w:cs="Arial"/>
          <w:sz w:val="20"/>
          <w:szCs w:val="20"/>
        </w:rPr>
        <w:t xml:space="preserve"> </w:t>
      </w:r>
      <w:hyperlink r:id="rId66" w:history="1">
        <w:r w:rsidR="00FE5B54" w:rsidRPr="0082535E">
          <w:rPr>
            <w:rStyle w:val="Hypertextovprepojenie"/>
            <w:rFonts w:ascii="Arial" w:hAnsi="Arial" w:cs="Arial"/>
            <w:sz w:val="20"/>
            <w:szCs w:val="20"/>
          </w:rPr>
          <w:t>www.opzp.sk</w:t>
        </w:r>
      </w:hyperlink>
      <w:r w:rsidR="00FE5B54">
        <w:rPr>
          <w:rFonts w:ascii="Arial" w:hAnsi="Arial" w:cs="Arial"/>
          <w:sz w:val="20"/>
          <w:szCs w:val="20"/>
        </w:rPr>
        <w:t xml:space="preserve"> </w:t>
      </w:r>
      <w:r w:rsidRPr="00422E10">
        <w:rPr>
          <w:rFonts w:ascii="Arial" w:hAnsi="Arial" w:cs="Arial"/>
          <w:sz w:val="20"/>
          <w:szCs w:val="20"/>
        </w:rPr>
        <w:t xml:space="preserve">s prepojením na stránky </w:t>
      </w:r>
      <w:hyperlink r:id="rId67" w:history="1">
        <w:r w:rsidR="00FE5B54" w:rsidRPr="0082535E">
          <w:rPr>
            <w:rStyle w:val="Hypertextovprepojenie"/>
            <w:rFonts w:ascii="Arial" w:hAnsi="Arial" w:cs="Arial"/>
            <w:sz w:val="20"/>
            <w:szCs w:val="20"/>
          </w:rPr>
          <w:t>www.repis.sk</w:t>
        </w:r>
      </w:hyperlink>
      <w:r w:rsidRPr="00422E10">
        <w:rPr>
          <w:rFonts w:ascii="Arial" w:hAnsi="Arial" w:cs="Arial"/>
          <w:sz w:val="20"/>
          <w:szCs w:val="20"/>
        </w:rPr>
        <w:t>,</w:t>
      </w:r>
      <w:r w:rsidR="00FE5B54">
        <w:rPr>
          <w:rFonts w:ascii="Arial" w:hAnsi="Arial" w:cs="Arial"/>
          <w:sz w:val="20"/>
          <w:szCs w:val="20"/>
        </w:rPr>
        <w:t xml:space="preserve"> </w:t>
      </w:r>
      <w:hyperlink r:id="rId68" w:history="1">
        <w:r w:rsidR="00FE5B54" w:rsidRPr="0082535E">
          <w:rPr>
            <w:rStyle w:val="Hypertextovprepojenie"/>
            <w:rFonts w:ascii="Arial" w:hAnsi="Arial" w:cs="Arial"/>
            <w:sz w:val="20"/>
            <w:szCs w:val="20"/>
          </w:rPr>
          <w:t>www.minzp.sk</w:t>
        </w:r>
      </w:hyperlink>
      <w:r w:rsidR="00FE5B54">
        <w:rPr>
          <w:rFonts w:ascii="Arial" w:hAnsi="Arial" w:cs="Arial"/>
          <w:sz w:val="20"/>
          <w:szCs w:val="20"/>
        </w:rPr>
        <w:t xml:space="preserve"> </w:t>
      </w:r>
      <w:r w:rsidRPr="00422E10">
        <w:rPr>
          <w:rFonts w:ascii="Arial" w:hAnsi="Arial" w:cs="Arial"/>
          <w:sz w:val="20"/>
          <w:szCs w:val="20"/>
        </w:rPr>
        <w:t xml:space="preserve">a </w:t>
      </w:r>
      <w:hyperlink r:id="rId69" w:history="1">
        <w:r w:rsidR="00FE5B54" w:rsidRPr="0082535E">
          <w:rPr>
            <w:rStyle w:val="Hypertextovprepojenie"/>
            <w:rFonts w:ascii="Arial" w:hAnsi="Arial" w:cs="Arial"/>
            <w:sz w:val="20"/>
            <w:szCs w:val="20"/>
          </w:rPr>
          <w:t>www.nsrr.sk</w:t>
        </w:r>
      </w:hyperlink>
      <w:r w:rsidR="00FE5B54">
        <w:rPr>
          <w:rFonts w:ascii="Arial" w:hAnsi="Arial" w:cs="Arial"/>
          <w:sz w:val="20"/>
          <w:szCs w:val="20"/>
        </w:rPr>
        <w:t xml:space="preserve"> </w:t>
      </w:r>
      <w:r w:rsidRPr="00422E10">
        <w:rPr>
          <w:rFonts w:ascii="Arial" w:hAnsi="Arial" w:cs="Arial"/>
          <w:sz w:val="20"/>
          <w:szCs w:val="20"/>
        </w:rPr>
        <w:t xml:space="preserve">a sociálnej siete Facebook.  </w:t>
      </w:r>
    </w:p>
    <w:p w:rsidR="00422E10" w:rsidRPr="00422E10" w:rsidRDefault="00422E10" w:rsidP="00507035">
      <w:pPr>
        <w:spacing w:before="120" w:after="120" w:line="360" w:lineRule="auto"/>
        <w:jc w:val="both"/>
        <w:rPr>
          <w:rFonts w:ascii="Arial" w:hAnsi="Arial" w:cs="Arial"/>
          <w:sz w:val="20"/>
          <w:szCs w:val="20"/>
        </w:rPr>
      </w:pPr>
      <w:r w:rsidRPr="00422E10">
        <w:rPr>
          <w:rFonts w:ascii="Arial" w:hAnsi="Arial" w:cs="Arial"/>
          <w:sz w:val="20"/>
          <w:szCs w:val="20"/>
        </w:rPr>
        <w:t xml:space="preserve">V rámci programového obdobia 2007-2013 medzi hlavné informačné nástroje RO patrí informačný portál </w:t>
      </w:r>
      <w:hyperlink r:id="rId70" w:history="1">
        <w:r w:rsidR="00FE5B54" w:rsidRPr="0082535E">
          <w:rPr>
            <w:rStyle w:val="Hypertextovprepojenie"/>
            <w:rFonts w:ascii="Arial" w:hAnsi="Arial" w:cs="Arial"/>
            <w:sz w:val="20"/>
            <w:szCs w:val="20"/>
          </w:rPr>
          <w:t>www.opzp.sk</w:t>
        </w:r>
      </w:hyperlink>
      <w:r w:rsidRPr="00422E10">
        <w:rPr>
          <w:rFonts w:ascii="Arial" w:hAnsi="Arial" w:cs="Arial"/>
          <w:sz w:val="20"/>
          <w:szCs w:val="20"/>
        </w:rPr>
        <w:t xml:space="preserve">. Informačný portál je hlavným informačným nástrojom RO, poskytujúci základné informácie o </w:t>
      </w:r>
      <w:r w:rsidR="000236A4">
        <w:rPr>
          <w:rFonts w:ascii="Arial" w:hAnsi="Arial" w:cs="Arial"/>
          <w:sz w:val="20"/>
          <w:szCs w:val="20"/>
        </w:rPr>
        <w:t>OP ŽP</w:t>
      </w:r>
      <w:r w:rsidRPr="00422E10">
        <w:rPr>
          <w:rFonts w:ascii="Arial" w:hAnsi="Arial" w:cs="Arial"/>
          <w:sz w:val="20"/>
          <w:szCs w:val="20"/>
        </w:rPr>
        <w:t xml:space="preserve"> potenciálnym žiadateľom o NFP, žiadateľom o NFP, prijímateľom a širokej verejnosti. Informačný portál bol a aj v súčasnosti je medializovaný RO pomocou ostatných komunikačných opatrení (napr. odkazy o IP, informácia na publikáciách a pod.). Portál poskytuje aktuálne informácie o stave implementácie </w:t>
      </w:r>
      <w:r w:rsidR="000236A4">
        <w:rPr>
          <w:rFonts w:ascii="Arial" w:hAnsi="Arial" w:cs="Arial"/>
          <w:sz w:val="20"/>
          <w:szCs w:val="20"/>
        </w:rPr>
        <w:t>OP ŽP</w:t>
      </w:r>
      <w:r w:rsidRPr="00422E10">
        <w:rPr>
          <w:rFonts w:ascii="Arial" w:hAnsi="Arial" w:cs="Arial"/>
          <w:sz w:val="20"/>
          <w:szCs w:val="20"/>
        </w:rPr>
        <w:t>.</w:t>
      </w:r>
    </w:p>
    <w:p w:rsidR="00422E10" w:rsidRPr="00422E10" w:rsidRDefault="00422E10" w:rsidP="00507035">
      <w:pPr>
        <w:spacing w:before="120" w:after="120" w:line="360" w:lineRule="auto"/>
        <w:jc w:val="both"/>
        <w:rPr>
          <w:rFonts w:ascii="Arial" w:hAnsi="Arial" w:cs="Arial"/>
          <w:sz w:val="20"/>
          <w:szCs w:val="20"/>
        </w:rPr>
      </w:pPr>
      <w:r w:rsidRPr="00422E10">
        <w:rPr>
          <w:rFonts w:ascii="Arial" w:hAnsi="Arial" w:cs="Arial"/>
          <w:sz w:val="20"/>
          <w:szCs w:val="20"/>
        </w:rPr>
        <w:t>V rámci sledovaného obdobia sa na portáli priebežne aktívne pracovalo a to najmä na:</w:t>
      </w:r>
    </w:p>
    <w:p w:rsidR="00422E10" w:rsidRPr="00422E10" w:rsidRDefault="00422E10" w:rsidP="00507035">
      <w:pPr>
        <w:spacing w:before="120" w:after="120" w:line="360" w:lineRule="auto"/>
        <w:jc w:val="both"/>
        <w:rPr>
          <w:rFonts w:ascii="Arial" w:hAnsi="Arial" w:cs="Arial"/>
          <w:sz w:val="20"/>
          <w:szCs w:val="20"/>
        </w:rPr>
      </w:pPr>
      <w:r w:rsidRPr="00422E10">
        <w:rPr>
          <w:rFonts w:ascii="Arial" w:hAnsi="Arial" w:cs="Arial"/>
          <w:sz w:val="20"/>
          <w:szCs w:val="20"/>
        </w:rPr>
        <w:t>celkovej prestavbe a zmene dizajnu, zameranej na zefektívnenie a sprehľadnenie informačného portálu smerom k jeho užívateľom (január)</w:t>
      </w:r>
    </w:p>
    <w:p w:rsidR="00422E10" w:rsidRPr="00422E10" w:rsidRDefault="00422E10" w:rsidP="00507035">
      <w:pPr>
        <w:spacing w:before="120" w:after="120" w:line="360" w:lineRule="auto"/>
        <w:jc w:val="both"/>
        <w:rPr>
          <w:rFonts w:ascii="Arial" w:hAnsi="Arial" w:cs="Arial"/>
          <w:sz w:val="20"/>
          <w:szCs w:val="20"/>
        </w:rPr>
      </w:pPr>
      <w:r w:rsidRPr="00422E10">
        <w:rPr>
          <w:rFonts w:ascii="Arial" w:hAnsi="Arial" w:cs="Arial"/>
          <w:sz w:val="20"/>
          <w:szCs w:val="20"/>
        </w:rPr>
        <w:t xml:space="preserve">spustení nového informačného nástroja - geografickej mapy úspešne realizovaných projektov podporených z prostriedkov </w:t>
      </w:r>
      <w:r w:rsidR="000236A4">
        <w:rPr>
          <w:rFonts w:ascii="Arial" w:hAnsi="Arial" w:cs="Arial"/>
          <w:sz w:val="20"/>
          <w:szCs w:val="20"/>
        </w:rPr>
        <w:t>OP ŽP</w:t>
      </w:r>
      <w:r w:rsidRPr="00422E10">
        <w:rPr>
          <w:rFonts w:ascii="Arial" w:hAnsi="Arial" w:cs="Arial"/>
          <w:sz w:val="20"/>
          <w:szCs w:val="20"/>
        </w:rPr>
        <w:t xml:space="preserve"> (január)</w:t>
      </w:r>
    </w:p>
    <w:p w:rsidR="00422E10" w:rsidRPr="00422E10" w:rsidRDefault="00422E10" w:rsidP="00507035">
      <w:pPr>
        <w:spacing w:before="120" w:after="120" w:line="360" w:lineRule="auto"/>
        <w:jc w:val="both"/>
        <w:rPr>
          <w:rFonts w:ascii="Arial" w:hAnsi="Arial" w:cs="Arial"/>
          <w:sz w:val="20"/>
          <w:szCs w:val="20"/>
        </w:rPr>
      </w:pPr>
      <w:r w:rsidRPr="00422E10">
        <w:rPr>
          <w:rFonts w:ascii="Arial" w:hAnsi="Arial" w:cs="Arial"/>
          <w:sz w:val="20"/>
          <w:szCs w:val="20"/>
        </w:rPr>
        <w:t>zachovaní dostupnosti portálu (priebežne)</w:t>
      </w:r>
    </w:p>
    <w:p w:rsidR="00422E10" w:rsidRPr="00422E10" w:rsidRDefault="00422E10" w:rsidP="00507035">
      <w:pPr>
        <w:spacing w:before="120" w:after="120" w:line="360" w:lineRule="auto"/>
        <w:jc w:val="both"/>
        <w:rPr>
          <w:rFonts w:ascii="Arial" w:hAnsi="Arial" w:cs="Arial"/>
          <w:sz w:val="20"/>
          <w:szCs w:val="20"/>
        </w:rPr>
      </w:pPr>
      <w:r w:rsidRPr="00422E10">
        <w:rPr>
          <w:rFonts w:ascii="Arial" w:hAnsi="Arial" w:cs="Arial"/>
          <w:sz w:val="20"/>
          <w:szCs w:val="20"/>
        </w:rPr>
        <w:t>zdynamizovaní portálu (priebežne)</w:t>
      </w:r>
    </w:p>
    <w:p w:rsidR="00422E10" w:rsidRPr="00422E10" w:rsidRDefault="00422E10" w:rsidP="00507035">
      <w:pPr>
        <w:spacing w:before="120" w:after="120" w:line="360" w:lineRule="auto"/>
        <w:jc w:val="both"/>
        <w:rPr>
          <w:rFonts w:ascii="Arial" w:hAnsi="Arial" w:cs="Arial"/>
          <w:sz w:val="20"/>
          <w:szCs w:val="20"/>
        </w:rPr>
      </w:pPr>
      <w:r w:rsidRPr="00422E10">
        <w:rPr>
          <w:rFonts w:ascii="Arial" w:hAnsi="Arial" w:cs="Arial"/>
          <w:sz w:val="20"/>
          <w:szCs w:val="20"/>
        </w:rPr>
        <w:t>úprave jednotlivých kategórií (priebežne podľa potreby)</w:t>
      </w:r>
    </w:p>
    <w:p w:rsidR="00422E10" w:rsidRPr="00422E10" w:rsidRDefault="00422E10" w:rsidP="00507035">
      <w:pPr>
        <w:spacing w:before="120" w:after="120" w:line="360" w:lineRule="auto"/>
        <w:jc w:val="both"/>
        <w:rPr>
          <w:rFonts w:ascii="Arial" w:hAnsi="Arial" w:cs="Arial"/>
          <w:sz w:val="20"/>
          <w:szCs w:val="20"/>
        </w:rPr>
      </w:pPr>
      <w:r w:rsidRPr="00422E10">
        <w:rPr>
          <w:rFonts w:ascii="Arial" w:hAnsi="Arial" w:cs="Arial"/>
          <w:sz w:val="20"/>
          <w:szCs w:val="20"/>
        </w:rPr>
        <w:t xml:space="preserve">aktualizácii informácií a zverejňovaní informácií z oblasti </w:t>
      </w:r>
      <w:r w:rsidR="000236A4">
        <w:rPr>
          <w:rFonts w:ascii="Arial" w:hAnsi="Arial" w:cs="Arial"/>
          <w:sz w:val="20"/>
          <w:szCs w:val="20"/>
        </w:rPr>
        <w:t>OP ŽP</w:t>
      </w:r>
      <w:r w:rsidRPr="00422E10">
        <w:rPr>
          <w:rFonts w:ascii="Arial" w:hAnsi="Arial" w:cs="Arial"/>
          <w:sz w:val="20"/>
          <w:szCs w:val="20"/>
        </w:rPr>
        <w:t xml:space="preserve"> – najmä informácií o aktuálnej legislatíve, často kladených otázkach, harmonograme výziev, aktuálnych výzvach, archíve výziev, zoznamov prijímateľov, relevantných dokumentov a výberových kritériách, informáciách o monitorovacom výbore, pokynov, metodík, oznamov o informačných akciách, publikáciách, všetkých potrebných kontaktoch a odkazoch na iné zdroje informácií (priebežne)</w:t>
      </w:r>
    </w:p>
    <w:p w:rsidR="00422E10" w:rsidRPr="00422E10" w:rsidRDefault="00422E10" w:rsidP="00507035">
      <w:pPr>
        <w:spacing w:before="120" w:after="120" w:line="360" w:lineRule="auto"/>
        <w:jc w:val="both"/>
        <w:rPr>
          <w:rFonts w:ascii="Arial" w:hAnsi="Arial" w:cs="Arial"/>
          <w:sz w:val="20"/>
          <w:szCs w:val="20"/>
        </w:rPr>
      </w:pPr>
      <w:r w:rsidRPr="00422E10">
        <w:rPr>
          <w:rFonts w:ascii="Arial" w:hAnsi="Arial" w:cs="Arial"/>
          <w:sz w:val="20"/>
          <w:szCs w:val="20"/>
        </w:rPr>
        <w:t xml:space="preserve">Fun page stránka </w:t>
      </w:r>
      <w:r w:rsidR="000236A4">
        <w:rPr>
          <w:rFonts w:ascii="Arial" w:hAnsi="Arial" w:cs="Arial"/>
          <w:sz w:val="20"/>
          <w:szCs w:val="20"/>
        </w:rPr>
        <w:t>OP ŽP</w:t>
      </w:r>
      <w:r w:rsidRPr="00422E10">
        <w:rPr>
          <w:rFonts w:ascii="Arial" w:hAnsi="Arial" w:cs="Arial"/>
          <w:sz w:val="20"/>
          <w:szCs w:val="20"/>
        </w:rPr>
        <w:t xml:space="preserve"> na sociálnej sieti Facebook (február)</w:t>
      </w:r>
    </w:p>
    <w:p w:rsidR="00422E10" w:rsidRPr="00422E10" w:rsidRDefault="00422E10" w:rsidP="00507035">
      <w:pPr>
        <w:spacing w:before="120" w:after="120" w:line="360" w:lineRule="auto"/>
        <w:jc w:val="both"/>
        <w:rPr>
          <w:rFonts w:ascii="Arial" w:hAnsi="Arial" w:cs="Arial"/>
          <w:sz w:val="20"/>
          <w:szCs w:val="20"/>
        </w:rPr>
      </w:pPr>
      <w:r w:rsidRPr="00422E10">
        <w:rPr>
          <w:rFonts w:ascii="Arial" w:hAnsi="Arial" w:cs="Arial"/>
          <w:sz w:val="20"/>
          <w:szCs w:val="20"/>
        </w:rPr>
        <w:t xml:space="preserve">Mapa v interaktívnej forme informuje o vzorových úspešne realizovaných projektoch podporených z prostriedkov </w:t>
      </w:r>
      <w:r w:rsidR="000236A4">
        <w:rPr>
          <w:rFonts w:ascii="Arial" w:hAnsi="Arial" w:cs="Arial"/>
          <w:sz w:val="20"/>
          <w:szCs w:val="20"/>
        </w:rPr>
        <w:t>OP ŽP</w:t>
      </w:r>
      <w:r w:rsidRPr="00422E10">
        <w:rPr>
          <w:rFonts w:ascii="Arial" w:hAnsi="Arial" w:cs="Arial"/>
          <w:sz w:val="20"/>
          <w:szCs w:val="20"/>
        </w:rPr>
        <w:t xml:space="preserve"> v programovom období 2007 – 2013, ktoré boli vybrané na prezentáciu riadiacim orgánom. Interaktívnosť spočíva v ich zobrazení podľa miesta realizácie projektu a farebnom rozdelení podľa jednotlivých prioritných osí programu s cieľom bližšieho priblíženia dosahu pomoci fondov Európskej únie na konkrétnych prijímateľov v regiónoch Slovenska. Vizuálne konkretizovanie prijímateľov v jednotlivých regiónoch Slovenska taktiež prináša návštevníkom stránky informáciu o konkrétnych projektoch v ich blízkom okolí, ktoré môžu mať dopad aj priamo na ich život. Toto opatrenie zabezpečí aj zvýšenie verejnej kontroly v oblasti transparentnosti poskytovania verejných zdrojov. Po výbere konkrétneho projektu na mape sú o tomto projekte informácie zobrazené v Informačnom liste úspešne zrealizovaného projektu. Tento pozostáva zo základných identifikátorov projektu napr.: názov, prijímateľ, ITMS kód, číslo zmluvy, prioritná téma, operačný cieľ a schéma štátnej pomoci, ale aj rozširujúcich informácií napr.: konkretizácia miesta realizácie projektu, finančný a časový rámec realizácie projektu, východiská, ciele, popis a dosiahnuté výsledky/dopady projektu spolu s webovým sídlom príp. aj vyjadrením prijímateľa. Samozrejmosťou sú aj fotografie z miesta realizácie projektu. Zverejnené projekty sú  realizované po celom Slovensku, tak aby boli zastúpené všetky prioritné osi operačného programu. Priebežne však bude mapa rozširovaná o ďalšie úspešné projekty podporené z Operačného programu Životné prostredie. Mapu môžete nájsť na stránke www.opzp.sk v pravej časti titulnej stránky po kliknutí na vizualizáciu mapy alebo priamo na adrese http://www.opzp.sk/projekty/mapa-vzorovych-uspesne-realizovanych-projektov/.</w:t>
      </w:r>
    </w:p>
    <w:p w:rsidR="00422E10" w:rsidRPr="000E42B2" w:rsidRDefault="00422E10" w:rsidP="00507035">
      <w:pPr>
        <w:spacing w:before="120" w:after="120"/>
        <w:jc w:val="both"/>
      </w:pPr>
      <w:r w:rsidRPr="0039268C">
        <w:rPr>
          <w:rFonts w:ascii="Arial" w:hAnsi="Arial" w:cs="Arial"/>
          <w:sz w:val="20"/>
          <w:szCs w:val="20"/>
        </w:rPr>
        <w:t>Obr.1 – Mapa na úvodnej stránke</w:t>
      </w:r>
    </w:p>
    <w:p w:rsidR="00422E10" w:rsidRPr="000E42B2" w:rsidRDefault="00587FAE" w:rsidP="00507035">
      <w:pPr>
        <w:spacing w:before="120" w:after="120"/>
        <w:jc w:val="both"/>
      </w:pPr>
      <w:r>
        <w:rPr>
          <w:noProof/>
        </w:rPr>
        <w:drawing>
          <wp:inline distT="0" distB="0" distL="0" distR="0" wp14:anchorId="72FC3B1C" wp14:editId="5174A74B">
            <wp:extent cx="3792855" cy="1884680"/>
            <wp:effectExtent l="0" t="0" r="0" b="1270"/>
            <wp:docPr id="19" name="Obrázo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3792855" cy="1884680"/>
                    </a:xfrm>
                    <a:prstGeom prst="rect">
                      <a:avLst/>
                    </a:prstGeom>
                    <a:noFill/>
                    <a:ln>
                      <a:noFill/>
                    </a:ln>
                  </pic:spPr>
                </pic:pic>
              </a:graphicData>
            </a:graphic>
          </wp:inline>
        </w:drawing>
      </w:r>
    </w:p>
    <w:p w:rsidR="00422E10" w:rsidRPr="0039268C" w:rsidRDefault="00422E10" w:rsidP="00507035">
      <w:pPr>
        <w:spacing w:before="120" w:after="120"/>
        <w:jc w:val="both"/>
        <w:rPr>
          <w:rFonts w:ascii="Arial" w:hAnsi="Arial" w:cs="Arial"/>
          <w:sz w:val="20"/>
          <w:szCs w:val="20"/>
        </w:rPr>
      </w:pPr>
      <w:r w:rsidRPr="0039268C">
        <w:rPr>
          <w:rFonts w:ascii="Arial" w:hAnsi="Arial" w:cs="Arial"/>
          <w:sz w:val="20"/>
          <w:szCs w:val="20"/>
        </w:rPr>
        <w:t>Obr.2 – Informácia o projekte na mape</w:t>
      </w:r>
    </w:p>
    <w:p w:rsidR="00422E10" w:rsidRPr="000E42B2" w:rsidRDefault="00587FAE" w:rsidP="00507035">
      <w:pPr>
        <w:spacing w:before="120" w:after="120"/>
        <w:jc w:val="both"/>
      </w:pPr>
      <w:r>
        <w:rPr>
          <w:noProof/>
        </w:rPr>
        <w:drawing>
          <wp:inline distT="0" distB="0" distL="0" distR="0" wp14:anchorId="0342C756" wp14:editId="33E5CE9D">
            <wp:extent cx="3745230" cy="1797050"/>
            <wp:effectExtent l="0" t="0" r="7620" b="0"/>
            <wp:docPr id="20" name="Obrázo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3745230" cy="1797050"/>
                    </a:xfrm>
                    <a:prstGeom prst="rect">
                      <a:avLst/>
                    </a:prstGeom>
                    <a:noFill/>
                    <a:ln>
                      <a:noFill/>
                    </a:ln>
                  </pic:spPr>
                </pic:pic>
              </a:graphicData>
            </a:graphic>
          </wp:inline>
        </w:drawing>
      </w:r>
    </w:p>
    <w:p w:rsidR="000A02D3" w:rsidRDefault="000A02D3">
      <w:pPr>
        <w:rPr>
          <w:rFonts w:ascii="Arial" w:hAnsi="Arial" w:cs="Arial"/>
          <w:sz w:val="20"/>
          <w:szCs w:val="20"/>
        </w:rPr>
      </w:pPr>
      <w:r>
        <w:rPr>
          <w:rFonts w:ascii="Arial" w:hAnsi="Arial" w:cs="Arial"/>
          <w:sz w:val="20"/>
          <w:szCs w:val="20"/>
        </w:rPr>
        <w:br w:type="page"/>
      </w:r>
    </w:p>
    <w:p w:rsidR="00422E10" w:rsidRPr="0039268C" w:rsidRDefault="00422E10" w:rsidP="00507035">
      <w:pPr>
        <w:spacing w:before="120" w:after="120"/>
        <w:jc w:val="both"/>
        <w:rPr>
          <w:rFonts w:ascii="Arial" w:hAnsi="Arial" w:cs="Arial"/>
          <w:sz w:val="20"/>
          <w:szCs w:val="20"/>
        </w:rPr>
      </w:pPr>
      <w:r w:rsidRPr="0039268C">
        <w:rPr>
          <w:rFonts w:ascii="Arial" w:hAnsi="Arial" w:cs="Arial"/>
          <w:sz w:val="20"/>
          <w:szCs w:val="20"/>
        </w:rPr>
        <w:t xml:space="preserve">Obr.3 – Informačný list úspešne realizovaného projektu </w:t>
      </w:r>
      <w:r w:rsidR="000236A4">
        <w:rPr>
          <w:rFonts w:ascii="Arial" w:hAnsi="Arial" w:cs="Arial"/>
          <w:sz w:val="20"/>
          <w:szCs w:val="20"/>
        </w:rPr>
        <w:t>OP ŽP</w:t>
      </w:r>
    </w:p>
    <w:p w:rsidR="00422E10" w:rsidRPr="000E42B2" w:rsidRDefault="00587FAE" w:rsidP="00507035">
      <w:pPr>
        <w:spacing w:before="120" w:after="120"/>
        <w:jc w:val="both"/>
      </w:pPr>
      <w:r>
        <w:rPr>
          <w:noProof/>
        </w:rPr>
        <w:drawing>
          <wp:inline distT="0" distB="0" distL="0" distR="0" wp14:anchorId="12342280" wp14:editId="751C3B39">
            <wp:extent cx="4508500" cy="2162810"/>
            <wp:effectExtent l="0" t="0" r="6350" b="8890"/>
            <wp:docPr id="21" name="Obrázo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4508500" cy="2162810"/>
                    </a:xfrm>
                    <a:prstGeom prst="rect">
                      <a:avLst/>
                    </a:prstGeom>
                    <a:noFill/>
                    <a:ln>
                      <a:noFill/>
                    </a:ln>
                  </pic:spPr>
                </pic:pic>
              </a:graphicData>
            </a:graphic>
          </wp:inline>
        </w:drawing>
      </w:r>
    </w:p>
    <w:p w:rsidR="00422E10" w:rsidRPr="0039268C" w:rsidRDefault="00422E10" w:rsidP="00507035">
      <w:pPr>
        <w:spacing w:before="120" w:after="120" w:line="360" w:lineRule="auto"/>
        <w:jc w:val="both"/>
        <w:rPr>
          <w:rFonts w:ascii="Arial" w:hAnsi="Arial" w:cs="Arial"/>
          <w:sz w:val="20"/>
          <w:szCs w:val="20"/>
        </w:rPr>
      </w:pPr>
      <w:r w:rsidRPr="0039268C">
        <w:rPr>
          <w:rFonts w:ascii="Arial" w:hAnsi="Arial" w:cs="Arial"/>
          <w:sz w:val="20"/>
          <w:szCs w:val="20"/>
        </w:rPr>
        <w:t xml:space="preserve">Sledovanosť na portáli </w:t>
      </w:r>
      <w:hyperlink r:id="rId74" w:history="1">
        <w:r w:rsidRPr="0039268C">
          <w:rPr>
            <w:rFonts w:ascii="Arial" w:hAnsi="Arial" w:cs="Arial"/>
            <w:sz w:val="20"/>
            <w:szCs w:val="20"/>
          </w:rPr>
          <w:t>www.opzp.sk</w:t>
        </w:r>
      </w:hyperlink>
      <w:r w:rsidRPr="0039268C">
        <w:rPr>
          <w:rFonts w:ascii="Arial" w:hAnsi="Arial" w:cs="Arial"/>
          <w:sz w:val="20"/>
          <w:szCs w:val="20"/>
        </w:rPr>
        <w:t xml:space="preserve"> v roku 2012 dosiahla úroveň 66 381 prístupov, sledovanosť hesla Operačný program Životné prostredie v rámci portálu </w:t>
      </w:r>
      <w:hyperlink r:id="rId75" w:history="1">
        <w:r w:rsidRPr="0039268C">
          <w:rPr>
            <w:rFonts w:ascii="Arial" w:hAnsi="Arial" w:cs="Arial"/>
            <w:sz w:val="20"/>
            <w:szCs w:val="20"/>
          </w:rPr>
          <w:t>www.minzp.sk</w:t>
        </w:r>
      </w:hyperlink>
      <w:r w:rsidRPr="0039268C">
        <w:rPr>
          <w:rFonts w:ascii="Arial" w:hAnsi="Arial" w:cs="Arial"/>
          <w:sz w:val="20"/>
          <w:szCs w:val="20"/>
        </w:rPr>
        <w:t xml:space="preserve"> predstavovala v roku 2012 celkom 17 298    návštev. Celkom bolo na stránke </w:t>
      </w:r>
      <w:hyperlink r:id="rId76" w:history="1">
        <w:r w:rsidRPr="0039268C">
          <w:rPr>
            <w:rFonts w:ascii="Arial" w:hAnsi="Arial" w:cs="Arial"/>
            <w:sz w:val="20"/>
            <w:szCs w:val="20"/>
          </w:rPr>
          <w:t>www.opzp.sk</w:t>
        </w:r>
      </w:hyperlink>
      <w:r w:rsidRPr="0039268C">
        <w:rPr>
          <w:rFonts w:ascii="Arial" w:hAnsi="Arial" w:cs="Arial"/>
          <w:sz w:val="20"/>
          <w:szCs w:val="20"/>
        </w:rPr>
        <w:t xml:space="preserve"> zverejnených 85 aktualít.</w:t>
      </w:r>
    </w:p>
    <w:p w:rsidR="00422E10" w:rsidRPr="0039268C" w:rsidRDefault="00587FAE" w:rsidP="00507035">
      <w:pPr>
        <w:spacing w:before="120" w:after="120" w:line="360" w:lineRule="auto"/>
        <w:jc w:val="both"/>
        <w:rPr>
          <w:rFonts w:ascii="Arial" w:hAnsi="Arial" w:cs="Arial"/>
          <w:sz w:val="20"/>
          <w:szCs w:val="20"/>
        </w:rPr>
      </w:pPr>
      <w:r w:rsidRPr="0039268C">
        <w:rPr>
          <w:rFonts w:ascii="Arial" w:hAnsi="Arial" w:cs="Arial"/>
          <w:noProof/>
          <w:sz w:val="20"/>
          <w:szCs w:val="20"/>
        </w:rPr>
        <w:drawing>
          <wp:anchor distT="0" distB="0" distL="114300" distR="114300" simplePos="0" relativeHeight="251662336" behindDoc="0" locked="0" layoutInCell="1" allowOverlap="1" wp14:anchorId="5718F8C9" wp14:editId="740D1341">
            <wp:simplePos x="0" y="0"/>
            <wp:positionH relativeFrom="column">
              <wp:posOffset>4145280</wp:posOffset>
            </wp:positionH>
            <wp:positionV relativeFrom="paragraph">
              <wp:posOffset>62865</wp:posOffset>
            </wp:positionV>
            <wp:extent cx="2221865" cy="1722755"/>
            <wp:effectExtent l="0" t="0" r="6985" b="0"/>
            <wp:wrapSquare wrapText="bothSides"/>
            <wp:docPr id="233" name="Obrázo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9"/>
                    <pic:cNvPicPr>
                      <a:picLocks noChangeAspect="1" noChangeArrowheads="1"/>
                    </pic:cNvPicPr>
                  </pic:nvPicPr>
                  <pic:blipFill>
                    <a:blip r:embed="rId77">
                      <a:extLst>
                        <a:ext uri="{28A0092B-C50C-407E-A947-70E740481C1C}">
                          <a14:useLocalDpi xmlns:a14="http://schemas.microsoft.com/office/drawing/2010/main" val="0"/>
                        </a:ext>
                      </a:extLst>
                    </a:blip>
                    <a:srcRect l="18785" t="13914" r="18712" b="8534"/>
                    <a:stretch>
                      <a:fillRect/>
                    </a:stretch>
                  </pic:blipFill>
                  <pic:spPr bwMode="auto">
                    <a:xfrm>
                      <a:off x="0" y="0"/>
                      <a:ext cx="2221865" cy="1722755"/>
                    </a:xfrm>
                    <a:prstGeom prst="rect">
                      <a:avLst/>
                    </a:prstGeom>
                    <a:noFill/>
                  </pic:spPr>
                </pic:pic>
              </a:graphicData>
            </a:graphic>
            <wp14:sizeRelH relativeFrom="page">
              <wp14:pctWidth>0</wp14:pctWidth>
            </wp14:sizeRelH>
            <wp14:sizeRelV relativeFrom="page">
              <wp14:pctHeight>0</wp14:pctHeight>
            </wp14:sizeRelV>
          </wp:anchor>
        </w:drawing>
      </w:r>
      <w:r w:rsidR="00422E10" w:rsidRPr="0039268C">
        <w:rPr>
          <w:rFonts w:ascii="Arial" w:hAnsi="Arial" w:cs="Arial"/>
          <w:sz w:val="20"/>
          <w:szCs w:val="20"/>
        </w:rPr>
        <w:t xml:space="preserve">Ako podpora k internetovému portálu </w:t>
      </w:r>
      <w:r w:rsidR="000236A4">
        <w:rPr>
          <w:rFonts w:ascii="Arial" w:hAnsi="Arial" w:cs="Arial"/>
          <w:sz w:val="20"/>
          <w:szCs w:val="20"/>
        </w:rPr>
        <w:t>OP ŽP</w:t>
      </w:r>
      <w:r w:rsidR="00422E10" w:rsidRPr="0039268C">
        <w:rPr>
          <w:rFonts w:ascii="Arial" w:hAnsi="Arial" w:cs="Arial"/>
          <w:sz w:val="20"/>
          <w:szCs w:val="20"/>
        </w:rPr>
        <w:t xml:space="preserve"> bola vo februári 2012 zriadená aj Fun page stránka </w:t>
      </w:r>
      <w:r w:rsidR="000236A4">
        <w:rPr>
          <w:rFonts w:ascii="Arial" w:hAnsi="Arial" w:cs="Arial"/>
          <w:sz w:val="20"/>
          <w:szCs w:val="20"/>
        </w:rPr>
        <w:t>OP ŽP</w:t>
      </w:r>
      <w:r w:rsidR="00422E10" w:rsidRPr="0039268C">
        <w:rPr>
          <w:rFonts w:ascii="Arial" w:hAnsi="Arial" w:cs="Arial"/>
          <w:sz w:val="20"/>
          <w:szCs w:val="20"/>
        </w:rPr>
        <w:t xml:space="preserve"> na sociálnej sieti Facebook, ktorá je priebežne dopĺňaná o informácie z procesu implementácie </w:t>
      </w:r>
      <w:r w:rsidR="000236A4">
        <w:rPr>
          <w:rFonts w:ascii="Arial" w:hAnsi="Arial" w:cs="Arial"/>
          <w:sz w:val="20"/>
          <w:szCs w:val="20"/>
        </w:rPr>
        <w:t>OP ŽP</w:t>
      </w:r>
      <w:r w:rsidR="00422E10" w:rsidRPr="0039268C">
        <w:rPr>
          <w:rFonts w:ascii="Arial" w:hAnsi="Arial" w:cs="Arial"/>
          <w:sz w:val="20"/>
          <w:szCs w:val="20"/>
        </w:rPr>
        <w:t>.  Takáto fun page stránka na facebooku je na Slovensku novinkou, nakoľko žiaden z operačných programov túto funkcionalitu zameranú práve na aktívnu resp. produktívnu skupinu obyvateľstva, ktorá s EÚ fondmi prichádza do styku najčastejšie, neponúkajú. Ku koncu roku mala táto fun page stránka celkom 70 fanúšikov a bolo na ňu pridaných 97 príspevkov.</w:t>
      </w:r>
    </w:p>
    <w:p w:rsidR="00422E10" w:rsidRPr="0039268C" w:rsidRDefault="00422E10" w:rsidP="00507035">
      <w:pPr>
        <w:spacing w:before="120" w:after="120" w:line="360" w:lineRule="auto"/>
        <w:jc w:val="both"/>
        <w:rPr>
          <w:rFonts w:ascii="Arial" w:hAnsi="Arial" w:cs="Arial"/>
          <w:sz w:val="20"/>
          <w:szCs w:val="20"/>
        </w:rPr>
      </w:pPr>
      <w:r w:rsidRPr="0039268C">
        <w:rPr>
          <w:rFonts w:ascii="Arial" w:hAnsi="Arial" w:cs="Arial"/>
          <w:sz w:val="20"/>
          <w:szCs w:val="20"/>
        </w:rPr>
        <w:t xml:space="preserve">Aktuálne výzvy a zoznam všetkých prijímateľov ako aj najdôležitejšie aktuality a všetky dôležité informácie v rámci zachovania transparentnosti a čo najväčšej informovanosti o </w:t>
      </w:r>
      <w:r w:rsidR="000236A4">
        <w:rPr>
          <w:rFonts w:ascii="Arial" w:hAnsi="Arial" w:cs="Arial"/>
          <w:sz w:val="20"/>
          <w:szCs w:val="20"/>
        </w:rPr>
        <w:t>OP ŽP</w:t>
      </w:r>
      <w:r w:rsidRPr="0039268C">
        <w:rPr>
          <w:rFonts w:ascii="Arial" w:hAnsi="Arial" w:cs="Arial"/>
          <w:sz w:val="20"/>
          <w:szCs w:val="20"/>
        </w:rPr>
        <w:t xml:space="preserve"> boli okrem portálu </w:t>
      </w:r>
      <w:r w:rsidR="000236A4">
        <w:rPr>
          <w:rFonts w:ascii="Arial" w:hAnsi="Arial" w:cs="Arial"/>
          <w:sz w:val="20"/>
          <w:szCs w:val="20"/>
        </w:rPr>
        <w:t>OP ŽP</w:t>
      </w:r>
      <w:r w:rsidRPr="0039268C">
        <w:rPr>
          <w:rFonts w:ascii="Arial" w:hAnsi="Arial" w:cs="Arial"/>
          <w:sz w:val="20"/>
          <w:szCs w:val="20"/>
        </w:rPr>
        <w:t xml:space="preserve"> zverejňované zároveň aj na portáli CKO </w:t>
      </w:r>
      <w:hyperlink r:id="rId78" w:history="1">
        <w:r w:rsidR="00FE5B54" w:rsidRPr="0039268C">
          <w:rPr>
            <w:rStyle w:val="Hypertextovprepojenie"/>
            <w:rFonts w:ascii="Arial" w:hAnsi="Arial" w:cs="Arial"/>
            <w:sz w:val="20"/>
            <w:szCs w:val="20"/>
          </w:rPr>
          <w:t>www.nsrr.sk</w:t>
        </w:r>
      </w:hyperlink>
      <w:r w:rsidRPr="0039268C">
        <w:rPr>
          <w:rFonts w:ascii="Arial" w:hAnsi="Arial" w:cs="Arial"/>
          <w:sz w:val="20"/>
          <w:szCs w:val="20"/>
        </w:rPr>
        <w:t>,</w:t>
      </w:r>
      <w:r w:rsidR="00FE5B54">
        <w:rPr>
          <w:rFonts w:ascii="Arial" w:hAnsi="Arial" w:cs="Arial"/>
          <w:sz w:val="20"/>
          <w:szCs w:val="20"/>
        </w:rPr>
        <w:t xml:space="preserve"> </w:t>
      </w:r>
      <w:r w:rsidRPr="0039268C">
        <w:rPr>
          <w:rFonts w:ascii="Arial" w:hAnsi="Arial" w:cs="Arial"/>
          <w:sz w:val="20"/>
          <w:szCs w:val="20"/>
        </w:rPr>
        <w:t xml:space="preserve">ktorý je spoločným informačným nástrojom pre všetky operačné programy v rámci NSRR. </w:t>
      </w:r>
    </w:p>
    <w:p w:rsidR="00422E10" w:rsidRPr="0039268C" w:rsidRDefault="00422E10" w:rsidP="00507035">
      <w:pPr>
        <w:spacing w:before="120" w:after="120" w:line="360" w:lineRule="auto"/>
        <w:jc w:val="both"/>
        <w:rPr>
          <w:rFonts w:ascii="Arial" w:hAnsi="Arial" w:cs="Arial"/>
          <w:sz w:val="20"/>
          <w:szCs w:val="20"/>
        </w:rPr>
      </w:pPr>
      <w:r w:rsidRPr="0039268C">
        <w:rPr>
          <w:rFonts w:ascii="Arial" w:hAnsi="Arial" w:cs="Arial"/>
          <w:sz w:val="20"/>
          <w:szCs w:val="20"/>
        </w:rPr>
        <w:t xml:space="preserve">Taktiež na portáli </w:t>
      </w:r>
      <w:hyperlink r:id="rId79" w:history="1">
        <w:r w:rsidRPr="0039268C">
          <w:rPr>
            <w:rStyle w:val="Hypertextovprepojenie"/>
            <w:rFonts w:ascii="Arial" w:hAnsi="Arial" w:cs="Arial"/>
            <w:sz w:val="20"/>
            <w:szCs w:val="20"/>
          </w:rPr>
          <w:t>www.repis.sk</w:t>
        </w:r>
      </w:hyperlink>
      <w:r w:rsidRPr="0039268C">
        <w:rPr>
          <w:rFonts w:ascii="Arial" w:hAnsi="Arial" w:cs="Arial"/>
          <w:sz w:val="20"/>
          <w:szCs w:val="20"/>
        </w:rPr>
        <w:t xml:space="preserve"> sú sprístupnené všetkým užívateľom aktuálne informácie týkajúce sa prípravy, predkladania a implementácie projektov financovaných v rámci </w:t>
      </w:r>
      <w:r w:rsidR="000236A4">
        <w:rPr>
          <w:rFonts w:ascii="Arial" w:hAnsi="Arial" w:cs="Arial"/>
          <w:sz w:val="20"/>
          <w:szCs w:val="20"/>
        </w:rPr>
        <w:t>OP ŽP</w:t>
      </w:r>
      <w:r w:rsidRPr="0039268C">
        <w:rPr>
          <w:rFonts w:ascii="Arial" w:hAnsi="Arial" w:cs="Arial"/>
          <w:sz w:val="20"/>
          <w:szCs w:val="20"/>
        </w:rPr>
        <w:t xml:space="preserve">, informácie o aktuálne pripravovaných informačných a vzdelávacích podujatiach organizovaných RO pre </w:t>
      </w:r>
      <w:r w:rsidR="000236A4">
        <w:rPr>
          <w:rFonts w:ascii="Arial" w:hAnsi="Arial" w:cs="Arial"/>
          <w:sz w:val="20"/>
          <w:szCs w:val="20"/>
        </w:rPr>
        <w:t>OP ŽP</w:t>
      </w:r>
      <w:r w:rsidRPr="0039268C">
        <w:rPr>
          <w:rFonts w:ascii="Arial" w:hAnsi="Arial" w:cs="Arial"/>
          <w:sz w:val="20"/>
          <w:szCs w:val="20"/>
        </w:rPr>
        <w:t xml:space="preserve"> a sieťou REPIS a pod. Zároveň je zabezpečené prepojenie stránky </w:t>
      </w:r>
      <w:hyperlink r:id="rId80" w:history="1">
        <w:r w:rsidRPr="0039268C">
          <w:rPr>
            <w:rStyle w:val="Hypertextovprepojenie"/>
            <w:rFonts w:ascii="Arial" w:hAnsi="Arial" w:cs="Arial"/>
            <w:sz w:val="20"/>
            <w:szCs w:val="20"/>
          </w:rPr>
          <w:t>www.repis.sk</w:t>
        </w:r>
      </w:hyperlink>
      <w:r w:rsidRPr="0039268C">
        <w:rPr>
          <w:rFonts w:ascii="Arial" w:hAnsi="Arial" w:cs="Arial"/>
          <w:sz w:val="20"/>
          <w:szCs w:val="20"/>
        </w:rPr>
        <w:t xml:space="preserve"> so stránkou </w:t>
      </w:r>
      <w:hyperlink r:id="rId81" w:history="1">
        <w:r w:rsidRPr="0039268C">
          <w:rPr>
            <w:rStyle w:val="Hypertextovprepojenie"/>
            <w:rFonts w:ascii="Arial" w:hAnsi="Arial" w:cs="Arial"/>
            <w:sz w:val="20"/>
            <w:szCs w:val="20"/>
          </w:rPr>
          <w:t>www.opzp.sk</w:t>
        </w:r>
      </w:hyperlink>
      <w:r w:rsidRPr="0039268C">
        <w:rPr>
          <w:rFonts w:ascii="Arial" w:hAnsi="Arial" w:cs="Arial"/>
          <w:sz w:val="20"/>
          <w:szCs w:val="20"/>
        </w:rPr>
        <w:t>.</w:t>
      </w:r>
    </w:p>
    <w:p w:rsidR="00422E10" w:rsidRPr="0039268C" w:rsidRDefault="00422E10" w:rsidP="00507035">
      <w:pPr>
        <w:spacing w:before="120" w:after="120" w:line="360" w:lineRule="auto"/>
        <w:jc w:val="both"/>
        <w:rPr>
          <w:rFonts w:ascii="Arial" w:hAnsi="Arial" w:cs="Arial"/>
          <w:sz w:val="20"/>
          <w:szCs w:val="20"/>
        </w:rPr>
      </w:pPr>
      <w:r w:rsidRPr="0039268C">
        <w:rPr>
          <w:rFonts w:ascii="Arial" w:hAnsi="Arial" w:cs="Arial"/>
          <w:sz w:val="20"/>
          <w:szCs w:val="20"/>
        </w:rPr>
        <w:t>Uvedený portál tiež poskytuje možnosť informovania formou „REGISTRÁCIE“. Vyplnením základných identifikačných údajov je užívateľ zaradený do aktívnej databázy a  prostredníctvom e-mailu dostáva informácie o aktuálnych výzvach a zmenách v dokumentoch, čím pracoviská siete REPIS zabezpečovali informovanosť potenciálnych žiadateľov o aktuálnych výzvach, zmenách vo výzvach a programových dokumentoch, harmonograme a ďalších súvisiacich skutočnostiach rozoslaním informačných e-mailov priamo obciam a iným zaregistrovaným subjektom pôsobiacim v regiónoch.</w:t>
      </w:r>
    </w:p>
    <w:p w:rsidR="00422E10" w:rsidRPr="0039268C" w:rsidRDefault="00422E10" w:rsidP="00507035">
      <w:pPr>
        <w:spacing w:before="120" w:after="120" w:line="360" w:lineRule="auto"/>
        <w:jc w:val="both"/>
        <w:rPr>
          <w:rFonts w:ascii="Arial" w:hAnsi="Arial" w:cs="Arial"/>
          <w:sz w:val="20"/>
          <w:szCs w:val="20"/>
        </w:rPr>
      </w:pPr>
      <w:r w:rsidRPr="0039268C">
        <w:rPr>
          <w:rFonts w:ascii="Arial" w:hAnsi="Arial" w:cs="Arial"/>
          <w:sz w:val="20"/>
          <w:szCs w:val="20"/>
        </w:rPr>
        <w:t xml:space="preserve">V  roku 2012 bola stránka </w:t>
      </w:r>
      <w:hyperlink r:id="rId82" w:history="1">
        <w:r w:rsidRPr="0039268C">
          <w:rPr>
            <w:rStyle w:val="Hypertextovprepojenie"/>
            <w:rFonts w:ascii="Arial" w:hAnsi="Arial" w:cs="Arial"/>
            <w:sz w:val="20"/>
            <w:szCs w:val="20"/>
          </w:rPr>
          <w:t>www.repis.sk</w:t>
        </w:r>
      </w:hyperlink>
      <w:r w:rsidRPr="0039268C">
        <w:rPr>
          <w:rFonts w:ascii="Arial" w:hAnsi="Arial" w:cs="Arial"/>
          <w:sz w:val="20"/>
          <w:szCs w:val="20"/>
        </w:rPr>
        <w:t xml:space="preserve">  aktualizovaná </w:t>
      </w:r>
      <w:r w:rsidRPr="0039268C">
        <w:rPr>
          <w:rFonts w:ascii="Arial" w:hAnsi="Arial" w:cs="Arial"/>
          <w:b/>
          <w:sz w:val="20"/>
          <w:szCs w:val="20"/>
        </w:rPr>
        <w:t xml:space="preserve">41 </w:t>
      </w:r>
      <w:r w:rsidRPr="0039268C">
        <w:rPr>
          <w:rFonts w:ascii="Arial" w:hAnsi="Arial" w:cs="Arial"/>
          <w:sz w:val="20"/>
          <w:szCs w:val="20"/>
        </w:rPr>
        <w:t xml:space="preserve">krát a  stránku navštívilo  celkovo </w:t>
      </w:r>
      <w:r w:rsidRPr="0039268C">
        <w:rPr>
          <w:rFonts w:ascii="Arial" w:hAnsi="Arial" w:cs="Arial"/>
          <w:b/>
          <w:sz w:val="20"/>
          <w:szCs w:val="20"/>
        </w:rPr>
        <w:t xml:space="preserve">6 475 </w:t>
      </w:r>
      <w:r w:rsidRPr="0039268C">
        <w:rPr>
          <w:rFonts w:ascii="Arial" w:hAnsi="Arial" w:cs="Arial"/>
          <w:sz w:val="20"/>
          <w:szCs w:val="20"/>
        </w:rPr>
        <w:t>návštevníkov.</w:t>
      </w:r>
    </w:p>
    <w:p w:rsidR="00422E10" w:rsidRPr="0039268C" w:rsidRDefault="00422E10" w:rsidP="00507035">
      <w:pPr>
        <w:spacing w:before="120" w:after="120" w:line="360" w:lineRule="auto"/>
        <w:jc w:val="both"/>
        <w:rPr>
          <w:rFonts w:ascii="Arial" w:hAnsi="Arial" w:cs="Arial"/>
          <w:sz w:val="20"/>
          <w:szCs w:val="20"/>
        </w:rPr>
      </w:pPr>
      <w:r w:rsidRPr="0039268C">
        <w:rPr>
          <w:rFonts w:ascii="Arial" w:hAnsi="Arial" w:cs="Arial"/>
          <w:sz w:val="20"/>
          <w:szCs w:val="20"/>
        </w:rPr>
        <w:t xml:space="preserve">Na základe aktívnej databázy, ktorá vznikla pri registrácii na stránke </w:t>
      </w:r>
      <w:hyperlink r:id="rId83" w:history="1">
        <w:r w:rsidRPr="0039268C">
          <w:rPr>
            <w:rStyle w:val="Hypertextovprepojenie"/>
            <w:rFonts w:ascii="Arial" w:hAnsi="Arial" w:cs="Arial"/>
            <w:sz w:val="20"/>
            <w:szCs w:val="20"/>
          </w:rPr>
          <w:t>www.repis.sk</w:t>
        </w:r>
      </w:hyperlink>
      <w:r w:rsidRPr="0039268C">
        <w:rPr>
          <w:rFonts w:ascii="Arial" w:hAnsi="Arial" w:cs="Arial"/>
          <w:sz w:val="20"/>
          <w:szCs w:val="20"/>
        </w:rPr>
        <w:t xml:space="preserve">, zasiela  REPIS Informačné listy, čím pracoviská siete REPIS zabezpečujú informovanosť potenciálnych žiadateľov o aktuálnych výzvach, zmenách vo výzvach a programových dokumentoch, harmonograme a ďalších súvisiacich skutočnostiach. Celkovo bolo v roku 2012 rozoslaných </w:t>
      </w:r>
      <w:r w:rsidRPr="0039268C">
        <w:rPr>
          <w:rFonts w:ascii="Arial" w:hAnsi="Arial" w:cs="Arial"/>
          <w:b/>
          <w:sz w:val="20"/>
          <w:szCs w:val="20"/>
        </w:rPr>
        <w:t>33 informačných listov</w:t>
      </w:r>
      <w:r w:rsidRPr="0039268C">
        <w:rPr>
          <w:rFonts w:ascii="Arial" w:hAnsi="Arial" w:cs="Arial"/>
          <w:sz w:val="20"/>
          <w:szCs w:val="20"/>
        </w:rPr>
        <w:t xml:space="preserve"> podľa databázy  vytvorenej registráciou na stránke </w:t>
      </w:r>
      <w:hyperlink r:id="rId84" w:history="1">
        <w:r w:rsidRPr="0039268C">
          <w:rPr>
            <w:rStyle w:val="Hypertextovprepojenie"/>
            <w:rFonts w:ascii="Arial" w:hAnsi="Arial" w:cs="Arial"/>
            <w:sz w:val="20"/>
            <w:szCs w:val="20"/>
          </w:rPr>
          <w:t>www.repis.sk</w:t>
        </w:r>
      </w:hyperlink>
      <w:r w:rsidRPr="0039268C">
        <w:rPr>
          <w:rFonts w:ascii="Arial" w:hAnsi="Arial" w:cs="Arial"/>
          <w:sz w:val="20"/>
          <w:szCs w:val="20"/>
        </w:rPr>
        <w:t xml:space="preserve"> . V rámci regionálnych pracovísk REPIS bolo tiež zaslaných </w:t>
      </w:r>
      <w:r w:rsidRPr="0039268C">
        <w:rPr>
          <w:rFonts w:ascii="Arial" w:hAnsi="Arial" w:cs="Arial"/>
          <w:b/>
          <w:sz w:val="20"/>
          <w:szCs w:val="20"/>
        </w:rPr>
        <w:t>51 informačných listov</w:t>
      </w:r>
      <w:r w:rsidRPr="0039268C">
        <w:rPr>
          <w:rFonts w:ascii="Arial" w:hAnsi="Arial" w:cs="Arial"/>
          <w:sz w:val="20"/>
          <w:szCs w:val="20"/>
        </w:rPr>
        <w:t xml:space="preserve"> v rámci regionálnych databáz, ktoré boli zamerané na informovanie o aktuálnych zmenách na stránke </w:t>
      </w:r>
      <w:hyperlink r:id="rId85" w:history="1">
        <w:r w:rsidRPr="0039268C">
          <w:rPr>
            <w:rStyle w:val="Hypertextovprepojenie"/>
            <w:rFonts w:ascii="Arial" w:hAnsi="Arial" w:cs="Arial"/>
            <w:sz w:val="20"/>
            <w:szCs w:val="20"/>
          </w:rPr>
          <w:t>www.opzp.sk</w:t>
        </w:r>
      </w:hyperlink>
      <w:r w:rsidRPr="0039268C">
        <w:rPr>
          <w:rFonts w:ascii="Arial" w:hAnsi="Arial" w:cs="Arial"/>
          <w:sz w:val="20"/>
          <w:szCs w:val="20"/>
        </w:rPr>
        <w:t xml:space="preserve"> a o pripravovaných akciách kanceláriami REPIS. Celkom za REPIS bolo pripravených a rozoslaných </w:t>
      </w:r>
      <w:r w:rsidRPr="0039268C">
        <w:rPr>
          <w:rFonts w:ascii="Arial" w:hAnsi="Arial" w:cs="Arial"/>
          <w:b/>
          <w:sz w:val="20"/>
          <w:szCs w:val="20"/>
        </w:rPr>
        <w:t>84</w:t>
      </w:r>
      <w:r w:rsidRPr="0039268C">
        <w:rPr>
          <w:rFonts w:ascii="Arial" w:hAnsi="Arial" w:cs="Arial"/>
          <w:sz w:val="20"/>
          <w:szCs w:val="20"/>
        </w:rPr>
        <w:t xml:space="preserve"> informačných listov.</w:t>
      </w:r>
    </w:p>
    <w:p w:rsidR="00422E10" w:rsidRPr="0039268C" w:rsidRDefault="00422E10" w:rsidP="00507035">
      <w:pPr>
        <w:spacing w:before="120" w:after="120" w:line="360" w:lineRule="auto"/>
        <w:jc w:val="both"/>
        <w:rPr>
          <w:rFonts w:ascii="Arial" w:hAnsi="Arial" w:cs="Arial"/>
          <w:sz w:val="20"/>
          <w:szCs w:val="20"/>
        </w:rPr>
      </w:pPr>
      <w:r w:rsidRPr="0039268C">
        <w:rPr>
          <w:rFonts w:ascii="Arial" w:hAnsi="Arial" w:cs="Arial"/>
          <w:sz w:val="20"/>
          <w:szCs w:val="20"/>
        </w:rPr>
        <w:t xml:space="preserve">RO  zaslal v roku 2012 formou mailinglistu celkom </w:t>
      </w:r>
      <w:r w:rsidRPr="0039268C">
        <w:rPr>
          <w:rFonts w:ascii="Arial" w:hAnsi="Arial" w:cs="Arial"/>
          <w:b/>
          <w:sz w:val="20"/>
          <w:szCs w:val="20"/>
        </w:rPr>
        <w:t>85</w:t>
      </w:r>
      <w:r w:rsidRPr="0039268C">
        <w:rPr>
          <w:rFonts w:ascii="Arial" w:hAnsi="Arial" w:cs="Arial"/>
          <w:sz w:val="20"/>
          <w:szCs w:val="20"/>
        </w:rPr>
        <w:t xml:space="preserve"> emailových aktualít.</w:t>
      </w:r>
    </w:p>
    <w:p w:rsidR="002416B1" w:rsidRPr="004B33AE" w:rsidRDefault="00422E10" w:rsidP="00507035">
      <w:pPr>
        <w:spacing w:before="120" w:after="120" w:line="360" w:lineRule="auto"/>
        <w:jc w:val="both"/>
        <w:rPr>
          <w:rFonts w:ascii="Arial" w:hAnsi="Arial" w:cs="Arial"/>
          <w:sz w:val="20"/>
          <w:szCs w:val="20"/>
        </w:rPr>
      </w:pPr>
      <w:r w:rsidRPr="0039268C">
        <w:rPr>
          <w:rFonts w:ascii="Arial" w:hAnsi="Arial" w:cs="Arial"/>
          <w:b/>
          <w:sz w:val="20"/>
          <w:szCs w:val="20"/>
        </w:rPr>
        <w:t>CELKOM:</w:t>
      </w:r>
      <w:r w:rsidRPr="0039268C">
        <w:rPr>
          <w:rFonts w:ascii="Arial" w:hAnsi="Arial" w:cs="Arial"/>
          <w:sz w:val="20"/>
          <w:szCs w:val="20"/>
        </w:rPr>
        <w:t xml:space="preserve"> </w:t>
      </w:r>
      <w:r w:rsidRPr="0039268C">
        <w:rPr>
          <w:rFonts w:ascii="Arial" w:hAnsi="Arial" w:cs="Arial"/>
          <w:b/>
          <w:sz w:val="20"/>
          <w:szCs w:val="20"/>
        </w:rPr>
        <w:t xml:space="preserve">169 </w:t>
      </w:r>
      <w:r w:rsidRPr="0039268C">
        <w:rPr>
          <w:rFonts w:ascii="Arial" w:hAnsi="Arial" w:cs="Arial"/>
          <w:sz w:val="20"/>
          <w:szCs w:val="20"/>
        </w:rPr>
        <w:t>informačných emailov.</w:t>
      </w:r>
      <w:r w:rsidR="002416B1" w:rsidRPr="00422E10">
        <w:rPr>
          <w:rFonts w:ascii="Arial" w:hAnsi="Arial" w:cs="Arial"/>
          <w:b/>
          <w:sz w:val="20"/>
          <w:szCs w:val="20"/>
        </w:rPr>
        <w:t>.</w:t>
      </w:r>
      <w:r w:rsidR="002416B1" w:rsidRPr="00422E10">
        <w:rPr>
          <w:rFonts w:ascii="Arial" w:hAnsi="Arial" w:cs="Arial"/>
          <w:sz w:val="20"/>
          <w:szCs w:val="20"/>
        </w:rPr>
        <w:t xml:space="preserve"> </w:t>
      </w:r>
    </w:p>
    <w:p w:rsidR="002416B1" w:rsidRPr="004B33AE" w:rsidRDefault="002416B1" w:rsidP="00507035">
      <w:pPr>
        <w:spacing w:before="120" w:after="120" w:line="360" w:lineRule="auto"/>
        <w:jc w:val="both"/>
        <w:rPr>
          <w:rFonts w:ascii="Arial" w:hAnsi="Arial" w:cs="Arial"/>
          <w:b/>
          <w:i/>
          <w:sz w:val="20"/>
          <w:szCs w:val="20"/>
        </w:rPr>
      </w:pPr>
      <w:bookmarkStart w:id="131" w:name="_Toc315332895"/>
      <w:r w:rsidRPr="004B33AE">
        <w:rPr>
          <w:rFonts w:ascii="Arial" w:hAnsi="Arial" w:cs="Arial"/>
          <w:b/>
          <w:i/>
          <w:sz w:val="20"/>
          <w:szCs w:val="20"/>
        </w:rPr>
        <w:t>PR články</w:t>
      </w:r>
      <w:bookmarkEnd w:id="131"/>
    </w:p>
    <w:p w:rsidR="00422E10" w:rsidRPr="00422E10" w:rsidRDefault="00422E10" w:rsidP="00507035">
      <w:pPr>
        <w:spacing w:before="120" w:after="120" w:line="360" w:lineRule="auto"/>
        <w:jc w:val="both"/>
        <w:rPr>
          <w:rFonts w:ascii="Arial" w:hAnsi="Arial" w:cs="Arial"/>
          <w:sz w:val="20"/>
          <w:szCs w:val="20"/>
        </w:rPr>
      </w:pPr>
      <w:r w:rsidRPr="00422E10">
        <w:rPr>
          <w:rFonts w:ascii="Arial" w:hAnsi="Arial" w:cs="Arial"/>
          <w:sz w:val="20"/>
          <w:szCs w:val="20"/>
        </w:rPr>
        <w:t xml:space="preserve">Na internete ako aj v rôznych tlačených materiáloch boli v roku 2012 RO  a sieťou REPIS publikované PR články informujúce o operačnom programe a jeho implementácii ako napr. pripravované a zrealizované školenia/konferencie alebo prebiehajúce výzvy a iné informácie o aktivitách RO . </w:t>
      </w:r>
    </w:p>
    <w:p w:rsidR="00422E10" w:rsidRPr="00422E10" w:rsidRDefault="00422E10" w:rsidP="00507035">
      <w:pPr>
        <w:spacing w:before="120" w:after="120" w:line="360" w:lineRule="auto"/>
        <w:jc w:val="both"/>
        <w:rPr>
          <w:rFonts w:ascii="Arial" w:hAnsi="Arial" w:cs="Arial"/>
          <w:sz w:val="20"/>
          <w:szCs w:val="20"/>
        </w:rPr>
      </w:pPr>
      <w:r w:rsidRPr="00422E10">
        <w:rPr>
          <w:rFonts w:ascii="Arial" w:hAnsi="Arial" w:cs="Arial"/>
          <w:sz w:val="20"/>
          <w:szCs w:val="20"/>
        </w:rPr>
        <w:t>Vzhľadom na úpravu Harmonogramu výziev na rok 2012, z ktorého boli niektoré výzvy vypustené príp. nahradené výzvami v iných PO a OC, v rámci ktorých oprávnenými prijímateľmi boli len rezortné organizácie a MŽP, bola niektorá platená inzercia vypustená.</w:t>
      </w:r>
    </w:p>
    <w:p w:rsidR="00422E10" w:rsidRPr="00422E10" w:rsidRDefault="00422E10" w:rsidP="00507035">
      <w:pPr>
        <w:spacing w:before="120" w:after="120" w:line="360" w:lineRule="auto"/>
        <w:jc w:val="both"/>
        <w:rPr>
          <w:rFonts w:ascii="Arial" w:hAnsi="Arial" w:cs="Arial"/>
          <w:sz w:val="20"/>
          <w:szCs w:val="20"/>
        </w:rPr>
      </w:pPr>
      <w:r w:rsidRPr="00422E10">
        <w:rPr>
          <w:rFonts w:ascii="Arial" w:hAnsi="Arial" w:cs="Arial"/>
          <w:sz w:val="20"/>
          <w:szCs w:val="20"/>
        </w:rPr>
        <w:t>PR články RO  a siete REPIS v tlači:</w:t>
      </w:r>
    </w:p>
    <w:p w:rsidR="00422E10" w:rsidRPr="00422E10" w:rsidRDefault="00422E10" w:rsidP="00507035">
      <w:pPr>
        <w:spacing w:before="120" w:after="120" w:line="360" w:lineRule="auto"/>
        <w:jc w:val="both"/>
        <w:rPr>
          <w:rFonts w:ascii="Arial" w:hAnsi="Arial" w:cs="Arial"/>
          <w:sz w:val="20"/>
          <w:szCs w:val="20"/>
        </w:rPr>
      </w:pPr>
      <w:r w:rsidRPr="00422E10">
        <w:rPr>
          <w:rFonts w:ascii="Arial" w:hAnsi="Arial" w:cs="Arial"/>
          <w:sz w:val="20"/>
          <w:szCs w:val="20"/>
        </w:rPr>
        <w:t>RO p (110):</w:t>
      </w:r>
    </w:p>
    <w:p w:rsidR="00422E10" w:rsidRPr="00422E10" w:rsidRDefault="00422E10" w:rsidP="00507035">
      <w:pPr>
        <w:spacing w:before="120" w:after="120" w:line="360" w:lineRule="auto"/>
        <w:jc w:val="both"/>
        <w:rPr>
          <w:rFonts w:ascii="Arial" w:hAnsi="Arial" w:cs="Arial"/>
          <w:sz w:val="20"/>
          <w:szCs w:val="20"/>
        </w:rPr>
      </w:pPr>
      <w:r w:rsidRPr="00422E10">
        <w:rPr>
          <w:rFonts w:ascii="Arial" w:hAnsi="Arial" w:cs="Arial"/>
          <w:sz w:val="20"/>
          <w:szCs w:val="20"/>
        </w:rPr>
        <w:t>PR články RO pre  vo štvrťročníku Eurokompas 1-4/2012 - 14</w:t>
      </w:r>
    </w:p>
    <w:p w:rsidR="00422E10" w:rsidRPr="00422E10" w:rsidRDefault="00422E10" w:rsidP="00507035">
      <w:pPr>
        <w:spacing w:before="120" w:after="120" w:line="360" w:lineRule="auto"/>
        <w:jc w:val="both"/>
        <w:rPr>
          <w:rFonts w:ascii="Arial" w:hAnsi="Arial" w:cs="Arial"/>
          <w:sz w:val="20"/>
          <w:szCs w:val="20"/>
        </w:rPr>
      </w:pPr>
      <w:r w:rsidRPr="00422E10">
        <w:rPr>
          <w:rFonts w:ascii="Arial" w:hAnsi="Arial" w:cs="Arial"/>
          <w:sz w:val="20"/>
          <w:szCs w:val="20"/>
        </w:rPr>
        <w:t>Tlačové správy MŽP SR – 8</w:t>
      </w:r>
    </w:p>
    <w:p w:rsidR="00422E10" w:rsidRPr="00422E10" w:rsidRDefault="00422E10" w:rsidP="00507035">
      <w:pPr>
        <w:spacing w:before="120" w:after="120" w:line="360" w:lineRule="auto"/>
        <w:jc w:val="both"/>
        <w:rPr>
          <w:rFonts w:ascii="Arial" w:hAnsi="Arial" w:cs="Arial"/>
          <w:sz w:val="20"/>
          <w:szCs w:val="20"/>
        </w:rPr>
      </w:pPr>
      <w:r w:rsidRPr="00422E10">
        <w:rPr>
          <w:rFonts w:ascii="Arial" w:hAnsi="Arial" w:cs="Arial"/>
          <w:sz w:val="20"/>
          <w:szCs w:val="20"/>
        </w:rPr>
        <w:t xml:space="preserve">článok v Parlamentnom kuriéri 4/2012 – 1 </w:t>
      </w:r>
    </w:p>
    <w:p w:rsidR="00422E10" w:rsidRPr="00422E10" w:rsidRDefault="00422E10" w:rsidP="00507035">
      <w:pPr>
        <w:spacing w:before="120" w:after="120" w:line="360" w:lineRule="auto"/>
        <w:jc w:val="both"/>
        <w:rPr>
          <w:rFonts w:ascii="Arial" w:hAnsi="Arial" w:cs="Arial"/>
          <w:sz w:val="20"/>
          <w:szCs w:val="20"/>
        </w:rPr>
      </w:pPr>
      <w:r w:rsidRPr="00422E10">
        <w:rPr>
          <w:rFonts w:ascii="Arial" w:hAnsi="Arial" w:cs="Arial"/>
          <w:sz w:val="20"/>
          <w:szCs w:val="20"/>
        </w:rPr>
        <w:t>inzercia v SME dňa 14.2.2012 týkajúca sa zverejnenia výzvy OPŽP-PO1-12-1 - 1</w:t>
      </w:r>
    </w:p>
    <w:p w:rsidR="00422E10" w:rsidRPr="00422E10" w:rsidRDefault="00422E10" w:rsidP="00507035">
      <w:pPr>
        <w:spacing w:before="120" w:after="120" w:line="360" w:lineRule="auto"/>
        <w:jc w:val="both"/>
        <w:rPr>
          <w:rFonts w:ascii="Arial" w:hAnsi="Arial" w:cs="Arial"/>
          <w:sz w:val="20"/>
          <w:szCs w:val="20"/>
        </w:rPr>
      </w:pPr>
      <w:r w:rsidRPr="00422E10">
        <w:rPr>
          <w:rFonts w:ascii="Arial" w:hAnsi="Arial" w:cs="Arial"/>
          <w:sz w:val="20"/>
          <w:szCs w:val="20"/>
        </w:rPr>
        <w:t xml:space="preserve">inzercia v SME dňa 20.11.2012 týkajúca sa zverejnenia oznámenia o strategickom dokumente – revízii </w:t>
      </w:r>
      <w:r w:rsidR="000236A4">
        <w:rPr>
          <w:rFonts w:ascii="Arial" w:hAnsi="Arial" w:cs="Arial"/>
          <w:sz w:val="20"/>
          <w:szCs w:val="20"/>
        </w:rPr>
        <w:t>OP ŽP</w:t>
      </w:r>
      <w:r w:rsidRPr="00422E10">
        <w:rPr>
          <w:rFonts w:ascii="Arial" w:hAnsi="Arial" w:cs="Arial"/>
          <w:sz w:val="20"/>
          <w:szCs w:val="20"/>
        </w:rPr>
        <w:t xml:space="preserve"> na verziu 4.0  – 20.11.2012 - 1 </w:t>
      </w:r>
    </w:p>
    <w:p w:rsidR="00422E10" w:rsidRPr="00422E10" w:rsidRDefault="00422E10" w:rsidP="00507035">
      <w:pPr>
        <w:spacing w:before="120" w:after="120" w:line="360" w:lineRule="auto"/>
        <w:jc w:val="both"/>
        <w:rPr>
          <w:rFonts w:ascii="Arial" w:hAnsi="Arial" w:cs="Arial"/>
          <w:sz w:val="20"/>
          <w:szCs w:val="20"/>
        </w:rPr>
      </w:pPr>
      <w:r w:rsidRPr="00422E10">
        <w:rPr>
          <w:rFonts w:ascii="Arial" w:hAnsi="Arial" w:cs="Arial"/>
          <w:sz w:val="20"/>
          <w:szCs w:val="20"/>
        </w:rPr>
        <w:t xml:space="preserve">85 aktualít na </w:t>
      </w:r>
      <w:hyperlink r:id="rId86" w:history="1">
        <w:r w:rsidR="00FE5B54" w:rsidRPr="0082535E">
          <w:rPr>
            <w:rStyle w:val="Hypertextovprepojenie"/>
            <w:rFonts w:ascii="Arial" w:hAnsi="Arial" w:cs="Arial"/>
            <w:sz w:val="20"/>
            <w:szCs w:val="20"/>
          </w:rPr>
          <w:t>www.opzp.sk</w:t>
        </w:r>
      </w:hyperlink>
      <w:r w:rsidR="00FE5B54">
        <w:rPr>
          <w:rFonts w:ascii="Arial" w:hAnsi="Arial" w:cs="Arial"/>
          <w:sz w:val="20"/>
          <w:szCs w:val="20"/>
        </w:rPr>
        <w:t xml:space="preserve"> </w:t>
      </w:r>
    </w:p>
    <w:p w:rsidR="00EF0531" w:rsidRDefault="00EF0531">
      <w:pPr>
        <w:rPr>
          <w:rFonts w:ascii="Arial" w:hAnsi="Arial" w:cs="Arial"/>
          <w:sz w:val="20"/>
          <w:szCs w:val="20"/>
        </w:rPr>
      </w:pPr>
      <w:r>
        <w:rPr>
          <w:rFonts w:ascii="Arial" w:hAnsi="Arial" w:cs="Arial"/>
          <w:sz w:val="20"/>
          <w:szCs w:val="20"/>
        </w:rPr>
        <w:br w:type="page"/>
      </w:r>
    </w:p>
    <w:p w:rsidR="00422E10" w:rsidRPr="00422E10" w:rsidRDefault="00422E10" w:rsidP="00507035">
      <w:pPr>
        <w:spacing w:before="120" w:after="120" w:line="360" w:lineRule="auto"/>
        <w:jc w:val="both"/>
        <w:rPr>
          <w:rFonts w:ascii="Arial" w:hAnsi="Arial" w:cs="Arial"/>
          <w:sz w:val="20"/>
          <w:szCs w:val="20"/>
        </w:rPr>
      </w:pPr>
      <w:r w:rsidRPr="00422E10">
        <w:rPr>
          <w:rFonts w:ascii="Arial" w:hAnsi="Arial" w:cs="Arial"/>
          <w:sz w:val="20"/>
          <w:szCs w:val="20"/>
        </w:rPr>
        <w:t>REPIS (45):</w:t>
      </w:r>
    </w:p>
    <w:p w:rsidR="00422E10" w:rsidRPr="00422E10" w:rsidRDefault="00422E10" w:rsidP="00507035">
      <w:pPr>
        <w:spacing w:before="120" w:after="120" w:line="360" w:lineRule="auto"/>
        <w:jc w:val="both"/>
        <w:rPr>
          <w:rFonts w:ascii="Arial" w:hAnsi="Arial" w:cs="Arial"/>
          <w:sz w:val="20"/>
          <w:szCs w:val="20"/>
        </w:rPr>
      </w:pPr>
      <w:r w:rsidRPr="00422E10">
        <w:rPr>
          <w:rFonts w:ascii="Arial" w:hAnsi="Arial" w:cs="Arial"/>
          <w:sz w:val="20"/>
          <w:szCs w:val="20"/>
        </w:rPr>
        <w:t xml:space="preserve">Eurokompas 2/2012 „Aj informácie prispievajú k zlepšeniu životného prostredia“ - 1 </w:t>
      </w:r>
    </w:p>
    <w:p w:rsidR="00422E10" w:rsidRPr="00422E10" w:rsidRDefault="00422E10" w:rsidP="00507035">
      <w:pPr>
        <w:spacing w:before="120" w:after="120" w:line="360" w:lineRule="auto"/>
        <w:jc w:val="both"/>
        <w:rPr>
          <w:rFonts w:ascii="Arial" w:hAnsi="Arial" w:cs="Arial"/>
          <w:sz w:val="20"/>
          <w:szCs w:val="20"/>
        </w:rPr>
      </w:pPr>
      <w:r w:rsidRPr="00422E10">
        <w:rPr>
          <w:rFonts w:ascii="Arial" w:hAnsi="Arial" w:cs="Arial"/>
          <w:sz w:val="20"/>
          <w:szCs w:val="20"/>
        </w:rPr>
        <w:t xml:space="preserve">ODPADY 9/2012 "Skvalitnenie environmentálnej infraštruktúry prostredníctvom </w:t>
      </w:r>
      <w:r w:rsidR="000236A4">
        <w:rPr>
          <w:rFonts w:ascii="Arial" w:hAnsi="Arial" w:cs="Arial"/>
          <w:sz w:val="20"/>
          <w:szCs w:val="20"/>
        </w:rPr>
        <w:t>OP ŽP</w:t>
      </w:r>
      <w:r w:rsidRPr="00422E10">
        <w:rPr>
          <w:rFonts w:ascii="Arial" w:hAnsi="Arial" w:cs="Arial"/>
          <w:sz w:val="20"/>
          <w:szCs w:val="20"/>
        </w:rPr>
        <w:t>" - 1</w:t>
      </w:r>
    </w:p>
    <w:p w:rsidR="00422E10" w:rsidRPr="00422E10" w:rsidRDefault="00422E10" w:rsidP="00507035">
      <w:pPr>
        <w:spacing w:before="120" w:after="120" w:line="360" w:lineRule="auto"/>
        <w:jc w:val="both"/>
        <w:rPr>
          <w:rFonts w:ascii="Arial" w:hAnsi="Arial" w:cs="Arial"/>
          <w:sz w:val="20"/>
          <w:szCs w:val="20"/>
        </w:rPr>
      </w:pPr>
      <w:r w:rsidRPr="00422E10">
        <w:rPr>
          <w:rFonts w:ascii="Arial" w:hAnsi="Arial" w:cs="Arial"/>
          <w:sz w:val="20"/>
          <w:szCs w:val="20"/>
        </w:rPr>
        <w:t xml:space="preserve">Eurokompas 3/2012  "Prezentácia </w:t>
      </w:r>
      <w:r w:rsidR="000236A4">
        <w:rPr>
          <w:rFonts w:ascii="Arial" w:hAnsi="Arial" w:cs="Arial"/>
          <w:sz w:val="20"/>
          <w:szCs w:val="20"/>
        </w:rPr>
        <w:t>OP ŽP</w:t>
      </w:r>
      <w:r w:rsidRPr="00422E10">
        <w:rPr>
          <w:rFonts w:ascii="Arial" w:hAnsi="Arial" w:cs="Arial"/>
          <w:sz w:val="20"/>
          <w:szCs w:val="20"/>
        </w:rPr>
        <w:t xml:space="preserve"> na výstave Agrokomplex v Nitre" - 1</w:t>
      </w:r>
    </w:p>
    <w:p w:rsidR="00422E10" w:rsidRPr="00422E10" w:rsidRDefault="00422E10" w:rsidP="00507035">
      <w:pPr>
        <w:spacing w:before="120" w:after="120" w:line="360" w:lineRule="auto"/>
        <w:jc w:val="both"/>
        <w:rPr>
          <w:rFonts w:ascii="Arial" w:hAnsi="Arial" w:cs="Arial"/>
          <w:sz w:val="20"/>
          <w:szCs w:val="20"/>
        </w:rPr>
      </w:pPr>
      <w:r w:rsidRPr="00422E10">
        <w:rPr>
          <w:rFonts w:ascii="Arial" w:hAnsi="Arial" w:cs="Arial"/>
          <w:sz w:val="20"/>
          <w:szCs w:val="20"/>
        </w:rPr>
        <w:t xml:space="preserve">Interview zverejnené 9.11.2012  na </w:t>
      </w:r>
      <w:hyperlink r:id="rId87" w:history="1">
        <w:r w:rsidR="00FE5B54" w:rsidRPr="0082535E">
          <w:rPr>
            <w:rStyle w:val="Hypertextovprepojenie"/>
            <w:rFonts w:ascii="Arial" w:hAnsi="Arial" w:cs="Arial"/>
            <w:sz w:val="20"/>
            <w:szCs w:val="20"/>
          </w:rPr>
          <w:t>www.euroactiv.sk</w:t>
        </w:r>
      </w:hyperlink>
      <w:r w:rsidR="00FE5B54">
        <w:rPr>
          <w:rFonts w:ascii="Arial" w:hAnsi="Arial" w:cs="Arial"/>
          <w:sz w:val="20"/>
          <w:szCs w:val="20"/>
        </w:rPr>
        <w:t xml:space="preserve"> </w:t>
      </w:r>
      <w:r w:rsidRPr="00422E10">
        <w:rPr>
          <w:rFonts w:ascii="Arial" w:hAnsi="Arial" w:cs="Arial"/>
          <w:sz w:val="20"/>
          <w:szCs w:val="20"/>
        </w:rPr>
        <w:t>na tému: "Je neskoro začať s prípravou projektu po zverejnení výzvy" - 1</w:t>
      </w:r>
    </w:p>
    <w:p w:rsidR="00422E10" w:rsidRPr="00422E10" w:rsidRDefault="00422E10" w:rsidP="00507035">
      <w:pPr>
        <w:spacing w:before="120" w:after="120" w:line="360" w:lineRule="auto"/>
        <w:jc w:val="both"/>
        <w:rPr>
          <w:rFonts w:ascii="Arial" w:hAnsi="Arial" w:cs="Arial"/>
          <w:sz w:val="20"/>
          <w:szCs w:val="20"/>
        </w:rPr>
      </w:pPr>
      <w:r w:rsidRPr="00422E10">
        <w:rPr>
          <w:rFonts w:ascii="Arial" w:hAnsi="Arial" w:cs="Arial"/>
          <w:sz w:val="20"/>
          <w:szCs w:val="20"/>
        </w:rPr>
        <w:t xml:space="preserve">41 aktualít na </w:t>
      </w:r>
      <w:hyperlink r:id="rId88" w:history="1">
        <w:r w:rsidR="00FE5B54" w:rsidRPr="0082535E">
          <w:rPr>
            <w:rStyle w:val="Hypertextovprepojenie"/>
            <w:rFonts w:ascii="Arial" w:hAnsi="Arial" w:cs="Arial"/>
            <w:sz w:val="20"/>
            <w:szCs w:val="20"/>
          </w:rPr>
          <w:t>www.repis.sk</w:t>
        </w:r>
      </w:hyperlink>
      <w:r w:rsidR="00FE5B54">
        <w:rPr>
          <w:rFonts w:ascii="Arial" w:hAnsi="Arial" w:cs="Arial"/>
          <w:sz w:val="20"/>
          <w:szCs w:val="20"/>
        </w:rPr>
        <w:t xml:space="preserve"> </w:t>
      </w:r>
    </w:p>
    <w:p w:rsidR="00422E10" w:rsidRPr="00422E10" w:rsidRDefault="00422E10" w:rsidP="00507035">
      <w:pPr>
        <w:spacing w:before="120" w:after="120" w:line="360" w:lineRule="auto"/>
        <w:jc w:val="both"/>
        <w:rPr>
          <w:rFonts w:ascii="Arial" w:hAnsi="Arial" w:cs="Arial"/>
          <w:sz w:val="20"/>
          <w:szCs w:val="20"/>
        </w:rPr>
      </w:pPr>
      <w:r w:rsidRPr="00422E10">
        <w:rPr>
          <w:rFonts w:ascii="Arial" w:hAnsi="Arial" w:cs="Arial"/>
          <w:sz w:val="20"/>
          <w:szCs w:val="20"/>
        </w:rPr>
        <w:t>Celkom za rok 2012:  29 PR článkov v tlači a na internete a 126 aktualít na internete t.j. celkom 155 PR článkov</w:t>
      </w:r>
    </w:p>
    <w:p w:rsidR="002416B1" w:rsidRPr="004B33AE" w:rsidRDefault="002416B1" w:rsidP="00507035">
      <w:pPr>
        <w:spacing w:before="120" w:after="120" w:line="360" w:lineRule="auto"/>
        <w:jc w:val="both"/>
        <w:rPr>
          <w:rFonts w:ascii="Arial" w:hAnsi="Arial" w:cs="Arial"/>
          <w:b/>
          <w:i/>
          <w:sz w:val="20"/>
          <w:szCs w:val="20"/>
        </w:rPr>
      </w:pPr>
      <w:bookmarkStart w:id="132" w:name="_Toc315332896"/>
      <w:r w:rsidRPr="004B33AE">
        <w:rPr>
          <w:rFonts w:ascii="Arial" w:hAnsi="Arial" w:cs="Arial"/>
          <w:b/>
          <w:i/>
          <w:sz w:val="20"/>
          <w:szCs w:val="20"/>
        </w:rPr>
        <w:t>Vzdelávacie a informačno-komunikačné aktivity</w:t>
      </w:r>
      <w:bookmarkEnd w:id="132"/>
    </w:p>
    <w:p w:rsidR="00422E10" w:rsidRPr="00422E10" w:rsidRDefault="00422E10" w:rsidP="00507035">
      <w:pPr>
        <w:spacing w:before="120" w:after="120" w:line="360" w:lineRule="auto"/>
        <w:jc w:val="both"/>
        <w:rPr>
          <w:rFonts w:ascii="Arial" w:hAnsi="Arial" w:cs="Arial"/>
          <w:sz w:val="20"/>
          <w:szCs w:val="20"/>
        </w:rPr>
      </w:pPr>
      <w:r w:rsidRPr="00422E10">
        <w:rPr>
          <w:rFonts w:ascii="Arial" w:hAnsi="Arial" w:cs="Arial"/>
          <w:sz w:val="20"/>
          <w:szCs w:val="20"/>
        </w:rPr>
        <w:t xml:space="preserve">V roku 2012 sa pracovníci siete REPIS ako aj RO </w:t>
      </w:r>
      <w:r w:rsidR="000236A4">
        <w:rPr>
          <w:rFonts w:ascii="Arial" w:hAnsi="Arial" w:cs="Arial"/>
          <w:sz w:val="20"/>
          <w:szCs w:val="20"/>
        </w:rPr>
        <w:t>OP ŽP</w:t>
      </w:r>
      <w:r w:rsidRPr="00422E10">
        <w:rPr>
          <w:rFonts w:ascii="Arial" w:hAnsi="Arial" w:cs="Arial"/>
          <w:sz w:val="20"/>
          <w:szCs w:val="20"/>
        </w:rPr>
        <w:t xml:space="preserve"> zúčastnili a rôznym spôsobom participovali na podujatiach spojených so zabezpečovaním informovanosti odbornej aj laickej verejnosti ohľadne problematiky ochrany a obnovy životného prostredia a v rámci týchto podujatí boli poskytnuté cieľovým skupinám informácie o možnostiach, ktoré prináša </w:t>
      </w:r>
      <w:r w:rsidR="000236A4">
        <w:rPr>
          <w:rFonts w:ascii="Arial" w:hAnsi="Arial" w:cs="Arial"/>
          <w:sz w:val="20"/>
          <w:szCs w:val="20"/>
        </w:rPr>
        <w:t>OP ŽP</w:t>
      </w:r>
      <w:r w:rsidRPr="00422E10">
        <w:rPr>
          <w:rFonts w:ascii="Arial" w:hAnsi="Arial" w:cs="Arial"/>
          <w:sz w:val="20"/>
          <w:szCs w:val="20"/>
        </w:rPr>
        <w:t xml:space="preserve"> pre Slovensko.</w:t>
      </w:r>
    </w:p>
    <w:p w:rsidR="002416B1" w:rsidRPr="004B33AE" w:rsidRDefault="00422E10" w:rsidP="00507035">
      <w:pPr>
        <w:spacing w:before="120" w:after="120" w:line="360" w:lineRule="auto"/>
        <w:jc w:val="both"/>
        <w:rPr>
          <w:rFonts w:ascii="Arial" w:hAnsi="Arial" w:cs="Arial"/>
          <w:sz w:val="20"/>
          <w:szCs w:val="20"/>
        </w:rPr>
      </w:pPr>
      <w:r w:rsidRPr="00422E10">
        <w:rPr>
          <w:rFonts w:ascii="Arial" w:hAnsi="Arial" w:cs="Arial"/>
          <w:sz w:val="20"/>
          <w:szCs w:val="20"/>
        </w:rPr>
        <w:t xml:space="preserve">Participácia bola zabezpečovaná formou informačných stánkov, príspevkami v odbornom programe, príp. prostredníctvom dodania informačno-propagačných predmetov informujúcich o </w:t>
      </w:r>
      <w:r w:rsidR="000236A4">
        <w:rPr>
          <w:rFonts w:ascii="Arial" w:hAnsi="Arial" w:cs="Arial"/>
          <w:sz w:val="20"/>
          <w:szCs w:val="20"/>
        </w:rPr>
        <w:t>OP ŽP</w:t>
      </w:r>
      <w:r w:rsidRPr="00422E10">
        <w:rPr>
          <w:rFonts w:ascii="Arial" w:hAnsi="Arial" w:cs="Arial"/>
          <w:sz w:val="20"/>
          <w:szCs w:val="20"/>
        </w:rPr>
        <w:t xml:space="preserve"> a pod.</w:t>
      </w:r>
    </w:p>
    <w:p w:rsidR="002416B1" w:rsidRPr="004B33AE" w:rsidRDefault="002416B1" w:rsidP="00507035">
      <w:pPr>
        <w:spacing w:before="120" w:after="120" w:line="360" w:lineRule="auto"/>
        <w:jc w:val="both"/>
        <w:rPr>
          <w:rFonts w:ascii="Arial" w:hAnsi="Arial" w:cs="Arial"/>
          <w:i/>
          <w:sz w:val="20"/>
          <w:szCs w:val="20"/>
          <w:u w:val="single"/>
        </w:rPr>
      </w:pPr>
      <w:r w:rsidRPr="004B33AE">
        <w:rPr>
          <w:rFonts w:ascii="Arial" w:hAnsi="Arial" w:cs="Arial"/>
          <w:i/>
          <w:sz w:val="20"/>
          <w:szCs w:val="20"/>
          <w:u w:val="single"/>
        </w:rPr>
        <w:t>KONFERENCIE:</w:t>
      </w:r>
    </w:p>
    <w:p w:rsidR="00422E10" w:rsidRPr="00422E10" w:rsidRDefault="00422E10" w:rsidP="00507035">
      <w:pPr>
        <w:spacing w:before="120" w:after="120" w:line="360" w:lineRule="auto"/>
        <w:jc w:val="both"/>
        <w:rPr>
          <w:rFonts w:ascii="Arial" w:hAnsi="Arial" w:cs="Arial"/>
          <w:sz w:val="20"/>
          <w:szCs w:val="20"/>
        </w:rPr>
      </w:pPr>
      <w:r w:rsidRPr="00422E10">
        <w:rPr>
          <w:rFonts w:ascii="Arial" w:hAnsi="Arial" w:cs="Arial"/>
          <w:sz w:val="20"/>
          <w:szCs w:val="20"/>
        </w:rPr>
        <w:t xml:space="preserve">Zástupcovia siete REPIS v spolupráci so zástupcami RO dňa 19.12.2012 v rámci projektu „Informačná dostupnosť - podpora implementácie </w:t>
      </w:r>
      <w:r w:rsidR="000236A4">
        <w:rPr>
          <w:rFonts w:ascii="Arial" w:hAnsi="Arial" w:cs="Arial"/>
          <w:sz w:val="20"/>
          <w:szCs w:val="20"/>
        </w:rPr>
        <w:t>OP ŽP</w:t>
      </w:r>
      <w:r w:rsidRPr="00422E10">
        <w:rPr>
          <w:rFonts w:ascii="Arial" w:hAnsi="Arial" w:cs="Arial"/>
          <w:sz w:val="20"/>
          <w:szCs w:val="20"/>
        </w:rPr>
        <w:t>“ organizovali 1 (83 účastníkov) hlavnú informačnú aktivitu RO  Výročná konferenciu "</w:t>
      </w:r>
      <w:r w:rsidR="000236A4">
        <w:rPr>
          <w:rFonts w:ascii="Arial" w:hAnsi="Arial" w:cs="Arial"/>
          <w:sz w:val="20"/>
          <w:szCs w:val="20"/>
        </w:rPr>
        <w:t>OP ŽP</w:t>
      </w:r>
      <w:r w:rsidRPr="00422E10">
        <w:rPr>
          <w:rFonts w:ascii="Arial" w:hAnsi="Arial" w:cs="Arial"/>
          <w:sz w:val="20"/>
          <w:szCs w:val="20"/>
        </w:rPr>
        <w:t xml:space="preserve"> a výsledky jeho realizácie v roku 2012" (bližšie informácie v bode 3.3.1 Hlavná informačná aktivita).</w:t>
      </w:r>
    </w:p>
    <w:p w:rsidR="00422E10" w:rsidRPr="00422E10" w:rsidRDefault="00422E10" w:rsidP="00507035">
      <w:pPr>
        <w:spacing w:before="120" w:after="120" w:line="360" w:lineRule="auto"/>
        <w:jc w:val="both"/>
        <w:rPr>
          <w:rFonts w:ascii="Arial" w:hAnsi="Arial" w:cs="Arial"/>
          <w:sz w:val="20"/>
          <w:szCs w:val="20"/>
        </w:rPr>
      </w:pPr>
      <w:r w:rsidRPr="00422E10">
        <w:rPr>
          <w:rFonts w:ascii="Arial" w:hAnsi="Arial" w:cs="Arial"/>
          <w:sz w:val="20"/>
          <w:szCs w:val="20"/>
        </w:rPr>
        <w:t xml:space="preserve">Celkovo sa projektoví konzultanti REPIS v roku 2012 zúčastnili 16 konferencií regionálneho,  celoslovenského, ale aj medzinárodného charakteru, ktorých  sa zúčastnilo 1697 účastníkov. Na konferenciách bola  zabezpečená propagácia </w:t>
      </w:r>
      <w:r w:rsidR="000236A4">
        <w:rPr>
          <w:rFonts w:ascii="Arial" w:hAnsi="Arial" w:cs="Arial"/>
          <w:sz w:val="20"/>
          <w:szCs w:val="20"/>
        </w:rPr>
        <w:t>OP ŽP</w:t>
      </w:r>
      <w:r w:rsidRPr="00422E10">
        <w:rPr>
          <w:rFonts w:ascii="Arial" w:hAnsi="Arial" w:cs="Arial"/>
          <w:sz w:val="20"/>
          <w:szCs w:val="20"/>
        </w:rPr>
        <w:t xml:space="preserve"> so zameraním na jednotlivé prioritné osi, aktuálne informácie o pripravovaných podujatiach, stav implementácie </w:t>
      </w:r>
      <w:r w:rsidR="000236A4">
        <w:rPr>
          <w:rFonts w:ascii="Arial" w:hAnsi="Arial" w:cs="Arial"/>
          <w:sz w:val="20"/>
          <w:szCs w:val="20"/>
        </w:rPr>
        <w:t>OP ŽP</w:t>
      </w:r>
      <w:r w:rsidRPr="00422E10">
        <w:rPr>
          <w:rFonts w:ascii="Arial" w:hAnsi="Arial" w:cs="Arial"/>
          <w:sz w:val="20"/>
          <w:szCs w:val="20"/>
        </w:rPr>
        <w:t xml:space="preserve"> a pod.  Vybrané konferencie:</w:t>
      </w:r>
    </w:p>
    <w:p w:rsidR="00422E10" w:rsidRPr="00422E10" w:rsidRDefault="00422E10" w:rsidP="001540E7">
      <w:pPr>
        <w:numPr>
          <w:ilvl w:val="0"/>
          <w:numId w:val="53"/>
        </w:numPr>
        <w:spacing w:before="120" w:after="120" w:line="360" w:lineRule="auto"/>
        <w:jc w:val="both"/>
        <w:rPr>
          <w:rFonts w:ascii="Arial" w:hAnsi="Arial" w:cs="Arial"/>
          <w:sz w:val="20"/>
          <w:szCs w:val="20"/>
        </w:rPr>
      </w:pPr>
      <w:r>
        <w:rPr>
          <w:rFonts w:ascii="Arial" w:hAnsi="Arial" w:cs="Arial"/>
          <w:sz w:val="20"/>
          <w:szCs w:val="20"/>
        </w:rPr>
        <w:t xml:space="preserve"> </w:t>
      </w:r>
      <w:r w:rsidRPr="00422E10">
        <w:rPr>
          <w:rFonts w:ascii="Arial" w:hAnsi="Arial" w:cs="Arial"/>
          <w:sz w:val="20"/>
          <w:szCs w:val="20"/>
        </w:rPr>
        <w:t xml:space="preserve">Konferencia „Životné prostredie - problémy a možnosti riešenia“ Stará Lesná – 19.-21.3.2012 - prezentácia </w:t>
      </w:r>
      <w:r w:rsidR="000236A4">
        <w:rPr>
          <w:rFonts w:ascii="Arial" w:hAnsi="Arial" w:cs="Arial"/>
          <w:sz w:val="20"/>
          <w:szCs w:val="20"/>
        </w:rPr>
        <w:t>OP ŽP</w:t>
      </w:r>
      <w:r w:rsidRPr="00422E10">
        <w:rPr>
          <w:rFonts w:ascii="Arial" w:hAnsi="Arial" w:cs="Arial"/>
          <w:sz w:val="20"/>
          <w:szCs w:val="20"/>
        </w:rPr>
        <w:t xml:space="preserve"> a REPIS formou PP prezentácie,  rollwallov, distribúcia informačných materiálov</w:t>
      </w:r>
    </w:p>
    <w:p w:rsidR="00422E10" w:rsidRPr="00422E10" w:rsidRDefault="00422E10" w:rsidP="001540E7">
      <w:pPr>
        <w:numPr>
          <w:ilvl w:val="0"/>
          <w:numId w:val="53"/>
        </w:numPr>
        <w:spacing w:before="120" w:after="120" w:line="360" w:lineRule="auto"/>
        <w:jc w:val="both"/>
        <w:rPr>
          <w:rFonts w:ascii="Arial" w:hAnsi="Arial" w:cs="Arial"/>
          <w:sz w:val="20"/>
          <w:szCs w:val="20"/>
        </w:rPr>
      </w:pPr>
      <w:r>
        <w:rPr>
          <w:rFonts w:ascii="Arial" w:hAnsi="Arial" w:cs="Arial"/>
          <w:sz w:val="20"/>
          <w:szCs w:val="20"/>
        </w:rPr>
        <w:t xml:space="preserve"> </w:t>
      </w:r>
      <w:r w:rsidRPr="00422E10">
        <w:rPr>
          <w:rFonts w:ascii="Arial" w:hAnsi="Arial" w:cs="Arial"/>
          <w:sz w:val="20"/>
          <w:szCs w:val="20"/>
        </w:rPr>
        <w:t xml:space="preserve">Konferencia „Enviro-i-Fórum“  Zvolen 12.-13.6.2012 - prezentácia </w:t>
      </w:r>
      <w:r w:rsidR="000236A4">
        <w:rPr>
          <w:rFonts w:ascii="Arial" w:hAnsi="Arial" w:cs="Arial"/>
          <w:sz w:val="20"/>
          <w:szCs w:val="20"/>
        </w:rPr>
        <w:t>OP ŽP</w:t>
      </w:r>
      <w:r w:rsidRPr="00422E10">
        <w:rPr>
          <w:rFonts w:ascii="Arial" w:hAnsi="Arial" w:cs="Arial"/>
          <w:sz w:val="20"/>
          <w:szCs w:val="20"/>
        </w:rPr>
        <w:t xml:space="preserve"> formou rollwallov, distribúcia informačných materiálov</w:t>
      </w:r>
    </w:p>
    <w:p w:rsidR="00422E10" w:rsidRPr="00422E10" w:rsidRDefault="00422E10" w:rsidP="001540E7">
      <w:pPr>
        <w:numPr>
          <w:ilvl w:val="0"/>
          <w:numId w:val="53"/>
        </w:numPr>
        <w:spacing w:before="120" w:after="120" w:line="360" w:lineRule="auto"/>
        <w:jc w:val="both"/>
        <w:rPr>
          <w:rFonts w:ascii="Arial" w:hAnsi="Arial" w:cs="Arial"/>
          <w:sz w:val="20"/>
          <w:szCs w:val="20"/>
        </w:rPr>
      </w:pPr>
      <w:r>
        <w:rPr>
          <w:rFonts w:ascii="Arial" w:hAnsi="Arial" w:cs="Arial"/>
          <w:sz w:val="20"/>
          <w:szCs w:val="20"/>
        </w:rPr>
        <w:t xml:space="preserve"> </w:t>
      </w:r>
      <w:r w:rsidRPr="00422E10">
        <w:rPr>
          <w:rFonts w:ascii="Arial" w:hAnsi="Arial" w:cs="Arial"/>
          <w:sz w:val="20"/>
          <w:szCs w:val="20"/>
        </w:rPr>
        <w:t xml:space="preserve">Konferencia "Znečistené územia Bratislava 2012“ v Bratislave 20.- 21.6.2012 - prezentácia </w:t>
      </w:r>
      <w:r w:rsidR="000236A4">
        <w:rPr>
          <w:rFonts w:ascii="Arial" w:hAnsi="Arial" w:cs="Arial"/>
          <w:sz w:val="20"/>
          <w:szCs w:val="20"/>
        </w:rPr>
        <w:t>OP ŽP</w:t>
      </w:r>
      <w:r w:rsidRPr="00422E10">
        <w:rPr>
          <w:rFonts w:ascii="Arial" w:hAnsi="Arial" w:cs="Arial"/>
          <w:sz w:val="20"/>
          <w:szCs w:val="20"/>
        </w:rPr>
        <w:t xml:space="preserve"> a REPIS formou rollwallov, distribúcia informačných materiálov</w:t>
      </w:r>
    </w:p>
    <w:p w:rsidR="00422E10" w:rsidRPr="00422E10" w:rsidRDefault="00422E10" w:rsidP="001540E7">
      <w:pPr>
        <w:numPr>
          <w:ilvl w:val="0"/>
          <w:numId w:val="53"/>
        </w:numPr>
        <w:spacing w:before="120" w:after="120" w:line="360" w:lineRule="auto"/>
        <w:jc w:val="both"/>
        <w:rPr>
          <w:rFonts w:ascii="Arial" w:hAnsi="Arial" w:cs="Arial"/>
          <w:sz w:val="20"/>
          <w:szCs w:val="20"/>
        </w:rPr>
      </w:pPr>
      <w:r>
        <w:rPr>
          <w:rFonts w:ascii="Arial" w:hAnsi="Arial" w:cs="Arial"/>
          <w:sz w:val="20"/>
          <w:szCs w:val="20"/>
        </w:rPr>
        <w:t xml:space="preserve"> </w:t>
      </w:r>
      <w:r w:rsidRPr="00422E10">
        <w:rPr>
          <w:rFonts w:ascii="Arial" w:hAnsi="Arial" w:cs="Arial"/>
          <w:sz w:val="20"/>
          <w:szCs w:val="20"/>
        </w:rPr>
        <w:t xml:space="preserve">Konferencia "Samospráva a separovaný zber" (Sielnica 18.10.2012) prezentácia </w:t>
      </w:r>
      <w:r w:rsidR="000236A4">
        <w:rPr>
          <w:rFonts w:ascii="Arial" w:hAnsi="Arial" w:cs="Arial"/>
          <w:sz w:val="20"/>
          <w:szCs w:val="20"/>
        </w:rPr>
        <w:t>OP ŽP</w:t>
      </w:r>
      <w:r w:rsidRPr="00422E10">
        <w:rPr>
          <w:rFonts w:ascii="Arial" w:hAnsi="Arial" w:cs="Arial"/>
          <w:sz w:val="20"/>
          <w:szCs w:val="20"/>
        </w:rPr>
        <w:t xml:space="preserve"> a REPIS formou PP prezentácie,  rollwallov, distribúcia informačných materiálov</w:t>
      </w:r>
    </w:p>
    <w:p w:rsidR="00422E10" w:rsidRPr="00422E10" w:rsidRDefault="00422E10" w:rsidP="001540E7">
      <w:pPr>
        <w:numPr>
          <w:ilvl w:val="0"/>
          <w:numId w:val="53"/>
        </w:numPr>
        <w:spacing w:before="120" w:after="120" w:line="360" w:lineRule="auto"/>
        <w:jc w:val="both"/>
        <w:rPr>
          <w:rFonts w:ascii="Arial" w:hAnsi="Arial" w:cs="Arial"/>
          <w:sz w:val="20"/>
          <w:szCs w:val="20"/>
        </w:rPr>
      </w:pPr>
      <w:r>
        <w:rPr>
          <w:rFonts w:ascii="Arial" w:hAnsi="Arial" w:cs="Arial"/>
          <w:sz w:val="20"/>
          <w:szCs w:val="20"/>
        </w:rPr>
        <w:t xml:space="preserve"> </w:t>
      </w:r>
      <w:r w:rsidRPr="00422E10">
        <w:rPr>
          <w:rFonts w:ascii="Arial" w:hAnsi="Arial" w:cs="Arial"/>
          <w:sz w:val="20"/>
          <w:szCs w:val="20"/>
        </w:rPr>
        <w:t xml:space="preserve">Konferencia „Deň odpadového hospodárstva 2012“ (v Bratislave 15.11.2012) – prezentácia </w:t>
      </w:r>
      <w:r w:rsidR="000236A4">
        <w:rPr>
          <w:rFonts w:ascii="Arial" w:hAnsi="Arial" w:cs="Arial"/>
          <w:sz w:val="20"/>
          <w:szCs w:val="20"/>
        </w:rPr>
        <w:t>OP ŽP</w:t>
      </w:r>
      <w:r w:rsidRPr="00422E10">
        <w:rPr>
          <w:rFonts w:ascii="Arial" w:hAnsi="Arial" w:cs="Arial"/>
          <w:sz w:val="20"/>
          <w:szCs w:val="20"/>
        </w:rPr>
        <w:t xml:space="preserve"> formou rollwallov, distribúcie informačných materiálov a poskytovanie konzultácií</w:t>
      </w:r>
    </w:p>
    <w:p w:rsidR="00422E10" w:rsidRPr="00422E10" w:rsidRDefault="00422E10" w:rsidP="001540E7">
      <w:pPr>
        <w:numPr>
          <w:ilvl w:val="0"/>
          <w:numId w:val="53"/>
        </w:numPr>
        <w:spacing w:before="120" w:after="120" w:line="360" w:lineRule="auto"/>
        <w:jc w:val="both"/>
        <w:rPr>
          <w:rFonts w:ascii="Arial" w:hAnsi="Arial" w:cs="Arial"/>
          <w:sz w:val="20"/>
          <w:szCs w:val="20"/>
        </w:rPr>
      </w:pPr>
      <w:r>
        <w:rPr>
          <w:rFonts w:ascii="Arial" w:hAnsi="Arial" w:cs="Arial"/>
          <w:sz w:val="20"/>
          <w:szCs w:val="20"/>
        </w:rPr>
        <w:t xml:space="preserve"> </w:t>
      </w:r>
      <w:r w:rsidRPr="00422E10">
        <w:rPr>
          <w:rFonts w:ascii="Arial" w:hAnsi="Arial" w:cs="Arial"/>
          <w:sz w:val="20"/>
          <w:szCs w:val="20"/>
        </w:rPr>
        <w:t xml:space="preserve">medzinárodná  konferencia "Obnoviteľné zdroje energie: skúsenosti, prax a budúcnosť " v Užhorode 13. -14.12.2012 – prezentácia </w:t>
      </w:r>
      <w:r w:rsidR="000236A4">
        <w:rPr>
          <w:rFonts w:ascii="Arial" w:hAnsi="Arial" w:cs="Arial"/>
          <w:sz w:val="20"/>
          <w:szCs w:val="20"/>
        </w:rPr>
        <w:t>OP ŽP</w:t>
      </w:r>
      <w:r w:rsidRPr="00422E10">
        <w:rPr>
          <w:rFonts w:ascii="Arial" w:hAnsi="Arial" w:cs="Arial"/>
          <w:sz w:val="20"/>
          <w:szCs w:val="20"/>
        </w:rPr>
        <w:t xml:space="preserve"> a REPIS formou PP prezentácie,  distribúcia informačných materiálov</w:t>
      </w:r>
    </w:p>
    <w:p w:rsidR="002416B1" w:rsidRPr="004B33AE" w:rsidRDefault="00422E10" w:rsidP="00507035">
      <w:pPr>
        <w:spacing w:before="120" w:after="120" w:line="360" w:lineRule="auto"/>
        <w:jc w:val="both"/>
        <w:rPr>
          <w:rFonts w:ascii="Arial" w:hAnsi="Arial" w:cs="Arial"/>
          <w:sz w:val="20"/>
          <w:szCs w:val="20"/>
        </w:rPr>
      </w:pPr>
      <w:r w:rsidRPr="00422E10">
        <w:rPr>
          <w:rFonts w:ascii="Arial" w:hAnsi="Arial" w:cs="Arial"/>
          <w:sz w:val="20"/>
          <w:szCs w:val="20"/>
        </w:rPr>
        <w:t>CELKOM za konferencie: 17 konferencií,   1780 účastníkov</w:t>
      </w:r>
      <w:r w:rsidR="002416B1" w:rsidRPr="004B33AE">
        <w:rPr>
          <w:rFonts w:ascii="Arial" w:hAnsi="Arial" w:cs="Arial"/>
          <w:sz w:val="20"/>
          <w:szCs w:val="20"/>
        </w:rPr>
        <w:t xml:space="preserve"> </w:t>
      </w:r>
    </w:p>
    <w:p w:rsidR="002416B1" w:rsidRPr="004B33AE" w:rsidRDefault="002416B1" w:rsidP="00507035">
      <w:pPr>
        <w:spacing w:before="120" w:after="120" w:line="360" w:lineRule="auto"/>
        <w:jc w:val="both"/>
        <w:rPr>
          <w:rFonts w:ascii="Arial" w:hAnsi="Arial" w:cs="Arial"/>
          <w:i/>
          <w:sz w:val="20"/>
          <w:szCs w:val="20"/>
          <w:u w:val="single"/>
        </w:rPr>
      </w:pPr>
      <w:r w:rsidRPr="004B33AE">
        <w:rPr>
          <w:rFonts w:ascii="Arial" w:hAnsi="Arial" w:cs="Arial"/>
          <w:i/>
          <w:sz w:val="20"/>
          <w:szCs w:val="20"/>
          <w:u w:val="single"/>
        </w:rPr>
        <w:t>VEĽTRHY, VÝSTAVY, FESTIVALY</w:t>
      </w:r>
    </w:p>
    <w:p w:rsidR="00C66C2A" w:rsidRPr="00C66C2A" w:rsidRDefault="00C66C2A" w:rsidP="001540E7">
      <w:pPr>
        <w:numPr>
          <w:ilvl w:val="0"/>
          <w:numId w:val="54"/>
        </w:numPr>
        <w:spacing w:before="120" w:after="120" w:line="360" w:lineRule="auto"/>
        <w:jc w:val="both"/>
        <w:rPr>
          <w:rFonts w:ascii="Arial" w:hAnsi="Arial" w:cs="Arial"/>
          <w:sz w:val="20"/>
          <w:szCs w:val="20"/>
        </w:rPr>
      </w:pPr>
      <w:r>
        <w:rPr>
          <w:rFonts w:ascii="Arial" w:hAnsi="Arial" w:cs="Arial"/>
          <w:sz w:val="20"/>
          <w:szCs w:val="20"/>
        </w:rPr>
        <w:t xml:space="preserve"> </w:t>
      </w:r>
      <w:r w:rsidRPr="00C66C2A">
        <w:rPr>
          <w:rFonts w:ascii="Arial" w:hAnsi="Arial" w:cs="Arial"/>
          <w:sz w:val="20"/>
          <w:szCs w:val="20"/>
        </w:rPr>
        <w:t xml:space="preserve">Pracovníci REPIS sa v roku 2012 zúčastnili a zabezpečovali propagáciu </w:t>
      </w:r>
      <w:r w:rsidR="000236A4">
        <w:rPr>
          <w:rFonts w:ascii="Arial" w:hAnsi="Arial" w:cs="Arial"/>
          <w:sz w:val="20"/>
          <w:szCs w:val="20"/>
        </w:rPr>
        <w:t>OP ŽP</w:t>
      </w:r>
      <w:r w:rsidRPr="00C66C2A">
        <w:rPr>
          <w:rFonts w:ascii="Arial" w:hAnsi="Arial" w:cs="Arial"/>
          <w:sz w:val="20"/>
          <w:szCs w:val="20"/>
        </w:rPr>
        <w:t xml:space="preserve"> formou rollwallov, distribúcie informačných materiálov a poskytovaním konzultácií v stánku REPIS na výstave Agrokomplex 2012 (v Nitre 23.- 26.8.2012)</w:t>
      </w:r>
    </w:p>
    <w:p w:rsidR="00C66C2A" w:rsidRPr="00C66C2A" w:rsidRDefault="00C66C2A" w:rsidP="001540E7">
      <w:pPr>
        <w:numPr>
          <w:ilvl w:val="0"/>
          <w:numId w:val="54"/>
        </w:numPr>
        <w:spacing w:before="120" w:after="120" w:line="360" w:lineRule="auto"/>
        <w:jc w:val="both"/>
        <w:rPr>
          <w:rFonts w:ascii="Arial" w:hAnsi="Arial" w:cs="Arial"/>
          <w:sz w:val="20"/>
          <w:szCs w:val="20"/>
        </w:rPr>
      </w:pPr>
      <w:r>
        <w:rPr>
          <w:rFonts w:ascii="Arial" w:hAnsi="Arial" w:cs="Arial"/>
          <w:sz w:val="20"/>
          <w:szCs w:val="20"/>
        </w:rPr>
        <w:t xml:space="preserve"> </w:t>
      </w:r>
      <w:r w:rsidRPr="00C66C2A">
        <w:rPr>
          <w:rFonts w:ascii="Arial" w:hAnsi="Arial" w:cs="Arial"/>
          <w:sz w:val="20"/>
          <w:szCs w:val="20"/>
        </w:rPr>
        <w:t>V rámci vestibulu MŽP SR bola RO  zorganizovaná výstava úspešne realizovaného projektu „Propagácia chránených území a druhov NATURA 2000“ s názvom „Druhy Európskeho významu na Slovensku“  (december)</w:t>
      </w:r>
    </w:p>
    <w:p w:rsidR="00C66C2A" w:rsidRPr="00C66C2A" w:rsidRDefault="00C66C2A" w:rsidP="00507035">
      <w:pPr>
        <w:spacing w:before="120" w:after="120" w:line="360" w:lineRule="auto"/>
        <w:jc w:val="both"/>
        <w:rPr>
          <w:rFonts w:ascii="Arial" w:hAnsi="Arial" w:cs="Arial"/>
          <w:sz w:val="20"/>
          <w:szCs w:val="20"/>
        </w:rPr>
      </w:pPr>
      <w:r w:rsidRPr="00C66C2A">
        <w:rPr>
          <w:rFonts w:ascii="Arial" w:hAnsi="Arial" w:cs="Arial"/>
          <w:sz w:val="20"/>
          <w:szCs w:val="20"/>
        </w:rPr>
        <w:t xml:space="preserve">V spolupráci s OÚ ŽP, KÚ ŽP a VÚC bolo zorganizovaných niekoľko panelových výstav zameraných na informovanie o </w:t>
      </w:r>
      <w:r w:rsidR="000236A4">
        <w:rPr>
          <w:rFonts w:ascii="Arial" w:hAnsi="Arial" w:cs="Arial"/>
          <w:sz w:val="20"/>
          <w:szCs w:val="20"/>
        </w:rPr>
        <w:t>OP ŽP</w:t>
      </w:r>
      <w:r w:rsidRPr="00C66C2A">
        <w:rPr>
          <w:rFonts w:ascii="Arial" w:hAnsi="Arial" w:cs="Arial"/>
          <w:sz w:val="20"/>
          <w:szCs w:val="20"/>
        </w:rPr>
        <w:t xml:space="preserve"> a aktuálnych výzvach, vybranými sú napr.:  </w:t>
      </w:r>
    </w:p>
    <w:p w:rsidR="00C66C2A" w:rsidRPr="00C66C2A" w:rsidRDefault="00C66C2A" w:rsidP="001540E7">
      <w:pPr>
        <w:numPr>
          <w:ilvl w:val="0"/>
          <w:numId w:val="55"/>
        </w:numPr>
        <w:spacing w:before="120" w:after="120" w:line="360" w:lineRule="auto"/>
        <w:jc w:val="both"/>
        <w:rPr>
          <w:rFonts w:ascii="Arial" w:hAnsi="Arial" w:cs="Arial"/>
          <w:sz w:val="20"/>
          <w:szCs w:val="20"/>
        </w:rPr>
      </w:pPr>
      <w:r w:rsidRPr="00C66C2A">
        <w:rPr>
          <w:rFonts w:ascii="Arial" w:hAnsi="Arial" w:cs="Arial"/>
          <w:sz w:val="20"/>
          <w:szCs w:val="20"/>
        </w:rPr>
        <w:t xml:space="preserve">Panelová výstava a umiestnenie informačných materiálov o </w:t>
      </w:r>
      <w:r w:rsidR="000236A4">
        <w:rPr>
          <w:rFonts w:ascii="Arial" w:hAnsi="Arial" w:cs="Arial"/>
          <w:sz w:val="20"/>
          <w:szCs w:val="20"/>
        </w:rPr>
        <w:t>OP ŽP</w:t>
      </w:r>
      <w:r w:rsidRPr="00C66C2A">
        <w:rPr>
          <w:rFonts w:ascii="Arial" w:hAnsi="Arial" w:cs="Arial"/>
          <w:sz w:val="20"/>
          <w:szCs w:val="20"/>
        </w:rPr>
        <w:t xml:space="preserve"> a REPIS v priestoroch Krajského  úradu a obvodných úradov životného prostredia v regiónoch Považská Bystrica, Žilina</w:t>
      </w:r>
    </w:p>
    <w:p w:rsidR="00C66C2A" w:rsidRPr="00C66C2A" w:rsidRDefault="00C66C2A" w:rsidP="001540E7">
      <w:pPr>
        <w:numPr>
          <w:ilvl w:val="0"/>
          <w:numId w:val="55"/>
        </w:numPr>
        <w:spacing w:before="120" w:after="120" w:line="360" w:lineRule="auto"/>
        <w:jc w:val="both"/>
        <w:rPr>
          <w:rFonts w:ascii="Arial" w:hAnsi="Arial" w:cs="Arial"/>
          <w:sz w:val="20"/>
          <w:szCs w:val="20"/>
        </w:rPr>
      </w:pPr>
      <w:r w:rsidRPr="00C66C2A">
        <w:rPr>
          <w:rFonts w:ascii="Arial" w:hAnsi="Arial" w:cs="Arial"/>
          <w:sz w:val="20"/>
          <w:szCs w:val="20"/>
        </w:rPr>
        <w:t>Stála panelová výstava - aktualizácia informácií – OÚ ŽP Prievidza</w:t>
      </w:r>
    </w:p>
    <w:p w:rsidR="00C66C2A" w:rsidRPr="00C66C2A" w:rsidRDefault="00C66C2A" w:rsidP="001540E7">
      <w:pPr>
        <w:numPr>
          <w:ilvl w:val="0"/>
          <w:numId w:val="55"/>
        </w:numPr>
        <w:spacing w:before="120" w:after="120" w:line="360" w:lineRule="auto"/>
        <w:jc w:val="both"/>
        <w:rPr>
          <w:rFonts w:ascii="Arial" w:hAnsi="Arial" w:cs="Arial"/>
          <w:sz w:val="20"/>
          <w:szCs w:val="20"/>
        </w:rPr>
      </w:pPr>
      <w:r w:rsidRPr="00C66C2A">
        <w:rPr>
          <w:rFonts w:ascii="Arial" w:hAnsi="Arial" w:cs="Arial"/>
          <w:sz w:val="20"/>
          <w:szCs w:val="20"/>
        </w:rPr>
        <w:t>Stále panelové výstavy - aktualizácia informácií a dopĺňanie propagačných letákov v priestoroch OU ŽP Nitra, Zlaté Moravce, Nové Zámky, Trnava, Galanta a iné.</w:t>
      </w:r>
    </w:p>
    <w:p w:rsidR="00C66C2A" w:rsidRPr="00C66C2A" w:rsidRDefault="00C66C2A" w:rsidP="001540E7">
      <w:pPr>
        <w:numPr>
          <w:ilvl w:val="0"/>
          <w:numId w:val="55"/>
        </w:numPr>
        <w:spacing w:before="120" w:after="120" w:line="360" w:lineRule="auto"/>
        <w:jc w:val="both"/>
        <w:rPr>
          <w:rFonts w:ascii="Arial" w:hAnsi="Arial" w:cs="Arial"/>
          <w:sz w:val="20"/>
          <w:szCs w:val="20"/>
        </w:rPr>
      </w:pPr>
      <w:r w:rsidRPr="00C66C2A">
        <w:rPr>
          <w:rFonts w:ascii="Arial" w:hAnsi="Arial" w:cs="Arial"/>
          <w:sz w:val="20"/>
          <w:szCs w:val="20"/>
        </w:rPr>
        <w:t>Stále panelové výstavy - aktualizácia informácií a dopĺňanie propagačných letákov v priestoroch OU ŽP Kežmarok, Poprad, Košice, Lučenec  a iné.</w:t>
      </w:r>
    </w:p>
    <w:p w:rsidR="000A02D3" w:rsidRDefault="000A02D3">
      <w:pPr>
        <w:rPr>
          <w:rFonts w:ascii="Arial" w:hAnsi="Arial" w:cs="Arial"/>
          <w:sz w:val="20"/>
          <w:szCs w:val="20"/>
        </w:rPr>
      </w:pPr>
      <w:r>
        <w:rPr>
          <w:rFonts w:ascii="Arial" w:hAnsi="Arial" w:cs="Arial"/>
          <w:sz w:val="20"/>
          <w:szCs w:val="20"/>
        </w:rPr>
        <w:br w:type="page"/>
      </w:r>
    </w:p>
    <w:p w:rsidR="00C66C2A" w:rsidRPr="00C66C2A" w:rsidRDefault="00C66C2A" w:rsidP="00507035">
      <w:pPr>
        <w:spacing w:before="120" w:after="120" w:line="360" w:lineRule="auto"/>
        <w:jc w:val="both"/>
        <w:rPr>
          <w:rFonts w:ascii="Arial" w:hAnsi="Arial" w:cs="Arial"/>
          <w:sz w:val="20"/>
          <w:szCs w:val="20"/>
        </w:rPr>
      </w:pPr>
      <w:r w:rsidRPr="00C66C2A">
        <w:rPr>
          <w:rFonts w:ascii="Arial" w:hAnsi="Arial" w:cs="Arial"/>
          <w:sz w:val="20"/>
          <w:szCs w:val="20"/>
        </w:rPr>
        <w:t xml:space="preserve">V rámci výstav, festivalov a propagačných podujatí pracovníci REPIS propagovali </w:t>
      </w:r>
      <w:r w:rsidR="000236A4">
        <w:rPr>
          <w:rFonts w:ascii="Arial" w:hAnsi="Arial" w:cs="Arial"/>
          <w:sz w:val="20"/>
          <w:szCs w:val="20"/>
        </w:rPr>
        <w:t>OP ŽP</w:t>
      </w:r>
      <w:r w:rsidRPr="00C66C2A">
        <w:rPr>
          <w:rFonts w:ascii="Arial" w:hAnsi="Arial" w:cs="Arial"/>
          <w:sz w:val="20"/>
          <w:szCs w:val="20"/>
        </w:rPr>
        <w:t xml:space="preserve">   </w:t>
      </w:r>
    </w:p>
    <w:p w:rsidR="00C66C2A" w:rsidRPr="00C66C2A" w:rsidRDefault="00C66C2A" w:rsidP="00507035">
      <w:pPr>
        <w:spacing w:before="120" w:after="120" w:line="360" w:lineRule="auto"/>
        <w:jc w:val="both"/>
        <w:rPr>
          <w:rFonts w:ascii="Arial" w:hAnsi="Arial" w:cs="Arial"/>
          <w:sz w:val="20"/>
          <w:szCs w:val="20"/>
        </w:rPr>
      </w:pPr>
      <w:r w:rsidRPr="00C66C2A">
        <w:rPr>
          <w:rFonts w:ascii="Arial" w:hAnsi="Arial" w:cs="Arial"/>
          <w:sz w:val="20"/>
          <w:szCs w:val="20"/>
        </w:rPr>
        <w:t xml:space="preserve"> napr. :</w:t>
      </w:r>
    </w:p>
    <w:p w:rsidR="00C66C2A" w:rsidRPr="00C66C2A" w:rsidRDefault="00C66C2A" w:rsidP="001540E7">
      <w:pPr>
        <w:numPr>
          <w:ilvl w:val="0"/>
          <w:numId w:val="56"/>
        </w:numPr>
        <w:spacing w:before="120" w:after="120" w:line="360" w:lineRule="auto"/>
        <w:jc w:val="both"/>
        <w:rPr>
          <w:rFonts w:ascii="Arial" w:hAnsi="Arial" w:cs="Arial"/>
          <w:sz w:val="20"/>
          <w:szCs w:val="20"/>
        </w:rPr>
      </w:pPr>
      <w:r w:rsidRPr="00C66C2A">
        <w:rPr>
          <w:rFonts w:ascii="Arial" w:hAnsi="Arial" w:cs="Arial"/>
          <w:sz w:val="20"/>
          <w:szCs w:val="20"/>
        </w:rPr>
        <w:t xml:space="preserve">Prezentácia </w:t>
      </w:r>
      <w:r w:rsidR="000236A4">
        <w:rPr>
          <w:rFonts w:ascii="Arial" w:hAnsi="Arial" w:cs="Arial"/>
          <w:sz w:val="20"/>
          <w:szCs w:val="20"/>
        </w:rPr>
        <w:t>OP ŽP</w:t>
      </w:r>
      <w:r w:rsidRPr="00C66C2A">
        <w:rPr>
          <w:rFonts w:ascii="Arial" w:hAnsi="Arial" w:cs="Arial"/>
          <w:sz w:val="20"/>
          <w:szCs w:val="20"/>
        </w:rPr>
        <w:t xml:space="preserve"> a REPIS formou rollwallov, propagačnej steny a informačných materiálov na festivale ENVIROFILM v Banskej Bystrici (16-18.5.2012) </w:t>
      </w:r>
    </w:p>
    <w:p w:rsidR="00C66C2A" w:rsidRPr="00C66C2A" w:rsidRDefault="00C66C2A" w:rsidP="001540E7">
      <w:pPr>
        <w:numPr>
          <w:ilvl w:val="0"/>
          <w:numId w:val="56"/>
        </w:numPr>
        <w:spacing w:before="120" w:after="120" w:line="360" w:lineRule="auto"/>
        <w:jc w:val="both"/>
        <w:rPr>
          <w:rFonts w:ascii="Arial" w:hAnsi="Arial" w:cs="Arial"/>
          <w:sz w:val="20"/>
          <w:szCs w:val="20"/>
        </w:rPr>
      </w:pPr>
      <w:r w:rsidRPr="00C66C2A">
        <w:rPr>
          <w:rFonts w:ascii="Arial" w:hAnsi="Arial" w:cs="Arial"/>
          <w:sz w:val="20"/>
          <w:szCs w:val="20"/>
        </w:rPr>
        <w:t xml:space="preserve">Informačný stánok </w:t>
      </w:r>
      <w:r w:rsidR="000236A4">
        <w:rPr>
          <w:rFonts w:ascii="Arial" w:hAnsi="Arial" w:cs="Arial"/>
          <w:sz w:val="20"/>
          <w:szCs w:val="20"/>
        </w:rPr>
        <w:t>OP ŽP</w:t>
      </w:r>
      <w:r w:rsidRPr="00C66C2A">
        <w:rPr>
          <w:rFonts w:ascii="Arial" w:hAnsi="Arial" w:cs="Arial"/>
          <w:sz w:val="20"/>
          <w:szCs w:val="20"/>
        </w:rPr>
        <w:t xml:space="preserve"> a REPIS na podujatí „Deň Zeme“ - podujatie pre verejnosť organizované OUŽP Považská Bystrica   (24.4.2012)</w:t>
      </w:r>
    </w:p>
    <w:p w:rsidR="00C66C2A" w:rsidRPr="00C66C2A" w:rsidRDefault="00C66C2A" w:rsidP="001540E7">
      <w:pPr>
        <w:numPr>
          <w:ilvl w:val="0"/>
          <w:numId w:val="56"/>
        </w:numPr>
        <w:spacing w:before="120" w:after="120" w:line="360" w:lineRule="auto"/>
        <w:jc w:val="both"/>
        <w:rPr>
          <w:rFonts w:ascii="Arial" w:hAnsi="Arial" w:cs="Arial"/>
          <w:sz w:val="20"/>
          <w:szCs w:val="20"/>
        </w:rPr>
      </w:pPr>
      <w:r w:rsidRPr="00C66C2A">
        <w:rPr>
          <w:rFonts w:ascii="Arial" w:hAnsi="Arial" w:cs="Arial"/>
          <w:sz w:val="20"/>
          <w:szCs w:val="20"/>
        </w:rPr>
        <w:t xml:space="preserve">Informačný stánok </w:t>
      </w:r>
      <w:r w:rsidR="000236A4">
        <w:rPr>
          <w:rFonts w:ascii="Arial" w:hAnsi="Arial" w:cs="Arial"/>
          <w:sz w:val="20"/>
          <w:szCs w:val="20"/>
        </w:rPr>
        <w:t>OP ŽP</w:t>
      </w:r>
      <w:r w:rsidRPr="00C66C2A">
        <w:rPr>
          <w:rFonts w:ascii="Arial" w:hAnsi="Arial" w:cs="Arial"/>
          <w:sz w:val="20"/>
          <w:szCs w:val="20"/>
        </w:rPr>
        <w:t xml:space="preserve"> – na podujatí organizovanom pri príležitosti Svetového dňa biodiverzity, Dňa Karpatských parkov a Európskeho dňa parkov ako úvodné podujatie 4. ročníka týždňa Novohrad – Nógrad geoparku v rámci iniciatívy Týždňa európskych geoparkov  - organizátor Správa CHKO Cerová vrchovina R. Sobota (19.5.2012)</w:t>
      </w:r>
    </w:p>
    <w:p w:rsidR="00C66C2A" w:rsidRPr="00C66C2A" w:rsidRDefault="00C66C2A" w:rsidP="001540E7">
      <w:pPr>
        <w:numPr>
          <w:ilvl w:val="0"/>
          <w:numId w:val="56"/>
        </w:numPr>
        <w:spacing w:before="120" w:after="120" w:line="360" w:lineRule="auto"/>
        <w:jc w:val="both"/>
        <w:rPr>
          <w:rFonts w:ascii="Arial" w:hAnsi="Arial" w:cs="Arial"/>
          <w:sz w:val="20"/>
          <w:szCs w:val="20"/>
        </w:rPr>
      </w:pPr>
      <w:r w:rsidRPr="00C66C2A">
        <w:rPr>
          <w:rFonts w:ascii="Arial" w:hAnsi="Arial" w:cs="Arial"/>
          <w:sz w:val="20"/>
          <w:szCs w:val="20"/>
        </w:rPr>
        <w:t xml:space="preserve">Propagácia </w:t>
      </w:r>
      <w:r w:rsidR="000236A4">
        <w:rPr>
          <w:rFonts w:ascii="Arial" w:hAnsi="Arial" w:cs="Arial"/>
          <w:sz w:val="20"/>
          <w:szCs w:val="20"/>
        </w:rPr>
        <w:t>OP ŽP</w:t>
      </w:r>
      <w:r w:rsidRPr="00C66C2A">
        <w:rPr>
          <w:rFonts w:ascii="Arial" w:hAnsi="Arial" w:cs="Arial"/>
          <w:sz w:val="20"/>
          <w:szCs w:val="20"/>
        </w:rPr>
        <w:t xml:space="preserve"> a REPIS formou rollwallov a distribúcia informačných materiálov na zasadnutí RADY ZMOS v Bratislave (17.10.2012)</w:t>
      </w:r>
    </w:p>
    <w:p w:rsidR="00C66C2A" w:rsidRPr="00C66C2A" w:rsidRDefault="00C66C2A" w:rsidP="001540E7">
      <w:pPr>
        <w:numPr>
          <w:ilvl w:val="0"/>
          <w:numId w:val="56"/>
        </w:numPr>
        <w:spacing w:before="120" w:after="120" w:line="360" w:lineRule="auto"/>
        <w:jc w:val="both"/>
        <w:rPr>
          <w:rFonts w:ascii="Arial" w:hAnsi="Arial" w:cs="Arial"/>
          <w:sz w:val="20"/>
          <w:szCs w:val="20"/>
        </w:rPr>
      </w:pPr>
      <w:r w:rsidRPr="00C66C2A">
        <w:rPr>
          <w:rFonts w:ascii="Arial" w:hAnsi="Arial" w:cs="Arial"/>
          <w:sz w:val="20"/>
          <w:szCs w:val="20"/>
        </w:rPr>
        <w:t xml:space="preserve">Propagácia </w:t>
      </w:r>
      <w:r w:rsidR="000236A4">
        <w:rPr>
          <w:rFonts w:ascii="Arial" w:hAnsi="Arial" w:cs="Arial"/>
          <w:sz w:val="20"/>
          <w:szCs w:val="20"/>
        </w:rPr>
        <w:t>OP ŽP</w:t>
      </w:r>
      <w:r w:rsidRPr="00C66C2A">
        <w:rPr>
          <w:rFonts w:ascii="Arial" w:hAnsi="Arial" w:cs="Arial"/>
          <w:sz w:val="20"/>
          <w:szCs w:val="20"/>
        </w:rPr>
        <w:t xml:space="preserve"> a REPIS formou rollwallov, distribúcia  informačných a propagačných materiálov  týkajúcich sa </w:t>
      </w:r>
      <w:r w:rsidR="000236A4">
        <w:rPr>
          <w:rFonts w:ascii="Arial" w:hAnsi="Arial" w:cs="Arial"/>
          <w:sz w:val="20"/>
          <w:szCs w:val="20"/>
        </w:rPr>
        <w:t>OP ŽP</w:t>
      </w:r>
      <w:r w:rsidRPr="00C66C2A">
        <w:rPr>
          <w:rFonts w:ascii="Arial" w:hAnsi="Arial" w:cs="Arial"/>
          <w:sz w:val="20"/>
          <w:szCs w:val="20"/>
        </w:rPr>
        <w:t>, REPIS a SAŽP, aktívna osobná informačno-konzultačná  činnosť vo výstavno- propagačnom stánku s účastníkmi podujatia Deň otvorených dverí Prešovského samosprávneho kraja: téma „Environmentálne projekty – možnosti pre samosprávu.“ V Prešove (24.10.2012)</w:t>
      </w:r>
    </w:p>
    <w:p w:rsidR="00C66C2A" w:rsidRPr="00C66C2A" w:rsidRDefault="00C66C2A" w:rsidP="001540E7">
      <w:pPr>
        <w:numPr>
          <w:ilvl w:val="0"/>
          <w:numId w:val="56"/>
        </w:numPr>
        <w:spacing w:before="120" w:after="120" w:line="360" w:lineRule="auto"/>
        <w:jc w:val="both"/>
        <w:rPr>
          <w:rFonts w:ascii="Arial" w:hAnsi="Arial" w:cs="Arial"/>
          <w:sz w:val="20"/>
          <w:szCs w:val="20"/>
        </w:rPr>
      </w:pPr>
      <w:r w:rsidRPr="00C66C2A">
        <w:rPr>
          <w:rFonts w:ascii="Arial" w:hAnsi="Arial" w:cs="Arial"/>
          <w:sz w:val="20"/>
          <w:szCs w:val="20"/>
        </w:rPr>
        <w:t xml:space="preserve">Prezentácia </w:t>
      </w:r>
      <w:r w:rsidR="000236A4">
        <w:rPr>
          <w:rFonts w:ascii="Arial" w:hAnsi="Arial" w:cs="Arial"/>
          <w:sz w:val="20"/>
          <w:szCs w:val="20"/>
        </w:rPr>
        <w:t>OP ŽP</w:t>
      </w:r>
      <w:r w:rsidRPr="00C66C2A">
        <w:rPr>
          <w:rFonts w:ascii="Arial" w:hAnsi="Arial" w:cs="Arial"/>
          <w:sz w:val="20"/>
          <w:szCs w:val="20"/>
        </w:rPr>
        <w:t xml:space="preserve"> a REPIS formou rollwallov a distribúcie informačných materiálov o </w:t>
      </w:r>
      <w:r w:rsidR="000236A4">
        <w:rPr>
          <w:rFonts w:ascii="Arial" w:hAnsi="Arial" w:cs="Arial"/>
          <w:sz w:val="20"/>
          <w:szCs w:val="20"/>
        </w:rPr>
        <w:t>OP ŽP</w:t>
      </w:r>
      <w:r w:rsidRPr="00C66C2A">
        <w:rPr>
          <w:rFonts w:ascii="Arial" w:hAnsi="Arial" w:cs="Arial"/>
          <w:sz w:val="20"/>
          <w:szCs w:val="20"/>
        </w:rPr>
        <w:t xml:space="preserve"> a REPIS na 1. medzinárodnej konferencií s názvom „Zelené podnikanie na Slovensku“. Organizované SAŽP a ECO friendly hotelom DHÁLIA Košice (25.10.2012)</w:t>
      </w:r>
    </w:p>
    <w:p w:rsidR="00C66C2A" w:rsidRPr="00C66C2A" w:rsidRDefault="00C66C2A" w:rsidP="001540E7">
      <w:pPr>
        <w:numPr>
          <w:ilvl w:val="0"/>
          <w:numId w:val="56"/>
        </w:numPr>
        <w:spacing w:before="120" w:after="120" w:line="360" w:lineRule="auto"/>
        <w:jc w:val="both"/>
        <w:rPr>
          <w:rFonts w:ascii="Arial" w:hAnsi="Arial" w:cs="Arial"/>
          <w:sz w:val="20"/>
          <w:szCs w:val="20"/>
        </w:rPr>
      </w:pPr>
      <w:r w:rsidRPr="00C66C2A">
        <w:rPr>
          <w:rFonts w:ascii="Arial" w:hAnsi="Arial" w:cs="Arial"/>
          <w:sz w:val="20"/>
          <w:szCs w:val="20"/>
        </w:rPr>
        <w:t xml:space="preserve">Propagácia </w:t>
      </w:r>
      <w:r w:rsidR="000236A4">
        <w:rPr>
          <w:rFonts w:ascii="Arial" w:hAnsi="Arial" w:cs="Arial"/>
          <w:sz w:val="20"/>
          <w:szCs w:val="20"/>
        </w:rPr>
        <w:t>OP ŽP</w:t>
      </w:r>
      <w:r w:rsidRPr="00C66C2A">
        <w:rPr>
          <w:rFonts w:ascii="Arial" w:hAnsi="Arial" w:cs="Arial"/>
          <w:sz w:val="20"/>
          <w:szCs w:val="20"/>
        </w:rPr>
        <w:t xml:space="preserve"> a REPIS formou rollwallov, distribúcia informačných a propagačných materiálov týkajúcich sa </w:t>
      </w:r>
      <w:r w:rsidR="000236A4">
        <w:rPr>
          <w:rFonts w:ascii="Arial" w:hAnsi="Arial" w:cs="Arial"/>
          <w:sz w:val="20"/>
          <w:szCs w:val="20"/>
        </w:rPr>
        <w:t>OP ŽP</w:t>
      </w:r>
      <w:r w:rsidRPr="00C66C2A">
        <w:rPr>
          <w:rFonts w:ascii="Arial" w:hAnsi="Arial" w:cs="Arial"/>
          <w:sz w:val="20"/>
          <w:szCs w:val="20"/>
        </w:rPr>
        <w:t>, REPIS a aktívna osobná informačno-konzultačná činnosť v stánku na medzinárodnej konferencii s názvom „Odpad ako surovina“. Organizované KOSIT a.s Košice (18.10.2012)</w:t>
      </w:r>
    </w:p>
    <w:p w:rsidR="00C66C2A" w:rsidRPr="00C66C2A" w:rsidRDefault="00C66C2A" w:rsidP="001540E7">
      <w:pPr>
        <w:numPr>
          <w:ilvl w:val="0"/>
          <w:numId w:val="56"/>
        </w:numPr>
        <w:spacing w:before="120" w:after="120" w:line="360" w:lineRule="auto"/>
        <w:jc w:val="both"/>
        <w:rPr>
          <w:rFonts w:ascii="Arial" w:hAnsi="Arial" w:cs="Arial"/>
          <w:sz w:val="20"/>
          <w:szCs w:val="20"/>
        </w:rPr>
      </w:pPr>
      <w:r w:rsidRPr="00C66C2A">
        <w:rPr>
          <w:rFonts w:ascii="Arial" w:hAnsi="Arial" w:cs="Arial"/>
          <w:sz w:val="20"/>
          <w:szCs w:val="20"/>
        </w:rPr>
        <w:t xml:space="preserve">Propagácia </w:t>
      </w:r>
      <w:r w:rsidR="000236A4">
        <w:rPr>
          <w:rFonts w:ascii="Arial" w:hAnsi="Arial" w:cs="Arial"/>
          <w:sz w:val="20"/>
          <w:szCs w:val="20"/>
        </w:rPr>
        <w:t>OP ŽP</w:t>
      </w:r>
      <w:r w:rsidRPr="00C66C2A">
        <w:rPr>
          <w:rFonts w:ascii="Arial" w:hAnsi="Arial" w:cs="Arial"/>
          <w:sz w:val="20"/>
          <w:szCs w:val="20"/>
        </w:rPr>
        <w:t xml:space="preserve"> a  REPIS na záverečnej konferencii projektu „Bioenergia Karpát“ a medzinárodnej výstave s názvom: „Alternatívna energetika a energetické úspory“, v Užhorode.  formou distribúcie informačných a propagačných materiálov a aktívnej účasti formou prezentácie </w:t>
      </w:r>
      <w:r w:rsidR="000236A4">
        <w:rPr>
          <w:rFonts w:ascii="Arial" w:hAnsi="Arial" w:cs="Arial"/>
          <w:sz w:val="20"/>
          <w:szCs w:val="20"/>
        </w:rPr>
        <w:t>OP ŽP</w:t>
      </w:r>
      <w:r w:rsidRPr="00C66C2A">
        <w:rPr>
          <w:rFonts w:ascii="Arial" w:hAnsi="Arial" w:cs="Arial"/>
          <w:sz w:val="20"/>
          <w:szCs w:val="20"/>
        </w:rPr>
        <w:t xml:space="preserve"> so zameraním na prioritnú os 3 Ochrana ovzdušia a príkladov úspešne ralizovaných projektov v rámci tejto prioritnej osi. (13. – 14.12.2013)</w:t>
      </w:r>
    </w:p>
    <w:p w:rsidR="002416B1" w:rsidRPr="004B33AE" w:rsidRDefault="00C66C2A" w:rsidP="00507035">
      <w:pPr>
        <w:spacing w:before="120" w:after="120" w:line="360" w:lineRule="auto"/>
        <w:jc w:val="both"/>
        <w:rPr>
          <w:rFonts w:ascii="Arial" w:hAnsi="Arial" w:cs="Arial"/>
          <w:sz w:val="20"/>
          <w:szCs w:val="20"/>
        </w:rPr>
      </w:pPr>
      <w:r w:rsidRPr="00C66C2A">
        <w:rPr>
          <w:rFonts w:ascii="Arial" w:hAnsi="Arial" w:cs="Arial"/>
          <w:sz w:val="20"/>
          <w:szCs w:val="20"/>
        </w:rPr>
        <w:t>CELKOM:  46  výstav, festivalov a propagačných podujatí</w:t>
      </w:r>
    </w:p>
    <w:p w:rsidR="000A02D3" w:rsidRDefault="000A02D3">
      <w:pPr>
        <w:rPr>
          <w:rFonts w:ascii="Arial" w:hAnsi="Arial" w:cs="Arial"/>
          <w:i/>
          <w:sz w:val="20"/>
          <w:szCs w:val="20"/>
          <w:u w:val="single"/>
        </w:rPr>
      </w:pPr>
      <w:r>
        <w:rPr>
          <w:rFonts w:ascii="Arial" w:hAnsi="Arial" w:cs="Arial"/>
          <w:i/>
          <w:sz w:val="20"/>
          <w:szCs w:val="20"/>
          <w:u w:val="single"/>
        </w:rPr>
        <w:br w:type="page"/>
      </w:r>
    </w:p>
    <w:p w:rsidR="002416B1" w:rsidRPr="004B33AE" w:rsidRDefault="002416B1" w:rsidP="00507035">
      <w:pPr>
        <w:spacing w:before="120" w:after="120" w:line="360" w:lineRule="auto"/>
        <w:jc w:val="both"/>
        <w:rPr>
          <w:rFonts w:ascii="Arial" w:hAnsi="Arial" w:cs="Arial"/>
          <w:i/>
          <w:sz w:val="20"/>
          <w:szCs w:val="20"/>
          <w:u w:val="single"/>
        </w:rPr>
      </w:pPr>
      <w:r w:rsidRPr="004B33AE">
        <w:rPr>
          <w:rFonts w:ascii="Arial" w:hAnsi="Arial" w:cs="Arial"/>
          <w:i/>
          <w:sz w:val="20"/>
          <w:szCs w:val="20"/>
          <w:u w:val="single"/>
        </w:rPr>
        <w:t>SEMINÁRE, ŠKOLENIA a OSTATNÉ AKCIE:</w:t>
      </w:r>
    </w:p>
    <w:p w:rsidR="00C66C2A" w:rsidRPr="0039268C" w:rsidRDefault="00C66C2A" w:rsidP="00507035">
      <w:pPr>
        <w:spacing w:before="120" w:after="120" w:line="360" w:lineRule="auto"/>
        <w:jc w:val="both"/>
        <w:rPr>
          <w:rFonts w:ascii="Arial" w:hAnsi="Arial" w:cs="Arial"/>
          <w:sz w:val="20"/>
          <w:szCs w:val="20"/>
        </w:rPr>
      </w:pPr>
      <w:r w:rsidRPr="0039268C">
        <w:rPr>
          <w:rFonts w:ascii="Arial" w:hAnsi="Arial" w:cs="Arial"/>
          <w:sz w:val="20"/>
          <w:szCs w:val="20"/>
        </w:rPr>
        <w:t>Pracovníci  siete REPIS v roku 2012 zorganizovali alebo participovali pri organizácii rôznych vzdelávacích aktivít, ktorých cieľom bolo zvyšovanie odborných vedomostí a praktických zručností účastníkov:</w:t>
      </w:r>
    </w:p>
    <w:p w:rsidR="00C66C2A" w:rsidRPr="0039268C" w:rsidRDefault="00C66C2A" w:rsidP="001540E7">
      <w:pPr>
        <w:numPr>
          <w:ilvl w:val="0"/>
          <w:numId w:val="57"/>
        </w:numPr>
        <w:spacing w:before="120" w:after="120" w:line="360" w:lineRule="auto"/>
        <w:jc w:val="both"/>
        <w:rPr>
          <w:rFonts w:ascii="Arial" w:hAnsi="Arial" w:cs="Arial"/>
          <w:sz w:val="20"/>
          <w:szCs w:val="20"/>
        </w:rPr>
      </w:pPr>
      <w:r w:rsidRPr="0039268C">
        <w:rPr>
          <w:rFonts w:ascii="Arial" w:hAnsi="Arial" w:cs="Arial"/>
          <w:sz w:val="20"/>
          <w:szCs w:val="20"/>
        </w:rPr>
        <w:t xml:space="preserve">Kancelárie REPIS zorganizovali v roku 2012  </w:t>
      </w:r>
      <w:r w:rsidRPr="0039268C">
        <w:rPr>
          <w:rFonts w:ascii="Arial" w:hAnsi="Arial" w:cs="Arial"/>
          <w:b/>
          <w:sz w:val="20"/>
          <w:szCs w:val="20"/>
        </w:rPr>
        <w:t>3 workshopy</w:t>
      </w:r>
      <w:r w:rsidRPr="0039268C">
        <w:rPr>
          <w:rFonts w:ascii="Arial" w:hAnsi="Arial" w:cs="Arial"/>
          <w:sz w:val="20"/>
          <w:szCs w:val="20"/>
        </w:rPr>
        <w:t xml:space="preserve"> </w:t>
      </w:r>
      <w:r w:rsidRPr="0039268C">
        <w:rPr>
          <w:rFonts w:ascii="Arial" w:hAnsi="Arial" w:cs="Arial"/>
          <w:b/>
          <w:bCs/>
          <w:sz w:val="20"/>
          <w:szCs w:val="20"/>
        </w:rPr>
        <w:t>(16.1., 13.3., 15.3.2012)</w:t>
      </w:r>
      <w:r w:rsidRPr="0039268C">
        <w:rPr>
          <w:rFonts w:ascii="Arial" w:hAnsi="Arial" w:cs="Arial"/>
          <w:sz w:val="20"/>
          <w:szCs w:val="20"/>
        </w:rPr>
        <w:t xml:space="preserve"> zamerané na písanie projektov k aktuálnym výzvam, ktorých sa zúčastnilo </w:t>
      </w:r>
      <w:r w:rsidRPr="0039268C">
        <w:rPr>
          <w:rFonts w:ascii="Arial" w:hAnsi="Arial" w:cs="Arial"/>
          <w:b/>
          <w:sz w:val="20"/>
          <w:szCs w:val="20"/>
        </w:rPr>
        <w:t xml:space="preserve">29 pisateľov projektov. </w:t>
      </w:r>
    </w:p>
    <w:p w:rsidR="00C66C2A" w:rsidRPr="0039268C" w:rsidRDefault="00C66C2A" w:rsidP="001540E7">
      <w:pPr>
        <w:numPr>
          <w:ilvl w:val="0"/>
          <w:numId w:val="57"/>
        </w:numPr>
        <w:spacing w:before="120" w:after="120" w:line="360" w:lineRule="auto"/>
        <w:ind w:left="714" w:hanging="357"/>
        <w:jc w:val="both"/>
        <w:rPr>
          <w:rFonts w:ascii="Arial" w:hAnsi="Arial" w:cs="Arial"/>
          <w:sz w:val="20"/>
          <w:szCs w:val="20"/>
        </w:rPr>
      </w:pPr>
      <w:r w:rsidRPr="0039268C">
        <w:rPr>
          <w:rFonts w:ascii="Arial" w:hAnsi="Arial" w:cs="Arial"/>
          <w:sz w:val="20"/>
          <w:szCs w:val="20"/>
        </w:rPr>
        <w:t xml:space="preserve">Pracovníci REPIS informovali o </w:t>
      </w:r>
      <w:r w:rsidR="000236A4">
        <w:rPr>
          <w:rFonts w:ascii="Arial" w:hAnsi="Arial" w:cs="Arial"/>
          <w:sz w:val="20"/>
          <w:szCs w:val="20"/>
        </w:rPr>
        <w:t>OP ŽP</w:t>
      </w:r>
      <w:r w:rsidRPr="0039268C">
        <w:rPr>
          <w:rFonts w:ascii="Arial" w:hAnsi="Arial" w:cs="Arial"/>
          <w:sz w:val="20"/>
          <w:szCs w:val="20"/>
        </w:rPr>
        <w:t xml:space="preserve"> na </w:t>
      </w:r>
      <w:r w:rsidRPr="0039268C">
        <w:rPr>
          <w:rFonts w:ascii="Arial" w:hAnsi="Arial" w:cs="Arial"/>
          <w:b/>
          <w:sz w:val="20"/>
          <w:szCs w:val="20"/>
        </w:rPr>
        <w:t xml:space="preserve">25 seminároch </w:t>
      </w:r>
      <w:r w:rsidRPr="0039268C">
        <w:rPr>
          <w:rFonts w:ascii="Arial" w:hAnsi="Arial" w:cs="Arial"/>
          <w:b/>
          <w:bCs/>
          <w:sz w:val="20"/>
          <w:szCs w:val="20"/>
        </w:rPr>
        <w:t>(12.1., 17.1., 25.1., 2.2., 9.2., 22.3., 3.4., 18.4., 19.4., 17.5., 18.5., 6.6., 12-13.6., 14.6., 3.7., 27. - 28.8., 5.- 6. 9., 17.9., 18.9., 20.9., 26.9., 9.10. - 2x, 18.10., 23.- 24.10.2012)</w:t>
      </w:r>
      <w:r w:rsidRPr="0039268C">
        <w:rPr>
          <w:rFonts w:ascii="Arial" w:hAnsi="Arial" w:cs="Arial"/>
          <w:sz w:val="20"/>
          <w:szCs w:val="20"/>
        </w:rPr>
        <w:t xml:space="preserve">, ktoré zorganizovali kancelárie REPIS sami alebo v spolupráci s inými subjektmi napr. Úrad splnomocnenca vlády SR pre rómske komunity. Zároveň poskytli informácie o </w:t>
      </w:r>
      <w:r w:rsidR="000236A4">
        <w:rPr>
          <w:rFonts w:ascii="Arial" w:hAnsi="Arial" w:cs="Arial"/>
          <w:sz w:val="20"/>
          <w:szCs w:val="20"/>
        </w:rPr>
        <w:t>OP ŽP</w:t>
      </w:r>
      <w:r w:rsidRPr="0039268C">
        <w:rPr>
          <w:rFonts w:ascii="Arial" w:hAnsi="Arial" w:cs="Arial"/>
          <w:sz w:val="20"/>
          <w:szCs w:val="20"/>
        </w:rPr>
        <w:t xml:space="preserve"> na seminároch, ktoré organizovali organizácie zo súkromného a verejného sektora napr. ZMOS, MUNtech, SAŽP a.i. Tieto podujatia boli zamerané na poskytovanie základných informácií, ale aj usmernení potenciálnych žiadateľov pri príprave projektového zámeru. Zúčastnilo sa ich približne</w:t>
      </w:r>
      <w:r w:rsidRPr="0039268C">
        <w:rPr>
          <w:rFonts w:ascii="Arial" w:hAnsi="Arial" w:cs="Arial"/>
          <w:b/>
          <w:sz w:val="20"/>
          <w:szCs w:val="20"/>
        </w:rPr>
        <w:t xml:space="preserve"> 700 účastníkov</w:t>
      </w:r>
      <w:r w:rsidRPr="0039268C">
        <w:rPr>
          <w:rFonts w:ascii="Arial" w:hAnsi="Arial" w:cs="Arial"/>
          <w:sz w:val="20"/>
          <w:szCs w:val="20"/>
        </w:rPr>
        <w:t>.</w:t>
      </w:r>
    </w:p>
    <w:p w:rsidR="00C66C2A" w:rsidRPr="0039268C" w:rsidRDefault="00C66C2A" w:rsidP="001540E7">
      <w:pPr>
        <w:numPr>
          <w:ilvl w:val="0"/>
          <w:numId w:val="57"/>
        </w:numPr>
        <w:spacing w:before="120" w:after="120" w:line="360" w:lineRule="auto"/>
        <w:ind w:left="714" w:hanging="357"/>
        <w:jc w:val="both"/>
        <w:rPr>
          <w:rFonts w:ascii="Arial" w:hAnsi="Arial" w:cs="Arial"/>
          <w:b/>
          <w:sz w:val="20"/>
          <w:szCs w:val="20"/>
        </w:rPr>
      </w:pPr>
      <w:r w:rsidRPr="0039268C">
        <w:rPr>
          <w:rFonts w:ascii="Arial" w:hAnsi="Arial" w:cs="Arial"/>
          <w:sz w:val="20"/>
          <w:szCs w:val="20"/>
        </w:rPr>
        <w:t xml:space="preserve">Kancelárie REPIS zorganizovali </w:t>
      </w:r>
      <w:r w:rsidRPr="0039268C">
        <w:rPr>
          <w:rFonts w:ascii="Arial" w:hAnsi="Arial" w:cs="Arial"/>
          <w:b/>
          <w:sz w:val="20"/>
          <w:szCs w:val="20"/>
        </w:rPr>
        <w:t>14 informačno – konzultačných dní</w:t>
      </w:r>
      <w:r w:rsidRPr="0039268C">
        <w:rPr>
          <w:rFonts w:ascii="Arial" w:hAnsi="Arial" w:cs="Arial"/>
          <w:sz w:val="20"/>
          <w:szCs w:val="20"/>
        </w:rPr>
        <w:t xml:space="preserve"> </w:t>
      </w:r>
      <w:r w:rsidRPr="0039268C">
        <w:rPr>
          <w:rFonts w:ascii="Arial" w:hAnsi="Arial" w:cs="Arial"/>
          <w:b/>
          <w:bCs/>
          <w:sz w:val="20"/>
          <w:szCs w:val="20"/>
        </w:rPr>
        <w:t>(25.1.- 2x, 15.2., 15.3., 2.4., 3.4., 4.4., 19.4., 21.6., 25.6., 19.7., 28.9., 12.10., 26.10.2012)</w:t>
      </w:r>
      <w:r w:rsidRPr="0039268C">
        <w:rPr>
          <w:rFonts w:ascii="Arial" w:hAnsi="Arial" w:cs="Arial"/>
          <w:sz w:val="20"/>
          <w:szCs w:val="20"/>
        </w:rPr>
        <w:t xml:space="preserve"> v jednotlivých regiónoch SR, na ktorých sa zúčastnilo </w:t>
      </w:r>
      <w:r w:rsidRPr="0039268C">
        <w:rPr>
          <w:rFonts w:ascii="Arial" w:hAnsi="Arial" w:cs="Arial"/>
          <w:b/>
          <w:sz w:val="20"/>
          <w:szCs w:val="20"/>
        </w:rPr>
        <w:t xml:space="preserve"> 162 účastníkov</w:t>
      </w:r>
      <w:r w:rsidRPr="0039268C">
        <w:rPr>
          <w:rFonts w:ascii="Arial" w:hAnsi="Arial" w:cs="Arial"/>
          <w:sz w:val="20"/>
          <w:szCs w:val="20"/>
        </w:rPr>
        <w:t xml:space="preserve"> všetkých cieľových skupín. Informačno – konzultačné dni boli zamerané  na poskytnutie informácií týkajúcich sa podmienok aktuálne vyhlásených výziev.</w:t>
      </w:r>
    </w:p>
    <w:p w:rsidR="00C66C2A" w:rsidRPr="0039268C" w:rsidRDefault="00C66C2A" w:rsidP="001540E7">
      <w:pPr>
        <w:numPr>
          <w:ilvl w:val="0"/>
          <w:numId w:val="57"/>
        </w:numPr>
        <w:spacing w:before="120" w:after="120" w:line="360" w:lineRule="auto"/>
        <w:ind w:left="714" w:hanging="357"/>
        <w:jc w:val="both"/>
        <w:rPr>
          <w:rFonts w:ascii="Arial" w:hAnsi="Arial" w:cs="Arial"/>
          <w:sz w:val="20"/>
          <w:szCs w:val="20"/>
        </w:rPr>
      </w:pPr>
      <w:r w:rsidRPr="0039268C">
        <w:rPr>
          <w:rFonts w:ascii="Arial" w:hAnsi="Arial" w:cs="Arial"/>
          <w:sz w:val="20"/>
          <w:szCs w:val="20"/>
        </w:rPr>
        <w:t xml:space="preserve">Pracovníci siete REPIS v spolupráci so Slovenskou agentúrou ŽP spoluorganizovali </w:t>
      </w:r>
      <w:r w:rsidRPr="0039268C">
        <w:rPr>
          <w:rFonts w:ascii="Arial" w:hAnsi="Arial" w:cs="Arial"/>
          <w:b/>
          <w:sz w:val="20"/>
          <w:szCs w:val="20"/>
        </w:rPr>
        <w:t>3 školenia</w:t>
      </w:r>
      <w:r w:rsidRPr="0039268C">
        <w:rPr>
          <w:rFonts w:ascii="Arial" w:hAnsi="Arial" w:cs="Arial"/>
          <w:sz w:val="20"/>
          <w:szCs w:val="20"/>
        </w:rPr>
        <w:t xml:space="preserve"> </w:t>
      </w:r>
      <w:r w:rsidRPr="0039268C">
        <w:rPr>
          <w:rFonts w:ascii="Arial" w:hAnsi="Arial" w:cs="Arial"/>
          <w:b/>
          <w:bCs/>
          <w:sz w:val="20"/>
          <w:szCs w:val="20"/>
        </w:rPr>
        <w:t>(13.9., 14.9., 18.9.2012)</w:t>
      </w:r>
      <w:r w:rsidRPr="0039268C">
        <w:rPr>
          <w:rFonts w:ascii="Arial" w:hAnsi="Arial" w:cs="Arial"/>
          <w:sz w:val="20"/>
          <w:szCs w:val="20"/>
        </w:rPr>
        <w:t xml:space="preserve"> venované zákonu č.24/2006 Z. z. o posudzovaní vplyvov na životné prostredie a jeho vzťahu k OP Životné prostredie. Školenia sa zúčastnilo</w:t>
      </w:r>
      <w:r w:rsidRPr="0039268C">
        <w:rPr>
          <w:rFonts w:ascii="Arial" w:hAnsi="Arial" w:cs="Arial"/>
          <w:b/>
          <w:sz w:val="20"/>
          <w:szCs w:val="20"/>
        </w:rPr>
        <w:t xml:space="preserve">  120 účastníkov</w:t>
      </w:r>
      <w:r w:rsidRPr="0039268C">
        <w:rPr>
          <w:rFonts w:ascii="Arial" w:hAnsi="Arial" w:cs="Arial"/>
          <w:sz w:val="20"/>
          <w:szCs w:val="20"/>
        </w:rPr>
        <w:t>.</w:t>
      </w:r>
    </w:p>
    <w:p w:rsidR="00C66C2A" w:rsidRPr="0039268C" w:rsidRDefault="00C66C2A" w:rsidP="001540E7">
      <w:pPr>
        <w:numPr>
          <w:ilvl w:val="0"/>
          <w:numId w:val="57"/>
        </w:numPr>
        <w:spacing w:before="120" w:after="120" w:line="360" w:lineRule="auto"/>
        <w:ind w:left="714" w:hanging="357"/>
        <w:jc w:val="both"/>
        <w:rPr>
          <w:rFonts w:ascii="Arial" w:hAnsi="Arial" w:cs="Arial"/>
          <w:spacing w:val="2"/>
          <w:sz w:val="20"/>
          <w:szCs w:val="20"/>
        </w:rPr>
      </w:pPr>
      <w:r w:rsidRPr="0039268C">
        <w:rPr>
          <w:rFonts w:ascii="Arial" w:hAnsi="Arial" w:cs="Arial"/>
          <w:sz w:val="20"/>
          <w:szCs w:val="20"/>
        </w:rPr>
        <w:t>Pracovníci siete REPIS sa zúčastnili  š</w:t>
      </w:r>
      <w:r w:rsidRPr="0039268C">
        <w:rPr>
          <w:rFonts w:ascii="Arial" w:hAnsi="Arial" w:cs="Arial"/>
          <w:bCs/>
          <w:sz w:val="20"/>
          <w:szCs w:val="20"/>
        </w:rPr>
        <w:t xml:space="preserve">kolenia pracovníkov REPIS na komunikačné zručnosti (SEV Dropie, Zemianska Olča 22.- 23.5.2012), - </w:t>
      </w:r>
      <w:r w:rsidRPr="0039268C">
        <w:rPr>
          <w:rFonts w:ascii="Arial" w:hAnsi="Arial" w:cs="Arial"/>
          <w:b/>
          <w:bCs/>
          <w:sz w:val="20"/>
          <w:szCs w:val="20"/>
        </w:rPr>
        <w:t>15 účastníkov</w:t>
      </w:r>
    </w:p>
    <w:p w:rsidR="00C66C2A" w:rsidRPr="0039268C" w:rsidRDefault="00C66C2A" w:rsidP="001540E7">
      <w:pPr>
        <w:numPr>
          <w:ilvl w:val="0"/>
          <w:numId w:val="57"/>
        </w:numPr>
        <w:spacing w:before="120" w:after="120" w:line="360" w:lineRule="auto"/>
        <w:ind w:left="714" w:hanging="357"/>
        <w:jc w:val="both"/>
        <w:rPr>
          <w:rFonts w:ascii="Arial" w:hAnsi="Arial" w:cs="Arial"/>
          <w:spacing w:val="2"/>
          <w:sz w:val="20"/>
          <w:szCs w:val="20"/>
        </w:rPr>
      </w:pPr>
      <w:r w:rsidRPr="0039268C">
        <w:rPr>
          <w:rFonts w:ascii="Arial" w:hAnsi="Arial" w:cs="Arial"/>
          <w:sz w:val="20"/>
          <w:szCs w:val="20"/>
        </w:rPr>
        <w:t>Pracovníci siete REPIS sa zúčastnili  š</w:t>
      </w:r>
      <w:r w:rsidRPr="0039268C">
        <w:rPr>
          <w:rFonts w:ascii="Arial" w:hAnsi="Arial" w:cs="Arial"/>
          <w:bCs/>
          <w:sz w:val="20"/>
          <w:szCs w:val="20"/>
        </w:rPr>
        <w:t xml:space="preserve">kolenia pracovníkov REPIS s názvom „Proces implementácie projektov, overovanie oprávnenosti výdavkov“ (SEV Dropie, Zemianska Olča 27.- 28.6.2012), školiteľmi boli pracovníci Odboru riadenia implementácie projektov - </w:t>
      </w:r>
      <w:r w:rsidRPr="0039268C">
        <w:rPr>
          <w:rFonts w:ascii="Arial" w:hAnsi="Arial" w:cs="Arial"/>
          <w:b/>
          <w:bCs/>
          <w:sz w:val="20"/>
          <w:szCs w:val="20"/>
        </w:rPr>
        <w:t>19 účastníkov</w:t>
      </w:r>
    </w:p>
    <w:p w:rsidR="00C66C2A" w:rsidRPr="0039268C" w:rsidRDefault="00C66C2A" w:rsidP="001540E7">
      <w:pPr>
        <w:numPr>
          <w:ilvl w:val="0"/>
          <w:numId w:val="57"/>
        </w:numPr>
        <w:spacing w:before="120" w:after="120" w:line="360" w:lineRule="auto"/>
        <w:ind w:left="714" w:hanging="357"/>
        <w:jc w:val="both"/>
        <w:rPr>
          <w:rFonts w:ascii="Arial" w:hAnsi="Arial" w:cs="Arial"/>
          <w:b/>
          <w:spacing w:val="2"/>
          <w:sz w:val="20"/>
          <w:szCs w:val="20"/>
        </w:rPr>
      </w:pPr>
      <w:r w:rsidRPr="0039268C">
        <w:rPr>
          <w:rFonts w:ascii="Arial" w:hAnsi="Arial" w:cs="Arial"/>
          <w:bCs/>
          <w:sz w:val="20"/>
          <w:szCs w:val="20"/>
        </w:rPr>
        <w:t xml:space="preserve">Vybraní pracovníci REPIS sa zúčastnili školenia „Riadenie projektového cyklu“ ktoré sa konalo v SEV Orlík , Spišská Sobota 19.- 20.11.2012-  </w:t>
      </w:r>
      <w:r w:rsidRPr="0039268C">
        <w:rPr>
          <w:rFonts w:ascii="Arial" w:hAnsi="Arial" w:cs="Arial"/>
          <w:b/>
          <w:bCs/>
          <w:sz w:val="20"/>
          <w:szCs w:val="20"/>
        </w:rPr>
        <w:t>9 účastníkov</w:t>
      </w:r>
    </w:p>
    <w:p w:rsidR="00C66C2A" w:rsidRPr="0039268C" w:rsidRDefault="00C66C2A" w:rsidP="001540E7">
      <w:pPr>
        <w:numPr>
          <w:ilvl w:val="0"/>
          <w:numId w:val="57"/>
        </w:numPr>
        <w:spacing w:before="120" w:after="120" w:line="360" w:lineRule="auto"/>
        <w:ind w:left="714" w:hanging="357"/>
        <w:jc w:val="both"/>
        <w:rPr>
          <w:rFonts w:ascii="Arial" w:hAnsi="Arial" w:cs="Arial"/>
          <w:b/>
          <w:sz w:val="20"/>
          <w:szCs w:val="20"/>
        </w:rPr>
      </w:pPr>
      <w:r w:rsidRPr="0039268C">
        <w:rPr>
          <w:rFonts w:ascii="Arial" w:hAnsi="Arial" w:cs="Arial"/>
          <w:sz w:val="20"/>
          <w:szCs w:val="20"/>
        </w:rPr>
        <w:t xml:space="preserve">Pracovníci siete REPIS zrealizovali v roku 2012 </w:t>
      </w:r>
      <w:r w:rsidRPr="0039268C">
        <w:rPr>
          <w:rFonts w:ascii="Arial" w:hAnsi="Arial" w:cs="Arial"/>
          <w:b/>
          <w:sz w:val="20"/>
          <w:szCs w:val="20"/>
        </w:rPr>
        <w:t>181 rôznych pracovných stretnutí</w:t>
      </w:r>
      <w:r w:rsidRPr="0039268C">
        <w:rPr>
          <w:rFonts w:ascii="Arial" w:hAnsi="Arial" w:cs="Arial"/>
          <w:sz w:val="20"/>
          <w:szCs w:val="20"/>
        </w:rPr>
        <w:t>, na ktorých poskytli aktuálne informácie o </w:t>
      </w:r>
      <w:r w:rsidR="000236A4">
        <w:rPr>
          <w:rFonts w:ascii="Arial" w:hAnsi="Arial" w:cs="Arial"/>
          <w:sz w:val="20"/>
          <w:szCs w:val="20"/>
        </w:rPr>
        <w:t>OP ŽP</w:t>
      </w:r>
      <w:r w:rsidRPr="0039268C">
        <w:rPr>
          <w:rFonts w:ascii="Arial" w:hAnsi="Arial" w:cs="Arial"/>
          <w:sz w:val="20"/>
          <w:szCs w:val="20"/>
        </w:rPr>
        <w:t xml:space="preserve"> a jeho implementácii. </w:t>
      </w:r>
    </w:p>
    <w:p w:rsidR="00C66C2A" w:rsidRPr="0039268C" w:rsidRDefault="00C66C2A" w:rsidP="001540E7">
      <w:pPr>
        <w:numPr>
          <w:ilvl w:val="0"/>
          <w:numId w:val="57"/>
        </w:numPr>
        <w:spacing w:before="120" w:after="120" w:line="360" w:lineRule="auto"/>
        <w:ind w:left="714" w:hanging="357"/>
        <w:jc w:val="both"/>
        <w:rPr>
          <w:rFonts w:ascii="Arial" w:hAnsi="Arial" w:cs="Arial"/>
          <w:b/>
          <w:sz w:val="20"/>
          <w:szCs w:val="20"/>
        </w:rPr>
      </w:pPr>
      <w:r w:rsidRPr="0039268C">
        <w:rPr>
          <w:rFonts w:ascii="Arial" w:hAnsi="Arial" w:cs="Arial"/>
          <w:sz w:val="20"/>
          <w:szCs w:val="20"/>
        </w:rPr>
        <w:t xml:space="preserve">RO pre </w:t>
      </w:r>
      <w:r w:rsidR="000236A4">
        <w:rPr>
          <w:rFonts w:ascii="Arial" w:hAnsi="Arial" w:cs="Arial"/>
          <w:sz w:val="20"/>
          <w:szCs w:val="20"/>
        </w:rPr>
        <w:t>OP ŽP</w:t>
      </w:r>
      <w:r w:rsidRPr="0039268C">
        <w:rPr>
          <w:rFonts w:ascii="Arial" w:hAnsi="Arial" w:cs="Arial"/>
          <w:sz w:val="20"/>
          <w:szCs w:val="20"/>
        </w:rPr>
        <w:t xml:space="preserve"> boli zorganizované dve zasadnutia Monitorovacieho výboru pre </w:t>
      </w:r>
      <w:r w:rsidR="000236A4">
        <w:rPr>
          <w:rFonts w:ascii="Arial" w:hAnsi="Arial" w:cs="Arial"/>
          <w:sz w:val="20"/>
          <w:szCs w:val="20"/>
        </w:rPr>
        <w:t>OP ŽP</w:t>
      </w:r>
      <w:r w:rsidRPr="0039268C">
        <w:rPr>
          <w:rFonts w:ascii="Arial" w:hAnsi="Arial" w:cs="Arial"/>
          <w:sz w:val="20"/>
          <w:szCs w:val="20"/>
        </w:rPr>
        <w:t xml:space="preserve"> v dňoch 14.6. a 18.12.2012 (celkom 74 účastníkov)</w:t>
      </w:r>
    </w:p>
    <w:p w:rsidR="00C66C2A" w:rsidRPr="0039268C" w:rsidRDefault="00C66C2A" w:rsidP="00507035">
      <w:pPr>
        <w:spacing w:before="120" w:after="120" w:line="360" w:lineRule="auto"/>
        <w:jc w:val="both"/>
        <w:rPr>
          <w:rFonts w:ascii="Arial" w:hAnsi="Arial" w:cs="Arial"/>
          <w:sz w:val="20"/>
          <w:szCs w:val="20"/>
        </w:rPr>
      </w:pPr>
      <w:r w:rsidRPr="0039268C">
        <w:rPr>
          <w:rFonts w:ascii="Arial" w:hAnsi="Arial" w:cs="Arial"/>
          <w:sz w:val="20"/>
          <w:szCs w:val="20"/>
        </w:rPr>
        <w:t>Školenia regionálneho charakteru pre prijímateľov NFP neboli zorganizované z dôvodu problémov s procesom VO pre školenia organizované REPIS.</w:t>
      </w:r>
    </w:p>
    <w:p w:rsidR="002416B1" w:rsidRPr="00C66C2A" w:rsidRDefault="00C66C2A" w:rsidP="00507035">
      <w:pPr>
        <w:spacing w:before="120" w:after="120" w:line="360" w:lineRule="auto"/>
        <w:jc w:val="both"/>
        <w:rPr>
          <w:rFonts w:ascii="Arial" w:hAnsi="Arial" w:cs="Arial"/>
          <w:sz w:val="20"/>
          <w:szCs w:val="20"/>
        </w:rPr>
      </w:pPr>
      <w:r w:rsidRPr="0039268C">
        <w:rPr>
          <w:rFonts w:ascii="Arial" w:hAnsi="Arial" w:cs="Arial"/>
          <w:sz w:val="20"/>
          <w:szCs w:val="20"/>
          <w:u w:val="single"/>
        </w:rPr>
        <w:t>CELKOM za semináre, školenia a ostatné akcie</w:t>
      </w:r>
      <w:r w:rsidRPr="0039268C">
        <w:rPr>
          <w:rFonts w:ascii="Arial" w:hAnsi="Arial" w:cs="Arial"/>
          <w:sz w:val="20"/>
          <w:szCs w:val="20"/>
        </w:rPr>
        <w:t xml:space="preserve">: </w:t>
      </w:r>
      <w:r w:rsidRPr="0039268C">
        <w:rPr>
          <w:rFonts w:ascii="Arial" w:hAnsi="Arial" w:cs="Arial"/>
          <w:b/>
          <w:sz w:val="20"/>
          <w:szCs w:val="20"/>
        </w:rPr>
        <w:t>231</w:t>
      </w:r>
      <w:r w:rsidRPr="0039268C">
        <w:rPr>
          <w:rFonts w:ascii="Arial" w:hAnsi="Arial" w:cs="Arial"/>
          <w:sz w:val="20"/>
          <w:szCs w:val="20"/>
        </w:rPr>
        <w:t xml:space="preserve"> aktivít s  </w:t>
      </w:r>
      <w:r w:rsidRPr="0039268C">
        <w:rPr>
          <w:rFonts w:ascii="Arial" w:hAnsi="Arial" w:cs="Arial"/>
          <w:b/>
          <w:sz w:val="20"/>
          <w:szCs w:val="20"/>
        </w:rPr>
        <w:t>1128</w:t>
      </w:r>
      <w:r w:rsidRPr="0039268C">
        <w:rPr>
          <w:rFonts w:ascii="Arial" w:hAnsi="Arial" w:cs="Arial"/>
          <w:sz w:val="20"/>
          <w:szCs w:val="20"/>
        </w:rPr>
        <w:t xml:space="preserve"> účastníkmi</w:t>
      </w:r>
    </w:p>
    <w:p w:rsidR="002416B1" w:rsidRPr="004B33AE" w:rsidRDefault="002416B1" w:rsidP="00507035">
      <w:pPr>
        <w:spacing w:before="120" w:after="120" w:line="360" w:lineRule="auto"/>
        <w:jc w:val="both"/>
        <w:rPr>
          <w:rFonts w:ascii="Arial" w:hAnsi="Arial" w:cs="Arial"/>
          <w:i/>
          <w:sz w:val="20"/>
          <w:szCs w:val="20"/>
          <w:u w:val="single"/>
        </w:rPr>
      </w:pPr>
      <w:r w:rsidRPr="004B33AE">
        <w:rPr>
          <w:rFonts w:ascii="Arial" w:hAnsi="Arial" w:cs="Arial"/>
          <w:i/>
          <w:sz w:val="20"/>
          <w:szCs w:val="20"/>
          <w:u w:val="single"/>
        </w:rPr>
        <w:t>Celkom za rok 201</w:t>
      </w:r>
      <w:r w:rsidR="00C66C2A">
        <w:rPr>
          <w:rFonts w:ascii="Arial" w:hAnsi="Arial" w:cs="Arial"/>
          <w:i/>
          <w:sz w:val="20"/>
          <w:szCs w:val="20"/>
          <w:u w:val="single"/>
        </w:rPr>
        <w:t>2</w:t>
      </w:r>
      <w:r w:rsidRPr="004B33AE">
        <w:rPr>
          <w:rFonts w:ascii="Arial" w:hAnsi="Arial" w:cs="Arial"/>
          <w:i/>
          <w:sz w:val="20"/>
          <w:szCs w:val="20"/>
          <w:u w:val="single"/>
        </w:rPr>
        <w:t>:</w:t>
      </w:r>
    </w:p>
    <w:p w:rsidR="002416B1" w:rsidRDefault="00C66C2A" w:rsidP="00507035">
      <w:pPr>
        <w:spacing w:before="120" w:after="120" w:line="360" w:lineRule="auto"/>
        <w:jc w:val="both"/>
        <w:rPr>
          <w:rFonts w:ascii="Arial" w:hAnsi="Arial" w:cs="Arial"/>
          <w:i/>
          <w:sz w:val="20"/>
          <w:szCs w:val="20"/>
        </w:rPr>
      </w:pPr>
      <w:r w:rsidRPr="00C66C2A">
        <w:rPr>
          <w:rFonts w:ascii="Arial" w:hAnsi="Arial" w:cs="Arial"/>
          <w:sz w:val="20"/>
          <w:szCs w:val="20"/>
        </w:rPr>
        <w:t xml:space="preserve">Celkovo bolo na úrovni RO a REPIS zrealizovaných viac ako 294 rôznych vzdelávacích a informačno-komunikačných aktivít o </w:t>
      </w:r>
      <w:r w:rsidR="000236A4">
        <w:rPr>
          <w:rFonts w:ascii="Arial" w:hAnsi="Arial" w:cs="Arial"/>
          <w:sz w:val="20"/>
          <w:szCs w:val="20"/>
        </w:rPr>
        <w:t>OP ŽP</w:t>
      </w:r>
      <w:r w:rsidRPr="00C66C2A">
        <w:rPr>
          <w:rFonts w:ascii="Arial" w:hAnsi="Arial" w:cs="Arial"/>
          <w:sz w:val="20"/>
          <w:szCs w:val="20"/>
        </w:rPr>
        <w:t xml:space="preserve"> s počtom účastníkov 2908.</w:t>
      </w:r>
    </w:p>
    <w:p w:rsidR="002416B1" w:rsidRPr="004B33AE" w:rsidRDefault="002416B1" w:rsidP="00507035">
      <w:pPr>
        <w:spacing w:before="120" w:after="120" w:line="360" w:lineRule="auto"/>
        <w:jc w:val="both"/>
        <w:rPr>
          <w:rFonts w:ascii="Arial" w:hAnsi="Arial" w:cs="Arial"/>
          <w:b/>
          <w:i/>
          <w:sz w:val="20"/>
          <w:szCs w:val="20"/>
        </w:rPr>
      </w:pPr>
      <w:bookmarkStart w:id="133" w:name="_Toc315332897"/>
      <w:r w:rsidRPr="004B33AE">
        <w:rPr>
          <w:rFonts w:ascii="Arial" w:hAnsi="Arial" w:cs="Arial"/>
          <w:b/>
          <w:i/>
          <w:sz w:val="20"/>
          <w:szCs w:val="20"/>
        </w:rPr>
        <w:t>Odborné informačné publikácie</w:t>
      </w:r>
      <w:bookmarkEnd w:id="133"/>
      <w:r w:rsidRPr="004B33AE">
        <w:rPr>
          <w:rFonts w:ascii="Arial" w:hAnsi="Arial" w:cs="Arial"/>
          <w:b/>
          <w:i/>
          <w:sz w:val="20"/>
          <w:szCs w:val="20"/>
        </w:rPr>
        <w:t xml:space="preserve"> </w:t>
      </w:r>
    </w:p>
    <w:p w:rsidR="00C66C2A" w:rsidRPr="0039268C" w:rsidRDefault="00C66C2A" w:rsidP="00507035">
      <w:pPr>
        <w:spacing w:before="120" w:after="120" w:line="360" w:lineRule="auto"/>
        <w:jc w:val="both"/>
        <w:rPr>
          <w:rFonts w:ascii="Arial" w:hAnsi="Arial" w:cs="Arial"/>
          <w:sz w:val="20"/>
          <w:szCs w:val="20"/>
        </w:rPr>
      </w:pPr>
      <w:r w:rsidRPr="0039268C">
        <w:rPr>
          <w:rFonts w:ascii="Arial" w:hAnsi="Arial" w:cs="Arial"/>
          <w:sz w:val="20"/>
          <w:szCs w:val="20"/>
        </w:rPr>
        <w:t xml:space="preserve">V rámci zabezpečovania komplexnej informovanosti širokej verejnosti o pomoci EÚ poskytovanej Slovensku prostredníctvom implementácie projektov podporených z finančných prostriedkov </w:t>
      </w:r>
      <w:r w:rsidR="000236A4">
        <w:rPr>
          <w:rFonts w:ascii="Arial" w:hAnsi="Arial" w:cs="Arial"/>
          <w:sz w:val="20"/>
          <w:szCs w:val="20"/>
        </w:rPr>
        <w:t>OP ŽP</w:t>
      </w:r>
      <w:r w:rsidRPr="0039268C">
        <w:rPr>
          <w:rFonts w:ascii="Arial" w:hAnsi="Arial" w:cs="Arial"/>
          <w:sz w:val="20"/>
          <w:szCs w:val="20"/>
        </w:rPr>
        <w:t xml:space="preserve"> boli vydané a distribuované nasledovné informačné publikácie:</w:t>
      </w:r>
    </w:p>
    <w:p w:rsidR="00C66C2A" w:rsidRPr="0039268C" w:rsidRDefault="00C66C2A" w:rsidP="001540E7">
      <w:pPr>
        <w:pStyle w:val="Bezriadkovania"/>
        <w:numPr>
          <w:ilvl w:val="0"/>
          <w:numId w:val="18"/>
        </w:numPr>
        <w:spacing w:before="120" w:after="120" w:line="360" w:lineRule="auto"/>
        <w:jc w:val="both"/>
        <w:rPr>
          <w:rFonts w:ascii="Arial" w:hAnsi="Arial" w:cs="Arial"/>
          <w:sz w:val="20"/>
          <w:szCs w:val="20"/>
        </w:rPr>
      </w:pPr>
      <w:r w:rsidRPr="0039268C">
        <w:rPr>
          <w:rFonts w:ascii="Arial" w:hAnsi="Arial" w:cs="Arial"/>
          <w:sz w:val="20"/>
          <w:szCs w:val="20"/>
        </w:rPr>
        <w:t xml:space="preserve">Zborník PPP z MV </w:t>
      </w:r>
      <w:r w:rsidR="000236A4">
        <w:rPr>
          <w:rFonts w:ascii="Arial" w:hAnsi="Arial" w:cs="Arial"/>
          <w:sz w:val="20"/>
          <w:szCs w:val="20"/>
        </w:rPr>
        <w:t>OP ŽP</w:t>
      </w:r>
      <w:r w:rsidRPr="0039268C">
        <w:rPr>
          <w:rFonts w:ascii="Arial" w:hAnsi="Arial" w:cs="Arial"/>
          <w:sz w:val="20"/>
          <w:szCs w:val="20"/>
        </w:rPr>
        <w:t xml:space="preserve">  zo 14.6.2012 a 18.12.2012</w:t>
      </w:r>
      <w:r w:rsidRPr="0039268C">
        <w:rPr>
          <w:rFonts w:ascii="Arial" w:hAnsi="Arial" w:cs="Arial"/>
          <w:sz w:val="20"/>
          <w:szCs w:val="20"/>
        </w:rPr>
        <w:tab/>
      </w:r>
      <w:r w:rsidRPr="0039268C">
        <w:rPr>
          <w:rFonts w:ascii="Arial" w:hAnsi="Arial" w:cs="Arial"/>
          <w:sz w:val="20"/>
          <w:szCs w:val="20"/>
        </w:rPr>
        <w:tab/>
        <w:t>80 ks / 74 ks</w:t>
      </w:r>
    </w:p>
    <w:p w:rsidR="00C66C2A" w:rsidRPr="0039268C" w:rsidRDefault="00C66C2A" w:rsidP="001540E7">
      <w:pPr>
        <w:pStyle w:val="Bezriadkovania"/>
        <w:numPr>
          <w:ilvl w:val="0"/>
          <w:numId w:val="18"/>
        </w:numPr>
        <w:spacing w:before="120" w:after="120" w:line="360" w:lineRule="auto"/>
        <w:jc w:val="both"/>
        <w:rPr>
          <w:rFonts w:ascii="Arial" w:hAnsi="Arial" w:cs="Arial"/>
          <w:sz w:val="20"/>
          <w:szCs w:val="20"/>
        </w:rPr>
      </w:pPr>
      <w:r w:rsidRPr="0039268C">
        <w:rPr>
          <w:rFonts w:ascii="Arial" w:hAnsi="Arial" w:cs="Arial"/>
          <w:sz w:val="20"/>
          <w:szCs w:val="20"/>
        </w:rPr>
        <w:t xml:space="preserve">Tlačené výstupy PPP z Výročnej konferencie </w:t>
      </w:r>
      <w:r w:rsidR="000236A4">
        <w:rPr>
          <w:rFonts w:ascii="Arial" w:hAnsi="Arial" w:cs="Arial"/>
          <w:sz w:val="20"/>
          <w:szCs w:val="20"/>
        </w:rPr>
        <w:t>OP ŽP</w:t>
      </w:r>
      <w:r w:rsidRPr="0039268C">
        <w:rPr>
          <w:rFonts w:ascii="Arial" w:hAnsi="Arial" w:cs="Arial"/>
          <w:sz w:val="20"/>
          <w:szCs w:val="20"/>
        </w:rPr>
        <w:tab/>
      </w:r>
      <w:r w:rsidRPr="0039268C">
        <w:rPr>
          <w:rFonts w:ascii="Arial" w:hAnsi="Arial" w:cs="Arial"/>
          <w:sz w:val="20"/>
          <w:szCs w:val="20"/>
        </w:rPr>
        <w:tab/>
        <w:t>100 ks / 83 ks</w:t>
      </w:r>
    </w:p>
    <w:p w:rsidR="00C66C2A" w:rsidRPr="0039268C" w:rsidRDefault="00C66C2A" w:rsidP="001540E7">
      <w:pPr>
        <w:pStyle w:val="Bezriadkovania"/>
        <w:numPr>
          <w:ilvl w:val="0"/>
          <w:numId w:val="18"/>
        </w:numPr>
        <w:spacing w:before="120" w:after="120" w:line="360" w:lineRule="auto"/>
        <w:jc w:val="both"/>
        <w:rPr>
          <w:rFonts w:ascii="Arial" w:hAnsi="Arial" w:cs="Arial"/>
          <w:sz w:val="20"/>
          <w:szCs w:val="20"/>
        </w:rPr>
      </w:pPr>
      <w:r w:rsidRPr="0039268C">
        <w:rPr>
          <w:rFonts w:ascii="Arial" w:hAnsi="Arial" w:cs="Arial"/>
          <w:sz w:val="20"/>
          <w:szCs w:val="20"/>
        </w:rPr>
        <w:t xml:space="preserve">Výstupy PPP z Výročnej konferencie </w:t>
      </w:r>
      <w:r w:rsidR="000236A4">
        <w:rPr>
          <w:rFonts w:ascii="Arial" w:hAnsi="Arial" w:cs="Arial"/>
          <w:sz w:val="20"/>
          <w:szCs w:val="20"/>
        </w:rPr>
        <w:t>OP ŽP</w:t>
      </w:r>
      <w:r w:rsidRPr="0039268C">
        <w:rPr>
          <w:rFonts w:ascii="Arial" w:hAnsi="Arial" w:cs="Arial"/>
          <w:sz w:val="20"/>
          <w:szCs w:val="20"/>
        </w:rPr>
        <w:t xml:space="preserve"> na CD nosiči</w:t>
      </w:r>
      <w:r w:rsidRPr="0039268C">
        <w:rPr>
          <w:rFonts w:ascii="Arial" w:hAnsi="Arial" w:cs="Arial"/>
          <w:sz w:val="20"/>
          <w:szCs w:val="20"/>
        </w:rPr>
        <w:tab/>
      </w:r>
      <w:r w:rsidRPr="0039268C">
        <w:rPr>
          <w:rFonts w:ascii="Arial" w:hAnsi="Arial" w:cs="Arial"/>
          <w:sz w:val="20"/>
          <w:szCs w:val="20"/>
        </w:rPr>
        <w:tab/>
        <w:t>100 ks / 83 ks</w:t>
      </w:r>
    </w:p>
    <w:p w:rsidR="00C66C2A" w:rsidRPr="0039268C" w:rsidRDefault="00C66C2A" w:rsidP="001540E7">
      <w:pPr>
        <w:pStyle w:val="Bezriadkovania"/>
        <w:numPr>
          <w:ilvl w:val="0"/>
          <w:numId w:val="18"/>
        </w:numPr>
        <w:spacing w:before="120" w:after="120" w:line="360" w:lineRule="auto"/>
        <w:jc w:val="both"/>
        <w:rPr>
          <w:rFonts w:ascii="Arial" w:hAnsi="Arial" w:cs="Arial"/>
          <w:sz w:val="20"/>
          <w:szCs w:val="20"/>
        </w:rPr>
      </w:pPr>
      <w:r w:rsidRPr="0039268C">
        <w:rPr>
          <w:rFonts w:ascii="Arial" w:hAnsi="Arial" w:cs="Arial"/>
          <w:sz w:val="20"/>
          <w:szCs w:val="20"/>
        </w:rPr>
        <w:t xml:space="preserve">Informačné listy REPIS </w:t>
      </w:r>
      <w:r w:rsidRPr="0039268C">
        <w:rPr>
          <w:rFonts w:ascii="Arial" w:hAnsi="Arial" w:cs="Arial"/>
          <w:sz w:val="20"/>
          <w:szCs w:val="20"/>
        </w:rPr>
        <w:tab/>
      </w:r>
      <w:r w:rsidRPr="0039268C">
        <w:rPr>
          <w:rFonts w:ascii="Arial" w:hAnsi="Arial" w:cs="Arial"/>
          <w:sz w:val="20"/>
          <w:szCs w:val="20"/>
        </w:rPr>
        <w:tab/>
      </w:r>
      <w:r w:rsidRPr="0039268C">
        <w:rPr>
          <w:rFonts w:ascii="Arial" w:hAnsi="Arial" w:cs="Arial"/>
          <w:sz w:val="20"/>
          <w:szCs w:val="20"/>
        </w:rPr>
        <w:tab/>
      </w:r>
      <w:r w:rsidRPr="0039268C">
        <w:rPr>
          <w:rFonts w:ascii="Arial" w:hAnsi="Arial" w:cs="Arial"/>
          <w:sz w:val="20"/>
          <w:szCs w:val="20"/>
        </w:rPr>
        <w:tab/>
      </w:r>
      <w:r w:rsidRPr="0039268C">
        <w:rPr>
          <w:rFonts w:ascii="Arial" w:hAnsi="Arial" w:cs="Arial"/>
          <w:sz w:val="20"/>
          <w:szCs w:val="20"/>
        </w:rPr>
        <w:tab/>
      </w:r>
      <w:r w:rsidRPr="0039268C">
        <w:rPr>
          <w:rFonts w:ascii="Arial" w:hAnsi="Arial" w:cs="Arial"/>
          <w:sz w:val="20"/>
          <w:szCs w:val="20"/>
        </w:rPr>
        <w:tab/>
        <w:t>84 druhov</w:t>
      </w:r>
    </w:p>
    <w:p w:rsidR="00C66C2A" w:rsidRPr="0039268C" w:rsidRDefault="00C66C2A" w:rsidP="00507035">
      <w:pPr>
        <w:pStyle w:val="Odsekzoznamu1"/>
        <w:spacing w:before="120" w:after="120" w:line="360" w:lineRule="auto"/>
        <w:ind w:left="0"/>
        <w:jc w:val="both"/>
        <w:rPr>
          <w:rFonts w:ascii="Arial" w:hAnsi="Arial" w:cs="Arial"/>
          <w:sz w:val="20"/>
          <w:szCs w:val="20"/>
        </w:rPr>
      </w:pPr>
      <w:r w:rsidRPr="0039268C">
        <w:rPr>
          <w:rFonts w:ascii="Arial" w:hAnsi="Arial" w:cs="Arial"/>
          <w:sz w:val="20"/>
          <w:szCs w:val="20"/>
          <w:u w:val="single"/>
        </w:rPr>
        <w:t>CELKOVÝ PREHĽAD za rok 2012:</w:t>
      </w:r>
      <w:r w:rsidRPr="0039268C">
        <w:rPr>
          <w:rFonts w:ascii="Arial" w:hAnsi="Arial" w:cs="Arial"/>
          <w:sz w:val="20"/>
          <w:szCs w:val="20"/>
        </w:rPr>
        <w:t xml:space="preserve">  </w:t>
      </w:r>
      <w:r w:rsidRPr="0039268C">
        <w:rPr>
          <w:rFonts w:ascii="Arial" w:hAnsi="Arial" w:cs="Arial"/>
          <w:b/>
          <w:sz w:val="20"/>
          <w:szCs w:val="20"/>
        </w:rPr>
        <w:t>88</w:t>
      </w:r>
      <w:r w:rsidRPr="0039268C">
        <w:rPr>
          <w:rFonts w:ascii="Arial" w:hAnsi="Arial" w:cs="Arial"/>
          <w:sz w:val="20"/>
          <w:szCs w:val="20"/>
        </w:rPr>
        <w:t xml:space="preserve"> druhov publikácií , náklad </w:t>
      </w:r>
      <w:r w:rsidRPr="0039268C">
        <w:rPr>
          <w:rFonts w:ascii="Arial" w:hAnsi="Arial" w:cs="Arial"/>
          <w:b/>
          <w:sz w:val="20"/>
          <w:szCs w:val="20"/>
        </w:rPr>
        <w:t>324</w:t>
      </w:r>
      <w:r w:rsidRPr="0039268C">
        <w:rPr>
          <w:rFonts w:ascii="Arial" w:hAnsi="Arial" w:cs="Arial"/>
          <w:sz w:val="20"/>
          <w:szCs w:val="20"/>
        </w:rPr>
        <w:t xml:space="preserve"> publikácií.</w:t>
      </w:r>
    </w:p>
    <w:p w:rsidR="002416B1" w:rsidRPr="00C66C2A" w:rsidRDefault="00C66C2A" w:rsidP="00507035">
      <w:pPr>
        <w:spacing w:before="120" w:after="120" w:line="360" w:lineRule="auto"/>
        <w:jc w:val="both"/>
        <w:rPr>
          <w:rFonts w:ascii="Arial" w:hAnsi="Arial" w:cs="Arial"/>
          <w:sz w:val="20"/>
          <w:szCs w:val="20"/>
        </w:rPr>
      </w:pPr>
      <w:r w:rsidRPr="0039268C">
        <w:rPr>
          <w:rFonts w:ascii="Arial" w:hAnsi="Arial" w:cs="Arial"/>
          <w:sz w:val="20"/>
          <w:szCs w:val="20"/>
        </w:rPr>
        <w:t xml:space="preserve">Niektoré vybrané z uvedených publikácií a prezentácií, ktoré boli k dispozícii v elektronickej podobe, sú zverejnené aj na informačnom portáli </w:t>
      </w:r>
      <w:hyperlink r:id="rId89" w:history="1">
        <w:r w:rsidRPr="0039268C">
          <w:rPr>
            <w:rStyle w:val="Hypertextovprepojenie"/>
            <w:rFonts w:ascii="Arial" w:hAnsi="Arial" w:cs="Arial"/>
            <w:sz w:val="20"/>
            <w:szCs w:val="20"/>
          </w:rPr>
          <w:t>www.opzp.sk</w:t>
        </w:r>
      </w:hyperlink>
      <w:r w:rsidRPr="0039268C">
        <w:rPr>
          <w:rFonts w:ascii="Arial" w:hAnsi="Arial" w:cs="Arial"/>
          <w:sz w:val="20"/>
          <w:szCs w:val="20"/>
        </w:rPr>
        <w:t xml:space="preserve"> a portáli </w:t>
      </w:r>
      <w:hyperlink r:id="rId90" w:history="1">
        <w:r w:rsidRPr="0039268C">
          <w:rPr>
            <w:rStyle w:val="Hypertextovprepojenie"/>
            <w:rFonts w:ascii="Arial" w:hAnsi="Arial" w:cs="Arial"/>
            <w:sz w:val="20"/>
            <w:szCs w:val="20"/>
          </w:rPr>
          <w:t>www.repis.sk</w:t>
        </w:r>
      </w:hyperlink>
      <w:r w:rsidRPr="0039268C">
        <w:rPr>
          <w:rFonts w:ascii="Arial" w:hAnsi="Arial" w:cs="Arial"/>
          <w:sz w:val="20"/>
          <w:szCs w:val="20"/>
        </w:rPr>
        <w:t xml:space="preserve">. Publikácie boli v tlačenej podobe rozdistribuované v rámci jednotlivých organizovaných podujatí príp. rozposlané na adresy z databázy záujemcov o informácie o </w:t>
      </w:r>
      <w:r w:rsidR="000236A4">
        <w:rPr>
          <w:rFonts w:ascii="Arial" w:hAnsi="Arial" w:cs="Arial"/>
          <w:sz w:val="20"/>
          <w:szCs w:val="20"/>
        </w:rPr>
        <w:t>OP ŽP</w:t>
      </w:r>
      <w:r w:rsidRPr="0039268C">
        <w:rPr>
          <w:rFonts w:ascii="Arial" w:hAnsi="Arial" w:cs="Arial"/>
          <w:sz w:val="20"/>
          <w:szCs w:val="20"/>
        </w:rPr>
        <w:t>.</w:t>
      </w:r>
    </w:p>
    <w:p w:rsidR="002416B1" w:rsidRPr="004B33AE" w:rsidRDefault="002416B1" w:rsidP="00507035">
      <w:pPr>
        <w:spacing w:before="120" w:after="120" w:line="360" w:lineRule="auto"/>
        <w:jc w:val="both"/>
        <w:rPr>
          <w:rFonts w:ascii="Arial" w:hAnsi="Arial" w:cs="Arial"/>
          <w:b/>
          <w:i/>
          <w:sz w:val="20"/>
          <w:szCs w:val="20"/>
        </w:rPr>
      </w:pPr>
      <w:bookmarkStart w:id="134" w:name="_Toc315332898"/>
      <w:r w:rsidRPr="004B33AE">
        <w:rPr>
          <w:rFonts w:ascii="Arial" w:hAnsi="Arial" w:cs="Arial"/>
          <w:b/>
          <w:i/>
          <w:sz w:val="20"/>
          <w:szCs w:val="20"/>
        </w:rPr>
        <w:t>Propagačné predmety</w:t>
      </w:r>
      <w:bookmarkEnd w:id="134"/>
    </w:p>
    <w:p w:rsidR="00C66C2A" w:rsidRPr="0039268C" w:rsidRDefault="00C66C2A" w:rsidP="00507035">
      <w:pPr>
        <w:spacing w:before="120" w:after="120" w:line="360" w:lineRule="auto"/>
        <w:jc w:val="both"/>
        <w:rPr>
          <w:rFonts w:ascii="Arial" w:hAnsi="Arial" w:cs="Arial"/>
          <w:sz w:val="20"/>
        </w:rPr>
      </w:pPr>
      <w:r w:rsidRPr="0039268C">
        <w:rPr>
          <w:rFonts w:ascii="Arial" w:hAnsi="Arial" w:cs="Arial"/>
          <w:sz w:val="20"/>
        </w:rPr>
        <w:t xml:space="preserve">V rámci aktivovania povedomia o pomoci EÚ prostredníctvom </w:t>
      </w:r>
      <w:r w:rsidR="000236A4">
        <w:rPr>
          <w:rFonts w:ascii="Arial" w:hAnsi="Arial" w:cs="Arial"/>
          <w:sz w:val="20"/>
        </w:rPr>
        <w:t>OP ŽP</w:t>
      </w:r>
      <w:r w:rsidRPr="0039268C">
        <w:rPr>
          <w:rFonts w:ascii="Arial" w:hAnsi="Arial" w:cs="Arial"/>
          <w:sz w:val="20"/>
        </w:rPr>
        <w:t xml:space="preserve"> boli v roku 2012 distribuované rôzne propagačné predmety (napr. perá, tašky, zakladače a ďalšie prevažne kancelárske potreby), ktoré boli trvalo označené logom </w:t>
      </w:r>
      <w:r w:rsidR="000236A4">
        <w:rPr>
          <w:rFonts w:ascii="Arial" w:hAnsi="Arial" w:cs="Arial"/>
          <w:sz w:val="20"/>
        </w:rPr>
        <w:t>OP ŽP</w:t>
      </w:r>
      <w:r w:rsidRPr="0039268C">
        <w:rPr>
          <w:rFonts w:ascii="Arial" w:hAnsi="Arial" w:cs="Arial"/>
          <w:sz w:val="20"/>
        </w:rPr>
        <w:t xml:space="preserve"> a logom EÚ. Vyššie uvedené propagačné predmety boli distribuované v rámci rôznych informačno-komunikačných aktivít napr. za účelom návštev výstav za účasti MŽP a REPIS, konferencií, seminárov, školení, pracovných skupín, pracovných stretnutí so zástupcami iných inštitúcií zapojených do implementácie prostriedkov </w:t>
      </w:r>
      <w:r w:rsidR="000236A4">
        <w:rPr>
          <w:rFonts w:ascii="Arial" w:hAnsi="Arial" w:cs="Arial"/>
          <w:sz w:val="20"/>
        </w:rPr>
        <w:t>OP ŽP</w:t>
      </w:r>
      <w:r w:rsidRPr="0039268C">
        <w:rPr>
          <w:rFonts w:ascii="Arial" w:hAnsi="Arial" w:cs="Arial"/>
          <w:sz w:val="20"/>
        </w:rPr>
        <w:t xml:space="preserve"> a zástupcami EK. </w:t>
      </w:r>
    </w:p>
    <w:p w:rsidR="00C66C2A" w:rsidRPr="0039268C" w:rsidRDefault="00C66C2A" w:rsidP="00507035">
      <w:pPr>
        <w:spacing w:before="120" w:after="120" w:line="360" w:lineRule="auto"/>
        <w:jc w:val="both"/>
        <w:rPr>
          <w:rFonts w:ascii="Arial" w:hAnsi="Arial" w:cs="Arial"/>
          <w:sz w:val="20"/>
        </w:rPr>
      </w:pPr>
      <w:r w:rsidRPr="0039268C">
        <w:rPr>
          <w:rFonts w:ascii="Arial" w:hAnsi="Arial" w:cs="Arial"/>
          <w:sz w:val="20"/>
        </w:rPr>
        <w:t>O výdaji všetkých propagačných predmetov na uvádzané stretnutia sa na odbore technickej pomoci vedie podrobná dokumentácia – potvrdenie výdaja.</w:t>
      </w:r>
    </w:p>
    <w:p w:rsidR="00E22E86" w:rsidRDefault="00E22E86">
      <w:pPr>
        <w:rPr>
          <w:rFonts w:ascii="Arial" w:hAnsi="Arial" w:cs="Arial"/>
          <w:sz w:val="20"/>
          <w:szCs w:val="20"/>
        </w:rPr>
      </w:pPr>
      <w:r>
        <w:rPr>
          <w:rFonts w:ascii="Arial" w:hAnsi="Arial" w:cs="Arial"/>
          <w:sz w:val="20"/>
          <w:szCs w:val="20"/>
        </w:rPr>
        <w:br w:type="page"/>
      </w:r>
    </w:p>
    <w:p w:rsidR="002416B1" w:rsidRPr="004B33AE" w:rsidRDefault="002416B1" w:rsidP="00507035">
      <w:pPr>
        <w:spacing w:before="120" w:after="120" w:line="360" w:lineRule="auto"/>
        <w:jc w:val="both"/>
        <w:rPr>
          <w:rFonts w:ascii="Arial" w:hAnsi="Arial" w:cs="Arial"/>
          <w:sz w:val="20"/>
          <w:szCs w:val="20"/>
        </w:rPr>
      </w:pPr>
    </w:p>
    <w:p w:rsidR="002416B1" w:rsidRPr="004B33AE" w:rsidRDefault="002416B1" w:rsidP="00507035">
      <w:pPr>
        <w:spacing w:before="120" w:after="120" w:line="360" w:lineRule="auto"/>
        <w:jc w:val="both"/>
        <w:rPr>
          <w:rFonts w:ascii="Arial" w:hAnsi="Arial" w:cs="Arial"/>
          <w:b/>
          <w:i/>
          <w:sz w:val="20"/>
          <w:szCs w:val="20"/>
        </w:rPr>
      </w:pPr>
      <w:bookmarkStart w:id="135" w:name="_Toc315332899"/>
      <w:r w:rsidRPr="004B33AE">
        <w:rPr>
          <w:rFonts w:ascii="Arial" w:hAnsi="Arial" w:cs="Arial"/>
          <w:b/>
          <w:i/>
          <w:sz w:val="20"/>
          <w:szCs w:val="20"/>
        </w:rPr>
        <w:t>Priame informovanie</w:t>
      </w:r>
      <w:bookmarkEnd w:id="135"/>
    </w:p>
    <w:p w:rsidR="00C66C2A" w:rsidRPr="0039268C" w:rsidRDefault="00C66C2A" w:rsidP="00507035">
      <w:pPr>
        <w:spacing w:before="120" w:after="120" w:line="360" w:lineRule="auto"/>
        <w:jc w:val="both"/>
        <w:rPr>
          <w:rFonts w:ascii="Arial" w:hAnsi="Arial" w:cs="Arial"/>
          <w:sz w:val="20"/>
          <w:szCs w:val="20"/>
        </w:rPr>
      </w:pPr>
      <w:r w:rsidRPr="0039268C">
        <w:rPr>
          <w:rFonts w:ascii="Arial" w:hAnsi="Arial" w:cs="Arial"/>
          <w:sz w:val="20"/>
          <w:szCs w:val="20"/>
        </w:rPr>
        <w:t xml:space="preserve">Zástupcovia RO  a siete REPIS poskytovali v roku 2012 konzultačnú činnosť formou: </w:t>
      </w:r>
    </w:p>
    <w:p w:rsidR="00C66C2A" w:rsidRPr="0039268C" w:rsidRDefault="00C66C2A" w:rsidP="001540E7">
      <w:pPr>
        <w:pStyle w:val="Odsekzoznamu"/>
        <w:numPr>
          <w:ilvl w:val="0"/>
          <w:numId w:val="17"/>
        </w:numPr>
        <w:spacing w:before="120" w:after="120" w:line="360" w:lineRule="auto"/>
        <w:ind w:left="714" w:hanging="357"/>
        <w:jc w:val="both"/>
        <w:rPr>
          <w:rFonts w:ascii="Arial" w:hAnsi="Arial" w:cs="Arial"/>
          <w:sz w:val="20"/>
          <w:szCs w:val="20"/>
        </w:rPr>
      </w:pPr>
      <w:r w:rsidRPr="0039268C">
        <w:rPr>
          <w:rFonts w:ascii="Arial" w:hAnsi="Arial" w:cs="Arial"/>
          <w:sz w:val="20"/>
          <w:szCs w:val="20"/>
        </w:rPr>
        <w:t xml:space="preserve">písomnej a telefonickej komunikácie, </w:t>
      </w:r>
    </w:p>
    <w:p w:rsidR="00C66C2A" w:rsidRPr="0039268C" w:rsidRDefault="00C66C2A" w:rsidP="001540E7">
      <w:pPr>
        <w:pStyle w:val="Odsekzoznamu"/>
        <w:numPr>
          <w:ilvl w:val="0"/>
          <w:numId w:val="17"/>
        </w:numPr>
        <w:spacing w:before="120" w:after="120" w:line="360" w:lineRule="auto"/>
        <w:jc w:val="both"/>
        <w:rPr>
          <w:rFonts w:ascii="Arial" w:hAnsi="Arial" w:cs="Arial"/>
          <w:sz w:val="20"/>
          <w:szCs w:val="20"/>
        </w:rPr>
      </w:pPr>
      <w:r w:rsidRPr="0039268C">
        <w:rPr>
          <w:rFonts w:ascii="Arial" w:hAnsi="Arial" w:cs="Arial"/>
          <w:sz w:val="20"/>
          <w:szCs w:val="20"/>
        </w:rPr>
        <w:t>elektronickej e-mailovej komunikácie a </w:t>
      </w:r>
    </w:p>
    <w:p w:rsidR="00C66C2A" w:rsidRPr="0039268C" w:rsidRDefault="00C66C2A" w:rsidP="001540E7">
      <w:pPr>
        <w:pStyle w:val="Odsekzoznamu"/>
        <w:numPr>
          <w:ilvl w:val="0"/>
          <w:numId w:val="17"/>
        </w:numPr>
        <w:spacing w:before="120" w:after="120" w:line="360" w:lineRule="auto"/>
        <w:jc w:val="both"/>
        <w:rPr>
          <w:rFonts w:ascii="Arial" w:hAnsi="Arial" w:cs="Arial"/>
          <w:sz w:val="20"/>
          <w:szCs w:val="20"/>
        </w:rPr>
      </w:pPr>
      <w:r w:rsidRPr="0039268C">
        <w:rPr>
          <w:rFonts w:ascii="Arial" w:hAnsi="Arial" w:cs="Arial"/>
          <w:sz w:val="20"/>
          <w:szCs w:val="20"/>
        </w:rPr>
        <w:t>osobných konzultácií.</w:t>
      </w:r>
    </w:p>
    <w:p w:rsidR="00C66C2A" w:rsidRPr="0039268C" w:rsidRDefault="00C66C2A" w:rsidP="00507035">
      <w:pPr>
        <w:spacing w:before="120" w:after="120" w:line="360" w:lineRule="auto"/>
        <w:jc w:val="both"/>
        <w:rPr>
          <w:rFonts w:ascii="Arial" w:hAnsi="Arial" w:cs="Arial"/>
          <w:sz w:val="20"/>
          <w:szCs w:val="20"/>
        </w:rPr>
      </w:pPr>
      <w:r w:rsidRPr="0039268C">
        <w:rPr>
          <w:rFonts w:ascii="Arial" w:hAnsi="Arial" w:cs="Arial"/>
          <w:sz w:val="20"/>
          <w:szCs w:val="20"/>
        </w:rPr>
        <w:t xml:space="preserve">Odpovede poskytovali zamestnanci RO  podľa odbornej príslušnosti za jednotlivé prioritné osi programu a procesy implementácie </w:t>
      </w:r>
      <w:r w:rsidR="000236A4">
        <w:rPr>
          <w:rFonts w:ascii="Arial" w:hAnsi="Arial" w:cs="Arial"/>
          <w:sz w:val="20"/>
          <w:szCs w:val="20"/>
        </w:rPr>
        <w:t>OP ŽP</w:t>
      </w:r>
      <w:r w:rsidRPr="0039268C">
        <w:rPr>
          <w:rFonts w:ascii="Arial" w:hAnsi="Arial" w:cs="Arial"/>
          <w:sz w:val="20"/>
          <w:szCs w:val="20"/>
        </w:rPr>
        <w:t xml:space="preserve"> a pracovníci kancelárií REPIS v regiónoch Slovenska.</w:t>
      </w:r>
    </w:p>
    <w:p w:rsidR="00C66C2A" w:rsidRPr="0039268C" w:rsidRDefault="00C66C2A" w:rsidP="00507035">
      <w:pPr>
        <w:spacing w:before="120" w:after="120" w:line="360" w:lineRule="auto"/>
        <w:jc w:val="both"/>
        <w:rPr>
          <w:rFonts w:ascii="Arial" w:hAnsi="Arial" w:cs="Arial"/>
          <w:sz w:val="20"/>
          <w:szCs w:val="20"/>
          <w:u w:val="single"/>
        </w:rPr>
      </w:pPr>
      <w:r w:rsidRPr="0039268C">
        <w:rPr>
          <w:rFonts w:ascii="Arial" w:hAnsi="Arial" w:cs="Arial"/>
          <w:sz w:val="20"/>
          <w:szCs w:val="20"/>
          <w:u w:val="single"/>
        </w:rPr>
        <w:t>RO :</w:t>
      </w:r>
    </w:p>
    <w:p w:rsidR="00C66C2A" w:rsidRPr="0039268C" w:rsidRDefault="00C66C2A" w:rsidP="00507035">
      <w:pPr>
        <w:spacing w:before="120" w:after="120" w:line="360" w:lineRule="auto"/>
        <w:jc w:val="both"/>
        <w:rPr>
          <w:rFonts w:ascii="Arial" w:hAnsi="Arial" w:cs="Arial"/>
          <w:sz w:val="20"/>
          <w:szCs w:val="20"/>
        </w:rPr>
      </w:pPr>
      <w:r w:rsidRPr="0039268C">
        <w:rPr>
          <w:rFonts w:ascii="Arial" w:hAnsi="Arial" w:cs="Arial"/>
          <w:sz w:val="20"/>
          <w:szCs w:val="20"/>
        </w:rPr>
        <w:t xml:space="preserve">V súvislosti s vybavovaním žiadostí o informácie podľa zákona č. 211/2000 Z.z. o slobodnom prístupe k informáciám  a žiadostí smerovaných na emailové kontakty </w:t>
      </w:r>
      <w:hyperlink r:id="rId91" w:history="1">
        <w:r w:rsidRPr="0039268C">
          <w:rPr>
            <w:rStyle w:val="Hypertextovprepojenie"/>
            <w:rFonts w:ascii="Arial" w:hAnsi="Arial" w:cs="Arial"/>
            <w:sz w:val="20"/>
            <w:szCs w:val="20"/>
          </w:rPr>
          <w:t>info@enviro.gov.sk</w:t>
        </w:r>
      </w:hyperlink>
      <w:r w:rsidRPr="0039268C">
        <w:rPr>
          <w:rFonts w:ascii="Arial" w:hAnsi="Arial" w:cs="Arial"/>
          <w:sz w:val="20"/>
          <w:szCs w:val="20"/>
        </w:rPr>
        <w:t xml:space="preserve"> a </w:t>
      </w:r>
      <w:hyperlink r:id="rId92" w:history="1">
        <w:r w:rsidRPr="0039268C">
          <w:rPr>
            <w:rStyle w:val="Hypertextovprepojenie"/>
            <w:rFonts w:ascii="Arial" w:hAnsi="Arial" w:cs="Arial"/>
            <w:sz w:val="20"/>
            <w:szCs w:val="20"/>
          </w:rPr>
          <w:t>opc@enviro.gov.sk</w:t>
        </w:r>
      </w:hyperlink>
      <w:r w:rsidRPr="0039268C">
        <w:rPr>
          <w:rFonts w:ascii="Arial" w:hAnsi="Arial" w:cs="Arial"/>
          <w:sz w:val="20"/>
          <w:szCs w:val="20"/>
        </w:rPr>
        <w:t xml:space="preserve"> vypracovaných </w:t>
      </w:r>
      <w:r w:rsidR="00C63892">
        <w:rPr>
          <w:rFonts w:ascii="Arial" w:hAnsi="Arial" w:cs="Arial"/>
          <w:sz w:val="20"/>
          <w:szCs w:val="20"/>
        </w:rPr>
        <w:t xml:space="preserve">RO </w:t>
      </w:r>
      <w:r w:rsidRPr="0039268C">
        <w:rPr>
          <w:rFonts w:ascii="Arial" w:hAnsi="Arial" w:cs="Arial"/>
          <w:sz w:val="20"/>
          <w:szCs w:val="20"/>
        </w:rPr>
        <w:t>za rok 2012 boli v rámci Sekcie environmentálnych programov a projektov najčastejšie žiadané informácie z nasledujúcich okruhov:</w:t>
      </w:r>
    </w:p>
    <w:p w:rsidR="00C66C2A" w:rsidRPr="0039268C" w:rsidRDefault="00C66C2A" w:rsidP="00507035">
      <w:pPr>
        <w:pStyle w:val="Normlnywebov"/>
        <w:spacing w:before="120" w:beforeAutospacing="0" w:after="120" w:afterAutospacing="0" w:line="360" w:lineRule="auto"/>
        <w:rPr>
          <w:rFonts w:ascii="Arial" w:hAnsi="Arial" w:cs="Arial"/>
          <w:sz w:val="20"/>
          <w:szCs w:val="20"/>
          <w:lang w:val="sk-SK"/>
        </w:rPr>
      </w:pPr>
      <w:r w:rsidRPr="0039268C">
        <w:rPr>
          <w:rFonts w:ascii="Arial" w:hAnsi="Arial" w:cs="Arial"/>
          <w:bCs/>
          <w:i/>
          <w:sz w:val="20"/>
          <w:szCs w:val="20"/>
        </w:rPr>
        <w:t>Odbor riadenia programov</w:t>
      </w:r>
      <w:r w:rsidRPr="0039268C">
        <w:rPr>
          <w:rFonts w:ascii="Arial" w:hAnsi="Arial" w:cs="Arial"/>
          <w:i/>
          <w:sz w:val="20"/>
          <w:szCs w:val="20"/>
        </w:rPr>
        <w:t>:</w:t>
      </w:r>
      <w:r w:rsidRPr="0039268C">
        <w:rPr>
          <w:rFonts w:ascii="Arial" w:hAnsi="Arial" w:cs="Arial"/>
          <w:i/>
          <w:color w:val="000000"/>
          <w:sz w:val="20"/>
          <w:szCs w:val="20"/>
        </w:rPr>
        <w:t xml:space="preserve"> </w:t>
      </w:r>
      <w:r w:rsidRPr="0039268C">
        <w:rPr>
          <w:rStyle w:val="Siln"/>
          <w:rFonts w:ascii="Arial" w:hAnsi="Arial" w:cs="Arial"/>
          <w:i/>
          <w:color w:val="000000"/>
          <w:sz w:val="20"/>
          <w:szCs w:val="20"/>
        </w:rPr>
        <w:t xml:space="preserve">70 </w:t>
      </w:r>
      <w:r w:rsidRPr="0039268C">
        <w:rPr>
          <w:rStyle w:val="Siln"/>
          <w:rFonts w:ascii="Arial" w:hAnsi="Arial" w:cs="Arial"/>
          <w:i/>
          <w:sz w:val="20"/>
          <w:szCs w:val="20"/>
        </w:rPr>
        <w:t>ŽOI</w:t>
      </w:r>
      <w:r w:rsidRPr="0039268C">
        <w:rPr>
          <w:rFonts w:ascii="Arial" w:hAnsi="Arial" w:cs="Arial"/>
          <w:sz w:val="20"/>
          <w:szCs w:val="20"/>
        </w:rPr>
        <w:br/>
        <w:t>•</w:t>
      </w:r>
      <w:r w:rsidRPr="0039268C">
        <w:rPr>
          <w:rFonts w:ascii="Arial" w:hAnsi="Arial" w:cs="Arial"/>
          <w:color w:val="1F497D"/>
          <w:sz w:val="20"/>
          <w:szCs w:val="20"/>
        </w:rPr>
        <w:t xml:space="preserve"> </w:t>
      </w:r>
      <w:r w:rsidRPr="0039268C">
        <w:rPr>
          <w:rFonts w:ascii="Arial" w:hAnsi="Arial" w:cs="Arial"/>
          <w:sz w:val="20"/>
          <w:szCs w:val="20"/>
          <w:lang w:val="sk-SK"/>
        </w:rPr>
        <w:t>možnosti podpory z fondov EÚ</w:t>
      </w:r>
      <w:r w:rsidRPr="0039268C">
        <w:rPr>
          <w:rFonts w:ascii="Arial" w:hAnsi="Arial" w:cs="Arial"/>
          <w:sz w:val="20"/>
          <w:szCs w:val="20"/>
          <w:lang w:val="sk-SK"/>
        </w:rPr>
        <w:br/>
        <w:t>•</w:t>
      </w:r>
      <w:r w:rsidRPr="0039268C">
        <w:rPr>
          <w:rFonts w:ascii="Arial" w:hAnsi="Arial" w:cs="Arial"/>
          <w:color w:val="1F497D"/>
          <w:sz w:val="20"/>
          <w:szCs w:val="20"/>
          <w:lang w:val="sk-SK"/>
        </w:rPr>
        <w:t xml:space="preserve"> </w:t>
      </w:r>
      <w:r w:rsidRPr="0039268C">
        <w:rPr>
          <w:rFonts w:ascii="Arial" w:hAnsi="Arial" w:cs="Arial"/>
          <w:sz w:val="20"/>
          <w:szCs w:val="20"/>
          <w:lang w:val="sk-SK"/>
        </w:rPr>
        <w:t>oprávnenosť</w:t>
      </w:r>
      <w:r w:rsidRPr="0039268C">
        <w:rPr>
          <w:rFonts w:ascii="Arial" w:hAnsi="Arial" w:cs="Arial"/>
          <w:sz w:val="20"/>
          <w:szCs w:val="20"/>
          <w:lang w:val="sk-SK"/>
        </w:rPr>
        <w:br/>
        <w:t>•</w:t>
      </w:r>
      <w:r w:rsidRPr="0039268C">
        <w:rPr>
          <w:rFonts w:ascii="Arial" w:hAnsi="Arial" w:cs="Arial"/>
          <w:color w:val="1F497D"/>
          <w:sz w:val="20"/>
          <w:szCs w:val="20"/>
          <w:lang w:val="sk-SK"/>
        </w:rPr>
        <w:t xml:space="preserve"> </w:t>
      </w:r>
      <w:r w:rsidRPr="0039268C">
        <w:rPr>
          <w:rFonts w:ascii="Arial" w:hAnsi="Arial" w:cs="Arial"/>
          <w:sz w:val="20"/>
          <w:szCs w:val="20"/>
          <w:lang w:val="sk-SK"/>
        </w:rPr>
        <w:t>zverejnenie harmonogramu výziev</w:t>
      </w:r>
      <w:r w:rsidRPr="0039268C">
        <w:rPr>
          <w:rFonts w:ascii="Arial" w:hAnsi="Arial" w:cs="Arial"/>
          <w:sz w:val="20"/>
          <w:szCs w:val="20"/>
          <w:lang w:val="sk-SK"/>
        </w:rPr>
        <w:br/>
        <w:t>•</w:t>
      </w:r>
      <w:r w:rsidRPr="0039268C">
        <w:rPr>
          <w:rFonts w:ascii="Arial" w:hAnsi="Arial" w:cs="Arial"/>
          <w:color w:val="1F497D"/>
          <w:sz w:val="20"/>
          <w:szCs w:val="20"/>
          <w:lang w:val="sk-SK"/>
        </w:rPr>
        <w:t xml:space="preserve"> </w:t>
      </w:r>
      <w:r w:rsidRPr="0039268C">
        <w:rPr>
          <w:rFonts w:ascii="Arial" w:hAnsi="Arial" w:cs="Arial"/>
          <w:sz w:val="20"/>
          <w:szCs w:val="20"/>
          <w:lang w:val="sk-SK"/>
        </w:rPr>
        <w:t>povinné prílohy žiadosti o NFP</w:t>
      </w:r>
      <w:r w:rsidRPr="0039268C">
        <w:rPr>
          <w:rFonts w:ascii="Arial" w:hAnsi="Arial" w:cs="Arial"/>
          <w:sz w:val="20"/>
          <w:szCs w:val="20"/>
          <w:lang w:val="sk-SK"/>
        </w:rPr>
        <w:br/>
        <w:t>•</w:t>
      </w:r>
      <w:r w:rsidRPr="0039268C">
        <w:rPr>
          <w:rFonts w:ascii="Arial" w:hAnsi="Arial" w:cs="Arial"/>
          <w:color w:val="1F497D"/>
          <w:sz w:val="20"/>
          <w:szCs w:val="20"/>
          <w:lang w:val="sk-SK"/>
        </w:rPr>
        <w:t xml:space="preserve"> </w:t>
      </w:r>
      <w:r w:rsidRPr="0039268C">
        <w:rPr>
          <w:rFonts w:ascii="Arial" w:hAnsi="Arial" w:cs="Arial"/>
          <w:sz w:val="20"/>
          <w:szCs w:val="20"/>
          <w:lang w:val="sk-SK"/>
        </w:rPr>
        <w:t xml:space="preserve">spolufinancovanie </w:t>
      </w:r>
    </w:p>
    <w:p w:rsidR="00C66C2A" w:rsidRPr="0039268C" w:rsidRDefault="00C66C2A" w:rsidP="00507035">
      <w:pPr>
        <w:pStyle w:val="Normlnywebov"/>
        <w:spacing w:before="120" w:beforeAutospacing="0" w:after="120" w:afterAutospacing="0" w:line="360" w:lineRule="auto"/>
        <w:rPr>
          <w:rFonts w:ascii="Arial" w:hAnsi="Arial" w:cs="Arial"/>
          <w:sz w:val="20"/>
          <w:szCs w:val="20"/>
          <w:lang w:val="sk-SK"/>
        </w:rPr>
      </w:pPr>
      <w:r w:rsidRPr="0039268C">
        <w:rPr>
          <w:rFonts w:ascii="Arial" w:hAnsi="Arial" w:cs="Arial"/>
          <w:bCs/>
          <w:i/>
          <w:sz w:val="20"/>
          <w:szCs w:val="20"/>
          <w:lang w:val="sk-SK"/>
        </w:rPr>
        <w:t>Odbor riadenia administrácie projektov</w:t>
      </w:r>
      <w:r w:rsidRPr="0039268C">
        <w:rPr>
          <w:rFonts w:ascii="Arial" w:hAnsi="Arial" w:cs="Arial"/>
          <w:i/>
          <w:sz w:val="20"/>
          <w:szCs w:val="20"/>
          <w:lang w:val="sk-SK"/>
        </w:rPr>
        <w:t xml:space="preserve">: </w:t>
      </w:r>
      <w:r w:rsidRPr="0039268C">
        <w:rPr>
          <w:rStyle w:val="Siln"/>
          <w:rFonts w:ascii="Arial" w:hAnsi="Arial" w:cs="Arial"/>
          <w:i/>
          <w:color w:val="000000"/>
          <w:sz w:val="20"/>
          <w:szCs w:val="20"/>
          <w:lang w:val="sk-SK"/>
        </w:rPr>
        <w:t>46</w:t>
      </w:r>
      <w:r w:rsidRPr="0039268C">
        <w:rPr>
          <w:rStyle w:val="Siln"/>
          <w:rFonts w:ascii="Arial" w:hAnsi="Arial" w:cs="Arial"/>
          <w:i/>
          <w:color w:val="FF0000"/>
          <w:sz w:val="20"/>
          <w:szCs w:val="20"/>
          <w:lang w:val="sk-SK"/>
        </w:rPr>
        <w:t xml:space="preserve"> </w:t>
      </w:r>
      <w:r w:rsidRPr="0039268C">
        <w:rPr>
          <w:rStyle w:val="Siln"/>
          <w:rFonts w:ascii="Arial" w:hAnsi="Arial" w:cs="Arial"/>
          <w:i/>
          <w:sz w:val="20"/>
          <w:szCs w:val="20"/>
          <w:lang w:val="sk-SK"/>
        </w:rPr>
        <w:t>ŽOI</w:t>
      </w:r>
      <w:r w:rsidRPr="0039268C">
        <w:rPr>
          <w:rFonts w:ascii="Arial" w:hAnsi="Arial" w:cs="Arial"/>
          <w:b/>
          <w:bCs/>
          <w:sz w:val="20"/>
          <w:szCs w:val="20"/>
          <w:lang w:val="sk-SK"/>
        </w:rPr>
        <w:br/>
      </w:r>
      <w:r w:rsidRPr="0039268C">
        <w:rPr>
          <w:rFonts w:ascii="Arial" w:hAnsi="Arial" w:cs="Arial"/>
          <w:sz w:val="20"/>
          <w:szCs w:val="20"/>
          <w:lang w:val="sk-SK"/>
        </w:rPr>
        <w:t>•</w:t>
      </w:r>
      <w:r w:rsidRPr="0039268C">
        <w:rPr>
          <w:rFonts w:ascii="Arial" w:hAnsi="Arial" w:cs="Arial"/>
          <w:color w:val="1F497D"/>
          <w:sz w:val="20"/>
          <w:szCs w:val="20"/>
          <w:lang w:val="sk-SK"/>
        </w:rPr>
        <w:t xml:space="preserve"> </w:t>
      </w:r>
      <w:r w:rsidRPr="0039268C">
        <w:rPr>
          <w:rFonts w:ascii="Arial" w:hAnsi="Arial" w:cs="Arial"/>
          <w:sz w:val="20"/>
          <w:szCs w:val="20"/>
          <w:lang w:val="sk-SK"/>
        </w:rPr>
        <w:t>zaslanie hodnotiacich hárkov k projektom</w:t>
      </w:r>
      <w:r w:rsidRPr="0039268C">
        <w:rPr>
          <w:rFonts w:ascii="Arial" w:hAnsi="Arial" w:cs="Arial"/>
          <w:sz w:val="20"/>
          <w:szCs w:val="20"/>
          <w:lang w:val="sk-SK"/>
        </w:rPr>
        <w:br/>
        <w:t>•</w:t>
      </w:r>
      <w:r w:rsidRPr="0039268C">
        <w:rPr>
          <w:rFonts w:ascii="Arial" w:hAnsi="Arial" w:cs="Arial"/>
          <w:color w:val="1F497D"/>
          <w:sz w:val="20"/>
          <w:szCs w:val="20"/>
          <w:lang w:val="sk-SK"/>
        </w:rPr>
        <w:t xml:space="preserve"> </w:t>
      </w:r>
      <w:r w:rsidRPr="0039268C">
        <w:rPr>
          <w:rFonts w:ascii="Arial" w:hAnsi="Arial" w:cs="Arial"/>
          <w:sz w:val="20"/>
          <w:szCs w:val="20"/>
          <w:lang w:val="sk-SK"/>
        </w:rPr>
        <w:t>zaslanie zoznamov žiadateľov o NFP</w:t>
      </w:r>
      <w:r w:rsidRPr="0039268C">
        <w:rPr>
          <w:rFonts w:ascii="Arial" w:hAnsi="Arial" w:cs="Arial"/>
          <w:sz w:val="20"/>
          <w:szCs w:val="20"/>
          <w:lang w:val="sk-SK"/>
        </w:rPr>
        <w:br/>
        <w:t>•</w:t>
      </w:r>
      <w:r w:rsidRPr="0039268C">
        <w:rPr>
          <w:rFonts w:ascii="Arial" w:hAnsi="Arial" w:cs="Arial"/>
          <w:color w:val="1F497D"/>
          <w:sz w:val="20"/>
          <w:szCs w:val="20"/>
          <w:lang w:val="sk-SK"/>
        </w:rPr>
        <w:t xml:space="preserve"> </w:t>
      </w:r>
      <w:r w:rsidRPr="0039268C">
        <w:rPr>
          <w:rFonts w:ascii="Arial" w:hAnsi="Arial" w:cs="Arial"/>
          <w:sz w:val="20"/>
          <w:szCs w:val="20"/>
          <w:lang w:val="sk-SK"/>
        </w:rPr>
        <w:t>otázky k systému ITMS</w:t>
      </w:r>
    </w:p>
    <w:p w:rsidR="00C66C2A" w:rsidRPr="0039268C" w:rsidRDefault="00C66C2A" w:rsidP="00507035">
      <w:pPr>
        <w:pStyle w:val="Normlnywebov"/>
        <w:spacing w:before="120" w:beforeAutospacing="0" w:after="120" w:afterAutospacing="0" w:line="360" w:lineRule="auto"/>
        <w:rPr>
          <w:rFonts w:ascii="Arial" w:hAnsi="Arial" w:cs="Arial"/>
          <w:color w:val="1F497D"/>
          <w:sz w:val="20"/>
          <w:szCs w:val="20"/>
          <w:lang w:val="sk-SK"/>
        </w:rPr>
      </w:pPr>
      <w:r w:rsidRPr="0039268C">
        <w:rPr>
          <w:rFonts w:ascii="Arial" w:hAnsi="Arial" w:cs="Arial"/>
          <w:bCs/>
          <w:i/>
          <w:sz w:val="20"/>
          <w:szCs w:val="20"/>
          <w:lang w:val="sk-SK"/>
        </w:rPr>
        <w:t>Odbor riadenia implementácie projektov</w:t>
      </w:r>
      <w:r w:rsidRPr="0039268C">
        <w:rPr>
          <w:rFonts w:ascii="Arial" w:hAnsi="Arial" w:cs="Arial"/>
          <w:i/>
          <w:sz w:val="20"/>
          <w:szCs w:val="20"/>
          <w:lang w:val="sk-SK"/>
        </w:rPr>
        <w:t xml:space="preserve">: </w:t>
      </w:r>
      <w:r w:rsidRPr="0039268C">
        <w:rPr>
          <w:rStyle w:val="Siln"/>
          <w:rFonts w:ascii="Arial" w:hAnsi="Arial" w:cs="Arial"/>
          <w:i/>
          <w:color w:val="000000"/>
          <w:sz w:val="20"/>
          <w:szCs w:val="20"/>
          <w:lang w:val="sk-SK"/>
        </w:rPr>
        <w:t>36</w:t>
      </w:r>
      <w:r w:rsidRPr="0039268C">
        <w:rPr>
          <w:rStyle w:val="Siln"/>
          <w:rFonts w:ascii="Arial" w:hAnsi="Arial" w:cs="Arial"/>
          <w:i/>
          <w:sz w:val="20"/>
          <w:szCs w:val="20"/>
          <w:lang w:val="sk-SK"/>
        </w:rPr>
        <w:t xml:space="preserve"> ŽOI</w:t>
      </w:r>
      <w:r w:rsidRPr="0039268C">
        <w:rPr>
          <w:rFonts w:ascii="Arial" w:hAnsi="Arial" w:cs="Arial"/>
          <w:b/>
          <w:bCs/>
          <w:sz w:val="20"/>
          <w:szCs w:val="20"/>
          <w:lang w:val="sk-SK"/>
        </w:rPr>
        <w:br/>
      </w:r>
      <w:r w:rsidRPr="0039268C">
        <w:rPr>
          <w:rFonts w:ascii="Arial" w:hAnsi="Arial" w:cs="Arial"/>
          <w:sz w:val="20"/>
          <w:szCs w:val="20"/>
          <w:lang w:val="sk-SK"/>
        </w:rPr>
        <w:t>•</w:t>
      </w:r>
      <w:r w:rsidRPr="0039268C">
        <w:rPr>
          <w:rFonts w:ascii="Arial" w:hAnsi="Arial" w:cs="Arial"/>
          <w:color w:val="1F497D"/>
          <w:sz w:val="20"/>
          <w:szCs w:val="20"/>
          <w:lang w:val="sk-SK"/>
        </w:rPr>
        <w:t xml:space="preserve"> </w:t>
      </w:r>
      <w:r w:rsidRPr="0039268C">
        <w:rPr>
          <w:rFonts w:ascii="Arial" w:hAnsi="Arial" w:cs="Arial"/>
          <w:sz w:val="20"/>
          <w:szCs w:val="20"/>
          <w:lang w:val="sk-SK"/>
        </w:rPr>
        <w:t>verejné obstarávanie</w:t>
      </w:r>
      <w:r w:rsidRPr="0039268C">
        <w:rPr>
          <w:rFonts w:ascii="Arial" w:hAnsi="Arial" w:cs="Arial"/>
          <w:sz w:val="20"/>
          <w:szCs w:val="20"/>
          <w:lang w:val="sk-SK"/>
        </w:rPr>
        <w:br/>
        <w:t>•</w:t>
      </w:r>
      <w:r w:rsidRPr="0039268C">
        <w:rPr>
          <w:rFonts w:ascii="Arial" w:hAnsi="Arial" w:cs="Arial"/>
          <w:color w:val="1F497D"/>
          <w:sz w:val="20"/>
          <w:szCs w:val="20"/>
          <w:lang w:val="sk-SK"/>
        </w:rPr>
        <w:t xml:space="preserve"> </w:t>
      </w:r>
      <w:r w:rsidRPr="0039268C">
        <w:rPr>
          <w:rFonts w:ascii="Arial" w:hAnsi="Arial" w:cs="Arial"/>
          <w:sz w:val="20"/>
          <w:szCs w:val="20"/>
          <w:lang w:val="sk-SK"/>
        </w:rPr>
        <w:t>informácie k stavu implementácie konkrétnych projektov</w:t>
      </w:r>
      <w:r w:rsidRPr="0039268C">
        <w:rPr>
          <w:rFonts w:ascii="Arial" w:hAnsi="Arial" w:cs="Arial"/>
          <w:sz w:val="20"/>
          <w:szCs w:val="20"/>
          <w:lang w:val="sk-SK"/>
        </w:rPr>
        <w:br/>
        <w:t>•</w:t>
      </w:r>
      <w:r w:rsidRPr="0039268C">
        <w:rPr>
          <w:rFonts w:ascii="Arial" w:hAnsi="Arial" w:cs="Arial"/>
          <w:color w:val="1F497D"/>
          <w:sz w:val="20"/>
          <w:szCs w:val="20"/>
          <w:lang w:val="sk-SK"/>
        </w:rPr>
        <w:t xml:space="preserve"> </w:t>
      </w:r>
      <w:r w:rsidRPr="0039268C">
        <w:rPr>
          <w:rFonts w:ascii="Arial" w:hAnsi="Arial" w:cs="Arial"/>
          <w:sz w:val="20"/>
          <w:szCs w:val="20"/>
          <w:lang w:val="sk-SK"/>
        </w:rPr>
        <w:t>predloženie projektovej dokumentácie</w:t>
      </w:r>
    </w:p>
    <w:p w:rsidR="00C66C2A" w:rsidRPr="0039268C" w:rsidRDefault="00C66C2A" w:rsidP="00507035">
      <w:pPr>
        <w:pStyle w:val="Normlnywebov"/>
        <w:spacing w:before="120" w:beforeAutospacing="0" w:after="120" w:afterAutospacing="0" w:line="360" w:lineRule="auto"/>
        <w:rPr>
          <w:rFonts w:ascii="Arial" w:hAnsi="Arial" w:cs="Arial"/>
          <w:bCs/>
          <w:i/>
          <w:sz w:val="20"/>
          <w:szCs w:val="20"/>
          <w:lang w:val="sk-SK"/>
        </w:rPr>
      </w:pPr>
      <w:r w:rsidRPr="0039268C">
        <w:rPr>
          <w:rFonts w:ascii="Arial" w:hAnsi="Arial" w:cs="Arial"/>
          <w:bCs/>
          <w:i/>
          <w:sz w:val="20"/>
          <w:szCs w:val="20"/>
          <w:lang w:val="sk-SK"/>
        </w:rPr>
        <w:t>Odbor platieb a koordinácie auditov</w:t>
      </w:r>
      <w:r w:rsidRPr="0039268C">
        <w:rPr>
          <w:rFonts w:ascii="Arial" w:hAnsi="Arial" w:cs="Arial"/>
          <w:i/>
          <w:sz w:val="20"/>
          <w:szCs w:val="20"/>
          <w:lang w:val="sk-SK"/>
        </w:rPr>
        <w:t>:</w:t>
      </w:r>
      <w:r w:rsidRPr="0039268C">
        <w:rPr>
          <w:rFonts w:ascii="Arial" w:hAnsi="Arial" w:cs="Arial"/>
          <w:i/>
          <w:color w:val="000000"/>
          <w:sz w:val="20"/>
          <w:szCs w:val="20"/>
          <w:lang w:val="sk-SK"/>
        </w:rPr>
        <w:t xml:space="preserve"> </w:t>
      </w:r>
      <w:r w:rsidRPr="0039268C">
        <w:rPr>
          <w:rFonts w:ascii="Arial" w:hAnsi="Arial" w:cs="Arial"/>
          <w:bCs/>
          <w:i/>
          <w:color w:val="000000"/>
          <w:sz w:val="20"/>
          <w:szCs w:val="20"/>
          <w:lang w:val="sk-SK"/>
        </w:rPr>
        <w:t>4</w:t>
      </w:r>
      <w:r w:rsidRPr="0039268C">
        <w:rPr>
          <w:rFonts w:ascii="Arial" w:hAnsi="Arial" w:cs="Arial"/>
          <w:i/>
          <w:color w:val="000000"/>
          <w:sz w:val="20"/>
          <w:szCs w:val="20"/>
          <w:lang w:val="sk-SK"/>
        </w:rPr>
        <w:t xml:space="preserve"> </w:t>
      </w:r>
      <w:r w:rsidRPr="0039268C">
        <w:rPr>
          <w:rFonts w:ascii="Arial" w:hAnsi="Arial" w:cs="Arial"/>
          <w:bCs/>
          <w:i/>
          <w:sz w:val="20"/>
          <w:szCs w:val="20"/>
          <w:lang w:val="sk-SK"/>
        </w:rPr>
        <w:t>ŽOI</w:t>
      </w:r>
    </w:p>
    <w:p w:rsidR="00C66C2A" w:rsidRPr="0039268C" w:rsidRDefault="00C66C2A" w:rsidP="00507035">
      <w:pPr>
        <w:pStyle w:val="Normlnywebov"/>
        <w:spacing w:before="120" w:beforeAutospacing="0" w:after="120" w:afterAutospacing="0" w:line="360" w:lineRule="auto"/>
        <w:rPr>
          <w:rFonts w:ascii="Arial" w:hAnsi="Arial" w:cs="Arial"/>
          <w:b/>
          <w:bCs/>
          <w:sz w:val="20"/>
          <w:szCs w:val="20"/>
          <w:lang w:val="sk-SK"/>
        </w:rPr>
      </w:pPr>
      <w:r w:rsidRPr="0039268C">
        <w:rPr>
          <w:rFonts w:ascii="Arial" w:hAnsi="Arial" w:cs="Arial"/>
          <w:sz w:val="20"/>
          <w:szCs w:val="20"/>
          <w:lang w:val="sk-SK"/>
        </w:rPr>
        <w:t xml:space="preserve">• úroveň čerpania prostriedkov z </w:t>
      </w:r>
      <w:r w:rsidR="000236A4">
        <w:rPr>
          <w:rFonts w:ascii="Arial" w:hAnsi="Arial" w:cs="Arial"/>
          <w:sz w:val="20"/>
          <w:szCs w:val="20"/>
          <w:lang w:val="sk-SK"/>
        </w:rPr>
        <w:t>OP ŽP</w:t>
      </w:r>
      <w:r w:rsidRPr="0039268C">
        <w:rPr>
          <w:rFonts w:ascii="Arial" w:hAnsi="Arial" w:cs="Arial"/>
          <w:sz w:val="20"/>
          <w:szCs w:val="20"/>
          <w:lang w:val="sk-SK"/>
        </w:rPr>
        <w:br/>
        <w:t xml:space="preserve">• zápisnice z auditu a kontroly za </w:t>
      </w:r>
      <w:r w:rsidR="000236A4">
        <w:rPr>
          <w:rFonts w:ascii="Arial" w:hAnsi="Arial" w:cs="Arial"/>
          <w:sz w:val="20"/>
          <w:szCs w:val="20"/>
          <w:lang w:val="sk-SK"/>
        </w:rPr>
        <w:t>OP ŽP</w:t>
      </w:r>
      <w:r w:rsidRPr="0039268C">
        <w:rPr>
          <w:rFonts w:ascii="Arial" w:hAnsi="Arial" w:cs="Arial"/>
          <w:sz w:val="20"/>
          <w:szCs w:val="20"/>
          <w:lang w:val="sk-SK"/>
        </w:rPr>
        <w:t xml:space="preserve"> </w:t>
      </w:r>
      <w:r w:rsidRPr="0039268C">
        <w:rPr>
          <w:rFonts w:ascii="Arial" w:hAnsi="Arial" w:cs="Arial"/>
          <w:sz w:val="20"/>
          <w:szCs w:val="20"/>
          <w:lang w:val="sk-SK"/>
        </w:rPr>
        <w:br/>
        <w:t>• podiel financovania za jednotlivé zdroje</w:t>
      </w:r>
    </w:p>
    <w:p w:rsidR="000A02D3" w:rsidRDefault="000A02D3">
      <w:pPr>
        <w:rPr>
          <w:rFonts w:ascii="Arial" w:hAnsi="Arial" w:cs="Arial"/>
          <w:bCs/>
          <w:i/>
          <w:sz w:val="20"/>
          <w:szCs w:val="20"/>
          <w:lang w:eastAsia="cs-CZ"/>
        </w:rPr>
      </w:pPr>
      <w:r>
        <w:rPr>
          <w:rFonts w:ascii="Arial" w:hAnsi="Arial" w:cs="Arial"/>
          <w:bCs/>
          <w:i/>
          <w:sz w:val="20"/>
          <w:szCs w:val="20"/>
        </w:rPr>
        <w:br w:type="page"/>
      </w:r>
    </w:p>
    <w:p w:rsidR="00C66C2A" w:rsidRPr="0039268C" w:rsidRDefault="00C66C2A" w:rsidP="00507035">
      <w:pPr>
        <w:pStyle w:val="Normlnywebov"/>
        <w:spacing w:before="120" w:beforeAutospacing="0" w:after="120" w:afterAutospacing="0" w:line="360" w:lineRule="auto"/>
        <w:rPr>
          <w:rFonts w:ascii="Arial" w:hAnsi="Arial" w:cs="Arial"/>
          <w:b/>
          <w:bCs/>
          <w:sz w:val="20"/>
          <w:szCs w:val="20"/>
          <w:lang w:val="sk-SK"/>
        </w:rPr>
      </w:pPr>
      <w:r w:rsidRPr="0039268C">
        <w:rPr>
          <w:rFonts w:ascii="Arial" w:hAnsi="Arial" w:cs="Arial"/>
          <w:bCs/>
          <w:i/>
          <w:sz w:val="20"/>
          <w:szCs w:val="20"/>
          <w:lang w:val="sk-SK"/>
        </w:rPr>
        <w:t>Odbor technickej pomoci</w:t>
      </w:r>
      <w:r w:rsidRPr="0039268C">
        <w:rPr>
          <w:rFonts w:ascii="Arial" w:hAnsi="Arial" w:cs="Arial"/>
          <w:i/>
          <w:sz w:val="20"/>
          <w:szCs w:val="20"/>
          <w:lang w:val="sk-SK"/>
        </w:rPr>
        <w:t xml:space="preserve">: </w:t>
      </w:r>
      <w:r w:rsidRPr="0039268C">
        <w:rPr>
          <w:rStyle w:val="Siln"/>
          <w:rFonts w:ascii="Arial" w:hAnsi="Arial" w:cs="Arial"/>
          <w:i/>
          <w:color w:val="000000"/>
          <w:sz w:val="20"/>
          <w:szCs w:val="20"/>
          <w:lang w:val="sk-SK"/>
        </w:rPr>
        <w:t>5</w:t>
      </w:r>
      <w:r w:rsidRPr="0039268C">
        <w:rPr>
          <w:rStyle w:val="Siln"/>
          <w:rFonts w:ascii="Arial" w:hAnsi="Arial" w:cs="Arial"/>
          <w:i/>
          <w:sz w:val="20"/>
          <w:szCs w:val="20"/>
          <w:lang w:val="sk-SK"/>
        </w:rPr>
        <w:t xml:space="preserve"> ŽOI</w:t>
      </w:r>
      <w:r w:rsidRPr="0039268C">
        <w:rPr>
          <w:rFonts w:ascii="Arial" w:hAnsi="Arial" w:cs="Arial"/>
          <w:b/>
          <w:bCs/>
          <w:sz w:val="20"/>
          <w:szCs w:val="20"/>
          <w:lang w:val="sk-SK"/>
        </w:rPr>
        <w:br/>
      </w:r>
      <w:r w:rsidRPr="0039268C">
        <w:rPr>
          <w:rFonts w:ascii="Arial" w:hAnsi="Arial" w:cs="Arial"/>
          <w:sz w:val="20"/>
          <w:szCs w:val="20"/>
          <w:lang w:val="sk-SK"/>
        </w:rPr>
        <w:t>•</w:t>
      </w:r>
      <w:r w:rsidRPr="0039268C">
        <w:rPr>
          <w:rFonts w:ascii="Arial" w:hAnsi="Arial" w:cs="Arial"/>
          <w:color w:val="1F497D"/>
          <w:sz w:val="20"/>
          <w:szCs w:val="20"/>
          <w:lang w:val="sk-SK"/>
        </w:rPr>
        <w:t xml:space="preserve"> </w:t>
      </w:r>
      <w:r w:rsidRPr="0039268C">
        <w:rPr>
          <w:rFonts w:ascii="Arial" w:hAnsi="Arial" w:cs="Arial"/>
          <w:sz w:val="20"/>
          <w:szCs w:val="20"/>
          <w:lang w:val="sk-SK"/>
        </w:rPr>
        <w:t>diplomové práce</w:t>
      </w:r>
      <w:r w:rsidRPr="0039268C">
        <w:rPr>
          <w:rFonts w:ascii="Arial" w:hAnsi="Arial" w:cs="Arial"/>
          <w:sz w:val="20"/>
          <w:szCs w:val="20"/>
          <w:lang w:val="sk-SK"/>
        </w:rPr>
        <w:br/>
        <w:t>•</w:t>
      </w:r>
      <w:r w:rsidRPr="0039268C">
        <w:rPr>
          <w:rFonts w:ascii="Arial" w:hAnsi="Arial" w:cs="Arial"/>
          <w:color w:val="1F497D"/>
          <w:sz w:val="20"/>
          <w:szCs w:val="20"/>
          <w:lang w:val="sk-SK"/>
        </w:rPr>
        <w:t xml:space="preserve"> </w:t>
      </w:r>
      <w:r w:rsidRPr="0039268C">
        <w:rPr>
          <w:rFonts w:ascii="Arial" w:hAnsi="Arial" w:cs="Arial"/>
          <w:sz w:val="20"/>
          <w:szCs w:val="20"/>
          <w:lang w:val="sk-SK"/>
        </w:rPr>
        <w:t>zverejnenie informácií na webovom sídle</w:t>
      </w:r>
      <w:r w:rsidRPr="0039268C">
        <w:rPr>
          <w:rFonts w:ascii="Arial" w:hAnsi="Arial" w:cs="Arial"/>
          <w:sz w:val="20"/>
          <w:szCs w:val="20"/>
          <w:lang w:val="sk-SK"/>
        </w:rPr>
        <w:br/>
        <w:t>•</w:t>
      </w:r>
      <w:r w:rsidRPr="0039268C">
        <w:rPr>
          <w:rFonts w:ascii="Arial" w:hAnsi="Arial" w:cs="Arial"/>
          <w:color w:val="1F497D"/>
          <w:sz w:val="20"/>
          <w:szCs w:val="20"/>
          <w:lang w:val="sk-SK"/>
        </w:rPr>
        <w:t xml:space="preserve"> </w:t>
      </w:r>
      <w:r w:rsidRPr="0039268C">
        <w:rPr>
          <w:rFonts w:ascii="Arial" w:hAnsi="Arial" w:cs="Arial"/>
          <w:sz w:val="20"/>
          <w:szCs w:val="20"/>
          <w:lang w:val="sk-SK"/>
        </w:rPr>
        <w:t>sprístupnenie zoznamov verejných obstarávaní</w:t>
      </w:r>
    </w:p>
    <w:p w:rsidR="00C66C2A" w:rsidRPr="0039268C" w:rsidRDefault="00C66C2A" w:rsidP="00507035">
      <w:pPr>
        <w:spacing w:before="120" w:after="120" w:line="360" w:lineRule="auto"/>
        <w:jc w:val="both"/>
        <w:rPr>
          <w:rFonts w:ascii="Arial" w:hAnsi="Arial" w:cs="Arial"/>
          <w:bCs/>
          <w:sz w:val="20"/>
          <w:szCs w:val="20"/>
        </w:rPr>
      </w:pPr>
      <w:r w:rsidRPr="0039268C">
        <w:rPr>
          <w:rFonts w:ascii="Arial" w:hAnsi="Arial" w:cs="Arial"/>
          <w:sz w:val="20"/>
          <w:szCs w:val="20"/>
        </w:rPr>
        <w:t xml:space="preserve">Celkovo v roku </w:t>
      </w:r>
      <w:r w:rsidRPr="0039268C">
        <w:rPr>
          <w:rFonts w:ascii="Arial" w:hAnsi="Arial" w:cs="Arial"/>
          <w:bCs/>
          <w:sz w:val="20"/>
          <w:szCs w:val="20"/>
        </w:rPr>
        <w:t>2012</w:t>
      </w:r>
      <w:r w:rsidRPr="0039268C">
        <w:rPr>
          <w:rFonts w:ascii="Arial" w:hAnsi="Arial" w:cs="Arial"/>
          <w:sz w:val="20"/>
          <w:szCs w:val="20"/>
        </w:rPr>
        <w:t xml:space="preserve"> bolo na MŽP SR ako RO pre </w:t>
      </w:r>
      <w:r w:rsidR="000236A4">
        <w:rPr>
          <w:rFonts w:ascii="Arial" w:hAnsi="Arial" w:cs="Arial"/>
          <w:sz w:val="20"/>
          <w:szCs w:val="20"/>
        </w:rPr>
        <w:t>OP ŽP</w:t>
      </w:r>
      <w:r w:rsidRPr="0039268C">
        <w:rPr>
          <w:rFonts w:ascii="Arial" w:hAnsi="Arial" w:cs="Arial"/>
          <w:sz w:val="20"/>
          <w:szCs w:val="20"/>
        </w:rPr>
        <w:t xml:space="preserve"> v rámci zákona č. 211/2000 zodpovedaných </w:t>
      </w:r>
      <w:r w:rsidRPr="0039268C">
        <w:rPr>
          <w:rFonts w:ascii="Arial" w:hAnsi="Arial" w:cs="Arial"/>
          <w:b/>
          <w:bCs/>
          <w:sz w:val="20"/>
          <w:szCs w:val="20"/>
        </w:rPr>
        <w:t>161</w:t>
      </w:r>
      <w:r w:rsidRPr="0039268C">
        <w:rPr>
          <w:rFonts w:ascii="Arial" w:hAnsi="Arial" w:cs="Arial"/>
          <w:sz w:val="20"/>
          <w:szCs w:val="20"/>
        </w:rPr>
        <w:t xml:space="preserve"> písomných odpovedí na otázky žiadateľov. </w:t>
      </w:r>
    </w:p>
    <w:p w:rsidR="00C66C2A" w:rsidRPr="0039268C" w:rsidRDefault="00C66C2A" w:rsidP="00507035">
      <w:pPr>
        <w:spacing w:before="120" w:after="120" w:line="360" w:lineRule="auto"/>
        <w:jc w:val="both"/>
        <w:rPr>
          <w:rFonts w:ascii="Arial" w:hAnsi="Arial" w:cs="Arial"/>
          <w:bCs/>
          <w:sz w:val="20"/>
          <w:szCs w:val="20"/>
        </w:rPr>
      </w:pPr>
      <w:r w:rsidRPr="0039268C">
        <w:rPr>
          <w:rFonts w:ascii="Arial" w:hAnsi="Arial" w:cs="Arial"/>
          <w:sz w:val="20"/>
          <w:szCs w:val="20"/>
          <w:u w:val="single"/>
        </w:rPr>
        <w:t>REPIS</w:t>
      </w:r>
    </w:p>
    <w:p w:rsidR="002416B1" w:rsidRPr="00C66C2A" w:rsidRDefault="00C66C2A" w:rsidP="00507035">
      <w:pPr>
        <w:spacing w:before="120" w:after="120" w:line="360" w:lineRule="auto"/>
        <w:jc w:val="both"/>
        <w:rPr>
          <w:rFonts w:ascii="Arial" w:hAnsi="Arial" w:cs="Arial"/>
          <w:bCs/>
          <w:sz w:val="20"/>
          <w:szCs w:val="20"/>
        </w:rPr>
      </w:pPr>
      <w:r w:rsidRPr="0039268C">
        <w:rPr>
          <w:rFonts w:ascii="Arial" w:hAnsi="Arial" w:cs="Arial"/>
          <w:sz w:val="20"/>
          <w:szCs w:val="20"/>
        </w:rPr>
        <w:t xml:space="preserve">Kancelárie REPIS poskytli v roku 2012 celkom </w:t>
      </w:r>
      <w:r w:rsidRPr="0039268C">
        <w:rPr>
          <w:rFonts w:ascii="Arial" w:hAnsi="Arial" w:cs="Arial"/>
          <w:b/>
          <w:bCs/>
          <w:sz w:val="20"/>
          <w:szCs w:val="20"/>
        </w:rPr>
        <w:t>2 585</w:t>
      </w:r>
      <w:r w:rsidRPr="0039268C">
        <w:rPr>
          <w:rFonts w:ascii="Arial" w:hAnsi="Arial" w:cs="Arial"/>
          <w:sz w:val="20"/>
          <w:szCs w:val="20"/>
        </w:rPr>
        <w:t xml:space="preserve">konzultácií, z toho </w:t>
      </w:r>
      <w:r w:rsidRPr="0039268C">
        <w:rPr>
          <w:rFonts w:ascii="Arial" w:hAnsi="Arial" w:cs="Arial"/>
          <w:b/>
          <w:sz w:val="20"/>
          <w:szCs w:val="20"/>
        </w:rPr>
        <w:t>471</w:t>
      </w:r>
      <w:r w:rsidRPr="0039268C">
        <w:rPr>
          <w:rFonts w:ascii="Arial" w:hAnsi="Arial" w:cs="Arial"/>
          <w:sz w:val="20"/>
          <w:szCs w:val="20"/>
        </w:rPr>
        <w:t xml:space="preserve"> osobne, </w:t>
      </w:r>
      <w:r w:rsidRPr="0039268C">
        <w:rPr>
          <w:rFonts w:ascii="Arial" w:hAnsi="Arial" w:cs="Arial"/>
          <w:b/>
          <w:sz w:val="20"/>
          <w:szCs w:val="20"/>
        </w:rPr>
        <w:t>1844</w:t>
      </w:r>
      <w:r w:rsidRPr="0039268C">
        <w:rPr>
          <w:rFonts w:ascii="Arial" w:hAnsi="Arial" w:cs="Arial"/>
          <w:sz w:val="20"/>
          <w:szCs w:val="20"/>
        </w:rPr>
        <w:t xml:space="preserve"> telefonicky a </w:t>
      </w:r>
      <w:r w:rsidRPr="0039268C">
        <w:rPr>
          <w:rFonts w:ascii="Arial" w:hAnsi="Arial" w:cs="Arial"/>
          <w:b/>
          <w:sz w:val="20"/>
          <w:szCs w:val="20"/>
        </w:rPr>
        <w:t>270</w:t>
      </w:r>
      <w:r w:rsidRPr="0039268C">
        <w:rPr>
          <w:rFonts w:ascii="Arial" w:hAnsi="Arial" w:cs="Arial"/>
          <w:sz w:val="20"/>
          <w:szCs w:val="20"/>
        </w:rPr>
        <w:t xml:space="preserve"> e-mailom.  </w:t>
      </w:r>
      <w:r w:rsidRPr="0039268C">
        <w:rPr>
          <w:rFonts w:ascii="Arial" w:hAnsi="Arial" w:cs="Arial"/>
          <w:bCs/>
          <w:sz w:val="20"/>
          <w:szCs w:val="20"/>
        </w:rPr>
        <w:t xml:space="preserve">V rámci týchto konzultácií bolo zodpovedaných viac ako </w:t>
      </w:r>
      <w:r w:rsidRPr="0039268C">
        <w:rPr>
          <w:rFonts w:ascii="Arial" w:hAnsi="Arial" w:cs="Arial"/>
          <w:b/>
          <w:bCs/>
          <w:sz w:val="20"/>
          <w:szCs w:val="20"/>
        </w:rPr>
        <w:t xml:space="preserve">4 870 </w:t>
      </w:r>
      <w:r w:rsidRPr="0039268C">
        <w:rPr>
          <w:rFonts w:ascii="Arial" w:hAnsi="Arial" w:cs="Arial"/>
          <w:bCs/>
          <w:sz w:val="20"/>
          <w:szCs w:val="20"/>
        </w:rPr>
        <w:t xml:space="preserve"> otázok </w:t>
      </w:r>
      <w:r w:rsidRPr="0039268C">
        <w:rPr>
          <w:rFonts w:ascii="Arial" w:hAnsi="Arial" w:cs="Arial"/>
          <w:sz w:val="20"/>
          <w:szCs w:val="20"/>
        </w:rPr>
        <w:t>prioritne zameraných na podmienky oprávnenosti  poskytnutia pomoci, podmienky pre korektné vypracovanie žiadostí o nenávratný finančný príspevok, podmienky týkajúce sa povinných príloh, formálne náležitosti prípravy a predkladania projektov, ITMS a špecifické konzultácie projektov – odborné a legislatívne podmienky konkrétnych projektov.</w:t>
      </w:r>
      <w:r w:rsidRPr="0039268C">
        <w:rPr>
          <w:rFonts w:ascii="Arial" w:hAnsi="Arial" w:cs="Arial"/>
          <w:bCs/>
          <w:sz w:val="20"/>
          <w:szCs w:val="20"/>
        </w:rPr>
        <w:t xml:space="preserve"> Vzhľadom na charakter zverejnených výziev v roku 2012 prevládali otázky na prioritnú os 4 (48%), nasledovali otázky k prioritnej osi 3 (21 %) a prioritnej osi 2 (10 %) a ostatné prioritné osi (21%).</w:t>
      </w:r>
      <w:r w:rsidR="002416B1" w:rsidRPr="00C66C2A">
        <w:rPr>
          <w:rFonts w:ascii="Arial" w:hAnsi="Arial" w:cs="Arial"/>
          <w:bCs/>
          <w:sz w:val="20"/>
          <w:szCs w:val="20"/>
        </w:rPr>
        <w:t xml:space="preserve"> </w:t>
      </w:r>
    </w:p>
    <w:p w:rsidR="002416B1" w:rsidRPr="004B33AE" w:rsidRDefault="002416B1" w:rsidP="000A02D3">
      <w:pPr>
        <w:spacing w:line="360" w:lineRule="auto"/>
        <w:jc w:val="both"/>
        <w:rPr>
          <w:rFonts w:ascii="Arial" w:hAnsi="Arial" w:cs="Arial"/>
          <w:bCs/>
          <w:i/>
          <w:sz w:val="20"/>
          <w:szCs w:val="20"/>
          <w:u w:val="single"/>
        </w:rPr>
      </w:pPr>
      <w:r>
        <w:rPr>
          <w:rFonts w:ascii="Arial" w:hAnsi="Arial" w:cs="Arial"/>
          <w:bCs/>
          <w:sz w:val="20"/>
          <w:szCs w:val="20"/>
        </w:rPr>
        <w:t xml:space="preserve">Tab. č. </w:t>
      </w:r>
      <w:r w:rsidR="00C63470">
        <w:rPr>
          <w:rFonts w:ascii="Arial" w:hAnsi="Arial" w:cs="Arial"/>
          <w:bCs/>
          <w:sz w:val="20"/>
          <w:szCs w:val="20"/>
        </w:rPr>
        <w:t>85</w:t>
      </w:r>
      <w:r>
        <w:rPr>
          <w:rFonts w:ascii="Arial" w:hAnsi="Arial" w:cs="Arial"/>
          <w:bCs/>
          <w:sz w:val="20"/>
          <w:szCs w:val="20"/>
        </w:rPr>
        <w:t>:</w:t>
      </w:r>
      <w:r w:rsidRPr="004B33AE">
        <w:rPr>
          <w:rFonts w:ascii="Arial" w:hAnsi="Arial" w:cs="Arial"/>
          <w:bCs/>
          <w:sz w:val="20"/>
          <w:szCs w:val="20"/>
        </w:rPr>
        <w:t xml:space="preserve"> </w:t>
      </w:r>
      <w:r w:rsidRPr="006A2BF3">
        <w:rPr>
          <w:rFonts w:ascii="Arial" w:hAnsi="Arial" w:cs="Arial"/>
          <w:bCs/>
          <w:sz w:val="20"/>
          <w:szCs w:val="20"/>
        </w:rPr>
        <w:t>Celkový prehľad:</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2291"/>
        <w:gridCol w:w="2337"/>
        <w:gridCol w:w="2337"/>
        <w:gridCol w:w="2321"/>
      </w:tblGrid>
      <w:tr w:rsidR="002416B1" w:rsidRPr="006A2BF3" w:rsidTr="00C66C2A">
        <w:trPr>
          <w:trHeight w:val="20"/>
          <w:jc w:val="center"/>
        </w:trPr>
        <w:tc>
          <w:tcPr>
            <w:tcW w:w="2291" w:type="dxa"/>
            <w:vAlign w:val="center"/>
          </w:tcPr>
          <w:p w:rsidR="002416B1" w:rsidRPr="006A2BF3" w:rsidRDefault="002416B1" w:rsidP="000A02D3">
            <w:pPr>
              <w:jc w:val="both"/>
              <w:rPr>
                <w:rFonts w:ascii="Arial" w:hAnsi="Arial" w:cs="Arial"/>
                <w:bCs/>
                <w:sz w:val="18"/>
                <w:szCs w:val="18"/>
              </w:rPr>
            </w:pPr>
          </w:p>
        </w:tc>
        <w:tc>
          <w:tcPr>
            <w:tcW w:w="2337" w:type="dxa"/>
            <w:shd w:val="clear" w:color="auto" w:fill="D6E3BC"/>
            <w:vAlign w:val="center"/>
          </w:tcPr>
          <w:p w:rsidR="002416B1" w:rsidRPr="006A2BF3" w:rsidRDefault="002416B1" w:rsidP="000A02D3">
            <w:pPr>
              <w:jc w:val="both"/>
              <w:rPr>
                <w:rFonts w:ascii="Arial" w:hAnsi="Arial" w:cs="Arial"/>
                <w:b/>
                <w:bCs/>
                <w:sz w:val="18"/>
                <w:szCs w:val="18"/>
              </w:rPr>
            </w:pPr>
            <w:r w:rsidRPr="006A2BF3">
              <w:rPr>
                <w:rFonts w:ascii="Arial" w:hAnsi="Arial" w:cs="Arial"/>
                <w:b/>
                <w:bCs/>
                <w:sz w:val="18"/>
                <w:szCs w:val="18"/>
              </w:rPr>
              <w:t>Telefonická a písomná komunikácia</w:t>
            </w:r>
          </w:p>
        </w:tc>
        <w:tc>
          <w:tcPr>
            <w:tcW w:w="2337" w:type="dxa"/>
            <w:shd w:val="clear" w:color="auto" w:fill="D6E3BC"/>
            <w:vAlign w:val="center"/>
          </w:tcPr>
          <w:p w:rsidR="002416B1" w:rsidRPr="006A2BF3" w:rsidRDefault="002416B1" w:rsidP="000A02D3">
            <w:pPr>
              <w:jc w:val="both"/>
              <w:rPr>
                <w:rFonts w:ascii="Arial" w:hAnsi="Arial" w:cs="Arial"/>
                <w:b/>
                <w:bCs/>
                <w:sz w:val="18"/>
                <w:szCs w:val="18"/>
              </w:rPr>
            </w:pPr>
            <w:r w:rsidRPr="006A2BF3">
              <w:rPr>
                <w:rFonts w:ascii="Arial" w:hAnsi="Arial" w:cs="Arial"/>
                <w:b/>
                <w:bCs/>
                <w:sz w:val="18"/>
                <w:szCs w:val="18"/>
              </w:rPr>
              <w:t>Elektronická emailová komunikácia</w:t>
            </w:r>
          </w:p>
        </w:tc>
        <w:tc>
          <w:tcPr>
            <w:tcW w:w="2321" w:type="dxa"/>
            <w:shd w:val="clear" w:color="auto" w:fill="D6E3BC"/>
            <w:vAlign w:val="center"/>
          </w:tcPr>
          <w:p w:rsidR="002416B1" w:rsidRPr="006A2BF3" w:rsidRDefault="002416B1" w:rsidP="000A02D3">
            <w:pPr>
              <w:jc w:val="both"/>
              <w:rPr>
                <w:rFonts w:ascii="Arial" w:hAnsi="Arial" w:cs="Arial"/>
                <w:b/>
                <w:bCs/>
                <w:sz w:val="18"/>
                <w:szCs w:val="18"/>
              </w:rPr>
            </w:pPr>
            <w:r w:rsidRPr="006A2BF3">
              <w:rPr>
                <w:rFonts w:ascii="Arial" w:hAnsi="Arial" w:cs="Arial"/>
                <w:b/>
                <w:bCs/>
                <w:sz w:val="18"/>
                <w:szCs w:val="18"/>
              </w:rPr>
              <w:t>Osobné konzultácie</w:t>
            </w:r>
          </w:p>
        </w:tc>
      </w:tr>
      <w:tr w:rsidR="00C66C2A" w:rsidRPr="006A2BF3" w:rsidTr="0039268C">
        <w:trPr>
          <w:trHeight w:val="20"/>
          <w:jc w:val="center"/>
        </w:trPr>
        <w:tc>
          <w:tcPr>
            <w:tcW w:w="2291" w:type="dxa"/>
            <w:shd w:val="clear" w:color="auto" w:fill="EAF1DD"/>
            <w:vAlign w:val="center"/>
          </w:tcPr>
          <w:p w:rsidR="00C66C2A" w:rsidRPr="006A2BF3" w:rsidRDefault="00C66C2A" w:rsidP="000A02D3">
            <w:pPr>
              <w:jc w:val="both"/>
              <w:rPr>
                <w:rFonts w:ascii="Arial" w:hAnsi="Arial" w:cs="Arial"/>
                <w:bCs/>
                <w:sz w:val="18"/>
                <w:szCs w:val="18"/>
              </w:rPr>
            </w:pPr>
            <w:r w:rsidRPr="006A2BF3">
              <w:rPr>
                <w:rFonts w:ascii="Arial" w:hAnsi="Arial" w:cs="Arial"/>
                <w:bCs/>
                <w:sz w:val="18"/>
                <w:szCs w:val="18"/>
              </w:rPr>
              <w:t>RO OP</w:t>
            </w:r>
            <w:r w:rsidRPr="004B33AE">
              <w:rPr>
                <w:rFonts w:ascii="Arial" w:hAnsi="Arial" w:cs="Arial"/>
                <w:bCs/>
                <w:sz w:val="18"/>
                <w:szCs w:val="18"/>
              </w:rPr>
              <w:t xml:space="preserve"> </w:t>
            </w:r>
            <w:r w:rsidRPr="006A2BF3">
              <w:rPr>
                <w:rFonts w:ascii="Arial" w:hAnsi="Arial" w:cs="Arial"/>
                <w:bCs/>
                <w:sz w:val="18"/>
                <w:szCs w:val="18"/>
              </w:rPr>
              <w:t>ŽP</w:t>
            </w:r>
          </w:p>
        </w:tc>
        <w:tc>
          <w:tcPr>
            <w:tcW w:w="2337" w:type="dxa"/>
          </w:tcPr>
          <w:p w:rsidR="00C66C2A" w:rsidRPr="0039268C" w:rsidRDefault="00C66C2A" w:rsidP="000A02D3">
            <w:pPr>
              <w:jc w:val="center"/>
              <w:rPr>
                <w:rFonts w:ascii="Arial" w:hAnsi="Arial" w:cs="Arial"/>
                <w:bCs/>
                <w:sz w:val="20"/>
                <w:szCs w:val="20"/>
              </w:rPr>
            </w:pPr>
            <w:r w:rsidRPr="0039268C">
              <w:rPr>
                <w:sz w:val="20"/>
                <w:szCs w:val="20"/>
              </w:rPr>
              <w:t>NA</w:t>
            </w:r>
          </w:p>
        </w:tc>
        <w:tc>
          <w:tcPr>
            <w:tcW w:w="2337" w:type="dxa"/>
          </w:tcPr>
          <w:p w:rsidR="00C66C2A" w:rsidRPr="0039268C" w:rsidRDefault="00C66C2A" w:rsidP="000A02D3">
            <w:pPr>
              <w:jc w:val="center"/>
              <w:rPr>
                <w:rFonts w:ascii="Arial" w:hAnsi="Arial" w:cs="Arial"/>
                <w:bCs/>
                <w:sz w:val="20"/>
                <w:szCs w:val="20"/>
              </w:rPr>
            </w:pPr>
            <w:r w:rsidRPr="0039268C">
              <w:rPr>
                <w:sz w:val="20"/>
                <w:szCs w:val="20"/>
              </w:rPr>
              <w:t>161</w:t>
            </w:r>
          </w:p>
        </w:tc>
        <w:tc>
          <w:tcPr>
            <w:tcW w:w="2321" w:type="dxa"/>
          </w:tcPr>
          <w:p w:rsidR="00C66C2A" w:rsidRPr="0039268C" w:rsidRDefault="00C66C2A" w:rsidP="000A02D3">
            <w:pPr>
              <w:jc w:val="center"/>
              <w:rPr>
                <w:rFonts w:ascii="Arial" w:hAnsi="Arial" w:cs="Arial"/>
                <w:bCs/>
                <w:sz w:val="20"/>
                <w:szCs w:val="20"/>
              </w:rPr>
            </w:pPr>
            <w:r w:rsidRPr="0039268C">
              <w:rPr>
                <w:sz w:val="20"/>
                <w:szCs w:val="20"/>
              </w:rPr>
              <w:t>NA</w:t>
            </w:r>
          </w:p>
        </w:tc>
      </w:tr>
      <w:tr w:rsidR="00C66C2A" w:rsidRPr="006A2BF3" w:rsidTr="0039268C">
        <w:trPr>
          <w:trHeight w:val="20"/>
          <w:jc w:val="center"/>
        </w:trPr>
        <w:tc>
          <w:tcPr>
            <w:tcW w:w="2291" w:type="dxa"/>
            <w:shd w:val="clear" w:color="auto" w:fill="EAF1DD"/>
            <w:vAlign w:val="center"/>
          </w:tcPr>
          <w:p w:rsidR="00C66C2A" w:rsidRPr="006A2BF3" w:rsidRDefault="00C66C2A" w:rsidP="000A02D3">
            <w:pPr>
              <w:jc w:val="both"/>
              <w:rPr>
                <w:rFonts w:ascii="Arial" w:hAnsi="Arial" w:cs="Arial"/>
                <w:bCs/>
                <w:sz w:val="18"/>
                <w:szCs w:val="18"/>
              </w:rPr>
            </w:pPr>
            <w:r w:rsidRPr="006A2BF3">
              <w:rPr>
                <w:rFonts w:ascii="Arial" w:hAnsi="Arial" w:cs="Arial"/>
                <w:bCs/>
                <w:sz w:val="18"/>
                <w:szCs w:val="18"/>
              </w:rPr>
              <w:t>REPIS</w:t>
            </w:r>
          </w:p>
        </w:tc>
        <w:tc>
          <w:tcPr>
            <w:tcW w:w="2337" w:type="dxa"/>
          </w:tcPr>
          <w:p w:rsidR="00C66C2A" w:rsidRPr="0039268C" w:rsidRDefault="00C66C2A" w:rsidP="000A02D3">
            <w:pPr>
              <w:jc w:val="center"/>
              <w:rPr>
                <w:rFonts w:ascii="Arial" w:hAnsi="Arial" w:cs="Arial"/>
                <w:bCs/>
                <w:sz w:val="20"/>
                <w:szCs w:val="20"/>
              </w:rPr>
            </w:pPr>
            <w:r w:rsidRPr="0039268C">
              <w:rPr>
                <w:sz w:val="20"/>
                <w:szCs w:val="20"/>
              </w:rPr>
              <w:t>1844</w:t>
            </w:r>
          </w:p>
        </w:tc>
        <w:tc>
          <w:tcPr>
            <w:tcW w:w="2337" w:type="dxa"/>
          </w:tcPr>
          <w:p w:rsidR="00C66C2A" w:rsidRPr="0039268C" w:rsidRDefault="00C66C2A" w:rsidP="000A02D3">
            <w:pPr>
              <w:jc w:val="center"/>
              <w:rPr>
                <w:rFonts w:ascii="Arial" w:hAnsi="Arial" w:cs="Arial"/>
                <w:bCs/>
                <w:sz w:val="20"/>
                <w:szCs w:val="20"/>
              </w:rPr>
            </w:pPr>
            <w:r w:rsidRPr="0039268C">
              <w:rPr>
                <w:sz w:val="20"/>
                <w:szCs w:val="20"/>
              </w:rPr>
              <w:t>270</w:t>
            </w:r>
          </w:p>
        </w:tc>
        <w:tc>
          <w:tcPr>
            <w:tcW w:w="2321" w:type="dxa"/>
          </w:tcPr>
          <w:p w:rsidR="00C66C2A" w:rsidRPr="0039268C" w:rsidRDefault="00C66C2A" w:rsidP="000A02D3">
            <w:pPr>
              <w:jc w:val="center"/>
              <w:rPr>
                <w:rFonts w:ascii="Arial" w:hAnsi="Arial" w:cs="Arial"/>
                <w:bCs/>
                <w:sz w:val="20"/>
                <w:szCs w:val="20"/>
              </w:rPr>
            </w:pPr>
            <w:r w:rsidRPr="0039268C">
              <w:rPr>
                <w:sz w:val="20"/>
                <w:szCs w:val="20"/>
              </w:rPr>
              <w:t>471</w:t>
            </w:r>
          </w:p>
        </w:tc>
      </w:tr>
      <w:tr w:rsidR="00C66C2A" w:rsidRPr="006A2BF3" w:rsidTr="0039268C">
        <w:trPr>
          <w:trHeight w:val="20"/>
          <w:jc w:val="center"/>
        </w:trPr>
        <w:tc>
          <w:tcPr>
            <w:tcW w:w="2291" w:type="dxa"/>
            <w:shd w:val="clear" w:color="auto" w:fill="EAF1DD"/>
            <w:vAlign w:val="center"/>
          </w:tcPr>
          <w:p w:rsidR="00C66C2A" w:rsidRPr="006A2BF3" w:rsidRDefault="00C66C2A" w:rsidP="000A02D3">
            <w:pPr>
              <w:jc w:val="both"/>
              <w:rPr>
                <w:rFonts w:ascii="Arial" w:hAnsi="Arial" w:cs="Arial"/>
                <w:b/>
                <w:bCs/>
                <w:sz w:val="18"/>
                <w:szCs w:val="18"/>
              </w:rPr>
            </w:pPr>
            <w:r w:rsidRPr="006A2BF3">
              <w:rPr>
                <w:rFonts w:ascii="Arial" w:hAnsi="Arial" w:cs="Arial"/>
                <w:b/>
                <w:bCs/>
                <w:sz w:val="18"/>
                <w:szCs w:val="18"/>
              </w:rPr>
              <w:t>CELKOM</w:t>
            </w:r>
          </w:p>
        </w:tc>
        <w:tc>
          <w:tcPr>
            <w:tcW w:w="2337" w:type="dxa"/>
            <w:shd w:val="clear" w:color="auto" w:fill="EAF1DD"/>
          </w:tcPr>
          <w:p w:rsidR="00C66C2A" w:rsidRPr="0039268C" w:rsidRDefault="00C66C2A" w:rsidP="000A02D3">
            <w:pPr>
              <w:jc w:val="center"/>
              <w:rPr>
                <w:rFonts w:ascii="Arial" w:hAnsi="Arial" w:cs="Arial"/>
                <w:b/>
                <w:bCs/>
                <w:sz w:val="20"/>
                <w:szCs w:val="20"/>
              </w:rPr>
            </w:pPr>
            <w:r w:rsidRPr="0039268C">
              <w:rPr>
                <w:sz w:val="20"/>
                <w:szCs w:val="20"/>
              </w:rPr>
              <w:t>1844</w:t>
            </w:r>
          </w:p>
        </w:tc>
        <w:tc>
          <w:tcPr>
            <w:tcW w:w="2337" w:type="dxa"/>
            <w:shd w:val="clear" w:color="auto" w:fill="EAF1DD"/>
          </w:tcPr>
          <w:p w:rsidR="00C66C2A" w:rsidRPr="0039268C" w:rsidRDefault="00C66C2A" w:rsidP="000A02D3">
            <w:pPr>
              <w:jc w:val="center"/>
              <w:rPr>
                <w:rFonts w:ascii="Arial" w:hAnsi="Arial" w:cs="Arial"/>
                <w:b/>
                <w:bCs/>
                <w:sz w:val="20"/>
                <w:szCs w:val="20"/>
              </w:rPr>
            </w:pPr>
            <w:r w:rsidRPr="0039268C">
              <w:rPr>
                <w:sz w:val="20"/>
                <w:szCs w:val="20"/>
              </w:rPr>
              <w:t>431</w:t>
            </w:r>
          </w:p>
        </w:tc>
        <w:tc>
          <w:tcPr>
            <w:tcW w:w="2321" w:type="dxa"/>
            <w:shd w:val="clear" w:color="auto" w:fill="EAF1DD"/>
          </w:tcPr>
          <w:p w:rsidR="00C66C2A" w:rsidRPr="0039268C" w:rsidRDefault="00C66C2A" w:rsidP="000A02D3">
            <w:pPr>
              <w:jc w:val="center"/>
              <w:rPr>
                <w:rFonts w:ascii="Arial" w:hAnsi="Arial" w:cs="Arial"/>
                <w:b/>
                <w:bCs/>
                <w:sz w:val="20"/>
                <w:szCs w:val="20"/>
              </w:rPr>
            </w:pPr>
            <w:r w:rsidRPr="0039268C">
              <w:rPr>
                <w:sz w:val="20"/>
                <w:szCs w:val="20"/>
              </w:rPr>
              <w:t>471</w:t>
            </w:r>
          </w:p>
        </w:tc>
      </w:tr>
    </w:tbl>
    <w:p w:rsidR="002416B1" w:rsidRPr="006A2BF3" w:rsidRDefault="002416B1" w:rsidP="000A02D3">
      <w:pPr>
        <w:spacing w:line="360" w:lineRule="auto"/>
        <w:jc w:val="both"/>
        <w:rPr>
          <w:rFonts w:ascii="Arial" w:hAnsi="Arial" w:cs="Arial"/>
          <w:sz w:val="18"/>
          <w:szCs w:val="18"/>
        </w:rPr>
      </w:pPr>
      <w:r w:rsidRPr="006A2BF3">
        <w:rPr>
          <w:rFonts w:ascii="Arial" w:hAnsi="Arial" w:cs="Arial"/>
          <w:sz w:val="18"/>
          <w:szCs w:val="18"/>
        </w:rPr>
        <w:t>Zdroj: RO a REPIS</w:t>
      </w:r>
    </w:p>
    <w:p w:rsidR="00C66C2A" w:rsidRDefault="00C66C2A" w:rsidP="00507035">
      <w:pPr>
        <w:spacing w:before="120" w:after="120" w:line="360" w:lineRule="auto"/>
        <w:jc w:val="both"/>
        <w:rPr>
          <w:rFonts w:ascii="Arial" w:hAnsi="Arial" w:cs="Arial"/>
          <w:b/>
          <w:i/>
          <w:sz w:val="20"/>
          <w:szCs w:val="20"/>
        </w:rPr>
      </w:pPr>
      <w:bookmarkStart w:id="136" w:name="_Toc315332900"/>
      <w:r>
        <w:rPr>
          <w:rFonts w:ascii="Arial" w:hAnsi="Arial" w:cs="Arial"/>
          <w:b/>
          <w:i/>
          <w:sz w:val="20"/>
          <w:szCs w:val="20"/>
        </w:rPr>
        <w:t>Wikipedia</w:t>
      </w:r>
    </w:p>
    <w:p w:rsidR="00C66C2A" w:rsidRPr="0039268C" w:rsidRDefault="00C66C2A" w:rsidP="00507035">
      <w:pPr>
        <w:spacing w:before="120" w:after="120" w:line="360" w:lineRule="auto"/>
        <w:jc w:val="both"/>
        <w:rPr>
          <w:rFonts w:ascii="Arial" w:hAnsi="Arial" w:cs="Arial"/>
          <w:sz w:val="20"/>
          <w:szCs w:val="20"/>
        </w:rPr>
      </w:pPr>
      <w:r w:rsidRPr="00C66C2A">
        <w:rPr>
          <w:rFonts w:ascii="Arial" w:hAnsi="Arial" w:cs="Arial"/>
          <w:sz w:val="20"/>
          <w:szCs w:val="20"/>
        </w:rPr>
        <w:t xml:space="preserve">RO v roku 2012 doplnil 30 základných pojmov spojených s implementáciou </w:t>
      </w:r>
      <w:r w:rsidR="000236A4">
        <w:rPr>
          <w:rFonts w:ascii="Arial" w:hAnsi="Arial" w:cs="Arial"/>
          <w:sz w:val="20"/>
          <w:szCs w:val="20"/>
        </w:rPr>
        <w:t>OP ŽP</w:t>
      </w:r>
      <w:r w:rsidRPr="00C66C2A">
        <w:rPr>
          <w:rFonts w:ascii="Arial" w:hAnsi="Arial" w:cs="Arial"/>
          <w:sz w:val="20"/>
          <w:szCs w:val="20"/>
        </w:rPr>
        <w:t xml:space="preserve"> do globálnej elektronickej encyklopédie – Wikipedia.</w:t>
      </w:r>
    </w:p>
    <w:p w:rsidR="002416B1" w:rsidRPr="004B33AE" w:rsidRDefault="002416B1" w:rsidP="00507035">
      <w:pPr>
        <w:spacing w:before="120" w:after="120" w:line="360" w:lineRule="auto"/>
        <w:jc w:val="both"/>
        <w:rPr>
          <w:rFonts w:ascii="Arial" w:hAnsi="Arial" w:cs="Arial"/>
          <w:b/>
          <w:i/>
          <w:sz w:val="20"/>
          <w:szCs w:val="20"/>
        </w:rPr>
      </w:pPr>
      <w:r w:rsidRPr="004B33AE">
        <w:rPr>
          <w:rFonts w:ascii="Arial" w:hAnsi="Arial" w:cs="Arial"/>
          <w:b/>
          <w:i/>
          <w:sz w:val="20"/>
          <w:szCs w:val="20"/>
        </w:rPr>
        <w:t>Ostatné</w:t>
      </w:r>
      <w:bookmarkEnd w:id="136"/>
    </w:p>
    <w:p w:rsidR="00C66C2A" w:rsidRPr="0039268C" w:rsidRDefault="00C66C2A" w:rsidP="00507035">
      <w:pPr>
        <w:spacing w:before="120" w:after="120" w:line="360" w:lineRule="auto"/>
        <w:jc w:val="both"/>
        <w:rPr>
          <w:rFonts w:ascii="Arial" w:hAnsi="Arial" w:cs="Arial"/>
          <w:sz w:val="20"/>
          <w:szCs w:val="20"/>
        </w:rPr>
      </w:pPr>
      <w:r w:rsidRPr="0039268C">
        <w:rPr>
          <w:rFonts w:ascii="Arial" w:hAnsi="Arial" w:cs="Arial"/>
          <w:sz w:val="20"/>
          <w:szCs w:val="20"/>
        </w:rPr>
        <w:t xml:space="preserve">Výročná správa o vykonávaní </w:t>
      </w:r>
      <w:r w:rsidR="000236A4">
        <w:rPr>
          <w:rFonts w:ascii="Arial" w:hAnsi="Arial" w:cs="Arial"/>
          <w:sz w:val="20"/>
          <w:szCs w:val="20"/>
        </w:rPr>
        <w:t>OP ŽP</w:t>
      </w:r>
      <w:r w:rsidRPr="0039268C">
        <w:rPr>
          <w:rFonts w:ascii="Arial" w:hAnsi="Arial" w:cs="Arial"/>
          <w:sz w:val="20"/>
          <w:szCs w:val="20"/>
        </w:rPr>
        <w:t xml:space="preserve"> za rok 2012 v zmysle nariadenia Rady (ES) č. 1083/2006 z 11. júla 2006 je dostupná širokej verejnosti prostredníctvom informačného portálu </w:t>
      </w:r>
      <w:hyperlink r:id="rId93" w:history="1">
        <w:r w:rsidRPr="0039268C">
          <w:rPr>
            <w:rStyle w:val="Hypertextovprepojenie"/>
            <w:rFonts w:ascii="Arial" w:hAnsi="Arial" w:cs="Arial"/>
            <w:sz w:val="20"/>
            <w:szCs w:val="20"/>
          </w:rPr>
          <w:t>www.opzp.sk</w:t>
        </w:r>
      </w:hyperlink>
      <w:r w:rsidRPr="0039268C">
        <w:rPr>
          <w:rFonts w:ascii="Arial" w:hAnsi="Arial" w:cs="Arial"/>
          <w:sz w:val="20"/>
          <w:szCs w:val="20"/>
        </w:rPr>
        <w:t xml:space="preserve">. Jej súčasťou je aj vyhodnotenie realizácie aktivít v oblasti informovania a publicity o </w:t>
      </w:r>
      <w:r w:rsidR="000236A4">
        <w:rPr>
          <w:rFonts w:ascii="Arial" w:hAnsi="Arial" w:cs="Arial"/>
          <w:sz w:val="20"/>
          <w:szCs w:val="20"/>
        </w:rPr>
        <w:t>OP ŽP</w:t>
      </w:r>
      <w:r w:rsidRPr="0039268C">
        <w:rPr>
          <w:rFonts w:ascii="Arial" w:hAnsi="Arial" w:cs="Arial"/>
          <w:sz w:val="20"/>
          <w:szCs w:val="20"/>
        </w:rPr>
        <w:t>.</w:t>
      </w:r>
    </w:p>
    <w:p w:rsidR="00C66C2A" w:rsidRPr="0039268C" w:rsidRDefault="00C66C2A" w:rsidP="00507035">
      <w:pPr>
        <w:spacing w:before="120" w:after="120" w:line="360" w:lineRule="auto"/>
        <w:jc w:val="both"/>
        <w:rPr>
          <w:rFonts w:ascii="Arial" w:hAnsi="Arial" w:cs="Arial"/>
          <w:bCs/>
          <w:sz w:val="20"/>
          <w:szCs w:val="20"/>
        </w:rPr>
      </w:pPr>
      <w:r w:rsidRPr="0039268C">
        <w:rPr>
          <w:rFonts w:ascii="Arial" w:hAnsi="Arial" w:cs="Arial"/>
          <w:bCs/>
          <w:sz w:val="20"/>
          <w:szCs w:val="20"/>
        </w:rPr>
        <w:t>V roku 2012 sa pracovníci REPIS zamerali aj na monitoring zrealizovaných (riadne ukončených) projektov na základe požiadavky z MŽP SR ako RO v súvislosti so spracovávaním podkladových údajov do informačných listov o realizovaných projektoch podporených z Operačného programu Životné prostredie ako jednej z aktivít informovania a publicity o </w:t>
      </w:r>
      <w:r w:rsidR="000236A4">
        <w:rPr>
          <w:rFonts w:ascii="Arial" w:hAnsi="Arial" w:cs="Arial"/>
          <w:bCs/>
          <w:sz w:val="20"/>
          <w:szCs w:val="20"/>
        </w:rPr>
        <w:t>OP ŽP</w:t>
      </w:r>
      <w:r w:rsidRPr="0039268C">
        <w:rPr>
          <w:rFonts w:ascii="Arial" w:hAnsi="Arial" w:cs="Arial"/>
          <w:bCs/>
          <w:sz w:val="20"/>
          <w:szCs w:val="20"/>
        </w:rPr>
        <w:t xml:space="preserve">. Uskutočnilo sa 42 pracovných stretnutí, v rámci ktorých boli doplnené Informačné listy  k  42 ukončeným projektom a bola vyhotovená fotodokumentácia z miesta realizácie projektu a získané vyjadrenia prijímateľa k vplyvu projektu na občanov, prijímateľa a pod. </w:t>
      </w:r>
    </w:p>
    <w:p w:rsidR="002416B1" w:rsidRPr="004B33AE" w:rsidRDefault="002416B1" w:rsidP="00507035">
      <w:pPr>
        <w:spacing w:before="120" w:after="120" w:line="360" w:lineRule="auto"/>
        <w:jc w:val="both"/>
        <w:rPr>
          <w:rFonts w:ascii="Arial" w:hAnsi="Arial" w:cs="Arial"/>
          <w:sz w:val="20"/>
          <w:szCs w:val="20"/>
        </w:rPr>
      </w:pPr>
    </w:p>
    <w:p w:rsidR="002416B1" w:rsidRPr="004B33AE" w:rsidRDefault="002416B1" w:rsidP="000A02D3">
      <w:pPr>
        <w:spacing w:line="360" w:lineRule="auto"/>
        <w:jc w:val="both"/>
        <w:rPr>
          <w:rFonts w:ascii="Arial" w:hAnsi="Arial" w:cs="Arial"/>
          <w:sz w:val="20"/>
          <w:szCs w:val="20"/>
        </w:rPr>
      </w:pPr>
      <w:r w:rsidRPr="004B33AE">
        <w:rPr>
          <w:rFonts w:ascii="Arial" w:hAnsi="Arial" w:cs="Arial"/>
          <w:sz w:val="20"/>
          <w:szCs w:val="20"/>
        </w:rPr>
        <w:t xml:space="preserve">Tab. č. </w:t>
      </w:r>
      <w:r w:rsidR="00C63470">
        <w:rPr>
          <w:rFonts w:ascii="Arial" w:hAnsi="Arial" w:cs="Arial"/>
          <w:sz w:val="20"/>
          <w:szCs w:val="20"/>
        </w:rPr>
        <w:t>86</w:t>
      </w:r>
      <w:r w:rsidRPr="004B33AE">
        <w:rPr>
          <w:rFonts w:ascii="Arial" w:hAnsi="Arial" w:cs="Arial"/>
          <w:sz w:val="20"/>
          <w:szCs w:val="20"/>
        </w:rPr>
        <w:t>: Plnenie fyzických ukazovateľov informovania a publicity k 31.12.</w:t>
      </w:r>
      <w:r w:rsidR="00EF446A">
        <w:rPr>
          <w:rFonts w:ascii="Arial" w:hAnsi="Arial" w:cs="Arial"/>
          <w:sz w:val="20"/>
          <w:szCs w:val="20"/>
        </w:rPr>
        <w:t>2012</w:t>
      </w:r>
    </w:p>
    <w:tbl>
      <w:tblPr>
        <w:tblW w:w="4779" w:type="pct"/>
        <w:tblInd w:w="1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222"/>
        <w:gridCol w:w="1098"/>
        <w:gridCol w:w="521"/>
        <w:gridCol w:w="676"/>
        <w:gridCol w:w="676"/>
        <w:gridCol w:w="12"/>
        <w:gridCol w:w="664"/>
        <w:gridCol w:w="676"/>
        <w:gridCol w:w="676"/>
        <w:gridCol w:w="676"/>
        <w:gridCol w:w="676"/>
        <w:gridCol w:w="676"/>
        <w:gridCol w:w="627"/>
      </w:tblGrid>
      <w:tr w:rsidR="002416B1" w:rsidRPr="006A2BF3" w:rsidTr="001540E7">
        <w:trPr>
          <w:trHeight w:val="20"/>
        </w:trPr>
        <w:tc>
          <w:tcPr>
            <w:tcW w:w="1306" w:type="pct"/>
            <w:gridSpan w:val="2"/>
            <w:tcBorders>
              <w:top w:val="single" w:sz="6" w:space="0" w:color="auto"/>
              <w:left w:val="single" w:sz="6" w:space="0" w:color="auto"/>
              <w:bottom w:val="double" w:sz="4" w:space="0" w:color="auto"/>
            </w:tcBorders>
            <w:shd w:val="clear" w:color="auto" w:fill="D6E3BC"/>
            <w:vAlign w:val="center"/>
          </w:tcPr>
          <w:p w:rsidR="002416B1" w:rsidRPr="006A2BF3" w:rsidRDefault="002416B1" w:rsidP="000A02D3">
            <w:pPr>
              <w:rPr>
                <w:rFonts w:ascii="Arial" w:hAnsi="Arial" w:cs="Arial"/>
                <w:b/>
                <w:sz w:val="16"/>
                <w:szCs w:val="16"/>
                <w:lang w:eastAsia="cs-CZ"/>
              </w:rPr>
            </w:pPr>
            <w:r w:rsidRPr="006A2BF3">
              <w:rPr>
                <w:rFonts w:ascii="Arial" w:hAnsi="Arial" w:cs="Arial"/>
                <w:b/>
                <w:sz w:val="16"/>
                <w:szCs w:val="16"/>
                <w:lang w:eastAsia="en-US"/>
              </w:rPr>
              <w:t>Ukazovatele dopadu</w:t>
            </w:r>
          </w:p>
        </w:tc>
        <w:tc>
          <w:tcPr>
            <w:tcW w:w="293" w:type="pct"/>
            <w:tcBorders>
              <w:top w:val="single" w:sz="6" w:space="0" w:color="auto"/>
              <w:bottom w:val="double" w:sz="4" w:space="0" w:color="auto"/>
            </w:tcBorders>
            <w:shd w:val="clear" w:color="auto" w:fill="D6E3BC"/>
            <w:vAlign w:val="center"/>
          </w:tcPr>
          <w:p w:rsidR="002416B1" w:rsidRPr="006A2BF3" w:rsidRDefault="002416B1" w:rsidP="000A02D3">
            <w:pPr>
              <w:jc w:val="center"/>
              <w:rPr>
                <w:rFonts w:ascii="Arial" w:hAnsi="Arial" w:cs="Arial"/>
                <w:b/>
                <w:sz w:val="16"/>
                <w:szCs w:val="16"/>
                <w:lang w:eastAsia="cs-CZ"/>
              </w:rPr>
            </w:pPr>
            <w:r w:rsidRPr="006A2BF3">
              <w:rPr>
                <w:rFonts w:ascii="Arial" w:hAnsi="Arial" w:cs="Arial"/>
                <w:b/>
                <w:sz w:val="16"/>
                <w:szCs w:val="16"/>
                <w:lang w:eastAsia="en-US"/>
              </w:rPr>
              <w:t>2007</w:t>
            </w:r>
          </w:p>
        </w:tc>
        <w:tc>
          <w:tcPr>
            <w:tcW w:w="381" w:type="pct"/>
            <w:tcBorders>
              <w:top w:val="single" w:sz="6" w:space="0" w:color="auto"/>
              <w:bottom w:val="double" w:sz="4" w:space="0" w:color="auto"/>
            </w:tcBorders>
            <w:shd w:val="clear" w:color="auto" w:fill="D6E3BC"/>
            <w:vAlign w:val="center"/>
          </w:tcPr>
          <w:p w:rsidR="002416B1" w:rsidRPr="006A2BF3" w:rsidRDefault="002416B1" w:rsidP="000A02D3">
            <w:pPr>
              <w:jc w:val="center"/>
              <w:rPr>
                <w:rFonts w:ascii="Arial" w:hAnsi="Arial" w:cs="Arial"/>
                <w:b/>
                <w:sz w:val="16"/>
                <w:szCs w:val="16"/>
                <w:lang w:eastAsia="cs-CZ"/>
              </w:rPr>
            </w:pPr>
            <w:r w:rsidRPr="006A2BF3">
              <w:rPr>
                <w:rFonts w:ascii="Arial" w:hAnsi="Arial" w:cs="Arial"/>
                <w:b/>
                <w:sz w:val="16"/>
                <w:szCs w:val="16"/>
                <w:lang w:eastAsia="en-US"/>
              </w:rPr>
              <w:t>2008</w:t>
            </w:r>
          </w:p>
        </w:tc>
        <w:tc>
          <w:tcPr>
            <w:tcW w:w="381" w:type="pct"/>
            <w:tcBorders>
              <w:top w:val="single" w:sz="6" w:space="0" w:color="auto"/>
              <w:bottom w:val="double" w:sz="4" w:space="0" w:color="auto"/>
            </w:tcBorders>
            <w:shd w:val="clear" w:color="auto" w:fill="D6E3BC"/>
            <w:vAlign w:val="center"/>
          </w:tcPr>
          <w:p w:rsidR="002416B1" w:rsidRPr="006A2BF3" w:rsidRDefault="002416B1" w:rsidP="000A02D3">
            <w:pPr>
              <w:jc w:val="center"/>
              <w:rPr>
                <w:rFonts w:ascii="Arial" w:hAnsi="Arial" w:cs="Arial"/>
                <w:b/>
                <w:sz w:val="16"/>
                <w:szCs w:val="16"/>
                <w:lang w:eastAsia="cs-CZ"/>
              </w:rPr>
            </w:pPr>
            <w:r w:rsidRPr="006A2BF3">
              <w:rPr>
                <w:rFonts w:ascii="Arial" w:hAnsi="Arial" w:cs="Arial"/>
                <w:b/>
                <w:sz w:val="16"/>
                <w:szCs w:val="16"/>
                <w:lang w:eastAsia="en-US"/>
              </w:rPr>
              <w:t>2009</w:t>
            </w:r>
          </w:p>
        </w:tc>
        <w:tc>
          <w:tcPr>
            <w:tcW w:w="381" w:type="pct"/>
            <w:gridSpan w:val="2"/>
            <w:tcBorders>
              <w:top w:val="single" w:sz="6" w:space="0" w:color="auto"/>
              <w:bottom w:val="double" w:sz="4" w:space="0" w:color="auto"/>
            </w:tcBorders>
            <w:shd w:val="clear" w:color="auto" w:fill="D6E3BC"/>
            <w:vAlign w:val="center"/>
          </w:tcPr>
          <w:p w:rsidR="002416B1" w:rsidRPr="006A2BF3" w:rsidRDefault="002416B1" w:rsidP="000A02D3">
            <w:pPr>
              <w:jc w:val="center"/>
              <w:rPr>
                <w:rFonts w:ascii="Arial" w:hAnsi="Arial" w:cs="Arial"/>
                <w:b/>
                <w:sz w:val="16"/>
                <w:szCs w:val="16"/>
                <w:lang w:eastAsia="cs-CZ"/>
              </w:rPr>
            </w:pPr>
            <w:r w:rsidRPr="006A2BF3">
              <w:rPr>
                <w:rFonts w:ascii="Arial" w:hAnsi="Arial" w:cs="Arial"/>
                <w:b/>
                <w:sz w:val="16"/>
                <w:szCs w:val="16"/>
                <w:lang w:eastAsia="en-US"/>
              </w:rPr>
              <w:t>2010</w:t>
            </w:r>
          </w:p>
        </w:tc>
        <w:tc>
          <w:tcPr>
            <w:tcW w:w="381" w:type="pct"/>
            <w:tcBorders>
              <w:top w:val="single" w:sz="6" w:space="0" w:color="auto"/>
              <w:bottom w:val="double" w:sz="4" w:space="0" w:color="auto"/>
            </w:tcBorders>
            <w:shd w:val="clear" w:color="auto" w:fill="D6E3BC"/>
            <w:vAlign w:val="center"/>
          </w:tcPr>
          <w:p w:rsidR="002416B1" w:rsidRPr="006A2BF3" w:rsidRDefault="002416B1" w:rsidP="000A02D3">
            <w:pPr>
              <w:jc w:val="center"/>
              <w:rPr>
                <w:rFonts w:ascii="Arial" w:hAnsi="Arial" w:cs="Arial"/>
                <w:b/>
                <w:sz w:val="16"/>
                <w:szCs w:val="16"/>
                <w:lang w:eastAsia="cs-CZ"/>
              </w:rPr>
            </w:pPr>
            <w:r w:rsidRPr="006A2BF3">
              <w:rPr>
                <w:rFonts w:ascii="Arial" w:hAnsi="Arial" w:cs="Arial"/>
                <w:b/>
                <w:sz w:val="16"/>
                <w:szCs w:val="16"/>
                <w:lang w:eastAsia="en-US"/>
              </w:rPr>
              <w:t>2011</w:t>
            </w:r>
          </w:p>
        </w:tc>
        <w:tc>
          <w:tcPr>
            <w:tcW w:w="381" w:type="pct"/>
            <w:tcBorders>
              <w:top w:val="single" w:sz="6" w:space="0" w:color="auto"/>
              <w:bottom w:val="double" w:sz="4" w:space="0" w:color="auto"/>
            </w:tcBorders>
            <w:shd w:val="clear" w:color="auto" w:fill="D6E3BC"/>
            <w:vAlign w:val="center"/>
          </w:tcPr>
          <w:p w:rsidR="002416B1" w:rsidRPr="006A2BF3" w:rsidRDefault="002416B1" w:rsidP="000A02D3">
            <w:pPr>
              <w:jc w:val="center"/>
              <w:rPr>
                <w:rFonts w:ascii="Arial" w:hAnsi="Arial" w:cs="Arial"/>
                <w:b/>
                <w:sz w:val="16"/>
                <w:szCs w:val="16"/>
                <w:lang w:eastAsia="cs-CZ"/>
              </w:rPr>
            </w:pPr>
            <w:r w:rsidRPr="006A2BF3">
              <w:rPr>
                <w:rFonts w:ascii="Arial" w:hAnsi="Arial" w:cs="Arial"/>
                <w:b/>
                <w:sz w:val="16"/>
                <w:szCs w:val="16"/>
                <w:lang w:eastAsia="en-US"/>
              </w:rPr>
              <w:t>2012</w:t>
            </w:r>
          </w:p>
        </w:tc>
        <w:tc>
          <w:tcPr>
            <w:tcW w:w="381" w:type="pct"/>
            <w:tcBorders>
              <w:top w:val="single" w:sz="6" w:space="0" w:color="auto"/>
              <w:bottom w:val="double" w:sz="4" w:space="0" w:color="auto"/>
            </w:tcBorders>
            <w:shd w:val="clear" w:color="auto" w:fill="D6E3BC"/>
            <w:vAlign w:val="center"/>
          </w:tcPr>
          <w:p w:rsidR="002416B1" w:rsidRPr="006A2BF3" w:rsidRDefault="002416B1" w:rsidP="000A02D3">
            <w:pPr>
              <w:jc w:val="center"/>
              <w:rPr>
                <w:rFonts w:ascii="Arial" w:hAnsi="Arial" w:cs="Arial"/>
                <w:b/>
                <w:sz w:val="16"/>
                <w:szCs w:val="16"/>
                <w:lang w:eastAsia="cs-CZ"/>
              </w:rPr>
            </w:pPr>
            <w:r w:rsidRPr="006A2BF3">
              <w:rPr>
                <w:rFonts w:ascii="Arial" w:hAnsi="Arial" w:cs="Arial"/>
                <w:b/>
                <w:sz w:val="16"/>
                <w:szCs w:val="16"/>
                <w:lang w:eastAsia="en-US"/>
              </w:rPr>
              <w:t>2013</w:t>
            </w:r>
          </w:p>
        </w:tc>
        <w:tc>
          <w:tcPr>
            <w:tcW w:w="381" w:type="pct"/>
            <w:tcBorders>
              <w:top w:val="single" w:sz="6" w:space="0" w:color="auto"/>
              <w:bottom w:val="double" w:sz="4" w:space="0" w:color="auto"/>
            </w:tcBorders>
            <w:shd w:val="clear" w:color="auto" w:fill="D6E3BC"/>
            <w:vAlign w:val="center"/>
          </w:tcPr>
          <w:p w:rsidR="002416B1" w:rsidRPr="006A2BF3" w:rsidRDefault="002416B1" w:rsidP="000A02D3">
            <w:pPr>
              <w:jc w:val="center"/>
              <w:rPr>
                <w:rFonts w:ascii="Arial" w:hAnsi="Arial" w:cs="Arial"/>
                <w:b/>
                <w:sz w:val="16"/>
                <w:szCs w:val="16"/>
                <w:lang w:eastAsia="cs-CZ"/>
              </w:rPr>
            </w:pPr>
            <w:r w:rsidRPr="006A2BF3">
              <w:rPr>
                <w:rFonts w:ascii="Arial" w:hAnsi="Arial" w:cs="Arial"/>
                <w:b/>
                <w:sz w:val="16"/>
                <w:szCs w:val="16"/>
                <w:lang w:eastAsia="en-US"/>
              </w:rPr>
              <w:t>2014</w:t>
            </w:r>
          </w:p>
        </w:tc>
        <w:tc>
          <w:tcPr>
            <w:tcW w:w="381" w:type="pct"/>
            <w:tcBorders>
              <w:top w:val="single" w:sz="6" w:space="0" w:color="auto"/>
              <w:bottom w:val="double" w:sz="4" w:space="0" w:color="auto"/>
            </w:tcBorders>
            <w:shd w:val="clear" w:color="auto" w:fill="D6E3BC"/>
            <w:vAlign w:val="center"/>
          </w:tcPr>
          <w:p w:rsidR="002416B1" w:rsidRPr="006A2BF3" w:rsidRDefault="002416B1" w:rsidP="000A02D3">
            <w:pPr>
              <w:jc w:val="center"/>
              <w:rPr>
                <w:rFonts w:ascii="Arial" w:hAnsi="Arial" w:cs="Arial"/>
                <w:b/>
                <w:sz w:val="16"/>
                <w:szCs w:val="16"/>
                <w:lang w:eastAsia="cs-CZ"/>
              </w:rPr>
            </w:pPr>
            <w:r w:rsidRPr="006A2BF3">
              <w:rPr>
                <w:rFonts w:ascii="Arial" w:hAnsi="Arial" w:cs="Arial"/>
                <w:b/>
                <w:sz w:val="16"/>
                <w:szCs w:val="16"/>
                <w:lang w:eastAsia="en-US"/>
              </w:rPr>
              <w:t>2015</w:t>
            </w:r>
          </w:p>
        </w:tc>
        <w:tc>
          <w:tcPr>
            <w:tcW w:w="354" w:type="pct"/>
            <w:tcBorders>
              <w:top w:val="single" w:sz="6" w:space="0" w:color="auto"/>
              <w:bottom w:val="double" w:sz="4" w:space="0" w:color="auto"/>
              <w:right w:val="single" w:sz="6" w:space="0" w:color="auto"/>
            </w:tcBorders>
            <w:shd w:val="clear" w:color="auto" w:fill="D6E3BC"/>
            <w:vAlign w:val="center"/>
          </w:tcPr>
          <w:p w:rsidR="002416B1" w:rsidRPr="006A2BF3" w:rsidRDefault="002416B1" w:rsidP="000A02D3">
            <w:pPr>
              <w:jc w:val="center"/>
              <w:rPr>
                <w:rFonts w:ascii="Arial" w:hAnsi="Arial" w:cs="Arial"/>
                <w:b/>
                <w:sz w:val="16"/>
                <w:szCs w:val="16"/>
                <w:lang w:eastAsia="cs-CZ"/>
              </w:rPr>
            </w:pPr>
            <w:r w:rsidRPr="004B33AE">
              <w:rPr>
                <w:rFonts w:ascii="Arial" w:hAnsi="Arial" w:cs="Arial"/>
                <w:b/>
                <w:sz w:val="16"/>
                <w:szCs w:val="16"/>
                <w:lang w:eastAsia="en-US"/>
              </w:rPr>
              <w:t>Spolu</w:t>
            </w:r>
          </w:p>
        </w:tc>
      </w:tr>
      <w:tr w:rsidR="005403A6" w:rsidRPr="006A2BF3" w:rsidTr="001540E7">
        <w:trPr>
          <w:trHeight w:val="20"/>
        </w:trPr>
        <w:tc>
          <w:tcPr>
            <w:tcW w:w="688" w:type="pct"/>
            <w:vMerge w:val="restart"/>
            <w:tcBorders>
              <w:top w:val="double" w:sz="4" w:space="0" w:color="auto"/>
              <w:left w:val="single" w:sz="6" w:space="0" w:color="auto"/>
            </w:tcBorders>
            <w:vAlign w:val="center"/>
          </w:tcPr>
          <w:p w:rsidR="005403A6" w:rsidRPr="00C266A4" w:rsidRDefault="005403A6" w:rsidP="000A02D3">
            <w:pPr>
              <w:rPr>
                <w:rFonts w:ascii="Arial" w:hAnsi="Arial" w:cs="Arial"/>
                <w:sz w:val="16"/>
                <w:szCs w:val="16"/>
                <w:lang w:eastAsia="en-US"/>
              </w:rPr>
            </w:pPr>
            <w:r w:rsidRPr="00C266A4">
              <w:rPr>
                <w:rFonts w:ascii="Arial" w:hAnsi="Arial" w:cs="Arial"/>
                <w:sz w:val="16"/>
                <w:szCs w:val="16"/>
                <w:lang w:eastAsia="en-US"/>
              </w:rPr>
              <w:t>% poznania úlohy EÚ a OP ŽP</w:t>
            </w:r>
          </w:p>
          <w:p w:rsidR="005403A6" w:rsidRPr="006A2BF3" w:rsidRDefault="005403A6" w:rsidP="000A02D3">
            <w:pPr>
              <w:rPr>
                <w:rFonts w:ascii="Arial" w:hAnsi="Arial" w:cs="Arial"/>
                <w:b/>
                <w:sz w:val="16"/>
                <w:szCs w:val="16"/>
                <w:lang w:eastAsia="en-US"/>
              </w:rPr>
            </w:pPr>
            <w:r w:rsidRPr="006A2BF3">
              <w:rPr>
                <w:rFonts w:ascii="Arial" w:hAnsi="Arial" w:cs="Arial"/>
                <w:sz w:val="16"/>
                <w:szCs w:val="16"/>
                <w:lang w:eastAsia="en-US"/>
              </w:rPr>
              <w:t>(% obyvateľstva)</w:t>
            </w:r>
          </w:p>
        </w:tc>
        <w:tc>
          <w:tcPr>
            <w:tcW w:w="618" w:type="pct"/>
            <w:tcBorders>
              <w:top w:val="double" w:sz="4" w:space="0" w:color="auto"/>
              <w:bottom w:val="dotted" w:sz="4" w:space="0" w:color="auto"/>
            </w:tcBorders>
            <w:vAlign w:val="center"/>
          </w:tcPr>
          <w:p w:rsidR="005403A6" w:rsidRPr="006A2BF3" w:rsidRDefault="005403A6" w:rsidP="000A02D3">
            <w:pPr>
              <w:rPr>
                <w:rFonts w:ascii="Arial" w:hAnsi="Arial" w:cs="Arial"/>
                <w:sz w:val="16"/>
                <w:szCs w:val="16"/>
                <w:lang w:eastAsia="cs-CZ"/>
              </w:rPr>
            </w:pPr>
            <w:r w:rsidRPr="006A2BF3">
              <w:rPr>
                <w:rFonts w:ascii="Arial" w:hAnsi="Arial" w:cs="Arial"/>
                <w:sz w:val="16"/>
                <w:szCs w:val="16"/>
                <w:lang w:eastAsia="en-US"/>
              </w:rPr>
              <w:t>Dosiahnutý výsledok</w:t>
            </w:r>
          </w:p>
        </w:tc>
        <w:tc>
          <w:tcPr>
            <w:tcW w:w="293" w:type="pct"/>
            <w:tcBorders>
              <w:top w:val="double" w:sz="4" w:space="0" w:color="auto"/>
              <w:bottom w:val="dotted" w:sz="4" w:space="0" w:color="auto"/>
            </w:tcBorders>
          </w:tcPr>
          <w:p w:rsidR="005403A6" w:rsidRPr="0039268C" w:rsidRDefault="005403A6" w:rsidP="000A02D3">
            <w:pPr>
              <w:jc w:val="center"/>
              <w:rPr>
                <w:rFonts w:ascii="Arial Narrow" w:hAnsi="Arial Narrow" w:cs="Arial"/>
                <w:b/>
                <w:sz w:val="14"/>
                <w:szCs w:val="14"/>
                <w:lang w:eastAsia="cs-CZ"/>
              </w:rPr>
            </w:pPr>
            <w:r w:rsidRPr="0039268C">
              <w:rPr>
                <w:rFonts w:ascii="Arial Narrow" w:hAnsi="Arial Narrow"/>
                <w:sz w:val="14"/>
                <w:szCs w:val="14"/>
              </w:rPr>
              <w:t>5</w:t>
            </w:r>
          </w:p>
        </w:tc>
        <w:tc>
          <w:tcPr>
            <w:tcW w:w="381" w:type="pct"/>
            <w:tcBorders>
              <w:top w:val="double" w:sz="4" w:space="0" w:color="auto"/>
              <w:bottom w:val="dotted" w:sz="4" w:space="0" w:color="auto"/>
            </w:tcBorders>
          </w:tcPr>
          <w:p w:rsidR="005403A6" w:rsidRPr="0039268C" w:rsidRDefault="005403A6" w:rsidP="000A02D3">
            <w:pPr>
              <w:jc w:val="center"/>
              <w:rPr>
                <w:rFonts w:ascii="Arial Narrow" w:hAnsi="Arial Narrow" w:cs="Arial"/>
                <w:b/>
                <w:sz w:val="14"/>
                <w:szCs w:val="14"/>
                <w:lang w:eastAsia="cs-CZ"/>
              </w:rPr>
            </w:pPr>
            <w:r w:rsidRPr="0039268C">
              <w:rPr>
                <w:rFonts w:ascii="Arial Narrow" w:hAnsi="Arial Narrow"/>
                <w:sz w:val="14"/>
                <w:szCs w:val="14"/>
              </w:rPr>
              <w:t>44,33</w:t>
            </w:r>
          </w:p>
        </w:tc>
        <w:tc>
          <w:tcPr>
            <w:tcW w:w="381" w:type="pct"/>
            <w:tcBorders>
              <w:top w:val="double" w:sz="4" w:space="0" w:color="auto"/>
              <w:bottom w:val="dotted" w:sz="4" w:space="0" w:color="auto"/>
            </w:tcBorders>
          </w:tcPr>
          <w:p w:rsidR="005403A6" w:rsidRPr="0039268C" w:rsidRDefault="005403A6" w:rsidP="000A02D3">
            <w:pPr>
              <w:jc w:val="center"/>
              <w:rPr>
                <w:rFonts w:ascii="Arial Narrow" w:hAnsi="Arial Narrow" w:cs="Arial"/>
                <w:b/>
                <w:sz w:val="14"/>
                <w:szCs w:val="14"/>
                <w:lang w:eastAsia="en-US"/>
              </w:rPr>
            </w:pPr>
            <w:r w:rsidRPr="0039268C">
              <w:rPr>
                <w:rFonts w:ascii="Arial Narrow" w:hAnsi="Arial Narrow"/>
                <w:sz w:val="14"/>
                <w:szCs w:val="14"/>
              </w:rPr>
              <w:t>63,4</w:t>
            </w:r>
          </w:p>
        </w:tc>
        <w:tc>
          <w:tcPr>
            <w:tcW w:w="381" w:type="pct"/>
            <w:gridSpan w:val="2"/>
            <w:tcBorders>
              <w:top w:val="double" w:sz="4" w:space="0" w:color="auto"/>
              <w:bottom w:val="dotted" w:sz="4" w:space="0" w:color="auto"/>
            </w:tcBorders>
          </w:tcPr>
          <w:p w:rsidR="005403A6" w:rsidRPr="0039268C" w:rsidRDefault="005403A6" w:rsidP="000A02D3">
            <w:pPr>
              <w:jc w:val="center"/>
              <w:rPr>
                <w:rFonts w:ascii="Arial Narrow" w:hAnsi="Arial Narrow" w:cs="Arial"/>
                <w:b/>
                <w:sz w:val="14"/>
                <w:szCs w:val="14"/>
                <w:lang w:eastAsia="en-US"/>
              </w:rPr>
            </w:pPr>
            <w:r w:rsidRPr="0039268C">
              <w:rPr>
                <w:rFonts w:ascii="Arial Narrow" w:hAnsi="Arial Narrow"/>
                <w:sz w:val="14"/>
                <w:szCs w:val="14"/>
              </w:rPr>
              <w:t>72,5</w:t>
            </w:r>
          </w:p>
        </w:tc>
        <w:tc>
          <w:tcPr>
            <w:tcW w:w="381" w:type="pct"/>
            <w:tcBorders>
              <w:top w:val="double" w:sz="4" w:space="0" w:color="auto"/>
              <w:bottom w:val="dotted" w:sz="4" w:space="0" w:color="auto"/>
            </w:tcBorders>
          </w:tcPr>
          <w:p w:rsidR="005403A6" w:rsidRPr="0039268C" w:rsidRDefault="005403A6" w:rsidP="000A02D3">
            <w:pPr>
              <w:jc w:val="center"/>
              <w:rPr>
                <w:rFonts w:ascii="Arial Narrow" w:hAnsi="Arial Narrow" w:cs="Arial"/>
                <w:sz w:val="14"/>
                <w:szCs w:val="14"/>
                <w:lang w:eastAsia="en-US"/>
              </w:rPr>
            </w:pPr>
            <w:r w:rsidRPr="0039268C">
              <w:rPr>
                <w:rFonts w:ascii="Arial Narrow" w:hAnsi="Arial Narrow"/>
                <w:sz w:val="14"/>
                <w:szCs w:val="14"/>
              </w:rPr>
              <w:t>-</w:t>
            </w:r>
          </w:p>
        </w:tc>
        <w:tc>
          <w:tcPr>
            <w:tcW w:w="381" w:type="pct"/>
            <w:tcBorders>
              <w:top w:val="double" w:sz="4" w:space="0" w:color="auto"/>
              <w:bottom w:val="dotted" w:sz="4" w:space="0" w:color="auto"/>
            </w:tcBorders>
          </w:tcPr>
          <w:p w:rsidR="005403A6" w:rsidRPr="0039268C" w:rsidRDefault="005403A6" w:rsidP="000A02D3">
            <w:pPr>
              <w:jc w:val="center"/>
              <w:rPr>
                <w:rFonts w:ascii="Arial Narrow" w:hAnsi="Arial Narrow" w:cs="Arial"/>
                <w:sz w:val="14"/>
                <w:szCs w:val="14"/>
                <w:lang w:eastAsia="en-US"/>
              </w:rPr>
            </w:pPr>
            <w:r w:rsidRPr="0039268C">
              <w:rPr>
                <w:rFonts w:ascii="Arial Narrow" w:hAnsi="Arial Narrow"/>
                <w:sz w:val="14"/>
                <w:szCs w:val="14"/>
              </w:rPr>
              <w:t>-</w:t>
            </w:r>
          </w:p>
        </w:tc>
        <w:tc>
          <w:tcPr>
            <w:tcW w:w="381" w:type="pct"/>
            <w:tcBorders>
              <w:top w:val="double" w:sz="4" w:space="0" w:color="auto"/>
              <w:bottom w:val="dotted" w:sz="4" w:space="0" w:color="auto"/>
            </w:tcBorders>
          </w:tcPr>
          <w:p w:rsidR="005403A6" w:rsidRPr="0039268C" w:rsidRDefault="005403A6" w:rsidP="000A02D3">
            <w:pPr>
              <w:jc w:val="center"/>
              <w:rPr>
                <w:rFonts w:ascii="Arial Narrow" w:hAnsi="Arial Narrow" w:cs="Arial"/>
                <w:sz w:val="14"/>
                <w:szCs w:val="14"/>
                <w:lang w:eastAsia="en-US"/>
              </w:rPr>
            </w:pPr>
            <w:r w:rsidRPr="0039268C">
              <w:rPr>
                <w:rFonts w:ascii="Arial Narrow" w:hAnsi="Arial Narrow"/>
                <w:sz w:val="14"/>
                <w:szCs w:val="14"/>
              </w:rPr>
              <w:t>NA</w:t>
            </w:r>
          </w:p>
        </w:tc>
        <w:tc>
          <w:tcPr>
            <w:tcW w:w="381" w:type="pct"/>
            <w:tcBorders>
              <w:top w:val="double" w:sz="4" w:space="0" w:color="auto"/>
              <w:bottom w:val="dotted" w:sz="4" w:space="0" w:color="auto"/>
            </w:tcBorders>
          </w:tcPr>
          <w:p w:rsidR="005403A6" w:rsidRPr="0039268C" w:rsidRDefault="005403A6" w:rsidP="000A02D3">
            <w:pPr>
              <w:jc w:val="center"/>
              <w:rPr>
                <w:rFonts w:ascii="Arial Narrow" w:hAnsi="Arial Narrow" w:cs="Arial"/>
                <w:sz w:val="14"/>
                <w:szCs w:val="14"/>
                <w:lang w:eastAsia="en-US"/>
              </w:rPr>
            </w:pPr>
            <w:r w:rsidRPr="0039268C">
              <w:rPr>
                <w:rFonts w:ascii="Arial Narrow" w:hAnsi="Arial Narrow"/>
                <w:sz w:val="14"/>
                <w:szCs w:val="14"/>
              </w:rPr>
              <w:t>NA</w:t>
            </w:r>
          </w:p>
        </w:tc>
        <w:tc>
          <w:tcPr>
            <w:tcW w:w="381" w:type="pct"/>
            <w:tcBorders>
              <w:top w:val="double" w:sz="4" w:space="0" w:color="auto"/>
              <w:bottom w:val="dotted" w:sz="4" w:space="0" w:color="auto"/>
              <w:right w:val="single" w:sz="6" w:space="0" w:color="auto"/>
            </w:tcBorders>
          </w:tcPr>
          <w:p w:rsidR="005403A6" w:rsidRPr="0039268C" w:rsidRDefault="005403A6" w:rsidP="000A02D3">
            <w:pPr>
              <w:jc w:val="center"/>
              <w:rPr>
                <w:rFonts w:ascii="Arial Narrow" w:hAnsi="Arial Narrow" w:cs="Arial"/>
                <w:b/>
                <w:sz w:val="14"/>
                <w:szCs w:val="14"/>
                <w:lang w:eastAsia="en-US"/>
              </w:rPr>
            </w:pPr>
            <w:r w:rsidRPr="0039268C">
              <w:rPr>
                <w:rFonts w:ascii="Arial Narrow" w:hAnsi="Arial Narrow"/>
                <w:sz w:val="14"/>
                <w:szCs w:val="14"/>
              </w:rPr>
              <w:t>NA</w:t>
            </w:r>
          </w:p>
        </w:tc>
        <w:tc>
          <w:tcPr>
            <w:tcW w:w="354" w:type="pct"/>
            <w:tcBorders>
              <w:top w:val="double" w:sz="4" w:space="0" w:color="auto"/>
              <w:left w:val="single" w:sz="6" w:space="0" w:color="auto"/>
              <w:bottom w:val="dotted" w:sz="4" w:space="0" w:color="auto"/>
              <w:right w:val="single" w:sz="6" w:space="0" w:color="auto"/>
            </w:tcBorders>
          </w:tcPr>
          <w:p w:rsidR="005403A6" w:rsidRPr="0039268C" w:rsidRDefault="005403A6" w:rsidP="000A02D3">
            <w:pPr>
              <w:jc w:val="center"/>
              <w:rPr>
                <w:rFonts w:ascii="Arial Narrow" w:hAnsi="Arial Narrow" w:cs="Arial"/>
                <w:b/>
                <w:sz w:val="14"/>
                <w:szCs w:val="14"/>
                <w:lang w:eastAsia="cs-CZ"/>
              </w:rPr>
            </w:pPr>
            <w:r w:rsidRPr="0039268C">
              <w:rPr>
                <w:rFonts w:ascii="Arial Narrow" w:hAnsi="Arial Narrow"/>
                <w:sz w:val="14"/>
                <w:szCs w:val="14"/>
              </w:rPr>
              <w:t>72,5</w:t>
            </w:r>
          </w:p>
        </w:tc>
      </w:tr>
      <w:tr w:rsidR="005403A6" w:rsidRPr="006A2BF3" w:rsidTr="001540E7">
        <w:trPr>
          <w:trHeight w:val="20"/>
        </w:trPr>
        <w:tc>
          <w:tcPr>
            <w:tcW w:w="688" w:type="pct"/>
            <w:vMerge/>
            <w:tcBorders>
              <w:left w:val="single" w:sz="6" w:space="0" w:color="auto"/>
            </w:tcBorders>
            <w:vAlign w:val="center"/>
          </w:tcPr>
          <w:p w:rsidR="005403A6" w:rsidRPr="006A2BF3" w:rsidRDefault="005403A6" w:rsidP="000A02D3">
            <w:pPr>
              <w:rPr>
                <w:rFonts w:ascii="Arial" w:hAnsi="Arial" w:cs="Arial"/>
                <w:b/>
                <w:sz w:val="16"/>
                <w:szCs w:val="16"/>
                <w:lang w:eastAsia="cs-CZ"/>
              </w:rPr>
            </w:pPr>
          </w:p>
        </w:tc>
        <w:tc>
          <w:tcPr>
            <w:tcW w:w="618" w:type="pct"/>
            <w:tcBorders>
              <w:top w:val="dotted" w:sz="4" w:space="0" w:color="auto"/>
              <w:bottom w:val="dotted" w:sz="4" w:space="0" w:color="auto"/>
            </w:tcBorders>
            <w:vAlign w:val="center"/>
          </w:tcPr>
          <w:p w:rsidR="005403A6" w:rsidRPr="006A2BF3" w:rsidRDefault="005403A6" w:rsidP="000A02D3">
            <w:pPr>
              <w:rPr>
                <w:rFonts w:ascii="Arial" w:hAnsi="Arial" w:cs="Arial"/>
                <w:sz w:val="16"/>
                <w:szCs w:val="16"/>
                <w:lang w:eastAsia="cs-CZ"/>
              </w:rPr>
            </w:pPr>
            <w:r w:rsidRPr="006A2BF3">
              <w:rPr>
                <w:rFonts w:ascii="Arial" w:hAnsi="Arial" w:cs="Arial"/>
                <w:sz w:val="16"/>
                <w:szCs w:val="16"/>
                <w:lang w:eastAsia="en-US"/>
              </w:rPr>
              <w:t>Cieľ</w:t>
            </w:r>
          </w:p>
        </w:tc>
        <w:tc>
          <w:tcPr>
            <w:tcW w:w="293" w:type="pct"/>
            <w:tcBorders>
              <w:top w:val="dotted" w:sz="4" w:space="0" w:color="auto"/>
              <w:bottom w:val="dotted" w:sz="4" w:space="0" w:color="auto"/>
            </w:tcBorders>
          </w:tcPr>
          <w:p w:rsidR="005403A6" w:rsidRPr="0039268C" w:rsidRDefault="005403A6" w:rsidP="000A02D3">
            <w:pPr>
              <w:jc w:val="center"/>
              <w:rPr>
                <w:rFonts w:ascii="Arial Narrow" w:hAnsi="Arial Narrow" w:cs="Arial"/>
                <w:sz w:val="14"/>
                <w:szCs w:val="14"/>
                <w:lang w:eastAsia="cs-CZ"/>
              </w:rPr>
            </w:pPr>
            <w:r w:rsidRPr="0039268C">
              <w:rPr>
                <w:rFonts w:ascii="Arial Narrow" w:hAnsi="Arial Narrow"/>
                <w:sz w:val="14"/>
                <w:szCs w:val="14"/>
              </w:rPr>
              <w:t>NA</w:t>
            </w:r>
          </w:p>
        </w:tc>
        <w:tc>
          <w:tcPr>
            <w:tcW w:w="381" w:type="pct"/>
            <w:tcBorders>
              <w:top w:val="dotted" w:sz="4" w:space="0" w:color="auto"/>
              <w:bottom w:val="dotted" w:sz="4" w:space="0" w:color="auto"/>
            </w:tcBorders>
          </w:tcPr>
          <w:p w:rsidR="005403A6" w:rsidRPr="0039268C" w:rsidRDefault="005403A6" w:rsidP="000A02D3">
            <w:pPr>
              <w:jc w:val="center"/>
              <w:rPr>
                <w:rFonts w:ascii="Arial Narrow" w:hAnsi="Arial Narrow" w:cs="Arial"/>
                <w:sz w:val="14"/>
                <w:szCs w:val="14"/>
                <w:lang w:eastAsia="en-US"/>
              </w:rPr>
            </w:pPr>
            <w:r w:rsidRPr="0039268C">
              <w:rPr>
                <w:rFonts w:ascii="Arial Narrow" w:hAnsi="Arial Narrow"/>
                <w:sz w:val="14"/>
                <w:szCs w:val="14"/>
              </w:rPr>
              <w:t>NA</w:t>
            </w:r>
          </w:p>
        </w:tc>
        <w:tc>
          <w:tcPr>
            <w:tcW w:w="381" w:type="pct"/>
            <w:tcBorders>
              <w:top w:val="dotted" w:sz="4" w:space="0" w:color="auto"/>
              <w:bottom w:val="dotted" w:sz="4" w:space="0" w:color="auto"/>
            </w:tcBorders>
          </w:tcPr>
          <w:p w:rsidR="005403A6" w:rsidRPr="0039268C" w:rsidRDefault="005403A6" w:rsidP="000A02D3">
            <w:pPr>
              <w:jc w:val="center"/>
              <w:rPr>
                <w:rFonts w:ascii="Arial Narrow" w:hAnsi="Arial Narrow" w:cs="Arial"/>
                <w:sz w:val="14"/>
                <w:szCs w:val="14"/>
                <w:lang w:eastAsia="en-US"/>
              </w:rPr>
            </w:pPr>
            <w:r w:rsidRPr="0039268C">
              <w:rPr>
                <w:rFonts w:ascii="Arial Narrow" w:hAnsi="Arial Narrow"/>
                <w:sz w:val="14"/>
                <w:szCs w:val="14"/>
              </w:rPr>
              <w:t>NA</w:t>
            </w:r>
          </w:p>
        </w:tc>
        <w:tc>
          <w:tcPr>
            <w:tcW w:w="381" w:type="pct"/>
            <w:gridSpan w:val="2"/>
            <w:tcBorders>
              <w:top w:val="dotted" w:sz="4" w:space="0" w:color="auto"/>
              <w:bottom w:val="dotted" w:sz="4" w:space="0" w:color="auto"/>
            </w:tcBorders>
          </w:tcPr>
          <w:p w:rsidR="005403A6" w:rsidRPr="0039268C" w:rsidRDefault="005403A6" w:rsidP="000A02D3">
            <w:pPr>
              <w:jc w:val="center"/>
              <w:rPr>
                <w:rFonts w:ascii="Arial Narrow" w:hAnsi="Arial Narrow" w:cs="Arial"/>
                <w:sz w:val="14"/>
                <w:szCs w:val="14"/>
                <w:lang w:eastAsia="en-US"/>
              </w:rPr>
            </w:pPr>
            <w:r w:rsidRPr="0039268C">
              <w:rPr>
                <w:rFonts w:ascii="Arial Narrow" w:hAnsi="Arial Narrow"/>
                <w:sz w:val="14"/>
                <w:szCs w:val="14"/>
              </w:rPr>
              <w:t>NA</w:t>
            </w:r>
          </w:p>
        </w:tc>
        <w:tc>
          <w:tcPr>
            <w:tcW w:w="381" w:type="pct"/>
            <w:tcBorders>
              <w:top w:val="dotted" w:sz="4" w:space="0" w:color="auto"/>
              <w:bottom w:val="dotted" w:sz="4" w:space="0" w:color="auto"/>
            </w:tcBorders>
          </w:tcPr>
          <w:p w:rsidR="005403A6" w:rsidRPr="0039268C" w:rsidRDefault="005403A6" w:rsidP="000A02D3">
            <w:pPr>
              <w:jc w:val="center"/>
              <w:rPr>
                <w:rFonts w:ascii="Arial Narrow" w:hAnsi="Arial Narrow" w:cs="Arial"/>
                <w:sz w:val="14"/>
                <w:szCs w:val="14"/>
                <w:lang w:eastAsia="en-US"/>
              </w:rPr>
            </w:pPr>
            <w:r w:rsidRPr="0039268C">
              <w:rPr>
                <w:rFonts w:ascii="Arial Narrow" w:hAnsi="Arial Narrow"/>
                <w:sz w:val="14"/>
                <w:szCs w:val="14"/>
              </w:rPr>
              <w:t>NA</w:t>
            </w:r>
          </w:p>
        </w:tc>
        <w:tc>
          <w:tcPr>
            <w:tcW w:w="381" w:type="pct"/>
            <w:tcBorders>
              <w:top w:val="dotted" w:sz="4" w:space="0" w:color="auto"/>
              <w:bottom w:val="dotted" w:sz="4" w:space="0" w:color="auto"/>
            </w:tcBorders>
          </w:tcPr>
          <w:p w:rsidR="005403A6" w:rsidRPr="0039268C" w:rsidRDefault="005403A6" w:rsidP="000A02D3">
            <w:pPr>
              <w:jc w:val="center"/>
              <w:rPr>
                <w:rFonts w:ascii="Arial Narrow" w:hAnsi="Arial Narrow" w:cs="Arial"/>
                <w:sz w:val="14"/>
                <w:szCs w:val="14"/>
                <w:lang w:eastAsia="en-US"/>
              </w:rPr>
            </w:pPr>
            <w:r w:rsidRPr="0039268C">
              <w:rPr>
                <w:rFonts w:ascii="Arial Narrow" w:hAnsi="Arial Narrow"/>
                <w:sz w:val="14"/>
                <w:szCs w:val="14"/>
              </w:rPr>
              <w:t>NA</w:t>
            </w:r>
          </w:p>
        </w:tc>
        <w:tc>
          <w:tcPr>
            <w:tcW w:w="381" w:type="pct"/>
            <w:tcBorders>
              <w:top w:val="dotted" w:sz="4" w:space="0" w:color="auto"/>
              <w:bottom w:val="dotted" w:sz="4" w:space="0" w:color="auto"/>
            </w:tcBorders>
          </w:tcPr>
          <w:p w:rsidR="005403A6" w:rsidRPr="0039268C" w:rsidRDefault="005403A6" w:rsidP="000A02D3">
            <w:pPr>
              <w:jc w:val="center"/>
              <w:rPr>
                <w:rFonts w:ascii="Arial Narrow" w:hAnsi="Arial Narrow" w:cs="Arial"/>
                <w:sz w:val="14"/>
                <w:szCs w:val="14"/>
                <w:lang w:eastAsia="en-US"/>
              </w:rPr>
            </w:pPr>
            <w:r w:rsidRPr="0039268C">
              <w:rPr>
                <w:rFonts w:ascii="Arial Narrow" w:hAnsi="Arial Narrow"/>
                <w:sz w:val="14"/>
                <w:szCs w:val="14"/>
              </w:rPr>
              <w:t>NA</w:t>
            </w:r>
          </w:p>
        </w:tc>
        <w:tc>
          <w:tcPr>
            <w:tcW w:w="381" w:type="pct"/>
            <w:tcBorders>
              <w:top w:val="dotted" w:sz="4" w:space="0" w:color="auto"/>
              <w:bottom w:val="dotted" w:sz="4" w:space="0" w:color="auto"/>
            </w:tcBorders>
          </w:tcPr>
          <w:p w:rsidR="005403A6" w:rsidRPr="0039268C" w:rsidRDefault="005403A6" w:rsidP="000A02D3">
            <w:pPr>
              <w:jc w:val="center"/>
              <w:rPr>
                <w:rFonts w:ascii="Arial Narrow" w:hAnsi="Arial Narrow" w:cs="Arial"/>
                <w:sz w:val="14"/>
                <w:szCs w:val="14"/>
                <w:lang w:eastAsia="en-US"/>
              </w:rPr>
            </w:pPr>
            <w:r w:rsidRPr="0039268C">
              <w:rPr>
                <w:rFonts w:ascii="Arial Narrow" w:hAnsi="Arial Narrow"/>
                <w:sz w:val="14"/>
                <w:szCs w:val="14"/>
              </w:rPr>
              <w:t>NA</w:t>
            </w:r>
          </w:p>
        </w:tc>
        <w:tc>
          <w:tcPr>
            <w:tcW w:w="381" w:type="pct"/>
            <w:tcBorders>
              <w:top w:val="dotted" w:sz="4" w:space="0" w:color="auto"/>
              <w:bottom w:val="dotted" w:sz="4" w:space="0" w:color="auto"/>
              <w:right w:val="single" w:sz="6" w:space="0" w:color="auto"/>
            </w:tcBorders>
          </w:tcPr>
          <w:p w:rsidR="005403A6" w:rsidRPr="0039268C" w:rsidRDefault="005403A6" w:rsidP="000A02D3">
            <w:pPr>
              <w:jc w:val="center"/>
              <w:rPr>
                <w:rFonts w:ascii="Arial Narrow" w:hAnsi="Arial Narrow" w:cs="Arial"/>
                <w:b/>
                <w:sz w:val="14"/>
                <w:szCs w:val="14"/>
                <w:lang w:eastAsia="cs-CZ"/>
              </w:rPr>
            </w:pPr>
            <w:r w:rsidRPr="0039268C">
              <w:rPr>
                <w:rFonts w:ascii="Arial Narrow" w:hAnsi="Arial Narrow"/>
                <w:sz w:val="14"/>
                <w:szCs w:val="14"/>
              </w:rPr>
              <w:t>25*</w:t>
            </w:r>
          </w:p>
        </w:tc>
        <w:tc>
          <w:tcPr>
            <w:tcW w:w="354" w:type="pct"/>
            <w:tcBorders>
              <w:top w:val="dotted" w:sz="4" w:space="0" w:color="auto"/>
              <w:left w:val="single" w:sz="6" w:space="0" w:color="auto"/>
              <w:bottom w:val="dotted" w:sz="4" w:space="0" w:color="auto"/>
              <w:right w:val="single" w:sz="6" w:space="0" w:color="auto"/>
            </w:tcBorders>
          </w:tcPr>
          <w:p w:rsidR="005403A6" w:rsidRPr="0039268C" w:rsidRDefault="005403A6" w:rsidP="000A02D3">
            <w:pPr>
              <w:jc w:val="center"/>
              <w:rPr>
                <w:rFonts w:ascii="Arial Narrow" w:hAnsi="Arial Narrow" w:cs="Arial"/>
                <w:b/>
                <w:sz w:val="14"/>
                <w:szCs w:val="14"/>
                <w:lang w:eastAsia="cs-CZ"/>
              </w:rPr>
            </w:pPr>
            <w:r w:rsidRPr="0039268C">
              <w:rPr>
                <w:rFonts w:ascii="Arial Narrow" w:hAnsi="Arial Narrow"/>
                <w:sz w:val="14"/>
                <w:szCs w:val="14"/>
              </w:rPr>
              <w:t>NA</w:t>
            </w:r>
          </w:p>
        </w:tc>
      </w:tr>
      <w:tr w:rsidR="005403A6" w:rsidRPr="006A2BF3" w:rsidTr="001540E7">
        <w:trPr>
          <w:trHeight w:val="20"/>
        </w:trPr>
        <w:tc>
          <w:tcPr>
            <w:tcW w:w="688" w:type="pct"/>
            <w:vMerge/>
            <w:tcBorders>
              <w:left w:val="single" w:sz="6" w:space="0" w:color="auto"/>
            </w:tcBorders>
            <w:vAlign w:val="center"/>
          </w:tcPr>
          <w:p w:rsidR="005403A6" w:rsidRPr="006A2BF3" w:rsidRDefault="005403A6" w:rsidP="000A02D3">
            <w:pPr>
              <w:rPr>
                <w:rFonts w:ascii="Arial" w:hAnsi="Arial" w:cs="Arial"/>
                <w:b/>
                <w:sz w:val="16"/>
                <w:szCs w:val="16"/>
                <w:lang w:eastAsia="cs-CZ"/>
              </w:rPr>
            </w:pPr>
          </w:p>
        </w:tc>
        <w:tc>
          <w:tcPr>
            <w:tcW w:w="618" w:type="pct"/>
            <w:tcBorders>
              <w:top w:val="dotted" w:sz="4" w:space="0" w:color="auto"/>
            </w:tcBorders>
            <w:vAlign w:val="center"/>
          </w:tcPr>
          <w:p w:rsidR="005403A6" w:rsidRPr="006A2BF3" w:rsidRDefault="005403A6" w:rsidP="000A02D3">
            <w:pPr>
              <w:rPr>
                <w:rFonts w:ascii="Arial" w:hAnsi="Arial" w:cs="Arial"/>
                <w:sz w:val="16"/>
                <w:szCs w:val="16"/>
                <w:lang w:eastAsia="cs-CZ"/>
              </w:rPr>
            </w:pPr>
            <w:r w:rsidRPr="006A2BF3">
              <w:rPr>
                <w:rFonts w:ascii="Arial" w:hAnsi="Arial" w:cs="Arial"/>
                <w:sz w:val="16"/>
                <w:szCs w:val="16"/>
                <w:lang w:eastAsia="en-US"/>
              </w:rPr>
              <w:t>Východisko</w:t>
            </w:r>
          </w:p>
        </w:tc>
        <w:tc>
          <w:tcPr>
            <w:tcW w:w="293" w:type="pct"/>
            <w:tcBorders>
              <w:top w:val="dotted" w:sz="4" w:space="0" w:color="auto"/>
            </w:tcBorders>
          </w:tcPr>
          <w:p w:rsidR="005403A6" w:rsidRPr="0039268C" w:rsidRDefault="005403A6" w:rsidP="000A02D3">
            <w:pPr>
              <w:jc w:val="center"/>
              <w:rPr>
                <w:rFonts w:ascii="Arial Narrow" w:hAnsi="Arial Narrow" w:cs="Arial"/>
                <w:b/>
                <w:sz w:val="14"/>
                <w:szCs w:val="14"/>
                <w:lang w:eastAsia="cs-CZ"/>
              </w:rPr>
            </w:pPr>
            <w:r w:rsidRPr="0039268C">
              <w:rPr>
                <w:rFonts w:ascii="Arial Narrow" w:hAnsi="Arial Narrow"/>
                <w:sz w:val="14"/>
                <w:szCs w:val="14"/>
              </w:rPr>
              <w:t>0,5</w:t>
            </w:r>
          </w:p>
        </w:tc>
        <w:tc>
          <w:tcPr>
            <w:tcW w:w="381" w:type="pct"/>
            <w:tcBorders>
              <w:top w:val="dotted" w:sz="4" w:space="0" w:color="auto"/>
            </w:tcBorders>
          </w:tcPr>
          <w:p w:rsidR="005403A6" w:rsidRPr="0039268C" w:rsidRDefault="005403A6" w:rsidP="000A02D3">
            <w:pPr>
              <w:jc w:val="center"/>
              <w:rPr>
                <w:rFonts w:ascii="Arial Narrow" w:hAnsi="Arial Narrow" w:cs="Arial"/>
                <w:sz w:val="14"/>
                <w:szCs w:val="14"/>
                <w:lang w:eastAsia="en-US"/>
              </w:rPr>
            </w:pPr>
            <w:r w:rsidRPr="0039268C">
              <w:rPr>
                <w:rFonts w:ascii="Arial Narrow" w:hAnsi="Arial Narrow"/>
                <w:sz w:val="14"/>
                <w:szCs w:val="14"/>
              </w:rPr>
              <w:t>NA</w:t>
            </w:r>
          </w:p>
        </w:tc>
        <w:tc>
          <w:tcPr>
            <w:tcW w:w="381" w:type="pct"/>
            <w:tcBorders>
              <w:top w:val="dotted" w:sz="4" w:space="0" w:color="auto"/>
            </w:tcBorders>
          </w:tcPr>
          <w:p w:rsidR="005403A6" w:rsidRPr="0039268C" w:rsidRDefault="005403A6" w:rsidP="000A02D3">
            <w:pPr>
              <w:jc w:val="center"/>
              <w:rPr>
                <w:rFonts w:ascii="Arial Narrow" w:hAnsi="Arial Narrow" w:cs="Arial"/>
                <w:sz w:val="14"/>
                <w:szCs w:val="14"/>
                <w:lang w:eastAsia="en-US"/>
              </w:rPr>
            </w:pPr>
            <w:r w:rsidRPr="0039268C">
              <w:rPr>
                <w:rFonts w:ascii="Arial Narrow" w:hAnsi="Arial Narrow"/>
                <w:sz w:val="14"/>
                <w:szCs w:val="14"/>
              </w:rPr>
              <w:t>NA</w:t>
            </w:r>
          </w:p>
        </w:tc>
        <w:tc>
          <w:tcPr>
            <w:tcW w:w="381" w:type="pct"/>
            <w:gridSpan w:val="2"/>
            <w:tcBorders>
              <w:top w:val="dotted" w:sz="4" w:space="0" w:color="auto"/>
            </w:tcBorders>
          </w:tcPr>
          <w:p w:rsidR="005403A6" w:rsidRPr="0039268C" w:rsidRDefault="005403A6" w:rsidP="000A02D3">
            <w:pPr>
              <w:jc w:val="center"/>
              <w:rPr>
                <w:rFonts w:ascii="Arial Narrow" w:hAnsi="Arial Narrow" w:cs="Arial"/>
                <w:sz w:val="14"/>
                <w:szCs w:val="14"/>
                <w:lang w:eastAsia="en-US"/>
              </w:rPr>
            </w:pPr>
            <w:r w:rsidRPr="0039268C">
              <w:rPr>
                <w:rFonts w:ascii="Arial Narrow" w:hAnsi="Arial Narrow"/>
                <w:sz w:val="14"/>
                <w:szCs w:val="14"/>
              </w:rPr>
              <w:t>NA</w:t>
            </w:r>
          </w:p>
        </w:tc>
        <w:tc>
          <w:tcPr>
            <w:tcW w:w="381" w:type="pct"/>
            <w:tcBorders>
              <w:top w:val="dotted" w:sz="4" w:space="0" w:color="auto"/>
            </w:tcBorders>
          </w:tcPr>
          <w:p w:rsidR="005403A6" w:rsidRPr="0039268C" w:rsidRDefault="005403A6" w:rsidP="000A02D3">
            <w:pPr>
              <w:jc w:val="center"/>
              <w:rPr>
                <w:rFonts w:ascii="Arial Narrow" w:hAnsi="Arial Narrow" w:cs="Arial"/>
                <w:sz w:val="14"/>
                <w:szCs w:val="14"/>
                <w:lang w:eastAsia="en-US"/>
              </w:rPr>
            </w:pPr>
            <w:r w:rsidRPr="0039268C">
              <w:rPr>
                <w:rFonts w:ascii="Arial Narrow" w:hAnsi="Arial Narrow"/>
                <w:sz w:val="14"/>
                <w:szCs w:val="14"/>
              </w:rPr>
              <w:t>NA</w:t>
            </w:r>
          </w:p>
        </w:tc>
        <w:tc>
          <w:tcPr>
            <w:tcW w:w="381" w:type="pct"/>
            <w:tcBorders>
              <w:top w:val="dotted" w:sz="4" w:space="0" w:color="auto"/>
            </w:tcBorders>
          </w:tcPr>
          <w:p w:rsidR="005403A6" w:rsidRPr="0039268C" w:rsidRDefault="005403A6" w:rsidP="000A02D3">
            <w:pPr>
              <w:jc w:val="center"/>
              <w:rPr>
                <w:rFonts w:ascii="Arial Narrow" w:hAnsi="Arial Narrow" w:cs="Arial"/>
                <w:sz w:val="14"/>
                <w:szCs w:val="14"/>
                <w:lang w:eastAsia="en-US"/>
              </w:rPr>
            </w:pPr>
            <w:r w:rsidRPr="0039268C">
              <w:rPr>
                <w:rFonts w:ascii="Arial Narrow" w:hAnsi="Arial Narrow"/>
                <w:sz w:val="14"/>
                <w:szCs w:val="14"/>
              </w:rPr>
              <w:t>NA</w:t>
            </w:r>
          </w:p>
        </w:tc>
        <w:tc>
          <w:tcPr>
            <w:tcW w:w="381" w:type="pct"/>
            <w:tcBorders>
              <w:top w:val="dotted" w:sz="4" w:space="0" w:color="auto"/>
            </w:tcBorders>
          </w:tcPr>
          <w:p w:rsidR="005403A6" w:rsidRPr="0039268C" w:rsidRDefault="005403A6" w:rsidP="000A02D3">
            <w:pPr>
              <w:jc w:val="center"/>
              <w:rPr>
                <w:rFonts w:ascii="Arial Narrow" w:hAnsi="Arial Narrow" w:cs="Arial"/>
                <w:sz w:val="14"/>
                <w:szCs w:val="14"/>
                <w:lang w:eastAsia="en-US"/>
              </w:rPr>
            </w:pPr>
            <w:r w:rsidRPr="0039268C">
              <w:rPr>
                <w:rFonts w:ascii="Arial Narrow" w:hAnsi="Arial Narrow"/>
                <w:sz w:val="14"/>
                <w:szCs w:val="14"/>
              </w:rPr>
              <w:t>NA</w:t>
            </w:r>
          </w:p>
        </w:tc>
        <w:tc>
          <w:tcPr>
            <w:tcW w:w="381" w:type="pct"/>
            <w:tcBorders>
              <w:top w:val="dotted" w:sz="4" w:space="0" w:color="auto"/>
            </w:tcBorders>
          </w:tcPr>
          <w:p w:rsidR="005403A6" w:rsidRPr="0039268C" w:rsidRDefault="005403A6" w:rsidP="000A02D3">
            <w:pPr>
              <w:jc w:val="center"/>
              <w:rPr>
                <w:rFonts w:ascii="Arial Narrow" w:hAnsi="Arial Narrow" w:cs="Arial"/>
                <w:sz w:val="14"/>
                <w:szCs w:val="14"/>
                <w:lang w:eastAsia="en-US"/>
              </w:rPr>
            </w:pPr>
            <w:r w:rsidRPr="0039268C">
              <w:rPr>
                <w:rFonts w:ascii="Arial Narrow" w:hAnsi="Arial Narrow"/>
                <w:sz w:val="14"/>
                <w:szCs w:val="14"/>
              </w:rPr>
              <w:t>NA</w:t>
            </w:r>
          </w:p>
        </w:tc>
        <w:tc>
          <w:tcPr>
            <w:tcW w:w="381" w:type="pct"/>
            <w:tcBorders>
              <w:top w:val="dotted" w:sz="4" w:space="0" w:color="auto"/>
              <w:right w:val="single" w:sz="6" w:space="0" w:color="auto"/>
            </w:tcBorders>
          </w:tcPr>
          <w:p w:rsidR="005403A6" w:rsidRPr="0039268C" w:rsidRDefault="005403A6" w:rsidP="000A02D3">
            <w:pPr>
              <w:jc w:val="center"/>
              <w:rPr>
                <w:rFonts w:ascii="Arial Narrow" w:hAnsi="Arial Narrow" w:cs="Arial"/>
                <w:b/>
                <w:sz w:val="14"/>
                <w:szCs w:val="14"/>
                <w:lang w:eastAsia="en-US"/>
              </w:rPr>
            </w:pPr>
            <w:r w:rsidRPr="0039268C">
              <w:rPr>
                <w:rFonts w:ascii="Arial Narrow" w:hAnsi="Arial Narrow"/>
                <w:sz w:val="14"/>
                <w:szCs w:val="14"/>
              </w:rPr>
              <w:t>NA</w:t>
            </w:r>
          </w:p>
        </w:tc>
        <w:tc>
          <w:tcPr>
            <w:tcW w:w="354" w:type="pct"/>
            <w:tcBorders>
              <w:top w:val="dotted" w:sz="4" w:space="0" w:color="auto"/>
              <w:left w:val="single" w:sz="6" w:space="0" w:color="auto"/>
              <w:right w:val="single" w:sz="6" w:space="0" w:color="auto"/>
            </w:tcBorders>
          </w:tcPr>
          <w:p w:rsidR="005403A6" w:rsidRPr="0039268C" w:rsidRDefault="005403A6" w:rsidP="000A02D3">
            <w:pPr>
              <w:jc w:val="center"/>
              <w:rPr>
                <w:rFonts w:ascii="Arial Narrow" w:hAnsi="Arial Narrow" w:cs="Arial"/>
                <w:b/>
                <w:sz w:val="14"/>
                <w:szCs w:val="14"/>
                <w:lang w:eastAsia="en-US"/>
              </w:rPr>
            </w:pPr>
            <w:r w:rsidRPr="0039268C">
              <w:rPr>
                <w:rFonts w:ascii="Arial Narrow" w:hAnsi="Arial Narrow"/>
                <w:sz w:val="14"/>
                <w:szCs w:val="14"/>
              </w:rPr>
              <w:t>NA</w:t>
            </w:r>
          </w:p>
        </w:tc>
      </w:tr>
      <w:tr w:rsidR="002416B1" w:rsidRPr="006A2BF3" w:rsidTr="006A2BF3">
        <w:trPr>
          <w:trHeight w:val="20"/>
        </w:trPr>
        <w:tc>
          <w:tcPr>
            <w:tcW w:w="5000" w:type="pct"/>
            <w:gridSpan w:val="13"/>
            <w:tcBorders>
              <w:left w:val="single" w:sz="6" w:space="0" w:color="auto"/>
              <w:right w:val="single" w:sz="6" w:space="0" w:color="auto"/>
            </w:tcBorders>
            <w:shd w:val="clear" w:color="auto" w:fill="EAF1DD"/>
            <w:vAlign w:val="center"/>
          </w:tcPr>
          <w:p w:rsidR="002416B1" w:rsidRPr="0039268C" w:rsidRDefault="002416B1" w:rsidP="000A02D3">
            <w:pPr>
              <w:rPr>
                <w:rFonts w:ascii="Arial Narrow" w:hAnsi="Arial Narrow" w:cs="Arial"/>
                <w:b/>
                <w:sz w:val="14"/>
                <w:szCs w:val="14"/>
                <w:lang w:eastAsia="cs-CZ"/>
              </w:rPr>
            </w:pPr>
          </w:p>
        </w:tc>
      </w:tr>
      <w:tr w:rsidR="005403A6" w:rsidRPr="006A2BF3" w:rsidTr="001540E7">
        <w:trPr>
          <w:trHeight w:val="20"/>
        </w:trPr>
        <w:tc>
          <w:tcPr>
            <w:tcW w:w="688" w:type="pct"/>
            <w:vMerge w:val="restart"/>
            <w:tcBorders>
              <w:left w:val="single" w:sz="6" w:space="0" w:color="auto"/>
            </w:tcBorders>
            <w:vAlign w:val="center"/>
          </w:tcPr>
          <w:p w:rsidR="005403A6" w:rsidRPr="00C266A4" w:rsidRDefault="005403A6" w:rsidP="000A02D3">
            <w:pPr>
              <w:rPr>
                <w:rFonts w:ascii="Arial" w:hAnsi="Arial" w:cs="Arial"/>
                <w:sz w:val="16"/>
                <w:szCs w:val="16"/>
                <w:lang w:eastAsia="cs-CZ"/>
              </w:rPr>
            </w:pPr>
            <w:r w:rsidRPr="00C266A4">
              <w:rPr>
                <w:rFonts w:ascii="Arial" w:hAnsi="Arial" w:cs="Arial"/>
                <w:sz w:val="16"/>
                <w:szCs w:val="16"/>
                <w:lang w:eastAsia="en-US"/>
              </w:rPr>
              <w:t>počet žiadateľov o NFP</w:t>
            </w:r>
          </w:p>
        </w:tc>
        <w:tc>
          <w:tcPr>
            <w:tcW w:w="618" w:type="pct"/>
            <w:tcBorders>
              <w:bottom w:val="dotted" w:sz="4" w:space="0" w:color="auto"/>
            </w:tcBorders>
            <w:vAlign w:val="center"/>
          </w:tcPr>
          <w:p w:rsidR="005403A6" w:rsidRPr="006A2BF3" w:rsidRDefault="005403A6" w:rsidP="000A02D3">
            <w:pPr>
              <w:rPr>
                <w:rFonts w:ascii="Arial" w:hAnsi="Arial" w:cs="Arial"/>
                <w:sz w:val="16"/>
                <w:szCs w:val="16"/>
                <w:lang w:eastAsia="en-US"/>
              </w:rPr>
            </w:pPr>
            <w:r w:rsidRPr="006A2BF3">
              <w:rPr>
                <w:rFonts w:ascii="Arial" w:hAnsi="Arial" w:cs="Arial"/>
                <w:sz w:val="16"/>
                <w:szCs w:val="16"/>
                <w:lang w:eastAsia="en-US"/>
              </w:rPr>
              <w:t>Dosiahnutý výsledok</w:t>
            </w:r>
          </w:p>
        </w:tc>
        <w:tc>
          <w:tcPr>
            <w:tcW w:w="293" w:type="pct"/>
            <w:tcBorders>
              <w:bottom w:val="dotted" w:sz="4" w:space="0" w:color="auto"/>
            </w:tcBorders>
          </w:tcPr>
          <w:p w:rsidR="005403A6" w:rsidRPr="0039268C" w:rsidRDefault="005403A6" w:rsidP="000A02D3">
            <w:pPr>
              <w:jc w:val="center"/>
              <w:rPr>
                <w:rFonts w:ascii="Arial Narrow" w:hAnsi="Arial Narrow" w:cs="Arial"/>
                <w:b/>
                <w:sz w:val="14"/>
                <w:szCs w:val="14"/>
                <w:lang w:eastAsia="cs-CZ"/>
              </w:rPr>
            </w:pPr>
            <w:r w:rsidRPr="0039268C">
              <w:rPr>
                <w:rFonts w:ascii="Arial Narrow" w:hAnsi="Arial Narrow" w:cs="Arial"/>
                <w:sz w:val="14"/>
                <w:szCs w:val="14"/>
              </w:rPr>
              <w:t>0</w:t>
            </w:r>
          </w:p>
        </w:tc>
        <w:tc>
          <w:tcPr>
            <w:tcW w:w="381" w:type="pct"/>
            <w:tcBorders>
              <w:bottom w:val="dotted" w:sz="4" w:space="0" w:color="auto"/>
            </w:tcBorders>
          </w:tcPr>
          <w:p w:rsidR="005403A6" w:rsidRPr="0039268C" w:rsidRDefault="005403A6" w:rsidP="000A02D3">
            <w:pPr>
              <w:jc w:val="center"/>
              <w:rPr>
                <w:rFonts w:ascii="Arial Narrow" w:hAnsi="Arial Narrow" w:cs="Arial"/>
                <w:b/>
                <w:sz w:val="14"/>
                <w:szCs w:val="14"/>
                <w:lang w:eastAsia="en-US"/>
              </w:rPr>
            </w:pPr>
            <w:r w:rsidRPr="0039268C">
              <w:rPr>
                <w:rFonts w:ascii="Arial Narrow" w:hAnsi="Arial Narrow" w:cs="Arial"/>
                <w:sz w:val="14"/>
                <w:szCs w:val="14"/>
              </w:rPr>
              <w:t>452</w:t>
            </w:r>
          </w:p>
        </w:tc>
        <w:tc>
          <w:tcPr>
            <w:tcW w:w="381" w:type="pct"/>
            <w:tcBorders>
              <w:bottom w:val="dotted" w:sz="4" w:space="0" w:color="auto"/>
            </w:tcBorders>
          </w:tcPr>
          <w:p w:rsidR="005403A6" w:rsidRPr="0039268C" w:rsidRDefault="005403A6" w:rsidP="000A02D3">
            <w:pPr>
              <w:jc w:val="center"/>
              <w:rPr>
                <w:rFonts w:ascii="Arial Narrow" w:hAnsi="Arial Narrow" w:cs="Arial"/>
                <w:b/>
                <w:sz w:val="14"/>
                <w:szCs w:val="14"/>
                <w:lang w:eastAsia="en-US"/>
              </w:rPr>
            </w:pPr>
            <w:r w:rsidRPr="0039268C">
              <w:rPr>
                <w:rFonts w:ascii="Arial Narrow" w:hAnsi="Arial Narrow" w:cs="Arial"/>
                <w:sz w:val="14"/>
                <w:szCs w:val="14"/>
              </w:rPr>
              <w:t>1262</w:t>
            </w:r>
          </w:p>
        </w:tc>
        <w:tc>
          <w:tcPr>
            <w:tcW w:w="381" w:type="pct"/>
            <w:gridSpan w:val="2"/>
            <w:tcBorders>
              <w:bottom w:val="dotted" w:sz="4" w:space="0" w:color="auto"/>
            </w:tcBorders>
          </w:tcPr>
          <w:p w:rsidR="005403A6" w:rsidRPr="0039268C" w:rsidRDefault="005403A6" w:rsidP="000A02D3">
            <w:pPr>
              <w:jc w:val="center"/>
              <w:rPr>
                <w:rFonts w:ascii="Arial Narrow" w:hAnsi="Arial Narrow" w:cs="Arial"/>
                <w:b/>
                <w:sz w:val="14"/>
                <w:szCs w:val="14"/>
                <w:lang w:eastAsia="en-US"/>
              </w:rPr>
            </w:pPr>
            <w:r w:rsidRPr="0039268C">
              <w:rPr>
                <w:rFonts w:ascii="Arial Narrow" w:hAnsi="Arial Narrow" w:cs="Arial"/>
                <w:sz w:val="14"/>
                <w:szCs w:val="14"/>
              </w:rPr>
              <w:t>1830</w:t>
            </w:r>
          </w:p>
        </w:tc>
        <w:tc>
          <w:tcPr>
            <w:tcW w:w="381" w:type="pct"/>
            <w:tcBorders>
              <w:bottom w:val="dotted" w:sz="4" w:space="0" w:color="auto"/>
            </w:tcBorders>
          </w:tcPr>
          <w:p w:rsidR="005403A6" w:rsidRPr="0039268C" w:rsidRDefault="005403A6" w:rsidP="000A02D3">
            <w:pPr>
              <w:jc w:val="center"/>
              <w:rPr>
                <w:rFonts w:ascii="Arial Narrow" w:hAnsi="Arial Narrow" w:cs="Arial"/>
                <w:b/>
                <w:sz w:val="14"/>
                <w:szCs w:val="14"/>
                <w:lang w:eastAsia="en-US"/>
              </w:rPr>
            </w:pPr>
            <w:r w:rsidRPr="0039268C">
              <w:rPr>
                <w:rFonts w:ascii="Arial Narrow" w:hAnsi="Arial Narrow" w:cs="Arial"/>
                <w:sz w:val="14"/>
                <w:szCs w:val="14"/>
              </w:rPr>
              <w:t>2421</w:t>
            </w:r>
          </w:p>
        </w:tc>
        <w:tc>
          <w:tcPr>
            <w:tcW w:w="381" w:type="pct"/>
            <w:tcBorders>
              <w:bottom w:val="dotted" w:sz="4" w:space="0" w:color="auto"/>
            </w:tcBorders>
          </w:tcPr>
          <w:p w:rsidR="005403A6" w:rsidRPr="0039268C" w:rsidRDefault="005403A6" w:rsidP="000A02D3">
            <w:pPr>
              <w:jc w:val="center"/>
              <w:rPr>
                <w:rFonts w:ascii="Arial Narrow" w:hAnsi="Arial Narrow" w:cs="Arial"/>
                <w:sz w:val="14"/>
                <w:szCs w:val="14"/>
                <w:lang w:eastAsia="en-US"/>
              </w:rPr>
            </w:pPr>
            <w:r w:rsidRPr="0039268C">
              <w:rPr>
                <w:rFonts w:ascii="Arial Narrow" w:hAnsi="Arial Narrow" w:cs="Arial"/>
                <w:sz w:val="14"/>
                <w:szCs w:val="14"/>
              </w:rPr>
              <w:t>2674</w:t>
            </w:r>
          </w:p>
        </w:tc>
        <w:tc>
          <w:tcPr>
            <w:tcW w:w="381" w:type="pct"/>
            <w:tcBorders>
              <w:bottom w:val="dotted" w:sz="4" w:space="0" w:color="auto"/>
            </w:tcBorders>
          </w:tcPr>
          <w:p w:rsidR="005403A6" w:rsidRPr="0039268C" w:rsidRDefault="005403A6" w:rsidP="000A02D3">
            <w:pPr>
              <w:jc w:val="center"/>
              <w:rPr>
                <w:rFonts w:ascii="Arial Narrow" w:hAnsi="Arial Narrow" w:cs="Arial"/>
                <w:sz w:val="14"/>
                <w:szCs w:val="14"/>
                <w:lang w:eastAsia="en-US"/>
              </w:rPr>
            </w:pPr>
            <w:r w:rsidRPr="0039268C">
              <w:rPr>
                <w:rFonts w:ascii="Arial Narrow" w:hAnsi="Arial Narrow" w:cs="Arial"/>
                <w:sz w:val="14"/>
                <w:szCs w:val="14"/>
              </w:rPr>
              <w:t>NA</w:t>
            </w:r>
          </w:p>
        </w:tc>
        <w:tc>
          <w:tcPr>
            <w:tcW w:w="381" w:type="pct"/>
            <w:tcBorders>
              <w:bottom w:val="dotted" w:sz="4" w:space="0" w:color="auto"/>
            </w:tcBorders>
          </w:tcPr>
          <w:p w:rsidR="005403A6" w:rsidRPr="0039268C" w:rsidRDefault="005403A6" w:rsidP="000A02D3">
            <w:pPr>
              <w:jc w:val="center"/>
              <w:rPr>
                <w:rFonts w:ascii="Arial Narrow" w:hAnsi="Arial Narrow" w:cs="Arial"/>
                <w:sz w:val="14"/>
                <w:szCs w:val="14"/>
                <w:lang w:eastAsia="en-US"/>
              </w:rPr>
            </w:pPr>
            <w:r w:rsidRPr="0039268C">
              <w:rPr>
                <w:rFonts w:ascii="Arial Narrow" w:hAnsi="Arial Narrow" w:cs="Arial"/>
                <w:sz w:val="14"/>
                <w:szCs w:val="14"/>
              </w:rPr>
              <w:t>NA</w:t>
            </w:r>
          </w:p>
        </w:tc>
        <w:tc>
          <w:tcPr>
            <w:tcW w:w="381" w:type="pct"/>
            <w:tcBorders>
              <w:bottom w:val="dotted" w:sz="4" w:space="0" w:color="auto"/>
            </w:tcBorders>
          </w:tcPr>
          <w:p w:rsidR="005403A6" w:rsidRPr="0039268C" w:rsidRDefault="005403A6" w:rsidP="000A02D3">
            <w:pPr>
              <w:jc w:val="center"/>
              <w:rPr>
                <w:rFonts w:ascii="Arial Narrow" w:hAnsi="Arial Narrow" w:cs="Arial"/>
                <w:b/>
                <w:sz w:val="14"/>
                <w:szCs w:val="14"/>
                <w:lang w:eastAsia="en-US"/>
              </w:rPr>
            </w:pPr>
            <w:r w:rsidRPr="0039268C">
              <w:rPr>
                <w:rFonts w:ascii="Arial Narrow" w:hAnsi="Arial Narrow" w:cs="Arial"/>
                <w:sz w:val="14"/>
                <w:szCs w:val="14"/>
              </w:rPr>
              <w:t>NA</w:t>
            </w:r>
          </w:p>
        </w:tc>
        <w:tc>
          <w:tcPr>
            <w:tcW w:w="354" w:type="pct"/>
            <w:tcBorders>
              <w:bottom w:val="dotted" w:sz="4" w:space="0" w:color="auto"/>
              <w:right w:val="single" w:sz="6" w:space="0" w:color="auto"/>
            </w:tcBorders>
          </w:tcPr>
          <w:p w:rsidR="005403A6" w:rsidRPr="0039268C" w:rsidRDefault="005403A6" w:rsidP="000A02D3">
            <w:pPr>
              <w:jc w:val="center"/>
              <w:rPr>
                <w:rFonts w:ascii="Arial Narrow" w:hAnsi="Arial Narrow" w:cs="Arial"/>
                <w:b/>
                <w:sz w:val="14"/>
                <w:szCs w:val="14"/>
                <w:lang w:eastAsia="cs-CZ"/>
              </w:rPr>
            </w:pPr>
            <w:r w:rsidRPr="0039268C">
              <w:rPr>
                <w:rFonts w:ascii="Arial Narrow" w:hAnsi="Arial Narrow" w:cs="Arial"/>
                <w:sz w:val="14"/>
                <w:szCs w:val="14"/>
              </w:rPr>
              <w:t>2674</w:t>
            </w:r>
          </w:p>
        </w:tc>
      </w:tr>
      <w:tr w:rsidR="005403A6" w:rsidRPr="006A2BF3" w:rsidTr="001540E7">
        <w:trPr>
          <w:trHeight w:val="20"/>
        </w:trPr>
        <w:tc>
          <w:tcPr>
            <w:tcW w:w="688" w:type="pct"/>
            <w:vMerge/>
            <w:tcBorders>
              <w:left w:val="single" w:sz="6" w:space="0" w:color="auto"/>
            </w:tcBorders>
            <w:vAlign w:val="center"/>
          </w:tcPr>
          <w:p w:rsidR="005403A6" w:rsidRPr="00C266A4" w:rsidRDefault="005403A6" w:rsidP="000A02D3">
            <w:pPr>
              <w:rPr>
                <w:rFonts w:ascii="Arial" w:hAnsi="Arial" w:cs="Arial"/>
                <w:sz w:val="16"/>
                <w:szCs w:val="16"/>
                <w:lang w:eastAsia="cs-CZ"/>
              </w:rPr>
            </w:pPr>
          </w:p>
        </w:tc>
        <w:tc>
          <w:tcPr>
            <w:tcW w:w="618" w:type="pct"/>
            <w:tcBorders>
              <w:top w:val="dotted" w:sz="4" w:space="0" w:color="auto"/>
              <w:bottom w:val="dotted" w:sz="4" w:space="0" w:color="auto"/>
            </w:tcBorders>
            <w:vAlign w:val="center"/>
          </w:tcPr>
          <w:p w:rsidR="005403A6" w:rsidRPr="006A2BF3" w:rsidRDefault="005403A6" w:rsidP="000A02D3">
            <w:pPr>
              <w:rPr>
                <w:rFonts w:ascii="Arial" w:hAnsi="Arial" w:cs="Arial"/>
                <w:sz w:val="16"/>
                <w:szCs w:val="16"/>
                <w:lang w:eastAsia="en-US"/>
              </w:rPr>
            </w:pPr>
            <w:r w:rsidRPr="006A2BF3">
              <w:rPr>
                <w:rFonts w:ascii="Arial" w:hAnsi="Arial" w:cs="Arial"/>
                <w:sz w:val="16"/>
                <w:szCs w:val="16"/>
                <w:lang w:eastAsia="en-US"/>
              </w:rPr>
              <w:t>Cieľ</w:t>
            </w:r>
          </w:p>
        </w:tc>
        <w:tc>
          <w:tcPr>
            <w:tcW w:w="293" w:type="pct"/>
            <w:tcBorders>
              <w:top w:val="dotted" w:sz="4" w:space="0" w:color="auto"/>
              <w:bottom w:val="dotted" w:sz="4" w:space="0" w:color="auto"/>
            </w:tcBorders>
          </w:tcPr>
          <w:p w:rsidR="005403A6" w:rsidRPr="0039268C" w:rsidRDefault="005403A6" w:rsidP="000A02D3">
            <w:pPr>
              <w:jc w:val="center"/>
              <w:rPr>
                <w:rFonts w:ascii="Arial Narrow" w:hAnsi="Arial Narrow" w:cs="Arial"/>
                <w:sz w:val="14"/>
                <w:szCs w:val="14"/>
                <w:lang w:eastAsia="cs-CZ"/>
              </w:rPr>
            </w:pPr>
            <w:r w:rsidRPr="0039268C">
              <w:rPr>
                <w:rFonts w:ascii="Arial Narrow" w:hAnsi="Arial Narrow" w:cs="Arial"/>
                <w:sz w:val="14"/>
                <w:szCs w:val="14"/>
              </w:rPr>
              <w:t>NA</w:t>
            </w:r>
          </w:p>
        </w:tc>
        <w:tc>
          <w:tcPr>
            <w:tcW w:w="381" w:type="pct"/>
            <w:tcBorders>
              <w:top w:val="dotted" w:sz="4" w:space="0" w:color="auto"/>
              <w:bottom w:val="dotted" w:sz="4" w:space="0" w:color="auto"/>
            </w:tcBorders>
          </w:tcPr>
          <w:p w:rsidR="005403A6" w:rsidRPr="0039268C" w:rsidRDefault="005403A6" w:rsidP="000A02D3">
            <w:pPr>
              <w:jc w:val="center"/>
              <w:rPr>
                <w:rFonts w:ascii="Arial Narrow" w:hAnsi="Arial Narrow" w:cs="Arial"/>
                <w:sz w:val="14"/>
                <w:szCs w:val="14"/>
                <w:lang w:eastAsia="en-US"/>
              </w:rPr>
            </w:pPr>
            <w:r w:rsidRPr="0039268C">
              <w:rPr>
                <w:rFonts w:ascii="Arial Narrow" w:hAnsi="Arial Narrow" w:cs="Arial"/>
                <w:sz w:val="14"/>
                <w:szCs w:val="14"/>
              </w:rPr>
              <w:t>NA</w:t>
            </w:r>
          </w:p>
        </w:tc>
        <w:tc>
          <w:tcPr>
            <w:tcW w:w="381" w:type="pct"/>
            <w:tcBorders>
              <w:top w:val="dotted" w:sz="4" w:space="0" w:color="auto"/>
              <w:bottom w:val="dotted" w:sz="4" w:space="0" w:color="auto"/>
            </w:tcBorders>
          </w:tcPr>
          <w:p w:rsidR="005403A6" w:rsidRPr="0039268C" w:rsidRDefault="005403A6" w:rsidP="000A02D3">
            <w:pPr>
              <w:jc w:val="center"/>
              <w:rPr>
                <w:rFonts w:ascii="Arial Narrow" w:hAnsi="Arial Narrow" w:cs="Arial"/>
                <w:sz w:val="14"/>
                <w:szCs w:val="14"/>
                <w:lang w:eastAsia="en-US"/>
              </w:rPr>
            </w:pPr>
            <w:r w:rsidRPr="0039268C">
              <w:rPr>
                <w:rFonts w:ascii="Arial Narrow" w:hAnsi="Arial Narrow" w:cs="Arial"/>
                <w:sz w:val="14"/>
                <w:szCs w:val="14"/>
              </w:rPr>
              <w:t>NA</w:t>
            </w:r>
          </w:p>
        </w:tc>
        <w:tc>
          <w:tcPr>
            <w:tcW w:w="381" w:type="pct"/>
            <w:gridSpan w:val="2"/>
            <w:tcBorders>
              <w:top w:val="dotted" w:sz="4" w:space="0" w:color="auto"/>
              <w:bottom w:val="dotted" w:sz="4" w:space="0" w:color="auto"/>
            </w:tcBorders>
          </w:tcPr>
          <w:p w:rsidR="005403A6" w:rsidRPr="0039268C" w:rsidRDefault="005403A6" w:rsidP="000A02D3">
            <w:pPr>
              <w:jc w:val="center"/>
              <w:rPr>
                <w:rFonts w:ascii="Arial Narrow" w:hAnsi="Arial Narrow" w:cs="Arial"/>
                <w:sz w:val="14"/>
                <w:szCs w:val="14"/>
                <w:lang w:eastAsia="en-US"/>
              </w:rPr>
            </w:pPr>
            <w:r w:rsidRPr="0039268C">
              <w:rPr>
                <w:rFonts w:ascii="Arial Narrow" w:hAnsi="Arial Narrow" w:cs="Arial"/>
                <w:sz w:val="14"/>
                <w:szCs w:val="14"/>
              </w:rPr>
              <w:t>NA</w:t>
            </w:r>
          </w:p>
        </w:tc>
        <w:tc>
          <w:tcPr>
            <w:tcW w:w="381" w:type="pct"/>
            <w:tcBorders>
              <w:top w:val="dotted" w:sz="4" w:space="0" w:color="auto"/>
              <w:bottom w:val="dotted" w:sz="4" w:space="0" w:color="auto"/>
            </w:tcBorders>
          </w:tcPr>
          <w:p w:rsidR="005403A6" w:rsidRPr="0039268C" w:rsidRDefault="005403A6" w:rsidP="000A02D3">
            <w:pPr>
              <w:jc w:val="center"/>
              <w:rPr>
                <w:rFonts w:ascii="Arial Narrow" w:hAnsi="Arial Narrow" w:cs="Arial"/>
                <w:sz w:val="14"/>
                <w:szCs w:val="14"/>
                <w:lang w:eastAsia="en-US"/>
              </w:rPr>
            </w:pPr>
            <w:r w:rsidRPr="0039268C">
              <w:rPr>
                <w:rFonts w:ascii="Arial Narrow" w:hAnsi="Arial Narrow" w:cs="Arial"/>
                <w:sz w:val="14"/>
                <w:szCs w:val="14"/>
              </w:rPr>
              <w:t>NA</w:t>
            </w:r>
          </w:p>
        </w:tc>
        <w:tc>
          <w:tcPr>
            <w:tcW w:w="381" w:type="pct"/>
            <w:tcBorders>
              <w:top w:val="dotted" w:sz="4" w:space="0" w:color="auto"/>
              <w:bottom w:val="dotted" w:sz="4" w:space="0" w:color="auto"/>
            </w:tcBorders>
          </w:tcPr>
          <w:p w:rsidR="005403A6" w:rsidRPr="0039268C" w:rsidRDefault="005403A6" w:rsidP="000A02D3">
            <w:pPr>
              <w:jc w:val="center"/>
              <w:rPr>
                <w:rFonts w:ascii="Arial Narrow" w:hAnsi="Arial Narrow" w:cs="Arial"/>
                <w:sz w:val="14"/>
                <w:szCs w:val="14"/>
                <w:lang w:eastAsia="en-US"/>
              </w:rPr>
            </w:pPr>
            <w:r w:rsidRPr="0039268C">
              <w:rPr>
                <w:rFonts w:ascii="Arial Narrow" w:hAnsi="Arial Narrow" w:cs="Arial"/>
                <w:sz w:val="14"/>
                <w:szCs w:val="14"/>
              </w:rPr>
              <w:t>NA</w:t>
            </w:r>
          </w:p>
        </w:tc>
        <w:tc>
          <w:tcPr>
            <w:tcW w:w="381" w:type="pct"/>
            <w:tcBorders>
              <w:top w:val="dotted" w:sz="4" w:space="0" w:color="auto"/>
              <w:bottom w:val="dotted" w:sz="4" w:space="0" w:color="auto"/>
            </w:tcBorders>
          </w:tcPr>
          <w:p w:rsidR="005403A6" w:rsidRPr="0039268C" w:rsidRDefault="005403A6" w:rsidP="000A02D3">
            <w:pPr>
              <w:jc w:val="center"/>
              <w:rPr>
                <w:rFonts w:ascii="Arial Narrow" w:hAnsi="Arial Narrow" w:cs="Arial"/>
                <w:sz w:val="14"/>
                <w:szCs w:val="14"/>
                <w:lang w:eastAsia="en-US"/>
              </w:rPr>
            </w:pPr>
            <w:r w:rsidRPr="0039268C">
              <w:rPr>
                <w:rFonts w:ascii="Arial Narrow" w:hAnsi="Arial Narrow" w:cs="Arial"/>
                <w:sz w:val="14"/>
                <w:szCs w:val="14"/>
              </w:rPr>
              <w:t>NA</w:t>
            </w:r>
          </w:p>
        </w:tc>
        <w:tc>
          <w:tcPr>
            <w:tcW w:w="381" w:type="pct"/>
            <w:tcBorders>
              <w:top w:val="dotted" w:sz="4" w:space="0" w:color="auto"/>
              <w:bottom w:val="dotted" w:sz="4" w:space="0" w:color="auto"/>
            </w:tcBorders>
          </w:tcPr>
          <w:p w:rsidR="005403A6" w:rsidRPr="0039268C" w:rsidRDefault="005403A6" w:rsidP="000A02D3">
            <w:pPr>
              <w:jc w:val="center"/>
              <w:rPr>
                <w:rFonts w:ascii="Arial Narrow" w:hAnsi="Arial Narrow" w:cs="Arial"/>
                <w:sz w:val="14"/>
                <w:szCs w:val="14"/>
                <w:lang w:eastAsia="en-US"/>
              </w:rPr>
            </w:pPr>
            <w:r w:rsidRPr="0039268C">
              <w:rPr>
                <w:rFonts w:ascii="Arial Narrow" w:hAnsi="Arial Narrow" w:cs="Arial"/>
                <w:sz w:val="14"/>
                <w:szCs w:val="14"/>
              </w:rPr>
              <w:t>NA</w:t>
            </w:r>
          </w:p>
        </w:tc>
        <w:tc>
          <w:tcPr>
            <w:tcW w:w="381" w:type="pct"/>
            <w:tcBorders>
              <w:top w:val="dotted" w:sz="4" w:space="0" w:color="auto"/>
              <w:bottom w:val="dotted" w:sz="4" w:space="0" w:color="auto"/>
            </w:tcBorders>
          </w:tcPr>
          <w:p w:rsidR="005403A6" w:rsidRPr="0039268C" w:rsidRDefault="005403A6" w:rsidP="000A02D3">
            <w:pPr>
              <w:jc w:val="center"/>
              <w:rPr>
                <w:rFonts w:ascii="Arial Narrow" w:hAnsi="Arial Narrow" w:cs="Arial"/>
                <w:b/>
                <w:sz w:val="14"/>
                <w:szCs w:val="14"/>
                <w:lang w:eastAsia="cs-CZ"/>
              </w:rPr>
            </w:pPr>
            <w:r w:rsidRPr="0039268C">
              <w:rPr>
                <w:rFonts w:ascii="Arial Narrow" w:hAnsi="Arial Narrow" w:cs="Arial"/>
                <w:sz w:val="14"/>
                <w:szCs w:val="14"/>
              </w:rPr>
              <w:t>850</w:t>
            </w:r>
          </w:p>
        </w:tc>
        <w:tc>
          <w:tcPr>
            <w:tcW w:w="354" w:type="pct"/>
            <w:tcBorders>
              <w:top w:val="dotted" w:sz="4" w:space="0" w:color="auto"/>
              <w:bottom w:val="dotted" w:sz="4" w:space="0" w:color="auto"/>
              <w:right w:val="single" w:sz="6" w:space="0" w:color="auto"/>
            </w:tcBorders>
          </w:tcPr>
          <w:p w:rsidR="005403A6" w:rsidRPr="0039268C" w:rsidRDefault="005403A6" w:rsidP="000A02D3">
            <w:pPr>
              <w:jc w:val="center"/>
              <w:rPr>
                <w:rFonts w:ascii="Arial Narrow" w:hAnsi="Arial Narrow" w:cs="Arial"/>
                <w:b/>
                <w:sz w:val="14"/>
                <w:szCs w:val="14"/>
                <w:lang w:eastAsia="cs-CZ"/>
              </w:rPr>
            </w:pPr>
            <w:r w:rsidRPr="0039268C">
              <w:rPr>
                <w:rFonts w:ascii="Arial Narrow" w:hAnsi="Arial Narrow" w:cs="Arial"/>
                <w:sz w:val="14"/>
                <w:szCs w:val="14"/>
              </w:rPr>
              <w:t>NA</w:t>
            </w:r>
          </w:p>
        </w:tc>
      </w:tr>
      <w:tr w:rsidR="005403A6" w:rsidRPr="006A2BF3" w:rsidTr="001540E7">
        <w:trPr>
          <w:trHeight w:val="20"/>
        </w:trPr>
        <w:tc>
          <w:tcPr>
            <w:tcW w:w="688" w:type="pct"/>
            <w:vMerge/>
            <w:tcBorders>
              <w:left w:val="single" w:sz="6" w:space="0" w:color="auto"/>
            </w:tcBorders>
            <w:vAlign w:val="center"/>
          </w:tcPr>
          <w:p w:rsidR="005403A6" w:rsidRPr="00C266A4" w:rsidRDefault="005403A6" w:rsidP="000A02D3">
            <w:pPr>
              <w:rPr>
                <w:rFonts w:ascii="Arial" w:hAnsi="Arial" w:cs="Arial"/>
                <w:sz w:val="16"/>
                <w:szCs w:val="16"/>
                <w:lang w:eastAsia="cs-CZ"/>
              </w:rPr>
            </w:pPr>
          </w:p>
        </w:tc>
        <w:tc>
          <w:tcPr>
            <w:tcW w:w="618" w:type="pct"/>
            <w:tcBorders>
              <w:top w:val="dotted" w:sz="4" w:space="0" w:color="auto"/>
            </w:tcBorders>
            <w:vAlign w:val="center"/>
          </w:tcPr>
          <w:p w:rsidR="005403A6" w:rsidRPr="006A2BF3" w:rsidRDefault="005403A6" w:rsidP="000A02D3">
            <w:pPr>
              <w:rPr>
                <w:rFonts w:ascii="Arial" w:hAnsi="Arial" w:cs="Arial"/>
                <w:sz w:val="16"/>
                <w:szCs w:val="16"/>
                <w:lang w:eastAsia="en-US"/>
              </w:rPr>
            </w:pPr>
            <w:r w:rsidRPr="006A2BF3">
              <w:rPr>
                <w:rFonts w:ascii="Arial" w:hAnsi="Arial" w:cs="Arial"/>
                <w:sz w:val="16"/>
                <w:szCs w:val="16"/>
                <w:lang w:eastAsia="en-US"/>
              </w:rPr>
              <w:t>Východisko</w:t>
            </w:r>
          </w:p>
        </w:tc>
        <w:tc>
          <w:tcPr>
            <w:tcW w:w="293" w:type="pct"/>
            <w:tcBorders>
              <w:top w:val="dotted" w:sz="4" w:space="0" w:color="auto"/>
            </w:tcBorders>
          </w:tcPr>
          <w:p w:rsidR="005403A6" w:rsidRPr="0039268C" w:rsidRDefault="005403A6" w:rsidP="000A02D3">
            <w:pPr>
              <w:jc w:val="center"/>
              <w:rPr>
                <w:rFonts w:ascii="Arial Narrow" w:hAnsi="Arial Narrow" w:cs="Arial"/>
                <w:b/>
                <w:sz w:val="14"/>
                <w:szCs w:val="14"/>
                <w:lang w:eastAsia="cs-CZ"/>
              </w:rPr>
            </w:pPr>
            <w:r w:rsidRPr="0039268C">
              <w:rPr>
                <w:rFonts w:ascii="Arial Narrow" w:hAnsi="Arial Narrow" w:cs="Arial"/>
                <w:sz w:val="14"/>
                <w:szCs w:val="14"/>
              </w:rPr>
              <w:t>0</w:t>
            </w:r>
          </w:p>
        </w:tc>
        <w:tc>
          <w:tcPr>
            <w:tcW w:w="381" w:type="pct"/>
            <w:tcBorders>
              <w:top w:val="dotted" w:sz="4" w:space="0" w:color="auto"/>
            </w:tcBorders>
          </w:tcPr>
          <w:p w:rsidR="005403A6" w:rsidRPr="0039268C" w:rsidRDefault="005403A6" w:rsidP="000A02D3">
            <w:pPr>
              <w:jc w:val="center"/>
              <w:rPr>
                <w:rFonts w:ascii="Arial Narrow" w:hAnsi="Arial Narrow" w:cs="Arial"/>
                <w:sz w:val="14"/>
                <w:szCs w:val="14"/>
                <w:lang w:eastAsia="en-US"/>
              </w:rPr>
            </w:pPr>
            <w:r w:rsidRPr="0039268C">
              <w:rPr>
                <w:rFonts w:ascii="Arial Narrow" w:hAnsi="Arial Narrow" w:cs="Arial"/>
                <w:sz w:val="14"/>
                <w:szCs w:val="14"/>
              </w:rPr>
              <w:t>NA</w:t>
            </w:r>
          </w:p>
        </w:tc>
        <w:tc>
          <w:tcPr>
            <w:tcW w:w="381" w:type="pct"/>
            <w:tcBorders>
              <w:top w:val="dotted" w:sz="4" w:space="0" w:color="auto"/>
            </w:tcBorders>
          </w:tcPr>
          <w:p w:rsidR="005403A6" w:rsidRPr="0039268C" w:rsidRDefault="005403A6" w:rsidP="000A02D3">
            <w:pPr>
              <w:jc w:val="center"/>
              <w:rPr>
                <w:rFonts w:ascii="Arial Narrow" w:hAnsi="Arial Narrow" w:cs="Arial"/>
                <w:sz w:val="14"/>
                <w:szCs w:val="14"/>
                <w:lang w:eastAsia="en-US"/>
              </w:rPr>
            </w:pPr>
            <w:r w:rsidRPr="0039268C">
              <w:rPr>
                <w:rFonts w:ascii="Arial Narrow" w:hAnsi="Arial Narrow" w:cs="Arial"/>
                <w:sz w:val="14"/>
                <w:szCs w:val="14"/>
              </w:rPr>
              <w:t>NA</w:t>
            </w:r>
          </w:p>
        </w:tc>
        <w:tc>
          <w:tcPr>
            <w:tcW w:w="381" w:type="pct"/>
            <w:gridSpan w:val="2"/>
            <w:tcBorders>
              <w:top w:val="dotted" w:sz="4" w:space="0" w:color="auto"/>
            </w:tcBorders>
          </w:tcPr>
          <w:p w:rsidR="005403A6" w:rsidRPr="0039268C" w:rsidRDefault="005403A6" w:rsidP="000A02D3">
            <w:pPr>
              <w:jc w:val="center"/>
              <w:rPr>
                <w:rFonts w:ascii="Arial Narrow" w:hAnsi="Arial Narrow" w:cs="Arial"/>
                <w:sz w:val="14"/>
                <w:szCs w:val="14"/>
                <w:lang w:eastAsia="en-US"/>
              </w:rPr>
            </w:pPr>
            <w:r w:rsidRPr="0039268C">
              <w:rPr>
                <w:rFonts w:ascii="Arial Narrow" w:hAnsi="Arial Narrow" w:cs="Arial"/>
                <w:sz w:val="14"/>
                <w:szCs w:val="14"/>
              </w:rPr>
              <w:t>NA</w:t>
            </w:r>
          </w:p>
        </w:tc>
        <w:tc>
          <w:tcPr>
            <w:tcW w:w="381" w:type="pct"/>
            <w:tcBorders>
              <w:top w:val="dotted" w:sz="4" w:space="0" w:color="auto"/>
            </w:tcBorders>
          </w:tcPr>
          <w:p w:rsidR="005403A6" w:rsidRPr="0039268C" w:rsidRDefault="005403A6" w:rsidP="000A02D3">
            <w:pPr>
              <w:jc w:val="center"/>
              <w:rPr>
                <w:rFonts w:ascii="Arial Narrow" w:hAnsi="Arial Narrow" w:cs="Arial"/>
                <w:sz w:val="14"/>
                <w:szCs w:val="14"/>
                <w:lang w:eastAsia="en-US"/>
              </w:rPr>
            </w:pPr>
            <w:r w:rsidRPr="0039268C">
              <w:rPr>
                <w:rFonts w:ascii="Arial Narrow" w:hAnsi="Arial Narrow" w:cs="Arial"/>
                <w:sz w:val="14"/>
                <w:szCs w:val="14"/>
              </w:rPr>
              <w:t>NA</w:t>
            </w:r>
          </w:p>
        </w:tc>
        <w:tc>
          <w:tcPr>
            <w:tcW w:w="381" w:type="pct"/>
            <w:tcBorders>
              <w:top w:val="dotted" w:sz="4" w:space="0" w:color="auto"/>
            </w:tcBorders>
          </w:tcPr>
          <w:p w:rsidR="005403A6" w:rsidRPr="0039268C" w:rsidRDefault="005403A6" w:rsidP="000A02D3">
            <w:pPr>
              <w:jc w:val="center"/>
              <w:rPr>
                <w:rFonts w:ascii="Arial Narrow" w:hAnsi="Arial Narrow" w:cs="Arial"/>
                <w:sz w:val="14"/>
                <w:szCs w:val="14"/>
                <w:lang w:eastAsia="en-US"/>
              </w:rPr>
            </w:pPr>
            <w:r w:rsidRPr="0039268C">
              <w:rPr>
                <w:rFonts w:ascii="Arial Narrow" w:hAnsi="Arial Narrow" w:cs="Arial"/>
                <w:sz w:val="14"/>
                <w:szCs w:val="14"/>
              </w:rPr>
              <w:t>NA</w:t>
            </w:r>
          </w:p>
        </w:tc>
        <w:tc>
          <w:tcPr>
            <w:tcW w:w="381" w:type="pct"/>
            <w:tcBorders>
              <w:top w:val="dotted" w:sz="4" w:space="0" w:color="auto"/>
            </w:tcBorders>
          </w:tcPr>
          <w:p w:rsidR="005403A6" w:rsidRPr="0039268C" w:rsidRDefault="005403A6" w:rsidP="000A02D3">
            <w:pPr>
              <w:jc w:val="center"/>
              <w:rPr>
                <w:rFonts w:ascii="Arial Narrow" w:hAnsi="Arial Narrow" w:cs="Arial"/>
                <w:sz w:val="14"/>
                <w:szCs w:val="14"/>
                <w:lang w:eastAsia="en-US"/>
              </w:rPr>
            </w:pPr>
            <w:r w:rsidRPr="0039268C">
              <w:rPr>
                <w:rFonts w:ascii="Arial Narrow" w:hAnsi="Arial Narrow" w:cs="Arial"/>
                <w:sz w:val="14"/>
                <w:szCs w:val="14"/>
              </w:rPr>
              <w:t>NA</w:t>
            </w:r>
          </w:p>
        </w:tc>
        <w:tc>
          <w:tcPr>
            <w:tcW w:w="381" w:type="pct"/>
            <w:tcBorders>
              <w:top w:val="dotted" w:sz="4" w:space="0" w:color="auto"/>
            </w:tcBorders>
          </w:tcPr>
          <w:p w:rsidR="005403A6" w:rsidRPr="0039268C" w:rsidRDefault="005403A6" w:rsidP="000A02D3">
            <w:pPr>
              <w:jc w:val="center"/>
              <w:rPr>
                <w:rFonts w:ascii="Arial Narrow" w:hAnsi="Arial Narrow" w:cs="Arial"/>
                <w:sz w:val="14"/>
                <w:szCs w:val="14"/>
                <w:lang w:eastAsia="en-US"/>
              </w:rPr>
            </w:pPr>
            <w:r w:rsidRPr="0039268C">
              <w:rPr>
                <w:rFonts w:ascii="Arial Narrow" w:hAnsi="Arial Narrow" w:cs="Arial"/>
                <w:sz w:val="14"/>
                <w:szCs w:val="14"/>
              </w:rPr>
              <w:t>NA</w:t>
            </w:r>
          </w:p>
        </w:tc>
        <w:tc>
          <w:tcPr>
            <w:tcW w:w="381" w:type="pct"/>
            <w:tcBorders>
              <w:top w:val="dotted" w:sz="4" w:space="0" w:color="auto"/>
            </w:tcBorders>
          </w:tcPr>
          <w:p w:rsidR="005403A6" w:rsidRPr="0039268C" w:rsidRDefault="005403A6" w:rsidP="000A02D3">
            <w:pPr>
              <w:jc w:val="center"/>
              <w:rPr>
                <w:rFonts w:ascii="Arial Narrow" w:hAnsi="Arial Narrow" w:cs="Arial"/>
                <w:b/>
                <w:sz w:val="14"/>
                <w:szCs w:val="14"/>
                <w:lang w:eastAsia="en-US"/>
              </w:rPr>
            </w:pPr>
            <w:r w:rsidRPr="0039268C">
              <w:rPr>
                <w:rFonts w:ascii="Arial Narrow" w:hAnsi="Arial Narrow" w:cs="Arial"/>
                <w:sz w:val="14"/>
                <w:szCs w:val="14"/>
              </w:rPr>
              <w:t>NA</w:t>
            </w:r>
          </w:p>
        </w:tc>
        <w:tc>
          <w:tcPr>
            <w:tcW w:w="354" w:type="pct"/>
            <w:tcBorders>
              <w:top w:val="dotted" w:sz="4" w:space="0" w:color="auto"/>
              <w:right w:val="single" w:sz="6" w:space="0" w:color="auto"/>
            </w:tcBorders>
          </w:tcPr>
          <w:p w:rsidR="005403A6" w:rsidRPr="0039268C" w:rsidRDefault="005403A6" w:rsidP="000A02D3">
            <w:pPr>
              <w:jc w:val="center"/>
              <w:rPr>
                <w:rFonts w:ascii="Arial Narrow" w:hAnsi="Arial Narrow" w:cs="Arial"/>
                <w:b/>
                <w:sz w:val="14"/>
                <w:szCs w:val="14"/>
                <w:lang w:eastAsia="en-US"/>
              </w:rPr>
            </w:pPr>
            <w:r w:rsidRPr="0039268C">
              <w:rPr>
                <w:rFonts w:ascii="Arial Narrow" w:hAnsi="Arial Narrow" w:cs="Arial"/>
                <w:sz w:val="14"/>
                <w:szCs w:val="14"/>
              </w:rPr>
              <w:t>NA</w:t>
            </w:r>
          </w:p>
        </w:tc>
      </w:tr>
      <w:tr w:rsidR="002416B1" w:rsidRPr="006A2BF3" w:rsidTr="006A2BF3">
        <w:trPr>
          <w:trHeight w:val="20"/>
        </w:trPr>
        <w:tc>
          <w:tcPr>
            <w:tcW w:w="5000" w:type="pct"/>
            <w:gridSpan w:val="13"/>
            <w:tcBorders>
              <w:left w:val="single" w:sz="6" w:space="0" w:color="auto"/>
              <w:right w:val="single" w:sz="6" w:space="0" w:color="auto"/>
            </w:tcBorders>
            <w:shd w:val="clear" w:color="auto" w:fill="EAF1DD"/>
            <w:vAlign w:val="center"/>
          </w:tcPr>
          <w:p w:rsidR="002416B1" w:rsidRPr="00C266A4" w:rsidRDefault="002416B1" w:rsidP="000A02D3">
            <w:pPr>
              <w:rPr>
                <w:rFonts w:ascii="Arial" w:hAnsi="Arial" w:cs="Arial"/>
                <w:sz w:val="16"/>
                <w:szCs w:val="16"/>
                <w:lang w:eastAsia="cs-CZ"/>
              </w:rPr>
            </w:pPr>
          </w:p>
        </w:tc>
      </w:tr>
      <w:tr w:rsidR="005403A6" w:rsidRPr="006A2BF3" w:rsidTr="001540E7">
        <w:trPr>
          <w:trHeight w:val="20"/>
        </w:trPr>
        <w:tc>
          <w:tcPr>
            <w:tcW w:w="688" w:type="pct"/>
            <w:vMerge w:val="restart"/>
            <w:tcBorders>
              <w:left w:val="single" w:sz="6" w:space="0" w:color="auto"/>
            </w:tcBorders>
            <w:vAlign w:val="center"/>
          </w:tcPr>
          <w:p w:rsidR="005403A6" w:rsidRPr="00C266A4" w:rsidRDefault="005403A6" w:rsidP="000A02D3">
            <w:pPr>
              <w:rPr>
                <w:rFonts w:ascii="Arial" w:hAnsi="Arial" w:cs="Arial"/>
                <w:sz w:val="16"/>
                <w:szCs w:val="16"/>
                <w:lang w:eastAsia="cs-CZ"/>
              </w:rPr>
            </w:pPr>
            <w:r w:rsidRPr="00C266A4">
              <w:rPr>
                <w:rFonts w:ascii="Arial" w:hAnsi="Arial" w:cs="Arial"/>
                <w:sz w:val="16"/>
                <w:szCs w:val="16"/>
                <w:lang w:eastAsia="en-US"/>
              </w:rPr>
              <w:t>počet úspešne realizovaných projektov</w:t>
            </w:r>
          </w:p>
        </w:tc>
        <w:tc>
          <w:tcPr>
            <w:tcW w:w="618" w:type="pct"/>
            <w:tcBorders>
              <w:bottom w:val="dotted" w:sz="4" w:space="0" w:color="auto"/>
            </w:tcBorders>
            <w:vAlign w:val="center"/>
          </w:tcPr>
          <w:p w:rsidR="005403A6" w:rsidRPr="006A2BF3" w:rsidRDefault="005403A6" w:rsidP="000A02D3">
            <w:pPr>
              <w:rPr>
                <w:rFonts w:ascii="Arial" w:hAnsi="Arial" w:cs="Arial"/>
                <w:sz w:val="16"/>
                <w:szCs w:val="16"/>
                <w:lang w:eastAsia="en-US"/>
              </w:rPr>
            </w:pPr>
            <w:r w:rsidRPr="006A2BF3">
              <w:rPr>
                <w:rFonts w:ascii="Arial" w:hAnsi="Arial" w:cs="Arial"/>
                <w:sz w:val="16"/>
                <w:szCs w:val="16"/>
                <w:lang w:eastAsia="en-US"/>
              </w:rPr>
              <w:t>Dosiahnutý výsledok</w:t>
            </w:r>
          </w:p>
        </w:tc>
        <w:tc>
          <w:tcPr>
            <w:tcW w:w="293" w:type="pct"/>
            <w:tcBorders>
              <w:bottom w:val="dotted" w:sz="4" w:space="0" w:color="auto"/>
            </w:tcBorders>
            <w:vAlign w:val="center"/>
          </w:tcPr>
          <w:p w:rsidR="005403A6" w:rsidRPr="006A2BF3" w:rsidRDefault="005403A6" w:rsidP="000A02D3">
            <w:pPr>
              <w:jc w:val="center"/>
              <w:rPr>
                <w:rFonts w:ascii="Arial" w:hAnsi="Arial" w:cs="Arial"/>
                <w:b/>
                <w:sz w:val="16"/>
                <w:szCs w:val="16"/>
                <w:lang w:eastAsia="cs-CZ"/>
              </w:rPr>
            </w:pPr>
            <w:r w:rsidRPr="00D25EFA">
              <w:rPr>
                <w:rFonts w:ascii="Arial Narrow" w:hAnsi="Arial Narrow"/>
                <w:sz w:val="14"/>
                <w:szCs w:val="14"/>
                <w:lang w:eastAsia="cs-CZ"/>
              </w:rPr>
              <w:t>0</w:t>
            </w:r>
          </w:p>
        </w:tc>
        <w:tc>
          <w:tcPr>
            <w:tcW w:w="381" w:type="pct"/>
            <w:tcBorders>
              <w:bottom w:val="dotted" w:sz="4" w:space="0" w:color="auto"/>
            </w:tcBorders>
            <w:vAlign w:val="center"/>
          </w:tcPr>
          <w:p w:rsidR="005403A6" w:rsidRPr="006A2BF3" w:rsidRDefault="005403A6" w:rsidP="000A02D3">
            <w:pPr>
              <w:jc w:val="center"/>
              <w:rPr>
                <w:rFonts w:ascii="Arial" w:hAnsi="Arial" w:cs="Arial"/>
                <w:b/>
                <w:sz w:val="16"/>
                <w:szCs w:val="16"/>
                <w:lang w:eastAsia="en-US"/>
              </w:rPr>
            </w:pPr>
            <w:r w:rsidRPr="00D25EFA">
              <w:rPr>
                <w:rFonts w:ascii="Arial Narrow" w:hAnsi="Arial Narrow"/>
                <w:sz w:val="14"/>
                <w:szCs w:val="14"/>
                <w:lang w:eastAsia="cs-CZ"/>
              </w:rPr>
              <w:t>49</w:t>
            </w:r>
          </w:p>
        </w:tc>
        <w:tc>
          <w:tcPr>
            <w:tcW w:w="381" w:type="pct"/>
            <w:tcBorders>
              <w:bottom w:val="dotted" w:sz="4" w:space="0" w:color="auto"/>
            </w:tcBorders>
            <w:vAlign w:val="center"/>
          </w:tcPr>
          <w:p w:rsidR="005403A6" w:rsidRPr="006A2BF3" w:rsidRDefault="005403A6" w:rsidP="000A02D3">
            <w:pPr>
              <w:jc w:val="center"/>
              <w:rPr>
                <w:rFonts w:ascii="Arial" w:hAnsi="Arial" w:cs="Arial"/>
                <w:b/>
                <w:sz w:val="16"/>
                <w:szCs w:val="16"/>
                <w:lang w:eastAsia="en-US"/>
              </w:rPr>
            </w:pPr>
            <w:r w:rsidRPr="00D25EFA">
              <w:rPr>
                <w:rFonts w:ascii="Arial Narrow" w:hAnsi="Arial Narrow"/>
                <w:sz w:val="14"/>
                <w:szCs w:val="14"/>
              </w:rPr>
              <w:t>211</w:t>
            </w:r>
          </w:p>
        </w:tc>
        <w:tc>
          <w:tcPr>
            <w:tcW w:w="381" w:type="pct"/>
            <w:gridSpan w:val="2"/>
            <w:tcBorders>
              <w:bottom w:val="dotted" w:sz="4" w:space="0" w:color="auto"/>
            </w:tcBorders>
            <w:vAlign w:val="center"/>
          </w:tcPr>
          <w:p w:rsidR="005403A6" w:rsidRPr="006A2BF3" w:rsidRDefault="005403A6" w:rsidP="000A02D3">
            <w:pPr>
              <w:jc w:val="center"/>
              <w:rPr>
                <w:rFonts w:ascii="Arial" w:hAnsi="Arial" w:cs="Arial"/>
                <w:b/>
                <w:sz w:val="16"/>
                <w:szCs w:val="16"/>
                <w:lang w:eastAsia="en-US"/>
              </w:rPr>
            </w:pPr>
            <w:r w:rsidRPr="00D25EFA">
              <w:rPr>
                <w:rFonts w:ascii="Arial Narrow" w:hAnsi="Arial Narrow"/>
                <w:sz w:val="14"/>
                <w:szCs w:val="14"/>
                <w:lang w:eastAsia="cs-CZ"/>
              </w:rPr>
              <w:t>424</w:t>
            </w:r>
          </w:p>
        </w:tc>
        <w:tc>
          <w:tcPr>
            <w:tcW w:w="381" w:type="pct"/>
            <w:tcBorders>
              <w:bottom w:val="dotted" w:sz="4" w:space="0" w:color="auto"/>
            </w:tcBorders>
            <w:vAlign w:val="center"/>
          </w:tcPr>
          <w:p w:rsidR="005403A6" w:rsidRPr="006A2BF3" w:rsidRDefault="005403A6" w:rsidP="000A02D3">
            <w:pPr>
              <w:jc w:val="center"/>
              <w:rPr>
                <w:rFonts w:ascii="Arial" w:hAnsi="Arial" w:cs="Arial"/>
                <w:b/>
                <w:sz w:val="16"/>
                <w:szCs w:val="16"/>
                <w:lang w:eastAsia="en-US"/>
              </w:rPr>
            </w:pPr>
            <w:r w:rsidRPr="00D25EFA">
              <w:rPr>
                <w:rFonts w:ascii="Arial Narrow" w:hAnsi="Arial Narrow"/>
                <w:sz w:val="14"/>
                <w:szCs w:val="14"/>
                <w:lang w:eastAsia="cs-CZ"/>
              </w:rPr>
              <w:t>461</w:t>
            </w:r>
          </w:p>
        </w:tc>
        <w:tc>
          <w:tcPr>
            <w:tcW w:w="381" w:type="pct"/>
            <w:tcBorders>
              <w:bottom w:val="dotted" w:sz="4" w:space="0" w:color="auto"/>
            </w:tcBorders>
            <w:vAlign w:val="center"/>
          </w:tcPr>
          <w:p w:rsidR="005403A6" w:rsidRPr="006A2BF3" w:rsidRDefault="005403A6" w:rsidP="000A02D3">
            <w:pPr>
              <w:jc w:val="center"/>
              <w:rPr>
                <w:rFonts w:ascii="Arial" w:hAnsi="Arial" w:cs="Arial"/>
                <w:sz w:val="16"/>
                <w:szCs w:val="16"/>
                <w:lang w:eastAsia="en-US"/>
              </w:rPr>
            </w:pPr>
            <w:r w:rsidRPr="00D25EFA">
              <w:rPr>
                <w:rFonts w:ascii="Arial Narrow" w:hAnsi="Arial Narrow"/>
                <w:sz w:val="14"/>
                <w:szCs w:val="14"/>
                <w:lang w:eastAsia="cs-CZ"/>
              </w:rPr>
              <w:t>581</w:t>
            </w:r>
          </w:p>
        </w:tc>
        <w:tc>
          <w:tcPr>
            <w:tcW w:w="381" w:type="pct"/>
            <w:tcBorders>
              <w:bottom w:val="dotted" w:sz="4" w:space="0" w:color="auto"/>
            </w:tcBorders>
            <w:vAlign w:val="center"/>
          </w:tcPr>
          <w:p w:rsidR="005403A6" w:rsidRPr="006A2BF3" w:rsidRDefault="005403A6" w:rsidP="000A02D3">
            <w:pPr>
              <w:jc w:val="center"/>
              <w:rPr>
                <w:rFonts w:ascii="Arial" w:hAnsi="Arial" w:cs="Arial"/>
                <w:sz w:val="16"/>
                <w:szCs w:val="16"/>
                <w:lang w:eastAsia="en-US"/>
              </w:rPr>
            </w:pPr>
            <w:r w:rsidRPr="00D25EFA">
              <w:rPr>
                <w:rFonts w:ascii="Arial Narrow" w:hAnsi="Arial Narrow"/>
                <w:sz w:val="14"/>
                <w:szCs w:val="14"/>
                <w:lang w:eastAsia="cs-CZ"/>
              </w:rPr>
              <w:t>NA</w:t>
            </w:r>
          </w:p>
        </w:tc>
        <w:tc>
          <w:tcPr>
            <w:tcW w:w="381" w:type="pct"/>
            <w:tcBorders>
              <w:bottom w:val="dotted" w:sz="4" w:space="0" w:color="auto"/>
            </w:tcBorders>
            <w:vAlign w:val="center"/>
          </w:tcPr>
          <w:p w:rsidR="005403A6" w:rsidRPr="006A2BF3" w:rsidRDefault="005403A6" w:rsidP="000A02D3">
            <w:pPr>
              <w:jc w:val="center"/>
              <w:rPr>
                <w:rFonts w:ascii="Arial" w:hAnsi="Arial" w:cs="Arial"/>
                <w:sz w:val="16"/>
                <w:szCs w:val="16"/>
                <w:lang w:eastAsia="en-US"/>
              </w:rPr>
            </w:pPr>
            <w:r w:rsidRPr="00D25EFA">
              <w:rPr>
                <w:rFonts w:ascii="Arial Narrow" w:hAnsi="Arial Narrow"/>
                <w:sz w:val="14"/>
                <w:szCs w:val="14"/>
                <w:lang w:eastAsia="cs-CZ"/>
              </w:rPr>
              <w:t>NA</w:t>
            </w:r>
          </w:p>
        </w:tc>
        <w:tc>
          <w:tcPr>
            <w:tcW w:w="381" w:type="pct"/>
            <w:tcBorders>
              <w:bottom w:val="dotted" w:sz="4" w:space="0" w:color="auto"/>
            </w:tcBorders>
            <w:vAlign w:val="center"/>
          </w:tcPr>
          <w:p w:rsidR="005403A6" w:rsidRPr="006A2BF3" w:rsidRDefault="005403A6" w:rsidP="000A02D3">
            <w:pPr>
              <w:jc w:val="center"/>
              <w:rPr>
                <w:rFonts w:ascii="Arial" w:hAnsi="Arial" w:cs="Arial"/>
                <w:b/>
                <w:sz w:val="16"/>
                <w:szCs w:val="16"/>
                <w:lang w:eastAsia="en-US"/>
              </w:rPr>
            </w:pPr>
            <w:r w:rsidRPr="00D25EFA">
              <w:rPr>
                <w:rFonts w:ascii="Arial Narrow" w:hAnsi="Arial Narrow"/>
                <w:b/>
                <w:sz w:val="14"/>
                <w:szCs w:val="14"/>
                <w:lang w:eastAsia="cs-CZ"/>
              </w:rPr>
              <w:t>NA</w:t>
            </w:r>
          </w:p>
        </w:tc>
        <w:tc>
          <w:tcPr>
            <w:tcW w:w="354" w:type="pct"/>
            <w:tcBorders>
              <w:bottom w:val="dotted" w:sz="4" w:space="0" w:color="auto"/>
              <w:right w:val="single" w:sz="6" w:space="0" w:color="auto"/>
            </w:tcBorders>
            <w:vAlign w:val="center"/>
          </w:tcPr>
          <w:p w:rsidR="005403A6" w:rsidRPr="006A2BF3" w:rsidRDefault="005403A6" w:rsidP="000A02D3">
            <w:pPr>
              <w:jc w:val="center"/>
              <w:rPr>
                <w:rFonts w:ascii="Arial" w:hAnsi="Arial" w:cs="Arial"/>
                <w:b/>
                <w:sz w:val="16"/>
                <w:szCs w:val="16"/>
                <w:lang w:eastAsia="cs-CZ"/>
              </w:rPr>
            </w:pPr>
            <w:r w:rsidRPr="00D25EFA">
              <w:rPr>
                <w:rFonts w:ascii="Arial Narrow" w:hAnsi="Arial Narrow"/>
                <w:b/>
                <w:sz w:val="14"/>
                <w:szCs w:val="14"/>
                <w:lang w:eastAsia="cs-CZ"/>
              </w:rPr>
              <w:t>581</w:t>
            </w:r>
          </w:p>
        </w:tc>
      </w:tr>
      <w:tr w:rsidR="005403A6" w:rsidRPr="006A2BF3" w:rsidTr="001540E7">
        <w:trPr>
          <w:trHeight w:val="20"/>
        </w:trPr>
        <w:tc>
          <w:tcPr>
            <w:tcW w:w="688" w:type="pct"/>
            <w:vMerge/>
            <w:tcBorders>
              <w:left w:val="single" w:sz="6" w:space="0" w:color="auto"/>
            </w:tcBorders>
            <w:vAlign w:val="center"/>
          </w:tcPr>
          <w:p w:rsidR="005403A6" w:rsidRPr="00C266A4" w:rsidRDefault="005403A6" w:rsidP="000A02D3">
            <w:pPr>
              <w:rPr>
                <w:rFonts w:ascii="Arial" w:hAnsi="Arial" w:cs="Arial"/>
                <w:sz w:val="16"/>
                <w:szCs w:val="16"/>
                <w:lang w:eastAsia="cs-CZ"/>
              </w:rPr>
            </w:pPr>
          </w:p>
        </w:tc>
        <w:tc>
          <w:tcPr>
            <w:tcW w:w="618" w:type="pct"/>
            <w:tcBorders>
              <w:top w:val="dotted" w:sz="4" w:space="0" w:color="auto"/>
              <w:bottom w:val="dotted" w:sz="4" w:space="0" w:color="auto"/>
            </w:tcBorders>
            <w:vAlign w:val="center"/>
          </w:tcPr>
          <w:p w:rsidR="005403A6" w:rsidRPr="006A2BF3" w:rsidRDefault="005403A6" w:rsidP="000A02D3">
            <w:pPr>
              <w:rPr>
                <w:rFonts w:ascii="Arial" w:hAnsi="Arial" w:cs="Arial"/>
                <w:sz w:val="16"/>
                <w:szCs w:val="16"/>
                <w:lang w:eastAsia="en-US"/>
              </w:rPr>
            </w:pPr>
            <w:r w:rsidRPr="006A2BF3">
              <w:rPr>
                <w:rFonts w:ascii="Arial" w:hAnsi="Arial" w:cs="Arial"/>
                <w:sz w:val="16"/>
                <w:szCs w:val="16"/>
                <w:lang w:eastAsia="en-US"/>
              </w:rPr>
              <w:t>Cieľ</w:t>
            </w:r>
          </w:p>
        </w:tc>
        <w:tc>
          <w:tcPr>
            <w:tcW w:w="293" w:type="pct"/>
            <w:tcBorders>
              <w:top w:val="dotted" w:sz="4" w:space="0" w:color="auto"/>
              <w:bottom w:val="dotted" w:sz="4" w:space="0" w:color="auto"/>
            </w:tcBorders>
            <w:vAlign w:val="center"/>
          </w:tcPr>
          <w:p w:rsidR="005403A6" w:rsidRPr="006A2BF3" w:rsidRDefault="005403A6" w:rsidP="000A02D3">
            <w:pPr>
              <w:jc w:val="center"/>
              <w:rPr>
                <w:rFonts w:ascii="Arial" w:hAnsi="Arial" w:cs="Arial"/>
                <w:sz w:val="16"/>
                <w:szCs w:val="16"/>
                <w:lang w:eastAsia="cs-CZ"/>
              </w:rPr>
            </w:pPr>
            <w:r w:rsidRPr="00D25EFA">
              <w:rPr>
                <w:rFonts w:ascii="Arial Narrow" w:hAnsi="Arial Narrow"/>
                <w:sz w:val="14"/>
                <w:szCs w:val="14"/>
                <w:lang w:eastAsia="cs-CZ"/>
              </w:rPr>
              <w:t>NA</w:t>
            </w:r>
          </w:p>
        </w:tc>
        <w:tc>
          <w:tcPr>
            <w:tcW w:w="381" w:type="pct"/>
            <w:tcBorders>
              <w:top w:val="dotted" w:sz="4" w:space="0" w:color="auto"/>
              <w:bottom w:val="dotted" w:sz="4" w:space="0" w:color="auto"/>
            </w:tcBorders>
            <w:vAlign w:val="center"/>
          </w:tcPr>
          <w:p w:rsidR="005403A6" w:rsidRPr="006A2BF3" w:rsidRDefault="005403A6" w:rsidP="000A02D3">
            <w:pPr>
              <w:jc w:val="center"/>
              <w:rPr>
                <w:rFonts w:ascii="Arial" w:hAnsi="Arial" w:cs="Arial"/>
                <w:sz w:val="16"/>
                <w:szCs w:val="16"/>
                <w:lang w:eastAsia="en-US"/>
              </w:rPr>
            </w:pPr>
            <w:r w:rsidRPr="00D25EFA">
              <w:rPr>
                <w:rFonts w:ascii="Arial Narrow" w:hAnsi="Arial Narrow"/>
                <w:sz w:val="14"/>
                <w:szCs w:val="14"/>
                <w:lang w:eastAsia="cs-CZ"/>
              </w:rPr>
              <w:t>NA</w:t>
            </w:r>
          </w:p>
        </w:tc>
        <w:tc>
          <w:tcPr>
            <w:tcW w:w="381" w:type="pct"/>
            <w:tcBorders>
              <w:top w:val="dotted" w:sz="4" w:space="0" w:color="auto"/>
              <w:bottom w:val="dotted" w:sz="4" w:space="0" w:color="auto"/>
            </w:tcBorders>
            <w:vAlign w:val="center"/>
          </w:tcPr>
          <w:p w:rsidR="005403A6" w:rsidRPr="006A2BF3" w:rsidRDefault="005403A6" w:rsidP="000A02D3">
            <w:pPr>
              <w:jc w:val="center"/>
              <w:rPr>
                <w:rFonts w:ascii="Arial" w:hAnsi="Arial" w:cs="Arial"/>
                <w:sz w:val="16"/>
                <w:szCs w:val="16"/>
                <w:lang w:eastAsia="en-US"/>
              </w:rPr>
            </w:pPr>
            <w:r w:rsidRPr="00D25EFA">
              <w:rPr>
                <w:rFonts w:ascii="Arial Narrow" w:hAnsi="Arial Narrow"/>
                <w:sz w:val="14"/>
                <w:szCs w:val="14"/>
                <w:lang w:eastAsia="cs-CZ"/>
              </w:rPr>
              <w:t>NA</w:t>
            </w:r>
          </w:p>
        </w:tc>
        <w:tc>
          <w:tcPr>
            <w:tcW w:w="381" w:type="pct"/>
            <w:gridSpan w:val="2"/>
            <w:tcBorders>
              <w:top w:val="dotted" w:sz="4" w:space="0" w:color="auto"/>
              <w:bottom w:val="dotted" w:sz="4" w:space="0" w:color="auto"/>
            </w:tcBorders>
            <w:vAlign w:val="center"/>
          </w:tcPr>
          <w:p w:rsidR="005403A6" w:rsidRPr="006A2BF3" w:rsidRDefault="005403A6" w:rsidP="000A02D3">
            <w:pPr>
              <w:jc w:val="center"/>
              <w:rPr>
                <w:rFonts w:ascii="Arial" w:hAnsi="Arial" w:cs="Arial"/>
                <w:sz w:val="16"/>
                <w:szCs w:val="16"/>
                <w:lang w:eastAsia="en-US"/>
              </w:rPr>
            </w:pPr>
            <w:r w:rsidRPr="00D25EFA">
              <w:rPr>
                <w:rFonts w:ascii="Arial Narrow" w:hAnsi="Arial Narrow"/>
                <w:sz w:val="14"/>
                <w:szCs w:val="14"/>
                <w:lang w:eastAsia="cs-CZ"/>
              </w:rPr>
              <w:t>NA</w:t>
            </w:r>
          </w:p>
        </w:tc>
        <w:tc>
          <w:tcPr>
            <w:tcW w:w="381" w:type="pct"/>
            <w:tcBorders>
              <w:top w:val="dotted" w:sz="4" w:space="0" w:color="auto"/>
              <w:bottom w:val="dotted" w:sz="4" w:space="0" w:color="auto"/>
            </w:tcBorders>
            <w:vAlign w:val="center"/>
          </w:tcPr>
          <w:p w:rsidR="005403A6" w:rsidRPr="006A2BF3" w:rsidRDefault="005403A6" w:rsidP="000A02D3">
            <w:pPr>
              <w:jc w:val="center"/>
              <w:rPr>
                <w:rFonts w:ascii="Arial" w:hAnsi="Arial" w:cs="Arial"/>
                <w:sz w:val="16"/>
                <w:szCs w:val="16"/>
                <w:lang w:eastAsia="en-US"/>
              </w:rPr>
            </w:pPr>
            <w:r w:rsidRPr="00D25EFA">
              <w:rPr>
                <w:rFonts w:ascii="Arial Narrow" w:hAnsi="Arial Narrow"/>
                <w:sz w:val="14"/>
                <w:szCs w:val="14"/>
                <w:lang w:eastAsia="cs-CZ"/>
              </w:rPr>
              <w:t>NA</w:t>
            </w:r>
          </w:p>
        </w:tc>
        <w:tc>
          <w:tcPr>
            <w:tcW w:w="381" w:type="pct"/>
            <w:tcBorders>
              <w:top w:val="dotted" w:sz="4" w:space="0" w:color="auto"/>
              <w:bottom w:val="dotted" w:sz="4" w:space="0" w:color="auto"/>
            </w:tcBorders>
            <w:vAlign w:val="center"/>
          </w:tcPr>
          <w:p w:rsidR="005403A6" w:rsidRPr="006A2BF3" w:rsidRDefault="005403A6" w:rsidP="000A02D3">
            <w:pPr>
              <w:jc w:val="center"/>
              <w:rPr>
                <w:rFonts w:ascii="Arial" w:hAnsi="Arial" w:cs="Arial"/>
                <w:sz w:val="16"/>
                <w:szCs w:val="16"/>
                <w:lang w:eastAsia="en-US"/>
              </w:rPr>
            </w:pPr>
            <w:r w:rsidRPr="00D25EFA">
              <w:rPr>
                <w:rFonts w:ascii="Arial Narrow" w:hAnsi="Arial Narrow"/>
                <w:sz w:val="14"/>
                <w:szCs w:val="14"/>
                <w:lang w:eastAsia="cs-CZ"/>
              </w:rPr>
              <w:t>NA</w:t>
            </w:r>
          </w:p>
        </w:tc>
        <w:tc>
          <w:tcPr>
            <w:tcW w:w="381" w:type="pct"/>
            <w:tcBorders>
              <w:top w:val="dotted" w:sz="4" w:space="0" w:color="auto"/>
              <w:bottom w:val="dotted" w:sz="4" w:space="0" w:color="auto"/>
            </w:tcBorders>
            <w:vAlign w:val="center"/>
          </w:tcPr>
          <w:p w:rsidR="005403A6" w:rsidRPr="006A2BF3" w:rsidRDefault="005403A6" w:rsidP="000A02D3">
            <w:pPr>
              <w:jc w:val="center"/>
              <w:rPr>
                <w:rFonts w:ascii="Arial" w:hAnsi="Arial" w:cs="Arial"/>
                <w:sz w:val="16"/>
                <w:szCs w:val="16"/>
                <w:lang w:eastAsia="en-US"/>
              </w:rPr>
            </w:pPr>
            <w:r w:rsidRPr="00D25EFA">
              <w:rPr>
                <w:rFonts w:ascii="Arial Narrow" w:hAnsi="Arial Narrow"/>
                <w:sz w:val="14"/>
                <w:szCs w:val="14"/>
                <w:lang w:eastAsia="cs-CZ"/>
              </w:rPr>
              <w:t>NA</w:t>
            </w:r>
          </w:p>
        </w:tc>
        <w:tc>
          <w:tcPr>
            <w:tcW w:w="381" w:type="pct"/>
            <w:tcBorders>
              <w:top w:val="dotted" w:sz="4" w:space="0" w:color="auto"/>
              <w:bottom w:val="dotted" w:sz="4" w:space="0" w:color="auto"/>
            </w:tcBorders>
            <w:vAlign w:val="center"/>
          </w:tcPr>
          <w:p w:rsidR="005403A6" w:rsidRPr="006A2BF3" w:rsidRDefault="005403A6" w:rsidP="000A02D3">
            <w:pPr>
              <w:jc w:val="center"/>
              <w:rPr>
                <w:rFonts w:ascii="Arial" w:hAnsi="Arial" w:cs="Arial"/>
                <w:sz w:val="16"/>
                <w:szCs w:val="16"/>
                <w:lang w:eastAsia="en-US"/>
              </w:rPr>
            </w:pPr>
            <w:r w:rsidRPr="00D25EFA">
              <w:rPr>
                <w:rFonts w:ascii="Arial Narrow" w:hAnsi="Arial Narrow"/>
                <w:sz w:val="14"/>
                <w:szCs w:val="14"/>
                <w:lang w:eastAsia="cs-CZ"/>
              </w:rPr>
              <w:t>NA</w:t>
            </w:r>
          </w:p>
        </w:tc>
        <w:tc>
          <w:tcPr>
            <w:tcW w:w="381" w:type="pct"/>
            <w:tcBorders>
              <w:top w:val="dotted" w:sz="4" w:space="0" w:color="auto"/>
              <w:bottom w:val="dotted" w:sz="4" w:space="0" w:color="auto"/>
            </w:tcBorders>
            <w:vAlign w:val="center"/>
          </w:tcPr>
          <w:p w:rsidR="005403A6" w:rsidRPr="006A2BF3" w:rsidRDefault="005403A6" w:rsidP="000A02D3">
            <w:pPr>
              <w:jc w:val="center"/>
              <w:rPr>
                <w:rFonts w:ascii="Arial" w:hAnsi="Arial" w:cs="Arial"/>
                <w:b/>
                <w:sz w:val="16"/>
                <w:szCs w:val="16"/>
                <w:lang w:eastAsia="cs-CZ"/>
              </w:rPr>
            </w:pPr>
            <w:r w:rsidRPr="00D25EFA">
              <w:rPr>
                <w:rFonts w:ascii="Arial Narrow" w:hAnsi="Arial Narrow"/>
                <w:b/>
                <w:sz w:val="14"/>
                <w:szCs w:val="14"/>
                <w:lang w:eastAsia="cs-CZ"/>
              </w:rPr>
              <w:t>380</w:t>
            </w:r>
          </w:p>
        </w:tc>
        <w:tc>
          <w:tcPr>
            <w:tcW w:w="354" w:type="pct"/>
            <w:tcBorders>
              <w:top w:val="dotted" w:sz="4" w:space="0" w:color="auto"/>
              <w:bottom w:val="dotted" w:sz="4" w:space="0" w:color="auto"/>
              <w:right w:val="single" w:sz="6" w:space="0" w:color="auto"/>
            </w:tcBorders>
            <w:vAlign w:val="center"/>
          </w:tcPr>
          <w:p w:rsidR="005403A6" w:rsidRPr="006A2BF3" w:rsidRDefault="005403A6" w:rsidP="000A02D3">
            <w:pPr>
              <w:jc w:val="center"/>
              <w:rPr>
                <w:rFonts w:ascii="Arial" w:hAnsi="Arial" w:cs="Arial"/>
                <w:b/>
                <w:sz w:val="16"/>
                <w:szCs w:val="16"/>
                <w:lang w:eastAsia="cs-CZ"/>
              </w:rPr>
            </w:pPr>
            <w:r w:rsidRPr="00D25EFA">
              <w:rPr>
                <w:rFonts w:ascii="Arial Narrow" w:hAnsi="Arial Narrow"/>
                <w:b/>
                <w:sz w:val="14"/>
                <w:szCs w:val="14"/>
                <w:lang w:eastAsia="cs-CZ"/>
              </w:rPr>
              <w:t>NA</w:t>
            </w:r>
          </w:p>
        </w:tc>
      </w:tr>
      <w:tr w:rsidR="005403A6" w:rsidRPr="006A2BF3" w:rsidTr="001540E7">
        <w:trPr>
          <w:trHeight w:val="20"/>
        </w:trPr>
        <w:tc>
          <w:tcPr>
            <w:tcW w:w="688" w:type="pct"/>
            <w:vMerge/>
            <w:tcBorders>
              <w:left w:val="single" w:sz="6" w:space="0" w:color="auto"/>
            </w:tcBorders>
            <w:vAlign w:val="center"/>
          </w:tcPr>
          <w:p w:rsidR="005403A6" w:rsidRPr="00C266A4" w:rsidRDefault="005403A6" w:rsidP="000A02D3">
            <w:pPr>
              <w:rPr>
                <w:rFonts w:ascii="Arial" w:hAnsi="Arial" w:cs="Arial"/>
                <w:sz w:val="16"/>
                <w:szCs w:val="16"/>
                <w:lang w:eastAsia="cs-CZ"/>
              </w:rPr>
            </w:pPr>
          </w:p>
        </w:tc>
        <w:tc>
          <w:tcPr>
            <w:tcW w:w="618" w:type="pct"/>
            <w:tcBorders>
              <w:top w:val="dotted" w:sz="4" w:space="0" w:color="auto"/>
            </w:tcBorders>
            <w:vAlign w:val="center"/>
          </w:tcPr>
          <w:p w:rsidR="005403A6" w:rsidRPr="006A2BF3" w:rsidRDefault="005403A6" w:rsidP="000A02D3">
            <w:pPr>
              <w:rPr>
                <w:rFonts w:ascii="Arial" w:hAnsi="Arial" w:cs="Arial"/>
                <w:sz w:val="16"/>
                <w:szCs w:val="16"/>
                <w:lang w:eastAsia="en-US"/>
              </w:rPr>
            </w:pPr>
            <w:r w:rsidRPr="006A2BF3">
              <w:rPr>
                <w:rFonts w:ascii="Arial" w:hAnsi="Arial" w:cs="Arial"/>
                <w:sz w:val="16"/>
                <w:szCs w:val="16"/>
                <w:lang w:eastAsia="en-US"/>
              </w:rPr>
              <w:t>Východisko</w:t>
            </w:r>
          </w:p>
        </w:tc>
        <w:tc>
          <w:tcPr>
            <w:tcW w:w="293" w:type="pct"/>
            <w:tcBorders>
              <w:top w:val="dotted" w:sz="4" w:space="0" w:color="auto"/>
            </w:tcBorders>
            <w:vAlign w:val="center"/>
          </w:tcPr>
          <w:p w:rsidR="005403A6" w:rsidRPr="006A2BF3" w:rsidRDefault="005403A6" w:rsidP="000A02D3">
            <w:pPr>
              <w:jc w:val="center"/>
              <w:rPr>
                <w:rFonts w:ascii="Arial" w:hAnsi="Arial" w:cs="Arial"/>
                <w:b/>
                <w:sz w:val="16"/>
                <w:szCs w:val="16"/>
                <w:lang w:eastAsia="cs-CZ"/>
              </w:rPr>
            </w:pPr>
            <w:r w:rsidRPr="00D25EFA">
              <w:rPr>
                <w:rFonts w:ascii="Arial Narrow" w:hAnsi="Arial Narrow"/>
                <w:sz w:val="14"/>
                <w:szCs w:val="14"/>
                <w:lang w:eastAsia="cs-CZ"/>
              </w:rPr>
              <w:t>0</w:t>
            </w:r>
          </w:p>
        </w:tc>
        <w:tc>
          <w:tcPr>
            <w:tcW w:w="381" w:type="pct"/>
            <w:tcBorders>
              <w:top w:val="dotted" w:sz="4" w:space="0" w:color="auto"/>
            </w:tcBorders>
            <w:vAlign w:val="center"/>
          </w:tcPr>
          <w:p w:rsidR="005403A6" w:rsidRPr="006A2BF3" w:rsidRDefault="005403A6" w:rsidP="000A02D3">
            <w:pPr>
              <w:jc w:val="center"/>
              <w:rPr>
                <w:rFonts w:ascii="Arial" w:hAnsi="Arial" w:cs="Arial"/>
                <w:sz w:val="16"/>
                <w:szCs w:val="16"/>
                <w:lang w:eastAsia="en-US"/>
              </w:rPr>
            </w:pPr>
            <w:r w:rsidRPr="00D25EFA">
              <w:rPr>
                <w:rFonts w:ascii="Arial Narrow" w:hAnsi="Arial Narrow"/>
                <w:sz w:val="14"/>
                <w:szCs w:val="14"/>
                <w:lang w:eastAsia="cs-CZ"/>
              </w:rPr>
              <w:t>NA</w:t>
            </w:r>
          </w:p>
        </w:tc>
        <w:tc>
          <w:tcPr>
            <w:tcW w:w="381" w:type="pct"/>
            <w:tcBorders>
              <w:top w:val="dotted" w:sz="4" w:space="0" w:color="auto"/>
            </w:tcBorders>
            <w:vAlign w:val="center"/>
          </w:tcPr>
          <w:p w:rsidR="005403A6" w:rsidRPr="006A2BF3" w:rsidRDefault="005403A6" w:rsidP="000A02D3">
            <w:pPr>
              <w:jc w:val="center"/>
              <w:rPr>
                <w:rFonts w:ascii="Arial" w:hAnsi="Arial" w:cs="Arial"/>
                <w:sz w:val="16"/>
                <w:szCs w:val="16"/>
                <w:lang w:eastAsia="en-US"/>
              </w:rPr>
            </w:pPr>
            <w:r w:rsidRPr="00D25EFA">
              <w:rPr>
                <w:rFonts w:ascii="Arial Narrow" w:hAnsi="Arial Narrow"/>
                <w:sz w:val="14"/>
                <w:szCs w:val="14"/>
                <w:lang w:eastAsia="cs-CZ"/>
              </w:rPr>
              <w:t>NA</w:t>
            </w:r>
          </w:p>
        </w:tc>
        <w:tc>
          <w:tcPr>
            <w:tcW w:w="381" w:type="pct"/>
            <w:gridSpan w:val="2"/>
            <w:tcBorders>
              <w:top w:val="dotted" w:sz="4" w:space="0" w:color="auto"/>
            </w:tcBorders>
            <w:vAlign w:val="center"/>
          </w:tcPr>
          <w:p w:rsidR="005403A6" w:rsidRPr="006A2BF3" w:rsidRDefault="005403A6" w:rsidP="000A02D3">
            <w:pPr>
              <w:jc w:val="center"/>
              <w:rPr>
                <w:rFonts w:ascii="Arial" w:hAnsi="Arial" w:cs="Arial"/>
                <w:sz w:val="16"/>
                <w:szCs w:val="16"/>
                <w:lang w:eastAsia="en-US"/>
              </w:rPr>
            </w:pPr>
            <w:r w:rsidRPr="00D25EFA">
              <w:rPr>
                <w:rFonts w:ascii="Arial Narrow" w:hAnsi="Arial Narrow"/>
                <w:sz w:val="14"/>
                <w:szCs w:val="14"/>
                <w:lang w:eastAsia="cs-CZ"/>
              </w:rPr>
              <w:t>NA</w:t>
            </w:r>
          </w:p>
        </w:tc>
        <w:tc>
          <w:tcPr>
            <w:tcW w:w="381" w:type="pct"/>
            <w:tcBorders>
              <w:top w:val="dotted" w:sz="4" w:space="0" w:color="auto"/>
            </w:tcBorders>
            <w:vAlign w:val="center"/>
          </w:tcPr>
          <w:p w:rsidR="005403A6" w:rsidRPr="006A2BF3" w:rsidRDefault="005403A6" w:rsidP="000A02D3">
            <w:pPr>
              <w:jc w:val="center"/>
              <w:rPr>
                <w:rFonts w:ascii="Arial" w:hAnsi="Arial" w:cs="Arial"/>
                <w:sz w:val="16"/>
                <w:szCs w:val="16"/>
                <w:lang w:eastAsia="en-US"/>
              </w:rPr>
            </w:pPr>
            <w:r w:rsidRPr="00D25EFA">
              <w:rPr>
                <w:rFonts w:ascii="Arial Narrow" w:hAnsi="Arial Narrow"/>
                <w:sz w:val="14"/>
                <w:szCs w:val="14"/>
                <w:lang w:eastAsia="cs-CZ"/>
              </w:rPr>
              <w:t>NA</w:t>
            </w:r>
          </w:p>
        </w:tc>
        <w:tc>
          <w:tcPr>
            <w:tcW w:w="381" w:type="pct"/>
            <w:tcBorders>
              <w:top w:val="dotted" w:sz="4" w:space="0" w:color="auto"/>
            </w:tcBorders>
            <w:vAlign w:val="center"/>
          </w:tcPr>
          <w:p w:rsidR="005403A6" w:rsidRPr="006A2BF3" w:rsidRDefault="005403A6" w:rsidP="000A02D3">
            <w:pPr>
              <w:jc w:val="center"/>
              <w:rPr>
                <w:rFonts w:ascii="Arial" w:hAnsi="Arial" w:cs="Arial"/>
                <w:sz w:val="16"/>
                <w:szCs w:val="16"/>
                <w:lang w:eastAsia="en-US"/>
              </w:rPr>
            </w:pPr>
            <w:r w:rsidRPr="00D25EFA">
              <w:rPr>
                <w:rFonts w:ascii="Arial Narrow" w:hAnsi="Arial Narrow"/>
                <w:sz w:val="14"/>
                <w:szCs w:val="14"/>
                <w:lang w:eastAsia="cs-CZ"/>
              </w:rPr>
              <w:t>NA</w:t>
            </w:r>
          </w:p>
        </w:tc>
        <w:tc>
          <w:tcPr>
            <w:tcW w:w="381" w:type="pct"/>
            <w:tcBorders>
              <w:top w:val="dotted" w:sz="4" w:space="0" w:color="auto"/>
            </w:tcBorders>
            <w:vAlign w:val="center"/>
          </w:tcPr>
          <w:p w:rsidR="005403A6" w:rsidRPr="006A2BF3" w:rsidRDefault="005403A6" w:rsidP="000A02D3">
            <w:pPr>
              <w:jc w:val="center"/>
              <w:rPr>
                <w:rFonts w:ascii="Arial" w:hAnsi="Arial" w:cs="Arial"/>
                <w:sz w:val="16"/>
                <w:szCs w:val="16"/>
                <w:lang w:eastAsia="en-US"/>
              </w:rPr>
            </w:pPr>
            <w:r w:rsidRPr="00D25EFA">
              <w:rPr>
                <w:rFonts w:ascii="Arial Narrow" w:hAnsi="Arial Narrow"/>
                <w:sz w:val="14"/>
                <w:szCs w:val="14"/>
                <w:lang w:eastAsia="cs-CZ"/>
              </w:rPr>
              <w:t>NA</w:t>
            </w:r>
          </w:p>
        </w:tc>
        <w:tc>
          <w:tcPr>
            <w:tcW w:w="381" w:type="pct"/>
            <w:tcBorders>
              <w:top w:val="dotted" w:sz="4" w:space="0" w:color="auto"/>
            </w:tcBorders>
            <w:vAlign w:val="center"/>
          </w:tcPr>
          <w:p w:rsidR="005403A6" w:rsidRPr="006A2BF3" w:rsidRDefault="005403A6" w:rsidP="000A02D3">
            <w:pPr>
              <w:jc w:val="center"/>
              <w:rPr>
                <w:rFonts w:ascii="Arial" w:hAnsi="Arial" w:cs="Arial"/>
                <w:sz w:val="16"/>
                <w:szCs w:val="16"/>
                <w:lang w:eastAsia="en-US"/>
              </w:rPr>
            </w:pPr>
            <w:r w:rsidRPr="00D25EFA">
              <w:rPr>
                <w:rFonts w:ascii="Arial Narrow" w:hAnsi="Arial Narrow"/>
                <w:sz w:val="14"/>
                <w:szCs w:val="14"/>
                <w:lang w:eastAsia="cs-CZ"/>
              </w:rPr>
              <w:t>NA</w:t>
            </w:r>
          </w:p>
        </w:tc>
        <w:tc>
          <w:tcPr>
            <w:tcW w:w="381" w:type="pct"/>
            <w:tcBorders>
              <w:top w:val="dotted" w:sz="4" w:space="0" w:color="auto"/>
            </w:tcBorders>
            <w:vAlign w:val="center"/>
          </w:tcPr>
          <w:p w:rsidR="005403A6" w:rsidRPr="006A2BF3" w:rsidRDefault="005403A6" w:rsidP="000A02D3">
            <w:pPr>
              <w:jc w:val="center"/>
              <w:rPr>
                <w:rFonts w:ascii="Arial" w:hAnsi="Arial" w:cs="Arial"/>
                <w:b/>
                <w:sz w:val="16"/>
                <w:szCs w:val="16"/>
                <w:lang w:eastAsia="en-US"/>
              </w:rPr>
            </w:pPr>
            <w:r w:rsidRPr="00D25EFA">
              <w:rPr>
                <w:rFonts w:ascii="Arial Narrow" w:hAnsi="Arial Narrow"/>
                <w:b/>
                <w:sz w:val="14"/>
                <w:szCs w:val="14"/>
                <w:lang w:eastAsia="cs-CZ"/>
              </w:rPr>
              <w:t>NA</w:t>
            </w:r>
          </w:p>
        </w:tc>
        <w:tc>
          <w:tcPr>
            <w:tcW w:w="354" w:type="pct"/>
            <w:tcBorders>
              <w:top w:val="dotted" w:sz="4" w:space="0" w:color="auto"/>
              <w:right w:val="single" w:sz="6" w:space="0" w:color="auto"/>
            </w:tcBorders>
            <w:vAlign w:val="center"/>
          </w:tcPr>
          <w:p w:rsidR="005403A6" w:rsidRPr="006A2BF3" w:rsidRDefault="005403A6" w:rsidP="000A02D3">
            <w:pPr>
              <w:jc w:val="center"/>
              <w:rPr>
                <w:rFonts w:ascii="Arial" w:hAnsi="Arial" w:cs="Arial"/>
                <w:b/>
                <w:sz w:val="16"/>
                <w:szCs w:val="16"/>
                <w:lang w:eastAsia="en-US"/>
              </w:rPr>
            </w:pPr>
            <w:r w:rsidRPr="00D25EFA">
              <w:rPr>
                <w:rFonts w:ascii="Arial Narrow" w:hAnsi="Arial Narrow"/>
                <w:b/>
                <w:sz w:val="14"/>
                <w:szCs w:val="14"/>
                <w:lang w:eastAsia="cs-CZ"/>
              </w:rPr>
              <w:t>NA</w:t>
            </w:r>
          </w:p>
        </w:tc>
      </w:tr>
      <w:tr w:rsidR="002416B1" w:rsidRPr="006A2BF3" w:rsidTr="006A2BF3">
        <w:trPr>
          <w:trHeight w:val="20"/>
        </w:trPr>
        <w:tc>
          <w:tcPr>
            <w:tcW w:w="5000" w:type="pct"/>
            <w:gridSpan w:val="13"/>
            <w:tcBorders>
              <w:left w:val="single" w:sz="6" w:space="0" w:color="auto"/>
              <w:right w:val="single" w:sz="6" w:space="0" w:color="auto"/>
            </w:tcBorders>
            <w:shd w:val="clear" w:color="auto" w:fill="EAF1DD"/>
            <w:vAlign w:val="center"/>
          </w:tcPr>
          <w:p w:rsidR="002416B1" w:rsidRPr="00C266A4" w:rsidRDefault="002416B1" w:rsidP="000A02D3">
            <w:pPr>
              <w:rPr>
                <w:rFonts w:ascii="Arial" w:hAnsi="Arial" w:cs="Arial"/>
                <w:sz w:val="16"/>
                <w:szCs w:val="16"/>
                <w:lang w:eastAsia="cs-CZ"/>
              </w:rPr>
            </w:pPr>
          </w:p>
        </w:tc>
      </w:tr>
      <w:tr w:rsidR="005403A6" w:rsidRPr="006A2BF3" w:rsidTr="001540E7">
        <w:trPr>
          <w:trHeight w:val="20"/>
        </w:trPr>
        <w:tc>
          <w:tcPr>
            <w:tcW w:w="688" w:type="pct"/>
            <w:vMerge w:val="restart"/>
            <w:tcBorders>
              <w:left w:val="single" w:sz="6" w:space="0" w:color="auto"/>
            </w:tcBorders>
            <w:vAlign w:val="center"/>
          </w:tcPr>
          <w:p w:rsidR="005403A6" w:rsidRPr="00C266A4" w:rsidRDefault="005403A6" w:rsidP="000A02D3">
            <w:pPr>
              <w:rPr>
                <w:rFonts w:ascii="Arial" w:hAnsi="Arial" w:cs="Arial"/>
                <w:sz w:val="16"/>
                <w:szCs w:val="16"/>
                <w:lang w:eastAsia="en-US"/>
              </w:rPr>
            </w:pPr>
            <w:r w:rsidRPr="00C266A4">
              <w:rPr>
                <w:rFonts w:ascii="Arial" w:hAnsi="Arial" w:cs="Arial"/>
                <w:sz w:val="16"/>
                <w:szCs w:val="16"/>
                <w:lang w:eastAsia="en-US"/>
              </w:rPr>
              <w:t>počet účastníkov/</w:t>
            </w:r>
          </w:p>
          <w:p w:rsidR="005403A6" w:rsidRPr="00C266A4" w:rsidRDefault="005403A6" w:rsidP="000A02D3">
            <w:pPr>
              <w:rPr>
                <w:rFonts w:ascii="Arial" w:hAnsi="Arial" w:cs="Arial"/>
                <w:sz w:val="16"/>
                <w:szCs w:val="16"/>
                <w:lang w:eastAsia="en-US"/>
              </w:rPr>
            </w:pPr>
            <w:r w:rsidRPr="00C266A4">
              <w:rPr>
                <w:rFonts w:ascii="Arial" w:hAnsi="Arial" w:cs="Arial"/>
                <w:sz w:val="16"/>
                <w:szCs w:val="16"/>
                <w:lang w:eastAsia="en-US"/>
              </w:rPr>
              <w:t>návštevníkov</w:t>
            </w:r>
          </w:p>
          <w:p w:rsidR="005403A6" w:rsidRPr="00C266A4" w:rsidRDefault="005403A6" w:rsidP="000A02D3">
            <w:pPr>
              <w:rPr>
                <w:rFonts w:ascii="Arial" w:hAnsi="Arial" w:cs="Arial"/>
                <w:sz w:val="16"/>
                <w:szCs w:val="16"/>
                <w:lang w:eastAsia="cs-CZ"/>
              </w:rPr>
            </w:pPr>
            <w:r w:rsidRPr="00C266A4">
              <w:rPr>
                <w:rFonts w:ascii="Arial" w:hAnsi="Arial" w:cs="Arial"/>
                <w:sz w:val="16"/>
                <w:szCs w:val="16"/>
                <w:lang w:eastAsia="en-US"/>
              </w:rPr>
              <w:t>seminárov, konferencií</w:t>
            </w:r>
          </w:p>
        </w:tc>
        <w:tc>
          <w:tcPr>
            <w:tcW w:w="618" w:type="pct"/>
            <w:tcBorders>
              <w:bottom w:val="dotted" w:sz="4" w:space="0" w:color="auto"/>
            </w:tcBorders>
            <w:vAlign w:val="center"/>
          </w:tcPr>
          <w:p w:rsidR="005403A6" w:rsidRPr="006A2BF3" w:rsidRDefault="005403A6" w:rsidP="000A02D3">
            <w:pPr>
              <w:rPr>
                <w:rFonts w:ascii="Arial" w:hAnsi="Arial" w:cs="Arial"/>
                <w:sz w:val="16"/>
                <w:szCs w:val="16"/>
                <w:lang w:eastAsia="en-US"/>
              </w:rPr>
            </w:pPr>
            <w:r w:rsidRPr="006A2BF3">
              <w:rPr>
                <w:rFonts w:ascii="Arial" w:hAnsi="Arial" w:cs="Arial"/>
                <w:sz w:val="16"/>
                <w:szCs w:val="16"/>
                <w:lang w:eastAsia="en-US"/>
              </w:rPr>
              <w:t>Dosiahnutý výsledok</w:t>
            </w:r>
          </w:p>
        </w:tc>
        <w:tc>
          <w:tcPr>
            <w:tcW w:w="293" w:type="pct"/>
            <w:tcBorders>
              <w:bottom w:val="dotted" w:sz="4" w:space="0" w:color="auto"/>
            </w:tcBorders>
            <w:vAlign w:val="center"/>
          </w:tcPr>
          <w:p w:rsidR="005403A6" w:rsidRPr="006A2BF3" w:rsidRDefault="005403A6" w:rsidP="000A02D3">
            <w:pPr>
              <w:jc w:val="center"/>
              <w:rPr>
                <w:rFonts w:ascii="Arial" w:hAnsi="Arial" w:cs="Arial"/>
                <w:b/>
                <w:sz w:val="16"/>
                <w:szCs w:val="16"/>
                <w:lang w:eastAsia="cs-CZ"/>
              </w:rPr>
            </w:pPr>
            <w:r w:rsidRPr="00D25EFA">
              <w:rPr>
                <w:rFonts w:ascii="Arial Narrow" w:hAnsi="Arial Narrow"/>
                <w:sz w:val="14"/>
                <w:szCs w:val="14"/>
                <w:lang w:eastAsia="cs-CZ"/>
              </w:rPr>
              <w:t>2570</w:t>
            </w:r>
          </w:p>
        </w:tc>
        <w:tc>
          <w:tcPr>
            <w:tcW w:w="381" w:type="pct"/>
            <w:tcBorders>
              <w:bottom w:val="dotted" w:sz="4" w:space="0" w:color="auto"/>
            </w:tcBorders>
            <w:vAlign w:val="center"/>
          </w:tcPr>
          <w:p w:rsidR="005403A6" w:rsidRPr="006A2BF3" w:rsidRDefault="005403A6" w:rsidP="000A02D3">
            <w:pPr>
              <w:jc w:val="center"/>
              <w:rPr>
                <w:rFonts w:ascii="Arial" w:hAnsi="Arial" w:cs="Arial"/>
                <w:b/>
                <w:sz w:val="16"/>
                <w:szCs w:val="16"/>
                <w:lang w:eastAsia="cs-CZ"/>
              </w:rPr>
            </w:pPr>
            <w:r w:rsidRPr="00D25EFA">
              <w:rPr>
                <w:rFonts w:ascii="Arial Narrow" w:hAnsi="Arial Narrow"/>
                <w:sz w:val="14"/>
                <w:szCs w:val="14"/>
                <w:lang w:eastAsia="cs-CZ"/>
              </w:rPr>
              <w:t>3025</w:t>
            </w:r>
          </w:p>
        </w:tc>
        <w:tc>
          <w:tcPr>
            <w:tcW w:w="381" w:type="pct"/>
            <w:tcBorders>
              <w:bottom w:val="dotted" w:sz="4" w:space="0" w:color="auto"/>
            </w:tcBorders>
            <w:vAlign w:val="center"/>
          </w:tcPr>
          <w:p w:rsidR="005403A6" w:rsidRPr="006A2BF3" w:rsidRDefault="005403A6" w:rsidP="000A02D3">
            <w:pPr>
              <w:jc w:val="center"/>
              <w:rPr>
                <w:rFonts w:ascii="Arial" w:hAnsi="Arial" w:cs="Arial"/>
                <w:b/>
                <w:sz w:val="16"/>
                <w:szCs w:val="16"/>
                <w:lang w:eastAsia="en-US"/>
              </w:rPr>
            </w:pPr>
            <w:r w:rsidRPr="00D25EFA">
              <w:rPr>
                <w:rFonts w:ascii="Arial Narrow" w:hAnsi="Arial Narrow"/>
                <w:sz w:val="14"/>
                <w:szCs w:val="14"/>
              </w:rPr>
              <w:t>3565</w:t>
            </w:r>
          </w:p>
        </w:tc>
        <w:tc>
          <w:tcPr>
            <w:tcW w:w="381" w:type="pct"/>
            <w:gridSpan w:val="2"/>
            <w:tcBorders>
              <w:bottom w:val="dotted" w:sz="4" w:space="0" w:color="auto"/>
            </w:tcBorders>
            <w:vAlign w:val="center"/>
          </w:tcPr>
          <w:p w:rsidR="005403A6" w:rsidRPr="006A2BF3" w:rsidRDefault="005403A6" w:rsidP="000A02D3">
            <w:pPr>
              <w:jc w:val="center"/>
              <w:rPr>
                <w:rFonts w:ascii="Arial" w:hAnsi="Arial" w:cs="Arial"/>
                <w:b/>
                <w:sz w:val="16"/>
                <w:szCs w:val="16"/>
                <w:lang w:eastAsia="en-US"/>
              </w:rPr>
            </w:pPr>
            <w:r w:rsidRPr="00D25EFA">
              <w:rPr>
                <w:rFonts w:ascii="Arial Narrow" w:hAnsi="Arial Narrow"/>
                <w:sz w:val="14"/>
                <w:szCs w:val="14"/>
              </w:rPr>
              <w:t>9909</w:t>
            </w:r>
          </w:p>
        </w:tc>
        <w:tc>
          <w:tcPr>
            <w:tcW w:w="381" w:type="pct"/>
            <w:tcBorders>
              <w:bottom w:val="dotted" w:sz="4" w:space="0" w:color="auto"/>
            </w:tcBorders>
            <w:vAlign w:val="center"/>
          </w:tcPr>
          <w:p w:rsidR="005403A6" w:rsidRPr="006A2BF3" w:rsidRDefault="005403A6" w:rsidP="000A02D3">
            <w:pPr>
              <w:jc w:val="center"/>
              <w:rPr>
                <w:rFonts w:ascii="Arial" w:hAnsi="Arial" w:cs="Arial"/>
                <w:b/>
                <w:sz w:val="16"/>
                <w:szCs w:val="16"/>
                <w:highlight w:val="yellow"/>
                <w:lang w:eastAsia="en-US"/>
              </w:rPr>
            </w:pPr>
            <w:r w:rsidRPr="00D25EFA">
              <w:rPr>
                <w:rFonts w:ascii="Arial Narrow" w:hAnsi="Arial Narrow"/>
                <w:sz w:val="14"/>
                <w:szCs w:val="14"/>
                <w:lang w:eastAsia="cs-CZ"/>
              </w:rPr>
              <w:t>15794</w:t>
            </w:r>
          </w:p>
        </w:tc>
        <w:tc>
          <w:tcPr>
            <w:tcW w:w="381" w:type="pct"/>
            <w:tcBorders>
              <w:bottom w:val="dotted" w:sz="4" w:space="0" w:color="auto"/>
            </w:tcBorders>
            <w:vAlign w:val="center"/>
          </w:tcPr>
          <w:p w:rsidR="005403A6" w:rsidRPr="006A2BF3" w:rsidRDefault="005403A6" w:rsidP="000A02D3">
            <w:pPr>
              <w:jc w:val="center"/>
              <w:rPr>
                <w:rFonts w:ascii="Arial" w:hAnsi="Arial" w:cs="Arial"/>
                <w:sz w:val="16"/>
                <w:szCs w:val="16"/>
                <w:lang w:eastAsia="en-US"/>
              </w:rPr>
            </w:pPr>
            <w:r w:rsidRPr="00D25EFA">
              <w:rPr>
                <w:rFonts w:ascii="Arial Narrow" w:hAnsi="Arial Narrow"/>
                <w:sz w:val="14"/>
                <w:szCs w:val="14"/>
                <w:lang w:eastAsia="cs-CZ"/>
              </w:rPr>
              <w:t>18702</w:t>
            </w:r>
          </w:p>
        </w:tc>
        <w:tc>
          <w:tcPr>
            <w:tcW w:w="381" w:type="pct"/>
            <w:tcBorders>
              <w:bottom w:val="dotted" w:sz="4" w:space="0" w:color="auto"/>
            </w:tcBorders>
            <w:vAlign w:val="center"/>
          </w:tcPr>
          <w:p w:rsidR="005403A6" w:rsidRPr="006A2BF3" w:rsidRDefault="005403A6" w:rsidP="000A02D3">
            <w:pPr>
              <w:jc w:val="center"/>
              <w:rPr>
                <w:rFonts w:ascii="Arial" w:hAnsi="Arial" w:cs="Arial"/>
                <w:sz w:val="16"/>
                <w:szCs w:val="16"/>
                <w:lang w:eastAsia="en-US"/>
              </w:rPr>
            </w:pPr>
            <w:r w:rsidRPr="00D25EFA">
              <w:rPr>
                <w:rFonts w:ascii="Arial Narrow" w:hAnsi="Arial Narrow"/>
                <w:sz w:val="14"/>
                <w:szCs w:val="14"/>
                <w:lang w:eastAsia="cs-CZ"/>
              </w:rPr>
              <w:t>NA</w:t>
            </w:r>
          </w:p>
        </w:tc>
        <w:tc>
          <w:tcPr>
            <w:tcW w:w="381" w:type="pct"/>
            <w:tcBorders>
              <w:bottom w:val="dotted" w:sz="4" w:space="0" w:color="auto"/>
            </w:tcBorders>
            <w:vAlign w:val="center"/>
          </w:tcPr>
          <w:p w:rsidR="005403A6" w:rsidRPr="006A2BF3" w:rsidRDefault="005403A6" w:rsidP="000A02D3">
            <w:pPr>
              <w:jc w:val="center"/>
              <w:rPr>
                <w:rFonts w:ascii="Arial" w:hAnsi="Arial" w:cs="Arial"/>
                <w:sz w:val="16"/>
                <w:szCs w:val="16"/>
                <w:lang w:eastAsia="en-US"/>
              </w:rPr>
            </w:pPr>
            <w:r w:rsidRPr="00D25EFA">
              <w:rPr>
                <w:rFonts w:ascii="Arial Narrow" w:hAnsi="Arial Narrow"/>
                <w:sz w:val="14"/>
                <w:szCs w:val="14"/>
                <w:lang w:eastAsia="cs-CZ"/>
              </w:rPr>
              <w:t>NA</w:t>
            </w:r>
          </w:p>
        </w:tc>
        <w:tc>
          <w:tcPr>
            <w:tcW w:w="381" w:type="pct"/>
            <w:tcBorders>
              <w:bottom w:val="dotted" w:sz="4" w:space="0" w:color="auto"/>
            </w:tcBorders>
            <w:vAlign w:val="center"/>
          </w:tcPr>
          <w:p w:rsidR="005403A6" w:rsidRPr="006A2BF3" w:rsidRDefault="005403A6" w:rsidP="000A02D3">
            <w:pPr>
              <w:jc w:val="center"/>
              <w:rPr>
                <w:rFonts w:ascii="Arial" w:hAnsi="Arial" w:cs="Arial"/>
                <w:b/>
                <w:sz w:val="16"/>
                <w:szCs w:val="16"/>
                <w:lang w:eastAsia="en-US"/>
              </w:rPr>
            </w:pPr>
            <w:r w:rsidRPr="00D25EFA">
              <w:rPr>
                <w:rFonts w:ascii="Arial Narrow" w:hAnsi="Arial Narrow"/>
                <w:b/>
                <w:sz w:val="14"/>
                <w:szCs w:val="14"/>
                <w:lang w:eastAsia="cs-CZ"/>
              </w:rPr>
              <w:t>NA</w:t>
            </w:r>
          </w:p>
        </w:tc>
        <w:tc>
          <w:tcPr>
            <w:tcW w:w="354" w:type="pct"/>
            <w:tcBorders>
              <w:bottom w:val="dotted" w:sz="4" w:space="0" w:color="auto"/>
              <w:right w:val="single" w:sz="6" w:space="0" w:color="auto"/>
            </w:tcBorders>
            <w:vAlign w:val="center"/>
          </w:tcPr>
          <w:p w:rsidR="005403A6" w:rsidRPr="006A2BF3" w:rsidRDefault="005403A6" w:rsidP="000A02D3">
            <w:pPr>
              <w:jc w:val="center"/>
              <w:rPr>
                <w:rFonts w:ascii="Arial" w:hAnsi="Arial" w:cs="Arial"/>
                <w:b/>
                <w:sz w:val="16"/>
                <w:szCs w:val="16"/>
                <w:lang w:eastAsia="cs-CZ"/>
              </w:rPr>
            </w:pPr>
            <w:r w:rsidRPr="00D25EFA">
              <w:rPr>
                <w:rFonts w:ascii="Arial Narrow" w:hAnsi="Arial Narrow"/>
                <w:b/>
                <w:sz w:val="14"/>
                <w:szCs w:val="14"/>
                <w:lang w:eastAsia="cs-CZ"/>
              </w:rPr>
              <w:t>18702</w:t>
            </w:r>
          </w:p>
        </w:tc>
      </w:tr>
      <w:tr w:rsidR="005403A6" w:rsidRPr="006A2BF3" w:rsidTr="001540E7">
        <w:trPr>
          <w:trHeight w:val="20"/>
        </w:trPr>
        <w:tc>
          <w:tcPr>
            <w:tcW w:w="688" w:type="pct"/>
            <w:vMerge/>
            <w:tcBorders>
              <w:left w:val="single" w:sz="6" w:space="0" w:color="auto"/>
            </w:tcBorders>
            <w:vAlign w:val="center"/>
          </w:tcPr>
          <w:p w:rsidR="005403A6" w:rsidRPr="00C266A4" w:rsidRDefault="005403A6" w:rsidP="000A02D3">
            <w:pPr>
              <w:rPr>
                <w:rFonts w:ascii="Arial" w:hAnsi="Arial" w:cs="Arial"/>
                <w:sz w:val="16"/>
                <w:szCs w:val="16"/>
                <w:lang w:eastAsia="cs-CZ"/>
              </w:rPr>
            </w:pPr>
          </w:p>
        </w:tc>
        <w:tc>
          <w:tcPr>
            <w:tcW w:w="618" w:type="pct"/>
            <w:tcBorders>
              <w:top w:val="dotted" w:sz="4" w:space="0" w:color="auto"/>
              <w:bottom w:val="dotted" w:sz="4" w:space="0" w:color="auto"/>
            </w:tcBorders>
            <w:vAlign w:val="center"/>
          </w:tcPr>
          <w:p w:rsidR="005403A6" w:rsidRPr="006A2BF3" w:rsidRDefault="005403A6" w:rsidP="000A02D3">
            <w:pPr>
              <w:rPr>
                <w:rFonts w:ascii="Arial" w:hAnsi="Arial" w:cs="Arial"/>
                <w:sz w:val="16"/>
                <w:szCs w:val="16"/>
                <w:lang w:eastAsia="en-US"/>
              </w:rPr>
            </w:pPr>
            <w:r w:rsidRPr="006A2BF3">
              <w:rPr>
                <w:rFonts w:ascii="Arial" w:hAnsi="Arial" w:cs="Arial"/>
                <w:sz w:val="16"/>
                <w:szCs w:val="16"/>
                <w:lang w:eastAsia="en-US"/>
              </w:rPr>
              <w:t>Cieľ</w:t>
            </w:r>
          </w:p>
        </w:tc>
        <w:tc>
          <w:tcPr>
            <w:tcW w:w="293" w:type="pct"/>
            <w:tcBorders>
              <w:top w:val="dotted" w:sz="4" w:space="0" w:color="auto"/>
              <w:bottom w:val="dotted" w:sz="4" w:space="0" w:color="auto"/>
            </w:tcBorders>
            <w:vAlign w:val="center"/>
          </w:tcPr>
          <w:p w:rsidR="005403A6" w:rsidRPr="006A2BF3" w:rsidRDefault="005403A6" w:rsidP="000A02D3">
            <w:pPr>
              <w:jc w:val="center"/>
              <w:rPr>
                <w:rFonts w:ascii="Arial" w:hAnsi="Arial" w:cs="Arial"/>
                <w:sz w:val="16"/>
                <w:szCs w:val="16"/>
                <w:lang w:eastAsia="cs-CZ"/>
              </w:rPr>
            </w:pPr>
            <w:r w:rsidRPr="00D25EFA">
              <w:rPr>
                <w:rFonts w:ascii="Arial Narrow" w:hAnsi="Arial Narrow"/>
                <w:sz w:val="14"/>
                <w:szCs w:val="14"/>
                <w:lang w:eastAsia="cs-CZ"/>
              </w:rPr>
              <w:t>NA</w:t>
            </w:r>
          </w:p>
        </w:tc>
        <w:tc>
          <w:tcPr>
            <w:tcW w:w="381" w:type="pct"/>
            <w:tcBorders>
              <w:top w:val="dotted" w:sz="4" w:space="0" w:color="auto"/>
              <w:bottom w:val="dotted" w:sz="4" w:space="0" w:color="auto"/>
            </w:tcBorders>
            <w:vAlign w:val="center"/>
          </w:tcPr>
          <w:p w:rsidR="005403A6" w:rsidRPr="006A2BF3" w:rsidRDefault="005403A6" w:rsidP="000A02D3">
            <w:pPr>
              <w:jc w:val="center"/>
              <w:rPr>
                <w:rFonts w:ascii="Arial" w:hAnsi="Arial" w:cs="Arial"/>
                <w:sz w:val="16"/>
                <w:szCs w:val="16"/>
                <w:lang w:eastAsia="en-US"/>
              </w:rPr>
            </w:pPr>
            <w:r w:rsidRPr="00D25EFA">
              <w:rPr>
                <w:rFonts w:ascii="Arial Narrow" w:hAnsi="Arial Narrow"/>
                <w:sz w:val="14"/>
                <w:szCs w:val="14"/>
                <w:lang w:eastAsia="cs-CZ"/>
              </w:rPr>
              <w:t>NA</w:t>
            </w:r>
          </w:p>
        </w:tc>
        <w:tc>
          <w:tcPr>
            <w:tcW w:w="381" w:type="pct"/>
            <w:tcBorders>
              <w:top w:val="dotted" w:sz="4" w:space="0" w:color="auto"/>
              <w:bottom w:val="dotted" w:sz="4" w:space="0" w:color="auto"/>
            </w:tcBorders>
            <w:vAlign w:val="center"/>
          </w:tcPr>
          <w:p w:rsidR="005403A6" w:rsidRPr="006A2BF3" w:rsidRDefault="005403A6" w:rsidP="000A02D3">
            <w:pPr>
              <w:jc w:val="center"/>
              <w:rPr>
                <w:rFonts w:ascii="Arial" w:hAnsi="Arial" w:cs="Arial"/>
                <w:sz w:val="16"/>
                <w:szCs w:val="16"/>
                <w:lang w:eastAsia="en-US"/>
              </w:rPr>
            </w:pPr>
            <w:r w:rsidRPr="00D25EFA">
              <w:rPr>
                <w:rFonts w:ascii="Arial Narrow" w:hAnsi="Arial Narrow"/>
                <w:sz w:val="14"/>
                <w:szCs w:val="14"/>
                <w:lang w:eastAsia="cs-CZ"/>
              </w:rPr>
              <w:t>NA</w:t>
            </w:r>
          </w:p>
        </w:tc>
        <w:tc>
          <w:tcPr>
            <w:tcW w:w="381" w:type="pct"/>
            <w:gridSpan w:val="2"/>
            <w:tcBorders>
              <w:top w:val="dotted" w:sz="4" w:space="0" w:color="auto"/>
              <w:bottom w:val="dotted" w:sz="4" w:space="0" w:color="auto"/>
            </w:tcBorders>
            <w:vAlign w:val="center"/>
          </w:tcPr>
          <w:p w:rsidR="005403A6" w:rsidRPr="006A2BF3" w:rsidRDefault="005403A6" w:rsidP="000A02D3">
            <w:pPr>
              <w:jc w:val="center"/>
              <w:rPr>
                <w:rFonts w:ascii="Arial" w:hAnsi="Arial" w:cs="Arial"/>
                <w:sz w:val="16"/>
                <w:szCs w:val="16"/>
                <w:lang w:eastAsia="en-US"/>
              </w:rPr>
            </w:pPr>
            <w:r w:rsidRPr="00D25EFA">
              <w:rPr>
                <w:rFonts w:ascii="Arial Narrow" w:hAnsi="Arial Narrow"/>
                <w:sz w:val="14"/>
                <w:szCs w:val="14"/>
                <w:lang w:eastAsia="cs-CZ"/>
              </w:rPr>
              <w:t>NA</w:t>
            </w:r>
          </w:p>
        </w:tc>
        <w:tc>
          <w:tcPr>
            <w:tcW w:w="381" w:type="pct"/>
            <w:tcBorders>
              <w:top w:val="dotted" w:sz="4" w:space="0" w:color="auto"/>
              <w:bottom w:val="dotted" w:sz="4" w:space="0" w:color="auto"/>
            </w:tcBorders>
            <w:vAlign w:val="center"/>
          </w:tcPr>
          <w:p w:rsidR="005403A6" w:rsidRPr="006A2BF3" w:rsidRDefault="005403A6" w:rsidP="000A02D3">
            <w:pPr>
              <w:jc w:val="center"/>
              <w:rPr>
                <w:rFonts w:ascii="Arial" w:hAnsi="Arial" w:cs="Arial"/>
                <w:sz w:val="16"/>
                <w:szCs w:val="16"/>
                <w:lang w:eastAsia="en-US"/>
              </w:rPr>
            </w:pPr>
            <w:r w:rsidRPr="00D25EFA">
              <w:rPr>
                <w:rFonts w:ascii="Arial Narrow" w:hAnsi="Arial Narrow"/>
                <w:sz w:val="14"/>
                <w:szCs w:val="14"/>
                <w:lang w:eastAsia="cs-CZ"/>
              </w:rPr>
              <w:t>NA</w:t>
            </w:r>
          </w:p>
        </w:tc>
        <w:tc>
          <w:tcPr>
            <w:tcW w:w="381" w:type="pct"/>
            <w:tcBorders>
              <w:top w:val="dotted" w:sz="4" w:space="0" w:color="auto"/>
              <w:bottom w:val="dotted" w:sz="4" w:space="0" w:color="auto"/>
            </w:tcBorders>
            <w:vAlign w:val="center"/>
          </w:tcPr>
          <w:p w:rsidR="005403A6" w:rsidRPr="006A2BF3" w:rsidRDefault="005403A6" w:rsidP="000A02D3">
            <w:pPr>
              <w:jc w:val="center"/>
              <w:rPr>
                <w:rFonts w:ascii="Arial" w:hAnsi="Arial" w:cs="Arial"/>
                <w:sz w:val="16"/>
                <w:szCs w:val="16"/>
                <w:lang w:eastAsia="en-US"/>
              </w:rPr>
            </w:pPr>
            <w:r w:rsidRPr="00D25EFA">
              <w:rPr>
                <w:rFonts w:ascii="Arial Narrow" w:hAnsi="Arial Narrow"/>
                <w:sz w:val="14"/>
                <w:szCs w:val="14"/>
                <w:lang w:eastAsia="cs-CZ"/>
              </w:rPr>
              <w:t>NA</w:t>
            </w:r>
          </w:p>
        </w:tc>
        <w:tc>
          <w:tcPr>
            <w:tcW w:w="381" w:type="pct"/>
            <w:tcBorders>
              <w:top w:val="dotted" w:sz="4" w:space="0" w:color="auto"/>
              <w:bottom w:val="dotted" w:sz="4" w:space="0" w:color="auto"/>
            </w:tcBorders>
            <w:vAlign w:val="center"/>
          </w:tcPr>
          <w:p w:rsidR="005403A6" w:rsidRPr="006A2BF3" w:rsidRDefault="005403A6" w:rsidP="000A02D3">
            <w:pPr>
              <w:jc w:val="center"/>
              <w:rPr>
                <w:rFonts w:ascii="Arial" w:hAnsi="Arial" w:cs="Arial"/>
                <w:sz w:val="16"/>
                <w:szCs w:val="16"/>
                <w:lang w:eastAsia="en-US"/>
              </w:rPr>
            </w:pPr>
            <w:r w:rsidRPr="00D25EFA">
              <w:rPr>
                <w:rFonts w:ascii="Arial Narrow" w:hAnsi="Arial Narrow"/>
                <w:sz w:val="14"/>
                <w:szCs w:val="14"/>
                <w:lang w:eastAsia="cs-CZ"/>
              </w:rPr>
              <w:t>NA</w:t>
            </w:r>
          </w:p>
        </w:tc>
        <w:tc>
          <w:tcPr>
            <w:tcW w:w="381" w:type="pct"/>
            <w:tcBorders>
              <w:top w:val="dotted" w:sz="4" w:space="0" w:color="auto"/>
              <w:bottom w:val="dotted" w:sz="4" w:space="0" w:color="auto"/>
            </w:tcBorders>
            <w:vAlign w:val="center"/>
          </w:tcPr>
          <w:p w:rsidR="005403A6" w:rsidRPr="006A2BF3" w:rsidRDefault="005403A6" w:rsidP="000A02D3">
            <w:pPr>
              <w:jc w:val="center"/>
              <w:rPr>
                <w:rFonts w:ascii="Arial" w:hAnsi="Arial" w:cs="Arial"/>
                <w:sz w:val="16"/>
                <w:szCs w:val="16"/>
                <w:lang w:eastAsia="en-US"/>
              </w:rPr>
            </w:pPr>
            <w:r w:rsidRPr="00D25EFA">
              <w:rPr>
                <w:rFonts w:ascii="Arial Narrow" w:hAnsi="Arial Narrow"/>
                <w:sz w:val="14"/>
                <w:szCs w:val="14"/>
                <w:lang w:eastAsia="cs-CZ"/>
              </w:rPr>
              <w:t>NA</w:t>
            </w:r>
          </w:p>
        </w:tc>
        <w:tc>
          <w:tcPr>
            <w:tcW w:w="381" w:type="pct"/>
            <w:tcBorders>
              <w:top w:val="dotted" w:sz="4" w:space="0" w:color="auto"/>
              <w:bottom w:val="dotted" w:sz="4" w:space="0" w:color="auto"/>
            </w:tcBorders>
            <w:vAlign w:val="center"/>
          </w:tcPr>
          <w:p w:rsidR="005403A6" w:rsidRPr="006A2BF3" w:rsidRDefault="005403A6" w:rsidP="000A02D3">
            <w:pPr>
              <w:jc w:val="center"/>
              <w:rPr>
                <w:rFonts w:ascii="Arial" w:hAnsi="Arial" w:cs="Arial"/>
                <w:b/>
                <w:sz w:val="16"/>
                <w:szCs w:val="16"/>
                <w:lang w:eastAsia="cs-CZ"/>
              </w:rPr>
            </w:pPr>
            <w:r w:rsidRPr="00D25EFA">
              <w:rPr>
                <w:rFonts w:ascii="Arial Narrow" w:hAnsi="Arial Narrow"/>
                <w:b/>
                <w:sz w:val="14"/>
                <w:szCs w:val="14"/>
                <w:lang w:eastAsia="cs-CZ"/>
              </w:rPr>
              <w:t>5000</w:t>
            </w:r>
          </w:p>
        </w:tc>
        <w:tc>
          <w:tcPr>
            <w:tcW w:w="354" w:type="pct"/>
            <w:tcBorders>
              <w:top w:val="dotted" w:sz="4" w:space="0" w:color="auto"/>
              <w:bottom w:val="dotted" w:sz="4" w:space="0" w:color="auto"/>
              <w:right w:val="single" w:sz="6" w:space="0" w:color="auto"/>
            </w:tcBorders>
            <w:vAlign w:val="center"/>
          </w:tcPr>
          <w:p w:rsidR="005403A6" w:rsidRPr="006A2BF3" w:rsidRDefault="005403A6" w:rsidP="000A02D3">
            <w:pPr>
              <w:jc w:val="center"/>
              <w:rPr>
                <w:rFonts w:ascii="Arial" w:hAnsi="Arial" w:cs="Arial"/>
                <w:b/>
                <w:sz w:val="16"/>
                <w:szCs w:val="16"/>
                <w:lang w:eastAsia="cs-CZ"/>
              </w:rPr>
            </w:pPr>
            <w:r w:rsidRPr="00D25EFA">
              <w:rPr>
                <w:rFonts w:ascii="Arial Narrow" w:hAnsi="Arial Narrow"/>
                <w:b/>
                <w:sz w:val="14"/>
                <w:szCs w:val="14"/>
                <w:lang w:eastAsia="cs-CZ"/>
              </w:rPr>
              <w:t>NA</w:t>
            </w:r>
          </w:p>
        </w:tc>
      </w:tr>
      <w:tr w:rsidR="005403A6" w:rsidRPr="006A2BF3" w:rsidTr="001540E7">
        <w:trPr>
          <w:trHeight w:val="20"/>
        </w:trPr>
        <w:tc>
          <w:tcPr>
            <w:tcW w:w="688" w:type="pct"/>
            <w:vMerge/>
            <w:tcBorders>
              <w:left w:val="single" w:sz="6" w:space="0" w:color="auto"/>
            </w:tcBorders>
            <w:vAlign w:val="center"/>
          </w:tcPr>
          <w:p w:rsidR="005403A6" w:rsidRPr="00C266A4" w:rsidRDefault="005403A6" w:rsidP="000A02D3">
            <w:pPr>
              <w:rPr>
                <w:rFonts w:ascii="Arial" w:hAnsi="Arial" w:cs="Arial"/>
                <w:sz w:val="16"/>
                <w:szCs w:val="16"/>
                <w:lang w:eastAsia="cs-CZ"/>
              </w:rPr>
            </w:pPr>
          </w:p>
        </w:tc>
        <w:tc>
          <w:tcPr>
            <w:tcW w:w="618" w:type="pct"/>
            <w:tcBorders>
              <w:top w:val="dotted" w:sz="4" w:space="0" w:color="auto"/>
            </w:tcBorders>
            <w:vAlign w:val="center"/>
          </w:tcPr>
          <w:p w:rsidR="005403A6" w:rsidRPr="006A2BF3" w:rsidRDefault="005403A6" w:rsidP="000A02D3">
            <w:pPr>
              <w:rPr>
                <w:rFonts w:ascii="Arial" w:hAnsi="Arial" w:cs="Arial"/>
                <w:sz w:val="16"/>
                <w:szCs w:val="16"/>
                <w:lang w:eastAsia="en-US"/>
              </w:rPr>
            </w:pPr>
            <w:r w:rsidRPr="006A2BF3">
              <w:rPr>
                <w:rFonts w:ascii="Arial" w:hAnsi="Arial" w:cs="Arial"/>
                <w:sz w:val="16"/>
                <w:szCs w:val="16"/>
                <w:lang w:eastAsia="en-US"/>
              </w:rPr>
              <w:t>Východisko</w:t>
            </w:r>
          </w:p>
        </w:tc>
        <w:tc>
          <w:tcPr>
            <w:tcW w:w="293" w:type="pct"/>
            <w:tcBorders>
              <w:top w:val="dotted" w:sz="4" w:space="0" w:color="auto"/>
            </w:tcBorders>
            <w:vAlign w:val="center"/>
          </w:tcPr>
          <w:p w:rsidR="005403A6" w:rsidRPr="006A2BF3" w:rsidRDefault="005403A6" w:rsidP="000A02D3">
            <w:pPr>
              <w:jc w:val="center"/>
              <w:rPr>
                <w:rFonts w:ascii="Arial" w:hAnsi="Arial" w:cs="Arial"/>
                <w:b/>
                <w:sz w:val="16"/>
                <w:szCs w:val="16"/>
                <w:lang w:eastAsia="cs-CZ"/>
              </w:rPr>
            </w:pPr>
            <w:r w:rsidRPr="00D25EFA">
              <w:rPr>
                <w:rFonts w:ascii="Arial Narrow" w:hAnsi="Arial Narrow"/>
                <w:sz w:val="14"/>
                <w:szCs w:val="14"/>
                <w:lang w:eastAsia="cs-CZ"/>
              </w:rPr>
              <w:t>0</w:t>
            </w:r>
          </w:p>
        </w:tc>
        <w:tc>
          <w:tcPr>
            <w:tcW w:w="381" w:type="pct"/>
            <w:tcBorders>
              <w:top w:val="dotted" w:sz="4" w:space="0" w:color="auto"/>
            </w:tcBorders>
            <w:vAlign w:val="center"/>
          </w:tcPr>
          <w:p w:rsidR="005403A6" w:rsidRPr="006A2BF3" w:rsidRDefault="005403A6" w:rsidP="000A02D3">
            <w:pPr>
              <w:jc w:val="center"/>
              <w:rPr>
                <w:rFonts w:ascii="Arial" w:hAnsi="Arial" w:cs="Arial"/>
                <w:sz w:val="16"/>
                <w:szCs w:val="16"/>
                <w:lang w:eastAsia="en-US"/>
              </w:rPr>
            </w:pPr>
            <w:r w:rsidRPr="00D25EFA">
              <w:rPr>
                <w:rFonts w:ascii="Arial Narrow" w:hAnsi="Arial Narrow"/>
                <w:sz w:val="14"/>
                <w:szCs w:val="14"/>
                <w:lang w:eastAsia="cs-CZ"/>
              </w:rPr>
              <w:t>NA</w:t>
            </w:r>
          </w:p>
        </w:tc>
        <w:tc>
          <w:tcPr>
            <w:tcW w:w="381" w:type="pct"/>
            <w:tcBorders>
              <w:top w:val="dotted" w:sz="4" w:space="0" w:color="auto"/>
            </w:tcBorders>
            <w:vAlign w:val="center"/>
          </w:tcPr>
          <w:p w:rsidR="005403A6" w:rsidRPr="006A2BF3" w:rsidRDefault="005403A6" w:rsidP="000A02D3">
            <w:pPr>
              <w:jc w:val="center"/>
              <w:rPr>
                <w:rFonts w:ascii="Arial" w:hAnsi="Arial" w:cs="Arial"/>
                <w:sz w:val="16"/>
                <w:szCs w:val="16"/>
                <w:lang w:eastAsia="en-US"/>
              </w:rPr>
            </w:pPr>
            <w:r w:rsidRPr="00D25EFA">
              <w:rPr>
                <w:rFonts w:ascii="Arial Narrow" w:hAnsi="Arial Narrow"/>
                <w:sz w:val="14"/>
                <w:szCs w:val="14"/>
                <w:lang w:eastAsia="cs-CZ"/>
              </w:rPr>
              <w:t>NA</w:t>
            </w:r>
          </w:p>
        </w:tc>
        <w:tc>
          <w:tcPr>
            <w:tcW w:w="381" w:type="pct"/>
            <w:gridSpan w:val="2"/>
            <w:tcBorders>
              <w:top w:val="dotted" w:sz="4" w:space="0" w:color="auto"/>
            </w:tcBorders>
            <w:vAlign w:val="center"/>
          </w:tcPr>
          <w:p w:rsidR="005403A6" w:rsidRPr="006A2BF3" w:rsidRDefault="005403A6" w:rsidP="000A02D3">
            <w:pPr>
              <w:jc w:val="center"/>
              <w:rPr>
                <w:rFonts w:ascii="Arial" w:hAnsi="Arial" w:cs="Arial"/>
                <w:sz w:val="16"/>
                <w:szCs w:val="16"/>
                <w:lang w:eastAsia="en-US"/>
              </w:rPr>
            </w:pPr>
            <w:r w:rsidRPr="00D25EFA">
              <w:rPr>
                <w:rFonts w:ascii="Arial Narrow" w:hAnsi="Arial Narrow"/>
                <w:sz w:val="14"/>
                <w:szCs w:val="14"/>
                <w:lang w:eastAsia="cs-CZ"/>
              </w:rPr>
              <w:t>NA</w:t>
            </w:r>
          </w:p>
        </w:tc>
        <w:tc>
          <w:tcPr>
            <w:tcW w:w="381" w:type="pct"/>
            <w:tcBorders>
              <w:top w:val="dotted" w:sz="4" w:space="0" w:color="auto"/>
            </w:tcBorders>
            <w:vAlign w:val="center"/>
          </w:tcPr>
          <w:p w:rsidR="005403A6" w:rsidRPr="006A2BF3" w:rsidRDefault="005403A6" w:rsidP="000A02D3">
            <w:pPr>
              <w:jc w:val="center"/>
              <w:rPr>
                <w:rFonts w:ascii="Arial" w:hAnsi="Arial" w:cs="Arial"/>
                <w:sz w:val="16"/>
                <w:szCs w:val="16"/>
                <w:lang w:eastAsia="en-US"/>
              </w:rPr>
            </w:pPr>
            <w:r w:rsidRPr="00D25EFA">
              <w:rPr>
                <w:rFonts w:ascii="Arial Narrow" w:hAnsi="Arial Narrow"/>
                <w:sz w:val="14"/>
                <w:szCs w:val="14"/>
                <w:lang w:eastAsia="cs-CZ"/>
              </w:rPr>
              <w:t>NA</w:t>
            </w:r>
          </w:p>
        </w:tc>
        <w:tc>
          <w:tcPr>
            <w:tcW w:w="381" w:type="pct"/>
            <w:tcBorders>
              <w:top w:val="dotted" w:sz="4" w:space="0" w:color="auto"/>
            </w:tcBorders>
            <w:vAlign w:val="center"/>
          </w:tcPr>
          <w:p w:rsidR="005403A6" w:rsidRPr="006A2BF3" w:rsidRDefault="005403A6" w:rsidP="000A02D3">
            <w:pPr>
              <w:jc w:val="center"/>
              <w:rPr>
                <w:rFonts w:ascii="Arial" w:hAnsi="Arial" w:cs="Arial"/>
                <w:sz w:val="16"/>
                <w:szCs w:val="16"/>
                <w:lang w:eastAsia="en-US"/>
              </w:rPr>
            </w:pPr>
            <w:r w:rsidRPr="00D25EFA">
              <w:rPr>
                <w:rFonts w:ascii="Arial Narrow" w:hAnsi="Arial Narrow"/>
                <w:sz w:val="14"/>
                <w:szCs w:val="14"/>
                <w:lang w:eastAsia="cs-CZ"/>
              </w:rPr>
              <w:t>NA</w:t>
            </w:r>
          </w:p>
        </w:tc>
        <w:tc>
          <w:tcPr>
            <w:tcW w:w="381" w:type="pct"/>
            <w:tcBorders>
              <w:top w:val="dotted" w:sz="4" w:space="0" w:color="auto"/>
            </w:tcBorders>
            <w:vAlign w:val="center"/>
          </w:tcPr>
          <w:p w:rsidR="005403A6" w:rsidRPr="006A2BF3" w:rsidRDefault="005403A6" w:rsidP="000A02D3">
            <w:pPr>
              <w:jc w:val="center"/>
              <w:rPr>
                <w:rFonts w:ascii="Arial" w:hAnsi="Arial" w:cs="Arial"/>
                <w:sz w:val="16"/>
                <w:szCs w:val="16"/>
                <w:lang w:eastAsia="en-US"/>
              </w:rPr>
            </w:pPr>
            <w:r w:rsidRPr="00D25EFA">
              <w:rPr>
                <w:rFonts w:ascii="Arial Narrow" w:hAnsi="Arial Narrow"/>
                <w:sz w:val="14"/>
                <w:szCs w:val="14"/>
                <w:lang w:eastAsia="cs-CZ"/>
              </w:rPr>
              <w:t>NA</w:t>
            </w:r>
          </w:p>
        </w:tc>
        <w:tc>
          <w:tcPr>
            <w:tcW w:w="381" w:type="pct"/>
            <w:tcBorders>
              <w:top w:val="dotted" w:sz="4" w:space="0" w:color="auto"/>
            </w:tcBorders>
            <w:vAlign w:val="center"/>
          </w:tcPr>
          <w:p w:rsidR="005403A6" w:rsidRPr="006A2BF3" w:rsidRDefault="005403A6" w:rsidP="000A02D3">
            <w:pPr>
              <w:jc w:val="center"/>
              <w:rPr>
                <w:rFonts w:ascii="Arial" w:hAnsi="Arial" w:cs="Arial"/>
                <w:sz w:val="16"/>
                <w:szCs w:val="16"/>
                <w:lang w:eastAsia="en-US"/>
              </w:rPr>
            </w:pPr>
            <w:r w:rsidRPr="00D25EFA">
              <w:rPr>
                <w:rFonts w:ascii="Arial Narrow" w:hAnsi="Arial Narrow"/>
                <w:sz w:val="14"/>
                <w:szCs w:val="14"/>
                <w:lang w:eastAsia="cs-CZ"/>
              </w:rPr>
              <w:t>NA</w:t>
            </w:r>
          </w:p>
        </w:tc>
        <w:tc>
          <w:tcPr>
            <w:tcW w:w="381" w:type="pct"/>
            <w:tcBorders>
              <w:top w:val="dotted" w:sz="4" w:space="0" w:color="auto"/>
            </w:tcBorders>
            <w:vAlign w:val="center"/>
          </w:tcPr>
          <w:p w:rsidR="005403A6" w:rsidRPr="006A2BF3" w:rsidRDefault="005403A6" w:rsidP="000A02D3">
            <w:pPr>
              <w:jc w:val="center"/>
              <w:rPr>
                <w:rFonts w:ascii="Arial" w:hAnsi="Arial" w:cs="Arial"/>
                <w:b/>
                <w:sz w:val="16"/>
                <w:szCs w:val="16"/>
                <w:lang w:eastAsia="en-US"/>
              </w:rPr>
            </w:pPr>
            <w:r w:rsidRPr="00D25EFA">
              <w:rPr>
                <w:rFonts w:ascii="Arial Narrow" w:hAnsi="Arial Narrow"/>
                <w:b/>
                <w:sz w:val="14"/>
                <w:szCs w:val="14"/>
                <w:lang w:eastAsia="cs-CZ"/>
              </w:rPr>
              <w:t>NA</w:t>
            </w:r>
          </w:p>
        </w:tc>
        <w:tc>
          <w:tcPr>
            <w:tcW w:w="354" w:type="pct"/>
            <w:tcBorders>
              <w:top w:val="dotted" w:sz="4" w:space="0" w:color="auto"/>
              <w:right w:val="single" w:sz="6" w:space="0" w:color="auto"/>
            </w:tcBorders>
            <w:vAlign w:val="center"/>
          </w:tcPr>
          <w:p w:rsidR="005403A6" w:rsidRPr="006A2BF3" w:rsidRDefault="005403A6" w:rsidP="000A02D3">
            <w:pPr>
              <w:jc w:val="center"/>
              <w:rPr>
                <w:rFonts w:ascii="Arial" w:hAnsi="Arial" w:cs="Arial"/>
                <w:b/>
                <w:sz w:val="16"/>
                <w:szCs w:val="16"/>
                <w:lang w:eastAsia="en-US"/>
              </w:rPr>
            </w:pPr>
            <w:r w:rsidRPr="00D25EFA">
              <w:rPr>
                <w:rFonts w:ascii="Arial Narrow" w:hAnsi="Arial Narrow"/>
                <w:b/>
                <w:sz w:val="14"/>
                <w:szCs w:val="14"/>
                <w:lang w:eastAsia="cs-CZ"/>
              </w:rPr>
              <w:t>NA</w:t>
            </w:r>
          </w:p>
        </w:tc>
      </w:tr>
      <w:tr w:rsidR="002416B1" w:rsidRPr="006A2BF3" w:rsidTr="006A2BF3">
        <w:trPr>
          <w:trHeight w:val="20"/>
        </w:trPr>
        <w:tc>
          <w:tcPr>
            <w:tcW w:w="5000" w:type="pct"/>
            <w:gridSpan w:val="13"/>
            <w:tcBorders>
              <w:left w:val="single" w:sz="6" w:space="0" w:color="auto"/>
              <w:right w:val="single" w:sz="6" w:space="0" w:color="auto"/>
            </w:tcBorders>
            <w:shd w:val="clear" w:color="auto" w:fill="EAF1DD"/>
            <w:vAlign w:val="center"/>
          </w:tcPr>
          <w:p w:rsidR="002416B1" w:rsidRPr="00C266A4" w:rsidRDefault="002416B1" w:rsidP="000A02D3">
            <w:pPr>
              <w:rPr>
                <w:rFonts w:ascii="Arial" w:hAnsi="Arial" w:cs="Arial"/>
                <w:sz w:val="16"/>
                <w:szCs w:val="16"/>
                <w:lang w:eastAsia="cs-CZ"/>
              </w:rPr>
            </w:pPr>
          </w:p>
        </w:tc>
      </w:tr>
      <w:tr w:rsidR="005403A6" w:rsidRPr="006A2BF3" w:rsidTr="001540E7">
        <w:trPr>
          <w:trHeight w:val="20"/>
        </w:trPr>
        <w:tc>
          <w:tcPr>
            <w:tcW w:w="688" w:type="pct"/>
            <w:vMerge w:val="restart"/>
            <w:tcBorders>
              <w:left w:val="single" w:sz="6" w:space="0" w:color="auto"/>
            </w:tcBorders>
            <w:vAlign w:val="center"/>
          </w:tcPr>
          <w:p w:rsidR="005403A6" w:rsidRPr="00C266A4" w:rsidRDefault="005403A6" w:rsidP="000A02D3">
            <w:pPr>
              <w:rPr>
                <w:rFonts w:ascii="Arial" w:hAnsi="Arial" w:cs="Arial"/>
                <w:sz w:val="16"/>
                <w:szCs w:val="16"/>
                <w:lang w:eastAsia="cs-CZ"/>
              </w:rPr>
            </w:pPr>
            <w:r w:rsidRPr="00C266A4">
              <w:rPr>
                <w:rFonts w:ascii="Arial" w:hAnsi="Arial" w:cs="Arial"/>
                <w:sz w:val="16"/>
                <w:szCs w:val="16"/>
                <w:lang w:eastAsia="en-US"/>
              </w:rPr>
              <w:t>počet distribuovaných publikácií</w:t>
            </w:r>
          </w:p>
        </w:tc>
        <w:tc>
          <w:tcPr>
            <w:tcW w:w="618" w:type="pct"/>
            <w:tcBorders>
              <w:bottom w:val="dotted" w:sz="4" w:space="0" w:color="auto"/>
            </w:tcBorders>
            <w:vAlign w:val="center"/>
          </w:tcPr>
          <w:p w:rsidR="005403A6" w:rsidRPr="006A2BF3" w:rsidRDefault="005403A6" w:rsidP="000A02D3">
            <w:pPr>
              <w:rPr>
                <w:rFonts w:ascii="Arial" w:hAnsi="Arial" w:cs="Arial"/>
                <w:sz w:val="16"/>
                <w:szCs w:val="16"/>
                <w:lang w:eastAsia="en-US"/>
              </w:rPr>
            </w:pPr>
            <w:r w:rsidRPr="006A2BF3">
              <w:rPr>
                <w:rFonts w:ascii="Arial" w:hAnsi="Arial" w:cs="Arial"/>
                <w:sz w:val="16"/>
                <w:szCs w:val="16"/>
                <w:lang w:eastAsia="en-US"/>
              </w:rPr>
              <w:t>Dosiahnutý výsledok</w:t>
            </w:r>
          </w:p>
        </w:tc>
        <w:tc>
          <w:tcPr>
            <w:tcW w:w="293" w:type="pct"/>
            <w:tcBorders>
              <w:bottom w:val="dotted" w:sz="4" w:space="0" w:color="auto"/>
            </w:tcBorders>
            <w:vAlign w:val="center"/>
          </w:tcPr>
          <w:p w:rsidR="005403A6" w:rsidRPr="006A2BF3" w:rsidRDefault="005403A6" w:rsidP="000A02D3">
            <w:pPr>
              <w:jc w:val="center"/>
              <w:rPr>
                <w:rFonts w:ascii="Arial" w:hAnsi="Arial" w:cs="Arial"/>
                <w:b/>
                <w:sz w:val="16"/>
                <w:szCs w:val="16"/>
                <w:lang w:eastAsia="cs-CZ"/>
              </w:rPr>
            </w:pPr>
            <w:r w:rsidRPr="00D25EFA">
              <w:rPr>
                <w:rFonts w:ascii="Arial Narrow" w:hAnsi="Arial Narrow"/>
                <w:sz w:val="14"/>
                <w:szCs w:val="14"/>
                <w:lang w:eastAsia="cs-CZ"/>
              </w:rPr>
              <w:t>0</w:t>
            </w:r>
          </w:p>
        </w:tc>
        <w:tc>
          <w:tcPr>
            <w:tcW w:w="381" w:type="pct"/>
            <w:tcBorders>
              <w:bottom w:val="dotted" w:sz="4" w:space="0" w:color="auto"/>
            </w:tcBorders>
            <w:vAlign w:val="center"/>
          </w:tcPr>
          <w:p w:rsidR="005403A6" w:rsidRPr="006A2BF3" w:rsidRDefault="005403A6" w:rsidP="000A02D3">
            <w:pPr>
              <w:jc w:val="center"/>
              <w:rPr>
                <w:rFonts w:ascii="Arial" w:hAnsi="Arial" w:cs="Arial"/>
                <w:b/>
                <w:sz w:val="16"/>
                <w:szCs w:val="16"/>
                <w:lang w:eastAsia="en-US"/>
              </w:rPr>
            </w:pPr>
            <w:r w:rsidRPr="00D25EFA">
              <w:rPr>
                <w:rFonts w:ascii="Arial Narrow" w:hAnsi="Arial Narrow"/>
                <w:sz w:val="14"/>
                <w:szCs w:val="14"/>
                <w:lang w:eastAsia="cs-CZ"/>
              </w:rPr>
              <w:t>9608</w:t>
            </w:r>
          </w:p>
        </w:tc>
        <w:tc>
          <w:tcPr>
            <w:tcW w:w="388" w:type="pct"/>
            <w:gridSpan w:val="2"/>
            <w:tcBorders>
              <w:bottom w:val="dotted" w:sz="4" w:space="0" w:color="auto"/>
            </w:tcBorders>
            <w:vAlign w:val="center"/>
          </w:tcPr>
          <w:p w:rsidR="005403A6" w:rsidRPr="006A2BF3" w:rsidRDefault="005403A6" w:rsidP="000A02D3">
            <w:pPr>
              <w:jc w:val="center"/>
              <w:rPr>
                <w:rFonts w:ascii="Arial" w:hAnsi="Arial" w:cs="Arial"/>
                <w:b/>
                <w:sz w:val="16"/>
                <w:szCs w:val="16"/>
                <w:lang w:eastAsia="en-US"/>
              </w:rPr>
            </w:pPr>
            <w:r w:rsidRPr="00D25EFA">
              <w:rPr>
                <w:rFonts w:ascii="Arial Narrow" w:hAnsi="Arial Narrow"/>
                <w:sz w:val="14"/>
                <w:szCs w:val="14"/>
              </w:rPr>
              <w:t>53608</w:t>
            </w:r>
          </w:p>
        </w:tc>
        <w:tc>
          <w:tcPr>
            <w:tcW w:w="374" w:type="pct"/>
            <w:tcBorders>
              <w:bottom w:val="dotted" w:sz="4" w:space="0" w:color="auto"/>
            </w:tcBorders>
            <w:vAlign w:val="center"/>
          </w:tcPr>
          <w:p w:rsidR="005403A6" w:rsidRPr="006A2BF3" w:rsidRDefault="005403A6" w:rsidP="000A02D3">
            <w:pPr>
              <w:jc w:val="center"/>
              <w:rPr>
                <w:rFonts w:ascii="Arial" w:hAnsi="Arial" w:cs="Arial"/>
                <w:b/>
                <w:sz w:val="16"/>
                <w:szCs w:val="16"/>
                <w:lang w:eastAsia="en-US"/>
              </w:rPr>
            </w:pPr>
            <w:r w:rsidRPr="00D25EFA">
              <w:rPr>
                <w:rFonts w:ascii="Arial Narrow" w:hAnsi="Arial Narrow"/>
                <w:sz w:val="14"/>
                <w:szCs w:val="14"/>
              </w:rPr>
              <w:t>71608</w:t>
            </w:r>
          </w:p>
        </w:tc>
        <w:tc>
          <w:tcPr>
            <w:tcW w:w="381" w:type="pct"/>
            <w:tcBorders>
              <w:bottom w:val="dotted" w:sz="4" w:space="0" w:color="auto"/>
            </w:tcBorders>
            <w:vAlign w:val="center"/>
          </w:tcPr>
          <w:p w:rsidR="005403A6" w:rsidRPr="006A2BF3" w:rsidRDefault="005403A6" w:rsidP="000A02D3">
            <w:pPr>
              <w:jc w:val="center"/>
              <w:rPr>
                <w:rFonts w:ascii="Arial" w:hAnsi="Arial" w:cs="Arial"/>
                <w:b/>
                <w:sz w:val="16"/>
                <w:szCs w:val="16"/>
                <w:lang w:eastAsia="en-US"/>
              </w:rPr>
            </w:pPr>
            <w:r w:rsidRPr="00D25EFA">
              <w:rPr>
                <w:rFonts w:ascii="Arial Narrow" w:hAnsi="Arial Narrow"/>
                <w:sz w:val="14"/>
                <w:szCs w:val="14"/>
                <w:lang w:eastAsia="cs-CZ"/>
              </w:rPr>
              <w:t>96818</w:t>
            </w:r>
          </w:p>
        </w:tc>
        <w:tc>
          <w:tcPr>
            <w:tcW w:w="381" w:type="pct"/>
            <w:tcBorders>
              <w:bottom w:val="dotted" w:sz="4" w:space="0" w:color="auto"/>
            </w:tcBorders>
            <w:vAlign w:val="center"/>
          </w:tcPr>
          <w:p w:rsidR="005403A6" w:rsidRPr="006A2BF3" w:rsidRDefault="005403A6" w:rsidP="000A02D3">
            <w:pPr>
              <w:jc w:val="center"/>
              <w:rPr>
                <w:rFonts w:ascii="Arial" w:hAnsi="Arial" w:cs="Arial"/>
                <w:sz w:val="16"/>
                <w:szCs w:val="16"/>
                <w:lang w:eastAsia="en-US"/>
              </w:rPr>
            </w:pPr>
            <w:r w:rsidRPr="00D25EFA">
              <w:rPr>
                <w:rFonts w:ascii="Arial Narrow" w:hAnsi="Arial Narrow"/>
                <w:sz w:val="14"/>
                <w:szCs w:val="14"/>
                <w:lang w:eastAsia="cs-CZ"/>
              </w:rPr>
              <w:t>97142</w:t>
            </w:r>
          </w:p>
        </w:tc>
        <w:tc>
          <w:tcPr>
            <w:tcW w:w="381" w:type="pct"/>
            <w:tcBorders>
              <w:bottom w:val="dotted" w:sz="4" w:space="0" w:color="auto"/>
            </w:tcBorders>
            <w:vAlign w:val="center"/>
          </w:tcPr>
          <w:p w:rsidR="005403A6" w:rsidRPr="006A2BF3" w:rsidRDefault="005403A6" w:rsidP="000A02D3">
            <w:pPr>
              <w:jc w:val="center"/>
              <w:rPr>
                <w:rFonts w:ascii="Arial" w:hAnsi="Arial" w:cs="Arial"/>
                <w:sz w:val="16"/>
                <w:szCs w:val="16"/>
                <w:lang w:eastAsia="en-US"/>
              </w:rPr>
            </w:pPr>
            <w:r w:rsidRPr="00D25EFA">
              <w:rPr>
                <w:rFonts w:ascii="Arial Narrow" w:hAnsi="Arial Narrow"/>
                <w:sz w:val="14"/>
                <w:szCs w:val="14"/>
                <w:lang w:eastAsia="cs-CZ"/>
              </w:rPr>
              <w:t>NA</w:t>
            </w:r>
          </w:p>
        </w:tc>
        <w:tc>
          <w:tcPr>
            <w:tcW w:w="381" w:type="pct"/>
            <w:tcBorders>
              <w:bottom w:val="dotted" w:sz="4" w:space="0" w:color="auto"/>
            </w:tcBorders>
            <w:vAlign w:val="center"/>
          </w:tcPr>
          <w:p w:rsidR="005403A6" w:rsidRPr="006A2BF3" w:rsidRDefault="005403A6" w:rsidP="000A02D3">
            <w:pPr>
              <w:jc w:val="center"/>
              <w:rPr>
                <w:rFonts w:ascii="Arial" w:hAnsi="Arial" w:cs="Arial"/>
                <w:sz w:val="16"/>
                <w:szCs w:val="16"/>
                <w:lang w:eastAsia="en-US"/>
              </w:rPr>
            </w:pPr>
            <w:r w:rsidRPr="00D25EFA">
              <w:rPr>
                <w:rFonts w:ascii="Arial Narrow" w:hAnsi="Arial Narrow"/>
                <w:sz w:val="14"/>
                <w:szCs w:val="14"/>
                <w:lang w:eastAsia="cs-CZ"/>
              </w:rPr>
              <w:t>NA</w:t>
            </w:r>
          </w:p>
        </w:tc>
        <w:tc>
          <w:tcPr>
            <w:tcW w:w="381" w:type="pct"/>
            <w:tcBorders>
              <w:bottom w:val="dotted" w:sz="4" w:space="0" w:color="auto"/>
            </w:tcBorders>
            <w:vAlign w:val="center"/>
          </w:tcPr>
          <w:p w:rsidR="005403A6" w:rsidRPr="006A2BF3" w:rsidRDefault="005403A6" w:rsidP="000A02D3">
            <w:pPr>
              <w:jc w:val="center"/>
              <w:rPr>
                <w:rFonts w:ascii="Arial" w:hAnsi="Arial" w:cs="Arial"/>
                <w:b/>
                <w:sz w:val="16"/>
                <w:szCs w:val="16"/>
                <w:lang w:eastAsia="en-US"/>
              </w:rPr>
            </w:pPr>
            <w:r w:rsidRPr="00D25EFA">
              <w:rPr>
                <w:rFonts w:ascii="Arial Narrow" w:hAnsi="Arial Narrow"/>
                <w:b/>
                <w:sz w:val="14"/>
                <w:szCs w:val="14"/>
                <w:lang w:eastAsia="cs-CZ"/>
              </w:rPr>
              <w:t>NA</w:t>
            </w:r>
          </w:p>
        </w:tc>
        <w:tc>
          <w:tcPr>
            <w:tcW w:w="354" w:type="pct"/>
            <w:tcBorders>
              <w:bottom w:val="dotted" w:sz="4" w:space="0" w:color="auto"/>
              <w:right w:val="single" w:sz="6" w:space="0" w:color="auto"/>
            </w:tcBorders>
            <w:vAlign w:val="center"/>
          </w:tcPr>
          <w:p w:rsidR="005403A6" w:rsidRPr="006A2BF3" w:rsidRDefault="005403A6" w:rsidP="000A02D3">
            <w:pPr>
              <w:jc w:val="center"/>
              <w:rPr>
                <w:rFonts w:ascii="Arial" w:hAnsi="Arial" w:cs="Arial"/>
                <w:b/>
                <w:sz w:val="16"/>
                <w:szCs w:val="16"/>
                <w:lang w:eastAsia="en-US"/>
              </w:rPr>
            </w:pPr>
            <w:r w:rsidRPr="00D25EFA">
              <w:rPr>
                <w:rFonts w:ascii="Arial Narrow" w:hAnsi="Arial Narrow"/>
                <w:b/>
                <w:sz w:val="14"/>
                <w:szCs w:val="14"/>
                <w:lang w:eastAsia="cs-CZ"/>
              </w:rPr>
              <w:t>97142</w:t>
            </w:r>
          </w:p>
        </w:tc>
      </w:tr>
      <w:tr w:rsidR="005403A6" w:rsidRPr="006A2BF3" w:rsidTr="001540E7">
        <w:trPr>
          <w:trHeight w:val="20"/>
        </w:trPr>
        <w:tc>
          <w:tcPr>
            <w:tcW w:w="688" w:type="pct"/>
            <w:vMerge/>
            <w:tcBorders>
              <w:left w:val="single" w:sz="6" w:space="0" w:color="auto"/>
            </w:tcBorders>
            <w:vAlign w:val="center"/>
          </w:tcPr>
          <w:p w:rsidR="005403A6" w:rsidRPr="00C266A4" w:rsidRDefault="005403A6" w:rsidP="000A02D3">
            <w:pPr>
              <w:rPr>
                <w:rFonts w:ascii="Arial" w:hAnsi="Arial" w:cs="Arial"/>
                <w:sz w:val="16"/>
                <w:szCs w:val="16"/>
                <w:lang w:eastAsia="cs-CZ"/>
              </w:rPr>
            </w:pPr>
          </w:p>
        </w:tc>
        <w:tc>
          <w:tcPr>
            <w:tcW w:w="618" w:type="pct"/>
            <w:tcBorders>
              <w:top w:val="dotted" w:sz="4" w:space="0" w:color="auto"/>
              <w:bottom w:val="dotted" w:sz="4" w:space="0" w:color="auto"/>
            </w:tcBorders>
            <w:vAlign w:val="center"/>
          </w:tcPr>
          <w:p w:rsidR="005403A6" w:rsidRPr="006A2BF3" w:rsidRDefault="005403A6" w:rsidP="000A02D3">
            <w:pPr>
              <w:rPr>
                <w:rFonts w:ascii="Arial" w:hAnsi="Arial" w:cs="Arial"/>
                <w:sz w:val="16"/>
                <w:szCs w:val="16"/>
                <w:lang w:eastAsia="en-US"/>
              </w:rPr>
            </w:pPr>
            <w:r w:rsidRPr="006A2BF3">
              <w:rPr>
                <w:rFonts w:ascii="Arial" w:hAnsi="Arial" w:cs="Arial"/>
                <w:sz w:val="16"/>
                <w:szCs w:val="16"/>
                <w:lang w:eastAsia="en-US"/>
              </w:rPr>
              <w:t>Cieľ</w:t>
            </w:r>
          </w:p>
        </w:tc>
        <w:tc>
          <w:tcPr>
            <w:tcW w:w="293" w:type="pct"/>
            <w:tcBorders>
              <w:top w:val="dotted" w:sz="4" w:space="0" w:color="auto"/>
              <w:bottom w:val="dotted" w:sz="4" w:space="0" w:color="auto"/>
            </w:tcBorders>
            <w:vAlign w:val="center"/>
          </w:tcPr>
          <w:p w:rsidR="005403A6" w:rsidRPr="006A2BF3" w:rsidRDefault="005403A6" w:rsidP="000A02D3">
            <w:pPr>
              <w:jc w:val="center"/>
              <w:rPr>
                <w:rFonts w:ascii="Arial" w:hAnsi="Arial" w:cs="Arial"/>
                <w:sz w:val="16"/>
                <w:szCs w:val="16"/>
                <w:lang w:eastAsia="cs-CZ"/>
              </w:rPr>
            </w:pPr>
            <w:r w:rsidRPr="00D25EFA">
              <w:rPr>
                <w:rFonts w:ascii="Arial Narrow" w:hAnsi="Arial Narrow"/>
                <w:sz w:val="14"/>
                <w:szCs w:val="14"/>
                <w:lang w:eastAsia="cs-CZ"/>
              </w:rPr>
              <w:t>NA</w:t>
            </w:r>
          </w:p>
        </w:tc>
        <w:tc>
          <w:tcPr>
            <w:tcW w:w="381" w:type="pct"/>
            <w:tcBorders>
              <w:top w:val="dotted" w:sz="4" w:space="0" w:color="auto"/>
              <w:bottom w:val="dotted" w:sz="4" w:space="0" w:color="auto"/>
            </w:tcBorders>
            <w:vAlign w:val="center"/>
          </w:tcPr>
          <w:p w:rsidR="005403A6" w:rsidRPr="006A2BF3" w:rsidRDefault="005403A6" w:rsidP="000A02D3">
            <w:pPr>
              <w:jc w:val="center"/>
              <w:rPr>
                <w:rFonts w:ascii="Arial" w:hAnsi="Arial" w:cs="Arial"/>
                <w:sz w:val="16"/>
                <w:szCs w:val="16"/>
                <w:lang w:eastAsia="en-US"/>
              </w:rPr>
            </w:pPr>
            <w:r w:rsidRPr="00D25EFA">
              <w:rPr>
                <w:rFonts w:ascii="Arial Narrow" w:hAnsi="Arial Narrow"/>
                <w:sz w:val="14"/>
                <w:szCs w:val="14"/>
                <w:lang w:eastAsia="cs-CZ"/>
              </w:rPr>
              <w:t>NA</w:t>
            </w:r>
          </w:p>
        </w:tc>
        <w:tc>
          <w:tcPr>
            <w:tcW w:w="388" w:type="pct"/>
            <w:gridSpan w:val="2"/>
            <w:tcBorders>
              <w:top w:val="dotted" w:sz="4" w:space="0" w:color="auto"/>
              <w:bottom w:val="dotted" w:sz="4" w:space="0" w:color="auto"/>
            </w:tcBorders>
            <w:vAlign w:val="center"/>
          </w:tcPr>
          <w:p w:rsidR="005403A6" w:rsidRPr="006A2BF3" w:rsidRDefault="005403A6" w:rsidP="000A02D3">
            <w:pPr>
              <w:jc w:val="center"/>
              <w:rPr>
                <w:rFonts w:ascii="Arial" w:hAnsi="Arial" w:cs="Arial"/>
                <w:sz w:val="16"/>
                <w:szCs w:val="16"/>
                <w:lang w:eastAsia="en-US"/>
              </w:rPr>
            </w:pPr>
            <w:r w:rsidRPr="00D25EFA">
              <w:rPr>
                <w:rFonts w:ascii="Arial Narrow" w:hAnsi="Arial Narrow"/>
                <w:sz w:val="14"/>
                <w:szCs w:val="14"/>
                <w:lang w:eastAsia="cs-CZ"/>
              </w:rPr>
              <w:t>NA</w:t>
            </w:r>
          </w:p>
        </w:tc>
        <w:tc>
          <w:tcPr>
            <w:tcW w:w="374" w:type="pct"/>
            <w:tcBorders>
              <w:top w:val="dotted" w:sz="4" w:space="0" w:color="auto"/>
              <w:bottom w:val="dotted" w:sz="4" w:space="0" w:color="auto"/>
            </w:tcBorders>
            <w:vAlign w:val="center"/>
          </w:tcPr>
          <w:p w:rsidR="005403A6" w:rsidRPr="006A2BF3" w:rsidRDefault="005403A6" w:rsidP="000A02D3">
            <w:pPr>
              <w:jc w:val="center"/>
              <w:rPr>
                <w:rFonts w:ascii="Arial" w:hAnsi="Arial" w:cs="Arial"/>
                <w:sz w:val="16"/>
                <w:szCs w:val="16"/>
                <w:lang w:eastAsia="en-US"/>
              </w:rPr>
            </w:pPr>
            <w:r w:rsidRPr="00D25EFA">
              <w:rPr>
                <w:rFonts w:ascii="Arial Narrow" w:hAnsi="Arial Narrow"/>
                <w:sz w:val="14"/>
                <w:szCs w:val="14"/>
                <w:lang w:eastAsia="cs-CZ"/>
              </w:rPr>
              <w:t>NA</w:t>
            </w:r>
          </w:p>
        </w:tc>
        <w:tc>
          <w:tcPr>
            <w:tcW w:w="381" w:type="pct"/>
            <w:tcBorders>
              <w:top w:val="dotted" w:sz="4" w:space="0" w:color="auto"/>
              <w:bottom w:val="dotted" w:sz="4" w:space="0" w:color="auto"/>
            </w:tcBorders>
            <w:vAlign w:val="center"/>
          </w:tcPr>
          <w:p w:rsidR="005403A6" w:rsidRPr="006A2BF3" w:rsidRDefault="005403A6" w:rsidP="000A02D3">
            <w:pPr>
              <w:jc w:val="center"/>
              <w:rPr>
                <w:rFonts w:ascii="Arial" w:hAnsi="Arial" w:cs="Arial"/>
                <w:sz w:val="16"/>
                <w:szCs w:val="16"/>
                <w:lang w:eastAsia="en-US"/>
              </w:rPr>
            </w:pPr>
            <w:r w:rsidRPr="00D25EFA">
              <w:rPr>
                <w:rFonts w:ascii="Arial Narrow" w:hAnsi="Arial Narrow"/>
                <w:sz w:val="14"/>
                <w:szCs w:val="14"/>
                <w:lang w:eastAsia="cs-CZ"/>
              </w:rPr>
              <w:t>NA</w:t>
            </w:r>
          </w:p>
        </w:tc>
        <w:tc>
          <w:tcPr>
            <w:tcW w:w="381" w:type="pct"/>
            <w:tcBorders>
              <w:top w:val="dotted" w:sz="4" w:space="0" w:color="auto"/>
              <w:bottom w:val="dotted" w:sz="4" w:space="0" w:color="auto"/>
            </w:tcBorders>
            <w:vAlign w:val="center"/>
          </w:tcPr>
          <w:p w:rsidR="005403A6" w:rsidRPr="006A2BF3" w:rsidRDefault="005403A6" w:rsidP="000A02D3">
            <w:pPr>
              <w:jc w:val="center"/>
              <w:rPr>
                <w:rFonts w:ascii="Arial" w:hAnsi="Arial" w:cs="Arial"/>
                <w:sz w:val="16"/>
                <w:szCs w:val="16"/>
                <w:lang w:eastAsia="en-US"/>
              </w:rPr>
            </w:pPr>
            <w:r w:rsidRPr="00D25EFA">
              <w:rPr>
                <w:rFonts w:ascii="Arial Narrow" w:hAnsi="Arial Narrow"/>
                <w:sz w:val="14"/>
                <w:szCs w:val="14"/>
                <w:lang w:eastAsia="cs-CZ"/>
              </w:rPr>
              <w:t>NA</w:t>
            </w:r>
          </w:p>
        </w:tc>
        <w:tc>
          <w:tcPr>
            <w:tcW w:w="381" w:type="pct"/>
            <w:tcBorders>
              <w:top w:val="dotted" w:sz="4" w:space="0" w:color="auto"/>
              <w:bottom w:val="dotted" w:sz="4" w:space="0" w:color="auto"/>
            </w:tcBorders>
            <w:vAlign w:val="center"/>
          </w:tcPr>
          <w:p w:rsidR="005403A6" w:rsidRPr="006A2BF3" w:rsidRDefault="005403A6" w:rsidP="000A02D3">
            <w:pPr>
              <w:jc w:val="center"/>
              <w:rPr>
                <w:rFonts w:ascii="Arial" w:hAnsi="Arial" w:cs="Arial"/>
                <w:sz w:val="16"/>
                <w:szCs w:val="16"/>
                <w:lang w:eastAsia="en-US"/>
              </w:rPr>
            </w:pPr>
            <w:r w:rsidRPr="00D25EFA">
              <w:rPr>
                <w:rFonts w:ascii="Arial Narrow" w:hAnsi="Arial Narrow"/>
                <w:sz w:val="14"/>
                <w:szCs w:val="14"/>
                <w:lang w:eastAsia="cs-CZ"/>
              </w:rPr>
              <w:t>NA</w:t>
            </w:r>
          </w:p>
        </w:tc>
        <w:tc>
          <w:tcPr>
            <w:tcW w:w="381" w:type="pct"/>
            <w:tcBorders>
              <w:top w:val="dotted" w:sz="4" w:space="0" w:color="auto"/>
              <w:bottom w:val="dotted" w:sz="4" w:space="0" w:color="auto"/>
            </w:tcBorders>
            <w:vAlign w:val="center"/>
          </w:tcPr>
          <w:p w:rsidR="005403A6" w:rsidRPr="006A2BF3" w:rsidRDefault="005403A6" w:rsidP="000A02D3">
            <w:pPr>
              <w:jc w:val="center"/>
              <w:rPr>
                <w:rFonts w:ascii="Arial" w:hAnsi="Arial" w:cs="Arial"/>
                <w:sz w:val="16"/>
                <w:szCs w:val="16"/>
                <w:lang w:eastAsia="en-US"/>
              </w:rPr>
            </w:pPr>
            <w:r w:rsidRPr="00D25EFA">
              <w:rPr>
                <w:rFonts w:ascii="Arial Narrow" w:hAnsi="Arial Narrow"/>
                <w:sz w:val="14"/>
                <w:szCs w:val="14"/>
                <w:lang w:eastAsia="cs-CZ"/>
              </w:rPr>
              <w:t>NA</w:t>
            </w:r>
          </w:p>
        </w:tc>
        <w:tc>
          <w:tcPr>
            <w:tcW w:w="381" w:type="pct"/>
            <w:tcBorders>
              <w:top w:val="dotted" w:sz="4" w:space="0" w:color="auto"/>
              <w:bottom w:val="dotted" w:sz="4" w:space="0" w:color="auto"/>
            </w:tcBorders>
            <w:vAlign w:val="center"/>
          </w:tcPr>
          <w:p w:rsidR="005403A6" w:rsidRPr="006A2BF3" w:rsidRDefault="005403A6" w:rsidP="000A02D3">
            <w:pPr>
              <w:jc w:val="center"/>
              <w:rPr>
                <w:rFonts w:ascii="Arial" w:hAnsi="Arial" w:cs="Arial"/>
                <w:b/>
                <w:sz w:val="16"/>
                <w:szCs w:val="16"/>
                <w:lang w:eastAsia="cs-CZ"/>
              </w:rPr>
            </w:pPr>
            <w:r w:rsidRPr="00D25EFA">
              <w:rPr>
                <w:rFonts w:ascii="Arial Narrow" w:hAnsi="Arial Narrow"/>
                <w:b/>
                <w:sz w:val="14"/>
                <w:szCs w:val="14"/>
                <w:lang w:eastAsia="cs-CZ"/>
              </w:rPr>
              <w:t>3000</w:t>
            </w:r>
          </w:p>
        </w:tc>
        <w:tc>
          <w:tcPr>
            <w:tcW w:w="354" w:type="pct"/>
            <w:tcBorders>
              <w:top w:val="dotted" w:sz="4" w:space="0" w:color="auto"/>
              <w:bottom w:val="dotted" w:sz="4" w:space="0" w:color="auto"/>
              <w:right w:val="single" w:sz="6" w:space="0" w:color="auto"/>
            </w:tcBorders>
            <w:vAlign w:val="center"/>
          </w:tcPr>
          <w:p w:rsidR="005403A6" w:rsidRPr="006A2BF3" w:rsidRDefault="005403A6" w:rsidP="000A02D3">
            <w:pPr>
              <w:jc w:val="center"/>
              <w:rPr>
                <w:rFonts w:ascii="Arial" w:hAnsi="Arial" w:cs="Arial"/>
                <w:b/>
                <w:sz w:val="16"/>
                <w:szCs w:val="16"/>
                <w:lang w:eastAsia="cs-CZ"/>
              </w:rPr>
            </w:pPr>
            <w:r w:rsidRPr="00D25EFA">
              <w:rPr>
                <w:rFonts w:ascii="Arial Narrow" w:hAnsi="Arial Narrow"/>
                <w:b/>
                <w:sz w:val="14"/>
                <w:szCs w:val="14"/>
                <w:lang w:eastAsia="cs-CZ"/>
              </w:rPr>
              <w:t>NA</w:t>
            </w:r>
          </w:p>
        </w:tc>
      </w:tr>
      <w:tr w:rsidR="005403A6" w:rsidRPr="006A2BF3" w:rsidTr="001540E7">
        <w:trPr>
          <w:trHeight w:val="20"/>
        </w:trPr>
        <w:tc>
          <w:tcPr>
            <w:tcW w:w="688" w:type="pct"/>
            <w:vMerge/>
            <w:tcBorders>
              <w:left w:val="single" w:sz="6" w:space="0" w:color="auto"/>
            </w:tcBorders>
            <w:vAlign w:val="center"/>
          </w:tcPr>
          <w:p w:rsidR="005403A6" w:rsidRPr="00C266A4" w:rsidRDefault="005403A6" w:rsidP="000A02D3">
            <w:pPr>
              <w:rPr>
                <w:rFonts w:ascii="Arial" w:hAnsi="Arial" w:cs="Arial"/>
                <w:sz w:val="16"/>
                <w:szCs w:val="16"/>
                <w:lang w:eastAsia="cs-CZ"/>
              </w:rPr>
            </w:pPr>
          </w:p>
        </w:tc>
        <w:tc>
          <w:tcPr>
            <w:tcW w:w="618" w:type="pct"/>
            <w:tcBorders>
              <w:top w:val="dotted" w:sz="4" w:space="0" w:color="auto"/>
            </w:tcBorders>
            <w:vAlign w:val="center"/>
          </w:tcPr>
          <w:p w:rsidR="005403A6" w:rsidRPr="006A2BF3" w:rsidRDefault="005403A6" w:rsidP="000A02D3">
            <w:pPr>
              <w:rPr>
                <w:rFonts w:ascii="Arial" w:hAnsi="Arial" w:cs="Arial"/>
                <w:sz w:val="16"/>
                <w:szCs w:val="16"/>
                <w:lang w:eastAsia="en-US"/>
              </w:rPr>
            </w:pPr>
            <w:r w:rsidRPr="006A2BF3">
              <w:rPr>
                <w:rFonts w:ascii="Arial" w:hAnsi="Arial" w:cs="Arial"/>
                <w:sz w:val="16"/>
                <w:szCs w:val="16"/>
                <w:lang w:eastAsia="en-US"/>
              </w:rPr>
              <w:t>Východisko</w:t>
            </w:r>
          </w:p>
        </w:tc>
        <w:tc>
          <w:tcPr>
            <w:tcW w:w="293" w:type="pct"/>
            <w:tcBorders>
              <w:top w:val="dotted" w:sz="4" w:space="0" w:color="auto"/>
            </w:tcBorders>
            <w:vAlign w:val="center"/>
          </w:tcPr>
          <w:p w:rsidR="005403A6" w:rsidRPr="006A2BF3" w:rsidRDefault="005403A6" w:rsidP="000A02D3">
            <w:pPr>
              <w:jc w:val="center"/>
              <w:rPr>
                <w:rFonts w:ascii="Arial" w:hAnsi="Arial" w:cs="Arial"/>
                <w:b/>
                <w:sz w:val="16"/>
                <w:szCs w:val="16"/>
                <w:lang w:eastAsia="cs-CZ"/>
              </w:rPr>
            </w:pPr>
            <w:r w:rsidRPr="00D25EFA">
              <w:rPr>
                <w:rFonts w:ascii="Arial Narrow" w:hAnsi="Arial Narrow"/>
                <w:sz w:val="14"/>
                <w:szCs w:val="14"/>
                <w:lang w:eastAsia="cs-CZ"/>
              </w:rPr>
              <w:t>0</w:t>
            </w:r>
          </w:p>
        </w:tc>
        <w:tc>
          <w:tcPr>
            <w:tcW w:w="381" w:type="pct"/>
            <w:tcBorders>
              <w:top w:val="dotted" w:sz="4" w:space="0" w:color="auto"/>
            </w:tcBorders>
            <w:vAlign w:val="center"/>
          </w:tcPr>
          <w:p w:rsidR="005403A6" w:rsidRPr="006A2BF3" w:rsidRDefault="005403A6" w:rsidP="000A02D3">
            <w:pPr>
              <w:jc w:val="center"/>
              <w:rPr>
                <w:rFonts w:ascii="Arial" w:hAnsi="Arial" w:cs="Arial"/>
                <w:sz w:val="16"/>
                <w:szCs w:val="16"/>
                <w:lang w:eastAsia="en-US"/>
              </w:rPr>
            </w:pPr>
            <w:r w:rsidRPr="00D25EFA">
              <w:rPr>
                <w:rFonts w:ascii="Arial Narrow" w:hAnsi="Arial Narrow"/>
                <w:sz w:val="14"/>
                <w:szCs w:val="14"/>
                <w:lang w:eastAsia="cs-CZ"/>
              </w:rPr>
              <w:t>NA</w:t>
            </w:r>
          </w:p>
        </w:tc>
        <w:tc>
          <w:tcPr>
            <w:tcW w:w="388" w:type="pct"/>
            <w:gridSpan w:val="2"/>
            <w:tcBorders>
              <w:top w:val="dotted" w:sz="4" w:space="0" w:color="auto"/>
            </w:tcBorders>
            <w:vAlign w:val="center"/>
          </w:tcPr>
          <w:p w:rsidR="005403A6" w:rsidRPr="006A2BF3" w:rsidRDefault="005403A6" w:rsidP="000A02D3">
            <w:pPr>
              <w:jc w:val="center"/>
              <w:rPr>
                <w:rFonts w:ascii="Arial" w:hAnsi="Arial" w:cs="Arial"/>
                <w:sz w:val="16"/>
                <w:szCs w:val="16"/>
                <w:lang w:eastAsia="en-US"/>
              </w:rPr>
            </w:pPr>
            <w:r w:rsidRPr="00D25EFA">
              <w:rPr>
                <w:rFonts w:ascii="Arial Narrow" w:hAnsi="Arial Narrow"/>
                <w:sz w:val="14"/>
                <w:szCs w:val="14"/>
                <w:lang w:eastAsia="cs-CZ"/>
              </w:rPr>
              <w:t>NA</w:t>
            </w:r>
          </w:p>
        </w:tc>
        <w:tc>
          <w:tcPr>
            <w:tcW w:w="374" w:type="pct"/>
            <w:tcBorders>
              <w:top w:val="dotted" w:sz="4" w:space="0" w:color="auto"/>
            </w:tcBorders>
            <w:vAlign w:val="center"/>
          </w:tcPr>
          <w:p w:rsidR="005403A6" w:rsidRPr="006A2BF3" w:rsidRDefault="005403A6" w:rsidP="000A02D3">
            <w:pPr>
              <w:jc w:val="center"/>
              <w:rPr>
                <w:rFonts w:ascii="Arial" w:hAnsi="Arial" w:cs="Arial"/>
                <w:sz w:val="16"/>
                <w:szCs w:val="16"/>
                <w:lang w:eastAsia="en-US"/>
              </w:rPr>
            </w:pPr>
            <w:r w:rsidRPr="00D25EFA">
              <w:rPr>
                <w:rFonts w:ascii="Arial Narrow" w:hAnsi="Arial Narrow"/>
                <w:sz w:val="14"/>
                <w:szCs w:val="14"/>
                <w:lang w:eastAsia="cs-CZ"/>
              </w:rPr>
              <w:t>NA</w:t>
            </w:r>
          </w:p>
        </w:tc>
        <w:tc>
          <w:tcPr>
            <w:tcW w:w="381" w:type="pct"/>
            <w:tcBorders>
              <w:top w:val="dotted" w:sz="4" w:space="0" w:color="auto"/>
            </w:tcBorders>
            <w:vAlign w:val="center"/>
          </w:tcPr>
          <w:p w:rsidR="005403A6" w:rsidRPr="006A2BF3" w:rsidRDefault="005403A6" w:rsidP="000A02D3">
            <w:pPr>
              <w:jc w:val="center"/>
              <w:rPr>
                <w:rFonts w:ascii="Arial" w:hAnsi="Arial" w:cs="Arial"/>
                <w:sz w:val="16"/>
                <w:szCs w:val="16"/>
                <w:lang w:eastAsia="en-US"/>
              </w:rPr>
            </w:pPr>
            <w:r w:rsidRPr="00D25EFA">
              <w:rPr>
                <w:rFonts w:ascii="Arial Narrow" w:hAnsi="Arial Narrow"/>
                <w:sz w:val="14"/>
                <w:szCs w:val="14"/>
                <w:lang w:eastAsia="cs-CZ"/>
              </w:rPr>
              <w:t>NA</w:t>
            </w:r>
          </w:p>
        </w:tc>
        <w:tc>
          <w:tcPr>
            <w:tcW w:w="381" w:type="pct"/>
            <w:tcBorders>
              <w:top w:val="dotted" w:sz="4" w:space="0" w:color="auto"/>
            </w:tcBorders>
            <w:vAlign w:val="center"/>
          </w:tcPr>
          <w:p w:rsidR="005403A6" w:rsidRPr="006A2BF3" w:rsidRDefault="005403A6" w:rsidP="000A02D3">
            <w:pPr>
              <w:jc w:val="center"/>
              <w:rPr>
                <w:rFonts w:ascii="Arial" w:hAnsi="Arial" w:cs="Arial"/>
                <w:sz w:val="16"/>
                <w:szCs w:val="16"/>
                <w:lang w:eastAsia="en-US"/>
              </w:rPr>
            </w:pPr>
            <w:r w:rsidRPr="00D25EFA">
              <w:rPr>
                <w:rFonts w:ascii="Arial Narrow" w:hAnsi="Arial Narrow"/>
                <w:sz w:val="14"/>
                <w:szCs w:val="14"/>
                <w:lang w:eastAsia="cs-CZ"/>
              </w:rPr>
              <w:t>NA</w:t>
            </w:r>
          </w:p>
        </w:tc>
        <w:tc>
          <w:tcPr>
            <w:tcW w:w="381" w:type="pct"/>
            <w:tcBorders>
              <w:top w:val="dotted" w:sz="4" w:space="0" w:color="auto"/>
            </w:tcBorders>
            <w:vAlign w:val="center"/>
          </w:tcPr>
          <w:p w:rsidR="005403A6" w:rsidRPr="006A2BF3" w:rsidRDefault="005403A6" w:rsidP="000A02D3">
            <w:pPr>
              <w:jc w:val="center"/>
              <w:rPr>
                <w:rFonts w:ascii="Arial" w:hAnsi="Arial" w:cs="Arial"/>
                <w:sz w:val="16"/>
                <w:szCs w:val="16"/>
                <w:lang w:eastAsia="en-US"/>
              </w:rPr>
            </w:pPr>
            <w:r w:rsidRPr="00D25EFA">
              <w:rPr>
                <w:rFonts w:ascii="Arial Narrow" w:hAnsi="Arial Narrow"/>
                <w:sz w:val="14"/>
                <w:szCs w:val="14"/>
                <w:lang w:eastAsia="cs-CZ"/>
              </w:rPr>
              <w:t>NA</w:t>
            </w:r>
          </w:p>
        </w:tc>
        <w:tc>
          <w:tcPr>
            <w:tcW w:w="381" w:type="pct"/>
            <w:tcBorders>
              <w:top w:val="dotted" w:sz="4" w:space="0" w:color="auto"/>
            </w:tcBorders>
            <w:vAlign w:val="center"/>
          </w:tcPr>
          <w:p w:rsidR="005403A6" w:rsidRPr="006A2BF3" w:rsidRDefault="005403A6" w:rsidP="000A02D3">
            <w:pPr>
              <w:jc w:val="center"/>
              <w:rPr>
                <w:rFonts w:ascii="Arial" w:hAnsi="Arial" w:cs="Arial"/>
                <w:sz w:val="16"/>
                <w:szCs w:val="16"/>
                <w:lang w:eastAsia="en-US"/>
              </w:rPr>
            </w:pPr>
            <w:r w:rsidRPr="00D25EFA">
              <w:rPr>
                <w:rFonts w:ascii="Arial Narrow" w:hAnsi="Arial Narrow"/>
                <w:sz w:val="14"/>
                <w:szCs w:val="14"/>
                <w:lang w:eastAsia="cs-CZ"/>
              </w:rPr>
              <w:t>NA</w:t>
            </w:r>
          </w:p>
        </w:tc>
        <w:tc>
          <w:tcPr>
            <w:tcW w:w="381" w:type="pct"/>
            <w:tcBorders>
              <w:top w:val="dotted" w:sz="4" w:space="0" w:color="auto"/>
            </w:tcBorders>
            <w:vAlign w:val="center"/>
          </w:tcPr>
          <w:p w:rsidR="005403A6" w:rsidRPr="006A2BF3" w:rsidRDefault="005403A6" w:rsidP="000A02D3">
            <w:pPr>
              <w:jc w:val="center"/>
              <w:rPr>
                <w:rFonts w:ascii="Arial" w:hAnsi="Arial" w:cs="Arial"/>
                <w:b/>
                <w:sz w:val="16"/>
                <w:szCs w:val="16"/>
                <w:lang w:eastAsia="en-US"/>
              </w:rPr>
            </w:pPr>
            <w:r w:rsidRPr="00D25EFA">
              <w:rPr>
                <w:rFonts w:ascii="Arial Narrow" w:hAnsi="Arial Narrow"/>
                <w:b/>
                <w:sz w:val="14"/>
                <w:szCs w:val="14"/>
                <w:lang w:eastAsia="cs-CZ"/>
              </w:rPr>
              <w:t>NA</w:t>
            </w:r>
          </w:p>
        </w:tc>
        <w:tc>
          <w:tcPr>
            <w:tcW w:w="354" w:type="pct"/>
            <w:tcBorders>
              <w:top w:val="dotted" w:sz="4" w:space="0" w:color="auto"/>
              <w:right w:val="single" w:sz="6" w:space="0" w:color="auto"/>
            </w:tcBorders>
            <w:vAlign w:val="center"/>
          </w:tcPr>
          <w:p w:rsidR="005403A6" w:rsidRPr="006A2BF3" w:rsidRDefault="005403A6" w:rsidP="000A02D3">
            <w:pPr>
              <w:jc w:val="center"/>
              <w:rPr>
                <w:rFonts w:ascii="Arial" w:hAnsi="Arial" w:cs="Arial"/>
                <w:b/>
                <w:sz w:val="16"/>
                <w:szCs w:val="16"/>
                <w:lang w:eastAsia="en-US"/>
              </w:rPr>
            </w:pPr>
            <w:r w:rsidRPr="00D25EFA">
              <w:rPr>
                <w:rFonts w:ascii="Arial Narrow" w:hAnsi="Arial Narrow"/>
                <w:b/>
                <w:sz w:val="14"/>
                <w:szCs w:val="14"/>
                <w:lang w:eastAsia="cs-CZ"/>
              </w:rPr>
              <w:t>NA</w:t>
            </w:r>
          </w:p>
        </w:tc>
      </w:tr>
      <w:tr w:rsidR="005403A6" w:rsidRPr="006A2BF3" w:rsidTr="001540E7">
        <w:trPr>
          <w:trHeight w:val="20"/>
        </w:trPr>
        <w:tc>
          <w:tcPr>
            <w:tcW w:w="688" w:type="pct"/>
            <w:vMerge w:val="restart"/>
            <w:tcBorders>
              <w:left w:val="single" w:sz="6" w:space="0" w:color="auto"/>
            </w:tcBorders>
            <w:vAlign w:val="center"/>
          </w:tcPr>
          <w:p w:rsidR="005403A6" w:rsidRPr="00C266A4" w:rsidRDefault="005403A6" w:rsidP="000A02D3">
            <w:pPr>
              <w:rPr>
                <w:rFonts w:ascii="Arial" w:hAnsi="Arial" w:cs="Arial"/>
                <w:sz w:val="16"/>
                <w:szCs w:val="16"/>
                <w:lang w:eastAsia="en-US"/>
              </w:rPr>
            </w:pPr>
            <w:r w:rsidRPr="00C266A4">
              <w:rPr>
                <w:rFonts w:ascii="Arial" w:hAnsi="Arial" w:cs="Arial"/>
                <w:sz w:val="16"/>
                <w:szCs w:val="16"/>
                <w:lang w:eastAsia="en-US"/>
              </w:rPr>
              <w:t>počet prístupov</w:t>
            </w:r>
          </w:p>
          <w:p w:rsidR="005403A6" w:rsidRPr="00C266A4" w:rsidRDefault="005403A6" w:rsidP="000A02D3">
            <w:pPr>
              <w:rPr>
                <w:rFonts w:ascii="Arial" w:hAnsi="Arial" w:cs="Arial"/>
                <w:sz w:val="16"/>
                <w:szCs w:val="16"/>
                <w:lang w:eastAsia="cs-CZ"/>
              </w:rPr>
            </w:pPr>
            <w:r w:rsidRPr="00C266A4">
              <w:rPr>
                <w:rFonts w:ascii="Arial" w:hAnsi="Arial" w:cs="Arial"/>
                <w:sz w:val="16"/>
                <w:szCs w:val="16"/>
                <w:lang w:eastAsia="en-US"/>
              </w:rPr>
              <w:t>na stránku za rok</w:t>
            </w:r>
          </w:p>
        </w:tc>
        <w:tc>
          <w:tcPr>
            <w:tcW w:w="618" w:type="pct"/>
            <w:tcBorders>
              <w:bottom w:val="dotted" w:sz="4" w:space="0" w:color="auto"/>
            </w:tcBorders>
            <w:vAlign w:val="center"/>
          </w:tcPr>
          <w:p w:rsidR="005403A6" w:rsidRPr="006A2BF3" w:rsidRDefault="005403A6" w:rsidP="000A02D3">
            <w:pPr>
              <w:rPr>
                <w:rFonts w:ascii="Arial" w:hAnsi="Arial" w:cs="Arial"/>
                <w:sz w:val="16"/>
                <w:szCs w:val="16"/>
                <w:lang w:eastAsia="en-US"/>
              </w:rPr>
            </w:pPr>
            <w:r w:rsidRPr="006A2BF3">
              <w:rPr>
                <w:rFonts w:ascii="Arial" w:hAnsi="Arial" w:cs="Arial"/>
                <w:sz w:val="16"/>
                <w:szCs w:val="16"/>
                <w:lang w:eastAsia="en-US"/>
              </w:rPr>
              <w:t>Dosiahnutý výsledok</w:t>
            </w:r>
          </w:p>
        </w:tc>
        <w:tc>
          <w:tcPr>
            <w:tcW w:w="293" w:type="pct"/>
            <w:tcBorders>
              <w:bottom w:val="dotted" w:sz="4" w:space="0" w:color="auto"/>
            </w:tcBorders>
            <w:vAlign w:val="center"/>
          </w:tcPr>
          <w:p w:rsidR="005403A6" w:rsidRPr="006A2BF3" w:rsidRDefault="005403A6" w:rsidP="000A02D3">
            <w:pPr>
              <w:jc w:val="center"/>
              <w:rPr>
                <w:rFonts w:ascii="Arial" w:hAnsi="Arial" w:cs="Arial"/>
                <w:b/>
                <w:sz w:val="16"/>
                <w:szCs w:val="16"/>
                <w:lang w:eastAsia="cs-CZ"/>
              </w:rPr>
            </w:pPr>
            <w:r w:rsidRPr="00D25EFA">
              <w:rPr>
                <w:rFonts w:ascii="Arial Narrow" w:hAnsi="Arial Narrow"/>
                <w:sz w:val="14"/>
                <w:szCs w:val="14"/>
                <w:lang w:eastAsia="cs-CZ"/>
              </w:rPr>
              <w:t>1 606</w:t>
            </w:r>
          </w:p>
        </w:tc>
        <w:tc>
          <w:tcPr>
            <w:tcW w:w="381" w:type="pct"/>
            <w:tcBorders>
              <w:bottom w:val="dotted" w:sz="4" w:space="0" w:color="auto"/>
            </w:tcBorders>
            <w:vAlign w:val="center"/>
          </w:tcPr>
          <w:p w:rsidR="005403A6" w:rsidRPr="006A2BF3" w:rsidRDefault="005403A6" w:rsidP="000A02D3">
            <w:pPr>
              <w:jc w:val="center"/>
              <w:rPr>
                <w:rFonts w:ascii="Arial" w:hAnsi="Arial" w:cs="Arial"/>
                <w:b/>
                <w:sz w:val="16"/>
                <w:szCs w:val="16"/>
                <w:lang w:eastAsia="cs-CZ"/>
              </w:rPr>
            </w:pPr>
            <w:r w:rsidRPr="00D25EFA">
              <w:rPr>
                <w:rFonts w:ascii="Arial Narrow" w:hAnsi="Arial Narrow"/>
                <w:sz w:val="14"/>
                <w:szCs w:val="14"/>
                <w:lang w:eastAsia="cs-CZ"/>
              </w:rPr>
              <w:t>90707</w:t>
            </w:r>
          </w:p>
        </w:tc>
        <w:tc>
          <w:tcPr>
            <w:tcW w:w="388" w:type="pct"/>
            <w:gridSpan w:val="2"/>
            <w:tcBorders>
              <w:bottom w:val="dotted" w:sz="4" w:space="0" w:color="auto"/>
            </w:tcBorders>
            <w:vAlign w:val="center"/>
          </w:tcPr>
          <w:p w:rsidR="005403A6" w:rsidRPr="006A2BF3" w:rsidRDefault="005403A6" w:rsidP="000A02D3">
            <w:pPr>
              <w:jc w:val="center"/>
              <w:rPr>
                <w:rFonts w:ascii="Arial" w:hAnsi="Arial" w:cs="Arial"/>
                <w:b/>
                <w:sz w:val="16"/>
                <w:szCs w:val="16"/>
                <w:lang w:eastAsia="en-US"/>
              </w:rPr>
            </w:pPr>
            <w:r w:rsidRPr="00D25EFA">
              <w:rPr>
                <w:rFonts w:ascii="Arial Narrow" w:hAnsi="Arial Narrow"/>
                <w:sz w:val="14"/>
                <w:szCs w:val="14"/>
              </w:rPr>
              <w:t>194183</w:t>
            </w:r>
          </w:p>
        </w:tc>
        <w:tc>
          <w:tcPr>
            <w:tcW w:w="374" w:type="pct"/>
            <w:tcBorders>
              <w:bottom w:val="dotted" w:sz="4" w:space="0" w:color="auto"/>
            </w:tcBorders>
            <w:vAlign w:val="center"/>
          </w:tcPr>
          <w:p w:rsidR="005403A6" w:rsidRPr="006A2BF3" w:rsidRDefault="005403A6" w:rsidP="000A02D3">
            <w:pPr>
              <w:jc w:val="center"/>
              <w:rPr>
                <w:rFonts w:ascii="Arial" w:hAnsi="Arial" w:cs="Arial"/>
                <w:b/>
                <w:sz w:val="16"/>
                <w:szCs w:val="16"/>
                <w:lang w:eastAsia="en-US"/>
              </w:rPr>
            </w:pPr>
            <w:r w:rsidRPr="00D25EFA">
              <w:rPr>
                <w:rFonts w:ascii="Arial Narrow" w:hAnsi="Arial Narrow"/>
                <w:sz w:val="14"/>
                <w:szCs w:val="14"/>
              </w:rPr>
              <w:t>361918</w:t>
            </w:r>
          </w:p>
        </w:tc>
        <w:tc>
          <w:tcPr>
            <w:tcW w:w="381" w:type="pct"/>
            <w:tcBorders>
              <w:bottom w:val="dotted" w:sz="4" w:space="0" w:color="auto"/>
            </w:tcBorders>
            <w:vAlign w:val="center"/>
          </w:tcPr>
          <w:p w:rsidR="005403A6" w:rsidRPr="006A2BF3" w:rsidRDefault="005403A6" w:rsidP="000A02D3">
            <w:pPr>
              <w:jc w:val="center"/>
              <w:rPr>
                <w:rFonts w:ascii="Arial" w:hAnsi="Arial" w:cs="Arial"/>
                <w:b/>
                <w:sz w:val="16"/>
                <w:szCs w:val="16"/>
                <w:lang w:eastAsia="en-US"/>
              </w:rPr>
            </w:pPr>
            <w:r w:rsidRPr="00D25EFA">
              <w:rPr>
                <w:rFonts w:ascii="Arial Narrow" w:hAnsi="Arial Narrow"/>
                <w:sz w:val="14"/>
                <w:szCs w:val="14"/>
                <w:lang w:eastAsia="cs-CZ"/>
              </w:rPr>
              <w:t>479566</w:t>
            </w:r>
          </w:p>
        </w:tc>
        <w:tc>
          <w:tcPr>
            <w:tcW w:w="381" w:type="pct"/>
            <w:tcBorders>
              <w:bottom w:val="dotted" w:sz="4" w:space="0" w:color="auto"/>
            </w:tcBorders>
            <w:vAlign w:val="center"/>
          </w:tcPr>
          <w:p w:rsidR="005403A6" w:rsidRPr="006A2BF3" w:rsidRDefault="005403A6" w:rsidP="000A02D3">
            <w:pPr>
              <w:jc w:val="center"/>
              <w:rPr>
                <w:rFonts w:ascii="Arial" w:hAnsi="Arial" w:cs="Arial"/>
                <w:sz w:val="16"/>
                <w:szCs w:val="16"/>
                <w:lang w:eastAsia="en-US"/>
              </w:rPr>
            </w:pPr>
            <w:r w:rsidRPr="00D25EFA">
              <w:rPr>
                <w:rFonts w:ascii="Arial Narrow" w:hAnsi="Arial Narrow"/>
                <w:sz w:val="14"/>
                <w:szCs w:val="14"/>
                <w:lang w:eastAsia="cs-CZ"/>
              </w:rPr>
              <w:t>545947</w:t>
            </w:r>
          </w:p>
        </w:tc>
        <w:tc>
          <w:tcPr>
            <w:tcW w:w="381" w:type="pct"/>
            <w:tcBorders>
              <w:bottom w:val="dotted" w:sz="4" w:space="0" w:color="auto"/>
            </w:tcBorders>
            <w:vAlign w:val="center"/>
          </w:tcPr>
          <w:p w:rsidR="005403A6" w:rsidRPr="006A2BF3" w:rsidRDefault="005403A6" w:rsidP="000A02D3">
            <w:pPr>
              <w:jc w:val="center"/>
              <w:rPr>
                <w:rFonts w:ascii="Arial" w:hAnsi="Arial" w:cs="Arial"/>
                <w:sz w:val="16"/>
                <w:szCs w:val="16"/>
                <w:lang w:eastAsia="en-US"/>
              </w:rPr>
            </w:pPr>
            <w:r w:rsidRPr="00D25EFA">
              <w:rPr>
                <w:rFonts w:ascii="Arial Narrow" w:hAnsi="Arial Narrow"/>
                <w:sz w:val="14"/>
                <w:szCs w:val="14"/>
                <w:lang w:eastAsia="cs-CZ"/>
              </w:rPr>
              <w:t>NA</w:t>
            </w:r>
          </w:p>
        </w:tc>
        <w:tc>
          <w:tcPr>
            <w:tcW w:w="381" w:type="pct"/>
            <w:tcBorders>
              <w:bottom w:val="dotted" w:sz="4" w:space="0" w:color="auto"/>
            </w:tcBorders>
            <w:vAlign w:val="center"/>
          </w:tcPr>
          <w:p w:rsidR="005403A6" w:rsidRPr="006A2BF3" w:rsidRDefault="005403A6" w:rsidP="000A02D3">
            <w:pPr>
              <w:jc w:val="center"/>
              <w:rPr>
                <w:rFonts w:ascii="Arial" w:hAnsi="Arial" w:cs="Arial"/>
                <w:sz w:val="16"/>
                <w:szCs w:val="16"/>
                <w:lang w:eastAsia="en-US"/>
              </w:rPr>
            </w:pPr>
            <w:r w:rsidRPr="00D25EFA">
              <w:rPr>
                <w:rFonts w:ascii="Arial Narrow" w:hAnsi="Arial Narrow"/>
                <w:sz w:val="14"/>
                <w:szCs w:val="14"/>
                <w:lang w:eastAsia="cs-CZ"/>
              </w:rPr>
              <w:t>NA</w:t>
            </w:r>
          </w:p>
        </w:tc>
        <w:tc>
          <w:tcPr>
            <w:tcW w:w="381" w:type="pct"/>
            <w:tcBorders>
              <w:bottom w:val="dotted" w:sz="4" w:space="0" w:color="auto"/>
            </w:tcBorders>
            <w:vAlign w:val="center"/>
          </w:tcPr>
          <w:p w:rsidR="005403A6" w:rsidRPr="006A2BF3" w:rsidRDefault="005403A6" w:rsidP="000A02D3">
            <w:pPr>
              <w:jc w:val="center"/>
              <w:rPr>
                <w:rFonts w:ascii="Arial" w:hAnsi="Arial" w:cs="Arial"/>
                <w:b/>
                <w:sz w:val="16"/>
                <w:szCs w:val="16"/>
                <w:lang w:eastAsia="en-US"/>
              </w:rPr>
            </w:pPr>
            <w:r w:rsidRPr="00D25EFA">
              <w:rPr>
                <w:rFonts w:ascii="Arial Narrow" w:hAnsi="Arial Narrow"/>
                <w:b/>
                <w:sz w:val="14"/>
                <w:szCs w:val="14"/>
                <w:lang w:eastAsia="cs-CZ"/>
              </w:rPr>
              <w:t>NA</w:t>
            </w:r>
          </w:p>
        </w:tc>
        <w:tc>
          <w:tcPr>
            <w:tcW w:w="354" w:type="pct"/>
            <w:tcBorders>
              <w:bottom w:val="dotted" w:sz="4" w:space="0" w:color="auto"/>
              <w:right w:val="single" w:sz="6" w:space="0" w:color="auto"/>
            </w:tcBorders>
            <w:vAlign w:val="center"/>
          </w:tcPr>
          <w:p w:rsidR="005403A6" w:rsidRPr="006A2BF3" w:rsidRDefault="005403A6" w:rsidP="000A02D3">
            <w:pPr>
              <w:jc w:val="center"/>
              <w:rPr>
                <w:rFonts w:ascii="Arial" w:hAnsi="Arial" w:cs="Arial"/>
                <w:b/>
                <w:sz w:val="16"/>
                <w:szCs w:val="16"/>
                <w:lang w:eastAsia="cs-CZ"/>
              </w:rPr>
            </w:pPr>
            <w:r w:rsidRPr="00D25EFA">
              <w:rPr>
                <w:rFonts w:ascii="Arial Narrow" w:hAnsi="Arial Narrow"/>
                <w:b/>
                <w:sz w:val="14"/>
                <w:szCs w:val="14"/>
                <w:lang w:eastAsia="cs-CZ"/>
              </w:rPr>
              <w:t>545947</w:t>
            </w:r>
          </w:p>
        </w:tc>
      </w:tr>
      <w:tr w:rsidR="005403A6" w:rsidRPr="006A2BF3" w:rsidTr="001540E7">
        <w:trPr>
          <w:trHeight w:val="20"/>
        </w:trPr>
        <w:tc>
          <w:tcPr>
            <w:tcW w:w="688" w:type="pct"/>
            <w:vMerge/>
            <w:tcBorders>
              <w:left w:val="single" w:sz="6" w:space="0" w:color="auto"/>
            </w:tcBorders>
            <w:vAlign w:val="center"/>
          </w:tcPr>
          <w:p w:rsidR="005403A6" w:rsidRPr="006A2BF3" w:rsidRDefault="005403A6" w:rsidP="000A02D3">
            <w:pPr>
              <w:rPr>
                <w:rFonts w:ascii="Arial" w:hAnsi="Arial" w:cs="Arial"/>
                <w:b/>
                <w:sz w:val="16"/>
                <w:szCs w:val="16"/>
                <w:lang w:eastAsia="cs-CZ"/>
              </w:rPr>
            </w:pPr>
          </w:p>
        </w:tc>
        <w:tc>
          <w:tcPr>
            <w:tcW w:w="618" w:type="pct"/>
            <w:tcBorders>
              <w:top w:val="dotted" w:sz="4" w:space="0" w:color="auto"/>
              <w:bottom w:val="dotted" w:sz="4" w:space="0" w:color="auto"/>
            </w:tcBorders>
            <w:vAlign w:val="center"/>
          </w:tcPr>
          <w:p w:rsidR="005403A6" w:rsidRPr="006A2BF3" w:rsidRDefault="005403A6" w:rsidP="000A02D3">
            <w:pPr>
              <w:rPr>
                <w:rFonts w:ascii="Arial" w:hAnsi="Arial" w:cs="Arial"/>
                <w:sz w:val="16"/>
                <w:szCs w:val="16"/>
                <w:lang w:eastAsia="en-US"/>
              </w:rPr>
            </w:pPr>
            <w:r w:rsidRPr="006A2BF3">
              <w:rPr>
                <w:rFonts w:ascii="Arial" w:hAnsi="Arial" w:cs="Arial"/>
                <w:sz w:val="16"/>
                <w:szCs w:val="16"/>
                <w:lang w:eastAsia="en-US"/>
              </w:rPr>
              <w:t>Cieľ</w:t>
            </w:r>
          </w:p>
        </w:tc>
        <w:tc>
          <w:tcPr>
            <w:tcW w:w="293" w:type="pct"/>
            <w:tcBorders>
              <w:top w:val="dotted" w:sz="4" w:space="0" w:color="auto"/>
              <w:bottom w:val="dotted" w:sz="4" w:space="0" w:color="auto"/>
            </w:tcBorders>
            <w:vAlign w:val="center"/>
          </w:tcPr>
          <w:p w:rsidR="005403A6" w:rsidRPr="006A2BF3" w:rsidRDefault="005403A6" w:rsidP="000A02D3">
            <w:pPr>
              <w:jc w:val="center"/>
              <w:rPr>
                <w:rFonts w:ascii="Arial" w:hAnsi="Arial" w:cs="Arial"/>
                <w:sz w:val="16"/>
                <w:szCs w:val="16"/>
                <w:lang w:eastAsia="cs-CZ"/>
              </w:rPr>
            </w:pPr>
            <w:r w:rsidRPr="00D25EFA">
              <w:rPr>
                <w:rFonts w:ascii="Arial Narrow" w:hAnsi="Arial Narrow"/>
                <w:sz w:val="14"/>
                <w:szCs w:val="14"/>
                <w:lang w:eastAsia="cs-CZ"/>
              </w:rPr>
              <w:t>NA</w:t>
            </w:r>
          </w:p>
        </w:tc>
        <w:tc>
          <w:tcPr>
            <w:tcW w:w="381" w:type="pct"/>
            <w:tcBorders>
              <w:top w:val="dotted" w:sz="4" w:space="0" w:color="auto"/>
              <w:bottom w:val="dotted" w:sz="4" w:space="0" w:color="auto"/>
            </w:tcBorders>
            <w:vAlign w:val="center"/>
          </w:tcPr>
          <w:p w:rsidR="005403A6" w:rsidRPr="006A2BF3" w:rsidRDefault="005403A6" w:rsidP="000A02D3">
            <w:pPr>
              <w:jc w:val="center"/>
              <w:rPr>
                <w:rFonts w:ascii="Arial" w:hAnsi="Arial" w:cs="Arial"/>
                <w:sz w:val="16"/>
                <w:szCs w:val="16"/>
                <w:lang w:eastAsia="en-US"/>
              </w:rPr>
            </w:pPr>
            <w:r w:rsidRPr="00D25EFA">
              <w:rPr>
                <w:rFonts w:ascii="Arial Narrow" w:hAnsi="Arial Narrow"/>
                <w:sz w:val="14"/>
                <w:szCs w:val="14"/>
                <w:lang w:eastAsia="cs-CZ"/>
              </w:rPr>
              <w:t>NA</w:t>
            </w:r>
          </w:p>
        </w:tc>
        <w:tc>
          <w:tcPr>
            <w:tcW w:w="388" w:type="pct"/>
            <w:gridSpan w:val="2"/>
            <w:tcBorders>
              <w:top w:val="dotted" w:sz="4" w:space="0" w:color="auto"/>
              <w:bottom w:val="dotted" w:sz="4" w:space="0" w:color="auto"/>
            </w:tcBorders>
            <w:vAlign w:val="center"/>
          </w:tcPr>
          <w:p w:rsidR="005403A6" w:rsidRPr="006A2BF3" w:rsidRDefault="005403A6" w:rsidP="000A02D3">
            <w:pPr>
              <w:jc w:val="center"/>
              <w:rPr>
                <w:rFonts w:ascii="Arial" w:hAnsi="Arial" w:cs="Arial"/>
                <w:sz w:val="16"/>
                <w:szCs w:val="16"/>
                <w:lang w:eastAsia="en-US"/>
              </w:rPr>
            </w:pPr>
            <w:r w:rsidRPr="00D25EFA">
              <w:rPr>
                <w:rFonts w:ascii="Arial Narrow" w:hAnsi="Arial Narrow"/>
                <w:sz w:val="14"/>
                <w:szCs w:val="14"/>
                <w:lang w:eastAsia="cs-CZ"/>
              </w:rPr>
              <w:t>NA</w:t>
            </w:r>
          </w:p>
        </w:tc>
        <w:tc>
          <w:tcPr>
            <w:tcW w:w="374" w:type="pct"/>
            <w:tcBorders>
              <w:top w:val="dotted" w:sz="4" w:space="0" w:color="auto"/>
              <w:bottom w:val="dotted" w:sz="4" w:space="0" w:color="auto"/>
            </w:tcBorders>
            <w:vAlign w:val="center"/>
          </w:tcPr>
          <w:p w:rsidR="005403A6" w:rsidRPr="006A2BF3" w:rsidRDefault="005403A6" w:rsidP="000A02D3">
            <w:pPr>
              <w:jc w:val="center"/>
              <w:rPr>
                <w:rFonts w:ascii="Arial" w:hAnsi="Arial" w:cs="Arial"/>
                <w:sz w:val="16"/>
                <w:szCs w:val="16"/>
                <w:lang w:eastAsia="en-US"/>
              </w:rPr>
            </w:pPr>
            <w:r w:rsidRPr="00D25EFA">
              <w:rPr>
                <w:rFonts w:ascii="Arial Narrow" w:hAnsi="Arial Narrow"/>
                <w:sz w:val="14"/>
                <w:szCs w:val="14"/>
                <w:lang w:eastAsia="cs-CZ"/>
              </w:rPr>
              <w:t>NA</w:t>
            </w:r>
          </w:p>
        </w:tc>
        <w:tc>
          <w:tcPr>
            <w:tcW w:w="381" w:type="pct"/>
            <w:tcBorders>
              <w:top w:val="dotted" w:sz="4" w:space="0" w:color="auto"/>
              <w:bottom w:val="dotted" w:sz="4" w:space="0" w:color="auto"/>
            </w:tcBorders>
            <w:vAlign w:val="center"/>
          </w:tcPr>
          <w:p w:rsidR="005403A6" w:rsidRPr="006A2BF3" w:rsidRDefault="005403A6" w:rsidP="000A02D3">
            <w:pPr>
              <w:jc w:val="center"/>
              <w:rPr>
                <w:rFonts w:ascii="Arial" w:hAnsi="Arial" w:cs="Arial"/>
                <w:sz w:val="16"/>
                <w:szCs w:val="16"/>
                <w:lang w:eastAsia="en-US"/>
              </w:rPr>
            </w:pPr>
            <w:r w:rsidRPr="00D25EFA">
              <w:rPr>
                <w:rFonts w:ascii="Arial Narrow" w:hAnsi="Arial Narrow"/>
                <w:sz w:val="14"/>
                <w:szCs w:val="14"/>
                <w:lang w:eastAsia="cs-CZ"/>
              </w:rPr>
              <w:t>NA</w:t>
            </w:r>
          </w:p>
        </w:tc>
        <w:tc>
          <w:tcPr>
            <w:tcW w:w="381" w:type="pct"/>
            <w:tcBorders>
              <w:top w:val="dotted" w:sz="4" w:space="0" w:color="auto"/>
              <w:bottom w:val="dotted" w:sz="4" w:space="0" w:color="auto"/>
            </w:tcBorders>
            <w:vAlign w:val="center"/>
          </w:tcPr>
          <w:p w:rsidR="005403A6" w:rsidRPr="006A2BF3" w:rsidRDefault="005403A6" w:rsidP="000A02D3">
            <w:pPr>
              <w:jc w:val="center"/>
              <w:rPr>
                <w:rFonts w:ascii="Arial" w:hAnsi="Arial" w:cs="Arial"/>
                <w:sz w:val="16"/>
                <w:szCs w:val="16"/>
                <w:lang w:eastAsia="en-US"/>
              </w:rPr>
            </w:pPr>
            <w:r w:rsidRPr="00D25EFA">
              <w:rPr>
                <w:rFonts w:ascii="Arial Narrow" w:hAnsi="Arial Narrow"/>
                <w:sz w:val="14"/>
                <w:szCs w:val="14"/>
                <w:lang w:eastAsia="cs-CZ"/>
              </w:rPr>
              <w:t>NA</w:t>
            </w:r>
          </w:p>
        </w:tc>
        <w:tc>
          <w:tcPr>
            <w:tcW w:w="381" w:type="pct"/>
            <w:tcBorders>
              <w:top w:val="dotted" w:sz="4" w:space="0" w:color="auto"/>
              <w:bottom w:val="dotted" w:sz="4" w:space="0" w:color="auto"/>
            </w:tcBorders>
            <w:vAlign w:val="center"/>
          </w:tcPr>
          <w:p w:rsidR="005403A6" w:rsidRPr="006A2BF3" w:rsidRDefault="005403A6" w:rsidP="000A02D3">
            <w:pPr>
              <w:jc w:val="center"/>
              <w:rPr>
                <w:rFonts w:ascii="Arial" w:hAnsi="Arial" w:cs="Arial"/>
                <w:sz w:val="16"/>
                <w:szCs w:val="16"/>
                <w:lang w:eastAsia="en-US"/>
              </w:rPr>
            </w:pPr>
            <w:r w:rsidRPr="00D25EFA">
              <w:rPr>
                <w:rFonts w:ascii="Arial Narrow" w:hAnsi="Arial Narrow"/>
                <w:sz w:val="14"/>
                <w:szCs w:val="14"/>
                <w:lang w:eastAsia="cs-CZ"/>
              </w:rPr>
              <w:t>NA</w:t>
            </w:r>
          </w:p>
        </w:tc>
        <w:tc>
          <w:tcPr>
            <w:tcW w:w="381" w:type="pct"/>
            <w:tcBorders>
              <w:top w:val="dotted" w:sz="4" w:space="0" w:color="auto"/>
              <w:bottom w:val="dotted" w:sz="4" w:space="0" w:color="auto"/>
            </w:tcBorders>
            <w:vAlign w:val="center"/>
          </w:tcPr>
          <w:p w:rsidR="005403A6" w:rsidRPr="006A2BF3" w:rsidRDefault="005403A6" w:rsidP="000A02D3">
            <w:pPr>
              <w:jc w:val="center"/>
              <w:rPr>
                <w:rFonts w:ascii="Arial" w:hAnsi="Arial" w:cs="Arial"/>
                <w:sz w:val="16"/>
                <w:szCs w:val="16"/>
                <w:lang w:eastAsia="en-US"/>
              </w:rPr>
            </w:pPr>
            <w:r w:rsidRPr="00D25EFA">
              <w:rPr>
                <w:rFonts w:ascii="Arial Narrow" w:hAnsi="Arial Narrow"/>
                <w:sz w:val="14"/>
                <w:szCs w:val="14"/>
                <w:lang w:eastAsia="cs-CZ"/>
              </w:rPr>
              <w:t>NA</w:t>
            </w:r>
          </w:p>
        </w:tc>
        <w:tc>
          <w:tcPr>
            <w:tcW w:w="381" w:type="pct"/>
            <w:tcBorders>
              <w:top w:val="dotted" w:sz="4" w:space="0" w:color="auto"/>
              <w:bottom w:val="dotted" w:sz="4" w:space="0" w:color="auto"/>
            </w:tcBorders>
            <w:vAlign w:val="center"/>
          </w:tcPr>
          <w:p w:rsidR="005403A6" w:rsidRPr="006A2BF3" w:rsidRDefault="005403A6" w:rsidP="000A02D3">
            <w:pPr>
              <w:jc w:val="center"/>
              <w:rPr>
                <w:rFonts w:ascii="Arial" w:hAnsi="Arial" w:cs="Arial"/>
                <w:b/>
                <w:sz w:val="16"/>
                <w:szCs w:val="16"/>
                <w:lang w:eastAsia="cs-CZ"/>
              </w:rPr>
            </w:pPr>
            <w:r w:rsidRPr="00D25EFA">
              <w:rPr>
                <w:rFonts w:ascii="Arial Narrow" w:hAnsi="Arial Narrow"/>
                <w:b/>
                <w:sz w:val="14"/>
                <w:szCs w:val="14"/>
                <w:lang w:eastAsia="cs-CZ"/>
              </w:rPr>
              <w:t>700000</w:t>
            </w:r>
          </w:p>
        </w:tc>
        <w:tc>
          <w:tcPr>
            <w:tcW w:w="354" w:type="pct"/>
            <w:tcBorders>
              <w:top w:val="dotted" w:sz="4" w:space="0" w:color="auto"/>
              <w:bottom w:val="dotted" w:sz="4" w:space="0" w:color="auto"/>
              <w:right w:val="single" w:sz="6" w:space="0" w:color="auto"/>
            </w:tcBorders>
            <w:vAlign w:val="center"/>
          </w:tcPr>
          <w:p w:rsidR="005403A6" w:rsidRPr="006A2BF3" w:rsidRDefault="005403A6" w:rsidP="000A02D3">
            <w:pPr>
              <w:jc w:val="center"/>
              <w:rPr>
                <w:rFonts w:ascii="Arial" w:hAnsi="Arial" w:cs="Arial"/>
                <w:b/>
                <w:sz w:val="16"/>
                <w:szCs w:val="16"/>
                <w:lang w:eastAsia="cs-CZ"/>
              </w:rPr>
            </w:pPr>
            <w:r w:rsidRPr="00D25EFA">
              <w:rPr>
                <w:rFonts w:ascii="Arial Narrow" w:hAnsi="Arial Narrow"/>
                <w:b/>
                <w:sz w:val="14"/>
                <w:szCs w:val="14"/>
                <w:lang w:eastAsia="cs-CZ"/>
              </w:rPr>
              <w:t>NA</w:t>
            </w:r>
          </w:p>
        </w:tc>
      </w:tr>
      <w:tr w:rsidR="005403A6" w:rsidRPr="006A2BF3" w:rsidTr="001540E7">
        <w:trPr>
          <w:trHeight w:val="20"/>
        </w:trPr>
        <w:tc>
          <w:tcPr>
            <w:tcW w:w="688" w:type="pct"/>
            <w:vMerge/>
            <w:tcBorders>
              <w:left w:val="single" w:sz="6" w:space="0" w:color="auto"/>
            </w:tcBorders>
            <w:vAlign w:val="center"/>
          </w:tcPr>
          <w:p w:rsidR="005403A6" w:rsidRPr="006A2BF3" w:rsidRDefault="005403A6" w:rsidP="000A02D3">
            <w:pPr>
              <w:rPr>
                <w:rFonts w:ascii="Arial" w:hAnsi="Arial" w:cs="Arial"/>
                <w:b/>
                <w:sz w:val="16"/>
                <w:szCs w:val="16"/>
                <w:lang w:eastAsia="cs-CZ"/>
              </w:rPr>
            </w:pPr>
          </w:p>
        </w:tc>
        <w:tc>
          <w:tcPr>
            <w:tcW w:w="618" w:type="pct"/>
            <w:tcBorders>
              <w:top w:val="dotted" w:sz="4" w:space="0" w:color="auto"/>
            </w:tcBorders>
            <w:vAlign w:val="center"/>
          </w:tcPr>
          <w:p w:rsidR="005403A6" w:rsidRPr="006A2BF3" w:rsidRDefault="005403A6" w:rsidP="000A02D3">
            <w:pPr>
              <w:rPr>
                <w:rFonts w:ascii="Arial" w:hAnsi="Arial" w:cs="Arial"/>
                <w:sz w:val="16"/>
                <w:szCs w:val="16"/>
                <w:lang w:eastAsia="en-US"/>
              </w:rPr>
            </w:pPr>
            <w:r w:rsidRPr="006A2BF3">
              <w:rPr>
                <w:rFonts w:ascii="Arial" w:hAnsi="Arial" w:cs="Arial"/>
                <w:sz w:val="16"/>
                <w:szCs w:val="16"/>
                <w:lang w:eastAsia="en-US"/>
              </w:rPr>
              <w:t>Východisko</w:t>
            </w:r>
          </w:p>
        </w:tc>
        <w:tc>
          <w:tcPr>
            <w:tcW w:w="293" w:type="pct"/>
            <w:tcBorders>
              <w:top w:val="dotted" w:sz="4" w:space="0" w:color="auto"/>
            </w:tcBorders>
            <w:vAlign w:val="center"/>
          </w:tcPr>
          <w:p w:rsidR="005403A6" w:rsidRPr="006A2BF3" w:rsidRDefault="005403A6" w:rsidP="000A02D3">
            <w:pPr>
              <w:jc w:val="center"/>
              <w:rPr>
                <w:rFonts w:ascii="Arial" w:hAnsi="Arial" w:cs="Arial"/>
                <w:b/>
                <w:sz w:val="16"/>
                <w:szCs w:val="16"/>
                <w:lang w:eastAsia="cs-CZ"/>
              </w:rPr>
            </w:pPr>
            <w:r w:rsidRPr="00D25EFA">
              <w:rPr>
                <w:rFonts w:ascii="Arial Narrow" w:hAnsi="Arial Narrow"/>
                <w:sz w:val="14"/>
                <w:szCs w:val="14"/>
                <w:lang w:eastAsia="cs-CZ"/>
              </w:rPr>
              <w:t>0</w:t>
            </w:r>
          </w:p>
        </w:tc>
        <w:tc>
          <w:tcPr>
            <w:tcW w:w="381" w:type="pct"/>
            <w:tcBorders>
              <w:top w:val="dotted" w:sz="4" w:space="0" w:color="auto"/>
            </w:tcBorders>
            <w:vAlign w:val="center"/>
          </w:tcPr>
          <w:p w:rsidR="005403A6" w:rsidRPr="004B33AE" w:rsidRDefault="005403A6" w:rsidP="000A02D3">
            <w:pPr>
              <w:jc w:val="center"/>
              <w:rPr>
                <w:rFonts w:ascii="Arial" w:hAnsi="Arial" w:cs="Arial"/>
                <w:sz w:val="16"/>
                <w:szCs w:val="16"/>
                <w:lang w:eastAsia="en-US"/>
              </w:rPr>
            </w:pPr>
            <w:r w:rsidRPr="00D25EFA">
              <w:rPr>
                <w:rFonts w:ascii="Arial Narrow" w:hAnsi="Arial Narrow"/>
                <w:sz w:val="14"/>
                <w:szCs w:val="14"/>
                <w:lang w:eastAsia="cs-CZ"/>
              </w:rPr>
              <w:t>NA</w:t>
            </w:r>
          </w:p>
        </w:tc>
        <w:tc>
          <w:tcPr>
            <w:tcW w:w="388" w:type="pct"/>
            <w:gridSpan w:val="2"/>
            <w:tcBorders>
              <w:top w:val="dotted" w:sz="4" w:space="0" w:color="auto"/>
            </w:tcBorders>
            <w:vAlign w:val="center"/>
          </w:tcPr>
          <w:p w:rsidR="005403A6" w:rsidRPr="004B33AE" w:rsidRDefault="005403A6" w:rsidP="000A02D3">
            <w:pPr>
              <w:jc w:val="center"/>
              <w:rPr>
                <w:rFonts w:ascii="Arial" w:hAnsi="Arial" w:cs="Arial"/>
                <w:sz w:val="16"/>
                <w:szCs w:val="16"/>
                <w:lang w:eastAsia="en-US"/>
              </w:rPr>
            </w:pPr>
            <w:r w:rsidRPr="00D25EFA">
              <w:rPr>
                <w:rFonts w:ascii="Arial Narrow" w:hAnsi="Arial Narrow"/>
                <w:sz w:val="14"/>
                <w:szCs w:val="14"/>
                <w:lang w:eastAsia="cs-CZ"/>
              </w:rPr>
              <w:t>NA</w:t>
            </w:r>
          </w:p>
        </w:tc>
        <w:tc>
          <w:tcPr>
            <w:tcW w:w="374" w:type="pct"/>
            <w:tcBorders>
              <w:top w:val="dotted" w:sz="4" w:space="0" w:color="auto"/>
            </w:tcBorders>
            <w:vAlign w:val="center"/>
          </w:tcPr>
          <w:p w:rsidR="005403A6" w:rsidRPr="004B33AE" w:rsidRDefault="005403A6" w:rsidP="000A02D3">
            <w:pPr>
              <w:jc w:val="center"/>
              <w:rPr>
                <w:rFonts w:ascii="Arial" w:hAnsi="Arial" w:cs="Arial"/>
                <w:sz w:val="16"/>
                <w:szCs w:val="16"/>
                <w:lang w:eastAsia="en-US"/>
              </w:rPr>
            </w:pPr>
            <w:r w:rsidRPr="00D25EFA">
              <w:rPr>
                <w:rFonts w:ascii="Arial Narrow" w:hAnsi="Arial Narrow"/>
                <w:sz w:val="14"/>
                <w:szCs w:val="14"/>
                <w:lang w:eastAsia="cs-CZ"/>
              </w:rPr>
              <w:t>NA</w:t>
            </w:r>
          </w:p>
        </w:tc>
        <w:tc>
          <w:tcPr>
            <w:tcW w:w="381" w:type="pct"/>
            <w:tcBorders>
              <w:top w:val="dotted" w:sz="4" w:space="0" w:color="auto"/>
            </w:tcBorders>
            <w:vAlign w:val="center"/>
          </w:tcPr>
          <w:p w:rsidR="005403A6" w:rsidRPr="004B33AE" w:rsidRDefault="005403A6" w:rsidP="000A02D3">
            <w:pPr>
              <w:jc w:val="center"/>
              <w:rPr>
                <w:rFonts w:ascii="Arial" w:hAnsi="Arial" w:cs="Arial"/>
                <w:sz w:val="16"/>
                <w:szCs w:val="16"/>
                <w:lang w:eastAsia="en-US"/>
              </w:rPr>
            </w:pPr>
            <w:r w:rsidRPr="00D25EFA">
              <w:rPr>
                <w:rFonts w:ascii="Arial Narrow" w:hAnsi="Arial Narrow"/>
                <w:sz w:val="14"/>
                <w:szCs w:val="14"/>
                <w:lang w:eastAsia="cs-CZ"/>
              </w:rPr>
              <w:t>NA</w:t>
            </w:r>
          </w:p>
        </w:tc>
        <w:tc>
          <w:tcPr>
            <w:tcW w:w="381" w:type="pct"/>
            <w:tcBorders>
              <w:top w:val="dotted" w:sz="4" w:space="0" w:color="auto"/>
            </w:tcBorders>
            <w:vAlign w:val="center"/>
          </w:tcPr>
          <w:p w:rsidR="005403A6" w:rsidRPr="004B33AE" w:rsidRDefault="005403A6" w:rsidP="000A02D3">
            <w:pPr>
              <w:jc w:val="center"/>
              <w:rPr>
                <w:rFonts w:ascii="Arial" w:hAnsi="Arial" w:cs="Arial"/>
                <w:sz w:val="16"/>
                <w:szCs w:val="16"/>
                <w:lang w:eastAsia="en-US"/>
              </w:rPr>
            </w:pPr>
            <w:r w:rsidRPr="00D25EFA">
              <w:rPr>
                <w:rFonts w:ascii="Arial Narrow" w:hAnsi="Arial Narrow"/>
                <w:sz w:val="14"/>
                <w:szCs w:val="14"/>
                <w:lang w:eastAsia="cs-CZ"/>
              </w:rPr>
              <w:t>NA</w:t>
            </w:r>
          </w:p>
        </w:tc>
        <w:tc>
          <w:tcPr>
            <w:tcW w:w="381" w:type="pct"/>
            <w:tcBorders>
              <w:top w:val="dotted" w:sz="4" w:space="0" w:color="auto"/>
            </w:tcBorders>
            <w:vAlign w:val="center"/>
          </w:tcPr>
          <w:p w:rsidR="005403A6" w:rsidRPr="004B33AE" w:rsidRDefault="005403A6" w:rsidP="000A02D3">
            <w:pPr>
              <w:jc w:val="center"/>
              <w:rPr>
                <w:rFonts w:ascii="Arial" w:hAnsi="Arial" w:cs="Arial"/>
                <w:sz w:val="16"/>
                <w:szCs w:val="16"/>
                <w:lang w:eastAsia="en-US"/>
              </w:rPr>
            </w:pPr>
            <w:r w:rsidRPr="00D25EFA">
              <w:rPr>
                <w:rFonts w:ascii="Arial Narrow" w:hAnsi="Arial Narrow"/>
                <w:sz w:val="14"/>
                <w:szCs w:val="14"/>
                <w:lang w:eastAsia="cs-CZ"/>
              </w:rPr>
              <w:t>NA</w:t>
            </w:r>
          </w:p>
        </w:tc>
        <w:tc>
          <w:tcPr>
            <w:tcW w:w="381" w:type="pct"/>
            <w:tcBorders>
              <w:top w:val="dotted" w:sz="4" w:space="0" w:color="auto"/>
            </w:tcBorders>
            <w:vAlign w:val="center"/>
          </w:tcPr>
          <w:p w:rsidR="005403A6" w:rsidRPr="004B33AE" w:rsidRDefault="005403A6" w:rsidP="000A02D3">
            <w:pPr>
              <w:jc w:val="center"/>
              <w:rPr>
                <w:rFonts w:ascii="Arial" w:hAnsi="Arial" w:cs="Arial"/>
                <w:sz w:val="16"/>
                <w:szCs w:val="16"/>
                <w:lang w:eastAsia="en-US"/>
              </w:rPr>
            </w:pPr>
            <w:r w:rsidRPr="00D25EFA">
              <w:rPr>
                <w:rFonts w:ascii="Arial Narrow" w:hAnsi="Arial Narrow"/>
                <w:sz w:val="14"/>
                <w:szCs w:val="14"/>
                <w:lang w:eastAsia="cs-CZ"/>
              </w:rPr>
              <w:t>NA</w:t>
            </w:r>
          </w:p>
        </w:tc>
        <w:tc>
          <w:tcPr>
            <w:tcW w:w="381" w:type="pct"/>
            <w:tcBorders>
              <w:top w:val="dotted" w:sz="4" w:space="0" w:color="auto"/>
            </w:tcBorders>
            <w:vAlign w:val="center"/>
          </w:tcPr>
          <w:p w:rsidR="005403A6" w:rsidRPr="004B33AE" w:rsidRDefault="005403A6" w:rsidP="000A02D3">
            <w:pPr>
              <w:jc w:val="center"/>
              <w:rPr>
                <w:rFonts w:ascii="Arial" w:hAnsi="Arial" w:cs="Arial"/>
                <w:b/>
                <w:sz w:val="16"/>
                <w:szCs w:val="16"/>
                <w:lang w:eastAsia="en-US"/>
              </w:rPr>
            </w:pPr>
            <w:r w:rsidRPr="00D25EFA">
              <w:rPr>
                <w:rFonts w:ascii="Arial Narrow" w:hAnsi="Arial Narrow"/>
                <w:b/>
                <w:sz w:val="14"/>
                <w:szCs w:val="14"/>
                <w:lang w:eastAsia="cs-CZ"/>
              </w:rPr>
              <w:t>NA</w:t>
            </w:r>
          </w:p>
        </w:tc>
        <w:tc>
          <w:tcPr>
            <w:tcW w:w="354" w:type="pct"/>
            <w:tcBorders>
              <w:top w:val="dotted" w:sz="4" w:space="0" w:color="auto"/>
              <w:right w:val="single" w:sz="6" w:space="0" w:color="auto"/>
            </w:tcBorders>
            <w:vAlign w:val="center"/>
          </w:tcPr>
          <w:p w:rsidR="005403A6" w:rsidRPr="004B33AE" w:rsidRDefault="005403A6" w:rsidP="000A02D3">
            <w:pPr>
              <w:jc w:val="center"/>
              <w:rPr>
                <w:rFonts w:ascii="Arial" w:hAnsi="Arial" w:cs="Arial"/>
                <w:b/>
                <w:sz w:val="16"/>
                <w:szCs w:val="16"/>
                <w:lang w:eastAsia="en-US"/>
              </w:rPr>
            </w:pPr>
            <w:r w:rsidRPr="00D25EFA">
              <w:rPr>
                <w:rFonts w:ascii="Arial Narrow" w:hAnsi="Arial Narrow"/>
                <w:b/>
                <w:sz w:val="14"/>
                <w:szCs w:val="14"/>
                <w:lang w:eastAsia="cs-CZ"/>
              </w:rPr>
              <w:t>NA</w:t>
            </w:r>
          </w:p>
        </w:tc>
      </w:tr>
      <w:tr w:rsidR="002416B1" w:rsidRPr="006A2BF3" w:rsidTr="001540E7">
        <w:trPr>
          <w:trHeight w:val="20"/>
        </w:trPr>
        <w:tc>
          <w:tcPr>
            <w:tcW w:w="1306" w:type="pct"/>
            <w:gridSpan w:val="2"/>
            <w:tcBorders>
              <w:top w:val="single" w:sz="6" w:space="0" w:color="auto"/>
              <w:left w:val="single" w:sz="6" w:space="0" w:color="auto"/>
              <w:bottom w:val="double" w:sz="4" w:space="0" w:color="auto"/>
              <w:right w:val="single" w:sz="6" w:space="0" w:color="auto"/>
            </w:tcBorders>
            <w:shd w:val="clear" w:color="auto" w:fill="D6E3BC"/>
            <w:vAlign w:val="center"/>
          </w:tcPr>
          <w:p w:rsidR="002416B1" w:rsidRPr="006A2BF3" w:rsidRDefault="002416B1" w:rsidP="000A02D3">
            <w:pPr>
              <w:rPr>
                <w:rFonts w:ascii="Arial" w:hAnsi="Arial" w:cs="Arial"/>
                <w:b/>
                <w:sz w:val="16"/>
                <w:szCs w:val="16"/>
                <w:lang w:eastAsia="cs-CZ"/>
              </w:rPr>
            </w:pPr>
            <w:r w:rsidRPr="006A2BF3">
              <w:rPr>
                <w:rFonts w:ascii="Arial" w:hAnsi="Arial" w:cs="Arial"/>
                <w:b/>
                <w:sz w:val="16"/>
                <w:szCs w:val="16"/>
                <w:lang w:eastAsia="en-US"/>
              </w:rPr>
              <w:t>Ukazovatele dopadu</w:t>
            </w:r>
          </w:p>
        </w:tc>
        <w:tc>
          <w:tcPr>
            <w:tcW w:w="293" w:type="pct"/>
            <w:tcBorders>
              <w:top w:val="single" w:sz="6" w:space="0" w:color="auto"/>
              <w:left w:val="single" w:sz="6" w:space="0" w:color="auto"/>
              <w:bottom w:val="double" w:sz="4" w:space="0" w:color="auto"/>
            </w:tcBorders>
            <w:shd w:val="clear" w:color="auto" w:fill="D6E3BC"/>
            <w:vAlign w:val="center"/>
          </w:tcPr>
          <w:p w:rsidR="002416B1" w:rsidRPr="006A2BF3" w:rsidRDefault="002416B1" w:rsidP="000A02D3">
            <w:pPr>
              <w:jc w:val="center"/>
              <w:rPr>
                <w:rFonts w:ascii="Arial" w:hAnsi="Arial" w:cs="Arial"/>
                <w:b/>
                <w:sz w:val="16"/>
                <w:szCs w:val="16"/>
                <w:lang w:eastAsia="cs-CZ"/>
              </w:rPr>
            </w:pPr>
            <w:r w:rsidRPr="006A2BF3">
              <w:rPr>
                <w:rFonts w:ascii="Arial" w:hAnsi="Arial" w:cs="Arial"/>
                <w:b/>
                <w:sz w:val="16"/>
                <w:szCs w:val="16"/>
                <w:lang w:eastAsia="en-US"/>
              </w:rPr>
              <w:t>2007</w:t>
            </w:r>
          </w:p>
        </w:tc>
        <w:tc>
          <w:tcPr>
            <w:tcW w:w="381" w:type="pct"/>
            <w:tcBorders>
              <w:top w:val="single" w:sz="6" w:space="0" w:color="auto"/>
              <w:bottom w:val="double" w:sz="4" w:space="0" w:color="auto"/>
            </w:tcBorders>
            <w:shd w:val="clear" w:color="auto" w:fill="D6E3BC"/>
            <w:vAlign w:val="center"/>
          </w:tcPr>
          <w:p w:rsidR="002416B1" w:rsidRPr="006A2BF3" w:rsidRDefault="002416B1" w:rsidP="000A02D3">
            <w:pPr>
              <w:jc w:val="center"/>
              <w:rPr>
                <w:rFonts w:ascii="Arial" w:hAnsi="Arial" w:cs="Arial"/>
                <w:b/>
                <w:sz w:val="16"/>
                <w:szCs w:val="16"/>
                <w:lang w:eastAsia="cs-CZ"/>
              </w:rPr>
            </w:pPr>
            <w:r w:rsidRPr="006A2BF3">
              <w:rPr>
                <w:rFonts w:ascii="Arial" w:hAnsi="Arial" w:cs="Arial"/>
                <w:b/>
                <w:sz w:val="16"/>
                <w:szCs w:val="16"/>
                <w:lang w:eastAsia="en-US"/>
              </w:rPr>
              <w:t>2008</w:t>
            </w:r>
          </w:p>
        </w:tc>
        <w:tc>
          <w:tcPr>
            <w:tcW w:w="381" w:type="pct"/>
            <w:tcBorders>
              <w:top w:val="single" w:sz="6" w:space="0" w:color="auto"/>
              <w:bottom w:val="double" w:sz="4" w:space="0" w:color="auto"/>
            </w:tcBorders>
            <w:shd w:val="clear" w:color="auto" w:fill="D6E3BC"/>
            <w:vAlign w:val="center"/>
          </w:tcPr>
          <w:p w:rsidR="002416B1" w:rsidRPr="006A2BF3" w:rsidRDefault="002416B1" w:rsidP="000A02D3">
            <w:pPr>
              <w:jc w:val="center"/>
              <w:rPr>
                <w:rFonts w:ascii="Arial" w:hAnsi="Arial" w:cs="Arial"/>
                <w:b/>
                <w:sz w:val="16"/>
                <w:szCs w:val="16"/>
                <w:lang w:eastAsia="cs-CZ"/>
              </w:rPr>
            </w:pPr>
            <w:r w:rsidRPr="006A2BF3">
              <w:rPr>
                <w:rFonts w:ascii="Arial" w:hAnsi="Arial" w:cs="Arial"/>
                <w:b/>
                <w:sz w:val="16"/>
                <w:szCs w:val="16"/>
                <w:lang w:eastAsia="en-US"/>
              </w:rPr>
              <w:t>2009</w:t>
            </w:r>
          </w:p>
        </w:tc>
        <w:tc>
          <w:tcPr>
            <w:tcW w:w="381" w:type="pct"/>
            <w:gridSpan w:val="2"/>
            <w:tcBorders>
              <w:top w:val="single" w:sz="6" w:space="0" w:color="auto"/>
              <w:bottom w:val="double" w:sz="4" w:space="0" w:color="auto"/>
            </w:tcBorders>
            <w:shd w:val="clear" w:color="auto" w:fill="D6E3BC"/>
            <w:vAlign w:val="center"/>
          </w:tcPr>
          <w:p w:rsidR="002416B1" w:rsidRPr="006A2BF3" w:rsidRDefault="002416B1" w:rsidP="000A02D3">
            <w:pPr>
              <w:jc w:val="center"/>
              <w:rPr>
                <w:rFonts w:ascii="Arial" w:hAnsi="Arial" w:cs="Arial"/>
                <w:b/>
                <w:sz w:val="16"/>
                <w:szCs w:val="16"/>
                <w:lang w:eastAsia="cs-CZ"/>
              </w:rPr>
            </w:pPr>
            <w:r w:rsidRPr="006A2BF3">
              <w:rPr>
                <w:rFonts w:ascii="Arial" w:hAnsi="Arial" w:cs="Arial"/>
                <w:b/>
                <w:sz w:val="16"/>
                <w:szCs w:val="16"/>
                <w:lang w:eastAsia="en-US"/>
              </w:rPr>
              <w:t>2010</w:t>
            </w:r>
          </w:p>
        </w:tc>
        <w:tc>
          <w:tcPr>
            <w:tcW w:w="381" w:type="pct"/>
            <w:tcBorders>
              <w:top w:val="single" w:sz="6" w:space="0" w:color="auto"/>
              <w:bottom w:val="double" w:sz="4" w:space="0" w:color="auto"/>
            </w:tcBorders>
            <w:shd w:val="clear" w:color="auto" w:fill="D6E3BC"/>
            <w:vAlign w:val="center"/>
          </w:tcPr>
          <w:p w:rsidR="002416B1" w:rsidRPr="006A2BF3" w:rsidRDefault="002416B1" w:rsidP="000A02D3">
            <w:pPr>
              <w:jc w:val="center"/>
              <w:rPr>
                <w:rFonts w:ascii="Arial" w:hAnsi="Arial" w:cs="Arial"/>
                <w:b/>
                <w:sz w:val="16"/>
                <w:szCs w:val="16"/>
                <w:lang w:eastAsia="cs-CZ"/>
              </w:rPr>
            </w:pPr>
            <w:r w:rsidRPr="006A2BF3">
              <w:rPr>
                <w:rFonts w:ascii="Arial" w:hAnsi="Arial" w:cs="Arial"/>
                <w:b/>
                <w:sz w:val="16"/>
                <w:szCs w:val="16"/>
                <w:lang w:eastAsia="en-US"/>
              </w:rPr>
              <w:t>2011</w:t>
            </w:r>
          </w:p>
        </w:tc>
        <w:tc>
          <w:tcPr>
            <w:tcW w:w="381" w:type="pct"/>
            <w:tcBorders>
              <w:top w:val="single" w:sz="6" w:space="0" w:color="auto"/>
              <w:bottom w:val="double" w:sz="4" w:space="0" w:color="auto"/>
            </w:tcBorders>
            <w:shd w:val="clear" w:color="auto" w:fill="D6E3BC"/>
            <w:vAlign w:val="center"/>
          </w:tcPr>
          <w:p w:rsidR="002416B1" w:rsidRPr="006A2BF3" w:rsidRDefault="002416B1" w:rsidP="000A02D3">
            <w:pPr>
              <w:jc w:val="center"/>
              <w:rPr>
                <w:rFonts w:ascii="Arial" w:hAnsi="Arial" w:cs="Arial"/>
                <w:b/>
                <w:sz w:val="16"/>
                <w:szCs w:val="16"/>
                <w:lang w:eastAsia="cs-CZ"/>
              </w:rPr>
            </w:pPr>
            <w:r w:rsidRPr="006A2BF3">
              <w:rPr>
                <w:rFonts w:ascii="Arial" w:hAnsi="Arial" w:cs="Arial"/>
                <w:b/>
                <w:sz w:val="16"/>
                <w:szCs w:val="16"/>
                <w:lang w:eastAsia="en-US"/>
              </w:rPr>
              <w:t>2012</w:t>
            </w:r>
          </w:p>
        </w:tc>
        <w:tc>
          <w:tcPr>
            <w:tcW w:w="381" w:type="pct"/>
            <w:tcBorders>
              <w:top w:val="single" w:sz="6" w:space="0" w:color="auto"/>
              <w:bottom w:val="double" w:sz="4" w:space="0" w:color="auto"/>
            </w:tcBorders>
            <w:shd w:val="clear" w:color="auto" w:fill="D6E3BC"/>
            <w:vAlign w:val="center"/>
          </w:tcPr>
          <w:p w:rsidR="002416B1" w:rsidRPr="006A2BF3" w:rsidRDefault="002416B1" w:rsidP="000A02D3">
            <w:pPr>
              <w:jc w:val="center"/>
              <w:rPr>
                <w:rFonts w:ascii="Arial" w:hAnsi="Arial" w:cs="Arial"/>
                <w:b/>
                <w:sz w:val="16"/>
                <w:szCs w:val="16"/>
                <w:lang w:eastAsia="cs-CZ"/>
              </w:rPr>
            </w:pPr>
            <w:r w:rsidRPr="006A2BF3">
              <w:rPr>
                <w:rFonts w:ascii="Arial" w:hAnsi="Arial" w:cs="Arial"/>
                <w:b/>
                <w:sz w:val="16"/>
                <w:szCs w:val="16"/>
                <w:lang w:eastAsia="en-US"/>
              </w:rPr>
              <w:t>2013</w:t>
            </w:r>
          </w:p>
        </w:tc>
        <w:tc>
          <w:tcPr>
            <w:tcW w:w="381" w:type="pct"/>
            <w:tcBorders>
              <w:top w:val="single" w:sz="6" w:space="0" w:color="auto"/>
              <w:bottom w:val="double" w:sz="4" w:space="0" w:color="auto"/>
            </w:tcBorders>
            <w:shd w:val="clear" w:color="auto" w:fill="D6E3BC"/>
            <w:vAlign w:val="center"/>
          </w:tcPr>
          <w:p w:rsidR="002416B1" w:rsidRPr="006A2BF3" w:rsidRDefault="002416B1" w:rsidP="000A02D3">
            <w:pPr>
              <w:jc w:val="center"/>
              <w:rPr>
                <w:rFonts w:ascii="Arial" w:hAnsi="Arial" w:cs="Arial"/>
                <w:b/>
                <w:sz w:val="16"/>
                <w:szCs w:val="16"/>
                <w:lang w:eastAsia="cs-CZ"/>
              </w:rPr>
            </w:pPr>
            <w:r w:rsidRPr="006A2BF3">
              <w:rPr>
                <w:rFonts w:ascii="Arial" w:hAnsi="Arial" w:cs="Arial"/>
                <w:b/>
                <w:sz w:val="16"/>
                <w:szCs w:val="16"/>
                <w:lang w:eastAsia="en-US"/>
              </w:rPr>
              <w:t>2014</w:t>
            </w:r>
          </w:p>
        </w:tc>
        <w:tc>
          <w:tcPr>
            <w:tcW w:w="381" w:type="pct"/>
            <w:tcBorders>
              <w:top w:val="single" w:sz="6" w:space="0" w:color="auto"/>
              <w:bottom w:val="double" w:sz="4" w:space="0" w:color="auto"/>
              <w:right w:val="single" w:sz="6" w:space="0" w:color="auto"/>
            </w:tcBorders>
            <w:shd w:val="clear" w:color="auto" w:fill="D6E3BC"/>
            <w:vAlign w:val="center"/>
          </w:tcPr>
          <w:p w:rsidR="002416B1" w:rsidRPr="006A2BF3" w:rsidRDefault="002416B1" w:rsidP="000A02D3">
            <w:pPr>
              <w:jc w:val="center"/>
              <w:rPr>
                <w:rFonts w:ascii="Arial" w:hAnsi="Arial" w:cs="Arial"/>
                <w:b/>
                <w:sz w:val="16"/>
                <w:szCs w:val="16"/>
                <w:lang w:eastAsia="cs-CZ"/>
              </w:rPr>
            </w:pPr>
            <w:r w:rsidRPr="006A2BF3">
              <w:rPr>
                <w:rFonts w:ascii="Arial" w:hAnsi="Arial" w:cs="Arial"/>
                <w:b/>
                <w:sz w:val="16"/>
                <w:szCs w:val="16"/>
                <w:lang w:eastAsia="en-US"/>
              </w:rPr>
              <w:t>2015</w:t>
            </w:r>
          </w:p>
        </w:tc>
        <w:tc>
          <w:tcPr>
            <w:tcW w:w="354" w:type="pct"/>
            <w:tcBorders>
              <w:top w:val="single" w:sz="6" w:space="0" w:color="auto"/>
              <w:left w:val="single" w:sz="6" w:space="0" w:color="auto"/>
              <w:bottom w:val="double" w:sz="4" w:space="0" w:color="auto"/>
              <w:right w:val="single" w:sz="6" w:space="0" w:color="auto"/>
            </w:tcBorders>
            <w:shd w:val="clear" w:color="auto" w:fill="D6E3BC"/>
            <w:vAlign w:val="center"/>
          </w:tcPr>
          <w:p w:rsidR="002416B1" w:rsidRPr="006A2BF3" w:rsidRDefault="002416B1" w:rsidP="000A02D3">
            <w:pPr>
              <w:jc w:val="center"/>
              <w:rPr>
                <w:rFonts w:ascii="Arial" w:hAnsi="Arial" w:cs="Arial"/>
                <w:b/>
                <w:sz w:val="16"/>
                <w:szCs w:val="16"/>
                <w:lang w:eastAsia="cs-CZ"/>
              </w:rPr>
            </w:pPr>
            <w:r w:rsidRPr="006A2BF3">
              <w:rPr>
                <w:rFonts w:ascii="Arial" w:hAnsi="Arial" w:cs="Arial"/>
                <w:b/>
                <w:sz w:val="16"/>
                <w:szCs w:val="16"/>
                <w:lang w:eastAsia="en-US"/>
              </w:rPr>
              <w:t>Spolu</w:t>
            </w:r>
          </w:p>
        </w:tc>
      </w:tr>
      <w:tr w:rsidR="005403A6" w:rsidRPr="006A2BF3" w:rsidTr="001540E7">
        <w:trPr>
          <w:trHeight w:val="20"/>
        </w:trPr>
        <w:tc>
          <w:tcPr>
            <w:tcW w:w="688" w:type="pct"/>
            <w:vMerge w:val="restart"/>
            <w:tcBorders>
              <w:left w:val="single" w:sz="6" w:space="0" w:color="auto"/>
            </w:tcBorders>
            <w:vAlign w:val="center"/>
          </w:tcPr>
          <w:p w:rsidR="005403A6" w:rsidRPr="00C266A4" w:rsidRDefault="005403A6" w:rsidP="000A02D3">
            <w:pPr>
              <w:rPr>
                <w:rFonts w:ascii="Arial" w:hAnsi="Arial" w:cs="Arial"/>
                <w:sz w:val="16"/>
                <w:szCs w:val="16"/>
                <w:lang w:eastAsia="en-US"/>
              </w:rPr>
            </w:pPr>
            <w:r w:rsidRPr="00C266A4">
              <w:rPr>
                <w:rFonts w:ascii="Arial" w:hAnsi="Arial" w:cs="Arial"/>
                <w:sz w:val="16"/>
                <w:szCs w:val="16"/>
                <w:lang w:eastAsia="en-US"/>
              </w:rPr>
              <w:t>počet uskutočnených</w:t>
            </w:r>
          </w:p>
          <w:p w:rsidR="005403A6" w:rsidRPr="00C266A4" w:rsidRDefault="005403A6" w:rsidP="000A02D3">
            <w:pPr>
              <w:rPr>
                <w:rFonts w:ascii="Arial" w:hAnsi="Arial" w:cs="Arial"/>
                <w:sz w:val="16"/>
                <w:szCs w:val="16"/>
                <w:lang w:eastAsia="cs-CZ"/>
              </w:rPr>
            </w:pPr>
            <w:r w:rsidRPr="00C266A4">
              <w:rPr>
                <w:rFonts w:ascii="Arial" w:hAnsi="Arial" w:cs="Arial"/>
                <w:sz w:val="16"/>
                <w:szCs w:val="16"/>
                <w:lang w:eastAsia="en-US"/>
              </w:rPr>
              <w:t>seminárov, konferencií a iných podujatí</w:t>
            </w:r>
          </w:p>
        </w:tc>
        <w:tc>
          <w:tcPr>
            <w:tcW w:w="618" w:type="pct"/>
            <w:tcBorders>
              <w:bottom w:val="dotted" w:sz="4" w:space="0" w:color="auto"/>
              <w:right w:val="single" w:sz="6" w:space="0" w:color="auto"/>
            </w:tcBorders>
            <w:vAlign w:val="center"/>
          </w:tcPr>
          <w:p w:rsidR="005403A6" w:rsidRPr="006A2BF3" w:rsidRDefault="005403A6" w:rsidP="000A02D3">
            <w:pPr>
              <w:rPr>
                <w:rFonts w:ascii="Arial" w:hAnsi="Arial" w:cs="Arial"/>
                <w:sz w:val="16"/>
                <w:szCs w:val="16"/>
                <w:lang w:eastAsia="en-US"/>
              </w:rPr>
            </w:pPr>
            <w:r w:rsidRPr="006A2BF3">
              <w:rPr>
                <w:rFonts w:ascii="Arial" w:hAnsi="Arial" w:cs="Arial"/>
                <w:sz w:val="16"/>
                <w:szCs w:val="16"/>
                <w:lang w:eastAsia="en-US"/>
              </w:rPr>
              <w:t>Dosiahnutý výsledok</w:t>
            </w:r>
          </w:p>
        </w:tc>
        <w:tc>
          <w:tcPr>
            <w:tcW w:w="293" w:type="pct"/>
            <w:tcBorders>
              <w:left w:val="single" w:sz="6" w:space="0" w:color="auto"/>
              <w:bottom w:val="dotted" w:sz="4" w:space="0" w:color="auto"/>
            </w:tcBorders>
            <w:vAlign w:val="center"/>
          </w:tcPr>
          <w:p w:rsidR="005403A6" w:rsidRPr="006A2BF3" w:rsidRDefault="005403A6" w:rsidP="000A02D3">
            <w:pPr>
              <w:jc w:val="center"/>
              <w:rPr>
                <w:rFonts w:ascii="Arial" w:hAnsi="Arial" w:cs="Arial"/>
                <w:b/>
                <w:sz w:val="16"/>
                <w:szCs w:val="16"/>
                <w:lang w:eastAsia="cs-CZ"/>
              </w:rPr>
            </w:pPr>
            <w:r w:rsidRPr="00D25EFA">
              <w:rPr>
                <w:rFonts w:ascii="Arial Narrow" w:hAnsi="Arial Narrow"/>
                <w:sz w:val="14"/>
                <w:szCs w:val="14"/>
                <w:lang w:eastAsia="cs-CZ"/>
              </w:rPr>
              <w:t>10</w:t>
            </w:r>
          </w:p>
        </w:tc>
        <w:tc>
          <w:tcPr>
            <w:tcW w:w="381" w:type="pct"/>
            <w:tcBorders>
              <w:bottom w:val="dotted" w:sz="4" w:space="0" w:color="auto"/>
            </w:tcBorders>
            <w:vAlign w:val="center"/>
          </w:tcPr>
          <w:p w:rsidR="005403A6" w:rsidRPr="006A2BF3" w:rsidRDefault="005403A6" w:rsidP="000A02D3">
            <w:pPr>
              <w:jc w:val="center"/>
              <w:rPr>
                <w:rFonts w:ascii="Arial" w:hAnsi="Arial" w:cs="Arial"/>
                <w:b/>
                <w:sz w:val="16"/>
                <w:szCs w:val="16"/>
                <w:lang w:eastAsia="cs-CZ"/>
              </w:rPr>
            </w:pPr>
            <w:r w:rsidRPr="00D25EFA">
              <w:rPr>
                <w:rFonts w:ascii="Arial Narrow" w:hAnsi="Arial Narrow"/>
                <w:sz w:val="14"/>
                <w:szCs w:val="14"/>
                <w:lang w:eastAsia="cs-CZ"/>
              </w:rPr>
              <w:t>17</w:t>
            </w:r>
          </w:p>
        </w:tc>
        <w:tc>
          <w:tcPr>
            <w:tcW w:w="381" w:type="pct"/>
            <w:tcBorders>
              <w:bottom w:val="dotted" w:sz="4" w:space="0" w:color="auto"/>
            </w:tcBorders>
            <w:vAlign w:val="center"/>
          </w:tcPr>
          <w:p w:rsidR="005403A6" w:rsidRPr="006A2BF3" w:rsidRDefault="005403A6" w:rsidP="000A02D3">
            <w:pPr>
              <w:jc w:val="center"/>
              <w:rPr>
                <w:rFonts w:ascii="Arial" w:hAnsi="Arial" w:cs="Arial"/>
                <w:b/>
                <w:sz w:val="16"/>
                <w:szCs w:val="16"/>
                <w:lang w:eastAsia="cs-CZ"/>
              </w:rPr>
            </w:pPr>
            <w:r w:rsidRPr="00D25EFA">
              <w:rPr>
                <w:rFonts w:ascii="Arial Narrow" w:hAnsi="Arial Narrow"/>
                <w:sz w:val="14"/>
                <w:szCs w:val="14"/>
                <w:lang w:eastAsia="cs-CZ"/>
              </w:rPr>
              <w:t>49</w:t>
            </w:r>
          </w:p>
        </w:tc>
        <w:tc>
          <w:tcPr>
            <w:tcW w:w="381" w:type="pct"/>
            <w:gridSpan w:val="2"/>
            <w:tcBorders>
              <w:bottom w:val="dotted" w:sz="4" w:space="0" w:color="auto"/>
            </w:tcBorders>
            <w:vAlign w:val="center"/>
          </w:tcPr>
          <w:p w:rsidR="005403A6" w:rsidRPr="006A2BF3" w:rsidRDefault="005403A6" w:rsidP="000A02D3">
            <w:pPr>
              <w:jc w:val="center"/>
              <w:rPr>
                <w:rFonts w:ascii="Arial" w:hAnsi="Arial" w:cs="Arial"/>
                <w:b/>
                <w:sz w:val="16"/>
                <w:szCs w:val="16"/>
                <w:lang w:eastAsia="cs-CZ"/>
              </w:rPr>
            </w:pPr>
            <w:r w:rsidRPr="00D25EFA">
              <w:rPr>
                <w:rFonts w:ascii="Arial Narrow" w:hAnsi="Arial Narrow"/>
                <w:sz w:val="14"/>
                <w:szCs w:val="14"/>
                <w:lang w:eastAsia="cs-CZ"/>
              </w:rPr>
              <w:t>269</w:t>
            </w:r>
          </w:p>
        </w:tc>
        <w:tc>
          <w:tcPr>
            <w:tcW w:w="381" w:type="pct"/>
            <w:tcBorders>
              <w:bottom w:val="dotted" w:sz="4" w:space="0" w:color="auto"/>
            </w:tcBorders>
            <w:vAlign w:val="center"/>
          </w:tcPr>
          <w:p w:rsidR="005403A6" w:rsidRPr="006A2BF3" w:rsidRDefault="005403A6" w:rsidP="000A02D3">
            <w:pPr>
              <w:jc w:val="center"/>
              <w:rPr>
                <w:rFonts w:ascii="Arial" w:hAnsi="Arial" w:cs="Arial"/>
                <w:b/>
                <w:sz w:val="16"/>
                <w:szCs w:val="16"/>
                <w:lang w:eastAsia="cs-CZ"/>
              </w:rPr>
            </w:pPr>
            <w:r w:rsidRPr="00D25EFA">
              <w:rPr>
                <w:rFonts w:ascii="Arial Narrow" w:hAnsi="Arial Narrow"/>
                <w:sz w:val="14"/>
                <w:szCs w:val="14"/>
                <w:lang w:eastAsia="cs-CZ"/>
              </w:rPr>
              <w:t>615</w:t>
            </w:r>
          </w:p>
        </w:tc>
        <w:tc>
          <w:tcPr>
            <w:tcW w:w="381" w:type="pct"/>
            <w:tcBorders>
              <w:bottom w:val="dotted" w:sz="4" w:space="0" w:color="auto"/>
            </w:tcBorders>
            <w:vAlign w:val="center"/>
          </w:tcPr>
          <w:p w:rsidR="005403A6" w:rsidRPr="006A2BF3" w:rsidRDefault="005403A6" w:rsidP="000A02D3">
            <w:pPr>
              <w:jc w:val="center"/>
              <w:rPr>
                <w:rFonts w:ascii="Arial" w:hAnsi="Arial" w:cs="Arial"/>
                <w:sz w:val="16"/>
                <w:szCs w:val="16"/>
                <w:lang w:eastAsia="cs-CZ"/>
              </w:rPr>
            </w:pPr>
            <w:r w:rsidRPr="00D25EFA">
              <w:rPr>
                <w:rFonts w:ascii="Arial Narrow" w:hAnsi="Arial Narrow"/>
                <w:sz w:val="14"/>
                <w:szCs w:val="14"/>
                <w:lang w:eastAsia="cs-CZ"/>
              </w:rPr>
              <w:t>846</w:t>
            </w:r>
          </w:p>
        </w:tc>
        <w:tc>
          <w:tcPr>
            <w:tcW w:w="381" w:type="pct"/>
            <w:tcBorders>
              <w:bottom w:val="dotted" w:sz="4" w:space="0" w:color="auto"/>
            </w:tcBorders>
            <w:vAlign w:val="center"/>
          </w:tcPr>
          <w:p w:rsidR="005403A6" w:rsidRPr="006A2BF3" w:rsidRDefault="005403A6" w:rsidP="000A02D3">
            <w:pPr>
              <w:jc w:val="center"/>
              <w:rPr>
                <w:rFonts w:ascii="Arial" w:hAnsi="Arial" w:cs="Arial"/>
                <w:sz w:val="16"/>
                <w:szCs w:val="16"/>
                <w:lang w:eastAsia="cs-CZ"/>
              </w:rPr>
            </w:pPr>
            <w:r w:rsidRPr="00D25EFA">
              <w:rPr>
                <w:rFonts w:ascii="Arial Narrow" w:hAnsi="Arial Narrow"/>
                <w:sz w:val="14"/>
                <w:szCs w:val="14"/>
                <w:lang w:eastAsia="cs-CZ"/>
              </w:rPr>
              <w:t>NA</w:t>
            </w:r>
          </w:p>
        </w:tc>
        <w:tc>
          <w:tcPr>
            <w:tcW w:w="381" w:type="pct"/>
            <w:tcBorders>
              <w:bottom w:val="dotted" w:sz="4" w:space="0" w:color="auto"/>
            </w:tcBorders>
            <w:vAlign w:val="center"/>
          </w:tcPr>
          <w:p w:rsidR="005403A6" w:rsidRPr="006A2BF3" w:rsidRDefault="005403A6" w:rsidP="000A02D3">
            <w:pPr>
              <w:jc w:val="center"/>
              <w:rPr>
                <w:rFonts w:ascii="Arial" w:hAnsi="Arial" w:cs="Arial"/>
                <w:sz w:val="16"/>
                <w:szCs w:val="16"/>
                <w:lang w:eastAsia="cs-CZ"/>
              </w:rPr>
            </w:pPr>
            <w:r w:rsidRPr="00D25EFA">
              <w:rPr>
                <w:rFonts w:ascii="Arial Narrow" w:hAnsi="Arial Narrow"/>
                <w:sz w:val="14"/>
                <w:szCs w:val="14"/>
                <w:lang w:eastAsia="cs-CZ"/>
              </w:rPr>
              <w:t>NA</w:t>
            </w:r>
          </w:p>
        </w:tc>
        <w:tc>
          <w:tcPr>
            <w:tcW w:w="381" w:type="pct"/>
            <w:tcBorders>
              <w:bottom w:val="dotted" w:sz="4" w:space="0" w:color="auto"/>
              <w:right w:val="single" w:sz="6" w:space="0" w:color="auto"/>
            </w:tcBorders>
            <w:vAlign w:val="center"/>
          </w:tcPr>
          <w:p w:rsidR="005403A6" w:rsidRPr="006A2BF3" w:rsidRDefault="005403A6" w:rsidP="000A02D3">
            <w:pPr>
              <w:jc w:val="center"/>
              <w:rPr>
                <w:rFonts w:ascii="Arial" w:hAnsi="Arial" w:cs="Arial"/>
                <w:b/>
                <w:sz w:val="16"/>
                <w:szCs w:val="16"/>
                <w:lang w:eastAsia="cs-CZ"/>
              </w:rPr>
            </w:pPr>
            <w:r w:rsidRPr="00D25EFA">
              <w:rPr>
                <w:rFonts w:ascii="Arial Narrow" w:hAnsi="Arial Narrow"/>
                <w:b/>
                <w:sz w:val="14"/>
                <w:szCs w:val="14"/>
                <w:lang w:eastAsia="cs-CZ"/>
              </w:rPr>
              <w:t>NA</w:t>
            </w:r>
          </w:p>
        </w:tc>
        <w:tc>
          <w:tcPr>
            <w:tcW w:w="354" w:type="pct"/>
            <w:tcBorders>
              <w:left w:val="single" w:sz="6" w:space="0" w:color="auto"/>
              <w:bottom w:val="dotted" w:sz="4" w:space="0" w:color="auto"/>
              <w:right w:val="single" w:sz="6" w:space="0" w:color="auto"/>
            </w:tcBorders>
            <w:vAlign w:val="center"/>
          </w:tcPr>
          <w:p w:rsidR="005403A6" w:rsidRPr="006A2BF3" w:rsidRDefault="005403A6" w:rsidP="000A02D3">
            <w:pPr>
              <w:jc w:val="center"/>
              <w:rPr>
                <w:rFonts w:ascii="Arial" w:hAnsi="Arial" w:cs="Arial"/>
                <w:b/>
                <w:sz w:val="16"/>
                <w:szCs w:val="16"/>
                <w:lang w:eastAsia="cs-CZ"/>
              </w:rPr>
            </w:pPr>
            <w:r w:rsidRPr="00D25EFA">
              <w:rPr>
                <w:rFonts w:ascii="Arial Narrow" w:hAnsi="Arial Narrow"/>
                <w:b/>
                <w:sz w:val="14"/>
                <w:szCs w:val="14"/>
                <w:lang w:eastAsia="cs-CZ"/>
              </w:rPr>
              <w:t>846</w:t>
            </w:r>
          </w:p>
        </w:tc>
      </w:tr>
      <w:tr w:rsidR="005403A6" w:rsidRPr="006A2BF3" w:rsidTr="001540E7">
        <w:trPr>
          <w:trHeight w:val="20"/>
        </w:trPr>
        <w:tc>
          <w:tcPr>
            <w:tcW w:w="688" w:type="pct"/>
            <w:vMerge/>
            <w:tcBorders>
              <w:left w:val="single" w:sz="6" w:space="0" w:color="auto"/>
            </w:tcBorders>
            <w:vAlign w:val="center"/>
          </w:tcPr>
          <w:p w:rsidR="005403A6" w:rsidRPr="00C266A4" w:rsidRDefault="005403A6" w:rsidP="000A02D3">
            <w:pPr>
              <w:rPr>
                <w:rFonts w:ascii="Arial" w:hAnsi="Arial" w:cs="Arial"/>
                <w:sz w:val="16"/>
                <w:szCs w:val="16"/>
                <w:lang w:eastAsia="cs-CZ"/>
              </w:rPr>
            </w:pPr>
          </w:p>
        </w:tc>
        <w:tc>
          <w:tcPr>
            <w:tcW w:w="618" w:type="pct"/>
            <w:tcBorders>
              <w:top w:val="dotted" w:sz="4" w:space="0" w:color="auto"/>
              <w:bottom w:val="dotted" w:sz="4" w:space="0" w:color="auto"/>
              <w:right w:val="single" w:sz="6" w:space="0" w:color="auto"/>
            </w:tcBorders>
            <w:vAlign w:val="center"/>
          </w:tcPr>
          <w:p w:rsidR="005403A6" w:rsidRPr="006A2BF3" w:rsidRDefault="005403A6" w:rsidP="000A02D3">
            <w:pPr>
              <w:rPr>
                <w:rFonts w:ascii="Arial" w:hAnsi="Arial" w:cs="Arial"/>
                <w:sz w:val="16"/>
                <w:szCs w:val="16"/>
                <w:lang w:eastAsia="en-US"/>
              </w:rPr>
            </w:pPr>
            <w:r w:rsidRPr="006A2BF3">
              <w:rPr>
                <w:rFonts w:ascii="Arial" w:hAnsi="Arial" w:cs="Arial"/>
                <w:sz w:val="16"/>
                <w:szCs w:val="16"/>
                <w:lang w:eastAsia="en-US"/>
              </w:rPr>
              <w:t>Cieľ</w:t>
            </w:r>
          </w:p>
        </w:tc>
        <w:tc>
          <w:tcPr>
            <w:tcW w:w="293" w:type="pct"/>
            <w:tcBorders>
              <w:top w:val="dotted" w:sz="4" w:space="0" w:color="auto"/>
              <w:left w:val="single" w:sz="6" w:space="0" w:color="auto"/>
              <w:bottom w:val="dotted" w:sz="4" w:space="0" w:color="auto"/>
            </w:tcBorders>
            <w:vAlign w:val="center"/>
          </w:tcPr>
          <w:p w:rsidR="005403A6" w:rsidRPr="006A2BF3" w:rsidRDefault="005403A6" w:rsidP="000A02D3">
            <w:pPr>
              <w:jc w:val="center"/>
              <w:rPr>
                <w:rFonts w:ascii="Arial" w:hAnsi="Arial" w:cs="Arial"/>
                <w:sz w:val="16"/>
                <w:szCs w:val="16"/>
                <w:lang w:eastAsia="cs-CZ"/>
              </w:rPr>
            </w:pPr>
            <w:r w:rsidRPr="00D25EFA">
              <w:rPr>
                <w:rFonts w:ascii="Arial Narrow" w:hAnsi="Arial Narrow"/>
                <w:sz w:val="14"/>
                <w:szCs w:val="14"/>
                <w:lang w:eastAsia="cs-CZ"/>
              </w:rPr>
              <w:t>NA</w:t>
            </w:r>
          </w:p>
        </w:tc>
        <w:tc>
          <w:tcPr>
            <w:tcW w:w="381" w:type="pct"/>
            <w:tcBorders>
              <w:top w:val="dotted" w:sz="4" w:space="0" w:color="auto"/>
              <w:bottom w:val="dotted" w:sz="4" w:space="0" w:color="auto"/>
            </w:tcBorders>
            <w:vAlign w:val="center"/>
          </w:tcPr>
          <w:p w:rsidR="005403A6" w:rsidRPr="006A2BF3" w:rsidRDefault="005403A6" w:rsidP="000A02D3">
            <w:pPr>
              <w:jc w:val="center"/>
              <w:rPr>
                <w:rFonts w:ascii="Arial" w:hAnsi="Arial" w:cs="Arial"/>
                <w:sz w:val="16"/>
                <w:szCs w:val="16"/>
                <w:lang w:eastAsia="cs-CZ"/>
              </w:rPr>
            </w:pPr>
            <w:r w:rsidRPr="00D25EFA">
              <w:rPr>
                <w:rFonts w:ascii="Arial Narrow" w:hAnsi="Arial Narrow"/>
                <w:sz w:val="14"/>
                <w:szCs w:val="14"/>
                <w:lang w:eastAsia="cs-CZ"/>
              </w:rPr>
              <w:t>NA</w:t>
            </w:r>
          </w:p>
        </w:tc>
        <w:tc>
          <w:tcPr>
            <w:tcW w:w="381" w:type="pct"/>
            <w:tcBorders>
              <w:top w:val="dotted" w:sz="4" w:space="0" w:color="auto"/>
              <w:bottom w:val="dotted" w:sz="4" w:space="0" w:color="auto"/>
            </w:tcBorders>
            <w:vAlign w:val="center"/>
          </w:tcPr>
          <w:p w:rsidR="005403A6" w:rsidRPr="006A2BF3" w:rsidRDefault="005403A6" w:rsidP="000A02D3">
            <w:pPr>
              <w:jc w:val="center"/>
              <w:rPr>
                <w:rFonts w:ascii="Arial" w:hAnsi="Arial" w:cs="Arial"/>
                <w:sz w:val="16"/>
                <w:szCs w:val="16"/>
                <w:lang w:eastAsia="cs-CZ"/>
              </w:rPr>
            </w:pPr>
            <w:r w:rsidRPr="00D25EFA">
              <w:rPr>
                <w:rFonts w:ascii="Arial Narrow" w:hAnsi="Arial Narrow"/>
                <w:sz w:val="14"/>
                <w:szCs w:val="14"/>
                <w:lang w:eastAsia="cs-CZ"/>
              </w:rPr>
              <w:t>NA</w:t>
            </w:r>
          </w:p>
        </w:tc>
        <w:tc>
          <w:tcPr>
            <w:tcW w:w="381" w:type="pct"/>
            <w:gridSpan w:val="2"/>
            <w:tcBorders>
              <w:top w:val="dotted" w:sz="4" w:space="0" w:color="auto"/>
              <w:bottom w:val="dotted" w:sz="4" w:space="0" w:color="auto"/>
            </w:tcBorders>
            <w:vAlign w:val="center"/>
          </w:tcPr>
          <w:p w:rsidR="005403A6" w:rsidRPr="006A2BF3" w:rsidRDefault="005403A6" w:rsidP="000A02D3">
            <w:pPr>
              <w:jc w:val="center"/>
              <w:rPr>
                <w:rFonts w:ascii="Arial" w:hAnsi="Arial" w:cs="Arial"/>
                <w:sz w:val="16"/>
                <w:szCs w:val="16"/>
                <w:lang w:eastAsia="cs-CZ"/>
              </w:rPr>
            </w:pPr>
            <w:r w:rsidRPr="00D25EFA">
              <w:rPr>
                <w:rFonts w:ascii="Arial Narrow" w:hAnsi="Arial Narrow"/>
                <w:sz w:val="14"/>
                <w:szCs w:val="14"/>
                <w:lang w:eastAsia="cs-CZ"/>
              </w:rPr>
              <w:t>NA</w:t>
            </w:r>
          </w:p>
        </w:tc>
        <w:tc>
          <w:tcPr>
            <w:tcW w:w="381" w:type="pct"/>
            <w:tcBorders>
              <w:top w:val="dotted" w:sz="4" w:space="0" w:color="auto"/>
              <w:bottom w:val="dotted" w:sz="4" w:space="0" w:color="auto"/>
            </w:tcBorders>
            <w:vAlign w:val="center"/>
          </w:tcPr>
          <w:p w:rsidR="005403A6" w:rsidRPr="006A2BF3" w:rsidRDefault="005403A6" w:rsidP="000A02D3">
            <w:pPr>
              <w:jc w:val="center"/>
              <w:rPr>
                <w:rFonts w:ascii="Arial" w:hAnsi="Arial" w:cs="Arial"/>
                <w:sz w:val="16"/>
                <w:szCs w:val="16"/>
                <w:lang w:eastAsia="cs-CZ"/>
              </w:rPr>
            </w:pPr>
            <w:r w:rsidRPr="00D25EFA">
              <w:rPr>
                <w:rFonts w:ascii="Arial Narrow" w:hAnsi="Arial Narrow"/>
                <w:sz w:val="14"/>
                <w:szCs w:val="14"/>
                <w:lang w:eastAsia="cs-CZ"/>
              </w:rPr>
              <w:t>NA</w:t>
            </w:r>
          </w:p>
        </w:tc>
        <w:tc>
          <w:tcPr>
            <w:tcW w:w="381" w:type="pct"/>
            <w:tcBorders>
              <w:top w:val="dotted" w:sz="4" w:space="0" w:color="auto"/>
              <w:bottom w:val="dotted" w:sz="4" w:space="0" w:color="auto"/>
            </w:tcBorders>
            <w:vAlign w:val="center"/>
          </w:tcPr>
          <w:p w:rsidR="005403A6" w:rsidRPr="006A2BF3" w:rsidRDefault="005403A6" w:rsidP="000A02D3">
            <w:pPr>
              <w:jc w:val="center"/>
              <w:rPr>
                <w:rFonts w:ascii="Arial" w:hAnsi="Arial" w:cs="Arial"/>
                <w:sz w:val="16"/>
                <w:szCs w:val="16"/>
                <w:lang w:eastAsia="cs-CZ"/>
              </w:rPr>
            </w:pPr>
            <w:r w:rsidRPr="00D25EFA">
              <w:rPr>
                <w:rFonts w:ascii="Arial Narrow" w:hAnsi="Arial Narrow"/>
                <w:sz w:val="14"/>
                <w:szCs w:val="14"/>
                <w:lang w:eastAsia="cs-CZ"/>
              </w:rPr>
              <w:t>NA</w:t>
            </w:r>
          </w:p>
        </w:tc>
        <w:tc>
          <w:tcPr>
            <w:tcW w:w="381" w:type="pct"/>
            <w:tcBorders>
              <w:top w:val="dotted" w:sz="4" w:space="0" w:color="auto"/>
              <w:bottom w:val="dotted" w:sz="4" w:space="0" w:color="auto"/>
            </w:tcBorders>
            <w:vAlign w:val="center"/>
          </w:tcPr>
          <w:p w:rsidR="005403A6" w:rsidRPr="006A2BF3" w:rsidRDefault="005403A6" w:rsidP="000A02D3">
            <w:pPr>
              <w:jc w:val="center"/>
              <w:rPr>
                <w:rFonts w:ascii="Arial" w:hAnsi="Arial" w:cs="Arial"/>
                <w:sz w:val="16"/>
                <w:szCs w:val="16"/>
                <w:lang w:eastAsia="cs-CZ"/>
              </w:rPr>
            </w:pPr>
            <w:r w:rsidRPr="00D25EFA">
              <w:rPr>
                <w:rFonts w:ascii="Arial Narrow" w:hAnsi="Arial Narrow"/>
                <w:sz w:val="14"/>
                <w:szCs w:val="14"/>
                <w:lang w:eastAsia="cs-CZ"/>
              </w:rPr>
              <w:t>NA</w:t>
            </w:r>
          </w:p>
        </w:tc>
        <w:tc>
          <w:tcPr>
            <w:tcW w:w="381" w:type="pct"/>
            <w:tcBorders>
              <w:top w:val="dotted" w:sz="4" w:space="0" w:color="auto"/>
              <w:bottom w:val="dotted" w:sz="4" w:space="0" w:color="auto"/>
            </w:tcBorders>
            <w:vAlign w:val="center"/>
          </w:tcPr>
          <w:p w:rsidR="005403A6" w:rsidRPr="006A2BF3" w:rsidRDefault="005403A6" w:rsidP="000A02D3">
            <w:pPr>
              <w:jc w:val="center"/>
              <w:rPr>
                <w:rFonts w:ascii="Arial" w:hAnsi="Arial" w:cs="Arial"/>
                <w:sz w:val="16"/>
                <w:szCs w:val="16"/>
                <w:lang w:eastAsia="cs-CZ"/>
              </w:rPr>
            </w:pPr>
            <w:r w:rsidRPr="00D25EFA">
              <w:rPr>
                <w:rFonts w:ascii="Arial Narrow" w:hAnsi="Arial Narrow"/>
                <w:sz w:val="14"/>
                <w:szCs w:val="14"/>
                <w:lang w:eastAsia="cs-CZ"/>
              </w:rPr>
              <w:t>NA</w:t>
            </w:r>
          </w:p>
        </w:tc>
        <w:tc>
          <w:tcPr>
            <w:tcW w:w="381" w:type="pct"/>
            <w:tcBorders>
              <w:top w:val="dotted" w:sz="4" w:space="0" w:color="auto"/>
              <w:bottom w:val="dotted" w:sz="4" w:space="0" w:color="auto"/>
              <w:right w:val="single" w:sz="6" w:space="0" w:color="auto"/>
            </w:tcBorders>
            <w:vAlign w:val="center"/>
          </w:tcPr>
          <w:p w:rsidR="005403A6" w:rsidRPr="006A2BF3" w:rsidRDefault="005403A6" w:rsidP="000A02D3">
            <w:pPr>
              <w:jc w:val="center"/>
              <w:rPr>
                <w:rFonts w:ascii="Arial" w:hAnsi="Arial" w:cs="Arial"/>
                <w:b/>
                <w:sz w:val="16"/>
                <w:szCs w:val="16"/>
                <w:lang w:eastAsia="cs-CZ"/>
              </w:rPr>
            </w:pPr>
            <w:r w:rsidRPr="00D25EFA">
              <w:rPr>
                <w:rFonts w:ascii="Arial Narrow" w:hAnsi="Arial Narrow"/>
                <w:b/>
                <w:sz w:val="14"/>
                <w:szCs w:val="14"/>
                <w:lang w:eastAsia="cs-CZ"/>
              </w:rPr>
              <w:t>21</w:t>
            </w:r>
          </w:p>
        </w:tc>
        <w:tc>
          <w:tcPr>
            <w:tcW w:w="354" w:type="pct"/>
            <w:tcBorders>
              <w:top w:val="dotted" w:sz="4" w:space="0" w:color="auto"/>
              <w:left w:val="single" w:sz="6" w:space="0" w:color="auto"/>
              <w:bottom w:val="dotted" w:sz="4" w:space="0" w:color="auto"/>
              <w:right w:val="single" w:sz="6" w:space="0" w:color="auto"/>
            </w:tcBorders>
            <w:vAlign w:val="center"/>
          </w:tcPr>
          <w:p w:rsidR="005403A6" w:rsidRPr="006A2BF3" w:rsidRDefault="005403A6" w:rsidP="000A02D3">
            <w:pPr>
              <w:jc w:val="center"/>
              <w:rPr>
                <w:rFonts w:ascii="Arial" w:hAnsi="Arial" w:cs="Arial"/>
                <w:b/>
                <w:sz w:val="16"/>
                <w:szCs w:val="16"/>
                <w:lang w:eastAsia="cs-CZ"/>
              </w:rPr>
            </w:pPr>
            <w:r w:rsidRPr="00D25EFA">
              <w:rPr>
                <w:rFonts w:ascii="Arial Narrow" w:hAnsi="Arial Narrow"/>
                <w:b/>
                <w:sz w:val="14"/>
                <w:szCs w:val="14"/>
                <w:lang w:eastAsia="cs-CZ"/>
              </w:rPr>
              <w:t>NA</w:t>
            </w:r>
          </w:p>
        </w:tc>
      </w:tr>
      <w:tr w:rsidR="005403A6" w:rsidRPr="006A2BF3" w:rsidTr="001540E7">
        <w:trPr>
          <w:trHeight w:val="20"/>
        </w:trPr>
        <w:tc>
          <w:tcPr>
            <w:tcW w:w="688" w:type="pct"/>
            <w:vMerge/>
            <w:tcBorders>
              <w:left w:val="single" w:sz="6" w:space="0" w:color="auto"/>
            </w:tcBorders>
            <w:vAlign w:val="center"/>
          </w:tcPr>
          <w:p w:rsidR="005403A6" w:rsidRPr="00C266A4" w:rsidRDefault="005403A6" w:rsidP="000A02D3">
            <w:pPr>
              <w:rPr>
                <w:rFonts w:ascii="Arial" w:hAnsi="Arial" w:cs="Arial"/>
                <w:sz w:val="16"/>
                <w:szCs w:val="16"/>
                <w:lang w:eastAsia="cs-CZ"/>
              </w:rPr>
            </w:pPr>
          </w:p>
        </w:tc>
        <w:tc>
          <w:tcPr>
            <w:tcW w:w="618" w:type="pct"/>
            <w:tcBorders>
              <w:top w:val="dotted" w:sz="4" w:space="0" w:color="auto"/>
              <w:right w:val="single" w:sz="6" w:space="0" w:color="auto"/>
            </w:tcBorders>
            <w:vAlign w:val="center"/>
          </w:tcPr>
          <w:p w:rsidR="005403A6" w:rsidRPr="006A2BF3" w:rsidRDefault="005403A6" w:rsidP="000A02D3">
            <w:pPr>
              <w:rPr>
                <w:rFonts w:ascii="Arial" w:hAnsi="Arial" w:cs="Arial"/>
                <w:sz w:val="16"/>
                <w:szCs w:val="16"/>
                <w:lang w:eastAsia="en-US"/>
              </w:rPr>
            </w:pPr>
            <w:r w:rsidRPr="006A2BF3">
              <w:rPr>
                <w:rFonts w:ascii="Arial" w:hAnsi="Arial" w:cs="Arial"/>
                <w:sz w:val="16"/>
                <w:szCs w:val="16"/>
                <w:lang w:eastAsia="en-US"/>
              </w:rPr>
              <w:t>Východisko</w:t>
            </w:r>
          </w:p>
        </w:tc>
        <w:tc>
          <w:tcPr>
            <w:tcW w:w="293" w:type="pct"/>
            <w:tcBorders>
              <w:top w:val="dotted" w:sz="4" w:space="0" w:color="auto"/>
              <w:left w:val="single" w:sz="6" w:space="0" w:color="auto"/>
            </w:tcBorders>
            <w:vAlign w:val="center"/>
          </w:tcPr>
          <w:p w:rsidR="005403A6" w:rsidRPr="006A2BF3" w:rsidRDefault="005403A6" w:rsidP="000A02D3">
            <w:pPr>
              <w:jc w:val="center"/>
              <w:rPr>
                <w:rFonts w:ascii="Arial" w:hAnsi="Arial" w:cs="Arial"/>
                <w:b/>
                <w:sz w:val="16"/>
                <w:szCs w:val="16"/>
                <w:lang w:eastAsia="cs-CZ"/>
              </w:rPr>
            </w:pPr>
            <w:r w:rsidRPr="00D25EFA">
              <w:rPr>
                <w:rFonts w:ascii="Arial Narrow" w:hAnsi="Arial Narrow"/>
                <w:sz w:val="14"/>
                <w:szCs w:val="14"/>
                <w:lang w:eastAsia="cs-CZ"/>
              </w:rPr>
              <w:t>0</w:t>
            </w:r>
          </w:p>
        </w:tc>
        <w:tc>
          <w:tcPr>
            <w:tcW w:w="381" w:type="pct"/>
            <w:tcBorders>
              <w:top w:val="dotted" w:sz="4" w:space="0" w:color="auto"/>
            </w:tcBorders>
            <w:vAlign w:val="center"/>
          </w:tcPr>
          <w:p w:rsidR="005403A6" w:rsidRPr="006A2BF3" w:rsidRDefault="005403A6" w:rsidP="000A02D3">
            <w:pPr>
              <w:jc w:val="center"/>
              <w:rPr>
                <w:rFonts w:ascii="Arial" w:hAnsi="Arial" w:cs="Arial"/>
                <w:sz w:val="16"/>
                <w:szCs w:val="16"/>
                <w:lang w:eastAsia="cs-CZ"/>
              </w:rPr>
            </w:pPr>
            <w:r w:rsidRPr="00D25EFA">
              <w:rPr>
                <w:rFonts w:ascii="Arial Narrow" w:hAnsi="Arial Narrow"/>
                <w:sz w:val="14"/>
                <w:szCs w:val="14"/>
                <w:lang w:eastAsia="cs-CZ"/>
              </w:rPr>
              <w:t>NA</w:t>
            </w:r>
          </w:p>
        </w:tc>
        <w:tc>
          <w:tcPr>
            <w:tcW w:w="381" w:type="pct"/>
            <w:tcBorders>
              <w:top w:val="dotted" w:sz="4" w:space="0" w:color="auto"/>
            </w:tcBorders>
            <w:vAlign w:val="center"/>
          </w:tcPr>
          <w:p w:rsidR="005403A6" w:rsidRPr="006A2BF3" w:rsidRDefault="005403A6" w:rsidP="000A02D3">
            <w:pPr>
              <w:jc w:val="center"/>
              <w:rPr>
                <w:rFonts w:ascii="Arial" w:hAnsi="Arial" w:cs="Arial"/>
                <w:sz w:val="16"/>
                <w:szCs w:val="16"/>
                <w:lang w:eastAsia="cs-CZ"/>
              </w:rPr>
            </w:pPr>
            <w:r w:rsidRPr="00D25EFA">
              <w:rPr>
                <w:rFonts w:ascii="Arial Narrow" w:hAnsi="Arial Narrow"/>
                <w:sz w:val="14"/>
                <w:szCs w:val="14"/>
                <w:lang w:eastAsia="cs-CZ"/>
              </w:rPr>
              <w:t>NA</w:t>
            </w:r>
          </w:p>
        </w:tc>
        <w:tc>
          <w:tcPr>
            <w:tcW w:w="381" w:type="pct"/>
            <w:gridSpan w:val="2"/>
            <w:tcBorders>
              <w:top w:val="dotted" w:sz="4" w:space="0" w:color="auto"/>
            </w:tcBorders>
            <w:vAlign w:val="center"/>
          </w:tcPr>
          <w:p w:rsidR="005403A6" w:rsidRPr="006A2BF3" w:rsidRDefault="005403A6" w:rsidP="000A02D3">
            <w:pPr>
              <w:jc w:val="center"/>
              <w:rPr>
                <w:rFonts w:ascii="Arial" w:hAnsi="Arial" w:cs="Arial"/>
                <w:sz w:val="16"/>
                <w:szCs w:val="16"/>
                <w:lang w:eastAsia="cs-CZ"/>
              </w:rPr>
            </w:pPr>
            <w:r w:rsidRPr="00D25EFA">
              <w:rPr>
                <w:rFonts w:ascii="Arial Narrow" w:hAnsi="Arial Narrow"/>
                <w:sz w:val="14"/>
                <w:szCs w:val="14"/>
                <w:lang w:eastAsia="cs-CZ"/>
              </w:rPr>
              <w:t>NA</w:t>
            </w:r>
          </w:p>
        </w:tc>
        <w:tc>
          <w:tcPr>
            <w:tcW w:w="381" w:type="pct"/>
            <w:tcBorders>
              <w:top w:val="dotted" w:sz="4" w:space="0" w:color="auto"/>
            </w:tcBorders>
            <w:vAlign w:val="center"/>
          </w:tcPr>
          <w:p w:rsidR="005403A6" w:rsidRPr="006A2BF3" w:rsidRDefault="005403A6" w:rsidP="000A02D3">
            <w:pPr>
              <w:jc w:val="center"/>
              <w:rPr>
                <w:rFonts w:ascii="Arial" w:hAnsi="Arial" w:cs="Arial"/>
                <w:sz w:val="16"/>
                <w:szCs w:val="16"/>
                <w:lang w:eastAsia="cs-CZ"/>
              </w:rPr>
            </w:pPr>
            <w:r w:rsidRPr="00D25EFA">
              <w:rPr>
                <w:rFonts w:ascii="Arial Narrow" w:hAnsi="Arial Narrow"/>
                <w:sz w:val="14"/>
                <w:szCs w:val="14"/>
                <w:lang w:eastAsia="cs-CZ"/>
              </w:rPr>
              <w:t>NA</w:t>
            </w:r>
          </w:p>
        </w:tc>
        <w:tc>
          <w:tcPr>
            <w:tcW w:w="381" w:type="pct"/>
            <w:tcBorders>
              <w:top w:val="dotted" w:sz="4" w:space="0" w:color="auto"/>
            </w:tcBorders>
            <w:vAlign w:val="center"/>
          </w:tcPr>
          <w:p w:rsidR="005403A6" w:rsidRPr="006A2BF3" w:rsidRDefault="005403A6" w:rsidP="000A02D3">
            <w:pPr>
              <w:jc w:val="center"/>
              <w:rPr>
                <w:rFonts w:ascii="Arial" w:hAnsi="Arial" w:cs="Arial"/>
                <w:sz w:val="16"/>
                <w:szCs w:val="16"/>
                <w:lang w:eastAsia="cs-CZ"/>
              </w:rPr>
            </w:pPr>
            <w:r w:rsidRPr="00D25EFA">
              <w:rPr>
                <w:rFonts w:ascii="Arial Narrow" w:hAnsi="Arial Narrow"/>
                <w:sz w:val="14"/>
                <w:szCs w:val="14"/>
                <w:lang w:eastAsia="cs-CZ"/>
              </w:rPr>
              <w:t>NA</w:t>
            </w:r>
          </w:p>
        </w:tc>
        <w:tc>
          <w:tcPr>
            <w:tcW w:w="381" w:type="pct"/>
            <w:tcBorders>
              <w:top w:val="dotted" w:sz="4" w:space="0" w:color="auto"/>
            </w:tcBorders>
            <w:vAlign w:val="center"/>
          </w:tcPr>
          <w:p w:rsidR="005403A6" w:rsidRPr="006A2BF3" w:rsidRDefault="005403A6" w:rsidP="000A02D3">
            <w:pPr>
              <w:jc w:val="center"/>
              <w:rPr>
                <w:rFonts w:ascii="Arial" w:hAnsi="Arial" w:cs="Arial"/>
                <w:sz w:val="16"/>
                <w:szCs w:val="16"/>
                <w:lang w:eastAsia="cs-CZ"/>
              </w:rPr>
            </w:pPr>
            <w:r w:rsidRPr="00D25EFA">
              <w:rPr>
                <w:rFonts w:ascii="Arial Narrow" w:hAnsi="Arial Narrow"/>
                <w:sz w:val="14"/>
                <w:szCs w:val="14"/>
                <w:lang w:eastAsia="cs-CZ"/>
              </w:rPr>
              <w:t>NA</w:t>
            </w:r>
          </w:p>
        </w:tc>
        <w:tc>
          <w:tcPr>
            <w:tcW w:w="381" w:type="pct"/>
            <w:tcBorders>
              <w:top w:val="dotted" w:sz="4" w:space="0" w:color="auto"/>
            </w:tcBorders>
            <w:vAlign w:val="center"/>
          </w:tcPr>
          <w:p w:rsidR="005403A6" w:rsidRPr="006A2BF3" w:rsidRDefault="005403A6" w:rsidP="000A02D3">
            <w:pPr>
              <w:jc w:val="center"/>
              <w:rPr>
                <w:rFonts w:ascii="Arial" w:hAnsi="Arial" w:cs="Arial"/>
                <w:sz w:val="16"/>
                <w:szCs w:val="16"/>
                <w:lang w:eastAsia="cs-CZ"/>
              </w:rPr>
            </w:pPr>
            <w:r w:rsidRPr="00D25EFA">
              <w:rPr>
                <w:rFonts w:ascii="Arial Narrow" w:hAnsi="Arial Narrow"/>
                <w:sz w:val="14"/>
                <w:szCs w:val="14"/>
                <w:lang w:eastAsia="cs-CZ"/>
              </w:rPr>
              <w:t>NA</w:t>
            </w:r>
          </w:p>
        </w:tc>
        <w:tc>
          <w:tcPr>
            <w:tcW w:w="381" w:type="pct"/>
            <w:tcBorders>
              <w:top w:val="dotted" w:sz="4" w:space="0" w:color="auto"/>
              <w:right w:val="single" w:sz="6" w:space="0" w:color="auto"/>
            </w:tcBorders>
            <w:vAlign w:val="center"/>
          </w:tcPr>
          <w:p w:rsidR="005403A6" w:rsidRPr="006A2BF3" w:rsidRDefault="005403A6" w:rsidP="000A02D3">
            <w:pPr>
              <w:jc w:val="center"/>
              <w:rPr>
                <w:rFonts w:ascii="Arial" w:hAnsi="Arial" w:cs="Arial"/>
                <w:b/>
                <w:sz w:val="16"/>
                <w:szCs w:val="16"/>
                <w:lang w:eastAsia="cs-CZ"/>
              </w:rPr>
            </w:pPr>
            <w:r w:rsidRPr="00D25EFA">
              <w:rPr>
                <w:rFonts w:ascii="Arial Narrow" w:hAnsi="Arial Narrow"/>
                <w:b/>
                <w:sz w:val="14"/>
                <w:szCs w:val="14"/>
                <w:lang w:eastAsia="cs-CZ"/>
              </w:rPr>
              <w:t>NA</w:t>
            </w:r>
          </w:p>
        </w:tc>
        <w:tc>
          <w:tcPr>
            <w:tcW w:w="354" w:type="pct"/>
            <w:tcBorders>
              <w:top w:val="dotted" w:sz="4" w:space="0" w:color="auto"/>
              <w:left w:val="single" w:sz="6" w:space="0" w:color="auto"/>
              <w:right w:val="single" w:sz="6" w:space="0" w:color="auto"/>
            </w:tcBorders>
            <w:vAlign w:val="center"/>
          </w:tcPr>
          <w:p w:rsidR="005403A6" w:rsidRPr="006A2BF3" w:rsidRDefault="005403A6" w:rsidP="000A02D3">
            <w:pPr>
              <w:jc w:val="center"/>
              <w:rPr>
                <w:rFonts w:ascii="Arial" w:hAnsi="Arial" w:cs="Arial"/>
                <w:b/>
                <w:sz w:val="16"/>
                <w:szCs w:val="16"/>
                <w:lang w:eastAsia="cs-CZ"/>
              </w:rPr>
            </w:pPr>
            <w:r w:rsidRPr="00D25EFA">
              <w:rPr>
                <w:rFonts w:ascii="Arial Narrow" w:hAnsi="Arial Narrow"/>
                <w:b/>
                <w:sz w:val="14"/>
                <w:szCs w:val="14"/>
                <w:lang w:eastAsia="cs-CZ"/>
              </w:rPr>
              <w:t>NA</w:t>
            </w:r>
          </w:p>
        </w:tc>
      </w:tr>
      <w:tr w:rsidR="002416B1" w:rsidRPr="006A2BF3" w:rsidTr="006A2BF3">
        <w:trPr>
          <w:trHeight w:val="20"/>
        </w:trPr>
        <w:tc>
          <w:tcPr>
            <w:tcW w:w="5000" w:type="pct"/>
            <w:gridSpan w:val="13"/>
            <w:tcBorders>
              <w:left w:val="single" w:sz="6" w:space="0" w:color="auto"/>
              <w:right w:val="single" w:sz="6" w:space="0" w:color="auto"/>
            </w:tcBorders>
            <w:shd w:val="clear" w:color="auto" w:fill="EAF1DD"/>
            <w:vAlign w:val="center"/>
          </w:tcPr>
          <w:p w:rsidR="002416B1" w:rsidRPr="00C266A4" w:rsidRDefault="002416B1" w:rsidP="000A02D3">
            <w:pPr>
              <w:rPr>
                <w:rFonts w:ascii="Arial" w:hAnsi="Arial" w:cs="Arial"/>
                <w:sz w:val="16"/>
                <w:szCs w:val="16"/>
                <w:lang w:eastAsia="cs-CZ"/>
              </w:rPr>
            </w:pPr>
          </w:p>
        </w:tc>
      </w:tr>
      <w:tr w:rsidR="005403A6" w:rsidRPr="006A2BF3" w:rsidTr="001540E7">
        <w:trPr>
          <w:trHeight w:val="20"/>
        </w:trPr>
        <w:tc>
          <w:tcPr>
            <w:tcW w:w="688" w:type="pct"/>
            <w:vMerge w:val="restart"/>
            <w:tcBorders>
              <w:left w:val="single" w:sz="6" w:space="0" w:color="auto"/>
            </w:tcBorders>
            <w:vAlign w:val="center"/>
          </w:tcPr>
          <w:p w:rsidR="005403A6" w:rsidRPr="00C266A4" w:rsidRDefault="005403A6" w:rsidP="000A02D3">
            <w:pPr>
              <w:rPr>
                <w:rFonts w:ascii="Arial" w:hAnsi="Arial" w:cs="Arial"/>
                <w:sz w:val="16"/>
                <w:szCs w:val="16"/>
                <w:lang w:eastAsia="en-US"/>
              </w:rPr>
            </w:pPr>
            <w:r w:rsidRPr="00C266A4">
              <w:rPr>
                <w:rFonts w:ascii="Arial" w:hAnsi="Arial" w:cs="Arial"/>
                <w:sz w:val="16"/>
                <w:szCs w:val="16"/>
                <w:lang w:eastAsia="en-US"/>
              </w:rPr>
              <w:t>počet vydaných odborných a</w:t>
            </w:r>
          </w:p>
          <w:p w:rsidR="005403A6" w:rsidRPr="00C266A4" w:rsidRDefault="005403A6" w:rsidP="000A02D3">
            <w:pPr>
              <w:rPr>
                <w:rFonts w:ascii="Arial" w:hAnsi="Arial" w:cs="Arial"/>
                <w:sz w:val="16"/>
                <w:szCs w:val="16"/>
                <w:lang w:eastAsia="cs-CZ"/>
              </w:rPr>
            </w:pPr>
            <w:r w:rsidRPr="00C266A4">
              <w:rPr>
                <w:rFonts w:ascii="Arial" w:hAnsi="Arial" w:cs="Arial"/>
                <w:sz w:val="16"/>
                <w:szCs w:val="16"/>
                <w:lang w:eastAsia="en-US"/>
              </w:rPr>
              <w:t>informačných publikácií</w:t>
            </w:r>
          </w:p>
        </w:tc>
        <w:tc>
          <w:tcPr>
            <w:tcW w:w="618" w:type="pct"/>
            <w:tcBorders>
              <w:bottom w:val="dotted" w:sz="4" w:space="0" w:color="auto"/>
            </w:tcBorders>
            <w:vAlign w:val="center"/>
          </w:tcPr>
          <w:p w:rsidR="005403A6" w:rsidRPr="006A2BF3" w:rsidRDefault="005403A6" w:rsidP="000A02D3">
            <w:pPr>
              <w:rPr>
                <w:rFonts w:ascii="Arial" w:hAnsi="Arial" w:cs="Arial"/>
                <w:sz w:val="16"/>
                <w:szCs w:val="16"/>
                <w:lang w:eastAsia="en-US"/>
              </w:rPr>
            </w:pPr>
            <w:r w:rsidRPr="006A2BF3">
              <w:rPr>
                <w:rFonts w:ascii="Arial" w:hAnsi="Arial" w:cs="Arial"/>
                <w:sz w:val="16"/>
                <w:szCs w:val="16"/>
                <w:lang w:eastAsia="en-US"/>
              </w:rPr>
              <w:t>Dosiahnutý výsledok</w:t>
            </w:r>
          </w:p>
        </w:tc>
        <w:tc>
          <w:tcPr>
            <w:tcW w:w="293" w:type="pct"/>
            <w:tcBorders>
              <w:bottom w:val="dotted" w:sz="4" w:space="0" w:color="auto"/>
            </w:tcBorders>
            <w:vAlign w:val="center"/>
          </w:tcPr>
          <w:p w:rsidR="005403A6" w:rsidRPr="006A2BF3" w:rsidRDefault="005403A6" w:rsidP="000A02D3">
            <w:pPr>
              <w:jc w:val="center"/>
              <w:rPr>
                <w:rFonts w:ascii="Arial" w:hAnsi="Arial" w:cs="Arial"/>
                <w:b/>
                <w:sz w:val="16"/>
                <w:szCs w:val="16"/>
                <w:lang w:eastAsia="cs-CZ"/>
              </w:rPr>
            </w:pPr>
            <w:r w:rsidRPr="00D25EFA">
              <w:rPr>
                <w:rFonts w:ascii="Arial Narrow" w:hAnsi="Arial Narrow"/>
                <w:sz w:val="14"/>
                <w:szCs w:val="14"/>
                <w:lang w:eastAsia="cs-CZ"/>
              </w:rPr>
              <w:t>0</w:t>
            </w:r>
          </w:p>
        </w:tc>
        <w:tc>
          <w:tcPr>
            <w:tcW w:w="381" w:type="pct"/>
            <w:tcBorders>
              <w:bottom w:val="dotted" w:sz="4" w:space="0" w:color="auto"/>
            </w:tcBorders>
            <w:vAlign w:val="center"/>
          </w:tcPr>
          <w:p w:rsidR="005403A6" w:rsidRPr="006A2BF3" w:rsidRDefault="005403A6" w:rsidP="000A02D3">
            <w:pPr>
              <w:jc w:val="center"/>
              <w:rPr>
                <w:rFonts w:ascii="Arial" w:hAnsi="Arial" w:cs="Arial"/>
                <w:b/>
                <w:sz w:val="16"/>
                <w:szCs w:val="16"/>
                <w:lang w:eastAsia="cs-CZ"/>
              </w:rPr>
            </w:pPr>
            <w:r w:rsidRPr="00D25EFA">
              <w:rPr>
                <w:rFonts w:ascii="Arial Narrow" w:hAnsi="Arial Narrow"/>
                <w:sz w:val="14"/>
                <w:szCs w:val="14"/>
                <w:lang w:eastAsia="cs-CZ"/>
              </w:rPr>
              <w:t>6</w:t>
            </w:r>
          </w:p>
        </w:tc>
        <w:tc>
          <w:tcPr>
            <w:tcW w:w="381" w:type="pct"/>
            <w:tcBorders>
              <w:bottom w:val="dotted" w:sz="4" w:space="0" w:color="auto"/>
            </w:tcBorders>
            <w:vAlign w:val="center"/>
          </w:tcPr>
          <w:p w:rsidR="005403A6" w:rsidRPr="006A2BF3" w:rsidRDefault="005403A6" w:rsidP="000A02D3">
            <w:pPr>
              <w:jc w:val="center"/>
              <w:rPr>
                <w:rFonts w:ascii="Arial" w:hAnsi="Arial" w:cs="Arial"/>
                <w:b/>
                <w:sz w:val="16"/>
                <w:szCs w:val="16"/>
                <w:lang w:eastAsia="cs-CZ"/>
              </w:rPr>
            </w:pPr>
            <w:r w:rsidRPr="00D25EFA">
              <w:rPr>
                <w:rFonts w:ascii="Arial Narrow" w:hAnsi="Arial Narrow"/>
                <w:sz w:val="14"/>
                <w:szCs w:val="14"/>
                <w:lang w:eastAsia="cs-CZ"/>
              </w:rPr>
              <w:t>41</w:t>
            </w:r>
          </w:p>
        </w:tc>
        <w:tc>
          <w:tcPr>
            <w:tcW w:w="381" w:type="pct"/>
            <w:gridSpan w:val="2"/>
            <w:tcBorders>
              <w:bottom w:val="dotted" w:sz="4" w:space="0" w:color="auto"/>
            </w:tcBorders>
            <w:vAlign w:val="center"/>
          </w:tcPr>
          <w:p w:rsidR="005403A6" w:rsidRPr="006A2BF3" w:rsidRDefault="005403A6" w:rsidP="000A02D3">
            <w:pPr>
              <w:jc w:val="center"/>
              <w:rPr>
                <w:rFonts w:ascii="Arial" w:hAnsi="Arial" w:cs="Arial"/>
                <w:b/>
                <w:sz w:val="16"/>
                <w:szCs w:val="16"/>
                <w:lang w:eastAsia="cs-CZ"/>
              </w:rPr>
            </w:pPr>
            <w:r w:rsidRPr="00D25EFA">
              <w:rPr>
                <w:rFonts w:ascii="Arial Narrow" w:hAnsi="Arial Narrow"/>
                <w:sz w:val="14"/>
                <w:szCs w:val="14"/>
                <w:lang w:eastAsia="cs-CZ"/>
              </w:rPr>
              <w:t>47</w:t>
            </w:r>
          </w:p>
        </w:tc>
        <w:tc>
          <w:tcPr>
            <w:tcW w:w="381" w:type="pct"/>
            <w:tcBorders>
              <w:bottom w:val="dotted" w:sz="4" w:space="0" w:color="auto"/>
            </w:tcBorders>
            <w:vAlign w:val="center"/>
          </w:tcPr>
          <w:p w:rsidR="005403A6" w:rsidRPr="006A2BF3" w:rsidRDefault="005403A6" w:rsidP="000A02D3">
            <w:pPr>
              <w:jc w:val="center"/>
              <w:rPr>
                <w:rFonts w:ascii="Arial" w:hAnsi="Arial" w:cs="Arial"/>
                <w:b/>
                <w:sz w:val="16"/>
                <w:szCs w:val="16"/>
                <w:lang w:eastAsia="cs-CZ"/>
              </w:rPr>
            </w:pPr>
            <w:r w:rsidRPr="00D25EFA">
              <w:rPr>
                <w:rFonts w:ascii="Arial Narrow" w:hAnsi="Arial Narrow"/>
                <w:sz w:val="14"/>
                <w:szCs w:val="14"/>
                <w:lang w:eastAsia="cs-CZ"/>
              </w:rPr>
              <w:t>129</w:t>
            </w:r>
          </w:p>
        </w:tc>
        <w:tc>
          <w:tcPr>
            <w:tcW w:w="381" w:type="pct"/>
            <w:tcBorders>
              <w:bottom w:val="dotted" w:sz="4" w:space="0" w:color="auto"/>
            </w:tcBorders>
            <w:vAlign w:val="center"/>
          </w:tcPr>
          <w:p w:rsidR="005403A6" w:rsidRPr="006A2BF3" w:rsidRDefault="005403A6" w:rsidP="000A02D3">
            <w:pPr>
              <w:jc w:val="center"/>
              <w:rPr>
                <w:rFonts w:ascii="Arial" w:hAnsi="Arial" w:cs="Arial"/>
                <w:sz w:val="16"/>
                <w:szCs w:val="16"/>
                <w:lang w:eastAsia="cs-CZ"/>
              </w:rPr>
            </w:pPr>
            <w:r w:rsidRPr="00D25EFA">
              <w:rPr>
                <w:rFonts w:ascii="Arial Narrow" w:hAnsi="Arial Narrow"/>
                <w:sz w:val="14"/>
                <w:szCs w:val="14"/>
                <w:lang w:eastAsia="cs-CZ"/>
              </w:rPr>
              <w:t>213</w:t>
            </w:r>
          </w:p>
        </w:tc>
        <w:tc>
          <w:tcPr>
            <w:tcW w:w="381" w:type="pct"/>
            <w:tcBorders>
              <w:bottom w:val="dotted" w:sz="4" w:space="0" w:color="auto"/>
            </w:tcBorders>
            <w:vAlign w:val="center"/>
          </w:tcPr>
          <w:p w:rsidR="005403A6" w:rsidRPr="006A2BF3" w:rsidRDefault="005403A6" w:rsidP="000A02D3">
            <w:pPr>
              <w:jc w:val="center"/>
              <w:rPr>
                <w:rFonts w:ascii="Arial" w:hAnsi="Arial" w:cs="Arial"/>
                <w:sz w:val="16"/>
                <w:szCs w:val="16"/>
                <w:lang w:eastAsia="cs-CZ"/>
              </w:rPr>
            </w:pPr>
            <w:r w:rsidRPr="00D25EFA">
              <w:rPr>
                <w:rFonts w:ascii="Arial Narrow" w:hAnsi="Arial Narrow"/>
                <w:sz w:val="14"/>
                <w:szCs w:val="14"/>
                <w:lang w:eastAsia="cs-CZ"/>
              </w:rPr>
              <w:t>NA</w:t>
            </w:r>
          </w:p>
        </w:tc>
        <w:tc>
          <w:tcPr>
            <w:tcW w:w="381" w:type="pct"/>
            <w:tcBorders>
              <w:bottom w:val="dotted" w:sz="4" w:space="0" w:color="auto"/>
            </w:tcBorders>
            <w:vAlign w:val="center"/>
          </w:tcPr>
          <w:p w:rsidR="005403A6" w:rsidRPr="006A2BF3" w:rsidRDefault="005403A6" w:rsidP="000A02D3">
            <w:pPr>
              <w:jc w:val="center"/>
              <w:rPr>
                <w:rFonts w:ascii="Arial" w:hAnsi="Arial" w:cs="Arial"/>
                <w:sz w:val="16"/>
                <w:szCs w:val="16"/>
                <w:lang w:eastAsia="cs-CZ"/>
              </w:rPr>
            </w:pPr>
            <w:r w:rsidRPr="00D25EFA">
              <w:rPr>
                <w:rFonts w:ascii="Arial Narrow" w:hAnsi="Arial Narrow"/>
                <w:sz w:val="14"/>
                <w:szCs w:val="14"/>
                <w:lang w:eastAsia="cs-CZ"/>
              </w:rPr>
              <w:t>NA</w:t>
            </w:r>
          </w:p>
        </w:tc>
        <w:tc>
          <w:tcPr>
            <w:tcW w:w="381" w:type="pct"/>
            <w:tcBorders>
              <w:bottom w:val="dotted" w:sz="4" w:space="0" w:color="auto"/>
            </w:tcBorders>
            <w:vAlign w:val="center"/>
          </w:tcPr>
          <w:p w:rsidR="005403A6" w:rsidRPr="006A2BF3" w:rsidRDefault="005403A6" w:rsidP="000A02D3">
            <w:pPr>
              <w:jc w:val="center"/>
              <w:rPr>
                <w:rFonts w:ascii="Arial" w:hAnsi="Arial" w:cs="Arial"/>
                <w:b/>
                <w:sz w:val="16"/>
                <w:szCs w:val="16"/>
                <w:lang w:eastAsia="cs-CZ"/>
              </w:rPr>
            </w:pPr>
            <w:r w:rsidRPr="00D25EFA">
              <w:rPr>
                <w:rFonts w:ascii="Arial Narrow" w:hAnsi="Arial Narrow"/>
                <w:b/>
                <w:sz w:val="14"/>
                <w:szCs w:val="14"/>
                <w:lang w:eastAsia="cs-CZ"/>
              </w:rPr>
              <w:t>NA</w:t>
            </w:r>
          </w:p>
        </w:tc>
        <w:tc>
          <w:tcPr>
            <w:tcW w:w="354" w:type="pct"/>
            <w:tcBorders>
              <w:bottom w:val="dotted" w:sz="4" w:space="0" w:color="auto"/>
              <w:right w:val="single" w:sz="6" w:space="0" w:color="auto"/>
            </w:tcBorders>
            <w:vAlign w:val="center"/>
          </w:tcPr>
          <w:p w:rsidR="005403A6" w:rsidRPr="006A2BF3" w:rsidRDefault="005403A6" w:rsidP="000A02D3">
            <w:pPr>
              <w:jc w:val="center"/>
              <w:rPr>
                <w:rFonts w:ascii="Arial" w:hAnsi="Arial" w:cs="Arial"/>
                <w:b/>
                <w:sz w:val="16"/>
                <w:szCs w:val="16"/>
                <w:lang w:eastAsia="cs-CZ"/>
              </w:rPr>
            </w:pPr>
            <w:r w:rsidRPr="00D25EFA">
              <w:rPr>
                <w:rFonts w:ascii="Arial Narrow" w:hAnsi="Arial Narrow"/>
                <w:b/>
                <w:sz w:val="14"/>
                <w:szCs w:val="14"/>
                <w:lang w:eastAsia="cs-CZ"/>
              </w:rPr>
              <w:t>213</w:t>
            </w:r>
          </w:p>
        </w:tc>
      </w:tr>
      <w:tr w:rsidR="005403A6" w:rsidRPr="006A2BF3" w:rsidTr="001540E7">
        <w:trPr>
          <w:trHeight w:val="20"/>
        </w:trPr>
        <w:tc>
          <w:tcPr>
            <w:tcW w:w="688" w:type="pct"/>
            <w:vMerge/>
            <w:tcBorders>
              <w:left w:val="single" w:sz="6" w:space="0" w:color="auto"/>
            </w:tcBorders>
            <w:vAlign w:val="center"/>
          </w:tcPr>
          <w:p w:rsidR="005403A6" w:rsidRPr="00C266A4" w:rsidRDefault="005403A6" w:rsidP="000A02D3">
            <w:pPr>
              <w:rPr>
                <w:rFonts w:ascii="Arial" w:hAnsi="Arial" w:cs="Arial"/>
                <w:sz w:val="16"/>
                <w:szCs w:val="16"/>
                <w:lang w:eastAsia="cs-CZ"/>
              </w:rPr>
            </w:pPr>
          </w:p>
        </w:tc>
        <w:tc>
          <w:tcPr>
            <w:tcW w:w="618" w:type="pct"/>
            <w:tcBorders>
              <w:top w:val="dotted" w:sz="4" w:space="0" w:color="auto"/>
              <w:bottom w:val="dotted" w:sz="4" w:space="0" w:color="auto"/>
            </w:tcBorders>
            <w:vAlign w:val="center"/>
          </w:tcPr>
          <w:p w:rsidR="005403A6" w:rsidRPr="006A2BF3" w:rsidRDefault="005403A6" w:rsidP="000A02D3">
            <w:pPr>
              <w:rPr>
                <w:rFonts w:ascii="Arial" w:hAnsi="Arial" w:cs="Arial"/>
                <w:sz w:val="16"/>
                <w:szCs w:val="16"/>
                <w:lang w:eastAsia="en-US"/>
              </w:rPr>
            </w:pPr>
            <w:r w:rsidRPr="006A2BF3">
              <w:rPr>
                <w:rFonts w:ascii="Arial" w:hAnsi="Arial" w:cs="Arial"/>
                <w:sz w:val="16"/>
                <w:szCs w:val="16"/>
                <w:lang w:eastAsia="en-US"/>
              </w:rPr>
              <w:t>Cieľ</w:t>
            </w:r>
          </w:p>
        </w:tc>
        <w:tc>
          <w:tcPr>
            <w:tcW w:w="293" w:type="pct"/>
            <w:tcBorders>
              <w:top w:val="dotted" w:sz="4" w:space="0" w:color="auto"/>
              <w:bottom w:val="dotted" w:sz="4" w:space="0" w:color="auto"/>
            </w:tcBorders>
            <w:vAlign w:val="center"/>
          </w:tcPr>
          <w:p w:rsidR="005403A6" w:rsidRPr="006A2BF3" w:rsidRDefault="005403A6" w:rsidP="000A02D3">
            <w:pPr>
              <w:jc w:val="center"/>
              <w:rPr>
                <w:rFonts w:ascii="Arial" w:hAnsi="Arial" w:cs="Arial"/>
                <w:sz w:val="16"/>
                <w:szCs w:val="16"/>
                <w:lang w:eastAsia="cs-CZ"/>
              </w:rPr>
            </w:pPr>
            <w:r w:rsidRPr="00D25EFA">
              <w:rPr>
                <w:rFonts w:ascii="Arial Narrow" w:hAnsi="Arial Narrow"/>
                <w:sz w:val="14"/>
                <w:szCs w:val="14"/>
                <w:lang w:eastAsia="cs-CZ"/>
              </w:rPr>
              <w:t>NA</w:t>
            </w:r>
          </w:p>
        </w:tc>
        <w:tc>
          <w:tcPr>
            <w:tcW w:w="381" w:type="pct"/>
            <w:tcBorders>
              <w:top w:val="dotted" w:sz="4" w:space="0" w:color="auto"/>
              <w:bottom w:val="dotted" w:sz="4" w:space="0" w:color="auto"/>
            </w:tcBorders>
            <w:vAlign w:val="center"/>
          </w:tcPr>
          <w:p w:rsidR="005403A6" w:rsidRPr="006A2BF3" w:rsidRDefault="005403A6" w:rsidP="000A02D3">
            <w:pPr>
              <w:jc w:val="center"/>
              <w:rPr>
                <w:rFonts w:ascii="Arial" w:hAnsi="Arial" w:cs="Arial"/>
                <w:sz w:val="16"/>
                <w:szCs w:val="16"/>
                <w:lang w:eastAsia="cs-CZ"/>
              </w:rPr>
            </w:pPr>
            <w:r w:rsidRPr="00D25EFA">
              <w:rPr>
                <w:rFonts w:ascii="Arial Narrow" w:hAnsi="Arial Narrow"/>
                <w:sz w:val="14"/>
                <w:szCs w:val="14"/>
                <w:lang w:eastAsia="cs-CZ"/>
              </w:rPr>
              <w:t>NA</w:t>
            </w:r>
          </w:p>
        </w:tc>
        <w:tc>
          <w:tcPr>
            <w:tcW w:w="381" w:type="pct"/>
            <w:tcBorders>
              <w:top w:val="dotted" w:sz="4" w:space="0" w:color="auto"/>
              <w:bottom w:val="dotted" w:sz="4" w:space="0" w:color="auto"/>
            </w:tcBorders>
            <w:vAlign w:val="center"/>
          </w:tcPr>
          <w:p w:rsidR="005403A6" w:rsidRPr="006A2BF3" w:rsidRDefault="005403A6" w:rsidP="000A02D3">
            <w:pPr>
              <w:jc w:val="center"/>
              <w:rPr>
                <w:rFonts w:ascii="Arial" w:hAnsi="Arial" w:cs="Arial"/>
                <w:sz w:val="16"/>
                <w:szCs w:val="16"/>
                <w:lang w:eastAsia="cs-CZ"/>
              </w:rPr>
            </w:pPr>
            <w:r w:rsidRPr="00D25EFA">
              <w:rPr>
                <w:rFonts w:ascii="Arial Narrow" w:hAnsi="Arial Narrow"/>
                <w:sz w:val="14"/>
                <w:szCs w:val="14"/>
                <w:lang w:eastAsia="cs-CZ"/>
              </w:rPr>
              <w:t>NA</w:t>
            </w:r>
          </w:p>
        </w:tc>
        <w:tc>
          <w:tcPr>
            <w:tcW w:w="381" w:type="pct"/>
            <w:gridSpan w:val="2"/>
            <w:tcBorders>
              <w:top w:val="dotted" w:sz="4" w:space="0" w:color="auto"/>
              <w:bottom w:val="dotted" w:sz="4" w:space="0" w:color="auto"/>
            </w:tcBorders>
            <w:vAlign w:val="center"/>
          </w:tcPr>
          <w:p w:rsidR="005403A6" w:rsidRPr="006A2BF3" w:rsidRDefault="005403A6" w:rsidP="000A02D3">
            <w:pPr>
              <w:jc w:val="center"/>
              <w:rPr>
                <w:rFonts w:ascii="Arial" w:hAnsi="Arial" w:cs="Arial"/>
                <w:sz w:val="16"/>
                <w:szCs w:val="16"/>
                <w:lang w:eastAsia="cs-CZ"/>
              </w:rPr>
            </w:pPr>
            <w:r w:rsidRPr="00D25EFA">
              <w:rPr>
                <w:rFonts w:ascii="Arial Narrow" w:hAnsi="Arial Narrow"/>
                <w:sz w:val="14"/>
                <w:szCs w:val="14"/>
                <w:lang w:eastAsia="cs-CZ"/>
              </w:rPr>
              <w:t>NA</w:t>
            </w:r>
          </w:p>
        </w:tc>
        <w:tc>
          <w:tcPr>
            <w:tcW w:w="381" w:type="pct"/>
            <w:tcBorders>
              <w:top w:val="dotted" w:sz="4" w:space="0" w:color="auto"/>
              <w:bottom w:val="dotted" w:sz="4" w:space="0" w:color="auto"/>
            </w:tcBorders>
            <w:vAlign w:val="center"/>
          </w:tcPr>
          <w:p w:rsidR="005403A6" w:rsidRPr="006A2BF3" w:rsidRDefault="005403A6" w:rsidP="000A02D3">
            <w:pPr>
              <w:jc w:val="center"/>
              <w:rPr>
                <w:rFonts w:ascii="Arial" w:hAnsi="Arial" w:cs="Arial"/>
                <w:sz w:val="16"/>
                <w:szCs w:val="16"/>
                <w:lang w:eastAsia="cs-CZ"/>
              </w:rPr>
            </w:pPr>
            <w:r w:rsidRPr="00D25EFA">
              <w:rPr>
                <w:rFonts w:ascii="Arial Narrow" w:hAnsi="Arial Narrow"/>
                <w:sz w:val="14"/>
                <w:szCs w:val="14"/>
                <w:lang w:eastAsia="cs-CZ"/>
              </w:rPr>
              <w:t>NA</w:t>
            </w:r>
          </w:p>
        </w:tc>
        <w:tc>
          <w:tcPr>
            <w:tcW w:w="381" w:type="pct"/>
            <w:tcBorders>
              <w:top w:val="dotted" w:sz="4" w:space="0" w:color="auto"/>
              <w:bottom w:val="dotted" w:sz="4" w:space="0" w:color="auto"/>
            </w:tcBorders>
            <w:vAlign w:val="center"/>
          </w:tcPr>
          <w:p w:rsidR="005403A6" w:rsidRPr="006A2BF3" w:rsidRDefault="005403A6" w:rsidP="000A02D3">
            <w:pPr>
              <w:jc w:val="center"/>
              <w:rPr>
                <w:rFonts w:ascii="Arial" w:hAnsi="Arial" w:cs="Arial"/>
                <w:sz w:val="16"/>
                <w:szCs w:val="16"/>
                <w:lang w:eastAsia="cs-CZ"/>
              </w:rPr>
            </w:pPr>
            <w:r w:rsidRPr="00D25EFA">
              <w:rPr>
                <w:rFonts w:ascii="Arial Narrow" w:hAnsi="Arial Narrow"/>
                <w:sz w:val="14"/>
                <w:szCs w:val="14"/>
                <w:lang w:eastAsia="cs-CZ"/>
              </w:rPr>
              <w:t>NA</w:t>
            </w:r>
          </w:p>
        </w:tc>
        <w:tc>
          <w:tcPr>
            <w:tcW w:w="381" w:type="pct"/>
            <w:tcBorders>
              <w:top w:val="dotted" w:sz="4" w:space="0" w:color="auto"/>
              <w:bottom w:val="dotted" w:sz="4" w:space="0" w:color="auto"/>
            </w:tcBorders>
            <w:vAlign w:val="center"/>
          </w:tcPr>
          <w:p w:rsidR="005403A6" w:rsidRPr="006A2BF3" w:rsidRDefault="005403A6" w:rsidP="000A02D3">
            <w:pPr>
              <w:jc w:val="center"/>
              <w:rPr>
                <w:rFonts w:ascii="Arial" w:hAnsi="Arial" w:cs="Arial"/>
                <w:sz w:val="16"/>
                <w:szCs w:val="16"/>
                <w:lang w:eastAsia="cs-CZ"/>
              </w:rPr>
            </w:pPr>
            <w:r w:rsidRPr="00D25EFA">
              <w:rPr>
                <w:rFonts w:ascii="Arial Narrow" w:hAnsi="Arial Narrow"/>
                <w:sz w:val="14"/>
                <w:szCs w:val="14"/>
                <w:lang w:eastAsia="cs-CZ"/>
              </w:rPr>
              <w:t>NA</w:t>
            </w:r>
          </w:p>
        </w:tc>
        <w:tc>
          <w:tcPr>
            <w:tcW w:w="381" w:type="pct"/>
            <w:tcBorders>
              <w:top w:val="dotted" w:sz="4" w:space="0" w:color="auto"/>
              <w:bottom w:val="dotted" w:sz="4" w:space="0" w:color="auto"/>
            </w:tcBorders>
            <w:vAlign w:val="center"/>
          </w:tcPr>
          <w:p w:rsidR="005403A6" w:rsidRPr="006A2BF3" w:rsidRDefault="005403A6" w:rsidP="000A02D3">
            <w:pPr>
              <w:jc w:val="center"/>
              <w:rPr>
                <w:rFonts w:ascii="Arial" w:hAnsi="Arial" w:cs="Arial"/>
                <w:sz w:val="16"/>
                <w:szCs w:val="16"/>
                <w:lang w:eastAsia="cs-CZ"/>
              </w:rPr>
            </w:pPr>
            <w:r w:rsidRPr="00D25EFA">
              <w:rPr>
                <w:rFonts w:ascii="Arial Narrow" w:hAnsi="Arial Narrow"/>
                <w:sz w:val="14"/>
                <w:szCs w:val="14"/>
                <w:lang w:eastAsia="cs-CZ"/>
              </w:rPr>
              <w:t>NA</w:t>
            </w:r>
          </w:p>
        </w:tc>
        <w:tc>
          <w:tcPr>
            <w:tcW w:w="381" w:type="pct"/>
            <w:tcBorders>
              <w:top w:val="dotted" w:sz="4" w:space="0" w:color="auto"/>
              <w:bottom w:val="dotted" w:sz="4" w:space="0" w:color="auto"/>
            </w:tcBorders>
            <w:vAlign w:val="center"/>
          </w:tcPr>
          <w:p w:rsidR="005403A6" w:rsidRPr="006A2BF3" w:rsidRDefault="005403A6" w:rsidP="000A02D3">
            <w:pPr>
              <w:jc w:val="center"/>
              <w:rPr>
                <w:rFonts w:ascii="Arial" w:hAnsi="Arial" w:cs="Arial"/>
                <w:b/>
                <w:sz w:val="16"/>
                <w:szCs w:val="16"/>
                <w:lang w:eastAsia="cs-CZ"/>
              </w:rPr>
            </w:pPr>
            <w:r w:rsidRPr="00D25EFA">
              <w:rPr>
                <w:rFonts w:ascii="Arial Narrow" w:hAnsi="Arial Narrow"/>
                <w:b/>
                <w:sz w:val="14"/>
                <w:szCs w:val="14"/>
                <w:lang w:eastAsia="cs-CZ"/>
              </w:rPr>
              <w:t>3000</w:t>
            </w:r>
          </w:p>
        </w:tc>
        <w:tc>
          <w:tcPr>
            <w:tcW w:w="354" w:type="pct"/>
            <w:tcBorders>
              <w:top w:val="dotted" w:sz="4" w:space="0" w:color="auto"/>
              <w:bottom w:val="dotted" w:sz="4" w:space="0" w:color="auto"/>
              <w:right w:val="single" w:sz="6" w:space="0" w:color="auto"/>
            </w:tcBorders>
            <w:vAlign w:val="center"/>
          </w:tcPr>
          <w:p w:rsidR="005403A6" w:rsidRPr="006A2BF3" w:rsidRDefault="005403A6" w:rsidP="000A02D3">
            <w:pPr>
              <w:jc w:val="center"/>
              <w:rPr>
                <w:rFonts w:ascii="Arial" w:hAnsi="Arial" w:cs="Arial"/>
                <w:b/>
                <w:sz w:val="16"/>
                <w:szCs w:val="16"/>
                <w:lang w:eastAsia="cs-CZ"/>
              </w:rPr>
            </w:pPr>
            <w:r w:rsidRPr="00D25EFA">
              <w:rPr>
                <w:rFonts w:ascii="Arial Narrow" w:hAnsi="Arial Narrow"/>
                <w:b/>
                <w:sz w:val="14"/>
                <w:szCs w:val="14"/>
                <w:lang w:eastAsia="cs-CZ"/>
              </w:rPr>
              <w:t>NA</w:t>
            </w:r>
          </w:p>
        </w:tc>
      </w:tr>
      <w:tr w:rsidR="005403A6" w:rsidRPr="006A2BF3" w:rsidTr="001540E7">
        <w:trPr>
          <w:trHeight w:val="20"/>
        </w:trPr>
        <w:tc>
          <w:tcPr>
            <w:tcW w:w="688" w:type="pct"/>
            <w:vMerge/>
            <w:tcBorders>
              <w:left w:val="single" w:sz="6" w:space="0" w:color="auto"/>
            </w:tcBorders>
            <w:vAlign w:val="center"/>
          </w:tcPr>
          <w:p w:rsidR="005403A6" w:rsidRPr="00C266A4" w:rsidRDefault="005403A6" w:rsidP="000A02D3">
            <w:pPr>
              <w:rPr>
                <w:rFonts w:ascii="Arial" w:hAnsi="Arial" w:cs="Arial"/>
                <w:sz w:val="16"/>
                <w:szCs w:val="16"/>
                <w:lang w:eastAsia="cs-CZ"/>
              </w:rPr>
            </w:pPr>
          </w:p>
        </w:tc>
        <w:tc>
          <w:tcPr>
            <w:tcW w:w="618" w:type="pct"/>
            <w:tcBorders>
              <w:top w:val="dotted" w:sz="4" w:space="0" w:color="auto"/>
            </w:tcBorders>
            <w:vAlign w:val="center"/>
          </w:tcPr>
          <w:p w:rsidR="005403A6" w:rsidRPr="006A2BF3" w:rsidRDefault="005403A6" w:rsidP="000A02D3">
            <w:pPr>
              <w:rPr>
                <w:rFonts w:ascii="Arial" w:hAnsi="Arial" w:cs="Arial"/>
                <w:sz w:val="16"/>
                <w:szCs w:val="16"/>
                <w:lang w:eastAsia="en-US"/>
              </w:rPr>
            </w:pPr>
            <w:r w:rsidRPr="006A2BF3">
              <w:rPr>
                <w:rFonts w:ascii="Arial" w:hAnsi="Arial" w:cs="Arial"/>
                <w:sz w:val="16"/>
                <w:szCs w:val="16"/>
                <w:lang w:eastAsia="en-US"/>
              </w:rPr>
              <w:t>Východisko</w:t>
            </w:r>
          </w:p>
        </w:tc>
        <w:tc>
          <w:tcPr>
            <w:tcW w:w="293" w:type="pct"/>
            <w:tcBorders>
              <w:top w:val="dotted" w:sz="4" w:space="0" w:color="auto"/>
            </w:tcBorders>
            <w:vAlign w:val="center"/>
          </w:tcPr>
          <w:p w:rsidR="005403A6" w:rsidRPr="006A2BF3" w:rsidRDefault="005403A6" w:rsidP="000A02D3">
            <w:pPr>
              <w:jc w:val="center"/>
              <w:rPr>
                <w:rFonts w:ascii="Arial" w:hAnsi="Arial" w:cs="Arial"/>
                <w:b/>
                <w:sz w:val="16"/>
                <w:szCs w:val="16"/>
                <w:lang w:eastAsia="cs-CZ"/>
              </w:rPr>
            </w:pPr>
            <w:r w:rsidRPr="00D25EFA">
              <w:rPr>
                <w:rFonts w:ascii="Arial Narrow" w:hAnsi="Arial Narrow"/>
                <w:sz w:val="14"/>
                <w:szCs w:val="14"/>
                <w:lang w:eastAsia="cs-CZ"/>
              </w:rPr>
              <w:t>0</w:t>
            </w:r>
          </w:p>
        </w:tc>
        <w:tc>
          <w:tcPr>
            <w:tcW w:w="381" w:type="pct"/>
            <w:tcBorders>
              <w:top w:val="dotted" w:sz="4" w:space="0" w:color="auto"/>
            </w:tcBorders>
            <w:vAlign w:val="center"/>
          </w:tcPr>
          <w:p w:rsidR="005403A6" w:rsidRPr="006A2BF3" w:rsidRDefault="005403A6" w:rsidP="000A02D3">
            <w:pPr>
              <w:jc w:val="center"/>
              <w:rPr>
                <w:rFonts w:ascii="Arial" w:hAnsi="Arial" w:cs="Arial"/>
                <w:sz w:val="16"/>
                <w:szCs w:val="16"/>
                <w:lang w:eastAsia="cs-CZ"/>
              </w:rPr>
            </w:pPr>
            <w:r w:rsidRPr="00D25EFA">
              <w:rPr>
                <w:rFonts w:ascii="Arial Narrow" w:hAnsi="Arial Narrow"/>
                <w:sz w:val="14"/>
                <w:szCs w:val="14"/>
                <w:lang w:eastAsia="cs-CZ"/>
              </w:rPr>
              <w:t>NA</w:t>
            </w:r>
          </w:p>
        </w:tc>
        <w:tc>
          <w:tcPr>
            <w:tcW w:w="381" w:type="pct"/>
            <w:tcBorders>
              <w:top w:val="dotted" w:sz="4" w:space="0" w:color="auto"/>
            </w:tcBorders>
            <w:vAlign w:val="center"/>
          </w:tcPr>
          <w:p w:rsidR="005403A6" w:rsidRPr="006A2BF3" w:rsidRDefault="005403A6" w:rsidP="000A02D3">
            <w:pPr>
              <w:jc w:val="center"/>
              <w:rPr>
                <w:rFonts w:ascii="Arial" w:hAnsi="Arial" w:cs="Arial"/>
                <w:sz w:val="16"/>
                <w:szCs w:val="16"/>
                <w:lang w:eastAsia="cs-CZ"/>
              </w:rPr>
            </w:pPr>
            <w:r w:rsidRPr="00D25EFA">
              <w:rPr>
                <w:rFonts w:ascii="Arial Narrow" w:hAnsi="Arial Narrow"/>
                <w:sz w:val="14"/>
                <w:szCs w:val="14"/>
                <w:lang w:eastAsia="cs-CZ"/>
              </w:rPr>
              <w:t>NA</w:t>
            </w:r>
          </w:p>
        </w:tc>
        <w:tc>
          <w:tcPr>
            <w:tcW w:w="381" w:type="pct"/>
            <w:gridSpan w:val="2"/>
            <w:tcBorders>
              <w:top w:val="dotted" w:sz="4" w:space="0" w:color="auto"/>
            </w:tcBorders>
            <w:vAlign w:val="center"/>
          </w:tcPr>
          <w:p w:rsidR="005403A6" w:rsidRPr="006A2BF3" w:rsidRDefault="005403A6" w:rsidP="000A02D3">
            <w:pPr>
              <w:jc w:val="center"/>
              <w:rPr>
                <w:rFonts w:ascii="Arial" w:hAnsi="Arial" w:cs="Arial"/>
                <w:sz w:val="16"/>
                <w:szCs w:val="16"/>
                <w:lang w:eastAsia="cs-CZ"/>
              </w:rPr>
            </w:pPr>
            <w:r w:rsidRPr="00D25EFA">
              <w:rPr>
                <w:rFonts w:ascii="Arial Narrow" w:hAnsi="Arial Narrow"/>
                <w:sz w:val="14"/>
                <w:szCs w:val="14"/>
                <w:lang w:eastAsia="cs-CZ"/>
              </w:rPr>
              <w:t>NA</w:t>
            </w:r>
          </w:p>
        </w:tc>
        <w:tc>
          <w:tcPr>
            <w:tcW w:w="381" w:type="pct"/>
            <w:tcBorders>
              <w:top w:val="dotted" w:sz="4" w:space="0" w:color="auto"/>
            </w:tcBorders>
            <w:vAlign w:val="center"/>
          </w:tcPr>
          <w:p w:rsidR="005403A6" w:rsidRPr="006A2BF3" w:rsidRDefault="005403A6" w:rsidP="000A02D3">
            <w:pPr>
              <w:jc w:val="center"/>
              <w:rPr>
                <w:rFonts w:ascii="Arial" w:hAnsi="Arial" w:cs="Arial"/>
                <w:sz w:val="16"/>
                <w:szCs w:val="16"/>
                <w:lang w:eastAsia="cs-CZ"/>
              </w:rPr>
            </w:pPr>
            <w:r w:rsidRPr="00D25EFA">
              <w:rPr>
                <w:rFonts w:ascii="Arial Narrow" w:hAnsi="Arial Narrow"/>
                <w:sz w:val="14"/>
                <w:szCs w:val="14"/>
                <w:lang w:eastAsia="cs-CZ"/>
              </w:rPr>
              <w:t>NA</w:t>
            </w:r>
          </w:p>
        </w:tc>
        <w:tc>
          <w:tcPr>
            <w:tcW w:w="381" w:type="pct"/>
            <w:tcBorders>
              <w:top w:val="dotted" w:sz="4" w:space="0" w:color="auto"/>
            </w:tcBorders>
            <w:vAlign w:val="center"/>
          </w:tcPr>
          <w:p w:rsidR="005403A6" w:rsidRPr="006A2BF3" w:rsidRDefault="005403A6" w:rsidP="000A02D3">
            <w:pPr>
              <w:jc w:val="center"/>
              <w:rPr>
                <w:rFonts w:ascii="Arial" w:hAnsi="Arial" w:cs="Arial"/>
                <w:sz w:val="16"/>
                <w:szCs w:val="16"/>
                <w:lang w:eastAsia="cs-CZ"/>
              </w:rPr>
            </w:pPr>
            <w:r w:rsidRPr="00D25EFA">
              <w:rPr>
                <w:rFonts w:ascii="Arial Narrow" w:hAnsi="Arial Narrow"/>
                <w:sz w:val="14"/>
                <w:szCs w:val="14"/>
                <w:lang w:eastAsia="cs-CZ"/>
              </w:rPr>
              <w:t>NA</w:t>
            </w:r>
          </w:p>
        </w:tc>
        <w:tc>
          <w:tcPr>
            <w:tcW w:w="381" w:type="pct"/>
            <w:tcBorders>
              <w:top w:val="dotted" w:sz="4" w:space="0" w:color="auto"/>
            </w:tcBorders>
            <w:vAlign w:val="center"/>
          </w:tcPr>
          <w:p w:rsidR="005403A6" w:rsidRPr="006A2BF3" w:rsidRDefault="005403A6" w:rsidP="000A02D3">
            <w:pPr>
              <w:jc w:val="center"/>
              <w:rPr>
                <w:rFonts w:ascii="Arial" w:hAnsi="Arial" w:cs="Arial"/>
                <w:sz w:val="16"/>
                <w:szCs w:val="16"/>
                <w:lang w:eastAsia="cs-CZ"/>
              </w:rPr>
            </w:pPr>
            <w:r w:rsidRPr="00D25EFA">
              <w:rPr>
                <w:rFonts w:ascii="Arial Narrow" w:hAnsi="Arial Narrow"/>
                <w:sz w:val="14"/>
                <w:szCs w:val="14"/>
                <w:lang w:eastAsia="cs-CZ"/>
              </w:rPr>
              <w:t>NA</w:t>
            </w:r>
          </w:p>
        </w:tc>
        <w:tc>
          <w:tcPr>
            <w:tcW w:w="381" w:type="pct"/>
            <w:tcBorders>
              <w:top w:val="dotted" w:sz="4" w:space="0" w:color="auto"/>
            </w:tcBorders>
            <w:vAlign w:val="center"/>
          </w:tcPr>
          <w:p w:rsidR="005403A6" w:rsidRPr="006A2BF3" w:rsidRDefault="005403A6" w:rsidP="000A02D3">
            <w:pPr>
              <w:jc w:val="center"/>
              <w:rPr>
                <w:rFonts w:ascii="Arial" w:hAnsi="Arial" w:cs="Arial"/>
                <w:sz w:val="16"/>
                <w:szCs w:val="16"/>
                <w:lang w:eastAsia="cs-CZ"/>
              </w:rPr>
            </w:pPr>
            <w:r w:rsidRPr="00D25EFA">
              <w:rPr>
                <w:rFonts w:ascii="Arial Narrow" w:hAnsi="Arial Narrow"/>
                <w:sz w:val="14"/>
                <w:szCs w:val="14"/>
                <w:lang w:eastAsia="cs-CZ"/>
              </w:rPr>
              <w:t>NA</w:t>
            </w:r>
          </w:p>
        </w:tc>
        <w:tc>
          <w:tcPr>
            <w:tcW w:w="381" w:type="pct"/>
            <w:tcBorders>
              <w:top w:val="dotted" w:sz="4" w:space="0" w:color="auto"/>
            </w:tcBorders>
            <w:vAlign w:val="center"/>
          </w:tcPr>
          <w:p w:rsidR="005403A6" w:rsidRPr="006A2BF3" w:rsidRDefault="005403A6" w:rsidP="000A02D3">
            <w:pPr>
              <w:jc w:val="center"/>
              <w:rPr>
                <w:rFonts w:ascii="Arial" w:hAnsi="Arial" w:cs="Arial"/>
                <w:b/>
                <w:sz w:val="16"/>
                <w:szCs w:val="16"/>
                <w:lang w:eastAsia="cs-CZ"/>
              </w:rPr>
            </w:pPr>
            <w:r w:rsidRPr="00D25EFA">
              <w:rPr>
                <w:rFonts w:ascii="Arial Narrow" w:hAnsi="Arial Narrow"/>
                <w:b/>
                <w:sz w:val="14"/>
                <w:szCs w:val="14"/>
                <w:lang w:eastAsia="cs-CZ"/>
              </w:rPr>
              <w:t>NA</w:t>
            </w:r>
          </w:p>
        </w:tc>
        <w:tc>
          <w:tcPr>
            <w:tcW w:w="354" w:type="pct"/>
            <w:tcBorders>
              <w:top w:val="dotted" w:sz="4" w:space="0" w:color="auto"/>
              <w:right w:val="single" w:sz="6" w:space="0" w:color="auto"/>
            </w:tcBorders>
            <w:vAlign w:val="center"/>
          </w:tcPr>
          <w:p w:rsidR="005403A6" w:rsidRPr="006A2BF3" w:rsidRDefault="005403A6" w:rsidP="000A02D3">
            <w:pPr>
              <w:jc w:val="center"/>
              <w:rPr>
                <w:rFonts w:ascii="Arial" w:hAnsi="Arial" w:cs="Arial"/>
                <w:b/>
                <w:sz w:val="16"/>
                <w:szCs w:val="16"/>
                <w:lang w:eastAsia="cs-CZ"/>
              </w:rPr>
            </w:pPr>
            <w:r w:rsidRPr="00D25EFA">
              <w:rPr>
                <w:rFonts w:ascii="Arial Narrow" w:hAnsi="Arial Narrow"/>
                <w:b/>
                <w:sz w:val="14"/>
                <w:szCs w:val="14"/>
                <w:lang w:eastAsia="cs-CZ"/>
              </w:rPr>
              <w:t>NA</w:t>
            </w:r>
          </w:p>
        </w:tc>
      </w:tr>
      <w:tr w:rsidR="002416B1" w:rsidRPr="006A2BF3" w:rsidTr="006A2BF3">
        <w:trPr>
          <w:trHeight w:val="20"/>
        </w:trPr>
        <w:tc>
          <w:tcPr>
            <w:tcW w:w="5000" w:type="pct"/>
            <w:gridSpan w:val="13"/>
            <w:tcBorders>
              <w:left w:val="single" w:sz="6" w:space="0" w:color="auto"/>
              <w:right w:val="single" w:sz="6" w:space="0" w:color="auto"/>
            </w:tcBorders>
            <w:shd w:val="clear" w:color="auto" w:fill="EAF1DD"/>
            <w:vAlign w:val="center"/>
          </w:tcPr>
          <w:p w:rsidR="002416B1" w:rsidRPr="00C266A4" w:rsidRDefault="002416B1" w:rsidP="000A02D3">
            <w:pPr>
              <w:rPr>
                <w:rFonts w:ascii="Arial" w:hAnsi="Arial" w:cs="Arial"/>
                <w:sz w:val="16"/>
                <w:szCs w:val="16"/>
                <w:lang w:eastAsia="cs-CZ"/>
              </w:rPr>
            </w:pPr>
          </w:p>
        </w:tc>
      </w:tr>
      <w:tr w:rsidR="005403A6" w:rsidRPr="006A2BF3" w:rsidTr="001540E7">
        <w:trPr>
          <w:trHeight w:val="20"/>
        </w:trPr>
        <w:tc>
          <w:tcPr>
            <w:tcW w:w="688" w:type="pct"/>
            <w:vMerge w:val="restart"/>
            <w:tcBorders>
              <w:left w:val="single" w:sz="6" w:space="0" w:color="auto"/>
            </w:tcBorders>
            <w:vAlign w:val="center"/>
          </w:tcPr>
          <w:p w:rsidR="005403A6" w:rsidRPr="00C266A4" w:rsidRDefault="005403A6" w:rsidP="000A02D3">
            <w:pPr>
              <w:rPr>
                <w:rFonts w:ascii="Arial" w:hAnsi="Arial" w:cs="Arial"/>
                <w:sz w:val="16"/>
                <w:szCs w:val="16"/>
                <w:lang w:eastAsia="cs-CZ"/>
              </w:rPr>
            </w:pPr>
            <w:r w:rsidRPr="00C266A4">
              <w:rPr>
                <w:rFonts w:ascii="Arial" w:hAnsi="Arial" w:cs="Arial"/>
                <w:sz w:val="16"/>
                <w:szCs w:val="16"/>
                <w:lang w:eastAsia="en-US"/>
              </w:rPr>
              <w:t>počet zverejnených správ, rozhovorov, príspevkov, inzerátov vo všetkých druhoch médií</w:t>
            </w:r>
          </w:p>
        </w:tc>
        <w:tc>
          <w:tcPr>
            <w:tcW w:w="618" w:type="pct"/>
            <w:tcBorders>
              <w:bottom w:val="dotted" w:sz="4" w:space="0" w:color="auto"/>
            </w:tcBorders>
            <w:vAlign w:val="center"/>
          </w:tcPr>
          <w:p w:rsidR="005403A6" w:rsidRPr="006A2BF3" w:rsidRDefault="005403A6" w:rsidP="000A02D3">
            <w:pPr>
              <w:rPr>
                <w:rFonts w:ascii="Arial" w:hAnsi="Arial" w:cs="Arial"/>
                <w:sz w:val="16"/>
                <w:szCs w:val="16"/>
                <w:lang w:eastAsia="en-US"/>
              </w:rPr>
            </w:pPr>
            <w:r w:rsidRPr="006A2BF3">
              <w:rPr>
                <w:rFonts w:ascii="Arial" w:hAnsi="Arial" w:cs="Arial"/>
                <w:sz w:val="16"/>
                <w:szCs w:val="16"/>
                <w:lang w:eastAsia="en-US"/>
              </w:rPr>
              <w:t>Dosiahnutý výsledok</w:t>
            </w:r>
          </w:p>
        </w:tc>
        <w:tc>
          <w:tcPr>
            <w:tcW w:w="293" w:type="pct"/>
            <w:tcBorders>
              <w:bottom w:val="dotted" w:sz="4" w:space="0" w:color="auto"/>
            </w:tcBorders>
            <w:vAlign w:val="center"/>
          </w:tcPr>
          <w:p w:rsidR="005403A6" w:rsidRPr="006A2BF3" w:rsidRDefault="005403A6" w:rsidP="000A02D3">
            <w:pPr>
              <w:jc w:val="center"/>
              <w:rPr>
                <w:rFonts w:ascii="Arial" w:hAnsi="Arial" w:cs="Arial"/>
                <w:b/>
                <w:sz w:val="16"/>
                <w:szCs w:val="16"/>
                <w:lang w:eastAsia="cs-CZ"/>
              </w:rPr>
            </w:pPr>
            <w:r w:rsidRPr="00D25EFA">
              <w:rPr>
                <w:rFonts w:ascii="Arial Narrow" w:hAnsi="Arial Narrow"/>
                <w:sz w:val="14"/>
                <w:szCs w:val="14"/>
                <w:lang w:eastAsia="cs-CZ"/>
              </w:rPr>
              <w:t>56</w:t>
            </w:r>
          </w:p>
        </w:tc>
        <w:tc>
          <w:tcPr>
            <w:tcW w:w="381" w:type="pct"/>
            <w:tcBorders>
              <w:bottom w:val="dotted" w:sz="4" w:space="0" w:color="auto"/>
            </w:tcBorders>
            <w:vAlign w:val="center"/>
          </w:tcPr>
          <w:p w:rsidR="005403A6" w:rsidRPr="006A2BF3" w:rsidRDefault="005403A6" w:rsidP="000A02D3">
            <w:pPr>
              <w:jc w:val="center"/>
              <w:rPr>
                <w:rFonts w:ascii="Arial" w:hAnsi="Arial" w:cs="Arial"/>
                <w:b/>
                <w:sz w:val="16"/>
                <w:szCs w:val="16"/>
                <w:lang w:eastAsia="cs-CZ"/>
              </w:rPr>
            </w:pPr>
            <w:r w:rsidRPr="00D25EFA">
              <w:rPr>
                <w:rFonts w:ascii="Arial Narrow" w:hAnsi="Arial Narrow"/>
                <w:sz w:val="14"/>
                <w:szCs w:val="14"/>
                <w:lang w:eastAsia="cs-CZ"/>
              </w:rPr>
              <w:t>957</w:t>
            </w:r>
          </w:p>
        </w:tc>
        <w:tc>
          <w:tcPr>
            <w:tcW w:w="381" w:type="pct"/>
            <w:tcBorders>
              <w:bottom w:val="dotted" w:sz="4" w:space="0" w:color="auto"/>
            </w:tcBorders>
            <w:vAlign w:val="center"/>
          </w:tcPr>
          <w:p w:rsidR="005403A6" w:rsidRPr="006A2BF3" w:rsidRDefault="005403A6" w:rsidP="000A02D3">
            <w:pPr>
              <w:jc w:val="center"/>
              <w:rPr>
                <w:rFonts w:ascii="Arial" w:hAnsi="Arial" w:cs="Arial"/>
                <w:b/>
                <w:sz w:val="16"/>
                <w:szCs w:val="16"/>
                <w:lang w:eastAsia="cs-CZ"/>
              </w:rPr>
            </w:pPr>
            <w:r w:rsidRPr="00D25EFA">
              <w:rPr>
                <w:rFonts w:ascii="Arial Narrow" w:hAnsi="Arial Narrow"/>
                <w:sz w:val="14"/>
                <w:szCs w:val="14"/>
                <w:lang w:eastAsia="cs-CZ"/>
              </w:rPr>
              <w:t>7054</w:t>
            </w:r>
          </w:p>
        </w:tc>
        <w:tc>
          <w:tcPr>
            <w:tcW w:w="381" w:type="pct"/>
            <w:gridSpan w:val="2"/>
            <w:tcBorders>
              <w:bottom w:val="dotted" w:sz="4" w:space="0" w:color="auto"/>
            </w:tcBorders>
            <w:vAlign w:val="center"/>
          </w:tcPr>
          <w:p w:rsidR="005403A6" w:rsidRPr="006A2BF3" w:rsidRDefault="005403A6" w:rsidP="000A02D3">
            <w:pPr>
              <w:jc w:val="center"/>
              <w:rPr>
                <w:rFonts w:ascii="Arial" w:hAnsi="Arial" w:cs="Arial"/>
                <w:b/>
                <w:sz w:val="16"/>
                <w:szCs w:val="16"/>
                <w:lang w:eastAsia="cs-CZ"/>
              </w:rPr>
            </w:pPr>
            <w:r w:rsidRPr="00D25EFA">
              <w:rPr>
                <w:rFonts w:ascii="Arial Narrow" w:hAnsi="Arial Narrow"/>
                <w:sz w:val="14"/>
                <w:szCs w:val="14"/>
                <w:lang w:eastAsia="cs-CZ"/>
              </w:rPr>
              <w:t>8269</w:t>
            </w:r>
          </w:p>
        </w:tc>
        <w:tc>
          <w:tcPr>
            <w:tcW w:w="381" w:type="pct"/>
            <w:tcBorders>
              <w:bottom w:val="dotted" w:sz="4" w:space="0" w:color="auto"/>
            </w:tcBorders>
            <w:vAlign w:val="center"/>
          </w:tcPr>
          <w:p w:rsidR="005403A6" w:rsidRPr="006A2BF3" w:rsidRDefault="005403A6" w:rsidP="000A02D3">
            <w:pPr>
              <w:jc w:val="center"/>
              <w:rPr>
                <w:rFonts w:ascii="Arial" w:hAnsi="Arial" w:cs="Arial"/>
                <w:b/>
                <w:sz w:val="16"/>
                <w:szCs w:val="16"/>
                <w:lang w:eastAsia="cs-CZ"/>
              </w:rPr>
            </w:pPr>
            <w:r w:rsidRPr="00D25EFA">
              <w:rPr>
                <w:rFonts w:ascii="Arial Narrow" w:hAnsi="Arial Narrow"/>
                <w:sz w:val="14"/>
                <w:szCs w:val="14"/>
                <w:lang w:eastAsia="cs-CZ"/>
              </w:rPr>
              <w:t>8354</w:t>
            </w:r>
          </w:p>
        </w:tc>
        <w:tc>
          <w:tcPr>
            <w:tcW w:w="381" w:type="pct"/>
            <w:tcBorders>
              <w:bottom w:val="dotted" w:sz="4" w:space="0" w:color="auto"/>
            </w:tcBorders>
            <w:vAlign w:val="center"/>
          </w:tcPr>
          <w:p w:rsidR="005403A6" w:rsidRPr="006A2BF3" w:rsidRDefault="005403A6" w:rsidP="000A02D3">
            <w:pPr>
              <w:jc w:val="center"/>
              <w:rPr>
                <w:rFonts w:ascii="Arial" w:hAnsi="Arial" w:cs="Arial"/>
                <w:sz w:val="16"/>
                <w:szCs w:val="16"/>
                <w:lang w:eastAsia="cs-CZ"/>
              </w:rPr>
            </w:pPr>
            <w:r w:rsidRPr="00D25EFA">
              <w:rPr>
                <w:rFonts w:ascii="Arial Narrow" w:hAnsi="Arial Narrow"/>
                <w:sz w:val="14"/>
                <w:szCs w:val="14"/>
                <w:lang w:eastAsia="cs-CZ"/>
              </w:rPr>
              <w:t>8508</w:t>
            </w:r>
          </w:p>
        </w:tc>
        <w:tc>
          <w:tcPr>
            <w:tcW w:w="381" w:type="pct"/>
            <w:tcBorders>
              <w:bottom w:val="dotted" w:sz="4" w:space="0" w:color="auto"/>
            </w:tcBorders>
            <w:vAlign w:val="center"/>
          </w:tcPr>
          <w:p w:rsidR="005403A6" w:rsidRPr="006A2BF3" w:rsidRDefault="005403A6" w:rsidP="000A02D3">
            <w:pPr>
              <w:jc w:val="center"/>
              <w:rPr>
                <w:rFonts w:ascii="Arial" w:hAnsi="Arial" w:cs="Arial"/>
                <w:sz w:val="16"/>
                <w:szCs w:val="16"/>
                <w:lang w:eastAsia="cs-CZ"/>
              </w:rPr>
            </w:pPr>
            <w:r w:rsidRPr="00D25EFA">
              <w:rPr>
                <w:rFonts w:ascii="Arial Narrow" w:hAnsi="Arial Narrow"/>
                <w:sz w:val="14"/>
                <w:szCs w:val="14"/>
                <w:lang w:eastAsia="cs-CZ"/>
              </w:rPr>
              <w:t>NA</w:t>
            </w:r>
          </w:p>
        </w:tc>
        <w:tc>
          <w:tcPr>
            <w:tcW w:w="381" w:type="pct"/>
            <w:tcBorders>
              <w:bottom w:val="dotted" w:sz="4" w:space="0" w:color="auto"/>
            </w:tcBorders>
            <w:vAlign w:val="center"/>
          </w:tcPr>
          <w:p w:rsidR="005403A6" w:rsidRPr="006A2BF3" w:rsidRDefault="005403A6" w:rsidP="000A02D3">
            <w:pPr>
              <w:jc w:val="center"/>
              <w:rPr>
                <w:rFonts w:ascii="Arial" w:hAnsi="Arial" w:cs="Arial"/>
                <w:sz w:val="16"/>
                <w:szCs w:val="16"/>
                <w:lang w:eastAsia="cs-CZ"/>
              </w:rPr>
            </w:pPr>
            <w:r w:rsidRPr="00D25EFA">
              <w:rPr>
                <w:rFonts w:ascii="Arial Narrow" w:hAnsi="Arial Narrow"/>
                <w:sz w:val="14"/>
                <w:szCs w:val="14"/>
                <w:lang w:eastAsia="cs-CZ"/>
              </w:rPr>
              <w:t>NA</w:t>
            </w:r>
          </w:p>
        </w:tc>
        <w:tc>
          <w:tcPr>
            <w:tcW w:w="381" w:type="pct"/>
            <w:tcBorders>
              <w:bottom w:val="dotted" w:sz="4" w:space="0" w:color="auto"/>
            </w:tcBorders>
            <w:vAlign w:val="center"/>
          </w:tcPr>
          <w:p w:rsidR="005403A6" w:rsidRPr="006A2BF3" w:rsidRDefault="005403A6" w:rsidP="000A02D3">
            <w:pPr>
              <w:jc w:val="center"/>
              <w:rPr>
                <w:rFonts w:ascii="Arial" w:hAnsi="Arial" w:cs="Arial"/>
                <w:b/>
                <w:sz w:val="16"/>
                <w:szCs w:val="16"/>
                <w:lang w:eastAsia="cs-CZ"/>
              </w:rPr>
            </w:pPr>
            <w:r w:rsidRPr="00D25EFA">
              <w:rPr>
                <w:rFonts w:ascii="Arial Narrow" w:hAnsi="Arial Narrow"/>
                <w:b/>
                <w:sz w:val="14"/>
                <w:szCs w:val="14"/>
                <w:lang w:eastAsia="cs-CZ"/>
              </w:rPr>
              <w:t>NA</w:t>
            </w:r>
          </w:p>
        </w:tc>
        <w:tc>
          <w:tcPr>
            <w:tcW w:w="354" w:type="pct"/>
            <w:tcBorders>
              <w:bottom w:val="dotted" w:sz="4" w:space="0" w:color="auto"/>
              <w:right w:val="single" w:sz="6" w:space="0" w:color="auto"/>
            </w:tcBorders>
            <w:vAlign w:val="center"/>
          </w:tcPr>
          <w:p w:rsidR="005403A6" w:rsidRPr="006A2BF3" w:rsidRDefault="005403A6" w:rsidP="000A02D3">
            <w:pPr>
              <w:jc w:val="center"/>
              <w:rPr>
                <w:rFonts w:ascii="Arial" w:hAnsi="Arial" w:cs="Arial"/>
                <w:b/>
                <w:sz w:val="16"/>
                <w:szCs w:val="16"/>
                <w:lang w:eastAsia="cs-CZ"/>
              </w:rPr>
            </w:pPr>
            <w:r w:rsidRPr="00D25EFA">
              <w:rPr>
                <w:rFonts w:ascii="Arial Narrow" w:hAnsi="Arial Narrow"/>
                <w:b/>
                <w:sz w:val="14"/>
                <w:szCs w:val="14"/>
                <w:lang w:eastAsia="cs-CZ"/>
              </w:rPr>
              <w:t>8508</w:t>
            </w:r>
          </w:p>
        </w:tc>
      </w:tr>
      <w:tr w:rsidR="005403A6" w:rsidRPr="006A2BF3" w:rsidTr="001540E7">
        <w:trPr>
          <w:trHeight w:val="20"/>
        </w:trPr>
        <w:tc>
          <w:tcPr>
            <w:tcW w:w="688" w:type="pct"/>
            <w:vMerge/>
            <w:tcBorders>
              <w:left w:val="single" w:sz="6" w:space="0" w:color="auto"/>
            </w:tcBorders>
            <w:vAlign w:val="center"/>
          </w:tcPr>
          <w:p w:rsidR="005403A6" w:rsidRPr="006A2BF3" w:rsidRDefault="005403A6" w:rsidP="000A02D3">
            <w:pPr>
              <w:rPr>
                <w:rFonts w:ascii="Arial" w:hAnsi="Arial" w:cs="Arial"/>
                <w:b/>
                <w:sz w:val="16"/>
                <w:szCs w:val="16"/>
                <w:lang w:eastAsia="cs-CZ"/>
              </w:rPr>
            </w:pPr>
          </w:p>
        </w:tc>
        <w:tc>
          <w:tcPr>
            <w:tcW w:w="618" w:type="pct"/>
            <w:tcBorders>
              <w:top w:val="dotted" w:sz="4" w:space="0" w:color="auto"/>
              <w:bottom w:val="dotted" w:sz="4" w:space="0" w:color="auto"/>
            </w:tcBorders>
            <w:vAlign w:val="center"/>
          </w:tcPr>
          <w:p w:rsidR="005403A6" w:rsidRPr="006A2BF3" w:rsidRDefault="005403A6" w:rsidP="000A02D3">
            <w:pPr>
              <w:rPr>
                <w:rFonts w:ascii="Arial" w:hAnsi="Arial" w:cs="Arial"/>
                <w:sz w:val="16"/>
                <w:szCs w:val="16"/>
                <w:lang w:eastAsia="en-US"/>
              </w:rPr>
            </w:pPr>
            <w:r w:rsidRPr="006A2BF3">
              <w:rPr>
                <w:rFonts w:ascii="Arial" w:hAnsi="Arial" w:cs="Arial"/>
                <w:sz w:val="16"/>
                <w:szCs w:val="16"/>
                <w:lang w:eastAsia="en-US"/>
              </w:rPr>
              <w:t>Cieľ</w:t>
            </w:r>
          </w:p>
        </w:tc>
        <w:tc>
          <w:tcPr>
            <w:tcW w:w="293" w:type="pct"/>
            <w:tcBorders>
              <w:top w:val="dotted" w:sz="4" w:space="0" w:color="auto"/>
              <w:bottom w:val="dotted" w:sz="4" w:space="0" w:color="auto"/>
            </w:tcBorders>
            <w:vAlign w:val="center"/>
          </w:tcPr>
          <w:p w:rsidR="005403A6" w:rsidRPr="006A2BF3" w:rsidRDefault="005403A6" w:rsidP="000A02D3">
            <w:pPr>
              <w:jc w:val="center"/>
              <w:rPr>
                <w:rFonts w:ascii="Arial" w:hAnsi="Arial" w:cs="Arial"/>
                <w:sz w:val="16"/>
                <w:szCs w:val="16"/>
                <w:lang w:eastAsia="cs-CZ"/>
              </w:rPr>
            </w:pPr>
            <w:r w:rsidRPr="00D25EFA">
              <w:rPr>
                <w:rFonts w:ascii="Arial Narrow" w:hAnsi="Arial Narrow"/>
                <w:sz w:val="14"/>
                <w:szCs w:val="14"/>
                <w:lang w:eastAsia="cs-CZ"/>
              </w:rPr>
              <w:t>NA</w:t>
            </w:r>
          </w:p>
        </w:tc>
        <w:tc>
          <w:tcPr>
            <w:tcW w:w="381" w:type="pct"/>
            <w:tcBorders>
              <w:top w:val="dotted" w:sz="4" w:space="0" w:color="auto"/>
              <w:bottom w:val="dotted" w:sz="4" w:space="0" w:color="auto"/>
            </w:tcBorders>
            <w:vAlign w:val="center"/>
          </w:tcPr>
          <w:p w:rsidR="005403A6" w:rsidRPr="006A2BF3" w:rsidRDefault="005403A6" w:rsidP="000A02D3">
            <w:pPr>
              <w:jc w:val="center"/>
              <w:rPr>
                <w:rFonts w:ascii="Arial" w:hAnsi="Arial" w:cs="Arial"/>
                <w:sz w:val="16"/>
                <w:szCs w:val="16"/>
                <w:lang w:eastAsia="cs-CZ"/>
              </w:rPr>
            </w:pPr>
            <w:r w:rsidRPr="00D25EFA">
              <w:rPr>
                <w:rFonts w:ascii="Arial Narrow" w:hAnsi="Arial Narrow"/>
                <w:sz w:val="14"/>
                <w:szCs w:val="14"/>
                <w:lang w:eastAsia="cs-CZ"/>
              </w:rPr>
              <w:t>NA</w:t>
            </w:r>
          </w:p>
        </w:tc>
        <w:tc>
          <w:tcPr>
            <w:tcW w:w="381" w:type="pct"/>
            <w:tcBorders>
              <w:top w:val="dotted" w:sz="4" w:space="0" w:color="auto"/>
              <w:bottom w:val="dotted" w:sz="4" w:space="0" w:color="auto"/>
            </w:tcBorders>
            <w:vAlign w:val="center"/>
          </w:tcPr>
          <w:p w:rsidR="005403A6" w:rsidRPr="006A2BF3" w:rsidRDefault="005403A6" w:rsidP="000A02D3">
            <w:pPr>
              <w:jc w:val="center"/>
              <w:rPr>
                <w:rFonts w:ascii="Arial" w:hAnsi="Arial" w:cs="Arial"/>
                <w:sz w:val="16"/>
                <w:szCs w:val="16"/>
                <w:lang w:eastAsia="cs-CZ"/>
              </w:rPr>
            </w:pPr>
            <w:r w:rsidRPr="00D25EFA">
              <w:rPr>
                <w:rFonts w:ascii="Arial Narrow" w:hAnsi="Arial Narrow"/>
                <w:sz w:val="14"/>
                <w:szCs w:val="14"/>
                <w:lang w:eastAsia="cs-CZ"/>
              </w:rPr>
              <w:t>NA</w:t>
            </w:r>
          </w:p>
        </w:tc>
        <w:tc>
          <w:tcPr>
            <w:tcW w:w="381" w:type="pct"/>
            <w:gridSpan w:val="2"/>
            <w:tcBorders>
              <w:top w:val="dotted" w:sz="4" w:space="0" w:color="auto"/>
              <w:bottom w:val="dotted" w:sz="4" w:space="0" w:color="auto"/>
            </w:tcBorders>
            <w:vAlign w:val="center"/>
          </w:tcPr>
          <w:p w:rsidR="005403A6" w:rsidRPr="006A2BF3" w:rsidRDefault="005403A6" w:rsidP="000A02D3">
            <w:pPr>
              <w:jc w:val="center"/>
              <w:rPr>
                <w:rFonts w:ascii="Arial" w:hAnsi="Arial" w:cs="Arial"/>
                <w:sz w:val="16"/>
                <w:szCs w:val="16"/>
                <w:lang w:eastAsia="cs-CZ"/>
              </w:rPr>
            </w:pPr>
            <w:r w:rsidRPr="00D25EFA">
              <w:rPr>
                <w:rFonts w:ascii="Arial Narrow" w:hAnsi="Arial Narrow"/>
                <w:sz w:val="14"/>
                <w:szCs w:val="14"/>
                <w:lang w:eastAsia="cs-CZ"/>
              </w:rPr>
              <w:t>NA</w:t>
            </w:r>
          </w:p>
        </w:tc>
        <w:tc>
          <w:tcPr>
            <w:tcW w:w="381" w:type="pct"/>
            <w:tcBorders>
              <w:top w:val="dotted" w:sz="4" w:space="0" w:color="auto"/>
              <w:bottom w:val="dotted" w:sz="4" w:space="0" w:color="auto"/>
            </w:tcBorders>
            <w:vAlign w:val="center"/>
          </w:tcPr>
          <w:p w:rsidR="005403A6" w:rsidRPr="006A2BF3" w:rsidRDefault="005403A6" w:rsidP="000A02D3">
            <w:pPr>
              <w:jc w:val="center"/>
              <w:rPr>
                <w:rFonts w:ascii="Arial" w:hAnsi="Arial" w:cs="Arial"/>
                <w:sz w:val="16"/>
                <w:szCs w:val="16"/>
                <w:lang w:eastAsia="cs-CZ"/>
              </w:rPr>
            </w:pPr>
            <w:r w:rsidRPr="00D25EFA">
              <w:rPr>
                <w:rFonts w:ascii="Arial Narrow" w:hAnsi="Arial Narrow"/>
                <w:sz w:val="14"/>
                <w:szCs w:val="14"/>
                <w:lang w:eastAsia="cs-CZ"/>
              </w:rPr>
              <w:t>NA</w:t>
            </w:r>
          </w:p>
        </w:tc>
        <w:tc>
          <w:tcPr>
            <w:tcW w:w="381" w:type="pct"/>
            <w:tcBorders>
              <w:top w:val="dotted" w:sz="4" w:space="0" w:color="auto"/>
              <w:bottom w:val="dotted" w:sz="4" w:space="0" w:color="auto"/>
            </w:tcBorders>
            <w:vAlign w:val="center"/>
          </w:tcPr>
          <w:p w:rsidR="005403A6" w:rsidRPr="006A2BF3" w:rsidRDefault="005403A6" w:rsidP="000A02D3">
            <w:pPr>
              <w:jc w:val="center"/>
              <w:rPr>
                <w:rFonts w:ascii="Arial" w:hAnsi="Arial" w:cs="Arial"/>
                <w:sz w:val="16"/>
                <w:szCs w:val="16"/>
                <w:lang w:eastAsia="cs-CZ"/>
              </w:rPr>
            </w:pPr>
            <w:r w:rsidRPr="00D25EFA">
              <w:rPr>
                <w:rFonts w:ascii="Arial Narrow" w:hAnsi="Arial Narrow"/>
                <w:sz w:val="14"/>
                <w:szCs w:val="14"/>
                <w:lang w:eastAsia="cs-CZ"/>
              </w:rPr>
              <w:t>NA</w:t>
            </w:r>
          </w:p>
        </w:tc>
        <w:tc>
          <w:tcPr>
            <w:tcW w:w="381" w:type="pct"/>
            <w:tcBorders>
              <w:top w:val="dotted" w:sz="4" w:space="0" w:color="auto"/>
              <w:bottom w:val="dotted" w:sz="4" w:space="0" w:color="auto"/>
            </w:tcBorders>
            <w:vAlign w:val="center"/>
          </w:tcPr>
          <w:p w:rsidR="005403A6" w:rsidRPr="006A2BF3" w:rsidRDefault="005403A6" w:rsidP="000A02D3">
            <w:pPr>
              <w:jc w:val="center"/>
              <w:rPr>
                <w:rFonts w:ascii="Arial" w:hAnsi="Arial" w:cs="Arial"/>
                <w:sz w:val="16"/>
                <w:szCs w:val="16"/>
                <w:lang w:eastAsia="cs-CZ"/>
              </w:rPr>
            </w:pPr>
            <w:r w:rsidRPr="00D25EFA">
              <w:rPr>
                <w:rFonts w:ascii="Arial Narrow" w:hAnsi="Arial Narrow"/>
                <w:sz w:val="14"/>
                <w:szCs w:val="14"/>
                <w:lang w:eastAsia="cs-CZ"/>
              </w:rPr>
              <w:t>NA</w:t>
            </w:r>
          </w:p>
        </w:tc>
        <w:tc>
          <w:tcPr>
            <w:tcW w:w="381" w:type="pct"/>
            <w:tcBorders>
              <w:top w:val="dotted" w:sz="4" w:space="0" w:color="auto"/>
              <w:bottom w:val="dotted" w:sz="4" w:space="0" w:color="auto"/>
            </w:tcBorders>
            <w:vAlign w:val="center"/>
          </w:tcPr>
          <w:p w:rsidR="005403A6" w:rsidRPr="006A2BF3" w:rsidRDefault="005403A6" w:rsidP="000A02D3">
            <w:pPr>
              <w:jc w:val="center"/>
              <w:rPr>
                <w:rFonts w:ascii="Arial" w:hAnsi="Arial" w:cs="Arial"/>
                <w:sz w:val="16"/>
                <w:szCs w:val="16"/>
                <w:lang w:eastAsia="cs-CZ"/>
              </w:rPr>
            </w:pPr>
            <w:r w:rsidRPr="00D25EFA">
              <w:rPr>
                <w:rFonts w:ascii="Arial Narrow" w:hAnsi="Arial Narrow"/>
                <w:sz w:val="14"/>
                <w:szCs w:val="14"/>
                <w:lang w:eastAsia="cs-CZ"/>
              </w:rPr>
              <w:t>NA</w:t>
            </w:r>
          </w:p>
        </w:tc>
        <w:tc>
          <w:tcPr>
            <w:tcW w:w="381" w:type="pct"/>
            <w:tcBorders>
              <w:top w:val="dotted" w:sz="4" w:space="0" w:color="auto"/>
              <w:bottom w:val="dotted" w:sz="4" w:space="0" w:color="auto"/>
            </w:tcBorders>
            <w:vAlign w:val="center"/>
          </w:tcPr>
          <w:p w:rsidR="005403A6" w:rsidRPr="006A2BF3" w:rsidRDefault="005403A6" w:rsidP="000A02D3">
            <w:pPr>
              <w:jc w:val="center"/>
              <w:rPr>
                <w:rFonts w:ascii="Arial" w:hAnsi="Arial" w:cs="Arial"/>
                <w:b/>
                <w:sz w:val="16"/>
                <w:szCs w:val="16"/>
                <w:lang w:eastAsia="cs-CZ"/>
              </w:rPr>
            </w:pPr>
            <w:r w:rsidRPr="00D25EFA">
              <w:rPr>
                <w:rFonts w:ascii="Arial Narrow" w:hAnsi="Arial Narrow"/>
                <w:b/>
                <w:sz w:val="14"/>
                <w:szCs w:val="14"/>
                <w:lang w:eastAsia="cs-CZ"/>
              </w:rPr>
              <w:t>200</w:t>
            </w:r>
          </w:p>
        </w:tc>
        <w:tc>
          <w:tcPr>
            <w:tcW w:w="354" w:type="pct"/>
            <w:tcBorders>
              <w:top w:val="dotted" w:sz="4" w:space="0" w:color="auto"/>
              <w:bottom w:val="dotted" w:sz="4" w:space="0" w:color="auto"/>
              <w:right w:val="single" w:sz="6" w:space="0" w:color="auto"/>
            </w:tcBorders>
            <w:vAlign w:val="center"/>
          </w:tcPr>
          <w:p w:rsidR="005403A6" w:rsidRPr="006A2BF3" w:rsidRDefault="005403A6" w:rsidP="000A02D3">
            <w:pPr>
              <w:jc w:val="center"/>
              <w:rPr>
                <w:rFonts w:ascii="Arial" w:hAnsi="Arial" w:cs="Arial"/>
                <w:b/>
                <w:sz w:val="16"/>
                <w:szCs w:val="16"/>
                <w:lang w:eastAsia="cs-CZ"/>
              </w:rPr>
            </w:pPr>
            <w:r w:rsidRPr="00D25EFA">
              <w:rPr>
                <w:rFonts w:ascii="Arial Narrow" w:hAnsi="Arial Narrow"/>
                <w:b/>
                <w:sz w:val="14"/>
                <w:szCs w:val="14"/>
                <w:lang w:eastAsia="cs-CZ"/>
              </w:rPr>
              <w:t>NA</w:t>
            </w:r>
          </w:p>
        </w:tc>
      </w:tr>
      <w:tr w:rsidR="005403A6" w:rsidRPr="006A2BF3" w:rsidTr="001540E7">
        <w:trPr>
          <w:trHeight w:val="20"/>
        </w:trPr>
        <w:tc>
          <w:tcPr>
            <w:tcW w:w="688" w:type="pct"/>
            <w:vMerge/>
            <w:tcBorders>
              <w:left w:val="single" w:sz="6" w:space="0" w:color="auto"/>
              <w:bottom w:val="single" w:sz="6" w:space="0" w:color="auto"/>
            </w:tcBorders>
            <w:vAlign w:val="center"/>
          </w:tcPr>
          <w:p w:rsidR="005403A6" w:rsidRPr="006A2BF3" w:rsidRDefault="005403A6" w:rsidP="000A02D3">
            <w:pPr>
              <w:rPr>
                <w:rFonts w:ascii="Arial" w:hAnsi="Arial" w:cs="Arial"/>
                <w:b/>
                <w:sz w:val="16"/>
                <w:szCs w:val="16"/>
                <w:lang w:eastAsia="cs-CZ"/>
              </w:rPr>
            </w:pPr>
          </w:p>
        </w:tc>
        <w:tc>
          <w:tcPr>
            <w:tcW w:w="618" w:type="pct"/>
            <w:tcBorders>
              <w:top w:val="dotted" w:sz="4" w:space="0" w:color="auto"/>
              <w:bottom w:val="single" w:sz="6" w:space="0" w:color="auto"/>
            </w:tcBorders>
            <w:vAlign w:val="center"/>
          </w:tcPr>
          <w:p w:rsidR="005403A6" w:rsidRPr="006A2BF3" w:rsidRDefault="005403A6" w:rsidP="000A02D3">
            <w:pPr>
              <w:rPr>
                <w:rFonts w:ascii="Arial" w:hAnsi="Arial" w:cs="Arial"/>
                <w:sz w:val="16"/>
                <w:szCs w:val="16"/>
                <w:lang w:eastAsia="en-US"/>
              </w:rPr>
            </w:pPr>
            <w:r w:rsidRPr="006A2BF3">
              <w:rPr>
                <w:rFonts w:ascii="Arial" w:hAnsi="Arial" w:cs="Arial"/>
                <w:sz w:val="16"/>
                <w:szCs w:val="16"/>
                <w:lang w:eastAsia="en-US"/>
              </w:rPr>
              <w:t>Východisko</w:t>
            </w:r>
          </w:p>
        </w:tc>
        <w:tc>
          <w:tcPr>
            <w:tcW w:w="293" w:type="pct"/>
            <w:tcBorders>
              <w:top w:val="dotted" w:sz="4" w:space="0" w:color="auto"/>
              <w:bottom w:val="single" w:sz="6" w:space="0" w:color="auto"/>
            </w:tcBorders>
            <w:vAlign w:val="center"/>
          </w:tcPr>
          <w:p w:rsidR="005403A6" w:rsidRPr="006A2BF3" w:rsidRDefault="005403A6" w:rsidP="000A02D3">
            <w:pPr>
              <w:jc w:val="center"/>
              <w:rPr>
                <w:rFonts w:ascii="Arial" w:hAnsi="Arial" w:cs="Arial"/>
                <w:b/>
                <w:sz w:val="16"/>
                <w:szCs w:val="16"/>
                <w:lang w:eastAsia="cs-CZ"/>
              </w:rPr>
            </w:pPr>
            <w:r w:rsidRPr="00D25EFA">
              <w:rPr>
                <w:rFonts w:ascii="Arial Narrow" w:hAnsi="Arial Narrow"/>
                <w:sz w:val="14"/>
                <w:szCs w:val="14"/>
                <w:lang w:eastAsia="cs-CZ"/>
              </w:rPr>
              <w:t>0</w:t>
            </w:r>
          </w:p>
        </w:tc>
        <w:tc>
          <w:tcPr>
            <w:tcW w:w="381" w:type="pct"/>
            <w:tcBorders>
              <w:top w:val="dotted" w:sz="4" w:space="0" w:color="auto"/>
              <w:bottom w:val="single" w:sz="6" w:space="0" w:color="auto"/>
            </w:tcBorders>
            <w:vAlign w:val="center"/>
          </w:tcPr>
          <w:p w:rsidR="005403A6" w:rsidRPr="006A2BF3" w:rsidRDefault="005403A6" w:rsidP="000A02D3">
            <w:pPr>
              <w:jc w:val="center"/>
              <w:rPr>
                <w:rFonts w:ascii="Arial" w:hAnsi="Arial" w:cs="Arial"/>
                <w:sz w:val="16"/>
                <w:szCs w:val="16"/>
                <w:lang w:eastAsia="cs-CZ"/>
              </w:rPr>
            </w:pPr>
            <w:r w:rsidRPr="00D25EFA">
              <w:rPr>
                <w:rFonts w:ascii="Arial Narrow" w:hAnsi="Arial Narrow"/>
                <w:sz w:val="14"/>
                <w:szCs w:val="14"/>
                <w:lang w:eastAsia="cs-CZ"/>
              </w:rPr>
              <w:t>NA</w:t>
            </w:r>
          </w:p>
        </w:tc>
        <w:tc>
          <w:tcPr>
            <w:tcW w:w="381" w:type="pct"/>
            <w:tcBorders>
              <w:top w:val="dotted" w:sz="4" w:space="0" w:color="auto"/>
              <w:bottom w:val="single" w:sz="6" w:space="0" w:color="auto"/>
            </w:tcBorders>
            <w:vAlign w:val="center"/>
          </w:tcPr>
          <w:p w:rsidR="005403A6" w:rsidRPr="006A2BF3" w:rsidRDefault="005403A6" w:rsidP="000A02D3">
            <w:pPr>
              <w:jc w:val="center"/>
              <w:rPr>
                <w:rFonts w:ascii="Arial" w:hAnsi="Arial" w:cs="Arial"/>
                <w:sz w:val="16"/>
                <w:szCs w:val="16"/>
                <w:lang w:eastAsia="cs-CZ"/>
              </w:rPr>
            </w:pPr>
            <w:r w:rsidRPr="00D25EFA">
              <w:rPr>
                <w:rFonts w:ascii="Arial Narrow" w:hAnsi="Arial Narrow"/>
                <w:sz w:val="14"/>
                <w:szCs w:val="14"/>
                <w:lang w:eastAsia="cs-CZ"/>
              </w:rPr>
              <w:t>NA</w:t>
            </w:r>
          </w:p>
        </w:tc>
        <w:tc>
          <w:tcPr>
            <w:tcW w:w="381" w:type="pct"/>
            <w:gridSpan w:val="2"/>
            <w:tcBorders>
              <w:top w:val="dotted" w:sz="4" w:space="0" w:color="auto"/>
              <w:bottom w:val="single" w:sz="6" w:space="0" w:color="auto"/>
            </w:tcBorders>
            <w:vAlign w:val="center"/>
          </w:tcPr>
          <w:p w:rsidR="005403A6" w:rsidRPr="006A2BF3" w:rsidRDefault="005403A6" w:rsidP="000A02D3">
            <w:pPr>
              <w:jc w:val="center"/>
              <w:rPr>
                <w:rFonts w:ascii="Arial" w:hAnsi="Arial" w:cs="Arial"/>
                <w:sz w:val="16"/>
                <w:szCs w:val="16"/>
                <w:lang w:eastAsia="cs-CZ"/>
              </w:rPr>
            </w:pPr>
            <w:r w:rsidRPr="00D25EFA">
              <w:rPr>
                <w:rFonts w:ascii="Arial Narrow" w:hAnsi="Arial Narrow"/>
                <w:sz w:val="14"/>
                <w:szCs w:val="14"/>
                <w:lang w:eastAsia="cs-CZ"/>
              </w:rPr>
              <w:t>NA</w:t>
            </w:r>
          </w:p>
        </w:tc>
        <w:tc>
          <w:tcPr>
            <w:tcW w:w="381" w:type="pct"/>
            <w:tcBorders>
              <w:top w:val="dotted" w:sz="4" w:space="0" w:color="auto"/>
              <w:bottom w:val="single" w:sz="6" w:space="0" w:color="auto"/>
            </w:tcBorders>
            <w:vAlign w:val="center"/>
          </w:tcPr>
          <w:p w:rsidR="005403A6" w:rsidRPr="006A2BF3" w:rsidRDefault="005403A6" w:rsidP="000A02D3">
            <w:pPr>
              <w:jc w:val="center"/>
              <w:rPr>
                <w:rFonts w:ascii="Arial" w:hAnsi="Arial" w:cs="Arial"/>
                <w:sz w:val="16"/>
                <w:szCs w:val="16"/>
                <w:lang w:eastAsia="cs-CZ"/>
              </w:rPr>
            </w:pPr>
            <w:r w:rsidRPr="00D25EFA">
              <w:rPr>
                <w:rFonts w:ascii="Arial Narrow" w:hAnsi="Arial Narrow"/>
                <w:sz w:val="14"/>
                <w:szCs w:val="14"/>
                <w:lang w:eastAsia="cs-CZ"/>
              </w:rPr>
              <w:t>NA</w:t>
            </w:r>
          </w:p>
        </w:tc>
        <w:tc>
          <w:tcPr>
            <w:tcW w:w="381" w:type="pct"/>
            <w:tcBorders>
              <w:top w:val="dotted" w:sz="4" w:space="0" w:color="auto"/>
              <w:bottom w:val="single" w:sz="6" w:space="0" w:color="auto"/>
            </w:tcBorders>
            <w:vAlign w:val="center"/>
          </w:tcPr>
          <w:p w:rsidR="005403A6" w:rsidRPr="006A2BF3" w:rsidRDefault="005403A6" w:rsidP="000A02D3">
            <w:pPr>
              <w:jc w:val="center"/>
              <w:rPr>
                <w:rFonts w:ascii="Arial" w:hAnsi="Arial" w:cs="Arial"/>
                <w:sz w:val="16"/>
                <w:szCs w:val="16"/>
                <w:lang w:eastAsia="cs-CZ"/>
              </w:rPr>
            </w:pPr>
            <w:r w:rsidRPr="00D25EFA">
              <w:rPr>
                <w:rFonts w:ascii="Arial Narrow" w:hAnsi="Arial Narrow"/>
                <w:sz w:val="14"/>
                <w:szCs w:val="14"/>
                <w:lang w:eastAsia="cs-CZ"/>
              </w:rPr>
              <w:t>NA</w:t>
            </w:r>
          </w:p>
        </w:tc>
        <w:tc>
          <w:tcPr>
            <w:tcW w:w="381" w:type="pct"/>
            <w:tcBorders>
              <w:top w:val="dotted" w:sz="4" w:space="0" w:color="auto"/>
              <w:bottom w:val="single" w:sz="6" w:space="0" w:color="auto"/>
            </w:tcBorders>
            <w:vAlign w:val="center"/>
          </w:tcPr>
          <w:p w:rsidR="005403A6" w:rsidRPr="006A2BF3" w:rsidRDefault="005403A6" w:rsidP="000A02D3">
            <w:pPr>
              <w:jc w:val="center"/>
              <w:rPr>
                <w:rFonts w:ascii="Arial" w:hAnsi="Arial" w:cs="Arial"/>
                <w:sz w:val="16"/>
                <w:szCs w:val="16"/>
                <w:lang w:eastAsia="cs-CZ"/>
              </w:rPr>
            </w:pPr>
            <w:r w:rsidRPr="00D25EFA">
              <w:rPr>
                <w:rFonts w:ascii="Arial Narrow" w:hAnsi="Arial Narrow"/>
                <w:sz w:val="14"/>
                <w:szCs w:val="14"/>
                <w:lang w:eastAsia="cs-CZ"/>
              </w:rPr>
              <w:t>NA</w:t>
            </w:r>
          </w:p>
        </w:tc>
        <w:tc>
          <w:tcPr>
            <w:tcW w:w="381" w:type="pct"/>
            <w:tcBorders>
              <w:top w:val="dotted" w:sz="4" w:space="0" w:color="auto"/>
              <w:bottom w:val="single" w:sz="6" w:space="0" w:color="auto"/>
            </w:tcBorders>
            <w:vAlign w:val="center"/>
          </w:tcPr>
          <w:p w:rsidR="005403A6" w:rsidRPr="006A2BF3" w:rsidRDefault="005403A6" w:rsidP="000A02D3">
            <w:pPr>
              <w:jc w:val="center"/>
              <w:rPr>
                <w:rFonts w:ascii="Arial" w:hAnsi="Arial" w:cs="Arial"/>
                <w:sz w:val="16"/>
                <w:szCs w:val="16"/>
                <w:lang w:eastAsia="cs-CZ"/>
              </w:rPr>
            </w:pPr>
            <w:r w:rsidRPr="00D25EFA">
              <w:rPr>
                <w:rFonts w:ascii="Arial Narrow" w:hAnsi="Arial Narrow"/>
                <w:sz w:val="14"/>
                <w:szCs w:val="14"/>
                <w:lang w:eastAsia="cs-CZ"/>
              </w:rPr>
              <w:t>NA</w:t>
            </w:r>
          </w:p>
        </w:tc>
        <w:tc>
          <w:tcPr>
            <w:tcW w:w="381" w:type="pct"/>
            <w:tcBorders>
              <w:top w:val="dotted" w:sz="4" w:space="0" w:color="auto"/>
              <w:bottom w:val="single" w:sz="6" w:space="0" w:color="auto"/>
            </w:tcBorders>
            <w:vAlign w:val="center"/>
          </w:tcPr>
          <w:p w:rsidR="005403A6" w:rsidRPr="006A2BF3" w:rsidRDefault="005403A6" w:rsidP="000A02D3">
            <w:pPr>
              <w:jc w:val="center"/>
              <w:rPr>
                <w:rFonts w:ascii="Arial" w:hAnsi="Arial" w:cs="Arial"/>
                <w:b/>
                <w:sz w:val="16"/>
                <w:szCs w:val="16"/>
                <w:lang w:eastAsia="cs-CZ"/>
              </w:rPr>
            </w:pPr>
            <w:r w:rsidRPr="00D25EFA">
              <w:rPr>
                <w:rFonts w:ascii="Arial Narrow" w:hAnsi="Arial Narrow"/>
                <w:b/>
                <w:sz w:val="14"/>
                <w:szCs w:val="14"/>
                <w:lang w:eastAsia="cs-CZ"/>
              </w:rPr>
              <w:t>NA</w:t>
            </w:r>
          </w:p>
        </w:tc>
        <w:tc>
          <w:tcPr>
            <w:tcW w:w="354" w:type="pct"/>
            <w:tcBorders>
              <w:top w:val="dotted" w:sz="4" w:space="0" w:color="auto"/>
              <w:bottom w:val="single" w:sz="6" w:space="0" w:color="auto"/>
              <w:right w:val="single" w:sz="6" w:space="0" w:color="auto"/>
            </w:tcBorders>
            <w:vAlign w:val="center"/>
          </w:tcPr>
          <w:p w:rsidR="005403A6" w:rsidRPr="006A2BF3" w:rsidRDefault="005403A6" w:rsidP="000A02D3">
            <w:pPr>
              <w:jc w:val="center"/>
              <w:rPr>
                <w:rFonts w:ascii="Arial" w:hAnsi="Arial" w:cs="Arial"/>
                <w:b/>
                <w:sz w:val="16"/>
                <w:szCs w:val="16"/>
                <w:lang w:eastAsia="cs-CZ"/>
              </w:rPr>
            </w:pPr>
            <w:r w:rsidRPr="00D25EFA">
              <w:rPr>
                <w:rFonts w:ascii="Arial Narrow" w:hAnsi="Arial Narrow"/>
                <w:b/>
                <w:sz w:val="14"/>
                <w:szCs w:val="14"/>
                <w:lang w:eastAsia="cs-CZ"/>
              </w:rPr>
              <w:t>NA</w:t>
            </w:r>
          </w:p>
        </w:tc>
      </w:tr>
    </w:tbl>
    <w:p w:rsidR="002416B1" w:rsidRPr="004B33AE" w:rsidRDefault="002416B1" w:rsidP="000A02D3">
      <w:pPr>
        <w:spacing w:line="360" w:lineRule="auto"/>
        <w:jc w:val="both"/>
        <w:rPr>
          <w:rFonts w:ascii="Arial" w:hAnsi="Arial" w:cs="Arial"/>
          <w:sz w:val="18"/>
          <w:szCs w:val="18"/>
        </w:rPr>
      </w:pPr>
      <w:r w:rsidRPr="004B33AE">
        <w:rPr>
          <w:rFonts w:ascii="Arial" w:hAnsi="Arial" w:cs="Arial"/>
          <w:sz w:val="18"/>
          <w:szCs w:val="18"/>
        </w:rPr>
        <w:t>Zdroj: RO</w:t>
      </w:r>
    </w:p>
    <w:p w:rsidR="005403A6" w:rsidRDefault="005403A6" w:rsidP="000A02D3">
      <w:pPr>
        <w:jc w:val="both"/>
        <w:rPr>
          <w:rFonts w:ascii="Arial" w:hAnsi="Arial" w:cs="Arial"/>
          <w:i/>
          <w:sz w:val="18"/>
          <w:szCs w:val="18"/>
        </w:rPr>
      </w:pPr>
      <w:r w:rsidRPr="005403A6">
        <w:rPr>
          <w:rFonts w:ascii="Arial" w:hAnsi="Arial" w:cs="Arial"/>
          <w:i/>
          <w:sz w:val="18"/>
          <w:szCs w:val="18"/>
        </w:rPr>
        <w:t xml:space="preserve">NA - vzhľadom na stav implementácie </w:t>
      </w:r>
      <w:r w:rsidR="000236A4">
        <w:rPr>
          <w:rFonts w:ascii="Arial" w:hAnsi="Arial" w:cs="Arial"/>
          <w:i/>
          <w:sz w:val="18"/>
          <w:szCs w:val="18"/>
        </w:rPr>
        <w:t>OP ŽP</w:t>
      </w:r>
      <w:r w:rsidRPr="005403A6">
        <w:rPr>
          <w:rFonts w:ascii="Arial" w:hAnsi="Arial" w:cs="Arial"/>
          <w:i/>
          <w:sz w:val="18"/>
          <w:szCs w:val="18"/>
        </w:rPr>
        <w:t xml:space="preserve"> hodnota nie je aplikovateľná (not available); </w:t>
      </w:r>
    </w:p>
    <w:p w:rsidR="002416B1" w:rsidRDefault="005403A6" w:rsidP="000A02D3">
      <w:pPr>
        <w:jc w:val="both"/>
        <w:rPr>
          <w:rFonts w:ascii="Arial" w:hAnsi="Arial" w:cs="Arial"/>
          <w:i/>
          <w:sz w:val="18"/>
          <w:szCs w:val="18"/>
        </w:rPr>
      </w:pPr>
      <w:r w:rsidRPr="005403A6">
        <w:rPr>
          <w:rFonts w:ascii="Arial" w:hAnsi="Arial" w:cs="Arial"/>
          <w:i/>
          <w:sz w:val="18"/>
          <w:szCs w:val="18"/>
        </w:rPr>
        <w:t>* uvedené hodnoty zahŕňajú východiskové hodnoty</w:t>
      </w:r>
    </w:p>
    <w:p w:rsidR="00C63470" w:rsidRPr="004B33AE" w:rsidRDefault="00C63470" w:rsidP="000A02D3">
      <w:pPr>
        <w:jc w:val="both"/>
        <w:rPr>
          <w:rFonts w:ascii="Arial" w:hAnsi="Arial" w:cs="Arial"/>
          <w:i/>
          <w:sz w:val="18"/>
          <w:szCs w:val="18"/>
        </w:rPr>
      </w:pPr>
    </w:p>
    <w:p w:rsidR="00E22E86" w:rsidRDefault="00E22E86">
      <w:pPr>
        <w:rPr>
          <w:rFonts w:ascii="Arial" w:hAnsi="Arial" w:cs="Arial"/>
          <w:b/>
          <w:sz w:val="20"/>
          <w:szCs w:val="20"/>
          <w:u w:val="single"/>
        </w:rPr>
      </w:pPr>
      <w:r>
        <w:rPr>
          <w:rFonts w:ascii="Arial" w:hAnsi="Arial" w:cs="Arial"/>
          <w:b/>
          <w:sz w:val="20"/>
          <w:szCs w:val="20"/>
          <w:u w:val="single"/>
        </w:rPr>
        <w:br w:type="page"/>
      </w:r>
    </w:p>
    <w:p w:rsidR="002416B1" w:rsidRDefault="002416B1" w:rsidP="00507035">
      <w:pPr>
        <w:spacing w:before="120" w:after="120" w:line="360" w:lineRule="auto"/>
        <w:rPr>
          <w:rFonts w:ascii="Arial" w:hAnsi="Arial" w:cs="Arial"/>
          <w:b/>
          <w:sz w:val="20"/>
          <w:szCs w:val="20"/>
          <w:u w:val="single"/>
        </w:rPr>
      </w:pPr>
      <w:r w:rsidRPr="004B33AE">
        <w:rPr>
          <w:rFonts w:ascii="Arial" w:hAnsi="Arial" w:cs="Arial"/>
          <w:b/>
          <w:sz w:val="20"/>
          <w:szCs w:val="20"/>
          <w:u w:val="single"/>
        </w:rPr>
        <w:t>Úroveň celkovej informovanosti verejnosti o úlohe EÚ a opatreniach OP ŽP</w:t>
      </w:r>
    </w:p>
    <w:p w:rsidR="002416B1" w:rsidRPr="006A2BF3" w:rsidRDefault="002416B1" w:rsidP="000A02D3">
      <w:pPr>
        <w:spacing w:line="360" w:lineRule="auto"/>
        <w:rPr>
          <w:rFonts w:ascii="Arial" w:hAnsi="Arial" w:cs="Arial"/>
          <w:sz w:val="20"/>
          <w:szCs w:val="20"/>
        </w:rPr>
      </w:pPr>
      <w:r w:rsidRPr="006A2BF3">
        <w:rPr>
          <w:rFonts w:ascii="Arial" w:hAnsi="Arial" w:cs="Arial"/>
          <w:sz w:val="20"/>
          <w:szCs w:val="20"/>
        </w:rPr>
        <w:t xml:space="preserve">Tab. č. </w:t>
      </w:r>
      <w:r w:rsidR="00C63470">
        <w:rPr>
          <w:rFonts w:ascii="Arial" w:hAnsi="Arial" w:cs="Arial"/>
          <w:sz w:val="20"/>
          <w:szCs w:val="20"/>
        </w:rPr>
        <w:t>87</w:t>
      </w:r>
      <w:r w:rsidR="00236377">
        <w:rPr>
          <w:rFonts w:ascii="Arial" w:hAnsi="Arial" w:cs="Arial"/>
          <w:sz w:val="20"/>
          <w:szCs w:val="20"/>
        </w:rPr>
        <w:t>:</w:t>
      </w:r>
      <w:r w:rsidR="00E57A5C">
        <w:rPr>
          <w:rFonts w:ascii="Arial" w:hAnsi="Arial" w:cs="Arial"/>
          <w:sz w:val="20"/>
          <w:szCs w:val="20"/>
        </w:rPr>
        <w:t xml:space="preserve"> Úroveň informovanosti verejnosti</w:t>
      </w:r>
    </w:p>
    <w:tbl>
      <w:tblPr>
        <w:tblW w:w="9669" w:type="dxa"/>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30" w:type="dxa"/>
          <w:right w:w="30" w:type="dxa"/>
        </w:tblCellMar>
        <w:tblLook w:val="0000" w:firstRow="0" w:lastRow="0" w:firstColumn="0" w:lastColumn="0" w:noHBand="0" w:noVBand="0"/>
      </w:tblPr>
      <w:tblGrid>
        <w:gridCol w:w="2393"/>
        <w:gridCol w:w="1039"/>
        <w:gridCol w:w="837"/>
        <w:gridCol w:w="851"/>
        <w:gridCol w:w="850"/>
        <w:gridCol w:w="851"/>
        <w:gridCol w:w="850"/>
        <w:gridCol w:w="958"/>
        <w:gridCol w:w="1040"/>
      </w:tblGrid>
      <w:tr w:rsidR="005403A6" w:rsidRPr="006A2BF3" w:rsidTr="0039268C">
        <w:trPr>
          <w:trHeight w:val="457"/>
          <w:jc w:val="center"/>
        </w:trPr>
        <w:tc>
          <w:tcPr>
            <w:tcW w:w="2393" w:type="dxa"/>
            <w:tcBorders>
              <w:left w:val="single" w:sz="4" w:space="0" w:color="auto"/>
            </w:tcBorders>
            <w:shd w:val="clear" w:color="auto" w:fill="D6E3BC"/>
            <w:vAlign w:val="center"/>
          </w:tcPr>
          <w:p w:rsidR="005403A6" w:rsidRPr="006A2BF3" w:rsidRDefault="005403A6" w:rsidP="000A02D3">
            <w:pPr>
              <w:jc w:val="center"/>
              <w:rPr>
                <w:rFonts w:ascii="Arial" w:hAnsi="Arial" w:cs="Arial"/>
                <w:b/>
                <w:sz w:val="16"/>
                <w:szCs w:val="16"/>
                <w:lang w:eastAsia="en-US"/>
              </w:rPr>
            </w:pPr>
            <w:r w:rsidRPr="006A2BF3">
              <w:rPr>
                <w:rFonts w:ascii="Arial" w:hAnsi="Arial" w:cs="Arial"/>
                <w:b/>
                <w:sz w:val="16"/>
                <w:szCs w:val="16"/>
                <w:lang w:eastAsia="en-US"/>
              </w:rPr>
              <w:t>Hodnotiace kritérium</w:t>
            </w:r>
          </w:p>
        </w:tc>
        <w:tc>
          <w:tcPr>
            <w:tcW w:w="1039" w:type="dxa"/>
            <w:shd w:val="clear" w:color="auto" w:fill="D6E3BC"/>
            <w:vAlign w:val="center"/>
          </w:tcPr>
          <w:p w:rsidR="005403A6" w:rsidRPr="006A2BF3" w:rsidRDefault="005403A6" w:rsidP="000A02D3">
            <w:pPr>
              <w:jc w:val="center"/>
              <w:rPr>
                <w:rFonts w:ascii="Arial" w:hAnsi="Arial" w:cs="Arial"/>
                <w:b/>
                <w:sz w:val="16"/>
                <w:szCs w:val="16"/>
                <w:lang w:eastAsia="en-US"/>
              </w:rPr>
            </w:pPr>
            <w:r w:rsidRPr="006A2BF3">
              <w:rPr>
                <w:rFonts w:ascii="Arial" w:hAnsi="Arial" w:cs="Arial"/>
                <w:b/>
                <w:sz w:val="16"/>
                <w:szCs w:val="16"/>
                <w:lang w:eastAsia="en-US"/>
              </w:rPr>
              <w:t>ukazovateľ</w:t>
            </w:r>
          </w:p>
        </w:tc>
        <w:tc>
          <w:tcPr>
            <w:tcW w:w="837" w:type="dxa"/>
            <w:shd w:val="clear" w:color="auto" w:fill="D6E3BC"/>
            <w:vAlign w:val="center"/>
          </w:tcPr>
          <w:p w:rsidR="005403A6" w:rsidRPr="006A2BF3" w:rsidRDefault="005403A6" w:rsidP="000A02D3">
            <w:pPr>
              <w:jc w:val="center"/>
              <w:rPr>
                <w:rFonts w:ascii="Arial" w:hAnsi="Arial" w:cs="Arial"/>
                <w:b/>
                <w:sz w:val="16"/>
                <w:szCs w:val="16"/>
                <w:lang w:eastAsia="en-US"/>
              </w:rPr>
            </w:pPr>
            <w:r w:rsidRPr="006A2BF3">
              <w:rPr>
                <w:rFonts w:ascii="Arial" w:hAnsi="Arial" w:cs="Arial"/>
                <w:b/>
                <w:sz w:val="16"/>
                <w:szCs w:val="16"/>
                <w:lang w:eastAsia="en-US"/>
              </w:rPr>
              <w:t>2007</w:t>
            </w:r>
          </w:p>
        </w:tc>
        <w:tc>
          <w:tcPr>
            <w:tcW w:w="851" w:type="dxa"/>
            <w:shd w:val="clear" w:color="auto" w:fill="D6E3BC"/>
            <w:vAlign w:val="center"/>
          </w:tcPr>
          <w:p w:rsidR="005403A6" w:rsidRPr="006A2BF3" w:rsidRDefault="005403A6" w:rsidP="000A02D3">
            <w:pPr>
              <w:jc w:val="center"/>
              <w:rPr>
                <w:rFonts w:ascii="Arial" w:hAnsi="Arial" w:cs="Arial"/>
                <w:b/>
                <w:sz w:val="16"/>
                <w:szCs w:val="16"/>
                <w:lang w:eastAsia="en-US"/>
              </w:rPr>
            </w:pPr>
            <w:r w:rsidRPr="006A2BF3">
              <w:rPr>
                <w:rFonts w:ascii="Arial" w:hAnsi="Arial" w:cs="Arial"/>
                <w:b/>
                <w:sz w:val="16"/>
                <w:szCs w:val="16"/>
                <w:lang w:eastAsia="en-US"/>
              </w:rPr>
              <w:t>2008</w:t>
            </w:r>
          </w:p>
        </w:tc>
        <w:tc>
          <w:tcPr>
            <w:tcW w:w="850" w:type="dxa"/>
            <w:shd w:val="clear" w:color="auto" w:fill="D6E3BC"/>
            <w:vAlign w:val="center"/>
          </w:tcPr>
          <w:p w:rsidR="005403A6" w:rsidRPr="006A2BF3" w:rsidRDefault="005403A6" w:rsidP="000A02D3">
            <w:pPr>
              <w:jc w:val="center"/>
              <w:rPr>
                <w:rFonts w:ascii="Arial" w:hAnsi="Arial" w:cs="Arial"/>
                <w:b/>
                <w:sz w:val="16"/>
                <w:szCs w:val="16"/>
                <w:lang w:eastAsia="en-US"/>
              </w:rPr>
            </w:pPr>
            <w:r w:rsidRPr="006A2BF3">
              <w:rPr>
                <w:rFonts w:ascii="Arial" w:hAnsi="Arial" w:cs="Arial"/>
                <w:b/>
                <w:sz w:val="16"/>
                <w:szCs w:val="16"/>
                <w:lang w:eastAsia="en-US"/>
              </w:rPr>
              <w:t>2009</w:t>
            </w:r>
          </w:p>
        </w:tc>
        <w:tc>
          <w:tcPr>
            <w:tcW w:w="851" w:type="dxa"/>
            <w:shd w:val="clear" w:color="auto" w:fill="D6E3BC"/>
            <w:vAlign w:val="center"/>
          </w:tcPr>
          <w:p w:rsidR="005403A6" w:rsidRPr="006A2BF3" w:rsidRDefault="005403A6" w:rsidP="000A02D3">
            <w:pPr>
              <w:jc w:val="center"/>
              <w:rPr>
                <w:rFonts w:ascii="Arial" w:hAnsi="Arial" w:cs="Arial"/>
                <w:b/>
                <w:sz w:val="16"/>
                <w:szCs w:val="16"/>
                <w:lang w:eastAsia="en-US"/>
              </w:rPr>
            </w:pPr>
            <w:r w:rsidRPr="006A2BF3">
              <w:rPr>
                <w:rFonts w:ascii="Arial" w:hAnsi="Arial" w:cs="Arial"/>
                <w:b/>
                <w:sz w:val="16"/>
                <w:szCs w:val="16"/>
                <w:lang w:eastAsia="en-US"/>
              </w:rPr>
              <w:t>2010</w:t>
            </w:r>
          </w:p>
        </w:tc>
        <w:tc>
          <w:tcPr>
            <w:tcW w:w="850" w:type="dxa"/>
            <w:shd w:val="clear" w:color="auto" w:fill="D6E3BC"/>
            <w:vAlign w:val="center"/>
          </w:tcPr>
          <w:p w:rsidR="005403A6" w:rsidRPr="006A2BF3" w:rsidRDefault="005403A6" w:rsidP="000A02D3">
            <w:pPr>
              <w:jc w:val="center"/>
              <w:rPr>
                <w:rFonts w:ascii="Arial" w:hAnsi="Arial" w:cs="Arial"/>
                <w:b/>
                <w:sz w:val="16"/>
                <w:szCs w:val="16"/>
                <w:lang w:eastAsia="en-US"/>
              </w:rPr>
            </w:pPr>
            <w:r w:rsidRPr="006A2BF3">
              <w:rPr>
                <w:rFonts w:ascii="Arial" w:hAnsi="Arial" w:cs="Arial"/>
                <w:b/>
                <w:sz w:val="16"/>
                <w:szCs w:val="16"/>
                <w:lang w:eastAsia="en-US"/>
              </w:rPr>
              <w:t>2011</w:t>
            </w:r>
          </w:p>
        </w:tc>
        <w:tc>
          <w:tcPr>
            <w:tcW w:w="958" w:type="dxa"/>
            <w:shd w:val="clear" w:color="auto" w:fill="D6E3BC"/>
            <w:vAlign w:val="center"/>
          </w:tcPr>
          <w:p w:rsidR="005403A6" w:rsidRPr="006A2BF3" w:rsidRDefault="005403A6" w:rsidP="000A02D3">
            <w:pPr>
              <w:jc w:val="center"/>
              <w:rPr>
                <w:rFonts w:ascii="Arial" w:hAnsi="Arial" w:cs="Arial"/>
                <w:b/>
                <w:sz w:val="16"/>
                <w:szCs w:val="16"/>
                <w:lang w:eastAsia="en-US"/>
              </w:rPr>
            </w:pPr>
            <w:r>
              <w:rPr>
                <w:rFonts w:ascii="Arial" w:hAnsi="Arial" w:cs="Arial"/>
                <w:b/>
                <w:sz w:val="16"/>
                <w:szCs w:val="16"/>
                <w:lang w:eastAsia="en-US"/>
              </w:rPr>
              <w:t>2012</w:t>
            </w:r>
          </w:p>
        </w:tc>
        <w:tc>
          <w:tcPr>
            <w:tcW w:w="1040" w:type="dxa"/>
            <w:tcBorders>
              <w:right w:val="single" w:sz="4" w:space="0" w:color="auto"/>
            </w:tcBorders>
            <w:shd w:val="clear" w:color="auto" w:fill="D6E3BC"/>
            <w:vAlign w:val="center"/>
          </w:tcPr>
          <w:p w:rsidR="005403A6" w:rsidRPr="006A2BF3" w:rsidRDefault="005403A6" w:rsidP="000A02D3">
            <w:pPr>
              <w:jc w:val="center"/>
              <w:rPr>
                <w:rFonts w:ascii="Arial" w:hAnsi="Arial" w:cs="Arial"/>
                <w:b/>
                <w:sz w:val="16"/>
                <w:szCs w:val="16"/>
                <w:lang w:eastAsia="en-US"/>
              </w:rPr>
            </w:pPr>
            <w:r w:rsidRPr="006A2BF3">
              <w:rPr>
                <w:rFonts w:ascii="Arial" w:hAnsi="Arial" w:cs="Arial"/>
                <w:b/>
                <w:sz w:val="16"/>
                <w:szCs w:val="16"/>
                <w:lang w:eastAsia="en-US"/>
              </w:rPr>
              <w:t>Spolu</w:t>
            </w:r>
          </w:p>
        </w:tc>
      </w:tr>
      <w:tr w:rsidR="002416B1" w:rsidRPr="006A2BF3" w:rsidTr="0039268C">
        <w:trPr>
          <w:trHeight w:val="223"/>
          <w:jc w:val="center"/>
        </w:trPr>
        <w:tc>
          <w:tcPr>
            <w:tcW w:w="9669" w:type="dxa"/>
            <w:gridSpan w:val="9"/>
            <w:tcBorders>
              <w:left w:val="single" w:sz="4" w:space="0" w:color="auto"/>
              <w:right w:val="single" w:sz="4" w:space="0" w:color="auto"/>
            </w:tcBorders>
            <w:shd w:val="clear" w:color="auto" w:fill="EAF1DD"/>
            <w:vAlign w:val="center"/>
          </w:tcPr>
          <w:p w:rsidR="002416B1" w:rsidRPr="006A2BF3" w:rsidRDefault="002416B1" w:rsidP="000A02D3">
            <w:pPr>
              <w:jc w:val="center"/>
              <w:rPr>
                <w:rFonts w:ascii="Arial" w:hAnsi="Arial" w:cs="Arial"/>
                <w:b/>
                <w:sz w:val="16"/>
                <w:szCs w:val="16"/>
                <w:lang w:eastAsia="en-US"/>
              </w:rPr>
            </w:pPr>
            <w:r w:rsidRPr="006A2BF3">
              <w:rPr>
                <w:rFonts w:ascii="Arial" w:hAnsi="Arial" w:cs="Arial"/>
                <w:b/>
                <w:sz w:val="16"/>
                <w:szCs w:val="16"/>
                <w:lang w:eastAsia="en-US"/>
              </w:rPr>
              <w:t>Úroveň programu a opatrení (dopadové indikátory)</w:t>
            </w:r>
          </w:p>
        </w:tc>
      </w:tr>
      <w:tr w:rsidR="001B2601" w:rsidRPr="006A2BF3" w:rsidTr="0039268C">
        <w:trPr>
          <w:trHeight w:val="361"/>
          <w:jc w:val="center"/>
        </w:trPr>
        <w:tc>
          <w:tcPr>
            <w:tcW w:w="2393" w:type="dxa"/>
            <w:tcBorders>
              <w:left w:val="single" w:sz="4" w:space="0" w:color="auto"/>
            </w:tcBorders>
            <w:vAlign w:val="center"/>
          </w:tcPr>
          <w:p w:rsidR="001B2601" w:rsidRPr="00C266A4" w:rsidRDefault="001B2601" w:rsidP="000A02D3">
            <w:pPr>
              <w:rPr>
                <w:rFonts w:ascii="Arial" w:hAnsi="Arial" w:cs="Arial"/>
                <w:sz w:val="16"/>
                <w:szCs w:val="16"/>
                <w:lang w:eastAsia="en-US"/>
              </w:rPr>
            </w:pPr>
            <w:r w:rsidRPr="00C266A4">
              <w:rPr>
                <w:rFonts w:ascii="Arial" w:hAnsi="Arial" w:cs="Arial"/>
                <w:sz w:val="16"/>
                <w:szCs w:val="16"/>
                <w:lang w:eastAsia="en-US"/>
              </w:rPr>
              <w:t>úroveň celkovej informovanosti verejnosti o úlohe EÚ a opatreniach OP ŽP</w:t>
            </w:r>
          </w:p>
        </w:tc>
        <w:tc>
          <w:tcPr>
            <w:tcW w:w="1039" w:type="dxa"/>
            <w:vAlign w:val="center"/>
          </w:tcPr>
          <w:p w:rsidR="001B2601" w:rsidRPr="006A2BF3" w:rsidRDefault="001B2601" w:rsidP="000A02D3">
            <w:pPr>
              <w:jc w:val="center"/>
              <w:rPr>
                <w:rFonts w:ascii="Arial" w:hAnsi="Arial" w:cs="Arial"/>
                <w:sz w:val="16"/>
                <w:szCs w:val="16"/>
                <w:lang w:eastAsia="en-US"/>
              </w:rPr>
            </w:pPr>
            <w:r w:rsidRPr="006A2BF3">
              <w:rPr>
                <w:rFonts w:ascii="Arial" w:hAnsi="Arial" w:cs="Arial"/>
                <w:sz w:val="16"/>
                <w:szCs w:val="16"/>
                <w:lang w:eastAsia="en-US"/>
              </w:rPr>
              <w:t>% poznania úlohy EÚ, OP ŽP, funkcie RO</w:t>
            </w:r>
          </w:p>
        </w:tc>
        <w:tc>
          <w:tcPr>
            <w:tcW w:w="837" w:type="dxa"/>
            <w:vAlign w:val="center"/>
          </w:tcPr>
          <w:p w:rsidR="001B2601" w:rsidRPr="006A2BF3" w:rsidRDefault="001B2601" w:rsidP="000A02D3">
            <w:pPr>
              <w:jc w:val="center"/>
              <w:rPr>
                <w:rFonts w:ascii="Arial" w:hAnsi="Arial" w:cs="Arial"/>
                <w:sz w:val="16"/>
                <w:szCs w:val="16"/>
                <w:lang w:eastAsia="en-US"/>
              </w:rPr>
            </w:pPr>
            <w:r w:rsidRPr="00D25EFA">
              <w:rPr>
                <w:rFonts w:ascii="Arial Narrow" w:hAnsi="Arial Narrow"/>
                <w:sz w:val="16"/>
                <w:szCs w:val="16"/>
              </w:rPr>
              <w:t>5,00</w:t>
            </w:r>
          </w:p>
        </w:tc>
        <w:tc>
          <w:tcPr>
            <w:tcW w:w="851" w:type="dxa"/>
            <w:vAlign w:val="center"/>
          </w:tcPr>
          <w:p w:rsidR="001B2601" w:rsidRPr="006A2BF3" w:rsidRDefault="001B2601" w:rsidP="000A02D3">
            <w:pPr>
              <w:jc w:val="center"/>
              <w:rPr>
                <w:rFonts w:ascii="Arial" w:hAnsi="Arial" w:cs="Arial"/>
                <w:sz w:val="16"/>
                <w:szCs w:val="16"/>
                <w:lang w:eastAsia="en-US"/>
              </w:rPr>
            </w:pPr>
            <w:r w:rsidRPr="00D25EFA">
              <w:rPr>
                <w:rFonts w:ascii="Arial Narrow" w:hAnsi="Arial Narrow"/>
                <w:sz w:val="16"/>
                <w:szCs w:val="16"/>
              </w:rPr>
              <w:t>44,33</w:t>
            </w:r>
          </w:p>
        </w:tc>
        <w:tc>
          <w:tcPr>
            <w:tcW w:w="850" w:type="dxa"/>
            <w:vAlign w:val="center"/>
          </w:tcPr>
          <w:p w:rsidR="001B2601" w:rsidRPr="006A2BF3" w:rsidRDefault="001B2601" w:rsidP="000A02D3">
            <w:pPr>
              <w:jc w:val="center"/>
              <w:rPr>
                <w:rFonts w:ascii="Arial" w:hAnsi="Arial" w:cs="Arial"/>
                <w:sz w:val="16"/>
                <w:szCs w:val="16"/>
                <w:lang w:eastAsia="en-US"/>
              </w:rPr>
            </w:pPr>
            <w:r w:rsidRPr="00D25EFA">
              <w:rPr>
                <w:rFonts w:ascii="Arial Narrow" w:hAnsi="Arial Narrow"/>
                <w:sz w:val="16"/>
                <w:szCs w:val="16"/>
              </w:rPr>
              <w:t>63,4</w:t>
            </w:r>
          </w:p>
        </w:tc>
        <w:tc>
          <w:tcPr>
            <w:tcW w:w="851" w:type="dxa"/>
            <w:vAlign w:val="center"/>
          </w:tcPr>
          <w:p w:rsidR="001B2601" w:rsidRPr="006A2BF3" w:rsidRDefault="001B2601" w:rsidP="000A02D3">
            <w:pPr>
              <w:jc w:val="center"/>
              <w:rPr>
                <w:rFonts w:ascii="Arial" w:hAnsi="Arial" w:cs="Arial"/>
                <w:sz w:val="16"/>
                <w:szCs w:val="16"/>
                <w:highlight w:val="yellow"/>
                <w:lang w:eastAsia="en-US"/>
              </w:rPr>
            </w:pPr>
            <w:r w:rsidRPr="00D25EFA">
              <w:rPr>
                <w:rFonts w:ascii="Arial Narrow" w:hAnsi="Arial Narrow"/>
                <w:sz w:val="16"/>
                <w:szCs w:val="16"/>
              </w:rPr>
              <w:t>72,5</w:t>
            </w:r>
          </w:p>
        </w:tc>
        <w:tc>
          <w:tcPr>
            <w:tcW w:w="850" w:type="dxa"/>
            <w:shd w:val="clear" w:color="auto" w:fill="FFFFFF"/>
            <w:vAlign w:val="center"/>
          </w:tcPr>
          <w:p w:rsidR="001B2601" w:rsidRPr="006A2BF3" w:rsidRDefault="001B2601" w:rsidP="000A02D3">
            <w:pPr>
              <w:jc w:val="center"/>
              <w:rPr>
                <w:rFonts w:ascii="Arial" w:hAnsi="Arial" w:cs="Arial"/>
                <w:b/>
                <w:sz w:val="16"/>
                <w:szCs w:val="16"/>
                <w:lang w:eastAsia="en-US"/>
              </w:rPr>
            </w:pPr>
            <w:r w:rsidRPr="00D25EFA">
              <w:rPr>
                <w:rFonts w:ascii="Arial Narrow" w:hAnsi="Arial Narrow"/>
                <w:sz w:val="16"/>
                <w:szCs w:val="16"/>
              </w:rPr>
              <w:t>-</w:t>
            </w:r>
          </w:p>
        </w:tc>
        <w:tc>
          <w:tcPr>
            <w:tcW w:w="958" w:type="dxa"/>
            <w:shd w:val="clear" w:color="auto" w:fill="FFFFFF"/>
            <w:vAlign w:val="center"/>
          </w:tcPr>
          <w:p w:rsidR="001B2601" w:rsidRPr="006A2BF3" w:rsidRDefault="001B2601" w:rsidP="000A02D3">
            <w:pPr>
              <w:jc w:val="center"/>
              <w:rPr>
                <w:rFonts w:ascii="Arial" w:hAnsi="Arial" w:cs="Arial"/>
                <w:b/>
                <w:sz w:val="16"/>
                <w:szCs w:val="16"/>
                <w:lang w:eastAsia="en-US"/>
              </w:rPr>
            </w:pPr>
            <w:r w:rsidRPr="00D25EFA">
              <w:rPr>
                <w:rFonts w:ascii="Arial Narrow" w:hAnsi="Arial Narrow"/>
                <w:b/>
                <w:sz w:val="16"/>
                <w:szCs w:val="16"/>
              </w:rPr>
              <w:t>-</w:t>
            </w:r>
          </w:p>
        </w:tc>
        <w:tc>
          <w:tcPr>
            <w:tcW w:w="1040" w:type="dxa"/>
            <w:tcBorders>
              <w:right w:val="single" w:sz="4" w:space="0" w:color="auto"/>
            </w:tcBorders>
            <w:shd w:val="clear" w:color="auto" w:fill="F2F2F2"/>
            <w:vAlign w:val="center"/>
          </w:tcPr>
          <w:p w:rsidR="001B2601" w:rsidRPr="006A2BF3" w:rsidRDefault="001B2601" w:rsidP="000A02D3">
            <w:pPr>
              <w:jc w:val="center"/>
              <w:rPr>
                <w:rFonts w:ascii="Arial" w:hAnsi="Arial" w:cs="Arial"/>
                <w:b/>
                <w:sz w:val="16"/>
                <w:szCs w:val="16"/>
                <w:lang w:eastAsia="en-US"/>
              </w:rPr>
            </w:pPr>
            <w:r w:rsidRPr="00D25EFA">
              <w:rPr>
                <w:rFonts w:ascii="Arial Narrow" w:hAnsi="Arial Narrow"/>
                <w:b/>
                <w:sz w:val="16"/>
                <w:szCs w:val="16"/>
              </w:rPr>
              <w:t>72,5</w:t>
            </w:r>
          </w:p>
        </w:tc>
      </w:tr>
      <w:tr w:rsidR="001B2601" w:rsidRPr="006A2BF3" w:rsidTr="0039268C">
        <w:trPr>
          <w:trHeight w:val="241"/>
          <w:jc w:val="center"/>
        </w:trPr>
        <w:tc>
          <w:tcPr>
            <w:tcW w:w="2393" w:type="dxa"/>
            <w:tcBorders>
              <w:left w:val="single" w:sz="4" w:space="0" w:color="auto"/>
            </w:tcBorders>
            <w:vAlign w:val="center"/>
          </w:tcPr>
          <w:p w:rsidR="001B2601" w:rsidRPr="00C266A4" w:rsidRDefault="001B2601" w:rsidP="000A02D3">
            <w:pPr>
              <w:rPr>
                <w:rFonts w:ascii="Arial" w:hAnsi="Arial" w:cs="Arial"/>
                <w:sz w:val="16"/>
                <w:szCs w:val="16"/>
                <w:lang w:eastAsia="en-US"/>
              </w:rPr>
            </w:pPr>
            <w:r w:rsidRPr="00C266A4">
              <w:rPr>
                <w:rFonts w:ascii="Arial" w:hAnsi="Arial" w:cs="Arial"/>
                <w:sz w:val="16"/>
                <w:szCs w:val="16"/>
                <w:lang w:eastAsia="en-US"/>
              </w:rPr>
              <w:t>záujem o podporu z OP ŽP</w:t>
            </w:r>
          </w:p>
        </w:tc>
        <w:tc>
          <w:tcPr>
            <w:tcW w:w="1039" w:type="dxa"/>
            <w:vAlign w:val="center"/>
          </w:tcPr>
          <w:p w:rsidR="001B2601" w:rsidRPr="006A2BF3" w:rsidRDefault="001B2601" w:rsidP="000A02D3">
            <w:pPr>
              <w:jc w:val="center"/>
              <w:rPr>
                <w:rFonts w:ascii="Arial" w:hAnsi="Arial" w:cs="Arial"/>
                <w:sz w:val="16"/>
                <w:szCs w:val="16"/>
                <w:lang w:eastAsia="en-US"/>
              </w:rPr>
            </w:pPr>
            <w:r w:rsidRPr="006A2BF3">
              <w:rPr>
                <w:rFonts w:ascii="Arial" w:hAnsi="Arial" w:cs="Arial"/>
                <w:sz w:val="16"/>
                <w:szCs w:val="16"/>
                <w:lang w:eastAsia="en-US"/>
              </w:rPr>
              <w:t xml:space="preserve">počet žiadateľov </w:t>
            </w:r>
            <w:r w:rsidRPr="006A2BF3">
              <w:rPr>
                <w:rFonts w:ascii="Arial" w:hAnsi="Arial" w:cs="Arial"/>
                <w:sz w:val="16"/>
                <w:szCs w:val="16"/>
                <w:lang w:eastAsia="en-US"/>
              </w:rPr>
              <w:br/>
              <w:t>o NFP</w:t>
            </w:r>
          </w:p>
        </w:tc>
        <w:tc>
          <w:tcPr>
            <w:tcW w:w="837" w:type="dxa"/>
            <w:vAlign w:val="center"/>
          </w:tcPr>
          <w:p w:rsidR="001B2601" w:rsidRPr="006A2BF3" w:rsidRDefault="001B2601" w:rsidP="000A02D3">
            <w:pPr>
              <w:jc w:val="center"/>
              <w:rPr>
                <w:rFonts w:ascii="Arial" w:hAnsi="Arial" w:cs="Arial"/>
                <w:sz w:val="16"/>
                <w:szCs w:val="16"/>
                <w:lang w:eastAsia="en-US"/>
              </w:rPr>
            </w:pPr>
            <w:r w:rsidRPr="00D25EFA">
              <w:rPr>
                <w:rFonts w:ascii="Arial Narrow" w:hAnsi="Arial Narrow"/>
                <w:sz w:val="16"/>
                <w:szCs w:val="16"/>
              </w:rPr>
              <w:t>0</w:t>
            </w:r>
          </w:p>
        </w:tc>
        <w:tc>
          <w:tcPr>
            <w:tcW w:w="851" w:type="dxa"/>
            <w:vAlign w:val="center"/>
          </w:tcPr>
          <w:p w:rsidR="001B2601" w:rsidRPr="006A2BF3" w:rsidRDefault="001B2601" w:rsidP="000A02D3">
            <w:pPr>
              <w:jc w:val="center"/>
              <w:rPr>
                <w:rFonts w:ascii="Arial" w:hAnsi="Arial" w:cs="Arial"/>
                <w:sz w:val="16"/>
                <w:szCs w:val="16"/>
                <w:lang w:eastAsia="en-US"/>
              </w:rPr>
            </w:pPr>
            <w:r w:rsidRPr="00D25EFA">
              <w:rPr>
                <w:rFonts w:ascii="Arial Narrow" w:hAnsi="Arial Narrow"/>
                <w:sz w:val="16"/>
                <w:szCs w:val="16"/>
              </w:rPr>
              <w:t>452</w:t>
            </w:r>
          </w:p>
        </w:tc>
        <w:tc>
          <w:tcPr>
            <w:tcW w:w="850" w:type="dxa"/>
            <w:vAlign w:val="center"/>
          </w:tcPr>
          <w:p w:rsidR="001B2601" w:rsidRPr="006A2BF3" w:rsidRDefault="001B2601" w:rsidP="000A02D3">
            <w:pPr>
              <w:jc w:val="center"/>
              <w:rPr>
                <w:rFonts w:ascii="Arial" w:hAnsi="Arial" w:cs="Arial"/>
                <w:sz w:val="16"/>
                <w:szCs w:val="16"/>
                <w:lang w:eastAsia="en-US"/>
              </w:rPr>
            </w:pPr>
            <w:r w:rsidRPr="00D25EFA">
              <w:rPr>
                <w:rFonts w:ascii="Arial Narrow" w:hAnsi="Arial Narrow"/>
                <w:sz w:val="16"/>
                <w:szCs w:val="16"/>
              </w:rPr>
              <w:t>810</w:t>
            </w:r>
          </w:p>
        </w:tc>
        <w:tc>
          <w:tcPr>
            <w:tcW w:w="851" w:type="dxa"/>
            <w:vAlign w:val="center"/>
          </w:tcPr>
          <w:p w:rsidR="001B2601" w:rsidRPr="006A2BF3" w:rsidRDefault="001B2601" w:rsidP="000A02D3">
            <w:pPr>
              <w:jc w:val="center"/>
              <w:rPr>
                <w:rFonts w:ascii="Arial" w:hAnsi="Arial" w:cs="Arial"/>
                <w:sz w:val="16"/>
                <w:szCs w:val="16"/>
                <w:lang w:eastAsia="en-US"/>
              </w:rPr>
            </w:pPr>
            <w:r w:rsidRPr="00D25EFA">
              <w:rPr>
                <w:rFonts w:ascii="Arial Narrow" w:hAnsi="Arial Narrow"/>
                <w:sz w:val="16"/>
                <w:szCs w:val="16"/>
              </w:rPr>
              <w:t>568</w:t>
            </w:r>
          </w:p>
        </w:tc>
        <w:tc>
          <w:tcPr>
            <w:tcW w:w="850" w:type="dxa"/>
            <w:shd w:val="clear" w:color="auto" w:fill="FFFFFF"/>
            <w:vAlign w:val="center"/>
          </w:tcPr>
          <w:p w:rsidR="001B2601" w:rsidRPr="006A2BF3" w:rsidRDefault="001B2601" w:rsidP="000A02D3">
            <w:pPr>
              <w:jc w:val="center"/>
              <w:rPr>
                <w:rFonts w:ascii="Arial" w:hAnsi="Arial" w:cs="Arial"/>
                <w:b/>
                <w:sz w:val="16"/>
                <w:szCs w:val="16"/>
                <w:lang w:eastAsia="en-US"/>
              </w:rPr>
            </w:pPr>
            <w:r w:rsidRPr="00D25EFA">
              <w:rPr>
                <w:rFonts w:ascii="Arial Narrow" w:hAnsi="Arial Narrow"/>
                <w:sz w:val="16"/>
                <w:szCs w:val="16"/>
                <w:lang w:eastAsia="cs-CZ"/>
              </w:rPr>
              <w:t>591</w:t>
            </w:r>
          </w:p>
        </w:tc>
        <w:tc>
          <w:tcPr>
            <w:tcW w:w="958" w:type="dxa"/>
            <w:shd w:val="clear" w:color="auto" w:fill="FFFFFF"/>
            <w:vAlign w:val="center"/>
          </w:tcPr>
          <w:p w:rsidR="001B2601" w:rsidRPr="006A2BF3" w:rsidRDefault="001B2601" w:rsidP="000A02D3">
            <w:pPr>
              <w:jc w:val="center"/>
              <w:rPr>
                <w:rFonts w:ascii="Arial" w:hAnsi="Arial" w:cs="Arial"/>
                <w:b/>
                <w:sz w:val="16"/>
                <w:szCs w:val="16"/>
                <w:lang w:eastAsia="en-US"/>
              </w:rPr>
            </w:pPr>
            <w:r w:rsidRPr="00D25EFA">
              <w:rPr>
                <w:rFonts w:ascii="Arial Narrow" w:hAnsi="Arial Narrow"/>
                <w:sz w:val="16"/>
                <w:szCs w:val="16"/>
              </w:rPr>
              <w:t>253</w:t>
            </w:r>
          </w:p>
        </w:tc>
        <w:tc>
          <w:tcPr>
            <w:tcW w:w="1040" w:type="dxa"/>
            <w:tcBorders>
              <w:right w:val="single" w:sz="4" w:space="0" w:color="auto"/>
            </w:tcBorders>
            <w:shd w:val="clear" w:color="auto" w:fill="F2F2F2"/>
            <w:vAlign w:val="center"/>
          </w:tcPr>
          <w:p w:rsidR="001B2601" w:rsidRPr="006A2BF3" w:rsidRDefault="001B2601" w:rsidP="000A02D3">
            <w:pPr>
              <w:jc w:val="center"/>
              <w:rPr>
                <w:rFonts w:ascii="Arial" w:hAnsi="Arial" w:cs="Arial"/>
                <w:b/>
                <w:sz w:val="16"/>
                <w:szCs w:val="16"/>
                <w:lang w:eastAsia="en-US"/>
              </w:rPr>
            </w:pPr>
            <w:r w:rsidRPr="00D25EFA">
              <w:rPr>
                <w:rFonts w:ascii="Arial Narrow" w:hAnsi="Arial Narrow"/>
                <w:b/>
                <w:sz w:val="16"/>
                <w:szCs w:val="16"/>
              </w:rPr>
              <w:t>2 674</w:t>
            </w:r>
          </w:p>
        </w:tc>
      </w:tr>
      <w:tr w:rsidR="001B2601" w:rsidRPr="006A2BF3" w:rsidTr="0039268C">
        <w:trPr>
          <w:trHeight w:val="417"/>
          <w:jc w:val="center"/>
        </w:trPr>
        <w:tc>
          <w:tcPr>
            <w:tcW w:w="2393" w:type="dxa"/>
            <w:tcBorders>
              <w:left w:val="single" w:sz="4" w:space="0" w:color="auto"/>
            </w:tcBorders>
            <w:vAlign w:val="center"/>
          </w:tcPr>
          <w:p w:rsidR="001B2601" w:rsidRPr="00C266A4" w:rsidRDefault="001B2601" w:rsidP="000A02D3">
            <w:pPr>
              <w:rPr>
                <w:rFonts w:ascii="Arial" w:hAnsi="Arial" w:cs="Arial"/>
                <w:sz w:val="16"/>
                <w:szCs w:val="16"/>
                <w:lang w:eastAsia="en-US"/>
              </w:rPr>
            </w:pPr>
            <w:r w:rsidRPr="00C266A4">
              <w:rPr>
                <w:rFonts w:ascii="Arial" w:hAnsi="Arial" w:cs="Arial"/>
                <w:sz w:val="16"/>
                <w:szCs w:val="16"/>
                <w:lang w:eastAsia="en-US"/>
              </w:rPr>
              <w:t>úspešnosť programu</w:t>
            </w:r>
          </w:p>
        </w:tc>
        <w:tc>
          <w:tcPr>
            <w:tcW w:w="1039" w:type="dxa"/>
            <w:vAlign w:val="center"/>
          </w:tcPr>
          <w:p w:rsidR="001B2601" w:rsidRPr="006A2BF3" w:rsidRDefault="001B2601" w:rsidP="000A02D3">
            <w:pPr>
              <w:jc w:val="center"/>
              <w:rPr>
                <w:rFonts w:ascii="Arial" w:hAnsi="Arial" w:cs="Arial"/>
                <w:sz w:val="16"/>
                <w:szCs w:val="16"/>
                <w:lang w:eastAsia="en-US"/>
              </w:rPr>
            </w:pPr>
            <w:r w:rsidRPr="006A2BF3">
              <w:rPr>
                <w:rFonts w:ascii="Arial" w:hAnsi="Arial" w:cs="Arial"/>
                <w:sz w:val="16"/>
                <w:szCs w:val="16"/>
                <w:lang w:eastAsia="en-US"/>
              </w:rPr>
              <w:t>počet úspešne realizovaných projektov</w:t>
            </w:r>
          </w:p>
        </w:tc>
        <w:tc>
          <w:tcPr>
            <w:tcW w:w="837" w:type="dxa"/>
            <w:vAlign w:val="center"/>
          </w:tcPr>
          <w:p w:rsidR="001B2601" w:rsidRPr="006A2BF3" w:rsidRDefault="001B2601" w:rsidP="000A02D3">
            <w:pPr>
              <w:jc w:val="center"/>
              <w:rPr>
                <w:rFonts w:ascii="Arial" w:hAnsi="Arial" w:cs="Arial"/>
                <w:sz w:val="16"/>
                <w:szCs w:val="16"/>
                <w:lang w:eastAsia="en-US"/>
              </w:rPr>
            </w:pPr>
            <w:r w:rsidRPr="00D25EFA">
              <w:rPr>
                <w:rFonts w:ascii="Arial Narrow" w:hAnsi="Arial Narrow"/>
                <w:sz w:val="16"/>
                <w:szCs w:val="16"/>
              </w:rPr>
              <w:t>0</w:t>
            </w:r>
          </w:p>
        </w:tc>
        <w:tc>
          <w:tcPr>
            <w:tcW w:w="851" w:type="dxa"/>
            <w:vAlign w:val="center"/>
          </w:tcPr>
          <w:p w:rsidR="001B2601" w:rsidRPr="006A2BF3" w:rsidRDefault="001B2601" w:rsidP="000A02D3">
            <w:pPr>
              <w:jc w:val="center"/>
              <w:rPr>
                <w:rFonts w:ascii="Arial" w:hAnsi="Arial" w:cs="Arial"/>
                <w:sz w:val="16"/>
                <w:szCs w:val="16"/>
                <w:lang w:eastAsia="en-US"/>
              </w:rPr>
            </w:pPr>
            <w:r w:rsidRPr="00D25EFA">
              <w:rPr>
                <w:rFonts w:ascii="Arial Narrow" w:hAnsi="Arial Narrow"/>
                <w:sz w:val="16"/>
                <w:szCs w:val="16"/>
              </w:rPr>
              <w:t>49</w:t>
            </w:r>
          </w:p>
        </w:tc>
        <w:tc>
          <w:tcPr>
            <w:tcW w:w="850" w:type="dxa"/>
            <w:vAlign w:val="center"/>
          </w:tcPr>
          <w:p w:rsidR="001B2601" w:rsidRPr="006A2BF3" w:rsidRDefault="001B2601" w:rsidP="000A02D3">
            <w:pPr>
              <w:jc w:val="center"/>
              <w:rPr>
                <w:rFonts w:ascii="Arial" w:hAnsi="Arial" w:cs="Arial"/>
                <w:sz w:val="16"/>
                <w:szCs w:val="16"/>
                <w:lang w:eastAsia="en-US"/>
              </w:rPr>
            </w:pPr>
            <w:r w:rsidRPr="00D25EFA">
              <w:rPr>
                <w:rFonts w:ascii="Arial Narrow" w:hAnsi="Arial Narrow"/>
                <w:sz w:val="16"/>
                <w:szCs w:val="16"/>
              </w:rPr>
              <w:t>162</w:t>
            </w:r>
          </w:p>
        </w:tc>
        <w:tc>
          <w:tcPr>
            <w:tcW w:w="851" w:type="dxa"/>
            <w:vAlign w:val="center"/>
          </w:tcPr>
          <w:p w:rsidR="001B2601" w:rsidRPr="006A2BF3" w:rsidRDefault="001B2601" w:rsidP="000A02D3">
            <w:pPr>
              <w:jc w:val="center"/>
              <w:rPr>
                <w:rFonts w:ascii="Arial" w:hAnsi="Arial" w:cs="Arial"/>
                <w:sz w:val="16"/>
                <w:szCs w:val="16"/>
                <w:lang w:eastAsia="en-US"/>
              </w:rPr>
            </w:pPr>
            <w:r w:rsidRPr="00D25EFA">
              <w:rPr>
                <w:rFonts w:ascii="Arial Narrow" w:hAnsi="Arial Narrow"/>
                <w:sz w:val="16"/>
                <w:szCs w:val="16"/>
              </w:rPr>
              <w:t>213</w:t>
            </w:r>
          </w:p>
        </w:tc>
        <w:tc>
          <w:tcPr>
            <w:tcW w:w="850" w:type="dxa"/>
            <w:shd w:val="clear" w:color="auto" w:fill="FFFFFF"/>
            <w:vAlign w:val="center"/>
          </w:tcPr>
          <w:p w:rsidR="001B2601" w:rsidRPr="006A2BF3" w:rsidRDefault="001B2601" w:rsidP="000A02D3">
            <w:pPr>
              <w:jc w:val="center"/>
              <w:rPr>
                <w:rFonts w:ascii="Arial" w:hAnsi="Arial" w:cs="Arial"/>
                <w:b/>
                <w:sz w:val="16"/>
                <w:szCs w:val="16"/>
                <w:lang w:eastAsia="en-US"/>
              </w:rPr>
            </w:pPr>
            <w:r w:rsidRPr="00D25EFA">
              <w:rPr>
                <w:rFonts w:ascii="Arial Narrow" w:hAnsi="Arial Narrow"/>
                <w:sz w:val="16"/>
                <w:szCs w:val="16"/>
                <w:lang w:eastAsia="cs-CZ"/>
              </w:rPr>
              <w:t>37</w:t>
            </w:r>
          </w:p>
        </w:tc>
        <w:tc>
          <w:tcPr>
            <w:tcW w:w="958" w:type="dxa"/>
            <w:shd w:val="clear" w:color="auto" w:fill="FFFFFF"/>
            <w:vAlign w:val="center"/>
          </w:tcPr>
          <w:p w:rsidR="001B2601" w:rsidRPr="006A2BF3" w:rsidRDefault="001B2601" w:rsidP="000A02D3">
            <w:pPr>
              <w:jc w:val="center"/>
              <w:rPr>
                <w:rFonts w:ascii="Arial" w:hAnsi="Arial" w:cs="Arial"/>
                <w:b/>
                <w:sz w:val="16"/>
                <w:szCs w:val="16"/>
                <w:lang w:eastAsia="en-US"/>
              </w:rPr>
            </w:pPr>
            <w:r w:rsidRPr="00D25EFA">
              <w:rPr>
                <w:rFonts w:ascii="Arial Narrow" w:hAnsi="Arial Narrow"/>
                <w:sz w:val="16"/>
                <w:szCs w:val="16"/>
              </w:rPr>
              <w:t>120</w:t>
            </w:r>
          </w:p>
        </w:tc>
        <w:tc>
          <w:tcPr>
            <w:tcW w:w="1040" w:type="dxa"/>
            <w:tcBorders>
              <w:right w:val="single" w:sz="4" w:space="0" w:color="auto"/>
            </w:tcBorders>
            <w:shd w:val="clear" w:color="auto" w:fill="F2F2F2"/>
            <w:vAlign w:val="center"/>
          </w:tcPr>
          <w:p w:rsidR="001B2601" w:rsidRPr="006A2BF3" w:rsidRDefault="001B2601" w:rsidP="000A02D3">
            <w:pPr>
              <w:jc w:val="center"/>
              <w:rPr>
                <w:rFonts w:ascii="Arial" w:hAnsi="Arial" w:cs="Arial"/>
                <w:b/>
                <w:sz w:val="16"/>
                <w:szCs w:val="16"/>
                <w:lang w:eastAsia="en-US"/>
              </w:rPr>
            </w:pPr>
            <w:r w:rsidRPr="00D25EFA">
              <w:rPr>
                <w:rFonts w:ascii="Arial Narrow" w:hAnsi="Arial Narrow"/>
                <w:b/>
                <w:sz w:val="16"/>
                <w:szCs w:val="16"/>
              </w:rPr>
              <w:t>581</w:t>
            </w:r>
          </w:p>
        </w:tc>
      </w:tr>
      <w:tr w:rsidR="002416B1" w:rsidRPr="006A2BF3" w:rsidTr="0039268C">
        <w:trPr>
          <w:trHeight w:val="235"/>
          <w:jc w:val="center"/>
        </w:trPr>
        <w:tc>
          <w:tcPr>
            <w:tcW w:w="9669" w:type="dxa"/>
            <w:gridSpan w:val="9"/>
            <w:tcBorders>
              <w:left w:val="single" w:sz="4" w:space="0" w:color="auto"/>
              <w:right w:val="single" w:sz="4" w:space="0" w:color="auto"/>
            </w:tcBorders>
            <w:shd w:val="clear" w:color="auto" w:fill="EAF1DD"/>
            <w:vAlign w:val="center"/>
          </w:tcPr>
          <w:p w:rsidR="002416B1" w:rsidRPr="006A2BF3" w:rsidRDefault="002416B1" w:rsidP="000A02D3">
            <w:pPr>
              <w:jc w:val="center"/>
              <w:rPr>
                <w:rFonts w:ascii="Arial" w:hAnsi="Arial" w:cs="Arial"/>
                <w:b/>
                <w:sz w:val="16"/>
                <w:szCs w:val="16"/>
                <w:lang w:eastAsia="en-US"/>
              </w:rPr>
            </w:pPr>
            <w:r w:rsidRPr="006A2BF3">
              <w:rPr>
                <w:rFonts w:ascii="Arial" w:hAnsi="Arial" w:cs="Arial"/>
                <w:b/>
                <w:sz w:val="16"/>
                <w:szCs w:val="16"/>
                <w:lang w:eastAsia="en-US"/>
              </w:rPr>
              <w:t>Úroveň aktivít Komunikačného plánu</w:t>
            </w:r>
          </w:p>
        </w:tc>
      </w:tr>
      <w:tr w:rsidR="002416B1" w:rsidRPr="006A2BF3" w:rsidTr="0039268C">
        <w:trPr>
          <w:trHeight w:val="235"/>
          <w:jc w:val="center"/>
        </w:trPr>
        <w:tc>
          <w:tcPr>
            <w:tcW w:w="9669" w:type="dxa"/>
            <w:gridSpan w:val="9"/>
            <w:tcBorders>
              <w:left w:val="single" w:sz="4" w:space="0" w:color="auto"/>
              <w:right w:val="single" w:sz="4" w:space="0" w:color="auto"/>
            </w:tcBorders>
            <w:shd w:val="clear" w:color="969696" w:fill="auto"/>
            <w:vAlign w:val="center"/>
          </w:tcPr>
          <w:p w:rsidR="002416B1" w:rsidRPr="006A2BF3" w:rsidRDefault="002416B1" w:rsidP="000A02D3">
            <w:pPr>
              <w:rPr>
                <w:rFonts w:ascii="Arial" w:hAnsi="Arial" w:cs="Arial"/>
                <w:b/>
                <w:i/>
                <w:sz w:val="16"/>
                <w:szCs w:val="16"/>
                <w:lang w:eastAsia="en-US"/>
              </w:rPr>
            </w:pPr>
            <w:r w:rsidRPr="006A2BF3">
              <w:rPr>
                <w:rFonts w:ascii="Arial" w:hAnsi="Arial" w:cs="Arial"/>
                <w:b/>
                <w:i/>
                <w:sz w:val="16"/>
                <w:szCs w:val="16"/>
                <w:lang w:eastAsia="en-US"/>
              </w:rPr>
              <w:t>Indikátory výsledku</w:t>
            </w:r>
          </w:p>
        </w:tc>
      </w:tr>
      <w:tr w:rsidR="001B2601" w:rsidRPr="006A2BF3" w:rsidTr="0039268C">
        <w:trPr>
          <w:trHeight w:val="220"/>
          <w:jc w:val="center"/>
        </w:trPr>
        <w:tc>
          <w:tcPr>
            <w:tcW w:w="2393" w:type="dxa"/>
            <w:tcBorders>
              <w:left w:val="single" w:sz="4" w:space="0" w:color="auto"/>
            </w:tcBorders>
            <w:vAlign w:val="center"/>
          </w:tcPr>
          <w:p w:rsidR="001B2601" w:rsidRPr="00C266A4" w:rsidRDefault="001B2601" w:rsidP="000A02D3">
            <w:pPr>
              <w:rPr>
                <w:rFonts w:ascii="Arial" w:hAnsi="Arial" w:cs="Arial"/>
                <w:sz w:val="16"/>
                <w:szCs w:val="16"/>
                <w:lang w:eastAsia="en-US"/>
              </w:rPr>
            </w:pPr>
            <w:r w:rsidRPr="00C266A4">
              <w:rPr>
                <w:rFonts w:ascii="Arial" w:hAnsi="Arial" w:cs="Arial"/>
                <w:sz w:val="16"/>
                <w:szCs w:val="16"/>
                <w:lang w:eastAsia="en-US"/>
              </w:rPr>
              <w:t>počet účastníkov/návštevníkov seminárov, konferencií</w:t>
            </w:r>
          </w:p>
        </w:tc>
        <w:tc>
          <w:tcPr>
            <w:tcW w:w="1039" w:type="dxa"/>
            <w:vAlign w:val="center"/>
          </w:tcPr>
          <w:p w:rsidR="001B2601" w:rsidRPr="006A2BF3" w:rsidRDefault="001B2601" w:rsidP="000A02D3">
            <w:pPr>
              <w:jc w:val="center"/>
              <w:rPr>
                <w:rFonts w:ascii="Arial" w:hAnsi="Arial" w:cs="Arial"/>
                <w:sz w:val="16"/>
                <w:szCs w:val="16"/>
                <w:lang w:eastAsia="en-US"/>
              </w:rPr>
            </w:pPr>
            <w:r w:rsidRPr="006A2BF3">
              <w:rPr>
                <w:rFonts w:ascii="Arial" w:hAnsi="Arial" w:cs="Arial"/>
                <w:sz w:val="16"/>
                <w:szCs w:val="16"/>
                <w:lang w:eastAsia="en-US"/>
              </w:rPr>
              <w:t>fyzický počet</w:t>
            </w:r>
          </w:p>
        </w:tc>
        <w:tc>
          <w:tcPr>
            <w:tcW w:w="837" w:type="dxa"/>
            <w:vAlign w:val="center"/>
          </w:tcPr>
          <w:p w:rsidR="001B2601" w:rsidRPr="006A2BF3" w:rsidRDefault="001B2601" w:rsidP="000A02D3">
            <w:pPr>
              <w:jc w:val="center"/>
              <w:rPr>
                <w:rFonts w:ascii="Arial" w:hAnsi="Arial" w:cs="Arial"/>
                <w:sz w:val="16"/>
                <w:szCs w:val="16"/>
                <w:lang w:eastAsia="en-US"/>
              </w:rPr>
            </w:pPr>
            <w:r w:rsidRPr="00D25EFA">
              <w:rPr>
                <w:rFonts w:ascii="Arial Narrow" w:hAnsi="Arial Narrow"/>
                <w:sz w:val="16"/>
                <w:szCs w:val="16"/>
              </w:rPr>
              <w:t>2 570</w:t>
            </w:r>
          </w:p>
        </w:tc>
        <w:tc>
          <w:tcPr>
            <w:tcW w:w="851" w:type="dxa"/>
            <w:vAlign w:val="center"/>
          </w:tcPr>
          <w:p w:rsidR="001B2601" w:rsidRPr="006A2BF3" w:rsidRDefault="001B2601" w:rsidP="000A02D3">
            <w:pPr>
              <w:jc w:val="center"/>
              <w:rPr>
                <w:rFonts w:ascii="Arial" w:hAnsi="Arial" w:cs="Arial"/>
                <w:sz w:val="16"/>
                <w:szCs w:val="16"/>
                <w:lang w:eastAsia="en-US"/>
              </w:rPr>
            </w:pPr>
            <w:r w:rsidRPr="00D25EFA">
              <w:rPr>
                <w:rFonts w:ascii="Arial Narrow" w:hAnsi="Arial Narrow"/>
                <w:sz w:val="16"/>
                <w:szCs w:val="16"/>
              </w:rPr>
              <w:t>455</w:t>
            </w:r>
          </w:p>
        </w:tc>
        <w:tc>
          <w:tcPr>
            <w:tcW w:w="850" w:type="dxa"/>
            <w:vAlign w:val="center"/>
          </w:tcPr>
          <w:p w:rsidR="001B2601" w:rsidRPr="006A2BF3" w:rsidRDefault="001B2601" w:rsidP="000A02D3">
            <w:pPr>
              <w:jc w:val="center"/>
              <w:rPr>
                <w:rFonts w:ascii="Arial" w:hAnsi="Arial" w:cs="Arial"/>
                <w:sz w:val="16"/>
                <w:szCs w:val="16"/>
                <w:lang w:eastAsia="en-US"/>
              </w:rPr>
            </w:pPr>
            <w:r w:rsidRPr="00D25EFA">
              <w:rPr>
                <w:rFonts w:ascii="Arial Narrow" w:hAnsi="Arial Narrow"/>
                <w:sz w:val="16"/>
                <w:szCs w:val="16"/>
              </w:rPr>
              <w:t>540</w:t>
            </w:r>
          </w:p>
        </w:tc>
        <w:tc>
          <w:tcPr>
            <w:tcW w:w="851" w:type="dxa"/>
            <w:vAlign w:val="center"/>
          </w:tcPr>
          <w:p w:rsidR="001B2601" w:rsidRPr="006A2BF3" w:rsidRDefault="001B2601" w:rsidP="000A02D3">
            <w:pPr>
              <w:jc w:val="center"/>
              <w:rPr>
                <w:rFonts w:ascii="Arial" w:hAnsi="Arial" w:cs="Arial"/>
                <w:sz w:val="16"/>
                <w:szCs w:val="16"/>
                <w:lang w:eastAsia="en-US"/>
              </w:rPr>
            </w:pPr>
            <w:r w:rsidRPr="00D25EFA">
              <w:rPr>
                <w:rFonts w:ascii="Arial Narrow" w:hAnsi="Arial Narrow"/>
                <w:sz w:val="16"/>
                <w:szCs w:val="16"/>
              </w:rPr>
              <w:t>6 344</w:t>
            </w:r>
          </w:p>
        </w:tc>
        <w:tc>
          <w:tcPr>
            <w:tcW w:w="850" w:type="dxa"/>
            <w:shd w:val="clear" w:color="auto" w:fill="FFFFFF"/>
            <w:vAlign w:val="center"/>
          </w:tcPr>
          <w:p w:rsidR="001B2601" w:rsidRPr="006A2BF3" w:rsidRDefault="001B2601" w:rsidP="000A02D3">
            <w:pPr>
              <w:jc w:val="center"/>
              <w:rPr>
                <w:rFonts w:ascii="Arial" w:hAnsi="Arial" w:cs="Arial"/>
                <w:sz w:val="16"/>
                <w:szCs w:val="16"/>
                <w:lang w:eastAsia="en-US"/>
              </w:rPr>
            </w:pPr>
            <w:r w:rsidRPr="00D25EFA">
              <w:rPr>
                <w:rFonts w:ascii="Arial Narrow" w:hAnsi="Arial Narrow"/>
                <w:sz w:val="16"/>
                <w:szCs w:val="16"/>
              </w:rPr>
              <w:t>5 885</w:t>
            </w:r>
          </w:p>
        </w:tc>
        <w:tc>
          <w:tcPr>
            <w:tcW w:w="958" w:type="dxa"/>
            <w:shd w:val="clear" w:color="auto" w:fill="FFFFFF"/>
            <w:vAlign w:val="center"/>
          </w:tcPr>
          <w:p w:rsidR="001B2601" w:rsidRPr="006A2BF3" w:rsidRDefault="001B2601" w:rsidP="000A02D3">
            <w:pPr>
              <w:jc w:val="center"/>
              <w:rPr>
                <w:rFonts w:ascii="Arial" w:hAnsi="Arial" w:cs="Arial"/>
                <w:sz w:val="16"/>
                <w:szCs w:val="16"/>
                <w:lang w:eastAsia="en-US"/>
              </w:rPr>
            </w:pPr>
            <w:r w:rsidRPr="00D25EFA">
              <w:rPr>
                <w:rFonts w:ascii="Arial Narrow" w:hAnsi="Arial Narrow"/>
                <w:sz w:val="16"/>
                <w:szCs w:val="16"/>
              </w:rPr>
              <w:t>2908</w:t>
            </w:r>
          </w:p>
        </w:tc>
        <w:tc>
          <w:tcPr>
            <w:tcW w:w="1040" w:type="dxa"/>
            <w:tcBorders>
              <w:right w:val="single" w:sz="4" w:space="0" w:color="auto"/>
            </w:tcBorders>
            <w:shd w:val="clear" w:color="auto" w:fill="F2F2F2"/>
            <w:vAlign w:val="center"/>
          </w:tcPr>
          <w:p w:rsidR="001B2601" w:rsidRPr="006A2BF3" w:rsidRDefault="001B2601" w:rsidP="000A02D3">
            <w:pPr>
              <w:jc w:val="center"/>
              <w:rPr>
                <w:rFonts w:ascii="Arial" w:hAnsi="Arial" w:cs="Arial"/>
                <w:b/>
                <w:sz w:val="16"/>
                <w:szCs w:val="16"/>
                <w:lang w:eastAsia="en-US"/>
              </w:rPr>
            </w:pPr>
            <w:r w:rsidRPr="00D25EFA">
              <w:rPr>
                <w:rFonts w:ascii="Arial Narrow" w:hAnsi="Arial Narrow"/>
                <w:b/>
                <w:sz w:val="16"/>
                <w:szCs w:val="16"/>
              </w:rPr>
              <w:t>15 794</w:t>
            </w:r>
          </w:p>
        </w:tc>
      </w:tr>
      <w:tr w:rsidR="001B2601" w:rsidRPr="006A2BF3" w:rsidTr="0039268C">
        <w:trPr>
          <w:trHeight w:val="223"/>
          <w:jc w:val="center"/>
        </w:trPr>
        <w:tc>
          <w:tcPr>
            <w:tcW w:w="2393" w:type="dxa"/>
            <w:tcBorders>
              <w:left w:val="single" w:sz="4" w:space="0" w:color="auto"/>
            </w:tcBorders>
            <w:vAlign w:val="center"/>
          </w:tcPr>
          <w:p w:rsidR="001B2601" w:rsidRPr="00C266A4" w:rsidRDefault="001B2601" w:rsidP="000A02D3">
            <w:pPr>
              <w:rPr>
                <w:rFonts w:ascii="Arial" w:hAnsi="Arial" w:cs="Arial"/>
                <w:sz w:val="16"/>
                <w:szCs w:val="16"/>
                <w:lang w:eastAsia="en-US"/>
              </w:rPr>
            </w:pPr>
            <w:r w:rsidRPr="00C266A4">
              <w:rPr>
                <w:rFonts w:ascii="Arial" w:hAnsi="Arial" w:cs="Arial"/>
                <w:sz w:val="16"/>
                <w:szCs w:val="16"/>
                <w:lang w:eastAsia="en-US"/>
              </w:rPr>
              <w:t>počet distribuovaných publikácií</w:t>
            </w:r>
          </w:p>
        </w:tc>
        <w:tc>
          <w:tcPr>
            <w:tcW w:w="1039" w:type="dxa"/>
            <w:vAlign w:val="center"/>
          </w:tcPr>
          <w:p w:rsidR="001B2601" w:rsidRPr="006A2BF3" w:rsidRDefault="001B2601" w:rsidP="000A02D3">
            <w:pPr>
              <w:jc w:val="center"/>
              <w:rPr>
                <w:rFonts w:ascii="Arial" w:hAnsi="Arial" w:cs="Arial"/>
                <w:sz w:val="16"/>
                <w:szCs w:val="16"/>
                <w:lang w:eastAsia="en-US"/>
              </w:rPr>
            </w:pPr>
            <w:r w:rsidRPr="006A2BF3">
              <w:rPr>
                <w:rFonts w:ascii="Arial" w:hAnsi="Arial" w:cs="Arial"/>
                <w:sz w:val="16"/>
                <w:szCs w:val="16"/>
                <w:lang w:eastAsia="en-US"/>
              </w:rPr>
              <w:t>fyzický počet</w:t>
            </w:r>
          </w:p>
        </w:tc>
        <w:tc>
          <w:tcPr>
            <w:tcW w:w="837" w:type="dxa"/>
            <w:vAlign w:val="center"/>
          </w:tcPr>
          <w:p w:rsidR="001B2601" w:rsidRPr="006A2BF3" w:rsidRDefault="001B2601" w:rsidP="000A02D3">
            <w:pPr>
              <w:jc w:val="center"/>
              <w:rPr>
                <w:rFonts w:ascii="Arial" w:hAnsi="Arial" w:cs="Arial"/>
                <w:sz w:val="16"/>
                <w:szCs w:val="16"/>
                <w:lang w:eastAsia="en-US"/>
              </w:rPr>
            </w:pPr>
            <w:r w:rsidRPr="00D25EFA">
              <w:rPr>
                <w:rFonts w:ascii="Arial Narrow" w:hAnsi="Arial Narrow"/>
                <w:sz w:val="16"/>
                <w:szCs w:val="16"/>
              </w:rPr>
              <w:t>0</w:t>
            </w:r>
          </w:p>
        </w:tc>
        <w:tc>
          <w:tcPr>
            <w:tcW w:w="851" w:type="dxa"/>
            <w:vAlign w:val="center"/>
          </w:tcPr>
          <w:p w:rsidR="001B2601" w:rsidRPr="006A2BF3" w:rsidRDefault="001B2601" w:rsidP="000A02D3">
            <w:pPr>
              <w:jc w:val="center"/>
              <w:rPr>
                <w:rFonts w:ascii="Arial" w:hAnsi="Arial" w:cs="Arial"/>
                <w:sz w:val="16"/>
                <w:szCs w:val="16"/>
                <w:lang w:eastAsia="en-US"/>
              </w:rPr>
            </w:pPr>
            <w:r w:rsidRPr="00D25EFA">
              <w:rPr>
                <w:rFonts w:ascii="Arial Narrow" w:hAnsi="Arial Narrow"/>
                <w:sz w:val="16"/>
                <w:szCs w:val="16"/>
              </w:rPr>
              <w:t>9 608</w:t>
            </w:r>
          </w:p>
        </w:tc>
        <w:tc>
          <w:tcPr>
            <w:tcW w:w="850" w:type="dxa"/>
            <w:vAlign w:val="center"/>
          </w:tcPr>
          <w:p w:rsidR="001B2601" w:rsidRPr="006A2BF3" w:rsidRDefault="001B2601" w:rsidP="000A02D3">
            <w:pPr>
              <w:jc w:val="center"/>
              <w:rPr>
                <w:rFonts w:ascii="Arial" w:hAnsi="Arial" w:cs="Arial"/>
                <w:sz w:val="16"/>
                <w:szCs w:val="16"/>
                <w:lang w:eastAsia="en-US"/>
              </w:rPr>
            </w:pPr>
            <w:r w:rsidRPr="00D25EFA">
              <w:rPr>
                <w:rFonts w:ascii="Arial Narrow" w:hAnsi="Arial Narrow"/>
                <w:sz w:val="16"/>
                <w:szCs w:val="16"/>
              </w:rPr>
              <w:t>44 000</w:t>
            </w:r>
          </w:p>
        </w:tc>
        <w:tc>
          <w:tcPr>
            <w:tcW w:w="851" w:type="dxa"/>
            <w:vAlign w:val="center"/>
          </w:tcPr>
          <w:p w:rsidR="001B2601" w:rsidRPr="006A2BF3" w:rsidRDefault="001B2601" w:rsidP="000A02D3">
            <w:pPr>
              <w:jc w:val="center"/>
              <w:rPr>
                <w:rFonts w:ascii="Arial" w:hAnsi="Arial" w:cs="Arial"/>
                <w:sz w:val="16"/>
                <w:szCs w:val="16"/>
                <w:lang w:eastAsia="en-US"/>
              </w:rPr>
            </w:pPr>
            <w:r w:rsidRPr="00D25EFA">
              <w:rPr>
                <w:rFonts w:ascii="Arial Narrow" w:hAnsi="Arial Narrow"/>
                <w:sz w:val="16"/>
                <w:szCs w:val="16"/>
              </w:rPr>
              <w:t>18 000</w:t>
            </w:r>
          </w:p>
        </w:tc>
        <w:tc>
          <w:tcPr>
            <w:tcW w:w="850" w:type="dxa"/>
            <w:vAlign w:val="center"/>
          </w:tcPr>
          <w:p w:rsidR="001B2601" w:rsidRPr="006A2BF3" w:rsidRDefault="001B2601" w:rsidP="000A02D3">
            <w:pPr>
              <w:jc w:val="center"/>
              <w:rPr>
                <w:rFonts w:ascii="Arial" w:hAnsi="Arial" w:cs="Arial"/>
                <w:sz w:val="16"/>
                <w:szCs w:val="16"/>
                <w:lang w:eastAsia="en-US"/>
              </w:rPr>
            </w:pPr>
            <w:r w:rsidRPr="00D25EFA">
              <w:rPr>
                <w:rFonts w:ascii="Arial Narrow" w:hAnsi="Arial Narrow"/>
                <w:sz w:val="16"/>
                <w:szCs w:val="16"/>
              </w:rPr>
              <w:t>25 210</w:t>
            </w:r>
          </w:p>
        </w:tc>
        <w:tc>
          <w:tcPr>
            <w:tcW w:w="958" w:type="dxa"/>
            <w:vAlign w:val="center"/>
          </w:tcPr>
          <w:p w:rsidR="001B2601" w:rsidRPr="006A2BF3" w:rsidRDefault="001B2601" w:rsidP="000A02D3">
            <w:pPr>
              <w:jc w:val="center"/>
              <w:rPr>
                <w:rFonts w:ascii="Arial" w:hAnsi="Arial" w:cs="Arial"/>
                <w:sz w:val="16"/>
                <w:szCs w:val="16"/>
                <w:lang w:eastAsia="en-US"/>
              </w:rPr>
            </w:pPr>
            <w:r w:rsidRPr="00D25EFA">
              <w:rPr>
                <w:rFonts w:ascii="Arial Narrow" w:hAnsi="Arial Narrow"/>
                <w:sz w:val="16"/>
                <w:szCs w:val="16"/>
              </w:rPr>
              <w:t>324</w:t>
            </w:r>
          </w:p>
        </w:tc>
        <w:tc>
          <w:tcPr>
            <w:tcW w:w="1040" w:type="dxa"/>
            <w:tcBorders>
              <w:right w:val="single" w:sz="4" w:space="0" w:color="auto"/>
            </w:tcBorders>
            <w:vAlign w:val="center"/>
          </w:tcPr>
          <w:p w:rsidR="001B2601" w:rsidRPr="006A2BF3" w:rsidRDefault="001B2601" w:rsidP="000A02D3">
            <w:pPr>
              <w:jc w:val="center"/>
              <w:rPr>
                <w:rFonts w:ascii="Arial" w:hAnsi="Arial" w:cs="Arial"/>
                <w:b/>
                <w:sz w:val="16"/>
                <w:szCs w:val="16"/>
                <w:lang w:eastAsia="en-US"/>
              </w:rPr>
            </w:pPr>
            <w:r w:rsidRPr="00D25EFA">
              <w:rPr>
                <w:rFonts w:ascii="Arial Narrow" w:hAnsi="Arial Narrow"/>
                <w:b/>
                <w:sz w:val="16"/>
                <w:szCs w:val="16"/>
              </w:rPr>
              <w:t>96 818</w:t>
            </w:r>
          </w:p>
        </w:tc>
      </w:tr>
      <w:tr w:rsidR="001B2601" w:rsidRPr="006A2BF3" w:rsidTr="0039268C">
        <w:trPr>
          <w:trHeight w:val="328"/>
          <w:jc w:val="center"/>
        </w:trPr>
        <w:tc>
          <w:tcPr>
            <w:tcW w:w="2393" w:type="dxa"/>
            <w:tcBorders>
              <w:left w:val="single" w:sz="4" w:space="0" w:color="auto"/>
            </w:tcBorders>
            <w:vAlign w:val="center"/>
          </w:tcPr>
          <w:p w:rsidR="001B2601" w:rsidRPr="00C266A4" w:rsidRDefault="001B2601" w:rsidP="000A02D3">
            <w:pPr>
              <w:rPr>
                <w:rFonts w:ascii="Arial" w:hAnsi="Arial" w:cs="Arial"/>
                <w:sz w:val="16"/>
                <w:szCs w:val="16"/>
                <w:lang w:eastAsia="en-US"/>
              </w:rPr>
            </w:pPr>
            <w:r w:rsidRPr="00C266A4">
              <w:rPr>
                <w:rFonts w:ascii="Arial" w:hAnsi="Arial" w:cs="Arial"/>
                <w:sz w:val="16"/>
                <w:szCs w:val="16"/>
                <w:lang w:eastAsia="en-US"/>
              </w:rPr>
              <w:t>návštevnosť internetovej stránky</w:t>
            </w:r>
          </w:p>
        </w:tc>
        <w:tc>
          <w:tcPr>
            <w:tcW w:w="1039" w:type="dxa"/>
            <w:vAlign w:val="center"/>
          </w:tcPr>
          <w:p w:rsidR="001B2601" w:rsidRPr="006A2BF3" w:rsidRDefault="001B2601" w:rsidP="000A02D3">
            <w:pPr>
              <w:jc w:val="center"/>
              <w:rPr>
                <w:rFonts w:ascii="Arial" w:hAnsi="Arial" w:cs="Arial"/>
                <w:sz w:val="16"/>
                <w:szCs w:val="16"/>
                <w:lang w:eastAsia="en-US"/>
              </w:rPr>
            </w:pPr>
            <w:r w:rsidRPr="006A2BF3">
              <w:rPr>
                <w:rFonts w:ascii="Arial" w:hAnsi="Arial" w:cs="Arial"/>
                <w:sz w:val="16"/>
                <w:szCs w:val="16"/>
                <w:lang w:eastAsia="en-US"/>
              </w:rPr>
              <w:t>počet prístupov na stránku za rok</w:t>
            </w:r>
          </w:p>
        </w:tc>
        <w:tc>
          <w:tcPr>
            <w:tcW w:w="837" w:type="dxa"/>
            <w:vAlign w:val="center"/>
          </w:tcPr>
          <w:p w:rsidR="001B2601" w:rsidRPr="006A2BF3" w:rsidRDefault="001B2601" w:rsidP="000A02D3">
            <w:pPr>
              <w:jc w:val="center"/>
              <w:rPr>
                <w:rFonts w:ascii="Arial" w:hAnsi="Arial" w:cs="Arial"/>
                <w:sz w:val="16"/>
                <w:szCs w:val="16"/>
                <w:lang w:eastAsia="en-US"/>
              </w:rPr>
            </w:pPr>
            <w:r w:rsidRPr="00D25EFA">
              <w:rPr>
                <w:rFonts w:ascii="Arial Narrow" w:hAnsi="Arial Narrow"/>
                <w:sz w:val="16"/>
                <w:szCs w:val="16"/>
              </w:rPr>
              <w:t>1 606</w:t>
            </w:r>
          </w:p>
        </w:tc>
        <w:tc>
          <w:tcPr>
            <w:tcW w:w="851" w:type="dxa"/>
            <w:vAlign w:val="center"/>
          </w:tcPr>
          <w:p w:rsidR="001B2601" w:rsidRPr="006A2BF3" w:rsidRDefault="001B2601" w:rsidP="000A02D3">
            <w:pPr>
              <w:jc w:val="center"/>
              <w:rPr>
                <w:rFonts w:ascii="Arial" w:hAnsi="Arial" w:cs="Arial"/>
                <w:sz w:val="16"/>
                <w:szCs w:val="16"/>
                <w:lang w:eastAsia="en-US"/>
              </w:rPr>
            </w:pPr>
            <w:r w:rsidRPr="00D25EFA">
              <w:rPr>
                <w:rFonts w:ascii="Arial Narrow" w:hAnsi="Arial Narrow"/>
                <w:sz w:val="16"/>
                <w:szCs w:val="16"/>
              </w:rPr>
              <w:t>89 101</w:t>
            </w:r>
          </w:p>
        </w:tc>
        <w:tc>
          <w:tcPr>
            <w:tcW w:w="850" w:type="dxa"/>
            <w:vAlign w:val="center"/>
          </w:tcPr>
          <w:p w:rsidR="001B2601" w:rsidRPr="006A2BF3" w:rsidRDefault="001B2601" w:rsidP="000A02D3">
            <w:pPr>
              <w:jc w:val="center"/>
              <w:rPr>
                <w:rFonts w:ascii="Arial" w:hAnsi="Arial" w:cs="Arial"/>
                <w:sz w:val="16"/>
                <w:szCs w:val="16"/>
                <w:lang w:eastAsia="en-US"/>
              </w:rPr>
            </w:pPr>
            <w:r w:rsidRPr="00D25EFA">
              <w:rPr>
                <w:rFonts w:ascii="Arial Narrow" w:hAnsi="Arial Narrow"/>
                <w:sz w:val="16"/>
                <w:szCs w:val="16"/>
              </w:rPr>
              <w:t>103 476</w:t>
            </w:r>
          </w:p>
        </w:tc>
        <w:tc>
          <w:tcPr>
            <w:tcW w:w="851" w:type="dxa"/>
            <w:vAlign w:val="center"/>
          </w:tcPr>
          <w:p w:rsidR="001B2601" w:rsidRPr="006A2BF3" w:rsidRDefault="001B2601" w:rsidP="000A02D3">
            <w:pPr>
              <w:jc w:val="center"/>
              <w:rPr>
                <w:rFonts w:ascii="Arial" w:hAnsi="Arial" w:cs="Arial"/>
                <w:sz w:val="16"/>
                <w:szCs w:val="16"/>
                <w:lang w:eastAsia="en-US"/>
              </w:rPr>
            </w:pPr>
            <w:r w:rsidRPr="00D25EFA">
              <w:rPr>
                <w:rFonts w:ascii="Arial Narrow" w:hAnsi="Arial Narrow"/>
                <w:sz w:val="16"/>
                <w:szCs w:val="16"/>
              </w:rPr>
              <w:t>167 735</w:t>
            </w:r>
          </w:p>
        </w:tc>
        <w:tc>
          <w:tcPr>
            <w:tcW w:w="850" w:type="dxa"/>
            <w:shd w:val="clear" w:color="auto" w:fill="FFFFFF"/>
            <w:vAlign w:val="center"/>
          </w:tcPr>
          <w:p w:rsidR="001B2601" w:rsidRPr="006A2BF3" w:rsidRDefault="001B2601" w:rsidP="000A02D3">
            <w:pPr>
              <w:jc w:val="center"/>
              <w:rPr>
                <w:rFonts w:ascii="Arial" w:hAnsi="Arial" w:cs="Arial"/>
                <w:sz w:val="16"/>
                <w:szCs w:val="16"/>
                <w:highlight w:val="yellow"/>
                <w:lang w:eastAsia="en-US"/>
              </w:rPr>
            </w:pPr>
            <w:r w:rsidRPr="00D25EFA">
              <w:rPr>
                <w:rFonts w:ascii="Arial Narrow" w:hAnsi="Arial Narrow"/>
                <w:sz w:val="16"/>
                <w:szCs w:val="16"/>
              </w:rPr>
              <w:t>117 648</w:t>
            </w:r>
          </w:p>
        </w:tc>
        <w:tc>
          <w:tcPr>
            <w:tcW w:w="958" w:type="dxa"/>
            <w:shd w:val="clear" w:color="auto" w:fill="FFFFFF"/>
            <w:vAlign w:val="center"/>
          </w:tcPr>
          <w:p w:rsidR="001B2601" w:rsidRPr="006A2BF3" w:rsidRDefault="001B2601" w:rsidP="000A02D3">
            <w:pPr>
              <w:jc w:val="center"/>
              <w:rPr>
                <w:rFonts w:ascii="Arial" w:hAnsi="Arial" w:cs="Arial"/>
                <w:sz w:val="16"/>
                <w:szCs w:val="16"/>
                <w:highlight w:val="yellow"/>
                <w:lang w:eastAsia="en-US"/>
              </w:rPr>
            </w:pPr>
            <w:r w:rsidRPr="00D25EFA">
              <w:rPr>
                <w:rFonts w:ascii="Arial Narrow" w:hAnsi="Arial Narrow"/>
                <w:sz w:val="16"/>
                <w:szCs w:val="16"/>
                <w:lang w:eastAsia="cs-CZ"/>
              </w:rPr>
              <w:t>66 381</w:t>
            </w:r>
          </w:p>
        </w:tc>
        <w:tc>
          <w:tcPr>
            <w:tcW w:w="1040" w:type="dxa"/>
            <w:tcBorders>
              <w:right w:val="single" w:sz="4" w:space="0" w:color="auto"/>
            </w:tcBorders>
            <w:shd w:val="clear" w:color="auto" w:fill="F2F2F2"/>
            <w:vAlign w:val="center"/>
          </w:tcPr>
          <w:p w:rsidR="001B2601" w:rsidRPr="006A2BF3" w:rsidRDefault="001B2601" w:rsidP="000A02D3">
            <w:pPr>
              <w:jc w:val="center"/>
              <w:rPr>
                <w:rFonts w:ascii="Arial" w:hAnsi="Arial" w:cs="Arial"/>
                <w:b/>
                <w:sz w:val="16"/>
                <w:szCs w:val="16"/>
                <w:lang w:eastAsia="en-US"/>
              </w:rPr>
            </w:pPr>
            <w:r w:rsidRPr="00D25EFA">
              <w:rPr>
                <w:rFonts w:ascii="Arial Narrow" w:hAnsi="Arial Narrow"/>
                <w:b/>
                <w:sz w:val="16"/>
                <w:szCs w:val="16"/>
                <w:lang w:eastAsia="cs-CZ"/>
              </w:rPr>
              <w:t>545 947</w:t>
            </w:r>
          </w:p>
        </w:tc>
      </w:tr>
      <w:tr w:rsidR="002416B1" w:rsidRPr="006A2BF3" w:rsidTr="0039268C">
        <w:trPr>
          <w:trHeight w:val="223"/>
          <w:jc w:val="center"/>
        </w:trPr>
        <w:tc>
          <w:tcPr>
            <w:tcW w:w="9669" w:type="dxa"/>
            <w:gridSpan w:val="9"/>
            <w:tcBorders>
              <w:left w:val="single" w:sz="4" w:space="0" w:color="auto"/>
              <w:right w:val="single" w:sz="4" w:space="0" w:color="auto"/>
            </w:tcBorders>
            <w:shd w:val="clear" w:color="auto" w:fill="EAF1DD"/>
            <w:vAlign w:val="center"/>
          </w:tcPr>
          <w:p w:rsidR="002416B1" w:rsidRPr="006A2BF3" w:rsidRDefault="002416B1" w:rsidP="000A02D3">
            <w:pPr>
              <w:rPr>
                <w:rFonts w:ascii="Arial" w:hAnsi="Arial" w:cs="Arial"/>
                <w:b/>
                <w:i/>
                <w:sz w:val="16"/>
                <w:szCs w:val="16"/>
                <w:lang w:eastAsia="en-US"/>
              </w:rPr>
            </w:pPr>
            <w:r w:rsidRPr="006A2BF3">
              <w:rPr>
                <w:rFonts w:ascii="Arial" w:hAnsi="Arial" w:cs="Arial"/>
                <w:b/>
                <w:i/>
                <w:sz w:val="16"/>
                <w:szCs w:val="16"/>
                <w:lang w:eastAsia="en-US"/>
              </w:rPr>
              <w:t>Indikátory výstupu</w:t>
            </w:r>
          </w:p>
        </w:tc>
      </w:tr>
      <w:tr w:rsidR="001B2601" w:rsidRPr="006A2BF3" w:rsidTr="0039268C">
        <w:trPr>
          <w:trHeight w:val="239"/>
          <w:jc w:val="center"/>
        </w:trPr>
        <w:tc>
          <w:tcPr>
            <w:tcW w:w="2393" w:type="dxa"/>
            <w:tcBorders>
              <w:left w:val="single" w:sz="4" w:space="0" w:color="auto"/>
            </w:tcBorders>
            <w:vAlign w:val="center"/>
          </w:tcPr>
          <w:p w:rsidR="001B2601" w:rsidRPr="00C266A4" w:rsidRDefault="001B2601" w:rsidP="000A02D3">
            <w:pPr>
              <w:rPr>
                <w:rFonts w:ascii="Arial" w:hAnsi="Arial" w:cs="Arial"/>
                <w:sz w:val="16"/>
                <w:szCs w:val="16"/>
                <w:lang w:eastAsia="en-US"/>
              </w:rPr>
            </w:pPr>
            <w:r w:rsidRPr="00C266A4">
              <w:rPr>
                <w:rFonts w:ascii="Arial" w:hAnsi="Arial" w:cs="Arial"/>
                <w:sz w:val="16"/>
                <w:szCs w:val="16"/>
                <w:lang w:eastAsia="en-US"/>
              </w:rPr>
              <w:t>počet uskutočnených seminárov, konferencií a iných podujatí</w:t>
            </w:r>
          </w:p>
        </w:tc>
        <w:tc>
          <w:tcPr>
            <w:tcW w:w="1039" w:type="dxa"/>
            <w:vAlign w:val="center"/>
          </w:tcPr>
          <w:p w:rsidR="001B2601" w:rsidRPr="006A2BF3" w:rsidRDefault="001B2601" w:rsidP="000A02D3">
            <w:pPr>
              <w:jc w:val="center"/>
              <w:rPr>
                <w:rFonts w:ascii="Arial" w:hAnsi="Arial" w:cs="Arial"/>
                <w:sz w:val="16"/>
                <w:szCs w:val="16"/>
                <w:lang w:eastAsia="en-US"/>
              </w:rPr>
            </w:pPr>
            <w:r w:rsidRPr="006A2BF3">
              <w:rPr>
                <w:rFonts w:ascii="Arial" w:hAnsi="Arial" w:cs="Arial"/>
                <w:sz w:val="16"/>
                <w:szCs w:val="16"/>
                <w:lang w:eastAsia="en-US"/>
              </w:rPr>
              <w:t>fyzický počet</w:t>
            </w:r>
          </w:p>
        </w:tc>
        <w:tc>
          <w:tcPr>
            <w:tcW w:w="837" w:type="dxa"/>
            <w:vAlign w:val="center"/>
          </w:tcPr>
          <w:p w:rsidR="001B2601" w:rsidRPr="006A2BF3" w:rsidRDefault="001B2601" w:rsidP="000A02D3">
            <w:pPr>
              <w:jc w:val="center"/>
              <w:rPr>
                <w:rFonts w:ascii="Arial" w:hAnsi="Arial" w:cs="Arial"/>
                <w:sz w:val="16"/>
                <w:szCs w:val="16"/>
                <w:lang w:eastAsia="en-US"/>
              </w:rPr>
            </w:pPr>
            <w:r w:rsidRPr="00D25EFA">
              <w:rPr>
                <w:rFonts w:ascii="Arial Narrow" w:hAnsi="Arial Narrow"/>
                <w:sz w:val="16"/>
                <w:szCs w:val="16"/>
              </w:rPr>
              <w:t>10</w:t>
            </w:r>
          </w:p>
        </w:tc>
        <w:tc>
          <w:tcPr>
            <w:tcW w:w="851" w:type="dxa"/>
            <w:vAlign w:val="center"/>
          </w:tcPr>
          <w:p w:rsidR="001B2601" w:rsidRPr="006A2BF3" w:rsidRDefault="001B2601" w:rsidP="000A02D3">
            <w:pPr>
              <w:jc w:val="center"/>
              <w:rPr>
                <w:rFonts w:ascii="Arial" w:hAnsi="Arial" w:cs="Arial"/>
                <w:sz w:val="16"/>
                <w:szCs w:val="16"/>
                <w:lang w:eastAsia="en-US"/>
              </w:rPr>
            </w:pPr>
            <w:r w:rsidRPr="00D25EFA">
              <w:rPr>
                <w:rFonts w:ascii="Arial Narrow" w:hAnsi="Arial Narrow"/>
                <w:sz w:val="16"/>
                <w:szCs w:val="16"/>
              </w:rPr>
              <w:t>7</w:t>
            </w:r>
          </w:p>
        </w:tc>
        <w:tc>
          <w:tcPr>
            <w:tcW w:w="850" w:type="dxa"/>
            <w:vAlign w:val="center"/>
          </w:tcPr>
          <w:p w:rsidR="001B2601" w:rsidRPr="006A2BF3" w:rsidRDefault="001B2601" w:rsidP="000A02D3">
            <w:pPr>
              <w:jc w:val="center"/>
              <w:rPr>
                <w:rFonts w:ascii="Arial" w:hAnsi="Arial" w:cs="Arial"/>
                <w:sz w:val="16"/>
                <w:szCs w:val="16"/>
                <w:lang w:eastAsia="en-US"/>
              </w:rPr>
            </w:pPr>
            <w:r w:rsidRPr="00D25EFA">
              <w:rPr>
                <w:rFonts w:ascii="Arial Narrow" w:hAnsi="Arial Narrow"/>
                <w:sz w:val="16"/>
                <w:szCs w:val="16"/>
              </w:rPr>
              <w:t>32</w:t>
            </w:r>
          </w:p>
        </w:tc>
        <w:tc>
          <w:tcPr>
            <w:tcW w:w="851" w:type="dxa"/>
            <w:vAlign w:val="center"/>
          </w:tcPr>
          <w:p w:rsidR="001B2601" w:rsidRPr="006A2BF3" w:rsidRDefault="001B2601" w:rsidP="000A02D3">
            <w:pPr>
              <w:jc w:val="center"/>
              <w:rPr>
                <w:rFonts w:ascii="Arial" w:hAnsi="Arial" w:cs="Arial"/>
                <w:sz w:val="16"/>
                <w:szCs w:val="16"/>
                <w:lang w:eastAsia="en-US"/>
              </w:rPr>
            </w:pPr>
            <w:r w:rsidRPr="00D25EFA">
              <w:rPr>
                <w:rFonts w:ascii="Arial Narrow" w:hAnsi="Arial Narrow"/>
                <w:sz w:val="16"/>
                <w:szCs w:val="16"/>
              </w:rPr>
              <w:t>220</w:t>
            </w:r>
          </w:p>
        </w:tc>
        <w:tc>
          <w:tcPr>
            <w:tcW w:w="850" w:type="dxa"/>
            <w:vAlign w:val="center"/>
          </w:tcPr>
          <w:p w:rsidR="001B2601" w:rsidRPr="006A2BF3" w:rsidRDefault="001B2601" w:rsidP="000A02D3">
            <w:pPr>
              <w:jc w:val="center"/>
              <w:rPr>
                <w:rFonts w:ascii="Arial" w:hAnsi="Arial" w:cs="Arial"/>
                <w:sz w:val="16"/>
                <w:szCs w:val="16"/>
                <w:lang w:eastAsia="en-US"/>
              </w:rPr>
            </w:pPr>
            <w:r w:rsidRPr="00D25EFA">
              <w:rPr>
                <w:rFonts w:ascii="Arial Narrow" w:hAnsi="Arial Narrow"/>
                <w:sz w:val="16"/>
                <w:szCs w:val="16"/>
              </w:rPr>
              <w:t>346</w:t>
            </w:r>
          </w:p>
        </w:tc>
        <w:tc>
          <w:tcPr>
            <w:tcW w:w="958" w:type="dxa"/>
            <w:vAlign w:val="center"/>
          </w:tcPr>
          <w:p w:rsidR="001B2601" w:rsidRPr="006A2BF3" w:rsidRDefault="001B2601" w:rsidP="000A02D3">
            <w:pPr>
              <w:jc w:val="center"/>
              <w:rPr>
                <w:rFonts w:ascii="Arial" w:hAnsi="Arial" w:cs="Arial"/>
                <w:sz w:val="16"/>
                <w:szCs w:val="16"/>
                <w:lang w:eastAsia="en-US"/>
              </w:rPr>
            </w:pPr>
            <w:r w:rsidRPr="00D25EFA">
              <w:rPr>
                <w:rFonts w:ascii="Arial Narrow" w:hAnsi="Arial Narrow"/>
                <w:sz w:val="16"/>
                <w:szCs w:val="16"/>
              </w:rPr>
              <w:t>231</w:t>
            </w:r>
          </w:p>
        </w:tc>
        <w:tc>
          <w:tcPr>
            <w:tcW w:w="1040" w:type="dxa"/>
            <w:tcBorders>
              <w:right w:val="single" w:sz="4" w:space="0" w:color="auto"/>
            </w:tcBorders>
            <w:vAlign w:val="center"/>
          </w:tcPr>
          <w:p w:rsidR="001B2601" w:rsidRPr="006A2BF3" w:rsidRDefault="001B2601" w:rsidP="000A02D3">
            <w:pPr>
              <w:jc w:val="center"/>
              <w:rPr>
                <w:rFonts w:ascii="Arial" w:hAnsi="Arial" w:cs="Arial"/>
                <w:b/>
                <w:sz w:val="16"/>
                <w:szCs w:val="16"/>
                <w:lang w:eastAsia="en-US"/>
              </w:rPr>
            </w:pPr>
            <w:r w:rsidRPr="00D25EFA">
              <w:rPr>
                <w:rFonts w:ascii="Arial Narrow" w:hAnsi="Arial Narrow"/>
                <w:b/>
                <w:sz w:val="16"/>
                <w:szCs w:val="16"/>
              </w:rPr>
              <w:t>846</w:t>
            </w:r>
          </w:p>
        </w:tc>
      </w:tr>
      <w:tr w:rsidR="001B2601" w:rsidRPr="006A2BF3" w:rsidTr="0039268C">
        <w:trPr>
          <w:trHeight w:val="288"/>
          <w:jc w:val="center"/>
        </w:trPr>
        <w:tc>
          <w:tcPr>
            <w:tcW w:w="2393" w:type="dxa"/>
            <w:tcBorders>
              <w:left w:val="single" w:sz="4" w:space="0" w:color="auto"/>
            </w:tcBorders>
            <w:vAlign w:val="center"/>
          </w:tcPr>
          <w:p w:rsidR="001B2601" w:rsidRPr="00C266A4" w:rsidRDefault="001B2601" w:rsidP="000A02D3">
            <w:pPr>
              <w:rPr>
                <w:rFonts w:ascii="Arial" w:hAnsi="Arial" w:cs="Arial"/>
                <w:sz w:val="16"/>
                <w:szCs w:val="16"/>
                <w:lang w:eastAsia="en-US"/>
              </w:rPr>
            </w:pPr>
            <w:r w:rsidRPr="00C266A4">
              <w:rPr>
                <w:rFonts w:ascii="Arial" w:hAnsi="Arial" w:cs="Arial"/>
                <w:sz w:val="16"/>
                <w:szCs w:val="16"/>
                <w:lang w:eastAsia="en-US"/>
              </w:rPr>
              <w:t>počet vydaných odborných a informačných publikácií</w:t>
            </w:r>
          </w:p>
        </w:tc>
        <w:tc>
          <w:tcPr>
            <w:tcW w:w="1039" w:type="dxa"/>
            <w:vAlign w:val="center"/>
          </w:tcPr>
          <w:p w:rsidR="001B2601" w:rsidRPr="006A2BF3" w:rsidRDefault="001B2601" w:rsidP="000A02D3">
            <w:pPr>
              <w:jc w:val="center"/>
              <w:rPr>
                <w:rFonts w:ascii="Arial" w:hAnsi="Arial" w:cs="Arial"/>
                <w:sz w:val="16"/>
                <w:szCs w:val="16"/>
                <w:lang w:eastAsia="en-US"/>
              </w:rPr>
            </w:pPr>
            <w:r w:rsidRPr="006A2BF3">
              <w:rPr>
                <w:rFonts w:ascii="Arial" w:hAnsi="Arial" w:cs="Arial"/>
                <w:sz w:val="16"/>
                <w:szCs w:val="16"/>
                <w:lang w:eastAsia="en-US"/>
              </w:rPr>
              <w:t>fyzický počet</w:t>
            </w:r>
          </w:p>
        </w:tc>
        <w:tc>
          <w:tcPr>
            <w:tcW w:w="837" w:type="dxa"/>
            <w:vAlign w:val="center"/>
          </w:tcPr>
          <w:p w:rsidR="001B2601" w:rsidRPr="006A2BF3" w:rsidRDefault="001B2601" w:rsidP="000A02D3">
            <w:pPr>
              <w:jc w:val="center"/>
              <w:rPr>
                <w:rFonts w:ascii="Arial" w:hAnsi="Arial" w:cs="Arial"/>
                <w:sz w:val="16"/>
                <w:szCs w:val="16"/>
                <w:lang w:eastAsia="en-US"/>
              </w:rPr>
            </w:pPr>
            <w:r w:rsidRPr="00D25EFA">
              <w:rPr>
                <w:rFonts w:ascii="Arial Narrow" w:hAnsi="Arial Narrow"/>
                <w:sz w:val="16"/>
                <w:szCs w:val="16"/>
              </w:rPr>
              <w:t>0</w:t>
            </w:r>
          </w:p>
        </w:tc>
        <w:tc>
          <w:tcPr>
            <w:tcW w:w="851" w:type="dxa"/>
            <w:vAlign w:val="center"/>
          </w:tcPr>
          <w:p w:rsidR="001B2601" w:rsidRPr="006A2BF3" w:rsidRDefault="001B2601" w:rsidP="000A02D3">
            <w:pPr>
              <w:jc w:val="center"/>
              <w:rPr>
                <w:rFonts w:ascii="Arial" w:hAnsi="Arial" w:cs="Arial"/>
                <w:sz w:val="16"/>
                <w:szCs w:val="16"/>
                <w:lang w:eastAsia="en-US"/>
              </w:rPr>
            </w:pPr>
            <w:r w:rsidRPr="00D25EFA">
              <w:rPr>
                <w:rFonts w:ascii="Arial Narrow" w:hAnsi="Arial Narrow"/>
                <w:sz w:val="16"/>
                <w:szCs w:val="16"/>
              </w:rPr>
              <w:t>6</w:t>
            </w:r>
          </w:p>
        </w:tc>
        <w:tc>
          <w:tcPr>
            <w:tcW w:w="850" w:type="dxa"/>
            <w:vAlign w:val="center"/>
          </w:tcPr>
          <w:p w:rsidR="001B2601" w:rsidRPr="006A2BF3" w:rsidRDefault="001B2601" w:rsidP="000A02D3">
            <w:pPr>
              <w:jc w:val="center"/>
              <w:rPr>
                <w:rFonts w:ascii="Arial" w:hAnsi="Arial" w:cs="Arial"/>
                <w:sz w:val="16"/>
                <w:szCs w:val="16"/>
                <w:lang w:eastAsia="en-US"/>
              </w:rPr>
            </w:pPr>
            <w:r w:rsidRPr="00D25EFA">
              <w:rPr>
                <w:rFonts w:ascii="Arial Narrow" w:hAnsi="Arial Narrow"/>
                <w:sz w:val="16"/>
                <w:szCs w:val="16"/>
              </w:rPr>
              <w:t>35</w:t>
            </w:r>
          </w:p>
        </w:tc>
        <w:tc>
          <w:tcPr>
            <w:tcW w:w="851" w:type="dxa"/>
            <w:vAlign w:val="center"/>
          </w:tcPr>
          <w:p w:rsidR="001B2601" w:rsidRPr="006A2BF3" w:rsidRDefault="001B2601" w:rsidP="000A02D3">
            <w:pPr>
              <w:jc w:val="center"/>
              <w:rPr>
                <w:rFonts w:ascii="Arial" w:hAnsi="Arial" w:cs="Arial"/>
                <w:sz w:val="16"/>
                <w:szCs w:val="16"/>
                <w:lang w:eastAsia="en-US"/>
              </w:rPr>
            </w:pPr>
            <w:r w:rsidRPr="00D25EFA">
              <w:rPr>
                <w:rFonts w:ascii="Arial Narrow" w:hAnsi="Arial Narrow"/>
                <w:sz w:val="16"/>
                <w:szCs w:val="16"/>
              </w:rPr>
              <w:t>6</w:t>
            </w:r>
          </w:p>
        </w:tc>
        <w:tc>
          <w:tcPr>
            <w:tcW w:w="850" w:type="dxa"/>
            <w:shd w:val="clear" w:color="auto" w:fill="FFFFFF"/>
            <w:vAlign w:val="center"/>
          </w:tcPr>
          <w:p w:rsidR="001B2601" w:rsidRPr="006A2BF3" w:rsidRDefault="001B2601" w:rsidP="000A02D3">
            <w:pPr>
              <w:jc w:val="center"/>
              <w:rPr>
                <w:rFonts w:ascii="Arial" w:hAnsi="Arial" w:cs="Arial"/>
                <w:sz w:val="16"/>
                <w:szCs w:val="16"/>
                <w:lang w:eastAsia="en-US"/>
              </w:rPr>
            </w:pPr>
            <w:r w:rsidRPr="00D25EFA">
              <w:rPr>
                <w:rFonts w:ascii="Arial Narrow" w:hAnsi="Arial Narrow"/>
                <w:sz w:val="16"/>
                <w:szCs w:val="16"/>
              </w:rPr>
              <w:t>82</w:t>
            </w:r>
          </w:p>
        </w:tc>
        <w:tc>
          <w:tcPr>
            <w:tcW w:w="958" w:type="dxa"/>
            <w:shd w:val="clear" w:color="auto" w:fill="FFFFFF"/>
            <w:vAlign w:val="center"/>
          </w:tcPr>
          <w:p w:rsidR="001B2601" w:rsidRPr="006A2BF3" w:rsidRDefault="001B2601" w:rsidP="000A02D3">
            <w:pPr>
              <w:jc w:val="center"/>
              <w:rPr>
                <w:rFonts w:ascii="Arial" w:hAnsi="Arial" w:cs="Arial"/>
                <w:sz w:val="16"/>
                <w:szCs w:val="16"/>
                <w:lang w:eastAsia="en-US"/>
              </w:rPr>
            </w:pPr>
            <w:r w:rsidRPr="00D25EFA">
              <w:rPr>
                <w:rFonts w:ascii="Arial Narrow" w:hAnsi="Arial Narrow"/>
                <w:sz w:val="16"/>
                <w:szCs w:val="16"/>
              </w:rPr>
              <w:t>84</w:t>
            </w:r>
          </w:p>
        </w:tc>
        <w:tc>
          <w:tcPr>
            <w:tcW w:w="1040" w:type="dxa"/>
            <w:tcBorders>
              <w:right w:val="single" w:sz="4" w:space="0" w:color="auto"/>
            </w:tcBorders>
            <w:shd w:val="clear" w:color="auto" w:fill="F2F2F2"/>
            <w:vAlign w:val="center"/>
          </w:tcPr>
          <w:p w:rsidR="001B2601" w:rsidRPr="006A2BF3" w:rsidRDefault="001B2601" w:rsidP="000A02D3">
            <w:pPr>
              <w:jc w:val="center"/>
              <w:rPr>
                <w:rFonts w:ascii="Arial" w:hAnsi="Arial" w:cs="Arial"/>
                <w:b/>
                <w:sz w:val="16"/>
                <w:szCs w:val="16"/>
                <w:lang w:eastAsia="en-US"/>
              </w:rPr>
            </w:pPr>
            <w:r w:rsidRPr="00D25EFA">
              <w:rPr>
                <w:rFonts w:ascii="Arial Narrow" w:hAnsi="Arial Narrow"/>
                <w:b/>
                <w:sz w:val="16"/>
                <w:szCs w:val="16"/>
              </w:rPr>
              <w:t>213</w:t>
            </w:r>
          </w:p>
        </w:tc>
      </w:tr>
      <w:tr w:rsidR="001B2601" w:rsidRPr="006A2BF3" w:rsidTr="0039268C">
        <w:trPr>
          <w:trHeight w:val="476"/>
          <w:jc w:val="center"/>
        </w:trPr>
        <w:tc>
          <w:tcPr>
            <w:tcW w:w="2393" w:type="dxa"/>
            <w:tcBorders>
              <w:left w:val="single" w:sz="4" w:space="0" w:color="auto"/>
            </w:tcBorders>
            <w:vAlign w:val="center"/>
          </w:tcPr>
          <w:p w:rsidR="001B2601" w:rsidRPr="00C266A4" w:rsidRDefault="001B2601" w:rsidP="000A02D3">
            <w:pPr>
              <w:rPr>
                <w:rFonts w:ascii="Arial" w:hAnsi="Arial" w:cs="Arial"/>
                <w:sz w:val="16"/>
                <w:szCs w:val="16"/>
                <w:lang w:eastAsia="en-US"/>
              </w:rPr>
            </w:pPr>
            <w:r w:rsidRPr="00C266A4">
              <w:rPr>
                <w:rFonts w:ascii="Arial" w:hAnsi="Arial" w:cs="Arial"/>
                <w:sz w:val="16"/>
                <w:szCs w:val="16"/>
                <w:lang w:eastAsia="en-US"/>
              </w:rPr>
              <w:t>počet zverejnených správ, rozhovorov, príspevkov, inzerátov vo všetkých druhoch médií</w:t>
            </w:r>
          </w:p>
        </w:tc>
        <w:tc>
          <w:tcPr>
            <w:tcW w:w="1039" w:type="dxa"/>
            <w:vAlign w:val="center"/>
          </w:tcPr>
          <w:p w:rsidR="001B2601" w:rsidRPr="006A2BF3" w:rsidRDefault="001B2601" w:rsidP="000A02D3">
            <w:pPr>
              <w:jc w:val="center"/>
              <w:rPr>
                <w:rFonts w:ascii="Arial" w:hAnsi="Arial" w:cs="Arial"/>
                <w:sz w:val="16"/>
                <w:szCs w:val="16"/>
                <w:lang w:eastAsia="en-US"/>
              </w:rPr>
            </w:pPr>
            <w:r w:rsidRPr="006A2BF3">
              <w:rPr>
                <w:rFonts w:ascii="Arial" w:hAnsi="Arial" w:cs="Arial"/>
                <w:sz w:val="16"/>
                <w:szCs w:val="16"/>
                <w:lang w:eastAsia="en-US"/>
              </w:rPr>
              <w:t>fyzický počet</w:t>
            </w:r>
          </w:p>
        </w:tc>
        <w:tc>
          <w:tcPr>
            <w:tcW w:w="837" w:type="dxa"/>
            <w:vAlign w:val="center"/>
          </w:tcPr>
          <w:p w:rsidR="001B2601" w:rsidRPr="006A2BF3" w:rsidRDefault="001B2601" w:rsidP="000A02D3">
            <w:pPr>
              <w:jc w:val="center"/>
              <w:rPr>
                <w:rFonts w:ascii="Arial" w:hAnsi="Arial" w:cs="Arial"/>
                <w:sz w:val="16"/>
                <w:szCs w:val="16"/>
                <w:lang w:eastAsia="en-US"/>
              </w:rPr>
            </w:pPr>
            <w:r w:rsidRPr="00D25EFA">
              <w:rPr>
                <w:rFonts w:ascii="Arial Narrow" w:hAnsi="Arial Narrow"/>
                <w:sz w:val="16"/>
                <w:szCs w:val="16"/>
              </w:rPr>
              <w:t>56</w:t>
            </w:r>
          </w:p>
        </w:tc>
        <w:tc>
          <w:tcPr>
            <w:tcW w:w="851" w:type="dxa"/>
            <w:vAlign w:val="center"/>
          </w:tcPr>
          <w:p w:rsidR="001B2601" w:rsidRPr="006A2BF3" w:rsidRDefault="001B2601" w:rsidP="000A02D3">
            <w:pPr>
              <w:jc w:val="center"/>
              <w:rPr>
                <w:rFonts w:ascii="Arial" w:hAnsi="Arial" w:cs="Arial"/>
                <w:sz w:val="16"/>
                <w:szCs w:val="16"/>
                <w:lang w:eastAsia="en-US"/>
              </w:rPr>
            </w:pPr>
            <w:r w:rsidRPr="00D25EFA">
              <w:rPr>
                <w:rFonts w:ascii="Arial Narrow" w:hAnsi="Arial Narrow"/>
                <w:sz w:val="16"/>
                <w:szCs w:val="16"/>
              </w:rPr>
              <w:t>901</w:t>
            </w:r>
          </w:p>
        </w:tc>
        <w:tc>
          <w:tcPr>
            <w:tcW w:w="850" w:type="dxa"/>
            <w:vAlign w:val="center"/>
          </w:tcPr>
          <w:p w:rsidR="001B2601" w:rsidRPr="006A2BF3" w:rsidRDefault="001B2601" w:rsidP="000A02D3">
            <w:pPr>
              <w:jc w:val="center"/>
              <w:rPr>
                <w:rFonts w:ascii="Arial" w:hAnsi="Arial" w:cs="Arial"/>
                <w:sz w:val="16"/>
                <w:szCs w:val="16"/>
                <w:lang w:eastAsia="en-US"/>
              </w:rPr>
            </w:pPr>
            <w:r w:rsidRPr="00D25EFA">
              <w:rPr>
                <w:rFonts w:ascii="Arial Narrow" w:hAnsi="Arial Narrow"/>
                <w:sz w:val="16"/>
                <w:szCs w:val="16"/>
              </w:rPr>
              <w:t>6 097</w:t>
            </w:r>
          </w:p>
        </w:tc>
        <w:tc>
          <w:tcPr>
            <w:tcW w:w="851" w:type="dxa"/>
            <w:vAlign w:val="center"/>
          </w:tcPr>
          <w:p w:rsidR="001B2601" w:rsidRPr="006A2BF3" w:rsidRDefault="001B2601" w:rsidP="000A02D3">
            <w:pPr>
              <w:jc w:val="center"/>
              <w:rPr>
                <w:rFonts w:ascii="Arial" w:hAnsi="Arial" w:cs="Arial"/>
                <w:sz w:val="16"/>
                <w:szCs w:val="16"/>
                <w:lang w:eastAsia="en-US"/>
              </w:rPr>
            </w:pPr>
            <w:r w:rsidRPr="00D25EFA">
              <w:rPr>
                <w:rFonts w:ascii="Arial Narrow" w:hAnsi="Arial Narrow"/>
                <w:sz w:val="16"/>
                <w:szCs w:val="16"/>
              </w:rPr>
              <w:t>1 215</w:t>
            </w:r>
          </w:p>
        </w:tc>
        <w:tc>
          <w:tcPr>
            <w:tcW w:w="850" w:type="dxa"/>
            <w:shd w:val="clear" w:color="auto" w:fill="FFFFFF"/>
            <w:vAlign w:val="center"/>
          </w:tcPr>
          <w:p w:rsidR="001B2601" w:rsidRPr="006A2BF3" w:rsidRDefault="001B2601" w:rsidP="000A02D3">
            <w:pPr>
              <w:jc w:val="center"/>
              <w:rPr>
                <w:rFonts w:ascii="Arial" w:hAnsi="Arial" w:cs="Arial"/>
                <w:sz w:val="16"/>
                <w:szCs w:val="16"/>
                <w:highlight w:val="yellow"/>
                <w:lang w:eastAsia="en-US"/>
              </w:rPr>
            </w:pPr>
            <w:r w:rsidRPr="00D25EFA">
              <w:rPr>
                <w:rFonts w:ascii="Arial Narrow" w:hAnsi="Arial Narrow"/>
                <w:sz w:val="16"/>
                <w:szCs w:val="16"/>
              </w:rPr>
              <w:t>85</w:t>
            </w:r>
          </w:p>
        </w:tc>
        <w:tc>
          <w:tcPr>
            <w:tcW w:w="958" w:type="dxa"/>
            <w:shd w:val="clear" w:color="auto" w:fill="FFFFFF"/>
            <w:vAlign w:val="center"/>
          </w:tcPr>
          <w:p w:rsidR="001B2601" w:rsidRPr="006A2BF3" w:rsidRDefault="001B2601" w:rsidP="000A02D3">
            <w:pPr>
              <w:jc w:val="center"/>
              <w:rPr>
                <w:rFonts w:ascii="Arial" w:hAnsi="Arial" w:cs="Arial"/>
                <w:sz w:val="16"/>
                <w:szCs w:val="16"/>
                <w:highlight w:val="yellow"/>
                <w:lang w:eastAsia="en-US"/>
              </w:rPr>
            </w:pPr>
            <w:r w:rsidRPr="00D25EFA">
              <w:rPr>
                <w:rFonts w:ascii="Arial Narrow" w:hAnsi="Arial Narrow"/>
                <w:sz w:val="16"/>
                <w:szCs w:val="16"/>
                <w:lang w:eastAsia="cs-CZ"/>
              </w:rPr>
              <w:t>154</w:t>
            </w:r>
          </w:p>
        </w:tc>
        <w:tc>
          <w:tcPr>
            <w:tcW w:w="1040" w:type="dxa"/>
            <w:tcBorders>
              <w:right w:val="single" w:sz="4" w:space="0" w:color="auto"/>
            </w:tcBorders>
            <w:shd w:val="clear" w:color="auto" w:fill="F2F2F2"/>
            <w:vAlign w:val="center"/>
          </w:tcPr>
          <w:p w:rsidR="001B2601" w:rsidRPr="006A2BF3" w:rsidRDefault="001B2601" w:rsidP="000A02D3">
            <w:pPr>
              <w:jc w:val="center"/>
              <w:rPr>
                <w:rFonts w:ascii="Arial" w:hAnsi="Arial" w:cs="Arial"/>
                <w:b/>
                <w:sz w:val="16"/>
                <w:szCs w:val="16"/>
                <w:highlight w:val="yellow"/>
                <w:lang w:eastAsia="en-US"/>
              </w:rPr>
            </w:pPr>
            <w:r w:rsidRPr="00D25EFA">
              <w:rPr>
                <w:rFonts w:ascii="Arial Narrow" w:hAnsi="Arial Narrow"/>
                <w:b/>
                <w:sz w:val="16"/>
                <w:szCs w:val="16"/>
                <w:lang w:eastAsia="cs-CZ"/>
              </w:rPr>
              <w:t>8 508</w:t>
            </w:r>
          </w:p>
        </w:tc>
      </w:tr>
    </w:tbl>
    <w:p w:rsidR="002416B1" w:rsidRPr="006A2BF3" w:rsidRDefault="002416B1" w:rsidP="000A02D3">
      <w:pPr>
        <w:spacing w:line="360" w:lineRule="auto"/>
        <w:jc w:val="both"/>
        <w:rPr>
          <w:rFonts w:ascii="Arial" w:hAnsi="Arial" w:cs="Arial"/>
          <w:sz w:val="18"/>
          <w:szCs w:val="18"/>
        </w:rPr>
      </w:pPr>
      <w:r w:rsidRPr="004B33AE">
        <w:rPr>
          <w:rFonts w:ascii="Arial" w:hAnsi="Arial" w:cs="Arial"/>
          <w:sz w:val="18"/>
          <w:szCs w:val="18"/>
        </w:rPr>
        <w:t>Zdroj: RO, REPIS</w:t>
      </w:r>
    </w:p>
    <w:p w:rsidR="001B2601" w:rsidRPr="0039268C" w:rsidRDefault="001B2601" w:rsidP="00507035">
      <w:pPr>
        <w:spacing w:before="120" w:after="120" w:line="360" w:lineRule="auto"/>
        <w:jc w:val="both"/>
        <w:rPr>
          <w:rFonts w:ascii="Arial" w:hAnsi="Arial" w:cs="Arial"/>
          <w:sz w:val="20"/>
          <w:szCs w:val="20"/>
        </w:rPr>
      </w:pPr>
      <w:r w:rsidRPr="0039268C">
        <w:rPr>
          <w:rFonts w:ascii="Arial" w:hAnsi="Arial" w:cs="Arial"/>
          <w:sz w:val="20"/>
          <w:szCs w:val="20"/>
        </w:rPr>
        <w:t>Rozdiely medzi plánovanými cieľovými hodnotami a dosiahnutým výsledkom za jednotlivé roky ovplyvňuje taktiež skutočnosť, že ukazovatele informovania a publicity boli navrhnuté na začiatku programového obdobia, kedy sa nedalo ešte reálne odhadnúť, aké budú potreby na informovanie a publicitu. Až v priebehu implementácie OP ŽP sa na základe požiadaviek potenciálnych žiadateľov  ukázala potreba zvýšiť niektoré informačné aktivity. Výsledkom vysokého počtu uskutočnených informačných aktivít a rozsiahlej mediálnej kampane sú vysoký počet žiadateľov o NFP, počet úspešne realizovaných resp. zazmluvnených projektov a počet účastníkov seminárov a konferencií. Dosiahnuté hodnoty týchto ukazovateľov sú znakom veľkého záujmu všetkých cieľových skupín o OP ŽP a pomoc pri čerpaní fondov EÚ.</w:t>
      </w:r>
    </w:p>
    <w:p w:rsidR="002416B1" w:rsidRPr="004B33AE" w:rsidRDefault="001B2601" w:rsidP="00507035">
      <w:pPr>
        <w:spacing w:before="120" w:after="120" w:line="360" w:lineRule="auto"/>
        <w:jc w:val="both"/>
        <w:rPr>
          <w:rFonts w:ascii="Arial" w:hAnsi="Arial" w:cs="Arial"/>
          <w:sz w:val="20"/>
          <w:szCs w:val="20"/>
        </w:rPr>
      </w:pPr>
      <w:r w:rsidRPr="0039268C">
        <w:rPr>
          <w:rFonts w:ascii="Arial" w:hAnsi="Arial" w:cs="Arial"/>
          <w:sz w:val="20"/>
          <w:szCs w:val="20"/>
        </w:rPr>
        <w:t xml:space="preserve">Aktivity informovania a publicity zamerané tak pre potenciálnych žiadateľov, žiadateľov o nenávratný finančný príspevok prostredníctvom </w:t>
      </w:r>
      <w:r w:rsidR="000236A4">
        <w:rPr>
          <w:rFonts w:ascii="Arial" w:hAnsi="Arial" w:cs="Arial"/>
          <w:sz w:val="20"/>
          <w:szCs w:val="20"/>
        </w:rPr>
        <w:t>OP ŽP</w:t>
      </w:r>
      <w:r w:rsidRPr="0039268C">
        <w:rPr>
          <w:rFonts w:ascii="Arial" w:hAnsi="Arial" w:cs="Arial"/>
          <w:sz w:val="20"/>
          <w:szCs w:val="20"/>
        </w:rPr>
        <w:t xml:space="preserve">, ako aj pre prijímateľov a verejnosť boli financované prostredníctvom prioritnej osi 6 Technická pomoc, ktorá je zameraná na podporu činností a funkcií orgánov podieľajúcich sa na riadení a implementácii </w:t>
      </w:r>
      <w:r w:rsidR="000236A4">
        <w:rPr>
          <w:rFonts w:ascii="Arial" w:hAnsi="Arial" w:cs="Arial"/>
          <w:sz w:val="20"/>
          <w:szCs w:val="20"/>
        </w:rPr>
        <w:t>OP ŽP</w:t>
      </w:r>
      <w:r w:rsidRPr="0039268C">
        <w:rPr>
          <w:rFonts w:ascii="Arial" w:hAnsi="Arial" w:cs="Arial"/>
          <w:sz w:val="20"/>
          <w:szCs w:val="20"/>
        </w:rPr>
        <w:t xml:space="preserve"> (riadiaceho orgánu, platobnej jednotky, orgánov kontroly a auditu) a ich administratívnych kapacít, poskytovanie podpory na prípravu projektov, ako aj na informovanie verejnosti, propagáciu a výmenu skúseností.</w:t>
      </w:r>
    </w:p>
    <w:p w:rsidR="002416B1" w:rsidRPr="004B33AE" w:rsidRDefault="002416B1" w:rsidP="00507035">
      <w:pPr>
        <w:spacing w:before="120" w:after="120" w:line="360" w:lineRule="auto"/>
        <w:jc w:val="both"/>
        <w:rPr>
          <w:rFonts w:ascii="Arial" w:hAnsi="Arial" w:cs="Arial"/>
          <w:sz w:val="20"/>
          <w:szCs w:val="20"/>
        </w:rPr>
      </w:pPr>
      <w:r w:rsidRPr="004B33AE">
        <w:rPr>
          <w:rFonts w:ascii="Arial" w:hAnsi="Arial" w:cs="Arial"/>
          <w:sz w:val="20"/>
          <w:szCs w:val="20"/>
        </w:rPr>
        <w:t>Stav fyzického pokroku a finančnej implementácie prioritnej osi 6 je uvedený v časti 3.6. a 6. správy.</w:t>
      </w:r>
    </w:p>
    <w:p w:rsidR="002416B1" w:rsidRPr="004B33AE" w:rsidRDefault="002416B1" w:rsidP="00507035">
      <w:pPr>
        <w:spacing w:before="120" w:after="120" w:line="360" w:lineRule="auto"/>
        <w:jc w:val="both"/>
        <w:rPr>
          <w:rFonts w:ascii="Arial" w:hAnsi="Arial" w:cs="Arial"/>
          <w:b/>
          <w:sz w:val="20"/>
          <w:szCs w:val="20"/>
          <w:u w:val="single"/>
        </w:rPr>
      </w:pPr>
      <w:r w:rsidRPr="004B33AE">
        <w:rPr>
          <w:rFonts w:ascii="Arial" w:hAnsi="Arial" w:cs="Arial"/>
          <w:b/>
          <w:sz w:val="20"/>
          <w:szCs w:val="20"/>
          <w:u w:val="single"/>
        </w:rPr>
        <w:t>Plán informačno-komunikačných aktivít o OP ŽP na rok 201</w:t>
      </w:r>
      <w:r w:rsidR="001B2601">
        <w:rPr>
          <w:rFonts w:ascii="Arial" w:hAnsi="Arial" w:cs="Arial"/>
          <w:b/>
          <w:sz w:val="20"/>
          <w:szCs w:val="20"/>
          <w:u w:val="single"/>
        </w:rPr>
        <w:t>3</w:t>
      </w:r>
    </w:p>
    <w:p w:rsidR="001B2601" w:rsidRPr="0039268C" w:rsidRDefault="001B2601" w:rsidP="00507035">
      <w:pPr>
        <w:spacing w:before="120" w:after="120" w:line="360" w:lineRule="auto"/>
        <w:jc w:val="both"/>
        <w:rPr>
          <w:rFonts w:ascii="Arial" w:hAnsi="Arial" w:cs="Arial"/>
          <w:sz w:val="20"/>
          <w:szCs w:val="20"/>
        </w:rPr>
      </w:pPr>
      <w:r w:rsidRPr="0039268C">
        <w:rPr>
          <w:rFonts w:ascii="Arial" w:hAnsi="Arial" w:cs="Arial"/>
          <w:sz w:val="20"/>
          <w:szCs w:val="20"/>
        </w:rPr>
        <w:t xml:space="preserve">V roku 2013 bude RO  pokračovať v komunikačnej stratégii nastavenej v KoP </w:t>
      </w:r>
      <w:r w:rsidR="00305160">
        <w:rPr>
          <w:rFonts w:ascii="Arial" w:hAnsi="Arial" w:cs="Arial"/>
          <w:sz w:val="20"/>
          <w:szCs w:val="20"/>
        </w:rPr>
        <w:t>OP Ž</w:t>
      </w:r>
      <w:r w:rsidR="00C63892">
        <w:rPr>
          <w:rFonts w:ascii="Arial" w:hAnsi="Arial" w:cs="Arial"/>
          <w:sz w:val="20"/>
          <w:szCs w:val="20"/>
        </w:rPr>
        <w:t>P</w:t>
      </w:r>
      <w:r w:rsidRPr="0039268C">
        <w:rPr>
          <w:rFonts w:ascii="Arial" w:hAnsi="Arial" w:cs="Arial"/>
          <w:sz w:val="20"/>
          <w:szCs w:val="20"/>
        </w:rPr>
        <w:t xml:space="preserve"> pre PO 2007-2013 a realizovanej v rokoch 2007-2012.  Hlavným zámerom bude naďalej realizovať také komunikačné aktivity a nástroje komunikácie, ktoré budú smerovať k zvyšovaniu informovanosti a povedomia o pomoci EÚ a SR poskytovanej zo ŠF a KF prostredníctvom </w:t>
      </w:r>
      <w:r w:rsidR="00C63892">
        <w:rPr>
          <w:rFonts w:ascii="Arial" w:hAnsi="Arial" w:cs="Arial"/>
          <w:sz w:val="20"/>
          <w:szCs w:val="20"/>
        </w:rPr>
        <w:t xml:space="preserve"> OP ŽP</w:t>
      </w:r>
      <w:r w:rsidRPr="0039268C">
        <w:rPr>
          <w:rFonts w:ascii="Arial" w:hAnsi="Arial" w:cs="Arial"/>
          <w:sz w:val="20"/>
          <w:szCs w:val="20"/>
        </w:rPr>
        <w:t xml:space="preserve"> a tým k zabezpečovaniu transparentnosti pre všetky cieľové skupiny. </w:t>
      </w:r>
    </w:p>
    <w:p w:rsidR="001B2601" w:rsidRPr="0039268C" w:rsidRDefault="001B2601" w:rsidP="00507035">
      <w:pPr>
        <w:spacing w:before="120" w:after="120" w:line="360" w:lineRule="auto"/>
        <w:jc w:val="both"/>
        <w:rPr>
          <w:rFonts w:ascii="Arial" w:hAnsi="Arial" w:cs="Arial"/>
          <w:sz w:val="20"/>
          <w:szCs w:val="20"/>
        </w:rPr>
      </w:pPr>
      <w:r w:rsidRPr="0039268C">
        <w:rPr>
          <w:rFonts w:ascii="Arial" w:hAnsi="Arial" w:cs="Arial"/>
          <w:sz w:val="20"/>
          <w:szCs w:val="20"/>
        </w:rPr>
        <w:t>Krátkodobým cieľom na rok 2013 v oblasti informovania a publicity je zvýšená p</w:t>
      </w:r>
      <w:r w:rsidRPr="0039268C">
        <w:rPr>
          <w:rFonts w:ascii="Arial" w:hAnsi="Arial" w:cs="Arial"/>
          <w:bCs/>
          <w:sz w:val="20"/>
          <w:szCs w:val="20"/>
        </w:rPr>
        <w:t xml:space="preserve">odpora úspešnej implementácie </w:t>
      </w:r>
      <w:r w:rsidRPr="0039268C">
        <w:rPr>
          <w:rFonts w:ascii="Arial" w:hAnsi="Arial" w:cs="Arial"/>
          <w:sz w:val="20"/>
          <w:szCs w:val="20"/>
        </w:rPr>
        <w:t xml:space="preserve">- nakoľko je aj rok 2013 súčasťou edukačno-implementačného obdobia realizovaného prostredníctvom poskytovania podrobných a odborných informácií pre prijímateľov najmä prostredníctvom špecificky zameraných školení prijímateľov ako aj iných aktivít </w:t>
      </w:r>
      <w:r w:rsidRPr="0039268C">
        <w:rPr>
          <w:rFonts w:ascii="Arial" w:hAnsi="Arial" w:cs="Arial"/>
          <w:bCs/>
          <w:sz w:val="20"/>
          <w:szCs w:val="20"/>
        </w:rPr>
        <w:t>zameraných na elimináciu opakujúcich sa problémov</w:t>
      </w:r>
      <w:r w:rsidRPr="0039268C">
        <w:rPr>
          <w:rFonts w:ascii="Arial" w:hAnsi="Arial" w:cs="Arial"/>
          <w:sz w:val="20"/>
          <w:szCs w:val="20"/>
        </w:rPr>
        <w:t xml:space="preserve"> spojených s jednotlivými fázami implementácie projektov v záujme zabezpečenia dočerpania finančných prostriedkov vyčlenených na projekty v rámci </w:t>
      </w:r>
      <w:r w:rsidR="000236A4">
        <w:rPr>
          <w:rFonts w:ascii="Arial" w:hAnsi="Arial" w:cs="Arial"/>
          <w:sz w:val="20"/>
          <w:szCs w:val="20"/>
        </w:rPr>
        <w:t>OP ŽP</w:t>
      </w:r>
      <w:r w:rsidRPr="0039268C">
        <w:rPr>
          <w:rFonts w:ascii="Arial" w:hAnsi="Arial" w:cs="Arial"/>
          <w:sz w:val="20"/>
          <w:szCs w:val="20"/>
        </w:rPr>
        <w:t xml:space="preserve"> (napr. upozorňovanie a aktualizácia webového sídla, vydávanie informačných materiálov, a.i.).</w:t>
      </w:r>
    </w:p>
    <w:p w:rsidR="001B2601" w:rsidRPr="0039268C" w:rsidRDefault="001B2601" w:rsidP="00507035">
      <w:pPr>
        <w:spacing w:before="120" w:after="120" w:line="360" w:lineRule="auto"/>
        <w:jc w:val="both"/>
        <w:rPr>
          <w:rFonts w:ascii="Arial" w:hAnsi="Arial" w:cs="Arial"/>
          <w:color w:val="000000"/>
          <w:sz w:val="20"/>
          <w:szCs w:val="20"/>
        </w:rPr>
      </w:pPr>
      <w:r w:rsidRPr="0039268C">
        <w:rPr>
          <w:rFonts w:ascii="Arial" w:hAnsi="Arial" w:cs="Arial"/>
          <w:sz w:val="20"/>
          <w:szCs w:val="20"/>
        </w:rPr>
        <w:t>Hlavnou komunikačno-informačnou aktivitou pre rok 2013 bude konferencia „Operačný program Životné prostredie a výsledky jeho realizácie v roku 2013“,</w:t>
      </w:r>
      <w:r w:rsidRPr="0039268C">
        <w:rPr>
          <w:rFonts w:ascii="Arial" w:hAnsi="Arial" w:cs="Arial"/>
          <w:b/>
          <w:sz w:val="20"/>
          <w:szCs w:val="20"/>
        </w:rPr>
        <w:t xml:space="preserve"> </w:t>
      </w:r>
      <w:r w:rsidRPr="0039268C">
        <w:rPr>
          <w:rFonts w:ascii="Arial" w:hAnsi="Arial" w:cs="Arial"/>
          <w:sz w:val="20"/>
          <w:szCs w:val="20"/>
        </w:rPr>
        <w:t xml:space="preserve">organizovaná v spolupráci so zástupcami siete REPIS. Konferencia bude zameraná jednak na prezentáciu postupu implementácie </w:t>
      </w:r>
      <w:r w:rsidR="000236A4">
        <w:rPr>
          <w:rFonts w:ascii="Arial" w:hAnsi="Arial" w:cs="Arial"/>
          <w:sz w:val="20"/>
          <w:szCs w:val="20"/>
        </w:rPr>
        <w:t>OP ŽP</w:t>
      </w:r>
      <w:r w:rsidRPr="0039268C">
        <w:rPr>
          <w:rFonts w:ascii="Arial" w:hAnsi="Arial" w:cs="Arial"/>
          <w:sz w:val="20"/>
          <w:szCs w:val="20"/>
        </w:rPr>
        <w:t xml:space="preserve">, ako aj na predstavenie výsledkov v podobe príkladov zrealizovaných projektov v oblasti podpory zlepšovania stavu životného prostredia na Slovensku prostredníctvom zástupcov z radov prijímateľov NFP v rámci </w:t>
      </w:r>
      <w:r w:rsidR="000236A4">
        <w:rPr>
          <w:rFonts w:ascii="Arial" w:hAnsi="Arial" w:cs="Arial"/>
          <w:sz w:val="20"/>
          <w:szCs w:val="20"/>
        </w:rPr>
        <w:t>OP ŽP</w:t>
      </w:r>
      <w:r w:rsidRPr="0039268C">
        <w:rPr>
          <w:rFonts w:ascii="Arial" w:hAnsi="Arial" w:cs="Arial"/>
          <w:sz w:val="20"/>
          <w:szCs w:val="20"/>
        </w:rPr>
        <w:t>. Program konferencie bude určený pre 100 účastníkov odbornej verejnosti najmä z oblasti tvorby a ochrany životného prostredia ako aj širokej laickej verejnosti.</w:t>
      </w:r>
    </w:p>
    <w:p w:rsidR="001B2601" w:rsidRPr="0039268C" w:rsidRDefault="001B2601" w:rsidP="00507035">
      <w:pPr>
        <w:spacing w:before="120" w:after="120" w:line="360" w:lineRule="auto"/>
        <w:jc w:val="both"/>
        <w:rPr>
          <w:rFonts w:ascii="Arial" w:hAnsi="Arial" w:cs="Arial"/>
          <w:color w:val="000000"/>
          <w:sz w:val="20"/>
          <w:szCs w:val="20"/>
        </w:rPr>
      </w:pPr>
      <w:r w:rsidRPr="0039268C">
        <w:rPr>
          <w:rFonts w:ascii="Arial" w:hAnsi="Arial" w:cs="Arial"/>
          <w:color w:val="000000"/>
          <w:sz w:val="20"/>
          <w:szCs w:val="20"/>
        </w:rPr>
        <w:t xml:space="preserve">Včasné a presné informácie budú všetkým cieľovým skupinám poskytované najmä prostredníctvom hlavného informačného portálu pre </w:t>
      </w:r>
      <w:r w:rsidR="000236A4">
        <w:rPr>
          <w:rFonts w:ascii="Arial" w:hAnsi="Arial" w:cs="Arial"/>
          <w:color w:val="000000"/>
          <w:sz w:val="20"/>
          <w:szCs w:val="20"/>
        </w:rPr>
        <w:t>OP ŽP</w:t>
      </w:r>
      <w:r w:rsidRPr="0039268C">
        <w:rPr>
          <w:rFonts w:ascii="Arial" w:hAnsi="Arial" w:cs="Arial"/>
          <w:color w:val="000000"/>
          <w:sz w:val="20"/>
          <w:szCs w:val="20"/>
        </w:rPr>
        <w:t xml:space="preserve"> </w:t>
      </w:r>
      <w:hyperlink r:id="rId94" w:history="1">
        <w:r w:rsidRPr="0039268C">
          <w:rPr>
            <w:rStyle w:val="Hypertextovprepojenie"/>
            <w:rFonts w:ascii="Arial" w:hAnsi="Arial" w:cs="Arial"/>
            <w:sz w:val="20"/>
            <w:szCs w:val="20"/>
          </w:rPr>
          <w:t>www.opzp.sk</w:t>
        </w:r>
      </w:hyperlink>
      <w:r w:rsidRPr="0039268C">
        <w:rPr>
          <w:rFonts w:ascii="Arial" w:hAnsi="Arial" w:cs="Arial"/>
          <w:color w:val="000000"/>
          <w:sz w:val="20"/>
          <w:szCs w:val="20"/>
        </w:rPr>
        <w:t xml:space="preserve"> ako aj prostredníctvom všetkých kontaktov na národnej aj regionálnej úrovni a fun page stránky </w:t>
      </w:r>
      <w:r w:rsidR="000236A4">
        <w:rPr>
          <w:rFonts w:ascii="Arial" w:hAnsi="Arial" w:cs="Arial"/>
          <w:color w:val="000000"/>
          <w:sz w:val="20"/>
          <w:szCs w:val="20"/>
        </w:rPr>
        <w:t>OP ŽP</w:t>
      </w:r>
      <w:r w:rsidRPr="0039268C">
        <w:rPr>
          <w:rFonts w:ascii="Arial" w:hAnsi="Arial" w:cs="Arial"/>
          <w:color w:val="000000"/>
          <w:sz w:val="20"/>
          <w:szCs w:val="20"/>
        </w:rPr>
        <w:t xml:space="preserve"> na sociálnej sieti Facebook.</w:t>
      </w:r>
    </w:p>
    <w:p w:rsidR="001B2601" w:rsidRPr="0039268C" w:rsidRDefault="001B2601" w:rsidP="00507035">
      <w:pPr>
        <w:spacing w:before="120" w:after="120" w:line="360" w:lineRule="auto"/>
        <w:jc w:val="both"/>
        <w:rPr>
          <w:rFonts w:ascii="Arial" w:hAnsi="Arial" w:cs="Arial"/>
          <w:color w:val="000000"/>
          <w:sz w:val="20"/>
          <w:szCs w:val="20"/>
        </w:rPr>
      </w:pPr>
      <w:r w:rsidRPr="0039268C">
        <w:rPr>
          <w:rFonts w:ascii="Arial" w:hAnsi="Arial" w:cs="Arial"/>
          <w:color w:val="000000"/>
          <w:sz w:val="20"/>
          <w:szCs w:val="20"/>
        </w:rPr>
        <w:t xml:space="preserve">Priama komunikácia s cieľovými skupinami bude aj v roku 2013 realizovaná prostredníctvom zástupcov siete REPIS, rôznych školení, seminárov a workshopov, konferencií, výstav a veľtrhov ako ai iných aktivít ako aj prostredníctvom osobnej, telefonickej či emailovej komunikácie. </w:t>
      </w:r>
    </w:p>
    <w:p w:rsidR="001B2601" w:rsidRPr="0039268C" w:rsidRDefault="001B2601" w:rsidP="00507035">
      <w:pPr>
        <w:spacing w:before="120" w:after="120" w:line="360" w:lineRule="auto"/>
        <w:jc w:val="both"/>
        <w:rPr>
          <w:rFonts w:ascii="Arial" w:hAnsi="Arial" w:cs="Arial"/>
          <w:sz w:val="20"/>
          <w:szCs w:val="20"/>
        </w:rPr>
      </w:pPr>
      <w:r w:rsidRPr="0039268C">
        <w:rPr>
          <w:rFonts w:ascii="Arial" w:hAnsi="Arial" w:cs="Arial"/>
          <w:color w:val="000000"/>
          <w:sz w:val="20"/>
          <w:szCs w:val="20"/>
        </w:rPr>
        <w:t xml:space="preserve">Zároveň budú </w:t>
      </w:r>
      <w:r w:rsidRPr="0039268C">
        <w:rPr>
          <w:rFonts w:ascii="Arial" w:hAnsi="Arial" w:cs="Arial"/>
          <w:sz w:val="20"/>
          <w:szCs w:val="20"/>
        </w:rPr>
        <w:t xml:space="preserve">v rámci zabezpečovania komplexnej informovanosti širokej verejnosti o pomoci EÚ poskytovanej Slovensku prostredníctvom implementácie projektov podporených z finančných prostriedkov </w:t>
      </w:r>
      <w:r w:rsidR="000236A4">
        <w:rPr>
          <w:rFonts w:ascii="Arial" w:hAnsi="Arial" w:cs="Arial"/>
          <w:sz w:val="20"/>
          <w:szCs w:val="20"/>
        </w:rPr>
        <w:t>OP ŽP</w:t>
      </w:r>
      <w:r w:rsidRPr="0039268C">
        <w:rPr>
          <w:rFonts w:ascii="Arial" w:hAnsi="Arial" w:cs="Arial"/>
          <w:sz w:val="20"/>
          <w:szCs w:val="20"/>
        </w:rPr>
        <w:t xml:space="preserve"> vydané a distribuované rôzne publikácie a propagačné predmety.</w:t>
      </w:r>
    </w:p>
    <w:p w:rsidR="001B2601" w:rsidRPr="0039268C" w:rsidRDefault="001B2601" w:rsidP="00507035">
      <w:pPr>
        <w:spacing w:before="120" w:after="120" w:line="360" w:lineRule="auto"/>
        <w:jc w:val="both"/>
        <w:rPr>
          <w:rFonts w:ascii="Arial" w:hAnsi="Arial" w:cs="Arial"/>
          <w:color w:val="000000"/>
          <w:sz w:val="20"/>
          <w:szCs w:val="20"/>
        </w:rPr>
      </w:pPr>
      <w:r w:rsidRPr="0039268C">
        <w:rPr>
          <w:rFonts w:ascii="Arial" w:hAnsi="Arial" w:cs="Arial"/>
          <w:sz w:val="20"/>
          <w:szCs w:val="20"/>
        </w:rPr>
        <w:t>Upozorniť na prínos podpory z </w:t>
      </w:r>
      <w:r w:rsidR="000236A4">
        <w:rPr>
          <w:rFonts w:ascii="Arial" w:hAnsi="Arial" w:cs="Arial"/>
          <w:sz w:val="20"/>
          <w:szCs w:val="20"/>
        </w:rPr>
        <w:t>OP ŽP</w:t>
      </w:r>
      <w:r w:rsidRPr="0039268C">
        <w:rPr>
          <w:rFonts w:ascii="Arial" w:hAnsi="Arial" w:cs="Arial"/>
          <w:sz w:val="20"/>
          <w:szCs w:val="20"/>
        </w:rPr>
        <w:t xml:space="preserve"> aj v kategórií detí plánuje RO  v spolupráci s REPIS realizovaním súťaže žiakov základných škôl, rozdelenej do 2 kategórií. Súťaž taktiež môže dopomôcť aj k propagácii už zrealizovaných aktivít škôl v oblasti ochrany životného prostredia a trvalo udržateľného rozvoja. Súťaž bude</w:t>
      </w:r>
      <w:r w:rsidRPr="0039268C">
        <w:rPr>
          <w:rFonts w:ascii="Arial" w:hAnsi="Arial" w:cs="Arial"/>
          <w:color w:val="000000"/>
          <w:sz w:val="20"/>
          <w:szCs w:val="20"/>
        </w:rPr>
        <w:t xml:space="preserve"> doplnkovou aktivitou výchovno-vzdelávacieho procesu základných škôl. Bude umožňovať žiakom vypovedať, cez výtvarnú a literárnu tvorbu, ako vidia oni dôležitosť a nenahraditeľnosť prírody a potrebu ochrany životného prostredia. Aktivizuje tvorivý rast žiakov k ekologickému svedomiu a ekologickej inteligencie, pričom poskytne žiakom možnosť verejne prezentovať, že im na prírode a na zdravom a čistom životnom prostredí záleží. </w:t>
      </w:r>
    </w:p>
    <w:p w:rsidR="001B2601" w:rsidRPr="0039268C" w:rsidRDefault="001B2601" w:rsidP="00507035">
      <w:pPr>
        <w:spacing w:before="120" w:after="120" w:line="360" w:lineRule="auto"/>
        <w:jc w:val="both"/>
        <w:rPr>
          <w:rFonts w:ascii="Arial" w:hAnsi="Arial" w:cs="Arial"/>
          <w:sz w:val="20"/>
          <w:szCs w:val="20"/>
        </w:rPr>
      </w:pPr>
      <w:r w:rsidRPr="0039268C">
        <w:rPr>
          <w:rFonts w:ascii="Arial" w:hAnsi="Arial" w:cs="Arial"/>
          <w:sz w:val="20"/>
          <w:szCs w:val="20"/>
        </w:rPr>
        <w:t>Vzhľadom na koniec programového obdobia 2007-2013 bude realizovaná aj mediálna kampaň, ktorej cieľom bude udržiavať povedomie o </w:t>
      </w:r>
      <w:r w:rsidR="000236A4">
        <w:rPr>
          <w:rFonts w:ascii="Arial" w:hAnsi="Arial" w:cs="Arial"/>
          <w:sz w:val="20"/>
          <w:szCs w:val="20"/>
        </w:rPr>
        <w:t>OP ŽP</w:t>
      </w:r>
      <w:r w:rsidRPr="0039268C">
        <w:rPr>
          <w:rFonts w:ascii="Arial" w:hAnsi="Arial" w:cs="Arial"/>
          <w:sz w:val="20"/>
          <w:szCs w:val="20"/>
        </w:rPr>
        <w:t xml:space="preserve"> medzi jednotlivými cieľovými skupinami a tiež prostredníctvom komunikovania dosiahnutých výsledkov v podobe zrealizovaných projektov a ostatných relevantných informácií posilňovať pozitívne vnímanie pomoci z</w:t>
      </w:r>
      <w:r w:rsidR="00C63892">
        <w:rPr>
          <w:rFonts w:ascii="Arial" w:hAnsi="Arial" w:cs="Arial"/>
          <w:sz w:val="20"/>
          <w:szCs w:val="20"/>
        </w:rPr>
        <w:t>  OP ŽP</w:t>
      </w:r>
      <w:r w:rsidRPr="0039268C">
        <w:rPr>
          <w:rFonts w:ascii="Arial" w:hAnsi="Arial" w:cs="Arial"/>
          <w:sz w:val="20"/>
          <w:szCs w:val="20"/>
        </w:rPr>
        <w:t xml:space="preserve"> a pomoci z EÚ, ako aj motivovať potenciálnych žiadateľov v lepšie pochopenie a využitie príležitosti z </w:t>
      </w:r>
      <w:r w:rsidR="000236A4">
        <w:rPr>
          <w:rFonts w:ascii="Arial" w:hAnsi="Arial" w:cs="Arial"/>
          <w:sz w:val="20"/>
          <w:szCs w:val="20"/>
        </w:rPr>
        <w:t>OP ŽP</w:t>
      </w:r>
      <w:r w:rsidRPr="0039268C">
        <w:rPr>
          <w:rFonts w:ascii="Arial" w:hAnsi="Arial" w:cs="Arial"/>
          <w:sz w:val="20"/>
          <w:szCs w:val="20"/>
        </w:rPr>
        <w:t>. V rámci kampane sa plánuje využívať najmä rola masmédií (TV, inzercia, internet). Na kampaň nadviaže marketingový prieskum úrovne povedomia verejnosti, zameraný na zistenie úrovne povedomia verejnosti o úlohe Európskej únie a opatreniach Operačného programu Životné prostredie na Slovensku,</w:t>
      </w:r>
      <w:r w:rsidRPr="0039268C">
        <w:rPr>
          <w:rFonts w:ascii="Arial" w:hAnsi="Arial" w:cs="Arial"/>
          <w:i/>
          <w:sz w:val="20"/>
          <w:szCs w:val="20"/>
        </w:rPr>
        <w:t xml:space="preserve"> </w:t>
      </w:r>
      <w:r w:rsidRPr="0039268C">
        <w:rPr>
          <w:rFonts w:ascii="Arial" w:hAnsi="Arial" w:cs="Arial"/>
          <w:sz w:val="20"/>
          <w:szCs w:val="20"/>
        </w:rPr>
        <w:t xml:space="preserve">ktorý RO  plánuje realizovať na konci roka 2013. Výsledky marketingového prieskumu budú nielen podkladom vo výročnej správe o vykonávaní </w:t>
      </w:r>
      <w:r w:rsidR="000236A4">
        <w:rPr>
          <w:rFonts w:ascii="Arial" w:hAnsi="Arial" w:cs="Arial"/>
          <w:sz w:val="20"/>
          <w:szCs w:val="20"/>
        </w:rPr>
        <w:t>OP ŽP</w:t>
      </w:r>
      <w:r w:rsidRPr="0039268C">
        <w:rPr>
          <w:rFonts w:ascii="Arial" w:hAnsi="Arial" w:cs="Arial"/>
          <w:sz w:val="20"/>
          <w:szCs w:val="20"/>
        </w:rPr>
        <w:t>, ale zároveň pomôžu odhaliť nedostatky príp. napomôžu pri identifikácii vhodných aktivít informovania a publicity zameraných na zvyšovanie povedomia verejnosti o príspevku EÚ prostredníctvom návrhu aktivít do ďalšieho programového obdobia. Vďaka tomu sa načrtne smerovanie komunikačnej politiky MŽP SR o fondoch EÚ v nasledujúcich rokoch.</w:t>
      </w:r>
    </w:p>
    <w:p w:rsidR="000A02D3" w:rsidRDefault="001B2601" w:rsidP="00507035">
      <w:pPr>
        <w:spacing w:before="120" w:after="120" w:line="360" w:lineRule="auto"/>
        <w:jc w:val="both"/>
        <w:rPr>
          <w:rFonts w:ascii="Arial" w:hAnsi="Arial" w:cs="Arial"/>
          <w:color w:val="000000"/>
          <w:sz w:val="20"/>
          <w:szCs w:val="20"/>
        </w:rPr>
      </w:pPr>
      <w:r w:rsidRPr="0039268C">
        <w:rPr>
          <w:rFonts w:ascii="Arial" w:hAnsi="Arial" w:cs="Arial"/>
          <w:color w:val="000000"/>
          <w:sz w:val="20"/>
          <w:szCs w:val="20"/>
        </w:rPr>
        <w:t xml:space="preserve">Rok 2013 rozvíja možnosti poukázať na príklady úspešne zrealizovaných, príp. realizujúcich sa projektov, čo sa RO OPŽP bude snažiť využiť najmä prostredníctvom zverejňovania takýchto informácií a výsledkov podpory na informačnom portáli </w:t>
      </w:r>
      <w:hyperlink r:id="rId95" w:history="1">
        <w:r w:rsidRPr="0039268C">
          <w:rPr>
            <w:rStyle w:val="Hypertextovprepojenie"/>
            <w:rFonts w:ascii="Arial" w:hAnsi="Arial" w:cs="Arial"/>
            <w:sz w:val="20"/>
            <w:szCs w:val="20"/>
          </w:rPr>
          <w:t>www.opzp.sk</w:t>
        </w:r>
      </w:hyperlink>
      <w:r w:rsidRPr="0039268C">
        <w:rPr>
          <w:rFonts w:ascii="Arial" w:hAnsi="Arial" w:cs="Arial"/>
          <w:color w:val="000000"/>
          <w:sz w:val="20"/>
          <w:szCs w:val="20"/>
        </w:rPr>
        <w:t xml:space="preserve"> a prostredníctvom ďalších komunikačných nástrojov, ku ktorým patria aj informačné články vo štvrťročníku Eurokompas – v spravodaji o štrukturálnych fondoch, ktorý v spolupráci s riadiacimi orgánmi vydáva Centrálny koordinačný orgán a v iných periodikách.</w:t>
      </w:r>
    </w:p>
    <w:p w:rsidR="001B2601" w:rsidRPr="0039268C" w:rsidRDefault="001B2601" w:rsidP="00507035">
      <w:pPr>
        <w:spacing w:before="120" w:after="120" w:line="360" w:lineRule="auto"/>
        <w:jc w:val="both"/>
        <w:rPr>
          <w:rFonts w:ascii="Arial" w:hAnsi="Arial" w:cs="Arial"/>
          <w:sz w:val="20"/>
          <w:szCs w:val="20"/>
        </w:rPr>
      </w:pPr>
      <w:r w:rsidRPr="0039268C">
        <w:rPr>
          <w:rFonts w:ascii="Arial" w:hAnsi="Arial" w:cs="Arial"/>
          <w:b/>
          <w:sz w:val="20"/>
          <w:szCs w:val="20"/>
        </w:rPr>
        <w:t>Príklady úspešne realizovaných projektov:</w:t>
      </w:r>
      <w:r w:rsidRPr="0039268C">
        <w:rPr>
          <w:rFonts w:ascii="Arial" w:hAnsi="Arial" w:cs="Arial"/>
          <w:sz w:val="20"/>
          <w:szCs w:val="20"/>
        </w:rPr>
        <w:t xml:space="preserve"> </w:t>
      </w:r>
      <w:hyperlink r:id="rId96" w:history="1">
        <w:r w:rsidRPr="0039268C">
          <w:rPr>
            <w:rStyle w:val="Hypertextovprepojenie"/>
            <w:rFonts w:ascii="Arial" w:hAnsi="Arial" w:cs="Arial"/>
            <w:sz w:val="20"/>
            <w:szCs w:val="20"/>
          </w:rPr>
          <w:t>http://www.opzp.sk/projekty/mapa-vzorovych-uspesne-realizovanych-projektov/</w:t>
        </w:r>
      </w:hyperlink>
      <w:r w:rsidRPr="0039268C">
        <w:rPr>
          <w:rFonts w:ascii="Arial" w:hAnsi="Arial" w:cs="Arial"/>
          <w:sz w:val="20"/>
          <w:szCs w:val="20"/>
        </w:rPr>
        <w:t xml:space="preserve"> </w:t>
      </w:r>
    </w:p>
    <w:p w:rsidR="002416B1" w:rsidRPr="001B2601" w:rsidRDefault="001B2601" w:rsidP="00507035">
      <w:pPr>
        <w:spacing w:before="120" w:after="120" w:line="360" w:lineRule="auto"/>
        <w:jc w:val="both"/>
        <w:rPr>
          <w:rFonts w:ascii="Arial" w:hAnsi="Arial" w:cs="Arial"/>
          <w:sz w:val="20"/>
          <w:szCs w:val="20"/>
        </w:rPr>
      </w:pPr>
      <w:r w:rsidRPr="0039268C">
        <w:rPr>
          <w:rFonts w:ascii="Arial" w:hAnsi="Arial" w:cs="Arial"/>
          <w:b/>
          <w:sz w:val="20"/>
          <w:szCs w:val="20"/>
        </w:rPr>
        <w:t>Zoznam prijímateľov:</w:t>
      </w:r>
      <w:r w:rsidRPr="0039268C">
        <w:rPr>
          <w:rFonts w:ascii="Arial" w:hAnsi="Arial" w:cs="Arial"/>
          <w:sz w:val="20"/>
          <w:szCs w:val="20"/>
        </w:rPr>
        <w:t xml:space="preserve"> </w:t>
      </w:r>
      <w:hyperlink r:id="rId97" w:history="1">
        <w:r w:rsidRPr="0039268C">
          <w:rPr>
            <w:rStyle w:val="Hypertextovprepojenie"/>
            <w:rFonts w:ascii="Arial" w:hAnsi="Arial" w:cs="Arial"/>
            <w:sz w:val="20"/>
            <w:szCs w:val="20"/>
          </w:rPr>
          <w:t>http://www.opzp.sk/projekty/zoznamy-opzp/zoznam-prijimatelov/</w:t>
        </w:r>
      </w:hyperlink>
    </w:p>
    <w:p w:rsidR="000A02D3" w:rsidRDefault="000A02D3">
      <w:pPr>
        <w:rPr>
          <w:rFonts w:ascii="Arial" w:hAnsi="Arial" w:cs="Arial"/>
          <w:sz w:val="20"/>
          <w:szCs w:val="20"/>
        </w:rPr>
      </w:pPr>
      <w:r>
        <w:rPr>
          <w:rFonts w:ascii="Arial" w:hAnsi="Arial" w:cs="Arial"/>
          <w:sz w:val="20"/>
          <w:szCs w:val="20"/>
        </w:rPr>
        <w:br w:type="page"/>
      </w:r>
    </w:p>
    <w:p w:rsidR="002416B1" w:rsidRPr="004B33AE" w:rsidRDefault="002416B1" w:rsidP="00507035">
      <w:pPr>
        <w:spacing w:before="120" w:after="120" w:line="360" w:lineRule="auto"/>
        <w:jc w:val="both"/>
        <w:rPr>
          <w:rFonts w:ascii="Arial" w:hAnsi="Arial" w:cs="Arial"/>
          <w:sz w:val="20"/>
          <w:szCs w:val="20"/>
        </w:rPr>
      </w:pPr>
    </w:p>
    <w:p w:rsidR="002416B1" w:rsidRPr="004B33AE" w:rsidRDefault="002416B1" w:rsidP="00507035">
      <w:pPr>
        <w:pStyle w:val="Nadpis1"/>
        <w:spacing w:before="120" w:after="120"/>
      </w:pPr>
      <w:bookmarkStart w:id="137" w:name="_6._Zoznam_použitých"/>
      <w:bookmarkStart w:id="138" w:name="_Toc135540071"/>
      <w:bookmarkStart w:id="139" w:name="_Toc319573349"/>
      <w:bookmarkEnd w:id="137"/>
      <w:r w:rsidRPr="004B33AE">
        <w:t>8. Zoznam použitých skratiek</w:t>
      </w:r>
      <w:bookmarkEnd w:id="138"/>
      <w:bookmarkEnd w:id="139"/>
    </w:p>
    <w:p w:rsidR="002416B1" w:rsidRPr="004B33AE" w:rsidRDefault="002416B1" w:rsidP="00507035">
      <w:pPr>
        <w:spacing w:before="120" w:after="120" w:line="360" w:lineRule="auto"/>
        <w:rPr>
          <w:rFonts w:ascii="Arial" w:hAnsi="Arial" w:cs="Arial"/>
          <w:sz w:val="20"/>
          <w:szCs w:val="20"/>
          <w:highlight w:val="yellow"/>
        </w:rPr>
      </w:pPr>
    </w:p>
    <w:tbl>
      <w:tblPr>
        <w:tblW w:w="5000" w:type="pct"/>
        <w:tblLook w:val="04A0" w:firstRow="1" w:lastRow="0" w:firstColumn="1" w:lastColumn="0" w:noHBand="0" w:noVBand="1"/>
      </w:tblPr>
      <w:tblGrid>
        <w:gridCol w:w="1391"/>
        <w:gridCol w:w="7895"/>
      </w:tblGrid>
      <w:tr w:rsidR="002416B1" w:rsidRPr="006A2BF3" w:rsidTr="003A5E95">
        <w:trPr>
          <w:trHeight w:val="284"/>
        </w:trPr>
        <w:tc>
          <w:tcPr>
            <w:tcW w:w="749" w:type="pct"/>
            <w:shd w:val="clear" w:color="auto" w:fill="EAF1DD"/>
            <w:vAlign w:val="center"/>
          </w:tcPr>
          <w:p w:rsidR="002416B1" w:rsidRPr="004B33AE" w:rsidRDefault="002416B1" w:rsidP="005F64CA">
            <w:pPr>
              <w:spacing w:before="100" w:beforeAutospacing="1" w:after="100" w:afterAutospacing="1" w:line="360" w:lineRule="auto"/>
              <w:rPr>
                <w:rFonts w:ascii="Arial" w:hAnsi="Arial" w:cs="Arial"/>
                <w:sz w:val="20"/>
                <w:szCs w:val="20"/>
              </w:rPr>
            </w:pPr>
            <w:r w:rsidRPr="004B33AE">
              <w:rPr>
                <w:rFonts w:ascii="Arial" w:hAnsi="Arial" w:cs="Arial"/>
                <w:sz w:val="20"/>
                <w:szCs w:val="20"/>
              </w:rPr>
              <w:t>CKO</w:t>
            </w:r>
          </w:p>
        </w:tc>
        <w:tc>
          <w:tcPr>
            <w:tcW w:w="4251" w:type="pct"/>
            <w:vAlign w:val="center"/>
          </w:tcPr>
          <w:p w:rsidR="002416B1" w:rsidRPr="004B33AE" w:rsidRDefault="002416B1" w:rsidP="005F64CA">
            <w:pPr>
              <w:spacing w:before="100" w:beforeAutospacing="1" w:after="100" w:afterAutospacing="1" w:line="360" w:lineRule="auto"/>
              <w:rPr>
                <w:rFonts w:ascii="Arial" w:hAnsi="Arial" w:cs="Arial"/>
                <w:sz w:val="20"/>
                <w:szCs w:val="20"/>
              </w:rPr>
            </w:pPr>
            <w:r w:rsidRPr="004B33AE">
              <w:rPr>
                <w:rFonts w:ascii="Arial" w:hAnsi="Arial" w:cs="Arial"/>
                <w:sz w:val="20"/>
                <w:szCs w:val="20"/>
              </w:rPr>
              <w:t>Centrálny koordinačný orgán</w:t>
            </w:r>
          </w:p>
        </w:tc>
      </w:tr>
      <w:tr w:rsidR="002416B1" w:rsidRPr="006A2BF3" w:rsidTr="003A5E95">
        <w:trPr>
          <w:trHeight w:val="284"/>
        </w:trPr>
        <w:tc>
          <w:tcPr>
            <w:tcW w:w="749" w:type="pct"/>
            <w:shd w:val="clear" w:color="auto" w:fill="EAF1DD"/>
            <w:vAlign w:val="center"/>
          </w:tcPr>
          <w:p w:rsidR="002416B1" w:rsidRPr="006A2BF3" w:rsidRDefault="002416B1" w:rsidP="005F64CA">
            <w:pPr>
              <w:spacing w:before="100" w:beforeAutospacing="1" w:after="100" w:afterAutospacing="1" w:line="360" w:lineRule="auto"/>
              <w:rPr>
                <w:rFonts w:ascii="Arial" w:hAnsi="Arial" w:cs="Arial"/>
                <w:sz w:val="20"/>
                <w:szCs w:val="20"/>
              </w:rPr>
            </w:pPr>
            <w:r w:rsidRPr="006A2BF3">
              <w:rPr>
                <w:rFonts w:ascii="Arial" w:hAnsi="Arial" w:cs="Arial"/>
                <w:sz w:val="20"/>
                <w:szCs w:val="20"/>
              </w:rPr>
              <w:t>CO</w:t>
            </w:r>
          </w:p>
        </w:tc>
        <w:tc>
          <w:tcPr>
            <w:tcW w:w="4251" w:type="pct"/>
            <w:vAlign w:val="center"/>
          </w:tcPr>
          <w:p w:rsidR="002416B1" w:rsidRPr="006A2BF3" w:rsidRDefault="002416B1" w:rsidP="005F64CA">
            <w:pPr>
              <w:spacing w:before="100" w:beforeAutospacing="1" w:after="100" w:afterAutospacing="1" w:line="360" w:lineRule="auto"/>
              <w:rPr>
                <w:rFonts w:ascii="Arial" w:hAnsi="Arial" w:cs="Arial"/>
                <w:sz w:val="20"/>
                <w:szCs w:val="20"/>
              </w:rPr>
            </w:pPr>
            <w:r w:rsidRPr="006A2BF3">
              <w:rPr>
                <w:rFonts w:ascii="Arial" w:hAnsi="Arial" w:cs="Arial"/>
                <w:sz w:val="20"/>
                <w:szCs w:val="20"/>
              </w:rPr>
              <w:t>Certifikačný orgán</w:t>
            </w:r>
          </w:p>
        </w:tc>
      </w:tr>
      <w:tr w:rsidR="002416B1" w:rsidRPr="006A2BF3" w:rsidTr="003A5E95">
        <w:trPr>
          <w:trHeight w:val="284"/>
        </w:trPr>
        <w:tc>
          <w:tcPr>
            <w:tcW w:w="749" w:type="pct"/>
            <w:shd w:val="clear" w:color="auto" w:fill="EAF1DD"/>
            <w:vAlign w:val="center"/>
          </w:tcPr>
          <w:p w:rsidR="002416B1" w:rsidRPr="006A2BF3" w:rsidRDefault="002416B1" w:rsidP="005F64CA">
            <w:pPr>
              <w:spacing w:before="100" w:beforeAutospacing="1" w:after="100" w:afterAutospacing="1" w:line="360" w:lineRule="auto"/>
              <w:rPr>
                <w:rFonts w:ascii="Arial" w:hAnsi="Arial" w:cs="Arial"/>
                <w:sz w:val="20"/>
                <w:szCs w:val="20"/>
              </w:rPr>
            </w:pPr>
            <w:r w:rsidRPr="006A2BF3">
              <w:rPr>
                <w:rFonts w:ascii="Arial" w:hAnsi="Arial" w:cs="Arial"/>
                <w:sz w:val="20"/>
                <w:szCs w:val="20"/>
              </w:rPr>
              <w:t>ČOV</w:t>
            </w:r>
          </w:p>
        </w:tc>
        <w:tc>
          <w:tcPr>
            <w:tcW w:w="4251" w:type="pct"/>
            <w:vAlign w:val="center"/>
          </w:tcPr>
          <w:p w:rsidR="002416B1" w:rsidRPr="006A2BF3" w:rsidRDefault="002416B1" w:rsidP="005F64CA">
            <w:pPr>
              <w:spacing w:before="100" w:beforeAutospacing="1" w:after="100" w:afterAutospacing="1" w:line="360" w:lineRule="auto"/>
              <w:rPr>
                <w:rFonts w:ascii="Arial" w:hAnsi="Arial" w:cs="Arial"/>
                <w:sz w:val="20"/>
                <w:szCs w:val="20"/>
              </w:rPr>
            </w:pPr>
            <w:r w:rsidRPr="006A2BF3">
              <w:rPr>
                <w:rFonts w:ascii="Arial" w:hAnsi="Arial" w:cs="Arial"/>
                <w:sz w:val="20"/>
                <w:szCs w:val="20"/>
              </w:rPr>
              <w:t>Čistiareň odpadových vôd</w:t>
            </w:r>
          </w:p>
        </w:tc>
      </w:tr>
      <w:tr w:rsidR="002416B1" w:rsidRPr="006A2BF3" w:rsidTr="003A5E95">
        <w:trPr>
          <w:trHeight w:val="284"/>
        </w:trPr>
        <w:tc>
          <w:tcPr>
            <w:tcW w:w="749" w:type="pct"/>
            <w:shd w:val="clear" w:color="auto" w:fill="EAF1DD"/>
            <w:vAlign w:val="center"/>
          </w:tcPr>
          <w:p w:rsidR="002416B1" w:rsidRPr="006A2BF3" w:rsidRDefault="002416B1" w:rsidP="005F64CA">
            <w:pPr>
              <w:spacing w:before="100" w:beforeAutospacing="1" w:after="100" w:afterAutospacing="1" w:line="360" w:lineRule="auto"/>
              <w:rPr>
                <w:rFonts w:ascii="Arial" w:hAnsi="Arial" w:cs="Arial"/>
                <w:sz w:val="20"/>
                <w:szCs w:val="20"/>
              </w:rPr>
            </w:pPr>
            <w:r>
              <w:rPr>
                <w:rFonts w:ascii="Arial" w:hAnsi="Arial" w:cs="Arial"/>
                <w:sz w:val="20"/>
                <w:szCs w:val="20"/>
              </w:rPr>
              <w:t>DPH</w:t>
            </w:r>
          </w:p>
        </w:tc>
        <w:tc>
          <w:tcPr>
            <w:tcW w:w="4251" w:type="pct"/>
            <w:vAlign w:val="center"/>
          </w:tcPr>
          <w:p w:rsidR="002416B1" w:rsidRPr="006A2BF3" w:rsidRDefault="002416B1" w:rsidP="005F64CA">
            <w:pPr>
              <w:spacing w:before="100" w:beforeAutospacing="1" w:after="100" w:afterAutospacing="1" w:line="360" w:lineRule="auto"/>
              <w:rPr>
                <w:rFonts w:ascii="Arial" w:hAnsi="Arial" w:cs="Arial"/>
                <w:sz w:val="20"/>
                <w:szCs w:val="20"/>
              </w:rPr>
            </w:pPr>
            <w:r>
              <w:rPr>
                <w:rFonts w:ascii="Arial" w:hAnsi="Arial" w:cs="Arial"/>
                <w:sz w:val="20"/>
                <w:szCs w:val="20"/>
              </w:rPr>
              <w:t>Daň z pridanej hodnoty</w:t>
            </w:r>
          </w:p>
        </w:tc>
      </w:tr>
      <w:tr w:rsidR="002416B1" w:rsidRPr="006A2BF3" w:rsidTr="003A5E95">
        <w:trPr>
          <w:trHeight w:val="284"/>
        </w:trPr>
        <w:tc>
          <w:tcPr>
            <w:tcW w:w="749" w:type="pct"/>
            <w:shd w:val="clear" w:color="auto" w:fill="EAF1DD"/>
            <w:vAlign w:val="center"/>
          </w:tcPr>
          <w:p w:rsidR="002416B1" w:rsidRPr="006A2BF3" w:rsidRDefault="002416B1" w:rsidP="005F64CA">
            <w:pPr>
              <w:spacing w:before="100" w:beforeAutospacing="1" w:after="100" w:afterAutospacing="1" w:line="360" w:lineRule="auto"/>
              <w:rPr>
                <w:rFonts w:ascii="Arial" w:hAnsi="Arial" w:cs="Arial"/>
                <w:sz w:val="20"/>
                <w:szCs w:val="20"/>
              </w:rPr>
            </w:pPr>
            <w:r w:rsidRPr="006A2BF3">
              <w:rPr>
                <w:rFonts w:ascii="Arial" w:hAnsi="Arial" w:cs="Arial"/>
                <w:sz w:val="20"/>
                <w:szCs w:val="20"/>
              </w:rPr>
              <w:t>EAFRD</w:t>
            </w:r>
          </w:p>
        </w:tc>
        <w:tc>
          <w:tcPr>
            <w:tcW w:w="4251" w:type="pct"/>
            <w:vAlign w:val="center"/>
          </w:tcPr>
          <w:p w:rsidR="002416B1" w:rsidRPr="006A2BF3" w:rsidRDefault="002416B1" w:rsidP="005F64CA">
            <w:pPr>
              <w:spacing w:before="100" w:beforeAutospacing="1" w:after="100" w:afterAutospacing="1" w:line="360" w:lineRule="auto"/>
              <w:rPr>
                <w:rFonts w:ascii="Arial" w:hAnsi="Arial" w:cs="Arial"/>
                <w:sz w:val="20"/>
                <w:szCs w:val="20"/>
              </w:rPr>
            </w:pPr>
            <w:r w:rsidRPr="006A2BF3">
              <w:rPr>
                <w:rFonts w:ascii="Arial" w:hAnsi="Arial" w:cs="Arial"/>
                <w:sz w:val="20"/>
                <w:szCs w:val="20"/>
              </w:rPr>
              <w:t>Európsky poľnohospodársky fond pre rozvoj vidieka</w:t>
            </w:r>
          </w:p>
        </w:tc>
      </w:tr>
      <w:tr w:rsidR="002416B1" w:rsidRPr="006A2BF3" w:rsidTr="003A5E95">
        <w:trPr>
          <w:trHeight w:val="284"/>
        </w:trPr>
        <w:tc>
          <w:tcPr>
            <w:tcW w:w="749" w:type="pct"/>
            <w:shd w:val="clear" w:color="auto" w:fill="EAF1DD"/>
            <w:vAlign w:val="center"/>
          </w:tcPr>
          <w:p w:rsidR="002416B1" w:rsidRPr="006A2BF3" w:rsidRDefault="002416B1" w:rsidP="005F64CA">
            <w:pPr>
              <w:spacing w:before="100" w:beforeAutospacing="1" w:after="100" w:afterAutospacing="1" w:line="360" w:lineRule="auto"/>
              <w:rPr>
                <w:rFonts w:ascii="Arial" w:hAnsi="Arial" w:cs="Arial"/>
                <w:sz w:val="20"/>
                <w:szCs w:val="20"/>
              </w:rPr>
            </w:pPr>
            <w:r w:rsidRPr="006A2BF3">
              <w:rPr>
                <w:rFonts w:ascii="Arial" w:hAnsi="Arial" w:cs="Arial"/>
                <w:sz w:val="20"/>
                <w:szCs w:val="20"/>
              </w:rPr>
              <w:t>EBRD</w:t>
            </w:r>
          </w:p>
        </w:tc>
        <w:tc>
          <w:tcPr>
            <w:tcW w:w="4251" w:type="pct"/>
            <w:vAlign w:val="center"/>
          </w:tcPr>
          <w:p w:rsidR="002416B1" w:rsidRPr="006A2BF3" w:rsidRDefault="002416B1" w:rsidP="005F64CA">
            <w:pPr>
              <w:spacing w:before="100" w:beforeAutospacing="1" w:after="100" w:afterAutospacing="1" w:line="360" w:lineRule="auto"/>
              <w:rPr>
                <w:rFonts w:ascii="Arial" w:hAnsi="Arial" w:cs="Arial"/>
                <w:sz w:val="20"/>
                <w:szCs w:val="20"/>
              </w:rPr>
            </w:pPr>
            <w:r w:rsidRPr="006A2BF3">
              <w:rPr>
                <w:rFonts w:ascii="Arial" w:hAnsi="Arial" w:cs="Arial"/>
                <w:sz w:val="20"/>
                <w:szCs w:val="20"/>
              </w:rPr>
              <w:t>Európska banka pre obnovu a rozvoj</w:t>
            </w:r>
          </w:p>
        </w:tc>
      </w:tr>
      <w:tr w:rsidR="002416B1" w:rsidRPr="006A2BF3" w:rsidTr="003A5E95">
        <w:trPr>
          <w:trHeight w:val="284"/>
        </w:trPr>
        <w:tc>
          <w:tcPr>
            <w:tcW w:w="749" w:type="pct"/>
            <w:shd w:val="clear" w:color="auto" w:fill="EAF1DD"/>
            <w:vAlign w:val="center"/>
          </w:tcPr>
          <w:p w:rsidR="002416B1" w:rsidRPr="006A2BF3" w:rsidRDefault="002416B1" w:rsidP="005F64CA">
            <w:pPr>
              <w:spacing w:before="100" w:beforeAutospacing="1" w:after="100" w:afterAutospacing="1" w:line="360" w:lineRule="auto"/>
              <w:rPr>
                <w:rFonts w:ascii="Arial" w:hAnsi="Arial" w:cs="Arial"/>
                <w:sz w:val="20"/>
                <w:szCs w:val="20"/>
              </w:rPr>
            </w:pPr>
            <w:r w:rsidRPr="006A2BF3">
              <w:rPr>
                <w:rFonts w:ascii="Arial" w:hAnsi="Arial" w:cs="Arial"/>
                <w:sz w:val="20"/>
                <w:szCs w:val="20"/>
              </w:rPr>
              <w:t>EIB</w:t>
            </w:r>
          </w:p>
        </w:tc>
        <w:tc>
          <w:tcPr>
            <w:tcW w:w="4251" w:type="pct"/>
            <w:vAlign w:val="center"/>
          </w:tcPr>
          <w:p w:rsidR="002416B1" w:rsidRPr="006A2BF3" w:rsidRDefault="002416B1" w:rsidP="005F64CA">
            <w:pPr>
              <w:spacing w:before="100" w:beforeAutospacing="1" w:after="100" w:afterAutospacing="1" w:line="360" w:lineRule="auto"/>
              <w:rPr>
                <w:rFonts w:ascii="Arial" w:hAnsi="Arial" w:cs="Arial"/>
                <w:sz w:val="20"/>
                <w:szCs w:val="20"/>
              </w:rPr>
            </w:pPr>
            <w:r w:rsidRPr="006A2BF3">
              <w:rPr>
                <w:rFonts w:ascii="Arial" w:hAnsi="Arial" w:cs="Arial"/>
                <w:sz w:val="20"/>
                <w:szCs w:val="20"/>
              </w:rPr>
              <w:t>Európska investičná banka</w:t>
            </w:r>
          </w:p>
        </w:tc>
      </w:tr>
      <w:tr w:rsidR="002416B1" w:rsidRPr="006A2BF3" w:rsidTr="003A5E95">
        <w:trPr>
          <w:trHeight w:val="284"/>
        </w:trPr>
        <w:tc>
          <w:tcPr>
            <w:tcW w:w="749" w:type="pct"/>
            <w:shd w:val="clear" w:color="auto" w:fill="EAF1DD"/>
            <w:vAlign w:val="center"/>
          </w:tcPr>
          <w:p w:rsidR="002416B1" w:rsidRPr="006A2BF3" w:rsidRDefault="002416B1" w:rsidP="005F64CA">
            <w:pPr>
              <w:spacing w:before="100" w:beforeAutospacing="1" w:after="100" w:afterAutospacing="1" w:line="360" w:lineRule="auto"/>
              <w:rPr>
                <w:rFonts w:ascii="Arial" w:hAnsi="Arial" w:cs="Arial"/>
                <w:sz w:val="20"/>
                <w:szCs w:val="20"/>
              </w:rPr>
            </w:pPr>
            <w:r w:rsidRPr="006A2BF3">
              <w:rPr>
                <w:rFonts w:ascii="Arial" w:hAnsi="Arial" w:cs="Arial"/>
                <w:sz w:val="20"/>
                <w:szCs w:val="20"/>
              </w:rPr>
              <w:t>EIF</w:t>
            </w:r>
          </w:p>
        </w:tc>
        <w:tc>
          <w:tcPr>
            <w:tcW w:w="4251" w:type="pct"/>
            <w:vAlign w:val="center"/>
          </w:tcPr>
          <w:p w:rsidR="002416B1" w:rsidRPr="006A2BF3" w:rsidRDefault="002416B1" w:rsidP="005F64CA">
            <w:pPr>
              <w:spacing w:before="100" w:beforeAutospacing="1" w:after="100" w:afterAutospacing="1" w:line="360" w:lineRule="auto"/>
              <w:rPr>
                <w:rFonts w:ascii="Arial" w:hAnsi="Arial" w:cs="Arial"/>
                <w:sz w:val="20"/>
                <w:szCs w:val="20"/>
              </w:rPr>
            </w:pPr>
            <w:r w:rsidRPr="006A2BF3">
              <w:rPr>
                <w:rFonts w:ascii="Arial" w:hAnsi="Arial" w:cs="Arial"/>
                <w:sz w:val="20"/>
                <w:szCs w:val="20"/>
              </w:rPr>
              <w:t>Európsky investičný fond</w:t>
            </w:r>
          </w:p>
        </w:tc>
      </w:tr>
      <w:tr w:rsidR="002416B1" w:rsidRPr="006A2BF3" w:rsidTr="003A5E95">
        <w:trPr>
          <w:trHeight w:val="284"/>
        </w:trPr>
        <w:tc>
          <w:tcPr>
            <w:tcW w:w="749" w:type="pct"/>
            <w:shd w:val="clear" w:color="auto" w:fill="EAF1DD"/>
            <w:vAlign w:val="center"/>
          </w:tcPr>
          <w:p w:rsidR="002416B1" w:rsidRPr="006A2BF3" w:rsidRDefault="002416B1" w:rsidP="005F64CA">
            <w:pPr>
              <w:spacing w:before="100" w:beforeAutospacing="1" w:after="100" w:afterAutospacing="1" w:line="360" w:lineRule="auto"/>
              <w:rPr>
                <w:rFonts w:ascii="Arial" w:hAnsi="Arial" w:cs="Arial"/>
                <w:sz w:val="20"/>
                <w:szCs w:val="20"/>
              </w:rPr>
            </w:pPr>
            <w:r>
              <w:rPr>
                <w:rFonts w:ascii="Arial" w:hAnsi="Arial" w:cs="Arial"/>
                <w:sz w:val="20"/>
                <w:szCs w:val="20"/>
              </w:rPr>
              <w:t>EK</w:t>
            </w:r>
          </w:p>
        </w:tc>
        <w:tc>
          <w:tcPr>
            <w:tcW w:w="4251" w:type="pct"/>
            <w:vAlign w:val="center"/>
          </w:tcPr>
          <w:p w:rsidR="002416B1" w:rsidRPr="006A2BF3" w:rsidRDefault="002416B1" w:rsidP="005F64CA">
            <w:pPr>
              <w:spacing w:before="100" w:beforeAutospacing="1" w:after="100" w:afterAutospacing="1" w:line="360" w:lineRule="auto"/>
              <w:rPr>
                <w:rFonts w:ascii="Arial" w:hAnsi="Arial" w:cs="Arial"/>
                <w:sz w:val="20"/>
                <w:szCs w:val="20"/>
              </w:rPr>
            </w:pPr>
            <w:r>
              <w:rPr>
                <w:rFonts w:ascii="Arial" w:hAnsi="Arial" w:cs="Arial"/>
                <w:sz w:val="20"/>
                <w:szCs w:val="20"/>
              </w:rPr>
              <w:t>Európska komisia</w:t>
            </w:r>
          </w:p>
        </w:tc>
      </w:tr>
      <w:tr w:rsidR="002416B1" w:rsidRPr="006A2BF3" w:rsidTr="003A5E95">
        <w:trPr>
          <w:trHeight w:val="284"/>
        </w:trPr>
        <w:tc>
          <w:tcPr>
            <w:tcW w:w="749" w:type="pct"/>
            <w:shd w:val="clear" w:color="auto" w:fill="EAF1DD"/>
            <w:vAlign w:val="center"/>
          </w:tcPr>
          <w:p w:rsidR="002416B1" w:rsidRPr="006A2BF3" w:rsidRDefault="002416B1" w:rsidP="005F64CA">
            <w:pPr>
              <w:spacing w:before="100" w:beforeAutospacing="1" w:after="100" w:afterAutospacing="1" w:line="360" w:lineRule="auto"/>
              <w:rPr>
                <w:rFonts w:ascii="Arial" w:hAnsi="Arial" w:cs="Arial"/>
                <w:sz w:val="20"/>
                <w:szCs w:val="20"/>
              </w:rPr>
            </w:pPr>
            <w:r w:rsidRPr="006A2BF3">
              <w:rPr>
                <w:rFonts w:ascii="Arial" w:hAnsi="Arial" w:cs="Arial"/>
                <w:sz w:val="20"/>
                <w:szCs w:val="20"/>
              </w:rPr>
              <w:t>EO</w:t>
            </w:r>
          </w:p>
        </w:tc>
        <w:tc>
          <w:tcPr>
            <w:tcW w:w="4251" w:type="pct"/>
            <w:vAlign w:val="center"/>
          </w:tcPr>
          <w:p w:rsidR="002416B1" w:rsidRPr="006A2BF3" w:rsidRDefault="002416B1" w:rsidP="005F64CA">
            <w:pPr>
              <w:spacing w:before="100" w:beforeAutospacing="1" w:after="100" w:afterAutospacing="1" w:line="360" w:lineRule="auto"/>
              <w:rPr>
                <w:rFonts w:ascii="Arial" w:hAnsi="Arial" w:cs="Arial"/>
                <w:sz w:val="20"/>
                <w:szCs w:val="20"/>
              </w:rPr>
            </w:pPr>
            <w:r w:rsidRPr="006A2BF3">
              <w:rPr>
                <w:rFonts w:ascii="Arial" w:hAnsi="Arial" w:cs="Arial"/>
                <w:sz w:val="20"/>
                <w:szCs w:val="20"/>
              </w:rPr>
              <w:t>Ekvivalentný obyvateľ</w:t>
            </w:r>
          </w:p>
        </w:tc>
      </w:tr>
      <w:tr w:rsidR="002416B1" w:rsidRPr="006A2BF3" w:rsidTr="003A5E95">
        <w:trPr>
          <w:trHeight w:val="284"/>
        </w:trPr>
        <w:tc>
          <w:tcPr>
            <w:tcW w:w="749" w:type="pct"/>
            <w:shd w:val="clear" w:color="auto" w:fill="EAF1DD"/>
            <w:vAlign w:val="center"/>
          </w:tcPr>
          <w:p w:rsidR="002416B1" w:rsidRPr="006A2BF3" w:rsidRDefault="002416B1" w:rsidP="005F64CA">
            <w:pPr>
              <w:spacing w:before="100" w:beforeAutospacing="1" w:after="100" w:afterAutospacing="1" w:line="360" w:lineRule="auto"/>
              <w:rPr>
                <w:rFonts w:ascii="Arial" w:hAnsi="Arial" w:cs="Arial"/>
                <w:sz w:val="20"/>
                <w:szCs w:val="20"/>
              </w:rPr>
            </w:pPr>
            <w:r w:rsidRPr="006A2BF3">
              <w:rPr>
                <w:rFonts w:ascii="Arial" w:hAnsi="Arial" w:cs="Arial"/>
                <w:sz w:val="20"/>
                <w:szCs w:val="20"/>
              </w:rPr>
              <w:t>ERDF</w:t>
            </w:r>
          </w:p>
        </w:tc>
        <w:tc>
          <w:tcPr>
            <w:tcW w:w="4251" w:type="pct"/>
            <w:vAlign w:val="center"/>
          </w:tcPr>
          <w:p w:rsidR="002416B1" w:rsidRPr="006A2BF3" w:rsidRDefault="002416B1" w:rsidP="005F64CA">
            <w:pPr>
              <w:spacing w:before="100" w:beforeAutospacing="1" w:after="100" w:afterAutospacing="1" w:line="360" w:lineRule="auto"/>
              <w:rPr>
                <w:rFonts w:ascii="Arial" w:hAnsi="Arial" w:cs="Arial"/>
                <w:sz w:val="20"/>
                <w:szCs w:val="20"/>
              </w:rPr>
            </w:pPr>
            <w:r w:rsidRPr="006A2BF3">
              <w:rPr>
                <w:rFonts w:ascii="Arial" w:hAnsi="Arial" w:cs="Arial"/>
                <w:sz w:val="20"/>
                <w:szCs w:val="20"/>
              </w:rPr>
              <w:tab/>
            </w:r>
            <w:r w:rsidRPr="006A2BF3">
              <w:rPr>
                <w:rFonts w:ascii="Arial" w:hAnsi="Arial" w:cs="Arial"/>
                <w:sz w:val="20"/>
                <w:szCs w:val="20"/>
              </w:rPr>
              <w:tab/>
              <w:t>Európsky fond regionálneho rozvoja</w:t>
            </w:r>
          </w:p>
        </w:tc>
      </w:tr>
      <w:tr w:rsidR="002416B1" w:rsidRPr="006A2BF3" w:rsidTr="003A5E95">
        <w:trPr>
          <w:trHeight w:val="284"/>
        </w:trPr>
        <w:tc>
          <w:tcPr>
            <w:tcW w:w="749" w:type="pct"/>
            <w:shd w:val="clear" w:color="auto" w:fill="EAF1DD"/>
            <w:vAlign w:val="center"/>
          </w:tcPr>
          <w:p w:rsidR="002416B1" w:rsidRPr="006A2BF3" w:rsidRDefault="002416B1" w:rsidP="005F64CA">
            <w:pPr>
              <w:spacing w:before="100" w:beforeAutospacing="1" w:after="100" w:afterAutospacing="1" w:line="360" w:lineRule="auto"/>
              <w:rPr>
                <w:rFonts w:ascii="Arial" w:hAnsi="Arial" w:cs="Arial"/>
                <w:sz w:val="20"/>
                <w:szCs w:val="20"/>
              </w:rPr>
            </w:pPr>
            <w:r>
              <w:rPr>
                <w:rFonts w:ascii="Arial" w:hAnsi="Arial" w:cs="Arial"/>
                <w:sz w:val="20"/>
                <w:szCs w:val="20"/>
              </w:rPr>
              <w:t>ES</w:t>
            </w:r>
          </w:p>
        </w:tc>
        <w:tc>
          <w:tcPr>
            <w:tcW w:w="4251" w:type="pct"/>
            <w:vAlign w:val="center"/>
          </w:tcPr>
          <w:p w:rsidR="002416B1" w:rsidRPr="006A2BF3" w:rsidRDefault="002416B1" w:rsidP="005F64CA">
            <w:pPr>
              <w:spacing w:before="100" w:beforeAutospacing="1" w:after="100" w:afterAutospacing="1" w:line="360" w:lineRule="auto"/>
              <w:rPr>
                <w:rFonts w:ascii="Arial" w:hAnsi="Arial" w:cs="Arial"/>
                <w:sz w:val="20"/>
                <w:szCs w:val="20"/>
              </w:rPr>
            </w:pPr>
            <w:r>
              <w:rPr>
                <w:rFonts w:ascii="Arial" w:hAnsi="Arial" w:cs="Arial"/>
                <w:sz w:val="20"/>
                <w:szCs w:val="20"/>
              </w:rPr>
              <w:t>Európske spoločenstvo</w:t>
            </w:r>
          </w:p>
        </w:tc>
      </w:tr>
      <w:tr w:rsidR="002416B1" w:rsidRPr="006A2BF3" w:rsidTr="003A5E95">
        <w:trPr>
          <w:trHeight w:val="284"/>
        </w:trPr>
        <w:tc>
          <w:tcPr>
            <w:tcW w:w="749" w:type="pct"/>
            <w:shd w:val="clear" w:color="auto" w:fill="EAF1DD"/>
            <w:vAlign w:val="center"/>
          </w:tcPr>
          <w:p w:rsidR="002416B1" w:rsidRPr="006A2BF3" w:rsidRDefault="002416B1" w:rsidP="005F64CA">
            <w:pPr>
              <w:spacing w:before="100" w:beforeAutospacing="1" w:after="100" w:afterAutospacing="1" w:line="360" w:lineRule="auto"/>
              <w:rPr>
                <w:rFonts w:ascii="Arial" w:hAnsi="Arial" w:cs="Arial"/>
                <w:sz w:val="20"/>
                <w:szCs w:val="20"/>
              </w:rPr>
            </w:pPr>
            <w:r>
              <w:rPr>
                <w:rFonts w:ascii="Arial" w:hAnsi="Arial" w:cs="Arial"/>
                <w:sz w:val="20"/>
                <w:szCs w:val="20"/>
              </w:rPr>
              <w:t>EÚ</w:t>
            </w:r>
          </w:p>
        </w:tc>
        <w:tc>
          <w:tcPr>
            <w:tcW w:w="4251" w:type="pct"/>
            <w:vAlign w:val="center"/>
          </w:tcPr>
          <w:p w:rsidR="002416B1" w:rsidRPr="006A2BF3" w:rsidRDefault="002416B1" w:rsidP="005F64CA">
            <w:pPr>
              <w:spacing w:before="100" w:beforeAutospacing="1" w:after="100" w:afterAutospacing="1" w:line="360" w:lineRule="auto"/>
              <w:rPr>
                <w:rFonts w:ascii="Arial" w:hAnsi="Arial" w:cs="Arial"/>
                <w:sz w:val="20"/>
                <w:szCs w:val="20"/>
              </w:rPr>
            </w:pPr>
            <w:r>
              <w:rPr>
                <w:rFonts w:ascii="Arial" w:hAnsi="Arial" w:cs="Arial"/>
                <w:sz w:val="20"/>
                <w:szCs w:val="20"/>
              </w:rPr>
              <w:t>Európska únia</w:t>
            </w:r>
          </w:p>
        </w:tc>
      </w:tr>
      <w:tr w:rsidR="002416B1" w:rsidRPr="006A2BF3" w:rsidTr="003A5E95">
        <w:trPr>
          <w:trHeight w:val="284"/>
        </w:trPr>
        <w:tc>
          <w:tcPr>
            <w:tcW w:w="749" w:type="pct"/>
            <w:shd w:val="clear" w:color="auto" w:fill="EAF1DD"/>
            <w:vAlign w:val="center"/>
          </w:tcPr>
          <w:p w:rsidR="002416B1" w:rsidRPr="006A2BF3" w:rsidRDefault="002416B1" w:rsidP="005F64CA">
            <w:pPr>
              <w:spacing w:before="100" w:beforeAutospacing="1" w:after="100" w:afterAutospacing="1" w:line="360" w:lineRule="auto"/>
              <w:rPr>
                <w:rFonts w:ascii="Arial" w:hAnsi="Arial" w:cs="Arial"/>
                <w:sz w:val="20"/>
                <w:szCs w:val="20"/>
              </w:rPr>
            </w:pPr>
            <w:r w:rsidRPr="006A2BF3">
              <w:rPr>
                <w:rFonts w:ascii="Arial" w:hAnsi="Arial" w:cs="Arial"/>
                <w:sz w:val="20"/>
                <w:szCs w:val="20"/>
              </w:rPr>
              <w:t>FM EHP</w:t>
            </w:r>
          </w:p>
        </w:tc>
        <w:tc>
          <w:tcPr>
            <w:tcW w:w="4251" w:type="pct"/>
            <w:vAlign w:val="center"/>
          </w:tcPr>
          <w:p w:rsidR="002416B1" w:rsidRPr="006A2BF3" w:rsidRDefault="002416B1" w:rsidP="005F64CA">
            <w:pPr>
              <w:spacing w:before="100" w:beforeAutospacing="1" w:after="100" w:afterAutospacing="1" w:line="360" w:lineRule="auto"/>
              <w:rPr>
                <w:rFonts w:ascii="Arial" w:hAnsi="Arial" w:cs="Arial"/>
                <w:sz w:val="20"/>
                <w:szCs w:val="20"/>
              </w:rPr>
            </w:pPr>
            <w:r w:rsidRPr="006A2BF3">
              <w:rPr>
                <w:rFonts w:ascii="Arial" w:hAnsi="Arial" w:cs="Arial"/>
                <w:sz w:val="20"/>
                <w:szCs w:val="20"/>
              </w:rPr>
              <w:t xml:space="preserve">Finančný mechanizmus Európsky hospodársky priestor </w:t>
            </w:r>
          </w:p>
        </w:tc>
      </w:tr>
      <w:tr w:rsidR="002416B1" w:rsidRPr="006A2BF3" w:rsidTr="003A5E95">
        <w:trPr>
          <w:trHeight w:val="284"/>
        </w:trPr>
        <w:tc>
          <w:tcPr>
            <w:tcW w:w="749" w:type="pct"/>
            <w:shd w:val="clear" w:color="auto" w:fill="EAF1DD"/>
            <w:vAlign w:val="center"/>
          </w:tcPr>
          <w:p w:rsidR="002416B1" w:rsidRPr="006A2BF3" w:rsidRDefault="002416B1" w:rsidP="005F64CA">
            <w:pPr>
              <w:spacing w:before="100" w:beforeAutospacing="1" w:after="100" w:afterAutospacing="1" w:line="360" w:lineRule="auto"/>
              <w:rPr>
                <w:rFonts w:ascii="Arial" w:hAnsi="Arial" w:cs="Arial"/>
                <w:sz w:val="20"/>
                <w:szCs w:val="20"/>
              </w:rPr>
            </w:pPr>
            <w:r w:rsidRPr="006A2BF3">
              <w:rPr>
                <w:rFonts w:ascii="Arial" w:hAnsi="Arial" w:cs="Arial"/>
                <w:sz w:val="20"/>
                <w:szCs w:val="20"/>
              </w:rPr>
              <w:t>FO</w:t>
            </w:r>
          </w:p>
        </w:tc>
        <w:tc>
          <w:tcPr>
            <w:tcW w:w="4251" w:type="pct"/>
            <w:vAlign w:val="center"/>
          </w:tcPr>
          <w:p w:rsidR="002416B1" w:rsidRPr="006A2BF3" w:rsidRDefault="002416B1" w:rsidP="005F64CA">
            <w:pPr>
              <w:spacing w:before="100" w:beforeAutospacing="1" w:after="100" w:afterAutospacing="1" w:line="360" w:lineRule="auto"/>
              <w:rPr>
                <w:rFonts w:ascii="Arial" w:hAnsi="Arial" w:cs="Arial"/>
                <w:sz w:val="20"/>
                <w:szCs w:val="20"/>
              </w:rPr>
            </w:pPr>
            <w:r w:rsidRPr="006A2BF3">
              <w:rPr>
                <w:rFonts w:ascii="Arial" w:hAnsi="Arial" w:cs="Arial"/>
                <w:sz w:val="20"/>
                <w:szCs w:val="20"/>
              </w:rPr>
              <w:t>Formálne oznámenie</w:t>
            </w:r>
          </w:p>
        </w:tc>
      </w:tr>
      <w:tr w:rsidR="002416B1" w:rsidRPr="006A2BF3" w:rsidTr="003A5E95">
        <w:trPr>
          <w:trHeight w:val="284"/>
        </w:trPr>
        <w:tc>
          <w:tcPr>
            <w:tcW w:w="749" w:type="pct"/>
            <w:shd w:val="clear" w:color="auto" w:fill="EAF1DD"/>
            <w:vAlign w:val="center"/>
          </w:tcPr>
          <w:p w:rsidR="002416B1" w:rsidRPr="006A2BF3" w:rsidRDefault="002416B1" w:rsidP="005F64CA">
            <w:pPr>
              <w:spacing w:before="100" w:beforeAutospacing="1" w:after="100" w:afterAutospacing="1" w:line="360" w:lineRule="auto"/>
              <w:rPr>
                <w:rFonts w:ascii="Arial" w:hAnsi="Arial" w:cs="Arial"/>
                <w:sz w:val="20"/>
                <w:szCs w:val="20"/>
              </w:rPr>
            </w:pPr>
            <w:r w:rsidRPr="006A2BF3">
              <w:rPr>
                <w:rFonts w:ascii="Arial" w:hAnsi="Arial" w:cs="Arial"/>
                <w:sz w:val="20"/>
                <w:szCs w:val="20"/>
              </w:rPr>
              <w:t>FRSP</w:t>
            </w:r>
          </w:p>
        </w:tc>
        <w:tc>
          <w:tcPr>
            <w:tcW w:w="4251" w:type="pct"/>
            <w:vAlign w:val="center"/>
          </w:tcPr>
          <w:p w:rsidR="002416B1" w:rsidRPr="006A2BF3" w:rsidRDefault="002416B1" w:rsidP="005F64CA">
            <w:pPr>
              <w:spacing w:before="100" w:beforeAutospacing="1" w:after="100" w:afterAutospacing="1" w:line="360" w:lineRule="auto"/>
              <w:rPr>
                <w:rFonts w:ascii="Arial" w:hAnsi="Arial" w:cs="Arial"/>
                <w:sz w:val="20"/>
                <w:szCs w:val="20"/>
              </w:rPr>
            </w:pPr>
            <w:r w:rsidRPr="006A2BF3">
              <w:rPr>
                <w:rFonts w:ascii="Arial" w:hAnsi="Arial" w:cs="Arial"/>
                <w:sz w:val="20"/>
                <w:szCs w:val="20"/>
              </w:rPr>
              <w:t>Finančný nástroj „funded risk sharing product“</w:t>
            </w:r>
          </w:p>
        </w:tc>
      </w:tr>
      <w:tr w:rsidR="002416B1" w:rsidRPr="006A2BF3" w:rsidTr="003A5E95">
        <w:trPr>
          <w:trHeight w:val="284"/>
        </w:trPr>
        <w:tc>
          <w:tcPr>
            <w:tcW w:w="749" w:type="pct"/>
            <w:shd w:val="clear" w:color="auto" w:fill="EAF1DD"/>
            <w:vAlign w:val="center"/>
          </w:tcPr>
          <w:p w:rsidR="002416B1" w:rsidRPr="006A2BF3" w:rsidRDefault="002416B1" w:rsidP="005F64CA">
            <w:pPr>
              <w:spacing w:before="100" w:beforeAutospacing="1" w:after="100" w:afterAutospacing="1" w:line="360" w:lineRule="auto"/>
              <w:rPr>
                <w:rFonts w:ascii="Arial" w:hAnsi="Arial" w:cs="Arial"/>
                <w:sz w:val="20"/>
                <w:szCs w:val="20"/>
              </w:rPr>
            </w:pPr>
            <w:r w:rsidRPr="006A2BF3">
              <w:rPr>
                <w:rFonts w:ascii="Arial" w:hAnsi="Arial" w:cs="Arial"/>
                <w:sz w:val="20"/>
                <w:szCs w:val="20"/>
              </w:rPr>
              <w:t>HDP</w:t>
            </w:r>
          </w:p>
        </w:tc>
        <w:tc>
          <w:tcPr>
            <w:tcW w:w="4251" w:type="pct"/>
            <w:vAlign w:val="center"/>
          </w:tcPr>
          <w:p w:rsidR="002416B1" w:rsidRPr="006A2BF3" w:rsidRDefault="002416B1" w:rsidP="005F64CA">
            <w:pPr>
              <w:spacing w:before="100" w:beforeAutospacing="1" w:after="100" w:afterAutospacing="1" w:line="360" w:lineRule="auto"/>
              <w:rPr>
                <w:rFonts w:ascii="Arial" w:hAnsi="Arial" w:cs="Arial"/>
                <w:sz w:val="20"/>
                <w:szCs w:val="20"/>
              </w:rPr>
            </w:pPr>
            <w:r w:rsidRPr="006A2BF3">
              <w:rPr>
                <w:rFonts w:ascii="Arial" w:hAnsi="Arial" w:cs="Arial"/>
                <w:sz w:val="20"/>
                <w:szCs w:val="20"/>
              </w:rPr>
              <w:t>Hrubý domáci produkt</w:t>
            </w:r>
          </w:p>
        </w:tc>
      </w:tr>
      <w:tr w:rsidR="002416B1" w:rsidRPr="006A2BF3" w:rsidTr="003A5E95">
        <w:trPr>
          <w:trHeight w:val="284"/>
        </w:trPr>
        <w:tc>
          <w:tcPr>
            <w:tcW w:w="749" w:type="pct"/>
            <w:shd w:val="clear" w:color="auto" w:fill="EAF1DD"/>
            <w:vAlign w:val="center"/>
          </w:tcPr>
          <w:p w:rsidR="002416B1" w:rsidRPr="006A2BF3" w:rsidRDefault="002416B1" w:rsidP="005F64CA">
            <w:pPr>
              <w:spacing w:before="100" w:beforeAutospacing="1" w:after="100" w:afterAutospacing="1" w:line="360" w:lineRule="auto"/>
              <w:rPr>
                <w:rFonts w:ascii="Arial" w:hAnsi="Arial" w:cs="Arial"/>
                <w:sz w:val="20"/>
                <w:szCs w:val="20"/>
              </w:rPr>
            </w:pPr>
            <w:r w:rsidRPr="006A2BF3">
              <w:rPr>
                <w:rFonts w:ascii="Arial" w:hAnsi="Arial" w:cs="Arial"/>
                <w:sz w:val="20"/>
                <w:szCs w:val="20"/>
              </w:rPr>
              <w:t>HP MRK</w:t>
            </w:r>
          </w:p>
        </w:tc>
        <w:tc>
          <w:tcPr>
            <w:tcW w:w="4251" w:type="pct"/>
            <w:vAlign w:val="center"/>
          </w:tcPr>
          <w:p w:rsidR="002416B1" w:rsidRPr="006A2BF3" w:rsidRDefault="002416B1" w:rsidP="005F64CA">
            <w:pPr>
              <w:spacing w:before="100" w:beforeAutospacing="1" w:after="100" w:afterAutospacing="1" w:line="360" w:lineRule="auto"/>
              <w:rPr>
                <w:rFonts w:ascii="Arial" w:hAnsi="Arial" w:cs="Arial"/>
                <w:sz w:val="20"/>
                <w:szCs w:val="20"/>
              </w:rPr>
            </w:pPr>
            <w:r w:rsidRPr="006A2BF3">
              <w:rPr>
                <w:rFonts w:ascii="Arial" w:hAnsi="Arial" w:cs="Arial"/>
                <w:sz w:val="20"/>
                <w:szCs w:val="20"/>
              </w:rPr>
              <w:t>Horizontálna priorita marginalizované rómske komunity</w:t>
            </w:r>
          </w:p>
        </w:tc>
      </w:tr>
      <w:tr w:rsidR="002416B1" w:rsidRPr="006A2BF3" w:rsidTr="003A5E95">
        <w:trPr>
          <w:trHeight w:val="284"/>
        </w:trPr>
        <w:tc>
          <w:tcPr>
            <w:tcW w:w="749" w:type="pct"/>
            <w:shd w:val="clear" w:color="auto" w:fill="EAF1DD"/>
            <w:vAlign w:val="center"/>
          </w:tcPr>
          <w:p w:rsidR="002416B1" w:rsidRPr="006A2BF3" w:rsidRDefault="002416B1" w:rsidP="005F64CA">
            <w:pPr>
              <w:spacing w:before="100" w:beforeAutospacing="1" w:after="100" w:afterAutospacing="1" w:line="360" w:lineRule="auto"/>
              <w:rPr>
                <w:rFonts w:ascii="Arial" w:hAnsi="Arial" w:cs="Arial"/>
                <w:sz w:val="20"/>
                <w:szCs w:val="20"/>
              </w:rPr>
            </w:pPr>
            <w:r w:rsidRPr="006A2BF3">
              <w:rPr>
                <w:rFonts w:ascii="Arial" w:hAnsi="Arial" w:cs="Arial"/>
                <w:sz w:val="20"/>
                <w:szCs w:val="20"/>
              </w:rPr>
              <w:t>HP IS</w:t>
            </w:r>
          </w:p>
        </w:tc>
        <w:tc>
          <w:tcPr>
            <w:tcW w:w="4251" w:type="pct"/>
            <w:vAlign w:val="center"/>
          </w:tcPr>
          <w:p w:rsidR="002416B1" w:rsidRPr="006A2BF3" w:rsidRDefault="002416B1" w:rsidP="005F64CA">
            <w:pPr>
              <w:spacing w:before="100" w:beforeAutospacing="1" w:after="100" w:afterAutospacing="1" w:line="360" w:lineRule="auto"/>
              <w:rPr>
                <w:rFonts w:ascii="Arial" w:hAnsi="Arial" w:cs="Arial"/>
                <w:sz w:val="20"/>
                <w:szCs w:val="20"/>
              </w:rPr>
            </w:pPr>
            <w:r w:rsidRPr="006A2BF3">
              <w:rPr>
                <w:rFonts w:ascii="Arial" w:hAnsi="Arial" w:cs="Arial"/>
                <w:sz w:val="20"/>
                <w:szCs w:val="20"/>
              </w:rPr>
              <w:t>Horizontálna priorita informačná spoločnosť</w:t>
            </w:r>
          </w:p>
        </w:tc>
      </w:tr>
      <w:tr w:rsidR="002416B1" w:rsidRPr="006A2BF3" w:rsidTr="003A5E95">
        <w:trPr>
          <w:trHeight w:val="284"/>
        </w:trPr>
        <w:tc>
          <w:tcPr>
            <w:tcW w:w="749" w:type="pct"/>
            <w:shd w:val="clear" w:color="auto" w:fill="EAF1DD"/>
            <w:vAlign w:val="center"/>
          </w:tcPr>
          <w:p w:rsidR="002416B1" w:rsidRPr="006A2BF3" w:rsidRDefault="002416B1" w:rsidP="005F64CA">
            <w:pPr>
              <w:spacing w:before="100" w:beforeAutospacing="1" w:after="100" w:afterAutospacing="1" w:line="360" w:lineRule="auto"/>
              <w:rPr>
                <w:rFonts w:ascii="Arial" w:hAnsi="Arial" w:cs="Arial"/>
                <w:sz w:val="20"/>
                <w:szCs w:val="20"/>
              </w:rPr>
            </w:pPr>
            <w:r w:rsidRPr="006A2BF3">
              <w:rPr>
                <w:rFonts w:ascii="Arial" w:hAnsi="Arial" w:cs="Arial"/>
                <w:sz w:val="20"/>
                <w:szCs w:val="20"/>
              </w:rPr>
              <w:t>HP RP</w:t>
            </w:r>
          </w:p>
        </w:tc>
        <w:tc>
          <w:tcPr>
            <w:tcW w:w="4251" w:type="pct"/>
            <w:vAlign w:val="center"/>
          </w:tcPr>
          <w:p w:rsidR="002416B1" w:rsidRPr="006A2BF3" w:rsidRDefault="002416B1" w:rsidP="005F64CA">
            <w:pPr>
              <w:spacing w:before="100" w:beforeAutospacing="1" w:after="100" w:afterAutospacing="1" w:line="360" w:lineRule="auto"/>
              <w:rPr>
                <w:rFonts w:ascii="Arial" w:hAnsi="Arial" w:cs="Arial"/>
                <w:sz w:val="20"/>
                <w:szCs w:val="20"/>
              </w:rPr>
            </w:pPr>
            <w:r w:rsidRPr="006A2BF3">
              <w:rPr>
                <w:rFonts w:ascii="Arial" w:hAnsi="Arial" w:cs="Arial"/>
                <w:sz w:val="20"/>
                <w:szCs w:val="20"/>
              </w:rPr>
              <w:t>Horizontálna priorita rovnosť príležitostí</w:t>
            </w:r>
          </w:p>
        </w:tc>
      </w:tr>
      <w:tr w:rsidR="002416B1" w:rsidRPr="006A2BF3" w:rsidTr="003A5E95">
        <w:trPr>
          <w:trHeight w:val="284"/>
        </w:trPr>
        <w:tc>
          <w:tcPr>
            <w:tcW w:w="749" w:type="pct"/>
            <w:shd w:val="clear" w:color="auto" w:fill="EAF1DD"/>
            <w:vAlign w:val="center"/>
          </w:tcPr>
          <w:p w:rsidR="002416B1" w:rsidRPr="006A2BF3" w:rsidRDefault="002416B1" w:rsidP="005F64CA">
            <w:pPr>
              <w:spacing w:before="100" w:beforeAutospacing="1" w:after="100" w:afterAutospacing="1" w:line="360" w:lineRule="auto"/>
              <w:rPr>
                <w:rFonts w:ascii="Arial" w:hAnsi="Arial" w:cs="Arial"/>
                <w:sz w:val="20"/>
                <w:szCs w:val="20"/>
              </w:rPr>
            </w:pPr>
            <w:r w:rsidRPr="006A2BF3">
              <w:rPr>
                <w:rFonts w:ascii="Arial" w:hAnsi="Arial" w:cs="Arial"/>
                <w:sz w:val="20"/>
                <w:szCs w:val="20"/>
              </w:rPr>
              <w:t>HP TUR</w:t>
            </w:r>
          </w:p>
        </w:tc>
        <w:tc>
          <w:tcPr>
            <w:tcW w:w="4251" w:type="pct"/>
            <w:vAlign w:val="center"/>
          </w:tcPr>
          <w:p w:rsidR="002416B1" w:rsidRPr="006A2BF3" w:rsidRDefault="002416B1" w:rsidP="005F64CA">
            <w:pPr>
              <w:spacing w:before="100" w:beforeAutospacing="1" w:after="100" w:afterAutospacing="1" w:line="360" w:lineRule="auto"/>
              <w:rPr>
                <w:rFonts w:ascii="Arial" w:hAnsi="Arial" w:cs="Arial"/>
                <w:sz w:val="20"/>
                <w:szCs w:val="20"/>
              </w:rPr>
            </w:pPr>
            <w:r w:rsidRPr="006A2BF3">
              <w:rPr>
                <w:rFonts w:ascii="Arial" w:hAnsi="Arial" w:cs="Arial"/>
                <w:sz w:val="20"/>
                <w:szCs w:val="20"/>
              </w:rPr>
              <w:t>Horizontálna priorita trvalo udržateľný rozvoj</w:t>
            </w:r>
          </w:p>
        </w:tc>
      </w:tr>
      <w:tr w:rsidR="002416B1" w:rsidRPr="006A2BF3" w:rsidTr="003A5E95">
        <w:trPr>
          <w:trHeight w:val="284"/>
        </w:trPr>
        <w:tc>
          <w:tcPr>
            <w:tcW w:w="749" w:type="pct"/>
            <w:shd w:val="clear" w:color="auto" w:fill="EAF1DD"/>
            <w:vAlign w:val="center"/>
          </w:tcPr>
          <w:p w:rsidR="002416B1" w:rsidRPr="006A2BF3" w:rsidRDefault="002416B1" w:rsidP="005F64CA">
            <w:pPr>
              <w:spacing w:before="100" w:beforeAutospacing="1" w:after="100" w:afterAutospacing="1" w:line="360" w:lineRule="auto"/>
              <w:rPr>
                <w:rFonts w:ascii="Arial" w:hAnsi="Arial" w:cs="Arial"/>
                <w:sz w:val="20"/>
                <w:szCs w:val="20"/>
              </w:rPr>
            </w:pPr>
            <w:r w:rsidRPr="006A2BF3">
              <w:rPr>
                <w:rFonts w:ascii="Arial" w:hAnsi="Arial" w:cs="Arial"/>
                <w:sz w:val="20"/>
                <w:szCs w:val="20"/>
              </w:rPr>
              <w:t>ITMS</w:t>
            </w:r>
          </w:p>
        </w:tc>
        <w:tc>
          <w:tcPr>
            <w:tcW w:w="4251" w:type="pct"/>
            <w:vAlign w:val="center"/>
          </w:tcPr>
          <w:p w:rsidR="002416B1" w:rsidRPr="006A2BF3" w:rsidRDefault="002416B1" w:rsidP="005F64CA">
            <w:pPr>
              <w:spacing w:before="100" w:beforeAutospacing="1" w:after="100" w:afterAutospacing="1" w:line="360" w:lineRule="auto"/>
              <w:rPr>
                <w:rFonts w:ascii="Arial" w:hAnsi="Arial" w:cs="Arial"/>
                <w:sz w:val="20"/>
                <w:szCs w:val="20"/>
              </w:rPr>
            </w:pPr>
            <w:r w:rsidRPr="006A2BF3">
              <w:rPr>
                <w:rFonts w:ascii="Arial" w:hAnsi="Arial" w:cs="Arial"/>
                <w:sz w:val="20"/>
                <w:szCs w:val="20"/>
              </w:rPr>
              <w:t>Informačno-technologický monitorovací systém</w:t>
            </w:r>
          </w:p>
        </w:tc>
      </w:tr>
      <w:tr w:rsidR="002416B1" w:rsidRPr="006A2BF3" w:rsidTr="003A5E95">
        <w:trPr>
          <w:trHeight w:val="284"/>
        </w:trPr>
        <w:tc>
          <w:tcPr>
            <w:tcW w:w="749" w:type="pct"/>
            <w:shd w:val="clear" w:color="auto" w:fill="EAF1DD"/>
            <w:vAlign w:val="center"/>
          </w:tcPr>
          <w:p w:rsidR="002416B1" w:rsidRPr="006A2BF3" w:rsidRDefault="002416B1" w:rsidP="005F64CA">
            <w:pPr>
              <w:spacing w:before="100" w:beforeAutospacing="1" w:after="100" w:afterAutospacing="1" w:line="360" w:lineRule="auto"/>
              <w:rPr>
                <w:rFonts w:ascii="Arial" w:hAnsi="Arial" w:cs="Arial"/>
                <w:sz w:val="20"/>
                <w:szCs w:val="20"/>
              </w:rPr>
            </w:pPr>
            <w:r w:rsidRPr="006A2BF3">
              <w:rPr>
                <w:rFonts w:ascii="Arial" w:hAnsi="Arial" w:cs="Arial"/>
                <w:sz w:val="20"/>
                <w:szCs w:val="20"/>
              </w:rPr>
              <w:t>IUSF</w:t>
            </w:r>
          </w:p>
        </w:tc>
        <w:tc>
          <w:tcPr>
            <w:tcW w:w="4251" w:type="pct"/>
            <w:vAlign w:val="center"/>
          </w:tcPr>
          <w:p w:rsidR="002416B1" w:rsidRPr="006A2BF3" w:rsidRDefault="002416B1" w:rsidP="005F64CA">
            <w:pPr>
              <w:spacing w:before="100" w:beforeAutospacing="1" w:after="100" w:afterAutospacing="1" w:line="360" w:lineRule="auto"/>
              <w:rPr>
                <w:rFonts w:ascii="Arial" w:hAnsi="Arial" w:cs="Arial"/>
                <w:sz w:val="20"/>
                <w:szCs w:val="20"/>
              </w:rPr>
            </w:pPr>
            <w:r w:rsidRPr="006A2BF3">
              <w:rPr>
                <w:rFonts w:ascii="Arial" w:hAnsi="Arial" w:cs="Arial"/>
                <w:sz w:val="20"/>
                <w:szCs w:val="20"/>
              </w:rPr>
              <w:t>Informačný systém pre účtovanie fondov</w:t>
            </w:r>
          </w:p>
        </w:tc>
      </w:tr>
      <w:tr w:rsidR="002416B1" w:rsidRPr="006A2BF3" w:rsidTr="003A5E95">
        <w:trPr>
          <w:trHeight w:val="284"/>
        </w:trPr>
        <w:tc>
          <w:tcPr>
            <w:tcW w:w="749" w:type="pct"/>
            <w:shd w:val="clear" w:color="auto" w:fill="EAF1DD"/>
            <w:vAlign w:val="center"/>
          </w:tcPr>
          <w:p w:rsidR="002416B1" w:rsidRPr="006A2BF3" w:rsidRDefault="002416B1" w:rsidP="005F64CA">
            <w:pPr>
              <w:spacing w:before="100" w:beforeAutospacing="1" w:after="100" w:afterAutospacing="1" w:line="360" w:lineRule="auto"/>
              <w:rPr>
                <w:rFonts w:ascii="Arial" w:hAnsi="Arial" w:cs="Arial"/>
                <w:sz w:val="20"/>
                <w:szCs w:val="20"/>
              </w:rPr>
            </w:pPr>
            <w:r w:rsidRPr="006A2BF3">
              <w:rPr>
                <w:rFonts w:ascii="Arial" w:hAnsi="Arial" w:cs="Arial"/>
                <w:sz w:val="20"/>
                <w:szCs w:val="20"/>
              </w:rPr>
              <w:t>IKT</w:t>
            </w:r>
          </w:p>
        </w:tc>
        <w:tc>
          <w:tcPr>
            <w:tcW w:w="4251" w:type="pct"/>
            <w:vAlign w:val="center"/>
          </w:tcPr>
          <w:p w:rsidR="002416B1" w:rsidRPr="006A2BF3" w:rsidRDefault="002416B1" w:rsidP="005F64CA">
            <w:pPr>
              <w:spacing w:before="100" w:beforeAutospacing="1" w:after="100" w:afterAutospacing="1" w:line="360" w:lineRule="auto"/>
              <w:rPr>
                <w:rFonts w:ascii="Arial" w:hAnsi="Arial" w:cs="Arial"/>
                <w:sz w:val="20"/>
                <w:szCs w:val="20"/>
              </w:rPr>
            </w:pPr>
            <w:r w:rsidRPr="006A2BF3">
              <w:rPr>
                <w:rFonts w:ascii="Arial" w:hAnsi="Arial" w:cs="Arial"/>
                <w:sz w:val="20"/>
                <w:szCs w:val="20"/>
              </w:rPr>
              <w:t>Informačno-komunikačné technológie</w:t>
            </w:r>
          </w:p>
        </w:tc>
      </w:tr>
      <w:tr w:rsidR="002416B1" w:rsidRPr="006A2BF3" w:rsidTr="003A5E95">
        <w:trPr>
          <w:trHeight w:val="284"/>
        </w:trPr>
        <w:tc>
          <w:tcPr>
            <w:tcW w:w="749" w:type="pct"/>
            <w:shd w:val="clear" w:color="auto" w:fill="EAF1DD"/>
            <w:vAlign w:val="center"/>
          </w:tcPr>
          <w:p w:rsidR="002416B1" w:rsidRPr="006A2BF3" w:rsidRDefault="002416B1" w:rsidP="005F64CA">
            <w:pPr>
              <w:spacing w:before="100" w:beforeAutospacing="1" w:after="100" w:afterAutospacing="1" w:line="360" w:lineRule="auto"/>
              <w:rPr>
                <w:rFonts w:ascii="Arial" w:hAnsi="Arial" w:cs="Arial"/>
                <w:sz w:val="20"/>
                <w:szCs w:val="20"/>
              </w:rPr>
            </w:pPr>
            <w:r>
              <w:rPr>
                <w:rFonts w:ascii="Arial" w:hAnsi="Arial" w:cs="Arial"/>
                <w:sz w:val="20"/>
                <w:szCs w:val="20"/>
              </w:rPr>
              <w:t>JRM</w:t>
            </w:r>
          </w:p>
        </w:tc>
        <w:tc>
          <w:tcPr>
            <w:tcW w:w="4251" w:type="pct"/>
            <w:vAlign w:val="center"/>
          </w:tcPr>
          <w:p w:rsidR="002416B1" w:rsidRPr="006A2BF3" w:rsidRDefault="002416B1" w:rsidP="005F64CA">
            <w:pPr>
              <w:spacing w:before="100" w:beforeAutospacing="1" w:after="100" w:afterAutospacing="1" w:line="360" w:lineRule="auto"/>
              <w:rPr>
                <w:rFonts w:ascii="Arial" w:hAnsi="Arial" w:cs="Arial"/>
                <w:sz w:val="20"/>
                <w:szCs w:val="20"/>
              </w:rPr>
            </w:pPr>
            <w:r>
              <w:rPr>
                <w:rFonts w:ascii="Arial" w:hAnsi="Arial" w:cs="Arial"/>
                <w:sz w:val="20"/>
                <w:szCs w:val="20"/>
              </w:rPr>
              <w:t>Joint Road Map (Spoločná cestovná mapa)</w:t>
            </w:r>
          </w:p>
        </w:tc>
      </w:tr>
      <w:tr w:rsidR="002416B1" w:rsidRPr="006A2BF3" w:rsidTr="003A5E95">
        <w:trPr>
          <w:trHeight w:val="284"/>
        </w:trPr>
        <w:tc>
          <w:tcPr>
            <w:tcW w:w="749" w:type="pct"/>
            <w:shd w:val="clear" w:color="auto" w:fill="EAF1DD"/>
            <w:vAlign w:val="center"/>
          </w:tcPr>
          <w:p w:rsidR="002416B1" w:rsidRPr="006A2BF3" w:rsidRDefault="002416B1" w:rsidP="005F64CA">
            <w:pPr>
              <w:spacing w:before="100" w:beforeAutospacing="1" w:after="100" w:afterAutospacing="1" w:line="360" w:lineRule="auto"/>
              <w:rPr>
                <w:rFonts w:ascii="Arial" w:hAnsi="Arial" w:cs="Arial"/>
                <w:sz w:val="20"/>
                <w:szCs w:val="20"/>
              </w:rPr>
            </w:pPr>
            <w:r w:rsidRPr="006A2BF3">
              <w:rPr>
                <w:rFonts w:ascii="Arial" w:hAnsi="Arial" w:cs="Arial"/>
                <w:sz w:val="20"/>
                <w:szCs w:val="20"/>
              </w:rPr>
              <w:t>KF</w:t>
            </w:r>
          </w:p>
        </w:tc>
        <w:tc>
          <w:tcPr>
            <w:tcW w:w="4251" w:type="pct"/>
            <w:vAlign w:val="center"/>
          </w:tcPr>
          <w:p w:rsidR="002416B1" w:rsidRPr="006A2BF3" w:rsidRDefault="002416B1" w:rsidP="005F64CA">
            <w:pPr>
              <w:spacing w:before="100" w:beforeAutospacing="1" w:after="100" w:afterAutospacing="1" w:line="360" w:lineRule="auto"/>
              <w:rPr>
                <w:rFonts w:ascii="Arial" w:hAnsi="Arial" w:cs="Arial"/>
                <w:sz w:val="20"/>
                <w:szCs w:val="20"/>
              </w:rPr>
            </w:pPr>
            <w:r w:rsidRPr="006A2BF3">
              <w:rPr>
                <w:rFonts w:ascii="Arial" w:hAnsi="Arial" w:cs="Arial"/>
                <w:sz w:val="20"/>
                <w:szCs w:val="20"/>
              </w:rPr>
              <w:t>Kohézny fond</w:t>
            </w:r>
          </w:p>
        </w:tc>
      </w:tr>
      <w:tr w:rsidR="002416B1" w:rsidRPr="006A2BF3" w:rsidTr="003A5E95">
        <w:trPr>
          <w:trHeight w:val="284"/>
        </w:trPr>
        <w:tc>
          <w:tcPr>
            <w:tcW w:w="749" w:type="pct"/>
            <w:shd w:val="clear" w:color="auto" w:fill="EAF1DD"/>
            <w:vAlign w:val="center"/>
          </w:tcPr>
          <w:p w:rsidR="002416B1" w:rsidRPr="006A2BF3" w:rsidRDefault="002416B1" w:rsidP="005F64CA">
            <w:pPr>
              <w:spacing w:before="100" w:beforeAutospacing="1" w:after="100" w:afterAutospacing="1" w:line="360" w:lineRule="auto"/>
              <w:rPr>
                <w:rFonts w:ascii="Arial" w:hAnsi="Arial" w:cs="Arial"/>
                <w:sz w:val="20"/>
                <w:szCs w:val="20"/>
              </w:rPr>
            </w:pPr>
            <w:r w:rsidRPr="006A2BF3">
              <w:rPr>
                <w:rFonts w:ascii="Arial" w:hAnsi="Arial" w:cs="Arial"/>
                <w:sz w:val="20"/>
                <w:szCs w:val="20"/>
              </w:rPr>
              <w:t>KoP</w:t>
            </w:r>
          </w:p>
        </w:tc>
        <w:tc>
          <w:tcPr>
            <w:tcW w:w="4251" w:type="pct"/>
            <w:vAlign w:val="center"/>
          </w:tcPr>
          <w:p w:rsidR="002416B1" w:rsidRPr="006A2BF3" w:rsidRDefault="002416B1" w:rsidP="005F64CA">
            <w:pPr>
              <w:spacing w:before="100" w:beforeAutospacing="1" w:after="100" w:afterAutospacing="1" w:line="360" w:lineRule="auto"/>
              <w:rPr>
                <w:rFonts w:ascii="Arial" w:hAnsi="Arial" w:cs="Arial"/>
                <w:sz w:val="20"/>
                <w:szCs w:val="20"/>
              </w:rPr>
            </w:pPr>
            <w:r w:rsidRPr="006A2BF3">
              <w:rPr>
                <w:rFonts w:ascii="Arial" w:hAnsi="Arial" w:cs="Arial"/>
                <w:sz w:val="20"/>
                <w:szCs w:val="20"/>
              </w:rPr>
              <w:t>Komunikačný plán</w:t>
            </w:r>
          </w:p>
        </w:tc>
      </w:tr>
      <w:tr w:rsidR="002416B1" w:rsidRPr="006A2BF3" w:rsidTr="003A5E95">
        <w:trPr>
          <w:trHeight w:val="284"/>
        </w:trPr>
        <w:tc>
          <w:tcPr>
            <w:tcW w:w="749" w:type="pct"/>
            <w:shd w:val="clear" w:color="auto" w:fill="EAF1DD"/>
            <w:vAlign w:val="center"/>
          </w:tcPr>
          <w:p w:rsidR="002416B1" w:rsidRPr="006A2BF3" w:rsidRDefault="002416B1" w:rsidP="005F64CA">
            <w:pPr>
              <w:spacing w:before="100" w:beforeAutospacing="1" w:after="100" w:afterAutospacing="1" w:line="360" w:lineRule="auto"/>
              <w:rPr>
                <w:rFonts w:ascii="Arial" w:hAnsi="Arial" w:cs="Arial"/>
                <w:sz w:val="20"/>
                <w:szCs w:val="20"/>
              </w:rPr>
            </w:pPr>
            <w:r w:rsidRPr="006A2BF3">
              <w:rPr>
                <w:rFonts w:ascii="Arial" w:hAnsi="Arial" w:cs="Arial"/>
                <w:sz w:val="20"/>
                <w:szCs w:val="20"/>
              </w:rPr>
              <w:t>MF SR</w:t>
            </w:r>
          </w:p>
        </w:tc>
        <w:tc>
          <w:tcPr>
            <w:tcW w:w="4251" w:type="pct"/>
            <w:vAlign w:val="center"/>
          </w:tcPr>
          <w:p w:rsidR="002416B1" w:rsidRPr="006A2BF3" w:rsidRDefault="002416B1" w:rsidP="005F64CA">
            <w:pPr>
              <w:spacing w:before="100" w:beforeAutospacing="1" w:after="100" w:afterAutospacing="1" w:line="360" w:lineRule="auto"/>
              <w:rPr>
                <w:rFonts w:ascii="Arial" w:hAnsi="Arial" w:cs="Arial"/>
                <w:sz w:val="20"/>
                <w:szCs w:val="20"/>
              </w:rPr>
            </w:pPr>
            <w:r w:rsidRPr="006A2BF3">
              <w:rPr>
                <w:rFonts w:ascii="Arial" w:hAnsi="Arial" w:cs="Arial"/>
                <w:sz w:val="20"/>
                <w:szCs w:val="20"/>
              </w:rPr>
              <w:t>Ministerstvo financií Slovenskej republiky</w:t>
            </w:r>
          </w:p>
        </w:tc>
      </w:tr>
      <w:tr w:rsidR="002416B1" w:rsidRPr="006A2BF3" w:rsidTr="003A5E95">
        <w:trPr>
          <w:trHeight w:val="284"/>
        </w:trPr>
        <w:tc>
          <w:tcPr>
            <w:tcW w:w="749" w:type="pct"/>
            <w:shd w:val="clear" w:color="auto" w:fill="EAF1DD"/>
            <w:vAlign w:val="center"/>
          </w:tcPr>
          <w:p w:rsidR="002416B1" w:rsidRPr="006A2BF3" w:rsidRDefault="002416B1" w:rsidP="005F64CA">
            <w:pPr>
              <w:spacing w:before="100" w:beforeAutospacing="1" w:after="100" w:afterAutospacing="1" w:line="360" w:lineRule="auto"/>
              <w:rPr>
                <w:rFonts w:ascii="Arial" w:hAnsi="Arial" w:cs="Arial"/>
                <w:sz w:val="20"/>
                <w:szCs w:val="20"/>
              </w:rPr>
            </w:pPr>
            <w:r w:rsidRPr="006A2BF3">
              <w:rPr>
                <w:rFonts w:ascii="Arial" w:hAnsi="Arial" w:cs="Arial"/>
                <w:sz w:val="20"/>
                <w:szCs w:val="20"/>
              </w:rPr>
              <w:t>MH SR</w:t>
            </w:r>
          </w:p>
        </w:tc>
        <w:tc>
          <w:tcPr>
            <w:tcW w:w="4251" w:type="pct"/>
            <w:vAlign w:val="center"/>
          </w:tcPr>
          <w:p w:rsidR="002416B1" w:rsidRPr="006A2BF3" w:rsidRDefault="002416B1" w:rsidP="005F64CA">
            <w:pPr>
              <w:spacing w:before="100" w:beforeAutospacing="1" w:after="100" w:afterAutospacing="1" w:line="360" w:lineRule="auto"/>
              <w:rPr>
                <w:rFonts w:ascii="Arial" w:hAnsi="Arial" w:cs="Arial"/>
                <w:sz w:val="20"/>
                <w:szCs w:val="20"/>
              </w:rPr>
            </w:pPr>
            <w:r w:rsidRPr="006A2BF3">
              <w:rPr>
                <w:rFonts w:ascii="Arial" w:hAnsi="Arial" w:cs="Arial"/>
                <w:sz w:val="20"/>
                <w:szCs w:val="20"/>
              </w:rPr>
              <w:t>Ministerstvo hospodárstva Slovenskej republiky</w:t>
            </w:r>
          </w:p>
        </w:tc>
      </w:tr>
      <w:tr w:rsidR="002416B1" w:rsidRPr="006A2BF3" w:rsidTr="003A5E95">
        <w:trPr>
          <w:trHeight w:val="284"/>
        </w:trPr>
        <w:tc>
          <w:tcPr>
            <w:tcW w:w="749" w:type="pct"/>
            <w:shd w:val="clear" w:color="auto" w:fill="EAF1DD"/>
            <w:vAlign w:val="center"/>
          </w:tcPr>
          <w:p w:rsidR="002416B1" w:rsidRPr="006A2BF3" w:rsidRDefault="002416B1" w:rsidP="005F64CA">
            <w:pPr>
              <w:spacing w:before="100" w:beforeAutospacing="1" w:after="100" w:afterAutospacing="1" w:line="360" w:lineRule="auto"/>
              <w:rPr>
                <w:rFonts w:ascii="Arial" w:hAnsi="Arial" w:cs="Arial"/>
                <w:sz w:val="20"/>
                <w:szCs w:val="20"/>
              </w:rPr>
            </w:pPr>
            <w:r>
              <w:rPr>
                <w:rFonts w:ascii="Arial" w:hAnsi="Arial" w:cs="Arial"/>
                <w:sz w:val="20"/>
                <w:szCs w:val="20"/>
              </w:rPr>
              <w:t>MP</w:t>
            </w:r>
          </w:p>
        </w:tc>
        <w:tc>
          <w:tcPr>
            <w:tcW w:w="4251" w:type="pct"/>
            <w:vAlign w:val="center"/>
          </w:tcPr>
          <w:p w:rsidR="002416B1" w:rsidRPr="006A2BF3" w:rsidRDefault="002416B1" w:rsidP="005F64CA">
            <w:pPr>
              <w:spacing w:before="100" w:beforeAutospacing="1" w:after="100" w:afterAutospacing="1" w:line="360" w:lineRule="auto"/>
              <w:rPr>
                <w:rFonts w:ascii="Arial" w:hAnsi="Arial" w:cs="Arial"/>
                <w:sz w:val="20"/>
                <w:szCs w:val="20"/>
              </w:rPr>
            </w:pPr>
            <w:r>
              <w:rPr>
                <w:rFonts w:ascii="Arial" w:hAnsi="Arial" w:cs="Arial"/>
                <w:sz w:val="20"/>
                <w:szCs w:val="20"/>
              </w:rPr>
              <w:t>Metodický pokyn</w:t>
            </w:r>
          </w:p>
        </w:tc>
      </w:tr>
      <w:tr w:rsidR="002416B1" w:rsidRPr="006A2BF3" w:rsidTr="003A5E95">
        <w:trPr>
          <w:trHeight w:val="284"/>
        </w:trPr>
        <w:tc>
          <w:tcPr>
            <w:tcW w:w="749" w:type="pct"/>
            <w:shd w:val="clear" w:color="auto" w:fill="EAF1DD"/>
            <w:vAlign w:val="center"/>
          </w:tcPr>
          <w:p w:rsidR="002416B1" w:rsidRPr="006A2BF3" w:rsidRDefault="002416B1" w:rsidP="005F64CA">
            <w:pPr>
              <w:spacing w:before="100" w:beforeAutospacing="1" w:after="100" w:afterAutospacing="1" w:line="360" w:lineRule="auto"/>
              <w:rPr>
                <w:rFonts w:ascii="Arial" w:hAnsi="Arial" w:cs="Arial"/>
                <w:sz w:val="20"/>
                <w:szCs w:val="20"/>
              </w:rPr>
            </w:pPr>
            <w:r w:rsidRPr="006A2BF3">
              <w:rPr>
                <w:rFonts w:ascii="Arial" w:hAnsi="Arial" w:cs="Arial"/>
                <w:sz w:val="20"/>
                <w:szCs w:val="20"/>
              </w:rPr>
              <w:t>MPSVR SR</w:t>
            </w:r>
          </w:p>
        </w:tc>
        <w:tc>
          <w:tcPr>
            <w:tcW w:w="4251" w:type="pct"/>
            <w:vAlign w:val="center"/>
          </w:tcPr>
          <w:p w:rsidR="002416B1" w:rsidRPr="006A2BF3" w:rsidRDefault="002416B1" w:rsidP="005F64CA">
            <w:pPr>
              <w:spacing w:before="100" w:beforeAutospacing="1" w:after="100" w:afterAutospacing="1" w:line="360" w:lineRule="auto"/>
              <w:rPr>
                <w:rFonts w:ascii="Arial" w:hAnsi="Arial" w:cs="Arial"/>
                <w:sz w:val="20"/>
                <w:szCs w:val="20"/>
              </w:rPr>
            </w:pPr>
            <w:r w:rsidRPr="006A2BF3">
              <w:rPr>
                <w:rFonts w:ascii="Arial" w:hAnsi="Arial" w:cs="Arial"/>
                <w:sz w:val="20"/>
                <w:szCs w:val="20"/>
              </w:rPr>
              <w:t>Ministerstvo práce, sociálnych vecí a rodiny Slovenskej republiky</w:t>
            </w:r>
          </w:p>
        </w:tc>
      </w:tr>
      <w:tr w:rsidR="002416B1" w:rsidRPr="006A2BF3" w:rsidTr="003A5E95">
        <w:trPr>
          <w:trHeight w:val="284"/>
        </w:trPr>
        <w:tc>
          <w:tcPr>
            <w:tcW w:w="749" w:type="pct"/>
            <w:shd w:val="clear" w:color="auto" w:fill="EAF1DD"/>
            <w:vAlign w:val="center"/>
          </w:tcPr>
          <w:p w:rsidR="002416B1" w:rsidRPr="006A2BF3" w:rsidRDefault="002416B1" w:rsidP="005F64CA">
            <w:pPr>
              <w:spacing w:before="100" w:beforeAutospacing="1" w:after="100" w:afterAutospacing="1" w:line="360" w:lineRule="auto"/>
              <w:rPr>
                <w:rFonts w:ascii="Arial" w:hAnsi="Arial" w:cs="Arial"/>
                <w:sz w:val="20"/>
                <w:szCs w:val="20"/>
              </w:rPr>
            </w:pPr>
            <w:r w:rsidRPr="006A2BF3">
              <w:rPr>
                <w:rFonts w:ascii="Arial" w:hAnsi="Arial" w:cs="Arial"/>
                <w:sz w:val="20"/>
                <w:szCs w:val="20"/>
              </w:rPr>
              <w:t>MPŽP RR SR</w:t>
            </w:r>
          </w:p>
        </w:tc>
        <w:tc>
          <w:tcPr>
            <w:tcW w:w="4251" w:type="pct"/>
            <w:vAlign w:val="center"/>
          </w:tcPr>
          <w:p w:rsidR="002416B1" w:rsidRPr="006A2BF3" w:rsidRDefault="002416B1" w:rsidP="005F64CA">
            <w:pPr>
              <w:spacing w:before="100" w:beforeAutospacing="1" w:after="100" w:afterAutospacing="1" w:line="360" w:lineRule="auto"/>
              <w:rPr>
                <w:rFonts w:ascii="Arial" w:hAnsi="Arial" w:cs="Arial"/>
                <w:sz w:val="20"/>
                <w:szCs w:val="20"/>
              </w:rPr>
            </w:pPr>
            <w:r w:rsidRPr="006A2BF3">
              <w:rPr>
                <w:rFonts w:ascii="Arial" w:hAnsi="Arial" w:cs="Arial"/>
                <w:sz w:val="20"/>
                <w:szCs w:val="20"/>
              </w:rPr>
              <w:t>Ministerstvo pôdohospodárstva, životného prostredia a regionálneho rozvoja Slovenskej republiky</w:t>
            </w:r>
          </w:p>
        </w:tc>
      </w:tr>
      <w:tr w:rsidR="002416B1" w:rsidRPr="006A2BF3" w:rsidTr="003A5E95">
        <w:trPr>
          <w:trHeight w:val="284"/>
        </w:trPr>
        <w:tc>
          <w:tcPr>
            <w:tcW w:w="749" w:type="pct"/>
            <w:shd w:val="clear" w:color="auto" w:fill="EAF1DD"/>
            <w:vAlign w:val="center"/>
          </w:tcPr>
          <w:p w:rsidR="002416B1" w:rsidRPr="006A2BF3" w:rsidRDefault="002416B1" w:rsidP="005F64CA">
            <w:pPr>
              <w:spacing w:before="100" w:beforeAutospacing="1" w:after="100" w:afterAutospacing="1" w:line="360" w:lineRule="auto"/>
              <w:rPr>
                <w:rFonts w:ascii="Arial" w:hAnsi="Arial" w:cs="Arial"/>
                <w:sz w:val="20"/>
                <w:szCs w:val="20"/>
              </w:rPr>
            </w:pPr>
            <w:r w:rsidRPr="006A2BF3">
              <w:rPr>
                <w:rFonts w:ascii="Arial" w:hAnsi="Arial" w:cs="Arial"/>
                <w:sz w:val="20"/>
                <w:szCs w:val="20"/>
              </w:rPr>
              <w:t>MRK</w:t>
            </w:r>
          </w:p>
        </w:tc>
        <w:tc>
          <w:tcPr>
            <w:tcW w:w="4251" w:type="pct"/>
            <w:vAlign w:val="center"/>
          </w:tcPr>
          <w:p w:rsidR="002416B1" w:rsidRPr="006A2BF3" w:rsidRDefault="002416B1" w:rsidP="005F64CA">
            <w:pPr>
              <w:spacing w:before="100" w:beforeAutospacing="1" w:after="100" w:afterAutospacing="1" w:line="360" w:lineRule="auto"/>
              <w:rPr>
                <w:rFonts w:ascii="Arial" w:hAnsi="Arial" w:cs="Arial"/>
                <w:sz w:val="20"/>
                <w:szCs w:val="20"/>
              </w:rPr>
            </w:pPr>
            <w:r w:rsidRPr="006A2BF3">
              <w:rPr>
                <w:rFonts w:ascii="Arial" w:hAnsi="Arial" w:cs="Arial"/>
                <w:sz w:val="20"/>
                <w:szCs w:val="20"/>
              </w:rPr>
              <w:t>Marginalizované rómske komunity</w:t>
            </w:r>
          </w:p>
        </w:tc>
      </w:tr>
      <w:tr w:rsidR="002416B1" w:rsidRPr="006A2BF3" w:rsidTr="003A5E95">
        <w:trPr>
          <w:trHeight w:val="284"/>
        </w:trPr>
        <w:tc>
          <w:tcPr>
            <w:tcW w:w="749" w:type="pct"/>
            <w:shd w:val="clear" w:color="auto" w:fill="EAF1DD"/>
            <w:vAlign w:val="center"/>
          </w:tcPr>
          <w:p w:rsidR="002416B1" w:rsidRPr="006A2BF3" w:rsidRDefault="002416B1" w:rsidP="005F64CA">
            <w:pPr>
              <w:spacing w:before="100" w:beforeAutospacing="1" w:after="100" w:afterAutospacing="1" w:line="360" w:lineRule="auto"/>
              <w:rPr>
                <w:rFonts w:ascii="Arial" w:hAnsi="Arial" w:cs="Arial"/>
                <w:sz w:val="20"/>
                <w:szCs w:val="20"/>
              </w:rPr>
            </w:pPr>
            <w:r w:rsidRPr="006A2BF3">
              <w:rPr>
                <w:rFonts w:ascii="Arial" w:hAnsi="Arial" w:cs="Arial"/>
                <w:sz w:val="20"/>
                <w:szCs w:val="20"/>
              </w:rPr>
              <w:t>MSP</w:t>
            </w:r>
          </w:p>
        </w:tc>
        <w:tc>
          <w:tcPr>
            <w:tcW w:w="4251" w:type="pct"/>
            <w:vAlign w:val="center"/>
          </w:tcPr>
          <w:p w:rsidR="002416B1" w:rsidRPr="006A2BF3" w:rsidRDefault="002416B1" w:rsidP="005F64CA">
            <w:pPr>
              <w:spacing w:before="100" w:beforeAutospacing="1" w:after="100" w:afterAutospacing="1" w:line="360" w:lineRule="auto"/>
              <w:rPr>
                <w:rFonts w:ascii="Arial" w:hAnsi="Arial" w:cs="Arial"/>
                <w:sz w:val="20"/>
                <w:szCs w:val="20"/>
              </w:rPr>
            </w:pPr>
            <w:r w:rsidRPr="006A2BF3">
              <w:rPr>
                <w:rFonts w:ascii="Arial" w:hAnsi="Arial" w:cs="Arial"/>
                <w:sz w:val="20"/>
                <w:szCs w:val="20"/>
              </w:rPr>
              <w:t>Malé a stredné podniky</w:t>
            </w:r>
          </w:p>
        </w:tc>
      </w:tr>
      <w:tr w:rsidR="002416B1" w:rsidRPr="006A2BF3" w:rsidTr="003A5E95">
        <w:trPr>
          <w:trHeight w:val="284"/>
        </w:trPr>
        <w:tc>
          <w:tcPr>
            <w:tcW w:w="749" w:type="pct"/>
            <w:shd w:val="clear" w:color="auto" w:fill="EAF1DD"/>
            <w:vAlign w:val="center"/>
          </w:tcPr>
          <w:p w:rsidR="002416B1" w:rsidRPr="006A2BF3" w:rsidRDefault="002416B1" w:rsidP="005F64CA">
            <w:pPr>
              <w:spacing w:before="100" w:beforeAutospacing="1" w:after="100" w:afterAutospacing="1" w:line="360" w:lineRule="auto"/>
              <w:rPr>
                <w:rFonts w:ascii="Arial" w:hAnsi="Arial" w:cs="Arial"/>
                <w:sz w:val="20"/>
                <w:szCs w:val="20"/>
              </w:rPr>
            </w:pPr>
            <w:r w:rsidRPr="006A2BF3">
              <w:rPr>
                <w:rFonts w:ascii="Arial" w:hAnsi="Arial" w:cs="Arial"/>
                <w:sz w:val="20"/>
                <w:szCs w:val="20"/>
              </w:rPr>
              <w:t>MV</w:t>
            </w:r>
          </w:p>
        </w:tc>
        <w:tc>
          <w:tcPr>
            <w:tcW w:w="4251" w:type="pct"/>
            <w:vAlign w:val="center"/>
          </w:tcPr>
          <w:p w:rsidR="002416B1" w:rsidRPr="006A2BF3" w:rsidRDefault="002416B1" w:rsidP="005F64CA">
            <w:pPr>
              <w:spacing w:before="100" w:beforeAutospacing="1" w:after="100" w:afterAutospacing="1" w:line="360" w:lineRule="auto"/>
              <w:rPr>
                <w:rFonts w:ascii="Arial" w:hAnsi="Arial" w:cs="Arial"/>
                <w:sz w:val="20"/>
                <w:szCs w:val="20"/>
              </w:rPr>
            </w:pPr>
            <w:r w:rsidRPr="006A2BF3">
              <w:rPr>
                <w:rFonts w:ascii="Arial" w:hAnsi="Arial" w:cs="Arial"/>
                <w:sz w:val="20"/>
                <w:szCs w:val="20"/>
              </w:rPr>
              <w:t>Monitorovací výbor</w:t>
            </w:r>
          </w:p>
        </w:tc>
      </w:tr>
      <w:tr w:rsidR="002416B1" w:rsidRPr="006A2BF3" w:rsidTr="003A5E95">
        <w:trPr>
          <w:trHeight w:val="284"/>
        </w:trPr>
        <w:tc>
          <w:tcPr>
            <w:tcW w:w="749" w:type="pct"/>
            <w:shd w:val="clear" w:color="auto" w:fill="EAF1DD"/>
            <w:vAlign w:val="center"/>
          </w:tcPr>
          <w:p w:rsidR="002416B1" w:rsidRPr="006A2BF3" w:rsidRDefault="002416B1" w:rsidP="005F64CA">
            <w:pPr>
              <w:spacing w:before="100" w:beforeAutospacing="1" w:after="100" w:afterAutospacing="1" w:line="360" w:lineRule="auto"/>
              <w:rPr>
                <w:rFonts w:ascii="Arial" w:hAnsi="Arial" w:cs="Arial"/>
                <w:sz w:val="20"/>
                <w:szCs w:val="20"/>
              </w:rPr>
            </w:pPr>
            <w:r w:rsidRPr="006A2BF3">
              <w:rPr>
                <w:rFonts w:ascii="Arial" w:hAnsi="Arial" w:cs="Arial"/>
                <w:sz w:val="20"/>
                <w:szCs w:val="20"/>
              </w:rPr>
              <w:t>MVRR SR</w:t>
            </w:r>
          </w:p>
        </w:tc>
        <w:tc>
          <w:tcPr>
            <w:tcW w:w="4251" w:type="pct"/>
            <w:vAlign w:val="center"/>
          </w:tcPr>
          <w:p w:rsidR="002416B1" w:rsidRPr="006A2BF3" w:rsidRDefault="002416B1" w:rsidP="005F64CA">
            <w:pPr>
              <w:spacing w:before="100" w:beforeAutospacing="1" w:after="100" w:afterAutospacing="1" w:line="360" w:lineRule="auto"/>
              <w:rPr>
                <w:rFonts w:ascii="Arial" w:hAnsi="Arial" w:cs="Arial"/>
                <w:sz w:val="20"/>
                <w:szCs w:val="20"/>
              </w:rPr>
            </w:pPr>
            <w:r w:rsidRPr="006A2BF3">
              <w:rPr>
                <w:rFonts w:ascii="Arial" w:hAnsi="Arial" w:cs="Arial"/>
                <w:sz w:val="20"/>
                <w:szCs w:val="20"/>
              </w:rPr>
              <w:t>Ministerstvo výstavby a regionálneho rozvoja Slovenskej republiky</w:t>
            </w:r>
          </w:p>
        </w:tc>
      </w:tr>
      <w:tr w:rsidR="002416B1" w:rsidRPr="006A2BF3" w:rsidTr="003A5E95">
        <w:trPr>
          <w:trHeight w:val="284"/>
        </w:trPr>
        <w:tc>
          <w:tcPr>
            <w:tcW w:w="749" w:type="pct"/>
            <w:shd w:val="clear" w:color="auto" w:fill="EAF1DD"/>
            <w:vAlign w:val="center"/>
          </w:tcPr>
          <w:p w:rsidR="002416B1" w:rsidRPr="006A2BF3" w:rsidRDefault="002416B1" w:rsidP="005F64CA">
            <w:pPr>
              <w:spacing w:before="100" w:beforeAutospacing="1" w:after="100" w:afterAutospacing="1" w:line="360" w:lineRule="auto"/>
              <w:rPr>
                <w:rFonts w:ascii="Arial" w:hAnsi="Arial" w:cs="Arial"/>
                <w:sz w:val="20"/>
                <w:szCs w:val="20"/>
              </w:rPr>
            </w:pPr>
            <w:r w:rsidRPr="006A2BF3">
              <w:rPr>
                <w:rFonts w:ascii="Arial" w:hAnsi="Arial" w:cs="Arial"/>
                <w:sz w:val="20"/>
                <w:szCs w:val="20"/>
              </w:rPr>
              <w:t>MŽP SR</w:t>
            </w:r>
          </w:p>
        </w:tc>
        <w:tc>
          <w:tcPr>
            <w:tcW w:w="4251" w:type="pct"/>
            <w:vAlign w:val="center"/>
          </w:tcPr>
          <w:p w:rsidR="002416B1" w:rsidRPr="006A2BF3" w:rsidRDefault="002416B1" w:rsidP="005F64CA">
            <w:pPr>
              <w:spacing w:before="100" w:beforeAutospacing="1" w:after="100" w:afterAutospacing="1" w:line="360" w:lineRule="auto"/>
              <w:rPr>
                <w:rFonts w:ascii="Arial" w:hAnsi="Arial" w:cs="Arial"/>
                <w:sz w:val="20"/>
                <w:szCs w:val="20"/>
              </w:rPr>
            </w:pPr>
            <w:r w:rsidRPr="006A2BF3">
              <w:rPr>
                <w:rFonts w:ascii="Arial" w:hAnsi="Arial" w:cs="Arial"/>
                <w:sz w:val="20"/>
                <w:szCs w:val="20"/>
              </w:rPr>
              <w:t>Ministerstvo životného prostredia Slovenskej republiky</w:t>
            </w:r>
          </w:p>
        </w:tc>
      </w:tr>
      <w:tr w:rsidR="002416B1" w:rsidRPr="006A2BF3" w:rsidTr="003A5E95">
        <w:trPr>
          <w:trHeight w:val="284"/>
        </w:trPr>
        <w:tc>
          <w:tcPr>
            <w:tcW w:w="749" w:type="pct"/>
            <w:shd w:val="clear" w:color="auto" w:fill="EAF1DD"/>
            <w:vAlign w:val="center"/>
          </w:tcPr>
          <w:p w:rsidR="002416B1" w:rsidRPr="006A2BF3" w:rsidRDefault="002416B1" w:rsidP="005F64CA">
            <w:pPr>
              <w:spacing w:before="100" w:beforeAutospacing="1" w:after="100" w:afterAutospacing="1" w:line="360" w:lineRule="auto"/>
              <w:rPr>
                <w:rFonts w:ascii="Arial" w:hAnsi="Arial" w:cs="Arial"/>
                <w:sz w:val="20"/>
                <w:szCs w:val="20"/>
              </w:rPr>
            </w:pPr>
            <w:r w:rsidRPr="006A2BF3">
              <w:rPr>
                <w:rFonts w:ascii="Arial" w:hAnsi="Arial" w:cs="Arial"/>
                <w:sz w:val="20"/>
                <w:szCs w:val="20"/>
              </w:rPr>
              <w:t>NFI</w:t>
            </w:r>
          </w:p>
        </w:tc>
        <w:tc>
          <w:tcPr>
            <w:tcW w:w="4251" w:type="pct"/>
            <w:vAlign w:val="center"/>
          </w:tcPr>
          <w:p w:rsidR="002416B1" w:rsidRPr="006A2BF3" w:rsidRDefault="002416B1" w:rsidP="005F64CA">
            <w:pPr>
              <w:spacing w:before="100" w:beforeAutospacing="1" w:after="100" w:afterAutospacing="1" w:line="360" w:lineRule="auto"/>
              <w:rPr>
                <w:rFonts w:ascii="Arial" w:hAnsi="Arial" w:cs="Arial"/>
                <w:sz w:val="20"/>
                <w:szCs w:val="20"/>
              </w:rPr>
            </w:pPr>
            <w:r w:rsidRPr="006A2BF3">
              <w:rPr>
                <w:rFonts w:ascii="Arial" w:hAnsi="Arial" w:cs="Arial"/>
                <w:bCs/>
                <w:sz w:val="20"/>
                <w:szCs w:val="20"/>
              </w:rPr>
              <w:t>Nástroje finančného inžinierstva</w:t>
            </w:r>
          </w:p>
        </w:tc>
      </w:tr>
      <w:tr w:rsidR="002416B1" w:rsidRPr="006A2BF3" w:rsidTr="003A5E95">
        <w:trPr>
          <w:trHeight w:val="284"/>
        </w:trPr>
        <w:tc>
          <w:tcPr>
            <w:tcW w:w="749" w:type="pct"/>
            <w:shd w:val="clear" w:color="auto" w:fill="EAF1DD"/>
            <w:vAlign w:val="center"/>
          </w:tcPr>
          <w:p w:rsidR="002416B1" w:rsidRPr="006A2BF3" w:rsidRDefault="002416B1" w:rsidP="005F64CA">
            <w:pPr>
              <w:spacing w:before="100" w:beforeAutospacing="1" w:after="100" w:afterAutospacing="1" w:line="360" w:lineRule="auto"/>
              <w:rPr>
                <w:rFonts w:ascii="Arial" w:hAnsi="Arial" w:cs="Arial"/>
                <w:sz w:val="20"/>
                <w:szCs w:val="20"/>
              </w:rPr>
            </w:pPr>
            <w:r w:rsidRPr="006A2BF3">
              <w:rPr>
                <w:rFonts w:ascii="Arial" w:hAnsi="Arial" w:cs="Arial"/>
                <w:sz w:val="20"/>
                <w:szCs w:val="20"/>
              </w:rPr>
              <w:t>NFM</w:t>
            </w:r>
          </w:p>
        </w:tc>
        <w:tc>
          <w:tcPr>
            <w:tcW w:w="4251" w:type="pct"/>
            <w:vAlign w:val="center"/>
          </w:tcPr>
          <w:p w:rsidR="002416B1" w:rsidRPr="006A2BF3" w:rsidRDefault="002416B1" w:rsidP="005F64CA">
            <w:pPr>
              <w:spacing w:before="100" w:beforeAutospacing="1" w:after="100" w:afterAutospacing="1" w:line="360" w:lineRule="auto"/>
              <w:rPr>
                <w:rFonts w:ascii="Arial" w:hAnsi="Arial" w:cs="Arial"/>
                <w:sz w:val="20"/>
                <w:szCs w:val="20"/>
              </w:rPr>
            </w:pPr>
            <w:r w:rsidRPr="006A2BF3">
              <w:rPr>
                <w:rFonts w:ascii="Arial" w:hAnsi="Arial" w:cs="Arial"/>
                <w:sz w:val="20"/>
                <w:szCs w:val="20"/>
              </w:rPr>
              <w:t>Nórsky finančný mechanizmus</w:t>
            </w:r>
          </w:p>
        </w:tc>
      </w:tr>
      <w:tr w:rsidR="002416B1" w:rsidRPr="006A2BF3" w:rsidTr="003A5E95">
        <w:trPr>
          <w:trHeight w:val="284"/>
        </w:trPr>
        <w:tc>
          <w:tcPr>
            <w:tcW w:w="749" w:type="pct"/>
            <w:shd w:val="clear" w:color="auto" w:fill="EAF1DD"/>
            <w:vAlign w:val="center"/>
          </w:tcPr>
          <w:p w:rsidR="002416B1" w:rsidRPr="006A2BF3" w:rsidRDefault="002416B1" w:rsidP="005F64CA">
            <w:pPr>
              <w:spacing w:before="100" w:beforeAutospacing="1" w:after="100" w:afterAutospacing="1" w:line="360" w:lineRule="auto"/>
              <w:rPr>
                <w:rFonts w:ascii="Arial" w:hAnsi="Arial" w:cs="Arial"/>
                <w:sz w:val="20"/>
                <w:szCs w:val="20"/>
              </w:rPr>
            </w:pPr>
            <w:r w:rsidRPr="006A2BF3">
              <w:rPr>
                <w:rFonts w:ascii="Arial" w:hAnsi="Arial" w:cs="Arial"/>
                <w:sz w:val="20"/>
                <w:szCs w:val="20"/>
              </w:rPr>
              <w:t>NFP</w:t>
            </w:r>
          </w:p>
        </w:tc>
        <w:tc>
          <w:tcPr>
            <w:tcW w:w="4251" w:type="pct"/>
            <w:vAlign w:val="center"/>
          </w:tcPr>
          <w:p w:rsidR="002416B1" w:rsidRPr="006A2BF3" w:rsidRDefault="002416B1" w:rsidP="005F64CA">
            <w:pPr>
              <w:spacing w:before="100" w:beforeAutospacing="1" w:after="100" w:afterAutospacing="1" w:line="360" w:lineRule="auto"/>
              <w:rPr>
                <w:rFonts w:ascii="Arial" w:hAnsi="Arial" w:cs="Arial"/>
                <w:sz w:val="20"/>
                <w:szCs w:val="20"/>
              </w:rPr>
            </w:pPr>
            <w:r w:rsidRPr="006A2BF3">
              <w:rPr>
                <w:rFonts w:ascii="Arial" w:hAnsi="Arial" w:cs="Arial"/>
                <w:sz w:val="20"/>
                <w:szCs w:val="20"/>
              </w:rPr>
              <w:t>Nenávratný finančný príspevok</w:t>
            </w:r>
          </w:p>
        </w:tc>
      </w:tr>
      <w:tr w:rsidR="002416B1" w:rsidRPr="006A2BF3" w:rsidTr="003A5E95">
        <w:trPr>
          <w:trHeight w:val="284"/>
        </w:trPr>
        <w:tc>
          <w:tcPr>
            <w:tcW w:w="749" w:type="pct"/>
            <w:shd w:val="clear" w:color="auto" w:fill="EAF1DD"/>
            <w:vAlign w:val="center"/>
          </w:tcPr>
          <w:p w:rsidR="002416B1" w:rsidRPr="006A2BF3" w:rsidRDefault="002416B1" w:rsidP="005F64CA">
            <w:pPr>
              <w:spacing w:before="100" w:beforeAutospacing="1" w:after="100" w:afterAutospacing="1" w:line="360" w:lineRule="auto"/>
              <w:rPr>
                <w:rFonts w:ascii="Arial" w:hAnsi="Arial" w:cs="Arial"/>
                <w:sz w:val="20"/>
                <w:szCs w:val="20"/>
              </w:rPr>
            </w:pPr>
            <w:r>
              <w:rPr>
                <w:rFonts w:ascii="Arial" w:hAnsi="Arial" w:cs="Arial"/>
                <w:sz w:val="20"/>
                <w:szCs w:val="20"/>
              </w:rPr>
              <w:t>NMV</w:t>
            </w:r>
          </w:p>
        </w:tc>
        <w:tc>
          <w:tcPr>
            <w:tcW w:w="4251" w:type="pct"/>
            <w:vAlign w:val="center"/>
          </w:tcPr>
          <w:p w:rsidR="002416B1" w:rsidRPr="006A2BF3" w:rsidRDefault="002416B1" w:rsidP="005F64CA">
            <w:pPr>
              <w:spacing w:before="100" w:beforeAutospacing="1" w:after="100" w:afterAutospacing="1" w:line="360" w:lineRule="auto"/>
              <w:rPr>
                <w:rFonts w:ascii="Arial" w:hAnsi="Arial" w:cs="Arial"/>
                <w:sz w:val="20"/>
                <w:szCs w:val="20"/>
              </w:rPr>
            </w:pPr>
            <w:r>
              <w:rPr>
                <w:rFonts w:ascii="Arial" w:hAnsi="Arial" w:cs="Arial"/>
                <w:sz w:val="20"/>
                <w:szCs w:val="20"/>
              </w:rPr>
              <w:t>Národný monitorovací výbor</w:t>
            </w:r>
          </w:p>
        </w:tc>
      </w:tr>
      <w:tr w:rsidR="002416B1" w:rsidRPr="006A2BF3" w:rsidTr="003A5E95">
        <w:trPr>
          <w:trHeight w:val="284"/>
        </w:trPr>
        <w:tc>
          <w:tcPr>
            <w:tcW w:w="749" w:type="pct"/>
            <w:shd w:val="clear" w:color="auto" w:fill="EAF1DD"/>
            <w:vAlign w:val="center"/>
          </w:tcPr>
          <w:p w:rsidR="002416B1" w:rsidRPr="006A2BF3" w:rsidRDefault="002416B1" w:rsidP="005F64CA">
            <w:pPr>
              <w:spacing w:before="100" w:beforeAutospacing="1" w:after="100" w:afterAutospacing="1" w:line="360" w:lineRule="auto"/>
              <w:rPr>
                <w:rFonts w:ascii="Arial" w:hAnsi="Arial" w:cs="Arial"/>
                <w:sz w:val="20"/>
                <w:szCs w:val="20"/>
              </w:rPr>
            </w:pPr>
            <w:r w:rsidRPr="006A2BF3">
              <w:rPr>
                <w:rFonts w:ascii="Arial" w:hAnsi="Arial" w:cs="Arial"/>
                <w:sz w:val="20"/>
                <w:szCs w:val="20"/>
              </w:rPr>
              <w:t>NSRR</w:t>
            </w:r>
          </w:p>
        </w:tc>
        <w:tc>
          <w:tcPr>
            <w:tcW w:w="4251" w:type="pct"/>
            <w:vAlign w:val="center"/>
          </w:tcPr>
          <w:p w:rsidR="002416B1" w:rsidRPr="006A2BF3" w:rsidRDefault="002416B1" w:rsidP="005F64CA">
            <w:pPr>
              <w:spacing w:before="100" w:beforeAutospacing="1" w:after="100" w:afterAutospacing="1" w:line="360" w:lineRule="auto"/>
              <w:rPr>
                <w:rFonts w:ascii="Arial" w:hAnsi="Arial" w:cs="Arial"/>
                <w:sz w:val="20"/>
                <w:szCs w:val="20"/>
              </w:rPr>
            </w:pPr>
            <w:r w:rsidRPr="006A2BF3">
              <w:rPr>
                <w:rFonts w:ascii="Arial" w:hAnsi="Arial" w:cs="Arial"/>
                <w:sz w:val="20"/>
                <w:szCs w:val="20"/>
              </w:rPr>
              <w:t>Národný strategický referenčný rámec</w:t>
            </w:r>
          </w:p>
        </w:tc>
      </w:tr>
      <w:tr w:rsidR="002416B1" w:rsidRPr="006A2BF3" w:rsidTr="003A5E95">
        <w:trPr>
          <w:trHeight w:val="284"/>
        </w:trPr>
        <w:tc>
          <w:tcPr>
            <w:tcW w:w="749" w:type="pct"/>
            <w:shd w:val="clear" w:color="auto" w:fill="EAF1DD"/>
            <w:vAlign w:val="center"/>
          </w:tcPr>
          <w:p w:rsidR="002416B1" w:rsidRPr="006A2BF3" w:rsidRDefault="002416B1" w:rsidP="005F64CA">
            <w:pPr>
              <w:spacing w:before="100" w:beforeAutospacing="1" w:after="100" w:afterAutospacing="1" w:line="360" w:lineRule="auto"/>
              <w:rPr>
                <w:rFonts w:ascii="Arial" w:hAnsi="Arial" w:cs="Arial"/>
                <w:sz w:val="20"/>
                <w:szCs w:val="20"/>
              </w:rPr>
            </w:pPr>
            <w:r w:rsidRPr="006A2BF3">
              <w:rPr>
                <w:rFonts w:ascii="Arial" w:hAnsi="Arial" w:cs="Arial"/>
                <w:sz w:val="20"/>
                <w:szCs w:val="20"/>
              </w:rPr>
              <w:t>NUTS</w:t>
            </w:r>
          </w:p>
        </w:tc>
        <w:tc>
          <w:tcPr>
            <w:tcW w:w="4251" w:type="pct"/>
            <w:vAlign w:val="center"/>
          </w:tcPr>
          <w:p w:rsidR="002416B1" w:rsidRPr="006A2BF3" w:rsidRDefault="002416B1" w:rsidP="005F64CA">
            <w:pPr>
              <w:spacing w:before="100" w:beforeAutospacing="1" w:after="100" w:afterAutospacing="1" w:line="360" w:lineRule="auto"/>
              <w:rPr>
                <w:rFonts w:ascii="Arial" w:hAnsi="Arial" w:cs="Arial"/>
                <w:sz w:val="20"/>
                <w:szCs w:val="20"/>
              </w:rPr>
            </w:pPr>
            <w:r w:rsidRPr="006A2BF3">
              <w:rPr>
                <w:rFonts w:ascii="Arial" w:hAnsi="Arial" w:cs="Arial"/>
                <w:sz w:val="20"/>
                <w:szCs w:val="20"/>
              </w:rPr>
              <w:t>Nomenklatúra územných štatistických jednotiek</w:t>
            </w:r>
          </w:p>
        </w:tc>
      </w:tr>
      <w:tr w:rsidR="002416B1" w:rsidRPr="006A2BF3" w:rsidTr="003A5E95">
        <w:trPr>
          <w:trHeight w:val="284"/>
        </w:trPr>
        <w:tc>
          <w:tcPr>
            <w:tcW w:w="749" w:type="pct"/>
            <w:shd w:val="clear" w:color="auto" w:fill="EAF1DD"/>
            <w:vAlign w:val="center"/>
          </w:tcPr>
          <w:p w:rsidR="002416B1" w:rsidRPr="006A2BF3" w:rsidRDefault="002416B1" w:rsidP="005F64CA">
            <w:pPr>
              <w:spacing w:before="100" w:beforeAutospacing="1" w:after="100" w:afterAutospacing="1" w:line="360" w:lineRule="auto"/>
              <w:rPr>
                <w:rFonts w:ascii="Arial" w:hAnsi="Arial" w:cs="Arial"/>
                <w:sz w:val="20"/>
                <w:szCs w:val="20"/>
              </w:rPr>
            </w:pPr>
            <w:r w:rsidRPr="006A2BF3">
              <w:rPr>
                <w:rFonts w:ascii="Arial" w:hAnsi="Arial" w:cs="Arial"/>
                <w:sz w:val="20"/>
                <w:szCs w:val="20"/>
              </w:rPr>
              <w:t>OP</w:t>
            </w:r>
          </w:p>
        </w:tc>
        <w:tc>
          <w:tcPr>
            <w:tcW w:w="4251" w:type="pct"/>
            <w:vAlign w:val="center"/>
          </w:tcPr>
          <w:p w:rsidR="002416B1" w:rsidRPr="006A2BF3" w:rsidRDefault="002416B1" w:rsidP="005F64CA">
            <w:pPr>
              <w:spacing w:before="100" w:beforeAutospacing="1" w:after="100" w:afterAutospacing="1" w:line="360" w:lineRule="auto"/>
              <w:rPr>
                <w:rFonts w:ascii="Arial" w:hAnsi="Arial" w:cs="Arial"/>
                <w:sz w:val="20"/>
                <w:szCs w:val="20"/>
              </w:rPr>
            </w:pPr>
            <w:r w:rsidRPr="006A2BF3">
              <w:rPr>
                <w:rFonts w:ascii="Arial" w:hAnsi="Arial" w:cs="Arial"/>
                <w:sz w:val="20"/>
                <w:szCs w:val="20"/>
              </w:rPr>
              <w:t>Operačný program</w:t>
            </w:r>
          </w:p>
        </w:tc>
      </w:tr>
      <w:tr w:rsidR="002416B1" w:rsidRPr="006A2BF3" w:rsidTr="003A5E95">
        <w:trPr>
          <w:trHeight w:val="284"/>
        </w:trPr>
        <w:tc>
          <w:tcPr>
            <w:tcW w:w="749" w:type="pct"/>
            <w:shd w:val="clear" w:color="auto" w:fill="EAF1DD"/>
            <w:vAlign w:val="center"/>
          </w:tcPr>
          <w:p w:rsidR="002416B1" w:rsidRPr="006A2BF3" w:rsidRDefault="002416B1" w:rsidP="005F64CA">
            <w:pPr>
              <w:spacing w:before="100" w:beforeAutospacing="1" w:after="100" w:afterAutospacing="1" w:line="360" w:lineRule="auto"/>
              <w:rPr>
                <w:rFonts w:ascii="Arial" w:hAnsi="Arial" w:cs="Arial"/>
                <w:sz w:val="20"/>
                <w:szCs w:val="20"/>
              </w:rPr>
            </w:pPr>
            <w:r w:rsidRPr="006A2BF3">
              <w:rPr>
                <w:rFonts w:ascii="Arial" w:hAnsi="Arial" w:cs="Arial"/>
                <w:sz w:val="20"/>
                <w:szCs w:val="20"/>
              </w:rPr>
              <w:t>OPBK</w:t>
            </w:r>
          </w:p>
        </w:tc>
        <w:tc>
          <w:tcPr>
            <w:tcW w:w="4251" w:type="pct"/>
            <w:vAlign w:val="center"/>
          </w:tcPr>
          <w:p w:rsidR="002416B1" w:rsidRPr="006A2BF3" w:rsidRDefault="002416B1" w:rsidP="005F64CA">
            <w:pPr>
              <w:spacing w:before="100" w:beforeAutospacing="1" w:after="100" w:afterAutospacing="1" w:line="360" w:lineRule="auto"/>
              <w:rPr>
                <w:rFonts w:ascii="Arial" w:hAnsi="Arial" w:cs="Arial"/>
                <w:sz w:val="20"/>
                <w:szCs w:val="20"/>
              </w:rPr>
            </w:pPr>
            <w:r w:rsidRPr="006A2BF3">
              <w:rPr>
                <w:rFonts w:ascii="Arial" w:hAnsi="Arial" w:cs="Arial"/>
                <w:sz w:val="20"/>
                <w:szCs w:val="20"/>
              </w:rPr>
              <w:t>Operačný program Bratislavský kraj</w:t>
            </w:r>
          </w:p>
        </w:tc>
      </w:tr>
      <w:tr w:rsidR="002416B1" w:rsidRPr="006A2BF3" w:rsidTr="003A5E95">
        <w:trPr>
          <w:trHeight w:val="284"/>
        </w:trPr>
        <w:tc>
          <w:tcPr>
            <w:tcW w:w="749" w:type="pct"/>
            <w:shd w:val="clear" w:color="auto" w:fill="EAF1DD"/>
            <w:vAlign w:val="center"/>
          </w:tcPr>
          <w:p w:rsidR="002416B1" w:rsidRPr="006A2BF3" w:rsidRDefault="002416B1" w:rsidP="005F64CA">
            <w:pPr>
              <w:spacing w:before="100" w:beforeAutospacing="1" w:after="100" w:afterAutospacing="1" w:line="360" w:lineRule="auto"/>
              <w:rPr>
                <w:rFonts w:ascii="Arial" w:hAnsi="Arial" w:cs="Arial"/>
                <w:sz w:val="20"/>
                <w:szCs w:val="20"/>
              </w:rPr>
            </w:pPr>
            <w:r w:rsidRPr="006A2BF3">
              <w:rPr>
                <w:rFonts w:ascii="Arial" w:hAnsi="Arial" w:cs="Arial"/>
                <w:sz w:val="20"/>
                <w:szCs w:val="20"/>
              </w:rPr>
              <w:t>OP KaHR</w:t>
            </w:r>
          </w:p>
        </w:tc>
        <w:tc>
          <w:tcPr>
            <w:tcW w:w="4251" w:type="pct"/>
            <w:vAlign w:val="center"/>
          </w:tcPr>
          <w:p w:rsidR="002416B1" w:rsidRPr="006A2BF3" w:rsidRDefault="002416B1" w:rsidP="005F64CA">
            <w:pPr>
              <w:spacing w:before="100" w:beforeAutospacing="1" w:after="100" w:afterAutospacing="1" w:line="360" w:lineRule="auto"/>
              <w:rPr>
                <w:rFonts w:ascii="Arial" w:hAnsi="Arial" w:cs="Arial"/>
                <w:sz w:val="20"/>
                <w:szCs w:val="20"/>
              </w:rPr>
            </w:pPr>
            <w:r w:rsidRPr="006A2BF3">
              <w:rPr>
                <w:rFonts w:ascii="Arial" w:hAnsi="Arial" w:cs="Arial"/>
                <w:sz w:val="20"/>
                <w:szCs w:val="20"/>
              </w:rPr>
              <w:t>Operačný program Konkurencieschopnosť a hospodársky rast</w:t>
            </w:r>
          </w:p>
        </w:tc>
      </w:tr>
      <w:tr w:rsidR="002416B1" w:rsidRPr="006A2BF3" w:rsidTr="003A5E95">
        <w:trPr>
          <w:trHeight w:val="284"/>
        </w:trPr>
        <w:tc>
          <w:tcPr>
            <w:tcW w:w="749" w:type="pct"/>
            <w:shd w:val="clear" w:color="auto" w:fill="EAF1DD"/>
            <w:vAlign w:val="center"/>
          </w:tcPr>
          <w:p w:rsidR="002416B1" w:rsidRPr="006A2BF3" w:rsidRDefault="002416B1" w:rsidP="005F64CA">
            <w:pPr>
              <w:spacing w:before="100" w:beforeAutospacing="1" w:after="100" w:afterAutospacing="1" w:line="360" w:lineRule="auto"/>
              <w:rPr>
                <w:rFonts w:ascii="Arial" w:hAnsi="Arial" w:cs="Arial"/>
                <w:sz w:val="20"/>
                <w:szCs w:val="20"/>
              </w:rPr>
            </w:pPr>
            <w:r w:rsidRPr="006A2BF3">
              <w:rPr>
                <w:rFonts w:ascii="Arial" w:hAnsi="Arial" w:cs="Arial"/>
                <w:sz w:val="20"/>
                <w:szCs w:val="20"/>
              </w:rPr>
              <w:t>OP ŽP</w:t>
            </w:r>
          </w:p>
        </w:tc>
        <w:tc>
          <w:tcPr>
            <w:tcW w:w="4251" w:type="pct"/>
            <w:vAlign w:val="center"/>
          </w:tcPr>
          <w:p w:rsidR="002416B1" w:rsidRPr="006A2BF3" w:rsidRDefault="002416B1" w:rsidP="005F64CA">
            <w:pPr>
              <w:spacing w:before="100" w:beforeAutospacing="1" w:after="100" w:afterAutospacing="1" w:line="360" w:lineRule="auto"/>
              <w:rPr>
                <w:rFonts w:ascii="Arial" w:hAnsi="Arial" w:cs="Arial"/>
                <w:sz w:val="20"/>
                <w:szCs w:val="20"/>
              </w:rPr>
            </w:pPr>
            <w:r w:rsidRPr="006A2BF3">
              <w:rPr>
                <w:rFonts w:ascii="Arial" w:hAnsi="Arial" w:cs="Arial"/>
                <w:sz w:val="20"/>
                <w:szCs w:val="20"/>
              </w:rPr>
              <w:t>Operačný program Životné prostredie</w:t>
            </w:r>
          </w:p>
        </w:tc>
      </w:tr>
      <w:tr w:rsidR="002416B1" w:rsidRPr="006A2BF3" w:rsidTr="003A5E95">
        <w:trPr>
          <w:trHeight w:val="284"/>
        </w:trPr>
        <w:tc>
          <w:tcPr>
            <w:tcW w:w="749" w:type="pct"/>
            <w:shd w:val="clear" w:color="auto" w:fill="EAF1DD"/>
            <w:vAlign w:val="center"/>
          </w:tcPr>
          <w:p w:rsidR="002416B1" w:rsidRPr="006A2BF3" w:rsidRDefault="002416B1" w:rsidP="005F64CA">
            <w:pPr>
              <w:spacing w:before="100" w:beforeAutospacing="1" w:after="100" w:afterAutospacing="1" w:line="360" w:lineRule="auto"/>
              <w:rPr>
                <w:rFonts w:ascii="Arial" w:hAnsi="Arial" w:cs="Arial"/>
                <w:sz w:val="20"/>
                <w:szCs w:val="20"/>
              </w:rPr>
            </w:pPr>
            <w:r w:rsidRPr="006A2BF3">
              <w:rPr>
                <w:rFonts w:ascii="Arial" w:hAnsi="Arial" w:cs="Arial"/>
                <w:sz w:val="20"/>
                <w:szCs w:val="20"/>
              </w:rPr>
              <w:t>OOV</w:t>
            </w:r>
          </w:p>
        </w:tc>
        <w:tc>
          <w:tcPr>
            <w:tcW w:w="4251" w:type="pct"/>
            <w:vAlign w:val="center"/>
          </w:tcPr>
          <w:p w:rsidR="002416B1" w:rsidRPr="006A2BF3" w:rsidRDefault="002416B1" w:rsidP="005F64CA">
            <w:pPr>
              <w:spacing w:before="100" w:beforeAutospacing="1" w:after="100" w:afterAutospacing="1" w:line="360" w:lineRule="auto"/>
              <w:rPr>
                <w:rFonts w:ascii="Arial" w:hAnsi="Arial" w:cs="Arial"/>
                <w:sz w:val="20"/>
                <w:szCs w:val="20"/>
              </w:rPr>
            </w:pPr>
            <w:r w:rsidRPr="006A2BF3">
              <w:rPr>
                <w:rFonts w:ascii="Arial" w:hAnsi="Arial" w:cs="Arial"/>
                <w:sz w:val="20"/>
                <w:szCs w:val="20"/>
              </w:rPr>
              <w:t>Odhad očakávaných výdavkov</w:t>
            </w:r>
          </w:p>
        </w:tc>
      </w:tr>
      <w:tr w:rsidR="002416B1" w:rsidRPr="006A2BF3" w:rsidTr="003A5E95">
        <w:trPr>
          <w:trHeight w:val="284"/>
        </w:trPr>
        <w:tc>
          <w:tcPr>
            <w:tcW w:w="749" w:type="pct"/>
            <w:shd w:val="clear" w:color="auto" w:fill="EAF1DD"/>
            <w:vAlign w:val="center"/>
          </w:tcPr>
          <w:p w:rsidR="002416B1" w:rsidRPr="006A2BF3" w:rsidRDefault="002416B1" w:rsidP="005F64CA">
            <w:pPr>
              <w:spacing w:before="100" w:beforeAutospacing="1" w:after="100" w:afterAutospacing="1" w:line="360" w:lineRule="auto"/>
              <w:rPr>
                <w:rFonts w:ascii="Arial" w:hAnsi="Arial" w:cs="Arial"/>
                <w:sz w:val="20"/>
                <w:szCs w:val="20"/>
              </w:rPr>
            </w:pPr>
            <w:r w:rsidRPr="006A2BF3">
              <w:rPr>
                <w:rFonts w:ascii="Arial" w:hAnsi="Arial" w:cs="Arial"/>
                <w:sz w:val="20"/>
                <w:szCs w:val="20"/>
              </w:rPr>
              <w:t>PJ</w:t>
            </w:r>
          </w:p>
        </w:tc>
        <w:tc>
          <w:tcPr>
            <w:tcW w:w="4251" w:type="pct"/>
            <w:vAlign w:val="center"/>
          </w:tcPr>
          <w:p w:rsidR="002416B1" w:rsidRPr="006A2BF3" w:rsidRDefault="002416B1" w:rsidP="005F64CA">
            <w:pPr>
              <w:spacing w:before="100" w:beforeAutospacing="1" w:after="100" w:afterAutospacing="1" w:line="360" w:lineRule="auto"/>
              <w:rPr>
                <w:rFonts w:ascii="Arial" w:hAnsi="Arial" w:cs="Arial"/>
                <w:sz w:val="20"/>
                <w:szCs w:val="20"/>
              </w:rPr>
            </w:pPr>
            <w:r w:rsidRPr="006A2BF3">
              <w:rPr>
                <w:rFonts w:ascii="Arial" w:hAnsi="Arial" w:cs="Arial"/>
                <w:sz w:val="20"/>
                <w:szCs w:val="20"/>
              </w:rPr>
              <w:t>Platobná jednotka</w:t>
            </w:r>
          </w:p>
        </w:tc>
      </w:tr>
      <w:tr w:rsidR="002416B1" w:rsidRPr="006A2BF3" w:rsidTr="003A5E95">
        <w:trPr>
          <w:trHeight w:val="284"/>
        </w:trPr>
        <w:tc>
          <w:tcPr>
            <w:tcW w:w="749" w:type="pct"/>
            <w:shd w:val="clear" w:color="auto" w:fill="EAF1DD"/>
            <w:vAlign w:val="center"/>
          </w:tcPr>
          <w:p w:rsidR="002416B1" w:rsidRPr="006A2BF3" w:rsidRDefault="002416B1" w:rsidP="005F64CA">
            <w:pPr>
              <w:spacing w:before="100" w:beforeAutospacing="1" w:after="100" w:afterAutospacing="1" w:line="360" w:lineRule="auto"/>
              <w:rPr>
                <w:rFonts w:ascii="Arial" w:hAnsi="Arial" w:cs="Arial"/>
                <w:sz w:val="20"/>
                <w:szCs w:val="20"/>
              </w:rPr>
            </w:pPr>
            <w:r>
              <w:rPr>
                <w:rFonts w:ascii="Arial" w:hAnsi="Arial" w:cs="Arial"/>
                <w:sz w:val="20"/>
                <w:szCs w:val="20"/>
              </w:rPr>
              <w:t>PO</w:t>
            </w:r>
          </w:p>
        </w:tc>
        <w:tc>
          <w:tcPr>
            <w:tcW w:w="4251" w:type="pct"/>
            <w:vAlign w:val="center"/>
          </w:tcPr>
          <w:p w:rsidR="002416B1" w:rsidRPr="006A2BF3" w:rsidRDefault="002416B1" w:rsidP="005F64CA">
            <w:pPr>
              <w:spacing w:before="100" w:beforeAutospacing="1" w:after="100" w:afterAutospacing="1" w:line="360" w:lineRule="auto"/>
              <w:rPr>
                <w:rFonts w:ascii="Arial" w:hAnsi="Arial" w:cs="Arial"/>
                <w:sz w:val="20"/>
                <w:szCs w:val="20"/>
              </w:rPr>
            </w:pPr>
            <w:r>
              <w:rPr>
                <w:rFonts w:ascii="Arial" w:hAnsi="Arial" w:cs="Arial"/>
                <w:sz w:val="20"/>
                <w:szCs w:val="20"/>
              </w:rPr>
              <w:t>Programové obdobie</w:t>
            </w:r>
          </w:p>
        </w:tc>
      </w:tr>
      <w:tr w:rsidR="002416B1" w:rsidRPr="006A2BF3" w:rsidTr="003A5E95">
        <w:trPr>
          <w:trHeight w:val="284"/>
        </w:trPr>
        <w:tc>
          <w:tcPr>
            <w:tcW w:w="749" w:type="pct"/>
            <w:shd w:val="clear" w:color="auto" w:fill="EAF1DD"/>
            <w:vAlign w:val="center"/>
          </w:tcPr>
          <w:p w:rsidR="002416B1" w:rsidRPr="006A2BF3" w:rsidRDefault="002416B1" w:rsidP="005F64CA">
            <w:pPr>
              <w:spacing w:before="100" w:beforeAutospacing="1" w:after="100" w:afterAutospacing="1" w:line="360" w:lineRule="auto"/>
              <w:rPr>
                <w:rFonts w:ascii="Arial" w:hAnsi="Arial" w:cs="Arial"/>
                <w:sz w:val="20"/>
                <w:szCs w:val="20"/>
              </w:rPr>
            </w:pPr>
            <w:r w:rsidRPr="006A2BF3">
              <w:rPr>
                <w:rFonts w:ascii="Arial" w:hAnsi="Arial" w:cs="Arial"/>
                <w:sz w:val="20"/>
                <w:szCs w:val="20"/>
              </w:rPr>
              <w:t>POVAPSYS</w:t>
            </w:r>
          </w:p>
        </w:tc>
        <w:tc>
          <w:tcPr>
            <w:tcW w:w="4251" w:type="pct"/>
            <w:vAlign w:val="center"/>
          </w:tcPr>
          <w:p w:rsidR="002416B1" w:rsidRPr="006A2BF3" w:rsidRDefault="002416B1" w:rsidP="005F64CA">
            <w:pPr>
              <w:spacing w:before="100" w:beforeAutospacing="1" w:after="100" w:afterAutospacing="1" w:line="360" w:lineRule="auto"/>
              <w:rPr>
                <w:rFonts w:ascii="Arial" w:hAnsi="Arial" w:cs="Arial"/>
                <w:sz w:val="20"/>
                <w:szCs w:val="20"/>
              </w:rPr>
            </w:pPr>
            <w:r w:rsidRPr="006A2BF3">
              <w:rPr>
                <w:rFonts w:ascii="Arial" w:hAnsi="Arial" w:cs="Arial"/>
                <w:sz w:val="20"/>
                <w:szCs w:val="20"/>
              </w:rPr>
              <w:t>Povodňový varovný a predpovedný systém</w:t>
            </w:r>
          </w:p>
        </w:tc>
      </w:tr>
      <w:tr w:rsidR="002416B1" w:rsidRPr="006A2BF3" w:rsidTr="003A5E95">
        <w:trPr>
          <w:trHeight w:val="284"/>
        </w:trPr>
        <w:tc>
          <w:tcPr>
            <w:tcW w:w="749" w:type="pct"/>
            <w:shd w:val="clear" w:color="auto" w:fill="EAF1DD"/>
            <w:vAlign w:val="center"/>
          </w:tcPr>
          <w:p w:rsidR="002416B1" w:rsidRPr="006A2BF3" w:rsidRDefault="002416B1" w:rsidP="005F64CA">
            <w:pPr>
              <w:spacing w:before="100" w:beforeAutospacing="1" w:after="100" w:afterAutospacing="1" w:line="360" w:lineRule="auto"/>
              <w:rPr>
                <w:rFonts w:ascii="Arial" w:hAnsi="Arial" w:cs="Arial"/>
                <w:sz w:val="20"/>
                <w:szCs w:val="20"/>
              </w:rPr>
            </w:pPr>
            <w:r w:rsidRPr="006A2BF3">
              <w:rPr>
                <w:rFonts w:ascii="Arial" w:hAnsi="Arial" w:cs="Arial"/>
                <w:sz w:val="20"/>
                <w:szCs w:val="20"/>
              </w:rPr>
              <w:t>PRV</w:t>
            </w:r>
          </w:p>
        </w:tc>
        <w:tc>
          <w:tcPr>
            <w:tcW w:w="4251" w:type="pct"/>
            <w:vAlign w:val="center"/>
          </w:tcPr>
          <w:p w:rsidR="002416B1" w:rsidRPr="006A2BF3" w:rsidRDefault="002416B1" w:rsidP="005F64CA">
            <w:pPr>
              <w:spacing w:before="100" w:beforeAutospacing="1" w:after="100" w:afterAutospacing="1" w:line="360" w:lineRule="auto"/>
              <w:rPr>
                <w:rFonts w:ascii="Arial" w:hAnsi="Arial" w:cs="Arial"/>
                <w:sz w:val="20"/>
                <w:szCs w:val="20"/>
              </w:rPr>
            </w:pPr>
            <w:r w:rsidRPr="006A2BF3">
              <w:rPr>
                <w:rFonts w:ascii="Arial" w:hAnsi="Arial" w:cs="Arial"/>
                <w:sz w:val="20"/>
                <w:szCs w:val="20"/>
              </w:rPr>
              <w:t>Program rozvoja vidieka</w:t>
            </w:r>
          </w:p>
        </w:tc>
      </w:tr>
      <w:tr w:rsidR="002416B1" w:rsidRPr="006A2BF3" w:rsidTr="003A5E95">
        <w:trPr>
          <w:trHeight w:val="284"/>
        </w:trPr>
        <w:tc>
          <w:tcPr>
            <w:tcW w:w="749" w:type="pct"/>
            <w:shd w:val="clear" w:color="auto" w:fill="EAF1DD"/>
            <w:vAlign w:val="center"/>
          </w:tcPr>
          <w:p w:rsidR="002416B1" w:rsidRPr="006A2BF3" w:rsidRDefault="002416B1" w:rsidP="005F64CA">
            <w:pPr>
              <w:spacing w:before="100" w:beforeAutospacing="1" w:after="100" w:afterAutospacing="1" w:line="360" w:lineRule="auto"/>
              <w:rPr>
                <w:rFonts w:ascii="Arial" w:hAnsi="Arial" w:cs="Arial"/>
                <w:sz w:val="20"/>
                <w:szCs w:val="20"/>
              </w:rPr>
            </w:pPr>
            <w:r w:rsidRPr="006A2BF3">
              <w:rPr>
                <w:rFonts w:ascii="Arial" w:hAnsi="Arial" w:cs="Arial"/>
                <w:sz w:val="20"/>
                <w:szCs w:val="20"/>
              </w:rPr>
              <w:t>PSH</w:t>
            </w:r>
          </w:p>
        </w:tc>
        <w:tc>
          <w:tcPr>
            <w:tcW w:w="4251" w:type="pct"/>
            <w:vAlign w:val="center"/>
          </w:tcPr>
          <w:p w:rsidR="002416B1" w:rsidRPr="006A2BF3" w:rsidRDefault="002416B1" w:rsidP="005F64CA">
            <w:pPr>
              <w:spacing w:before="100" w:beforeAutospacing="1" w:after="100" w:afterAutospacing="1" w:line="360" w:lineRule="auto"/>
              <w:rPr>
                <w:rFonts w:ascii="Arial" w:hAnsi="Arial" w:cs="Arial"/>
                <w:sz w:val="20"/>
                <w:szCs w:val="20"/>
              </w:rPr>
            </w:pPr>
            <w:r w:rsidRPr="006A2BF3">
              <w:rPr>
                <w:rFonts w:ascii="Arial" w:hAnsi="Arial" w:cs="Arial"/>
                <w:sz w:val="20"/>
                <w:szCs w:val="20"/>
              </w:rPr>
              <w:t>Plán strategických hodnotení</w:t>
            </w:r>
          </w:p>
        </w:tc>
      </w:tr>
      <w:tr w:rsidR="002416B1" w:rsidRPr="006A2BF3" w:rsidTr="003A5E95">
        <w:trPr>
          <w:trHeight w:val="284"/>
        </w:trPr>
        <w:tc>
          <w:tcPr>
            <w:tcW w:w="749" w:type="pct"/>
            <w:shd w:val="clear" w:color="auto" w:fill="EAF1DD"/>
            <w:vAlign w:val="center"/>
          </w:tcPr>
          <w:p w:rsidR="002416B1" w:rsidRPr="006A2BF3" w:rsidRDefault="002416B1" w:rsidP="005F64CA">
            <w:pPr>
              <w:spacing w:before="100" w:beforeAutospacing="1" w:after="100" w:afterAutospacing="1" w:line="360" w:lineRule="auto"/>
              <w:rPr>
                <w:rFonts w:ascii="Arial" w:hAnsi="Arial" w:cs="Arial"/>
                <w:sz w:val="20"/>
                <w:szCs w:val="20"/>
              </w:rPr>
            </w:pPr>
            <w:r w:rsidRPr="006A2BF3">
              <w:rPr>
                <w:rFonts w:ascii="Arial" w:hAnsi="Arial" w:cs="Arial"/>
                <w:sz w:val="20"/>
                <w:szCs w:val="20"/>
              </w:rPr>
              <w:t>REPIS</w:t>
            </w:r>
          </w:p>
        </w:tc>
        <w:tc>
          <w:tcPr>
            <w:tcW w:w="4251" w:type="pct"/>
            <w:vAlign w:val="center"/>
          </w:tcPr>
          <w:p w:rsidR="002416B1" w:rsidRPr="006A2BF3" w:rsidRDefault="002416B1" w:rsidP="005F64CA">
            <w:pPr>
              <w:spacing w:before="100" w:beforeAutospacing="1" w:after="100" w:afterAutospacing="1" w:line="360" w:lineRule="auto"/>
              <w:rPr>
                <w:rFonts w:ascii="Arial" w:hAnsi="Arial" w:cs="Arial"/>
                <w:sz w:val="20"/>
                <w:szCs w:val="20"/>
              </w:rPr>
            </w:pPr>
            <w:r w:rsidRPr="006A2BF3">
              <w:rPr>
                <w:rFonts w:ascii="Arial" w:hAnsi="Arial" w:cs="Arial"/>
                <w:sz w:val="20"/>
                <w:szCs w:val="20"/>
              </w:rPr>
              <w:t>Regionálne environmentálne poradenské a informačné strediská</w:t>
            </w:r>
          </w:p>
        </w:tc>
      </w:tr>
      <w:tr w:rsidR="002416B1" w:rsidRPr="006A2BF3" w:rsidTr="003A5E95">
        <w:trPr>
          <w:trHeight w:val="284"/>
        </w:trPr>
        <w:tc>
          <w:tcPr>
            <w:tcW w:w="749" w:type="pct"/>
            <w:shd w:val="clear" w:color="auto" w:fill="EAF1DD"/>
            <w:vAlign w:val="center"/>
          </w:tcPr>
          <w:p w:rsidR="002416B1" w:rsidRPr="006A2BF3" w:rsidRDefault="002416B1" w:rsidP="005F64CA">
            <w:pPr>
              <w:spacing w:before="100" w:beforeAutospacing="1" w:after="100" w:afterAutospacing="1" w:line="360" w:lineRule="auto"/>
              <w:rPr>
                <w:rFonts w:ascii="Arial" w:hAnsi="Arial" w:cs="Arial"/>
                <w:sz w:val="20"/>
                <w:szCs w:val="20"/>
              </w:rPr>
            </w:pPr>
            <w:r w:rsidRPr="006A2BF3">
              <w:rPr>
                <w:rFonts w:ascii="Arial" w:hAnsi="Arial" w:cs="Arial"/>
                <w:sz w:val="20"/>
                <w:szCs w:val="20"/>
              </w:rPr>
              <w:t>RKS</w:t>
            </w:r>
          </w:p>
        </w:tc>
        <w:tc>
          <w:tcPr>
            <w:tcW w:w="4251" w:type="pct"/>
            <w:vAlign w:val="center"/>
          </w:tcPr>
          <w:p w:rsidR="002416B1" w:rsidRPr="006A2BF3" w:rsidRDefault="002416B1" w:rsidP="005F64CA">
            <w:pPr>
              <w:spacing w:before="100" w:beforeAutospacing="1" w:after="100" w:afterAutospacing="1" w:line="360" w:lineRule="auto"/>
              <w:rPr>
                <w:rFonts w:ascii="Arial" w:hAnsi="Arial" w:cs="Arial"/>
                <w:sz w:val="20"/>
                <w:szCs w:val="20"/>
              </w:rPr>
            </w:pPr>
            <w:r w:rsidRPr="006A2BF3">
              <w:rPr>
                <w:rFonts w:ascii="Arial" w:hAnsi="Arial" w:cs="Arial"/>
                <w:sz w:val="20"/>
                <w:szCs w:val="20"/>
              </w:rPr>
              <w:t>Riadiaci a kontrolný systém</w:t>
            </w:r>
          </w:p>
        </w:tc>
      </w:tr>
      <w:tr w:rsidR="002416B1" w:rsidRPr="006A2BF3" w:rsidTr="003A5E95">
        <w:trPr>
          <w:trHeight w:val="284"/>
        </w:trPr>
        <w:tc>
          <w:tcPr>
            <w:tcW w:w="749" w:type="pct"/>
            <w:shd w:val="clear" w:color="auto" w:fill="EAF1DD"/>
            <w:vAlign w:val="center"/>
          </w:tcPr>
          <w:p w:rsidR="002416B1" w:rsidRPr="006A2BF3" w:rsidRDefault="002416B1" w:rsidP="005F64CA">
            <w:pPr>
              <w:spacing w:before="100" w:beforeAutospacing="1" w:after="100" w:afterAutospacing="1" w:line="360" w:lineRule="auto"/>
              <w:rPr>
                <w:rFonts w:ascii="Arial" w:hAnsi="Arial" w:cs="Arial"/>
                <w:sz w:val="20"/>
                <w:szCs w:val="20"/>
              </w:rPr>
            </w:pPr>
            <w:r w:rsidRPr="006A2BF3">
              <w:rPr>
                <w:rFonts w:ascii="Arial" w:hAnsi="Arial" w:cs="Arial"/>
                <w:sz w:val="20"/>
                <w:szCs w:val="20"/>
              </w:rPr>
              <w:t>RO</w:t>
            </w:r>
          </w:p>
        </w:tc>
        <w:tc>
          <w:tcPr>
            <w:tcW w:w="4251" w:type="pct"/>
            <w:vAlign w:val="center"/>
          </w:tcPr>
          <w:p w:rsidR="002416B1" w:rsidRPr="006A2BF3" w:rsidRDefault="002416B1" w:rsidP="005F64CA">
            <w:pPr>
              <w:spacing w:before="100" w:beforeAutospacing="1" w:after="100" w:afterAutospacing="1" w:line="360" w:lineRule="auto"/>
              <w:rPr>
                <w:rFonts w:ascii="Arial" w:hAnsi="Arial" w:cs="Arial"/>
                <w:sz w:val="20"/>
                <w:szCs w:val="20"/>
              </w:rPr>
            </w:pPr>
            <w:r w:rsidRPr="006A2BF3">
              <w:rPr>
                <w:rFonts w:ascii="Arial" w:hAnsi="Arial" w:cs="Arial"/>
                <w:sz w:val="20"/>
                <w:szCs w:val="20"/>
              </w:rPr>
              <w:t>Riadiaci orgán</w:t>
            </w:r>
          </w:p>
        </w:tc>
      </w:tr>
      <w:tr w:rsidR="002416B1" w:rsidRPr="006A2BF3" w:rsidTr="003A5E95">
        <w:trPr>
          <w:trHeight w:val="284"/>
        </w:trPr>
        <w:tc>
          <w:tcPr>
            <w:tcW w:w="749" w:type="pct"/>
            <w:shd w:val="clear" w:color="auto" w:fill="EAF1DD"/>
            <w:vAlign w:val="center"/>
          </w:tcPr>
          <w:p w:rsidR="002416B1" w:rsidRPr="006A2BF3" w:rsidRDefault="002416B1" w:rsidP="005F64CA">
            <w:pPr>
              <w:spacing w:before="100" w:beforeAutospacing="1" w:after="100" w:afterAutospacing="1" w:line="360" w:lineRule="auto"/>
              <w:rPr>
                <w:rFonts w:ascii="Arial" w:hAnsi="Arial" w:cs="Arial"/>
                <w:sz w:val="20"/>
                <w:szCs w:val="20"/>
              </w:rPr>
            </w:pPr>
            <w:r w:rsidRPr="006A2BF3">
              <w:rPr>
                <w:rFonts w:ascii="Arial" w:hAnsi="Arial" w:cs="Arial"/>
                <w:sz w:val="20"/>
                <w:szCs w:val="20"/>
              </w:rPr>
              <w:t>RSV</w:t>
            </w:r>
          </w:p>
        </w:tc>
        <w:tc>
          <w:tcPr>
            <w:tcW w:w="4251" w:type="pct"/>
            <w:vAlign w:val="center"/>
          </w:tcPr>
          <w:p w:rsidR="002416B1" w:rsidRPr="006A2BF3" w:rsidRDefault="002416B1" w:rsidP="005F64CA">
            <w:pPr>
              <w:spacing w:before="100" w:beforeAutospacing="1" w:after="100" w:afterAutospacing="1" w:line="360" w:lineRule="auto"/>
              <w:rPr>
                <w:rFonts w:ascii="Arial" w:hAnsi="Arial" w:cs="Arial"/>
                <w:sz w:val="20"/>
                <w:szCs w:val="20"/>
              </w:rPr>
            </w:pPr>
            <w:r w:rsidRPr="006A2BF3">
              <w:rPr>
                <w:rFonts w:ascii="Arial" w:hAnsi="Arial" w:cs="Arial"/>
                <w:sz w:val="20"/>
                <w:szCs w:val="20"/>
              </w:rPr>
              <w:t>Rámcová smernica o vodách</w:t>
            </w:r>
          </w:p>
        </w:tc>
      </w:tr>
      <w:tr w:rsidR="002416B1" w:rsidRPr="006A2BF3" w:rsidTr="003A5E95">
        <w:trPr>
          <w:trHeight w:val="284"/>
        </w:trPr>
        <w:tc>
          <w:tcPr>
            <w:tcW w:w="749" w:type="pct"/>
            <w:shd w:val="clear" w:color="auto" w:fill="EAF1DD"/>
            <w:vAlign w:val="center"/>
          </w:tcPr>
          <w:p w:rsidR="002416B1" w:rsidRPr="006A2BF3" w:rsidRDefault="002416B1" w:rsidP="005F64CA">
            <w:pPr>
              <w:spacing w:before="100" w:beforeAutospacing="1" w:after="100" w:afterAutospacing="1" w:line="360" w:lineRule="auto"/>
              <w:rPr>
                <w:rFonts w:ascii="Arial" w:hAnsi="Arial" w:cs="Arial"/>
                <w:sz w:val="20"/>
                <w:szCs w:val="20"/>
              </w:rPr>
            </w:pPr>
            <w:r w:rsidRPr="006A2BF3">
              <w:rPr>
                <w:rFonts w:ascii="Arial" w:hAnsi="Arial" w:cs="Arial"/>
                <w:sz w:val="20"/>
                <w:szCs w:val="20"/>
              </w:rPr>
              <w:t>SAŽP</w:t>
            </w:r>
          </w:p>
        </w:tc>
        <w:tc>
          <w:tcPr>
            <w:tcW w:w="4251" w:type="pct"/>
            <w:vAlign w:val="center"/>
          </w:tcPr>
          <w:p w:rsidR="002416B1" w:rsidRPr="006A2BF3" w:rsidRDefault="002416B1" w:rsidP="005F64CA">
            <w:pPr>
              <w:spacing w:before="100" w:beforeAutospacing="1" w:after="100" w:afterAutospacing="1" w:line="360" w:lineRule="auto"/>
              <w:rPr>
                <w:rFonts w:ascii="Arial" w:hAnsi="Arial" w:cs="Arial"/>
                <w:sz w:val="20"/>
                <w:szCs w:val="20"/>
              </w:rPr>
            </w:pPr>
            <w:r w:rsidRPr="006A2BF3">
              <w:rPr>
                <w:rFonts w:ascii="Arial" w:hAnsi="Arial" w:cs="Arial"/>
                <w:sz w:val="20"/>
                <w:szCs w:val="20"/>
              </w:rPr>
              <w:t>Slovenská agentúra životného prostredia</w:t>
            </w:r>
          </w:p>
        </w:tc>
      </w:tr>
      <w:tr w:rsidR="002416B1" w:rsidRPr="006A2BF3" w:rsidTr="003A5E95">
        <w:trPr>
          <w:trHeight w:val="284"/>
        </w:trPr>
        <w:tc>
          <w:tcPr>
            <w:tcW w:w="749" w:type="pct"/>
            <w:shd w:val="clear" w:color="auto" w:fill="EAF1DD"/>
            <w:vAlign w:val="center"/>
          </w:tcPr>
          <w:p w:rsidR="002416B1" w:rsidRPr="006A2BF3" w:rsidRDefault="002416B1" w:rsidP="005F64CA">
            <w:pPr>
              <w:spacing w:before="100" w:beforeAutospacing="1" w:after="100" w:afterAutospacing="1" w:line="360" w:lineRule="auto"/>
              <w:rPr>
                <w:rFonts w:ascii="Arial" w:hAnsi="Arial" w:cs="Arial"/>
                <w:sz w:val="20"/>
                <w:szCs w:val="20"/>
              </w:rPr>
            </w:pPr>
            <w:r>
              <w:rPr>
                <w:rFonts w:ascii="Arial" w:hAnsi="Arial" w:cs="Arial"/>
                <w:sz w:val="20"/>
                <w:szCs w:val="20"/>
              </w:rPr>
              <w:t>SEA</w:t>
            </w:r>
          </w:p>
        </w:tc>
        <w:tc>
          <w:tcPr>
            <w:tcW w:w="4251" w:type="pct"/>
            <w:vAlign w:val="center"/>
          </w:tcPr>
          <w:p w:rsidR="002416B1" w:rsidRPr="006A2BF3" w:rsidRDefault="002416B1" w:rsidP="005F64CA">
            <w:pPr>
              <w:spacing w:before="100" w:beforeAutospacing="1" w:after="100" w:afterAutospacing="1" w:line="360" w:lineRule="auto"/>
              <w:rPr>
                <w:rFonts w:ascii="Arial" w:hAnsi="Arial" w:cs="Arial"/>
                <w:sz w:val="20"/>
                <w:szCs w:val="20"/>
              </w:rPr>
            </w:pPr>
            <w:r>
              <w:rPr>
                <w:rFonts w:ascii="Arial" w:hAnsi="Arial" w:cs="Arial"/>
                <w:sz w:val="20"/>
                <w:szCs w:val="20"/>
              </w:rPr>
              <w:t>Strategické hodnotenie životného prostredia</w:t>
            </w:r>
          </w:p>
        </w:tc>
      </w:tr>
      <w:tr w:rsidR="002416B1" w:rsidRPr="006A2BF3" w:rsidTr="003A5E95">
        <w:trPr>
          <w:trHeight w:val="284"/>
        </w:trPr>
        <w:tc>
          <w:tcPr>
            <w:tcW w:w="749" w:type="pct"/>
            <w:shd w:val="clear" w:color="auto" w:fill="EAF1DD"/>
            <w:vAlign w:val="center"/>
          </w:tcPr>
          <w:p w:rsidR="002416B1" w:rsidRPr="006A2BF3" w:rsidRDefault="002416B1" w:rsidP="005F64CA">
            <w:pPr>
              <w:spacing w:before="100" w:beforeAutospacing="1" w:after="100" w:afterAutospacing="1" w:line="360" w:lineRule="auto"/>
              <w:rPr>
                <w:rFonts w:ascii="Arial" w:hAnsi="Arial" w:cs="Arial"/>
                <w:sz w:val="20"/>
                <w:szCs w:val="20"/>
              </w:rPr>
            </w:pPr>
            <w:r w:rsidRPr="006A2BF3">
              <w:rPr>
                <w:rFonts w:ascii="Arial" w:hAnsi="Arial" w:cs="Arial"/>
                <w:sz w:val="20"/>
                <w:szCs w:val="20"/>
              </w:rPr>
              <w:t>SHMÚ</w:t>
            </w:r>
          </w:p>
        </w:tc>
        <w:tc>
          <w:tcPr>
            <w:tcW w:w="4251" w:type="pct"/>
            <w:vAlign w:val="center"/>
          </w:tcPr>
          <w:p w:rsidR="002416B1" w:rsidRPr="006A2BF3" w:rsidRDefault="002416B1" w:rsidP="005F64CA">
            <w:pPr>
              <w:spacing w:before="100" w:beforeAutospacing="1" w:after="100" w:afterAutospacing="1" w:line="360" w:lineRule="auto"/>
              <w:rPr>
                <w:rFonts w:ascii="Arial" w:hAnsi="Arial" w:cs="Arial"/>
                <w:sz w:val="20"/>
                <w:szCs w:val="20"/>
              </w:rPr>
            </w:pPr>
            <w:r w:rsidRPr="006A2BF3">
              <w:rPr>
                <w:rFonts w:ascii="Arial" w:hAnsi="Arial" w:cs="Arial"/>
                <w:sz w:val="20"/>
                <w:szCs w:val="20"/>
              </w:rPr>
              <w:t>Slovenský hydrometeorologický ústav</w:t>
            </w:r>
          </w:p>
        </w:tc>
      </w:tr>
      <w:tr w:rsidR="002416B1" w:rsidRPr="006A2BF3" w:rsidTr="003A5E95">
        <w:trPr>
          <w:trHeight w:val="284"/>
        </w:trPr>
        <w:tc>
          <w:tcPr>
            <w:tcW w:w="749" w:type="pct"/>
            <w:shd w:val="clear" w:color="auto" w:fill="EAF1DD"/>
            <w:vAlign w:val="center"/>
          </w:tcPr>
          <w:p w:rsidR="002416B1" w:rsidRPr="006A2BF3" w:rsidRDefault="002416B1" w:rsidP="005F64CA">
            <w:pPr>
              <w:spacing w:before="100" w:beforeAutospacing="1" w:after="100" w:afterAutospacing="1" w:line="360" w:lineRule="auto"/>
              <w:rPr>
                <w:rFonts w:ascii="Arial" w:hAnsi="Arial" w:cs="Arial"/>
                <w:sz w:val="20"/>
                <w:szCs w:val="20"/>
              </w:rPr>
            </w:pPr>
            <w:r w:rsidRPr="006A2BF3">
              <w:rPr>
                <w:rFonts w:ascii="Arial" w:hAnsi="Arial" w:cs="Arial"/>
                <w:sz w:val="20"/>
                <w:szCs w:val="20"/>
              </w:rPr>
              <w:t>SKI HP</w:t>
            </w:r>
          </w:p>
        </w:tc>
        <w:tc>
          <w:tcPr>
            <w:tcW w:w="4251" w:type="pct"/>
            <w:vAlign w:val="center"/>
          </w:tcPr>
          <w:p w:rsidR="002416B1" w:rsidRPr="006A2BF3" w:rsidRDefault="002416B1" w:rsidP="005F64CA">
            <w:pPr>
              <w:spacing w:before="100" w:beforeAutospacing="1" w:after="100" w:afterAutospacing="1" w:line="360" w:lineRule="auto"/>
              <w:rPr>
                <w:rFonts w:ascii="Arial" w:hAnsi="Arial" w:cs="Arial"/>
                <w:sz w:val="20"/>
                <w:szCs w:val="20"/>
              </w:rPr>
            </w:pPr>
            <w:r w:rsidRPr="006A2BF3">
              <w:rPr>
                <w:rFonts w:ascii="Arial" w:hAnsi="Arial" w:cs="Arial"/>
                <w:sz w:val="20"/>
                <w:szCs w:val="20"/>
              </w:rPr>
              <w:t>Systém koordinácie a implementácie horizontálnej priority</w:t>
            </w:r>
          </w:p>
        </w:tc>
      </w:tr>
      <w:tr w:rsidR="002416B1" w:rsidRPr="006A2BF3" w:rsidTr="003A5E95">
        <w:trPr>
          <w:trHeight w:val="284"/>
        </w:trPr>
        <w:tc>
          <w:tcPr>
            <w:tcW w:w="749" w:type="pct"/>
            <w:shd w:val="clear" w:color="auto" w:fill="EAF1DD"/>
            <w:vAlign w:val="center"/>
          </w:tcPr>
          <w:p w:rsidR="002416B1" w:rsidRPr="006A2BF3" w:rsidRDefault="002416B1" w:rsidP="005F64CA">
            <w:pPr>
              <w:spacing w:before="100" w:beforeAutospacing="1" w:after="100" w:afterAutospacing="1" w:line="360" w:lineRule="auto"/>
              <w:rPr>
                <w:rFonts w:ascii="Arial" w:hAnsi="Arial" w:cs="Arial"/>
                <w:sz w:val="20"/>
                <w:szCs w:val="20"/>
              </w:rPr>
            </w:pPr>
            <w:r w:rsidRPr="006A2BF3">
              <w:rPr>
                <w:rFonts w:ascii="Arial" w:hAnsi="Arial" w:cs="Arial"/>
                <w:sz w:val="20"/>
                <w:szCs w:val="20"/>
              </w:rPr>
              <w:t>SORO</w:t>
            </w:r>
          </w:p>
        </w:tc>
        <w:tc>
          <w:tcPr>
            <w:tcW w:w="4251" w:type="pct"/>
            <w:vAlign w:val="center"/>
          </w:tcPr>
          <w:p w:rsidR="002416B1" w:rsidRPr="006A2BF3" w:rsidRDefault="002416B1" w:rsidP="005F64CA">
            <w:pPr>
              <w:spacing w:before="100" w:beforeAutospacing="1" w:after="100" w:afterAutospacing="1" w:line="360" w:lineRule="auto"/>
              <w:rPr>
                <w:rFonts w:ascii="Arial" w:hAnsi="Arial" w:cs="Arial"/>
                <w:sz w:val="20"/>
                <w:szCs w:val="20"/>
              </w:rPr>
            </w:pPr>
            <w:r w:rsidRPr="006A2BF3">
              <w:rPr>
                <w:rFonts w:ascii="Arial" w:hAnsi="Arial" w:cs="Arial"/>
                <w:sz w:val="20"/>
                <w:szCs w:val="20"/>
              </w:rPr>
              <w:t>Sprostredkovateľský orgán pod riadiacim orgánom</w:t>
            </w:r>
          </w:p>
        </w:tc>
      </w:tr>
      <w:tr w:rsidR="002416B1" w:rsidRPr="006A2BF3" w:rsidTr="003A5E95">
        <w:trPr>
          <w:trHeight w:val="284"/>
        </w:trPr>
        <w:tc>
          <w:tcPr>
            <w:tcW w:w="749" w:type="pct"/>
            <w:shd w:val="clear" w:color="auto" w:fill="EAF1DD"/>
            <w:vAlign w:val="center"/>
          </w:tcPr>
          <w:p w:rsidR="002416B1" w:rsidRPr="006A2BF3" w:rsidRDefault="002416B1" w:rsidP="005F64CA">
            <w:pPr>
              <w:spacing w:before="100" w:beforeAutospacing="1" w:after="100" w:afterAutospacing="1" w:line="360" w:lineRule="auto"/>
              <w:rPr>
                <w:rFonts w:ascii="Arial" w:hAnsi="Arial" w:cs="Arial"/>
                <w:sz w:val="20"/>
                <w:szCs w:val="20"/>
              </w:rPr>
            </w:pPr>
            <w:r w:rsidRPr="006A2BF3">
              <w:rPr>
                <w:rFonts w:ascii="Arial" w:hAnsi="Arial" w:cs="Arial"/>
                <w:sz w:val="20"/>
                <w:szCs w:val="20"/>
              </w:rPr>
              <w:t>SŽP</w:t>
            </w:r>
          </w:p>
        </w:tc>
        <w:tc>
          <w:tcPr>
            <w:tcW w:w="4251" w:type="pct"/>
            <w:vAlign w:val="center"/>
          </w:tcPr>
          <w:p w:rsidR="002416B1" w:rsidRPr="006A2BF3" w:rsidRDefault="002416B1" w:rsidP="005F64CA">
            <w:pPr>
              <w:spacing w:before="100" w:beforeAutospacing="1" w:after="100" w:afterAutospacing="1" w:line="360" w:lineRule="auto"/>
              <w:rPr>
                <w:rFonts w:ascii="Arial" w:hAnsi="Arial" w:cs="Arial"/>
                <w:sz w:val="20"/>
                <w:szCs w:val="20"/>
              </w:rPr>
            </w:pPr>
            <w:r w:rsidRPr="006A2BF3">
              <w:rPr>
                <w:rFonts w:ascii="Arial" w:hAnsi="Arial" w:cs="Arial"/>
                <w:sz w:val="20"/>
                <w:szCs w:val="20"/>
              </w:rPr>
              <w:t>Súhrnná žiadosť o platbu</w:t>
            </w:r>
          </w:p>
        </w:tc>
      </w:tr>
      <w:tr w:rsidR="002416B1" w:rsidRPr="006A2BF3" w:rsidTr="003A5E95">
        <w:trPr>
          <w:trHeight w:val="284"/>
        </w:trPr>
        <w:tc>
          <w:tcPr>
            <w:tcW w:w="749" w:type="pct"/>
            <w:shd w:val="clear" w:color="auto" w:fill="EAF1DD"/>
            <w:vAlign w:val="center"/>
          </w:tcPr>
          <w:p w:rsidR="002416B1" w:rsidRPr="006A2BF3" w:rsidRDefault="002416B1" w:rsidP="005F64CA">
            <w:pPr>
              <w:spacing w:before="100" w:beforeAutospacing="1" w:after="100" w:afterAutospacing="1" w:line="360" w:lineRule="auto"/>
              <w:rPr>
                <w:rFonts w:ascii="Arial" w:hAnsi="Arial" w:cs="Arial"/>
                <w:sz w:val="20"/>
                <w:szCs w:val="20"/>
              </w:rPr>
            </w:pPr>
            <w:r w:rsidRPr="006A2BF3">
              <w:rPr>
                <w:rFonts w:ascii="Arial" w:hAnsi="Arial" w:cs="Arial"/>
                <w:sz w:val="20"/>
                <w:szCs w:val="20"/>
              </w:rPr>
              <w:t>ŠF</w:t>
            </w:r>
          </w:p>
        </w:tc>
        <w:tc>
          <w:tcPr>
            <w:tcW w:w="4251" w:type="pct"/>
            <w:vAlign w:val="center"/>
          </w:tcPr>
          <w:p w:rsidR="002416B1" w:rsidRPr="006A2BF3" w:rsidRDefault="002416B1" w:rsidP="005F64CA">
            <w:pPr>
              <w:spacing w:before="100" w:beforeAutospacing="1" w:after="100" w:afterAutospacing="1" w:line="360" w:lineRule="auto"/>
              <w:rPr>
                <w:rFonts w:ascii="Arial" w:hAnsi="Arial" w:cs="Arial"/>
                <w:sz w:val="20"/>
                <w:szCs w:val="20"/>
              </w:rPr>
            </w:pPr>
            <w:r w:rsidRPr="006A2BF3">
              <w:rPr>
                <w:rFonts w:ascii="Arial" w:hAnsi="Arial" w:cs="Arial"/>
                <w:sz w:val="20"/>
                <w:szCs w:val="20"/>
              </w:rPr>
              <w:t>Štrukturálne fondy</w:t>
            </w:r>
          </w:p>
        </w:tc>
      </w:tr>
      <w:tr w:rsidR="002416B1" w:rsidRPr="006A2BF3" w:rsidTr="003A5E95">
        <w:trPr>
          <w:trHeight w:val="284"/>
        </w:trPr>
        <w:tc>
          <w:tcPr>
            <w:tcW w:w="749" w:type="pct"/>
            <w:shd w:val="clear" w:color="auto" w:fill="EAF1DD"/>
            <w:vAlign w:val="center"/>
          </w:tcPr>
          <w:p w:rsidR="002416B1" w:rsidRPr="006A2BF3" w:rsidRDefault="002416B1" w:rsidP="005F64CA">
            <w:pPr>
              <w:spacing w:before="100" w:beforeAutospacing="1" w:after="100" w:afterAutospacing="1" w:line="360" w:lineRule="auto"/>
              <w:rPr>
                <w:rFonts w:ascii="Arial" w:hAnsi="Arial" w:cs="Arial"/>
                <w:sz w:val="20"/>
                <w:szCs w:val="20"/>
              </w:rPr>
            </w:pPr>
            <w:r w:rsidRPr="006A2BF3">
              <w:rPr>
                <w:rFonts w:ascii="Arial" w:hAnsi="Arial" w:cs="Arial"/>
                <w:sz w:val="20"/>
                <w:szCs w:val="20"/>
              </w:rPr>
              <w:t>ŠFM</w:t>
            </w:r>
          </w:p>
        </w:tc>
        <w:tc>
          <w:tcPr>
            <w:tcW w:w="4251" w:type="pct"/>
            <w:vAlign w:val="center"/>
          </w:tcPr>
          <w:p w:rsidR="002416B1" w:rsidRPr="006A2BF3" w:rsidRDefault="002416B1" w:rsidP="005F64CA">
            <w:pPr>
              <w:spacing w:before="100" w:beforeAutospacing="1" w:after="100" w:afterAutospacing="1" w:line="360" w:lineRule="auto"/>
              <w:rPr>
                <w:rFonts w:ascii="Arial" w:hAnsi="Arial" w:cs="Arial"/>
                <w:sz w:val="20"/>
                <w:szCs w:val="20"/>
              </w:rPr>
            </w:pPr>
            <w:r w:rsidRPr="006A2BF3">
              <w:rPr>
                <w:rFonts w:ascii="Arial" w:hAnsi="Arial" w:cs="Arial"/>
                <w:sz w:val="20"/>
                <w:szCs w:val="20"/>
              </w:rPr>
              <w:t>Švajčiarsky finančný mechanizmus</w:t>
            </w:r>
          </w:p>
        </w:tc>
      </w:tr>
      <w:tr w:rsidR="002416B1" w:rsidRPr="006A2BF3" w:rsidTr="003A5E95">
        <w:trPr>
          <w:trHeight w:val="284"/>
        </w:trPr>
        <w:tc>
          <w:tcPr>
            <w:tcW w:w="749" w:type="pct"/>
            <w:shd w:val="clear" w:color="auto" w:fill="EAF1DD"/>
            <w:vAlign w:val="center"/>
          </w:tcPr>
          <w:p w:rsidR="002416B1" w:rsidRPr="006A2BF3" w:rsidRDefault="002416B1" w:rsidP="005F64CA">
            <w:pPr>
              <w:spacing w:before="100" w:beforeAutospacing="1" w:after="100" w:afterAutospacing="1" w:line="360" w:lineRule="auto"/>
              <w:rPr>
                <w:rFonts w:ascii="Arial" w:hAnsi="Arial" w:cs="Arial"/>
                <w:sz w:val="20"/>
                <w:szCs w:val="20"/>
              </w:rPr>
            </w:pPr>
            <w:r w:rsidRPr="006A2BF3">
              <w:rPr>
                <w:rFonts w:ascii="Arial" w:hAnsi="Arial" w:cs="Arial"/>
                <w:sz w:val="20"/>
                <w:szCs w:val="20"/>
              </w:rPr>
              <w:t>ŠP</w:t>
            </w:r>
          </w:p>
        </w:tc>
        <w:tc>
          <w:tcPr>
            <w:tcW w:w="4251" w:type="pct"/>
            <w:vAlign w:val="center"/>
          </w:tcPr>
          <w:p w:rsidR="002416B1" w:rsidRPr="006A2BF3" w:rsidRDefault="002416B1" w:rsidP="005F64CA">
            <w:pPr>
              <w:spacing w:before="100" w:beforeAutospacing="1" w:after="100" w:afterAutospacing="1" w:line="360" w:lineRule="auto"/>
              <w:rPr>
                <w:rFonts w:ascii="Arial" w:hAnsi="Arial" w:cs="Arial"/>
                <w:sz w:val="20"/>
                <w:szCs w:val="20"/>
              </w:rPr>
            </w:pPr>
            <w:r w:rsidRPr="006A2BF3">
              <w:rPr>
                <w:rFonts w:ascii="Arial" w:hAnsi="Arial" w:cs="Arial"/>
                <w:sz w:val="20"/>
                <w:szCs w:val="20"/>
              </w:rPr>
              <w:t>Štátna pomoc</w:t>
            </w:r>
          </w:p>
        </w:tc>
      </w:tr>
      <w:tr w:rsidR="002416B1" w:rsidRPr="006A2BF3" w:rsidTr="003A5E95">
        <w:trPr>
          <w:trHeight w:val="284"/>
        </w:trPr>
        <w:tc>
          <w:tcPr>
            <w:tcW w:w="749" w:type="pct"/>
            <w:shd w:val="clear" w:color="auto" w:fill="EAF1DD"/>
            <w:vAlign w:val="center"/>
          </w:tcPr>
          <w:p w:rsidR="002416B1" w:rsidRPr="006A2BF3" w:rsidRDefault="002416B1" w:rsidP="005F64CA">
            <w:pPr>
              <w:spacing w:before="100" w:beforeAutospacing="1" w:after="100" w:afterAutospacing="1" w:line="360" w:lineRule="auto"/>
              <w:rPr>
                <w:rFonts w:ascii="Arial" w:hAnsi="Arial" w:cs="Arial"/>
                <w:sz w:val="20"/>
                <w:szCs w:val="20"/>
              </w:rPr>
            </w:pPr>
            <w:r>
              <w:rPr>
                <w:rFonts w:ascii="Arial" w:hAnsi="Arial" w:cs="Arial"/>
                <w:sz w:val="20"/>
                <w:szCs w:val="20"/>
              </w:rPr>
              <w:t>ŠR</w:t>
            </w:r>
          </w:p>
        </w:tc>
        <w:tc>
          <w:tcPr>
            <w:tcW w:w="4251" w:type="pct"/>
            <w:vAlign w:val="center"/>
          </w:tcPr>
          <w:p w:rsidR="002416B1" w:rsidRPr="006A2BF3" w:rsidRDefault="002416B1" w:rsidP="005F64CA">
            <w:pPr>
              <w:spacing w:before="100" w:beforeAutospacing="1" w:after="100" w:afterAutospacing="1" w:line="360" w:lineRule="auto"/>
              <w:rPr>
                <w:rFonts w:ascii="Arial" w:hAnsi="Arial" w:cs="Arial"/>
                <w:sz w:val="20"/>
                <w:szCs w:val="20"/>
              </w:rPr>
            </w:pPr>
            <w:r>
              <w:rPr>
                <w:rFonts w:ascii="Arial" w:hAnsi="Arial" w:cs="Arial"/>
                <w:sz w:val="20"/>
                <w:szCs w:val="20"/>
              </w:rPr>
              <w:t>Štátny rozpočet</w:t>
            </w:r>
          </w:p>
        </w:tc>
      </w:tr>
      <w:tr w:rsidR="002416B1" w:rsidRPr="006A2BF3" w:rsidTr="003A5E95">
        <w:trPr>
          <w:trHeight w:val="284"/>
        </w:trPr>
        <w:tc>
          <w:tcPr>
            <w:tcW w:w="749" w:type="pct"/>
            <w:shd w:val="clear" w:color="auto" w:fill="EAF1DD"/>
            <w:vAlign w:val="center"/>
          </w:tcPr>
          <w:p w:rsidR="002416B1" w:rsidRDefault="002416B1" w:rsidP="005F64CA">
            <w:pPr>
              <w:spacing w:before="100" w:beforeAutospacing="1" w:after="100" w:afterAutospacing="1" w:line="360" w:lineRule="auto"/>
              <w:rPr>
                <w:rFonts w:ascii="Arial" w:hAnsi="Arial" w:cs="Arial"/>
                <w:sz w:val="20"/>
                <w:szCs w:val="20"/>
              </w:rPr>
            </w:pPr>
            <w:r>
              <w:rPr>
                <w:rFonts w:ascii="Arial" w:hAnsi="Arial" w:cs="Arial"/>
                <w:sz w:val="20"/>
                <w:szCs w:val="20"/>
              </w:rPr>
              <w:t>TP</w:t>
            </w:r>
          </w:p>
        </w:tc>
        <w:tc>
          <w:tcPr>
            <w:tcW w:w="4251" w:type="pct"/>
            <w:vAlign w:val="center"/>
          </w:tcPr>
          <w:p w:rsidR="002416B1" w:rsidRDefault="002416B1" w:rsidP="005F64CA">
            <w:pPr>
              <w:spacing w:before="100" w:beforeAutospacing="1" w:after="100" w:afterAutospacing="1" w:line="360" w:lineRule="auto"/>
              <w:rPr>
                <w:rFonts w:ascii="Arial" w:hAnsi="Arial" w:cs="Arial"/>
                <w:sz w:val="20"/>
                <w:szCs w:val="20"/>
              </w:rPr>
            </w:pPr>
            <w:r>
              <w:rPr>
                <w:rFonts w:ascii="Arial" w:hAnsi="Arial" w:cs="Arial"/>
                <w:sz w:val="20"/>
                <w:szCs w:val="20"/>
              </w:rPr>
              <w:t>Technická pomoc</w:t>
            </w:r>
          </w:p>
        </w:tc>
      </w:tr>
      <w:tr w:rsidR="002416B1" w:rsidRPr="006A2BF3" w:rsidTr="003A5E95">
        <w:trPr>
          <w:trHeight w:val="284"/>
        </w:trPr>
        <w:tc>
          <w:tcPr>
            <w:tcW w:w="749" w:type="pct"/>
            <w:shd w:val="clear" w:color="auto" w:fill="EAF1DD"/>
            <w:vAlign w:val="center"/>
          </w:tcPr>
          <w:p w:rsidR="002416B1" w:rsidRPr="006A2BF3" w:rsidRDefault="002416B1" w:rsidP="005F64CA">
            <w:pPr>
              <w:spacing w:before="100" w:beforeAutospacing="1" w:after="100" w:afterAutospacing="1" w:line="360" w:lineRule="auto"/>
              <w:rPr>
                <w:rFonts w:ascii="Arial" w:hAnsi="Arial" w:cs="Arial"/>
                <w:sz w:val="20"/>
                <w:szCs w:val="20"/>
              </w:rPr>
            </w:pPr>
            <w:r w:rsidRPr="006A2BF3">
              <w:rPr>
                <w:rFonts w:ascii="Arial" w:hAnsi="Arial" w:cs="Arial"/>
                <w:sz w:val="20"/>
                <w:szCs w:val="20"/>
              </w:rPr>
              <w:t>ÚSVRK</w:t>
            </w:r>
          </w:p>
        </w:tc>
        <w:tc>
          <w:tcPr>
            <w:tcW w:w="4251" w:type="pct"/>
            <w:vAlign w:val="center"/>
          </w:tcPr>
          <w:p w:rsidR="002416B1" w:rsidRPr="006A2BF3" w:rsidRDefault="002416B1" w:rsidP="005F64CA">
            <w:pPr>
              <w:spacing w:before="100" w:beforeAutospacing="1" w:after="100" w:afterAutospacing="1" w:line="360" w:lineRule="auto"/>
              <w:rPr>
                <w:rFonts w:ascii="Arial" w:hAnsi="Arial" w:cs="Arial"/>
                <w:sz w:val="20"/>
                <w:szCs w:val="20"/>
              </w:rPr>
            </w:pPr>
            <w:r w:rsidRPr="006A2BF3">
              <w:rPr>
                <w:rFonts w:ascii="Arial" w:hAnsi="Arial" w:cs="Arial"/>
                <w:sz w:val="20"/>
                <w:szCs w:val="20"/>
              </w:rPr>
              <w:t>Úrad splnomocnenca vlády pre rómske komunity</w:t>
            </w:r>
          </w:p>
        </w:tc>
      </w:tr>
      <w:tr w:rsidR="002416B1" w:rsidRPr="006A2BF3" w:rsidTr="003A5E95">
        <w:trPr>
          <w:trHeight w:val="284"/>
        </w:trPr>
        <w:tc>
          <w:tcPr>
            <w:tcW w:w="749" w:type="pct"/>
            <w:shd w:val="clear" w:color="auto" w:fill="EAF1DD"/>
            <w:vAlign w:val="center"/>
          </w:tcPr>
          <w:p w:rsidR="002416B1" w:rsidRPr="006A2BF3" w:rsidRDefault="002416B1" w:rsidP="005F64CA">
            <w:pPr>
              <w:spacing w:before="100" w:beforeAutospacing="1" w:after="100" w:afterAutospacing="1" w:line="360" w:lineRule="auto"/>
              <w:rPr>
                <w:rFonts w:ascii="Arial" w:hAnsi="Arial" w:cs="Arial"/>
                <w:sz w:val="20"/>
                <w:szCs w:val="20"/>
              </w:rPr>
            </w:pPr>
            <w:r w:rsidRPr="006A2BF3">
              <w:rPr>
                <w:rFonts w:ascii="Arial" w:hAnsi="Arial" w:cs="Arial"/>
                <w:sz w:val="20"/>
                <w:szCs w:val="20"/>
              </w:rPr>
              <w:t>ÚRSO</w:t>
            </w:r>
          </w:p>
        </w:tc>
        <w:tc>
          <w:tcPr>
            <w:tcW w:w="4251" w:type="pct"/>
            <w:vAlign w:val="center"/>
          </w:tcPr>
          <w:p w:rsidR="002416B1" w:rsidRPr="006A2BF3" w:rsidRDefault="002416B1" w:rsidP="005F64CA">
            <w:pPr>
              <w:spacing w:before="100" w:beforeAutospacing="1" w:after="100" w:afterAutospacing="1" w:line="360" w:lineRule="auto"/>
              <w:rPr>
                <w:rFonts w:ascii="Arial" w:hAnsi="Arial" w:cs="Arial"/>
                <w:sz w:val="20"/>
                <w:szCs w:val="20"/>
              </w:rPr>
            </w:pPr>
            <w:r w:rsidRPr="006A2BF3">
              <w:rPr>
                <w:rFonts w:ascii="Arial" w:hAnsi="Arial" w:cs="Arial"/>
                <w:sz w:val="20"/>
                <w:szCs w:val="20"/>
              </w:rPr>
              <w:t>Úrad pre reguláciu sieťových odvetví</w:t>
            </w:r>
          </w:p>
        </w:tc>
      </w:tr>
      <w:tr w:rsidR="002416B1" w:rsidRPr="006A2BF3" w:rsidTr="003A5E95">
        <w:trPr>
          <w:trHeight w:val="284"/>
        </w:trPr>
        <w:tc>
          <w:tcPr>
            <w:tcW w:w="749" w:type="pct"/>
            <w:shd w:val="clear" w:color="auto" w:fill="EAF1DD"/>
            <w:vAlign w:val="center"/>
          </w:tcPr>
          <w:p w:rsidR="002416B1" w:rsidRPr="006A2BF3" w:rsidRDefault="002416B1" w:rsidP="005F64CA">
            <w:pPr>
              <w:spacing w:before="100" w:beforeAutospacing="1" w:after="100" w:afterAutospacing="1" w:line="360" w:lineRule="auto"/>
              <w:rPr>
                <w:rFonts w:ascii="Arial" w:hAnsi="Arial" w:cs="Arial"/>
                <w:sz w:val="20"/>
                <w:szCs w:val="20"/>
              </w:rPr>
            </w:pPr>
            <w:r w:rsidRPr="006A2BF3">
              <w:rPr>
                <w:rFonts w:ascii="Arial" w:hAnsi="Arial" w:cs="Arial"/>
                <w:sz w:val="20"/>
                <w:szCs w:val="20"/>
              </w:rPr>
              <w:t>ÚV SR</w:t>
            </w:r>
          </w:p>
        </w:tc>
        <w:tc>
          <w:tcPr>
            <w:tcW w:w="4251" w:type="pct"/>
            <w:vAlign w:val="center"/>
          </w:tcPr>
          <w:p w:rsidR="002416B1" w:rsidRPr="006A2BF3" w:rsidRDefault="002416B1" w:rsidP="005F64CA">
            <w:pPr>
              <w:spacing w:before="100" w:beforeAutospacing="1" w:after="100" w:afterAutospacing="1" w:line="360" w:lineRule="auto"/>
              <w:rPr>
                <w:rFonts w:ascii="Arial" w:hAnsi="Arial" w:cs="Arial"/>
                <w:sz w:val="20"/>
                <w:szCs w:val="20"/>
              </w:rPr>
            </w:pPr>
            <w:r w:rsidRPr="006A2BF3">
              <w:rPr>
                <w:rFonts w:ascii="Arial" w:hAnsi="Arial" w:cs="Arial"/>
                <w:sz w:val="20"/>
                <w:szCs w:val="20"/>
              </w:rPr>
              <w:t>Úrad vlády Slovenskej republiky</w:t>
            </w:r>
          </w:p>
        </w:tc>
      </w:tr>
      <w:tr w:rsidR="002416B1" w:rsidRPr="006A2BF3" w:rsidTr="003A5E95">
        <w:trPr>
          <w:trHeight w:val="284"/>
        </w:trPr>
        <w:tc>
          <w:tcPr>
            <w:tcW w:w="749" w:type="pct"/>
            <w:shd w:val="clear" w:color="auto" w:fill="EAF1DD"/>
            <w:vAlign w:val="center"/>
          </w:tcPr>
          <w:p w:rsidR="002416B1" w:rsidRPr="006A2BF3" w:rsidRDefault="002416B1" w:rsidP="005F64CA">
            <w:pPr>
              <w:spacing w:before="100" w:beforeAutospacing="1" w:after="100" w:afterAutospacing="1" w:line="360" w:lineRule="auto"/>
              <w:rPr>
                <w:rFonts w:ascii="Arial" w:hAnsi="Arial" w:cs="Arial"/>
                <w:sz w:val="20"/>
                <w:szCs w:val="20"/>
              </w:rPr>
            </w:pPr>
            <w:r w:rsidRPr="006A2BF3">
              <w:rPr>
                <w:rFonts w:ascii="Arial" w:hAnsi="Arial" w:cs="Arial"/>
                <w:sz w:val="20"/>
                <w:szCs w:val="20"/>
              </w:rPr>
              <w:t>VOC</w:t>
            </w:r>
          </w:p>
        </w:tc>
        <w:tc>
          <w:tcPr>
            <w:tcW w:w="4251" w:type="pct"/>
            <w:vAlign w:val="center"/>
          </w:tcPr>
          <w:p w:rsidR="002416B1" w:rsidRPr="006A2BF3" w:rsidRDefault="002416B1" w:rsidP="005F64CA">
            <w:pPr>
              <w:spacing w:before="100" w:beforeAutospacing="1" w:after="100" w:afterAutospacing="1" w:line="360" w:lineRule="auto"/>
              <w:rPr>
                <w:rFonts w:ascii="Arial" w:hAnsi="Arial" w:cs="Arial"/>
                <w:sz w:val="20"/>
                <w:szCs w:val="20"/>
              </w:rPr>
            </w:pPr>
            <w:r w:rsidRPr="006A2BF3">
              <w:rPr>
                <w:rFonts w:ascii="Arial" w:hAnsi="Arial" w:cs="Arial"/>
                <w:sz w:val="20"/>
                <w:szCs w:val="20"/>
              </w:rPr>
              <w:t>Prchavá organická zlúčenina</w:t>
            </w:r>
          </w:p>
        </w:tc>
      </w:tr>
      <w:tr w:rsidR="002416B1" w:rsidRPr="006A2BF3" w:rsidTr="003A5E95">
        <w:trPr>
          <w:trHeight w:val="284"/>
        </w:trPr>
        <w:tc>
          <w:tcPr>
            <w:tcW w:w="749" w:type="pct"/>
            <w:shd w:val="clear" w:color="auto" w:fill="EAF1DD"/>
            <w:vAlign w:val="center"/>
          </w:tcPr>
          <w:p w:rsidR="002416B1" w:rsidRPr="006A2BF3" w:rsidRDefault="002416B1" w:rsidP="005F64CA">
            <w:pPr>
              <w:spacing w:before="100" w:beforeAutospacing="1" w:after="100" w:afterAutospacing="1" w:line="360" w:lineRule="auto"/>
              <w:rPr>
                <w:rFonts w:ascii="Arial" w:hAnsi="Arial" w:cs="Arial"/>
                <w:sz w:val="20"/>
                <w:szCs w:val="20"/>
              </w:rPr>
            </w:pPr>
            <w:r w:rsidRPr="006A2BF3">
              <w:rPr>
                <w:rFonts w:ascii="Arial" w:hAnsi="Arial" w:cs="Arial"/>
                <w:sz w:val="20"/>
                <w:szCs w:val="20"/>
              </w:rPr>
              <w:t>VÚC</w:t>
            </w:r>
          </w:p>
        </w:tc>
        <w:tc>
          <w:tcPr>
            <w:tcW w:w="4251" w:type="pct"/>
            <w:vAlign w:val="center"/>
          </w:tcPr>
          <w:p w:rsidR="002416B1" w:rsidRPr="006A2BF3" w:rsidRDefault="002416B1" w:rsidP="005F64CA">
            <w:pPr>
              <w:spacing w:before="100" w:beforeAutospacing="1" w:after="100" w:afterAutospacing="1" w:line="360" w:lineRule="auto"/>
              <w:rPr>
                <w:rFonts w:ascii="Arial" w:hAnsi="Arial" w:cs="Arial"/>
                <w:sz w:val="20"/>
                <w:szCs w:val="20"/>
              </w:rPr>
            </w:pPr>
            <w:r w:rsidRPr="006A2BF3">
              <w:rPr>
                <w:rFonts w:ascii="Arial" w:hAnsi="Arial" w:cs="Arial"/>
                <w:sz w:val="20"/>
                <w:szCs w:val="20"/>
              </w:rPr>
              <w:t>Vyšší územný celok</w:t>
            </w:r>
          </w:p>
        </w:tc>
      </w:tr>
      <w:tr w:rsidR="002416B1" w:rsidRPr="006A2BF3" w:rsidTr="003A5E95">
        <w:trPr>
          <w:trHeight w:val="284"/>
        </w:trPr>
        <w:tc>
          <w:tcPr>
            <w:tcW w:w="749" w:type="pct"/>
            <w:shd w:val="clear" w:color="auto" w:fill="EAF1DD"/>
            <w:vAlign w:val="center"/>
          </w:tcPr>
          <w:p w:rsidR="002416B1" w:rsidRPr="006A2BF3" w:rsidRDefault="002416B1" w:rsidP="005F64CA">
            <w:pPr>
              <w:spacing w:before="100" w:beforeAutospacing="1" w:after="100" w:afterAutospacing="1" w:line="360" w:lineRule="auto"/>
              <w:rPr>
                <w:rFonts w:ascii="Arial" w:hAnsi="Arial" w:cs="Arial"/>
                <w:sz w:val="20"/>
                <w:szCs w:val="20"/>
              </w:rPr>
            </w:pPr>
            <w:r>
              <w:rPr>
                <w:rFonts w:ascii="Arial" w:hAnsi="Arial" w:cs="Arial"/>
                <w:sz w:val="20"/>
                <w:szCs w:val="20"/>
              </w:rPr>
              <w:t>VVZ</w:t>
            </w:r>
          </w:p>
        </w:tc>
        <w:tc>
          <w:tcPr>
            <w:tcW w:w="4251" w:type="pct"/>
            <w:vAlign w:val="center"/>
          </w:tcPr>
          <w:p w:rsidR="002416B1" w:rsidRPr="006A2BF3" w:rsidRDefault="002416B1" w:rsidP="005F64CA">
            <w:pPr>
              <w:spacing w:before="100" w:beforeAutospacing="1" w:after="100" w:afterAutospacing="1" w:line="360" w:lineRule="auto"/>
              <w:rPr>
                <w:rFonts w:ascii="Arial" w:hAnsi="Arial" w:cs="Arial"/>
                <w:sz w:val="20"/>
                <w:szCs w:val="20"/>
              </w:rPr>
            </w:pPr>
            <w:r>
              <w:rPr>
                <w:rFonts w:ascii="Arial" w:hAnsi="Arial" w:cs="Arial"/>
                <w:sz w:val="20"/>
                <w:szCs w:val="20"/>
              </w:rPr>
              <w:t>Vlastné verejné zdroje</w:t>
            </w:r>
          </w:p>
        </w:tc>
      </w:tr>
      <w:tr w:rsidR="002416B1" w:rsidRPr="006A2BF3" w:rsidTr="003A5E95">
        <w:trPr>
          <w:trHeight w:val="284"/>
        </w:trPr>
        <w:tc>
          <w:tcPr>
            <w:tcW w:w="749" w:type="pct"/>
            <w:shd w:val="clear" w:color="auto" w:fill="EAF1DD"/>
            <w:vAlign w:val="center"/>
          </w:tcPr>
          <w:p w:rsidR="002416B1" w:rsidRPr="006A2BF3" w:rsidRDefault="002416B1" w:rsidP="005F64CA">
            <w:pPr>
              <w:spacing w:before="100" w:beforeAutospacing="1" w:after="100" w:afterAutospacing="1" w:line="360" w:lineRule="auto"/>
              <w:rPr>
                <w:rFonts w:ascii="Arial" w:hAnsi="Arial" w:cs="Arial"/>
                <w:sz w:val="20"/>
                <w:szCs w:val="20"/>
              </w:rPr>
            </w:pPr>
            <w:r w:rsidRPr="006A2BF3">
              <w:rPr>
                <w:rFonts w:ascii="Arial" w:hAnsi="Arial" w:cs="Arial"/>
                <w:sz w:val="20"/>
                <w:szCs w:val="20"/>
              </w:rPr>
              <w:t>ZMOS</w:t>
            </w:r>
          </w:p>
        </w:tc>
        <w:tc>
          <w:tcPr>
            <w:tcW w:w="4251" w:type="pct"/>
            <w:vAlign w:val="center"/>
          </w:tcPr>
          <w:p w:rsidR="002416B1" w:rsidRPr="006A2BF3" w:rsidRDefault="002416B1" w:rsidP="005F64CA">
            <w:pPr>
              <w:spacing w:before="100" w:beforeAutospacing="1" w:after="100" w:afterAutospacing="1" w:line="360" w:lineRule="auto"/>
              <w:rPr>
                <w:rFonts w:ascii="Arial" w:hAnsi="Arial" w:cs="Arial"/>
                <w:sz w:val="20"/>
                <w:szCs w:val="20"/>
              </w:rPr>
            </w:pPr>
            <w:r w:rsidRPr="006A2BF3">
              <w:rPr>
                <w:rFonts w:ascii="Arial" w:hAnsi="Arial" w:cs="Arial"/>
                <w:sz w:val="20"/>
                <w:szCs w:val="20"/>
              </w:rPr>
              <w:t>Združenie miest a obcí Slovenska</w:t>
            </w:r>
          </w:p>
        </w:tc>
      </w:tr>
      <w:tr w:rsidR="002416B1" w:rsidRPr="006A2BF3" w:rsidTr="003A5E95">
        <w:trPr>
          <w:trHeight w:val="284"/>
        </w:trPr>
        <w:tc>
          <w:tcPr>
            <w:tcW w:w="749" w:type="pct"/>
            <w:shd w:val="clear" w:color="auto" w:fill="EAF1DD"/>
            <w:vAlign w:val="center"/>
          </w:tcPr>
          <w:p w:rsidR="002416B1" w:rsidRPr="006A2BF3" w:rsidRDefault="002416B1" w:rsidP="005F64CA">
            <w:pPr>
              <w:spacing w:before="100" w:beforeAutospacing="1" w:after="100" w:afterAutospacing="1" w:line="360" w:lineRule="auto"/>
              <w:rPr>
                <w:rFonts w:ascii="Arial" w:hAnsi="Arial" w:cs="Arial"/>
                <w:sz w:val="20"/>
                <w:szCs w:val="20"/>
              </w:rPr>
            </w:pPr>
            <w:r>
              <w:rPr>
                <w:rFonts w:ascii="Arial" w:hAnsi="Arial" w:cs="Arial"/>
                <w:sz w:val="20"/>
                <w:szCs w:val="20"/>
              </w:rPr>
              <w:t>ŽoNFP</w:t>
            </w:r>
          </w:p>
        </w:tc>
        <w:tc>
          <w:tcPr>
            <w:tcW w:w="4251" w:type="pct"/>
            <w:vAlign w:val="center"/>
          </w:tcPr>
          <w:p w:rsidR="002416B1" w:rsidRPr="006A2BF3" w:rsidRDefault="002416B1" w:rsidP="005F64CA">
            <w:pPr>
              <w:spacing w:before="100" w:beforeAutospacing="1" w:after="100" w:afterAutospacing="1" w:line="360" w:lineRule="auto"/>
              <w:rPr>
                <w:rFonts w:ascii="Arial" w:hAnsi="Arial" w:cs="Arial"/>
                <w:sz w:val="20"/>
                <w:szCs w:val="20"/>
              </w:rPr>
            </w:pPr>
            <w:r>
              <w:rPr>
                <w:rFonts w:ascii="Arial" w:hAnsi="Arial" w:cs="Arial"/>
                <w:sz w:val="20"/>
                <w:szCs w:val="20"/>
              </w:rPr>
              <w:t>Žiadosť o nenávratný finančný príspevok</w:t>
            </w:r>
          </w:p>
        </w:tc>
      </w:tr>
      <w:tr w:rsidR="002416B1" w:rsidRPr="006A2BF3" w:rsidTr="003A5E95">
        <w:trPr>
          <w:trHeight w:val="284"/>
        </w:trPr>
        <w:tc>
          <w:tcPr>
            <w:tcW w:w="749" w:type="pct"/>
            <w:shd w:val="clear" w:color="auto" w:fill="EAF1DD"/>
            <w:vAlign w:val="center"/>
          </w:tcPr>
          <w:p w:rsidR="002416B1" w:rsidRPr="006A2BF3" w:rsidRDefault="002416B1" w:rsidP="005F64CA">
            <w:pPr>
              <w:spacing w:before="100" w:beforeAutospacing="1" w:after="100" w:afterAutospacing="1" w:line="360" w:lineRule="auto"/>
              <w:rPr>
                <w:rFonts w:ascii="Arial" w:hAnsi="Arial" w:cs="Arial"/>
                <w:sz w:val="20"/>
                <w:szCs w:val="20"/>
              </w:rPr>
            </w:pPr>
            <w:r w:rsidRPr="006A2BF3">
              <w:rPr>
                <w:rFonts w:ascii="Arial" w:hAnsi="Arial" w:cs="Arial"/>
                <w:sz w:val="20"/>
                <w:szCs w:val="20"/>
              </w:rPr>
              <w:t>ŽoP</w:t>
            </w:r>
          </w:p>
        </w:tc>
        <w:tc>
          <w:tcPr>
            <w:tcW w:w="4251" w:type="pct"/>
            <w:vAlign w:val="center"/>
          </w:tcPr>
          <w:p w:rsidR="002416B1" w:rsidRPr="006A2BF3" w:rsidRDefault="002416B1" w:rsidP="005F64CA">
            <w:pPr>
              <w:spacing w:before="100" w:beforeAutospacing="1" w:after="100" w:afterAutospacing="1" w:line="360" w:lineRule="auto"/>
              <w:rPr>
                <w:rFonts w:ascii="Arial" w:hAnsi="Arial" w:cs="Arial"/>
                <w:sz w:val="20"/>
                <w:szCs w:val="20"/>
              </w:rPr>
            </w:pPr>
            <w:r w:rsidRPr="006A2BF3">
              <w:rPr>
                <w:rFonts w:ascii="Arial" w:hAnsi="Arial" w:cs="Arial"/>
                <w:sz w:val="20"/>
                <w:szCs w:val="20"/>
              </w:rPr>
              <w:t>Žiadosť o platbu</w:t>
            </w:r>
          </w:p>
        </w:tc>
      </w:tr>
    </w:tbl>
    <w:p w:rsidR="002416B1" w:rsidRPr="006A2BF3" w:rsidRDefault="002416B1" w:rsidP="005F64CA">
      <w:pPr>
        <w:spacing w:before="100" w:beforeAutospacing="1" w:after="100" w:afterAutospacing="1" w:line="360" w:lineRule="auto"/>
        <w:ind w:left="1"/>
        <w:rPr>
          <w:rFonts w:ascii="Arial" w:hAnsi="Arial" w:cs="Arial"/>
          <w:sz w:val="20"/>
          <w:szCs w:val="20"/>
        </w:rPr>
      </w:pPr>
    </w:p>
    <w:p w:rsidR="005F64CA" w:rsidRDefault="002416B1" w:rsidP="00507035">
      <w:pPr>
        <w:spacing w:before="120" w:after="120" w:line="360" w:lineRule="auto"/>
        <w:ind w:left="1"/>
        <w:rPr>
          <w:rFonts w:ascii="Arial" w:hAnsi="Arial" w:cs="Arial"/>
          <w:sz w:val="20"/>
          <w:szCs w:val="20"/>
        </w:rPr>
      </w:pPr>
      <w:r w:rsidRPr="006A2BF3">
        <w:rPr>
          <w:rFonts w:ascii="Arial" w:hAnsi="Arial" w:cs="Arial"/>
          <w:sz w:val="20"/>
          <w:szCs w:val="20"/>
        </w:rPr>
        <w:tab/>
      </w:r>
      <w:r w:rsidRPr="006A2BF3">
        <w:rPr>
          <w:rFonts w:ascii="Arial" w:hAnsi="Arial" w:cs="Arial"/>
          <w:sz w:val="20"/>
          <w:szCs w:val="20"/>
        </w:rPr>
        <w:tab/>
      </w:r>
      <w:r w:rsidRPr="006A2BF3">
        <w:rPr>
          <w:rFonts w:ascii="Arial" w:hAnsi="Arial" w:cs="Arial"/>
          <w:sz w:val="20"/>
          <w:szCs w:val="20"/>
        </w:rPr>
        <w:tab/>
      </w:r>
    </w:p>
    <w:p w:rsidR="005F64CA" w:rsidRDefault="005F64CA">
      <w:pPr>
        <w:rPr>
          <w:rFonts w:ascii="Arial" w:hAnsi="Arial" w:cs="Arial"/>
          <w:sz w:val="20"/>
          <w:szCs w:val="20"/>
        </w:rPr>
      </w:pPr>
      <w:r>
        <w:rPr>
          <w:rFonts w:ascii="Arial" w:hAnsi="Arial" w:cs="Arial"/>
          <w:sz w:val="20"/>
          <w:szCs w:val="20"/>
        </w:rPr>
        <w:br w:type="page"/>
      </w:r>
    </w:p>
    <w:p w:rsidR="002416B1" w:rsidRPr="006A2BF3" w:rsidRDefault="002416B1" w:rsidP="00507035">
      <w:pPr>
        <w:spacing w:before="120" w:after="120" w:line="360" w:lineRule="auto"/>
        <w:rPr>
          <w:rFonts w:ascii="Arial" w:hAnsi="Arial" w:cs="Arial"/>
          <w:sz w:val="20"/>
          <w:szCs w:val="20"/>
        </w:rPr>
      </w:pPr>
      <w:r w:rsidRPr="006A2BF3">
        <w:rPr>
          <w:rFonts w:ascii="Arial" w:hAnsi="Arial" w:cs="Arial"/>
          <w:sz w:val="20"/>
          <w:szCs w:val="20"/>
        </w:rPr>
        <w:t xml:space="preserve">                                                                                                                                </w:t>
      </w:r>
      <w:r w:rsidRPr="006A2BF3">
        <w:rPr>
          <w:rFonts w:ascii="Arial" w:hAnsi="Arial" w:cs="Arial"/>
          <w:sz w:val="20"/>
          <w:szCs w:val="20"/>
        </w:rPr>
        <w:tab/>
      </w:r>
    </w:p>
    <w:p w:rsidR="002416B1" w:rsidRPr="006A2BF3" w:rsidRDefault="002416B1" w:rsidP="00507035">
      <w:pPr>
        <w:pStyle w:val="Nadpis1"/>
        <w:spacing w:before="120" w:after="120"/>
        <w:rPr>
          <w:highlight w:val="yellow"/>
        </w:rPr>
      </w:pPr>
      <w:bookmarkStart w:id="140" w:name="_Toc319573350"/>
      <w:r w:rsidRPr="006A2BF3">
        <w:t>9. Prílohy</w:t>
      </w:r>
      <w:bookmarkEnd w:id="140"/>
    </w:p>
    <w:p w:rsidR="002416B1" w:rsidRPr="006A2BF3" w:rsidRDefault="002416B1" w:rsidP="00507035">
      <w:pPr>
        <w:spacing w:before="120" w:after="120"/>
        <w:rPr>
          <w:rFonts w:ascii="Arial" w:hAnsi="Arial"/>
          <w:highlight w:val="yellow"/>
        </w:rPr>
      </w:pPr>
    </w:p>
    <w:p w:rsidR="002416B1" w:rsidRPr="004B33AE" w:rsidRDefault="002416B1" w:rsidP="00507035">
      <w:pPr>
        <w:spacing w:before="120" w:after="120"/>
        <w:ind w:left="1276" w:hanging="1276"/>
        <w:rPr>
          <w:rFonts w:ascii="Arial" w:hAnsi="Arial" w:cs="Arial"/>
          <w:smallCaps/>
          <w:sz w:val="22"/>
          <w:szCs w:val="22"/>
          <w:highlight w:val="yellow"/>
        </w:rPr>
      </w:pPr>
      <w:r w:rsidRPr="006A2BF3">
        <w:rPr>
          <w:rFonts w:ascii="Arial" w:hAnsi="Arial" w:cs="Arial"/>
          <w:smallCaps/>
          <w:sz w:val="22"/>
          <w:szCs w:val="22"/>
        </w:rPr>
        <w:t>Príloha č. 1  Prehľad vyhlásených výziev k 31.12.201</w:t>
      </w:r>
      <w:r w:rsidR="002B5211">
        <w:rPr>
          <w:rFonts w:ascii="Arial" w:hAnsi="Arial" w:cs="Arial"/>
          <w:smallCaps/>
          <w:sz w:val="22"/>
          <w:szCs w:val="22"/>
        </w:rPr>
        <w:t>2</w:t>
      </w:r>
      <w:r w:rsidRPr="004B33AE">
        <w:rPr>
          <w:rFonts w:ascii="Arial" w:hAnsi="Arial" w:cs="Arial"/>
          <w:smallCaps/>
          <w:sz w:val="22"/>
          <w:szCs w:val="22"/>
        </w:rPr>
        <w:t xml:space="preserve"> spolu s prehľadom o projektoch</w:t>
      </w:r>
    </w:p>
    <w:p w:rsidR="002416B1" w:rsidRPr="001540E7" w:rsidRDefault="002416B1" w:rsidP="00507035">
      <w:pPr>
        <w:spacing w:before="120" w:after="120"/>
        <w:rPr>
          <w:rFonts w:ascii="Arial" w:hAnsi="Arial" w:cs="Arial"/>
          <w:smallCaps/>
          <w:sz w:val="22"/>
          <w:szCs w:val="22"/>
        </w:rPr>
      </w:pPr>
      <w:r w:rsidRPr="001540E7">
        <w:rPr>
          <w:rFonts w:ascii="Arial" w:hAnsi="Arial" w:cs="Arial"/>
          <w:smallCaps/>
          <w:sz w:val="22"/>
          <w:szCs w:val="22"/>
        </w:rPr>
        <w:t>Príloha č. 2  Plnenie ukazovateľov na úrovni OP ŽP k 31.12.201</w:t>
      </w:r>
      <w:r w:rsidR="002B5211" w:rsidRPr="001540E7">
        <w:rPr>
          <w:rFonts w:ascii="Arial" w:hAnsi="Arial" w:cs="Arial"/>
          <w:smallCaps/>
          <w:sz w:val="22"/>
          <w:szCs w:val="22"/>
        </w:rPr>
        <w:t>2</w:t>
      </w:r>
    </w:p>
    <w:p w:rsidR="002416B1" w:rsidRPr="001540E7" w:rsidRDefault="002416B1" w:rsidP="00507035">
      <w:pPr>
        <w:spacing w:before="120" w:after="120"/>
        <w:rPr>
          <w:rFonts w:ascii="Arial" w:hAnsi="Arial" w:cs="Arial"/>
          <w:smallCaps/>
          <w:sz w:val="22"/>
          <w:szCs w:val="22"/>
        </w:rPr>
      </w:pPr>
      <w:r w:rsidRPr="001540E7">
        <w:rPr>
          <w:rFonts w:ascii="Arial" w:hAnsi="Arial" w:cs="Arial"/>
          <w:smallCaps/>
          <w:sz w:val="22"/>
          <w:szCs w:val="22"/>
        </w:rPr>
        <w:t>Príloha č. 3  Žiadosti o platbu predložené EK</w:t>
      </w:r>
    </w:p>
    <w:p w:rsidR="002416B1" w:rsidRPr="001540E7" w:rsidRDefault="002416B1" w:rsidP="00507035">
      <w:pPr>
        <w:spacing w:before="120" w:after="120"/>
        <w:ind w:left="1276" w:hanging="1276"/>
        <w:rPr>
          <w:rFonts w:ascii="Arial" w:hAnsi="Arial" w:cs="Arial"/>
          <w:smallCaps/>
          <w:sz w:val="22"/>
          <w:szCs w:val="22"/>
        </w:rPr>
      </w:pPr>
      <w:r w:rsidRPr="001540E7">
        <w:rPr>
          <w:rFonts w:ascii="Arial" w:hAnsi="Arial" w:cs="Arial"/>
          <w:smallCaps/>
          <w:sz w:val="22"/>
          <w:szCs w:val="22"/>
        </w:rPr>
        <w:t>Príloha č. 4  Platby prijaté z EK k 31.12.201</w:t>
      </w:r>
      <w:r w:rsidR="002B5211" w:rsidRPr="001540E7">
        <w:rPr>
          <w:rFonts w:ascii="Arial" w:hAnsi="Arial" w:cs="Arial"/>
          <w:smallCaps/>
          <w:sz w:val="22"/>
          <w:szCs w:val="22"/>
        </w:rPr>
        <w:t>2</w:t>
      </w:r>
    </w:p>
    <w:p w:rsidR="002416B1" w:rsidRPr="001540E7" w:rsidRDefault="002416B1" w:rsidP="00507035">
      <w:pPr>
        <w:spacing w:before="120" w:after="120"/>
        <w:rPr>
          <w:rFonts w:ascii="Arial" w:hAnsi="Arial" w:cs="Arial"/>
          <w:smallCaps/>
          <w:sz w:val="22"/>
          <w:szCs w:val="22"/>
        </w:rPr>
      </w:pPr>
      <w:r w:rsidRPr="001540E7">
        <w:rPr>
          <w:rFonts w:ascii="Arial" w:hAnsi="Arial" w:cs="Arial"/>
          <w:smallCaps/>
          <w:sz w:val="22"/>
          <w:szCs w:val="22"/>
        </w:rPr>
        <w:t>Príloha č. 5  Zoznam kontrol na mieste vykonaných RO v roku 201</w:t>
      </w:r>
      <w:r w:rsidR="006A551B" w:rsidRPr="001540E7">
        <w:rPr>
          <w:rFonts w:ascii="Arial" w:hAnsi="Arial" w:cs="Arial"/>
          <w:smallCaps/>
          <w:sz w:val="22"/>
          <w:szCs w:val="22"/>
        </w:rPr>
        <w:t>2</w:t>
      </w:r>
    </w:p>
    <w:p w:rsidR="002416B1" w:rsidRPr="001540E7" w:rsidRDefault="002416B1" w:rsidP="00507035">
      <w:pPr>
        <w:spacing w:before="120" w:after="120"/>
        <w:rPr>
          <w:rFonts w:ascii="Arial" w:hAnsi="Arial" w:cs="Arial"/>
          <w:smallCaps/>
          <w:sz w:val="22"/>
          <w:szCs w:val="22"/>
        </w:rPr>
      </w:pPr>
      <w:r w:rsidRPr="001540E7">
        <w:rPr>
          <w:rFonts w:ascii="Arial" w:hAnsi="Arial" w:cs="Arial"/>
          <w:smallCaps/>
          <w:sz w:val="22"/>
          <w:szCs w:val="22"/>
        </w:rPr>
        <w:t>Príloha č. 6  Finančná implementácia podľa NUTS III a mimo NUTS III</w:t>
      </w:r>
    </w:p>
    <w:p w:rsidR="002416B1" w:rsidRPr="001540E7" w:rsidRDefault="002416B1" w:rsidP="00507035">
      <w:pPr>
        <w:spacing w:before="120" w:after="120"/>
        <w:rPr>
          <w:rFonts w:ascii="Arial" w:hAnsi="Arial" w:cs="Arial"/>
          <w:smallCaps/>
          <w:sz w:val="22"/>
          <w:szCs w:val="22"/>
        </w:rPr>
      </w:pPr>
      <w:r w:rsidRPr="001540E7">
        <w:rPr>
          <w:rFonts w:ascii="Arial" w:hAnsi="Arial" w:cs="Arial"/>
          <w:smallCaps/>
          <w:sz w:val="22"/>
          <w:szCs w:val="22"/>
        </w:rPr>
        <w:t>Príloha č. 7</w:t>
      </w:r>
      <w:r w:rsidR="00471EE5" w:rsidRPr="001540E7">
        <w:rPr>
          <w:rFonts w:ascii="Arial" w:hAnsi="Arial" w:cs="Arial"/>
          <w:smallCaps/>
          <w:sz w:val="22"/>
          <w:szCs w:val="22"/>
        </w:rPr>
        <w:t>a</w:t>
      </w:r>
      <w:r w:rsidRPr="001540E7">
        <w:rPr>
          <w:rFonts w:ascii="Arial" w:hAnsi="Arial" w:cs="Arial"/>
          <w:smallCaps/>
          <w:sz w:val="22"/>
          <w:szCs w:val="22"/>
        </w:rPr>
        <w:t xml:space="preserve"> </w:t>
      </w:r>
      <w:r w:rsidR="0073287A" w:rsidRPr="001540E7">
        <w:rPr>
          <w:rFonts w:ascii="Arial" w:hAnsi="Arial" w:cs="Arial"/>
          <w:smallCaps/>
          <w:sz w:val="22"/>
          <w:szCs w:val="22"/>
        </w:rPr>
        <w:t xml:space="preserve">Orientačné </w:t>
      </w:r>
      <w:r w:rsidRPr="001540E7">
        <w:rPr>
          <w:rFonts w:ascii="Arial" w:hAnsi="Arial" w:cs="Arial"/>
          <w:smallCaps/>
          <w:sz w:val="22"/>
          <w:szCs w:val="22"/>
        </w:rPr>
        <w:t>členenie príspevku Spoločenstva podľa kategórie</w:t>
      </w:r>
    </w:p>
    <w:p w:rsidR="00471EE5" w:rsidRPr="001540E7" w:rsidRDefault="00471EE5" w:rsidP="00471EE5">
      <w:pPr>
        <w:spacing w:before="120" w:after="120"/>
        <w:rPr>
          <w:rFonts w:ascii="Arial" w:hAnsi="Arial" w:cs="Arial"/>
          <w:smallCaps/>
          <w:sz w:val="22"/>
          <w:szCs w:val="22"/>
        </w:rPr>
      </w:pPr>
      <w:r w:rsidRPr="001540E7">
        <w:rPr>
          <w:rFonts w:ascii="Arial" w:hAnsi="Arial" w:cs="Arial"/>
          <w:smallCaps/>
          <w:sz w:val="22"/>
          <w:szCs w:val="22"/>
        </w:rPr>
        <w:t>Príloha č. 7b Súhrnné členenie príspevku Spoločenstva podľa kategórie</w:t>
      </w:r>
    </w:p>
    <w:p w:rsidR="006E5942" w:rsidRPr="001540E7" w:rsidRDefault="002416B1" w:rsidP="00507035">
      <w:pPr>
        <w:spacing w:before="120" w:after="120"/>
        <w:ind w:left="1276" w:hanging="1276"/>
        <w:jc w:val="both"/>
        <w:rPr>
          <w:rFonts w:ascii="Arial" w:hAnsi="Arial" w:cs="Arial"/>
          <w:smallCaps/>
          <w:sz w:val="22"/>
          <w:szCs w:val="22"/>
        </w:rPr>
      </w:pPr>
      <w:r w:rsidRPr="001540E7">
        <w:rPr>
          <w:rFonts w:ascii="Arial" w:hAnsi="Arial" w:cs="Arial"/>
          <w:smallCaps/>
          <w:sz w:val="22"/>
          <w:szCs w:val="22"/>
        </w:rPr>
        <w:t>Príloha č. 8  Stav implementácie veľkých projektov</w:t>
      </w:r>
      <w:r w:rsidR="000D0026" w:rsidRPr="001540E7">
        <w:rPr>
          <w:rFonts w:ascii="Arial" w:hAnsi="Arial" w:cs="Arial"/>
          <w:smallCaps/>
          <w:sz w:val="22"/>
          <w:szCs w:val="22"/>
        </w:rPr>
        <w:t xml:space="preserve"> k 31.12.2012</w:t>
      </w:r>
    </w:p>
    <w:p w:rsidR="006E5942" w:rsidRDefault="006E5942" w:rsidP="00507035">
      <w:pPr>
        <w:spacing w:before="120" w:after="120"/>
        <w:ind w:left="1276" w:hanging="1276"/>
        <w:jc w:val="both"/>
        <w:rPr>
          <w:rFonts w:ascii="Arial" w:hAnsi="Arial" w:cs="Arial"/>
          <w:smallCaps/>
          <w:sz w:val="22"/>
          <w:szCs w:val="22"/>
        </w:rPr>
      </w:pPr>
      <w:r w:rsidRPr="001540E7">
        <w:rPr>
          <w:rFonts w:ascii="Arial" w:hAnsi="Arial" w:cs="Arial"/>
          <w:smallCaps/>
          <w:sz w:val="22"/>
          <w:szCs w:val="22"/>
        </w:rPr>
        <w:t>Príloha č. 9  Zoznam schválených projektov s uvedením stavu k 31</w:t>
      </w:r>
      <w:r>
        <w:rPr>
          <w:rFonts w:ascii="Arial" w:hAnsi="Arial" w:cs="Arial"/>
          <w:smallCaps/>
          <w:sz w:val="22"/>
          <w:szCs w:val="22"/>
        </w:rPr>
        <w:t>.12.201</w:t>
      </w:r>
      <w:r w:rsidR="006A551B">
        <w:rPr>
          <w:rFonts w:ascii="Arial" w:hAnsi="Arial" w:cs="Arial"/>
          <w:smallCaps/>
          <w:sz w:val="22"/>
          <w:szCs w:val="22"/>
        </w:rPr>
        <w:t>2</w:t>
      </w:r>
    </w:p>
    <w:p w:rsidR="002416B1" w:rsidRDefault="006E5942" w:rsidP="00507035">
      <w:pPr>
        <w:spacing w:before="120" w:after="120"/>
        <w:ind w:left="1276" w:hanging="1276"/>
        <w:jc w:val="both"/>
        <w:rPr>
          <w:rFonts w:ascii="Arial" w:hAnsi="Arial" w:cs="Arial"/>
          <w:smallCaps/>
          <w:sz w:val="22"/>
          <w:szCs w:val="22"/>
        </w:rPr>
      </w:pPr>
      <w:r>
        <w:rPr>
          <w:rFonts w:ascii="Arial" w:hAnsi="Arial" w:cs="Arial"/>
          <w:smallCaps/>
          <w:sz w:val="22"/>
          <w:szCs w:val="22"/>
        </w:rPr>
        <w:t xml:space="preserve">Príloha č. 10 </w:t>
      </w:r>
      <w:r w:rsidR="001B5DC0" w:rsidRPr="001B5DC0">
        <w:rPr>
          <w:rFonts w:ascii="Arial" w:hAnsi="Arial" w:cs="Arial"/>
          <w:smallCaps/>
          <w:sz w:val="22"/>
          <w:szCs w:val="22"/>
        </w:rPr>
        <w:t>Príklady dobrej praxe (Informačné listy úspešne zrealizovaných projektov)</w:t>
      </w:r>
    </w:p>
    <w:p w:rsidR="00056597" w:rsidRPr="006A78D8" w:rsidRDefault="00056597" w:rsidP="00507035">
      <w:pPr>
        <w:spacing w:before="120" w:after="120"/>
        <w:ind w:left="1276" w:hanging="1276"/>
        <w:jc w:val="both"/>
        <w:rPr>
          <w:rFonts w:ascii="Arial" w:hAnsi="Arial" w:cs="Arial"/>
          <w:smallCaps/>
          <w:sz w:val="22"/>
          <w:szCs w:val="22"/>
        </w:rPr>
      </w:pPr>
      <w:r>
        <w:rPr>
          <w:rFonts w:ascii="Arial" w:hAnsi="Arial" w:cs="Arial"/>
          <w:smallCaps/>
          <w:sz w:val="22"/>
          <w:szCs w:val="22"/>
        </w:rPr>
        <w:t xml:space="preserve">Príloha č. 11 </w:t>
      </w:r>
      <w:r w:rsidR="00EF1CB5" w:rsidRPr="00EF1CB5">
        <w:rPr>
          <w:rFonts w:ascii="Arial" w:hAnsi="Arial" w:cs="Arial"/>
          <w:smallCaps/>
          <w:sz w:val="22"/>
          <w:szCs w:val="22"/>
        </w:rPr>
        <w:t xml:space="preserve">Zoznam </w:t>
      </w:r>
      <w:r w:rsidR="008F2A89">
        <w:rPr>
          <w:rFonts w:ascii="Arial" w:hAnsi="Arial" w:cs="Arial"/>
          <w:smallCaps/>
          <w:sz w:val="22"/>
          <w:szCs w:val="22"/>
        </w:rPr>
        <w:t>CORE</w:t>
      </w:r>
      <w:r w:rsidR="00EF1CB5" w:rsidRPr="00EF1CB5">
        <w:rPr>
          <w:rFonts w:ascii="Arial" w:hAnsi="Arial" w:cs="Arial"/>
          <w:smallCaps/>
          <w:sz w:val="22"/>
          <w:szCs w:val="22"/>
        </w:rPr>
        <w:t xml:space="preserve"> ukazovateľov 2012_SFC2007</w:t>
      </w:r>
    </w:p>
    <w:p w:rsidR="002416B1" w:rsidRPr="006A2BF3" w:rsidRDefault="002416B1" w:rsidP="00507035">
      <w:pPr>
        <w:spacing w:before="120" w:after="120"/>
        <w:ind w:left="1276" w:hanging="1276"/>
        <w:rPr>
          <w:rFonts w:ascii="Arial" w:hAnsi="Arial" w:cs="Arial"/>
          <w:smallCaps/>
          <w:sz w:val="22"/>
          <w:szCs w:val="22"/>
        </w:rPr>
      </w:pPr>
    </w:p>
    <w:p w:rsidR="002416B1" w:rsidRPr="006A2BF3" w:rsidRDefault="002416B1" w:rsidP="00507035">
      <w:pPr>
        <w:spacing w:before="120" w:after="120"/>
        <w:rPr>
          <w:rFonts w:ascii="Arial" w:hAnsi="Arial" w:cs="Arial"/>
          <w:smallCaps/>
          <w:sz w:val="22"/>
          <w:szCs w:val="22"/>
        </w:rPr>
      </w:pPr>
    </w:p>
    <w:sectPr w:rsidR="002416B1" w:rsidRPr="006A2BF3" w:rsidSect="00170220">
      <w:headerReference w:type="default" r:id="rId98"/>
      <w:footerReference w:type="even" r:id="rId99"/>
      <w:footerReference w:type="default" r:id="rId100"/>
      <w:footerReference w:type="first" r:id="rId101"/>
      <w:type w:val="continuous"/>
      <w:pgSz w:w="11906" w:h="16838" w:code="9"/>
      <w:pgMar w:top="1043" w:right="1418" w:bottom="1276" w:left="1418" w:header="851" w:footer="624"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61207" w:rsidRDefault="00E61207">
      <w:r>
        <w:separator/>
      </w:r>
    </w:p>
  </w:endnote>
  <w:endnote w:type="continuationSeparator" w:id="0">
    <w:p w:rsidR="00E61207" w:rsidRDefault="00E6120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EE"/>
    <w:family w:val="modern"/>
    <w:pitch w:val="fixed"/>
    <w:sig w:usb0="E0002AFF" w:usb1="C0007843" w:usb2="00000009" w:usb3="00000000" w:csb0="000001FF" w:csb1="00000000"/>
  </w:font>
  <w:font w:name="Arial Narrow">
    <w:panose1 w:val="020B0606020202030204"/>
    <w:charset w:val="EE"/>
    <w:family w:val="swiss"/>
    <w:pitch w:val="variable"/>
    <w:sig w:usb0="00000287" w:usb1="00000800" w:usb2="00000000" w:usb3="00000000" w:csb0="0000009F" w:csb1="00000000"/>
  </w:font>
  <w:font w:name="ITC Bookman Demi">
    <w:charset w:val="EE"/>
    <w:family w:val="roman"/>
    <w:pitch w:val="variable"/>
    <w:sig w:usb0="00000007" w:usb1="00000000" w:usb2="00000000" w:usb3="00000000" w:csb0="00000093" w:csb1="00000000"/>
  </w:font>
  <w:font w:name="Arial">
    <w:panose1 w:val="020B0604020202020204"/>
    <w:charset w:val="EE"/>
    <w:family w:val="swiss"/>
    <w:pitch w:val="variable"/>
    <w:sig w:usb0="E0002AFF" w:usb1="C0007843" w:usb2="00000009" w:usb3="00000000" w:csb0="000001FF" w:csb1="00000000"/>
  </w:font>
  <w:font w:name="Calibri">
    <w:panose1 w:val="020F0502020204030204"/>
    <w:charset w:val="EE"/>
    <w:family w:val="swiss"/>
    <w:pitch w:val="variable"/>
    <w:sig w:usb0="E00002FF" w:usb1="4000ACFF" w:usb2="00000001" w:usb3="00000000" w:csb0="0000019F" w:csb1="00000000"/>
  </w:font>
  <w:font w:name="Courier">
    <w:panose1 w:val="02070409020205020404"/>
    <w:charset w:val="00"/>
    <w:family w:val="modern"/>
    <w:notTrueType/>
    <w:pitch w:val="fixed"/>
    <w:sig w:usb0="00000003" w:usb1="00000000" w:usb2="00000000" w:usb3="00000000" w:csb0="00000001" w:csb1="00000000"/>
  </w:font>
  <w:font w:name="Tw Cen MT">
    <w:panose1 w:val="020B0602020104020603"/>
    <w:charset w:val="EE"/>
    <w:family w:val="swiss"/>
    <w:pitch w:val="variable"/>
    <w:sig w:usb0="00000007" w:usb1="00000000" w:usb2="00000000" w:usb3="00000000" w:csb0="00000003" w:csb1="00000000"/>
  </w:font>
  <w:font w:name="Arial Black">
    <w:panose1 w:val="020B0A04020102020204"/>
    <w:charset w:val="EE"/>
    <w:family w:val="swiss"/>
    <w:pitch w:val="variable"/>
    <w:sig w:usb0="00000287" w:usb1="00000000" w:usb2="00000000" w:usb3="00000000" w:csb0="0000009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EE"/>
    <w:family w:val="roman"/>
    <w:pitch w:val="variable"/>
    <w:sig w:usb0="E00002FF" w:usb1="400004FF" w:usb2="00000000" w:usb3="00000000" w:csb0="0000019F" w:csb1="00000000"/>
  </w:font>
  <w:font w:name="EUAlbertina-Regular-Identity-H">
    <w:altName w:val="MS Mincho"/>
    <w:panose1 w:val="00000000000000000000"/>
    <w:charset w:val="80"/>
    <w:family w:val="auto"/>
    <w:notTrueType/>
    <w:pitch w:val="default"/>
    <w:sig w:usb0="00000001" w:usb1="08070000" w:usb2="00000010" w:usb3="00000000" w:csb0="00020000" w:csb1="00000000"/>
  </w:font>
  <w:font w:name="MS Mincho">
    <w:altName w:val="ＭＳ 明朝"/>
    <w:panose1 w:val="02020609040205080304"/>
    <w:charset w:val="80"/>
    <w:family w:val="modern"/>
    <w:pitch w:val="fixed"/>
    <w:sig w:usb0="E00002FF" w:usb1="6AC7FDFB" w:usb2="00000012" w:usb3="00000000" w:csb0="0002009F" w:csb1="00000000"/>
  </w:font>
  <w:font w:name="Verdana">
    <w:panose1 w:val="020B0604030504040204"/>
    <w:charset w:val="EE"/>
    <w:family w:val="swiss"/>
    <w:pitch w:val="variable"/>
    <w:sig w:usb0="A10006FF" w:usb1="4000205B" w:usb2="0000001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61207" w:rsidRDefault="00E61207" w:rsidP="00FF403E">
    <w:pPr>
      <w:pStyle w:val="Pta"/>
      <w:framePr w:wrap="around" w:vAnchor="text" w:hAnchor="margin" w:xAlign="right" w:y="1"/>
      <w:rPr>
        <w:rStyle w:val="slostrany"/>
      </w:rPr>
    </w:pPr>
    <w:r>
      <w:rPr>
        <w:rStyle w:val="slostrany"/>
      </w:rPr>
      <w:fldChar w:fldCharType="begin"/>
    </w:r>
    <w:r>
      <w:rPr>
        <w:rStyle w:val="slostrany"/>
      </w:rPr>
      <w:instrText xml:space="preserve">PAGE  </w:instrText>
    </w:r>
    <w:r>
      <w:rPr>
        <w:rStyle w:val="slostrany"/>
      </w:rPr>
      <w:fldChar w:fldCharType="end"/>
    </w:r>
  </w:p>
  <w:p w:rsidR="00E61207" w:rsidRDefault="00E61207" w:rsidP="005019D4">
    <w:pPr>
      <w:pStyle w:val="Pta"/>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61207" w:rsidRPr="00A47A8A" w:rsidRDefault="00E61207" w:rsidP="00BD72B7">
    <w:pPr>
      <w:pStyle w:val="Pta"/>
      <w:framePr w:wrap="around" w:vAnchor="text" w:hAnchor="margin" w:xAlign="right" w:y="1"/>
      <w:rPr>
        <w:rStyle w:val="slostrany"/>
        <w:rFonts w:ascii="Arial" w:hAnsi="Arial" w:cs="Arial"/>
        <w:sz w:val="18"/>
        <w:szCs w:val="18"/>
      </w:rPr>
    </w:pPr>
    <w:r w:rsidRPr="00A47A8A">
      <w:rPr>
        <w:rStyle w:val="slostrany"/>
        <w:rFonts w:ascii="Arial" w:hAnsi="Arial" w:cs="Arial"/>
        <w:sz w:val="18"/>
        <w:szCs w:val="18"/>
      </w:rPr>
      <w:fldChar w:fldCharType="begin"/>
    </w:r>
    <w:r w:rsidRPr="00A47A8A">
      <w:rPr>
        <w:rStyle w:val="slostrany"/>
        <w:rFonts w:ascii="Arial" w:hAnsi="Arial" w:cs="Arial"/>
        <w:sz w:val="18"/>
        <w:szCs w:val="18"/>
      </w:rPr>
      <w:instrText xml:space="preserve">PAGE  </w:instrText>
    </w:r>
    <w:r w:rsidRPr="00A47A8A">
      <w:rPr>
        <w:rStyle w:val="slostrany"/>
        <w:rFonts w:ascii="Arial" w:hAnsi="Arial" w:cs="Arial"/>
        <w:sz w:val="18"/>
        <w:szCs w:val="18"/>
      </w:rPr>
      <w:fldChar w:fldCharType="separate"/>
    </w:r>
    <w:r w:rsidR="009714AD">
      <w:rPr>
        <w:rStyle w:val="slostrany"/>
        <w:rFonts w:ascii="Arial" w:hAnsi="Arial" w:cs="Arial"/>
        <w:noProof/>
        <w:sz w:val="18"/>
        <w:szCs w:val="18"/>
      </w:rPr>
      <w:t>39</w:t>
    </w:r>
    <w:r w:rsidRPr="00A47A8A">
      <w:rPr>
        <w:rStyle w:val="slostrany"/>
        <w:rFonts w:ascii="Arial" w:hAnsi="Arial" w:cs="Arial"/>
        <w:sz w:val="18"/>
        <w:szCs w:val="18"/>
      </w:rPr>
      <w:fldChar w:fldCharType="end"/>
    </w:r>
  </w:p>
  <w:p w:rsidR="00E61207" w:rsidRPr="00A322EA" w:rsidRDefault="00E61207" w:rsidP="00FF403E">
    <w:pPr>
      <w:pStyle w:val="Pta"/>
      <w:ind w:right="360"/>
      <w:jc w:val="center"/>
      <w:rPr>
        <w:rFonts w:ascii="Arial" w:hAnsi="Arial" w:cs="Arial"/>
        <w:b/>
        <w:color w:val="808080"/>
        <w:sz w:val="22"/>
        <w:szCs w:val="22"/>
      </w:rPr>
    </w:pPr>
    <w:r w:rsidRPr="00A322EA">
      <w:rPr>
        <w:rFonts w:ascii="Arial" w:hAnsi="Arial" w:cs="Arial"/>
        <w:b/>
        <w:color w:val="808080"/>
        <w:sz w:val="22"/>
        <w:szCs w:val="22"/>
      </w:rPr>
      <w:t>Výročná správa o vykonávaní OP ŽP za rok 201</w:t>
    </w:r>
    <w:r>
      <w:rPr>
        <w:rFonts w:ascii="Arial" w:hAnsi="Arial" w:cs="Arial"/>
        <w:b/>
        <w:color w:val="808080"/>
        <w:sz w:val="22"/>
        <w:szCs w:val="22"/>
      </w:rPr>
      <w:t>2</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61207" w:rsidRDefault="00E61207" w:rsidP="00FF403E">
    <w:pPr>
      <w:pStyle w:val="Pta"/>
      <w:jc w:val="center"/>
      <w:rPr>
        <w:rFonts w:ascii="Arial" w:hAnsi="Arial" w:cs="Arial"/>
        <w:b/>
        <w:sz w:val="22"/>
        <w:szCs w:val="22"/>
      </w:rPr>
    </w:pPr>
  </w:p>
  <w:p w:rsidR="00E61207" w:rsidRPr="00A322EA" w:rsidRDefault="00E61207" w:rsidP="00FF403E">
    <w:pPr>
      <w:pStyle w:val="Pta"/>
      <w:jc w:val="center"/>
      <w:rPr>
        <w:rFonts w:ascii="Arial" w:hAnsi="Arial" w:cs="Arial"/>
        <w:b/>
        <w:sz w:val="22"/>
        <w:szCs w:val="22"/>
      </w:rPr>
    </w:pPr>
    <w:r w:rsidRPr="00A322EA">
      <w:rPr>
        <w:rFonts w:ascii="Arial" w:hAnsi="Arial" w:cs="Arial"/>
        <w:b/>
        <w:sz w:val="22"/>
        <w:szCs w:val="22"/>
      </w:rPr>
      <w:t>Výročná správa o vykonávaní OP ŽP za rok 201</w:t>
    </w:r>
    <w:r>
      <w:rPr>
        <w:rFonts w:ascii="Arial" w:hAnsi="Arial" w:cs="Arial"/>
        <w:b/>
        <w:sz w:val="22"/>
        <w:szCs w:val="22"/>
      </w:rPr>
      <w:t>2</w:t>
    </w:r>
  </w:p>
  <w:p w:rsidR="00E61207" w:rsidRDefault="00E61207">
    <w:pPr>
      <w:pStyle w:val="Pt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61207" w:rsidRDefault="00E61207">
      <w:r>
        <w:separator/>
      </w:r>
    </w:p>
  </w:footnote>
  <w:footnote w:type="continuationSeparator" w:id="0">
    <w:p w:rsidR="00E61207" w:rsidRDefault="00E61207">
      <w:r>
        <w:continuationSeparator/>
      </w:r>
    </w:p>
  </w:footnote>
  <w:footnote w:id="1">
    <w:p w:rsidR="00E61207" w:rsidRDefault="00E61207" w:rsidP="00992F31">
      <w:pPr>
        <w:pStyle w:val="Textpoznmkypodiarou"/>
        <w:jc w:val="both"/>
      </w:pPr>
      <w:r w:rsidRPr="008C2D31">
        <w:rPr>
          <w:rFonts w:ascii="Arial" w:hAnsi="Arial" w:cs="Arial"/>
          <w:sz w:val="16"/>
          <w:szCs w:val="16"/>
        </w:rPr>
        <w:t xml:space="preserve">Údaje za čerpanie jednotlivých prioritných osí vygenerované z ITMS sú prepočítavané pre výdavky realizované v SKK na EUR konverzným kurzom 30,126 v zmysle zákona o účtovníctve a v zmysle </w:t>
      </w:r>
      <w:r w:rsidRPr="00992F31">
        <w:rPr>
          <w:rFonts w:ascii="Arial" w:hAnsi="Arial" w:cs="Arial"/>
          <w:sz w:val="16"/>
          <w:szCs w:val="16"/>
        </w:rPr>
        <w:t>zákona</w:t>
      </w:r>
      <w:r>
        <w:rPr>
          <w:rFonts w:ascii="Arial" w:hAnsi="Arial" w:cs="Arial"/>
          <w:sz w:val="16"/>
          <w:szCs w:val="16"/>
        </w:rPr>
        <w:t xml:space="preserve"> </w:t>
      </w:r>
      <w:r w:rsidRPr="00992F31">
        <w:rPr>
          <w:rFonts w:ascii="Arial" w:hAnsi="Arial" w:cs="Arial"/>
          <w:sz w:val="16"/>
          <w:szCs w:val="16"/>
        </w:rPr>
        <w:t>č. 659/2007 Z. z. o zavedení meny euro a o zmene a doplnení niektorých zákonov</w:t>
      </w:r>
      <w:r>
        <w:rPr>
          <w:rFonts w:ascii="Arial" w:hAnsi="Arial" w:cs="Arial"/>
          <w:sz w:val="16"/>
          <w:szCs w:val="16"/>
        </w:rPr>
        <w:t>.</w:t>
      </w:r>
    </w:p>
  </w:footnote>
  <w:footnote w:id="2">
    <w:p w:rsidR="00E61207" w:rsidRDefault="00E61207" w:rsidP="009C5D6F">
      <w:pPr>
        <w:pStyle w:val="Textpoznmkypodiarou"/>
      </w:pPr>
      <w:r w:rsidRPr="00944E59">
        <w:rPr>
          <w:rStyle w:val="Odkaznapoznmkupodiarou"/>
          <w:rFonts w:ascii="Arial" w:hAnsi="Arial" w:cs="Arial"/>
          <w:sz w:val="16"/>
          <w:szCs w:val="16"/>
        </w:rPr>
        <w:footnoteRef/>
      </w:r>
      <w:r w:rsidRPr="00944E59">
        <w:rPr>
          <w:rFonts w:ascii="Arial" w:hAnsi="Arial" w:cs="Arial"/>
          <w:sz w:val="16"/>
          <w:szCs w:val="16"/>
        </w:rPr>
        <w:t xml:space="preserve"> </w:t>
      </w:r>
      <w:bookmarkStart w:id="19" w:name="OLE_LINK19"/>
      <w:bookmarkStart w:id="20" w:name="OLE_LINK20"/>
      <w:r w:rsidRPr="00944E59">
        <w:rPr>
          <w:rFonts w:ascii="Arial" w:hAnsi="Arial" w:cs="Arial"/>
          <w:sz w:val="16"/>
          <w:szCs w:val="16"/>
        </w:rPr>
        <w:t>Agregované emisie skleníkových plynov vyjadrených ako ekvivalent CO</w:t>
      </w:r>
      <w:r w:rsidRPr="00944E59">
        <w:rPr>
          <w:rFonts w:ascii="Arial" w:hAnsi="Arial" w:cs="Arial"/>
          <w:sz w:val="16"/>
          <w:szCs w:val="16"/>
          <w:vertAlign w:val="subscript"/>
        </w:rPr>
        <w:t>2</w:t>
      </w:r>
      <w:r w:rsidRPr="00944E59">
        <w:rPr>
          <w:rFonts w:ascii="Arial" w:hAnsi="Arial" w:cs="Arial"/>
          <w:sz w:val="16"/>
          <w:szCs w:val="16"/>
        </w:rPr>
        <w:t xml:space="preserve"> prepočítané cez GWP </w:t>
      </w:r>
      <w:bookmarkEnd w:id="19"/>
      <w:bookmarkEnd w:id="20"/>
    </w:p>
  </w:footnote>
  <w:footnote w:id="3">
    <w:p w:rsidR="00E61207" w:rsidRDefault="00E61207" w:rsidP="009C5D6F">
      <w:pPr>
        <w:pStyle w:val="Textpoznmkypodiarou"/>
        <w:jc w:val="both"/>
      </w:pPr>
      <w:r w:rsidRPr="00944E59">
        <w:rPr>
          <w:rStyle w:val="Odkaznapoznmkupodiarou"/>
          <w:rFonts w:ascii="Arial" w:hAnsi="Arial" w:cs="Arial"/>
          <w:sz w:val="16"/>
          <w:szCs w:val="16"/>
        </w:rPr>
        <w:footnoteRef/>
      </w:r>
      <w:r w:rsidRPr="00944E59">
        <w:rPr>
          <w:rFonts w:ascii="Arial" w:hAnsi="Arial" w:cs="Arial"/>
          <w:sz w:val="16"/>
          <w:szCs w:val="16"/>
        </w:rPr>
        <w:t xml:space="preserve"> Údaj podľa projekcií emisií skleníkových plynov SR – scenár s opatreniami, r. 2005. Podľa projekcií  sa emisie skleníkových plynov s rastom HDP zvyšujú. Cieľom podpory projektov v rámci prioritnej osi 2 je spomalenie rastu emisií skleníkových plynov vo vzťahu k rastu HDP (decoupling).</w:t>
      </w:r>
      <w:r w:rsidRPr="00901166">
        <w:rPr>
          <w:rFonts w:ascii="Arial" w:hAnsi="Arial" w:cs="Arial"/>
          <w:sz w:val="16"/>
          <w:szCs w:val="16"/>
        </w:rPr>
        <w:t xml:space="preserve">  </w:t>
      </w:r>
    </w:p>
  </w:footnote>
  <w:footnote w:id="4">
    <w:p w:rsidR="00E61207" w:rsidRDefault="00E61207" w:rsidP="009C5D6F">
      <w:pPr>
        <w:pStyle w:val="Textpoznmkypodiarou"/>
        <w:jc w:val="both"/>
      </w:pPr>
      <w:r w:rsidRPr="00901166">
        <w:rPr>
          <w:rStyle w:val="Odkaznapoznmkupodiarou"/>
          <w:rFonts w:ascii="Arial" w:hAnsi="Arial" w:cs="Arial"/>
          <w:sz w:val="16"/>
          <w:szCs w:val="16"/>
        </w:rPr>
        <w:footnoteRef/>
      </w:r>
      <w:r w:rsidRPr="00901166">
        <w:rPr>
          <w:rFonts w:ascii="Arial" w:hAnsi="Arial" w:cs="Arial"/>
          <w:sz w:val="16"/>
          <w:szCs w:val="16"/>
        </w:rPr>
        <w:t xml:space="preserve"> Ide o územia vyhlásené SR v procese vyhlasovania navrhovaných chránených vtáčích území za chránené vtáčie územia a o vyhlasovania území európskeho významu (schválených EK) podľa článku 4 ods. 4 smernice o biotopoch</w:t>
      </w:r>
      <w:r>
        <w:t xml:space="preserve"> </w:t>
      </w:r>
    </w:p>
  </w:footnote>
  <w:footnote w:id="5">
    <w:p w:rsidR="00E61207" w:rsidRDefault="00E61207" w:rsidP="00A83AC2">
      <w:pPr>
        <w:pStyle w:val="Textpoznmkypodiarou"/>
      </w:pPr>
      <w:r>
        <w:rPr>
          <w:rStyle w:val="Odkaznapoznmkupodiarou"/>
        </w:rPr>
        <w:footnoteRef/>
      </w:r>
      <w:r>
        <w:t xml:space="preserve"> </w:t>
      </w:r>
      <w:r>
        <w:rPr>
          <w:rFonts w:ascii="Arial Narrow" w:hAnsi="Arial Narrow"/>
          <w:sz w:val="18"/>
          <w:szCs w:val="18"/>
        </w:rPr>
        <w:t>S</w:t>
      </w:r>
      <w:r w:rsidRPr="0013181A">
        <w:rPr>
          <w:rFonts w:ascii="Arial Narrow" w:hAnsi="Arial Narrow"/>
          <w:sz w:val="18"/>
          <w:szCs w:val="18"/>
        </w:rPr>
        <w:t xml:space="preserve">polupracujúcimi orgánmi sú auditujúce orgány podľa </w:t>
      </w:r>
      <w:r w:rsidRPr="00E705A4">
        <w:rPr>
          <w:rFonts w:ascii="Arial Narrow" w:hAnsi="Arial Narrow"/>
          <w:sz w:val="18"/>
          <w:szCs w:val="18"/>
        </w:rPr>
        <w:t>§ 2 ods. 2 písm. g)</w:t>
      </w:r>
      <w:r>
        <w:rPr>
          <w:rFonts w:ascii="Arial Narrow" w:hAnsi="Arial Narrow"/>
          <w:sz w:val="18"/>
          <w:szCs w:val="18"/>
        </w:rPr>
        <w:t xml:space="preserve"> zákona č. 502/2001 o finančnej kontrole a vnútornom audite </w:t>
      </w:r>
      <w:r w:rsidRPr="0013181A">
        <w:rPr>
          <w:rFonts w:ascii="Arial Narrow" w:hAnsi="Arial Narrow"/>
          <w:sz w:val="18"/>
          <w:szCs w:val="18"/>
        </w:rPr>
        <w:t xml:space="preserve">okrem Ministerstva financií Slovenskej republiky, ktoré vykonávajú úlohy podľa </w:t>
      </w:r>
      <w:r w:rsidRPr="00E705A4">
        <w:rPr>
          <w:rFonts w:ascii="Arial Narrow" w:hAnsi="Arial Narrow"/>
          <w:sz w:val="18"/>
          <w:szCs w:val="18"/>
        </w:rPr>
        <w:t xml:space="preserve">čl. 62 nariadenia </w:t>
      </w:r>
      <w:r>
        <w:rPr>
          <w:rFonts w:ascii="Arial Narrow" w:hAnsi="Arial Narrow"/>
          <w:sz w:val="18"/>
          <w:szCs w:val="18"/>
        </w:rPr>
        <w:t xml:space="preserve">Rady </w:t>
      </w:r>
      <w:r w:rsidRPr="00E705A4">
        <w:rPr>
          <w:rFonts w:ascii="Arial Narrow" w:hAnsi="Arial Narrow"/>
          <w:sz w:val="18"/>
          <w:szCs w:val="18"/>
        </w:rPr>
        <w:t>(ES) č. 1083/2006</w:t>
      </w:r>
      <w:r>
        <w:rPr>
          <w:rFonts w:ascii="Arial Narrow" w:hAnsi="Arial Narrow"/>
          <w:sz w:val="18"/>
          <w:szCs w:val="18"/>
        </w:rPr>
        <w:t>.</w:t>
      </w:r>
    </w:p>
  </w:footnote>
  <w:footnote w:id="6">
    <w:p w:rsidR="00E61207" w:rsidRDefault="00E61207" w:rsidP="00F60865">
      <w:pPr>
        <w:pStyle w:val="Textpoznmkypodiarou"/>
        <w:jc w:val="both"/>
      </w:pPr>
      <w:r w:rsidRPr="00DF4697">
        <w:rPr>
          <w:rStyle w:val="Odkaznapoznmkupodiarou"/>
          <w:rFonts w:ascii="Arial" w:hAnsi="Arial" w:cs="Arial"/>
          <w:sz w:val="16"/>
          <w:szCs w:val="16"/>
        </w:rPr>
        <w:footnoteRef/>
      </w:r>
      <w:r>
        <w:rPr>
          <w:rFonts w:ascii="Arial" w:hAnsi="Arial" w:cs="Arial"/>
          <w:sz w:val="16"/>
          <w:szCs w:val="16"/>
        </w:rPr>
        <w:t xml:space="preserve"> </w:t>
      </w:r>
      <w:r w:rsidRPr="00DF4697">
        <w:rPr>
          <w:rStyle w:val="Siln"/>
          <w:rFonts w:ascii="Arial" w:hAnsi="Arial" w:cs="Arial"/>
          <w:b w:val="0"/>
          <w:bCs/>
          <w:sz w:val="16"/>
          <w:szCs w:val="16"/>
        </w:rPr>
        <w:t>Smernica Európskeho parlamentu a Rady 2004/42/ES z 21. apríla 2004 o obmedzení emisií prchavých organických zlúčenín unikajúcich pri používaní organických rozpúšťadiel v určitých farbách a lakoch a vo výrobkoch na povrchovú úpravu vozidiel a o zmene a doplnení smernice 1999/13/ES</w:t>
      </w:r>
    </w:p>
  </w:footnote>
  <w:footnote w:id="7">
    <w:p w:rsidR="00E61207" w:rsidRDefault="00E61207" w:rsidP="00F60865">
      <w:pPr>
        <w:jc w:val="both"/>
      </w:pPr>
      <w:r w:rsidRPr="00DF4697">
        <w:rPr>
          <w:rStyle w:val="Odkaznapoznmkupodiarou"/>
          <w:rFonts w:ascii="Arial" w:hAnsi="Arial" w:cs="Arial"/>
          <w:sz w:val="16"/>
          <w:szCs w:val="16"/>
        </w:rPr>
        <w:footnoteRef/>
      </w:r>
      <w:r w:rsidRPr="00DF4697">
        <w:rPr>
          <w:rFonts w:ascii="Arial" w:hAnsi="Arial" w:cs="Arial"/>
          <w:sz w:val="16"/>
          <w:szCs w:val="16"/>
        </w:rPr>
        <w:t xml:space="preserve"> </w:t>
      </w:r>
      <w:r w:rsidRPr="00DF4697">
        <w:rPr>
          <w:rStyle w:val="Siln"/>
          <w:rFonts w:ascii="Arial" w:hAnsi="Arial" w:cs="Arial"/>
          <w:b w:val="0"/>
          <w:bCs/>
          <w:sz w:val="16"/>
          <w:szCs w:val="16"/>
        </w:rPr>
        <w:t>Smernica Rady 1999/13/ES z 11. marca 1999 o obmedzení emisií prchavých organických zlúčenín unikajúcich pri používaní organických rozpúšťadiel pri určitých činnostiach a v určitých zariadeniach</w:t>
      </w:r>
    </w:p>
  </w:footnote>
  <w:footnote w:id="8">
    <w:p w:rsidR="00E61207" w:rsidRDefault="00E61207" w:rsidP="00F60865">
      <w:pPr>
        <w:pStyle w:val="Textpoznmkypodiarou"/>
        <w:jc w:val="both"/>
      </w:pPr>
      <w:r w:rsidRPr="00DF4697">
        <w:rPr>
          <w:rStyle w:val="Odkaznapoznmkupodiarou"/>
          <w:rFonts w:ascii="Arial" w:hAnsi="Arial" w:cs="Arial"/>
          <w:sz w:val="16"/>
          <w:szCs w:val="16"/>
        </w:rPr>
        <w:footnoteRef/>
      </w:r>
      <w:r w:rsidRPr="00DF4697">
        <w:rPr>
          <w:rFonts w:ascii="Arial" w:hAnsi="Arial" w:cs="Arial"/>
          <w:sz w:val="16"/>
          <w:szCs w:val="16"/>
        </w:rPr>
        <w:t xml:space="preserve"> Príloha č. 1 obsahuje tieto činnosti - polygrafia, odmasťovanie a čistenie povrchov, chemické čistenie, nanášanie náterov, následná povrchová úprava vozidiel, natieranie pásov a zvitkov, natieranie navíjaných drôtov, nanášanie lepidla, výroba obuvi, výroba náterových látok, lakov a tlačiarenských farieb a lepidiel, výroba farmaceutických výrobkov, výroba a spracovanie gumy, extrakcia rastlinných olejov a živočíšnych tukov a rafinácia rastlinných olejov, impregnácia dreva, laminovanie dreva a plastov.</w:t>
      </w:r>
    </w:p>
  </w:footnote>
  <w:footnote w:id="9">
    <w:p w:rsidR="00E61207" w:rsidRDefault="00E61207" w:rsidP="00A73401">
      <w:pPr>
        <w:suppressAutoHyphens/>
        <w:jc w:val="both"/>
      </w:pPr>
      <w:r w:rsidRPr="00DA3883">
        <w:rPr>
          <w:rStyle w:val="Odkaznapoznmkupodiarou"/>
          <w:rFonts w:ascii="Arial" w:hAnsi="Arial" w:cs="Arial"/>
          <w:sz w:val="20"/>
          <w:szCs w:val="20"/>
        </w:rPr>
        <w:t>*</w:t>
      </w:r>
      <w:r w:rsidRPr="00D36A8B">
        <w:rPr>
          <w:rFonts w:ascii="Arial" w:hAnsi="Arial" w:cs="Arial"/>
          <w:sz w:val="16"/>
          <w:szCs w:val="16"/>
        </w:rPr>
        <w:t>Pre projekt zameraný na monitoring a výskum lesných ekosystémov je žiadateľom</w:t>
      </w:r>
      <w:r w:rsidRPr="00D36A8B">
        <w:rPr>
          <w:rFonts w:ascii="Arial" w:hAnsi="Arial" w:cs="Arial"/>
          <w:bCs/>
          <w:iCs/>
          <w:sz w:val="16"/>
          <w:szCs w:val="16"/>
          <w:lang w:eastAsia="lo-LA" w:bidi="lo-LA"/>
        </w:rPr>
        <w:t xml:space="preserve"> Národné lesnícke </w:t>
      </w:r>
      <w:r w:rsidRPr="00D36A8B">
        <w:rPr>
          <w:rFonts w:ascii="Arial" w:hAnsi="Arial" w:cs="Arial"/>
          <w:bCs/>
          <w:iCs/>
          <w:spacing w:val="-6"/>
          <w:sz w:val="16"/>
          <w:szCs w:val="16"/>
          <w:lang w:eastAsia="lo-LA" w:bidi="lo-LA"/>
        </w:rPr>
        <w:t>centrum Zvolen, príspevková organizácia v zriaďovateľskej pôsobnosti Ministerstva pôdohospodárstva SR.</w:t>
      </w:r>
      <w:r w:rsidRPr="00D36A8B">
        <w:rPr>
          <w:rFonts w:ascii="Arial" w:hAnsi="Arial" w:cs="Arial"/>
          <w:bCs/>
          <w:iCs/>
          <w:sz w:val="16"/>
          <w:szCs w:val="16"/>
          <w:lang w:eastAsia="lo-LA" w:bidi="lo-LA"/>
        </w:rPr>
        <w:t xml:space="preserve"> </w:t>
      </w:r>
    </w:p>
  </w:footnote>
  <w:footnote w:id="10">
    <w:p w:rsidR="00E61207" w:rsidRPr="00A86894" w:rsidRDefault="00E61207" w:rsidP="00B2251C">
      <w:pPr>
        <w:pStyle w:val="Textpoznmkypodiarou"/>
        <w:ind w:left="168" w:hanging="168"/>
        <w:jc w:val="both"/>
        <w:rPr>
          <w:rFonts w:cs="Arial"/>
          <w:sz w:val="16"/>
          <w:szCs w:val="16"/>
        </w:rPr>
      </w:pPr>
      <w:r w:rsidRPr="00A86894">
        <w:rPr>
          <w:rStyle w:val="Odkaznapoznmkupodiarou"/>
          <w:rFonts w:cs="Arial"/>
          <w:sz w:val="16"/>
          <w:szCs w:val="16"/>
        </w:rPr>
        <w:footnoteRef/>
      </w:r>
      <w:r w:rsidRPr="00A86894">
        <w:rPr>
          <w:rFonts w:cs="Arial"/>
          <w:sz w:val="16"/>
          <w:szCs w:val="16"/>
        </w:rPr>
        <w:t xml:space="preserve"> </w:t>
      </w:r>
      <w:r w:rsidRPr="00A86894">
        <w:rPr>
          <w:rFonts w:cs="Arial"/>
          <w:bCs/>
          <w:sz w:val="16"/>
          <w:szCs w:val="16"/>
        </w:rPr>
        <w:t>za lomkou uveďte počet prestupov v rámci štátnej správy v oblasti fondov EÚ.</w:t>
      </w:r>
    </w:p>
  </w:footnote>
  <w:footnote w:id="11">
    <w:p w:rsidR="00E61207" w:rsidRDefault="00E61207">
      <w:pPr>
        <w:pStyle w:val="Textpoznmkypodiarou"/>
      </w:pPr>
      <w:r>
        <w:rPr>
          <w:rStyle w:val="Odkaznapoznmkupodiarou"/>
        </w:rPr>
        <w:footnoteRef/>
      </w:r>
      <w:r>
        <w:t xml:space="preserve"> V rámci Operačného cieľa 4.3 OPŽP bola výzva na predkladanie žiadostí o NFP vyhlásená koncom apríla 2013.</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61207" w:rsidRPr="00587FAE" w:rsidRDefault="00E61207" w:rsidP="00D131D7">
    <w:pPr>
      <w:pStyle w:val="Hlavika"/>
      <w:jc w:val="center"/>
      <w:rPr>
        <w:rFonts w:ascii="Arial" w:hAnsi="Arial"/>
        <w:b/>
        <w:smallCaps/>
        <w:color w:val="808080"/>
        <w14:shadow w14:blurRad="50800" w14:dist="38100" w14:dir="2700000" w14:sx="100000" w14:sy="100000" w14:kx="0" w14:ky="0" w14:algn="tl">
          <w14:srgbClr w14:val="000000">
            <w14:alpha w14:val="60000"/>
          </w14:srgbClr>
        </w14:shadow>
      </w:rPr>
    </w:pPr>
    <w:r w:rsidRPr="00587FAE">
      <w:rPr>
        <w:rFonts w:ascii="Arial" w:hAnsi="Arial"/>
        <w:b/>
        <w:smallCaps/>
        <w:color w:val="808080"/>
        <w14:shadow w14:blurRad="50800" w14:dist="38100" w14:dir="2700000" w14:sx="100000" w14:sy="100000" w14:kx="0" w14:ky="0" w14:algn="tl">
          <w14:srgbClr w14:val="000000">
            <w14:alpha w14:val="60000"/>
          </w14:srgbClr>
        </w14:shadow>
      </w:rPr>
      <w:t>MINISTERSTVO ŽIVOTNÉHO PROSTREDIA SLOVENSKEJ REPUBLIKY</w:t>
    </w:r>
  </w:p>
  <w:p w:rsidR="00E61207" w:rsidRPr="00587FAE" w:rsidRDefault="00E61207" w:rsidP="00FF403E">
    <w:pPr>
      <w:pStyle w:val="Hlavika"/>
      <w:jc w:val="center"/>
      <w:rPr>
        <w:rFonts w:ascii="Arial" w:hAnsi="Arial"/>
        <w:b/>
        <w:color w:val="808080"/>
        <w:sz w:val="22"/>
        <w:szCs w:val="22"/>
        <w14:shadow w14:blurRad="50800" w14:dist="38100" w14:dir="2700000" w14:sx="100000" w14:sy="100000" w14:kx="0" w14:ky="0" w14:algn="tl">
          <w14:srgbClr w14:val="000000">
            <w14:alpha w14:val="60000"/>
          </w14:srgbClr>
        </w14:shadow>
      </w:rPr>
    </w:pPr>
    <w:r w:rsidRPr="00587FAE">
      <w:rPr>
        <w:rFonts w:ascii="Arial" w:hAnsi="Arial"/>
        <w:b/>
        <w:color w:val="808080"/>
        <w:sz w:val="22"/>
        <w:szCs w:val="22"/>
        <w14:shadow w14:blurRad="50800" w14:dist="38100" w14:dir="2700000" w14:sx="100000" w14:sy="100000" w14:kx="0" w14:ky="0" w14:algn="tl">
          <w14:srgbClr w14:val="000000">
            <w14:alpha w14:val="60000"/>
          </w14:srgbClr>
        </w14:shadow>
      </w:rPr>
      <w:t xml:space="preserve">riadiaci orgán </w:t>
    </w:r>
  </w:p>
  <w:p w:rsidR="00E61207" w:rsidRPr="00587FAE" w:rsidRDefault="00E61207" w:rsidP="00FF403E">
    <w:pPr>
      <w:pStyle w:val="Hlavika"/>
      <w:jc w:val="center"/>
      <w:rPr>
        <w:rFonts w:ascii="Arial" w:hAnsi="Arial"/>
        <w:b/>
        <w:color w:val="808080"/>
        <w:sz w:val="22"/>
        <w:szCs w:val="22"/>
        <w14:shadow w14:blurRad="50800" w14:dist="38100" w14:dir="2700000" w14:sx="100000" w14:sy="100000" w14:kx="0" w14:ky="0" w14:algn="tl">
          <w14:srgbClr w14:val="000000">
            <w14:alpha w14:val="60000"/>
          </w14:srgbClr>
        </w14:shadow>
      </w:rPr>
    </w:pPr>
    <w:r w:rsidRPr="00587FAE">
      <w:rPr>
        <w:rFonts w:ascii="Arial" w:hAnsi="Arial"/>
        <w:b/>
        <w:color w:val="808080"/>
        <w:sz w:val="22"/>
        <w:szCs w:val="22"/>
        <w14:shadow w14:blurRad="50800" w14:dist="38100" w14:dir="2700000" w14:sx="100000" w14:sy="100000" w14:kx="0" w14:ky="0" w14:algn="tl">
          <w14:srgbClr w14:val="000000">
            <w14:alpha w14:val="60000"/>
          </w14:srgbClr>
        </w14:shadow>
      </w:rPr>
      <w:t>pre Operačný program Životné prostredie</w:t>
    </w:r>
  </w:p>
  <w:p w:rsidR="00E61207" w:rsidRDefault="00E61207">
    <w:pPr>
      <w:pStyle w:val="Hlavika"/>
    </w:pPr>
  </w:p>
  <w:p w:rsidR="00E61207" w:rsidRDefault="00E61207">
    <w:pPr>
      <w:pStyle w:val="Hlavika"/>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3"/>
    <w:multiLevelType w:val="singleLevel"/>
    <w:tmpl w:val="F65CDA74"/>
    <w:lvl w:ilvl="0">
      <w:start w:val="1"/>
      <w:numFmt w:val="bullet"/>
      <w:pStyle w:val="Zoznamsodrkami2"/>
      <w:lvlText w:val=""/>
      <w:lvlJc w:val="left"/>
      <w:pPr>
        <w:tabs>
          <w:tab w:val="num" w:pos="643"/>
        </w:tabs>
        <w:ind w:left="643" w:hanging="360"/>
      </w:pPr>
      <w:rPr>
        <w:rFonts w:ascii="Symbol" w:hAnsi="Symbol" w:hint="default"/>
      </w:rPr>
    </w:lvl>
  </w:abstractNum>
  <w:abstractNum w:abstractNumId="1">
    <w:nsid w:val="FFFFFF89"/>
    <w:multiLevelType w:val="singleLevel"/>
    <w:tmpl w:val="81F04190"/>
    <w:lvl w:ilvl="0">
      <w:start w:val="1"/>
      <w:numFmt w:val="bullet"/>
      <w:pStyle w:val="Zoznamsodrkami"/>
      <w:lvlText w:val=""/>
      <w:lvlJc w:val="left"/>
      <w:pPr>
        <w:tabs>
          <w:tab w:val="num" w:pos="360"/>
        </w:tabs>
        <w:ind w:left="360" w:hanging="360"/>
      </w:pPr>
      <w:rPr>
        <w:rFonts w:ascii="Symbol" w:hAnsi="Symbol" w:hint="default"/>
      </w:rPr>
    </w:lvl>
  </w:abstractNum>
  <w:abstractNum w:abstractNumId="2">
    <w:nsid w:val="00000005"/>
    <w:multiLevelType w:val="singleLevel"/>
    <w:tmpl w:val="00000005"/>
    <w:name w:val="WW8Num8"/>
    <w:lvl w:ilvl="0">
      <w:start w:val="1"/>
      <w:numFmt w:val="lowerLetter"/>
      <w:lvlText w:val="%1)"/>
      <w:lvlJc w:val="left"/>
      <w:pPr>
        <w:tabs>
          <w:tab w:val="num" w:pos="720"/>
        </w:tabs>
        <w:ind w:left="720" w:hanging="360"/>
      </w:pPr>
      <w:rPr>
        <w:rFonts w:cs="Times New Roman"/>
      </w:rPr>
    </w:lvl>
  </w:abstractNum>
  <w:abstractNum w:abstractNumId="3">
    <w:nsid w:val="054A0C64"/>
    <w:multiLevelType w:val="hybridMultilevel"/>
    <w:tmpl w:val="861C4E84"/>
    <w:lvl w:ilvl="0" w:tplc="0405000B">
      <w:start w:val="1"/>
      <w:numFmt w:val="bullet"/>
      <w:lvlText w:val=""/>
      <w:lvlJc w:val="left"/>
      <w:pPr>
        <w:tabs>
          <w:tab w:val="num" w:pos="720"/>
        </w:tabs>
        <w:ind w:left="720" w:hanging="360"/>
      </w:pPr>
      <w:rPr>
        <w:rFonts w:ascii="Wingdings" w:hAnsi="Wingdings" w:hint="default"/>
      </w:rPr>
    </w:lvl>
    <w:lvl w:ilvl="1" w:tplc="04050003" w:tentative="1">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4">
    <w:nsid w:val="058D14E7"/>
    <w:multiLevelType w:val="hybridMultilevel"/>
    <w:tmpl w:val="23DE3F3C"/>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
    <w:nsid w:val="08B002EF"/>
    <w:multiLevelType w:val="hybridMultilevel"/>
    <w:tmpl w:val="82649470"/>
    <w:lvl w:ilvl="0" w:tplc="F74E2F0E">
      <w:numFmt w:val="bullet"/>
      <w:lvlText w:val="-"/>
      <w:lvlJc w:val="left"/>
      <w:pPr>
        <w:tabs>
          <w:tab w:val="num" w:pos="720"/>
        </w:tabs>
        <w:ind w:left="720" w:hanging="360"/>
      </w:pPr>
      <w:rPr>
        <w:rFonts w:ascii="Arial Narrow" w:eastAsia="Times New Roman" w:hAnsi="Arial Narrow" w:hint="default"/>
      </w:rPr>
    </w:lvl>
    <w:lvl w:ilvl="1" w:tplc="041B0003" w:tentative="1">
      <w:start w:val="1"/>
      <w:numFmt w:val="bullet"/>
      <w:lvlText w:val="o"/>
      <w:lvlJc w:val="left"/>
      <w:pPr>
        <w:tabs>
          <w:tab w:val="num" w:pos="1440"/>
        </w:tabs>
        <w:ind w:left="1440" w:hanging="360"/>
      </w:pPr>
      <w:rPr>
        <w:rFonts w:ascii="Courier New" w:hAnsi="Courier New" w:hint="default"/>
      </w:rPr>
    </w:lvl>
    <w:lvl w:ilvl="2" w:tplc="041B0005" w:tentative="1">
      <w:start w:val="1"/>
      <w:numFmt w:val="bullet"/>
      <w:lvlText w:val=""/>
      <w:lvlJc w:val="left"/>
      <w:pPr>
        <w:tabs>
          <w:tab w:val="num" w:pos="2160"/>
        </w:tabs>
        <w:ind w:left="2160" w:hanging="360"/>
      </w:pPr>
      <w:rPr>
        <w:rFonts w:ascii="Wingdings" w:hAnsi="Wingdings" w:hint="default"/>
      </w:rPr>
    </w:lvl>
    <w:lvl w:ilvl="3" w:tplc="041B0001" w:tentative="1">
      <w:start w:val="1"/>
      <w:numFmt w:val="bullet"/>
      <w:lvlText w:val=""/>
      <w:lvlJc w:val="left"/>
      <w:pPr>
        <w:tabs>
          <w:tab w:val="num" w:pos="2880"/>
        </w:tabs>
        <w:ind w:left="2880" w:hanging="360"/>
      </w:pPr>
      <w:rPr>
        <w:rFonts w:ascii="Symbol" w:hAnsi="Symbol" w:hint="default"/>
      </w:rPr>
    </w:lvl>
    <w:lvl w:ilvl="4" w:tplc="041B0003" w:tentative="1">
      <w:start w:val="1"/>
      <w:numFmt w:val="bullet"/>
      <w:lvlText w:val="o"/>
      <w:lvlJc w:val="left"/>
      <w:pPr>
        <w:tabs>
          <w:tab w:val="num" w:pos="3600"/>
        </w:tabs>
        <w:ind w:left="3600" w:hanging="360"/>
      </w:pPr>
      <w:rPr>
        <w:rFonts w:ascii="Courier New" w:hAnsi="Courier New" w:hint="default"/>
      </w:rPr>
    </w:lvl>
    <w:lvl w:ilvl="5" w:tplc="041B0005" w:tentative="1">
      <w:start w:val="1"/>
      <w:numFmt w:val="bullet"/>
      <w:lvlText w:val=""/>
      <w:lvlJc w:val="left"/>
      <w:pPr>
        <w:tabs>
          <w:tab w:val="num" w:pos="4320"/>
        </w:tabs>
        <w:ind w:left="4320" w:hanging="360"/>
      </w:pPr>
      <w:rPr>
        <w:rFonts w:ascii="Wingdings" w:hAnsi="Wingdings" w:hint="default"/>
      </w:rPr>
    </w:lvl>
    <w:lvl w:ilvl="6" w:tplc="041B0001" w:tentative="1">
      <w:start w:val="1"/>
      <w:numFmt w:val="bullet"/>
      <w:lvlText w:val=""/>
      <w:lvlJc w:val="left"/>
      <w:pPr>
        <w:tabs>
          <w:tab w:val="num" w:pos="5040"/>
        </w:tabs>
        <w:ind w:left="5040" w:hanging="360"/>
      </w:pPr>
      <w:rPr>
        <w:rFonts w:ascii="Symbol" w:hAnsi="Symbol" w:hint="default"/>
      </w:rPr>
    </w:lvl>
    <w:lvl w:ilvl="7" w:tplc="041B0003" w:tentative="1">
      <w:start w:val="1"/>
      <w:numFmt w:val="bullet"/>
      <w:lvlText w:val="o"/>
      <w:lvlJc w:val="left"/>
      <w:pPr>
        <w:tabs>
          <w:tab w:val="num" w:pos="5760"/>
        </w:tabs>
        <w:ind w:left="5760" w:hanging="360"/>
      </w:pPr>
      <w:rPr>
        <w:rFonts w:ascii="Courier New" w:hAnsi="Courier New" w:hint="default"/>
      </w:rPr>
    </w:lvl>
    <w:lvl w:ilvl="8" w:tplc="041B0005" w:tentative="1">
      <w:start w:val="1"/>
      <w:numFmt w:val="bullet"/>
      <w:lvlText w:val=""/>
      <w:lvlJc w:val="left"/>
      <w:pPr>
        <w:tabs>
          <w:tab w:val="num" w:pos="6480"/>
        </w:tabs>
        <w:ind w:left="6480" w:hanging="360"/>
      </w:pPr>
      <w:rPr>
        <w:rFonts w:ascii="Wingdings" w:hAnsi="Wingdings" w:hint="default"/>
      </w:rPr>
    </w:lvl>
  </w:abstractNum>
  <w:abstractNum w:abstractNumId="6">
    <w:nsid w:val="09386D16"/>
    <w:multiLevelType w:val="hybridMultilevel"/>
    <w:tmpl w:val="337C92F2"/>
    <w:lvl w:ilvl="0" w:tplc="041B0017">
      <w:start w:val="1"/>
      <w:numFmt w:val="lowerLetter"/>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7">
    <w:nsid w:val="09496F68"/>
    <w:multiLevelType w:val="hybridMultilevel"/>
    <w:tmpl w:val="761CA5E0"/>
    <w:lvl w:ilvl="0" w:tplc="041B0001">
      <w:start w:val="1"/>
      <w:numFmt w:val="bullet"/>
      <w:lvlText w:val=""/>
      <w:lvlJc w:val="left"/>
      <w:pPr>
        <w:ind w:left="1440" w:hanging="360"/>
      </w:pPr>
      <w:rPr>
        <w:rFonts w:ascii="Symbol" w:hAnsi="Symbol" w:hint="default"/>
      </w:rPr>
    </w:lvl>
    <w:lvl w:ilvl="1" w:tplc="041B0003">
      <w:start w:val="1"/>
      <w:numFmt w:val="bullet"/>
      <w:lvlText w:val="o"/>
      <w:lvlJc w:val="left"/>
      <w:pPr>
        <w:ind w:left="2160" w:hanging="360"/>
      </w:pPr>
      <w:rPr>
        <w:rFonts w:ascii="Courier New" w:hAnsi="Courier New" w:cs="Courier New" w:hint="default"/>
      </w:rPr>
    </w:lvl>
    <w:lvl w:ilvl="2" w:tplc="041B0005">
      <w:start w:val="1"/>
      <w:numFmt w:val="bullet"/>
      <w:lvlText w:val=""/>
      <w:lvlJc w:val="left"/>
      <w:pPr>
        <w:ind w:left="2880" w:hanging="360"/>
      </w:pPr>
      <w:rPr>
        <w:rFonts w:ascii="Wingdings" w:hAnsi="Wingdings" w:hint="default"/>
      </w:rPr>
    </w:lvl>
    <w:lvl w:ilvl="3" w:tplc="041B0001">
      <w:start w:val="1"/>
      <w:numFmt w:val="bullet"/>
      <w:lvlText w:val=""/>
      <w:lvlJc w:val="left"/>
      <w:pPr>
        <w:ind w:left="3600" w:hanging="360"/>
      </w:pPr>
      <w:rPr>
        <w:rFonts w:ascii="Symbol" w:hAnsi="Symbol" w:hint="default"/>
      </w:rPr>
    </w:lvl>
    <w:lvl w:ilvl="4" w:tplc="041B0003">
      <w:start w:val="1"/>
      <w:numFmt w:val="bullet"/>
      <w:lvlText w:val="o"/>
      <w:lvlJc w:val="left"/>
      <w:pPr>
        <w:ind w:left="4320" w:hanging="360"/>
      </w:pPr>
      <w:rPr>
        <w:rFonts w:ascii="Courier New" w:hAnsi="Courier New" w:cs="Courier New" w:hint="default"/>
      </w:rPr>
    </w:lvl>
    <w:lvl w:ilvl="5" w:tplc="041B0005">
      <w:start w:val="1"/>
      <w:numFmt w:val="bullet"/>
      <w:lvlText w:val=""/>
      <w:lvlJc w:val="left"/>
      <w:pPr>
        <w:ind w:left="5040" w:hanging="360"/>
      </w:pPr>
      <w:rPr>
        <w:rFonts w:ascii="Wingdings" w:hAnsi="Wingdings" w:hint="default"/>
      </w:rPr>
    </w:lvl>
    <w:lvl w:ilvl="6" w:tplc="041B0001">
      <w:start w:val="1"/>
      <w:numFmt w:val="bullet"/>
      <w:lvlText w:val=""/>
      <w:lvlJc w:val="left"/>
      <w:pPr>
        <w:ind w:left="5760" w:hanging="360"/>
      </w:pPr>
      <w:rPr>
        <w:rFonts w:ascii="Symbol" w:hAnsi="Symbol" w:hint="default"/>
      </w:rPr>
    </w:lvl>
    <w:lvl w:ilvl="7" w:tplc="041B0003">
      <w:start w:val="1"/>
      <w:numFmt w:val="bullet"/>
      <w:lvlText w:val="o"/>
      <w:lvlJc w:val="left"/>
      <w:pPr>
        <w:ind w:left="6480" w:hanging="360"/>
      </w:pPr>
      <w:rPr>
        <w:rFonts w:ascii="Courier New" w:hAnsi="Courier New" w:cs="Courier New" w:hint="default"/>
      </w:rPr>
    </w:lvl>
    <w:lvl w:ilvl="8" w:tplc="041B0005">
      <w:start w:val="1"/>
      <w:numFmt w:val="bullet"/>
      <w:lvlText w:val=""/>
      <w:lvlJc w:val="left"/>
      <w:pPr>
        <w:ind w:left="7200" w:hanging="360"/>
      </w:pPr>
      <w:rPr>
        <w:rFonts w:ascii="Wingdings" w:hAnsi="Wingdings" w:hint="default"/>
      </w:rPr>
    </w:lvl>
  </w:abstractNum>
  <w:abstractNum w:abstractNumId="8">
    <w:nsid w:val="09BA42D9"/>
    <w:multiLevelType w:val="hybridMultilevel"/>
    <w:tmpl w:val="EF00660C"/>
    <w:lvl w:ilvl="0" w:tplc="041B000F">
      <w:start w:val="1"/>
      <w:numFmt w:val="decimal"/>
      <w:lvlText w:val="%1."/>
      <w:lvlJc w:val="left"/>
      <w:pPr>
        <w:tabs>
          <w:tab w:val="num" w:pos="720"/>
        </w:tabs>
        <w:ind w:left="720" w:hanging="360"/>
      </w:pPr>
      <w:rPr>
        <w:rFonts w:cs="Times New Roman" w:hint="default"/>
      </w:rPr>
    </w:lvl>
    <w:lvl w:ilvl="1" w:tplc="041B0019" w:tentative="1">
      <w:start w:val="1"/>
      <w:numFmt w:val="lowerLetter"/>
      <w:lvlText w:val="%2."/>
      <w:lvlJc w:val="left"/>
      <w:pPr>
        <w:tabs>
          <w:tab w:val="num" w:pos="1440"/>
        </w:tabs>
        <w:ind w:left="1440" w:hanging="360"/>
      </w:pPr>
      <w:rPr>
        <w:rFonts w:cs="Times New Roman"/>
      </w:rPr>
    </w:lvl>
    <w:lvl w:ilvl="2" w:tplc="041B001B" w:tentative="1">
      <w:start w:val="1"/>
      <w:numFmt w:val="lowerRoman"/>
      <w:lvlText w:val="%3."/>
      <w:lvlJc w:val="right"/>
      <w:pPr>
        <w:tabs>
          <w:tab w:val="num" w:pos="2160"/>
        </w:tabs>
        <w:ind w:left="2160" w:hanging="180"/>
      </w:pPr>
      <w:rPr>
        <w:rFonts w:cs="Times New Roman"/>
      </w:rPr>
    </w:lvl>
    <w:lvl w:ilvl="3" w:tplc="041B000F" w:tentative="1">
      <w:start w:val="1"/>
      <w:numFmt w:val="decimal"/>
      <w:lvlText w:val="%4."/>
      <w:lvlJc w:val="left"/>
      <w:pPr>
        <w:tabs>
          <w:tab w:val="num" w:pos="2880"/>
        </w:tabs>
        <w:ind w:left="2880" w:hanging="360"/>
      </w:pPr>
      <w:rPr>
        <w:rFonts w:cs="Times New Roman"/>
      </w:rPr>
    </w:lvl>
    <w:lvl w:ilvl="4" w:tplc="041B0019" w:tentative="1">
      <w:start w:val="1"/>
      <w:numFmt w:val="lowerLetter"/>
      <w:lvlText w:val="%5."/>
      <w:lvlJc w:val="left"/>
      <w:pPr>
        <w:tabs>
          <w:tab w:val="num" w:pos="3600"/>
        </w:tabs>
        <w:ind w:left="3600" w:hanging="360"/>
      </w:pPr>
      <w:rPr>
        <w:rFonts w:cs="Times New Roman"/>
      </w:rPr>
    </w:lvl>
    <w:lvl w:ilvl="5" w:tplc="041B001B" w:tentative="1">
      <w:start w:val="1"/>
      <w:numFmt w:val="lowerRoman"/>
      <w:lvlText w:val="%6."/>
      <w:lvlJc w:val="right"/>
      <w:pPr>
        <w:tabs>
          <w:tab w:val="num" w:pos="4320"/>
        </w:tabs>
        <w:ind w:left="4320" w:hanging="180"/>
      </w:pPr>
      <w:rPr>
        <w:rFonts w:cs="Times New Roman"/>
      </w:rPr>
    </w:lvl>
    <w:lvl w:ilvl="6" w:tplc="041B000F" w:tentative="1">
      <w:start w:val="1"/>
      <w:numFmt w:val="decimal"/>
      <w:lvlText w:val="%7."/>
      <w:lvlJc w:val="left"/>
      <w:pPr>
        <w:tabs>
          <w:tab w:val="num" w:pos="5040"/>
        </w:tabs>
        <w:ind w:left="5040" w:hanging="360"/>
      </w:pPr>
      <w:rPr>
        <w:rFonts w:cs="Times New Roman"/>
      </w:rPr>
    </w:lvl>
    <w:lvl w:ilvl="7" w:tplc="041B0019" w:tentative="1">
      <w:start w:val="1"/>
      <w:numFmt w:val="lowerLetter"/>
      <w:lvlText w:val="%8."/>
      <w:lvlJc w:val="left"/>
      <w:pPr>
        <w:tabs>
          <w:tab w:val="num" w:pos="5760"/>
        </w:tabs>
        <w:ind w:left="5760" w:hanging="360"/>
      </w:pPr>
      <w:rPr>
        <w:rFonts w:cs="Times New Roman"/>
      </w:rPr>
    </w:lvl>
    <w:lvl w:ilvl="8" w:tplc="041B001B" w:tentative="1">
      <w:start w:val="1"/>
      <w:numFmt w:val="lowerRoman"/>
      <w:lvlText w:val="%9."/>
      <w:lvlJc w:val="right"/>
      <w:pPr>
        <w:tabs>
          <w:tab w:val="num" w:pos="6480"/>
        </w:tabs>
        <w:ind w:left="6480" w:hanging="180"/>
      </w:pPr>
      <w:rPr>
        <w:rFonts w:cs="Times New Roman"/>
      </w:rPr>
    </w:lvl>
  </w:abstractNum>
  <w:abstractNum w:abstractNumId="9">
    <w:nsid w:val="0BFE315A"/>
    <w:multiLevelType w:val="hybridMultilevel"/>
    <w:tmpl w:val="0A722DA8"/>
    <w:lvl w:ilvl="0" w:tplc="5646332E">
      <w:start w:val="1"/>
      <w:numFmt w:val="lowerLetter"/>
      <w:lvlText w:val="%1)"/>
      <w:lvlJc w:val="left"/>
      <w:pPr>
        <w:tabs>
          <w:tab w:val="num" w:pos="720"/>
        </w:tabs>
        <w:ind w:left="720" w:hanging="360"/>
      </w:pPr>
      <w:rPr>
        <w:rFonts w:cs="Times New Roman" w:hint="default"/>
      </w:rPr>
    </w:lvl>
    <w:lvl w:ilvl="1" w:tplc="041B0019" w:tentative="1">
      <w:start w:val="1"/>
      <w:numFmt w:val="lowerLetter"/>
      <w:lvlText w:val="%2."/>
      <w:lvlJc w:val="left"/>
      <w:pPr>
        <w:tabs>
          <w:tab w:val="num" w:pos="1440"/>
        </w:tabs>
        <w:ind w:left="1440" w:hanging="360"/>
      </w:pPr>
      <w:rPr>
        <w:rFonts w:cs="Times New Roman"/>
      </w:rPr>
    </w:lvl>
    <w:lvl w:ilvl="2" w:tplc="041B001B" w:tentative="1">
      <w:start w:val="1"/>
      <w:numFmt w:val="lowerRoman"/>
      <w:lvlText w:val="%3."/>
      <w:lvlJc w:val="right"/>
      <w:pPr>
        <w:tabs>
          <w:tab w:val="num" w:pos="2160"/>
        </w:tabs>
        <w:ind w:left="2160" w:hanging="180"/>
      </w:pPr>
      <w:rPr>
        <w:rFonts w:cs="Times New Roman"/>
      </w:rPr>
    </w:lvl>
    <w:lvl w:ilvl="3" w:tplc="041B000F" w:tentative="1">
      <w:start w:val="1"/>
      <w:numFmt w:val="decimal"/>
      <w:lvlText w:val="%4."/>
      <w:lvlJc w:val="left"/>
      <w:pPr>
        <w:tabs>
          <w:tab w:val="num" w:pos="2880"/>
        </w:tabs>
        <w:ind w:left="2880" w:hanging="360"/>
      </w:pPr>
      <w:rPr>
        <w:rFonts w:cs="Times New Roman"/>
      </w:rPr>
    </w:lvl>
    <w:lvl w:ilvl="4" w:tplc="041B0019" w:tentative="1">
      <w:start w:val="1"/>
      <w:numFmt w:val="lowerLetter"/>
      <w:lvlText w:val="%5."/>
      <w:lvlJc w:val="left"/>
      <w:pPr>
        <w:tabs>
          <w:tab w:val="num" w:pos="3600"/>
        </w:tabs>
        <w:ind w:left="3600" w:hanging="360"/>
      </w:pPr>
      <w:rPr>
        <w:rFonts w:cs="Times New Roman"/>
      </w:rPr>
    </w:lvl>
    <w:lvl w:ilvl="5" w:tplc="041B001B" w:tentative="1">
      <w:start w:val="1"/>
      <w:numFmt w:val="lowerRoman"/>
      <w:lvlText w:val="%6."/>
      <w:lvlJc w:val="right"/>
      <w:pPr>
        <w:tabs>
          <w:tab w:val="num" w:pos="4320"/>
        </w:tabs>
        <w:ind w:left="4320" w:hanging="180"/>
      </w:pPr>
      <w:rPr>
        <w:rFonts w:cs="Times New Roman"/>
      </w:rPr>
    </w:lvl>
    <w:lvl w:ilvl="6" w:tplc="041B000F" w:tentative="1">
      <w:start w:val="1"/>
      <w:numFmt w:val="decimal"/>
      <w:lvlText w:val="%7."/>
      <w:lvlJc w:val="left"/>
      <w:pPr>
        <w:tabs>
          <w:tab w:val="num" w:pos="5040"/>
        </w:tabs>
        <w:ind w:left="5040" w:hanging="360"/>
      </w:pPr>
      <w:rPr>
        <w:rFonts w:cs="Times New Roman"/>
      </w:rPr>
    </w:lvl>
    <w:lvl w:ilvl="7" w:tplc="041B0019" w:tentative="1">
      <w:start w:val="1"/>
      <w:numFmt w:val="lowerLetter"/>
      <w:lvlText w:val="%8."/>
      <w:lvlJc w:val="left"/>
      <w:pPr>
        <w:tabs>
          <w:tab w:val="num" w:pos="5760"/>
        </w:tabs>
        <w:ind w:left="5760" w:hanging="360"/>
      </w:pPr>
      <w:rPr>
        <w:rFonts w:cs="Times New Roman"/>
      </w:rPr>
    </w:lvl>
    <w:lvl w:ilvl="8" w:tplc="041B001B" w:tentative="1">
      <w:start w:val="1"/>
      <w:numFmt w:val="lowerRoman"/>
      <w:lvlText w:val="%9."/>
      <w:lvlJc w:val="right"/>
      <w:pPr>
        <w:tabs>
          <w:tab w:val="num" w:pos="6480"/>
        </w:tabs>
        <w:ind w:left="6480" w:hanging="180"/>
      </w:pPr>
      <w:rPr>
        <w:rFonts w:cs="Times New Roman"/>
      </w:rPr>
    </w:lvl>
  </w:abstractNum>
  <w:abstractNum w:abstractNumId="10">
    <w:nsid w:val="0C41533F"/>
    <w:multiLevelType w:val="hybridMultilevel"/>
    <w:tmpl w:val="B568DF6E"/>
    <w:lvl w:ilvl="0" w:tplc="280CA3EA">
      <w:start w:val="2"/>
      <w:numFmt w:val="bullet"/>
      <w:lvlText w:val="-"/>
      <w:lvlJc w:val="left"/>
      <w:pPr>
        <w:tabs>
          <w:tab w:val="num" w:pos="1602"/>
        </w:tabs>
        <w:ind w:left="1602" w:hanging="1035"/>
      </w:pPr>
      <w:rPr>
        <w:rFonts w:ascii="Times New Roman" w:eastAsia="Times New Roman" w:hAnsi="Times New Roman" w:hint="default"/>
        <w:b w:val="0"/>
        <w:i w:val="0"/>
      </w:rPr>
    </w:lvl>
    <w:lvl w:ilvl="1" w:tplc="041B0003" w:tentative="1">
      <w:start w:val="1"/>
      <w:numFmt w:val="bullet"/>
      <w:lvlText w:val="o"/>
      <w:lvlJc w:val="left"/>
      <w:pPr>
        <w:tabs>
          <w:tab w:val="num" w:pos="1647"/>
        </w:tabs>
        <w:ind w:left="1647" w:hanging="360"/>
      </w:pPr>
      <w:rPr>
        <w:rFonts w:ascii="Courier New" w:hAnsi="Courier New" w:hint="default"/>
      </w:rPr>
    </w:lvl>
    <w:lvl w:ilvl="2" w:tplc="041B0005" w:tentative="1">
      <w:start w:val="1"/>
      <w:numFmt w:val="bullet"/>
      <w:lvlText w:val=""/>
      <w:lvlJc w:val="left"/>
      <w:pPr>
        <w:tabs>
          <w:tab w:val="num" w:pos="2367"/>
        </w:tabs>
        <w:ind w:left="2367" w:hanging="360"/>
      </w:pPr>
      <w:rPr>
        <w:rFonts w:ascii="Wingdings" w:hAnsi="Wingdings" w:hint="default"/>
      </w:rPr>
    </w:lvl>
    <w:lvl w:ilvl="3" w:tplc="041B0001" w:tentative="1">
      <w:start w:val="1"/>
      <w:numFmt w:val="bullet"/>
      <w:lvlText w:val=""/>
      <w:lvlJc w:val="left"/>
      <w:pPr>
        <w:tabs>
          <w:tab w:val="num" w:pos="3087"/>
        </w:tabs>
        <w:ind w:left="3087" w:hanging="360"/>
      </w:pPr>
      <w:rPr>
        <w:rFonts w:ascii="Symbol" w:hAnsi="Symbol" w:hint="default"/>
      </w:rPr>
    </w:lvl>
    <w:lvl w:ilvl="4" w:tplc="041B0003" w:tentative="1">
      <w:start w:val="1"/>
      <w:numFmt w:val="bullet"/>
      <w:lvlText w:val="o"/>
      <w:lvlJc w:val="left"/>
      <w:pPr>
        <w:tabs>
          <w:tab w:val="num" w:pos="3807"/>
        </w:tabs>
        <w:ind w:left="3807" w:hanging="360"/>
      </w:pPr>
      <w:rPr>
        <w:rFonts w:ascii="Courier New" w:hAnsi="Courier New" w:hint="default"/>
      </w:rPr>
    </w:lvl>
    <w:lvl w:ilvl="5" w:tplc="041B0005" w:tentative="1">
      <w:start w:val="1"/>
      <w:numFmt w:val="bullet"/>
      <w:lvlText w:val=""/>
      <w:lvlJc w:val="left"/>
      <w:pPr>
        <w:tabs>
          <w:tab w:val="num" w:pos="4527"/>
        </w:tabs>
        <w:ind w:left="4527" w:hanging="360"/>
      </w:pPr>
      <w:rPr>
        <w:rFonts w:ascii="Wingdings" w:hAnsi="Wingdings" w:hint="default"/>
      </w:rPr>
    </w:lvl>
    <w:lvl w:ilvl="6" w:tplc="041B0001" w:tentative="1">
      <w:start w:val="1"/>
      <w:numFmt w:val="bullet"/>
      <w:lvlText w:val=""/>
      <w:lvlJc w:val="left"/>
      <w:pPr>
        <w:tabs>
          <w:tab w:val="num" w:pos="5247"/>
        </w:tabs>
        <w:ind w:left="5247" w:hanging="360"/>
      </w:pPr>
      <w:rPr>
        <w:rFonts w:ascii="Symbol" w:hAnsi="Symbol" w:hint="default"/>
      </w:rPr>
    </w:lvl>
    <w:lvl w:ilvl="7" w:tplc="041B0003" w:tentative="1">
      <w:start w:val="1"/>
      <w:numFmt w:val="bullet"/>
      <w:lvlText w:val="o"/>
      <w:lvlJc w:val="left"/>
      <w:pPr>
        <w:tabs>
          <w:tab w:val="num" w:pos="5967"/>
        </w:tabs>
        <w:ind w:left="5967" w:hanging="360"/>
      </w:pPr>
      <w:rPr>
        <w:rFonts w:ascii="Courier New" w:hAnsi="Courier New" w:hint="default"/>
      </w:rPr>
    </w:lvl>
    <w:lvl w:ilvl="8" w:tplc="041B0005" w:tentative="1">
      <w:start w:val="1"/>
      <w:numFmt w:val="bullet"/>
      <w:lvlText w:val=""/>
      <w:lvlJc w:val="left"/>
      <w:pPr>
        <w:tabs>
          <w:tab w:val="num" w:pos="6687"/>
        </w:tabs>
        <w:ind w:left="6687" w:hanging="360"/>
      </w:pPr>
      <w:rPr>
        <w:rFonts w:ascii="Wingdings" w:hAnsi="Wingdings" w:hint="default"/>
      </w:rPr>
    </w:lvl>
  </w:abstractNum>
  <w:abstractNum w:abstractNumId="11">
    <w:nsid w:val="10CF05AE"/>
    <w:multiLevelType w:val="hybridMultilevel"/>
    <w:tmpl w:val="54B2C9D4"/>
    <w:lvl w:ilvl="0" w:tplc="7646E5F8">
      <w:start w:val="1"/>
      <w:numFmt w:val="bullet"/>
      <w:pStyle w:val="AUCIEODRKA"/>
      <w:lvlText w:val="-"/>
      <w:lvlJc w:val="left"/>
      <w:pPr>
        <w:tabs>
          <w:tab w:val="num" w:pos="1667"/>
        </w:tabs>
        <w:ind w:left="1667" w:hanging="227"/>
      </w:pPr>
      <w:rPr>
        <w:rFonts w:ascii="Times New Roman" w:hAnsi="Times New Roman" w:cs="Times New Roman" w:hint="default"/>
      </w:rPr>
    </w:lvl>
    <w:lvl w:ilvl="1" w:tplc="041B0003">
      <w:start w:val="1"/>
      <w:numFmt w:val="bullet"/>
      <w:lvlText w:val="o"/>
      <w:lvlJc w:val="left"/>
      <w:pPr>
        <w:tabs>
          <w:tab w:val="num" w:pos="1440"/>
        </w:tabs>
        <w:ind w:left="1440" w:hanging="360"/>
      </w:pPr>
      <w:rPr>
        <w:rFonts w:ascii="Courier New" w:hAnsi="Courier New" w:cs="Courier New" w:hint="default"/>
      </w:rPr>
    </w:lvl>
    <w:lvl w:ilvl="2" w:tplc="041B0005">
      <w:start w:val="1"/>
      <w:numFmt w:val="bullet"/>
      <w:lvlText w:val=""/>
      <w:lvlJc w:val="left"/>
      <w:pPr>
        <w:tabs>
          <w:tab w:val="num" w:pos="2160"/>
        </w:tabs>
        <w:ind w:left="2160" w:hanging="360"/>
      </w:pPr>
      <w:rPr>
        <w:rFonts w:ascii="Wingdings" w:hAnsi="Wingdings" w:cs="Wingdings" w:hint="default"/>
      </w:rPr>
    </w:lvl>
    <w:lvl w:ilvl="3" w:tplc="041B0001">
      <w:start w:val="1"/>
      <w:numFmt w:val="bullet"/>
      <w:lvlText w:val=""/>
      <w:lvlJc w:val="left"/>
      <w:pPr>
        <w:tabs>
          <w:tab w:val="num" w:pos="2880"/>
        </w:tabs>
        <w:ind w:left="2880" w:hanging="360"/>
      </w:pPr>
      <w:rPr>
        <w:rFonts w:ascii="Symbol" w:hAnsi="Symbol" w:cs="Symbol" w:hint="default"/>
      </w:rPr>
    </w:lvl>
    <w:lvl w:ilvl="4" w:tplc="041B0003">
      <w:start w:val="1"/>
      <w:numFmt w:val="bullet"/>
      <w:lvlText w:val="o"/>
      <w:lvlJc w:val="left"/>
      <w:pPr>
        <w:tabs>
          <w:tab w:val="num" w:pos="3600"/>
        </w:tabs>
        <w:ind w:left="3600" w:hanging="360"/>
      </w:pPr>
      <w:rPr>
        <w:rFonts w:ascii="Courier New" w:hAnsi="Courier New" w:cs="Courier New" w:hint="default"/>
      </w:rPr>
    </w:lvl>
    <w:lvl w:ilvl="5" w:tplc="041B0005">
      <w:start w:val="1"/>
      <w:numFmt w:val="bullet"/>
      <w:lvlText w:val=""/>
      <w:lvlJc w:val="left"/>
      <w:pPr>
        <w:tabs>
          <w:tab w:val="num" w:pos="4320"/>
        </w:tabs>
        <w:ind w:left="4320" w:hanging="360"/>
      </w:pPr>
      <w:rPr>
        <w:rFonts w:ascii="Wingdings" w:hAnsi="Wingdings" w:cs="Wingdings" w:hint="default"/>
      </w:rPr>
    </w:lvl>
    <w:lvl w:ilvl="6" w:tplc="041B0001">
      <w:start w:val="1"/>
      <w:numFmt w:val="bullet"/>
      <w:lvlText w:val=""/>
      <w:lvlJc w:val="left"/>
      <w:pPr>
        <w:tabs>
          <w:tab w:val="num" w:pos="5040"/>
        </w:tabs>
        <w:ind w:left="5040" w:hanging="360"/>
      </w:pPr>
      <w:rPr>
        <w:rFonts w:ascii="Symbol" w:hAnsi="Symbol" w:cs="Symbol" w:hint="default"/>
      </w:rPr>
    </w:lvl>
    <w:lvl w:ilvl="7" w:tplc="041B0003">
      <w:start w:val="1"/>
      <w:numFmt w:val="bullet"/>
      <w:lvlText w:val="o"/>
      <w:lvlJc w:val="left"/>
      <w:pPr>
        <w:tabs>
          <w:tab w:val="num" w:pos="5760"/>
        </w:tabs>
        <w:ind w:left="5760" w:hanging="360"/>
      </w:pPr>
      <w:rPr>
        <w:rFonts w:ascii="Courier New" w:hAnsi="Courier New" w:cs="Courier New" w:hint="default"/>
      </w:rPr>
    </w:lvl>
    <w:lvl w:ilvl="8" w:tplc="041B0005">
      <w:start w:val="1"/>
      <w:numFmt w:val="bullet"/>
      <w:lvlText w:val=""/>
      <w:lvlJc w:val="left"/>
      <w:pPr>
        <w:tabs>
          <w:tab w:val="num" w:pos="6480"/>
        </w:tabs>
        <w:ind w:left="6480" w:hanging="360"/>
      </w:pPr>
      <w:rPr>
        <w:rFonts w:ascii="Wingdings" w:hAnsi="Wingdings" w:cs="Wingdings" w:hint="default"/>
      </w:rPr>
    </w:lvl>
  </w:abstractNum>
  <w:abstractNum w:abstractNumId="12">
    <w:nsid w:val="11D24CCB"/>
    <w:multiLevelType w:val="hybridMultilevel"/>
    <w:tmpl w:val="BF2EFCBC"/>
    <w:lvl w:ilvl="0" w:tplc="63DEA606">
      <w:start w:val="1"/>
      <w:numFmt w:val="bullet"/>
      <w:lvlText w:val="-"/>
      <w:lvlJc w:val="left"/>
      <w:pPr>
        <w:tabs>
          <w:tab w:val="num" w:pos="2160"/>
        </w:tabs>
        <w:ind w:left="2160" w:hanging="360"/>
      </w:pPr>
      <w:rPr>
        <w:rFonts w:ascii="Times New Roman" w:eastAsia="Times New Roman" w:hAnsi="Times New Roman" w:hint="default"/>
        <w:color w:val="000000"/>
      </w:rPr>
    </w:lvl>
    <w:lvl w:ilvl="1" w:tplc="041B0003" w:tentative="1">
      <w:start w:val="1"/>
      <w:numFmt w:val="bullet"/>
      <w:lvlText w:val="o"/>
      <w:lvlJc w:val="left"/>
      <w:pPr>
        <w:tabs>
          <w:tab w:val="num" w:pos="2520"/>
        </w:tabs>
        <w:ind w:left="2520" w:hanging="360"/>
      </w:pPr>
      <w:rPr>
        <w:rFonts w:ascii="Courier New" w:hAnsi="Courier New" w:hint="default"/>
      </w:rPr>
    </w:lvl>
    <w:lvl w:ilvl="2" w:tplc="041B0005" w:tentative="1">
      <w:start w:val="1"/>
      <w:numFmt w:val="bullet"/>
      <w:lvlText w:val=""/>
      <w:lvlJc w:val="left"/>
      <w:pPr>
        <w:tabs>
          <w:tab w:val="num" w:pos="3240"/>
        </w:tabs>
        <w:ind w:left="3240" w:hanging="360"/>
      </w:pPr>
      <w:rPr>
        <w:rFonts w:ascii="Wingdings" w:hAnsi="Wingdings" w:hint="default"/>
      </w:rPr>
    </w:lvl>
    <w:lvl w:ilvl="3" w:tplc="041B0001" w:tentative="1">
      <w:start w:val="1"/>
      <w:numFmt w:val="bullet"/>
      <w:lvlText w:val=""/>
      <w:lvlJc w:val="left"/>
      <w:pPr>
        <w:tabs>
          <w:tab w:val="num" w:pos="3960"/>
        </w:tabs>
        <w:ind w:left="3960" w:hanging="360"/>
      </w:pPr>
      <w:rPr>
        <w:rFonts w:ascii="Symbol" w:hAnsi="Symbol" w:hint="default"/>
      </w:rPr>
    </w:lvl>
    <w:lvl w:ilvl="4" w:tplc="041B0003" w:tentative="1">
      <w:start w:val="1"/>
      <w:numFmt w:val="bullet"/>
      <w:lvlText w:val="o"/>
      <w:lvlJc w:val="left"/>
      <w:pPr>
        <w:tabs>
          <w:tab w:val="num" w:pos="4680"/>
        </w:tabs>
        <w:ind w:left="4680" w:hanging="360"/>
      </w:pPr>
      <w:rPr>
        <w:rFonts w:ascii="Courier New" w:hAnsi="Courier New" w:hint="default"/>
      </w:rPr>
    </w:lvl>
    <w:lvl w:ilvl="5" w:tplc="041B0005" w:tentative="1">
      <w:start w:val="1"/>
      <w:numFmt w:val="bullet"/>
      <w:lvlText w:val=""/>
      <w:lvlJc w:val="left"/>
      <w:pPr>
        <w:tabs>
          <w:tab w:val="num" w:pos="5400"/>
        </w:tabs>
        <w:ind w:left="5400" w:hanging="360"/>
      </w:pPr>
      <w:rPr>
        <w:rFonts w:ascii="Wingdings" w:hAnsi="Wingdings" w:hint="default"/>
      </w:rPr>
    </w:lvl>
    <w:lvl w:ilvl="6" w:tplc="041B0001" w:tentative="1">
      <w:start w:val="1"/>
      <w:numFmt w:val="bullet"/>
      <w:lvlText w:val=""/>
      <w:lvlJc w:val="left"/>
      <w:pPr>
        <w:tabs>
          <w:tab w:val="num" w:pos="6120"/>
        </w:tabs>
        <w:ind w:left="6120" w:hanging="360"/>
      </w:pPr>
      <w:rPr>
        <w:rFonts w:ascii="Symbol" w:hAnsi="Symbol" w:hint="default"/>
      </w:rPr>
    </w:lvl>
    <w:lvl w:ilvl="7" w:tplc="041B0003" w:tentative="1">
      <w:start w:val="1"/>
      <w:numFmt w:val="bullet"/>
      <w:lvlText w:val="o"/>
      <w:lvlJc w:val="left"/>
      <w:pPr>
        <w:tabs>
          <w:tab w:val="num" w:pos="6840"/>
        </w:tabs>
        <w:ind w:left="6840" w:hanging="360"/>
      </w:pPr>
      <w:rPr>
        <w:rFonts w:ascii="Courier New" w:hAnsi="Courier New" w:hint="default"/>
      </w:rPr>
    </w:lvl>
    <w:lvl w:ilvl="8" w:tplc="041B0005" w:tentative="1">
      <w:start w:val="1"/>
      <w:numFmt w:val="bullet"/>
      <w:lvlText w:val=""/>
      <w:lvlJc w:val="left"/>
      <w:pPr>
        <w:tabs>
          <w:tab w:val="num" w:pos="7560"/>
        </w:tabs>
        <w:ind w:left="7560" w:hanging="360"/>
      </w:pPr>
      <w:rPr>
        <w:rFonts w:ascii="Wingdings" w:hAnsi="Wingdings" w:hint="default"/>
      </w:rPr>
    </w:lvl>
  </w:abstractNum>
  <w:abstractNum w:abstractNumId="13">
    <w:nsid w:val="12FF64F3"/>
    <w:multiLevelType w:val="hybridMultilevel"/>
    <w:tmpl w:val="05747BEC"/>
    <w:lvl w:ilvl="0" w:tplc="041B0001">
      <w:start w:val="1"/>
      <w:numFmt w:val="bullet"/>
      <w:lvlText w:val=""/>
      <w:lvlJc w:val="left"/>
      <w:pPr>
        <w:tabs>
          <w:tab w:val="num" w:pos="1440"/>
        </w:tabs>
        <w:ind w:left="1440" w:hanging="360"/>
      </w:pPr>
      <w:rPr>
        <w:rFonts w:ascii="Symbol" w:hAnsi="Symbol" w:hint="default"/>
      </w:rPr>
    </w:lvl>
    <w:lvl w:ilvl="1" w:tplc="041B0003" w:tentative="1">
      <w:start w:val="1"/>
      <w:numFmt w:val="bullet"/>
      <w:lvlText w:val="o"/>
      <w:lvlJc w:val="left"/>
      <w:pPr>
        <w:tabs>
          <w:tab w:val="num" w:pos="2160"/>
        </w:tabs>
        <w:ind w:left="2160" w:hanging="360"/>
      </w:pPr>
      <w:rPr>
        <w:rFonts w:ascii="Courier New" w:hAnsi="Courier New" w:hint="default"/>
      </w:rPr>
    </w:lvl>
    <w:lvl w:ilvl="2" w:tplc="041B0005" w:tentative="1">
      <w:start w:val="1"/>
      <w:numFmt w:val="bullet"/>
      <w:lvlText w:val=""/>
      <w:lvlJc w:val="left"/>
      <w:pPr>
        <w:tabs>
          <w:tab w:val="num" w:pos="2880"/>
        </w:tabs>
        <w:ind w:left="2880" w:hanging="360"/>
      </w:pPr>
      <w:rPr>
        <w:rFonts w:ascii="Wingdings" w:hAnsi="Wingdings" w:hint="default"/>
      </w:rPr>
    </w:lvl>
    <w:lvl w:ilvl="3" w:tplc="041B0001" w:tentative="1">
      <w:start w:val="1"/>
      <w:numFmt w:val="bullet"/>
      <w:lvlText w:val=""/>
      <w:lvlJc w:val="left"/>
      <w:pPr>
        <w:tabs>
          <w:tab w:val="num" w:pos="3600"/>
        </w:tabs>
        <w:ind w:left="3600" w:hanging="360"/>
      </w:pPr>
      <w:rPr>
        <w:rFonts w:ascii="Symbol" w:hAnsi="Symbol" w:hint="default"/>
      </w:rPr>
    </w:lvl>
    <w:lvl w:ilvl="4" w:tplc="041B0003" w:tentative="1">
      <w:start w:val="1"/>
      <w:numFmt w:val="bullet"/>
      <w:lvlText w:val="o"/>
      <w:lvlJc w:val="left"/>
      <w:pPr>
        <w:tabs>
          <w:tab w:val="num" w:pos="4320"/>
        </w:tabs>
        <w:ind w:left="4320" w:hanging="360"/>
      </w:pPr>
      <w:rPr>
        <w:rFonts w:ascii="Courier New" w:hAnsi="Courier New" w:hint="default"/>
      </w:rPr>
    </w:lvl>
    <w:lvl w:ilvl="5" w:tplc="041B0005" w:tentative="1">
      <w:start w:val="1"/>
      <w:numFmt w:val="bullet"/>
      <w:lvlText w:val=""/>
      <w:lvlJc w:val="left"/>
      <w:pPr>
        <w:tabs>
          <w:tab w:val="num" w:pos="5040"/>
        </w:tabs>
        <w:ind w:left="5040" w:hanging="360"/>
      </w:pPr>
      <w:rPr>
        <w:rFonts w:ascii="Wingdings" w:hAnsi="Wingdings" w:hint="default"/>
      </w:rPr>
    </w:lvl>
    <w:lvl w:ilvl="6" w:tplc="041B0001" w:tentative="1">
      <w:start w:val="1"/>
      <w:numFmt w:val="bullet"/>
      <w:lvlText w:val=""/>
      <w:lvlJc w:val="left"/>
      <w:pPr>
        <w:tabs>
          <w:tab w:val="num" w:pos="5760"/>
        </w:tabs>
        <w:ind w:left="5760" w:hanging="360"/>
      </w:pPr>
      <w:rPr>
        <w:rFonts w:ascii="Symbol" w:hAnsi="Symbol" w:hint="default"/>
      </w:rPr>
    </w:lvl>
    <w:lvl w:ilvl="7" w:tplc="041B0003" w:tentative="1">
      <w:start w:val="1"/>
      <w:numFmt w:val="bullet"/>
      <w:lvlText w:val="o"/>
      <w:lvlJc w:val="left"/>
      <w:pPr>
        <w:tabs>
          <w:tab w:val="num" w:pos="6480"/>
        </w:tabs>
        <w:ind w:left="6480" w:hanging="360"/>
      </w:pPr>
      <w:rPr>
        <w:rFonts w:ascii="Courier New" w:hAnsi="Courier New" w:hint="default"/>
      </w:rPr>
    </w:lvl>
    <w:lvl w:ilvl="8" w:tplc="041B0005" w:tentative="1">
      <w:start w:val="1"/>
      <w:numFmt w:val="bullet"/>
      <w:lvlText w:val=""/>
      <w:lvlJc w:val="left"/>
      <w:pPr>
        <w:tabs>
          <w:tab w:val="num" w:pos="7200"/>
        </w:tabs>
        <w:ind w:left="7200" w:hanging="360"/>
      </w:pPr>
      <w:rPr>
        <w:rFonts w:ascii="Wingdings" w:hAnsi="Wingdings" w:hint="default"/>
      </w:rPr>
    </w:lvl>
  </w:abstractNum>
  <w:abstractNum w:abstractNumId="14">
    <w:nsid w:val="14C33B5D"/>
    <w:multiLevelType w:val="hybridMultilevel"/>
    <w:tmpl w:val="18560CC4"/>
    <w:lvl w:ilvl="0" w:tplc="041B0003">
      <w:start w:val="1"/>
      <w:numFmt w:val="bullet"/>
      <w:lvlText w:val="o"/>
      <w:lvlJc w:val="left"/>
      <w:pPr>
        <w:tabs>
          <w:tab w:val="num" w:pos="360"/>
        </w:tabs>
        <w:ind w:left="360" w:hanging="360"/>
      </w:pPr>
      <w:rPr>
        <w:rFonts w:ascii="Courier New" w:hAnsi="Courier New" w:cs="Courier New" w:hint="default"/>
      </w:rPr>
    </w:lvl>
    <w:lvl w:ilvl="1" w:tplc="041B0003" w:tentative="1">
      <w:start w:val="1"/>
      <w:numFmt w:val="bullet"/>
      <w:lvlText w:val="o"/>
      <w:lvlJc w:val="left"/>
      <w:pPr>
        <w:tabs>
          <w:tab w:val="num" w:pos="1440"/>
        </w:tabs>
        <w:ind w:left="1440" w:hanging="360"/>
      </w:pPr>
      <w:rPr>
        <w:rFonts w:ascii="Courier New" w:hAnsi="Courier New" w:cs="Courier New" w:hint="default"/>
      </w:rPr>
    </w:lvl>
    <w:lvl w:ilvl="2" w:tplc="041B0005" w:tentative="1">
      <w:start w:val="1"/>
      <w:numFmt w:val="bullet"/>
      <w:lvlText w:val=""/>
      <w:lvlJc w:val="left"/>
      <w:pPr>
        <w:tabs>
          <w:tab w:val="num" w:pos="2160"/>
        </w:tabs>
        <w:ind w:left="2160" w:hanging="360"/>
      </w:pPr>
      <w:rPr>
        <w:rFonts w:ascii="Wingdings" w:hAnsi="Wingdings" w:hint="default"/>
      </w:rPr>
    </w:lvl>
    <w:lvl w:ilvl="3" w:tplc="041B0001" w:tentative="1">
      <w:start w:val="1"/>
      <w:numFmt w:val="bullet"/>
      <w:lvlText w:val=""/>
      <w:lvlJc w:val="left"/>
      <w:pPr>
        <w:tabs>
          <w:tab w:val="num" w:pos="2880"/>
        </w:tabs>
        <w:ind w:left="2880" w:hanging="360"/>
      </w:pPr>
      <w:rPr>
        <w:rFonts w:ascii="Symbol" w:hAnsi="Symbol" w:hint="default"/>
      </w:rPr>
    </w:lvl>
    <w:lvl w:ilvl="4" w:tplc="041B0003" w:tentative="1">
      <w:start w:val="1"/>
      <w:numFmt w:val="bullet"/>
      <w:lvlText w:val="o"/>
      <w:lvlJc w:val="left"/>
      <w:pPr>
        <w:tabs>
          <w:tab w:val="num" w:pos="3600"/>
        </w:tabs>
        <w:ind w:left="3600" w:hanging="360"/>
      </w:pPr>
      <w:rPr>
        <w:rFonts w:ascii="Courier New" w:hAnsi="Courier New" w:cs="Courier New" w:hint="default"/>
      </w:rPr>
    </w:lvl>
    <w:lvl w:ilvl="5" w:tplc="041B0005" w:tentative="1">
      <w:start w:val="1"/>
      <w:numFmt w:val="bullet"/>
      <w:lvlText w:val=""/>
      <w:lvlJc w:val="left"/>
      <w:pPr>
        <w:tabs>
          <w:tab w:val="num" w:pos="4320"/>
        </w:tabs>
        <w:ind w:left="4320" w:hanging="360"/>
      </w:pPr>
      <w:rPr>
        <w:rFonts w:ascii="Wingdings" w:hAnsi="Wingdings" w:hint="default"/>
      </w:rPr>
    </w:lvl>
    <w:lvl w:ilvl="6" w:tplc="041B0001" w:tentative="1">
      <w:start w:val="1"/>
      <w:numFmt w:val="bullet"/>
      <w:lvlText w:val=""/>
      <w:lvlJc w:val="left"/>
      <w:pPr>
        <w:tabs>
          <w:tab w:val="num" w:pos="5040"/>
        </w:tabs>
        <w:ind w:left="5040" w:hanging="360"/>
      </w:pPr>
      <w:rPr>
        <w:rFonts w:ascii="Symbol" w:hAnsi="Symbol" w:hint="default"/>
      </w:rPr>
    </w:lvl>
    <w:lvl w:ilvl="7" w:tplc="041B0003" w:tentative="1">
      <w:start w:val="1"/>
      <w:numFmt w:val="bullet"/>
      <w:lvlText w:val="o"/>
      <w:lvlJc w:val="left"/>
      <w:pPr>
        <w:tabs>
          <w:tab w:val="num" w:pos="5760"/>
        </w:tabs>
        <w:ind w:left="5760" w:hanging="360"/>
      </w:pPr>
      <w:rPr>
        <w:rFonts w:ascii="Courier New" w:hAnsi="Courier New" w:cs="Courier New" w:hint="default"/>
      </w:rPr>
    </w:lvl>
    <w:lvl w:ilvl="8" w:tplc="041B0005" w:tentative="1">
      <w:start w:val="1"/>
      <w:numFmt w:val="bullet"/>
      <w:lvlText w:val=""/>
      <w:lvlJc w:val="left"/>
      <w:pPr>
        <w:tabs>
          <w:tab w:val="num" w:pos="6480"/>
        </w:tabs>
        <w:ind w:left="6480" w:hanging="360"/>
      </w:pPr>
      <w:rPr>
        <w:rFonts w:ascii="Wingdings" w:hAnsi="Wingdings" w:hint="default"/>
      </w:rPr>
    </w:lvl>
  </w:abstractNum>
  <w:abstractNum w:abstractNumId="15">
    <w:nsid w:val="1A6969AE"/>
    <w:multiLevelType w:val="hybridMultilevel"/>
    <w:tmpl w:val="C1CE99EC"/>
    <w:lvl w:ilvl="0" w:tplc="5646332E">
      <w:start w:val="1"/>
      <w:numFmt w:val="lowerLetter"/>
      <w:lvlText w:val="%1)"/>
      <w:lvlJc w:val="left"/>
      <w:pPr>
        <w:tabs>
          <w:tab w:val="num" w:pos="720"/>
        </w:tabs>
        <w:ind w:left="720" w:hanging="360"/>
      </w:pPr>
      <w:rPr>
        <w:rFonts w:cs="Times New Roman" w:hint="default"/>
      </w:rPr>
    </w:lvl>
    <w:lvl w:ilvl="1" w:tplc="041B0001">
      <w:start w:val="1"/>
      <w:numFmt w:val="bullet"/>
      <w:lvlText w:val=""/>
      <w:lvlJc w:val="left"/>
      <w:pPr>
        <w:tabs>
          <w:tab w:val="num" w:pos="1440"/>
        </w:tabs>
        <w:ind w:left="1440" w:hanging="360"/>
      </w:pPr>
      <w:rPr>
        <w:rFonts w:ascii="Symbol" w:hAnsi="Symbol" w:hint="default"/>
      </w:rPr>
    </w:lvl>
    <w:lvl w:ilvl="2" w:tplc="041B001B" w:tentative="1">
      <w:start w:val="1"/>
      <w:numFmt w:val="lowerRoman"/>
      <w:lvlText w:val="%3."/>
      <w:lvlJc w:val="right"/>
      <w:pPr>
        <w:tabs>
          <w:tab w:val="num" w:pos="2160"/>
        </w:tabs>
        <w:ind w:left="2160" w:hanging="180"/>
      </w:pPr>
      <w:rPr>
        <w:rFonts w:cs="Times New Roman"/>
      </w:rPr>
    </w:lvl>
    <w:lvl w:ilvl="3" w:tplc="041B000F" w:tentative="1">
      <w:start w:val="1"/>
      <w:numFmt w:val="decimal"/>
      <w:lvlText w:val="%4."/>
      <w:lvlJc w:val="left"/>
      <w:pPr>
        <w:tabs>
          <w:tab w:val="num" w:pos="2880"/>
        </w:tabs>
        <w:ind w:left="2880" w:hanging="360"/>
      </w:pPr>
      <w:rPr>
        <w:rFonts w:cs="Times New Roman"/>
      </w:rPr>
    </w:lvl>
    <w:lvl w:ilvl="4" w:tplc="041B0019" w:tentative="1">
      <w:start w:val="1"/>
      <w:numFmt w:val="lowerLetter"/>
      <w:lvlText w:val="%5."/>
      <w:lvlJc w:val="left"/>
      <w:pPr>
        <w:tabs>
          <w:tab w:val="num" w:pos="3600"/>
        </w:tabs>
        <w:ind w:left="3600" w:hanging="360"/>
      </w:pPr>
      <w:rPr>
        <w:rFonts w:cs="Times New Roman"/>
      </w:rPr>
    </w:lvl>
    <w:lvl w:ilvl="5" w:tplc="041B001B" w:tentative="1">
      <w:start w:val="1"/>
      <w:numFmt w:val="lowerRoman"/>
      <w:lvlText w:val="%6."/>
      <w:lvlJc w:val="right"/>
      <w:pPr>
        <w:tabs>
          <w:tab w:val="num" w:pos="4320"/>
        </w:tabs>
        <w:ind w:left="4320" w:hanging="180"/>
      </w:pPr>
      <w:rPr>
        <w:rFonts w:cs="Times New Roman"/>
      </w:rPr>
    </w:lvl>
    <w:lvl w:ilvl="6" w:tplc="041B000F" w:tentative="1">
      <w:start w:val="1"/>
      <w:numFmt w:val="decimal"/>
      <w:lvlText w:val="%7."/>
      <w:lvlJc w:val="left"/>
      <w:pPr>
        <w:tabs>
          <w:tab w:val="num" w:pos="5040"/>
        </w:tabs>
        <w:ind w:left="5040" w:hanging="360"/>
      </w:pPr>
      <w:rPr>
        <w:rFonts w:cs="Times New Roman"/>
      </w:rPr>
    </w:lvl>
    <w:lvl w:ilvl="7" w:tplc="041B0019" w:tentative="1">
      <w:start w:val="1"/>
      <w:numFmt w:val="lowerLetter"/>
      <w:lvlText w:val="%8."/>
      <w:lvlJc w:val="left"/>
      <w:pPr>
        <w:tabs>
          <w:tab w:val="num" w:pos="5760"/>
        </w:tabs>
        <w:ind w:left="5760" w:hanging="360"/>
      </w:pPr>
      <w:rPr>
        <w:rFonts w:cs="Times New Roman"/>
      </w:rPr>
    </w:lvl>
    <w:lvl w:ilvl="8" w:tplc="041B001B" w:tentative="1">
      <w:start w:val="1"/>
      <w:numFmt w:val="lowerRoman"/>
      <w:lvlText w:val="%9."/>
      <w:lvlJc w:val="right"/>
      <w:pPr>
        <w:tabs>
          <w:tab w:val="num" w:pos="6480"/>
        </w:tabs>
        <w:ind w:left="6480" w:hanging="180"/>
      </w:pPr>
      <w:rPr>
        <w:rFonts w:cs="Times New Roman"/>
      </w:rPr>
    </w:lvl>
  </w:abstractNum>
  <w:abstractNum w:abstractNumId="16">
    <w:nsid w:val="1B315FA5"/>
    <w:multiLevelType w:val="hybridMultilevel"/>
    <w:tmpl w:val="3F6EDB64"/>
    <w:lvl w:ilvl="0" w:tplc="48C2B918">
      <w:numFmt w:val="bullet"/>
      <w:lvlText w:val="-"/>
      <w:lvlJc w:val="left"/>
      <w:pPr>
        <w:tabs>
          <w:tab w:val="num" w:pos="1078"/>
        </w:tabs>
        <w:ind w:left="1078" w:hanging="360"/>
      </w:pPr>
      <w:rPr>
        <w:rFonts w:ascii="Arial Narrow" w:eastAsia="ITC Bookman Demi" w:hAnsi="Arial Narrow" w:cs="ITC Bookman Demi" w:hint="default"/>
      </w:rPr>
    </w:lvl>
    <w:lvl w:ilvl="1" w:tplc="041B0003">
      <w:start w:val="1"/>
      <w:numFmt w:val="bullet"/>
      <w:lvlText w:val="o"/>
      <w:lvlJc w:val="left"/>
      <w:pPr>
        <w:tabs>
          <w:tab w:val="num" w:pos="1438"/>
        </w:tabs>
        <w:ind w:left="1438" w:hanging="360"/>
      </w:pPr>
      <w:rPr>
        <w:rFonts w:ascii="Courier New" w:hAnsi="Courier New" w:cs="Courier New" w:hint="default"/>
      </w:rPr>
    </w:lvl>
    <w:lvl w:ilvl="2" w:tplc="041B0005" w:tentative="1">
      <w:start w:val="1"/>
      <w:numFmt w:val="bullet"/>
      <w:lvlText w:val=""/>
      <w:lvlJc w:val="left"/>
      <w:pPr>
        <w:tabs>
          <w:tab w:val="num" w:pos="2158"/>
        </w:tabs>
        <w:ind w:left="2158" w:hanging="360"/>
      </w:pPr>
      <w:rPr>
        <w:rFonts w:ascii="Wingdings" w:hAnsi="Wingdings" w:hint="default"/>
      </w:rPr>
    </w:lvl>
    <w:lvl w:ilvl="3" w:tplc="041B0001" w:tentative="1">
      <w:start w:val="1"/>
      <w:numFmt w:val="bullet"/>
      <w:lvlText w:val=""/>
      <w:lvlJc w:val="left"/>
      <w:pPr>
        <w:tabs>
          <w:tab w:val="num" w:pos="2878"/>
        </w:tabs>
        <w:ind w:left="2878" w:hanging="360"/>
      </w:pPr>
      <w:rPr>
        <w:rFonts w:ascii="Symbol" w:hAnsi="Symbol" w:hint="default"/>
      </w:rPr>
    </w:lvl>
    <w:lvl w:ilvl="4" w:tplc="041B0003" w:tentative="1">
      <w:start w:val="1"/>
      <w:numFmt w:val="bullet"/>
      <w:lvlText w:val="o"/>
      <w:lvlJc w:val="left"/>
      <w:pPr>
        <w:tabs>
          <w:tab w:val="num" w:pos="3598"/>
        </w:tabs>
        <w:ind w:left="3598" w:hanging="360"/>
      </w:pPr>
      <w:rPr>
        <w:rFonts w:ascii="Courier New" w:hAnsi="Courier New" w:cs="Courier New" w:hint="default"/>
      </w:rPr>
    </w:lvl>
    <w:lvl w:ilvl="5" w:tplc="041B0005" w:tentative="1">
      <w:start w:val="1"/>
      <w:numFmt w:val="bullet"/>
      <w:lvlText w:val=""/>
      <w:lvlJc w:val="left"/>
      <w:pPr>
        <w:tabs>
          <w:tab w:val="num" w:pos="4318"/>
        </w:tabs>
        <w:ind w:left="4318" w:hanging="360"/>
      </w:pPr>
      <w:rPr>
        <w:rFonts w:ascii="Wingdings" w:hAnsi="Wingdings" w:hint="default"/>
      </w:rPr>
    </w:lvl>
    <w:lvl w:ilvl="6" w:tplc="041B0001" w:tentative="1">
      <w:start w:val="1"/>
      <w:numFmt w:val="bullet"/>
      <w:lvlText w:val=""/>
      <w:lvlJc w:val="left"/>
      <w:pPr>
        <w:tabs>
          <w:tab w:val="num" w:pos="5038"/>
        </w:tabs>
        <w:ind w:left="5038" w:hanging="360"/>
      </w:pPr>
      <w:rPr>
        <w:rFonts w:ascii="Symbol" w:hAnsi="Symbol" w:hint="default"/>
      </w:rPr>
    </w:lvl>
    <w:lvl w:ilvl="7" w:tplc="041B0003" w:tentative="1">
      <w:start w:val="1"/>
      <w:numFmt w:val="bullet"/>
      <w:lvlText w:val="o"/>
      <w:lvlJc w:val="left"/>
      <w:pPr>
        <w:tabs>
          <w:tab w:val="num" w:pos="5758"/>
        </w:tabs>
        <w:ind w:left="5758" w:hanging="360"/>
      </w:pPr>
      <w:rPr>
        <w:rFonts w:ascii="Courier New" w:hAnsi="Courier New" w:cs="Courier New" w:hint="default"/>
      </w:rPr>
    </w:lvl>
    <w:lvl w:ilvl="8" w:tplc="041B0005" w:tentative="1">
      <w:start w:val="1"/>
      <w:numFmt w:val="bullet"/>
      <w:lvlText w:val=""/>
      <w:lvlJc w:val="left"/>
      <w:pPr>
        <w:tabs>
          <w:tab w:val="num" w:pos="6478"/>
        </w:tabs>
        <w:ind w:left="6478" w:hanging="360"/>
      </w:pPr>
      <w:rPr>
        <w:rFonts w:ascii="Wingdings" w:hAnsi="Wingdings" w:hint="default"/>
      </w:rPr>
    </w:lvl>
  </w:abstractNum>
  <w:abstractNum w:abstractNumId="17">
    <w:nsid w:val="1B4152D6"/>
    <w:multiLevelType w:val="hybridMultilevel"/>
    <w:tmpl w:val="56BA9534"/>
    <w:lvl w:ilvl="0" w:tplc="9A621EEA">
      <w:start w:val="3"/>
      <w:numFmt w:val="bullet"/>
      <w:lvlText w:val="-"/>
      <w:lvlJc w:val="left"/>
      <w:pPr>
        <w:tabs>
          <w:tab w:val="num" w:pos="720"/>
        </w:tabs>
        <w:ind w:left="720" w:hanging="360"/>
      </w:pPr>
      <w:rPr>
        <w:rFonts w:ascii="Arial" w:eastAsia="Times New Roman" w:hAnsi="Arial" w:hint="default"/>
      </w:rPr>
    </w:lvl>
    <w:lvl w:ilvl="1" w:tplc="041B0003" w:tentative="1">
      <w:start w:val="1"/>
      <w:numFmt w:val="bullet"/>
      <w:lvlText w:val="o"/>
      <w:lvlJc w:val="left"/>
      <w:pPr>
        <w:tabs>
          <w:tab w:val="num" w:pos="1440"/>
        </w:tabs>
        <w:ind w:left="1440" w:hanging="360"/>
      </w:pPr>
      <w:rPr>
        <w:rFonts w:ascii="Courier New" w:hAnsi="Courier New" w:hint="default"/>
      </w:rPr>
    </w:lvl>
    <w:lvl w:ilvl="2" w:tplc="041B0005" w:tentative="1">
      <w:start w:val="1"/>
      <w:numFmt w:val="bullet"/>
      <w:lvlText w:val=""/>
      <w:lvlJc w:val="left"/>
      <w:pPr>
        <w:tabs>
          <w:tab w:val="num" w:pos="2160"/>
        </w:tabs>
        <w:ind w:left="2160" w:hanging="360"/>
      </w:pPr>
      <w:rPr>
        <w:rFonts w:ascii="Wingdings" w:hAnsi="Wingdings" w:hint="default"/>
      </w:rPr>
    </w:lvl>
    <w:lvl w:ilvl="3" w:tplc="041B0001" w:tentative="1">
      <w:start w:val="1"/>
      <w:numFmt w:val="bullet"/>
      <w:lvlText w:val=""/>
      <w:lvlJc w:val="left"/>
      <w:pPr>
        <w:tabs>
          <w:tab w:val="num" w:pos="2880"/>
        </w:tabs>
        <w:ind w:left="2880" w:hanging="360"/>
      </w:pPr>
      <w:rPr>
        <w:rFonts w:ascii="Symbol" w:hAnsi="Symbol" w:hint="default"/>
      </w:rPr>
    </w:lvl>
    <w:lvl w:ilvl="4" w:tplc="041B0003" w:tentative="1">
      <w:start w:val="1"/>
      <w:numFmt w:val="bullet"/>
      <w:lvlText w:val="o"/>
      <w:lvlJc w:val="left"/>
      <w:pPr>
        <w:tabs>
          <w:tab w:val="num" w:pos="3600"/>
        </w:tabs>
        <w:ind w:left="3600" w:hanging="360"/>
      </w:pPr>
      <w:rPr>
        <w:rFonts w:ascii="Courier New" w:hAnsi="Courier New" w:hint="default"/>
      </w:rPr>
    </w:lvl>
    <w:lvl w:ilvl="5" w:tplc="041B0005" w:tentative="1">
      <w:start w:val="1"/>
      <w:numFmt w:val="bullet"/>
      <w:lvlText w:val=""/>
      <w:lvlJc w:val="left"/>
      <w:pPr>
        <w:tabs>
          <w:tab w:val="num" w:pos="4320"/>
        </w:tabs>
        <w:ind w:left="4320" w:hanging="360"/>
      </w:pPr>
      <w:rPr>
        <w:rFonts w:ascii="Wingdings" w:hAnsi="Wingdings" w:hint="default"/>
      </w:rPr>
    </w:lvl>
    <w:lvl w:ilvl="6" w:tplc="041B0001" w:tentative="1">
      <w:start w:val="1"/>
      <w:numFmt w:val="bullet"/>
      <w:lvlText w:val=""/>
      <w:lvlJc w:val="left"/>
      <w:pPr>
        <w:tabs>
          <w:tab w:val="num" w:pos="5040"/>
        </w:tabs>
        <w:ind w:left="5040" w:hanging="360"/>
      </w:pPr>
      <w:rPr>
        <w:rFonts w:ascii="Symbol" w:hAnsi="Symbol" w:hint="default"/>
      </w:rPr>
    </w:lvl>
    <w:lvl w:ilvl="7" w:tplc="041B0003" w:tentative="1">
      <w:start w:val="1"/>
      <w:numFmt w:val="bullet"/>
      <w:lvlText w:val="o"/>
      <w:lvlJc w:val="left"/>
      <w:pPr>
        <w:tabs>
          <w:tab w:val="num" w:pos="5760"/>
        </w:tabs>
        <w:ind w:left="5760" w:hanging="360"/>
      </w:pPr>
      <w:rPr>
        <w:rFonts w:ascii="Courier New" w:hAnsi="Courier New" w:hint="default"/>
      </w:rPr>
    </w:lvl>
    <w:lvl w:ilvl="8" w:tplc="041B0005" w:tentative="1">
      <w:start w:val="1"/>
      <w:numFmt w:val="bullet"/>
      <w:lvlText w:val=""/>
      <w:lvlJc w:val="left"/>
      <w:pPr>
        <w:tabs>
          <w:tab w:val="num" w:pos="6480"/>
        </w:tabs>
        <w:ind w:left="6480" w:hanging="360"/>
      </w:pPr>
      <w:rPr>
        <w:rFonts w:ascii="Wingdings" w:hAnsi="Wingdings" w:hint="default"/>
      </w:rPr>
    </w:lvl>
  </w:abstractNum>
  <w:abstractNum w:abstractNumId="18">
    <w:nsid w:val="1C632FF7"/>
    <w:multiLevelType w:val="hybridMultilevel"/>
    <w:tmpl w:val="9D52E990"/>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9">
    <w:nsid w:val="20017218"/>
    <w:multiLevelType w:val="hybridMultilevel"/>
    <w:tmpl w:val="BE241814"/>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0">
    <w:nsid w:val="20A22D2A"/>
    <w:multiLevelType w:val="hybridMultilevel"/>
    <w:tmpl w:val="DA22D03E"/>
    <w:lvl w:ilvl="0" w:tplc="58D411B4">
      <w:start w:val="1"/>
      <w:numFmt w:val="lowerLetter"/>
      <w:lvlText w:val="%1)"/>
      <w:lvlJc w:val="left"/>
      <w:pPr>
        <w:ind w:left="720" w:hanging="360"/>
      </w:pPr>
      <w:rPr>
        <w:rFonts w:ascii="Arial" w:eastAsia="Times New Roman" w:hAnsi="Arial" w:cs="Arial"/>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1">
    <w:nsid w:val="23C15F61"/>
    <w:multiLevelType w:val="hybridMultilevel"/>
    <w:tmpl w:val="C8B07FCA"/>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2">
    <w:nsid w:val="25D77553"/>
    <w:multiLevelType w:val="hybridMultilevel"/>
    <w:tmpl w:val="A78415A4"/>
    <w:lvl w:ilvl="0" w:tplc="5646332E">
      <w:start w:val="1"/>
      <w:numFmt w:val="lowerLetter"/>
      <w:lvlText w:val="%1)"/>
      <w:lvlJc w:val="left"/>
      <w:pPr>
        <w:tabs>
          <w:tab w:val="num" w:pos="921"/>
        </w:tabs>
        <w:ind w:left="921" w:hanging="360"/>
      </w:pPr>
      <w:rPr>
        <w:rFonts w:cs="Times New Roman" w:hint="default"/>
      </w:rPr>
    </w:lvl>
    <w:lvl w:ilvl="1" w:tplc="041B0019" w:tentative="1">
      <w:start w:val="1"/>
      <w:numFmt w:val="lowerLetter"/>
      <w:lvlText w:val="%2."/>
      <w:lvlJc w:val="left"/>
      <w:pPr>
        <w:tabs>
          <w:tab w:val="num" w:pos="1440"/>
        </w:tabs>
        <w:ind w:left="1440" w:hanging="360"/>
      </w:pPr>
      <w:rPr>
        <w:rFonts w:cs="Times New Roman"/>
      </w:rPr>
    </w:lvl>
    <w:lvl w:ilvl="2" w:tplc="041B001B" w:tentative="1">
      <w:start w:val="1"/>
      <w:numFmt w:val="lowerRoman"/>
      <w:lvlText w:val="%3."/>
      <w:lvlJc w:val="right"/>
      <w:pPr>
        <w:tabs>
          <w:tab w:val="num" w:pos="2160"/>
        </w:tabs>
        <w:ind w:left="2160" w:hanging="180"/>
      </w:pPr>
      <w:rPr>
        <w:rFonts w:cs="Times New Roman"/>
      </w:rPr>
    </w:lvl>
    <w:lvl w:ilvl="3" w:tplc="041B000F">
      <w:start w:val="1"/>
      <w:numFmt w:val="decimal"/>
      <w:lvlText w:val="%4."/>
      <w:lvlJc w:val="left"/>
      <w:pPr>
        <w:tabs>
          <w:tab w:val="num" w:pos="2880"/>
        </w:tabs>
        <w:ind w:left="2880" w:hanging="360"/>
      </w:pPr>
      <w:rPr>
        <w:rFonts w:cs="Times New Roman"/>
      </w:rPr>
    </w:lvl>
    <w:lvl w:ilvl="4" w:tplc="041B0019" w:tentative="1">
      <w:start w:val="1"/>
      <w:numFmt w:val="lowerLetter"/>
      <w:lvlText w:val="%5."/>
      <w:lvlJc w:val="left"/>
      <w:pPr>
        <w:tabs>
          <w:tab w:val="num" w:pos="3600"/>
        </w:tabs>
        <w:ind w:left="3600" w:hanging="360"/>
      </w:pPr>
      <w:rPr>
        <w:rFonts w:cs="Times New Roman"/>
      </w:rPr>
    </w:lvl>
    <w:lvl w:ilvl="5" w:tplc="041B001B" w:tentative="1">
      <w:start w:val="1"/>
      <w:numFmt w:val="lowerRoman"/>
      <w:lvlText w:val="%6."/>
      <w:lvlJc w:val="right"/>
      <w:pPr>
        <w:tabs>
          <w:tab w:val="num" w:pos="4320"/>
        </w:tabs>
        <w:ind w:left="4320" w:hanging="180"/>
      </w:pPr>
      <w:rPr>
        <w:rFonts w:cs="Times New Roman"/>
      </w:rPr>
    </w:lvl>
    <w:lvl w:ilvl="6" w:tplc="041B000F" w:tentative="1">
      <w:start w:val="1"/>
      <w:numFmt w:val="decimal"/>
      <w:lvlText w:val="%7."/>
      <w:lvlJc w:val="left"/>
      <w:pPr>
        <w:tabs>
          <w:tab w:val="num" w:pos="5040"/>
        </w:tabs>
        <w:ind w:left="5040" w:hanging="360"/>
      </w:pPr>
      <w:rPr>
        <w:rFonts w:cs="Times New Roman"/>
      </w:rPr>
    </w:lvl>
    <w:lvl w:ilvl="7" w:tplc="041B0019" w:tentative="1">
      <w:start w:val="1"/>
      <w:numFmt w:val="lowerLetter"/>
      <w:lvlText w:val="%8."/>
      <w:lvlJc w:val="left"/>
      <w:pPr>
        <w:tabs>
          <w:tab w:val="num" w:pos="5760"/>
        </w:tabs>
        <w:ind w:left="5760" w:hanging="360"/>
      </w:pPr>
      <w:rPr>
        <w:rFonts w:cs="Times New Roman"/>
      </w:rPr>
    </w:lvl>
    <w:lvl w:ilvl="8" w:tplc="041B001B" w:tentative="1">
      <w:start w:val="1"/>
      <w:numFmt w:val="lowerRoman"/>
      <w:lvlText w:val="%9."/>
      <w:lvlJc w:val="right"/>
      <w:pPr>
        <w:tabs>
          <w:tab w:val="num" w:pos="6480"/>
        </w:tabs>
        <w:ind w:left="6480" w:hanging="180"/>
      </w:pPr>
      <w:rPr>
        <w:rFonts w:cs="Times New Roman"/>
      </w:rPr>
    </w:lvl>
  </w:abstractNum>
  <w:abstractNum w:abstractNumId="23">
    <w:nsid w:val="27994CF8"/>
    <w:multiLevelType w:val="hybridMultilevel"/>
    <w:tmpl w:val="F98AD13C"/>
    <w:lvl w:ilvl="0" w:tplc="5796AA5A">
      <w:start w:val="3"/>
      <w:numFmt w:val="bullet"/>
      <w:lvlText w:val="-"/>
      <w:lvlJc w:val="left"/>
      <w:pPr>
        <w:tabs>
          <w:tab w:val="num" w:pos="716"/>
        </w:tabs>
        <w:ind w:left="716" w:hanging="360"/>
      </w:pPr>
      <w:rPr>
        <w:rFonts w:ascii="Times New Roman" w:eastAsia="Times New Roman" w:hAnsi="Times New Roman" w:hint="default"/>
      </w:rPr>
    </w:lvl>
    <w:lvl w:ilvl="1" w:tplc="041B0003" w:tentative="1">
      <w:start w:val="1"/>
      <w:numFmt w:val="bullet"/>
      <w:lvlText w:val="o"/>
      <w:lvlJc w:val="left"/>
      <w:pPr>
        <w:ind w:left="1436" w:hanging="360"/>
      </w:pPr>
      <w:rPr>
        <w:rFonts w:ascii="Courier New" w:hAnsi="Courier New" w:cs="Courier New" w:hint="default"/>
      </w:rPr>
    </w:lvl>
    <w:lvl w:ilvl="2" w:tplc="041B0005" w:tentative="1">
      <w:start w:val="1"/>
      <w:numFmt w:val="bullet"/>
      <w:lvlText w:val=""/>
      <w:lvlJc w:val="left"/>
      <w:pPr>
        <w:ind w:left="2156" w:hanging="360"/>
      </w:pPr>
      <w:rPr>
        <w:rFonts w:ascii="Wingdings" w:hAnsi="Wingdings" w:hint="default"/>
      </w:rPr>
    </w:lvl>
    <w:lvl w:ilvl="3" w:tplc="041B0001" w:tentative="1">
      <w:start w:val="1"/>
      <w:numFmt w:val="bullet"/>
      <w:lvlText w:val=""/>
      <w:lvlJc w:val="left"/>
      <w:pPr>
        <w:ind w:left="2876" w:hanging="360"/>
      </w:pPr>
      <w:rPr>
        <w:rFonts w:ascii="Symbol" w:hAnsi="Symbol" w:hint="default"/>
      </w:rPr>
    </w:lvl>
    <w:lvl w:ilvl="4" w:tplc="041B0003" w:tentative="1">
      <w:start w:val="1"/>
      <w:numFmt w:val="bullet"/>
      <w:lvlText w:val="o"/>
      <w:lvlJc w:val="left"/>
      <w:pPr>
        <w:ind w:left="3596" w:hanging="360"/>
      </w:pPr>
      <w:rPr>
        <w:rFonts w:ascii="Courier New" w:hAnsi="Courier New" w:cs="Courier New" w:hint="default"/>
      </w:rPr>
    </w:lvl>
    <w:lvl w:ilvl="5" w:tplc="041B0005" w:tentative="1">
      <w:start w:val="1"/>
      <w:numFmt w:val="bullet"/>
      <w:lvlText w:val=""/>
      <w:lvlJc w:val="left"/>
      <w:pPr>
        <w:ind w:left="4316" w:hanging="360"/>
      </w:pPr>
      <w:rPr>
        <w:rFonts w:ascii="Wingdings" w:hAnsi="Wingdings" w:hint="default"/>
      </w:rPr>
    </w:lvl>
    <w:lvl w:ilvl="6" w:tplc="041B0001" w:tentative="1">
      <w:start w:val="1"/>
      <w:numFmt w:val="bullet"/>
      <w:lvlText w:val=""/>
      <w:lvlJc w:val="left"/>
      <w:pPr>
        <w:ind w:left="5036" w:hanging="360"/>
      </w:pPr>
      <w:rPr>
        <w:rFonts w:ascii="Symbol" w:hAnsi="Symbol" w:hint="default"/>
      </w:rPr>
    </w:lvl>
    <w:lvl w:ilvl="7" w:tplc="041B0003" w:tentative="1">
      <w:start w:val="1"/>
      <w:numFmt w:val="bullet"/>
      <w:lvlText w:val="o"/>
      <w:lvlJc w:val="left"/>
      <w:pPr>
        <w:ind w:left="5756" w:hanging="360"/>
      </w:pPr>
      <w:rPr>
        <w:rFonts w:ascii="Courier New" w:hAnsi="Courier New" w:cs="Courier New" w:hint="default"/>
      </w:rPr>
    </w:lvl>
    <w:lvl w:ilvl="8" w:tplc="041B0005" w:tentative="1">
      <w:start w:val="1"/>
      <w:numFmt w:val="bullet"/>
      <w:lvlText w:val=""/>
      <w:lvlJc w:val="left"/>
      <w:pPr>
        <w:ind w:left="6476" w:hanging="360"/>
      </w:pPr>
      <w:rPr>
        <w:rFonts w:ascii="Wingdings" w:hAnsi="Wingdings" w:hint="default"/>
      </w:rPr>
    </w:lvl>
  </w:abstractNum>
  <w:abstractNum w:abstractNumId="24">
    <w:nsid w:val="29AB3616"/>
    <w:multiLevelType w:val="hybridMultilevel"/>
    <w:tmpl w:val="2CDEC246"/>
    <w:lvl w:ilvl="0" w:tplc="1E8A1AB0">
      <w:numFmt w:val="bullet"/>
      <w:lvlText w:val="-"/>
      <w:lvlJc w:val="left"/>
      <w:pPr>
        <w:ind w:left="720" w:hanging="360"/>
      </w:pPr>
      <w:rPr>
        <w:rFonts w:ascii="Calibri" w:eastAsia="Calibri" w:hAnsi="Calibri" w:cs="Calibri" w:hint="default"/>
        <w:color w:val="auto"/>
      </w:rPr>
    </w:lvl>
    <w:lvl w:ilvl="1" w:tplc="041B0003">
      <w:start w:val="1"/>
      <w:numFmt w:val="decimal"/>
      <w:lvlText w:val="%2."/>
      <w:lvlJc w:val="left"/>
      <w:pPr>
        <w:tabs>
          <w:tab w:val="num" w:pos="1440"/>
        </w:tabs>
        <w:ind w:left="1440" w:hanging="360"/>
      </w:pPr>
    </w:lvl>
    <w:lvl w:ilvl="2" w:tplc="041B0005">
      <w:start w:val="1"/>
      <w:numFmt w:val="decimal"/>
      <w:lvlText w:val="%3."/>
      <w:lvlJc w:val="left"/>
      <w:pPr>
        <w:tabs>
          <w:tab w:val="num" w:pos="2160"/>
        </w:tabs>
        <w:ind w:left="2160" w:hanging="360"/>
      </w:pPr>
    </w:lvl>
    <w:lvl w:ilvl="3" w:tplc="041B0001">
      <w:start w:val="1"/>
      <w:numFmt w:val="decimal"/>
      <w:lvlText w:val="%4."/>
      <w:lvlJc w:val="left"/>
      <w:pPr>
        <w:tabs>
          <w:tab w:val="num" w:pos="2880"/>
        </w:tabs>
        <w:ind w:left="2880" w:hanging="360"/>
      </w:pPr>
    </w:lvl>
    <w:lvl w:ilvl="4" w:tplc="041B0003">
      <w:start w:val="1"/>
      <w:numFmt w:val="decimal"/>
      <w:lvlText w:val="%5."/>
      <w:lvlJc w:val="left"/>
      <w:pPr>
        <w:tabs>
          <w:tab w:val="num" w:pos="3600"/>
        </w:tabs>
        <w:ind w:left="3600" w:hanging="360"/>
      </w:pPr>
    </w:lvl>
    <w:lvl w:ilvl="5" w:tplc="041B0005">
      <w:start w:val="1"/>
      <w:numFmt w:val="decimal"/>
      <w:lvlText w:val="%6."/>
      <w:lvlJc w:val="left"/>
      <w:pPr>
        <w:tabs>
          <w:tab w:val="num" w:pos="4320"/>
        </w:tabs>
        <w:ind w:left="4320" w:hanging="360"/>
      </w:pPr>
    </w:lvl>
    <w:lvl w:ilvl="6" w:tplc="041B0001">
      <w:start w:val="1"/>
      <w:numFmt w:val="decimal"/>
      <w:lvlText w:val="%7."/>
      <w:lvlJc w:val="left"/>
      <w:pPr>
        <w:tabs>
          <w:tab w:val="num" w:pos="5040"/>
        </w:tabs>
        <w:ind w:left="5040" w:hanging="360"/>
      </w:pPr>
    </w:lvl>
    <w:lvl w:ilvl="7" w:tplc="041B0003">
      <w:start w:val="1"/>
      <w:numFmt w:val="decimal"/>
      <w:lvlText w:val="%8."/>
      <w:lvlJc w:val="left"/>
      <w:pPr>
        <w:tabs>
          <w:tab w:val="num" w:pos="5760"/>
        </w:tabs>
        <w:ind w:left="5760" w:hanging="360"/>
      </w:pPr>
    </w:lvl>
    <w:lvl w:ilvl="8" w:tplc="041B0005">
      <w:start w:val="1"/>
      <w:numFmt w:val="decimal"/>
      <w:lvlText w:val="%9."/>
      <w:lvlJc w:val="left"/>
      <w:pPr>
        <w:tabs>
          <w:tab w:val="num" w:pos="6480"/>
        </w:tabs>
        <w:ind w:left="6480" w:hanging="360"/>
      </w:pPr>
    </w:lvl>
  </w:abstractNum>
  <w:abstractNum w:abstractNumId="25">
    <w:nsid w:val="29BC3D83"/>
    <w:multiLevelType w:val="hybridMultilevel"/>
    <w:tmpl w:val="820C8FBE"/>
    <w:lvl w:ilvl="0" w:tplc="6470A6B2">
      <w:start w:val="1"/>
      <w:numFmt w:val="bullet"/>
      <w:lvlText w:val=""/>
      <w:lvlJc w:val="left"/>
      <w:pPr>
        <w:ind w:left="720" w:hanging="360"/>
      </w:pPr>
      <w:rPr>
        <w:rFonts w:ascii="Wingdings" w:hAnsi="Wingdings" w:hint="default"/>
        <w:b w:val="0"/>
        <w:i w:val="0"/>
        <w:sz w:val="20"/>
      </w:rPr>
    </w:lvl>
    <w:lvl w:ilvl="1" w:tplc="041B0003">
      <w:start w:val="1"/>
      <w:numFmt w:val="bullet"/>
      <w:lvlText w:val="o"/>
      <w:lvlJc w:val="left"/>
      <w:pPr>
        <w:ind w:left="1440" w:hanging="360"/>
      </w:pPr>
      <w:rPr>
        <w:rFonts w:ascii="Courier New" w:hAnsi="Courier New" w:hint="default"/>
      </w:rPr>
    </w:lvl>
    <w:lvl w:ilvl="2" w:tplc="041B0005">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6">
    <w:nsid w:val="2A885071"/>
    <w:multiLevelType w:val="hybridMultilevel"/>
    <w:tmpl w:val="33EAE00E"/>
    <w:lvl w:ilvl="0" w:tplc="041B0001">
      <w:start w:val="1"/>
      <w:numFmt w:val="bullet"/>
      <w:lvlText w:val=""/>
      <w:lvlJc w:val="left"/>
      <w:pPr>
        <w:tabs>
          <w:tab w:val="num" w:pos="720"/>
        </w:tabs>
        <w:ind w:left="720" w:hanging="360"/>
      </w:pPr>
      <w:rPr>
        <w:rFonts w:ascii="Symbol" w:hAnsi="Symbol" w:hint="default"/>
      </w:rPr>
    </w:lvl>
    <w:lvl w:ilvl="1" w:tplc="041B0003">
      <w:start w:val="1"/>
      <w:numFmt w:val="bullet"/>
      <w:lvlText w:val="o"/>
      <w:lvlJc w:val="left"/>
      <w:pPr>
        <w:tabs>
          <w:tab w:val="num" w:pos="1440"/>
        </w:tabs>
        <w:ind w:left="1440" w:hanging="360"/>
      </w:pPr>
      <w:rPr>
        <w:rFonts w:ascii="Courier New" w:hAnsi="Courier New" w:hint="default"/>
      </w:rPr>
    </w:lvl>
    <w:lvl w:ilvl="2" w:tplc="041B0005">
      <w:start w:val="1"/>
      <w:numFmt w:val="bullet"/>
      <w:lvlText w:val=""/>
      <w:lvlJc w:val="left"/>
      <w:pPr>
        <w:tabs>
          <w:tab w:val="num" w:pos="2160"/>
        </w:tabs>
        <w:ind w:left="2160" w:hanging="360"/>
      </w:pPr>
      <w:rPr>
        <w:rFonts w:ascii="Wingdings" w:hAnsi="Wingdings" w:hint="default"/>
      </w:rPr>
    </w:lvl>
    <w:lvl w:ilvl="3" w:tplc="041B0001" w:tentative="1">
      <w:start w:val="1"/>
      <w:numFmt w:val="bullet"/>
      <w:lvlText w:val=""/>
      <w:lvlJc w:val="left"/>
      <w:pPr>
        <w:tabs>
          <w:tab w:val="num" w:pos="2880"/>
        </w:tabs>
        <w:ind w:left="2880" w:hanging="360"/>
      </w:pPr>
      <w:rPr>
        <w:rFonts w:ascii="Symbol" w:hAnsi="Symbol" w:hint="default"/>
      </w:rPr>
    </w:lvl>
    <w:lvl w:ilvl="4" w:tplc="041B0003" w:tentative="1">
      <w:start w:val="1"/>
      <w:numFmt w:val="bullet"/>
      <w:lvlText w:val="o"/>
      <w:lvlJc w:val="left"/>
      <w:pPr>
        <w:tabs>
          <w:tab w:val="num" w:pos="3600"/>
        </w:tabs>
        <w:ind w:left="3600" w:hanging="360"/>
      </w:pPr>
      <w:rPr>
        <w:rFonts w:ascii="Courier New" w:hAnsi="Courier New" w:hint="default"/>
      </w:rPr>
    </w:lvl>
    <w:lvl w:ilvl="5" w:tplc="041B0005" w:tentative="1">
      <w:start w:val="1"/>
      <w:numFmt w:val="bullet"/>
      <w:lvlText w:val=""/>
      <w:lvlJc w:val="left"/>
      <w:pPr>
        <w:tabs>
          <w:tab w:val="num" w:pos="4320"/>
        </w:tabs>
        <w:ind w:left="4320" w:hanging="360"/>
      </w:pPr>
      <w:rPr>
        <w:rFonts w:ascii="Wingdings" w:hAnsi="Wingdings" w:hint="default"/>
      </w:rPr>
    </w:lvl>
    <w:lvl w:ilvl="6" w:tplc="041B0001" w:tentative="1">
      <w:start w:val="1"/>
      <w:numFmt w:val="bullet"/>
      <w:lvlText w:val=""/>
      <w:lvlJc w:val="left"/>
      <w:pPr>
        <w:tabs>
          <w:tab w:val="num" w:pos="5040"/>
        </w:tabs>
        <w:ind w:left="5040" w:hanging="360"/>
      </w:pPr>
      <w:rPr>
        <w:rFonts w:ascii="Symbol" w:hAnsi="Symbol" w:hint="default"/>
      </w:rPr>
    </w:lvl>
    <w:lvl w:ilvl="7" w:tplc="041B0003" w:tentative="1">
      <w:start w:val="1"/>
      <w:numFmt w:val="bullet"/>
      <w:lvlText w:val="o"/>
      <w:lvlJc w:val="left"/>
      <w:pPr>
        <w:tabs>
          <w:tab w:val="num" w:pos="5760"/>
        </w:tabs>
        <w:ind w:left="5760" w:hanging="360"/>
      </w:pPr>
      <w:rPr>
        <w:rFonts w:ascii="Courier New" w:hAnsi="Courier New" w:hint="default"/>
      </w:rPr>
    </w:lvl>
    <w:lvl w:ilvl="8" w:tplc="041B0005" w:tentative="1">
      <w:start w:val="1"/>
      <w:numFmt w:val="bullet"/>
      <w:lvlText w:val=""/>
      <w:lvlJc w:val="left"/>
      <w:pPr>
        <w:tabs>
          <w:tab w:val="num" w:pos="6480"/>
        </w:tabs>
        <w:ind w:left="6480" w:hanging="360"/>
      </w:pPr>
      <w:rPr>
        <w:rFonts w:ascii="Wingdings" w:hAnsi="Wingdings" w:hint="default"/>
      </w:rPr>
    </w:lvl>
  </w:abstractNum>
  <w:abstractNum w:abstractNumId="27">
    <w:nsid w:val="2A925F41"/>
    <w:multiLevelType w:val="hybridMultilevel"/>
    <w:tmpl w:val="24DC8ACC"/>
    <w:lvl w:ilvl="0" w:tplc="9A621EEA">
      <w:start w:val="3"/>
      <w:numFmt w:val="bullet"/>
      <w:lvlText w:val="-"/>
      <w:lvlJc w:val="left"/>
      <w:pPr>
        <w:ind w:left="720" w:hanging="360"/>
      </w:pPr>
      <w:rPr>
        <w:rFonts w:ascii="Arial" w:eastAsia="Times New Roman" w:hAnsi="Arial" w:hint="default"/>
      </w:rPr>
    </w:lvl>
    <w:lvl w:ilvl="1" w:tplc="041B0019" w:tentative="1">
      <w:start w:val="1"/>
      <w:numFmt w:val="lowerLetter"/>
      <w:lvlText w:val="%2."/>
      <w:lvlJc w:val="left"/>
      <w:pPr>
        <w:ind w:left="1080" w:hanging="360"/>
      </w:pPr>
    </w:lvl>
    <w:lvl w:ilvl="2" w:tplc="041B001B" w:tentative="1">
      <w:start w:val="1"/>
      <w:numFmt w:val="lowerRoman"/>
      <w:lvlText w:val="%3."/>
      <w:lvlJc w:val="right"/>
      <w:pPr>
        <w:ind w:left="1800" w:hanging="180"/>
      </w:pPr>
    </w:lvl>
    <w:lvl w:ilvl="3" w:tplc="041B000F" w:tentative="1">
      <w:start w:val="1"/>
      <w:numFmt w:val="decimal"/>
      <w:lvlText w:val="%4."/>
      <w:lvlJc w:val="left"/>
      <w:pPr>
        <w:ind w:left="2520" w:hanging="360"/>
      </w:pPr>
    </w:lvl>
    <w:lvl w:ilvl="4" w:tplc="041B0019" w:tentative="1">
      <w:start w:val="1"/>
      <w:numFmt w:val="lowerLetter"/>
      <w:lvlText w:val="%5."/>
      <w:lvlJc w:val="left"/>
      <w:pPr>
        <w:ind w:left="3240" w:hanging="360"/>
      </w:pPr>
    </w:lvl>
    <w:lvl w:ilvl="5" w:tplc="041B001B" w:tentative="1">
      <w:start w:val="1"/>
      <w:numFmt w:val="lowerRoman"/>
      <w:lvlText w:val="%6."/>
      <w:lvlJc w:val="right"/>
      <w:pPr>
        <w:ind w:left="3960" w:hanging="180"/>
      </w:pPr>
    </w:lvl>
    <w:lvl w:ilvl="6" w:tplc="041B000F" w:tentative="1">
      <w:start w:val="1"/>
      <w:numFmt w:val="decimal"/>
      <w:lvlText w:val="%7."/>
      <w:lvlJc w:val="left"/>
      <w:pPr>
        <w:ind w:left="4680" w:hanging="360"/>
      </w:pPr>
    </w:lvl>
    <w:lvl w:ilvl="7" w:tplc="041B0019" w:tentative="1">
      <w:start w:val="1"/>
      <w:numFmt w:val="lowerLetter"/>
      <w:lvlText w:val="%8."/>
      <w:lvlJc w:val="left"/>
      <w:pPr>
        <w:ind w:left="5400" w:hanging="360"/>
      </w:pPr>
    </w:lvl>
    <w:lvl w:ilvl="8" w:tplc="041B001B" w:tentative="1">
      <w:start w:val="1"/>
      <w:numFmt w:val="lowerRoman"/>
      <w:lvlText w:val="%9."/>
      <w:lvlJc w:val="right"/>
      <w:pPr>
        <w:ind w:left="6120" w:hanging="180"/>
      </w:pPr>
    </w:lvl>
  </w:abstractNum>
  <w:abstractNum w:abstractNumId="28">
    <w:nsid w:val="2C212AC2"/>
    <w:multiLevelType w:val="hybridMultilevel"/>
    <w:tmpl w:val="5AC49DF2"/>
    <w:lvl w:ilvl="0" w:tplc="0E785596">
      <w:numFmt w:val="bullet"/>
      <w:lvlText w:val="-"/>
      <w:lvlJc w:val="left"/>
      <w:pPr>
        <w:tabs>
          <w:tab w:val="num" w:pos="360"/>
        </w:tabs>
        <w:ind w:left="360" w:hanging="360"/>
      </w:pPr>
      <w:rPr>
        <w:rFonts w:ascii="Arial Narrow" w:eastAsia="Courier" w:hAnsi="Arial Narrow" w:cs="Arial" w:hint="default"/>
      </w:rPr>
    </w:lvl>
    <w:lvl w:ilvl="1" w:tplc="041B0003">
      <w:start w:val="1"/>
      <w:numFmt w:val="bullet"/>
      <w:lvlText w:val="o"/>
      <w:lvlJc w:val="left"/>
      <w:pPr>
        <w:tabs>
          <w:tab w:val="num" w:pos="1080"/>
        </w:tabs>
        <w:ind w:left="1080" w:hanging="360"/>
      </w:pPr>
      <w:rPr>
        <w:rFonts w:ascii="Courier New" w:hAnsi="Courier New" w:cs="Courier New" w:hint="default"/>
      </w:rPr>
    </w:lvl>
    <w:lvl w:ilvl="2" w:tplc="041B0005" w:tentative="1">
      <w:start w:val="1"/>
      <w:numFmt w:val="bullet"/>
      <w:lvlText w:val=""/>
      <w:lvlJc w:val="left"/>
      <w:pPr>
        <w:tabs>
          <w:tab w:val="num" w:pos="1800"/>
        </w:tabs>
        <w:ind w:left="1800" w:hanging="360"/>
      </w:pPr>
      <w:rPr>
        <w:rFonts w:ascii="Wingdings" w:hAnsi="Wingdings" w:hint="default"/>
      </w:rPr>
    </w:lvl>
    <w:lvl w:ilvl="3" w:tplc="041B0001" w:tentative="1">
      <w:start w:val="1"/>
      <w:numFmt w:val="bullet"/>
      <w:lvlText w:val=""/>
      <w:lvlJc w:val="left"/>
      <w:pPr>
        <w:tabs>
          <w:tab w:val="num" w:pos="2520"/>
        </w:tabs>
        <w:ind w:left="2520" w:hanging="360"/>
      </w:pPr>
      <w:rPr>
        <w:rFonts w:ascii="Symbol" w:hAnsi="Symbol" w:hint="default"/>
      </w:rPr>
    </w:lvl>
    <w:lvl w:ilvl="4" w:tplc="041B0003" w:tentative="1">
      <w:start w:val="1"/>
      <w:numFmt w:val="bullet"/>
      <w:lvlText w:val="o"/>
      <w:lvlJc w:val="left"/>
      <w:pPr>
        <w:tabs>
          <w:tab w:val="num" w:pos="3240"/>
        </w:tabs>
        <w:ind w:left="3240" w:hanging="360"/>
      </w:pPr>
      <w:rPr>
        <w:rFonts w:ascii="Courier New" w:hAnsi="Courier New" w:cs="Courier New" w:hint="default"/>
      </w:rPr>
    </w:lvl>
    <w:lvl w:ilvl="5" w:tplc="041B0005" w:tentative="1">
      <w:start w:val="1"/>
      <w:numFmt w:val="bullet"/>
      <w:lvlText w:val=""/>
      <w:lvlJc w:val="left"/>
      <w:pPr>
        <w:tabs>
          <w:tab w:val="num" w:pos="3960"/>
        </w:tabs>
        <w:ind w:left="3960" w:hanging="360"/>
      </w:pPr>
      <w:rPr>
        <w:rFonts w:ascii="Wingdings" w:hAnsi="Wingdings" w:hint="default"/>
      </w:rPr>
    </w:lvl>
    <w:lvl w:ilvl="6" w:tplc="041B0001" w:tentative="1">
      <w:start w:val="1"/>
      <w:numFmt w:val="bullet"/>
      <w:lvlText w:val=""/>
      <w:lvlJc w:val="left"/>
      <w:pPr>
        <w:tabs>
          <w:tab w:val="num" w:pos="4680"/>
        </w:tabs>
        <w:ind w:left="4680" w:hanging="360"/>
      </w:pPr>
      <w:rPr>
        <w:rFonts w:ascii="Symbol" w:hAnsi="Symbol" w:hint="default"/>
      </w:rPr>
    </w:lvl>
    <w:lvl w:ilvl="7" w:tplc="041B0003" w:tentative="1">
      <w:start w:val="1"/>
      <w:numFmt w:val="bullet"/>
      <w:lvlText w:val="o"/>
      <w:lvlJc w:val="left"/>
      <w:pPr>
        <w:tabs>
          <w:tab w:val="num" w:pos="5400"/>
        </w:tabs>
        <w:ind w:left="5400" w:hanging="360"/>
      </w:pPr>
      <w:rPr>
        <w:rFonts w:ascii="Courier New" w:hAnsi="Courier New" w:cs="Courier New" w:hint="default"/>
      </w:rPr>
    </w:lvl>
    <w:lvl w:ilvl="8" w:tplc="041B0005" w:tentative="1">
      <w:start w:val="1"/>
      <w:numFmt w:val="bullet"/>
      <w:lvlText w:val=""/>
      <w:lvlJc w:val="left"/>
      <w:pPr>
        <w:tabs>
          <w:tab w:val="num" w:pos="6120"/>
        </w:tabs>
        <w:ind w:left="6120" w:hanging="360"/>
      </w:pPr>
      <w:rPr>
        <w:rFonts w:ascii="Wingdings" w:hAnsi="Wingdings" w:hint="default"/>
      </w:rPr>
    </w:lvl>
  </w:abstractNum>
  <w:abstractNum w:abstractNumId="29">
    <w:nsid w:val="2C3C2539"/>
    <w:multiLevelType w:val="hybridMultilevel"/>
    <w:tmpl w:val="6A4EA3E8"/>
    <w:lvl w:ilvl="0" w:tplc="041B0011">
      <w:start w:val="1"/>
      <w:numFmt w:val="decimal"/>
      <w:lvlText w:val="%1)"/>
      <w:lvlJc w:val="left"/>
      <w:pPr>
        <w:tabs>
          <w:tab w:val="num" w:pos="720"/>
        </w:tabs>
        <w:ind w:left="720" w:hanging="360"/>
      </w:pPr>
      <w:rPr>
        <w:rFonts w:cs="Times New Roman" w:hint="default"/>
      </w:rPr>
    </w:lvl>
    <w:lvl w:ilvl="1" w:tplc="041B0019" w:tentative="1">
      <w:start w:val="1"/>
      <w:numFmt w:val="lowerLetter"/>
      <w:lvlText w:val="%2."/>
      <w:lvlJc w:val="left"/>
      <w:pPr>
        <w:tabs>
          <w:tab w:val="num" w:pos="1440"/>
        </w:tabs>
        <w:ind w:left="1440" w:hanging="360"/>
      </w:pPr>
      <w:rPr>
        <w:rFonts w:cs="Times New Roman"/>
      </w:rPr>
    </w:lvl>
    <w:lvl w:ilvl="2" w:tplc="041B001B" w:tentative="1">
      <w:start w:val="1"/>
      <w:numFmt w:val="lowerRoman"/>
      <w:lvlText w:val="%3."/>
      <w:lvlJc w:val="right"/>
      <w:pPr>
        <w:tabs>
          <w:tab w:val="num" w:pos="2160"/>
        </w:tabs>
        <w:ind w:left="2160" w:hanging="180"/>
      </w:pPr>
      <w:rPr>
        <w:rFonts w:cs="Times New Roman"/>
      </w:rPr>
    </w:lvl>
    <w:lvl w:ilvl="3" w:tplc="041B000F" w:tentative="1">
      <w:start w:val="1"/>
      <w:numFmt w:val="decimal"/>
      <w:lvlText w:val="%4."/>
      <w:lvlJc w:val="left"/>
      <w:pPr>
        <w:tabs>
          <w:tab w:val="num" w:pos="2880"/>
        </w:tabs>
        <w:ind w:left="2880" w:hanging="360"/>
      </w:pPr>
      <w:rPr>
        <w:rFonts w:cs="Times New Roman"/>
      </w:rPr>
    </w:lvl>
    <w:lvl w:ilvl="4" w:tplc="041B0019" w:tentative="1">
      <w:start w:val="1"/>
      <w:numFmt w:val="lowerLetter"/>
      <w:lvlText w:val="%5."/>
      <w:lvlJc w:val="left"/>
      <w:pPr>
        <w:tabs>
          <w:tab w:val="num" w:pos="3600"/>
        </w:tabs>
        <w:ind w:left="3600" w:hanging="360"/>
      </w:pPr>
      <w:rPr>
        <w:rFonts w:cs="Times New Roman"/>
      </w:rPr>
    </w:lvl>
    <w:lvl w:ilvl="5" w:tplc="041B001B" w:tentative="1">
      <w:start w:val="1"/>
      <w:numFmt w:val="lowerRoman"/>
      <w:lvlText w:val="%6."/>
      <w:lvlJc w:val="right"/>
      <w:pPr>
        <w:tabs>
          <w:tab w:val="num" w:pos="4320"/>
        </w:tabs>
        <w:ind w:left="4320" w:hanging="180"/>
      </w:pPr>
      <w:rPr>
        <w:rFonts w:cs="Times New Roman"/>
      </w:rPr>
    </w:lvl>
    <w:lvl w:ilvl="6" w:tplc="041B000F" w:tentative="1">
      <w:start w:val="1"/>
      <w:numFmt w:val="decimal"/>
      <w:lvlText w:val="%7."/>
      <w:lvlJc w:val="left"/>
      <w:pPr>
        <w:tabs>
          <w:tab w:val="num" w:pos="5040"/>
        </w:tabs>
        <w:ind w:left="5040" w:hanging="360"/>
      </w:pPr>
      <w:rPr>
        <w:rFonts w:cs="Times New Roman"/>
      </w:rPr>
    </w:lvl>
    <w:lvl w:ilvl="7" w:tplc="041B0019" w:tentative="1">
      <w:start w:val="1"/>
      <w:numFmt w:val="lowerLetter"/>
      <w:lvlText w:val="%8."/>
      <w:lvlJc w:val="left"/>
      <w:pPr>
        <w:tabs>
          <w:tab w:val="num" w:pos="5760"/>
        </w:tabs>
        <w:ind w:left="5760" w:hanging="360"/>
      </w:pPr>
      <w:rPr>
        <w:rFonts w:cs="Times New Roman"/>
      </w:rPr>
    </w:lvl>
    <w:lvl w:ilvl="8" w:tplc="041B001B" w:tentative="1">
      <w:start w:val="1"/>
      <w:numFmt w:val="lowerRoman"/>
      <w:lvlText w:val="%9."/>
      <w:lvlJc w:val="right"/>
      <w:pPr>
        <w:tabs>
          <w:tab w:val="num" w:pos="6480"/>
        </w:tabs>
        <w:ind w:left="6480" w:hanging="180"/>
      </w:pPr>
      <w:rPr>
        <w:rFonts w:cs="Times New Roman"/>
      </w:rPr>
    </w:lvl>
  </w:abstractNum>
  <w:abstractNum w:abstractNumId="30">
    <w:nsid w:val="2E9D06D5"/>
    <w:multiLevelType w:val="hybridMultilevel"/>
    <w:tmpl w:val="3A5C26C6"/>
    <w:lvl w:ilvl="0" w:tplc="041B0017">
      <w:start w:val="1"/>
      <w:numFmt w:val="lowerLetter"/>
      <w:lvlText w:val="%1)"/>
      <w:lvlJc w:val="left"/>
      <w:pPr>
        <w:tabs>
          <w:tab w:val="num" w:pos="720"/>
        </w:tabs>
        <w:ind w:left="720" w:hanging="360"/>
      </w:pPr>
      <w:rPr>
        <w:rFonts w:cs="Times New Roman" w:hint="default"/>
      </w:rPr>
    </w:lvl>
    <w:lvl w:ilvl="1" w:tplc="041B0019">
      <w:start w:val="1"/>
      <w:numFmt w:val="lowerLetter"/>
      <w:lvlText w:val="%2."/>
      <w:lvlJc w:val="left"/>
      <w:pPr>
        <w:tabs>
          <w:tab w:val="num" w:pos="1440"/>
        </w:tabs>
        <w:ind w:left="1440" w:hanging="360"/>
      </w:pPr>
      <w:rPr>
        <w:rFonts w:cs="Times New Roman"/>
      </w:rPr>
    </w:lvl>
    <w:lvl w:ilvl="2" w:tplc="041B001B">
      <w:start w:val="1"/>
      <w:numFmt w:val="lowerRoman"/>
      <w:lvlText w:val="%3."/>
      <w:lvlJc w:val="right"/>
      <w:pPr>
        <w:tabs>
          <w:tab w:val="num" w:pos="2160"/>
        </w:tabs>
        <w:ind w:left="2160" w:hanging="180"/>
      </w:pPr>
      <w:rPr>
        <w:rFonts w:cs="Times New Roman"/>
      </w:rPr>
    </w:lvl>
    <w:lvl w:ilvl="3" w:tplc="041B000F" w:tentative="1">
      <w:start w:val="1"/>
      <w:numFmt w:val="decimal"/>
      <w:lvlText w:val="%4."/>
      <w:lvlJc w:val="left"/>
      <w:pPr>
        <w:tabs>
          <w:tab w:val="num" w:pos="2880"/>
        </w:tabs>
        <w:ind w:left="2880" w:hanging="360"/>
      </w:pPr>
      <w:rPr>
        <w:rFonts w:cs="Times New Roman"/>
      </w:rPr>
    </w:lvl>
    <w:lvl w:ilvl="4" w:tplc="041B0019" w:tentative="1">
      <w:start w:val="1"/>
      <w:numFmt w:val="lowerLetter"/>
      <w:lvlText w:val="%5."/>
      <w:lvlJc w:val="left"/>
      <w:pPr>
        <w:tabs>
          <w:tab w:val="num" w:pos="3600"/>
        </w:tabs>
        <w:ind w:left="3600" w:hanging="360"/>
      </w:pPr>
      <w:rPr>
        <w:rFonts w:cs="Times New Roman"/>
      </w:rPr>
    </w:lvl>
    <w:lvl w:ilvl="5" w:tplc="041B001B" w:tentative="1">
      <w:start w:val="1"/>
      <w:numFmt w:val="lowerRoman"/>
      <w:lvlText w:val="%6."/>
      <w:lvlJc w:val="right"/>
      <w:pPr>
        <w:tabs>
          <w:tab w:val="num" w:pos="4320"/>
        </w:tabs>
        <w:ind w:left="4320" w:hanging="180"/>
      </w:pPr>
      <w:rPr>
        <w:rFonts w:cs="Times New Roman"/>
      </w:rPr>
    </w:lvl>
    <w:lvl w:ilvl="6" w:tplc="041B000F" w:tentative="1">
      <w:start w:val="1"/>
      <w:numFmt w:val="decimal"/>
      <w:lvlText w:val="%7."/>
      <w:lvlJc w:val="left"/>
      <w:pPr>
        <w:tabs>
          <w:tab w:val="num" w:pos="5040"/>
        </w:tabs>
        <w:ind w:left="5040" w:hanging="360"/>
      </w:pPr>
      <w:rPr>
        <w:rFonts w:cs="Times New Roman"/>
      </w:rPr>
    </w:lvl>
    <w:lvl w:ilvl="7" w:tplc="041B0019" w:tentative="1">
      <w:start w:val="1"/>
      <w:numFmt w:val="lowerLetter"/>
      <w:lvlText w:val="%8."/>
      <w:lvlJc w:val="left"/>
      <w:pPr>
        <w:tabs>
          <w:tab w:val="num" w:pos="5760"/>
        </w:tabs>
        <w:ind w:left="5760" w:hanging="360"/>
      </w:pPr>
      <w:rPr>
        <w:rFonts w:cs="Times New Roman"/>
      </w:rPr>
    </w:lvl>
    <w:lvl w:ilvl="8" w:tplc="041B001B" w:tentative="1">
      <w:start w:val="1"/>
      <w:numFmt w:val="lowerRoman"/>
      <w:lvlText w:val="%9."/>
      <w:lvlJc w:val="right"/>
      <w:pPr>
        <w:tabs>
          <w:tab w:val="num" w:pos="6480"/>
        </w:tabs>
        <w:ind w:left="6480" w:hanging="180"/>
      </w:pPr>
      <w:rPr>
        <w:rFonts w:cs="Times New Roman"/>
      </w:rPr>
    </w:lvl>
  </w:abstractNum>
  <w:abstractNum w:abstractNumId="31">
    <w:nsid w:val="2F383C52"/>
    <w:multiLevelType w:val="hybridMultilevel"/>
    <w:tmpl w:val="D5E6768E"/>
    <w:lvl w:ilvl="0" w:tplc="A4062AFC">
      <w:start w:val="1"/>
      <w:numFmt w:val="lowerLetter"/>
      <w:lvlText w:val="%1)"/>
      <w:lvlJc w:val="left"/>
      <w:pPr>
        <w:ind w:left="720" w:hanging="360"/>
      </w:pPr>
      <w:rPr>
        <w:rFonts w:ascii="Times New Roman" w:hAnsi="Times New Roman" w:cs="Times New Roman" w:hint="default"/>
        <w:sz w:val="24"/>
        <w:szCs w:val="24"/>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2">
    <w:nsid w:val="2F42277D"/>
    <w:multiLevelType w:val="hybridMultilevel"/>
    <w:tmpl w:val="7BE0CAEC"/>
    <w:lvl w:ilvl="0" w:tplc="0D12B2D0">
      <w:start w:val="1"/>
      <w:numFmt w:val="decimal"/>
      <w:lvlText w:val="%1."/>
      <w:lvlJc w:val="left"/>
      <w:pPr>
        <w:ind w:left="360" w:hanging="360"/>
      </w:pPr>
      <w:rPr>
        <w:rFonts w:hint="default"/>
      </w:rPr>
    </w:lvl>
    <w:lvl w:ilvl="1" w:tplc="041B0019" w:tentative="1">
      <w:start w:val="1"/>
      <w:numFmt w:val="lowerLetter"/>
      <w:lvlText w:val="%2."/>
      <w:lvlJc w:val="left"/>
      <w:pPr>
        <w:ind w:left="1080" w:hanging="360"/>
      </w:pPr>
    </w:lvl>
    <w:lvl w:ilvl="2" w:tplc="041B001B" w:tentative="1">
      <w:start w:val="1"/>
      <w:numFmt w:val="lowerRoman"/>
      <w:lvlText w:val="%3."/>
      <w:lvlJc w:val="right"/>
      <w:pPr>
        <w:ind w:left="1800" w:hanging="180"/>
      </w:pPr>
    </w:lvl>
    <w:lvl w:ilvl="3" w:tplc="041B000F" w:tentative="1">
      <w:start w:val="1"/>
      <w:numFmt w:val="decimal"/>
      <w:lvlText w:val="%4."/>
      <w:lvlJc w:val="left"/>
      <w:pPr>
        <w:ind w:left="2520" w:hanging="360"/>
      </w:pPr>
    </w:lvl>
    <w:lvl w:ilvl="4" w:tplc="041B0019" w:tentative="1">
      <w:start w:val="1"/>
      <w:numFmt w:val="lowerLetter"/>
      <w:lvlText w:val="%5."/>
      <w:lvlJc w:val="left"/>
      <w:pPr>
        <w:ind w:left="3240" w:hanging="360"/>
      </w:pPr>
    </w:lvl>
    <w:lvl w:ilvl="5" w:tplc="041B001B" w:tentative="1">
      <w:start w:val="1"/>
      <w:numFmt w:val="lowerRoman"/>
      <w:lvlText w:val="%6."/>
      <w:lvlJc w:val="right"/>
      <w:pPr>
        <w:ind w:left="3960" w:hanging="180"/>
      </w:pPr>
    </w:lvl>
    <w:lvl w:ilvl="6" w:tplc="041B000F" w:tentative="1">
      <w:start w:val="1"/>
      <w:numFmt w:val="decimal"/>
      <w:lvlText w:val="%7."/>
      <w:lvlJc w:val="left"/>
      <w:pPr>
        <w:ind w:left="4680" w:hanging="360"/>
      </w:pPr>
    </w:lvl>
    <w:lvl w:ilvl="7" w:tplc="041B0019" w:tentative="1">
      <w:start w:val="1"/>
      <w:numFmt w:val="lowerLetter"/>
      <w:lvlText w:val="%8."/>
      <w:lvlJc w:val="left"/>
      <w:pPr>
        <w:ind w:left="5400" w:hanging="360"/>
      </w:pPr>
    </w:lvl>
    <w:lvl w:ilvl="8" w:tplc="041B001B" w:tentative="1">
      <w:start w:val="1"/>
      <w:numFmt w:val="lowerRoman"/>
      <w:lvlText w:val="%9."/>
      <w:lvlJc w:val="right"/>
      <w:pPr>
        <w:ind w:left="6120" w:hanging="180"/>
      </w:pPr>
    </w:lvl>
  </w:abstractNum>
  <w:abstractNum w:abstractNumId="33">
    <w:nsid w:val="375870C2"/>
    <w:multiLevelType w:val="hybridMultilevel"/>
    <w:tmpl w:val="B18CE242"/>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4">
    <w:nsid w:val="39B75969"/>
    <w:multiLevelType w:val="hybridMultilevel"/>
    <w:tmpl w:val="8912FDF6"/>
    <w:lvl w:ilvl="0" w:tplc="041B0015">
      <w:start w:val="1"/>
      <w:numFmt w:val="upperLetter"/>
      <w:lvlText w:val="%1."/>
      <w:lvlJc w:val="left"/>
      <w:pPr>
        <w:ind w:left="720" w:hanging="360"/>
      </w:pPr>
    </w:lvl>
    <w:lvl w:ilvl="1" w:tplc="8062C0CC">
      <w:start w:val="1"/>
      <w:numFmt w:val="bullet"/>
      <w:lvlText w:val="-"/>
      <w:lvlJc w:val="left"/>
      <w:pPr>
        <w:ind w:left="1440" w:hanging="360"/>
      </w:pPr>
      <w:rPr>
        <w:rFonts w:ascii="Arial" w:eastAsia="Times New Roman" w:hAnsi="Arial" w:cs="Arial" w:hint="default"/>
      </w:r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5">
    <w:nsid w:val="3CE56975"/>
    <w:multiLevelType w:val="hybridMultilevel"/>
    <w:tmpl w:val="0A026DF2"/>
    <w:lvl w:ilvl="0" w:tplc="5646332E">
      <w:start w:val="1"/>
      <w:numFmt w:val="lowerLetter"/>
      <w:lvlText w:val="%1)"/>
      <w:lvlJc w:val="left"/>
      <w:pPr>
        <w:tabs>
          <w:tab w:val="num" w:pos="720"/>
        </w:tabs>
        <w:ind w:left="720" w:hanging="360"/>
      </w:pPr>
      <w:rPr>
        <w:rFonts w:cs="Times New Roman" w:hint="default"/>
      </w:rPr>
    </w:lvl>
    <w:lvl w:ilvl="1" w:tplc="041B0019" w:tentative="1">
      <w:start w:val="1"/>
      <w:numFmt w:val="lowerLetter"/>
      <w:lvlText w:val="%2."/>
      <w:lvlJc w:val="left"/>
      <w:pPr>
        <w:tabs>
          <w:tab w:val="num" w:pos="1440"/>
        </w:tabs>
        <w:ind w:left="1440" w:hanging="360"/>
      </w:pPr>
      <w:rPr>
        <w:rFonts w:cs="Times New Roman"/>
      </w:rPr>
    </w:lvl>
    <w:lvl w:ilvl="2" w:tplc="041B001B" w:tentative="1">
      <w:start w:val="1"/>
      <w:numFmt w:val="lowerRoman"/>
      <w:lvlText w:val="%3."/>
      <w:lvlJc w:val="right"/>
      <w:pPr>
        <w:tabs>
          <w:tab w:val="num" w:pos="2160"/>
        </w:tabs>
        <w:ind w:left="2160" w:hanging="180"/>
      </w:pPr>
      <w:rPr>
        <w:rFonts w:cs="Times New Roman"/>
      </w:rPr>
    </w:lvl>
    <w:lvl w:ilvl="3" w:tplc="041B000F" w:tentative="1">
      <w:start w:val="1"/>
      <w:numFmt w:val="decimal"/>
      <w:lvlText w:val="%4."/>
      <w:lvlJc w:val="left"/>
      <w:pPr>
        <w:tabs>
          <w:tab w:val="num" w:pos="2880"/>
        </w:tabs>
        <w:ind w:left="2880" w:hanging="360"/>
      </w:pPr>
      <w:rPr>
        <w:rFonts w:cs="Times New Roman"/>
      </w:rPr>
    </w:lvl>
    <w:lvl w:ilvl="4" w:tplc="041B0019" w:tentative="1">
      <w:start w:val="1"/>
      <w:numFmt w:val="lowerLetter"/>
      <w:lvlText w:val="%5."/>
      <w:lvlJc w:val="left"/>
      <w:pPr>
        <w:tabs>
          <w:tab w:val="num" w:pos="3600"/>
        </w:tabs>
        <w:ind w:left="3600" w:hanging="360"/>
      </w:pPr>
      <w:rPr>
        <w:rFonts w:cs="Times New Roman"/>
      </w:rPr>
    </w:lvl>
    <w:lvl w:ilvl="5" w:tplc="041B001B" w:tentative="1">
      <w:start w:val="1"/>
      <w:numFmt w:val="lowerRoman"/>
      <w:lvlText w:val="%6."/>
      <w:lvlJc w:val="right"/>
      <w:pPr>
        <w:tabs>
          <w:tab w:val="num" w:pos="4320"/>
        </w:tabs>
        <w:ind w:left="4320" w:hanging="180"/>
      </w:pPr>
      <w:rPr>
        <w:rFonts w:cs="Times New Roman"/>
      </w:rPr>
    </w:lvl>
    <w:lvl w:ilvl="6" w:tplc="041B000F" w:tentative="1">
      <w:start w:val="1"/>
      <w:numFmt w:val="decimal"/>
      <w:lvlText w:val="%7."/>
      <w:lvlJc w:val="left"/>
      <w:pPr>
        <w:tabs>
          <w:tab w:val="num" w:pos="5040"/>
        </w:tabs>
        <w:ind w:left="5040" w:hanging="360"/>
      </w:pPr>
      <w:rPr>
        <w:rFonts w:cs="Times New Roman"/>
      </w:rPr>
    </w:lvl>
    <w:lvl w:ilvl="7" w:tplc="041B0019" w:tentative="1">
      <w:start w:val="1"/>
      <w:numFmt w:val="lowerLetter"/>
      <w:lvlText w:val="%8."/>
      <w:lvlJc w:val="left"/>
      <w:pPr>
        <w:tabs>
          <w:tab w:val="num" w:pos="5760"/>
        </w:tabs>
        <w:ind w:left="5760" w:hanging="360"/>
      </w:pPr>
      <w:rPr>
        <w:rFonts w:cs="Times New Roman"/>
      </w:rPr>
    </w:lvl>
    <w:lvl w:ilvl="8" w:tplc="041B001B" w:tentative="1">
      <w:start w:val="1"/>
      <w:numFmt w:val="lowerRoman"/>
      <w:lvlText w:val="%9."/>
      <w:lvlJc w:val="right"/>
      <w:pPr>
        <w:tabs>
          <w:tab w:val="num" w:pos="6480"/>
        </w:tabs>
        <w:ind w:left="6480" w:hanging="180"/>
      </w:pPr>
      <w:rPr>
        <w:rFonts w:cs="Times New Roman"/>
      </w:rPr>
    </w:lvl>
  </w:abstractNum>
  <w:abstractNum w:abstractNumId="36">
    <w:nsid w:val="3D233015"/>
    <w:multiLevelType w:val="hybridMultilevel"/>
    <w:tmpl w:val="64988086"/>
    <w:lvl w:ilvl="0" w:tplc="1DD4C99C">
      <w:start w:val="1"/>
      <w:numFmt w:val="bullet"/>
      <w:lvlText w:val=""/>
      <w:lvlJc w:val="left"/>
      <w:pPr>
        <w:tabs>
          <w:tab w:val="num" w:pos="720"/>
        </w:tabs>
        <w:ind w:left="720" w:hanging="360"/>
      </w:pPr>
      <w:rPr>
        <w:rFonts w:ascii="Symbol" w:hAnsi="Symbol" w:hint="default"/>
        <w:sz w:val="22"/>
        <w:szCs w:val="22"/>
      </w:rPr>
    </w:lvl>
    <w:lvl w:ilvl="1" w:tplc="041B0003" w:tentative="1">
      <w:start w:val="1"/>
      <w:numFmt w:val="bullet"/>
      <w:lvlText w:val="o"/>
      <w:lvlJc w:val="left"/>
      <w:pPr>
        <w:tabs>
          <w:tab w:val="num" w:pos="1440"/>
        </w:tabs>
        <w:ind w:left="1440" w:hanging="360"/>
      </w:pPr>
      <w:rPr>
        <w:rFonts w:ascii="Courier New" w:hAnsi="Courier New" w:cs="Courier New" w:hint="default"/>
      </w:rPr>
    </w:lvl>
    <w:lvl w:ilvl="2" w:tplc="041B0005" w:tentative="1">
      <w:start w:val="1"/>
      <w:numFmt w:val="bullet"/>
      <w:lvlText w:val=""/>
      <w:lvlJc w:val="left"/>
      <w:pPr>
        <w:tabs>
          <w:tab w:val="num" w:pos="2160"/>
        </w:tabs>
        <w:ind w:left="2160" w:hanging="360"/>
      </w:pPr>
      <w:rPr>
        <w:rFonts w:ascii="Wingdings" w:hAnsi="Wingdings" w:hint="default"/>
      </w:rPr>
    </w:lvl>
    <w:lvl w:ilvl="3" w:tplc="041B0001" w:tentative="1">
      <w:start w:val="1"/>
      <w:numFmt w:val="bullet"/>
      <w:lvlText w:val=""/>
      <w:lvlJc w:val="left"/>
      <w:pPr>
        <w:tabs>
          <w:tab w:val="num" w:pos="2880"/>
        </w:tabs>
        <w:ind w:left="2880" w:hanging="360"/>
      </w:pPr>
      <w:rPr>
        <w:rFonts w:ascii="Symbol" w:hAnsi="Symbol" w:hint="default"/>
      </w:rPr>
    </w:lvl>
    <w:lvl w:ilvl="4" w:tplc="041B0003" w:tentative="1">
      <w:start w:val="1"/>
      <w:numFmt w:val="bullet"/>
      <w:lvlText w:val="o"/>
      <w:lvlJc w:val="left"/>
      <w:pPr>
        <w:tabs>
          <w:tab w:val="num" w:pos="3600"/>
        </w:tabs>
        <w:ind w:left="3600" w:hanging="360"/>
      </w:pPr>
      <w:rPr>
        <w:rFonts w:ascii="Courier New" w:hAnsi="Courier New" w:cs="Courier New" w:hint="default"/>
      </w:rPr>
    </w:lvl>
    <w:lvl w:ilvl="5" w:tplc="041B0005" w:tentative="1">
      <w:start w:val="1"/>
      <w:numFmt w:val="bullet"/>
      <w:lvlText w:val=""/>
      <w:lvlJc w:val="left"/>
      <w:pPr>
        <w:tabs>
          <w:tab w:val="num" w:pos="4320"/>
        </w:tabs>
        <w:ind w:left="4320" w:hanging="360"/>
      </w:pPr>
      <w:rPr>
        <w:rFonts w:ascii="Wingdings" w:hAnsi="Wingdings" w:hint="default"/>
      </w:rPr>
    </w:lvl>
    <w:lvl w:ilvl="6" w:tplc="041B0001" w:tentative="1">
      <w:start w:val="1"/>
      <w:numFmt w:val="bullet"/>
      <w:lvlText w:val=""/>
      <w:lvlJc w:val="left"/>
      <w:pPr>
        <w:tabs>
          <w:tab w:val="num" w:pos="5040"/>
        </w:tabs>
        <w:ind w:left="5040" w:hanging="360"/>
      </w:pPr>
      <w:rPr>
        <w:rFonts w:ascii="Symbol" w:hAnsi="Symbol" w:hint="default"/>
      </w:rPr>
    </w:lvl>
    <w:lvl w:ilvl="7" w:tplc="041B0003" w:tentative="1">
      <w:start w:val="1"/>
      <w:numFmt w:val="bullet"/>
      <w:lvlText w:val="o"/>
      <w:lvlJc w:val="left"/>
      <w:pPr>
        <w:tabs>
          <w:tab w:val="num" w:pos="5760"/>
        </w:tabs>
        <w:ind w:left="5760" w:hanging="360"/>
      </w:pPr>
      <w:rPr>
        <w:rFonts w:ascii="Courier New" w:hAnsi="Courier New" w:cs="Courier New" w:hint="default"/>
      </w:rPr>
    </w:lvl>
    <w:lvl w:ilvl="8" w:tplc="041B0005" w:tentative="1">
      <w:start w:val="1"/>
      <w:numFmt w:val="bullet"/>
      <w:lvlText w:val=""/>
      <w:lvlJc w:val="left"/>
      <w:pPr>
        <w:tabs>
          <w:tab w:val="num" w:pos="6480"/>
        </w:tabs>
        <w:ind w:left="6480" w:hanging="360"/>
      </w:pPr>
      <w:rPr>
        <w:rFonts w:ascii="Wingdings" w:hAnsi="Wingdings" w:hint="default"/>
      </w:rPr>
    </w:lvl>
  </w:abstractNum>
  <w:abstractNum w:abstractNumId="37">
    <w:nsid w:val="40151998"/>
    <w:multiLevelType w:val="hybridMultilevel"/>
    <w:tmpl w:val="0114A932"/>
    <w:lvl w:ilvl="0" w:tplc="63DEA606">
      <w:start w:val="1"/>
      <w:numFmt w:val="bullet"/>
      <w:lvlText w:val="-"/>
      <w:lvlJc w:val="left"/>
      <w:pPr>
        <w:tabs>
          <w:tab w:val="num" w:pos="1080"/>
        </w:tabs>
        <w:ind w:left="1080" w:hanging="360"/>
      </w:pPr>
      <w:rPr>
        <w:rFonts w:ascii="Times New Roman" w:eastAsia="Times New Roman" w:hAnsi="Times New Roman" w:hint="default"/>
        <w:color w:val="000000"/>
      </w:rPr>
    </w:lvl>
    <w:lvl w:ilvl="1" w:tplc="041B0003" w:tentative="1">
      <w:start w:val="1"/>
      <w:numFmt w:val="bullet"/>
      <w:lvlText w:val="o"/>
      <w:lvlJc w:val="left"/>
      <w:pPr>
        <w:tabs>
          <w:tab w:val="num" w:pos="1800"/>
        </w:tabs>
        <w:ind w:left="1800" w:hanging="360"/>
      </w:pPr>
      <w:rPr>
        <w:rFonts w:ascii="Courier New" w:hAnsi="Courier New" w:hint="default"/>
      </w:rPr>
    </w:lvl>
    <w:lvl w:ilvl="2" w:tplc="041B0005" w:tentative="1">
      <w:start w:val="1"/>
      <w:numFmt w:val="bullet"/>
      <w:lvlText w:val=""/>
      <w:lvlJc w:val="left"/>
      <w:pPr>
        <w:tabs>
          <w:tab w:val="num" w:pos="2520"/>
        </w:tabs>
        <w:ind w:left="2520" w:hanging="360"/>
      </w:pPr>
      <w:rPr>
        <w:rFonts w:ascii="Wingdings" w:hAnsi="Wingdings" w:hint="default"/>
      </w:rPr>
    </w:lvl>
    <w:lvl w:ilvl="3" w:tplc="041B0001" w:tentative="1">
      <w:start w:val="1"/>
      <w:numFmt w:val="bullet"/>
      <w:lvlText w:val=""/>
      <w:lvlJc w:val="left"/>
      <w:pPr>
        <w:tabs>
          <w:tab w:val="num" w:pos="3240"/>
        </w:tabs>
        <w:ind w:left="3240" w:hanging="360"/>
      </w:pPr>
      <w:rPr>
        <w:rFonts w:ascii="Symbol" w:hAnsi="Symbol" w:hint="default"/>
      </w:rPr>
    </w:lvl>
    <w:lvl w:ilvl="4" w:tplc="041B0003" w:tentative="1">
      <w:start w:val="1"/>
      <w:numFmt w:val="bullet"/>
      <w:lvlText w:val="o"/>
      <w:lvlJc w:val="left"/>
      <w:pPr>
        <w:tabs>
          <w:tab w:val="num" w:pos="3960"/>
        </w:tabs>
        <w:ind w:left="3960" w:hanging="360"/>
      </w:pPr>
      <w:rPr>
        <w:rFonts w:ascii="Courier New" w:hAnsi="Courier New" w:hint="default"/>
      </w:rPr>
    </w:lvl>
    <w:lvl w:ilvl="5" w:tplc="041B0005" w:tentative="1">
      <w:start w:val="1"/>
      <w:numFmt w:val="bullet"/>
      <w:lvlText w:val=""/>
      <w:lvlJc w:val="left"/>
      <w:pPr>
        <w:tabs>
          <w:tab w:val="num" w:pos="4680"/>
        </w:tabs>
        <w:ind w:left="4680" w:hanging="360"/>
      </w:pPr>
      <w:rPr>
        <w:rFonts w:ascii="Wingdings" w:hAnsi="Wingdings" w:hint="default"/>
      </w:rPr>
    </w:lvl>
    <w:lvl w:ilvl="6" w:tplc="041B0001" w:tentative="1">
      <w:start w:val="1"/>
      <w:numFmt w:val="bullet"/>
      <w:lvlText w:val=""/>
      <w:lvlJc w:val="left"/>
      <w:pPr>
        <w:tabs>
          <w:tab w:val="num" w:pos="5400"/>
        </w:tabs>
        <w:ind w:left="5400" w:hanging="360"/>
      </w:pPr>
      <w:rPr>
        <w:rFonts w:ascii="Symbol" w:hAnsi="Symbol" w:hint="default"/>
      </w:rPr>
    </w:lvl>
    <w:lvl w:ilvl="7" w:tplc="041B0003" w:tentative="1">
      <w:start w:val="1"/>
      <w:numFmt w:val="bullet"/>
      <w:lvlText w:val="o"/>
      <w:lvlJc w:val="left"/>
      <w:pPr>
        <w:tabs>
          <w:tab w:val="num" w:pos="6120"/>
        </w:tabs>
        <w:ind w:left="6120" w:hanging="360"/>
      </w:pPr>
      <w:rPr>
        <w:rFonts w:ascii="Courier New" w:hAnsi="Courier New" w:hint="default"/>
      </w:rPr>
    </w:lvl>
    <w:lvl w:ilvl="8" w:tplc="041B0005" w:tentative="1">
      <w:start w:val="1"/>
      <w:numFmt w:val="bullet"/>
      <w:lvlText w:val=""/>
      <w:lvlJc w:val="left"/>
      <w:pPr>
        <w:tabs>
          <w:tab w:val="num" w:pos="6840"/>
        </w:tabs>
        <w:ind w:left="6840" w:hanging="360"/>
      </w:pPr>
      <w:rPr>
        <w:rFonts w:ascii="Wingdings" w:hAnsi="Wingdings" w:hint="default"/>
      </w:rPr>
    </w:lvl>
  </w:abstractNum>
  <w:abstractNum w:abstractNumId="38">
    <w:nsid w:val="40570193"/>
    <w:multiLevelType w:val="hybridMultilevel"/>
    <w:tmpl w:val="5A94767A"/>
    <w:lvl w:ilvl="0" w:tplc="B2A603DC">
      <w:start w:val="1"/>
      <w:numFmt w:val="decimal"/>
      <w:lvlText w:val="%1)"/>
      <w:lvlJc w:val="left"/>
      <w:pPr>
        <w:ind w:left="394" w:hanging="360"/>
      </w:pPr>
      <w:rPr>
        <w:rFonts w:hint="default"/>
        <w:b/>
      </w:rPr>
    </w:lvl>
    <w:lvl w:ilvl="1" w:tplc="041B0019" w:tentative="1">
      <w:start w:val="1"/>
      <w:numFmt w:val="lowerLetter"/>
      <w:lvlText w:val="%2."/>
      <w:lvlJc w:val="left"/>
      <w:pPr>
        <w:ind w:left="1114" w:hanging="360"/>
      </w:pPr>
    </w:lvl>
    <w:lvl w:ilvl="2" w:tplc="041B001B" w:tentative="1">
      <w:start w:val="1"/>
      <w:numFmt w:val="lowerRoman"/>
      <w:lvlText w:val="%3."/>
      <w:lvlJc w:val="right"/>
      <w:pPr>
        <w:ind w:left="1834" w:hanging="180"/>
      </w:pPr>
    </w:lvl>
    <w:lvl w:ilvl="3" w:tplc="041B000F" w:tentative="1">
      <w:start w:val="1"/>
      <w:numFmt w:val="decimal"/>
      <w:lvlText w:val="%4."/>
      <w:lvlJc w:val="left"/>
      <w:pPr>
        <w:ind w:left="2554" w:hanging="360"/>
      </w:pPr>
    </w:lvl>
    <w:lvl w:ilvl="4" w:tplc="041B0019" w:tentative="1">
      <w:start w:val="1"/>
      <w:numFmt w:val="lowerLetter"/>
      <w:lvlText w:val="%5."/>
      <w:lvlJc w:val="left"/>
      <w:pPr>
        <w:ind w:left="3274" w:hanging="360"/>
      </w:pPr>
    </w:lvl>
    <w:lvl w:ilvl="5" w:tplc="041B001B" w:tentative="1">
      <w:start w:val="1"/>
      <w:numFmt w:val="lowerRoman"/>
      <w:lvlText w:val="%6."/>
      <w:lvlJc w:val="right"/>
      <w:pPr>
        <w:ind w:left="3994" w:hanging="180"/>
      </w:pPr>
    </w:lvl>
    <w:lvl w:ilvl="6" w:tplc="041B000F" w:tentative="1">
      <w:start w:val="1"/>
      <w:numFmt w:val="decimal"/>
      <w:lvlText w:val="%7."/>
      <w:lvlJc w:val="left"/>
      <w:pPr>
        <w:ind w:left="4714" w:hanging="360"/>
      </w:pPr>
    </w:lvl>
    <w:lvl w:ilvl="7" w:tplc="041B0019" w:tentative="1">
      <w:start w:val="1"/>
      <w:numFmt w:val="lowerLetter"/>
      <w:lvlText w:val="%8."/>
      <w:lvlJc w:val="left"/>
      <w:pPr>
        <w:ind w:left="5434" w:hanging="360"/>
      </w:pPr>
    </w:lvl>
    <w:lvl w:ilvl="8" w:tplc="041B001B" w:tentative="1">
      <w:start w:val="1"/>
      <w:numFmt w:val="lowerRoman"/>
      <w:lvlText w:val="%9."/>
      <w:lvlJc w:val="right"/>
      <w:pPr>
        <w:ind w:left="6154" w:hanging="180"/>
      </w:pPr>
    </w:lvl>
  </w:abstractNum>
  <w:abstractNum w:abstractNumId="39">
    <w:nsid w:val="4061050D"/>
    <w:multiLevelType w:val="hybridMultilevel"/>
    <w:tmpl w:val="56CC4556"/>
    <w:lvl w:ilvl="0" w:tplc="712E8770">
      <w:start w:val="1"/>
      <w:numFmt w:val="upperRoman"/>
      <w:lvlText w:val="%1."/>
      <w:lvlJc w:val="left"/>
      <w:pPr>
        <w:ind w:left="1080" w:hanging="72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0">
    <w:nsid w:val="43031341"/>
    <w:multiLevelType w:val="hybridMultilevel"/>
    <w:tmpl w:val="A8DA5FD0"/>
    <w:lvl w:ilvl="0" w:tplc="041B0001">
      <w:start w:val="1"/>
      <w:numFmt w:val="bullet"/>
      <w:lvlText w:val=""/>
      <w:lvlJc w:val="left"/>
      <w:pPr>
        <w:tabs>
          <w:tab w:val="num" w:pos="720"/>
        </w:tabs>
        <w:ind w:left="720" w:hanging="360"/>
      </w:pPr>
      <w:rPr>
        <w:rFonts w:ascii="Symbol" w:hAnsi="Symbol" w:hint="default"/>
      </w:rPr>
    </w:lvl>
    <w:lvl w:ilvl="1" w:tplc="041B0003" w:tentative="1">
      <w:start w:val="1"/>
      <w:numFmt w:val="bullet"/>
      <w:lvlText w:val="o"/>
      <w:lvlJc w:val="left"/>
      <w:pPr>
        <w:tabs>
          <w:tab w:val="num" w:pos="1440"/>
        </w:tabs>
        <w:ind w:left="1440" w:hanging="360"/>
      </w:pPr>
      <w:rPr>
        <w:rFonts w:ascii="Courier New" w:hAnsi="Courier New" w:cs="Courier New" w:hint="default"/>
      </w:rPr>
    </w:lvl>
    <w:lvl w:ilvl="2" w:tplc="041B0005" w:tentative="1">
      <w:start w:val="1"/>
      <w:numFmt w:val="bullet"/>
      <w:lvlText w:val=""/>
      <w:lvlJc w:val="left"/>
      <w:pPr>
        <w:tabs>
          <w:tab w:val="num" w:pos="2160"/>
        </w:tabs>
        <w:ind w:left="2160" w:hanging="360"/>
      </w:pPr>
      <w:rPr>
        <w:rFonts w:ascii="Wingdings" w:hAnsi="Wingdings" w:hint="default"/>
      </w:rPr>
    </w:lvl>
    <w:lvl w:ilvl="3" w:tplc="041B0001" w:tentative="1">
      <w:start w:val="1"/>
      <w:numFmt w:val="bullet"/>
      <w:lvlText w:val=""/>
      <w:lvlJc w:val="left"/>
      <w:pPr>
        <w:tabs>
          <w:tab w:val="num" w:pos="2880"/>
        </w:tabs>
        <w:ind w:left="2880" w:hanging="360"/>
      </w:pPr>
      <w:rPr>
        <w:rFonts w:ascii="Symbol" w:hAnsi="Symbol" w:hint="default"/>
      </w:rPr>
    </w:lvl>
    <w:lvl w:ilvl="4" w:tplc="041B0003" w:tentative="1">
      <w:start w:val="1"/>
      <w:numFmt w:val="bullet"/>
      <w:lvlText w:val="o"/>
      <w:lvlJc w:val="left"/>
      <w:pPr>
        <w:tabs>
          <w:tab w:val="num" w:pos="3600"/>
        </w:tabs>
        <w:ind w:left="3600" w:hanging="360"/>
      </w:pPr>
      <w:rPr>
        <w:rFonts w:ascii="Courier New" w:hAnsi="Courier New" w:cs="Courier New" w:hint="default"/>
      </w:rPr>
    </w:lvl>
    <w:lvl w:ilvl="5" w:tplc="041B0005" w:tentative="1">
      <w:start w:val="1"/>
      <w:numFmt w:val="bullet"/>
      <w:lvlText w:val=""/>
      <w:lvlJc w:val="left"/>
      <w:pPr>
        <w:tabs>
          <w:tab w:val="num" w:pos="4320"/>
        </w:tabs>
        <w:ind w:left="4320" w:hanging="360"/>
      </w:pPr>
      <w:rPr>
        <w:rFonts w:ascii="Wingdings" w:hAnsi="Wingdings" w:hint="default"/>
      </w:rPr>
    </w:lvl>
    <w:lvl w:ilvl="6" w:tplc="041B0001" w:tentative="1">
      <w:start w:val="1"/>
      <w:numFmt w:val="bullet"/>
      <w:lvlText w:val=""/>
      <w:lvlJc w:val="left"/>
      <w:pPr>
        <w:tabs>
          <w:tab w:val="num" w:pos="5040"/>
        </w:tabs>
        <w:ind w:left="5040" w:hanging="360"/>
      </w:pPr>
      <w:rPr>
        <w:rFonts w:ascii="Symbol" w:hAnsi="Symbol" w:hint="default"/>
      </w:rPr>
    </w:lvl>
    <w:lvl w:ilvl="7" w:tplc="041B0003" w:tentative="1">
      <w:start w:val="1"/>
      <w:numFmt w:val="bullet"/>
      <w:lvlText w:val="o"/>
      <w:lvlJc w:val="left"/>
      <w:pPr>
        <w:tabs>
          <w:tab w:val="num" w:pos="5760"/>
        </w:tabs>
        <w:ind w:left="5760" w:hanging="360"/>
      </w:pPr>
      <w:rPr>
        <w:rFonts w:ascii="Courier New" w:hAnsi="Courier New" w:cs="Courier New" w:hint="default"/>
      </w:rPr>
    </w:lvl>
    <w:lvl w:ilvl="8" w:tplc="041B0005" w:tentative="1">
      <w:start w:val="1"/>
      <w:numFmt w:val="bullet"/>
      <w:lvlText w:val=""/>
      <w:lvlJc w:val="left"/>
      <w:pPr>
        <w:tabs>
          <w:tab w:val="num" w:pos="6480"/>
        </w:tabs>
        <w:ind w:left="6480" w:hanging="360"/>
      </w:pPr>
      <w:rPr>
        <w:rFonts w:ascii="Wingdings" w:hAnsi="Wingdings" w:hint="default"/>
      </w:rPr>
    </w:lvl>
  </w:abstractNum>
  <w:abstractNum w:abstractNumId="41">
    <w:nsid w:val="4334708F"/>
    <w:multiLevelType w:val="singleLevel"/>
    <w:tmpl w:val="E02489A2"/>
    <w:lvl w:ilvl="0">
      <w:numFmt w:val="bullet"/>
      <w:pStyle w:val="Tiret"/>
      <w:lvlText w:val="-"/>
      <w:lvlJc w:val="left"/>
      <w:pPr>
        <w:tabs>
          <w:tab w:val="num" w:pos="360"/>
        </w:tabs>
        <w:ind w:left="360" w:hanging="360"/>
      </w:pPr>
      <w:rPr>
        <w:rFonts w:hint="default"/>
      </w:rPr>
    </w:lvl>
  </w:abstractNum>
  <w:abstractNum w:abstractNumId="42">
    <w:nsid w:val="449B2B15"/>
    <w:multiLevelType w:val="hybridMultilevel"/>
    <w:tmpl w:val="096A91BA"/>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3">
    <w:nsid w:val="4600362D"/>
    <w:multiLevelType w:val="hybridMultilevel"/>
    <w:tmpl w:val="2A74FFA8"/>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4">
    <w:nsid w:val="4A683BC5"/>
    <w:multiLevelType w:val="hybridMultilevel"/>
    <w:tmpl w:val="AEBE2DEE"/>
    <w:lvl w:ilvl="0" w:tplc="87E49824">
      <w:start w:val="1"/>
      <w:numFmt w:val="bullet"/>
      <w:lvlText w:val=""/>
      <w:lvlJc w:val="left"/>
      <w:pPr>
        <w:ind w:left="1440" w:hanging="360"/>
      </w:pPr>
      <w:rPr>
        <w:rFonts w:ascii="Symbol" w:hAnsi="Symbol" w:hint="default"/>
      </w:rPr>
    </w:lvl>
    <w:lvl w:ilvl="1" w:tplc="041B0003">
      <w:start w:val="1"/>
      <w:numFmt w:val="decimal"/>
      <w:lvlText w:val="%2."/>
      <w:lvlJc w:val="left"/>
      <w:pPr>
        <w:tabs>
          <w:tab w:val="num" w:pos="1440"/>
        </w:tabs>
        <w:ind w:left="1440" w:hanging="360"/>
      </w:pPr>
    </w:lvl>
    <w:lvl w:ilvl="2" w:tplc="041B0005">
      <w:start w:val="1"/>
      <w:numFmt w:val="decimal"/>
      <w:lvlText w:val="%3."/>
      <w:lvlJc w:val="left"/>
      <w:pPr>
        <w:tabs>
          <w:tab w:val="num" w:pos="2160"/>
        </w:tabs>
        <w:ind w:left="2160" w:hanging="360"/>
      </w:pPr>
    </w:lvl>
    <w:lvl w:ilvl="3" w:tplc="041B0001">
      <w:start w:val="1"/>
      <w:numFmt w:val="decimal"/>
      <w:lvlText w:val="%4."/>
      <w:lvlJc w:val="left"/>
      <w:pPr>
        <w:tabs>
          <w:tab w:val="num" w:pos="2880"/>
        </w:tabs>
        <w:ind w:left="2880" w:hanging="360"/>
      </w:pPr>
    </w:lvl>
    <w:lvl w:ilvl="4" w:tplc="041B0003">
      <w:start w:val="1"/>
      <w:numFmt w:val="decimal"/>
      <w:lvlText w:val="%5."/>
      <w:lvlJc w:val="left"/>
      <w:pPr>
        <w:tabs>
          <w:tab w:val="num" w:pos="3600"/>
        </w:tabs>
        <w:ind w:left="3600" w:hanging="360"/>
      </w:pPr>
    </w:lvl>
    <w:lvl w:ilvl="5" w:tplc="041B0005">
      <w:start w:val="1"/>
      <w:numFmt w:val="decimal"/>
      <w:lvlText w:val="%6."/>
      <w:lvlJc w:val="left"/>
      <w:pPr>
        <w:tabs>
          <w:tab w:val="num" w:pos="4320"/>
        </w:tabs>
        <w:ind w:left="4320" w:hanging="360"/>
      </w:pPr>
    </w:lvl>
    <w:lvl w:ilvl="6" w:tplc="041B0001">
      <w:start w:val="1"/>
      <w:numFmt w:val="decimal"/>
      <w:lvlText w:val="%7."/>
      <w:lvlJc w:val="left"/>
      <w:pPr>
        <w:tabs>
          <w:tab w:val="num" w:pos="5040"/>
        </w:tabs>
        <w:ind w:left="5040" w:hanging="360"/>
      </w:pPr>
    </w:lvl>
    <w:lvl w:ilvl="7" w:tplc="041B0003">
      <w:start w:val="1"/>
      <w:numFmt w:val="decimal"/>
      <w:lvlText w:val="%8."/>
      <w:lvlJc w:val="left"/>
      <w:pPr>
        <w:tabs>
          <w:tab w:val="num" w:pos="5760"/>
        </w:tabs>
        <w:ind w:left="5760" w:hanging="360"/>
      </w:pPr>
    </w:lvl>
    <w:lvl w:ilvl="8" w:tplc="041B0005">
      <w:start w:val="1"/>
      <w:numFmt w:val="decimal"/>
      <w:lvlText w:val="%9."/>
      <w:lvlJc w:val="left"/>
      <w:pPr>
        <w:tabs>
          <w:tab w:val="num" w:pos="6480"/>
        </w:tabs>
        <w:ind w:left="6480" w:hanging="360"/>
      </w:pPr>
    </w:lvl>
  </w:abstractNum>
  <w:abstractNum w:abstractNumId="45">
    <w:nsid w:val="4B454981"/>
    <w:multiLevelType w:val="hybridMultilevel"/>
    <w:tmpl w:val="37D2DA20"/>
    <w:lvl w:ilvl="0" w:tplc="041B000F">
      <w:start w:val="1"/>
      <w:numFmt w:val="decimal"/>
      <w:lvlText w:val="%1."/>
      <w:lvlJc w:val="left"/>
      <w:pPr>
        <w:tabs>
          <w:tab w:val="num" w:pos="720"/>
        </w:tabs>
        <w:ind w:left="720" w:hanging="360"/>
      </w:pPr>
      <w:rPr>
        <w:rFonts w:cs="Times New Roman" w:hint="default"/>
      </w:rPr>
    </w:lvl>
    <w:lvl w:ilvl="1" w:tplc="041B0019" w:tentative="1">
      <w:start w:val="1"/>
      <w:numFmt w:val="lowerLetter"/>
      <w:lvlText w:val="%2."/>
      <w:lvlJc w:val="left"/>
      <w:pPr>
        <w:tabs>
          <w:tab w:val="num" w:pos="1440"/>
        </w:tabs>
        <w:ind w:left="1440" w:hanging="360"/>
      </w:pPr>
      <w:rPr>
        <w:rFonts w:cs="Times New Roman"/>
      </w:rPr>
    </w:lvl>
    <w:lvl w:ilvl="2" w:tplc="041B001B" w:tentative="1">
      <w:start w:val="1"/>
      <w:numFmt w:val="lowerRoman"/>
      <w:lvlText w:val="%3."/>
      <w:lvlJc w:val="right"/>
      <w:pPr>
        <w:tabs>
          <w:tab w:val="num" w:pos="2160"/>
        </w:tabs>
        <w:ind w:left="2160" w:hanging="180"/>
      </w:pPr>
      <w:rPr>
        <w:rFonts w:cs="Times New Roman"/>
      </w:rPr>
    </w:lvl>
    <w:lvl w:ilvl="3" w:tplc="041B000F" w:tentative="1">
      <w:start w:val="1"/>
      <w:numFmt w:val="decimal"/>
      <w:lvlText w:val="%4."/>
      <w:lvlJc w:val="left"/>
      <w:pPr>
        <w:tabs>
          <w:tab w:val="num" w:pos="2880"/>
        </w:tabs>
        <w:ind w:left="2880" w:hanging="360"/>
      </w:pPr>
      <w:rPr>
        <w:rFonts w:cs="Times New Roman"/>
      </w:rPr>
    </w:lvl>
    <w:lvl w:ilvl="4" w:tplc="041B0019" w:tentative="1">
      <w:start w:val="1"/>
      <w:numFmt w:val="lowerLetter"/>
      <w:lvlText w:val="%5."/>
      <w:lvlJc w:val="left"/>
      <w:pPr>
        <w:tabs>
          <w:tab w:val="num" w:pos="3600"/>
        </w:tabs>
        <w:ind w:left="3600" w:hanging="360"/>
      </w:pPr>
      <w:rPr>
        <w:rFonts w:cs="Times New Roman"/>
      </w:rPr>
    </w:lvl>
    <w:lvl w:ilvl="5" w:tplc="041B001B" w:tentative="1">
      <w:start w:val="1"/>
      <w:numFmt w:val="lowerRoman"/>
      <w:lvlText w:val="%6."/>
      <w:lvlJc w:val="right"/>
      <w:pPr>
        <w:tabs>
          <w:tab w:val="num" w:pos="4320"/>
        </w:tabs>
        <w:ind w:left="4320" w:hanging="180"/>
      </w:pPr>
      <w:rPr>
        <w:rFonts w:cs="Times New Roman"/>
      </w:rPr>
    </w:lvl>
    <w:lvl w:ilvl="6" w:tplc="041B000F" w:tentative="1">
      <w:start w:val="1"/>
      <w:numFmt w:val="decimal"/>
      <w:lvlText w:val="%7."/>
      <w:lvlJc w:val="left"/>
      <w:pPr>
        <w:tabs>
          <w:tab w:val="num" w:pos="5040"/>
        </w:tabs>
        <w:ind w:left="5040" w:hanging="360"/>
      </w:pPr>
      <w:rPr>
        <w:rFonts w:cs="Times New Roman"/>
      </w:rPr>
    </w:lvl>
    <w:lvl w:ilvl="7" w:tplc="041B0019" w:tentative="1">
      <w:start w:val="1"/>
      <w:numFmt w:val="lowerLetter"/>
      <w:lvlText w:val="%8."/>
      <w:lvlJc w:val="left"/>
      <w:pPr>
        <w:tabs>
          <w:tab w:val="num" w:pos="5760"/>
        </w:tabs>
        <w:ind w:left="5760" w:hanging="360"/>
      </w:pPr>
      <w:rPr>
        <w:rFonts w:cs="Times New Roman"/>
      </w:rPr>
    </w:lvl>
    <w:lvl w:ilvl="8" w:tplc="041B001B" w:tentative="1">
      <w:start w:val="1"/>
      <w:numFmt w:val="lowerRoman"/>
      <w:lvlText w:val="%9."/>
      <w:lvlJc w:val="right"/>
      <w:pPr>
        <w:tabs>
          <w:tab w:val="num" w:pos="6480"/>
        </w:tabs>
        <w:ind w:left="6480" w:hanging="180"/>
      </w:pPr>
      <w:rPr>
        <w:rFonts w:cs="Times New Roman"/>
      </w:rPr>
    </w:lvl>
  </w:abstractNum>
  <w:abstractNum w:abstractNumId="46">
    <w:nsid w:val="4D3E79B8"/>
    <w:multiLevelType w:val="hybridMultilevel"/>
    <w:tmpl w:val="E682B36E"/>
    <w:lvl w:ilvl="0" w:tplc="041B0003">
      <w:start w:val="1"/>
      <w:numFmt w:val="bullet"/>
      <w:lvlText w:val="o"/>
      <w:lvlJc w:val="left"/>
      <w:pPr>
        <w:tabs>
          <w:tab w:val="num" w:pos="1079"/>
        </w:tabs>
        <w:ind w:left="1079" w:hanging="360"/>
      </w:pPr>
      <w:rPr>
        <w:rFonts w:ascii="Courier New" w:hAnsi="Courier New" w:cs="Courier New" w:hint="default"/>
      </w:rPr>
    </w:lvl>
    <w:lvl w:ilvl="1" w:tplc="041B0003">
      <w:start w:val="1"/>
      <w:numFmt w:val="bullet"/>
      <w:lvlText w:val="o"/>
      <w:lvlJc w:val="left"/>
      <w:pPr>
        <w:tabs>
          <w:tab w:val="num" w:pos="1439"/>
        </w:tabs>
        <w:ind w:left="1439" w:hanging="360"/>
      </w:pPr>
      <w:rPr>
        <w:rFonts w:ascii="Courier New" w:hAnsi="Courier New" w:cs="Courier New" w:hint="default"/>
      </w:rPr>
    </w:lvl>
    <w:lvl w:ilvl="2" w:tplc="041B0005" w:tentative="1">
      <w:start w:val="1"/>
      <w:numFmt w:val="bullet"/>
      <w:lvlText w:val=""/>
      <w:lvlJc w:val="left"/>
      <w:pPr>
        <w:tabs>
          <w:tab w:val="num" w:pos="2159"/>
        </w:tabs>
        <w:ind w:left="2159" w:hanging="360"/>
      </w:pPr>
      <w:rPr>
        <w:rFonts w:ascii="Wingdings" w:hAnsi="Wingdings" w:hint="default"/>
      </w:rPr>
    </w:lvl>
    <w:lvl w:ilvl="3" w:tplc="041B0001" w:tentative="1">
      <w:start w:val="1"/>
      <w:numFmt w:val="bullet"/>
      <w:lvlText w:val=""/>
      <w:lvlJc w:val="left"/>
      <w:pPr>
        <w:tabs>
          <w:tab w:val="num" w:pos="2879"/>
        </w:tabs>
        <w:ind w:left="2879" w:hanging="360"/>
      </w:pPr>
      <w:rPr>
        <w:rFonts w:ascii="Symbol" w:hAnsi="Symbol" w:hint="default"/>
      </w:rPr>
    </w:lvl>
    <w:lvl w:ilvl="4" w:tplc="041B0003" w:tentative="1">
      <w:start w:val="1"/>
      <w:numFmt w:val="bullet"/>
      <w:lvlText w:val="o"/>
      <w:lvlJc w:val="left"/>
      <w:pPr>
        <w:tabs>
          <w:tab w:val="num" w:pos="3599"/>
        </w:tabs>
        <w:ind w:left="3599" w:hanging="360"/>
      </w:pPr>
      <w:rPr>
        <w:rFonts w:ascii="Courier New" w:hAnsi="Courier New" w:cs="Courier New" w:hint="default"/>
      </w:rPr>
    </w:lvl>
    <w:lvl w:ilvl="5" w:tplc="041B0005" w:tentative="1">
      <w:start w:val="1"/>
      <w:numFmt w:val="bullet"/>
      <w:lvlText w:val=""/>
      <w:lvlJc w:val="left"/>
      <w:pPr>
        <w:tabs>
          <w:tab w:val="num" w:pos="4319"/>
        </w:tabs>
        <w:ind w:left="4319" w:hanging="360"/>
      </w:pPr>
      <w:rPr>
        <w:rFonts w:ascii="Wingdings" w:hAnsi="Wingdings" w:hint="default"/>
      </w:rPr>
    </w:lvl>
    <w:lvl w:ilvl="6" w:tplc="041B0001" w:tentative="1">
      <w:start w:val="1"/>
      <w:numFmt w:val="bullet"/>
      <w:lvlText w:val=""/>
      <w:lvlJc w:val="left"/>
      <w:pPr>
        <w:tabs>
          <w:tab w:val="num" w:pos="5039"/>
        </w:tabs>
        <w:ind w:left="5039" w:hanging="360"/>
      </w:pPr>
      <w:rPr>
        <w:rFonts w:ascii="Symbol" w:hAnsi="Symbol" w:hint="default"/>
      </w:rPr>
    </w:lvl>
    <w:lvl w:ilvl="7" w:tplc="041B0003" w:tentative="1">
      <w:start w:val="1"/>
      <w:numFmt w:val="bullet"/>
      <w:lvlText w:val="o"/>
      <w:lvlJc w:val="left"/>
      <w:pPr>
        <w:tabs>
          <w:tab w:val="num" w:pos="5759"/>
        </w:tabs>
        <w:ind w:left="5759" w:hanging="360"/>
      </w:pPr>
      <w:rPr>
        <w:rFonts w:ascii="Courier New" w:hAnsi="Courier New" w:cs="Courier New" w:hint="default"/>
      </w:rPr>
    </w:lvl>
    <w:lvl w:ilvl="8" w:tplc="041B0005" w:tentative="1">
      <w:start w:val="1"/>
      <w:numFmt w:val="bullet"/>
      <w:lvlText w:val=""/>
      <w:lvlJc w:val="left"/>
      <w:pPr>
        <w:tabs>
          <w:tab w:val="num" w:pos="6479"/>
        </w:tabs>
        <w:ind w:left="6479" w:hanging="360"/>
      </w:pPr>
      <w:rPr>
        <w:rFonts w:ascii="Wingdings" w:hAnsi="Wingdings" w:hint="default"/>
      </w:rPr>
    </w:lvl>
  </w:abstractNum>
  <w:abstractNum w:abstractNumId="47">
    <w:nsid w:val="4D7965A6"/>
    <w:multiLevelType w:val="hybridMultilevel"/>
    <w:tmpl w:val="1734A992"/>
    <w:lvl w:ilvl="0" w:tplc="041B0017">
      <w:start w:val="1"/>
      <w:numFmt w:val="lowerLetter"/>
      <w:lvlText w:val="%1)"/>
      <w:lvlJc w:val="left"/>
      <w:pPr>
        <w:tabs>
          <w:tab w:val="num" w:pos="720"/>
        </w:tabs>
        <w:ind w:left="720" w:hanging="360"/>
      </w:pPr>
      <w:rPr>
        <w:rFonts w:cs="Times New Roman"/>
      </w:rPr>
    </w:lvl>
    <w:lvl w:ilvl="1" w:tplc="D7903814">
      <w:start w:val="2"/>
      <w:numFmt w:val="decimal"/>
      <w:lvlText w:val="%2."/>
      <w:lvlJc w:val="left"/>
      <w:pPr>
        <w:tabs>
          <w:tab w:val="num" w:pos="1440"/>
        </w:tabs>
        <w:ind w:left="1440" w:hanging="360"/>
      </w:pPr>
      <w:rPr>
        <w:rFonts w:cs="Times New Roman" w:hint="default"/>
        <w:b/>
      </w:rPr>
    </w:lvl>
    <w:lvl w:ilvl="2" w:tplc="5FE89BAA">
      <w:start w:val="3"/>
      <w:numFmt w:val="decimal"/>
      <w:lvlText w:val="%3."/>
      <w:lvlJc w:val="left"/>
      <w:pPr>
        <w:tabs>
          <w:tab w:val="num" w:pos="2340"/>
        </w:tabs>
        <w:ind w:left="2340" w:hanging="360"/>
      </w:pPr>
      <w:rPr>
        <w:rFonts w:cs="Times New Roman" w:hint="default"/>
        <w:b/>
      </w:rPr>
    </w:lvl>
    <w:lvl w:ilvl="3" w:tplc="5646332E">
      <w:start w:val="1"/>
      <w:numFmt w:val="lowerLetter"/>
      <w:lvlText w:val="%4)"/>
      <w:lvlJc w:val="left"/>
      <w:pPr>
        <w:tabs>
          <w:tab w:val="num" w:pos="2880"/>
        </w:tabs>
        <w:ind w:left="2880" w:hanging="360"/>
      </w:pPr>
      <w:rPr>
        <w:rFonts w:cs="Times New Roman" w:hint="default"/>
      </w:rPr>
    </w:lvl>
    <w:lvl w:ilvl="4" w:tplc="041B0019" w:tentative="1">
      <w:start w:val="1"/>
      <w:numFmt w:val="lowerLetter"/>
      <w:lvlText w:val="%5."/>
      <w:lvlJc w:val="left"/>
      <w:pPr>
        <w:tabs>
          <w:tab w:val="num" w:pos="3600"/>
        </w:tabs>
        <w:ind w:left="3600" w:hanging="360"/>
      </w:pPr>
      <w:rPr>
        <w:rFonts w:cs="Times New Roman"/>
      </w:rPr>
    </w:lvl>
    <w:lvl w:ilvl="5" w:tplc="041B001B" w:tentative="1">
      <w:start w:val="1"/>
      <w:numFmt w:val="lowerRoman"/>
      <w:lvlText w:val="%6."/>
      <w:lvlJc w:val="right"/>
      <w:pPr>
        <w:tabs>
          <w:tab w:val="num" w:pos="4320"/>
        </w:tabs>
        <w:ind w:left="4320" w:hanging="180"/>
      </w:pPr>
      <w:rPr>
        <w:rFonts w:cs="Times New Roman"/>
      </w:rPr>
    </w:lvl>
    <w:lvl w:ilvl="6" w:tplc="041B000F" w:tentative="1">
      <w:start w:val="1"/>
      <w:numFmt w:val="decimal"/>
      <w:lvlText w:val="%7."/>
      <w:lvlJc w:val="left"/>
      <w:pPr>
        <w:tabs>
          <w:tab w:val="num" w:pos="5040"/>
        </w:tabs>
        <w:ind w:left="5040" w:hanging="360"/>
      </w:pPr>
      <w:rPr>
        <w:rFonts w:cs="Times New Roman"/>
      </w:rPr>
    </w:lvl>
    <w:lvl w:ilvl="7" w:tplc="041B0019" w:tentative="1">
      <w:start w:val="1"/>
      <w:numFmt w:val="lowerLetter"/>
      <w:lvlText w:val="%8."/>
      <w:lvlJc w:val="left"/>
      <w:pPr>
        <w:tabs>
          <w:tab w:val="num" w:pos="5760"/>
        </w:tabs>
        <w:ind w:left="5760" w:hanging="360"/>
      </w:pPr>
      <w:rPr>
        <w:rFonts w:cs="Times New Roman"/>
      </w:rPr>
    </w:lvl>
    <w:lvl w:ilvl="8" w:tplc="041B001B" w:tentative="1">
      <w:start w:val="1"/>
      <w:numFmt w:val="lowerRoman"/>
      <w:lvlText w:val="%9."/>
      <w:lvlJc w:val="right"/>
      <w:pPr>
        <w:tabs>
          <w:tab w:val="num" w:pos="6480"/>
        </w:tabs>
        <w:ind w:left="6480" w:hanging="180"/>
      </w:pPr>
      <w:rPr>
        <w:rFonts w:cs="Times New Roman"/>
      </w:rPr>
    </w:lvl>
  </w:abstractNum>
  <w:abstractNum w:abstractNumId="48">
    <w:nsid w:val="4DDE09B4"/>
    <w:multiLevelType w:val="hybridMultilevel"/>
    <w:tmpl w:val="CE089686"/>
    <w:lvl w:ilvl="0" w:tplc="04050001">
      <w:start w:val="1"/>
      <w:numFmt w:val="bullet"/>
      <w:lvlText w:val=""/>
      <w:lvlJc w:val="left"/>
      <w:pPr>
        <w:tabs>
          <w:tab w:val="num" w:pos="720"/>
        </w:tabs>
        <w:ind w:left="720" w:hanging="360"/>
      </w:pPr>
      <w:rPr>
        <w:rFonts w:ascii="Symbol" w:hAnsi="Symbol" w:hint="default"/>
      </w:rPr>
    </w:lvl>
    <w:lvl w:ilvl="1" w:tplc="0405000B">
      <w:start w:val="1"/>
      <w:numFmt w:val="bullet"/>
      <w:lvlText w:val=""/>
      <w:lvlJc w:val="left"/>
      <w:pPr>
        <w:tabs>
          <w:tab w:val="num" w:pos="1440"/>
        </w:tabs>
        <w:ind w:left="1440" w:hanging="360"/>
      </w:pPr>
      <w:rPr>
        <w:rFonts w:ascii="Wingdings" w:hAnsi="Wingdings" w:hint="default"/>
      </w:rPr>
    </w:lvl>
    <w:lvl w:ilvl="2" w:tplc="04050001">
      <w:start w:val="1"/>
      <w:numFmt w:val="bullet"/>
      <w:lvlText w:val=""/>
      <w:lvlJc w:val="left"/>
      <w:pPr>
        <w:tabs>
          <w:tab w:val="num" w:pos="2160"/>
        </w:tabs>
        <w:ind w:left="2160" w:hanging="360"/>
      </w:pPr>
      <w:rPr>
        <w:rFonts w:ascii="Symbol" w:hAnsi="Symbol" w:hint="default"/>
      </w:rPr>
    </w:lvl>
    <w:lvl w:ilvl="3" w:tplc="11788528">
      <w:start w:val="3"/>
      <w:numFmt w:val="bullet"/>
      <w:lvlText w:val="-"/>
      <w:lvlJc w:val="left"/>
      <w:pPr>
        <w:tabs>
          <w:tab w:val="num" w:pos="2691"/>
        </w:tabs>
        <w:ind w:left="3054" w:hanging="360"/>
      </w:pPr>
      <w:rPr>
        <w:rFonts w:ascii="Arial" w:eastAsia="Times New Roman" w:hAnsi="Arial" w:hint="default"/>
      </w:rPr>
    </w:lvl>
    <w:lvl w:ilvl="4" w:tplc="04050003">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49">
    <w:nsid w:val="4EFF5C8B"/>
    <w:multiLevelType w:val="hybridMultilevel"/>
    <w:tmpl w:val="2D0A5328"/>
    <w:lvl w:ilvl="0" w:tplc="9A621EEA">
      <w:start w:val="3"/>
      <w:numFmt w:val="bullet"/>
      <w:lvlText w:val="-"/>
      <w:lvlJc w:val="left"/>
      <w:pPr>
        <w:ind w:left="720" w:hanging="360"/>
      </w:pPr>
      <w:rPr>
        <w:rFonts w:ascii="Arial" w:eastAsia="Times New Roman" w:hAnsi="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0">
    <w:nsid w:val="51527F3C"/>
    <w:multiLevelType w:val="hybridMultilevel"/>
    <w:tmpl w:val="6656751A"/>
    <w:lvl w:ilvl="0" w:tplc="02389082">
      <w:start w:val="1"/>
      <w:numFmt w:val="lowerLetter"/>
      <w:lvlText w:val="%1)"/>
      <w:lvlJc w:val="left"/>
      <w:pPr>
        <w:ind w:left="420" w:hanging="360"/>
      </w:pPr>
      <w:rPr>
        <w:rFonts w:hint="default"/>
      </w:rPr>
    </w:lvl>
    <w:lvl w:ilvl="1" w:tplc="041B0019" w:tentative="1">
      <w:start w:val="1"/>
      <w:numFmt w:val="lowerLetter"/>
      <w:lvlText w:val="%2."/>
      <w:lvlJc w:val="left"/>
      <w:pPr>
        <w:ind w:left="1140" w:hanging="360"/>
      </w:pPr>
    </w:lvl>
    <w:lvl w:ilvl="2" w:tplc="041B001B" w:tentative="1">
      <w:start w:val="1"/>
      <w:numFmt w:val="lowerRoman"/>
      <w:lvlText w:val="%3."/>
      <w:lvlJc w:val="right"/>
      <w:pPr>
        <w:ind w:left="1860" w:hanging="180"/>
      </w:pPr>
    </w:lvl>
    <w:lvl w:ilvl="3" w:tplc="041B000F" w:tentative="1">
      <w:start w:val="1"/>
      <w:numFmt w:val="decimal"/>
      <w:lvlText w:val="%4."/>
      <w:lvlJc w:val="left"/>
      <w:pPr>
        <w:ind w:left="2580" w:hanging="360"/>
      </w:pPr>
    </w:lvl>
    <w:lvl w:ilvl="4" w:tplc="041B0019" w:tentative="1">
      <w:start w:val="1"/>
      <w:numFmt w:val="lowerLetter"/>
      <w:lvlText w:val="%5."/>
      <w:lvlJc w:val="left"/>
      <w:pPr>
        <w:ind w:left="3300" w:hanging="360"/>
      </w:pPr>
    </w:lvl>
    <w:lvl w:ilvl="5" w:tplc="041B001B" w:tentative="1">
      <w:start w:val="1"/>
      <w:numFmt w:val="lowerRoman"/>
      <w:lvlText w:val="%6."/>
      <w:lvlJc w:val="right"/>
      <w:pPr>
        <w:ind w:left="4020" w:hanging="180"/>
      </w:pPr>
    </w:lvl>
    <w:lvl w:ilvl="6" w:tplc="041B000F" w:tentative="1">
      <w:start w:val="1"/>
      <w:numFmt w:val="decimal"/>
      <w:lvlText w:val="%7."/>
      <w:lvlJc w:val="left"/>
      <w:pPr>
        <w:ind w:left="4740" w:hanging="360"/>
      </w:pPr>
    </w:lvl>
    <w:lvl w:ilvl="7" w:tplc="041B0019" w:tentative="1">
      <w:start w:val="1"/>
      <w:numFmt w:val="lowerLetter"/>
      <w:lvlText w:val="%8."/>
      <w:lvlJc w:val="left"/>
      <w:pPr>
        <w:ind w:left="5460" w:hanging="360"/>
      </w:pPr>
    </w:lvl>
    <w:lvl w:ilvl="8" w:tplc="041B001B" w:tentative="1">
      <w:start w:val="1"/>
      <w:numFmt w:val="lowerRoman"/>
      <w:lvlText w:val="%9."/>
      <w:lvlJc w:val="right"/>
      <w:pPr>
        <w:ind w:left="6180" w:hanging="180"/>
      </w:pPr>
    </w:lvl>
  </w:abstractNum>
  <w:abstractNum w:abstractNumId="51">
    <w:nsid w:val="53C62291"/>
    <w:multiLevelType w:val="hybridMultilevel"/>
    <w:tmpl w:val="945E88F6"/>
    <w:lvl w:ilvl="0" w:tplc="041B0001">
      <w:start w:val="1"/>
      <w:numFmt w:val="bullet"/>
      <w:lvlText w:val=""/>
      <w:lvlJc w:val="left"/>
      <w:pPr>
        <w:tabs>
          <w:tab w:val="num" w:pos="1438"/>
        </w:tabs>
        <w:ind w:left="1438" w:hanging="360"/>
      </w:pPr>
      <w:rPr>
        <w:rFonts w:ascii="Symbol" w:hAnsi="Symbol" w:hint="default"/>
      </w:rPr>
    </w:lvl>
    <w:lvl w:ilvl="1" w:tplc="041B0003" w:tentative="1">
      <w:start w:val="1"/>
      <w:numFmt w:val="bullet"/>
      <w:lvlText w:val="o"/>
      <w:lvlJc w:val="left"/>
      <w:pPr>
        <w:tabs>
          <w:tab w:val="num" w:pos="2158"/>
        </w:tabs>
        <w:ind w:left="2158" w:hanging="360"/>
      </w:pPr>
      <w:rPr>
        <w:rFonts w:ascii="Courier New" w:hAnsi="Courier New" w:hint="default"/>
      </w:rPr>
    </w:lvl>
    <w:lvl w:ilvl="2" w:tplc="041B0005" w:tentative="1">
      <w:start w:val="1"/>
      <w:numFmt w:val="bullet"/>
      <w:lvlText w:val=""/>
      <w:lvlJc w:val="left"/>
      <w:pPr>
        <w:tabs>
          <w:tab w:val="num" w:pos="2878"/>
        </w:tabs>
        <w:ind w:left="2878" w:hanging="360"/>
      </w:pPr>
      <w:rPr>
        <w:rFonts w:ascii="Wingdings" w:hAnsi="Wingdings" w:hint="default"/>
      </w:rPr>
    </w:lvl>
    <w:lvl w:ilvl="3" w:tplc="041B0001" w:tentative="1">
      <w:start w:val="1"/>
      <w:numFmt w:val="bullet"/>
      <w:lvlText w:val=""/>
      <w:lvlJc w:val="left"/>
      <w:pPr>
        <w:tabs>
          <w:tab w:val="num" w:pos="3598"/>
        </w:tabs>
        <w:ind w:left="3598" w:hanging="360"/>
      </w:pPr>
      <w:rPr>
        <w:rFonts w:ascii="Symbol" w:hAnsi="Symbol" w:hint="default"/>
      </w:rPr>
    </w:lvl>
    <w:lvl w:ilvl="4" w:tplc="041B0003" w:tentative="1">
      <w:start w:val="1"/>
      <w:numFmt w:val="bullet"/>
      <w:lvlText w:val="o"/>
      <w:lvlJc w:val="left"/>
      <w:pPr>
        <w:tabs>
          <w:tab w:val="num" w:pos="4318"/>
        </w:tabs>
        <w:ind w:left="4318" w:hanging="360"/>
      </w:pPr>
      <w:rPr>
        <w:rFonts w:ascii="Courier New" w:hAnsi="Courier New" w:hint="default"/>
      </w:rPr>
    </w:lvl>
    <w:lvl w:ilvl="5" w:tplc="041B0005" w:tentative="1">
      <w:start w:val="1"/>
      <w:numFmt w:val="bullet"/>
      <w:lvlText w:val=""/>
      <w:lvlJc w:val="left"/>
      <w:pPr>
        <w:tabs>
          <w:tab w:val="num" w:pos="5038"/>
        </w:tabs>
        <w:ind w:left="5038" w:hanging="360"/>
      </w:pPr>
      <w:rPr>
        <w:rFonts w:ascii="Wingdings" w:hAnsi="Wingdings" w:hint="default"/>
      </w:rPr>
    </w:lvl>
    <w:lvl w:ilvl="6" w:tplc="041B0001" w:tentative="1">
      <w:start w:val="1"/>
      <w:numFmt w:val="bullet"/>
      <w:lvlText w:val=""/>
      <w:lvlJc w:val="left"/>
      <w:pPr>
        <w:tabs>
          <w:tab w:val="num" w:pos="5758"/>
        </w:tabs>
        <w:ind w:left="5758" w:hanging="360"/>
      </w:pPr>
      <w:rPr>
        <w:rFonts w:ascii="Symbol" w:hAnsi="Symbol" w:hint="default"/>
      </w:rPr>
    </w:lvl>
    <w:lvl w:ilvl="7" w:tplc="041B0003" w:tentative="1">
      <w:start w:val="1"/>
      <w:numFmt w:val="bullet"/>
      <w:lvlText w:val="o"/>
      <w:lvlJc w:val="left"/>
      <w:pPr>
        <w:tabs>
          <w:tab w:val="num" w:pos="6478"/>
        </w:tabs>
        <w:ind w:left="6478" w:hanging="360"/>
      </w:pPr>
      <w:rPr>
        <w:rFonts w:ascii="Courier New" w:hAnsi="Courier New" w:hint="default"/>
      </w:rPr>
    </w:lvl>
    <w:lvl w:ilvl="8" w:tplc="041B0005" w:tentative="1">
      <w:start w:val="1"/>
      <w:numFmt w:val="bullet"/>
      <w:lvlText w:val=""/>
      <w:lvlJc w:val="left"/>
      <w:pPr>
        <w:tabs>
          <w:tab w:val="num" w:pos="7198"/>
        </w:tabs>
        <w:ind w:left="7198" w:hanging="360"/>
      </w:pPr>
      <w:rPr>
        <w:rFonts w:ascii="Wingdings" w:hAnsi="Wingdings" w:hint="default"/>
      </w:rPr>
    </w:lvl>
  </w:abstractNum>
  <w:abstractNum w:abstractNumId="52">
    <w:nsid w:val="54E10A36"/>
    <w:multiLevelType w:val="hybridMultilevel"/>
    <w:tmpl w:val="F08EFB0A"/>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3">
    <w:nsid w:val="57BC0D5E"/>
    <w:multiLevelType w:val="hybridMultilevel"/>
    <w:tmpl w:val="F4D0954A"/>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4">
    <w:nsid w:val="590440C2"/>
    <w:multiLevelType w:val="hybridMultilevel"/>
    <w:tmpl w:val="64DA6852"/>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5">
    <w:nsid w:val="59F42AAD"/>
    <w:multiLevelType w:val="hybridMultilevel"/>
    <w:tmpl w:val="BF44267C"/>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6">
    <w:nsid w:val="5A176003"/>
    <w:multiLevelType w:val="hybridMultilevel"/>
    <w:tmpl w:val="B34C0246"/>
    <w:lvl w:ilvl="0" w:tplc="5796AA5A">
      <w:start w:val="3"/>
      <w:numFmt w:val="bullet"/>
      <w:lvlText w:val="-"/>
      <w:lvlJc w:val="left"/>
      <w:pPr>
        <w:tabs>
          <w:tab w:val="num" w:pos="720"/>
        </w:tabs>
        <w:ind w:left="720" w:hanging="360"/>
      </w:pPr>
      <w:rPr>
        <w:rFonts w:ascii="Times New Roman" w:eastAsia="Times New Roman" w:hAnsi="Times New Roman" w:hint="default"/>
      </w:rPr>
    </w:lvl>
    <w:lvl w:ilvl="1" w:tplc="041B0003">
      <w:start w:val="1"/>
      <w:numFmt w:val="bullet"/>
      <w:lvlText w:val="o"/>
      <w:lvlJc w:val="left"/>
      <w:pPr>
        <w:ind w:left="1440" w:hanging="360"/>
      </w:pPr>
      <w:rPr>
        <w:rFonts w:ascii="Courier New" w:hAnsi="Courier New" w:hint="default"/>
      </w:rPr>
    </w:lvl>
    <w:lvl w:ilvl="2" w:tplc="041B0005">
      <w:start w:val="1"/>
      <w:numFmt w:val="bullet"/>
      <w:lvlText w:val=""/>
      <w:lvlJc w:val="left"/>
      <w:pPr>
        <w:ind w:left="2160" w:hanging="360"/>
      </w:pPr>
      <w:rPr>
        <w:rFonts w:ascii="Wingdings" w:hAnsi="Wingdings" w:hint="default"/>
      </w:rPr>
    </w:lvl>
    <w:lvl w:ilvl="3" w:tplc="041B0001">
      <w:start w:val="1"/>
      <w:numFmt w:val="bullet"/>
      <w:lvlText w:val=""/>
      <w:lvlJc w:val="left"/>
      <w:pPr>
        <w:ind w:left="2880" w:hanging="360"/>
      </w:pPr>
      <w:rPr>
        <w:rFonts w:ascii="Symbol" w:hAnsi="Symbol" w:hint="default"/>
      </w:rPr>
    </w:lvl>
    <w:lvl w:ilvl="4" w:tplc="041B0003">
      <w:start w:val="1"/>
      <w:numFmt w:val="bullet"/>
      <w:lvlText w:val="o"/>
      <w:lvlJc w:val="left"/>
      <w:pPr>
        <w:ind w:left="3600" w:hanging="360"/>
      </w:pPr>
      <w:rPr>
        <w:rFonts w:ascii="Courier New" w:hAnsi="Courier New" w:hint="default"/>
      </w:rPr>
    </w:lvl>
    <w:lvl w:ilvl="5" w:tplc="041B0005">
      <w:start w:val="1"/>
      <w:numFmt w:val="bullet"/>
      <w:lvlText w:val=""/>
      <w:lvlJc w:val="left"/>
      <w:pPr>
        <w:ind w:left="4320" w:hanging="360"/>
      </w:pPr>
      <w:rPr>
        <w:rFonts w:ascii="Wingdings" w:hAnsi="Wingdings" w:hint="default"/>
      </w:rPr>
    </w:lvl>
    <w:lvl w:ilvl="6" w:tplc="041B0001">
      <w:start w:val="1"/>
      <w:numFmt w:val="bullet"/>
      <w:lvlText w:val=""/>
      <w:lvlJc w:val="left"/>
      <w:pPr>
        <w:ind w:left="5040" w:hanging="360"/>
      </w:pPr>
      <w:rPr>
        <w:rFonts w:ascii="Symbol" w:hAnsi="Symbol" w:hint="default"/>
      </w:rPr>
    </w:lvl>
    <w:lvl w:ilvl="7" w:tplc="041B0003">
      <w:start w:val="1"/>
      <w:numFmt w:val="bullet"/>
      <w:lvlText w:val="o"/>
      <w:lvlJc w:val="left"/>
      <w:pPr>
        <w:ind w:left="5760" w:hanging="360"/>
      </w:pPr>
      <w:rPr>
        <w:rFonts w:ascii="Courier New" w:hAnsi="Courier New" w:hint="default"/>
      </w:rPr>
    </w:lvl>
    <w:lvl w:ilvl="8" w:tplc="041B0005">
      <w:start w:val="1"/>
      <w:numFmt w:val="bullet"/>
      <w:lvlText w:val=""/>
      <w:lvlJc w:val="left"/>
      <w:pPr>
        <w:ind w:left="6480" w:hanging="360"/>
      </w:pPr>
      <w:rPr>
        <w:rFonts w:ascii="Wingdings" w:hAnsi="Wingdings" w:hint="default"/>
      </w:rPr>
    </w:lvl>
  </w:abstractNum>
  <w:abstractNum w:abstractNumId="57">
    <w:nsid w:val="5DE025DE"/>
    <w:multiLevelType w:val="hybridMultilevel"/>
    <w:tmpl w:val="9A0AF43E"/>
    <w:lvl w:ilvl="0" w:tplc="A5E2811A">
      <w:start w:val="5"/>
      <w:numFmt w:val="decimal"/>
      <w:lvlText w:val="%1."/>
      <w:lvlJc w:val="left"/>
      <w:pPr>
        <w:tabs>
          <w:tab w:val="num" w:pos="2340"/>
        </w:tabs>
        <w:ind w:left="2340" w:hanging="360"/>
      </w:pPr>
      <w:rPr>
        <w:rFonts w:cs="Times New Roman" w:hint="default"/>
        <w:b/>
      </w:rPr>
    </w:lvl>
    <w:lvl w:ilvl="1" w:tplc="E7FAED36">
      <w:start w:val="1"/>
      <w:numFmt w:val="lowerLetter"/>
      <w:lvlText w:val="%2)"/>
      <w:lvlJc w:val="left"/>
      <w:pPr>
        <w:tabs>
          <w:tab w:val="num" w:pos="1440"/>
        </w:tabs>
        <w:ind w:left="1440" w:hanging="360"/>
      </w:pPr>
      <w:rPr>
        <w:rFonts w:cs="Times New Roman" w:hint="default"/>
        <w:b w:val="0"/>
      </w:rPr>
    </w:lvl>
    <w:lvl w:ilvl="2" w:tplc="AB928EBE">
      <w:start w:val="1"/>
      <w:numFmt w:val="lowerLetter"/>
      <w:lvlText w:val="%3)"/>
      <w:lvlJc w:val="left"/>
      <w:pPr>
        <w:tabs>
          <w:tab w:val="num" w:pos="786"/>
        </w:tabs>
        <w:ind w:left="786" w:hanging="360"/>
      </w:pPr>
      <w:rPr>
        <w:rFonts w:cs="Times New Roman" w:hint="default"/>
        <w:b w:val="0"/>
      </w:rPr>
    </w:lvl>
    <w:lvl w:ilvl="3" w:tplc="041B000F" w:tentative="1">
      <w:start w:val="1"/>
      <w:numFmt w:val="decimal"/>
      <w:lvlText w:val="%4."/>
      <w:lvlJc w:val="left"/>
      <w:pPr>
        <w:tabs>
          <w:tab w:val="num" w:pos="2880"/>
        </w:tabs>
        <w:ind w:left="2880" w:hanging="360"/>
      </w:pPr>
      <w:rPr>
        <w:rFonts w:cs="Times New Roman"/>
      </w:rPr>
    </w:lvl>
    <w:lvl w:ilvl="4" w:tplc="041B0019" w:tentative="1">
      <w:start w:val="1"/>
      <w:numFmt w:val="lowerLetter"/>
      <w:lvlText w:val="%5."/>
      <w:lvlJc w:val="left"/>
      <w:pPr>
        <w:tabs>
          <w:tab w:val="num" w:pos="3600"/>
        </w:tabs>
        <w:ind w:left="3600" w:hanging="360"/>
      </w:pPr>
      <w:rPr>
        <w:rFonts w:cs="Times New Roman"/>
      </w:rPr>
    </w:lvl>
    <w:lvl w:ilvl="5" w:tplc="041B001B" w:tentative="1">
      <w:start w:val="1"/>
      <w:numFmt w:val="lowerRoman"/>
      <w:lvlText w:val="%6."/>
      <w:lvlJc w:val="right"/>
      <w:pPr>
        <w:tabs>
          <w:tab w:val="num" w:pos="4320"/>
        </w:tabs>
        <w:ind w:left="4320" w:hanging="180"/>
      </w:pPr>
      <w:rPr>
        <w:rFonts w:cs="Times New Roman"/>
      </w:rPr>
    </w:lvl>
    <w:lvl w:ilvl="6" w:tplc="041B000F" w:tentative="1">
      <w:start w:val="1"/>
      <w:numFmt w:val="decimal"/>
      <w:lvlText w:val="%7."/>
      <w:lvlJc w:val="left"/>
      <w:pPr>
        <w:tabs>
          <w:tab w:val="num" w:pos="5040"/>
        </w:tabs>
        <w:ind w:left="5040" w:hanging="360"/>
      </w:pPr>
      <w:rPr>
        <w:rFonts w:cs="Times New Roman"/>
      </w:rPr>
    </w:lvl>
    <w:lvl w:ilvl="7" w:tplc="041B0019" w:tentative="1">
      <w:start w:val="1"/>
      <w:numFmt w:val="lowerLetter"/>
      <w:lvlText w:val="%8."/>
      <w:lvlJc w:val="left"/>
      <w:pPr>
        <w:tabs>
          <w:tab w:val="num" w:pos="5760"/>
        </w:tabs>
        <w:ind w:left="5760" w:hanging="360"/>
      </w:pPr>
      <w:rPr>
        <w:rFonts w:cs="Times New Roman"/>
      </w:rPr>
    </w:lvl>
    <w:lvl w:ilvl="8" w:tplc="041B001B" w:tentative="1">
      <w:start w:val="1"/>
      <w:numFmt w:val="lowerRoman"/>
      <w:lvlText w:val="%9."/>
      <w:lvlJc w:val="right"/>
      <w:pPr>
        <w:tabs>
          <w:tab w:val="num" w:pos="6480"/>
        </w:tabs>
        <w:ind w:left="6480" w:hanging="180"/>
      </w:pPr>
      <w:rPr>
        <w:rFonts w:cs="Times New Roman"/>
      </w:rPr>
    </w:lvl>
  </w:abstractNum>
  <w:abstractNum w:abstractNumId="58">
    <w:nsid w:val="60A27696"/>
    <w:multiLevelType w:val="hybridMultilevel"/>
    <w:tmpl w:val="AA3EC0AC"/>
    <w:lvl w:ilvl="0" w:tplc="4CBAD778">
      <w:start w:val="4"/>
      <w:numFmt w:val="bullet"/>
      <w:lvlText w:val="-"/>
      <w:lvlJc w:val="left"/>
      <w:pPr>
        <w:ind w:left="720" w:hanging="360"/>
      </w:pPr>
      <w:rPr>
        <w:rFonts w:ascii="Arial" w:eastAsia="Times New Roman" w:hAnsi="Arial"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9">
    <w:nsid w:val="60AD1D92"/>
    <w:multiLevelType w:val="hybridMultilevel"/>
    <w:tmpl w:val="8E746006"/>
    <w:lvl w:ilvl="0" w:tplc="041B0017">
      <w:start w:val="3"/>
      <w:numFmt w:val="lowerLetter"/>
      <w:lvlText w:val="%1)"/>
      <w:lvlJc w:val="left"/>
      <w:pPr>
        <w:tabs>
          <w:tab w:val="num" w:pos="720"/>
        </w:tabs>
        <w:ind w:left="720" w:hanging="360"/>
      </w:pPr>
      <w:rPr>
        <w:rFonts w:cs="Times New Roman" w:hint="default"/>
      </w:rPr>
    </w:lvl>
    <w:lvl w:ilvl="1" w:tplc="041B0019" w:tentative="1">
      <w:start w:val="1"/>
      <w:numFmt w:val="lowerLetter"/>
      <w:lvlText w:val="%2."/>
      <w:lvlJc w:val="left"/>
      <w:pPr>
        <w:tabs>
          <w:tab w:val="num" w:pos="1440"/>
        </w:tabs>
        <w:ind w:left="1440" w:hanging="360"/>
      </w:pPr>
      <w:rPr>
        <w:rFonts w:cs="Times New Roman"/>
      </w:rPr>
    </w:lvl>
    <w:lvl w:ilvl="2" w:tplc="041B001B" w:tentative="1">
      <w:start w:val="1"/>
      <w:numFmt w:val="lowerRoman"/>
      <w:lvlText w:val="%3."/>
      <w:lvlJc w:val="right"/>
      <w:pPr>
        <w:tabs>
          <w:tab w:val="num" w:pos="2160"/>
        </w:tabs>
        <w:ind w:left="2160" w:hanging="180"/>
      </w:pPr>
      <w:rPr>
        <w:rFonts w:cs="Times New Roman"/>
      </w:rPr>
    </w:lvl>
    <w:lvl w:ilvl="3" w:tplc="041B000F" w:tentative="1">
      <w:start w:val="1"/>
      <w:numFmt w:val="decimal"/>
      <w:lvlText w:val="%4."/>
      <w:lvlJc w:val="left"/>
      <w:pPr>
        <w:tabs>
          <w:tab w:val="num" w:pos="2880"/>
        </w:tabs>
        <w:ind w:left="2880" w:hanging="360"/>
      </w:pPr>
      <w:rPr>
        <w:rFonts w:cs="Times New Roman"/>
      </w:rPr>
    </w:lvl>
    <w:lvl w:ilvl="4" w:tplc="041B0019" w:tentative="1">
      <w:start w:val="1"/>
      <w:numFmt w:val="lowerLetter"/>
      <w:lvlText w:val="%5."/>
      <w:lvlJc w:val="left"/>
      <w:pPr>
        <w:tabs>
          <w:tab w:val="num" w:pos="3600"/>
        </w:tabs>
        <w:ind w:left="3600" w:hanging="360"/>
      </w:pPr>
      <w:rPr>
        <w:rFonts w:cs="Times New Roman"/>
      </w:rPr>
    </w:lvl>
    <w:lvl w:ilvl="5" w:tplc="041B001B" w:tentative="1">
      <w:start w:val="1"/>
      <w:numFmt w:val="lowerRoman"/>
      <w:lvlText w:val="%6."/>
      <w:lvlJc w:val="right"/>
      <w:pPr>
        <w:tabs>
          <w:tab w:val="num" w:pos="4320"/>
        </w:tabs>
        <w:ind w:left="4320" w:hanging="180"/>
      </w:pPr>
      <w:rPr>
        <w:rFonts w:cs="Times New Roman"/>
      </w:rPr>
    </w:lvl>
    <w:lvl w:ilvl="6" w:tplc="041B000F" w:tentative="1">
      <w:start w:val="1"/>
      <w:numFmt w:val="decimal"/>
      <w:lvlText w:val="%7."/>
      <w:lvlJc w:val="left"/>
      <w:pPr>
        <w:tabs>
          <w:tab w:val="num" w:pos="5040"/>
        </w:tabs>
        <w:ind w:left="5040" w:hanging="360"/>
      </w:pPr>
      <w:rPr>
        <w:rFonts w:cs="Times New Roman"/>
      </w:rPr>
    </w:lvl>
    <w:lvl w:ilvl="7" w:tplc="041B0019" w:tentative="1">
      <w:start w:val="1"/>
      <w:numFmt w:val="lowerLetter"/>
      <w:lvlText w:val="%8."/>
      <w:lvlJc w:val="left"/>
      <w:pPr>
        <w:tabs>
          <w:tab w:val="num" w:pos="5760"/>
        </w:tabs>
        <w:ind w:left="5760" w:hanging="360"/>
      </w:pPr>
      <w:rPr>
        <w:rFonts w:cs="Times New Roman"/>
      </w:rPr>
    </w:lvl>
    <w:lvl w:ilvl="8" w:tplc="041B001B" w:tentative="1">
      <w:start w:val="1"/>
      <w:numFmt w:val="lowerRoman"/>
      <w:lvlText w:val="%9."/>
      <w:lvlJc w:val="right"/>
      <w:pPr>
        <w:tabs>
          <w:tab w:val="num" w:pos="6480"/>
        </w:tabs>
        <w:ind w:left="6480" w:hanging="180"/>
      </w:pPr>
      <w:rPr>
        <w:rFonts w:cs="Times New Roman"/>
      </w:rPr>
    </w:lvl>
  </w:abstractNum>
  <w:abstractNum w:abstractNumId="60">
    <w:nsid w:val="63C00C9C"/>
    <w:multiLevelType w:val="hybridMultilevel"/>
    <w:tmpl w:val="EBC4694E"/>
    <w:lvl w:ilvl="0" w:tplc="610A447E">
      <w:start w:val="1"/>
      <w:numFmt w:val="bullet"/>
      <w:lvlText w:val=""/>
      <w:lvlJc w:val="left"/>
      <w:pPr>
        <w:tabs>
          <w:tab w:val="num" w:pos="360"/>
        </w:tabs>
        <w:ind w:left="360" w:hanging="360"/>
      </w:pPr>
      <w:rPr>
        <w:rFonts w:ascii="Symbol" w:hAnsi="Symbol" w:hint="default"/>
      </w:rPr>
    </w:lvl>
    <w:lvl w:ilvl="1" w:tplc="041B0003" w:tentative="1">
      <w:start w:val="1"/>
      <w:numFmt w:val="bullet"/>
      <w:lvlText w:val="o"/>
      <w:lvlJc w:val="left"/>
      <w:pPr>
        <w:tabs>
          <w:tab w:val="num" w:pos="1440"/>
        </w:tabs>
        <w:ind w:left="1440" w:hanging="360"/>
      </w:pPr>
      <w:rPr>
        <w:rFonts w:ascii="Courier New" w:hAnsi="Courier New" w:cs="Courier New" w:hint="default"/>
      </w:rPr>
    </w:lvl>
    <w:lvl w:ilvl="2" w:tplc="041B0005" w:tentative="1">
      <w:start w:val="1"/>
      <w:numFmt w:val="bullet"/>
      <w:lvlText w:val=""/>
      <w:lvlJc w:val="left"/>
      <w:pPr>
        <w:tabs>
          <w:tab w:val="num" w:pos="2160"/>
        </w:tabs>
        <w:ind w:left="2160" w:hanging="360"/>
      </w:pPr>
      <w:rPr>
        <w:rFonts w:ascii="Wingdings" w:hAnsi="Wingdings" w:hint="default"/>
      </w:rPr>
    </w:lvl>
    <w:lvl w:ilvl="3" w:tplc="041B0001" w:tentative="1">
      <w:start w:val="1"/>
      <w:numFmt w:val="bullet"/>
      <w:lvlText w:val=""/>
      <w:lvlJc w:val="left"/>
      <w:pPr>
        <w:tabs>
          <w:tab w:val="num" w:pos="2880"/>
        </w:tabs>
        <w:ind w:left="2880" w:hanging="360"/>
      </w:pPr>
      <w:rPr>
        <w:rFonts w:ascii="Symbol" w:hAnsi="Symbol" w:hint="default"/>
      </w:rPr>
    </w:lvl>
    <w:lvl w:ilvl="4" w:tplc="041B0003" w:tentative="1">
      <w:start w:val="1"/>
      <w:numFmt w:val="bullet"/>
      <w:lvlText w:val="o"/>
      <w:lvlJc w:val="left"/>
      <w:pPr>
        <w:tabs>
          <w:tab w:val="num" w:pos="3600"/>
        </w:tabs>
        <w:ind w:left="3600" w:hanging="360"/>
      </w:pPr>
      <w:rPr>
        <w:rFonts w:ascii="Courier New" w:hAnsi="Courier New" w:cs="Courier New" w:hint="default"/>
      </w:rPr>
    </w:lvl>
    <w:lvl w:ilvl="5" w:tplc="041B0005" w:tentative="1">
      <w:start w:val="1"/>
      <w:numFmt w:val="bullet"/>
      <w:lvlText w:val=""/>
      <w:lvlJc w:val="left"/>
      <w:pPr>
        <w:tabs>
          <w:tab w:val="num" w:pos="4320"/>
        </w:tabs>
        <w:ind w:left="4320" w:hanging="360"/>
      </w:pPr>
      <w:rPr>
        <w:rFonts w:ascii="Wingdings" w:hAnsi="Wingdings" w:hint="default"/>
      </w:rPr>
    </w:lvl>
    <w:lvl w:ilvl="6" w:tplc="041B0001" w:tentative="1">
      <w:start w:val="1"/>
      <w:numFmt w:val="bullet"/>
      <w:lvlText w:val=""/>
      <w:lvlJc w:val="left"/>
      <w:pPr>
        <w:tabs>
          <w:tab w:val="num" w:pos="5040"/>
        </w:tabs>
        <w:ind w:left="5040" w:hanging="360"/>
      </w:pPr>
      <w:rPr>
        <w:rFonts w:ascii="Symbol" w:hAnsi="Symbol" w:hint="default"/>
      </w:rPr>
    </w:lvl>
    <w:lvl w:ilvl="7" w:tplc="041B0003" w:tentative="1">
      <w:start w:val="1"/>
      <w:numFmt w:val="bullet"/>
      <w:lvlText w:val="o"/>
      <w:lvlJc w:val="left"/>
      <w:pPr>
        <w:tabs>
          <w:tab w:val="num" w:pos="5760"/>
        </w:tabs>
        <w:ind w:left="5760" w:hanging="360"/>
      </w:pPr>
      <w:rPr>
        <w:rFonts w:ascii="Courier New" w:hAnsi="Courier New" w:cs="Courier New" w:hint="default"/>
      </w:rPr>
    </w:lvl>
    <w:lvl w:ilvl="8" w:tplc="041B0005" w:tentative="1">
      <w:start w:val="1"/>
      <w:numFmt w:val="bullet"/>
      <w:lvlText w:val=""/>
      <w:lvlJc w:val="left"/>
      <w:pPr>
        <w:tabs>
          <w:tab w:val="num" w:pos="6480"/>
        </w:tabs>
        <w:ind w:left="6480" w:hanging="360"/>
      </w:pPr>
      <w:rPr>
        <w:rFonts w:ascii="Wingdings" w:hAnsi="Wingdings" w:hint="default"/>
      </w:rPr>
    </w:lvl>
  </w:abstractNum>
  <w:abstractNum w:abstractNumId="61">
    <w:nsid w:val="659676F0"/>
    <w:multiLevelType w:val="hybridMultilevel"/>
    <w:tmpl w:val="6F46437C"/>
    <w:lvl w:ilvl="0" w:tplc="041B0003">
      <w:start w:val="1"/>
      <w:numFmt w:val="bullet"/>
      <w:lvlText w:val="o"/>
      <w:lvlJc w:val="left"/>
      <w:pPr>
        <w:tabs>
          <w:tab w:val="num" w:pos="1440"/>
        </w:tabs>
        <w:ind w:left="1440" w:hanging="360"/>
      </w:pPr>
      <w:rPr>
        <w:rFonts w:ascii="Courier New" w:hAnsi="Courier New" w:hint="default"/>
      </w:rPr>
    </w:lvl>
    <w:lvl w:ilvl="1" w:tplc="041B0003">
      <w:start w:val="1"/>
      <w:numFmt w:val="bullet"/>
      <w:lvlText w:val="o"/>
      <w:lvlJc w:val="left"/>
      <w:pPr>
        <w:tabs>
          <w:tab w:val="num" w:pos="2160"/>
        </w:tabs>
        <w:ind w:left="2160" w:hanging="360"/>
      </w:pPr>
      <w:rPr>
        <w:rFonts w:ascii="Courier New" w:hAnsi="Courier New" w:hint="default"/>
      </w:rPr>
    </w:lvl>
    <w:lvl w:ilvl="2" w:tplc="041B0005" w:tentative="1">
      <w:start w:val="1"/>
      <w:numFmt w:val="bullet"/>
      <w:lvlText w:val=""/>
      <w:lvlJc w:val="left"/>
      <w:pPr>
        <w:tabs>
          <w:tab w:val="num" w:pos="2880"/>
        </w:tabs>
        <w:ind w:left="2880" w:hanging="360"/>
      </w:pPr>
      <w:rPr>
        <w:rFonts w:ascii="Wingdings" w:hAnsi="Wingdings" w:hint="default"/>
      </w:rPr>
    </w:lvl>
    <w:lvl w:ilvl="3" w:tplc="041B0001" w:tentative="1">
      <w:start w:val="1"/>
      <w:numFmt w:val="bullet"/>
      <w:lvlText w:val=""/>
      <w:lvlJc w:val="left"/>
      <w:pPr>
        <w:tabs>
          <w:tab w:val="num" w:pos="3600"/>
        </w:tabs>
        <w:ind w:left="3600" w:hanging="360"/>
      </w:pPr>
      <w:rPr>
        <w:rFonts w:ascii="Symbol" w:hAnsi="Symbol" w:hint="default"/>
      </w:rPr>
    </w:lvl>
    <w:lvl w:ilvl="4" w:tplc="041B0003" w:tentative="1">
      <w:start w:val="1"/>
      <w:numFmt w:val="bullet"/>
      <w:lvlText w:val="o"/>
      <w:lvlJc w:val="left"/>
      <w:pPr>
        <w:tabs>
          <w:tab w:val="num" w:pos="4320"/>
        </w:tabs>
        <w:ind w:left="4320" w:hanging="360"/>
      </w:pPr>
      <w:rPr>
        <w:rFonts w:ascii="Courier New" w:hAnsi="Courier New" w:hint="default"/>
      </w:rPr>
    </w:lvl>
    <w:lvl w:ilvl="5" w:tplc="041B0005" w:tentative="1">
      <w:start w:val="1"/>
      <w:numFmt w:val="bullet"/>
      <w:lvlText w:val=""/>
      <w:lvlJc w:val="left"/>
      <w:pPr>
        <w:tabs>
          <w:tab w:val="num" w:pos="5040"/>
        </w:tabs>
        <w:ind w:left="5040" w:hanging="360"/>
      </w:pPr>
      <w:rPr>
        <w:rFonts w:ascii="Wingdings" w:hAnsi="Wingdings" w:hint="default"/>
      </w:rPr>
    </w:lvl>
    <w:lvl w:ilvl="6" w:tplc="041B0001" w:tentative="1">
      <w:start w:val="1"/>
      <w:numFmt w:val="bullet"/>
      <w:lvlText w:val=""/>
      <w:lvlJc w:val="left"/>
      <w:pPr>
        <w:tabs>
          <w:tab w:val="num" w:pos="5760"/>
        </w:tabs>
        <w:ind w:left="5760" w:hanging="360"/>
      </w:pPr>
      <w:rPr>
        <w:rFonts w:ascii="Symbol" w:hAnsi="Symbol" w:hint="default"/>
      </w:rPr>
    </w:lvl>
    <w:lvl w:ilvl="7" w:tplc="041B0003" w:tentative="1">
      <w:start w:val="1"/>
      <w:numFmt w:val="bullet"/>
      <w:lvlText w:val="o"/>
      <w:lvlJc w:val="left"/>
      <w:pPr>
        <w:tabs>
          <w:tab w:val="num" w:pos="6480"/>
        </w:tabs>
        <w:ind w:left="6480" w:hanging="360"/>
      </w:pPr>
      <w:rPr>
        <w:rFonts w:ascii="Courier New" w:hAnsi="Courier New" w:hint="default"/>
      </w:rPr>
    </w:lvl>
    <w:lvl w:ilvl="8" w:tplc="041B0005" w:tentative="1">
      <w:start w:val="1"/>
      <w:numFmt w:val="bullet"/>
      <w:lvlText w:val=""/>
      <w:lvlJc w:val="left"/>
      <w:pPr>
        <w:tabs>
          <w:tab w:val="num" w:pos="7200"/>
        </w:tabs>
        <w:ind w:left="7200" w:hanging="360"/>
      </w:pPr>
      <w:rPr>
        <w:rFonts w:ascii="Wingdings" w:hAnsi="Wingdings" w:hint="default"/>
      </w:rPr>
    </w:lvl>
  </w:abstractNum>
  <w:abstractNum w:abstractNumId="62">
    <w:nsid w:val="68000C81"/>
    <w:multiLevelType w:val="multilevel"/>
    <w:tmpl w:val="C560AC74"/>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63">
    <w:nsid w:val="69C57146"/>
    <w:multiLevelType w:val="hybridMultilevel"/>
    <w:tmpl w:val="CC881B08"/>
    <w:lvl w:ilvl="0" w:tplc="5646332E">
      <w:start w:val="1"/>
      <w:numFmt w:val="lowerLetter"/>
      <w:lvlText w:val="%1)"/>
      <w:lvlJc w:val="left"/>
      <w:pPr>
        <w:tabs>
          <w:tab w:val="num" w:pos="720"/>
        </w:tabs>
        <w:ind w:left="720" w:hanging="360"/>
      </w:pPr>
      <w:rPr>
        <w:rFonts w:cs="Times New Roman" w:hint="default"/>
      </w:rPr>
    </w:lvl>
    <w:lvl w:ilvl="1" w:tplc="041B0019" w:tentative="1">
      <w:start w:val="1"/>
      <w:numFmt w:val="lowerLetter"/>
      <w:lvlText w:val="%2."/>
      <w:lvlJc w:val="left"/>
      <w:pPr>
        <w:tabs>
          <w:tab w:val="num" w:pos="1440"/>
        </w:tabs>
        <w:ind w:left="1440" w:hanging="360"/>
      </w:pPr>
      <w:rPr>
        <w:rFonts w:cs="Times New Roman"/>
      </w:rPr>
    </w:lvl>
    <w:lvl w:ilvl="2" w:tplc="041B001B" w:tentative="1">
      <w:start w:val="1"/>
      <w:numFmt w:val="lowerRoman"/>
      <w:lvlText w:val="%3."/>
      <w:lvlJc w:val="right"/>
      <w:pPr>
        <w:tabs>
          <w:tab w:val="num" w:pos="2160"/>
        </w:tabs>
        <w:ind w:left="2160" w:hanging="180"/>
      </w:pPr>
      <w:rPr>
        <w:rFonts w:cs="Times New Roman"/>
      </w:rPr>
    </w:lvl>
    <w:lvl w:ilvl="3" w:tplc="041B000F" w:tentative="1">
      <w:start w:val="1"/>
      <w:numFmt w:val="decimal"/>
      <w:lvlText w:val="%4."/>
      <w:lvlJc w:val="left"/>
      <w:pPr>
        <w:tabs>
          <w:tab w:val="num" w:pos="2880"/>
        </w:tabs>
        <w:ind w:left="2880" w:hanging="360"/>
      </w:pPr>
      <w:rPr>
        <w:rFonts w:cs="Times New Roman"/>
      </w:rPr>
    </w:lvl>
    <w:lvl w:ilvl="4" w:tplc="041B0019" w:tentative="1">
      <w:start w:val="1"/>
      <w:numFmt w:val="lowerLetter"/>
      <w:lvlText w:val="%5."/>
      <w:lvlJc w:val="left"/>
      <w:pPr>
        <w:tabs>
          <w:tab w:val="num" w:pos="3600"/>
        </w:tabs>
        <w:ind w:left="3600" w:hanging="360"/>
      </w:pPr>
      <w:rPr>
        <w:rFonts w:cs="Times New Roman"/>
      </w:rPr>
    </w:lvl>
    <w:lvl w:ilvl="5" w:tplc="041B001B" w:tentative="1">
      <w:start w:val="1"/>
      <w:numFmt w:val="lowerRoman"/>
      <w:lvlText w:val="%6."/>
      <w:lvlJc w:val="right"/>
      <w:pPr>
        <w:tabs>
          <w:tab w:val="num" w:pos="4320"/>
        </w:tabs>
        <w:ind w:left="4320" w:hanging="180"/>
      </w:pPr>
      <w:rPr>
        <w:rFonts w:cs="Times New Roman"/>
      </w:rPr>
    </w:lvl>
    <w:lvl w:ilvl="6" w:tplc="041B000F" w:tentative="1">
      <w:start w:val="1"/>
      <w:numFmt w:val="decimal"/>
      <w:lvlText w:val="%7."/>
      <w:lvlJc w:val="left"/>
      <w:pPr>
        <w:tabs>
          <w:tab w:val="num" w:pos="5040"/>
        </w:tabs>
        <w:ind w:left="5040" w:hanging="360"/>
      </w:pPr>
      <w:rPr>
        <w:rFonts w:cs="Times New Roman"/>
      </w:rPr>
    </w:lvl>
    <w:lvl w:ilvl="7" w:tplc="041B0019" w:tentative="1">
      <w:start w:val="1"/>
      <w:numFmt w:val="lowerLetter"/>
      <w:lvlText w:val="%8."/>
      <w:lvlJc w:val="left"/>
      <w:pPr>
        <w:tabs>
          <w:tab w:val="num" w:pos="5760"/>
        </w:tabs>
        <w:ind w:left="5760" w:hanging="360"/>
      </w:pPr>
      <w:rPr>
        <w:rFonts w:cs="Times New Roman"/>
      </w:rPr>
    </w:lvl>
    <w:lvl w:ilvl="8" w:tplc="041B001B" w:tentative="1">
      <w:start w:val="1"/>
      <w:numFmt w:val="lowerRoman"/>
      <w:lvlText w:val="%9."/>
      <w:lvlJc w:val="right"/>
      <w:pPr>
        <w:tabs>
          <w:tab w:val="num" w:pos="6480"/>
        </w:tabs>
        <w:ind w:left="6480" w:hanging="180"/>
      </w:pPr>
      <w:rPr>
        <w:rFonts w:cs="Times New Roman"/>
      </w:rPr>
    </w:lvl>
  </w:abstractNum>
  <w:abstractNum w:abstractNumId="64">
    <w:nsid w:val="6A1E44EA"/>
    <w:multiLevelType w:val="hybridMultilevel"/>
    <w:tmpl w:val="A2C25D44"/>
    <w:lvl w:ilvl="0" w:tplc="1B3C415A">
      <w:numFmt w:val="bullet"/>
      <w:lvlText w:val="-"/>
      <w:lvlJc w:val="left"/>
      <w:pPr>
        <w:ind w:left="720" w:hanging="360"/>
      </w:pPr>
      <w:rPr>
        <w:rFonts w:ascii="Arial Narrow" w:eastAsia="Times New Roman" w:hAnsi="Arial Narrow" w:cs="Times New Roman"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5">
    <w:nsid w:val="6BD819E0"/>
    <w:multiLevelType w:val="hybridMultilevel"/>
    <w:tmpl w:val="C31E0220"/>
    <w:lvl w:ilvl="0" w:tplc="041B0001">
      <w:start w:val="1"/>
      <w:numFmt w:val="bullet"/>
      <w:lvlText w:val=""/>
      <w:lvlJc w:val="left"/>
      <w:pPr>
        <w:ind w:left="720" w:hanging="360"/>
      </w:pPr>
      <w:rPr>
        <w:rFonts w:ascii="Symbol" w:hAnsi="Symbol" w:hint="default"/>
      </w:rPr>
    </w:lvl>
    <w:lvl w:ilvl="1" w:tplc="041B0001">
      <w:start w:val="1"/>
      <w:numFmt w:val="bullet"/>
      <w:lvlText w:val=""/>
      <w:lvlJc w:val="left"/>
      <w:pPr>
        <w:ind w:left="1440" w:hanging="360"/>
      </w:pPr>
      <w:rPr>
        <w:rFonts w:ascii="Symbol" w:hAnsi="Symbol"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6">
    <w:nsid w:val="6D4A087F"/>
    <w:multiLevelType w:val="multilevel"/>
    <w:tmpl w:val="083A17C6"/>
    <w:lvl w:ilvl="0">
      <w:start w:val="1"/>
      <w:numFmt w:val="decimal"/>
      <w:lvlText w:val="%1."/>
      <w:lvlJc w:val="left"/>
      <w:pPr>
        <w:ind w:left="720" w:hanging="360"/>
      </w:pPr>
      <w:rPr>
        <w:rFonts w:cs="Times New Roman"/>
      </w:rPr>
    </w:lvl>
    <w:lvl w:ilvl="1">
      <w:start w:val="1"/>
      <w:numFmt w:val="decimal"/>
      <w:isLgl/>
      <w:lvlText w:val="%1.%2"/>
      <w:lvlJc w:val="left"/>
      <w:pPr>
        <w:ind w:left="1080" w:hanging="720"/>
      </w:pPr>
      <w:rPr>
        <w:rFonts w:cs="Times New Roman" w:hint="default"/>
      </w:rPr>
    </w:lvl>
    <w:lvl w:ilvl="2">
      <w:start w:val="1"/>
      <w:numFmt w:val="decimal"/>
      <w:isLgl/>
      <w:lvlText w:val="%1.%2.%3"/>
      <w:lvlJc w:val="left"/>
      <w:pPr>
        <w:ind w:left="1440" w:hanging="1080"/>
      </w:pPr>
      <w:rPr>
        <w:rFonts w:cs="Times New Roman" w:hint="default"/>
      </w:rPr>
    </w:lvl>
    <w:lvl w:ilvl="3">
      <w:start w:val="1"/>
      <w:numFmt w:val="decimal"/>
      <w:isLgl/>
      <w:lvlText w:val="%1.%2.%3.%4"/>
      <w:lvlJc w:val="left"/>
      <w:pPr>
        <w:ind w:left="1800" w:hanging="1440"/>
      </w:pPr>
      <w:rPr>
        <w:rFonts w:cs="Times New Roman" w:hint="default"/>
      </w:rPr>
    </w:lvl>
    <w:lvl w:ilvl="4">
      <w:start w:val="1"/>
      <w:numFmt w:val="decimal"/>
      <w:isLgl/>
      <w:lvlText w:val="%1.%2.%3.%4.%5"/>
      <w:lvlJc w:val="left"/>
      <w:pPr>
        <w:ind w:left="2160" w:hanging="1800"/>
      </w:pPr>
      <w:rPr>
        <w:rFonts w:cs="Times New Roman" w:hint="default"/>
      </w:rPr>
    </w:lvl>
    <w:lvl w:ilvl="5">
      <w:start w:val="1"/>
      <w:numFmt w:val="decimal"/>
      <w:isLgl/>
      <w:lvlText w:val="%1.%2.%3.%4.%5.%6"/>
      <w:lvlJc w:val="left"/>
      <w:pPr>
        <w:ind w:left="2160" w:hanging="1800"/>
      </w:pPr>
      <w:rPr>
        <w:rFonts w:cs="Times New Roman" w:hint="default"/>
      </w:rPr>
    </w:lvl>
    <w:lvl w:ilvl="6">
      <w:start w:val="1"/>
      <w:numFmt w:val="decimal"/>
      <w:isLgl/>
      <w:lvlText w:val="%1.%2.%3.%4.%5.%6.%7"/>
      <w:lvlJc w:val="left"/>
      <w:pPr>
        <w:ind w:left="2520" w:hanging="2160"/>
      </w:pPr>
      <w:rPr>
        <w:rFonts w:cs="Times New Roman" w:hint="default"/>
      </w:rPr>
    </w:lvl>
    <w:lvl w:ilvl="7">
      <w:start w:val="1"/>
      <w:numFmt w:val="decimal"/>
      <w:isLgl/>
      <w:lvlText w:val="%1.%2.%3.%4.%5.%6.%7.%8"/>
      <w:lvlJc w:val="left"/>
      <w:pPr>
        <w:ind w:left="2880" w:hanging="2520"/>
      </w:pPr>
      <w:rPr>
        <w:rFonts w:cs="Times New Roman" w:hint="default"/>
      </w:rPr>
    </w:lvl>
    <w:lvl w:ilvl="8">
      <w:start w:val="1"/>
      <w:numFmt w:val="decimal"/>
      <w:isLgl/>
      <w:lvlText w:val="%1.%2.%3.%4.%5.%6.%7.%8.%9"/>
      <w:lvlJc w:val="left"/>
      <w:pPr>
        <w:ind w:left="3240" w:hanging="2880"/>
      </w:pPr>
      <w:rPr>
        <w:rFonts w:cs="Times New Roman" w:hint="default"/>
      </w:rPr>
    </w:lvl>
  </w:abstractNum>
  <w:abstractNum w:abstractNumId="67">
    <w:nsid w:val="6D6452A2"/>
    <w:multiLevelType w:val="hybridMultilevel"/>
    <w:tmpl w:val="9FFAA134"/>
    <w:lvl w:ilvl="0" w:tplc="041B0001">
      <w:start w:val="1"/>
      <w:numFmt w:val="bullet"/>
      <w:lvlText w:val=""/>
      <w:lvlJc w:val="left"/>
      <w:pPr>
        <w:tabs>
          <w:tab w:val="num" w:pos="1080"/>
        </w:tabs>
        <w:ind w:left="1080" w:hanging="360"/>
      </w:pPr>
      <w:rPr>
        <w:rFonts w:ascii="Symbol" w:hAnsi="Symbol" w:hint="default"/>
      </w:rPr>
    </w:lvl>
    <w:lvl w:ilvl="1" w:tplc="041B0003">
      <w:start w:val="1"/>
      <w:numFmt w:val="bullet"/>
      <w:lvlText w:val="o"/>
      <w:lvlJc w:val="left"/>
      <w:pPr>
        <w:tabs>
          <w:tab w:val="num" w:pos="1800"/>
        </w:tabs>
        <w:ind w:left="1800" w:hanging="360"/>
      </w:pPr>
      <w:rPr>
        <w:rFonts w:ascii="Courier New" w:hAnsi="Courier New" w:hint="default"/>
      </w:rPr>
    </w:lvl>
    <w:lvl w:ilvl="2" w:tplc="041B0005">
      <w:start w:val="1"/>
      <w:numFmt w:val="bullet"/>
      <w:lvlText w:val=""/>
      <w:lvlJc w:val="left"/>
      <w:pPr>
        <w:tabs>
          <w:tab w:val="num" w:pos="2520"/>
        </w:tabs>
        <w:ind w:left="2520" w:hanging="360"/>
      </w:pPr>
      <w:rPr>
        <w:rFonts w:ascii="Wingdings" w:hAnsi="Wingdings" w:hint="default"/>
      </w:rPr>
    </w:lvl>
    <w:lvl w:ilvl="3" w:tplc="041B0001" w:tentative="1">
      <w:start w:val="1"/>
      <w:numFmt w:val="bullet"/>
      <w:lvlText w:val=""/>
      <w:lvlJc w:val="left"/>
      <w:pPr>
        <w:tabs>
          <w:tab w:val="num" w:pos="3240"/>
        </w:tabs>
        <w:ind w:left="3240" w:hanging="360"/>
      </w:pPr>
      <w:rPr>
        <w:rFonts w:ascii="Symbol" w:hAnsi="Symbol" w:hint="default"/>
      </w:rPr>
    </w:lvl>
    <w:lvl w:ilvl="4" w:tplc="041B0003" w:tentative="1">
      <w:start w:val="1"/>
      <w:numFmt w:val="bullet"/>
      <w:lvlText w:val="o"/>
      <w:lvlJc w:val="left"/>
      <w:pPr>
        <w:tabs>
          <w:tab w:val="num" w:pos="3960"/>
        </w:tabs>
        <w:ind w:left="3960" w:hanging="360"/>
      </w:pPr>
      <w:rPr>
        <w:rFonts w:ascii="Courier New" w:hAnsi="Courier New" w:hint="default"/>
      </w:rPr>
    </w:lvl>
    <w:lvl w:ilvl="5" w:tplc="041B0005" w:tentative="1">
      <w:start w:val="1"/>
      <w:numFmt w:val="bullet"/>
      <w:lvlText w:val=""/>
      <w:lvlJc w:val="left"/>
      <w:pPr>
        <w:tabs>
          <w:tab w:val="num" w:pos="4680"/>
        </w:tabs>
        <w:ind w:left="4680" w:hanging="360"/>
      </w:pPr>
      <w:rPr>
        <w:rFonts w:ascii="Wingdings" w:hAnsi="Wingdings" w:hint="default"/>
      </w:rPr>
    </w:lvl>
    <w:lvl w:ilvl="6" w:tplc="041B0001" w:tentative="1">
      <w:start w:val="1"/>
      <w:numFmt w:val="bullet"/>
      <w:lvlText w:val=""/>
      <w:lvlJc w:val="left"/>
      <w:pPr>
        <w:tabs>
          <w:tab w:val="num" w:pos="5400"/>
        </w:tabs>
        <w:ind w:left="5400" w:hanging="360"/>
      </w:pPr>
      <w:rPr>
        <w:rFonts w:ascii="Symbol" w:hAnsi="Symbol" w:hint="default"/>
      </w:rPr>
    </w:lvl>
    <w:lvl w:ilvl="7" w:tplc="041B0003" w:tentative="1">
      <w:start w:val="1"/>
      <w:numFmt w:val="bullet"/>
      <w:lvlText w:val="o"/>
      <w:lvlJc w:val="left"/>
      <w:pPr>
        <w:tabs>
          <w:tab w:val="num" w:pos="6120"/>
        </w:tabs>
        <w:ind w:left="6120" w:hanging="360"/>
      </w:pPr>
      <w:rPr>
        <w:rFonts w:ascii="Courier New" w:hAnsi="Courier New" w:hint="default"/>
      </w:rPr>
    </w:lvl>
    <w:lvl w:ilvl="8" w:tplc="041B0005" w:tentative="1">
      <w:start w:val="1"/>
      <w:numFmt w:val="bullet"/>
      <w:lvlText w:val=""/>
      <w:lvlJc w:val="left"/>
      <w:pPr>
        <w:tabs>
          <w:tab w:val="num" w:pos="6840"/>
        </w:tabs>
        <w:ind w:left="6840" w:hanging="360"/>
      </w:pPr>
      <w:rPr>
        <w:rFonts w:ascii="Wingdings" w:hAnsi="Wingdings" w:hint="default"/>
      </w:rPr>
    </w:lvl>
  </w:abstractNum>
  <w:abstractNum w:abstractNumId="68">
    <w:nsid w:val="6E2E35A0"/>
    <w:multiLevelType w:val="hybridMultilevel"/>
    <w:tmpl w:val="FE8CDDDC"/>
    <w:lvl w:ilvl="0" w:tplc="5DA8648C">
      <w:start w:val="1"/>
      <w:numFmt w:val="bullet"/>
      <w:lvlText w:val="▫"/>
      <w:lvlJc w:val="left"/>
      <w:pPr>
        <w:ind w:left="720" w:hanging="360"/>
      </w:pPr>
      <w:rPr>
        <w:rFonts w:ascii="Times New Roman" w:hAnsi="Times New Roman" w:hint="default"/>
      </w:rPr>
    </w:lvl>
    <w:lvl w:ilvl="1" w:tplc="041B0003" w:tentative="1">
      <w:start w:val="1"/>
      <w:numFmt w:val="bullet"/>
      <w:lvlText w:val="o"/>
      <w:lvlJc w:val="left"/>
      <w:pPr>
        <w:ind w:left="1440" w:hanging="360"/>
      </w:pPr>
      <w:rPr>
        <w:rFonts w:ascii="Courier New" w:hAnsi="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9">
    <w:nsid w:val="75087E28"/>
    <w:multiLevelType w:val="hybridMultilevel"/>
    <w:tmpl w:val="8DC0A142"/>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70">
    <w:nsid w:val="75824175"/>
    <w:multiLevelType w:val="hybridMultilevel"/>
    <w:tmpl w:val="EC7872C6"/>
    <w:lvl w:ilvl="0" w:tplc="B002B99A">
      <w:start w:val="1"/>
      <w:numFmt w:val="bullet"/>
      <w:lvlText w:val="-"/>
      <w:lvlJc w:val="left"/>
      <w:pPr>
        <w:ind w:left="720" w:hanging="360"/>
      </w:pPr>
      <w:rPr>
        <w:rFonts w:ascii="Arial" w:eastAsia="Times New Roman" w:hAnsi="Arial"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71">
    <w:nsid w:val="75B74371"/>
    <w:multiLevelType w:val="hybridMultilevel"/>
    <w:tmpl w:val="22B62C2A"/>
    <w:lvl w:ilvl="0" w:tplc="D0365A82">
      <w:start w:val="1"/>
      <w:numFmt w:val="lowerLetter"/>
      <w:lvlText w:val="%1)"/>
      <w:lvlJc w:val="left"/>
      <w:pPr>
        <w:tabs>
          <w:tab w:val="num" w:pos="720"/>
        </w:tabs>
        <w:ind w:left="720" w:hanging="360"/>
      </w:pPr>
      <w:rPr>
        <w:rFonts w:cs="Times New Roman" w:hint="default"/>
      </w:rPr>
    </w:lvl>
    <w:lvl w:ilvl="1" w:tplc="041B0019" w:tentative="1">
      <w:start w:val="1"/>
      <w:numFmt w:val="lowerLetter"/>
      <w:lvlText w:val="%2."/>
      <w:lvlJc w:val="left"/>
      <w:pPr>
        <w:tabs>
          <w:tab w:val="num" w:pos="1440"/>
        </w:tabs>
        <w:ind w:left="1440" w:hanging="360"/>
      </w:pPr>
      <w:rPr>
        <w:rFonts w:cs="Times New Roman"/>
      </w:rPr>
    </w:lvl>
    <w:lvl w:ilvl="2" w:tplc="041B001B" w:tentative="1">
      <w:start w:val="1"/>
      <w:numFmt w:val="lowerRoman"/>
      <w:lvlText w:val="%3."/>
      <w:lvlJc w:val="right"/>
      <w:pPr>
        <w:tabs>
          <w:tab w:val="num" w:pos="2160"/>
        </w:tabs>
        <w:ind w:left="2160" w:hanging="180"/>
      </w:pPr>
      <w:rPr>
        <w:rFonts w:cs="Times New Roman"/>
      </w:rPr>
    </w:lvl>
    <w:lvl w:ilvl="3" w:tplc="041B000F" w:tentative="1">
      <w:start w:val="1"/>
      <w:numFmt w:val="decimal"/>
      <w:lvlText w:val="%4."/>
      <w:lvlJc w:val="left"/>
      <w:pPr>
        <w:tabs>
          <w:tab w:val="num" w:pos="2880"/>
        </w:tabs>
        <w:ind w:left="2880" w:hanging="360"/>
      </w:pPr>
      <w:rPr>
        <w:rFonts w:cs="Times New Roman"/>
      </w:rPr>
    </w:lvl>
    <w:lvl w:ilvl="4" w:tplc="041B0019" w:tentative="1">
      <w:start w:val="1"/>
      <w:numFmt w:val="lowerLetter"/>
      <w:lvlText w:val="%5."/>
      <w:lvlJc w:val="left"/>
      <w:pPr>
        <w:tabs>
          <w:tab w:val="num" w:pos="3600"/>
        </w:tabs>
        <w:ind w:left="3600" w:hanging="360"/>
      </w:pPr>
      <w:rPr>
        <w:rFonts w:cs="Times New Roman"/>
      </w:rPr>
    </w:lvl>
    <w:lvl w:ilvl="5" w:tplc="041B001B" w:tentative="1">
      <w:start w:val="1"/>
      <w:numFmt w:val="lowerRoman"/>
      <w:lvlText w:val="%6."/>
      <w:lvlJc w:val="right"/>
      <w:pPr>
        <w:tabs>
          <w:tab w:val="num" w:pos="4320"/>
        </w:tabs>
        <w:ind w:left="4320" w:hanging="180"/>
      </w:pPr>
      <w:rPr>
        <w:rFonts w:cs="Times New Roman"/>
      </w:rPr>
    </w:lvl>
    <w:lvl w:ilvl="6" w:tplc="041B000F" w:tentative="1">
      <w:start w:val="1"/>
      <w:numFmt w:val="decimal"/>
      <w:lvlText w:val="%7."/>
      <w:lvlJc w:val="left"/>
      <w:pPr>
        <w:tabs>
          <w:tab w:val="num" w:pos="5040"/>
        </w:tabs>
        <w:ind w:left="5040" w:hanging="360"/>
      </w:pPr>
      <w:rPr>
        <w:rFonts w:cs="Times New Roman"/>
      </w:rPr>
    </w:lvl>
    <w:lvl w:ilvl="7" w:tplc="041B0019" w:tentative="1">
      <w:start w:val="1"/>
      <w:numFmt w:val="lowerLetter"/>
      <w:lvlText w:val="%8."/>
      <w:lvlJc w:val="left"/>
      <w:pPr>
        <w:tabs>
          <w:tab w:val="num" w:pos="5760"/>
        </w:tabs>
        <w:ind w:left="5760" w:hanging="360"/>
      </w:pPr>
      <w:rPr>
        <w:rFonts w:cs="Times New Roman"/>
      </w:rPr>
    </w:lvl>
    <w:lvl w:ilvl="8" w:tplc="041B001B" w:tentative="1">
      <w:start w:val="1"/>
      <w:numFmt w:val="lowerRoman"/>
      <w:lvlText w:val="%9."/>
      <w:lvlJc w:val="right"/>
      <w:pPr>
        <w:tabs>
          <w:tab w:val="num" w:pos="6480"/>
        </w:tabs>
        <w:ind w:left="6480" w:hanging="180"/>
      </w:pPr>
      <w:rPr>
        <w:rFonts w:cs="Times New Roman"/>
      </w:rPr>
    </w:lvl>
  </w:abstractNum>
  <w:abstractNum w:abstractNumId="72">
    <w:nsid w:val="75D41C5E"/>
    <w:multiLevelType w:val="hybridMultilevel"/>
    <w:tmpl w:val="4F70EB02"/>
    <w:lvl w:ilvl="0" w:tplc="5BCAE09C">
      <w:start w:val="1"/>
      <w:numFmt w:val="lowerLetter"/>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73">
    <w:nsid w:val="75D7125C"/>
    <w:multiLevelType w:val="hybridMultilevel"/>
    <w:tmpl w:val="05BE8F28"/>
    <w:lvl w:ilvl="0" w:tplc="041B0017">
      <w:start w:val="1"/>
      <w:numFmt w:val="lowerLetter"/>
      <w:lvlText w:val="%1)"/>
      <w:lvlJc w:val="left"/>
      <w:pPr>
        <w:tabs>
          <w:tab w:val="num" w:pos="720"/>
        </w:tabs>
        <w:ind w:left="720" w:hanging="360"/>
      </w:pPr>
      <w:rPr>
        <w:rFonts w:cs="Times New Roman"/>
      </w:rPr>
    </w:lvl>
    <w:lvl w:ilvl="1" w:tplc="041B0019" w:tentative="1">
      <w:start w:val="1"/>
      <w:numFmt w:val="lowerLetter"/>
      <w:lvlText w:val="%2."/>
      <w:lvlJc w:val="left"/>
      <w:pPr>
        <w:tabs>
          <w:tab w:val="num" w:pos="1440"/>
        </w:tabs>
        <w:ind w:left="1440" w:hanging="360"/>
      </w:pPr>
      <w:rPr>
        <w:rFonts w:cs="Times New Roman"/>
      </w:rPr>
    </w:lvl>
    <w:lvl w:ilvl="2" w:tplc="041B001B" w:tentative="1">
      <w:start w:val="1"/>
      <w:numFmt w:val="lowerRoman"/>
      <w:lvlText w:val="%3."/>
      <w:lvlJc w:val="right"/>
      <w:pPr>
        <w:tabs>
          <w:tab w:val="num" w:pos="2160"/>
        </w:tabs>
        <w:ind w:left="2160" w:hanging="180"/>
      </w:pPr>
      <w:rPr>
        <w:rFonts w:cs="Times New Roman"/>
      </w:rPr>
    </w:lvl>
    <w:lvl w:ilvl="3" w:tplc="041B000F" w:tentative="1">
      <w:start w:val="1"/>
      <w:numFmt w:val="decimal"/>
      <w:lvlText w:val="%4."/>
      <w:lvlJc w:val="left"/>
      <w:pPr>
        <w:tabs>
          <w:tab w:val="num" w:pos="2880"/>
        </w:tabs>
        <w:ind w:left="2880" w:hanging="360"/>
      </w:pPr>
      <w:rPr>
        <w:rFonts w:cs="Times New Roman"/>
      </w:rPr>
    </w:lvl>
    <w:lvl w:ilvl="4" w:tplc="041B0019" w:tentative="1">
      <w:start w:val="1"/>
      <w:numFmt w:val="lowerLetter"/>
      <w:lvlText w:val="%5."/>
      <w:lvlJc w:val="left"/>
      <w:pPr>
        <w:tabs>
          <w:tab w:val="num" w:pos="3600"/>
        </w:tabs>
        <w:ind w:left="3600" w:hanging="360"/>
      </w:pPr>
      <w:rPr>
        <w:rFonts w:cs="Times New Roman"/>
      </w:rPr>
    </w:lvl>
    <w:lvl w:ilvl="5" w:tplc="041B001B" w:tentative="1">
      <w:start w:val="1"/>
      <w:numFmt w:val="lowerRoman"/>
      <w:lvlText w:val="%6."/>
      <w:lvlJc w:val="right"/>
      <w:pPr>
        <w:tabs>
          <w:tab w:val="num" w:pos="4320"/>
        </w:tabs>
        <w:ind w:left="4320" w:hanging="180"/>
      </w:pPr>
      <w:rPr>
        <w:rFonts w:cs="Times New Roman"/>
      </w:rPr>
    </w:lvl>
    <w:lvl w:ilvl="6" w:tplc="041B000F" w:tentative="1">
      <w:start w:val="1"/>
      <w:numFmt w:val="decimal"/>
      <w:lvlText w:val="%7."/>
      <w:lvlJc w:val="left"/>
      <w:pPr>
        <w:tabs>
          <w:tab w:val="num" w:pos="5040"/>
        </w:tabs>
        <w:ind w:left="5040" w:hanging="360"/>
      </w:pPr>
      <w:rPr>
        <w:rFonts w:cs="Times New Roman"/>
      </w:rPr>
    </w:lvl>
    <w:lvl w:ilvl="7" w:tplc="041B0019" w:tentative="1">
      <w:start w:val="1"/>
      <w:numFmt w:val="lowerLetter"/>
      <w:lvlText w:val="%8."/>
      <w:lvlJc w:val="left"/>
      <w:pPr>
        <w:tabs>
          <w:tab w:val="num" w:pos="5760"/>
        </w:tabs>
        <w:ind w:left="5760" w:hanging="360"/>
      </w:pPr>
      <w:rPr>
        <w:rFonts w:cs="Times New Roman"/>
      </w:rPr>
    </w:lvl>
    <w:lvl w:ilvl="8" w:tplc="041B001B" w:tentative="1">
      <w:start w:val="1"/>
      <w:numFmt w:val="lowerRoman"/>
      <w:lvlText w:val="%9."/>
      <w:lvlJc w:val="right"/>
      <w:pPr>
        <w:tabs>
          <w:tab w:val="num" w:pos="6480"/>
        </w:tabs>
        <w:ind w:left="6480" w:hanging="180"/>
      </w:pPr>
      <w:rPr>
        <w:rFonts w:cs="Times New Roman"/>
      </w:rPr>
    </w:lvl>
  </w:abstractNum>
  <w:abstractNum w:abstractNumId="74">
    <w:nsid w:val="769C10B1"/>
    <w:multiLevelType w:val="hybridMultilevel"/>
    <w:tmpl w:val="38349AD6"/>
    <w:lvl w:ilvl="0" w:tplc="1C86BDC4">
      <w:numFmt w:val="bullet"/>
      <w:lvlText w:val="-"/>
      <w:lvlJc w:val="left"/>
      <w:pPr>
        <w:ind w:left="720" w:hanging="360"/>
      </w:pPr>
      <w:rPr>
        <w:rFonts w:ascii="Times New Roman" w:eastAsia="Times New Roman" w:hAnsi="Times New Roman"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75">
    <w:nsid w:val="78397809"/>
    <w:multiLevelType w:val="hybridMultilevel"/>
    <w:tmpl w:val="28940992"/>
    <w:lvl w:ilvl="0" w:tplc="5C6617D8">
      <w:start w:val="1"/>
      <w:numFmt w:val="bullet"/>
      <w:lvlText w:val="-"/>
      <w:lvlJc w:val="left"/>
      <w:pPr>
        <w:tabs>
          <w:tab w:val="num" w:pos="1068"/>
        </w:tabs>
        <w:ind w:left="1068" w:hanging="360"/>
      </w:pPr>
      <w:rPr>
        <w:rFonts w:ascii="Times New Roman" w:eastAsia="Times New Roman" w:hAnsi="Times New Roman" w:hint="default"/>
      </w:rPr>
    </w:lvl>
    <w:lvl w:ilvl="1" w:tplc="041B0003" w:tentative="1">
      <w:start w:val="1"/>
      <w:numFmt w:val="bullet"/>
      <w:lvlText w:val="o"/>
      <w:lvlJc w:val="left"/>
      <w:pPr>
        <w:tabs>
          <w:tab w:val="num" w:pos="1788"/>
        </w:tabs>
        <w:ind w:left="1788" w:hanging="360"/>
      </w:pPr>
      <w:rPr>
        <w:rFonts w:ascii="Courier New" w:hAnsi="Courier New" w:hint="default"/>
      </w:rPr>
    </w:lvl>
    <w:lvl w:ilvl="2" w:tplc="041B0005" w:tentative="1">
      <w:start w:val="1"/>
      <w:numFmt w:val="bullet"/>
      <w:lvlText w:val=""/>
      <w:lvlJc w:val="left"/>
      <w:pPr>
        <w:tabs>
          <w:tab w:val="num" w:pos="2508"/>
        </w:tabs>
        <w:ind w:left="2508" w:hanging="360"/>
      </w:pPr>
      <w:rPr>
        <w:rFonts w:ascii="Wingdings" w:hAnsi="Wingdings" w:hint="default"/>
      </w:rPr>
    </w:lvl>
    <w:lvl w:ilvl="3" w:tplc="041B0001" w:tentative="1">
      <w:start w:val="1"/>
      <w:numFmt w:val="bullet"/>
      <w:lvlText w:val=""/>
      <w:lvlJc w:val="left"/>
      <w:pPr>
        <w:tabs>
          <w:tab w:val="num" w:pos="3228"/>
        </w:tabs>
        <w:ind w:left="3228" w:hanging="360"/>
      </w:pPr>
      <w:rPr>
        <w:rFonts w:ascii="Symbol" w:hAnsi="Symbol" w:hint="default"/>
      </w:rPr>
    </w:lvl>
    <w:lvl w:ilvl="4" w:tplc="041B0003" w:tentative="1">
      <w:start w:val="1"/>
      <w:numFmt w:val="bullet"/>
      <w:lvlText w:val="o"/>
      <w:lvlJc w:val="left"/>
      <w:pPr>
        <w:tabs>
          <w:tab w:val="num" w:pos="3948"/>
        </w:tabs>
        <w:ind w:left="3948" w:hanging="360"/>
      </w:pPr>
      <w:rPr>
        <w:rFonts w:ascii="Courier New" w:hAnsi="Courier New" w:hint="default"/>
      </w:rPr>
    </w:lvl>
    <w:lvl w:ilvl="5" w:tplc="041B0005" w:tentative="1">
      <w:start w:val="1"/>
      <w:numFmt w:val="bullet"/>
      <w:lvlText w:val=""/>
      <w:lvlJc w:val="left"/>
      <w:pPr>
        <w:tabs>
          <w:tab w:val="num" w:pos="4668"/>
        </w:tabs>
        <w:ind w:left="4668" w:hanging="360"/>
      </w:pPr>
      <w:rPr>
        <w:rFonts w:ascii="Wingdings" w:hAnsi="Wingdings" w:hint="default"/>
      </w:rPr>
    </w:lvl>
    <w:lvl w:ilvl="6" w:tplc="041B0001" w:tentative="1">
      <w:start w:val="1"/>
      <w:numFmt w:val="bullet"/>
      <w:lvlText w:val=""/>
      <w:lvlJc w:val="left"/>
      <w:pPr>
        <w:tabs>
          <w:tab w:val="num" w:pos="5388"/>
        </w:tabs>
        <w:ind w:left="5388" w:hanging="360"/>
      </w:pPr>
      <w:rPr>
        <w:rFonts w:ascii="Symbol" w:hAnsi="Symbol" w:hint="default"/>
      </w:rPr>
    </w:lvl>
    <w:lvl w:ilvl="7" w:tplc="041B0003" w:tentative="1">
      <w:start w:val="1"/>
      <w:numFmt w:val="bullet"/>
      <w:lvlText w:val="o"/>
      <w:lvlJc w:val="left"/>
      <w:pPr>
        <w:tabs>
          <w:tab w:val="num" w:pos="6108"/>
        </w:tabs>
        <w:ind w:left="6108" w:hanging="360"/>
      </w:pPr>
      <w:rPr>
        <w:rFonts w:ascii="Courier New" w:hAnsi="Courier New" w:hint="default"/>
      </w:rPr>
    </w:lvl>
    <w:lvl w:ilvl="8" w:tplc="041B0005" w:tentative="1">
      <w:start w:val="1"/>
      <w:numFmt w:val="bullet"/>
      <w:lvlText w:val=""/>
      <w:lvlJc w:val="left"/>
      <w:pPr>
        <w:tabs>
          <w:tab w:val="num" w:pos="6828"/>
        </w:tabs>
        <w:ind w:left="6828" w:hanging="360"/>
      </w:pPr>
      <w:rPr>
        <w:rFonts w:ascii="Wingdings" w:hAnsi="Wingdings" w:hint="default"/>
      </w:rPr>
    </w:lvl>
  </w:abstractNum>
  <w:abstractNum w:abstractNumId="76">
    <w:nsid w:val="7B497093"/>
    <w:multiLevelType w:val="hybridMultilevel"/>
    <w:tmpl w:val="FC4A397A"/>
    <w:lvl w:ilvl="0" w:tplc="561CEB9A">
      <w:start w:val="2"/>
      <w:numFmt w:val="bullet"/>
      <w:lvlText w:val="-"/>
      <w:lvlJc w:val="left"/>
      <w:pPr>
        <w:ind w:left="720" w:hanging="360"/>
      </w:pPr>
      <w:rPr>
        <w:rFonts w:ascii="Calibri" w:eastAsia="Times New Roman" w:hAnsi="Calibri" w:hint="default"/>
      </w:rPr>
    </w:lvl>
    <w:lvl w:ilvl="1" w:tplc="041B0003" w:tentative="1">
      <w:start w:val="1"/>
      <w:numFmt w:val="bullet"/>
      <w:lvlText w:val="o"/>
      <w:lvlJc w:val="left"/>
      <w:pPr>
        <w:ind w:left="1440" w:hanging="360"/>
      </w:pPr>
      <w:rPr>
        <w:rFonts w:ascii="Courier New" w:hAnsi="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77">
    <w:nsid w:val="7D0D1CF5"/>
    <w:multiLevelType w:val="hybridMultilevel"/>
    <w:tmpl w:val="2340D14C"/>
    <w:lvl w:ilvl="0" w:tplc="041B0001">
      <w:start w:val="1"/>
      <w:numFmt w:val="bullet"/>
      <w:lvlText w:val=""/>
      <w:lvlJc w:val="left"/>
      <w:pPr>
        <w:tabs>
          <w:tab w:val="num" w:pos="720"/>
        </w:tabs>
        <w:ind w:left="720" w:hanging="360"/>
      </w:pPr>
      <w:rPr>
        <w:rFonts w:ascii="Symbol" w:hAnsi="Symbol" w:hint="default"/>
      </w:rPr>
    </w:lvl>
    <w:lvl w:ilvl="1" w:tplc="041B0003" w:tentative="1">
      <w:start w:val="1"/>
      <w:numFmt w:val="bullet"/>
      <w:lvlText w:val="o"/>
      <w:lvlJc w:val="left"/>
      <w:pPr>
        <w:tabs>
          <w:tab w:val="num" w:pos="1440"/>
        </w:tabs>
        <w:ind w:left="1440" w:hanging="360"/>
      </w:pPr>
      <w:rPr>
        <w:rFonts w:ascii="Courier New" w:hAnsi="Courier New" w:hint="default"/>
      </w:rPr>
    </w:lvl>
    <w:lvl w:ilvl="2" w:tplc="041B0005" w:tentative="1">
      <w:start w:val="1"/>
      <w:numFmt w:val="bullet"/>
      <w:lvlText w:val=""/>
      <w:lvlJc w:val="left"/>
      <w:pPr>
        <w:tabs>
          <w:tab w:val="num" w:pos="2160"/>
        </w:tabs>
        <w:ind w:left="2160" w:hanging="360"/>
      </w:pPr>
      <w:rPr>
        <w:rFonts w:ascii="Wingdings" w:hAnsi="Wingdings" w:hint="default"/>
      </w:rPr>
    </w:lvl>
    <w:lvl w:ilvl="3" w:tplc="041B0001" w:tentative="1">
      <w:start w:val="1"/>
      <w:numFmt w:val="bullet"/>
      <w:lvlText w:val=""/>
      <w:lvlJc w:val="left"/>
      <w:pPr>
        <w:tabs>
          <w:tab w:val="num" w:pos="2880"/>
        </w:tabs>
        <w:ind w:left="2880" w:hanging="360"/>
      </w:pPr>
      <w:rPr>
        <w:rFonts w:ascii="Symbol" w:hAnsi="Symbol" w:hint="default"/>
      </w:rPr>
    </w:lvl>
    <w:lvl w:ilvl="4" w:tplc="041B0003" w:tentative="1">
      <w:start w:val="1"/>
      <w:numFmt w:val="bullet"/>
      <w:lvlText w:val="o"/>
      <w:lvlJc w:val="left"/>
      <w:pPr>
        <w:tabs>
          <w:tab w:val="num" w:pos="3600"/>
        </w:tabs>
        <w:ind w:left="3600" w:hanging="360"/>
      </w:pPr>
      <w:rPr>
        <w:rFonts w:ascii="Courier New" w:hAnsi="Courier New" w:hint="default"/>
      </w:rPr>
    </w:lvl>
    <w:lvl w:ilvl="5" w:tplc="041B0005" w:tentative="1">
      <w:start w:val="1"/>
      <w:numFmt w:val="bullet"/>
      <w:lvlText w:val=""/>
      <w:lvlJc w:val="left"/>
      <w:pPr>
        <w:tabs>
          <w:tab w:val="num" w:pos="4320"/>
        </w:tabs>
        <w:ind w:left="4320" w:hanging="360"/>
      </w:pPr>
      <w:rPr>
        <w:rFonts w:ascii="Wingdings" w:hAnsi="Wingdings" w:hint="default"/>
      </w:rPr>
    </w:lvl>
    <w:lvl w:ilvl="6" w:tplc="041B0001" w:tentative="1">
      <w:start w:val="1"/>
      <w:numFmt w:val="bullet"/>
      <w:lvlText w:val=""/>
      <w:lvlJc w:val="left"/>
      <w:pPr>
        <w:tabs>
          <w:tab w:val="num" w:pos="5040"/>
        </w:tabs>
        <w:ind w:left="5040" w:hanging="360"/>
      </w:pPr>
      <w:rPr>
        <w:rFonts w:ascii="Symbol" w:hAnsi="Symbol" w:hint="default"/>
      </w:rPr>
    </w:lvl>
    <w:lvl w:ilvl="7" w:tplc="041B0003" w:tentative="1">
      <w:start w:val="1"/>
      <w:numFmt w:val="bullet"/>
      <w:lvlText w:val="o"/>
      <w:lvlJc w:val="left"/>
      <w:pPr>
        <w:tabs>
          <w:tab w:val="num" w:pos="5760"/>
        </w:tabs>
        <w:ind w:left="5760" w:hanging="360"/>
      </w:pPr>
      <w:rPr>
        <w:rFonts w:ascii="Courier New" w:hAnsi="Courier New" w:hint="default"/>
      </w:rPr>
    </w:lvl>
    <w:lvl w:ilvl="8" w:tplc="041B0005" w:tentative="1">
      <w:start w:val="1"/>
      <w:numFmt w:val="bullet"/>
      <w:lvlText w:val=""/>
      <w:lvlJc w:val="left"/>
      <w:pPr>
        <w:tabs>
          <w:tab w:val="num" w:pos="6480"/>
        </w:tabs>
        <w:ind w:left="6480" w:hanging="360"/>
      </w:pPr>
      <w:rPr>
        <w:rFonts w:ascii="Wingdings" w:hAnsi="Wingdings" w:hint="default"/>
      </w:rPr>
    </w:lvl>
  </w:abstractNum>
  <w:abstractNum w:abstractNumId="78">
    <w:nsid w:val="7E0C53D6"/>
    <w:multiLevelType w:val="hybridMultilevel"/>
    <w:tmpl w:val="67CC64D0"/>
    <w:lvl w:ilvl="0" w:tplc="5646332E">
      <w:start w:val="1"/>
      <w:numFmt w:val="lowerLetter"/>
      <w:lvlText w:val="%1)"/>
      <w:lvlJc w:val="left"/>
      <w:pPr>
        <w:tabs>
          <w:tab w:val="num" w:pos="720"/>
        </w:tabs>
        <w:ind w:left="720" w:hanging="360"/>
      </w:pPr>
      <w:rPr>
        <w:rFonts w:cs="Times New Roman" w:hint="default"/>
      </w:rPr>
    </w:lvl>
    <w:lvl w:ilvl="1" w:tplc="041B0019" w:tentative="1">
      <w:start w:val="1"/>
      <w:numFmt w:val="lowerLetter"/>
      <w:lvlText w:val="%2."/>
      <w:lvlJc w:val="left"/>
      <w:pPr>
        <w:tabs>
          <w:tab w:val="num" w:pos="1440"/>
        </w:tabs>
        <w:ind w:left="1440" w:hanging="360"/>
      </w:pPr>
      <w:rPr>
        <w:rFonts w:cs="Times New Roman"/>
      </w:rPr>
    </w:lvl>
    <w:lvl w:ilvl="2" w:tplc="041B001B" w:tentative="1">
      <w:start w:val="1"/>
      <w:numFmt w:val="lowerRoman"/>
      <w:lvlText w:val="%3."/>
      <w:lvlJc w:val="right"/>
      <w:pPr>
        <w:tabs>
          <w:tab w:val="num" w:pos="2160"/>
        </w:tabs>
        <w:ind w:left="2160" w:hanging="180"/>
      </w:pPr>
      <w:rPr>
        <w:rFonts w:cs="Times New Roman"/>
      </w:rPr>
    </w:lvl>
    <w:lvl w:ilvl="3" w:tplc="041B000F" w:tentative="1">
      <w:start w:val="1"/>
      <w:numFmt w:val="decimal"/>
      <w:lvlText w:val="%4."/>
      <w:lvlJc w:val="left"/>
      <w:pPr>
        <w:tabs>
          <w:tab w:val="num" w:pos="2880"/>
        </w:tabs>
        <w:ind w:left="2880" w:hanging="360"/>
      </w:pPr>
      <w:rPr>
        <w:rFonts w:cs="Times New Roman"/>
      </w:rPr>
    </w:lvl>
    <w:lvl w:ilvl="4" w:tplc="041B0019" w:tentative="1">
      <w:start w:val="1"/>
      <w:numFmt w:val="lowerLetter"/>
      <w:lvlText w:val="%5."/>
      <w:lvlJc w:val="left"/>
      <w:pPr>
        <w:tabs>
          <w:tab w:val="num" w:pos="3600"/>
        </w:tabs>
        <w:ind w:left="3600" w:hanging="360"/>
      </w:pPr>
      <w:rPr>
        <w:rFonts w:cs="Times New Roman"/>
      </w:rPr>
    </w:lvl>
    <w:lvl w:ilvl="5" w:tplc="041B001B" w:tentative="1">
      <w:start w:val="1"/>
      <w:numFmt w:val="lowerRoman"/>
      <w:lvlText w:val="%6."/>
      <w:lvlJc w:val="right"/>
      <w:pPr>
        <w:tabs>
          <w:tab w:val="num" w:pos="4320"/>
        </w:tabs>
        <w:ind w:left="4320" w:hanging="180"/>
      </w:pPr>
      <w:rPr>
        <w:rFonts w:cs="Times New Roman"/>
      </w:rPr>
    </w:lvl>
    <w:lvl w:ilvl="6" w:tplc="041B000F" w:tentative="1">
      <w:start w:val="1"/>
      <w:numFmt w:val="decimal"/>
      <w:lvlText w:val="%7."/>
      <w:lvlJc w:val="left"/>
      <w:pPr>
        <w:tabs>
          <w:tab w:val="num" w:pos="5040"/>
        </w:tabs>
        <w:ind w:left="5040" w:hanging="360"/>
      </w:pPr>
      <w:rPr>
        <w:rFonts w:cs="Times New Roman"/>
      </w:rPr>
    </w:lvl>
    <w:lvl w:ilvl="7" w:tplc="041B0019" w:tentative="1">
      <w:start w:val="1"/>
      <w:numFmt w:val="lowerLetter"/>
      <w:lvlText w:val="%8."/>
      <w:lvlJc w:val="left"/>
      <w:pPr>
        <w:tabs>
          <w:tab w:val="num" w:pos="5760"/>
        </w:tabs>
        <w:ind w:left="5760" w:hanging="360"/>
      </w:pPr>
      <w:rPr>
        <w:rFonts w:cs="Times New Roman"/>
      </w:rPr>
    </w:lvl>
    <w:lvl w:ilvl="8" w:tplc="041B001B" w:tentative="1">
      <w:start w:val="1"/>
      <w:numFmt w:val="lowerRoman"/>
      <w:lvlText w:val="%9."/>
      <w:lvlJc w:val="right"/>
      <w:pPr>
        <w:tabs>
          <w:tab w:val="num" w:pos="6480"/>
        </w:tabs>
        <w:ind w:left="6480" w:hanging="180"/>
      </w:pPr>
      <w:rPr>
        <w:rFonts w:cs="Times New Roman"/>
      </w:rPr>
    </w:lvl>
  </w:abstractNum>
  <w:abstractNum w:abstractNumId="79">
    <w:nsid w:val="7E3E57B9"/>
    <w:multiLevelType w:val="hybridMultilevel"/>
    <w:tmpl w:val="1734A992"/>
    <w:lvl w:ilvl="0" w:tplc="041B0017">
      <w:start w:val="1"/>
      <w:numFmt w:val="lowerLetter"/>
      <w:lvlText w:val="%1)"/>
      <w:lvlJc w:val="left"/>
      <w:pPr>
        <w:tabs>
          <w:tab w:val="num" w:pos="720"/>
        </w:tabs>
        <w:ind w:left="720" w:hanging="360"/>
      </w:pPr>
      <w:rPr>
        <w:rFonts w:cs="Times New Roman"/>
      </w:rPr>
    </w:lvl>
    <w:lvl w:ilvl="1" w:tplc="D7903814">
      <w:start w:val="2"/>
      <w:numFmt w:val="decimal"/>
      <w:lvlText w:val="%2."/>
      <w:lvlJc w:val="left"/>
      <w:pPr>
        <w:tabs>
          <w:tab w:val="num" w:pos="1440"/>
        </w:tabs>
        <w:ind w:left="1440" w:hanging="360"/>
      </w:pPr>
      <w:rPr>
        <w:rFonts w:cs="Times New Roman" w:hint="default"/>
        <w:b/>
      </w:rPr>
    </w:lvl>
    <w:lvl w:ilvl="2" w:tplc="5FE89BAA">
      <w:start w:val="3"/>
      <w:numFmt w:val="decimal"/>
      <w:lvlText w:val="%3."/>
      <w:lvlJc w:val="left"/>
      <w:pPr>
        <w:tabs>
          <w:tab w:val="num" w:pos="2340"/>
        </w:tabs>
        <w:ind w:left="2340" w:hanging="360"/>
      </w:pPr>
      <w:rPr>
        <w:rFonts w:cs="Times New Roman" w:hint="default"/>
        <w:b/>
      </w:rPr>
    </w:lvl>
    <w:lvl w:ilvl="3" w:tplc="5646332E">
      <w:start w:val="1"/>
      <w:numFmt w:val="lowerLetter"/>
      <w:lvlText w:val="%4)"/>
      <w:lvlJc w:val="left"/>
      <w:pPr>
        <w:tabs>
          <w:tab w:val="num" w:pos="2880"/>
        </w:tabs>
        <w:ind w:left="2880" w:hanging="360"/>
      </w:pPr>
      <w:rPr>
        <w:rFonts w:cs="Times New Roman" w:hint="default"/>
      </w:rPr>
    </w:lvl>
    <w:lvl w:ilvl="4" w:tplc="041B0019" w:tentative="1">
      <w:start w:val="1"/>
      <w:numFmt w:val="lowerLetter"/>
      <w:lvlText w:val="%5."/>
      <w:lvlJc w:val="left"/>
      <w:pPr>
        <w:tabs>
          <w:tab w:val="num" w:pos="3600"/>
        </w:tabs>
        <w:ind w:left="3600" w:hanging="360"/>
      </w:pPr>
      <w:rPr>
        <w:rFonts w:cs="Times New Roman"/>
      </w:rPr>
    </w:lvl>
    <w:lvl w:ilvl="5" w:tplc="041B001B" w:tentative="1">
      <w:start w:val="1"/>
      <w:numFmt w:val="lowerRoman"/>
      <w:lvlText w:val="%6."/>
      <w:lvlJc w:val="right"/>
      <w:pPr>
        <w:tabs>
          <w:tab w:val="num" w:pos="4320"/>
        </w:tabs>
        <w:ind w:left="4320" w:hanging="180"/>
      </w:pPr>
      <w:rPr>
        <w:rFonts w:cs="Times New Roman"/>
      </w:rPr>
    </w:lvl>
    <w:lvl w:ilvl="6" w:tplc="041B000F" w:tentative="1">
      <w:start w:val="1"/>
      <w:numFmt w:val="decimal"/>
      <w:lvlText w:val="%7."/>
      <w:lvlJc w:val="left"/>
      <w:pPr>
        <w:tabs>
          <w:tab w:val="num" w:pos="5040"/>
        </w:tabs>
        <w:ind w:left="5040" w:hanging="360"/>
      </w:pPr>
      <w:rPr>
        <w:rFonts w:cs="Times New Roman"/>
      </w:rPr>
    </w:lvl>
    <w:lvl w:ilvl="7" w:tplc="041B0019" w:tentative="1">
      <w:start w:val="1"/>
      <w:numFmt w:val="lowerLetter"/>
      <w:lvlText w:val="%8."/>
      <w:lvlJc w:val="left"/>
      <w:pPr>
        <w:tabs>
          <w:tab w:val="num" w:pos="5760"/>
        </w:tabs>
        <w:ind w:left="5760" w:hanging="360"/>
      </w:pPr>
      <w:rPr>
        <w:rFonts w:cs="Times New Roman"/>
      </w:rPr>
    </w:lvl>
    <w:lvl w:ilvl="8" w:tplc="041B001B" w:tentative="1">
      <w:start w:val="1"/>
      <w:numFmt w:val="lowerRoman"/>
      <w:lvlText w:val="%9."/>
      <w:lvlJc w:val="right"/>
      <w:pPr>
        <w:tabs>
          <w:tab w:val="num" w:pos="6480"/>
        </w:tabs>
        <w:ind w:left="6480" w:hanging="180"/>
      </w:pPr>
      <w:rPr>
        <w:rFonts w:cs="Times New Roman"/>
      </w:rPr>
    </w:lvl>
  </w:abstractNum>
  <w:num w:numId="1">
    <w:abstractNumId w:val="1"/>
  </w:num>
  <w:num w:numId="2">
    <w:abstractNumId w:val="0"/>
  </w:num>
  <w:num w:numId="3">
    <w:abstractNumId w:val="3"/>
  </w:num>
  <w:num w:numId="4">
    <w:abstractNumId w:val="41"/>
  </w:num>
  <w:num w:numId="5">
    <w:abstractNumId w:val="45"/>
  </w:num>
  <w:num w:numId="6">
    <w:abstractNumId w:val="17"/>
  </w:num>
  <w:num w:numId="7">
    <w:abstractNumId w:val="77"/>
  </w:num>
  <w:num w:numId="8">
    <w:abstractNumId w:val="29"/>
  </w:num>
  <w:num w:numId="9">
    <w:abstractNumId w:val="26"/>
  </w:num>
  <w:num w:numId="10">
    <w:abstractNumId w:val="30"/>
  </w:num>
  <w:num w:numId="11">
    <w:abstractNumId w:val="5"/>
  </w:num>
  <w:num w:numId="12">
    <w:abstractNumId w:val="8"/>
  </w:num>
  <w:num w:numId="13">
    <w:abstractNumId w:val="48"/>
  </w:num>
  <w:num w:numId="14">
    <w:abstractNumId w:val="67"/>
  </w:num>
  <w:num w:numId="15">
    <w:abstractNumId w:val="75"/>
  </w:num>
  <w:num w:numId="16">
    <w:abstractNumId w:val="2"/>
  </w:num>
  <w:num w:numId="17">
    <w:abstractNumId w:val="68"/>
  </w:num>
  <w:num w:numId="18">
    <w:abstractNumId w:val="66"/>
  </w:num>
  <w:num w:numId="19">
    <w:abstractNumId w:val="71"/>
  </w:num>
  <w:num w:numId="20">
    <w:abstractNumId w:val="79"/>
  </w:num>
  <w:num w:numId="21">
    <w:abstractNumId w:val="78"/>
  </w:num>
  <w:num w:numId="22">
    <w:abstractNumId w:val="15"/>
  </w:num>
  <w:num w:numId="23">
    <w:abstractNumId w:val="57"/>
  </w:num>
  <w:num w:numId="24">
    <w:abstractNumId w:val="35"/>
  </w:num>
  <w:num w:numId="25">
    <w:abstractNumId w:val="22"/>
  </w:num>
  <w:num w:numId="26">
    <w:abstractNumId w:val="9"/>
  </w:num>
  <w:num w:numId="27">
    <w:abstractNumId w:val="73"/>
  </w:num>
  <w:num w:numId="28">
    <w:abstractNumId w:val="63"/>
  </w:num>
  <w:num w:numId="29">
    <w:abstractNumId w:val="47"/>
  </w:num>
  <w:num w:numId="30">
    <w:abstractNumId w:val="13"/>
  </w:num>
  <w:num w:numId="31">
    <w:abstractNumId w:val="10"/>
  </w:num>
  <w:num w:numId="32">
    <w:abstractNumId w:val="51"/>
  </w:num>
  <w:num w:numId="33">
    <w:abstractNumId w:val="37"/>
  </w:num>
  <w:num w:numId="34">
    <w:abstractNumId w:val="56"/>
  </w:num>
  <w:num w:numId="35">
    <w:abstractNumId w:val="12"/>
  </w:num>
  <w:num w:numId="36">
    <w:abstractNumId w:val="59"/>
  </w:num>
  <w:num w:numId="37">
    <w:abstractNumId w:val="72"/>
  </w:num>
  <w:num w:numId="38">
    <w:abstractNumId w:val="76"/>
  </w:num>
  <w:num w:numId="39">
    <w:abstractNumId w:val="2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7"/>
  </w:num>
  <w:num w:numId="41">
    <w:abstractNumId w:val="4"/>
  </w:num>
  <w:num w:numId="42">
    <w:abstractNumId w:val="38"/>
  </w:num>
  <w:num w:numId="43">
    <w:abstractNumId w:val="69"/>
  </w:num>
  <w:num w:numId="44">
    <w:abstractNumId w:val="64"/>
  </w:num>
  <w:num w:numId="45">
    <w:abstractNumId w:val="32"/>
  </w:num>
  <w:num w:numId="46">
    <w:abstractNumId w:val="31"/>
  </w:num>
  <w:num w:numId="47">
    <w:abstractNumId w:val="55"/>
  </w:num>
  <w:num w:numId="48">
    <w:abstractNumId w:val="44"/>
  </w:num>
  <w:num w:numId="49">
    <w:abstractNumId w:val="16"/>
  </w:num>
  <w:num w:numId="50">
    <w:abstractNumId w:val="46"/>
  </w:num>
  <w:num w:numId="51">
    <w:abstractNumId w:val="60"/>
  </w:num>
  <w:num w:numId="52">
    <w:abstractNumId w:val="34"/>
  </w:num>
  <w:num w:numId="53">
    <w:abstractNumId w:val="53"/>
  </w:num>
  <w:num w:numId="54">
    <w:abstractNumId w:val="19"/>
  </w:num>
  <w:num w:numId="55">
    <w:abstractNumId w:val="52"/>
  </w:num>
  <w:num w:numId="56">
    <w:abstractNumId w:val="42"/>
  </w:num>
  <w:num w:numId="57">
    <w:abstractNumId w:val="40"/>
  </w:num>
  <w:num w:numId="58">
    <w:abstractNumId w:val="36"/>
  </w:num>
  <w:num w:numId="59">
    <w:abstractNumId w:val="11"/>
  </w:num>
  <w:num w:numId="60">
    <w:abstractNumId w:val="28"/>
  </w:num>
  <w:num w:numId="61">
    <w:abstractNumId w:val="54"/>
  </w:num>
  <w:num w:numId="62">
    <w:abstractNumId w:val="61"/>
  </w:num>
  <w:num w:numId="63">
    <w:abstractNumId w:val="39"/>
  </w:num>
  <w:num w:numId="64">
    <w:abstractNumId w:val="25"/>
  </w:num>
  <w:num w:numId="65">
    <w:abstractNumId w:val="70"/>
  </w:num>
  <w:num w:numId="66">
    <w:abstractNumId w:val="14"/>
  </w:num>
  <w:num w:numId="67">
    <w:abstractNumId w:val="43"/>
  </w:num>
  <w:num w:numId="68">
    <w:abstractNumId w:val="20"/>
  </w:num>
  <w:num w:numId="69">
    <w:abstractNumId w:val="21"/>
  </w:num>
  <w:num w:numId="70">
    <w:abstractNumId w:val="65"/>
  </w:num>
  <w:num w:numId="71">
    <w:abstractNumId w:val="6"/>
  </w:num>
  <w:num w:numId="72">
    <w:abstractNumId w:val="74"/>
  </w:num>
  <w:num w:numId="73">
    <w:abstractNumId w:val="23"/>
  </w:num>
  <w:num w:numId="74">
    <w:abstractNumId w:val="27"/>
  </w:num>
  <w:num w:numId="75">
    <w:abstractNumId w:val="33"/>
  </w:num>
  <w:num w:numId="76">
    <w:abstractNumId w:val="58"/>
  </w:num>
  <w:num w:numId="77">
    <w:abstractNumId w:val="62"/>
  </w:num>
  <w:num w:numId="78">
    <w:abstractNumId w:val="6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9">
    <w:abstractNumId w:val="6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0">
    <w:abstractNumId w:val="6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1">
    <w:abstractNumId w:val="6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2">
    <w:abstractNumId w:val="6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3">
    <w:abstractNumId w:val="6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4">
    <w:abstractNumId w:val="6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5">
    <w:abstractNumId w:val="6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6">
    <w:abstractNumId w:val="6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7">
    <w:abstractNumId w:val="6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8">
    <w:abstractNumId w:val="6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9">
    <w:abstractNumId w:val="6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0">
    <w:abstractNumId w:val="6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1">
    <w:abstractNumId w:val="6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2">
    <w:abstractNumId w:val="6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3">
    <w:abstractNumId w:val="6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4">
    <w:abstractNumId w:val="6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5">
    <w:abstractNumId w:val="6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6">
    <w:abstractNumId w:val="6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7">
    <w:abstractNumId w:val="6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8">
    <w:abstractNumId w:val="6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9">
    <w:abstractNumId w:val="6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
    <w:abstractNumId w:val="6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1">
    <w:abstractNumId w:val="6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2">
    <w:abstractNumId w:val="6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3">
    <w:abstractNumId w:val="6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4">
    <w:abstractNumId w:val="6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5">
    <w:abstractNumId w:val="6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6">
    <w:abstractNumId w:val="6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7">
    <w:abstractNumId w:val="6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8">
    <w:abstractNumId w:val="6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9">
    <w:abstractNumId w:val="6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0">
    <w:abstractNumId w:val="6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1">
    <w:abstractNumId w:val="6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2">
    <w:abstractNumId w:val="6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3">
    <w:abstractNumId w:val="6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4">
    <w:abstractNumId w:val="6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5">
    <w:abstractNumId w:val="6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6">
    <w:abstractNumId w:val="6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7">
    <w:abstractNumId w:val="6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8">
    <w:abstractNumId w:val="6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9">
    <w:abstractNumId w:val="6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0">
    <w:abstractNumId w:val="6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1">
    <w:abstractNumId w:val="6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2">
    <w:abstractNumId w:val="49"/>
  </w:num>
  <w:num w:numId="123">
    <w:abstractNumId w:val="50"/>
  </w:num>
  <w:num w:numId="124">
    <w:abstractNumId w:val="18"/>
  </w:num>
  <w:numIdMacAtCleanup w:val="12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9"/>
  <w:displayBackgroundShape/>
  <w:hideGrammaticalErrors/>
  <w:stylePaneFormatFilter w:val="0004" w:allStyles="0" w:customStyles="0" w:latentStyles="1" w:stylesInUse="0" w:headingStyles="0" w:numberingStyles="0" w:tableStyles="0" w:directFormattingOnRuns="0" w:directFormattingOnParagraphs="0" w:directFormattingOnNumbering="0" w:directFormattingOnTables="0" w:clearFormatting="0" w:top3HeadingStyles="0" w:visibleStyles="0" w:alternateStyleNames="0"/>
  <w:defaultTabStop w:val="0"/>
  <w:hyphenationZone w:val="425"/>
  <w:noPunctuationKerning/>
  <w:characterSpacingControl w:val="doNotCompress"/>
  <w:hdrShapeDefaults>
    <o:shapedefaults v:ext="edit" spidmax="14745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37C1B"/>
    <w:rsid w:val="000009DA"/>
    <w:rsid w:val="00000CC9"/>
    <w:rsid w:val="00001458"/>
    <w:rsid w:val="000015F6"/>
    <w:rsid w:val="000023C1"/>
    <w:rsid w:val="0000262A"/>
    <w:rsid w:val="00002668"/>
    <w:rsid w:val="00002839"/>
    <w:rsid w:val="00002A39"/>
    <w:rsid w:val="0000370D"/>
    <w:rsid w:val="00003853"/>
    <w:rsid w:val="00003C20"/>
    <w:rsid w:val="000048BD"/>
    <w:rsid w:val="000049D5"/>
    <w:rsid w:val="00004C9B"/>
    <w:rsid w:val="00004F66"/>
    <w:rsid w:val="00005065"/>
    <w:rsid w:val="00005216"/>
    <w:rsid w:val="0000584A"/>
    <w:rsid w:val="0000622F"/>
    <w:rsid w:val="00006F0F"/>
    <w:rsid w:val="000070D1"/>
    <w:rsid w:val="00007171"/>
    <w:rsid w:val="0000735D"/>
    <w:rsid w:val="00007624"/>
    <w:rsid w:val="0001056C"/>
    <w:rsid w:val="00010AA7"/>
    <w:rsid w:val="00010E4E"/>
    <w:rsid w:val="000114BD"/>
    <w:rsid w:val="000115A1"/>
    <w:rsid w:val="00011ADA"/>
    <w:rsid w:val="00011C3B"/>
    <w:rsid w:val="00012A50"/>
    <w:rsid w:val="00012DDE"/>
    <w:rsid w:val="00013259"/>
    <w:rsid w:val="00013D5F"/>
    <w:rsid w:val="00014435"/>
    <w:rsid w:val="00014BE6"/>
    <w:rsid w:val="00014CF3"/>
    <w:rsid w:val="00015D1A"/>
    <w:rsid w:val="000162C9"/>
    <w:rsid w:val="00016313"/>
    <w:rsid w:val="000164B6"/>
    <w:rsid w:val="000167E0"/>
    <w:rsid w:val="000168D4"/>
    <w:rsid w:val="00016D7A"/>
    <w:rsid w:val="00017396"/>
    <w:rsid w:val="00020846"/>
    <w:rsid w:val="00020B94"/>
    <w:rsid w:val="00020DC5"/>
    <w:rsid w:val="00021547"/>
    <w:rsid w:val="0002169E"/>
    <w:rsid w:val="000216DF"/>
    <w:rsid w:val="000222B3"/>
    <w:rsid w:val="000225B0"/>
    <w:rsid w:val="0002275A"/>
    <w:rsid w:val="0002293D"/>
    <w:rsid w:val="00022AFD"/>
    <w:rsid w:val="00023537"/>
    <w:rsid w:val="000236A4"/>
    <w:rsid w:val="00023899"/>
    <w:rsid w:val="00023CE2"/>
    <w:rsid w:val="000243B3"/>
    <w:rsid w:val="00025E74"/>
    <w:rsid w:val="00026311"/>
    <w:rsid w:val="0002671F"/>
    <w:rsid w:val="00026AC4"/>
    <w:rsid w:val="000271BD"/>
    <w:rsid w:val="000274B6"/>
    <w:rsid w:val="00027CEB"/>
    <w:rsid w:val="00027F5F"/>
    <w:rsid w:val="00030272"/>
    <w:rsid w:val="00030394"/>
    <w:rsid w:val="00030C9A"/>
    <w:rsid w:val="00032930"/>
    <w:rsid w:val="00032AB7"/>
    <w:rsid w:val="00032E81"/>
    <w:rsid w:val="000330FC"/>
    <w:rsid w:val="000337CC"/>
    <w:rsid w:val="00033CB7"/>
    <w:rsid w:val="00033F3F"/>
    <w:rsid w:val="00034057"/>
    <w:rsid w:val="000342D3"/>
    <w:rsid w:val="0003462D"/>
    <w:rsid w:val="00034E89"/>
    <w:rsid w:val="00035107"/>
    <w:rsid w:val="0003533A"/>
    <w:rsid w:val="00035663"/>
    <w:rsid w:val="00035A95"/>
    <w:rsid w:val="00036302"/>
    <w:rsid w:val="00036C22"/>
    <w:rsid w:val="00037A08"/>
    <w:rsid w:val="00037A3A"/>
    <w:rsid w:val="0004016B"/>
    <w:rsid w:val="00041E72"/>
    <w:rsid w:val="000421FA"/>
    <w:rsid w:val="00042600"/>
    <w:rsid w:val="000426FA"/>
    <w:rsid w:val="0004294F"/>
    <w:rsid w:val="00042991"/>
    <w:rsid w:val="00042A5B"/>
    <w:rsid w:val="000431BB"/>
    <w:rsid w:val="00043569"/>
    <w:rsid w:val="000448A7"/>
    <w:rsid w:val="00044CE9"/>
    <w:rsid w:val="00045C03"/>
    <w:rsid w:val="00046519"/>
    <w:rsid w:val="00046BBA"/>
    <w:rsid w:val="0004776E"/>
    <w:rsid w:val="0004781D"/>
    <w:rsid w:val="00047E00"/>
    <w:rsid w:val="00050A3F"/>
    <w:rsid w:val="00050B16"/>
    <w:rsid w:val="000515AA"/>
    <w:rsid w:val="0005170F"/>
    <w:rsid w:val="00051A30"/>
    <w:rsid w:val="00051F33"/>
    <w:rsid w:val="00052F39"/>
    <w:rsid w:val="00052FF6"/>
    <w:rsid w:val="0005340B"/>
    <w:rsid w:val="00053A36"/>
    <w:rsid w:val="00053CCF"/>
    <w:rsid w:val="00054B16"/>
    <w:rsid w:val="000550F3"/>
    <w:rsid w:val="000550FB"/>
    <w:rsid w:val="00055361"/>
    <w:rsid w:val="00055825"/>
    <w:rsid w:val="000559C2"/>
    <w:rsid w:val="00055DB5"/>
    <w:rsid w:val="0005652B"/>
    <w:rsid w:val="00056597"/>
    <w:rsid w:val="00057AD0"/>
    <w:rsid w:val="00057E97"/>
    <w:rsid w:val="00060574"/>
    <w:rsid w:val="00060A99"/>
    <w:rsid w:val="000610F3"/>
    <w:rsid w:val="00061E3D"/>
    <w:rsid w:val="00062420"/>
    <w:rsid w:val="0006266D"/>
    <w:rsid w:val="00062BCC"/>
    <w:rsid w:val="00062D03"/>
    <w:rsid w:val="00062E5B"/>
    <w:rsid w:val="00063AA4"/>
    <w:rsid w:val="00064370"/>
    <w:rsid w:val="000645DE"/>
    <w:rsid w:val="00064796"/>
    <w:rsid w:val="00065114"/>
    <w:rsid w:val="00065986"/>
    <w:rsid w:val="000659AA"/>
    <w:rsid w:val="00065CA4"/>
    <w:rsid w:val="0006602E"/>
    <w:rsid w:val="000662AC"/>
    <w:rsid w:val="000663D4"/>
    <w:rsid w:val="000666F1"/>
    <w:rsid w:val="000679EA"/>
    <w:rsid w:val="00067B03"/>
    <w:rsid w:val="00067B58"/>
    <w:rsid w:val="000706A0"/>
    <w:rsid w:val="00070AE3"/>
    <w:rsid w:val="00070B93"/>
    <w:rsid w:val="00071064"/>
    <w:rsid w:val="00071450"/>
    <w:rsid w:val="000714DC"/>
    <w:rsid w:val="00071589"/>
    <w:rsid w:val="00071AAF"/>
    <w:rsid w:val="00071C53"/>
    <w:rsid w:val="00071F45"/>
    <w:rsid w:val="00071F9B"/>
    <w:rsid w:val="0007258C"/>
    <w:rsid w:val="000725CB"/>
    <w:rsid w:val="00072869"/>
    <w:rsid w:val="00072F64"/>
    <w:rsid w:val="00074203"/>
    <w:rsid w:val="00074BF7"/>
    <w:rsid w:val="00074E8B"/>
    <w:rsid w:val="00075164"/>
    <w:rsid w:val="0007528E"/>
    <w:rsid w:val="00075C0A"/>
    <w:rsid w:val="00075F0C"/>
    <w:rsid w:val="000766F3"/>
    <w:rsid w:val="00076CB6"/>
    <w:rsid w:val="00076F86"/>
    <w:rsid w:val="000777E4"/>
    <w:rsid w:val="000801F3"/>
    <w:rsid w:val="00080AFF"/>
    <w:rsid w:val="000814C4"/>
    <w:rsid w:val="00081550"/>
    <w:rsid w:val="0008192E"/>
    <w:rsid w:val="00081B9F"/>
    <w:rsid w:val="00081CDE"/>
    <w:rsid w:val="00082092"/>
    <w:rsid w:val="000828EC"/>
    <w:rsid w:val="00082F37"/>
    <w:rsid w:val="000833E4"/>
    <w:rsid w:val="00083447"/>
    <w:rsid w:val="000837BB"/>
    <w:rsid w:val="00083E45"/>
    <w:rsid w:val="00083EA4"/>
    <w:rsid w:val="00084C8E"/>
    <w:rsid w:val="00084C9D"/>
    <w:rsid w:val="00085875"/>
    <w:rsid w:val="00085A17"/>
    <w:rsid w:val="00086976"/>
    <w:rsid w:val="00086F99"/>
    <w:rsid w:val="000875A5"/>
    <w:rsid w:val="000877A3"/>
    <w:rsid w:val="00087C7C"/>
    <w:rsid w:val="00087F25"/>
    <w:rsid w:val="000900E4"/>
    <w:rsid w:val="00091037"/>
    <w:rsid w:val="0009163E"/>
    <w:rsid w:val="00091E84"/>
    <w:rsid w:val="00093A4C"/>
    <w:rsid w:val="00093D1F"/>
    <w:rsid w:val="000943D0"/>
    <w:rsid w:val="000946EB"/>
    <w:rsid w:val="00094733"/>
    <w:rsid w:val="00094AAC"/>
    <w:rsid w:val="000954BB"/>
    <w:rsid w:val="00095784"/>
    <w:rsid w:val="000959A0"/>
    <w:rsid w:val="00095B5C"/>
    <w:rsid w:val="00095C41"/>
    <w:rsid w:val="00095CE6"/>
    <w:rsid w:val="00096B00"/>
    <w:rsid w:val="00096C48"/>
    <w:rsid w:val="00096FE2"/>
    <w:rsid w:val="000976D4"/>
    <w:rsid w:val="000979E0"/>
    <w:rsid w:val="000A016D"/>
    <w:rsid w:val="000A02D3"/>
    <w:rsid w:val="000A06D0"/>
    <w:rsid w:val="000A0785"/>
    <w:rsid w:val="000A0E68"/>
    <w:rsid w:val="000A142C"/>
    <w:rsid w:val="000A197C"/>
    <w:rsid w:val="000A202C"/>
    <w:rsid w:val="000A2D98"/>
    <w:rsid w:val="000A368A"/>
    <w:rsid w:val="000A3D07"/>
    <w:rsid w:val="000A41E2"/>
    <w:rsid w:val="000A44FB"/>
    <w:rsid w:val="000A4504"/>
    <w:rsid w:val="000A4911"/>
    <w:rsid w:val="000A5C0F"/>
    <w:rsid w:val="000A63E6"/>
    <w:rsid w:val="000A755F"/>
    <w:rsid w:val="000B0074"/>
    <w:rsid w:val="000B00C0"/>
    <w:rsid w:val="000B0A30"/>
    <w:rsid w:val="000B172C"/>
    <w:rsid w:val="000B1754"/>
    <w:rsid w:val="000B1AEE"/>
    <w:rsid w:val="000B1B16"/>
    <w:rsid w:val="000B1B4D"/>
    <w:rsid w:val="000B1FD6"/>
    <w:rsid w:val="000B262B"/>
    <w:rsid w:val="000B284A"/>
    <w:rsid w:val="000B3DD0"/>
    <w:rsid w:val="000B40AE"/>
    <w:rsid w:val="000B42DE"/>
    <w:rsid w:val="000B5475"/>
    <w:rsid w:val="000B565A"/>
    <w:rsid w:val="000B58B9"/>
    <w:rsid w:val="000B59F8"/>
    <w:rsid w:val="000B5F81"/>
    <w:rsid w:val="000B62F9"/>
    <w:rsid w:val="000B65AA"/>
    <w:rsid w:val="000B66F3"/>
    <w:rsid w:val="000B6C2E"/>
    <w:rsid w:val="000B6E30"/>
    <w:rsid w:val="000C0161"/>
    <w:rsid w:val="000C10F3"/>
    <w:rsid w:val="000C1184"/>
    <w:rsid w:val="000C17FA"/>
    <w:rsid w:val="000C198B"/>
    <w:rsid w:val="000C235D"/>
    <w:rsid w:val="000C38FE"/>
    <w:rsid w:val="000C3A98"/>
    <w:rsid w:val="000C4651"/>
    <w:rsid w:val="000C481D"/>
    <w:rsid w:val="000C4BE3"/>
    <w:rsid w:val="000C4DC2"/>
    <w:rsid w:val="000C4DF0"/>
    <w:rsid w:val="000C507E"/>
    <w:rsid w:val="000C50B0"/>
    <w:rsid w:val="000C57BD"/>
    <w:rsid w:val="000C7AAF"/>
    <w:rsid w:val="000D0026"/>
    <w:rsid w:val="000D0076"/>
    <w:rsid w:val="000D09F5"/>
    <w:rsid w:val="000D0D07"/>
    <w:rsid w:val="000D1231"/>
    <w:rsid w:val="000D1D3C"/>
    <w:rsid w:val="000D1FF4"/>
    <w:rsid w:val="000D2211"/>
    <w:rsid w:val="000D24CA"/>
    <w:rsid w:val="000D25FE"/>
    <w:rsid w:val="000D264B"/>
    <w:rsid w:val="000D2A58"/>
    <w:rsid w:val="000D2FA3"/>
    <w:rsid w:val="000D31FA"/>
    <w:rsid w:val="000D3586"/>
    <w:rsid w:val="000D360F"/>
    <w:rsid w:val="000D3AEB"/>
    <w:rsid w:val="000D4F0C"/>
    <w:rsid w:val="000D5068"/>
    <w:rsid w:val="000D51F9"/>
    <w:rsid w:val="000D5540"/>
    <w:rsid w:val="000D5D5A"/>
    <w:rsid w:val="000D615C"/>
    <w:rsid w:val="000D6994"/>
    <w:rsid w:val="000D6F9A"/>
    <w:rsid w:val="000D70D2"/>
    <w:rsid w:val="000D771B"/>
    <w:rsid w:val="000D7BE9"/>
    <w:rsid w:val="000D7BFD"/>
    <w:rsid w:val="000E0A45"/>
    <w:rsid w:val="000E17E9"/>
    <w:rsid w:val="000E1ADC"/>
    <w:rsid w:val="000E1B41"/>
    <w:rsid w:val="000E1C54"/>
    <w:rsid w:val="000E1F6E"/>
    <w:rsid w:val="000E218B"/>
    <w:rsid w:val="000E2264"/>
    <w:rsid w:val="000E26F2"/>
    <w:rsid w:val="000E2CC1"/>
    <w:rsid w:val="000E300E"/>
    <w:rsid w:val="000E3127"/>
    <w:rsid w:val="000E35EE"/>
    <w:rsid w:val="000E35F2"/>
    <w:rsid w:val="000E362B"/>
    <w:rsid w:val="000E3FAF"/>
    <w:rsid w:val="000E46B3"/>
    <w:rsid w:val="000E4FCF"/>
    <w:rsid w:val="000E54C7"/>
    <w:rsid w:val="000E5F1F"/>
    <w:rsid w:val="000E60DE"/>
    <w:rsid w:val="000E6A17"/>
    <w:rsid w:val="000E73A2"/>
    <w:rsid w:val="000E74E1"/>
    <w:rsid w:val="000E7BC7"/>
    <w:rsid w:val="000E7C0B"/>
    <w:rsid w:val="000F035F"/>
    <w:rsid w:val="000F0A18"/>
    <w:rsid w:val="000F0ACD"/>
    <w:rsid w:val="000F0D75"/>
    <w:rsid w:val="000F129E"/>
    <w:rsid w:val="000F1AC8"/>
    <w:rsid w:val="000F22EF"/>
    <w:rsid w:val="000F2ED2"/>
    <w:rsid w:val="000F3A45"/>
    <w:rsid w:val="000F3C2D"/>
    <w:rsid w:val="000F48E2"/>
    <w:rsid w:val="000F4EAD"/>
    <w:rsid w:val="000F527A"/>
    <w:rsid w:val="000F547A"/>
    <w:rsid w:val="000F57EE"/>
    <w:rsid w:val="000F5D94"/>
    <w:rsid w:val="000F71E7"/>
    <w:rsid w:val="000F7F11"/>
    <w:rsid w:val="000F7F64"/>
    <w:rsid w:val="001000AD"/>
    <w:rsid w:val="001000D2"/>
    <w:rsid w:val="001004C9"/>
    <w:rsid w:val="00100ACF"/>
    <w:rsid w:val="001010AD"/>
    <w:rsid w:val="00101AA0"/>
    <w:rsid w:val="00101B44"/>
    <w:rsid w:val="00102ABC"/>
    <w:rsid w:val="001034BC"/>
    <w:rsid w:val="0010376C"/>
    <w:rsid w:val="001038D0"/>
    <w:rsid w:val="00103993"/>
    <w:rsid w:val="00103C1C"/>
    <w:rsid w:val="0010410C"/>
    <w:rsid w:val="0010442F"/>
    <w:rsid w:val="001048A5"/>
    <w:rsid w:val="001052AB"/>
    <w:rsid w:val="001058AA"/>
    <w:rsid w:val="00105F21"/>
    <w:rsid w:val="001069D3"/>
    <w:rsid w:val="00106B79"/>
    <w:rsid w:val="001076FB"/>
    <w:rsid w:val="0011085B"/>
    <w:rsid w:val="00110DFF"/>
    <w:rsid w:val="00110E60"/>
    <w:rsid w:val="00112492"/>
    <w:rsid w:val="001129CB"/>
    <w:rsid w:val="00113702"/>
    <w:rsid w:val="001138CB"/>
    <w:rsid w:val="00113C17"/>
    <w:rsid w:val="0011427F"/>
    <w:rsid w:val="001142EF"/>
    <w:rsid w:val="0011463A"/>
    <w:rsid w:val="001146E7"/>
    <w:rsid w:val="00115076"/>
    <w:rsid w:val="001151D1"/>
    <w:rsid w:val="00115834"/>
    <w:rsid w:val="00115DE8"/>
    <w:rsid w:val="0011623D"/>
    <w:rsid w:val="001165F9"/>
    <w:rsid w:val="0011748B"/>
    <w:rsid w:val="00117FA8"/>
    <w:rsid w:val="00120B1F"/>
    <w:rsid w:val="00120CAA"/>
    <w:rsid w:val="0012107D"/>
    <w:rsid w:val="00121B4E"/>
    <w:rsid w:val="00121EA9"/>
    <w:rsid w:val="00122834"/>
    <w:rsid w:val="00123254"/>
    <w:rsid w:val="001234AB"/>
    <w:rsid w:val="001235BD"/>
    <w:rsid w:val="001236A1"/>
    <w:rsid w:val="00124326"/>
    <w:rsid w:val="0012434D"/>
    <w:rsid w:val="001246DF"/>
    <w:rsid w:val="00125DC0"/>
    <w:rsid w:val="00126D47"/>
    <w:rsid w:val="001302BF"/>
    <w:rsid w:val="0013058A"/>
    <w:rsid w:val="00130623"/>
    <w:rsid w:val="0013094B"/>
    <w:rsid w:val="00130A12"/>
    <w:rsid w:val="00130F4E"/>
    <w:rsid w:val="00131233"/>
    <w:rsid w:val="00131986"/>
    <w:rsid w:val="00132549"/>
    <w:rsid w:val="00132562"/>
    <w:rsid w:val="0013275A"/>
    <w:rsid w:val="001328D9"/>
    <w:rsid w:val="0013298A"/>
    <w:rsid w:val="00132F0E"/>
    <w:rsid w:val="001332DA"/>
    <w:rsid w:val="00133B9E"/>
    <w:rsid w:val="00133FB3"/>
    <w:rsid w:val="001343A3"/>
    <w:rsid w:val="001346D2"/>
    <w:rsid w:val="0013505E"/>
    <w:rsid w:val="00135506"/>
    <w:rsid w:val="00135B91"/>
    <w:rsid w:val="00135C3A"/>
    <w:rsid w:val="001362DC"/>
    <w:rsid w:val="001367D4"/>
    <w:rsid w:val="0013772D"/>
    <w:rsid w:val="00137C54"/>
    <w:rsid w:val="00137C9C"/>
    <w:rsid w:val="00137D24"/>
    <w:rsid w:val="00137E0D"/>
    <w:rsid w:val="00140683"/>
    <w:rsid w:val="00140BAD"/>
    <w:rsid w:val="001421B4"/>
    <w:rsid w:val="00142A66"/>
    <w:rsid w:val="00144334"/>
    <w:rsid w:val="00144AFE"/>
    <w:rsid w:val="00146133"/>
    <w:rsid w:val="001461E3"/>
    <w:rsid w:val="00146555"/>
    <w:rsid w:val="00146775"/>
    <w:rsid w:val="001469BD"/>
    <w:rsid w:val="001478EA"/>
    <w:rsid w:val="00147BBB"/>
    <w:rsid w:val="0015034A"/>
    <w:rsid w:val="00150FE5"/>
    <w:rsid w:val="001518F1"/>
    <w:rsid w:val="00151D82"/>
    <w:rsid w:val="0015229A"/>
    <w:rsid w:val="001528B1"/>
    <w:rsid w:val="001529FB"/>
    <w:rsid w:val="00152A49"/>
    <w:rsid w:val="0015307A"/>
    <w:rsid w:val="00153EB2"/>
    <w:rsid w:val="001540E7"/>
    <w:rsid w:val="001542F8"/>
    <w:rsid w:val="0015466E"/>
    <w:rsid w:val="00154ECD"/>
    <w:rsid w:val="00155C8B"/>
    <w:rsid w:val="00155D07"/>
    <w:rsid w:val="00155E4D"/>
    <w:rsid w:val="00155FF0"/>
    <w:rsid w:val="00156108"/>
    <w:rsid w:val="00156337"/>
    <w:rsid w:val="00156693"/>
    <w:rsid w:val="001569A5"/>
    <w:rsid w:val="00157689"/>
    <w:rsid w:val="00160D08"/>
    <w:rsid w:val="00160E32"/>
    <w:rsid w:val="001614CB"/>
    <w:rsid w:val="0016201B"/>
    <w:rsid w:val="0016258D"/>
    <w:rsid w:val="00162DE9"/>
    <w:rsid w:val="00162F82"/>
    <w:rsid w:val="00163559"/>
    <w:rsid w:val="00163D59"/>
    <w:rsid w:val="0016581D"/>
    <w:rsid w:val="00165CA5"/>
    <w:rsid w:val="00165CDB"/>
    <w:rsid w:val="00166541"/>
    <w:rsid w:val="00166710"/>
    <w:rsid w:val="00167286"/>
    <w:rsid w:val="00170220"/>
    <w:rsid w:val="001716AF"/>
    <w:rsid w:val="001718A3"/>
    <w:rsid w:val="00171C80"/>
    <w:rsid w:val="001722FB"/>
    <w:rsid w:val="0017299B"/>
    <w:rsid w:val="00172D71"/>
    <w:rsid w:val="00172EE5"/>
    <w:rsid w:val="00172F46"/>
    <w:rsid w:val="00173068"/>
    <w:rsid w:val="00173768"/>
    <w:rsid w:val="0017388C"/>
    <w:rsid w:val="00173EB2"/>
    <w:rsid w:val="00174C33"/>
    <w:rsid w:val="00175AC8"/>
    <w:rsid w:val="0017741A"/>
    <w:rsid w:val="00177451"/>
    <w:rsid w:val="00177985"/>
    <w:rsid w:val="001805B9"/>
    <w:rsid w:val="00180A60"/>
    <w:rsid w:val="0018102C"/>
    <w:rsid w:val="001813E1"/>
    <w:rsid w:val="00181EB6"/>
    <w:rsid w:val="00182299"/>
    <w:rsid w:val="001828A3"/>
    <w:rsid w:val="00182DB4"/>
    <w:rsid w:val="00183BA1"/>
    <w:rsid w:val="00183BE8"/>
    <w:rsid w:val="001850E6"/>
    <w:rsid w:val="00185E6A"/>
    <w:rsid w:val="00186373"/>
    <w:rsid w:val="00186637"/>
    <w:rsid w:val="001869E7"/>
    <w:rsid w:val="001875A1"/>
    <w:rsid w:val="00187BD9"/>
    <w:rsid w:val="0019075A"/>
    <w:rsid w:val="00190B61"/>
    <w:rsid w:val="001915DB"/>
    <w:rsid w:val="00191E6A"/>
    <w:rsid w:val="00191EC0"/>
    <w:rsid w:val="001925C4"/>
    <w:rsid w:val="00192673"/>
    <w:rsid w:val="001934D4"/>
    <w:rsid w:val="00193CA5"/>
    <w:rsid w:val="00193CE6"/>
    <w:rsid w:val="00194C45"/>
    <w:rsid w:val="00194ED5"/>
    <w:rsid w:val="0019678F"/>
    <w:rsid w:val="0019684C"/>
    <w:rsid w:val="00196C67"/>
    <w:rsid w:val="00196E2B"/>
    <w:rsid w:val="00197E91"/>
    <w:rsid w:val="001A06C6"/>
    <w:rsid w:val="001A0C31"/>
    <w:rsid w:val="001A1353"/>
    <w:rsid w:val="001A1BC1"/>
    <w:rsid w:val="001A24FF"/>
    <w:rsid w:val="001A28BC"/>
    <w:rsid w:val="001A32BC"/>
    <w:rsid w:val="001A38C7"/>
    <w:rsid w:val="001A3D1A"/>
    <w:rsid w:val="001A3FB8"/>
    <w:rsid w:val="001A45F9"/>
    <w:rsid w:val="001A4798"/>
    <w:rsid w:val="001A4850"/>
    <w:rsid w:val="001A4EFE"/>
    <w:rsid w:val="001A588B"/>
    <w:rsid w:val="001A5A34"/>
    <w:rsid w:val="001A5B00"/>
    <w:rsid w:val="001A5ED2"/>
    <w:rsid w:val="001A61D1"/>
    <w:rsid w:val="001A69C4"/>
    <w:rsid w:val="001A6AE9"/>
    <w:rsid w:val="001A6C01"/>
    <w:rsid w:val="001A73B0"/>
    <w:rsid w:val="001A75BD"/>
    <w:rsid w:val="001B0063"/>
    <w:rsid w:val="001B133C"/>
    <w:rsid w:val="001B2601"/>
    <w:rsid w:val="001B26C3"/>
    <w:rsid w:val="001B3539"/>
    <w:rsid w:val="001B3A00"/>
    <w:rsid w:val="001B40E4"/>
    <w:rsid w:val="001B41F2"/>
    <w:rsid w:val="001B42CE"/>
    <w:rsid w:val="001B4CC4"/>
    <w:rsid w:val="001B54E8"/>
    <w:rsid w:val="001B54F7"/>
    <w:rsid w:val="001B5848"/>
    <w:rsid w:val="001B59F8"/>
    <w:rsid w:val="001B5DC0"/>
    <w:rsid w:val="001B62A1"/>
    <w:rsid w:val="001B6538"/>
    <w:rsid w:val="001B682C"/>
    <w:rsid w:val="001B6851"/>
    <w:rsid w:val="001B6B5A"/>
    <w:rsid w:val="001B7554"/>
    <w:rsid w:val="001C04A4"/>
    <w:rsid w:val="001C0B0B"/>
    <w:rsid w:val="001C12E4"/>
    <w:rsid w:val="001C12F5"/>
    <w:rsid w:val="001C24C2"/>
    <w:rsid w:val="001C2831"/>
    <w:rsid w:val="001C313B"/>
    <w:rsid w:val="001C321D"/>
    <w:rsid w:val="001C341A"/>
    <w:rsid w:val="001C3454"/>
    <w:rsid w:val="001C3A96"/>
    <w:rsid w:val="001C418D"/>
    <w:rsid w:val="001C490F"/>
    <w:rsid w:val="001C4A9F"/>
    <w:rsid w:val="001C4DEB"/>
    <w:rsid w:val="001C5183"/>
    <w:rsid w:val="001C567D"/>
    <w:rsid w:val="001C60FA"/>
    <w:rsid w:val="001C62A7"/>
    <w:rsid w:val="001C6BB6"/>
    <w:rsid w:val="001C72C6"/>
    <w:rsid w:val="001C7689"/>
    <w:rsid w:val="001D0E71"/>
    <w:rsid w:val="001D1917"/>
    <w:rsid w:val="001D2209"/>
    <w:rsid w:val="001D24BF"/>
    <w:rsid w:val="001D3E0A"/>
    <w:rsid w:val="001D4919"/>
    <w:rsid w:val="001D4FC4"/>
    <w:rsid w:val="001D5028"/>
    <w:rsid w:val="001D5B76"/>
    <w:rsid w:val="001D6467"/>
    <w:rsid w:val="001D650C"/>
    <w:rsid w:val="001D6D8C"/>
    <w:rsid w:val="001D7B44"/>
    <w:rsid w:val="001E01C6"/>
    <w:rsid w:val="001E02AC"/>
    <w:rsid w:val="001E0710"/>
    <w:rsid w:val="001E07DD"/>
    <w:rsid w:val="001E0849"/>
    <w:rsid w:val="001E0D73"/>
    <w:rsid w:val="001E1628"/>
    <w:rsid w:val="001E1FF0"/>
    <w:rsid w:val="001E2138"/>
    <w:rsid w:val="001E23E4"/>
    <w:rsid w:val="001E24F6"/>
    <w:rsid w:val="001E271C"/>
    <w:rsid w:val="001E40A4"/>
    <w:rsid w:val="001E4685"/>
    <w:rsid w:val="001E4C55"/>
    <w:rsid w:val="001E4DFC"/>
    <w:rsid w:val="001E5398"/>
    <w:rsid w:val="001E5477"/>
    <w:rsid w:val="001E5837"/>
    <w:rsid w:val="001E586C"/>
    <w:rsid w:val="001E5B89"/>
    <w:rsid w:val="001E6662"/>
    <w:rsid w:val="001E6801"/>
    <w:rsid w:val="001E6A3D"/>
    <w:rsid w:val="001E6AA0"/>
    <w:rsid w:val="001E6C85"/>
    <w:rsid w:val="001E7022"/>
    <w:rsid w:val="001E74DC"/>
    <w:rsid w:val="001E7CA9"/>
    <w:rsid w:val="001E7E0C"/>
    <w:rsid w:val="001F02C7"/>
    <w:rsid w:val="001F059E"/>
    <w:rsid w:val="001F0678"/>
    <w:rsid w:val="001F0CE1"/>
    <w:rsid w:val="001F16D4"/>
    <w:rsid w:val="001F1921"/>
    <w:rsid w:val="001F20A8"/>
    <w:rsid w:val="001F3020"/>
    <w:rsid w:val="001F31A3"/>
    <w:rsid w:val="001F34C7"/>
    <w:rsid w:val="001F429F"/>
    <w:rsid w:val="001F4F6D"/>
    <w:rsid w:val="001F5046"/>
    <w:rsid w:val="001F5AD2"/>
    <w:rsid w:val="001F5D39"/>
    <w:rsid w:val="001F5DED"/>
    <w:rsid w:val="001F653C"/>
    <w:rsid w:val="001F6674"/>
    <w:rsid w:val="001F6B4A"/>
    <w:rsid w:val="001F6D1D"/>
    <w:rsid w:val="001F70A5"/>
    <w:rsid w:val="001F7A11"/>
    <w:rsid w:val="001F7F4D"/>
    <w:rsid w:val="001F7F87"/>
    <w:rsid w:val="00200059"/>
    <w:rsid w:val="002001B7"/>
    <w:rsid w:val="00200741"/>
    <w:rsid w:val="002007B8"/>
    <w:rsid w:val="00200953"/>
    <w:rsid w:val="00200B5A"/>
    <w:rsid w:val="002010B9"/>
    <w:rsid w:val="00201770"/>
    <w:rsid w:val="00201D38"/>
    <w:rsid w:val="00201E86"/>
    <w:rsid w:val="00201F28"/>
    <w:rsid w:val="002023A2"/>
    <w:rsid w:val="00202B72"/>
    <w:rsid w:val="0020326E"/>
    <w:rsid w:val="00203D94"/>
    <w:rsid w:val="00204151"/>
    <w:rsid w:val="00204249"/>
    <w:rsid w:val="00204285"/>
    <w:rsid w:val="00204557"/>
    <w:rsid w:val="002045A2"/>
    <w:rsid w:val="00204A8D"/>
    <w:rsid w:val="002053A5"/>
    <w:rsid w:val="00205636"/>
    <w:rsid w:val="002056DB"/>
    <w:rsid w:val="0020590B"/>
    <w:rsid w:val="00205B86"/>
    <w:rsid w:val="00205F45"/>
    <w:rsid w:val="00206CBD"/>
    <w:rsid w:val="0020715B"/>
    <w:rsid w:val="00207259"/>
    <w:rsid w:val="00207B13"/>
    <w:rsid w:val="00207E98"/>
    <w:rsid w:val="00210545"/>
    <w:rsid w:val="002113A1"/>
    <w:rsid w:val="00211933"/>
    <w:rsid w:val="002127BB"/>
    <w:rsid w:val="00212E2F"/>
    <w:rsid w:val="00213E55"/>
    <w:rsid w:val="0021441D"/>
    <w:rsid w:val="00214A22"/>
    <w:rsid w:val="00214C0C"/>
    <w:rsid w:val="00214E02"/>
    <w:rsid w:val="00214ECF"/>
    <w:rsid w:val="002159BA"/>
    <w:rsid w:val="002159E9"/>
    <w:rsid w:val="00215E8E"/>
    <w:rsid w:val="0021640D"/>
    <w:rsid w:val="0021736D"/>
    <w:rsid w:val="00217CA3"/>
    <w:rsid w:val="0022015E"/>
    <w:rsid w:val="00220637"/>
    <w:rsid w:val="00220642"/>
    <w:rsid w:val="0022071D"/>
    <w:rsid w:val="00220A6C"/>
    <w:rsid w:val="00221A09"/>
    <w:rsid w:val="00221E92"/>
    <w:rsid w:val="002225C0"/>
    <w:rsid w:val="0022348A"/>
    <w:rsid w:val="00223743"/>
    <w:rsid w:val="00223A23"/>
    <w:rsid w:val="00223C5D"/>
    <w:rsid w:val="002240B0"/>
    <w:rsid w:val="00225C5E"/>
    <w:rsid w:val="0022706A"/>
    <w:rsid w:val="0022766F"/>
    <w:rsid w:val="00227E5F"/>
    <w:rsid w:val="00230106"/>
    <w:rsid w:val="002304F2"/>
    <w:rsid w:val="00230834"/>
    <w:rsid w:val="002310F6"/>
    <w:rsid w:val="00231187"/>
    <w:rsid w:val="00231EB8"/>
    <w:rsid w:val="00232507"/>
    <w:rsid w:val="00232919"/>
    <w:rsid w:val="00232CE9"/>
    <w:rsid w:val="00233100"/>
    <w:rsid w:val="00233A14"/>
    <w:rsid w:val="00234424"/>
    <w:rsid w:val="002351C3"/>
    <w:rsid w:val="00235290"/>
    <w:rsid w:val="0023540E"/>
    <w:rsid w:val="0023597B"/>
    <w:rsid w:val="00235B0D"/>
    <w:rsid w:val="00235BCA"/>
    <w:rsid w:val="00235D29"/>
    <w:rsid w:val="00235E4B"/>
    <w:rsid w:val="002361D5"/>
    <w:rsid w:val="00236377"/>
    <w:rsid w:val="00236A9C"/>
    <w:rsid w:val="00236D4A"/>
    <w:rsid w:val="00236DC1"/>
    <w:rsid w:val="00236E3C"/>
    <w:rsid w:val="002371B5"/>
    <w:rsid w:val="002379BF"/>
    <w:rsid w:val="00237C68"/>
    <w:rsid w:val="0024001B"/>
    <w:rsid w:val="00240538"/>
    <w:rsid w:val="00240B9F"/>
    <w:rsid w:val="00240F4D"/>
    <w:rsid w:val="0024133A"/>
    <w:rsid w:val="0024166C"/>
    <w:rsid w:val="002416B1"/>
    <w:rsid w:val="00241D38"/>
    <w:rsid w:val="0024306A"/>
    <w:rsid w:val="00244845"/>
    <w:rsid w:val="00244B6E"/>
    <w:rsid w:val="002452F9"/>
    <w:rsid w:val="00245559"/>
    <w:rsid w:val="002455D1"/>
    <w:rsid w:val="00245EF3"/>
    <w:rsid w:val="002461AD"/>
    <w:rsid w:val="002467BC"/>
    <w:rsid w:val="00246B3B"/>
    <w:rsid w:val="002470A3"/>
    <w:rsid w:val="002477AC"/>
    <w:rsid w:val="00247EA8"/>
    <w:rsid w:val="00247EB2"/>
    <w:rsid w:val="00250131"/>
    <w:rsid w:val="0025058D"/>
    <w:rsid w:val="00250752"/>
    <w:rsid w:val="00250784"/>
    <w:rsid w:val="00250834"/>
    <w:rsid w:val="00250B3B"/>
    <w:rsid w:val="00251372"/>
    <w:rsid w:val="00252088"/>
    <w:rsid w:val="00252350"/>
    <w:rsid w:val="0025242E"/>
    <w:rsid w:val="00252D97"/>
    <w:rsid w:val="00252E15"/>
    <w:rsid w:val="00252E1D"/>
    <w:rsid w:val="002533BA"/>
    <w:rsid w:val="0025375F"/>
    <w:rsid w:val="00253D89"/>
    <w:rsid w:val="00254134"/>
    <w:rsid w:val="00254254"/>
    <w:rsid w:val="00254716"/>
    <w:rsid w:val="00254D6C"/>
    <w:rsid w:val="002552B4"/>
    <w:rsid w:val="00255B40"/>
    <w:rsid w:val="00255F48"/>
    <w:rsid w:val="00256294"/>
    <w:rsid w:val="002573DD"/>
    <w:rsid w:val="00257AD3"/>
    <w:rsid w:val="00261A88"/>
    <w:rsid w:val="00261CF4"/>
    <w:rsid w:val="0026339A"/>
    <w:rsid w:val="00263897"/>
    <w:rsid w:val="00265524"/>
    <w:rsid w:val="0026576A"/>
    <w:rsid w:val="002658DC"/>
    <w:rsid w:val="00265B55"/>
    <w:rsid w:val="0026644B"/>
    <w:rsid w:val="002665DD"/>
    <w:rsid w:val="00267605"/>
    <w:rsid w:val="00267FB7"/>
    <w:rsid w:val="002705CD"/>
    <w:rsid w:val="002706FD"/>
    <w:rsid w:val="00270B6B"/>
    <w:rsid w:val="00271739"/>
    <w:rsid w:val="002721A3"/>
    <w:rsid w:val="002727DE"/>
    <w:rsid w:val="00272D36"/>
    <w:rsid w:val="002735E6"/>
    <w:rsid w:val="002737EF"/>
    <w:rsid w:val="00273A6C"/>
    <w:rsid w:val="00273C17"/>
    <w:rsid w:val="00273C2D"/>
    <w:rsid w:val="00274BCA"/>
    <w:rsid w:val="00274C6B"/>
    <w:rsid w:val="002758EB"/>
    <w:rsid w:val="002759D4"/>
    <w:rsid w:val="00275A5E"/>
    <w:rsid w:val="00275F40"/>
    <w:rsid w:val="00276027"/>
    <w:rsid w:val="0027663D"/>
    <w:rsid w:val="00276947"/>
    <w:rsid w:val="00276B0A"/>
    <w:rsid w:val="00276C31"/>
    <w:rsid w:val="00277B2A"/>
    <w:rsid w:val="00277CC9"/>
    <w:rsid w:val="00280D4A"/>
    <w:rsid w:val="00281250"/>
    <w:rsid w:val="00281A32"/>
    <w:rsid w:val="00281CDB"/>
    <w:rsid w:val="00282B52"/>
    <w:rsid w:val="00283059"/>
    <w:rsid w:val="00283301"/>
    <w:rsid w:val="002838B1"/>
    <w:rsid w:val="00283980"/>
    <w:rsid w:val="002841FB"/>
    <w:rsid w:val="002847E7"/>
    <w:rsid w:val="0028578F"/>
    <w:rsid w:val="0028644E"/>
    <w:rsid w:val="00286655"/>
    <w:rsid w:val="0028690D"/>
    <w:rsid w:val="002873F8"/>
    <w:rsid w:val="0028742F"/>
    <w:rsid w:val="00287A2A"/>
    <w:rsid w:val="00287BD0"/>
    <w:rsid w:val="002906FD"/>
    <w:rsid w:val="00290B8E"/>
    <w:rsid w:val="00290C25"/>
    <w:rsid w:val="0029115B"/>
    <w:rsid w:val="002911FD"/>
    <w:rsid w:val="00291824"/>
    <w:rsid w:val="00291B6B"/>
    <w:rsid w:val="002924A3"/>
    <w:rsid w:val="00292C9E"/>
    <w:rsid w:val="002939DC"/>
    <w:rsid w:val="00294135"/>
    <w:rsid w:val="002941BF"/>
    <w:rsid w:val="002944F9"/>
    <w:rsid w:val="00294505"/>
    <w:rsid w:val="002948F8"/>
    <w:rsid w:val="002949D5"/>
    <w:rsid w:val="00294E19"/>
    <w:rsid w:val="00294F57"/>
    <w:rsid w:val="0029515D"/>
    <w:rsid w:val="002951D5"/>
    <w:rsid w:val="002957E1"/>
    <w:rsid w:val="00296111"/>
    <w:rsid w:val="0029612B"/>
    <w:rsid w:val="0029714E"/>
    <w:rsid w:val="0029725B"/>
    <w:rsid w:val="002A006B"/>
    <w:rsid w:val="002A01E5"/>
    <w:rsid w:val="002A0B0E"/>
    <w:rsid w:val="002A0D28"/>
    <w:rsid w:val="002A0F0C"/>
    <w:rsid w:val="002A1052"/>
    <w:rsid w:val="002A10B5"/>
    <w:rsid w:val="002A2097"/>
    <w:rsid w:val="002A2553"/>
    <w:rsid w:val="002A305E"/>
    <w:rsid w:val="002A30F8"/>
    <w:rsid w:val="002A361C"/>
    <w:rsid w:val="002A382D"/>
    <w:rsid w:val="002A3CE4"/>
    <w:rsid w:val="002A453F"/>
    <w:rsid w:val="002A56CC"/>
    <w:rsid w:val="002A67B7"/>
    <w:rsid w:val="002A6D58"/>
    <w:rsid w:val="002A737F"/>
    <w:rsid w:val="002A7AD0"/>
    <w:rsid w:val="002B0611"/>
    <w:rsid w:val="002B0B8F"/>
    <w:rsid w:val="002B27B2"/>
    <w:rsid w:val="002B28D4"/>
    <w:rsid w:val="002B2954"/>
    <w:rsid w:val="002B3534"/>
    <w:rsid w:val="002B3B2D"/>
    <w:rsid w:val="002B43F1"/>
    <w:rsid w:val="002B444B"/>
    <w:rsid w:val="002B4535"/>
    <w:rsid w:val="002B4901"/>
    <w:rsid w:val="002B4A21"/>
    <w:rsid w:val="002B5211"/>
    <w:rsid w:val="002B5458"/>
    <w:rsid w:val="002B5690"/>
    <w:rsid w:val="002B59A0"/>
    <w:rsid w:val="002B5A24"/>
    <w:rsid w:val="002B5BF7"/>
    <w:rsid w:val="002B60C4"/>
    <w:rsid w:val="002B68AD"/>
    <w:rsid w:val="002B6D15"/>
    <w:rsid w:val="002B6D86"/>
    <w:rsid w:val="002B7153"/>
    <w:rsid w:val="002C0260"/>
    <w:rsid w:val="002C077A"/>
    <w:rsid w:val="002C0797"/>
    <w:rsid w:val="002C0DC0"/>
    <w:rsid w:val="002C1C39"/>
    <w:rsid w:val="002C1E0D"/>
    <w:rsid w:val="002C2E66"/>
    <w:rsid w:val="002C35BA"/>
    <w:rsid w:val="002C3801"/>
    <w:rsid w:val="002C454E"/>
    <w:rsid w:val="002C49B6"/>
    <w:rsid w:val="002C4F30"/>
    <w:rsid w:val="002C4FDB"/>
    <w:rsid w:val="002C5206"/>
    <w:rsid w:val="002C5618"/>
    <w:rsid w:val="002C5C9F"/>
    <w:rsid w:val="002C60C3"/>
    <w:rsid w:val="002C6102"/>
    <w:rsid w:val="002C66EE"/>
    <w:rsid w:val="002C6732"/>
    <w:rsid w:val="002C681E"/>
    <w:rsid w:val="002C6A86"/>
    <w:rsid w:val="002C6E90"/>
    <w:rsid w:val="002C7CCE"/>
    <w:rsid w:val="002D0009"/>
    <w:rsid w:val="002D029F"/>
    <w:rsid w:val="002D0493"/>
    <w:rsid w:val="002D0E2C"/>
    <w:rsid w:val="002D1FB6"/>
    <w:rsid w:val="002D201B"/>
    <w:rsid w:val="002D2960"/>
    <w:rsid w:val="002D3162"/>
    <w:rsid w:val="002D3BE2"/>
    <w:rsid w:val="002D3F6E"/>
    <w:rsid w:val="002D47DB"/>
    <w:rsid w:val="002D4CF5"/>
    <w:rsid w:val="002D576E"/>
    <w:rsid w:val="002D57B5"/>
    <w:rsid w:val="002D62B7"/>
    <w:rsid w:val="002D67F0"/>
    <w:rsid w:val="002D6B4B"/>
    <w:rsid w:val="002D6F30"/>
    <w:rsid w:val="002D7038"/>
    <w:rsid w:val="002D745A"/>
    <w:rsid w:val="002D7675"/>
    <w:rsid w:val="002D7B9D"/>
    <w:rsid w:val="002E06CC"/>
    <w:rsid w:val="002E0AB5"/>
    <w:rsid w:val="002E12BE"/>
    <w:rsid w:val="002E19BB"/>
    <w:rsid w:val="002E1DF9"/>
    <w:rsid w:val="002E26DA"/>
    <w:rsid w:val="002E2A9B"/>
    <w:rsid w:val="002E30C3"/>
    <w:rsid w:val="002E3155"/>
    <w:rsid w:val="002E3286"/>
    <w:rsid w:val="002E33CA"/>
    <w:rsid w:val="002E3465"/>
    <w:rsid w:val="002E4092"/>
    <w:rsid w:val="002E463F"/>
    <w:rsid w:val="002E4788"/>
    <w:rsid w:val="002E4DFD"/>
    <w:rsid w:val="002E5904"/>
    <w:rsid w:val="002E62E2"/>
    <w:rsid w:val="002E63D9"/>
    <w:rsid w:val="002E6495"/>
    <w:rsid w:val="002E6A3B"/>
    <w:rsid w:val="002E6E01"/>
    <w:rsid w:val="002E7480"/>
    <w:rsid w:val="002E7509"/>
    <w:rsid w:val="002E76D0"/>
    <w:rsid w:val="002E7ADF"/>
    <w:rsid w:val="002E7CB3"/>
    <w:rsid w:val="002F02ED"/>
    <w:rsid w:val="002F04BB"/>
    <w:rsid w:val="002F059F"/>
    <w:rsid w:val="002F0AE1"/>
    <w:rsid w:val="002F1249"/>
    <w:rsid w:val="002F1A14"/>
    <w:rsid w:val="002F213C"/>
    <w:rsid w:val="002F2510"/>
    <w:rsid w:val="002F26B5"/>
    <w:rsid w:val="002F2802"/>
    <w:rsid w:val="002F36CD"/>
    <w:rsid w:val="002F4716"/>
    <w:rsid w:val="002F59F5"/>
    <w:rsid w:val="002F5F3B"/>
    <w:rsid w:val="002F623B"/>
    <w:rsid w:val="002F6493"/>
    <w:rsid w:val="002F6AEF"/>
    <w:rsid w:val="002F6BC2"/>
    <w:rsid w:val="002F77AB"/>
    <w:rsid w:val="00300488"/>
    <w:rsid w:val="00300EA9"/>
    <w:rsid w:val="00301DFB"/>
    <w:rsid w:val="00302082"/>
    <w:rsid w:val="003026A1"/>
    <w:rsid w:val="0030295D"/>
    <w:rsid w:val="00302A47"/>
    <w:rsid w:val="00302DED"/>
    <w:rsid w:val="00303BB1"/>
    <w:rsid w:val="00303DBC"/>
    <w:rsid w:val="00303DC7"/>
    <w:rsid w:val="00304A33"/>
    <w:rsid w:val="00304C9C"/>
    <w:rsid w:val="00304E6B"/>
    <w:rsid w:val="00305051"/>
    <w:rsid w:val="0030505E"/>
    <w:rsid w:val="00305160"/>
    <w:rsid w:val="00305787"/>
    <w:rsid w:val="003057F8"/>
    <w:rsid w:val="0030586B"/>
    <w:rsid w:val="00305AE3"/>
    <w:rsid w:val="00307706"/>
    <w:rsid w:val="00307BED"/>
    <w:rsid w:val="00310D92"/>
    <w:rsid w:val="00311DA5"/>
    <w:rsid w:val="00312C5A"/>
    <w:rsid w:val="0031335C"/>
    <w:rsid w:val="00313412"/>
    <w:rsid w:val="0031551B"/>
    <w:rsid w:val="0031555E"/>
    <w:rsid w:val="00315B0F"/>
    <w:rsid w:val="00315DB0"/>
    <w:rsid w:val="003161C0"/>
    <w:rsid w:val="003162EC"/>
    <w:rsid w:val="0031671A"/>
    <w:rsid w:val="00316DA2"/>
    <w:rsid w:val="00316ECA"/>
    <w:rsid w:val="00317CFA"/>
    <w:rsid w:val="00317D1B"/>
    <w:rsid w:val="003201A6"/>
    <w:rsid w:val="003207A0"/>
    <w:rsid w:val="003208AA"/>
    <w:rsid w:val="00320AF5"/>
    <w:rsid w:val="00320BD3"/>
    <w:rsid w:val="003211E4"/>
    <w:rsid w:val="00321428"/>
    <w:rsid w:val="003219EB"/>
    <w:rsid w:val="0032200E"/>
    <w:rsid w:val="003229B5"/>
    <w:rsid w:val="00323104"/>
    <w:rsid w:val="00323D0C"/>
    <w:rsid w:val="00324142"/>
    <w:rsid w:val="00324262"/>
    <w:rsid w:val="00324936"/>
    <w:rsid w:val="00324ACC"/>
    <w:rsid w:val="003259BF"/>
    <w:rsid w:val="00325B44"/>
    <w:rsid w:val="00326058"/>
    <w:rsid w:val="00326C54"/>
    <w:rsid w:val="003272F6"/>
    <w:rsid w:val="003276AA"/>
    <w:rsid w:val="003304AA"/>
    <w:rsid w:val="00330C33"/>
    <w:rsid w:val="00330E9A"/>
    <w:rsid w:val="00330FC3"/>
    <w:rsid w:val="0033140C"/>
    <w:rsid w:val="003329B8"/>
    <w:rsid w:val="00332B7E"/>
    <w:rsid w:val="003330A1"/>
    <w:rsid w:val="003334BA"/>
    <w:rsid w:val="00333BC2"/>
    <w:rsid w:val="00334354"/>
    <w:rsid w:val="00335274"/>
    <w:rsid w:val="00335841"/>
    <w:rsid w:val="00335A84"/>
    <w:rsid w:val="00336033"/>
    <w:rsid w:val="0033677A"/>
    <w:rsid w:val="003369B7"/>
    <w:rsid w:val="00336B2B"/>
    <w:rsid w:val="00336C0C"/>
    <w:rsid w:val="003370A9"/>
    <w:rsid w:val="00337411"/>
    <w:rsid w:val="003402BD"/>
    <w:rsid w:val="003404F5"/>
    <w:rsid w:val="0034071F"/>
    <w:rsid w:val="003407D2"/>
    <w:rsid w:val="00340E7E"/>
    <w:rsid w:val="00340EA2"/>
    <w:rsid w:val="00340FEA"/>
    <w:rsid w:val="0034235B"/>
    <w:rsid w:val="003432E0"/>
    <w:rsid w:val="00343622"/>
    <w:rsid w:val="003439EE"/>
    <w:rsid w:val="00343A88"/>
    <w:rsid w:val="00343D57"/>
    <w:rsid w:val="00343FCC"/>
    <w:rsid w:val="00344077"/>
    <w:rsid w:val="003445C3"/>
    <w:rsid w:val="003445DD"/>
    <w:rsid w:val="00344929"/>
    <w:rsid w:val="0034620C"/>
    <w:rsid w:val="00346F42"/>
    <w:rsid w:val="003470BB"/>
    <w:rsid w:val="0034760C"/>
    <w:rsid w:val="0034777F"/>
    <w:rsid w:val="00347E9F"/>
    <w:rsid w:val="00347ED5"/>
    <w:rsid w:val="003506EE"/>
    <w:rsid w:val="00351372"/>
    <w:rsid w:val="0035198C"/>
    <w:rsid w:val="00352BFC"/>
    <w:rsid w:val="003541A5"/>
    <w:rsid w:val="00354759"/>
    <w:rsid w:val="00354AFD"/>
    <w:rsid w:val="00354EF2"/>
    <w:rsid w:val="00355359"/>
    <w:rsid w:val="0035541E"/>
    <w:rsid w:val="003564E2"/>
    <w:rsid w:val="00356A81"/>
    <w:rsid w:val="00356F32"/>
    <w:rsid w:val="00356F95"/>
    <w:rsid w:val="00357FE1"/>
    <w:rsid w:val="00360BCF"/>
    <w:rsid w:val="00360BF3"/>
    <w:rsid w:val="00360D06"/>
    <w:rsid w:val="0036102D"/>
    <w:rsid w:val="00361030"/>
    <w:rsid w:val="00361289"/>
    <w:rsid w:val="0036152E"/>
    <w:rsid w:val="00361930"/>
    <w:rsid w:val="00361C88"/>
    <w:rsid w:val="00362327"/>
    <w:rsid w:val="00362B19"/>
    <w:rsid w:val="0036341D"/>
    <w:rsid w:val="00364176"/>
    <w:rsid w:val="003647B7"/>
    <w:rsid w:val="003647BA"/>
    <w:rsid w:val="00364F9F"/>
    <w:rsid w:val="00365349"/>
    <w:rsid w:val="003659F0"/>
    <w:rsid w:val="00366C57"/>
    <w:rsid w:val="00367776"/>
    <w:rsid w:val="0037008C"/>
    <w:rsid w:val="00370146"/>
    <w:rsid w:val="003709F6"/>
    <w:rsid w:val="00371C86"/>
    <w:rsid w:val="00372447"/>
    <w:rsid w:val="00373396"/>
    <w:rsid w:val="00373EB9"/>
    <w:rsid w:val="00374380"/>
    <w:rsid w:val="003747B3"/>
    <w:rsid w:val="00374B09"/>
    <w:rsid w:val="003752C9"/>
    <w:rsid w:val="003753DC"/>
    <w:rsid w:val="00375F9C"/>
    <w:rsid w:val="00376114"/>
    <w:rsid w:val="0037733A"/>
    <w:rsid w:val="00377679"/>
    <w:rsid w:val="003801F3"/>
    <w:rsid w:val="0038106F"/>
    <w:rsid w:val="0038107C"/>
    <w:rsid w:val="00381799"/>
    <w:rsid w:val="00381A5A"/>
    <w:rsid w:val="00381CC5"/>
    <w:rsid w:val="00382001"/>
    <w:rsid w:val="003827D5"/>
    <w:rsid w:val="00382E57"/>
    <w:rsid w:val="00382EC9"/>
    <w:rsid w:val="003832CC"/>
    <w:rsid w:val="00383B03"/>
    <w:rsid w:val="00384054"/>
    <w:rsid w:val="0038420F"/>
    <w:rsid w:val="003847DD"/>
    <w:rsid w:val="0038488A"/>
    <w:rsid w:val="00384AC0"/>
    <w:rsid w:val="00384C6B"/>
    <w:rsid w:val="00385578"/>
    <w:rsid w:val="00385930"/>
    <w:rsid w:val="00385FE0"/>
    <w:rsid w:val="003862D6"/>
    <w:rsid w:val="003865D6"/>
    <w:rsid w:val="003868F9"/>
    <w:rsid w:val="003869F9"/>
    <w:rsid w:val="00386A13"/>
    <w:rsid w:val="00386C30"/>
    <w:rsid w:val="00386E7B"/>
    <w:rsid w:val="00390165"/>
    <w:rsid w:val="003906D3"/>
    <w:rsid w:val="00391CF6"/>
    <w:rsid w:val="0039268C"/>
    <w:rsid w:val="00393220"/>
    <w:rsid w:val="0039390A"/>
    <w:rsid w:val="003940E0"/>
    <w:rsid w:val="00394306"/>
    <w:rsid w:val="003947EB"/>
    <w:rsid w:val="00394D9F"/>
    <w:rsid w:val="003951F7"/>
    <w:rsid w:val="003957DC"/>
    <w:rsid w:val="00395FD7"/>
    <w:rsid w:val="00396A63"/>
    <w:rsid w:val="00396F46"/>
    <w:rsid w:val="003976B0"/>
    <w:rsid w:val="00397882"/>
    <w:rsid w:val="003978A3"/>
    <w:rsid w:val="003A005F"/>
    <w:rsid w:val="003A0BE2"/>
    <w:rsid w:val="003A1324"/>
    <w:rsid w:val="003A15BA"/>
    <w:rsid w:val="003A171D"/>
    <w:rsid w:val="003A1741"/>
    <w:rsid w:val="003A1959"/>
    <w:rsid w:val="003A196E"/>
    <w:rsid w:val="003A1C8E"/>
    <w:rsid w:val="003A2080"/>
    <w:rsid w:val="003A26ED"/>
    <w:rsid w:val="003A287C"/>
    <w:rsid w:val="003A2E7A"/>
    <w:rsid w:val="003A30CD"/>
    <w:rsid w:val="003A3602"/>
    <w:rsid w:val="003A3CA6"/>
    <w:rsid w:val="003A3EA5"/>
    <w:rsid w:val="003A58E1"/>
    <w:rsid w:val="003A5901"/>
    <w:rsid w:val="003A5E95"/>
    <w:rsid w:val="003A63BB"/>
    <w:rsid w:val="003A6DC0"/>
    <w:rsid w:val="003A7E8D"/>
    <w:rsid w:val="003B01D3"/>
    <w:rsid w:val="003B0502"/>
    <w:rsid w:val="003B0F38"/>
    <w:rsid w:val="003B1143"/>
    <w:rsid w:val="003B119D"/>
    <w:rsid w:val="003B12E0"/>
    <w:rsid w:val="003B1876"/>
    <w:rsid w:val="003B1891"/>
    <w:rsid w:val="003B20BA"/>
    <w:rsid w:val="003B25E8"/>
    <w:rsid w:val="003B2D04"/>
    <w:rsid w:val="003B2D7D"/>
    <w:rsid w:val="003B3338"/>
    <w:rsid w:val="003B3C0E"/>
    <w:rsid w:val="003B3DA3"/>
    <w:rsid w:val="003B40A6"/>
    <w:rsid w:val="003B44BE"/>
    <w:rsid w:val="003B4ED3"/>
    <w:rsid w:val="003B51EF"/>
    <w:rsid w:val="003B541D"/>
    <w:rsid w:val="003B5848"/>
    <w:rsid w:val="003B5C4D"/>
    <w:rsid w:val="003B6423"/>
    <w:rsid w:val="003B6557"/>
    <w:rsid w:val="003B6932"/>
    <w:rsid w:val="003B6D64"/>
    <w:rsid w:val="003B70D9"/>
    <w:rsid w:val="003B726A"/>
    <w:rsid w:val="003B735F"/>
    <w:rsid w:val="003B7406"/>
    <w:rsid w:val="003B7604"/>
    <w:rsid w:val="003C0571"/>
    <w:rsid w:val="003C11F6"/>
    <w:rsid w:val="003C1B78"/>
    <w:rsid w:val="003C1C21"/>
    <w:rsid w:val="003C1FDC"/>
    <w:rsid w:val="003C2238"/>
    <w:rsid w:val="003C223C"/>
    <w:rsid w:val="003C2E4C"/>
    <w:rsid w:val="003C3171"/>
    <w:rsid w:val="003C34D8"/>
    <w:rsid w:val="003C3520"/>
    <w:rsid w:val="003C358E"/>
    <w:rsid w:val="003C3628"/>
    <w:rsid w:val="003C41DE"/>
    <w:rsid w:val="003C49F3"/>
    <w:rsid w:val="003C4CE0"/>
    <w:rsid w:val="003C5ED3"/>
    <w:rsid w:val="003C607D"/>
    <w:rsid w:val="003C61E8"/>
    <w:rsid w:val="003C63C4"/>
    <w:rsid w:val="003C6A31"/>
    <w:rsid w:val="003C7146"/>
    <w:rsid w:val="003D0021"/>
    <w:rsid w:val="003D059B"/>
    <w:rsid w:val="003D0BA9"/>
    <w:rsid w:val="003D0D0E"/>
    <w:rsid w:val="003D146E"/>
    <w:rsid w:val="003D149E"/>
    <w:rsid w:val="003D22FF"/>
    <w:rsid w:val="003D36B4"/>
    <w:rsid w:val="003D382C"/>
    <w:rsid w:val="003D39C5"/>
    <w:rsid w:val="003D3A03"/>
    <w:rsid w:val="003D40CE"/>
    <w:rsid w:val="003D46F2"/>
    <w:rsid w:val="003D46F7"/>
    <w:rsid w:val="003D4D68"/>
    <w:rsid w:val="003D4E87"/>
    <w:rsid w:val="003D53B0"/>
    <w:rsid w:val="003D5488"/>
    <w:rsid w:val="003D5BD5"/>
    <w:rsid w:val="003D6081"/>
    <w:rsid w:val="003D6746"/>
    <w:rsid w:val="003D6A1F"/>
    <w:rsid w:val="003D6E85"/>
    <w:rsid w:val="003D6EA5"/>
    <w:rsid w:val="003D7A90"/>
    <w:rsid w:val="003E0842"/>
    <w:rsid w:val="003E0F23"/>
    <w:rsid w:val="003E1507"/>
    <w:rsid w:val="003E152B"/>
    <w:rsid w:val="003E2233"/>
    <w:rsid w:val="003E2627"/>
    <w:rsid w:val="003E27C3"/>
    <w:rsid w:val="003E2C83"/>
    <w:rsid w:val="003E302A"/>
    <w:rsid w:val="003E319F"/>
    <w:rsid w:val="003E3218"/>
    <w:rsid w:val="003E3CAE"/>
    <w:rsid w:val="003E3D98"/>
    <w:rsid w:val="003E50B7"/>
    <w:rsid w:val="003E5209"/>
    <w:rsid w:val="003E587A"/>
    <w:rsid w:val="003E6253"/>
    <w:rsid w:val="003E6C9D"/>
    <w:rsid w:val="003E7705"/>
    <w:rsid w:val="003E78D1"/>
    <w:rsid w:val="003F02E6"/>
    <w:rsid w:val="003F0F71"/>
    <w:rsid w:val="003F123B"/>
    <w:rsid w:val="003F1CCA"/>
    <w:rsid w:val="003F2303"/>
    <w:rsid w:val="003F238E"/>
    <w:rsid w:val="003F26BC"/>
    <w:rsid w:val="003F284D"/>
    <w:rsid w:val="003F2ED5"/>
    <w:rsid w:val="003F337A"/>
    <w:rsid w:val="003F339F"/>
    <w:rsid w:val="003F363E"/>
    <w:rsid w:val="003F374A"/>
    <w:rsid w:val="003F4184"/>
    <w:rsid w:val="003F43DE"/>
    <w:rsid w:val="003F446D"/>
    <w:rsid w:val="003F4919"/>
    <w:rsid w:val="003F4C85"/>
    <w:rsid w:val="003F4CAA"/>
    <w:rsid w:val="003F522D"/>
    <w:rsid w:val="003F5D0E"/>
    <w:rsid w:val="003F63F4"/>
    <w:rsid w:val="003F644F"/>
    <w:rsid w:val="003F6C27"/>
    <w:rsid w:val="003F755D"/>
    <w:rsid w:val="003F7D54"/>
    <w:rsid w:val="003F7E03"/>
    <w:rsid w:val="004002FB"/>
    <w:rsid w:val="0040059F"/>
    <w:rsid w:val="00400610"/>
    <w:rsid w:val="00400919"/>
    <w:rsid w:val="00400A7B"/>
    <w:rsid w:val="0040136D"/>
    <w:rsid w:val="00401464"/>
    <w:rsid w:val="004014F3"/>
    <w:rsid w:val="004015B6"/>
    <w:rsid w:val="004018E9"/>
    <w:rsid w:val="004023F5"/>
    <w:rsid w:val="00403145"/>
    <w:rsid w:val="00403438"/>
    <w:rsid w:val="00403B25"/>
    <w:rsid w:val="0040404D"/>
    <w:rsid w:val="00404B24"/>
    <w:rsid w:val="00404BBB"/>
    <w:rsid w:val="00405314"/>
    <w:rsid w:val="0040538E"/>
    <w:rsid w:val="00405454"/>
    <w:rsid w:val="00405832"/>
    <w:rsid w:val="00405D10"/>
    <w:rsid w:val="00406ADE"/>
    <w:rsid w:val="00406F3C"/>
    <w:rsid w:val="004072E8"/>
    <w:rsid w:val="00407E85"/>
    <w:rsid w:val="00410183"/>
    <w:rsid w:val="00410846"/>
    <w:rsid w:val="004109C0"/>
    <w:rsid w:val="00410BED"/>
    <w:rsid w:val="0041182D"/>
    <w:rsid w:val="00411927"/>
    <w:rsid w:val="0041197C"/>
    <w:rsid w:val="00412D89"/>
    <w:rsid w:val="00413439"/>
    <w:rsid w:val="0041390E"/>
    <w:rsid w:val="00413F54"/>
    <w:rsid w:val="004144CB"/>
    <w:rsid w:val="004145AE"/>
    <w:rsid w:val="004146BE"/>
    <w:rsid w:val="004150FE"/>
    <w:rsid w:val="00415631"/>
    <w:rsid w:val="004159A9"/>
    <w:rsid w:val="00415DFD"/>
    <w:rsid w:val="004160FC"/>
    <w:rsid w:val="004168C5"/>
    <w:rsid w:val="00416F65"/>
    <w:rsid w:val="00417A3A"/>
    <w:rsid w:val="00420466"/>
    <w:rsid w:val="004207D5"/>
    <w:rsid w:val="0042135D"/>
    <w:rsid w:val="00421FC4"/>
    <w:rsid w:val="00422208"/>
    <w:rsid w:val="00422701"/>
    <w:rsid w:val="00422D34"/>
    <w:rsid w:val="00422E10"/>
    <w:rsid w:val="00422E4F"/>
    <w:rsid w:val="004244C9"/>
    <w:rsid w:val="004258CF"/>
    <w:rsid w:val="004268FE"/>
    <w:rsid w:val="00426ADB"/>
    <w:rsid w:val="00426E34"/>
    <w:rsid w:val="00426E7C"/>
    <w:rsid w:val="00426E9E"/>
    <w:rsid w:val="0042757D"/>
    <w:rsid w:val="00427A66"/>
    <w:rsid w:val="00427DD2"/>
    <w:rsid w:val="00430072"/>
    <w:rsid w:val="00430115"/>
    <w:rsid w:val="004304A1"/>
    <w:rsid w:val="00430731"/>
    <w:rsid w:val="00430B24"/>
    <w:rsid w:val="0043141C"/>
    <w:rsid w:val="00432292"/>
    <w:rsid w:val="004323F8"/>
    <w:rsid w:val="004325B2"/>
    <w:rsid w:val="00432EDC"/>
    <w:rsid w:val="0043322F"/>
    <w:rsid w:val="00433F61"/>
    <w:rsid w:val="004349C1"/>
    <w:rsid w:val="004351D5"/>
    <w:rsid w:val="004353A4"/>
    <w:rsid w:val="00435583"/>
    <w:rsid w:val="00435EC8"/>
    <w:rsid w:val="004361A3"/>
    <w:rsid w:val="00436864"/>
    <w:rsid w:val="00436D57"/>
    <w:rsid w:val="00436E0C"/>
    <w:rsid w:val="00436EFF"/>
    <w:rsid w:val="00437040"/>
    <w:rsid w:val="0043711C"/>
    <w:rsid w:val="00437235"/>
    <w:rsid w:val="00440013"/>
    <w:rsid w:val="004405A1"/>
    <w:rsid w:val="0044135E"/>
    <w:rsid w:val="00441B2E"/>
    <w:rsid w:val="00441B73"/>
    <w:rsid w:val="0044308F"/>
    <w:rsid w:val="00443104"/>
    <w:rsid w:val="00443950"/>
    <w:rsid w:val="00443DD7"/>
    <w:rsid w:val="00445072"/>
    <w:rsid w:val="004456C3"/>
    <w:rsid w:val="00445841"/>
    <w:rsid w:val="00446DB2"/>
    <w:rsid w:val="00446DD5"/>
    <w:rsid w:val="00447103"/>
    <w:rsid w:val="004479DD"/>
    <w:rsid w:val="00450414"/>
    <w:rsid w:val="00451721"/>
    <w:rsid w:val="00451EEB"/>
    <w:rsid w:val="00452293"/>
    <w:rsid w:val="0045395F"/>
    <w:rsid w:val="00453B94"/>
    <w:rsid w:val="00453C25"/>
    <w:rsid w:val="0045422E"/>
    <w:rsid w:val="00454545"/>
    <w:rsid w:val="0045476B"/>
    <w:rsid w:val="00454C1A"/>
    <w:rsid w:val="00454DC9"/>
    <w:rsid w:val="00455943"/>
    <w:rsid w:val="00455BAF"/>
    <w:rsid w:val="00455E25"/>
    <w:rsid w:val="00456DF8"/>
    <w:rsid w:val="00457A92"/>
    <w:rsid w:val="00460065"/>
    <w:rsid w:val="0046007E"/>
    <w:rsid w:val="0046010F"/>
    <w:rsid w:val="004611D0"/>
    <w:rsid w:val="00461B5D"/>
    <w:rsid w:val="00462200"/>
    <w:rsid w:val="00462601"/>
    <w:rsid w:val="004628DD"/>
    <w:rsid w:val="00462AB8"/>
    <w:rsid w:val="0046377C"/>
    <w:rsid w:val="004639BB"/>
    <w:rsid w:val="00463C27"/>
    <w:rsid w:val="00464009"/>
    <w:rsid w:val="00464527"/>
    <w:rsid w:val="004646E3"/>
    <w:rsid w:val="00464FC3"/>
    <w:rsid w:val="00465095"/>
    <w:rsid w:val="00465268"/>
    <w:rsid w:val="00465313"/>
    <w:rsid w:val="004655F6"/>
    <w:rsid w:val="00466224"/>
    <w:rsid w:val="004669F9"/>
    <w:rsid w:val="00467746"/>
    <w:rsid w:val="00467B11"/>
    <w:rsid w:val="00467E05"/>
    <w:rsid w:val="00470BCE"/>
    <w:rsid w:val="00471760"/>
    <w:rsid w:val="00471EE5"/>
    <w:rsid w:val="00472156"/>
    <w:rsid w:val="004728B3"/>
    <w:rsid w:val="00473341"/>
    <w:rsid w:val="00473557"/>
    <w:rsid w:val="00473717"/>
    <w:rsid w:val="0047394B"/>
    <w:rsid w:val="00473CF4"/>
    <w:rsid w:val="004742D1"/>
    <w:rsid w:val="004745A0"/>
    <w:rsid w:val="00474F88"/>
    <w:rsid w:val="00476630"/>
    <w:rsid w:val="00476BD3"/>
    <w:rsid w:val="00477381"/>
    <w:rsid w:val="00477FE1"/>
    <w:rsid w:val="004801BF"/>
    <w:rsid w:val="0048061A"/>
    <w:rsid w:val="00480B98"/>
    <w:rsid w:val="00480CF2"/>
    <w:rsid w:val="0048122A"/>
    <w:rsid w:val="0048134C"/>
    <w:rsid w:val="00481438"/>
    <w:rsid w:val="0048186C"/>
    <w:rsid w:val="00481BE6"/>
    <w:rsid w:val="00481E5B"/>
    <w:rsid w:val="00482025"/>
    <w:rsid w:val="0048211E"/>
    <w:rsid w:val="00482782"/>
    <w:rsid w:val="00482F11"/>
    <w:rsid w:val="004837B1"/>
    <w:rsid w:val="00484B2A"/>
    <w:rsid w:val="00486715"/>
    <w:rsid w:val="004873FC"/>
    <w:rsid w:val="004876E4"/>
    <w:rsid w:val="004906FF"/>
    <w:rsid w:val="00490B0E"/>
    <w:rsid w:val="004912FE"/>
    <w:rsid w:val="004915CE"/>
    <w:rsid w:val="00491701"/>
    <w:rsid w:val="00491B8D"/>
    <w:rsid w:val="00491BC6"/>
    <w:rsid w:val="004922B9"/>
    <w:rsid w:val="0049258B"/>
    <w:rsid w:val="00493014"/>
    <w:rsid w:val="004930E8"/>
    <w:rsid w:val="00493171"/>
    <w:rsid w:val="004933C6"/>
    <w:rsid w:val="004937EF"/>
    <w:rsid w:val="00493D45"/>
    <w:rsid w:val="00493E05"/>
    <w:rsid w:val="00493E3D"/>
    <w:rsid w:val="0049432A"/>
    <w:rsid w:val="0049470F"/>
    <w:rsid w:val="00495594"/>
    <w:rsid w:val="00496501"/>
    <w:rsid w:val="00496637"/>
    <w:rsid w:val="00496926"/>
    <w:rsid w:val="0049730B"/>
    <w:rsid w:val="0049744C"/>
    <w:rsid w:val="004A0B1C"/>
    <w:rsid w:val="004A0DC6"/>
    <w:rsid w:val="004A147E"/>
    <w:rsid w:val="004A1A32"/>
    <w:rsid w:val="004A21ED"/>
    <w:rsid w:val="004A28E4"/>
    <w:rsid w:val="004A2B59"/>
    <w:rsid w:val="004A36A9"/>
    <w:rsid w:val="004A3D0F"/>
    <w:rsid w:val="004A4BBE"/>
    <w:rsid w:val="004A4D8E"/>
    <w:rsid w:val="004A53E2"/>
    <w:rsid w:val="004A5589"/>
    <w:rsid w:val="004A5886"/>
    <w:rsid w:val="004A61FE"/>
    <w:rsid w:val="004A66FC"/>
    <w:rsid w:val="004A7083"/>
    <w:rsid w:val="004A778B"/>
    <w:rsid w:val="004A7BAE"/>
    <w:rsid w:val="004B0D95"/>
    <w:rsid w:val="004B0F2B"/>
    <w:rsid w:val="004B1454"/>
    <w:rsid w:val="004B15C0"/>
    <w:rsid w:val="004B1674"/>
    <w:rsid w:val="004B1B19"/>
    <w:rsid w:val="004B22D2"/>
    <w:rsid w:val="004B2E7A"/>
    <w:rsid w:val="004B313B"/>
    <w:rsid w:val="004B32F6"/>
    <w:rsid w:val="004B33AE"/>
    <w:rsid w:val="004B38FF"/>
    <w:rsid w:val="004B3B0A"/>
    <w:rsid w:val="004B45EA"/>
    <w:rsid w:val="004B4BFA"/>
    <w:rsid w:val="004B4F1F"/>
    <w:rsid w:val="004B5439"/>
    <w:rsid w:val="004B5FD3"/>
    <w:rsid w:val="004B6049"/>
    <w:rsid w:val="004B6517"/>
    <w:rsid w:val="004B66F5"/>
    <w:rsid w:val="004B6D6A"/>
    <w:rsid w:val="004B6DF5"/>
    <w:rsid w:val="004B6E87"/>
    <w:rsid w:val="004B7903"/>
    <w:rsid w:val="004C0DD9"/>
    <w:rsid w:val="004C1064"/>
    <w:rsid w:val="004C10F0"/>
    <w:rsid w:val="004C1107"/>
    <w:rsid w:val="004C2161"/>
    <w:rsid w:val="004C23D3"/>
    <w:rsid w:val="004C2B45"/>
    <w:rsid w:val="004C2B58"/>
    <w:rsid w:val="004C2EA7"/>
    <w:rsid w:val="004C337F"/>
    <w:rsid w:val="004C366D"/>
    <w:rsid w:val="004C37E1"/>
    <w:rsid w:val="004C3859"/>
    <w:rsid w:val="004C3946"/>
    <w:rsid w:val="004C41B4"/>
    <w:rsid w:val="004C42D8"/>
    <w:rsid w:val="004C4433"/>
    <w:rsid w:val="004C44EE"/>
    <w:rsid w:val="004C4C29"/>
    <w:rsid w:val="004C5AF6"/>
    <w:rsid w:val="004C5CD9"/>
    <w:rsid w:val="004C6589"/>
    <w:rsid w:val="004C68B0"/>
    <w:rsid w:val="004C7A55"/>
    <w:rsid w:val="004C7F17"/>
    <w:rsid w:val="004D0471"/>
    <w:rsid w:val="004D0841"/>
    <w:rsid w:val="004D139F"/>
    <w:rsid w:val="004D22C4"/>
    <w:rsid w:val="004D3509"/>
    <w:rsid w:val="004D39F7"/>
    <w:rsid w:val="004D3FC3"/>
    <w:rsid w:val="004D3FD7"/>
    <w:rsid w:val="004D4FDB"/>
    <w:rsid w:val="004D4FE1"/>
    <w:rsid w:val="004D53C9"/>
    <w:rsid w:val="004D5607"/>
    <w:rsid w:val="004D57E8"/>
    <w:rsid w:val="004D63FD"/>
    <w:rsid w:val="004D6EB8"/>
    <w:rsid w:val="004D6F10"/>
    <w:rsid w:val="004D7521"/>
    <w:rsid w:val="004D7C7E"/>
    <w:rsid w:val="004E1504"/>
    <w:rsid w:val="004E1960"/>
    <w:rsid w:val="004E2333"/>
    <w:rsid w:val="004E254C"/>
    <w:rsid w:val="004E27B6"/>
    <w:rsid w:val="004E2C77"/>
    <w:rsid w:val="004E3821"/>
    <w:rsid w:val="004E38AD"/>
    <w:rsid w:val="004E3AAF"/>
    <w:rsid w:val="004E3C16"/>
    <w:rsid w:val="004E3CFD"/>
    <w:rsid w:val="004E41B6"/>
    <w:rsid w:val="004E4346"/>
    <w:rsid w:val="004E43DF"/>
    <w:rsid w:val="004E4636"/>
    <w:rsid w:val="004E4917"/>
    <w:rsid w:val="004E4DD4"/>
    <w:rsid w:val="004E59CD"/>
    <w:rsid w:val="004E5A3A"/>
    <w:rsid w:val="004E603B"/>
    <w:rsid w:val="004E63B3"/>
    <w:rsid w:val="004E68BE"/>
    <w:rsid w:val="004E6C00"/>
    <w:rsid w:val="004E7320"/>
    <w:rsid w:val="004E7346"/>
    <w:rsid w:val="004E7741"/>
    <w:rsid w:val="004E7FBF"/>
    <w:rsid w:val="004F002E"/>
    <w:rsid w:val="004F010E"/>
    <w:rsid w:val="004F1039"/>
    <w:rsid w:val="004F146E"/>
    <w:rsid w:val="004F1AAA"/>
    <w:rsid w:val="004F2133"/>
    <w:rsid w:val="004F289D"/>
    <w:rsid w:val="004F2F37"/>
    <w:rsid w:val="004F3264"/>
    <w:rsid w:val="004F37F3"/>
    <w:rsid w:val="004F3ED8"/>
    <w:rsid w:val="004F4235"/>
    <w:rsid w:val="004F45BE"/>
    <w:rsid w:val="004F4796"/>
    <w:rsid w:val="004F51C2"/>
    <w:rsid w:val="004F52FA"/>
    <w:rsid w:val="004F5BAA"/>
    <w:rsid w:val="004F5CB3"/>
    <w:rsid w:val="004F6B16"/>
    <w:rsid w:val="004F7053"/>
    <w:rsid w:val="004F7356"/>
    <w:rsid w:val="004F75EE"/>
    <w:rsid w:val="00500627"/>
    <w:rsid w:val="00500E18"/>
    <w:rsid w:val="005019BA"/>
    <w:rsid w:val="005019D4"/>
    <w:rsid w:val="0050218F"/>
    <w:rsid w:val="005022DB"/>
    <w:rsid w:val="00502A38"/>
    <w:rsid w:val="005030F1"/>
    <w:rsid w:val="005040C2"/>
    <w:rsid w:val="005046B4"/>
    <w:rsid w:val="005047A8"/>
    <w:rsid w:val="00504B55"/>
    <w:rsid w:val="00505184"/>
    <w:rsid w:val="0050527B"/>
    <w:rsid w:val="00505853"/>
    <w:rsid w:val="00505A98"/>
    <w:rsid w:val="00505AC8"/>
    <w:rsid w:val="00506527"/>
    <w:rsid w:val="00506843"/>
    <w:rsid w:val="00506C19"/>
    <w:rsid w:val="00507035"/>
    <w:rsid w:val="00507FE7"/>
    <w:rsid w:val="00510313"/>
    <w:rsid w:val="0051100E"/>
    <w:rsid w:val="0051135A"/>
    <w:rsid w:val="00511445"/>
    <w:rsid w:val="00512493"/>
    <w:rsid w:val="0051254A"/>
    <w:rsid w:val="00512C5F"/>
    <w:rsid w:val="00512E0A"/>
    <w:rsid w:val="00513301"/>
    <w:rsid w:val="00513469"/>
    <w:rsid w:val="0051360F"/>
    <w:rsid w:val="005147F2"/>
    <w:rsid w:val="00514AE2"/>
    <w:rsid w:val="005152B0"/>
    <w:rsid w:val="005159D8"/>
    <w:rsid w:val="005160DB"/>
    <w:rsid w:val="00516316"/>
    <w:rsid w:val="00516437"/>
    <w:rsid w:val="00516491"/>
    <w:rsid w:val="00516E43"/>
    <w:rsid w:val="00516F6B"/>
    <w:rsid w:val="0051722D"/>
    <w:rsid w:val="005172C0"/>
    <w:rsid w:val="0051732D"/>
    <w:rsid w:val="005174E9"/>
    <w:rsid w:val="00517626"/>
    <w:rsid w:val="00517775"/>
    <w:rsid w:val="00517D32"/>
    <w:rsid w:val="0052011F"/>
    <w:rsid w:val="0052028C"/>
    <w:rsid w:val="00520411"/>
    <w:rsid w:val="00520562"/>
    <w:rsid w:val="00520726"/>
    <w:rsid w:val="00520D59"/>
    <w:rsid w:val="00520DDA"/>
    <w:rsid w:val="00520ECC"/>
    <w:rsid w:val="00521D6F"/>
    <w:rsid w:val="005238D4"/>
    <w:rsid w:val="005239A3"/>
    <w:rsid w:val="00524637"/>
    <w:rsid w:val="0052505B"/>
    <w:rsid w:val="005253FE"/>
    <w:rsid w:val="005254C3"/>
    <w:rsid w:val="0052561D"/>
    <w:rsid w:val="0052564F"/>
    <w:rsid w:val="00525C83"/>
    <w:rsid w:val="00525F85"/>
    <w:rsid w:val="0052674B"/>
    <w:rsid w:val="00527D20"/>
    <w:rsid w:val="00527F93"/>
    <w:rsid w:val="0053037C"/>
    <w:rsid w:val="005307FC"/>
    <w:rsid w:val="005308D3"/>
    <w:rsid w:val="00531EEA"/>
    <w:rsid w:val="00531FDB"/>
    <w:rsid w:val="00533099"/>
    <w:rsid w:val="00533625"/>
    <w:rsid w:val="005336EE"/>
    <w:rsid w:val="00533B34"/>
    <w:rsid w:val="00534B61"/>
    <w:rsid w:val="00535157"/>
    <w:rsid w:val="00535762"/>
    <w:rsid w:val="00536040"/>
    <w:rsid w:val="00536969"/>
    <w:rsid w:val="00537586"/>
    <w:rsid w:val="00537FE9"/>
    <w:rsid w:val="00540324"/>
    <w:rsid w:val="005403A6"/>
    <w:rsid w:val="0054067D"/>
    <w:rsid w:val="005414ED"/>
    <w:rsid w:val="00541749"/>
    <w:rsid w:val="0054181C"/>
    <w:rsid w:val="0054196D"/>
    <w:rsid w:val="0054198E"/>
    <w:rsid w:val="00541AD2"/>
    <w:rsid w:val="0054255F"/>
    <w:rsid w:val="0054354B"/>
    <w:rsid w:val="00543F7F"/>
    <w:rsid w:val="005443D3"/>
    <w:rsid w:val="005448FD"/>
    <w:rsid w:val="00544EF4"/>
    <w:rsid w:val="005457A6"/>
    <w:rsid w:val="005459F1"/>
    <w:rsid w:val="00545ADC"/>
    <w:rsid w:val="00545B92"/>
    <w:rsid w:val="00545DEC"/>
    <w:rsid w:val="005464C3"/>
    <w:rsid w:val="00546B00"/>
    <w:rsid w:val="00546C41"/>
    <w:rsid w:val="00547546"/>
    <w:rsid w:val="0054764A"/>
    <w:rsid w:val="00547767"/>
    <w:rsid w:val="00547875"/>
    <w:rsid w:val="00550961"/>
    <w:rsid w:val="00550BDF"/>
    <w:rsid w:val="00550C45"/>
    <w:rsid w:val="00550F10"/>
    <w:rsid w:val="005512DC"/>
    <w:rsid w:val="005513B0"/>
    <w:rsid w:val="00551480"/>
    <w:rsid w:val="00551D38"/>
    <w:rsid w:val="00551E37"/>
    <w:rsid w:val="0055230E"/>
    <w:rsid w:val="00552AF0"/>
    <w:rsid w:val="00553B2E"/>
    <w:rsid w:val="00553CE1"/>
    <w:rsid w:val="00553E9E"/>
    <w:rsid w:val="00553F5E"/>
    <w:rsid w:val="0055423B"/>
    <w:rsid w:val="00554669"/>
    <w:rsid w:val="0055673C"/>
    <w:rsid w:val="00556A3A"/>
    <w:rsid w:val="00557340"/>
    <w:rsid w:val="00557374"/>
    <w:rsid w:val="005574B1"/>
    <w:rsid w:val="00557C4B"/>
    <w:rsid w:val="00557CFA"/>
    <w:rsid w:val="00560201"/>
    <w:rsid w:val="005605F9"/>
    <w:rsid w:val="005614DE"/>
    <w:rsid w:val="00562487"/>
    <w:rsid w:val="005629DA"/>
    <w:rsid w:val="00563181"/>
    <w:rsid w:val="00563CA2"/>
    <w:rsid w:val="0056422C"/>
    <w:rsid w:val="00564840"/>
    <w:rsid w:val="00564928"/>
    <w:rsid w:val="0056498E"/>
    <w:rsid w:val="005658F8"/>
    <w:rsid w:val="00566CF0"/>
    <w:rsid w:val="005678C8"/>
    <w:rsid w:val="00570160"/>
    <w:rsid w:val="00570397"/>
    <w:rsid w:val="00570976"/>
    <w:rsid w:val="005711E1"/>
    <w:rsid w:val="0057185F"/>
    <w:rsid w:val="005718D8"/>
    <w:rsid w:val="00571C23"/>
    <w:rsid w:val="00572764"/>
    <w:rsid w:val="005733BD"/>
    <w:rsid w:val="00574014"/>
    <w:rsid w:val="00574241"/>
    <w:rsid w:val="00574F83"/>
    <w:rsid w:val="00575167"/>
    <w:rsid w:val="005751C1"/>
    <w:rsid w:val="00575DBC"/>
    <w:rsid w:val="005762E6"/>
    <w:rsid w:val="00576A10"/>
    <w:rsid w:val="00576AC0"/>
    <w:rsid w:val="00576CA8"/>
    <w:rsid w:val="0057768A"/>
    <w:rsid w:val="005776D2"/>
    <w:rsid w:val="00577992"/>
    <w:rsid w:val="00577C2B"/>
    <w:rsid w:val="00577CBC"/>
    <w:rsid w:val="005804A2"/>
    <w:rsid w:val="00580788"/>
    <w:rsid w:val="00580994"/>
    <w:rsid w:val="00580A59"/>
    <w:rsid w:val="00580B8D"/>
    <w:rsid w:val="005813F2"/>
    <w:rsid w:val="00581C9A"/>
    <w:rsid w:val="00582BCB"/>
    <w:rsid w:val="00583AD0"/>
    <w:rsid w:val="005848B2"/>
    <w:rsid w:val="00584BB6"/>
    <w:rsid w:val="00584D3E"/>
    <w:rsid w:val="00585134"/>
    <w:rsid w:val="005857D7"/>
    <w:rsid w:val="00585912"/>
    <w:rsid w:val="00585D68"/>
    <w:rsid w:val="00586298"/>
    <w:rsid w:val="005864CB"/>
    <w:rsid w:val="00586554"/>
    <w:rsid w:val="00587FAE"/>
    <w:rsid w:val="005903D8"/>
    <w:rsid w:val="005905CF"/>
    <w:rsid w:val="0059066A"/>
    <w:rsid w:val="00590790"/>
    <w:rsid w:val="00590806"/>
    <w:rsid w:val="00590BDF"/>
    <w:rsid w:val="00590E1E"/>
    <w:rsid w:val="005919E6"/>
    <w:rsid w:val="00591A09"/>
    <w:rsid w:val="00592395"/>
    <w:rsid w:val="00593253"/>
    <w:rsid w:val="0059356B"/>
    <w:rsid w:val="005941B0"/>
    <w:rsid w:val="00594896"/>
    <w:rsid w:val="00594E8B"/>
    <w:rsid w:val="005951DC"/>
    <w:rsid w:val="0059571D"/>
    <w:rsid w:val="00595C02"/>
    <w:rsid w:val="005960DF"/>
    <w:rsid w:val="00596167"/>
    <w:rsid w:val="005961A9"/>
    <w:rsid w:val="00596A65"/>
    <w:rsid w:val="00597198"/>
    <w:rsid w:val="00597450"/>
    <w:rsid w:val="00597814"/>
    <w:rsid w:val="005A0013"/>
    <w:rsid w:val="005A02BF"/>
    <w:rsid w:val="005A06B5"/>
    <w:rsid w:val="005A0740"/>
    <w:rsid w:val="005A07B2"/>
    <w:rsid w:val="005A0E50"/>
    <w:rsid w:val="005A1A9A"/>
    <w:rsid w:val="005A2F67"/>
    <w:rsid w:val="005A3400"/>
    <w:rsid w:val="005A36B7"/>
    <w:rsid w:val="005A3783"/>
    <w:rsid w:val="005A38B5"/>
    <w:rsid w:val="005A3B34"/>
    <w:rsid w:val="005A3CE5"/>
    <w:rsid w:val="005A3D74"/>
    <w:rsid w:val="005A4680"/>
    <w:rsid w:val="005A506F"/>
    <w:rsid w:val="005A5619"/>
    <w:rsid w:val="005A78D7"/>
    <w:rsid w:val="005A7967"/>
    <w:rsid w:val="005A7DF5"/>
    <w:rsid w:val="005A7E6A"/>
    <w:rsid w:val="005B1383"/>
    <w:rsid w:val="005B1A4B"/>
    <w:rsid w:val="005B1B78"/>
    <w:rsid w:val="005B1DFB"/>
    <w:rsid w:val="005B2A2E"/>
    <w:rsid w:val="005B2D08"/>
    <w:rsid w:val="005B3EE4"/>
    <w:rsid w:val="005B4739"/>
    <w:rsid w:val="005B486D"/>
    <w:rsid w:val="005B4AF1"/>
    <w:rsid w:val="005B4CAA"/>
    <w:rsid w:val="005B4DAE"/>
    <w:rsid w:val="005B4F5F"/>
    <w:rsid w:val="005B5BFA"/>
    <w:rsid w:val="005B719B"/>
    <w:rsid w:val="005B7A39"/>
    <w:rsid w:val="005C0008"/>
    <w:rsid w:val="005C032D"/>
    <w:rsid w:val="005C0C5D"/>
    <w:rsid w:val="005C0FD6"/>
    <w:rsid w:val="005C17DA"/>
    <w:rsid w:val="005C234E"/>
    <w:rsid w:val="005C2382"/>
    <w:rsid w:val="005C2AAE"/>
    <w:rsid w:val="005C3838"/>
    <w:rsid w:val="005C39A6"/>
    <w:rsid w:val="005C3AD2"/>
    <w:rsid w:val="005C3CEF"/>
    <w:rsid w:val="005C3D6D"/>
    <w:rsid w:val="005C4866"/>
    <w:rsid w:val="005C4A3A"/>
    <w:rsid w:val="005C4A89"/>
    <w:rsid w:val="005C4B93"/>
    <w:rsid w:val="005C4D4E"/>
    <w:rsid w:val="005C4EFE"/>
    <w:rsid w:val="005C6498"/>
    <w:rsid w:val="005C652C"/>
    <w:rsid w:val="005C7094"/>
    <w:rsid w:val="005C7339"/>
    <w:rsid w:val="005C73CC"/>
    <w:rsid w:val="005C74E1"/>
    <w:rsid w:val="005C7C14"/>
    <w:rsid w:val="005D03A8"/>
    <w:rsid w:val="005D03FB"/>
    <w:rsid w:val="005D18B1"/>
    <w:rsid w:val="005D2617"/>
    <w:rsid w:val="005D287A"/>
    <w:rsid w:val="005D329A"/>
    <w:rsid w:val="005D4086"/>
    <w:rsid w:val="005D473B"/>
    <w:rsid w:val="005D4C81"/>
    <w:rsid w:val="005D4E54"/>
    <w:rsid w:val="005D53C0"/>
    <w:rsid w:val="005D590B"/>
    <w:rsid w:val="005D5DE9"/>
    <w:rsid w:val="005D6477"/>
    <w:rsid w:val="005D6891"/>
    <w:rsid w:val="005D6B12"/>
    <w:rsid w:val="005D6C77"/>
    <w:rsid w:val="005D767D"/>
    <w:rsid w:val="005D7B50"/>
    <w:rsid w:val="005D7E46"/>
    <w:rsid w:val="005E0498"/>
    <w:rsid w:val="005E0A10"/>
    <w:rsid w:val="005E0A3A"/>
    <w:rsid w:val="005E0EF9"/>
    <w:rsid w:val="005E1408"/>
    <w:rsid w:val="005E14E8"/>
    <w:rsid w:val="005E14F1"/>
    <w:rsid w:val="005E1903"/>
    <w:rsid w:val="005E2184"/>
    <w:rsid w:val="005E2204"/>
    <w:rsid w:val="005E278E"/>
    <w:rsid w:val="005E2A43"/>
    <w:rsid w:val="005E3453"/>
    <w:rsid w:val="005E3C20"/>
    <w:rsid w:val="005E3E2E"/>
    <w:rsid w:val="005E4105"/>
    <w:rsid w:val="005E435A"/>
    <w:rsid w:val="005E443D"/>
    <w:rsid w:val="005E46FD"/>
    <w:rsid w:val="005E52D3"/>
    <w:rsid w:val="005E6F13"/>
    <w:rsid w:val="005E7B4E"/>
    <w:rsid w:val="005E7E58"/>
    <w:rsid w:val="005F1DBF"/>
    <w:rsid w:val="005F2173"/>
    <w:rsid w:val="005F2201"/>
    <w:rsid w:val="005F2772"/>
    <w:rsid w:val="005F2776"/>
    <w:rsid w:val="005F2829"/>
    <w:rsid w:val="005F290C"/>
    <w:rsid w:val="005F38A8"/>
    <w:rsid w:val="005F39DF"/>
    <w:rsid w:val="005F3E41"/>
    <w:rsid w:val="005F4CE0"/>
    <w:rsid w:val="005F54F3"/>
    <w:rsid w:val="005F5C69"/>
    <w:rsid w:val="005F6212"/>
    <w:rsid w:val="005F64CA"/>
    <w:rsid w:val="005F759F"/>
    <w:rsid w:val="005F75BA"/>
    <w:rsid w:val="006001F4"/>
    <w:rsid w:val="00600326"/>
    <w:rsid w:val="006012AE"/>
    <w:rsid w:val="006012F6"/>
    <w:rsid w:val="006014E8"/>
    <w:rsid w:val="006017A6"/>
    <w:rsid w:val="00601A62"/>
    <w:rsid w:val="00601DA0"/>
    <w:rsid w:val="0060215C"/>
    <w:rsid w:val="00602238"/>
    <w:rsid w:val="00602368"/>
    <w:rsid w:val="00602575"/>
    <w:rsid w:val="00602CA2"/>
    <w:rsid w:val="00602CBE"/>
    <w:rsid w:val="00602FD8"/>
    <w:rsid w:val="0060347C"/>
    <w:rsid w:val="00603612"/>
    <w:rsid w:val="00604AF2"/>
    <w:rsid w:val="0060552F"/>
    <w:rsid w:val="00605726"/>
    <w:rsid w:val="00605C56"/>
    <w:rsid w:val="00605F40"/>
    <w:rsid w:val="00606018"/>
    <w:rsid w:val="00606394"/>
    <w:rsid w:val="00606BBE"/>
    <w:rsid w:val="00606F1A"/>
    <w:rsid w:val="00607533"/>
    <w:rsid w:val="00611B98"/>
    <w:rsid w:val="00611E86"/>
    <w:rsid w:val="00612204"/>
    <w:rsid w:val="0061303D"/>
    <w:rsid w:val="00613958"/>
    <w:rsid w:val="00613CDA"/>
    <w:rsid w:val="00614332"/>
    <w:rsid w:val="0061465E"/>
    <w:rsid w:val="00614BD6"/>
    <w:rsid w:val="006152D9"/>
    <w:rsid w:val="00615DC5"/>
    <w:rsid w:val="00615E6A"/>
    <w:rsid w:val="00616AC7"/>
    <w:rsid w:val="00616C14"/>
    <w:rsid w:val="00616C90"/>
    <w:rsid w:val="0061757F"/>
    <w:rsid w:val="0061773C"/>
    <w:rsid w:val="00617873"/>
    <w:rsid w:val="00617A57"/>
    <w:rsid w:val="00617EA9"/>
    <w:rsid w:val="00617FE5"/>
    <w:rsid w:val="006208A5"/>
    <w:rsid w:val="00620AAB"/>
    <w:rsid w:val="00622387"/>
    <w:rsid w:val="00622532"/>
    <w:rsid w:val="006233CC"/>
    <w:rsid w:val="0062392F"/>
    <w:rsid w:val="0062434D"/>
    <w:rsid w:val="00624372"/>
    <w:rsid w:val="006246A3"/>
    <w:rsid w:val="006249E9"/>
    <w:rsid w:val="006253C9"/>
    <w:rsid w:val="0062541C"/>
    <w:rsid w:val="00625534"/>
    <w:rsid w:val="006256BC"/>
    <w:rsid w:val="0062759D"/>
    <w:rsid w:val="00627D5D"/>
    <w:rsid w:val="00631140"/>
    <w:rsid w:val="00631220"/>
    <w:rsid w:val="006314B8"/>
    <w:rsid w:val="006315B3"/>
    <w:rsid w:val="00631E27"/>
    <w:rsid w:val="00631EF8"/>
    <w:rsid w:val="00632231"/>
    <w:rsid w:val="00632479"/>
    <w:rsid w:val="00632F69"/>
    <w:rsid w:val="00633059"/>
    <w:rsid w:val="006331B0"/>
    <w:rsid w:val="00634267"/>
    <w:rsid w:val="00635066"/>
    <w:rsid w:val="00635C5C"/>
    <w:rsid w:val="00636113"/>
    <w:rsid w:val="00636FBA"/>
    <w:rsid w:val="00637675"/>
    <w:rsid w:val="006376BB"/>
    <w:rsid w:val="00641ABA"/>
    <w:rsid w:val="00641E5E"/>
    <w:rsid w:val="0064205A"/>
    <w:rsid w:val="0064263E"/>
    <w:rsid w:val="0064280D"/>
    <w:rsid w:val="00642A4F"/>
    <w:rsid w:val="00643057"/>
    <w:rsid w:val="0064311E"/>
    <w:rsid w:val="006435AC"/>
    <w:rsid w:val="006436BF"/>
    <w:rsid w:val="00643F9C"/>
    <w:rsid w:val="006440AE"/>
    <w:rsid w:val="00644304"/>
    <w:rsid w:val="00644D1A"/>
    <w:rsid w:val="00644EE4"/>
    <w:rsid w:val="0064589B"/>
    <w:rsid w:val="00645B6F"/>
    <w:rsid w:val="0064617A"/>
    <w:rsid w:val="006470E1"/>
    <w:rsid w:val="00647805"/>
    <w:rsid w:val="006478B8"/>
    <w:rsid w:val="00647F4E"/>
    <w:rsid w:val="006511A2"/>
    <w:rsid w:val="00651238"/>
    <w:rsid w:val="00651AC2"/>
    <w:rsid w:val="00652ED1"/>
    <w:rsid w:val="00653621"/>
    <w:rsid w:val="00653ECE"/>
    <w:rsid w:val="00654398"/>
    <w:rsid w:val="006543A0"/>
    <w:rsid w:val="006547B0"/>
    <w:rsid w:val="00654CBB"/>
    <w:rsid w:val="00654FFE"/>
    <w:rsid w:val="00655FEF"/>
    <w:rsid w:val="0065606B"/>
    <w:rsid w:val="00656AEF"/>
    <w:rsid w:val="00656D8D"/>
    <w:rsid w:val="0065703D"/>
    <w:rsid w:val="006572EF"/>
    <w:rsid w:val="0065734F"/>
    <w:rsid w:val="00657657"/>
    <w:rsid w:val="00657CAB"/>
    <w:rsid w:val="00657F73"/>
    <w:rsid w:val="006608B4"/>
    <w:rsid w:val="006608E6"/>
    <w:rsid w:val="00660CC2"/>
    <w:rsid w:val="0066166C"/>
    <w:rsid w:val="00661A64"/>
    <w:rsid w:val="00661DF6"/>
    <w:rsid w:val="00661E17"/>
    <w:rsid w:val="00661F31"/>
    <w:rsid w:val="0066272B"/>
    <w:rsid w:val="006628FE"/>
    <w:rsid w:val="006632F0"/>
    <w:rsid w:val="0066393F"/>
    <w:rsid w:val="0066496B"/>
    <w:rsid w:val="006660C9"/>
    <w:rsid w:val="00666141"/>
    <w:rsid w:val="006667F5"/>
    <w:rsid w:val="00666C24"/>
    <w:rsid w:val="00667261"/>
    <w:rsid w:val="00667268"/>
    <w:rsid w:val="00667CF0"/>
    <w:rsid w:val="00667EF0"/>
    <w:rsid w:val="00670C8B"/>
    <w:rsid w:val="00670E2A"/>
    <w:rsid w:val="006717A6"/>
    <w:rsid w:val="006719DD"/>
    <w:rsid w:val="006720AC"/>
    <w:rsid w:val="006726FD"/>
    <w:rsid w:val="00674182"/>
    <w:rsid w:val="00674333"/>
    <w:rsid w:val="00674401"/>
    <w:rsid w:val="00675194"/>
    <w:rsid w:val="00675534"/>
    <w:rsid w:val="00675D56"/>
    <w:rsid w:val="00675ECB"/>
    <w:rsid w:val="0067669A"/>
    <w:rsid w:val="0067677D"/>
    <w:rsid w:val="006768EA"/>
    <w:rsid w:val="00676BB3"/>
    <w:rsid w:val="00676BCA"/>
    <w:rsid w:val="00676DB3"/>
    <w:rsid w:val="006771D9"/>
    <w:rsid w:val="00677911"/>
    <w:rsid w:val="00677AF1"/>
    <w:rsid w:val="00677BA4"/>
    <w:rsid w:val="0068156A"/>
    <w:rsid w:val="00681C41"/>
    <w:rsid w:val="0068234F"/>
    <w:rsid w:val="0068264B"/>
    <w:rsid w:val="00682798"/>
    <w:rsid w:val="00682A2F"/>
    <w:rsid w:val="00682DA4"/>
    <w:rsid w:val="00683775"/>
    <w:rsid w:val="00684FAC"/>
    <w:rsid w:val="00685184"/>
    <w:rsid w:val="00686034"/>
    <w:rsid w:val="00686083"/>
    <w:rsid w:val="006861D6"/>
    <w:rsid w:val="00686A51"/>
    <w:rsid w:val="00687513"/>
    <w:rsid w:val="00687733"/>
    <w:rsid w:val="0068798D"/>
    <w:rsid w:val="00687B23"/>
    <w:rsid w:val="0069009C"/>
    <w:rsid w:val="006902D7"/>
    <w:rsid w:val="00690414"/>
    <w:rsid w:val="00691853"/>
    <w:rsid w:val="00691B5D"/>
    <w:rsid w:val="00692DDC"/>
    <w:rsid w:val="006937A8"/>
    <w:rsid w:val="006937B4"/>
    <w:rsid w:val="006937E6"/>
    <w:rsid w:val="00693B32"/>
    <w:rsid w:val="00693DE5"/>
    <w:rsid w:val="00693E3D"/>
    <w:rsid w:val="00694663"/>
    <w:rsid w:val="006949CC"/>
    <w:rsid w:val="00694A7A"/>
    <w:rsid w:val="00694DE3"/>
    <w:rsid w:val="00695664"/>
    <w:rsid w:val="00695757"/>
    <w:rsid w:val="006962C9"/>
    <w:rsid w:val="00696500"/>
    <w:rsid w:val="00697110"/>
    <w:rsid w:val="00697DE9"/>
    <w:rsid w:val="006A024A"/>
    <w:rsid w:val="006A0559"/>
    <w:rsid w:val="006A0AC8"/>
    <w:rsid w:val="006A10B2"/>
    <w:rsid w:val="006A1806"/>
    <w:rsid w:val="006A1A6F"/>
    <w:rsid w:val="006A1EE9"/>
    <w:rsid w:val="006A2219"/>
    <w:rsid w:val="006A29F1"/>
    <w:rsid w:val="006A2BF3"/>
    <w:rsid w:val="006A2CE5"/>
    <w:rsid w:val="006A38E0"/>
    <w:rsid w:val="006A3BBC"/>
    <w:rsid w:val="006A45B5"/>
    <w:rsid w:val="006A47E1"/>
    <w:rsid w:val="006A4B31"/>
    <w:rsid w:val="006A4C76"/>
    <w:rsid w:val="006A551B"/>
    <w:rsid w:val="006A5810"/>
    <w:rsid w:val="006A64E7"/>
    <w:rsid w:val="006A6673"/>
    <w:rsid w:val="006A78D8"/>
    <w:rsid w:val="006B0353"/>
    <w:rsid w:val="006B05EA"/>
    <w:rsid w:val="006B1298"/>
    <w:rsid w:val="006B12F0"/>
    <w:rsid w:val="006B1403"/>
    <w:rsid w:val="006B18BC"/>
    <w:rsid w:val="006B1BDE"/>
    <w:rsid w:val="006B1CD3"/>
    <w:rsid w:val="006B34EA"/>
    <w:rsid w:val="006B359E"/>
    <w:rsid w:val="006B3D7E"/>
    <w:rsid w:val="006B55C4"/>
    <w:rsid w:val="006B58A9"/>
    <w:rsid w:val="006B79D8"/>
    <w:rsid w:val="006B7D19"/>
    <w:rsid w:val="006B7E85"/>
    <w:rsid w:val="006B7F70"/>
    <w:rsid w:val="006C089F"/>
    <w:rsid w:val="006C08A5"/>
    <w:rsid w:val="006C0976"/>
    <w:rsid w:val="006C132D"/>
    <w:rsid w:val="006C1CFE"/>
    <w:rsid w:val="006C1D65"/>
    <w:rsid w:val="006C1E37"/>
    <w:rsid w:val="006C274C"/>
    <w:rsid w:val="006C3326"/>
    <w:rsid w:val="006C388D"/>
    <w:rsid w:val="006C4CDB"/>
    <w:rsid w:val="006C4F25"/>
    <w:rsid w:val="006C54BF"/>
    <w:rsid w:val="006C59A8"/>
    <w:rsid w:val="006C6449"/>
    <w:rsid w:val="006C65BE"/>
    <w:rsid w:val="006C6CD0"/>
    <w:rsid w:val="006C6FC1"/>
    <w:rsid w:val="006C7AB2"/>
    <w:rsid w:val="006C7C30"/>
    <w:rsid w:val="006C7F52"/>
    <w:rsid w:val="006D040D"/>
    <w:rsid w:val="006D0B98"/>
    <w:rsid w:val="006D0EDE"/>
    <w:rsid w:val="006D1099"/>
    <w:rsid w:val="006D12CB"/>
    <w:rsid w:val="006D1A70"/>
    <w:rsid w:val="006D1B34"/>
    <w:rsid w:val="006D1F4A"/>
    <w:rsid w:val="006D3147"/>
    <w:rsid w:val="006D3275"/>
    <w:rsid w:val="006D32CA"/>
    <w:rsid w:val="006D3795"/>
    <w:rsid w:val="006D3E49"/>
    <w:rsid w:val="006D4980"/>
    <w:rsid w:val="006D5229"/>
    <w:rsid w:val="006D55E5"/>
    <w:rsid w:val="006D6417"/>
    <w:rsid w:val="006D645F"/>
    <w:rsid w:val="006D6EA8"/>
    <w:rsid w:val="006D72ED"/>
    <w:rsid w:val="006E01E0"/>
    <w:rsid w:val="006E142B"/>
    <w:rsid w:val="006E1502"/>
    <w:rsid w:val="006E182F"/>
    <w:rsid w:val="006E1DA1"/>
    <w:rsid w:val="006E26BD"/>
    <w:rsid w:val="006E2C3F"/>
    <w:rsid w:val="006E2C7C"/>
    <w:rsid w:val="006E3756"/>
    <w:rsid w:val="006E377E"/>
    <w:rsid w:val="006E387E"/>
    <w:rsid w:val="006E3912"/>
    <w:rsid w:val="006E393B"/>
    <w:rsid w:val="006E3F82"/>
    <w:rsid w:val="006E5942"/>
    <w:rsid w:val="006E5F17"/>
    <w:rsid w:val="006E680B"/>
    <w:rsid w:val="006E69A2"/>
    <w:rsid w:val="006E6A04"/>
    <w:rsid w:val="006E6AB4"/>
    <w:rsid w:val="006E728E"/>
    <w:rsid w:val="006E72D8"/>
    <w:rsid w:val="006E7D6E"/>
    <w:rsid w:val="006E7EA9"/>
    <w:rsid w:val="006F01C6"/>
    <w:rsid w:val="006F1336"/>
    <w:rsid w:val="006F14DD"/>
    <w:rsid w:val="006F17F4"/>
    <w:rsid w:val="006F19F2"/>
    <w:rsid w:val="006F2077"/>
    <w:rsid w:val="006F24AF"/>
    <w:rsid w:val="006F298B"/>
    <w:rsid w:val="006F32F6"/>
    <w:rsid w:val="006F3BE0"/>
    <w:rsid w:val="006F3DB1"/>
    <w:rsid w:val="006F3F7C"/>
    <w:rsid w:val="006F3FB5"/>
    <w:rsid w:val="006F5545"/>
    <w:rsid w:val="006F5D70"/>
    <w:rsid w:val="006F5F36"/>
    <w:rsid w:val="006F6181"/>
    <w:rsid w:val="006F67EE"/>
    <w:rsid w:val="006F6EFC"/>
    <w:rsid w:val="006F71FB"/>
    <w:rsid w:val="006F7B5D"/>
    <w:rsid w:val="0070049D"/>
    <w:rsid w:val="00701002"/>
    <w:rsid w:val="00701887"/>
    <w:rsid w:val="007019F5"/>
    <w:rsid w:val="007025E5"/>
    <w:rsid w:val="00705815"/>
    <w:rsid w:val="007058DA"/>
    <w:rsid w:val="007059A8"/>
    <w:rsid w:val="00705DCB"/>
    <w:rsid w:val="007065CA"/>
    <w:rsid w:val="00706973"/>
    <w:rsid w:val="00706AB3"/>
    <w:rsid w:val="00706E31"/>
    <w:rsid w:val="00707CAF"/>
    <w:rsid w:val="00707D29"/>
    <w:rsid w:val="007105BC"/>
    <w:rsid w:val="00710BE8"/>
    <w:rsid w:val="00710C14"/>
    <w:rsid w:val="00710E9A"/>
    <w:rsid w:val="007111CD"/>
    <w:rsid w:val="007118EF"/>
    <w:rsid w:val="007127EA"/>
    <w:rsid w:val="0071281B"/>
    <w:rsid w:val="007131AA"/>
    <w:rsid w:val="007132C2"/>
    <w:rsid w:val="00714A88"/>
    <w:rsid w:val="00714D2B"/>
    <w:rsid w:val="00715CCC"/>
    <w:rsid w:val="00715D3F"/>
    <w:rsid w:val="0071718C"/>
    <w:rsid w:val="00720AA4"/>
    <w:rsid w:val="00720D18"/>
    <w:rsid w:val="00720F01"/>
    <w:rsid w:val="00720F84"/>
    <w:rsid w:val="00721303"/>
    <w:rsid w:val="00721305"/>
    <w:rsid w:val="0072243A"/>
    <w:rsid w:val="00722679"/>
    <w:rsid w:val="00722B36"/>
    <w:rsid w:val="0072342F"/>
    <w:rsid w:val="007235EE"/>
    <w:rsid w:val="00723D48"/>
    <w:rsid w:val="0072403D"/>
    <w:rsid w:val="007243AA"/>
    <w:rsid w:val="00724C00"/>
    <w:rsid w:val="007259CB"/>
    <w:rsid w:val="00725FCC"/>
    <w:rsid w:val="00726148"/>
    <w:rsid w:val="00726169"/>
    <w:rsid w:val="007262B6"/>
    <w:rsid w:val="00727999"/>
    <w:rsid w:val="00727A2F"/>
    <w:rsid w:val="00727AC2"/>
    <w:rsid w:val="007301E4"/>
    <w:rsid w:val="00730A14"/>
    <w:rsid w:val="00730BBC"/>
    <w:rsid w:val="0073136D"/>
    <w:rsid w:val="00731681"/>
    <w:rsid w:val="0073168E"/>
    <w:rsid w:val="00731839"/>
    <w:rsid w:val="00731F4E"/>
    <w:rsid w:val="00732363"/>
    <w:rsid w:val="0073287A"/>
    <w:rsid w:val="007332A2"/>
    <w:rsid w:val="007337DD"/>
    <w:rsid w:val="00733839"/>
    <w:rsid w:val="007339A9"/>
    <w:rsid w:val="007342CB"/>
    <w:rsid w:val="00735013"/>
    <w:rsid w:val="00735B95"/>
    <w:rsid w:val="00736810"/>
    <w:rsid w:val="007375BD"/>
    <w:rsid w:val="0073789B"/>
    <w:rsid w:val="00737B4E"/>
    <w:rsid w:val="00737BF0"/>
    <w:rsid w:val="00737C36"/>
    <w:rsid w:val="00737C3B"/>
    <w:rsid w:val="00740256"/>
    <w:rsid w:val="0074037E"/>
    <w:rsid w:val="007406A3"/>
    <w:rsid w:val="00740FB1"/>
    <w:rsid w:val="00741447"/>
    <w:rsid w:val="00742171"/>
    <w:rsid w:val="0074232D"/>
    <w:rsid w:val="00742822"/>
    <w:rsid w:val="00742974"/>
    <w:rsid w:val="00743025"/>
    <w:rsid w:val="00744436"/>
    <w:rsid w:val="00745BFD"/>
    <w:rsid w:val="00745C36"/>
    <w:rsid w:val="0074621E"/>
    <w:rsid w:val="007470FE"/>
    <w:rsid w:val="00747732"/>
    <w:rsid w:val="00750074"/>
    <w:rsid w:val="007507DA"/>
    <w:rsid w:val="0075181D"/>
    <w:rsid w:val="00751970"/>
    <w:rsid w:val="00751A94"/>
    <w:rsid w:val="0075230F"/>
    <w:rsid w:val="0075254F"/>
    <w:rsid w:val="007525F5"/>
    <w:rsid w:val="007529D3"/>
    <w:rsid w:val="00752AF8"/>
    <w:rsid w:val="007532DB"/>
    <w:rsid w:val="007534F9"/>
    <w:rsid w:val="007536D1"/>
    <w:rsid w:val="00753EE5"/>
    <w:rsid w:val="00754085"/>
    <w:rsid w:val="00754380"/>
    <w:rsid w:val="007558BB"/>
    <w:rsid w:val="00756918"/>
    <w:rsid w:val="00757407"/>
    <w:rsid w:val="007574A6"/>
    <w:rsid w:val="00757B62"/>
    <w:rsid w:val="00757CCC"/>
    <w:rsid w:val="007604AE"/>
    <w:rsid w:val="007607F8"/>
    <w:rsid w:val="00760B21"/>
    <w:rsid w:val="00761DE8"/>
    <w:rsid w:val="007621D2"/>
    <w:rsid w:val="007623DC"/>
    <w:rsid w:val="00762502"/>
    <w:rsid w:val="0076276F"/>
    <w:rsid w:val="0076297A"/>
    <w:rsid w:val="00762CF0"/>
    <w:rsid w:val="00763625"/>
    <w:rsid w:val="00763DBE"/>
    <w:rsid w:val="007648CC"/>
    <w:rsid w:val="00764ECD"/>
    <w:rsid w:val="00764F4F"/>
    <w:rsid w:val="00765CEC"/>
    <w:rsid w:val="00765DD2"/>
    <w:rsid w:val="00765E1A"/>
    <w:rsid w:val="00766111"/>
    <w:rsid w:val="00766457"/>
    <w:rsid w:val="007668A5"/>
    <w:rsid w:val="007668E7"/>
    <w:rsid w:val="007672EE"/>
    <w:rsid w:val="007678E6"/>
    <w:rsid w:val="007708D5"/>
    <w:rsid w:val="00770CEF"/>
    <w:rsid w:val="00771962"/>
    <w:rsid w:val="00771D22"/>
    <w:rsid w:val="00771DB2"/>
    <w:rsid w:val="00771F01"/>
    <w:rsid w:val="00772094"/>
    <w:rsid w:val="0077218F"/>
    <w:rsid w:val="007721C6"/>
    <w:rsid w:val="0077237D"/>
    <w:rsid w:val="00772E89"/>
    <w:rsid w:val="00772F83"/>
    <w:rsid w:val="00773795"/>
    <w:rsid w:val="0077398D"/>
    <w:rsid w:val="007747D8"/>
    <w:rsid w:val="00774A02"/>
    <w:rsid w:val="00775DA6"/>
    <w:rsid w:val="00775DC4"/>
    <w:rsid w:val="007760FA"/>
    <w:rsid w:val="00776458"/>
    <w:rsid w:val="00776595"/>
    <w:rsid w:val="00776802"/>
    <w:rsid w:val="00776BAD"/>
    <w:rsid w:val="00776F35"/>
    <w:rsid w:val="00777784"/>
    <w:rsid w:val="0077788A"/>
    <w:rsid w:val="00780316"/>
    <w:rsid w:val="007804F7"/>
    <w:rsid w:val="00780561"/>
    <w:rsid w:val="007809FC"/>
    <w:rsid w:val="007812BD"/>
    <w:rsid w:val="007818E6"/>
    <w:rsid w:val="00781D29"/>
    <w:rsid w:val="00783903"/>
    <w:rsid w:val="007841DE"/>
    <w:rsid w:val="007845CE"/>
    <w:rsid w:val="007859E8"/>
    <w:rsid w:val="00785AA5"/>
    <w:rsid w:val="00785BA8"/>
    <w:rsid w:val="0078612F"/>
    <w:rsid w:val="007866C6"/>
    <w:rsid w:val="0078685A"/>
    <w:rsid w:val="007873CB"/>
    <w:rsid w:val="00787DFB"/>
    <w:rsid w:val="0079029D"/>
    <w:rsid w:val="00790B65"/>
    <w:rsid w:val="00791994"/>
    <w:rsid w:val="00791E4E"/>
    <w:rsid w:val="00792081"/>
    <w:rsid w:val="0079238D"/>
    <w:rsid w:val="007927D6"/>
    <w:rsid w:val="007928FF"/>
    <w:rsid w:val="00792ACC"/>
    <w:rsid w:val="00793132"/>
    <w:rsid w:val="00793261"/>
    <w:rsid w:val="007937A1"/>
    <w:rsid w:val="00793EC7"/>
    <w:rsid w:val="00793F02"/>
    <w:rsid w:val="007949A5"/>
    <w:rsid w:val="00794CDB"/>
    <w:rsid w:val="00794FB9"/>
    <w:rsid w:val="00795EB2"/>
    <w:rsid w:val="0079633A"/>
    <w:rsid w:val="007963F5"/>
    <w:rsid w:val="007976C6"/>
    <w:rsid w:val="0079787D"/>
    <w:rsid w:val="007978F0"/>
    <w:rsid w:val="007A0201"/>
    <w:rsid w:val="007A0961"/>
    <w:rsid w:val="007A0B7D"/>
    <w:rsid w:val="007A112B"/>
    <w:rsid w:val="007A137C"/>
    <w:rsid w:val="007A1415"/>
    <w:rsid w:val="007A206E"/>
    <w:rsid w:val="007A2602"/>
    <w:rsid w:val="007A2694"/>
    <w:rsid w:val="007A359B"/>
    <w:rsid w:val="007A3D86"/>
    <w:rsid w:val="007A4054"/>
    <w:rsid w:val="007A427E"/>
    <w:rsid w:val="007A4557"/>
    <w:rsid w:val="007A4C84"/>
    <w:rsid w:val="007A57C9"/>
    <w:rsid w:val="007A5901"/>
    <w:rsid w:val="007A6379"/>
    <w:rsid w:val="007A6D15"/>
    <w:rsid w:val="007A6ED8"/>
    <w:rsid w:val="007A7172"/>
    <w:rsid w:val="007A71CD"/>
    <w:rsid w:val="007A7A77"/>
    <w:rsid w:val="007B006E"/>
    <w:rsid w:val="007B07CE"/>
    <w:rsid w:val="007B0880"/>
    <w:rsid w:val="007B0BA9"/>
    <w:rsid w:val="007B0ED7"/>
    <w:rsid w:val="007B16E6"/>
    <w:rsid w:val="007B19DE"/>
    <w:rsid w:val="007B2B6C"/>
    <w:rsid w:val="007B2D74"/>
    <w:rsid w:val="007B36A5"/>
    <w:rsid w:val="007B381A"/>
    <w:rsid w:val="007B3CF5"/>
    <w:rsid w:val="007B4F32"/>
    <w:rsid w:val="007B4FEA"/>
    <w:rsid w:val="007B5D48"/>
    <w:rsid w:val="007B6FE0"/>
    <w:rsid w:val="007B7036"/>
    <w:rsid w:val="007B7404"/>
    <w:rsid w:val="007B7519"/>
    <w:rsid w:val="007B7F7B"/>
    <w:rsid w:val="007C0247"/>
    <w:rsid w:val="007C02F2"/>
    <w:rsid w:val="007C084C"/>
    <w:rsid w:val="007C09C9"/>
    <w:rsid w:val="007C09CF"/>
    <w:rsid w:val="007C0B4A"/>
    <w:rsid w:val="007C13AA"/>
    <w:rsid w:val="007C21CA"/>
    <w:rsid w:val="007C25D3"/>
    <w:rsid w:val="007C2B63"/>
    <w:rsid w:val="007C2D1D"/>
    <w:rsid w:val="007C2EF6"/>
    <w:rsid w:val="007C3662"/>
    <w:rsid w:val="007C3B04"/>
    <w:rsid w:val="007C3E31"/>
    <w:rsid w:val="007C47CE"/>
    <w:rsid w:val="007C54A3"/>
    <w:rsid w:val="007C56AD"/>
    <w:rsid w:val="007C5905"/>
    <w:rsid w:val="007C6534"/>
    <w:rsid w:val="007C65B8"/>
    <w:rsid w:val="007C7338"/>
    <w:rsid w:val="007D02A6"/>
    <w:rsid w:val="007D033E"/>
    <w:rsid w:val="007D0375"/>
    <w:rsid w:val="007D039E"/>
    <w:rsid w:val="007D0A4D"/>
    <w:rsid w:val="007D0FD1"/>
    <w:rsid w:val="007D1529"/>
    <w:rsid w:val="007D16BC"/>
    <w:rsid w:val="007D1BD2"/>
    <w:rsid w:val="007D1D73"/>
    <w:rsid w:val="007D20A0"/>
    <w:rsid w:val="007D3A89"/>
    <w:rsid w:val="007D3DAF"/>
    <w:rsid w:val="007D3FD2"/>
    <w:rsid w:val="007D415F"/>
    <w:rsid w:val="007D455B"/>
    <w:rsid w:val="007D4E6F"/>
    <w:rsid w:val="007D4F50"/>
    <w:rsid w:val="007D5859"/>
    <w:rsid w:val="007D591D"/>
    <w:rsid w:val="007D5E7C"/>
    <w:rsid w:val="007D5FD0"/>
    <w:rsid w:val="007D61D0"/>
    <w:rsid w:val="007D649F"/>
    <w:rsid w:val="007D6CC3"/>
    <w:rsid w:val="007D7C7C"/>
    <w:rsid w:val="007D7EAE"/>
    <w:rsid w:val="007D7EDA"/>
    <w:rsid w:val="007E0172"/>
    <w:rsid w:val="007E0239"/>
    <w:rsid w:val="007E05E6"/>
    <w:rsid w:val="007E089A"/>
    <w:rsid w:val="007E0A2F"/>
    <w:rsid w:val="007E0A37"/>
    <w:rsid w:val="007E1045"/>
    <w:rsid w:val="007E109B"/>
    <w:rsid w:val="007E1C6F"/>
    <w:rsid w:val="007E20CD"/>
    <w:rsid w:val="007E24F2"/>
    <w:rsid w:val="007E2772"/>
    <w:rsid w:val="007E29D5"/>
    <w:rsid w:val="007E3032"/>
    <w:rsid w:val="007E3295"/>
    <w:rsid w:val="007E57C9"/>
    <w:rsid w:val="007E5895"/>
    <w:rsid w:val="007E5BE5"/>
    <w:rsid w:val="007E5CDC"/>
    <w:rsid w:val="007E5EF5"/>
    <w:rsid w:val="007E688E"/>
    <w:rsid w:val="007E6DE2"/>
    <w:rsid w:val="007E7164"/>
    <w:rsid w:val="007E71CA"/>
    <w:rsid w:val="007E79C9"/>
    <w:rsid w:val="007E7AE7"/>
    <w:rsid w:val="007F01BA"/>
    <w:rsid w:val="007F0535"/>
    <w:rsid w:val="007F08B5"/>
    <w:rsid w:val="007F150A"/>
    <w:rsid w:val="007F1556"/>
    <w:rsid w:val="007F1586"/>
    <w:rsid w:val="007F15D6"/>
    <w:rsid w:val="007F18D9"/>
    <w:rsid w:val="007F35DC"/>
    <w:rsid w:val="007F3D0C"/>
    <w:rsid w:val="007F433A"/>
    <w:rsid w:val="007F48E5"/>
    <w:rsid w:val="007F4B43"/>
    <w:rsid w:val="007F500A"/>
    <w:rsid w:val="007F56A6"/>
    <w:rsid w:val="007F5CAE"/>
    <w:rsid w:val="007F5F86"/>
    <w:rsid w:val="007F6811"/>
    <w:rsid w:val="007F6C73"/>
    <w:rsid w:val="007F712B"/>
    <w:rsid w:val="007F757D"/>
    <w:rsid w:val="007F7B03"/>
    <w:rsid w:val="00800156"/>
    <w:rsid w:val="008001BF"/>
    <w:rsid w:val="008001F1"/>
    <w:rsid w:val="008003C5"/>
    <w:rsid w:val="00800928"/>
    <w:rsid w:val="00800E80"/>
    <w:rsid w:val="008013E8"/>
    <w:rsid w:val="008016B6"/>
    <w:rsid w:val="00801703"/>
    <w:rsid w:val="00802493"/>
    <w:rsid w:val="00802C11"/>
    <w:rsid w:val="00803A35"/>
    <w:rsid w:val="00803C04"/>
    <w:rsid w:val="00803D58"/>
    <w:rsid w:val="00804011"/>
    <w:rsid w:val="0080604F"/>
    <w:rsid w:val="0080669D"/>
    <w:rsid w:val="008073D1"/>
    <w:rsid w:val="008077ED"/>
    <w:rsid w:val="008104AB"/>
    <w:rsid w:val="00810884"/>
    <w:rsid w:val="00810B37"/>
    <w:rsid w:val="00811A6C"/>
    <w:rsid w:val="00811F71"/>
    <w:rsid w:val="0081297B"/>
    <w:rsid w:val="00812A3D"/>
    <w:rsid w:val="00812A5D"/>
    <w:rsid w:val="0081303F"/>
    <w:rsid w:val="008132AC"/>
    <w:rsid w:val="00813485"/>
    <w:rsid w:val="008136DA"/>
    <w:rsid w:val="00814BE1"/>
    <w:rsid w:val="00815120"/>
    <w:rsid w:val="008157BC"/>
    <w:rsid w:val="00815900"/>
    <w:rsid w:val="00815CAC"/>
    <w:rsid w:val="00815D42"/>
    <w:rsid w:val="008163D4"/>
    <w:rsid w:val="00816BB6"/>
    <w:rsid w:val="00817AE5"/>
    <w:rsid w:val="00820140"/>
    <w:rsid w:val="00820182"/>
    <w:rsid w:val="008203F3"/>
    <w:rsid w:val="008205CD"/>
    <w:rsid w:val="00820759"/>
    <w:rsid w:val="0082081E"/>
    <w:rsid w:val="0082153C"/>
    <w:rsid w:val="008216A0"/>
    <w:rsid w:val="00821D88"/>
    <w:rsid w:val="00823052"/>
    <w:rsid w:val="008246C8"/>
    <w:rsid w:val="00824820"/>
    <w:rsid w:val="00824D27"/>
    <w:rsid w:val="00825371"/>
    <w:rsid w:val="00825812"/>
    <w:rsid w:val="00825C0C"/>
    <w:rsid w:val="00825F4B"/>
    <w:rsid w:val="0082642F"/>
    <w:rsid w:val="00826774"/>
    <w:rsid w:val="00826BC1"/>
    <w:rsid w:val="008271B3"/>
    <w:rsid w:val="00827427"/>
    <w:rsid w:val="00827452"/>
    <w:rsid w:val="0082753B"/>
    <w:rsid w:val="00827777"/>
    <w:rsid w:val="00827DE9"/>
    <w:rsid w:val="00830188"/>
    <w:rsid w:val="00830985"/>
    <w:rsid w:val="00830B5A"/>
    <w:rsid w:val="00830D47"/>
    <w:rsid w:val="00830DCF"/>
    <w:rsid w:val="008323A5"/>
    <w:rsid w:val="008323EB"/>
    <w:rsid w:val="008324ED"/>
    <w:rsid w:val="008334F3"/>
    <w:rsid w:val="0083352A"/>
    <w:rsid w:val="008339DC"/>
    <w:rsid w:val="00833FBF"/>
    <w:rsid w:val="00834B2A"/>
    <w:rsid w:val="00835442"/>
    <w:rsid w:val="008356F6"/>
    <w:rsid w:val="00835CF4"/>
    <w:rsid w:val="00835D22"/>
    <w:rsid w:val="00835EAF"/>
    <w:rsid w:val="00836093"/>
    <w:rsid w:val="008361C9"/>
    <w:rsid w:val="00836284"/>
    <w:rsid w:val="00836AFE"/>
    <w:rsid w:val="00836C79"/>
    <w:rsid w:val="008375B5"/>
    <w:rsid w:val="00837E22"/>
    <w:rsid w:val="00837F49"/>
    <w:rsid w:val="008402B3"/>
    <w:rsid w:val="00840505"/>
    <w:rsid w:val="00840FCE"/>
    <w:rsid w:val="008411FC"/>
    <w:rsid w:val="008413D6"/>
    <w:rsid w:val="00841BC9"/>
    <w:rsid w:val="00841C7E"/>
    <w:rsid w:val="00842049"/>
    <w:rsid w:val="00842290"/>
    <w:rsid w:val="00843988"/>
    <w:rsid w:val="00843C5D"/>
    <w:rsid w:val="00843DDD"/>
    <w:rsid w:val="00845D8D"/>
    <w:rsid w:val="0084615A"/>
    <w:rsid w:val="00846371"/>
    <w:rsid w:val="008472FF"/>
    <w:rsid w:val="0084754D"/>
    <w:rsid w:val="00847837"/>
    <w:rsid w:val="00847A13"/>
    <w:rsid w:val="00847D1D"/>
    <w:rsid w:val="00847DB3"/>
    <w:rsid w:val="008508DE"/>
    <w:rsid w:val="00851825"/>
    <w:rsid w:val="008518B2"/>
    <w:rsid w:val="00852C2D"/>
    <w:rsid w:val="00853AC2"/>
    <w:rsid w:val="00853B14"/>
    <w:rsid w:val="00853C86"/>
    <w:rsid w:val="0085444B"/>
    <w:rsid w:val="00854869"/>
    <w:rsid w:val="00854870"/>
    <w:rsid w:val="0085495E"/>
    <w:rsid w:val="00855BA9"/>
    <w:rsid w:val="008562EA"/>
    <w:rsid w:val="008566DE"/>
    <w:rsid w:val="00856761"/>
    <w:rsid w:val="00857381"/>
    <w:rsid w:val="00857386"/>
    <w:rsid w:val="00860C02"/>
    <w:rsid w:val="00862B50"/>
    <w:rsid w:val="00862F6E"/>
    <w:rsid w:val="00863E8A"/>
    <w:rsid w:val="008640AE"/>
    <w:rsid w:val="008644DF"/>
    <w:rsid w:val="0086458E"/>
    <w:rsid w:val="008648E2"/>
    <w:rsid w:val="00864AF5"/>
    <w:rsid w:val="00864E50"/>
    <w:rsid w:val="00864F85"/>
    <w:rsid w:val="0086526D"/>
    <w:rsid w:val="00866348"/>
    <w:rsid w:val="00866B5F"/>
    <w:rsid w:val="00867474"/>
    <w:rsid w:val="008677C2"/>
    <w:rsid w:val="0086785F"/>
    <w:rsid w:val="008679A6"/>
    <w:rsid w:val="00867AFF"/>
    <w:rsid w:val="00867BAD"/>
    <w:rsid w:val="00870358"/>
    <w:rsid w:val="00870474"/>
    <w:rsid w:val="008706F6"/>
    <w:rsid w:val="00870B4D"/>
    <w:rsid w:val="0087119E"/>
    <w:rsid w:val="00871B53"/>
    <w:rsid w:val="00871C1A"/>
    <w:rsid w:val="008722DD"/>
    <w:rsid w:val="00872B91"/>
    <w:rsid w:val="00874579"/>
    <w:rsid w:val="0087515E"/>
    <w:rsid w:val="008757C4"/>
    <w:rsid w:val="00875C1D"/>
    <w:rsid w:val="008762F5"/>
    <w:rsid w:val="008765A2"/>
    <w:rsid w:val="00876709"/>
    <w:rsid w:val="0087670F"/>
    <w:rsid w:val="008776C9"/>
    <w:rsid w:val="00877925"/>
    <w:rsid w:val="00877946"/>
    <w:rsid w:val="008779DB"/>
    <w:rsid w:val="008808A9"/>
    <w:rsid w:val="00880A09"/>
    <w:rsid w:val="00880B37"/>
    <w:rsid w:val="00880BF4"/>
    <w:rsid w:val="00880D3A"/>
    <w:rsid w:val="00881054"/>
    <w:rsid w:val="00881BA6"/>
    <w:rsid w:val="00882520"/>
    <w:rsid w:val="00882711"/>
    <w:rsid w:val="00882BB0"/>
    <w:rsid w:val="00882D93"/>
    <w:rsid w:val="0088359A"/>
    <w:rsid w:val="00883D55"/>
    <w:rsid w:val="00884A7B"/>
    <w:rsid w:val="00884DC4"/>
    <w:rsid w:val="00884F31"/>
    <w:rsid w:val="00885D04"/>
    <w:rsid w:val="00886CDF"/>
    <w:rsid w:val="008874D2"/>
    <w:rsid w:val="00887877"/>
    <w:rsid w:val="00887926"/>
    <w:rsid w:val="00887A5F"/>
    <w:rsid w:val="00887C0A"/>
    <w:rsid w:val="00887EAD"/>
    <w:rsid w:val="00890444"/>
    <w:rsid w:val="0089067B"/>
    <w:rsid w:val="00891068"/>
    <w:rsid w:val="00891902"/>
    <w:rsid w:val="00891B31"/>
    <w:rsid w:val="00892C49"/>
    <w:rsid w:val="00892E96"/>
    <w:rsid w:val="00893523"/>
    <w:rsid w:val="008936D3"/>
    <w:rsid w:val="00893BF1"/>
    <w:rsid w:val="00893C4D"/>
    <w:rsid w:val="0089487D"/>
    <w:rsid w:val="00894A4A"/>
    <w:rsid w:val="00894C49"/>
    <w:rsid w:val="00894D2E"/>
    <w:rsid w:val="00894F85"/>
    <w:rsid w:val="008953FA"/>
    <w:rsid w:val="00895A58"/>
    <w:rsid w:val="00896082"/>
    <w:rsid w:val="0089735A"/>
    <w:rsid w:val="0089752D"/>
    <w:rsid w:val="008A004A"/>
    <w:rsid w:val="008A01F7"/>
    <w:rsid w:val="008A0420"/>
    <w:rsid w:val="008A060D"/>
    <w:rsid w:val="008A093E"/>
    <w:rsid w:val="008A0E7E"/>
    <w:rsid w:val="008A12C6"/>
    <w:rsid w:val="008A1FF3"/>
    <w:rsid w:val="008A23A5"/>
    <w:rsid w:val="008A286E"/>
    <w:rsid w:val="008A2A27"/>
    <w:rsid w:val="008A2BAC"/>
    <w:rsid w:val="008A3777"/>
    <w:rsid w:val="008A38A3"/>
    <w:rsid w:val="008A421F"/>
    <w:rsid w:val="008A456E"/>
    <w:rsid w:val="008A4624"/>
    <w:rsid w:val="008A4719"/>
    <w:rsid w:val="008A49B4"/>
    <w:rsid w:val="008A50A1"/>
    <w:rsid w:val="008A56D4"/>
    <w:rsid w:val="008A5AC2"/>
    <w:rsid w:val="008A60D6"/>
    <w:rsid w:val="008A628F"/>
    <w:rsid w:val="008A646B"/>
    <w:rsid w:val="008A73F2"/>
    <w:rsid w:val="008A7867"/>
    <w:rsid w:val="008A7927"/>
    <w:rsid w:val="008A79B5"/>
    <w:rsid w:val="008B0211"/>
    <w:rsid w:val="008B0526"/>
    <w:rsid w:val="008B0DC9"/>
    <w:rsid w:val="008B1447"/>
    <w:rsid w:val="008B2884"/>
    <w:rsid w:val="008B2C09"/>
    <w:rsid w:val="008B31A9"/>
    <w:rsid w:val="008B330F"/>
    <w:rsid w:val="008B40A2"/>
    <w:rsid w:val="008B4280"/>
    <w:rsid w:val="008B42FD"/>
    <w:rsid w:val="008B4316"/>
    <w:rsid w:val="008B4678"/>
    <w:rsid w:val="008B5A7A"/>
    <w:rsid w:val="008B5F94"/>
    <w:rsid w:val="008B6750"/>
    <w:rsid w:val="008B6AD7"/>
    <w:rsid w:val="008B7381"/>
    <w:rsid w:val="008B7425"/>
    <w:rsid w:val="008B74FD"/>
    <w:rsid w:val="008B7C6F"/>
    <w:rsid w:val="008C0150"/>
    <w:rsid w:val="008C0211"/>
    <w:rsid w:val="008C071B"/>
    <w:rsid w:val="008C0F3B"/>
    <w:rsid w:val="008C257D"/>
    <w:rsid w:val="008C2D31"/>
    <w:rsid w:val="008C36A6"/>
    <w:rsid w:val="008C3837"/>
    <w:rsid w:val="008C3D8B"/>
    <w:rsid w:val="008C424F"/>
    <w:rsid w:val="008C4254"/>
    <w:rsid w:val="008C4470"/>
    <w:rsid w:val="008C4839"/>
    <w:rsid w:val="008C4CAC"/>
    <w:rsid w:val="008C5F68"/>
    <w:rsid w:val="008C60C7"/>
    <w:rsid w:val="008C622E"/>
    <w:rsid w:val="008C62E1"/>
    <w:rsid w:val="008C6417"/>
    <w:rsid w:val="008C6ACC"/>
    <w:rsid w:val="008C7424"/>
    <w:rsid w:val="008C7BD1"/>
    <w:rsid w:val="008C7D6C"/>
    <w:rsid w:val="008D0684"/>
    <w:rsid w:val="008D08F4"/>
    <w:rsid w:val="008D10D2"/>
    <w:rsid w:val="008D196E"/>
    <w:rsid w:val="008D1ED9"/>
    <w:rsid w:val="008D26E2"/>
    <w:rsid w:val="008D2B9B"/>
    <w:rsid w:val="008D309E"/>
    <w:rsid w:val="008D3199"/>
    <w:rsid w:val="008D3573"/>
    <w:rsid w:val="008D392E"/>
    <w:rsid w:val="008D448E"/>
    <w:rsid w:val="008D45F8"/>
    <w:rsid w:val="008D5D8F"/>
    <w:rsid w:val="008D5FA9"/>
    <w:rsid w:val="008D61D2"/>
    <w:rsid w:val="008D65F9"/>
    <w:rsid w:val="008E118F"/>
    <w:rsid w:val="008E20B7"/>
    <w:rsid w:val="008E33C5"/>
    <w:rsid w:val="008E35B6"/>
    <w:rsid w:val="008E36A2"/>
    <w:rsid w:val="008E4197"/>
    <w:rsid w:val="008E43CE"/>
    <w:rsid w:val="008E4F0A"/>
    <w:rsid w:val="008E5ABA"/>
    <w:rsid w:val="008E5CC7"/>
    <w:rsid w:val="008E663E"/>
    <w:rsid w:val="008E6C2C"/>
    <w:rsid w:val="008E6EF3"/>
    <w:rsid w:val="008E72C0"/>
    <w:rsid w:val="008E776D"/>
    <w:rsid w:val="008E780C"/>
    <w:rsid w:val="008F0442"/>
    <w:rsid w:val="008F053C"/>
    <w:rsid w:val="008F0711"/>
    <w:rsid w:val="008F0C13"/>
    <w:rsid w:val="008F13A8"/>
    <w:rsid w:val="008F145E"/>
    <w:rsid w:val="008F1C34"/>
    <w:rsid w:val="008F1D60"/>
    <w:rsid w:val="008F24C3"/>
    <w:rsid w:val="008F25C9"/>
    <w:rsid w:val="008F2A89"/>
    <w:rsid w:val="008F2B20"/>
    <w:rsid w:val="008F2D56"/>
    <w:rsid w:val="008F34A0"/>
    <w:rsid w:val="008F4530"/>
    <w:rsid w:val="008F4941"/>
    <w:rsid w:val="008F4D17"/>
    <w:rsid w:val="008F4EAB"/>
    <w:rsid w:val="008F5314"/>
    <w:rsid w:val="008F5B75"/>
    <w:rsid w:val="008F6985"/>
    <w:rsid w:val="008F6E38"/>
    <w:rsid w:val="008F774B"/>
    <w:rsid w:val="008F77F1"/>
    <w:rsid w:val="008F7A25"/>
    <w:rsid w:val="008F7EE8"/>
    <w:rsid w:val="00900C4B"/>
    <w:rsid w:val="00901166"/>
    <w:rsid w:val="00901785"/>
    <w:rsid w:val="009021A6"/>
    <w:rsid w:val="009024BA"/>
    <w:rsid w:val="0090252C"/>
    <w:rsid w:val="0090298B"/>
    <w:rsid w:val="00902E92"/>
    <w:rsid w:val="00903054"/>
    <w:rsid w:val="009031E8"/>
    <w:rsid w:val="0090392E"/>
    <w:rsid w:val="00904441"/>
    <w:rsid w:val="009050DA"/>
    <w:rsid w:val="0090515E"/>
    <w:rsid w:val="009054E2"/>
    <w:rsid w:val="00906BC4"/>
    <w:rsid w:val="00906F2A"/>
    <w:rsid w:val="00907453"/>
    <w:rsid w:val="00907744"/>
    <w:rsid w:val="00907A02"/>
    <w:rsid w:val="00907B36"/>
    <w:rsid w:val="00910657"/>
    <w:rsid w:val="00911389"/>
    <w:rsid w:val="009118A6"/>
    <w:rsid w:val="00911FB4"/>
    <w:rsid w:val="0091249F"/>
    <w:rsid w:val="0091281E"/>
    <w:rsid w:val="00912CF6"/>
    <w:rsid w:val="00912F27"/>
    <w:rsid w:val="00913072"/>
    <w:rsid w:val="00913414"/>
    <w:rsid w:val="00913582"/>
    <w:rsid w:val="009139EC"/>
    <w:rsid w:val="00913C40"/>
    <w:rsid w:val="00914428"/>
    <w:rsid w:val="0091478F"/>
    <w:rsid w:val="0091535C"/>
    <w:rsid w:val="009153F9"/>
    <w:rsid w:val="00915588"/>
    <w:rsid w:val="0091560A"/>
    <w:rsid w:val="00915C1F"/>
    <w:rsid w:val="00915DDE"/>
    <w:rsid w:val="0091662B"/>
    <w:rsid w:val="009166C6"/>
    <w:rsid w:val="00916AFB"/>
    <w:rsid w:val="00916B0B"/>
    <w:rsid w:val="00916DC4"/>
    <w:rsid w:val="009174DD"/>
    <w:rsid w:val="0092029D"/>
    <w:rsid w:val="00920869"/>
    <w:rsid w:val="00920FA2"/>
    <w:rsid w:val="009211CA"/>
    <w:rsid w:val="009214D8"/>
    <w:rsid w:val="0092194D"/>
    <w:rsid w:val="00921D28"/>
    <w:rsid w:val="009220A6"/>
    <w:rsid w:val="009228D5"/>
    <w:rsid w:val="00923048"/>
    <w:rsid w:val="009238A1"/>
    <w:rsid w:val="00923B11"/>
    <w:rsid w:val="009244A5"/>
    <w:rsid w:val="00924EB2"/>
    <w:rsid w:val="00924FC5"/>
    <w:rsid w:val="00925A58"/>
    <w:rsid w:val="00925DCF"/>
    <w:rsid w:val="009263EC"/>
    <w:rsid w:val="009268C1"/>
    <w:rsid w:val="00926A58"/>
    <w:rsid w:val="009274C9"/>
    <w:rsid w:val="00927C56"/>
    <w:rsid w:val="00930222"/>
    <w:rsid w:val="00930270"/>
    <w:rsid w:val="0093068F"/>
    <w:rsid w:val="00930CCB"/>
    <w:rsid w:val="0093134C"/>
    <w:rsid w:val="00931440"/>
    <w:rsid w:val="00931628"/>
    <w:rsid w:val="00932028"/>
    <w:rsid w:val="009324B4"/>
    <w:rsid w:val="00932642"/>
    <w:rsid w:val="00932B78"/>
    <w:rsid w:val="00932D59"/>
    <w:rsid w:val="00932F05"/>
    <w:rsid w:val="00932F2A"/>
    <w:rsid w:val="00933076"/>
    <w:rsid w:val="009330EB"/>
    <w:rsid w:val="0093483F"/>
    <w:rsid w:val="00934995"/>
    <w:rsid w:val="00934B82"/>
    <w:rsid w:val="00934C07"/>
    <w:rsid w:val="00935457"/>
    <w:rsid w:val="00935D7F"/>
    <w:rsid w:val="00936044"/>
    <w:rsid w:val="00936387"/>
    <w:rsid w:val="00936C8B"/>
    <w:rsid w:val="00936F1A"/>
    <w:rsid w:val="0093739E"/>
    <w:rsid w:val="009400A2"/>
    <w:rsid w:val="009405A8"/>
    <w:rsid w:val="00940D3A"/>
    <w:rsid w:val="009424FD"/>
    <w:rsid w:val="0094389D"/>
    <w:rsid w:val="00944302"/>
    <w:rsid w:val="00944D7D"/>
    <w:rsid w:val="00944E59"/>
    <w:rsid w:val="009450A9"/>
    <w:rsid w:val="00945176"/>
    <w:rsid w:val="00945329"/>
    <w:rsid w:val="00945631"/>
    <w:rsid w:val="00945859"/>
    <w:rsid w:val="00945910"/>
    <w:rsid w:val="00945CA0"/>
    <w:rsid w:val="00945F07"/>
    <w:rsid w:val="00946B9B"/>
    <w:rsid w:val="0094742B"/>
    <w:rsid w:val="00947879"/>
    <w:rsid w:val="00947D5C"/>
    <w:rsid w:val="0095028C"/>
    <w:rsid w:val="009503C7"/>
    <w:rsid w:val="009508D1"/>
    <w:rsid w:val="00950A90"/>
    <w:rsid w:val="009524F0"/>
    <w:rsid w:val="00952C34"/>
    <w:rsid w:val="00952DA9"/>
    <w:rsid w:val="00953124"/>
    <w:rsid w:val="00953C0C"/>
    <w:rsid w:val="00953D26"/>
    <w:rsid w:val="00954D30"/>
    <w:rsid w:val="00955048"/>
    <w:rsid w:val="0095557D"/>
    <w:rsid w:val="009560BA"/>
    <w:rsid w:val="0095644E"/>
    <w:rsid w:val="00956F36"/>
    <w:rsid w:val="00957547"/>
    <w:rsid w:val="0095780B"/>
    <w:rsid w:val="00957B1B"/>
    <w:rsid w:val="009601C9"/>
    <w:rsid w:val="009602D3"/>
    <w:rsid w:val="0096048E"/>
    <w:rsid w:val="00960D3E"/>
    <w:rsid w:val="00960D97"/>
    <w:rsid w:val="009613D2"/>
    <w:rsid w:val="00961786"/>
    <w:rsid w:val="00961A0E"/>
    <w:rsid w:val="00961FDE"/>
    <w:rsid w:val="009626ED"/>
    <w:rsid w:val="00962881"/>
    <w:rsid w:val="00962A27"/>
    <w:rsid w:val="00962DC4"/>
    <w:rsid w:val="00962E56"/>
    <w:rsid w:val="00963A89"/>
    <w:rsid w:val="009645AB"/>
    <w:rsid w:val="00964F88"/>
    <w:rsid w:val="009650AA"/>
    <w:rsid w:val="00965516"/>
    <w:rsid w:val="009662F1"/>
    <w:rsid w:val="00966743"/>
    <w:rsid w:val="00966C3E"/>
    <w:rsid w:val="00966EC8"/>
    <w:rsid w:val="00966F68"/>
    <w:rsid w:val="00970AEC"/>
    <w:rsid w:val="00970AF9"/>
    <w:rsid w:val="00970D54"/>
    <w:rsid w:val="00970EC3"/>
    <w:rsid w:val="00971485"/>
    <w:rsid w:val="009714AD"/>
    <w:rsid w:val="00971AAB"/>
    <w:rsid w:val="0097271A"/>
    <w:rsid w:val="00972F88"/>
    <w:rsid w:val="00973114"/>
    <w:rsid w:val="009737E3"/>
    <w:rsid w:val="009741A3"/>
    <w:rsid w:val="0097444A"/>
    <w:rsid w:val="00974986"/>
    <w:rsid w:val="009751CB"/>
    <w:rsid w:val="009754A7"/>
    <w:rsid w:val="0097585B"/>
    <w:rsid w:val="00976427"/>
    <w:rsid w:val="00976673"/>
    <w:rsid w:val="00976C54"/>
    <w:rsid w:val="009778F5"/>
    <w:rsid w:val="00980404"/>
    <w:rsid w:val="009810DC"/>
    <w:rsid w:val="0098169A"/>
    <w:rsid w:val="00981AB9"/>
    <w:rsid w:val="00981ADF"/>
    <w:rsid w:val="00981BB7"/>
    <w:rsid w:val="00982300"/>
    <w:rsid w:val="00982439"/>
    <w:rsid w:val="0098287E"/>
    <w:rsid w:val="00983712"/>
    <w:rsid w:val="009839EB"/>
    <w:rsid w:val="00983C3A"/>
    <w:rsid w:val="00984D49"/>
    <w:rsid w:val="009851FD"/>
    <w:rsid w:val="009853A1"/>
    <w:rsid w:val="009858F2"/>
    <w:rsid w:val="00985935"/>
    <w:rsid w:val="00985B7D"/>
    <w:rsid w:val="00985BA4"/>
    <w:rsid w:val="00985C53"/>
    <w:rsid w:val="009861BB"/>
    <w:rsid w:val="0098645F"/>
    <w:rsid w:val="0098654D"/>
    <w:rsid w:val="00986749"/>
    <w:rsid w:val="00987615"/>
    <w:rsid w:val="00987C58"/>
    <w:rsid w:val="00990489"/>
    <w:rsid w:val="0099088A"/>
    <w:rsid w:val="0099169B"/>
    <w:rsid w:val="00991CA7"/>
    <w:rsid w:val="00991CAD"/>
    <w:rsid w:val="00992100"/>
    <w:rsid w:val="009929AD"/>
    <w:rsid w:val="00992B1B"/>
    <w:rsid w:val="00992F31"/>
    <w:rsid w:val="00993184"/>
    <w:rsid w:val="0099321F"/>
    <w:rsid w:val="00993762"/>
    <w:rsid w:val="009950AF"/>
    <w:rsid w:val="00995496"/>
    <w:rsid w:val="00995731"/>
    <w:rsid w:val="00995C94"/>
    <w:rsid w:val="00996A87"/>
    <w:rsid w:val="00996D89"/>
    <w:rsid w:val="00996E10"/>
    <w:rsid w:val="00997106"/>
    <w:rsid w:val="009A0EE8"/>
    <w:rsid w:val="009A0EF0"/>
    <w:rsid w:val="009A169A"/>
    <w:rsid w:val="009A258A"/>
    <w:rsid w:val="009A2812"/>
    <w:rsid w:val="009A2B1B"/>
    <w:rsid w:val="009A35B8"/>
    <w:rsid w:val="009A3839"/>
    <w:rsid w:val="009A39D4"/>
    <w:rsid w:val="009A441B"/>
    <w:rsid w:val="009A45F6"/>
    <w:rsid w:val="009A4C90"/>
    <w:rsid w:val="009A4EB0"/>
    <w:rsid w:val="009A532A"/>
    <w:rsid w:val="009A5F1F"/>
    <w:rsid w:val="009A6097"/>
    <w:rsid w:val="009A6E42"/>
    <w:rsid w:val="009A70F3"/>
    <w:rsid w:val="009A71ED"/>
    <w:rsid w:val="009A7459"/>
    <w:rsid w:val="009A7810"/>
    <w:rsid w:val="009A7978"/>
    <w:rsid w:val="009B0EEF"/>
    <w:rsid w:val="009B14DE"/>
    <w:rsid w:val="009B1645"/>
    <w:rsid w:val="009B17D2"/>
    <w:rsid w:val="009B2A70"/>
    <w:rsid w:val="009B2D94"/>
    <w:rsid w:val="009B2E7B"/>
    <w:rsid w:val="009B3395"/>
    <w:rsid w:val="009B424F"/>
    <w:rsid w:val="009B46B5"/>
    <w:rsid w:val="009B53F6"/>
    <w:rsid w:val="009B58F7"/>
    <w:rsid w:val="009B5AA1"/>
    <w:rsid w:val="009B60DF"/>
    <w:rsid w:val="009B60FD"/>
    <w:rsid w:val="009B610C"/>
    <w:rsid w:val="009B6231"/>
    <w:rsid w:val="009B659A"/>
    <w:rsid w:val="009B65CF"/>
    <w:rsid w:val="009B66DD"/>
    <w:rsid w:val="009B7B90"/>
    <w:rsid w:val="009C0081"/>
    <w:rsid w:val="009C067E"/>
    <w:rsid w:val="009C0DA4"/>
    <w:rsid w:val="009C0E04"/>
    <w:rsid w:val="009C139C"/>
    <w:rsid w:val="009C1D8D"/>
    <w:rsid w:val="009C2579"/>
    <w:rsid w:val="009C2827"/>
    <w:rsid w:val="009C2842"/>
    <w:rsid w:val="009C29DA"/>
    <w:rsid w:val="009C30AA"/>
    <w:rsid w:val="009C3279"/>
    <w:rsid w:val="009C33CE"/>
    <w:rsid w:val="009C4894"/>
    <w:rsid w:val="009C48D0"/>
    <w:rsid w:val="009C4B40"/>
    <w:rsid w:val="009C522C"/>
    <w:rsid w:val="009C548A"/>
    <w:rsid w:val="009C5BD9"/>
    <w:rsid w:val="009C5BF0"/>
    <w:rsid w:val="009C5D6F"/>
    <w:rsid w:val="009C5E00"/>
    <w:rsid w:val="009C6813"/>
    <w:rsid w:val="009C69A1"/>
    <w:rsid w:val="009C6D8C"/>
    <w:rsid w:val="009C75B7"/>
    <w:rsid w:val="009C7A93"/>
    <w:rsid w:val="009C7FEB"/>
    <w:rsid w:val="009D017D"/>
    <w:rsid w:val="009D0CE8"/>
    <w:rsid w:val="009D12A6"/>
    <w:rsid w:val="009D1F2B"/>
    <w:rsid w:val="009D1F32"/>
    <w:rsid w:val="009D2230"/>
    <w:rsid w:val="009D328F"/>
    <w:rsid w:val="009D3AAB"/>
    <w:rsid w:val="009D4220"/>
    <w:rsid w:val="009D471C"/>
    <w:rsid w:val="009D4A99"/>
    <w:rsid w:val="009D4CF1"/>
    <w:rsid w:val="009D50F6"/>
    <w:rsid w:val="009D559F"/>
    <w:rsid w:val="009D5971"/>
    <w:rsid w:val="009D6594"/>
    <w:rsid w:val="009D6CA2"/>
    <w:rsid w:val="009E16FA"/>
    <w:rsid w:val="009E179D"/>
    <w:rsid w:val="009E1C24"/>
    <w:rsid w:val="009E1F25"/>
    <w:rsid w:val="009E2DAC"/>
    <w:rsid w:val="009E3651"/>
    <w:rsid w:val="009E3F80"/>
    <w:rsid w:val="009E40E1"/>
    <w:rsid w:val="009E4601"/>
    <w:rsid w:val="009E5889"/>
    <w:rsid w:val="009E58F9"/>
    <w:rsid w:val="009E5D0E"/>
    <w:rsid w:val="009E67D3"/>
    <w:rsid w:val="009E7109"/>
    <w:rsid w:val="009E757B"/>
    <w:rsid w:val="009E772D"/>
    <w:rsid w:val="009E78B9"/>
    <w:rsid w:val="009E7AD0"/>
    <w:rsid w:val="009F028B"/>
    <w:rsid w:val="009F0361"/>
    <w:rsid w:val="009F13DC"/>
    <w:rsid w:val="009F148C"/>
    <w:rsid w:val="009F2E7D"/>
    <w:rsid w:val="009F336C"/>
    <w:rsid w:val="009F3496"/>
    <w:rsid w:val="009F38B9"/>
    <w:rsid w:val="009F3ADF"/>
    <w:rsid w:val="009F425E"/>
    <w:rsid w:val="009F43DA"/>
    <w:rsid w:val="009F478F"/>
    <w:rsid w:val="009F4AE6"/>
    <w:rsid w:val="009F4CF2"/>
    <w:rsid w:val="009F560D"/>
    <w:rsid w:val="009F5A55"/>
    <w:rsid w:val="009F5F48"/>
    <w:rsid w:val="009F6015"/>
    <w:rsid w:val="009F6485"/>
    <w:rsid w:val="009F68E3"/>
    <w:rsid w:val="009F7A9E"/>
    <w:rsid w:val="00A005AB"/>
    <w:rsid w:val="00A00825"/>
    <w:rsid w:val="00A00A35"/>
    <w:rsid w:val="00A00ADC"/>
    <w:rsid w:val="00A00C05"/>
    <w:rsid w:val="00A00D25"/>
    <w:rsid w:val="00A0114E"/>
    <w:rsid w:val="00A01A8C"/>
    <w:rsid w:val="00A01CA8"/>
    <w:rsid w:val="00A036D5"/>
    <w:rsid w:val="00A03C97"/>
    <w:rsid w:val="00A03CA3"/>
    <w:rsid w:val="00A03D07"/>
    <w:rsid w:val="00A04842"/>
    <w:rsid w:val="00A06A9D"/>
    <w:rsid w:val="00A06B9F"/>
    <w:rsid w:val="00A07417"/>
    <w:rsid w:val="00A074C3"/>
    <w:rsid w:val="00A076B8"/>
    <w:rsid w:val="00A07C8E"/>
    <w:rsid w:val="00A11571"/>
    <w:rsid w:val="00A11884"/>
    <w:rsid w:val="00A11A33"/>
    <w:rsid w:val="00A11A42"/>
    <w:rsid w:val="00A1232F"/>
    <w:rsid w:val="00A12AC9"/>
    <w:rsid w:val="00A13E4B"/>
    <w:rsid w:val="00A143BD"/>
    <w:rsid w:val="00A14A93"/>
    <w:rsid w:val="00A15963"/>
    <w:rsid w:val="00A172FD"/>
    <w:rsid w:val="00A179D5"/>
    <w:rsid w:val="00A17B54"/>
    <w:rsid w:val="00A21092"/>
    <w:rsid w:val="00A21610"/>
    <w:rsid w:val="00A2249E"/>
    <w:rsid w:val="00A2268C"/>
    <w:rsid w:val="00A233F7"/>
    <w:rsid w:val="00A2367C"/>
    <w:rsid w:val="00A23822"/>
    <w:rsid w:val="00A23892"/>
    <w:rsid w:val="00A23B0A"/>
    <w:rsid w:val="00A24809"/>
    <w:rsid w:val="00A24969"/>
    <w:rsid w:val="00A252F0"/>
    <w:rsid w:val="00A2595C"/>
    <w:rsid w:val="00A25B9A"/>
    <w:rsid w:val="00A25C22"/>
    <w:rsid w:val="00A25E6F"/>
    <w:rsid w:val="00A26192"/>
    <w:rsid w:val="00A26354"/>
    <w:rsid w:val="00A263A9"/>
    <w:rsid w:val="00A2732F"/>
    <w:rsid w:val="00A277E2"/>
    <w:rsid w:val="00A2798B"/>
    <w:rsid w:val="00A27A6C"/>
    <w:rsid w:val="00A300C4"/>
    <w:rsid w:val="00A30D2B"/>
    <w:rsid w:val="00A31140"/>
    <w:rsid w:val="00A317AE"/>
    <w:rsid w:val="00A31B9A"/>
    <w:rsid w:val="00A31D16"/>
    <w:rsid w:val="00A31FC3"/>
    <w:rsid w:val="00A322EA"/>
    <w:rsid w:val="00A32622"/>
    <w:rsid w:val="00A3352E"/>
    <w:rsid w:val="00A335CF"/>
    <w:rsid w:val="00A33AA7"/>
    <w:rsid w:val="00A33BAF"/>
    <w:rsid w:val="00A33DA6"/>
    <w:rsid w:val="00A34308"/>
    <w:rsid w:val="00A34D8B"/>
    <w:rsid w:val="00A34F88"/>
    <w:rsid w:val="00A35172"/>
    <w:rsid w:val="00A354CE"/>
    <w:rsid w:val="00A35591"/>
    <w:rsid w:val="00A3585D"/>
    <w:rsid w:val="00A360AC"/>
    <w:rsid w:val="00A36EFB"/>
    <w:rsid w:val="00A37259"/>
    <w:rsid w:val="00A40428"/>
    <w:rsid w:val="00A406B5"/>
    <w:rsid w:val="00A407C3"/>
    <w:rsid w:val="00A4149F"/>
    <w:rsid w:val="00A4180D"/>
    <w:rsid w:val="00A4240A"/>
    <w:rsid w:val="00A42434"/>
    <w:rsid w:val="00A4469E"/>
    <w:rsid w:val="00A44B08"/>
    <w:rsid w:val="00A45770"/>
    <w:rsid w:val="00A45EF5"/>
    <w:rsid w:val="00A46170"/>
    <w:rsid w:val="00A463DD"/>
    <w:rsid w:val="00A46446"/>
    <w:rsid w:val="00A468B3"/>
    <w:rsid w:val="00A4692B"/>
    <w:rsid w:val="00A469C2"/>
    <w:rsid w:val="00A46D12"/>
    <w:rsid w:val="00A474C3"/>
    <w:rsid w:val="00A479C2"/>
    <w:rsid w:val="00A47A8A"/>
    <w:rsid w:val="00A50084"/>
    <w:rsid w:val="00A50675"/>
    <w:rsid w:val="00A50FBB"/>
    <w:rsid w:val="00A51241"/>
    <w:rsid w:val="00A512E4"/>
    <w:rsid w:val="00A51C6F"/>
    <w:rsid w:val="00A51CE3"/>
    <w:rsid w:val="00A52046"/>
    <w:rsid w:val="00A52114"/>
    <w:rsid w:val="00A52615"/>
    <w:rsid w:val="00A533C2"/>
    <w:rsid w:val="00A53793"/>
    <w:rsid w:val="00A53E56"/>
    <w:rsid w:val="00A5459C"/>
    <w:rsid w:val="00A548FF"/>
    <w:rsid w:val="00A553A9"/>
    <w:rsid w:val="00A55DFC"/>
    <w:rsid w:val="00A564FD"/>
    <w:rsid w:val="00A569E3"/>
    <w:rsid w:val="00A57952"/>
    <w:rsid w:val="00A57DA7"/>
    <w:rsid w:val="00A6147E"/>
    <w:rsid w:val="00A61560"/>
    <w:rsid w:val="00A62527"/>
    <w:rsid w:val="00A6282A"/>
    <w:rsid w:val="00A62990"/>
    <w:rsid w:val="00A63CDD"/>
    <w:rsid w:val="00A63E2B"/>
    <w:rsid w:val="00A64EC7"/>
    <w:rsid w:val="00A6505D"/>
    <w:rsid w:val="00A651BA"/>
    <w:rsid w:val="00A65E8A"/>
    <w:rsid w:val="00A66232"/>
    <w:rsid w:val="00A66BA7"/>
    <w:rsid w:val="00A66D4F"/>
    <w:rsid w:val="00A66EE5"/>
    <w:rsid w:val="00A67B1D"/>
    <w:rsid w:val="00A706E0"/>
    <w:rsid w:val="00A706EA"/>
    <w:rsid w:val="00A70742"/>
    <w:rsid w:val="00A707D6"/>
    <w:rsid w:val="00A7082B"/>
    <w:rsid w:val="00A70BC9"/>
    <w:rsid w:val="00A70CDB"/>
    <w:rsid w:val="00A71043"/>
    <w:rsid w:val="00A710EA"/>
    <w:rsid w:val="00A7280E"/>
    <w:rsid w:val="00A72DFC"/>
    <w:rsid w:val="00A7334D"/>
    <w:rsid w:val="00A73401"/>
    <w:rsid w:val="00A73902"/>
    <w:rsid w:val="00A73BFB"/>
    <w:rsid w:val="00A741FD"/>
    <w:rsid w:val="00A747F5"/>
    <w:rsid w:val="00A74D26"/>
    <w:rsid w:val="00A74FB4"/>
    <w:rsid w:val="00A75A56"/>
    <w:rsid w:val="00A75CB1"/>
    <w:rsid w:val="00A76287"/>
    <w:rsid w:val="00A766DD"/>
    <w:rsid w:val="00A766E5"/>
    <w:rsid w:val="00A76ACA"/>
    <w:rsid w:val="00A770FC"/>
    <w:rsid w:val="00A77651"/>
    <w:rsid w:val="00A77AFA"/>
    <w:rsid w:val="00A803B0"/>
    <w:rsid w:val="00A80637"/>
    <w:rsid w:val="00A8195A"/>
    <w:rsid w:val="00A8233D"/>
    <w:rsid w:val="00A8255C"/>
    <w:rsid w:val="00A82A64"/>
    <w:rsid w:val="00A82EA5"/>
    <w:rsid w:val="00A83AC2"/>
    <w:rsid w:val="00A83B3F"/>
    <w:rsid w:val="00A848F0"/>
    <w:rsid w:val="00A85115"/>
    <w:rsid w:val="00A851DD"/>
    <w:rsid w:val="00A852DC"/>
    <w:rsid w:val="00A85679"/>
    <w:rsid w:val="00A85C36"/>
    <w:rsid w:val="00A85C81"/>
    <w:rsid w:val="00A85D0F"/>
    <w:rsid w:val="00A861EC"/>
    <w:rsid w:val="00A8640B"/>
    <w:rsid w:val="00A8678B"/>
    <w:rsid w:val="00A86BB8"/>
    <w:rsid w:val="00A912B7"/>
    <w:rsid w:val="00A91EE0"/>
    <w:rsid w:val="00A92150"/>
    <w:rsid w:val="00A926AA"/>
    <w:rsid w:val="00A92889"/>
    <w:rsid w:val="00A92A77"/>
    <w:rsid w:val="00A92BA3"/>
    <w:rsid w:val="00A92C43"/>
    <w:rsid w:val="00A92D95"/>
    <w:rsid w:val="00A9375C"/>
    <w:rsid w:val="00A94497"/>
    <w:rsid w:val="00A94D1A"/>
    <w:rsid w:val="00A953C7"/>
    <w:rsid w:val="00A96591"/>
    <w:rsid w:val="00A96799"/>
    <w:rsid w:val="00A96834"/>
    <w:rsid w:val="00A969EB"/>
    <w:rsid w:val="00A96E8A"/>
    <w:rsid w:val="00A96FF0"/>
    <w:rsid w:val="00A971A5"/>
    <w:rsid w:val="00A97313"/>
    <w:rsid w:val="00A973A1"/>
    <w:rsid w:val="00A97C19"/>
    <w:rsid w:val="00A97EEC"/>
    <w:rsid w:val="00A97FB7"/>
    <w:rsid w:val="00AA0262"/>
    <w:rsid w:val="00AA0599"/>
    <w:rsid w:val="00AA0686"/>
    <w:rsid w:val="00AA08E8"/>
    <w:rsid w:val="00AA1940"/>
    <w:rsid w:val="00AA19C5"/>
    <w:rsid w:val="00AA22A7"/>
    <w:rsid w:val="00AA23A8"/>
    <w:rsid w:val="00AA2657"/>
    <w:rsid w:val="00AA27C4"/>
    <w:rsid w:val="00AA2BBE"/>
    <w:rsid w:val="00AA2E9A"/>
    <w:rsid w:val="00AA2FE1"/>
    <w:rsid w:val="00AA327A"/>
    <w:rsid w:val="00AA381F"/>
    <w:rsid w:val="00AA4571"/>
    <w:rsid w:val="00AA46F5"/>
    <w:rsid w:val="00AA4B77"/>
    <w:rsid w:val="00AA4F0D"/>
    <w:rsid w:val="00AA51AD"/>
    <w:rsid w:val="00AA62BB"/>
    <w:rsid w:val="00AA6489"/>
    <w:rsid w:val="00AA6839"/>
    <w:rsid w:val="00AA6BED"/>
    <w:rsid w:val="00AA7FA0"/>
    <w:rsid w:val="00AB020A"/>
    <w:rsid w:val="00AB0494"/>
    <w:rsid w:val="00AB060B"/>
    <w:rsid w:val="00AB1972"/>
    <w:rsid w:val="00AB1F4A"/>
    <w:rsid w:val="00AB232F"/>
    <w:rsid w:val="00AB2593"/>
    <w:rsid w:val="00AB2819"/>
    <w:rsid w:val="00AB2D75"/>
    <w:rsid w:val="00AB3D03"/>
    <w:rsid w:val="00AB4210"/>
    <w:rsid w:val="00AB47F3"/>
    <w:rsid w:val="00AB51B2"/>
    <w:rsid w:val="00AB5330"/>
    <w:rsid w:val="00AB544A"/>
    <w:rsid w:val="00AB58FF"/>
    <w:rsid w:val="00AB5B58"/>
    <w:rsid w:val="00AB624D"/>
    <w:rsid w:val="00AB63D6"/>
    <w:rsid w:val="00AB6F62"/>
    <w:rsid w:val="00AB7FBA"/>
    <w:rsid w:val="00AC0221"/>
    <w:rsid w:val="00AC0C06"/>
    <w:rsid w:val="00AC0E1C"/>
    <w:rsid w:val="00AC1340"/>
    <w:rsid w:val="00AC2005"/>
    <w:rsid w:val="00AC2454"/>
    <w:rsid w:val="00AC246A"/>
    <w:rsid w:val="00AC2641"/>
    <w:rsid w:val="00AC2785"/>
    <w:rsid w:val="00AC2BC4"/>
    <w:rsid w:val="00AC33B1"/>
    <w:rsid w:val="00AC38AC"/>
    <w:rsid w:val="00AC4B41"/>
    <w:rsid w:val="00AC4BB8"/>
    <w:rsid w:val="00AC5A46"/>
    <w:rsid w:val="00AC5CB4"/>
    <w:rsid w:val="00AC6838"/>
    <w:rsid w:val="00AC6B73"/>
    <w:rsid w:val="00AC718B"/>
    <w:rsid w:val="00AC7491"/>
    <w:rsid w:val="00AC76FC"/>
    <w:rsid w:val="00AD0E39"/>
    <w:rsid w:val="00AD1BF2"/>
    <w:rsid w:val="00AD1C5C"/>
    <w:rsid w:val="00AD21C3"/>
    <w:rsid w:val="00AD2652"/>
    <w:rsid w:val="00AD2AE1"/>
    <w:rsid w:val="00AD3856"/>
    <w:rsid w:val="00AD44D8"/>
    <w:rsid w:val="00AD4743"/>
    <w:rsid w:val="00AD4F9F"/>
    <w:rsid w:val="00AD4FB0"/>
    <w:rsid w:val="00AD6463"/>
    <w:rsid w:val="00AD64C4"/>
    <w:rsid w:val="00AD6AA5"/>
    <w:rsid w:val="00AD6BDE"/>
    <w:rsid w:val="00AD70FF"/>
    <w:rsid w:val="00AD7664"/>
    <w:rsid w:val="00AD78D6"/>
    <w:rsid w:val="00AD7F96"/>
    <w:rsid w:val="00AE026B"/>
    <w:rsid w:val="00AE0F73"/>
    <w:rsid w:val="00AE148B"/>
    <w:rsid w:val="00AE1EAC"/>
    <w:rsid w:val="00AE1ED0"/>
    <w:rsid w:val="00AE1F88"/>
    <w:rsid w:val="00AE22D5"/>
    <w:rsid w:val="00AE27D0"/>
    <w:rsid w:val="00AE310E"/>
    <w:rsid w:val="00AE313B"/>
    <w:rsid w:val="00AE34BF"/>
    <w:rsid w:val="00AE3ED9"/>
    <w:rsid w:val="00AE5356"/>
    <w:rsid w:val="00AE65AA"/>
    <w:rsid w:val="00AE6EB4"/>
    <w:rsid w:val="00AE6FAC"/>
    <w:rsid w:val="00AE76CB"/>
    <w:rsid w:val="00AF1234"/>
    <w:rsid w:val="00AF12EC"/>
    <w:rsid w:val="00AF16F0"/>
    <w:rsid w:val="00AF199C"/>
    <w:rsid w:val="00AF1D0D"/>
    <w:rsid w:val="00AF2250"/>
    <w:rsid w:val="00AF25F8"/>
    <w:rsid w:val="00AF25F9"/>
    <w:rsid w:val="00AF3EA8"/>
    <w:rsid w:val="00AF42E8"/>
    <w:rsid w:val="00AF4C88"/>
    <w:rsid w:val="00AF4D47"/>
    <w:rsid w:val="00AF581F"/>
    <w:rsid w:val="00AF5B9B"/>
    <w:rsid w:val="00AF5BE0"/>
    <w:rsid w:val="00AF60CA"/>
    <w:rsid w:val="00AF6ECB"/>
    <w:rsid w:val="00AF7256"/>
    <w:rsid w:val="00AF7748"/>
    <w:rsid w:val="00AF7C69"/>
    <w:rsid w:val="00B00703"/>
    <w:rsid w:val="00B00BEC"/>
    <w:rsid w:val="00B00CE7"/>
    <w:rsid w:val="00B01A34"/>
    <w:rsid w:val="00B01B54"/>
    <w:rsid w:val="00B02020"/>
    <w:rsid w:val="00B022F3"/>
    <w:rsid w:val="00B02893"/>
    <w:rsid w:val="00B02D5E"/>
    <w:rsid w:val="00B031AA"/>
    <w:rsid w:val="00B03D94"/>
    <w:rsid w:val="00B03EC2"/>
    <w:rsid w:val="00B04336"/>
    <w:rsid w:val="00B043C2"/>
    <w:rsid w:val="00B0469E"/>
    <w:rsid w:val="00B046CF"/>
    <w:rsid w:val="00B05021"/>
    <w:rsid w:val="00B05A64"/>
    <w:rsid w:val="00B06086"/>
    <w:rsid w:val="00B0687B"/>
    <w:rsid w:val="00B06976"/>
    <w:rsid w:val="00B06C3C"/>
    <w:rsid w:val="00B06EEA"/>
    <w:rsid w:val="00B100BD"/>
    <w:rsid w:val="00B10A33"/>
    <w:rsid w:val="00B10F6B"/>
    <w:rsid w:val="00B1224C"/>
    <w:rsid w:val="00B12FC9"/>
    <w:rsid w:val="00B13DC5"/>
    <w:rsid w:val="00B1500D"/>
    <w:rsid w:val="00B1510A"/>
    <w:rsid w:val="00B15911"/>
    <w:rsid w:val="00B15F3A"/>
    <w:rsid w:val="00B161A5"/>
    <w:rsid w:val="00B16FB3"/>
    <w:rsid w:val="00B17B1D"/>
    <w:rsid w:val="00B209ED"/>
    <w:rsid w:val="00B20EE0"/>
    <w:rsid w:val="00B20EF2"/>
    <w:rsid w:val="00B2154C"/>
    <w:rsid w:val="00B2195B"/>
    <w:rsid w:val="00B21B18"/>
    <w:rsid w:val="00B2224C"/>
    <w:rsid w:val="00B2234C"/>
    <w:rsid w:val="00B2251C"/>
    <w:rsid w:val="00B22B18"/>
    <w:rsid w:val="00B22C04"/>
    <w:rsid w:val="00B22DFC"/>
    <w:rsid w:val="00B23779"/>
    <w:rsid w:val="00B23B2E"/>
    <w:rsid w:val="00B24A2F"/>
    <w:rsid w:val="00B25A8A"/>
    <w:rsid w:val="00B25AC3"/>
    <w:rsid w:val="00B25FA8"/>
    <w:rsid w:val="00B26E2C"/>
    <w:rsid w:val="00B26E82"/>
    <w:rsid w:val="00B2765E"/>
    <w:rsid w:val="00B27CCB"/>
    <w:rsid w:val="00B306B4"/>
    <w:rsid w:val="00B308E7"/>
    <w:rsid w:val="00B30AA1"/>
    <w:rsid w:val="00B30DF8"/>
    <w:rsid w:val="00B30E48"/>
    <w:rsid w:val="00B314C9"/>
    <w:rsid w:val="00B31F08"/>
    <w:rsid w:val="00B32D6D"/>
    <w:rsid w:val="00B333AE"/>
    <w:rsid w:val="00B335A4"/>
    <w:rsid w:val="00B3398D"/>
    <w:rsid w:val="00B34312"/>
    <w:rsid w:val="00B34BF9"/>
    <w:rsid w:val="00B35A04"/>
    <w:rsid w:val="00B36AC3"/>
    <w:rsid w:val="00B36C04"/>
    <w:rsid w:val="00B36C06"/>
    <w:rsid w:val="00B36C3F"/>
    <w:rsid w:val="00B36FC6"/>
    <w:rsid w:val="00B372FB"/>
    <w:rsid w:val="00B37527"/>
    <w:rsid w:val="00B37528"/>
    <w:rsid w:val="00B37981"/>
    <w:rsid w:val="00B37DF4"/>
    <w:rsid w:val="00B37ECC"/>
    <w:rsid w:val="00B40231"/>
    <w:rsid w:val="00B40753"/>
    <w:rsid w:val="00B40A5E"/>
    <w:rsid w:val="00B40E25"/>
    <w:rsid w:val="00B40FB0"/>
    <w:rsid w:val="00B41543"/>
    <w:rsid w:val="00B41AB0"/>
    <w:rsid w:val="00B41C71"/>
    <w:rsid w:val="00B42432"/>
    <w:rsid w:val="00B42A8A"/>
    <w:rsid w:val="00B42DF2"/>
    <w:rsid w:val="00B430CA"/>
    <w:rsid w:val="00B4310B"/>
    <w:rsid w:val="00B43AB3"/>
    <w:rsid w:val="00B440E7"/>
    <w:rsid w:val="00B45CFA"/>
    <w:rsid w:val="00B45D34"/>
    <w:rsid w:val="00B45E28"/>
    <w:rsid w:val="00B45ED3"/>
    <w:rsid w:val="00B461DE"/>
    <w:rsid w:val="00B463B6"/>
    <w:rsid w:val="00B469E2"/>
    <w:rsid w:val="00B46C3A"/>
    <w:rsid w:val="00B46DB3"/>
    <w:rsid w:val="00B47147"/>
    <w:rsid w:val="00B476A0"/>
    <w:rsid w:val="00B4773F"/>
    <w:rsid w:val="00B479A4"/>
    <w:rsid w:val="00B47ABC"/>
    <w:rsid w:val="00B505B6"/>
    <w:rsid w:val="00B50B59"/>
    <w:rsid w:val="00B515CE"/>
    <w:rsid w:val="00B51A98"/>
    <w:rsid w:val="00B5218A"/>
    <w:rsid w:val="00B5290B"/>
    <w:rsid w:val="00B52D75"/>
    <w:rsid w:val="00B530F4"/>
    <w:rsid w:val="00B53685"/>
    <w:rsid w:val="00B5431D"/>
    <w:rsid w:val="00B543EA"/>
    <w:rsid w:val="00B548CB"/>
    <w:rsid w:val="00B552D1"/>
    <w:rsid w:val="00B555DD"/>
    <w:rsid w:val="00B559FC"/>
    <w:rsid w:val="00B55E29"/>
    <w:rsid w:val="00B5649C"/>
    <w:rsid w:val="00B5678D"/>
    <w:rsid w:val="00B56C7D"/>
    <w:rsid w:val="00B57EE8"/>
    <w:rsid w:val="00B57F3C"/>
    <w:rsid w:val="00B608B3"/>
    <w:rsid w:val="00B616C7"/>
    <w:rsid w:val="00B618D9"/>
    <w:rsid w:val="00B61EF0"/>
    <w:rsid w:val="00B61FCC"/>
    <w:rsid w:val="00B6210A"/>
    <w:rsid w:val="00B62AEB"/>
    <w:rsid w:val="00B6460B"/>
    <w:rsid w:val="00B64855"/>
    <w:rsid w:val="00B65BDB"/>
    <w:rsid w:val="00B66186"/>
    <w:rsid w:val="00B66D05"/>
    <w:rsid w:val="00B67122"/>
    <w:rsid w:val="00B67308"/>
    <w:rsid w:val="00B676C0"/>
    <w:rsid w:val="00B703B9"/>
    <w:rsid w:val="00B706C5"/>
    <w:rsid w:val="00B707E8"/>
    <w:rsid w:val="00B71609"/>
    <w:rsid w:val="00B7171E"/>
    <w:rsid w:val="00B7182C"/>
    <w:rsid w:val="00B71A6C"/>
    <w:rsid w:val="00B72321"/>
    <w:rsid w:val="00B725D5"/>
    <w:rsid w:val="00B7298F"/>
    <w:rsid w:val="00B72DC9"/>
    <w:rsid w:val="00B73651"/>
    <w:rsid w:val="00B74734"/>
    <w:rsid w:val="00B74FCF"/>
    <w:rsid w:val="00B7536D"/>
    <w:rsid w:val="00B757F9"/>
    <w:rsid w:val="00B75D23"/>
    <w:rsid w:val="00B77184"/>
    <w:rsid w:val="00B77474"/>
    <w:rsid w:val="00B7786C"/>
    <w:rsid w:val="00B77B1C"/>
    <w:rsid w:val="00B77D91"/>
    <w:rsid w:val="00B77E6B"/>
    <w:rsid w:val="00B80A49"/>
    <w:rsid w:val="00B80F7A"/>
    <w:rsid w:val="00B8104E"/>
    <w:rsid w:val="00B81201"/>
    <w:rsid w:val="00B81806"/>
    <w:rsid w:val="00B818C2"/>
    <w:rsid w:val="00B81C09"/>
    <w:rsid w:val="00B81E6B"/>
    <w:rsid w:val="00B82602"/>
    <w:rsid w:val="00B82EEA"/>
    <w:rsid w:val="00B82FD3"/>
    <w:rsid w:val="00B8398A"/>
    <w:rsid w:val="00B841CE"/>
    <w:rsid w:val="00B8465A"/>
    <w:rsid w:val="00B84DF4"/>
    <w:rsid w:val="00B8552B"/>
    <w:rsid w:val="00B85813"/>
    <w:rsid w:val="00B859BD"/>
    <w:rsid w:val="00B85BBF"/>
    <w:rsid w:val="00B8632E"/>
    <w:rsid w:val="00B867F1"/>
    <w:rsid w:val="00B86B02"/>
    <w:rsid w:val="00B87C3B"/>
    <w:rsid w:val="00B900EB"/>
    <w:rsid w:val="00B90A8A"/>
    <w:rsid w:val="00B918CD"/>
    <w:rsid w:val="00B91CAC"/>
    <w:rsid w:val="00B91D11"/>
    <w:rsid w:val="00B91DE0"/>
    <w:rsid w:val="00B91E4A"/>
    <w:rsid w:val="00B91FE0"/>
    <w:rsid w:val="00B926F3"/>
    <w:rsid w:val="00B93137"/>
    <w:rsid w:val="00B93A6F"/>
    <w:rsid w:val="00B93B4D"/>
    <w:rsid w:val="00B93D64"/>
    <w:rsid w:val="00B93F68"/>
    <w:rsid w:val="00B941C8"/>
    <w:rsid w:val="00B945E9"/>
    <w:rsid w:val="00B9488D"/>
    <w:rsid w:val="00B948D5"/>
    <w:rsid w:val="00B95A6D"/>
    <w:rsid w:val="00B95B87"/>
    <w:rsid w:val="00B95CF2"/>
    <w:rsid w:val="00B95DA7"/>
    <w:rsid w:val="00B95FC9"/>
    <w:rsid w:val="00B962A7"/>
    <w:rsid w:val="00B96CD3"/>
    <w:rsid w:val="00B96D18"/>
    <w:rsid w:val="00B97631"/>
    <w:rsid w:val="00B97BD0"/>
    <w:rsid w:val="00BA0397"/>
    <w:rsid w:val="00BA0790"/>
    <w:rsid w:val="00BA0B25"/>
    <w:rsid w:val="00BA130D"/>
    <w:rsid w:val="00BA1836"/>
    <w:rsid w:val="00BA1A4F"/>
    <w:rsid w:val="00BA1ED0"/>
    <w:rsid w:val="00BA2034"/>
    <w:rsid w:val="00BA2AFC"/>
    <w:rsid w:val="00BA36D7"/>
    <w:rsid w:val="00BA394A"/>
    <w:rsid w:val="00BA3E21"/>
    <w:rsid w:val="00BA4136"/>
    <w:rsid w:val="00BA4716"/>
    <w:rsid w:val="00BA4F7D"/>
    <w:rsid w:val="00BA52A8"/>
    <w:rsid w:val="00BA57DF"/>
    <w:rsid w:val="00BA6D8C"/>
    <w:rsid w:val="00BA6DC0"/>
    <w:rsid w:val="00BA7B62"/>
    <w:rsid w:val="00BA7BA1"/>
    <w:rsid w:val="00BA7D3D"/>
    <w:rsid w:val="00BA7D4A"/>
    <w:rsid w:val="00BB0161"/>
    <w:rsid w:val="00BB0903"/>
    <w:rsid w:val="00BB0D27"/>
    <w:rsid w:val="00BB10F1"/>
    <w:rsid w:val="00BB1299"/>
    <w:rsid w:val="00BB14E1"/>
    <w:rsid w:val="00BB1573"/>
    <w:rsid w:val="00BB1A12"/>
    <w:rsid w:val="00BB21B2"/>
    <w:rsid w:val="00BB255F"/>
    <w:rsid w:val="00BB25B7"/>
    <w:rsid w:val="00BB2612"/>
    <w:rsid w:val="00BB4009"/>
    <w:rsid w:val="00BB4469"/>
    <w:rsid w:val="00BB4726"/>
    <w:rsid w:val="00BB4745"/>
    <w:rsid w:val="00BB4E1C"/>
    <w:rsid w:val="00BB5494"/>
    <w:rsid w:val="00BB55F7"/>
    <w:rsid w:val="00BB5627"/>
    <w:rsid w:val="00BB6984"/>
    <w:rsid w:val="00BB6CF4"/>
    <w:rsid w:val="00BB7730"/>
    <w:rsid w:val="00BB7A95"/>
    <w:rsid w:val="00BB7F09"/>
    <w:rsid w:val="00BB7F67"/>
    <w:rsid w:val="00BC0EBA"/>
    <w:rsid w:val="00BC14D1"/>
    <w:rsid w:val="00BC1C2F"/>
    <w:rsid w:val="00BC1C8C"/>
    <w:rsid w:val="00BC1D23"/>
    <w:rsid w:val="00BC1D5B"/>
    <w:rsid w:val="00BC21AC"/>
    <w:rsid w:val="00BC2A71"/>
    <w:rsid w:val="00BC2BC9"/>
    <w:rsid w:val="00BC3DE1"/>
    <w:rsid w:val="00BC420D"/>
    <w:rsid w:val="00BC44EC"/>
    <w:rsid w:val="00BC4540"/>
    <w:rsid w:val="00BC478D"/>
    <w:rsid w:val="00BC49AC"/>
    <w:rsid w:val="00BC4C7B"/>
    <w:rsid w:val="00BC5519"/>
    <w:rsid w:val="00BC5844"/>
    <w:rsid w:val="00BC5C6D"/>
    <w:rsid w:val="00BC5FD8"/>
    <w:rsid w:val="00BC72C6"/>
    <w:rsid w:val="00BC74A5"/>
    <w:rsid w:val="00BC7B1A"/>
    <w:rsid w:val="00BD03EA"/>
    <w:rsid w:val="00BD0ACC"/>
    <w:rsid w:val="00BD0D65"/>
    <w:rsid w:val="00BD0F54"/>
    <w:rsid w:val="00BD1392"/>
    <w:rsid w:val="00BD19A8"/>
    <w:rsid w:val="00BD1E51"/>
    <w:rsid w:val="00BD1E94"/>
    <w:rsid w:val="00BD2F38"/>
    <w:rsid w:val="00BD2FA9"/>
    <w:rsid w:val="00BD30B5"/>
    <w:rsid w:val="00BD34C3"/>
    <w:rsid w:val="00BD3630"/>
    <w:rsid w:val="00BD416A"/>
    <w:rsid w:val="00BD448D"/>
    <w:rsid w:val="00BD44E7"/>
    <w:rsid w:val="00BD4B13"/>
    <w:rsid w:val="00BD4F09"/>
    <w:rsid w:val="00BD52B5"/>
    <w:rsid w:val="00BD536A"/>
    <w:rsid w:val="00BD544B"/>
    <w:rsid w:val="00BD6747"/>
    <w:rsid w:val="00BD6995"/>
    <w:rsid w:val="00BD71F8"/>
    <w:rsid w:val="00BD72B7"/>
    <w:rsid w:val="00BD740A"/>
    <w:rsid w:val="00BE043A"/>
    <w:rsid w:val="00BE1018"/>
    <w:rsid w:val="00BE12CD"/>
    <w:rsid w:val="00BE1585"/>
    <w:rsid w:val="00BE1A38"/>
    <w:rsid w:val="00BE1A80"/>
    <w:rsid w:val="00BE1CB6"/>
    <w:rsid w:val="00BE1E0D"/>
    <w:rsid w:val="00BE2180"/>
    <w:rsid w:val="00BE2D87"/>
    <w:rsid w:val="00BE312F"/>
    <w:rsid w:val="00BE3247"/>
    <w:rsid w:val="00BE346E"/>
    <w:rsid w:val="00BE3904"/>
    <w:rsid w:val="00BE42BF"/>
    <w:rsid w:val="00BE4E4B"/>
    <w:rsid w:val="00BE5709"/>
    <w:rsid w:val="00BE5A0A"/>
    <w:rsid w:val="00BE60C7"/>
    <w:rsid w:val="00BE63D4"/>
    <w:rsid w:val="00BE68DA"/>
    <w:rsid w:val="00BE6920"/>
    <w:rsid w:val="00BE6BE9"/>
    <w:rsid w:val="00BE78A7"/>
    <w:rsid w:val="00BF0B72"/>
    <w:rsid w:val="00BF1B81"/>
    <w:rsid w:val="00BF1EDB"/>
    <w:rsid w:val="00BF29BF"/>
    <w:rsid w:val="00BF2A6C"/>
    <w:rsid w:val="00BF3289"/>
    <w:rsid w:val="00BF3810"/>
    <w:rsid w:val="00BF3D9F"/>
    <w:rsid w:val="00BF433B"/>
    <w:rsid w:val="00BF4ABF"/>
    <w:rsid w:val="00BF4BF6"/>
    <w:rsid w:val="00BF553A"/>
    <w:rsid w:val="00BF59EA"/>
    <w:rsid w:val="00BF5A3F"/>
    <w:rsid w:val="00BF5DE2"/>
    <w:rsid w:val="00BF68A0"/>
    <w:rsid w:val="00BF7EA1"/>
    <w:rsid w:val="00C0026C"/>
    <w:rsid w:val="00C0080B"/>
    <w:rsid w:val="00C012DC"/>
    <w:rsid w:val="00C016D0"/>
    <w:rsid w:val="00C01AA6"/>
    <w:rsid w:val="00C02164"/>
    <w:rsid w:val="00C021D3"/>
    <w:rsid w:val="00C02219"/>
    <w:rsid w:val="00C02565"/>
    <w:rsid w:val="00C02AB8"/>
    <w:rsid w:val="00C03526"/>
    <w:rsid w:val="00C039AA"/>
    <w:rsid w:val="00C03ADC"/>
    <w:rsid w:val="00C03EF2"/>
    <w:rsid w:val="00C04690"/>
    <w:rsid w:val="00C05061"/>
    <w:rsid w:val="00C0513C"/>
    <w:rsid w:val="00C055E2"/>
    <w:rsid w:val="00C0701B"/>
    <w:rsid w:val="00C0712A"/>
    <w:rsid w:val="00C07168"/>
    <w:rsid w:val="00C07433"/>
    <w:rsid w:val="00C07505"/>
    <w:rsid w:val="00C10524"/>
    <w:rsid w:val="00C10DDA"/>
    <w:rsid w:val="00C116EB"/>
    <w:rsid w:val="00C1196F"/>
    <w:rsid w:val="00C121F1"/>
    <w:rsid w:val="00C124F2"/>
    <w:rsid w:val="00C12703"/>
    <w:rsid w:val="00C12899"/>
    <w:rsid w:val="00C138B1"/>
    <w:rsid w:val="00C13A37"/>
    <w:rsid w:val="00C13E1F"/>
    <w:rsid w:val="00C141EC"/>
    <w:rsid w:val="00C14749"/>
    <w:rsid w:val="00C147AD"/>
    <w:rsid w:val="00C14F79"/>
    <w:rsid w:val="00C150F8"/>
    <w:rsid w:val="00C1552D"/>
    <w:rsid w:val="00C15BF0"/>
    <w:rsid w:val="00C163FD"/>
    <w:rsid w:val="00C16819"/>
    <w:rsid w:val="00C16B35"/>
    <w:rsid w:val="00C170EB"/>
    <w:rsid w:val="00C17348"/>
    <w:rsid w:val="00C178F6"/>
    <w:rsid w:val="00C2021B"/>
    <w:rsid w:val="00C203D3"/>
    <w:rsid w:val="00C20576"/>
    <w:rsid w:val="00C20600"/>
    <w:rsid w:val="00C20965"/>
    <w:rsid w:val="00C20B88"/>
    <w:rsid w:val="00C21930"/>
    <w:rsid w:val="00C21A5E"/>
    <w:rsid w:val="00C22820"/>
    <w:rsid w:val="00C22834"/>
    <w:rsid w:val="00C22D95"/>
    <w:rsid w:val="00C23995"/>
    <w:rsid w:val="00C23FBA"/>
    <w:rsid w:val="00C24660"/>
    <w:rsid w:val="00C24849"/>
    <w:rsid w:val="00C24901"/>
    <w:rsid w:val="00C25256"/>
    <w:rsid w:val="00C252A5"/>
    <w:rsid w:val="00C255BD"/>
    <w:rsid w:val="00C25FDC"/>
    <w:rsid w:val="00C26053"/>
    <w:rsid w:val="00C26118"/>
    <w:rsid w:val="00C266A4"/>
    <w:rsid w:val="00C26F37"/>
    <w:rsid w:val="00C26FBE"/>
    <w:rsid w:val="00C27029"/>
    <w:rsid w:val="00C27318"/>
    <w:rsid w:val="00C27919"/>
    <w:rsid w:val="00C27EBD"/>
    <w:rsid w:val="00C3006E"/>
    <w:rsid w:val="00C3049A"/>
    <w:rsid w:val="00C3061F"/>
    <w:rsid w:val="00C30F09"/>
    <w:rsid w:val="00C31195"/>
    <w:rsid w:val="00C31485"/>
    <w:rsid w:val="00C3186F"/>
    <w:rsid w:val="00C31A11"/>
    <w:rsid w:val="00C31D91"/>
    <w:rsid w:val="00C31E32"/>
    <w:rsid w:val="00C31F18"/>
    <w:rsid w:val="00C3279F"/>
    <w:rsid w:val="00C3309F"/>
    <w:rsid w:val="00C33273"/>
    <w:rsid w:val="00C33625"/>
    <w:rsid w:val="00C33A00"/>
    <w:rsid w:val="00C33C23"/>
    <w:rsid w:val="00C34335"/>
    <w:rsid w:val="00C34E91"/>
    <w:rsid w:val="00C354DC"/>
    <w:rsid w:val="00C3627B"/>
    <w:rsid w:val="00C3640A"/>
    <w:rsid w:val="00C36448"/>
    <w:rsid w:val="00C370D4"/>
    <w:rsid w:val="00C37BBB"/>
    <w:rsid w:val="00C40682"/>
    <w:rsid w:val="00C411F8"/>
    <w:rsid w:val="00C42FC5"/>
    <w:rsid w:val="00C43BCE"/>
    <w:rsid w:val="00C43C55"/>
    <w:rsid w:val="00C441FA"/>
    <w:rsid w:val="00C445C4"/>
    <w:rsid w:val="00C4549E"/>
    <w:rsid w:val="00C45D56"/>
    <w:rsid w:val="00C46105"/>
    <w:rsid w:val="00C461A7"/>
    <w:rsid w:val="00C46368"/>
    <w:rsid w:val="00C46383"/>
    <w:rsid w:val="00C46ADE"/>
    <w:rsid w:val="00C46F11"/>
    <w:rsid w:val="00C50CD6"/>
    <w:rsid w:val="00C51459"/>
    <w:rsid w:val="00C51FEC"/>
    <w:rsid w:val="00C52B49"/>
    <w:rsid w:val="00C52C2D"/>
    <w:rsid w:val="00C52F66"/>
    <w:rsid w:val="00C5317E"/>
    <w:rsid w:val="00C5599C"/>
    <w:rsid w:val="00C5599F"/>
    <w:rsid w:val="00C55C36"/>
    <w:rsid w:val="00C56171"/>
    <w:rsid w:val="00C56605"/>
    <w:rsid w:val="00C5667C"/>
    <w:rsid w:val="00C56AC8"/>
    <w:rsid w:val="00C5733B"/>
    <w:rsid w:val="00C579A0"/>
    <w:rsid w:val="00C57C34"/>
    <w:rsid w:val="00C57EF2"/>
    <w:rsid w:val="00C57F0F"/>
    <w:rsid w:val="00C600BF"/>
    <w:rsid w:val="00C61764"/>
    <w:rsid w:val="00C6233A"/>
    <w:rsid w:val="00C63470"/>
    <w:rsid w:val="00C63630"/>
    <w:rsid w:val="00C63892"/>
    <w:rsid w:val="00C63FD2"/>
    <w:rsid w:val="00C647A4"/>
    <w:rsid w:val="00C64854"/>
    <w:rsid w:val="00C64CAE"/>
    <w:rsid w:val="00C65C67"/>
    <w:rsid w:val="00C660F5"/>
    <w:rsid w:val="00C66B40"/>
    <w:rsid w:val="00C66C2A"/>
    <w:rsid w:val="00C672F8"/>
    <w:rsid w:val="00C67429"/>
    <w:rsid w:val="00C67C98"/>
    <w:rsid w:val="00C67ED2"/>
    <w:rsid w:val="00C70531"/>
    <w:rsid w:val="00C7125F"/>
    <w:rsid w:val="00C714F7"/>
    <w:rsid w:val="00C722D3"/>
    <w:rsid w:val="00C72C4D"/>
    <w:rsid w:val="00C72D4C"/>
    <w:rsid w:val="00C730EF"/>
    <w:rsid w:val="00C73200"/>
    <w:rsid w:val="00C73C89"/>
    <w:rsid w:val="00C74579"/>
    <w:rsid w:val="00C7475B"/>
    <w:rsid w:val="00C747E3"/>
    <w:rsid w:val="00C7484A"/>
    <w:rsid w:val="00C7593A"/>
    <w:rsid w:val="00C75D58"/>
    <w:rsid w:val="00C760B0"/>
    <w:rsid w:val="00C7673E"/>
    <w:rsid w:val="00C76E08"/>
    <w:rsid w:val="00C7705E"/>
    <w:rsid w:val="00C77193"/>
    <w:rsid w:val="00C77A05"/>
    <w:rsid w:val="00C77D4F"/>
    <w:rsid w:val="00C803A0"/>
    <w:rsid w:val="00C80583"/>
    <w:rsid w:val="00C80E6C"/>
    <w:rsid w:val="00C80F05"/>
    <w:rsid w:val="00C81331"/>
    <w:rsid w:val="00C81868"/>
    <w:rsid w:val="00C82D18"/>
    <w:rsid w:val="00C82FBC"/>
    <w:rsid w:val="00C83B61"/>
    <w:rsid w:val="00C84163"/>
    <w:rsid w:val="00C848C1"/>
    <w:rsid w:val="00C84DA0"/>
    <w:rsid w:val="00C84EE0"/>
    <w:rsid w:val="00C852BC"/>
    <w:rsid w:val="00C85AFE"/>
    <w:rsid w:val="00C85BF9"/>
    <w:rsid w:val="00C85E56"/>
    <w:rsid w:val="00C85FB4"/>
    <w:rsid w:val="00C86F64"/>
    <w:rsid w:val="00C86FC1"/>
    <w:rsid w:val="00C87294"/>
    <w:rsid w:val="00C87DF7"/>
    <w:rsid w:val="00C87FF8"/>
    <w:rsid w:val="00C90B79"/>
    <w:rsid w:val="00C920DF"/>
    <w:rsid w:val="00C92689"/>
    <w:rsid w:val="00C92942"/>
    <w:rsid w:val="00C92A42"/>
    <w:rsid w:val="00C92AD8"/>
    <w:rsid w:val="00C92D0E"/>
    <w:rsid w:val="00C93180"/>
    <w:rsid w:val="00C938FF"/>
    <w:rsid w:val="00C940F3"/>
    <w:rsid w:val="00C9511B"/>
    <w:rsid w:val="00C95D81"/>
    <w:rsid w:val="00C9668D"/>
    <w:rsid w:val="00C96D36"/>
    <w:rsid w:val="00C9743F"/>
    <w:rsid w:val="00CA0BB3"/>
    <w:rsid w:val="00CA14D6"/>
    <w:rsid w:val="00CA1601"/>
    <w:rsid w:val="00CA24ED"/>
    <w:rsid w:val="00CA34B5"/>
    <w:rsid w:val="00CA3508"/>
    <w:rsid w:val="00CA3676"/>
    <w:rsid w:val="00CA381E"/>
    <w:rsid w:val="00CA3A6C"/>
    <w:rsid w:val="00CA3D20"/>
    <w:rsid w:val="00CA5D2E"/>
    <w:rsid w:val="00CA6069"/>
    <w:rsid w:val="00CA61EA"/>
    <w:rsid w:val="00CA629B"/>
    <w:rsid w:val="00CA637C"/>
    <w:rsid w:val="00CA63FE"/>
    <w:rsid w:val="00CA663C"/>
    <w:rsid w:val="00CA77FD"/>
    <w:rsid w:val="00CA7B37"/>
    <w:rsid w:val="00CA7E87"/>
    <w:rsid w:val="00CB00A4"/>
    <w:rsid w:val="00CB01D2"/>
    <w:rsid w:val="00CB0C28"/>
    <w:rsid w:val="00CB0CAB"/>
    <w:rsid w:val="00CB1650"/>
    <w:rsid w:val="00CB1F23"/>
    <w:rsid w:val="00CB25AB"/>
    <w:rsid w:val="00CB3B17"/>
    <w:rsid w:val="00CB4398"/>
    <w:rsid w:val="00CB4BD8"/>
    <w:rsid w:val="00CB4CDA"/>
    <w:rsid w:val="00CB52EF"/>
    <w:rsid w:val="00CB66C1"/>
    <w:rsid w:val="00CB6766"/>
    <w:rsid w:val="00CB6945"/>
    <w:rsid w:val="00CB6982"/>
    <w:rsid w:val="00CB707F"/>
    <w:rsid w:val="00CB7291"/>
    <w:rsid w:val="00CC0DF6"/>
    <w:rsid w:val="00CC10E9"/>
    <w:rsid w:val="00CC1351"/>
    <w:rsid w:val="00CC14D3"/>
    <w:rsid w:val="00CC1D1E"/>
    <w:rsid w:val="00CC205F"/>
    <w:rsid w:val="00CC25F2"/>
    <w:rsid w:val="00CC2917"/>
    <w:rsid w:val="00CC3037"/>
    <w:rsid w:val="00CC326C"/>
    <w:rsid w:val="00CC35DE"/>
    <w:rsid w:val="00CC386C"/>
    <w:rsid w:val="00CC3C51"/>
    <w:rsid w:val="00CC3DD8"/>
    <w:rsid w:val="00CC3F8C"/>
    <w:rsid w:val="00CC4FF0"/>
    <w:rsid w:val="00CC59C5"/>
    <w:rsid w:val="00CC5C69"/>
    <w:rsid w:val="00CC5CF3"/>
    <w:rsid w:val="00CC60D6"/>
    <w:rsid w:val="00CC6240"/>
    <w:rsid w:val="00CC68DD"/>
    <w:rsid w:val="00CC7811"/>
    <w:rsid w:val="00CC7A1F"/>
    <w:rsid w:val="00CD03BB"/>
    <w:rsid w:val="00CD0686"/>
    <w:rsid w:val="00CD0870"/>
    <w:rsid w:val="00CD0D5D"/>
    <w:rsid w:val="00CD1395"/>
    <w:rsid w:val="00CD2822"/>
    <w:rsid w:val="00CD293C"/>
    <w:rsid w:val="00CD2FD5"/>
    <w:rsid w:val="00CD306A"/>
    <w:rsid w:val="00CD3876"/>
    <w:rsid w:val="00CD3E2B"/>
    <w:rsid w:val="00CD3FD1"/>
    <w:rsid w:val="00CD4679"/>
    <w:rsid w:val="00CD526D"/>
    <w:rsid w:val="00CD7C42"/>
    <w:rsid w:val="00CD7D4C"/>
    <w:rsid w:val="00CE0B40"/>
    <w:rsid w:val="00CE1089"/>
    <w:rsid w:val="00CE1EF8"/>
    <w:rsid w:val="00CE2CDF"/>
    <w:rsid w:val="00CE2EBC"/>
    <w:rsid w:val="00CE2F75"/>
    <w:rsid w:val="00CE32D2"/>
    <w:rsid w:val="00CE34CB"/>
    <w:rsid w:val="00CE37F7"/>
    <w:rsid w:val="00CE4148"/>
    <w:rsid w:val="00CE4331"/>
    <w:rsid w:val="00CE459D"/>
    <w:rsid w:val="00CE46B4"/>
    <w:rsid w:val="00CE46CD"/>
    <w:rsid w:val="00CE47B3"/>
    <w:rsid w:val="00CE4AEF"/>
    <w:rsid w:val="00CE4EBF"/>
    <w:rsid w:val="00CE52D7"/>
    <w:rsid w:val="00CE5609"/>
    <w:rsid w:val="00CE618B"/>
    <w:rsid w:val="00CE6BC9"/>
    <w:rsid w:val="00CF00E2"/>
    <w:rsid w:val="00CF0532"/>
    <w:rsid w:val="00CF102D"/>
    <w:rsid w:val="00CF1248"/>
    <w:rsid w:val="00CF1509"/>
    <w:rsid w:val="00CF1DF9"/>
    <w:rsid w:val="00CF248E"/>
    <w:rsid w:val="00CF27FE"/>
    <w:rsid w:val="00CF2C67"/>
    <w:rsid w:val="00CF3ED5"/>
    <w:rsid w:val="00CF424C"/>
    <w:rsid w:val="00CF53C1"/>
    <w:rsid w:val="00CF5CDF"/>
    <w:rsid w:val="00CF5F62"/>
    <w:rsid w:val="00CF60AC"/>
    <w:rsid w:val="00CF65E8"/>
    <w:rsid w:val="00CF6A65"/>
    <w:rsid w:val="00CF6F47"/>
    <w:rsid w:val="00CF7A99"/>
    <w:rsid w:val="00D001F4"/>
    <w:rsid w:val="00D00968"/>
    <w:rsid w:val="00D00D51"/>
    <w:rsid w:val="00D01885"/>
    <w:rsid w:val="00D01D6C"/>
    <w:rsid w:val="00D02784"/>
    <w:rsid w:val="00D02CA4"/>
    <w:rsid w:val="00D0315A"/>
    <w:rsid w:val="00D035E4"/>
    <w:rsid w:val="00D03F47"/>
    <w:rsid w:val="00D0428E"/>
    <w:rsid w:val="00D04928"/>
    <w:rsid w:val="00D05B6E"/>
    <w:rsid w:val="00D068A6"/>
    <w:rsid w:val="00D06EF3"/>
    <w:rsid w:val="00D07B73"/>
    <w:rsid w:val="00D10443"/>
    <w:rsid w:val="00D107AA"/>
    <w:rsid w:val="00D10FC5"/>
    <w:rsid w:val="00D1194E"/>
    <w:rsid w:val="00D119D1"/>
    <w:rsid w:val="00D11AAC"/>
    <w:rsid w:val="00D11AAF"/>
    <w:rsid w:val="00D11AD6"/>
    <w:rsid w:val="00D12532"/>
    <w:rsid w:val="00D12639"/>
    <w:rsid w:val="00D1308A"/>
    <w:rsid w:val="00D131D7"/>
    <w:rsid w:val="00D138BF"/>
    <w:rsid w:val="00D13934"/>
    <w:rsid w:val="00D13A41"/>
    <w:rsid w:val="00D14083"/>
    <w:rsid w:val="00D1441F"/>
    <w:rsid w:val="00D14DB9"/>
    <w:rsid w:val="00D14FE9"/>
    <w:rsid w:val="00D153D7"/>
    <w:rsid w:val="00D15B3B"/>
    <w:rsid w:val="00D15C8A"/>
    <w:rsid w:val="00D15E72"/>
    <w:rsid w:val="00D16000"/>
    <w:rsid w:val="00D165C1"/>
    <w:rsid w:val="00D166E9"/>
    <w:rsid w:val="00D16ABB"/>
    <w:rsid w:val="00D16F19"/>
    <w:rsid w:val="00D1746F"/>
    <w:rsid w:val="00D200AF"/>
    <w:rsid w:val="00D2020B"/>
    <w:rsid w:val="00D20795"/>
    <w:rsid w:val="00D20AF7"/>
    <w:rsid w:val="00D215D0"/>
    <w:rsid w:val="00D2165A"/>
    <w:rsid w:val="00D21694"/>
    <w:rsid w:val="00D2199E"/>
    <w:rsid w:val="00D21AD3"/>
    <w:rsid w:val="00D22414"/>
    <w:rsid w:val="00D22D15"/>
    <w:rsid w:val="00D22FD7"/>
    <w:rsid w:val="00D238E4"/>
    <w:rsid w:val="00D23B17"/>
    <w:rsid w:val="00D23CFB"/>
    <w:rsid w:val="00D250A5"/>
    <w:rsid w:val="00D2594F"/>
    <w:rsid w:val="00D27076"/>
    <w:rsid w:val="00D27346"/>
    <w:rsid w:val="00D275CF"/>
    <w:rsid w:val="00D27F98"/>
    <w:rsid w:val="00D302EA"/>
    <w:rsid w:val="00D304A7"/>
    <w:rsid w:val="00D30680"/>
    <w:rsid w:val="00D30818"/>
    <w:rsid w:val="00D30BAB"/>
    <w:rsid w:val="00D30F9D"/>
    <w:rsid w:val="00D3145B"/>
    <w:rsid w:val="00D314B3"/>
    <w:rsid w:val="00D32181"/>
    <w:rsid w:val="00D3237E"/>
    <w:rsid w:val="00D32387"/>
    <w:rsid w:val="00D32548"/>
    <w:rsid w:val="00D32746"/>
    <w:rsid w:val="00D330CF"/>
    <w:rsid w:val="00D335F3"/>
    <w:rsid w:val="00D33858"/>
    <w:rsid w:val="00D33A9E"/>
    <w:rsid w:val="00D33AB4"/>
    <w:rsid w:val="00D33F69"/>
    <w:rsid w:val="00D34365"/>
    <w:rsid w:val="00D353A1"/>
    <w:rsid w:val="00D35929"/>
    <w:rsid w:val="00D35CBB"/>
    <w:rsid w:val="00D35EEA"/>
    <w:rsid w:val="00D3647D"/>
    <w:rsid w:val="00D36A1E"/>
    <w:rsid w:val="00D36A8B"/>
    <w:rsid w:val="00D36C88"/>
    <w:rsid w:val="00D36DF5"/>
    <w:rsid w:val="00D36E0B"/>
    <w:rsid w:val="00D36E99"/>
    <w:rsid w:val="00D36F06"/>
    <w:rsid w:val="00D4081B"/>
    <w:rsid w:val="00D40C64"/>
    <w:rsid w:val="00D40F11"/>
    <w:rsid w:val="00D4111B"/>
    <w:rsid w:val="00D41210"/>
    <w:rsid w:val="00D41451"/>
    <w:rsid w:val="00D41C4D"/>
    <w:rsid w:val="00D422F3"/>
    <w:rsid w:val="00D426F8"/>
    <w:rsid w:val="00D4316F"/>
    <w:rsid w:val="00D437D5"/>
    <w:rsid w:val="00D461F3"/>
    <w:rsid w:val="00D465BE"/>
    <w:rsid w:val="00D46967"/>
    <w:rsid w:val="00D5067A"/>
    <w:rsid w:val="00D50A25"/>
    <w:rsid w:val="00D517A8"/>
    <w:rsid w:val="00D5192E"/>
    <w:rsid w:val="00D51F26"/>
    <w:rsid w:val="00D52029"/>
    <w:rsid w:val="00D52D68"/>
    <w:rsid w:val="00D52EFF"/>
    <w:rsid w:val="00D53811"/>
    <w:rsid w:val="00D53D79"/>
    <w:rsid w:val="00D53F4A"/>
    <w:rsid w:val="00D54480"/>
    <w:rsid w:val="00D5457C"/>
    <w:rsid w:val="00D54C0D"/>
    <w:rsid w:val="00D54F01"/>
    <w:rsid w:val="00D5550F"/>
    <w:rsid w:val="00D55721"/>
    <w:rsid w:val="00D55F4F"/>
    <w:rsid w:val="00D565EB"/>
    <w:rsid w:val="00D56748"/>
    <w:rsid w:val="00D57108"/>
    <w:rsid w:val="00D603CC"/>
    <w:rsid w:val="00D6073C"/>
    <w:rsid w:val="00D6114B"/>
    <w:rsid w:val="00D627D0"/>
    <w:rsid w:val="00D627DC"/>
    <w:rsid w:val="00D62AE1"/>
    <w:rsid w:val="00D63111"/>
    <w:rsid w:val="00D6327F"/>
    <w:rsid w:val="00D63DAA"/>
    <w:rsid w:val="00D64157"/>
    <w:rsid w:val="00D641A7"/>
    <w:rsid w:val="00D64816"/>
    <w:rsid w:val="00D66CBE"/>
    <w:rsid w:val="00D66EF6"/>
    <w:rsid w:val="00D70258"/>
    <w:rsid w:val="00D70746"/>
    <w:rsid w:val="00D70C2C"/>
    <w:rsid w:val="00D70DCE"/>
    <w:rsid w:val="00D715FA"/>
    <w:rsid w:val="00D717E3"/>
    <w:rsid w:val="00D718C5"/>
    <w:rsid w:val="00D71F6C"/>
    <w:rsid w:val="00D721DC"/>
    <w:rsid w:val="00D72468"/>
    <w:rsid w:val="00D7254A"/>
    <w:rsid w:val="00D72EC7"/>
    <w:rsid w:val="00D730BC"/>
    <w:rsid w:val="00D73451"/>
    <w:rsid w:val="00D7361E"/>
    <w:rsid w:val="00D73D62"/>
    <w:rsid w:val="00D73EEB"/>
    <w:rsid w:val="00D7426C"/>
    <w:rsid w:val="00D744BD"/>
    <w:rsid w:val="00D745A9"/>
    <w:rsid w:val="00D745FB"/>
    <w:rsid w:val="00D747A9"/>
    <w:rsid w:val="00D75ED7"/>
    <w:rsid w:val="00D76EA2"/>
    <w:rsid w:val="00D76F6A"/>
    <w:rsid w:val="00D76FA0"/>
    <w:rsid w:val="00D77735"/>
    <w:rsid w:val="00D7773F"/>
    <w:rsid w:val="00D80296"/>
    <w:rsid w:val="00D80327"/>
    <w:rsid w:val="00D80756"/>
    <w:rsid w:val="00D80D19"/>
    <w:rsid w:val="00D81421"/>
    <w:rsid w:val="00D815C5"/>
    <w:rsid w:val="00D81715"/>
    <w:rsid w:val="00D81DA6"/>
    <w:rsid w:val="00D82448"/>
    <w:rsid w:val="00D82ACB"/>
    <w:rsid w:val="00D82AEC"/>
    <w:rsid w:val="00D82B26"/>
    <w:rsid w:val="00D83125"/>
    <w:rsid w:val="00D833AE"/>
    <w:rsid w:val="00D83C10"/>
    <w:rsid w:val="00D83E1E"/>
    <w:rsid w:val="00D841B1"/>
    <w:rsid w:val="00D84285"/>
    <w:rsid w:val="00D8445D"/>
    <w:rsid w:val="00D8486C"/>
    <w:rsid w:val="00D848BB"/>
    <w:rsid w:val="00D849DD"/>
    <w:rsid w:val="00D84A3B"/>
    <w:rsid w:val="00D851EB"/>
    <w:rsid w:val="00D85436"/>
    <w:rsid w:val="00D8580B"/>
    <w:rsid w:val="00D867E3"/>
    <w:rsid w:val="00D86A59"/>
    <w:rsid w:val="00D86D74"/>
    <w:rsid w:val="00D86F33"/>
    <w:rsid w:val="00D87233"/>
    <w:rsid w:val="00D877F9"/>
    <w:rsid w:val="00D87D3A"/>
    <w:rsid w:val="00D9011B"/>
    <w:rsid w:val="00D904BC"/>
    <w:rsid w:val="00D908CF"/>
    <w:rsid w:val="00D90A4E"/>
    <w:rsid w:val="00D9107C"/>
    <w:rsid w:val="00D910BA"/>
    <w:rsid w:val="00D9235D"/>
    <w:rsid w:val="00D92973"/>
    <w:rsid w:val="00D92BB5"/>
    <w:rsid w:val="00D92C47"/>
    <w:rsid w:val="00D93348"/>
    <w:rsid w:val="00D93B85"/>
    <w:rsid w:val="00D93C35"/>
    <w:rsid w:val="00D94648"/>
    <w:rsid w:val="00D94BE3"/>
    <w:rsid w:val="00D94BFE"/>
    <w:rsid w:val="00D94F33"/>
    <w:rsid w:val="00D9522C"/>
    <w:rsid w:val="00D955BC"/>
    <w:rsid w:val="00D95A70"/>
    <w:rsid w:val="00D95B9C"/>
    <w:rsid w:val="00D95F7D"/>
    <w:rsid w:val="00D9663C"/>
    <w:rsid w:val="00D967E2"/>
    <w:rsid w:val="00D96938"/>
    <w:rsid w:val="00D974E5"/>
    <w:rsid w:val="00D97514"/>
    <w:rsid w:val="00DA0850"/>
    <w:rsid w:val="00DA0F3C"/>
    <w:rsid w:val="00DA0FFA"/>
    <w:rsid w:val="00DA10ED"/>
    <w:rsid w:val="00DA15A5"/>
    <w:rsid w:val="00DA1D73"/>
    <w:rsid w:val="00DA2871"/>
    <w:rsid w:val="00DA2EB5"/>
    <w:rsid w:val="00DA2F94"/>
    <w:rsid w:val="00DA3671"/>
    <w:rsid w:val="00DA3883"/>
    <w:rsid w:val="00DA3EDE"/>
    <w:rsid w:val="00DA424E"/>
    <w:rsid w:val="00DA4408"/>
    <w:rsid w:val="00DA4D10"/>
    <w:rsid w:val="00DA52EE"/>
    <w:rsid w:val="00DA5F47"/>
    <w:rsid w:val="00DA65D4"/>
    <w:rsid w:val="00DA75CC"/>
    <w:rsid w:val="00DA7A11"/>
    <w:rsid w:val="00DB0985"/>
    <w:rsid w:val="00DB0A35"/>
    <w:rsid w:val="00DB0D75"/>
    <w:rsid w:val="00DB0EB3"/>
    <w:rsid w:val="00DB1B2D"/>
    <w:rsid w:val="00DB1EAD"/>
    <w:rsid w:val="00DB2133"/>
    <w:rsid w:val="00DB295C"/>
    <w:rsid w:val="00DB2A98"/>
    <w:rsid w:val="00DB3053"/>
    <w:rsid w:val="00DB331A"/>
    <w:rsid w:val="00DB398E"/>
    <w:rsid w:val="00DB40A6"/>
    <w:rsid w:val="00DB41BF"/>
    <w:rsid w:val="00DB4304"/>
    <w:rsid w:val="00DB44FD"/>
    <w:rsid w:val="00DB4D01"/>
    <w:rsid w:val="00DB4F2F"/>
    <w:rsid w:val="00DB52F7"/>
    <w:rsid w:val="00DB5FEB"/>
    <w:rsid w:val="00DB6E82"/>
    <w:rsid w:val="00DB7399"/>
    <w:rsid w:val="00DC03C5"/>
    <w:rsid w:val="00DC0614"/>
    <w:rsid w:val="00DC1681"/>
    <w:rsid w:val="00DC22C3"/>
    <w:rsid w:val="00DC259D"/>
    <w:rsid w:val="00DC2A19"/>
    <w:rsid w:val="00DC350C"/>
    <w:rsid w:val="00DC3A8A"/>
    <w:rsid w:val="00DC3E53"/>
    <w:rsid w:val="00DC3F7C"/>
    <w:rsid w:val="00DC44F9"/>
    <w:rsid w:val="00DC48FA"/>
    <w:rsid w:val="00DC4B35"/>
    <w:rsid w:val="00DC4E72"/>
    <w:rsid w:val="00DC5187"/>
    <w:rsid w:val="00DC52A5"/>
    <w:rsid w:val="00DC5BB2"/>
    <w:rsid w:val="00DC6689"/>
    <w:rsid w:val="00DC66A1"/>
    <w:rsid w:val="00DC6762"/>
    <w:rsid w:val="00DC68DB"/>
    <w:rsid w:val="00DC75AD"/>
    <w:rsid w:val="00DC7775"/>
    <w:rsid w:val="00DC7956"/>
    <w:rsid w:val="00DD0317"/>
    <w:rsid w:val="00DD0C9A"/>
    <w:rsid w:val="00DD1003"/>
    <w:rsid w:val="00DD11A5"/>
    <w:rsid w:val="00DD1279"/>
    <w:rsid w:val="00DD153D"/>
    <w:rsid w:val="00DD1661"/>
    <w:rsid w:val="00DD16E6"/>
    <w:rsid w:val="00DD197D"/>
    <w:rsid w:val="00DD28AD"/>
    <w:rsid w:val="00DD2D84"/>
    <w:rsid w:val="00DD3DF5"/>
    <w:rsid w:val="00DD3F0E"/>
    <w:rsid w:val="00DD4640"/>
    <w:rsid w:val="00DD4B47"/>
    <w:rsid w:val="00DD4BFE"/>
    <w:rsid w:val="00DD592E"/>
    <w:rsid w:val="00DD5E54"/>
    <w:rsid w:val="00DD680D"/>
    <w:rsid w:val="00DD6C00"/>
    <w:rsid w:val="00DD6CF8"/>
    <w:rsid w:val="00DD6FF0"/>
    <w:rsid w:val="00DD7258"/>
    <w:rsid w:val="00DD727D"/>
    <w:rsid w:val="00DE079F"/>
    <w:rsid w:val="00DE0A27"/>
    <w:rsid w:val="00DE0D07"/>
    <w:rsid w:val="00DE2219"/>
    <w:rsid w:val="00DE2442"/>
    <w:rsid w:val="00DE26BA"/>
    <w:rsid w:val="00DE3178"/>
    <w:rsid w:val="00DE341A"/>
    <w:rsid w:val="00DE3833"/>
    <w:rsid w:val="00DE418B"/>
    <w:rsid w:val="00DE45BA"/>
    <w:rsid w:val="00DE4A52"/>
    <w:rsid w:val="00DE4C0C"/>
    <w:rsid w:val="00DE55E7"/>
    <w:rsid w:val="00DE58B1"/>
    <w:rsid w:val="00DE5E8F"/>
    <w:rsid w:val="00DE5FEB"/>
    <w:rsid w:val="00DE623A"/>
    <w:rsid w:val="00DE63E8"/>
    <w:rsid w:val="00DE6D73"/>
    <w:rsid w:val="00DE774A"/>
    <w:rsid w:val="00DF00A4"/>
    <w:rsid w:val="00DF0D7B"/>
    <w:rsid w:val="00DF0E73"/>
    <w:rsid w:val="00DF0F12"/>
    <w:rsid w:val="00DF110F"/>
    <w:rsid w:val="00DF12B0"/>
    <w:rsid w:val="00DF18CC"/>
    <w:rsid w:val="00DF26B3"/>
    <w:rsid w:val="00DF26F3"/>
    <w:rsid w:val="00DF2E42"/>
    <w:rsid w:val="00DF2F6A"/>
    <w:rsid w:val="00DF30C3"/>
    <w:rsid w:val="00DF3472"/>
    <w:rsid w:val="00DF3546"/>
    <w:rsid w:val="00DF3919"/>
    <w:rsid w:val="00DF3E91"/>
    <w:rsid w:val="00DF4697"/>
    <w:rsid w:val="00DF4814"/>
    <w:rsid w:val="00DF4CD4"/>
    <w:rsid w:val="00DF4CF3"/>
    <w:rsid w:val="00DF503B"/>
    <w:rsid w:val="00DF50AF"/>
    <w:rsid w:val="00DF52C8"/>
    <w:rsid w:val="00DF5626"/>
    <w:rsid w:val="00DF5A35"/>
    <w:rsid w:val="00DF5D84"/>
    <w:rsid w:val="00DF5E88"/>
    <w:rsid w:val="00DF5F67"/>
    <w:rsid w:val="00DF5FC3"/>
    <w:rsid w:val="00DF6A16"/>
    <w:rsid w:val="00DF6A77"/>
    <w:rsid w:val="00DF7028"/>
    <w:rsid w:val="00DF730E"/>
    <w:rsid w:val="00DF7365"/>
    <w:rsid w:val="00DF7481"/>
    <w:rsid w:val="00DF790F"/>
    <w:rsid w:val="00DF7999"/>
    <w:rsid w:val="00DF7AF3"/>
    <w:rsid w:val="00E01190"/>
    <w:rsid w:val="00E01830"/>
    <w:rsid w:val="00E02088"/>
    <w:rsid w:val="00E02540"/>
    <w:rsid w:val="00E02DBD"/>
    <w:rsid w:val="00E02E84"/>
    <w:rsid w:val="00E030C1"/>
    <w:rsid w:val="00E03939"/>
    <w:rsid w:val="00E0396F"/>
    <w:rsid w:val="00E03A17"/>
    <w:rsid w:val="00E03BBC"/>
    <w:rsid w:val="00E040F4"/>
    <w:rsid w:val="00E04ACE"/>
    <w:rsid w:val="00E04B64"/>
    <w:rsid w:val="00E04E16"/>
    <w:rsid w:val="00E05A69"/>
    <w:rsid w:val="00E05D62"/>
    <w:rsid w:val="00E06499"/>
    <w:rsid w:val="00E06732"/>
    <w:rsid w:val="00E072F7"/>
    <w:rsid w:val="00E07B3B"/>
    <w:rsid w:val="00E07B79"/>
    <w:rsid w:val="00E07F73"/>
    <w:rsid w:val="00E106C8"/>
    <w:rsid w:val="00E11EEF"/>
    <w:rsid w:val="00E12C2F"/>
    <w:rsid w:val="00E131E1"/>
    <w:rsid w:val="00E13462"/>
    <w:rsid w:val="00E137F5"/>
    <w:rsid w:val="00E13E7F"/>
    <w:rsid w:val="00E143F1"/>
    <w:rsid w:val="00E14569"/>
    <w:rsid w:val="00E1479F"/>
    <w:rsid w:val="00E149BC"/>
    <w:rsid w:val="00E14EA6"/>
    <w:rsid w:val="00E14EFA"/>
    <w:rsid w:val="00E15095"/>
    <w:rsid w:val="00E1515F"/>
    <w:rsid w:val="00E15479"/>
    <w:rsid w:val="00E15993"/>
    <w:rsid w:val="00E15F60"/>
    <w:rsid w:val="00E167B1"/>
    <w:rsid w:val="00E1684E"/>
    <w:rsid w:val="00E16C92"/>
    <w:rsid w:val="00E16E7B"/>
    <w:rsid w:val="00E174F8"/>
    <w:rsid w:val="00E17DD2"/>
    <w:rsid w:val="00E205CC"/>
    <w:rsid w:val="00E20DE9"/>
    <w:rsid w:val="00E20E41"/>
    <w:rsid w:val="00E20FB1"/>
    <w:rsid w:val="00E20FE2"/>
    <w:rsid w:val="00E22219"/>
    <w:rsid w:val="00E22466"/>
    <w:rsid w:val="00E22687"/>
    <w:rsid w:val="00E2290B"/>
    <w:rsid w:val="00E22E86"/>
    <w:rsid w:val="00E23D24"/>
    <w:rsid w:val="00E23D2F"/>
    <w:rsid w:val="00E24A00"/>
    <w:rsid w:val="00E25458"/>
    <w:rsid w:val="00E263E0"/>
    <w:rsid w:val="00E26EE3"/>
    <w:rsid w:val="00E27399"/>
    <w:rsid w:val="00E27469"/>
    <w:rsid w:val="00E307CF"/>
    <w:rsid w:val="00E3080A"/>
    <w:rsid w:val="00E30B8F"/>
    <w:rsid w:val="00E31B0E"/>
    <w:rsid w:val="00E32044"/>
    <w:rsid w:val="00E320EB"/>
    <w:rsid w:val="00E334F3"/>
    <w:rsid w:val="00E33A57"/>
    <w:rsid w:val="00E33D11"/>
    <w:rsid w:val="00E34087"/>
    <w:rsid w:val="00E34673"/>
    <w:rsid w:val="00E3497F"/>
    <w:rsid w:val="00E34E47"/>
    <w:rsid w:val="00E35049"/>
    <w:rsid w:val="00E350E0"/>
    <w:rsid w:val="00E3551E"/>
    <w:rsid w:val="00E35964"/>
    <w:rsid w:val="00E36E12"/>
    <w:rsid w:val="00E37168"/>
    <w:rsid w:val="00E3778D"/>
    <w:rsid w:val="00E37C55"/>
    <w:rsid w:val="00E4005C"/>
    <w:rsid w:val="00E40167"/>
    <w:rsid w:val="00E407D7"/>
    <w:rsid w:val="00E40B1A"/>
    <w:rsid w:val="00E4128A"/>
    <w:rsid w:val="00E41ECE"/>
    <w:rsid w:val="00E41FF4"/>
    <w:rsid w:val="00E423AE"/>
    <w:rsid w:val="00E428B5"/>
    <w:rsid w:val="00E42A5C"/>
    <w:rsid w:val="00E42AE4"/>
    <w:rsid w:val="00E430CF"/>
    <w:rsid w:val="00E43EAA"/>
    <w:rsid w:val="00E4402C"/>
    <w:rsid w:val="00E4434F"/>
    <w:rsid w:val="00E443E4"/>
    <w:rsid w:val="00E45F18"/>
    <w:rsid w:val="00E4620C"/>
    <w:rsid w:val="00E4628E"/>
    <w:rsid w:val="00E46847"/>
    <w:rsid w:val="00E46BBB"/>
    <w:rsid w:val="00E474F1"/>
    <w:rsid w:val="00E47A33"/>
    <w:rsid w:val="00E47C99"/>
    <w:rsid w:val="00E511A6"/>
    <w:rsid w:val="00E51227"/>
    <w:rsid w:val="00E51246"/>
    <w:rsid w:val="00E512EF"/>
    <w:rsid w:val="00E513D9"/>
    <w:rsid w:val="00E5176D"/>
    <w:rsid w:val="00E529C3"/>
    <w:rsid w:val="00E529FE"/>
    <w:rsid w:val="00E53105"/>
    <w:rsid w:val="00E5313E"/>
    <w:rsid w:val="00E54148"/>
    <w:rsid w:val="00E54823"/>
    <w:rsid w:val="00E55D5D"/>
    <w:rsid w:val="00E56C3E"/>
    <w:rsid w:val="00E57218"/>
    <w:rsid w:val="00E57666"/>
    <w:rsid w:val="00E57A5C"/>
    <w:rsid w:val="00E60053"/>
    <w:rsid w:val="00E6028C"/>
    <w:rsid w:val="00E60328"/>
    <w:rsid w:val="00E6058B"/>
    <w:rsid w:val="00E608F4"/>
    <w:rsid w:val="00E60CA8"/>
    <w:rsid w:val="00E60F75"/>
    <w:rsid w:val="00E61207"/>
    <w:rsid w:val="00E613D0"/>
    <w:rsid w:val="00E622F2"/>
    <w:rsid w:val="00E6283A"/>
    <w:rsid w:val="00E62CD1"/>
    <w:rsid w:val="00E62DF6"/>
    <w:rsid w:val="00E65220"/>
    <w:rsid w:val="00E655ED"/>
    <w:rsid w:val="00E656D8"/>
    <w:rsid w:val="00E65704"/>
    <w:rsid w:val="00E65751"/>
    <w:rsid w:val="00E657AA"/>
    <w:rsid w:val="00E669EC"/>
    <w:rsid w:val="00E67E1A"/>
    <w:rsid w:val="00E700D8"/>
    <w:rsid w:val="00E70551"/>
    <w:rsid w:val="00E709C4"/>
    <w:rsid w:val="00E7147F"/>
    <w:rsid w:val="00E71D0E"/>
    <w:rsid w:val="00E71D6B"/>
    <w:rsid w:val="00E72433"/>
    <w:rsid w:val="00E7268F"/>
    <w:rsid w:val="00E72958"/>
    <w:rsid w:val="00E72BB5"/>
    <w:rsid w:val="00E74158"/>
    <w:rsid w:val="00E74AB0"/>
    <w:rsid w:val="00E7511B"/>
    <w:rsid w:val="00E754FB"/>
    <w:rsid w:val="00E75B4E"/>
    <w:rsid w:val="00E75F78"/>
    <w:rsid w:val="00E774D9"/>
    <w:rsid w:val="00E7799A"/>
    <w:rsid w:val="00E80059"/>
    <w:rsid w:val="00E805C7"/>
    <w:rsid w:val="00E81A6D"/>
    <w:rsid w:val="00E81CFB"/>
    <w:rsid w:val="00E82AE7"/>
    <w:rsid w:val="00E830D9"/>
    <w:rsid w:val="00E831EC"/>
    <w:rsid w:val="00E83388"/>
    <w:rsid w:val="00E845C5"/>
    <w:rsid w:val="00E84FFB"/>
    <w:rsid w:val="00E852A8"/>
    <w:rsid w:val="00E8547A"/>
    <w:rsid w:val="00E86179"/>
    <w:rsid w:val="00E875F0"/>
    <w:rsid w:val="00E87981"/>
    <w:rsid w:val="00E904AE"/>
    <w:rsid w:val="00E90979"/>
    <w:rsid w:val="00E909A4"/>
    <w:rsid w:val="00E916E5"/>
    <w:rsid w:val="00E92942"/>
    <w:rsid w:val="00E93090"/>
    <w:rsid w:val="00E932CB"/>
    <w:rsid w:val="00E93939"/>
    <w:rsid w:val="00E94086"/>
    <w:rsid w:val="00E94345"/>
    <w:rsid w:val="00E9467A"/>
    <w:rsid w:val="00E94861"/>
    <w:rsid w:val="00E94ECA"/>
    <w:rsid w:val="00E953F6"/>
    <w:rsid w:val="00E95715"/>
    <w:rsid w:val="00E9649A"/>
    <w:rsid w:val="00E96B1A"/>
    <w:rsid w:val="00E96F9C"/>
    <w:rsid w:val="00E970A4"/>
    <w:rsid w:val="00EA27AF"/>
    <w:rsid w:val="00EA284E"/>
    <w:rsid w:val="00EA32C6"/>
    <w:rsid w:val="00EA3844"/>
    <w:rsid w:val="00EA39AC"/>
    <w:rsid w:val="00EA4527"/>
    <w:rsid w:val="00EA4C77"/>
    <w:rsid w:val="00EA4FF8"/>
    <w:rsid w:val="00EA511E"/>
    <w:rsid w:val="00EA5372"/>
    <w:rsid w:val="00EA646A"/>
    <w:rsid w:val="00EA6471"/>
    <w:rsid w:val="00EA732E"/>
    <w:rsid w:val="00EA7AB4"/>
    <w:rsid w:val="00EB045E"/>
    <w:rsid w:val="00EB0674"/>
    <w:rsid w:val="00EB0A22"/>
    <w:rsid w:val="00EB1ADD"/>
    <w:rsid w:val="00EB1BCF"/>
    <w:rsid w:val="00EB1F9B"/>
    <w:rsid w:val="00EB2720"/>
    <w:rsid w:val="00EB31F5"/>
    <w:rsid w:val="00EB47A0"/>
    <w:rsid w:val="00EB4CD4"/>
    <w:rsid w:val="00EB591A"/>
    <w:rsid w:val="00EB59EA"/>
    <w:rsid w:val="00EB5CB9"/>
    <w:rsid w:val="00EB6237"/>
    <w:rsid w:val="00EB6397"/>
    <w:rsid w:val="00EB647A"/>
    <w:rsid w:val="00EB65E7"/>
    <w:rsid w:val="00EB6729"/>
    <w:rsid w:val="00EB6BC3"/>
    <w:rsid w:val="00EB6BF6"/>
    <w:rsid w:val="00EC00C9"/>
    <w:rsid w:val="00EC0504"/>
    <w:rsid w:val="00EC0D3A"/>
    <w:rsid w:val="00EC113D"/>
    <w:rsid w:val="00EC1552"/>
    <w:rsid w:val="00EC1F72"/>
    <w:rsid w:val="00EC2112"/>
    <w:rsid w:val="00EC2163"/>
    <w:rsid w:val="00EC279B"/>
    <w:rsid w:val="00EC317A"/>
    <w:rsid w:val="00EC3398"/>
    <w:rsid w:val="00EC33BA"/>
    <w:rsid w:val="00EC33ED"/>
    <w:rsid w:val="00EC3455"/>
    <w:rsid w:val="00EC37C8"/>
    <w:rsid w:val="00EC5D3F"/>
    <w:rsid w:val="00EC5F22"/>
    <w:rsid w:val="00EC6487"/>
    <w:rsid w:val="00EC6DD8"/>
    <w:rsid w:val="00EC76C7"/>
    <w:rsid w:val="00EC7FAC"/>
    <w:rsid w:val="00ED072C"/>
    <w:rsid w:val="00ED07C6"/>
    <w:rsid w:val="00ED145B"/>
    <w:rsid w:val="00ED1C03"/>
    <w:rsid w:val="00ED2482"/>
    <w:rsid w:val="00ED30C8"/>
    <w:rsid w:val="00ED3418"/>
    <w:rsid w:val="00ED3894"/>
    <w:rsid w:val="00ED51B4"/>
    <w:rsid w:val="00ED5235"/>
    <w:rsid w:val="00ED540C"/>
    <w:rsid w:val="00ED5670"/>
    <w:rsid w:val="00ED5B8A"/>
    <w:rsid w:val="00ED5C18"/>
    <w:rsid w:val="00ED7119"/>
    <w:rsid w:val="00ED7E18"/>
    <w:rsid w:val="00ED7FB0"/>
    <w:rsid w:val="00ED7FF5"/>
    <w:rsid w:val="00ED7FF9"/>
    <w:rsid w:val="00EE0346"/>
    <w:rsid w:val="00EE0B73"/>
    <w:rsid w:val="00EE1199"/>
    <w:rsid w:val="00EE12D1"/>
    <w:rsid w:val="00EE14D3"/>
    <w:rsid w:val="00EE1D7F"/>
    <w:rsid w:val="00EE2187"/>
    <w:rsid w:val="00EE3054"/>
    <w:rsid w:val="00EE30AE"/>
    <w:rsid w:val="00EE3C74"/>
    <w:rsid w:val="00EE4281"/>
    <w:rsid w:val="00EE4E7B"/>
    <w:rsid w:val="00EE5031"/>
    <w:rsid w:val="00EE523E"/>
    <w:rsid w:val="00EE52A7"/>
    <w:rsid w:val="00EE5A14"/>
    <w:rsid w:val="00EE5AFE"/>
    <w:rsid w:val="00EE6463"/>
    <w:rsid w:val="00EE6842"/>
    <w:rsid w:val="00EE6A10"/>
    <w:rsid w:val="00EE70F3"/>
    <w:rsid w:val="00EE7291"/>
    <w:rsid w:val="00EE7361"/>
    <w:rsid w:val="00EE73B2"/>
    <w:rsid w:val="00EE744A"/>
    <w:rsid w:val="00EE7909"/>
    <w:rsid w:val="00EE790E"/>
    <w:rsid w:val="00EE79F4"/>
    <w:rsid w:val="00EF0531"/>
    <w:rsid w:val="00EF08A3"/>
    <w:rsid w:val="00EF0B04"/>
    <w:rsid w:val="00EF1144"/>
    <w:rsid w:val="00EF13A5"/>
    <w:rsid w:val="00EF1CB5"/>
    <w:rsid w:val="00EF22C5"/>
    <w:rsid w:val="00EF2D6B"/>
    <w:rsid w:val="00EF3E1F"/>
    <w:rsid w:val="00EF3EA8"/>
    <w:rsid w:val="00EF4180"/>
    <w:rsid w:val="00EF446A"/>
    <w:rsid w:val="00EF4710"/>
    <w:rsid w:val="00EF4B26"/>
    <w:rsid w:val="00EF4C79"/>
    <w:rsid w:val="00EF4CF2"/>
    <w:rsid w:val="00EF4D65"/>
    <w:rsid w:val="00EF4E4C"/>
    <w:rsid w:val="00EF4F00"/>
    <w:rsid w:val="00EF4FBC"/>
    <w:rsid w:val="00EF5256"/>
    <w:rsid w:val="00EF52DF"/>
    <w:rsid w:val="00EF56B9"/>
    <w:rsid w:val="00EF5B6B"/>
    <w:rsid w:val="00EF5D2A"/>
    <w:rsid w:val="00EF5E58"/>
    <w:rsid w:val="00EF614C"/>
    <w:rsid w:val="00EF6AFE"/>
    <w:rsid w:val="00EF6CDB"/>
    <w:rsid w:val="00EF6DC7"/>
    <w:rsid w:val="00EF7200"/>
    <w:rsid w:val="00EF7579"/>
    <w:rsid w:val="00EF75B4"/>
    <w:rsid w:val="00F018C7"/>
    <w:rsid w:val="00F02560"/>
    <w:rsid w:val="00F02B13"/>
    <w:rsid w:val="00F03139"/>
    <w:rsid w:val="00F03416"/>
    <w:rsid w:val="00F03B6C"/>
    <w:rsid w:val="00F03B7E"/>
    <w:rsid w:val="00F03DC5"/>
    <w:rsid w:val="00F043BE"/>
    <w:rsid w:val="00F04401"/>
    <w:rsid w:val="00F04A51"/>
    <w:rsid w:val="00F04DD0"/>
    <w:rsid w:val="00F04DDC"/>
    <w:rsid w:val="00F04DFC"/>
    <w:rsid w:val="00F054B6"/>
    <w:rsid w:val="00F0599E"/>
    <w:rsid w:val="00F05CED"/>
    <w:rsid w:val="00F07653"/>
    <w:rsid w:val="00F07A8A"/>
    <w:rsid w:val="00F1045D"/>
    <w:rsid w:val="00F11138"/>
    <w:rsid w:val="00F11B6B"/>
    <w:rsid w:val="00F11BA4"/>
    <w:rsid w:val="00F11D52"/>
    <w:rsid w:val="00F121FB"/>
    <w:rsid w:val="00F12688"/>
    <w:rsid w:val="00F1286E"/>
    <w:rsid w:val="00F132EB"/>
    <w:rsid w:val="00F13346"/>
    <w:rsid w:val="00F13895"/>
    <w:rsid w:val="00F13B24"/>
    <w:rsid w:val="00F14794"/>
    <w:rsid w:val="00F158E9"/>
    <w:rsid w:val="00F16776"/>
    <w:rsid w:val="00F16F1D"/>
    <w:rsid w:val="00F17D18"/>
    <w:rsid w:val="00F20543"/>
    <w:rsid w:val="00F207BC"/>
    <w:rsid w:val="00F2090F"/>
    <w:rsid w:val="00F21068"/>
    <w:rsid w:val="00F210D9"/>
    <w:rsid w:val="00F21528"/>
    <w:rsid w:val="00F215B1"/>
    <w:rsid w:val="00F223E8"/>
    <w:rsid w:val="00F22492"/>
    <w:rsid w:val="00F2298F"/>
    <w:rsid w:val="00F22A15"/>
    <w:rsid w:val="00F22FC2"/>
    <w:rsid w:val="00F23690"/>
    <w:rsid w:val="00F23926"/>
    <w:rsid w:val="00F24BEC"/>
    <w:rsid w:val="00F254B2"/>
    <w:rsid w:val="00F25655"/>
    <w:rsid w:val="00F25C28"/>
    <w:rsid w:val="00F25EC7"/>
    <w:rsid w:val="00F266C6"/>
    <w:rsid w:val="00F26AA8"/>
    <w:rsid w:val="00F27143"/>
    <w:rsid w:val="00F27463"/>
    <w:rsid w:val="00F30B1C"/>
    <w:rsid w:val="00F30EF8"/>
    <w:rsid w:val="00F317AF"/>
    <w:rsid w:val="00F31EB9"/>
    <w:rsid w:val="00F32276"/>
    <w:rsid w:val="00F32402"/>
    <w:rsid w:val="00F324F7"/>
    <w:rsid w:val="00F3279E"/>
    <w:rsid w:val="00F32D10"/>
    <w:rsid w:val="00F32D35"/>
    <w:rsid w:val="00F34267"/>
    <w:rsid w:val="00F343D9"/>
    <w:rsid w:val="00F34443"/>
    <w:rsid w:val="00F35C31"/>
    <w:rsid w:val="00F367D8"/>
    <w:rsid w:val="00F3680A"/>
    <w:rsid w:val="00F36B15"/>
    <w:rsid w:val="00F37903"/>
    <w:rsid w:val="00F37C1B"/>
    <w:rsid w:val="00F400D8"/>
    <w:rsid w:val="00F40332"/>
    <w:rsid w:val="00F40D20"/>
    <w:rsid w:val="00F40E49"/>
    <w:rsid w:val="00F4185B"/>
    <w:rsid w:val="00F42656"/>
    <w:rsid w:val="00F427DC"/>
    <w:rsid w:val="00F437A3"/>
    <w:rsid w:val="00F43C6F"/>
    <w:rsid w:val="00F44130"/>
    <w:rsid w:val="00F44183"/>
    <w:rsid w:val="00F441B5"/>
    <w:rsid w:val="00F44522"/>
    <w:rsid w:val="00F44BDA"/>
    <w:rsid w:val="00F45197"/>
    <w:rsid w:val="00F455DD"/>
    <w:rsid w:val="00F4576B"/>
    <w:rsid w:val="00F45E17"/>
    <w:rsid w:val="00F45F14"/>
    <w:rsid w:val="00F466F7"/>
    <w:rsid w:val="00F46B97"/>
    <w:rsid w:val="00F46E63"/>
    <w:rsid w:val="00F46EE9"/>
    <w:rsid w:val="00F472E9"/>
    <w:rsid w:val="00F473AB"/>
    <w:rsid w:val="00F47478"/>
    <w:rsid w:val="00F47B0A"/>
    <w:rsid w:val="00F47B2F"/>
    <w:rsid w:val="00F50164"/>
    <w:rsid w:val="00F5037A"/>
    <w:rsid w:val="00F50435"/>
    <w:rsid w:val="00F510A8"/>
    <w:rsid w:val="00F513E5"/>
    <w:rsid w:val="00F51DE9"/>
    <w:rsid w:val="00F51E08"/>
    <w:rsid w:val="00F51EED"/>
    <w:rsid w:val="00F52943"/>
    <w:rsid w:val="00F53318"/>
    <w:rsid w:val="00F536E2"/>
    <w:rsid w:val="00F53D41"/>
    <w:rsid w:val="00F54907"/>
    <w:rsid w:val="00F549A7"/>
    <w:rsid w:val="00F54A70"/>
    <w:rsid w:val="00F54C46"/>
    <w:rsid w:val="00F55305"/>
    <w:rsid w:val="00F55418"/>
    <w:rsid w:val="00F55803"/>
    <w:rsid w:val="00F55893"/>
    <w:rsid w:val="00F559DB"/>
    <w:rsid w:val="00F55D2B"/>
    <w:rsid w:val="00F56347"/>
    <w:rsid w:val="00F56568"/>
    <w:rsid w:val="00F56D9A"/>
    <w:rsid w:val="00F57393"/>
    <w:rsid w:val="00F60865"/>
    <w:rsid w:val="00F608A3"/>
    <w:rsid w:val="00F611E2"/>
    <w:rsid w:val="00F6136D"/>
    <w:rsid w:val="00F61567"/>
    <w:rsid w:val="00F616BF"/>
    <w:rsid w:val="00F61AA9"/>
    <w:rsid w:val="00F6291E"/>
    <w:rsid w:val="00F62C46"/>
    <w:rsid w:val="00F63289"/>
    <w:rsid w:val="00F64174"/>
    <w:rsid w:val="00F64829"/>
    <w:rsid w:val="00F65B56"/>
    <w:rsid w:val="00F65DBC"/>
    <w:rsid w:val="00F66015"/>
    <w:rsid w:val="00F6623C"/>
    <w:rsid w:val="00F668FC"/>
    <w:rsid w:val="00F66FDC"/>
    <w:rsid w:val="00F67B14"/>
    <w:rsid w:val="00F67EEE"/>
    <w:rsid w:val="00F70933"/>
    <w:rsid w:val="00F709BF"/>
    <w:rsid w:val="00F70CB5"/>
    <w:rsid w:val="00F72044"/>
    <w:rsid w:val="00F72884"/>
    <w:rsid w:val="00F72911"/>
    <w:rsid w:val="00F72B3D"/>
    <w:rsid w:val="00F72D60"/>
    <w:rsid w:val="00F72E03"/>
    <w:rsid w:val="00F72F63"/>
    <w:rsid w:val="00F73C5C"/>
    <w:rsid w:val="00F73D98"/>
    <w:rsid w:val="00F74139"/>
    <w:rsid w:val="00F74982"/>
    <w:rsid w:val="00F74CD1"/>
    <w:rsid w:val="00F74EC8"/>
    <w:rsid w:val="00F75C16"/>
    <w:rsid w:val="00F76518"/>
    <w:rsid w:val="00F766B4"/>
    <w:rsid w:val="00F77075"/>
    <w:rsid w:val="00F77263"/>
    <w:rsid w:val="00F77D16"/>
    <w:rsid w:val="00F77E60"/>
    <w:rsid w:val="00F80B75"/>
    <w:rsid w:val="00F81564"/>
    <w:rsid w:val="00F815C2"/>
    <w:rsid w:val="00F81697"/>
    <w:rsid w:val="00F819AA"/>
    <w:rsid w:val="00F81A6F"/>
    <w:rsid w:val="00F81CC3"/>
    <w:rsid w:val="00F82046"/>
    <w:rsid w:val="00F828E6"/>
    <w:rsid w:val="00F82A40"/>
    <w:rsid w:val="00F83DB0"/>
    <w:rsid w:val="00F83F6C"/>
    <w:rsid w:val="00F845D4"/>
    <w:rsid w:val="00F8496F"/>
    <w:rsid w:val="00F84EBA"/>
    <w:rsid w:val="00F85A4B"/>
    <w:rsid w:val="00F85B57"/>
    <w:rsid w:val="00F85D6B"/>
    <w:rsid w:val="00F85DAD"/>
    <w:rsid w:val="00F85E33"/>
    <w:rsid w:val="00F860CE"/>
    <w:rsid w:val="00F86342"/>
    <w:rsid w:val="00F8641C"/>
    <w:rsid w:val="00F86543"/>
    <w:rsid w:val="00F865B6"/>
    <w:rsid w:val="00F86897"/>
    <w:rsid w:val="00F868BE"/>
    <w:rsid w:val="00F86C7C"/>
    <w:rsid w:val="00F86CEA"/>
    <w:rsid w:val="00F86DBC"/>
    <w:rsid w:val="00F86E8E"/>
    <w:rsid w:val="00F87259"/>
    <w:rsid w:val="00F8736F"/>
    <w:rsid w:val="00F90417"/>
    <w:rsid w:val="00F9055E"/>
    <w:rsid w:val="00F916AF"/>
    <w:rsid w:val="00F92355"/>
    <w:rsid w:val="00F924C5"/>
    <w:rsid w:val="00F9292A"/>
    <w:rsid w:val="00F93656"/>
    <w:rsid w:val="00F93EDF"/>
    <w:rsid w:val="00F94008"/>
    <w:rsid w:val="00F94F59"/>
    <w:rsid w:val="00F95662"/>
    <w:rsid w:val="00F96A6A"/>
    <w:rsid w:val="00F97362"/>
    <w:rsid w:val="00F97903"/>
    <w:rsid w:val="00F97909"/>
    <w:rsid w:val="00F97BEA"/>
    <w:rsid w:val="00F97F9A"/>
    <w:rsid w:val="00FA03DD"/>
    <w:rsid w:val="00FA07DB"/>
    <w:rsid w:val="00FA14F4"/>
    <w:rsid w:val="00FA17B5"/>
    <w:rsid w:val="00FA17C0"/>
    <w:rsid w:val="00FA1C04"/>
    <w:rsid w:val="00FA1F10"/>
    <w:rsid w:val="00FA2DAA"/>
    <w:rsid w:val="00FA3507"/>
    <w:rsid w:val="00FA356A"/>
    <w:rsid w:val="00FA38A4"/>
    <w:rsid w:val="00FA3C06"/>
    <w:rsid w:val="00FA416F"/>
    <w:rsid w:val="00FA54B2"/>
    <w:rsid w:val="00FA5652"/>
    <w:rsid w:val="00FA5779"/>
    <w:rsid w:val="00FA5AA3"/>
    <w:rsid w:val="00FA5AF8"/>
    <w:rsid w:val="00FA5D3B"/>
    <w:rsid w:val="00FA66C6"/>
    <w:rsid w:val="00FB054A"/>
    <w:rsid w:val="00FB07CF"/>
    <w:rsid w:val="00FB2028"/>
    <w:rsid w:val="00FB2A63"/>
    <w:rsid w:val="00FB3357"/>
    <w:rsid w:val="00FB4398"/>
    <w:rsid w:val="00FB44F8"/>
    <w:rsid w:val="00FB4EAB"/>
    <w:rsid w:val="00FB5076"/>
    <w:rsid w:val="00FB50AA"/>
    <w:rsid w:val="00FB5D08"/>
    <w:rsid w:val="00FB6031"/>
    <w:rsid w:val="00FB64EA"/>
    <w:rsid w:val="00FB6FA8"/>
    <w:rsid w:val="00FB79BB"/>
    <w:rsid w:val="00FB7CE1"/>
    <w:rsid w:val="00FC0210"/>
    <w:rsid w:val="00FC02AA"/>
    <w:rsid w:val="00FC0AFE"/>
    <w:rsid w:val="00FC1BB3"/>
    <w:rsid w:val="00FC2481"/>
    <w:rsid w:val="00FC25FA"/>
    <w:rsid w:val="00FC2C2E"/>
    <w:rsid w:val="00FC35F4"/>
    <w:rsid w:val="00FC36C7"/>
    <w:rsid w:val="00FC36D2"/>
    <w:rsid w:val="00FC39CD"/>
    <w:rsid w:val="00FC3BA7"/>
    <w:rsid w:val="00FC5189"/>
    <w:rsid w:val="00FC54A7"/>
    <w:rsid w:val="00FC55E0"/>
    <w:rsid w:val="00FC5D87"/>
    <w:rsid w:val="00FC6CAD"/>
    <w:rsid w:val="00FD01F0"/>
    <w:rsid w:val="00FD0547"/>
    <w:rsid w:val="00FD0756"/>
    <w:rsid w:val="00FD07A9"/>
    <w:rsid w:val="00FD1CFF"/>
    <w:rsid w:val="00FD207B"/>
    <w:rsid w:val="00FD22E9"/>
    <w:rsid w:val="00FD2512"/>
    <w:rsid w:val="00FD2C89"/>
    <w:rsid w:val="00FD2DB4"/>
    <w:rsid w:val="00FD2FA8"/>
    <w:rsid w:val="00FD34E6"/>
    <w:rsid w:val="00FD474C"/>
    <w:rsid w:val="00FD4FF4"/>
    <w:rsid w:val="00FD5A03"/>
    <w:rsid w:val="00FD67B3"/>
    <w:rsid w:val="00FD6D00"/>
    <w:rsid w:val="00FD705F"/>
    <w:rsid w:val="00FD7D5C"/>
    <w:rsid w:val="00FD7D95"/>
    <w:rsid w:val="00FD7E56"/>
    <w:rsid w:val="00FD7FC2"/>
    <w:rsid w:val="00FE0359"/>
    <w:rsid w:val="00FE04BA"/>
    <w:rsid w:val="00FE08D0"/>
    <w:rsid w:val="00FE091D"/>
    <w:rsid w:val="00FE0FAD"/>
    <w:rsid w:val="00FE10BA"/>
    <w:rsid w:val="00FE1CE1"/>
    <w:rsid w:val="00FE1D43"/>
    <w:rsid w:val="00FE1DD3"/>
    <w:rsid w:val="00FE24E2"/>
    <w:rsid w:val="00FE31EB"/>
    <w:rsid w:val="00FE335C"/>
    <w:rsid w:val="00FE36A2"/>
    <w:rsid w:val="00FE3790"/>
    <w:rsid w:val="00FE4AEE"/>
    <w:rsid w:val="00FE4B6E"/>
    <w:rsid w:val="00FE4E03"/>
    <w:rsid w:val="00FE4FCE"/>
    <w:rsid w:val="00FE5185"/>
    <w:rsid w:val="00FE56B1"/>
    <w:rsid w:val="00FE5B54"/>
    <w:rsid w:val="00FE5D28"/>
    <w:rsid w:val="00FE6055"/>
    <w:rsid w:val="00FE692B"/>
    <w:rsid w:val="00FE7181"/>
    <w:rsid w:val="00FE7491"/>
    <w:rsid w:val="00FE798F"/>
    <w:rsid w:val="00FE7AD8"/>
    <w:rsid w:val="00FE7B08"/>
    <w:rsid w:val="00FF016D"/>
    <w:rsid w:val="00FF0F28"/>
    <w:rsid w:val="00FF2157"/>
    <w:rsid w:val="00FF25A6"/>
    <w:rsid w:val="00FF37AD"/>
    <w:rsid w:val="00FF3C65"/>
    <w:rsid w:val="00FF403E"/>
    <w:rsid w:val="00FF403F"/>
    <w:rsid w:val="00FF4770"/>
    <w:rsid w:val="00FF4BFD"/>
    <w:rsid w:val="00FF4ED5"/>
    <w:rsid w:val="00FF5344"/>
    <w:rsid w:val="00FF57A5"/>
    <w:rsid w:val="00FF5A6E"/>
    <w:rsid w:val="00FF5D70"/>
    <w:rsid w:val="00FF64EA"/>
    <w:rsid w:val="00FF68BE"/>
    <w:rsid w:val="00FF7698"/>
    <w:rsid w:val="00FF7AEF"/>
    <w:rsid w:val="00FF7EF7"/>
    <w:rsid w:val="00FF7F36"/>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4745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sk-SK" w:eastAsia="sk-SK"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uiPriority="9" w:qFormat="1"/>
    <w:lsdException w:name="heading 4" w:qFormat="1"/>
    <w:lsdException w:name="heading 5" w:qFormat="1"/>
    <w:lsdException w:name="heading 6" w:qFormat="1"/>
    <w:lsdException w:name="heading 7" w:qFormat="1"/>
    <w:lsdException w:name="heading 8" w:qFormat="1"/>
    <w:lsdException w:name="heading 9" w:semiHidden="1" w:unhideWhenUsed="1" w:qFormat="1"/>
    <w:lsdException w:name="toc 1" w:uiPriority="39"/>
    <w:lsdException w:name="toc 2" w:uiPriority="39"/>
    <w:lsdException w:name="toc 3" w:uiPriority="39"/>
    <w:lsdException w:name="annotation text" w:uiPriority="99"/>
    <w:lsdException w:name="caption" w:semiHidden="1" w:unhideWhenUsed="1" w:qFormat="1"/>
    <w:lsdException w:name="annotation reference" w:uiPriority="99"/>
    <w:lsdException w:name="Title" w:qFormat="1"/>
    <w:lsdException w:name="Subtitle" w:qFormat="1"/>
    <w:lsdException w:name="Hyperlink" w:uiPriority="99"/>
    <w:lsdException w:name="Strong" w:uiPriority="22"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lny">
    <w:name w:val="Normal"/>
    <w:qFormat/>
    <w:rsid w:val="00155E4D"/>
    <w:rPr>
      <w:sz w:val="24"/>
      <w:szCs w:val="24"/>
    </w:rPr>
  </w:style>
  <w:style w:type="paragraph" w:styleId="Nadpis1">
    <w:name w:val="heading 1"/>
    <w:basedOn w:val="Normlny"/>
    <w:next w:val="Normlny"/>
    <w:link w:val="Nadpis1Char"/>
    <w:uiPriority w:val="9"/>
    <w:qFormat/>
    <w:rsid w:val="00276947"/>
    <w:pPr>
      <w:keepNext/>
      <w:spacing w:before="240" w:after="60"/>
      <w:outlineLvl w:val="0"/>
    </w:pPr>
    <w:rPr>
      <w:rFonts w:ascii="Arial" w:hAnsi="Arial"/>
      <w:b/>
      <w:caps/>
      <w:kern w:val="32"/>
      <w:sz w:val="32"/>
      <w:szCs w:val="20"/>
      <w:lang w:val="x-none" w:eastAsia="x-none"/>
    </w:rPr>
  </w:style>
  <w:style w:type="paragraph" w:styleId="Nadpis2">
    <w:name w:val="heading 2"/>
    <w:basedOn w:val="Normlny"/>
    <w:next w:val="Normlny"/>
    <w:link w:val="Nadpis2Char"/>
    <w:uiPriority w:val="9"/>
    <w:qFormat/>
    <w:rsid w:val="00C85BF9"/>
    <w:pPr>
      <w:keepNext/>
      <w:spacing w:before="240" w:after="60"/>
      <w:outlineLvl w:val="1"/>
    </w:pPr>
    <w:rPr>
      <w:rFonts w:ascii="Arial" w:hAnsi="Arial"/>
      <w:b/>
      <w:bCs/>
      <w:iCs/>
      <w:sz w:val="28"/>
      <w:szCs w:val="28"/>
    </w:rPr>
  </w:style>
  <w:style w:type="paragraph" w:styleId="Nadpis3">
    <w:name w:val="heading 3"/>
    <w:basedOn w:val="Normlny"/>
    <w:next w:val="Normlny"/>
    <w:link w:val="Nadpis3Char"/>
    <w:uiPriority w:val="9"/>
    <w:qFormat/>
    <w:rsid w:val="00276947"/>
    <w:pPr>
      <w:keepNext/>
      <w:spacing w:before="240" w:after="60"/>
      <w:outlineLvl w:val="2"/>
    </w:pPr>
    <w:rPr>
      <w:rFonts w:ascii="Arial" w:hAnsi="Arial"/>
      <w:b/>
      <w:bCs/>
      <w:sz w:val="26"/>
      <w:szCs w:val="26"/>
    </w:rPr>
  </w:style>
  <w:style w:type="paragraph" w:styleId="Nadpis4">
    <w:name w:val="heading 4"/>
    <w:basedOn w:val="Normlny"/>
    <w:next w:val="Normlny"/>
    <w:link w:val="Nadpis4Char"/>
    <w:uiPriority w:val="9"/>
    <w:qFormat/>
    <w:rsid w:val="00F74139"/>
    <w:pPr>
      <w:keepNext/>
      <w:spacing w:before="240" w:after="60"/>
      <w:outlineLvl w:val="3"/>
    </w:pPr>
    <w:rPr>
      <w:rFonts w:ascii="Calibri" w:hAnsi="Calibri"/>
      <w:b/>
      <w:bCs/>
      <w:sz w:val="28"/>
      <w:szCs w:val="28"/>
    </w:rPr>
  </w:style>
  <w:style w:type="paragraph" w:styleId="Nadpis5">
    <w:name w:val="heading 5"/>
    <w:basedOn w:val="Normlny"/>
    <w:next w:val="Normlny"/>
    <w:link w:val="Nadpis5Char"/>
    <w:uiPriority w:val="9"/>
    <w:qFormat/>
    <w:rsid w:val="001B26C3"/>
    <w:pPr>
      <w:spacing w:before="240" w:after="60"/>
      <w:outlineLvl w:val="4"/>
    </w:pPr>
    <w:rPr>
      <w:rFonts w:ascii="Calibri" w:hAnsi="Calibri"/>
      <w:b/>
      <w:bCs/>
      <w:i/>
      <w:iCs/>
      <w:sz w:val="26"/>
      <w:szCs w:val="26"/>
    </w:rPr>
  </w:style>
  <w:style w:type="paragraph" w:styleId="Nadpis6">
    <w:name w:val="heading 6"/>
    <w:basedOn w:val="Normlny"/>
    <w:next w:val="Normlny"/>
    <w:link w:val="Nadpis6Char"/>
    <w:uiPriority w:val="9"/>
    <w:qFormat/>
    <w:rsid w:val="00B706C5"/>
    <w:pPr>
      <w:spacing w:before="240" w:after="60"/>
      <w:outlineLvl w:val="5"/>
    </w:pPr>
    <w:rPr>
      <w:rFonts w:ascii="Calibri" w:hAnsi="Calibri"/>
      <w:b/>
      <w:bCs/>
      <w:sz w:val="22"/>
      <w:szCs w:val="22"/>
    </w:rPr>
  </w:style>
  <w:style w:type="paragraph" w:styleId="Nadpis7">
    <w:name w:val="heading 7"/>
    <w:basedOn w:val="Normlny"/>
    <w:next w:val="Normlny"/>
    <w:link w:val="Nadpis7Char"/>
    <w:uiPriority w:val="9"/>
    <w:qFormat/>
    <w:rsid w:val="0072342F"/>
    <w:pPr>
      <w:spacing w:before="240" w:after="60"/>
      <w:outlineLvl w:val="6"/>
    </w:pPr>
    <w:rPr>
      <w:rFonts w:ascii="Calibri" w:hAnsi="Calibri"/>
      <w:szCs w:val="20"/>
      <w:lang w:val="x-none" w:eastAsia="x-none"/>
    </w:rPr>
  </w:style>
  <w:style w:type="paragraph" w:styleId="Nadpis8">
    <w:name w:val="heading 8"/>
    <w:basedOn w:val="Normlny"/>
    <w:next w:val="Normlny"/>
    <w:link w:val="Nadpis8Char"/>
    <w:uiPriority w:val="9"/>
    <w:qFormat/>
    <w:rsid w:val="001B26C3"/>
    <w:pPr>
      <w:spacing w:before="240" w:after="60"/>
      <w:outlineLvl w:val="7"/>
    </w:pPr>
    <w:rPr>
      <w:rFonts w:ascii="Calibri" w:hAnsi="Calibri"/>
      <w:i/>
      <w:iCs/>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character" w:customStyle="1" w:styleId="Heading1Char">
    <w:name w:val="Heading 1 Char"/>
    <w:uiPriority w:val="9"/>
    <w:locked/>
    <w:rsid w:val="00E03A17"/>
    <w:rPr>
      <w:rFonts w:ascii="Tw Cen MT" w:eastAsia="Times New Roman" w:hAnsi="Tw Cen MT"/>
      <w:caps/>
      <w:color w:val="000000"/>
      <w:sz w:val="32"/>
      <w:lang w:val="sk-SK" w:eastAsia="en-US"/>
    </w:rPr>
  </w:style>
  <w:style w:type="character" w:customStyle="1" w:styleId="Nadpis2Char">
    <w:name w:val="Nadpis 2 Char"/>
    <w:link w:val="Nadpis2"/>
    <w:uiPriority w:val="9"/>
    <w:locked/>
    <w:rsid w:val="00C85BF9"/>
    <w:rPr>
      <w:rFonts w:ascii="Arial" w:hAnsi="Arial"/>
      <w:b/>
      <w:bCs/>
      <w:iCs/>
      <w:sz w:val="28"/>
      <w:szCs w:val="28"/>
    </w:rPr>
  </w:style>
  <w:style w:type="character" w:customStyle="1" w:styleId="Nadpis3Char">
    <w:name w:val="Nadpis 3 Char"/>
    <w:link w:val="Nadpis3"/>
    <w:uiPriority w:val="9"/>
    <w:locked/>
    <w:rsid w:val="00276947"/>
    <w:rPr>
      <w:rFonts w:ascii="Arial" w:hAnsi="Arial"/>
      <w:b/>
      <w:bCs/>
      <w:sz w:val="26"/>
      <w:szCs w:val="26"/>
    </w:rPr>
  </w:style>
  <w:style w:type="character" w:customStyle="1" w:styleId="Nadpis4Char">
    <w:name w:val="Nadpis 4 Char"/>
    <w:link w:val="Nadpis4"/>
    <w:uiPriority w:val="9"/>
    <w:semiHidden/>
    <w:locked/>
    <w:rPr>
      <w:rFonts w:ascii="Calibri" w:hAnsi="Calibri"/>
      <w:b/>
      <w:sz w:val="28"/>
    </w:rPr>
  </w:style>
  <w:style w:type="character" w:customStyle="1" w:styleId="Nadpis5Char">
    <w:name w:val="Nadpis 5 Char"/>
    <w:link w:val="Nadpis5"/>
    <w:uiPriority w:val="9"/>
    <w:semiHidden/>
    <w:locked/>
    <w:rPr>
      <w:rFonts w:ascii="Calibri" w:hAnsi="Calibri"/>
      <w:b/>
      <w:i/>
      <w:sz w:val="26"/>
    </w:rPr>
  </w:style>
  <w:style w:type="character" w:customStyle="1" w:styleId="Nadpis6Char">
    <w:name w:val="Nadpis 6 Char"/>
    <w:link w:val="Nadpis6"/>
    <w:uiPriority w:val="9"/>
    <w:semiHidden/>
    <w:locked/>
    <w:rPr>
      <w:rFonts w:ascii="Calibri" w:hAnsi="Calibri"/>
      <w:b/>
      <w:sz w:val="22"/>
    </w:rPr>
  </w:style>
  <w:style w:type="character" w:customStyle="1" w:styleId="Heading7Char">
    <w:name w:val="Heading 7 Char"/>
    <w:uiPriority w:val="9"/>
    <w:semiHidden/>
    <w:locked/>
    <w:rsid w:val="00EF3EA8"/>
    <w:rPr>
      <w:smallCaps/>
      <w:color w:val="000000"/>
      <w:spacing w:val="10"/>
      <w:sz w:val="23"/>
    </w:rPr>
  </w:style>
  <w:style w:type="character" w:customStyle="1" w:styleId="Nadpis8Char">
    <w:name w:val="Nadpis 8 Char"/>
    <w:link w:val="Nadpis8"/>
    <w:uiPriority w:val="9"/>
    <w:semiHidden/>
    <w:locked/>
    <w:rPr>
      <w:rFonts w:ascii="Calibri" w:hAnsi="Calibri"/>
      <w:i/>
      <w:sz w:val="24"/>
    </w:rPr>
  </w:style>
  <w:style w:type="character" w:customStyle="1" w:styleId="Nadpis1Char">
    <w:name w:val="Nadpis 1 Char"/>
    <w:link w:val="Nadpis1"/>
    <w:uiPriority w:val="9"/>
    <w:locked/>
    <w:rsid w:val="00276947"/>
    <w:rPr>
      <w:rFonts w:ascii="Arial" w:hAnsi="Arial"/>
      <w:b/>
      <w:caps/>
      <w:kern w:val="32"/>
      <w:sz w:val="32"/>
      <w:lang w:val="x-none" w:eastAsia="x-none"/>
    </w:rPr>
  </w:style>
  <w:style w:type="character" w:customStyle="1" w:styleId="Nadpis7Char">
    <w:name w:val="Nadpis 7 Char"/>
    <w:link w:val="Nadpis7"/>
    <w:uiPriority w:val="9"/>
    <w:semiHidden/>
    <w:locked/>
    <w:rPr>
      <w:rFonts w:ascii="Calibri" w:hAnsi="Calibri"/>
      <w:sz w:val="24"/>
    </w:rPr>
  </w:style>
  <w:style w:type="table" w:styleId="Mriekatabuky">
    <w:name w:val="Table Grid"/>
    <w:basedOn w:val="Normlnatabuka"/>
    <w:uiPriority w:val="59"/>
    <w:rsid w:val="009F4CF2"/>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Datedadoption">
    <w:name w:val="Date d'adoption"/>
    <w:basedOn w:val="Normlny"/>
    <w:next w:val="Titreobjet"/>
    <w:rsid w:val="002E4092"/>
    <w:pPr>
      <w:spacing w:before="360"/>
      <w:jc w:val="center"/>
    </w:pPr>
    <w:rPr>
      <w:b/>
      <w:bCs/>
      <w:lang w:val="en-GB"/>
    </w:rPr>
  </w:style>
  <w:style w:type="paragraph" w:customStyle="1" w:styleId="Titreobjet">
    <w:name w:val="Titre objet"/>
    <w:basedOn w:val="Normlny"/>
    <w:next w:val="Normlny"/>
    <w:rsid w:val="002E4092"/>
    <w:pPr>
      <w:spacing w:before="360" w:after="360"/>
      <w:jc w:val="center"/>
    </w:pPr>
    <w:rPr>
      <w:b/>
      <w:bCs/>
      <w:lang w:val="en-GB"/>
    </w:rPr>
  </w:style>
  <w:style w:type="paragraph" w:customStyle="1" w:styleId="Typedudocument">
    <w:name w:val="Type du document"/>
    <w:basedOn w:val="Normlny"/>
    <w:next w:val="Datedadoption"/>
    <w:rsid w:val="002E4092"/>
    <w:pPr>
      <w:spacing w:before="360"/>
      <w:jc w:val="center"/>
    </w:pPr>
    <w:rPr>
      <w:b/>
      <w:bCs/>
      <w:lang w:val="en-GB"/>
    </w:rPr>
  </w:style>
  <w:style w:type="paragraph" w:customStyle="1" w:styleId="TableText">
    <w:name w:val="Table Text"/>
    <w:basedOn w:val="Normlny"/>
    <w:rsid w:val="00CC0DF6"/>
    <w:pPr>
      <w:spacing w:before="60"/>
    </w:pPr>
    <w:rPr>
      <w:rFonts w:ascii="Arial" w:hAnsi="Arial"/>
      <w:sz w:val="16"/>
      <w:szCs w:val="20"/>
      <w:lang w:val="en-US"/>
    </w:rPr>
  </w:style>
  <w:style w:type="paragraph" w:styleId="Textvysvetlivky">
    <w:name w:val="endnote text"/>
    <w:basedOn w:val="Normlny"/>
    <w:link w:val="TextvysvetlivkyChar"/>
    <w:uiPriority w:val="99"/>
    <w:semiHidden/>
    <w:rsid w:val="00CC0DF6"/>
    <w:pPr>
      <w:keepLines/>
      <w:spacing w:line="200" w:lineRule="atLeast"/>
    </w:pPr>
    <w:rPr>
      <w:rFonts w:ascii="Arial" w:hAnsi="Arial"/>
      <w:spacing w:val="-5"/>
      <w:sz w:val="16"/>
      <w:szCs w:val="20"/>
      <w:lang w:val="en-GB"/>
    </w:rPr>
  </w:style>
  <w:style w:type="character" w:customStyle="1" w:styleId="TextvysvetlivkyChar">
    <w:name w:val="Text vysvetlivky Char"/>
    <w:link w:val="Textvysvetlivky"/>
    <w:uiPriority w:val="99"/>
    <w:semiHidden/>
    <w:locked/>
    <w:rPr>
      <w:rFonts w:cs="Times New Roman"/>
    </w:rPr>
  </w:style>
  <w:style w:type="paragraph" w:styleId="Hlavika">
    <w:name w:val="header"/>
    <w:basedOn w:val="Normlny"/>
    <w:link w:val="HlavikaChar"/>
    <w:uiPriority w:val="99"/>
    <w:rsid w:val="002C0260"/>
    <w:pPr>
      <w:tabs>
        <w:tab w:val="center" w:pos="4536"/>
        <w:tab w:val="right" w:pos="9072"/>
      </w:tabs>
    </w:pPr>
  </w:style>
  <w:style w:type="character" w:customStyle="1" w:styleId="HlavikaChar">
    <w:name w:val="Hlavička Char"/>
    <w:link w:val="Hlavika"/>
    <w:uiPriority w:val="99"/>
    <w:semiHidden/>
    <w:locked/>
    <w:rPr>
      <w:sz w:val="24"/>
    </w:rPr>
  </w:style>
  <w:style w:type="paragraph" w:styleId="Pta">
    <w:name w:val="footer"/>
    <w:basedOn w:val="Normlny"/>
    <w:link w:val="PtaChar"/>
    <w:uiPriority w:val="99"/>
    <w:rsid w:val="002C0260"/>
    <w:pPr>
      <w:tabs>
        <w:tab w:val="center" w:pos="4536"/>
        <w:tab w:val="right" w:pos="9072"/>
      </w:tabs>
    </w:pPr>
  </w:style>
  <w:style w:type="character" w:customStyle="1" w:styleId="PtaChar">
    <w:name w:val="Päta Char"/>
    <w:link w:val="Pta"/>
    <w:uiPriority w:val="99"/>
    <w:semiHidden/>
    <w:locked/>
    <w:rPr>
      <w:sz w:val="24"/>
    </w:rPr>
  </w:style>
  <w:style w:type="paragraph" w:styleId="PredformtovanHTML">
    <w:name w:val="HTML Preformatted"/>
    <w:basedOn w:val="Normlny"/>
    <w:link w:val="PredformtovanHTMLChar"/>
    <w:uiPriority w:val="99"/>
    <w:rsid w:val="00C852B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sz w:val="20"/>
      <w:szCs w:val="20"/>
    </w:rPr>
  </w:style>
  <w:style w:type="character" w:customStyle="1" w:styleId="PredformtovanHTMLChar">
    <w:name w:val="Predformátované HTML Char"/>
    <w:link w:val="PredformtovanHTML"/>
    <w:uiPriority w:val="99"/>
    <w:semiHidden/>
    <w:locked/>
    <w:rPr>
      <w:rFonts w:ascii="Courier New" w:hAnsi="Courier New"/>
    </w:rPr>
  </w:style>
  <w:style w:type="paragraph" w:customStyle="1" w:styleId="Zkladntextb">
    <w:name w:val="Základní text.b"/>
    <w:basedOn w:val="Normlny"/>
    <w:rsid w:val="00DE2442"/>
    <w:pPr>
      <w:spacing w:after="240" w:line="240" w:lineRule="atLeast"/>
      <w:ind w:left="1134"/>
    </w:pPr>
    <w:rPr>
      <w:rFonts w:ascii="Arial" w:hAnsi="Arial"/>
      <w:sz w:val="20"/>
      <w:szCs w:val="20"/>
      <w:lang w:val="en-US"/>
    </w:rPr>
  </w:style>
  <w:style w:type="paragraph" w:customStyle="1" w:styleId="ZkladntextbCharCharCharChar">
    <w:name w:val="Základný text.b Char Char Char Char"/>
    <w:basedOn w:val="Normlny"/>
    <w:link w:val="ZkladntextbCharCharCharCharChar"/>
    <w:rsid w:val="00DE2442"/>
    <w:pPr>
      <w:autoSpaceDE w:val="0"/>
      <w:autoSpaceDN w:val="0"/>
      <w:spacing w:after="240" w:line="240" w:lineRule="atLeast"/>
      <w:ind w:left="1134"/>
      <w:jc w:val="both"/>
    </w:pPr>
    <w:rPr>
      <w:rFonts w:ascii="Arial" w:hAnsi="Arial"/>
      <w:spacing w:val="-5"/>
      <w:szCs w:val="20"/>
      <w:lang w:val="en-GB" w:eastAsia="en-US"/>
    </w:rPr>
  </w:style>
  <w:style w:type="character" w:customStyle="1" w:styleId="ZkladntextbCharCharCharCharChar">
    <w:name w:val="Základný text.b Char Char Char Char Char"/>
    <w:link w:val="ZkladntextbCharCharCharChar"/>
    <w:locked/>
    <w:rsid w:val="00DE2442"/>
    <w:rPr>
      <w:rFonts w:ascii="Arial" w:hAnsi="Arial"/>
      <w:spacing w:val="-5"/>
      <w:sz w:val="24"/>
      <w:lang w:val="en-GB" w:eastAsia="en-US"/>
    </w:rPr>
  </w:style>
  <w:style w:type="paragraph" w:customStyle="1" w:styleId="ZkladntextbCharChar">
    <w:name w:val="Základný text.b Char Char"/>
    <w:basedOn w:val="Normlny"/>
    <w:rsid w:val="007A4557"/>
    <w:pPr>
      <w:spacing w:after="240" w:line="240" w:lineRule="atLeast"/>
      <w:ind w:left="1134"/>
      <w:jc w:val="both"/>
    </w:pPr>
    <w:rPr>
      <w:rFonts w:ascii="Arial" w:hAnsi="Arial"/>
      <w:spacing w:val="-5"/>
      <w:sz w:val="20"/>
      <w:szCs w:val="20"/>
      <w:lang w:val="en-GB" w:eastAsia="en-US"/>
    </w:rPr>
  </w:style>
  <w:style w:type="paragraph" w:styleId="Normlnywebov">
    <w:name w:val="Normal (Web)"/>
    <w:basedOn w:val="Normlny"/>
    <w:rsid w:val="00D627D0"/>
    <w:pPr>
      <w:spacing w:before="100" w:beforeAutospacing="1" w:after="100" w:afterAutospacing="1"/>
    </w:pPr>
    <w:rPr>
      <w:lang w:val="cs-CZ" w:eastAsia="cs-CZ"/>
    </w:rPr>
  </w:style>
  <w:style w:type="paragraph" w:styleId="Zkladntext">
    <w:name w:val="Body Text"/>
    <w:aliases w:val="b,Základný text1 Char,Základný text1 Char Char Char Char,Základný text1"/>
    <w:basedOn w:val="Normlny"/>
    <w:link w:val="ZkladntextChar"/>
    <w:uiPriority w:val="99"/>
    <w:rsid w:val="00D627D0"/>
    <w:pPr>
      <w:spacing w:after="240" w:line="240" w:lineRule="atLeast"/>
      <w:jc w:val="both"/>
    </w:pPr>
  </w:style>
  <w:style w:type="character" w:customStyle="1" w:styleId="ZkladntextChar">
    <w:name w:val="Základný text Char"/>
    <w:aliases w:val="b Char,Základný text1 Char Char,Základný text1 Char Char Char Char Char,Základný text1 Char1"/>
    <w:link w:val="Zkladntext"/>
    <w:uiPriority w:val="99"/>
    <w:semiHidden/>
    <w:locked/>
    <w:rPr>
      <w:sz w:val="24"/>
    </w:rPr>
  </w:style>
  <w:style w:type="character" w:styleId="Hypertextovprepojenie">
    <w:name w:val="Hyperlink"/>
    <w:uiPriority w:val="99"/>
    <w:rsid w:val="00A37259"/>
    <w:rPr>
      <w:color w:val="0000FF"/>
      <w:u w:val="single"/>
    </w:rPr>
  </w:style>
  <w:style w:type="paragraph" w:styleId="Zoznamsodrkami">
    <w:name w:val="List Bullet"/>
    <w:basedOn w:val="Zoznam"/>
    <w:autoRedefine/>
    <w:uiPriority w:val="99"/>
    <w:rsid w:val="00A37259"/>
    <w:pPr>
      <w:numPr>
        <w:numId w:val="1"/>
      </w:numPr>
      <w:tabs>
        <w:tab w:val="clear" w:pos="360"/>
        <w:tab w:val="num" w:pos="1209"/>
      </w:tabs>
      <w:ind w:left="1209"/>
      <w:jc w:val="both"/>
    </w:pPr>
    <w:rPr>
      <w:color w:val="FF0000"/>
      <w:spacing w:val="-5"/>
      <w:szCs w:val="20"/>
      <w:lang w:eastAsia="en-US"/>
    </w:rPr>
  </w:style>
  <w:style w:type="paragraph" w:styleId="Zoznam">
    <w:name w:val="List"/>
    <w:basedOn w:val="Normlny"/>
    <w:uiPriority w:val="99"/>
    <w:rsid w:val="00A37259"/>
    <w:pPr>
      <w:ind w:left="283" w:hanging="283"/>
    </w:pPr>
  </w:style>
  <w:style w:type="paragraph" w:customStyle="1" w:styleId="Nadpis52podnadpis">
    <w:name w:val="Nadpis 5._2.podnadpis"/>
    <w:basedOn w:val="Normlny"/>
    <w:next w:val="Normlny"/>
    <w:rsid w:val="00A37259"/>
    <w:pPr>
      <w:keepNext/>
      <w:keepLines/>
      <w:tabs>
        <w:tab w:val="num" w:pos="1068"/>
        <w:tab w:val="num" w:pos="3240"/>
        <w:tab w:val="num" w:pos="3600"/>
      </w:tabs>
      <w:spacing w:before="120" w:after="120" w:line="240" w:lineRule="atLeast"/>
      <w:ind w:left="3240" w:hanging="360"/>
    </w:pPr>
    <w:rPr>
      <w:rFonts w:ascii="Arial" w:hAnsi="Arial"/>
      <w:b/>
      <w:i/>
      <w:spacing w:val="-4"/>
      <w:kern w:val="28"/>
      <w:sz w:val="20"/>
      <w:szCs w:val="20"/>
      <w:lang w:val="en-GB" w:eastAsia="en-US"/>
    </w:rPr>
  </w:style>
  <w:style w:type="paragraph" w:customStyle="1" w:styleId="Titrearticle">
    <w:name w:val="Titre article"/>
    <w:basedOn w:val="Normlny"/>
    <w:next w:val="Normlny"/>
    <w:rsid w:val="00854870"/>
    <w:pPr>
      <w:keepNext/>
      <w:spacing w:before="360" w:after="120"/>
      <w:jc w:val="center"/>
    </w:pPr>
    <w:rPr>
      <w:i/>
      <w:iCs/>
      <w:lang w:val="en-GB"/>
    </w:rPr>
  </w:style>
  <w:style w:type="character" w:styleId="slostrany">
    <w:name w:val="page number"/>
    <w:basedOn w:val="Predvolenpsmoodseku"/>
    <w:uiPriority w:val="99"/>
    <w:rsid w:val="005019D4"/>
  </w:style>
  <w:style w:type="paragraph" w:styleId="Zarkazkladnhotextu">
    <w:name w:val="Body Text Indent"/>
    <w:basedOn w:val="Normlny"/>
    <w:link w:val="ZarkazkladnhotextuChar"/>
    <w:uiPriority w:val="99"/>
    <w:rsid w:val="00EE744A"/>
    <w:pPr>
      <w:spacing w:after="120"/>
      <w:ind w:left="283"/>
    </w:pPr>
  </w:style>
  <w:style w:type="character" w:customStyle="1" w:styleId="ZarkazkladnhotextuChar">
    <w:name w:val="Zarážka základného textu Char"/>
    <w:link w:val="Zarkazkladnhotextu"/>
    <w:uiPriority w:val="99"/>
    <w:semiHidden/>
    <w:locked/>
    <w:rPr>
      <w:sz w:val="24"/>
    </w:rPr>
  </w:style>
  <w:style w:type="paragraph" w:styleId="Obsah7">
    <w:name w:val="toc 7"/>
    <w:basedOn w:val="Normlny"/>
    <w:next w:val="Normlny"/>
    <w:autoRedefine/>
    <w:uiPriority w:val="39"/>
    <w:semiHidden/>
    <w:rsid w:val="005A3CE5"/>
    <w:pPr>
      <w:ind w:left="1200"/>
    </w:pPr>
    <w:rPr>
      <w:sz w:val="20"/>
      <w:szCs w:val="20"/>
    </w:rPr>
  </w:style>
  <w:style w:type="paragraph" w:customStyle="1" w:styleId="Nadpis3Nadpis3CharObyeajnCharH3CharObyeajnH3">
    <w:name w:val="Nadpis 3.Nadpis 3 Char.Obyeajný Char.H3 Char.Obyeajný.H3"/>
    <w:basedOn w:val="Normlny"/>
    <w:next w:val="Zkladntextb"/>
    <w:rsid w:val="00EE744A"/>
    <w:pPr>
      <w:keepNext/>
      <w:keepLines/>
      <w:tabs>
        <w:tab w:val="num" w:pos="2509"/>
      </w:tabs>
      <w:autoSpaceDE w:val="0"/>
      <w:autoSpaceDN w:val="0"/>
      <w:spacing w:after="240" w:line="240" w:lineRule="atLeast"/>
      <w:ind w:left="2509" w:hanging="360"/>
    </w:pPr>
    <w:rPr>
      <w:rFonts w:ascii="Arial Black" w:hAnsi="Arial Black"/>
      <w:spacing w:val="-10"/>
      <w:kern w:val="28"/>
      <w:sz w:val="20"/>
      <w:szCs w:val="20"/>
      <w:lang w:val="en-GB"/>
    </w:rPr>
  </w:style>
  <w:style w:type="paragraph" w:customStyle="1" w:styleId="Nadpis41podnadpisH4">
    <w:name w:val="Nadpis 4.1.podnadpis.H4"/>
    <w:basedOn w:val="Normlny"/>
    <w:next w:val="Zkladntextb"/>
    <w:rsid w:val="00EE744A"/>
    <w:pPr>
      <w:keepNext/>
      <w:keepLines/>
      <w:tabs>
        <w:tab w:val="num" w:pos="3229"/>
      </w:tabs>
      <w:autoSpaceDE w:val="0"/>
      <w:autoSpaceDN w:val="0"/>
      <w:spacing w:after="240" w:line="240" w:lineRule="atLeast"/>
      <w:ind w:left="3229" w:hanging="360"/>
    </w:pPr>
    <w:rPr>
      <w:rFonts w:ascii="Arial" w:hAnsi="Arial" w:cs="Arial"/>
      <w:b/>
      <w:bCs/>
      <w:spacing w:val="-4"/>
      <w:kern w:val="28"/>
      <w:sz w:val="22"/>
      <w:szCs w:val="22"/>
      <w:lang w:val="en-GB"/>
    </w:rPr>
  </w:style>
  <w:style w:type="paragraph" w:styleId="slovanzoznam">
    <w:name w:val="List Number"/>
    <w:basedOn w:val="Normlny"/>
    <w:uiPriority w:val="99"/>
    <w:rsid w:val="00F74139"/>
    <w:pPr>
      <w:tabs>
        <w:tab w:val="num" w:pos="486"/>
      </w:tabs>
      <w:ind w:left="486" w:hanging="360"/>
    </w:pPr>
    <w:rPr>
      <w:lang w:val="cs-CZ" w:eastAsia="cs-CZ"/>
    </w:rPr>
  </w:style>
  <w:style w:type="paragraph" w:customStyle="1" w:styleId="Zkladntextb2">
    <w:name w:val="Základní text.b2"/>
    <w:basedOn w:val="Normlny"/>
    <w:rsid w:val="00F74139"/>
    <w:pPr>
      <w:jc w:val="both"/>
    </w:pPr>
    <w:rPr>
      <w:rFonts w:ascii="Arial" w:hAnsi="Arial"/>
      <w:szCs w:val="20"/>
      <w:lang w:eastAsia="en-US"/>
    </w:rPr>
  </w:style>
  <w:style w:type="paragraph" w:customStyle="1" w:styleId="ZkladntextbCharChar1">
    <w:name w:val="Základný text.b Char Char1"/>
    <w:basedOn w:val="Normlny"/>
    <w:link w:val="ZkladntextbCharCharChar"/>
    <w:rsid w:val="00231187"/>
    <w:pPr>
      <w:spacing w:after="240" w:line="240" w:lineRule="atLeast"/>
      <w:ind w:left="1134"/>
      <w:jc w:val="both"/>
    </w:pPr>
    <w:rPr>
      <w:rFonts w:ascii="Arial" w:hAnsi="Arial"/>
      <w:spacing w:val="-5"/>
      <w:szCs w:val="20"/>
      <w:lang w:val="en-GB" w:eastAsia="en-US"/>
    </w:rPr>
  </w:style>
  <w:style w:type="character" w:customStyle="1" w:styleId="ZkladntextbCharCharChar">
    <w:name w:val="Základný text.b Char Char Char"/>
    <w:link w:val="ZkladntextbCharChar1"/>
    <w:locked/>
    <w:rsid w:val="001D0E71"/>
    <w:rPr>
      <w:rFonts w:ascii="Arial" w:hAnsi="Arial"/>
      <w:spacing w:val="-5"/>
      <w:sz w:val="24"/>
      <w:lang w:val="en-GB" w:eastAsia="en-US"/>
    </w:rPr>
  </w:style>
  <w:style w:type="paragraph" w:customStyle="1" w:styleId="Tabletext0">
    <w:name w:val="Table text"/>
    <w:basedOn w:val="Normlny"/>
    <w:rsid w:val="00046BBA"/>
    <w:pPr>
      <w:autoSpaceDE w:val="0"/>
      <w:autoSpaceDN w:val="0"/>
      <w:jc w:val="both"/>
    </w:pPr>
    <w:rPr>
      <w:rFonts w:ascii="Arial" w:hAnsi="Arial" w:cs="Arial"/>
      <w:spacing w:val="-5"/>
      <w:sz w:val="20"/>
      <w:szCs w:val="20"/>
      <w:lang w:val="en-GB"/>
    </w:rPr>
  </w:style>
  <w:style w:type="paragraph" w:customStyle="1" w:styleId="SectionTitle">
    <w:name w:val="SectionTitle"/>
    <w:basedOn w:val="Normlny"/>
    <w:next w:val="Nadpis1"/>
    <w:rsid w:val="005804A2"/>
    <w:pPr>
      <w:keepNext/>
      <w:spacing w:before="120" w:after="360"/>
      <w:jc w:val="center"/>
    </w:pPr>
    <w:rPr>
      <w:b/>
      <w:smallCaps/>
      <w:sz w:val="28"/>
      <w:szCs w:val="20"/>
      <w:lang w:val="en-GB"/>
    </w:rPr>
  </w:style>
  <w:style w:type="character" w:customStyle="1" w:styleId="spelle">
    <w:name w:val="spelle"/>
    <w:rsid w:val="00183BA1"/>
  </w:style>
  <w:style w:type="paragraph" w:customStyle="1" w:styleId="ZkladntextbJustified">
    <w:name w:val="Základní text.b + Justified"/>
    <w:basedOn w:val="Zkladntextb"/>
    <w:rsid w:val="00102ABC"/>
    <w:pPr>
      <w:jc w:val="both"/>
    </w:pPr>
    <w:rPr>
      <w:lang w:val="sk-SK"/>
    </w:rPr>
  </w:style>
  <w:style w:type="paragraph" w:styleId="Obsah3">
    <w:name w:val="toc 3"/>
    <w:basedOn w:val="Normlny"/>
    <w:next w:val="Normlny"/>
    <w:autoRedefine/>
    <w:uiPriority w:val="39"/>
    <w:rsid w:val="009F3ADF"/>
    <w:pPr>
      <w:tabs>
        <w:tab w:val="right" w:leader="dot" w:pos="9012"/>
      </w:tabs>
    </w:pPr>
    <w:rPr>
      <w:sz w:val="20"/>
      <w:szCs w:val="20"/>
    </w:rPr>
  </w:style>
  <w:style w:type="paragraph" w:styleId="Obsah1">
    <w:name w:val="toc 1"/>
    <w:basedOn w:val="Normlny"/>
    <w:next w:val="Normlny"/>
    <w:autoRedefine/>
    <w:uiPriority w:val="39"/>
    <w:rsid w:val="002939DC"/>
    <w:pPr>
      <w:tabs>
        <w:tab w:val="left" w:pos="480"/>
        <w:tab w:val="right" w:leader="dot" w:pos="9072"/>
      </w:tabs>
      <w:spacing w:before="360"/>
    </w:pPr>
    <w:rPr>
      <w:rFonts w:ascii="Arial" w:hAnsi="Arial" w:cs="Arial"/>
      <w:b/>
      <w:bCs/>
      <w:smallCaps/>
      <w:noProof/>
      <w:sz w:val="22"/>
    </w:rPr>
  </w:style>
  <w:style w:type="paragraph" w:styleId="Obsah2">
    <w:name w:val="toc 2"/>
    <w:basedOn w:val="Normlny"/>
    <w:next w:val="Normlny"/>
    <w:autoRedefine/>
    <w:uiPriority w:val="39"/>
    <w:rsid w:val="001A588B"/>
    <w:pPr>
      <w:spacing w:before="240"/>
    </w:pPr>
    <w:rPr>
      <w:b/>
      <w:bCs/>
      <w:sz w:val="20"/>
      <w:szCs w:val="20"/>
    </w:rPr>
  </w:style>
  <w:style w:type="paragraph" w:styleId="Obsah6">
    <w:name w:val="toc 6"/>
    <w:basedOn w:val="Normlny"/>
    <w:next w:val="Normlny"/>
    <w:autoRedefine/>
    <w:uiPriority w:val="39"/>
    <w:semiHidden/>
    <w:rsid w:val="003C358E"/>
    <w:pPr>
      <w:ind w:left="960"/>
    </w:pPr>
    <w:rPr>
      <w:sz w:val="20"/>
      <w:szCs w:val="20"/>
    </w:rPr>
  </w:style>
  <w:style w:type="paragraph" w:styleId="Obsah4">
    <w:name w:val="toc 4"/>
    <w:basedOn w:val="Normlny"/>
    <w:next w:val="Normlny"/>
    <w:autoRedefine/>
    <w:uiPriority w:val="39"/>
    <w:semiHidden/>
    <w:rsid w:val="00D302EA"/>
    <w:pPr>
      <w:ind w:left="480"/>
    </w:pPr>
    <w:rPr>
      <w:sz w:val="20"/>
      <w:szCs w:val="20"/>
    </w:rPr>
  </w:style>
  <w:style w:type="paragraph" w:styleId="Obsah5">
    <w:name w:val="toc 5"/>
    <w:basedOn w:val="Normlny"/>
    <w:next w:val="Normlny"/>
    <w:autoRedefine/>
    <w:uiPriority w:val="39"/>
    <w:semiHidden/>
    <w:rsid w:val="003C358E"/>
    <w:pPr>
      <w:ind w:left="720"/>
    </w:pPr>
    <w:rPr>
      <w:sz w:val="20"/>
      <w:szCs w:val="20"/>
    </w:rPr>
  </w:style>
  <w:style w:type="paragraph" w:styleId="Textpoznmkypodiarou">
    <w:name w:val="footnote text"/>
    <w:aliases w:val="Text poznámky pod čiarou 007,_Poznámka pod čiarou,Text poznámky pod èiarou 007"/>
    <w:basedOn w:val="Normlny"/>
    <w:link w:val="TextpoznmkypodiarouChar"/>
    <w:rsid w:val="00B95CF2"/>
    <w:rPr>
      <w:sz w:val="20"/>
      <w:szCs w:val="20"/>
    </w:rPr>
  </w:style>
  <w:style w:type="character" w:customStyle="1" w:styleId="TextpoznmkypodiarouChar">
    <w:name w:val="Text poznámky pod čiarou Char"/>
    <w:aliases w:val="Text poznámky pod čiarou 007 Char,_Poznámka pod čiarou Char,Text poznámky pod èiarou 007 Char"/>
    <w:link w:val="Textpoznmkypodiarou"/>
    <w:locked/>
    <w:rPr>
      <w:rFonts w:cs="Times New Roman"/>
    </w:rPr>
  </w:style>
  <w:style w:type="character" w:styleId="Odkaznapoznmkupodiarou">
    <w:name w:val="footnote reference"/>
    <w:semiHidden/>
    <w:rsid w:val="00B95CF2"/>
    <w:rPr>
      <w:vertAlign w:val="superscript"/>
    </w:rPr>
  </w:style>
  <w:style w:type="paragraph" w:styleId="Zarkazkladnhotextu2">
    <w:name w:val="Body Text Indent 2"/>
    <w:basedOn w:val="Normlny"/>
    <w:link w:val="Zarkazkladnhotextu2Char"/>
    <w:uiPriority w:val="99"/>
    <w:rsid w:val="002A305E"/>
    <w:pPr>
      <w:ind w:left="360"/>
      <w:jc w:val="both"/>
    </w:pPr>
  </w:style>
  <w:style w:type="character" w:customStyle="1" w:styleId="Zarkazkladnhotextu2Char">
    <w:name w:val="Zarážka základného textu 2 Char"/>
    <w:link w:val="Zarkazkladnhotextu2"/>
    <w:uiPriority w:val="99"/>
    <w:semiHidden/>
    <w:locked/>
    <w:rPr>
      <w:sz w:val="24"/>
    </w:rPr>
  </w:style>
  <w:style w:type="paragraph" w:customStyle="1" w:styleId="ZkladntextbChar">
    <w:name w:val="Základný text.b Char"/>
    <w:basedOn w:val="Normlny"/>
    <w:rsid w:val="009A5F1F"/>
    <w:pPr>
      <w:autoSpaceDE w:val="0"/>
      <w:autoSpaceDN w:val="0"/>
      <w:spacing w:after="240" w:line="240" w:lineRule="atLeast"/>
      <w:ind w:left="1134"/>
      <w:jc w:val="both"/>
    </w:pPr>
    <w:rPr>
      <w:rFonts w:ascii="Arial" w:hAnsi="Arial"/>
      <w:spacing w:val="-5"/>
      <w:lang w:val="en-GB" w:eastAsia="en-US"/>
    </w:rPr>
  </w:style>
  <w:style w:type="paragraph" w:styleId="Zoznamsodrkami2">
    <w:name w:val="List Bullet 2"/>
    <w:basedOn w:val="Normlny"/>
    <w:uiPriority w:val="99"/>
    <w:rsid w:val="00736810"/>
    <w:pPr>
      <w:numPr>
        <w:numId w:val="2"/>
      </w:numPr>
    </w:pPr>
  </w:style>
  <w:style w:type="paragraph" w:styleId="Textbubliny">
    <w:name w:val="Balloon Text"/>
    <w:basedOn w:val="Normlny"/>
    <w:link w:val="TextbublinyChar"/>
    <w:uiPriority w:val="99"/>
    <w:semiHidden/>
    <w:rsid w:val="009A6E42"/>
    <w:rPr>
      <w:sz w:val="20"/>
    </w:rPr>
  </w:style>
  <w:style w:type="character" w:customStyle="1" w:styleId="TextbublinyChar">
    <w:name w:val="Text bubliny Char"/>
    <w:link w:val="Textbubliny"/>
    <w:uiPriority w:val="99"/>
    <w:semiHidden/>
    <w:locked/>
    <w:rsid w:val="009A6E42"/>
    <w:rPr>
      <w:szCs w:val="24"/>
    </w:rPr>
  </w:style>
  <w:style w:type="character" w:styleId="Zvraznenie">
    <w:name w:val="Emphasis"/>
    <w:uiPriority w:val="20"/>
    <w:qFormat/>
    <w:rsid w:val="00212E2F"/>
    <w:rPr>
      <w:i/>
    </w:rPr>
  </w:style>
  <w:style w:type="paragraph" w:styleId="Obyajntext">
    <w:name w:val="Plain Text"/>
    <w:basedOn w:val="Normlny"/>
    <w:link w:val="ObyajntextChar"/>
    <w:uiPriority w:val="99"/>
    <w:rsid w:val="00B26E82"/>
    <w:rPr>
      <w:rFonts w:ascii="Courier New" w:hAnsi="Courier New"/>
      <w:sz w:val="20"/>
      <w:szCs w:val="20"/>
    </w:rPr>
  </w:style>
  <w:style w:type="character" w:customStyle="1" w:styleId="ObyajntextChar">
    <w:name w:val="Obyčajný text Char"/>
    <w:link w:val="Obyajntext"/>
    <w:uiPriority w:val="99"/>
    <w:semiHidden/>
    <w:locked/>
    <w:rPr>
      <w:rFonts w:ascii="Courier New" w:hAnsi="Courier New"/>
    </w:rPr>
  </w:style>
  <w:style w:type="table" w:styleId="Motvtabuky">
    <w:name w:val="Table Theme"/>
    <w:basedOn w:val="Normlnatabuka"/>
    <w:uiPriority w:val="99"/>
    <w:rsid w:val="00EF4D65"/>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Odkaznakomentr">
    <w:name w:val="annotation reference"/>
    <w:uiPriority w:val="99"/>
    <w:semiHidden/>
    <w:rsid w:val="005F6212"/>
    <w:rPr>
      <w:sz w:val="16"/>
    </w:rPr>
  </w:style>
  <w:style w:type="paragraph" w:customStyle="1" w:styleId="CharCharCharCharCharChar">
    <w:name w:val="Char Char Char Char Char Char"/>
    <w:basedOn w:val="Normlny"/>
    <w:rsid w:val="003B6557"/>
    <w:pPr>
      <w:spacing w:after="160" w:line="240" w:lineRule="exact"/>
    </w:pPr>
    <w:rPr>
      <w:rFonts w:ascii="Tahoma" w:hAnsi="Tahoma" w:cs="Tahoma"/>
      <w:sz w:val="20"/>
      <w:szCs w:val="20"/>
      <w:lang w:eastAsia="en-US"/>
    </w:rPr>
  </w:style>
  <w:style w:type="paragraph" w:customStyle="1" w:styleId="CharChar1">
    <w:name w:val="Char Char1"/>
    <w:basedOn w:val="Normlny"/>
    <w:rsid w:val="00294E19"/>
    <w:pPr>
      <w:spacing w:after="160" w:line="240" w:lineRule="exact"/>
    </w:pPr>
    <w:rPr>
      <w:rFonts w:ascii="Tahoma" w:hAnsi="Tahoma" w:cs="Tahoma"/>
      <w:sz w:val="20"/>
      <w:szCs w:val="20"/>
      <w:lang w:eastAsia="en-US"/>
    </w:rPr>
  </w:style>
  <w:style w:type="paragraph" w:styleId="Nzov">
    <w:name w:val="Title"/>
    <w:basedOn w:val="Normlny"/>
    <w:link w:val="NzovChar"/>
    <w:uiPriority w:val="10"/>
    <w:qFormat/>
    <w:rsid w:val="003801F3"/>
    <w:pPr>
      <w:jc w:val="center"/>
    </w:pPr>
    <w:rPr>
      <w:rFonts w:ascii="Cambria" w:hAnsi="Cambria"/>
      <w:b/>
      <w:bCs/>
      <w:kern w:val="28"/>
      <w:sz w:val="32"/>
      <w:szCs w:val="32"/>
    </w:rPr>
  </w:style>
  <w:style w:type="character" w:customStyle="1" w:styleId="NzovChar">
    <w:name w:val="Názov Char"/>
    <w:link w:val="Nzov"/>
    <w:uiPriority w:val="10"/>
    <w:locked/>
    <w:rPr>
      <w:rFonts w:ascii="Cambria" w:hAnsi="Cambria"/>
      <w:b/>
      <w:kern w:val="28"/>
      <w:sz w:val="32"/>
    </w:rPr>
  </w:style>
  <w:style w:type="paragraph" w:styleId="truktradokumentu">
    <w:name w:val="Document Map"/>
    <w:basedOn w:val="Normlny"/>
    <w:link w:val="truktradokumentuChar"/>
    <w:uiPriority w:val="99"/>
    <w:semiHidden/>
    <w:rsid w:val="005A3CE5"/>
    <w:pPr>
      <w:shd w:val="clear" w:color="auto" w:fill="000080"/>
    </w:pPr>
    <w:rPr>
      <w:sz w:val="2"/>
    </w:rPr>
  </w:style>
  <w:style w:type="character" w:customStyle="1" w:styleId="truktradokumentuChar">
    <w:name w:val="Štruktúra dokumentu Char"/>
    <w:link w:val="truktradokumentu"/>
    <w:uiPriority w:val="99"/>
    <w:semiHidden/>
    <w:locked/>
    <w:rPr>
      <w:sz w:val="2"/>
    </w:rPr>
  </w:style>
  <w:style w:type="paragraph" w:styleId="Obsah8">
    <w:name w:val="toc 8"/>
    <w:basedOn w:val="Normlny"/>
    <w:next w:val="Normlny"/>
    <w:autoRedefine/>
    <w:uiPriority w:val="39"/>
    <w:semiHidden/>
    <w:rsid w:val="005A3CE5"/>
    <w:pPr>
      <w:ind w:left="1440"/>
    </w:pPr>
    <w:rPr>
      <w:sz w:val="20"/>
      <w:szCs w:val="20"/>
    </w:rPr>
  </w:style>
  <w:style w:type="paragraph" w:styleId="Obsah9">
    <w:name w:val="toc 9"/>
    <w:basedOn w:val="Normlny"/>
    <w:next w:val="Normlny"/>
    <w:autoRedefine/>
    <w:uiPriority w:val="39"/>
    <w:semiHidden/>
    <w:rsid w:val="005A3CE5"/>
    <w:pPr>
      <w:ind w:left="1680"/>
    </w:pPr>
    <w:rPr>
      <w:sz w:val="20"/>
      <w:szCs w:val="20"/>
    </w:rPr>
  </w:style>
  <w:style w:type="paragraph" w:customStyle="1" w:styleId="CharCharCharChar">
    <w:name w:val="Char Char Char Char"/>
    <w:basedOn w:val="Normlny"/>
    <w:rsid w:val="00B31F08"/>
    <w:pPr>
      <w:spacing w:after="160" w:line="240" w:lineRule="exact"/>
      <w:ind w:firstLine="720"/>
    </w:pPr>
    <w:rPr>
      <w:rFonts w:ascii="Tahoma" w:hAnsi="Tahoma"/>
      <w:sz w:val="20"/>
      <w:szCs w:val="20"/>
      <w:lang w:eastAsia="en-US"/>
    </w:rPr>
  </w:style>
  <w:style w:type="paragraph" w:customStyle="1" w:styleId="Tiret">
    <w:name w:val="Tiret"/>
    <w:next w:val="Normlny"/>
    <w:rsid w:val="00B4310B"/>
    <w:pPr>
      <w:numPr>
        <w:numId w:val="4"/>
      </w:numPr>
      <w:tabs>
        <w:tab w:val="clear" w:pos="360"/>
      </w:tabs>
      <w:spacing w:after="240"/>
      <w:ind w:left="0" w:firstLine="0"/>
      <w:jc w:val="both"/>
    </w:pPr>
    <w:rPr>
      <w:noProof/>
      <w:sz w:val="24"/>
      <w:lang w:val="en-GB" w:eastAsia="en-GB"/>
    </w:rPr>
  </w:style>
  <w:style w:type="paragraph" w:customStyle="1" w:styleId="CharCharCharCharCharCharCharCharCharCharCharCharCharCharCharCharCharChar1CharCharChar">
    <w:name w:val="Char Char Char Char Char Char Char Char Char Char Char Char Char Char Char Char Char Char1 Char Char Char"/>
    <w:basedOn w:val="Normlny"/>
    <w:rsid w:val="00773795"/>
    <w:pPr>
      <w:spacing w:after="160" w:line="240" w:lineRule="exact"/>
    </w:pPr>
    <w:rPr>
      <w:rFonts w:ascii="Tahoma" w:hAnsi="Tahoma" w:cs="Tahoma"/>
      <w:sz w:val="20"/>
      <w:szCs w:val="20"/>
      <w:lang w:val="en-US" w:eastAsia="en-US"/>
    </w:rPr>
  </w:style>
  <w:style w:type="paragraph" w:customStyle="1" w:styleId="CharCharCharCharCharCharCharCharCharCharCharChar1CharCharCharCharCharCharChar">
    <w:name w:val="Char Char Char Char Char Char Char Char Char Char Char Char1 Char Char Char Char Char Char Char"/>
    <w:basedOn w:val="Normlny"/>
    <w:rsid w:val="001B3A00"/>
    <w:pPr>
      <w:spacing w:after="160" w:line="240" w:lineRule="exact"/>
    </w:pPr>
    <w:rPr>
      <w:rFonts w:ascii="Tahoma" w:hAnsi="Tahoma" w:cs="Tahoma"/>
      <w:sz w:val="20"/>
      <w:szCs w:val="20"/>
      <w:lang w:eastAsia="en-US"/>
    </w:rPr>
  </w:style>
  <w:style w:type="character" w:styleId="Siln">
    <w:name w:val="Strong"/>
    <w:uiPriority w:val="22"/>
    <w:qFormat/>
    <w:rsid w:val="00146775"/>
    <w:rPr>
      <w:b/>
    </w:rPr>
  </w:style>
  <w:style w:type="paragraph" w:customStyle="1" w:styleId="NormlnyArial">
    <w:name w:val="Normálny + Arial"/>
    <w:aliases w:val="10 pt"/>
    <w:basedOn w:val="Normlny"/>
    <w:rsid w:val="00801703"/>
    <w:pPr>
      <w:spacing w:line="360" w:lineRule="auto"/>
      <w:jc w:val="both"/>
      <w:outlineLvl w:val="0"/>
    </w:pPr>
    <w:rPr>
      <w:rFonts w:ascii="Arial" w:hAnsi="Arial" w:cs="Arial"/>
      <w:b/>
      <w:sz w:val="20"/>
      <w:szCs w:val="20"/>
    </w:rPr>
  </w:style>
  <w:style w:type="paragraph" w:customStyle="1" w:styleId="CharCharCharCharCharCharCharCharCharCharCharCharCharCharCharCharCharChar1CharCharCharCharChar">
    <w:name w:val="Char Char Char Char Char Char Char Char Char Char Char Char Char Char Char Char Char Char1 Char Char Char Char Char"/>
    <w:basedOn w:val="Normlny"/>
    <w:rsid w:val="009B58F7"/>
    <w:pPr>
      <w:spacing w:after="160" w:line="240" w:lineRule="exact"/>
    </w:pPr>
    <w:rPr>
      <w:rFonts w:ascii="Tahoma" w:hAnsi="Tahoma" w:cs="Tahoma"/>
      <w:sz w:val="20"/>
      <w:szCs w:val="20"/>
      <w:lang w:val="en-US" w:eastAsia="en-US"/>
    </w:rPr>
  </w:style>
  <w:style w:type="character" w:customStyle="1" w:styleId="longtext1">
    <w:name w:val="long_text1"/>
    <w:rsid w:val="003A287C"/>
    <w:rPr>
      <w:sz w:val="20"/>
    </w:rPr>
  </w:style>
  <w:style w:type="paragraph" w:customStyle="1" w:styleId="ListParagraph1">
    <w:name w:val="List Paragraph1"/>
    <w:basedOn w:val="Normlny"/>
    <w:rsid w:val="003A287C"/>
    <w:pPr>
      <w:spacing w:after="200" w:line="276" w:lineRule="auto"/>
      <w:ind w:left="720"/>
    </w:pPr>
    <w:rPr>
      <w:sz w:val="22"/>
      <w:szCs w:val="20"/>
    </w:rPr>
  </w:style>
  <w:style w:type="paragraph" w:customStyle="1" w:styleId="CharCharCharCharCharChar1Char">
    <w:name w:val="Char Char Char Char Char Char1 Char"/>
    <w:basedOn w:val="Normlny"/>
    <w:rsid w:val="00470BCE"/>
    <w:pPr>
      <w:spacing w:after="160" w:line="240" w:lineRule="exact"/>
      <w:ind w:firstLine="720"/>
    </w:pPr>
    <w:rPr>
      <w:rFonts w:ascii="Tahoma" w:hAnsi="Tahoma"/>
      <w:noProof/>
      <w:sz w:val="20"/>
      <w:szCs w:val="20"/>
      <w:lang w:val="en-US" w:eastAsia="en-US"/>
    </w:rPr>
  </w:style>
  <w:style w:type="paragraph" w:styleId="Textkomentra">
    <w:name w:val="annotation text"/>
    <w:basedOn w:val="Normlny"/>
    <w:link w:val="TextkomentraChar"/>
    <w:uiPriority w:val="99"/>
    <w:semiHidden/>
    <w:rsid w:val="00470BCE"/>
    <w:rPr>
      <w:noProof/>
      <w:sz w:val="20"/>
      <w:szCs w:val="20"/>
      <w:lang w:eastAsia="en-GB"/>
    </w:rPr>
  </w:style>
  <w:style w:type="character" w:customStyle="1" w:styleId="TextkomentraChar">
    <w:name w:val="Text komentára Char"/>
    <w:link w:val="Textkomentra"/>
    <w:uiPriority w:val="99"/>
    <w:semiHidden/>
    <w:locked/>
    <w:rsid w:val="00CE618B"/>
    <w:rPr>
      <w:noProof/>
      <w:lang w:eastAsia="en-GB"/>
    </w:rPr>
  </w:style>
  <w:style w:type="paragraph" w:styleId="Zarkazkladnhotextu3">
    <w:name w:val="Body Text Indent 3"/>
    <w:basedOn w:val="Normlny"/>
    <w:link w:val="Zarkazkladnhotextu3Char"/>
    <w:uiPriority w:val="99"/>
    <w:rsid w:val="005B486D"/>
    <w:pPr>
      <w:spacing w:after="120"/>
      <w:ind w:left="283"/>
    </w:pPr>
    <w:rPr>
      <w:sz w:val="16"/>
      <w:szCs w:val="16"/>
    </w:rPr>
  </w:style>
  <w:style w:type="character" w:customStyle="1" w:styleId="Zarkazkladnhotextu3Char">
    <w:name w:val="Zarážka základného textu 3 Char"/>
    <w:link w:val="Zarkazkladnhotextu3"/>
    <w:uiPriority w:val="99"/>
    <w:semiHidden/>
    <w:locked/>
    <w:rPr>
      <w:sz w:val="16"/>
    </w:rPr>
  </w:style>
  <w:style w:type="paragraph" w:customStyle="1" w:styleId="Predvolenpsmoodseku1">
    <w:name w:val="Predvolené písmo odseku1"/>
    <w:aliases w:val="Car Char Char Char Char Char Char Char Char Char Char Char Char Char Char Char Char,Car Char Char Char Char Char Char Char Char Char Char Char Char Char Char Char Char Char Char Char"/>
    <w:basedOn w:val="Normlny"/>
    <w:rsid w:val="008C36A6"/>
    <w:pPr>
      <w:spacing w:after="160" w:line="240" w:lineRule="exact"/>
    </w:pPr>
    <w:rPr>
      <w:rFonts w:ascii="Tahoma" w:hAnsi="Tahoma" w:cs="Tahoma"/>
      <w:sz w:val="20"/>
      <w:szCs w:val="20"/>
      <w:lang w:val="en-US" w:eastAsia="en-US"/>
    </w:rPr>
  </w:style>
  <w:style w:type="paragraph" w:styleId="Odsekzoznamu">
    <w:name w:val="List Paragraph"/>
    <w:basedOn w:val="Normlny"/>
    <w:link w:val="OdsekzoznamuChar"/>
    <w:uiPriority w:val="34"/>
    <w:qFormat/>
    <w:rsid w:val="002023A2"/>
    <w:pPr>
      <w:spacing w:after="200" w:line="276" w:lineRule="auto"/>
      <w:ind w:left="720"/>
      <w:contextualSpacing/>
    </w:pPr>
    <w:rPr>
      <w:rFonts w:ascii="Calibri" w:hAnsi="Calibri"/>
      <w:sz w:val="22"/>
      <w:szCs w:val="22"/>
      <w:lang w:eastAsia="en-US"/>
    </w:rPr>
  </w:style>
  <w:style w:type="character" w:styleId="Textzstupnhosymbolu">
    <w:name w:val="Placeholder Text"/>
    <w:uiPriority w:val="99"/>
    <w:semiHidden/>
    <w:rsid w:val="0092194D"/>
    <w:rPr>
      <w:rFonts w:ascii="Times New Roman" w:hAnsi="Times New Roman"/>
      <w:color w:val="808080"/>
    </w:rPr>
  </w:style>
  <w:style w:type="paragraph" w:customStyle="1" w:styleId="MP1">
    <w:name w:val="MP1"/>
    <w:basedOn w:val="Normlny"/>
    <w:link w:val="MP1Char"/>
    <w:rsid w:val="00CE618B"/>
    <w:pPr>
      <w:autoSpaceDE w:val="0"/>
      <w:autoSpaceDN w:val="0"/>
      <w:adjustRightInd w:val="0"/>
    </w:pPr>
    <w:rPr>
      <w:rFonts w:ascii="Arial" w:hAnsi="Arial"/>
      <w:b/>
      <w:szCs w:val="20"/>
      <w:lang w:val="x-none" w:eastAsia="x-none"/>
    </w:rPr>
  </w:style>
  <w:style w:type="character" w:customStyle="1" w:styleId="MP1Char">
    <w:name w:val="MP1 Char"/>
    <w:link w:val="MP1"/>
    <w:locked/>
    <w:rsid w:val="00CE618B"/>
    <w:rPr>
      <w:rFonts w:ascii="Arial" w:eastAsia="Times New Roman" w:hAnsi="Arial"/>
      <w:b/>
      <w:sz w:val="24"/>
    </w:rPr>
  </w:style>
  <w:style w:type="paragraph" w:styleId="Predmetkomentra">
    <w:name w:val="annotation subject"/>
    <w:basedOn w:val="Textkomentra"/>
    <w:next w:val="Textkomentra"/>
    <w:link w:val="PredmetkomentraChar"/>
    <w:uiPriority w:val="99"/>
    <w:rsid w:val="00CE618B"/>
    <w:rPr>
      <w:b/>
    </w:rPr>
  </w:style>
  <w:style w:type="character" w:customStyle="1" w:styleId="PredmetkomentraChar">
    <w:name w:val="Predmet komentára Char"/>
    <w:link w:val="Predmetkomentra"/>
    <w:uiPriority w:val="99"/>
    <w:locked/>
    <w:rsid w:val="00CE618B"/>
    <w:rPr>
      <w:b/>
      <w:noProof/>
      <w:lang w:eastAsia="en-GB"/>
    </w:rPr>
  </w:style>
  <w:style w:type="character" w:styleId="PouitHypertextovPrepojenie">
    <w:name w:val="FollowedHyperlink"/>
    <w:uiPriority w:val="99"/>
    <w:rsid w:val="00D36A8B"/>
    <w:rPr>
      <w:color w:val="800080"/>
      <w:u w:val="single"/>
    </w:rPr>
  </w:style>
  <w:style w:type="paragraph" w:customStyle="1" w:styleId="Odsekzoznamu1">
    <w:name w:val="Odsek zoznamu1"/>
    <w:basedOn w:val="Normlny"/>
    <w:uiPriority w:val="99"/>
    <w:qFormat/>
    <w:rsid w:val="00D92973"/>
    <w:pPr>
      <w:ind w:left="720"/>
      <w:contextualSpacing/>
    </w:pPr>
  </w:style>
  <w:style w:type="character" w:customStyle="1" w:styleId="hps">
    <w:name w:val="hps"/>
    <w:uiPriority w:val="99"/>
    <w:rsid w:val="00D92973"/>
  </w:style>
  <w:style w:type="character" w:customStyle="1" w:styleId="Textpoznmkypodiarou007CharChar">
    <w:name w:val="Text poznámky pod čiarou 007 Char Char"/>
    <w:rsid w:val="001151D1"/>
    <w:rPr>
      <w:rFonts w:ascii="Arial" w:hAnsi="Arial"/>
      <w:lang w:val="x-none" w:eastAsia="cs-CZ"/>
    </w:rPr>
  </w:style>
  <w:style w:type="paragraph" w:customStyle="1" w:styleId="Normaltext">
    <w:name w:val="Normal text"/>
    <w:basedOn w:val="Normlny"/>
    <w:rsid w:val="001B42CE"/>
    <w:pPr>
      <w:spacing w:before="120" w:after="120"/>
      <w:jc w:val="both"/>
    </w:pPr>
    <w:rPr>
      <w:rFonts w:ascii="Arial" w:hAnsi="Arial" w:cs="Arial"/>
      <w:sz w:val="20"/>
      <w:szCs w:val="20"/>
    </w:rPr>
  </w:style>
  <w:style w:type="paragraph" w:customStyle="1" w:styleId="Default">
    <w:name w:val="Default"/>
    <w:uiPriority w:val="99"/>
    <w:rsid w:val="001B42CE"/>
    <w:pPr>
      <w:autoSpaceDE w:val="0"/>
      <w:autoSpaceDN w:val="0"/>
      <w:adjustRightInd w:val="0"/>
    </w:pPr>
    <w:rPr>
      <w:color w:val="000000"/>
      <w:sz w:val="24"/>
      <w:szCs w:val="24"/>
    </w:rPr>
  </w:style>
  <w:style w:type="paragraph" w:styleId="Revzia">
    <w:name w:val="Revision"/>
    <w:hidden/>
    <w:uiPriority w:val="99"/>
    <w:semiHidden/>
    <w:rsid w:val="00435EC8"/>
    <w:rPr>
      <w:sz w:val="24"/>
      <w:szCs w:val="24"/>
    </w:rPr>
  </w:style>
  <w:style w:type="table" w:customStyle="1" w:styleId="Mriekatabuky1">
    <w:name w:val="Mriežka tabuľky1"/>
    <w:basedOn w:val="Normlnatabuka"/>
    <w:next w:val="Mriekatabuky"/>
    <w:uiPriority w:val="59"/>
    <w:rsid w:val="00CB4BD8"/>
    <w:rPr>
      <w:rFonts w:ascii="Calibri" w:eastAsia="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Mriekatabuky2">
    <w:name w:val="Mriežka tabuľky2"/>
    <w:basedOn w:val="Normlnatabuka"/>
    <w:next w:val="Mriekatabuky"/>
    <w:uiPriority w:val="59"/>
    <w:rsid w:val="00CB4BD8"/>
    <w:rPr>
      <w:rFonts w:ascii="Calibri" w:eastAsia="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Mriekatabuky3">
    <w:name w:val="Mriežka tabuľky3"/>
    <w:basedOn w:val="Normlnatabuka"/>
    <w:next w:val="Mriekatabuky"/>
    <w:uiPriority w:val="59"/>
    <w:rsid w:val="00DC4E72"/>
    <w:rPr>
      <w:rFonts w:ascii="Calibri" w:eastAsia="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ezriadkovania">
    <w:name w:val="No Spacing"/>
    <w:link w:val="BezriadkovaniaChar"/>
    <w:uiPriority w:val="1"/>
    <w:qFormat/>
    <w:rsid w:val="00C66C2A"/>
    <w:rPr>
      <w:rFonts w:ascii="Calibri" w:hAnsi="Calibri"/>
      <w:sz w:val="22"/>
      <w:szCs w:val="22"/>
    </w:rPr>
  </w:style>
  <w:style w:type="character" w:customStyle="1" w:styleId="BezriadkovaniaChar">
    <w:name w:val="Bez riadkovania Char"/>
    <w:link w:val="Bezriadkovania"/>
    <w:uiPriority w:val="1"/>
    <w:rsid w:val="00C66C2A"/>
    <w:rPr>
      <w:rFonts w:ascii="Calibri" w:hAnsi="Calibri"/>
      <w:sz w:val="22"/>
      <w:szCs w:val="22"/>
    </w:rPr>
  </w:style>
  <w:style w:type="paragraph" w:customStyle="1" w:styleId="MP2">
    <w:name w:val="MP2"/>
    <w:basedOn w:val="Normlny"/>
    <w:link w:val="MP2Char"/>
    <w:rsid w:val="00BE4E4B"/>
    <w:rPr>
      <w:rFonts w:ascii="Arial" w:eastAsia="EUAlbertina-Regular-Identity-H" w:hAnsi="Arial" w:cs="Arial"/>
      <w:b/>
      <w:bCs/>
      <w:sz w:val="20"/>
      <w:lang w:eastAsia="cs-CZ"/>
    </w:rPr>
  </w:style>
  <w:style w:type="character" w:customStyle="1" w:styleId="MP2Char">
    <w:name w:val="MP2 Char"/>
    <w:link w:val="MP2"/>
    <w:rsid w:val="00BE4E4B"/>
    <w:rPr>
      <w:rFonts w:ascii="Arial" w:eastAsia="EUAlbertina-Regular-Identity-H" w:hAnsi="Arial" w:cs="Arial"/>
      <w:b/>
      <w:bCs/>
      <w:szCs w:val="24"/>
      <w:lang w:eastAsia="cs-CZ"/>
    </w:rPr>
  </w:style>
  <w:style w:type="paragraph" w:customStyle="1" w:styleId="AUCIEODRKA">
    <w:name w:val="AU CIEĽ ODRÁŽKA"/>
    <w:basedOn w:val="Normlny"/>
    <w:link w:val="AUCIEODRKAChar"/>
    <w:rsid w:val="00A83AC2"/>
    <w:pPr>
      <w:numPr>
        <w:numId w:val="59"/>
      </w:numPr>
      <w:jc w:val="both"/>
    </w:pPr>
    <w:rPr>
      <w:szCs w:val="20"/>
      <w:lang w:val="x-none" w:eastAsia="x-none"/>
    </w:rPr>
  </w:style>
  <w:style w:type="character" w:customStyle="1" w:styleId="AUCIEODRKAChar">
    <w:name w:val="AU CIEĽ ODRÁŽKA Char"/>
    <w:link w:val="AUCIEODRKA"/>
    <w:rsid w:val="00A83AC2"/>
    <w:rPr>
      <w:sz w:val="24"/>
      <w:lang w:val="x-none" w:eastAsia="x-none"/>
    </w:rPr>
  </w:style>
  <w:style w:type="character" w:customStyle="1" w:styleId="OdsekzoznamuChar">
    <w:name w:val="Odsek zoznamu Char"/>
    <w:link w:val="Odsekzoznamu"/>
    <w:uiPriority w:val="34"/>
    <w:locked/>
    <w:rsid w:val="00A83AC2"/>
    <w:rPr>
      <w:rFonts w:ascii="Calibri" w:hAnsi="Calibri"/>
      <w:sz w:val="22"/>
      <w:szCs w:val="22"/>
      <w:lang w:eastAsia="en-US"/>
    </w:rPr>
  </w:style>
  <w:style w:type="paragraph" w:customStyle="1" w:styleId="CharCharCharCharCharChar1Char0">
    <w:name w:val="Char Char Char Char Char Char1 Char"/>
    <w:basedOn w:val="Normlny"/>
    <w:rsid w:val="00502A38"/>
    <w:pPr>
      <w:spacing w:after="160" w:line="240" w:lineRule="exact"/>
      <w:ind w:firstLine="720"/>
    </w:pPr>
    <w:rPr>
      <w:rFonts w:ascii="Tahoma" w:hAnsi="Tahoma"/>
      <w:sz w:val="20"/>
      <w:szCs w:val="20"/>
      <w:lang w:val="en-US"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sk-SK" w:eastAsia="sk-SK"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uiPriority="9" w:qFormat="1"/>
    <w:lsdException w:name="heading 4" w:qFormat="1"/>
    <w:lsdException w:name="heading 5" w:qFormat="1"/>
    <w:lsdException w:name="heading 6" w:qFormat="1"/>
    <w:lsdException w:name="heading 7" w:qFormat="1"/>
    <w:lsdException w:name="heading 8" w:qFormat="1"/>
    <w:lsdException w:name="heading 9" w:semiHidden="1" w:unhideWhenUsed="1" w:qFormat="1"/>
    <w:lsdException w:name="toc 1" w:uiPriority="39"/>
    <w:lsdException w:name="toc 2" w:uiPriority="39"/>
    <w:lsdException w:name="toc 3" w:uiPriority="39"/>
    <w:lsdException w:name="annotation text" w:uiPriority="99"/>
    <w:lsdException w:name="caption" w:semiHidden="1" w:unhideWhenUsed="1" w:qFormat="1"/>
    <w:lsdException w:name="annotation reference" w:uiPriority="99"/>
    <w:lsdException w:name="Title" w:qFormat="1"/>
    <w:lsdException w:name="Subtitle" w:qFormat="1"/>
    <w:lsdException w:name="Hyperlink" w:uiPriority="99"/>
    <w:lsdException w:name="Strong" w:uiPriority="22"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lny">
    <w:name w:val="Normal"/>
    <w:qFormat/>
    <w:rsid w:val="00155E4D"/>
    <w:rPr>
      <w:sz w:val="24"/>
      <w:szCs w:val="24"/>
    </w:rPr>
  </w:style>
  <w:style w:type="paragraph" w:styleId="Nadpis1">
    <w:name w:val="heading 1"/>
    <w:basedOn w:val="Normlny"/>
    <w:next w:val="Normlny"/>
    <w:link w:val="Nadpis1Char"/>
    <w:uiPriority w:val="9"/>
    <w:qFormat/>
    <w:rsid w:val="00276947"/>
    <w:pPr>
      <w:keepNext/>
      <w:spacing w:before="240" w:after="60"/>
      <w:outlineLvl w:val="0"/>
    </w:pPr>
    <w:rPr>
      <w:rFonts w:ascii="Arial" w:hAnsi="Arial"/>
      <w:b/>
      <w:caps/>
      <w:kern w:val="32"/>
      <w:sz w:val="32"/>
      <w:szCs w:val="20"/>
      <w:lang w:val="x-none" w:eastAsia="x-none"/>
    </w:rPr>
  </w:style>
  <w:style w:type="paragraph" w:styleId="Nadpis2">
    <w:name w:val="heading 2"/>
    <w:basedOn w:val="Normlny"/>
    <w:next w:val="Normlny"/>
    <w:link w:val="Nadpis2Char"/>
    <w:uiPriority w:val="9"/>
    <w:qFormat/>
    <w:rsid w:val="00C85BF9"/>
    <w:pPr>
      <w:keepNext/>
      <w:spacing w:before="240" w:after="60"/>
      <w:outlineLvl w:val="1"/>
    </w:pPr>
    <w:rPr>
      <w:rFonts w:ascii="Arial" w:hAnsi="Arial"/>
      <w:b/>
      <w:bCs/>
      <w:iCs/>
      <w:sz w:val="28"/>
      <w:szCs w:val="28"/>
    </w:rPr>
  </w:style>
  <w:style w:type="paragraph" w:styleId="Nadpis3">
    <w:name w:val="heading 3"/>
    <w:basedOn w:val="Normlny"/>
    <w:next w:val="Normlny"/>
    <w:link w:val="Nadpis3Char"/>
    <w:uiPriority w:val="9"/>
    <w:qFormat/>
    <w:rsid w:val="00276947"/>
    <w:pPr>
      <w:keepNext/>
      <w:spacing w:before="240" w:after="60"/>
      <w:outlineLvl w:val="2"/>
    </w:pPr>
    <w:rPr>
      <w:rFonts w:ascii="Arial" w:hAnsi="Arial"/>
      <w:b/>
      <w:bCs/>
      <w:sz w:val="26"/>
      <w:szCs w:val="26"/>
    </w:rPr>
  </w:style>
  <w:style w:type="paragraph" w:styleId="Nadpis4">
    <w:name w:val="heading 4"/>
    <w:basedOn w:val="Normlny"/>
    <w:next w:val="Normlny"/>
    <w:link w:val="Nadpis4Char"/>
    <w:uiPriority w:val="9"/>
    <w:qFormat/>
    <w:rsid w:val="00F74139"/>
    <w:pPr>
      <w:keepNext/>
      <w:spacing w:before="240" w:after="60"/>
      <w:outlineLvl w:val="3"/>
    </w:pPr>
    <w:rPr>
      <w:rFonts w:ascii="Calibri" w:hAnsi="Calibri"/>
      <w:b/>
      <w:bCs/>
      <w:sz w:val="28"/>
      <w:szCs w:val="28"/>
    </w:rPr>
  </w:style>
  <w:style w:type="paragraph" w:styleId="Nadpis5">
    <w:name w:val="heading 5"/>
    <w:basedOn w:val="Normlny"/>
    <w:next w:val="Normlny"/>
    <w:link w:val="Nadpis5Char"/>
    <w:uiPriority w:val="9"/>
    <w:qFormat/>
    <w:rsid w:val="001B26C3"/>
    <w:pPr>
      <w:spacing w:before="240" w:after="60"/>
      <w:outlineLvl w:val="4"/>
    </w:pPr>
    <w:rPr>
      <w:rFonts w:ascii="Calibri" w:hAnsi="Calibri"/>
      <w:b/>
      <w:bCs/>
      <w:i/>
      <w:iCs/>
      <w:sz w:val="26"/>
      <w:szCs w:val="26"/>
    </w:rPr>
  </w:style>
  <w:style w:type="paragraph" w:styleId="Nadpis6">
    <w:name w:val="heading 6"/>
    <w:basedOn w:val="Normlny"/>
    <w:next w:val="Normlny"/>
    <w:link w:val="Nadpis6Char"/>
    <w:uiPriority w:val="9"/>
    <w:qFormat/>
    <w:rsid w:val="00B706C5"/>
    <w:pPr>
      <w:spacing w:before="240" w:after="60"/>
      <w:outlineLvl w:val="5"/>
    </w:pPr>
    <w:rPr>
      <w:rFonts w:ascii="Calibri" w:hAnsi="Calibri"/>
      <w:b/>
      <w:bCs/>
      <w:sz w:val="22"/>
      <w:szCs w:val="22"/>
    </w:rPr>
  </w:style>
  <w:style w:type="paragraph" w:styleId="Nadpis7">
    <w:name w:val="heading 7"/>
    <w:basedOn w:val="Normlny"/>
    <w:next w:val="Normlny"/>
    <w:link w:val="Nadpis7Char"/>
    <w:uiPriority w:val="9"/>
    <w:qFormat/>
    <w:rsid w:val="0072342F"/>
    <w:pPr>
      <w:spacing w:before="240" w:after="60"/>
      <w:outlineLvl w:val="6"/>
    </w:pPr>
    <w:rPr>
      <w:rFonts w:ascii="Calibri" w:hAnsi="Calibri"/>
      <w:szCs w:val="20"/>
      <w:lang w:val="x-none" w:eastAsia="x-none"/>
    </w:rPr>
  </w:style>
  <w:style w:type="paragraph" w:styleId="Nadpis8">
    <w:name w:val="heading 8"/>
    <w:basedOn w:val="Normlny"/>
    <w:next w:val="Normlny"/>
    <w:link w:val="Nadpis8Char"/>
    <w:uiPriority w:val="9"/>
    <w:qFormat/>
    <w:rsid w:val="001B26C3"/>
    <w:pPr>
      <w:spacing w:before="240" w:after="60"/>
      <w:outlineLvl w:val="7"/>
    </w:pPr>
    <w:rPr>
      <w:rFonts w:ascii="Calibri" w:hAnsi="Calibri"/>
      <w:i/>
      <w:iCs/>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character" w:customStyle="1" w:styleId="Heading1Char">
    <w:name w:val="Heading 1 Char"/>
    <w:uiPriority w:val="9"/>
    <w:locked/>
    <w:rsid w:val="00E03A17"/>
    <w:rPr>
      <w:rFonts w:ascii="Tw Cen MT" w:eastAsia="Times New Roman" w:hAnsi="Tw Cen MT"/>
      <w:caps/>
      <w:color w:val="000000"/>
      <w:sz w:val="32"/>
      <w:lang w:val="sk-SK" w:eastAsia="en-US"/>
    </w:rPr>
  </w:style>
  <w:style w:type="character" w:customStyle="1" w:styleId="Nadpis2Char">
    <w:name w:val="Nadpis 2 Char"/>
    <w:link w:val="Nadpis2"/>
    <w:uiPriority w:val="9"/>
    <w:locked/>
    <w:rsid w:val="00C85BF9"/>
    <w:rPr>
      <w:rFonts w:ascii="Arial" w:hAnsi="Arial"/>
      <w:b/>
      <w:bCs/>
      <w:iCs/>
      <w:sz w:val="28"/>
      <w:szCs w:val="28"/>
    </w:rPr>
  </w:style>
  <w:style w:type="character" w:customStyle="1" w:styleId="Nadpis3Char">
    <w:name w:val="Nadpis 3 Char"/>
    <w:link w:val="Nadpis3"/>
    <w:uiPriority w:val="9"/>
    <w:locked/>
    <w:rsid w:val="00276947"/>
    <w:rPr>
      <w:rFonts w:ascii="Arial" w:hAnsi="Arial"/>
      <w:b/>
      <w:bCs/>
      <w:sz w:val="26"/>
      <w:szCs w:val="26"/>
    </w:rPr>
  </w:style>
  <w:style w:type="character" w:customStyle="1" w:styleId="Nadpis4Char">
    <w:name w:val="Nadpis 4 Char"/>
    <w:link w:val="Nadpis4"/>
    <w:uiPriority w:val="9"/>
    <w:semiHidden/>
    <w:locked/>
    <w:rPr>
      <w:rFonts w:ascii="Calibri" w:hAnsi="Calibri"/>
      <w:b/>
      <w:sz w:val="28"/>
    </w:rPr>
  </w:style>
  <w:style w:type="character" w:customStyle="1" w:styleId="Nadpis5Char">
    <w:name w:val="Nadpis 5 Char"/>
    <w:link w:val="Nadpis5"/>
    <w:uiPriority w:val="9"/>
    <w:semiHidden/>
    <w:locked/>
    <w:rPr>
      <w:rFonts w:ascii="Calibri" w:hAnsi="Calibri"/>
      <w:b/>
      <w:i/>
      <w:sz w:val="26"/>
    </w:rPr>
  </w:style>
  <w:style w:type="character" w:customStyle="1" w:styleId="Nadpis6Char">
    <w:name w:val="Nadpis 6 Char"/>
    <w:link w:val="Nadpis6"/>
    <w:uiPriority w:val="9"/>
    <w:semiHidden/>
    <w:locked/>
    <w:rPr>
      <w:rFonts w:ascii="Calibri" w:hAnsi="Calibri"/>
      <w:b/>
      <w:sz w:val="22"/>
    </w:rPr>
  </w:style>
  <w:style w:type="character" w:customStyle="1" w:styleId="Heading7Char">
    <w:name w:val="Heading 7 Char"/>
    <w:uiPriority w:val="9"/>
    <w:semiHidden/>
    <w:locked/>
    <w:rsid w:val="00EF3EA8"/>
    <w:rPr>
      <w:smallCaps/>
      <w:color w:val="000000"/>
      <w:spacing w:val="10"/>
      <w:sz w:val="23"/>
    </w:rPr>
  </w:style>
  <w:style w:type="character" w:customStyle="1" w:styleId="Nadpis8Char">
    <w:name w:val="Nadpis 8 Char"/>
    <w:link w:val="Nadpis8"/>
    <w:uiPriority w:val="9"/>
    <w:semiHidden/>
    <w:locked/>
    <w:rPr>
      <w:rFonts w:ascii="Calibri" w:hAnsi="Calibri"/>
      <w:i/>
      <w:sz w:val="24"/>
    </w:rPr>
  </w:style>
  <w:style w:type="character" w:customStyle="1" w:styleId="Nadpis1Char">
    <w:name w:val="Nadpis 1 Char"/>
    <w:link w:val="Nadpis1"/>
    <w:uiPriority w:val="9"/>
    <w:locked/>
    <w:rsid w:val="00276947"/>
    <w:rPr>
      <w:rFonts w:ascii="Arial" w:hAnsi="Arial"/>
      <w:b/>
      <w:caps/>
      <w:kern w:val="32"/>
      <w:sz w:val="32"/>
      <w:lang w:val="x-none" w:eastAsia="x-none"/>
    </w:rPr>
  </w:style>
  <w:style w:type="character" w:customStyle="1" w:styleId="Nadpis7Char">
    <w:name w:val="Nadpis 7 Char"/>
    <w:link w:val="Nadpis7"/>
    <w:uiPriority w:val="9"/>
    <w:semiHidden/>
    <w:locked/>
    <w:rPr>
      <w:rFonts w:ascii="Calibri" w:hAnsi="Calibri"/>
      <w:sz w:val="24"/>
    </w:rPr>
  </w:style>
  <w:style w:type="table" w:styleId="Mriekatabuky">
    <w:name w:val="Table Grid"/>
    <w:basedOn w:val="Normlnatabuka"/>
    <w:uiPriority w:val="59"/>
    <w:rsid w:val="009F4CF2"/>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Datedadoption">
    <w:name w:val="Date d'adoption"/>
    <w:basedOn w:val="Normlny"/>
    <w:next w:val="Titreobjet"/>
    <w:rsid w:val="002E4092"/>
    <w:pPr>
      <w:spacing w:before="360"/>
      <w:jc w:val="center"/>
    </w:pPr>
    <w:rPr>
      <w:b/>
      <w:bCs/>
      <w:lang w:val="en-GB"/>
    </w:rPr>
  </w:style>
  <w:style w:type="paragraph" w:customStyle="1" w:styleId="Titreobjet">
    <w:name w:val="Titre objet"/>
    <w:basedOn w:val="Normlny"/>
    <w:next w:val="Normlny"/>
    <w:rsid w:val="002E4092"/>
    <w:pPr>
      <w:spacing w:before="360" w:after="360"/>
      <w:jc w:val="center"/>
    </w:pPr>
    <w:rPr>
      <w:b/>
      <w:bCs/>
      <w:lang w:val="en-GB"/>
    </w:rPr>
  </w:style>
  <w:style w:type="paragraph" w:customStyle="1" w:styleId="Typedudocument">
    <w:name w:val="Type du document"/>
    <w:basedOn w:val="Normlny"/>
    <w:next w:val="Datedadoption"/>
    <w:rsid w:val="002E4092"/>
    <w:pPr>
      <w:spacing w:before="360"/>
      <w:jc w:val="center"/>
    </w:pPr>
    <w:rPr>
      <w:b/>
      <w:bCs/>
      <w:lang w:val="en-GB"/>
    </w:rPr>
  </w:style>
  <w:style w:type="paragraph" w:customStyle="1" w:styleId="TableText">
    <w:name w:val="Table Text"/>
    <w:basedOn w:val="Normlny"/>
    <w:rsid w:val="00CC0DF6"/>
    <w:pPr>
      <w:spacing w:before="60"/>
    </w:pPr>
    <w:rPr>
      <w:rFonts w:ascii="Arial" w:hAnsi="Arial"/>
      <w:sz w:val="16"/>
      <w:szCs w:val="20"/>
      <w:lang w:val="en-US"/>
    </w:rPr>
  </w:style>
  <w:style w:type="paragraph" w:styleId="Textvysvetlivky">
    <w:name w:val="endnote text"/>
    <w:basedOn w:val="Normlny"/>
    <w:link w:val="TextvysvetlivkyChar"/>
    <w:uiPriority w:val="99"/>
    <w:semiHidden/>
    <w:rsid w:val="00CC0DF6"/>
    <w:pPr>
      <w:keepLines/>
      <w:spacing w:line="200" w:lineRule="atLeast"/>
    </w:pPr>
    <w:rPr>
      <w:rFonts w:ascii="Arial" w:hAnsi="Arial"/>
      <w:spacing w:val="-5"/>
      <w:sz w:val="16"/>
      <w:szCs w:val="20"/>
      <w:lang w:val="en-GB"/>
    </w:rPr>
  </w:style>
  <w:style w:type="character" w:customStyle="1" w:styleId="TextvysvetlivkyChar">
    <w:name w:val="Text vysvetlivky Char"/>
    <w:link w:val="Textvysvetlivky"/>
    <w:uiPriority w:val="99"/>
    <w:semiHidden/>
    <w:locked/>
    <w:rPr>
      <w:rFonts w:cs="Times New Roman"/>
    </w:rPr>
  </w:style>
  <w:style w:type="paragraph" w:styleId="Hlavika">
    <w:name w:val="header"/>
    <w:basedOn w:val="Normlny"/>
    <w:link w:val="HlavikaChar"/>
    <w:uiPriority w:val="99"/>
    <w:rsid w:val="002C0260"/>
    <w:pPr>
      <w:tabs>
        <w:tab w:val="center" w:pos="4536"/>
        <w:tab w:val="right" w:pos="9072"/>
      </w:tabs>
    </w:pPr>
  </w:style>
  <w:style w:type="character" w:customStyle="1" w:styleId="HlavikaChar">
    <w:name w:val="Hlavička Char"/>
    <w:link w:val="Hlavika"/>
    <w:uiPriority w:val="99"/>
    <w:semiHidden/>
    <w:locked/>
    <w:rPr>
      <w:sz w:val="24"/>
    </w:rPr>
  </w:style>
  <w:style w:type="paragraph" w:styleId="Pta">
    <w:name w:val="footer"/>
    <w:basedOn w:val="Normlny"/>
    <w:link w:val="PtaChar"/>
    <w:uiPriority w:val="99"/>
    <w:rsid w:val="002C0260"/>
    <w:pPr>
      <w:tabs>
        <w:tab w:val="center" w:pos="4536"/>
        <w:tab w:val="right" w:pos="9072"/>
      </w:tabs>
    </w:pPr>
  </w:style>
  <w:style w:type="character" w:customStyle="1" w:styleId="PtaChar">
    <w:name w:val="Päta Char"/>
    <w:link w:val="Pta"/>
    <w:uiPriority w:val="99"/>
    <w:semiHidden/>
    <w:locked/>
    <w:rPr>
      <w:sz w:val="24"/>
    </w:rPr>
  </w:style>
  <w:style w:type="paragraph" w:styleId="PredformtovanHTML">
    <w:name w:val="HTML Preformatted"/>
    <w:basedOn w:val="Normlny"/>
    <w:link w:val="PredformtovanHTMLChar"/>
    <w:uiPriority w:val="99"/>
    <w:rsid w:val="00C852B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sz w:val="20"/>
      <w:szCs w:val="20"/>
    </w:rPr>
  </w:style>
  <w:style w:type="character" w:customStyle="1" w:styleId="PredformtovanHTMLChar">
    <w:name w:val="Predformátované HTML Char"/>
    <w:link w:val="PredformtovanHTML"/>
    <w:uiPriority w:val="99"/>
    <w:semiHidden/>
    <w:locked/>
    <w:rPr>
      <w:rFonts w:ascii="Courier New" w:hAnsi="Courier New"/>
    </w:rPr>
  </w:style>
  <w:style w:type="paragraph" w:customStyle="1" w:styleId="Zkladntextb">
    <w:name w:val="Základní text.b"/>
    <w:basedOn w:val="Normlny"/>
    <w:rsid w:val="00DE2442"/>
    <w:pPr>
      <w:spacing w:after="240" w:line="240" w:lineRule="atLeast"/>
      <w:ind w:left="1134"/>
    </w:pPr>
    <w:rPr>
      <w:rFonts w:ascii="Arial" w:hAnsi="Arial"/>
      <w:sz w:val="20"/>
      <w:szCs w:val="20"/>
      <w:lang w:val="en-US"/>
    </w:rPr>
  </w:style>
  <w:style w:type="paragraph" w:customStyle="1" w:styleId="ZkladntextbCharCharCharChar">
    <w:name w:val="Základný text.b Char Char Char Char"/>
    <w:basedOn w:val="Normlny"/>
    <w:link w:val="ZkladntextbCharCharCharCharChar"/>
    <w:rsid w:val="00DE2442"/>
    <w:pPr>
      <w:autoSpaceDE w:val="0"/>
      <w:autoSpaceDN w:val="0"/>
      <w:spacing w:after="240" w:line="240" w:lineRule="atLeast"/>
      <w:ind w:left="1134"/>
      <w:jc w:val="both"/>
    </w:pPr>
    <w:rPr>
      <w:rFonts w:ascii="Arial" w:hAnsi="Arial"/>
      <w:spacing w:val="-5"/>
      <w:szCs w:val="20"/>
      <w:lang w:val="en-GB" w:eastAsia="en-US"/>
    </w:rPr>
  </w:style>
  <w:style w:type="character" w:customStyle="1" w:styleId="ZkladntextbCharCharCharCharChar">
    <w:name w:val="Základný text.b Char Char Char Char Char"/>
    <w:link w:val="ZkladntextbCharCharCharChar"/>
    <w:locked/>
    <w:rsid w:val="00DE2442"/>
    <w:rPr>
      <w:rFonts w:ascii="Arial" w:hAnsi="Arial"/>
      <w:spacing w:val="-5"/>
      <w:sz w:val="24"/>
      <w:lang w:val="en-GB" w:eastAsia="en-US"/>
    </w:rPr>
  </w:style>
  <w:style w:type="paragraph" w:customStyle="1" w:styleId="ZkladntextbCharChar">
    <w:name w:val="Základný text.b Char Char"/>
    <w:basedOn w:val="Normlny"/>
    <w:rsid w:val="007A4557"/>
    <w:pPr>
      <w:spacing w:after="240" w:line="240" w:lineRule="atLeast"/>
      <w:ind w:left="1134"/>
      <w:jc w:val="both"/>
    </w:pPr>
    <w:rPr>
      <w:rFonts w:ascii="Arial" w:hAnsi="Arial"/>
      <w:spacing w:val="-5"/>
      <w:sz w:val="20"/>
      <w:szCs w:val="20"/>
      <w:lang w:val="en-GB" w:eastAsia="en-US"/>
    </w:rPr>
  </w:style>
  <w:style w:type="paragraph" w:styleId="Normlnywebov">
    <w:name w:val="Normal (Web)"/>
    <w:basedOn w:val="Normlny"/>
    <w:rsid w:val="00D627D0"/>
    <w:pPr>
      <w:spacing w:before="100" w:beforeAutospacing="1" w:after="100" w:afterAutospacing="1"/>
    </w:pPr>
    <w:rPr>
      <w:lang w:val="cs-CZ" w:eastAsia="cs-CZ"/>
    </w:rPr>
  </w:style>
  <w:style w:type="paragraph" w:styleId="Zkladntext">
    <w:name w:val="Body Text"/>
    <w:aliases w:val="b,Základný text1 Char,Základný text1 Char Char Char Char,Základný text1"/>
    <w:basedOn w:val="Normlny"/>
    <w:link w:val="ZkladntextChar"/>
    <w:uiPriority w:val="99"/>
    <w:rsid w:val="00D627D0"/>
    <w:pPr>
      <w:spacing w:after="240" w:line="240" w:lineRule="atLeast"/>
      <w:jc w:val="both"/>
    </w:pPr>
  </w:style>
  <w:style w:type="character" w:customStyle="1" w:styleId="ZkladntextChar">
    <w:name w:val="Základný text Char"/>
    <w:aliases w:val="b Char,Základný text1 Char Char,Základný text1 Char Char Char Char Char,Základný text1 Char1"/>
    <w:link w:val="Zkladntext"/>
    <w:uiPriority w:val="99"/>
    <w:semiHidden/>
    <w:locked/>
    <w:rPr>
      <w:sz w:val="24"/>
    </w:rPr>
  </w:style>
  <w:style w:type="character" w:styleId="Hypertextovprepojenie">
    <w:name w:val="Hyperlink"/>
    <w:uiPriority w:val="99"/>
    <w:rsid w:val="00A37259"/>
    <w:rPr>
      <w:color w:val="0000FF"/>
      <w:u w:val="single"/>
    </w:rPr>
  </w:style>
  <w:style w:type="paragraph" w:styleId="Zoznamsodrkami">
    <w:name w:val="List Bullet"/>
    <w:basedOn w:val="Zoznam"/>
    <w:autoRedefine/>
    <w:uiPriority w:val="99"/>
    <w:rsid w:val="00A37259"/>
    <w:pPr>
      <w:numPr>
        <w:numId w:val="1"/>
      </w:numPr>
      <w:tabs>
        <w:tab w:val="clear" w:pos="360"/>
        <w:tab w:val="num" w:pos="1209"/>
      </w:tabs>
      <w:ind w:left="1209"/>
      <w:jc w:val="both"/>
    </w:pPr>
    <w:rPr>
      <w:color w:val="FF0000"/>
      <w:spacing w:val="-5"/>
      <w:szCs w:val="20"/>
      <w:lang w:eastAsia="en-US"/>
    </w:rPr>
  </w:style>
  <w:style w:type="paragraph" w:styleId="Zoznam">
    <w:name w:val="List"/>
    <w:basedOn w:val="Normlny"/>
    <w:uiPriority w:val="99"/>
    <w:rsid w:val="00A37259"/>
    <w:pPr>
      <w:ind w:left="283" w:hanging="283"/>
    </w:pPr>
  </w:style>
  <w:style w:type="paragraph" w:customStyle="1" w:styleId="Nadpis52podnadpis">
    <w:name w:val="Nadpis 5._2.podnadpis"/>
    <w:basedOn w:val="Normlny"/>
    <w:next w:val="Normlny"/>
    <w:rsid w:val="00A37259"/>
    <w:pPr>
      <w:keepNext/>
      <w:keepLines/>
      <w:tabs>
        <w:tab w:val="num" w:pos="1068"/>
        <w:tab w:val="num" w:pos="3240"/>
        <w:tab w:val="num" w:pos="3600"/>
      </w:tabs>
      <w:spacing w:before="120" w:after="120" w:line="240" w:lineRule="atLeast"/>
      <w:ind w:left="3240" w:hanging="360"/>
    </w:pPr>
    <w:rPr>
      <w:rFonts w:ascii="Arial" w:hAnsi="Arial"/>
      <w:b/>
      <w:i/>
      <w:spacing w:val="-4"/>
      <w:kern w:val="28"/>
      <w:sz w:val="20"/>
      <w:szCs w:val="20"/>
      <w:lang w:val="en-GB" w:eastAsia="en-US"/>
    </w:rPr>
  </w:style>
  <w:style w:type="paragraph" w:customStyle="1" w:styleId="Titrearticle">
    <w:name w:val="Titre article"/>
    <w:basedOn w:val="Normlny"/>
    <w:next w:val="Normlny"/>
    <w:rsid w:val="00854870"/>
    <w:pPr>
      <w:keepNext/>
      <w:spacing w:before="360" w:after="120"/>
      <w:jc w:val="center"/>
    </w:pPr>
    <w:rPr>
      <w:i/>
      <w:iCs/>
      <w:lang w:val="en-GB"/>
    </w:rPr>
  </w:style>
  <w:style w:type="character" w:styleId="slostrany">
    <w:name w:val="page number"/>
    <w:basedOn w:val="Predvolenpsmoodseku"/>
    <w:uiPriority w:val="99"/>
    <w:rsid w:val="005019D4"/>
  </w:style>
  <w:style w:type="paragraph" w:styleId="Zarkazkladnhotextu">
    <w:name w:val="Body Text Indent"/>
    <w:basedOn w:val="Normlny"/>
    <w:link w:val="ZarkazkladnhotextuChar"/>
    <w:uiPriority w:val="99"/>
    <w:rsid w:val="00EE744A"/>
    <w:pPr>
      <w:spacing w:after="120"/>
      <w:ind w:left="283"/>
    </w:pPr>
  </w:style>
  <w:style w:type="character" w:customStyle="1" w:styleId="ZarkazkladnhotextuChar">
    <w:name w:val="Zarážka základného textu Char"/>
    <w:link w:val="Zarkazkladnhotextu"/>
    <w:uiPriority w:val="99"/>
    <w:semiHidden/>
    <w:locked/>
    <w:rPr>
      <w:sz w:val="24"/>
    </w:rPr>
  </w:style>
  <w:style w:type="paragraph" w:styleId="Obsah7">
    <w:name w:val="toc 7"/>
    <w:basedOn w:val="Normlny"/>
    <w:next w:val="Normlny"/>
    <w:autoRedefine/>
    <w:uiPriority w:val="39"/>
    <w:semiHidden/>
    <w:rsid w:val="005A3CE5"/>
    <w:pPr>
      <w:ind w:left="1200"/>
    </w:pPr>
    <w:rPr>
      <w:sz w:val="20"/>
      <w:szCs w:val="20"/>
    </w:rPr>
  </w:style>
  <w:style w:type="paragraph" w:customStyle="1" w:styleId="Nadpis3Nadpis3CharObyeajnCharH3CharObyeajnH3">
    <w:name w:val="Nadpis 3.Nadpis 3 Char.Obyeajný Char.H3 Char.Obyeajný.H3"/>
    <w:basedOn w:val="Normlny"/>
    <w:next w:val="Zkladntextb"/>
    <w:rsid w:val="00EE744A"/>
    <w:pPr>
      <w:keepNext/>
      <w:keepLines/>
      <w:tabs>
        <w:tab w:val="num" w:pos="2509"/>
      </w:tabs>
      <w:autoSpaceDE w:val="0"/>
      <w:autoSpaceDN w:val="0"/>
      <w:spacing w:after="240" w:line="240" w:lineRule="atLeast"/>
      <w:ind w:left="2509" w:hanging="360"/>
    </w:pPr>
    <w:rPr>
      <w:rFonts w:ascii="Arial Black" w:hAnsi="Arial Black"/>
      <w:spacing w:val="-10"/>
      <w:kern w:val="28"/>
      <w:sz w:val="20"/>
      <w:szCs w:val="20"/>
      <w:lang w:val="en-GB"/>
    </w:rPr>
  </w:style>
  <w:style w:type="paragraph" w:customStyle="1" w:styleId="Nadpis41podnadpisH4">
    <w:name w:val="Nadpis 4.1.podnadpis.H4"/>
    <w:basedOn w:val="Normlny"/>
    <w:next w:val="Zkladntextb"/>
    <w:rsid w:val="00EE744A"/>
    <w:pPr>
      <w:keepNext/>
      <w:keepLines/>
      <w:tabs>
        <w:tab w:val="num" w:pos="3229"/>
      </w:tabs>
      <w:autoSpaceDE w:val="0"/>
      <w:autoSpaceDN w:val="0"/>
      <w:spacing w:after="240" w:line="240" w:lineRule="atLeast"/>
      <w:ind w:left="3229" w:hanging="360"/>
    </w:pPr>
    <w:rPr>
      <w:rFonts w:ascii="Arial" w:hAnsi="Arial" w:cs="Arial"/>
      <w:b/>
      <w:bCs/>
      <w:spacing w:val="-4"/>
      <w:kern w:val="28"/>
      <w:sz w:val="22"/>
      <w:szCs w:val="22"/>
      <w:lang w:val="en-GB"/>
    </w:rPr>
  </w:style>
  <w:style w:type="paragraph" w:styleId="slovanzoznam">
    <w:name w:val="List Number"/>
    <w:basedOn w:val="Normlny"/>
    <w:uiPriority w:val="99"/>
    <w:rsid w:val="00F74139"/>
    <w:pPr>
      <w:tabs>
        <w:tab w:val="num" w:pos="486"/>
      </w:tabs>
      <w:ind w:left="486" w:hanging="360"/>
    </w:pPr>
    <w:rPr>
      <w:lang w:val="cs-CZ" w:eastAsia="cs-CZ"/>
    </w:rPr>
  </w:style>
  <w:style w:type="paragraph" w:customStyle="1" w:styleId="Zkladntextb2">
    <w:name w:val="Základní text.b2"/>
    <w:basedOn w:val="Normlny"/>
    <w:rsid w:val="00F74139"/>
    <w:pPr>
      <w:jc w:val="both"/>
    </w:pPr>
    <w:rPr>
      <w:rFonts w:ascii="Arial" w:hAnsi="Arial"/>
      <w:szCs w:val="20"/>
      <w:lang w:eastAsia="en-US"/>
    </w:rPr>
  </w:style>
  <w:style w:type="paragraph" w:customStyle="1" w:styleId="ZkladntextbCharChar1">
    <w:name w:val="Základný text.b Char Char1"/>
    <w:basedOn w:val="Normlny"/>
    <w:link w:val="ZkladntextbCharCharChar"/>
    <w:rsid w:val="00231187"/>
    <w:pPr>
      <w:spacing w:after="240" w:line="240" w:lineRule="atLeast"/>
      <w:ind w:left="1134"/>
      <w:jc w:val="both"/>
    </w:pPr>
    <w:rPr>
      <w:rFonts w:ascii="Arial" w:hAnsi="Arial"/>
      <w:spacing w:val="-5"/>
      <w:szCs w:val="20"/>
      <w:lang w:val="en-GB" w:eastAsia="en-US"/>
    </w:rPr>
  </w:style>
  <w:style w:type="character" w:customStyle="1" w:styleId="ZkladntextbCharCharChar">
    <w:name w:val="Základný text.b Char Char Char"/>
    <w:link w:val="ZkladntextbCharChar1"/>
    <w:locked/>
    <w:rsid w:val="001D0E71"/>
    <w:rPr>
      <w:rFonts w:ascii="Arial" w:hAnsi="Arial"/>
      <w:spacing w:val="-5"/>
      <w:sz w:val="24"/>
      <w:lang w:val="en-GB" w:eastAsia="en-US"/>
    </w:rPr>
  </w:style>
  <w:style w:type="paragraph" w:customStyle="1" w:styleId="Tabletext0">
    <w:name w:val="Table text"/>
    <w:basedOn w:val="Normlny"/>
    <w:rsid w:val="00046BBA"/>
    <w:pPr>
      <w:autoSpaceDE w:val="0"/>
      <w:autoSpaceDN w:val="0"/>
      <w:jc w:val="both"/>
    </w:pPr>
    <w:rPr>
      <w:rFonts w:ascii="Arial" w:hAnsi="Arial" w:cs="Arial"/>
      <w:spacing w:val="-5"/>
      <w:sz w:val="20"/>
      <w:szCs w:val="20"/>
      <w:lang w:val="en-GB"/>
    </w:rPr>
  </w:style>
  <w:style w:type="paragraph" w:customStyle="1" w:styleId="SectionTitle">
    <w:name w:val="SectionTitle"/>
    <w:basedOn w:val="Normlny"/>
    <w:next w:val="Nadpis1"/>
    <w:rsid w:val="005804A2"/>
    <w:pPr>
      <w:keepNext/>
      <w:spacing w:before="120" w:after="360"/>
      <w:jc w:val="center"/>
    </w:pPr>
    <w:rPr>
      <w:b/>
      <w:smallCaps/>
      <w:sz w:val="28"/>
      <w:szCs w:val="20"/>
      <w:lang w:val="en-GB"/>
    </w:rPr>
  </w:style>
  <w:style w:type="character" w:customStyle="1" w:styleId="spelle">
    <w:name w:val="spelle"/>
    <w:rsid w:val="00183BA1"/>
  </w:style>
  <w:style w:type="paragraph" w:customStyle="1" w:styleId="ZkladntextbJustified">
    <w:name w:val="Základní text.b + Justified"/>
    <w:basedOn w:val="Zkladntextb"/>
    <w:rsid w:val="00102ABC"/>
    <w:pPr>
      <w:jc w:val="both"/>
    </w:pPr>
    <w:rPr>
      <w:lang w:val="sk-SK"/>
    </w:rPr>
  </w:style>
  <w:style w:type="paragraph" w:styleId="Obsah3">
    <w:name w:val="toc 3"/>
    <w:basedOn w:val="Normlny"/>
    <w:next w:val="Normlny"/>
    <w:autoRedefine/>
    <w:uiPriority w:val="39"/>
    <w:rsid w:val="009F3ADF"/>
    <w:pPr>
      <w:tabs>
        <w:tab w:val="right" w:leader="dot" w:pos="9012"/>
      </w:tabs>
    </w:pPr>
    <w:rPr>
      <w:sz w:val="20"/>
      <w:szCs w:val="20"/>
    </w:rPr>
  </w:style>
  <w:style w:type="paragraph" w:styleId="Obsah1">
    <w:name w:val="toc 1"/>
    <w:basedOn w:val="Normlny"/>
    <w:next w:val="Normlny"/>
    <w:autoRedefine/>
    <w:uiPriority w:val="39"/>
    <w:rsid w:val="002939DC"/>
    <w:pPr>
      <w:tabs>
        <w:tab w:val="left" w:pos="480"/>
        <w:tab w:val="right" w:leader="dot" w:pos="9072"/>
      </w:tabs>
      <w:spacing w:before="360"/>
    </w:pPr>
    <w:rPr>
      <w:rFonts w:ascii="Arial" w:hAnsi="Arial" w:cs="Arial"/>
      <w:b/>
      <w:bCs/>
      <w:smallCaps/>
      <w:noProof/>
      <w:sz w:val="22"/>
    </w:rPr>
  </w:style>
  <w:style w:type="paragraph" w:styleId="Obsah2">
    <w:name w:val="toc 2"/>
    <w:basedOn w:val="Normlny"/>
    <w:next w:val="Normlny"/>
    <w:autoRedefine/>
    <w:uiPriority w:val="39"/>
    <w:rsid w:val="001A588B"/>
    <w:pPr>
      <w:spacing w:before="240"/>
    </w:pPr>
    <w:rPr>
      <w:b/>
      <w:bCs/>
      <w:sz w:val="20"/>
      <w:szCs w:val="20"/>
    </w:rPr>
  </w:style>
  <w:style w:type="paragraph" w:styleId="Obsah6">
    <w:name w:val="toc 6"/>
    <w:basedOn w:val="Normlny"/>
    <w:next w:val="Normlny"/>
    <w:autoRedefine/>
    <w:uiPriority w:val="39"/>
    <w:semiHidden/>
    <w:rsid w:val="003C358E"/>
    <w:pPr>
      <w:ind w:left="960"/>
    </w:pPr>
    <w:rPr>
      <w:sz w:val="20"/>
      <w:szCs w:val="20"/>
    </w:rPr>
  </w:style>
  <w:style w:type="paragraph" w:styleId="Obsah4">
    <w:name w:val="toc 4"/>
    <w:basedOn w:val="Normlny"/>
    <w:next w:val="Normlny"/>
    <w:autoRedefine/>
    <w:uiPriority w:val="39"/>
    <w:semiHidden/>
    <w:rsid w:val="00D302EA"/>
    <w:pPr>
      <w:ind w:left="480"/>
    </w:pPr>
    <w:rPr>
      <w:sz w:val="20"/>
      <w:szCs w:val="20"/>
    </w:rPr>
  </w:style>
  <w:style w:type="paragraph" w:styleId="Obsah5">
    <w:name w:val="toc 5"/>
    <w:basedOn w:val="Normlny"/>
    <w:next w:val="Normlny"/>
    <w:autoRedefine/>
    <w:uiPriority w:val="39"/>
    <w:semiHidden/>
    <w:rsid w:val="003C358E"/>
    <w:pPr>
      <w:ind w:left="720"/>
    </w:pPr>
    <w:rPr>
      <w:sz w:val="20"/>
      <w:szCs w:val="20"/>
    </w:rPr>
  </w:style>
  <w:style w:type="paragraph" w:styleId="Textpoznmkypodiarou">
    <w:name w:val="footnote text"/>
    <w:aliases w:val="Text poznámky pod čiarou 007,_Poznámka pod čiarou,Text poznámky pod èiarou 007"/>
    <w:basedOn w:val="Normlny"/>
    <w:link w:val="TextpoznmkypodiarouChar"/>
    <w:rsid w:val="00B95CF2"/>
    <w:rPr>
      <w:sz w:val="20"/>
      <w:szCs w:val="20"/>
    </w:rPr>
  </w:style>
  <w:style w:type="character" w:customStyle="1" w:styleId="TextpoznmkypodiarouChar">
    <w:name w:val="Text poznámky pod čiarou Char"/>
    <w:aliases w:val="Text poznámky pod čiarou 007 Char,_Poznámka pod čiarou Char,Text poznámky pod èiarou 007 Char"/>
    <w:link w:val="Textpoznmkypodiarou"/>
    <w:locked/>
    <w:rPr>
      <w:rFonts w:cs="Times New Roman"/>
    </w:rPr>
  </w:style>
  <w:style w:type="character" w:styleId="Odkaznapoznmkupodiarou">
    <w:name w:val="footnote reference"/>
    <w:semiHidden/>
    <w:rsid w:val="00B95CF2"/>
    <w:rPr>
      <w:vertAlign w:val="superscript"/>
    </w:rPr>
  </w:style>
  <w:style w:type="paragraph" w:styleId="Zarkazkladnhotextu2">
    <w:name w:val="Body Text Indent 2"/>
    <w:basedOn w:val="Normlny"/>
    <w:link w:val="Zarkazkladnhotextu2Char"/>
    <w:uiPriority w:val="99"/>
    <w:rsid w:val="002A305E"/>
    <w:pPr>
      <w:ind w:left="360"/>
      <w:jc w:val="both"/>
    </w:pPr>
  </w:style>
  <w:style w:type="character" w:customStyle="1" w:styleId="Zarkazkladnhotextu2Char">
    <w:name w:val="Zarážka základného textu 2 Char"/>
    <w:link w:val="Zarkazkladnhotextu2"/>
    <w:uiPriority w:val="99"/>
    <w:semiHidden/>
    <w:locked/>
    <w:rPr>
      <w:sz w:val="24"/>
    </w:rPr>
  </w:style>
  <w:style w:type="paragraph" w:customStyle="1" w:styleId="ZkladntextbChar">
    <w:name w:val="Základný text.b Char"/>
    <w:basedOn w:val="Normlny"/>
    <w:rsid w:val="009A5F1F"/>
    <w:pPr>
      <w:autoSpaceDE w:val="0"/>
      <w:autoSpaceDN w:val="0"/>
      <w:spacing w:after="240" w:line="240" w:lineRule="atLeast"/>
      <w:ind w:left="1134"/>
      <w:jc w:val="both"/>
    </w:pPr>
    <w:rPr>
      <w:rFonts w:ascii="Arial" w:hAnsi="Arial"/>
      <w:spacing w:val="-5"/>
      <w:lang w:val="en-GB" w:eastAsia="en-US"/>
    </w:rPr>
  </w:style>
  <w:style w:type="paragraph" w:styleId="Zoznamsodrkami2">
    <w:name w:val="List Bullet 2"/>
    <w:basedOn w:val="Normlny"/>
    <w:uiPriority w:val="99"/>
    <w:rsid w:val="00736810"/>
    <w:pPr>
      <w:numPr>
        <w:numId w:val="2"/>
      </w:numPr>
    </w:pPr>
  </w:style>
  <w:style w:type="paragraph" w:styleId="Textbubliny">
    <w:name w:val="Balloon Text"/>
    <w:basedOn w:val="Normlny"/>
    <w:link w:val="TextbublinyChar"/>
    <w:uiPriority w:val="99"/>
    <w:semiHidden/>
    <w:rsid w:val="009A6E42"/>
    <w:rPr>
      <w:sz w:val="20"/>
    </w:rPr>
  </w:style>
  <w:style w:type="character" w:customStyle="1" w:styleId="TextbublinyChar">
    <w:name w:val="Text bubliny Char"/>
    <w:link w:val="Textbubliny"/>
    <w:uiPriority w:val="99"/>
    <w:semiHidden/>
    <w:locked/>
    <w:rsid w:val="009A6E42"/>
    <w:rPr>
      <w:szCs w:val="24"/>
    </w:rPr>
  </w:style>
  <w:style w:type="character" w:styleId="Zvraznenie">
    <w:name w:val="Emphasis"/>
    <w:uiPriority w:val="20"/>
    <w:qFormat/>
    <w:rsid w:val="00212E2F"/>
    <w:rPr>
      <w:i/>
    </w:rPr>
  </w:style>
  <w:style w:type="paragraph" w:styleId="Obyajntext">
    <w:name w:val="Plain Text"/>
    <w:basedOn w:val="Normlny"/>
    <w:link w:val="ObyajntextChar"/>
    <w:uiPriority w:val="99"/>
    <w:rsid w:val="00B26E82"/>
    <w:rPr>
      <w:rFonts w:ascii="Courier New" w:hAnsi="Courier New"/>
      <w:sz w:val="20"/>
      <w:szCs w:val="20"/>
    </w:rPr>
  </w:style>
  <w:style w:type="character" w:customStyle="1" w:styleId="ObyajntextChar">
    <w:name w:val="Obyčajný text Char"/>
    <w:link w:val="Obyajntext"/>
    <w:uiPriority w:val="99"/>
    <w:semiHidden/>
    <w:locked/>
    <w:rPr>
      <w:rFonts w:ascii="Courier New" w:hAnsi="Courier New"/>
    </w:rPr>
  </w:style>
  <w:style w:type="table" w:styleId="Motvtabuky">
    <w:name w:val="Table Theme"/>
    <w:basedOn w:val="Normlnatabuka"/>
    <w:uiPriority w:val="99"/>
    <w:rsid w:val="00EF4D65"/>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Odkaznakomentr">
    <w:name w:val="annotation reference"/>
    <w:uiPriority w:val="99"/>
    <w:semiHidden/>
    <w:rsid w:val="005F6212"/>
    <w:rPr>
      <w:sz w:val="16"/>
    </w:rPr>
  </w:style>
  <w:style w:type="paragraph" w:customStyle="1" w:styleId="CharCharCharCharCharChar">
    <w:name w:val="Char Char Char Char Char Char"/>
    <w:basedOn w:val="Normlny"/>
    <w:rsid w:val="003B6557"/>
    <w:pPr>
      <w:spacing w:after="160" w:line="240" w:lineRule="exact"/>
    </w:pPr>
    <w:rPr>
      <w:rFonts w:ascii="Tahoma" w:hAnsi="Tahoma" w:cs="Tahoma"/>
      <w:sz w:val="20"/>
      <w:szCs w:val="20"/>
      <w:lang w:eastAsia="en-US"/>
    </w:rPr>
  </w:style>
  <w:style w:type="paragraph" w:customStyle="1" w:styleId="CharChar1">
    <w:name w:val="Char Char1"/>
    <w:basedOn w:val="Normlny"/>
    <w:rsid w:val="00294E19"/>
    <w:pPr>
      <w:spacing w:after="160" w:line="240" w:lineRule="exact"/>
    </w:pPr>
    <w:rPr>
      <w:rFonts w:ascii="Tahoma" w:hAnsi="Tahoma" w:cs="Tahoma"/>
      <w:sz w:val="20"/>
      <w:szCs w:val="20"/>
      <w:lang w:eastAsia="en-US"/>
    </w:rPr>
  </w:style>
  <w:style w:type="paragraph" w:styleId="Nzov">
    <w:name w:val="Title"/>
    <w:basedOn w:val="Normlny"/>
    <w:link w:val="NzovChar"/>
    <w:uiPriority w:val="10"/>
    <w:qFormat/>
    <w:rsid w:val="003801F3"/>
    <w:pPr>
      <w:jc w:val="center"/>
    </w:pPr>
    <w:rPr>
      <w:rFonts w:ascii="Cambria" w:hAnsi="Cambria"/>
      <w:b/>
      <w:bCs/>
      <w:kern w:val="28"/>
      <w:sz w:val="32"/>
      <w:szCs w:val="32"/>
    </w:rPr>
  </w:style>
  <w:style w:type="character" w:customStyle="1" w:styleId="NzovChar">
    <w:name w:val="Názov Char"/>
    <w:link w:val="Nzov"/>
    <w:uiPriority w:val="10"/>
    <w:locked/>
    <w:rPr>
      <w:rFonts w:ascii="Cambria" w:hAnsi="Cambria"/>
      <w:b/>
      <w:kern w:val="28"/>
      <w:sz w:val="32"/>
    </w:rPr>
  </w:style>
  <w:style w:type="paragraph" w:styleId="truktradokumentu">
    <w:name w:val="Document Map"/>
    <w:basedOn w:val="Normlny"/>
    <w:link w:val="truktradokumentuChar"/>
    <w:uiPriority w:val="99"/>
    <w:semiHidden/>
    <w:rsid w:val="005A3CE5"/>
    <w:pPr>
      <w:shd w:val="clear" w:color="auto" w:fill="000080"/>
    </w:pPr>
    <w:rPr>
      <w:sz w:val="2"/>
    </w:rPr>
  </w:style>
  <w:style w:type="character" w:customStyle="1" w:styleId="truktradokumentuChar">
    <w:name w:val="Štruktúra dokumentu Char"/>
    <w:link w:val="truktradokumentu"/>
    <w:uiPriority w:val="99"/>
    <w:semiHidden/>
    <w:locked/>
    <w:rPr>
      <w:sz w:val="2"/>
    </w:rPr>
  </w:style>
  <w:style w:type="paragraph" w:styleId="Obsah8">
    <w:name w:val="toc 8"/>
    <w:basedOn w:val="Normlny"/>
    <w:next w:val="Normlny"/>
    <w:autoRedefine/>
    <w:uiPriority w:val="39"/>
    <w:semiHidden/>
    <w:rsid w:val="005A3CE5"/>
    <w:pPr>
      <w:ind w:left="1440"/>
    </w:pPr>
    <w:rPr>
      <w:sz w:val="20"/>
      <w:szCs w:val="20"/>
    </w:rPr>
  </w:style>
  <w:style w:type="paragraph" w:styleId="Obsah9">
    <w:name w:val="toc 9"/>
    <w:basedOn w:val="Normlny"/>
    <w:next w:val="Normlny"/>
    <w:autoRedefine/>
    <w:uiPriority w:val="39"/>
    <w:semiHidden/>
    <w:rsid w:val="005A3CE5"/>
    <w:pPr>
      <w:ind w:left="1680"/>
    </w:pPr>
    <w:rPr>
      <w:sz w:val="20"/>
      <w:szCs w:val="20"/>
    </w:rPr>
  </w:style>
  <w:style w:type="paragraph" w:customStyle="1" w:styleId="CharCharCharChar">
    <w:name w:val="Char Char Char Char"/>
    <w:basedOn w:val="Normlny"/>
    <w:rsid w:val="00B31F08"/>
    <w:pPr>
      <w:spacing w:after="160" w:line="240" w:lineRule="exact"/>
      <w:ind w:firstLine="720"/>
    </w:pPr>
    <w:rPr>
      <w:rFonts w:ascii="Tahoma" w:hAnsi="Tahoma"/>
      <w:sz w:val="20"/>
      <w:szCs w:val="20"/>
      <w:lang w:eastAsia="en-US"/>
    </w:rPr>
  </w:style>
  <w:style w:type="paragraph" w:customStyle="1" w:styleId="Tiret">
    <w:name w:val="Tiret"/>
    <w:next w:val="Normlny"/>
    <w:rsid w:val="00B4310B"/>
    <w:pPr>
      <w:numPr>
        <w:numId w:val="4"/>
      </w:numPr>
      <w:tabs>
        <w:tab w:val="clear" w:pos="360"/>
      </w:tabs>
      <w:spacing w:after="240"/>
      <w:ind w:left="0" w:firstLine="0"/>
      <w:jc w:val="both"/>
    </w:pPr>
    <w:rPr>
      <w:noProof/>
      <w:sz w:val="24"/>
      <w:lang w:val="en-GB" w:eastAsia="en-GB"/>
    </w:rPr>
  </w:style>
  <w:style w:type="paragraph" w:customStyle="1" w:styleId="CharCharCharCharCharCharCharCharCharCharCharCharCharCharCharCharCharChar1CharCharChar">
    <w:name w:val="Char Char Char Char Char Char Char Char Char Char Char Char Char Char Char Char Char Char1 Char Char Char"/>
    <w:basedOn w:val="Normlny"/>
    <w:rsid w:val="00773795"/>
    <w:pPr>
      <w:spacing w:after="160" w:line="240" w:lineRule="exact"/>
    </w:pPr>
    <w:rPr>
      <w:rFonts w:ascii="Tahoma" w:hAnsi="Tahoma" w:cs="Tahoma"/>
      <w:sz w:val="20"/>
      <w:szCs w:val="20"/>
      <w:lang w:val="en-US" w:eastAsia="en-US"/>
    </w:rPr>
  </w:style>
  <w:style w:type="paragraph" w:customStyle="1" w:styleId="CharCharCharCharCharCharCharCharCharCharCharChar1CharCharCharCharCharCharChar">
    <w:name w:val="Char Char Char Char Char Char Char Char Char Char Char Char1 Char Char Char Char Char Char Char"/>
    <w:basedOn w:val="Normlny"/>
    <w:rsid w:val="001B3A00"/>
    <w:pPr>
      <w:spacing w:after="160" w:line="240" w:lineRule="exact"/>
    </w:pPr>
    <w:rPr>
      <w:rFonts w:ascii="Tahoma" w:hAnsi="Tahoma" w:cs="Tahoma"/>
      <w:sz w:val="20"/>
      <w:szCs w:val="20"/>
      <w:lang w:eastAsia="en-US"/>
    </w:rPr>
  </w:style>
  <w:style w:type="character" w:styleId="Siln">
    <w:name w:val="Strong"/>
    <w:uiPriority w:val="22"/>
    <w:qFormat/>
    <w:rsid w:val="00146775"/>
    <w:rPr>
      <w:b/>
    </w:rPr>
  </w:style>
  <w:style w:type="paragraph" w:customStyle="1" w:styleId="NormlnyArial">
    <w:name w:val="Normálny + Arial"/>
    <w:aliases w:val="10 pt"/>
    <w:basedOn w:val="Normlny"/>
    <w:rsid w:val="00801703"/>
    <w:pPr>
      <w:spacing w:line="360" w:lineRule="auto"/>
      <w:jc w:val="both"/>
      <w:outlineLvl w:val="0"/>
    </w:pPr>
    <w:rPr>
      <w:rFonts w:ascii="Arial" w:hAnsi="Arial" w:cs="Arial"/>
      <w:b/>
      <w:sz w:val="20"/>
      <w:szCs w:val="20"/>
    </w:rPr>
  </w:style>
  <w:style w:type="paragraph" w:customStyle="1" w:styleId="CharCharCharCharCharCharCharCharCharCharCharCharCharCharCharCharCharChar1CharCharCharCharChar">
    <w:name w:val="Char Char Char Char Char Char Char Char Char Char Char Char Char Char Char Char Char Char1 Char Char Char Char Char"/>
    <w:basedOn w:val="Normlny"/>
    <w:rsid w:val="009B58F7"/>
    <w:pPr>
      <w:spacing w:after="160" w:line="240" w:lineRule="exact"/>
    </w:pPr>
    <w:rPr>
      <w:rFonts w:ascii="Tahoma" w:hAnsi="Tahoma" w:cs="Tahoma"/>
      <w:sz w:val="20"/>
      <w:szCs w:val="20"/>
      <w:lang w:val="en-US" w:eastAsia="en-US"/>
    </w:rPr>
  </w:style>
  <w:style w:type="character" w:customStyle="1" w:styleId="longtext1">
    <w:name w:val="long_text1"/>
    <w:rsid w:val="003A287C"/>
    <w:rPr>
      <w:sz w:val="20"/>
    </w:rPr>
  </w:style>
  <w:style w:type="paragraph" w:customStyle="1" w:styleId="ListParagraph1">
    <w:name w:val="List Paragraph1"/>
    <w:basedOn w:val="Normlny"/>
    <w:rsid w:val="003A287C"/>
    <w:pPr>
      <w:spacing w:after="200" w:line="276" w:lineRule="auto"/>
      <w:ind w:left="720"/>
    </w:pPr>
    <w:rPr>
      <w:sz w:val="22"/>
      <w:szCs w:val="20"/>
    </w:rPr>
  </w:style>
  <w:style w:type="paragraph" w:customStyle="1" w:styleId="CharCharCharCharCharChar1Char">
    <w:name w:val="Char Char Char Char Char Char1 Char"/>
    <w:basedOn w:val="Normlny"/>
    <w:rsid w:val="00470BCE"/>
    <w:pPr>
      <w:spacing w:after="160" w:line="240" w:lineRule="exact"/>
      <w:ind w:firstLine="720"/>
    </w:pPr>
    <w:rPr>
      <w:rFonts w:ascii="Tahoma" w:hAnsi="Tahoma"/>
      <w:noProof/>
      <w:sz w:val="20"/>
      <w:szCs w:val="20"/>
      <w:lang w:val="en-US" w:eastAsia="en-US"/>
    </w:rPr>
  </w:style>
  <w:style w:type="paragraph" w:styleId="Textkomentra">
    <w:name w:val="annotation text"/>
    <w:basedOn w:val="Normlny"/>
    <w:link w:val="TextkomentraChar"/>
    <w:uiPriority w:val="99"/>
    <w:semiHidden/>
    <w:rsid w:val="00470BCE"/>
    <w:rPr>
      <w:noProof/>
      <w:sz w:val="20"/>
      <w:szCs w:val="20"/>
      <w:lang w:eastAsia="en-GB"/>
    </w:rPr>
  </w:style>
  <w:style w:type="character" w:customStyle="1" w:styleId="TextkomentraChar">
    <w:name w:val="Text komentára Char"/>
    <w:link w:val="Textkomentra"/>
    <w:uiPriority w:val="99"/>
    <w:semiHidden/>
    <w:locked/>
    <w:rsid w:val="00CE618B"/>
    <w:rPr>
      <w:noProof/>
      <w:lang w:eastAsia="en-GB"/>
    </w:rPr>
  </w:style>
  <w:style w:type="paragraph" w:styleId="Zarkazkladnhotextu3">
    <w:name w:val="Body Text Indent 3"/>
    <w:basedOn w:val="Normlny"/>
    <w:link w:val="Zarkazkladnhotextu3Char"/>
    <w:uiPriority w:val="99"/>
    <w:rsid w:val="005B486D"/>
    <w:pPr>
      <w:spacing w:after="120"/>
      <w:ind w:left="283"/>
    </w:pPr>
    <w:rPr>
      <w:sz w:val="16"/>
      <w:szCs w:val="16"/>
    </w:rPr>
  </w:style>
  <w:style w:type="character" w:customStyle="1" w:styleId="Zarkazkladnhotextu3Char">
    <w:name w:val="Zarážka základného textu 3 Char"/>
    <w:link w:val="Zarkazkladnhotextu3"/>
    <w:uiPriority w:val="99"/>
    <w:semiHidden/>
    <w:locked/>
    <w:rPr>
      <w:sz w:val="16"/>
    </w:rPr>
  </w:style>
  <w:style w:type="paragraph" w:customStyle="1" w:styleId="Predvolenpsmoodseku1">
    <w:name w:val="Predvolené písmo odseku1"/>
    <w:aliases w:val="Car Char Char Char Char Char Char Char Char Char Char Char Char Char Char Char Char,Car Char Char Char Char Char Char Char Char Char Char Char Char Char Char Char Char Char Char Char"/>
    <w:basedOn w:val="Normlny"/>
    <w:rsid w:val="008C36A6"/>
    <w:pPr>
      <w:spacing w:after="160" w:line="240" w:lineRule="exact"/>
    </w:pPr>
    <w:rPr>
      <w:rFonts w:ascii="Tahoma" w:hAnsi="Tahoma" w:cs="Tahoma"/>
      <w:sz w:val="20"/>
      <w:szCs w:val="20"/>
      <w:lang w:val="en-US" w:eastAsia="en-US"/>
    </w:rPr>
  </w:style>
  <w:style w:type="paragraph" w:styleId="Odsekzoznamu">
    <w:name w:val="List Paragraph"/>
    <w:basedOn w:val="Normlny"/>
    <w:link w:val="OdsekzoznamuChar"/>
    <w:uiPriority w:val="34"/>
    <w:qFormat/>
    <w:rsid w:val="002023A2"/>
    <w:pPr>
      <w:spacing w:after="200" w:line="276" w:lineRule="auto"/>
      <w:ind w:left="720"/>
      <w:contextualSpacing/>
    </w:pPr>
    <w:rPr>
      <w:rFonts w:ascii="Calibri" w:hAnsi="Calibri"/>
      <w:sz w:val="22"/>
      <w:szCs w:val="22"/>
      <w:lang w:eastAsia="en-US"/>
    </w:rPr>
  </w:style>
  <w:style w:type="character" w:styleId="Textzstupnhosymbolu">
    <w:name w:val="Placeholder Text"/>
    <w:uiPriority w:val="99"/>
    <w:semiHidden/>
    <w:rsid w:val="0092194D"/>
    <w:rPr>
      <w:rFonts w:ascii="Times New Roman" w:hAnsi="Times New Roman"/>
      <w:color w:val="808080"/>
    </w:rPr>
  </w:style>
  <w:style w:type="paragraph" w:customStyle="1" w:styleId="MP1">
    <w:name w:val="MP1"/>
    <w:basedOn w:val="Normlny"/>
    <w:link w:val="MP1Char"/>
    <w:rsid w:val="00CE618B"/>
    <w:pPr>
      <w:autoSpaceDE w:val="0"/>
      <w:autoSpaceDN w:val="0"/>
      <w:adjustRightInd w:val="0"/>
    </w:pPr>
    <w:rPr>
      <w:rFonts w:ascii="Arial" w:hAnsi="Arial"/>
      <w:b/>
      <w:szCs w:val="20"/>
      <w:lang w:val="x-none" w:eastAsia="x-none"/>
    </w:rPr>
  </w:style>
  <w:style w:type="character" w:customStyle="1" w:styleId="MP1Char">
    <w:name w:val="MP1 Char"/>
    <w:link w:val="MP1"/>
    <w:locked/>
    <w:rsid w:val="00CE618B"/>
    <w:rPr>
      <w:rFonts w:ascii="Arial" w:eastAsia="Times New Roman" w:hAnsi="Arial"/>
      <w:b/>
      <w:sz w:val="24"/>
    </w:rPr>
  </w:style>
  <w:style w:type="paragraph" w:styleId="Predmetkomentra">
    <w:name w:val="annotation subject"/>
    <w:basedOn w:val="Textkomentra"/>
    <w:next w:val="Textkomentra"/>
    <w:link w:val="PredmetkomentraChar"/>
    <w:uiPriority w:val="99"/>
    <w:rsid w:val="00CE618B"/>
    <w:rPr>
      <w:b/>
    </w:rPr>
  </w:style>
  <w:style w:type="character" w:customStyle="1" w:styleId="PredmetkomentraChar">
    <w:name w:val="Predmet komentára Char"/>
    <w:link w:val="Predmetkomentra"/>
    <w:uiPriority w:val="99"/>
    <w:locked/>
    <w:rsid w:val="00CE618B"/>
    <w:rPr>
      <w:b/>
      <w:noProof/>
      <w:lang w:eastAsia="en-GB"/>
    </w:rPr>
  </w:style>
  <w:style w:type="character" w:styleId="PouitHypertextovPrepojenie">
    <w:name w:val="FollowedHyperlink"/>
    <w:uiPriority w:val="99"/>
    <w:rsid w:val="00D36A8B"/>
    <w:rPr>
      <w:color w:val="800080"/>
      <w:u w:val="single"/>
    </w:rPr>
  </w:style>
  <w:style w:type="paragraph" w:customStyle="1" w:styleId="Odsekzoznamu1">
    <w:name w:val="Odsek zoznamu1"/>
    <w:basedOn w:val="Normlny"/>
    <w:uiPriority w:val="99"/>
    <w:qFormat/>
    <w:rsid w:val="00D92973"/>
    <w:pPr>
      <w:ind w:left="720"/>
      <w:contextualSpacing/>
    </w:pPr>
  </w:style>
  <w:style w:type="character" w:customStyle="1" w:styleId="hps">
    <w:name w:val="hps"/>
    <w:uiPriority w:val="99"/>
    <w:rsid w:val="00D92973"/>
  </w:style>
  <w:style w:type="character" w:customStyle="1" w:styleId="Textpoznmkypodiarou007CharChar">
    <w:name w:val="Text poznámky pod čiarou 007 Char Char"/>
    <w:rsid w:val="001151D1"/>
    <w:rPr>
      <w:rFonts w:ascii="Arial" w:hAnsi="Arial"/>
      <w:lang w:val="x-none" w:eastAsia="cs-CZ"/>
    </w:rPr>
  </w:style>
  <w:style w:type="paragraph" w:customStyle="1" w:styleId="Normaltext">
    <w:name w:val="Normal text"/>
    <w:basedOn w:val="Normlny"/>
    <w:rsid w:val="001B42CE"/>
    <w:pPr>
      <w:spacing w:before="120" w:after="120"/>
      <w:jc w:val="both"/>
    </w:pPr>
    <w:rPr>
      <w:rFonts w:ascii="Arial" w:hAnsi="Arial" w:cs="Arial"/>
      <w:sz w:val="20"/>
      <w:szCs w:val="20"/>
    </w:rPr>
  </w:style>
  <w:style w:type="paragraph" w:customStyle="1" w:styleId="Default">
    <w:name w:val="Default"/>
    <w:uiPriority w:val="99"/>
    <w:rsid w:val="001B42CE"/>
    <w:pPr>
      <w:autoSpaceDE w:val="0"/>
      <w:autoSpaceDN w:val="0"/>
      <w:adjustRightInd w:val="0"/>
    </w:pPr>
    <w:rPr>
      <w:color w:val="000000"/>
      <w:sz w:val="24"/>
      <w:szCs w:val="24"/>
    </w:rPr>
  </w:style>
  <w:style w:type="paragraph" w:styleId="Revzia">
    <w:name w:val="Revision"/>
    <w:hidden/>
    <w:uiPriority w:val="99"/>
    <w:semiHidden/>
    <w:rsid w:val="00435EC8"/>
    <w:rPr>
      <w:sz w:val="24"/>
      <w:szCs w:val="24"/>
    </w:rPr>
  </w:style>
  <w:style w:type="table" w:customStyle="1" w:styleId="Mriekatabuky1">
    <w:name w:val="Mriežka tabuľky1"/>
    <w:basedOn w:val="Normlnatabuka"/>
    <w:next w:val="Mriekatabuky"/>
    <w:uiPriority w:val="59"/>
    <w:rsid w:val="00CB4BD8"/>
    <w:rPr>
      <w:rFonts w:ascii="Calibri" w:eastAsia="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Mriekatabuky2">
    <w:name w:val="Mriežka tabuľky2"/>
    <w:basedOn w:val="Normlnatabuka"/>
    <w:next w:val="Mriekatabuky"/>
    <w:uiPriority w:val="59"/>
    <w:rsid w:val="00CB4BD8"/>
    <w:rPr>
      <w:rFonts w:ascii="Calibri" w:eastAsia="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Mriekatabuky3">
    <w:name w:val="Mriežka tabuľky3"/>
    <w:basedOn w:val="Normlnatabuka"/>
    <w:next w:val="Mriekatabuky"/>
    <w:uiPriority w:val="59"/>
    <w:rsid w:val="00DC4E72"/>
    <w:rPr>
      <w:rFonts w:ascii="Calibri" w:eastAsia="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ezriadkovania">
    <w:name w:val="No Spacing"/>
    <w:link w:val="BezriadkovaniaChar"/>
    <w:uiPriority w:val="1"/>
    <w:qFormat/>
    <w:rsid w:val="00C66C2A"/>
    <w:rPr>
      <w:rFonts w:ascii="Calibri" w:hAnsi="Calibri"/>
      <w:sz w:val="22"/>
      <w:szCs w:val="22"/>
    </w:rPr>
  </w:style>
  <w:style w:type="character" w:customStyle="1" w:styleId="BezriadkovaniaChar">
    <w:name w:val="Bez riadkovania Char"/>
    <w:link w:val="Bezriadkovania"/>
    <w:uiPriority w:val="1"/>
    <w:rsid w:val="00C66C2A"/>
    <w:rPr>
      <w:rFonts w:ascii="Calibri" w:hAnsi="Calibri"/>
      <w:sz w:val="22"/>
      <w:szCs w:val="22"/>
    </w:rPr>
  </w:style>
  <w:style w:type="paragraph" w:customStyle="1" w:styleId="MP2">
    <w:name w:val="MP2"/>
    <w:basedOn w:val="Normlny"/>
    <w:link w:val="MP2Char"/>
    <w:rsid w:val="00BE4E4B"/>
    <w:rPr>
      <w:rFonts w:ascii="Arial" w:eastAsia="EUAlbertina-Regular-Identity-H" w:hAnsi="Arial" w:cs="Arial"/>
      <w:b/>
      <w:bCs/>
      <w:sz w:val="20"/>
      <w:lang w:eastAsia="cs-CZ"/>
    </w:rPr>
  </w:style>
  <w:style w:type="character" w:customStyle="1" w:styleId="MP2Char">
    <w:name w:val="MP2 Char"/>
    <w:link w:val="MP2"/>
    <w:rsid w:val="00BE4E4B"/>
    <w:rPr>
      <w:rFonts w:ascii="Arial" w:eastAsia="EUAlbertina-Regular-Identity-H" w:hAnsi="Arial" w:cs="Arial"/>
      <w:b/>
      <w:bCs/>
      <w:szCs w:val="24"/>
      <w:lang w:eastAsia="cs-CZ"/>
    </w:rPr>
  </w:style>
  <w:style w:type="paragraph" w:customStyle="1" w:styleId="AUCIEODRKA">
    <w:name w:val="AU CIEĽ ODRÁŽKA"/>
    <w:basedOn w:val="Normlny"/>
    <w:link w:val="AUCIEODRKAChar"/>
    <w:rsid w:val="00A83AC2"/>
    <w:pPr>
      <w:numPr>
        <w:numId w:val="59"/>
      </w:numPr>
      <w:jc w:val="both"/>
    </w:pPr>
    <w:rPr>
      <w:szCs w:val="20"/>
      <w:lang w:val="x-none" w:eastAsia="x-none"/>
    </w:rPr>
  </w:style>
  <w:style w:type="character" w:customStyle="1" w:styleId="AUCIEODRKAChar">
    <w:name w:val="AU CIEĽ ODRÁŽKA Char"/>
    <w:link w:val="AUCIEODRKA"/>
    <w:rsid w:val="00A83AC2"/>
    <w:rPr>
      <w:sz w:val="24"/>
      <w:lang w:val="x-none" w:eastAsia="x-none"/>
    </w:rPr>
  </w:style>
  <w:style w:type="character" w:customStyle="1" w:styleId="OdsekzoznamuChar">
    <w:name w:val="Odsek zoznamu Char"/>
    <w:link w:val="Odsekzoznamu"/>
    <w:uiPriority w:val="34"/>
    <w:locked/>
    <w:rsid w:val="00A83AC2"/>
    <w:rPr>
      <w:rFonts w:ascii="Calibri" w:hAnsi="Calibri"/>
      <w:sz w:val="22"/>
      <w:szCs w:val="22"/>
      <w:lang w:eastAsia="en-US"/>
    </w:rPr>
  </w:style>
  <w:style w:type="paragraph" w:customStyle="1" w:styleId="CharCharCharCharCharChar1Char0">
    <w:name w:val="Char Char Char Char Char Char1 Char"/>
    <w:basedOn w:val="Normlny"/>
    <w:rsid w:val="00502A38"/>
    <w:pPr>
      <w:spacing w:after="160" w:line="240" w:lineRule="exact"/>
      <w:ind w:firstLine="720"/>
    </w:pPr>
    <w:rPr>
      <w:rFonts w:ascii="Tahoma" w:hAnsi="Tahoma"/>
      <w:sz w:val="20"/>
      <w:szCs w:val="20"/>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7343901">
      <w:bodyDiv w:val="1"/>
      <w:marLeft w:val="0"/>
      <w:marRight w:val="0"/>
      <w:marTop w:val="0"/>
      <w:marBottom w:val="0"/>
      <w:divBdr>
        <w:top w:val="none" w:sz="0" w:space="0" w:color="auto"/>
        <w:left w:val="none" w:sz="0" w:space="0" w:color="auto"/>
        <w:bottom w:val="none" w:sz="0" w:space="0" w:color="auto"/>
        <w:right w:val="none" w:sz="0" w:space="0" w:color="auto"/>
      </w:divBdr>
    </w:div>
    <w:div w:id="127163831">
      <w:bodyDiv w:val="1"/>
      <w:marLeft w:val="0"/>
      <w:marRight w:val="0"/>
      <w:marTop w:val="0"/>
      <w:marBottom w:val="0"/>
      <w:divBdr>
        <w:top w:val="none" w:sz="0" w:space="0" w:color="auto"/>
        <w:left w:val="none" w:sz="0" w:space="0" w:color="auto"/>
        <w:bottom w:val="none" w:sz="0" w:space="0" w:color="auto"/>
        <w:right w:val="none" w:sz="0" w:space="0" w:color="auto"/>
      </w:divBdr>
    </w:div>
    <w:div w:id="128399071">
      <w:bodyDiv w:val="1"/>
      <w:marLeft w:val="0"/>
      <w:marRight w:val="0"/>
      <w:marTop w:val="0"/>
      <w:marBottom w:val="0"/>
      <w:divBdr>
        <w:top w:val="none" w:sz="0" w:space="0" w:color="auto"/>
        <w:left w:val="none" w:sz="0" w:space="0" w:color="auto"/>
        <w:bottom w:val="none" w:sz="0" w:space="0" w:color="auto"/>
        <w:right w:val="none" w:sz="0" w:space="0" w:color="auto"/>
      </w:divBdr>
    </w:div>
    <w:div w:id="147673018">
      <w:bodyDiv w:val="1"/>
      <w:marLeft w:val="0"/>
      <w:marRight w:val="0"/>
      <w:marTop w:val="0"/>
      <w:marBottom w:val="0"/>
      <w:divBdr>
        <w:top w:val="none" w:sz="0" w:space="0" w:color="auto"/>
        <w:left w:val="none" w:sz="0" w:space="0" w:color="auto"/>
        <w:bottom w:val="none" w:sz="0" w:space="0" w:color="auto"/>
        <w:right w:val="none" w:sz="0" w:space="0" w:color="auto"/>
      </w:divBdr>
    </w:div>
    <w:div w:id="159546531">
      <w:bodyDiv w:val="1"/>
      <w:marLeft w:val="0"/>
      <w:marRight w:val="0"/>
      <w:marTop w:val="0"/>
      <w:marBottom w:val="0"/>
      <w:divBdr>
        <w:top w:val="none" w:sz="0" w:space="0" w:color="auto"/>
        <w:left w:val="none" w:sz="0" w:space="0" w:color="auto"/>
        <w:bottom w:val="none" w:sz="0" w:space="0" w:color="auto"/>
        <w:right w:val="none" w:sz="0" w:space="0" w:color="auto"/>
      </w:divBdr>
    </w:div>
    <w:div w:id="172186279">
      <w:bodyDiv w:val="1"/>
      <w:marLeft w:val="0"/>
      <w:marRight w:val="0"/>
      <w:marTop w:val="0"/>
      <w:marBottom w:val="0"/>
      <w:divBdr>
        <w:top w:val="none" w:sz="0" w:space="0" w:color="auto"/>
        <w:left w:val="none" w:sz="0" w:space="0" w:color="auto"/>
        <w:bottom w:val="none" w:sz="0" w:space="0" w:color="auto"/>
        <w:right w:val="none" w:sz="0" w:space="0" w:color="auto"/>
      </w:divBdr>
    </w:div>
    <w:div w:id="194513143">
      <w:bodyDiv w:val="1"/>
      <w:marLeft w:val="0"/>
      <w:marRight w:val="0"/>
      <w:marTop w:val="0"/>
      <w:marBottom w:val="0"/>
      <w:divBdr>
        <w:top w:val="none" w:sz="0" w:space="0" w:color="auto"/>
        <w:left w:val="none" w:sz="0" w:space="0" w:color="auto"/>
        <w:bottom w:val="none" w:sz="0" w:space="0" w:color="auto"/>
        <w:right w:val="none" w:sz="0" w:space="0" w:color="auto"/>
      </w:divBdr>
    </w:div>
    <w:div w:id="206258035">
      <w:bodyDiv w:val="1"/>
      <w:marLeft w:val="0"/>
      <w:marRight w:val="0"/>
      <w:marTop w:val="0"/>
      <w:marBottom w:val="0"/>
      <w:divBdr>
        <w:top w:val="none" w:sz="0" w:space="0" w:color="auto"/>
        <w:left w:val="none" w:sz="0" w:space="0" w:color="auto"/>
        <w:bottom w:val="none" w:sz="0" w:space="0" w:color="auto"/>
        <w:right w:val="none" w:sz="0" w:space="0" w:color="auto"/>
      </w:divBdr>
    </w:div>
    <w:div w:id="292256354">
      <w:bodyDiv w:val="1"/>
      <w:marLeft w:val="0"/>
      <w:marRight w:val="0"/>
      <w:marTop w:val="0"/>
      <w:marBottom w:val="0"/>
      <w:divBdr>
        <w:top w:val="none" w:sz="0" w:space="0" w:color="auto"/>
        <w:left w:val="none" w:sz="0" w:space="0" w:color="auto"/>
        <w:bottom w:val="none" w:sz="0" w:space="0" w:color="auto"/>
        <w:right w:val="none" w:sz="0" w:space="0" w:color="auto"/>
      </w:divBdr>
    </w:div>
    <w:div w:id="302854974">
      <w:bodyDiv w:val="1"/>
      <w:marLeft w:val="0"/>
      <w:marRight w:val="0"/>
      <w:marTop w:val="0"/>
      <w:marBottom w:val="0"/>
      <w:divBdr>
        <w:top w:val="none" w:sz="0" w:space="0" w:color="auto"/>
        <w:left w:val="none" w:sz="0" w:space="0" w:color="auto"/>
        <w:bottom w:val="none" w:sz="0" w:space="0" w:color="auto"/>
        <w:right w:val="none" w:sz="0" w:space="0" w:color="auto"/>
      </w:divBdr>
    </w:div>
    <w:div w:id="314263349">
      <w:bodyDiv w:val="1"/>
      <w:marLeft w:val="0"/>
      <w:marRight w:val="0"/>
      <w:marTop w:val="0"/>
      <w:marBottom w:val="0"/>
      <w:divBdr>
        <w:top w:val="none" w:sz="0" w:space="0" w:color="auto"/>
        <w:left w:val="none" w:sz="0" w:space="0" w:color="auto"/>
        <w:bottom w:val="none" w:sz="0" w:space="0" w:color="auto"/>
        <w:right w:val="none" w:sz="0" w:space="0" w:color="auto"/>
      </w:divBdr>
    </w:div>
    <w:div w:id="364866833">
      <w:bodyDiv w:val="1"/>
      <w:marLeft w:val="0"/>
      <w:marRight w:val="0"/>
      <w:marTop w:val="0"/>
      <w:marBottom w:val="0"/>
      <w:divBdr>
        <w:top w:val="none" w:sz="0" w:space="0" w:color="auto"/>
        <w:left w:val="none" w:sz="0" w:space="0" w:color="auto"/>
        <w:bottom w:val="none" w:sz="0" w:space="0" w:color="auto"/>
        <w:right w:val="none" w:sz="0" w:space="0" w:color="auto"/>
      </w:divBdr>
    </w:div>
    <w:div w:id="378287169">
      <w:bodyDiv w:val="1"/>
      <w:marLeft w:val="0"/>
      <w:marRight w:val="0"/>
      <w:marTop w:val="0"/>
      <w:marBottom w:val="0"/>
      <w:divBdr>
        <w:top w:val="none" w:sz="0" w:space="0" w:color="auto"/>
        <w:left w:val="none" w:sz="0" w:space="0" w:color="auto"/>
        <w:bottom w:val="none" w:sz="0" w:space="0" w:color="auto"/>
        <w:right w:val="none" w:sz="0" w:space="0" w:color="auto"/>
      </w:divBdr>
    </w:div>
    <w:div w:id="418327561">
      <w:bodyDiv w:val="1"/>
      <w:marLeft w:val="0"/>
      <w:marRight w:val="0"/>
      <w:marTop w:val="0"/>
      <w:marBottom w:val="0"/>
      <w:divBdr>
        <w:top w:val="none" w:sz="0" w:space="0" w:color="auto"/>
        <w:left w:val="none" w:sz="0" w:space="0" w:color="auto"/>
        <w:bottom w:val="none" w:sz="0" w:space="0" w:color="auto"/>
        <w:right w:val="none" w:sz="0" w:space="0" w:color="auto"/>
      </w:divBdr>
    </w:div>
    <w:div w:id="602684052">
      <w:bodyDiv w:val="1"/>
      <w:marLeft w:val="0"/>
      <w:marRight w:val="0"/>
      <w:marTop w:val="0"/>
      <w:marBottom w:val="0"/>
      <w:divBdr>
        <w:top w:val="none" w:sz="0" w:space="0" w:color="auto"/>
        <w:left w:val="none" w:sz="0" w:space="0" w:color="auto"/>
        <w:bottom w:val="none" w:sz="0" w:space="0" w:color="auto"/>
        <w:right w:val="none" w:sz="0" w:space="0" w:color="auto"/>
      </w:divBdr>
    </w:div>
    <w:div w:id="662271063">
      <w:bodyDiv w:val="1"/>
      <w:marLeft w:val="0"/>
      <w:marRight w:val="0"/>
      <w:marTop w:val="0"/>
      <w:marBottom w:val="0"/>
      <w:divBdr>
        <w:top w:val="none" w:sz="0" w:space="0" w:color="auto"/>
        <w:left w:val="none" w:sz="0" w:space="0" w:color="auto"/>
        <w:bottom w:val="none" w:sz="0" w:space="0" w:color="auto"/>
        <w:right w:val="none" w:sz="0" w:space="0" w:color="auto"/>
      </w:divBdr>
    </w:div>
    <w:div w:id="709190288">
      <w:bodyDiv w:val="1"/>
      <w:marLeft w:val="0"/>
      <w:marRight w:val="0"/>
      <w:marTop w:val="0"/>
      <w:marBottom w:val="0"/>
      <w:divBdr>
        <w:top w:val="none" w:sz="0" w:space="0" w:color="auto"/>
        <w:left w:val="none" w:sz="0" w:space="0" w:color="auto"/>
        <w:bottom w:val="none" w:sz="0" w:space="0" w:color="auto"/>
        <w:right w:val="none" w:sz="0" w:space="0" w:color="auto"/>
      </w:divBdr>
    </w:div>
    <w:div w:id="725688611">
      <w:bodyDiv w:val="1"/>
      <w:marLeft w:val="0"/>
      <w:marRight w:val="0"/>
      <w:marTop w:val="0"/>
      <w:marBottom w:val="0"/>
      <w:divBdr>
        <w:top w:val="none" w:sz="0" w:space="0" w:color="auto"/>
        <w:left w:val="none" w:sz="0" w:space="0" w:color="auto"/>
        <w:bottom w:val="none" w:sz="0" w:space="0" w:color="auto"/>
        <w:right w:val="none" w:sz="0" w:space="0" w:color="auto"/>
      </w:divBdr>
    </w:div>
    <w:div w:id="871966371">
      <w:bodyDiv w:val="1"/>
      <w:marLeft w:val="0"/>
      <w:marRight w:val="0"/>
      <w:marTop w:val="0"/>
      <w:marBottom w:val="0"/>
      <w:divBdr>
        <w:top w:val="none" w:sz="0" w:space="0" w:color="auto"/>
        <w:left w:val="none" w:sz="0" w:space="0" w:color="auto"/>
        <w:bottom w:val="none" w:sz="0" w:space="0" w:color="auto"/>
        <w:right w:val="none" w:sz="0" w:space="0" w:color="auto"/>
      </w:divBdr>
    </w:div>
    <w:div w:id="945624140">
      <w:marLeft w:val="0"/>
      <w:marRight w:val="0"/>
      <w:marTop w:val="0"/>
      <w:marBottom w:val="0"/>
      <w:divBdr>
        <w:top w:val="none" w:sz="0" w:space="0" w:color="auto"/>
        <w:left w:val="none" w:sz="0" w:space="0" w:color="auto"/>
        <w:bottom w:val="none" w:sz="0" w:space="0" w:color="auto"/>
        <w:right w:val="none" w:sz="0" w:space="0" w:color="auto"/>
      </w:divBdr>
    </w:div>
    <w:div w:id="945624141">
      <w:marLeft w:val="0"/>
      <w:marRight w:val="0"/>
      <w:marTop w:val="0"/>
      <w:marBottom w:val="0"/>
      <w:divBdr>
        <w:top w:val="none" w:sz="0" w:space="0" w:color="auto"/>
        <w:left w:val="none" w:sz="0" w:space="0" w:color="auto"/>
        <w:bottom w:val="none" w:sz="0" w:space="0" w:color="auto"/>
        <w:right w:val="none" w:sz="0" w:space="0" w:color="auto"/>
      </w:divBdr>
    </w:div>
    <w:div w:id="945624142">
      <w:marLeft w:val="0"/>
      <w:marRight w:val="0"/>
      <w:marTop w:val="0"/>
      <w:marBottom w:val="0"/>
      <w:divBdr>
        <w:top w:val="none" w:sz="0" w:space="0" w:color="auto"/>
        <w:left w:val="none" w:sz="0" w:space="0" w:color="auto"/>
        <w:bottom w:val="none" w:sz="0" w:space="0" w:color="auto"/>
        <w:right w:val="none" w:sz="0" w:space="0" w:color="auto"/>
      </w:divBdr>
    </w:div>
    <w:div w:id="945624143">
      <w:marLeft w:val="0"/>
      <w:marRight w:val="0"/>
      <w:marTop w:val="0"/>
      <w:marBottom w:val="0"/>
      <w:divBdr>
        <w:top w:val="none" w:sz="0" w:space="0" w:color="auto"/>
        <w:left w:val="none" w:sz="0" w:space="0" w:color="auto"/>
        <w:bottom w:val="none" w:sz="0" w:space="0" w:color="auto"/>
        <w:right w:val="none" w:sz="0" w:space="0" w:color="auto"/>
      </w:divBdr>
    </w:div>
    <w:div w:id="945624144">
      <w:marLeft w:val="0"/>
      <w:marRight w:val="0"/>
      <w:marTop w:val="0"/>
      <w:marBottom w:val="0"/>
      <w:divBdr>
        <w:top w:val="none" w:sz="0" w:space="0" w:color="auto"/>
        <w:left w:val="none" w:sz="0" w:space="0" w:color="auto"/>
        <w:bottom w:val="none" w:sz="0" w:space="0" w:color="auto"/>
        <w:right w:val="none" w:sz="0" w:space="0" w:color="auto"/>
      </w:divBdr>
    </w:div>
    <w:div w:id="945624145">
      <w:marLeft w:val="0"/>
      <w:marRight w:val="0"/>
      <w:marTop w:val="0"/>
      <w:marBottom w:val="0"/>
      <w:divBdr>
        <w:top w:val="none" w:sz="0" w:space="0" w:color="auto"/>
        <w:left w:val="none" w:sz="0" w:space="0" w:color="auto"/>
        <w:bottom w:val="none" w:sz="0" w:space="0" w:color="auto"/>
        <w:right w:val="none" w:sz="0" w:space="0" w:color="auto"/>
      </w:divBdr>
    </w:div>
    <w:div w:id="945624146">
      <w:marLeft w:val="0"/>
      <w:marRight w:val="0"/>
      <w:marTop w:val="0"/>
      <w:marBottom w:val="0"/>
      <w:divBdr>
        <w:top w:val="none" w:sz="0" w:space="0" w:color="auto"/>
        <w:left w:val="none" w:sz="0" w:space="0" w:color="auto"/>
        <w:bottom w:val="none" w:sz="0" w:space="0" w:color="auto"/>
        <w:right w:val="none" w:sz="0" w:space="0" w:color="auto"/>
      </w:divBdr>
    </w:div>
    <w:div w:id="945624148">
      <w:marLeft w:val="0"/>
      <w:marRight w:val="0"/>
      <w:marTop w:val="0"/>
      <w:marBottom w:val="0"/>
      <w:divBdr>
        <w:top w:val="none" w:sz="0" w:space="0" w:color="auto"/>
        <w:left w:val="none" w:sz="0" w:space="0" w:color="auto"/>
        <w:bottom w:val="none" w:sz="0" w:space="0" w:color="auto"/>
        <w:right w:val="none" w:sz="0" w:space="0" w:color="auto"/>
      </w:divBdr>
    </w:div>
    <w:div w:id="945624149">
      <w:marLeft w:val="0"/>
      <w:marRight w:val="0"/>
      <w:marTop w:val="0"/>
      <w:marBottom w:val="0"/>
      <w:divBdr>
        <w:top w:val="none" w:sz="0" w:space="0" w:color="auto"/>
        <w:left w:val="none" w:sz="0" w:space="0" w:color="auto"/>
        <w:bottom w:val="none" w:sz="0" w:space="0" w:color="auto"/>
        <w:right w:val="none" w:sz="0" w:space="0" w:color="auto"/>
      </w:divBdr>
    </w:div>
    <w:div w:id="945624150">
      <w:marLeft w:val="0"/>
      <w:marRight w:val="0"/>
      <w:marTop w:val="0"/>
      <w:marBottom w:val="0"/>
      <w:divBdr>
        <w:top w:val="none" w:sz="0" w:space="0" w:color="auto"/>
        <w:left w:val="none" w:sz="0" w:space="0" w:color="auto"/>
        <w:bottom w:val="none" w:sz="0" w:space="0" w:color="auto"/>
        <w:right w:val="none" w:sz="0" w:space="0" w:color="auto"/>
      </w:divBdr>
      <w:divsChild>
        <w:div w:id="945624152">
          <w:marLeft w:val="0"/>
          <w:marRight w:val="0"/>
          <w:marTop w:val="0"/>
          <w:marBottom w:val="0"/>
          <w:divBdr>
            <w:top w:val="none" w:sz="0" w:space="0" w:color="auto"/>
            <w:left w:val="none" w:sz="0" w:space="0" w:color="auto"/>
            <w:bottom w:val="none" w:sz="0" w:space="0" w:color="auto"/>
            <w:right w:val="none" w:sz="0" w:space="0" w:color="auto"/>
          </w:divBdr>
          <w:divsChild>
            <w:div w:id="945624289">
              <w:marLeft w:val="0"/>
              <w:marRight w:val="0"/>
              <w:marTop w:val="0"/>
              <w:marBottom w:val="0"/>
              <w:divBdr>
                <w:top w:val="none" w:sz="0" w:space="0" w:color="auto"/>
                <w:left w:val="none" w:sz="0" w:space="0" w:color="auto"/>
                <w:bottom w:val="none" w:sz="0" w:space="0" w:color="auto"/>
                <w:right w:val="none" w:sz="0" w:space="0" w:color="auto"/>
              </w:divBdr>
              <w:divsChild>
                <w:div w:id="945624308">
                  <w:marLeft w:val="0"/>
                  <w:marRight w:val="0"/>
                  <w:marTop w:val="0"/>
                  <w:marBottom w:val="0"/>
                  <w:divBdr>
                    <w:top w:val="none" w:sz="0" w:space="0" w:color="auto"/>
                    <w:left w:val="none" w:sz="0" w:space="0" w:color="auto"/>
                    <w:bottom w:val="none" w:sz="0" w:space="0" w:color="auto"/>
                    <w:right w:val="none" w:sz="0" w:space="0" w:color="auto"/>
                  </w:divBdr>
                  <w:divsChild>
                    <w:div w:id="945624291">
                      <w:marLeft w:val="0"/>
                      <w:marRight w:val="0"/>
                      <w:marTop w:val="0"/>
                      <w:marBottom w:val="0"/>
                      <w:divBdr>
                        <w:top w:val="none" w:sz="0" w:space="0" w:color="auto"/>
                        <w:left w:val="none" w:sz="0" w:space="0" w:color="auto"/>
                        <w:bottom w:val="none" w:sz="0" w:space="0" w:color="auto"/>
                        <w:right w:val="none" w:sz="0" w:space="0" w:color="auto"/>
                      </w:divBdr>
                      <w:divsChild>
                        <w:div w:id="945624147">
                          <w:marLeft w:val="0"/>
                          <w:marRight w:val="0"/>
                          <w:marTop w:val="0"/>
                          <w:marBottom w:val="0"/>
                          <w:divBdr>
                            <w:top w:val="none" w:sz="0" w:space="0" w:color="auto"/>
                            <w:left w:val="none" w:sz="0" w:space="0" w:color="auto"/>
                            <w:bottom w:val="none" w:sz="0" w:space="0" w:color="auto"/>
                            <w:right w:val="none" w:sz="0" w:space="0" w:color="auto"/>
                          </w:divBdr>
                          <w:divsChild>
                            <w:div w:id="9456242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45624151">
      <w:marLeft w:val="0"/>
      <w:marRight w:val="0"/>
      <w:marTop w:val="0"/>
      <w:marBottom w:val="0"/>
      <w:divBdr>
        <w:top w:val="none" w:sz="0" w:space="0" w:color="auto"/>
        <w:left w:val="none" w:sz="0" w:space="0" w:color="auto"/>
        <w:bottom w:val="none" w:sz="0" w:space="0" w:color="auto"/>
        <w:right w:val="none" w:sz="0" w:space="0" w:color="auto"/>
      </w:divBdr>
    </w:div>
    <w:div w:id="945624153">
      <w:marLeft w:val="0"/>
      <w:marRight w:val="0"/>
      <w:marTop w:val="0"/>
      <w:marBottom w:val="0"/>
      <w:divBdr>
        <w:top w:val="none" w:sz="0" w:space="0" w:color="auto"/>
        <w:left w:val="none" w:sz="0" w:space="0" w:color="auto"/>
        <w:bottom w:val="none" w:sz="0" w:space="0" w:color="auto"/>
        <w:right w:val="none" w:sz="0" w:space="0" w:color="auto"/>
      </w:divBdr>
    </w:div>
    <w:div w:id="945624154">
      <w:marLeft w:val="0"/>
      <w:marRight w:val="0"/>
      <w:marTop w:val="0"/>
      <w:marBottom w:val="0"/>
      <w:divBdr>
        <w:top w:val="none" w:sz="0" w:space="0" w:color="auto"/>
        <w:left w:val="none" w:sz="0" w:space="0" w:color="auto"/>
        <w:bottom w:val="none" w:sz="0" w:space="0" w:color="auto"/>
        <w:right w:val="none" w:sz="0" w:space="0" w:color="auto"/>
      </w:divBdr>
    </w:div>
    <w:div w:id="945624155">
      <w:marLeft w:val="0"/>
      <w:marRight w:val="0"/>
      <w:marTop w:val="0"/>
      <w:marBottom w:val="0"/>
      <w:divBdr>
        <w:top w:val="none" w:sz="0" w:space="0" w:color="auto"/>
        <w:left w:val="none" w:sz="0" w:space="0" w:color="auto"/>
        <w:bottom w:val="none" w:sz="0" w:space="0" w:color="auto"/>
        <w:right w:val="none" w:sz="0" w:space="0" w:color="auto"/>
      </w:divBdr>
    </w:div>
    <w:div w:id="945624156">
      <w:marLeft w:val="0"/>
      <w:marRight w:val="0"/>
      <w:marTop w:val="0"/>
      <w:marBottom w:val="0"/>
      <w:divBdr>
        <w:top w:val="none" w:sz="0" w:space="0" w:color="auto"/>
        <w:left w:val="none" w:sz="0" w:space="0" w:color="auto"/>
        <w:bottom w:val="none" w:sz="0" w:space="0" w:color="auto"/>
        <w:right w:val="none" w:sz="0" w:space="0" w:color="auto"/>
      </w:divBdr>
    </w:div>
    <w:div w:id="945624157">
      <w:marLeft w:val="0"/>
      <w:marRight w:val="0"/>
      <w:marTop w:val="0"/>
      <w:marBottom w:val="0"/>
      <w:divBdr>
        <w:top w:val="none" w:sz="0" w:space="0" w:color="auto"/>
        <w:left w:val="none" w:sz="0" w:space="0" w:color="auto"/>
        <w:bottom w:val="none" w:sz="0" w:space="0" w:color="auto"/>
        <w:right w:val="none" w:sz="0" w:space="0" w:color="auto"/>
      </w:divBdr>
    </w:div>
    <w:div w:id="945624158">
      <w:marLeft w:val="0"/>
      <w:marRight w:val="0"/>
      <w:marTop w:val="0"/>
      <w:marBottom w:val="0"/>
      <w:divBdr>
        <w:top w:val="none" w:sz="0" w:space="0" w:color="auto"/>
        <w:left w:val="none" w:sz="0" w:space="0" w:color="auto"/>
        <w:bottom w:val="none" w:sz="0" w:space="0" w:color="auto"/>
        <w:right w:val="none" w:sz="0" w:space="0" w:color="auto"/>
      </w:divBdr>
    </w:div>
    <w:div w:id="945624159">
      <w:marLeft w:val="0"/>
      <w:marRight w:val="0"/>
      <w:marTop w:val="0"/>
      <w:marBottom w:val="0"/>
      <w:divBdr>
        <w:top w:val="none" w:sz="0" w:space="0" w:color="auto"/>
        <w:left w:val="none" w:sz="0" w:space="0" w:color="auto"/>
        <w:bottom w:val="none" w:sz="0" w:space="0" w:color="auto"/>
        <w:right w:val="none" w:sz="0" w:space="0" w:color="auto"/>
      </w:divBdr>
    </w:div>
    <w:div w:id="945624160">
      <w:marLeft w:val="0"/>
      <w:marRight w:val="0"/>
      <w:marTop w:val="0"/>
      <w:marBottom w:val="0"/>
      <w:divBdr>
        <w:top w:val="none" w:sz="0" w:space="0" w:color="auto"/>
        <w:left w:val="none" w:sz="0" w:space="0" w:color="auto"/>
        <w:bottom w:val="none" w:sz="0" w:space="0" w:color="auto"/>
        <w:right w:val="none" w:sz="0" w:space="0" w:color="auto"/>
      </w:divBdr>
    </w:div>
    <w:div w:id="945624161">
      <w:marLeft w:val="0"/>
      <w:marRight w:val="0"/>
      <w:marTop w:val="0"/>
      <w:marBottom w:val="0"/>
      <w:divBdr>
        <w:top w:val="none" w:sz="0" w:space="0" w:color="auto"/>
        <w:left w:val="none" w:sz="0" w:space="0" w:color="auto"/>
        <w:bottom w:val="none" w:sz="0" w:space="0" w:color="auto"/>
        <w:right w:val="none" w:sz="0" w:space="0" w:color="auto"/>
      </w:divBdr>
    </w:div>
    <w:div w:id="945624162">
      <w:marLeft w:val="0"/>
      <w:marRight w:val="0"/>
      <w:marTop w:val="0"/>
      <w:marBottom w:val="0"/>
      <w:divBdr>
        <w:top w:val="none" w:sz="0" w:space="0" w:color="auto"/>
        <w:left w:val="none" w:sz="0" w:space="0" w:color="auto"/>
        <w:bottom w:val="none" w:sz="0" w:space="0" w:color="auto"/>
        <w:right w:val="none" w:sz="0" w:space="0" w:color="auto"/>
      </w:divBdr>
    </w:div>
    <w:div w:id="945624163">
      <w:marLeft w:val="0"/>
      <w:marRight w:val="0"/>
      <w:marTop w:val="0"/>
      <w:marBottom w:val="0"/>
      <w:divBdr>
        <w:top w:val="none" w:sz="0" w:space="0" w:color="auto"/>
        <w:left w:val="none" w:sz="0" w:space="0" w:color="auto"/>
        <w:bottom w:val="none" w:sz="0" w:space="0" w:color="auto"/>
        <w:right w:val="none" w:sz="0" w:space="0" w:color="auto"/>
      </w:divBdr>
    </w:div>
    <w:div w:id="945624164">
      <w:marLeft w:val="0"/>
      <w:marRight w:val="0"/>
      <w:marTop w:val="0"/>
      <w:marBottom w:val="0"/>
      <w:divBdr>
        <w:top w:val="none" w:sz="0" w:space="0" w:color="auto"/>
        <w:left w:val="none" w:sz="0" w:space="0" w:color="auto"/>
        <w:bottom w:val="none" w:sz="0" w:space="0" w:color="auto"/>
        <w:right w:val="none" w:sz="0" w:space="0" w:color="auto"/>
      </w:divBdr>
    </w:div>
    <w:div w:id="945624166">
      <w:marLeft w:val="0"/>
      <w:marRight w:val="0"/>
      <w:marTop w:val="0"/>
      <w:marBottom w:val="0"/>
      <w:divBdr>
        <w:top w:val="none" w:sz="0" w:space="0" w:color="auto"/>
        <w:left w:val="none" w:sz="0" w:space="0" w:color="auto"/>
        <w:bottom w:val="none" w:sz="0" w:space="0" w:color="auto"/>
        <w:right w:val="none" w:sz="0" w:space="0" w:color="auto"/>
      </w:divBdr>
    </w:div>
    <w:div w:id="945624167">
      <w:marLeft w:val="0"/>
      <w:marRight w:val="0"/>
      <w:marTop w:val="0"/>
      <w:marBottom w:val="0"/>
      <w:divBdr>
        <w:top w:val="none" w:sz="0" w:space="0" w:color="auto"/>
        <w:left w:val="none" w:sz="0" w:space="0" w:color="auto"/>
        <w:bottom w:val="none" w:sz="0" w:space="0" w:color="auto"/>
        <w:right w:val="none" w:sz="0" w:space="0" w:color="auto"/>
      </w:divBdr>
    </w:div>
    <w:div w:id="945624168">
      <w:marLeft w:val="0"/>
      <w:marRight w:val="0"/>
      <w:marTop w:val="0"/>
      <w:marBottom w:val="0"/>
      <w:divBdr>
        <w:top w:val="none" w:sz="0" w:space="0" w:color="auto"/>
        <w:left w:val="none" w:sz="0" w:space="0" w:color="auto"/>
        <w:bottom w:val="none" w:sz="0" w:space="0" w:color="auto"/>
        <w:right w:val="none" w:sz="0" w:space="0" w:color="auto"/>
      </w:divBdr>
    </w:div>
    <w:div w:id="945624169">
      <w:marLeft w:val="0"/>
      <w:marRight w:val="0"/>
      <w:marTop w:val="0"/>
      <w:marBottom w:val="0"/>
      <w:divBdr>
        <w:top w:val="none" w:sz="0" w:space="0" w:color="auto"/>
        <w:left w:val="none" w:sz="0" w:space="0" w:color="auto"/>
        <w:bottom w:val="none" w:sz="0" w:space="0" w:color="auto"/>
        <w:right w:val="none" w:sz="0" w:space="0" w:color="auto"/>
      </w:divBdr>
    </w:div>
    <w:div w:id="945624170">
      <w:marLeft w:val="0"/>
      <w:marRight w:val="0"/>
      <w:marTop w:val="0"/>
      <w:marBottom w:val="0"/>
      <w:divBdr>
        <w:top w:val="none" w:sz="0" w:space="0" w:color="auto"/>
        <w:left w:val="none" w:sz="0" w:space="0" w:color="auto"/>
        <w:bottom w:val="none" w:sz="0" w:space="0" w:color="auto"/>
        <w:right w:val="none" w:sz="0" w:space="0" w:color="auto"/>
      </w:divBdr>
    </w:div>
    <w:div w:id="945624171">
      <w:marLeft w:val="0"/>
      <w:marRight w:val="0"/>
      <w:marTop w:val="0"/>
      <w:marBottom w:val="0"/>
      <w:divBdr>
        <w:top w:val="none" w:sz="0" w:space="0" w:color="auto"/>
        <w:left w:val="none" w:sz="0" w:space="0" w:color="auto"/>
        <w:bottom w:val="none" w:sz="0" w:space="0" w:color="auto"/>
        <w:right w:val="none" w:sz="0" w:space="0" w:color="auto"/>
      </w:divBdr>
    </w:div>
    <w:div w:id="945624172">
      <w:marLeft w:val="0"/>
      <w:marRight w:val="0"/>
      <w:marTop w:val="0"/>
      <w:marBottom w:val="0"/>
      <w:divBdr>
        <w:top w:val="none" w:sz="0" w:space="0" w:color="auto"/>
        <w:left w:val="none" w:sz="0" w:space="0" w:color="auto"/>
        <w:bottom w:val="none" w:sz="0" w:space="0" w:color="auto"/>
        <w:right w:val="none" w:sz="0" w:space="0" w:color="auto"/>
      </w:divBdr>
    </w:div>
    <w:div w:id="945624173">
      <w:marLeft w:val="0"/>
      <w:marRight w:val="0"/>
      <w:marTop w:val="0"/>
      <w:marBottom w:val="0"/>
      <w:divBdr>
        <w:top w:val="none" w:sz="0" w:space="0" w:color="auto"/>
        <w:left w:val="none" w:sz="0" w:space="0" w:color="auto"/>
        <w:bottom w:val="none" w:sz="0" w:space="0" w:color="auto"/>
        <w:right w:val="none" w:sz="0" w:space="0" w:color="auto"/>
      </w:divBdr>
    </w:div>
    <w:div w:id="945624174">
      <w:marLeft w:val="0"/>
      <w:marRight w:val="0"/>
      <w:marTop w:val="0"/>
      <w:marBottom w:val="0"/>
      <w:divBdr>
        <w:top w:val="none" w:sz="0" w:space="0" w:color="auto"/>
        <w:left w:val="none" w:sz="0" w:space="0" w:color="auto"/>
        <w:bottom w:val="none" w:sz="0" w:space="0" w:color="auto"/>
        <w:right w:val="none" w:sz="0" w:space="0" w:color="auto"/>
      </w:divBdr>
    </w:div>
    <w:div w:id="945624175">
      <w:marLeft w:val="0"/>
      <w:marRight w:val="0"/>
      <w:marTop w:val="0"/>
      <w:marBottom w:val="0"/>
      <w:divBdr>
        <w:top w:val="none" w:sz="0" w:space="0" w:color="auto"/>
        <w:left w:val="none" w:sz="0" w:space="0" w:color="auto"/>
        <w:bottom w:val="none" w:sz="0" w:space="0" w:color="auto"/>
        <w:right w:val="none" w:sz="0" w:space="0" w:color="auto"/>
      </w:divBdr>
    </w:div>
    <w:div w:id="945624176">
      <w:marLeft w:val="0"/>
      <w:marRight w:val="0"/>
      <w:marTop w:val="0"/>
      <w:marBottom w:val="0"/>
      <w:divBdr>
        <w:top w:val="none" w:sz="0" w:space="0" w:color="auto"/>
        <w:left w:val="none" w:sz="0" w:space="0" w:color="auto"/>
        <w:bottom w:val="none" w:sz="0" w:space="0" w:color="auto"/>
        <w:right w:val="none" w:sz="0" w:space="0" w:color="auto"/>
      </w:divBdr>
    </w:div>
    <w:div w:id="945624179">
      <w:marLeft w:val="0"/>
      <w:marRight w:val="0"/>
      <w:marTop w:val="0"/>
      <w:marBottom w:val="0"/>
      <w:divBdr>
        <w:top w:val="none" w:sz="0" w:space="0" w:color="auto"/>
        <w:left w:val="none" w:sz="0" w:space="0" w:color="auto"/>
        <w:bottom w:val="none" w:sz="0" w:space="0" w:color="auto"/>
        <w:right w:val="none" w:sz="0" w:space="0" w:color="auto"/>
      </w:divBdr>
    </w:div>
    <w:div w:id="945624180">
      <w:marLeft w:val="0"/>
      <w:marRight w:val="0"/>
      <w:marTop w:val="0"/>
      <w:marBottom w:val="0"/>
      <w:divBdr>
        <w:top w:val="none" w:sz="0" w:space="0" w:color="auto"/>
        <w:left w:val="none" w:sz="0" w:space="0" w:color="auto"/>
        <w:bottom w:val="none" w:sz="0" w:space="0" w:color="auto"/>
        <w:right w:val="none" w:sz="0" w:space="0" w:color="auto"/>
      </w:divBdr>
    </w:div>
    <w:div w:id="945624181">
      <w:marLeft w:val="0"/>
      <w:marRight w:val="0"/>
      <w:marTop w:val="0"/>
      <w:marBottom w:val="0"/>
      <w:divBdr>
        <w:top w:val="none" w:sz="0" w:space="0" w:color="auto"/>
        <w:left w:val="none" w:sz="0" w:space="0" w:color="auto"/>
        <w:bottom w:val="none" w:sz="0" w:space="0" w:color="auto"/>
        <w:right w:val="none" w:sz="0" w:space="0" w:color="auto"/>
      </w:divBdr>
    </w:div>
    <w:div w:id="945624182">
      <w:marLeft w:val="0"/>
      <w:marRight w:val="0"/>
      <w:marTop w:val="0"/>
      <w:marBottom w:val="0"/>
      <w:divBdr>
        <w:top w:val="none" w:sz="0" w:space="0" w:color="auto"/>
        <w:left w:val="none" w:sz="0" w:space="0" w:color="auto"/>
        <w:bottom w:val="none" w:sz="0" w:space="0" w:color="auto"/>
        <w:right w:val="none" w:sz="0" w:space="0" w:color="auto"/>
      </w:divBdr>
    </w:div>
    <w:div w:id="945624183">
      <w:marLeft w:val="0"/>
      <w:marRight w:val="0"/>
      <w:marTop w:val="0"/>
      <w:marBottom w:val="0"/>
      <w:divBdr>
        <w:top w:val="none" w:sz="0" w:space="0" w:color="auto"/>
        <w:left w:val="none" w:sz="0" w:space="0" w:color="auto"/>
        <w:bottom w:val="none" w:sz="0" w:space="0" w:color="auto"/>
        <w:right w:val="none" w:sz="0" w:space="0" w:color="auto"/>
      </w:divBdr>
    </w:div>
    <w:div w:id="945624184">
      <w:marLeft w:val="0"/>
      <w:marRight w:val="0"/>
      <w:marTop w:val="0"/>
      <w:marBottom w:val="0"/>
      <w:divBdr>
        <w:top w:val="none" w:sz="0" w:space="0" w:color="auto"/>
        <w:left w:val="none" w:sz="0" w:space="0" w:color="auto"/>
        <w:bottom w:val="none" w:sz="0" w:space="0" w:color="auto"/>
        <w:right w:val="none" w:sz="0" w:space="0" w:color="auto"/>
      </w:divBdr>
    </w:div>
    <w:div w:id="945624185">
      <w:marLeft w:val="0"/>
      <w:marRight w:val="0"/>
      <w:marTop w:val="0"/>
      <w:marBottom w:val="0"/>
      <w:divBdr>
        <w:top w:val="none" w:sz="0" w:space="0" w:color="auto"/>
        <w:left w:val="none" w:sz="0" w:space="0" w:color="auto"/>
        <w:bottom w:val="none" w:sz="0" w:space="0" w:color="auto"/>
        <w:right w:val="none" w:sz="0" w:space="0" w:color="auto"/>
      </w:divBdr>
    </w:div>
    <w:div w:id="945624186">
      <w:marLeft w:val="0"/>
      <w:marRight w:val="0"/>
      <w:marTop w:val="0"/>
      <w:marBottom w:val="0"/>
      <w:divBdr>
        <w:top w:val="none" w:sz="0" w:space="0" w:color="auto"/>
        <w:left w:val="none" w:sz="0" w:space="0" w:color="auto"/>
        <w:bottom w:val="none" w:sz="0" w:space="0" w:color="auto"/>
        <w:right w:val="none" w:sz="0" w:space="0" w:color="auto"/>
      </w:divBdr>
    </w:div>
    <w:div w:id="945624187">
      <w:marLeft w:val="0"/>
      <w:marRight w:val="0"/>
      <w:marTop w:val="0"/>
      <w:marBottom w:val="0"/>
      <w:divBdr>
        <w:top w:val="none" w:sz="0" w:space="0" w:color="auto"/>
        <w:left w:val="none" w:sz="0" w:space="0" w:color="auto"/>
        <w:bottom w:val="none" w:sz="0" w:space="0" w:color="auto"/>
        <w:right w:val="none" w:sz="0" w:space="0" w:color="auto"/>
      </w:divBdr>
    </w:div>
    <w:div w:id="945624188">
      <w:marLeft w:val="0"/>
      <w:marRight w:val="0"/>
      <w:marTop w:val="0"/>
      <w:marBottom w:val="0"/>
      <w:divBdr>
        <w:top w:val="none" w:sz="0" w:space="0" w:color="auto"/>
        <w:left w:val="none" w:sz="0" w:space="0" w:color="auto"/>
        <w:bottom w:val="none" w:sz="0" w:space="0" w:color="auto"/>
        <w:right w:val="none" w:sz="0" w:space="0" w:color="auto"/>
      </w:divBdr>
    </w:div>
    <w:div w:id="945624189">
      <w:marLeft w:val="0"/>
      <w:marRight w:val="0"/>
      <w:marTop w:val="0"/>
      <w:marBottom w:val="0"/>
      <w:divBdr>
        <w:top w:val="none" w:sz="0" w:space="0" w:color="auto"/>
        <w:left w:val="none" w:sz="0" w:space="0" w:color="auto"/>
        <w:bottom w:val="none" w:sz="0" w:space="0" w:color="auto"/>
        <w:right w:val="none" w:sz="0" w:space="0" w:color="auto"/>
      </w:divBdr>
    </w:div>
    <w:div w:id="945624190">
      <w:marLeft w:val="0"/>
      <w:marRight w:val="0"/>
      <w:marTop w:val="0"/>
      <w:marBottom w:val="0"/>
      <w:divBdr>
        <w:top w:val="none" w:sz="0" w:space="0" w:color="auto"/>
        <w:left w:val="none" w:sz="0" w:space="0" w:color="auto"/>
        <w:bottom w:val="none" w:sz="0" w:space="0" w:color="auto"/>
        <w:right w:val="none" w:sz="0" w:space="0" w:color="auto"/>
      </w:divBdr>
    </w:div>
    <w:div w:id="945624191">
      <w:marLeft w:val="0"/>
      <w:marRight w:val="0"/>
      <w:marTop w:val="0"/>
      <w:marBottom w:val="0"/>
      <w:divBdr>
        <w:top w:val="none" w:sz="0" w:space="0" w:color="auto"/>
        <w:left w:val="none" w:sz="0" w:space="0" w:color="auto"/>
        <w:bottom w:val="none" w:sz="0" w:space="0" w:color="auto"/>
        <w:right w:val="none" w:sz="0" w:space="0" w:color="auto"/>
      </w:divBdr>
    </w:div>
    <w:div w:id="945624193">
      <w:marLeft w:val="0"/>
      <w:marRight w:val="0"/>
      <w:marTop w:val="0"/>
      <w:marBottom w:val="0"/>
      <w:divBdr>
        <w:top w:val="none" w:sz="0" w:space="0" w:color="auto"/>
        <w:left w:val="none" w:sz="0" w:space="0" w:color="auto"/>
        <w:bottom w:val="none" w:sz="0" w:space="0" w:color="auto"/>
        <w:right w:val="none" w:sz="0" w:space="0" w:color="auto"/>
      </w:divBdr>
    </w:div>
    <w:div w:id="945624195">
      <w:marLeft w:val="0"/>
      <w:marRight w:val="0"/>
      <w:marTop w:val="0"/>
      <w:marBottom w:val="0"/>
      <w:divBdr>
        <w:top w:val="none" w:sz="0" w:space="0" w:color="auto"/>
        <w:left w:val="none" w:sz="0" w:space="0" w:color="auto"/>
        <w:bottom w:val="none" w:sz="0" w:space="0" w:color="auto"/>
        <w:right w:val="none" w:sz="0" w:space="0" w:color="auto"/>
      </w:divBdr>
    </w:div>
    <w:div w:id="945624196">
      <w:marLeft w:val="0"/>
      <w:marRight w:val="0"/>
      <w:marTop w:val="0"/>
      <w:marBottom w:val="0"/>
      <w:divBdr>
        <w:top w:val="none" w:sz="0" w:space="0" w:color="auto"/>
        <w:left w:val="none" w:sz="0" w:space="0" w:color="auto"/>
        <w:bottom w:val="none" w:sz="0" w:space="0" w:color="auto"/>
        <w:right w:val="none" w:sz="0" w:space="0" w:color="auto"/>
      </w:divBdr>
    </w:div>
    <w:div w:id="945624197">
      <w:marLeft w:val="0"/>
      <w:marRight w:val="0"/>
      <w:marTop w:val="0"/>
      <w:marBottom w:val="0"/>
      <w:divBdr>
        <w:top w:val="none" w:sz="0" w:space="0" w:color="auto"/>
        <w:left w:val="none" w:sz="0" w:space="0" w:color="auto"/>
        <w:bottom w:val="none" w:sz="0" w:space="0" w:color="auto"/>
        <w:right w:val="none" w:sz="0" w:space="0" w:color="auto"/>
      </w:divBdr>
    </w:div>
    <w:div w:id="945624199">
      <w:marLeft w:val="0"/>
      <w:marRight w:val="0"/>
      <w:marTop w:val="0"/>
      <w:marBottom w:val="0"/>
      <w:divBdr>
        <w:top w:val="none" w:sz="0" w:space="0" w:color="auto"/>
        <w:left w:val="none" w:sz="0" w:space="0" w:color="auto"/>
        <w:bottom w:val="none" w:sz="0" w:space="0" w:color="auto"/>
        <w:right w:val="none" w:sz="0" w:space="0" w:color="auto"/>
      </w:divBdr>
    </w:div>
    <w:div w:id="945624200">
      <w:marLeft w:val="0"/>
      <w:marRight w:val="0"/>
      <w:marTop w:val="0"/>
      <w:marBottom w:val="0"/>
      <w:divBdr>
        <w:top w:val="none" w:sz="0" w:space="0" w:color="auto"/>
        <w:left w:val="none" w:sz="0" w:space="0" w:color="auto"/>
        <w:bottom w:val="none" w:sz="0" w:space="0" w:color="auto"/>
        <w:right w:val="none" w:sz="0" w:space="0" w:color="auto"/>
      </w:divBdr>
    </w:div>
    <w:div w:id="945624201">
      <w:marLeft w:val="0"/>
      <w:marRight w:val="0"/>
      <w:marTop w:val="0"/>
      <w:marBottom w:val="0"/>
      <w:divBdr>
        <w:top w:val="none" w:sz="0" w:space="0" w:color="auto"/>
        <w:left w:val="none" w:sz="0" w:space="0" w:color="auto"/>
        <w:bottom w:val="none" w:sz="0" w:space="0" w:color="auto"/>
        <w:right w:val="none" w:sz="0" w:space="0" w:color="auto"/>
      </w:divBdr>
    </w:div>
    <w:div w:id="945624202">
      <w:marLeft w:val="0"/>
      <w:marRight w:val="0"/>
      <w:marTop w:val="0"/>
      <w:marBottom w:val="0"/>
      <w:divBdr>
        <w:top w:val="none" w:sz="0" w:space="0" w:color="auto"/>
        <w:left w:val="none" w:sz="0" w:space="0" w:color="auto"/>
        <w:bottom w:val="none" w:sz="0" w:space="0" w:color="auto"/>
        <w:right w:val="none" w:sz="0" w:space="0" w:color="auto"/>
      </w:divBdr>
    </w:div>
    <w:div w:id="945624203">
      <w:marLeft w:val="0"/>
      <w:marRight w:val="0"/>
      <w:marTop w:val="0"/>
      <w:marBottom w:val="0"/>
      <w:divBdr>
        <w:top w:val="none" w:sz="0" w:space="0" w:color="auto"/>
        <w:left w:val="none" w:sz="0" w:space="0" w:color="auto"/>
        <w:bottom w:val="none" w:sz="0" w:space="0" w:color="auto"/>
        <w:right w:val="none" w:sz="0" w:space="0" w:color="auto"/>
      </w:divBdr>
    </w:div>
    <w:div w:id="945624204">
      <w:marLeft w:val="0"/>
      <w:marRight w:val="0"/>
      <w:marTop w:val="0"/>
      <w:marBottom w:val="0"/>
      <w:divBdr>
        <w:top w:val="none" w:sz="0" w:space="0" w:color="auto"/>
        <w:left w:val="none" w:sz="0" w:space="0" w:color="auto"/>
        <w:bottom w:val="none" w:sz="0" w:space="0" w:color="auto"/>
        <w:right w:val="none" w:sz="0" w:space="0" w:color="auto"/>
      </w:divBdr>
    </w:div>
    <w:div w:id="945624206">
      <w:marLeft w:val="0"/>
      <w:marRight w:val="0"/>
      <w:marTop w:val="0"/>
      <w:marBottom w:val="0"/>
      <w:divBdr>
        <w:top w:val="none" w:sz="0" w:space="0" w:color="auto"/>
        <w:left w:val="none" w:sz="0" w:space="0" w:color="auto"/>
        <w:bottom w:val="none" w:sz="0" w:space="0" w:color="auto"/>
        <w:right w:val="none" w:sz="0" w:space="0" w:color="auto"/>
      </w:divBdr>
    </w:div>
    <w:div w:id="945624207">
      <w:marLeft w:val="0"/>
      <w:marRight w:val="0"/>
      <w:marTop w:val="0"/>
      <w:marBottom w:val="0"/>
      <w:divBdr>
        <w:top w:val="none" w:sz="0" w:space="0" w:color="auto"/>
        <w:left w:val="none" w:sz="0" w:space="0" w:color="auto"/>
        <w:bottom w:val="none" w:sz="0" w:space="0" w:color="auto"/>
        <w:right w:val="none" w:sz="0" w:space="0" w:color="auto"/>
      </w:divBdr>
    </w:div>
    <w:div w:id="945624208">
      <w:marLeft w:val="0"/>
      <w:marRight w:val="0"/>
      <w:marTop w:val="0"/>
      <w:marBottom w:val="0"/>
      <w:divBdr>
        <w:top w:val="none" w:sz="0" w:space="0" w:color="auto"/>
        <w:left w:val="none" w:sz="0" w:space="0" w:color="auto"/>
        <w:bottom w:val="none" w:sz="0" w:space="0" w:color="auto"/>
        <w:right w:val="none" w:sz="0" w:space="0" w:color="auto"/>
      </w:divBdr>
    </w:div>
    <w:div w:id="945624210">
      <w:marLeft w:val="0"/>
      <w:marRight w:val="0"/>
      <w:marTop w:val="0"/>
      <w:marBottom w:val="0"/>
      <w:divBdr>
        <w:top w:val="none" w:sz="0" w:space="0" w:color="auto"/>
        <w:left w:val="none" w:sz="0" w:space="0" w:color="auto"/>
        <w:bottom w:val="none" w:sz="0" w:space="0" w:color="auto"/>
        <w:right w:val="none" w:sz="0" w:space="0" w:color="auto"/>
      </w:divBdr>
      <w:divsChild>
        <w:div w:id="945624165">
          <w:marLeft w:val="0"/>
          <w:marRight w:val="0"/>
          <w:marTop w:val="0"/>
          <w:marBottom w:val="0"/>
          <w:divBdr>
            <w:top w:val="none" w:sz="0" w:space="0" w:color="auto"/>
            <w:left w:val="none" w:sz="0" w:space="0" w:color="auto"/>
            <w:bottom w:val="none" w:sz="0" w:space="0" w:color="auto"/>
            <w:right w:val="none" w:sz="0" w:space="0" w:color="auto"/>
          </w:divBdr>
        </w:div>
        <w:div w:id="945624192">
          <w:marLeft w:val="0"/>
          <w:marRight w:val="0"/>
          <w:marTop w:val="0"/>
          <w:marBottom w:val="0"/>
          <w:divBdr>
            <w:top w:val="none" w:sz="0" w:space="0" w:color="auto"/>
            <w:left w:val="none" w:sz="0" w:space="0" w:color="auto"/>
            <w:bottom w:val="none" w:sz="0" w:space="0" w:color="auto"/>
            <w:right w:val="none" w:sz="0" w:space="0" w:color="auto"/>
          </w:divBdr>
        </w:div>
        <w:div w:id="945624198">
          <w:marLeft w:val="0"/>
          <w:marRight w:val="0"/>
          <w:marTop w:val="0"/>
          <w:marBottom w:val="0"/>
          <w:divBdr>
            <w:top w:val="none" w:sz="0" w:space="0" w:color="auto"/>
            <w:left w:val="none" w:sz="0" w:space="0" w:color="auto"/>
            <w:bottom w:val="none" w:sz="0" w:space="0" w:color="auto"/>
            <w:right w:val="none" w:sz="0" w:space="0" w:color="auto"/>
          </w:divBdr>
        </w:div>
        <w:div w:id="945624205">
          <w:marLeft w:val="0"/>
          <w:marRight w:val="0"/>
          <w:marTop w:val="0"/>
          <w:marBottom w:val="0"/>
          <w:divBdr>
            <w:top w:val="none" w:sz="0" w:space="0" w:color="auto"/>
            <w:left w:val="none" w:sz="0" w:space="0" w:color="auto"/>
            <w:bottom w:val="none" w:sz="0" w:space="0" w:color="auto"/>
            <w:right w:val="none" w:sz="0" w:space="0" w:color="auto"/>
          </w:divBdr>
        </w:div>
        <w:div w:id="945624209">
          <w:marLeft w:val="0"/>
          <w:marRight w:val="0"/>
          <w:marTop w:val="0"/>
          <w:marBottom w:val="0"/>
          <w:divBdr>
            <w:top w:val="none" w:sz="0" w:space="0" w:color="auto"/>
            <w:left w:val="none" w:sz="0" w:space="0" w:color="auto"/>
            <w:bottom w:val="none" w:sz="0" w:space="0" w:color="auto"/>
            <w:right w:val="none" w:sz="0" w:space="0" w:color="auto"/>
          </w:divBdr>
        </w:div>
        <w:div w:id="945624241">
          <w:marLeft w:val="0"/>
          <w:marRight w:val="0"/>
          <w:marTop w:val="0"/>
          <w:marBottom w:val="0"/>
          <w:divBdr>
            <w:top w:val="none" w:sz="0" w:space="0" w:color="auto"/>
            <w:left w:val="none" w:sz="0" w:space="0" w:color="auto"/>
            <w:bottom w:val="none" w:sz="0" w:space="0" w:color="auto"/>
            <w:right w:val="none" w:sz="0" w:space="0" w:color="auto"/>
          </w:divBdr>
        </w:div>
        <w:div w:id="945624249">
          <w:marLeft w:val="0"/>
          <w:marRight w:val="0"/>
          <w:marTop w:val="0"/>
          <w:marBottom w:val="0"/>
          <w:divBdr>
            <w:top w:val="none" w:sz="0" w:space="0" w:color="auto"/>
            <w:left w:val="none" w:sz="0" w:space="0" w:color="auto"/>
            <w:bottom w:val="none" w:sz="0" w:space="0" w:color="auto"/>
            <w:right w:val="none" w:sz="0" w:space="0" w:color="auto"/>
          </w:divBdr>
        </w:div>
      </w:divsChild>
    </w:div>
    <w:div w:id="945624211">
      <w:marLeft w:val="0"/>
      <w:marRight w:val="0"/>
      <w:marTop w:val="0"/>
      <w:marBottom w:val="0"/>
      <w:divBdr>
        <w:top w:val="none" w:sz="0" w:space="0" w:color="auto"/>
        <w:left w:val="none" w:sz="0" w:space="0" w:color="auto"/>
        <w:bottom w:val="none" w:sz="0" w:space="0" w:color="auto"/>
        <w:right w:val="none" w:sz="0" w:space="0" w:color="auto"/>
      </w:divBdr>
    </w:div>
    <w:div w:id="945624212">
      <w:marLeft w:val="0"/>
      <w:marRight w:val="0"/>
      <w:marTop w:val="0"/>
      <w:marBottom w:val="0"/>
      <w:divBdr>
        <w:top w:val="none" w:sz="0" w:space="0" w:color="auto"/>
        <w:left w:val="none" w:sz="0" w:space="0" w:color="auto"/>
        <w:bottom w:val="none" w:sz="0" w:space="0" w:color="auto"/>
        <w:right w:val="none" w:sz="0" w:space="0" w:color="auto"/>
      </w:divBdr>
    </w:div>
    <w:div w:id="945624213">
      <w:marLeft w:val="0"/>
      <w:marRight w:val="0"/>
      <w:marTop w:val="0"/>
      <w:marBottom w:val="0"/>
      <w:divBdr>
        <w:top w:val="none" w:sz="0" w:space="0" w:color="auto"/>
        <w:left w:val="none" w:sz="0" w:space="0" w:color="auto"/>
        <w:bottom w:val="none" w:sz="0" w:space="0" w:color="auto"/>
        <w:right w:val="none" w:sz="0" w:space="0" w:color="auto"/>
      </w:divBdr>
    </w:div>
    <w:div w:id="945624214">
      <w:marLeft w:val="0"/>
      <w:marRight w:val="0"/>
      <w:marTop w:val="0"/>
      <w:marBottom w:val="0"/>
      <w:divBdr>
        <w:top w:val="none" w:sz="0" w:space="0" w:color="auto"/>
        <w:left w:val="none" w:sz="0" w:space="0" w:color="auto"/>
        <w:bottom w:val="none" w:sz="0" w:space="0" w:color="auto"/>
        <w:right w:val="none" w:sz="0" w:space="0" w:color="auto"/>
      </w:divBdr>
    </w:div>
    <w:div w:id="945624215">
      <w:marLeft w:val="0"/>
      <w:marRight w:val="0"/>
      <w:marTop w:val="0"/>
      <w:marBottom w:val="0"/>
      <w:divBdr>
        <w:top w:val="none" w:sz="0" w:space="0" w:color="auto"/>
        <w:left w:val="none" w:sz="0" w:space="0" w:color="auto"/>
        <w:bottom w:val="none" w:sz="0" w:space="0" w:color="auto"/>
        <w:right w:val="none" w:sz="0" w:space="0" w:color="auto"/>
      </w:divBdr>
    </w:div>
    <w:div w:id="945624217">
      <w:marLeft w:val="0"/>
      <w:marRight w:val="0"/>
      <w:marTop w:val="0"/>
      <w:marBottom w:val="0"/>
      <w:divBdr>
        <w:top w:val="none" w:sz="0" w:space="0" w:color="auto"/>
        <w:left w:val="none" w:sz="0" w:space="0" w:color="auto"/>
        <w:bottom w:val="none" w:sz="0" w:space="0" w:color="auto"/>
        <w:right w:val="none" w:sz="0" w:space="0" w:color="auto"/>
      </w:divBdr>
    </w:div>
    <w:div w:id="945624218">
      <w:marLeft w:val="0"/>
      <w:marRight w:val="0"/>
      <w:marTop w:val="0"/>
      <w:marBottom w:val="0"/>
      <w:divBdr>
        <w:top w:val="none" w:sz="0" w:space="0" w:color="auto"/>
        <w:left w:val="none" w:sz="0" w:space="0" w:color="auto"/>
        <w:bottom w:val="none" w:sz="0" w:space="0" w:color="auto"/>
        <w:right w:val="none" w:sz="0" w:space="0" w:color="auto"/>
      </w:divBdr>
    </w:div>
    <w:div w:id="945624219">
      <w:marLeft w:val="0"/>
      <w:marRight w:val="0"/>
      <w:marTop w:val="0"/>
      <w:marBottom w:val="0"/>
      <w:divBdr>
        <w:top w:val="none" w:sz="0" w:space="0" w:color="auto"/>
        <w:left w:val="none" w:sz="0" w:space="0" w:color="auto"/>
        <w:bottom w:val="none" w:sz="0" w:space="0" w:color="auto"/>
        <w:right w:val="none" w:sz="0" w:space="0" w:color="auto"/>
      </w:divBdr>
    </w:div>
    <w:div w:id="945624220">
      <w:marLeft w:val="0"/>
      <w:marRight w:val="0"/>
      <w:marTop w:val="0"/>
      <w:marBottom w:val="0"/>
      <w:divBdr>
        <w:top w:val="none" w:sz="0" w:space="0" w:color="auto"/>
        <w:left w:val="none" w:sz="0" w:space="0" w:color="auto"/>
        <w:bottom w:val="none" w:sz="0" w:space="0" w:color="auto"/>
        <w:right w:val="none" w:sz="0" w:space="0" w:color="auto"/>
      </w:divBdr>
    </w:div>
    <w:div w:id="945624221">
      <w:marLeft w:val="0"/>
      <w:marRight w:val="0"/>
      <w:marTop w:val="0"/>
      <w:marBottom w:val="0"/>
      <w:divBdr>
        <w:top w:val="none" w:sz="0" w:space="0" w:color="auto"/>
        <w:left w:val="none" w:sz="0" w:space="0" w:color="auto"/>
        <w:bottom w:val="none" w:sz="0" w:space="0" w:color="auto"/>
        <w:right w:val="none" w:sz="0" w:space="0" w:color="auto"/>
      </w:divBdr>
    </w:div>
    <w:div w:id="945624222">
      <w:marLeft w:val="0"/>
      <w:marRight w:val="0"/>
      <w:marTop w:val="0"/>
      <w:marBottom w:val="0"/>
      <w:divBdr>
        <w:top w:val="none" w:sz="0" w:space="0" w:color="auto"/>
        <w:left w:val="none" w:sz="0" w:space="0" w:color="auto"/>
        <w:bottom w:val="none" w:sz="0" w:space="0" w:color="auto"/>
        <w:right w:val="none" w:sz="0" w:space="0" w:color="auto"/>
      </w:divBdr>
    </w:div>
    <w:div w:id="945624223">
      <w:marLeft w:val="0"/>
      <w:marRight w:val="0"/>
      <w:marTop w:val="0"/>
      <w:marBottom w:val="0"/>
      <w:divBdr>
        <w:top w:val="none" w:sz="0" w:space="0" w:color="auto"/>
        <w:left w:val="none" w:sz="0" w:space="0" w:color="auto"/>
        <w:bottom w:val="none" w:sz="0" w:space="0" w:color="auto"/>
        <w:right w:val="none" w:sz="0" w:space="0" w:color="auto"/>
      </w:divBdr>
    </w:div>
    <w:div w:id="945624224">
      <w:marLeft w:val="0"/>
      <w:marRight w:val="0"/>
      <w:marTop w:val="0"/>
      <w:marBottom w:val="0"/>
      <w:divBdr>
        <w:top w:val="none" w:sz="0" w:space="0" w:color="auto"/>
        <w:left w:val="none" w:sz="0" w:space="0" w:color="auto"/>
        <w:bottom w:val="none" w:sz="0" w:space="0" w:color="auto"/>
        <w:right w:val="none" w:sz="0" w:space="0" w:color="auto"/>
      </w:divBdr>
    </w:div>
    <w:div w:id="945624225">
      <w:marLeft w:val="0"/>
      <w:marRight w:val="0"/>
      <w:marTop w:val="0"/>
      <w:marBottom w:val="0"/>
      <w:divBdr>
        <w:top w:val="none" w:sz="0" w:space="0" w:color="auto"/>
        <w:left w:val="none" w:sz="0" w:space="0" w:color="auto"/>
        <w:bottom w:val="none" w:sz="0" w:space="0" w:color="auto"/>
        <w:right w:val="none" w:sz="0" w:space="0" w:color="auto"/>
      </w:divBdr>
    </w:div>
    <w:div w:id="945624226">
      <w:marLeft w:val="0"/>
      <w:marRight w:val="0"/>
      <w:marTop w:val="0"/>
      <w:marBottom w:val="0"/>
      <w:divBdr>
        <w:top w:val="none" w:sz="0" w:space="0" w:color="auto"/>
        <w:left w:val="none" w:sz="0" w:space="0" w:color="auto"/>
        <w:bottom w:val="none" w:sz="0" w:space="0" w:color="auto"/>
        <w:right w:val="none" w:sz="0" w:space="0" w:color="auto"/>
      </w:divBdr>
    </w:div>
    <w:div w:id="945624227">
      <w:marLeft w:val="0"/>
      <w:marRight w:val="0"/>
      <w:marTop w:val="0"/>
      <w:marBottom w:val="0"/>
      <w:divBdr>
        <w:top w:val="none" w:sz="0" w:space="0" w:color="auto"/>
        <w:left w:val="none" w:sz="0" w:space="0" w:color="auto"/>
        <w:bottom w:val="none" w:sz="0" w:space="0" w:color="auto"/>
        <w:right w:val="none" w:sz="0" w:space="0" w:color="auto"/>
      </w:divBdr>
    </w:div>
    <w:div w:id="945624228">
      <w:marLeft w:val="0"/>
      <w:marRight w:val="0"/>
      <w:marTop w:val="0"/>
      <w:marBottom w:val="0"/>
      <w:divBdr>
        <w:top w:val="none" w:sz="0" w:space="0" w:color="auto"/>
        <w:left w:val="none" w:sz="0" w:space="0" w:color="auto"/>
        <w:bottom w:val="none" w:sz="0" w:space="0" w:color="auto"/>
        <w:right w:val="none" w:sz="0" w:space="0" w:color="auto"/>
      </w:divBdr>
    </w:div>
    <w:div w:id="945624229">
      <w:marLeft w:val="0"/>
      <w:marRight w:val="0"/>
      <w:marTop w:val="0"/>
      <w:marBottom w:val="0"/>
      <w:divBdr>
        <w:top w:val="none" w:sz="0" w:space="0" w:color="auto"/>
        <w:left w:val="none" w:sz="0" w:space="0" w:color="auto"/>
        <w:bottom w:val="none" w:sz="0" w:space="0" w:color="auto"/>
        <w:right w:val="none" w:sz="0" w:space="0" w:color="auto"/>
      </w:divBdr>
    </w:div>
    <w:div w:id="945624230">
      <w:marLeft w:val="0"/>
      <w:marRight w:val="0"/>
      <w:marTop w:val="0"/>
      <w:marBottom w:val="0"/>
      <w:divBdr>
        <w:top w:val="none" w:sz="0" w:space="0" w:color="auto"/>
        <w:left w:val="none" w:sz="0" w:space="0" w:color="auto"/>
        <w:bottom w:val="none" w:sz="0" w:space="0" w:color="auto"/>
        <w:right w:val="none" w:sz="0" w:space="0" w:color="auto"/>
      </w:divBdr>
    </w:div>
    <w:div w:id="945624231">
      <w:marLeft w:val="0"/>
      <w:marRight w:val="0"/>
      <w:marTop w:val="0"/>
      <w:marBottom w:val="0"/>
      <w:divBdr>
        <w:top w:val="none" w:sz="0" w:space="0" w:color="auto"/>
        <w:left w:val="none" w:sz="0" w:space="0" w:color="auto"/>
        <w:bottom w:val="none" w:sz="0" w:space="0" w:color="auto"/>
        <w:right w:val="none" w:sz="0" w:space="0" w:color="auto"/>
      </w:divBdr>
    </w:div>
    <w:div w:id="945624232">
      <w:marLeft w:val="0"/>
      <w:marRight w:val="0"/>
      <w:marTop w:val="0"/>
      <w:marBottom w:val="0"/>
      <w:divBdr>
        <w:top w:val="none" w:sz="0" w:space="0" w:color="auto"/>
        <w:left w:val="none" w:sz="0" w:space="0" w:color="auto"/>
        <w:bottom w:val="none" w:sz="0" w:space="0" w:color="auto"/>
        <w:right w:val="none" w:sz="0" w:space="0" w:color="auto"/>
      </w:divBdr>
    </w:div>
    <w:div w:id="945624233">
      <w:marLeft w:val="0"/>
      <w:marRight w:val="0"/>
      <w:marTop w:val="0"/>
      <w:marBottom w:val="0"/>
      <w:divBdr>
        <w:top w:val="none" w:sz="0" w:space="0" w:color="auto"/>
        <w:left w:val="none" w:sz="0" w:space="0" w:color="auto"/>
        <w:bottom w:val="none" w:sz="0" w:space="0" w:color="auto"/>
        <w:right w:val="none" w:sz="0" w:space="0" w:color="auto"/>
      </w:divBdr>
    </w:div>
    <w:div w:id="945624234">
      <w:marLeft w:val="0"/>
      <w:marRight w:val="0"/>
      <w:marTop w:val="0"/>
      <w:marBottom w:val="0"/>
      <w:divBdr>
        <w:top w:val="none" w:sz="0" w:space="0" w:color="auto"/>
        <w:left w:val="none" w:sz="0" w:space="0" w:color="auto"/>
        <w:bottom w:val="none" w:sz="0" w:space="0" w:color="auto"/>
        <w:right w:val="none" w:sz="0" w:space="0" w:color="auto"/>
      </w:divBdr>
    </w:div>
    <w:div w:id="945624235">
      <w:marLeft w:val="0"/>
      <w:marRight w:val="0"/>
      <w:marTop w:val="0"/>
      <w:marBottom w:val="0"/>
      <w:divBdr>
        <w:top w:val="none" w:sz="0" w:space="0" w:color="auto"/>
        <w:left w:val="none" w:sz="0" w:space="0" w:color="auto"/>
        <w:bottom w:val="none" w:sz="0" w:space="0" w:color="auto"/>
        <w:right w:val="none" w:sz="0" w:space="0" w:color="auto"/>
      </w:divBdr>
    </w:div>
    <w:div w:id="945624236">
      <w:marLeft w:val="0"/>
      <w:marRight w:val="0"/>
      <w:marTop w:val="0"/>
      <w:marBottom w:val="0"/>
      <w:divBdr>
        <w:top w:val="none" w:sz="0" w:space="0" w:color="auto"/>
        <w:left w:val="none" w:sz="0" w:space="0" w:color="auto"/>
        <w:bottom w:val="none" w:sz="0" w:space="0" w:color="auto"/>
        <w:right w:val="none" w:sz="0" w:space="0" w:color="auto"/>
      </w:divBdr>
    </w:div>
    <w:div w:id="945624237">
      <w:marLeft w:val="0"/>
      <w:marRight w:val="0"/>
      <w:marTop w:val="0"/>
      <w:marBottom w:val="0"/>
      <w:divBdr>
        <w:top w:val="none" w:sz="0" w:space="0" w:color="auto"/>
        <w:left w:val="none" w:sz="0" w:space="0" w:color="auto"/>
        <w:bottom w:val="none" w:sz="0" w:space="0" w:color="auto"/>
        <w:right w:val="none" w:sz="0" w:space="0" w:color="auto"/>
      </w:divBdr>
    </w:div>
    <w:div w:id="945624238">
      <w:marLeft w:val="0"/>
      <w:marRight w:val="0"/>
      <w:marTop w:val="0"/>
      <w:marBottom w:val="0"/>
      <w:divBdr>
        <w:top w:val="none" w:sz="0" w:space="0" w:color="auto"/>
        <w:left w:val="none" w:sz="0" w:space="0" w:color="auto"/>
        <w:bottom w:val="none" w:sz="0" w:space="0" w:color="auto"/>
        <w:right w:val="none" w:sz="0" w:space="0" w:color="auto"/>
      </w:divBdr>
      <w:divsChild>
        <w:div w:id="945624177">
          <w:marLeft w:val="0"/>
          <w:marRight w:val="0"/>
          <w:marTop w:val="0"/>
          <w:marBottom w:val="0"/>
          <w:divBdr>
            <w:top w:val="none" w:sz="0" w:space="0" w:color="auto"/>
            <w:left w:val="none" w:sz="0" w:space="0" w:color="auto"/>
            <w:bottom w:val="none" w:sz="0" w:space="0" w:color="auto"/>
            <w:right w:val="none" w:sz="0" w:space="0" w:color="auto"/>
          </w:divBdr>
        </w:div>
        <w:div w:id="945624178">
          <w:marLeft w:val="0"/>
          <w:marRight w:val="0"/>
          <w:marTop w:val="0"/>
          <w:marBottom w:val="0"/>
          <w:divBdr>
            <w:top w:val="none" w:sz="0" w:space="0" w:color="auto"/>
            <w:left w:val="none" w:sz="0" w:space="0" w:color="auto"/>
            <w:bottom w:val="none" w:sz="0" w:space="0" w:color="auto"/>
            <w:right w:val="none" w:sz="0" w:space="0" w:color="auto"/>
          </w:divBdr>
        </w:div>
        <w:div w:id="945624216">
          <w:marLeft w:val="0"/>
          <w:marRight w:val="0"/>
          <w:marTop w:val="0"/>
          <w:marBottom w:val="0"/>
          <w:divBdr>
            <w:top w:val="none" w:sz="0" w:space="0" w:color="auto"/>
            <w:left w:val="none" w:sz="0" w:space="0" w:color="auto"/>
            <w:bottom w:val="none" w:sz="0" w:space="0" w:color="auto"/>
            <w:right w:val="none" w:sz="0" w:space="0" w:color="auto"/>
          </w:divBdr>
        </w:div>
        <w:div w:id="945624244">
          <w:marLeft w:val="0"/>
          <w:marRight w:val="0"/>
          <w:marTop w:val="0"/>
          <w:marBottom w:val="0"/>
          <w:divBdr>
            <w:top w:val="none" w:sz="0" w:space="0" w:color="auto"/>
            <w:left w:val="none" w:sz="0" w:space="0" w:color="auto"/>
            <w:bottom w:val="none" w:sz="0" w:space="0" w:color="auto"/>
            <w:right w:val="none" w:sz="0" w:space="0" w:color="auto"/>
          </w:divBdr>
        </w:div>
        <w:div w:id="945624254">
          <w:marLeft w:val="0"/>
          <w:marRight w:val="0"/>
          <w:marTop w:val="0"/>
          <w:marBottom w:val="0"/>
          <w:divBdr>
            <w:top w:val="none" w:sz="0" w:space="0" w:color="auto"/>
            <w:left w:val="none" w:sz="0" w:space="0" w:color="auto"/>
            <w:bottom w:val="none" w:sz="0" w:space="0" w:color="auto"/>
            <w:right w:val="none" w:sz="0" w:space="0" w:color="auto"/>
          </w:divBdr>
        </w:div>
        <w:div w:id="945624262">
          <w:marLeft w:val="0"/>
          <w:marRight w:val="0"/>
          <w:marTop w:val="0"/>
          <w:marBottom w:val="0"/>
          <w:divBdr>
            <w:top w:val="none" w:sz="0" w:space="0" w:color="auto"/>
            <w:left w:val="none" w:sz="0" w:space="0" w:color="auto"/>
            <w:bottom w:val="none" w:sz="0" w:space="0" w:color="auto"/>
            <w:right w:val="none" w:sz="0" w:space="0" w:color="auto"/>
          </w:divBdr>
        </w:div>
        <w:div w:id="945624276">
          <w:marLeft w:val="0"/>
          <w:marRight w:val="0"/>
          <w:marTop w:val="0"/>
          <w:marBottom w:val="0"/>
          <w:divBdr>
            <w:top w:val="none" w:sz="0" w:space="0" w:color="auto"/>
            <w:left w:val="none" w:sz="0" w:space="0" w:color="auto"/>
            <w:bottom w:val="none" w:sz="0" w:space="0" w:color="auto"/>
            <w:right w:val="none" w:sz="0" w:space="0" w:color="auto"/>
          </w:divBdr>
        </w:div>
      </w:divsChild>
    </w:div>
    <w:div w:id="945624239">
      <w:marLeft w:val="0"/>
      <w:marRight w:val="0"/>
      <w:marTop w:val="0"/>
      <w:marBottom w:val="0"/>
      <w:divBdr>
        <w:top w:val="none" w:sz="0" w:space="0" w:color="auto"/>
        <w:left w:val="none" w:sz="0" w:space="0" w:color="auto"/>
        <w:bottom w:val="none" w:sz="0" w:space="0" w:color="auto"/>
        <w:right w:val="none" w:sz="0" w:space="0" w:color="auto"/>
      </w:divBdr>
    </w:div>
    <w:div w:id="945624240">
      <w:marLeft w:val="0"/>
      <w:marRight w:val="0"/>
      <w:marTop w:val="0"/>
      <w:marBottom w:val="0"/>
      <w:divBdr>
        <w:top w:val="none" w:sz="0" w:space="0" w:color="auto"/>
        <w:left w:val="none" w:sz="0" w:space="0" w:color="auto"/>
        <w:bottom w:val="none" w:sz="0" w:space="0" w:color="auto"/>
        <w:right w:val="none" w:sz="0" w:space="0" w:color="auto"/>
      </w:divBdr>
    </w:div>
    <w:div w:id="945624242">
      <w:marLeft w:val="0"/>
      <w:marRight w:val="0"/>
      <w:marTop w:val="0"/>
      <w:marBottom w:val="0"/>
      <w:divBdr>
        <w:top w:val="none" w:sz="0" w:space="0" w:color="auto"/>
        <w:left w:val="none" w:sz="0" w:space="0" w:color="auto"/>
        <w:bottom w:val="none" w:sz="0" w:space="0" w:color="auto"/>
        <w:right w:val="none" w:sz="0" w:space="0" w:color="auto"/>
      </w:divBdr>
    </w:div>
    <w:div w:id="945624243">
      <w:marLeft w:val="0"/>
      <w:marRight w:val="0"/>
      <w:marTop w:val="0"/>
      <w:marBottom w:val="0"/>
      <w:divBdr>
        <w:top w:val="none" w:sz="0" w:space="0" w:color="auto"/>
        <w:left w:val="none" w:sz="0" w:space="0" w:color="auto"/>
        <w:bottom w:val="none" w:sz="0" w:space="0" w:color="auto"/>
        <w:right w:val="none" w:sz="0" w:space="0" w:color="auto"/>
      </w:divBdr>
    </w:div>
    <w:div w:id="945624245">
      <w:marLeft w:val="0"/>
      <w:marRight w:val="0"/>
      <w:marTop w:val="0"/>
      <w:marBottom w:val="0"/>
      <w:divBdr>
        <w:top w:val="none" w:sz="0" w:space="0" w:color="auto"/>
        <w:left w:val="none" w:sz="0" w:space="0" w:color="auto"/>
        <w:bottom w:val="none" w:sz="0" w:space="0" w:color="auto"/>
        <w:right w:val="none" w:sz="0" w:space="0" w:color="auto"/>
      </w:divBdr>
    </w:div>
    <w:div w:id="945624246">
      <w:marLeft w:val="0"/>
      <w:marRight w:val="0"/>
      <w:marTop w:val="0"/>
      <w:marBottom w:val="0"/>
      <w:divBdr>
        <w:top w:val="none" w:sz="0" w:space="0" w:color="auto"/>
        <w:left w:val="none" w:sz="0" w:space="0" w:color="auto"/>
        <w:bottom w:val="none" w:sz="0" w:space="0" w:color="auto"/>
        <w:right w:val="none" w:sz="0" w:space="0" w:color="auto"/>
      </w:divBdr>
    </w:div>
    <w:div w:id="945624247">
      <w:marLeft w:val="0"/>
      <w:marRight w:val="0"/>
      <w:marTop w:val="0"/>
      <w:marBottom w:val="0"/>
      <w:divBdr>
        <w:top w:val="none" w:sz="0" w:space="0" w:color="auto"/>
        <w:left w:val="none" w:sz="0" w:space="0" w:color="auto"/>
        <w:bottom w:val="none" w:sz="0" w:space="0" w:color="auto"/>
        <w:right w:val="none" w:sz="0" w:space="0" w:color="auto"/>
      </w:divBdr>
    </w:div>
    <w:div w:id="945624248">
      <w:marLeft w:val="0"/>
      <w:marRight w:val="0"/>
      <w:marTop w:val="0"/>
      <w:marBottom w:val="0"/>
      <w:divBdr>
        <w:top w:val="none" w:sz="0" w:space="0" w:color="auto"/>
        <w:left w:val="none" w:sz="0" w:space="0" w:color="auto"/>
        <w:bottom w:val="none" w:sz="0" w:space="0" w:color="auto"/>
        <w:right w:val="none" w:sz="0" w:space="0" w:color="auto"/>
      </w:divBdr>
    </w:div>
    <w:div w:id="945624250">
      <w:marLeft w:val="0"/>
      <w:marRight w:val="0"/>
      <w:marTop w:val="0"/>
      <w:marBottom w:val="0"/>
      <w:divBdr>
        <w:top w:val="none" w:sz="0" w:space="0" w:color="auto"/>
        <w:left w:val="none" w:sz="0" w:space="0" w:color="auto"/>
        <w:bottom w:val="none" w:sz="0" w:space="0" w:color="auto"/>
        <w:right w:val="none" w:sz="0" w:space="0" w:color="auto"/>
      </w:divBdr>
    </w:div>
    <w:div w:id="945624251">
      <w:marLeft w:val="0"/>
      <w:marRight w:val="0"/>
      <w:marTop w:val="0"/>
      <w:marBottom w:val="0"/>
      <w:divBdr>
        <w:top w:val="none" w:sz="0" w:space="0" w:color="auto"/>
        <w:left w:val="none" w:sz="0" w:space="0" w:color="auto"/>
        <w:bottom w:val="none" w:sz="0" w:space="0" w:color="auto"/>
        <w:right w:val="none" w:sz="0" w:space="0" w:color="auto"/>
      </w:divBdr>
    </w:div>
    <w:div w:id="945624252">
      <w:marLeft w:val="0"/>
      <w:marRight w:val="0"/>
      <w:marTop w:val="0"/>
      <w:marBottom w:val="0"/>
      <w:divBdr>
        <w:top w:val="none" w:sz="0" w:space="0" w:color="auto"/>
        <w:left w:val="none" w:sz="0" w:space="0" w:color="auto"/>
        <w:bottom w:val="none" w:sz="0" w:space="0" w:color="auto"/>
        <w:right w:val="none" w:sz="0" w:space="0" w:color="auto"/>
      </w:divBdr>
    </w:div>
    <w:div w:id="945624253">
      <w:marLeft w:val="0"/>
      <w:marRight w:val="0"/>
      <w:marTop w:val="0"/>
      <w:marBottom w:val="0"/>
      <w:divBdr>
        <w:top w:val="none" w:sz="0" w:space="0" w:color="auto"/>
        <w:left w:val="none" w:sz="0" w:space="0" w:color="auto"/>
        <w:bottom w:val="none" w:sz="0" w:space="0" w:color="auto"/>
        <w:right w:val="none" w:sz="0" w:space="0" w:color="auto"/>
      </w:divBdr>
    </w:div>
    <w:div w:id="945624255">
      <w:marLeft w:val="0"/>
      <w:marRight w:val="0"/>
      <w:marTop w:val="0"/>
      <w:marBottom w:val="0"/>
      <w:divBdr>
        <w:top w:val="none" w:sz="0" w:space="0" w:color="auto"/>
        <w:left w:val="none" w:sz="0" w:space="0" w:color="auto"/>
        <w:bottom w:val="none" w:sz="0" w:space="0" w:color="auto"/>
        <w:right w:val="none" w:sz="0" w:space="0" w:color="auto"/>
      </w:divBdr>
    </w:div>
    <w:div w:id="945624256">
      <w:marLeft w:val="0"/>
      <w:marRight w:val="0"/>
      <w:marTop w:val="0"/>
      <w:marBottom w:val="0"/>
      <w:divBdr>
        <w:top w:val="none" w:sz="0" w:space="0" w:color="auto"/>
        <w:left w:val="none" w:sz="0" w:space="0" w:color="auto"/>
        <w:bottom w:val="none" w:sz="0" w:space="0" w:color="auto"/>
        <w:right w:val="none" w:sz="0" w:space="0" w:color="auto"/>
      </w:divBdr>
    </w:div>
    <w:div w:id="945624257">
      <w:marLeft w:val="0"/>
      <w:marRight w:val="0"/>
      <w:marTop w:val="0"/>
      <w:marBottom w:val="0"/>
      <w:divBdr>
        <w:top w:val="none" w:sz="0" w:space="0" w:color="auto"/>
        <w:left w:val="none" w:sz="0" w:space="0" w:color="auto"/>
        <w:bottom w:val="none" w:sz="0" w:space="0" w:color="auto"/>
        <w:right w:val="none" w:sz="0" w:space="0" w:color="auto"/>
      </w:divBdr>
    </w:div>
    <w:div w:id="945624258">
      <w:marLeft w:val="0"/>
      <w:marRight w:val="0"/>
      <w:marTop w:val="0"/>
      <w:marBottom w:val="0"/>
      <w:divBdr>
        <w:top w:val="none" w:sz="0" w:space="0" w:color="auto"/>
        <w:left w:val="none" w:sz="0" w:space="0" w:color="auto"/>
        <w:bottom w:val="none" w:sz="0" w:space="0" w:color="auto"/>
        <w:right w:val="none" w:sz="0" w:space="0" w:color="auto"/>
      </w:divBdr>
      <w:divsChild>
        <w:div w:id="945624194">
          <w:marLeft w:val="0"/>
          <w:marRight w:val="0"/>
          <w:marTop w:val="0"/>
          <w:marBottom w:val="0"/>
          <w:divBdr>
            <w:top w:val="none" w:sz="0" w:space="0" w:color="auto"/>
            <w:left w:val="none" w:sz="0" w:space="0" w:color="auto"/>
            <w:bottom w:val="none" w:sz="0" w:space="0" w:color="auto"/>
            <w:right w:val="none" w:sz="0" w:space="0" w:color="auto"/>
          </w:divBdr>
        </w:div>
      </w:divsChild>
    </w:div>
    <w:div w:id="945624259">
      <w:marLeft w:val="0"/>
      <w:marRight w:val="0"/>
      <w:marTop w:val="0"/>
      <w:marBottom w:val="0"/>
      <w:divBdr>
        <w:top w:val="none" w:sz="0" w:space="0" w:color="auto"/>
        <w:left w:val="none" w:sz="0" w:space="0" w:color="auto"/>
        <w:bottom w:val="none" w:sz="0" w:space="0" w:color="auto"/>
        <w:right w:val="none" w:sz="0" w:space="0" w:color="auto"/>
      </w:divBdr>
    </w:div>
    <w:div w:id="945624260">
      <w:marLeft w:val="0"/>
      <w:marRight w:val="0"/>
      <w:marTop w:val="0"/>
      <w:marBottom w:val="0"/>
      <w:divBdr>
        <w:top w:val="none" w:sz="0" w:space="0" w:color="auto"/>
        <w:left w:val="none" w:sz="0" w:space="0" w:color="auto"/>
        <w:bottom w:val="none" w:sz="0" w:space="0" w:color="auto"/>
        <w:right w:val="none" w:sz="0" w:space="0" w:color="auto"/>
      </w:divBdr>
    </w:div>
    <w:div w:id="945624261">
      <w:marLeft w:val="0"/>
      <w:marRight w:val="0"/>
      <w:marTop w:val="0"/>
      <w:marBottom w:val="0"/>
      <w:divBdr>
        <w:top w:val="none" w:sz="0" w:space="0" w:color="auto"/>
        <w:left w:val="none" w:sz="0" w:space="0" w:color="auto"/>
        <w:bottom w:val="none" w:sz="0" w:space="0" w:color="auto"/>
        <w:right w:val="none" w:sz="0" w:space="0" w:color="auto"/>
      </w:divBdr>
    </w:div>
    <w:div w:id="945624263">
      <w:marLeft w:val="0"/>
      <w:marRight w:val="0"/>
      <w:marTop w:val="0"/>
      <w:marBottom w:val="0"/>
      <w:divBdr>
        <w:top w:val="none" w:sz="0" w:space="0" w:color="auto"/>
        <w:left w:val="none" w:sz="0" w:space="0" w:color="auto"/>
        <w:bottom w:val="none" w:sz="0" w:space="0" w:color="auto"/>
        <w:right w:val="none" w:sz="0" w:space="0" w:color="auto"/>
      </w:divBdr>
    </w:div>
    <w:div w:id="945624264">
      <w:marLeft w:val="0"/>
      <w:marRight w:val="0"/>
      <w:marTop w:val="0"/>
      <w:marBottom w:val="0"/>
      <w:divBdr>
        <w:top w:val="none" w:sz="0" w:space="0" w:color="auto"/>
        <w:left w:val="none" w:sz="0" w:space="0" w:color="auto"/>
        <w:bottom w:val="none" w:sz="0" w:space="0" w:color="auto"/>
        <w:right w:val="none" w:sz="0" w:space="0" w:color="auto"/>
      </w:divBdr>
    </w:div>
    <w:div w:id="945624265">
      <w:marLeft w:val="0"/>
      <w:marRight w:val="0"/>
      <w:marTop w:val="0"/>
      <w:marBottom w:val="0"/>
      <w:divBdr>
        <w:top w:val="none" w:sz="0" w:space="0" w:color="auto"/>
        <w:left w:val="none" w:sz="0" w:space="0" w:color="auto"/>
        <w:bottom w:val="none" w:sz="0" w:space="0" w:color="auto"/>
        <w:right w:val="none" w:sz="0" w:space="0" w:color="auto"/>
      </w:divBdr>
    </w:div>
    <w:div w:id="945624266">
      <w:marLeft w:val="0"/>
      <w:marRight w:val="0"/>
      <w:marTop w:val="0"/>
      <w:marBottom w:val="0"/>
      <w:divBdr>
        <w:top w:val="none" w:sz="0" w:space="0" w:color="auto"/>
        <w:left w:val="none" w:sz="0" w:space="0" w:color="auto"/>
        <w:bottom w:val="none" w:sz="0" w:space="0" w:color="auto"/>
        <w:right w:val="none" w:sz="0" w:space="0" w:color="auto"/>
      </w:divBdr>
    </w:div>
    <w:div w:id="945624267">
      <w:marLeft w:val="0"/>
      <w:marRight w:val="0"/>
      <w:marTop w:val="0"/>
      <w:marBottom w:val="0"/>
      <w:divBdr>
        <w:top w:val="none" w:sz="0" w:space="0" w:color="auto"/>
        <w:left w:val="none" w:sz="0" w:space="0" w:color="auto"/>
        <w:bottom w:val="none" w:sz="0" w:space="0" w:color="auto"/>
        <w:right w:val="none" w:sz="0" w:space="0" w:color="auto"/>
      </w:divBdr>
    </w:div>
    <w:div w:id="945624268">
      <w:marLeft w:val="0"/>
      <w:marRight w:val="0"/>
      <w:marTop w:val="0"/>
      <w:marBottom w:val="0"/>
      <w:divBdr>
        <w:top w:val="none" w:sz="0" w:space="0" w:color="auto"/>
        <w:left w:val="none" w:sz="0" w:space="0" w:color="auto"/>
        <w:bottom w:val="none" w:sz="0" w:space="0" w:color="auto"/>
        <w:right w:val="none" w:sz="0" w:space="0" w:color="auto"/>
      </w:divBdr>
    </w:div>
    <w:div w:id="945624269">
      <w:marLeft w:val="0"/>
      <w:marRight w:val="0"/>
      <w:marTop w:val="0"/>
      <w:marBottom w:val="0"/>
      <w:divBdr>
        <w:top w:val="none" w:sz="0" w:space="0" w:color="auto"/>
        <w:left w:val="none" w:sz="0" w:space="0" w:color="auto"/>
        <w:bottom w:val="none" w:sz="0" w:space="0" w:color="auto"/>
        <w:right w:val="none" w:sz="0" w:space="0" w:color="auto"/>
      </w:divBdr>
    </w:div>
    <w:div w:id="945624270">
      <w:marLeft w:val="0"/>
      <w:marRight w:val="0"/>
      <w:marTop w:val="0"/>
      <w:marBottom w:val="0"/>
      <w:divBdr>
        <w:top w:val="none" w:sz="0" w:space="0" w:color="auto"/>
        <w:left w:val="none" w:sz="0" w:space="0" w:color="auto"/>
        <w:bottom w:val="none" w:sz="0" w:space="0" w:color="auto"/>
        <w:right w:val="none" w:sz="0" w:space="0" w:color="auto"/>
      </w:divBdr>
    </w:div>
    <w:div w:id="945624271">
      <w:marLeft w:val="0"/>
      <w:marRight w:val="0"/>
      <w:marTop w:val="0"/>
      <w:marBottom w:val="0"/>
      <w:divBdr>
        <w:top w:val="none" w:sz="0" w:space="0" w:color="auto"/>
        <w:left w:val="none" w:sz="0" w:space="0" w:color="auto"/>
        <w:bottom w:val="none" w:sz="0" w:space="0" w:color="auto"/>
        <w:right w:val="none" w:sz="0" w:space="0" w:color="auto"/>
      </w:divBdr>
    </w:div>
    <w:div w:id="945624272">
      <w:marLeft w:val="0"/>
      <w:marRight w:val="0"/>
      <w:marTop w:val="0"/>
      <w:marBottom w:val="0"/>
      <w:divBdr>
        <w:top w:val="none" w:sz="0" w:space="0" w:color="auto"/>
        <w:left w:val="none" w:sz="0" w:space="0" w:color="auto"/>
        <w:bottom w:val="none" w:sz="0" w:space="0" w:color="auto"/>
        <w:right w:val="none" w:sz="0" w:space="0" w:color="auto"/>
      </w:divBdr>
    </w:div>
    <w:div w:id="945624273">
      <w:marLeft w:val="0"/>
      <w:marRight w:val="0"/>
      <w:marTop w:val="0"/>
      <w:marBottom w:val="0"/>
      <w:divBdr>
        <w:top w:val="none" w:sz="0" w:space="0" w:color="auto"/>
        <w:left w:val="none" w:sz="0" w:space="0" w:color="auto"/>
        <w:bottom w:val="none" w:sz="0" w:space="0" w:color="auto"/>
        <w:right w:val="none" w:sz="0" w:space="0" w:color="auto"/>
      </w:divBdr>
    </w:div>
    <w:div w:id="945624274">
      <w:marLeft w:val="0"/>
      <w:marRight w:val="0"/>
      <w:marTop w:val="0"/>
      <w:marBottom w:val="0"/>
      <w:divBdr>
        <w:top w:val="none" w:sz="0" w:space="0" w:color="auto"/>
        <w:left w:val="none" w:sz="0" w:space="0" w:color="auto"/>
        <w:bottom w:val="none" w:sz="0" w:space="0" w:color="auto"/>
        <w:right w:val="none" w:sz="0" w:space="0" w:color="auto"/>
      </w:divBdr>
    </w:div>
    <w:div w:id="945624275">
      <w:marLeft w:val="0"/>
      <w:marRight w:val="0"/>
      <w:marTop w:val="0"/>
      <w:marBottom w:val="0"/>
      <w:divBdr>
        <w:top w:val="none" w:sz="0" w:space="0" w:color="auto"/>
        <w:left w:val="none" w:sz="0" w:space="0" w:color="auto"/>
        <w:bottom w:val="none" w:sz="0" w:space="0" w:color="auto"/>
        <w:right w:val="none" w:sz="0" w:space="0" w:color="auto"/>
      </w:divBdr>
    </w:div>
    <w:div w:id="945624277">
      <w:marLeft w:val="0"/>
      <w:marRight w:val="0"/>
      <w:marTop w:val="0"/>
      <w:marBottom w:val="0"/>
      <w:divBdr>
        <w:top w:val="none" w:sz="0" w:space="0" w:color="auto"/>
        <w:left w:val="none" w:sz="0" w:space="0" w:color="auto"/>
        <w:bottom w:val="none" w:sz="0" w:space="0" w:color="auto"/>
        <w:right w:val="none" w:sz="0" w:space="0" w:color="auto"/>
      </w:divBdr>
    </w:div>
    <w:div w:id="945624278">
      <w:marLeft w:val="0"/>
      <w:marRight w:val="0"/>
      <w:marTop w:val="0"/>
      <w:marBottom w:val="0"/>
      <w:divBdr>
        <w:top w:val="none" w:sz="0" w:space="0" w:color="auto"/>
        <w:left w:val="none" w:sz="0" w:space="0" w:color="auto"/>
        <w:bottom w:val="none" w:sz="0" w:space="0" w:color="auto"/>
        <w:right w:val="none" w:sz="0" w:space="0" w:color="auto"/>
      </w:divBdr>
    </w:div>
    <w:div w:id="945624279">
      <w:marLeft w:val="0"/>
      <w:marRight w:val="0"/>
      <w:marTop w:val="0"/>
      <w:marBottom w:val="0"/>
      <w:divBdr>
        <w:top w:val="none" w:sz="0" w:space="0" w:color="auto"/>
        <w:left w:val="none" w:sz="0" w:space="0" w:color="auto"/>
        <w:bottom w:val="none" w:sz="0" w:space="0" w:color="auto"/>
        <w:right w:val="none" w:sz="0" w:space="0" w:color="auto"/>
      </w:divBdr>
    </w:div>
    <w:div w:id="945624280">
      <w:marLeft w:val="0"/>
      <w:marRight w:val="0"/>
      <w:marTop w:val="0"/>
      <w:marBottom w:val="0"/>
      <w:divBdr>
        <w:top w:val="none" w:sz="0" w:space="0" w:color="auto"/>
        <w:left w:val="none" w:sz="0" w:space="0" w:color="auto"/>
        <w:bottom w:val="none" w:sz="0" w:space="0" w:color="auto"/>
        <w:right w:val="none" w:sz="0" w:space="0" w:color="auto"/>
      </w:divBdr>
    </w:div>
    <w:div w:id="945624281">
      <w:marLeft w:val="0"/>
      <w:marRight w:val="0"/>
      <w:marTop w:val="0"/>
      <w:marBottom w:val="0"/>
      <w:divBdr>
        <w:top w:val="none" w:sz="0" w:space="0" w:color="auto"/>
        <w:left w:val="none" w:sz="0" w:space="0" w:color="auto"/>
        <w:bottom w:val="none" w:sz="0" w:space="0" w:color="auto"/>
        <w:right w:val="none" w:sz="0" w:space="0" w:color="auto"/>
      </w:divBdr>
    </w:div>
    <w:div w:id="945624282">
      <w:marLeft w:val="0"/>
      <w:marRight w:val="0"/>
      <w:marTop w:val="0"/>
      <w:marBottom w:val="0"/>
      <w:divBdr>
        <w:top w:val="none" w:sz="0" w:space="0" w:color="auto"/>
        <w:left w:val="none" w:sz="0" w:space="0" w:color="auto"/>
        <w:bottom w:val="none" w:sz="0" w:space="0" w:color="auto"/>
        <w:right w:val="none" w:sz="0" w:space="0" w:color="auto"/>
      </w:divBdr>
    </w:div>
    <w:div w:id="945624284">
      <w:marLeft w:val="0"/>
      <w:marRight w:val="0"/>
      <w:marTop w:val="0"/>
      <w:marBottom w:val="0"/>
      <w:divBdr>
        <w:top w:val="none" w:sz="0" w:space="0" w:color="auto"/>
        <w:left w:val="none" w:sz="0" w:space="0" w:color="auto"/>
        <w:bottom w:val="none" w:sz="0" w:space="0" w:color="auto"/>
        <w:right w:val="none" w:sz="0" w:space="0" w:color="auto"/>
      </w:divBdr>
    </w:div>
    <w:div w:id="945624285">
      <w:marLeft w:val="0"/>
      <w:marRight w:val="0"/>
      <w:marTop w:val="0"/>
      <w:marBottom w:val="0"/>
      <w:divBdr>
        <w:top w:val="none" w:sz="0" w:space="0" w:color="auto"/>
        <w:left w:val="none" w:sz="0" w:space="0" w:color="auto"/>
        <w:bottom w:val="none" w:sz="0" w:space="0" w:color="auto"/>
        <w:right w:val="none" w:sz="0" w:space="0" w:color="auto"/>
      </w:divBdr>
    </w:div>
    <w:div w:id="945624286">
      <w:marLeft w:val="0"/>
      <w:marRight w:val="0"/>
      <w:marTop w:val="0"/>
      <w:marBottom w:val="0"/>
      <w:divBdr>
        <w:top w:val="none" w:sz="0" w:space="0" w:color="auto"/>
        <w:left w:val="none" w:sz="0" w:space="0" w:color="auto"/>
        <w:bottom w:val="none" w:sz="0" w:space="0" w:color="auto"/>
        <w:right w:val="none" w:sz="0" w:space="0" w:color="auto"/>
      </w:divBdr>
    </w:div>
    <w:div w:id="945624287">
      <w:marLeft w:val="0"/>
      <w:marRight w:val="0"/>
      <w:marTop w:val="0"/>
      <w:marBottom w:val="0"/>
      <w:divBdr>
        <w:top w:val="none" w:sz="0" w:space="0" w:color="auto"/>
        <w:left w:val="none" w:sz="0" w:space="0" w:color="auto"/>
        <w:bottom w:val="none" w:sz="0" w:space="0" w:color="auto"/>
        <w:right w:val="none" w:sz="0" w:space="0" w:color="auto"/>
      </w:divBdr>
    </w:div>
    <w:div w:id="945624288">
      <w:marLeft w:val="0"/>
      <w:marRight w:val="0"/>
      <w:marTop w:val="0"/>
      <w:marBottom w:val="0"/>
      <w:divBdr>
        <w:top w:val="none" w:sz="0" w:space="0" w:color="auto"/>
        <w:left w:val="none" w:sz="0" w:space="0" w:color="auto"/>
        <w:bottom w:val="none" w:sz="0" w:space="0" w:color="auto"/>
        <w:right w:val="none" w:sz="0" w:space="0" w:color="auto"/>
      </w:divBdr>
    </w:div>
    <w:div w:id="945624290">
      <w:marLeft w:val="0"/>
      <w:marRight w:val="0"/>
      <w:marTop w:val="0"/>
      <w:marBottom w:val="0"/>
      <w:divBdr>
        <w:top w:val="none" w:sz="0" w:space="0" w:color="auto"/>
        <w:left w:val="none" w:sz="0" w:space="0" w:color="auto"/>
        <w:bottom w:val="none" w:sz="0" w:space="0" w:color="auto"/>
        <w:right w:val="none" w:sz="0" w:space="0" w:color="auto"/>
      </w:divBdr>
    </w:div>
    <w:div w:id="945624292">
      <w:marLeft w:val="0"/>
      <w:marRight w:val="0"/>
      <w:marTop w:val="0"/>
      <w:marBottom w:val="0"/>
      <w:divBdr>
        <w:top w:val="none" w:sz="0" w:space="0" w:color="auto"/>
        <w:left w:val="none" w:sz="0" w:space="0" w:color="auto"/>
        <w:bottom w:val="none" w:sz="0" w:space="0" w:color="auto"/>
        <w:right w:val="none" w:sz="0" w:space="0" w:color="auto"/>
      </w:divBdr>
    </w:div>
    <w:div w:id="945624293">
      <w:marLeft w:val="0"/>
      <w:marRight w:val="0"/>
      <w:marTop w:val="0"/>
      <w:marBottom w:val="0"/>
      <w:divBdr>
        <w:top w:val="none" w:sz="0" w:space="0" w:color="auto"/>
        <w:left w:val="none" w:sz="0" w:space="0" w:color="auto"/>
        <w:bottom w:val="none" w:sz="0" w:space="0" w:color="auto"/>
        <w:right w:val="none" w:sz="0" w:space="0" w:color="auto"/>
      </w:divBdr>
    </w:div>
    <w:div w:id="945624294">
      <w:marLeft w:val="0"/>
      <w:marRight w:val="0"/>
      <w:marTop w:val="0"/>
      <w:marBottom w:val="0"/>
      <w:divBdr>
        <w:top w:val="none" w:sz="0" w:space="0" w:color="auto"/>
        <w:left w:val="none" w:sz="0" w:space="0" w:color="auto"/>
        <w:bottom w:val="none" w:sz="0" w:space="0" w:color="auto"/>
        <w:right w:val="none" w:sz="0" w:space="0" w:color="auto"/>
      </w:divBdr>
    </w:div>
    <w:div w:id="945624295">
      <w:marLeft w:val="0"/>
      <w:marRight w:val="0"/>
      <w:marTop w:val="0"/>
      <w:marBottom w:val="0"/>
      <w:divBdr>
        <w:top w:val="none" w:sz="0" w:space="0" w:color="auto"/>
        <w:left w:val="none" w:sz="0" w:space="0" w:color="auto"/>
        <w:bottom w:val="none" w:sz="0" w:space="0" w:color="auto"/>
        <w:right w:val="none" w:sz="0" w:space="0" w:color="auto"/>
      </w:divBdr>
    </w:div>
    <w:div w:id="945624296">
      <w:marLeft w:val="0"/>
      <w:marRight w:val="0"/>
      <w:marTop w:val="0"/>
      <w:marBottom w:val="0"/>
      <w:divBdr>
        <w:top w:val="none" w:sz="0" w:space="0" w:color="auto"/>
        <w:left w:val="none" w:sz="0" w:space="0" w:color="auto"/>
        <w:bottom w:val="none" w:sz="0" w:space="0" w:color="auto"/>
        <w:right w:val="none" w:sz="0" w:space="0" w:color="auto"/>
      </w:divBdr>
    </w:div>
    <w:div w:id="945624297">
      <w:marLeft w:val="0"/>
      <w:marRight w:val="0"/>
      <w:marTop w:val="0"/>
      <w:marBottom w:val="0"/>
      <w:divBdr>
        <w:top w:val="none" w:sz="0" w:space="0" w:color="auto"/>
        <w:left w:val="none" w:sz="0" w:space="0" w:color="auto"/>
        <w:bottom w:val="none" w:sz="0" w:space="0" w:color="auto"/>
        <w:right w:val="none" w:sz="0" w:space="0" w:color="auto"/>
      </w:divBdr>
    </w:div>
    <w:div w:id="945624298">
      <w:marLeft w:val="0"/>
      <w:marRight w:val="0"/>
      <w:marTop w:val="0"/>
      <w:marBottom w:val="0"/>
      <w:divBdr>
        <w:top w:val="none" w:sz="0" w:space="0" w:color="auto"/>
        <w:left w:val="none" w:sz="0" w:space="0" w:color="auto"/>
        <w:bottom w:val="none" w:sz="0" w:space="0" w:color="auto"/>
        <w:right w:val="none" w:sz="0" w:space="0" w:color="auto"/>
      </w:divBdr>
    </w:div>
    <w:div w:id="945624299">
      <w:marLeft w:val="0"/>
      <w:marRight w:val="0"/>
      <w:marTop w:val="0"/>
      <w:marBottom w:val="0"/>
      <w:divBdr>
        <w:top w:val="none" w:sz="0" w:space="0" w:color="auto"/>
        <w:left w:val="none" w:sz="0" w:space="0" w:color="auto"/>
        <w:bottom w:val="none" w:sz="0" w:space="0" w:color="auto"/>
        <w:right w:val="none" w:sz="0" w:space="0" w:color="auto"/>
      </w:divBdr>
    </w:div>
    <w:div w:id="945624300">
      <w:marLeft w:val="0"/>
      <w:marRight w:val="0"/>
      <w:marTop w:val="0"/>
      <w:marBottom w:val="0"/>
      <w:divBdr>
        <w:top w:val="none" w:sz="0" w:space="0" w:color="auto"/>
        <w:left w:val="none" w:sz="0" w:space="0" w:color="auto"/>
        <w:bottom w:val="none" w:sz="0" w:space="0" w:color="auto"/>
        <w:right w:val="none" w:sz="0" w:space="0" w:color="auto"/>
      </w:divBdr>
    </w:div>
    <w:div w:id="945624301">
      <w:marLeft w:val="0"/>
      <w:marRight w:val="0"/>
      <w:marTop w:val="0"/>
      <w:marBottom w:val="0"/>
      <w:divBdr>
        <w:top w:val="none" w:sz="0" w:space="0" w:color="auto"/>
        <w:left w:val="none" w:sz="0" w:space="0" w:color="auto"/>
        <w:bottom w:val="none" w:sz="0" w:space="0" w:color="auto"/>
        <w:right w:val="none" w:sz="0" w:space="0" w:color="auto"/>
      </w:divBdr>
    </w:div>
    <w:div w:id="945624302">
      <w:marLeft w:val="0"/>
      <w:marRight w:val="0"/>
      <w:marTop w:val="0"/>
      <w:marBottom w:val="0"/>
      <w:divBdr>
        <w:top w:val="none" w:sz="0" w:space="0" w:color="auto"/>
        <w:left w:val="none" w:sz="0" w:space="0" w:color="auto"/>
        <w:bottom w:val="none" w:sz="0" w:space="0" w:color="auto"/>
        <w:right w:val="none" w:sz="0" w:space="0" w:color="auto"/>
      </w:divBdr>
    </w:div>
    <w:div w:id="945624303">
      <w:marLeft w:val="0"/>
      <w:marRight w:val="0"/>
      <w:marTop w:val="0"/>
      <w:marBottom w:val="0"/>
      <w:divBdr>
        <w:top w:val="none" w:sz="0" w:space="0" w:color="auto"/>
        <w:left w:val="none" w:sz="0" w:space="0" w:color="auto"/>
        <w:bottom w:val="none" w:sz="0" w:space="0" w:color="auto"/>
        <w:right w:val="none" w:sz="0" w:space="0" w:color="auto"/>
      </w:divBdr>
    </w:div>
    <w:div w:id="945624304">
      <w:marLeft w:val="0"/>
      <w:marRight w:val="0"/>
      <w:marTop w:val="0"/>
      <w:marBottom w:val="0"/>
      <w:divBdr>
        <w:top w:val="none" w:sz="0" w:space="0" w:color="auto"/>
        <w:left w:val="none" w:sz="0" w:space="0" w:color="auto"/>
        <w:bottom w:val="none" w:sz="0" w:space="0" w:color="auto"/>
        <w:right w:val="none" w:sz="0" w:space="0" w:color="auto"/>
      </w:divBdr>
    </w:div>
    <w:div w:id="945624305">
      <w:marLeft w:val="0"/>
      <w:marRight w:val="0"/>
      <w:marTop w:val="0"/>
      <w:marBottom w:val="0"/>
      <w:divBdr>
        <w:top w:val="none" w:sz="0" w:space="0" w:color="auto"/>
        <w:left w:val="none" w:sz="0" w:space="0" w:color="auto"/>
        <w:bottom w:val="none" w:sz="0" w:space="0" w:color="auto"/>
        <w:right w:val="none" w:sz="0" w:space="0" w:color="auto"/>
      </w:divBdr>
    </w:div>
    <w:div w:id="945624306">
      <w:marLeft w:val="0"/>
      <w:marRight w:val="0"/>
      <w:marTop w:val="0"/>
      <w:marBottom w:val="0"/>
      <w:divBdr>
        <w:top w:val="none" w:sz="0" w:space="0" w:color="auto"/>
        <w:left w:val="none" w:sz="0" w:space="0" w:color="auto"/>
        <w:bottom w:val="none" w:sz="0" w:space="0" w:color="auto"/>
        <w:right w:val="none" w:sz="0" w:space="0" w:color="auto"/>
      </w:divBdr>
    </w:div>
    <w:div w:id="945624307">
      <w:marLeft w:val="0"/>
      <w:marRight w:val="0"/>
      <w:marTop w:val="0"/>
      <w:marBottom w:val="0"/>
      <w:divBdr>
        <w:top w:val="none" w:sz="0" w:space="0" w:color="auto"/>
        <w:left w:val="none" w:sz="0" w:space="0" w:color="auto"/>
        <w:bottom w:val="none" w:sz="0" w:space="0" w:color="auto"/>
        <w:right w:val="none" w:sz="0" w:space="0" w:color="auto"/>
      </w:divBdr>
    </w:div>
    <w:div w:id="945624309">
      <w:marLeft w:val="0"/>
      <w:marRight w:val="0"/>
      <w:marTop w:val="0"/>
      <w:marBottom w:val="0"/>
      <w:divBdr>
        <w:top w:val="none" w:sz="0" w:space="0" w:color="auto"/>
        <w:left w:val="none" w:sz="0" w:space="0" w:color="auto"/>
        <w:bottom w:val="none" w:sz="0" w:space="0" w:color="auto"/>
        <w:right w:val="none" w:sz="0" w:space="0" w:color="auto"/>
      </w:divBdr>
    </w:div>
    <w:div w:id="966010093">
      <w:bodyDiv w:val="1"/>
      <w:marLeft w:val="0"/>
      <w:marRight w:val="0"/>
      <w:marTop w:val="0"/>
      <w:marBottom w:val="0"/>
      <w:divBdr>
        <w:top w:val="none" w:sz="0" w:space="0" w:color="auto"/>
        <w:left w:val="none" w:sz="0" w:space="0" w:color="auto"/>
        <w:bottom w:val="none" w:sz="0" w:space="0" w:color="auto"/>
        <w:right w:val="none" w:sz="0" w:space="0" w:color="auto"/>
      </w:divBdr>
    </w:div>
    <w:div w:id="975992743">
      <w:bodyDiv w:val="1"/>
      <w:marLeft w:val="0"/>
      <w:marRight w:val="0"/>
      <w:marTop w:val="0"/>
      <w:marBottom w:val="0"/>
      <w:divBdr>
        <w:top w:val="none" w:sz="0" w:space="0" w:color="auto"/>
        <w:left w:val="none" w:sz="0" w:space="0" w:color="auto"/>
        <w:bottom w:val="none" w:sz="0" w:space="0" w:color="auto"/>
        <w:right w:val="none" w:sz="0" w:space="0" w:color="auto"/>
      </w:divBdr>
    </w:div>
    <w:div w:id="1001398249">
      <w:bodyDiv w:val="1"/>
      <w:marLeft w:val="0"/>
      <w:marRight w:val="0"/>
      <w:marTop w:val="0"/>
      <w:marBottom w:val="0"/>
      <w:divBdr>
        <w:top w:val="none" w:sz="0" w:space="0" w:color="auto"/>
        <w:left w:val="none" w:sz="0" w:space="0" w:color="auto"/>
        <w:bottom w:val="none" w:sz="0" w:space="0" w:color="auto"/>
        <w:right w:val="none" w:sz="0" w:space="0" w:color="auto"/>
      </w:divBdr>
    </w:div>
    <w:div w:id="1050614074">
      <w:bodyDiv w:val="1"/>
      <w:marLeft w:val="0"/>
      <w:marRight w:val="0"/>
      <w:marTop w:val="0"/>
      <w:marBottom w:val="0"/>
      <w:divBdr>
        <w:top w:val="none" w:sz="0" w:space="0" w:color="auto"/>
        <w:left w:val="none" w:sz="0" w:space="0" w:color="auto"/>
        <w:bottom w:val="none" w:sz="0" w:space="0" w:color="auto"/>
        <w:right w:val="none" w:sz="0" w:space="0" w:color="auto"/>
      </w:divBdr>
    </w:div>
    <w:div w:id="1122186196">
      <w:bodyDiv w:val="1"/>
      <w:marLeft w:val="0"/>
      <w:marRight w:val="0"/>
      <w:marTop w:val="0"/>
      <w:marBottom w:val="0"/>
      <w:divBdr>
        <w:top w:val="none" w:sz="0" w:space="0" w:color="auto"/>
        <w:left w:val="none" w:sz="0" w:space="0" w:color="auto"/>
        <w:bottom w:val="none" w:sz="0" w:space="0" w:color="auto"/>
        <w:right w:val="none" w:sz="0" w:space="0" w:color="auto"/>
      </w:divBdr>
    </w:div>
    <w:div w:id="1346592618">
      <w:bodyDiv w:val="1"/>
      <w:marLeft w:val="0"/>
      <w:marRight w:val="0"/>
      <w:marTop w:val="0"/>
      <w:marBottom w:val="0"/>
      <w:divBdr>
        <w:top w:val="none" w:sz="0" w:space="0" w:color="auto"/>
        <w:left w:val="none" w:sz="0" w:space="0" w:color="auto"/>
        <w:bottom w:val="none" w:sz="0" w:space="0" w:color="auto"/>
        <w:right w:val="none" w:sz="0" w:space="0" w:color="auto"/>
      </w:divBdr>
    </w:div>
    <w:div w:id="1360084238">
      <w:bodyDiv w:val="1"/>
      <w:marLeft w:val="0"/>
      <w:marRight w:val="0"/>
      <w:marTop w:val="0"/>
      <w:marBottom w:val="0"/>
      <w:divBdr>
        <w:top w:val="none" w:sz="0" w:space="0" w:color="auto"/>
        <w:left w:val="none" w:sz="0" w:space="0" w:color="auto"/>
        <w:bottom w:val="none" w:sz="0" w:space="0" w:color="auto"/>
        <w:right w:val="none" w:sz="0" w:space="0" w:color="auto"/>
      </w:divBdr>
    </w:div>
    <w:div w:id="1386486674">
      <w:bodyDiv w:val="1"/>
      <w:marLeft w:val="0"/>
      <w:marRight w:val="0"/>
      <w:marTop w:val="0"/>
      <w:marBottom w:val="0"/>
      <w:divBdr>
        <w:top w:val="none" w:sz="0" w:space="0" w:color="auto"/>
        <w:left w:val="none" w:sz="0" w:space="0" w:color="auto"/>
        <w:bottom w:val="none" w:sz="0" w:space="0" w:color="auto"/>
        <w:right w:val="none" w:sz="0" w:space="0" w:color="auto"/>
      </w:divBdr>
    </w:div>
    <w:div w:id="1388603521">
      <w:bodyDiv w:val="1"/>
      <w:marLeft w:val="0"/>
      <w:marRight w:val="0"/>
      <w:marTop w:val="0"/>
      <w:marBottom w:val="0"/>
      <w:divBdr>
        <w:top w:val="none" w:sz="0" w:space="0" w:color="auto"/>
        <w:left w:val="none" w:sz="0" w:space="0" w:color="auto"/>
        <w:bottom w:val="none" w:sz="0" w:space="0" w:color="auto"/>
        <w:right w:val="none" w:sz="0" w:space="0" w:color="auto"/>
      </w:divBdr>
    </w:div>
    <w:div w:id="1427463444">
      <w:bodyDiv w:val="1"/>
      <w:marLeft w:val="0"/>
      <w:marRight w:val="0"/>
      <w:marTop w:val="0"/>
      <w:marBottom w:val="0"/>
      <w:divBdr>
        <w:top w:val="none" w:sz="0" w:space="0" w:color="auto"/>
        <w:left w:val="none" w:sz="0" w:space="0" w:color="auto"/>
        <w:bottom w:val="none" w:sz="0" w:space="0" w:color="auto"/>
        <w:right w:val="none" w:sz="0" w:space="0" w:color="auto"/>
      </w:divBdr>
    </w:div>
    <w:div w:id="1492676662">
      <w:bodyDiv w:val="1"/>
      <w:marLeft w:val="0"/>
      <w:marRight w:val="0"/>
      <w:marTop w:val="0"/>
      <w:marBottom w:val="0"/>
      <w:divBdr>
        <w:top w:val="none" w:sz="0" w:space="0" w:color="auto"/>
        <w:left w:val="none" w:sz="0" w:space="0" w:color="auto"/>
        <w:bottom w:val="none" w:sz="0" w:space="0" w:color="auto"/>
        <w:right w:val="none" w:sz="0" w:space="0" w:color="auto"/>
      </w:divBdr>
    </w:div>
    <w:div w:id="1531532350">
      <w:bodyDiv w:val="1"/>
      <w:marLeft w:val="0"/>
      <w:marRight w:val="0"/>
      <w:marTop w:val="0"/>
      <w:marBottom w:val="0"/>
      <w:divBdr>
        <w:top w:val="none" w:sz="0" w:space="0" w:color="auto"/>
        <w:left w:val="none" w:sz="0" w:space="0" w:color="auto"/>
        <w:bottom w:val="none" w:sz="0" w:space="0" w:color="auto"/>
        <w:right w:val="none" w:sz="0" w:space="0" w:color="auto"/>
      </w:divBdr>
    </w:div>
    <w:div w:id="1550875503">
      <w:bodyDiv w:val="1"/>
      <w:marLeft w:val="0"/>
      <w:marRight w:val="0"/>
      <w:marTop w:val="0"/>
      <w:marBottom w:val="0"/>
      <w:divBdr>
        <w:top w:val="none" w:sz="0" w:space="0" w:color="auto"/>
        <w:left w:val="none" w:sz="0" w:space="0" w:color="auto"/>
        <w:bottom w:val="none" w:sz="0" w:space="0" w:color="auto"/>
        <w:right w:val="none" w:sz="0" w:space="0" w:color="auto"/>
      </w:divBdr>
    </w:div>
    <w:div w:id="1596405356">
      <w:bodyDiv w:val="1"/>
      <w:marLeft w:val="0"/>
      <w:marRight w:val="0"/>
      <w:marTop w:val="0"/>
      <w:marBottom w:val="0"/>
      <w:divBdr>
        <w:top w:val="none" w:sz="0" w:space="0" w:color="auto"/>
        <w:left w:val="none" w:sz="0" w:space="0" w:color="auto"/>
        <w:bottom w:val="none" w:sz="0" w:space="0" w:color="auto"/>
        <w:right w:val="none" w:sz="0" w:space="0" w:color="auto"/>
      </w:divBdr>
    </w:div>
    <w:div w:id="1655795748">
      <w:bodyDiv w:val="1"/>
      <w:marLeft w:val="0"/>
      <w:marRight w:val="0"/>
      <w:marTop w:val="0"/>
      <w:marBottom w:val="0"/>
      <w:divBdr>
        <w:top w:val="none" w:sz="0" w:space="0" w:color="auto"/>
        <w:left w:val="none" w:sz="0" w:space="0" w:color="auto"/>
        <w:bottom w:val="none" w:sz="0" w:space="0" w:color="auto"/>
        <w:right w:val="none" w:sz="0" w:space="0" w:color="auto"/>
      </w:divBdr>
    </w:div>
    <w:div w:id="1665930351">
      <w:bodyDiv w:val="1"/>
      <w:marLeft w:val="0"/>
      <w:marRight w:val="0"/>
      <w:marTop w:val="0"/>
      <w:marBottom w:val="0"/>
      <w:divBdr>
        <w:top w:val="none" w:sz="0" w:space="0" w:color="auto"/>
        <w:left w:val="none" w:sz="0" w:space="0" w:color="auto"/>
        <w:bottom w:val="none" w:sz="0" w:space="0" w:color="auto"/>
        <w:right w:val="none" w:sz="0" w:space="0" w:color="auto"/>
      </w:divBdr>
      <w:divsChild>
        <w:div w:id="109714777">
          <w:marLeft w:val="0"/>
          <w:marRight w:val="0"/>
          <w:marTop w:val="0"/>
          <w:marBottom w:val="0"/>
          <w:divBdr>
            <w:top w:val="none" w:sz="0" w:space="0" w:color="auto"/>
            <w:left w:val="none" w:sz="0" w:space="0" w:color="auto"/>
            <w:bottom w:val="none" w:sz="0" w:space="0" w:color="auto"/>
            <w:right w:val="none" w:sz="0" w:space="0" w:color="auto"/>
          </w:divBdr>
          <w:divsChild>
            <w:div w:id="1811702000">
              <w:marLeft w:val="0"/>
              <w:marRight w:val="0"/>
              <w:marTop w:val="0"/>
              <w:marBottom w:val="0"/>
              <w:divBdr>
                <w:top w:val="none" w:sz="0" w:space="0" w:color="auto"/>
                <w:left w:val="none" w:sz="0" w:space="0" w:color="auto"/>
                <w:bottom w:val="none" w:sz="0" w:space="0" w:color="auto"/>
                <w:right w:val="none" w:sz="0" w:space="0" w:color="auto"/>
              </w:divBdr>
              <w:divsChild>
                <w:div w:id="1208637559">
                  <w:marLeft w:val="0"/>
                  <w:marRight w:val="0"/>
                  <w:marTop w:val="0"/>
                  <w:marBottom w:val="0"/>
                  <w:divBdr>
                    <w:top w:val="none" w:sz="0" w:space="0" w:color="auto"/>
                    <w:left w:val="none" w:sz="0" w:space="0" w:color="auto"/>
                    <w:bottom w:val="none" w:sz="0" w:space="0" w:color="auto"/>
                    <w:right w:val="none" w:sz="0" w:space="0" w:color="auto"/>
                  </w:divBdr>
                  <w:divsChild>
                    <w:div w:id="1281372569">
                      <w:marLeft w:val="0"/>
                      <w:marRight w:val="0"/>
                      <w:marTop w:val="0"/>
                      <w:marBottom w:val="0"/>
                      <w:divBdr>
                        <w:top w:val="none" w:sz="0" w:space="0" w:color="auto"/>
                        <w:left w:val="none" w:sz="0" w:space="0" w:color="auto"/>
                        <w:bottom w:val="none" w:sz="0" w:space="0" w:color="auto"/>
                        <w:right w:val="none" w:sz="0" w:space="0" w:color="auto"/>
                      </w:divBdr>
                      <w:divsChild>
                        <w:div w:id="1806703299">
                          <w:marLeft w:val="0"/>
                          <w:marRight w:val="0"/>
                          <w:marTop w:val="0"/>
                          <w:marBottom w:val="0"/>
                          <w:divBdr>
                            <w:top w:val="none" w:sz="0" w:space="0" w:color="auto"/>
                            <w:left w:val="none" w:sz="0" w:space="0" w:color="auto"/>
                            <w:bottom w:val="none" w:sz="0" w:space="0" w:color="auto"/>
                            <w:right w:val="none" w:sz="0" w:space="0" w:color="auto"/>
                          </w:divBdr>
                          <w:divsChild>
                            <w:div w:id="1190220125">
                              <w:marLeft w:val="0"/>
                              <w:marRight w:val="0"/>
                              <w:marTop w:val="0"/>
                              <w:marBottom w:val="0"/>
                              <w:divBdr>
                                <w:top w:val="none" w:sz="0" w:space="0" w:color="auto"/>
                                <w:left w:val="none" w:sz="0" w:space="0" w:color="auto"/>
                                <w:bottom w:val="none" w:sz="0" w:space="0" w:color="auto"/>
                                <w:right w:val="none" w:sz="0" w:space="0" w:color="auto"/>
                              </w:divBdr>
                              <w:divsChild>
                                <w:div w:id="1121268615">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727139796">
      <w:bodyDiv w:val="1"/>
      <w:marLeft w:val="0"/>
      <w:marRight w:val="0"/>
      <w:marTop w:val="0"/>
      <w:marBottom w:val="0"/>
      <w:divBdr>
        <w:top w:val="none" w:sz="0" w:space="0" w:color="auto"/>
        <w:left w:val="none" w:sz="0" w:space="0" w:color="auto"/>
        <w:bottom w:val="none" w:sz="0" w:space="0" w:color="auto"/>
        <w:right w:val="none" w:sz="0" w:space="0" w:color="auto"/>
      </w:divBdr>
    </w:div>
    <w:div w:id="1806653925">
      <w:bodyDiv w:val="1"/>
      <w:marLeft w:val="0"/>
      <w:marRight w:val="0"/>
      <w:marTop w:val="0"/>
      <w:marBottom w:val="0"/>
      <w:divBdr>
        <w:top w:val="none" w:sz="0" w:space="0" w:color="auto"/>
        <w:left w:val="none" w:sz="0" w:space="0" w:color="auto"/>
        <w:bottom w:val="none" w:sz="0" w:space="0" w:color="auto"/>
        <w:right w:val="none" w:sz="0" w:space="0" w:color="auto"/>
      </w:divBdr>
    </w:div>
    <w:div w:id="1818305874">
      <w:bodyDiv w:val="1"/>
      <w:marLeft w:val="0"/>
      <w:marRight w:val="0"/>
      <w:marTop w:val="0"/>
      <w:marBottom w:val="0"/>
      <w:divBdr>
        <w:top w:val="none" w:sz="0" w:space="0" w:color="auto"/>
        <w:left w:val="none" w:sz="0" w:space="0" w:color="auto"/>
        <w:bottom w:val="none" w:sz="0" w:space="0" w:color="auto"/>
        <w:right w:val="none" w:sz="0" w:space="0" w:color="auto"/>
      </w:divBdr>
    </w:div>
    <w:div w:id="1964338775">
      <w:bodyDiv w:val="1"/>
      <w:marLeft w:val="0"/>
      <w:marRight w:val="0"/>
      <w:marTop w:val="0"/>
      <w:marBottom w:val="0"/>
      <w:divBdr>
        <w:top w:val="none" w:sz="0" w:space="0" w:color="auto"/>
        <w:left w:val="none" w:sz="0" w:space="0" w:color="auto"/>
        <w:bottom w:val="none" w:sz="0" w:space="0" w:color="auto"/>
        <w:right w:val="none" w:sz="0" w:space="0" w:color="auto"/>
      </w:divBdr>
    </w:div>
    <w:div w:id="1980913214">
      <w:bodyDiv w:val="1"/>
      <w:marLeft w:val="0"/>
      <w:marRight w:val="0"/>
      <w:marTop w:val="0"/>
      <w:marBottom w:val="0"/>
      <w:divBdr>
        <w:top w:val="none" w:sz="0" w:space="0" w:color="auto"/>
        <w:left w:val="none" w:sz="0" w:space="0" w:color="auto"/>
        <w:bottom w:val="none" w:sz="0" w:space="0" w:color="auto"/>
        <w:right w:val="none" w:sz="0" w:space="0" w:color="auto"/>
      </w:divBdr>
    </w:div>
    <w:div w:id="2018577265">
      <w:bodyDiv w:val="1"/>
      <w:marLeft w:val="0"/>
      <w:marRight w:val="0"/>
      <w:marTop w:val="0"/>
      <w:marBottom w:val="0"/>
      <w:divBdr>
        <w:top w:val="none" w:sz="0" w:space="0" w:color="auto"/>
        <w:left w:val="none" w:sz="0" w:space="0" w:color="auto"/>
        <w:bottom w:val="none" w:sz="0" w:space="0" w:color="auto"/>
        <w:right w:val="none" w:sz="0" w:space="0" w:color="auto"/>
      </w:divBdr>
    </w:div>
    <w:div w:id="2023048788">
      <w:bodyDiv w:val="1"/>
      <w:marLeft w:val="0"/>
      <w:marRight w:val="0"/>
      <w:marTop w:val="0"/>
      <w:marBottom w:val="0"/>
      <w:divBdr>
        <w:top w:val="none" w:sz="0" w:space="0" w:color="auto"/>
        <w:left w:val="none" w:sz="0" w:space="0" w:color="auto"/>
        <w:bottom w:val="none" w:sz="0" w:space="0" w:color="auto"/>
        <w:right w:val="none" w:sz="0" w:space="0" w:color="auto"/>
      </w:divBdr>
      <w:divsChild>
        <w:div w:id="1832669950">
          <w:marLeft w:val="0"/>
          <w:marRight w:val="0"/>
          <w:marTop w:val="0"/>
          <w:marBottom w:val="0"/>
          <w:divBdr>
            <w:top w:val="none" w:sz="0" w:space="0" w:color="auto"/>
            <w:left w:val="none" w:sz="0" w:space="0" w:color="auto"/>
            <w:bottom w:val="none" w:sz="0" w:space="0" w:color="auto"/>
            <w:right w:val="none" w:sz="0" w:space="0" w:color="auto"/>
          </w:divBdr>
          <w:divsChild>
            <w:div w:id="1651134793">
              <w:marLeft w:val="0"/>
              <w:marRight w:val="0"/>
              <w:marTop w:val="0"/>
              <w:marBottom w:val="0"/>
              <w:divBdr>
                <w:top w:val="none" w:sz="0" w:space="0" w:color="auto"/>
                <w:left w:val="none" w:sz="0" w:space="0" w:color="auto"/>
                <w:bottom w:val="none" w:sz="0" w:space="0" w:color="auto"/>
                <w:right w:val="none" w:sz="0" w:space="0" w:color="auto"/>
              </w:divBdr>
              <w:divsChild>
                <w:div w:id="1273132096">
                  <w:marLeft w:val="0"/>
                  <w:marRight w:val="0"/>
                  <w:marTop w:val="0"/>
                  <w:marBottom w:val="0"/>
                  <w:divBdr>
                    <w:top w:val="none" w:sz="0" w:space="0" w:color="auto"/>
                    <w:left w:val="none" w:sz="0" w:space="0" w:color="auto"/>
                    <w:bottom w:val="none" w:sz="0" w:space="0" w:color="auto"/>
                    <w:right w:val="none" w:sz="0" w:space="0" w:color="auto"/>
                  </w:divBdr>
                  <w:divsChild>
                    <w:div w:id="1920402691">
                      <w:marLeft w:val="0"/>
                      <w:marRight w:val="0"/>
                      <w:marTop w:val="0"/>
                      <w:marBottom w:val="0"/>
                      <w:divBdr>
                        <w:top w:val="none" w:sz="0" w:space="0" w:color="auto"/>
                        <w:left w:val="none" w:sz="0" w:space="0" w:color="auto"/>
                        <w:bottom w:val="none" w:sz="0" w:space="0" w:color="auto"/>
                        <w:right w:val="none" w:sz="0" w:space="0" w:color="auto"/>
                      </w:divBdr>
                      <w:divsChild>
                        <w:div w:id="299116806">
                          <w:marLeft w:val="0"/>
                          <w:marRight w:val="0"/>
                          <w:marTop w:val="0"/>
                          <w:marBottom w:val="0"/>
                          <w:divBdr>
                            <w:top w:val="none" w:sz="0" w:space="0" w:color="auto"/>
                            <w:left w:val="none" w:sz="0" w:space="0" w:color="auto"/>
                            <w:bottom w:val="none" w:sz="0" w:space="0" w:color="auto"/>
                            <w:right w:val="none" w:sz="0" w:space="0" w:color="auto"/>
                          </w:divBdr>
                          <w:divsChild>
                            <w:div w:id="1292861396">
                              <w:marLeft w:val="0"/>
                              <w:marRight w:val="0"/>
                              <w:marTop w:val="0"/>
                              <w:marBottom w:val="0"/>
                              <w:divBdr>
                                <w:top w:val="none" w:sz="0" w:space="0" w:color="auto"/>
                                <w:left w:val="none" w:sz="0" w:space="0" w:color="auto"/>
                                <w:bottom w:val="none" w:sz="0" w:space="0" w:color="auto"/>
                                <w:right w:val="none" w:sz="0" w:space="0" w:color="auto"/>
                              </w:divBdr>
                              <w:divsChild>
                                <w:div w:id="449861577">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024629148">
      <w:bodyDiv w:val="1"/>
      <w:marLeft w:val="0"/>
      <w:marRight w:val="0"/>
      <w:marTop w:val="0"/>
      <w:marBottom w:val="0"/>
      <w:divBdr>
        <w:top w:val="none" w:sz="0" w:space="0" w:color="auto"/>
        <w:left w:val="none" w:sz="0" w:space="0" w:color="auto"/>
        <w:bottom w:val="none" w:sz="0" w:space="0" w:color="auto"/>
        <w:right w:val="none" w:sz="0" w:space="0" w:color="auto"/>
      </w:divBdr>
    </w:div>
    <w:div w:id="2039961533">
      <w:bodyDiv w:val="1"/>
      <w:marLeft w:val="0"/>
      <w:marRight w:val="0"/>
      <w:marTop w:val="0"/>
      <w:marBottom w:val="0"/>
      <w:divBdr>
        <w:top w:val="none" w:sz="0" w:space="0" w:color="auto"/>
        <w:left w:val="none" w:sz="0" w:space="0" w:color="auto"/>
        <w:bottom w:val="none" w:sz="0" w:space="0" w:color="auto"/>
        <w:right w:val="none" w:sz="0" w:space="0" w:color="auto"/>
      </w:divBdr>
    </w:div>
    <w:div w:id="2100977221">
      <w:bodyDiv w:val="1"/>
      <w:marLeft w:val="0"/>
      <w:marRight w:val="0"/>
      <w:marTop w:val="0"/>
      <w:marBottom w:val="0"/>
      <w:divBdr>
        <w:top w:val="none" w:sz="0" w:space="0" w:color="auto"/>
        <w:left w:val="none" w:sz="0" w:space="0" w:color="auto"/>
        <w:bottom w:val="none" w:sz="0" w:space="0" w:color="auto"/>
        <w:right w:val="none" w:sz="0" w:space="0" w:color="auto"/>
      </w:divBdr>
    </w:div>
    <w:div w:id="2131849967">
      <w:bodyDiv w:val="1"/>
      <w:marLeft w:val="0"/>
      <w:marRight w:val="0"/>
      <w:marTop w:val="0"/>
      <w:marBottom w:val="0"/>
      <w:divBdr>
        <w:top w:val="none" w:sz="0" w:space="0" w:color="auto"/>
        <w:left w:val="none" w:sz="0" w:space="0" w:color="auto"/>
        <w:bottom w:val="none" w:sz="0" w:space="0" w:color="auto"/>
        <w:right w:val="none" w:sz="0" w:space="0" w:color="auto"/>
      </w:divBdr>
    </w:div>
    <w:div w:id="2135714499">
      <w:bodyDiv w:val="1"/>
      <w:marLeft w:val="0"/>
      <w:marRight w:val="0"/>
      <w:marTop w:val="0"/>
      <w:marBottom w:val="0"/>
      <w:divBdr>
        <w:top w:val="none" w:sz="0" w:space="0" w:color="auto"/>
        <w:left w:val="none" w:sz="0" w:space="0" w:color="auto"/>
        <w:bottom w:val="none" w:sz="0" w:space="0" w:color="auto"/>
        <w:right w:val="none" w:sz="0" w:space="0" w:color="auto"/>
      </w:divBdr>
    </w:div>
    <w:div w:id="21420697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www.opzp.sk/projekty/mapa-vzorovych-uspesne-realizovanych-projektov/" TargetMode="External"/><Relationship Id="rId21" Type="http://schemas.openxmlformats.org/officeDocument/2006/relationships/hyperlink" Target="http://www.opzp.sk/vyzvy/harmonogram-vyziev/" TargetMode="External"/><Relationship Id="rId42" Type="http://schemas.openxmlformats.org/officeDocument/2006/relationships/chart" Target="charts/chart4.xml"/><Relationship Id="rId47" Type="http://schemas.openxmlformats.org/officeDocument/2006/relationships/hyperlink" Target="http://www.opzp.sk/projekty/mapa-vzorovych-uspesne-realizovanych-projektov/" TargetMode="External"/><Relationship Id="rId63" Type="http://schemas.openxmlformats.org/officeDocument/2006/relationships/hyperlink" Target="http://www.ipcc-nggip.iges.or.jp/public/index.html" TargetMode="External"/><Relationship Id="rId68" Type="http://schemas.openxmlformats.org/officeDocument/2006/relationships/hyperlink" Target="http://www.minzp.sk" TargetMode="External"/><Relationship Id="rId84" Type="http://schemas.openxmlformats.org/officeDocument/2006/relationships/hyperlink" Target="http://www.repis.sk" TargetMode="External"/><Relationship Id="rId89" Type="http://schemas.openxmlformats.org/officeDocument/2006/relationships/hyperlink" Target="http://www.opzp.sk" TargetMode="External"/><Relationship Id="rId7" Type="http://schemas.openxmlformats.org/officeDocument/2006/relationships/footnotes" Target="footnotes.xml"/><Relationship Id="rId71" Type="http://schemas.openxmlformats.org/officeDocument/2006/relationships/image" Target="media/image5.png"/><Relationship Id="rId92" Type="http://schemas.openxmlformats.org/officeDocument/2006/relationships/hyperlink" Target="mailto:opc@enviro.gov.sk" TargetMode="External"/><Relationship Id="rId2" Type="http://schemas.openxmlformats.org/officeDocument/2006/relationships/numbering" Target="numbering.xml"/><Relationship Id="rId16" Type="http://schemas.openxmlformats.org/officeDocument/2006/relationships/hyperlink" Target="http://www.opzp.sk" TargetMode="External"/><Relationship Id="rId29" Type="http://schemas.openxmlformats.org/officeDocument/2006/relationships/hyperlink" Target="http://www.opzp.sk" TargetMode="External"/><Relationship Id="rId11" Type="http://schemas.openxmlformats.org/officeDocument/2006/relationships/image" Target="media/image20.jpeg"/><Relationship Id="rId24" Type="http://schemas.openxmlformats.org/officeDocument/2006/relationships/hyperlink" Target="http://www.opzp.sk/projekty/zoznam-prijimatelov/" TargetMode="External"/><Relationship Id="rId32" Type="http://schemas.openxmlformats.org/officeDocument/2006/relationships/hyperlink" Target="http://www.opzp.sk/implementacia-programu/hodnotenieprogramu/" TargetMode="External"/><Relationship Id="rId37" Type="http://schemas.openxmlformats.org/officeDocument/2006/relationships/chart" Target="charts/chart2.xml"/><Relationship Id="rId40" Type="http://schemas.openxmlformats.org/officeDocument/2006/relationships/hyperlink" Target="http://www.opzp.sk/projekty/mapa-vzorovych-uspesne-realizovanych-projektov/" TargetMode="External"/><Relationship Id="rId45" Type="http://schemas.openxmlformats.org/officeDocument/2006/relationships/chart" Target="charts/chart5.xml"/><Relationship Id="rId53" Type="http://schemas.openxmlformats.org/officeDocument/2006/relationships/chart" Target="charts/chart11.xml"/><Relationship Id="rId58" Type="http://schemas.openxmlformats.org/officeDocument/2006/relationships/chart" Target="charts/chart14.xml"/><Relationship Id="rId66" Type="http://schemas.openxmlformats.org/officeDocument/2006/relationships/hyperlink" Target="http://www.opzp.sk" TargetMode="External"/><Relationship Id="rId74" Type="http://schemas.openxmlformats.org/officeDocument/2006/relationships/hyperlink" Target="http://www.opzp.sk" TargetMode="External"/><Relationship Id="rId79" Type="http://schemas.openxmlformats.org/officeDocument/2006/relationships/hyperlink" Target="http://www.repis.sk" TargetMode="External"/><Relationship Id="rId87" Type="http://schemas.openxmlformats.org/officeDocument/2006/relationships/hyperlink" Target="http://www.euroactiv.sk" TargetMode="External"/><Relationship Id="rId102" Type="http://schemas.openxmlformats.org/officeDocument/2006/relationships/fontTable" Target="fontTable.xml"/><Relationship Id="rId5" Type="http://schemas.openxmlformats.org/officeDocument/2006/relationships/settings" Target="settings.xml"/><Relationship Id="rId61" Type="http://schemas.openxmlformats.org/officeDocument/2006/relationships/hyperlink" Target="http://www.romovia.vlada.gov.sk" TargetMode="External"/><Relationship Id="rId82" Type="http://schemas.openxmlformats.org/officeDocument/2006/relationships/hyperlink" Target="http://www.repis.sk" TargetMode="External"/><Relationship Id="rId90" Type="http://schemas.openxmlformats.org/officeDocument/2006/relationships/hyperlink" Target="http://www.repis.sk" TargetMode="External"/><Relationship Id="rId95" Type="http://schemas.openxmlformats.org/officeDocument/2006/relationships/hyperlink" Target="http://www.opzp.sk" TargetMode="External"/><Relationship Id="rId19" Type="http://schemas.openxmlformats.org/officeDocument/2006/relationships/hyperlink" Target="http://www.opzp.sk/projekty/zoznamy-opzp/" TargetMode="External"/><Relationship Id="rId14" Type="http://schemas.openxmlformats.org/officeDocument/2006/relationships/hyperlink" Target="http://www.opzp.sk" TargetMode="External"/><Relationship Id="rId22" Type="http://schemas.openxmlformats.org/officeDocument/2006/relationships/hyperlink" Target="http://www.opzp.sk/projekty/mapa-vzorovych-uspesne-realizovanych-projektov/" TargetMode="External"/><Relationship Id="rId27" Type="http://schemas.openxmlformats.org/officeDocument/2006/relationships/hyperlink" Target="http://www.opzp.sk/projekty/mapa-vzorovych-uspesne-realizovanych-projektov/" TargetMode="External"/><Relationship Id="rId30" Type="http://schemas.openxmlformats.org/officeDocument/2006/relationships/hyperlink" Target="http://www.opzp.sk" TargetMode="External"/><Relationship Id="rId35" Type="http://schemas.openxmlformats.org/officeDocument/2006/relationships/hyperlink" Target="http://www.opzp.sk/projekty/zoznam-prijimatelov/" TargetMode="External"/><Relationship Id="rId43" Type="http://schemas.openxmlformats.org/officeDocument/2006/relationships/hyperlink" Target="http://www.opzp.sk/projekty/mapa-vzorovych-uspesne-realizovanych-projektov/" TargetMode="External"/><Relationship Id="rId48" Type="http://schemas.openxmlformats.org/officeDocument/2006/relationships/hyperlink" Target="http://www.opzp.sk/projekty/zoznam-prijimatelov/" TargetMode="External"/><Relationship Id="rId56" Type="http://schemas.openxmlformats.org/officeDocument/2006/relationships/chart" Target="charts/chart12.xml"/><Relationship Id="rId64" Type="http://schemas.openxmlformats.org/officeDocument/2006/relationships/hyperlink" Target="http://www.nsrr.sk" TargetMode="External"/><Relationship Id="rId69" Type="http://schemas.openxmlformats.org/officeDocument/2006/relationships/hyperlink" Target="http://www.nsrr.sk" TargetMode="External"/><Relationship Id="rId77" Type="http://schemas.openxmlformats.org/officeDocument/2006/relationships/image" Target="media/image8.png"/><Relationship Id="rId100" Type="http://schemas.openxmlformats.org/officeDocument/2006/relationships/footer" Target="footer2.xml"/><Relationship Id="rId8" Type="http://schemas.openxmlformats.org/officeDocument/2006/relationships/endnotes" Target="endnotes.xml"/><Relationship Id="rId51" Type="http://schemas.openxmlformats.org/officeDocument/2006/relationships/chart" Target="charts/chart9.xml"/><Relationship Id="rId72" Type="http://schemas.openxmlformats.org/officeDocument/2006/relationships/image" Target="media/image6.png"/><Relationship Id="rId80" Type="http://schemas.openxmlformats.org/officeDocument/2006/relationships/hyperlink" Target="http://www.repis.sk" TargetMode="External"/><Relationship Id="rId85" Type="http://schemas.openxmlformats.org/officeDocument/2006/relationships/hyperlink" Target="http://www.opzp.sk" TargetMode="External"/><Relationship Id="rId93" Type="http://schemas.openxmlformats.org/officeDocument/2006/relationships/hyperlink" Target="http://www.opzp.sk" TargetMode="External"/><Relationship Id="rId98" Type="http://schemas.openxmlformats.org/officeDocument/2006/relationships/header" Target="header1.xml"/><Relationship Id="rId3" Type="http://schemas.openxmlformats.org/officeDocument/2006/relationships/styles" Target="styles.xml"/><Relationship Id="rId12" Type="http://schemas.openxmlformats.org/officeDocument/2006/relationships/image" Target="media/image3.png"/><Relationship Id="rId17" Type="http://schemas.openxmlformats.org/officeDocument/2006/relationships/hyperlink" Target="http://www.opzp.sk" TargetMode="External"/><Relationship Id="rId25" Type="http://schemas.openxmlformats.org/officeDocument/2006/relationships/hyperlink" Target="http://www.opzp.sk/projekty/mapa-vzorovych-uspesne-realizovanych-projektov/" TargetMode="External"/><Relationship Id="rId33" Type="http://schemas.openxmlformats.org/officeDocument/2006/relationships/hyperlink" Target="http://www.opzp.sk" TargetMode="External"/><Relationship Id="rId38" Type="http://schemas.openxmlformats.org/officeDocument/2006/relationships/hyperlink" Target="http://www.opzp.sk/implementacia-programu/hodnotenie-programu/" TargetMode="External"/><Relationship Id="rId46" Type="http://schemas.openxmlformats.org/officeDocument/2006/relationships/chart" Target="charts/chart6.xml"/><Relationship Id="rId59" Type="http://schemas.openxmlformats.org/officeDocument/2006/relationships/hyperlink" Target="http://www.opzp.sk/projekty/zoznam-prijimatelov/" TargetMode="External"/><Relationship Id="rId67" Type="http://schemas.openxmlformats.org/officeDocument/2006/relationships/hyperlink" Target="http://www.repis.sk" TargetMode="External"/><Relationship Id="rId103" Type="http://schemas.openxmlformats.org/officeDocument/2006/relationships/theme" Target="theme/theme1.xml"/><Relationship Id="rId20" Type="http://schemas.openxmlformats.org/officeDocument/2006/relationships/hyperlink" Target="http://www.opzp.sk/vyzvy/harmonogram-vyziev/" TargetMode="External"/><Relationship Id="rId41" Type="http://schemas.openxmlformats.org/officeDocument/2006/relationships/hyperlink" Target="http://www.opzp.sk/projekty/zoznam-prijimatelov/" TargetMode="External"/><Relationship Id="rId54" Type="http://schemas.openxmlformats.org/officeDocument/2006/relationships/hyperlink" Target="http://www.opzp.sk/projekty/mapa-vzorovych-uspesne-realizovanych-projektov/" TargetMode="External"/><Relationship Id="rId62" Type="http://schemas.openxmlformats.org/officeDocument/2006/relationships/hyperlink" Target="http://www.gender.gov.sk" TargetMode="External"/><Relationship Id="rId70" Type="http://schemas.openxmlformats.org/officeDocument/2006/relationships/hyperlink" Target="http://www.opzp.sk" TargetMode="External"/><Relationship Id="rId75" Type="http://schemas.openxmlformats.org/officeDocument/2006/relationships/hyperlink" Target="http://www.minzp.sk" TargetMode="External"/><Relationship Id="rId83" Type="http://schemas.openxmlformats.org/officeDocument/2006/relationships/hyperlink" Target="http://www.repis.sk" TargetMode="External"/><Relationship Id="rId88" Type="http://schemas.openxmlformats.org/officeDocument/2006/relationships/hyperlink" Target="http://www.repis.sk" TargetMode="External"/><Relationship Id="rId91" Type="http://schemas.openxmlformats.org/officeDocument/2006/relationships/hyperlink" Target="mailto:info@enviro.gov.sk" TargetMode="External"/><Relationship Id="rId96" Type="http://schemas.openxmlformats.org/officeDocument/2006/relationships/hyperlink" Target="http://www.opzp.sk/projekty/mapa-vzorovych-uspesne-realizovanych-projektov/" TargetMode="Externa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yperlink" Target="http://www.opzp.sk" TargetMode="External"/><Relationship Id="rId23" Type="http://schemas.openxmlformats.org/officeDocument/2006/relationships/hyperlink" Target="http://www.opzp.sk/projekty/zoznam-prijimatelov/" TargetMode="External"/><Relationship Id="rId28" Type="http://schemas.openxmlformats.org/officeDocument/2006/relationships/hyperlink" Target="http://www.opzp.sk/" TargetMode="External"/><Relationship Id="rId36" Type="http://schemas.openxmlformats.org/officeDocument/2006/relationships/chart" Target="charts/chart1.xml"/><Relationship Id="rId49" Type="http://schemas.openxmlformats.org/officeDocument/2006/relationships/chart" Target="charts/chart7.xml"/><Relationship Id="rId57" Type="http://schemas.openxmlformats.org/officeDocument/2006/relationships/chart" Target="charts/chart13.xml"/><Relationship Id="rId10" Type="http://schemas.openxmlformats.org/officeDocument/2006/relationships/image" Target="media/image2.jpeg"/><Relationship Id="rId31" Type="http://schemas.openxmlformats.org/officeDocument/2006/relationships/hyperlink" Target="http://www.opzp.sk" TargetMode="External"/><Relationship Id="rId44" Type="http://schemas.openxmlformats.org/officeDocument/2006/relationships/hyperlink" Target="http://www.opzp.sk/projekty/zoznam-prijimatelov/" TargetMode="External"/><Relationship Id="rId52" Type="http://schemas.openxmlformats.org/officeDocument/2006/relationships/chart" Target="charts/chart10.xml"/><Relationship Id="rId60" Type="http://schemas.openxmlformats.org/officeDocument/2006/relationships/chart" Target="charts/chart15.xml"/><Relationship Id="rId65" Type="http://schemas.openxmlformats.org/officeDocument/2006/relationships/hyperlink" Target="http://www.opzp.sk" TargetMode="External"/><Relationship Id="rId73" Type="http://schemas.openxmlformats.org/officeDocument/2006/relationships/image" Target="media/image7.png"/><Relationship Id="rId78" Type="http://schemas.openxmlformats.org/officeDocument/2006/relationships/hyperlink" Target="http://www.nsrr.sk" TargetMode="External"/><Relationship Id="rId81" Type="http://schemas.openxmlformats.org/officeDocument/2006/relationships/hyperlink" Target="http://www.opzp.sk" TargetMode="External"/><Relationship Id="rId86" Type="http://schemas.openxmlformats.org/officeDocument/2006/relationships/hyperlink" Target="http://www.opzp.sk" TargetMode="External"/><Relationship Id="rId94" Type="http://schemas.openxmlformats.org/officeDocument/2006/relationships/hyperlink" Target="http://www.opzp.sk" TargetMode="External"/><Relationship Id="rId99" Type="http://schemas.openxmlformats.org/officeDocument/2006/relationships/footer" Target="footer1.xml"/><Relationship Id="rId101" Type="http://schemas.openxmlformats.org/officeDocument/2006/relationships/footer" Target="footer3.xml"/><Relationship Id="rId4" Type="http://schemas.microsoft.com/office/2007/relationships/stylesWithEffects" Target="stylesWithEffects.xml"/><Relationship Id="rId9" Type="http://schemas.openxmlformats.org/officeDocument/2006/relationships/image" Target="media/image1.png"/><Relationship Id="rId13" Type="http://schemas.openxmlformats.org/officeDocument/2006/relationships/image" Target="media/image4.jpeg"/><Relationship Id="rId18" Type="http://schemas.openxmlformats.org/officeDocument/2006/relationships/hyperlink" Target="http://www.nsrr.sk" TargetMode="External"/><Relationship Id="rId39" Type="http://schemas.openxmlformats.org/officeDocument/2006/relationships/chart" Target="charts/chart3.xml"/><Relationship Id="rId34" Type="http://schemas.openxmlformats.org/officeDocument/2006/relationships/hyperlink" Target="http://www.opzp.sk/projekty/mapa-vzorovych-uspesne-realizovanych-projektov/" TargetMode="External"/><Relationship Id="rId50" Type="http://schemas.openxmlformats.org/officeDocument/2006/relationships/chart" Target="charts/chart8.xml"/><Relationship Id="rId55" Type="http://schemas.openxmlformats.org/officeDocument/2006/relationships/hyperlink" Target="http://www.opzp.sk/projekty/zoznam-prijimatelov/" TargetMode="External"/><Relationship Id="rId76" Type="http://schemas.openxmlformats.org/officeDocument/2006/relationships/hyperlink" Target="http://www.opzp.sk" TargetMode="External"/><Relationship Id="rId97" Type="http://schemas.openxmlformats.org/officeDocument/2006/relationships/hyperlink" Target="http://www.opzp.sk/projekty/zoznamy-opzp/zoznam-prijimatelov/" TargetMode="External"/></Relationships>
</file>

<file path=word/charts/_rels/chart1.xml.rels><?xml version="1.0" encoding="UTF-8" standalone="yes"?>
<Relationships xmlns="http://schemas.openxmlformats.org/package/2006/relationships"><Relationship Id="rId2" Type="http://schemas.openxmlformats.org/officeDocument/2006/relationships/package" Target="../embeddings/Pracovn__h_rok_programu_Microsoft_Excel1.xlsx"/><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2" Type="http://schemas.openxmlformats.org/officeDocument/2006/relationships/package" Target="../embeddings/Pracovn__h_rok_programu_Microsoft_Excel2.xlsx"/><Relationship Id="rId1" Type="http://schemas.openxmlformats.org/officeDocument/2006/relationships/themeOverride" Target="../theme/themeOverride2.xml"/></Relationships>
</file>

<file path=word/charts/_rels/chart3.xml.rels><?xml version="1.0" encoding="UTF-8" standalone="yes"?>
<Relationships xmlns="http://schemas.openxmlformats.org/package/2006/relationships"><Relationship Id="rId2" Type="http://schemas.openxmlformats.org/officeDocument/2006/relationships/package" Target="../embeddings/Pracovn__h_rok_programu_Microsoft_Excel3.xlsx"/><Relationship Id="rId1" Type="http://schemas.openxmlformats.org/officeDocument/2006/relationships/themeOverride" Target="../theme/themeOverride3.xml"/></Relationships>
</file>

<file path=word/charts/_rels/chart4.xml.rels><?xml version="1.0" encoding="UTF-8" standalone="yes"?>
<Relationships xmlns="http://schemas.openxmlformats.org/package/2006/relationships"><Relationship Id="rId2" Type="http://schemas.openxmlformats.org/officeDocument/2006/relationships/package" Target="../embeddings/Pracovn__h_rok_programu_Microsoft_Excel4.xlsx"/><Relationship Id="rId1" Type="http://schemas.openxmlformats.org/officeDocument/2006/relationships/themeOverride" Target="../theme/themeOverride4.xml"/></Relationships>
</file>

<file path=word/charts/_rels/chart5.xml.rels><?xml version="1.0" encoding="UTF-8" standalone="yes"?>
<Relationships xmlns="http://schemas.openxmlformats.org/package/2006/relationships"><Relationship Id="rId2" Type="http://schemas.openxmlformats.org/officeDocument/2006/relationships/package" Target="../embeddings/Pracovn__h_rok_programu_Microsoft_Excel5.xlsx"/><Relationship Id="rId1" Type="http://schemas.openxmlformats.org/officeDocument/2006/relationships/themeOverride" Target="../theme/themeOverride5.xml"/></Relationships>
</file>

<file path=word/charts/_rels/chart6.xml.rels><?xml version="1.0" encoding="UTF-8" standalone="yes"?>
<Relationships xmlns="http://schemas.openxmlformats.org/package/2006/relationships"><Relationship Id="rId2" Type="http://schemas.openxmlformats.org/officeDocument/2006/relationships/package" Target="../embeddings/Pracovn__h_rok_programu_Microsoft_Excel6.xlsx"/><Relationship Id="rId1" Type="http://schemas.openxmlformats.org/officeDocument/2006/relationships/themeOverride" Target="../theme/themeOverride6.xml"/></Relationships>
</file>

<file path=word/charts/_rels/chart7.xml.rels><?xml version="1.0" encoding="UTF-8" standalone="yes"?>
<Relationships xmlns="http://schemas.openxmlformats.org/package/2006/relationships"><Relationship Id="rId2" Type="http://schemas.openxmlformats.org/officeDocument/2006/relationships/package" Target="../embeddings/Pracovn__h_rok_programu_Microsoft_Excel7.xlsx"/><Relationship Id="rId1" Type="http://schemas.openxmlformats.org/officeDocument/2006/relationships/themeOverride" Target="../theme/themeOverride7.xml"/></Relationships>
</file>

<file path=word/charts/_rels/chart8.xml.rels><?xml version="1.0" encoding="UTF-8" standalone="yes"?>
<Relationships xmlns="http://schemas.openxmlformats.org/package/2006/relationships"><Relationship Id="rId2" Type="http://schemas.openxmlformats.org/officeDocument/2006/relationships/package" Target="../embeddings/Pracovn__h_rok_programu_Microsoft_Excel8.xlsx"/><Relationship Id="rId1" Type="http://schemas.openxmlformats.org/officeDocument/2006/relationships/themeOverride" Target="../theme/themeOverride8.xml"/></Relationships>
</file>

<file path=word/charts/_rels/chart9.xml.rels><?xml version="1.0" encoding="UTF-8" standalone="yes"?>
<Relationships xmlns="http://schemas.openxmlformats.org/package/2006/relationships"><Relationship Id="rId2" Type="http://schemas.openxmlformats.org/officeDocument/2006/relationships/package" Target="../embeddings/Pracovn__h_rok_programu_Microsoft_Excel9.xlsx"/><Relationship Id="rId1" Type="http://schemas.openxmlformats.org/officeDocument/2006/relationships/themeOverride" Target="../theme/themeOverride9.xml"/></Relationships>
</file>

<file path=word/charts/_rels/chart10.xml.rels><?xml version="1.0" encoding="UTF-8" standalone="yes"?>
<Relationships xmlns="http://schemas.openxmlformats.org/package/2006/relationships"><Relationship Id="rId1" Type="http://schemas.openxmlformats.org/officeDocument/2006/relationships/package" Target="../embeddings/Pracovn__h_rok_programu_Microsoft_Excel10.xlsx"/></Relationships>
</file>

<file path=word/charts/_rels/chart11.xml.rels><?xml version="1.0" encoding="UTF-8" standalone="yes"?>
<Relationships xmlns="http://schemas.openxmlformats.org/package/2006/relationships"><Relationship Id="rId2" Type="http://schemas.openxmlformats.org/officeDocument/2006/relationships/package" Target="../embeddings/Pracovn__h_rok_programu_Microsoft_Excel11.xlsx"/><Relationship Id="rId1" Type="http://schemas.openxmlformats.org/officeDocument/2006/relationships/themeOverride" Target="../theme/themeOverride10.xml"/></Relationships>
</file>

<file path=word/charts/_rels/chart12.xml.rels><?xml version="1.0" encoding="UTF-8" standalone="yes"?>
<Relationships xmlns="http://schemas.openxmlformats.org/package/2006/relationships"><Relationship Id="rId2" Type="http://schemas.openxmlformats.org/officeDocument/2006/relationships/package" Target="../embeddings/Pracovn__h_rok_programu_Microsoft_Excel12.xlsx"/><Relationship Id="rId1" Type="http://schemas.openxmlformats.org/officeDocument/2006/relationships/themeOverride" Target="../theme/themeOverride11.xml"/></Relationships>
</file>

<file path=word/charts/_rels/chart13.xml.rels><?xml version="1.0" encoding="UTF-8" standalone="yes"?>
<Relationships xmlns="http://schemas.openxmlformats.org/package/2006/relationships"><Relationship Id="rId2" Type="http://schemas.openxmlformats.org/officeDocument/2006/relationships/package" Target="../embeddings/Pracovn__h_rok_programu_Microsoft_Excel13.xlsx"/><Relationship Id="rId1" Type="http://schemas.openxmlformats.org/officeDocument/2006/relationships/themeOverride" Target="../theme/themeOverride12.xml"/></Relationships>
</file>

<file path=word/charts/_rels/chart14.xml.rels><?xml version="1.0" encoding="UTF-8" standalone="yes"?>
<Relationships xmlns="http://schemas.openxmlformats.org/package/2006/relationships"><Relationship Id="rId2" Type="http://schemas.openxmlformats.org/officeDocument/2006/relationships/package" Target="../embeddings/Pracovn__h_rok_programu_Microsoft_Excel14.xlsx"/><Relationship Id="rId1" Type="http://schemas.openxmlformats.org/officeDocument/2006/relationships/themeOverride" Target="../theme/themeOverride13.xml"/></Relationships>
</file>

<file path=word/charts/_rels/chart15.xml.rels><?xml version="1.0" encoding="UTF-8" standalone="yes"?>
<Relationships xmlns="http://schemas.openxmlformats.org/package/2006/relationships"><Relationship Id="rId2" Type="http://schemas.openxmlformats.org/officeDocument/2006/relationships/package" Target="../embeddings/Pracovn__h_rok_programu_Microsoft_Excel15.xlsx"/><Relationship Id="rId1" Type="http://schemas.openxmlformats.org/officeDocument/2006/relationships/themeOverride" Target="../theme/themeOverride14.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sk-SK"/>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barChart>
        <c:barDir val="bar"/>
        <c:grouping val="clustered"/>
        <c:varyColors val="0"/>
        <c:ser>
          <c:idx val="0"/>
          <c:order val="0"/>
          <c:tx>
            <c:strRef>
              <c:f>'PO1-HT45'!$C$1</c:f>
              <c:strCache>
                <c:ptCount val="1"/>
                <c:pt idx="0">
                  <c:v>Celková alokácia</c:v>
                </c:pt>
              </c:strCache>
            </c:strRef>
          </c:tx>
          <c:invertIfNegative val="0"/>
          <c:cat>
            <c:strRef>
              <c:f>'PO1-HT45'!$A$2:$B$6</c:f>
              <c:strCache>
                <c:ptCount val="3"/>
                <c:pt idx="0">
                  <c:v>HT 45 -Hospodárenie s vodou a jej distribúcia (pitná voda)</c:v>
                </c:pt>
                <c:pt idx="1">
                  <c:v>Dĺžka novovybudovaných rozvodov pitnej vody (bez vodovod.prípojok)</c:v>
                </c:pt>
                <c:pt idx="2">
                  <c:v>Počet obyvateľov pripojených k novovybudovaným rozvodom pitnej vody</c:v>
                </c:pt>
              </c:strCache>
            </c:strRef>
          </c:cat>
          <c:val>
            <c:numRef>
              <c:f>'PO1-HT45'!$C$2:$C$6</c:f>
            </c:numRef>
          </c:val>
        </c:ser>
        <c:ser>
          <c:idx val="1"/>
          <c:order val="1"/>
          <c:tx>
            <c:strRef>
              <c:f>'PO1-HT45'!$D$1</c:f>
              <c:strCache>
                <c:ptCount val="1"/>
                <c:pt idx="0">
                  <c:v>Suma zazmluvnená (EÚ zdroje)/cieľové hodnoty indikátorov zazmluvnených projektov</c:v>
                </c:pt>
              </c:strCache>
            </c:strRef>
          </c:tx>
          <c:invertIfNegative val="0"/>
          <c:cat>
            <c:strRef>
              <c:f>'PO1-HT45'!$A$2:$B$6</c:f>
              <c:strCache>
                <c:ptCount val="3"/>
                <c:pt idx="0">
                  <c:v>HT 45 -Hospodárenie s vodou a jej distribúcia (pitná voda)</c:v>
                </c:pt>
                <c:pt idx="1">
                  <c:v>Dĺžka novovybudovaných rozvodov pitnej vody (bez vodovod.prípojok)</c:v>
                </c:pt>
                <c:pt idx="2">
                  <c:v>Počet obyvateľov pripojených k novovybudovaným rozvodom pitnej vody</c:v>
                </c:pt>
              </c:strCache>
            </c:strRef>
          </c:cat>
          <c:val>
            <c:numRef>
              <c:f>'PO1-HT45'!$D$2:$D$6</c:f>
            </c:numRef>
          </c:val>
        </c:ser>
        <c:ser>
          <c:idx val="2"/>
          <c:order val="2"/>
          <c:tx>
            <c:strRef>
              <c:f>'PO1-HT45'!$E$1</c:f>
              <c:strCache>
                <c:ptCount val="1"/>
                <c:pt idx="0">
                  <c:v>Podiel zazmluvnených projektov na celkovej alokácii - cieľové hodnoty indiktátorov</c:v>
                </c:pt>
              </c:strCache>
            </c:strRef>
          </c:tx>
          <c:spPr>
            <a:solidFill>
              <a:srgbClr val="00B050"/>
            </a:solidFill>
          </c:spPr>
          <c:invertIfNegative val="0"/>
          <c:dPt>
            <c:idx val="0"/>
            <c:invertIfNegative val="0"/>
            <c:bubble3D val="0"/>
            <c:spPr>
              <a:solidFill>
                <a:srgbClr val="C00000"/>
              </a:solidFill>
            </c:spPr>
          </c:dPt>
          <c:dLbls>
            <c:showLegendKey val="0"/>
            <c:showVal val="1"/>
            <c:showCatName val="0"/>
            <c:showSerName val="0"/>
            <c:showPercent val="0"/>
            <c:showBubbleSize val="0"/>
            <c:showLeaderLines val="0"/>
          </c:dLbls>
          <c:cat>
            <c:strRef>
              <c:f>'PO1-HT45'!$A$2:$B$6</c:f>
              <c:strCache>
                <c:ptCount val="3"/>
                <c:pt idx="0">
                  <c:v>HT 45 -Hospodárenie s vodou a jej distribúcia (pitná voda)</c:v>
                </c:pt>
                <c:pt idx="1">
                  <c:v>Dĺžka novovybudovaných rozvodov pitnej vody (bez vodovod.prípojok)</c:v>
                </c:pt>
                <c:pt idx="2">
                  <c:v>Počet obyvateľov pripojených k novovybudovaným rozvodom pitnej vody</c:v>
                </c:pt>
              </c:strCache>
            </c:strRef>
          </c:cat>
          <c:val>
            <c:numRef>
              <c:f>'PO1-HT45'!$E$2:$E$6</c:f>
              <c:numCache>
                <c:formatCode>General</c:formatCode>
                <c:ptCount val="3"/>
                <c:pt idx="0">
                  <c:v>0.62290000000000001</c:v>
                </c:pt>
                <c:pt idx="1">
                  <c:v>0.62</c:v>
                </c:pt>
                <c:pt idx="2">
                  <c:v>5.62</c:v>
                </c:pt>
              </c:numCache>
            </c:numRef>
          </c:val>
        </c:ser>
        <c:ser>
          <c:idx val="3"/>
          <c:order val="3"/>
          <c:tx>
            <c:strRef>
              <c:f>'PO1-HT45'!$F$1</c:f>
              <c:strCache>
                <c:ptCount val="1"/>
                <c:pt idx="0">
                  <c:v>Suma čerpaná  (EÚ zdroje) /merané hodnoty indikátorov zazmluvnených projektov </c:v>
                </c:pt>
              </c:strCache>
            </c:strRef>
          </c:tx>
          <c:invertIfNegative val="0"/>
          <c:cat>
            <c:strRef>
              <c:f>'PO1-HT45'!$A$2:$B$6</c:f>
              <c:strCache>
                <c:ptCount val="3"/>
                <c:pt idx="0">
                  <c:v>HT 45 -Hospodárenie s vodou a jej distribúcia (pitná voda)</c:v>
                </c:pt>
                <c:pt idx="1">
                  <c:v>Dĺžka novovybudovaných rozvodov pitnej vody (bez vodovod.prípojok)</c:v>
                </c:pt>
                <c:pt idx="2">
                  <c:v>Počet obyvateľov pripojených k novovybudovaným rozvodom pitnej vody</c:v>
                </c:pt>
              </c:strCache>
            </c:strRef>
          </c:cat>
          <c:val>
            <c:numRef>
              <c:f>'PO1-HT45'!$F$2:$F$6</c:f>
            </c:numRef>
          </c:val>
        </c:ser>
        <c:ser>
          <c:idx val="4"/>
          <c:order val="4"/>
          <c:tx>
            <c:strRef>
              <c:f>'PO1-HT45'!$G$1</c:f>
              <c:strCache>
                <c:ptCount val="1"/>
                <c:pt idx="0">
                  <c:v>Podiel zazmluvnených projektov na celkovej alokácii - merané hodnoty  indiktátorov</c:v>
                </c:pt>
              </c:strCache>
            </c:strRef>
          </c:tx>
          <c:spPr>
            <a:solidFill>
              <a:srgbClr val="FFFF00"/>
            </a:solidFill>
          </c:spPr>
          <c:invertIfNegative val="0"/>
          <c:dPt>
            <c:idx val="0"/>
            <c:invertIfNegative val="0"/>
            <c:bubble3D val="0"/>
            <c:spPr>
              <a:solidFill>
                <a:srgbClr val="0070C0"/>
              </a:solidFill>
            </c:spPr>
          </c:dPt>
          <c:dLbls>
            <c:txPr>
              <a:bodyPr/>
              <a:lstStyle/>
              <a:p>
                <a:pPr>
                  <a:defRPr sz="900" b="1" i="1"/>
                </a:pPr>
                <a:endParaRPr lang="sk-SK"/>
              </a:p>
            </c:txPr>
            <c:showLegendKey val="0"/>
            <c:showVal val="1"/>
            <c:showCatName val="0"/>
            <c:showSerName val="0"/>
            <c:showPercent val="0"/>
            <c:showBubbleSize val="0"/>
            <c:showLeaderLines val="0"/>
          </c:dLbls>
          <c:cat>
            <c:strRef>
              <c:f>'PO1-HT45'!$A$2:$B$6</c:f>
              <c:strCache>
                <c:ptCount val="3"/>
                <c:pt idx="0">
                  <c:v>HT 45 -Hospodárenie s vodou a jej distribúcia (pitná voda)</c:v>
                </c:pt>
                <c:pt idx="1">
                  <c:v>Dĺžka novovybudovaných rozvodov pitnej vody (bez vodovod.prípojok)</c:v>
                </c:pt>
                <c:pt idx="2">
                  <c:v>Počet obyvateľov pripojených k novovybudovaným rozvodom pitnej vody</c:v>
                </c:pt>
              </c:strCache>
            </c:strRef>
          </c:cat>
          <c:val>
            <c:numRef>
              <c:f>'PO1-HT45'!$G$2:$G$6</c:f>
              <c:numCache>
                <c:formatCode>General</c:formatCode>
                <c:ptCount val="3"/>
                <c:pt idx="0">
                  <c:v>0.3498</c:v>
                </c:pt>
                <c:pt idx="1">
                  <c:v>0.41199999999999998</c:v>
                </c:pt>
                <c:pt idx="2">
                  <c:v>0.14760000000000001</c:v>
                </c:pt>
              </c:numCache>
            </c:numRef>
          </c:val>
        </c:ser>
        <c:dLbls>
          <c:showLegendKey val="0"/>
          <c:showVal val="0"/>
          <c:showCatName val="0"/>
          <c:showSerName val="0"/>
          <c:showPercent val="0"/>
          <c:showBubbleSize val="0"/>
        </c:dLbls>
        <c:gapWidth val="150"/>
        <c:axId val="84062976"/>
        <c:axId val="84064512"/>
      </c:barChart>
      <c:catAx>
        <c:axId val="84062976"/>
        <c:scaling>
          <c:orientation val="minMax"/>
        </c:scaling>
        <c:delete val="0"/>
        <c:axPos val="l"/>
        <c:numFmt formatCode="General" sourceLinked="1"/>
        <c:majorTickMark val="none"/>
        <c:minorTickMark val="none"/>
        <c:tickLblPos val="nextTo"/>
        <c:txPr>
          <a:bodyPr/>
          <a:lstStyle/>
          <a:p>
            <a:pPr>
              <a:defRPr sz="900"/>
            </a:pPr>
            <a:endParaRPr lang="sk-SK"/>
          </a:p>
        </c:txPr>
        <c:crossAx val="84064512"/>
        <c:crosses val="autoZero"/>
        <c:auto val="1"/>
        <c:lblAlgn val="ctr"/>
        <c:lblOffset val="100"/>
        <c:noMultiLvlLbl val="0"/>
      </c:catAx>
      <c:valAx>
        <c:axId val="84064512"/>
        <c:scaling>
          <c:orientation val="minMax"/>
        </c:scaling>
        <c:delete val="1"/>
        <c:axPos val="b"/>
        <c:numFmt formatCode="General" sourceLinked="1"/>
        <c:majorTickMark val="out"/>
        <c:minorTickMark val="none"/>
        <c:tickLblPos val="nextTo"/>
        <c:crossAx val="84062976"/>
        <c:crosses val="autoZero"/>
        <c:crossBetween val="between"/>
      </c:valAx>
    </c:plotArea>
    <c:legend>
      <c:legendPos val="b"/>
      <c:overlay val="0"/>
    </c:legend>
    <c:plotVisOnly val="1"/>
    <c:dispBlanksAs val="gap"/>
    <c:showDLblsOverMax val="0"/>
  </c:chart>
  <c:externalData r:id="rId2">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sk-SK"/>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barChart>
        <c:barDir val="bar"/>
        <c:grouping val="clustered"/>
        <c:varyColors val="0"/>
        <c:ser>
          <c:idx val="4"/>
          <c:order val="0"/>
          <c:tx>
            <c:strRef>
              <c:f>'PO1-HT46'!$G$1</c:f>
              <c:strCache>
                <c:ptCount val="1"/>
                <c:pt idx="0">
                  <c:v>Podiel zazmluvnených projektov na celkovej alokácii - merané hodnoty  indiktátorov</c:v>
                </c:pt>
              </c:strCache>
            </c:strRef>
          </c:tx>
          <c:spPr>
            <a:solidFill>
              <a:srgbClr val="FFFF00"/>
            </a:solidFill>
          </c:spPr>
          <c:invertIfNegative val="0"/>
          <c:dPt>
            <c:idx val="0"/>
            <c:invertIfNegative val="0"/>
            <c:bubble3D val="0"/>
            <c:spPr>
              <a:solidFill>
                <a:srgbClr val="0070C0"/>
              </a:solidFill>
            </c:spPr>
          </c:dPt>
          <c:dLbls>
            <c:txPr>
              <a:bodyPr/>
              <a:lstStyle/>
              <a:p>
                <a:pPr>
                  <a:defRPr b="1" i="1"/>
                </a:pPr>
                <a:endParaRPr lang="sk-SK"/>
              </a:p>
            </c:txPr>
            <c:showLegendKey val="0"/>
            <c:showVal val="1"/>
            <c:showCatName val="0"/>
            <c:showSerName val="0"/>
            <c:showPercent val="0"/>
            <c:showBubbleSize val="0"/>
            <c:showLeaderLines val="0"/>
          </c:dLbls>
          <c:cat>
            <c:strRef>
              <c:f>'PO1-HT46'!$A$2:$B$5</c:f>
              <c:strCache>
                <c:ptCount val="4"/>
                <c:pt idx="0">
                  <c:v>HT 46 Spracovanie vody (odpadová voda)</c:v>
                </c:pt>
                <c:pt idx="1">
                  <c:v>Dĺžka novovybudovaných kanalizačných sietí (bez kanal.prípojok)</c:v>
                </c:pt>
                <c:pt idx="2">
                  <c:v>Počet ekvivalentných obyvateľov napojených na novovybudovanú kanalizačnú sieť</c:v>
                </c:pt>
                <c:pt idx="3">
                  <c:v>Počet novovybudovaných/zrekonštruovaných ČOV</c:v>
                </c:pt>
              </c:strCache>
            </c:strRef>
          </c:cat>
          <c:val>
            <c:numRef>
              <c:f>'PO1-HT46'!$G$2:$G$5</c:f>
              <c:numCache>
                <c:formatCode>General</c:formatCode>
                <c:ptCount val="4"/>
                <c:pt idx="0">
                  <c:v>0.25269999999999998</c:v>
                </c:pt>
                <c:pt idx="1">
                  <c:v>0.46600000000000003</c:v>
                </c:pt>
                <c:pt idx="2">
                  <c:v>5.8999999999999999E-3</c:v>
                </c:pt>
                <c:pt idx="3">
                  <c:v>0.42399999999999999</c:v>
                </c:pt>
              </c:numCache>
            </c:numRef>
          </c:val>
        </c:ser>
        <c:ser>
          <c:idx val="0"/>
          <c:order val="1"/>
          <c:tx>
            <c:strRef>
              <c:f>'PO1-HT46'!$C$1</c:f>
              <c:strCache>
                <c:ptCount val="1"/>
                <c:pt idx="0">
                  <c:v>Celková alokácia</c:v>
                </c:pt>
              </c:strCache>
            </c:strRef>
          </c:tx>
          <c:invertIfNegative val="0"/>
          <c:cat>
            <c:strRef>
              <c:f>'PO1-HT46'!$A$2:$B$5</c:f>
              <c:strCache>
                <c:ptCount val="4"/>
                <c:pt idx="0">
                  <c:v>HT 46 Spracovanie vody (odpadová voda)</c:v>
                </c:pt>
                <c:pt idx="1">
                  <c:v>Dĺžka novovybudovaných kanalizačných sietí (bez kanal.prípojok)</c:v>
                </c:pt>
                <c:pt idx="2">
                  <c:v>Počet ekvivalentných obyvateľov napojených na novovybudovanú kanalizačnú sieť</c:v>
                </c:pt>
                <c:pt idx="3">
                  <c:v>Počet novovybudovaných/zrekonštruovaných ČOV</c:v>
                </c:pt>
              </c:strCache>
            </c:strRef>
          </c:cat>
          <c:val>
            <c:numRef>
              <c:f>'PO1-HT46'!$C$2:$C$5</c:f>
            </c:numRef>
          </c:val>
        </c:ser>
        <c:ser>
          <c:idx val="1"/>
          <c:order val="2"/>
          <c:tx>
            <c:strRef>
              <c:f>'PO1-HT46'!$D$1</c:f>
              <c:strCache>
                <c:ptCount val="1"/>
                <c:pt idx="0">
                  <c:v>Suma zazmluvnená (EÚ zdroje)/cieľové hodnoty indikátorov zazmluvnených projektov</c:v>
                </c:pt>
              </c:strCache>
            </c:strRef>
          </c:tx>
          <c:invertIfNegative val="0"/>
          <c:cat>
            <c:strRef>
              <c:f>'PO1-HT46'!$A$2:$B$5</c:f>
              <c:strCache>
                <c:ptCount val="4"/>
                <c:pt idx="0">
                  <c:v>HT 46 Spracovanie vody (odpadová voda)</c:v>
                </c:pt>
                <c:pt idx="1">
                  <c:v>Dĺžka novovybudovaných kanalizačných sietí (bez kanal.prípojok)</c:v>
                </c:pt>
                <c:pt idx="2">
                  <c:v>Počet ekvivalentných obyvateľov napojených na novovybudovanú kanalizačnú sieť</c:v>
                </c:pt>
                <c:pt idx="3">
                  <c:v>Počet novovybudovaných/zrekonštruovaných ČOV</c:v>
                </c:pt>
              </c:strCache>
            </c:strRef>
          </c:cat>
          <c:val>
            <c:numRef>
              <c:f>'PO1-HT46'!$D$2:$D$5</c:f>
            </c:numRef>
          </c:val>
        </c:ser>
        <c:ser>
          <c:idx val="2"/>
          <c:order val="3"/>
          <c:tx>
            <c:strRef>
              <c:f>'PO1-HT46'!$E$1</c:f>
              <c:strCache>
                <c:ptCount val="1"/>
                <c:pt idx="0">
                  <c:v>Podiel zazmluvnených projektov na celkovej alokácii - cieľové hodnoty indiktátorov</c:v>
                </c:pt>
              </c:strCache>
            </c:strRef>
          </c:tx>
          <c:spPr>
            <a:solidFill>
              <a:srgbClr val="00B050"/>
            </a:solidFill>
          </c:spPr>
          <c:invertIfNegative val="0"/>
          <c:dPt>
            <c:idx val="0"/>
            <c:invertIfNegative val="0"/>
            <c:bubble3D val="0"/>
            <c:spPr>
              <a:solidFill>
                <a:srgbClr val="C00000"/>
              </a:solidFill>
            </c:spPr>
          </c:dPt>
          <c:dLbls>
            <c:showLegendKey val="0"/>
            <c:showVal val="1"/>
            <c:showCatName val="0"/>
            <c:showSerName val="0"/>
            <c:showPercent val="0"/>
            <c:showBubbleSize val="0"/>
            <c:showLeaderLines val="0"/>
          </c:dLbls>
          <c:cat>
            <c:strRef>
              <c:f>'PO1-HT46'!$A$2:$B$5</c:f>
              <c:strCache>
                <c:ptCount val="4"/>
                <c:pt idx="0">
                  <c:v>HT 46 Spracovanie vody (odpadová voda)</c:v>
                </c:pt>
                <c:pt idx="1">
                  <c:v>Dĺžka novovybudovaných kanalizačných sietí (bez kanal.prípojok)</c:v>
                </c:pt>
                <c:pt idx="2">
                  <c:v>Počet ekvivalentných obyvateľov napojených na novovybudovanú kanalizačnú sieť</c:v>
                </c:pt>
                <c:pt idx="3">
                  <c:v>Počet novovybudovaných/zrekonštruovaných ČOV</c:v>
                </c:pt>
              </c:strCache>
            </c:strRef>
          </c:cat>
          <c:val>
            <c:numRef>
              <c:f>'PO1-HT46'!$E$2:$E$5</c:f>
              <c:numCache>
                <c:formatCode>General</c:formatCode>
                <c:ptCount val="4"/>
                <c:pt idx="0">
                  <c:v>0.87060000000000004</c:v>
                </c:pt>
                <c:pt idx="1">
                  <c:v>1.03</c:v>
                </c:pt>
                <c:pt idx="2">
                  <c:v>0.66</c:v>
                </c:pt>
                <c:pt idx="3">
                  <c:v>0.93</c:v>
                </c:pt>
              </c:numCache>
            </c:numRef>
          </c:val>
        </c:ser>
        <c:ser>
          <c:idx val="3"/>
          <c:order val="4"/>
          <c:tx>
            <c:strRef>
              <c:f>'PO1-HT46'!$F$1</c:f>
              <c:strCache>
                <c:ptCount val="1"/>
                <c:pt idx="0">
                  <c:v>Suma čerpaná  (EÚ zdroje) /merané hodnoty indikátorov zazmluvnených projektov </c:v>
                </c:pt>
              </c:strCache>
            </c:strRef>
          </c:tx>
          <c:invertIfNegative val="0"/>
          <c:cat>
            <c:strRef>
              <c:f>'PO1-HT46'!$A$2:$B$5</c:f>
              <c:strCache>
                <c:ptCount val="4"/>
                <c:pt idx="0">
                  <c:v>HT 46 Spracovanie vody (odpadová voda)</c:v>
                </c:pt>
                <c:pt idx="1">
                  <c:v>Dĺžka novovybudovaných kanalizačných sietí (bez kanal.prípojok)</c:v>
                </c:pt>
                <c:pt idx="2">
                  <c:v>Počet ekvivalentných obyvateľov napojených na novovybudovanú kanalizačnú sieť</c:v>
                </c:pt>
                <c:pt idx="3">
                  <c:v>Počet novovybudovaných/zrekonštruovaných ČOV</c:v>
                </c:pt>
              </c:strCache>
            </c:strRef>
          </c:cat>
          <c:val>
            <c:numRef>
              <c:f>'PO1-HT46'!$F$2:$F$5</c:f>
            </c:numRef>
          </c:val>
        </c:ser>
        <c:dLbls>
          <c:showLegendKey val="0"/>
          <c:showVal val="0"/>
          <c:showCatName val="0"/>
          <c:showSerName val="0"/>
          <c:showPercent val="0"/>
          <c:showBubbleSize val="0"/>
        </c:dLbls>
        <c:gapWidth val="150"/>
        <c:axId val="84694144"/>
        <c:axId val="84695680"/>
      </c:barChart>
      <c:catAx>
        <c:axId val="84694144"/>
        <c:scaling>
          <c:orientation val="minMax"/>
        </c:scaling>
        <c:delete val="0"/>
        <c:axPos val="l"/>
        <c:numFmt formatCode="General" sourceLinked="1"/>
        <c:majorTickMark val="out"/>
        <c:minorTickMark val="none"/>
        <c:tickLblPos val="nextTo"/>
        <c:crossAx val="84695680"/>
        <c:crosses val="autoZero"/>
        <c:auto val="1"/>
        <c:lblAlgn val="ctr"/>
        <c:lblOffset val="100"/>
        <c:noMultiLvlLbl val="0"/>
      </c:catAx>
      <c:valAx>
        <c:axId val="84695680"/>
        <c:scaling>
          <c:orientation val="minMax"/>
        </c:scaling>
        <c:delete val="1"/>
        <c:axPos val="b"/>
        <c:numFmt formatCode="General" sourceLinked="1"/>
        <c:majorTickMark val="out"/>
        <c:minorTickMark val="none"/>
        <c:tickLblPos val="nextTo"/>
        <c:crossAx val="84694144"/>
        <c:crosses val="autoZero"/>
        <c:crossBetween val="between"/>
      </c:valAx>
      <c:spPr>
        <a:noFill/>
        <a:ln w="25416">
          <a:noFill/>
        </a:ln>
      </c:spPr>
    </c:plotArea>
    <c:legend>
      <c:legendPos val="b"/>
      <c:overlay val="0"/>
    </c:legend>
    <c:plotVisOnly val="1"/>
    <c:dispBlanksAs val="gap"/>
    <c:showDLblsOverMax val="0"/>
  </c:chart>
  <c:externalData r:id="rId2">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sk-SK"/>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barChart>
        <c:barDir val="bar"/>
        <c:grouping val="clustered"/>
        <c:varyColors val="0"/>
        <c:ser>
          <c:idx val="4"/>
          <c:order val="0"/>
          <c:tx>
            <c:strRef>
              <c:f>'PO1-HT54'!$G$1</c:f>
              <c:strCache>
                <c:ptCount val="1"/>
                <c:pt idx="0">
                  <c:v>Podiel zazmluvnených projektov na celkovej alokácii - merané hodnoty  indiktátorov</c:v>
                </c:pt>
              </c:strCache>
            </c:strRef>
          </c:tx>
          <c:invertIfNegative val="0"/>
          <c:dPt>
            <c:idx val="0"/>
            <c:invertIfNegative val="0"/>
            <c:bubble3D val="0"/>
            <c:spPr>
              <a:solidFill>
                <a:srgbClr val="0070C0"/>
              </a:solidFill>
            </c:spPr>
          </c:dPt>
          <c:dPt>
            <c:idx val="1"/>
            <c:invertIfNegative val="0"/>
            <c:bubble3D val="0"/>
            <c:spPr>
              <a:solidFill>
                <a:srgbClr val="FFFF00"/>
              </a:solidFill>
            </c:spPr>
          </c:dPt>
          <c:dLbls>
            <c:showLegendKey val="0"/>
            <c:showVal val="1"/>
            <c:showCatName val="0"/>
            <c:showSerName val="0"/>
            <c:showPercent val="0"/>
            <c:showBubbleSize val="0"/>
            <c:showLeaderLines val="0"/>
          </c:dLbls>
          <c:cat>
            <c:strRef>
              <c:f>'PO1-HT54'!$A$2:$B$4</c:f>
              <c:strCache>
                <c:ptCount val="2"/>
                <c:pt idx="0">
                  <c:v>HT 54 Iné opatrenia na zachovanie ŽP a predchádzanie rizikám</c:v>
                </c:pt>
                <c:pt idx="1">
                  <c:v>Súlad monitorovania stavu vôd v SR s požiadavkami Rámcovej smernice o vode</c:v>
                </c:pt>
              </c:strCache>
            </c:strRef>
          </c:cat>
          <c:val>
            <c:numRef>
              <c:f>'PO1-HT54'!$G$2:$G$4</c:f>
              <c:numCache>
                <c:formatCode>General</c:formatCode>
                <c:ptCount val="2"/>
                <c:pt idx="0">
                  <c:v>0.1953</c:v>
                </c:pt>
                <c:pt idx="1">
                  <c:v>0.2</c:v>
                </c:pt>
              </c:numCache>
            </c:numRef>
          </c:val>
        </c:ser>
        <c:ser>
          <c:idx val="0"/>
          <c:order val="1"/>
          <c:tx>
            <c:strRef>
              <c:f>'PO1-HT54'!$C$1</c:f>
              <c:strCache>
                <c:ptCount val="1"/>
                <c:pt idx="0">
                  <c:v>Celková alokácia</c:v>
                </c:pt>
              </c:strCache>
            </c:strRef>
          </c:tx>
          <c:invertIfNegative val="0"/>
          <c:cat>
            <c:strRef>
              <c:f>'PO1-HT54'!$A$2:$B$4</c:f>
              <c:strCache>
                <c:ptCount val="2"/>
                <c:pt idx="0">
                  <c:v>HT 54 Iné opatrenia na zachovanie ŽP a predchádzanie rizikám</c:v>
                </c:pt>
                <c:pt idx="1">
                  <c:v>Súlad monitorovania stavu vôd v SR s požiadavkami Rámcovej smernice o vode</c:v>
                </c:pt>
              </c:strCache>
            </c:strRef>
          </c:cat>
          <c:val>
            <c:numRef>
              <c:f>'PO1-HT54'!$C$2:$C$4</c:f>
            </c:numRef>
          </c:val>
        </c:ser>
        <c:ser>
          <c:idx val="1"/>
          <c:order val="2"/>
          <c:tx>
            <c:strRef>
              <c:f>'PO1-HT54'!$D$1</c:f>
              <c:strCache>
                <c:ptCount val="1"/>
                <c:pt idx="0">
                  <c:v>Suma zazmluvnená (EÚ zdroje)/cieľové hodnoty indikátorov zazmluvnených projektov</c:v>
                </c:pt>
              </c:strCache>
            </c:strRef>
          </c:tx>
          <c:invertIfNegative val="0"/>
          <c:cat>
            <c:strRef>
              <c:f>'PO1-HT54'!$A$2:$B$4</c:f>
              <c:strCache>
                <c:ptCount val="2"/>
                <c:pt idx="0">
                  <c:v>HT 54 Iné opatrenia na zachovanie ŽP a predchádzanie rizikám</c:v>
                </c:pt>
                <c:pt idx="1">
                  <c:v>Súlad monitorovania stavu vôd v SR s požiadavkami Rámcovej smernice o vode</c:v>
                </c:pt>
              </c:strCache>
            </c:strRef>
          </c:cat>
          <c:val>
            <c:numRef>
              <c:f>'PO1-HT54'!$D$2:$D$4</c:f>
            </c:numRef>
          </c:val>
        </c:ser>
        <c:ser>
          <c:idx val="2"/>
          <c:order val="3"/>
          <c:tx>
            <c:strRef>
              <c:f>'PO1-HT54'!$E$1</c:f>
              <c:strCache>
                <c:ptCount val="1"/>
                <c:pt idx="0">
                  <c:v>Podiel zazmluvnených projektov na celkovej alokácii - cieľové hodnoty indiktátorov</c:v>
                </c:pt>
              </c:strCache>
            </c:strRef>
          </c:tx>
          <c:invertIfNegative val="0"/>
          <c:dPt>
            <c:idx val="0"/>
            <c:invertIfNegative val="0"/>
            <c:bubble3D val="0"/>
            <c:spPr>
              <a:solidFill>
                <a:srgbClr val="C00000"/>
              </a:solidFill>
            </c:spPr>
          </c:dPt>
          <c:dPt>
            <c:idx val="1"/>
            <c:invertIfNegative val="0"/>
            <c:bubble3D val="0"/>
            <c:spPr>
              <a:solidFill>
                <a:srgbClr val="00B050"/>
              </a:solidFill>
            </c:spPr>
          </c:dPt>
          <c:dLbls>
            <c:showLegendKey val="0"/>
            <c:showVal val="1"/>
            <c:showCatName val="0"/>
            <c:showSerName val="0"/>
            <c:showPercent val="0"/>
            <c:showBubbleSize val="0"/>
            <c:showLeaderLines val="0"/>
          </c:dLbls>
          <c:cat>
            <c:strRef>
              <c:f>'PO1-HT54'!$A$2:$B$4</c:f>
              <c:strCache>
                <c:ptCount val="2"/>
                <c:pt idx="0">
                  <c:v>HT 54 Iné opatrenia na zachovanie ŽP a predchádzanie rizikám</c:v>
                </c:pt>
                <c:pt idx="1">
                  <c:v>Súlad monitorovania stavu vôd v SR s požiadavkami Rámcovej smernice o vode</c:v>
                </c:pt>
              </c:strCache>
            </c:strRef>
          </c:cat>
          <c:val>
            <c:numRef>
              <c:f>'PO1-HT54'!$E$2:$E$4</c:f>
              <c:numCache>
                <c:formatCode>General</c:formatCode>
                <c:ptCount val="2"/>
                <c:pt idx="0">
                  <c:v>0.38279999999999997</c:v>
                </c:pt>
                <c:pt idx="1">
                  <c:v>1</c:v>
                </c:pt>
              </c:numCache>
            </c:numRef>
          </c:val>
        </c:ser>
        <c:ser>
          <c:idx val="3"/>
          <c:order val="4"/>
          <c:tx>
            <c:strRef>
              <c:f>'PO1-HT54'!$F$1</c:f>
              <c:strCache>
                <c:ptCount val="1"/>
                <c:pt idx="0">
                  <c:v>Suma čerpaná  (EÚ zdroje) /merané hodnoty indikátorov zazmluvnených projektov </c:v>
                </c:pt>
              </c:strCache>
            </c:strRef>
          </c:tx>
          <c:invertIfNegative val="0"/>
          <c:cat>
            <c:strRef>
              <c:f>'PO1-HT54'!$A$2:$B$4</c:f>
              <c:strCache>
                <c:ptCount val="2"/>
                <c:pt idx="0">
                  <c:v>HT 54 Iné opatrenia na zachovanie ŽP a predchádzanie rizikám</c:v>
                </c:pt>
                <c:pt idx="1">
                  <c:v>Súlad monitorovania stavu vôd v SR s požiadavkami Rámcovej smernice o vode</c:v>
                </c:pt>
              </c:strCache>
            </c:strRef>
          </c:cat>
          <c:val>
            <c:numRef>
              <c:f>'PO1-HT54'!$F$2:$F$4</c:f>
            </c:numRef>
          </c:val>
        </c:ser>
        <c:dLbls>
          <c:showLegendKey val="0"/>
          <c:showVal val="0"/>
          <c:showCatName val="0"/>
          <c:showSerName val="0"/>
          <c:showPercent val="0"/>
          <c:showBubbleSize val="0"/>
        </c:dLbls>
        <c:gapWidth val="150"/>
        <c:axId val="85635072"/>
        <c:axId val="85636608"/>
      </c:barChart>
      <c:catAx>
        <c:axId val="85635072"/>
        <c:scaling>
          <c:orientation val="minMax"/>
        </c:scaling>
        <c:delete val="0"/>
        <c:axPos val="l"/>
        <c:numFmt formatCode="General" sourceLinked="1"/>
        <c:majorTickMark val="out"/>
        <c:minorTickMark val="none"/>
        <c:tickLblPos val="nextTo"/>
        <c:crossAx val="85636608"/>
        <c:crosses val="autoZero"/>
        <c:auto val="1"/>
        <c:lblAlgn val="ctr"/>
        <c:lblOffset val="100"/>
        <c:noMultiLvlLbl val="0"/>
      </c:catAx>
      <c:valAx>
        <c:axId val="85636608"/>
        <c:scaling>
          <c:orientation val="minMax"/>
        </c:scaling>
        <c:delete val="1"/>
        <c:axPos val="b"/>
        <c:numFmt formatCode="General" sourceLinked="1"/>
        <c:majorTickMark val="out"/>
        <c:minorTickMark val="none"/>
        <c:tickLblPos val="nextTo"/>
        <c:crossAx val="85635072"/>
        <c:crosses val="autoZero"/>
        <c:crossBetween val="between"/>
      </c:valAx>
      <c:spPr>
        <a:noFill/>
        <a:ln w="25332">
          <a:noFill/>
        </a:ln>
      </c:spPr>
    </c:plotArea>
    <c:legend>
      <c:legendPos val="b"/>
      <c:overlay val="0"/>
    </c:legend>
    <c:plotVisOnly val="1"/>
    <c:dispBlanksAs val="gap"/>
    <c:showDLblsOverMax val="0"/>
  </c:chart>
  <c:externalData r:id="rId2">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sk-SK"/>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barChart>
        <c:barDir val="bar"/>
        <c:grouping val="clustered"/>
        <c:varyColors val="0"/>
        <c:ser>
          <c:idx val="4"/>
          <c:order val="0"/>
          <c:tx>
            <c:strRef>
              <c:f>'PO2-HT53'!$G$1</c:f>
              <c:strCache>
                <c:ptCount val="1"/>
                <c:pt idx="0">
                  <c:v>Podiel zazmluvnených projektov na celkovej alokácii - merané hodnoty  indiktátorov</c:v>
                </c:pt>
              </c:strCache>
            </c:strRef>
          </c:tx>
          <c:spPr>
            <a:solidFill>
              <a:srgbClr val="FFFF00"/>
            </a:solidFill>
          </c:spPr>
          <c:invertIfNegative val="0"/>
          <c:dPt>
            <c:idx val="0"/>
            <c:invertIfNegative val="0"/>
            <c:bubble3D val="0"/>
            <c:spPr>
              <a:solidFill>
                <a:srgbClr val="0070C0"/>
              </a:solidFill>
            </c:spPr>
          </c:dPt>
          <c:dLbls>
            <c:txPr>
              <a:bodyPr/>
              <a:lstStyle/>
              <a:p>
                <a:pPr>
                  <a:defRPr b="1" i="1"/>
                </a:pPr>
                <a:endParaRPr lang="sk-SK"/>
              </a:p>
            </c:txPr>
            <c:showLegendKey val="0"/>
            <c:showVal val="1"/>
            <c:showCatName val="0"/>
            <c:showSerName val="0"/>
            <c:showPercent val="0"/>
            <c:showBubbleSize val="0"/>
            <c:showLeaderLines val="0"/>
          </c:dLbls>
          <c:cat>
            <c:strRef>
              <c:f>'PO2-HT53'!$A$2:$B$8</c:f>
              <c:strCache>
                <c:ptCount val="4"/>
                <c:pt idx="0">
                  <c:v>HT 53 Predchádzanie rizikám (vrátane návrhu a realizácie plánov a opatrení na predchádzanie prírodným a technologickým rizikám a ich riadenie)</c:v>
                </c:pt>
                <c:pt idx="1">
                  <c:v>Počet opatrení zameraných na ochranu pred povodňami (spolu za projekty)</c:v>
                </c:pt>
                <c:pt idx="2">
                  <c:v>Plocha územia so zabezpečenou protipovodňovou ochranou</c:v>
                </c:pt>
                <c:pt idx="3">
                  <c:v>Počet osôb chránených pred povodňami v dôsledku realizácie projektu</c:v>
                </c:pt>
              </c:strCache>
            </c:strRef>
          </c:cat>
          <c:val>
            <c:numRef>
              <c:f>'PO2-HT53'!$G$2:$G$8</c:f>
              <c:numCache>
                <c:formatCode>General</c:formatCode>
                <c:ptCount val="4"/>
                <c:pt idx="0">
                  <c:v>0.2475</c:v>
                </c:pt>
                <c:pt idx="1">
                  <c:v>0.32800000000000001</c:v>
                </c:pt>
                <c:pt idx="2">
                  <c:v>0.189</c:v>
                </c:pt>
                <c:pt idx="3">
                  <c:v>1.9E-2</c:v>
                </c:pt>
              </c:numCache>
            </c:numRef>
          </c:val>
        </c:ser>
        <c:ser>
          <c:idx val="0"/>
          <c:order val="1"/>
          <c:tx>
            <c:strRef>
              <c:f>'PO2-HT53'!$C$1</c:f>
              <c:strCache>
                <c:ptCount val="1"/>
                <c:pt idx="0">
                  <c:v>Celková alokácia</c:v>
                </c:pt>
              </c:strCache>
            </c:strRef>
          </c:tx>
          <c:invertIfNegative val="0"/>
          <c:cat>
            <c:strRef>
              <c:f>'PO2-HT53'!$A$2:$B$8</c:f>
              <c:strCache>
                <c:ptCount val="4"/>
                <c:pt idx="0">
                  <c:v>HT 53 Predchádzanie rizikám (vrátane návrhu a realizácie plánov a opatrení na predchádzanie prírodným a technologickým rizikám a ich riadenie)</c:v>
                </c:pt>
                <c:pt idx="1">
                  <c:v>Počet opatrení zameraných na ochranu pred povodňami (spolu za projekty)</c:v>
                </c:pt>
                <c:pt idx="2">
                  <c:v>Plocha územia so zabezpečenou protipovodňovou ochranou</c:v>
                </c:pt>
                <c:pt idx="3">
                  <c:v>Počet osôb chránených pred povodňami v dôsledku realizácie projektu</c:v>
                </c:pt>
              </c:strCache>
            </c:strRef>
          </c:cat>
          <c:val>
            <c:numRef>
              <c:f>'PO2-HT53'!$C$2:$C$8</c:f>
            </c:numRef>
          </c:val>
        </c:ser>
        <c:ser>
          <c:idx val="1"/>
          <c:order val="2"/>
          <c:tx>
            <c:strRef>
              <c:f>'PO2-HT53'!$D$1</c:f>
              <c:strCache>
                <c:ptCount val="1"/>
                <c:pt idx="0">
                  <c:v>Suma zazmluvnená (EÚ zdroje)/cieľové hodnoty indikátorov zazmluvnených projektov</c:v>
                </c:pt>
              </c:strCache>
            </c:strRef>
          </c:tx>
          <c:invertIfNegative val="0"/>
          <c:cat>
            <c:strRef>
              <c:f>'PO2-HT53'!$A$2:$B$8</c:f>
              <c:strCache>
                <c:ptCount val="4"/>
                <c:pt idx="0">
                  <c:v>HT 53 Predchádzanie rizikám (vrátane návrhu a realizácie plánov a opatrení na predchádzanie prírodným a technologickým rizikám a ich riadenie)</c:v>
                </c:pt>
                <c:pt idx="1">
                  <c:v>Počet opatrení zameraných na ochranu pred povodňami (spolu za projekty)</c:v>
                </c:pt>
                <c:pt idx="2">
                  <c:v>Plocha územia so zabezpečenou protipovodňovou ochranou</c:v>
                </c:pt>
                <c:pt idx="3">
                  <c:v>Počet osôb chránených pred povodňami v dôsledku realizácie projektu</c:v>
                </c:pt>
              </c:strCache>
            </c:strRef>
          </c:cat>
          <c:val>
            <c:numRef>
              <c:f>'PO2-HT53'!$D$2:$D$8</c:f>
            </c:numRef>
          </c:val>
        </c:ser>
        <c:ser>
          <c:idx val="2"/>
          <c:order val="3"/>
          <c:tx>
            <c:strRef>
              <c:f>'PO2-HT53'!$E$1</c:f>
              <c:strCache>
                <c:ptCount val="1"/>
                <c:pt idx="0">
                  <c:v>Podiel zazmluvnených projektov na celkovej alokácii - cieľové hodnoty indiktátorov</c:v>
                </c:pt>
              </c:strCache>
            </c:strRef>
          </c:tx>
          <c:spPr>
            <a:solidFill>
              <a:srgbClr val="00B050"/>
            </a:solidFill>
          </c:spPr>
          <c:invertIfNegative val="0"/>
          <c:dPt>
            <c:idx val="0"/>
            <c:invertIfNegative val="0"/>
            <c:bubble3D val="0"/>
            <c:spPr>
              <a:solidFill>
                <a:srgbClr val="C00000"/>
              </a:solidFill>
            </c:spPr>
          </c:dPt>
          <c:dLbls>
            <c:txPr>
              <a:bodyPr/>
              <a:lstStyle/>
              <a:p>
                <a:pPr>
                  <a:defRPr sz="897"/>
                </a:pPr>
                <a:endParaRPr lang="sk-SK"/>
              </a:p>
            </c:txPr>
            <c:showLegendKey val="0"/>
            <c:showVal val="1"/>
            <c:showCatName val="0"/>
            <c:showSerName val="0"/>
            <c:showPercent val="0"/>
            <c:showBubbleSize val="0"/>
            <c:showLeaderLines val="0"/>
          </c:dLbls>
          <c:cat>
            <c:strRef>
              <c:f>'PO2-HT53'!$A$2:$B$8</c:f>
              <c:strCache>
                <c:ptCount val="4"/>
                <c:pt idx="0">
                  <c:v>HT 53 Predchádzanie rizikám (vrátane návrhu a realizácie plánov a opatrení na predchádzanie prírodným a technologickým rizikám a ich riadenie)</c:v>
                </c:pt>
                <c:pt idx="1">
                  <c:v>Počet opatrení zameraných na ochranu pred povodňami (spolu za projekty)</c:v>
                </c:pt>
                <c:pt idx="2">
                  <c:v>Plocha územia so zabezpečenou protipovodňovou ochranou</c:v>
                </c:pt>
                <c:pt idx="3">
                  <c:v>Počet osôb chránených pred povodňami v dôsledku realizácie projektu</c:v>
                </c:pt>
              </c:strCache>
            </c:strRef>
          </c:cat>
          <c:val>
            <c:numRef>
              <c:f>'PO2-HT53'!$E$2:$E$8</c:f>
              <c:numCache>
                <c:formatCode>General</c:formatCode>
                <c:ptCount val="4"/>
                <c:pt idx="0">
                  <c:v>0.72529999999999994</c:v>
                </c:pt>
                <c:pt idx="1">
                  <c:v>0.6</c:v>
                </c:pt>
                <c:pt idx="2">
                  <c:v>3.49</c:v>
                </c:pt>
                <c:pt idx="3">
                  <c:v>0.72</c:v>
                </c:pt>
              </c:numCache>
            </c:numRef>
          </c:val>
        </c:ser>
        <c:ser>
          <c:idx val="3"/>
          <c:order val="4"/>
          <c:tx>
            <c:strRef>
              <c:f>'PO2-HT53'!$F$1</c:f>
              <c:strCache>
                <c:ptCount val="1"/>
                <c:pt idx="0">
                  <c:v>Suma čerpaná  (EÚ zdroje) /merané hodnoty indikátorov zazmluvnených projektov </c:v>
                </c:pt>
              </c:strCache>
            </c:strRef>
          </c:tx>
          <c:invertIfNegative val="0"/>
          <c:cat>
            <c:strRef>
              <c:f>'PO2-HT53'!$A$2:$B$8</c:f>
              <c:strCache>
                <c:ptCount val="4"/>
                <c:pt idx="0">
                  <c:v>HT 53 Predchádzanie rizikám (vrátane návrhu a realizácie plánov a opatrení na predchádzanie prírodným a technologickým rizikám a ich riadenie)</c:v>
                </c:pt>
                <c:pt idx="1">
                  <c:v>Počet opatrení zameraných na ochranu pred povodňami (spolu za projekty)</c:v>
                </c:pt>
                <c:pt idx="2">
                  <c:v>Plocha územia so zabezpečenou protipovodňovou ochranou</c:v>
                </c:pt>
                <c:pt idx="3">
                  <c:v>Počet osôb chránených pred povodňami v dôsledku realizácie projektu</c:v>
                </c:pt>
              </c:strCache>
            </c:strRef>
          </c:cat>
          <c:val>
            <c:numRef>
              <c:f>'PO2-HT53'!$F$2:$F$8</c:f>
            </c:numRef>
          </c:val>
        </c:ser>
        <c:dLbls>
          <c:showLegendKey val="0"/>
          <c:showVal val="0"/>
          <c:showCatName val="0"/>
          <c:showSerName val="0"/>
          <c:showPercent val="0"/>
          <c:showBubbleSize val="0"/>
        </c:dLbls>
        <c:gapWidth val="150"/>
        <c:axId val="26011520"/>
        <c:axId val="26013056"/>
      </c:barChart>
      <c:catAx>
        <c:axId val="26011520"/>
        <c:scaling>
          <c:orientation val="minMax"/>
        </c:scaling>
        <c:delete val="0"/>
        <c:axPos val="l"/>
        <c:numFmt formatCode="General" sourceLinked="1"/>
        <c:majorTickMark val="none"/>
        <c:minorTickMark val="none"/>
        <c:tickLblPos val="nextTo"/>
        <c:crossAx val="26013056"/>
        <c:crosses val="autoZero"/>
        <c:auto val="1"/>
        <c:lblAlgn val="ctr"/>
        <c:lblOffset val="100"/>
        <c:noMultiLvlLbl val="0"/>
      </c:catAx>
      <c:valAx>
        <c:axId val="26013056"/>
        <c:scaling>
          <c:orientation val="minMax"/>
        </c:scaling>
        <c:delete val="1"/>
        <c:axPos val="b"/>
        <c:numFmt formatCode="General" sourceLinked="1"/>
        <c:majorTickMark val="out"/>
        <c:minorTickMark val="none"/>
        <c:tickLblPos val="nextTo"/>
        <c:crossAx val="26011520"/>
        <c:crosses val="autoZero"/>
        <c:crossBetween val="between"/>
      </c:valAx>
    </c:plotArea>
    <c:legend>
      <c:legendPos val="b"/>
      <c:overlay val="0"/>
    </c:legend>
    <c:plotVisOnly val="1"/>
    <c:dispBlanksAs val="gap"/>
    <c:showDLblsOverMax val="0"/>
  </c:chart>
  <c:externalData r:id="rId2">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sk-SK"/>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barChart>
        <c:barDir val="bar"/>
        <c:grouping val="clustered"/>
        <c:varyColors val="0"/>
        <c:ser>
          <c:idx val="4"/>
          <c:order val="0"/>
          <c:tx>
            <c:strRef>
              <c:f>'3.1'!$G$1</c:f>
              <c:strCache>
                <c:ptCount val="1"/>
                <c:pt idx="0">
                  <c:v>Podiel zazmluvnených projektov na celkovej alokácii - merané hodnoty  indiktátorov</c:v>
                </c:pt>
              </c:strCache>
            </c:strRef>
          </c:tx>
          <c:spPr>
            <a:solidFill>
              <a:srgbClr val="FFFF00"/>
            </a:solidFill>
          </c:spPr>
          <c:invertIfNegative val="0"/>
          <c:dPt>
            <c:idx val="0"/>
            <c:invertIfNegative val="0"/>
            <c:bubble3D val="0"/>
            <c:spPr>
              <a:solidFill>
                <a:srgbClr val="0070C0"/>
              </a:solidFill>
            </c:spPr>
          </c:dPt>
          <c:dPt>
            <c:idx val="1"/>
            <c:invertIfNegative val="0"/>
            <c:bubble3D val="0"/>
            <c:spPr>
              <a:solidFill>
                <a:srgbClr val="0070C0"/>
              </a:solidFill>
            </c:spPr>
          </c:dPt>
          <c:dLbls>
            <c:txPr>
              <a:bodyPr/>
              <a:lstStyle/>
              <a:p>
                <a:pPr>
                  <a:defRPr sz="897" b="1" i="1"/>
                </a:pPr>
                <a:endParaRPr lang="sk-SK"/>
              </a:p>
            </c:txPr>
            <c:dLblPos val="outEnd"/>
            <c:showLegendKey val="0"/>
            <c:showVal val="1"/>
            <c:showCatName val="0"/>
            <c:showSerName val="0"/>
            <c:showPercent val="0"/>
            <c:showBubbleSize val="0"/>
            <c:showLeaderLines val="0"/>
          </c:dLbls>
          <c:cat>
            <c:strRef>
              <c:f>'3.1'!$A$2:$B$9</c:f>
              <c:strCache>
                <c:ptCount val="7"/>
                <c:pt idx="0">
                  <c:v>HT 47 Kvalita vzduchu</c:v>
                </c:pt>
                <c:pt idx="1">
                  <c:v>HT 52 Podpora čistej mestskej dopravy</c:v>
                </c:pt>
                <c:pt idx="2">
                  <c:v>Počet podporených aktivít zameraných na znižovanie znečistenia ovzdušia a počet podporených štúdií a analýz</c:v>
                </c:pt>
                <c:pt idx="3">
                  <c:v>Zníženie emisií znečisťujúcich látok prepočítané na referenčné tony SO2 (spolu za podporené projekty)</c:v>
                </c:pt>
                <c:pt idx="4">
                  <c:v>Zníženie emisií prchvavých organických látok (spolu za jednotlivé projekty)</c:v>
                </c:pt>
                <c:pt idx="5">
                  <c:v>Počet zmodernizovaných a novo nainštalovaných monitorovacích staníc Národnej monitorov.siete kvality ovzdušia</c:v>
                </c:pt>
                <c:pt idx="6">
                  <c:v>Počet projektov zameraných na ekologizáciu verejnej dopravy v oblastiach vyžadujúcich osobitnú ochranu ovzdušia</c:v>
                </c:pt>
              </c:strCache>
            </c:strRef>
          </c:cat>
          <c:val>
            <c:numRef>
              <c:f>'3.1'!$G$2:$G$9</c:f>
              <c:numCache>
                <c:formatCode>General</c:formatCode>
                <c:ptCount val="7"/>
                <c:pt idx="0">
                  <c:v>0.56859999999999999</c:v>
                </c:pt>
                <c:pt idx="1">
                  <c:v>0.84409999999999996</c:v>
                </c:pt>
                <c:pt idx="2">
                  <c:v>0.96699999999999997</c:v>
                </c:pt>
                <c:pt idx="3">
                  <c:v>1.6299999999999999E-2</c:v>
                </c:pt>
                <c:pt idx="4">
                  <c:v>0</c:v>
                </c:pt>
                <c:pt idx="5">
                  <c:v>1.08</c:v>
                </c:pt>
                <c:pt idx="6">
                  <c:v>0.75</c:v>
                </c:pt>
              </c:numCache>
            </c:numRef>
          </c:val>
        </c:ser>
        <c:ser>
          <c:idx val="0"/>
          <c:order val="1"/>
          <c:tx>
            <c:strRef>
              <c:f>'3.1'!$C$1</c:f>
              <c:strCache>
                <c:ptCount val="1"/>
                <c:pt idx="0">
                  <c:v>Celková alokácia</c:v>
                </c:pt>
              </c:strCache>
            </c:strRef>
          </c:tx>
          <c:invertIfNegative val="0"/>
          <c:cat>
            <c:strRef>
              <c:f>'3.1'!$A$2:$B$9</c:f>
              <c:strCache>
                <c:ptCount val="7"/>
                <c:pt idx="0">
                  <c:v>HT 47 Kvalita vzduchu</c:v>
                </c:pt>
                <c:pt idx="1">
                  <c:v>HT 52 Podpora čistej mestskej dopravy</c:v>
                </c:pt>
                <c:pt idx="2">
                  <c:v>Počet podporených aktivít zameraných na znižovanie znečistenia ovzdušia a počet podporených štúdií a analýz</c:v>
                </c:pt>
                <c:pt idx="3">
                  <c:v>Zníženie emisií znečisťujúcich látok prepočítané na referenčné tony SO2 (spolu za podporené projekty)</c:v>
                </c:pt>
                <c:pt idx="4">
                  <c:v>Zníženie emisií prchvavých organických látok (spolu za jednotlivé projekty)</c:v>
                </c:pt>
                <c:pt idx="5">
                  <c:v>Počet zmodernizovaných a novo nainštalovaných monitorovacích staníc Národnej monitorov.siete kvality ovzdušia</c:v>
                </c:pt>
                <c:pt idx="6">
                  <c:v>Počet projektov zameraných na ekologizáciu verejnej dopravy v oblastiach vyžadujúcich osobitnú ochranu ovzdušia</c:v>
                </c:pt>
              </c:strCache>
            </c:strRef>
          </c:cat>
          <c:val>
            <c:numRef>
              <c:f>'3.1'!$C$2:$C$9</c:f>
            </c:numRef>
          </c:val>
        </c:ser>
        <c:ser>
          <c:idx val="1"/>
          <c:order val="2"/>
          <c:tx>
            <c:strRef>
              <c:f>'3.1'!$D$1</c:f>
              <c:strCache>
                <c:ptCount val="1"/>
                <c:pt idx="0">
                  <c:v>Suma zazmluvnená (EÚ zdroje)/cieľové hodnoty indikátorov zazmluvnených projektov</c:v>
                </c:pt>
              </c:strCache>
            </c:strRef>
          </c:tx>
          <c:invertIfNegative val="0"/>
          <c:cat>
            <c:strRef>
              <c:f>'3.1'!$A$2:$B$9</c:f>
              <c:strCache>
                <c:ptCount val="7"/>
                <c:pt idx="0">
                  <c:v>HT 47 Kvalita vzduchu</c:v>
                </c:pt>
                <c:pt idx="1">
                  <c:v>HT 52 Podpora čistej mestskej dopravy</c:v>
                </c:pt>
                <c:pt idx="2">
                  <c:v>Počet podporených aktivít zameraných na znižovanie znečistenia ovzdušia a počet podporených štúdií a analýz</c:v>
                </c:pt>
                <c:pt idx="3">
                  <c:v>Zníženie emisií znečisťujúcich látok prepočítané na referenčné tony SO2 (spolu za podporené projekty)</c:v>
                </c:pt>
                <c:pt idx="4">
                  <c:v>Zníženie emisií prchvavých organických látok (spolu za jednotlivé projekty)</c:v>
                </c:pt>
                <c:pt idx="5">
                  <c:v>Počet zmodernizovaných a novo nainštalovaných monitorovacích staníc Národnej monitorov.siete kvality ovzdušia</c:v>
                </c:pt>
                <c:pt idx="6">
                  <c:v>Počet projektov zameraných na ekologizáciu verejnej dopravy v oblastiach vyžadujúcich osobitnú ochranu ovzdušia</c:v>
                </c:pt>
              </c:strCache>
            </c:strRef>
          </c:cat>
          <c:val>
            <c:numRef>
              <c:f>'3.1'!$D$2:$D$9</c:f>
            </c:numRef>
          </c:val>
        </c:ser>
        <c:ser>
          <c:idx val="2"/>
          <c:order val="3"/>
          <c:tx>
            <c:strRef>
              <c:f>'3.1'!$E$1</c:f>
              <c:strCache>
                <c:ptCount val="1"/>
                <c:pt idx="0">
                  <c:v>Podiel zazmluvnených projektov na celkovej alokácii - cieľové hodnoty indiktátorov</c:v>
                </c:pt>
              </c:strCache>
            </c:strRef>
          </c:tx>
          <c:spPr>
            <a:solidFill>
              <a:srgbClr val="00B050"/>
            </a:solidFill>
          </c:spPr>
          <c:invertIfNegative val="0"/>
          <c:dPt>
            <c:idx val="0"/>
            <c:invertIfNegative val="0"/>
            <c:bubble3D val="0"/>
            <c:spPr>
              <a:solidFill>
                <a:srgbClr val="C00000"/>
              </a:solidFill>
            </c:spPr>
          </c:dPt>
          <c:dPt>
            <c:idx val="1"/>
            <c:invertIfNegative val="0"/>
            <c:bubble3D val="0"/>
            <c:spPr>
              <a:solidFill>
                <a:srgbClr val="C00000"/>
              </a:solidFill>
            </c:spPr>
          </c:dPt>
          <c:cat>
            <c:strRef>
              <c:f>'3.1'!$A$2:$B$9</c:f>
              <c:strCache>
                <c:ptCount val="7"/>
                <c:pt idx="0">
                  <c:v>HT 47 Kvalita vzduchu</c:v>
                </c:pt>
                <c:pt idx="1">
                  <c:v>HT 52 Podpora čistej mestskej dopravy</c:v>
                </c:pt>
                <c:pt idx="2">
                  <c:v>Počet podporených aktivít zameraných na znižovanie znečistenia ovzdušia a počet podporených štúdií a analýz</c:v>
                </c:pt>
                <c:pt idx="3">
                  <c:v>Zníženie emisií znečisťujúcich látok prepočítané na referenčné tony SO2 (spolu za podporené projekty)</c:v>
                </c:pt>
                <c:pt idx="4">
                  <c:v>Zníženie emisií prchvavých organických látok (spolu za jednotlivé projekty)</c:v>
                </c:pt>
                <c:pt idx="5">
                  <c:v>Počet zmodernizovaných a novo nainštalovaných monitorovacích staníc Národnej monitorov.siete kvality ovzdušia</c:v>
                </c:pt>
                <c:pt idx="6">
                  <c:v>Počet projektov zameraných na ekologizáciu verejnej dopravy v oblastiach vyžadujúcich osobitnú ochranu ovzdušia</c:v>
                </c:pt>
              </c:strCache>
            </c:strRef>
          </c:cat>
          <c:val>
            <c:numRef>
              <c:f>'3.1'!$E$2:$E$9</c:f>
              <c:numCache>
                <c:formatCode>General</c:formatCode>
                <c:ptCount val="7"/>
                <c:pt idx="0">
                  <c:v>0.71960000000000002</c:v>
                </c:pt>
                <c:pt idx="1">
                  <c:v>1.0093324962962962</c:v>
                </c:pt>
                <c:pt idx="2">
                  <c:v>1.07</c:v>
                </c:pt>
                <c:pt idx="3">
                  <c:v>2.8393333333333337</c:v>
                </c:pt>
                <c:pt idx="4">
                  <c:v>0</c:v>
                </c:pt>
                <c:pt idx="5">
                  <c:v>1.08</c:v>
                </c:pt>
                <c:pt idx="6">
                  <c:v>0.75</c:v>
                </c:pt>
              </c:numCache>
            </c:numRef>
          </c:val>
        </c:ser>
        <c:ser>
          <c:idx val="3"/>
          <c:order val="4"/>
          <c:tx>
            <c:strRef>
              <c:f>'3.1'!$F$1</c:f>
              <c:strCache>
                <c:ptCount val="1"/>
                <c:pt idx="0">
                  <c:v>Suma čerpaná  (EÚ zdroje) /merané hodnoty indikátorov zazmluvnených projektov </c:v>
                </c:pt>
              </c:strCache>
            </c:strRef>
          </c:tx>
          <c:invertIfNegative val="0"/>
          <c:cat>
            <c:strRef>
              <c:f>'3.1'!$A$2:$B$9</c:f>
              <c:strCache>
                <c:ptCount val="7"/>
                <c:pt idx="0">
                  <c:v>HT 47 Kvalita vzduchu</c:v>
                </c:pt>
                <c:pt idx="1">
                  <c:v>HT 52 Podpora čistej mestskej dopravy</c:v>
                </c:pt>
                <c:pt idx="2">
                  <c:v>Počet podporených aktivít zameraných na znižovanie znečistenia ovzdušia a počet podporených štúdií a analýz</c:v>
                </c:pt>
                <c:pt idx="3">
                  <c:v>Zníženie emisií znečisťujúcich látok prepočítané na referenčné tony SO2 (spolu za podporené projekty)</c:v>
                </c:pt>
                <c:pt idx="4">
                  <c:v>Zníženie emisií prchvavých organických látok (spolu za jednotlivé projekty)</c:v>
                </c:pt>
                <c:pt idx="5">
                  <c:v>Počet zmodernizovaných a novo nainštalovaných monitorovacích staníc Národnej monitorov.siete kvality ovzdušia</c:v>
                </c:pt>
                <c:pt idx="6">
                  <c:v>Počet projektov zameraných na ekologizáciu verejnej dopravy v oblastiach vyžadujúcich osobitnú ochranu ovzdušia</c:v>
                </c:pt>
              </c:strCache>
            </c:strRef>
          </c:cat>
          <c:val>
            <c:numRef>
              <c:f>'3.1'!$F$2:$F$9</c:f>
            </c:numRef>
          </c:val>
        </c:ser>
        <c:dLbls>
          <c:showLegendKey val="0"/>
          <c:showVal val="1"/>
          <c:showCatName val="0"/>
          <c:showSerName val="0"/>
          <c:showPercent val="0"/>
          <c:showBubbleSize val="0"/>
        </c:dLbls>
        <c:gapWidth val="150"/>
        <c:axId val="24906368"/>
        <c:axId val="24916352"/>
      </c:barChart>
      <c:catAx>
        <c:axId val="24906368"/>
        <c:scaling>
          <c:orientation val="minMax"/>
        </c:scaling>
        <c:delete val="0"/>
        <c:axPos val="l"/>
        <c:numFmt formatCode="General" sourceLinked="1"/>
        <c:majorTickMark val="out"/>
        <c:minorTickMark val="none"/>
        <c:tickLblPos val="nextTo"/>
        <c:crossAx val="24916352"/>
        <c:crosses val="autoZero"/>
        <c:auto val="1"/>
        <c:lblAlgn val="ctr"/>
        <c:lblOffset val="100"/>
        <c:noMultiLvlLbl val="0"/>
      </c:catAx>
      <c:valAx>
        <c:axId val="24916352"/>
        <c:scaling>
          <c:orientation val="minMax"/>
        </c:scaling>
        <c:delete val="1"/>
        <c:axPos val="b"/>
        <c:numFmt formatCode="General" sourceLinked="1"/>
        <c:majorTickMark val="out"/>
        <c:minorTickMark val="none"/>
        <c:tickLblPos val="nextTo"/>
        <c:crossAx val="24906368"/>
        <c:crosses val="autoZero"/>
        <c:crossBetween val="between"/>
      </c:valAx>
    </c:plotArea>
    <c:legend>
      <c:legendPos val="b"/>
      <c:overlay val="0"/>
    </c:legend>
    <c:plotVisOnly val="1"/>
    <c:dispBlanksAs val="gap"/>
    <c:showDLblsOverMax val="0"/>
  </c:chart>
  <c:externalData r:id="rId2">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sk-SK"/>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49233491712635585"/>
          <c:y val="3.4672970843183631E-2"/>
          <c:w val="0.41358203606455085"/>
          <c:h val="0.80247178322567869"/>
        </c:manualLayout>
      </c:layout>
      <c:barChart>
        <c:barDir val="bar"/>
        <c:grouping val="clustered"/>
        <c:varyColors val="0"/>
        <c:ser>
          <c:idx val="4"/>
          <c:order val="0"/>
          <c:tx>
            <c:strRef>
              <c:f>'3.2'!$G$1</c:f>
              <c:strCache>
                <c:ptCount val="1"/>
                <c:pt idx="0">
                  <c:v>Podiel zazmluvnených projektov na celkovej alokácii - merané hodnoty  indiktátorov</c:v>
                </c:pt>
              </c:strCache>
            </c:strRef>
          </c:tx>
          <c:spPr>
            <a:solidFill>
              <a:srgbClr val="FFFF00"/>
            </a:solidFill>
          </c:spPr>
          <c:invertIfNegative val="0"/>
          <c:dPt>
            <c:idx val="0"/>
            <c:invertIfNegative val="0"/>
            <c:bubble3D val="0"/>
            <c:spPr>
              <a:solidFill>
                <a:srgbClr val="0070C0"/>
              </a:solidFill>
            </c:spPr>
          </c:dPt>
          <c:dPt>
            <c:idx val="1"/>
            <c:invertIfNegative val="0"/>
            <c:bubble3D val="0"/>
            <c:spPr>
              <a:solidFill>
                <a:srgbClr val="0070C0"/>
              </a:solidFill>
            </c:spPr>
          </c:dPt>
          <c:dLbls>
            <c:txPr>
              <a:bodyPr/>
              <a:lstStyle/>
              <a:p>
                <a:pPr>
                  <a:defRPr sz="899" b="1" i="1"/>
                </a:pPr>
                <a:endParaRPr lang="sk-SK"/>
              </a:p>
            </c:txPr>
            <c:showLegendKey val="0"/>
            <c:showVal val="1"/>
            <c:showCatName val="0"/>
            <c:showSerName val="0"/>
            <c:showPercent val="0"/>
            <c:showBubbleSize val="0"/>
            <c:showLeaderLines val="0"/>
          </c:dLbls>
          <c:cat>
            <c:strRef>
              <c:f>'3.2'!$A$2:$B$8</c:f>
              <c:strCache>
                <c:ptCount val="6"/>
                <c:pt idx="0">
                  <c:v>HT 49 Zmierňovanie klimatickej zmeny a prispôsobovanie sa klimatickej zmene</c:v>
                </c:pt>
                <c:pt idx="1">
                  <c:v>Počet aktivít na znižovanie emisií skleníkových plynov a zmenu palivovej základne energetických zdrojov na výrobu tepla a teplej vody v prospech obnoviteľných zdrojov energie a počet podporných štúdií a programov</c:v>
                </c:pt>
                <c:pt idx="2">
                  <c:v>Zníženie emisií skleníkových plynov (spolu za jednotlivé projekty)</c:v>
                </c:pt>
                <c:pt idx="3">
                  <c:v>Redukcia emisií skleníkových plynov prepočítaných na CO2</c:v>
                </c:pt>
                <c:pt idx="4">
                  <c:v>Zvýšený inštalovaný výkon zariadenia zodpovedajúci obnoviteľným zdrojom energie</c:v>
                </c:pt>
                <c:pt idx="5">
                  <c:v>Počet projektov zameraných na obnoviteľné zdroje energie</c:v>
                </c:pt>
              </c:strCache>
            </c:strRef>
          </c:cat>
          <c:val>
            <c:numRef>
              <c:f>'3.2'!$G$2:$G$8</c:f>
              <c:numCache>
                <c:formatCode>General</c:formatCode>
                <c:ptCount val="6"/>
                <c:pt idx="0">
                  <c:v>0.77880000000000005</c:v>
                </c:pt>
                <c:pt idx="1">
                  <c:v>3.2</c:v>
                </c:pt>
                <c:pt idx="2">
                  <c:v>1.556</c:v>
                </c:pt>
                <c:pt idx="3">
                  <c:v>7.9000000000000001E-2</c:v>
                </c:pt>
                <c:pt idx="4">
                  <c:v>3.7374999999999998</c:v>
                </c:pt>
                <c:pt idx="5">
                  <c:v>1.5238</c:v>
                </c:pt>
              </c:numCache>
            </c:numRef>
          </c:val>
        </c:ser>
        <c:ser>
          <c:idx val="0"/>
          <c:order val="1"/>
          <c:tx>
            <c:strRef>
              <c:f>'3.2'!$C$1</c:f>
              <c:strCache>
                <c:ptCount val="1"/>
                <c:pt idx="0">
                  <c:v>Celková alokácia</c:v>
                </c:pt>
              </c:strCache>
            </c:strRef>
          </c:tx>
          <c:invertIfNegative val="0"/>
          <c:cat>
            <c:strRef>
              <c:f>'3.2'!$A$2:$B$8</c:f>
              <c:strCache>
                <c:ptCount val="6"/>
                <c:pt idx="0">
                  <c:v>HT 49 Zmierňovanie klimatickej zmeny a prispôsobovanie sa klimatickej zmene</c:v>
                </c:pt>
                <c:pt idx="1">
                  <c:v>Počet aktivít na znižovanie emisií skleníkových plynov a zmenu palivovej základne energetických zdrojov na výrobu tepla a teplej vody v prospech obnoviteľných zdrojov energie a počet podporných štúdií a programov</c:v>
                </c:pt>
                <c:pt idx="2">
                  <c:v>Zníženie emisií skleníkových plynov (spolu za jednotlivé projekty)</c:v>
                </c:pt>
                <c:pt idx="3">
                  <c:v>Redukcia emisií skleníkových plynov prepočítaných na CO2</c:v>
                </c:pt>
                <c:pt idx="4">
                  <c:v>Zvýšený inštalovaný výkon zariadenia zodpovedajúci obnoviteľným zdrojom energie</c:v>
                </c:pt>
                <c:pt idx="5">
                  <c:v>Počet projektov zameraných na obnoviteľné zdroje energie</c:v>
                </c:pt>
              </c:strCache>
            </c:strRef>
          </c:cat>
          <c:val>
            <c:numRef>
              <c:f>'3.2'!$C$2:$C$8</c:f>
            </c:numRef>
          </c:val>
        </c:ser>
        <c:ser>
          <c:idx val="1"/>
          <c:order val="2"/>
          <c:tx>
            <c:strRef>
              <c:f>'3.2'!$D$1</c:f>
              <c:strCache>
                <c:ptCount val="1"/>
                <c:pt idx="0">
                  <c:v>Suma zazmluvnená (EÚ zdroje)/cieľové hodnoty indikátorov zazmluvnených projektov</c:v>
                </c:pt>
              </c:strCache>
            </c:strRef>
          </c:tx>
          <c:invertIfNegative val="0"/>
          <c:cat>
            <c:strRef>
              <c:f>'3.2'!$A$2:$B$8</c:f>
              <c:strCache>
                <c:ptCount val="6"/>
                <c:pt idx="0">
                  <c:v>HT 49 Zmierňovanie klimatickej zmeny a prispôsobovanie sa klimatickej zmene</c:v>
                </c:pt>
                <c:pt idx="1">
                  <c:v>Počet aktivít na znižovanie emisií skleníkových plynov a zmenu palivovej základne energetických zdrojov na výrobu tepla a teplej vody v prospech obnoviteľných zdrojov energie a počet podporných štúdií a programov</c:v>
                </c:pt>
                <c:pt idx="2">
                  <c:v>Zníženie emisií skleníkových plynov (spolu za jednotlivé projekty)</c:v>
                </c:pt>
                <c:pt idx="3">
                  <c:v>Redukcia emisií skleníkových plynov prepočítaných na CO2</c:v>
                </c:pt>
                <c:pt idx="4">
                  <c:v>Zvýšený inštalovaný výkon zariadenia zodpovedajúci obnoviteľným zdrojom energie</c:v>
                </c:pt>
                <c:pt idx="5">
                  <c:v>Počet projektov zameraných na obnoviteľné zdroje energie</c:v>
                </c:pt>
              </c:strCache>
            </c:strRef>
          </c:cat>
          <c:val>
            <c:numRef>
              <c:f>'3.2'!$D$2:$D$8</c:f>
            </c:numRef>
          </c:val>
        </c:ser>
        <c:ser>
          <c:idx val="2"/>
          <c:order val="3"/>
          <c:tx>
            <c:strRef>
              <c:f>'3.2'!$E$1</c:f>
              <c:strCache>
                <c:ptCount val="1"/>
                <c:pt idx="0">
                  <c:v>Podiel zazmluvnených projektov na celkovej alokácii - cieľové hodnoty indiktátorov</c:v>
                </c:pt>
              </c:strCache>
            </c:strRef>
          </c:tx>
          <c:spPr>
            <a:solidFill>
              <a:srgbClr val="00B050"/>
            </a:solidFill>
          </c:spPr>
          <c:invertIfNegative val="0"/>
          <c:dPt>
            <c:idx val="0"/>
            <c:invertIfNegative val="0"/>
            <c:bubble3D val="0"/>
            <c:spPr>
              <a:solidFill>
                <a:srgbClr val="C00000"/>
              </a:solidFill>
            </c:spPr>
          </c:dPt>
          <c:dPt>
            <c:idx val="1"/>
            <c:invertIfNegative val="0"/>
            <c:bubble3D val="0"/>
            <c:spPr>
              <a:solidFill>
                <a:srgbClr val="C00000"/>
              </a:solidFill>
            </c:spPr>
          </c:dPt>
          <c:dLbls>
            <c:showLegendKey val="0"/>
            <c:showVal val="1"/>
            <c:showCatName val="0"/>
            <c:showSerName val="0"/>
            <c:showPercent val="0"/>
            <c:showBubbleSize val="0"/>
            <c:showLeaderLines val="0"/>
          </c:dLbls>
          <c:cat>
            <c:strRef>
              <c:f>'3.2'!$A$2:$B$8</c:f>
              <c:strCache>
                <c:ptCount val="6"/>
                <c:pt idx="0">
                  <c:v>HT 49 Zmierňovanie klimatickej zmeny a prispôsobovanie sa klimatickej zmene</c:v>
                </c:pt>
                <c:pt idx="1">
                  <c:v>Počet aktivít na znižovanie emisií skleníkových plynov a zmenu palivovej základne energetických zdrojov na výrobu tepla a teplej vody v prospech obnoviteľných zdrojov energie a počet podporných štúdií a programov</c:v>
                </c:pt>
                <c:pt idx="2">
                  <c:v>Zníženie emisií skleníkových plynov (spolu za jednotlivé projekty)</c:v>
                </c:pt>
                <c:pt idx="3">
                  <c:v>Redukcia emisií skleníkových plynov prepočítaných na CO2</c:v>
                </c:pt>
                <c:pt idx="4">
                  <c:v>Zvýšený inštalovaný výkon zariadenia zodpovedajúci obnoviteľným zdrojom energie</c:v>
                </c:pt>
                <c:pt idx="5">
                  <c:v>Počet projektov zameraných na obnoviteľné zdroje energie</c:v>
                </c:pt>
              </c:strCache>
            </c:strRef>
          </c:cat>
          <c:val>
            <c:numRef>
              <c:f>'3.2'!$E$2:$E$8</c:f>
              <c:numCache>
                <c:formatCode>General</c:formatCode>
                <c:ptCount val="6"/>
                <c:pt idx="0">
                  <c:v>0.82840000000000003</c:v>
                </c:pt>
                <c:pt idx="1">
                  <c:v>3.4</c:v>
                </c:pt>
                <c:pt idx="2">
                  <c:v>6.2666666666666666</c:v>
                </c:pt>
                <c:pt idx="3">
                  <c:v>0.37269999999999998</c:v>
                </c:pt>
                <c:pt idx="4">
                  <c:v>3.79</c:v>
                </c:pt>
                <c:pt idx="5">
                  <c:v>1.71</c:v>
                </c:pt>
              </c:numCache>
            </c:numRef>
          </c:val>
        </c:ser>
        <c:ser>
          <c:idx val="3"/>
          <c:order val="4"/>
          <c:tx>
            <c:strRef>
              <c:f>'3.2'!$F$1</c:f>
              <c:strCache>
                <c:ptCount val="1"/>
                <c:pt idx="0">
                  <c:v>Suma čerpaná  (EÚ zdroje) /merané hodnoty indikátorov zazmluvnených projektov </c:v>
                </c:pt>
              </c:strCache>
            </c:strRef>
          </c:tx>
          <c:invertIfNegative val="0"/>
          <c:cat>
            <c:strRef>
              <c:f>'3.2'!$A$2:$B$8</c:f>
              <c:strCache>
                <c:ptCount val="6"/>
                <c:pt idx="0">
                  <c:v>HT 49 Zmierňovanie klimatickej zmeny a prispôsobovanie sa klimatickej zmene</c:v>
                </c:pt>
                <c:pt idx="1">
                  <c:v>Počet aktivít na znižovanie emisií skleníkových plynov a zmenu palivovej základne energetických zdrojov na výrobu tepla a teplej vody v prospech obnoviteľných zdrojov energie a počet podporných štúdií a programov</c:v>
                </c:pt>
                <c:pt idx="2">
                  <c:v>Zníženie emisií skleníkových plynov (spolu za jednotlivé projekty)</c:v>
                </c:pt>
                <c:pt idx="3">
                  <c:v>Redukcia emisií skleníkových plynov prepočítaných na CO2</c:v>
                </c:pt>
                <c:pt idx="4">
                  <c:v>Zvýšený inštalovaný výkon zariadenia zodpovedajúci obnoviteľným zdrojom energie</c:v>
                </c:pt>
                <c:pt idx="5">
                  <c:v>Počet projektov zameraných na obnoviteľné zdroje energie</c:v>
                </c:pt>
              </c:strCache>
            </c:strRef>
          </c:cat>
          <c:val>
            <c:numRef>
              <c:f>'3.2'!$F$2:$F$8</c:f>
            </c:numRef>
          </c:val>
        </c:ser>
        <c:dLbls>
          <c:showLegendKey val="0"/>
          <c:showVal val="0"/>
          <c:showCatName val="0"/>
          <c:showSerName val="0"/>
          <c:showPercent val="0"/>
          <c:showBubbleSize val="0"/>
        </c:dLbls>
        <c:gapWidth val="150"/>
        <c:axId val="24950656"/>
        <c:axId val="24952192"/>
      </c:barChart>
      <c:catAx>
        <c:axId val="24950656"/>
        <c:scaling>
          <c:orientation val="minMax"/>
        </c:scaling>
        <c:delete val="0"/>
        <c:axPos val="l"/>
        <c:numFmt formatCode="General" sourceLinked="1"/>
        <c:majorTickMark val="out"/>
        <c:minorTickMark val="none"/>
        <c:tickLblPos val="nextTo"/>
        <c:crossAx val="24952192"/>
        <c:crosses val="autoZero"/>
        <c:auto val="1"/>
        <c:lblAlgn val="ctr"/>
        <c:lblOffset val="100"/>
        <c:noMultiLvlLbl val="0"/>
      </c:catAx>
      <c:valAx>
        <c:axId val="24952192"/>
        <c:scaling>
          <c:orientation val="minMax"/>
        </c:scaling>
        <c:delete val="1"/>
        <c:axPos val="b"/>
        <c:numFmt formatCode="General" sourceLinked="1"/>
        <c:majorTickMark val="out"/>
        <c:minorTickMark val="none"/>
        <c:tickLblPos val="nextTo"/>
        <c:crossAx val="24950656"/>
        <c:crosses val="autoZero"/>
        <c:crossBetween val="between"/>
      </c:valAx>
    </c:plotArea>
    <c:legend>
      <c:legendPos val="b"/>
      <c:overlay val="0"/>
    </c:legend>
    <c:plotVisOnly val="1"/>
    <c:dispBlanksAs val="gap"/>
    <c:showDLblsOverMax val="0"/>
  </c:chart>
  <c:externalData r:id="rId2">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sk-SK"/>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barChart>
        <c:barDir val="bar"/>
        <c:grouping val="clustered"/>
        <c:varyColors val="0"/>
        <c:ser>
          <c:idx val="4"/>
          <c:order val="0"/>
          <c:tx>
            <c:strRef>
              <c:f>'4.1.'!$G$1</c:f>
              <c:strCache>
                <c:ptCount val="1"/>
                <c:pt idx="0">
                  <c:v>Podiel zazmluvnených projektov na celkovej alokácii - merané hodnoty  indiktátorov</c:v>
                </c:pt>
              </c:strCache>
            </c:strRef>
          </c:tx>
          <c:spPr>
            <a:solidFill>
              <a:srgbClr val="FFFF00"/>
            </a:solidFill>
          </c:spPr>
          <c:invertIfNegative val="0"/>
          <c:dPt>
            <c:idx val="0"/>
            <c:invertIfNegative val="0"/>
            <c:bubble3D val="0"/>
            <c:spPr>
              <a:solidFill>
                <a:srgbClr val="0070C0"/>
              </a:solidFill>
            </c:spPr>
          </c:dPt>
          <c:dLbls>
            <c:txPr>
              <a:bodyPr/>
              <a:lstStyle/>
              <a:p>
                <a:pPr>
                  <a:defRPr b="1" i="1"/>
                </a:pPr>
                <a:endParaRPr lang="sk-SK"/>
              </a:p>
            </c:txPr>
            <c:showLegendKey val="0"/>
            <c:showVal val="1"/>
            <c:showCatName val="0"/>
            <c:showSerName val="0"/>
            <c:showPercent val="0"/>
            <c:showBubbleSize val="0"/>
            <c:showLeaderLines val="0"/>
          </c:dLbls>
          <c:cat>
            <c:strRef>
              <c:f>'4.1.'!$A$2:$B$7</c:f>
              <c:strCache>
                <c:ptCount val="3"/>
                <c:pt idx="0">
                  <c:v>HT 44 Hospodárenie s domácim a priemyselným odpadom</c:v>
                </c:pt>
                <c:pt idx="1">
                  <c:v>Množstvo vyseparovaných komunálnych odpadov (spolu za projekty)</c:v>
                </c:pt>
                <c:pt idx="2">
                  <c:v>Počet vybudovaných alebo zmodernizovaných zariadení na separovaný zber</c:v>
                </c:pt>
              </c:strCache>
            </c:strRef>
          </c:cat>
          <c:val>
            <c:numRef>
              <c:f>'4.1.'!$G$2:$G$7</c:f>
              <c:numCache>
                <c:formatCode>General</c:formatCode>
                <c:ptCount val="3"/>
                <c:pt idx="0">
                  <c:v>0.48859999999999998</c:v>
                </c:pt>
                <c:pt idx="1">
                  <c:v>0.15740000000000001</c:v>
                </c:pt>
                <c:pt idx="2">
                  <c:v>2.17</c:v>
                </c:pt>
              </c:numCache>
            </c:numRef>
          </c:val>
        </c:ser>
        <c:ser>
          <c:idx val="0"/>
          <c:order val="1"/>
          <c:tx>
            <c:strRef>
              <c:f>'4.1.'!$C$1</c:f>
              <c:strCache>
                <c:ptCount val="1"/>
                <c:pt idx="0">
                  <c:v>Celková alokácia</c:v>
                </c:pt>
              </c:strCache>
            </c:strRef>
          </c:tx>
          <c:invertIfNegative val="0"/>
          <c:cat>
            <c:strRef>
              <c:f>'4.1.'!$A$2:$B$7</c:f>
              <c:strCache>
                <c:ptCount val="3"/>
                <c:pt idx="0">
                  <c:v>HT 44 Hospodárenie s domácim a priemyselným odpadom</c:v>
                </c:pt>
                <c:pt idx="1">
                  <c:v>Množstvo vyseparovaných komunálnych odpadov (spolu za projekty)</c:v>
                </c:pt>
                <c:pt idx="2">
                  <c:v>Počet vybudovaných alebo zmodernizovaných zariadení na separovaný zber</c:v>
                </c:pt>
              </c:strCache>
            </c:strRef>
          </c:cat>
          <c:val>
            <c:numRef>
              <c:f>'4.1.'!$C$2:$C$7</c:f>
            </c:numRef>
          </c:val>
        </c:ser>
        <c:ser>
          <c:idx val="1"/>
          <c:order val="2"/>
          <c:tx>
            <c:strRef>
              <c:f>'4.1.'!$D$1</c:f>
              <c:strCache>
                <c:ptCount val="1"/>
                <c:pt idx="0">
                  <c:v>Suma zazmluvnená (EÚ zdroje)/cieľové hodnoty indikátorov zazmluvnených projektov</c:v>
                </c:pt>
              </c:strCache>
            </c:strRef>
          </c:tx>
          <c:invertIfNegative val="0"/>
          <c:cat>
            <c:strRef>
              <c:f>'4.1.'!$A$2:$B$7</c:f>
              <c:strCache>
                <c:ptCount val="3"/>
                <c:pt idx="0">
                  <c:v>HT 44 Hospodárenie s domácim a priemyselným odpadom</c:v>
                </c:pt>
                <c:pt idx="1">
                  <c:v>Množstvo vyseparovaných komunálnych odpadov (spolu za projekty)</c:v>
                </c:pt>
                <c:pt idx="2">
                  <c:v>Počet vybudovaných alebo zmodernizovaných zariadení na separovaný zber</c:v>
                </c:pt>
              </c:strCache>
            </c:strRef>
          </c:cat>
          <c:val>
            <c:numRef>
              <c:f>'4.1.'!$D$2:$D$7</c:f>
            </c:numRef>
          </c:val>
        </c:ser>
        <c:ser>
          <c:idx val="2"/>
          <c:order val="3"/>
          <c:tx>
            <c:strRef>
              <c:f>'4.1.'!$E$1</c:f>
              <c:strCache>
                <c:ptCount val="1"/>
                <c:pt idx="0">
                  <c:v>Podiel zazmluvnených projektov na celkovej alokácii - cieľové hodnoty indiktátorov</c:v>
                </c:pt>
              </c:strCache>
            </c:strRef>
          </c:tx>
          <c:spPr>
            <a:solidFill>
              <a:srgbClr val="00B050"/>
            </a:solidFill>
          </c:spPr>
          <c:invertIfNegative val="0"/>
          <c:dPt>
            <c:idx val="0"/>
            <c:invertIfNegative val="0"/>
            <c:bubble3D val="0"/>
            <c:spPr>
              <a:solidFill>
                <a:srgbClr val="C00000"/>
              </a:solidFill>
            </c:spPr>
          </c:dPt>
          <c:dLbls>
            <c:showLegendKey val="0"/>
            <c:showVal val="1"/>
            <c:showCatName val="0"/>
            <c:showSerName val="0"/>
            <c:showPercent val="0"/>
            <c:showBubbleSize val="0"/>
            <c:showLeaderLines val="0"/>
          </c:dLbls>
          <c:cat>
            <c:strRef>
              <c:f>'4.1.'!$A$2:$B$7</c:f>
              <c:strCache>
                <c:ptCount val="3"/>
                <c:pt idx="0">
                  <c:v>HT 44 Hospodárenie s domácim a priemyselným odpadom</c:v>
                </c:pt>
                <c:pt idx="1">
                  <c:v>Množstvo vyseparovaných komunálnych odpadov (spolu za projekty)</c:v>
                </c:pt>
                <c:pt idx="2">
                  <c:v>Počet vybudovaných alebo zmodernizovaných zariadení na separovaný zber</c:v>
                </c:pt>
              </c:strCache>
            </c:strRef>
          </c:cat>
          <c:val>
            <c:numRef>
              <c:f>'4.1.'!$E$2:$E$7</c:f>
              <c:numCache>
                <c:formatCode>General</c:formatCode>
                <c:ptCount val="3"/>
                <c:pt idx="0">
                  <c:v>0.80679999999999996</c:v>
                </c:pt>
                <c:pt idx="1">
                  <c:v>0.96</c:v>
                </c:pt>
                <c:pt idx="2">
                  <c:v>4.9800000000000004</c:v>
                </c:pt>
              </c:numCache>
            </c:numRef>
          </c:val>
        </c:ser>
        <c:ser>
          <c:idx val="3"/>
          <c:order val="4"/>
          <c:tx>
            <c:strRef>
              <c:f>'4.1.'!$F$1</c:f>
              <c:strCache>
                <c:ptCount val="1"/>
                <c:pt idx="0">
                  <c:v>Suma čerpaná  (EÚ zdroje) /merané hodnoty indikátorov zazmluvnených projektov </c:v>
                </c:pt>
              </c:strCache>
            </c:strRef>
          </c:tx>
          <c:invertIfNegative val="0"/>
          <c:cat>
            <c:strRef>
              <c:f>'4.1.'!$A$2:$B$7</c:f>
              <c:strCache>
                <c:ptCount val="3"/>
                <c:pt idx="0">
                  <c:v>HT 44 Hospodárenie s domácim a priemyselným odpadom</c:v>
                </c:pt>
                <c:pt idx="1">
                  <c:v>Množstvo vyseparovaných komunálnych odpadov (spolu za projekty)</c:v>
                </c:pt>
                <c:pt idx="2">
                  <c:v>Počet vybudovaných alebo zmodernizovaných zariadení na separovaný zber</c:v>
                </c:pt>
              </c:strCache>
            </c:strRef>
          </c:cat>
          <c:val>
            <c:numRef>
              <c:f>'4.1.'!$F$2:$F$7</c:f>
            </c:numRef>
          </c:val>
        </c:ser>
        <c:dLbls>
          <c:showLegendKey val="0"/>
          <c:showVal val="0"/>
          <c:showCatName val="0"/>
          <c:showSerName val="0"/>
          <c:showPercent val="0"/>
          <c:showBubbleSize val="0"/>
        </c:dLbls>
        <c:gapWidth val="150"/>
        <c:axId val="26038272"/>
        <c:axId val="26039808"/>
      </c:barChart>
      <c:catAx>
        <c:axId val="26038272"/>
        <c:scaling>
          <c:orientation val="minMax"/>
        </c:scaling>
        <c:delete val="0"/>
        <c:axPos val="l"/>
        <c:numFmt formatCode="General" sourceLinked="1"/>
        <c:majorTickMark val="out"/>
        <c:minorTickMark val="none"/>
        <c:tickLblPos val="nextTo"/>
        <c:crossAx val="26039808"/>
        <c:crosses val="autoZero"/>
        <c:auto val="1"/>
        <c:lblAlgn val="ctr"/>
        <c:lblOffset val="100"/>
        <c:noMultiLvlLbl val="0"/>
      </c:catAx>
      <c:valAx>
        <c:axId val="26039808"/>
        <c:scaling>
          <c:orientation val="minMax"/>
        </c:scaling>
        <c:delete val="1"/>
        <c:axPos val="b"/>
        <c:numFmt formatCode="General" sourceLinked="1"/>
        <c:majorTickMark val="out"/>
        <c:minorTickMark val="none"/>
        <c:tickLblPos val="nextTo"/>
        <c:crossAx val="26038272"/>
        <c:crosses val="autoZero"/>
        <c:crossBetween val="between"/>
      </c:valAx>
    </c:plotArea>
    <c:legend>
      <c:legendPos val="b"/>
      <c:overlay val="0"/>
    </c:legend>
    <c:plotVisOnly val="1"/>
    <c:dispBlanksAs val="gap"/>
    <c:showDLblsOverMax val="0"/>
  </c:chart>
  <c:externalData r:id="rId2">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c:date1904 val="0"/>
  <c:lang val="sk-SK"/>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barChart>
        <c:barDir val="bar"/>
        <c:grouping val="clustered"/>
        <c:varyColors val="0"/>
        <c:ser>
          <c:idx val="4"/>
          <c:order val="0"/>
          <c:tx>
            <c:strRef>
              <c:f>'4.2'!$G$1</c:f>
              <c:strCache>
                <c:ptCount val="1"/>
                <c:pt idx="0">
                  <c:v>Podiel zazmluvnených projektov na celkovej alokácii - merané hodnoty  indiktátorov</c:v>
                </c:pt>
              </c:strCache>
            </c:strRef>
          </c:tx>
          <c:spPr>
            <a:solidFill>
              <a:srgbClr val="FFFF00"/>
            </a:solidFill>
          </c:spPr>
          <c:invertIfNegative val="0"/>
          <c:dPt>
            <c:idx val="0"/>
            <c:invertIfNegative val="0"/>
            <c:bubble3D val="0"/>
            <c:spPr>
              <a:solidFill>
                <a:srgbClr val="0070C0"/>
              </a:solidFill>
            </c:spPr>
          </c:dPt>
          <c:dLbls>
            <c:txPr>
              <a:bodyPr/>
              <a:lstStyle/>
              <a:p>
                <a:pPr>
                  <a:defRPr sz="899" b="1" i="1"/>
                </a:pPr>
                <a:endParaRPr lang="sk-SK"/>
              </a:p>
            </c:txPr>
            <c:showLegendKey val="0"/>
            <c:showVal val="1"/>
            <c:showCatName val="0"/>
            <c:showSerName val="0"/>
            <c:showPercent val="0"/>
            <c:showBubbleSize val="0"/>
            <c:showLeaderLines val="0"/>
          </c:dLbls>
          <c:cat>
            <c:strRef>
              <c:f>'4.2'!$A$2:$B$8</c:f>
              <c:strCache>
                <c:ptCount val="5"/>
                <c:pt idx="0">
                  <c:v>HT 44 Hospodárenie s domácim a priemyselným odpadom</c:v>
                </c:pt>
                <c:pt idx="1">
                  <c:v>Množstvo materiálovo zhodnotených odpadov (spolu za projekty)</c:v>
                </c:pt>
                <c:pt idx="2">
                  <c:v>Počet vybudovaných alebo zmodernizovaných zariadení na materiálové zhodnocovanie odpadov</c:v>
                </c:pt>
                <c:pt idx="3">
                  <c:v>Množstvo energeticky zhodnotených odpadov (spolu za projekty)</c:v>
                </c:pt>
                <c:pt idx="4">
                  <c:v>Počet vybudovaných alebo zmodernizovaných zariadení na energetické zhodnocovanie odpadov</c:v>
                </c:pt>
              </c:strCache>
            </c:strRef>
          </c:cat>
          <c:val>
            <c:numRef>
              <c:f>'4.2'!$G$2:$G$8</c:f>
              <c:numCache>
                <c:formatCode>General</c:formatCode>
                <c:ptCount val="5"/>
                <c:pt idx="0">
                  <c:v>0.48859999999999998</c:v>
                </c:pt>
                <c:pt idx="1">
                  <c:v>1.6819999999999999</c:v>
                </c:pt>
                <c:pt idx="2">
                  <c:v>2.7669999999999999</c:v>
                </c:pt>
                <c:pt idx="3">
                  <c:v>0</c:v>
                </c:pt>
                <c:pt idx="4">
                  <c:v>0.2</c:v>
                </c:pt>
              </c:numCache>
            </c:numRef>
          </c:val>
        </c:ser>
        <c:ser>
          <c:idx val="0"/>
          <c:order val="1"/>
          <c:tx>
            <c:strRef>
              <c:f>'4.2'!$C$1</c:f>
              <c:strCache>
                <c:ptCount val="1"/>
                <c:pt idx="0">
                  <c:v>Celková alokácia</c:v>
                </c:pt>
              </c:strCache>
            </c:strRef>
          </c:tx>
          <c:invertIfNegative val="0"/>
          <c:cat>
            <c:strRef>
              <c:f>'4.2'!$A$2:$B$8</c:f>
              <c:strCache>
                <c:ptCount val="5"/>
                <c:pt idx="0">
                  <c:v>HT 44 Hospodárenie s domácim a priemyselným odpadom</c:v>
                </c:pt>
                <c:pt idx="1">
                  <c:v>Množstvo materiálovo zhodnotených odpadov (spolu za projekty)</c:v>
                </c:pt>
                <c:pt idx="2">
                  <c:v>Počet vybudovaných alebo zmodernizovaných zariadení na materiálové zhodnocovanie odpadov</c:v>
                </c:pt>
                <c:pt idx="3">
                  <c:v>Množstvo energeticky zhodnotených odpadov (spolu za projekty)</c:v>
                </c:pt>
                <c:pt idx="4">
                  <c:v>Počet vybudovaných alebo zmodernizovaných zariadení na energetické zhodnocovanie odpadov</c:v>
                </c:pt>
              </c:strCache>
            </c:strRef>
          </c:cat>
          <c:val>
            <c:numRef>
              <c:f>'4.2'!$C$2:$C$8</c:f>
            </c:numRef>
          </c:val>
        </c:ser>
        <c:ser>
          <c:idx val="1"/>
          <c:order val="2"/>
          <c:tx>
            <c:strRef>
              <c:f>'4.2'!$D$1</c:f>
              <c:strCache>
                <c:ptCount val="1"/>
                <c:pt idx="0">
                  <c:v>Suma zazmluvnená (EÚ zdroje)/cieľové hodnoty indikátorov zazmluvnených projektov</c:v>
                </c:pt>
              </c:strCache>
            </c:strRef>
          </c:tx>
          <c:invertIfNegative val="0"/>
          <c:cat>
            <c:strRef>
              <c:f>'4.2'!$A$2:$B$8</c:f>
              <c:strCache>
                <c:ptCount val="5"/>
                <c:pt idx="0">
                  <c:v>HT 44 Hospodárenie s domácim a priemyselným odpadom</c:v>
                </c:pt>
                <c:pt idx="1">
                  <c:v>Množstvo materiálovo zhodnotených odpadov (spolu za projekty)</c:v>
                </c:pt>
                <c:pt idx="2">
                  <c:v>Počet vybudovaných alebo zmodernizovaných zariadení na materiálové zhodnocovanie odpadov</c:v>
                </c:pt>
                <c:pt idx="3">
                  <c:v>Množstvo energeticky zhodnotených odpadov (spolu za projekty)</c:v>
                </c:pt>
                <c:pt idx="4">
                  <c:v>Počet vybudovaných alebo zmodernizovaných zariadení na energetické zhodnocovanie odpadov</c:v>
                </c:pt>
              </c:strCache>
            </c:strRef>
          </c:cat>
          <c:val>
            <c:numRef>
              <c:f>'4.2'!$D$2:$D$8</c:f>
            </c:numRef>
          </c:val>
        </c:ser>
        <c:ser>
          <c:idx val="2"/>
          <c:order val="3"/>
          <c:tx>
            <c:strRef>
              <c:f>'4.2'!$E$1</c:f>
              <c:strCache>
                <c:ptCount val="1"/>
                <c:pt idx="0">
                  <c:v>Podiel zazmluvnených projektov na celkovej alokácii - cieľové hodnoty indiktátorov</c:v>
                </c:pt>
              </c:strCache>
            </c:strRef>
          </c:tx>
          <c:spPr>
            <a:solidFill>
              <a:srgbClr val="00B050"/>
            </a:solidFill>
          </c:spPr>
          <c:invertIfNegative val="0"/>
          <c:dPt>
            <c:idx val="0"/>
            <c:invertIfNegative val="0"/>
            <c:bubble3D val="0"/>
            <c:spPr>
              <a:solidFill>
                <a:srgbClr val="C00000"/>
              </a:solidFill>
            </c:spPr>
          </c:dPt>
          <c:dLbls>
            <c:showLegendKey val="0"/>
            <c:showVal val="1"/>
            <c:showCatName val="0"/>
            <c:showSerName val="0"/>
            <c:showPercent val="0"/>
            <c:showBubbleSize val="0"/>
            <c:showLeaderLines val="0"/>
          </c:dLbls>
          <c:cat>
            <c:strRef>
              <c:f>'4.2'!$A$2:$B$8</c:f>
              <c:strCache>
                <c:ptCount val="5"/>
                <c:pt idx="0">
                  <c:v>HT 44 Hospodárenie s domácim a priemyselným odpadom</c:v>
                </c:pt>
                <c:pt idx="1">
                  <c:v>Množstvo materiálovo zhodnotených odpadov (spolu za projekty)</c:v>
                </c:pt>
                <c:pt idx="2">
                  <c:v>Počet vybudovaných alebo zmodernizovaných zariadení na materiálové zhodnocovanie odpadov</c:v>
                </c:pt>
                <c:pt idx="3">
                  <c:v>Množstvo energeticky zhodnotených odpadov (spolu za projekty)</c:v>
                </c:pt>
                <c:pt idx="4">
                  <c:v>Počet vybudovaných alebo zmodernizovaných zariadení na energetické zhodnocovanie odpadov</c:v>
                </c:pt>
              </c:strCache>
            </c:strRef>
          </c:cat>
          <c:val>
            <c:numRef>
              <c:f>'4.2'!$E$2:$E$8</c:f>
              <c:numCache>
                <c:formatCode>General</c:formatCode>
                <c:ptCount val="5"/>
                <c:pt idx="0">
                  <c:v>0.80679999999999996</c:v>
                </c:pt>
                <c:pt idx="1">
                  <c:v>7.97</c:v>
                </c:pt>
                <c:pt idx="2">
                  <c:v>3.43</c:v>
                </c:pt>
                <c:pt idx="3">
                  <c:v>3.34</c:v>
                </c:pt>
                <c:pt idx="4">
                  <c:v>0.6</c:v>
                </c:pt>
              </c:numCache>
            </c:numRef>
          </c:val>
        </c:ser>
        <c:ser>
          <c:idx val="3"/>
          <c:order val="4"/>
          <c:tx>
            <c:strRef>
              <c:f>'4.2'!$F$1</c:f>
              <c:strCache>
                <c:ptCount val="1"/>
                <c:pt idx="0">
                  <c:v>Suma čerpaná  (EÚ zdroje) /merané hodnoty indikátorov zazmluvnených projektov </c:v>
                </c:pt>
              </c:strCache>
            </c:strRef>
          </c:tx>
          <c:invertIfNegative val="0"/>
          <c:cat>
            <c:strRef>
              <c:f>'4.2'!$A$2:$B$8</c:f>
              <c:strCache>
                <c:ptCount val="5"/>
                <c:pt idx="0">
                  <c:v>HT 44 Hospodárenie s domácim a priemyselným odpadom</c:v>
                </c:pt>
                <c:pt idx="1">
                  <c:v>Množstvo materiálovo zhodnotených odpadov (spolu za projekty)</c:v>
                </c:pt>
                <c:pt idx="2">
                  <c:v>Počet vybudovaných alebo zmodernizovaných zariadení na materiálové zhodnocovanie odpadov</c:v>
                </c:pt>
                <c:pt idx="3">
                  <c:v>Množstvo energeticky zhodnotených odpadov (spolu za projekty)</c:v>
                </c:pt>
                <c:pt idx="4">
                  <c:v>Počet vybudovaných alebo zmodernizovaných zariadení na energetické zhodnocovanie odpadov</c:v>
                </c:pt>
              </c:strCache>
            </c:strRef>
          </c:cat>
          <c:val>
            <c:numRef>
              <c:f>'4.2'!$F$2:$F$8</c:f>
            </c:numRef>
          </c:val>
        </c:ser>
        <c:dLbls>
          <c:showLegendKey val="0"/>
          <c:showVal val="0"/>
          <c:showCatName val="0"/>
          <c:showSerName val="0"/>
          <c:showPercent val="0"/>
          <c:showBubbleSize val="0"/>
        </c:dLbls>
        <c:gapWidth val="150"/>
        <c:axId val="27731456"/>
        <c:axId val="27732992"/>
      </c:barChart>
      <c:catAx>
        <c:axId val="27731456"/>
        <c:scaling>
          <c:orientation val="minMax"/>
        </c:scaling>
        <c:delete val="0"/>
        <c:axPos val="l"/>
        <c:numFmt formatCode="General" sourceLinked="1"/>
        <c:majorTickMark val="out"/>
        <c:minorTickMark val="none"/>
        <c:tickLblPos val="nextTo"/>
        <c:crossAx val="27732992"/>
        <c:crosses val="autoZero"/>
        <c:auto val="0"/>
        <c:lblAlgn val="ctr"/>
        <c:lblOffset val="100"/>
        <c:noMultiLvlLbl val="0"/>
      </c:catAx>
      <c:valAx>
        <c:axId val="27732992"/>
        <c:scaling>
          <c:orientation val="minMax"/>
        </c:scaling>
        <c:delete val="1"/>
        <c:axPos val="b"/>
        <c:numFmt formatCode="General" sourceLinked="1"/>
        <c:majorTickMark val="out"/>
        <c:minorTickMark val="none"/>
        <c:tickLblPos val="nextTo"/>
        <c:crossAx val="27731456"/>
        <c:crosses val="autoZero"/>
        <c:crossBetween val="between"/>
      </c:valAx>
    </c:plotArea>
    <c:legend>
      <c:legendPos val="b"/>
      <c:overlay val="0"/>
    </c:legend>
    <c:plotVisOnly val="1"/>
    <c:dispBlanksAs val="gap"/>
    <c:showDLblsOverMax val="0"/>
  </c:chart>
  <c:externalData r:id="rId2">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c:date1904 val="0"/>
  <c:lang val="sk-SK"/>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barChart>
        <c:barDir val="bar"/>
        <c:grouping val="clustered"/>
        <c:varyColors val="0"/>
        <c:ser>
          <c:idx val="4"/>
          <c:order val="0"/>
          <c:tx>
            <c:strRef>
              <c:f>'4.3.'!$G$1</c:f>
              <c:strCache>
                <c:ptCount val="1"/>
                <c:pt idx="0">
                  <c:v>Podiel zazmluvnených projektov na celkovej alokácii - merané hodnoty  indiktátorov</c:v>
                </c:pt>
              </c:strCache>
            </c:strRef>
          </c:tx>
          <c:spPr>
            <a:solidFill>
              <a:srgbClr val="FFFF00"/>
            </a:solidFill>
          </c:spPr>
          <c:invertIfNegative val="0"/>
          <c:dPt>
            <c:idx val="0"/>
            <c:invertIfNegative val="0"/>
            <c:bubble3D val="0"/>
            <c:spPr>
              <a:solidFill>
                <a:srgbClr val="0070C0"/>
              </a:solidFill>
            </c:spPr>
          </c:dPt>
          <c:dLbls>
            <c:txPr>
              <a:bodyPr/>
              <a:lstStyle/>
              <a:p>
                <a:pPr>
                  <a:defRPr b="1" i="1"/>
                </a:pPr>
                <a:endParaRPr lang="sk-SK"/>
              </a:p>
            </c:txPr>
            <c:showLegendKey val="0"/>
            <c:showVal val="1"/>
            <c:showCatName val="0"/>
            <c:showSerName val="0"/>
            <c:showPercent val="0"/>
            <c:showBubbleSize val="0"/>
            <c:showLeaderLines val="0"/>
          </c:dLbls>
          <c:cat>
            <c:strRef>
              <c:f>'4.3.'!$A$2:$B$7</c:f>
              <c:strCache>
                <c:ptCount val="4"/>
                <c:pt idx="0">
                  <c:v>HT 44 Hospodárenie s domácim a priemyselným odpadom</c:v>
                </c:pt>
                <c:pt idx="1">
                  <c:v>Podiel zneškodnených NO v rámci projektov na celkovom vyprodukovanom množstve NO v rámci SR</c:v>
                </c:pt>
                <c:pt idx="2">
                  <c:v>Podiel zhodnotených NO v rámci projektov na celkovom vyprodukovanom množstve NO v rámci SR</c:v>
                </c:pt>
                <c:pt idx="3">
                  <c:v>Počet vybudovaných zariadení na nakladanie s nebezpečnými odpadmi</c:v>
                </c:pt>
              </c:strCache>
            </c:strRef>
          </c:cat>
          <c:val>
            <c:numRef>
              <c:f>'4.3.'!$G$2:$G$7</c:f>
              <c:numCache>
                <c:formatCode>General</c:formatCode>
                <c:ptCount val="4"/>
                <c:pt idx="0">
                  <c:v>0.48859999999999998</c:v>
                </c:pt>
                <c:pt idx="1">
                  <c:v>0</c:v>
                </c:pt>
                <c:pt idx="2">
                  <c:v>0.13400000000000001</c:v>
                </c:pt>
                <c:pt idx="3">
                  <c:v>0.66700000000000004</c:v>
                </c:pt>
              </c:numCache>
            </c:numRef>
          </c:val>
        </c:ser>
        <c:ser>
          <c:idx val="0"/>
          <c:order val="1"/>
          <c:tx>
            <c:strRef>
              <c:f>'4.3.'!$C$1</c:f>
              <c:strCache>
                <c:ptCount val="1"/>
                <c:pt idx="0">
                  <c:v>Celková alokácia</c:v>
                </c:pt>
              </c:strCache>
            </c:strRef>
          </c:tx>
          <c:invertIfNegative val="0"/>
          <c:cat>
            <c:strRef>
              <c:f>'4.3.'!$A$2:$B$7</c:f>
              <c:strCache>
                <c:ptCount val="4"/>
                <c:pt idx="0">
                  <c:v>HT 44 Hospodárenie s domácim a priemyselným odpadom</c:v>
                </c:pt>
                <c:pt idx="1">
                  <c:v>Podiel zneškodnených NO v rámci projektov na celkovom vyprodukovanom množstve NO v rámci SR</c:v>
                </c:pt>
                <c:pt idx="2">
                  <c:v>Podiel zhodnotených NO v rámci projektov na celkovom vyprodukovanom množstve NO v rámci SR</c:v>
                </c:pt>
                <c:pt idx="3">
                  <c:v>Počet vybudovaných zariadení na nakladanie s nebezpečnými odpadmi</c:v>
                </c:pt>
              </c:strCache>
            </c:strRef>
          </c:cat>
          <c:val>
            <c:numRef>
              <c:f>'4.3.'!$C$2:$C$7</c:f>
            </c:numRef>
          </c:val>
        </c:ser>
        <c:ser>
          <c:idx val="1"/>
          <c:order val="2"/>
          <c:tx>
            <c:strRef>
              <c:f>'4.3.'!$D$1</c:f>
              <c:strCache>
                <c:ptCount val="1"/>
                <c:pt idx="0">
                  <c:v>Suma zazmluvnená (EÚ zdroje)/cieľové hodnoty indikátorov zazmluvnených projektov</c:v>
                </c:pt>
              </c:strCache>
            </c:strRef>
          </c:tx>
          <c:invertIfNegative val="0"/>
          <c:cat>
            <c:strRef>
              <c:f>'4.3.'!$A$2:$B$7</c:f>
              <c:strCache>
                <c:ptCount val="4"/>
                <c:pt idx="0">
                  <c:v>HT 44 Hospodárenie s domácim a priemyselným odpadom</c:v>
                </c:pt>
                <c:pt idx="1">
                  <c:v>Podiel zneškodnených NO v rámci projektov na celkovom vyprodukovanom množstve NO v rámci SR</c:v>
                </c:pt>
                <c:pt idx="2">
                  <c:v>Podiel zhodnotených NO v rámci projektov na celkovom vyprodukovanom množstve NO v rámci SR</c:v>
                </c:pt>
                <c:pt idx="3">
                  <c:v>Počet vybudovaných zariadení na nakladanie s nebezpečnými odpadmi</c:v>
                </c:pt>
              </c:strCache>
            </c:strRef>
          </c:cat>
          <c:val>
            <c:numRef>
              <c:f>'4.3.'!$D$2:$D$7</c:f>
            </c:numRef>
          </c:val>
        </c:ser>
        <c:ser>
          <c:idx val="2"/>
          <c:order val="3"/>
          <c:tx>
            <c:strRef>
              <c:f>'4.3.'!$E$1</c:f>
              <c:strCache>
                <c:ptCount val="1"/>
                <c:pt idx="0">
                  <c:v>Podiel zazmluvnených projektov na celkovej alokácii - cieľové hodnoty indiktátorov</c:v>
                </c:pt>
              </c:strCache>
            </c:strRef>
          </c:tx>
          <c:spPr>
            <a:solidFill>
              <a:srgbClr val="00B050"/>
            </a:solidFill>
          </c:spPr>
          <c:invertIfNegative val="0"/>
          <c:dPt>
            <c:idx val="0"/>
            <c:invertIfNegative val="0"/>
            <c:bubble3D val="0"/>
            <c:spPr>
              <a:solidFill>
                <a:srgbClr val="C00000"/>
              </a:solidFill>
            </c:spPr>
          </c:dPt>
          <c:dLbls>
            <c:showLegendKey val="0"/>
            <c:showVal val="1"/>
            <c:showCatName val="0"/>
            <c:showSerName val="0"/>
            <c:showPercent val="0"/>
            <c:showBubbleSize val="0"/>
            <c:showLeaderLines val="0"/>
          </c:dLbls>
          <c:cat>
            <c:strRef>
              <c:f>'4.3.'!$A$2:$B$7</c:f>
              <c:strCache>
                <c:ptCount val="4"/>
                <c:pt idx="0">
                  <c:v>HT 44 Hospodárenie s domácim a priemyselným odpadom</c:v>
                </c:pt>
                <c:pt idx="1">
                  <c:v>Podiel zneškodnených NO v rámci projektov na celkovom vyprodukovanom množstve NO v rámci SR</c:v>
                </c:pt>
                <c:pt idx="2">
                  <c:v>Podiel zhodnotených NO v rámci projektov na celkovom vyprodukovanom množstve NO v rámci SR</c:v>
                </c:pt>
                <c:pt idx="3">
                  <c:v>Počet vybudovaných zariadení na nakladanie s nebezpečnými odpadmi</c:v>
                </c:pt>
              </c:strCache>
            </c:strRef>
          </c:cat>
          <c:val>
            <c:numRef>
              <c:f>'4.3.'!$E$2:$E$7</c:f>
              <c:numCache>
                <c:formatCode>General</c:formatCode>
                <c:ptCount val="4"/>
                <c:pt idx="0">
                  <c:v>0.80679999999999996</c:v>
                </c:pt>
                <c:pt idx="1">
                  <c:v>3.7499999999999999E-2</c:v>
                </c:pt>
                <c:pt idx="2">
                  <c:v>0.67800000000000005</c:v>
                </c:pt>
                <c:pt idx="3">
                  <c:v>0.75</c:v>
                </c:pt>
              </c:numCache>
            </c:numRef>
          </c:val>
        </c:ser>
        <c:ser>
          <c:idx val="3"/>
          <c:order val="4"/>
          <c:tx>
            <c:strRef>
              <c:f>'4.3.'!$F$1</c:f>
              <c:strCache>
                <c:ptCount val="1"/>
                <c:pt idx="0">
                  <c:v>Suma čerpaná  (EÚ zdroje) /merané hodnoty indikátorov zazmluvnených projektov </c:v>
                </c:pt>
              </c:strCache>
            </c:strRef>
          </c:tx>
          <c:invertIfNegative val="0"/>
          <c:cat>
            <c:strRef>
              <c:f>'4.3.'!$A$2:$B$7</c:f>
              <c:strCache>
                <c:ptCount val="4"/>
                <c:pt idx="0">
                  <c:v>HT 44 Hospodárenie s domácim a priemyselným odpadom</c:v>
                </c:pt>
                <c:pt idx="1">
                  <c:v>Podiel zneškodnených NO v rámci projektov na celkovom vyprodukovanom množstve NO v rámci SR</c:v>
                </c:pt>
                <c:pt idx="2">
                  <c:v>Podiel zhodnotených NO v rámci projektov na celkovom vyprodukovanom množstve NO v rámci SR</c:v>
                </c:pt>
                <c:pt idx="3">
                  <c:v>Počet vybudovaných zariadení na nakladanie s nebezpečnými odpadmi</c:v>
                </c:pt>
              </c:strCache>
            </c:strRef>
          </c:cat>
          <c:val>
            <c:numRef>
              <c:f>'4.3.'!$F$2:$F$7</c:f>
            </c:numRef>
          </c:val>
        </c:ser>
        <c:dLbls>
          <c:showLegendKey val="0"/>
          <c:showVal val="0"/>
          <c:showCatName val="0"/>
          <c:showSerName val="0"/>
          <c:showPercent val="0"/>
          <c:showBubbleSize val="0"/>
        </c:dLbls>
        <c:gapWidth val="150"/>
        <c:axId val="26377216"/>
        <c:axId val="26383104"/>
      </c:barChart>
      <c:catAx>
        <c:axId val="26377216"/>
        <c:scaling>
          <c:orientation val="minMax"/>
        </c:scaling>
        <c:delete val="0"/>
        <c:axPos val="l"/>
        <c:numFmt formatCode="General" sourceLinked="1"/>
        <c:majorTickMark val="out"/>
        <c:minorTickMark val="none"/>
        <c:tickLblPos val="nextTo"/>
        <c:crossAx val="26383104"/>
        <c:crosses val="autoZero"/>
        <c:auto val="1"/>
        <c:lblAlgn val="ctr"/>
        <c:lblOffset val="100"/>
        <c:noMultiLvlLbl val="0"/>
      </c:catAx>
      <c:valAx>
        <c:axId val="26383104"/>
        <c:scaling>
          <c:orientation val="minMax"/>
        </c:scaling>
        <c:delete val="1"/>
        <c:axPos val="b"/>
        <c:numFmt formatCode="General" sourceLinked="1"/>
        <c:majorTickMark val="out"/>
        <c:minorTickMark val="none"/>
        <c:tickLblPos val="nextTo"/>
        <c:crossAx val="26377216"/>
        <c:crosses val="autoZero"/>
        <c:crossBetween val="between"/>
      </c:valAx>
    </c:plotArea>
    <c:legend>
      <c:legendPos val="b"/>
      <c:overlay val="0"/>
    </c:legend>
    <c:plotVisOnly val="1"/>
    <c:dispBlanksAs val="gap"/>
    <c:showDLblsOverMax val="0"/>
  </c:chart>
  <c:externalData r:id="rId2">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c:date1904 val="0"/>
  <c:lang val="sk-SK"/>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bar"/>
        <c:grouping val="clustered"/>
        <c:varyColors val="0"/>
        <c:ser>
          <c:idx val="4"/>
          <c:order val="0"/>
          <c:tx>
            <c:strRef>
              <c:f>'4.4'!$G$1</c:f>
              <c:strCache>
                <c:ptCount val="1"/>
                <c:pt idx="0">
                  <c:v>Podiel zazmluvnených projektov na celkovej alokácii - merané hodnoty  indiktátorov</c:v>
                </c:pt>
              </c:strCache>
            </c:strRef>
          </c:tx>
          <c:spPr>
            <a:solidFill>
              <a:srgbClr val="00B050"/>
            </a:solidFill>
          </c:spPr>
          <c:invertIfNegative val="0"/>
          <c:dPt>
            <c:idx val="0"/>
            <c:invertIfNegative val="0"/>
            <c:bubble3D val="0"/>
            <c:spPr>
              <a:solidFill>
                <a:srgbClr val="0070C0"/>
              </a:solidFill>
            </c:spPr>
          </c:dPt>
          <c:dLbls>
            <c:showLegendKey val="0"/>
            <c:showVal val="1"/>
            <c:showCatName val="0"/>
            <c:showSerName val="0"/>
            <c:showPercent val="0"/>
            <c:showBubbleSize val="0"/>
            <c:showLeaderLines val="0"/>
          </c:dLbls>
          <c:cat>
            <c:strRef>
              <c:f>'4.4'!$A$2:$B$4</c:f>
              <c:strCache>
                <c:ptCount val="3"/>
                <c:pt idx="0">
                  <c:v>HT 50 Ozdravovanie priemyselných lokalít a kontaminovanej pôdy</c:v>
                </c:pt>
                <c:pt idx="1">
                  <c:v>Veľkosť zrekultivovanej a sanovanej plochy (spolu za projekty)</c:v>
                </c:pt>
                <c:pt idx="2">
                  <c:v>Počet sanovaných environmentálnych záťaží</c:v>
                </c:pt>
              </c:strCache>
            </c:strRef>
          </c:cat>
          <c:val>
            <c:numRef>
              <c:f>'4.4'!$G$2:$G$4</c:f>
              <c:numCache>
                <c:formatCode>General</c:formatCode>
                <c:ptCount val="3"/>
                <c:pt idx="0">
                  <c:v>6.1999999999999998E-3</c:v>
                </c:pt>
                <c:pt idx="1">
                  <c:v>0.24</c:v>
                </c:pt>
                <c:pt idx="2">
                  <c:v>0</c:v>
                </c:pt>
              </c:numCache>
            </c:numRef>
          </c:val>
        </c:ser>
        <c:ser>
          <c:idx val="0"/>
          <c:order val="1"/>
          <c:tx>
            <c:strRef>
              <c:f>'4.4'!$C$1</c:f>
              <c:strCache>
                <c:ptCount val="1"/>
                <c:pt idx="0">
                  <c:v>Celková alokácia</c:v>
                </c:pt>
              </c:strCache>
            </c:strRef>
          </c:tx>
          <c:invertIfNegative val="0"/>
          <c:cat>
            <c:strRef>
              <c:f>'4.4'!$A$2:$B$4</c:f>
              <c:strCache>
                <c:ptCount val="3"/>
                <c:pt idx="0">
                  <c:v>HT 50 Ozdravovanie priemyselných lokalít a kontaminovanej pôdy</c:v>
                </c:pt>
                <c:pt idx="1">
                  <c:v>Veľkosť zrekultivovanej a sanovanej plochy (spolu za projekty)</c:v>
                </c:pt>
                <c:pt idx="2">
                  <c:v>Počet sanovaných environmentálnych záťaží</c:v>
                </c:pt>
              </c:strCache>
            </c:strRef>
          </c:cat>
          <c:val>
            <c:numRef>
              <c:f>'4.4'!$C$2:$C$4</c:f>
            </c:numRef>
          </c:val>
        </c:ser>
        <c:ser>
          <c:idx val="1"/>
          <c:order val="2"/>
          <c:tx>
            <c:strRef>
              <c:f>'4.4'!$D$1</c:f>
              <c:strCache>
                <c:ptCount val="1"/>
                <c:pt idx="0">
                  <c:v>Suma zazmluvnená (EÚ zdroje)/cieľové hodnoty indikátorov zazmluvnených projektov</c:v>
                </c:pt>
              </c:strCache>
            </c:strRef>
          </c:tx>
          <c:invertIfNegative val="0"/>
          <c:cat>
            <c:strRef>
              <c:f>'4.4'!$A$2:$B$4</c:f>
              <c:strCache>
                <c:ptCount val="3"/>
                <c:pt idx="0">
                  <c:v>HT 50 Ozdravovanie priemyselných lokalít a kontaminovanej pôdy</c:v>
                </c:pt>
                <c:pt idx="1">
                  <c:v>Veľkosť zrekultivovanej a sanovanej plochy (spolu za projekty)</c:v>
                </c:pt>
                <c:pt idx="2">
                  <c:v>Počet sanovaných environmentálnych záťaží</c:v>
                </c:pt>
              </c:strCache>
            </c:strRef>
          </c:cat>
          <c:val>
            <c:numRef>
              <c:f>'4.4'!$D$2:$D$4</c:f>
            </c:numRef>
          </c:val>
        </c:ser>
        <c:ser>
          <c:idx val="2"/>
          <c:order val="3"/>
          <c:tx>
            <c:strRef>
              <c:f>'4.4'!$E$1</c:f>
              <c:strCache>
                <c:ptCount val="1"/>
                <c:pt idx="0">
                  <c:v>Podiel zazmluvnených projektov na celkovej alokácii - cieľové hodnoty indiktátorov</c:v>
                </c:pt>
              </c:strCache>
            </c:strRef>
          </c:tx>
          <c:spPr>
            <a:solidFill>
              <a:srgbClr val="FFFF00"/>
            </a:solidFill>
          </c:spPr>
          <c:invertIfNegative val="0"/>
          <c:dPt>
            <c:idx val="0"/>
            <c:invertIfNegative val="0"/>
            <c:bubble3D val="0"/>
            <c:spPr>
              <a:solidFill>
                <a:srgbClr val="C00000"/>
              </a:solidFill>
            </c:spPr>
          </c:dPt>
          <c:dPt>
            <c:idx val="1"/>
            <c:invertIfNegative val="0"/>
            <c:bubble3D val="0"/>
          </c:dPt>
          <c:dLbls>
            <c:showLegendKey val="0"/>
            <c:showVal val="1"/>
            <c:showCatName val="0"/>
            <c:showSerName val="0"/>
            <c:showPercent val="0"/>
            <c:showBubbleSize val="0"/>
            <c:showLeaderLines val="0"/>
          </c:dLbls>
          <c:cat>
            <c:strRef>
              <c:f>'4.4'!$A$2:$B$4</c:f>
              <c:strCache>
                <c:ptCount val="3"/>
                <c:pt idx="0">
                  <c:v>HT 50 Ozdravovanie priemyselných lokalít a kontaminovanej pôdy</c:v>
                </c:pt>
                <c:pt idx="1">
                  <c:v>Veľkosť zrekultivovanej a sanovanej plochy (spolu za projekty)</c:v>
                </c:pt>
                <c:pt idx="2">
                  <c:v>Počet sanovaných environmentálnych záťaží</c:v>
                </c:pt>
              </c:strCache>
            </c:strRef>
          </c:cat>
          <c:val>
            <c:numRef>
              <c:f>'4.4'!$E$2:$E$4</c:f>
              <c:numCache>
                <c:formatCode>General</c:formatCode>
                <c:ptCount val="3"/>
                <c:pt idx="0">
                  <c:v>0.1313</c:v>
                </c:pt>
                <c:pt idx="1">
                  <c:v>0.67200000000000004</c:v>
                </c:pt>
                <c:pt idx="2">
                  <c:v>0</c:v>
                </c:pt>
              </c:numCache>
            </c:numRef>
          </c:val>
        </c:ser>
        <c:ser>
          <c:idx val="3"/>
          <c:order val="4"/>
          <c:tx>
            <c:strRef>
              <c:f>'4.4'!$F$1</c:f>
              <c:strCache>
                <c:ptCount val="1"/>
                <c:pt idx="0">
                  <c:v>Suma čerpaná  (EÚ zdroje) /merané hodnoty indikátorov zazmluvnených projektov </c:v>
                </c:pt>
              </c:strCache>
            </c:strRef>
          </c:tx>
          <c:invertIfNegative val="0"/>
          <c:cat>
            <c:strRef>
              <c:f>'4.4'!$A$2:$B$4</c:f>
              <c:strCache>
                <c:ptCount val="3"/>
                <c:pt idx="0">
                  <c:v>HT 50 Ozdravovanie priemyselných lokalít a kontaminovanej pôdy</c:v>
                </c:pt>
                <c:pt idx="1">
                  <c:v>Veľkosť zrekultivovanej a sanovanej plochy (spolu za projekty)</c:v>
                </c:pt>
                <c:pt idx="2">
                  <c:v>Počet sanovaných environmentálnych záťaží</c:v>
                </c:pt>
              </c:strCache>
            </c:strRef>
          </c:cat>
          <c:val>
            <c:numRef>
              <c:f>'4.4'!$F$2:$F$4</c:f>
            </c:numRef>
          </c:val>
        </c:ser>
        <c:dLbls>
          <c:showLegendKey val="0"/>
          <c:showVal val="0"/>
          <c:showCatName val="0"/>
          <c:showSerName val="0"/>
          <c:showPercent val="0"/>
          <c:showBubbleSize val="0"/>
        </c:dLbls>
        <c:gapWidth val="150"/>
        <c:axId val="26510464"/>
        <c:axId val="26512000"/>
      </c:barChart>
      <c:catAx>
        <c:axId val="26510464"/>
        <c:scaling>
          <c:orientation val="minMax"/>
        </c:scaling>
        <c:delete val="0"/>
        <c:axPos val="l"/>
        <c:numFmt formatCode="General" sourceLinked="1"/>
        <c:majorTickMark val="out"/>
        <c:minorTickMark val="none"/>
        <c:tickLblPos val="nextTo"/>
        <c:crossAx val="26512000"/>
        <c:crosses val="autoZero"/>
        <c:auto val="1"/>
        <c:lblAlgn val="ctr"/>
        <c:lblOffset val="100"/>
        <c:noMultiLvlLbl val="0"/>
      </c:catAx>
      <c:valAx>
        <c:axId val="26512000"/>
        <c:scaling>
          <c:orientation val="minMax"/>
        </c:scaling>
        <c:delete val="1"/>
        <c:axPos val="b"/>
        <c:numFmt formatCode="General" sourceLinked="1"/>
        <c:majorTickMark val="out"/>
        <c:minorTickMark val="none"/>
        <c:tickLblPos val="nextTo"/>
        <c:crossAx val="26510464"/>
        <c:crosses val="autoZero"/>
        <c:crossBetween val="between"/>
      </c:valAx>
    </c:plotArea>
    <c:legend>
      <c:legendPos val="b"/>
      <c:overlay val="0"/>
    </c:legend>
    <c:plotVisOnly val="1"/>
    <c:dispBlanksAs val="gap"/>
    <c:showDLblsOverMax val="0"/>
  </c:chart>
  <c:externalData r:id="rId1">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c:date1904 val="0"/>
  <c:lang val="sk-SK"/>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barChart>
        <c:barDir val="bar"/>
        <c:grouping val="clustered"/>
        <c:varyColors val="0"/>
        <c:ser>
          <c:idx val="4"/>
          <c:order val="0"/>
          <c:tx>
            <c:strRef>
              <c:f>'4.5.'!$G$1</c:f>
              <c:strCache>
                <c:ptCount val="1"/>
                <c:pt idx="0">
                  <c:v>Podiel zazmluvnených projektov na celkovej alokácii - merané hodnoty  indiktátorov</c:v>
                </c:pt>
              </c:strCache>
            </c:strRef>
          </c:tx>
          <c:spPr>
            <a:solidFill>
              <a:srgbClr val="FFFF00"/>
            </a:solidFill>
          </c:spPr>
          <c:invertIfNegative val="0"/>
          <c:dPt>
            <c:idx val="0"/>
            <c:invertIfNegative val="0"/>
            <c:bubble3D val="0"/>
            <c:spPr>
              <a:solidFill>
                <a:srgbClr val="0070C0"/>
              </a:solidFill>
            </c:spPr>
          </c:dPt>
          <c:dLbls>
            <c:txPr>
              <a:bodyPr/>
              <a:lstStyle/>
              <a:p>
                <a:pPr>
                  <a:defRPr sz="900" b="1" i="1"/>
                </a:pPr>
                <a:endParaRPr lang="sk-SK"/>
              </a:p>
            </c:txPr>
            <c:showLegendKey val="0"/>
            <c:showVal val="1"/>
            <c:showCatName val="0"/>
            <c:showSerName val="0"/>
            <c:showPercent val="0"/>
            <c:showBubbleSize val="0"/>
            <c:showLeaderLines val="0"/>
          </c:dLbls>
          <c:cat>
            <c:strRef>
              <c:f>'4.5.'!$A$2:$B$6</c:f>
              <c:strCache>
                <c:ptCount val="3"/>
                <c:pt idx="0">
                  <c:v>HT 44 Hospodárenie s domácim a priemyselným odpadom</c:v>
                </c:pt>
                <c:pt idx="1">
                  <c:v>Veľkosť zrekultivovanej a sanovanej plochy</c:v>
                </c:pt>
                <c:pt idx="2">
                  <c:v>Počet uzatvorených a zrekultivovaných skládok</c:v>
                </c:pt>
              </c:strCache>
            </c:strRef>
          </c:cat>
          <c:val>
            <c:numRef>
              <c:f>'4.5.'!$G$2:$G$6</c:f>
              <c:numCache>
                <c:formatCode>General</c:formatCode>
                <c:ptCount val="3"/>
                <c:pt idx="0">
                  <c:v>0.48859999999999998</c:v>
                </c:pt>
                <c:pt idx="1">
                  <c:v>0.29399999999999998</c:v>
                </c:pt>
                <c:pt idx="2">
                  <c:v>0.6875</c:v>
                </c:pt>
              </c:numCache>
            </c:numRef>
          </c:val>
        </c:ser>
        <c:ser>
          <c:idx val="0"/>
          <c:order val="1"/>
          <c:tx>
            <c:strRef>
              <c:f>'4.5.'!$C$1</c:f>
              <c:strCache>
                <c:ptCount val="1"/>
                <c:pt idx="0">
                  <c:v>Celková alokácia</c:v>
                </c:pt>
              </c:strCache>
            </c:strRef>
          </c:tx>
          <c:invertIfNegative val="0"/>
          <c:cat>
            <c:strRef>
              <c:f>'4.5.'!$A$2:$B$6</c:f>
              <c:strCache>
                <c:ptCount val="3"/>
                <c:pt idx="0">
                  <c:v>HT 44 Hospodárenie s domácim a priemyselným odpadom</c:v>
                </c:pt>
                <c:pt idx="1">
                  <c:v>Veľkosť zrekultivovanej a sanovanej plochy</c:v>
                </c:pt>
                <c:pt idx="2">
                  <c:v>Počet uzatvorených a zrekultivovaných skládok</c:v>
                </c:pt>
              </c:strCache>
            </c:strRef>
          </c:cat>
          <c:val>
            <c:numRef>
              <c:f>'4.5.'!$C$2:$C$6</c:f>
            </c:numRef>
          </c:val>
        </c:ser>
        <c:ser>
          <c:idx val="1"/>
          <c:order val="2"/>
          <c:tx>
            <c:strRef>
              <c:f>'4.5.'!$D$1</c:f>
              <c:strCache>
                <c:ptCount val="1"/>
                <c:pt idx="0">
                  <c:v>Suma zazmluvnená (EÚ zdroje)/cieľové hodnoty indikátorov zazmluvnených projektov</c:v>
                </c:pt>
              </c:strCache>
            </c:strRef>
          </c:tx>
          <c:invertIfNegative val="0"/>
          <c:cat>
            <c:strRef>
              <c:f>'4.5.'!$A$2:$B$6</c:f>
              <c:strCache>
                <c:ptCount val="3"/>
                <c:pt idx="0">
                  <c:v>HT 44 Hospodárenie s domácim a priemyselným odpadom</c:v>
                </c:pt>
                <c:pt idx="1">
                  <c:v>Veľkosť zrekultivovanej a sanovanej plochy</c:v>
                </c:pt>
                <c:pt idx="2">
                  <c:v>Počet uzatvorených a zrekultivovaných skládok</c:v>
                </c:pt>
              </c:strCache>
            </c:strRef>
          </c:cat>
          <c:val>
            <c:numRef>
              <c:f>'4.5.'!$D$2:$D$6</c:f>
            </c:numRef>
          </c:val>
        </c:ser>
        <c:ser>
          <c:idx val="2"/>
          <c:order val="3"/>
          <c:tx>
            <c:strRef>
              <c:f>'4.5.'!$E$1</c:f>
              <c:strCache>
                <c:ptCount val="1"/>
                <c:pt idx="0">
                  <c:v>Podiel zazmluvnených projektov na celkovej alokácii - cieľové hodnoty indiktátorov</c:v>
                </c:pt>
              </c:strCache>
            </c:strRef>
          </c:tx>
          <c:spPr>
            <a:solidFill>
              <a:srgbClr val="00B050"/>
            </a:solidFill>
          </c:spPr>
          <c:invertIfNegative val="0"/>
          <c:dPt>
            <c:idx val="0"/>
            <c:invertIfNegative val="0"/>
            <c:bubble3D val="0"/>
            <c:spPr>
              <a:solidFill>
                <a:srgbClr val="C00000"/>
              </a:solidFill>
            </c:spPr>
          </c:dPt>
          <c:dLbls>
            <c:showLegendKey val="0"/>
            <c:showVal val="1"/>
            <c:showCatName val="0"/>
            <c:showSerName val="0"/>
            <c:showPercent val="0"/>
            <c:showBubbleSize val="0"/>
            <c:showLeaderLines val="0"/>
          </c:dLbls>
          <c:cat>
            <c:strRef>
              <c:f>'4.5.'!$A$2:$B$6</c:f>
              <c:strCache>
                <c:ptCount val="3"/>
                <c:pt idx="0">
                  <c:v>HT 44 Hospodárenie s domácim a priemyselným odpadom</c:v>
                </c:pt>
                <c:pt idx="1">
                  <c:v>Veľkosť zrekultivovanej a sanovanej plochy</c:v>
                </c:pt>
                <c:pt idx="2">
                  <c:v>Počet uzatvorených a zrekultivovaných skládok</c:v>
                </c:pt>
              </c:strCache>
            </c:strRef>
          </c:cat>
          <c:val>
            <c:numRef>
              <c:f>'4.5.'!$E$2:$E$6</c:f>
              <c:numCache>
                <c:formatCode>General</c:formatCode>
                <c:ptCount val="3"/>
                <c:pt idx="0">
                  <c:v>0.80679999999999996</c:v>
                </c:pt>
                <c:pt idx="1">
                  <c:v>0.82310000000000005</c:v>
                </c:pt>
                <c:pt idx="2">
                  <c:v>0.76559999999999995</c:v>
                </c:pt>
              </c:numCache>
            </c:numRef>
          </c:val>
        </c:ser>
        <c:ser>
          <c:idx val="3"/>
          <c:order val="4"/>
          <c:tx>
            <c:strRef>
              <c:f>'4.5.'!$F$1</c:f>
              <c:strCache>
                <c:ptCount val="1"/>
                <c:pt idx="0">
                  <c:v>Suma čerpaná  (EÚ zdroje) /merané hodnoty indikátorov zazmluvnených projektov </c:v>
                </c:pt>
              </c:strCache>
            </c:strRef>
          </c:tx>
          <c:invertIfNegative val="0"/>
          <c:cat>
            <c:strRef>
              <c:f>'4.5.'!$A$2:$B$6</c:f>
              <c:strCache>
                <c:ptCount val="3"/>
                <c:pt idx="0">
                  <c:v>HT 44 Hospodárenie s domácim a priemyselným odpadom</c:v>
                </c:pt>
                <c:pt idx="1">
                  <c:v>Veľkosť zrekultivovanej a sanovanej plochy</c:v>
                </c:pt>
                <c:pt idx="2">
                  <c:v>Počet uzatvorených a zrekultivovaných skládok</c:v>
                </c:pt>
              </c:strCache>
            </c:strRef>
          </c:cat>
          <c:val>
            <c:numRef>
              <c:f>'4.5.'!$F$2:$F$6</c:f>
            </c:numRef>
          </c:val>
        </c:ser>
        <c:dLbls>
          <c:showLegendKey val="0"/>
          <c:showVal val="0"/>
          <c:showCatName val="0"/>
          <c:showSerName val="0"/>
          <c:showPercent val="0"/>
          <c:showBubbleSize val="0"/>
        </c:dLbls>
        <c:gapWidth val="150"/>
        <c:axId val="26582400"/>
        <c:axId val="26600576"/>
      </c:barChart>
      <c:catAx>
        <c:axId val="26582400"/>
        <c:scaling>
          <c:orientation val="minMax"/>
        </c:scaling>
        <c:delete val="0"/>
        <c:axPos val="l"/>
        <c:numFmt formatCode="General" sourceLinked="1"/>
        <c:majorTickMark val="out"/>
        <c:minorTickMark val="none"/>
        <c:tickLblPos val="nextTo"/>
        <c:crossAx val="26600576"/>
        <c:crosses val="autoZero"/>
        <c:auto val="1"/>
        <c:lblAlgn val="ctr"/>
        <c:lblOffset val="100"/>
        <c:noMultiLvlLbl val="0"/>
      </c:catAx>
      <c:valAx>
        <c:axId val="26600576"/>
        <c:scaling>
          <c:orientation val="minMax"/>
        </c:scaling>
        <c:delete val="1"/>
        <c:axPos val="b"/>
        <c:numFmt formatCode="General" sourceLinked="1"/>
        <c:majorTickMark val="out"/>
        <c:minorTickMark val="none"/>
        <c:tickLblPos val="nextTo"/>
        <c:crossAx val="26582400"/>
        <c:crosses val="autoZero"/>
        <c:crossBetween val="between"/>
      </c:valAx>
    </c:plotArea>
    <c:legend>
      <c:legendPos val="b"/>
      <c:overlay val="0"/>
    </c:legend>
    <c:plotVisOnly val="1"/>
    <c:dispBlanksAs val="gap"/>
    <c:showDLblsOverMax val="0"/>
  </c:chart>
  <c:externalData r:id="rId2">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c:date1904 val="0"/>
  <c:lang val="sk-SK"/>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barChart>
        <c:barDir val="bar"/>
        <c:grouping val="clustered"/>
        <c:varyColors val="0"/>
        <c:ser>
          <c:idx val="4"/>
          <c:order val="0"/>
          <c:tx>
            <c:strRef>
              <c:f>'5.1.'!$G$1</c:f>
              <c:strCache>
                <c:ptCount val="1"/>
                <c:pt idx="0">
                  <c:v>Podiel zazmluvnených projektov na celkovej alokácii - merané hodnoty  indiktátorov</c:v>
                </c:pt>
              </c:strCache>
            </c:strRef>
          </c:tx>
          <c:spPr>
            <a:solidFill>
              <a:srgbClr val="0070C0"/>
            </a:solidFill>
          </c:spPr>
          <c:invertIfNegative val="0"/>
          <c:dLbls>
            <c:showLegendKey val="0"/>
            <c:showVal val="1"/>
            <c:showCatName val="0"/>
            <c:showSerName val="0"/>
            <c:showPercent val="0"/>
            <c:showBubbleSize val="0"/>
            <c:showLeaderLines val="0"/>
          </c:dLbls>
          <c:cat>
            <c:strRef>
              <c:f>'5.1.'!$A$2:$B$6</c:f>
              <c:strCache>
                <c:ptCount val="5"/>
                <c:pt idx="0">
                  <c:v>HT 51  Podpora biodiverzity a ochrana prírody (vrátane Natura 2000)</c:v>
                </c:pt>
                <c:pt idx="1">
                  <c:v>Počet vypracovaných dokumentov starostlivosti o územia</c:v>
                </c:pt>
                <c:pt idx="2">
                  <c:v>Počet realizovaných dokumentov starostlivosti o územia</c:v>
                </c:pt>
                <c:pt idx="3">
                  <c:v>Percento z celkovej výmery CHÚ, ktoré majú vypracované dokumenty starostlivosti</c:v>
                </c:pt>
                <c:pt idx="4">
                  <c:v>Počet chránených druhov, ktoré majú vypracované dokumenty starostlivosti</c:v>
                </c:pt>
              </c:strCache>
            </c:strRef>
          </c:cat>
          <c:val>
            <c:numRef>
              <c:f>'5.1.'!$G$2:$G$6</c:f>
              <c:numCache>
                <c:formatCode>General</c:formatCode>
                <c:ptCount val="5"/>
                <c:pt idx="0">
                  <c:v>0.16800000000000001</c:v>
                </c:pt>
                <c:pt idx="1">
                  <c:v>0</c:v>
                </c:pt>
                <c:pt idx="2">
                  <c:v>0</c:v>
                </c:pt>
                <c:pt idx="3">
                  <c:v>0</c:v>
                </c:pt>
                <c:pt idx="4">
                  <c:v>0</c:v>
                </c:pt>
              </c:numCache>
            </c:numRef>
          </c:val>
        </c:ser>
        <c:ser>
          <c:idx val="0"/>
          <c:order val="1"/>
          <c:tx>
            <c:strRef>
              <c:f>'5.1.'!$C$1</c:f>
              <c:strCache>
                <c:ptCount val="1"/>
                <c:pt idx="0">
                  <c:v>Celková alokácia</c:v>
                </c:pt>
              </c:strCache>
            </c:strRef>
          </c:tx>
          <c:invertIfNegative val="0"/>
          <c:cat>
            <c:strRef>
              <c:f>'5.1.'!$A$2:$B$6</c:f>
              <c:strCache>
                <c:ptCount val="5"/>
                <c:pt idx="0">
                  <c:v>HT 51  Podpora biodiverzity a ochrana prírody (vrátane Natura 2000)</c:v>
                </c:pt>
                <c:pt idx="1">
                  <c:v>Počet vypracovaných dokumentov starostlivosti o územia</c:v>
                </c:pt>
                <c:pt idx="2">
                  <c:v>Počet realizovaných dokumentov starostlivosti o územia</c:v>
                </c:pt>
                <c:pt idx="3">
                  <c:v>Percento z celkovej výmery CHÚ, ktoré majú vypracované dokumenty starostlivosti</c:v>
                </c:pt>
                <c:pt idx="4">
                  <c:v>Počet chránených druhov, ktoré majú vypracované dokumenty starostlivosti</c:v>
                </c:pt>
              </c:strCache>
            </c:strRef>
          </c:cat>
          <c:val>
            <c:numRef>
              <c:f>'5.1.'!$C$2:$C$6</c:f>
            </c:numRef>
          </c:val>
        </c:ser>
        <c:ser>
          <c:idx val="1"/>
          <c:order val="2"/>
          <c:tx>
            <c:strRef>
              <c:f>'5.1.'!$D$1</c:f>
              <c:strCache>
                <c:ptCount val="1"/>
                <c:pt idx="0">
                  <c:v>Suma zazmluvnená (EÚ zdroje)/cieľové hodnoty indikátorov zazmluvnených projektov</c:v>
                </c:pt>
              </c:strCache>
            </c:strRef>
          </c:tx>
          <c:invertIfNegative val="0"/>
          <c:cat>
            <c:strRef>
              <c:f>'5.1.'!$A$2:$B$6</c:f>
              <c:strCache>
                <c:ptCount val="5"/>
                <c:pt idx="0">
                  <c:v>HT 51  Podpora biodiverzity a ochrana prírody (vrátane Natura 2000)</c:v>
                </c:pt>
                <c:pt idx="1">
                  <c:v>Počet vypracovaných dokumentov starostlivosti o územia</c:v>
                </c:pt>
                <c:pt idx="2">
                  <c:v>Počet realizovaných dokumentov starostlivosti o územia</c:v>
                </c:pt>
                <c:pt idx="3">
                  <c:v>Percento z celkovej výmery CHÚ, ktoré majú vypracované dokumenty starostlivosti</c:v>
                </c:pt>
                <c:pt idx="4">
                  <c:v>Počet chránených druhov, ktoré majú vypracované dokumenty starostlivosti</c:v>
                </c:pt>
              </c:strCache>
            </c:strRef>
          </c:cat>
          <c:val>
            <c:numRef>
              <c:f>'5.1.'!$D$2:$D$6</c:f>
            </c:numRef>
          </c:val>
        </c:ser>
        <c:ser>
          <c:idx val="2"/>
          <c:order val="3"/>
          <c:tx>
            <c:strRef>
              <c:f>'5.1.'!$E$1</c:f>
              <c:strCache>
                <c:ptCount val="1"/>
                <c:pt idx="0">
                  <c:v>Podiel zazmluvnených projektov na celkovej alokácii - cieľové hodnoty indiktátorov</c:v>
                </c:pt>
              </c:strCache>
            </c:strRef>
          </c:tx>
          <c:spPr>
            <a:solidFill>
              <a:srgbClr val="00B050"/>
            </a:solidFill>
          </c:spPr>
          <c:invertIfNegative val="0"/>
          <c:dPt>
            <c:idx val="0"/>
            <c:invertIfNegative val="0"/>
            <c:bubble3D val="0"/>
            <c:spPr>
              <a:solidFill>
                <a:srgbClr val="C00000"/>
              </a:solidFill>
            </c:spPr>
          </c:dPt>
          <c:dLbls>
            <c:showLegendKey val="0"/>
            <c:showVal val="1"/>
            <c:showCatName val="0"/>
            <c:showSerName val="0"/>
            <c:showPercent val="0"/>
            <c:showBubbleSize val="0"/>
            <c:showLeaderLines val="0"/>
          </c:dLbls>
          <c:cat>
            <c:strRef>
              <c:f>'5.1.'!$A$2:$B$6</c:f>
              <c:strCache>
                <c:ptCount val="5"/>
                <c:pt idx="0">
                  <c:v>HT 51  Podpora biodiverzity a ochrana prírody (vrátane Natura 2000)</c:v>
                </c:pt>
                <c:pt idx="1">
                  <c:v>Počet vypracovaných dokumentov starostlivosti o územia</c:v>
                </c:pt>
                <c:pt idx="2">
                  <c:v>Počet realizovaných dokumentov starostlivosti o územia</c:v>
                </c:pt>
                <c:pt idx="3">
                  <c:v>Percento z celkovej výmery CHÚ, ktoré majú vypracované dokumenty starostlivosti</c:v>
                </c:pt>
                <c:pt idx="4">
                  <c:v>Počet chránených druhov, ktoré majú vypracované dokumenty starostlivosti</c:v>
                </c:pt>
              </c:strCache>
            </c:strRef>
          </c:cat>
          <c:val>
            <c:numRef>
              <c:f>'5.1.'!$E$2:$E$6</c:f>
              <c:numCache>
                <c:formatCode>General</c:formatCode>
                <c:ptCount val="5"/>
                <c:pt idx="0">
                  <c:v>0.94620000000000004</c:v>
                </c:pt>
                <c:pt idx="1">
                  <c:v>0.04</c:v>
                </c:pt>
                <c:pt idx="2">
                  <c:v>0</c:v>
                </c:pt>
                <c:pt idx="3">
                  <c:v>7.9027369539140552E-2</c:v>
                </c:pt>
                <c:pt idx="4">
                  <c:v>4.2</c:v>
                </c:pt>
              </c:numCache>
            </c:numRef>
          </c:val>
        </c:ser>
        <c:ser>
          <c:idx val="3"/>
          <c:order val="4"/>
          <c:tx>
            <c:strRef>
              <c:f>'5.1.'!$F$1</c:f>
              <c:strCache>
                <c:ptCount val="1"/>
                <c:pt idx="0">
                  <c:v>Suma čerpaná  (EÚ zdroje) /merané hodnoty indikátorov zazmluvnených projektov </c:v>
                </c:pt>
              </c:strCache>
            </c:strRef>
          </c:tx>
          <c:invertIfNegative val="0"/>
          <c:cat>
            <c:strRef>
              <c:f>'5.1.'!$A$2:$B$6</c:f>
              <c:strCache>
                <c:ptCount val="5"/>
                <c:pt idx="0">
                  <c:v>HT 51  Podpora biodiverzity a ochrana prírody (vrátane Natura 2000)</c:v>
                </c:pt>
                <c:pt idx="1">
                  <c:v>Počet vypracovaných dokumentov starostlivosti o územia</c:v>
                </c:pt>
                <c:pt idx="2">
                  <c:v>Počet realizovaných dokumentov starostlivosti o územia</c:v>
                </c:pt>
                <c:pt idx="3">
                  <c:v>Percento z celkovej výmery CHÚ, ktoré majú vypracované dokumenty starostlivosti</c:v>
                </c:pt>
                <c:pt idx="4">
                  <c:v>Počet chránených druhov, ktoré majú vypracované dokumenty starostlivosti</c:v>
                </c:pt>
              </c:strCache>
            </c:strRef>
          </c:cat>
          <c:val>
            <c:numRef>
              <c:f>'5.1.'!$F$2:$F$6</c:f>
            </c:numRef>
          </c:val>
        </c:ser>
        <c:dLbls>
          <c:showLegendKey val="0"/>
          <c:showVal val="0"/>
          <c:showCatName val="0"/>
          <c:showSerName val="0"/>
          <c:showPercent val="0"/>
          <c:showBubbleSize val="0"/>
        </c:dLbls>
        <c:gapWidth val="150"/>
        <c:axId val="27948160"/>
        <c:axId val="27949696"/>
      </c:barChart>
      <c:catAx>
        <c:axId val="27948160"/>
        <c:scaling>
          <c:orientation val="minMax"/>
        </c:scaling>
        <c:delete val="0"/>
        <c:axPos val="l"/>
        <c:numFmt formatCode="General" sourceLinked="1"/>
        <c:majorTickMark val="out"/>
        <c:minorTickMark val="none"/>
        <c:tickLblPos val="nextTo"/>
        <c:crossAx val="27949696"/>
        <c:crosses val="autoZero"/>
        <c:auto val="1"/>
        <c:lblAlgn val="ctr"/>
        <c:lblOffset val="100"/>
        <c:noMultiLvlLbl val="0"/>
      </c:catAx>
      <c:valAx>
        <c:axId val="27949696"/>
        <c:scaling>
          <c:orientation val="minMax"/>
        </c:scaling>
        <c:delete val="1"/>
        <c:axPos val="b"/>
        <c:numFmt formatCode="General" sourceLinked="1"/>
        <c:majorTickMark val="out"/>
        <c:minorTickMark val="none"/>
        <c:tickLblPos val="nextTo"/>
        <c:crossAx val="27948160"/>
        <c:crosses val="autoZero"/>
        <c:crossBetween val="between"/>
      </c:valAx>
    </c:plotArea>
    <c:plotVisOnly val="1"/>
    <c:dispBlanksAs val="gap"/>
    <c:showDLblsOverMax val="0"/>
  </c:chart>
  <c:externalData r:id="rId2">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c:date1904 val="0"/>
  <c:lang val="sk-SK"/>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36309255243279426"/>
          <c:y val="2.1983313538321683E-2"/>
          <c:w val="0.63690744756720563"/>
          <c:h val="0.83309419655876371"/>
        </c:manualLayout>
      </c:layout>
      <c:barChart>
        <c:barDir val="bar"/>
        <c:grouping val="clustered"/>
        <c:varyColors val="0"/>
        <c:ser>
          <c:idx val="4"/>
          <c:order val="0"/>
          <c:tx>
            <c:strRef>
              <c:f>'5.2.'!$G$1</c:f>
              <c:strCache>
                <c:ptCount val="1"/>
                <c:pt idx="0">
                  <c:v>Podiel zazmluvnených projektov na celkovej alokácii - merané hodnoty  indiktátorov</c:v>
                </c:pt>
              </c:strCache>
            </c:strRef>
          </c:tx>
          <c:spPr>
            <a:solidFill>
              <a:srgbClr val="FFFF00"/>
            </a:solidFill>
          </c:spPr>
          <c:invertIfNegative val="0"/>
          <c:dPt>
            <c:idx val="0"/>
            <c:invertIfNegative val="0"/>
            <c:bubble3D val="0"/>
            <c:spPr>
              <a:solidFill>
                <a:srgbClr val="0070C0"/>
              </a:solidFill>
            </c:spPr>
          </c:dPt>
          <c:dLbls>
            <c:txPr>
              <a:bodyPr/>
              <a:lstStyle/>
              <a:p>
                <a:pPr>
                  <a:defRPr b="1" i="1"/>
                </a:pPr>
                <a:endParaRPr lang="sk-SK"/>
              </a:p>
            </c:txPr>
            <c:showLegendKey val="0"/>
            <c:showVal val="1"/>
            <c:showCatName val="0"/>
            <c:showSerName val="0"/>
            <c:showPercent val="0"/>
            <c:showBubbleSize val="0"/>
            <c:showLeaderLines val="0"/>
          </c:dLbls>
          <c:cat>
            <c:strRef>
              <c:f>'5.2.'!$A$2:$B$4</c:f>
              <c:strCache>
                <c:ptCount val="3"/>
                <c:pt idx="0">
                  <c:v>HT 54 Iné opatrenia na zachovanie ŽP a predchádzanie rizikám</c:v>
                </c:pt>
                <c:pt idx="1">
                  <c:v>Počet vybudovaných alebo zrekonštruovaných zariadení pre účely ochrany prírody a krajiny</c:v>
                </c:pt>
                <c:pt idx="2">
                  <c:v>Percento z celkového počtu chránených území, pre ktoré boli vybudované alebo zrekonštruované zariadenia</c:v>
                </c:pt>
              </c:strCache>
            </c:strRef>
          </c:cat>
          <c:val>
            <c:numRef>
              <c:f>'5.2.'!$G$2:$G$4</c:f>
              <c:numCache>
                <c:formatCode>General</c:formatCode>
                <c:ptCount val="3"/>
                <c:pt idx="0">
                  <c:v>0.27929999999999999</c:v>
                </c:pt>
                <c:pt idx="1">
                  <c:v>0.49099999999999999</c:v>
                </c:pt>
                <c:pt idx="2">
                  <c:v>7.2499999999999995E-2</c:v>
                </c:pt>
              </c:numCache>
            </c:numRef>
          </c:val>
        </c:ser>
        <c:ser>
          <c:idx val="0"/>
          <c:order val="1"/>
          <c:tx>
            <c:strRef>
              <c:f>'5.2.'!$C$1</c:f>
              <c:strCache>
                <c:ptCount val="1"/>
                <c:pt idx="0">
                  <c:v>Celková alokácia</c:v>
                </c:pt>
              </c:strCache>
            </c:strRef>
          </c:tx>
          <c:invertIfNegative val="0"/>
          <c:cat>
            <c:strRef>
              <c:f>'5.2.'!$A$2:$B$4</c:f>
              <c:strCache>
                <c:ptCount val="3"/>
                <c:pt idx="0">
                  <c:v>HT 54 Iné opatrenia na zachovanie ŽP a predchádzanie rizikám</c:v>
                </c:pt>
                <c:pt idx="1">
                  <c:v>Počet vybudovaných alebo zrekonštruovaných zariadení pre účely ochrany prírody a krajiny</c:v>
                </c:pt>
                <c:pt idx="2">
                  <c:v>Percento z celkového počtu chránených území, pre ktoré boli vybudované alebo zrekonštruované zariadenia</c:v>
                </c:pt>
              </c:strCache>
            </c:strRef>
          </c:cat>
          <c:val>
            <c:numRef>
              <c:f>'5.2.'!$C$2:$C$4</c:f>
            </c:numRef>
          </c:val>
        </c:ser>
        <c:ser>
          <c:idx val="1"/>
          <c:order val="2"/>
          <c:tx>
            <c:strRef>
              <c:f>'5.2.'!$D$1</c:f>
              <c:strCache>
                <c:ptCount val="1"/>
                <c:pt idx="0">
                  <c:v>Suma zazmluvnená (EÚ zdroje)/cieľové hodnoty indikátorov zazmluvnených projektov</c:v>
                </c:pt>
              </c:strCache>
            </c:strRef>
          </c:tx>
          <c:invertIfNegative val="0"/>
          <c:cat>
            <c:strRef>
              <c:f>'5.2.'!$A$2:$B$4</c:f>
              <c:strCache>
                <c:ptCount val="3"/>
                <c:pt idx="0">
                  <c:v>HT 54 Iné opatrenia na zachovanie ŽP a predchádzanie rizikám</c:v>
                </c:pt>
                <c:pt idx="1">
                  <c:v>Počet vybudovaných alebo zrekonštruovaných zariadení pre účely ochrany prírody a krajiny</c:v>
                </c:pt>
                <c:pt idx="2">
                  <c:v>Percento z celkového počtu chránených území, pre ktoré boli vybudované alebo zrekonštruované zariadenia</c:v>
                </c:pt>
              </c:strCache>
            </c:strRef>
          </c:cat>
          <c:val>
            <c:numRef>
              <c:f>'5.2.'!$D$2:$D$4</c:f>
            </c:numRef>
          </c:val>
        </c:ser>
        <c:ser>
          <c:idx val="2"/>
          <c:order val="3"/>
          <c:tx>
            <c:strRef>
              <c:f>'5.2.'!$E$1</c:f>
              <c:strCache>
                <c:ptCount val="1"/>
                <c:pt idx="0">
                  <c:v>Podiel zazmluvnených projektov na celkovej alokácii - cieľové hodnoty indiktátorov</c:v>
                </c:pt>
              </c:strCache>
            </c:strRef>
          </c:tx>
          <c:spPr>
            <a:solidFill>
              <a:srgbClr val="00B050"/>
            </a:solidFill>
          </c:spPr>
          <c:invertIfNegative val="0"/>
          <c:dPt>
            <c:idx val="0"/>
            <c:invertIfNegative val="0"/>
            <c:bubble3D val="0"/>
            <c:spPr>
              <a:solidFill>
                <a:srgbClr val="C00000"/>
              </a:solidFill>
            </c:spPr>
          </c:dPt>
          <c:dLbls>
            <c:showLegendKey val="0"/>
            <c:showVal val="1"/>
            <c:showCatName val="0"/>
            <c:showSerName val="0"/>
            <c:showPercent val="0"/>
            <c:showBubbleSize val="0"/>
            <c:showLeaderLines val="0"/>
          </c:dLbls>
          <c:cat>
            <c:strRef>
              <c:f>'5.2.'!$A$2:$B$4</c:f>
              <c:strCache>
                <c:ptCount val="3"/>
                <c:pt idx="0">
                  <c:v>HT 54 Iné opatrenia na zachovanie ŽP a predchádzanie rizikám</c:v>
                </c:pt>
                <c:pt idx="1">
                  <c:v>Počet vybudovaných alebo zrekonštruovaných zariadení pre účely ochrany prírody a krajiny</c:v>
                </c:pt>
                <c:pt idx="2">
                  <c:v>Percento z celkového počtu chránených území, pre ktoré boli vybudované alebo zrekonštruované zariadenia</c:v>
                </c:pt>
              </c:strCache>
            </c:strRef>
          </c:cat>
          <c:val>
            <c:numRef>
              <c:f>'5.2.'!$E$2:$E$4</c:f>
              <c:numCache>
                <c:formatCode>General</c:formatCode>
                <c:ptCount val="3"/>
                <c:pt idx="0">
                  <c:v>0.68820000000000003</c:v>
                </c:pt>
                <c:pt idx="1">
                  <c:v>2.2599999999999998</c:v>
                </c:pt>
                <c:pt idx="2">
                  <c:v>0.43478260869565216</c:v>
                </c:pt>
              </c:numCache>
            </c:numRef>
          </c:val>
        </c:ser>
        <c:ser>
          <c:idx val="3"/>
          <c:order val="4"/>
          <c:tx>
            <c:strRef>
              <c:f>'5.2.'!$F$1</c:f>
              <c:strCache>
                <c:ptCount val="1"/>
                <c:pt idx="0">
                  <c:v>Suma čerpaná  (EÚ zdroje) /merané hodnoty indikátorov zazmluvnených projektov </c:v>
                </c:pt>
              </c:strCache>
            </c:strRef>
          </c:tx>
          <c:invertIfNegative val="0"/>
          <c:cat>
            <c:strRef>
              <c:f>'5.2.'!$A$2:$B$4</c:f>
              <c:strCache>
                <c:ptCount val="3"/>
                <c:pt idx="0">
                  <c:v>HT 54 Iné opatrenia na zachovanie ŽP a predchádzanie rizikám</c:v>
                </c:pt>
                <c:pt idx="1">
                  <c:v>Počet vybudovaných alebo zrekonštruovaných zariadení pre účely ochrany prírody a krajiny</c:v>
                </c:pt>
                <c:pt idx="2">
                  <c:v>Percento z celkového počtu chránených území, pre ktoré boli vybudované alebo zrekonštruované zariadenia</c:v>
                </c:pt>
              </c:strCache>
            </c:strRef>
          </c:cat>
          <c:val>
            <c:numRef>
              <c:f>'5.2.'!$F$2:$F$4</c:f>
            </c:numRef>
          </c:val>
        </c:ser>
        <c:dLbls>
          <c:showLegendKey val="0"/>
          <c:showVal val="0"/>
          <c:showCatName val="0"/>
          <c:showSerName val="0"/>
          <c:showPercent val="0"/>
          <c:showBubbleSize val="0"/>
        </c:dLbls>
        <c:gapWidth val="150"/>
        <c:axId val="28031616"/>
        <c:axId val="28037504"/>
      </c:barChart>
      <c:catAx>
        <c:axId val="28031616"/>
        <c:scaling>
          <c:orientation val="minMax"/>
        </c:scaling>
        <c:delete val="0"/>
        <c:axPos val="l"/>
        <c:numFmt formatCode="General" sourceLinked="1"/>
        <c:majorTickMark val="out"/>
        <c:minorTickMark val="none"/>
        <c:tickLblPos val="nextTo"/>
        <c:crossAx val="28037504"/>
        <c:crosses val="autoZero"/>
        <c:auto val="1"/>
        <c:lblAlgn val="ctr"/>
        <c:lblOffset val="100"/>
        <c:noMultiLvlLbl val="0"/>
      </c:catAx>
      <c:valAx>
        <c:axId val="28037504"/>
        <c:scaling>
          <c:orientation val="minMax"/>
        </c:scaling>
        <c:delete val="1"/>
        <c:axPos val="b"/>
        <c:numFmt formatCode="General" sourceLinked="1"/>
        <c:majorTickMark val="out"/>
        <c:minorTickMark val="none"/>
        <c:tickLblPos val="nextTo"/>
        <c:crossAx val="28031616"/>
        <c:crosses val="autoZero"/>
        <c:crossBetween val="between"/>
      </c:valAx>
    </c:plotArea>
    <c:legend>
      <c:legendPos val="b"/>
      <c:overlay val="0"/>
    </c:legend>
    <c:plotVisOnly val="1"/>
    <c:dispBlanksAs val="gap"/>
    <c:showDLblsOverMax val="0"/>
  </c:chart>
  <c:externalData r:id="rId2">
    <c:autoUpdate val="0"/>
  </c:externalData>
</c:chartSpace>
</file>

<file path=word/charts/chart14.xml><?xml version="1.0" encoding="utf-8"?>
<c:chartSpace xmlns:c="http://schemas.openxmlformats.org/drawingml/2006/chart" xmlns:a="http://schemas.openxmlformats.org/drawingml/2006/main" xmlns:r="http://schemas.openxmlformats.org/officeDocument/2006/relationships">
  <c:date1904 val="0"/>
  <c:lang val="sk-SK"/>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46509829180988677"/>
          <c:y val="5.4237288135593233E-2"/>
          <c:w val="0.53490170819011351"/>
          <c:h val="0.71676462476088809"/>
        </c:manualLayout>
      </c:layout>
      <c:barChart>
        <c:barDir val="bar"/>
        <c:grouping val="clustered"/>
        <c:varyColors val="0"/>
        <c:ser>
          <c:idx val="4"/>
          <c:order val="0"/>
          <c:tx>
            <c:strRef>
              <c:f>'5.3.'!$G$1</c:f>
              <c:strCache>
                <c:ptCount val="1"/>
                <c:pt idx="0">
                  <c:v>Podiel zazmluvnených projektov na celkovej alokácii - merané hodnoty  indiktátorov</c:v>
                </c:pt>
              </c:strCache>
            </c:strRef>
          </c:tx>
          <c:spPr>
            <a:solidFill>
              <a:srgbClr val="FFFF00"/>
            </a:solidFill>
          </c:spPr>
          <c:invertIfNegative val="0"/>
          <c:dPt>
            <c:idx val="0"/>
            <c:invertIfNegative val="0"/>
            <c:bubble3D val="0"/>
            <c:spPr>
              <a:solidFill>
                <a:srgbClr val="0070C0"/>
              </a:solidFill>
            </c:spPr>
          </c:dPt>
          <c:dLbls>
            <c:txPr>
              <a:bodyPr/>
              <a:lstStyle/>
              <a:p>
                <a:pPr>
                  <a:defRPr b="1" i="1"/>
                </a:pPr>
                <a:endParaRPr lang="sk-SK"/>
              </a:p>
            </c:txPr>
            <c:showLegendKey val="0"/>
            <c:showVal val="1"/>
            <c:showCatName val="0"/>
            <c:showSerName val="0"/>
            <c:showPercent val="0"/>
            <c:showBubbleSize val="0"/>
            <c:showLeaderLines val="0"/>
          </c:dLbls>
          <c:cat>
            <c:strRef>
              <c:f>'5.3.'!$A$2:$B$4</c:f>
              <c:strCache>
                <c:ptCount val="3"/>
                <c:pt idx="0">
                  <c:v>HT 51  Podpora biodiverzity a ochrana prírody (vrátane Natura 2000)</c:v>
                </c:pt>
                <c:pt idx="1">
                  <c:v>Počet zrealizovaných aktivít (podujatí) zameraných na zvýšenie informovanosti, propagáciu, výchovu k ochrane prírody a vzdelávanie</c:v>
                </c:pt>
                <c:pt idx="2">
                  <c:v>Počet informovaných subjektov</c:v>
                </c:pt>
              </c:strCache>
            </c:strRef>
          </c:cat>
          <c:val>
            <c:numRef>
              <c:f>'5.3.'!$G$2:$G$4</c:f>
              <c:numCache>
                <c:formatCode>General</c:formatCode>
                <c:ptCount val="3"/>
                <c:pt idx="0">
                  <c:v>0.16800000000000001</c:v>
                </c:pt>
                <c:pt idx="1">
                  <c:v>0.1663</c:v>
                </c:pt>
                <c:pt idx="2">
                  <c:v>2.5499999999999998E-2</c:v>
                </c:pt>
              </c:numCache>
            </c:numRef>
          </c:val>
        </c:ser>
        <c:ser>
          <c:idx val="0"/>
          <c:order val="1"/>
          <c:tx>
            <c:strRef>
              <c:f>'5.3.'!$C$1</c:f>
              <c:strCache>
                <c:ptCount val="1"/>
                <c:pt idx="0">
                  <c:v>Celková alokácia</c:v>
                </c:pt>
              </c:strCache>
            </c:strRef>
          </c:tx>
          <c:invertIfNegative val="0"/>
          <c:cat>
            <c:strRef>
              <c:f>'5.3.'!$A$2:$B$4</c:f>
              <c:strCache>
                <c:ptCount val="3"/>
                <c:pt idx="0">
                  <c:v>HT 51  Podpora biodiverzity a ochrana prírody (vrátane Natura 2000)</c:v>
                </c:pt>
                <c:pt idx="1">
                  <c:v>Počet zrealizovaných aktivít (podujatí) zameraných na zvýšenie informovanosti, propagáciu, výchovu k ochrane prírody a vzdelávanie</c:v>
                </c:pt>
                <c:pt idx="2">
                  <c:v>Počet informovaných subjektov</c:v>
                </c:pt>
              </c:strCache>
            </c:strRef>
          </c:cat>
          <c:val>
            <c:numRef>
              <c:f>'5.3.'!$C$2:$C$4</c:f>
            </c:numRef>
          </c:val>
        </c:ser>
        <c:ser>
          <c:idx val="1"/>
          <c:order val="2"/>
          <c:tx>
            <c:strRef>
              <c:f>'5.3.'!$D$1</c:f>
              <c:strCache>
                <c:ptCount val="1"/>
                <c:pt idx="0">
                  <c:v>Suma zazmluvnená (EÚ zdroje)/cieľové hodnoty indikátorov zazmluvnených projektov</c:v>
                </c:pt>
              </c:strCache>
            </c:strRef>
          </c:tx>
          <c:invertIfNegative val="0"/>
          <c:cat>
            <c:strRef>
              <c:f>'5.3.'!$A$2:$B$4</c:f>
              <c:strCache>
                <c:ptCount val="3"/>
                <c:pt idx="0">
                  <c:v>HT 51  Podpora biodiverzity a ochrana prírody (vrátane Natura 2000)</c:v>
                </c:pt>
                <c:pt idx="1">
                  <c:v>Počet zrealizovaných aktivít (podujatí) zameraných na zvýšenie informovanosti, propagáciu, výchovu k ochrane prírody a vzdelávanie</c:v>
                </c:pt>
                <c:pt idx="2">
                  <c:v>Počet informovaných subjektov</c:v>
                </c:pt>
              </c:strCache>
            </c:strRef>
          </c:cat>
          <c:val>
            <c:numRef>
              <c:f>'5.3.'!$D$2:$D$4</c:f>
            </c:numRef>
          </c:val>
        </c:ser>
        <c:ser>
          <c:idx val="2"/>
          <c:order val="3"/>
          <c:tx>
            <c:strRef>
              <c:f>'5.3.'!$E$1</c:f>
              <c:strCache>
                <c:ptCount val="1"/>
                <c:pt idx="0">
                  <c:v>Podiel zazmluvnených projektov na celkovej alokácii - cieľové hodnoty indiktátorov</c:v>
                </c:pt>
              </c:strCache>
            </c:strRef>
          </c:tx>
          <c:spPr>
            <a:solidFill>
              <a:srgbClr val="00B050"/>
            </a:solidFill>
          </c:spPr>
          <c:invertIfNegative val="0"/>
          <c:dPt>
            <c:idx val="0"/>
            <c:invertIfNegative val="0"/>
            <c:bubble3D val="0"/>
            <c:spPr>
              <a:solidFill>
                <a:srgbClr val="C00000"/>
              </a:solidFill>
            </c:spPr>
          </c:dPt>
          <c:dLbls>
            <c:showLegendKey val="0"/>
            <c:showVal val="1"/>
            <c:showCatName val="0"/>
            <c:showSerName val="0"/>
            <c:showPercent val="0"/>
            <c:showBubbleSize val="0"/>
            <c:showLeaderLines val="0"/>
          </c:dLbls>
          <c:cat>
            <c:strRef>
              <c:f>'5.3.'!$A$2:$B$4</c:f>
              <c:strCache>
                <c:ptCount val="3"/>
                <c:pt idx="0">
                  <c:v>HT 51  Podpora biodiverzity a ochrana prírody (vrátane Natura 2000)</c:v>
                </c:pt>
                <c:pt idx="1">
                  <c:v>Počet zrealizovaných aktivít (podujatí) zameraných na zvýšenie informovanosti, propagáciu, výchovu k ochrane prírody a vzdelávanie</c:v>
                </c:pt>
                <c:pt idx="2">
                  <c:v>Počet informovaných subjektov</c:v>
                </c:pt>
              </c:strCache>
            </c:strRef>
          </c:cat>
          <c:val>
            <c:numRef>
              <c:f>'5.3.'!$E$2:$E$4</c:f>
              <c:numCache>
                <c:formatCode>General</c:formatCode>
                <c:ptCount val="3"/>
                <c:pt idx="0">
                  <c:v>0.94620000000000004</c:v>
                </c:pt>
                <c:pt idx="1">
                  <c:v>0.27</c:v>
                </c:pt>
                <c:pt idx="2">
                  <c:v>11.24</c:v>
                </c:pt>
              </c:numCache>
            </c:numRef>
          </c:val>
        </c:ser>
        <c:ser>
          <c:idx val="3"/>
          <c:order val="4"/>
          <c:tx>
            <c:strRef>
              <c:f>'5.3.'!$F$1</c:f>
              <c:strCache>
                <c:ptCount val="1"/>
                <c:pt idx="0">
                  <c:v>Suma čerpaná  (EÚ zdroje) /merané hodnoty indikátorov zazmluvnených projektov </c:v>
                </c:pt>
              </c:strCache>
            </c:strRef>
          </c:tx>
          <c:invertIfNegative val="0"/>
          <c:cat>
            <c:strRef>
              <c:f>'5.3.'!$A$2:$B$4</c:f>
              <c:strCache>
                <c:ptCount val="3"/>
                <c:pt idx="0">
                  <c:v>HT 51  Podpora biodiverzity a ochrana prírody (vrátane Natura 2000)</c:v>
                </c:pt>
                <c:pt idx="1">
                  <c:v>Počet zrealizovaných aktivít (podujatí) zameraných na zvýšenie informovanosti, propagáciu, výchovu k ochrane prírody a vzdelávanie</c:v>
                </c:pt>
                <c:pt idx="2">
                  <c:v>Počet informovaných subjektov</c:v>
                </c:pt>
              </c:strCache>
            </c:strRef>
          </c:cat>
          <c:val>
            <c:numRef>
              <c:f>'5.3.'!$F$2:$F$4</c:f>
            </c:numRef>
          </c:val>
        </c:ser>
        <c:dLbls>
          <c:showLegendKey val="0"/>
          <c:showVal val="0"/>
          <c:showCatName val="0"/>
          <c:showSerName val="0"/>
          <c:showPercent val="0"/>
          <c:showBubbleSize val="0"/>
        </c:dLbls>
        <c:gapWidth val="150"/>
        <c:axId val="29430528"/>
        <c:axId val="29432064"/>
      </c:barChart>
      <c:catAx>
        <c:axId val="29430528"/>
        <c:scaling>
          <c:orientation val="minMax"/>
        </c:scaling>
        <c:delete val="0"/>
        <c:axPos val="l"/>
        <c:numFmt formatCode="General" sourceLinked="1"/>
        <c:majorTickMark val="out"/>
        <c:minorTickMark val="none"/>
        <c:tickLblPos val="nextTo"/>
        <c:crossAx val="29432064"/>
        <c:crosses val="autoZero"/>
        <c:auto val="1"/>
        <c:lblAlgn val="ctr"/>
        <c:lblOffset val="100"/>
        <c:noMultiLvlLbl val="0"/>
      </c:catAx>
      <c:valAx>
        <c:axId val="29432064"/>
        <c:scaling>
          <c:orientation val="minMax"/>
        </c:scaling>
        <c:delete val="1"/>
        <c:axPos val="b"/>
        <c:numFmt formatCode="General" sourceLinked="1"/>
        <c:majorTickMark val="out"/>
        <c:minorTickMark val="none"/>
        <c:tickLblPos val="nextTo"/>
        <c:crossAx val="29430528"/>
        <c:crosses val="autoZero"/>
        <c:crossBetween val="between"/>
      </c:valAx>
    </c:plotArea>
    <c:legend>
      <c:legendPos val="b"/>
      <c:overlay val="0"/>
    </c:legend>
    <c:plotVisOnly val="1"/>
    <c:dispBlanksAs val="gap"/>
    <c:showDLblsOverMax val="0"/>
  </c:chart>
  <c:externalData r:id="rId2">
    <c:autoUpdate val="0"/>
  </c:externalData>
</c:chartSpace>
</file>

<file path=word/charts/chart15.xml><?xml version="1.0" encoding="utf-8"?>
<c:chartSpace xmlns:c="http://schemas.openxmlformats.org/drawingml/2006/chart" xmlns:a="http://schemas.openxmlformats.org/drawingml/2006/main" xmlns:r="http://schemas.openxmlformats.org/officeDocument/2006/relationships">
  <c:date1904 val="0"/>
  <c:lang val="sk-SK"/>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barChart>
        <c:barDir val="bar"/>
        <c:grouping val="clustered"/>
        <c:varyColors val="0"/>
        <c:ser>
          <c:idx val="4"/>
          <c:order val="0"/>
          <c:tx>
            <c:strRef>
              <c:f>'PO6'!$F$1</c:f>
              <c:strCache>
                <c:ptCount val="1"/>
                <c:pt idx="0">
                  <c:v>Podiel zazmluvnených projektov na celkovej alokácii - merané hodnoty  indiktátorov</c:v>
                </c:pt>
              </c:strCache>
            </c:strRef>
          </c:tx>
          <c:spPr>
            <a:solidFill>
              <a:srgbClr val="FFFF00"/>
            </a:solidFill>
          </c:spPr>
          <c:invertIfNegative val="0"/>
          <c:dPt>
            <c:idx val="0"/>
            <c:invertIfNegative val="0"/>
            <c:bubble3D val="0"/>
            <c:spPr>
              <a:solidFill>
                <a:srgbClr val="0070C0"/>
              </a:solidFill>
            </c:spPr>
          </c:dPt>
          <c:dPt>
            <c:idx val="1"/>
            <c:invertIfNegative val="0"/>
            <c:bubble3D val="0"/>
            <c:spPr>
              <a:solidFill>
                <a:srgbClr val="0070C0"/>
              </a:solidFill>
            </c:spPr>
          </c:dPt>
          <c:dLbls>
            <c:txPr>
              <a:bodyPr/>
              <a:lstStyle/>
              <a:p>
                <a:pPr>
                  <a:defRPr sz="898" b="1" i="1"/>
                </a:pPr>
                <a:endParaRPr lang="sk-SK"/>
              </a:p>
            </c:txPr>
            <c:showLegendKey val="0"/>
            <c:showVal val="1"/>
            <c:showCatName val="0"/>
            <c:showSerName val="0"/>
            <c:showPercent val="0"/>
            <c:showBubbleSize val="0"/>
            <c:showLeaderLines val="0"/>
          </c:dLbls>
          <c:cat>
            <c:strRef>
              <c:f>'PO6'!$A$2:$A$6</c:f>
              <c:strCache>
                <c:ptCount val="5"/>
                <c:pt idx="0">
                  <c:v>HT 85 Príprava, vykonávanie, monitorovanie a kontrola</c:v>
                </c:pt>
                <c:pt idx="1">
                  <c:v>HT 86 Hodnotenie a štúdie, informácie a komunikácia</c:v>
                </c:pt>
                <c:pt idx="2">
                  <c:v>Počet novovytvorených pracovných miest</c:v>
                </c:pt>
                <c:pt idx="3">
                  <c:v>Počet zrealizovaných akcií na informovanie verejnosti o OP ŽP</c:v>
                </c:pt>
                <c:pt idx="4">
                  <c:v>Počet zamestnancov, ktorých platy sú hradené z TA</c:v>
                </c:pt>
              </c:strCache>
            </c:strRef>
          </c:cat>
          <c:val>
            <c:numRef>
              <c:f>'PO6'!$F$2:$F$6</c:f>
              <c:numCache>
                <c:formatCode>General</c:formatCode>
                <c:ptCount val="5"/>
                <c:pt idx="0">
                  <c:v>0.25309999999999999</c:v>
                </c:pt>
                <c:pt idx="1">
                  <c:v>0.35</c:v>
                </c:pt>
                <c:pt idx="2">
                  <c:v>0.878</c:v>
                </c:pt>
                <c:pt idx="3">
                  <c:v>4.4749999999999996</c:v>
                </c:pt>
                <c:pt idx="4">
                  <c:v>0.9667</c:v>
                </c:pt>
              </c:numCache>
            </c:numRef>
          </c:val>
        </c:ser>
        <c:ser>
          <c:idx val="0"/>
          <c:order val="1"/>
          <c:tx>
            <c:strRef>
              <c:f>'PO6'!$B$1</c:f>
              <c:strCache>
                <c:ptCount val="1"/>
                <c:pt idx="0">
                  <c:v>Celková alokácia</c:v>
                </c:pt>
              </c:strCache>
            </c:strRef>
          </c:tx>
          <c:invertIfNegative val="0"/>
          <c:cat>
            <c:strRef>
              <c:f>'PO6'!$A$2:$A$6</c:f>
              <c:strCache>
                <c:ptCount val="5"/>
                <c:pt idx="0">
                  <c:v>HT 85 Príprava, vykonávanie, monitorovanie a kontrola</c:v>
                </c:pt>
                <c:pt idx="1">
                  <c:v>HT 86 Hodnotenie a štúdie, informácie a komunikácia</c:v>
                </c:pt>
                <c:pt idx="2">
                  <c:v>Počet novovytvorených pracovných miest</c:v>
                </c:pt>
                <c:pt idx="3">
                  <c:v>Počet zrealizovaných akcií na informovanie verejnosti o OP ŽP</c:v>
                </c:pt>
                <c:pt idx="4">
                  <c:v>Počet zamestnancov, ktorých platy sú hradené z TA</c:v>
                </c:pt>
              </c:strCache>
            </c:strRef>
          </c:cat>
          <c:val>
            <c:numRef>
              <c:f>'PO6'!$B$2:$B$6</c:f>
            </c:numRef>
          </c:val>
        </c:ser>
        <c:ser>
          <c:idx val="1"/>
          <c:order val="2"/>
          <c:tx>
            <c:strRef>
              <c:f>'PO6'!$C$1</c:f>
              <c:strCache>
                <c:ptCount val="1"/>
                <c:pt idx="0">
                  <c:v>Suma zazmluvnená (EÚ zdroje)/cieľové hodnoty indikátorov zazmluvnených projektov</c:v>
                </c:pt>
              </c:strCache>
            </c:strRef>
          </c:tx>
          <c:invertIfNegative val="0"/>
          <c:cat>
            <c:strRef>
              <c:f>'PO6'!$A$2:$A$6</c:f>
              <c:strCache>
                <c:ptCount val="5"/>
                <c:pt idx="0">
                  <c:v>HT 85 Príprava, vykonávanie, monitorovanie a kontrola</c:v>
                </c:pt>
                <c:pt idx="1">
                  <c:v>HT 86 Hodnotenie a štúdie, informácie a komunikácia</c:v>
                </c:pt>
                <c:pt idx="2">
                  <c:v>Počet novovytvorených pracovných miest</c:v>
                </c:pt>
                <c:pt idx="3">
                  <c:v>Počet zrealizovaných akcií na informovanie verejnosti o OP ŽP</c:v>
                </c:pt>
                <c:pt idx="4">
                  <c:v>Počet zamestnancov, ktorých platy sú hradené z TA</c:v>
                </c:pt>
              </c:strCache>
            </c:strRef>
          </c:cat>
          <c:val>
            <c:numRef>
              <c:f>'PO6'!$C$2:$C$6</c:f>
            </c:numRef>
          </c:val>
        </c:ser>
        <c:ser>
          <c:idx val="2"/>
          <c:order val="3"/>
          <c:tx>
            <c:strRef>
              <c:f>'PO6'!$D$1</c:f>
              <c:strCache>
                <c:ptCount val="1"/>
                <c:pt idx="0">
                  <c:v>Podiel zazmluvnených projektov na celkovej alokácii - cieľové hodnoty indiktátorov</c:v>
                </c:pt>
              </c:strCache>
            </c:strRef>
          </c:tx>
          <c:spPr>
            <a:solidFill>
              <a:srgbClr val="00B050"/>
            </a:solidFill>
          </c:spPr>
          <c:invertIfNegative val="0"/>
          <c:dPt>
            <c:idx val="0"/>
            <c:invertIfNegative val="0"/>
            <c:bubble3D val="0"/>
            <c:spPr>
              <a:solidFill>
                <a:srgbClr val="C00000"/>
              </a:solidFill>
            </c:spPr>
          </c:dPt>
          <c:dPt>
            <c:idx val="1"/>
            <c:invertIfNegative val="0"/>
            <c:bubble3D val="0"/>
            <c:spPr>
              <a:solidFill>
                <a:srgbClr val="C00000"/>
              </a:solidFill>
            </c:spPr>
          </c:dPt>
          <c:dLbls>
            <c:showLegendKey val="0"/>
            <c:showVal val="1"/>
            <c:showCatName val="0"/>
            <c:showSerName val="0"/>
            <c:showPercent val="0"/>
            <c:showBubbleSize val="0"/>
            <c:showLeaderLines val="0"/>
          </c:dLbls>
          <c:cat>
            <c:strRef>
              <c:f>'PO6'!$A$2:$A$6</c:f>
              <c:strCache>
                <c:ptCount val="5"/>
                <c:pt idx="0">
                  <c:v>HT 85 Príprava, vykonávanie, monitorovanie a kontrola</c:v>
                </c:pt>
                <c:pt idx="1">
                  <c:v>HT 86 Hodnotenie a štúdie, informácie a komunikácia</c:v>
                </c:pt>
                <c:pt idx="2">
                  <c:v>Počet novovytvorených pracovných miest</c:v>
                </c:pt>
                <c:pt idx="3">
                  <c:v>Počet zrealizovaných akcií na informovanie verejnosti o OP ŽP</c:v>
                </c:pt>
                <c:pt idx="4">
                  <c:v>Počet zamestnancov, ktorých platy sú hradené z TA</c:v>
                </c:pt>
              </c:strCache>
            </c:strRef>
          </c:cat>
          <c:val>
            <c:numRef>
              <c:f>'PO6'!$D$2:$D$6</c:f>
              <c:numCache>
                <c:formatCode>General</c:formatCode>
                <c:ptCount val="5"/>
                <c:pt idx="0">
                  <c:v>0.6925</c:v>
                </c:pt>
                <c:pt idx="1">
                  <c:v>0.59289999999999998</c:v>
                </c:pt>
                <c:pt idx="2">
                  <c:v>0.878</c:v>
                </c:pt>
                <c:pt idx="3">
                  <c:v>4.4749999999999996</c:v>
                </c:pt>
                <c:pt idx="4">
                  <c:v>0.9667</c:v>
                </c:pt>
              </c:numCache>
            </c:numRef>
          </c:val>
        </c:ser>
        <c:ser>
          <c:idx val="3"/>
          <c:order val="4"/>
          <c:tx>
            <c:strRef>
              <c:f>'PO6'!$E$1</c:f>
              <c:strCache>
                <c:ptCount val="1"/>
                <c:pt idx="0">
                  <c:v>Suma čerpaná  (EÚ zdroje) /merané hodnoty indikátorov zazmluvnených projektov </c:v>
                </c:pt>
              </c:strCache>
            </c:strRef>
          </c:tx>
          <c:invertIfNegative val="0"/>
          <c:cat>
            <c:strRef>
              <c:f>'PO6'!$A$2:$A$6</c:f>
              <c:strCache>
                <c:ptCount val="5"/>
                <c:pt idx="0">
                  <c:v>HT 85 Príprava, vykonávanie, monitorovanie a kontrola</c:v>
                </c:pt>
                <c:pt idx="1">
                  <c:v>HT 86 Hodnotenie a štúdie, informácie a komunikácia</c:v>
                </c:pt>
                <c:pt idx="2">
                  <c:v>Počet novovytvorených pracovných miest</c:v>
                </c:pt>
                <c:pt idx="3">
                  <c:v>Počet zrealizovaných akcií na informovanie verejnosti o OP ŽP</c:v>
                </c:pt>
                <c:pt idx="4">
                  <c:v>Počet zamestnancov, ktorých platy sú hradené z TA</c:v>
                </c:pt>
              </c:strCache>
            </c:strRef>
          </c:cat>
          <c:val>
            <c:numRef>
              <c:f>'PO6'!$E$2:$E$6</c:f>
            </c:numRef>
          </c:val>
        </c:ser>
        <c:dLbls>
          <c:showLegendKey val="0"/>
          <c:showVal val="0"/>
          <c:showCatName val="0"/>
          <c:showSerName val="0"/>
          <c:showPercent val="0"/>
          <c:showBubbleSize val="0"/>
        </c:dLbls>
        <c:gapWidth val="150"/>
        <c:axId val="29130112"/>
        <c:axId val="29140096"/>
      </c:barChart>
      <c:catAx>
        <c:axId val="29130112"/>
        <c:scaling>
          <c:orientation val="minMax"/>
        </c:scaling>
        <c:delete val="0"/>
        <c:axPos val="l"/>
        <c:numFmt formatCode="General" sourceLinked="1"/>
        <c:majorTickMark val="out"/>
        <c:minorTickMark val="none"/>
        <c:tickLblPos val="nextTo"/>
        <c:crossAx val="29140096"/>
        <c:crosses val="autoZero"/>
        <c:auto val="1"/>
        <c:lblAlgn val="ctr"/>
        <c:lblOffset val="100"/>
        <c:noMultiLvlLbl val="0"/>
      </c:catAx>
      <c:valAx>
        <c:axId val="29140096"/>
        <c:scaling>
          <c:orientation val="minMax"/>
        </c:scaling>
        <c:delete val="1"/>
        <c:axPos val="b"/>
        <c:numFmt formatCode="General" sourceLinked="1"/>
        <c:majorTickMark val="out"/>
        <c:minorTickMark val="none"/>
        <c:tickLblPos val="nextTo"/>
        <c:crossAx val="29130112"/>
        <c:crosses val="autoZero"/>
        <c:crossBetween val="between"/>
      </c:valAx>
    </c:plotArea>
    <c:legend>
      <c:legendPos val="b"/>
      <c:overlay val="0"/>
    </c:legend>
    <c:plotVisOnly val="1"/>
    <c:dispBlanksAs val="gap"/>
    <c:showDLblsOverMax val="0"/>
  </c:chart>
  <c:externalData r:id="rId2">
    <c:autoUpdate val="0"/>
  </c:externalData>
</c:chartSpace>
</file>

<file path=word/theme/theme1.xml><?xml version="1.0" encoding="utf-8"?>
<a:theme xmlns:a="http://schemas.openxmlformats.org/drawingml/2006/main" name="Motív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7.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8.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9.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0.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2.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3.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4.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F3E47AF-A03C-4AD9-AA9D-304E9F9A0C4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229</Pages>
  <Words>79189</Words>
  <Characters>479456</Characters>
  <Application>Microsoft Office Word</Application>
  <DocSecurity>0</DocSecurity>
  <Lines>3995</Lines>
  <Paragraphs>1115</Paragraphs>
  <ScaleCrop>false</ScaleCrop>
  <HeadingPairs>
    <vt:vector size="4" baseType="variant">
      <vt:variant>
        <vt:lpstr>Názov</vt:lpstr>
      </vt:variant>
      <vt:variant>
        <vt:i4>1</vt:i4>
      </vt:variant>
      <vt:variant>
        <vt:lpstr>Title</vt:lpstr>
      </vt:variant>
      <vt:variant>
        <vt:i4>1</vt:i4>
      </vt:variant>
    </vt:vector>
  </HeadingPairs>
  <TitlesOfParts>
    <vt:vector size="2" baseType="lpstr">
      <vt:lpstr>VÝROČNÁ SPRÁVA O IMPLEMENTÁCII</vt:lpstr>
      <vt:lpstr>VÝROČNÁ SPRÁVA O IMPLEMENTÁCII</vt:lpstr>
    </vt:vector>
  </TitlesOfParts>
  <Company/>
  <LinksUpToDate>false</LinksUpToDate>
  <CharactersWithSpaces>557530</CharactersWithSpaces>
  <SharedDoc>false</SharedDoc>
  <HLinks>
    <vt:vector size="672" baseType="variant">
      <vt:variant>
        <vt:i4>8060963</vt:i4>
      </vt:variant>
      <vt:variant>
        <vt:i4>492</vt:i4>
      </vt:variant>
      <vt:variant>
        <vt:i4>0</vt:i4>
      </vt:variant>
      <vt:variant>
        <vt:i4>5</vt:i4>
      </vt:variant>
      <vt:variant>
        <vt:lpwstr>http://www.opzp.sk/</vt:lpwstr>
      </vt:variant>
      <vt:variant>
        <vt:lpwstr/>
      </vt:variant>
      <vt:variant>
        <vt:i4>8060963</vt:i4>
      </vt:variant>
      <vt:variant>
        <vt:i4>489</vt:i4>
      </vt:variant>
      <vt:variant>
        <vt:i4>0</vt:i4>
      </vt:variant>
      <vt:variant>
        <vt:i4>5</vt:i4>
      </vt:variant>
      <vt:variant>
        <vt:lpwstr>http://www.opzp.sk/</vt:lpwstr>
      </vt:variant>
      <vt:variant>
        <vt:lpwstr/>
      </vt:variant>
      <vt:variant>
        <vt:i4>8060963</vt:i4>
      </vt:variant>
      <vt:variant>
        <vt:i4>486</vt:i4>
      </vt:variant>
      <vt:variant>
        <vt:i4>0</vt:i4>
      </vt:variant>
      <vt:variant>
        <vt:i4>5</vt:i4>
      </vt:variant>
      <vt:variant>
        <vt:lpwstr>http://www.opzp.sk/</vt:lpwstr>
      </vt:variant>
      <vt:variant>
        <vt:lpwstr/>
      </vt:variant>
      <vt:variant>
        <vt:i4>8060963</vt:i4>
      </vt:variant>
      <vt:variant>
        <vt:i4>483</vt:i4>
      </vt:variant>
      <vt:variant>
        <vt:i4>0</vt:i4>
      </vt:variant>
      <vt:variant>
        <vt:i4>5</vt:i4>
      </vt:variant>
      <vt:variant>
        <vt:lpwstr>http://www.opzp.sk/</vt:lpwstr>
      </vt:variant>
      <vt:variant>
        <vt:lpwstr/>
      </vt:variant>
      <vt:variant>
        <vt:i4>721008</vt:i4>
      </vt:variant>
      <vt:variant>
        <vt:i4>480</vt:i4>
      </vt:variant>
      <vt:variant>
        <vt:i4>0</vt:i4>
      </vt:variant>
      <vt:variant>
        <vt:i4>5</vt:i4>
      </vt:variant>
      <vt:variant>
        <vt:lpwstr>mailto:opc@enviro.gov.sk</vt:lpwstr>
      </vt:variant>
      <vt:variant>
        <vt:lpwstr/>
      </vt:variant>
      <vt:variant>
        <vt:i4>2555973</vt:i4>
      </vt:variant>
      <vt:variant>
        <vt:i4>477</vt:i4>
      </vt:variant>
      <vt:variant>
        <vt:i4>0</vt:i4>
      </vt:variant>
      <vt:variant>
        <vt:i4>5</vt:i4>
      </vt:variant>
      <vt:variant>
        <vt:lpwstr>mailto:info@enviro.gov.sk</vt:lpwstr>
      </vt:variant>
      <vt:variant>
        <vt:lpwstr/>
      </vt:variant>
      <vt:variant>
        <vt:i4>393241</vt:i4>
      </vt:variant>
      <vt:variant>
        <vt:i4>474</vt:i4>
      </vt:variant>
      <vt:variant>
        <vt:i4>0</vt:i4>
      </vt:variant>
      <vt:variant>
        <vt:i4>5</vt:i4>
      </vt:variant>
      <vt:variant>
        <vt:lpwstr>http://www.repis.sk/</vt:lpwstr>
      </vt:variant>
      <vt:variant>
        <vt:lpwstr/>
      </vt:variant>
      <vt:variant>
        <vt:i4>8060963</vt:i4>
      </vt:variant>
      <vt:variant>
        <vt:i4>471</vt:i4>
      </vt:variant>
      <vt:variant>
        <vt:i4>0</vt:i4>
      </vt:variant>
      <vt:variant>
        <vt:i4>5</vt:i4>
      </vt:variant>
      <vt:variant>
        <vt:lpwstr>http://www.opzp.sk/</vt:lpwstr>
      </vt:variant>
      <vt:variant>
        <vt:lpwstr/>
      </vt:variant>
      <vt:variant>
        <vt:i4>393241</vt:i4>
      </vt:variant>
      <vt:variant>
        <vt:i4>468</vt:i4>
      </vt:variant>
      <vt:variant>
        <vt:i4>0</vt:i4>
      </vt:variant>
      <vt:variant>
        <vt:i4>5</vt:i4>
      </vt:variant>
      <vt:variant>
        <vt:lpwstr>http://www.repis.sk/</vt:lpwstr>
      </vt:variant>
      <vt:variant>
        <vt:lpwstr/>
      </vt:variant>
      <vt:variant>
        <vt:i4>393241</vt:i4>
      </vt:variant>
      <vt:variant>
        <vt:i4>465</vt:i4>
      </vt:variant>
      <vt:variant>
        <vt:i4>0</vt:i4>
      </vt:variant>
      <vt:variant>
        <vt:i4>5</vt:i4>
      </vt:variant>
      <vt:variant>
        <vt:lpwstr>http://www.repis.sk/</vt:lpwstr>
      </vt:variant>
      <vt:variant>
        <vt:lpwstr/>
      </vt:variant>
      <vt:variant>
        <vt:i4>8060963</vt:i4>
      </vt:variant>
      <vt:variant>
        <vt:i4>462</vt:i4>
      </vt:variant>
      <vt:variant>
        <vt:i4>0</vt:i4>
      </vt:variant>
      <vt:variant>
        <vt:i4>5</vt:i4>
      </vt:variant>
      <vt:variant>
        <vt:lpwstr>http://www.opzp.sk/</vt:lpwstr>
      </vt:variant>
      <vt:variant>
        <vt:lpwstr/>
      </vt:variant>
      <vt:variant>
        <vt:i4>262150</vt:i4>
      </vt:variant>
      <vt:variant>
        <vt:i4>459</vt:i4>
      </vt:variant>
      <vt:variant>
        <vt:i4>0</vt:i4>
      </vt:variant>
      <vt:variant>
        <vt:i4>5</vt:i4>
      </vt:variant>
      <vt:variant>
        <vt:lpwstr>http://www.minzp.sk/</vt:lpwstr>
      </vt:variant>
      <vt:variant>
        <vt:lpwstr/>
      </vt:variant>
      <vt:variant>
        <vt:i4>8060963</vt:i4>
      </vt:variant>
      <vt:variant>
        <vt:i4>456</vt:i4>
      </vt:variant>
      <vt:variant>
        <vt:i4>0</vt:i4>
      </vt:variant>
      <vt:variant>
        <vt:i4>5</vt:i4>
      </vt:variant>
      <vt:variant>
        <vt:lpwstr>http://www.opzp.sk/</vt:lpwstr>
      </vt:variant>
      <vt:variant>
        <vt:lpwstr/>
      </vt:variant>
      <vt:variant>
        <vt:i4>8060963</vt:i4>
      </vt:variant>
      <vt:variant>
        <vt:i4>453</vt:i4>
      </vt:variant>
      <vt:variant>
        <vt:i4>0</vt:i4>
      </vt:variant>
      <vt:variant>
        <vt:i4>5</vt:i4>
      </vt:variant>
      <vt:variant>
        <vt:lpwstr>http://www.opzp.sk/</vt:lpwstr>
      </vt:variant>
      <vt:variant>
        <vt:lpwstr/>
      </vt:variant>
      <vt:variant>
        <vt:i4>7471138</vt:i4>
      </vt:variant>
      <vt:variant>
        <vt:i4>450</vt:i4>
      </vt:variant>
      <vt:variant>
        <vt:i4>0</vt:i4>
      </vt:variant>
      <vt:variant>
        <vt:i4>5</vt:i4>
      </vt:variant>
      <vt:variant>
        <vt:lpwstr>http://www.nsrr.sk/</vt:lpwstr>
      </vt:variant>
      <vt:variant>
        <vt:lpwstr/>
      </vt:variant>
      <vt:variant>
        <vt:i4>262150</vt:i4>
      </vt:variant>
      <vt:variant>
        <vt:i4>447</vt:i4>
      </vt:variant>
      <vt:variant>
        <vt:i4>0</vt:i4>
      </vt:variant>
      <vt:variant>
        <vt:i4>5</vt:i4>
      </vt:variant>
      <vt:variant>
        <vt:lpwstr>http://www.minzp.sk/</vt:lpwstr>
      </vt:variant>
      <vt:variant>
        <vt:lpwstr/>
      </vt:variant>
      <vt:variant>
        <vt:i4>393241</vt:i4>
      </vt:variant>
      <vt:variant>
        <vt:i4>444</vt:i4>
      </vt:variant>
      <vt:variant>
        <vt:i4>0</vt:i4>
      </vt:variant>
      <vt:variant>
        <vt:i4>5</vt:i4>
      </vt:variant>
      <vt:variant>
        <vt:lpwstr>http://www.repis.sk/</vt:lpwstr>
      </vt:variant>
      <vt:variant>
        <vt:lpwstr/>
      </vt:variant>
      <vt:variant>
        <vt:i4>8060963</vt:i4>
      </vt:variant>
      <vt:variant>
        <vt:i4>441</vt:i4>
      </vt:variant>
      <vt:variant>
        <vt:i4>0</vt:i4>
      </vt:variant>
      <vt:variant>
        <vt:i4>5</vt:i4>
      </vt:variant>
      <vt:variant>
        <vt:lpwstr>http://www.opzp.sk/</vt:lpwstr>
      </vt:variant>
      <vt:variant>
        <vt:lpwstr/>
      </vt:variant>
      <vt:variant>
        <vt:i4>131153</vt:i4>
      </vt:variant>
      <vt:variant>
        <vt:i4>438</vt:i4>
      </vt:variant>
      <vt:variant>
        <vt:i4>0</vt:i4>
      </vt:variant>
      <vt:variant>
        <vt:i4>5</vt:i4>
      </vt:variant>
      <vt:variant>
        <vt:lpwstr>http://www.opzp.sk/projekty/zoznam-prijimatelov/</vt:lpwstr>
      </vt:variant>
      <vt:variant>
        <vt:lpwstr/>
      </vt:variant>
      <vt:variant>
        <vt:i4>7471138</vt:i4>
      </vt:variant>
      <vt:variant>
        <vt:i4>435</vt:i4>
      </vt:variant>
      <vt:variant>
        <vt:i4>0</vt:i4>
      </vt:variant>
      <vt:variant>
        <vt:i4>5</vt:i4>
      </vt:variant>
      <vt:variant>
        <vt:lpwstr>http://www.nsrr.sk/</vt:lpwstr>
      </vt:variant>
      <vt:variant>
        <vt:lpwstr/>
      </vt:variant>
      <vt:variant>
        <vt:i4>6291493</vt:i4>
      </vt:variant>
      <vt:variant>
        <vt:i4>432</vt:i4>
      </vt:variant>
      <vt:variant>
        <vt:i4>0</vt:i4>
      </vt:variant>
      <vt:variant>
        <vt:i4>5</vt:i4>
      </vt:variant>
      <vt:variant>
        <vt:lpwstr>http://www.ipcc-nggip.iges.or.jp/public/index.html</vt:lpwstr>
      </vt:variant>
      <vt:variant>
        <vt:lpwstr/>
      </vt:variant>
      <vt:variant>
        <vt:i4>131153</vt:i4>
      </vt:variant>
      <vt:variant>
        <vt:i4>429</vt:i4>
      </vt:variant>
      <vt:variant>
        <vt:i4>0</vt:i4>
      </vt:variant>
      <vt:variant>
        <vt:i4>5</vt:i4>
      </vt:variant>
      <vt:variant>
        <vt:lpwstr>http://www.opzp.sk/projekty/zoznam-prijimatelov/</vt:lpwstr>
      </vt:variant>
      <vt:variant>
        <vt:lpwstr/>
      </vt:variant>
      <vt:variant>
        <vt:i4>131153</vt:i4>
      </vt:variant>
      <vt:variant>
        <vt:i4>426</vt:i4>
      </vt:variant>
      <vt:variant>
        <vt:i4>0</vt:i4>
      </vt:variant>
      <vt:variant>
        <vt:i4>5</vt:i4>
      </vt:variant>
      <vt:variant>
        <vt:lpwstr>http://www.opzp.sk/projekty/zoznam-prijimatelov/</vt:lpwstr>
      </vt:variant>
      <vt:variant>
        <vt:lpwstr/>
      </vt:variant>
      <vt:variant>
        <vt:i4>3342442</vt:i4>
      </vt:variant>
      <vt:variant>
        <vt:i4>423</vt:i4>
      </vt:variant>
      <vt:variant>
        <vt:i4>0</vt:i4>
      </vt:variant>
      <vt:variant>
        <vt:i4>5</vt:i4>
      </vt:variant>
      <vt:variant>
        <vt:lpwstr>http://www.opzp.sk/projekty/mapa-vzorovych-uspesne-realizovanych-projektov/</vt:lpwstr>
      </vt:variant>
      <vt:variant>
        <vt:lpwstr/>
      </vt:variant>
      <vt:variant>
        <vt:i4>131153</vt:i4>
      </vt:variant>
      <vt:variant>
        <vt:i4>420</vt:i4>
      </vt:variant>
      <vt:variant>
        <vt:i4>0</vt:i4>
      </vt:variant>
      <vt:variant>
        <vt:i4>5</vt:i4>
      </vt:variant>
      <vt:variant>
        <vt:lpwstr>http://www.opzp.sk/projekty/zoznam-prijimatelov/</vt:lpwstr>
      </vt:variant>
      <vt:variant>
        <vt:lpwstr/>
      </vt:variant>
      <vt:variant>
        <vt:i4>3342442</vt:i4>
      </vt:variant>
      <vt:variant>
        <vt:i4>417</vt:i4>
      </vt:variant>
      <vt:variant>
        <vt:i4>0</vt:i4>
      </vt:variant>
      <vt:variant>
        <vt:i4>5</vt:i4>
      </vt:variant>
      <vt:variant>
        <vt:lpwstr>http://www.opzp.sk/projekty/mapa-vzorovych-uspesne-realizovanych-projektov/</vt:lpwstr>
      </vt:variant>
      <vt:variant>
        <vt:lpwstr/>
      </vt:variant>
      <vt:variant>
        <vt:i4>131153</vt:i4>
      </vt:variant>
      <vt:variant>
        <vt:i4>414</vt:i4>
      </vt:variant>
      <vt:variant>
        <vt:i4>0</vt:i4>
      </vt:variant>
      <vt:variant>
        <vt:i4>5</vt:i4>
      </vt:variant>
      <vt:variant>
        <vt:lpwstr>http://www.opzp.sk/projekty/zoznam-prijimatelov/</vt:lpwstr>
      </vt:variant>
      <vt:variant>
        <vt:lpwstr/>
      </vt:variant>
      <vt:variant>
        <vt:i4>3342442</vt:i4>
      </vt:variant>
      <vt:variant>
        <vt:i4>411</vt:i4>
      </vt:variant>
      <vt:variant>
        <vt:i4>0</vt:i4>
      </vt:variant>
      <vt:variant>
        <vt:i4>5</vt:i4>
      </vt:variant>
      <vt:variant>
        <vt:lpwstr>http://www.opzp.sk/projekty/mapa-vzorovych-uspesne-realizovanych-projektov/</vt:lpwstr>
      </vt:variant>
      <vt:variant>
        <vt:lpwstr/>
      </vt:variant>
      <vt:variant>
        <vt:i4>131153</vt:i4>
      </vt:variant>
      <vt:variant>
        <vt:i4>408</vt:i4>
      </vt:variant>
      <vt:variant>
        <vt:i4>0</vt:i4>
      </vt:variant>
      <vt:variant>
        <vt:i4>5</vt:i4>
      </vt:variant>
      <vt:variant>
        <vt:lpwstr>http://www.opzp.sk/projekty/zoznam-prijimatelov/</vt:lpwstr>
      </vt:variant>
      <vt:variant>
        <vt:lpwstr/>
      </vt:variant>
      <vt:variant>
        <vt:i4>3342442</vt:i4>
      </vt:variant>
      <vt:variant>
        <vt:i4>405</vt:i4>
      </vt:variant>
      <vt:variant>
        <vt:i4>0</vt:i4>
      </vt:variant>
      <vt:variant>
        <vt:i4>5</vt:i4>
      </vt:variant>
      <vt:variant>
        <vt:lpwstr>http://www.opzp.sk/projekty/mapa-vzorovych-uspesne-realizovanych-projektov/</vt:lpwstr>
      </vt:variant>
      <vt:variant>
        <vt:lpwstr/>
      </vt:variant>
      <vt:variant>
        <vt:i4>6946921</vt:i4>
      </vt:variant>
      <vt:variant>
        <vt:i4>402</vt:i4>
      </vt:variant>
      <vt:variant>
        <vt:i4>0</vt:i4>
      </vt:variant>
      <vt:variant>
        <vt:i4>5</vt:i4>
      </vt:variant>
      <vt:variant>
        <vt:lpwstr>http://www.opzp.sk/implementacia-programu/hodnotenie-programu/</vt:lpwstr>
      </vt:variant>
      <vt:variant>
        <vt:lpwstr/>
      </vt:variant>
      <vt:variant>
        <vt:i4>131153</vt:i4>
      </vt:variant>
      <vt:variant>
        <vt:i4>399</vt:i4>
      </vt:variant>
      <vt:variant>
        <vt:i4>0</vt:i4>
      </vt:variant>
      <vt:variant>
        <vt:i4>5</vt:i4>
      </vt:variant>
      <vt:variant>
        <vt:lpwstr>http://www.opzp.sk/projekty/zoznam-prijimatelov/</vt:lpwstr>
      </vt:variant>
      <vt:variant>
        <vt:lpwstr/>
      </vt:variant>
      <vt:variant>
        <vt:i4>3342442</vt:i4>
      </vt:variant>
      <vt:variant>
        <vt:i4>396</vt:i4>
      </vt:variant>
      <vt:variant>
        <vt:i4>0</vt:i4>
      </vt:variant>
      <vt:variant>
        <vt:i4>5</vt:i4>
      </vt:variant>
      <vt:variant>
        <vt:lpwstr>http://www.opzp.sk/projekty/mapa-vzorovych-uspesne-realizovanych-projektov/</vt:lpwstr>
      </vt:variant>
      <vt:variant>
        <vt:lpwstr/>
      </vt:variant>
      <vt:variant>
        <vt:i4>590013</vt:i4>
      </vt:variant>
      <vt:variant>
        <vt:i4>393</vt:i4>
      </vt:variant>
      <vt:variant>
        <vt:i4>0</vt:i4>
      </vt:variant>
      <vt:variant>
        <vt:i4>5</vt:i4>
      </vt:variant>
      <vt:variant>
        <vt:lpwstr/>
      </vt:variant>
      <vt:variant>
        <vt:lpwstr>_2.8_Administratívne_kapacity2.9</vt:lpwstr>
      </vt:variant>
      <vt:variant>
        <vt:i4>6946921</vt:i4>
      </vt:variant>
      <vt:variant>
        <vt:i4>390</vt:i4>
      </vt:variant>
      <vt:variant>
        <vt:i4>0</vt:i4>
      </vt:variant>
      <vt:variant>
        <vt:i4>5</vt:i4>
      </vt:variant>
      <vt:variant>
        <vt:lpwstr>http://www.opzp.sk/implementacia-programu/hodnotenie-programu/</vt:lpwstr>
      </vt:variant>
      <vt:variant>
        <vt:lpwstr/>
      </vt:variant>
      <vt:variant>
        <vt:i4>8060963</vt:i4>
      </vt:variant>
      <vt:variant>
        <vt:i4>387</vt:i4>
      </vt:variant>
      <vt:variant>
        <vt:i4>0</vt:i4>
      </vt:variant>
      <vt:variant>
        <vt:i4>5</vt:i4>
      </vt:variant>
      <vt:variant>
        <vt:lpwstr>http://www.opzp.sk/</vt:lpwstr>
      </vt:variant>
      <vt:variant>
        <vt:lpwstr/>
      </vt:variant>
      <vt:variant>
        <vt:i4>8060963</vt:i4>
      </vt:variant>
      <vt:variant>
        <vt:i4>384</vt:i4>
      </vt:variant>
      <vt:variant>
        <vt:i4>0</vt:i4>
      </vt:variant>
      <vt:variant>
        <vt:i4>5</vt:i4>
      </vt:variant>
      <vt:variant>
        <vt:lpwstr>http://www.opzp.sk/</vt:lpwstr>
      </vt:variant>
      <vt:variant>
        <vt:lpwstr/>
      </vt:variant>
      <vt:variant>
        <vt:i4>8060963</vt:i4>
      </vt:variant>
      <vt:variant>
        <vt:i4>381</vt:i4>
      </vt:variant>
      <vt:variant>
        <vt:i4>0</vt:i4>
      </vt:variant>
      <vt:variant>
        <vt:i4>5</vt:i4>
      </vt:variant>
      <vt:variant>
        <vt:lpwstr>http://www.opzp.sk/</vt:lpwstr>
      </vt:variant>
      <vt:variant>
        <vt:lpwstr/>
      </vt:variant>
      <vt:variant>
        <vt:i4>8060963</vt:i4>
      </vt:variant>
      <vt:variant>
        <vt:i4>378</vt:i4>
      </vt:variant>
      <vt:variant>
        <vt:i4>0</vt:i4>
      </vt:variant>
      <vt:variant>
        <vt:i4>5</vt:i4>
      </vt:variant>
      <vt:variant>
        <vt:lpwstr>http://www.opzp.sk/</vt:lpwstr>
      </vt:variant>
      <vt:variant>
        <vt:lpwstr/>
      </vt:variant>
      <vt:variant>
        <vt:i4>8060963</vt:i4>
      </vt:variant>
      <vt:variant>
        <vt:i4>375</vt:i4>
      </vt:variant>
      <vt:variant>
        <vt:i4>0</vt:i4>
      </vt:variant>
      <vt:variant>
        <vt:i4>5</vt:i4>
      </vt:variant>
      <vt:variant>
        <vt:lpwstr>http://www.opzp.sk/</vt:lpwstr>
      </vt:variant>
      <vt:variant>
        <vt:lpwstr/>
      </vt:variant>
      <vt:variant>
        <vt:i4>8060963</vt:i4>
      </vt:variant>
      <vt:variant>
        <vt:i4>372</vt:i4>
      </vt:variant>
      <vt:variant>
        <vt:i4>0</vt:i4>
      </vt:variant>
      <vt:variant>
        <vt:i4>5</vt:i4>
      </vt:variant>
      <vt:variant>
        <vt:lpwstr>http://www.opzp.sk/</vt:lpwstr>
      </vt:variant>
      <vt:variant>
        <vt:lpwstr/>
      </vt:variant>
      <vt:variant>
        <vt:i4>1900550</vt:i4>
      </vt:variant>
      <vt:variant>
        <vt:i4>369</vt:i4>
      </vt:variant>
      <vt:variant>
        <vt:i4>0</vt:i4>
      </vt:variant>
      <vt:variant>
        <vt:i4>5</vt:i4>
      </vt:variant>
      <vt:variant>
        <vt:lpwstr>http://www.opzp.sk/136/implementacia/metodicke-pokyny</vt:lpwstr>
      </vt:variant>
      <vt:variant>
        <vt:lpwstr/>
      </vt:variant>
      <vt:variant>
        <vt:i4>8060963</vt:i4>
      </vt:variant>
      <vt:variant>
        <vt:i4>366</vt:i4>
      </vt:variant>
      <vt:variant>
        <vt:i4>0</vt:i4>
      </vt:variant>
      <vt:variant>
        <vt:i4>5</vt:i4>
      </vt:variant>
      <vt:variant>
        <vt:lpwstr>http://www.opzp.sk/</vt:lpwstr>
      </vt:variant>
      <vt:variant>
        <vt:lpwstr/>
      </vt:variant>
      <vt:variant>
        <vt:i4>8060963</vt:i4>
      </vt:variant>
      <vt:variant>
        <vt:i4>363</vt:i4>
      </vt:variant>
      <vt:variant>
        <vt:i4>0</vt:i4>
      </vt:variant>
      <vt:variant>
        <vt:i4>5</vt:i4>
      </vt:variant>
      <vt:variant>
        <vt:lpwstr>http://www.opzp.sk/</vt:lpwstr>
      </vt:variant>
      <vt:variant>
        <vt:lpwstr/>
      </vt:variant>
      <vt:variant>
        <vt:i4>16449557</vt:i4>
      </vt:variant>
      <vt:variant>
        <vt:i4>360</vt:i4>
      </vt:variant>
      <vt:variant>
        <vt:i4>0</vt:i4>
      </vt:variant>
      <vt:variant>
        <vt:i4>5</vt:i4>
      </vt:variant>
      <vt:variant>
        <vt:lpwstr/>
      </vt:variant>
      <vt:variant>
        <vt:lpwstr>_2.1.7_Opis_partnerských</vt:lpwstr>
      </vt:variant>
      <vt:variant>
        <vt:i4>3342442</vt:i4>
      </vt:variant>
      <vt:variant>
        <vt:i4>357</vt:i4>
      </vt:variant>
      <vt:variant>
        <vt:i4>0</vt:i4>
      </vt:variant>
      <vt:variant>
        <vt:i4>5</vt:i4>
      </vt:variant>
      <vt:variant>
        <vt:lpwstr>http://www.opzp.sk/projekty/mapa-vzorovych-uspesne-realizovanych-projektov/</vt:lpwstr>
      </vt:variant>
      <vt:variant>
        <vt:lpwstr/>
      </vt:variant>
      <vt:variant>
        <vt:i4>3342442</vt:i4>
      </vt:variant>
      <vt:variant>
        <vt:i4>354</vt:i4>
      </vt:variant>
      <vt:variant>
        <vt:i4>0</vt:i4>
      </vt:variant>
      <vt:variant>
        <vt:i4>5</vt:i4>
      </vt:variant>
      <vt:variant>
        <vt:lpwstr>http://www.opzp.sk/projekty/mapa-vzorovych-uspesne-realizovanych-projektov/</vt:lpwstr>
      </vt:variant>
      <vt:variant>
        <vt:lpwstr/>
      </vt:variant>
      <vt:variant>
        <vt:i4>3342442</vt:i4>
      </vt:variant>
      <vt:variant>
        <vt:i4>351</vt:i4>
      </vt:variant>
      <vt:variant>
        <vt:i4>0</vt:i4>
      </vt:variant>
      <vt:variant>
        <vt:i4>5</vt:i4>
      </vt:variant>
      <vt:variant>
        <vt:lpwstr>http://www.opzp.sk/projekty/mapa-vzorovych-uspesne-realizovanych-projektov/</vt:lpwstr>
      </vt:variant>
      <vt:variant>
        <vt:lpwstr/>
      </vt:variant>
      <vt:variant>
        <vt:i4>131153</vt:i4>
      </vt:variant>
      <vt:variant>
        <vt:i4>348</vt:i4>
      </vt:variant>
      <vt:variant>
        <vt:i4>0</vt:i4>
      </vt:variant>
      <vt:variant>
        <vt:i4>5</vt:i4>
      </vt:variant>
      <vt:variant>
        <vt:lpwstr>http://www.opzp.sk/projekty/zoznam-prijimatelov/</vt:lpwstr>
      </vt:variant>
      <vt:variant>
        <vt:lpwstr/>
      </vt:variant>
      <vt:variant>
        <vt:i4>8060963</vt:i4>
      </vt:variant>
      <vt:variant>
        <vt:i4>345</vt:i4>
      </vt:variant>
      <vt:variant>
        <vt:i4>0</vt:i4>
      </vt:variant>
      <vt:variant>
        <vt:i4>5</vt:i4>
      </vt:variant>
      <vt:variant>
        <vt:lpwstr>http://www.opzp.sk/</vt:lpwstr>
      </vt:variant>
      <vt:variant>
        <vt:lpwstr/>
      </vt:variant>
      <vt:variant>
        <vt:i4>6946921</vt:i4>
      </vt:variant>
      <vt:variant>
        <vt:i4>342</vt:i4>
      </vt:variant>
      <vt:variant>
        <vt:i4>0</vt:i4>
      </vt:variant>
      <vt:variant>
        <vt:i4>5</vt:i4>
      </vt:variant>
      <vt:variant>
        <vt:lpwstr>http://www.opzp.sk/implementacia-programu/hodnotenie-programu/</vt:lpwstr>
      </vt:variant>
      <vt:variant>
        <vt:lpwstr/>
      </vt:variant>
      <vt:variant>
        <vt:i4>131153</vt:i4>
      </vt:variant>
      <vt:variant>
        <vt:i4>339</vt:i4>
      </vt:variant>
      <vt:variant>
        <vt:i4>0</vt:i4>
      </vt:variant>
      <vt:variant>
        <vt:i4>5</vt:i4>
      </vt:variant>
      <vt:variant>
        <vt:lpwstr>http://www.opzp.sk/projekty/zoznam-prijimatelov/</vt:lpwstr>
      </vt:variant>
      <vt:variant>
        <vt:lpwstr/>
      </vt:variant>
      <vt:variant>
        <vt:i4>8060963</vt:i4>
      </vt:variant>
      <vt:variant>
        <vt:i4>336</vt:i4>
      </vt:variant>
      <vt:variant>
        <vt:i4>0</vt:i4>
      </vt:variant>
      <vt:variant>
        <vt:i4>5</vt:i4>
      </vt:variant>
      <vt:variant>
        <vt:lpwstr>http://www.opzp.sk/</vt:lpwstr>
      </vt:variant>
      <vt:variant>
        <vt:lpwstr/>
      </vt:variant>
      <vt:variant>
        <vt:i4>8060963</vt:i4>
      </vt:variant>
      <vt:variant>
        <vt:i4>333</vt:i4>
      </vt:variant>
      <vt:variant>
        <vt:i4>0</vt:i4>
      </vt:variant>
      <vt:variant>
        <vt:i4>5</vt:i4>
      </vt:variant>
      <vt:variant>
        <vt:lpwstr>http://www.opzp.sk/</vt:lpwstr>
      </vt:variant>
      <vt:variant>
        <vt:lpwstr/>
      </vt:variant>
      <vt:variant>
        <vt:i4>3342442</vt:i4>
      </vt:variant>
      <vt:variant>
        <vt:i4>330</vt:i4>
      </vt:variant>
      <vt:variant>
        <vt:i4>0</vt:i4>
      </vt:variant>
      <vt:variant>
        <vt:i4>5</vt:i4>
      </vt:variant>
      <vt:variant>
        <vt:lpwstr>http://www.opzp.sk/projekty/mapa-vzorovych-uspesne-realizovanych-projektov/</vt:lpwstr>
      </vt:variant>
      <vt:variant>
        <vt:lpwstr/>
      </vt:variant>
      <vt:variant>
        <vt:i4>5046275</vt:i4>
      </vt:variant>
      <vt:variant>
        <vt:i4>327</vt:i4>
      </vt:variant>
      <vt:variant>
        <vt:i4>0</vt:i4>
      </vt:variant>
      <vt:variant>
        <vt:i4>5</vt:i4>
      </vt:variant>
      <vt:variant>
        <vt:lpwstr>http://www.opzp.sk/vyzvy/harmonogram-vyziev/</vt:lpwstr>
      </vt:variant>
      <vt:variant>
        <vt:lpwstr/>
      </vt:variant>
      <vt:variant>
        <vt:i4>131153</vt:i4>
      </vt:variant>
      <vt:variant>
        <vt:i4>324</vt:i4>
      </vt:variant>
      <vt:variant>
        <vt:i4>0</vt:i4>
      </vt:variant>
      <vt:variant>
        <vt:i4>5</vt:i4>
      </vt:variant>
      <vt:variant>
        <vt:lpwstr>http://www.opzp.sk/projekty/zoznam-prijimatelov/</vt:lpwstr>
      </vt:variant>
      <vt:variant>
        <vt:lpwstr/>
      </vt:variant>
      <vt:variant>
        <vt:i4>7471138</vt:i4>
      </vt:variant>
      <vt:variant>
        <vt:i4>321</vt:i4>
      </vt:variant>
      <vt:variant>
        <vt:i4>0</vt:i4>
      </vt:variant>
      <vt:variant>
        <vt:i4>5</vt:i4>
      </vt:variant>
      <vt:variant>
        <vt:lpwstr>http://www.nsrr.sk/</vt:lpwstr>
      </vt:variant>
      <vt:variant>
        <vt:lpwstr/>
      </vt:variant>
      <vt:variant>
        <vt:i4>8060963</vt:i4>
      </vt:variant>
      <vt:variant>
        <vt:i4>318</vt:i4>
      </vt:variant>
      <vt:variant>
        <vt:i4>0</vt:i4>
      </vt:variant>
      <vt:variant>
        <vt:i4>5</vt:i4>
      </vt:variant>
      <vt:variant>
        <vt:lpwstr>http://www.opzp.sk/</vt:lpwstr>
      </vt:variant>
      <vt:variant>
        <vt:lpwstr/>
      </vt:variant>
      <vt:variant>
        <vt:i4>8060963</vt:i4>
      </vt:variant>
      <vt:variant>
        <vt:i4>315</vt:i4>
      </vt:variant>
      <vt:variant>
        <vt:i4>0</vt:i4>
      </vt:variant>
      <vt:variant>
        <vt:i4>5</vt:i4>
      </vt:variant>
      <vt:variant>
        <vt:lpwstr>http://www.opzp.sk/</vt:lpwstr>
      </vt:variant>
      <vt:variant>
        <vt:lpwstr/>
      </vt:variant>
      <vt:variant>
        <vt:i4>1376318</vt:i4>
      </vt:variant>
      <vt:variant>
        <vt:i4>308</vt:i4>
      </vt:variant>
      <vt:variant>
        <vt:i4>0</vt:i4>
      </vt:variant>
      <vt:variant>
        <vt:i4>5</vt:i4>
      </vt:variant>
      <vt:variant>
        <vt:lpwstr/>
      </vt:variant>
      <vt:variant>
        <vt:lpwstr>_Toc319573350</vt:lpwstr>
      </vt:variant>
      <vt:variant>
        <vt:i4>1310782</vt:i4>
      </vt:variant>
      <vt:variant>
        <vt:i4>302</vt:i4>
      </vt:variant>
      <vt:variant>
        <vt:i4>0</vt:i4>
      </vt:variant>
      <vt:variant>
        <vt:i4>5</vt:i4>
      </vt:variant>
      <vt:variant>
        <vt:lpwstr/>
      </vt:variant>
      <vt:variant>
        <vt:lpwstr>_Toc319573349</vt:lpwstr>
      </vt:variant>
      <vt:variant>
        <vt:i4>1310782</vt:i4>
      </vt:variant>
      <vt:variant>
        <vt:i4>296</vt:i4>
      </vt:variant>
      <vt:variant>
        <vt:i4>0</vt:i4>
      </vt:variant>
      <vt:variant>
        <vt:i4>5</vt:i4>
      </vt:variant>
      <vt:variant>
        <vt:lpwstr/>
      </vt:variant>
      <vt:variant>
        <vt:lpwstr>_Toc319573348</vt:lpwstr>
      </vt:variant>
      <vt:variant>
        <vt:i4>1310782</vt:i4>
      </vt:variant>
      <vt:variant>
        <vt:i4>290</vt:i4>
      </vt:variant>
      <vt:variant>
        <vt:i4>0</vt:i4>
      </vt:variant>
      <vt:variant>
        <vt:i4>5</vt:i4>
      </vt:variant>
      <vt:variant>
        <vt:lpwstr/>
      </vt:variant>
      <vt:variant>
        <vt:lpwstr>_Toc319573347</vt:lpwstr>
      </vt:variant>
      <vt:variant>
        <vt:i4>1310782</vt:i4>
      </vt:variant>
      <vt:variant>
        <vt:i4>284</vt:i4>
      </vt:variant>
      <vt:variant>
        <vt:i4>0</vt:i4>
      </vt:variant>
      <vt:variant>
        <vt:i4>5</vt:i4>
      </vt:variant>
      <vt:variant>
        <vt:lpwstr/>
      </vt:variant>
      <vt:variant>
        <vt:lpwstr>_Toc319573346</vt:lpwstr>
      </vt:variant>
      <vt:variant>
        <vt:i4>1310782</vt:i4>
      </vt:variant>
      <vt:variant>
        <vt:i4>278</vt:i4>
      </vt:variant>
      <vt:variant>
        <vt:i4>0</vt:i4>
      </vt:variant>
      <vt:variant>
        <vt:i4>5</vt:i4>
      </vt:variant>
      <vt:variant>
        <vt:lpwstr/>
      </vt:variant>
      <vt:variant>
        <vt:lpwstr>_Toc319573345</vt:lpwstr>
      </vt:variant>
      <vt:variant>
        <vt:i4>1310782</vt:i4>
      </vt:variant>
      <vt:variant>
        <vt:i4>272</vt:i4>
      </vt:variant>
      <vt:variant>
        <vt:i4>0</vt:i4>
      </vt:variant>
      <vt:variant>
        <vt:i4>5</vt:i4>
      </vt:variant>
      <vt:variant>
        <vt:lpwstr/>
      </vt:variant>
      <vt:variant>
        <vt:lpwstr>_Toc319573344</vt:lpwstr>
      </vt:variant>
      <vt:variant>
        <vt:i4>1310782</vt:i4>
      </vt:variant>
      <vt:variant>
        <vt:i4>266</vt:i4>
      </vt:variant>
      <vt:variant>
        <vt:i4>0</vt:i4>
      </vt:variant>
      <vt:variant>
        <vt:i4>5</vt:i4>
      </vt:variant>
      <vt:variant>
        <vt:lpwstr/>
      </vt:variant>
      <vt:variant>
        <vt:lpwstr>_Toc319573343</vt:lpwstr>
      </vt:variant>
      <vt:variant>
        <vt:i4>1310782</vt:i4>
      </vt:variant>
      <vt:variant>
        <vt:i4>260</vt:i4>
      </vt:variant>
      <vt:variant>
        <vt:i4>0</vt:i4>
      </vt:variant>
      <vt:variant>
        <vt:i4>5</vt:i4>
      </vt:variant>
      <vt:variant>
        <vt:lpwstr/>
      </vt:variant>
      <vt:variant>
        <vt:lpwstr>_Toc319573342</vt:lpwstr>
      </vt:variant>
      <vt:variant>
        <vt:i4>1310782</vt:i4>
      </vt:variant>
      <vt:variant>
        <vt:i4>254</vt:i4>
      </vt:variant>
      <vt:variant>
        <vt:i4>0</vt:i4>
      </vt:variant>
      <vt:variant>
        <vt:i4>5</vt:i4>
      </vt:variant>
      <vt:variant>
        <vt:lpwstr/>
      </vt:variant>
      <vt:variant>
        <vt:lpwstr>_Toc319573341</vt:lpwstr>
      </vt:variant>
      <vt:variant>
        <vt:i4>1310782</vt:i4>
      </vt:variant>
      <vt:variant>
        <vt:i4>248</vt:i4>
      </vt:variant>
      <vt:variant>
        <vt:i4>0</vt:i4>
      </vt:variant>
      <vt:variant>
        <vt:i4>5</vt:i4>
      </vt:variant>
      <vt:variant>
        <vt:lpwstr/>
      </vt:variant>
      <vt:variant>
        <vt:lpwstr>_Toc319573340</vt:lpwstr>
      </vt:variant>
      <vt:variant>
        <vt:i4>1245246</vt:i4>
      </vt:variant>
      <vt:variant>
        <vt:i4>242</vt:i4>
      </vt:variant>
      <vt:variant>
        <vt:i4>0</vt:i4>
      </vt:variant>
      <vt:variant>
        <vt:i4>5</vt:i4>
      </vt:variant>
      <vt:variant>
        <vt:lpwstr/>
      </vt:variant>
      <vt:variant>
        <vt:lpwstr>_Toc319573339</vt:lpwstr>
      </vt:variant>
      <vt:variant>
        <vt:i4>1245246</vt:i4>
      </vt:variant>
      <vt:variant>
        <vt:i4>236</vt:i4>
      </vt:variant>
      <vt:variant>
        <vt:i4>0</vt:i4>
      </vt:variant>
      <vt:variant>
        <vt:i4>5</vt:i4>
      </vt:variant>
      <vt:variant>
        <vt:lpwstr/>
      </vt:variant>
      <vt:variant>
        <vt:lpwstr>_Toc319573338</vt:lpwstr>
      </vt:variant>
      <vt:variant>
        <vt:i4>1245246</vt:i4>
      </vt:variant>
      <vt:variant>
        <vt:i4>230</vt:i4>
      </vt:variant>
      <vt:variant>
        <vt:i4>0</vt:i4>
      </vt:variant>
      <vt:variant>
        <vt:i4>5</vt:i4>
      </vt:variant>
      <vt:variant>
        <vt:lpwstr/>
      </vt:variant>
      <vt:variant>
        <vt:lpwstr>_Toc319573337</vt:lpwstr>
      </vt:variant>
      <vt:variant>
        <vt:i4>1245246</vt:i4>
      </vt:variant>
      <vt:variant>
        <vt:i4>224</vt:i4>
      </vt:variant>
      <vt:variant>
        <vt:i4>0</vt:i4>
      </vt:variant>
      <vt:variant>
        <vt:i4>5</vt:i4>
      </vt:variant>
      <vt:variant>
        <vt:lpwstr/>
      </vt:variant>
      <vt:variant>
        <vt:lpwstr>_Toc319573336</vt:lpwstr>
      </vt:variant>
      <vt:variant>
        <vt:i4>1245246</vt:i4>
      </vt:variant>
      <vt:variant>
        <vt:i4>218</vt:i4>
      </vt:variant>
      <vt:variant>
        <vt:i4>0</vt:i4>
      </vt:variant>
      <vt:variant>
        <vt:i4>5</vt:i4>
      </vt:variant>
      <vt:variant>
        <vt:lpwstr/>
      </vt:variant>
      <vt:variant>
        <vt:lpwstr>_Toc319573335</vt:lpwstr>
      </vt:variant>
      <vt:variant>
        <vt:i4>1245246</vt:i4>
      </vt:variant>
      <vt:variant>
        <vt:i4>212</vt:i4>
      </vt:variant>
      <vt:variant>
        <vt:i4>0</vt:i4>
      </vt:variant>
      <vt:variant>
        <vt:i4>5</vt:i4>
      </vt:variant>
      <vt:variant>
        <vt:lpwstr/>
      </vt:variant>
      <vt:variant>
        <vt:lpwstr>_Toc319573334</vt:lpwstr>
      </vt:variant>
      <vt:variant>
        <vt:i4>1245246</vt:i4>
      </vt:variant>
      <vt:variant>
        <vt:i4>206</vt:i4>
      </vt:variant>
      <vt:variant>
        <vt:i4>0</vt:i4>
      </vt:variant>
      <vt:variant>
        <vt:i4>5</vt:i4>
      </vt:variant>
      <vt:variant>
        <vt:lpwstr/>
      </vt:variant>
      <vt:variant>
        <vt:lpwstr>_Toc319573333</vt:lpwstr>
      </vt:variant>
      <vt:variant>
        <vt:i4>1245246</vt:i4>
      </vt:variant>
      <vt:variant>
        <vt:i4>200</vt:i4>
      </vt:variant>
      <vt:variant>
        <vt:i4>0</vt:i4>
      </vt:variant>
      <vt:variant>
        <vt:i4>5</vt:i4>
      </vt:variant>
      <vt:variant>
        <vt:lpwstr/>
      </vt:variant>
      <vt:variant>
        <vt:lpwstr>_Toc319573332</vt:lpwstr>
      </vt:variant>
      <vt:variant>
        <vt:i4>1245246</vt:i4>
      </vt:variant>
      <vt:variant>
        <vt:i4>194</vt:i4>
      </vt:variant>
      <vt:variant>
        <vt:i4>0</vt:i4>
      </vt:variant>
      <vt:variant>
        <vt:i4>5</vt:i4>
      </vt:variant>
      <vt:variant>
        <vt:lpwstr/>
      </vt:variant>
      <vt:variant>
        <vt:lpwstr>_Toc319573331</vt:lpwstr>
      </vt:variant>
      <vt:variant>
        <vt:i4>1245246</vt:i4>
      </vt:variant>
      <vt:variant>
        <vt:i4>188</vt:i4>
      </vt:variant>
      <vt:variant>
        <vt:i4>0</vt:i4>
      </vt:variant>
      <vt:variant>
        <vt:i4>5</vt:i4>
      </vt:variant>
      <vt:variant>
        <vt:lpwstr/>
      </vt:variant>
      <vt:variant>
        <vt:lpwstr>_Toc319573330</vt:lpwstr>
      </vt:variant>
      <vt:variant>
        <vt:i4>1179710</vt:i4>
      </vt:variant>
      <vt:variant>
        <vt:i4>182</vt:i4>
      </vt:variant>
      <vt:variant>
        <vt:i4>0</vt:i4>
      </vt:variant>
      <vt:variant>
        <vt:i4>5</vt:i4>
      </vt:variant>
      <vt:variant>
        <vt:lpwstr/>
      </vt:variant>
      <vt:variant>
        <vt:lpwstr>_Toc319573329</vt:lpwstr>
      </vt:variant>
      <vt:variant>
        <vt:i4>1179710</vt:i4>
      </vt:variant>
      <vt:variant>
        <vt:i4>176</vt:i4>
      </vt:variant>
      <vt:variant>
        <vt:i4>0</vt:i4>
      </vt:variant>
      <vt:variant>
        <vt:i4>5</vt:i4>
      </vt:variant>
      <vt:variant>
        <vt:lpwstr/>
      </vt:variant>
      <vt:variant>
        <vt:lpwstr>_Toc319573328</vt:lpwstr>
      </vt:variant>
      <vt:variant>
        <vt:i4>1179710</vt:i4>
      </vt:variant>
      <vt:variant>
        <vt:i4>170</vt:i4>
      </vt:variant>
      <vt:variant>
        <vt:i4>0</vt:i4>
      </vt:variant>
      <vt:variant>
        <vt:i4>5</vt:i4>
      </vt:variant>
      <vt:variant>
        <vt:lpwstr/>
      </vt:variant>
      <vt:variant>
        <vt:lpwstr>_Toc319573327</vt:lpwstr>
      </vt:variant>
      <vt:variant>
        <vt:i4>1179710</vt:i4>
      </vt:variant>
      <vt:variant>
        <vt:i4>164</vt:i4>
      </vt:variant>
      <vt:variant>
        <vt:i4>0</vt:i4>
      </vt:variant>
      <vt:variant>
        <vt:i4>5</vt:i4>
      </vt:variant>
      <vt:variant>
        <vt:lpwstr/>
      </vt:variant>
      <vt:variant>
        <vt:lpwstr>_Toc319573326</vt:lpwstr>
      </vt:variant>
      <vt:variant>
        <vt:i4>1179710</vt:i4>
      </vt:variant>
      <vt:variant>
        <vt:i4>158</vt:i4>
      </vt:variant>
      <vt:variant>
        <vt:i4>0</vt:i4>
      </vt:variant>
      <vt:variant>
        <vt:i4>5</vt:i4>
      </vt:variant>
      <vt:variant>
        <vt:lpwstr/>
      </vt:variant>
      <vt:variant>
        <vt:lpwstr>_Toc319573325</vt:lpwstr>
      </vt:variant>
      <vt:variant>
        <vt:i4>1179710</vt:i4>
      </vt:variant>
      <vt:variant>
        <vt:i4>152</vt:i4>
      </vt:variant>
      <vt:variant>
        <vt:i4>0</vt:i4>
      </vt:variant>
      <vt:variant>
        <vt:i4>5</vt:i4>
      </vt:variant>
      <vt:variant>
        <vt:lpwstr/>
      </vt:variant>
      <vt:variant>
        <vt:lpwstr>_Toc319573324</vt:lpwstr>
      </vt:variant>
      <vt:variant>
        <vt:i4>1179710</vt:i4>
      </vt:variant>
      <vt:variant>
        <vt:i4>146</vt:i4>
      </vt:variant>
      <vt:variant>
        <vt:i4>0</vt:i4>
      </vt:variant>
      <vt:variant>
        <vt:i4>5</vt:i4>
      </vt:variant>
      <vt:variant>
        <vt:lpwstr/>
      </vt:variant>
      <vt:variant>
        <vt:lpwstr>_Toc319573323</vt:lpwstr>
      </vt:variant>
      <vt:variant>
        <vt:i4>1179710</vt:i4>
      </vt:variant>
      <vt:variant>
        <vt:i4>140</vt:i4>
      </vt:variant>
      <vt:variant>
        <vt:i4>0</vt:i4>
      </vt:variant>
      <vt:variant>
        <vt:i4>5</vt:i4>
      </vt:variant>
      <vt:variant>
        <vt:lpwstr/>
      </vt:variant>
      <vt:variant>
        <vt:lpwstr>_Toc319573322</vt:lpwstr>
      </vt:variant>
      <vt:variant>
        <vt:i4>1179710</vt:i4>
      </vt:variant>
      <vt:variant>
        <vt:i4>134</vt:i4>
      </vt:variant>
      <vt:variant>
        <vt:i4>0</vt:i4>
      </vt:variant>
      <vt:variant>
        <vt:i4>5</vt:i4>
      </vt:variant>
      <vt:variant>
        <vt:lpwstr/>
      </vt:variant>
      <vt:variant>
        <vt:lpwstr>_Toc319573321</vt:lpwstr>
      </vt:variant>
      <vt:variant>
        <vt:i4>1179710</vt:i4>
      </vt:variant>
      <vt:variant>
        <vt:i4>128</vt:i4>
      </vt:variant>
      <vt:variant>
        <vt:i4>0</vt:i4>
      </vt:variant>
      <vt:variant>
        <vt:i4>5</vt:i4>
      </vt:variant>
      <vt:variant>
        <vt:lpwstr/>
      </vt:variant>
      <vt:variant>
        <vt:lpwstr>_Toc319573320</vt:lpwstr>
      </vt:variant>
      <vt:variant>
        <vt:i4>1114174</vt:i4>
      </vt:variant>
      <vt:variant>
        <vt:i4>122</vt:i4>
      </vt:variant>
      <vt:variant>
        <vt:i4>0</vt:i4>
      </vt:variant>
      <vt:variant>
        <vt:i4>5</vt:i4>
      </vt:variant>
      <vt:variant>
        <vt:lpwstr/>
      </vt:variant>
      <vt:variant>
        <vt:lpwstr>_Toc319573319</vt:lpwstr>
      </vt:variant>
      <vt:variant>
        <vt:i4>1114174</vt:i4>
      </vt:variant>
      <vt:variant>
        <vt:i4>116</vt:i4>
      </vt:variant>
      <vt:variant>
        <vt:i4>0</vt:i4>
      </vt:variant>
      <vt:variant>
        <vt:i4>5</vt:i4>
      </vt:variant>
      <vt:variant>
        <vt:lpwstr/>
      </vt:variant>
      <vt:variant>
        <vt:lpwstr>_Toc319573318</vt:lpwstr>
      </vt:variant>
      <vt:variant>
        <vt:i4>1114174</vt:i4>
      </vt:variant>
      <vt:variant>
        <vt:i4>110</vt:i4>
      </vt:variant>
      <vt:variant>
        <vt:i4>0</vt:i4>
      </vt:variant>
      <vt:variant>
        <vt:i4>5</vt:i4>
      </vt:variant>
      <vt:variant>
        <vt:lpwstr/>
      </vt:variant>
      <vt:variant>
        <vt:lpwstr>_Toc319573317</vt:lpwstr>
      </vt:variant>
      <vt:variant>
        <vt:i4>1114174</vt:i4>
      </vt:variant>
      <vt:variant>
        <vt:i4>104</vt:i4>
      </vt:variant>
      <vt:variant>
        <vt:i4>0</vt:i4>
      </vt:variant>
      <vt:variant>
        <vt:i4>5</vt:i4>
      </vt:variant>
      <vt:variant>
        <vt:lpwstr/>
      </vt:variant>
      <vt:variant>
        <vt:lpwstr>_Toc319573316</vt:lpwstr>
      </vt:variant>
      <vt:variant>
        <vt:i4>1114174</vt:i4>
      </vt:variant>
      <vt:variant>
        <vt:i4>98</vt:i4>
      </vt:variant>
      <vt:variant>
        <vt:i4>0</vt:i4>
      </vt:variant>
      <vt:variant>
        <vt:i4>5</vt:i4>
      </vt:variant>
      <vt:variant>
        <vt:lpwstr/>
      </vt:variant>
      <vt:variant>
        <vt:lpwstr>_Toc319573315</vt:lpwstr>
      </vt:variant>
      <vt:variant>
        <vt:i4>1114174</vt:i4>
      </vt:variant>
      <vt:variant>
        <vt:i4>92</vt:i4>
      </vt:variant>
      <vt:variant>
        <vt:i4>0</vt:i4>
      </vt:variant>
      <vt:variant>
        <vt:i4>5</vt:i4>
      </vt:variant>
      <vt:variant>
        <vt:lpwstr/>
      </vt:variant>
      <vt:variant>
        <vt:lpwstr>_Toc319573314</vt:lpwstr>
      </vt:variant>
      <vt:variant>
        <vt:i4>1114174</vt:i4>
      </vt:variant>
      <vt:variant>
        <vt:i4>86</vt:i4>
      </vt:variant>
      <vt:variant>
        <vt:i4>0</vt:i4>
      </vt:variant>
      <vt:variant>
        <vt:i4>5</vt:i4>
      </vt:variant>
      <vt:variant>
        <vt:lpwstr/>
      </vt:variant>
      <vt:variant>
        <vt:lpwstr>_Toc319573313</vt:lpwstr>
      </vt:variant>
      <vt:variant>
        <vt:i4>1114174</vt:i4>
      </vt:variant>
      <vt:variant>
        <vt:i4>80</vt:i4>
      </vt:variant>
      <vt:variant>
        <vt:i4>0</vt:i4>
      </vt:variant>
      <vt:variant>
        <vt:i4>5</vt:i4>
      </vt:variant>
      <vt:variant>
        <vt:lpwstr/>
      </vt:variant>
      <vt:variant>
        <vt:lpwstr>_Toc319573312</vt:lpwstr>
      </vt:variant>
      <vt:variant>
        <vt:i4>1114174</vt:i4>
      </vt:variant>
      <vt:variant>
        <vt:i4>74</vt:i4>
      </vt:variant>
      <vt:variant>
        <vt:i4>0</vt:i4>
      </vt:variant>
      <vt:variant>
        <vt:i4>5</vt:i4>
      </vt:variant>
      <vt:variant>
        <vt:lpwstr/>
      </vt:variant>
      <vt:variant>
        <vt:lpwstr>_Toc319573311</vt:lpwstr>
      </vt:variant>
      <vt:variant>
        <vt:i4>1114174</vt:i4>
      </vt:variant>
      <vt:variant>
        <vt:i4>68</vt:i4>
      </vt:variant>
      <vt:variant>
        <vt:i4>0</vt:i4>
      </vt:variant>
      <vt:variant>
        <vt:i4>5</vt:i4>
      </vt:variant>
      <vt:variant>
        <vt:lpwstr/>
      </vt:variant>
      <vt:variant>
        <vt:lpwstr>_Toc319573310</vt:lpwstr>
      </vt:variant>
      <vt:variant>
        <vt:i4>1048638</vt:i4>
      </vt:variant>
      <vt:variant>
        <vt:i4>62</vt:i4>
      </vt:variant>
      <vt:variant>
        <vt:i4>0</vt:i4>
      </vt:variant>
      <vt:variant>
        <vt:i4>5</vt:i4>
      </vt:variant>
      <vt:variant>
        <vt:lpwstr/>
      </vt:variant>
      <vt:variant>
        <vt:lpwstr>_Toc319573309</vt:lpwstr>
      </vt:variant>
      <vt:variant>
        <vt:i4>1048638</vt:i4>
      </vt:variant>
      <vt:variant>
        <vt:i4>56</vt:i4>
      </vt:variant>
      <vt:variant>
        <vt:i4>0</vt:i4>
      </vt:variant>
      <vt:variant>
        <vt:i4>5</vt:i4>
      </vt:variant>
      <vt:variant>
        <vt:lpwstr/>
      </vt:variant>
      <vt:variant>
        <vt:lpwstr>_Toc319573308</vt:lpwstr>
      </vt:variant>
      <vt:variant>
        <vt:i4>1048638</vt:i4>
      </vt:variant>
      <vt:variant>
        <vt:i4>50</vt:i4>
      </vt:variant>
      <vt:variant>
        <vt:i4>0</vt:i4>
      </vt:variant>
      <vt:variant>
        <vt:i4>5</vt:i4>
      </vt:variant>
      <vt:variant>
        <vt:lpwstr/>
      </vt:variant>
      <vt:variant>
        <vt:lpwstr>_Toc319573307</vt:lpwstr>
      </vt:variant>
      <vt:variant>
        <vt:i4>1048638</vt:i4>
      </vt:variant>
      <vt:variant>
        <vt:i4>44</vt:i4>
      </vt:variant>
      <vt:variant>
        <vt:i4>0</vt:i4>
      </vt:variant>
      <vt:variant>
        <vt:i4>5</vt:i4>
      </vt:variant>
      <vt:variant>
        <vt:lpwstr/>
      </vt:variant>
      <vt:variant>
        <vt:lpwstr>_Toc319573306</vt:lpwstr>
      </vt:variant>
      <vt:variant>
        <vt:i4>1048638</vt:i4>
      </vt:variant>
      <vt:variant>
        <vt:i4>38</vt:i4>
      </vt:variant>
      <vt:variant>
        <vt:i4>0</vt:i4>
      </vt:variant>
      <vt:variant>
        <vt:i4>5</vt:i4>
      </vt:variant>
      <vt:variant>
        <vt:lpwstr/>
      </vt:variant>
      <vt:variant>
        <vt:lpwstr>_Toc319573305</vt:lpwstr>
      </vt:variant>
      <vt:variant>
        <vt:i4>1048638</vt:i4>
      </vt:variant>
      <vt:variant>
        <vt:i4>32</vt:i4>
      </vt:variant>
      <vt:variant>
        <vt:i4>0</vt:i4>
      </vt:variant>
      <vt:variant>
        <vt:i4>5</vt:i4>
      </vt:variant>
      <vt:variant>
        <vt:lpwstr/>
      </vt:variant>
      <vt:variant>
        <vt:lpwstr>_Toc319573304</vt:lpwstr>
      </vt:variant>
      <vt:variant>
        <vt:i4>1048638</vt:i4>
      </vt:variant>
      <vt:variant>
        <vt:i4>26</vt:i4>
      </vt:variant>
      <vt:variant>
        <vt:i4>0</vt:i4>
      </vt:variant>
      <vt:variant>
        <vt:i4>5</vt:i4>
      </vt:variant>
      <vt:variant>
        <vt:lpwstr/>
      </vt:variant>
      <vt:variant>
        <vt:lpwstr>_Toc319573303</vt:lpwstr>
      </vt:variant>
      <vt:variant>
        <vt:i4>1048638</vt:i4>
      </vt:variant>
      <vt:variant>
        <vt:i4>20</vt:i4>
      </vt:variant>
      <vt:variant>
        <vt:i4>0</vt:i4>
      </vt:variant>
      <vt:variant>
        <vt:i4>5</vt:i4>
      </vt:variant>
      <vt:variant>
        <vt:lpwstr/>
      </vt:variant>
      <vt:variant>
        <vt:lpwstr>_Toc319573302</vt:lpwstr>
      </vt:variant>
      <vt:variant>
        <vt:i4>1048638</vt:i4>
      </vt:variant>
      <vt:variant>
        <vt:i4>14</vt:i4>
      </vt:variant>
      <vt:variant>
        <vt:i4>0</vt:i4>
      </vt:variant>
      <vt:variant>
        <vt:i4>5</vt:i4>
      </vt:variant>
      <vt:variant>
        <vt:lpwstr/>
      </vt:variant>
      <vt:variant>
        <vt:lpwstr>_Toc319573301</vt:lpwstr>
      </vt:variant>
      <vt:variant>
        <vt:i4>1048638</vt:i4>
      </vt:variant>
      <vt:variant>
        <vt:i4>8</vt:i4>
      </vt:variant>
      <vt:variant>
        <vt:i4>0</vt:i4>
      </vt:variant>
      <vt:variant>
        <vt:i4>5</vt:i4>
      </vt:variant>
      <vt:variant>
        <vt:lpwstr/>
      </vt:variant>
      <vt:variant>
        <vt:lpwstr>_Toc319573300</vt:lpwstr>
      </vt:variant>
      <vt:variant>
        <vt:i4>1638463</vt:i4>
      </vt:variant>
      <vt:variant>
        <vt:i4>2</vt:i4>
      </vt:variant>
      <vt:variant>
        <vt:i4>0</vt:i4>
      </vt:variant>
      <vt:variant>
        <vt:i4>5</vt:i4>
      </vt:variant>
      <vt:variant>
        <vt:lpwstr/>
      </vt:variant>
      <vt:variant>
        <vt:lpwstr>_Toc319573299</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VÝROČNÁ SPRÁVA O IMPLEMENTÁCII</dc:title>
  <dc:creator>Holecova</dc:creator>
  <cp:lastModifiedBy>Kuna Peter</cp:lastModifiedBy>
  <cp:revision>3</cp:revision>
  <cp:lastPrinted>2013-05-16T12:04:00Z</cp:lastPrinted>
  <dcterms:created xsi:type="dcterms:W3CDTF">2013-06-07T11:13:00Z</dcterms:created>
  <dcterms:modified xsi:type="dcterms:W3CDTF">2013-06-07T11:17:00Z</dcterms:modified>
</cp:coreProperties>
</file>